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77" w:lineRule="auto"/>
        <w:rPr/>
      </w:pPr>
      <w:r/>
    </w:p>
    <w:p>
      <w:pPr>
        <w:pStyle w:val="BodyText"/>
        <w:spacing w:line="277" w:lineRule="auto"/>
        <w:rPr/>
      </w:pPr>
      <w:r/>
    </w:p>
    <w:p>
      <w:pPr>
        <w:pStyle w:val="BodyText"/>
        <w:spacing w:line="278" w:lineRule="auto"/>
        <w:rPr/>
      </w:pPr>
      <w:r/>
    </w:p>
    <w:p>
      <w:pPr>
        <w:spacing w:before="104" w:line="224" w:lineRule="auto"/>
        <w:rPr>
          <w:rFonts w:ascii="SimHei" w:hAnsi="SimHei" w:eastAsia="SimHei" w:cs="SimHei"/>
          <w:sz w:val="32"/>
          <w:szCs w:val="32"/>
        </w:rPr>
      </w:pPr>
      <w:r>
        <w:rPr>
          <w:rFonts w:ascii="SimHei" w:hAnsi="SimHei" w:eastAsia="SimHei" w:cs="SimHei"/>
          <w:sz w:val="32"/>
          <w:szCs w:val="32"/>
          <w:b/>
          <w:bCs/>
          <w:spacing w:val="16"/>
        </w:rPr>
        <w:t>附件2</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2196" w:hanging="1810"/>
        <w:spacing w:before="253" w:line="293" w:lineRule="auto"/>
        <w:rPr>
          <w:rFonts w:ascii="SimSun" w:hAnsi="SimSun" w:eastAsia="SimSun" w:cs="SimSun"/>
          <w:sz w:val="78"/>
          <w:szCs w:val="78"/>
        </w:rPr>
      </w:pPr>
      <w:r>
        <w:rPr>
          <w:rFonts w:ascii="SimSun" w:hAnsi="SimSun" w:eastAsia="SimSun" w:cs="SimSun"/>
          <w:sz w:val="78"/>
          <w:szCs w:val="78"/>
          <w:b/>
          <w:bCs/>
          <w:spacing w:val="37"/>
        </w:rPr>
        <w:t>新疆维吾尔自治区新疆生产建设兵团</w:t>
      </w:r>
      <w:r>
        <w:rPr>
          <w:rFonts w:ascii="SimSun" w:hAnsi="SimSun" w:eastAsia="SimSun" w:cs="SimSun"/>
          <w:sz w:val="78"/>
          <w:szCs w:val="78"/>
          <w:spacing w:val="3"/>
        </w:rPr>
        <w:t xml:space="preserve"> </w:t>
      </w:r>
      <w:r>
        <w:rPr>
          <w:rFonts w:ascii="SimSun" w:hAnsi="SimSun" w:eastAsia="SimSun" w:cs="SimSun"/>
          <w:sz w:val="78"/>
          <w:szCs w:val="78"/>
          <w:b/>
          <w:bCs/>
          <w:spacing w:val="9"/>
        </w:rPr>
        <w:t>卫生健康行政处罚裁量基准</w:t>
      </w:r>
    </w:p>
    <w:p>
      <w:pPr>
        <w:pStyle w:val="BodyText"/>
        <w:spacing w:line="290" w:lineRule="auto"/>
        <w:rPr/>
      </w:pPr>
      <w:r/>
    </w:p>
    <w:p>
      <w:pPr>
        <w:pStyle w:val="BodyText"/>
        <w:spacing w:line="290" w:lineRule="auto"/>
        <w:rPr/>
      </w:pPr>
      <w:r/>
    </w:p>
    <w:p>
      <w:pPr>
        <w:pStyle w:val="BodyText"/>
        <w:spacing w:line="291" w:lineRule="auto"/>
        <w:rPr/>
      </w:pPr>
      <w:r/>
    </w:p>
    <w:p>
      <w:pPr>
        <w:ind w:left="5815"/>
        <w:spacing w:before="127" w:line="225" w:lineRule="auto"/>
        <w:rPr>
          <w:rFonts w:ascii="KaiTi" w:hAnsi="KaiTi" w:eastAsia="KaiTi" w:cs="KaiTi"/>
          <w:sz w:val="39"/>
          <w:szCs w:val="39"/>
        </w:rPr>
      </w:pPr>
      <w:r>
        <w:rPr>
          <w:rFonts w:ascii="KaiTi" w:hAnsi="KaiTi" w:eastAsia="KaiTi" w:cs="KaiTi"/>
          <w:sz w:val="39"/>
          <w:szCs w:val="39"/>
          <w:spacing w:val="28"/>
          <w:w w:val="118"/>
        </w:rPr>
        <w:t>2025年5月</w:t>
      </w:r>
    </w:p>
    <w:p>
      <w:pPr>
        <w:spacing w:line="225" w:lineRule="auto"/>
        <w:sectPr>
          <w:footerReference w:type="default" r:id="rId1"/>
          <w:pgSz w:w="16830" w:h="11900"/>
          <w:pgMar w:top="1011" w:right="1790" w:bottom="1176" w:left="1444" w:header="0" w:footer="862" w:gutter="0"/>
        </w:sectPr>
        <w:rPr>
          <w:rFonts w:ascii="KaiTi" w:hAnsi="KaiTi" w:eastAsia="KaiTi" w:cs="KaiTi"/>
          <w:sz w:val="39"/>
          <w:szCs w:val="39"/>
        </w:rPr>
      </w:pPr>
    </w:p>
    <w:p>
      <w:pPr>
        <w:pStyle w:val="BodyText"/>
        <w:spacing w:line="242" w:lineRule="auto"/>
        <w:rPr/>
      </w:pPr>
      <w:r/>
    </w:p>
    <w:p>
      <w:pPr>
        <w:pStyle w:val="BodyText"/>
        <w:spacing w:line="242" w:lineRule="auto"/>
        <w:rPr/>
      </w:pPr>
      <w:r/>
    </w:p>
    <w:p>
      <w:pPr>
        <w:pStyle w:val="BodyText"/>
        <w:spacing w:line="243"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ind w:left="6779"/>
            <w:spacing w:before="71" w:line="222" w:lineRule="auto"/>
            <w:rPr>
              <w:rFonts w:ascii="SimHei" w:hAnsi="SimHei" w:eastAsia="SimHei" w:cs="SimHei"/>
              <w:sz w:val="22"/>
              <w:szCs w:val="22"/>
            </w:rPr>
          </w:pPr>
          <w:r>
            <w:rPr>
              <w:rFonts w:ascii="SimHei" w:hAnsi="SimHei" w:eastAsia="SimHei" w:cs="SimHei"/>
              <w:sz w:val="22"/>
              <w:szCs w:val="22"/>
              <w:b/>
              <w:bCs/>
              <w:spacing w:val="-12"/>
            </w:rPr>
            <w:t>目录</w:t>
          </w:r>
        </w:p>
        <w:p>
          <w:pPr>
            <w:spacing w:before="144" w:line="221" w:lineRule="auto"/>
            <w:tabs>
              <w:tab w:val="right" w:leader="dot" w:pos="13948"/>
            </w:tabs>
            <w:rPr>
              <w:rFonts w:ascii="Times New Roman" w:hAnsi="Times New Roman" w:eastAsia="Times New Roman" w:cs="Times New Roman"/>
              <w:sz w:val="22"/>
              <w:szCs w:val="22"/>
            </w:rPr>
          </w:pPr>
          <w:hyperlink w:history="true" w:anchor="bookmark1">
            <w:r>
              <w:rPr>
                <w:rFonts w:ascii="SimHei" w:hAnsi="SimHei" w:eastAsia="SimHei" w:cs="SimHei"/>
                <w:sz w:val="22"/>
                <w:szCs w:val="22"/>
                <w:b/>
                <w:bCs/>
                <w:spacing w:val="-20"/>
              </w:rPr>
              <w:t>一、传染病防治类</w:t>
            </w:r>
            <w:r>
              <w:rPr>
                <w:rFonts w:ascii="SimHei" w:hAnsi="SimHei" w:eastAsia="SimHei" w:cs="SimHei"/>
                <w:sz w:val="22"/>
                <w:szCs w:val="22"/>
                <w:spacing w:val="-93"/>
              </w:rPr>
              <w:t xml:space="preserve"> </w:t>
            </w:r>
            <w:r>
              <w:rPr>
                <w:rFonts w:ascii="SimHei" w:hAnsi="SimHei" w:eastAsia="SimHei" w:cs="SimHei"/>
                <w:sz w:val="22"/>
                <w:szCs w:val="22"/>
              </w:rPr>
              <w:tab/>
            </w:r>
            <w:r>
              <w:rPr>
                <w:rFonts w:ascii="Times New Roman" w:hAnsi="Times New Roman" w:eastAsia="Times New Roman" w:cs="Times New Roman"/>
                <w:sz w:val="22"/>
                <w:szCs w:val="22"/>
                <w:spacing w:val="8"/>
              </w:rPr>
              <w:t>73</w:t>
            </w:r>
          </w:hyperlink>
        </w:p>
        <w:p>
          <w:pPr>
            <w:ind w:left="526"/>
            <w:spacing w:before="148" w:line="224" w:lineRule="auto"/>
            <w:tabs>
              <w:tab w:val="right" w:leader="dot" w:pos="13818"/>
            </w:tabs>
            <w:rPr>
              <w:rFonts w:ascii="Times New Roman" w:hAnsi="Times New Roman" w:eastAsia="Times New Roman" w:cs="Times New Roman"/>
              <w:sz w:val="22"/>
              <w:szCs w:val="22"/>
            </w:rPr>
          </w:pPr>
          <w:hyperlink w:history="true" w:anchor="bookmark2">
            <w:r>
              <w:rPr>
                <w:rFonts w:ascii="KaiTi" w:hAnsi="KaiTi" w:eastAsia="KaiTi" w:cs="KaiTi"/>
                <w:sz w:val="22"/>
                <w:szCs w:val="22"/>
                <w:spacing w:val="-6"/>
              </w:rPr>
              <w:t>(</w:t>
            </w:r>
            <w:r>
              <w:rPr>
                <w:rFonts w:ascii="KaiTi" w:hAnsi="KaiTi" w:eastAsia="KaiTi" w:cs="KaiTi"/>
                <w:sz w:val="22"/>
                <w:szCs w:val="22"/>
                <w:spacing w:val="-21"/>
              </w:rPr>
              <w:t xml:space="preserve"> </w:t>
            </w:r>
            <w:r>
              <w:rPr>
                <w:rFonts w:ascii="KaiTi" w:hAnsi="KaiTi" w:eastAsia="KaiTi" w:cs="KaiTi"/>
                <w:sz w:val="22"/>
                <w:szCs w:val="22"/>
                <w:spacing w:val="-6"/>
              </w:rPr>
              <w:t>一</w:t>
            </w:r>
            <w:r>
              <w:rPr>
                <w:rFonts w:ascii="KaiTi" w:hAnsi="KaiTi" w:eastAsia="KaiTi" w:cs="KaiTi"/>
                <w:sz w:val="22"/>
                <w:szCs w:val="22"/>
                <w:spacing w:val="-28"/>
              </w:rPr>
              <w:t xml:space="preserve"> </w:t>
            </w:r>
            <w:r>
              <w:rPr>
                <w:rFonts w:ascii="KaiTi" w:hAnsi="KaiTi" w:eastAsia="KaiTi" w:cs="KaiTi"/>
                <w:sz w:val="22"/>
                <w:szCs w:val="22"/>
                <w:spacing w:val="-6"/>
              </w:rPr>
              <w:t>)《中华人民共和国食品安全法》</w:t>
            </w:r>
            <w:r>
              <w:rPr>
                <w:rFonts w:ascii="KaiTi" w:hAnsi="KaiTi" w:eastAsia="KaiTi" w:cs="KaiTi"/>
                <w:sz w:val="22"/>
                <w:szCs w:val="22"/>
                <w:color w:val="402030"/>
              </w:rPr>
              <w:tab/>
            </w:r>
            <w:r>
              <w:rPr>
                <w:rFonts w:ascii="KaiTi" w:hAnsi="KaiTi" w:eastAsia="KaiTi" w:cs="KaiTi"/>
                <w:sz w:val="22"/>
                <w:szCs w:val="22"/>
                <w:spacing w:val="-55"/>
              </w:rPr>
              <w:t xml:space="preserve"> </w:t>
            </w:r>
            <w:r>
              <w:rPr>
                <w:rFonts w:ascii="Times New Roman" w:hAnsi="Times New Roman" w:eastAsia="Times New Roman" w:cs="Times New Roman"/>
                <w:sz w:val="22"/>
                <w:szCs w:val="22"/>
                <w:spacing w:val="-3"/>
              </w:rPr>
              <w:t>73</w:t>
            </w:r>
          </w:hyperlink>
        </w:p>
        <w:p>
          <w:pPr>
            <w:pStyle w:val="BodyText"/>
            <w:spacing w:line="331" w:lineRule="auto"/>
            <w:rPr/>
          </w:pPr>
          <w:r/>
        </w:p>
        <w:p>
          <w:pPr>
            <w:ind w:left="876"/>
            <w:spacing w:before="71" w:line="213" w:lineRule="auto"/>
            <w:rPr>
              <w:rFonts w:ascii="SimHei" w:hAnsi="SimHei" w:eastAsia="SimHei" w:cs="SimHei"/>
              <w:sz w:val="22"/>
              <w:szCs w:val="22"/>
            </w:rPr>
          </w:pPr>
          <w:hyperlink w:history="true" w:anchor="bookmark3">
            <w:r>
              <w:rPr>
                <w:rFonts w:ascii="SimHei" w:hAnsi="SimHei" w:eastAsia="SimHei" w:cs="SimHei"/>
                <w:sz w:val="22"/>
                <w:szCs w:val="22"/>
                <w:spacing w:val="2"/>
              </w:rPr>
              <w:t>第一条</w:t>
            </w:r>
            <w:r>
              <w:rPr>
                <w:rFonts w:ascii="SimHei" w:hAnsi="SimHei" w:eastAsia="SimHei" w:cs="SimHei"/>
                <w:sz w:val="22"/>
                <w:szCs w:val="22"/>
                <w:spacing w:val="2"/>
              </w:rPr>
              <w:t xml:space="preserve"> </w:t>
            </w:r>
            <w:r>
              <w:rPr>
                <w:rFonts w:ascii="SimHei" w:hAnsi="SimHei" w:eastAsia="SimHei" w:cs="SimHei"/>
                <w:sz w:val="22"/>
                <w:szCs w:val="22"/>
                <w:spacing w:val="2"/>
              </w:rPr>
              <w:t>餐具、饮具集中消毒服务单位违反本法规定用水，使用洗涤剂、消毒剂，或者出厂的餐具、饮具未按规定检验合格并随附消毒</w:t>
            </w:r>
          </w:hyperlink>
        </w:p>
        <w:p>
          <w:pPr>
            <w:pStyle w:val="BodyText"/>
            <w:spacing w:line="292" w:lineRule="auto"/>
            <w:rPr/>
          </w:pPr>
          <w:r/>
        </w:p>
        <w:p>
          <w:pPr>
            <w:ind w:left="866"/>
            <w:spacing w:before="72" w:line="214" w:lineRule="auto"/>
            <w:tabs>
              <w:tab w:val="right" w:leader="dot" w:pos="13860"/>
            </w:tabs>
            <w:rPr>
              <w:rFonts w:ascii="SimHei" w:hAnsi="SimHei" w:eastAsia="SimHei" w:cs="SimHei"/>
              <w:sz w:val="14"/>
              <w:szCs w:val="14"/>
            </w:rPr>
          </w:pPr>
          <w:hyperlink w:history="true" w:anchor="bookmark4">
            <w:r>
              <w:rPr>
                <w:rFonts w:ascii="SimHei" w:hAnsi="SimHei" w:eastAsia="SimHei" w:cs="SimHei"/>
                <w:sz w:val="22"/>
                <w:szCs w:val="22"/>
                <w:spacing w:val="1"/>
              </w:rPr>
              <w:t>合格证明，或者未按规定在独立包装上标注</w:t>
            </w:r>
            <w:r>
              <w:rPr>
                <w:rFonts w:ascii="SimHei" w:hAnsi="SimHei" w:eastAsia="SimHei" w:cs="SimHei"/>
                <w:sz w:val="22"/>
                <w:szCs w:val="22"/>
              </w:rPr>
              <w:t>相关内容的</w:t>
            </w:r>
            <w:r>
              <w:rPr>
                <w:rFonts w:ascii="SimHei" w:hAnsi="SimHei" w:eastAsia="SimHei" w:cs="SimHei"/>
                <w:sz w:val="22"/>
                <w:szCs w:val="22"/>
              </w:rPr>
              <w:t xml:space="preserve"> </w:t>
            </w:r>
            <w:r>
              <w:rPr>
                <w:rFonts w:ascii="SimHei" w:hAnsi="SimHei" w:eastAsia="SimHei" w:cs="SimHei"/>
                <w:sz w:val="22"/>
                <w:szCs w:val="22"/>
              </w:rPr>
              <w:tab/>
            </w:r>
            <w:r>
              <w:rPr>
                <w:rFonts w:ascii="SimHei" w:hAnsi="SimHei" w:eastAsia="SimHei" w:cs="SimHei"/>
                <w:sz w:val="22"/>
                <w:szCs w:val="22"/>
                <w:spacing w:val="3"/>
              </w:rPr>
              <w:t xml:space="preserve"> </w:t>
            </w:r>
            <w:r>
              <w:rPr>
                <w:rFonts w:ascii="SimHei" w:hAnsi="SimHei" w:eastAsia="SimHei" w:cs="SimHei"/>
                <w:sz w:val="14"/>
                <w:szCs w:val="14"/>
                <w:spacing w:val="-2"/>
                <w:position w:val="-1"/>
              </w:rPr>
              <w:t>73</w:t>
            </w:r>
          </w:hyperlink>
        </w:p>
        <w:p>
          <w:pPr>
            <w:pStyle w:val="BodyText"/>
            <w:spacing w:line="255" w:lineRule="auto"/>
            <w:rPr/>
          </w:pPr>
          <w:r/>
        </w:p>
        <w:p>
          <w:pPr>
            <w:pStyle w:val="BodyText"/>
            <w:spacing w:line="255" w:lineRule="auto"/>
            <w:rPr/>
          </w:pPr>
          <w:r/>
        </w:p>
        <w:p>
          <w:pPr>
            <w:ind w:left="866"/>
            <w:spacing w:before="72" w:line="221" w:lineRule="auto"/>
            <w:tabs>
              <w:tab w:val="right" w:leader="dot" w:pos="13848"/>
            </w:tabs>
            <w:rPr>
              <w:rFonts w:ascii="Times New Roman" w:hAnsi="Times New Roman" w:eastAsia="Times New Roman" w:cs="Times New Roman"/>
              <w:sz w:val="22"/>
              <w:szCs w:val="22"/>
            </w:rPr>
          </w:pPr>
          <w:hyperlink w:history="true" w:anchor="bookmark5">
            <w:r>
              <w:rPr>
                <w:rFonts w:ascii="SimHei" w:hAnsi="SimHei" w:eastAsia="SimHei" w:cs="SimHei"/>
                <w:sz w:val="22"/>
                <w:szCs w:val="22"/>
                <w:spacing w:val="4"/>
              </w:rPr>
              <w:t>第二条</w:t>
            </w:r>
            <w:r>
              <w:rPr>
                <w:rFonts w:ascii="SimHei" w:hAnsi="SimHei" w:eastAsia="SimHei" w:cs="SimHei"/>
                <w:sz w:val="22"/>
                <w:szCs w:val="22"/>
                <w:spacing w:val="4"/>
              </w:rPr>
              <w:t xml:space="preserve"> </w:t>
            </w:r>
            <w:r>
              <w:rPr>
                <w:rFonts w:ascii="SimHei" w:hAnsi="SimHei" w:eastAsia="SimHei" w:cs="SimHei"/>
                <w:sz w:val="22"/>
                <w:szCs w:val="22"/>
                <w:spacing w:val="4"/>
              </w:rPr>
              <w:t>餐具、饮具集中消毒服务单位拒绝、阻挠、干涉卫生健康行政部门及其工作人员依法开展监督检查的</w:t>
            </w:r>
            <w:r>
              <w:rPr>
                <w:rFonts w:ascii="SimHei" w:hAnsi="SimHei" w:eastAsia="SimHei" w:cs="SimHei"/>
                <w:sz w:val="22"/>
                <w:szCs w:val="22"/>
                <w:spacing w:val="-94"/>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74</w:t>
            </w:r>
          </w:hyperlink>
        </w:p>
        <w:p>
          <w:pPr>
            <w:pStyle w:val="BodyText"/>
            <w:spacing w:line="299" w:lineRule="auto"/>
            <w:rPr/>
          </w:pPr>
          <w:r/>
        </w:p>
        <w:p>
          <w:pPr>
            <w:ind w:left="526"/>
            <w:spacing w:before="72" w:line="330" w:lineRule="exact"/>
            <w:tabs>
              <w:tab w:val="right" w:leader="dot" w:pos="13840"/>
            </w:tabs>
            <w:rPr>
              <w:rFonts w:ascii="SimHei" w:hAnsi="SimHei" w:eastAsia="SimHei" w:cs="SimHei"/>
              <w:sz w:val="14"/>
              <w:szCs w:val="14"/>
            </w:rPr>
          </w:pPr>
          <w:hyperlink w:history="true" w:anchor="bookmark6">
            <w:r>
              <w:rPr>
                <w:rFonts w:ascii="KaiTi" w:hAnsi="KaiTi" w:eastAsia="KaiTi" w:cs="KaiTi"/>
                <w:sz w:val="22"/>
                <w:szCs w:val="22"/>
                <w:spacing w:val="-5"/>
                <w:position w:val="4"/>
              </w:rPr>
              <w:t>(</w:t>
            </w:r>
            <w:r>
              <w:rPr>
                <w:rFonts w:ascii="KaiTi" w:hAnsi="KaiTi" w:eastAsia="KaiTi" w:cs="KaiTi"/>
                <w:sz w:val="22"/>
                <w:szCs w:val="22"/>
                <w:spacing w:val="-15"/>
                <w:position w:val="4"/>
              </w:rPr>
              <w:t xml:space="preserve"> </w:t>
            </w:r>
            <w:r>
              <w:rPr>
                <w:rFonts w:ascii="KaiTi" w:hAnsi="KaiTi" w:eastAsia="KaiTi" w:cs="KaiTi"/>
                <w:sz w:val="22"/>
                <w:szCs w:val="22"/>
                <w:spacing w:val="-5"/>
                <w:position w:val="4"/>
              </w:rPr>
              <w:t>二</w:t>
            </w:r>
            <w:r>
              <w:rPr>
                <w:rFonts w:ascii="KaiTi" w:hAnsi="KaiTi" w:eastAsia="KaiTi" w:cs="KaiTi"/>
                <w:sz w:val="22"/>
                <w:szCs w:val="22"/>
                <w:spacing w:val="-29"/>
                <w:position w:val="4"/>
              </w:rPr>
              <w:t xml:space="preserve"> </w:t>
            </w:r>
            <w:r>
              <w:rPr>
                <w:rFonts w:ascii="KaiTi" w:hAnsi="KaiTi" w:eastAsia="KaiTi" w:cs="KaiTi"/>
                <w:sz w:val="22"/>
                <w:szCs w:val="22"/>
                <w:spacing w:val="-5"/>
                <w:position w:val="4"/>
              </w:rPr>
              <w:t>)《医疗器械监督管理条例》</w:t>
            </w:r>
            <w:r>
              <w:rPr>
                <w:rFonts w:ascii="KaiTi" w:hAnsi="KaiTi" w:eastAsia="KaiTi" w:cs="KaiTi"/>
                <w:sz w:val="22"/>
                <w:szCs w:val="22"/>
                <w:spacing w:val="-23"/>
                <w:position w:val="4"/>
              </w:rPr>
              <w:t xml:space="preserve"> </w:t>
            </w:r>
            <w:r>
              <w:rPr>
                <w:rFonts w:ascii="KaiTi" w:hAnsi="KaiTi" w:eastAsia="KaiTi" w:cs="KaiTi"/>
                <w:sz w:val="22"/>
                <w:szCs w:val="22"/>
                <w:position w:val="2"/>
              </w:rPr>
              <w:tab/>
            </w:r>
            <w:r>
              <w:rPr>
                <w:rFonts w:ascii="KaiTi" w:hAnsi="KaiTi" w:eastAsia="KaiTi" w:cs="KaiTi"/>
                <w:sz w:val="22"/>
                <w:szCs w:val="22"/>
                <w:spacing w:val="-17"/>
                <w:position w:val="4"/>
              </w:rPr>
              <w:t xml:space="preserve"> </w:t>
            </w:r>
            <w:r>
              <w:rPr>
                <w:rFonts w:ascii="SimHei" w:hAnsi="SimHei" w:eastAsia="SimHei" w:cs="SimHei"/>
                <w:sz w:val="14"/>
                <w:szCs w:val="14"/>
                <w:spacing w:val="-2"/>
                <w:position w:val="-2"/>
              </w:rPr>
              <w:t>75</w:t>
            </w:r>
          </w:hyperlink>
        </w:p>
        <w:p>
          <w:pPr>
            <w:pStyle w:val="BodyText"/>
            <w:spacing w:line="251" w:lineRule="auto"/>
            <w:rPr/>
          </w:pPr>
          <w:r/>
        </w:p>
        <w:p>
          <w:pPr>
            <w:ind w:left="866"/>
            <w:spacing w:before="72" w:line="213" w:lineRule="auto"/>
            <w:tabs>
              <w:tab w:val="right" w:leader="dot" w:pos="13818"/>
            </w:tabs>
            <w:rPr>
              <w:rFonts w:ascii="Times New Roman" w:hAnsi="Times New Roman" w:eastAsia="Times New Roman" w:cs="Times New Roman"/>
              <w:sz w:val="22"/>
              <w:szCs w:val="22"/>
            </w:rPr>
          </w:pPr>
          <w:hyperlink w:history="true" w:anchor="bookmark7">
            <w:r>
              <w:rPr>
                <w:rFonts w:ascii="SimHei" w:hAnsi="SimHei" w:eastAsia="SimHei" w:cs="SimHei"/>
                <w:sz w:val="22"/>
                <w:szCs w:val="22"/>
                <w:spacing w:val="16"/>
              </w:rPr>
              <w:t>第三条</w:t>
            </w:r>
            <w:r>
              <w:rPr>
                <w:rFonts w:ascii="SimHei" w:hAnsi="SimHei" w:eastAsia="SimHei" w:cs="SimHei"/>
                <w:sz w:val="22"/>
                <w:szCs w:val="22"/>
                <w:spacing w:val="16"/>
              </w:rPr>
              <w:t xml:space="preserve"> </w:t>
            </w:r>
            <w:r>
              <w:rPr>
                <w:rFonts w:ascii="SimHei" w:hAnsi="SimHei" w:eastAsia="SimHei" w:cs="SimHei"/>
                <w:sz w:val="22"/>
                <w:szCs w:val="22"/>
                <w:spacing w:val="16"/>
              </w:rPr>
              <w:t>对重复使用的医疗器械，医疗器械使用单位</w:t>
            </w:r>
            <w:r>
              <w:rPr>
                <w:rFonts w:ascii="SimHei" w:hAnsi="SimHei" w:eastAsia="SimHei" w:cs="SimHei"/>
                <w:sz w:val="22"/>
                <w:szCs w:val="22"/>
                <w:spacing w:val="15"/>
              </w:rPr>
              <w:t>未按照消毒和管理的规定进行处理的</w:t>
            </w:r>
            <w:r>
              <w:rPr>
                <w:rFonts w:ascii="SimHei" w:hAnsi="SimHei" w:eastAsia="SimHei" w:cs="SimHei"/>
                <w:sz w:val="22"/>
                <w:szCs w:val="22"/>
                <w:spacing w:val="-99"/>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75</w:t>
            </w:r>
          </w:hyperlink>
        </w:p>
        <w:p>
          <w:pPr>
            <w:pStyle w:val="BodyText"/>
            <w:spacing w:line="250" w:lineRule="auto"/>
            <w:rPr/>
          </w:pPr>
          <w:r/>
        </w:p>
        <w:p>
          <w:pPr>
            <w:pStyle w:val="BodyText"/>
            <w:spacing w:line="251" w:lineRule="auto"/>
            <w:rPr/>
          </w:pPr>
          <w:r/>
        </w:p>
        <w:p>
          <w:pPr>
            <w:ind w:left="866"/>
            <w:spacing w:before="72" w:line="213" w:lineRule="auto"/>
            <w:tabs>
              <w:tab w:val="right" w:leader="dot" w:pos="13848"/>
            </w:tabs>
            <w:rPr>
              <w:rFonts w:ascii="Times New Roman" w:hAnsi="Times New Roman" w:eastAsia="Times New Roman" w:cs="Times New Roman"/>
              <w:sz w:val="22"/>
              <w:szCs w:val="22"/>
            </w:rPr>
          </w:pPr>
          <w:hyperlink w:history="true" w:anchor="bookmark8">
            <w:r>
              <w:rPr>
                <w:rFonts w:ascii="SimHei" w:hAnsi="SimHei" w:eastAsia="SimHei" w:cs="SimHei"/>
                <w:sz w:val="22"/>
                <w:szCs w:val="22"/>
                <w:spacing w:val="16"/>
              </w:rPr>
              <w:t>第四条</w:t>
            </w:r>
            <w:r>
              <w:rPr>
                <w:rFonts w:ascii="SimHei" w:hAnsi="SimHei" w:eastAsia="SimHei" w:cs="SimHei"/>
                <w:sz w:val="22"/>
                <w:szCs w:val="22"/>
                <w:spacing w:val="44"/>
              </w:rPr>
              <w:t xml:space="preserve"> </w:t>
            </w:r>
            <w:r>
              <w:rPr>
                <w:rFonts w:ascii="SimHei" w:hAnsi="SimHei" w:eastAsia="SimHei" w:cs="SimHei"/>
                <w:sz w:val="22"/>
                <w:szCs w:val="22"/>
                <w:spacing w:val="16"/>
              </w:rPr>
              <w:t>医疗器械使用单位重复使用一次性使用的医疗</w:t>
            </w:r>
            <w:r>
              <w:rPr>
                <w:rFonts w:ascii="SimHei" w:hAnsi="SimHei" w:eastAsia="SimHei" w:cs="SimHei"/>
                <w:sz w:val="22"/>
                <w:szCs w:val="22"/>
                <w:spacing w:val="15"/>
              </w:rPr>
              <w:t>器械，或者未按照规定销毁使用过的一次性使用的医疗器械的</w:t>
            </w:r>
            <w:r>
              <w:rPr>
                <w:rFonts w:ascii="SimHei" w:hAnsi="SimHei" w:eastAsia="SimHei" w:cs="SimHei"/>
                <w:sz w:val="22"/>
                <w:szCs w:val="22"/>
                <w:spacing w:val="-98"/>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77</w:t>
            </w:r>
          </w:hyperlink>
        </w:p>
        <w:p>
          <w:pPr>
            <w:pStyle w:val="BodyText"/>
            <w:spacing w:line="311" w:lineRule="auto"/>
            <w:rPr/>
          </w:pPr>
          <w:r/>
        </w:p>
        <w:p>
          <w:pPr>
            <w:ind w:left="526"/>
            <w:spacing w:before="71" w:line="224" w:lineRule="auto"/>
            <w:tabs>
              <w:tab w:val="right" w:leader="dot" w:pos="13818"/>
            </w:tabs>
            <w:rPr>
              <w:rFonts w:ascii="Times New Roman" w:hAnsi="Times New Roman" w:eastAsia="Times New Roman" w:cs="Times New Roman"/>
              <w:sz w:val="22"/>
              <w:szCs w:val="22"/>
            </w:rPr>
          </w:pPr>
          <w:hyperlink w:history="true" w:anchor="bookmark9">
            <w:r>
              <w:rPr>
                <w:rFonts w:ascii="KaiTi" w:hAnsi="KaiTi" w:eastAsia="KaiTi" w:cs="KaiTi"/>
                <w:sz w:val="22"/>
                <w:szCs w:val="22"/>
                <w:spacing w:val="-6"/>
              </w:rPr>
              <w:t>(</w:t>
            </w:r>
            <w:r>
              <w:rPr>
                <w:rFonts w:ascii="KaiTi" w:hAnsi="KaiTi" w:eastAsia="KaiTi" w:cs="KaiTi"/>
                <w:sz w:val="22"/>
                <w:szCs w:val="22"/>
                <w:spacing w:val="-15"/>
              </w:rPr>
              <w:t xml:space="preserve"> </w:t>
            </w:r>
            <w:r>
              <w:rPr>
                <w:rFonts w:ascii="KaiTi" w:hAnsi="KaiTi" w:eastAsia="KaiTi" w:cs="KaiTi"/>
                <w:sz w:val="22"/>
                <w:szCs w:val="22"/>
                <w:spacing w:val="-6"/>
              </w:rPr>
              <w:t>三</w:t>
            </w:r>
            <w:r>
              <w:rPr>
                <w:rFonts w:ascii="KaiTi" w:hAnsi="KaiTi" w:eastAsia="KaiTi" w:cs="KaiTi"/>
                <w:sz w:val="22"/>
                <w:szCs w:val="22"/>
                <w:spacing w:val="-29"/>
              </w:rPr>
              <w:t xml:space="preserve"> </w:t>
            </w:r>
            <w:r>
              <w:rPr>
                <w:rFonts w:ascii="KaiTi" w:hAnsi="KaiTi" w:eastAsia="KaiTi" w:cs="KaiTi"/>
                <w:sz w:val="22"/>
                <w:szCs w:val="22"/>
                <w:spacing w:val="-6"/>
              </w:rPr>
              <w:t>)《中华人民共和国传染病防治法》</w:t>
            </w:r>
            <w:r>
              <w:rPr>
                <w:rFonts w:ascii="KaiTi" w:hAnsi="KaiTi" w:eastAsia="KaiTi" w:cs="KaiTi"/>
                <w:sz w:val="22"/>
                <w:szCs w:val="22"/>
              </w:rPr>
              <w:tab/>
            </w:r>
            <w:r>
              <w:rPr>
                <w:rFonts w:ascii="KaiTi" w:hAnsi="KaiTi" w:eastAsia="KaiTi" w:cs="KaiTi"/>
                <w:sz w:val="22"/>
                <w:szCs w:val="22"/>
                <w:spacing w:val="-55"/>
              </w:rPr>
              <w:t xml:space="preserve"> </w:t>
            </w:r>
            <w:r>
              <w:rPr>
                <w:rFonts w:ascii="Times New Roman" w:hAnsi="Times New Roman" w:eastAsia="Times New Roman" w:cs="Times New Roman"/>
                <w:sz w:val="22"/>
                <w:szCs w:val="22"/>
                <w:spacing w:val="-3"/>
              </w:rPr>
              <w:t>78</w:t>
            </w:r>
          </w:hyperlink>
        </w:p>
        <w:p>
          <w:pPr>
            <w:pStyle w:val="BodyText"/>
            <w:spacing w:line="340" w:lineRule="auto"/>
            <w:rPr/>
          </w:pPr>
          <w:r/>
        </w:p>
        <w:p>
          <w:pPr>
            <w:ind w:left="866"/>
            <w:spacing w:before="72" w:line="221" w:lineRule="auto"/>
            <w:tabs>
              <w:tab w:val="right" w:leader="dot" w:pos="13938"/>
            </w:tabs>
            <w:rPr>
              <w:rFonts w:ascii="Times New Roman" w:hAnsi="Times New Roman" w:eastAsia="Times New Roman" w:cs="Times New Roman"/>
              <w:sz w:val="22"/>
              <w:szCs w:val="22"/>
            </w:rPr>
          </w:pPr>
          <w:hyperlink w:history="true" w:anchor="bookmark10">
            <w:r>
              <w:rPr>
                <w:rFonts w:ascii="SimHei" w:hAnsi="SimHei" w:eastAsia="SimHei" w:cs="SimHei"/>
                <w:sz w:val="22"/>
                <w:szCs w:val="22"/>
                <w:spacing w:val="2"/>
              </w:rPr>
              <w:t>第五条</w:t>
            </w:r>
            <w:r>
              <w:rPr>
                <w:rFonts w:ascii="SimHei" w:hAnsi="SimHei" w:eastAsia="SimHei" w:cs="SimHei"/>
                <w:sz w:val="22"/>
                <w:szCs w:val="22"/>
                <w:spacing w:val="2"/>
              </w:rPr>
              <w:t xml:space="preserve"> </w:t>
            </w:r>
            <w:r>
              <w:rPr>
                <w:rFonts w:ascii="SimHei" w:hAnsi="SimHei" w:eastAsia="SimHei" w:cs="SimHei"/>
                <w:sz w:val="22"/>
                <w:szCs w:val="22"/>
                <w:spacing w:val="2"/>
              </w:rPr>
              <w:t>疾病预防控制机构未依法履行传染病监测职责的</w:t>
            </w:r>
            <w:r>
              <w:rPr>
                <w:rFonts w:ascii="SimHei" w:hAnsi="SimHei" w:eastAsia="SimHei" w:cs="SimHei"/>
                <w:sz w:val="22"/>
                <w:szCs w:val="22"/>
                <w:spacing w:val="-92"/>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78</w:t>
            </w:r>
          </w:hyperlink>
        </w:p>
        <w:p>
          <w:pPr>
            <w:pStyle w:val="BodyText"/>
            <w:spacing w:line="469" w:lineRule="auto"/>
            <w:rPr/>
          </w:pPr>
          <w:r/>
        </w:p>
        <w:p>
          <w:pPr>
            <w:ind w:left="869"/>
            <w:spacing w:before="73" w:line="213" w:lineRule="auto"/>
            <w:tabs>
              <w:tab w:val="right" w:leader="dot" w:pos="13809"/>
            </w:tabs>
            <w:rPr>
              <w:rFonts w:ascii="Times New Roman" w:hAnsi="Times New Roman" w:eastAsia="Times New Roman" w:cs="Times New Roman"/>
              <w:sz w:val="22"/>
              <w:szCs w:val="22"/>
            </w:rPr>
          </w:pPr>
          <w:hyperlink w:history="true" w:anchor="bookmark11">
            <w:r>
              <w:rPr>
                <w:rFonts w:ascii="SimHei" w:hAnsi="SimHei" w:eastAsia="SimHei" w:cs="SimHei"/>
                <w:sz w:val="22"/>
                <w:szCs w:val="22"/>
                <w:b/>
                <w:bCs/>
                <w:spacing w:val="-3"/>
              </w:rPr>
              <w:t>第六条</w:t>
            </w:r>
            <w:r>
              <w:rPr>
                <w:rFonts w:ascii="SimHei" w:hAnsi="SimHei" w:eastAsia="SimHei" w:cs="SimHei"/>
                <w:sz w:val="22"/>
                <w:szCs w:val="22"/>
                <w:spacing w:val="-3"/>
              </w:rPr>
              <w:t xml:space="preserve"> </w:t>
            </w:r>
            <w:r>
              <w:rPr>
                <w:rFonts w:ascii="SimHei" w:hAnsi="SimHei" w:eastAsia="SimHei" w:cs="SimHei"/>
                <w:sz w:val="22"/>
                <w:szCs w:val="22"/>
                <w:b/>
                <w:bCs/>
                <w:spacing w:val="-3"/>
              </w:rPr>
              <w:t>疾病预防控制机构未依法履行传染病疫情报告、通报职责，或者隐瞒、谎报、缓报传染病疫情的</w:t>
            </w:r>
            <w:r>
              <w:rPr>
                <w:rFonts w:ascii="SimHei" w:hAnsi="SimHei" w:eastAsia="SimHei" w:cs="SimHei"/>
                <w:sz w:val="22"/>
                <w:szCs w:val="22"/>
                <w:spacing w:val="-81"/>
              </w:rPr>
              <w:t xml:space="preserve"> </w:t>
            </w:r>
            <w:r>
              <w:rPr>
                <w:rFonts w:ascii="SimHei" w:hAnsi="SimHei" w:eastAsia="SimHei" w:cs="SimHei"/>
                <w:sz w:val="22"/>
                <w:szCs w:val="22"/>
              </w:rPr>
              <w:tab/>
            </w:r>
            <w:r>
              <w:rPr>
                <w:rFonts w:ascii="SimHei" w:hAnsi="SimHei" w:eastAsia="SimHei" w:cs="SimHei"/>
                <w:sz w:val="22"/>
                <w:szCs w:val="22"/>
                <w:spacing w:val="-12"/>
              </w:rPr>
              <w:t xml:space="preserve"> </w:t>
            </w:r>
            <w:r>
              <w:rPr>
                <w:rFonts w:ascii="Times New Roman" w:hAnsi="Times New Roman" w:eastAsia="Times New Roman" w:cs="Times New Roman"/>
                <w:sz w:val="22"/>
                <w:szCs w:val="22"/>
                <w:b/>
                <w:bCs/>
                <w:spacing w:val="-2"/>
              </w:rPr>
              <w:t>79</w:t>
            </w:r>
          </w:hyperlink>
        </w:p>
      </w:sdtContent>
    </w:sdt>
    <w:p>
      <w:pPr>
        <w:spacing w:line="213" w:lineRule="auto"/>
        <w:sectPr>
          <w:footerReference w:type="default" r:id="rId2"/>
          <w:pgSz w:w="16830" w:h="11900"/>
          <w:pgMar w:top="1011" w:right="1448" w:bottom="1124" w:left="1433" w:header="0" w:footer="763" w:gutter="0"/>
        </w:sectPr>
        <w:rPr>
          <w:rFonts w:ascii="Times New Roman" w:hAnsi="Times New Roman" w:eastAsia="Times New Roman" w:cs="Times New Roman"/>
          <w:sz w:val="22"/>
          <w:szCs w:val="22"/>
        </w:rPr>
      </w:pPr>
    </w:p>
    <w:p>
      <w:pPr>
        <w:pStyle w:val="BodyText"/>
        <w:spacing w:line="307" w:lineRule="auto"/>
        <w:rPr/>
      </w:pPr>
      <w:r/>
    </w:p>
    <w:p>
      <w:pPr>
        <w:pStyle w:val="BodyText"/>
        <w:spacing w:line="307" w:lineRule="auto"/>
        <w:rPr/>
      </w:pPr>
      <w:r/>
    </w:p>
    <w:p>
      <w:pPr>
        <w:pStyle w:val="BodyText"/>
        <w:spacing w:line="308"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spacing w:before="68" w:line="213" w:lineRule="auto"/>
            <w:tabs>
              <w:tab w:val="right" w:leader="dot" w:pos="12916"/>
            </w:tabs>
            <w:rPr>
              <w:rFonts w:ascii="Times New Roman" w:hAnsi="Times New Roman" w:eastAsia="Times New Roman" w:cs="Times New Roman"/>
              <w:sz w:val="21"/>
              <w:szCs w:val="21"/>
            </w:rPr>
          </w:pPr>
          <w:hyperlink w:history="true" w:anchor="bookmark12">
            <w:r>
              <w:rPr>
                <w:rFonts w:ascii="SimHei" w:hAnsi="SimHei" w:eastAsia="SimHei" w:cs="SimHei"/>
                <w:sz w:val="21"/>
                <w:szCs w:val="21"/>
                <w:spacing w:val="9"/>
              </w:rPr>
              <w:t>第七条</w:t>
            </w:r>
            <w:r>
              <w:rPr>
                <w:rFonts w:ascii="SimHei" w:hAnsi="SimHei" w:eastAsia="SimHei" w:cs="SimHei"/>
                <w:sz w:val="21"/>
                <w:szCs w:val="21"/>
                <w:spacing w:val="9"/>
              </w:rPr>
              <w:t xml:space="preserve"> </w:t>
            </w:r>
            <w:r>
              <w:rPr>
                <w:rFonts w:ascii="SimHei" w:hAnsi="SimHei" w:eastAsia="SimHei" w:cs="SimHei"/>
                <w:sz w:val="21"/>
                <w:szCs w:val="21"/>
                <w:spacing w:val="9"/>
              </w:rPr>
              <w:t>疾病预防控制机构未主动收集传染病疫情信息，或者对传染病疫情信息和疫情报告</w:t>
            </w:r>
            <w:r>
              <w:rPr>
                <w:rFonts w:ascii="SimHei" w:hAnsi="SimHei" w:eastAsia="SimHei" w:cs="SimHei"/>
                <w:sz w:val="21"/>
                <w:szCs w:val="21"/>
                <w:spacing w:val="8"/>
              </w:rPr>
              <w:t>未及时进行分析、调查、核实的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2"/>
              </w:rPr>
              <w:t>80</w:t>
            </w:r>
          </w:hyperlink>
        </w:p>
        <w:p>
          <w:pPr>
            <w:pStyle w:val="BodyText"/>
            <w:spacing w:line="253" w:lineRule="auto"/>
            <w:rPr/>
          </w:pPr>
          <w:r/>
        </w:p>
        <w:p>
          <w:pPr>
            <w:pStyle w:val="BodyText"/>
            <w:spacing w:line="253" w:lineRule="auto"/>
            <w:rPr/>
          </w:pPr>
          <w:r/>
        </w:p>
        <w:p>
          <w:pPr>
            <w:spacing w:before="68" w:line="213" w:lineRule="auto"/>
            <w:tabs>
              <w:tab w:val="right" w:leader="dot" w:pos="13076"/>
            </w:tabs>
            <w:rPr>
              <w:rFonts w:ascii="Times New Roman" w:hAnsi="Times New Roman" w:eastAsia="Times New Roman" w:cs="Times New Roman"/>
              <w:sz w:val="21"/>
              <w:szCs w:val="21"/>
            </w:rPr>
          </w:pPr>
          <w:hyperlink w:history="true" w:anchor="bookmark13">
            <w:r>
              <w:rPr>
                <w:rFonts w:ascii="SimHei" w:hAnsi="SimHei" w:eastAsia="SimHei" w:cs="SimHei"/>
                <w:sz w:val="21"/>
                <w:szCs w:val="21"/>
                <w:spacing w:val="9"/>
              </w:rPr>
              <w:t>第八条</w:t>
            </w:r>
            <w:r>
              <w:rPr>
                <w:rFonts w:ascii="SimHei" w:hAnsi="SimHei" w:eastAsia="SimHei" w:cs="SimHei"/>
                <w:sz w:val="21"/>
                <w:szCs w:val="21"/>
                <w:spacing w:val="9"/>
              </w:rPr>
              <w:t xml:space="preserve"> </w:t>
            </w:r>
            <w:r>
              <w:rPr>
                <w:rFonts w:ascii="SimHei" w:hAnsi="SimHei" w:eastAsia="SimHei" w:cs="SimHei"/>
                <w:sz w:val="21"/>
                <w:szCs w:val="21"/>
                <w:spacing w:val="9"/>
              </w:rPr>
              <w:t>疾病预防控制机构发现传染病疫情时，未依据职责及时采取本法规定的措施的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51"/>
              </w:rPr>
              <w:t xml:space="preserve"> </w:t>
            </w:r>
            <w:r>
              <w:rPr>
                <w:rFonts w:ascii="Times New Roman" w:hAnsi="Times New Roman" w:eastAsia="Times New Roman" w:cs="Times New Roman"/>
                <w:sz w:val="21"/>
                <w:szCs w:val="21"/>
                <w:spacing w:val="-4"/>
              </w:rPr>
              <w:t>81</w:t>
            </w:r>
          </w:hyperlink>
        </w:p>
        <w:p>
          <w:pPr>
            <w:pStyle w:val="BodyText"/>
            <w:spacing w:line="262" w:lineRule="auto"/>
            <w:rPr/>
          </w:pPr>
          <w:r/>
        </w:p>
        <w:p>
          <w:pPr>
            <w:pStyle w:val="BodyText"/>
            <w:spacing w:line="263" w:lineRule="auto"/>
            <w:rPr/>
          </w:pPr>
          <w:r/>
        </w:p>
        <w:p>
          <w:pPr>
            <w:spacing w:before="68" w:line="221" w:lineRule="auto"/>
            <w:tabs>
              <w:tab w:val="right" w:leader="dot" w:pos="13066"/>
            </w:tabs>
            <w:rPr>
              <w:rFonts w:ascii="Times New Roman" w:hAnsi="Times New Roman" w:eastAsia="Times New Roman" w:cs="Times New Roman"/>
              <w:sz w:val="21"/>
              <w:szCs w:val="21"/>
            </w:rPr>
          </w:pPr>
          <w:hyperlink w:history="true" w:anchor="bookmark14">
            <w:r>
              <w:rPr>
                <w:rFonts w:ascii="SimHei" w:hAnsi="SimHei" w:eastAsia="SimHei" w:cs="SimHei"/>
                <w:sz w:val="21"/>
                <w:szCs w:val="21"/>
                <w:spacing w:val="10"/>
              </w:rPr>
              <w:t>第九条</w:t>
            </w:r>
            <w:r>
              <w:rPr>
                <w:rFonts w:ascii="SimHei" w:hAnsi="SimHei" w:eastAsia="SimHei" w:cs="SimHei"/>
                <w:sz w:val="21"/>
                <w:szCs w:val="21"/>
                <w:spacing w:val="10"/>
              </w:rPr>
              <w:t xml:space="preserve"> </w:t>
            </w:r>
            <w:r>
              <w:rPr>
                <w:rFonts w:ascii="SimHei" w:hAnsi="SimHei" w:eastAsia="SimHei" w:cs="SimHei"/>
                <w:sz w:val="21"/>
                <w:szCs w:val="21"/>
                <w:spacing w:val="10"/>
              </w:rPr>
              <w:t>疾病预防控制机构故意泄露传染病病人、病原携带者、疑似传染病病人、密切接触者涉及个人隐</w:t>
            </w:r>
            <w:r>
              <w:rPr>
                <w:rFonts w:ascii="SimHei" w:hAnsi="SimHei" w:eastAsia="SimHei" w:cs="SimHei"/>
                <w:sz w:val="21"/>
                <w:szCs w:val="21"/>
                <w:spacing w:val="9"/>
              </w:rPr>
              <w:t>私的有关信息、资料</w:t>
            </w:r>
            <w:r>
              <w:rPr>
                <w:rFonts w:ascii="SimHei" w:hAnsi="SimHei" w:eastAsia="SimHei" w:cs="SimHei"/>
                <w:sz w:val="21"/>
                <w:szCs w:val="21"/>
                <w:spacing w:val="-82"/>
              </w:rPr>
              <w:t xml:space="preserve"> </w:t>
            </w:r>
            <w:r>
              <w:rPr>
                <w:rFonts w:ascii="SimHei" w:hAnsi="SimHei" w:eastAsia="SimHei" w:cs="SimHei"/>
                <w:sz w:val="21"/>
                <w:szCs w:val="21"/>
              </w:rPr>
              <w:tab/>
            </w:r>
            <w:r>
              <w:rPr>
                <w:rFonts w:ascii="SimHei" w:hAnsi="SimHei" w:eastAsia="SimHei" w:cs="SimHei"/>
                <w:sz w:val="21"/>
                <w:szCs w:val="21"/>
                <w:spacing w:val="-61"/>
              </w:rPr>
              <w:t xml:space="preserve"> </w:t>
            </w:r>
            <w:r>
              <w:rPr>
                <w:rFonts w:ascii="Times New Roman" w:hAnsi="Times New Roman" w:eastAsia="Times New Roman" w:cs="Times New Roman"/>
                <w:sz w:val="21"/>
                <w:szCs w:val="21"/>
                <w:spacing w:val="-4"/>
              </w:rPr>
              <w:t>83</w:t>
            </w:r>
          </w:hyperlink>
        </w:p>
        <w:p>
          <w:pPr>
            <w:pStyle w:val="BodyText"/>
            <w:spacing w:line="248" w:lineRule="auto"/>
            <w:rPr/>
          </w:pPr>
          <w:r/>
        </w:p>
        <w:p>
          <w:pPr>
            <w:pStyle w:val="BodyText"/>
            <w:spacing w:line="249" w:lineRule="auto"/>
            <w:rPr/>
          </w:pPr>
          <w:r/>
        </w:p>
        <w:p>
          <w:pPr>
            <w:spacing w:before="68" w:line="221" w:lineRule="auto"/>
            <w:tabs>
              <w:tab w:val="right" w:leader="dot" w:pos="13066"/>
            </w:tabs>
            <w:rPr>
              <w:rFonts w:ascii="Times New Roman" w:hAnsi="Times New Roman" w:eastAsia="Times New Roman" w:cs="Times New Roman"/>
              <w:sz w:val="21"/>
              <w:szCs w:val="21"/>
            </w:rPr>
          </w:pPr>
          <w:hyperlink w:history="true" w:anchor="bookmark15">
            <w:r>
              <w:rPr>
                <w:rFonts w:ascii="SimHei" w:hAnsi="SimHei" w:eastAsia="SimHei" w:cs="SimHei"/>
                <w:sz w:val="21"/>
                <w:szCs w:val="21"/>
                <w:spacing w:val="9"/>
              </w:rPr>
              <w:t>第十条</w:t>
            </w:r>
            <w:r>
              <w:rPr>
                <w:rFonts w:ascii="SimHei" w:hAnsi="SimHei" w:eastAsia="SimHei" w:cs="SimHei"/>
                <w:sz w:val="21"/>
                <w:szCs w:val="21"/>
                <w:spacing w:val="9"/>
              </w:rPr>
              <w:t xml:space="preserve"> </w:t>
            </w:r>
            <w:r>
              <w:rPr>
                <w:rFonts w:ascii="SimHei" w:hAnsi="SimHei" w:eastAsia="SimHei" w:cs="SimHei"/>
                <w:sz w:val="21"/>
                <w:szCs w:val="21"/>
                <w:spacing w:val="9"/>
              </w:rPr>
              <w:t>医疗机构未按照规定承担本单位的传染病预防、控制工作、医院感染控制任务和责任区域内的传染病预</w:t>
            </w:r>
            <w:r>
              <w:rPr>
                <w:rFonts w:ascii="SimHei" w:hAnsi="SimHei" w:eastAsia="SimHei" w:cs="SimHei"/>
                <w:sz w:val="21"/>
                <w:szCs w:val="21"/>
                <w:spacing w:val="8"/>
              </w:rPr>
              <w:t>防工作</w:t>
            </w:r>
            <w:r>
              <w:rPr>
                <w:rFonts w:ascii="SimHei" w:hAnsi="SimHei" w:eastAsia="SimHei" w:cs="SimHei"/>
                <w:sz w:val="21"/>
                <w:szCs w:val="21"/>
                <w:spacing w:val="-86"/>
              </w:rPr>
              <w:t xml:space="preserve"> </w:t>
            </w:r>
            <w:r>
              <w:rPr>
                <w:rFonts w:ascii="SimHei" w:hAnsi="SimHei" w:eastAsia="SimHei" w:cs="SimHei"/>
                <w:sz w:val="21"/>
                <w:szCs w:val="21"/>
              </w:rPr>
              <w:tab/>
            </w:r>
            <w:r>
              <w:rPr>
                <w:rFonts w:ascii="Times New Roman" w:hAnsi="Times New Roman" w:eastAsia="Times New Roman" w:cs="Times New Roman"/>
                <w:sz w:val="21"/>
                <w:szCs w:val="21"/>
                <w:spacing w:val="-2"/>
              </w:rPr>
              <w:t>84</w:t>
            </w:r>
          </w:hyperlink>
        </w:p>
        <w:p>
          <w:pPr>
            <w:pStyle w:val="BodyText"/>
            <w:spacing w:line="259" w:lineRule="auto"/>
            <w:rPr/>
          </w:pPr>
          <w:r/>
        </w:p>
        <w:p>
          <w:pPr>
            <w:pStyle w:val="BodyText"/>
            <w:spacing w:line="259" w:lineRule="auto"/>
            <w:rPr/>
          </w:pPr>
          <w:r/>
        </w:p>
        <w:p>
          <w:pPr>
            <w:ind w:left="9"/>
            <w:spacing w:before="68" w:line="213" w:lineRule="auto"/>
            <w:rPr>
              <w:rFonts w:ascii="SimHei" w:hAnsi="SimHei" w:eastAsia="SimHei" w:cs="SimHei"/>
              <w:sz w:val="21"/>
              <w:szCs w:val="21"/>
            </w:rPr>
          </w:pPr>
          <w:hyperlink w:history="true" w:anchor="bookmark16">
            <w:r>
              <w:rPr>
                <w:rFonts w:ascii="SimHei" w:hAnsi="SimHei" w:eastAsia="SimHei" w:cs="SimHei"/>
                <w:sz w:val="21"/>
                <w:szCs w:val="21"/>
                <w:spacing w:val="10"/>
              </w:rPr>
              <w:t>第十一条</w:t>
            </w:r>
            <w:r>
              <w:rPr>
                <w:rFonts w:ascii="SimHei" w:hAnsi="SimHei" w:eastAsia="SimHei" w:cs="SimHei"/>
                <w:sz w:val="21"/>
                <w:szCs w:val="21"/>
                <w:spacing w:val="10"/>
              </w:rPr>
              <w:t xml:space="preserve"> </w:t>
            </w:r>
            <w:r>
              <w:rPr>
                <w:rFonts w:ascii="SimHei" w:hAnsi="SimHei" w:eastAsia="SimHei" w:cs="SimHei"/>
                <w:sz w:val="21"/>
                <w:szCs w:val="21"/>
                <w:spacing w:val="10"/>
              </w:rPr>
              <w:t>医疗机构发现本法规定的传染病疫情或者发现其他传染病暴发、流行以及突发原因不明的传染病时，未遵循</w:t>
            </w:r>
            <w:r>
              <w:rPr>
                <w:rFonts w:ascii="SimHei" w:hAnsi="SimHei" w:eastAsia="SimHei" w:cs="SimHei"/>
                <w:sz w:val="21"/>
                <w:szCs w:val="21"/>
                <w:spacing w:val="9"/>
              </w:rPr>
              <w:t>疫情报告属地管理</w:t>
            </w:r>
          </w:hyperlink>
        </w:p>
        <w:p>
          <w:pPr>
            <w:pStyle w:val="BodyText"/>
            <w:spacing w:line="287" w:lineRule="auto"/>
            <w:rPr/>
          </w:pPr>
          <w:r/>
        </w:p>
        <w:p>
          <w:pPr>
            <w:spacing w:before="69" w:line="213" w:lineRule="auto"/>
            <w:tabs>
              <w:tab w:val="right" w:leader="dot" w:pos="13076"/>
            </w:tabs>
            <w:rPr>
              <w:rFonts w:ascii="Times New Roman" w:hAnsi="Times New Roman" w:eastAsia="Times New Roman" w:cs="Times New Roman"/>
              <w:sz w:val="21"/>
              <w:szCs w:val="21"/>
            </w:rPr>
          </w:pPr>
          <w:hyperlink w:history="true" w:anchor="bookmark17">
            <w:r>
              <w:rPr>
                <w:rFonts w:ascii="SimHei" w:hAnsi="SimHei" w:eastAsia="SimHei" w:cs="SimHei"/>
                <w:sz w:val="21"/>
                <w:szCs w:val="21"/>
                <w:spacing w:val="10"/>
              </w:rPr>
              <w:t>原则，未按照国务院规定的或者国务院卫生行政部门规定的内容、程序、方式和时限报告的</w:t>
            </w:r>
            <w:r>
              <w:rPr>
                <w:rFonts w:ascii="SimHei" w:hAnsi="SimHei" w:eastAsia="SimHei" w:cs="SimHei"/>
                <w:sz w:val="21"/>
                <w:szCs w:val="21"/>
                <w:spacing w:val="-87"/>
              </w:rPr>
              <w:t xml:space="preserve"> </w:t>
            </w:r>
            <w:r>
              <w:rPr>
                <w:rFonts w:ascii="SimHei" w:hAnsi="SimHei" w:eastAsia="SimHei" w:cs="SimHei"/>
                <w:sz w:val="21"/>
                <w:szCs w:val="21"/>
              </w:rPr>
              <w:tab/>
            </w:r>
            <w:r>
              <w:rPr>
                <w:rFonts w:ascii="SimHei" w:hAnsi="SimHei" w:eastAsia="SimHei" w:cs="SimHei"/>
                <w:sz w:val="21"/>
                <w:szCs w:val="21"/>
                <w:spacing w:val="-11"/>
              </w:rPr>
              <w:t xml:space="preserve"> </w:t>
            </w:r>
            <w:r>
              <w:rPr>
                <w:rFonts w:ascii="Times New Roman" w:hAnsi="Times New Roman" w:eastAsia="Times New Roman" w:cs="Times New Roman"/>
                <w:sz w:val="21"/>
                <w:szCs w:val="21"/>
                <w:spacing w:val="-4"/>
              </w:rPr>
              <w:t>85</w:t>
            </w:r>
          </w:hyperlink>
        </w:p>
        <w:p>
          <w:pPr>
            <w:pStyle w:val="BodyText"/>
            <w:spacing w:line="253" w:lineRule="auto"/>
            <w:rPr/>
          </w:pPr>
          <w:r/>
        </w:p>
        <w:p>
          <w:pPr>
            <w:pStyle w:val="BodyText"/>
            <w:spacing w:line="253" w:lineRule="auto"/>
            <w:rPr/>
          </w:pPr>
          <w:r/>
        </w:p>
        <w:p>
          <w:pPr>
            <w:spacing w:before="69" w:line="213" w:lineRule="auto"/>
            <w:jc w:val="right"/>
            <w:rPr>
              <w:rFonts w:ascii="SimHei" w:hAnsi="SimHei" w:eastAsia="SimHei" w:cs="SimHei"/>
              <w:sz w:val="21"/>
              <w:szCs w:val="21"/>
            </w:rPr>
          </w:pPr>
          <w:hyperlink w:history="true" w:anchor="bookmark18">
            <w:r>
              <w:rPr>
                <w:rFonts w:ascii="SimHei" w:hAnsi="SimHei" w:eastAsia="SimHei" w:cs="SimHei"/>
                <w:sz w:val="21"/>
                <w:szCs w:val="21"/>
                <w:spacing w:val="10"/>
              </w:rPr>
              <w:t>第十二条</w:t>
            </w:r>
            <w:r>
              <w:rPr>
                <w:rFonts w:ascii="SimHei" w:hAnsi="SimHei" w:eastAsia="SimHei" w:cs="SimHei"/>
                <w:sz w:val="21"/>
                <w:szCs w:val="21"/>
                <w:spacing w:val="10"/>
              </w:rPr>
              <w:t xml:space="preserve"> </w:t>
            </w:r>
            <w:r>
              <w:rPr>
                <w:rFonts w:ascii="SimHei" w:hAnsi="SimHei" w:eastAsia="SimHei" w:cs="SimHei"/>
                <w:sz w:val="21"/>
                <w:szCs w:val="21"/>
                <w:spacing w:val="10"/>
              </w:rPr>
              <w:t>医疗机构发现传染病疫情时，未按照规定对传染病病人、疑似传染病病人提供医疗救护、现场救援、接诊、转诊的，或者拒绝</w:t>
            </w:r>
          </w:hyperlink>
        </w:p>
        <w:p>
          <w:pPr>
            <w:pStyle w:val="BodyText"/>
            <w:spacing w:line="336" w:lineRule="auto"/>
            <w:rPr/>
          </w:pPr>
          <w:r/>
        </w:p>
        <w:p>
          <w:pPr>
            <w:spacing w:before="68" w:line="221" w:lineRule="auto"/>
            <w:tabs>
              <w:tab w:val="right" w:leader="dot" w:pos="13046"/>
            </w:tabs>
            <w:rPr>
              <w:rFonts w:ascii="Times New Roman" w:hAnsi="Times New Roman" w:eastAsia="Times New Roman" w:cs="Times New Roman"/>
              <w:sz w:val="21"/>
              <w:szCs w:val="21"/>
            </w:rPr>
          </w:pPr>
          <w:hyperlink w:history="true" w:anchor="bookmark19">
            <w:r>
              <w:rPr>
                <w:rFonts w:ascii="SimHei" w:hAnsi="SimHei" w:eastAsia="SimHei" w:cs="SimHei"/>
                <w:sz w:val="21"/>
                <w:szCs w:val="21"/>
                <w:spacing w:val="15"/>
              </w:rPr>
              <w:t>接受转诊的</w:t>
            </w:r>
            <w:r>
              <w:rPr>
                <w:rFonts w:ascii="SimHei" w:hAnsi="SimHei" w:eastAsia="SimHei" w:cs="SimHei"/>
                <w:sz w:val="21"/>
                <w:szCs w:val="21"/>
                <w:spacing w:val="-91"/>
              </w:rPr>
              <w:t xml:space="preserve"> </w:t>
            </w:r>
            <w:r>
              <w:rPr>
                <w:rFonts w:ascii="SimHei" w:hAnsi="SimHei" w:eastAsia="SimHei" w:cs="SimHei"/>
                <w:sz w:val="21"/>
                <w:szCs w:val="21"/>
                <w:color w:val="404040"/>
              </w:rPr>
              <w:tab/>
            </w:r>
            <w:r>
              <w:rPr>
                <w:rFonts w:ascii="Times New Roman" w:hAnsi="Times New Roman" w:eastAsia="Times New Roman" w:cs="Times New Roman"/>
                <w:sz w:val="21"/>
                <w:szCs w:val="21"/>
                <w:spacing w:val="-2"/>
              </w:rPr>
              <w:t>86</w:t>
            </w:r>
          </w:hyperlink>
        </w:p>
        <w:p>
          <w:pPr>
            <w:pStyle w:val="BodyText"/>
            <w:spacing w:line="243" w:lineRule="auto"/>
            <w:rPr/>
          </w:pPr>
          <w:r/>
        </w:p>
        <w:p>
          <w:pPr>
            <w:pStyle w:val="BodyText"/>
            <w:spacing w:line="244" w:lineRule="auto"/>
            <w:rPr/>
          </w:pPr>
          <w:r/>
        </w:p>
        <w:p>
          <w:pPr>
            <w:spacing w:before="69" w:line="221" w:lineRule="auto"/>
            <w:tabs>
              <w:tab w:val="right" w:leader="dot" w:pos="13066"/>
            </w:tabs>
            <w:rPr>
              <w:rFonts w:ascii="Times New Roman" w:hAnsi="Times New Roman" w:eastAsia="Times New Roman" w:cs="Times New Roman"/>
              <w:sz w:val="21"/>
              <w:szCs w:val="21"/>
            </w:rPr>
          </w:pPr>
          <w:hyperlink w:history="true" w:anchor="bookmark20">
            <w:r>
              <w:rPr>
                <w:rFonts w:ascii="SimHei" w:hAnsi="SimHei" w:eastAsia="SimHei" w:cs="SimHei"/>
                <w:sz w:val="21"/>
                <w:szCs w:val="21"/>
                <w:spacing w:val="9"/>
              </w:rPr>
              <w:t>第十三条</w:t>
            </w:r>
            <w:r>
              <w:rPr>
                <w:rFonts w:ascii="SimHei" w:hAnsi="SimHei" w:eastAsia="SimHei" w:cs="SimHei"/>
                <w:sz w:val="21"/>
                <w:szCs w:val="21"/>
                <w:spacing w:val="9"/>
              </w:rPr>
              <w:t xml:space="preserve"> </w:t>
            </w:r>
            <w:r>
              <w:rPr>
                <w:rFonts w:ascii="SimHei" w:hAnsi="SimHei" w:eastAsia="SimHei" w:cs="SimHei"/>
                <w:sz w:val="21"/>
                <w:szCs w:val="21"/>
                <w:spacing w:val="9"/>
              </w:rPr>
              <w:t>医疗机构未按照规定对本单位内被传染病病原体污染的场所、物品以及医疗废物实施消毒或者无害化处置的</w:t>
            </w:r>
            <w:r>
              <w:rPr>
                <w:rFonts w:ascii="SimHei" w:hAnsi="SimHei" w:eastAsia="SimHei" w:cs="SimHei"/>
                <w:sz w:val="21"/>
                <w:szCs w:val="21"/>
                <w:spacing w:val="-90"/>
              </w:rPr>
              <w:t xml:space="preserve"> </w:t>
            </w:r>
            <w:r>
              <w:rPr>
                <w:rFonts w:ascii="SimHei" w:hAnsi="SimHei" w:eastAsia="SimHei" w:cs="SimHei"/>
                <w:sz w:val="21"/>
                <w:szCs w:val="21"/>
              </w:rPr>
              <w:tab/>
            </w:r>
            <w:r>
              <w:rPr>
                <w:rFonts w:ascii="Times New Roman" w:hAnsi="Times New Roman" w:eastAsia="Times New Roman" w:cs="Times New Roman"/>
                <w:sz w:val="21"/>
                <w:szCs w:val="21"/>
                <w:spacing w:val="-2"/>
              </w:rPr>
              <w:t>87</w:t>
            </w:r>
          </w:hyperlink>
        </w:p>
        <w:p>
          <w:pPr>
            <w:pStyle w:val="BodyText"/>
            <w:spacing w:line="244" w:lineRule="auto"/>
            <w:rPr/>
          </w:pPr>
          <w:r/>
        </w:p>
        <w:p>
          <w:pPr>
            <w:pStyle w:val="BodyText"/>
            <w:spacing w:line="244" w:lineRule="auto"/>
            <w:rPr/>
          </w:pPr>
          <w:r/>
        </w:p>
        <w:p>
          <w:pPr>
            <w:spacing w:before="69" w:line="213" w:lineRule="auto"/>
            <w:tabs>
              <w:tab w:val="right" w:leader="dot" w:pos="13056"/>
            </w:tabs>
            <w:rPr>
              <w:rFonts w:ascii="Times New Roman" w:hAnsi="Times New Roman" w:eastAsia="Times New Roman" w:cs="Times New Roman"/>
              <w:sz w:val="21"/>
              <w:szCs w:val="21"/>
            </w:rPr>
          </w:pPr>
          <w:hyperlink w:history="true" w:anchor="bookmark21">
            <w:r>
              <w:rPr>
                <w:rFonts w:ascii="SimHei" w:hAnsi="SimHei" w:eastAsia="SimHei" w:cs="SimHei"/>
                <w:sz w:val="21"/>
                <w:szCs w:val="21"/>
                <w:spacing w:val="10"/>
              </w:rPr>
              <w:t>第十四条</w:t>
            </w:r>
            <w:r>
              <w:rPr>
                <w:rFonts w:ascii="SimHei" w:hAnsi="SimHei" w:eastAsia="SimHei" w:cs="SimHei"/>
                <w:sz w:val="21"/>
                <w:szCs w:val="21"/>
                <w:spacing w:val="10"/>
              </w:rPr>
              <w:t xml:space="preserve"> </w:t>
            </w:r>
            <w:r>
              <w:rPr>
                <w:rFonts w:ascii="SimHei" w:hAnsi="SimHei" w:eastAsia="SimHei" w:cs="SimHei"/>
                <w:sz w:val="21"/>
                <w:szCs w:val="21"/>
                <w:spacing w:val="10"/>
              </w:rPr>
              <w:t>医疗机构未按照规定对医疗器械进行消毒，或者对按照规定一次使用的医疗器具未予销毁，再次使用的</w:t>
            </w:r>
            <w:r>
              <w:rPr>
                <w:rFonts w:ascii="SimHei" w:hAnsi="SimHei" w:eastAsia="SimHei" w:cs="SimHei"/>
                <w:sz w:val="21"/>
                <w:szCs w:val="21"/>
                <w:spacing w:val="-82"/>
              </w:rPr>
              <w:t xml:space="preserve"> </w:t>
            </w:r>
            <w:r>
              <w:rPr>
                <w:rFonts w:ascii="SimHei" w:hAnsi="SimHei" w:eastAsia="SimHei" w:cs="SimHei"/>
                <w:sz w:val="21"/>
                <w:szCs w:val="21"/>
              </w:rPr>
              <w:tab/>
            </w:r>
            <w:r>
              <w:rPr>
                <w:rFonts w:ascii="SimHei" w:hAnsi="SimHei" w:eastAsia="SimHei" w:cs="SimHei"/>
                <w:sz w:val="21"/>
                <w:szCs w:val="21"/>
                <w:spacing w:val="-31"/>
              </w:rPr>
              <w:t xml:space="preserve"> </w:t>
            </w:r>
            <w:r>
              <w:rPr>
                <w:rFonts w:ascii="Times New Roman" w:hAnsi="Times New Roman" w:eastAsia="Times New Roman" w:cs="Times New Roman"/>
                <w:sz w:val="21"/>
                <w:szCs w:val="21"/>
                <w:spacing w:val="-4"/>
              </w:rPr>
              <w:t>88</w:t>
            </w:r>
          </w:hyperlink>
        </w:p>
      </w:sdtContent>
    </w:sdt>
    <w:p>
      <w:pPr>
        <w:spacing w:line="213" w:lineRule="auto"/>
        <w:sectPr>
          <w:footerReference w:type="default" r:id="rId3"/>
          <w:pgSz w:w="16830" w:h="11900"/>
          <w:pgMar w:top="1011" w:right="1422" w:bottom="1138" w:left="2299" w:header="0" w:footer="778" w:gutter="0"/>
        </w:sectPr>
        <w:rPr>
          <w:rFonts w:ascii="Times New Roman" w:hAnsi="Times New Roman" w:eastAsia="Times New Roman" w:cs="Times New Roman"/>
          <w:sz w:val="21"/>
          <w:szCs w:val="21"/>
        </w:rPr>
      </w:pPr>
    </w:p>
    <w:p>
      <w:pPr>
        <w:pStyle w:val="BodyText"/>
        <w:spacing w:line="313" w:lineRule="auto"/>
        <w:rPr/>
      </w:pPr>
      <w:r/>
    </w:p>
    <w:p>
      <w:pPr>
        <w:pStyle w:val="BodyText"/>
        <w:spacing w:line="314" w:lineRule="auto"/>
        <w:rPr/>
      </w:pPr>
      <w:r/>
    </w:p>
    <w:p>
      <w:pPr>
        <w:pStyle w:val="BodyText"/>
        <w:spacing w:line="314"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spacing w:before="68" w:line="221" w:lineRule="auto"/>
            <w:tabs>
              <w:tab w:val="right" w:leader="dot" w:pos="13006"/>
            </w:tabs>
            <w:rPr>
              <w:rFonts w:ascii="Times New Roman" w:hAnsi="Times New Roman" w:eastAsia="Times New Roman" w:cs="Times New Roman"/>
              <w:sz w:val="21"/>
              <w:szCs w:val="21"/>
            </w:rPr>
          </w:pPr>
          <w:hyperlink w:history="true" w:anchor="bookmark22">
            <w:r>
              <w:rPr>
                <w:rFonts w:ascii="SimHei" w:hAnsi="SimHei" w:eastAsia="SimHei" w:cs="SimHei"/>
                <w:sz w:val="21"/>
                <w:szCs w:val="21"/>
                <w:spacing w:val="8"/>
              </w:rPr>
              <w:t>第十五条</w:t>
            </w:r>
            <w:r>
              <w:rPr>
                <w:rFonts w:ascii="SimHei" w:hAnsi="SimHei" w:eastAsia="SimHei" w:cs="SimHei"/>
                <w:sz w:val="21"/>
                <w:szCs w:val="21"/>
                <w:spacing w:val="8"/>
              </w:rPr>
              <w:t xml:space="preserve"> </w:t>
            </w:r>
            <w:r>
              <w:rPr>
                <w:rFonts w:ascii="SimHei" w:hAnsi="SimHei" w:eastAsia="SimHei" w:cs="SimHei"/>
                <w:sz w:val="21"/>
                <w:szCs w:val="21"/>
                <w:spacing w:val="8"/>
              </w:rPr>
              <w:t>医疗机构在医疗救治过程中未按照规定保管医学记录资料的</w:t>
            </w:r>
            <w:r>
              <w:rPr>
                <w:rFonts w:ascii="SimHei" w:hAnsi="SimHei" w:eastAsia="SimHei" w:cs="SimHei"/>
                <w:sz w:val="21"/>
                <w:szCs w:val="21"/>
                <w:spacing w:val="-89"/>
              </w:rPr>
              <w:t xml:space="preserve"> </w:t>
            </w:r>
            <w:r>
              <w:rPr>
                <w:rFonts w:ascii="SimHei" w:hAnsi="SimHei" w:eastAsia="SimHei" w:cs="SimHei"/>
                <w:sz w:val="21"/>
                <w:szCs w:val="21"/>
              </w:rPr>
              <w:tab/>
            </w:r>
            <w:r>
              <w:rPr>
                <w:rFonts w:ascii="SimHei" w:hAnsi="SimHei" w:eastAsia="SimHei" w:cs="SimHei"/>
                <w:sz w:val="21"/>
                <w:szCs w:val="21"/>
                <w:spacing w:val="-31"/>
              </w:rPr>
              <w:t xml:space="preserve"> </w:t>
            </w:r>
            <w:r>
              <w:rPr>
                <w:rFonts w:ascii="Times New Roman" w:hAnsi="Times New Roman" w:eastAsia="Times New Roman" w:cs="Times New Roman"/>
                <w:sz w:val="21"/>
                <w:szCs w:val="21"/>
                <w:spacing w:val="-4"/>
              </w:rPr>
              <w:t>89</w:t>
            </w:r>
          </w:hyperlink>
        </w:p>
        <w:p>
          <w:pPr>
            <w:pStyle w:val="BodyText"/>
            <w:spacing w:line="243" w:lineRule="auto"/>
            <w:rPr/>
          </w:pPr>
          <w:r/>
        </w:p>
        <w:p>
          <w:pPr>
            <w:pStyle w:val="BodyText"/>
            <w:spacing w:line="244" w:lineRule="auto"/>
            <w:rPr/>
          </w:pPr>
          <w:r/>
        </w:p>
        <w:p>
          <w:pPr>
            <w:spacing w:before="68" w:line="221" w:lineRule="auto"/>
            <w:tabs>
              <w:tab w:val="right" w:leader="dot" w:pos="13040"/>
            </w:tabs>
            <w:rPr>
              <w:rFonts w:ascii="Times New Roman" w:hAnsi="Times New Roman" w:eastAsia="Times New Roman" w:cs="Times New Roman"/>
              <w:sz w:val="21"/>
              <w:szCs w:val="21"/>
            </w:rPr>
          </w:pPr>
          <w:hyperlink w:history="true" w:anchor="bookmark23">
            <w:r>
              <w:rPr>
                <w:rFonts w:ascii="SimHei" w:hAnsi="SimHei" w:eastAsia="SimHei" w:cs="SimHei"/>
                <w:sz w:val="21"/>
                <w:szCs w:val="21"/>
                <w:spacing w:val="10"/>
              </w:rPr>
              <w:t>第十六条</w:t>
            </w:r>
            <w:r>
              <w:rPr>
                <w:rFonts w:ascii="SimHei" w:hAnsi="SimHei" w:eastAsia="SimHei" w:cs="SimHei"/>
                <w:sz w:val="21"/>
                <w:szCs w:val="21"/>
                <w:spacing w:val="10"/>
              </w:rPr>
              <w:t xml:space="preserve"> </w:t>
            </w:r>
            <w:r>
              <w:rPr>
                <w:rFonts w:ascii="SimHei" w:hAnsi="SimHei" w:eastAsia="SimHei" w:cs="SimHei"/>
                <w:sz w:val="21"/>
                <w:szCs w:val="21"/>
                <w:spacing w:val="10"/>
              </w:rPr>
              <w:t>医疗机构故意泄露传染病病人、病原携带者、疑似传染病病人、密切</w:t>
            </w:r>
            <w:r>
              <w:rPr>
                <w:rFonts w:ascii="SimHei" w:hAnsi="SimHei" w:eastAsia="SimHei" w:cs="SimHei"/>
                <w:sz w:val="21"/>
                <w:szCs w:val="21"/>
                <w:spacing w:val="9"/>
              </w:rPr>
              <w:t>接触者涉及个人隐私的有关信息、资料的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51"/>
              </w:rPr>
              <w:t xml:space="preserve"> </w:t>
            </w:r>
            <w:r>
              <w:rPr>
                <w:rFonts w:ascii="Times New Roman" w:hAnsi="Times New Roman" w:eastAsia="Times New Roman" w:cs="Times New Roman"/>
                <w:sz w:val="21"/>
                <w:szCs w:val="21"/>
                <w:spacing w:val="-3"/>
              </w:rPr>
              <w:t>90</w:t>
            </w:r>
          </w:hyperlink>
        </w:p>
        <w:p>
          <w:pPr>
            <w:pStyle w:val="BodyText"/>
            <w:spacing w:line="249" w:lineRule="auto"/>
            <w:rPr/>
          </w:pPr>
          <w:r/>
        </w:p>
        <w:p>
          <w:pPr>
            <w:pStyle w:val="BodyText"/>
            <w:spacing w:line="249" w:lineRule="auto"/>
            <w:rPr/>
          </w:pPr>
          <w:r/>
        </w:p>
        <w:p>
          <w:pPr>
            <w:ind w:left="9"/>
            <w:spacing w:before="68" w:line="213" w:lineRule="auto"/>
            <w:rPr>
              <w:rFonts w:ascii="SimHei" w:hAnsi="SimHei" w:eastAsia="SimHei" w:cs="SimHei"/>
              <w:sz w:val="21"/>
              <w:szCs w:val="21"/>
            </w:rPr>
          </w:pPr>
          <w:hyperlink w:history="true" w:anchor="bookmark24">
            <w:r>
              <w:rPr>
                <w:rFonts w:ascii="SimHei" w:hAnsi="SimHei" w:eastAsia="SimHei" w:cs="SimHei"/>
                <w:sz w:val="21"/>
                <w:szCs w:val="21"/>
                <w:spacing w:val="10"/>
              </w:rPr>
              <w:t>第十七条</w:t>
            </w:r>
            <w:r>
              <w:rPr>
                <w:rFonts w:ascii="SimHei" w:hAnsi="SimHei" w:eastAsia="SimHei" w:cs="SimHei"/>
                <w:sz w:val="21"/>
                <w:szCs w:val="21"/>
                <w:spacing w:val="10"/>
              </w:rPr>
              <w:t xml:space="preserve"> </w:t>
            </w:r>
            <w:r>
              <w:rPr>
                <w:rFonts w:ascii="SimHei" w:hAnsi="SimHei" w:eastAsia="SimHei" w:cs="SimHei"/>
                <w:sz w:val="21"/>
                <w:szCs w:val="21"/>
                <w:spacing w:val="10"/>
              </w:rPr>
              <w:t>采供血机构及其工作人员隐瞒、谎报、缓报传染病疫情，或者未执行国家有关规定，导致因输入血液引起经血液传播疾病发生</w:t>
            </w:r>
          </w:hyperlink>
        </w:p>
        <w:p>
          <w:pPr>
            <w:pStyle w:val="BodyText"/>
            <w:spacing w:line="309" w:lineRule="auto"/>
            <w:rPr/>
          </w:pPr>
          <w:r/>
        </w:p>
        <w:p>
          <w:pPr>
            <w:spacing w:before="68" w:line="223" w:lineRule="auto"/>
            <w:tabs>
              <w:tab w:val="right" w:leader="dot" w:pos="13070"/>
            </w:tabs>
            <w:rPr>
              <w:rFonts w:ascii="Times New Roman" w:hAnsi="Times New Roman" w:eastAsia="Times New Roman" w:cs="Times New Roman"/>
              <w:sz w:val="21"/>
              <w:szCs w:val="21"/>
            </w:rPr>
          </w:pPr>
          <w:hyperlink w:history="true" w:anchor="bookmark25">
            <w:r>
              <w:rPr>
                <w:rFonts w:ascii="SimHei" w:hAnsi="SimHei" w:eastAsia="SimHei" w:cs="SimHei"/>
                <w:sz w:val="21"/>
                <w:szCs w:val="21"/>
                <w:spacing w:val="-20"/>
              </w:rPr>
              <w:t>的</w:t>
            </w:r>
            <w:r>
              <w:rPr>
                <w:rFonts w:ascii="SimHei" w:hAnsi="SimHei" w:eastAsia="SimHei" w:cs="SimHei"/>
                <w:sz w:val="21"/>
                <w:szCs w:val="21"/>
                <w:spacing w:val="-36"/>
              </w:rPr>
              <w:t xml:space="preserve"> </w:t>
            </w:r>
            <w:r>
              <w:rPr>
                <w:rFonts w:ascii="SimHei" w:hAnsi="SimHei" w:eastAsia="SimHei" w:cs="SimHei"/>
                <w:sz w:val="21"/>
                <w:szCs w:val="21"/>
              </w:rPr>
              <w:tab/>
            </w:r>
            <w:r>
              <w:rPr>
                <w:rFonts w:ascii="SimHei" w:hAnsi="SimHei" w:eastAsia="SimHei" w:cs="SimHei"/>
                <w:sz w:val="21"/>
                <w:szCs w:val="21"/>
                <w:spacing w:val="-71"/>
              </w:rPr>
              <w:t xml:space="preserve"> </w:t>
            </w:r>
            <w:r>
              <w:rPr>
                <w:rFonts w:ascii="Times New Roman" w:hAnsi="Times New Roman" w:eastAsia="Times New Roman" w:cs="Times New Roman"/>
                <w:sz w:val="21"/>
                <w:szCs w:val="21"/>
                <w:spacing w:val="-3"/>
              </w:rPr>
              <w:t>91</w:t>
            </w:r>
          </w:hyperlink>
        </w:p>
        <w:p>
          <w:pPr>
            <w:pStyle w:val="BodyText"/>
            <w:spacing w:line="246" w:lineRule="auto"/>
            <w:rPr/>
          </w:pPr>
          <w:r/>
        </w:p>
        <w:p>
          <w:pPr>
            <w:pStyle w:val="BodyText"/>
            <w:spacing w:line="247" w:lineRule="auto"/>
            <w:rPr/>
          </w:pPr>
          <w:r/>
        </w:p>
        <w:p>
          <w:pPr>
            <w:spacing w:before="68" w:line="213" w:lineRule="auto"/>
            <w:tabs>
              <w:tab w:val="right" w:leader="dot" w:pos="13040"/>
            </w:tabs>
            <w:rPr>
              <w:rFonts w:ascii="Times New Roman" w:hAnsi="Times New Roman" w:eastAsia="Times New Roman" w:cs="Times New Roman"/>
              <w:sz w:val="21"/>
              <w:szCs w:val="21"/>
            </w:rPr>
          </w:pPr>
          <w:hyperlink w:history="true" w:anchor="bookmark26">
            <w:r>
              <w:rPr>
                <w:rFonts w:ascii="SimHei" w:hAnsi="SimHei" w:eastAsia="SimHei" w:cs="SimHei"/>
                <w:sz w:val="21"/>
                <w:szCs w:val="21"/>
                <w:spacing w:val="10"/>
              </w:rPr>
              <w:t>第十八条</w:t>
            </w:r>
            <w:r>
              <w:rPr>
                <w:rFonts w:ascii="SimHei" w:hAnsi="SimHei" w:eastAsia="SimHei" w:cs="SimHei"/>
                <w:sz w:val="21"/>
                <w:szCs w:val="21"/>
                <w:spacing w:val="10"/>
              </w:rPr>
              <w:t xml:space="preserve"> </w:t>
            </w:r>
            <w:r>
              <w:rPr>
                <w:rFonts w:ascii="SimHei" w:hAnsi="SimHei" w:eastAsia="SimHei" w:cs="SimHei"/>
                <w:sz w:val="21"/>
                <w:szCs w:val="21"/>
                <w:spacing w:val="10"/>
              </w:rPr>
              <w:t>用于传染病防治的消毒产品不符合国家卫生标准和卫生规范，导致或者可能导致传染病传播、流行的</w:t>
            </w:r>
            <w:r>
              <w:rPr>
                <w:rFonts w:ascii="SimHei" w:hAnsi="SimHei" w:eastAsia="SimHei" w:cs="SimHei"/>
                <w:sz w:val="21"/>
                <w:szCs w:val="21"/>
                <w:spacing w:val="-81"/>
              </w:rPr>
              <w:t xml:space="preserve"> </w:t>
            </w:r>
            <w:r>
              <w:rPr>
                <w:rFonts w:ascii="SimHei" w:hAnsi="SimHei" w:eastAsia="SimHei" w:cs="SimHei"/>
                <w:sz w:val="21"/>
                <w:szCs w:val="21"/>
              </w:rPr>
              <w:tab/>
            </w:r>
            <w:r>
              <w:rPr>
                <w:rFonts w:ascii="SimHei" w:hAnsi="SimHei" w:eastAsia="SimHei" w:cs="SimHei"/>
                <w:sz w:val="21"/>
                <w:szCs w:val="21"/>
                <w:spacing w:val="-41"/>
              </w:rPr>
              <w:t xml:space="preserve"> </w:t>
            </w:r>
            <w:r>
              <w:rPr>
                <w:rFonts w:ascii="Times New Roman" w:hAnsi="Times New Roman" w:eastAsia="Times New Roman" w:cs="Times New Roman"/>
                <w:sz w:val="21"/>
                <w:szCs w:val="21"/>
                <w:spacing w:val="-3"/>
              </w:rPr>
              <w:t>92</w:t>
            </w:r>
          </w:hyperlink>
        </w:p>
        <w:p>
          <w:pPr>
            <w:pStyle w:val="BodyText"/>
            <w:spacing w:line="268" w:lineRule="auto"/>
            <w:rPr/>
          </w:pPr>
          <w:r/>
        </w:p>
        <w:p>
          <w:pPr>
            <w:pStyle w:val="BodyText"/>
            <w:spacing w:line="268" w:lineRule="auto"/>
            <w:rPr/>
          </w:pPr>
          <w:r/>
        </w:p>
        <w:p>
          <w:pPr>
            <w:spacing w:before="69" w:line="213" w:lineRule="auto"/>
            <w:jc w:val="right"/>
            <w:rPr>
              <w:rFonts w:ascii="SimHei" w:hAnsi="SimHei" w:eastAsia="SimHei" w:cs="SimHei"/>
              <w:sz w:val="21"/>
              <w:szCs w:val="21"/>
            </w:rPr>
          </w:pPr>
          <w:hyperlink w:history="true" w:anchor="bookmark27">
            <w:r>
              <w:rPr>
                <w:rFonts w:ascii="SimHei" w:hAnsi="SimHei" w:eastAsia="SimHei" w:cs="SimHei"/>
                <w:sz w:val="21"/>
                <w:szCs w:val="21"/>
                <w:spacing w:val="8"/>
              </w:rPr>
              <w:t>第十九条</w:t>
            </w:r>
            <w:r>
              <w:rPr>
                <w:rFonts w:ascii="SimHei" w:hAnsi="SimHei" w:eastAsia="SimHei" w:cs="SimHei"/>
                <w:sz w:val="21"/>
                <w:szCs w:val="21"/>
                <w:spacing w:val="8"/>
              </w:rPr>
              <w:t xml:space="preserve"> </w:t>
            </w:r>
            <w:r>
              <w:rPr>
                <w:rFonts w:ascii="SimHei" w:hAnsi="SimHei" w:eastAsia="SimHei" w:cs="SimHei"/>
                <w:sz w:val="21"/>
                <w:szCs w:val="21"/>
                <w:spacing w:val="8"/>
              </w:rPr>
              <w:t>出售、运输疫区中被传染病病原体污染或者可能被传染病病原</w:t>
            </w:r>
            <w:r>
              <w:rPr>
                <w:rFonts w:ascii="SimHei" w:hAnsi="SimHei" w:eastAsia="SimHei" w:cs="SimHei"/>
                <w:sz w:val="21"/>
                <w:szCs w:val="21"/>
                <w:spacing w:val="7"/>
              </w:rPr>
              <w:t>体污染的物品，未进行消毒处理，导致或者可能导致传染病传播、</w:t>
            </w:r>
          </w:hyperlink>
        </w:p>
        <w:p>
          <w:pPr>
            <w:pStyle w:val="BodyText"/>
            <w:spacing w:line="296" w:lineRule="auto"/>
            <w:rPr/>
          </w:pPr>
          <w:r/>
        </w:p>
        <w:p>
          <w:pPr>
            <w:spacing w:before="69" w:line="221" w:lineRule="auto"/>
            <w:tabs>
              <w:tab w:val="right" w:leader="dot" w:pos="12990"/>
            </w:tabs>
            <w:rPr>
              <w:rFonts w:ascii="Times New Roman" w:hAnsi="Times New Roman" w:eastAsia="Times New Roman" w:cs="Times New Roman"/>
              <w:sz w:val="21"/>
              <w:szCs w:val="21"/>
            </w:rPr>
          </w:pPr>
          <w:hyperlink w:history="true" w:anchor="bookmark28">
            <w:r>
              <w:rPr>
                <w:rFonts w:ascii="SimHei" w:hAnsi="SimHei" w:eastAsia="SimHei" w:cs="SimHei"/>
                <w:sz w:val="21"/>
                <w:szCs w:val="21"/>
                <w:spacing w:val="26"/>
              </w:rPr>
              <w:t>流行的</w:t>
            </w:r>
            <w:r>
              <w:rPr>
                <w:rFonts w:ascii="SimHei" w:hAnsi="SimHei" w:eastAsia="SimHei" w:cs="SimHei"/>
                <w:sz w:val="21"/>
                <w:szCs w:val="21"/>
                <w:spacing w:val="-94"/>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93</w:t>
            </w:r>
          </w:hyperlink>
        </w:p>
        <w:p>
          <w:pPr>
            <w:pStyle w:val="BodyText"/>
            <w:spacing w:line="249" w:lineRule="auto"/>
            <w:rPr/>
          </w:pPr>
          <w:r/>
        </w:p>
        <w:p>
          <w:pPr>
            <w:pStyle w:val="BodyText"/>
            <w:spacing w:line="249" w:lineRule="auto"/>
            <w:rPr/>
          </w:pPr>
          <w:r/>
        </w:p>
        <w:p>
          <w:pPr>
            <w:ind w:left="9"/>
            <w:spacing w:before="68" w:line="213" w:lineRule="auto"/>
            <w:rPr>
              <w:rFonts w:ascii="SimHei" w:hAnsi="SimHei" w:eastAsia="SimHei" w:cs="SimHei"/>
              <w:sz w:val="21"/>
              <w:szCs w:val="21"/>
            </w:rPr>
          </w:pPr>
          <w:hyperlink w:history="true" w:anchor="bookmark29">
            <w:r>
              <w:rPr>
                <w:rFonts w:ascii="SimHei" w:hAnsi="SimHei" w:eastAsia="SimHei" w:cs="SimHei"/>
                <w:sz w:val="21"/>
                <w:szCs w:val="21"/>
                <w:spacing w:val="10"/>
              </w:rPr>
              <w:t>第二十条</w:t>
            </w:r>
            <w:r>
              <w:rPr>
                <w:rFonts w:ascii="SimHei" w:hAnsi="SimHei" w:eastAsia="SimHei" w:cs="SimHei"/>
                <w:sz w:val="21"/>
                <w:szCs w:val="21"/>
                <w:spacing w:val="10"/>
              </w:rPr>
              <w:t xml:space="preserve"> </w:t>
            </w:r>
            <w:r>
              <w:rPr>
                <w:rFonts w:ascii="SimHei" w:hAnsi="SimHei" w:eastAsia="SimHei" w:cs="SimHei"/>
                <w:sz w:val="21"/>
                <w:szCs w:val="21"/>
                <w:spacing w:val="10"/>
              </w:rPr>
              <w:t>疾病预防控制机构、医疗机构和从事病原微生物实验的单位不符合国家规定的条件和技术标准，对传染病病原体样本未按照规</w:t>
            </w:r>
          </w:hyperlink>
        </w:p>
        <w:p>
          <w:pPr>
            <w:pStyle w:val="BodyText"/>
            <w:spacing w:line="307" w:lineRule="auto"/>
            <w:rPr/>
          </w:pPr>
          <w:r/>
        </w:p>
        <w:p>
          <w:pPr>
            <w:spacing w:before="69" w:line="213" w:lineRule="auto"/>
            <w:tabs>
              <w:tab w:val="right" w:leader="dot" w:pos="13050"/>
            </w:tabs>
            <w:rPr>
              <w:rFonts w:ascii="Times New Roman" w:hAnsi="Times New Roman" w:eastAsia="Times New Roman" w:cs="Times New Roman"/>
              <w:sz w:val="21"/>
              <w:szCs w:val="21"/>
            </w:rPr>
          </w:pPr>
          <w:hyperlink w:history="true" w:anchor="bookmark30">
            <w:r>
              <w:rPr>
                <w:rFonts w:ascii="SimHei" w:hAnsi="SimHei" w:eastAsia="SimHei" w:cs="SimHei"/>
                <w:sz w:val="21"/>
                <w:szCs w:val="21"/>
                <w:spacing w:val="8"/>
              </w:rPr>
              <w:t>定进行严格管理，造成实验室感染和病原微生物扩散的</w:t>
            </w:r>
            <w:r>
              <w:rPr>
                <w:rFonts w:ascii="SimHei" w:hAnsi="SimHei" w:eastAsia="SimHei" w:cs="SimHei"/>
                <w:sz w:val="21"/>
                <w:szCs w:val="21"/>
                <w:spacing w:val="-78"/>
              </w:rPr>
              <w:t xml:space="preserve"> </w:t>
            </w:r>
            <w:r>
              <w:rPr>
                <w:rFonts w:ascii="SimHei" w:hAnsi="SimHei" w:eastAsia="SimHei" w:cs="SimHei"/>
                <w:sz w:val="21"/>
                <w:szCs w:val="21"/>
              </w:rPr>
              <w:tab/>
            </w:r>
            <w:r>
              <w:rPr>
                <w:rFonts w:ascii="SimHei" w:hAnsi="SimHei" w:eastAsia="SimHei" w:cs="SimHei"/>
                <w:sz w:val="21"/>
                <w:szCs w:val="21"/>
                <w:spacing w:val="-51"/>
              </w:rPr>
              <w:t xml:space="preserve"> </w:t>
            </w:r>
            <w:r>
              <w:rPr>
                <w:rFonts w:ascii="Times New Roman" w:hAnsi="Times New Roman" w:eastAsia="Times New Roman" w:cs="Times New Roman"/>
                <w:sz w:val="21"/>
                <w:szCs w:val="21"/>
                <w:spacing w:val="-3"/>
              </w:rPr>
              <w:t>95</w:t>
            </w:r>
          </w:hyperlink>
        </w:p>
        <w:p>
          <w:pPr>
            <w:pStyle w:val="BodyText"/>
            <w:spacing w:line="253" w:lineRule="auto"/>
            <w:rPr/>
          </w:pPr>
          <w:r/>
        </w:p>
        <w:p>
          <w:pPr>
            <w:pStyle w:val="BodyText"/>
            <w:spacing w:line="253" w:lineRule="auto"/>
            <w:rPr/>
          </w:pPr>
          <w:r/>
        </w:p>
        <w:p>
          <w:pPr>
            <w:spacing w:before="68" w:line="213" w:lineRule="auto"/>
            <w:tabs>
              <w:tab w:val="right" w:leader="dot" w:pos="13040"/>
            </w:tabs>
            <w:rPr>
              <w:rFonts w:ascii="Times New Roman" w:hAnsi="Times New Roman" w:eastAsia="Times New Roman" w:cs="Times New Roman"/>
              <w:sz w:val="21"/>
              <w:szCs w:val="21"/>
            </w:rPr>
          </w:pPr>
          <w:hyperlink w:history="true" w:anchor="bookmark31">
            <w:r>
              <w:rPr>
                <w:rFonts w:ascii="SimHei" w:hAnsi="SimHei" w:eastAsia="SimHei" w:cs="SimHei"/>
                <w:sz w:val="21"/>
                <w:szCs w:val="21"/>
                <w:spacing w:val="10"/>
              </w:rPr>
              <w:t>第二十一条</w:t>
            </w:r>
            <w:r>
              <w:rPr>
                <w:rFonts w:ascii="SimHei" w:hAnsi="SimHei" w:eastAsia="SimHei" w:cs="SimHei"/>
                <w:sz w:val="21"/>
                <w:szCs w:val="21"/>
                <w:spacing w:val="10"/>
              </w:rPr>
              <w:t xml:space="preserve"> </w:t>
            </w:r>
            <w:r>
              <w:rPr>
                <w:rFonts w:ascii="SimHei" w:hAnsi="SimHei" w:eastAsia="SimHei" w:cs="SimHei"/>
                <w:sz w:val="21"/>
                <w:szCs w:val="21"/>
                <w:spacing w:val="10"/>
              </w:rPr>
              <w:t>违反国家有关规定，采集、保藏、携带、运输和使用传染病菌种、毒种和</w:t>
            </w:r>
            <w:r>
              <w:rPr>
                <w:rFonts w:ascii="SimHei" w:hAnsi="SimHei" w:eastAsia="SimHei" w:cs="SimHei"/>
                <w:sz w:val="21"/>
                <w:szCs w:val="21"/>
                <w:spacing w:val="9"/>
              </w:rPr>
              <w:t>传染病检测样本的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96</w:t>
            </w:r>
          </w:hyperlink>
        </w:p>
        <w:p>
          <w:pPr>
            <w:pStyle w:val="BodyText"/>
            <w:spacing w:line="256" w:lineRule="auto"/>
            <w:rPr/>
          </w:pPr>
          <w:r/>
        </w:p>
        <w:p>
          <w:pPr>
            <w:pStyle w:val="BodyText"/>
            <w:spacing w:line="257" w:lineRule="auto"/>
            <w:rPr/>
          </w:pPr>
          <w:r/>
        </w:p>
        <w:p>
          <w:pPr>
            <w:ind w:left="3"/>
            <w:spacing w:before="69" w:line="213" w:lineRule="auto"/>
            <w:tabs>
              <w:tab w:val="right" w:leader="dot" w:pos="13030"/>
            </w:tabs>
            <w:rPr>
              <w:rFonts w:ascii="Times New Roman" w:hAnsi="Times New Roman" w:eastAsia="Times New Roman" w:cs="Times New Roman"/>
              <w:sz w:val="21"/>
              <w:szCs w:val="21"/>
            </w:rPr>
          </w:pPr>
          <w:hyperlink w:history="true" w:anchor="bookmark32">
            <w:r>
              <w:rPr>
                <w:rFonts w:ascii="SimHei" w:hAnsi="SimHei" w:eastAsia="SimHei" w:cs="SimHei"/>
                <w:sz w:val="21"/>
                <w:szCs w:val="21"/>
                <w:b/>
                <w:bCs/>
                <w:spacing w:val="8"/>
              </w:rPr>
              <w:t>第二十二条</w:t>
            </w:r>
            <w:r>
              <w:rPr>
                <w:rFonts w:ascii="SimHei" w:hAnsi="SimHei" w:eastAsia="SimHei" w:cs="SimHei"/>
                <w:sz w:val="21"/>
                <w:szCs w:val="21"/>
                <w:spacing w:val="8"/>
              </w:rPr>
              <w:t xml:space="preserve"> </w:t>
            </w:r>
            <w:r>
              <w:rPr>
                <w:rFonts w:ascii="SimHei" w:hAnsi="SimHei" w:eastAsia="SimHei" w:cs="SimHei"/>
                <w:sz w:val="21"/>
                <w:szCs w:val="21"/>
                <w:b/>
                <w:bCs/>
                <w:spacing w:val="8"/>
              </w:rPr>
              <w:t>疾病预防控制机构、医疗机构未执行国家有关规定，导致因</w:t>
            </w:r>
            <w:r>
              <w:rPr>
                <w:rFonts w:ascii="SimHei" w:hAnsi="SimHei" w:eastAsia="SimHei" w:cs="SimHei"/>
                <w:sz w:val="21"/>
                <w:szCs w:val="21"/>
                <w:b/>
                <w:bCs/>
                <w:spacing w:val="7"/>
              </w:rPr>
              <w:t>输入血液、使用血液制品引起经血液传播疾病发生的</w:t>
            </w:r>
            <w:r>
              <w:rPr>
                <w:rFonts w:ascii="SimHei" w:hAnsi="SimHei" w:eastAsia="SimHei" w:cs="SimHei"/>
                <w:sz w:val="21"/>
                <w:szCs w:val="21"/>
                <w:spacing w:val="-91"/>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98</w:t>
            </w:r>
          </w:hyperlink>
        </w:p>
      </w:sdtContent>
    </w:sdt>
    <w:p>
      <w:pPr>
        <w:spacing w:line="213" w:lineRule="auto"/>
        <w:sectPr>
          <w:footerReference w:type="default" r:id="rId4"/>
          <w:pgSz w:w="16830" w:h="11900"/>
          <w:pgMar w:top="1011" w:right="1354" w:bottom="1141" w:left="2299" w:header="0" w:footer="771" w:gutter="0"/>
        </w:sectPr>
        <w:rPr>
          <w:rFonts w:ascii="Times New Roman" w:hAnsi="Times New Roman" w:eastAsia="Times New Roman" w:cs="Times New Roman"/>
          <w:sz w:val="21"/>
          <w:szCs w:val="21"/>
        </w:rPr>
      </w:pPr>
    </w:p>
    <w:p>
      <w:pPr>
        <w:pStyle w:val="BodyText"/>
        <w:spacing w:line="277" w:lineRule="auto"/>
        <w:rPr/>
      </w:pPr>
      <w:r/>
    </w:p>
    <w:p>
      <w:pPr>
        <w:pStyle w:val="BodyText"/>
        <w:spacing w:line="277" w:lineRule="auto"/>
        <w:rPr/>
      </w:pPr>
      <w:r/>
    </w:p>
    <w:p>
      <w:pPr>
        <w:pStyle w:val="BodyText"/>
        <w:spacing w:line="277"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spacing w:before="69" w:line="221" w:lineRule="auto"/>
            <w:tabs>
              <w:tab w:val="right" w:leader="dot" w:pos="13320"/>
            </w:tabs>
            <w:rPr>
              <w:rFonts w:ascii="Times New Roman" w:hAnsi="Times New Roman" w:eastAsia="Times New Roman" w:cs="Times New Roman"/>
              <w:sz w:val="21"/>
              <w:szCs w:val="21"/>
            </w:rPr>
          </w:pPr>
          <w:hyperlink w:history="true" w:anchor="bookmark33">
            <w:r>
              <w:rPr>
                <w:rFonts w:ascii="SimHei" w:hAnsi="SimHei" w:eastAsia="SimHei" w:cs="SimHei"/>
                <w:sz w:val="21"/>
                <w:szCs w:val="21"/>
                <w:spacing w:val="-3"/>
              </w:rPr>
              <w:t>(</w:t>
            </w:r>
            <w:r>
              <w:rPr>
                <w:rFonts w:ascii="SimHei" w:hAnsi="SimHei" w:eastAsia="SimHei" w:cs="SimHei"/>
                <w:sz w:val="21"/>
                <w:szCs w:val="21"/>
                <w:spacing w:val="-34"/>
              </w:rPr>
              <w:t xml:space="preserve"> </w:t>
            </w:r>
            <w:r>
              <w:rPr>
                <w:rFonts w:ascii="SimHei" w:hAnsi="SimHei" w:eastAsia="SimHei" w:cs="SimHei"/>
                <w:sz w:val="21"/>
                <w:szCs w:val="21"/>
                <w:spacing w:val="-3"/>
              </w:rPr>
              <w:t>四</w:t>
            </w:r>
            <w:r>
              <w:rPr>
                <w:rFonts w:ascii="SimHei" w:hAnsi="SimHei" w:eastAsia="SimHei" w:cs="SimHei"/>
                <w:sz w:val="21"/>
                <w:szCs w:val="21"/>
                <w:spacing w:val="-51"/>
              </w:rPr>
              <w:t xml:space="preserve"> </w:t>
            </w:r>
            <w:r>
              <w:rPr>
                <w:rFonts w:ascii="SimHei" w:hAnsi="SimHei" w:eastAsia="SimHei" w:cs="SimHei"/>
                <w:sz w:val="21"/>
                <w:szCs w:val="21"/>
                <w:spacing w:val="-3"/>
              </w:rPr>
              <w:t>)</w:t>
            </w:r>
            <w:r>
              <w:rPr>
                <w:rFonts w:ascii="SimHei" w:hAnsi="SimHei" w:eastAsia="SimHei" w:cs="SimHei"/>
                <w:sz w:val="21"/>
                <w:szCs w:val="21"/>
                <w:spacing w:val="44"/>
              </w:rPr>
              <w:t xml:space="preserve"> </w:t>
            </w:r>
            <w:r>
              <w:rPr>
                <w:rFonts w:ascii="SimHei" w:hAnsi="SimHei" w:eastAsia="SimHei" w:cs="SimHei"/>
                <w:sz w:val="21"/>
                <w:szCs w:val="21"/>
                <w:spacing w:val="-3"/>
              </w:rPr>
              <w:t>《中华人民共和国传染病防治法实施办法》</w:t>
            </w:r>
            <w:r>
              <w:rPr>
                <w:rFonts w:ascii="SimHei" w:hAnsi="SimHei" w:eastAsia="SimHei" w:cs="SimHei"/>
                <w:sz w:val="21"/>
                <w:szCs w:val="21"/>
                <w:spacing w:val="-75"/>
              </w:rPr>
              <w:t xml:space="preserve"> </w:t>
            </w:r>
            <w:r>
              <w:rPr>
                <w:rFonts w:ascii="SimHei" w:hAnsi="SimHei" w:eastAsia="SimHei" w:cs="SimHei"/>
                <w:sz w:val="21"/>
                <w:szCs w:val="21"/>
                <w:color w:val="604040"/>
              </w:rPr>
              <w:tab/>
            </w:r>
            <w:r>
              <w:rPr>
                <w:rFonts w:ascii="SimHei" w:hAnsi="SimHei" w:eastAsia="SimHei" w:cs="SimHei"/>
                <w:sz w:val="21"/>
                <w:szCs w:val="21"/>
                <w:spacing w:val="-11"/>
              </w:rPr>
              <w:t xml:space="preserve"> </w:t>
            </w:r>
            <w:r>
              <w:rPr>
                <w:rFonts w:ascii="Times New Roman" w:hAnsi="Times New Roman" w:eastAsia="Times New Roman" w:cs="Times New Roman"/>
                <w:sz w:val="21"/>
                <w:szCs w:val="21"/>
                <w:spacing w:val="-3"/>
              </w:rPr>
              <w:t>99</w:t>
            </w:r>
          </w:hyperlink>
        </w:p>
        <w:p>
          <w:pPr>
            <w:pStyle w:val="BodyText"/>
            <w:spacing w:line="358" w:lineRule="auto"/>
            <w:rPr/>
          </w:pPr>
          <w:r/>
        </w:p>
        <w:p>
          <w:pPr>
            <w:ind w:left="319"/>
            <w:spacing w:before="68" w:line="221" w:lineRule="auto"/>
            <w:tabs>
              <w:tab w:val="right" w:leader="dot" w:pos="13265"/>
            </w:tabs>
            <w:rPr>
              <w:rFonts w:ascii="Times New Roman" w:hAnsi="Times New Roman" w:eastAsia="Times New Roman" w:cs="Times New Roman"/>
              <w:sz w:val="21"/>
              <w:szCs w:val="21"/>
            </w:rPr>
          </w:pPr>
          <w:hyperlink w:history="true" w:anchor="bookmark34">
            <w:r>
              <w:rPr>
                <w:rFonts w:ascii="SimHei" w:hAnsi="SimHei" w:eastAsia="SimHei" w:cs="SimHei"/>
                <w:sz w:val="21"/>
                <w:szCs w:val="21"/>
                <w:spacing w:val="9"/>
              </w:rPr>
              <w:t>第二十三条</w:t>
            </w:r>
            <w:r>
              <w:rPr>
                <w:rFonts w:ascii="SimHei" w:hAnsi="SimHei" w:eastAsia="SimHei" w:cs="SimHei"/>
                <w:sz w:val="21"/>
                <w:szCs w:val="21"/>
                <w:spacing w:val="9"/>
              </w:rPr>
              <w:t xml:space="preserve"> </w:t>
            </w:r>
            <w:r>
              <w:rPr>
                <w:rFonts w:ascii="SimHei" w:hAnsi="SimHei" w:eastAsia="SimHei" w:cs="SimHei"/>
                <w:sz w:val="21"/>
                <w:szCs w:val="21"/>
                <w:spacing w:val="9"/>
              </w:rPr>
              <w:t>对被传染病病原体污染的污水、污物、粪便不按规定进行消毒处</w:t>
            </w:r>
            <w:r>
              <w:rPr>
                <w:rFonts w:ascii="SimHei" w:hAnsi="SimHei" w:eastAsia="SimHei" w:cs="SimHei"/>
                <w:sz w:val="21"/>
                <w:szCs w:val="21"/>
                <w:spacing w:val="8"/>
              </w:rPr>
              <w:t>理的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62"/>
              </w:rPr>
              <w:t xml:space="preserve"> </w:t>
            </w:r>
            <w:r>
              <w:rPr>
                <w:rFonts w:ascii="Times New Roman" w:hAnsi="Times New Roman" w:eastAsia="Times New Roman" w:cs="Times New Roman"/>
                <w:sz w:val="21"/>
                <w:szCs w:val="21"/>
              </w:rPr>
              <w:t>9</w:t>
            </w:r>
          </w:hyperlink>
        </w:p>
        <w:p>
          <w:pPr>
            <w:pStyle w:val="BodyText"/>
            <w:spacing w:line="248" w:lineRule="auto"/>
            <w:rPr/>
          </w:pPr>
          <w:r/>
        </w:p>
        <w:p>
          <w:pPr>
            <w:pStyle w:val="BodyText"/>
            <w:spacing w:line="249" w:lineRule="auto"/>
            <w:rPr/>
          </w:pPr>
          <w:r/>
        </w:p>
        <w:p>
          <w:pPr>
            <w:ind w:right="2"/>
            <w:spacing w:before="68" w:line="221" w:lineRule="auto"/>
            <w:jc w:val="right"/>
            <w:rPr>
              <w:rFonts w:ascii="SimHei" w:hAnsi="SimHei" w:eastAsia="SimHei" w:cs="SimHei"/>
              <w:sz w:val="21"/>
              <w:szCs w:val="21"/>
            </w:rPr>
          </w:pPr>
          <w:hyperlink w:history="true" w:anchor="bookmark35">
            <w:r>
              <w:rPr>
                <w:rFonts w:ascii="SimHei" w:hAnsi="SimHei" w:eastAsia="SimHei" w:cs="SimHei"/>
                <w:sz w:val="21"/>
                <w:szCs w:val="21"/>
                <w:spacing w:val="25"/>
              </w:rPr>
              <w:t>第二十四条</w:t>
            </w:r>
            <w:r>
              <w:rPr>
                <w:rFonts w:ascii="SimHei" w:hAnsi="SimHei" w:eastAsia="SimHei" w:cs="SimHei"/>
                <w:sz w:val="21"/>
                <w:szCs w:val="21"/>
                <w:spacing w:val="25"/>
              </w:rPr>
              <w:t xml:space="preserve"> </w:t>
            </w:r>
            <w:r>
              <w:rPr>
                <w:rFonts w:ascii="SimHei" w:hAnsi="SimHei" w:eastAsia="SimHei" w:cs="SimHei"/>
                <w:sz w:val="21"/>
                <w:szCs w:val="21"/>
                <w:spacing w:val="25"/>
              </w:rPr>
              <w:t>对被甲类和乙类传染病病人、病原携带者、疑似传染病病人污染的场所</w:t>
            </w:r>
            <w:r>
              <w:rPr>
                <w:rFonts w:ascii="SimHei" w:hAnsi="SimHei" w:eastAsia="SimHei" w:cs="SimHei"/>
                <w:sz w:val="21"/>
                <w:szCs w:val="21"/>
                <w:spacing w:val="24"/>
              </w:rPr>
              <w:t>、物未照生疫机构的要求实施必要的卫生处</w:t>
            </w:r>
          </w:hyperlink>
        </w:p>
        <w:p>
          <w:pPr>
            <w:pStyle w:val="BodyText"/>
            <w:spacing w:line="300" w:lineRule="auto"/>
            <w:rPr/>
          </w:pPr>
          <w:r/>
        </w:p>
        <w:p>
          <w:pPr>
            <w:ind w:left="319"/>
            <w:spacing w:before="69" w:line="223" w:lineRule="auto"/>
            <w:tabs>
              <w:tab w:val="right" w:leader="dot" w:pos="13230"/>
            </w:tabs>
            <w:rPr>
              <w:rFonts w:ascii="Times New Roman" w:hAnsi="Times New Roman" w:eastAsia="Times New Roman" w:cs="Times New Roman"/>
              <w:sz w:val="21"/>
              <w:szCs w:val="21"/>
            </w:rPr>
          </w:pPr>
          <w:hyperlink w:history="true" w:anchor="bookmark36">
            <w:r>
              <w:rPr>
                <w:rFonts w:ascii="SimHei" w:hAnsi="SimHei" w:eastAsia="SimHei" w:cs="SimHei"/>
                <w:sz w:val="21"/>
                <w:szCs w:val="21"/>
                <w:color w:val="304040"/>
                <w:spacing w:val="-14"/>
              </w:rPr>
              <w:t>理</w:t>
            </w:r>
            <w:r>
              <w:rPr>
                <w:rFonts w:ascii="SimHei" w:hAnsi="SimHei" w:eastAsia="SimHei" w:cs="SimHei"/>
                <w:sz w:val="21"/>
                <w:szCs w:val="21"/>
                <w:color w:val="304040"/>
                <w:spacing w:val="-30"/>
              </w:rPr>
              <w:t xml:space="preserve"> </w:t>
            </w:r>
            <w:r>
              <w:rPr>
                <w:rFonts w:ascii="SimHei" w:hAnsi="SimHei" w:eastAsia="SimHei" w:cs="SimHei"/>
                <w:sz w:val="21"/>
                <w:szCs w:val="21"/>
                <w:color w:val="304040"/>
                <w:spacing w:val="-14"/>
              </w:rPr>
              <w:t>的</w:t>
            </w:r>
            <w:r>
              <w:rPr>
                <w:rFonts w:ascii="SimHei" w:hAnsi="SimHei" w:eastAsia="SimHei" w:cs="SimHei"/>
                <w:sz w:val="21"/>
                <w:szCs w:val="21"/>
                <w:color w:val="304040"/>
                <w:spacing w:val="-93"/>
              </w:rPr>
              <w:t xml:space="preserve"> </w:t>
            </w:r>
            <w:r>
              <w:rPr>
                <w:rFonts w:ascii="SimHei" w:hAnsi="SimHei" w:eastAsia="SimHei" w:cs="SimHei"/>
                <w:sz w:val="21"/>
                <w:szCs w:val="21"/>
                <w:color w:val="304040"/>
              </w:rPr>
              <w:tab/>
            </w:r>
            <w:r>
              <w:rPr>
                <w:rFonts w:ascii="Times New Roman" w:hAnsi="Times New Roman" w:eastAsia="Times New Roman" w:cs="Times New Roman"/>
                <w:sz w:val="21"/>
                <w:szCs w:val="21"/>
                <w:color w:val="304040"/>
                <w:spacing w:val="-4"/>
              </w:rPr>
              <w:t>101</w:t>
            </w:r>
          </w:hyperlink>
        </w:p>
        <w:p>
          <w:pPr>
            <w:pStyle w:val="BodyText"/>
            <w:spacing w:line="251" w:lineRule="auto"/>
            <w:rPr/>
          </w:pPr>
          <w:r/>
        </w:p>
        <w:p>
          <w:pPr>
            <w:pStyle w:val="BodyText"/>
            <w:spacing w:line="251" w:lineRule="auto"/>
            <w:rPr/>
          </w:pPr>
          <w:r/>
        </w:p>
        <w:p>
          <w:pPr>
            <w:ind w:left="319"/>
            <w:spacing w:before="68" w:line="221" w:lineRule="auto"/>
            <w:tabs>
              <w:tab w:val="right" w:leader="dot" w:pos="13280"/>
            </w:tabs>
            <w:rPr>
              <w:rFonts w:ascii="Times New Roman" w:hAnsi="Times New Roman" w:eastAsia="Times New Roman" w:cs="Times New Roman"/>
              <w:sz w:val="21"/>
              <w:szCs w:val="21"/>
            </w:rPr>
          </w:pPr>
          <w:hyperlink w:history="true" w:anchor="bookmark37">
            <w:r>
              <w:rPr>
                <w:rFonts w:ascii="SimHei" w:hAnsi="SimHei" w:eastAsia="SimHei" w:cs="SimHei"/>
                <w:sz w:val="21"/>
                <w:szCs w:val="21"/>
                <w:spacing w:val="10"/>
              </w:rPr>
              <w:t>第二十五条</w:t>
            </w:r>
            <w:r>
              <w:rPr>
                <w:rFonts w:ascii="SimHei" w:hAnsi="SimHei" w:eastAsia="SimHei" w:cs="SimHei"/>
                <w:sz w:val="21"/>
                <w:szCs w:val="21"/>
                <w:spacing w:val="10"/>
              </w:rPr>
              <w:t xml:space="preserve"> </w:t>
            </w:r>
            <w:r>
              <w:rPr>
                <w:rFonts w:ascii="SimHei" w:hAnsi="SimHei" w:eastAsia="SimHei" w:cs="SimHei"/>
                <w:sz w:val="21"/>
                <w:szCs w:val="21"/>
                <w:spacing w:val="10"/>
              </w:rPr>
              <w:t>造成传染病的医源性感染、医院内</w:t>
            </w:r>
            <w:r>
              <w:rPr>
                <w:rFonts w:ascii="SimHei" w:hAnsi="SimHei" w:eastAsia="SimHei" w:cs="SimHei"/>
                <w:sz w:val="21"/>
                <w:szCs w:val="21"/>
                <w:spacing w:val="9"/>
              </w:rPr>
              <w:t>感染、实验室感染和致病性微生物扩散的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102</w:t>
            </w:r>
          </w:hyperlink>
        </w:p>
        <w:p>
          <w:pPr>
            <w:pStyle w:val="BodyText"/>
            <w:spacing w:line="248" w:lineRule="auto"/>
            <w:rPr/>
          </w:pPr>
          <w:r/>
        </w:p>
        <w:p>
          <w:pPr>
            <w:pStyle w:val="BodyText"/>
            <w:spacing w:line="249" w:lineRule="auto"/>
            <w:rPr/>
          </w:pPr>
          <w:r/>
        </w:p>
        <w:p>
          <w:pPr>
            <w:ind w:right="12"/>
            <w:spacing w:before="69" w:line="222" w:lineRule="auto"/>
            <w:jc w:val="right"/>
            <w:rPr>
              <w:rFonts w:ascii="SimHei" w:hAnsi="SimHei" w:eastAsia="SimHei" w:cs="SimHei"/>
              <w:sz w:val="21"/>
              <w:szCs w:val="21"/>
            </w:rPr>
          </w:pPr>
          <w:hyperlink w:history="true" w:anchor="bookmark38">
            <w:r>
              <w:rPr>
                <w:rFonts w:ascii="SimHei" w:hAnsi="SimHei" w:eastAsia="SimHei" w:cs="SimHei"/>
                <w:sz w:val="21"/>
                <w:szCs w:val="21"/>
                <w:spacing w:val="6"/>
              </w:rPr>
              <w:t>第二十六条</w:t>
            </w:r>
            <w:r>
              <w:rPr>
                <w:rFonts w:ascii="SimHei" w:hAnsi="SimHei" w:eastAsia="SimHei" w:cs="SimHei"/>
                <w:sz w:val="21"/>
                <w:szCs w:val="21"/>
                <w:spacing w:val="6"/>
              </w:rPr>
              <w:t xml:space="preserve"> </w:t>
            </w:r>
            <w:r>
              <w:rPr>
                <w:rFonts w:ascii="SimHei" w:hAnsi="SimHei" w:eastAsia="SimHei" w:cs="SimHei"/>
                <w:sz w:val="21"/>
                <w:szCs w:val="21"/>
                <w:spacing w:val="6"/>
              </w:rPr>
              <w:t>生产、经营、使用消毒药剂和消毒器械、卫生用品、卫生材料、</w:t>
            </w:r>
            <w:r>
              <w:rPr>
                <w:rFonts w:ascii="SimHei" w:hAnsi="SimHei" w:eastAsia="SimHei" w:cs="SimHei"/>
                <w:sz w:val="21"/>
                <w:szCs w:val="21"/>
                <w:spacing w:val="65"/>
              </w:rPr>
              <w:t xml:space="preserve"> </w:t>
            </w:r>
            <w:r>
              <w:rPr>
                <w:rFonts w:ascii="SimHei" w:hAnsi="SimHei" w:eastAsia="SimHei" w:cs="SimHei"/>
                <w:sz w:val="21"/>
                <w:szCs w:val="21"/>
                <w:spacing w:val="6"/>
              </w:rPr>
              <w:t>一次性医疗器材、隐形眼镜、人造器官等不符合国家卫生标</w:t>
            </w:r>
          </w:hyperlink>
        </w:p>
        <w:p>
          <w:pPr>
            <w:pStyle w:val="BodyText"/>
            <w:spacing w:line="337" w:lineRule="auto"/>
            <w:rPr/>
          </w:pPr>
          <w:r/>
        </w:p>
        <w:p>
          <w:pPr>
            <w:ind w:left="319"/>
            <w:spacing w:before="69" w:line="213" w:lineRule="auto"/>
            <w:tabs>
              <w:tab w:val="right" w:leader="dot" w:pos="13199"/>
            </w:tabs>
            <w:rPr>
              <w:rFonts w:ascii="SimHei" w:hAnsi="SimHei" w:eastAsia="SimHei" w:cs="SimHei"/>
              <w:sz w:val="12"/>
              <w:szCs w:val="12"/>
            </w:rPr>
          </w:pPr>
          <w:hyperlink w:history="true" w:anchor="bookmark39">
            <w:r>
              <w:rPr>
                <w:rFonts w:ascii="SimHei" w:hAnsi="SimHei" w:eastAsia="SimHei" w:cs="SimHei"/>
                <w:sz w:val="21"/>
                <w:szCs w:val="21"/>
                <w:spacing w:val="6"/>
              </w:rPr>
              <w:t>准</w:t>
            </w:r>
            <w:r>
              <w:rPr>
                <w:rFonts w:ascii="SimHei" w:hAnsi="SimHei" w:eastAsia="SimHei" w:cs="SimHei"/>
                <w:sz w:val="21"/>
                <w:szCs w:val="21"/>
                <w:spacing w:val="6"/>
              </w:rPr>
              <w:t xml:space="preserve"> </w:t>
            </w:r>
            <w:r>
              <w:rPr>
                <w:rFonts w:ascii="SimHei" w:hAnsi="SimHei" w:eastAsia="SimHei" w:cs="SimHei"/>
                <w:sz w:val="21"/>
                <w:szCs w:val="21"/>
                <w:spacing w:val="6"/>
              </w:rPr>
              <w:t>，可能造成传染病的传播、扩散或者造成传染病的传播、扩散的</w:t>
            </w:r>
            <w:r>
              <w:rPr>
                <w:rFonts w:ascii="SimHei" w:hAnsi="SimHei" w:eastAsia="SimHei" w:cs="SimHei"/>
                <w:sz w:val="21"/>
                <w:szCs w:val="21"/>
                <w:spacing w:val="49"/>
              </w:rPr>
              <w:t xml:space="preserve"> </w:t>
            </w:r>
            <w:r>
              <w:rPr>
                <w:rFonts w:ascii="SimHei" w:hAnsi="SimHei" w:eastAsia="SimHei" w:cs="SimHei"/>
                <w:sz w:val="21"/>
                <w:szCs w:val="21"/>
              </w:rPr>
              <w:tab/>
            </w:r>
            <w:r>
              <w:rPr>
                <w:rFonts w:ascii="SimHei" w:hAnsi="SimHei" w:eastAsia="SimHei" w:cs="SimHei"/>
                <w:sz w:val="12"/>
                <w:szCs w:val="12"/>
                <w:position w:val="2"/>
              </w:rPr>
              <w:t>104</w:t>
            </w:r>
          </w:hyperlink>
        </w:p>
        <w:p>
          <w:pPr>
            <w:pStyle w:val="BodyText"/>
            <w:spacing w:line="466" w:lineRule="auto"/>
            <w:rPr/>
          </w:pPr>
          <w:r/>
        </w:p>
        <w:p>
          <w:pPr>
            <w:spacing w:before="68" w:line="213" w:lineRule="auto"/>
            <w:jc w:val="right"/>
            <w:rPr>
              <w:rFonts w:ascii="SimHei" w:hAnsi="SimHei" w:eastAsia="SimHei" w:cs="SimHei"/>
              <w:sz w:val="21"/>
              <w:szCs w:val="21"/>
            </w:rPr>
          </w:pPr>
          <w:hyperlink w:history="true" w:anchor="bookmark40">
            <w:r>
              <w:rPr>
                <w:rFonts w:ascii="SimHei" w:hAnsi="SimHei" w:eastAsia="SimHei" w:cs="SimHei"/>
                <w:sz w:val="21"/>
                <w:szCs w:val="21"/>
                <w:spacing w:val="9"/>
              </w:rPr>
              <w:t>第二十七条</w:t>
            </w:r>
            <w:r>
              <w:rPr>
                <w:rFonts w:ascii="SimHei" w:hAnsi="SimHei" w:eastAsia="SimHei" w:cs="SimHei"/>
                <w:sz w:val="21"/>
                <w:szCs w:val="21"/>
                <w:spacing w:val="9"/>
              </w:rPr>
              <w:t xml:space="preserve"> </w:t>
            </w:r>
            <w:r>
              <w:rPr>
                <w:rFonts w:ascii="SimHei" w:hAnsi="SimHei" w:eastAsia="SimHei" w:cs="SimHei"/>
                <w:sz w:val="21"/>
                <w:szCs w:val="21"/>
                <w:spacing w:val="9"/>
              </w:rPr>
              <w:t>准许或者纵容传染病病人、病原携带者和疑似传染病病人，从事国务院卫生行政部门规定禁止从事的易使该传染病扩散的工</w:t>
            </w:r>
          </w:hyperlink>
        </w:p>
        <w:p>
          <w:pPr>
            <w:pStyle w:val="BodyText"/>
            <w:spacing w:line="316" w:lineRule="auto"/>
            <w:rPr/>
          </w:pPr>
          <w:r/>
        </w:p>
        <w:p>
          <w:pPr>
            <w:ind w:left="319"/>
            <w:spacing w:before="70" w:line="222" w:lineRule="auto"/>
            <w:tabs>
              <w:tab w:val="right" w:leader="dot" w:pos="13230"/>
            </w:tabs>
            <w:rPr>
              <w:rFonts w:ascii="Times New Roman" w:hAnsi="Times New Roman" w:eastAsia="Times New Roman" w:cs="Times New Roman"/>
              <w:sz w:val="21"/>
              <w:szCs w:val="21"/>
            </w:rPr>
          </w:pPr>
          <w:hyperlink w:history="true" w:anchor="bookmark41">
            <w:r>
              <w:rPr>
                <w:rFonts w:ascii="SimHei" w:hAnsi="SimHei" w:eastAsia="SimHei" w:cs="SimHei"/>
                <w:sz w:val="21"/>
                <w:szCs w:val="21"/>
                <w:spacing w:val="19"/>
              </w:rPr>
              <w:t>作的</w:t>
            </w:r>
            <w:r>
              <w:rPr>
                <w:rFonts w:ascii="SimHei" w:hAnsi="SimHei" w:eastAsia="SimHei" w:cs="SimHei"/>
                <w:sz w:val="21"/>
                <w:szCs w:val="21"/>
                <w:spacing w:val="-94"/>
              </w:rPr>
              <w:t xml:space="preserve"> </w:t>
            </w:r>
            <w:r>
              <w:rPr>
                <w:rFonts w:ascii="SimHei" w:hAnsi="SimHei" w:eastAsia="SimHei" w:cs="SimHei"/>
                <w:sz w:val="21"/>
                <w:szCs w:val="21"/>
              </w:rPr>
              <w:tab/>
            </w:r>
            <w:r>
              <w:rPr>
                <w:rFonts w:ascii="Times New Roman" w:hAnsi="Times New Roman" w:eastAsia="Times New Roman" w:cs="Times New Roman"/>
                <w:sz w:val="21"/>
                <w:szCs w:val="21"/>
                <w:spacing w:val="-7"/>
              </w:rPr>
              <w:t>105</w:t>
            </w:r>
          </w:hyperlink>
        </w:p>
        <w:p>
          <w:pPr>
            <w:pStyle w:val="BodyText"/>
            <w:spacing w:line="248" w:lineRule="auto"/>
            <w:rPr/>
          </w:pPr>
          <w:r/>
        </w:p>
        <w:p>
          <w:pPr>
            <w:pStyle w:val="BodyText"/>
            <w:spacing w:line="248" w:lineRule="auto"/>
            <w:rPr/>
          </w:pPr>
          <w:r/>
        </w:p>
        <w:p>
          <w:pPr>
            <w:ind w:left="319"/>
            <w:spacing w:before="69" w:line="213" w:lineRule="auto"/>
            <w:tabs>
              <w:tab w:val="right" w:leader="dot" w:pos="13220"/>
            </w:tabs>
            <w:rPr>
              <w:rFonts w:ascii="Times New Roman" w:hAnsi="Times New Roman" w:eastAsia="Times New Roman" w:cs="Times New Roman"/>
              <w:sz w:val="21"/>
              <w:szCs w:val="21"/>
            </w:rPr>
          </w:pPr>
          <w:hyperlink w:history="true" w:anchor="bookmark42">
            <w:r>
              <w:rPr>
                <w:rFonts w:ascii="SimHei" w:hAnsi="SimHei" w:eastAsia="SimHei" w:cs="SimHei"/>
                <w:sz w:val="21"/>
                <w:szCs w:val="21"/>
                <w:spacing w:val="10"/>
              </w:rPr>
              <w:t>第二十八条</w:t>
            </w:r>
            <w:r>
              <w:rPr>
                <w:rFonts w:ascii="SimHei" w:hAnsi="SimHei" w:eastAsia="SimHei" w:cs="SimHei"/>
                <w:sz w:val="21"/>
                <w:szCs w:val="21"/>
                <w:spacing w:val="10"/>
              </w:rPr>
              <w:t xml:space="preserve"> </w:t>
            </w:r>
            <w:r>
              <w:rPr>
                <w:rFonts w:ascii="SimHei" w:hAnsi="SimHei" w:eastAsia="SimHei" w:cs="SimHei"/>
                <w:sz w:val="21"/>
                <w:szCs w:val="21"/>
                <w:spacing w:val="10"/>
              </w:rPr>
              <w:t>传染病病人、病原携带者故意传播传染病，造成他人感染的</w:t>
            </w:r>
            <w:r>
              <w:rPr>
                <w:rFonts w:ascii="SimHei" w:hAnsi="SimHei" w:eastAsia="SimHei" w:cs="SimHei"/>
                <w:sz w:val="21"/>
                <w:szCs w:val="21"/>
                <w:spacing w:val="-81"/>
              </w:rPr>
              <w:t xml:space="preserve"> </w:t>
            </w:r>
            <w:r>
              <w:rPr>
                <w:rFonts w:ascii="SimHei" w:hAnsi="SimHei" w:eastAsia="SimHei" w:cs="SimHei"/>
                <w:sz w:val="21"/>
                <w:szCs w:val="21"/>
              </w:rPr>
              <w:tab/>
            </w:r>
            <w:r>
              <w:rPr>
                <w:rFonts w:ascii="Times New Roman" w:hAnsi="Times New Roman" w:eastAsia="Times New Roman" w:cs="Times New Roman"/>
                <w:sz w:val="21"/>
                <w:szCs w:val="21"/>
                <w:spacing w:val="-5"/>
              </w:rPr>
              <w:t>107</w:t>
            </w:r>
          </w:hyperlink>
        </w:p>
        <w:p>
          <w:pPr>
            <w:pStyle w:val="BodyText"/>
            <w:spacing w:line="251" w:lineRule="auto"/>
            <w:rPr/>
          </w:pPr>
          <w:r/>
        </w:p>
        <w:p>
          <w:pPr>
            <w:pStyle w:val="BodyText"/>
            <w:spacing w:line="252" w:lineRule="auto"/>
            <w:rPr/>
          </w:pPr>
          <w:r/>
        </w:p>
        <w:p>
          <w:pPr>
            <w:ind w:left="322"/>
            <w:spacing w:before="68" w:line="213" w:lineRule="auto"/>
            <w:tabs>
              <w:tab w:val="right" w:leader="dot" w:pos="13230"/>
            </w:tabs>
            <w:rPr>
              <w:rFonts w:ascii="Times New Roman" w:hAnsi="Times New Roman" w:eastAsia="Times New Roman" w:cs="Times New Roman"/>
              <w:sz w:val="21"/>
              <w:szCs w:val="21"/>
            </w:rPr>
          </w:pPr>
          <w:hyperlink w:history="true" w:anchor="bookmark43">
            <w:r>
              <w:rPr>
                <w:rFonts w:ascii="SimHei" w:hAnsi="SimHei" w:eastAsia="SimHei" w:cs="SimHei"/>
                <w:sz w:val="21"/>
                <w:szCs w:val="21"/>
                <w:b/>
                <w:bCs/>
                <w:spacing w:val="11"/>
              </w:rPr>
              <w:t>第二十九条</w:t>
            </w:r>
            <w:r>
              <w:rPr>
                <w:rFonts w:ascii="SimHei" w:hAnsi="SimHei" w:eastAsia="SimHei" w:cs="SimHei"/>
                <w:sz w:val="21"/>
                <w:szCs w:val="21"/>
                <w:spacing w:val="36"/>
              </w:rPr>
              <w:t xml:space="preserve"> </w:t>
            </w:r>
            <w:r>
              <w:rPr>
                <w:rFonts w:ascii="SimHei" w:hAnsi="SimHei" w:eastAsia="SimHei" w:cs="SimHei"/>
                <w:sz w:val="21"/>
                <w:szCs w:val="21"/>
                <w:b/>
                <w:bCs/>
                <w:spacing w:val="11"/>
              </w:rPr>
              <w:t>甲类传染病病人、病原携带者或者疑似传染病病人，乙类传染病中艾滋病、肺炭疽病人绝进行隔</w:t>
            </w:r>
            <w:r>
              <w:rPr>
                <w:rFonts w:ascii="SimHei" w:hAnsi="SimHei" w:eastAsia="SimHei" w:cs="SimHei"/>
                <w:sz w:val="21"/>
                <w:szCs w:val="21"/>
                <w:b/>
                <w:bCs/>
                <w:spacing w:val="10"/>
              </w:rPr>
              <w:t>离治疗的</w:t>
            </w:r>
            <w:r>
              <w:rPr>
                <w:rFonts w:ascii="SimHei" w:hAnsi="SimHei" w:eastAsia="SimHei" w:cs="SimHei"/>
                <w:sz w:val="21"/>
                <w:szCs w:val="21"/>
                <w:spacing w:val="-90"/>
              </w:rPr>
              <w:t xml:space="preserve"> </w:t>
            </w:r>
            <w:r>
              <w:rPr>
                <w:rFonts w:ascii="SimHei" w:hAnsi="SimHei" w:eastAsia="SimHei" w:cs="SimHei"/>
                <w:sz w:val="21"/>
                <w:szCs w:val="21"/>
              </w:rPr>
              <w:tab/>
            </w:r>
            <w:r>
              <w:rPr>
                <w:rFonts w:ascii="SimHei" w:hAnsi="SimHei" w:eastAsia="SimHei" w:cs="SimHei"/>
                <w:sz w:val="21"/>
                <w:szCs w:val="21"/>
                <w:spacing w:val="-66"/>
              </w:rPr>
              <w:t xml:space="preserve"> </w:t>
            </w:r>
            <w:r>
              <w:rPr>
                <w:rFonts w:ascii="Times New Roman" w:hAnsi="Times New Roman" w:eastAsia="Times New Roman" w:cs="Times New Roman"/>
                <w:sz w:val="21"/>
                <w:szCs w:val="21"/>
                <w:b/>
                <w:bCs/>
                <w:spacing w:val="-4"/>
              </w:rPr>
              <w:t>108</w:t>
            </w:r>
          </w:hyperlink>
        </w:p>
      </w:sdtContent>
    </w:sdt>
    <w:p>
      <w:pPr>
        <w:spacing w:line="213" w:lineRule="auto"/>
        <w:sectPr>
          <w:footerReference w:type="default" r:id="rId5"/>
          <w:pgSz w:w="16830" w:h="11900"/>
          <w:pgMar w:top="1011" w:right="1480" w:bottom="1156" w:left="1989" w:header="0" w:footer="784" w:gutter="0"/>
        </w:sectPr>
        <w:rPr>
          <w:rFonts w:ascii="Times New Roman" w:hAnsi="Times New Roman" w:eastAsia="Times New Roman" w:cs="Times New Roman"/>
          <w:sz w:val="21"/>
          <w:szCs w:val="21"/>
        </w:rPr>
      </w:pPr>
    </w:p>
    <w:p>
      <w:pPr>
        <w:pStyle w:val="BodyText"/>
        <w:spacing w:line="310" w:lineRule="auto"/>
        <w:rPr/>
      </w:pPr>
      <w:r/>
    </w:p>
    <w:p>
      <w:pPr>
        <w:pStyle w:val="BodyText"/>
        <w:spacing w:line="310" w:lineRule="auto"/>
        <w:rPr/>
      </w:pPr>
      <w:r/>
    </w:p>
    <w:p>
      <w:pPr>
        <w:pStyle w:val="BodyText"/>
        <w:spacing w:line="311"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310"/>
            <w:spacing w:before="68" w:line="221" w:lineRule="auto"/>
            <w:tabs>
              <w:tab w:val="right" w:leader="dot" w:pos="13295"/>
            </w:tabs>
            <w:rPr>
              <w:rFonts w:ascii="Times New Roman" w:hAnsi="Times New Roman" w:eastAsia="Times New Roman" w:cs="Times New Roman"/>
              <w:sz w:val="21"/>
              <w:szCs w:val="21"/>
            </w:rPr>
          </w:pPr>
          <w:hyperlink w:history="true" w:anchor="bookmark44">
            <w:r>
              <w:rPr>
                <w:rFonts w:ascii="SimHei" w:hAnsi="SimHei" w:eastAsia="SimHei" w:cs="SimHei"/>
                <w:sz w:val="21"/>
                <w:szCs w:val="21"/>
                <w:spacing w:val="12"/>
              </w:rPr>
              <w:t>第三十条</w:t>
            </w:r>
            <w:r>
              <w:rPr>
                <w:rFonts w:ascii="SimHei" w:hAnsi="SimHei" w:eastAsia="SimHei" w:cs="SimHei"/>
                <w:sz w:val="21"/>
                <w:szCs w:val="21"/>
                <w:spacing w:val="12"/>
              </w:rPr>
              <w:t xml:space="preserve"> </w:t>
            </w:r>
            <w:r>
              <w:rPr>
                <w:rFonts w:ascii="SimHei" w:hAnsi="SimHei" w:eastAsia="SimHei" w:cs="SimHei"/>
                <w:sz w:val="21"/>
                <w:szCs w:val="21"/>
                <w:spacing w:val="12"/>
              </w:rPr>
              <w:t>在自然疫源地和可能是自然疫源地的地区兴建大型建</w:t>
            </w:r>
            <w:r>
              <w:rPr>
                <w:rFonts w:ascii="SimHei" w:hAnsi="SimHei" w:eastAsia="SimHei" w:cs="SimHei"/>
                <w:sz w:val="21"/>
                <w:szCs w:val="21"/>
                <w:spacing w:val="11"/>
              </w:rPr>
              <w:t>设项目未经卫生调查即进行施工的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10</w:t>
            </w:r>
          </w:hyperlink>
        </w:p>
        <w:p>
          <w:pPr>
            <w:pStyle w:val="BodyText"/>
            <w:spacing w:line="248" w:lineRule="auto"/>
            <w:rPr/>
          </w:pPr>
          <w:r/>
        </w:p>
        <w:p>
          <w:pPr>
            <w:pStyle w:val="BodyText"/>
            <w:spacing w:line="249" w:lineRule="auto"/>
            <w:rPr/>
          </w:pPr>
          <w:r/>
        </w:p>
        <w:p>
          <w:pPr>
            <w:ind w:left="310"/>
            <w:spacing w:before="68" w:line="221" w:lineRule="auto"/>
            <w:tabs>
              <w:tab w:val="right" w:leader="dot" w:pos="13310"/>
            </w:tabs>
            <w:rPr>
              <w:rFonts w:ascii="Times New Roman" w:hAnsi="Times New Roman" w:eastAsia="Times New Roman" w:cs="Times New Roman"/>
              <w:sz w:val="21"/>
              <w:szCs w:val="21"/>
            </w:rPr>
          </w:pPr>
          <w:hyperlink w:history="true" w:anchor="bookmark45">
            <w:r>
              <w:rPr>
                <w:rFonts w:ascii="SimHei" w:hAnsi="SimHei" w:eastAsia="SimHei" w:cs="SimHei"/>
                <w:sz w:val="21"/>
                <w:szCs w:val="21"/>
                <w:spacing w:val="12"/>
              </w:rPr>
              <w:t>第三十一条</w:t>
            </w:r>
            <w:r>
              <w:rPr>
                <w:rFonts w:ascii="SimHei" w:hAnsi="SimHei" w:eastAsia="SimHei" w:cs="SimHei"/>
                <w:sz w:val="21"/>
                <w:szCs w:val="21"/>
                <w:spacing w:val="12"/>
              </w:rPr>
              <w:t xml:space="preserve"> </w:t>
            </w:r>
            <w:r>
              <w:rPr>
                <w:rFonts w:ascii="SimHei" w:hAnsi="SimHei" w:eastAsia="SimHei" w:cs="SimHei"/>
                <w:sz w:val="21"/>
                <w:szCs w:val="21"/>
                <w:spacing w:val="12"/>
              </w:rPr>
              <w:t>单位和个人出售、运输被传染病病原体污染和来</w:t>
            </w:r>
            <w:r>
              <w:rPr>
                <w:rFonts w:ascii="SimHei" w:hAnsi="SimHei" w:eastAsia="SimHei" w:cs="SimHei"/>
                <w:sz w:val="21"/>
                <w:szCs w:val="21"/>
                <w:spacing w:val="11"/>
              </w:rPr>
              <w:t>自疫区可能被传染病病原体污染的皮毛、旧衣物及生物用品的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111</w:t>
            </w:r>
          </w:hyperlink>
        </w:p>
        <w:p>
          <w:pPr>
            <w:pStyle w:val="BodyText"/>
            <w:spacing w:line="253" w:lineRule="auto"/>
            <w:rPr/>
          </w:pPr>
          <w:r/>
        </w:p>
        <w:p>
          <w:pPr>
            <w:pStyle w:val="BodyText"/>
            <w:spacing w:line="254" w:lineRule="auto"/>
            <w:rPr/>
          </w:pPr>
          <w:r/>
        </w:p>
        <w:p>
          <w:pPr>
            <w:ind w:left="310"/>
            <w:spacing w:before="68" w:line="221" w:lineRule="auto"/>
            <w:tabs>
              <w:tab w:val="right" w:leader="dot" w:pos="13406"/>
            </w:tabs>
            <w:rPr>
              <w:rFonts w:ascii="Times New Roman" w:hAnsi="Times New Roman" w:eastAsia="Times New Roman" w:cs="Times New Roman"/>
              <w:sz w:val="21"/>
              <w:szCs w:val="21"/>
            </w:rPr>
          </w:pPr>
          <w:hyperlink w:history="true" w:anchor="bookmark46">
            <w:r>
              <w:rPr>
                <w:rFonts w:ascii="SimHei" w:hAnsi="SimHei" w:eastAsia="SimHei" w:cs="SimHei"/>
                <w:sz w:val="21"/>
                <w:szCs w:val="21"/>
                <w:spacing w:val="12"/>
              </w:rPr>
              <w:t>第三十二条</w:t>
            </w:r>
            <w:r>
              <w:rPr>
                <w:rFonts w:ascii="SimHei" w:hAnsi="SimHei" w:eastAsia="SimHei" w:cs="SimHei"/>
                <w:sz w:val="21"/>
                <w:szCs w:val="21"/>
                <w:spacing w:val="12"/>
              </w:rPr>
              <w:t xml:space="preserve"> </w:t>
            </w:r>
            <w:r>
              <w:rPr>
                <w:rFonts w:ascii="SimHei" w:hAnsi="SimHei" w:eastAsia="SimHei" w:cs="SimHei"/>
                <w:sz w:val="21"/>
                <w:szCs w:val="21"/>
                <w:spacing w:val="12"/>
              </w:rPr>
              <w:t>单位和个人非法经营、出售用于预防传染病菌苗、疫苗等生物制品的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21"/>
              </w:rPr>
              <w:t>11</w:t>
            </w:r>
            <w:r>
              <w:rPr>
                <w:rFonts w:ascii="Times New Roman" w:hAnsi="Times New Roman" w:eastAsia="Times New Roman" w:cs="Times New Roman"/>
                <w:sz w:val="21"/>
                <w:szCs w:val="21"/>
                <w:spacing w:val="-9"/>
              </w:rPr>
              <w:t>2</w:t>
            </w:r>
          </w:hyperlink>
        </w:p>
        <w:p>
          <w:pPr>
            <w:pStyle w:val="BodyText"/>
            <w:spacing w:line="244" w:lineRule="auto"/>
            <w:rPr/>
          </w:pPr>
          <w:r/>
        </w:p>
        <w:p>
          <w:pPr>
            <w:pStyle w:val="BodyText"/>
            <w:spacing w:line="244" w:lineRule="auto"/>
            <w:rPr/>
          </w:pPr>
          <w:r/>
        </w:p>
        <w:p>
          <w:pPr>
            <w:ind w:left="310"/>
            <w:spacing w:before="68" w:line="213" w:lineRule="auto"/>
            <w:tabs>
              <w:tab w:val="right" w:leader="dot" w:pos="13295"/>
            </w:tabs>
            <w:rPr>
              <w:rFonts w:ascii="Times New Roman" w:hAnsi="Times New Roman" w:eastAsia="Times New Roman" w:cs="Times New Roman"/>
              <w:sz w:val="21"/>
              <w:szCs w:val="21"/>
            </w:rPr>
          </w:pPr>
          <w:hyperlink w:history="true" w:anchor="bookmark47">
            <w:r>
              <w:rPr>
                <w:rFonts w:ascii="SimHei" w:hAnsi="SimHei" w:eastAsia="SimHei" w:cs="SimHei"/>
                <w:sz w:val="21"/>
                <w:szCs w:val="21"/>
                <w:spacing w:val="9"/>
              </w:rPr>
              <w:t>第三十三条</w:t>
            </w:r>
            <w:r>
              <w:rPr>
                <w:rFonts w:ascii="SimHei" w:hAnsi="SimHei" w:eastAsia="SimHei" w:cs="SimHei"/>
                <w:sz w:val="21"/>
                <w:szCs w:val="21"/>
                <w:spacing w:val="9"/>
              </w:rPr>
              <w:t xml:space="preserve"> </w:t>
            </w:r>
            <w:r>
              <w:rPr>
                <w:rFonts w:ascii="SimHei" w:hAnsi="SimHei" w:eastAsia="SimHei" w:cs="SimHei"/>
                <w:sz w:val="21"/>
                <w:szCs w:val="21"/>
                <w:spacing w:val="9"/>
              </w:rPr>
              <w:t>个体行医人员在执行职务时，不报、漏报、迟报传</w:t>
            </w:r>
            <w:r>
              <w:rPr>
                <w:rFonts w:ascii="SimHei" w:hAnsi="SimHei" w:eastAsia="SimHei" w:cs="SimHei"/>
                <w:sz w:val="21"/>
                <w:szCs w:val="21"/>
                <w:spacing w:val="8"/>
              </w:rPr>
              <w:t>染病疫情的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13</w:t>
            </w:r>
          </w:hyperlink>
        </w:p>
        <w:p>
          <w:pPr>
            <w:pStyle w:val="BodyText"/>
            <w:spacing w:line="472" w:lineRule="auto"/>
            <w:rPr/>
          </w:pPr>
          <w:r/>
        </w:p>
        <w:p>
          <w:pPr>
            <w:spacing w:before="68" w:line="223" w:lineRule="auto"/>
            <w:tabs>
              <w:tab w:val="right" w:leader="dot" w:pos="13235"/>
            </w:tabs>
            <w:rPr>
              <w:rFonts w:ascii="Times New Roman" w:hAnsi="Times New Roman" w:eastAsia="Times New Roman" w:cs="Times New Roman"/>
              <w:sz w:val="21"/>
              <w:szCs w:val="21"/>
            </w:rPr>
          </w:pPr>
          <w:hyperlink w:history="true" w:anchor="bookmark48">
            <w:r>
              <w:rPr>
                <w:rFonts w:ascii="KaiTi" w:hAnsi="KaiTi" w:eastAsia="KaiTi" w:cs="KaiTi"/>
                <w:sz w:val="21"/>
                <w:szCs w:val="21"/>
                <w:spacing w:val="-6"/>
              </w:rPr>
              <w:t>(</w:t>
            </w:r>
            <w:r>
              <w:rPr>
                <w:rFonts w:ascii="KaiTi" w:hAnsi="KaiTi" w:eastAsia="KaiTi" w:cs="KaiTi"/>
                <w:sz w:val="21"/>
                <w:szCs w:val="21"/>
                <w:spacing w:val="-34"/>
              </w:rPr>
              <w:t xml:space="preserve"> </w:t>
            </w:r>
            <w:r>
              <w:rPr>
                <w:rFonts w:ascii="KaiTi" w:hAnsi="KaiTi" w:eastAsia="KaiTi" w:cs="KaiTi"/>
                <w:sz w:val="21"/>
                <w:szCs w:val="21"/>
                <w:spacing w:val="-6"/>
              </w:rPr>
              <w:t>五</w:t>
            </w:r>
            <w:r>
              <w:rPr>
                <w:rFonts w:ascii="KaiTi" w:hAnsi="KaiTi" w:eastAsia="KaiTi" w:cs="KaiTi"/>
                <w:sz w:val="21"/>
                <w:szCs w:val="21"/>
                <w:spacing w:val="-51"/>
              </w:rPr>
              <w:t xml:space="preserve"> </w:t>
            </w:r>
            <w:r>
              <w:rPr>
                <w:rFonts w:ascii="KaiTi" w:hAnsi="KaiTi" w:eastAsia="KaiTi" w:cs="KaiTi"/>
                <w:sz w:val="21"/>
                <w:szCs w:val="21"/>
                <w:spacing w:val="-6"/>
              </w:rPr>
              <w:t>)</w:t>
            </w:r>
            <w:r>
              <w:rPr>
                <w:rFonts w:ascii="KaiTi" w:hAnsi="KaiTi" w:eastAsia="KaiTi" w:cs="KaiTi"/>
                <w:sz w:val="21"/>
                <w:szCs w:val="21"/>
                <w:spacing w:val="50"/>
              </w:rPr>
              <w:t xml:space="preserve"> </w:t>
            </w:r>
            <w:r>
              <w:rPr>
                <w:rFonts w:ascii="KaiTi" w:hAnsi="KaiTi" w:eastAsia="KaiTi" w:cs="KaiTi"/>
                <w:sz w:val="21"/>
                <w:szCs w:val="21"/>
                <w:spacing w:val="-6"/>
              </w:rPr>
              <w:t>《中华人民共和国疫苗管理法》</w:t>
            </w:r>
            <w:r>
              <w:rPr>
                <w:rFonts w:ascii="KaiTi" w:hAnsi="KaiTi" w:eastAsia="KaiTi" w:cs="KaiTi"/>
                <w:sz w:val="21"/>
                <w:szCs w:val="21"/>
                <w:spacing w:val="-75"/>
              </w:rPr>
              <w:t xml:space="preserve"> </w:t>
            </w:r>
            <w:r>
              <w:rPr>
                <w:rFonts w:ascii="KaiTi" w:hAnsi="KaiTi" w:eastAsia="KaiTi" w:cs="KaiTi"/>
                <w:sz w:val="21"/>
                <w:szCs w:val="21"/>
                <w:color w:val="307070"/>
              </w:rPr>
              <w:tab/>
            </w:r>
            <w:r>
              <w:rPr>
                <w:rFonts w:ascii="KaiTi" w:hAnsi="KaiTi" w:eastAsia="KaiTi" w:cs="KaiTi"/>
                <w:sz w:val="21"/>
                <w:szCs w:val="21"/>
                <w:spacing w:val="-51"/>
              </w:rPr>
              <w:t xml:space="preserve"> </w:t>
            </w:r>
            <w:r>
              <w:rPr>
                <w:rFonts w:ascii="Times New Roman" w:hAnsi="Times New Roman" w:eastAsia="Times New Roman" w:cs="Times New Roman"/>
                <w:sz w:val="21"/>
                <w:szCs w:val="21"/>
                <w:spacing w:val="-7"/>
              </w:rPr>
              <w:t>16</w:t>
            </w:r>
          </w:hyperlink>
        </w:p>
        <w:p>
          <w:pPr>
            <w:pStyle w:val="BodyText"/>
            <w:spacing w:line="299" w:lineRule="auto"/>
            <w:rPr/>
          </w:pPr>
          <w:r/>
        </w:p>
        <w:p>
          <w:pPr>
            <w:ind w:left="310"/>
            <w:spacing w:before="69" w:line="221" w:lineRule="auto"/>
            <w:tabs>
              <w:tab w:val="right" w:leader="dot" w:pos="13295"/>
            </w:tabs>
            <w:rPr>
              <w:rFonts w:ascii="Times New Roman" w:hAnsi="Times New Roman" w:eastAsia="Times New Roman" w:cs="Times New Roman"/>
              <w:sz w:val="21"/>
              <w:szCs w:val="21"/>
            </w:rPr>
          </w:pPr>
          <w:hyperlink w:history="true" w:anchor="bookmark49">
            <w:r>
              <w:rPr>
                <w:rFonts w:ascii="SimHei" w:hAnsi="SimHei" w:eastAsia="SimHei" w:cs="SimHei"/>
                <w:sz w:val="21"/>
                <w:szCs w:val="21"/>
                <w:spacing w:val="8"/>
              </w:rPr>
              <w:t>第三十四条</w:t>
            </w:r>
            <w:r>
              <w:rPr>
                <w:rFonts w:ascii="SimHei" w:hAnsi="SimHei" w:eastAsia="SimHei" w:cs="SimHei"/>
                <w:sz w:val="21"/>
                <w:szCs w:val="21"/>
                <w:spacing w:val="8"/>
              </w:rPr>
              <w:t xml:space="preserve"> </w:t>
            </w:r>
            <w:r>
              <w:rPr>
                <w:rFonts w:ascii="SimHei" w:hAnsi="SimHei" w:eastAsia="SimHei" w:cs="SimHei"/>
                <w:sz w:val="21"/>
                <w:szCs w:val="21"/>
                <w:spacing w:val="8"/>
              </w:rPr>
              <w:t>疾病预防控制机构、接种单位违反疫苗储存、运输管理规范有</w:t>
            </w:r>
            <w:r>
              <w:rPr>
                <w:rFonts w:ascii="SimHei" w:hAnsi="SimHei" w:eastAsia="SimHei" w:cs="SimHei"/>
                <w:sz w:val="21"/>
                <w:szCs w:val="21"/>
                <w:spacing w:val="7"/>
              </w:rPr>
              <w:t>关冷链储存、运输要求的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5"/>
              </w:rPr>
              <w:t>16</w:t>
            </w:r>
          </w:hyperlink>
        </w:p>
        <w:p>
          <w:pPr>
            <w:pStyle w:val="BodyText"/>
            <w:spacing w:line="253" w:lineRule="auto"/>
            <w:rPr/>
          </w:pPr>
          <w:r/>
        </w:p>
        <w:p>
          <w:pPr>
            <w:pStyle w:val="BodyText"/>
            <w:spacing w:line="254" w:lineRule="auto"/>
            <w:rPr/>
          </w:pPr>
          <w:r/>
        </w:p>
        <w:p>
          <w:pPr>
            <w:ind w:left="310"/>
            <w:spacing w:before="68" w:line="221" w:lineRule="auto"/>
            <w:tabs>
              <w:tab w:val="right" w:leader="dot" w:pos="13310"/>
            </w:tabs>
            <w:rPr>
              <w:rFonts w:ascii="Times New Roman" w:hAnsi="Times New Roman" w:eastAsia="Times New Roman" w:cs="Times New Roman"/>
              <w:sz w:val="21"/>
              <w:szCs w:val="21"/>
            </w:rPr>
          </w:pPr>
          <w:hyperlink w:history="true" w:anchor="bookmark50">
            <w:r>
              <w:rPr>
                <w:rFonts w:ascii="SimHei" w:hAnsi="SimHei" w:eastAsia="SimHei" w:cs="SimHei"/>
                <w:sz w:val="21"/>
                <w:szCs w:val="21"/>
                <w:spacing w:val="10"/>
              </w:rPr>
              <w:t>第三十五条</w:t>
            </w:r>
            <w:r>
              <w:rPr>
                <w:rFonts w:ascii="SimHei" w:hAnsi="SimHei" w:eastAsia="SimHei" w:cs="SimHei"/>
                <w:sz w:val="21"/>
                <w:szCs w:val="21"/>
                <w:spacing w:val="10"/>
              </w:rPr>
              <w:t xml:space="preserve"> </w:t>
            </w:r>
            <w:r>
              <w:rPr>
                <w:rFonts w:ascii="SimHei" w:hAnsi="SimHei" w:eastAsia="SimHei" w:cs="SimHei"/>
                <w:sz w:val="21"/>
                <w:szCs w:val="21"/>
                <w:spacing w:val="10"/>
              </w:rPr>
              <w:t>疾病预防控制机构、接种单位有本法第八十五条规定以外的违反疫苗储存、运输管理规范行为的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117</w:t>
            </w:r>
          </w:hyperlink>
        </w:p>
        <w:p>
          <w:pPr>
            <w:pStyle w:val="BodyText"/>
            <w:spacing w:line="248" w:lineRule="auto"/>
            <w:rPr/>
          </w:pPr>
          <w:r/>
        </w:p>
        <w:p>
          <w:pPr>
            <w:pStyle w:val="BodyText"/>
            <w:spacing w:line="249" w:lineRule="auto"/>
            <w:rPr/>
          </w:pPr>
          <w:r/>
        </w:p>
        <w:p>
          <w:pPr>
            <w:ind w:left="310"/>
            <w:spacing w:before="69" w:line="221" w:lineRule="auto"/>
            <w:tabs>
              <w:tab w:val="right" w:leader="dot" w:pos="13310"/>
            </w:tabs>
            <w:rPr>
              <w:rFonts w:ascii="Times New Roman" w:hAnsi="Times New Roman" w:eastAsia="Times New Roman" w:cs="Times New Roman"/>
              <w:sz w:val="21"/>
              <w:szCs w:val="21"/>
            </w:rPr>
          </w:pPr>
          <w:hyperlink w:history="true" w:anchor="bookmark51">
            <w:r>
              <w:rPr>
                <w:rFonts w:ascii="SimHei" w:hAnsi="SimHei" w:eastAsia="SimHei" w:cs="SimHei"/>
                <w:sz w:val="21"/>
                <w:szCs w:val="21"/>
                <w:spacing w:val="7"/>
              </w:rPr>
              <w:t>第三十六条</w:t>
            </w:r>
            <w:r>
              <w:rPr>
                <w:rFonts w:ascii="SimHei" w:hAnsi="SimHei" w:eastAsia="SimHei" w:cs="SimHei"/>
                <w:sz w:val="21"/>
                <w:szCs w:val="21"/>
                <w:spacing w:val="7"/>
              </w:rPr>
              <w:t xml:space="preserve"> </w:t>
            </w:r>
            <w:r>
              <w:rPr>
                <w:rFonts w:ascii="SimHei" w:hAnsi="SimHei" w:eastAsia="SimHei" w:cs="SimHei"/>
                <w:sz w:val="21"/>
                <w:szCs w:val="21"/>
                <w:spacing w:val="7"/>
              </w:rPr>
              <w:t>疾病预防控制机构、接种单位未按照规定供应、接收、采购疫苗</w:t>
            </w:r>
            <w:r>
              <w:rPr>
                <w:rFonts w:ascii="SimHei" w:hAnsi="SimHei" w:eastAsia="SimHei" w:cs="SimHei"/>
                <w:sz w:val="21"/>
                <w:szCs w:val="21"/>
                <w:spacing w:val="-70"/>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119</w:t>
            </w:r>
          </w:hyperlink>
        </w:p>
        <w:p>
          <w:pPr>
            <w:pStyle w:val="BodyText"/>
            <w:spacing w:line="248" w:lineRule="auto"/>
            <w:rPr/>
          </w:pPr>
          <w:r/>
        </w:p>
        <w:p>
          <w:pPr>
            <w:pStyle w:val="BodyText"/>
            <w:spacing w:line="249" w:lineRule="auto"/>
            <w:rPr/>
          </w:pPr>
          <w:r/>
        </w:p>
        <w:p>
          <w:pPr>
            <w:ind w:left="310"/>
            <w:spacing w:before="69" w:line="221" w:lineRule="auto"/>
            <w:tabs>
              <w:tab w:val="right" w:leader="dot" w:pos="13405"/>
            </w:tabs>
            <w:rPr>
              <w:rFonts w:ascii="Times New Roman" w:hAnsi="Times New Roman" w:eastAsia="Times New Roman" w:cs="Times New Roman"/>
              <w:sz w:val="21"/>
              <w:szCs w:val="21"/>
            </w:rPr>
          </w:pPr>
          <w:hyperlink w:history="true" w:anchor="bookmark52">
            <w:r>
              <w:rPr>
                <w:rFonts w:ascii="SimHei" w:hAnsi="SimHei" w:eastAsia="SimHei" w:cs="SimHei"/>
                <w:sz w:val="21"/>
                <w:szCs w:val="21"/>
                <w:spacing w:val="9"/>
              </w:rPr>
              <w:t>第三十七条</w:t>
            </w:r>
            <w:r>
              <w:rPr>
                <w:rFonts w:ascii="SimHei" w:hAnsi="SimHei" w:eastAsia="SimHei" w:cs="SimHei"/>
                <w:sz w:val="21"/>
                <w:szCs w:val="21"/>
                <w:spacing w:val="9"/>
              </w:rPr>
              <w:t xml:space="preserve"> </w:t>
            </w:r>
            <w:r>
              <w:rPr>
                <w:rFonts w:ascii="SimHei" w:hAnsi="SimHei" w:eastAsia="SimHei" w:cs="SimHei"/>
                <w:sz w:val="21"/>
                <w:szCs w:val="21"/>
                <w:spacing w:val="9"/>
              </w:rPr>
              <w:t>疾病预防控制机构、接种单位接种疫苗未遵守预防接种工作规范、免疫程序、疫苗使用指导原则、</w:t>
            </w:r>
            <w:r>
              <w:rPr>
                <w:rFonts w:ascii="SimHei" w:hAnsi="SimHei" w:eastAsia="SimHei" w:cs="SimHei"/>
                <w:sz w:val="21"/>
                <w:szCs w:val="21"/>
                <w:spacing w:val="8"/>
              </w:rPr>
              <w:t>接种方案的</w:t>
            </w:r>
            <w:r>
              <w:rPr>
                <w:rFonts w:ascii="SimHei" w:hAnsi="SimHei" w:eastAsia="SimHei" w:cs="SimHei"/>
                <w:sz w:val="21"/>
                <w:szCs w:val="21"/>
                <w:spacing w:val="-92"/>
              </w:rPr>
              <w:t xml:space="preserve"> </w:t>
            </w:r>
            <w:r>
              <w:rPr>
                <w:rFonts w:ascii="SimHei" w:hAnsi="SimHei" w:eastAsia="SimHei" w:cs="SimHei"/>
                <w:sz w:val="21"/>
                <w:szCs w:val="21"/>
              </w:rPr>
              <w:tab/>
            </w:r>
            <w:r>
              <w:rPr>
                <w:rFonts w:ascii="SimHei" w:hAnsi="SimHei" w:eastAsia="SimHei" w:cs="SimHei"/>
                <w:sz w:val="21"/>
                <w:szCs w:val="21"/>
                <w:spacing w:val="-21"/>
              </w:rPr>
              <w:t xml:space="preserve"> </w:t>
            </w:r>
            <w:r>
              <w:rPr>
                <w:rFonts w:ascii="Times New Roman" w:hAnsi="Times New Roman" w:eastAsia="Times New Roman" w:cs="Times New Roman"/>
                <w:sz w:val="21"/>
                <w:szCs w:val="21"/>
                <w:spacing w:val="-26"/>
              </w:rPr>
              <w:t>12</w:t>
            </w:r>
            <w:r>
              <w:rPr>
                <w:rFonts w:ascii="Times New Roman" w:hAnsi="Times New Roman" w:eastAsia="Times New Roman" w:cs="Times New Roman"/>
                <w:sz w:val="21"/>
                <w:szCs w:val="21"/>
                <w:spacing w:val="-8"/>
              </w:rPr>
              <w:t>0</w:t>
            </w:r>
          </w:hyperlink>
        </w:p>
        <w:p>
          <w:pPr>
            <w:pStyle w:val="BodyText"/>
            <w:spacing w:line="253" w:lineRule="auto"/>
            <w:rPr/>
          </w:pPr>
          <w:r/>
        </w:p>
        <w:p>
          <w:pPr>
            <w:pStyle w:val="BodyText"/>
            <w:spacing w:line="254" w:lineRule="auto"/>
            <w:rPr/>
          </w:pPr>
          <w:r/>
        </w:p>
        <w:p>
          <w:pPr>
            <w:ind w:left="310"/>
            <w:spacing w:before="68" w:line="221" w:lineRule="auto"/>
            <w:tabs>
              <w:tab w:val="right" w:leader="dot" w:pos="13400"/>
            </w:tabs>
            <w:rPr>
              <w:rFonts w:ascii="Times New Roman" w:hAnsi="Times New Roman" w:eastAsia="Times New Roman" w:cs="Times New Roman"/>
              <w:sz w:val="21"/>
              <w:szCs w:val="21"/>
            </w:rPr>
          </w:pPr>
          <w:hyperlink w:history="true" w:anchor="bookmark53">
            <w:r>
              <w:rPr>
                <w:rFonts w:ascii="SimHei" w:hAnsi="SimHei" w:eastAsia="SimHei" w:cs="SimHei"/>
                <w:sz w:val="21"/>
                <w:szCs w:val="21"/>
                <w:spacing w:val="9"/>
              </w:rPr>
              <w:t>第三十八条</w:t>
            </w:r>
            <w:r>
              <w:rPr>
                <w:rFonts w:ascii="SimHei" w:hAnsi="SimHei" w:eastAsia="SimHei" w:cs="SimHei"/>
                <w:sz w:val="21"/>
                <w:szCs w:val="21"/>
                <w:spacing w:val="9"/>
              </w:rPr>
              <w:t xml:space="preserve"> </w:t>
            </w:r>
            <w:r>
              <w:rPr>
                <w:rFonts w:ascii="SimHei" w:hAnsi="SimHei" w:eastAsia="SimHei" w:cs="SimHei"/>
                <w:sz w:val="21"/>
                <w:szCs w:val="21"/>
                <w:spacing w:val="9"/>
              </w:rPr>
              <w:t>疾病预防控制机构、接种单位擅自进行群体性预防接种</w:t>
            </w:r>
            <w:r>
              <w:rPr>
                <w:rFonts w:ascii="SimHei" w:hAnsi="SimHei" w:eastAsia="SimHei" w:cs="SimHei"/>
                <w:sz w:val="21"/>
                <w:szCs w:val="21"/>
                <w:spacing w:val="-71"/>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122</w:t>
            </w:r>
          </w:hyperlink>
        </w:p>
      </w:sdtContent>
    </w:sdt>
    <w:p>
      <w:pPr>
        <w:spacing w:line="221" w:lineRule="auto"/>
        <w:sectPr>
          <w:footerReference w:type="default" r:id="rId6"/>
          <w:pgSz w:w="16830" w:h="11900"/>
          <w:pgMar w:top="1011" w:right="1432" w:bottom="1144" w:left="1989" w:header="0" w:footer="802" w:gutter="0"/>
        </w:sectPr>
        <w:rPr>
          <w:rFonts w:ascii="Times New Roman" w:hAnsi="Times New Roman" w:eastAsia="Times New Roman" w:cs="Times New Roman"/>
          <w:sz w:val="21"/>
          <w:szCs w:val="21"/>
        </w:rPr>
      </w:pPr>
    </w:p>
    <w:p>
      <w:pPr>
        <w:pStyle w:val="BodyText"/>
        <w:spacing w:line="306" w:lineRule="auto"/>
        <w:rPr/>
      </w:pPr>
      <w:r/>
    </w:p>
    <w:p>
      <w:pPr>
        <w:pStyle w:val="BodyText"/>
        <w:spacing w:line="306" w:lineRule="auto"/>
        <w:rPr/>
      </w:pPr>
      <w:r/>
    </w:p>
    <w:p>
      <w:pPr>
        <w:pStyle w:val="BodyText"/>
        <w:spacing w:line="306"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ind w:left="320"/>
            <w:spacing w:before="71" w:line="221" w:lineRule="auto"/>
            <w:tabs>
              <w:tab w:val="right" w:leader="dot" w:pos="13374"/>
            </w:tabs>
            <w:rPr>
              <w:rFonts w:ascii="Times New Roman" w:hAnsi="Times New Roman" w:eastAsia="Times New Roman" w:cs="Times New Roman"/>
              <w:sz w:val="22"/>
              <w:szCs w:val="22"/>
            </w:rPr>
          </w:pPr>
          <w:hyperlink w:history="true" w:anchor="bookmark54">
            <w:r>
              <w:rPr>
                <w:rFonts w:ascii="SimHei" w:hAnsi="SimHei" w:eastAsia="SimHei" w:cs="SimHei"/>
                <w:sz w:val="22"/>
                <w:szCs w:val="22"/>
                <w:spacing w:val="-1"/>
              </w:rPr>
              <w:t>第三十九条</w:t>
            </w:r>
            <w:r>
              <w:rPr>
                <w:rFonts w:ascii="SimHei" w:hAnsi="SimHei" w:eastAsia="SimHei" w:cs="SimHei"/>
                <w:sz w:val="22"/>
                <w:szCs w:val="22"/>
                <w:spacing w:val="-1"/>
              </w:rPr>
              <w:t xml:space="preserve"> </w:t>
            </w:r>
            <w:r>
              <w:rPr>
                <w:rFonts w:ascii="SimHei" w:hAnsi="SimHei" w:eastAsia="SimHei" w:cs="SimHei"/>
                <w:sz w:val="22"/>
                <w:szCs w:val="22"/>
                <w:spacing w:val="-1"/>
              </w:rPr>
              <w:t>疾病预防控制机构、接种单位未按照规定提供追溯</w:t>
            </w:r>
            <w:r>
              <w:rPr>
                <w:rFonts w:ascii="SimHei" w:hAnsi="SimHei" w:eastAsia="SimHei" w:cs="SimHei"/>
                <w:sz w:val="22"/>
                <w:szCs w:val="22"/>
                <w:spacing w:val="-2"/>
              </w:rPr>
              <w:t>信息</w:t>
            </w:r>
            <w:r>
              <w:rPr>
                <w:rFonts w:ascii="SimHei" w:hAnsi="SimHei" w:eastAsia="SimHei" w:cs="SimHei"/>
                <w:sz w:val="22"/>
                <w:szCs w:val="22"/>
                <w:spacing w:val="-90"/>
              </w:rPr>
              <w:t xml:space="preserve"> </w:t>
            </w:r>
            <w:r>
              <w:rPr>
                <w:rFonts w:ascii="SimHei" w:hAnsi="SimHei" w:eastAsia="SimHei" w:cs="SimHei"/>
                <w:sz w:val="22"/>
                <w:szCs w:val="22"/>
              </w:rPr>
              <w:tab/>
            </w:r>
            <w:r>
              <w:rPr>
                <w:rFonts w:ascii="Times New Roman" w:hAnsi="Times New Roman" w:eastAsia="Times New Roman" w:cs="Times New Roman"/>
                <w:sz w:val="22"/>
                <w:szCs w:val="22"/>
                <w:spacing w:val="-5"/>
              </w:rPr>
              <w:t>123</w:t>
            </w:r>
          </w:hyperlink>
        </w:p>
        <w:p>
          <w:pPr>
            <w:pStyle w:val="BodyText"/>
            <w:spacing w:line="241" w:lineRule="auto"/>
            <w:rPr/>
          </w:pPr>
          <w:r/>
        </w:p>
        <w:p>
          <w:pPr>
            <w:pStyle w:val="BodyText"/>
            <w:spacing w:line="241" w:lineRule="auto"/>
            <w:rPr/>
          </w:pPr>
          <w:r/>
        </w:p>
        <w:p>
          <w:pPr>
            <w:ind w:left="320"/>
            <w:spacing w:before="71" w:line="221" w:lineRule="auto"/>
            <w:tabs>
              <w:tab w:val="right" w:leader="dot" w:pos="13344"/>
            </w:tabs>
            <w:rPr>
              <w:rFonts w:ascii="Times New Roman" w:hAnsi="Times New Roman" w:eastAsia="Times New Roman" w:cs="Times New Roman"/>
              <w:sz w:val="22"/>
              <w:szCs w:val="22"/>
            </w:rPr>
          </w:pPr>
          <w:hyperlink w:history="true" w:anchor="bookmark55">
            <w:r>
              <w:rPr>
                <w:rFonts w:ascii="SimHei" w:hAnsi="SimHei" w:eastAsia="SimHei" w:cs="SimHei"/>
                <w:sz w:val="22"/>
                <w:szCs w:val="22"/>
                <w:spacing w:val="-1"/>
              </w:rPr>
              <w:t>第四十条</w:t>
            </w:r>
            <w:r>
              <w:rPr>
                <w:rFonts w:ascii="SimHei" w:hAnsi="SimHei" w:eastAsia="SimHei" w:cs="SimHei"/>
                <w:sz w:val="22"/>
                <w:szCs w:val="22"/>
                <w:spacing w:val="-1"/>
              </w:rPr>
              <w:t xml:space="preserve"> </w:t>
            </w:r>
            <w:r>
              <w:rPr>
                <w:rFonts w:ascii="SimHei" w:hAnsi="SimHei" w:eastAsia="SimHei" w:cs="SimHei"/>
                <w:sz w:val="22"/>
                <w:szCs w:val="22"/>
                <w:spacing w:val="-1"/>
              </w:rPr>
              <w:t>疾病预防控制机构、接种单位接收或者购进疫苗时未按照</w:t>
            </w:r>
            <w:r>
              <w:rPr>
                <w:rFonts w:ascii="SimHei" w:hAnsi="SimHei" w:eastAsia="SimHei" w:cs="SimHei"/>
                <w:sz w:val="22"/>
                <w:szCs w:val="22"/>
                <w:spacing w:val="-2"/>
              </w:rPr>
              <w:t>规定索取并保存相关证明文件、温度监测记录</w:t>
            </w:r>
            <w:r>
              <w:rPr>
                <w:rFonts w:ascii="SimHei" w:hAnsi="SimHei" w:eastAsia="SimHei" w:cs="SimHei"/>
                <w:sz w:val="22"/>
                <w:szCs w:val="22"/>
                <w:spacing w:val="-92"/>
              </w:rPr>
              <w:t xml:space="preserve"> </w:t>
            </w:r>
            <w:r>
              <w:rPr>
                <w:rFonts w:ascii="SimHei" w:hAnsi="SimHei" w:eastAsia="SimHei" w:cs="SimHei"/>
                <w:sz w:val="22"/>
                <w:szCs w:val="22"/>
              </w:rPr>
              <w:tab/>
            </w:r>
            <w:r>
              <w:rPr>
                <w:rFonts w:ascii="Times New Roman" w:hAnsi="Times New Roman" w:eastAsia="Times New Roman" w:cs="Times New Roman"/>
                <w:sz w:val="22"/>
                <w:szCs w:val="22"/>
                <w:spacing w:val="-5"/>
              </w:rPr>
              <w:t>124</w:t>
            </w:r>
          </w:hyperlink>
        </w:p>
        <w:p>
          <w:pPr>
            <w:pStyle w:val="BodyText"/>
            <w:spacing w:line="246" w:lineRule="auto"/>
            <w:rPr/>
          </w:pPr>
          <w:r/>
        </w:p>
        <w:p>
          <w:pPr>
            <w:pStyle w:val="BodyText"/>
            <w:spacing w:line="246" w:lineRule="auto"/>
            <w:rPr/>
          </w:pPr>
          <w:r/>
        </w:p>
        <w:p>
          <w:pPr>
            <w:ind w:left="320"/>
            <w:spacing w:before="71" w:line="221" w:lineRule="auto"/>
            <w:tabs>
              <w:tab w:val="right" w:leader="dot" w:pos="13354"/>
            </w:tabs>
            <w:rPr>
              <w:rFonts w:ascii="Times New Roman" w:hAnsi="Times New Roman" w:eastAsia="Times New Roman" w:cs="Times New Roman"/>
              <w:sz w:val="22"/>
              <w:szCs w:val="22"/>
            </w:rPr>
          </w:pPr>
          <w:hyperlink w:history="true" w:anchor="bookmark56">
            <w:r>
              <w:rPr>
                <w:rFonts w:ascii="SimHei" w:hAnsi="SimHei" w:eastAsia="SimHei" w:cs="SimHei"/>
                <w:sz w:val="22"/>
                <w:szCs w:val="22"/>
                <w:spacing w:val="-1"/>
              </w:rPr>
              <w:t>第四十一条</w:t>
            </w:r>
            <w:r>
              <w:rPr>
                <w:rFonts w:ascii="SimHei" w:hAnsi="SimHei" w:eastAsia="SimHei" w:cs="SimHei"/>
                <w:sz w:val="22"/>
                <w:szCs w:val="22"/>
                <w:spacing w:val="-1"/>
              </w:rPr>
              <w:t xml:space="preserve"> </w:t>
            </w:r>
            <w:r>
              <w:rPr>
                <w:rFonts w:ascii="SimHei" w:hAnsi="SimHei" w:eastAsia="SimHei" w:cs="SimHei"/>
                <w:sz w:val="22"/>
                <w:szCs w:val="22"/>
                <w:spacing w:val="-1"/>
              </w:rPr>
              <w:t>未按照规定建立并保存疫苗接收、购进、储存、</w:t>
            </w:r>
            <w:r>
              <w:rPr>
                <w:rFonts w:ascii="SimHei" w:hAnsi="SimHei" w:eastAsia="SimHei" w:cs="SimHei"/>
                <w:sz w:val="22"/>
                <w:szCs w:val="22"/>
                <w:spacing w:val="-2"/>
              </w:rPr>
              <w:t>配送、供应、接种、处置记录法律依据</w:t>
            </w:r>
            <w:r>
              <w:rPr>
                <w:rFonts w:ascii="SimHei" w:hAnsi="SimHei" w:eastAsia="SimHei" w:cs="SimHei"/>
                <w:sz w:val="22"/>
                <w:szCs w:val="22"/>
                <w:spacing w:val="-91"/>
              </w:rPr>
              <w:t xml:space="preserve"> </w:t>
            </w:r>
            <w:r>
              <w:rPr>
                <w:rFonts w:ascii="SimHei" w:hAnsi="SimHei" w:eastAsia="SimHei" w:cs="SimHei"/>
                <w:sz w:val="22"/>
                <w:szCs w:val="22"/>
              </w:rPr>
              <w:tab/>
            </w:r>
            <w:r>
              <w:rPr>
                <w:rFonts w:ascii="Times New Roman" w:hAnsi="Times New Roman" w:eastAsia="Times New Roman" w:cs="Times New Roman"/>
                <w:sz w:val="22"/>
                <w:szCs w:val="22"/>
                <w:spacing w:val="-5"/>
              </w:rPr>
              <w:t>125</w:t>
            </w:r>
          </w:hyperlink>
        </w:p>
        <w:p>
          <w:pPr>
            <w:pStyle w:val="BodyText"/>
            <w:spacing w:line="241" w:lineRule="auto"/>
            <w:rPr/>
          </w:pPr>
          <w:r/>
        </w:p>
        <w:p>
          <w:pPr>
            <w:pStyle w:val="BodyText"/>
            <w:spacing w:line="241" w:lineRule="auto"/>
            <w:rPr/>
          </w:pPr>
          <w:r/>
        </w:p>
        <w:p>
          <w:pPr>
            <w:ind w:left="320"/>
            <w:spacing w:before="71" w:line="221" w:lineRule="auto"/>
            <w:tabs>
              <w:tab w:val="right" w:leader="dot" w:pos="13234"/>
            </w:tabs>
            <w:rPr>
              <w:rFonts w:ascii="Times New Roman" w:hAnsi="Times New Roman" w:eastAsia="Times New Roman" w:cs="Times New Roman"/>
              <w:sz w:val="22"/>
              <w:szCs w:val="22"/>
            </w:rPr>
          </w:pPr>
          <w:hyperlink w:history="true" w:anchor="bookmark57">
            <w:r>
              <w:rPr>
                <w:rFonts w:ascii="SimHei" w:hAnsi="SimHei" w:eastAsia="SimHei" w:cs="SimHei"/>
                <w:sz w:val="22"/>
                <w:szCs w:val="22"/>
                <w:spacing w:val="-2"/>
              </w:rPr>
              <w:t>第四十二条</w:t>
            </w:r>
            <w:r>
              <w:rPr>
                <w:rFonts w:ascii="SimHei" w:hAnsi="SimHei" w:eastAsia="SimHei" w:cs="SimHei"/>
                <w:sz w:val="22"/>
                <w:szCs w:val="22"/>
                <w:spacing w:val="-2"/>
              </w:rPr>
              <w:t xml:space="preserve"> </w:t>
            </w:r>
            <w:r>
              <w:rPr>
                <w:rFonts w:ascii="SimHei" w:hAnsi="SimHei" w:eastAsia="SimHei" w:cs="SimHei"/>
                <w:sz w:val="22"/>
                <w:szCs w:val="22"/>
                <w:spacing w:val="-2"/>
              </w:rPr>
              <w:t>未按照规定告知、询问受种者或者其监护人有关情况</w:t>
            </w:r>
            <w:r>
              <w:rPr>
                <w:rFonts w:ascii="SimHei" w:hAnsi="SimHei" w:eastAsia="SimHei" w:cs="SimHei"/>
                <w:sz w:val="22"/>
                <w:szCs w:val="22"/>
                <w:spacing w:val="-84"/>
              </w:rPr>
              <w:t xml:space="preserve"> </w:t>
            </w:r>
            <w:r>
              <w:rPr>
                <w:rFonts w:ascii="SimHei" w:hAnsi="SimHei" w:eastAsia="SimHei" w:cs="SimHei"/>
                <w:sz w:val="22"/>
                <w:szCs w:val="22"/>
              </w:rPr>
              <w:tab/>
            </w:r>
            <w:r>
              <w:rPr>
                <w:rFonts w:ascii="Times New Roman" w:hAnsi="Times New Roman" w:eastAsia="Times New Roman" w:cs="Times New Roman"/>
                <w:sz w:val="22"/>
                <w:szCs w:val="22"/>
                <w:spacing w:val="-3"/>
              </w:rPr>
              <w:t>126</w:t>
            </w:r>
          </w:hyperlink>
        </w:p>
        <w:p>
          <w:pPr>
            <w:pStyle w:val="BodyText"/>
            <w:spacing w:line="472" w:lineRule="auto"/>
            <w:rPr/>
          </w:pPr>
          <w:r/>
        </w:p>
        <w:p>
          <w:pPr>
            <w:spacing w:before="73" w:line="213" w:lineRule="auto"/>
            <w:jc w:val="right"/>
            <w:rPr>
              <w:rFonts w:ascii="SimHei" w:hAnsi="SimHei" w:eastAsia="SimHei" w:cs="SimHei"/>
              <w:sz w:val="22"/>
              <w:szCs w:val="22"/>
            </w:rPr>
          </w:pPr>
          <w:hyperlink w:history="true" w:anchor="bookmark58">
            <w:r>
              <w:rPr>
                <w:rFonts w:ascii="SimHei" w:hAnsi="SimHei" w:eastAsia="SimHei" w:cs="SimHei"/>
                <w:sz w:val="22"/>
                <w:szCs w:val="22"/>
              </w:rPr>
              <w:t>第四十三条</w:t>
            </w:r>
            <w:r>
              <w:rPr>
                <w:rFonts w:ascii="SimHei" w:hAnsi="SimHei" w:eastAsia="SimHei" w:cs="SimHei"/>
                <w:sz w:val="22"/>
                <w:szCs w:val="22"/>
              </w:rPr>
              <w:t xml:space="preserve"> </w:t>
            </w:r>
            <w:r>
              <w:rPr>
                <w:rFonts w:ascii="SimHei" w:hAnsi="SimHei" w:eastAsia="SimHei" w:cs="SimHei"/>
                <w:sz w:val="22"/>
                <w:szCs w:val="22"/>
              </w:rPr>
              <w:t>疾病预防控制机构、接种单位、医疗机构未按照规定报告疑似预防接种异常反应、疫苗安全事件等</w:t>
            </w:r>
            <w:r>
              <w:rPr>
                <w:rFonts w:ascii="SimHei" w:hAnsi="SimHei" w:eastAsia="SimHei" w:cs="SimHei"/>
                <w:sz w:val="22"/>
                <w:szCs w:val="22"/>
                <w:spacing w:val="-1"/>
              </w:rPr>
              <w:t>，或者未按照规定对疑似</w:t>
            </w:r>
          </w:hyperlink>
        </w:p>
        <w:p>
          <w:pPr>
            <w:pStyle w:val="BodyText"/>
            <w:spacing w:line="312" w:lineRule="auto"/>
            <w:rPr/>
          </w:pPr>
          <w:r/>
        </w:p>
        <w:p>
          <w:pPr>
            <w:ind w:left="320"/>
            <w:spacing w:before="71" w:line="221" w:lineRule="auto"/>
            <w:tabs>
              <w:tab w:val="right" w:leader="dot" w:pos="13324"/>
            </w:tabs>
            <w:rPr>
              <w:rFonts w:ascii="Times New Roman" w:hAnsi="Times New Roman" w:eastAsia="Times New Roman" w:cs="Times New Roman"/>
              <w:sz w:val="22"/>
              <w:szCs w:val="22"/>
            </w:rPr>
          </w:pPr>
          <w:hyperlink w:history="true" w:anchor="bookmark59">
            <w:r>
              <w:rPr>
                <w:rFonts w:ascii="SimHei" w:hAnsi="SimHei" w:eastAsia="SimHei" w:cs="SimHei"/>
                <w:sz w:val="22"/>
                <w:szCs w:val="22"/>
                <w:spacing w:val="2"/>
              </w:rPr>
              <w:t>预防接种异常反应组织调查、诊断等的</w:t>
            </w:r>
            <w:r>
              <w:rPr>
                <w:rFonts w:ascii="SimHei" w:hAnsi="SimHei" w:eastAsia="SimHei" w:cs="SimHei"/>
                <w:sz w:val="22"/>
                <w:szCs w:val="22"/>
                <w:spacing w:val="-96"/>
              </w:rPr>
              <w:t xml:space="preserve"> </w:t>
            </w:r>
            <w:r>
              <w:rPr>
                <w:rFonts w:ascii="SimHei" w:hAnsi="SimHei" w:eastAsia="SimHei" w:cs="SimHei"/>
                <w:sz w:val="22"/>
                <w:szCs w:val="22"/>
              </w:rPr>
              <w:tab/>
            </w:r>
            <w:r>
              <w:rPr>
                <w:rFonts w:ascii="Times New Roman" w:hAnsi="Times New Roman" w:eastAsia="Times New Roman" w:cs="Times New Roman"/>
                <w:sz w:val="22"/>
                <w:szCs w:val="22"/>
                <w:spacing w:val="-5"/>
              </w:rPr>
              <w:t>128</w:t>
            </w:r>
          </w:hyperlink>
        </w:p>
        <w:p>
          <w:pPr>
            <w:pStyle w:val="BodyText"/>
            <w:spacing w:line="255" w:lineRule="auto"/>
            <w:rPr/>
          </w:pPr>
          <w:r/>
        </w:p>
        <w:p>
          <w:pPr>
            <w:pStyle w:val="BodyText"/>
            <w:spacing w:line="256" w:lineRule="auto"/>
            <w:rPr/>
          </w:pPr>
          <w:r/>
        </w:p>
        <w:p>
          <w:pPr>
            <w:ind w:right="9"/>
            <w:spacing w:before="73" w:line="221" w:lineRule="auto"/>
            <w:jc w:val="right"/>
            <w:rPr>
              <w:rFonts w:ascii="SimHei" w:hAnsi="SimHei" w:eastAsia="SimHei" w:cs="SimHei"/>
              <w:sz w:val="22"/>
              <w:szCs w:val="22"/>
            </w:rPr>
          </w:pPr>
          <w:hyperlink w:history="true" w:anchor="bookmark60">
            <w:r>
              <w:rPr>
                <w:rFonts w:ascii="SimHei" w:hAnsi="SimHei" w:eastAsia="SimHei" w:cs="SimHei"/>
                <w:sz w:val="22"/>
                <w:szCs w:val="22"/>
              </w:rPr>
              <w:t>第四十四条</w:t>
            </w:r>
            <w:r>
              <w:rPr>
                <w:rFonts w:ascii="SimHei" w:hAnsi="SimHei" w:eastAsia="SimHei" w:cs="SimHei"/>
                <w:sz w:val="22"/>
                <w:szCs w:val="22"/>
              </w:rPr>
              <w:t xml:space="preserve"> </w:t>
            </w:r>
            <w:r>
              <w:rPr>
                <w:rFonts w:ascii="SimHei" w:hAnsi="SimHei" w:eastAsia="SimHei" w:cs="SimHei"/>
                <w:sz w:val="22"/>
                <w:szCs w:val="22"/>
              </w:rPr>
              <w:t>未经县级以上地方人民政府卫生健康主管部门指定擅</w:t>
            </w:r>
            <w:r>
              <w:rPr>
                <w:rFonts w:ascii="SimHei" w:hAnsi="SimHei" w:eastAsia="SimHei" w:cs="SimHei"/>
                <w:sz w:val="22"/>
                <w:szCs w:val="22"/>
                <w:spacing w:val="-1"/>
              </w:rPr>
              <w:t>自从事免疫规划疫苗接种工作、从事非免疫规划疫苗接种工作不符合条</w:t>
            </w:r>
          </w:hyperlink>
        </w:p>
        <w:p>
          <w:pPr>
            <w:pStyle w:val="BodyText"/>
            <w:spacing w:line="264" w:lineRule="auto"/>
            <w:rPr/>
          </w:pPr>
          <w:r/>
        </w:p>
        <w:p>
          <w:pPr>
            <w:ind w:left="320"/>
            <w:spacing w:before="71" w:line="222" w:lineRule="auto"/>
            <w:tabs>
              <w:tab w:val="right" w:leader="dot" w:pos="13249"/>
            </w:tabs>
            <w:rPr>
              <w:rFonts w:ascii="SimHei" w:hAnsi="SimHei" w:eastAsia="SimHei" w:cs="SimHei"/>
              <w:sz w:val="12"/>
              <w:szCs w:val="12"/>
            </w:rPr>
          </w:pPr>
          <w:hyperlink w:history="true" w:anchor="bookmark60">
            <w:r>
              <w:rPr>
                <w:rFonts w:ascii="SimHei" w:hAnsi="SimHei" w:eastAsia="SimHei" w:cs="SimHei"/>
                <w:sz w:val="22"/>
                <w:szCs w:val="22"/>
                <w:spacing w:val="2"/>
              </w:rPr>
              <w:t>件或者未备案的</w:t>
            </w:r>
            <w:r>
              <w:rPr>
                <w:rFonts w:ascii="SimHei" w:hAnsi="SimHei" w:eastAsia="SimHei" w:cs="SimHei"/>
                <w:sz w:val="22"/>
                <w:szCs w:val="22"/>
                <w:spacing w:val="-46"/>
              </w:rPr>
              <w:t xml:space="preserve"> </w:t>
            </w:r>
            <w:r>
              <w:rPr>
                <w:rFonts w:ascii="SimHei" w:hAnsi="SimHei" w:eastAsia="SimHei" w:cs="SimHei"/>
                <w:sz w:val="22"/>
                <w:szCs w:val="22"/>
              </w:rPr>
              <w:tab/>
            </w:r>
            <w:r>
              <w:rPr>
                <w:rFonts w:ascii="SimHei" w:hAnsi="SimHei" w:eastAsia="SimHei" w:cs="SimHei"/>
                <w:sz w:val="22"/>
                <w:szCs w:val="22"/>
                <w:spacing w:val="12"/>
              </w:rPr>
              <w:t xml:space="preserve"> </w:t>
            </w:r>
            <w:r>
              <w:rPr>
                <w:rFonts w:ascii="SimHei" w:hAnsi="SimHei" w:eastAsia="SimHei" w:cs="SimHei"/>
                <w:sz w:val="12"/>
                <w:szCs w:val="12"/>
                <w:spacing w:val="-3"/>
              </w:rPr>
              <w:t>129</w:t>
            </w:r>
          </w:hyperlink>
        </w:p>
        <w:p>
          <w:pPr>
            <w:pStyle w:val="BodyText"/>
            <w:rPr/>
          </w:pPr>
          <w:r/>
        </w:p>
        <w:p>
          <w:pPr>
            <w:pStyle w:val="BodyText"/>
            <w:rPr/>
          </w:pPr>
          <w:r/>
        </w:p>
        <w:p>
          <w:pPr>
            <w:ind w:left="320"/>
            <w:spacing w:before="72" w:line="221" w:lineRule="auto"/>
            <w:tabs>
              <w:tab w:val="right" w:leader="dot" w:pos="13344"/>
            </w:tabs>
            <w:rPr>
              <w:rFonts w:ascii="Times New Roman" w:hAnsi="Times New Roman" w:eastAsia="Times New Roman" w:cs="Times New Roman"/>
              <w:sz w:val="22"/>
              <w:szCs w:val="22"/>
            </w:rPr>
          </w:pPr>
          <w:hyperlink w:history="true" w:anchor="bookmark61">
            <w:r>
              <w:rPr>
                <w:rFonts w:ascii="SimHei" w:hAnsi="SimHei" w:eastAsia="SimHei" w:cs="SimHei"/>
                <w:sz w:val="22"/>
                <w:szCs w:val="22"/>
                <w:spacing w:val="-1"/>
              </w:rPr>
              <w:t>第四十五条</w:t>
            </w:r>
            <w:r>
              <w:rPr>
                <w:rFonts w:ascii="SimHei" w:hAnsi="SimHei" w:eastAsia="SimHei" w:cs="SimHei"/>
                <w:sz w:val="22"/>
                <w:szCs w:val="22"/>
                <w:spacing w:val="-1"/>
              </w:rPr>
              <w:t xml:space="preserve"> </w:t>
            </w:r>
            <w:r>
              <w:rPr>
                <w:rFonts w:ascii="SimHei" w:hAnsi="SimHei" w:eastAsia="SimHei" w:cs="SimHei"/>
                <w:sz w:val="22"/>
                <w:szCs w:val="22"/>
                <w:spacing w:val="-1"/>
              </w:rPr>
              <w:t>疾病预防控制机构、接种单位以外的单位或者个人擅自进行群体性预防</w:t>
            </w:r>
            <w:r>
              <w:rPr>
                <w:rFonts w:ascii="SimHei" w:hAnsi="SimHei" w:eastAsia="SimHei" w:cs="SimHei"/>
                <w:sz w:val="22"/>
                <w:szCs w:val="22"/>
                <w:spacing w:val="-2"/>
              </w:rPr>
              <w:t>接种的</w:t>
            </w:r>
            <w:r>
              <w:rPr>
                <w:rFonts w:ascii="SimHei" w:hAnsi="SimHei" w:eastAsia="SimHei" w:cs="SimHei"/>
                <w:sz w:val="22"/>
                <w:szCs w:val="22"/>
                <w:spacing w:val="-99"/>
              </w:rPr>
              <w:t xml:space="preserve"> </w:t>
            </w:r>
            <w:r>
              <w:rPr>
                <w:rFonts w:ascii="SimHei" w:hAnsi="SimHei" w:eastAsia="SimHei" w:cs="SimHei"/>
                <w:sz w:val="22"/>
                <w:szCs w:val="22"/>
              </w:rPr>
              <w:tab/>
            </w:r>
            <w:r>
              <w:rPr>
                <w:rFonts w:ascii="Times New Roman" w:hAnsi="Times New Roman" w:eastAsia="Times New Roman" w:cs="Times New Roman"/>
                <w:sz w:val="22"/>
                <w:szCs w:val="22"/>
                <w:spacing w:val="-5"/>
              </w:rPr>
              <w:t>130</w:t>
            </w:r>
          </w:hyperlink>
        </w:p>
        <w:p>
          <w:pPr>
            <w:pStyle w:val="BodyText"/>
            <w:spacing w:line="292" w:lineRule="auto"/>
            <w:rPr/>
          </w:pPr>
          <w:r/>
        </w:p>
        <w:p>
          <w:pPr>
            <w:spacing w:before="72" w:line="224" w:lineRule="auto"/>
            <w:tabs>
              <w:tab w:val="right" w:leader="dot" w:pos="13334"/>
            </w:tabs>
            <w:rPr>
              <w:rFonts w:ascii="Times New Roman" w:hAnsi="Times New Roman" w:eastAsia="Times New Roman" w:cs="Times New Roman"/>
              <w:sz w:val="22"/>
              <w:szCs w:val="22"/>
            </w:rPr>
          </w:pPr>
          <w:hyperlink w:history="true" w:anchor="bookmark62">
            <w:r>
              <w:rPr>
                <w:rFonts w:ascii="KaiTi" w:hAnsi="KaiTi" w:eastAsia="KaiTi" w:cs="KaiTi"/>
                <w:sz w:val="22"/>
                <w:szCs w:val="22"/>
                <w:spacing w:val="-10"/>
              </w:rPr>
              <w:t>(</w:t>
            </w:r>
            <w:r>
              <w:rPr>
                <w:rFonts w:ascii="KaiTi" w:hAnsi="KaiTi" w:eastAsia="KaiTi" w:cs="KaiTi"/>
                <w:sz w:val="22"/>
                <w:szCs w:val="22"/>
                <w:spacing w:val="-10"/>
              </w:rPr>
              <w:t xml:space="preserve"> </w:t>
            </w:r>
            <w:r>
              <w:rPr>
                <w:rFonts w:ascii="KaiTi" w:hAnsi="KaiTi" w:eastAsia="KaiTi" w:cs="KaiTi"/>
                <w:sz w:val="22"/>
                <w:szCs w:val="22"/>
                <w:spacing w:val="-10"/>
              </w:rPr>
              <w:t>六</w:t>
            </w:r>
            <w:r>
              <w:rPr>
                <w:rFonts w:ascii="KaiTi" w:hAnsi="KaiTi" w:eastAsia="KaiTi" w:cs="KaiTi"/>
                <w:sz w:val="22"/>
                <w:szCs w:val="22"/>
                <w:spacing w:val="-22"/>
              </w:rPr>
              <w:t xml:space="preserve"> </w:t>
            </w:r>
            <w:r>
              <w:rPr>
                <w:rFonts w:ascii="KaiTi" w:hAnsi="KaiTi" w:eastAsia="KaiTi" w:cs="KaiTi"/>
                <w:sz w:val="22"/>
                <w:szCs w:val="22"/>
                <w:spacing w:val="-10"/>
              </w:rPr>
              <w:t>)《艾滋病防治条例》</w:t>
            </w:r>
            <w:r>
              <w:rPr>
                <w:rFonts w:ascii="KaiTi" w:hAnsi="KaiTi" w:eastAsia="KaiTi" w:cs="KaiTi"/>
                <w:sz w:val="22"/>
                <w:szCs w:val="22"/>
              </w:rPr>
              <w:tab/>
            </w:r>
            <w:r>
              <w:rPr>
                <w:rFonts w:ascii="Times New Roman" w:hAnsi="Times New Roman" w:eastAsia="Times New Roman" w:cs="Times New Roman"/>
                <w:sz w:val="22"/>
                <w:szCs w:val="22"/>
                <w:spacing w:val="-5"/>
              </w:rPr>
              <w:t>131</w:t>
            </w:r>
          </w:hyperlink>
        </w:p>
        <w:p>
          <w:pPr>
            <w:pStyle w:val="BodyText"/>
            <w:spacing w:line="337" w:lineRule="auto"/>
            <w:rPr/>
          </w:pPr>
          <w:r/>
        </w:p>
        <w:p>
          <w:pPr>
            <w:ind w:left="323"/>
            <w:spacing w:before="72" w:line="221" w:lineRule="auto"/>
            <w:tabs>
              <w:tab w:val="right" w:leader="dot" w:pos="13345"/>
            </w:tabs>
            <w:rPr>
              <w:rFonts w:ascii="Times New Roman" w:hAnsi="Times New Roman" w:eastAsia="Times New Roman" w:cs="Times New Roman"/>
              <w:sz w:val="22"/>
              <w:szCs w:val="22"/>
            </w:rPr>
          </w:pPr>
          <w:hyperlink w:history="true" w:anchor="bookmark63">
            <w:r>
              <w:rPr>
                <w:rFonts w:ascii="SimHei" w:hAnsi="SimHei" w:eastAsia="SimHei" w:cs="SimHei"/>
                <w:sz w:val="22"/>
                <w:szCs w:val="22"/>
                <w:b/>
                <w:bCs/>
                <w:spacing w:val="-1"/>
              </w:rPr>
              <w:t>第四十六条</w:t>
            </w:r>
            <w:r>
              <w:rPr>
                <w:rFonts w:ascii="SimHei" w:hAnsi="SimHei" w:eastAsia="SimHei" w:cs="SimHei"/>
                <w:sz w:val="22"/>
                <w:szCs w:val="22"/>
                <w:spacing w:val="-1"/>
              </w:rPr>
              <w:t xml:space="preserve"> </w:t>
            </w:r>
            <w:r>
              <w:rPr>
                <w:rFonts w:ascii="SimHei" w:hAnsi="SimHei" w:eastAsia="SimHei" w:cs="SimHei"/>
                <w:sz w:val="22"/>
                <w:szCs w:val="22"/>
                <w:b/>
                <w:bCs/>
                <w:spacing w:val="-1"/>
              </w:rPr>
              <w:t>医疗卫生机构未履行艾滋病监测职责的</w:t>
            </w:r>
            <w:r>
              <w:rPr>
                <w:rFonts w:ascii="SimHei" w:hAnsi="SimHei" w:eastAsia="SimHei" w:cs="SimHei"/>
                <w:sz w:val="22"/>
                <w:szCs w:val="22"/>
                <w:spacing w:val="-83"/>
              </w:rPr>
              <w:t xml:space="preserve"> </w:t>
            </w:r>
            <w:r>
              <w:rPr>
                <w:rFonts w:ascii="SimHei" w:hAnsi="SimHei" w:eastAsia="SimHei" w:cs="SimHei"/>
                <w:sz w:val="22"/>
                <w:szCs w:val="22"/>
              </w:rPr>
              <w:tab/>
            </w:r>
            <w:r>
              <w:rPr>
                <w:rFonts w:ascii="Times New Roman" w:hAnsi="Times New Roman" w:eastAsia="Times New Roman" w:cs="Times New Roman"/>
                <w:sz w:val="22"/>
                <w:szCs w:val="22"/>
                <w:b/>
                <w:bCs/>
                <w:spacing w:val="1"/>
              </w:rPr>
              <w:t>131</w:t>
            </w:r>
          </w:hyperlink>
        </w:p>
      </w:sdtContent>
    </w:sdt>
    <w:p>
      <w:pPr>
        <w:spacing w:line="221" w:lineRule="auto"/>
        <w:sectPr>
          <w:footerReference w:type="default" r:id="rId7"/>
          <w:pgSz w:w="16830" w:h="11900"/>
          <w:pgMar w:top="1011" w:right="1440" w:bottom="1132" w:left="1969" w:header="0" w:footer="857" w:gutter="0"/>
        </w:sectPr>
        <w:rPr>
          <w:rFonts w:ascii="Times New Roman" w:hAnsi="Times New Roman" w:eastAsia="Times New Roman" w:cs="Times New Roman"/>
          <w:sz w:val="22"/>
          <w:szCs w:val="22"/>
        </w:rPr>
      </w:pPr>
    </w:p>
    <w:p>
      <w:pPr>
        <w:pStyle w:val="BodyText"/>
        <w:spacing w:line="310" w:lineRule="auto"/>
        <w:rPr/>
      </w:pPr>
      <w:r/>
    </w:p>
    <w:p>
      <w:pPr>
        <w:pStyle w:val="BodyText"/>
        <w:spacing w:line="310" w:lineRule="auto"/>
        <w:rPr/>
      </w:pPr>
      <w:r/>
    </w:p>
    <w:p>
      <w:pPr>
        <w:pStyle w:val="BodyText"/>
        <w:spacing w:line="311"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spacing w:before="68" w:line="222" w:lineRule="auto"/>
            <w:tabs>
              <w:tab w:val="right" w:leader="dot" w:pos="12870"/>
            </w:tabs>
            <w:rPr>
              <w:rFonts w:ascii="Times New Roman" w:hAnsi="Times New Roman" w:eastAsia="Times New Roman" w:cs="Times New Roman"/>
              <w:sz w:val="21"/>
              <w:szCs w:val="21"/>
            </w:rPr>
          </w:pPr>
          <w:hyperlink w:history="true" w:anchor="bookmark64">
            <w:r>
              <w:rPr>
                <w:rFonts w:ascii="SimHei" w:hAnsi="SimHei" w:eastAsia="SimHei" w:cs="SimHei"/>
                <w:sz w:val="21"/>
                <w:szCs w:val="21"/>
                <w:spacing w:val="8"/>
              </w:rPr>
              <w:t>第四十七条</w:t>
            </w:r>
            <w:r>
              <w:rPr>
                <w:rFonts w:ascii="SimHei" w:hAnsi="SimHei" w:eastAsia="SimHei" w:cs="SimHei"/>
                <w:sz w:val="21"/>
                <w:szCs w:val="21"/>
                <w:spacing w:val="8"/>
              </w:rPr>
              <w:t xml:space="preserve"> </w:t>
            </w:r>
            <w:r>
              <w:rPr>
                <w:rFonts w:ascii="SimHei" w:hAnsi="SimHei" w:eastAsia="SimHei" w:cs="SimHei"/>
                <w:sz w:val="21"/>
                <w:szCs w:val="21"/>
                <w:spacing w:val="8"/>
              </w:rPr>
              <w:t>医疗卫生机构未按照规定免费</w:t>
            </w:r>
            <w:r>
              <w:rPr>
                <w:rFonts w:ascii="SimHei" w:hAnsi="SimHei" w:eastAsia="SimHei" w:cs="SimHei"/>
                <w:sz w:val="21"/>
                <w:szCs w:val="21"/>
                <w:spacing w:val="7"/>
              </w:rPr>
              <w:t>提供咨询和初筛检测的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21"/>
              </w:rPr>
              <w:t xml:space="preserve"> </w:t>
            </w:r>
            <w:r>
              <w:rPr>
                <w:rFonts w:ascii="Times New Roman" w:hAnsi="Times New Roman" w:eastAsia="Times New Roman" w:cs="Times New Roman"/>
                <w:sz w:val="21"/>
                <w:szCs w:val="21"/>
                <w:spacing w:val="-6"/>
              </w:rPr>
              <w:t>132</w:t>
            </w:r>
          </w:hyperlink>
        </w:p>
        <w:p>
          <w:pPr>
            <w:pStyle w:val="BodyText"/>
            <w:spacing w:line="243" w:lineRule="auto"/>
            <w:rPr/>
          </w:pPr>
          <w:r/>
        </w:p>
        <w:p>
          <w:pPr>
            <w:pStyle w:val="BodyText"/>
            <w:spacing w:line="243" w:lineRule="auto"/>
            <w:rPr/>
          </w:pPr>
          <w:r/>
        </w:p>
        <w:p>
          <w:pPr>
            <w:spacing w:before="69" w:line="213" w:lineRule="auto"/>
            <w:rPr>
              <w:rFonts w:ascii="SimHei" w:hAnsi="SimHei" w:eastAsia="SimHei" w:cs="SimHei"/>
              <w:sz w:val="21"/>
              <w:szCs w:val="21"/>
            </w:rPr>
          </w:pPr>
          <w:hyperlink w:history="true" w:anchor="bookmark65">
            <w:r>
              <w:rPr>
                <w:rFonts w:ascii="SimHei" w:hAnsi="SimHei" w:eastAsia="SimHei" w:cs="SimHei"/>
                <w:sz w:val="21"/>
                <w:szCs w:val="21"/>
                <w:spacing w:val="10"/>
              </w:rPr>
              <w:t>第四十八条</w:t>
            </w:r>
            <w:r>
              <w:rPr>
                <w:rFonts w:ascii="SimHei" w:hAnsi="SimHei" w:eastAsia="SimHei" w:cs="SimHei"/>
                <w:sz w:val="21"/>
                <w:szCs w:val="21"/>
                <w:spacing w:val="10"/>
              </w:rPr>
              <w:t xml:space="preserve"> </w:t>
            </w:r>
            <w:r>
              <w:rPr>
                <w:rFonts w:ascii="SimHei" w:hAnsi="SimHei" w:eastAsia="SimHei" w:cs="SimHei"/>
                <w:sz w:val="21"/>
                <w:szCs w:val="21"/>
                <w:spacing w:val="10"/>
              </w:rPr>
              <w:t>医疗卫生机构对临时应急采集的血液未进行艾滋病检测，对临床用血艾滋病检测结果未进行核查，或者将艾滋病检测阳性的</w:t>
            </w:r>
          </w:hyperlink>
        </w:p>
        <w:p>
          <w:pPr>
            <w:pStyle w:val="BodyText"/>
            <w:spacing w:line="328" w:lineRule="auto"/>
            <w:rPr/>
          </w:pPr>
          <w:r/>
        </w:p>
        <w:p>
          <w:pPr>
            <w:spacing w:before="69" w:line="223" w:lineRule="auto"/>
            <w:tabs>
              <w:tab w:val="right" w:leader="dot" w:pos="12980"/>
            </w:tabs>
            <w:rPr>
              <w:rFonts w:ascii="Times New Roman" w:hAnsi="Times New Roman" w:eastAsia="Times New Roman" w:cs="Times New Roman"/>
              <w:sz w:val="21"/>
              <w:szCs w:val="21"/>
            </w:rPr>
          </w:pPr>
          <w:hyperlink w:history="true" w:anchor="bookmark66">
            <w:r>
              <w:rPr>
                <w:rFonts w:ascii="SimHei" w:hAnsi="SimHei" w:eastAsia="SimHei" w:cs="SimHei"/>
                <w:sz w:val="21"/>
                <w:szCs w:val="21"/>
                <w:spacing w:val="15"/>
              </w:rPr>
              <w:t>血液用于临床的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7"/>
              </w:rPr>
              <w:t>133</w:t>
            </w:r>
          </w:hyperlink>
        </w:p>
        <w:p>
          <w:pPr>
            <w:pStyle w:val="BodyText"/>
            <w:spacing w:line="241" w:lineRule="auto"/>
            <w:rPr/>
          </w:pPr>
          <w:r/>
        </w:p>
        <w:p>
          <w:pPr>
            <w:pStyle w:val="BodyText"/>
            <w:spacing w:line="242" w:lineRule="auto"/>
            <w:rPr/>
          </w:pPr>
          <w:r/>
        </w:p>
        <w:p>
          <w:pPr>
            <w:spacing w:before="68" w:line="213" w:lineRule="auto"/>
            <w:tabs>
              <w:tab w:val="right" w:leader="dot" w:pos="12870"/>
            </w:tabs>
            <w:rPr>
              <w:rFonts w:ascii="Times New Roman" w:hAnsi="Times New Roman" w:eastAsia="Times New Roman" w:cs="Times New Roman"/>
              <w:sz w:val="21"/>
              <w:szCs w:val="21"/>
            </w:rPr>
          </w:pPr>
          <w:hyperlink w:history="true" w:anchor="bookmark67">
            <w:r>
              <w:rPr>
                <w:rFonts w:ascii="SimHei" w:hAnsi="SimHei" w:eastAsia="SimHei" w:cs="SimHei"/>
                <w:sz w:val="21"/>
                <w:szCs w:val="21"/>
                <w:spacing w:val="10"/>
              </w:rPr>
              <w:t>第四十九条</w:t>
            </w:r>
            <w:r>
              <w:rPr>
                <w:rFonts w:ascii="SimHei" w:hAnsi="SimHei" w:eastAsia="SimHei" w:cs="SimHei"/>
                <w:sz w:val="21"/>
                <w:szCs w:val="21"/>
                <w:spacing w:val="10"/>
              </w:rPr>
              <w:t xml:space="preserve"> </w:t>
            </w:r>
            <w:r>
              <w:rPr>
                <w:rFonts w:ascii="SimHei" w:hAnsi="SimHei" w:eastAsia="SimHei" w:cs="SimHei"/>
                <w:sz w:val="21"/>
                <w:szCs w:val="21"/>
                <w:spacing w:val="10"/>
              </w:rPr>
              <w:t>医疗卫生机构未遵守标准防护原则，或者未执行操作规程和消毒管理制度，发生艾滋病医院感</w:t>
            </w:r>
            <w:r>
              <w:rPr>
                <w:rFonts w:ascii="SimHei" w:hAnsi="SimHei" w:eastAsia="SimHei" w:cs="SimHei"/>
                <w:sz w:val="21"/>
                <w:szCs w:val="21"/>
                <w:spacing w:val="9"/>
              </w:rPr>
              <w:t>染或者医源性感染的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134</w:t>
            </w:r>
          </w:hyperlink>
        </w:p>
        <w:p>
          <w:pPr>
            <w:pStyle w:val="BodyText"/>
            <w:spacing w:line="302" w:lineRule="auto"/>
            <w:rPr/>
          </w:pPr>
          <w:r/>
        </w:p>
        <w:p>
          <w:pPr>
            <w:pStyle w:val="BodyText"/>
            <w:spacing w:line="302" w:lineRule="auto"/>
            <w:rPr/>
          </w:pPr>
          <w:r/>
        </w:p>
        <w:p>
          <w:pPr>
            <w:spacing w:before="69" w:line="221" w:lineRule="auto"/>
            <w:tabs>
              <w:tab w:val="right" w:leader="dot" w:pos="13020"/>
            </w:tabs>
            <w:rPr>
              <w:rFonts w:ascii="Times New Roman" w:hAnsi="Times New Roman" w:eastAsia="Times New Roman" w:cs="Times New Roman"/>
              <w:sz w:val="21"/>
              <w:szCs w:val="21"/>
            </w:rPr>
          </w:pPr>
          <w:hyperlink w:history="true" w:anchor="bookmark68">
            <w:r>
              <w:rPr>
                <w:rFonts w:ascii="SimHei" w:hAnsi="SimHei" w:eastAsia="SimHei" w:cs="SimHei"/>
                <w:sz w:val="21"/>
                <w:szCs w:val="21"/>
                <w:spacing w:val="10"/>
              </w:rPr>
              <w:t>第五十条</w:t>
            </w:r>
            <w:r>
              <w:rPr>
                <w:rFonts w:ascii="SimHei" w:hAnsi="SimHei" w:eastAsia="SimHei" w:cs="SimHei"/>
                <w:sz w:val="21"/>
                <w:szCs w:val="21"/>
                <w:spacing w:val="10"/>
              </w:rPr>
              <w:t xml:space="preserve"> </w:t>
            </w:r>
            <w:r>
              <w:rPr>
                <w:rFonts w:ascii="SimHei" w:hAnsi="SimHei" w:eastAsia="SimHei" w:cs="SimHei"/>
                <w:sz w:val="21"/>
                <w:szCs w:val="21"/>
                <w:spacing w:val="10"/>
              </w:rPr>
              <w:t>医疗卫生机构未采取有效的卫生防护措施和医疗保健措施的</w:t>
            </w:r>
            <w:r>
              <w:rPr>
                <w:rFonts w:ascii="SimHei" w:hAnsi="SimHei" w:eastAsia="SimHei" w:cs="SimHei"/>
                <w:sz w:val="21"/>
                <w:szCs w:val="21"/>
              </w:rPr>
              <w:tab/>
            </w:r>
            <w:r>
              <w:rPr>
                <w:rFonts w:ascii="Times New Roman" w:hAnsi="Times New Roman" w:eastAsia="Times New Roman" w:cs="Times New Roman"/>
                <w:sz w:val="21"/>
                <w:szCs w:val="21"/>
                <w:spacing w:val="-4"/>
              </w:rPr>
              <w:t>135</w:t>
            </w:r>
          </w:hyperlink>
        </w:p>
        <w:p>
          <w:pPr>
            <w:pStyle w:val="BodyText"/>
            <w:spacing w:line="408" w:lineRule="auto"/>
            <w:rPr/>
          </w:pPr>
          <w:r/>
        </w:p>
        <w:p>
          <w:pPr>
            <w:spacing w:before="69" w:line="213" w:lineRule="auto"/>
            <w:jc w:val="right"/>
            <w:rPr>
              <w:rFonts w:ascii="SimHei" w:hAnsi="SimHei" w:eastAsia="SimHei" w:cs="SimHei"/>
              <w:sz w:val="21"/>
              <w:szCs w:val="21"/>
            </w:rPr>
          </w:pPr>
          <w:hyperlink w:history="true" w:anchor="bookmark69">
            <w:r>
              <w:rPr>
                <w:rFonts w:ascii="SimHei" w:hAnsi="SimHei" w:eastAsia="SimHei" w:cs="SimHei"/>
                <w:sz w:val="21"/>
                <w:szCs w:val="21"/>
                <w:spacing w:val="10"/>
              </w:rPr>
              <w:t>第五十一条</w:t>
            </w:r>
            <w:r>
              <w:rPr>
                <w:rFonts w:ascii="SimHei" w:hAnsi="SimHei" w:eastAsia="SimHei" w:cs="SimHei"/>
                <w:sz w:val="21"/>
                <w:szCs w:val="21"/>
                <w:spacing w:val="10"/>
              </w:rPr>
              <w:t xml:space="preserve"> </w:t>
            </w:r>
            <w:r>
              <w:rPr>
                <w:rFonts w:ascii="SimHei" w:hAnsi="SimHei" w:eastAsia="SimHei" w:cs="SimHei"/>
                <w:sz w:val="21"/>
                <w:szCs w:val="21"/>
                <w:spacing w:val="10"/>
              </w:rPr>
              <w:t>医疗卫生机构推诿、拒绝治疗艾滋病病毒感染者或者艾滋病病人的其他疾病，或者对艾滋病病毒感染者、艾滋病病人未提供</w:t>
            </w:r>
          </w:hyperlink>
        </w:p>
        <w:p>
          <w:pPr>
            <w:pStyle w:val="BodyText"/>
            <w:spacing w:line="316" w:lineRule="auto"/>
            <w:rPr/>
          </w:pPr>
          <w:r/>
        </w:p>
        <w:p>
          <w:pPr>
            <w:spacing w:before="68" w:line="221" w:lineRule="auto"/>
            <w:tabs>
              <w:tab w:val="right" w:leader="dot" w:pos="12870"/>
            </w:tabs>
            <w:rPr>
              <w:rFonts w:ascii="Times New Roman" w:hAnsi="Times New Roman" w:eastAsia="Times New Roman" w:cs="Times New Roman"/>
              <w:sz w:val="21"/>
              <w:szCs w:val="21"/>
            </w:rPr>
          </w:pPr>
          <w:hyperlink w:history="true" w:anchor="bookmark70">
            <w:r>
              <w:rPr>
                <w:rFonts w:ascii="SimHei" w:hAnsi="SimHei" w:eastAsia="SimHei" w:cs="SimHei"/>
                <w:sz w:val="21"/>
                <w:szCs w:val="21"/>
                <w:spacing w:val="12"/>
              </w:rPr>
              <w:t>咨询、诊断和治疗服务的</w:t>
            </w:r>
            <w:r>
              <w:rPr>
                <w:rFonts w:ascii="SimHei" w:hAnsi="SimHei" w:eastAsia="SimHei" w:cs="SimHei"/>
                <w:sz w:val="21"/>
                <w:szCs w:val="21"/>
                <w:spacing w:val="-88"/>
              </w:rPr>
              <w:t xml:space="preserve"> </w:t>
            </w:r>
            <w:r>
              <w:rPr>
                <w:rFonts w:ascii="SimHei" w:hAnsi="SimHei" w:eastAsia="SimHei" w:cs="SimHei"/>
                <w:sz w:val="21"/>
                <w:szCs w:val="21"/>
              </w:rPr>
              <w:tab/>
            </w:r>
            <w:r>
              <w:rPr>
                <w:rFonts w:ascii="SimHei" w:hAnsi="SimHei" w:eastAsia="SimHei" w:cs="SimHei"/>
                <w:sz w:val="21"/>
                <w:szCs w:val="21"/>
                <w:spacing w:val="-41"/>
              </w:rPr>
              <w:t xml:space="preserve"> </w:t>
            </w:r>
            <w:r>
              <w:rPr>
                <w:rFonts w:ascii="Times New Roman" w:hAnsi="Times New Roman" w:eastAsia="Times New Roman" w:cs="Times New Roman"/>
                <w:sz w:val="21"/>
                <w:szCs w:val="21"/>
                <w:spacing w:val="-6"/>
              </w:rPr>
              <w:t>136</w:t>
            </w:r>
          </w:hyperlink>
        </w:p>
        <w:p>
          <w:pPr>
            <w:pStyle w:val="BodyText"/>
            <w:spacing w:line="253" w:lineRule="auto"/>
            <w:rPr/>
          </w:pPr>
          <w:r/>
        </w:p>
        <w:p>
          <w:pPr>
            <w:pStyle w:val="BodyText"/>
            <w:spacing w:line="254" w:lineRule="auto"/>
            <w:rPr/>
          </w:pPr>
          <w:r/>
        </w:p>
        <w:p>
          <w:pPr>
            <w:spacing w:before="69" w:line="221" w:lineRule="auto"/>
            <w:tabs>
              <w:tab w:val="right" w:leader="dot" w:pos="12870"/>
            </w:tabs>
            <w:rPr>
              <w:rFonts w:ascii="Times New Roman" w:hAnsi="Times New Roman" w:eastAsia="Times New Roman" w:cs="Times New Roman"/>
              <w:sz w:val="21"/>
              <w:szCs w:val="21"/>
            </w:rPr>
          </w:pPr>
          <w:hyperlink w:history="true" w:anchor="bookmark71">
            <w:r>
              <w:rPr>
                <w:rFonts w:ascii="SimHei" w:hAnsi="SimHei" w:eastAsia="SimHei" w:cs="SimHei"/>
                <w:sz w:val="21"/>
                <w:szCs w:val="21"/>
                <w:spacing w:val="13"/>
              </w:rPr>
              <w:t>第五十二条</w:t>
            </w:r>
            <w:r>
              <w:rPr>
                <w:rFonts w:ascii="SimHei" w:hAnsi="SimHei" w:eastAsia="SimHei" w:cs="SimHei"/>
                <w:sz w:val="21"/>
                <w:szCs w:val="21"/>
                <w:spacing w:val="13"/>
              </w:rPr>
              <w:t xml:space="preserve"> </w:t>
            </w:r>
            <w:r>
              <w:rPr>
                <w:rFonts w:ascii="SimHei" w:hAnsi="SimHei" w:eastAsia="SimHei" w:cs="SimHei"/>
                <w:sz w:val="21"/>
                <w:szCs w:val="21"/>
                <w:spacing w:val="13"/>
              </w:rPr>
              <w:t>医疗卫生机构未对艾滋病病毒感染者或者艾滋病病人进行医学随访的</w:t>
            </w:r>
            <w:r>
              <w:rPr>
                <w:rFonts w:ascii="SimHei" w:hAnsi="SimHei" w:eastAsia="SimHei" w:cs="SimHei"/>
                <w:sz w:val="21"/>
                <w:szCs w:val="21"/>
                <w:spacing w:val="-89"/>
              </w:rPr>
              <w:t xml:space="preserve"> </w:t>
            </w:r>
            <w:r>
              <w:rPr>
                <w:rFonts w:ascii="SimHei" w:hAnsi="SimHei" w:eastAsia="SimHei" w:cs="SimHei"/>
                <w:sz w:val="21"/>
                <w:szCs w:val="21"/>
              </w:rPr>
              <w:tab/>
            </w:r>
            <w:r>
              <w:rPr>
                <w:rFonts w:ascii="SimHei" w:hAnsi="SimHei" w:eastAsia="SimHei" w:cs="SimHei"/>
                <w:sz w:val="21"/>
                <w:szCs w:val="21"/>
                <w:spacing w:val="-61"/>
              </w:rPr>
              <w:t xml:space="preserve"> </w:t>
            </w:r>
            <w:r>
              <w:rPr>
                <w:rFonts w:ascii="Times New Roman" w:hAnsi="Times New Roman" w:eastAsia="Times New Roman" w:cs="Times New Roman"/>
                <w:sz w:val="21"/>
                <w:szCs w:val="21"/>
                <w:spacing w:val="-6"/>
              </w:rPr>
              <w:t>137</w:t>
            </w:r>
          </w:hyperlink>
        </w:p>
        <w:p>
          <w:pPr>
            <w:pStyle w:val="BodyText"/>
            <w:spacing w:line="248" w:lineRule="auto"/>
            <w:rPr/>
          </w:pPr>
          <w:r/>
        </w:p>
        <w:p>
          <w:pPr>
            <w:pStyle w:val="BodyText"/>
            <w:spacing w:line="249" w:lineRule="auto"/>
            <w:rPr/>
          </w:pPr>
          <w:r/>
        </w:p>
        <w:p>
          <w:pPr>
            <w:spacing w:before="68" w:line="221" w:lineRule="auto"/>
            <w:tabs>
              <w:tab w:val="right" w:leader="dot" w:pos="12870"/>
            </w:tabs>
            <w:rPr>
              <w:rFonts w:ascii="Times New Roman" w:hAnsi="Times New Roman" w:eastAsia="Times New Roman" w:cs="Times New Roman"/>
              <w:sz w:val="21"/>
              <w:szCs w:val="21"/>
            </w:rPr>
          </w:pPr>
          <w:hyperlink w:history="true" w:anchor="bookmark72">
            <w:r>
              <w:rPr>
                <w:rFonts w:ascii="SimHei" w:hAnsi="SimHei" w:eastAsia="SimHei" w:cs="SimHei"/>
                <w:sz w:val="21"/>
                <w:szCs w:val="21"/>
                <w:spacing w:val="11"/>
              </w:rPr>
              <w:t>第五十三条</w:t>
            </w:r>
            <w:r>
              <w:rPr>
                <w:rFonts w:ascii="SimHei" w:hAnsi="SimHei" w:eastAsia="SimHei" w:cs="SimHei"/>
                <w:sz w:val="21"/>
                <w:szCs w:val="21"/>
                <w:spacing w:val="11"/>
              </w:rPr>
              <w:t xml:space="preserve"> </w:t>
            </w:r>
            <w:r>
              <w:rPr>
                <w:rFonts w:ascii="SimHei" w:hAnsi="SimHei" w:eastAsia="SimHei" w:cs="SimHei"/>
                <w:sz w:val="21"/>
                <w:szCs w:val="21"/>
                <w:spacing w:val="11"/>
              </w:rPr>
              <w:t>医疗卫生机构未按照规定对感染艾</w:t>
            </w:r>
            <w:r>
              <w:rPr>
                <w:rFonts w:ascii="SimHei" w:hAnsi="SimHei" w:eastAsia="SimHei" w:cs="SimHei"/>
                <w:sz w:val="21"/>
                <w:szCs w:val="21"/>
                <w:spacing w:val="10"/>
              </w:rPr>
              <w:t>滋病病毒的孕产妇及其婴儿提供预防艾滋病母婴传播技术指导的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5"/>
              </w:rPr>
              <w:t>138</w:t>
            </w:r>
          </w:hyperlink>
        </w:p>
      </w:sdtContent>
    </w:sdt>
    <w:p>
      <w:pPr>
        <w:pStyle w:val="BodyText"/>
        <w:spacing w:line="244" w:lineRule="auto"/>
        <w:rPr/>
      </w:pPr>
      <w:r/>
    </w:p>
    <w:p>
      <w:pPr>
        <w:pStyle w:val="BodyText"/>
        <w:spacing w:line="244" w:lineRule="auto"/>
        <w:rPr/>
      </w:pPr>
      <w:r/>
    </w:p>
    <w:p>
      <w:pPr>
        <w:ind w:right="1"/>
        <w:spacing w:before="69" w:line="213" w:lineRule="auto"/>
        <w:jc w:val="right"/>
        <w:rPr>
          <w:rFonts w:ascii="SimHei" w:hAnsi="SimHei" w:eastAsia="SimHei" w:cs="SimHei"/>
          <w:sz w:val="21"/>
          <w:szCs w:val="21"/>
        </w:rPr>
      </w:pPr>
      <w:r>
        <w:rPr>
          <w:rFonts w:ascii="SimHei" w:hAnsi="SimHei" w:eastAsia="SimHei" w:cs="SimHei"/>
          <w:sz w:val="21"/>
          <w:szCs w:val="21"/>
          <w:spacing w:val="12"/>
        </w:rPr>
        <w:t>第五十四条</w:t>
      </w:r>
      <w:r>
        <w:rPr>
          <w:rFonts w:ascii="SimHei" w:hAnsi="SimHei" w:eastAsia="SimHei" w:cs="SimHei"/>
          <w:sz w:val="21"/>
          <w:szCs w:val="21"/>
          <w:spacing w:val="12"/>
        </w:rPr>
        <w:t xml:space="preserve"> </w:t>
      </w:r>
      <w:r>
        <w:rPr>
          <w:rFonts w:ascii="SimHei" w:hAnsi="SimHei" w:eastAsia="SimHei" w:cs="SimHei"/>
          <w:sz w:val="21"/>
          <w:szCs w:val="21"/>
          <w:spacing w:val="12"/>
        </w:rPr>
        <w:t>血站、单采血浆站对采集的人体血液、血浆未进行艾滋病检测，或者发现艾滋</w:t>
      </w:r>
      <w:r>
        <w:rPr>
          <w:rFonts w:ascii="SimHei" w:hAnsi="SimHei" w:eastAsia="SimHei" w:cs="SimHei"/>
          <w:sz w:val="21"/>
          <w:szCs w:val="21"/>
          <w:spacing w:val="11"/>
        </w:rPr>
        <w:t>病检测阳性的人体血液、血浆仍然采集的139</w:t>
      </w:r>
    </w:p>
    <w:p>
      <w:pPr>
        <w:spacing w:line="213" w:lineRule="auto"/>
        <w:sectPr>
          <w:footerReference w:type="default" r:id="rId8"/>
          <w:pgSz w:w="16830" w:h="11900"/>
          <w:pgMar w:top="1011" w:right="1416" w:bottom="1138" w:left="2299" w:header="0" w:footer="778" w:gutter="0"/>
        </w:sectPr>
        <w:rPr>
          <w:rFonts w:ascii="SimHei" w:hAnsi="SimHei" w:eastAsia="SimHei" w:cs="SimHei"/>
          <w:sz w:val="21"/>
          <w:szCs w:val="21"/>
        </w:rPr>
      </w:pPr>
    </w:p>
    <w:p>
      <w:pPr>
        <w:pStyle w:val="BodyText"/>
        <w:spacing w:line="319" w:lineRule="auto"/>
        <w:rPr/>
      </w:pPr>
      <w:r/>
    </w:p>
    <w:p>
      <w:pPr>
        <w:pStyle w:val="BodyText"/>
        <w:spacing w:line="319" w:lineRule="auto"/>
        <w:rPr/>
      </w:pPr>
      <w:r/>
    </w:p>
    <w:p>
      <w:pPr>
        <w:pStyle w:val="BodyText"/>
        <w:spacing w:line="320" w:lineRule="auto"/>
        <w:rPr/>
      </w:pPr>
      <w:r/>
    </w:p>
    <w:p>
      <w:pPr>
        <w:ind w:left="339"/>
        <w:spacing w:before="62" w:line="213" w:lineRule="auto"/>
        <w:rPr>
          <w:rFonts w:ascii="SimHei" w:hAnsi="SimHei" w:eastAsia="SimHei" w:cs="SimHei"/>
          <w:sz w:val="19"/>
          <w:szCs w:val="19"/>
        </w:rPr>
      </w:pPr>
      <w:bookmarkStart w:name="bookmark73" w:id="1"/>
      <w:bookmarkEnd w:id="1"/>
      <w:r>
        <w:rPr>
          <w:rFonts w:ascii="SimHei" w:hAnsi="SimHei" w:eastAsia="SimHei" w:cs="SimHei"/>
          <w:sz w:val="19"/>
          <w:szCs w:val="19"/>
          <w:spacing w:val="30"/>
        </w:rPr>
        <w:t>第五十五条</w:t>
      </w:r>
      <w:r>
        <w:rPr>
          <w:rFonts w:ascii="SimHei" w:hAnsi="SimHei" w:eastAsia="SimHei" w:cs="SimHei"/>
          <w:sz w:val="19"/>
          <w:szCs w:val="19"/>
          <w:spacing w:val="30"/>
        </w:rPr>
        <w:t xml:space="preserve"> </w:t>
      </w:r>
      <w:r>
        <w:rPr>
          <w:rFonts w:ascii="SimHei" w:hAnsi="SimHei" w:eastAsia="SimHei" w:cs="SimHei"/>
          <w:sz w:val="19"/>
          <w:szCs w:val="19"/>
          <w:spacing w:val="30"/>
        </w:rPr>
        <w:t>血站、单采血浆站将未经艾滋病检测的人体血液、血浆，或者艾滋病检测阳性的人体血液、血浆供应</w:t>
      </w:r>
      <w:r>
        <w:rPr>
          <w:rFonts w:ascii="SimHei" w:hAnsi="SimHei" w:eastAsia="SimHei" w:cs="SimHei"/>
          <w:sz w:val="19"/>
          <w:szCs w:val="19"/>
          <w:spacing w:val="29"/>
        </w:rPr>
        <w:t>给医疗机构和血液制品</w:t>
      </w:r>
    </w:p>
    <w:p>
      <w:pPr>
        <w:pStyle w:val="BodyText"/>
        <w:spacing w:line="336" w:lineRule="auto"/>
        <w:rPr/>
      </w:pPr>
      <w:r/>
    </w:p>
    <w:sdt>
      <w:sdtPr>
        <w:rPr>
          <w:rFonts w:ascii="SimHei" w:hAnsi="SimHei" w:eastAsia="SimHei" w:cs="SimHei"/>
          <w:sz w:val="19"/>
          <w:szCs w:val="19"/>
        </w:rPr>
        <w:docPartObj>
          <w:docPartGallery w:val="Table of Contents"/>
          <w:docPartUnique/>
        </w:docPartObj>
      </w:sdtPr>
      <w:sdtEndPr>
        <w:rPr/>
      </w:sdtEndPr>
      <w:sdtContent>
        <w:p>
          <w:pPr>
            <w:ind w:left="330"/>
            <w:spacing w:before="62" w:line="222" w:lineRule="auto"/>
            <w:tabs>
              <w:tab w:val="right" w:leader="dot" w:pos="13235"/>
            </w:tabs>
            <w:rPr>
              <w:rFonts w:ascii="SimHei" w:hAnsi="SimHei" w:eastAsia="SimHei" w:cs="SimHei"/>
              <w:sz w:val="11"/>
              <w:szCs w:val="11"/>
            </w:rPr>
          </w:pPr>
          <w:hyperlink w:history="true" w:anchor="bookmark74">
            <w:r>
              <w:rPr>
                <w:rFonts w:ascii="SimHei" w:hAnsi="SimHei" w:eastAsia="SimHei" w:cs="SimHei"/>
                <w:sz w:val="19"/>
                <w:szCs w:val="19"/>
                <w:spacing w:val="33"/>
              </w:rPr>
              <w:t>生产单位的</w:t>
            </w:r>
            <w:r>
              <w:rPr>
                <w:rFonts w:ascii="SimHei" w:hAnsi="SimHei" w:eastAsia="SimHei" w:cs="SimHei"/>
                <w:sz w:val="19"/>
                <w:szCs w:val="19"/>
                <w:spacing w:val="-32"/>
              </w:rPr>
              <w:t xml:space="preserve"> </w:t>
            </w:r>
            <w:r>
              <w:rPr>
                <w:rFonts w:ascii="SimHei" w:hAnsi="SimHei" w:eastAsia="SimHei" w:cs="SimHei"/>
                <w:sz w:val="19"/>
                <w:szCs w:val="19"/>
              </w:rPr>
              <w:tab/>
            </w:r>
            <w:r>
              <w:rPr>
                <w:rFonts w:ascii="SimHei" w:hAnsi="SimHei" w:eastAsia="SimHei" w:cs="SimHei"/>
                <w:sz w:val="19"/>
                <w:szCs w:val="19"/>
                <w:spacing w:val="47"/>
              </w:rPr>
              <w:t xml:space="preserve"> </w:t>
            </w:r>
            <w:r>
              <w:rPr>
                <w:rFonts w:ascii="SimHei" w:hAnsi="SimHei" w:eastAsia="SimHei" w:cs="SimHei"/>
                <w:sz w:val="11"/>
                <w:szCs w:val="11"/>
                <w:spacing w:val="-3"/>
              </w:rPr>
              <w:t>140</w:t>
            </w:r>
          </w:hyperlink>
        </w:p>
        <w:p>
          <w:pPr>
            <w:pStyle w:val="BodyText"/>
            <w:spacing w:line="267" w:lineRule="auto"/>
            <w:rPr/>
          </w:pPr>
          <w:r/>
        </w:p>
        <w:p>
          <w:pPr>
            <w:pStyle w:val="BodyText"/>
            <w:spacing w:line="268" w:lineRule="auto"/>
            <w:rPr/>
          </w:pPr>
          <w:r/>
        </w:p>
        <w:p>
          <w:pPr>
            <w:ind w:left="330"/>
            <w:spacing w:before="61" w:line="222" w:lineRule="auto"/>
            <w:tabs>
              <w:tab w:val="right" w:leader="dot" w:pos="13311"/>
            </w:tabs>
            <w:rPr>
              <w:rFonts w:ascii="Times New Roman" w:hAnsi="Times New Roman" w:eastAsia="Times New Roman" w:cs="Times New Roman"/>
              <w:sz w:val="19"/>
              <w:szCs w:val="19"/>
            </w:rPr>
          </w:pPr>
          <w:hyperlink w:history="true" w:anchor="bookmark75">
            <w:r>
              <w:rPr>
                <w:rFonts w:ascii="SimHei" w:hAnsi="SimHei" w:eastAsia="SimHei" w:cs="SimHei"/>
                <w:sz w:val="19"/>
                <w:szCs w:val="19"/>
                <w:spacing w:val="24"/>
              </w:rPr>
              <w:t>第</w:t>
            </w:r>
            <w:r>
              <w:rPr>
                <w:rFonts w:ascii="SimHei" w:hAnsi="SimHei" w:eastAsia="SimHei" w:cs="SimHei"/>
                <w:sz w:val="19"/>
                <w:szCs w:val="19"/>
                <w:spacing w:val="-32"/>
              </w:rPr>
              <w:t xml:space="preserve"> </w:t>
            </w:r>
            <w:r>
              <w:rPr>
                <w:rFonts w:ascii="SimHei" w:hAnsi="SimHei" w:eastAsia="SimHei" w:cs="SimHei"/>
                <w:sz w:val="19"/>
                <w:szCs w:val="19"/>
                <w:spacing w:val="24"/>
              </w:rPr>
              <w:t>五</w:t>
            </w:r>
            <w:r>
              <w:rPr>
                <w:rFonts w:ascii="SimHei" w:hAnsi="SimHei" w:eastAsia="SimHei" w:cs="SimHei"/>
                <w:sz w:val="19"/>
                <w:szCs w:val="19"/>
                <w:spacing w:val="-39"/>
              </w:rPr>
              <w:t xml:space="preserve"> </w:t>
            </w:r>
            <w:r>
              <w:rPr>
                <w:rFonts w:ascii="SimHei" w:hAnsi="SimHei" w:eastAsia="SimHei" w:cs="SimHei"/>
                <w:sz w:val="19"/>
                <w:szCs w:val="19"/>
                <w:spacing w:val="24"/>
              </w:rPr>
              <w:t>十</w:t>
            </w:r>
            <w:r>
              <w:rPr>
                <w:rFonts w:ascii="SimHei" w:hAnsi="SimHei" w:eastAsia="SimHei" w:cs="SimHei"/>
                <w:sz w:val="19"/>
                <w:szCs w:val="19"/>
                <w:spacing w:val="-36"/>
              </w:rPr>
              <w:t xml:space="preserve"> </w:t>
            </w:r>
            <w:r>
              <w:rPr>
                <w:rFonts w:ascii="SimHei" w:hAnsi="SimHei" w:eastAsia="SimHei" w:cs="SimHei"/>
                <w:sz w:val="19"/>
                <w:szCs w:val="19"/>
                <w:spacing w:val="24"/>
              </w:rPr>
              <w:t>六</w:t>
            </w:r>
            <w:r>
              <w:rPr>
                <w:rFonts w:ascii="SimHei" w:hAnsi="SimHei" w:eastAsia="SimHei" w:cs="SimHei"/>
                <w:sz w:val="19"/>
                <w:szCs w:val="19"/>
                <w:spacing w:val="-41"/>
              </w:rPr>
              <w:t xml:space="preserve"> </w:t>
            </w:r>
            <w:r>
              <w:rPr>
                <w:rFonts w:ascii="SimHei" w:hAnsi="SimHei" w:eastAsia="SimHei" w:cs="SimHei"/>
                <w:sz w:val="19"/>
                <w:szCs w:val="19"/>
                <w:spacing w:val="24"/>
              </w:rPr>
              <w:t>条</w:t>
            </w:r>
            <w:r>
              <w:rPr>
                <w:rFonts w:ascii="SimHei" w:hAnsi="SimHei" w:eastAsia="SimHei" w:cs="SimHei"/>
                <w:sz w:val="19"/>
                <w:szCs w:val="19"/>
                <w:spacing w:val="24"/>
              </w:rPr>
              <w:t xml:space="preserve"> </w:t>
            </w:r>
            <w:r>
              <w:rPr>
                <w:rFonts w:ascii="SimHei" w:hAnsi="SimHei" w:eastAsia="SimHei" w:cs="SimHei"/>
                <w:sz w:val="19"/>
                <w:szCs w:val="19"/>
                <w:spacing w:val="24"/>
              </w:rPr>
              <w:t>采集或者使用人体组织、器官、细胞、骨髓等未进行艾滋病检测或检测阳性仍采集或者使用的</w:t>
            </w:r>
            <w:r>
              <w:rPr>
                <w:rFonts w:ascii="SimHei" w:hAnsi="SimHei" w:eastAsia="SimHei" w:cs="SimHei"/>
                <w:sz w:val="19"/>
                <w:szCs w:val="19"/>
                <w:spacing w:val="-82"/>
              </w:rPr>
              <w:t xml:space="preserve"> </w:t>
            </w:r>
            <w:r>
              <w:rPr>
                <w:rFonts w:ascii="SimHei" w:hAnsi="SimHei" w:eastAsia="SimHei" w:cs="SimHei"/>
                <w:sz w:val="19"/>
                <w:szCs w:val="19"/>
              </w:rPr>
              <w:tab/>
            </w:r>
            <w:r>
              <w:rPr>
                <w:rFonts w:ascii="SimHei" w:hAnsi="SimHei" w:eastAsia="SimHei" w:cs="SimHei"/>
                <w:sz w:val="19"/>
                <w:szCs w:val="19"/>
                <w:spacing w:val="-34"/>
              </w:rPr>
              <w:t xml:space="preserve"> </w:t>
            </w:r>
            <w:r>
              <w:rPr>
                <w:rFonts w:ascii="Times New Roman" w:hAnsi="Times New Roman" w:eastAsia="Times New Roman" w:cs="Times New Roman"/>
                <w:sz w:val="19"/>
                <w:szCs w:val="19"/>
                <w:spacing w:val="-5"/>
              </w:rPr>
              <w:t>142</w:t>
            </w:r>
          </w:hyperlink>
        </w:p>
        <w:p>
          <w:pPr>
            <w:pStyle w:val="BodyText"/>
            <w:spacing w:line="349" w:lineRule="auto"/>
            <w:rPr/>
          </w:pPr>
          <w:r/>
        </w:p>
        <w:p>
          <w:pPr>
            <w:ind w:left="359"/>
            <w:spacing w:before="61" w:line="213" w:lineRule="auto"/>
            <w:rPr>
              <w:rFonts w:ascii="SimHei" w:hAnsi="SimHei" w:eastAsia="SimHei" w:cs="SimHei"/>
              <w:sz w:val="19"/>
              <w:szCs w:val="19"/>
            </w:rPr>
          </w:pPr>
          <w:hyperlink w:history="true" w:anchor="bookmark76">
            <w:r>
              <w:rPr>
                <w:rFonts w:ascii="SimHei" w:hAnsi="SimHei" w:eastAsia="SimHei" w:cs="SimHei"/>
                <w:sz w:val="19"/>
                <w:szCs w:val="19"/>
                <w:spacing w:val="29"/>
              </w:rPr>
              <w:t>第五十七条</w:t>
            </w:r>
            <w:r>
              <w:rPr>
                <w:rFonts w:ascii="SimHei" w:hAnsi="SimHei" w:eastAsia="SimHei" w:cs="SimHei"/>
                <w:sz w:val="19"/>
                <w:szCs w:val="19"/>
                <w:spacing w:val="29"/>
              </w:rPr>
              <w:t xml:space="preserve"> </w:t>
            </w:r>
            <w:r>
              <w:rPr>
                <w:rFonts w:ascii="SimHei" w:hAnsi="SimHei" w:eastAsia="SimHei" w:cs="SimHei"/>
                <w:sz w:val="19"/>
                <w:szCs w:val="19"/>
                <w:spacing w:val="29"/>
              </w:rPr>
              <w:t>医疗卫生机构、计划生育技术服务机构或者其他单位、个人违反本条例第三十九条第二款规定，公开艾滋病病毒感染者、艾</w:t>
            </w:r>
          </w:hyperlink>
        </w:p>
        <w:p>
          <w:pPr>
            <w:ind w:left="330"/>
            <w:spacing w:before="111" w:line="187" w:lineRule="auto"/>
            <w:tabs>
              <w:tab w:val="right" w:leader="dot" w:pos="12959"/>
            </w:tabs>
            <w:rPr>
              <w:rFonts w:ascii="SimHei" w:hAnsi="SimHei" w:eastAsia="SimHei" w:cs="SimHei"/>
              <w:sz w:val="19"/>
              <w:szCs w:val="19"/>
            </w:rPr>
          </w:pPr>
          <w:r>
            <w:pict>
              <v:shape id="_x0000_s2" style="position:absolute;margin-left:653.998pt;margin-top:7.42835pt;mso-position-vertical-relative:text;mso-position-horizontal-relative:text;width:9.8pt;height:9.25pt;z-index:251658240;" filled="false" stroked="false" type="#_x0000_t202">
                <v:fill on="false"/>
                <v:stroke on="false"/>
                <v:path/>
                <v:imagedata o:title=""/>
                <o:lock v:ext="edit" aspectratio="false"/>
                <v:textbox inset="0mm,0mm,0mm,0mm">
                  <w:txbxContent>
                    <w:p>
                      <w:pPr>
                        <w:ind w:left="20"/>
                        <w:spacing w:before="20" w:line="144" w:lineRule="exact"/>
                        <w:rPr>
                          <w:rFonts w:ascii="SimHei" w:hAnsi="SimHei" w:eastAsia="SimHei" w:cs="SimHei"/>
                          <w:sz w:val="11"/>
                          <w:szCs w:val="11"/>
                        </w:rPr>
                      </w:pPr>
                      <w:r>
                        <w:rPr>
                          <w:rFonts w:ascii="SimHei" w:hAnsi="SimHei" w:eastAsia="SimHei" w:cs="SimHei"/>
                          <w:sz w:val="11"/>
                          <w:szCs w:val="11"/>
                          <w:spacing w:val="-3"/>
                        </w:rPr>
                        <w:t>143</w:t>
                      </w:r>
                    </w:p>
                  </w:txbxContent>
                </v:textbox>
              </v:shape>
            </w:pict>
          </w:r>
          <w:hyperlink w:history="true" w:anchor="bookmark77">
            <w:r>
              <w:rPr>
                <w:rFonts w:ascii="SimHei" w:hAnsi="SimHei" w:eastAsia="SimHei" w:cs="SimHei"/>
                <w:sz w:val="19"/>
                <w:szCs w:val="19"/>
                <w:spacing w:val="30"/>
              </w:rPr>
              <w:t>滋病病人或者其家属的信息的</w:t>
            </w:r>
            <w:r>
              <w:rPr>
                <w:rFonts w:ascii="SimHei" w:hAnsi="SimHei" w:eastAsia="SimHei" w:cs="SimHei"/>
                <w:sz w:val="19"/>
                <w:szCs w:val="19"/>
                <w:spacing w:val="-17"/>
              </w:rPr>
              <w:t xml:space="preserve"> </w:t>
            </w:r>
            <w:r>
              <w:rPr>
                <w:rFonts w:ascii="SimHei" w:hAnsi="SimHei" w:eastAsia="SimHei" w:cs="SimHei"/>
                <w:sz w:val="19"/>
                <w:szCs w:val="19"/>
              </w:rPr>
              <w:tab/>
            </w:r>
          </w:hyperlink>
        </w:p>
      </w:sdtContent>
    </w:sdt>
    <w:p>
      <w:pPr>
        <w:pStyle w:val="BodyText"/>
        <w:spacing w:line="243" w:lineRule="auto"/>
        <w:rPr/>
      </w:pPr>
      <w:r/>
    </w:p>
    <w:sdt>
      <w:sdtPr>
        <w:rPr>
          <w:rFonts w:ascii="SimHei" w:hAnsi="SimHei" w:eastAsia="SimHei" w:cs="SimHei"/>
          <w:sz w:val="19"/>
          <w:szCs w:val="19"/>
        </w:rPr>
        <w:docPartObj>
          <w:docPartGallery w:val="Table of Contents"/>
          <w:docPartUnique/>
        </w:docPartObj>
      </w:sdtPr>
      <w:sdtEndPr>
        <w:rPr>
          <w:rFonts w:ascii="Times New Roman" w:hAnsi="Times New Roman" w:eastAsia="Times New Roman" w:cs="Times New Roman"/>
          <w:sz w:val="19"/>
          <w:szCs w:val="19"/>
        </w:rPr>
      </w:sdtEndPr>
      <w:sdtContent>
        <w:p>
          <w:pPr>
            <w:ind w:left="330"/>
            <w:spacing w:before="62" w:line="222" w:lineRule="auto"/>
            <w:tabs>
              <w:tab w:val="right" w:leader="dot" w:pos="13401"/>
            </w:tabs>
            <w:rPr>
              <w:rFonts w:ascii="Times New Roman" w:hAnsi="Times New Roman" w:eastAsia="Times New Roman" w:cs="Times New Roman"/>
              <w:sz w:val="19"/>
              <w:szCs w:val="19"/>
            </w:rPr>
          </w:pPr>
          <w:hyperlink w:history="true" w:anchor="bookmark78">
            <w:r>
              <w:rPr>
                <w:rFonts w:ascii="SimHei" w:hAnsi="SimHei" w:eastAsia="SimHei" w:cs="SimHei"/>
                <w:sz w:val="19"/>
                <w:szCs w:val="19"/>
                <w:spacing w:val="29"/>
              </w:rPr>
              <w:t>第五十八条</w:t>
            </w:r>
            <w:r>
              <w:rPr>
                <w:rFonts w:ascii="SimHei" w:hAnsi="SimHei" w:eastAsia="SimHei" w:cs="SimHei"/>
                <w:sz w:val="19"/>
                <w:szCs w:val="19"/>
                <w:spacing w:val="29"/>
              </w:rPr>
              <w:t xml:space="preserve"> </w:t>
            </w:r>
            <w:r>
              <w:rPr>
                <w:rFonts w:ascii="SimHei" w:hAnsi="SimHei" w:eastAsia="SimHei" w:cs="SimHei"/>
                <w:sz w:val="19"/>
                <w:szCs w:val="19"/>
                <w:spacing w:val="29"/>
              </w:rPr>
              <w:t>提供、使用未经出入境检验检疫机构检疫的进口人体血液、血浆、组</w:t>
            </w:r>
            <w:r>
              <w:rPr>
                <w:rFonts w:ascii="SimHei" w:hAnsi="SimHei" w:eastAsia="SimHei" w:cs="SimHei"/>
                <w:sz w:val="19"/>
                <w:szCs w:val="19"/>
                <w:spacing w:val="28"/>
              </w:rPr>
              <w:t>织、器官、细胞、骨髓等</w:t>
            </w:r>
            <w:r>
              <w:rPr>
                <w:rFonts w:ascii="SimHei" w:hAnsi="SimHei" w:eastAsia="SimHei" w:cs="SimHei"/>
                <w:sz w:val="19"/>
                <w:szCs w:val="19"/>
                <w:spacing w:val="-74"/>
              </w:rPr>
              <w:t xml:space="preserve"> </w:t>
            </w:r>
            <w:r>
              <w:rPr>
                <w:rFonts w:ascii="SimHei" w:hAnsi="SimHei" w:eastAsia="SimHei" w:cs="SimHei"/>
                <w:sz w:val="19"/>
                <w:szCs w:val="19"/>
              </w:rPr>
              <w:tab/>
            </w:r>
            <w:r>
              <w:rPr>
                <w:rFonts w:ascii="Times New Roman" w:hAnsi="Times New Roman" w:eastAsia="Times New Roman" w:cs="Times New Roman"/>
                <w:sz w:val="19"/>
                <w:szCs w:val="19"/>
                <w:spacing w:val="-3"/>
              </w:rPr>
              <w:t>143</w:t>
            </w:r>
          </w:hyperlink>
        </w:p>
        <w:p>
          <w:pPr>
            <w:ind w:left="359"/>
            <w:spacing w:before="283" w:line="213" w:lineRule="auto"/>
            <w:rPr>
              <w:rFonts w:ascii="SimHei" w:hAnsi="SimHei" w:eastAsia="SimHei" w:cs="SimHei"/>
              <w:sz w:val="19"/>
              <w:szCs w:val="19"/>
            </w:rPr>
          </w:pPr>
          <w:hyperlink w:history="true" w:anchor="bookmark79">
            <w:r>
              <w:rPr>
                <w:rFonts w:ascii="SimHei" w:hAnsi="SimHei" w:eastAsia="SimHei" w:cs="SimHei"/>
                <w:sz w:val="19"/>
                <w:szCs w:val="19"/>
                <w:spacing w:val="30"/>
              </w:rPr>
              <w:t>第五十九条</w:t>
            </w:r>
            <w:r>
              <w:rPr>
                <w:rFonts w:ascii="SimHei" w:hAnsi="SimHei" w:eastAsia="SimHei" w:cs="SimHei"/>
                <w:sz w:val="19"/>
                <w:szCs w:val="19"/>
                <w:spacing w:val="30"/>
              </w:rPr>
              <w:t xml:space="preserve"> </w:t>
            </w:r>
            <w:r>
              <w:rPr>
                <w:rFonts w:ascii="SimHei" w:hAnsi="SimHei" w:eastAsia="SimHei" w:cs="SimHei"/>
                <w:sz w:val="19"/>
                <w:szCs w:val="19"/>
                <w:spacing w:val="30"/>
              </w:rPr>
              <w:t>公共场所的经营者未查验服务人员的健康合格证明或者允许未取</w:t>
            </w:r>
            <w:r>
              <w:rPr>
                <w:rFonts w:ascii="SimHei" w:hAnsi="SimHei" w:eastAsia="SimHei" w:cs="SimHei"/>
                <w:sz w:val="19"/>
                <w:szCs w:val="19"/>
                <w:spacing w:val="29"/>
              </w:rPr>
              <w:t>得健康合格证明的人员从事服务工作，省、自治区、直辖市</w:t>
            </w:r>
          </w:hyperlink>
        </w:p>
        <w:p>
          <w:pPr>
            <w:ind w:left="330"/>
            <w:spacing w:before="99" w:line="221" w:lineRule="auto"/>
            <w:tabs>
              <w:tab w:val="right" w:leader="dot" w:pos="13401"/>
            </w:tabs>
            <w:rPr>
              <w:rFonts w:ascii="Times New Roman" w:hAnsi="Times New Roman" w:eastAsia="Times New Roman" w:cs="Times New Roman"/>
              <w:sz w:val="19"/>
              <w:szCs w:val="19"/>
            </w:rPr>
          </w:pPr>
          <w:hyperlink w:history="true" w:anchor="bookmark79">
            <w:r>
              <w:rPr>
                <w:rFonts w:ascii="SimHei" w:hAnsi="SimHei" w:eastAsia="SimHei" w:cs="SimHei"/>
                <w:sz w:val="19"/>
                <w:szCs w:val="19"/>
                <w:spacing w:val="29"/>
              </w:rPr>
              <w:t>人民政府确定的公共场所的经营者未在公共场所内放置安全套或者设置安全套发售设施</w:t>
            </w:r>
            <w:r>
              <w:rPr>
                <w:rFonts w:ascii="SimHei" w:hAnsi="SimHei" w:eastAsia="SimHei" w:cs="SimHei"/>
                <w:sz w:val="19"/>
                <w:szCs w:val="19"/>
                <w:spacing w:val="-69"/>
              </w:rPr>
              <w:t xml:space="preserve"> </w:t>
            </w:r>
            <w:r>
              <w:rPr>
                <w:rFonts w:ascii="SimHei" w:hAnsi="SimHei" w:eastAsia="SimHei" w:cs="SimHei"/>
                <w:sz w:val="19"/>
                <w:szCs w:val="19"/>
              </w:rPr>
              <w:tab/>
            </w:r>
            <w:r>
              <w:rPr>
                <w:rFonts w:ascii="Times New Roman" w:hAnsi="Times New Roman" w:eastAsia="Times New Roman" w:cs="Times New Roman"/>
                <w:sz w:val="19"/>
                <w:szCs w:val="19"/>
                <w:spacing w:val="-3"/>
              </w:rPr>
              <w:t>145</w:t>
            </w:r>
          </w:hyperlink>
        </w:p>
        <w:p>
          <w:pPr>
            <w:spacing w:before="291" w:line="224" w:lineRule="auto"/>
            <w:tabs>
              <w:tab w:val="right" w:leader="dot" w:pos="13251"/>
            </w:tabs>
            <w:rPr>
              <w:rFonts w:ascii="SimSun" w:hAnsi="SimSun" w:eastAsia="SimSun" w:cs="SimSun"/>
              <w:sz w:val="11"/>
              <w:szCs w:val="11"/>
            </w:rPr>
          </w:pPr>
          <w:hyperlink w:history="true" w:anchor="bookmark80">
            <w:r>
              <w:rPr>
                <w:rFonts w:ascii="KaiTi" w:hAnsi="KaiTi" w:eastAsia="KaiTi" w:cs="KaiTi"/>
                <w:sz w:val="19"/>
                <w:szCs w:val="19"/>
                <w:spacing w:val="7"/>
                <w:position w:val="-1"/>
              </w:rPr>
              <w:t>(</w:t>
            </w:r>
            <w:r>
              <w:rPr>
                <w:rFonts w:ascii="KaiTi" w:hAnsi="KaiTi" w:eastAsia="KaiTi" w:cs="KaiTi"/>
                <w:sz w:val="19"/>
                <w:szCs w:val="19"/>
                <w:spacing w:val="7"/>
                <w:position w:val="-1"/>
              </w:rPr>
              <w:t xml:space="preserve"> </w:t>
            </w:r>
            <w:r>
              <w:rPr>
                <w:rFonts w:ascii="KaiTi" w:hAnsi="KaiTi" w:eastAsia="KaiTi" w:cs="KaiTi"/>
                <w:sz w:val="19"/>
                <w:szCs w:val="19"/>
                <w:spacing w:val="7"/>
                <w:position w:val="-1"/>
              </w:rPr>
              <w:t>七</w:t>
            </w:r>
            <w:r>
              <w:rPr>
                <w:rFonts w:ascii="KaiTi" w:hAnsi="KaiTi" w:eastAsia="KaiTi" w:cs="KaiTi"/>
                <w:sz w:val="19"/>
                <w:szCs w:val="19"/>
                <w:spacing w:val="7"/>
                <w:position w:val="-1"/>
              </w:rPr>
              <w:t xml:space="preserve"> </w:t>
            </w:r>
            <w:r>
              <w:rPr>
                <w:rFonts w:ascii="KaiTi" w:hAnsi="KaiTi" w:eastAsia="KaiTi" w:cs="KaiTi"/>
                <w:sz w:val="19"/>
                <w:szCs w:val="19"/>
                <w:spacing w:val="7"/>
                <w:position w:val="-1"/>
              </w:rPr>
              <w:t>)</w:t>
            </w:r>
            <w:r>
              <w:rPr>
                <w:rFonts w:ascii="KaiTi" w:hAnsi="KaiTi" w:eastAsia="KaiTi" w:cs="KaiTi"/>
                <w:sz w:val="19"/>
                <w:szCs w:val="19"/>
                <w:spacing w:val="7"/>
                <w:position w:val="-1"/>
              </w:rPr>
              <w:t xml:space="preserve"> </w:t>
            </w:r>
            <w:r>
              <w:rPr>
                <w:rFonts w:ascii="KaiTi" w:hAnsi="KaiTi" w:eastAsia="KaiTi" w:cs="KaiTi"/>
                <w:sz w:val="19"/>
                <w:szCs w:val="19"/>
                <w:spacing w:val="7"/>
                <w:position w:val="-1"/>
              </w:rPr>
              <w:t>《血吸虫病防治条例》</w:t>
            </w:r>
            <w:r>
              <w:rPr>
                <w:rFonts w:ascii="KaiTi" w:hAnsi="KaiTi" w:eastAsia="KaiTi" w:cs="KaiTi"/>
                <w:sz w:val="19"/>
                <w:szCs w:val="19"/>
                <w:spacing w:val="66"/>
                <w:position w:val="-1"/>
              </w:rPr>
              <w:t xml:space="preserve"> </w:t>
            </w:r>
            <w:r>
              <w:rPr>
                <w:rFonts w:ascii="KaiTi" w:hAnsi="KaiTi" w:eastAsia="KaiTi" w:cs="KaiTi"/>
                <w:sz w:val="19"/>
                <w:szCs w:val="19"/>
              </w:rPr>
              <w:tab/>
            </w:r>
            <w:r>
              <w:rPr>
                <w:rFonts w:ascii="KaiTi" w:hAnsi="KaiTi" w:eastAsia="KaiTi" w:cs="KaiTi"/>
                <w:sz w:val="19"/>
                <w:szCs w:val="19"/>
                <w:spacing w:val="-17"/>
                <w:position w:val="-1"/>
              </w:rPr>
              <w:t xml:space="preserve"> </w:t>
            </w:r>
            <w:r>
              <w:rPr>
                <w:rFonts w:ascii="SimSun" w:hAnsi="SimSun" w:eastAsia="SimSun" w:cs="SimSun"/>
                <w:sz w:val="11"/>
                <w:szCs w:val="11"/>
                <w:spacing w:val="-3"/>
                <w:position w:val="1"/>
              </w:rPr>
              <w:t>146</w:t>
            </w:r>
          </w:hyperlink>
        </w:p>
        <w:p>
          <w:pPr>
            <w:ind w:left="359"/>
            <w:spacing w:before="243" w:line="213" w:lineRule="auto"/>
            <w:rPr>
              <w:rFonts w:ascii="SimHei" w:hAnsi="SimHei" w:eastAsia="SimHei" w:cs="SimHei"/>
              <w:sz w:val="19"/>
              <w:szCs w:val="19"/>
            </w:rPr>
          </w:pPr>
          <w:hyperlink w:history="true" w:anchor="bookmark81">
            <w:r>
              <w:rPr>
                <w:rFonts w:ascii="SimHei" w:hAnsi="SimHei" w:eastAsia="SimHei" w:cs="SimHei"/>
                <w:sz w:val="19"/>
                <w:szCs w:val="19"/>
                <w:spacing w:val="28"/>
              </w:rPr>
              <w:t>第六十条</w:t>
            </w:r>
            <w:r>
              <w:rPr>
                <w:rFonts w:ascii="SimHei" w:hAnsi="SimHei" w:eastAsia="SimHei" w:cs="SimHei"/>
                <w:sz w:val="19"/>
                <w:szCs w:val="19"/>
                <w:spacing w:val="28"/>
              </w:rPr>
              <w:t xml:space="preserve"> </w:t>
            </w:r>
            <w:r>
              <w:rPr>
                <w:rFonts w:ascii="SimHei" w:hAnsi="SimHei" w:eastAsia="SimHei" w:cs="SimHei"/>
                <w:sz w:val="19"/>
                <w:szCs w:val="19"/>
                <w:spacing w:val="28"/>
              </w:rPr>
              <w:t>建设单位在血吸虫病防治地区兴建水利、交通、旅游、能源等大型建设项目，未事先提请省级以上疾病预防控制机构进行卫生</w:t>
            </w:r>
          </w:hyperlink>
        </w:p>
        <w:p>
          <w:pPr>
            <w:ind w:left="330"/>
            <w:spacing w:before="90" w:line="213" w:lineRule="auto"/>
            <w:tabs>
              <w:tab w:val="right" w:leader="dot" w:pos="13381"/>
            </w:tabs>
            <w:rPr>
              <w:rFonts w:ascii="Times New Roman" w:hAnsi="Times New Roman" w:eastAsia="Times New Roman" w:cs="Times New Roman"/>
              <w:sz w:val="19"/>
              <w:szCs w:val="19"/>
            </w:rPr>
          </w:pPr>
          <w:hyperlink w:history="true" w:anchor="bookmark81">
            <w:r>
              <w:rPr>
                <w:rFonts w:ascii="SimHei" w:hAnsi="SimHei" w:eastAsia="SimHei" w:cs="SimHei"/>
                <w:sz w:val="19"/>
                <w:szCs w:val="19"/>
                <w:spacing w:val="30"/>
              </w:rPr>
              <w:t>调查，或者未根据疾病预防控制机构的意见，采取必要的血吸虫病预防、控制措施的</w:t>
            </w:r>
            <w:r>
              <w:rPr>
                <w:rFonts w:ascii="SimHei" w:hAnsi="SimHei" w:eastAsia="SimHei" w:cs="SimHei"/>
                <w:sz w:val="19"/>
                <w:szCs w:val="19"/>
                <w:spacing w:val="-76"/>
              </w:rPr>
              <w:t xml:space="preserve"> </w:t>
            </w:r>
            <w:r>
              <w:rPr>
                <w:rFonts w:ascii="SimHei" w:hAnsi="SimHei" w:eastAsia="SimHei" w:cs="SimHei"/>
                <w:sz w:val="19"/>
                <w:szCs w:val="19"/>
              </w:rPr>
              <w:tab/>
            </w:r>
            <w:r>
              <w:rPr>
                <w:rFonts w:ascii="Times New Roman" w:hAnsi="Times New Roman" w:eastAsia="Times New Roman" w:cs="Times New Roman"/>
                <w:sz w:val="19"/>
                <w:szCs w:val="19"/>
                <w:spacing w:val="-3"/>
              </w:rPr>
              <w:t>146</w:t>
            </w:r>
          </w:hyperlink>
        </w:p>
        <w:p>
          <w:pPr>
            <w:pStyle w:val="BodyText"/>
            <w:spacing w:line="396" w:lineRule="auto"/>
            <w:rPr/>
          </w:pPr>
          <w:r/>
        </w:p>
        <w:p>
          <w:pPr>
            <w:spacing w:before="63" w:line="213" w:lineRule="auto"/>
            <w:jc w:val="right"/>
            <w:rPr>
              <w:rFonts w:ascii="SimHei" w:hAnsi="SimHei" w:eastAsia="SimHei" w:cs="SimHei"/>
              <w:sz w:val="19"/>
              <w:szCs w:val="19"/>
            </w:rPr>
          </w:pPr>
          <w:hyperlink w:history="true" w:anchor="bookmark82">
            <w:r>
              <w:rPr>
                <w:rFonts w:ascii="SimHei" w:hAnsi="SimHei" w:eastAsia="SimHei" w:cs="SimHei"/>
                <w:sz w:val="19"/>
                <w:szCs w:val="19"/>
                <w:spacing w:val="26"/>
              </w:rPr>
              <w:t>第</w:t>
            </w:r>
            <w:r>
              <w:rPr>
                <w:rFonts w:ascii="SimHei" w:hAnsi="SimHei" w:eastAsia="SimHei" w:cs="SimHei"/>
                <w:sz w:val="19"/>
                <w:szCs w:val="19"/>
                <w:spacing w:val="-36"/>
              </w:rPr>
              <w:t xml:space="preserve"> </w:t>
            </w:r>
            <w:r>
              <w:rPr>
                <w:rFonts w:ascii="SimHei" w:hAnsi="SimHei" w:eastAsia="SimHei" w:cs="SimHei"/>
                <w:sz w:val="19"/>
                <w:szCs w:val="19"/>
                <w:spacing w:val="26"/>
              </w:rPr>
              <w:t>六</w:t>
            </w:r>
            <w:r>
              <w:rPr>
                <w:rFonts w:ascii="SimHei" w:hAnsi="SimHei" w:eastAsia="SimHei" w:cs="SimHei"/>
                <w:sz w:val="19"/>
                <w:szCs w:val="19"/>
                <w:spacing w:val="-39"/>
              </w:rPr>
              <w:t xml:space="preserve"> </w:t>
            </w:r>
            <w:r>
              <w:rPr>
                <w:rFonts w:ascii="SimHei" w:hAnsi="SimHei" w:eastAsia="SimHei" w:cs="SimHei"/>
                <w:sz w:val="19"/>
                <w:szCs w:val="19"/>
                <w:spacing w:val="26"/>
              </w:rPr>
              <w:t>十</w:t>
            </w:r>
            <w:r>
              <w:rPr>
                <w:rFonts w:ascii="SimHei" w:hAnsi="SimHei" w:eastAsia="SimHei" w:cs="SimHei"/>
                <w:sz w:val="19"/>
                <w:szCs w:val="19"/>
                <w:spacing w:val="-39"/>
              </w:rPr>
              <w:t xml:space="preserve"> </w:t>
            </w:r>
            <w:r>
              <w:rPr>
                <w:rFonts w:ascii="SimHei" w:hAnsi="SimHei" w:eastAsia="SimHei" w:cs="SimHei"/>
                <w:sz w:val="19"/>
                <w:szCs w:val="19"/>
                <w:spacing w:val="26"/>
              </w:rPr>
              <w:t>一</w:t>
            </w:r>
            <w:r>
              <w:rPr>
                <w:rFonts w:ascii="SimHei" w:hAnsi="SimHei" w:eastAsia="SimHei" w:cs="SimHei"/>
                <w:sz w:val="19"/>
                <w:szCs w:val="19"/>
                <w:spacing w:val="-41"/>
              </w:rPr>
              <w:t xml:space="preserve"> </w:t>
            </w:r>
            <w:r>
              <w:rPr>
                <w:rFonts w:ascii="SimHei" w:hAnsi="SimHei" w:eastAsia="SimHei" w:cs="SimHei"/>
                <w:sz w:val="19"/>
                <w:szCs w:val="19"/>
                <w:spacing w:val="26"/>
              </w:rPr>
              <w:t>条</w:t>
            </w:r>
            <w:r>
              <w:rPr>
                <w:rFonts w:ascii="SimHei" w:hAnsi="SimHei" w:eastAsia="SimHei" w:cs="SimHei"/>
                <w:sz w:val="19"/>
                <w:szCs w:val="19"/>
                <w:spacing w:val="26"/>
              </w:rPr>
              <w:t xml:space="preserve"> </w:t>
            </w:r>
            <w:r>
              <w:rPr>
                <w:rFonts w:ascii="SimHei" w:hAnsi="SimHei" w:eastAsia="SimHei" w:cs="SimHei"/>
                <w:sz w:val="19"/>
                <w:szCs w:val="19"/>
                <w:spacing w:val="26"/>
              </w:rPr>
              <w:t>单位未依照本条例的规定对因生产、工作必须接触疫水的人员采取防护措施，或</w:t>
            </w:r>
            <w:r>
              <w:rPr>
                <w:rFonts w:ascii="SimHei" w:hAnsi="SimHei" w:eastAsia="SimHei" w:cs="SimHei"/>
                <w:sz w:val="19"/>
                <w:szCs w:val="19"/>
                <w:spacing w:val="25"/>
              </w:rPr>
              <w:t>者未定期组织进行血吸虫病的专项体检的147</w:t>
            </w:r>
          </w:hyperlink>
        </w:p>
        <w:p>
          <w:pPr>
            <w:pStyle w:val="BodyText"/>
            <w:spacing w:line="270" w:lineRule="auto"/>
            <w:rPr/>
          </w:pPr>
          <w:r/>
        </w:p>
        <w:p>
          <w:pPr>
            <w:pStyle w:val="BodyText"/>
            <w:spacing w:line="271" w:lineRule="auto"/>
            <w:rPr/>
          </w:pPr>
          <w:r/>
        </w:p>
        <w:p>
          <w:pPr>
            <w:ind w:left="332"/>
            <w:spacing w:before="62" w:line="221" w:lineRule="auto"/>
            <w:tabs>
              <w:tab w:val="right" w:leader="dot" w:pos="13291"/>
            </w:tabs>
            <w:rPr>
              <w:rFonts w:ascii="Times New Roman" w:hAnsi="Times New Roman" w:eastAsia="Times New Roman" w:cs="Times New Roman"/>
              <w:sz w:val="19"/>
              <w:szCs w:val="19"/>
            </w:rPr>
          </w:pPr>
          <w:hyperlink w:history="true" w:anchor="bookmark83">
            <w:r>
              <w:rPr>
                <w:rFonts w:ascii="SimHei" w:hAnsi="SimHei" w:eastAsia="SimHei" w:cs="SimHei"/>
                <w:sz w:val="19"/>
                <w:szCs w:val="19"/>
                <w:b/>
                <w:bCs/>
                <w:spacing w:val="19"/>
              </w:rPr>
              <w:t>第</w:t>
            </w:r>
            <w:r>
              <w:rPr>
                <w:rFonts w:ascii="SimHei" w:hAnsi="SimHei" w:eastAsia="SimHei" w:cs="SimHei"/>
                <w:sz w:val="19"/>
                <w:szCs w:val="19"/>
                <w:spacing w:val="-38"/>
              </w:rPr>
              <w:t xml:space="preserve"> </w:t>
            </w:r>
            <w:r>
              <w:rPr>
                <w:rFonts w:ascii="SimHei" w:hAnsi="SimHei" w:eastAsia="SimHei" w:cs="SimHei"/>
                <w:sz w:val="19"/>
                <w:szCs w:val="19"/>
                <w:b/>
                <w:bCs/>
                <w:spacing w:val="19"/>
              </w:rPr>
              <w:t>六</w:t>
            </w:r>
            <w:r>
              <w:rPr>
                <w:rFonts w:ascii="SimHei" w:hAnsi="SimHei" w:eastAsia="SimHei" w:cs="SimHei"/>
                <w:sz w:val="19"/>
                <w:szCs w:val="19"/>
                <w:spacing w:val="-41"/>
              </w:rPr>
              <w:t xml:space="preserve"> </w:t>
            </w:r>
            <w:r>
              <w:rPr>
                <w:rFonts w:ascii="SimHei" w:hAnsi="SimHei" w:eastAsia="SimHei" w:cs="SimHei"/>
                <w:sz w:val="19"/>
                <w:szCs w:val="19"/>
                <w:b/>
                <w:bCs/>
                <w:spacing w:val="19"/>
              </w:rPr>
              <w:t>十</w:t>
            </w:r>
            <w:r>
              <w:rPr>
                <w:rFonts w:ascii="SimHei" w:hAnsi="SimHei" w:eastAsia="SimHei" w:cs="SimHei"/>
                <w:sz w:val="19"/>
                <w:szCs w:val="19"/>
                <w:spacing w:val="-40"/>
              </w:rPr>
              <w:t xml:space="preserve"> </w:t>
            </w:r>
            <w:r>
              <w:rPr>
                <w:rFonts w:ascii="SimHei" w:hAnsi="SimHei" w:eastAsia="SimHei" w:cs="SimHei"/>
                <w:sz w:val="19"/>
                <w:szCs w:val="19"/>
                <w:b/>
                <w:bCs/>
                <w:spacing w:val="19"/>
              </w:rPr>
              <w:t>二</w:t>
            </w:r>
            <w:r>
              <w:rPr>
                <w:rFonts w:ascii="SimHei" w:hAnsi="SimHei" w:eastAsia="SimHei" w:cs="SimHei"/>
                <w:sz w:val="19"/>
                <w:szCs w:val="19"/>
                <w:spacing w:val="-42"/>
              </w:rPr>
              <w:t xml:space="preserve"> </w:t>
            </w:r>
            <w:r>
              <w:rPr>
                <w:rFonts w:ascii="SimHei" w:hAnsi="SimHei" w:eastAsia="SimHei" w:cs="SimHei"/>
                <w:sz w:val="19"/>
                <w:szCs w:val="19"/>
                <w:b/>
                <w:bCs/>
                <w:spacing w:val="19"/>
              </w:rPr>
              <w:t>条</w:t>
            </w:r>
            <w:r>
              <w:rPr>
                <w:rFonts w:ascii="SimHei" w:hAnsi="SimHei" w:eastAsia="SimHei" w:cs="SimHei"/>
                <w:sz w:val="19"/>
                <w:szCs w:val="19"/>
                <w:spacing w:val="19"/>
              </w:rPr>
              <w:t xml:space="preserve"> </w:t>
            </w:r>
            <w:r>
              <w:rPr>
                <w:rFonts w:ascii="SimHei" w:hAnsi="SimHei" w:eastAsia="SimHei" w:cs="SimHei"/>
                <w:sz w:val="19"/>
                <w:szCs w:val="19"/>
                <w:b/>
                <w:bCs/>
                <w:spacing w:val="19"/>
              </w:rPr>
              <w:t>对政府有关部门采取的预防、控制措施不予配合的</w:t>
            </w:r>
            <w:r>
              <w:rPr>
                <w:rFonts w:ascii="SimHei" w:hAnsi="SimHei" w:eastAsia="SimHei" w:cs="SimHei"/>
                <w:sz w:val="19"/>
                <w:szCs w:val="19"/>
                <w:spacing w:val="-79"/>
              </w:rPr>
              <w:t xml:space="preserve"> </w:t>
            </w:r>
            <w:r>
              <w:rPr>
                <w:rFonts w:ascii="SimHei" w:hAnsi="SimHei" w:eastAsia="SimHei" w:cs="SimHei"/>
                <w:sz w:val="19"/>
                <w:szCs w:val="19"/>
              </w:rPr>
              <w:tab/>
            </w:r>
            <w:r>
              <w:rPr>
                <w:rFonts w:ascii="Times New Roman" w:hAnsi="Times New Roman" w:eastAsia="Times New Roman" w:cs="Times New Roman"/>
                <w:sz w:val="19"/>
                <w:szCs w:val="19"/>
                <w:b/>
                <w:bCs/>
                <w:spacing w:val="-2"/>
              </w:rPr>
              <w:t>149</w:t>
            </w:r>
          </w:hyperlink>
        </w:p>
        <w:p>
          <w:pPr>
            <w:pStyle w:val="BodyText"/>
            <w:spacing w:line="267" w:lineRule="auto"/>
            <w:rPr/>
          </w:pPr>
          <w:r/>
        </w:p>
        <w:p>
          <w:pPr>
            <w:pStyle w:val="BodyText"/>
            <w:spacing w:line="267" w:lineRule="auto"/>
            <w:rPr/>
          </w:pPr>
          <w:r/>
        </w:p>
        <w:p>
          <w:pPr>
            <w:ind w:left="332"/>
            <w:spacing w:before="62" w:line="219" w:lineRule="auto"/>
            <w:tabs>
              <w:tab w:val="right" w:leader="dot" w:pos="13291"/>
            </w:tabs>
            <w:rPr>
              <w:rFonts w:ascii="Times New Roman" w:hAnsi="Times New Roman" w:eastAsia="Times New Roman" w:cs="Times New Roman"/>
              <w:sz w:val="19"/>
              <w:szCs w:val="19"/>
            </w:rPr>
          </w:pPr>
          <w:hyperlink w:history="true" w:anchor="bookmark84">
            <w:r>
              <w:rPr>
                <w:rFonts w:ascii="SimHei" w:hAnsi="SimHei" w:eastAsia="SimHei" w:cs="SimHei"/>
                <w:sz w:val="19"/>
                <w:szCs w:val="19"/>
                <w:b/>
                <w:bCs/>
                <w:spacing w:val="20"/>
              </w:rPr>
              <w:t>第</w:t>
            </w:r>
            <w:r>
              <w:rPr>
                <w:rFonts w:ascii="SimHei" w:hAnsi="SimHei" w:eastAsia="SimHei" w:cs="SimHei"/>
                <w:sz w:val="19"/>
                <w:szCs w:val="19"/>
                <w:spacing w:val="-38"/>
              </w:rPr>
              <w:t xml:space="preserve"> </w:t>
            </w:r>
            <w:r>
              <w:rPr>
                <w:rFonts w:ascii="SimHei" w:hAnsi="SimHei" w:eastAsia="SimHei" w:cs="SimHei"/>
                <w:sz w:val="19"/>
                <w:szCs w:val="19"/>
                <w:b/>
                <w:bCs/>
                <w:spacing w:val="20"/>
              </w:rPr>
              <w:t>六</w:t>
            </w:r>
            <w:r>
              <w:rPr>
                <w:rFonts w:ascii="SimHei" w:hAnsi="SimHei" w:eastAsia="SimHei" w:cs="SimHei"/>
                <w:sz w:val="19"/>
                <w:szCs w:val="19"/>
                <w:spacing w:val="-41"/>
              </w:rPr>
              <w:t xml:space="preserve"> </w:t>
            </w:r>
            <w:r>
              <w:rPr>
                <w:rFonts w:ascii="SimHei" w:hAnsi="SimHei" w:eastAsia="SimHei" w:cs="SimHei"/>
                <w:sz w:val="19"/>
                <w:szCs w:val="19"/>
                <w:b/>
                <w:bCs/>
                <w:spacing w:val="20"/>
              </w:rPr>
              <w:t>十</w:t>
            </w:r>
            <w:r>
              <w:rPr>
                <w:rFonts w:ascii="SimHei" w:hAnsi="SimHei" w:eastAsia="SimHei" w:cs="SimHei"/>
                <w:sz w:val="19"/>
                <w:szCs w:val="19"/>
                <w:spacing w:val="-40"/>
              </w:rPr>
              <w:t xml:space="preserve"> </w:t>
            </w:r>
            <w:r>
              <w:rPr>
                <w:rFonts w:ascii="SimHei" w:hAnsi="SimHei" w:eastAsia="SimHei" w:cs="SimHei"/>
                <w:sz w:val="19"/>
                <w:szCs w:val="19"/>
                <w:b/>
                <w:bCs/>
                <w:spacing w:val="20"/>
              </w:rPr>
              <w:t>三</w:t>
            </w:r>
            <w:r>
              <w:rPr>
                <w:rFonts w:ascii="SimHei" w:hAnsi="SimHei" w:eastAsia="SimHei" w:cs="SimHei"/>
                <w:sz w:val="19"/>
                <w:szCs w:val="19"/>
                <w:spacing w:val="-42"/>
              </w:rPr>
              <w:t xml:space="preserve"> </w:t>
            </w:r>
            <w:r>
              <w:rPr>
                <w:rFonts w:ascii="SimHei" w:hAnsi="SimHei" w:eastAsia="SimHei" w:cs="SimHei"/>
                <w:sz w:val="19"/>
                <w:szCs w:val="19"/>
                <w:b/>
                <w:bCs/>
                <w:spacing w:val="20"/>
              </w:rPr>
              <w:t>条</w:t>
            </w:r>
            <w:r>
              <w:rPr>
                <w:rFonts w:ascii="SimHei" w:hAnsi="SimHei" w:eastAsia="SimHei" w:cs="SimHei"/>
                <w:sz w:val="19"/>
                <w:szCs w:val="19"/>
                <w:spacing w:val="20"/>
              </w:rPr>
              <w:t xml:space="preserve"> </w:t>
            </w:r>
            <w:r>
              <w:rPr>
                <w:rFonts w:ascii="SimHei" w:hAnsi="SimHei" w:eastAsia="SimHei" w:cs="SimHei"/>
                <w:sz w:val="19"/>
                <w:szCs w:val="19"/>
                <w:b/>
                <w:bCs/>
                <w:spacing w:val="20"/>
              </w:rPr>
              <w:t>使用国家明令禁止使用的药物杀灭钉螺的</w:t>
            </w:r>
            <w:r>
              <w:rPr>
                <w:rFonts w:ascii="SimHei" w:hAnsi="SimHei" w:eastAsia="SimHei" w:cs="SimHei"/>
                <w:sz w:val="19"/>
                <w:szCs w:val="19"/>
                <w:spacing w:val="-79"/>
              </w:rPr>
              <w:t xml:space="preserve"> </w:t>
            </w:r>
            <w:r>
              <w:rPr>
                <w:rFonts w:ascii="SimHei" w:hAnsi="SimHei" w:eastAsia="SimHei" w:cs="SimHei"/>
                <w:sz w:val="19"/>
                <w:szCs w:val="19"/>
              </w:rPr>
              <w:tab/>
            </w:r>
            <w:r>
              <w:rPr>
                <w:rFonts w:ascii="SimHei" w:hAnsi="SimHei" w:eastAsia="SimHei" w:cs="SimHei"/>
                <w:sz w:val="19"/>
                <w:szCs w:val="19"/>
                <w:spacing w:val="-28"/>
              </w:rPr>
              <w:t xml:space="preserve"> </w:t>
            </w:r>
            <w:r>
              <w:rPr>
                <w:rFonts w:ascii="Times New Roman" w:hAnsi="Times New Roman" w:eastAsia="Times New Roman" w:cs="Times New Roman"/>
                <w:sz w:val="19"/>
                <w:szCs w:val="19"/>
                <w:b/>
                <w:bCs/>
                <w:spacing w:val="-3"/>
              </w:rPr>
              <w:t>150</w:t>
            </w:r>
          </w:hyperlink>
        </w:p>
      </w:sdtContent>
    </w:sdt>
    <w:p>
      <w:pPr>
        <w:spacing w:line="219" w:lineRule="auto"/>
        <w:sectPr>
          <w:footerReference w:type="default" r:id="rId9"/>
          <w:pgSz w:w="16830" w:h="11900"/>
          <w:pgMar w:top="1011" w:right="1312" w:bottom="1135" w:left="1960" w:header="0" w:footer="793" w:gutter="0"/>
        </w:sectPr>
        <w:rPr>
          <w:rFonts w:ascii="Times New Roman" w:hAnsi="Times New Roman" w:eastAsia="Times New Roman" w:cs="Times New Roman"/>
          <w:sz w:val="19"/>
          <w:szCs w:val="19"/>
        </w:rPr>
      </w:pPr>
    </w:p>
    <w:p>
      <w:pPr>
        <w:pStyle w:val="BodyText"/>
        <w:spacing w:line="305" w:lineRule="auto"/>
        <w:rPr/>
      </w:pPr>
      <w:r/>
    </w:p>
    <w:p>
      <w:pPr>
        <w:pStyle w:val="BodyText"/>
        <w:spacing w:line="305" w:lineRule="auto"/>
        <w:rPr/>
      </w:pPr>
      <w:r/>
    </w:p>
    <w:p>
      <w:pPr>
        <w:pStyle w:val="BodyText"/>
        <w:spacing w:line="305"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ind w:left="323"/>
            <w:spacing w:before="71" w:line="221" w:lineRule="auto"/>
            <w:tabs>
              <w:tab w:val="right" w:leader="dot" w:pos="13375"/>
            </w:tabs>
            <w:rPr>
              <w:rFonts w:ascii="Times New Roman" w:hAnsi="Times New Roman" w:eastAsia="Times New Roman" w:cs="Times New Roman"/>
              <w:sz w:val="22"/>
              <w:szCs w:val="22"/>
            </w:rPr>
          </w:pPr>
          <w:bookmarkStart w:name="bookmark85" w:id="2"/>
          <w:bookmarkEnd w:id="2"/>
          <w:hyperlink w:history="true" w:anchor="bookmark86">
            <w:r>
              <w:rPr>
                <w:rFonts w:ascii="SimHei" w:hAnsi="SimHei" w:eastAsia="SimHei" w:cs="SimHei"/>
                <w:sz w:val="22"/>
                <w:szCs w:val="22"/>
                <w:b/>
                <w:bCs/>
                <w:spacing w:val="-3"/>
              </w:rPr>
              <w:t>第六十四条</w:t>
            </w:r>
            <w:r>
              <w:rPr>
                <w:rFonts w:ascii="SimHei" w:hAnsi="SimHei" w:eastAsia="SimHei" w:cs="SimHei"/>
                <w:sz w:val="22"/>
                <w:szCs w:val="22"/>
                <w:spacing w:val="-3"/>
              </w:rPr>
              <w:t xml:space="preserve"> </w:t>
            </w:r>
            <w:r>
              <w:rPr>
                <w:rFonts w:ascii="SimHei" w:hAnsi="SimHei" w:eastAsia="SimHei" w:cs="SimHei"/>
                <w:sz w:val="22"/>
                <w:szCs w:val="22"/>
                <w:b/>
                <w:bCs/>
                <w:spacing w:val="-3"/>
              </w:rPr>
              <w:t>未依照本条例规定开展血吸虫病防治工作的</w:t>
            </w:r>
            <w:r>
              <w:rPr>
                <w:rFonts w:ascii="SimHei" w:hAnsi="SimHei" w:eastAsia="SimHei" w:cs="SimHei"/>
                <w:sz w:val="22"/>
                <w:szCs w:val="22"/>
                <w:b/>
                <w:bCs/>
              </w:rPr>
              <w:tab/>
            </w:r>
            <w:r>
              <w:rPr>
                <w:rFonts w:ascii="Times New Roman" w:hAnsi="Times New Roman" w:eastAsia="Times New Roman" w:cs="Times New Roman"/>
                <w:sz w:val="22"/>
                <w:szCs w:val="22"/>
                <w:b/>
                <w:bCs/>
                <w:spacing w:val="-1"/>
              </w:rPr>
              <w:t>151</w:t>
            </w:r>
          </w:hyperlink>
        </w:p>
        <w:p>
          <w:pPr>
            <w:pStyle w:val="BodyText"/>
            <w:spacing w:line="242" w:lineRule="auto"/>
            <w:rPr/>
          </w:pPr>
          <w:r/>
        </w:p>
        <w:p>
          <w:pPr>
            <w:pStyle w:val="BodyText"/>
            <w:spacing w:line="243" w:lineRule="auto"/>
            <w:rPr/>
          </w:pPr>
          <w:r/>
        </w:p>
        <w:p>
          <w:pPr>
            <w:ind w:left="320"/>
            <w:spacing w:before="71" w:line="221" w:lineRule="auto"/>
            <w:tabs>
              <w:tab w:val="right" w:leader="dot" w:pos="13364"/>
            </w:tabs>
            <w:rPr>
              <w:rFonts w:ascii="Times New Roman" w:hAnsi="Times New Roman" w:eastAsia="Times New Roman" w:cs="Times New Roman"/>
              <w:sz w:val="22"/>
              <w:szCs w:val="22"/>
            </w:rPr>
          </w:pPr>
          <w:hyperlink w:history="true" w:anchor="bookmark87">
            <w:r>
              <w:rPr>
                <w:rFonts w:ascii="SimHei" w:hAnsi="SimHei" w:eastAsia="SimHei" w:cs="SimHei"/>
                <w:sz w:val="22"/>
                <w:szCs w:val="22"/>
                <w:spacing w:val="-1"/>
              </w:rPr>
              <w:t>第六十五条</w:t>
            </w:r>
            <w:r>
              <w:rPr>
                <w:rFonts w:ascii="SimHei" w:hAnsi="SimHei" w:eastAsia="SimHei" w:cs="SimHei"/>
                <w:sz w:val="22"/>
                <w:szCs w:val="22"/>
                <w:spacing w:val="-1"/>
              </w:rPr>
              <w:t xml:space="preserve"> </w:t>
            </w:r>
            <w:r>
              <w:rPr>
                <w:rFonts w:ascii="SimHei" w:hAnsi="SimHei" w:eastAsia="SimHei" w:cs="SimHei"/>
                <w:sz w:val="22"/>
                <w:szCs w:val="22"/>
                <w:spacing w:val="-1"/>
              </w:rPr>
              <w:t>未定期对其工作人员进行血吸虫病防治</w:t>
            </w:r>
            <w:r>
              <w:rPr>
                <w:rFonts w:ascii="SimHei" w:hAnsi="SimHei" w:eastAsia="SimHei" w:cs="SimHei"/>
                <w:sz w:val="22"/>
                <w:szCs w:val="22"/>
                <w:spacing w:val="-2"/>
              </w:rPr>
              <w:t>知识、技能培训和考核</w:t>
            </w:r>
            <w:r>
              <w:rPr>
                <w:rFonts w:ascii="SimHei" w:hAnsi="SimHei" w:eastAsia="SimHei" w:cs="SimHei"/>
                <w:sz w:val="22"/>
                <w:szCs w:val="22"/>
                <w:spacing w:val="-89"/>
              </w:rPr>
              <w:t xml:space="preserve"> </w:t>
            </w:r>
            <w:r>
              <w:rPr>
                <w:rFonts w:ascii="SimHei" w:hAnsi="SimHei" w:eastAsia="SimHei" w:cs="SimHei"/>
                <w:sz w:val="22"/>
                <w:szCs w:val="22"/>
              </w:rPr>
              <w:tab/>
            </w:r>
            <w:r>
              <w:rPr>
                <w:rFonts w:ascii="Times New Roman" w:hAnsi="Times New Roman" w:eastAsia="Times New Roman" w:cs="Times New Roman"/>
                <w:sz w:val="22"/>
                <w:szCs w:val="22"/>
                <w:spacing w:val="-5"/>
              </w:rPr>
              <w:t>152</w:t>
            </w:r>
          </w:hyperlink>
        </w:p>
        <w:p>
          <w:pPr>
            <w:pStyle w:val="BodyText"/>
            <w:spacing w:line="241" w:lineRule="auto"/>
            <w:rPr/>
          </w:pPr>
          <w:r/>
        </w:p>
        <w:p>
          <w:pPr>
            <w:pStyle w:val="BodyText"/>
            <w:spacing w:line="241" w:lineRule="auto"/>
            <w:rPr/>
          </w:pPr>
          <w:r/>
        </w:p>
        <w:p>
          <w:pPr>
            <w:ind w:left="320"/>
            <w:spacing w:before="72" w:line="213" w:lineRule="auto"/>
            <w:tabs>
              <w:tab w:val="right" w:leader="dot" w:pos="13224"/>
            </w:tabs>
            <w:rPr>
              <w:rFonts w:ascii="Times New Roman" w:hAnsi="Times New Roman" w:eastAsia="Times New Roman" w:cs="Times New Roman"/>
              <w:sz w:val="22"/>
              <w:szCs w:val="22"/>
            </w:rPr>
          </w:pPr>
          <w:hyperlink w:history="true" w:anchor="bookmark88">
            <w:r>
              <w:rPr>
                <w:rFonts w:ascii="SimHei" w:hAnsi="SimHei" w:eastAsia="SimHei" w:cs="SimHei"/>
                <w:sz w:val="22"/>
                <w:szCs w:val="22"/>
                <w:spacing w:val="-1"/>
              </w:rPr>
              <w:t>第六十六条</w:t>
            </w:r>
            <w:r>
              <w:rPr>
                <w:rFonts w:ascii="SimHei" w:hAnsi="SimHei" w:eastAsia="SimHei" w:cs="SimHei"/>
                <w:sz w:val="22"/>
                <w:szCs w:val="22"/>
                <w:spacing w:val="-1"/>
              </w:rPr>
              <w:t xml:space="preserve"> </w:t>
            </w:r>
            <w:r>
              <w:rPr>
                <w:rFonts w:ascii="SimHei" w:hAnsi="SimHei" w:eastAsia="SimHei" w:cs="SimHei"/>
                <w:sz w:val="22"/>
                <w:szCs w:val="22"/>
                <w:spacing w:val="-1"/>
              </w:rPr>
              <w:t>发现急性血吸虫病疫情或者接到急性血</w:t>
            </w:r>
            <w:r>
              <w:rPr>
                <w:rFonts w:ascii="SimHei" w:hAnsi="SimHei" w:eastAsia="SimHei" w:cs="SimHei"/>
                <w:sz w:val="22"/>
                <w:szCs w:val="22"/>
                <w:spacing w:val="-2"/>
              </w:rPr>
              <w:t>吸虫病暴发、流行报告时，未及时采取措施</w:t>
            </w:r>
            <w:r>
              <w:rPr>
                <w:rFonts w:ascii="SimHei" w:hAnsi="SimHei" w:eastAsia="SimHei" w:cs="SimHei"/>
                <w:sz w:val="22"/>
                <w:szCs w:val="22"/>
                <w:spacing w:val="-91"/>
              </w:rPr>
              <w:t xml:space="preserve"> </w:t>
            </w:r>
            <w:r>
              <w:rPr>
                <w:rFonts w:ascii="SimHei" w:hAnsi="SimHei" w:eastAsia="SimHei" w:cs="SimHei"/>
                <w:sz w:val="22"/>
                <w:szCs w:val="22"/>
              </w:rPr>
              <w:tab/>
            </w:r>
            <w:r>
              <w:rPr>
                <w:rFonts w:ascii="Times New Roman" w:hAnsi="Times New Roman" w:eastAsia="Times New Roman" w:cs="Times New Roman"/>
                <w:sz w:val="22"/>
                <w:szCs w:val="22"/>
                <w:spacing w:val="-3"/>
              </w:rPr>
              <w:t>153</w:t>
            </w:r>
          </w:hyperlink>
        </w:p>
        <w:p>
          <w:pPr>
            <w:pStyle w:val="BodyText"/>
            <w:spacing w:line="318" w:lineRule="auto"/>
            <w:rPr/>
          </w:pPr>
          <w:r/>
        </w:p>
        <w:p>
          <w:pPr>
            <w:spacing w:before="72" w:line="223" w:lineRule="auto"/>
            <w:tabs>
              <w:tab w:val="right" w:leader="dot" w:pos="13424"/>
            </w:tabs>
            <w:rPr>
              <w:rFonts w:ascii="Times New Roman" w:hAnsi="Times New Roman" w:eastAsia="Times New Roman" w:cs="Times New Roman"/>
              <w:sz w:val="22"/>
              <w:szCs w:val="22"/>
            </w:rPr>
          </w:pPr>
          <w:hyperlink w:history="true" w:anchor="bookmark89">
            <w:r>
              <w:rPr>
                <w:rFonts w:ascii="KaiTi" w:hAnsi="KaiTi" w:eastAsia="KaiTi" w:cs="KaiTi"/>
                <w:sz w:val="22"/>
                <w:szCs w:val="22"/>
                <w:spacing w:val="-2"/>
              </w:rPr>
              <w:t>(</w:t>
            </w:r>
            <w:r>
              <w:rPr>
                <w:rFonts w:ascii="KaiTi" w:hAnsi="KaiTi" w:eastAsia="KaiTi" w:cs="KaiTi"/>
                <w:sz w:val="22"/>
                <w:szCs w:val="22"/>
                <w:spacing w:val="-23"/>
              </w:rPr>
              <w:t xml:space="preserve"> </w:t>
            </w:r>
            <w:r>
              <w:rPr>
                <w:rFonts w:ascii="KaiTi" w:hAnsi="KaiTi" w:eastAsia="KaiTi" w:cs="KaiTi"/>
                <w:sz w:val="22"/>
                <w:szCs w:val="22"/>
                <w:spacing w:val="-2"/>
              </w:rPr>
              <w:t>八</w:t>
            </w:r>
            <w:r>
              <w:rPr>
                <w:rFonts w:ascii="KaiTi" w:hAnsi="KaiTi" w:eastAsia="KaiTi" w:cs="KaiTi"/>
                <w:sz w:val="22"/>
                <w:szCs w:val="22"/>
                <w:spacing w:val="-28"/>
              </w:rPr>
              <w:t xml:space="preserve"> </w:t>
            </w:r>
            <w:r>
              <w:rPr>
                <w:rFonts w:ascii="KaiTi" w:hAnsi="KaiTi" w:eastAsia="KaiTi" w:cs="KaiTi"/>
                <w:sz w:val="22"/>
                <w:szCs w:val="22"/>
                <w:spacing w:val="-2"/>
              </w:rPr>
              <w:t>)《医疗废物管理条例》、《医疗卫生机构医疗废物管理办法》及《医疗废物管理行政处罚办法》</w:t>
            </w:r>
            <w:r>
              <w:rPr>
                <w:rFonts w:ascii="KaiTi" w:hAnsi="KaiTi" w:eastAsia="KaiTi" w:cs="KaiTi"/>
                <w:sz w:val="22"/>
                <w:szCs w:val="22"/>
              </w:rPr>
              <w:tab/>
            </w:r>
            <w:r>
              <w:rPr>
                <w:rFonts w:ascii="KaiTi" w:hAnsi="KaiTi" w:eastAsia="KaiTi" w:cs="KaiTi"/>
                <w:sz w:val="22"/>
                <w:szCs w:val="22"/>
                <w:spacing w:val="-25"/>
              </w:rPr>
              <w:t xml:space="preserve"> </w:t>
            </w:r>
            <w:r>
              <w:rPr>
                <w:rFonts w:ascii="Times New Roman" w:hAnsi="Times New Roman" w:eastAsia="Times New Roman" w:cs="Times New Roman"/>
                <w:sz w:val="22"/>
                <w:szCs w:val="22"/>
                <w:spacing w:val="-10"/>
              </w:rPr>
              <w:t>1</w:t>
            </w:r>
            <w:r>
              <w:rPr>
                <w:rFonts w:ascii="Times New Roman" w:hAnsi="Times New Roman" w:eastAsia="Times New Roman" w:cs="Times New Roman"/>
                <w:sz w:val="22"/>
                <w:szCs w:val="22"/>
                <w:spacing w:val="-9"/>
              </w:rPr>
              <w:t>5</w:t>
            </w:r>
            <w:r>
              <w:rPr>
                <w:rFonts w:ascii="Times New Roman" w:hAnsi="Times New Roman" w:eastAsia="Times New Roman" w:cs="Times New Roman"/>
                <w:sz w:val="22"/>
                <w:szCs w:val="22"/>
                <w:spacing w:val="-8"/>
              </w:rPr>
              <w:t>4</w:t>
            </w:r>
          </w:hyperlink>
        </w:p>
        <w:p>
          <w:pPr>
            <w:pStyle w:val="BodyText"/>
            <w:spacing w:line="354" w:lineRule="auto"/>
            <w:rPr/>
          </w:pPr>
          <w:r/>
        </w:p>
        <w:p>
          <w:pPr>
            <w:ind w:left="320"/>
            <w:spacing w:before="72" w:line="213" w:lineRule="auto"/>
            <w:tabs>
              <w:tab w:val="right" w:leader="dot" w:pos="13344"/>
            </w:tabs>
            <w:rPr>
              <w:rFonts w:ascii="Times New Roman" w:hAnsi="Times New Roman" w:eastAsia="Times New Roman" w:cs="Times New Roman"/>
              <w:sz w:val="22"/>
              <w:szCs w:val="22"/>
            </w:rPr>
          </w:pPr>
          <w:hyperlink w:history="true" w:anchor="bookmark90">
            <w:r>
              <w:rPr>
                <w:rFonts w:ascii="SimHei" w:hAnsi="SimHei" w:eastAsia="SimHei" w:cs="SimHei"/>
                <w:sz w:val="22"/>
                <w:szCs w:val="22"/>
                <w:spacing w:val="5"/>
              </w:rPr>
              <w:t>第六十七条</w:t>
            </w:r>
            <w:r>
              <w:rPr>
                <w:rFonts w:ascii="SimHei" w:hAnsi="SimHei" w:eastAsia="SimHei" w:cs="SimHei"/>
                <w:sz w:val="22"/>
                <w:szCs w:val="22"/>
                <w:spacing w:val="5"/>
              </w:rPr>
              <w:t xml:space="preserve"> </w:t>
            </w:r>
            <w:r>
              <w:rPr>
                <w:rFonts w:ascii="SimHei" w:hAnsi="SimHei" w:eastAsia="SimHei" w:cs="SimHei"/>
                <w:sz w:val="22"/>
                <w:szCs w:val="22"/>
                <w:spacing w:val="5"/>
              </w:rPr>
              <w:t>医疗卫生机构未建立、健全医疗废物管理制度，或者未设置监控部门或者专(兼)职人</w:t>
            </w:r>
            <w:r>
              <w:rPr>
                <w:rFonts w:ascii="SimHei" w:hAnsi="SimHei" w:eastAsia="SimHei" w:cs="SimHei"/>
                <w:sz w:val="22"/>
                <w:szCs w:val="22"/>
                <w:spacing w:val="4"/>
              </w:rPr>
              <w:t>员的</w:t>
            </w:r>
            <w:r>
              <w:rPr>
                <w:rFonts w:ascii="SimHei" w:hAnsi="SimHei" w:eastAsia="SimHei" w:cs="SimHei"/>
                <w:sz w:val="22"/>
                <w:szCs w:val="22"/>
                <w:spacing w:val="-99"/>
              </w:rPr>
              <w:t xml:space="preserve"> </w:t>
            </w:r>
            <w:r>
              <w:rPr>
                <w:rFonts w:ascii="SimHei" w:hAnsi="SimHei" w:eastAsia="SimHei" w:cs="SimHei"/>
                <w:sz w:val="22"/>
                <w:szCs w:val="22"/>
              </w:rPr>
              <w:tab/>
            </w:r>
            <w:r>
              <w:rPr>
                <w:rFonts w:ascii="SimHei" w:hAnsi="SimHei" w:eastAsia="SimHei" w:cs="SimHei"/>
                <w:sz w:val="22"/>
                <w:szCs w:val="22"/>
                <w:spacing w:val="-35"/>
              </w:rPr>
              <w:t xml:space="preserve"> </w:t>
            </w:r>
            <w:r>
              <w:rPr>
                <w:rFonts w:ascii="Times New Roman" w:hAnsi="Times New Roman" w:eastAsia="Times New Roman" w:cs="Times New Roman"/>
                <w:sz w:val="22"/>
                <w:szCs w:val="22"/>
                <w:spacing w:val="-6"/>
              </w:rPr>
              <w:t>154</w:t>
            </w:r>
          </w:hyperlink>
        </w:p>
        <w:p>
          <w:pPr>
            <w:pStyle w:val="BodyText"/>
            <w:spacing w:line="470" w:lineRule="auto"/>
            <w:rPr/>
          </w:pPr>
          <w:r/>
        </w:p>
        <w:p>
          <w:pPr>
            <w:ind w:left="320"/>
            <w:spacing w:before="72" w:line="220" w:lineRule="auto"/>
            <w:tabs>
              <w:tab w:val="right" w:leader="dot" w:pos="13364"/>
            </w:tabs>
            <w:rPr>
              <w:rFonts w:ascii="Times New Roman" w:hAnsi="Times New Roman" w:eastAsia="Times New Roman" w:cs="Times New Roman"/>
              <w:sz w:val="22"/>
              <w:szCs w:val="22"/>
            </w:rPr>
          </w:pPr>
          <w:hyperlink w:history="true" w:anchor="bookmark91">
            <w:r>
              <w:rPr>
                <w:rFonts w:ascii="SimHei" w:hAnsi="SimHei" w:eastAsia="SimHei" w:cs="SimHei"/>
                <w:sz w:val="22"/>
                <w:szCs w:val="22"/>
              </w:rPr>
              <w:t>第六十八条</w:t>
            </w:r>
            <w:r>
              <w:rPr>
                <w:rFonts w:ascii="SimHei" w:hAnsi="SimHei" w:eastAsia="SimHei" w:cs="SimHei"/>
                <w:sz w:val="22"/>
                <w:szCs w:val="22"/>
              </w:rPr>
              <w:t xml:space="preserve"> </w:t>
            </w:r>
            <w:r>
              <w:rPr>
                <w:rFonts w:ascii="SimHei" w:hAnsi="SimHei" w:eastAsia="SimHei" w:cs="SimHei"/>
                <w:sz w:val="22"/>
                <w:szCs w:val="22"/>
              </w:rPr>
              <w:t>医疗卫生机构未对有关人员进行相关法律和专业技术、安全防护以</w:t>
            </w:r>
            <w:r>
              <w:rPr>
                <w:rFonts w:ascii="SimHei" w:hAnsi="SimHei" w:eastAsia="SimHei" w:cs="SimHei"/>
                <w:sz w:val="22"/>
                <w:szCs w:val="22"/>
                <w:spacing w:val="-1"/>
              </w:rPr>
              <w:t>及紧急处理等知识的培训的</w:t>
            </w:r>
            <w:r>
              <w:rPr>
                <w:rFonts w:ascii="SimHei" w:hAnsi="SimHei" w:eastAsia="SimHei" w:cs="SimHei"/>
                <w:sz w:val="22"/>
                <w:szCs w:val="22"/>
                <w:spacing w:val="-90"/>
              </w:rPr>
              <w:t xml:space="preserve"> </w:t>
            </w:r>
            <w:r>
              <w:rPr>
                <w:rFonts w:ascii="SimHei" w:hAnsi="SimHei" w:eastAsia="SimHei" w:cs="SimHei"/>
                <w:sz w:val="22"/>
                <w:szCs w:val="22"/>
              </w:rPr>
              <w:tab/>
            </w:r>
            <w:r>
              <w:rPr>
                <w:rFonts w:ascii="Times New Roman" w:hAnsi="Times New Roman" w:eastAsia="Times New Roman" w:cs="Times New Roman"/>
                <w:sz w:val="22"/>
                <w:szCs w:val="22"/>
                <w:spacing w:val="-5"/>
              </w:rPr>
              <w:t>155</w:t>
            </w:r>
          </w:hyperlink>
        </w:p>
        <w:p>
          <w:pPr>
            <w:pStyle w:val="BodyText"/>
            <w:spacing w:line="241" w:lineRule="auto"/>
            <w:rPr/>
          </w:pPr>
          <w:r/>
        </w:p>
        <w:p>
          <w:pPr>
            <w:pStyle w:val="BodyText"/>
            <w:spacing w:line="242" w:lineRule="auto"/>
            <w:rPr/>
          </w:pPr>
          <w:r/>
        </w:p>
        <w:p>
          <w:pPr>
            <w:ind w:right="3"/>
            <w:spacing w:before="72" w:line="221" w:lineRule="auto"/>
            <w:jc w:val="right"/>
            <w:rPr>
              <w:rFonts w:ascii="SimHei" w:hAnsi="SimHei" w:eastAsia="SimHei" w:cs="SimHei"/>
              <w:sz w:val="22"/>
              <w:szCs w:val="22"/>
            </w:rPr>
          </w:pPr>
          <w:hyperlink w:history="true" w:anchor="bookmark92">
            <w:r>
              <w:rPr>
                <w:rFonts w:ascii="SimHei" w:hAnsi="SimHei" w:eastAsia="SimHei" w:cs="SimHei"/>
                <w:sz w:val="22"/>
                <w:szCs w:val="22"/>
              </w:rPr>
              <w:t>第六十九条</w:t>
            </w:r>
            <w:r>
              <w:rPr>
                <w:rFonts w:ascii="SimHei" w:hAnsi="SimHei" w:eastAsia="SimHei" w:cs="SimHei"/>
                <w:sz w:val="22"/>
                <w:szCs w:val="22"/>
              </w:rPr>
              <w:t xml:space="preserve"> </w:t>
            </w:r>
            <w:r>
              <w:rPr>
                <w:rFonts w:ascii="SimHei" w:hAnsi="SimHei" w:eastAsia="SimHei" w:cs="SimHei"/>
                <w:sz w:val="22"/>
                <w:szCs w:val="22"/>
              </w:rPr>
              <w:t>医疗卫生机构、医疗废物集中处置单位未对从事医疗废物收集、运送、贮存、处置等工作的人员和</w:t>
            </w:r>
            <w:r>
              <w:rPr>
                <w:rFonts w:ascii="SimHei" w:hAnsi="SimHei" w:eastAsia="SimHei" w:cs="SimHei"/>
                <w:sz w:val="22"/>
                <w:szCs w:val="22"/>
                <w:spacing w:val="-1"/>
              </w:rPr>
              <w:t>管理人员采取职业卫生防</w:t>
            </w:r>
          </w:hyperlink>
        </w:p>
        <w:p>
          <w:pPr>
            <w:pStyle w:val="BodyText"/>
            <w:spacing w:line="293" w:lineRule="auto"/>
            <w:rPr/>
          </w:pPr>
          <w:r/>
        </w:p>
        <w:p>
          <w:pPr>
            <w:ind w:left="320"/>
            <w:spacing w:before="73" w:line="222" w:lineRule="auto"/>
            <w:tabs>
              <w:tab w:val="right" w:leader="dot" w:pos="13424"/>
            </w:tabs>
            <w:rPr>
              <w:rFonts w:ascii="Times New Roman" w:hAnsi="Times New Roman" w:eastAsia="Times New Roman" w:cs="Times New Roman"/>
              <w:sz w:val="22"/>
              <w:szCs w:val="22"/>
            </w:rPr>
          </w:pPr>
          <w:hyperlink w:history="true" w:anchor="bookmark93">
            <w:r>
              <w:rPr>
                <w:rFonts w:ascii="SimHei" w:hAnsi="SimHei" w:eastAsia="SimHei" w:cs="SimHei"/>
                <w:sz w:val="22"/>
                <w:szCs w:val="22"/>
                <w:spacing w:val="4"/>
              </w:rPr>
              <w:t>护措施的</w:t>
            </w:r>
            <w:r>
              <w:rPr>
                <w:rFonts w:ascii="SimHei" w:hAnsi="SimHei" w:eastAsia="SimHei" w:cs="SimHei"/>
                <w:sz w:val="22"/>
                <w:szCs w:val="22"/>
                <w:spacing w:val="-98"/>
              </w:rPr>
              <w:t xml:space="preserve"> </w:t>
            </w:r>
            <w:r>
              <w:rPr>
                <w:rFonts w:ascii="SimHei" w:hAnsi="SimHei" w:eastAsia="SimHei" w:cs="SimHei"/>
                <w:sz w:val="22"/>
                <w:szCs w:val="22"/>
              </w:rPr>
              <w:tab/>
            </w:r>
            <w:r>
              <w:rPr>
                <w:rFonts w:ascii="SimHei" w:hAnsi="SimHei" w:eastAsia="SimHei" w:cs="SimHei"/>
                <w:sz w:val="22"/>
                <w:szCs w:val="22"/>
                <w:spacing w:val="-75"/>
              </w:rPr>
              <w:t xml:space="preserve"> </w:t>
            </w:r>
            <w:r>
              <w:rPr>
                <w:rFonts w:ascii="Times New Roman" w:hAnsi="Times New Roman" w:eastAsia="Times New Roman" w:cs="Times New Roman"/>
                <w:sz w:val="22"/>
                <w:szCs w:val="22"/>
                <w:spacing w:val="-9"/>
              </w:rPr>
              <w:t>156</w:t>
            </w:r>
          </w:hyperlink>
        </w:p>
        <w:p>
          <w:pPr>
            <w:pStyle w:val="BodyText"/>
            <w:rPr/>
          </w:pPr>
          <w:r/>
        </w:p>
        <w:p>
          <w:pPr>
            <w:pStyle w:val="BodyText"/>
            <w:spacing w:line="241" w:lineRule="auto"/>
            <w:rPr/>
          </w:pPr>
          <w:r/>
        </w:p>
        <w:p>
          <w:pPr>
            <w:ind w:left="320"/>
            <w:spacing w:before="71" w:line="222" w:lineRule="auto"/>
            <w:tabs>
              <w:tab w:val="right" w:leader="dot" w:pos="13334"/>
            </w:tabs>
            <w:rPr>
              <w:rFonts w:ascii="Times New Roman" w:hAnsi="Times New Roman" w:eastAsia="Times New Roman" w:cs="Times New Roman"/>
              <w:sz w:val="22"/>
              <w:szCs w:val="22"/>
            </w:rPr>
          </w:pPr>
          <w:hyperlink w:history="true" w:anchor="bookmark94">
            <w:r>
              <w:rPr>
                <w:rFonts w:ascii="SimHei" w:hAnsi="SimHei" w:eastAsia="SimHei" w:cs="SimHei"/>
                <w:sz w:val="22"/>
                <w:szCs w:val="22"/>
                <w:spacing w:val="1"/>
              </w:rPr>
              <w:t>第七十条</w:t>
            </w:r>
            <w:r>
              <w:rPr>
                <w:rFonts w:ascii="SimHei" w:hAnsi="SimHei" w:eastAsia="SimHei" w:cs="SimHei"/>
                <w:sz w:val="22"/>
                <w:szCs w:val="22"/>
                <w:spacing w:val="1"/>
              </w:rPr>
              <w:t xml:space="preserve"> </w:t>
            </w:r>
            <w:r>
              <w:rPr>
                <w:rFonts w:ascii="SimHei" w:hAnsi="SimHei" w:eastAsia="SimHei" w:cs="SimHei"/>
                <w:sz w:val="22"/>
                <w:szCs w:val="22"/>
                <w:spacing w:val="1"/>
              </w:rPr>
              <w:t>医疗卫生机构未对医疗废物进行登记或者未保存登记资料的</w:t>
            </w:r>
            <w:r>
              <w:rPr>
                <w:rFonts w:ascii="SimHei" w:hAnsi="SimHei" w:eastAsia="SimHei" w:cs="SimHei"/>
                <w:sz w:val="22"/>
                <w:szCs w:val="22"/>
                <w:spacing w:val="-83"/>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157</w:t>
            </w:r>
          </w:hyperlink>
        </w:p>
        <w:p>
          <w:pPr>
            <w:pStyle w:val="BodyText"/>
            <w:spacing w:line="245" w:lineRule="auto"/>
            <w:rPr/>
          </w:pPr>
          <w:r/>
        </w:p>
        <w:p>
          <w:pPr>
            <w:pStyle w:val="BodyText"/>
            <w:spacing w:line="245" w:lineRule="auto"/>
            <w:rPr/>
          </w:pPr>
          <w:r/>
        </w:p>
        <w:p>
          <w:pPr>
            <w:ind w:left="320"/>
            <w:spacing w:before="73" w:line="222" w:lineRule="auto"/>
            <w:tabs>
              <w:tab w:val="right" w:leader="dot" w:pos="13354"/>
            </w:tabs>
            <w:rPr>
              <w:rFonts w:ascii="Times New Roman" w:hAnsi="Times New Roman" w:eastAsia="Times New Roman" w:cs="Times New Roman"/>
              <w:sz w:val="22"/>
              <w:szCs w:val="22"/>
            </w:rPr>
          </w:pPr>
          <w:hyperlink w:history="true" w:anchor="bookmark95">
            <w:r>
              <w:rPr>
                <w:rFonts w:ascii="SimHei" w:hAnsi="SimHei" w:eastAsia="SimHei" w:cs="SimHei"/>
                <w:sz w:val="22"/>
                <w:szCs w:val="22"/>
              </w:rPr>
              <w:t>第七十一条</w:t>
            </w:r>
            <w:r>
              <w:rPr>
                <w:rFonts w:ascii="SimHei" w:hAnsi="SimHei" w:eastAsia="SimHei" w:cs="SimHei"/>
                <w:sz w:val="22"/>
                <w:szCs w:val="22"/>
              </w:rPr>
              <w:t xml:space="preserve"> </w:t>
            </w:r>
            <w:r>
              <w:rPr>
                <w:rFonts w:ascii="SimHei" w:hAnsi="SimHei" w:eastAsia="SimHei" w:cs="SimHei"/>
                <w:sz w:val="22"/>
                <w:szCs w:val="22"/>
              </w:rPr>
              <w:t>医疗卫生机构对使用后的医疗废物运送工具或者运送车辆未在指定</w:t>
            </w:r>
            <w:r>
              <w:rPr>
                <w:rFonts w:ascii="SimHei" w:hAnsi="SimHei" w:eastAsia="SimHei" w:cs="SimHei"/>
                <w:sz w:val="22"/>
                <w:szCs w:val="22"/>
                <w:spacing w:val="-1"/>
              </w:rPr>
              <w:t>地点及时进行消毒和清洁的</w:t>
            </w:r>
            <w:r>
              <w:rPr>
                <w:rFonts w:ascii="SimHei" w:hAnsi="SimHei" w:eastAsia="SimHei" w:cs="SimHei"/>
                <w:sz w:val="22"/>
                <w:szCs w:val="22"/>
                <w:spacing w:val="-90"/>
              </w:rPr>
              <w:t xml:space="preserve"> </w:t>
            </w:r>
            <w:r>
              <w:rPr>
                <w:rFonts w:ascii="SimHei" w:hAnsi="SimHei" w:eastAsia="SimHei" w:cs="SimHei"/>
                <w:sz w:val="22"/>
                <w:szCs w:val="22"/>
              </w:rPr>
              <w:tab/>
            </w:r>
            <w:r>
              <w:rPr>
                <w:rFonts w:ascii="SimHei" w:hAnsi="SimHei" w:eastAsia="SimHei" w:cs="SimHei"/>
                <w:sz w:val="22"/>
                <w:szCs w:val="22"/>
                <w:spacing w:val="-16"/>
              </w:rPr>
              <w:t xml:space="preserve"> </w:t>
            </w:r>
            <w:r>
              <w:rPr>
                <w:rFonts w:ascii="Times New Roman" w:hAnsi="Times New Roman" w:eastAsia="Times New Roman" w:cs="Times New Roman"/>
                <w:sz w:val="22"/>
                <w:szCs w:val="22"/>
                <w:spacing w:val="-6"/>
              </w:rPr>
              <w:t>158</w:t>
            </w:r>
          </w:hyperlink>
        </w:p>
      </w:sdtContent>
    </w:sdt>
    <w:p>
      <w:pPr>
        <w:spacing w:line="222" w:lineRule="auto"/>
        <w:sectPr>
          <w:footerReference w:type="default" r:id="rId10"/>
          <w:pgSz w:w="16830" w:h="11900"/>
          <w:pgMar w:top="1011" w:right="1435" w:bottom="1138" w:left="1969" w:header="0" w:footer="778" w:gutter="0"/>
        </w:sectPr>
        <w:rPr>
          <w:rFonts w:ascii="Times New Roman" w:hAnsi="Times New Roman" w:eastAsia="Times New Roman" w:cs="Times New Roman"/>
          <w:sz w:val="22"/>
          <w:szCs w:val="22"/>
        </w:rPr>
      </w:pPr>
    </w:p>
    <w:p>
      <w:pPr>
        <w:pStyle w:val="BodyText"/>
        <w:spacing w:line="261" w:lineRule="auto"/>
        <w:rPr/>
      </w:pPr>
      <w:r/>
    </w:p>
    <w:p>
      <w:pPr>
        <w:pStyle w:val="BodyText"/>
        <w:spacing w:line="261" w:lineRule="auto"/>
        <w:rPr/>
      </w:pPr>
      <w:r/>
    </w:p>
    <w:p>
      <w:pPr>
        <w:pStyle w:val="BodyText"/>
        <w:spacing w:line="261"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spacing w:before="68" w:line="213" w:lineRule="auto"/>
            <w:rPr>
              <w:rFonts w:ascii="SimHei" w:hAnsi="SimHei" w:eastAsia="SimHei" w:cs="SimHei"/>
              <w:sz w:val="21"/>
              <w:szCs w:val="21"/>
            </w:rPr>
          </w:pPr>
          <w:hyperlink w:history="true" w:anchor="bookmark96">
            <w:r>
              <w:rPr>
                <w:rFonts w:ascii="SimHei" w:hAnsi="SimHei" w:eastAsia="SimHei" w:cs="SimHei"/>
                <w:sz w:val="21"/>
                <w:szCs w:val="21"/>
                <w:spacing w:val="9"/>
              </w:rPr>
              <w:t>第七十二条</w:t>
            </w:r>
            <w:r>
              <w:rPr>
                <w:rFonts w:ascii="SimHei" w:hAnsi="SimHei" w:eastAsia="SimHei" w:cs="SimHei"/>
                <w:sz w:val="21"/>
                <w:szCs w:val="21"/>
                <w:spacing w:val="40"/>
              </w:rPr>
              <w:t xml:space="preserve"> </w:t>
            </w:r>
            <w:r>
              <w:rPr>
                <w:rFonts w:ascii="SimHei" w:hAnsi="SimHei" w:eastAsia="SimHei" w:cs="SimHei"/>
                <w:sz w:val="21"/>
                <w:szCs w:val="21"/>
                <w:spacing w:val="9"/>
              </w:rPr>
              <w:t>自行建有医疗废物处置设施的医疗卫生机构未定期对医疗废物处置设施的卫生学效果进行检测、评价，或者未将检测、评价</w:t>
            </w:r>
          </w:hyperlink>
        </w:p>
        <w:p>
          <w:pPr>
            <w:spacing w:before="56" w:line="239" w:lineRule="auto"/>
            <w:tabs>
              <w:tab w:val="right" w:leader="dot" w:pos="12943"/>
            </w:tabs>
            <w:rPr>
              <w:rFonts w:ascii="SimHei" w:hAnsi="SimHei" w:eastAsia="SimHei" w:cs="SimHei"/>
              <w:sz w:val="13"/>
              <w:szCs w:val="13"/>
            </w:rPr>
          </w:pPr>
          <w:hyperlink w:history="true" w:anchor="bookmark96">
            <w:r>
              <w:rPr>
                <w:rFonts w:ascii="SimHei" w:hAnsi="SimHei" w:eastAsia="SimHei" w:cs="SimHei"/>
                <w:sz w:val="21"/>
                <w:szCs w:val="21"/>
                <w:spacing w:val="11"/>
                <w:position w:val="1"/>
              </w:rPr>
              <w:t>效果存档、报告的</w:t>
            </w:r>
            <w:r>
              <w:rPr>
                <w:rFonts w:ascii="SimHei" w:hAnsi="SimHei" w:eastAsia="SimHei" w:cs="SimHei"/>
                <w:sz w:val="21"/>
                <w:szCs w:val="21"/>
                <w:spacing w:val="-54"/>
                <w:position w:val="1"/>
              </w:rPr>
              <w:t xml:space="preserve"> </w:t>
            </w:r>
            <w:r>
              <w:rPr>
                <w:rFonts w:ascii="SimHei" w:hAnsi="SimHei" w:eastAsia="SimHei" w:cs="SimHei"/>
                <w:sz w:val="21"/>
                <w:szCs w:val="21"/>
              </w:rPr>
              <w:tab/>
            </w:r>
            <w:r>
              <w:rPr>
                <w:rFonts w:ascii="SimHei" w:hAnsi="SimHei" w:eastAsia="SimHei" w:cs="SimHei"/>
                <w:sz w:val="21"/>
                <w:szCs w:val="21"/>
                <w:spacing w:val="-12"/>
                <w:position w:val="1"/>
              </w:rPr>
              <w:t xml:space="preserve"> </w:t>
            </w:r>
            <w:r>
              <w:rPr>
                <w:rFonts w:ascii="SimHei" w:hAnsi="SimHei" w:eastAsia="SimHei" w:cs="SimHei"/>
                <w:sz w:val="13"/>
                <w:szCs w:val="13"/>
                <w:spacing w:val="-3"/>
                <w:position w:val="-1"/>
              </w:rPr>
              <w:t>159</w:t>
            </w:r>
          </w:hyperlink>
        </w:p>
        <w:p>
          <w:pPr>
            <w:pStyle w:val="BodyText"/>
            <w:spacing w:line="357" w:lineRule="auto"/>
            <w:rPr/>
          </w:pPr>
          <w:r/>
        </w:p>
        <w:p>
          <w:pPr>
            <w:spacing w:before="69" w:line="221" w:lineRule="auto"/>
            <w:tabs>
              <w:tab w:val="right" w:leader="dot" w:pos="13020"/>
            </w:tabs>
            <w:rPr>
              <w:rFonts w:ascii="Times New Roman" w:hAnsi="Times New Roman" w:eastAsia="Times New Roman" w:cs="Times New Roman"/>
              <w:sz w:val="21"/>
              <w:szCs w:val="21"/>
            </w:rPr>
          </w:pPr>
          <w:hyperlink w:history="true" w:anchor="bookmark97">
            <w:r>
              <w:rPr>
                <w:rFonts w:ascii="SimHei" w:hAnsi="SimHei" w:eastAsia="SimHei" w:cs="SimHei"/>
                <w:sz w:val="21"/>
                <w:szCs w:val="21"/>
                <w:spacing w:val="10"/>
              </w:rPr>
              <w:t>第七十三条</w:t>
            </w:r>
            <w:r>
              <w:rPr>
                <w:rFonts w:ascii="SimHei" w:hAnsi="SimHei" w:eastAsia="SimHei" w:cs="SimHei"/>
                <w:sz w:val="21"/>
                <w:szCs w:val="21"/>
                <w:spacing w:val="10"/>
              </w:rPr>
              <w:t xml:space="preserve"> </w:t>
            </w:r>
            <w:r>
              <w:rPr>
                <w:rFonts w:ascii="SimHei" w:hAnsi="SimHei" w:eastAsia="SimHei" w:cs="SimHei"/>
                <w:sz w:val="21"/>
                <w:szCs w:val="21"/>
                <w:spacing w:val="10"/>
              </w:rPr>
              <w:t>医疗卫生机构医疗废物暂时贮存地点、设施或者设备不符合卫生要求的</w:t>
            </w:r>
            <w:r>
              <w:rPr>
                <w:rFonts w:ascii="SimHei" w:hAnsi="SimHei" w:eastAsia="SimHei" w:cs="SimHei"/>
                <w:sz w:val="21"/>
                <w:szCs w:val="21"/>
                <w:spacing w:val="-91"/>
              </w:rPr>
              <w:t xml:space="preserve"> </w:t>
            </w:r>
            <w:r>
              <w:rPr>
                <w:rFonts w:ascii="SimHei" w:hAnsi="SimHei" w:eastAsia="SimHei" w:cs="SimHei"/>
                <w:sz w:val="21"/>
                <w:szCs w:val="21"/>
              </w:rPr>
              <w:tab/>
            </w:r>
            <w:r>
              <w:rPr>
                <w:rFonts w:ascii="SimHei" w:hAnsi="SimHei" w:eastAsia="SimHei" w:cs="SimHei"/>
                <w:sz w:val="21"/>
                <w:szCs w:val="21"/>
                <w:spacing w:val="-21"/>
              </w:rPr>
              <w:t xml:space="preserve"> </w:t>
            </w:r>
            <w:r>
              <w:rPr>
                <w:rFonts w:ascii="Times New Roman" w:hAnsi="Times New Roman" w:eastAsia="Times New Roman" w:cs="Times New Roman"/>
                <w:sz w:val="21"/>
                <w:szCs w:val="21"/>
                <w:spacing w:val="-6"/>
              </w:rPr>
              <w:t>160</w:t>
            </w:r>
          </w:hyperlink>
        </w:p>
        <w:p>
          <w:pPr>
            <w:pStyle w:val="BodyText"/>
            <w:spacing w:line="258" w:lineRule="auto"/>
            <w:rPr/>
          </w:pPr>
          <w:r/>
        </w:p>
        <w:p>
          <w:pPr>
            <w:pStyle w:val="BodyText"/>
            <w:spacing w:line="259" w:lineRule="auto"/>
            <w:rPr/>
          </w:pPr>
          <w:r/>
        </w:p>
        <w:p>
          <w:pPr>
            <w:spacing w:before="68" w:line="221" w:lineRule="auto"/>
            <w:tabs>
              <w:tab w:val="right" w:leader="dot" w:pos="13010"/>
            </w:tabs>
            <w:rPr>
              <w:rFonts w:ascii="Times New Roman" w:hAnsi="Times New Roman" w:eastAsia="Times New Roman" w:cs="Times New Roman"/>
              <w:sz w:val="21"/>
              <w:szCs w:val="21"/>
            </w:rPr>
          </w:pPr>
          <w:hyperlink w:history="true" w:anchor="bookmark98">
            <w:r>
              <w:rPr>
                <w:rFonts w:ascii="SimHei" w:hAnsi="SimHei" w:eastAsia="SimHei" w:cs="SimHei"/>
                <w:sz w:val="21"/>
                <w:szCs w:val="21"/>
                <w:spacing w:val="10"/>
              </w:rPr>
              <w:t>第七十四条</w:t>
            </w:r>
            <w:r>
              <w:rPr>
                <w:rFonts w:ascii="SimHei" w:hAnsi="SimHei" w:eastAsia="SimHei" w:cs="SimHei"/>
                <w:sz w:val="21"/>
                <w:szCs w:val="21"/>
                <w:spacing w:val="10"/>
              </w:rPr>
              <w:t xml:space="preserve"> </w:t>
            </w:r>
            <w:r>
              <w:rPr>
                <w:rFonts w:ascii="SimHei" w:hAnsi="SimHei" w:eastAsia="SimHei" w:cs="SimHei"/>
                <w:sz w:val="21"/>
                <w:szCs w:val="21"/>
                <w:spacing w:val="10"/>
              </w:rPr>
              <w:t>医疗卫生机构未将医疗废物按照类别分置于专用包装物或者容器的</w:t>
            </w:r>
            <w:r>
              <w:rPr>
                <w:rFonts w:ascii="SimHei" w:hAnsi="SimHei" w:eastAsia="SimHei" w:cs="SimHei"/>
                <w:sz w:val="21"/>
                <w:szCs w:val="21"/>
                <w:spacing w:val="-91"/>
              </w:rPr>
              <w:t xml:space="preserve"> </w:t>
            </w:r>
            <w:r>
              <w:rPr>
                <w:rFonts w:ascii="SimHei" w:hAnsi="SimHei" w:eastAsia="SimHei" w:cs="SimHei"/>
                <w:sz w:val="21"/>
                <w:szCs w:val="21"/>
              </w:rPr>
              <w:tab/>
            </w:r>
            <w:r>
              <w:rPr>
                <w:rFonts w:ascii="SimHei" w:hAnsi="SimHei" w:eastAsia="SimHei" w:cs="SimHei"/>
                <w:sz w:val="21"/>
                <w:szCs w:val="21"/>
                <w:spacing w:val="-11"/>
              </w:rPr>
              <w:t xml:space="preserve"> </w:t>
            </w:r>
            <w:r>
              <w:rPr>
                <w:rFonts w:ascii="Times New Roman" w:hAnsi="Times New Roman" w:eastAsia="Times New Roman" w:cs="Times New Roman"/>
                <w:sz w:val="21"/>
                <w:szCs w:val="21"/>
                <w:spacing w:val="-6"/>
              </w:rPr>
              <w:t>162</w:t>
            </w:r>
          </w:hyperlink>
        </w:p>
        <w:p>
          <w:pPr>
            <w:pStyle w:val="BodyText"/>
            <w:spacing w:line="477" w:lineRule="auto"/>
            <w:rPr/>
          </w:pPr>
          <w:r/>
        </w:p>
        <w:p>
          <w:pPr>
            <w:spacing w:before="69" w:line="222" w:lineRule="auto"/>
            <w:tabs>
              <w:tab w:val="right" w:leader="dot" w:pos="13020"/>
            </w:tabs>
            <w:rPr>
              <w:rFonts w:ascii="Times New Roman" w:hAnsi="Times New Roman" w:eastAsia="Times New Roman" w:cs="Times New Roman"/>
              <w:sz w:val="21"/>
              <w:szCs w:val="21"/>
            </w:rPr>
          </w:pPr>
          <w:hyperlink w:history="true" w:anchor="bookmark99">
            <w:r>
              <w:rPr>
                <w:rFonts w:ascii="SimHei" w:hAnsi="SimHei" w:eastAsia="SimHei" w:cs="SimHei"/>
                <w:sz w:val="21"/>
                <w:szCs w:val="21"/>
                <w:spacing w:val="11"/>
              </w:rPr>
              <w:t>第七十五条</w:t>
            </w:r>
            <w:r>
              <w:rPr>
                <w:rFonts w:ascii="SimHei" w:hAnsi="SimHei" w:eastAsia="SimHei" w:cs="SimHei"/>
                <w:sz w:val="21"/>
                <w:szCs w:val="21"/>
                <w:spacing w:val="11"/>
              </w:rPr>
              <w:t xml:space="preserve"> </w:t>
            </w:r>
            <w:r>
              <w:rPr>
                <w:rFonts w:ascii="SimHei" w:hAnsi="SimHei" w:eastAsia="SimHei" w:cs="SimHei"/>
                <w:sz w:val="21"/>
                <w:szCs w:val="21"/>
                <w:spacing w:val="11"/>
              </w:rPr>
              <w:t>医疗卫生机构未使用符合标准的专用</w:t>
            </w:r>
            <w:r>
              <w:rPr>
                <w:rFonts w:ascii="SimHei" w:hAnsi="SimHei" w:eastAsia="SimHei" w:cs="SimHei"/>
                <w:sz w:val="21"/>
                <w:szCs w:val="21"/>
                <w:spacing w:val="10"/>
              </w:rPr>
              <w:t>车辆运送医疗废物或者使用运送医疗废物的车辆运送其他物品的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163</w:t>
            </w:r>
          </w:hyperlink>
        </w:p>
        <w:p>
          <w:pPr>
            <w:pStyle w:val="BodyText"/>
            <w:spacing w:line="337" w:lineRule="auto"/>
            <w:rPr/>
          </w:pPr>
          <w:r/>
        </w:p>
        <w:p>
          <w:pPr>
            <w:spacing w:before="68" w:line="213" w:lineRule="auto"/>
            <w:rPr>
              <w:rFonts w:ascii="SimHei" w:hAnsi="SimHei" w:eastAsia="SimHei" w:cs="SimHei"/>
              <w:sz w:val="21"/>
              <w:szCs w:val="21"/>
            </w:rPr>
          </w:pPr>
          <w:hyperlink w:history="true" w:anchor="bookmark100">
            <w:r>
              <w:rPr>
                <w:rFonts w:ascii="SimHei" w:hAnsi="SimHei" w:eastAsia="SimHei" w:cs="SimHei"/>
                <w:sz w:val="21"/>
                <w:szCs w:val="21"/>
                <w:spacing w:val="12"/>
              </w:rPr>
              <w:t>第七十六条</w:t>
            </w:r>
            <w:r>
              <w:rPr>
                <w:rFonts w:ascii="SimHei" w:hAnsi="SimHei" w:eastAsia="SimHei" w:cs="SimHei"/>
                <w:sz w:val="21"/>
                <w:szCs w:val="21"/>
                <w:spacing w:val="12"/>
              </w:rPr>
              <w:t xml:space="preserve"> </w:t>
            </w:r>
            <w:r>
              <w:rPr>
                <w:rFonts w:ascii="SimHei" w:hAnsi="SimHei" w:eastAsia="SimHei" w:cs="SimHei"/>
                <w:sz w:val="21"/>
                <w:szCs w:val="21"/>
                <w:spacing w:val="12"/>
              </w:rPr>
              <w:t>在医疗卫生机构内运送过程中丢弃医疗废物，在非贮存地</w:t>
            </w:r>
            <w:r>
              <w:rPr>
                <w:rFonts w:ascii="SimHei" w:hAnsi="SimHei" w:eastAsia="SimHei" w:cs="SimHei"/>
                <w:sz w:val="21"/>
                <w:szCs w:val="21"/>
                <w:spacing w:val="11"/>
              </w:rPr>
              <w:t>点倾倒、堆放医疗废物或者将医疗废物混入其他废物和生活垃圾</w:t>
            </w:r>
          </w:hyperlink>
        </w:p>
        <w:p>
          <w:pPr>
            <w:spacing w:before="49" w:line="230" w:lineRule="auto"/>
            <w:tabs>
              <w:tab w:val="right" w:leader="dot" w:pos="12933"/>
            </w:tabs>
            <w:rPr>
              <w:rFonts w:ascii="SimHei" w:hAnsi="SimHei" w:eastAsia="SimHei" w:cs="SimHei"/>
              <w:sz w:val="13"/>
              <w:szCs w:val="13"/>
            </w:rPr>
          </w:pPr>
          <w:hyperlink w:history="true" w:anchor="bookmark100">
            <w:r>
              <w:rPr>
                <w:rFonts w:ascii="SimHei" w:hAnsi="SimHei" w:eastAsia="SimHei" w:cs="SimHei"/>
                <w:sz w:val="21"/>
                <w:szCs w:val="21"/>
                <w:spacing w:val="-20"/>
              </w:rPr>
              <w:t>的</w:t>
            </w:r>
            <w:r>
              <w:rPr>
                <w:rFonts w:ascii="SimHei" w:hAnsi="SimHei" w:eastAsia="SimHei" w:cs="SimHei"/>
                <w:sz w:val="21"/>
                <w:szCs w:val="21"/>
                <w:spacing w:val="-6"/>
              </w:rPr>
              <w:t xml:space="preserve"> </w:t>
            </w:r>
            <w:r>
              <w:rPr>
                <w:rFonts w:ascii="SimHei" w:hAnsi="SimHei" w:eastAsia="SimHei" w:cs="SimHei"/>
                <w:sz w:val="21"/>
                <w:szCs w:val="21"/>
              </w:rPr>
              <w:tab/>
            </w:r>
            <w:r>
              <w:rPr>
                <w:rFonts w:ascii="SimHei" w:hAnsi="SimHei" w:eastAsia="SimHei" w:cs="SimHei"/>
                <w:sz w:val="21"/>
                <w:szCs w:val="21"/>
                <w:spacing w:val="78"/>
              </w:rPr>
              <w:t xml:space="preserve"> </w:t>
            </w:r>
            <w:r>
              <w:rPr>
                <w:rFonts w:ascii="SimHei" w:hAnsi="SimHei" w:eastAsia="SimHei" w:cs="SimHei"/>
                <w:sz w:val="13"/>
                <w:szCs w:val="13"/>
                <w:spacing w:val="-3"/>
                <w:position w:val="-1"/>
              </w:rPr>
              <w:t>164</w:t>
            </w:r>
          </w:hyperlink>
        </w:p>
        <w:p>
          <w:pPr>
            <w:spacing w:before="267" w:line="213" w:lineRule="auto"/>
            <w:rPr>
              <w:rFonts w:ascii="SimHei" w:hAnsi="SimHei" w:eastAsia="SimHei" w:cs="SimHei"/>
              <w:sz w:val="21"/>
              <w:szCs w:val="21"/>
            </w:rPr>
          </w:pPr>
          <w:hyperlink w:history="true" w:anchor="bookmark101">
            <w:r>
              <w:rPr>
                <w:rFonts w:ascii="SimHei" w:hAnsi="SimHei" w:eastAsia="SimHei" w:cs="SimHei"/>
                <w:sz w:val="21"/>
                <w:szCs w:val="21"/>
                <w:spacing w:val="10"/>
              </w:rPr>
              <w:t>第七十七条</w:t>
            </w:r>
            <w:r>
              <w:rPr>
                <w:rFonts w:ascii="SimHei" w:hAnsi="SimHei" w:eastAsia="SimHei" w:cs="SimHei"/>
                <w:sz w:val="21"/>
                <w:szCs w:val="21"/>
                <w:spacing w:val="10"/>
              </w:rPr>
              <w:t xml:space="preserve"> </w:t>
            </w:r>
            <w:r>
              <w:rPr>
                <w:rFonts w:ascii="SimHei" w:hAnsi="SimHei" w:eastAsia="SimHei" w:cs="SimHei"/>
                <w:sz w:val="21"/>
                <w:szCs w:val="21"/>
                <w:spacing w:val="10"/>
              </w:rPr>
              <w:t>医疗卫生机构未按照医疗废物管理条例的规定对污水、传</w:t>
            </w:r>
            <w:r>
              <w:rPr>
                <w:rFonts w:ascii="SimHei" w:hAnsi="SimHei" w:eastAsia="SimHei" w:cs="SimHei"/>
                <w:sz w:val="21"/>
                <w:szCs w:val="21"/>
                <w:spacing w:val="9"/>
              </w:rPr>
              <w:t>染病病人或者疑似传染病病人的排泄物，进行严格消毒，或者未达</w:t>
            </w:r>
          </w:hyperlink>
        </w:p>
        <w:p>
          <w:pPr>
            <w:spacing w:before="58" w:line="221" w:lineRule="auto"/>
            <w:tabs>
              <w:tab w:val="right" w:leader="dot" w:pos="12933"/>
            </w:tabs>
            <w:rPr>
              <w:rFonts w:ascii="SimHei" w:hAnsi="SimHei" w:eastAsia="SimHei" w:cs="SimHei"/>
              <w:sz w:val="13"/>
              <w:szCs w:val="13"/>
            </w:rPr>
          </w:pPr>
          <w:hyperlink w:history="true" w:anchor="bookmark101">
            <w:r>
              <w:rPr>
                <w:rFonts w:ascii="SimHei" w:hAnsi="SimHei" w:eastAsia="SimHei" w:cs="SimHei"/>
                <w:sz w:val="21"/>
                <w:szCs w:val="21"/>
                <w:spacing w:val="10"/>
              </w:rPr>
              <w:t>到国家规定的排放标准，排入污水处理系统的</w:t>
            </w:r>
            <w:r>
              <w:rPr>
                <w:rFonts w:ascii="SimHei" w:hAnsi="SimHei" w:eastAsia="SimHei" w:cs="SimHei"/>
                <w:sz w:val="21"/>
                <w:szCs w:val="21"/>
                <w:spacing w:val="-46"/>
              </w:rPr>
              <w:t xml:space="preserve"> </w:t>
            </w:r>
            <w:r>
              <w:rPr>
                <w:rFonts w:ascii="SimHei" w:hAnsi="SimHei" w:eastAsia="SimHei" w:cs="SimHei"/>
                <w:sz w:val="21"/>
                <w:szCs w:val="21"/>
              </w:rPr>
              <w:tab/>
            </w:r>
            <w:r>
              <w:rPr>
                <w:rFonts w:ascii="SimHei" w:hAnsi="SimHei" w:eastAsia="SimHei" w:cs="SimHei"/>
                <w:sz w:val="21"/>
                <w:szCs w:val="21"/>
                <w:spacing w:val="-22"/>
              </w:rPr>
              <w:t xml:space="preserve"> </w:t>
            </w:r>
            <w:r>
              <w:rPr>
                <w:rFonts w:ascii="SimHei" w:hAnsi="SimHei" w:eastAsia="SimHei" w:cs="SimHei"/>
                <w:sz w:val="13"/>
                <w:szCs w:val="13"/>
                <w:spacing w:val="-3"/>
                <w:position w:val="-1"/>
              </w:rPr>
              <w:t>166</w:t>
            </w:r>
          </w:hyperlink>
        </w:p>
        <w:p>
          <w:pPr>
            <w:pStyle w:val="BodyText"/>
            <w:spacing w:line="348" w:lineRule="auto"/>
            <w:rPr/>
          </w:pPr>
          <w:r/>
        </w:p>
        <w:p>
          <w:pPr>
            <w:spacing w:before="68" w:line="213" w:lineRule="auto"/>
            <w:jc w:val="right"/>
            <w:rPr>
              <w:rFonts w:ascii="SimHei" w:hAnsi="SimHei" w:eastAsia="SimHei" w:cs="SimHei"/>
              <w:sz w:val="21"/>
              <w:szCs w:val="21"/>
            </w:rPr>
          </w:pPr>
          <w:hyperlink w:history="true" w:anchor="bookmark102">
            <w:r>
              <w:rPr>
                <w:rFonts w:ascii="SimHei" w:hAnsi="SimHei" w:eastAsia="SimHei" w:cs="SimHei"/>
                <w:sz w:val="21"/>
                <w:szCs w:val="21"/>
                <w:spacing w:val="10"/>
              </w:rPr>
              <w:t>第七十八条</w:t>
            </w:r>
            <w:r>
              <w:rPr>
                <w:rFonts w:ascii="SimHei" w:hAnsi="SimHei" w:eastAsia="SimHei" w:cs="SimHei"/>
                <w:sz w:val="21"/>
                <w:szCs w:val="21"/>
                <w:spacing w:val="10"/>
              </w:rPr>
              <w:t xml:space="preserve"> </w:t>
            </w:r>
            <w:r>
              <w:rPr>
                <w:rFonts w:ascii="SimHei" w:hAnsi="SimHei" w:eastAsia="SimHei" w:cs="SimHei"/>
                <w:sz w:val="21"/>
                <w:szCs w:val="21"/>
                <w:spacing w:val="10"/>
              </w:rPr>
              <w:t>医疗卫生机构、医疗废物集中处置单位对收治的传染病病人或者疑似传染病病人产生的生活垃圾，未按照医疗废物进行管理</w:t>
            </w:r>
          </w:hyperlink>
        </w:p>
        <w:p>
          <w:pPr>
            <w:pStyle w:val="BodyText"/>
            <w:spacing w:line="328" w:lineRule="auto"/>
            <w:rPr/>
          </w:pPr>
          <w:r/>
        </w:p>
        <w:p>
          <w:pPr>
            <w:spacing w:before="69" w:line="223" w:lineRule="auto"/>
            <w:tabs>
              <w:tab w:val="right" w:leader="dot" w:pos="12980"/>
            </w:tabs>
            <w:rPr>
              <w:rFonts w:ascii="Times New Roman" w:hAnsi="Times New Roman" w:eastAsia="Times New Roman" w:cs="Times New Roman"/>
              <w:sz w:val="21"/>
              <w:szCs w:val="21"/>
            </w:rPr>
          </w:pPr>
          <w:hyperlink w:history="true" w:anchor="bookmark103">
            <w:r>
              <w:rPr>
                <w:rFonts w:ascii="SimHei" w:hAnsi="SimHei" w:eastAsia="SimHei" w:cs="SimHei"/>
                <w:sz w:val="21"/>
                <w:szCs w:val="21"/>
                <w:spacing w:val="14"/>
              </w:rPr>
              <w:t>和处置的</w:t>
            </w:r>
            <w:r>
              <w:rPr>
                <w:rFonts w:ascii="SimHei" w:hAnsi="SimHei" w:eastAsia="SimHei" w:cs="SimHei"/>
                <w:sz w:val="21"/>
                <w:szCs w:val="21"/>
                <w:spacing w:val="-92"/>
              </w:rPr>
              <w:t xml:space="preserve"> </w:t>
            </w:r>
            <w:r>
              <w:rPr>
                <w:rFonts w:ascii="SimHei" w:hAnsi="SimHei" w:eastAsia="SimHei" w:cs="SimHei"/>
                <w:sz w:val="21"/>
                <w:szCs w:val="21"/>
              </w:rPr>
              <w:tab/>
            </w:r>
            <w:r>
              <w:rPr>
                <w:rFonts w:ascii="SimHei" w:hAnsi="SimHei" w:eastAsia="SimHei" w:cs="SimHei"/>
                <w:sz w:val="21"/>
                <w:szCs w:val="21"/>
                <w:spacing w:val="-61"/>
              </w:rPr>
              <w:t xml:space="preserve"> </w:t>
            </w:r>
            <w:r>
              <w:rPr>
                <w:rFonts w:ascii="Times New Roman" w:hAnsi="Times New Roman" w:eastAsia="Times New Roman" w:cs="Times New Roman"/>
                <w:sz w:val="21"/>
                <w:szCs w:val="21"/>
                <w:spacing w:val="-6"/>
              </w:rPr>
              <w:t>167</w:t>
            </w:r>
          </w:hyperlink>
        </w:p>
        <w:p>
          <w:pPr>
            <w:pStyle w:val="BodyText"/>
            <w:spacing w:line="473" w:lineRule="auto"/>
            <w:rPr/>
          </w:pPr>
          <w:r/>
        </w:p>
        <w:p>
          <w:pPr>
            <w:spacing w:before="70" w:line="213" w:lineRule="auto"/>
            <w:tabs>
              <w:tab w:val="right" w:leader="dot" w:pos="13000"/>
            </w:tabs>
            <w:rPr>
              <w:rFonts w:ascii="Times New Roman" w:hAnsi="Times New Roman" w:eastAsia="Times New Roman" w:cs="Times New Roman"/>
              <w:sz w:val="21"/>
              <w:szCs w:val="21"/>
            </w:rPr>
          </w:pPr>
          <w:hyperlink w:history="true" w:anchor="bookmark104">
            <w:r>
              <w:rPr>
                <w:rFonts w:ascii="SimHei" w:hAnsi="SimHei" w:eastAsia="SimHei" w:cs="SimHei"/>
                <w:sz w:val="21"/>
                <w:szCs w:val="21"/>
                <w:spacing w:val="10"/>
              </w:rPr>
              <w:t>第七十九条</w:t>
            </w:r>
            <w:r>
              <w:rPr>
                <w:rFonts w:ascii="SimHei" w:hAnsi="SimHei" w:eastAsia="SimHei" w:cs="SimHei"/>
                <w:sz w:val="21"/>
                <w:szCs w:val="21"/>
                <w:spacing w:val="10"/>
              </w:rPr>
              <w:t xml:space="preserve"> </w:t>
            </w:r>
            <w:r>
              <w:rPr>
                <w:rFonts w:ascii="SimHei" w:hAnsi="SimHei" w:eastAsia="SimHei" w:cs="SimHei"/>
                <w:sz w:val="21"/>
                <w:szCs w:val="21"/>
                <w:spacing w:val="10"/>
              </w:rPr>
              <w:t>医疗卫生机构发生医疗废物流失、泄漏、扩散时，未采取紧急处理措施，或者未及时向卫生行政主管部门报告的</w:t>
            </w:r>
            <w:r>
              <w:rPr>
                <w:rFonts w:ascii="SimHei" w:hAnsi="SimHei" w:eastAsia="SimHei" w:cs="SimHei"/>
                <w:sz w:val="21"/>
                <w:szCs w:val="21"/>
                <w:spacing w:val="-91"/>
              </w:rPr>
              <w:t xml:space="preserve"> </w:t>
            </w:r>
            <w:r>
              <w:rPr>
                <w:rFonts w:ascii="SimHei" w:hAnsi="SimHei" w:eastAsia="SimHei" w:cs="SimHei"/>
                <w:sz w:val="21"/>
                <w:szCs w:val="21"/>
              </w:rPr>
              <w:tab/>
            </w:r>
            <w:r>
              <w:rPr>
                <w:rFonts w:ascii="SimHei" w:hAnsi="SimHei" w:eastAsia="SimHei" w:cs="SimHei"/>
                <w:sz w:val="21"/>
                <w:szCs w:val="21"/>
                <w:spacing w:val="-11"/>
              </w:rPr>
              <w:t xml:space="preserve"> </w:t>
            </w:r>
            <w:r>
              <w:rPr>
                <w:rFonts w:ascii="Times New Roman" w:hAnsi="Times New Roman" w:eastAsia="Times New Roman" w:cs="Times New Roman"/>
                <w:sz w:val="21"/>
                <w:szCs w:val="21"/>
                <w:spacing w:val="-6"/>
              </w:rPr>
              <w:t>168</w:t>
            </w:r>
          </w:hyperlink>
        </w:p>
      </w:sdtContent>
    </w:sdt>
    <w:p>
      <w:pPr>
        <w:spacing w:line="213" w:lineRule="auto"/>
        <w:sectPr>
          <w:footerReference w:type="default" r:id="rId11"/>
          <w:pgSz w:w="16830" w:h="11900"/>
          <w:pgMar w:top="1011" w:right="1422" w:bottom="1138" w:left="2309" w:header="0" w:footer="759" w:gutter="0"/>
        </w:sectPr>
        <w:rPr>
          <w:rFonts w:ascii="Times New Roman" w:hAnsi="Times New Roman" w:eastAsia="Times New Roman" w:cs="Times New Roman"/>
          <w:sz w:val="21"/>
          <w:szCs w:val="21"/>
        </w:rPr>
      </w:pPr>
    </w:p>
    <w:p>
      <w:pPr>
        <w:pStyle w:val="BodyText"/>
        <w:spacing w:line="311" w:lineRule="auto"/>
        <w:rPr/>
      </w:pPr>
      <w:r/>
    </w:p>
    <w:p>
      <w:pPr>
        <w:pStyle w:val="BodyText"/>
        <w:spacing w:line="312" w:lineRule="auto"/>
        <w:rPr/>
      </w:pPr>
      <w:r/>
    </w:p>
    <w:p>
      <w:pPr>
        <w:pStyle w:val="BodyText"/>
        <w:spacing w:line="312" w:lineRule="auto"/>
        <w:rPr/>
      </w:pPr>
      <w:r/>
    </w:p>
    <w:p>
      <w:pPr>
        <w:spacing w:before="65" w:line="213" w:lineRule="auto"/>
        <w:jc w:val="right"/>
        <w:rPr>
          <w:rFonts w:ascii="SimHei" w:hAnsi="SimHei" w:eastAsia="SimHei" w:cs="SimHei"/>
          <w:sz w:val="20"/>
          <w:szCs w:val="20"/>
        </w:rPr>
      </w:pPr>
      <w:r>
        <w:rPr>
          <w:rFonts w:ascii="SimHei" w:hAnsi="SimHei" w:eastAsia="SimHei" w:cs="SimHei"/>
          <w:sz w:val="20"/>
          <w:szCs w:val="20"/>
          <w:spacing w:val="17"/>
        </w:rPr>
        <w:t>第八十条</w:t>
      </w:r>
      <w:r>
        <w:rPr>
          <w:rFonts w:ascii="SimHei" w:hAnsi="SimHei" w:eastAsia="SimHei" w:cs="SimHei"/>
          <w:sz w:val="20"/>
          <w:szCs w:val="20"/>
          <w:spacing w:val="17"/>
        </w:rPr>
        <w:t xml:space="preserve"> </w:t>
      </w:r>
      <w:r>
        <w:rPr>
          <w:rFonts w:ascii="SimHei" w:hAnsi="SimHei" w:eastAsia="SimHei" w:cs="SimHei"/>
          <w:sz w:val="20"/>
          <w:szCs w:val="20"/>
          <w:spacing w:val="17"/>
        </w:rPr>
        <w:t>对医疗卫生机构，无正当理由，阻碍卫生行政主管部门或者环境保护行政主管部门执法人员执行职务，拒绝执法人员进入现场，</w:t>
      </w:r>
    </w:p>
    <w:p>
      <w:pPr>
        <w:pStyle w:val="BodyText"/>
        <w:spacing w:line="329" w:lineRule="auto"/>
        <w:rPr/>
      </w:pPr>
      <w:r/>
    </w:p>
    <w:sdt>
      <w:sdtPr>
        <w:rPr>
          <w:rFonts w:ascii="SimHei" w:hAnsi="SimHei" w:eastAsia="SimHei" w:cs="SimHei"/>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ind w:left="349"/>
            <w:spacing w:before="65" w:line="219" w:lineRule="auto"/>
            <w:tabs>
              <w:tab w:val="right" w:leader="dot" w:pos="13255"/>
            </w:tabs>
            <w:rPr>
              <w:rFonts w:ascii="Times New Roman" w:hAnsi="Times New Roman" w:eastAsia="Times New Roman" w:cs="Times New Roman"/>
              <w:sz w:val="20"/>
              <w:szCs w:val="20"/>
            </w:rPr>
          </w:pPr>
          <w:hyperlink w:history="true" w:anchor="bookmark105">
            <w:r>
              <w:rPr>
                <w:rFonts w:ascii="SimHei" w:hAnsi="SimHei" w:eastAsia="SimHei" w:cs="SimHei"/>
                <w:sz w:val="20"/>
                <w:szCs w:val="20"/>
                <w:spacing w:val="20"/>
              </w:rPr>
              <w:t>或者不配合执法部门的检查、监测、调查取证的</w:t>
            </w:r>
            <w:r>
              <w:rPr>
                <w:rFonts w:ascii="SimHei" w:hAnsi="SimHei" w:eastAsia="SimHei" w:cs="SimHei"/>
                <w:sz w:val="20"/>
                <w:szCs w:val="20"/>
                <w:spacing w:val="-71"/>
              </w:rPr>
              <w:t xml:space="preserve"> </w:t>
            </w:r>
            <w:r>
              <w:rPr>
                <w:rFonts w:ascii="SimHei" w:hAnsi="SimHei" w:eastAsia="SimHei" w:cs="SimHei"/>
                <w:sz w:val="20"/>
                <w:szCs w:val="20"/>
              </w:rPr>
              <w:tab/>
            </w:r>
            <w:r>
              <w:rPr>
                <w:rFonts w:ascii="Times New Roman" w:hAnsi="Times New Roman" w:eastAsia="Times New Roman" w:cs="Times New Roman"/>
                <w:sz w:val="20"/>
                <w:szCs w:val="20"/>
                <w:spacing w:val="-5"/>
              </w:rPr>
              <w:t>170</w:t>
            </w:r>
          </w:hyperlink>
        </w:p>
        <w:p>
          <w:pPr>
            <w:pStyle w:val="BodyText"/>
            <w:spacing w:line="258" w:lineRule="auto"/>
            <w:rPr/>
          </w:pPr>
          <w:r/>
        </w:p>
        <w:p>
          <w:pPr>
            <w:pStyle w:val="BodyText"/>
            <w:spacing w:line="258" w:lineRule="auto"/>
            <w:rPr/>
          </w:pPr>
          <w:r/>
        </w:p>
        <w:p>
          <w:pPr>
            <w:ind w:left="349"/>
            <w:spacing w:before="65" w:line="213" w:lineRule="auto"/>
            <w:tabs>
              <w:tab w:val="right" w:leader="dot" w:pos="13235"/>
            </w:tabs>
            <w:rPr>
              <w:rFonts w:ascii="Times New Roman" w:hAnsi="Times New Roman" w:eastAsia="Times New Roman" w:cs="Times New Roman"/>
              <w:sz w:val="20"/>
              <w:szCs w:val="20"/>
            </w:rPr>
          </w:pPr>
          <w:hyperlink w:history="true" w:anchor="bookmark106">
            <w:r>
              <w:rPr>
                <w:rFonts w:ascii="SimHei" w:hAnsi="SimHei" w:eastAsia="SimHei" w:cs="SimHei"/>
                <w:sz w:val="20"/>
                <w:szCs w:val="20"/>
                <w:spacing w:val="20"/>
              </w:rPr>
              <w:t>第八十一条</w:t>
            </w:r>
            <w:r>
              <w:rPr>
                <w:rFonts w:ascii="SimHei" w:hAnsi="SimHei" w:eastAsia="SimHei" w:cs="SimHei"/>
                <w:sz w:val="20"/>
                <w:szCs w:val="20"/>
                <w:spacing w:val="20"/>
              </w:rPr>
              <w:t xml:space="preserve"> </w:t>
            </w:r>
            <w:r>
              <w:rPr>
                <w:rFonts w:ascii="SimHei" w:hAnsi="SimHei" w:eastAsia="SimHei" w:cs="SimHei"/>
                <w:sz w:val="20"/>
                <w:szCs w:val="20"/>
                <w:spacing w:val="20"/>
              </w:rPr>
              <w:t>不具备集中处置医疗废物条件</w:t>
            </w:r>
            <w:r>
              <w:rPr>
                <w:rFonts w:ascii="SimHei" w:hAnsi="SimHei" w:eastAsia="SimHei" w:cs="SimHei"/>
                <w:sz w:val="20"/>
                <w:szCs w:val="20"/>
                <w:spacing w:val="19"/>
              </w:rPr>
              <w:t>的农村，医疗卫生机构未按照规定要求处置医疗废物的</w:t>
            </w:r>
            <w:r>
              <w:rPr>
                <w:rFonts w:ascii="SimHei" w:hAnsi="SimHei" w:eastAsia="SimHei" w:cs="SimHei"/>
                <w:sz w:val="20"/>
                <w:szCs w:val="20"/>
                <w:spacing w:val="-87"/>
              </w:rPr>
              <w:t xml:space="preserve"> </w:t>
            </w:r>
            <w:r>
              <w:rPr>
                <w:rFonts w:ascii="SimHei" w:hAnsi="SimHei" w:eastAsia="SimHei" w:cs="SimHei"/>
                <w:sz w:val="20"/>
                <w:szCs w:val="20"/>
              </w:rPr>
              <w:tab/>
            </w:r>
            <w:r>
              <w:rPr>
                <w:rFonts w:ascii="SimHei" w:hAnsi="SimHei" w:eastAsia="SimHei" w:cs="SimHei"/>
                <w:sz w:val="20"/>
                <w:szCs w:val="20"/>
                <w:spacing w:val="-16"/>
              </w:rPr>
              <w:t xml:space="preserve"> </w:t>
            </w:r>
            <w:r>
              <w:rPr>
                <w:rFonts w:ascii="Times New Roman" w:hAnsi="Times New Roman" w:eastAsia="Times New Roman" w:cs="Times New Roman"/>
                <w:sz w:val="20"/>
                <w:szCs w:val="20"/>
                <w:spacing w:val="-6"/>
              </w:rPr>
              <w:t>171</w:t>
            </w:r>
          </w:hyperlink>
        </w:p>
        <w:p>
          <w:pPr>
            <w:pStyle w:val="BodyText"/>
            <w:spacing w:line="347" w:lineRule="auto"/>
            <w:rPr/>
          </w:pPr>
          <w:r/>
        </w:p>
        <w:p>
          <w:pPr>
            <w:spacing w:before="65" w:line="223" w:lineRule="auto"/>
            <w:tabs>
              <w:tab w:val="right" w:leader="dot" w:pos="13235"/>
            </w:tabs>
            <w:rPr>
              <w:rFonts w:ascii="Times New Roman" w:hAnsi="Times New Roman" w:eastAsia="Times New Roman" w:cs="Times New Roman"/>
              <w:sz w:val="20"/>
              <w:szCs w:val="20"/>
            </w:rPr>
          </w:pPr>
          <w:hyperlink w:history="true" w:anchor="bookmark107">
            <w:r>
              <w:rPr>
                <w:rFonts w:ascii="KaiTi" w:hAnsi="KaiTi" w:eastAsia="KaiTi" w:cs="KaiTi"/>
                <w:sz w:val="20"/>
                <w:szCs w:val="20"/>
                <w:spacing w:val="-5"/>
              </w:rPr>
              <w:t>(</w:t>
            </w:r>
            <w:r>
              <w:rPr>
                <w:rFonts w:ascii="KaiTi" w:hAnsi="KaiTi" w:eastAsia="KaiTi" w:cs="KaiTi"/>
                <w:sz w:val="20"/>
                <w:szCs w:val="20"/>
                <w:spacing w:val="-5"/>
              </w:rPr>
              <w:t xml:space="preserve"> </w:t>
            </w:r>
            <w:r>
              <w:rPr>
                <w:rFonts w:ascii="KaiTi" w:hAnsi="KaiTi" w:eastAsia="KaiTi" w:cs="KaiTi"/>
                <w:sz w:val="20"/>
                <w:szCs w:val="20"/>
                <w:spacing w:val="-5"/>
              </w:rPr>
              <w:t>九</w:t>
            </w:r>
            <w:r>
              <w:rPr>
                <w:rFonts w:ascii="KaiTi" w:hAnsi="KaiTi" w:eastAsia="KaiTi" w:cs="KaiTi"/>
                <w:sz w:val="20"/>
                <w:szCs w:val="20"/>
                <w:spacing w:val="-5"/>
              </w:rPr>
              <w:t xml:space="preserve"> </w:t>
            </w:r>
            <w:r>
              <w:rPr>
                <w:rFonts w:ascii="KaiTi" w:hAnsi="KaiTi" w:eastAsia="KaiTi" w:cs="KaiTi"/>
                <w:sz w:val="20"/>
                <w:szCs w:val="20"/>
                <w:spacing w:val="-5"/>
              </w:rPr>
              <w:t>)</w:t>
            </w:r>
            <w:r>
              <w:rPr>
                <w:rFonts w:ascii="KaiTi" w:hAnsi="KaiTi" w:eastAsia="KaiTi" w:cs="KaiTi"/>
                <w:sz w:val="20"/>
                <w:szCs w:val="20"/>
                <w:spacing w:val="-5"/>
              </w:rPr>
              <w:t xml:space="preserve"> </w:t>
            </w:r>
            <w:r>
              <w:rPr>
                <w:rFonts w:ascii="KaiTi" w:hAnsi="KaiTi" w:eastAsia="KaiTi" w:cs="KaiTi"/>
                <w:sz w:val="20"/>
                <w:szCs w:val="20"/>
                <w:spacing w:val="-5"/>
              </w:rPr>
              <w:t>《消毒管理办法》</w:t>
            </w:r>
            <w:r>
              <w:rPr>
                <w:rFonts w:ascii="KaiTi" w:hAnsi="KaiTi" w:eastAsia="KaiTi" w:cs="KaiTi"/>
                <w:sz w:val="20"/>
                <w:szCs w:val="20"/>
                <w:spacing w:val="-71"/>
              </w:rPr>
              <w:t xml:space="preserve"> </w:t>
            </w:r>
            <w:r>
              <w:rPr>
                <w:rFonts w:ascii="KaiTi" w:hAnsi="KaiTi" w:eastAsia="KaiTi" w:cs="KaiTi"/>
                <w:sz w:val="20"/>
                <w:szCs w:val="20"/>
                <w:color w:val="408080"/>
              </w:rPr>
              <w:tab/>
            </w:r>
            <w:r>
              <w:rPr>
                <w:rFonts w:ascii="Times New Roman" w:hAnsi="Times New Roman" w:eastAsia="Times New Roman" w:cs="Times New Roman"/>
                <w:sz w:val="20"/>
                <w:szCs w:val="20"/>
                <w:spacing w:val="-4"/>
              </w:rPr>
              <w:t>172</w:t>
            </w:r>
          </w:hyperlink>
        </w:p>
        <w:p>
          <w:pPr>
            <w:pStyle w:val="BodyText"/>
            <w:spacing w:line="355" w:lineRule="auto"/>
            <w:rPr/>
          </w:pPr>
          <w:r/>
        </w:p>
        <w:p>
          <w:pPr>
            <w:ind w:left="359"/>
            <w:spacing w:before="66" w:line="213" w:lineRule="auto"/>
            <w:rPr>
              <w:rFonts w:ascii="SimHei" w:hAnsi="SimHei" w:eastAsia="SimHei" w:cs="SimHei"/>
              <w:sz w:val="20"/>
              <w:szCs w:val="20"/>
            </w:rPr>
          </w:pPr>
          <w:hyperlink w:history="true" w:anchor="bookmark108">
            <w:r>
              <w:rPr>
                <w:rFonts w:ascii="SimHei" w:hAnsi="SimHei" w:eastAsia="SimHei" w:cs="SimHei"/>
                <w:sz w:val="20"/>
                <w:szCs w:val="20"/>
                <w:spacing w:val="19"/>
              </w:rPr>
              <w:t>第八十二条</w:t>
            </w:r>
            <w:r>
              <w:rPr>
                <w:rFonts w:ascii="SimHei" w:hAnsi="SimHei" w:eastAsia="SimHei" w:cs="SimHei"/>
                <w:sz w:val="20"/>
                <w:szCs w:val="20"/>
                <w:spacing w:val="19"/>
              </w:rPr>
              <w:t xml:space="preserve"> </w:t>
            </w:r>
            <w:r>
              <w:rPr>
                <w:rFonts w:ascii="SimHei" w:hAnsi="SimHei" w:eastAsia="SimHei" w:cs="SimHei"/>
                <w:sz w:val="20"/>
                <w:szCs w:val="20"/>
                <w:spacing w:val="19"/>
              </w:rPr>
              <w:t>医疗卫生机构未建立消毒管理组织、制定消毒管理制度、执行国家有关规范、标准和规定，未定期开展消毒与</w:t>
            </w:r>
            <w:r>
              <w:rPr>
                <w:rFonts w:ascii="SimHei" w:hAnsi="SimHei" w:eastAsia="SimHei" w:cs="SimHei"/>
                <w:sz w:val="20"/>
                <w:szCs w:val="20"/>
                <w:spacing w:val="18"/>
              </w:rPr>
              <w:t>灭菌效果检测</w:t>
            </w:r>
          </w:hyperlink>
        </w:p>
        <w:p>
          <w:pPr>
            <w:pStyle w:val="BodyText"/>
            <w:spacing w:line="370" w:lineRule="auto"/>
            <w:rPr/>
          </w:pPr>
          <w:r/>
        </w:p>
        <w:p>
          <w:pPr>
            <w:ind w:left="349"/>
            <w:spacing w:before="66" w:line="222" w:lineRule="auto"/>
            <w:tabs>
              <w:tab w:val="right" w:leader="dot" w:pos="13209"/>
            </w:tabs>
            <w:rPr>
              <w:rFonts w:ascii="SimHei" w:hAnsi="SimHei" w:eastAsia="SimHei" w:cs="SimHei"/>
              <w:sz w:val="12"/>
              <w:szCs w:val="12"/>
            </w:rPr>
          </w:pPr>
          <w:hyperlink w:history="true" w:anchor="bookmark109">
            <w:r>
              <w:rPr>
                <w:rFonts w:ascii="SimHei" w:hAnsi="SimHei" w:eastAsia="SimHei" w:cs="SimHei"/>
                <w:sz w:val="20"/>
                <w:szCs w:val="20"/>
                <w:spacing w:val="20"/>
                <w:position w:val="-1"/>
              </w:rPr>
              <w:t>工作的</w:t>
            </w:r>
            <w:r>
              <w:rPr>
                <w:rFonts w:ascii="SimHei" w:hAnsi="SimHei" w:eastAsia="SimHei" w:cs="SimHei"/>
                <w:sz w:val="20"/>
                <w:szCs w:val="20"/>
                <w:spacing w:val="20"/>
                <w:position w:val="-1"/>
              </w:rPr>
              <w:t xml:space="preserve"> </w:t>
            </w:r>
            <w:r>
              <w:rPr>
                <w:rFonts w:ascii="SimHei" w:hAnsi="SimHei" w:eastAsia="SimHei" w:cs="SimHei"/>
                <w:sz w:val="20"/>
                <w:szCs w:val="20"/>
              </w:rPr>
              <w:tab/>
            </w:r>
            <w:r>
              <w:rPr>
                <w:rFonts w:ascii="SimHei" w:hAnsi="SimHei" w:eastAsia="SimHei" w:cs="SimHei"/>
                <w:sz w:val="12"/>
                <w:szCs w:val="12"/>
                <w:spacing w:val="3"/>
                <w:position w:val="2"/>
              </w:rPr>
              <w:t>172</w:t>
            </w:r>
          </w:hyperlink>
        </w:p>
        <w:p>
          <w:pPr>
            <w:pStyle w:val="BodyText"/>
            <w:spacing w:line="462" w:lineRule="auto"/>
            <w:rPr/>
          </w:pPr>
          <w:r/>
        </w:p>
        <w:p>
          <w:pPr>
            <w:ind w:left="349"/>
            <w:spacing w:before="66" w:line="213" w:lineRule="auto"/>
            <w:tabs>
              <w:tab w:val="right" w:leader="dot" w:pos="13225"/>
            </w:tabs>
            <w:rPr>
              <w:rFonts w:ascii="Times New Roman" w:hAnsi="Times New Roman" w:eastAsia="Times New Roman" w:cs="Times New Roman"/>
              <w:sz w:val="20"/>
              <w:szCs w:val="20"/>
            </w:rPr>
          </w:pPr>
          <w:hyperlink w:history="true" w:anchor="bookmark110">
            <w:r>
              <w:rPr>
                <w:rFonts w:ascii="SimHei" w:hAnsi="SimHei" w:eastAsia="SimHei" w:cs="SimHei"/>
                <w:sz w:val="20"/>
                <w:szCs w:val="20"/>
                <w:spacing w:val="20"/>
              </w:rPr>
              <w:t>第八十三条</w:t>
            </w:r>
            <w:r>
              <w:rPr>
                <w:rFonts w:ascii="SimHei" w:hAnsi="SimHei" w:eastAsia="SimHei" w:cs="SimHei"/>
                <w:sz w:val="20"/>
                <w:szCs w:val="20"/>
                <w:spacing w:val="20"/>
              </w:rPr>
              <w:t xml:space="preserve"> </w:t>
            </w:r>
            <w:r>
              <w:rPr>
                <w:rFonts w:ascii="SimHei" w:hAnsi="SimHei" w:eastAsia="SimHei" w:cs="SimHei"/>
                <w:sz w:val="20"/>
                <w:szCs w:val="20"/>
                <w:spacing w:val="20"/>
              </w:rPr>
              <w:t>医疗卫生机构工作人员未接受消毒技术培训、</w:t>
            </w:r>
            <w:r>
              <w:rPr>
                <w:rFonts w:ascii="SimHei" w:hAnsi="SimHei" w:eastAsia="SimHei" w:cs="SimHei"/>
                <w:sz w:val="20"/>
                <w:szCs w:val="20"/>
                <w:spacing w:val="19"/>
              </w:rPr>
              <w:t>掌握消毒知识，并且未按规定严格执行消毒隔离制度的</w:t>
            </w:r>
            <w:r>
              <w:rPr>
                <w:rFonts w:ascii="SimHei" w:hAnsi="SimHei" w:eastAsia="SimHei" w:cs="SimHei"/>
                <w:sz w:val="20"/>
                <w:szCs w:val="20"/>
                <w:spacing w:val="-87"/>
              </w:rPr>
              <w:t xml:space="preserve"> </w:t>
            </w:r>
            <w:r>
              <w:rPr>
                <w:rFonts w:ascii="SimHei" w:hAnsi="SimHei" w:eastAsia="SimHei" w:cs="SimHei"/>
                <w:sz w:val="20"/>
                <w:szCs w:val="20"/>
              </w:rPr>
              <w:tab/>
            </w:r>
            <w:r>
              <w:rPr>
                <w:rFonts w:ascii="Times New Roman" w:hAnsi="Times New Roman" w:eastAsia="Times New Roman" w:cs="Times New Roman"/>
                <w:sz w:val="20"/>
                <w:szCs w:val="20"/>
                <w:spacing w:val="-4"/>
              </w:rPr>
              <w:t>173</w:t>
            </w:r>
          </w:hyperlink>
        </w:p>
        <w:p>
          <w:pPr>
            <w:pStyle w:val="BodyText"/>
            <w:spacing w:line="265" w:lineRule="auto"/>
            <w:rPr/>
          </w:pPr>
          <w:r/>
        </w:p>
        <w:p>
          <w:pPr>
            <w:pStyle w:val="BodyText"/>
            <w:spacing w:line="265" w:lineRule="auto"/>
            <w:rPr/>
          </w:pPr>
          <w:r/>
        </w:p>
        <w:p>
          <w:pPr>
            <w:spacing w:before="66" w:line="213" w:lineRule="auto"/>
            <w:jc w:val="right"/>
            <w:rPr>
              <w:rFonts w:ascii="SimHei" w:hAnsi="SimHei" w:eastAsia="SimHei" w:cs="SimHei"/>
              <w:sz w:val="20"/>
              <w:szCs w:val="20"/>
            </w:rPr>
          </w:pPr>
          <w:hyperlink w:history="true" w:anchor="bookmark111">
            <w:r>
              <w:rPr>
                <w:rFonts w:ascii="SimHei" w:hAnsi="SimHei" w:eastAsia="SimHei" w:cs="SimHei"/>
                <w:sz w:val="20"/>
                <w:szCs w:val="20"/>
                <w:spacing w:val="17"/>
              </w:rPr>
              <w:t>第八十四条</w:t>
            </w:r>
            <w:r>
              <w:rPr>
                <w:rFonts w:ascii="SimHei" w:hAnsi="SimHei" w:eastAsia="SimHei" w:cs="SimHei"/>
                <w:sz w:val="20"/>
                <w:szCs w:val="20"/>
                <w:spacing w:val="17"/>
              </w:rPr>
              <w:t xml:space="preserve"> </w:t>
            </w:r>
            <w:r>
              <w:rPr>
                <w:rFonts w:ascii="SimHei" w:hAnsi="SimHei" w:eastAsia="SimHei" w:cs="SimHei"/>
                <w:sz w:val="20"/>
                <w:szCs w:val="20"/>
                <w:spacing w:val="17"/>
              </w:rPr>
              <w:t>医疗卫生机构使用的进入人体组织或无菌器官的医疗用品未达到灭菌要求，各种注射、穿刺、采血器具未一人一用一灭菌的，</w:t>
            </w:r>
          </w:hyperlink>
        </w:p>
        <w:p>
          <w:pPr>
            <w:pStyle w:val="BodyText"/>
            <w:spacing w:line="322" w:lineRule="auto"/>
            <w:rPr/>
          </w:pPr>
          <w:r/>
        </w:p>
        <w:p>
          <w:pPr>
            <w:ind w:left="349"/>
            <w:spacing w:before="65" w:line="213" w:lineRule="auto"/>
            <w:tabs>
              <w:tab w:val="right" w:leader="dot" w:pos="13305"/>
            </w:tabs>
            <w:rPr>
              <w:rFonts w:ascii="Times New Roman" w:hAnsi="Times New Roman" w:eastAsia="Times New Roman" w:cs="Times New Roman"/>
              <w:sz w:val="20"/>
              <w:szCs w:val="20"/>
            </w:rPr>
          </w:pPr>
          <w:hyperlink w:history="true" w:anchor="bookmark112">
            <w:r>
              <w:rPr>
                <w:rFonts w:ascii="SimHei" w:hAnsi="SimHei" w:eastAsia="SimHei" w:cs="SimHei"/>
                <w:sz w:val="20"/>
                <w:szCs w:val="20"/>
                <w:spacing w:val="19"/>
              </w:rPr>
              <w:t>或接触皮肤、粘膜的器械和用品未达到消毒要求的，或医疗卫生机构使用的一次性使用医疗用品用后未</w:t>
            </w:r>
            <w:r>
              <w:rPr>
                <w:rFonts w:ascii="SimHei" w:hAnsi="SimHei" w:eastAsia="SimHei" w:cs="SimHei"/>
                <w:sz w:val="20"/>
                <w:szCs w:val="20"/>
                <w:spacing w:val="18"/>
              </w:rPr>
              <w:t>及时进行无害化处理的</w:t>
            </w:r>
            <w:r>
              <w:rPr>
                <w:rFonts w:ascii="SimHei" w:hAnsi="SimHei" w:eastAsia="SimHei" w:cs="SimHei"/>
                <w:sz w:val="20"/>
                <w:szCs w:val="20"/>
                <w:spacing w:val="-86"/>
              </w:rPr>
              <w:t xml:space="preserve"> </w:t>
            </w:r>
            <w:r>
              <w:rPr>
                <w:rFonts w:ascii="SimHei" w:hAnsi="SimHei" w:eastAsia="SimHei" w:cs="SimHei"/>
                <w:sz w:val="20"/>
                <w:szCs w:val="20"/>
              </w:rPr>
              <w:tab/>
            </w:r>
            <w:r>
              <w:rPr>
                <w:rFonts w:ascii="SimHei" w:hAnsi="SimHei" w:eastAsia="SimHei" w:cs="SimHei"/>
                <w:sz w:val="20"/>
                <w:szCs w:val="20"/>
                <w:spacing w:val="-46"/>
              </w:rPr>
              <w:t xml:space="preserve"> </w:t>
            </w:r>
            <w:r>
              <w:rPr>
                <w:rFonts w:ascii="Times New Roman" w:hAnsi="Times New Roman" w:eastAsia="Times New Roman" w:cs="Times New Roman"/>
                <w:sz w:val="20"/>
                <w:szCs w:val="20"/>
                <w:spacing w:val="-6"/>
              </w:rPr>
              <w:t>175</w:t>
            </w:r>
          </w:hyperlink>
        </w:p>
        <w:p>
          <w:pPr>
            <w:pStyle w:val="BodyText"/>
            <w:spacing w:line="269" w:lineRule="auto"/>
            <w:rPr/>
          </w:pPr>
          <w:r/>
        </w:p>
        <w:p>
          <w:pPr>
            <w:pStyle w:val="BodyText"/>
            <w:spacing w:line="269" w:lineRule="auto"/>
            <w:rPr/>
          </w:pPr>
          <w:r/>
        </w:p>
        <w:p>
          <w:pPr>
            <w:ind w:left="349"/>
            <w:spacing w:before="66" w:line="219" w:lineRule="auto"/>
            <w:tabs>
              <w:tab w:val="right" w:leader="dot" w:pos="13295"/>
            </w:tabs>
            <w:rPr>
              <w:rFonts w:ascii="Times New Roman" w:hAnsi="Times New Roman" w:eastAsia="Times New Roman" w:cs="Times New Roman"/>
              <w:sz w:val="20"/>
              <w:szCs w:val="20"/>
            </w:rPr>
          </w:pPr>
          <w:hyperlink w:history="true" w:anchor="bookmark113">
            <w:r>
              <w:rPr>
                <w:rFonts w:ascii="SimHei" w:hAnsi="SimHei" w:eastAsia="SimHei" w:cs="SimHei"/>
                <w:sz w:val="20"/>
                <w:szCs w:val="20"/>
                <w:spacing w:val="19"/>
              </w:rPr>
              <w:t>第八十五条</w:t>
            </w:r>
            <w:r>
              <w:rPr>
                <w:rFonts w:ascii="SimHei" w:hAnsi="SimHei" w:eastAsia="SimHei" w:cs="SimHei"/>
                <w:sz w:val="20"/>
                <w:szCs w:val="20"/>
                <w:spacing w:val="19"/>
              </w:rPr>
              <w:t xml:space="preserve"> </w:t>
            </w:r>
            <w:r>
              <w:rPr>
                <w:rFonts w:ascii="SimHei" w:hAnsi="SimHei" w:eastAsia="SimHei" w:cs="SimHei"/>
                <w:sz w:val="20"/>
                <w:szCs w:val="20"/>
                <w:spacing w:val="19"/>
              </w:rPr>
              <w:t>医疗卫生机构购进消毒产品未建立并执行进货检查验收制度</w:t>
            </w:r>
            <w:r>
              <w:rPr>
                <w:rFonts w:ascii="SimHei" w:hAnsi="SimHei" w:eastAsia="SimHei" w:cs="SimHei"/>
                <w:sz w:val="20"/>
                <w:szCs w:val="20"/>
                <w:spacing w:val="-69"/>
              </w:rPr>
              <w:t xml:space="preserve"> </w:t>
            </w:r>
            <w:r>
              <w:rPr>
                <w:rFonts w:ascii="SimHei" w:hAnsi="SimHei" w:eastAsia="SimHei" w:cs="SimHei"/>
                <w:sz w:val="20"/>
                <w:szCs w:val="20"/>
              </w:rPr>
              <w:tab/>
            </w:r>
            <w:r>
              <w:rPr>
                <w:rFonts w:ascii="Times New Roman" w:hAnsi="Times New Roman" w:eastAsia="Times New Roman" w:cs="Times New Roman"/>
                <w:sz w:val="20"/>
                <w:szCs w:val="20"/>
                <w:spacing w:val="-4"/>
              </w:rPr>
              <w:t>176</w:t>
            </w:r>
          </w:hyperlink>
        </w:p>
      </w:sdtContent>
    </w:sdt>
    <w:p>
      <w:pPr>
        <w:spacing w:line="219" w:lineRule="auto"/>
        <w:sectPr>
          <w:footerReference w:type="default" r:id="rId12"/>
          <w:pgSz w:w="16830" w:h="11900"/>
          <w:pgMar w:top="1011" w:right="1380" w:bottom="1124" w:left="1960" w:header="0" w:footer="763" w:gutter="0"/>
        </w:sectPr>
        <w:rPr>
          <w:rFonts w:ascii="Times New Roman" w:hAnsi="Times New Roman" w:eastAsia="Times New Roman" w:cs="Times New Roman"/>
          <w:sz w:val="20"/>
          <w:szCs w:val="20"/>
        </w:rPr>
      </w:pPr>
    </w:p>
    <w:p>
      <w:pPr>
        <w:pStyle w:val="BodyText"/>
        <w:spacing w:line="307" w:lineRule="auto"/>
        <w:rPr/>
      </w:pPr>
      <w:r/>
    </w:p>
    <w:p>
      <w:pPr>
        <w:pStyle w:val="BodyText"/>
        <w:spacing w:line="307" w:lineRule="auto"/>
        <w:rPr/>
      </w:pPr>
      <w:r/>
    </w:p>
    <w:p>
      <w:pPr>
        <w:pStyle w:val="BodyText"/>
        <w:spacing w:line="308" w:lineRule="auto"/>
        <w:rPr/>
      </w:pPr>
      <w:r/>
    </w:p>
    <w:p>
      <w:pPr>
        <w:spacing w:before="68" w:line="213" w:lineRule="auto"/>
        <w:jc w:val="right"/>
        <w:rPr>
          <w:rFonts w:ascii="SimHei" w:hAnsi="SimHei" w:eastAsia="SimHei" w:cs="SimHei"/>
          <w:sz w:val="21"/>
          <w:szCs w:val="21"/>
        </w:rPr>
      </w:pPr>
      <w:bookmarkStart w:name="bookmark114" w:id="3"/>
      <w:bookmarkEnd w:id="3"/>
      <w:r>
        <w:rPr>
          <w:rFonts w:ascii="SimHei" w:hAnsi="SimHei" w:eastAsia="SimHei" w:cs="SimHei"/>
          <w:sz w:val="21"/>
          <w:szCs w:val="21"/>
          <w:spacing w:val="7"/>
        </w:rPr>
        <w:t>第八十六条</w:t>
      </w:r>
      <w:r>
        <w:rPr>
          <w:rFonts w:ascii="SimHei" w:hAnsi="SimHei" w:eastAsia="SimHei" w:cs="SimHei"/>
          <w:sz w:val="21"/>
          <w:szCs w:val="21"/>
          <w:spacing w:val="7"/>
        </w:rPr>
        <w:t xml:space="preserve"> </w:t>
      </w:r>
      <w:r>
        <w:rPr>
          <w:rFonts w:ascii="SimHei" w:hAnsi="SimHei" w:eastAsia="SimHei" w:cs="SimHei"/>
          <w:sz w:val="21"/>
          <w:szCs w:val="21"/>
          <w:spacing w:val="7"/>
        </w:rPr>
        <w:t>医疗卫生机构的环境、物品不符合国家有关规范、标准和规定，排放废弃的污水、污物未按照国家有关规定进行无害化处理，</w:t>
      </w:r>
    </w:p>
    <w:p>
      <w:pPr>
        <w:pStyle w:val="BodyText"/>
        <w:spacing w:line="317"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330"/>
            <w:spacing w:before="68" w:line="222" w:lineRule="auto"/>
            <w:tabs>
              <w:tab w:val="right" w:leader="dot" w:pos="13360"/>
            </w:tabs>
            <w:rPr>
              <w:rFonts w:ascii="Times New Roman" w:hAnsi="Times New Roman" w:eastAsia="Times New Roman" w:cs="Times New Roman"/>
              <w:sz w:val="21"/>
              <w:szCs w:val="21"/>
            </w:rPr>
          </w:pPr>
          <w:hyperlink w:history="true" w:anchor="bookmark115">
            <w:r>
              <w:rPr>
                <w:rFonts w:ascii="SimHei" w:hAnsi="SimHei" w:eastAsia="SimHei" w:cs="SimHei"/>
                <w:sz w:val="21"/>
                <w:szCs w:val="21"/>
                <w:spacing w:val="9"/>
              </w:rPr>
              <w:t>运送传染病病人及其污染物品的车辆、工具未随时进行消</w:t>
            </w:r>
            <w:r>
              <w:rPr>
                <w:rFonts w:ascii="SimHei" w:hAnsi="SimHei" w:eastAsia="SimHei" w:cs="SimHei"/>
                <w:sz w:val="21"/>
                <w:szCs w:val="21"/>
                <w:spacing w:val="8"/>
              </w:rPr>
              <w:t>毒处理的</w:t>
            </w:r>
            <w:r>
              <w:rPr>
                <w:rFonts w:ascii="SimHei" w:hAnsi="SimHei" w:eastAsia="SimHei" w:cs="SimHei"/>
                <w:sz w:val="21"/>
                <w:szCs w:val="21"/>
                <w:spacing w:val="-94"/>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177</w:t>
            </w:r>
          </w:hyperlink>
        </w:p>
        <w:p>
          <w:pPr>
            <w:pStyle w:val="BodyText"/>
            <w:spacing w:line="248" w:lineRule="auto"/>
            <w:rPr/>
          </w:pPr>
          <w:r/>
        </w:p>
        <w:p>
          <w:pPr>
            <w:pStyle w:val="BodyText"/>
            <w:spacing w:line="248" w:lineRule="auto"/>
            <w:rPr/>
          </w:pPr>
          <w:r/>
        </w:p>
        <w:p>
          <w:pPr>
            <w:ind w:left="330"/>
            <w:spacing w:before="68" w:line="213" w:lineRule="auto"/>
            <w:tabs>
              <w:tab w:val="right" w:leader="dot" w:pos="13340"/>
            </w:tabs>
            <w:rPr>
              <w:rFonts w:ascii="Times New Roman" w:hAnsi="Times New Roman" w:eastAsia="Times New Roman" w:cs="Times New Roman"/>
              <w:sz w:val="21"/>
              <w:szCs w:val="21"/>
            </w:rPr>
          </w:pPr>
          <w:hyperlink w:history="true" w:anchor="bookmark116">
            <w:r>
              <w:rPr>
                <w:rFonts w:ascii="SimHei" w:hAnsi="SimHei" w:eastAsia="SimHei" w:cs="SimHei"/>
                <w:sz w:val="21"/>
                <w:szCs w:val="21"/>
                <w:spacing w:val="9"/>
              </w:rPr>
              <w:t>第八十七条</w:t>
            </w:r>
            <w:r>
              <w:rPr>
                <w:rFonts w:ascii="SimHei" w:hAnsi="SimHei" w:eastAsia="SimHei" w:cs="SimHei"/>
                <w:sz w:val="21"/>
                <w:szCs w:val="21"/>
                <w:spacing w:val="9"/>
              </w:rPr>
              <w:t xml:space="preserve"> </w:t>
            </w:r>
            <w:r>
              <w:rPr>
                <w:rFonts w:ascii="SimHei" w:hAnsi="SimHei" w:eastAsia="SimHei" w:cs="SimHei"/>
                <w:sz w:val="21"/>
                <w:szCs w:val="21"/>
                <w:spacing w:val="9"/>
              </w:rPr>
              <w:t>医疗卫生机构发生感染性疾病暴发、流行时，未及时报告当地卫生计生行政部门，并采取有效消毒措施的</w:t>
            </w:r>
            <w:r>
              <w:rPr>
                <w:rFonts w:ascii="SimHei" w:hAnsi="SimHei" w:eastAsia="SimHei" w:cs="SimHei"/>
                <w:sz w:val="21"/>
                <w:szCs w:val="21"/>
                <w:spacing w:val="-90"/>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178</w:t>
            </w:r>
          </w:hyperlink>
        </w:p>
        <w:p>
          <w:pPr>
            <w:pStyle w:val="BodyText"/>
            <w:spacing w:line="253" w:lineRule="auto"/>
            <w:rPr/>
          </w:pPr>
          <w:r/>
        </w:p>
        <w:p>
          <w:pPr>
            <w:pStyle w:val="BodyText"/>
            <w:spacing w:line="253" w:lineRule="auto"/>
            <w:rPr/>
          </w:pPr>
          <w:r/>
        </w:p>
        <w:p>
          <w:pPr>
            <w:ind w:left="349"/>
            <w:spacing w:before="68" w:line="213" w:lineRule="auto"/>
            <w:rPr>
              <w:rFonts w:ascii="SimHei" w:hAnsi="SimHei" w:eastAsia="SimHei" w:cs="SimHei"/>
              <w:sz w:val="21"/>
              <w:szCs w:val="21"/>
            </w:rPr>
          </w:pPr>
          <w:hyperlink w:history="true" w:anchor="bookmark117">
            <w:r>
              <w:rPr>
                <w:rFonts w:ascii="SimHei" w:hAnsi="SimHei" w:eastAsia="SimHei" w:cs="SimHei"/>
                <w:sz w:val="21"/>
                <w:szCs w:val="21"/>
                <w:spacing w:val="17"/>
              </w:rPr>
              <w:t>第八十八条</w:t>
            </w:r>
            <w:r>
              <w:rPr>
                <w:rFonts w:ascii="SimHei" w:hAnsi="SimHei" w:eastAsia="SimHei" w:cs="SimHei"/>
                <w:sz w:val="21"/>
                <w:szCs w:val="21"/>
                <w:spacing w:val="17"/>
              </w:rPr>
              <w:t xml:space="preserve"> </w:t>
            </w:r>
            <w:r>
              <w:rPr>
                <w:rFonts w:ascii="SimHei" w:hAnsi="SimHei" w:eastAsia="SimHei" w:cs="SimHei"/>
                <w:sz w:val="21"/>
                <w:szCs w:val="21"/>
                <w:spacing w:val="17"/>
              </w:rPr>
              <w:t>消毒产品的命名、标签(含说明书)不符合卫生部的有关规定的，或消毒产品的</w:t>
            </w:r>
            <w:r>
              <w:rPr>
                <w:rFonts w:ascii="SimHei" w:hAnsi="SimHei" w:eastAsia="SimHei" w:cs="SimHei"/>
                <w:sz w:val="21"/>
                <w:szCs w:val="21"/>
                <w:spacing w:val="16"/>
              </w:rPr>
              <w:t>标签(含说明书)和宣传内容不真实，出现</w:t>
            </w:r>
          </w:hyperlink>
        </w:p>
        <w:p>
          <w:pPr>
            <w:pStyle w:val="BodyText"/>
            <w:spacing w:line="316" w:lineRule="auto"/>
            <w:rPr/>
          </w:pPr>
          <w:r/>
        </w:p>
        <w:p>
          <w:pPr>
            <w:ind w:left="330"/>
            <w:spacing w:before="69" w:line="221" w:lineRule="auto"/>
            <w:tabs>
              <w:tab w:val="right" w:leader="dot" w:pos="13360"/>
            </w:tabs>
            <w:rPr>
              <w:rFonts w:ascii="Times New Roman" w:hAnsi="Times New Roman" w:eastAsia="Times New Roman" w:cs="Times New Roman"/>
              <w:sz w:val="21"/>
              <w:szCs w:val="21"/>
            </w:rPr>
          </w:pPr>
          <w:hyperlink w:history="true" w:anchor="bookmark118">
            <w:r>
              <w:rPr>
                <w:rFonts w:ascii="SimHei" w:hAnsi="SimHei" w:eastAsia="SimHei" w:cs="SimHei"/>
                <w:sz w:val="21"/>
                <w:szCs w:val="21"/>
                <w:spacing w:val="14"/>
              </w:rPr>
              <w:t>或暗示对疾病的治疗效果的</w:t>
            </w:r>
            <w:r>
              <w:rPr>
                <w:rFonts w:ascii="SimHei" w:hAnsi="SimHei" w:eastAsia="SimHei" w:cs="SimHei"/>
                <w:sz w:val="21"/>
                <w:szCs w:val="21"/>
                <w:spacing w:val="-94"/>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179</w:t>
            </w:r>
          </w:hyperlink>
        </w:p>
        <w:p>
          <w:pPr>
            <w:pStyle w:val="BodyText"/>
            <w:spacing w:line="293" w:lineRule="auto"/>
            <w:rPr/>
          </w:pPr>
          <w:r/>
        </w:p>
        <w:p>
          <w:pPr>
            <w:pStyle w:val="BodyText"/>
            <w:spacing w:line="294" w:lineRule="auto"/>
            <w:rPr/>
          </w:pPr>
          <w:r/>
        </w:p>
        <w:p>
          <w:pPr>
            <w:ind w:left="330"/>
            <w:spacing w:before="68" w:line="222" w:lineRule="auto"/>
            <w:tabs>
              <w:tab w:val="right" w:leader="dot" w:pos="13320"/>
            </w:tabs>
            <w:rPr>
              <w:rFonts w:ascii="Times New Roman" w:hAnsi="Times New Roman" w:eastAsia="Times New Roman" w:cs="Times New Roman"/>
              <w:sz w:val="21"/>
              <w:szCs w:val="21"/>
            </w:rPr>
          </w:pPr>
          <w:hyperlink w:history="true" w:anchor="bookmark119">
            <w:r>
              <w:rPr>
                <w:rFonts w:ascii="SimHei" w:hAnsi="SimHei" w:eastAsia="SimHei" w:cs="SimHei"/>
                <w:sz w:val="21"/>
                <w:szCs w:val="21"/>
                <w:spacing w:val="11"/>
              </w:rPr>
              <w:t>第八十九条</w:t>
            </w:r>
            <w:r>
              <w:rPr>
                <w:rFonts w:ascii="SimHei" w:hAnsi="SimHei" w:eastAsia="SimHei" w:cs="SimHei"/>
                <w:sz w:val="21"/>
                <w:szCs w:val="21"/>
                <w:spacing w:val="11"/>
              </w:rPr>
              <w:t xml:space="preserve"> </w:t>
            </w:r>
            <w:r>
              <w:rPr>
                <w:rFonts w:ascii="SimHei" w:hAnsi="SimHei" w:eastAsia="SimHei" w:cs="SimHei"/>
                <w:sz w:val="21"/>
                <w:szCs w:val="21"/>
                <w:spacing w:val="11"/>
              </w:rPr>
              <w:t>生产经营禁止生产经营的消毒产品的</w:t>
            </w:r>
            <w:r>
              <w:rPr>
                <w:rFonts w:ascii="SimHei" w:hAnsi="SimHei" w:eastAsia="SimHei" w:cs="SimHei"/>
                <w:sz w:val="21"/>
                <w:szCs w:val="21"/>
              </w:rPr>
              <w:tab/>
            </w:r>
            <w:r>
              <w:rPr>
                <w:rFonts w:ascii="Times New Roman" w:hAnsi="Times New Roman" w:eastAsia="Times New Roman" w:cs="Times New Roman"/>
                <w:sz w:val="21"/>
                <w:szCs w:val="21"/>
                <w:spacing w:val="-4"/>
              </w:rPr>
              <w:t>180</w:t>
            </w:r>
          </w:hyperlink>
        </w:p>
        <w:p>
          <w:pPr>
            <w:pStyle w:val="BodyText"/>
            <w:spacing w:line="416" w:lineRule="auto"/>
            <w:rPr/>
          </w:pPr>
          <w:r/>
        </w:p>
        <w:p>
          <w:pPr>
            <w:ind w:left="330"/>
            <w:spacing w:before="69" w:line="222" w:lineRule="auto"/>
            <w:tabs>
              <w:tab w:val="right" w:leader="dot" w:pos="13360"/>
            </w:tabs>
            <w:rPr>
              <w:rFonts w:ascii="Times New Roman" w:hAnsi="Times New Roman" w:eastAsia="Times New Roman" w:cs="Times New Roman"/>
              <w:sz w:val="21"/>
              <w:szCs w:val="21"/>
            </w:rPr>
          </w:pPr>
          <w:hyperlink w:history="true" w:anchor="bookmark120">
            <w:r>
              <w:rPr>
                <w:rFonts w:ascii="SimHei" w:hAnsi="SimHei" w:eastAsia="SimHei" w:cs="SimHei"/>
                <w:sz w:val="21"/>
                <w:szCs w:val="21"/>
                <w:spacing w:val="12"/>
              </w:rPr>
              <w:t>第九十条</w:t>
            </w:r>
            <w:r>
              <w:rPr>
                <w:rFonts w:ascii="SimHei" w:hAnsi="SimHei" w:eastAsia="SimHei" w:cs="SimHei"/>
                <w:sz w:val="21"/>
                <w:szCs w:val="21"/>
                <w:spacing w:val="12"/>
              </w:rPr>
              <w:t xml:space="preserve"> </w:t>
            </w:r>
            <w:r>
              <w:rPr>
                <w:rFonts w:ascii="SimHei" w:hAnsi="SimHei" w:eastAsia="SimHei" w:cs="SimHei"/>
                <w:sz w:val="21"/>
                <w:szCs w:val="21"/>
                <w:spacing w:val="12"/>
              </w:rPr>
              <w:t>消毒后的物品未达到卫生标准和</w:t>
            </w:r>
            <w:r>
              <w:rPr>
                <w:rFonts w:ascii="SimHei" w:hAnsi="SimHei" w:eastAsia="SimHei" w:cs="SimHei"/>
                <w:sz w:val="21"/>
                <w:szCs w:val="21"/>
                <w:spacing w:val="11"/>
              </w:rPr>
              <w:t>要求的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7"/>
              </w:rPr>
              <w:t>182</w:t>
            </w:r>
          </w:hyperlink>
        </w:p>
        <w:p>
          <w:pPr>
            <w:pStyle w:val="BodyText"/>
            <w:spacing w:line="325" w:lineRule="auto"/>
            <w:rPr/>
          </w:pPr>
          <w:r/>
        </w:p>
        <w:p>
          <w:pPr>
            <w:spacing w:before="69" w:line="224" w:lineRule="auto"/>
            <w:tabs>
              <w:tab w:val="right" w:leader="dot" w:pos="13330"/>
            </w:tabs>
            <w:rPr>
              <w:rFonts w:ascii="Times New Roman" w:hAnsi="Times New Roman" w:eastAsia="Times New Roman" w:cs="Times New Roman"/>
              <w:sz w:val="21"/>
              <w:szCs w:val="21"/>
            </w:rPr>
          </w:pPr>
          <w:hyperlink w:history="true" w:anchor="bookmark121">
            <w:r>
              <w:rPr>
                <w:rFonts w:ascii="KaiTi" w:hAnsi="KaiTi" w:eastAsia="KaiTi" w:cs="KaiTi"/>
                <w:sz w:val="21"/>
                <w:szCs w:val="21"/>
                <w:spacing w:val="-6"/>
              </w:rPr>
              <w:t>(</w:t>
            </w:r>
            <w:r>
              <w:rPr>
                <w:rFonts w:ascii="KaiTi" w:hAnsi="KaiTi" w:eastAsia="KaiTi" w:cs="KaiTi"/>
                <w:sz w:val="21"/>
                <w:szCs w:val="21"/>
                <w:spacing w:val="-6"/>
              </w:rPr>
              <w:t xml:space="preserve"> </w:t>
            </w:r>
            <w:r>
              <w:rPr>
                <w:rFonts w:ascii="KaiTi" w:hAnsi="KaiTi" w:eastAsia="KaiTi" w:cs="KaiTi"/>
                <w:sz w:val="21"/>
                <w:szCs w:val="21"/>
                <w:spacing w:val="-6"/>
              </w:rPr>
              <w:t>十</w:t>
            </w:r>
            <w:r>
              <w:rPr>
                <w:rFonts w:ascii="KaiTi" w:hAnsi="KaiTi" w:eastAsia="KaiTi" w:cs="KaiTi"/>
                <w:sz w:val="21"/>
                <w:szCs w:val="21"/>
                <w:spacing w:val="-6"/>
              </w:rPr>
              <w:t xml:space="preserve"> </w:t>
            </w:r>
            <w:r>
              <w:rPr>
                <w:rFonts w:ascii="KaiTi" w:hAnsi="KaiTi" w:eastAsia="KaiTi" w:cs="KaiTi"/>
                <w:sz w:val="21"/>
                <w:szCs w:val="21"/>
                <w:spacing w:val="-6"/>
              </w:rPr>
              <w:t>)</w:t>
            </w:r>
            <w:r>
              <w:rPr>
                <w:rFonts w:ascii="KaiTi" w:hAnsi="KaiTi" w:eastAsia="KaiTi" w:cs="KaiTi"/>
                <w:sz w:val="21"/>
                <w:szCs w:val="21"/>
                <w:spacing w:val="-6"/>
              </w:rPr>
              <w:t xml:space="preserve">  </w:t>
            </w:r>
            <w:r>
              <w:rPr>
                <w:rFonts w:ascii="KaiTi" w:hAnsi="KaiTi" w:eastAsia="KaiTi" w:cs="KaiTi"/>
                <w:sz w:val="21"/>
                <w:szCs w:val="21"/>
                <w:spacing w:val="-6"/>
              </w:rPr>
              <w:t>《突发公共卫生事件应急条例》</w:t>
            </w:r>
            <w:r>
              <w:rPr>
                <w:rFonts w:ascii="KaiTi" w:hAnsi="KaiTi" w:eastAsia="KaiTi" w:cs="KaiTi"/>
                <w:sz w:val="21"/>
                <w:szCs w:val="21"/>
                <w:spacing w:val="-61"/>
              </w:rPr>
              <w:t xml:space="preserve"> </w:t>
            </w:r>
            <w:r>
              <w:rPr>
                <w:rFonts w:ascii="KaiTi" w:hAnsi="KaiTi" w:eastAsia="KaiTi" w:cs="KaiTi"/>
                <w:sz w:val="21"/>
                <w:szCs w:val="21"/>
              </w:rPr>
              <w:tab/>
            </w:r>
            <w:r>
              <w:rPr>
                <w:rFonts w:ascii="Times New Roman" w:hAnsi="Times New Roman" w:eastAsia="Times New Roman" w:cs="Times New Roman"/>
                <w:sz w:val="21"/>
                <w:szCs w:val="21"/>
                <w:spacing w:val="-4"/>
              </w:rPr>
              <w:t>182</w:t>
            </w:r>
          </w:hyperlink>
        </w:p>
        <w:p>
          <w:pPr>
            <w:pStyle w:val="BodyText"/>
            <w:spacing w:line="327" w:lineRule="auto"/>
            <w:rPr/>
          </w:pPr>
          <w:r/>
        </w:p>
        <w:p>
          <w:pPr>
            <w:ind w:left="330"/>
            <w:spacing w:before="68" w:line="213" w:lineRule="auto"/>
            <w:tabs>
              <w:tab w:val="right" w:leader="dot" w:pos="13340"/>
            </w:tabs>
            <w:rPr>
              <w:rFonts w:ascii="Times New Roman" w:hAnsi="Times New Roman" w:eastAsia="Times New Roman" w:cs="Times New Roman"/>
              <w:sz w:val="21"/>
              <w:szCs w:val="21"/>
            </w:rPr>
          </w:pPr>
          <w:hyperlink w:history="true" w:anchor="bookmark122">
            <w:r>
              <w:rPr>
                <w:rFonts w:ascii="SimHei" w:hAnsi="SimHei" w:eastAsia="SimHei" w:cs="SimHei"/>
                <w:sz w:val="21"/>
                <w:szCs w:val="21"/>
                <w:spacing w:val="8"/>
              </w:rPr>
              <w:t>第九十一条</w:t>
            </w:r>
            <w:r>
              <w:rPr>
                <w:rFonts w:ascii="SimHei" w:hAnsi="SimHei" w:eastAsia="SimHei" w:cs="SimHei"/>
                <w:sz w:val="21"/>
                <w:szCs w:val="21"/>
                <w:spacing w:val="8"/>
              </w:rPr>
              <w:t xml:space="preserve"> </w:t>
            </w:r>
            <w:r>
              <w:rPr>
                <w:rFonts w:ascii="SimHei" w:hAnsi="SimHei" w:eastAsia="SimHei" w:cs="SimHei"/>
                <w:sz w:val="21"/>
                <w:szCs w:val="21"/>
                <w:spacing w:val="8"/>
              </w:rPr>
              <w:t>医疗卫生机构未依照本条例的规定履行报告职责，隐瞒、缓报或者谎报的</w:t>
            </w:r>
            <w:r>
              <w:rPr>
                <w:rFonts w:ascii="SimHei" w:hAnsi="SimHei" w:eastAsia="SimHei" w:cs="SimHei"/>
                <w:sz w:val="21"/>
                <w:szCs w:val="21"/>
                <w:spacing w:val="-86"/>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182</w:t>
            </w:r>
          </w:hyperlink>
        </w:p>
        <w:p>
          <w:pPr>
            <w:pStyle w:val="BodyText"/>
            <w:spacing w:line="262" w:lineRule="auto"/>
            <w:rPr/>
          </w:pPr>
          <w:r/>
        </w:p>
        <w:p>
          <w:pPr>
            <w:pStyle w:val="BodyText"/>
            <w:spacing w:line="263" w:lineRule="auto"/>
            <w:rPr/>
          </w:pPr>
          <w:r/>
        </w:p>
        <w:p>
          <w:pPr>
            <w:ind w:left="330"/>
            <w:spacing w:before="69" w:line="221" w:lineRule="auto"/>
            <w:tabs>
              <w:tab w:val="right" w:leader="dot" w:pos="13340"/>
            </w:tabs>
            <w:rPr>
              <w:rFonts w:ascii="Times New Roman" w:hAnsi="Times New Roman" w:eastAsia="Times New Roman" w:cs="Times New Roman"/>
              <w:sz w:val="21"/>
              <w:szCs w:val="21"/>
            </w:rPr>
          </w:pPr>
          <w:hyperlink w:history="true" w:anchor="bookmark123">
            <w:r>
              <w:rPr>
                <w:rFonts w:ascii="SimHei" w:hAnsi="SimHei" w:eastAsia="SimHei" w:cs="SimHei"/>
                <w:sz w:val="21"/>
                <w:szCs w:val="21"/>
                <w:spacing w:val="10"/>
              </w:rPr>
              <w:t>第九十二条</w:t>
            </w:r>
            <w:r>
              <w:rPr>
                <w:rFonts w:ascii="SimHei" w:hAnsi="SimHei" w:eastAsia="SimHei" w:cs="SimHei"/>
                <w:sz w:val="21"/>
                <w:szCs w:val="21"/>
                <w:spacing w:val="10"/>
              </w:rPr>
              <w:t xml:space="preserve"> </w:t>
            </w:r>
            <w:r>
              <w:rPr>
                <w:rFonts w:ascii="SimHei" w:hAnsi="SimHei" w:eastAsia="SimHei" w:cs="SimHei"/>
                <w:sz w:val="21"/>
                <w:szCs w:val="21"/>
                <w:spacing w:val="10"/>
              </w:rPr>
              <w:t>医疗卫生机构未依照本条例的规定</w:t>
            </w:r>
            <w:r>
              <w:rPr>
                <w:rFonts w:ascii="SimHei" w:hAnsi="SimHei" w:eastAsia="SimHei" w:cs="SimHei"/>
                <w:sz w:val="21"/>
                <w:szCs w:val="21"/>
                <w:spacing w:val="9"/>
              </w:rPr>
              <w:t>及时采取控制措施的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183</w:t>
            </w:r>
          </w:hyperlink>
        </w:p>
        <w:p>
          <w:pPr>
            <w:pStyle w:val="BodyText"/>
            <w:spacing w:line="248" w:lineRule="auto"/>
            <w:rPr/>
          </w:pPr>
          <w:r/>
        </w:p>
        <w:p>
          <w:pPr>
            <w:pStyle w:val="BodyText"/>
            <w:spacing w:line="249" w:lineRule="auto"/>
            <w:rPr/>
          </w:pPr>
          <w:r/>
        </w:p>
        <w:p>
          <w:pPr>
            <w:ind w:left="330"/>
            <w:spacing w:before="68" w:line="221" w:lineRule="auto"/>
            <w:tabs>
              <w:tab w:val="right" w:leader="dot" w:pos="13360"/>
            </w:tabs>
            <w:rPr>
              <w:rFonts w:ascii="Times New Roman" w:hAnsi="Times New Roman" w:eastAsia="Times New Roman" w:cs="Times New Roman"/>
              <w:sz w:val="21"/>
              <w:szCs w:val="21"/>
            </w:rPr>
          </w:pPr>
          <w:hyperlink w:history="true" w:anchor="bookmark124">
            <w:r>
              <w:rPr>
                <w:rFonts w:ascii="SimHei" w:hAnsi="SimHei" w:eastAsia="SimHei" w:cs="SimHei"/>
                <w:sz w:val="21"/>
                <w:szCs w:val="21"/>
                <w:spacing w:val="9"/>
              </w:rPr>
              <w:t>第九十三条</w:t>
            </w:r>
            <w:r>
              <w:rPr>
                <w:rFonts w:ascii="SimHei" w:hAnsi="SimHei" w:eastAsia="SimHei" w:cs="SimHei"/>
                <w:sz w:val="21"/>
                <w:szCs w:val="21"/>
                <w:spacing w:val="9"/>
              </w:rPr>
              <w:t xml:space="preserve"> </w:t>
            </w:r>
            <w:r>
              <w:rPr>
                <w:rFonts w:ascii="SimHei" w:hAnsi="SimHei" w:eastAsia="SimHei" w:cs="SimHei"/>
                <w:sz w:val="21"/>
                <w:szCs w:val="21"/>
                <w:spacing w:val="9"/>
              </w:rPr>
              <w:t>医疗卫生机构未依照本条例的规定履行突发事件监测职责的</w:t>
            </w:r>
            <w:r>
              <w:rPr>
                <w:rFonts w:ascii="SimHei" w:hAnsi="SimHei" w:eastAsia="SimHei" w:cs="SimHei"/>
                <w:sz w:val="21"/>
                <w:szCs w:val="21"/>
                <w:spacing w:val="-90"/>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184</w:t>
            </w:r>
          </w:hyperlink>
        </w:p>
      </w:sdtContent>
    </w:sdt>
    <w:p>
      <w:pPr>
        <w:spacing w:line="221" w:lineRule="auto"/>
        <w:sectPr>
          <w:footerReference w:type="default" r:id="rId13"/>
          <w:pgSz w:w="16830" w:h="11900"/>
          <w:pgMar w:top="1011" w:right="1375" w:bottom="1141" w:left="1960" w:header="0" w:footer="790" w:gutter="0"/>
        </w:sectPr>
        <w:rPr>
          <w:rFonts w:ascii="Times New Roman" w:hAnsi="Times New Roman" w:eastAsia="Times New Roman" w:cs="Times New Roman"/>
          <w:sz w:val="21"/>
          <w:szCs w:val="21"/>
        </w:rPr>
      </w:pPr>
    </w:p>
    <w:p>
      <w:pPr>
        <w:pStyle w:val="BodyText"/>
        <w:spacing w:line="310" w:lineRule="auto"/>
        <w:rPr/>
      </w:pPr>
      <w:r/>
    </w:p>
    <w:p>
      <w:pPr>
        <w:pStyle w:val="BodyText"/>
        <w:spacing w:line="310" w:lineRule="auto"/>
        <w:rPr/>
      </w:pPr>
      <w:r/>
    </w:p>
    <w:p>
      <w:pPr>
        <w:pStyle w:val="BodyText"/>
        <w:spacing w:line="311"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320"/>
            <w:spacing w:before="68" w:line="221" w:lineRule="auto"/>
            <w:tabs>
              <w:tab w:val="right" w:leader="dot" w:pos="13300"/>
            </w:tabs>
            <w:rPr>
              <w:rFonts w:ascii="Times New Roman" w:hAnsi="Times New Roman" w:eastAsia="Times New Roman" w:cs="Times New Roman"/>
              <w:sz w:val="21"/>
              <w:szCs w:val="21"/>
            </w:rPr>
          </w:pPr>
          <w:hyperlink w:history="true" w:anchor="bookmark125">
            <w:r>
              <w:rPr>
                <w:rFonts w:ascii="SimHei" w:hAnsi="SimHei" w:eastAsia="SimHei" w:cs="SimHei"/>
                <w:sz w:val="21"/>
                <w:szCs w:val="21"/>
                <w:spacing w:val="12"/>
              </w:rPr>
              <w:t>第九十四条</w:t>
            </w:r>
            <w:r>
              <w:rPr>
                <w:rFonts w:ascii="SimHei" w:hAnsi="SimHei" w:eastAsia="SimHei" w:cs="SimHei"/>
                <w:sz w:val="21"/>
                <w:szCs w:val="21"/>
                <w:spacing w:val="12"/>
              </w:rPr>
              <w:t xml:space="preserve"> </w:t>
            </w:r>
            <w:r>
              <w:rPr>
                <w:rFonts w:ascii="SimHei" w:hAnsi="SimHei" w:eastAsia="SimHei" w:cs="SimHei"/>
                <w:sz w:val="21"/>
                <w:szCs w:val="21"/>
                <w:spacing w:val="12"/>
              </w:rPr>
              <w:t>医疗卫生机构拒绝接诊病人的</w:t>
            </w:r>
            <w:r>
              <w:rPr>
                <w:rFonts w:ascii="SimHei" w:hAnsi="SimHei" w:eastAsia="SimHei" w:cs="SimHei"/>
                <w:sz w:val="21"/>
                <w:szCs w:val="21"/>
                <w:spacing w:val="-90"/>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185</w:t>
            </w:r>
          </w:hyperlink>
        </w:p>
        <w:p>
          <w:pPr>
            <w:pStyle w:val="BodyText"/>
            <w:spacing w:line="248" w:lineRule="auto"/>
            <w:rPr/>
          </w:pPr>
          <w:r/>
        </w:p>
        <w:p>
          <w:pPr>
            <w:pStyle w:val="BodyText"/>
            <w:spacing w:line="249" w:lineRule="auto"/>
            <w:rPr/>
          </w:pPr>
          <w:r/>
        </w:p>
        <w:p>
          <w:pPr>
            <w:ind w:left="320"/>
            <w:spacing w:before="68" w:line="221" w:lineRule="auto"/>
            <w:tabs>
              <w:tab w:val="right" w:leader="dot" w:pos="13300"/>
            </w:tabs>
            <w:rPr>
              <w:rFonts w:ascii="Times New Roman" w:hAnsi="Times New Roman" w:eastAsia="Times New Roman" w:cs="Times New Roman"/>
              <w:sz w:val="21"/>
              <w:szCs w:val="21"/>
            </w:rPr>
          </w:pPr>
          <w:hyperlink w:history="true" w:anchor="bookmark126">
            <w:r>
              <w:rPr>
                <w:rFonts w:ascii="SimHei" w:hAnsi="SimHei" w:eastAsia="SimHei" w:cs="SimHei"/>
                <w:sz w:val="21"/>
                <w:szCs w:val="21"/>
                <w:spacing w:val="10"/>
              </w:rPr>
              <w:t>第九十五条</w:t>
            </w:r>
            <w:r>
              <w:rPr>
                <w:rFonts w:ascii="SimHei" w:hAnsi="SimHei" w:eastAsia="SimHei" w:cs="SimHei"/>
                <w:sz w:val="21"/>
                <w:szCs w:val="21"/>
                <w:spacing w:val="10"/>
              </w:rPr>
              <w:t xml:space="preserve"> </w:t>
            </w:r>
            <w:r>
              <w:rPr>
                <w:rFonts w:ascii="SimHei" w:hAnsi="SimHei" w:eastAsia="SimHei" w:cs="SimHei"/>
                <w:sz w:val="21"/>
                <w:szCs w:val="21"/>
                <w:spacing w:val="10"/>
              </w:rPr>
              <w:t>医疗卫生机构拒不服从突发事件应急处理指挥部调度的</w:t>
            </w:r>
            <w:r>
              <w:rPr>
                <w:rFonts w:ascii="SimHei" w:hAnsi="SimHei" w:eastAsia="SimHei" w:cs="SimHei"/>
                <w:sz w:val="21"/>
                <w:szCs w:val="21"/>
                <w:spacing w:val="-91"/>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185</w:t>
            </w:r>
          </w:hyperlink>
        </w:p>
        <w:p>
          <w:pPr>
            <w:pStyle w:val="BodyText"/>
            <w:spacing w:line="306" w:lineRule="auto"/>
            <w:rPr/>
          </w:pPr>
          <w:r/>
        </w:p>
        <w:p>
          <w:pPr>
            <w:spacing w:before="68" w:line="212" w:lineRule="auto"/>
            <w:tabs>
              <w:tab w:val="right" w:leader="dot" w:pos="13280"/>
            </w:tabs>
            <w:rPr>
              <w:rFonts w:ascii="Times New Roman" w:hAnsi="Times New Roman" w:eastAsia="Times New Roman" w:cs="Times New Roman"/>
              <w:sz w:val="21"/>
              <w:szCs w:val="21"/>
            </w:rPr>
          </w:pPr>
          <w:hyperlink w:history="true" w:anchor="bookmark127">
            <w:r>
              <w:rPr>
                <w:rFonts w:ascii="Times New Roman" w:hAnsi="Times New Roman" w:eastAsia="Times New Roman" w:cs="Times New Roman"/>
                <w:sz w:val="21"/>
                <w:szCs w:val="21"/>
                <w:spacing w:val="13"/>
              </w:rPr>
              <w:t>( </w:t>
            </w:r>
            <w:r>
              <w:rPr>
                <w:rFonts w:ascii="KaiTi" w:hAnsi="KaiTi" w:eastAsia="KaiTi" w:cs="KaiTi"/>
                <w:sz w:val="21"/>
                <w:szCs w:val="21"/>
                <w:spacing w:val="13"/>
              </w:rPr>
              <w:t>十一)《突发公共卫生事件与传染病疫</w:t>
            </w:r>
            <w:r>
              <w:rPr>
                <w:rFonts w:ascii="KaiTi" w:hAnsi="KaiTi" w:eastAsia="KaiTi" w:cs="KaiTi"/>
                <w:sz w:val="21"/>
                <w:szCs w:val="21"/>
                <w:spacing w:val="12"/>
              </w:rPr>
              <w:t>情监测信息报告管理办法》</w:t>
            </w:r>
            <w:r>
              <w:rPr>
                <w:rFonts w:ascii="KaiTi" w:hAnsi="KaiTi" w:eastAsia="KaiTi" w:cs="KaiTi"/>
                <w:sz w:val="21"/>
                <w:szCs w:val="21"/>
                <w:spacing w:val="-75"/>
              </w:rPr>
              <w:t xml:space="preserve"> </w:t>
            </w:r>
            <w:r>
              <w:rPr>
                <w:rFonts w:ascii="KaiTi" w:hAnsi="KaiTi" w:eastAsia="KaiTi" w:cs="KaiTi"/>
                <w:sz w:val="21"/>
                <w:szCs w:val="21"/>
                <w:color w:val="306070"/>
              </w:rPr>
              <w:tab/>
            </w:r>
            <w:r>
              <w:rPr>
                <w:rFonts w:ascii="Times New Roman" w:hAnsi="Times New Roman" w:eastAsia="Times New Roman" w:cs="Times New Roman"/>
                <w:sz w:val="21"/>
                <w:szCs w:val="21"/>
                <w:spacing w:val="-4"/>
              </w:rPr>
              <w:t>186</w:t>
            </w:r>
          </w:hyperlink>
        </w:p>
        <w:p>
          <w:pPr>
            <w:pStyle w:val="BodyText"/>
            <w:spacing w:line="369" w:lineRule="auto"/>
            <w:rPr/>
          </w:pPr>
          <w:r/>
        </w:p>
        <w:p>
          <w:pPr>
            <w:ind w:left="320"/>
            <w:spacing w:before="68" w:line="219" w:lineRule="auto"/>
            <w:tabs>
              <w:tab w:val="right" w:leader="dot" w:pos="13170"/>
            </w:tabs>
            <w:rPr>
              <w:rFonts w:ascii="Times New Roman" w:hAnsi="Times New Roman" w:eastAsia="Times New Roman" w:cs="Times New Roman"/>
              <w:sz w:val="21"/>
              <w:szCs w:val="21"/>
            </w:rPr>
          </w:pPr>
          <w:hyperlink w:history="true" w:anchor="bookmark128">
            <w:r>
              <w:rPr>
                <w:rFonts w:ascii="SimHei" w:hAnsi="SimHei" w:eastAsia="SimHei" w:cs="SimHei"/>
                <w:sz w:val="21"/>
                <w:szCs w:val="21"/>
                <w:spacing w:val="12"/>
              </w:rPr>
              <w:t>第九十六条</w:t>
            </w:r>
            <w:r>
              <w:rPr>
                <w:rFonts w:ascii="SimHei" w:hAnsi="SimHei" w:eastAsia="SimHei" w:cs="SimHei"/>
                <w:sz w:val="21"/>
                <w:szCs w:val="21"/>
                <w:spacing w:val="12"/>
              </w:rPr>
              <w:t xml:space="preserve"> </w:t>
            </w:r>
            <w:r>
              <w:rPr>
                <w:rFonts w:ascii="SimHei" w:hAnsi="SimHei" w:eastAsia="SimHei" w:cs="SimHei"/>
                <w:sz w:val="21"/>
                <w:szCs w:val="21"/>
                <w:spacing w:val="12"/>
              </w:rPr>
              <w:t>执行职务的医疗卫生人员瞒报、</w:t>
            </w:r>
            <w:r>
              <w:rPr>
                <w:rFonts w:ascii="SimHei" w:hAnsi="SimHei" w:eastAsia="SimHei" w:cs="SimHei"/>
                <w:sz w:val="21"/>
                <w:szCs w:val="21"/>
                <w:spacing w:val="11"/>
              </w:rPr>
              <w:t>缓报、谎报传染病疫情的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186</w:t>
            </w:r>
          </w:hyperlink>
        </w:p>
        <w:p>
          <w:pPr>
            <w:pStyle w:val="BodyText"/>
            <w:spacing w:line="255" w:lineRule="auto"/>
            <w:rPr/>
          </w:pPr>
          <w:r/>
        </w:p>
        <w:p>
          <w:pPr>
            <w:pStyle w:val="BodyText"/>
            <w:spacing w:line="255" w:lineRule="auto"/>
            <w:rPr/>
          </w:pPr>
          <w:r/>
        </w:p>
        <w:p>
          <w:pPr>
            <w:ind w:left="320"/>
            <w:spacing w:before="69" w:line="221" w:lineRule="auto"/>
            <w:tabs>
              <w:tab w:val="right" w:leader="dot" w:pos="13310"/>
            </w:tabs>
            <w:rPr>
              <w:rFonts w:ascii="Times New Roman" w:hAnsi="Times New Roman" w:eastAsia="Times New Roman" w:cs="Times New Roman"/>
              <w:sz w:val="21"/>
              <w:szCs w:val="21"/>
            </w:rPr>
          </w:pPr>
          <w:hyperlink w:history="true" w:anchor="bookmark129">
            <w:r>
              <w:rPr>
                <w:rFonts w:ascii="SimHei" w:hAnsi="SimHei" w:eastAsia="SimHei" w:cs="SimHei"/>
                <w:sz w:val="21"/>
                <w:szCs w:val="21"/>
                <w:spacing w:val="8"/>
              </w:rPr>
              <w:t>第九十七条</w:t>
            </w:r>
            <w:r>
              <w:rPr>
                <w:rFonts w:ascii="SimHei" w:hAnsi="SimHei" w:eastAsia="SimHei" w:cs="SimHei"/>
                <w:sz w:val="21"/>
                <w:szCs w:val="21"/>
                <w:spacing w:val="8"/>
              </w:rPr>
              <w:t xml:space="preserve"> </w:t>
            </w:r>
            <w:r>
              <w:rPr>
                <w:rFonts w:ascii="SimHei" w:hAnsi="SimHei" w:eastAsia="SimHei" w:cs="SimHei"/>
                <w:sz w:val="21"/>
                <w:szCs w:val="21"/>
                <w:spacing w:val="8"/>
              </w:rPr>
              <w:t>个体或私营医疗保健机构瞒报、缓报</w:t>
            </w:r>
            <w:r>
              <w:rPr>
                <w:rFonts w:ascii="SimHei" w:hAnsi="SimHei" w:eastAsia="SimHei" w:cs="SimHei"/>
                <w:sz w:val="21"/>
                <w:szCs w:val="21"/>
                <w:spacing w:val="7"/>
              </w:rPr>
              <w:t>、谎报传染病疫情或突发公共卫生事件的</w:t>
            </w:r>
            <w:r>
              <w:rPr>
                <w:rFonts w:ascii="SimHei" w:hAnsi="SimHei" w:eastAsia="SimHei" w:cs="SimHei"/>
                <w:sz w:val="21"/>
                <w:szCs w:val="21"/>
                <w:spacing w:val="-94"/>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187</w:t>
            </w:r>
          </w:hyperlink>
        </w:p>
        <w:p>
          <w:pPr>
            <w:pStyle w:val="BodyText"/>
            <w:spacing w:line="248" w:lineRule="auto"/>
            <w:rPr/>
          </w:pPr>
          <w:r/>
        </w:p>
        <w:p>
          <w:pPr>
            <w:pStyle w:val="BodyText"/>
            <w:spacing w:line="249" w:lineRule="auto"/>
            <w:rPr/>
          </w:pPr>
          <w:r/>
        </w:p>
        <w:p>
          <w:pPr>
            <w:ind w:left="320"/>
            <w:spacing w:before="69" w:line="222" w:lineRule="auto"/>
            <w:tabs>
              <w:tab w:val="right" w:leader="dot" w:pos="13290"/>
            </w:tabs>
            <w:rPr>
              <w:rFonts w:ascii="Times New Roman" w:hAnsi="Times New Roman" w:eastAsia="Times New Roman" w:cs="Times New Roman"/>
              <w:sz w:val="21"/>
              <w:szCs w:val="21"/>
            </w:rPr>
          </w:pPr>
          <w:hyperlink w:history="true" w:anchor="bookmark130">
            <w:r>
              <w:rPr>
                <w:rFonts w:ascii="SimHei" w:hAnsi="SimHei" w:eastAsia="SimHei" w:cs="SimHei"/>
                <w:sz w:val="21"/>
                <w:szCs w:val="21"/>
                <w:spacing w:val="11"/>
              </w:rPr>
              <w:t>第九十八条</w:t>
            </w:r>
            <w:r>
              <w:rPr>
                <w:rFonts w:ascii="SimHei" w:hAnsi="SimHei" w:eastAsia="SimHei" w:cs="SimHei"/>
                <w:sz w:val="21"/>
                <w:szCs w:val="21"/>
                <w:spacing w:val="11"/>
              </w:rPr>
              <w:t xml:space="preserve"> </w:t>
            </w:r>
            <w:r>
              <w:rPr>
                <w:rFonts w:ascii="SimHei" w:hAnsi="SimHei" w:eastAsia="SimHei" w:cs="SimHei"/>
                <w:sz w:val="21"/>
                <w:szCs w:val="21"/>
                <w:spacing w:val="11"/>
              </w:rPr>
              <w:t>医疗机构未建立传染病疫情报告制度</w:t>
            </w:r>
            <w:r>
              <w:rPr>
                <w:rFonts w:ascii="SimHei" w:hAnsi="SimHei" w:eastAsia="SimHei" w:cs="SimHei"/>
                <w:sz w:val="21"/>
                <w:szCs w:val="21"/>
                <w:spacing w:val="-74"/>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188</w:t>
            </w:r>
          </w:hyperlink>
        </w:p>
        <w:p>
          <w:pPr>
            <w:pStyle w:val="BodyText"/>
            <w:spacing w:line="247" w:lineRule="auto"/>
            <w:rPr/>
          </w:pPr>
          <w:r/>
        </w:p>
        <w:p>
          <w:pPr>
            <w:pStyle w:val="BodyText"/>
            <w:spacing w:line="248" w:lineRule="auto"/>
            <w:rPr/>
          </w:pPr>
          <w:r/>
        </w:p>
        <w:p>
          <w:pPr>
            <w:ind w:left="320"/>
            <w:spacing w:before="69" w:line="221" w:lineRule="auto"/>
            <w:tabs>
              <w:tab w:val="right" w:leader="dot" w:pos="13310"/>
            </w:tabs>
            <w:rPr>
              <w:rFonts w:ascii="Times New Roman" w:hAnsi="Times New Roman" w:eastAsia="Times New Roman" w:cs="Times New Roman"/>
              <w:sz w:val="21"/>
              <w:szCs w:val="21"/>
            </w:rPr>
          </w:pPr>
          <w:hyperlink w:history="true" w:anchor="bookmark131">
            <w:r>
              <w:rPr>
                <w:rFonts w:ascii="SimHei" w:hAnsi="SimHei" w:eastAsia="SimHei" w:cs="SimHei"/>
                <w:sz w:val="21"/>
                <w:szCs w:val="21"/>
                <w:spacing w:val="9"/>
              </w:rPr>
              <w:t>第九十九条</w:t>
            </w:r>
            <w:r>
              <w:rPr>
                <w:rFonts w:ascii="SimHei" w:hAnsi="SimHei" w:eastAsia="SimHei" w:cs="SimHei"/>
                <w:sz w:val="21"/>
                <w:szCs w:val="21"/>
                <w:spacing w:val="9"/>
              </w:rPr>
              <w:t xml:space="preserve"> </w:t>
            </w:r>
            <w:r>
              <w:rPr>
                <w:rFonts w:ascii="SimHei" w:hAnsi="SimHei" w:eastAsia="SimHei" w:cs="SimHei"/>
                <w:sz w:val="21"/>
                <w:szCs w:val="21"/>
                <w:spacing w:val="9"/>
              </w:rPr>
              <w:t>医疗机构未指定相关部门和人员负责传染病疫情报告管理</w:t>
            </w:r>
            <w:r>
              <w:rPr>
                <w:rFonts w:ascii="SimHei" w:hAnsi="SimHei" w:eastAsia="SimHei" w:cs="SimHei"/>
                <w:sz w:val="21"/>
                <w:szCs w:val="21"/>
                <w:spacing w:val="8"/>
              </w:rPr>
              <w:t>工作</w:t>
            </w:r>
            <w:r>
              <w:rPr>
                <w:rFonts w:ascii="SimHei" w:hAnsi="SimHei" w:eastAsia="SimHei" w:cs="SimHei"/>
                <w:sz w:val="21"/>
                <w:szCs w:val="21"/>
                <w:spacing w:val="-87"/>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188</w:t>
            </w:r>
          </w:hyperlink>
        </w:p>
        <w:p>
          <w:pPr>
            <w:pStyle w:val="BodyText"/>
            <w:spacing w:line="368" w:lineRule="auto"/>
            <w:rPr/>
          </w:pPr>
          <w:r/>
        </w:p>
        <w:p>
          <w:pPr>
            <w:ind w:left="320"/>
            <w:spacing w:before="68" w:line="221" w:lineRule="auto"/>
            <w:tabs>
              <w:tab w:val="right" w:leader="dot" w:pos="13360"/>
            </w:tabs>
            <w:rPr>
              <w:rFonts w:ascii="Times New Roman" w:hAnsi="Times New Roman" w:eastAsia="Times New Roman" w:cs="Times New Roman"/>
              <w:sz w:val="21"/>
              <w:szCs w:val="21"/>
            </w:rPr>
          </w:pPr>
          <w:hyperlink w:history="true" w:anchor="bookmark132">
            <w:r>
              <w:rPr>
                <w:rFonts w:ascii="SimHei" w:hAnsi="SimHei" w:eastAsia="SimHei" w:cs="SimHei"/>
                <w:sz w:val="21"/>
                <w:szCs w:val="21"/>
                <w:spacing w:val="9"/>
              </w:rPr>
              <w:t>第一百条</w:t>
            </w:r>
            <w:r>
              <w:rPr>
                <w:rFonts w:ascii="SimHei" w:hAnsi="SimHei" w:eastAsia="SimHei" w:cs="SimHei"/>
                <w:sz w:val="21"/>
                <w:szCs w:val="21"/>
                <w:spacing w:val="37"/>
              </w:rPr>
              <w:t xml:space="preserve"> </w:t>
            </w:r>
            <w:r>
              <w:rPr>
                <w:rFonts w:ascii="SimHei" w:hAnsi="SimHei" w:eastAsia="SimHei" w:cs="SimHei"/>
                <w:sz w:val="21"/>
                <w:szCs w:val="21"/>
                <w:spacing w:val="9"/>
              </w:rPr>
              <w:t>医疗机构瞒报、缓报、谎报发现的传染病病人、病原携带者、疑似病人的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6"/>
              </w:rPr>
              <w:t>189</w:t>
            </w:r>
          </w:hyperlink>
        </w:p>
        <w:p>
          <w:pPr>
            <w:ind w:left="320"/>
            <w:spacing w:before="239" w:line="221" w:lineRule="auto"/>
            <w:tabs>
              <w:tab w:val="right" w:leader="dot" w:pos="13320"/>
            </w:tabs>
            <w:rPr>
              <w:rFonts w:ascii="Times New Roman" w:hAnsi="Times New Roman" w:eastAsia="Times New Roman" w:cs="Times New Roman"/>
              <w:sz w:val="21"/>
              <w:szCs w:val="21"/>
            </w:rPr>
          </w:pPr>
          <w:hyperlink w:history="true" w:anchor="bookmark133">
            <w:r>
              <w:rPr>
                <w:rFonts w:ascii="SimHei" w:hAnsi="SimHei" w:eastAsia="SimHei" w:cs="SimHei"/>
                <w:sz w:val="21"/>
                <w:szCs w:val="21"/>
                <w:spacing w:val="9"/>
              </w:rPr>
              <w:t>第一百零一条</w:t>
            </w:r>
            <w:r>
              <w:rPr>
                <w:rFonts w:ascii="SimHei" w:hAnsi="SimHei" w:eastAsia="SimHei" w:cs="SimHei"/>
                <w:sz w:val="21"/>
                <w:szCs w:val="21"/>
                <w:spacing w:val="9"/>
              </w:rPr>
              <w:t xml:space="preserve"> </w:t>
            </w:r>
            <w:r>
              <w:rPr>
                <w:rFonts w:ascii="SimHei" w:hAnsi="SimHei" w:eastAsia="SimHei" w:cs="SimHei"/>
                <w:sz w:val="21"/>
                <w:szCs w:val="21"/>
                <w:spacing w:val="9"/>
              </w:rPr>
              <w:t>疾病预防控制机构瞒报、缓报、谎报发现的传染病病人、病原携带者、疑似病人的</w:t>
            </w:r>
            <w:r>
              <w:rPr>
                <w:rFonts w:ascii="SimHei" w:hAnsi="SimHei" w:eastAsia="SimHei" w:cs="SimHei"/>
                <w:sz w:val="21"/>
                <w:szCs w:val="21"/>
                <w:spacing w:val="-79"/>
              </w:rPr>
              <w:t xml:space="preserve"> </w:t>
            </w:r>
            <w:r>
              <w:rPr>
                <w:rFonts w:ascii="SimHei" w:hAnsi="SimHei" w:eastAsia="SimHei" w:cs="SimHei"/>
                <w:sz w:val="21"/>
                <w:szCs w:val="21"/>
              </w:rPr>
              <w:tab/>
            </w:r>
            <w:r>
              <w:rPr>
                <w:rFonts w:ascii="SimHei" w:hAnsi="SimHei" w:eastAsia="SimHei" w:cs="SimHei"/>
                <w:sz w:val="21"/>
                <w:szCs w:val="21"/>
                <w:spacing w:val="-71"/>
              </w:rPr>
              <w:t xml:space="preserve"> </w:t>
            </w:r>
            <w:r>
              <w:rPr>
                <w:rFonts w:ascii="Times New Roman" w:hAnsi="Times New Roman" w:eastAsia="Times New Roman" w:cs="Times New Roman"/>
                <w:sz w:val="21"/>
                <w:szCs w:val="21"/>
                <w:spacing w:val="-6"/>
              </w:rPr>
              <w:t>190</w:t>
            </w:r>
          </w:hyperlink>
        </w:p>
        <w:p>
          <w:pPr>
            <w:ind w:left="320"/>
            <w:spacing w:before="249" w:line="213" w:lineRule="auto"/>
            <w:tabs>
              <w:tab w:val="right" w:leader="dot" w:pos="13350"/>
            </w:tabs>
            <w:rPr>
              <w:rFonts w:ascii="Times New Roman" w:hAnsi="Times New Roman" w:eastAsia="Times New Roman" w:cs="Times New Roman"/>
              <w:sz w:val="21"/>
              <w:szCs w:val="21"/>
            </w:rPr>
          </w:pPr>
          <w:hyperlink w:history="true" w:anchor="bookmark134">
            <w:r>
              <w:rPr>
                <w:rFonts w:ascii="SimHei" w:hAnsi="SimHei" w:eastAsia="SimHei" w:cs="SimHei"/>
                <w:sz w:val="21"/>
                <w:szCs w:val="21"/>
                <w:spacing w:val="11"/>
              </w:rPr>
              <w:t>第一百零二条</w:t>
            </w:r>
            <w:r>
              <w:rPr>
                <w:rFonts w:ascii="SimHei" w:hAnsi="SimHei" w:eastAsia="SimHei" w:cs="SimHei"/>
                <w:sz w:val="21"/>
                <w:szCs w:val="21"/>
                <w:spacing w:val="11"/>
              </w:rPr>
              <w:t xml:space="preserve"> </w:t>
            </w:r>
            <w:r>
              <w:rPr>
                <w:rFonts w:ascii="SimHei" w:hAnsi="SimHei" w:eastAsia="SimHei" w:cs="SimHei"/>
                <w:sz w:val="21"/>
                <w:szCs w:val="21"/>
                <w:spacing w:val="11"/>
              </w:rPr>
              <w:t>疾病预防控制机构未按规定建立专门的流行病学调查队伍，进行传染病疫情的流行病学调查工作</w:t>
            </w:r>
            <w:r>
              <w:rPr>
                <w:rFonts w:ascii="SimHei" w:hAnsi="SimHei" w:eastAsia="SimHei" w:cs="SimHei"/>
                <w:sz w:val="21"/>
                <w:szCs w:val="21"/>
                <w:spacing w:val="-81"/>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191</w:t>
            </w:r>
          </w:hyperlink>
        </w:p>
        <w:p>
          <w:pPr>
            <w:ind w:left="320"/>
            <w:spacing w:before="268" w:line="213" w:lineRule="auto"/>
            <w:tabs>
              <w:tab w:val="right" w:leader="dot" w:pos="13360"/>
            </w:tabs>
            <w:rPr>
              <w:rFonts w:ascii="Times New Roman" w:hAnsi="Times New Roman" w:eastAsia="Times New Roman" w:cs="Times New Roman"/>
              <w:sz w:val="21"/>
              <w:szCs w:val="21"/>
            </w:rPr>
          </w:pPr>
          <w:hyperlink w:history="true" w:anchor="bookmark135">
            <w:r>
              <w:rPr>
                <w:rFonts w:ascii="SimHei" w:hAnsi="SimHei" w:eastAsia="SimHei" w:cs="SimHei"/>
                <w:sz w:val="21"/>
                <w:szCs w:val="21"/>
                <w:spacing w:val="13"/>
              </w:rPr>
              <w:t>第一百零三条</w:t>
            </w:r>
            <w:r>
              <w:rPr>
                <w:rFonts w:ascii="SimHei" w:hAnsi="SimHei" w:eastAsia="SimHei" w:cs="SimHei"/>
                <w:sz w:val="21"/>
                <w:szCs w:val="21"/>
                <w:spacing w:val="13"/>
              </w:rPr>
              <w:t xml:space="preserve"> </w:t>
            </w:r>
            <w:r>
              <w:rPr>
                <w:rFonts w:ascii="SimHei" w:hAnsi="SimHei" w:eastAsia="SimHei" w:cs="SimHei"/>
                <w:sz w:val="21"/>
                <w:szCs w:val="21"/>
                <w:spacing w:val="13"/>
              </w:rPr>
              <w:t>疾病预防控制机构在接到传染病</w:t>
            </w:r>
            <w:r>
              <w:rPr>
                <w:rFonts w:ascii="SimHei" w:hAnsi="SimHei" w:eastAsia="SimHei" w:cs="SimHei"/>
                <w:sz w:val="21"/>
                <w:szCs w:val="21"/>
                <w:spacing w:val="12"/>
              </w:rPr>
              <w:t>疫情报告后，未按规定派人进行现场调查的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6"/>
              </w:rPr>
              <w:t>191</w:t>
            </w:r>
          </w:hyperlink>
        </w:p>
        <w:p>
          <w:pPr>
            <w:ind w:left="320"/>
            <w:spacing w:before="277" w:line="221" w:lineRule="auto"/>
            <w:tabs>
              <w:tab w:val="right" w:leader="dot" w:pos="13320"/>
            </w:tabs>
            <w:rPr>
              <w:rFonts w:ascii="Times New Roman" w:hAnsi="Times New Roman" w:eastAsia="Times New Roman" w:cs="Times New Roman"/>
              <w:sz w:val="21"/>
              <w:szCs w:val="21"/>
            </w:rPr>
          </w:pPr>
          <w:hyperlink w:history="true" w:anchor="bookmark136">
            <w:r>
              <w:rPr>
                <w:rFonts w:ascii="SimHei" w:hAnsi="SimHei" w:eastAsia="SimHei" w:cs="SimHei"/>
                <w:sz w:val="21"/>
                <w:szCs w:val="21"/>
                <w:spacing w:val="10"/>
              </w:rPr>
              <w:t>第一百零四条</w:t>
            </w:r>
            <w:r>
              <w:rPr>
                <w:rFonts w:ascii="SimHei" w:hAnsi="SimHei" w:eastAsia="SimHei" w:cs="SimHei"/>
                <w:sz w:val="21"/>
                <w:szCs w:val="21"/>
                <w:spacing w:val="10"/>
              </w:rPr>
              <w:t xml:space="preserve"> </w:t>
            </w:r>
            <w:r>
              <w:rPr>
                <w:rFonts w:ascii="SimHei" w:hAnsi="SimHei" w:eastAsia="SimHei" w:cs="SimHei"/>
                <w:sz w:val="21"/>
                <w:szCs w:val="21"/>
                <w:spacing w:val="10"/>
              </w:rPr>
              <w:t>疾病预防控制机构未按规定上报疫情或报告突发公共卫生事件的</w:t>
            </w:r>
            <w:r>
              <w:rPr>
                <w:rFonts w:ascii="SimHei" w:hAnsi="SimHei" w:eastAsia="SimHei" w:cs="SimHei"/>
                <w:sz w:val="21"/>
                <w:szCs w:val="21"/>
                <w:spacing w:val="-82"/>
              </w:rPr>
              <w:t xml:space="preserve"> </w:t>
            </w:r>
            <w:r>
              <w:rPr>
                <w:rFonts w:ascii="SimHei" w:hAnsi="SimHei" w:eastAsia="SimHei" w:cs="SimHei"/>
                <w:sz w:val="21"/>
                <w:szCs w:val="21"/>
              </w:rPr>
              <w:tab/>
            </w:r>
            <w:r>
              <w:rPr>
                <w:rFonts w:ascii="SimHei" w:hAnsi="SimHei" w:eastAsia="SimHei" w:cs="SimHei"/>
                <w:sz w:val="21"/>
                <w:szCs w:val="21"/>
                <w:spacing w:val="-31"/>
              </w:rPr>
              <w:t xml:space="preserve"> </w:t>
            </w:r>
            <w:r>
              <w:rPr>
                <w:rFonts w:ascii="Times New Roman" w:hAnsi="Times New Roman" w:eastAsia="Times New Roman" w:cs="Times New Roman"/>
                <w:sz w:val="21"/>
                <w:szCs w:val="21"/>
                <w:spacing w:val="-6"/>
              </w:rPr>
              <w:t>192</w:t>
            </w:r>
          </w:hyperlink>
        </w:p>
        <w:p>
          <w:pPr>
            <w:ind w:left="323"/>
            <w:spacing w:before="254" w:line="219" w:lineRule="auto"/>
            <w:tabs>
              <w:tab w:val="right" w:leader="dot" w:pos="13320"/>
            </w:tabs>
            <w:rPr>
              <w:rFonts w:ascii="Times New Roman" w:hAnsi="Times New Roman" w:eastAsia="Times New Roman" w:cs="Times New Roman"/>
              <w:sz w:val="21"/>
              <w:szCs w:val="21"/>
            </w:rPr>
          </w:pPr>
          <w:hyperlink w:history="true" w:anchor="bookmark137">
            <w:r>
              <w:rPr>
                <w:rFonts w:ascii="SimHei" w:hAnsi="SimHei" w:eastAsia="SimHei" w:cs="SimHei"/>
                <w:sz w:val="21"/>
                <w:szCs w:val="21"/>
                <w:b/>
                <w:bCs/>
                <w:spacing w:val="8"/>
              </w:rPr>
              <w:t>第一百零五条</w:t>
            </w:r>
            <w:r>
              <w:rPr>
                <w:rFonts w:ascii="SimHei" w:hAnsi="SimHei" w:eastAsia="SimHei" w:cs="SimHei"/>
                <w:sz w:val="21"/>
                <w:szCs w:val="21"/>
                <w:spacing w:val="8"/>
              </w:rPr>
              <w:t xml:space="preserve"> </w:t>
            </w:r>
            <w:r>
              <w:rPr>
                <w:rFonts w:ascii="SimHei" w:hAnsi="SimHei" w:eastAsia="SimHei" w:cs="SimHei"/>
                <w:sz w:val="21"/>
                <w:szCs w:val="21"/>
                <w:b/>
                <w:bCs/>
                <w:spacing w:val="8"/>
              </w:rPr>
              <w:t>执行职务的医疗卫生人员瞒报、缓报</w:t>
            </w:r>
            <w:r>
              <w:rPr>
                <w:rFonts w:ascii="SimHei" w:hAnsi="SimHei" w:eastAsia="SimHei" w:cs="SimHei"/>
                <w:sz w:val="21"/>
                <w:szCs w:val="21"/>
                <w:b/>
                <w:bCs/>
                <w:spacing w:val="7"/>
              </w:rPr>
              <w:t>、谎报传染病疫情的</w:t>
            </w:r>
            <w:r>
              <w:rPr>
                <w:rFonts w:ascii="SimHei" w:hAnsi="SimHei" w:eastAsia="SimHei" w:cs="SimHei"/>
                <w:sz w:val="21"/>
                <w:szCs w:val="21"/>
                <w:spacing w:val="-90"/>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193</w:t>
            </w:r>
          </w:hyperlink>
        </w:p>
      </w:sdtContent>
    </w:sdt>
    <w:p>
      <w:pPr>
        <w:spacing w:line="219" w:lineRule="auto"/>
        <w:sectPr>
          <w:footerReference w:type="default" r:id="rId14"/>
          <w:pgSz w:w="16830" w:h="11900"/>
          <w:pgMar w:top="1011" w:right="1499" w:bottom="1137" w:left="1969" w:header="0" w:footer="785" w:gutter="0"/>
        </w:sectPr>
        <w:rPr>
          <w:rFonts w:ascii="Times New Roman" w:hAnsi="Times New Roman" w:eastAsia="Times New Roman" w:cs="Times New Roman"/>
          <w:sz w:val="21"/>
          <w:szCs w:val="21"/>
        </w:rPr>
      </w:pPr>
    </w:p>
    <w:p>
      <w:pPr>
        <w:pStyle w:val="BodyText"/>
        <w:spacing w:line="257" w:lineRule="auto"/>
        <w:rPr/>
      </w:pPr>
      <w:r/>
    </w:p>
    <w:p>
      <w:pPr>
        <w:pStyle w:val="BodyText"/>
        <w:spacing w:line="257" w:lineRule="auto"/>
        <w:rPr/>
      </w:pPr>
      <w:r/>
    </w:p>
    <w:p>
      <w:pPr>
        <w:pStyle w:val="BodyText"/>
        <w:spacing w:line="258"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300"/>
            <w:spacing w:before="68" w:line="221" w:lineRule="auto"/>
            <w:tabs>
              <w:tab w:val="right" w:leader="dot" w:pos="13380"/>
            </w:tabs>
            <w:rPr>
              <w:rFonts w:ascii="Times New Roman" w:hAnsi="Times New Roman" w:eastAsia="Times New Roman" w:cs="Times New Roman"/>
              <w:sz w:val="21"/>
              <w:szCs w:val="21"/>
            </w:rPr>
          </w:pPr>
          <w:hyperlink w:history="true" w:anchor="bookmark138">
            <w:r>
              <w:rPr>
                <w:rFonts w:ascii="SimHei" w:hAnsi="SimHei" w:eastAsia="SimHei" w:cs="SimHei"/>
                <w:sz w:val="21"/>
                <w:szCs w:val="21"/>
                <w:spacing w:val="9"/>
              </w:rPr>
              <w:t>第一百零六条</w:t>
            </w:r>
            <w:r>
              <w:rPr>
                <w:rFonts w:ascii="SimHei" w:hAnsi="SimHei" w:eastAsia="SimHei" w:cs="SimHei"/>
                <w:sz w:val="21"/>
                <w:szCs w:val="21"/>
                <w:spacing w:val="9"/>
              </w:rPr>
              <w:t xml:space="preserve"> </w:t>
            </w:r>
            <w:r>
              <w:rPr>
                <w:rFonts w:ascii="SimHei" w:hAnsi="SimHei" w:eastAsia="SimHei" w:cs="SimHei"/>
                <w:sz w:val="21"/>
                <w:szCs w:val="21"/>
                <w:spacing w:val="9"/>
              </w:rPr>
              <w:t>个体或私营医疗保健机构瞒报、缓报、谎报传染病疫情或突发</w:t>
            </w:r>
            <w:r>
              <w:rPr>
                <w:rFonts w:ascii="SimHei" w:hAnsi="SimHei" w:eastAsia="SimHei" w:cs="SimHei"/>
                <w:sz w:val="21"/>
                <w:szCs w:val="21"/>
                <w:spacing w:val="8"/>
              </w:rPr>
              <w:t>公共卫生事件的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194</w:t>
            </w:r>
          </w:hyperlink>
        </w:p>
        <w:p>
          <w:pPr>
            <w:spacing w:before="216" w:line="212" w:lineRule="auto"/>
            <w:tabs>
              <w:tab w:val="right" w:leader="dot" w:pos="13370"/>
            </w:tabs>
            <w:rPr>
              <w:rFonts w:ascii="Times New Roman" w:hAnsi="Times New Roman" w:eastAsia="Times New Roman" w:cs="Times New Roman"/>
              <w:sz w:val="21"/>
              <w:szCs w:val="21"/>
            </w:rPr>
          </w:pPr>
          <w:hyperlink w:history="true" w:anchor="bookmark139">
            <w:r>
              <w:rPr>
                <w:rFonts w:ascii="Times New Roman" w:hAnsi="Times New Roman" w:eastAsia="Times New Roman" w:cs="Times New Roman"/>
                <w:sz w:val="21"/>
                <w:szCs w:val="21"/>
                <w:spacing w:val="12"/>
              </w:rPr>
              <w:t>(</w:t>
            </w:r>
            <w:r>
              <w:rPr>
                <w:rFonts w:ascii="KaiTi" w:hAnsi="KaiTi" w:eastAsia="KaiTi" w:cs="KaiTi"/>
                <w:sz w:val="21"/>
                <w:szCs w:val="21"/>
                <w:spacing w:val="12"/>
              </w:rPr>
              <w:t>十二)《病原微生物实验室生物安全管理条例》</w:t>
            </w:r>
            <w:r>
              <w:rPr>
                <w:rFonts w:ascii="KaiTi" w:hAnsi="KaiTi" w:eastAsia="KaiTi" w:cs="KaiTi"/>
                <w:sz w:val="21"/>
                <w:szCs w:val="21"/>
                <w:spacing w:val="-75"/>
              </w:rPr>
              <w:t xml:space="preserve"> </w:t>
            </w:r>
            <w:r>
              <w:rPr>
                <w:rFonts w:ascii="KaiTi" w:hAnsi="KaiTi" w:eastAsia="KaiTi" w:cs="KaiTi"/>
                <w:sz w:val="21"/>
                <w:szCs w:val="21"/>
              </w:rPr>
              <w:tab/>
            </w:r>
            <w:r>
              <w:rPr>
                <w:rFonts w:ascii="KaiTi" w:hAnsi="KaiTi" w:eastAsia="KaiTi" w:cs="KaiTi"/>
                <w:sz w:val="21"/>
                <w:szCs w:val="21"/>
                <w:spacing w:val="-71"/>
              </w:rPr>
              <w:t xml:space="preserve"> </w:t>
            </w:r>
            <w:r>
              <w:rPr>
                <w:rFonts w:ascii="Times New Roman" w:hAnsi="Times New Roman" w:eastAsia="Times New Roman" w:cs="Times New Roman"/>
                <w:sz w:val="21"/>
                <w:szCs w:val="21"/>
                <w:spacing w:val="-6"/>
              </w:rPr>
              <w:t>195</w:t>
            </w:r>
          </w:hyperlink>
        </w:p>
        <w:p>
          <w:pPr>
            <w:pStyle w:val="BodyText"/>
            <w:spacing w:line="380" w:lineRule="auto"/>
            <w:rPr/>
          </w:pPr>
          <w:r/>
        </w:p>
        <w:p>
          <w:pPr>
            <w:ind w:right="2"/>
            <w:spacing w:before="68" w:line="221" w:lineRule="auto"/>
            <w:jc w:val="right"/>
            <w:rPr>
              <w:rFonts w:ascii="SimHei" w:hAnsi="SimHei" w:eastAsia="SimHei" w:cs="SimHei"/>
              <w:sz w:val="21"/>
              <w:szCs w:val="21"/>
            </w:rPr>
          </w:pPr>
          <w:hyperlink w:history="true" w:anchor="bookmark140">
            <w:r>
              <w:rPr>
                <w:rFonts w:ascii="SimHei" w:hAnsi="SimHei" w:eastAsia="SimHei" w:cs="SimHei"/>
                <w:sz w:val="21"/>
                <w:szCs w:val="21"/>
                <w:spacing w:val="10"/>
              </w:rPr>
              <w:t>第一百零七条</w:t>
            </w:r>
            <w:r>
              <w:rPr>
                <w:rFonts w:ascii="SimHei" w:hAnsi="SimHei" w:eastAsia="SimHei" w:cs="SimHei"/>
                <w:sz w:val="21"/>
                <w:szCs w:val="21"/>
                <w:spacing w:val="33"/>
              </w:rPr>
              <w:t xml:space="preserve"> </w:t>
            </w:r>
            <w:r>
              <w:rPr>
                <w:rFonts w:ascii="SimHei" w:hAnsi="SimHei" w:eastAsia="SimHei" w:cs="SimHei"/>
                <w:sz w:val="21"/>
                <w:szCs w:val="21"/>
                <w:spacing w:val="10"/>
              </w:rPr>
              <w:t>三级、四级实验室未经批准从事病原微生物目录规定的应当</w:t>
            </w:r>
            <w:r>
              <w:rPr>
                <w:rFonts w:ascii="SimHei" w:hAnsi="SimHei" w:eastAsia="SimHei" w:cs="SimHei"/>
                <w:sz w:val="21"/>
                <w:szCs w:val="21"/>
                <w:spacing w:val="9"/>
              </w:rPr>
              <w:t>在三级、四级实验室进行的高致病性病原微生物实验活动或者</w:t>
            </w:r>
          </w:hyperlink>
        </w:p>
        <w:p>
          <w:pPr>
            <w:pStyle w:val="BodyText"/>
            <w:spacing w:line="298" w:lineRule="auto"/>
            <w:rPr/>
          </w:pPr>
          <w:r/>
        </w:p>
        <w:p>
          <w:pPr>
            <w:ind w:left="300"/>
            <w:spacing w:before="68" w:line="221" w:lineRule="auto"/>
            <w:tabs>
              <w:tab w:val="right" w:leader="dot" w:pos="13130"/>
            </w:tabs>
            <w:rPr>
              <w:rFonts w:ascii="Times New Roman" w:hAnsi="Times New Roman" w:eastAsia="Times New Roman" w:cs="Times New Roman"/>
              <w:sz w:val="21"/>
              <w:szCs w:val="21"/>
            </w:rPr>
          </w:pPr>
          <w:hyperlink w:history="true" w:anchor="bookmark141">
            <w:r>
              <w:rPr>
                <w:rFonts w:ascii="SimHei" w:hAnsi="SimHei" w:eastAsia="SimHei" w:cs="SimHei"/>
                <w:sz w:val="21"/>
                <w:szCs w:val="21"/>
                <w:spacing w:val="10"/>
              </w:rPr>
              <w:t>疑似高致病性病原微生物实验活动</w:t>
            </w:r>
            <w:r>
              <w:rPr>
                <w:rFonts w:ascii="SimHei" w:hAnsi="SimHei" w:eastAsia="SimHei" w:cs="SimHei"/>
                <w:sz w:val="21"/>
                <w:szCs w:val="21"/>
                <w:spacing w:val="-77"/>
              </w:rPr>
              <w:t xml:space="preserve"> </w:t>
            </w:r>
            <w:r>
              <w:rPr>
                <w:rFonts w:ascii="SimHei" w:hAnsi="SimHei" w:eastAsia="SimHei" w:cs="SimHei"/>
                <w:sz w:val="21"/>
                <w:szCs w:val="21"/>
              </w:rPr>
              <w:tab/>
            </w:r>
            <w:r>
              <w:rPr>
                <w:rFonts w:ascii="Times New Roman" w:hAnsi="Times New Roman" w:eastAsia="Times New Roman" w:cs="Times New Roman"/>
                <w:sz w:val="21"/>
                <w:szCs w:val="21"/>
                <w:spacing w:val="-7"/>
              </w:rPr>
              <w:t>195</w:t>
            </w:r>
          </w:hyperlink>
        </w:p>
        <w:p>
          <w:pPr>
            <w:pStyle w:val="BodyText"/>
            <w:spacing w:line="248" w:lineRule="auto"/>
            <w:rPr/>
          </w:pPr>
          <w:r/>
        </w:p>
        <w:p>
          <w:pPr>
            <w:pStyle w:val="BodyText"/>
            <w:spacing w:line="249" w:lineRule="auto"/>
            <w:rPr/>
          </w:pPr>
          <w:r/>
        </w:p>
        <w:p>
          <w:pPr>
            <w:ind w:left="300"/>
            <w:spacing w:before="68" w:line="221" w:lineRule="auto"/>
            <w:tabs>
              <w:tab w:val="right" w:leader="dot" w:pos="13290"/>
            </w:tabs>
            <w:rPr>
              <w:rFonts w:ascii="Times New Roman" w:hAnsi="Times New Roman" w:eastAsia="Times New Roman" w:cs="Times New Roman"/>
              <w:sz w:val="21"/>
              <w:szCs w:val="21"/>
            </w:rPr>
          </w:pPr>
          <w:hyperlink w:history="true" w:anchor="bookmark142">
            <w:r>
              <w:rPr>
                <w:rFonts w:ascii="SimHei" w:hAnsi="SimHei" w:eastAsia="SimHei" w:cs="SimHei"/>
                <w:sz w:val="21"/>
                <w:szCs w:val="21"/>
                <w:spacing w:val="10"/>
              </w:rPr>
              <w:t>第一百零八条</w:t>
            </w:r>
            <w:r>
              <w:rPr>
                <w:rFonts w:ascii="SimHei" w:hAnsi="SimHei" w:eastAsia="SimHei" w:cs="SimHei"/>
                <w:sz w:val="21"/>
                <w:szCs w:val="21"/>
                <w:spacing w:val="10"/>
              </w:rPr>
              <w:t xml:space="preserve"> </w:t>
            </w:r>
            <w:r>
              <w:rPr>
                <w:rFonts w:ascii="SimHei" w:hAnsi="SimHei" w:eastAsia="SimHei" w:cs="SimHei"/>
                <w:sz w:val="21"/>
                <w:szCs w:val="21"/>
                <w:spacing w:val="10"/>
              </w:rPr>
              <w:t>在不符合相应生物安全要求的实验室从事病原微</w:t>
            </w:r>
            <w:r>
              <w:rPr>
                <w:rFonts w:ascii="SimHei" w:hAnsi="SimHei" w:eastAsia="SimHei" w:cs="SimHei"/>
                <w:sz w:val="21"/>
                <w:szCs w:val="21"/>
                <w:spacing w:val="9"/>
              </w:rPr>
              <w:t>生物相关实验活动的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41"/>
              </w:rPr>
              <w:t xml:space="preserve"> </w:t>
            </w:r>
            <w:r>
              <w:rPr>
                <w:rFonts w:ascii="Times New Roman" w:hAnsi="Times New Roman" w:eastAsia="Times New Roman" w:cs="Times New Roman"/>
                <w:sz w:val="21"/>
                <w:szCs w:val="21"/>
                <w:spacing w:val="-6"/>
              </w:rPr>
              <w:t>195</w:t>
            </w:r>
          </w:hyperlink>
        </w:p>
        <w:p>
          <w:pPr>
            <w:pStyle w:val="BodyText"/>
            <w:spacing w:line="264" w:lineRule="auto"/>
            <w:rPr/>
          </w:pPr>
          <w:r/>
        </w:p>
        <w:p>
          <w:pPr>
            <w:pStyle w:val="BodyText"/>
            <w:spacing w:line="264" w:lineRule="auto"/>
            <w:rPr/>
          </w:pPr>
          <w:r/>
        </w:p>
        <w:p>
          <w:pPr>
            <w:spacing w:before="69" w:line="213" w:lineRule="auto"/>
            <w:jc w:val="right"/>
            <w:rPr>
              <w:rFonts w:ascii="SimHei" w:hAnsi="SimHei" w:eastAsia="SimHei" w:cs="SimHei"/>
              <w:sz w:val="21"/>
              <w:szCs w:val="21"/>
            </w:rPr>
          </w:pPr>
          <w:hyperlink w:history="true" w:anchor="bookmark143">
            <w:r>
              <w:rPr>
                <w:rFonts w:ascii="SimHei" w:hAnsi="SimHei" w:eastAsia="SimHei" w:cs="SimHei"/>
                <w:sz w:val="21"/>
                <w:szCs w:val="21"/>
                <w:spacing w:val="12"/>
              </w:rPr>
              <w:t>第一百零九条</w:t>
            </w:r>
            <w:r>
              <w:rPr>
                <w:rFonts w:ascii="SimHei" w:hAnsi="SimHei" w:eastAsia="SimHei" w:cs="SimHei"/>
                <w:sz w:val="21"/>
                <w:szCs w:val="21"/>
                <w:spacing w:val="12"/>
              </w:rPr>
              <w:t xml:space="preserve"> </w:t>
            </w:r>
            <w:r>
              <w:rPr>
                <w:rFonts w:ascii="SimHei" w:hAnsi="SimHei" w:eastAsia="SimHei" w:cs="SimHei"/>
                <w:sz w:val="21"/>
                <w:szCs w:val="21"/>
                <w:spacing w:val="12"/>
              </w:rPr>
              <w:t>未依照规定在明显位置标示国务院卫</w:t>
            </w:r>
            <w:r>
              <w:rPr>
                <w:rFonts w:ascii="SimHei" w:hAnsi="SimHei" w:eastAsia="SimHei" w:cs="SimHei"/>
                <w:sz w:val="21"/>
                <w:szCs w:val="21"/>
                <w:spacing w:val="11"/>
              </w:rPr>
              <w:t>生主管部门和兽医主管部门规定的生物危险标识和生物安全实验室级别标志的；196</w:t>
            </w:r>
          </w:hyperlink>
        </w:p>
        <w:p>
          <w:pPr>
            <w:pStyle w:val="BodyText"/>
            <w:spacing w:line="242" w:lineRule="auto"/>
            <w:rPr/>
          </w:pPr>
          <w:r/>
        </w:p>
        <w:p>
          <w:pPr>
            <w:pStyle w:val="BodyText"/>
            <w:spacing w:line="243" w:lineRule="auto"/>
            <w:rPr/>
          </w:pPr>
          <w:r/>
        </w:p>
        <w:p>
          <w:pPr>
            <w:ind w:left="300"/>
            <w:spacing w:before="68" w:line="221" w:lineRule="auto"/>
            <w:tabs>
              <w:tab w:val="right" w:leader="dot" w:pos="13310"/>
            </w:tabs>
            <w:rPr>
              <w:rFonts w:ascii="Times New Roman" w:hAnsi="Times New Roman" w:eastAsia="Times New Roman" w:cs="Times New Roman"/>
              <w:sz w:val="21"/>
              <w:szCs w:val="21"/>
            </w:rPr>
          </w:pPr>
          <w:hyperlink w:history="true" w:anchor="bookmark144">
            <w:r>
              <w:rPr>
                <w:rFonts w:ascii="SimHei" w:hAnsi="SimHei" w:eastAsia="SimHei" w:cs="SimHei"/>
                <w:sz w:val="21"/>
                <w:szCs w:val="21"/>
                <w:spacing w:val="9"/>
              </w:rPr>
              <w:t>第一百一十条</w:t>
            </w:r>
            <w:r>
              <w:rPr>
                <w:rFonts w:ascii="SimHei" w:hAnsi="SimHei" w:eastAsia="SimHei" w:cs="SimHei"/>
                <w:sz w:val="21"/>
                <w:szCs w:val="21"/>
                <w:spacing w:val="9"/>
              </w:rPr>
              <w:t xml:space="preserve"> </w:t>
            </w:r>
            <w:r>
              <w:rPr>
                <w:rFonts w:ascii="SimHei" w:hAnsi="SimHei" w:eastAsia="SimHei" w:cs="SimHei"/>
                <w:sz w:val="21"/>
                <w:szCs w:val="21"/>
                <w:spacing w:val="9"/>
              </w:rPr>
              <w:t>未向原批准部门报告实验活动结果以及工作情况的</w:t>
            </w:r>
            <w:r>
              <w:rPr>
                <w:rFonts w:ascii="SimHei" w:hAnsi="SimHei" w:eastAsia="SimHei" w:cs="SimHei"/>
                <w:sz w:val="21"/>
                <w:szCs w:val="21"/>
                <w:spacing w:val="-82"/>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197</w:t>
            </w:r>
          </w:hyperlink>
        </w:p>
        <w:p>
          <w:pPr>
            <w:pStyle w:val="BodyText"/>
            <w:spacing w:line="249" w:lineRule="auto"/>
            <w:rPr/>
          </w:pPr>
          <w:r/>
        </w:p>
        <w:p>
          <w:pPr>
            <w:pStyle w:val="BodyText"/>
            <w:spacing w:line="249" w:lineRule="auto"/>
            <w:rPr/>
          </w:pPr>
          <w:r/>
        </w:p>
        <w:p>
          <w:pPr>
            <w:ind w:left="300"/>
            <w:spacing w:before="69" w:line="213" w:lineRule="auto"/>
            <w:tabs>
              <w:tab w:val="right" w:leader="dot" w:pos="13280"/>
            </w:tabs>
            <w:rPr>
              <w:rFonts w:ascii="Times New Roman" w:hAnsi="Times New Roman" w:eastAsia="Times New Roman" w:cs="Times New Roman"/>
              <w:sz w:val="21"/>
              <w:szCs w:val="21"/>
            </w:rPr>
          </w:pPr>
          <w:hyperlink w:history="true" w:anchor="bookmark145">
            <w:r>
              <w:rPr>
                <w:rFonts w:ascii="SimHei" w:hAnsi="SimHei" w:eastAsia="SimHei" w:cs="SimHei"/>
                <w:sz w:val="21"/>
                <w:szCs w:val="21"/>
                <w:spacing w:val="13"/>
              </w:rPr>
              <w:t>第一百一十一条</w:t>
            </w:r>
            <w:r>
              <w:rPr>
                <w:rFonts w:ascii="SimHei" w:hAnsi="SimHei" w:eastAsia="SimHei" w:cs="SimHei"/>
                <w:sz w:val="21"/>
                <w:szCs w:val="21"/>
                <w:spacing w:val="13"/>
              </w:rPr>
              <w:t xml:space="preserve"> </w:t>
            </w:r>
            <w:r>
              <w:rPr>
                <w:rFonts w:ascii="SimHei" w:hAnsi="SimHei" w:eastAsia="SimHei" w:cs="SimHei"/>
                <w:sz w:val="21"/>
                <w:szCs w:val="21"/>
                <w:spacing w:val="13"/>
              </w:rPr>
              <w:t>未依照规定采集病原微生物样</w:t>
            </w:r>
            <w:r>
              <w:rPr>
                <w:rFonts w:ascii="SimHei" w:hAnsi="SimHei" w:eastAsia="SimHei" w:cs="SimHei"/>
                <w:sz w:val="21"/>
                <w:szCs w:val="21"/>
                <w:spacing w:val="12"/>
              </w:rPr>
              <w:t>本，或者对所采集样本的来源、采集过程和方法等未作详细记录的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5"/>
              </w:rPr>
              <w:t>198</w:t>
            </w:r>
          </w:hyperlink>
        </w:p>
        <w:p>
          <w:pPr>
            <w:pStyle w:val="BodyText"/>
            <w:spacing w:line="257" w:lineRule="auto"/>
            <w:rPr/>
          </w:pPr>
          <w:r/>
        </w:p>
        <w:p>
          <w:pPr>
            <w:pStyle w:val="BodyText"/>
            <w:spacing w:line="258" w:lineRule="auto"/>
            <w:rPr/>
          </w:pPr>
          <w:r/>
        </w:p>
        <w:p>
          <w:pPr>
            <w:ind w:left="300"/>
            <w:spacing w:before="69" w:line="221" w:lineRule="auto"/>
            <w:tabs>
              <w:tab w:val="right" w:leader="dot" w:pos="13280"/>
            </w:tabs>
            <w:rPr>
              <w:rFonts w:ascii="Times New Roman" w:hAnsi="Times New Roman" w:eastAsia="Times New Roman" w:cs="Times New Roman"/>
              <w:sz w:val="21"/>
              <w:szCs w:val="21"/>
            </w:rPr>
          </w:pPr>
          <w:hyperlink w:history="true" w:anchor="bookmark146">
            <w:r>
              <w:rPr>
                <w:rFonts w:ascii="SimHei" w:hAnsi="SimHei" w:eastAsia="SimHei" w:cs="SimHei"/>
                <w:sz w:val="21"/>
                <w:szCs w:val="21"/>
                <w:spacing w:val="12"/>
              </w:rPr>
              <w:t>第一百一十二条</w:t>
            </w:r>
            <w:r>
              <w:rPr>
                <w:rFonts w:ascii="SimHei" w:hAnsi="SimHei" w:eastAsia="SimHei" w:cs="SimHei"/>
                <w:sz w:val="21"/>
                <w:szCs w:val="21"/>
                <w:spacing w:val="12"/>
              </w:rPr>
              <w:t xml:space="preserve"> </w:t>
            </w:r>
            <w:r>
              <w:rPr>
                <w:rFonts w:ascii="SimHei" w:hAnsi="SimHei" w:eastAsia="SimHei" w:cs="SimHei"/>
                <w:sz w:val="21"/>
                <w:szCs w:val="21"/>
                <w:spacing w:val="12"/>
              </w:rPr>
              <w:t>新建、改建或者扩建一级、二级实验室未向设区的市级人民政府卫生主</w:t>
            </w:r>
            <w:r>
              <w:rPr>
                <w:rFonts w:ascii="SimHei" w:hAnsi="SimHei" w:eastAsia="SimHei" w:cs="SimHei"/>
                <w:sz w:val="21"/>
                <w:szCs w:val="21"/>
                <w:spacing w:val="11"/>
              </w:rPr>
              <w:t>管部门或者兽医主管部门备案的</w:t>
            </w:r>
            <w:r>
              <w:rPr>
                <w:rFonts w:ascii="SimHei" w:hAnsi="SimHei" w:eastAsia="SimHei" w:cs="SimHei"/>
                <w:sz w:val="21"/>
                <w:szCs w:val="21"/>
                <w:spacing w:val="-94"/>
              </w:rPr>
              <w:t xml:space="preserve"> </w:t>
            </w:r>
            <w:r>
              <w:rPr>
                <w:rFonts w:ascii="SimHei" w:hAnsi="SimHei" w:eastAsia="SimHei" w:cs="SimHei"/>
                <w:sz w:val="21"/>
                <w:szCs w:val="21"/>
              </w:rPr>
              <w:tab/>
            </w:r>
            <w:r>
              <w:rPr>
                <w:rFonts w:ascii="Times New Roman" w:hAnsi="Times New Roman" w:eastAsia="Times New Roman" w:cs="Times New Roman"/>
                <w:sz w:val="21"/>
                <w:szCs w:val="21"/>
                <w:spacing w:val="-5"/>
              </w:rPr>
              <w:t>199</w:t>
            </w:r>
          </w:hyperlink>
        </w:p>
        <w:p>
          <w:pPr>
            <w:pStyle w:val="BodyText"/>
            <w:spacing w:line="244" w:lineRule="auto"/>
            <w:rPr/>
          </w:pPr>
          <w:r/>
        </w:p>
        <w:p>
          <w:pPr>
            <w:pStyle w:val="BodyText"/>
            <w:spacing w:line="244" w:lineRule="auto"/>
            <w:rPr/>
          </w:pPr>
          <w:r/>
        </w:p>
        <w:p>
          <w:pPr>
            <w:ind w:left="319"/>
            <w:spacing w:before="68" w:line="213" w:lineRule="auto"/>
            <w:rPr>
              <w:rFonts w:ascii="SimHei" w:hAnsi="SimHei" w:eastAsia="SimHei" w:cs="SimHei"/>
              <w:sz w:val="21"/>
              <w:szCs w:val="21"/>
            </w:rPr>
          </w:pPr>
          <w:hyperlink w:history="true" w:anchor="bookmark147">
            <w:r>
              <w:rPr>
                <w:rFonts w:ascii="SimHei" w:hAnsi="SimHei" w:eastAsia="SimHei" w:cs="SimHei"/>
                <w:sz w:val="21"/>
                <w:szCs w:val="21"/>
                <w:spacing w:val="12"/>
              </w:rPr>
              <w:t>第一百一十三条</w:t>
            </w:r>
            <w:r>
              <w:rPr>
                <w:rFonts w:ascii="SimHei" w:hAnsi="SimHei" w:eastAsia="SimHei" w:cs="SimHei"/>
                <w:sz w:val="21"/>
                <w:szCs w:val="21"/>
                <w:spacing w:val="12"/>
              </w:rPr>
              <w:t xml:space="preserve"> </w:t>
            </w:r>
            <w:r>
              <w:rPr>
                <w:rFonts w:ascii="SimHei" w:hAnsi="SimHei" w:eastAsia="SimHei" w:cs="SimHei"/>
                <w:sz w:val="21"/>
                <w:szCs w:val="21"/>
                <w:spacing w:val="12"/>
              </w:rPr>
              <w:t>未依照规定定期对工作人员进行培训，或者工作人员考核不合格允许其上岗，或者批准未采取</w:t>
            </w:r>
            <w:r>
              <w:rPr>
                <w:rFonts w:ascii="SimHei" w:hAnsi="SimHei" w:eastAsia="SimHei" w:cs="SimHei"/>
                <w:sz w:val="21"/>
                <w:szCs w:val="21"/>
                <w:spacing w:val="11"/>
              </w:rPr>
              <w:t>防护措施的人员进入实</w:t>
            </w:r>
          </w:hyperlink>
        </w:p>
        <w:p>
          <w:pPr>
            <w:pStyle w:val="BodyText"/>
            <w:spacing w:line="326" w:lineRule="auto"/>
            <w:rPr/>
          </w:pPr>
          <w:r/>
        </w:p>
        <w:p>
          <w:pPr>
            <w:ind w:left="300"/>
            <w:spacing w:before="69" w:line="222" w:lineRule="auto"/>
            <w:tabs>
              <w:tab w:val="right" w:leader="dot" w:pos="13400"/>
            </w:tabs>
            <w:rPr>
              <w:rFonts w:ascii="Times New Roman" w:hAnsi="Times New Roman" w:eastAsia="Times New Roman" w:cs="Times New Roman"/>
              <w:sz w:val="21"/>
              <w:szCs w:val="21"/>
            </w:rPr>
          </w:pPr>
          <w:hyperlink w:history="true" w:anchor="bookmark148">
            <w:r>
              <w:rPr>
                <w:rFonts w:ascii="SimHei" w:hAnsi="SimHei" w:eastAsia="SimHei" w:cs="SimHei"/>
                <w:sz w:val="21"/>
                <w:szCs w:val="21"/>
                <w:spacing w:val="25"/>
              </w:rPr>
              <w:t>验室的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rPr>
              <w:t>200</w:t>
            </w:r>
          </w:hyperlink>
        </w:p>
      </w:sdtContent>
    </w:sdt>
    <w:p>
      <w:pPr>
        <w:spacing w:line="222" w:lineRule="auto"/>
        <w:sectPr>
          <w:footerReference w:type="default" r:id="rId15"/>
          <w:pgSz w:w="16830" w:h="11900"/>
          <w:pgMar w:top="1011" w:right="1424" w:bottom="1138" w:left="1989" w:header="0" w:footer="778" w:gutter="0"/>
        </w:sectPr>
        <w:rPr>
          <w:rFonts w:ascii="Times New Roman" w:hAnsi="Times New Roman" w:eastAsia="Times New Roman" w:cs="Times New Roman"/>
          <w:sz w:val="21"/>
          <w:szCs w:val="21"/>
        </w:rPr>
      </w:pPr>
    </w:p>
    <w:p>
      <w:pPr>
        <w:pStyle w:val="BodyText"/>
        <w:rPr/>
      </w:pPr>
      <w:r/>
    </w:p>
    <w:p>
      <w:pPr>
        <w:pStyle w:val="BodyText"/>
        <w:rPr/>
      </w:pPr>
      <w:r/>
    </w:p>
    <w:p>
      <w:pPr>
        <w:pStyle w:val="BodyText"/>
        <w:rPr/>
      </w:pPr>
      <w:r/>
    </w:p>
    <w:p>
      <w:pPr>
        <w:pStyle w:val="BodyText"/>
        <w:spacing w:line="241"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spacing w:before="68" w:line="221" w:lineRule="auto"/>
            <w:tabs>
              <w:tab w:val="right" w:leader="dot" w:pos="13060"/>
            </w:tabs>
            <w:rPr>
              <w:rFonts w:ascii="Times New Roman" w:hAnsi="Times New Roman" w:eastAsia="Times New Roman" w:cs="Times New Roman"/>
              <w:sz w:val="21"/>
              <w:szCs w:val="21"/>
            </w:rPr>
          </w:pPr>
          <w:bookmarkStart w:name="bookmark149" w:id="4"/>
          <w:bookmarkEnd w:id="4"/>
          <w:hyperlink w:history="true" w:anchor="bookmark150">
            <w:r>
              <w:rPr>
                <w:rFonts w:ascii="SimHei" w:hAnsi="SimHei" w:eastAsia="SimHei" w:cs="SimHei"/>
                <w:sz w:val="21"/>
                <w:szCs w:val="21"/>
                <w:spacing w:val="9"/>
              </w:rPr>
              <w:t>第一百一十四条</w:t>
            </w:r>
            <w:r>
              <w:rPr>
                <w:rFonts w:ascii="SimHei" w:hAnsi="SimHei" w:eastAsia="SimHei" w:cs="SimHei"/>
                <w:sz w:val="21"/>
                <w:szCs w:val="21"/>
                <w:spacing w:val="45"/>
              </w:rPr>
              <w:t xml:space="preserve"> </w:t>
            </w:r>
            <w:r>
              <w:rPr>
                <w:rFonts w:ascii="SimHei" w:hAnsi="SimHei" w:eastAsia="SimHei" w:cs="SimHei"/>
                <w:sz w:val="21"/>
                <w:szCs w:val="21"/>
                <w:spacing w:val="9"/>
              </w:rPr>
              <w:t>实验室工作人员未遵守实验室生物安全技术规范和操作规程的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rPr>
              <w:t>201</w:t>
            </w:r>
          </w:hyperlink>
        </w:p>
        <w:p>
          <w:pPr>
            <w:pStyle w:val="BodyText"/>
            <w:spacing w:line="263" w:lineRule="auto"/>
            <w:rPr/>
          </w:pPr>
          <w:r/>
        </w:p>
        <w:p>
          <w:pPr>
            <w:pStyle w:val="BodyText"/>
            <w:spacing w:line="264" w:lineRule="auto"/>
            <w:rPr/>
          </w:pPr>
          <w:r/>
        </w:p>
        <w:p>
          <w:pPr>
            <w:ind w:left="9"/>
            <w:spacing w:before="68" w:line="222" w:lineRule="auto"/>
            <w:tabs>
              <w:tab w:val="right" w:leader="dot" w:pos="13120"/>
            </w:tabs>
            <w:rPr>
              <w:rFonts w:ascii="Times New Roman" w:hAnsi="Times New Roman" w:eastAsia="Times New Roman" w:cs="Times New Roman"/>
              <w:sz w:val="21"/>
              <w:szCs w:val="21"/>
            </w:rPr>
          </w:pPr>
          <w:hyperlink w:history="true" w:anchor="bookmark151">
            <w:r>
              <w:rPr>
                <w:rFonts w:ascii="SimHei" w:hAnsi="SimHei" w:eastAsia="SimHei" w:cs="SimHei"/>
                <w:sz w:val="21"/>
                <w:szCs w:val="21"/>
                <w:spacing w:val="13"/>
              </w:rPr>
              <w:t>第一百一十五条</w:t>
            </w:r>
            <w:r>
              <w:rPr>
                <w:rFonts w:ascii="SimHei" w:hAnsi="SimHei" w:eastAsia="SimHei" w:cs="SimHei"/>
                <w:sz w:val="21"/>
                <w:szCs w:val="21"/>
                <w:spacing w:val="52"/>
              </w:rPr>
              <w:t xml:space="preserve"> </w:t>
            </w:r>
            <w:r>
              <w:rPr>
                <w:rFonts w:ascii="SimHei" w:hAnsi="SimHei" w:eastAsia="SimHei" w:cs="SimHei"/>
                <w:sz w:val="21"/>
                <w:szCs w:val="21"/>
                <w:spacing w:val="13"/>
              </w:rPr>
              <w:t>未依照规定建立或者保存实验档案的</w:t>
            </w:r>
            <w:r>
              <w:rPr>
                <w:rFonts w:ascii="SimHei" w:hAnsi="SimHei" w:eastAsia="SimHei" w:cs="SimHei"/>
                <w:sz w:val="21"/>
                <w:szCs w:val="21"/>
              </w:rPr>
              <w:tab/>
            </w:r>
            <w:r>
              <w:rPr>
                <w:rFonts w:ascii="Times New Roman" w:hAnsi="Times New Roman" w:eastAsia="Times New Roman" w:cs="Times New Roman"/>
                <w:sz w:val="21"/>
                <w:szCs w:val="21"/>
              </w:rPr>
              <w:t>202</w:t>
            </w:r>
          </w:hyperlink>
        </w:p>
        <w:p>
          <w:pPr>
            <w:pStyle w:val="BodyText"/>
            <w:spacing w:line="258" w:lineRule="auto"/>
            <w:rPr/>
          </w:pPr>
          <w:r/>
        </w:p>
        <w:p>
          <w:pPr>
            <w:pStyle w:val="BodyText"/>
            <w:spacing w:line="258" w:lineRule="auto"/>
            <w:rPr/>
          </w:pPr>
          <w:r/>
        </w:p>
        <w:p>
          <w:pPr>
            <w:spacing w:before="68" w:line="222" w:lineRule="auto"/>
            <w:tabs>
              <w:tab w:val="right" w:leader="dot" w:pos="13040"/>
            </w:tabs>
            <w:rPr>
              <w:rFonts w:ascii="Times New Roman" w:hAnsi="Times New Roman" w:eastAsia="Times New Roman" w:cs="Times New Roman"/>
              <w:sz w:val="21"/>
              <w:szCs w:val="21"/>
            </w:rPr>
          </w:pPr>
          <w:hyperlink w:history="true" w:anchor="bookmark152">
            <w:r>
              <w:rPr>
                <w:rFonts w:ascii="SimHei" w:hAnsi="SimHei" w:eastAsia="SimHei" w:cs="SimHei"/>
                <w:sz w:val="21"/>
                <w:szCs w:val="21"/>
                <w:spacing w:val="12"/>
              </w:rPr>
              <w:t>第一百一十六条</w:t>
            </w:r>
            <w:r>
              <w:rPr>
                <w:rFonts w:ascii="SimHei" w:hAnsi="SimHei" w:eastAsia="SimHei" w:cs="SimHei"/>
                <w:sz w:val="21"/>
                <w:szCs w:val="21"/>
                <w:spacing w:val="54"/>
              </w:rPr>
              <w:t xml:space="preserve"> </w:t>
            </w:r>
            <w:r>
              <w:rPr>
                <w:rFonts w:ascii="SimHei" w:hAnsi="SimHei" w:eastAsia="SimHei" w:cs="SimHei"/>
                <w:sz w:val="21"/>
                <w:szCs w:val="21"/>
                <w:spacing w:val="12"/>
              </w:rPr>
              <w:t>未依照规定制定实验室感染应急处置预案并备案的</w:t>
            </w:r>
            <w:r>
              <w:rPr>
                <w:rFonts w:ascii="SimHei" w:hAnsi="SimHei" w:eastAsia="SimHei" w:cs="SimHei"/>
                <w:sz w:val="21"/>
                <w:szCs w:val="21"/>
                <w:spacing w:val="-94"/>
              </w:rPr>
              <w:t xml:space="preserve"> </w:t>
            </w:r>
            <w:r>
              <w:rPr>
                <w:rFonts w:ascii="SimHei" w:hAnsi="SimHei" w:eastAsia="SimHei" w:cs="SimHei"/>
                <w:sz w:val="21"/>
                <w:szCs w:val="21"/>
              </w:rPr>
              <w:tab/>
            </w:r>
            <w:r>
              <w:rPr>
                <w:rFonts w:ascii="SimHei" w:hAnsi="SimHei" w:eastAsia="SimHei" w:cs="SimHei"/>
                <w:sz w:val="21"/>
                <w:szCs w:val="21"/>
                <w:spacing w:val="-52"/>
              </w:rPr>
              <w:t xml:space="preserve"> </w:t>
            </w:r>
            <w:r>
              <w:rPr>
                <w:rFonts w:ascii="Times New Roman" w:hAnsi="Times New Roman" w:eastAsia="Times New Roman" w:cs="Times New Roman"/>
                <w:sz w:val="21"/>
                <w:szCs w:val="21"/>
                <w:spacing w:val="-1"/>
              </w:rPr>
              <w:t>203</w:t>
            </w:r>
          </w:hyperlink>
        </w:p>
        <w:p>
          <w:pPr>
            <w:pStyle w:val="BodyText"/>
            <w:spacing w:line="287" w:lineRule="auto"/>
            <w:rPr/>
          </w:pPr>
          <w:r/>
        </w:p>
        <w:p>
          <w:pPr>
            <w:ind w:left="29"/>
            <w:spacing w:before="69" w:line="213" w:lineRule="auto"/>
            <w:rPr>
              <w:rFonts w:ascii="SimHei" w:hAnsi="SimHei" w:eastAsia="SimHei" w:cs="SimHei"/>
              <w:sz w:val="21"/>
              <w:szCs w:val="21"/>
            </w:rPr>
          </w:pPr>
          <w:hyperlink w:history="true" w:anchor="bookmark153">
            <w:r>
              <w:rPr>
                <w:rFonts w:ascii="SimHei" w:hAnsi="SimHei" w:eastAsia="SimHei" w:cs="SimHei"/>
                <w:sz w:val="21"/>
                <w:szCs w:val="21"/>
                <w:spacing w:val="11"/>
              </w:rPr>
              <w:t>第一百一十七条</w:t>
            </w:r>
            <w:r>
              <w:rPr>
                <w:rFonts w:ascii="SimHei" w:hAnsi="SimHei" w:eastAsia="SimHei" w:cs="SimHei"/>
                <w:sz w:val="21"/>
                <w:szCs w:val="21"/>
                <w:spacing w:val="53"/>
              </w:rPr>
              <w:t xml:space="preserve"> </w:t>
            </w:r>
            <w:r>
              <w:rPr>
                <w:rFonts w:ascii="SimHei" w:hAnsi="SimHei" w:eastAsia="SimHei" w:cs="SimHei"/>
                <w:sz w:val="21"/>
                <w:szCs w:val="21"/>
                <w:spacing w:val="11"/>
              </w:rPr>
              <w:t>经依法批准从事高致病性病原微生物相关实验活动的实验室的设立单位未建立健全安全保卫制度，或者未采取安全保</w:t>
            </w:r>
          </w:hyperlink>
        </w:p>
        <w:p>
          <w:pPr>
            <w:spacing w:before="49"/>
            <w:tabs>
              <w:tab w:val="right" w:leader="dot" w:pos="13058"/>
            </w:tabs>
            <w:rPr>
              <w:rFonts w:ascii="SimHei" w:hAnsi="SimHei" w:eastAsia="SimHei" w:cs="SimHei"/>
              <w:sz w:val="21"/>
              <w:szCs w:val="21"/>
            </w:rPr>
          </w:pPr>
          <w:hyperlink w:history="true" w:anchor="bookmark153">
            <w:r>
              <w:rPr>
                <w:rFonts w:ascii="SimHei" w:hAnsi="SimHei" w:eastAsia="SimHei" w:cs="SimHei"/>
                <w:sz w:val="21"/>
                <w:szCs w:val="21"/>
                <w:spacing w:val="9"/>
              </w:rPr>
              <w:t>卫措施的</w:t>
            </w:r>
            <w:r>
              <w:rPr>
                <w:rFonts w:ascii="SimHei" w:hAnsi="SimHei" w:eastAsia="SimHei" w:cs="SimHei"/>
                <w:sz w:val="21"/>
                <w:szCs w:val="21"/>
                <w:spacing w:val="-23"/>
              </w:rPr>
              <w:t xml:space="preserve"> </w:t>
            </w:r>
            <w:r>
              <w:rPr>
                <w:rFonts w:ascii="SimHei" w:hAnsi="SimHei" w:eastAsia="SimHei" w:cs="SimHei"/>
                <w:sz w:val="21"/>
                <w:szCs w:val="21"/>
              </w:rPr>
              <w:tab/>
            </w:r>
            <w:r>
              <w:rPr>
                <w:rFonts w:ascii="SimHei" w:hAnsi="SimHei" w:eastAsia="SimHei" w:cs="SimHei"/>
                <w:sz w:val="21"/>
                <w:szCs w:val="21"/>
                <w:spacing w:val="-45"/>
              </w:rPr>
              <w:t xml:space="preserve"> </w:t>
            </w:r>
            <w:r>
              <w:rPr>
                <w:rFonts w:ascii="SimHei" w:hAnsi="SimHei" w:eastAsia="SimHei" w:cs="SimHei"/>
                <w:sz w:val="21"/>
                <w:szCs w:val="21"/>
                <w:spacing w:val="-2"/>
              </w:rPr>
              <w:t>204</w:t>
            </w:r>
          </w:hyperlink>
        </w:p>
        <w:p>
          <w:pPr>
            <w:ind w:left="19"/>
            <w:spacing w:before="255" w:line="213" w:lineRule="auto"/>
            <w:rPr>
              <w:rFonts w:ascii="SimHei" w:hAnsi="SimHei" w:eastAsia="SimHei" w:cs="SimHei"/>
              <w:sz w:val="21"/>
              <w:szCs w:val="21"/>
            </w:rPr>
          </w:pPr>
          <w:hyperlink w:history="true" w:anchor="bookmark154">
            <w:r>
              <w:rPr>
                <w:rFonts w:ascii="SimHei" w:hAnsi="SimHei" w:eastAsia="SimHei" w:cs="SimHei"/>
                <w:sz w:val="21"/>
                <w:szCs w:val="21"/>
                <w:spacing w:val="18"/>
              </w:rPr>
              <w:t>第一百一十八条</w:t>
            </w:r>
            <w:r>
              <w:rPr>
                <w:rFonts w:ascii="SimHei" w:hAnsi="SimHei" w:eastAsia="SimHei" w:cs="SimHei"/>
                <w:sz w:val="21"/>
                <w:szCs w:val="21"/>
                <w:spacing w:val="60"/>
              </w:rPr>
              <w:t xml:space="preserve"> </w:t>
            </w:r>
            <w:r>
              <w:rPr>
                <w:rFonts w:ascii="SimHei" w:hAnsi="SimHei" w:eastAsia="SimHei" w:cs="SimHei"/>
                <w:sz w:val="21"/>
                <w:szCs w:val="21"/>
                <w:spacing w:val="18"/>
              </w:rPr>
              <w:t>未经批准运输高致病性病原微生物菌(毒)种或者样本，或者承运单位经批准运输高致病性病原微生物菌(毒)种或</w:t>
            </w:r>
          </w:hyperlink>
        </w:p>
        <w:p>
          <w:pPr>
            <w:spacing w:before="68" w:line="213" w:lineRule="auto"/>
            <w:tabs>
              <w:tab w:val="right" w:leader="dot" w:pos="13080"/>
            </w:tabs>
            <w:rPr>
              <w:rFonts w:ascii="Times New Roman" w:hAnsi="Times New Roman" w:eastAsia="Times New Roman" w:cs="Times New Roman"/>
              <w:sz w:val="21"/>
              <w:szCs w:val="21"/>
            </w:rPr>
          </w:pPr>
          <w:hyperlink w:history="true" w:anchor="bookmark154">
            <w:r>
              <w:rPr>
                <w:rFonts w:ascii="SimHei" w:hAnsi="SimHei" w:eastAsia="SimHei" w:cs="SimHei"/>
                <w:sz w:val="21"/>
                <w:szCs w:val="21"/>
                <w:spacing w:val="15"/>
              </w:rPr>
              <w:t>者样本未履行保护义务，导致高致病性病原微生物菌(毒)种或者样本被盗、被抢、丢失、泄漏的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rPr>
              <w:t>205</w:t>
            </w:r>
          </w:hyperlink>
        </w:p>
        <w:p>
          <w:pPr>
            <w:ind w:left="19"/>
            <w:spacing w:before="277" w:line="213" w:lineRule="auto"/>
            <w:rPr>
              <w:rFonts w:ascii="SimHei" w:hAnsi="SimHei" w:eastAsia="SimHei" w:cs="SimHei"/>
              <w:sz w:val="21"/>
              <w:szCs w:val="21"/>
            </w:rPr>
          </w:pPr>
          <w:hyperlink w:history="true" w:anchor="bookmark155">
            <w:r>
              <w:rPr>
                <w:rFonts w:ascii="SimHei" w:hAnsi="SimHei" w:eastAsia="SimHei" w:cs="SimHei"/>
                <w:sz w:val="21"/>
                <w:szCs w:val="21"/>
                <w:spacing w:val="15"/>
              </w:rPr>
              <w:t>第一百一十九条</w:t>
            </w:r>
            <w:r>
              <w:rPr>
                <w:rFonts w:ascii="SimHei" w:hAnsi="SimHei" w:eastAsia="SimHei" w:cs="SimHei"/>
                <w:sz w:val="21"/>
                <w:szCs w:val="21"/>
                <w:spacing w:val="45"/>
              </w:rPr>
              <w:t xml:space="preserve"> </w:t>
            </w:r>
            <w:r>
              <w:rPr>
                <w:rFonts w:ascii="SimHei" w:hAnsi="SimHei" w:eastAsia="SimHei" w:cs="SimHei"/>
                <w:sz w:val="21"/>
                <w:szCs w:val="21"/>
                <w:spacing w:val="15"/>
              </w:rPr>
              <w:t>实验室在相关实验活动结束后，未依照规定及时</w:t>
            </w:r>
            <w:r>
              <w:rPr>
                <w:rFonts w:ascii="SimHei" w:hAnsi="SimHei" w:eastAsia="SimHei" w:cs="SimHei"/>
                <w:sz w:val="21"/>
                <w:szCs w:val="21"/>
                <w:spacing w:val="14"/>
              </w:rPr>
              <w:t>将病原微生物菌(毒)种和样本就地销毁或者送交保藏机构保管的206</w:t>
            </w:r>
          </w:hyperlink>
        </w:p>
        <w:p>
          <w:pPr>
            <w:ind w:left="29"/>
            <w:spacing w:before="267" w:line="221" w:lineRule="auto"/>
            <w:rPr>
              <w:rFonts w:ascii="SimHei" w:hAnsi="SimHei" w:eastAsia="SimHei" w:cs="SimHei"/>
              <w:sz w:val="21"/>
              <w:szCs w:val="21"/>
            </w:rPr>
          </w:pPr>
          <w:hyperlink w:history="true" w:anchor="bookmark156">
            <w:r>
              <w:rPr>
                <w:rFonts w:ascii="SimHei" w:hAnsi="SimHei" w:eastAsia="SimHei" w:cs="SimHei"/>
                <w:sz w:val="21"/>
                <w:szCs w:val="21"/>
                <w:spacing w:val="11"/>
              </w:rPr>
              <w:t>第一百二十条</w:t>
            </w:r>
            <w:r>
              <w:rPr>
                <w:rFonts w:ascii="SimHei" w:hAnsi="SimHei" w:eastAsia="SimHei" w:cs="SimHei"/>
                <w:sz w:val="21"/>
                <w:szCs w:val="21"/>
                <w:spacing w:val="53"/>
              </w:rPr>
              <w:t xml:space="preserve"> </w:t>
            </w:r>
            <w:r>
              <w:rPr>
                <w:rFonts w:ascii="SimHei" w:hAnsi="SimHei" w:eastAsia="SimHei" w:cs="SimHei"/>
                <w:sz w:val="21"/>
                <w:szCs w:val="21"/>
                <w:spacing w:val="11"/>
              </w:rPr>
              <w:t>实验室使用新技术、新方法从事高致病性病原微生物相关实验活动未经国家病原微生物实验室生物安全专家委员会论证</w:t>
            </w:r>
          </w:hyperlink>
        </w:p>
        <w:p>
          <w:pPr>
            <w:spacing w:before="42"/>
            <w:tabs>
              <w:tab w:val="right" w:leader="dot" w:pos="13068"/>
            </w:tabs>
            <w:rPr>
              <w:rFonts w:ascii="SimHei" w:hAnsi="SimHei" w:eastAsia="SimHei" w:cs="SimHei"/>
              <w:sz w:val="21"/>
              <w:szCs w:val="21"/>
            </w:rPr>
          </w:pPr>
          <w:hyperlink w:history="true" w:anchor="bookmark156">
            <w:r>
              <w:rPr>
                <w:rFonts w:ascii="SimHei" w:hAnsi="SimHei" w:eastAsia="SimHei" w:cs="SimHei"/>
                <w:sz w:val="21"/>
                <w:szCs w:val="21"/>
                <w:spacing w:val="-20"/>
                <w:position w:val="1"/>
              </w:rPr>
              <w:t>的</w:t>
            </w:r>
            <w:r>
              <w:rPr>
                <w:rFonts w:ascii="SimHei" w:hAnsi="SimHei" w:eastAsia="SimHei" w:cs="SimHei"/>
                <w:sz w:val="21"/>
                <w:szCs w:val="21"/>
                <w:spacing w:val="14"/>
                <w:position w:val="1"/>
              </w:rPr>
              <w:t xml:space="preserve"> </w:t>
            </w:r>
            <w:r>
              <w:rPr>
                <w:rFonts w:ascii="SimHei" w:hAnsi="SimHei" w:eastAsia="SimHei" w:cs="SimHei"/>
                <w:sz w:val="21"/>
                <w:szCs w:val="21"/>
              </w:rPr>
              <w:tab/>
            </w:r>
            <w:r>
              <w:rPr>
                <w:rFonts w:ascii="SimHei" w:hAnsi="SimHei" w:eastAsia="SimHei" w:cs="SimHei"/>
                <w:sz w:val="21"/>
                <w:szCs w:val="21"/>
                <w:spacing w:val="7"/>
              </w:rPr>
              <w:t>207</w:t>
            </w:r>
          </w:hyperlink>
        </w:p>
        <w:p>
          <w:pPr>
            <w:spacing w:before="214" w:line="221" w:lineRule="auto"/>
            <w:tabs>
              <w:tab w:val="right" w:leader="dot" w:pos="13090"/>
            </w:tabs>
            <w:rPr>
              <w:rFonts w:ascii="Times New Roman" w:hAnsi="Times New Roman" w:eastAsia="Times New Roman" w:cs="Times New Roman"/>
              <w:sz w:val="21"/>
              <w:szCs w:val="21"/>
            </w:rPr>
          </w:pPr>
          <w:hyperlink w:history="true" w:anchor="bookmark157">
            <w:r>
              <w:rPr>
                <w:rFonts w:ascii="SimHei" w:hAnsi="SimHei" w:eastAsia="SimHei" w:cs="SimHei"/>
                <w:sz w:val="21"/>
                <w:szCs w:val="21"/>
                <w:spacing w:val="11"/>
              </w:rPr>
              <w:t>第一百二十一条</w:t>
            </w:r>
            <w:r>
              <w:rPr>
                <w:rFonts w:ascii="SimHei" w:hAnsi="SimHei" w:eastAsia="SimHei" w:cs="SimHei"/>
                <w:sz w:val="21"/>
                <w:szCs w:val="21"/>
                <w:spacing w:val="11"/>
              </w:rPr>
              <w:t xml:space="preserve"> </w:t>
            </w:r>
            <w:r>
              <w:rPr>
                <w:rFonts w:ascii="SimHei" w:hAnsi="SimHei" w:eastAsia="SimHei" w:cs="SimHei"/>
                <w:sz w:val="21"/>
                <w:szCs w:val="21"/>
                <w:spacing w:val="11"/>
              </w:rPr>
              <w:t>未经批准擅自从事在我国尚未发</w:t>
            </w:r>
            <w:r>
              <w:rPr>
                <w:rFonts w:ascii="SimHei" w:hAnsi="SimHei" w:eastAsia="SimHei" w:cs="SimHei"/>
                <w:sz w:val="21"/>
                <w:szCs w:val="21"/>
                <w:spacing w:val="10"/>
              </w:rPr>
              <w:t>现或者已经宣布消灭的病原微生物相关实验活动的</w:t>
            </w:r>
            <w:r>
              <w:rPr>
                <w:rFonts w:ascii="SimHei" w:hAnsi="SimHei" w:eastAsia="SimHei" w:cs="SimHei"/>
                <w:sz w:val="21"/>
                <w:szCs w:val="21"/>
                <w:spacing w:val="-94"/>
              </w:rPr>
              <w:t xml:space="preserve"> </w:t>
            </w:r>
            <w:r>
              <w:rPr>
                <w:rFonts w:ascii="SimHei" w:hAnsi="SimHei" w:eastAsia="SimHei" w:cs="SimHei"/>
                <w:sz w:val="21"/>
                <w:szCs w:val="21"/>
              </w:rPr>
              <w:tab/>
            </w:r>
            <w:r>
              <w:rPr>
                <w:rFonts w:ascii="SimHei" w:hAnsi="SimHei" w:eastAsia="SimHei" w:cs="SimHei"/>
                <w:sz w:val="21"/>
                <w:szCs w:val="21"/>
                <w:spacing w:val="-62"/>
              </w:rPr>
              <w:t xml:space="preserve"> </w:t>
            </w:r>
            <w:r>
              <w:rPr>
                <w:rFonts w:ascii="Times New Roman" w:hAnsi="Times New Roman" w:eastAsia="Times New Roman" w:cs="Times New Roman"/>
                <w:sz w:val="21"/>
                <w:szCs w:val="21"/>
                <w:spacing w:val="-1"/>
              </w:rPr>
              <w:t>209</w:t>
            </w:r>
          </w:hyperlink>
        </w:p>
        <w:p>
          <w:pPr>
            <w:pStyle w:val="BodyText"/>
            <w:spacing w:line="368" w:lineRule="auto"/>
            <w:rPr/>
          </w:pPr>
          <w:r/>
        </w:p>
        <w:p>
          <w:pPr>
            <w:spacing w:before="68" w:line="221" w:lineRule="auto"/>
            <w:tabs>
              <w:tab w:val="right" w:leader="dot" w:pos="13040"/>
            </w:tabs>
            <w:rPr>
              <w:rFonts w:ascii="Times New Roman" w:hAnsi="Times New Roman" w:eastAsia="Times New Roman" w:cs="Times New Roman"/>
              <w:sz w:val="21"/>
              <w:szCs w:val="21"/>
            </w:rPr>
          </w:pPr>
          <w:hyperlink w:history="true" w:anchor="bookmark158">
            <w:r>
              <w:rPr>
                <w:rFonts w:ascii="SimHei" w:hAnsi="SimHei" w:eastAsia="SimHei" w:cs="SimHei"/>
                <w:sz w:val="21"/>
                <w:szCs w:val="21"/>
                <w:spacing w:val="12"/>
              </w:rPr>
              <w:t>第一百二十二条</w:t>
            </w:r>
            <w:r>
              <w:rPr>
                <w:rFonts w:ascii="SimHei" w:hAnsi="SimHei" w:eastAsia="SimHei" w:cs="SimHei"/>
                <w:sz w:val="21"/>
                <w:szCs w:val="21"/>
                <w:spacing w:val="12"/>
              </w:rPr>
              <w:t xml:space="preserve"> </w:t>
            </w:r>
            <w:r>
              <w:rPr>
                <w:rFonts w:ascii="SimHei" w:hAnsi="SimHei" w:eastAsia="SimHei" w:cs="SimHei"/>
                <w:sz w:val="21"/>
                <w:szCs w:val="21"/>
                <w:spacing w:val="12"/>
              </w:rPr>
              <w:t>在未经指定的专业实验室从事在我国尚未发现或者已经宣布消灭的病原微生物相</w:t>
            </w:r>
            <w:r>
              <w:rPr>
                <w:rFonts w:ascii="SimHei" w:hAnsi="SimHei" w:eastAsia="SimHei" w:cs="SimHei"/>
                <w:sz w:val="21"/>
                <w:szCs w:val="21"/>
                <w:spacing w:val="11"/>
              </w:rPr>
              <w:t>关实验活动的</w:t>
            </w:r>
            <w:r>
              <w:rPr>
                <w:rFonts w:ascii="SimHei" w:hAnsi="SimHei" w:eastAsia="SimHei" w:cs="SimHei"/>
                <w:sz w:val="21"/>
                <w:szCs w:val="21"/>
                <w:spacing w:val="-94"/>
              </w:rPr>
              <w:t xml:space="preserve"> </w:t>
            </w:r>
            <w:r>
              <w:rPr>
                <w:rFonts w:ascii="SimHei" w:hAnsi="SimHei" w:eastAsia="SimHei" w:cs="SimHei"/>
                <w:sz w:val="21"/>
                <w:szCs w:val="21"/>
              </w:rPr>
              <w:tab/>
            </w:r>
            <w:r>
              <w:rPr>
                <w:rFonts w:ascii="SimHei" w:hAnsi="SimHei" w:eastAsia="SimHei" w:cs="SimHei"/>
                <w:sz w:val="21"/>
                <w:szCs w:val="21"/>
                <w:spacing w:val="-22"/>
              </w:rPr>
              <w:t xml:space="preserve"> </w:t>
            </w:r>
            <w:r>
              <w:rPr>
                <w:rFonts w:ascii="Times New Roman" w:hAnsi="Times New Roman" w:eastAsia="Times New Roman" w:cs="Times New Roman"/>
                <w:sz w:val="21"/>
                <w:szCs w:val="21"/>
                <w:spacing w:val="-1"/>
              </w:rPr>
              <w:t>210</w:t>
            </w:r>
          </w:hyperlink>
        </w:p>
        <w:p>
          <w:pPr>
            <w:pStyle w:val="BodyText"/>
            <w:spacing w:line="248" w:lineRule="auto"/>
            <w:rPr/>
          </w:pPr>
          <w:r/>
        </w:p>
        <w:p>
          <w:pPr>
            <w:pStyle w:val="BodyText"/>
            <w:spacing w:line="249" w:lineRule="auto"/>
            <w:rPr/>
          </w:pPr>
          <w:r/>
        </w:p>
        <w:p>
          <w:pPr>
            <w:spacing w:before="69" w:line="221" w:lineRule="auto"/>
            <w:tabs>
              <w:tab w:val="right" w:leader="dot" w:pos="13050"/>
            </w:tabs>
            <w:rPr>
              <w:rFonts w:ascii="Times New Roman" w:hAnsi="Times New Roman" w:eastAsia="Times New Roman" w:cs="Times New Roman"/>
              <w:sz w:val="21"/>
              <w:szCs w:val="21"/>
            </w:rPr>
          </w:pPr>
          <w:hyperlink w:history="true" w:anchor="bookmark159">
            <w:r>
              <w:rPr>
                <w:rFonts w:ascii="SimHei" w:hAnsi="SimHei" w:eastAsia="SimHei" w:cs="SimHei"/>
                <w:sz w:val="21"/>
                <w:szCs w:val="21"/>
                <w:spacing w:val="11"/>
              </w:rPr>
              <w:t>第一百二十三条</w:t>
            </w:r>
            <w:r>
              <w:rPr>
                <w:rFonts w:ascii="SimHei" w:hAnsi="SimHei" w:eastAsia="SimHei" w:cs="SimHei"/>
                <w:sz w:val="21"/>
                <w:szCs w:val="21"/>
                <w:spacing w:val="11"/>
              </w:rPr>
              <w:t xml:space="preserve"> </w:t>
            </w:r>
            <w:r>
              <w:rPr>
                <w:rFonts w:ascii="SimHei" w:hAnsi="SimHei" w:eastAsia="SimHei" w:cs="SimHei"/>
                <w:sz w:val="21"/>
                <w:szCs w:val="21"/>
                <w:spacing w:val="11"/>
              </w:rPr>
              <w:t>在同一个实验室的同一个独立安全区域内同时从事两种或者两种以上高致病性病原微生物的相关实验活动的</w:t>
            </w:r>
            <w:r>
              <w:rPr>
                <w:rFonts w:ascii="SimHei" w:hAnsi="SimHei" w:eastAsia="SimHei" w:cs="SimHei"/>
                <w:sz w:val="21"/>
                <w:szCs w:val="21"/>
                <w:spacing w:val="-77"/>
              </w:rPr>
              <w:t xml:space="preserve"> </w:t>
            </w:r>
            <w:r>
              <w:rPr>
                <w:rFonts w:ascii="SimHei" w:hAnsi="SimHei" w:eastAsia="SimHei" w:cs="SimHei"/>
                <w:sz w:val="21"/>
                <w:szCs w:val="21"/>
              </w:rPr>
              <w:tab/>
            </w:r>
            <w:r>
              <w:rPr>
                <w:rFonts w:ascii="SimHei" w:hAnsi="SimHei" w:eastAsia="SimHei" w:cs="SimHei"/>
                <w:sz w:val="21"/>
                <w:szCs w:val="21"/>
                <w:spacing w:val="-52"/>
              </w:rPr>
              <w:t xml:space="preserve"> </w:t>
            </w:r>
            <w:r>
              <w:rPr>
                <w:rFonts w:ascii="Times New Roman" w:hAnsi="Times New Roman" w:eastAsia="Times New Roman" w:cs="Times New Roman"/>
                <w:sz w:val="21"/>
                <w:szCs w:val="21"/>
                <w:spacing w:val="-1"/>
              </w:rPr>
              <w:t>211</w:t>
            </w:r>
          </w:hyperlink>
        </w:p>
      </w:sdtContent>
    </w:sdt>
    <w:p>
      <w:pPr>
        <w:spacing w:line="221" w:lineRule="auto"/>
        <w:sectPr>
          <w:footerReference w:type="default" r:id="rId16"/>
          <w:pgSz w:w="16830" w:h="11900"/>
          <w:pgMar w:top="1011" w:right="1419" w:bottom="1128" w:left="2290" w:header="0" w:footer="768" w:gutter="0"/>
        </w:sectPr>
        <w:rPr>
          <w:rFonts w:ascii="Times New Roman" w:hAnsi="Times New Roman" w:eastAsia="Times New Roman" w:cs="Times New Roman"/>
          <w:sz w:val="21"/>
          <w:szCs w:val="21"/>
        </w:rPr>
      </w:pPr>
    </w:p>
    <w:p>
      <w:pPr>
        <w:pStyle w:val="BodyText"/>
        <w:spacing w:line="307" w:lineRule="auto"/>
        <w:rPr/>
      </w:pPr>
      <w:r/>
    </w:p>
    <w:p>
      <w:pPr>
        <w:pStyle w:val="BodyText"/>
        <w:spacing w:line="307" w:lineRule="auto"/>
        <w:rPr/>
      </w:pPr>
      <w:r/>
    </w:p>
    <w:p>
      <w:pPr>
        <w:pStyle w:val="BodyText"/>
        <w:spacing w:line="308" w:lineRule="auto"/>
        <w:rPr/>
      </w:pPr>
      <w:r/>
    </w:p>
    <w:p>
      <w:pPr>
        <w:ind w:left="339"/>
        <w:spacing w:before="68" w:line="213" w:lineRule="auto"/>
        <w:rPr>
          <w:rFonts w:ascii="SimHei" w:hAnsi="SimHei" w:eastAsia="SimHei" w:cs="SimHei"/>
          <w:sz w:val="21"/>
          <w:szCs w:val="21"/>
        </w:rPr>
      </w:pPr>
      <w:r>
        <w:rPr>
          <w:rFonts w:ascii="SimHei" w:hAnsi="SimHei" w:eastAsia="SimHei" w:cs="SimHei"/>
          <w:sz w:val="21"/>
          <w:szCs w:val="21"/>
          <w:spacing w:val="12"/>
        </w:rPr>
        <w:t>第一百二十四条</w:t>
      </w:r>
      <w:r>
        <w:rPr>
          <w:rFonts w:ascii="SimHei" w:hAnsi="SimHei" w:eastAsia="SimHei" w:cs="SimHei"/>
          <w:sz w:val="21"/>
          <w:szCs w:val="21"/>
          <w:spacing w:val="39"/>
        </w:rPr>
        <w:t xml:space="preserve"> </w:t>
      </w:r>
      <w:r>
        <w:rPr>
          <w:rFonts w:ascii="SimHei" w:hAnsi="SimHei" w:eastAsia="SimHei" w:cs="SimHei"/>
          <w:sz w:val="21"/>
          <w:szCs w:val="21"/>
          <w:spacing w:val="12"/>
        </w:rPr>
        <w:t>实验室工作人员出现该实验</w:t>
      </w:r>
      <w:r>
        <w:rPr>
          <w:rFonts w:ascii="SimHei" w:hAnsi="SimHei" w:eastAsia="SimHei" w:cs="SimHei"/>
          <w:sz w:val="21"/>
          <w:szCs w:val="21"/>
          <w:spacing w:val="11"/>
        </w:rPr>
        <w:t>室从事的病原微生物相关实验活动有关的感染临床症状或者体征，以及实验室发生高致病</w:t>
      </w:r>
    </w:p>
    <w:p>
      <w:pPr>
        <w:pStyle w:val="BodyText"/>
        <w:spacing w:line="317" w:lineRule="auto"/>
        <w:rPr/>
      </w:pPr>
      <w:r/>
    </w:p>
    <w:p>
      <w:pPr>
        <w:ind w:left="339"/>
        <w:spacing w:before="68" w:line="213" w:lineRule="auto"/>
        <w:rPr>
          <w:rFonts w:ascii="SimHei" w:hAnsi="SimHei" w:eastAsia="SimHei" w:cs="SimHei"/>
          <w:sz w:val="21"/>
          <w:szCs w:val="21"/>
        </w:rPr>
      </w:pPr>
      <w:r>
        <w:rPr>
          <w:rFonts w:ascii="SimHei" w:hAnsi="SimHei" w:eastAsia="SimHei" w:cs="SimHei"/>
          <w:sz w:val="21"/>
          <w:szCs w:val="21"/>
          <w:spacing w:val="10"/>
        </w:rPr>
        <w:t>性病原微生物泄漏时，实验室负责人、实验室工作人员、负责实验室感染控制的专门机构或者人员未依照规定报告的，或者未依照规定</w:t>
      </w:r>
    </w:p>
    <w:p>
      <w:pPr>
        <w:pStyle w:val="BodyText"/>
        <w:spacing w:line="316" w:lineRule="auto"/>
        <w:rPr/>
      </w:pPr>
      <w:r/>
    </w:p>
    <w:sdt>
      <w:sdtPr>
        <w:rPr>
          <w:rFonts w:ascii="SimHei" w:hAnsi="SimHei" w:eastAsia="SimHei" w:cs="SimHei"/>
          <w:sz w:val="21"/>
          <w:szCs w:val="21"/>
        </w:rPr>
        <w:docPartObj>
          <w:docPartGallery w:val="Table of Contents"/>
          <w:docPartUnique/>
        </w:docPartObj>
      </w:sdtPr>
      <w:sdtEndPr>
        <w:rPr/>
      </w:sdtEndPr>
      <w:sdtContent>
        <w:p>
          <w:pPr>
            <w:ind w:left="320"/>
            <w:spacing w:before="68" w:line="221" w:lineRule="auto"/>
            <w:tabs>
              <w:tab w:val="right" w:leader="dot" w:pos="13220"/>
            </w:tabs>
            <w:rPr>
              <w:rFonts w:ascii="SimHei" w:hAnsi="SimHei" w:eastAsia="SimHei" w:cs="SimHei"/>
              <w:sz w:val="11"/>
              <w:szCs w:val="11"/>
            </w:rPr>
          </w:pPr>
          <w:hyperlink w:history="true" w:anchor="bookmark160">
            <w:r>
              <w:rPr>
                <w:rFonts w:ascii="SimHei" w:hAnsi="SimHei" w:eastAsia="SimHei" w:cs="SimHei"/>
                <w:sz w:val="21"/>
                <w:szCs w:val="21"/>
                <w:spacing w:val="13"/>
              </w:rPr>
              <w:t>采取控制措施的</w:t>
            </w:r>
            <w:r>
              <w:rPr>
                <w:rFonts w:ascii="SimHei" w:hAnsi="SimHei" w:eastAsia="SimHei" w:cs="SimHei"/>
                <w:sz w:val="21"/>
                <w:szCs w:val="21"/>
                <w:spacing w:val="13"/>
              </w:rPr>
              <w:t xml:space="preserve"> </w:t>
            </w:r>
            <w:r>
              <w:rPr>
                <w:rFonts w:ascii="SimHei" w:hAnsi="SimHei" w:eastAsia="SimHei" w:cs="SimHei"/>
                <w:sz w:val="21"/>
                <w:szCs w:val="21"/>
              </w:rPr>
              <w:tab/>
            </w:r>
            <w:r>
              <w:rPr>
                <w:rFonts w:ascii="SimHei" w:hAnsi="SimHei" w:eastAsia="SimHei" w:cs="SimHei"/>
                <w:sz w:val="21"/>
                <w:szCs w:val="21"/>
                <w:spacing w:val="-14"/>
              </w:rPr>
              <w:t xml:space="preserve"> </w:t>
            </w:r>
            <w:r>
              <w:rPr>
                <w:rFonts w:ascii="SimHei" w:hAnsi="SimHei" w:eastAsia="SimHei" w:cs="SimHei"/>
                <w:sz w:val="11"/>
                <w:szCs w:val="11"/>
                <w:spacing w:val="-1"/>
              </w:rPr>
              <w:t>212</w:t>
            </w:r>
          </w:hyperlink>
        </w:p>
        <w:p>
          <w:pPr>
            <w:pStyle w:val="BodyText"/>
            <w:spacing w:line="328" w:lineRule="auto"/>
            <w:rPr/>
          </w:pPr>
          <w:r/>
        </w:p>
        <w:p>
          <w:pPr>
            <w:ind w:left="350"/>
            <w:spacing w:before="68" w:line="221" w:lineRule="auto"/>
            <w:rPr>
              <w:rFonts w:ascii="SimHei" w:hAnsi="SimHei" w:eastAsia="SimHei" w:cs="SimHei"/>
              <w:sz w:val="21"/>
              <w:szCs w:val="21"/>
            </w:rPr>
          </w:pPr>
          <w:hyperlink w:history="true" w:anchor="bookmark161">
            <w:r>
              <w:rPr>
                <w:rFonts w:ascii="SimHei" w:hAnsi="SimHei" w:eastAsia="SimHei" w:cs="SimHei"/>
                <w:sz w:val="21"/>
                <w:szCs w:val="21"/>
                <w:spacing w:val="12"/>
              </w:rPr>
              <w:t>第一百二十五条</w:t>
            </w:r>
            <w:r>
              <w:rPr>
                <w:rFonts w:ascii="SimHei" w:hAnsi="SimHei" w:eastAsia="SimHei" w:cs="SimHei"/>
                <w:sz w:val="21"/>
                <w:szCs w:val="21"/>
                <w:spacing w:val="12"/>
              </w:rPr>
              <w:t xml:space="preserve"> </w:t>
            </w:r>
            <w:r>
              <w:rPr>
                <w:rFonts w:ascii="SimHei" w:hAnsi="SimHei" w:eastAsia="SimHei" w:cs="SimHei"/>
                <w:sz w:val="21"/>
                <w:szCs w:val="21"/>
                <w:spacing w:val="12"/>
              </w:rPr>
              <w:t>拒绝接受卫生主管部门依法开展有关高致病性病原微生</w:t>
            </w:r>
            <w:r>
              <w:rPr>
                <w:rFonts w:ascii="SimHei" w:hAnsi="SimHei" w:eastAsia="SimHei" w:cs="SimHei"/>
                <w:sz w:val="21"/>
                <w:szCs w:val="21"/>
                <w:spacing w:val="11"/>
              </w:rPr>
              <w:t>物扩散的调查取证、采集样品等活动或者依照本条例规定采取</w:t>
            </w:r>
          </w:hyperlink>
        </w:p>
        <w:p>
          <w:pPr>
            <w:ind w:left="320"/>
            <w:spacing w:before="69" w:line="187" w:lineRule="auto"/>
            <w:tabs>
              <w:tab w:val="right" w:leader="dot" w:pos="12909"/>
            </w:tabs>
            <w:rPr>
              <w:rFonts w:ascii="SimHei" w:hAnsi="SimHei" w:eastAsia="SimHei" w:cs="SimHei"/>
              <w:sz w:val="21"/>
              <w:szCs w:val="21"/>
            </w:rPr>
          </w:pPr>
          <w:r>
            <w:pict>
              <v:shape id="_x0000_s4" style="position:absolute;margin-left:652.501pt;margin-top:6.39041pt;mso-position-vertical-relative:text;mso-position-horizontal-relative:text;width:10.1pt;height:9.25pt;z-index:251666432;" filled="false" stroked="false" type="#_x0000_t202">
                <v:fill on="false"/>
                <v:stroke on="false"/>
                <v:path/>
                <v:imagedata o:title=""/>
                <o:lock v:ext="edit" aspectratio="false"/>
                <v:textbox inset="0mm,0mm,0mm,0mm">
                  <w:txbxContent>
                    <w:p>
                      <w:pPr>
                        <w:ind w:left="20"/>
                        <w:spacing w:before="20" w:line="144" w:lineRule="exact"/>
                        <w:rPr>
                          <w:rFonts w:ascii="SimHei" w:hAnsi="SimHei" w:eastAsia="SimHei" w:cs="SimHei"/>
                          <w:sz w:val="11"/>
                          <w:szCs w:val="11"/>
                        </w:rPr>
                      </w:pPr>
                      <w:r>
                        <w:rPr>
                          <w:rFonts w:ascii="SimHei" w:hAnsi="SimHei" w:eastAsia="SimHei" w:cs="SimHei"/>
                          <w:sz w:val="11"/>
                          <w:szCs w:val="11"/>
                          <w:spacing w:val="-1"/>
                        </w:rPr>
                        <w:t>213</w:t>
                      </w:r>
                    </w:p>
                  </w:txbxContent>
                </v:textbox>
              </v:shape>
            </w:pict>
          </w:r>
          <w:hyperlink w:history="true" w:anchor="bookmark162">
            <w:r>
              <w:rPr>
                <w:rFonts w:ascii="SimHei" w:hAnsi="SimHei" w:eastAsia="SimHei" w:cs="SimHei"/>
                <w:sz w:val="21"/>
                <w:szCs w:val="21"/>
                <w:spacing w:val="10"/>
              </w:rPr>
              <w:t>有关预防、控制措施的</w:t>
            </w:r>
            <w:r>
              <w:rPr>
                <w:rFonts w:ascii="SimHei" w:hAnsi="SimHei" w:eastAsia="SimHei" w:cs="SimHei"/>
                <w:sz w:val="21"/>
                <w:szCs w:val="21"/>
                <w:spacing w:val="-37"/>
              </w:rPr>
              <w:t xml:space="preserve"> </w:t>
            </w:r>
            <w:r>
              <w:rPr>
                <w:rFonts w:ascii="SimHei" w:hAnsi="SimHei" w:eastAsia="SimHei" w:cs="SimHei"/>
                <w:sz w:val="21"/>
                <w:szCs w:val="21"/>
              </w:rPr>
              <w:tab/>
            </w:r>
          </w:hyperlink>
        </w:p>
      </w:sdtContent>
    </w:sdt>
    <w:sdt>
      <w:sdtPr>
        <w:rPr>
          <w:rFonts w:ascii="Arial" w:hAnsi="Arial" w:eastAsia="Arial" w:cs="Arial"/>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350"/>
            <w:spacing w:before="278" w:line="213" w:lineRule="auto"/>
            <w:rPr>
              <w:rFonts w:ascii="SimHei" w:hAnsi="SimHei" w:eastAsia="SimHei" w:cs="SimHei"/>
              <w:sz w:val="21"/>
              <w:szCs w:val="21"/>
            </w:rPr>
          </w:pPr>
          <w:hyperlink w:history="true" w:anchor="bookmark163">
            <w:r>
              <w:rPr>
                <w:rFonts w:ascii="SimHei" w:hAnsi="SimHei" w:eastAsia="SimHei" w:cs="SimHei"/>
                <w:sz w:val="21"/>
                <w:szCs w:val="21"/>
                <w:spacing w:val="12"/>
              </w:rPr>
              <w:t>第一百二十六条</w:t>
            </w:r>
            <w:r>
              <w:rPr>
                <w:rFonts w:ascii="SimHei" w:hAnsi="SimHei" w:eastAsia="SimHei" w:cs="SimHei"/>
                <w:sz w:val="21"/>
                <w:szCs w:val="21"/>
                <w:spacing w:val="35"/>
              </w:rPr>
              <w:t xml:space="preserve"> </w:t>
            </w:r>
            <w:r>
              <w:rPr>
                <w:rFonts w:ascii="SimHei" w:hAnsi="SimHei" w:eastAsia="SimHei" w:cs="SimHei"/>
                <w:sz w:val="21"/>
                <w:szCs w:val="21"/>
                <w:spacing w:val="12"/>
              </w:rPr>
              <w:t>发生病原微生物被盗、被抢、丢失、</w:t>
            </w:r>
            <w:r>
              <w:rPr>
                <w:rFonts w:ascii="SimHei" w:hAnsi="SimHei" w:eastAsia="SimHei" w:cs="SimHei"/>
                <w:sz w:val="21"/>
                <w:szCs w:val="21"/>
                <w:spacing w:val="11"/>
              </w:rPr>
              <w:t>泄露，承运单位、胡送人、保藏机构和实验室的设立单位未依照本条例规定报告</w:t>
            </w:r>
          </w:hyperlink>
        </w:p>
        <w:p>
          <w:pPr>
            <w:ind w:left="320"/>
            <w:spacing w:before="79" w:line="223" w:lineRule="auto"/>
            <w:tabs>
              <w:tab w:val="right" w:leader="dot" w:pos="13230"/>
            </w:tabs>
            <w:rPr>
              <w:rFonts w:ascii="SimHei" w:hAnsi="SimHei" w:eastAsia="SimHei" w:cs="SimHei"/>
              <w:sz w:val="11"/>
              <w:szCs w:val="11"/>
            </w:rPr>
          </w:pPr>
          <w:hyperlink w:history="true" w:anchor="bookmark163">
            <w:r>
              <w:rPr>
                <w:rFonts w:ascii="SimHei" w:hAnsi="SimHei" w:eastAsia="SimHei" w:cs="SimHei"/>
                <w:sz w:val="21"/>
                <w:szCs w:val="21"/>
                <w:spacing w:val="-20"/>
              </w:rPr>
              <w:t>的</w:t>
            </w:r>
            <w:r>
              <w:rPr>
                <w:rFonts w:ascii="SimHei" w:hAnsi="SimHei" w:eastAsia="SimHei" w:cs="SimHei"/>
                <w:sz w:val="21"/>
                <w:szCs w:val="21"/>
                <w:spacing w:val="-6"/>
              </w:rPr>
              <w:t xml:space="preserve"> </w:t>
            </w:r>
            <w:r>
              <w:rPr>
                <w:rFonts w:ascii="SimHei" w:hAnsi="SimHei" w:eastAsia="SimHei" w:cs="SimHei"/>
                <w:sz w:val="21"/>
                <w:szCs w:val="21"/>
              </w:rPr>
              <w:tab/>
            </w:r>
            <w:r>
              <w:rPr>
                <w:rFonts w:ascii="SimHei" w:hAnsi="SimHei" w:eastAsia="SimHei" w:cs="SimHei"/>
                <w:sz w:val="21"/>
                <w:szCs w:val="21"/>
                <w:spacing w:val="15"/>
              </w:rPr>
              <w:t xml:space="preserve"> </w:t>
            </w:r>
            <w:r>
              <w:rPr>
                <w:rFonts w:ascii="SimHei" w:hAnsi="SimHei" w:eastAsia="SimHei" w:cs="SimHei"/>
                <w:sz w:val="11"/>
                <w:szCs w:val="11"/>
                <w:color w:val="102040"/>
              </w:rPr>
              <w:t>……………………………………………………………………………………………………………………………………………………</w:t>
            </w:r>
            <w:r>
              <w:rPr>
                <w:rFonts w:ascii="SimHei" w:hAnsi="SimHei" w:eastAsia="SimHei" w:cs="SimHei"/>
                <w:sz w:val="11"/>
                <w:szCs w:val="11"/>
                <w:color w:val="102040"/>
              </w:rPr>
              <w:t xml:space="preserve"> </w:t>
            </w:r>
            <w:r>
              <w:rPr>
                <w:rFonts w:ascii="SimHei" w:hAnsi="SimHei" w:eastAsia="SimHei" w:cs="SimHei"/>
                <w:sz w:val="11"/>
                <w:szCs w:val="11"/>
                <w:color w:val="102040"/>
                <w:spacing w:val="-1"/>
              </w:rPr>
              <w:t xml:space="preserve"> </w:t>
            </w:r>
            <w:r>
              <w:rPr>
                <w:rFonts w:ascii="SimHei" w:hAnsi="SimHei" w:eastAsia="SimHei" w:cs="SimHei"/>
                <w:sz w:val="11"/>
                <w:szCs w:val="11"/>
                <w:color w:val="102040"/>
                <w:spacing w:val="-1"/>
              </w:rPr>
              <w:t>214</w:t>
            </w:r>
          </w:hyperlink>
        </w:p>
        <w:p>
          <w:pPr>
            <w:ind w:left="320"/>
            <w:spacing w:before="265" w:line="213" w:lineRule="auto"/>
            <w:tabs>
              <w:tab w:val="right" w:leader="dot" w:pos="13410"/>
            </w:tabs>
            <w:rPr>
              <w:rFonts w:ascii="Times New Roman" w:hAnsi="Times New Roman" w:eastAsia="Times New Roman" w:cs="Times New Roman"/>
              <w:sz w:val="21"/>
              <w:szCs w:val="21"/>
            </w:rPr>
          </w:pPr>
          <w:hyperlink w:history="true" w:anchor="bookmark164">
            <w:r>
              <w:rPr>
                <w:rFonts w:ascii="SimHei" w:hAnsi="SimHei" w:eastAsia="SimHei" w:cs="SimHei"/>
                <w:sz w:val="21"/>
                <w:szCs w:val="21"/>
                <w:spacing w:val="21"/>
              </w:rPr>
              <w:t>第一百二十七条</w:t>
            </w:r>
            <w:r>
              <w:rPr>
                <w:rFonts w:ascii="SimHei" w:hAnsi="SimHei" w:eastAsia="SimHei" w:cs="SimHei"/>
                <w:sz w:val="21"/>
                <w:szCs w:val="21"/>
                <w:spacing w:val="50"/>
              </w:rPr>
              <w:t xml:space="preserve"> </w:t>
            </w:r>
            <w:r>
              <w:rPr>
                <w:rFonts w:ascii="SimHei" w:hAnsi="SimHei" w:eastAsia="SimHei" w:cs="SimHei"/>
                <w:sz w:val="21"/>
                <w:szCs w:val="21"/>
                <w:spacing w:val="21"/>
              </w:rPr>
              <w:t>保藏机构未依照规定储存实验室送交的菌(毒)种和样</w:t>
            </w:r>
            <w:r>
              <w:rPr>
                <w:rFonts w:ascii="SimHei" w:hAnsi="SimHei" w:eastAsia="SimHei" w:cs="SimHei"/>
                <w:sz w:val="21"/>
                <w:szCs w:val="21"/>
                <w:spacing w:val="20"/>
              </w:rPr>
              <w:t>本，或者未依照规定提供菌(毒)种和样本的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71"/>
              </w:rPr>
              <w:t xml:space="preserve"> </w:t>
            </w:r>
            <w:r>
              <w:rPr>
                <w:rFonts w:ascii="Times New Roman" w:hAnsi="Times New Roman" w:eastAsia="Times New Roman" w:cs="Times New Roman"/>
                <w:sz w:val="21"/>
                <w:szCs w:val="21"/>
                <w:spacing w:val="-2"/>
              </w:rPr>
              <w:t>215</w:t>
            </w:r>
          </w:hyperlink>
        </w:p>
        <w:p>
          <w:pPr>
            <w:spacing w:before="295" w:line="212" w:lineRule="auto"/>
            <w:tabs>
              <w:tab w:val="right" w:leader="dot" w:pos="13350"/>
            </w:tabs>
            <w:rPr>
              <w:rFonts w:ascii="Times New Roman" w:hAnsi="Times New Roman" w:eastAsia="Times New Roman" w:cs="Times New Roman"/>
              <w:sz w:val="21"/>
              <w:szCs w:val="21"/>
            </w:rPr>
          </w:pPr>
          <w:hyperlink w:history="true" w:anchor="bookmark165">
            <w:r>
              <w:rPr>
                <w:rFonts w:ascii="Times New Roman" w:hAnsi="Times New Roman" w:eastAsia="Times New Roman" w:cs="Times New Roman"/>
                <w:sz w:val="21"/>
                <w:szCs w:val="21"/>
                <w:spacing w:val="9"/>
              </w:rPr>
              <w:t>( </w:t>
            </w:r>
            <w:r>
              <w:rPr>
                <w:rFonts w:ascii="KaiTi" w:hAnsi="KaiTi" w:eastAsia="KaiTi" w:cs="KaiTi"/>
                <w:sz w:val="21"/>
                <w:szCs w:val="21"/>
                <w:spacing w:val="9"/>
              </w:rPr>
              <w:t>十三)《性病防治管理办法》</w:t>
            </w:r>
            <w:r>
              <w:rPr>
                <w:rFonts w:ascii="KaiTi" w:hAnsi="KaiTi" w:eastAsia="KaiTi" w:cs="KaiTi"/>
                <w:sz w:val="21"/>
                <w:szCs w:val="21"/>
                <w:spacing w:val="-69"/>
              </w:rPr>
              <w:t xml:space="preserve"> </w:t>
            </w:r>
            <w:r>
              <w:rPr>
                <w:rFonts w:ascii="KaiTi" w:hAnsi="KaiTi" w:eastAsia="KaiTi" w:cs="KaiTi"/>
                <w:sz w:val="21"/>
                <w:szCs w:val="21"/>
              </w:rPr>
              <w:tab/>
            </w:r>
            <w:r>
              <w:rPr>
                <w:rFonts w:ascii="KaiTi" w:hAnsi="KaiTi" w:eastAsia="KaiTi" w:cs="KaiTi"/>
                <w:sz w:val="21"/>
                <w:szCs w:val="21"/>
                <w:spacing w:val="-41"/>
              </w:rPr>
              <w:t xml:space="preserve"> </w:t>
            </w:r>
            <w:r>
              <w:rPr>
                <w:rFonts w:ascii="Times New Roman" w:hAnsi="Times New Roman" w:eastAsia="Times New Roman" w:cs="Times New Roman"/>
                <w:sz w:val="21"/>
                <w:szCs w:val="21"/>
                <w:spacing w:val="-1"/>
              </w:rPr>
              <w:t>216</w:t>
            </w:r>
          </w:hyperlink>
        </w:p>
        <w:p>
          <w:pPr>
            <w:pStyle w:val="BodyText"/>
            <w:spacing w:line="320" w:lineRule="auto"/>
            <w:rPr/>
          </w:pPr>
          <w:r/>
        </w:p>
        <w:p>
          <w:pPr>
            <w:ind w:left="320"/>
            <w:spacing w:before="69" w:line="221" w:lineRule="auto"/>
            <w:tabs>
              <w:tab w:val="right" w:leader="dot" w:pos="13280"/>
            </w:tabs>
            <w:rPr>
              <w:rFonts w:ascii="Times New Roman" w:hAnsi="Times New Roman" w:eastAsia="Times New Roman" w:cs="Times New Roman"/>
              <w:sz w:val="21"/>
              <w:szCs w:val="21"/>
            </w:rPr>
          </w:pPr>
          <w:hyperlink w:history="true" w:anchor="bookmark166">
            <w:r>
              <w:rPr>
                <w:rFonts w:ascii="SimHei" w:hAnsi="SimHei" w:eastAsia="SimHei" w:cs="SimHei"/>
                <w:sz w:val="21"/>
                <w:szCs w:val="21"/>
                <w:spacing w:val="12"/>
              </w:rPr>
              <w:t>第一百二十八条</w:t>
            </w:r>
            <w:r>
              <w:rPr>
                <w:rFonts w:ascii="SimHei" w:hAnsi="SimHei" w:eastAsia="SimHei" w:cs="SimHei"/>
                <w:sz w:val="21"/>
                <w:szCs w:val="21"/>
                <w:spacing w:val="44"/>
              </w:rPr>
              <w:t xml:space="preserve"> </w:t>
            </w:r>
            <w:r>
              <w:rPr>
                <w:rFonts w:ascii="SimHei" w:hAnsi="SimHei" w:eastAsia="SimHei" w:cs="SimHei"/>
                <w:sz w:val="21"/>
                <w:szCs w:val="21"/>
                <w:spacing w:val="12"/>
              </w:rPr>
              <w:t>医疗机构提供性病诊疗服务时</w:t>
            </w:r>
            <w:r>
              <w:rPr>
                <w:rFonts w:ascii="SimHei" w:hAnsi="SimHei" w:eastAsia="SimHei" w:cs="SimHei"/>
                <w:sz w:val="21"/>
                <w:szCs w:val="21"/>
                <w:spacing w:val="11"/>
              </w:rPr>
              <w:t>违反诊疗规范的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3"/>
              </w:rPr>
              <w:t>216</w:t>
            </w:r>
          </w:hyperlink>
        </w:p>
        <w:p>
          <w:pPr>
            <w:pStyle w:val="BodyText"/>
            <w:spacing w:line="286" w:lineRule="auto"/>
            <w:rPr/>
          </w:pPr>
          <w:r/>
        </w:p>
        <w:p>
          <w:pPr>
            <w:spacing w:before="69" w:line="212" w:lineRule="auto"/>
            <w:tabs>
              <w:tab w:val="right" w:leader="dot" w:pos="13330"/>
            </w:tabs>
            <w:rPr>
              <w:rFonts w:ascii="Times New Roman" w:hAnsi="Times New Roman" w:eastAsia="Times New Roman" w:cs="Times New Roman"/>
              <w:sz w:val="21"/>
              <w:szCs w:val="21"/>
            </w:rPr>
          </w:pPr>
          <w:hyperlink w:history="true" w:anchor="bookmark167">
            <w:r>
              <w:rPr>
                <w:rFonts w:ascii="Times New Roman" w:hAnsi="Times New Roman" w:eastAsia="Times New Roman" w:cs="Times New Roman"/>
                <w:sz w:val="21"/>
                <w:szCs w:val="21"/>
                <w:spacing w:val="13"/>
              </w:rPr>
              <w:t>(</w:t>
            </w:r>
            <w:r>
              <w:rPr>
                <w:rFonts w:ascii="KaiTi" w:hAnsi="KaiTi" w:eastAsia="KaiTi" w:cs="KaiTi"/>
                <w:sz w:val="21"/>
                <w:szCs w:val="21"/>
                <w:spacing w:val="13"/>
              </w:rPr>
              <w:t>十四)《结核病防治管理办法》</w:t>
            </w:r>
            <w:r>
              <w:rPr>
                <w:rFonts w:ascii="KaiTi" w:hAnsi="KaiTi" w:eastAsia="KaiTi" w:cs="KaiTi"/>
                <w:sz w:val="21"/>
                <w:szCs w:val="21"/>
                <w:spacing w:val="-76"/>
              </w:rPr>
              <w:t xml:space="preserve"> </w:t>
            </w:r>
            <w:r>
              <w:rPr>
                <w:rFonts w:ascii="KaiTi" w:hAnsi="KaiTi" w:eastAsia="KaiTi" w:cs="KaiTi"/>
                <w:sz w:val="21"/>
                <w:szCs w:val="21"/>
              </w:rPr>
              <w:tab/>
            </w:r>
            <w:r>
              <w:rPr>
                <w:rFonts w:ascii="KaiTi" w:hAnsi="KaiTi" w:eastAsia="KaiTi" w:cs="KaiTi"/>
                <w:sz w:val="21"/>
                <w:szCs w:val="21"/>
                <w:spacing w:val="-61"/>
              </w:rPr>
              <w:t xml:space="preserve"> </w:t>
            </w:r>
            <w:r>
              <w:rPr>
                <w:rFonts w:ascii="Times New Roman" w:hAnsi="Times New Roman" w:eastAsia="Times New Roman" w:cs="Times New Roman"/>
                <w:sz w:val="21"/>
                <w:szCs w:val="21"/>
                <w:spacing w:val="-1"/>
              </w:rPr>
              <w:t>217</w:t>
            </w:r>
          </w:hyperlink>
        </w:p>
        <w:p>
          <w:pPr>
            <w:pStyle w:val="BodyText"/>
            <w:spacing w:line="371" w:lineRule="auto"/>
            <w:rPr/>
          </w:pPr>
          <w:r/>
        </w:p>
        <w:p>
          <w:pPr>
            <w:ind w:left="320"/>
            <w:spacing w:before="68" w:line="213" w:lineRule="auto"/>
            <w:tabs>
              <w:tab w:val="right" w:leader="dot" w:pos="13310"/>
            </w:tabs>
            <w:rPr>
              <w:rFonts w:ascii="Times New Roman" w:hAnsi="Times New Roman" w:eastAsia="Times New Roman" w:cs="Times New Roman"/>
              <w:sz w:val="21"/>
              <w:szCs w:val="21"/>
            </w:rPr>
          </w:pPr>
          <w:hyperlink w:history="true" w:anchor="bookmark168">
            <w:r>
              <w:rPr>
                <w:rFonts w:ascii="SimHei" w:hAnsi="SimHei" w:eastAsia="SimHei" w:cs="SimHei"/>
                <w:sz w:val="21"/>
                <w:szCs w:val="21"/>
                <w:spacing w:val="10"/>
              </w:rPr>
              <w:t>第一百二十九条</w:t>
            </w:r>
            <w:r>
              <w:rPr>
                <w:rFonts w:ascii="SimHei" w:hAnsi="SimHei" w:eastAsia="SimHei" w:cs="SimHei"/>
                <w:sz w:val="21"/>
                <w:szCs w:val="21"/>
                <w:spacing w:val="10"/>
              </w:rPr>
              <w:t xml:space="preserve"> </w:t>
            </w:r>
            <w:r>
              <w:rPr>
                <w:rFonts w:ascii="SimHei" w:hAnsi="SimHei" w:eastAsia="SimHei" w:cs="SimHei"/>
                <w:sz w:val="21"/>
                <w:szCs w:val="21"/>
                <w:spacing w:val="10"/>
              </w:rPr>
              <w:t>疾病预防控制机构未依法履行肺结核疫情监测、报告职责，或者隐瞒、谎报、缓报肺结核疫情的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217</w:t>
            </w:r>
          </w:hyperlink>
        </w:p>
        <w:p>
          <w:pPr>
            <w:pStyle w:val="BodyText"/>
            <w:spacing w:line="258" w:lineRule="auto"/>
            <w:rPr/>
          </w:pPr>
          <w:r/>
        </w:p>
        <w:p>
          <w:pPr>
            <w:pStyle w:val="BodyText"/>
            <w:spacing w:line="258" w:lineRule="auto"/>
            <w:rPr/>
          </w:pPr>
          <w:r/>
        </w:p>
        <w:p>
          <w:pPr>
            <w:ind w:left="320"/>
            <w:spacing w:before="69" w:line="213" w:lineRule="auto"/>
            <w:tabs>
              <w:tab w:val="right" w:leader="dot" w:pos="13300"/>
            </w:tabs>
            <w:rPr>
              <w:rFonts w:ascii="Times New Roman" w:hAnsi="Times New Roman" w:eastAsia="Times New Roman" w:cs="Times New Roman"/>
              <w:sz w:val="21"/>
              <w:szCs w:val="21"/>
            </w:rPr>
          </w:pPr>
          <w:hyperlink w:history="true" w:anchor="bookmark169">
            <w:r>
              <w:rPr>
                <w:rFonts w:ascii="SimHei" w:hAnsi="SimHei" w:eastAsia="SimHei" w:cs="SimHei"/>
                <w:sz w:val="21"/>
                <w:szCs w:val="21"/>
                <w:spacing w:val="12"/>
              </w:rPr>
              <w:t>第一百三十条</w:t>
            </w:r>
            <w:r>
              <w:rPr>
                <w:rFonts w:ascii="SimHei" w:hAnsi="SimHei" w:eastAsia="SimHei" w:cs="SimHei"/>
                <w:sz w:val="21"/>
                <w:szCs w:val="21"/>
                <w:spacing w:val="12"/>
              </w:rPr>
              <w:t xml:space="preserve"> </w:t>
            </w:r>
            <w:r>
              <w:rPr>
                <w:rFonts w:ascii="SimHei" w:hAnsi="SimHei" w:eastAsia="SimHei" w:cs="SimHei"/>
                <w:sz w:val="21"/>
                <w:szCs w:val="21"/>
                <w:spacing w:val="12"/>
              </w:rPr>
              <w:t>疾病预防控制机构发现肺结核疫情时，未依据职责及时采取措施的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rPr>
              <w:t>217</w:t>
            </w:r>
          </w:hyperlink>
        </w:p>
        <w:p>
          <w:pPr>
            <w:pStyle w:val="BodyText"/>
            <w:spacing w:line="257" w:lineRule="auto"/>
            <w:rPr/>
          </w:pPr>
          <w:r/>
        </w:p>
        <w:p>
          <w:pPr>
            <w:pStyle w:val="BodyText"/>
            <w:spacing w:line="258" w:lineRule="auto"/>
            <w:rPr/>
          </w:pPr>
          <w:r/>
        </w:p>
        <w:p>
          <w:pPr>
            <w:ind w:left="320"/>
            <w:spacing w:before="68" w:line="221" w:lineRule="auto"/>
            <w:tabs>
              <w:tab w:val="right" w:leader="dot" w:pos="13300"/>
            </w:tabs>
            <w:rPr>
              <w:rFonts w:ascii="Times New Roman" w:hAnsi="Times New Roman" w:eastAsia="Times New Roman" w:cs="Times New Roman"/>
              <w:sz w:val="21"/>
              <w:szCs w:val="21"/>
            </w:rPr>
          </w:pPr>
          <w:hyperlink w:history="true" w:anchor="bookmark170">
            <w:r>
              <w:rPr>
                <w:rFonts w:ascii="SimHei" w:hAnsi="SimHei" w:eastAsia="SimHei" w:cs="SimHei"/>
                <w:sz w:val="21"/>
                <w:szCs w:val="21"/>
                <w:spacing w:val="12"/>
              </w:rPr>
              <w:t>第一百三十一条</w:t>
            </w:r>
            <w:r>
              <w:rPr>
                <w:rFonts w:ascii="SimHei" w:hAnsi="SimHei" w:eastAsia="SimHei" w:cs="SimHei"/>
                <w:sz w:val="21"/>
                <w:szCs w:val="21"/>
                <w:spacing w:val="12"/>
              </w:rPr>
              <w:t xml:space="preserve"> </w:t>
            </w:r>
            <w:r>
              <w:rPr>
                <w:rFonts w:ascii="SimHei" w:hAnsi="SimHei" w:eastAsia="SimHei" w:cs="SimHei"/>
                <w:sz w:val="21"/>
                <w:szCs w:val="21"/>
                <w:spacing w:val="12"/>
              </w:rPr>
              <w:t>疾病预防控制机构故意泄露涉及肺结核患者、</w:t>
            </w:r>
            <w:r>
              <w:rPr>
                <w:rFonts w:ascii="SimHei" w:hAnsi="SimHei" w:eastAsia="SimHei" w:cs="SimHei"/>
                <w:sz w:val="21"/>
                <w:szCs w:val="21"/>
                <w:spacing w:val="11"/>
              </w:rPr>
              <w:t>疑似肺结核患者、密切接触者个人隐私的有关信息、资料</w:t>
            </w:r>
            <w:r>
              <w:rPr>
                <w:rFonts w:ascii="SimHei" w:hAnsi="SimHei" w:eastAsia="SimHei" w:cs="SimHei"/>
                <w:sz w:val="21"/>
                <w:szCs w:val="21"/>
                <w:spacing w:val="-83"/>
              </w:rPr>
              <w:t xml:space="preserve"> </w:t>
            </w:r>
            <w:r>
              <w:rPr>
                <w:rFonts w:ascii="SimHei" w:hAnsi="SimHei" w:eastAsia="SimHei" w:cs="SimHei"/>
                <w:sz w:val="21"/>
                <w:szCs w:val="21"/>
              </w:rPr>
              <w:tab/>
            </w:r>
            <w:r>
              <w:rPr>
                <w:rFonts w:ascii="Times New Roman" w:hAnsi="Times New Roman" w:eastAsia="Times New Roman" w:cs="Times New Roman"/>
                <w:sz w:val="21"/>
                <w:szCs w:val="21"/>
              </w:rPr>
              <w:t>218</w:t>
            </w:r>
          </w:hyperlink>
        </w:p>
      </w:sdtContent>
    </w:sdt>
    <w:p>
      <w:pPr>
        <w:spacing w:line="221" w:lineRule="auto"/>
        <w:sectPr>
          <w:footerReference w:type="default" r:id="rId17"/>
          <w:pgSz w:w="16830" w:h="11900"/>
          <w:pgMar w:top="1011" w:right="1449" w:bottom="1146" w:left="1969" w:header="0" w:footer="776" w:gutter="0"/>
        </w:sectPr>
        <w:rPr>
          <w:rFonts w:ascii="Times New Roman" w:hAnsi="Times New Roman" w:eastAsia="Times New Roman" w:cs="Times New Roman"/>
          <w:sz w:val="21"/>
          <w:szCs w:val="21"/>
        </w:rPr>
      </w:pPr>
    </w:p>
    <w:p>
      <w:pPr>
        <w:pStyle w:val="BodyText"/>
        <w:spacing w:line="310" w:lineRule="auto"/>
        <w:rPr/>
      </w:pPr>
      <w:r/>
    </w:p>
    <w:p>
      <w:pPr>
        <w:pStyle w:val="BodyText"/>
        <w:spacing w:line="310" w:lineRule="auto"/>
        <w:rPr/>
      </w:pPr>
      <w:r/>
    </w:p>
    <w:p>
      <w:pPr>
        <w:pStyle w:val="BodyText"/>
        <w:spacing w:line="311"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339"/>
            <w:spacing w:before="68" w:line="221" w:lineRule="auto"/>
            <w:tabs>
              <w:tab w:val="right" w:leader="dot" w:pos="13310"/>
            </w:tabs>
            <w:rPr>
              <w:rFonts w:ascii="Times New Roman" w:hAnsi="Times New Roman" w:eastAsia="Times New Roman" w:cs="Times New Roman"/>
              <w:sz w:val="21"/>
              <w:szCs w:val="21"/>
            </w:rPr>
          </w:pPr>
          <w:hyperlink w:history="true" w:anchor="bookmark171">
            <w:r>
              <w:rPr>
                <w:rFonts w:ascii="SimHei" w:hAnsi="SimHei" w:eastAsia="SimHei" w:cs="SimHei"/>
                <w:sz w:val="21"/>
                <w:szCs w:val="21"/>
                <w:spacing w:val="11"/>
              </w:rPr>
              <w:t>第一百三十二条</w:t>
            </w:r>
            <w:r>
              <w:rPr>
                <w:rFonts w:ascii="SimHei" w:hAnsi="SimHei" w:eastAsia="SimHei" w:cs="SimHei"/>
                <w:sz w:val="21"/>
                <w:szCs w:val="21"/>
                <w:spacing w:val="11"/>
              </w:rPr>
              <w:t xml:space="preserve"> </w:t>
            </w:r>
            <w:r>
              <w:rPr>
                <w:rFonts w:ascii="SimHei" w:hAnsi="SimHei" w:eastAsia="SimHei" w:cs="SimHei"/>
                <w:sz w:val="21"/>
                <w:szCs w:val="21"/>
                <w:spacing w:val="11"/>
              </w:rPr>
              <w:t>疾病预防控制机构未履行对辖区实验室质量控制、培训等防治职责的</w:t>
            </w:r>
            <w:r>
              <w:rPr>
                <w:rFonts w:ascii="SimHei" w:hAnsi="SimHei" w:eastAsia="SimHei" w:cs="SimHei"/>
                <w:sz w:val="21"/>
                <w:szCs w:val="21"/>
                <w:spacing w:val="-79"/>
              </w:rPr>
              <w:t xml:space="preserve"> </w:t>
            </w:r>
            <w:r>
              <w:rPr>
                <w:rFonts w:ascii="SimHei" w:hAnsi="SimHei" w:eastAsia="SimHei" w:cs="SimHei"/>
                <w:sz w:val="21"/>
                <w:szCs w:val="21"/>
              </w:rPr>
              <w:tab/>
            </w:r>
            <w:r>
              <w:rPr>
                <w:rFonts w:ascii="Times New Roman" w:hAnsi="Times New Roman" w:eastAsia="Times New Roman" w:cs="Times New Roman"/>
                <w:sz w:val="21"/>
                <w:szCs w:val="21"/>
              </w:rPr>
              <w:t>219</w:t>
            </w:r>
          </w:hyperlink>
        </w:p>
        <w:p>
          <w:pPr>
            <w:pStyle w:val="BodyText"/>
            <w:spacing w:line="244" w:lineRule="auto"/>
            <w:rPr/>
          </w:pPr>
          <w:r/>
        </w:p>
        <w:p>
          <w:pPr>
            <w:pStyle w:val="BodyText"/>
            <w:spacing w:line="244" w:lineRule="auto"/>
            <w:rPr/>
          </w:pPr>
          <w:r/>
        </w:p>
        <w:p>
          <w:pPr>
            <w:ind w:left="339"/>
            <w:spacing w:before="68" w:line="213" w:lineRule="auto"/>
            <w:tabs>
              <w:tab w:val="right" w:leader="dot" w:pos="13310"/>
            </w:tabs>
            <w:rPr>
              <w:rFonts w:ascii="Times New Roman" w:hAnsi="Times New Roman" w:eastAsia="Times New Roman" w:cs="Times New Roman"/>
              <w:sz w:val="21"/>
              <w:szCs w:val="21"/>
            </w:rPr>
          </w:pPr>
          <w:hyperlink w:history="true" w:anchor="bookmark172">
            <w:r>
              <w:rPr>
                <w:rFonts w:ascii="SimHei" w:hAnsi="SimHei" w:eastAsia="SimHei" w:cs="SimHei"/>
                <w:sz w:val="21"/>
                <w:szCs w:val="21"/>
                <w:spacing w:val="13"/>
              </w:rPr>
              <w:t>第一百三十三条</w:t>
            </w:r>
            <w:r>
              <w:rPr>
                <w:rFonts w:ascii="SimHei" w:hAnsi="SimHei" w:eastAsia="SimHei" w:cs="SimHei"/>
                <w:sz w:val="21"/>
                <w:szCs w:val="21"/>
                <w:spacing w:val="13"/>
              </w:rPr>
              <w:t xml:space="preserve"> </w:t>
            </w:r>
            <w:r>
              <w:rPr>
                <w:rFonts w:ascii="SimHei" w:hAnsi="SimHei" w:eastAsia="SimHei" w:cs="SimHei"/>
                <w:sz w:val="21"/>
                <w:szCs w:val="21"/>
                <w:spacing w:val="13"/>
              </w:rPr>
              <w:t>未按照规定报告肺结核疫情，或者隐瞒、谎报</w:t>
            </w:r>
            <w:r>
              <w:rPr>
                <w:rFonts w:ascii="SimHei" w:hAnsi="SimHei" w:eastAsia="SimHei" w:cs="SimHei"/>
                <w:sz w:val="21"/>
                <w:szCs w:val="21"/>
                <w:spacing w:val="12"/>
              </w:rPr>
              <w:t>、缓报肺结核疫情的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rPr>
              <w:t>219</w:t>
            </w:r>
          </w:hyperlink>
        </w:p>
        <w:p>
          <w:pPr>
            <w:pStyle w:val="BodyText"/>
            <w:spacing w:line="258" w:lineRule="auto"/>
            <w:rPr/>
          </w:pPr>
          <w:r/>
        </w:p>
        <w:p>
          <w:pPr>
            <w:pStyle w:val="BodyText"/>
            <w:spacing w:line="258" w:lineRule="auto"/>
            <w:rPr/>
          </w:pPr>
          <w:r/>
        </w:p>
        <w:p>
          <w:pPr>
            <w:ind w:left="339"/>
            <w:spacing w:before="68" w:line="213" w:lineRule="auto"/>
            <w:tabs>
              <w:tab w:val="right" w:leader="dot" w:pos="13310"/>
            </w:tabs>
            <w:rPr>
              <w:rFonts w:ascii="Times New Roman" w:hAnsi="Times New Roman" w:eastAsia="Times New Roman" w:cs="Times New Roman"/>
              <w:sz w:val="21"/>
              <w:szCs w:val="21"/>
            </w:rPr>
          </w:pPr>
          <w:hyperlink w:history="true" w:anchor="bookmark173">
            <w:r>
              <w:rPr>
                <w:rFonts w:ascii="SimHei" w:hAnsi="SimHei" w:eastAsia="SimHei" w:cs="SimHei"/>
                <w:sz w:val="21"/>
                <w:szCs w:val="21"/>
                <w:spacing w:val="12"/>
              </w:rPr>
              <w:t>第一百三十四条</w:t>
            </w:r>
            <w:r>
              <w:rPr>
                <w:rFonts w:ascii="SimHei" w:hAnsi="SimHei" w:eastAsia="SimHei" w:cs="SimHei"/>
                <w:sz w:val="21"/>
                <w:szCs w:val="21"/>
                <w:spacing w:val="38"/>
              </w:rPr>
              <w:t xml:space="preserve"> </w:t>
            </w:r>
            <w:r>
              <w:rPr>
                <w:rFonts w:ascii="SimHei" w:hAnsi="SimHei" w:eastAsia="SimHei" w:cs="SimHei"/>
                <w:sz w:val="21"/>
                <w:szCs w:val="21"/>
                <w:spacing w:val="12"/>
              </w:rPr>
              <w:t>非结核病定点医疗机构发现确诊或者疑似肺结核患者，未按</w:t>
            </w:r>
            <w:r>
              <w:rPr>
                <w:rFonts w:ascii="SimHei" w:hAnsi="SimHei" w:eastAsia="SimHei" w:cs="SimHei"/>
                <w:sz w:val="21"/>
                <w:szCs w:val="21"/>
                <w:spacing w:val="11"/>
              </w:rPr>
              <w:t>照规定进行转诊的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32"/>
              </w:rPr>
              <w:t xml:space="preserve"> </w:t>
            </w:r>
            <w:r>
              <w:rPr>
                <w:rFonts w:ascii="Times New Roman" w:hAnsi="Times New Roman" w:eastAsia="Times New Roman" w:cs="Times New Roman"/>
                <w:sz w:val="21"/>
                <w:szCs w:val="21"/>
                <w:spacing w:val="-1"/>
              </w:rPr>
              <w:t>220</w:t>
            </w:r>
          </w:hyperlink>
        </w:p>
        <w:p>
          <w:pPr>
            <w:pStyle w:val="BodyText"/>
            <w:spacing w:line="253" w:lineRule="auto"/>
            <w:rPr/>
          </w:pPr>
          <w:r/>
        </w:p>
        <w:p>
          <w:pPr>
            <w:pStyle w:val="BodyText"/>
            <w:spacing w:line="253" w:lineRule="auto"/>
            <w:rPr/>
          </w:pPr>
          <w:r/>
        </w:p>
        <w:p>
          <w:pPr>
            <w:ind w:left="339"/>
            <w:spacing w:before="68" w:line="213" w:lineRule="auto"/>
            <w:tabs>
              <w:tab w:val="right" w:leader="dot" w:pos="13320"/>
            </w:tabs>
            <w:rPr>
              <w:rFonts w:ascii="Times New Roman" w:hAnsi="Times New Roman" w:eastAsia="Times New Roman" w:cs="Times New Roman"/>
              <w:sz w:val="21"/>
              <w:szCs w:val="21"/>
            </w:rPr>
          </w:pPr>
          <w:hyperlink w:history="true" w:anchor="bookmark174">
            <w:r>
              <w:rPr>
                <w:rFonts w:ascii="SimHei" w:hAnsi="SimHei" w:eastAsia="SimHei" w:cs="SimHei"/>
                <w:sz w:val="21"/>
                <w:szCs w:val="21"/>
                <w:spacing w:val="13"/>
              </w:rPr>
              <w:t>第一百三十五条</w:t>
            </w:r>
            <w:r>
              <w:rPr>
                <w:rFonts w:ascii="SimHei" w:hAnsi="SimHei" w:eastAsia="SimHei" w:cs="SimHei"/>
                <w:sz w:val="21"/>
                <w:szCs w:val="21"/>
                <w:spacing w:val="13"/>
              </w:rPr>
              <w:t xml:space="preserve"> </w:t>
            </w:r>
            <w:r>
              <w:rPr>
                <w:rFonts w:ascii="SimHei" w:hAnsi="SimHei" w:eastAsia="SimHei" w:cs="SimHei"/>
                <w:sz w:val="21"/>
                <w:szCs w:val="21"/>
                <w:spacing w:val="13"/>
              </w:rPr>
              <w:t>结核病定点医疗机构未按照规</w:t>
            </w:r>
            <w:r>
              <w:rPr>
                <w:rFonts w:ascii="SimHei" w:hAnsi="SimHei" w:eastAsia="SimHei" w:cs="SimHei"/>
                <w:sz w:val="21"/>
                <w:szCs w:val="21"/>
                <w:spacing w:val="12"/>
              </w:rPr>
              <w:t>定对肺结核患者或者疑似肺结核患者诊断治疗的，或者拒绝接诊的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rPr>
              <w:t>221</w:t>
            </w:r>
          </w:hyperlink>
        </w:p>
        <w:p>
          <w:pPr>
            <w:pStyle w:val="BodyText"/>
            <w:spacing w:line="273" w:lineRule="auto"/>
            <w:rPr/>
          </w:pPr>
          <w:r/>
        </w:p>
        <w:p>
          <w:pPr>
            <w:pStyle w:val="BodyText"/>
            <w:spacing w:line="273" w:lineRule="auto"/>
            <w:rPr/>
          </w:pPr>
          <w:r/>
        </w:p>
        <w:p>
          <w:pPr>
            <w:ind w:left="339"/>
            <w:spacing w:before="68" w:line="213" w:lineRule="auto"/>
            <w:tabs>
              <w:tab w:val="right" w:leader="dot" w:pos="13265"/>
            </w:tabs>
            <w:rPr>
              <w:rFonts w:ascii="Times New Roman" w:hAnsi="Times New Roman" w:eastAsia="Times New Roman" w:cs="Times New Roman"/>
              <w:sz w:val="21"/>
              <w:szCs w:val="21"/>
            </w:rPr>
          </w:pPr>
          <w:hyperlink w:history="true" w:anchor="bookmark175">
            <w:r>
              <w:rPr>
                <w:rFonts w:ascii="SimHei" w:hAnsi="SimHei" w:eastAsia="SimHei" w:cs="SimHei"/>
                <w:sz w:val="21"/>
                <w:szCs w:val="21"/>
                <w:spacing w:val="12"/>
              </w:rPr>
              <w:t>第一百三十六条</w:t>
            </w:r>
            <w:r>
              <w:rPr>
                <w:rFonts w:ascii="SimHei" w:hAnsi="SimHei" w:eastAsia="SimHei" w:cs="SimHei"/>
                <w:sz w:val="21"/>
                <w:szCs w:val="21"/>
                <w:spacing w:val="42"/>
              </w:rPr>
              <w:t xml:space="preserve"> </w:t>
            </w:r>
            <w:r>
              <w:rPr>
                <w:rFonts w:ascii="SimHei" w:hAnsi="SimHei" w:eastAsia="SimHei" w:cs="SimHei"/>
                <w:sz w:val="21"/>
                <w:szCs w:val="21"/>
                <w:spacing w:val="12"/>
              </w:rPr>
              <w:t>医疗机构未按照有关规定严格执行隔离消毒制</w:t>
            </w:r>
            <w:r>
              <w:rPr>
                <w:rFonts w:ascii="SimHei" w:hAnsi="SimHei" w:eastAsia="SimHei" w:cs="SimHei"/>
                <w:sz w:val="21"/>
                <w:szCs w:val="21"/>
                <w:spacing w:val="11"/>
              </w:rPr>
              <w:t>度，对结核菌污染的痰液、污物和污水未进行卫生处理的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21</w:t>
            </w:r>
          </w:hyperlink>
        </w:p>
        <w:p>
          <w:pPr>
            <w:pStyle w:val="BodyText"/>
            <w:spacing w:line="242" w:lineRule="auto"/>
            <w:rPr/>
          </w:pPr>
          <w:r/>
        </w:p>
        <w:p>
          <w:pPr>
            <w:pStyle w:val="BodyText"/>
            <w:spacing w:line="243" w:lineRule="auto"/>
            <w:rPr/>
          </w:pPr>
          <w:r/>
        </w:p>
        <w:p>
          <w:pPr>
            <w:ind w:left="339"/>
            <w:spacing w:before="69" w:line="221" w:lineRule="auto"/>
            <w:tabs>
              <w:tab w:val="right" w:leader="dot" w:pos="13310"/>
            </w:tabs>
            <w:rPr>
              <w:rFonts w:ascii="Times New Roman" w:hAnsi="Times New Roman" w:eastAsia="Times New Roman" w:cs="Times New Roman"/>
              <w:sz w:val="21"/>
              <w:szCs w:val="21"/>
            </w:rPr>
          </w:pPr>
          <w:hyperlink w:history="true" w:anchor="bookmark176">
            <w:r>
              <w:rPr>
                <w:rFonts w:ascii="SimHei" w:hAnsi="SimHei" w:eastAsia="SimHei" w:cs="SimHei"/>
                <w:sz w:val="21"/>
                <w:szCs w:val="21"/>
                <w:spacing w:val="11"/>
              </w:rPr>
              <w:t>一百三十七条</w:t>
            </w:r>
            <w:r>
              <w:rPr>
                <w:rFonts w:ascii="SimHei" w:hAnsi="SimHei" w:eastAsia="SimHei" w:cs="SimHei"/>
                <w:sz w:val="21"/>
                <w:szCs w:val="21"/>
                <w:spacing w:val="44"/>
              </w:rPr>
              <w:t xml:space="preserve"> </w:t>
            </w:r>
            <w:r>
              <w:rPr>
                <w:rFonts w:ascii="SimHei" w:hAnsi="SimHei" w:eastAsia="SimHei" w:cs="SimHei"/>
                <w:sz w:val="21"/>
                <w:szCs w:val="21"/>
                <w:spacing w:val="11"/>
              </w:rPr>
              <w:t>医疗机构故意泄露涉及肺结核患者、疑似肺结核患者、密切接触者个人隐私的有关信息和资料的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6"/>
              </w:rPr>
              <w:t>222</w:t>
            </w:r>
          </w:hyperlink>
        </w:p>
        <w:p>
          <w:pPr>
            <w:pStyle w:val="BodyText"/>
            <w:spacing w:line="248" w:lineRule="auto"/>
            <w:rPr/>
          </w:pPr>
          <w:r/>
        </w:p>
        <w:p>
          <w:pPr>
            <w:pStyle w:val="BodyText"/>
            <w:spacing w:line="249" w:lineRule="auto"/>
            <w:rPr/>
          </w:pPr>
          <w:r/>
        </w:p>
        <w:p>
          <w:pPr>
            <w:ind w:left="339"/>
            <w:spacing w:before="68" w:line="221" w:lineRule="auto"/>
            <w:tabs>
              <w:tab w:val="right" w:leader="dot" w:pos="13310"/>
            </w:tabs>
            <w:rPr>
              <w:rFonts w:ascii="Times New Roman" w:hAnsi="Times New Roman" w:eastAsia="Times New Roman" w:cs="Times New Roman"/>
              <w:sz w:val="21"/>
              <w:szCs w:val="21"/>
            </w:rPr>
          </w:pPr>
          <w:hyperlink w:history="true" w:anchor="bookmark177">
            <w:r>
              <w:rPr>
                <w:rFonts w:ascii="SimHei" w:hAnsi="SimHei" w:eastAsia="SimHei" w:cs="SimHei"/>
                <w:sz w:val="21"/>
                <w:szCs w:val="21"/>
                <w:spacing w:val="12"/>
              </w:rPr>
              <w:t>第一百三十八条</w:t>
            </w:r>
            <w:r>
              <w:rPr>
                <w:rFonts w:ascii="SimHei" w:hAnsi="SimHei" w:eastAsia="SimHei" w:cs="SimHei"/>
                <w:sz w:val="21"/>
                <w:szCs w:val="21"/>
                <w:spacing w:val="35"/>
              </w:rPr>
              <w:t xml:space="preserve"> </w:t>
            </w:r>
            <w:r>
              <w:rPr>
                <w:rFonts w:ascii="SimHei" w:hAnsi="SimHei" w:eastAsia="SimHei" w:cs="SimHei"/>
                <w:sz w:val="21"/>
                <w:szCs w:val="21"/>
                <w:spacing w:val="12"/>
              </w:rPr>
              <w:t>基层医疗卫生机构未履行对辖区内肺结核患者居家治疗期间的督导</w:t>
            </w:r>
            <w:r>
              <w:rPr>
                <w:rFonts w:ascii="SimHei" w:hAnsi="SimHei" w:eastAsia="SimHei" w:cs="SimHei"/>
                <w:sz w:val="21"/>
                <w:szCs w:val="21"/>
                <w:spacing w:val="11"/>
              </w:rPr>
              <w:t>管理职责的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32"/>
              </w:rPr>
              <w:t xml:space="preserve"> </w:t>
            </w:r>
            <w:r>
              <w:rPr>
                <w:rFonts w:ascii="Times New Roman" w:hAnsi="Times New Roman" w:eastAsia="Times New Roman" w:cs="Times New Roman"/>
                <w:sz w:val="21"/>
                <w:szCs w:val="21"/>
                <w:spacing w:val="-1"/>
              </w:rPr>
              <w:t>223</w:t>
            </w:r>
          </w:hyperlink>
        </w:p>
        <w:p>
          <w:pPr>
            <w:pStyle w:val="BodyText"/>
            <w:spacing w:line="253" w:lineRule="auto"/>
            <w:rPr/>
          </w:pPr>
          <w:r/>
        </w:p>
        <w:p>
          <w:pPr>
            <w:pStyle w:val="BodyText"/>
            <w:spacing w:line="254" w:lineRule="auto"/>
            <w:rPr/>
          </w:pPr>
          <w:r/>
        </w:p>
        <w:p>
          <w:pPr>
            <w:ind w:left="339"/>
            <w:spacing w:before="69" w:line="221" w:lineRule="auto"/>
            <w:tabs>
              <w:tab w:val="right" w:leader="dot" w:pos="13320"/>
            </w:tabs>
            <w:rPr>
              <w:rFonts w:ascii="Times New Roman" w:hAnsi="Times New Roman" w:eastAsia="Times New Roman" w:cs="Times New Roman"/>
              <w:sz w:val="21"/>
              <w:szCs w:val="21"/>
            </w:rPr>
          </w:pPr>
          <w:hyperlink w:history="true" w:anchor="bookmark178">
            <w:r>
              <w:rPr>
                <w:rFonts w:ascii="SimHei" w:hAnsi="SimHei" w:eastAsia="SimHei" w:cs="SimHei"/>
                <w:sz w:val="21"/>
                <w:szCs w:val="21"/>
                <w:spacing w:val="12"/>
              </w:rPr>
              <w:t>第一百三十九条</w:t>
            </w:r>
            <w:r>
              <w:rPr>
                <w:rFonts w:ascii="SimHei" w:hAnsi="SimHei" w:eastAsia="SimHei" w:cs="SimHei"/>
                <w:sz w:val="21"/>
                <w:szCs w:val="21"/>
                <w:spacing w:val="12"/>
              </w:rPr>
              <w:t xml:space="preserve"> </w:t>
            </w:r>
            <w:r>
              <w:rPr>
                <w:rFonts w:ascii="SimHei" w:hAnsi="SimHei" w:eastAsia="SimHei" w:cs="SimHei"/>
                <w:sz w:val="21"/>
                <w:szCs w:val="21"/>
                <w:spacing w:val="12"/>
              </w:rPr>
              <w:t>基层医疗卫生机构未按照</w:t>
            </w:r>
            <w:r>
              <w:rPr>
                <w:rFonts w:ascii="SimHei" w:hAnsi="SimHei" w:eastAsia="SimHei" w:cs="SimHei"/>
                <w:sz w:val="21"/>
                <w:szCs w:val="21"/>
                <w:spacing w:val="11"/>
              </w:rPr>
              <w:t>规定转诊、追踪肺结核患者或者疑似肺结核患者及有可疑症状的密切接触者的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223</w:t>
            </w:r>
          </w:hyperlink>
        </w:p>
        <w:p>
          <w:pPr>
            <w:pStyle w:val="BodyText"/>
            <w:spacing w:line="296" w:lineRule="auto"/>
            <w:rPr/>
          </w:pPr>
          <w:r/>
        </w:p>
        <w:p>
          <w:pPr>
            <w:spacing w:before="69" w:line="212" w:lineRule="auto"/>
            <w:tabs>
              <w:tab w:val="right" w:leader="dot" w:pos="13340"/>
            </w:tabs>
            <w:rPr>
              <w:rFonts w:ascii="Times New Roman" w:hAnsi="Times New Roman" w:eastAsia="Times New Roman" w:cs="Times New Roman"/>
              <w:sz w:val="21"/>
              <w:szCs w:val="21"/>
            </w:rPr>
          </w:pPr>
          <w:hyperlink w:history="true" w:anchor="bookmark179">
            <w:r>
              <w:rPr>
                <w:rFonts w:ascii="Times New Roman" w:hAnsi="Times New Roman" w:eastAsia="Times New Roman" w:cs="Times New Roman"/>
                <w:sz w:val="21"/>
                <w:szCs w:val="21"/>
                <w:spacing w:val="10"/>
              </w:rPr>
              <w:t>( </w:t>
            </w:r>
            <w:r>
              <w:rPr>
                <w:rFonts w:ascii="KaiTi" w:hAnsi="KaiTi" w:eastAsia="KaiTi" w:cs="KaiTi"/>
                <w:sz w:val="21"/>
                <w:szCs w:val="21"/>
                <w:spacing w:val="10"/>
              </w:rPr>
              <w:t>十五)《医院感染管理办法》</w:t>
            </w:r>
            <w:r>
              <w:rPr>
                <w:rFonts w:ascii="KaiTi" w:hAnsi="KaiTi" w:eastAsia="KaiTi" w:cs="KaiTi"/>
                <w:sz w:val="21"/>
                <w:szCs w:val="21"/>
                <w:spacing w:val="-74"/>
              </w:rPr>
              <w:t xml:space="preserve"> </w:t>
            </w:r>
            <w:r>
              <w:rPr>
                <w:rFonts w:ascii="KaiTi" w:hAnsi="KaiTi" w:eastAsia="KaiTi" w:cs="KaiTi"/>
                <w:sz w:val="21"/>
                <w:szCs w:val="21"/>
              </w:rPr>
              <w:tab/>
            </w:r>
            <w:r>
              <w:rPr>
                <w:rFonts w:ascii="KaiTi" w:hAnsi="KaiTi" w:eastAsia="KaiTi" w:cs="KaiTi"/>
                <w:sz w:val="21"/>
                <w:szCs w:val="21"/>
                <w:spacing w:val="-61"/>
              </w:rPr>
              <w:t xml:space="preserve"> </w:t>
            </w:r>
            <w:r>
              <w:rPr>
                <w:rFonts w:ascii="Times New Roman" w:hAnsi="Times New Roman" w:eastAsia="Times New Roman" w:cs="Times New Roman"/>
                <w:sz w:val="21"/>
                <w:szCs w:val="21"/>
                <w:spacing w:val="-2"/>
              </w:rPr>
              <w:t>224</w:t>
            </w:r>
          </w:hyperlink>
        </w:p>
        <w:p>
          <w:pPr>
            <w:pStyle w:val="BodyText"/>
            <w:spacing w:line="380" w:lineRule="auto"/>
            <w:rPr/>
          </w:pPr>
          <w:r/>
        </w:p>
        <w:p>
          <w:pPr>
            <w:ind w:left="339"/>
            <w:spacing w:before="69" w:line="222" w:lineRule="auto"/>
            <w:tabs>
              <w:tab w:val="right" w:leader="dot" w:pos="13310"/>
            </w:tabs>
            <w:rPr>
              <w:rFonts w:ascii="Times New Roman" w:hAnsi="Times New Roman" w:eastAsia="Times New Roman" w:cs="Times New Roman"/>
              <w:sz w:val="21"/>
              <w:szCs w:val="21"/>
            </w:rPr>
          </w:pPr>
          <w:hyperlink w:history="true" w:anchor="bookmark180">
            <w:r>
              <w:rPr>
                <w:rFonts w:ascii="SimHei" w:hAnsi="SimHei" w:eastAsia="SimHei" w:cs="SimHei"/>
                <w:sz w:val="21"/>
                <w:szCs w:val="21"/>
                <w:spacing w:val="10"/>
              </w:rPr>
              <w:t>第一百四十条</w:t>
            </w:r>
            <w:r>
              <w:rPr>
                <w:rFonts w:ascii="SimHei" w:hAnsi="SimHei" w:eastAsia="SimHei" w:cs="SimHei"/>
                <w:sz w:val="21"/>
                <w:szCs w:val="21"/>
                <w:spacing w:val="54"/>
              </w:rPr>
              <w:t xml:space="preserve"> </w:t>
            </w:r>
            <w:r>
              <w:rPr>
                <w:rFonts w:ascii="SimHei" w:hAnsi="SimHei" w:eastAsia="SimHei" w:cs="SimHei"/>
                <w:sz w:val="21"/>
                <w:szCs w:val="21"/>
                <w:spacing w:val="10"/>
              </w:rPr>
              <w:t>医疗机构未建立或者未落实医院感染管理的规章制度、工作规范</w:t>
            </w:r>
            <w:r>
              <w:rPr>
                <w:rFonts w:ascii="SimHei" w:hAnsi="SimHei" w:eastAsia="SimHei" w:cs="SimHei"/>
                <w:sz w:val="21"/>
                <w:szCs w:val="21"/>
                <w:spacing w:val="-85"/>
              </w:rPr>
              <w:t xml:space="preserve"> </w:t>
            </w:r>
            <w:r>
              <w:rPr>
                <w:rFonts w:ascii="SimHei" w:hAnsi="SimHei" w:eastAsia="SimHei" w:cs="SimHei"/>
                <w:sz w:val="21"/>
                <w:szCs w:val="21"/>
              </w:rPr>
              <w:tab/>
            </w:r>
            <w:r>
              <w:rPr>
                <w:rFonts w:ascii="Times New Roman" w:hAnsi="Times New Roman" w:eastAsia="Times New Roman" w:cs="Times New Roman"/>
                <w:sz w:val="21"/>
                <w:szCs w:val="21"/>
              </w:rPr>
              <w:t>224</w:t>
            </w:r>
          </w:hyperlink>
        </w:p>
      </w:sdtContent>
    </w:sdt>
    <w:p>
      <w:pPr>
        <w:spacing w:line="222" w:lineRule="auto"/>
        <w:sectPr>
          <w:footerReference w:type="default" r:id="rId18"/>
          <w:pgSz w:w="16830" w:h="11900"/>
          <w:pgMar w:top="1011" w:right="1519" w:bottom="1138" w:left="1969" w:header="0" w:footer="778" w:gutter="0"/>
        </w:sectPr>
        <w:rPr>
          <w:rFonts w:ascii="Times New Roman" w:hAnsi="Times New Roman" w:eastAsia="Times New Roman" w:cs="Times New Roman"/>
          <w:sz w:val="21"/>
          <w:szCs w:val="21"/>
        </w:rPr>
      </w:pPr>
    </w:p>
    <w:p>
      <w:pPr>
        <w:pStyle w:val="BodyText"/>
        <w:spacing w:line="306" w:lineRule="auto"/>
        <w:rPr/>
      </w:pPr>
      <w:r/>
    </w:p>
    <w:p>
      <w:pPr>
        <w:pStyle w:val="BodyText"/>
        <w:spacing w:line="306" w:lineRule="auto"/>
        <w:rPr/>
      </w:pPr>
      <w:r/>
    </w:p>
    <w:p>
      <w:pPr>
        <w:pStyle w:val="BodyText"/>
        <w:spacing w:line="306"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ind w:left="320"/>
            <w:spacing w:before="71" w:line="221" w:lineRule="auto"/>
            <w:tabs>
              <w:tab w:val="right" w:leader="dot" w:pos="13305"/>
            </w:tabs>
            <w:rPr>
              <w:rFonts w:ascii="Times New Roman" w:hAnsi="Times New Roman" w:eastAsia="Times New Roman" w:cs="Times New Roman"/>
              <w:sz w:val="22"/>
              <w:szCs w:val="22"/>
            </w:rPr>
          </w:pPr>
          <w:hyperlink w:history="true" w:anchor="bookmark181">
            <w:r>
              <w:rPr>
                <w:rFonts w:ascii="SimHei" w:hAnsi="SimHei" w:eastAsia="SimHei" w:cs="SimHei"/>
                <w:sz w:val="22"/>
                <w:szCs w:val="22"/>
                <w:spacing w:val="5"/>
              </w:rPr>
              <w:t>第一百四十一条</w:t>
            </w:r>
            <w:r>
              <w:rPr>
                <w:rFonts w:ascii="SimHei" w:hAnsi="SimHei" w:eastAsia="SimHei" w:cs="SimHei"/>
                <w:sz w:val="22"/>
                <w:szCs w:val="22"/>
                <w:spacing w:val="5"/>
              </w:rPr>
              <w:t xml:space="preserve"> </w:t>
            </w:r>
            <w:r>
              <w:rPr>
                <w:rFonts w:ascii="SimHei" w:hAnsi="SimHei" w:eastAsia="SimHei" w:cs="SimHei"/>
                <w:sz w:val="22"/>
                <w:szCs w:val="22"/>
                <w:spacing w:val="5"/>
              </w:rPr>
              <w:t>医疗机构未设立医院感染管理部门</w:t>
            </w:r>
            <w:r>
              <w:rPr>
                <w:rFonts w:ascii="SimHei" w:hAnsi="SimHei" w:eastAsia="SimHei" w:cs="SimHei"/>
                <w:sz w:val="22"/>
                <w:szCs w:val="22"/>
                <w:spacing w:val="4"/>
              </w:rPr>
              <w:t>、分管部门以及指定专(兼)职人员负责医院感染预防与控制工作</w:t>
            </w:r>
            <w:r>
              <w:rPr>
                <w:rFonts w:ascii="SimHei" w:hAnsi="SimHei" w:eastAsia="SimHei" w:cs="SimHei"/>
                <w:sz w:val="22"/>
                <w:szCs w:val="22"/>
                <w:spacing w:val="-93"/>
              </w:rPr>
              <w:t xml:space="preserve"> </w:t>
            </w:r>
            <w:r>
              <w:rPr>
                <w:rFonts w:ascii="SimHei" w:hAnsi="SimHei" w:eastAsia="SimHei" w:cs="SimHei"/>
                <w:sz w:val="22"/>
                <w:szCs w:val="22"/>
              </w:rPr>
              <w:tab/>
            </w:r>
            <w:r>
              <w:rPr>
                <w:rFonts w:ascii="Times New Roman" w:hAnsi="Times New Roman" w:eastAsia="Times New Roman" w:cs="Times New Roman"/>
                <w:sz w:val="22"/>
                <w:szCs w:val="22"/>
              </w:rPr>
              <w:t>225</w:t>
            </w:r>
          </w:hyperlink>
        </w:p>
        <w:p>
          <w:pPr>
            <w:pStyle w:val="BodyText"/>
            <w:spacing w:line="241" w:lineRule="auto"/>
            <w:rPr/>
          </w:pPr>
          <w:r/>
        </w:p>
        <w:p>
          <w:pPr>
            <w:pStyle w:val="BodyText"/>
            <w:spacing w:line="241" w:lineRule="auto"/>
            <w:rPr/>
          </w:pPr>
          <w:r/>
        </w:p>
        <w:p>
          <w:pPr>
            <w:ind w:left="320"/>
            <w:spacing w:before="72" w:line="222" w:lineRule="auto"/>
            <w:tabs>
              <w:tab w:val="right" w:leader="dot" w:pos="13285"/>
            </w:tabs>
            <w:rPr>
              <w:rFonts w:ascii="Times New Roman" w:hAnsi="Times New Roman" w:eastAsia="Times New Roman" w:cs="Times New Roman"/>
              <w:sz w:val="22"/>
              <w:szCs w:val="22"/>
            </w:rPr>
          </w:pPr>
          <w:hyperlink w:history="true" w:anchor="bookmark182">
            <w:r>
              <w:rPr>
                <w:rFonts w:ascii="SimHei" w:hAnsi="SimHei" w:eastAsia="SimHei" w:cs="SimHei"/>
                <w:sz w:val="22"/>
                <w:szCs w:val="22"/>
                <w:spacing w:val="2"/>
              </w:rPr>
              <w:t>第一百四十二条</w:t>
            </w:r>
            <w:r>
              <w:rPr>
                <w:rFonts w:ascii="SimHei" w:hAnsi="SimHei" w:eastAsia="SimHei" w:cs="SimHei"/>
                <w:sz w:val="22"/>
                <w:szCs w:val="22"/>
                <w:spacing w:val="2"/>
              </w:rPr>
              <w:t xml:space="preserve"> </w:t>
            </w:r>
            <w:r>
              <w:rPr>
                <w:rFonts w:ascii="SimHei" w:hAnsi="SimHei" w:eastAsia="SimHei" w:cs="SimHei"/>
                <w:sz w:val="22"/>
                <w:szCs w:val="22"/>
                <w:spacing w:val="2"/>
              </w:rPr>
              <w:t>医疗机构违反医疗器械、器</w:t>
            </w:r>
            <w:r>
              <w:rPr>
                <w:rFonts w:ascii="SimHei" w:hAnsi="SimHei" w:eastAsia="SimHei" w:cs="SimHei"/>
                <w:sz w:val="22"/>
                <w:szCs w:val="22"/>
                <w:spacing w:val="1"/>
              </w:rPr>
              <w:t>具的消毒工作技术规范</w:t>
            </w:r>
            <w:r>
              <w:rPr>
                <w:rFonts w:ascii="SimHei" w:hAnsi="SimHei" w:eastAsia="SimHei" w:cs="SimHei"/>
                <w:sz w:val="22"/>
                <w:szCs w:val="22"/>
                <w:spacing w:val="-92"/>
              </w:rPr>
              <w:t xml:space="preserve"> </w:t>
            </w:r>
            <w:r>
              <w:rPr>
                <w:rFonts w:ascii="SimHei" w:hAnsi="SimHei" w:eastAsia="SimHei" w:cs="SimHei"/>
                <w:sz w:val="22"/>
                <w:szCs w:val="22"/>
              </w:rPr>
              <w:tab/>
            </w:r>
            <w:r>
              <w:rPr>
                <w:rFonts w:ascii="Times New Roman" w:hAnsi="Times New Roman" w:eastAsia="Times New Roman" w:cs="Times New Roman"/>
                <w:sz w:val="22"/>
                <w:szCs w:val="22"/>
              </w:rPr>
              <w:t>226</w:t>
            </w:r>
          </w:hyperlink>
        </w:p>
        <w:p>
          <w:pPr>
            <w:pStyle w:val="BodyText"/>
            <w:spacing w:line="245" w:lineRule="auto"/>
            <w:rPr/>
          </w:pPr>
          <w:r/>
        </w:p>
        <w:p>
          <w:pPr>
            <w:pStyle w:val="BodyText"/>
            <w:spacing w:line="245" w:lineRule="auto"/>
            <w:rPr/>
          </w:pPr>
          <w:r/>
        </w:p>
        <w:p>
          <w:pPr>
            <w:ind w:left="320"/>
            <w:spacing w:before="72" w:line="222" w:lineRule="auto"/>
            <w:tabs>
              <w:tab w:val="right" w:leader="dot" w:pos="13175"/>
            </w:tabs>
            <w:rPr>
              <w:rFonts w:ascii="Times New Roman" w:hAnsi="Times New Roman" w:eastAsia="Times New Roman" w:cs="Times New Roman"/>
              <w:sz w:val="22"/>
              <w:szCs w:val="22"/>
            </w:rPr>
          </w:pPr>
          <w:hyperlink w:history="true" w:anchor="bookmark183">
            <w:r>
              <w:rPr>
                <w:rFonts w:ascii="SimHei" w:hAnsi="SimHei" w:eastAsia="SimHei" w:cs="SimHei"/>
                <w:sz w:val="22"/>
                <w:szCs w:val="22"/>
                <w:spacing w:val="4"/>
              </w:rPr>
              <w:t>第一百四十三条</w:t>
            </w:r>
            <w:r>
              <w:rPr>
                <w:rFonts w:ascii="SimHei" w:hAnsi="SimHei" w:eastAsia="SimHei" w:cs="SimHei"/>
                <w:sz w:val="22"/>
                <w:szCs w:val="22"/>
                <w:spacing w:val="4"/>
              </w:rPr>
              <w:t xml:space="preserve"> </w:t>
            </w:r>
            <w:r>
              <w:rPr>
                <w:rFonts w:ascii="SimHei" w:hAnsi="SimHei" w:eastAsia="SimHei" w:cs="SimHei"/>
                <w:sz w:val="22"/>
                <w:szCs w:val="22"/>
                <w:spacing w:val="4"/>
              </w:rPr>
              <w:t>医疗机构违反无菌操作技术规范和隔离技术规范</w:t>
            </w:r>
            <w:r>
              <w:rPr>
                <w:rFonts w:ascii="SimHei" w:hAnsi="SimHei" w:eastAsia="SimHei" w:cs="SimHei"/>
                <w:sz w:val="22"/>
                <w:szCs w:val="22"/>
                <w:spacing w:val="-88"/>
              </w:rPr>
              <w:t xml:space="preserve"> </w:t>
            </w:r>
            <w:r>
              <w:rPr>
                <w:rFonts w:ascii="SimHei" w:hAnsi="SimHei" w:eastAsia="SimHei" w:cs="SimHei"/>
                <w:sz w:val="22"/>
                <w:szCs w:val="22"/>
              </w:rPr>
              <w:tab/>
            </w:r>
            <w:r>
              <w:rPr>
                <w:rFonts w:ascii="SimHei" w:hAnsi="SimHei" w:eastAsia="SimHei" w:cs="SimHei"/>
                <w:sz w:val="22"/>
                <w:szCs w:val="22"/>
                <w:spacing w:val="-15"/>
              </w:rPr>
              <w:t xml:space="preserve"> </w:t>
            </w:r>
            <w:r>
              <w:rPr>
                <w:rFonts w:ascii="Times New Roman" w:hAnsi="Times New Roman" w:eastAsia="Times New Roman" w:cs="Times New Roman"/>
                <w:sz w:val="22"/>
                <w:szCs w:val="22"/>
                <w:spacing w:val="-2"/>
              </w:rPr>
              <w:t>26</w:t>
            </w:r>
          </w:hyperlink>
        </w:p>
        <w:p>
          <w:pPr>
            <w:pStyle w:val="BodyText"/>
            <w:rPr/>
          </w:pPr>
          <w:r/>
        </w:p>
        <w:p>
          <w:pPr>
            <w:pStyle w:val="BodyText"/>
            <w:rPr/>
          </w:pPr>
          <w:r/>
        </w:p>
        <w:p>
          <w:pPr>
            <w:ind w:left="320"/>
            <w:spacing w:before="71" w:line="221" w:lineRule="auto"/>
            <w:tabs>
              <w:tab w:val="right" w:leader="dot" w:pos="13295"/>
            </w:tabs>
            <w:rPr>
              <w:rFonts w:ascii="Times New Roman" w:hAnsi="Times New Roman" w:eastAsia="Times New Roman" w:cs="Times New Roman"/>
              <w:sz w:val="22"/>
              <w:szCs w:val="22"/>
            </w:rPr>
          </w:pPr>
          <w:hyperlink w:history="true" w:anchor="bookmark184">
            <w:r>
              <w:rPr>
                <w:rFonts w:ascii="SimHei" w:hAnsi="SimHei" w:eastAsia="SimHei" w:cs="SimHei"/>
                <w:sz w:val="22"/>
                <w:szCs w:val="22"/>
                <w:spacing w:val="2"/>
              </w:rPr>
              <w:t>第一百四十四条</w:t>
            </w:r>
            <w:r>
              <w:rPr>
                <w:rFonts w:ascii="SimHei" w:hAnsi="SimHei" w:eastAsia="SimHei" w:cs="SimHei"/>
                <w:sz w:val="22"/>
                <w:szCs w:val="22"/>
                <w:spacing w:val="2"/>
              </w:rPr>
              <w:t xml:space="preserve"> </w:t>
            </w:r>
            <w:r>
              <w:rPr>
                <w:rFonts w:ascii="SimHei" w:hAnsi="SimHei" w:eastAsia="SimHei" w:cs="SimHei"/>
                <w:sz w:val="22"/>
                <w:szCs w:val="22"/>
                <w:spacing w:val="2"/>
              </w:rPr>
              <w:t>医疗机构未对消毒药械和</w:t>
            </w:r>
            <w:r>
              <w:rPr>
                <w:rFonts w:ascii="SimHei" w:hAnsi="SimHei" w:eastAsia="SimHei" w:cs="SimHei"/>
                <w:sz w:val="22"/>
                <w:szCs w:val="22"/>
                <w:spacing w:val="1"/>
              </w:rPr>
              <w:t>一次性医疗器械、器具的相关证明进行审核</w:t>
            </w:r>
            <w:r>
              <w:rPr>
                <w:rFonts w:ascii="SimHei" w:hAnsi="SimHei" w:eastAsia="SimHei" w:cs="SimHei"/>
                <w:sz w:val="22"/>
                <w:szCs w:val="22"/>
                <w:spacing w:val="-88"/>
              </w:rPr>
              <w:t xml:space="preserve"> </w:t>
            </w:r>
            <w:r>
              <w:rPr>
                <w:rFonts w:ascii="SimHei" w:hAnsi="SimHei" w:eastAsia="SimHei" w:cs="SimHei"/>
                <w:sz w:val="22"/>
                <w:szCs w:val="22"/>
              </w:rPr>
              <w:tab/>
            </w:r>
            <w:r>
              <w:rPr>
                <w:rFonts w:ascii="Times New Roman" w:hAnsi="Times New Roman" w:eastAsia="Times New Roman" w:cs="Times New Roman"/>
                <w:sz w:val="22"/>
                <w:szCs w:val="22"/>
              </w:rPr>
              <w:t>227</w:t>
            </w:r>
          </w:hyperlink>
        </w:p>
        <w:p>
          <w:pPr>
            <w:pStyle w:val="BodyText"/>
            <w:spacing w:line="285" w:lineRule="auto"/>
            <w:rPr/>
          </w:pPr>
          <w:r/>
        </w:p>
        <w:p>
          <w:pPr>
            <w:pStyle w:val="BodyText"/>
            <w:spacing w:line="286" w:lineRule="auto"/>
            <w:rPr/>
          </w:pPr>
          <w:r/>
        </w:p>
        <w:p>
          <w:pPr>
            <w:ind w:left="330"/>
            <w:spacing w:before="72" w:line="221" w:lineRule="auto"/>
            <w:tabs>
              <w:tab w:val="right" w:leader="dot" w:pos="13265"/>
            </w:tabs>
            <w:rPr>
              <w:rFonts w:ascii="Times New Roman" w:hAnsi="Times New Roman" w:eastAsia="Times New Roman" w:cs="Times New Roman"/>
              <w:sz w:val="22"/>
              <w:szCs w:val="22"/>
            </w:rPr>
          </w:pPr>
          <w:hyperlink w:history="true" w:anchor="bookmark185">
            <w:r>
              <w:rPr>
                <w:rFonts w:ascii="SimHei" w:hAnsi="SimHei" w:eastAsia="SimHei" w:cs="SimHei"/>
                <w:sz w:val="22"/>
                <w:szCs w:val="22"/>
                <w:spacing w:val="4"/>
              </w:rPr>
              <w:t>第一百四十五条</w:t>
            </w:r>
            <w:r>
              <w:rPr>
                <w:rFonts w:ascii="SimHei" w:hAnsi="SimHei" w:eastAsia="SimHei" w:cs="SimHei"/>
                <w:sz w:val="22"/>
                <w:szCs w:val="22"/>
                <w:spacing w:val="4"/>
              </w:rPr>
              <w:t xml:space="preserve"> </w:t>
            </w:r>
            <w:r>
              <w:rPr>
                <w:rFonts w:ascii="SimHei" w:hAnsi="SimHei" w:eastAsia="SimHei" w:cs="SimHei"/>
                <w:sz w:val="22"/>
                <w:szCs w:val="22"/>
                <w:spacing w:val="4"/>
              </w:rPr>
              <w:t>医疗机构未对医务人员职业暴露提供职业卫生防护</w:t>
            </w:r>
            <w:r>
              <w:rPr>
                <w:rFonts w:ascii="SimHei" w:hAnsi="SimHei" w:eastAsia="SimHei" w:cs="SimHei"/>
                <w:sz w:val="22"/>
                <w:szCs w:val="22"/>
              </w:rPr>
              <w:tab/>
            </w:r>
            <w:r>
              <w:rPr>
                <w:rFonts w:ascii="Times New Roman" w:hAnsi="Times New Roman" w:eastAsia="Times New Roman" w:cs="Times New Roman"/>
                <w:sz w:val="22"/>
                <w:szCs w:val="22"/>
              </w:rPr>
              <w:t>28</w:t>
            </w:r>
          </w:hyperlink>
        </w:p>
        <w:p>
          <w:pPr>
            <w:pStyle w:val="BodyText"/>
            <w:spacing w:line="393" w:lineRule="auto"/>
            <w:rPr/>
          </w:pPr>
          <w:r/>
        </w:p>
        <w:p>
          <w:pPr>
            <w:spacing w:before="72" w:line="213" w:lineRule="auto"/>
            <w:jc w:val="right"/>
            <w:rPr>
              <w:rFonts w:ascii="SimHei" w:hAnsi="SimHei" w:eastAsia="SimHei" w:cs="SimHei"/>
              <w:sz w:val="22"/>
              <w:szCs w:val="22"/>
            </w:rPr>
          </w:pPr>
          <w:hyperlink w:history="true" w:anchor="bookmark186">
            <w:r>
              <w:rPr>
                <w:rFonts w:ascii="SimHei" w:hAnsi="SimHei" w:eastAsia="SimHei" w:cs="SimHei"/>
                <w:sz w:val="22"/>
                <w:szCs w:val="22"/>
                <w:spacing w:val="1"/>
              </w:rPr>
              <w:t>第一百四十六条</w:t>
            </w:r>
            <w:r>
              <w:rPr>
                <w:rFonts w:ascii="SimHei" w:hAnsi="SimHei" w:eastAsia="SimHei" w:cs="SimHei"/>
                <w:sz w:val="22"/>
                <w:szCs w:val="22"/>
                <w:spacing w:val="1"/>
              </w:rPr>
              <w:t xml:space="preserve"> </w:t>
            </w:r>
            <w:r>
              <w:rPr>
                <w:rFonts w:ascii="SimHei" w:hAnsi="SimHei" w:eastAsia="SimHei" w:cs="SimHei"/>
                <w:sz w:val="22"/>
                <w:szCs w:val="22"/>
                <w:spacing w:val="1"/>
              </w:rPr>
              <w:t>未采取预防和控制措施或者发生医院感染未及时采取控制措施，造成医院感染暴发、传染病传播或</w:t>
            </w:r>
            <w:r>
              <w:rPr>
                <w:rFonts w:ascii="SimHei" w:hAnsi="SimHei" w:eastAsia="SimHei" w:cs="SimHei"/>
                <w:sz w:val="22"/>
                <w:szCs w:val="22"/>
              </w:rPr>
              <w:t>者其他严重后果的229</w:t>
            </w:r>
          </w:hyperlink>
        </w:p>
        <w:p>
          <w:pPr>
            <w:pStyle w:val="BodyText"/>
            <w:spacing w:line="289" w:lineRule="auto"/>
            <w:rPr/>
          </w:pPr>
          <w:r/>
        </w:p>
        <w:p>
          <w:pPr>
            <w:spacing w:before="72" w:line="212" w:lineRule="auto"/>
            <w:tabs>
              <w:tab w:val="right" w:leader="dot" w:pos="13425"/>
            </w:tabs>
            <w:rPr>
              <w:rFonts w:ascii="Times New Roman" w:hAnsi="Times New Roman" w:eastAsia="Times New Roman" w:cs="Times New Roman"/>
              <w:sz w:val="22"/>
              <w:szCs w:val="22"/>
            </w:rPr>
          </w:pPr>
          <w:hyperlink w:history="true" w:anchor="bookmark187">
            <w:r>
              <w:rPr>
                <w:rFonts w:ascii="Times New Roman" w:hAnsi="Times New Roman" w:eastAsia="Times New Roman" w:cs="Times New Roman"/>
                <w:sz w:val="22"/>
                <w:szCs w:val="22"/>
                <w:spacing w:val="1"/>
              </w:rPr>
              <w:t>( </w:t>
            </w:r>
            <w:r>
              <w:rPr>
                <w:rFonts w:ascii="KaiTi" w:hAnsi="KaiTi" w:eastAsia="KaiTi" w:cs="KaiTi"/>
                <w:sz w:val="22"/>
                <w:szCs w:val="22"/>
                <w:spacing w:val="1"/>
              </w:rPr>
              <w:t>十六)《传染性非典型肺炎防治管理办法》</w:t>
            </w:r>
            <w:r>
              <w:rPr>
                <w:rFonts w:ascii="KaiTi" w:hAnsi="KaiTi" w:eastAsia="KaiTi" w:cs="KaiTi"/>
                <w:sz w:val="22"/>
                <w:szCs w:val="22"/>
                <w:spacing w:val="-81"/>
              </w:rPr>
              <w:t xml:space="preserve"> </w:t>
            </w:r>
            <w:r>
              <w:rPr>
                <w:rFonts w:ascii="KaiTi" w:hAnsi="KaiTi" w:eastAsia="KaiTi" w:cs="KaiTi"/>
                <w:sz w:val="22"/>
                <w:szCs w:val="22"/>
              </w:rPr>
              <w:tab/>
            </w:r>
            <w:r>
              <w:rPr>
                <w:rFonts w:ascii="KaiTi" w:hAnsi="KaiTi" w:eastAsia="KaiTi" w:cs="KaiTi"/>
                <w:sz w:val="22"/>
                <w:szCs w:val="22"/>
                <w:spacing w:val="-34"/>
              </w:rPr>
              <w:t xml:space="preserve"> </w:t>
            </w:r>
            <w:r>
              <w:rPr>
                <w:rFonts w:ascii="Times New Roman" w:hAnsi="Times New Roman" w:eastAsia="Times New Roman" w:cs="Times New Roman"/>
                <w:sz w:val="22"/>
                <w:szCs w:val="22"/>
                <w:spacing w:val="-2"/>
              </w:rPr>
              <w:t>230</w:t>
            </w:r>
          </w:hyperlink>
        </w:p>
        <w:p>
          <w:pPr>
            <w:pStyle w:val="BodyText"/>
            <w:spacing w:line="367" w:lineRule="auto"/>
            <w:rPr/>
          </w:pPr>
          <w:r/>
        </w:p>
        <w:p>
          <w:pPr>
            <w:ind w:left="320"/>
            <w:spacing w:before="72" w:line="213" w:lineRule="auto"/>
            <w:tabs>
              <w:tab w:val="right" w:leader="dot" w:pos="13295"/>
            </w:tabs>
            <w:rPr>
              <w:rFonts w:ascii="Times New Roman" w:hAnsi="Times New Roman" w:eastAsia="Times New Roman" w:cs="Times New Roman"/>
              <w:sz w:val="22"/>
              <w:szCs w:val="22"/>
            </w:rPr>
          </w:pPr>
          <w:hyperlink w:history="true" w:anchor="bookmark188">
            <w:r>
              <w:rPr>
                <w:rFonts w:ascii="SimHei" w:hAnsi="SimHei" w:eastAsia="SimHei" w:cs="SimHei"/>
                <w:sz w:val="22"/>
                <w:szCs w:val="22"/>
              </w:rPr>
              <w:t>第一百四十七条</w:t>
            </w:r>
            <w:r>
              <w:rPr>
                <w:rFonts w:ascii="SimHei" w:hAnsi="SimHei" w:eastAsia="SimHei" w:cs="SimHei"/>
                <w:sz w:val="22"/>
                <w:szCs w:val="22"/>
              </w:rPr>
              <w:t xml:space="preserve"> </w:t>
            </w:r>
            <w:r>
              <w:rPr>
                <w:rFonts w:ascii="SimHei" w:hAnsi="SimHei" w:eastAsia="SimHei" w:cs="SimHei"/>
                <w:sz w:val="22"/>
                <w:szCs w:val="22"/>
              </w:rPr>
              <w:t>未依法履行疫情报告职责，</w:t>
            </w:r>
            <w:r>
              <w:rPr>
                <w:rFonts w:ascii="SimHei" w:hAnsi="SimHei" w:eastAsia="SimHei" w:cs="SimHei"/>
                <w:sz w:val="22"/>
                <w:szCs w:val="22"/>
                <w:spacing w:val="-1"/>
              </w:rPr>
              <w:t>隐瞒、缓报或者谎报的</w:t>
            </w:r>
            <w:r>
              <w:rPr>
                <w:rFonts w:ascii="SimHei" w:hAnsi="SimHei" w:eastAsia="SimHei" w:cs="SimHei"/>
                <w:sz w:val="22"/>
                <w:szCs w:val="22"/>
              </w:rPr>
              <w:tab/>
            </w:r>
            <w:r>
              <w:rPr>
                <w:rFonts w:ascii="SimHei" w:hAnsi="SimHei" w:eastAsia="SimHei" w:cs="SimHei"/>
                <w:sz w:val="22"/>
                <w:szCs w:val="22"/>
                <w:spacing w:val="-74"/>
              </w:rPr>
              <w:t xml:space="preserve"> </w:t>
            </w:r>
            <w:r>
              <w:rPr>
                <w:rFonts w:ascii="Times New Roman" w:hAnsi="Times New Roman" w:eastAsia="Times New Roman" w:cs="Times New Roman"/>
                <w:sz w:val="22"/>
                <w:szCs w:val="22"/>
                <w:spacing w:val="-2"/>
              </w:rPr>
              <w:t>230</w:t>
            </w:r>
          </w:hyperlink>
        </w:p>
        <w:p>
          <w:pPr>
            <w:pStyle w:val="BodyText"/>
            <w:spacing w:line="249" w:lineRule="auto"/>
            <w:rPr/>
          </w:pPr>
          <w:r/>
        </w:p>
        <w:p>
          <w:pPr>
            <w:pStyle w:val="BodyText"/>
            <w:spacing w:line="249" w:lineRule="auto"/>
            <w:rPr/>
          </w:pPr>
          <w:r/>
        </w:p>
        <w:p>
          <w:pPr>
            <w:ind w:left="323"/>
            <w:spacing w:before="71" w:line="222" w:lineRule="auto"/>
            <w:tabs>
              <w:tab w:val="right" w:leader="dot" w:pos="13294"/>
            </w:tabs>
            <w:rPr>
              <w:rFonts w:ascii="Times New Roman" w:hAnsi="Times New Roman" w:eastAsia="Times New Roman" w:cs="Times New Roman"/>
              <w:sz w:val="22"/>
              <w:szCs w:val="22"/>
            </w:rPr>
          </w:pPr>
          <w:hyperlink w:history="true" w:anchor="bookmark189">
            <w:r>
              <w:rPr>
                <w:rFonts w:ascii="SimHei" w:hAnsi="SimHei" w:eastAsia="SimHei" w:cs="SimHei"/>
                <w:sz w:val="22"/>
                <w:szCs w:val="22"/>
                <w:b/>
                <w:bCs/>
                <w:spacing w:val="-1"/>
              </w:rPr>
              <w:t>第一百四十八条</w:t>
            </w:r>
            <w:r>
              <w:rPr>
                <w:rFonts w:ascii="SimHei" w:hAnsi="SimHei" w:eastAsia="SimHei" w:cs="SimHei"/>
                <w:sz w:val="22"/>
                <w:szCs w:val="22"/>
                <w:spacing w:val="-1"/>
              </w:rPr>
              <w:t xml:space="preserve"> </w:t>
            </w:r>
            <w:r>
              <w:rPr>
                <w:rFonts w:ascii="SimHei" w:hAnsi="SimHei" w:eastAsia="SimHei" w:cs="SimHei"/>
                <w:sz w:val="22"/>
                <w:szCs w:val="22"/>
                <w:b/>
                <w:bCs/>
                <w:spacing w:val="-1"/>
              </w:rPr>
              <w:t>拒绝服从卫生行政部门调遣的</w:t>
            </w:r>
            <w:r>
              <w:rPr>
                <w:rFonts w:ascii="SimHei" w:hAnsi="SimHei" w:eastAsia="SimHei" w:cs="SimHei"/>
                <w:sz w:val="22"/>
                <w:szCs w:val="22"/>
                <w:spacing w:val="-90"/>
              </w:rPr>
              <w:t xml:space="preserve"> </w:t>
            </w:r>
            <w:r>
              <w:rPr>
                <w:rFonts w:ascii="SimHei" w:hAnsi="SimHei" w:eastAsia="SimHei" w:cs="SimHei"/>
                <w:sz w:val="22"/>
                <w:szCs w:val="22"/>
              </w:rPr>
              <w:tab/>
            </w:r>
            <w:r>
              <w:rPr>
                <w:rFonts w:ascii="Times New Roman" w:hAnsi="Times New Roman" w:eastAsia="Times New Roman" w:cs="Times New Roman"/>
                <w:sz w:val="22"/>
                <w:szCs w:val="22"/>
                <w:b/>
                <w:bCs/>
                <w:spacing w:val="2"/>
              </w:rPr>
              <w:t>231</w:t>
            </w:r>
          </w:hyperlink>
        </w:p>
        <w:p>
          <w:pPr>
            <w:pStyle w:val="BodyText"/>
            <w:spacing w:line="245" w:lineRule="auto"/>
            <w:rPr/>
          </w:pPr>
          <w:r/>
        </w:p>
        <w:p>
          <w:pPr>
            <w:pStyle w:val="BodyText"/>
            <w:spacing w:line="245" w:lineRule="auto"/>
            <w:rPr/>
          </w:pPr>
          <w:r/>
        </w:p>
        <w:p>
          <w:pPr>
            <w:ind w:left="323"/>
            <w:spacing w:before="72" w:line="221" w:lineRule="auto"/>
            <w:tabs>
              <w:tab w:val="right" w:leader="dot" w:pos="13424"/>
            </w:tabs>
            <w:rPr>
              <w:rFonts w:ascii="Times New Roman" w:hAnsi="Times New Roman" w:eastAsia="Times New Roman" w:cs="Times New Roman"/>
              <w:sz w:val="22"/>
              <w:szCs w:val="22"/>
            </w:rPr>
          </w:pPr>
          <w:hyperlink w:history="true" w:anchor="bookmark190">
            <w:r>
              <w:rPr>
                <w:rFonts w:ascii="SimHei" w:hAnsi="SimHei" w:eastAsia="SimHei" w:cs="SimHei"/>
                <w:sz w:val="22"/>
                <w:szCs w:val="22"/>
                <w:b/>
                <w:bCs/>
                <w:spacing w:val="6"/>
              </w:rPr>
              <w:t>第一百四十九条</w:t>
            </w:r>
            <w:r>
              <w:rPr>
                <w:rFonts w:ascii="SimHei" w:hAnsi="SimHei" w:eastAsia="SimHei" w:cs="SimHei"/>
                <w:sz w:val="22"/>
                <w:szCs w:val="22"/>
                <w:spacing w:val="6"/>
              </w:rPr>
              <w:t xml:space="preserve"> </w:t>
            </w:r>
            <w:r>
              <w:rPr>
                <w:rFonts w:ascii="SimHei" w:hAnsi="SimHei" w:eastAsia="SimHei" w:cs="SimHei"/>
                <w:sz w:val="22"/>
                <w:szCs w:val="22"/>
                <w:b/>
                <w:bCs/>
                <w:spacing w:val="6"/>
              </w:rPr>
              <w:t>未按照规定及时采取预防控制措施的</w:t>
            </w:r>
            <w:r>
              <w:rPr>
                <w:rFonts w:ascii="SimHei" w:hAnsi="SimHei" w:eastAsia="SimHei" w:cs="SimHei"/>
                <w:sz w:val="22"/>
                <w:szCs w:val="22"/>
                <w:spacing w:val="-82"/>
              </w:rPr>
              <w:t xml:space="preserve"> </w:t>
            </w:r>
            <w:r>
              <w:rPr>
                <w:rFonts w:ascii="SimHei" w:hAnsi="SimHei" w:eastAsia="SimHei" w:cs="SimHei"/>
                <w:sz w:val="22"/>
                <w:szCs w:val="22"/>
              </w:rPr>
              <w:tab/>
            </w:r>
            <w:r>
              <w:rPr>
                <w:rFonts w:ascii="Times New Roman" w:hAnsi="Times New Roman" w:eastAsia="Times New Roman" w:cs="Times New Roman"/>
                <w:sz w:val="22"/>
                <w:szCs w:val="22"/>
                <w:b/>
                <w:bCs/>
                <w:spacing w:val="2"/>
              </w:rPr>
              <w:t>232</w:t>
            </w:r>
          </w:hyperlink>
        </w:p>
      </w:sdtContent>
    </w:sdt>
    <w:p>
      <w:pPr>
        <w:spacing w:line="221" w:lineRule="auto"/>
        <w:sectPr>
          <w:footerReference w:type="default" r:id="rId19"/>
          <w:pgSz w:w="16830" w:h="11900"/>
          <w:pgMar w:top="1011" w:right="1277" w:bottom="1135" w:left="1969" w:header="0" w:footer="793" w:gutter="0"/>
        </w:sectPr>
        <w:rPr>
          <w:rFonts w:ascii="Times New Roman" w:hAnsi="Times New Roman" w:eastAsia="Times New Roman" w:cs="Times New Roman"/>
          <w:sz w:val="22"/>
          <w:szCs w:val="22"/>
        </w:rPr>
      </w:pPr>
    </w:p>
    <w:p>
      <w:pPr>
        <w:pStyle w:val="BodyText"/>
        <w:spacing w:line="306" w:lineRule="auto"/>
        <w:rPr/>
      </w:pPr>
      <w:r/>
    </w:p>
    <w:p>
      <w:pPr>
        <w:pStyle w:val="BodyText"/>
        <w:spacing w:line="306" w:lineRule="auto"/>
        <w:rPr/>
      </w:pPr>
      <w:r/>
    </w:p>
    <w:p>
      <w:pPr>
        <w:pStyle w:val="BodyText"/>
        <w:spacing w:line="306"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ind w:left="289"/>
            <w:spacing w:before="71" w:line="221" w:lineRule="auto"/>
            <w:tabs>
              <w:tab w:val="right" w:leader="dot" w:pos="13305"/>
            </w:tabs>
            <w:rPr>
              <w:rFonts w:ascii="Times New Roman" w:hAnsi="Times New Roman" w:eastAsia="Times New Roman" w:cs="Times New Roman"/>
              <w:sz w:val="22"/>
              <w:szCs w:val="22"/>
            </w:rPr>
          </w:pPr>
          <w:hyperlink w:history="true" w:anchor="bookmark191">
            <w:r>
              <w:rPr>
                <w:rFonts w:ascii="SimHei" w:hAnsi="SimHei" w:eastAsia="SimHei" w:cs="SimHei"/>
                <w:sz w:val="22"/>
                <w:szCs w:val="22"/>
                <w:spacing w:val="8"/>
              </w:rPr>
              <w:t>第一百五十条</w:t>
            </w:r>
            <w:r>
              <w:rPr>
                <w:rFonts w:ascii="SimHei" w:hAnsi="SimHei" w:eastAsia="SimHei" w:cs="SimHei"/>
                <w:sz w:val="22"/>
                <w:szCs w:val="22"/>
                <w:spacing w:val="8"/>
              </w:rPr>
              <w:t xml:space="preserve"> </w:t>
            </w:r>
            <w:r>
              <w:rPr>
                <w:rFonts w:ascii="SimHei" w:hAnsi="SimHei" w:eastAsia="SimHei" w:cs="SimHei"/>
                <w:sz w:val="22"/>
                <w:szCs w:val="22"/>
                <w:spacing w:val="8"/>
              </w:rPr>
              <w:t>拒绝接诊病人或者疑似病人的</w:t>
            </w:r>
            <w:r>
              <w:rPr>
                <w:rFonts w:ascii="SimHei" w:hAnsi="SimHei" w:eastAsia="SimHei" w:cs="SimHei"/>
                <w:sz w:val="22"/>
                <w:szCs w:val="22"/>
                <w:spacing w:val="-92"/>
              </w:rPr>
              <w:t xml:space="preserve"> </w:t>
            </w:r>
            <w:r>
              <w:rPr>
                <w:rFonts w:ascii="SimHei" w:hAnsi="SimHei" w:eastAsia="SimHei" w:cs="SimHei"/>
                <w:sz w:val="22"/>
                <w:szCs w:val="22"/>
              </w:rPr>
              <w:tab/>
            </w:r>
            <w:r>
              <w:rPr>
                <w:rFonts w:ascii="Times New Roman" w:hAnsi="Times New Roman" w:eastAsia="Times New Roman" w:cs="Times New Roman"/>
                <w:sz w:val="22"/>
                <w:szCs w:val="22"/>
              </w:rPr>
              <w:t>233</w:t>
            </w:r>
          </w:hyperlink>
        </w:p>
        <w:p>
          <w:pPr>
            <w:pStyle w:val="BodyText"/>
            <w:spacing w:line="241" w:lineRule="auto"/>
            <w:rPr/>
          </w:pPr>
          <w:r/>
        </w:p>
        <w:p>
          <w:pPr>
            <w:pStyle w:val="BodyText"/>
            <w:spacing w:line="241" w:lineRule="auto"/>
            <w:rPr/>
          </w:pPr>
          <w:r/>
        </w:p>
        <w:p>
          <w:pPr>
            <w:ind w:left="289"/>
            <w:spacing w:before="71" w:line="221" w:lineRule="auto"/>
            <w:tabs>
              <w:tab w:val="right" w:leader="dot" w:pos="13295"/>
            </w:tabs>
            <w:rPr>
              <w:rFonts w:ascii="Times New Roman" w:hAnsi="Times New Roman" w:eastAsia="Times New Roman" w:cs="Times New Roman"/>
              <w:sz w:val="22"/>
              <w:szCs w:val="22"/>
            </w:rPr>
          </w:pPr>
          <w:hyperlink w:history="true" w:anchor="bookmark192">
            <w:r>
              <w:rPr>
                <w:rFonts w:ascii="SimHei" w:hAnsi="SimHei" w:eastAsia="SimHei" w:cs="SimHei"/>
                <w:sz w:val="22"/>
                <w:szCs w:val="22"/>
                <w:spacing w:val="7"/>
              </w:rPr>
              <w:t>第一百五十一条</w:t>
            </w:r>
            <w:r>
              <w:rPr>
                <w:rFonts w:ascii="SimHei" w:hAnsi="SimHei" w:eastAsia="SimHei" w:cs="SimHei"/>
                <w:sz w:val="22"/>
                <w:szCs w:val="22"/>
                <w:spacing w:val="7"/>
              </w:rPr>
              <w:t xml:space="preserve"> </w:t>
            </w:r>
            <w:r>
              <w:rPr>
                <w:rFonts w:ascii="SimHei" w:hAnsi="SimHei" w:eastAsia="SimHei" w:cs="SimHei"/>
                <w:sz w:val="22"/>
                <w:szCs w:val="22"/>
                <w:spacing w:val="7"/>
              </w:rPr>
              <w:t>未按照规定履行监测职责的</w:t>
            </w:r>
            <w:r>
              <w:rPr>
                <w:rFonts w:ascii="SimHei" w:hAnsi="SimHei" w:eastAsia="SimHei" w:cs="SimHei"/>
                <w:sz w:val="22"/>
                <w:szCs w:val="22"/>
                <w:spacing w:val="-82"/>
              </w:rPr>
              <w:t xml:space="preserve"> </w:t>
            </w:r>
            <w:r>
              <w:rPr>
                <w:rFonts w:ascii="SimHei" w:hAnsi="SimHei" w:eastAsia="SimHei" w:cs="SimHei"/>
                <w:sz w:val="22"/>
                <w:szCs w:val="22"/>
              </w:rPr>
              <w:tab/>
            </w:r>
            <w:r>
              <w:rPr>
                <w:rFonts w:ascii="Times New Roman" w:hAnsi="Times New Roman" w:eastAsia="Times New Roman" w:cs="Times New Roman"/>
                <w:sz w:val="22"/>
                <w:szCs w:val="22"/>
              </w:rPr>
              <w:t>234</w:t>
            </w:r>
          </w:hyperlink>
        </w:p>
        <w:p>
          <w:pPr>
            <w:pStyle w:val="BodyText"/>
            <w:spacing w:line="246" w:lineRule="auto"/>
            <w:rPr/>
          </w:pPr>
          <w:r/>
        </w:p>
        <w:p>
          <w:pPr>
            <w:pStyle w:val="BodyText"/>
            <w:spacing w:line="246" w:lineRule="auto"/>
            <w:rPr/>
          </w:pPr>
          <w:r/>
        </w:p>
        <w:p>
          <w:pPr>
            <w:ind w:left="289"/>
            <w:spacing w:before="71" w:line="221" w:lineRule="auto"/>
            <w:tabs>
              <w:tab w:val="right" w:leader="dot" w:pos="13265"/>
            </w:tabs>
            <w:rPr>
              <w:rFonts w:ascii="Times New Roman" w:hAnsi="Times New Roman" w:eastAsia="Times New Roman" w:cs="Times New Roman"/>
              <w:sz w:val="22"/>
              <w:szCs w:val="22"/>
            </w:rPr>
          </w:pPr>
          <w:hyperlink w:history="true" w:anchor="bookmark193">
            <w:r>
              <w:rPr>
                <w:rFonts w:ascii="SimHei" w:hAnsi="SimHei" w:eastAsia="SimHei" w:cs="SimHei"/>
                <w:sz w:val="22"/>
                <w:szCs w:val="22"/>
                <w:spacing w:val="4"/>
              </w:rPr>
              <w:t>第一百五十二条</w:t>
            </w:r>
            <w:r>
              <w:rPr>
                <w:rFonts w:ascii="SimHei" w:hAnsi="SimHei" w:eastAsia="SimHei" w:cs="SimHei"/>
                <w:sz w:val="22"/>
                <w:szCs w:val="22"/>
                <w:spacing w:val="4"/>
              </w:rPr>
              <w:t xml:space="preserve"> </w:t>
            </w:r>
            <w:r>
              <w:rPr>
                <w:rFonts w:ascii="SimHei" w:hAnsi="SimHei" w:eastAsia="SimHei" w:cs="SimHei"/>
                <w:sz w:val="22"/>
                <w:szCs w:val="22"/>
                <w:spacing w:val="4"/>
              </w:rPr>
              <w:t>对传染性非典型肺炎病原体污染的污水、污物、粪便</w:t>
            </w:r>
            <w:r>
              <w:rPr>
                <w:rFonts w:ascii="SimHei" w:hAnsi="SimHei" w:eastAsia="SimHei" w:cs="SimHei"/>
                <w:sz w:val="22"/>
                <w:szCs w:val="22"/>
                <w:spacing w:val="3"/>
              </w:rPr>
              <w:t>不按规定进行消毒处理的</w:t>
            </w:r>
            <w:r>
              <w:rPr>
                <w:rFonts w:ascii="SimHei" w:hAnsi="SimHei" w:eastAsia="SimHei" w:cs="SimHei"/>
                <w:sz w:val="22"/>
                <w:szCs w:val="22"/>
                <w:spacing w:val="-99"/>
              </w:rPr>
              <w:t xml:space="preserve"> </w:t>
            </w:r>
            <w:r>
              <w:rPr>
                <w:rFonts w:ascii="SimHei" w:hAnsi="SimHei" w:eastAsia="SimHei" w:cs="SimHei"/>
                <w:sz w:val="22"/>
                <w:szCs w:val="22"/>
              </w:rPr>
              <w:tab/>
            </w:r>
            <w:r>
              <w:rPr>
                <w:rFonts w:ascii="SimHei" w:hAnsi="SimHei" w:eastAsia="SimHei" w:cs="SimHei"/>
                <w:sz w:val="22"/>
                <w:szCs w:val="22"/>
                <w:spacing w:val="-34"/>
              </w:rPr>
              <w:t xml:space="preserve"> </w:t>
            </w:r>
            <w:r>
              <w:rPr>
                <w:rFonts w:ascii="Times New Roman" w:hAnsi="Times New Roman" w:eastAsia="Times New Roman" w:cs="Times New Roman"/>
                <w:sz w:val="22"/>
                <w:szCs w:val="22"/>
                <w:spacing w:val="-2"/>
              </w:rPr>
              <w:t>235</w:t>
            </w:r>
          </w:hyperlink>
        </w:p>
        <w:p>
          <w:pPr>
            <w:pStyle w:val="BodyText"/>
            <w:spacing w:line="241" w:lineRule="auto"/>
            <w:rPr/>
          </w:pPr>
          <w:r/>
        </w:p>
        <w:p>
          <w:pPr>
            <w:pStyle w:val="BodyText"/>
            <w:spacing w:line="241" w:lineRule="auto"/>
            <w:rPr/>
          </w:pPr>
          <w:r/>
        </w:p>
        <w:p>
          <w:pPr>
            <w:ind w:left="289"/>
            <w:spacing w:before="71" w:line="221" w:lineRule="auto"/>
            <w:tabs>
              <w:tab w:val="right" w:leader="dot" w:pos="13305"/>
            </w:tabs>
            <w:rPr>
              <w:rFonts w:ascii="Times New Roman" w:hAnsi="Times New Roman" w:eastAsia="Times New Roman" w:cs="Times New Roman"/>
              <w:sz w:val="22"/>
              <w:szCs w:val="22"/>
            </w:rPr>
          </w:pPr>
          <w:hyperlink w:history="true" w:anchor="bookmark194">
            <w:r>
              <w:rPr>
                <w:rFonts w:ascii="SimHei" w:hAnsi="SimHei" w:eastAsia="SimHei" w:cs="SimHei"/>
                <w:sz w:val="22"/>
                <w:szCs w:val="22"/>
                <w:spacing w:val="17"/>
              </w:rPr>
              <w:t>第一百五十三条</w:t>
            </w:r>
            <w:r>
              <w:rPr>
                <w:rFonts w:ascii="SimHei" w:hAnsi="SimHei" w:eastAsia="SimHei" w:cs="SimHei"/>
                <w:sz w:val="22"/>
                <w:szCs w:val="22"/>
                <w:spacing w:val="44"/>
              </w:rPr>
              <w:t xml:space="preserve"> </w:t>
            </w:r>
            <w:r>
              <w:rPr>
                <w:rFonts w:ascii="SimHei" w:hAnsi="SimHei" w:eastAsia="SimHei" w:cs="SimHei"/>
                <w:sz w:val="22"/>
                <w:szCs w:val="22"/>
                <w:spacing w:val="17"/>
              </w:rPr>
              <w:t>造成传染性非典型肺炎的医源性感染、医院内感染、实验室感染或者病微物散的</w:t>
            </w:r>
            <w:r>
              <w:rPr>
                <w:rFonts w:ascii="SimHei" w:hAnsi="SimHei" w:eastAsia="SimHei" w:cs="SimHei"/>
                <w:sz w:val="22"/>
                <w:szCs w:val="22"/>
                <w:spacing w:val="-100"/>
              </w:rPr>
              <w:t xml:space="preserve"> </w:t>
            </w:r>
            <w:r>
              <w:rPr>
                <w:rFonts w:ascii="SimHei" w:hAnsi="SimHei" w:eastAsia="SimHei" w:cs="SimHei"/>
                <w:sz w:val="22"/>
                <w:szCs w:val="22"/>
              </w:rPr>
              <w:tab/>
            </w:r>
            <w:r>
              <w:rPr>
                <w:rFonts w:ascii="Times New Roman" w:hAnsi="Times New Roman" w:eastAsia="Times New Roman" w:cs="Times New Roman"/>
                <w:sz w:val="22"/>
                <w:szCs w:val="22"/>
              </w:rPr>
              <w:t>236</w:t>
            </w:r>
          </w:hyperlink>
        </w:p>
        <w:p>
          <w:pPr>
            <w:pStyle w:val="BodyText"/>
            <w:spacing w:line="246" w:lineRule="auto"/>
            <w:rPr/>
          </w:pPr>
          <w:r/>
        </w:p>
        <w:p>
          <w:pPr>
            <w:pStyle w:val="BodyText"/>
            <w:spacing w:line="246" w:lineRule="auto"/>
            <w:rPr/>
          </w:pPr>
          <w:r/>
        </w:p>
        <w:p>
          <w:pPr>
            <w:spacing w:before="73" w:line="213" w:lineRule="auto"/>
            <w:jc w:val="right"/>
            <w:rPr>
              <w:rFonts w:ascii="SimHei" w:hAnsi="SimHei" w:eastAsia="SimHei" w:cs="SimHei"/>
              <w:sz w:val="22"/>
              <w:szCs w:val="22"/>
            </w:rPr>
          </w:pPr>
          <w:hyperlink w:history="true" w:anchor="bookmark195">
            <w:r>
              <w:rPr>
                <w:rFonts w:ascii="SimHei" w:hAnsi="SimHei" w:eastAsia="SimHei" w:cs="SimHei"/>
                <w:sz w:val="22"/>
                <w:szCs w:val="22"/>
                <w:spacing w:val="-2"/>
              </w:rPr>
              <w:t>第一百五十四条</w:t>
            </w:r>
            <w:r>
              <w:rPr>
                <w:rFonts w:ascii="SimHei" w:hAnsi="SimHei" w:eastAsia="SimHei" w:cs="SimHei"/>
                <w:sz w:val="22"/>
                <w:szCs w:val="22"/>
                <w:spacing w:val="-2"/>
              </w:rPr>
              <w:t xml:space="preserve"> </w:t>
            </w:r>
            <w:r>
              <w:rPr>
                <w:rFonts w:ascii="SimHei" w:hAnsi="SimHei" w:eastAsia="SimHei" w:cs="SimHei"/>
                <w:sz w:val="22"/>
                <w:szCs w:val="22"/>
                <w:spacing w:val="-2"/>
              </w:rPr>
              <w:t>生产、经营、使用消毒产品、隔离防护用品等不符合规定与标准，可能造成传</w:t>
            </w:r>
            <w:r>
              <w:rPr>
                <w:rFonts w:ascii="SimHei" w:hAnsi="SimHei" w:eastAsia="SimHei" w:cs="SimHei"/>
                <w:sz w:val="22"/>
                <w:szCs w:val="22"/>
                <w:spacing w:val="-3"/>
              </w:rPr>
              <w:t>染病的传播、扩散或者造成传染病的传播、</w:t>
            </w:r>
          </w:hyperlink>
        </w:p>
        <w:p>
          <w:pPr>
            <w:pStyle w:val="BodyText"/>
            <w:spacing w:line="294" w:lineRule="auto"/>
            <w:rPr/>
          </w:pPr>
          <w:r/>
        </w:p>
        <w:p>
          <w:pPr>
            <w:ind w:left="289"/>
            <w:spacing w:before="71" w:line="222" w:lineRule="auto"/>
            <w:tabs>
              <w:tab w:val="right" w:leader="dot" w:pos="13265"/>
            </w:tabs>
            <w:rPr>
              <w:rFonts w:ascii="Times New Roman" w:hAnsi="Times New Roman" w:eastAsia="Times New Roman" w:cs="Times New Roman"/>
              <w:sz w:val="22"/>
              <w:szCs w:val="22"/>
            </w:rPr>
          </w:pPr>
          <w:hyperlink w:history="true" w:anchor="bookmark196">
            <w:r>
              <w:rPr>
                <w:rFonts w:ascii="SimHei" w:hAnsi="SimHei" w:eastAsia="SimHei" w:cs="SimHei"/>
                <w:sz w:val="22"/>
                <w:szCs w:val="22"/>
                <w:spacing w:val="12"/>
              </w:rPr>
              <w:t>扩散的</w:t>
            </w:r>
            <w:r>
              <w:rPr>
                <w:rFonts w:ascii="SimHei" w:hAnsi="SimHei" w:eastAsia="SimHei" w:cs="SimHei"/>
                <w:sz w:val="22"/>
                <w:szCs w:val="22"/>
                <w:spacing w:val="-98"/>
              </w:rPr>
              <w:t xml:space="preserve"> </w:t>
            </w:r>
            <w:r>
              <w:rPr>
                <w:rFonts w:ascii="SimHei" w:hAnsi="SimHei" w:eastAsia="SimHei" w:cs="SimHei"/>
                <w:sz w:val="22"/>
                <w:szCs w:val="22"/>
              </w:rPr>
              <w:tab/>
            </w:r>
            <w:r>
              <w:rPr>
                <w:rFonts w:ascii="SimHei" w:hAnsi="SimHei" w:eastAsia="SimHei" w:cs="SimHei"/>
                <w:sz w:val="22"/>
                <w:szCs w:val="22"/>
                <w:spacing w:val="-24"/>
              </w:rPr>
              <w:t xml:space="preserve"> </w:t>
            </w:r>
            <w:r>
              <w:rPr>
                <w:rFonts w:ascii="Times New Roman" w:hAnsi="Times New Roman" w:eastAsia="Times New Roman" w:cs="Times New Roman"/>
                <w:sz w:val="22"/>
                <w:szCs w:val="22"/>
                <w:spacing w:val="-2"/>
              </w:rPr>
              <w:t>237</w:t>
            </w:r>
          </w:hyperlink>
        </w:p>
        <w:p>
          <w:pPr>
            <w:pStyle w:val="BodyText"/>
            <w:spacing w:line="478" w:lineRule="auto"/>
            <w:rPr/>
          </w:pPr>
          <w:r/>
        </w:p>
        <w:p>
          <w:pPr>
            <w:ind w:left="289"/>
            <w:spacing w:before="73" w:line="221" w:lineRule="auto"/>
            <w:tabs>
              <w:tab w:val="right" w:leader="dot" w:pos="13305"/>
            </w:tabs>
            <w:rPr>
              <w:rFonts w:ascii="Times New Roman" w:hAnsi="Times New Roman" w:eastAsia="Times New Roman" w:cs="Times New Roman"/>
              <w:sz w:val="22"/>
              <w:szCs w:val="22"/>
            </w:rPr>
          </w:pPr>
          <w:hyperlink w:history="true" w:anchor="bookmark197">
            <w:r>
              <w:rPr>
                <w:rFonts w:ascii="SimHei" w:hAnsi="SimHei" w:eastAsia="SimHei" w:cs="SimHei"/>
                <w:sz w:val="22"/>
                <w:szCs w:val="22"/>
                <w:spacing w:val="9"/>
              </w:rPr>
              <w:t>第一百五十五条</w:t>
            </w:r>
            <w:r>
              <w:rPr>
                <w:rFonts w:ascii="SimHei" w:hAnsi="SimHei" w:eastAsia="SimHei" w:cs="SimHei"/>
                <w:sz w:val="22"/>
                <w:szCs w:val="22"/>
                <w:spacing w:val="9"/>
              </w:rPr>
              <w:t xml:space="preserve"> </w:t>
            </w:r>
            <w:r>
              <w:rPr>
                <w:rFonts w:ascii="SimHei" w:hAnsi="SimHei" w:eastAsia="SimHei" w:cs="SimHei"/>
                <w:sz w:val="22"/>
                <w:szCs w:val="22"/>
                <w:spacing w:val="9"/>
              </w:rPr>
              <w:t>拒绝、阻碍或者不配合现场调查、资料收集、采样检验以及监督查</w:t>
            </w:r>
            <w:r>
              <w:rPr>
                <w:rFonts w:ascii="SimHei" w:hAnsi="SimHei" w:eastAsia="SimHei" w:cs="SimHei"/>
                <w:sz w:val="22"/>
                <w:szCs w:val="22"/>
                <w:spacing w:val="-85"/>
              </w:rPr>
              <w:t xml:space="preserve"> </w:t>
            </w:r>
            <w:r>
              <w:rPr>
                <w:rFonts w:ascii="SimHei" w:hAnsi="SimHei" w:eastAsia="SimHei" w:cs="SimHei"/>
                <w:sz w:val="22"/>
                <w:szCs w:val="22"/>
              </w:rPr>
              <w:tab/>
            </w:r>
            <w:r>
              <w:rPr>
                <w:rFonts w:ascii="Times New Roman" w:hAnsi="Times New Roman" w:eastAsia="Times New Roman" w:cs="Times New Roman"/>
                <w:sz w:val="22"/>
                <w:szCs w:val="22"/>
              </w:rPr>
              <w:t>238</w:t>
            </w:r>
          </w:hyperlink>
        </w:p>
        <w:p>
          <w:pPr>
            <w:pStyle w:val="BodyText"/>
            <w:spacing w:line="245" w:lineRule="auto"/>
            <w:rPr/>
          </w:pPr>
          <w:r/>
        </w:p>
        <w:p>
          <w:pPr>
            <w:pStyle w:val="BodyText"/>
            <w:spacing w:line="246" w:lineRule="auto"/>
            <w:rPr/>
          </w:pPr>
          <w:r/>
        </w:p>
        <w:p>
          <w:pPr>
            <w:ind w:left="289"/>
            <w:spacing w:before="71" w:line="219" w:lineRule="auto"/>
            <w:tabs>
              <w:tab w:val="right" w:leader="dot" w:pos="13285"/>
            </w:tabs>
            <w:rPr>
              <w:rFonts w:ascii="Times New Roman" w:hAnsi="Times New Roman" w:eastAsia="Times New Roman" w:cs="Times New Roman"/>
              <w:sz w:val="22"/>
              <w:szCs w:val="22"/>
            </w:rPr>
          </w:pPr>
          <w:hyperlink w:history="true" w:anchor="bookmark198">
            <w:r>
              <w:rPr>
                <w:rFonts w:ascii="SimHei" w:hAnsi="SimHei" w:eastAsia="SimHei" w:cs="SimHei"/>
                <w:sz w:val="22"/>
                <w:szCs w:val="22"/>
              </w:rPr>
              <w:t>第一百五十六条</w:t>
            </w:r>
            <w:r>
              <w:rPr>
                <w:rFonts w:ascii="SimHei" w:hAnsi="SimHei" w:eastAsia="SimHei" w:cs="SimHei"/>
                <w:sz w:val="22"/>
                <w:szCs w:val="22"/>
              </w:rPr>
              <w:t xml:space="preserve"> </w:t>
            </w:r>
            <w:r>
              <w:rPr>
                <w:rFonts w:ascii="SimHei" w:hAnsi="SimHei" w:eastAsia="SimHei" w:cs="SimHei"/>
                <w:sz w:val="22"/>
                <w:szCs w:val="22"/>
              </w:rPr>
              <w:t>拒绝执行疾病预防控制机构提</w:t>
            </w:r>
            <w:r>
              <w:rPr>
                <w:rFonts w:ascii="SimHei" w:hAnsi="SimHei" w:eastAsia="SimHei" w:cs="SimHei"/>
                <w:sz w:val="22"/>
                <w:szCs w:val="22"/>
                <w:spacing w:val="-1"/>
              </w:rPr>
              <w:t>出的预防、控制措施的</w:t>
            </w:r>
            <w:r>
              <w:rPr>
                <w:rFonts w:ascii="SimHei" w:hAnsi="SimHei" w:eastAsia="SimHei" w:cs="SimHei"/>
                <w:sz w:val="22"/>
                <w:szCs w:val="22"/>
                <w:spacing w:val="-92"/>
              </w:rPr>
              <w:t xml:space="preserve"> </w:t>
            </w:r>
            <w:r>
              <w:rPr>
                <w:rFonts w:ascii="SimHei" w:hAnsi="SimHei" w:eastAsia="SimHei" w:cs="SimHei"/>
                <w:sz w:val="22"/>
                <w:szCs w:val="22"/>
              </w:rPr>
              <w:tab/>
            </w:r>
            <w:r>
              <w:rPr>
                <w:rFonts w:ascii="SimHei" w:hAnsi="SimHei" w:eastAsia="SimHei" w:cs="SimHei"/>
                <w:sz w:val="22"/>
                <w:szCs w:val="22"/>
                <w:spacing w:val="-74"/>
              </w:rPr>
              <w:t xml:space="preserve"> </w:t>
            </w:r>
            <w:r>
              <w:rPr>
                <w:rFonts w:ascii="Times New Roman" w:hAnsi="Times New Roman" w:eastAsia="Times New Roman" w:cs="Times New Roman"/>
                <w:sz w:val="22"/>
                <w:szCs w:val="22"/>
                <w:spacing w:val="-2"/>
              </w:rPr>
              <w:t>239</w:t>
            </w:r>
          </w:hyperlink>
        </w:p>
        <w:p>
          <w:pPr>
            <w:pStyle w:val="BodyText"/>
            <w:spacing w:line="476" w:lineRule="auto"/>
            <w:rPr/>
          </w:pPr>
          <w:r/>
        </w:p>
        <w:p>
          <w:pPr>
            <w:ind w:left="289"/>
            <w:spacing w:before="72" w:line="213" w:lineRule="auto"/>
            <w:tabs>
              <w:tab w:val="right" w:leader="dot" w:pos="13275"/>
            </w:tabs>
            <w:rPr>
              <w:rFonts w:ascii="Times New Roman" w:hAnsi="Times New Roman" w:eastAsia="Times New Roman" w:cs="Times New Roman"/>
              <w:sz w:val="22"/>
              <w:szCs w:val="22"/>
            </w:rPr>
          </w:pPr>
          <w:hyperlink w:history="true" w:anchor="bookmark199">
            <w:r>
              <w:rPr>
                <w:rFonts w:ascii="SimHei" w:hAnsi="SimHei" w:eastAsia="SimHei" w:cs="SimHei"/>
                <w:sz w:val="22"/>
                <w:szCs w:val="22"/>
                <w:spacing w:val="2"/>
              </w:rPr>
              <w:t>第一百五十七条</w:t>
            </w:r>
            <w:r>
              <w:rPr>
                <w:rFonts w:ascii="SimHei" w:hAnsi="SimHei" w:eastAsia="SimHei" w:cs="SimHei"/>
                <w:sz w:val="22"/>
                <w:szCs w:val="22"/>
                <w:spacing w:val="2"/>
              </w:rPr>
              <w:t xml:space="preserve"> </w:t>
            </w:r>
            <w:r>
              <w:rPr>
                <w:rFonts w:ascii="SimHei" w:hAnsi="SimHei" w:eastAsia="SimHei" w:cs="SimHei"/>
                <w:sz w:val="22"/>
                <w:szCs w:val="22"/>
                <w:spacing w:val="2"/>
              </w:rPr>
              <w:t>病人或者疑似病人故意传播传染性非典型肺炎，造成他人感染的</w:t>
            </w:r>
            <w:r>
              <w:rPr>
                <w:rFonts w:ascii="SimHei" w:hAnsi="SimHei" w:eastAsia="SimHei" w:cs="SimHei"/>
                <w:sz w:val="22"/>
                <w:szCs w:val="22"/>
                <w:spacing w:val="-93"/>
              </w:rPr>
              <w:t xml:space="preserve"> </w:t>
            </w:r>
            <w:r>
              <w:rPr>
                <w:rFonts w:ascii="SimHei" w:hAnsi="SimHei" w:eastAsia="SimHei" w:cs="SimHei"/>
                <w:sz w:val="22"/>
                <w:szCs w:val="22"/>
              </w:rPr>
              <w:tab/>
            </w:r>
            <w:r>
              <w:rPr>
                <w:rFonts w:ascii="Times New Roman" w:hAnsi="Times New Roman" w:eastAsia="Times New Roman" w:cs="Times New Roman"/>
                <w:sz w:val="22"/>
                <w:szCs w:val="22"/>
              </w:rPr>
              <w:t>239</w:t>
            </w:r>
          </w:hyperlink>
        </w:p>
        <w:p>
          <w:pPr>
            <w:pStyle w:val="BodyText"/>
            <w:spacing w:line="378" w:lineRule="auto"/>
            <w:rPr/>
          </w:pPr>
          <w:r/>
        </w:p>
        <w:p>
          <w:pPr>
            <w:spacing w:before="73" w:line="212" w:lineRule="auto"/>
            <w:tabs>
              <w:tab w:val="right" w:leader="dot" w:pos="13325"/>
            </w:tabs>
            <w:rPr>
              <w:rFonts w:ascii="Times New Roman" w:hAnsi="Times New Roman" w:eastAsia="Times New Roman" w:cs="Times New Roman"/>
              <w:sz w:val="22"/>
              <w:szCs w:val="22"/>
            </w:rPr>
          </w:pPr>
          <w:hyperlink w:history="true" w:anchor="bookmark200">
            <w:r>
              <w:rPr>
                <w:rFonts w:ascii="Times New Roman" w:hAnsi="Times New Roman" w:eastAsia="Times New Roman" w:cs="Times New Roman"/>
                <w:sz w:val="22"/>
                <w:szCs w:val="22"/>
                <w:spacing w:val="1"/>
              </w:rPr>
              <w:t>(</w:t>
            </w:r>
            <w:r>
              <w:rPr>
                <w:rFonts w:ascii="SimHei" w:hAnsi="SimHei" w:eastAsia="SimHei" w:cs="SimHei"/>
                <w:sz w:val="22"/>
                <w:szCs w:val="22"/>
                <w:spacing w:val="1"/>
              </w:rPr>
              <w:t>十八)《中华人民共和国生物安全法》</w:t>
            </w:r>
            <w:r>
              <w:rPr>
                <w:rFonts w:ascii="SimHei" w:hAnsi="SimHei" w:eastAsia="SimHei" w:cs="SimHei"/>
                <w:sz w:val="22"/>
                <w:szCs w:val="22"/>
                <w:spacing w:val="-73"/>
              </w:rPr>
              <w:t xml:space="preserve"> </w:t>
            </w:r>
            <w:r>
              <w:rPr>
                <w:rFonts w:ascii="SimHei" w:hAnsi="SimHei" w:eastAsia="SimHei" w:cs="SimHei"/>
                <w:sz w:val="22"/>
                <w:szCs w:val="22"/>
              </w:rPr>
              <w:tab/>
            </w:r>
            <w:r>
              <w:rPr>
                <w:rFonts w:ascii="Times New Roman" w:hAnsi="Times New Roman" w:eastAsia="Times New Roman" w:cs="Times New Roman"/>
                <w:sz w:val="22"/>
                <w:szCs w:val="22"/>
                <w:spacing w:val="6"/>
              </w:rPr>
              <w:t>241</w:t>
            </w:r>
          </w:hyperlink>
        </w:p>
      </w:sdtContent>
    </w:sdt>
    <w:p>
      <w:pPr>
        <w:spacing w:line="212" w:lineRule="auto"/>
        <w:sectPr>
          <w:footerReference w:type="default" r:id="rId20"/>
          <w:pgSz w:w="16830" w:h="11900"/>
          <w:pgMar w:top="1011" w:right="1350" w:bottom="1144" w:left="2000" w:header="0" w:footer="802" w:gutter="0"/>
        </w:sectPr>
        <w:rPr>
          <w:rFonts w:ascii="Times New Roman" w:hAnsi="Times New Roman" w:eastAsia="Times New Roman" w:cs="Times New Roman"/>
          <w:sz w:val="22"/>
          <w:szCs w:val="22"/>
        </w:rPr>
      </w:pPr>
    </w:p>
    <w:p>
      <w:pPr>
        <w:pStyle w:val="BodyText"/>
        <w:spacing w:line="303" w:lineRule="auto"/>
        <w:rPr/>
      </w:pPr>
      <w:r/>
    </w:p>
    <w:p>
      <w:pPr>
        <w:pStyle w:val="BodyText"/>
        <w:spacing w:line="303" w:lineRule="auto"/>
        <w:rPr/>
      </w:pPr>
      <w:r/>
    </w:p>
    <w:p>
      <w:pPr>
        <w:pStyle w:val="BodyText"/>
        <w:spacing w:line="303" w:lineRule="auto"/>
        <w:rPr/>
      </w:pPr>
      <w:r/>
    </w:p>
    <w:p>
      <w:pPr>
        <w:ind w:left="299"/>
        <w:spacing w:before="71" w:line="213" w:lineRule="auto"/>
        <w:rPr>
          <w:rFonts w:ascii="SimHei" w:hAnsi="SimHei" w:eastAsia="SimHei" w:cs="SimHei"/>
          <w:sz w:val="22"/>
          <w:szCs w:val="22"/>
        </w:rPr>
      </w:pPr>
      <w:bookmarkStart w:name="bookmark201" w:id="5"/>
      <w:bookmarkEnd w:id="5"/>
      <w:r>
        <w:rPr>
          <w:rFonts w:ascii="SimHei" w:hAnsi="SimHei" w:eastAsia="SimHei" w:cs="SimHei"/>
          <w:sz w:val="22"/>
          <w:szCs w:val="22"/>
          <w:spacing w:val="2"/>
        </w:rPr>
        <w:t>第一百五十八条</w:t>
      </w:r>
      <w:r>
        <w:rPr>
          <w:rFonts w:ascii="SimHei" w:hAnsi="SimHei" w:eastAsia="SimHei" w:cs="SimHei"/>
          <w:sz w:val="22"/>
          <w:szCs w:val="22"/>
          <w:spacing w:val="2"/>
        </w:rPr>
        <w:t xml:space="preserve"> </w:t>
      </w:r>
      <w:r>
        <w:rPr>
          <w:rFonts w:ascii="SimHei" w:hAnsi="SimHei" w:eastAsia="SimHei" w:cs="SimHei"/>
          <w:sz w:val="22"/>
          <w:szCs w:val="22"/>
          <w:spacing w:val="2"/>
        </w:rPr>
        <w:t>医疗机构、专业机构或者其工作人员瞒报、谎报、缓报、漏报，授意他人瞒报、谎报、缓报，或者阻碍他人报</w:t>
      </w:r>
      <w:r>
        <w:rPr>
          <w:rFonts w:ascii="SimHei" w:hAnsi="SimHei" w:eastAsia="SimHei" w:cs="SimHei"/>
          <w:sz w:val="22"/>
          <w:szCs w:val="22"/>
          <w:spacing w:val="1"/>
        </w:rPr>
        <w:t>告传染</w:t>
      </w:r>
    </w:p>
    <w:p>
      <w:pPr>
        <w:pStyle w:val="BodyText"/>
        <w:spacing w:line="302"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ind w:left="289"/>
            <w:spacing w:before="71" w:line="221" w:lineRule="auto"/>
            <w:tabs>
              <w:tab w:val="right" w:leader="dot" w:pos="13315"/>
            </w:tabs>
            <w:rPr>
              <w:rFonts w:ascii="Times New Roman" w:hAnsi="Times New Roman" w:eastAsia="Times New Roman" w:cs="Times New Roman"/>
              <w:sz w:val="22"/>
              <w:szCs w:val="22"/>
            </w:rPr>
          </w:pPr>
          <w:hyperlink w:history="true" w:anchor="bookmark202">
            <w:r>
              <w:rPr>
                <w:rFonts w:ascii="SimHei" w:hAnsi="SimHei" w:eastAsia="SimHei" w:cs="SimHei"/>
                <w:sz w:val="22"/>
                <w:szCs w:val="22"/>
                <w:spacing w:val="2"/>
              </w:rPr>
              <w:t>病、动植物疫病或者不明原因的聚集性疾病的</w:t>
            </w:r>
            <w:r>
              <w:rPr>
                <w:rFonts w:ascii="SimHei" w:hAnsi="SimHei" w:eastAsia="SimHei" w:cs="SimHei"/>
                <w:sz w:val="22"/>
                <w:szCs w:val="22"/>
                <w:spacing w:val="-81"/>
              </w:rPr>
              <w:t xml:space="preserve"> </w:t>
            </w:r>
            <w:r>
              <w:rPr>
                <w:rFonts w:ascii="SimHei" w:hAnsi="SimHei" w:eastAsia="SimHei" w:cs="SimHei"/>
                <w:sz w:val="22"/>
                <w:szCs w:val="22"/>
              </w:rPr>
              <w:tab/>
            </w:r>
            <w:r>
              <w:rPr>
                <w:rFonts w:ascii="Times New Roman" w:hAnsi="Times New Roman" w:eastAsia="Times New Roman" w:cs="Times New Roman"/>
                <w:sz w:val="22"/>
                <w:szCs w:val="22"/>
              </w:rPr>
              <w:t>241</w:t>
            </w:r>
          </w:hyperlink>
        </w:p>
        <w:p>
          <w:pPr>
            <w:pStyle w:val="BodyText"/>
            <w:spacing w:line="246" w:lineRule="auto"/>
            <w:rPr/>
          </w:pPr>
          <w:r/>
        </w:p>
        <w:p>
          <w:pPr>
            <w:pStyle w:val="BodyText"/>
            <w:spacing w:line="246" w:lineRule="auto"/>
            <w:rPr/>
          </w:pPr>
          <w:r/>
        </w:p>
        <w:p>
          <w:pPr>
            <w:ind w:left="289"/>
            <w:spacing w:before="71" w:line="221" w:lineRule="auto"/>
            <w:tabs>
              <w:tab w:val="right" w:leader="dot" w:pos="13295"/>
            </w:tabs>
            <w:rPr>
              <w:rFonts w:ascii="Times New Roman" w:hAnsi="Times New Roman" w:eastAsia="Times New Roman" w:cs="Times New Roman"/>
              <w:sz w:val="22"/>
              <w:szCs w:val="22"/>
            </w:rPr>
          </w:pPr>
          <w:hyperlink w:history="true" w:anchor="bookmark203">
            <w:r>
              <w:rPr>
                <w:rFonts w:ascii="SimHei" w:hAnsi="SimHei" w:eastAsia="SimHei" w:cs="SimHei"/>
                <w:sz w:val="22"/>
                <w:szCs w:val="22"/>
                <w:spacing w:val="2"/>
              </w:rPr>
              <w:t>第一百五十九条</w:t>
            </w:r>
            <w:r>
              <w:rPr>
                <w:rFonts w:ascii="SimHei" w:hAnsi="SimHei" w:eastAsia="SimHei" w:cs="SimHei"/>
                <w:sz w:val="22"/>
                <w:szCs w:val="22"/>
                <w:spacing w:val="2"/>
              </w:rPr>
              <w:t xml:space="preserve"> </w:t>
            </w:r>
            <w:r>
              <w:rPr>
                <w:rFonts w:ascii="SimHei" w:hAnsi="SimHei" w:eastAsia="SimHei" w:cs="SimHei"/>
                <w:sz w:val="22"/>
                <w:szCs w:val="22"/>
                <w:spacing w:val="2"/>
              </w:rPr>
              <w:t>从事国家禁止的生物技术研究、开发与应用活动的</w:t>
            </w:r>
            <w:r>
              <w:rPr>
                <w:rFonts w:ascii="SimHei" w:hAnsi="SimHei" w:eastAsia="SimHei" w:cs="SimHei"/>
                <w:sz w:val="22"/>
                <w:szCs w:val="22"/>
                <w:spacing w:val="-81"/>
              </w:rPr>
              <w:t xml:space="preserve"> </w:t>
            </w:r>
            <w:r>
              <w:rPr>
                <w:rFonts w:ascii="SimHei" w:hAnsi="SimHei" w:eastAsia="SimHei" w:cs="SimHei"/>
                <w:sz w:val="22"/>
                <w:szCs w:val="22"/>
              </w:rPr>
              <w:tab/>
            </w:r>
            <w:r>
              <w:rPr>
                <w:rFonts w:ascii="Times New Roman" w:hAnsi="Times New Roman" w:eastAsia="Times New Roman" w:cs="Times New Roman"/>
                <w:sz w:val="22"/>
                <w:szCs w:val="22"/>
              </w:rPr>
              <w:t>242</w:t>
            </w:r>
          </w:hyperlink>
        </w:p>
        <w:p>
          <w:pPr>
            <w:pStyle w:val="BodyText"/>
            <w:spacing w:line="241" w:lineRule="auto"/>
            <w:rPr/>
          </w:pPr>
          <w:r/>
        </w:p>
        <w:p>
          <w:pPr>
            <w:pStyle w:val="BodyText"/>
            <w:spacing w:line="241" w:lineRule="auto"/>
            <w:rPr/>
          </w:pPr>
          <w:r/>
        </w:p>
        <w:p>
          <w:pPr>
            <w:ind w:left="289"/>
            <w:spacing w:before="71" w:line="221" w:lineRule="auto"/>
            <w:tabs>
              <w:tab w:val="right" w:leader="dot" w:pos="13295"/>
            </w:tabs>
            <w:rPr>
              <w:rFonts w:ascii="Times New Roman" w:hAnsi="Times New Roman" w:eastAsia="Times New Roman" w:cs="Times New Roman"/>
              <w:sz w:val="22"/>
              <w:szCs w:val="22"/>
            </w:rPr>
          </w:pPr>
          <w:hyperlink w:history="true" w:anchor="bookmark204">
            <w:r>
              <w:rPr>
                <w:rFonts w:ascii="SimHei" w:hAnsi="SimHei" w:eastAsia="SimHei" w:cs="SimHei"/>
                <w:sz w:val="22"/>
                <w:szCs w:val="22"/>
                <w:spacing w:val="5"/>
              </w:rPr>
              <w:t>第一百六十条</w:t>
            </w:r>
            <w:r>
              <w:rPr>
                <w:rFonts w:ascii="SimHei" w:hAnsi="SimHei" w:eastAsia="SimHei" w:cs="SimHei"/>
                <w:sz w:val="22"/>
                <w:szCs w:val="22"/>
                <w:spacing w:val="5"/>
              </w:rPr>
              <w:t xml:space="preserve"> </w:t>
            </w:r>
            <w:r>
              <w:rPr>
                <w:rFonts w:ascii="SimHei" w:hAnsi="SimHei" w:eastAsia="SimHei" w:cs="SimHei"/>
                <w:sz w:val="22"/>
                <w:szCs w:val="22"/>
                <w:spacing w:val="5"/>
              </w:rPr>
              <w:t>从事生物技术研究、开发活动未遵守国家生物</w:t>
            </w:r>
            <w:r>
              <w:rPr>
                <w:rFonts w:ascii="SimHei" w:hAnsi="SimHei" w:eastAsia="SimHei" w:cs="SimHei"/>
                <w:sz w:val="22"/>
                <w:szCs w:val="22"/>
                <w:spacing w:val="4"/>
              </w:rPr>
              <w:t>技术研究开发安全管理规范的</w:t>
            </w:r>
            <w:r>
              <w:rPr>
                <w:rFonts w:ascii="SimHei" w:hAnsi="SimHei" w:eastAsia="SimHei" w:cs="SimHei"/>
                <w:sz w:val="22"/>
                <w:szCs w:val="22"/>
                <w:spacing w:val="-99"/>
              </w:rPr>
              <w:t xml:space="preserve"> </w:t>
            </w:r>
            <w:r>
              <w:rPr>
                <w:rFonts w:ascii="SimHei" w:hAnsi="SimHei" w:eastAsia="SimHei" w:cs="SimHei"/>
                <w:sz w:val="22"/>
                <w:szCs w:val="22"/>
              </w:rPr>
              <w:tab/>
            </w:r>
            <w:r>
              <w:rPr>
                <w:rFonts w:ascii="SimHei" w:hAnsi="SimHei" w:eastAsia="SimHei" w:cs="SimHei"/>
                <w:sz w:val="22"/>
                <w:szCs w:val="22"/>
                <w:spacing w:val="-34"/>
              </w:rPr>
              <w:t xml:space="preserve"> </w:t>
            </w:r>
            <w:r>
              <w:rPr>
                <w:rFonts w:ascii="Times New Roman" w:hAnsi="Times New Roman" w:eastAsia="Times New Roman" w:cs="Times New Roman"/>
                <w:sz w:val="22"/>
                <w:szCs w:val="22"/>
                <w:spacing w:val="-2"/>
              </w:rPr>
              <w:t>243</w:t>
            </w:r>
          </w:hyperlink>
        </w:p>
        <w:p>
          <w:pPr>
            <w:pStyle w:val="BodyText"/>
            <w:spacing w:line="251" w:lineRule="auto"/>
            <w:rPr/>
          </w:pPr>
          <w:r/>
        </w:p>
        <w:p>
          <w:pPr>
            <w:pStyle w:val="BodyText"/>
            <w:spacing w:line="251" w:lineRule="auto"/>
            <w:rPr/>
          </w:pPr>
          <w:r/>
        </w:p>
        <w:p>
          <w:pPr>
            <w:ind w:left="299"/>
            <w:spacing w:before="72" w:line="213" w:lineRule="auto"/>
            <w:rPr>
              <w:rFonts w:ascii="SimHei" w:hAnsi="SimHei" w:eastAsia="SimHei" w:cs="SimHei"/>
              <w:sz w:val="22"/>
              <w:szCs w:val="22"/>
            </w:rPr>
          </w:pPr>
          <w:hyperlink w:history="true" w:anchor="bookmark205">
            <w:r>
              <w:rPr>
                <w:rFonts w:ascii="SimHei" w:hAnsi="SimHei" w:eastAsia="SimHei" w:cs="SimHei"/>
                <w:sz w:val="22"/>
                <w:szCs w:val="22"/>
                <w:spacing w:val="2"/>
              </w:rPr>
              <w:t>第一百六十一条</w:t>
            </w:r>
            <w:r>
              <w:rPr>
                <w:rFonts w:ascii="SimHei" w:hAnsi="SimHei" w:eastAsia="SimHei" w:cs="SimHei"/>
                <w:sz w:val="22"/>
                <w:szCs w:val="22"/>
                <w:spacing w:val="2"/>
              </w:rPr>
              <w:t xml:space="preserve"> </w:t>
            </w:r>
            <w:r>
              <w:rPr>
                <w:rFonts w:ascii="SimHei" w:hAnsi="SimHei" w:eastAsia="SimHei" w:cs="SimHei"/>
                <w:sz w:val="22"/>
                <w:szCs w:val="22"/>
                <w:spacing w:val="2"/>
              </w:rPr>
              <w:t>从事病原微生物实验活动未在相应等级的实验室进行，或者高等级病原微生物实验室未经批准从事高致病性、疑似高</w:t>
            </w:r>
          </w:hyperlink>
        </w:p>
        <w:p>
          <w:pPr>
            <w:pStyle w:val="BodyText"/>
            <w:spacing w:line="282" w:lineRule="auto"/>
            <w:rPr/>
          </w:pPr>
          <w:r/>
        </w:p>
        <w:p>
          <w:pPr>
            <w:ind w:left="289"/>
            <w:spacing w:before="73" w:line="222" w:lineRule="auto"/>
            <w:tabs>
              <w:tab w:val="right" w:leader="dot" w:pos="13295"/>
            </w:tabs>
            <w:rPr>
              <w:rFonts w:ascii="Times New Roman" w:hAnsi="Times New Roman" w:eastAsia="Times New Roman" w:cs="Times New Roman"/>
              <w:sz w:val="22"/>
              <w:szCs w:val="22"/>
            </w:rPr>
          </w:pPr>
          <w:hyperlink w:history="true" w:anchor="bookmark206">
            <w:r>
              <w:rPr>
                <w:rFonts w:ascii="SimHei" w:hAnsi="SimHei" w:eastAsia="SimHei" w:cs="SimHei"/>
                <w:sz w:val="22"/>
                <w:szCs w:val="22"/>
                <w:spacing w:val="2"/>
              </w:rPr>
              <w:t>致病性病原微生物实验活动的</w:t>
            </w:r>
            <w:r>
              <w:rPr>
                <w:rFonts w:ascii="SimHei" w:hAnsi="SimHei" w:eastAsia="SimHei" w:cs="SimHei"/>
                <w:sz w:val="22"/>
                <w:szCs w:val="22"/>
                <w:spacing w:val="-98"/>
              </w:rPr>
              <w:t xml:space="preserve"> </w:t>
            </w:r>
            <w:r>
              <w:rPr>
                <w:rFonts w:ascii="SimHei" w:hAnsi="SimHei" w:eastAsia="SimHei" w:cs="SimHei"/>
                <w:sz w:val="22"/>
                <w:szCs w:val="22"/>
              </w:rPr>
              <w:tab/>
            </w:r>
            <w:r>
              <w:rPr>
                <w:rFonts w:ascii="Times New Roman" w:hAnsi="Times New Roman" w:eastAsia="Times New Roman" w:cs="Times New Roman"/>
                <w:sz w:val="22"/>
                <w:szCs w:val="22"/>
              </w:rPr>
              <w:t>244</w:t>
            </w:r>
          </w:hyperlink>
        </w:p>
        <w:p>
          <w:pPr>
            <w:pStyle w:val="BodyText"/>
            <w:rPr/>
          </w:pPr>
          <w:r/>
        </w:p>
        <w:p>
          <w:pPr>
            <w:pStyle w:val="BodyText"/>
            <w:spacing w:line="241" w:lineRule="auto"/>
            <w:rPr/>
          </w:pPr>
          <w:r/>
        </w:p>
        <w:p>
          <w:pPr>
            <w:ind w:left="289"/>
            <w:spacing w:before="71" w:line="222" w:lineRule="auto"/>
            <w:tabs>
              <w:tab w:val="right" w:leader="dot" w:pos="13325"/>
            </w:tabs>
            <w:rPr>
              <w:rFonts w:ascii="Times New Roman" w:hAnsi="Times New Roman" w:eastAsia="Times New Roman" w:cs="Times New Roman"/>
              <w:sz w:val="22"/>
              <w:szCs w:val="22"/>
            </w:rPr>
          </w:pPr>
          <w:hyperlink w:history="true" w:anchor="bookmark207">
            <w:r>
              <w:rPr>
                <w:rFonts w:ascii="SimHei" w:hAnsi="SimHei" w:eastAsia="SimHei" w:cs="SimHei"/>
                <w:sz w:val="22"/>
                <w:szCs w:val="22"/>
                <w:spacing w:val="3"/>
              </w:rPr>
              <w:t>第一百六十二条</w:t>
            </w:r>
            <w:r>
              <w:rPr>
                <w:rFonts w:ascii="SimHei" w:hAnsi="SimHei" w:eastAsia="SimHei" w:cs="SimHei"/>
                <w:sz w:val="22"/>
                <w:szCs w:val="22"/>
                <w:spacing w:val="3"/>
              </w:rPr>
              <w:t xml:space="preserve"> </w:t>
            </w:r>
            <w:r>
              <w:rPr>
                <w:rFonts w:ascii="SimHei" w:hAnsi="SimHei" w:eastAsia="SimHei" w:cs="SimHei"/>
                <w:sz w:val="22"/>
                <w:szCs w:val="22"/>
                <w:spacing w:val="3"/>
              </w:rPr>
              <w:t>个人设立病原微生物实验室或者从事病原微生物实验活动的</w:t>
            </w:r>
            <w:r>
              <w:rPr>
                <w:rFonts w:ascii="SimHei" w:hAnsi="SimHei" w:eastAsia="SimHei" w:cs="SimHei"/>
                <w:sz w:val="22"/>
                <w:szCs w:val="22"/>
                <w:spacing w:val="-93"/>
              </w:rPr>
              <w:t xml:space="preserve"> </w:t>
            </w:r>
            <w:r>
              <w:rPr>
                <w:rFonts w:ascii="SimHei" w:hAnsi="SimHei" w:eastAsia="SimHei" w:cs="SimHei"/>
                <w:sz w:val="22"/>
                <w:szCs w:val="22"/>
              </w:rPr>
              <w:tab/>
            </w:r>
            <w:r>
              <w:rPr>
                <w:rFonts w:ascii="Times New Roman" w:hAnsi="Times New Roman" w:eastAsia="Times New Roman" w:cs="Times New Roman"/>
                <w:sz w:val="22"/>
                <w:szCs w:val="22"/>
              </w:rPr>
              <w:t>245</w:t>
            </w:r>
          </w:hyperlink>
        </w:p>
        <w:p>
          <w:pPr>
            <w:pStyle w:val="BodyText"/>
            <w:spacing w:line="245" w:lineRule="auto"/>
            <w:rPr/>
          </w:pPr>
          <w:r/>
        </w:p>
        <w:p>
          <w:pPr>
            <w:pStyle w:val="BodyText"/>
            <w:spacing w:line="245" w:lineRule="auto"/>
            <w:rPr/>
          </w:pPr>
          <w:r/>
        </w:p>
        <w:p>
          <w:pPr>
            <w:ind w:left="289"/>
            <w:spacing w:before="72" w:line="221" w:lineRule="auto"/>
            <w:tabs>
              <w:tab w:val="right" w:leader="dot" w:pos="13285"/>
            </w:tabs>
            <w:rPr>
              <w:rFonts w:ascii="Times New Roman" w:hAnsi="Times New Roman" w:eastAsia="Times New Roman" w:cs="Times New Roman"/>
              <w:sz w:val="22"/>
              <w:szCs w:val="22"/>
            </w:rPr>
          </w:pPr>
          <w:hyperlink w:history="true" w:anchor="bookmark208">
            <w:r>
              <w:rPr>
                <w:rFonts w:ascii="SimHei" w:hAnsi="SimHei" w:eastAsia="SimHei" w:cs="SimHei"/>
                <w:sz w:val="22"/>
                <w:szCs w:val="22"/>
                <w:spacing w:val="2"/>
              </w:rPr>
              <w:t>第一百六十三条</w:t>
            </w:r>
            <w:r>
              <w:rPr>
                <w:rFonts w:ascii="SimHei" w:hAnsi="SimHei" w:eastAsia="SimHei" w:cs="SimHei"/>
                <w:sz w:val="22"/>
                <w:szCs w:val="22"/>
                <w:spacing w:val="2"/>
              </w:rPr>
              <w:t xml:space="preserve"> </w:t>
            </w:r>
            <w:r>
              <w:rPr>
                <w:rFonts w:ascii="SimHei" w:hAnsi="SimHei" w:eastAsia="SimHei" w:cs="SimHei"/>
                <w:sz w:val="22"/>
                <w:szCs w:val="22"/>
                <w:spacing w:val="2"/>
              </w:rPr>
              <w:t>未经实验室负责人批准进入高等级病原微生物实验室的</w:t>
            </w:r>
            <w:r>
              <w:rPr>
                <w:rFonts w:ascii="SimHei" w:hAnsi="SimHei" w:eastAsia="SimHei" w:cs="SimHei"/>
                <w:sz w:val="22"/>
                <w:szCs w:val="22"/>
                <w:spacing w:val="-95"/>
              </w:rPr>
              <w:t xml:space="preserve"> </w:t>
            </w:r>
            <w:r>
              <w:rPr>
                <w:rFonts w:ascii="SimHei" w:hAnsi="SimHei" w:eastAsia="SimHei" w:cs="SimHei"/>
                <w:sz w:val="22"/>
                <w:szCs w:val="22"/>
              </w:rPr>
              <w:tab/>
            </w:r>
            <w:r>
              <w:rPr>
                <w:rFonts w:ascii="Times New Roman" w:hAnsi="Times New Roman" w:eastAsia="Times New Roman" w:cs="Times New Roman"/>
                <w:sz w:val="22"/>
                <w:szCs w:val="22"/>
              </w:rPr>
              <w:t>246</w:t>
            </w:r>
          </w:hyperlink>
        </w:p>
        <w:p>
          <w:pPr>
            <w:pStyle w:val="BodyText"/>
            <w:spacing w:line="360" w:lineRule="auto"/>
            <w:rPr/>
          </w:pPr>
          <w:r/>
        </w:p>
        <w:p>
          <w:pPr>
            <w:spacing w:before="72" w:line="212" w:lineRule="auto"/>
            <w:tabs>
              <w:tab w:val="right" w:leader="dot" w:pos="13335"/>
            </w:tabs>
            <w:rPr>
              <w:rFonts w:ascii="Times New Roman" w:hAnsi="Times New Roman" w:eastAsia="Times New Roman" w:cs="Times New Roman"/>
              <w:sz w:val="22"/>
              <w:szCs w:val="22"/>
            </w:rPr>
          </w:pPr>
          <w:hyperlink w:history="true" w:anchor="bookmark209">
            <w:r>
              <w:rPr>
                <w:rFonts w:ascii="Times New Roman" w:hAnsi="Times New Roman" w:eastAsia="Times New Roman" w:cs="Times New Roman"/>
                <w:sz w:val="22"/>
                <w:szCs w:val="22"/>
                <w:spacing w:val="1"/>
              </w:rPr>
              <w:t>(</w:t>
            </w:r>
            <w:r>
              <w:rPr>
                <w:rFonts w:ascii="SimHei" w:hAnsi="SimHei" w:eastAsia="SimHei" w:cs="SimHei"/>
                <w:sz w:val="22"/>
                <w:szCs w:val="22"/>
                <w:spacing w:val="1"/>
              </w:rPr>
              <w:t>十九)《国内交通卫生检疫条例》</w:t>
            </w:r>
            <w:r>
              <w:rPr>
                <w:rFonts w:ascii="SimHei" w:hAnsi="SimHei" w:eastAsia="SimHei" w:cs="SimHei"/>
                <w:sz w:val="22"/>
                <w:szCs w:val="22"/>
                <w:spacing w:val="-80"/>
              </w:rPr>
              <w:t xml:space="preserve"> </w:t>
            </w:r>
            <w:r>
              <w:rPr>
                <w:rFonts w:ascii="SimHei" w:hAnsi="SimHei" w:eastAsia="SimHei" w:cs="SimHei"/>
                <w:sz w:val="22"/>
                <w:szCs w:val="22"/>
                <w:color w:val="404040"/>
              </w:rPr>
              <w:tab/>
            </w:r>
            <w:r>
              <w:rPr>
                <w:rFonts w:ascii="SimHei" w:hAnsi="SimHei" w:eastAsia="SimHei" w:cs="SimHei"/>
                <w:sz w:val="22"/>
                <w:szCs w:val="22"/>
                <w:spacing w:val="-65"/>
              </w:rPr>
              <w:t xml:space="preserve"> </w:t>
            </w:r>
            <w:r>
              <w:rPr>
                <w:rFonts w:ascii="Times New Roman" w:hAnsi="Times New Roman" w:eastAsia="Times New Roman" w:cs="Times New Roman"/>
                <w:sz w:val="22"/>
                <w:szCs w:val="22"/>
                <w:spacing w:val="-2"/>
              </w:rPr>
              <w:t>247</w:t>
            </w:r>
          </w:hyperlink>
        </w:p>
        <w:p>
          <w:pPr>
            <w:pStyle w:val="BodyText"/>
            <w:spacing w:line="376" w:lineRule="auto"/>
            <w:rPr/>
          </w:pPr>
          <w:r/>
        </w:p>
        <w:p>
          <w:pPr>
            <w:ind w:left="289"/>
            <w:spacing w:before="71" w:line="221" w:lineRule="auto"/>
            <w:tabs>
              <w:tab w:val="right" w:leader="dot" w:pos="13255"/>
            </w:tabs>
            <w:rPr>
              <w:rFonts w:ascii="Times New Roman" w:hAnsi="Times New Roman" w:eastAsia="Times New Roman" w:cs="Times New Roman"/>
              <w:sz w:val="22"/>
              <w:szCs w:val="22"/>
            </w:rPr>
          </w:pPr>
          <w:hyperlink w:history="true" w:anchor="bookmark210">
            <w:r>
              <w:rPr>
                <w:rFonts w:ascii="SimHei" w:hAnsi="SimHei" w:eastAsia="SimHei" w:cs="SimHei"/>
                <w:sz w:val="22"/>
                <w:szCs w:val="22"/>
                <w:spacing w:val="9"/>
              </w:rPr>
              <w:t>第一百六十四条</w:t>
            </w:r>
            <w:r>
              <w:rPr>
                <w:rFonts w:ascii="SimHei" w:hAnsi="SimHei" w:eastAsia="SimHei" w:cs="SimHei"/>
                <w:sz w:val="22"/>
                <w:szCs w:val="22"/>
                <w:spacing w:val="9"/>
              </w:rPr>
              <w:t xml:space="preserve"> </w:t>
            </w:r>
            <w:r>
              <w:rPr>
                <w:rFonts w:ascii="SimHei" w:hAnsi="SimHei" w:eastAsia="SimHei" w:cs="SimHei"/>
                <w:sz w:val="22"/>
                <w:szCs w:val="22"/>
                <w:spacing w:val="9"/>
              </w:rPr>
              <w:t>检疫传染病病人、病原携带者、疑似检疫传染病病人和与其密切接触隐真实情况</w:t>
            </w:r>
            <w:r>
              <w:rPr>
                <w:rFonts w:ascii="SimHei" w:hAnsi="SimHei" w:eastAsia="SimHei" w:cs="SimHei"/>
                <w:sz w:val="22"/>
                <w:szCs w:val="22"/>
                <w:spacing w:val="8"/>
              </w:rPr>
              <w:t>、逃避交通卫生检疫的</w:t>
            </w:r>
            <w:r>
              <w:rPr>
                <w:rFonts w:ascii="SimHei" w:hAnsi="SimHei" w:eastAsia="SimHei" w:cs="SimHei"/>
                <w:sz w:val="22"/>
                <w:szCs w:val="22"/>
                <w:spacing w:val="-98"/>
              </w:rPr>
              <w:t xml:space="preserve"> </w:t>
            </w:r>
            <w:r>
              <w:rPr>
                <w:rFonts w:ascii="SimHei" w:hAnsi="SimHei" w:eastAsia="SimHei" w:cs="SimHei"/>
                <w:sz w:val="22"/>
                <w:szCs w:val="22"/>
              </w:rPr>
              <w:tab/>
            </w:r>
            <w:r>
              <w:rPr>
                <w:rFonts w:ascii="Times New Roman" w:hAnsi="Times New Roman" w:eastAsia="Times New Roman" w:cs="Times New Roman"/>
                <w:sz w:val="22"/>
                <w:szCs w:val="22"/>
              </w:rPr>
              <w:t>247</w:t>
            </w:r>
          </w:hyperlink>
        </w:p>
      </w:sdtContent>
    </w:sdt>
    <w:p>
      <w:pPr>
        <w:spacing w:line="221" w:lineRule="auto"/>
        <w:sectPr>
          <w:footerReference w:type="default" r:id="rId21"/>
          <w:pgSz w:w="16830" w:h="11900"/>
          <w:pgMar w:top="1011" w:right="1484" w:bottom="1134" w:left="2010" w:header="0" w:footer="773" w:gutter="0"/>
        </w:sectPr>
        <w:rPr>
          <w:rFonts w:ascii="Times New Roman" w:hAnsi="Times New Roman" w:eastAsia="Times New Roman" w:cs="Times New Roman"/>
          <w:sz w:val="22"/>
          <w:szCs w:val="22"/>
        </w:rPr>
      </w:pPr>
    </w:p>
    <w:p>
      <w:pPr>
        <w:pStyle w:val="BodyText"/>
        <w:spacing w:line="303" w:lineRule="auto"/>
        <w:rPr/>
      </w:pPr>
      <w:r/>
    </w:p>
    <w:p>
      <w:pPr>
        <w:pStyle w:val="BodyText"/>
        <w:spacing w:line="303" w:lineRule="auto"/>
        <w:rPr/>
      </w:pPr>
      <w:r/>
    </w:p>
    <w:p>
      <w:pPr>
        <w:pStyle w:val="BodyText"/>
        <w:spacing w:line="303" w:lineRule="auto"/>
        <w:rPr/>
      </w:pPr>
      <w:r/>
    </w:p>
    <w:p>
      <w:pPr>
        <w:ind w:left="876"/>
        <w:spacing w:before="71" w:line="213" w:lineRule="auto"/>
        <w:rPr>
          <w:rFonts w:ascii="SimHei" w:hAnsi="SimHei" w:eastAsia="SimHei" w:cs="SimHei"/>
          <w:sz w:val="22"/>
          <w:szCs w:val="22"/>
        </w:rPr>
      </w:pPr>
      <w:r>
        <w:rPr>
          <w:rFonts w:ascii="SimHei" w:hAnsi="SimHei" w:eastAsia="SimHei" w:cs="SimHei"/>
          <w:sz w:val="22"/>
          <w:szCs w:val="22"/>
          <w:spacing w:val="2"/>
        </w:rPr>
        <w:t>第一百六十五条</w:t>
      </w:r>
      <w:r>
        <w:rPr>
          <w:rFonts w:ascii="SimHei" w:hAnsi="SimHei" w:eastAsia="SimHei" w:cs="SimHei"/>
          <w:sz w:val="22"/>
          <w:szCs w:val="22"/>
          <w:spacing w:val="2"/>
        </w:rPr>
        <w:t xml:space="preserve"> </w:t>
      </w:r>
      <w:r>
        <w:rPr>
          <w:rFonts w:ascii="SimHei" w:hAnsi="SimHei" w:eastAsia="SimHei" w:cs="SimHei"/>
          <w:sz w:val="22"/>
          <w:szCs w:val="22"/>
          <w:spacing w:val="2"/>
        </w:rPr>
        <w:t>在非检疫传染病疫区的交通工具上发现检疫传染病病人、病原携带者、疑似检疫传染病病人时，交通工具负责人未依</w:t>
      </w:r>
    </w:p>
    <w:p>
      <w:pPr>
        <w:pStyle w:val="BodyText"/>
        <w:spacing w:line="302"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ind w:left="856"/>
            <w:spacing w:before="71" w:line="221" w:lineRule="auto"/>
            <w:tabs>
              <w:tab w:val="right" w:leader="dot" w:pos="13951"/>
            </w:tabs>
            <w:rPr>
              <w:rFonts w:ascii="Times New Roman" w:hAnsi="Times New Roman" w:eastAsia="Times New Roman" w:cs="Times New Roman"/>
              <w:sz w:val="22"/>
              <w:szCs w:val="22"/>
            </w:rPr>
          </w:pPr>
          <w:hyperlink w:history="true" w:anchor="bookmark211">
            <w:r>
              <w:rPr>
                <w:rFonts w:ascii="SimHei" w:hAnsi="SimHei" w:eastAsia="SimHei" w:cs="SimHei"/>
                <w:sz w:val="22"/>
                <w:szCs w:val="22"/>
                <w:spacing w:val="3"/>
              </w:rPr>
              <w:t>照本条例规定采取措施的</w:t>
            </w:r>
            <w:r>
              <w:rPr>
                <w:rFonts w:ascii="SimHei" w:hAnsi="SimHei" w:eastAsia="SimHei" w:cs="SimHei"/>
                <w:sz w:val="22"/>
                <w:szCs w:val="22"/>
                <w:spacing w:val="-95"/>
              </w:rPr>
              <w:t xml:space="preserve"> </w:t>
            </w:r>
            <w:r>
              <w:rPr>
                <w:rFonts w:ascii="SimHei" w:hAnsi="SimHei" w:eastAsia="SimHei" w:cs="SimHei"/>
                <w:sz w:val="22"/>
                <w:szCs w:val="22"/>
              </w:rPr>
              <w:tab/>
            </w:r>
            <w:r>
              <w:rPr>
                <w:rFonts w:ascii="Times New Roman" w:hAnsi="Times New Roman" w:eastAsia="Times New Roman" w:cs="Times New Roman"/>
                <w:sz w:val="22"/>
                <w:szCs w:val="22"/>
              </w:rPr>
              <w:t>248</w:t>
            </w:r>
          </w:hyperlink>
        </w:p>
        <w:p>
          <w:pPr>
            <w:pStyle w:val="BodyText"/>
            <w:spacing w:line="320" w:lineRule="auto"/>
            <w:rPr/>
          </w:pPr>
          <w:r/>
        </w:p>
        <w:p>
          <w:pPr>
            <w:spacing w:before="72" w:line="222" w:lineRule="auto"/>
            <w:tabs>
              <w:tab w:val="right" w:leader="dot" w:pos="13941"/>
            </w:tabs>
            <w:rPr>
              <w:rFonts w:ascii="Times New Roman" w:hAnsi="Times New Roman" w:eastAsia="Times New Roman" w:cs="Times New Roman"/>
              <w:sz w:val="22"/>
              <w:szCs w:val="22"/>
            </w:rPr>
          </w:pPr>
          <w:hyperlink w:history="true" w:anchor="bookmark212">
            <w:r>
              <w:rPr>
                <w:rFonts w:ascii="SimHei" w:hAnsi="SimHei" w:eastAsia="SimHei" w:cs="SimHei"/>
                <w:sz w:val="22"/>
                <w:szCs w:val="22"/>
                <w:b/>
                <w:bCs/>
                <w:spacing w:val="-19"/>
              </w:rPr>
              <w:t>二、医疗卫生</w:t>
            </w:r>
            <w:r>
              <w:rPr>
                <w:rFonts w:ascii="SimHei" w:hAnsi="SimHei" w:eastAsia="SimHei" w:cs="SimHei"/>
                <w:sz w:val="22"/>
                <w:szCs w:val="22"/>
                <w:b/>
                <w:bCs/>
              </w:rPr>
              <w:tab/>
            </w:r>
            <w:r>
              <w:rPr>
                <w:rFonts w:ascii="SimHei" w:hAnsi="SimHei" w:eastAsia="SimHei" w:cs="SimHei"/>
                <w:sz w:val="22"/>
                <w:szCs w:val="22"/>
                <w:spacing w:val="-14"/>
              </w:rPr>
              <w:t xml:space="preserve"> </w:t>
            </w:r>
            <w:r>
              <w:rPr>
                <w:rFonts w:ascii="Times New Roman" w:hAnsi="Times New Roman" w:eastAsia="Times New Roman" w:cs="Times New Roman"/>
                <w:sz w:val="22"/>
                <w:szCs w:val="22"/>
                <w:spacing w:val="-2"/>
              </w:rPr>
              <w:t>250</w:t>
            </w:r>
          </w:hyperlink>
        </w:p>
        <w:p>
          <w:pPr>
            <w:ind w:left="536"/>
            <w:spacing w:before="156" w:line="224" w:lineRule="auto"/>
            <w:tabs>
              <w:tab w:val="right" w:leader="dot" w:pos="13911"/>
            </w:tabs>
            <w:rPr>
              <w:rFonts w:ascii="Times New Roman" w:hAnsi="Times New Roman" w:eastAsia="Times New Roman" w:cs="Times New Roman"/>
              <w:sz w:val="22"/>
              <w:szCs w:val="22"/>
            </w:rPr>
          </w:pPr>
          <w:hyperlink w:history="true" w:anchor="bookmark213">
            <w:r>
              <w:rPr>
                <w:rFonts w:ascii="KaiTi" w:hAnsi="KaiTi" w:eastAsia="KaiTi" w:cs="KaiTi"/>
                <w:sz w:val="22"/>
                <w:szCs w:val="22"/>
                <w:spacing w:val="-2"/>
              </w:rPr>
              <w:t>(</w:t>
            </w:r>
            <w:r>
              <w:rPr>
                <w:rFonts w:ascii="KaiTi" w:hAnsi="KaiTi" w:eastAsia="KaiTi" w:cs="KaiTi"/>
                <w:sz w:val="22"/>
                <w:szCs w:val="22"/>
                <w:spacing w:val="-22"/>
              </w:rPr>
              <w:t xml:space="preserve"> </w:t>
            </w:r>
            <w:r>
              <w:rPr>
                <w:rFonts w:ascii="KaiTi" w:hAnsi="KaiTi" w:eastAsia="KaiTi" w:cs="KaiTi"/>
                <w:sz w:val="22"/>
                <w:szCs w:val="22"/>
                <w:spacing w:val="-2"/>
              </w:rPr>
              <w:t>一</w:t>
            </w:r>
            <w:r>
              <w:rPr>
                <w:rFonts w:ascii="KaiTi" w:hAnsi="KaiTi" w:eastAsia="KaiTi" w:cs="KaiTi"/>
                <w:sz w:val="22"/>
                <w:szCs w:val="22"/>
                <w:spacing w:val="-28"/>
              </w:rPr>
              <w:t xml:space="preserve"> </w:t>
            </w:r>
            <w:r>
              <w:rPr>
                <w:rFonts w:ascii="KaiTi" w:hAnsi="KaiTi" w:eastAsia="KaiTi" w:cs="KaiTi"/>
                <w:sz w:val="22"/>
                <w:szCs w:val="22"/>
                <w:spacing w:val="-2"/>
              </w:rPr>
              <w:t>)《中华人民共和国基本医疗卫生与健康促</w:t>
            </w:r>
            <w:r>
              <w:rPr>
                <w:rFonts w:ascii="KaiTi" w:hAnsi="KaiTi" w:eastAsia="KaiTi" w:cs="KaiTi"/>
                <w:sz w:val="22"/>
                <w:szCs w:val="22"/>
                <w:spacing w:val="-3"/>
              </w:rPr>
              <w:t>进法》</w:t>
            </w:r>
            <w:r>
              <w:rPr>
                <w:rFonts w:ascii="KaiTi" w:hAnsi="KaiTi" w:eastAsia="KaiTi" w:cs="KaiTi"/>
                <w:sz w:val="22"/>
                <w:szCs w:val="22"/>
                <w:spacing w:val="-80"/>
              </w:rPr>
              <w:t xml:space="preserve"> </w:t>
            </w:r>
            <w:r>
              <w:rPr>
                <w:rFonts w:ascii="KaiTi" w:hAnsi="KaiTi" w:eastAsia="KaiTi" w:cs="KaiTi"/>
                <w:sz w:val="22"/>
                <w:szCs w:val="22"/>
              </w:rPr>
              <w:tab/>
            </w:r>
            <w:r>
              <w:rPr>
                <w:rFonts w:ascii="Times New Roman" w:hAnsi="Times New Roman" w:eastAsia="Times New Roman" w:cs="Times New Roman"/>
                <w:sz w:val="22"/>
                <w:szCs w:val="22"/>
              </w:rPr>
              <w:t>250</w:t>
            </w:r>
          </w:hyperlink>
        </w:p>
        <w:p>
          <w:pPr>
            <w:pStyle w:val="BodyText"/>
            <w:spacing w:line="319" w:lineRule="auto"/>
            <w:rPr/>
          </w:pPr>
          <w:r/>
        </w:p>
        <w:p>
          <w:pPr>
            <w:ind w:left="856"/>
            <w:spacing w:before="72" w:line="219" w:lineRule="auto"/>
            <w:tabs>
              <w:tab w:val="right" w:leader="dot" w:pos="13861"/>
            </w:tabs>
            <w:rPr>
              <w:rFonts w:ascii="Times New Roman" w:hAnsi="Times New Roman" w:eastAsia="Times New Roman" w:cs="Times New Roman"/>
              <w:sz w:val="22"/>
              <w:szCs w:val="22"/>
            </w:rPr>
          </w:pPr>
          <w:hyperlink w:history="true" w:anchor="bookmark214">
            <w:r>
              <w:rPr>
                <w:rFonts w:ascii="SimHei" w:hAnsi="SimHei" w:eastAsia="SimHei" w:cs="SimHei"/>
                <w:sz w:val="22"/>
                <w:szCs w:val="22"/>
                <w:spacing w:val="-1"/>
              </w:rPr>
              <w:t>第一百六十六条</w:t>
            </w:r>
            <w:r>
              <w:rPr>
                <w:rFonts w:ascii="SimHei" w:hAnsi="SimHei" w:eastAsia="SimHei" w:cs="SimHei"/>
                <w:sz w:val="22"/>
                <w:szCs w:val="22"/>
                <w:spacing w:val="-1"/>
              </w:rPr>
              <w:t xml:space="preserve"> </w:t>
            </w:r>
            <w:r>
              <w:rPr>
                <w:rFonts w:ascii="SimHei" w:hAnsi="SimHei" w:eastAsia="SimHei" w:cs="SimHei"/>
                <w:sz w:val="22"/>
                <w:szCs w:val="22"/>
                <w:spacing w:val="-1"/>
              </w:rPr>
              <w:t>未取得医疗机构执业许可证擅自执业的</w:t>
            </w:r>
            <w:r>
              <w:rPr>
                <w:rFonts w:ascii="SimHei" w:hAnsi="SimHei" w:eastAsia="SimHei" w:cs="SimHei"/>
                <w:sz w:val="22"/>
                <w:szCs w:val="22"/>
                <w:spacing w:val="-77"/>
              </w:rPr>
              <w:t xml:space="preserve"> </w:t>
            </w:r>
            <w:r>
              <w:rPr>
                <w:rFonts w:ascii="SimHei" w:hAnsi="SimHei" w:eastAsia="SimHei" w:cs="SimHei"/>
                <w:sz w:val="22"/>
                <w:szCs w:val="22"/>
              </w:rPr>
              <w:tab/>
            </w:r>
            <w:r>
              <w:rPr>
                <w:rFonts w:ascii="SimHei" w:hAnsi="SimHei" w:eastAsia="SimHei" w:cs="SimHei"/>
                <w:sz w:val="22"/>
                <w:szCs w:val="22"/>
                <w:spacing w:val="-64"/>
              </w:rPr>
              <w:t xml:space="preserve"> </w:t>
            </w:r>
            <w:r>
              <w:rPr>
                <w:rFonts w:ascii="Times New Roman" w:hAnsi="Times New Roman" w:eastAsia="Times New Roman" w:cs="Times New Roman"/>
                <w:sz w:val="22"/>
                <w:szCs w:val="22"/>
                <w:spacing w:val="-2"/>
              </w:rPr>
              <w:t>250</w:t>
            </w:r>
          </w:hyperlink>
        </w:p>
        <w:p>
          <w:pPr>
            <w:pStyle w:val="BodyText"/>
            <w:spacing w:line="247" w:lineRule="auto"/>
            <w:rPr/>
          </w:pPr>
          <w:r/>
        </w:p>
        <w:p>
          <w:pPr>
            <w:pStyle w:val="BodyText"/>
            <w:spacing w:line="247" w:lineRule="auto"/>
            <w:rPr/>
          </w:pPr>
          <w:r/>
        </w:p>
        <w:p>
          <w:pPr>
            <w:ind w:left="856"/>
            <w:spacing w:before="72" w:line="219" w:lineRule="auto"/>
            <w:tabs>
              <w:tab w:val="right" w:leader="dot" w:pos="13871"/>
            </w:tabs>
            <w:rPr>
              <w:rFonts w:ascii="Times New Roman" w:hAnsi="Times New Roman" w:eastAsia="Times New Roman" w:cs="Times New Roman"/>
              <w:sz w:val="22"/>
              <w:szCs w:val="22"/>
            </w:rPr>
          </w:pPr>
          <w:hyperlink w:history="true" w:anchor="bookmark215">
            <w:r>
              <w:rPr>
                <w:rFonts w:ascii="SimHei" w:hAnsi="SimHei" w:eastAsia="SimHei" w:cs="SimHei"/>
                <w:sz w:val="22"/>
                <w:szCs w:val="22"/>
                <w:spacing w:val="1"/>
              </w:rPr>
              <w:t>第一百六十七条</w:t>
            </w:r>
            <w:r>
              <w:rPr>
                <w:rFonts w:ascii="SimHei" w:hAnsi="SimHei" w:eastAsia="SimHei" w:cs="SimHei"/>
                <w:sz w:val="22"/>
                <w:szCs w:val="22"/>
                <w:spacing w:val="1"/>
              </w:rPr>
              <w:t xml:space="preserve"> </w:t>
            </w:r>
            <w:r>
              <w:rPr>
                <w:rFonts w:ascii="SimHei" w:hAnsi="SimHei" w:eastAsia="SimHei" w:cs="SimHei"/>
                <w:sz w:val="22"/>
                <w:szCs w:val="22"/>
                <w:spacing w:val="1"/>
              </w:rPr>
              <w:t>伪造、变造、买卖、出租、出借医疗机构执业</w:t>
            </w:r>
            <w:r>
              <w:rPr>
                <w:rFonts w:ascii="SimHei" w:hAnsi="SimHei" w:eastAsia="SimHei" w:cs="SimHei"/>
                <w:sz w:val="22"/>
                <w:szCs w:val="22"/>
              </w:rPr>
              <w:t>许可证的</w:t>
            </w:r>
            <w:r>
              <w:rPr>
                <w:rFonts w:ascii="SimHei" w:hAnsi="SimHei" w:eastAsia="SimHei" w:cs="SimHei"/>
                <w:sz w:val="22"/>
                <w:szCs w:val="22"/>
                <w:spacing w:val="-100"/>
              </w:rPr>
              <w:t xml:space="preserve"> </w:t>
            </w:r>
            <w:r>
              <w:rPr>
                <w:rFonts w:ascii="SimHei" w:hAnsi="SimHei" w:eastAsia="SimHei" w:cs="SimHei"/>
                <w:sz w:val="22"/>
                <w:szCs w:val="22"/>
              </w:rPr>
              <w:tab/>
            </w:r>
            <w:r>
              <w:rPr>
                <w:rFonts w:ascii="Times New Roman" w:hAnsi="Times New Roman" w:eastAsia="Times New Roman" w:cs="Times New Roman"/>
                <w:sz w:val="22"/>
                <w:szCs w:val="22"/>
                <w:spacing w:val="6"/>
              </w:rPr>
              <w:t>251</w:t>
            </w:r>
          </w:hyperlink>
        </w:p>
        <w:p>
          <w:pPr>
            <w:pStyle w:val="BodyText"/>
            <w:spacing w:line="257" w:lineRule="auto"/>
            <w:rPr/>
          </w:pPr>
          <w:r/>
        </w:p>
        <w:p>
          <w:pPr>
            <w:pStyle w:val="BodyText"/>
            <w:spacing w:line="258" w:lineRule="auto"/>
            <w:rPr/>
          </w:pPr>
          <w:r/>
        </w:p>
        <w:p>
          <w:pPr>
            <w:ind w:left="856"/>
            <w:spacing w:before="72" w:line="221" w:lineRule="auto"/>
            <w:tabs>
              <w:tab w:val="right" w:leader="dot" w:pos="13911"/>
            </w:tabs>
            <w:rPr>
              <w:rFonts w:ascii="Times New Roman" w:hAnsi="Times New Roman" w:eastAsia="Times New Roman" w:cs="Times New Roman"/>
              <w:sz w:val="22"/>
              <w:szCs w:val="22"/>
            </w:rPr>
          </w:pPr>
          <w:hyperlink w:history="true" w:anchor="bookmark216">
            <w:r>
              <w:rPr>
                <w:rFonts w:ascii="SimHei" w:hAnsi="SimHei" w:eastAsia="SimHei" w:cs="SimHei"/>
                <w:sz w:val="22"/>
                <w:szCs w:val="22"/>
              </w:rPr>
              <w:t>第一百六十八条</w:t>
            </w:r>
            <w:r>
              <w:rPr>
                <w:rFonts w:ascii="SimHei" w:hAnsi="SimHei" w:eastAsia="SimHei" w:cs="SimHei"/>
                <w:sz w:val="22"/>
                <w:szCs w:val="22"/>
              </w:rPr>
              <w:t xml:space="preserve"> </w:t>
            </w:r>
            <w:r>
              <w:rPr>
                <w:rFonts w:ascii="SimHei" w:hAnsi="SimHei" w:eastAsia="SimHei" w:cs="SimHei"/>
                <w:sz w:val="22"/>
                <w:szCs w:val="22"/>
              </w:rPr>
              <w:t>政府举办的医疗卫生机构与其他组织投资设立非独立法人资格的医疗卫生机构的</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34"/>
              </w:rPr>
              <w:t xml:space="preserve"> </w:t>
            </w:r>
            <w:r>
              <w:rPr>
                <w:rFonts w:ascii="Times New Roman" w:hAnsi="Times New Roman" w:eastAsia="Times New Roman" w:cs="Times New Roman"/>
                <w:sz w:val="22"/>
                <w:szCs w:val="22"/>
                <w:spacing w:val="-2"/>
              </w:rPr>
              <w:t>253</w:t>
            </w:r>
          </w:hyperlink>
        </w:p>
        <w:p>
          <w:pPr>
            <w:pStyle w:val="BodyText"/>
            <w:spacing w:line="462" w:lineRule="auto"/>
            <w:rPr/>
          </w:pPr>
          <w:r/>
        </w:p>
        <w:p>
          <w:pPr>
            <w:ind w:left="856"/>
            <w:spacing w:before="72" w:line="222" w:lineRule="auto"/>
            <w:tabs>
              <w:tab w:val="right" w:leader="dot" w:pos="13861"/>
            </w:tabs>
            <w:rPr>
              <w:rFonts w:ascii="Times New Roman" w:hAnsi="Times New Roman" w:eastAsia="Times New Roman" w:cs="Times New Roman"/>
              <w:sz w:val="22"/>
              <w:szCs w:val="22"/>
            </w:rPr>
          </w:pPr>
          <w:hyperlink w:history="true" w:anchor="bookmark217">
            <w:r>
              <w:rPr>
                <w:rFonts w:ascii="SimHei" w:hAnsi="SimHei" w:eastAsia="SimHei" w:cs="SimHei"/>
                <w:sz w:val="22"/>
                <w:szCs w:val="22"/>
                <w:spacing w:val="-1"/>
              </w:rPr>
              <w:t>第一百六十九条</w:t>
            </w:r>
            <w:r>
              <w:rPr>
                <w:rFonts w:ascii="SimHei" w:hAnsi="SimHei" w:eastAsia="SimHei" w:cs="SimHei"/>
                <w:sz w:val="22"/>
                <w:szCs w:val="22"/>
                <w:spacing w:val="-1"/>
              </w:rPr>
              <w:t xml:space="preserve"> </w:t>
            </w:r>
            <w:r>
              <w:rPr>
                <w:rFonts w:ascii="SimHei" w:hAnsi="SimHei" w:eastAsia="SimHei" w:cs="SimHei"/>
                <w:sz w:val="22"/>
                <w:szCs w:val="22"/>
                <w:spacing w:val="-1"/>
              </w:rPr>
              <w:t>医疗卫生机构对外出租、</w:t>
            </w:r>
            <w:r>
              <w:rPr>
                <w:rFonts w:ascii="SimHei" w:hAnsi="SimHei" w:eastAsia="SimHei" w:cs="SimHei"/>
                <w:sz w:val="22"/>
                <w:szCs w:val="22"/>
                <w:spacing w:val="-2"/>
              </w:rPr>
              <w:t>承包医疗科室的</w:t>
            </w:r>
            <w:r>
              <w:rPr>
                <w:rFonts w:ascii="SimHei" w:hAnsi="SimHei" w:eastAsia="SimHei" w:cs="SimHei"/>
                <w:sz w:val="22"/>
                <w:szCs w:val="22"/>
                <w:spacing w:val="-99"/>
              </w:rPr>
              <w:t xml:space="preserve"> </w:t>
            </w:r>
            <w:r>
              <w:rPr>
                <w:rFonts w:ascii="SimHei" w:hAnsi="SimHei" w:eastAsia="SimHei" w:cs="SimHei"/>
                <w:sz w:val="22"/>
                <w:szCs w:val="22"/>
              </w:rPr>
              <w:tab/>
            </w:r>
            <w:r>
              <w:rPr>
                <w:rFonts w:ascii="SimHei" w:hAnsi="SimHei" w:eastAsia="SimHei" w:cs="SimHei"/>
                <w:sz w:val="22"/>
                <w:szCs w:val="22"/>
                <w:spacing w:val="-34"/>
              </w:rPr>
              <w:t xml:space="preserve"> </w:t>
            </w:r>
            <w:r>
              <w:rPr>
                <w:rFonts w:ascii="Times New Roman" w:hAnsi="Times New Roman" w:eastAsia="Times New Roman" w:cs="Times New Roman"/>
                <w:sz w:val="22"/>
                <w:szCs w:val="22"/>
                <w:spacing w:val="-2"/>
              </w:rPr>
              <w:t>254</w:t>
            </w:r>
          </w:hyperlink>
        </w:p>
        <w:p>
          <w:pPr>
            <w:pStyle w:val="BodyText"/>
            <w:rPr/>
          </w:pPr>
          <w:r/>
        </w:p>
        <w:p>
          <w:pPr>
            <w:pStyle w:val="BodyText"/>
            <w:rPr/>
          </w:pPr>
          <w:r/>
        </w:p>
        <w:p>
          <w:pPr>
            <w:ind w:left="856"/>
            <w:spacing w:before="72" w:line="221" w:lineRule="auto"/>
            <w:tabs>
              <w:tab w:val="right" w:leader="dot" w:pos="13871"/>
            </w:tabs>
            <w:rPr>
              <w:rFonts w:ascii="Times New Roman" w:hAnsi="Times New Roman" w:eastAsia="Times New Roman" w:cs="Times New Roman"/>
              <w:sz w:val="22"/>
              <w:szCs w:val="22"/>
            </w:rPr>
          </w:pPr>
          <w:hyperlink w:history="true" w:anchor="bookmark218">
            <w:r>
              <w:rPr>
                <w:rFonts w:ascii="SimHei" w:hAnsi="SimHei" w:eastAsia="SimHei" w:cs="SimHei"/>
                <w:sz w:val="22"/>
                <w:szCs w:val="22"/>
                <w:spacing w:val="2"/>
              </w:rPr>
              <w:t>第一百七十条</w:t>
            </w:r>
            <w:r>
              <w:rPr>
                <w:rFonts w:ascii="SimHei" w:hAnsi="SimHei" w:eastAsia="SimHei" w:cs="SimHei"/>
                <w:sz w:val="22"/>
                <w:szCs w:val="22"/>
                <w:spacing w:val="2"/>
              </w:rPr>
              <w:t xml:space="preserve"> </w:t>
            </w:r>
            <w:r>
              <w:rPr>
                <w:rFonts w:ascii="SimHei" w:hAnsi="SimHei" w:eastAsia="SimHei" w:cs="SimHei"/>
                <w:sz w:val="22"/>
                <w:szCs w:val="22"/>
                <w:spacing w:val="2"/>
              </w:rPr>
              <w:t>非营利性医疗卫生机构向出资人、举办者分配或者变相分</w:t>
            </w:r>
            <w:r>
              <w:rPr>
                <w:rFonts w:ascii="SimHei" w:hAnsi="SimHei" w:eastAsia="SimHei" w:cs="SimHei"/>
                <w:sz w:val="22"/>
                <w:szCs w:val="22"/>
                <w:spacing w:val="1"/>
              </w:rPr>
              <w:t>配收益的</w:t>
            </w:r>
            <w:r>
              <w:rPr>
                <w:rFonts w:ascii="SimHei" w:hAnsi="SimHei" w:eastAsia="SimHei" w:cs="SimHei"/>
                <w:sz w:val="22"/>
                <w:szCs w:val="22"/>
                <w:spacing w:val="-100"/>
              </w:rPr>
              <w:t xml:space="preserve"> </w:t>
            </w:r>
            <w:r>
              <w:rPr>
                <w:rFonts w:ascii="SimHei" w:hAnsi="SimHei" w:eastAsia="SimHei" w:cs="SimHei"/>
                <w:sz w:val="22"/>
                <w:szCs w:val="22"/>
              </w:rPr>
              <w:tab/>
            </w:r>
            <w:r>
              <w:rPr>
                <w:rFonts w:ascii="Times New Roman" w:hAnsi="Times New Roman" w:eastAsia="Times New Roman" w:cs="Times New Roman"/>
                <w:sz w:val="22"/>
                <w:szCs w:val="22"/>
              </w:rPr>
              <w:t>255</w:t>
            </w:r>
          </w:hyperlink>
        </w:p>
        <w:p>
          <w:pPr>
            <w:pStyle w:val="BodyText"/>
            <w:spacing w:line="472" w:lineRule="auto"/>
            <w:rPr/>
          </w:pPr>
          <w:r/>
        </w:p>
        <w:p>
          <w:pPr>
            <w:ind w:left="876"/>
            <w:spacing w:before="72" w:line="213" w:lineRule="auto"/>
            <w:rPr>
              <w:rFonts w:ascii="SimHei" w:hAnsi="SimHei" w:eastAsia="SimHei" w:cs="SimHei"/>
              <w:sz w:val="22"/>
              <w:szCs w:val="22"/>
            </w:rPr>
          </w:pPr>
          <w:hyperlink w:history="true" w:anchor="bookmark219">
            <w:r>
              <w:rPr>
                <w:rFonts w:ascii="SimHei" w:hAnsi="SimHei" w:eastAsia="SimHei" w:cs="SimHei"/>
                <w:sz w:val="22"/>
                <w:szCs w:val="22"/>
                <w:spacing w:val="2"/>
              </w:rPr>
              <w:t>第一百七十一条</w:t>
            </w:r>
            <w:r>
              <w:rPr>
                <w:rFonts w:ascii="SimHei" w:hAnsi="SimHei" w:eastAsia="SimHei" w:cs="SimHei"/>
                <w:sz w:val="22"/>
                <w:szCs w:val="22"/>
                <w:spacing w:val="2"/>
              </w:rPr>
              <w:t xml:space="preserve"> </w:t>
            </w:r>
            <w:r>
              <w:rPr>
                <w:rFonts w:ascii="SimHei" w:hAnsi="SimHei" w:eastAsia="SimHei" w:cs="SimHei"/>
                <w:sz w:val="22"/>
                <w:szCs w:val="22"/>
                <w:spacing w:val="2"/>
              </w:rPr>
              <w:t>医疗卫生机构等的医疗信息</w:t>
            </w:r>
            <w:r>
              <w:rPr>
                <w:rFonts w:ascii="SimHei" w:hAnsi="SimHei" w:eastAsia="SimHei" w:cs="SimHei"/>
                <w:sz w:val="22"/>
                <w:szCs w:val="22"/>
                <w:spacing w:val="1"/>
              </w:rPr>
              <w:t>安全制度、保障措施不健全，导致医疗信息泄露，或者医疗质量管理和医疗技术管理制度</w:t>
            </w:r>
          </w:hyperlink>
        </w:p>
        <w:p>
          <w:pPr>
            <w:pStyle w:val="BodyText"/>
            <w:spacing w:line="314" w:lineRule="auto"/>
            <w:rPr/>
          </w:pPr>
          <w:r/>
        </w:p>
        <w:p>
          <w:pPr>
            <w:ind w:left="856"/>
            <w:spacing w:before="73" w:line="223" w:lineRule="auto"/>
            <w:tabs>
              <w:tab w:val="right" w:leader="dot" w:pos="13851"/>
            </w:tabs>
            <w:rPr>
              <w:rFonts w:ascii="Times New Roman" w:hAnsi="Times New Roman" w:eastAsia="Times New Roman" w:cs="Times New Roman"/>
              <w:sz w:val="22"/>
              <w:szCs w:val="22"/>
            </w:rPr>
          </w:pPr>
          <w:hyperlink w:history="true" w:anchor="bookmark220">
            <w:r>
              <w:rPr>
                <w:rFonts w:ascii="SimHei" w:hAnsi="SimHei" w:eastAsia="SimHei" w:cs="SimHei"/>
                <w:sz w:val="22"/>
                <w:szCs w:val="22"/>
                <w:spacing w:val="6"/>
              </w:rPr>
              <w:t>安全措施不健全的</w:t>
            </w:r>
            <w:r>
              <w:rPr>
                <w:rFonts w:ascii="SimHei" w:hAnsi="SimHei" w:eastAsia="SimHei" w:cs="SimHei"/>
                <w:sz w:val="22"/>
                <w:szCs w:val="22"/>
                <w:spacing w:val="-99"/>
              </w:rPr>
              <w:t xml:space="preserve"> </w:t>
            </w:r>
            <w:r>
              <w:rPr>
                <w:rFonts w:ascii="SimHei" w:hAnsi="SimHei" w:eastAsia="SimHei" w:cs="SimHei"/>
                <w:sz w:val="22"/>
                <w:szCs w:val="22"/>
              </w:rPr>
              <w:tab/>
            </w:r>
            <w:r>
              <w:rPr>
                <w:rFonts w:ascii="SimHei" w:hAnsi="SimHei" w:eastAsia="SimHei" w:cs="SimHei"/>
                <w:sz w:val="22"/>
                <w:szCs w:val="22"/>
                <w:spacing w:val="-14"/>
              </w:rPr>
              <w:t xml:space="preserve"> </w:t>
            </w:r>
            <w:r>
              <w:rPr>
                <w:rFonts w:ascii="Times New Roman" w:hAnsi="Times New Roman" w:eastAsia="Times New Roman" w:cs="Times New Roman"/>
                <w:sz w:val="22"/>
                <w:szCs w:val="22"/>
                <w:spacing w:val="-2"/>
              </w:rPr>
              <w:t>256</w:t>
            </w:r>
          </w:hyperlink>
        </w:p>
        <w:p>
          <w:pPr>
            <w:pStyle w:val="BodyText"/>
            <w:spacing w:line="275" w:lineRule="auto"/>
            <w:rPr/>
          </w:pPr>
          <w:r/>
        </w:p>
        <w:p>
          <w:pPr>
            <w:ind w:left="536"/>
            <w:spacing w:before="71" w:line="223" w:lineRule="auto"/>
            <w:tabs>
              <w:tab w:val="right" w:leader="dot" w:pos="13861"/>
            </w:tabs>
            <w:rPr>
              <w:rFonts w:ascii="Times New Roman" w:hAnsi="Times New Roman" w:eastAsia="Times New Roman" w:cs="Times New Roman"/>
              <w:sz w:val="22"/>
              <w:szCs w:val="22"/>
            </w:rPr>
          </w:pPr>
          <w:hyperlink w:history="true" w:anchor="bookmark221">
            <w:r>
              <w:rPr>
                <w:rFonts w:ascii="KaiTi" w:hAnsi="KaiTi" w:eastAsia="KaiTi" w:cs="KaiTi"/>
                <w:sz w:val="22"/>
                <w:szCs w:val="22"/>
                <w:spacing w:val="-8"/>
              </w:rPr>
              <w:t>(</w:t>
            </w:r>
            <w:r>
              <w:rPr>
                <w:rFonts w:ascii="KaiTi" w:hAnsi="KaiTi" w:eastAsia="KaiTi" w:cs="KaiTi"/>
                <w:sz w:val="22"/>
                <w:szCs w:val="22"/>
                <w:spacing w:val="-24"/>
              </w:rPr>
              <w:t xml:space="preserve"> </w:t>
            </w:r>
            <w:r>
              <w:rPr>
                <w:rFonts w:ascii="KaiTi" w:hAnsi="KaiTi" w:eastAsia="KaiTi" w:cs="KaiTi"/>
                <w:sz w:val="22"/>
                <w:szCs w:val="22"/>
                <w:spacing w:val="-8"/>
              </w:rPr>
              <w:t>二</w:t>
            </w:r>
            <w:r>
              <w:rPr>
                <w:rFonts w:ascii="KaiTi" w:hAnsi="KaiTi" w:eastAsia="KaiTi" w:cs="KaiTi"/>
                <w:sz w:val="22"/>
                <w:szCs w:val="22"/>
                <w:spacing w:val="-33"/>
              </w:rPr>
              <w:t xml:space="preserve"> </w:t>
            </w:r>
            <w:r>
              <w:rPr>
                <w:rFonts w:ascii="KaiTi" w:hAnsi="KaiTi" w:eastAsia="KaiTi" w:cs="KaiTi"/>
                <w:sz w:val="22"/>
                <w:szCs w:val="22"/>
                <w:spacing w:val="-8"/>
              </w:rPr>
              <w:t>)《医疗机构管理条例》</w:t>
            </w:r>
            <w:r>
              <w:rPr>
                <w:rFonts w:ascii="KaiTi" w:hAnsi="KaiTi" w:eastAsia="KaiTi" w:cs="KaiTi"/>
                <w:sz w:val="22"/>
                <w:szCs w:val="22"/>
              </w:rPr>
              <w:tab/>
            </w:r>
            <w:r>
              <w:rPr>
                <w:rFonts w:ascii="Times New Roman" w:hAnsi="Times New Roman" w:eastAsia="Times New Roman" w:cs="Times New Roman"/>
                <w:sz w:val="22"/>
                <w:szCs w:val="22"/>
              </w:rPr>
              <w:t>257</w:t>
            </w:r>
          </w:hyperlink>
        </w:p>
      </w:sdtContent>
    </w:sdt>
    <w:p>
      <w:pPr>
        <w:spacing w:line="223" w:lineRule="auto"/>
        <w:sectPr>
          <w:footerReference w:type="default" r:id="rId22"/>
          <w:pgSz w:w="16830" w:h="11900"/>
          <w:pgMar w:top="1011" w:right="1444" w:bottom="1124" w:left="1433" w:header="0" w:footer="763" w:gutter="0"/>
        </w:sectPr>
        <w:rPr>
          <w:rFonts w:ascii="Times New Roman" w:hAnsi="Times New Roman" w:eastAsia="Times New Roman" w:cs="Times New Roman"/>
          <w:sz w:val="22"/>
          <w:szCs w:val="22"/>
        </w:rPr>
      </w:pP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330"/>
            <w:spacing w:before="69" w:line="219" w:lineRule="auto"/>
            <w:tabs>
              <w:tab w:val="right" w:leader="dot" w:pos="13370"/>
            </w:tabs>
            <w:rPr>
              <w:rFonts w:ascii="Times New Roman" w:hAnsi="Times New Roman" w:eastAsia="Times New Roman" w:cs="Times New Roman"/>
              <w:sz w:val="21"/>
              <w:szCs w:val="21"/>
            </w:rPr>
          </w:pPr>
          <w:hyperlink w:history="true" w:anchor="bookmark222">
            <w:r>
              <w:rPr>
                <w:rFonts w:ascii="SimHei" w:hAnsi="SimHei" w:eastAsia="SimHei" w:cs="SimHei"/>
                <w:sz w:val="21"/>
                <w:szCs w:val="21"/>
                <w:spacing w:val="9"/>
              </w:rPr>
              <w:t>第一百七十二条</w:t>
            </w:r>
            <w:r>
              <w:rPr>
                <w:rFonts w:ascii="SimHei" w:hAnsi="SimHei" w:eastAsia="SimHei" w:cs="SimHei"/>
                <w:sz w:val="21"/>
                <w:szCs w:val="21"/>
                <w:spacing w:val="9"/>
              </w:rPr>
              <w:t xml:space="preserve"> </w:t>
            </w:r>
            <w:r>
              <w:rPr>
                <w:rFonts w:ascii="SimHei" w:hAnsi="SimHei" w:eastAsia="SimHei" w:cs="SimHei"/>
                <w:sz w:val="21"/>
                <w:szCs w:val="21"/>
                <w:spacing w:val="9"/>
              </w:rPr>
              <w:t>诊所未经备案执业的</w:t>
            </w:r>
            <w:r>
              <w:rPr>
                <w:rFonts w:ascii="SimHei" w:hAnsi="SimHei" w:eastAsia="SimHei" w:cs="SimHei"/>
                <w:sz w:val="21"/>
                <w:szCs w:val="21"/>
                <w:spacing w:val="-85"/>
              </w:rPr>
              <w:t xml:space="preserve"> </w:t>
            </w:r>
            <w:r>
              <w:rPr>
                <w:rFonts w:ascii="SimHei" w:hAnsi="SimHei" w:eastAsia="SimHei" w:cs="SimHei"/>
                <w:sz w:val="21"/>
                <w:szCs w:val="21"/>
              </w:rPr>
              <w:tab/>
            </w:r>
            <w:r>
              <w:rPr>
                <w:rFonts w:ascii="SimHei" w:hAnsi="SimHei" w:eastAsia="SimHei" w:cs="SimHei"/>
                <w:sz w:val="21"/>
                <w:szCs w:val="21"/>
                <w:spacing w:val="-22"/>
              </w:rPr>
              <w:t xml:space="preserve"> </w:t>
            </w:r>
            <w:r>
              <w:rPr>
                <w:rFonts w:ascii="Times New Roman" w:hAnsi="Times New Roman" w:eastAsia="Times New Roman" w:cs="Times New Roman"/>
                <w:sz w:val="21"/>
                <w:szCs w:val="21"/>
                <w:spacing w:val="-1"/>
              </w:rPr>
              <w:t>257</w:t>
            </w:r>
          </w:hyperlink>
        </w:p>
        <w:p>
          <w:pPr>
            <w:pStyle w:val="BodyText"/>
            <w:spacing w:line="249" w:lineRule="auto"/>
            <w:rPr/>
          </w:pPr>
          <w:r/>
        </w:p>
        <w:p>
          <w:pPr>
            <w:pStyle w:val="BodyText"/>
            <w:spacing w:line="250" w:lineRule="auto"/>
            <w:rPr/>
          </w:pPr>
          <w:r/>
        </w:p>
        <w:p>
          <w:pPr>
            <w:ind w:left="330"/>
            <w:spacing w:before="68" w:line="219" w:lineRule="auto"/>
            <w:tabs>
              <w:tab w:val="right" w:leader="dot" w:pos="13370"/>
            </w:tabs>
            <w:rPr>
              <w:rFonts w:ascii="Times New Roman" w:hAnsi="Times New Roman" w:eastAsia="Times New Roman" w:cs="Times New Roman"/>
              <w:sz w:val="21"/>
              <w:szCs w:val="21"/>
            </w:rPr>
          </w:pPr>
          <w:hyperlink w:history="true" w:anchor="bookmark223">
            <w:r>
              <w:rPr>
                <w:rFonts w:ascii="SimHei" w:hAnsi="SimHei" w:eastAsia="SimHei" w:cs="SimHei"/>
                <w:sz w:val="21"/>
                <w:szCs w:val="21"/>
                <w:spacing w:val="10"/>
              </w:rPr>
              <w:t>第一百七十三条</w:t>
            </w:r>
            <w:r>
              <w:rPr>
                <w:rFonts w:ascii="SimHei" w:hAnsi="SimHei" w:eastAsia="SimHei" w:cs="SimHei"/>
                <w:sz w:val="21"/>
                <w:szCs w:val="21"/>
                <w:spacing w:val="10"/>
              </w:rPr>
              <w:t xml:space="preserve"> </w:t>
            </w:r>
            <w:r>
              <w:rPr>
                <w:rFonts w:ascii="SimHei" w:hAnsi="SimHei" w:eastAsia="SimHei" w:cs="SimHei"/>
                <w:sz w:val="21"/>
                <w:szCs w:val="21"/>
                <w:spacing w:val="10"/>
              </w:rPr>
              <w:t>逾期不校验《医疗机构执业许可证</w:t>
            </w:r>
            <w:r>
              <w:rPr>
                <w:rFonts w:ascii="SimHei" w:hAnsi="SimHei" w:eastAsia="SimHei" w:cs="SimHei"/>
                <w:sz w:val="21"/>
                <w:szCs w:val="21"/>
                <w:spacing w:val="9"/>
              </w:rPr>
              <w:t>》仍从事诊疗活动的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rPr>
              <w:t>258</w:t>
            </w:r>
          </w:hyperlink>
        </w:p>
        <w:p>
          <w:pPr>
            <w:pStyle w:val="BodyText"/>
            <w:spacing w:line="260" w:lineRule="auto"/>
            <w:rPr/>
          </w:pPr>
          <w:r/>
        </w:p>
        <w:p>
          <w:pPr>
            <w:pStyle w:val="BodyText"/>
            <w:spacing w:line="260" w:lineRule="auto"/>
            <w:rPr/>
          </w:pPr>
          <w:r/>
        </w:p>
        <w:p>
          <w:pPr>
            <w:ind w:left="330"/>
            <w:spacing w:before="68" w:line="221" w:lineRule="auto"/>
            <w:tabs>
              <w:tab w:val="right" w:leader="dot" w:pos="13370"/>
            </w:tabs>
            <w:rPr>
              <w:rFonts w:ascii="Times New Roman" w:hAnsi="Times New Roman" w:eastAsia="Times New Roman" w:cs="Times New Roman"/>
              <w:sz w:val="21"/>
              <w:szCs w:val="21"/>
            </w:rPr>
          </w:pPr>
          <w:hyperlink w:history="true" w:anchor="bookmark224">
            <w:r>
              <w:rPr>
                <w:rFonts w:ascii="SimHei" w:hAnsi="SimHei" w:eastAsia="SimHei" w:cs="SimHei"/>
                <w:sz w:val="21"/>
                <w:szCs w:val="21"/>
                <w:spacing w:val="8"/>
              </w:rPr>
              <w:t>第一百七十四条</w:t>
            </w:r>
            <w:r>
              <w:rPr>
                <w:rFonts w:ascii="SimHei" w:hAnsi="SimHei" w:eastAsia="SimHei" w:cs="SimHei"/>
                <w:sz w:val="21"/>
                <w:szCs w:val="21"/>
                <w:spacing w:val="56"/>
              </w:rPr>
              <w:t xml:space="preserve"> </w:t>
            </w:r>
            <w:r>
              <w:rPr>
                <w:rFonts w:ascii="SimHei" w:hAnsi="SimHei" w:eastAsia="SimHei" w:cs="SimHei"/>
                <w:sz w:val="21"/>
                <w:szCs w:val="21"/>
                <w:spacing w:val="8"/>
              </w:rPr>
              <w:t>医疗机构诊疗活动超出登记的诊疗科目范围的</w:t>
            </w:r>
            <w:r>
              <w:rPr>
                <w:rFonts w:ascii="SimHei" w:hAnsi="SimHei" w:eastAsia="SimHei" w:cs="SimHei"/>
                <w:sz w:val="21"/>
                <w:szCs w:val="21"/>
                <w:spacing w:val="-94"/>
              </w:rPr>
              <w:t xml:space="preserve"> </w:t>
            </w:r>
            <w:r>
              <w:rPr>
                <w:rFonts w:ascii="SimHei" w:hAnsi="SimHei" w:eastAsia="SimHei" w:cs="SimHei"/>
                <w:sz w:val="21"/>
                <w:szCs w:val="21"/>
              </w:rPr>
              <w:tab/>
            </w:r>
            <w:r>
              <w:rPr>
                <w:rFonts w:ascii="Times New Roman" w:hAnsi="Times New Roman" w:eastAsia="Times New Roman" w:cs="Times New Roman"/>
                <w:sz w:val="21"/>
                <w:szCs w:val="21"/>
              </w:rPr>
              <w:t>259</w:t>
            </w:r>
          </w:hyperlink>
        </w:p>
        <w:p>
          <w:pPr>
            <w:pStyle w:val="BodyText"/>
            <w:spacing w:line="253" w:lineRule="auto"/>
            <w:rPr/>
          </w:pPr>
          <w:r/>
        </w:p>
        <w:p>
          <w:pPr>
            <w:pStyle w:val="BodyText"/>
            <w:spacing w:line="254" w:lineRule="auto"/>
            <w:rPr/>
          </w:pPr>
          <w:r/>
        </w:p>
        <w:p>
          <w:pPr>
            <w:ind w:left="339"/>
            <w:spacing w:before="68" w:line="221" w:lineRule="auto"/>
            <w:tabs>
              <w:tab w:val="right" w:leader="dot" w:pos="13380"/>
            </w:tabs>
            <w:rPr>
              <w:rFonts w:ascii="Times New Roman" w:hAnsi="Times New Roman" w:eastAsia="Times New Roman" w:cs="Times New Roman"/>
              <w:sz w:val="21"/>
              <w:szCs w:val="21"/>
            </w:rPr>
          </w:pPr>
          <w:hyperlink w:history="true" w:anchor="bookmark225">
            <w:r>
              <w:rPr>
                <w:rFonts w:ascii="SimHei" w:hAnsi="SimHei" w:eastAsia="SimHei" w:cs="SimHei"/>
                <w:sz w:val="21"/>
                <w:szCs w:val="21"/>
                <w:spacing w:val="9"/>
              </w:rPr>
              <w:t>第一百七十五条</w:t>
            </w:r>
            <w:r>
              <w:rPr>
                <w:rFonts w:ascii="SimHei" w:hAnsi="SimHei" w:eastAsia="SimHei" w:cs="SimHei"/>
                <w:sz w:val="21"/>
                <w:szCs w:val="21"/>
                <w:spacing w:val="47"/>
              </w:rPr>
              <w:t xml:space="preserve"> </w:t>
            </w:r>
            <w:r>
              <w:rPr>
                <w:rFonts w:ascii="SimHei" w:hAnsi="SimHei" w:eastAsia="SimHei" w:cs="SimHei"/>
                <w:sz w:val="21"/>
                <w:szCs w:val="21"/>
                <w:spacing w:val="9"/>
              </w:rPr>
              <w:t>中医医疗机构诊疗科目或者范围</w:t>
            </w:r>
            <w:r>
              <w:rPr>
                <w:rFonts w:ascii="SimHei" w:hAnsi="SimHei" w:eastAsia="SimHei" w:cs="SimHei"/>
                <w:sz w:val="21"/>
                <w:szCs w:val="21"/>
                <w:spacing w:val="8"/>
              </w:rPr>
              <w:t>超出登记范围的</w:t>
            </w:r>
            <w:r>
              <w:rPr>
                <w:rFonts w:ascii="SimHei" w:hAnsi="SimHei" w:eastAsia="SimHei" w:cs="SimHei"/>
                <w:sz w:val="21"/>
                <w:szCs w:val="21"/>
              </w:rPr>
              <w:tab/>
            </w:r>
            <w:r>
              <w:rPr>
                <w:rFonts w:ascii="Times New Roman" w:hAnsi="Times New Roman" w:eastAsia="Times New Roman" w:cs="Times New Roman"/>
                <w:sz w:val="21"/>
                <w:szCs w:val="21"/>
              </w:rPr>
              <w:t>260</w:t>
            </w:r>
          </w:hyperlink>
        </w:p>
        <w:p>
          <w:pPr>
            <w:pStyle w:val="BodyText"/>
            <w:spacing w:line="258" w:lineRule="auto"/>
            <w:rPr/>
          </w:pPr>
          <w:r/>
        </w:p>
        <w:p>
          <w:pPr>
            <w:pStyle w:val="BodyText"/>
            <w:spacing w:line="259" w:lineRule="auto"/>
            <w:rPr/>
          </w:pPr>
          <w:r/>
        </w:p>
        <w:p>
          <w:pPr>
            <w:ind w:left="339"/>
            <w:spacing w:before="68" w:line="221" w:lineRule="auto"/>
            <w:tabs>
              <w:tab w:val="right" w:leader="dot" w:pos="13390"/>
            </w:tabs>
            <w:rPr>
              <w:rFonts w:ascii="Times New Roman" w:hAnsi="Times New Roman" w:eastAsia="Times New Roman" w:cs="Times New Roman"/>
              <w:sz w:val="21"/>
              <w:szCs w:val="21"/>
            </w:rPr>
          </w:pPr>
          <w:hyperlink w:history="true" w:anchor="bookmark226">
            <w:r>
              <w:rPr>
                <w:rFonts w:ascii="SimHei" w:hAnsi="SimHei" w:eastAsia="SimHei" w:cs="SimHei"/>
                <w:sz w:val="21"/>
                <w:szCs w:val="21"/>
                <w:spacing w:val="10"/>
              </w:rPr>
              <w:t>第一百七十六条</w:t>
            </w:r>
            <w:r>
              <w:rPr>
                <w:rFonts w:ascii="SimHei" w:hAnsi="SimHei" w:eastAsia="SimHei" w:cs="SimHei"/>
                <w:sz w:val="21"/>
                <w:szCs w:val="21"/>
                <w:spacing w:val="10"/>
              </w:rPr>
              <w:t xml:space="preserve"> </w:t>
            </w:r>
            <w:r>
              <w:rPr>
                <w:rFonts w:ascii="SimHei" w:hAnsi="SimHei" w:eastAsia="SimHei" w:cs="SimHei"/>
                <w:sz w:val="21"/>
                <w:szCs w:val="21"/>
                <w:spacing w:val="10"/>
              </w:rPr>
              <w:t>使用非卫生技术人员从事医疗卫生技术工作的</w:t>
            </w:r>
            <w:r>
              <w:rPr>
                <w:rFonts w:ascii="SimHei" w:hAnsi="SimHei" w:eastAsia="SimHei" w:cs="SimHei"/>
                <w:sz w:val="21"/>
                <w:szCs w:val="21"/>
              </w:rPr>
              <w:tab/>
            </w:r>
            <w:r>
              <w:rPr>
                <w:rFonts w:ascii="Times New Roman" w:hAnsi="Times New Roman" w:eastAsia="Times New Roman" w:cs="Times New Roman"/>
                <w:sz w:val="21"/>
                <w:szCs w:val="21"/>
              </w:rPr>
              <w:t>261</w:t>
            </w:r>
          </w:hyperlink>
        </w:p>
        <w:p>
          <w:pPr>
            <w:pStyle w:val="BodyText"/>
            <w:spacing w:line="417" w:lineRule="auto"/>
            <w:rPr/>
          </w:pPr>
          <w:r/>
        </w:p>
        <w:p>
          <w:pPr>
            <w:ind w:left="330"/>
            <w:spacing w:before="69" w:line="221" w:lineRule="auto"/>
            <w:tabs>
              <w:tab w:val="right" w:leader="dot" w:pos="13370"/>
            </w:tabs>
            <w:rPr>
              <w:rFonts w:ascii="Times New Roman" w:hAnsi="Times New Roman" w:eastAsia="Times New Roman" w:cs="Times New Roman"/>
              <w:sz w:val="21"/>
              <w:szCs w:val="21"/>
            </w:rPr>
          </w:pPr>
          <w:hyperlink w:history="true" w:anchor="bookmark227">
            <w:r>
              <w:rPr>
                <w:rFonts w:ascii="SimHei" w:hAnsi="SimHei" w:eastAsia="SimHei" w:cs="SimHei"/>
                <w:sz w:val="21"/>
                <w:szCs w:val="21"/>
                <w:spacing w:val="10"/>
              </w:rPr>
              <w:t>第一百七十七条</w:t>
            </w:r>
            <w:r>
              <w:rPr>
                <w:rFonts w:ascii="SimHei" w:hAnsi="SimHei" w:eastAsia="SimHei" w:cs="SimHei"/>
                <w:sz w:val="21"/>
                <w:szCs w:val="21"/>
                <w:spacing w:val="51"/>
              </w:rPr>
              <w:t xml:space="preserve"> </w:t>
            </w:r>
            <w:r>
              <w:rPr>
                <w:rFonts w:ascii="SimHei" w:hAnsi="SimHei" w:eastAsia="SimHei" w:cs="SimHei"/>
                <w:sz w:val="21"/>
                <w:szCs w:val="21"/>
                <w:spacing w:val="10"/>
              </w:rPr>
              <w:t>出具虚假证明文件的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72"/>
              </w:rPr>
              <w:t xml:space="preserve"> </w:t>
            </w:r>
            <w:r>
              <w:rPr>
                <w:rFonts w:ascii="Times New Roman" w:hAnsi="Times New Roman" w:eastAsia="Times New Roman" w:cs="Times New Roman"/>
                <w:sz w:val="21"/>
                <w:szCs w:val="21"/>
                <w:spacing w:val="-1"/>
              </w:rPr>
              <w:t>262</w:t>
            </w:r>
          </w:hyperlink>
        </w:p>
        <w:p>
          <w:pPr>
            <w:pStyle w:val="BodyText"/>
            <w:spacing w:line="406" w:lineRule="auto"/>
            <w:rPr/>
          </w:pPr>
          <w:r/>
        </w:p>
        <w:p>
          <w:pPr>
            <w:spacing w:before="69" w:line="224" w:lineRule="auto"/>
            <w:tabs>
              <w:tab w:val="right" w:leader="dot" w:pos="13370"/>
            </w:tabs>
            <w:rPr>
              <w:rFonts w:ascii="Times New Roman" w:hAnsi="Times New Roman" w:eastAsia="Times New Roman" w:cs="Times New Roman"/>
              <w:sz w:val="21"/>
              <w:szCs w:val="21"/>
            </w:rPr>
          </w:pPr>
          <w:hyperlink w:history="true" w:anchor="bookmark228">
            <w:r>
              <w:rPr>
                <w:rFonts w:ascii="KaiTi" w:hAnsi="KaiTi" w:eastAsia="KaiTi" w:cs="KaiTi"/>
                <w:sz w:val="21"/>
                <w:szCs w:val="21"/>
                <w:color w:val="403030"/>
                <w:spacing w:val="-4"/>
              </w:rPr>
              <w:t>(</w:t>
            </w:r>
            <w:r>
              <w:rPr>
                <w:rFonts w:ascii="KaiTi" w:hAnsi="KaiTi" w:eastAsia="KaiTi" w:cs="KaiTi"/>
                <w:sz w:val="21"/>
                <w:szCs w:val="21"/>
                <w:color w:val="403030"/>
                <w:spacing w:val="-26"/>
              </w:rPr>
              <w:t xml:space="preserve"> </w:t>
            </w:r>
            <w:r>
              <w:rPr>
                <w:rFonts w:ascii="KaiTi" w:hAnsi="KaiTi" w:eastAsia="KaiTi" w:cs="KaiTi"/>
                <w:sz w:val="21"/>
                <w:szCs w:val="21"/>
                <w:color w:val="403030"/>
                <w:spacing w:val="-4"/>
              </w:rPr>
              <w:t>三</w:t>
            </w:r>
            <w:r>
              <w:rPr>
                <w:rFonts w:ascii="KaiTi" w:hAnsi="KaiTi" w:eastAsia="KaiTi" w:cs="KaiTi"/>
                <w:sz w:val="21"/>
                <w:szCs w:val="21"/>
                <w:color w:val="403030"/>
                <w:spacing w:val="-36"/>
              </w:rPr>
              <w:t xml:space="preserve"> </w:t>
            </w:r>
            <w:r>
              <w:rPr>
                <w:rFonts w:ascii="KaiTi" w:hAnsi="KaiTi" w:eastAsia="KaiTi" w:cs="KaiTi"/>
                <w:sz w:val="21"/>
                <w:szCs w:val="21"/>
                <w:color w:val="403030"/>
                <w:spacing w:val="-4"/>
              </w:rPr>
              <w:t>)</w:t>
            </w:r>
            <w:r>
              <w:rPr>
                <w:rFonts w:ascii="KaiTi" w:hAnsi="KaiTi" w:eastAsia="KaiTi" w:cs="KaiTi"/>
                <w:sz w:val="21"/>
                <w:szCs w:val="21"/>
                <w:color w:val="403030"/>
                <w:spacing w:val="-4"/>
              </w:rPr>
              <w:t xml:space="preserve"> </w:t>
            </w:r>
            <w:r>
              <w:rPr>
                <w:rFonts w:ascii="KaiTi" w:hAnsi="KaiTi" w:eastAsia="KaiTi" w:cs="KaiTi"/>
                <w:sz w:val="21"/>
                <w:szCs w:val="21"/>
                <w:color w:val="403030"/>
                <w:spacing w:val="-4"/>
              </w:rPr>
              <w:t>《中华人民共和国医师法》</w:t>
            </w:r>
            <w:r>
              <w:rPr>
                <w:rFonts w:ascii="KaiTi" w:hAnsi="KaiTi" w:eastAsia="KaiTi" w:cs="KaiTi"/>
                <w:sz w:val="21"/>
                <w:szCs w:val="21"/>
                <w:color w:val="403030"/>
                <w:spacing w:val="-75"/>
              </w:rPr>
              <w:t xml:space="preserve"> </w:t>
            </w:r>
            <w:r>
              <w:rPr>
                <w:rFonts w:ascii="KaiTi" w:hAnsi="KaiTi" w:eastAsia="KaiTi" w:cs="KaiTi"/>
                <w:sz w:val="21"/>
                <w:szCs w:val="21"/>
                <w:color w:val="403030"/>
              </w:rPr>
              <w:tab/>
            </w:r>
            <w:r>
              <w:rPr>
                <w:rFonts w:ascii="KaiTi" w:hAnsi="KaiTi" w:eastAsia="KaiTi" w:cs="KaiTi"/>
                <w:sz w:val="21"/>
                <w:szCs w:val="21"/>
                <w:color w:val="403030"/>
                <w:spacing w:val="-52"/>
              </w:rPr>
              <w:t xml:space="preserve"> </w:t>
            </w:r>
            <w:r>
              <w:rPr>
                <w:rFonts w:ascii="Times New Roman" w:hAnsi="Times New Roman" w:eastAsia="Times New Roman" w:cs="Times New Roman"/>
                <w:sz w:val="21"/>
                <w:szCs w:val="21"/>
                <w:color w:val="403030"/>
                <w:spacing w:val="-1"/>
              </w:rPr>
              <w:t>263</w:t>
            </w:r>
          </w:hyperlink>
        </w:p>
        <w:p>
          <w:pPr>
            <w:pStyle w:val="BodyText"/>
            <w:spacing w:line="255" w:lineRule="auto"/>
            <w:rPr/>
          </w:pPr>
          <w:r/>
        </w:p>
        <w:p>
          <w:pPr>
            <w:ind w:left="330"/>
            <w:spacing w:before="69" w:line="219" w:lineRule="auto"/>
            <w:tabs>
              <w:tab w:val="right" w:leader="dot" w:pos="13370"/>
            </w:tabs>
            <w:rPr>
              <w:rFonts w:ascii="Times New Roman" w:hAnsi="Times New Roman" w:eastAsia="Times New Roman" w:cs="Times New Roman"/>
              <w:sz w:val="21"/>
              <w:szCs w:val="21"/>
            </w:rPr>
          </w:pPr>
          <w:hyperlink w:history="true" w:anchor="bookmark229">
            <w:r>
              <w:rPr>
                <w:rFonts w:ascii="SimHei" w:hAnsi="SimHei" w:eastAsia="SimHei" w:cs="SimHei"/>
                <w:sz w:val="21"/>
                <w:szCs w:val="21"/>
                <w:spacing w:val="11"/>
              </w:rPr>
              <w:t>第一百七十八条</w:t>
            </w:r>
            <w:r>
              <w:rPr>
                <w:rFonts w:ascii="SimHei" w:hAnsi="SimHei" w:eastAsia="SimHei" w:cs="SimHei"/>
                <w:sz w:val="21"/>
                <w:szCs w:val="21"/>
                <w:spacing w:val="11"/>
              </w:rPr>
              <w:t xml:space="preserve"> </w:t>
            </w:r>
            <w:r>
              <w:rPr>
                <w:rFonts w:ascii="SimHei" w:hAnsi="SimHei" w:eastAsia="SimHei" w:cs="SimHei"/>
                <w:sz w:val="21"/>
                <w:szCs w:val="21"/>
                <w:spacing w:val="11"/>
              </w:rPr>
              <w:t>伪造、变造、买卖、出租、出借医师执业证书的</w:t>
            </w:r>
            <w:r>
              <w:rPr>
                <w:rFonts w:ascii="SimHei" w:hAnsi="SimHei" w:eastAsia="SimHei" w:cs="SimHei"/>
                <w:sz w:val="21"/>
                <w:szCs w:val="21"/>
                <w:spacing w:val="-81"/>
              </w:rPr>
              <w:t xml:space="preserve"> </w:t>
            </w:r>
            <w:r>
              <w:rPr>
                <w:rFonts w:ascii="SimHei" w:hAnsi="SimHei" w:eastAsia="SimHei" w:cs="SimHei"/>
                <w:sz w:val="21"/>
                <w:szCs w:val="21"/>
              </w:rPr>
              <w:tab/>
            </w:r>
            <w:r>
              <w:rPr>
                <w:rFonts w:ascii="Times New Roman" w:hAnsi="Times New Roman" w:eastAsia="Times New Roman" w:cs="Times New Roman"/>
                <w:sz w:val="21"/>
                <w:szCs w:val="21"/>
              </w:rPr>
              <w:t>263</w:t>
            </w:r>
          </w:hyperlink>
        </w:p>
        <w:p>
          <w:pPr>
            <w:pStyle w:val="BodyText"/>
            <w:spacing w:line="245" w:lineRule="auto"/>
            <w:rPr/>
          </w:pPr>
          <w:r/>
        </w:p>
        <w:p>
          <w:pPr>
            <w:pStyle w:val="BodyText"/>
            <w:spacing w:line="246" w:lineRule="auto"/>
            <w:rPr/>
          </w:pPr>
          <w:r/>
        </w:p>
        <w:p>
          <w:pPr>
            <w:ind w:left="330"/>
            <w:spacing w:before="69" w:line="213" w:lineRule="auto"/>
            <w:tabs>
              <w:tab w:val="right" w:leader="dot" w:pos="13380"/>
            </w:tabs>
            <w:rPr>
              <w:rFonts w:ascii="Times New Roman" w:hAnsi="Times New Roman" w:eastAsia="Times New Roman" w:cs="Times New Roman"/>
              <w:sz w:val="21"/>
              <w:szCs w:val="21"/>
            </w:rPr>
          </w:pPr>
          <w:hyperlink w:history="true" w:anchor="bookmark230">
            <w:r>
              <w:rPr>
                <w:rFonts w:ascii="SimHei" w:hAnsi="SimHei" w:eastAsia="SimHei" w:cs="SimHei"/>
                <w:sz w:val="21"/>
                <w:szCs w:val="21"/>
                <w:spacing w:val="9"/>
              </w:rPr>
              <w:t>第一百七十九条</w:t>
            </w:r>
            <w:r>
              <w:rPr>
                <w:rFonts w:ascii="SimHei" w:hAnsi="SimHei" w:eastAsia="SimHei" w:cs="SimHei"/>
                <w:sz w:val="21"/>
                <w:szCs w:val="21"/>
                <w:spacing w:val="51"/>
              </w:rPr>
              <w:t xml:space="preserve"> </w:t>
            </w:r>
            <w:r>
              <w:rPr>
                <w:rFonts w:ascii="SimHei" w:hAnsi="SimHei" w:eastAsia="SimHei" w:cs="SimHei"/>
                <w:sz w:val="21"/>
                <w:szCs w:val="21"/>
                <w:spacing w:val="9"/>
              </w:rPr>
              <w:t>医师在提供医疗卫生服务或者开展医学临床研究中，未按照规定履行告知义务或者取得知情同意</w:t>
            </w:r>
            <w:r>
              <w:rPr>
                <w:rFonts w:ascii="SimHei" w:hAnsi="SimHei" w:eastAsia="SimHei" w:cs="SimHei"/>
                <w:sz w:val="21"/>
                <w:szCs w:val="21"/>
                <w:spacing w:val="-84"/>
              </w:rPr>
              <w:t xml:space="preserve"> </w:t>
            </w:r>
            <w:r>
              <w:rPr>
                <w:rFonts w:ascii="SimHei" w:hAnsi="SimHei" w:eastAsia="SimHei" w:cs="SimHei"/>
                <w:sz w:val="21"/>
                <w:szCs w:val="21"/>
              </w:rPr>
              <w:tab/>
            </w:r>
            <w:r>
              <w:rPr>
                <w:rFonts w:ascii="Times New Roman" w:hAnsi="Times New Roman" w:eastAsia="Times New Roman" w:cs="Times New Roman"/>
                <w:sz w:val="21"/>
                <w:szCs w:val="21"/>
              </w:rPr>
              <w:t>264</w:t>
            </w:r>
          </w:hyperlink>
        </w:p>
        <w:p>
          <w:pPr>
            <w:pStyle w:val="BodyText"/>
            <w:spacing w:line="258" w:lineRule="auto"/>
            <w:rPr/>
          </w:pPr>
          <w:r/>
        </w:p>
        <w:p>
          <w:pPr>
            <w:pStyle w:val="BodyText"/>
            <w:spacing w:line="258" w:lineRule="auto"/>
            <w:rPr/>
          </w:pPr>
          <w:r/>
        </w:p>
        <w:p>
          <w:pPr>
            <w:ind w:left="330"/>
            <w:spacing w:before="68" w:line="213" w:lineRule="auto"/>
            <w:tabs>
              <w:tab w:val="right" w:leader="dot" w:pos="13390"/>
            </w:tabs>
            <w:rPr>
              <w:rFonts w:ascii="Times New Roman" w:hAnsi="Times New Roman" w:eastAsia="Times New Roman" w:cs="Times New Roman"/>
              <w:sz w:val="21"/>
              <w:szCs w:val="21"/>
            </w:rPr>
          </w:pPr>
          <w:hyperlink w:history="true" w:anchor="bookmark231">
            <w:r>
              <w:rPr>
                <w:rFonts w:ascii="SimHei" w:hAnsi="SimHei" w:eastAsia="SimHei" w:cs="SimHei"/>
                <w:sz w:val="21"/>
                <w:szCs w:val="21"/>
                <w:spacing w:val="8"/>
              </w:rPr>
              <w:t>第一百八十条</w:t>
            </w:r>
            <w:r>
              <w:rPr>
                <w:rFonts w:ascii="SimHei" w:hAnsi="SimHei" w:eastAsia="SimHei" w:cs="SimHei"/>
                <w:sz w:val="21"/>
                <w:szCs w:val="21"/>
                <w:spacing w:val="35"/>
              </w:rPr>
              <w:t xml:space="preserve"> </w:t>
            </w:r>
            <w:r>
              <w:rPr>
                <w:rFonts w:ascii="SimHei" w:hAnsi="SimHei" w:eastAsia="SimHei" w:cs="SimHei"/>
                <w:sz w:val="21"/>
                <w:szCs w:val="21"/>
                <w:spacing w:val="8"/>
              </w:rPr>
              <w:t>医师对需要紧急救治的患者，拒绝急救处置，或者由于不</w:t>
            </w:r>
            <w:r>
              <w:rPr>
                <w:rFonts w:ascii="SimHei" w:hAnsi="SimHei" w:eastAsia="SimHei" w:cs="SimHei"/>
                <w:sz w:val="21"/>
                <w:szCs w:val="21"/>
                <w:spacing w:val="7"/>
              </w:rPr>
              <w:t>负责任延误诊治</w:t>
            </w:r>
            <w:r>
              <w:rPr>
                <w:rFonts w:ascii="SimHei" w:hAnsi="SimHei" w:eastAsia="SimHei" w:cs="SimHei"/>
                <w:sz w:val="21"/>
                <w:szCs w:val="21"/>
                <w:spacing w:val="-84"/>
              </w:rPr>
              <w:t xml:space="preserve"> </w:t>
            </w:r>
            <w:r>
              <w:rPr>
                <w:rFonts w:ascii="SimHei" w:hAnsi="SimHei" w:eastAsia="SimHei" w:cs="SimHei"/>
                <w:sz w:val="21"/>
                <w:szCs w:val="21"/>
              </w:rPr>
              <w:tab/>
            </w:r>
            <w:r>
              <w:rPr>
                <w:rFonts w:ascii="Times New Roman" w:hAnsi="Times New Roman" w:eastAsia="Times New Roman" w:cs="Times New Roman"/>
                <w:sz w:val="21"/>
                <w:szCs w:val="21"/>
              </w:rPr>
              <w:t>265</w:t>
            </w:r>
          </w:hyperlink>
        </w:p>
      </w:sdtContent>
    </w:sdt>
    <w:p>
      <w:pPr>
        <w:spacing w:line="213" w:lineRule="auto"/>
        <w:sectPr>
          <w:footerReference w:type="default" r:id="rId23"/>
          <w:pgSz w:w="16830" w:h="11900"/>
          <w:pgMar w:top="1011" w:right="1479" w:bottom="1134" w:left="1960" w:header="0" w:footer="792" w:gutter="0"/>
        </w:sectPr>
        <w:rPr>
          <w:rFonts w:ascii="Times New Roman" w:hAnsi="Times New Roman" w:eastAsia="Times New Roman" w:cs="Times New Roman"/>
          <w:sz w:val="21"/>
          <w:szCs w:val="21"/>
        </w:rPr>
      </w:pPr>
    </w:p>
    <w:p>
      <w:pPr>
        <w:pStyle w:val="BodyText"/>
        <w:spacing w:line="303" w:lineRule="auto"/>
        <w:rPr/>
      </w:pPr>
      <w:r/>
    </w:p>
    <w:p>
      <w:pPr>
        <w:pStyle w:val="BodyText"/>
        <w:spacing w:line="303" w:lineRule="auto"/>
        <w:rPr/>
      </w:pPr>
      <w:r/>
    </w:p>
    <w:p>
      <w:pPr>
        <w:pStyle w:val="BodyText"/>
        <w:spacing w:line="303" w:lineRule="auto"/>
        <w:rPr/>
      </w:pPr>
      <w:r/>
    </w:p>
    <w:p>
      <w:pPr>
        <w:spacing w:before="71" w:line="213" w:lineRule="auto"/>
        <w:jc w:val="right"/>
        <w:rPr>
          <w:rFonts w:ascii="SimHei" w:hAnsi="SimHei" w:eastAsia="SimHei" w:cs="SimHei"/>
          <w:sz w:val="22"/>
          <w:szCs w:val="22"/>
        </w:rPr>
      </w:pPr>
      <w:r>
        <w:rPr>
          <w:rFonts w:ascii="SimHei" w:hAnsi="SimHei" w:eastAsia="SimHei" w:cs="SimHei"/>
          <w:sz w:val="22"/>
          <w:szCs w:val="22"/>
        </w:rPr>
        <w:t>第一百八十一条</w:t>
      </w:r>
      <w:r>
        <w:rPr>
          <w:rFonts w:ascii="SimHei" w:hAnsi="SimHei" w:eastAsia="SimHei" w:cs="SimHei"/>
          <w:sz w:val="22"/>
          <w:szCs w:val="22"/>
        </w:rPr>
        <w:t xml:space="preserve"> </w:t>
      </w:r>
      <w:r>
        <w:rPr>
          <w:rFonts w:ascii="SimHei" w:hAnsi="SimHei" w:eastAsia="SimHei" w:cs="SimHei"/>
          <w:sz w:val="22"/>
          <w:szCs w:val="22"/>
        </w:rPr>
        <w:t>医师在遇有自然灾害、事故灾难、公共卫生事件和社会安全事件等严重威胁人民生命健康的突发</w:t>
      </w:r>
      <w:r>
        <w:rPr>
          <w:rFonts w:ascii="SimHei" w:hAnsi="SimHei" w:eastAsia="SimHei" w:cs="SimHei"/>
          <w:sz w:val="22"/>
          <w:szCs w:val="22"/>
          <w:spacing w:val="-1"/>
        </w:rPr>
        <w:t>事件时，不服从卫生健</w:t>
      </w:r>
    </w:p>
    <w:p>
      <w:pPr>
        <w:pStyle w:val="BodyText"/>
        <w:spacing w:line="304"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spacing w:before="71" w:line="222" w:lineRule="auto"/>
            <w:tabs>
              <w:tab w:val="right" w:leader="dot" w:pos="13055"/>
            </w:tabs>
            <w:rPr>
              <w:rFonts w:ascii="Times New Roman" w:hAnsi="Times New Roman" w:eastAsia="Times New Roman" w:cs="Times New Roman"/>
              <w:sz w:val="22"/>
              <w:szCs w:val="22"/>
            </w:rPr>
          </w:pPr>
          <w:hyperlink w:history="true" w:anchor="bookmark232">
            <w:r>
              <w:rPr>
                <w:rFonts w:ascii="SimHei" w:hAnsi="SimHei" w:eastAsia="SimHei" w:cs="SimHei"/>
                <w:sz w:val="22"/>
                <w:szCs w:val="22"/>
                <w:spacing w:val="5"/>
              </w:rPr>
              <w:t>康主管部门调遣</w:t>
            </w:r>
            <w:r>
              <w:rPr>
                <w:rFonts w:ascii="SimHei" w:hAnsi="SimHei" w:eastAsia="SimHei" w:cs="SimHei"/>
                <w:sz w:val="22"/>
                <w:szCs w:val="22"/>
                <w:spacing w:val="-87"/>
              </w:rPr>
              <w:t xml:space="preserve"> </w:t>
            </w:r>
            <w:r>
              <w:rPr>
                <w:rFonts w:ascii="SimHei" w:hAnsi="SimHei" w:eastAsia="SimHei" w:cs="SimHei"/>
                <w:sz w:val="22"/>
                <w:szCs w:val="22"/>
              </w:rPr>
              <w:tab/>
            </w:r>
            <w:r>
              <w:rPr>
                <w:rFonts w:ascii="Times New Roman" w:hAnsi="Times New Roman" w:eastAsia="Times New Roman" w:cs="Times New Roman"/>
                <w:sz w:val="22"/>
                <w:szCs w:val="22"/>
              </w:rPr>
              <w:t>266</w:t>
            </w:r>
          </w:hyperlink>
        </w:p>
        <w:p>
          <w:pPr>
            <w:pStyle w:val="BodyText"/>
            <w:spacing w:line="244" w:lineRule="auto"/>
            <w:rPr/>
          </w:pPr>
          <w:r/>
        </w:p>
        <w:p>
          <w:pPr>
            <w:pStyle w:val="BodyText"/>
            <w:spacing w:line="245" w:lineRule="auto"/>
            <w:rPr/>
          </w:pPr>
          <w:r/>
        </w:p>
        <w:p>
          <w:pPr>
            <w:spacing w:before="71" w:line="222" w:lineRule="auto"/>
            <w:tabs>
              <w:tab w:val="right" w:leader="dot" w:pos="13045"/>
            </w:tabs>
            <w:rPr>
              <w:rFonts w:ascii="Times New Roman" w:hAnsi="Times New Roman" w:eastAsia="Times New Roman" w:cs="Times New Roman"/>
              <w:sz w:val="22"/>
              <w:szCs w:val="22"/>
            </w:rPr>
          </w:pPr>
          <w:hyperlink w:history="true" w:anchor="bookmark233">
            <w:r>
              <w:rPr>
                <w:rFonts w:ascii="SimHei" w:hAnsi="SimHei" w:eastAsia="SimHei" w:cs="SimHei"/>
                <w:sz w:val="22"/>
                <w:szCs w:val="22"/>
                <w:spacing w:val="1"/>
              </w:rPr>
              <w:t>第一百八十二条</w:t>
            </w:r>
            <w:r>
              <w:rPr>
                <w:rFonts w:ascii="SimHei" w:hAnsi="SimHei" w:eastAsia="SimHei" w:cs="SimHei"/>
                <w:sz w:val="22"/>
                <w:szCs w:val="22"/>
                <w:spacing w:val="1"/>
              </w:rPr>
              <w:t xml:space="preserve"> </w:t>
            </w:r>
            <w:r>
              <w:rPr>
                <w:rFonts w:ascii="SimHei" w:hAnsi="SimHei" w:eastAsia="SimHei" w:cs="SimHei"/>
                <w:sz w:val="22"/>
                <w:szCs w:val="22"/>
                <w:spacing w:val="1"/>
              </w:rPr>
              <w:t>医师未按照规定报告有关情形</w:t>
            </w:r>
            <w:r>
              <w:rPr>
                <w:rFonts w:ascii="SimHei" w:hAnsi="SimHei" w:eastAsia="SimHei" w:cs="SimHei"/>
                <w:sz w:val="22"/>
                <w:szCs w:val="22"/>
                <w:spacing w:val="-72"/>
              </w:rPr>
              <w:t xml:space="preserve"> </w:t>
            </w:r>
            <w:r>
              <w:rPr>
                <w:rFonts w:ascii="SimHei" w:hAnsi="SimHei" w:eastAsia="SimHei" w:cs="SimHei"/>
                <w:sz w:val="22"/>
                <w:szCs w:val="22"/>
              </w:rPr>
              <w:tab/>
            </w:r>
            <w:r>
              <w:rPr>
                <w:rFonts w:ascii="SimHei" w:hAnsi="SimHei" w:eastAsia="SimHei" w:cs="SimHei"/>
                <w:sz w:val="22"/>
                <w:szCs w:val="22"/>
                <w:spacing w:val="-74"/>
              </w:rPr>
              <w:t xml:space="preserve"> </w:t>
            </w:r>
            <w:r>
              <w:rPr>
                <w:rFonts w:ascii="Times New Roman" w:hAnsi="Times New Roman" w:eastAsia="Times New Roman" w:cs="Times New Roman"/>
                <w:sz w:val="22"/>
                <w:szCs w:val="22"/>
                <w:spacing w:val="-2"/>
              </w:rPr>
              <w:t>267</w:t>
            </w:r>
          </w:hyperlink>
        </w:p>
        <w:p>
          <w:pPr>
            <w:pStyle w:val="BodyText"/>
            <w:spacing w:line="471" w:lineRule="auto"/>
            <w:rPr/>
          </w:pPr>
          <w:r/>
        </w:p>
        <w:p>
          <w:pPr>
            <w:spacing w:before="71" w:line="213" w:lineRule="auto"/>
            <w:tabs>
              <w:tab w:val="right" w:leader="dot" w:pos="13055"/>
            </w:tabs>
            <w:rPr>
              <w:rFonts w:ascii="Times New Roman" w:hAnsi="Times New Roman" w:eastAsia="Times New Roman" w:cs="Times New Roman"/>
              <w:sz w:val="22"/>
              <w:szCs w:val="22"/>
            </w:rPr>
          </w:pPr>
          <w:hyperlink w:history="true" w:anchor="bookmark234">
            <w:r>
              <w:rPr>
                <w:rFonts w:ascii="SimHei" w:hAnsi="SimHei" w:eastAsia="SimHei" w:cs="SimHei"/>
                <w:sz w:val="22"/>
                <w:szCs w:val="22"/>
              </w:rPr>
              <w:t>第一百八十三条</w:t>
            </w:r>
            <w:r>
              <w:rPr>
                <w:rFonts w:ascii="SimHei" w:hAnsi="SimHei" w:eastAsia="SimHei" w:cs="SimHei"/>
                <w:sz w:val="22"/>
                <w:szCs w:val="22"/>
              </w:rPr>
              <w:t xml:space="preserve"> </w:t>
            </w:r>
            <w:r>
              <w:rPr>
                <w:rFonts w:ascii="SimHei" w:hAnsi="SimHei" w:eastAsia="SimHei" w:cs="SimHei"/>
                <w:sz w:val="22"/>
                <w:szCs w:val="22"/>
              </w:rPr>
              <w:t>医师违反法律、法规、规章或者执业规范，造成医疗</w:t>
            </w:r>
            <w:r>
              <w:rPr>
                <w:rFonts w:ascii="SimHei" w:hAnsi="SimHei" w:eastAsia="SimHei" w:cs="SimHei"/>
                <w:sz w:val="22"/>
                <w:szCs w:val="22"/>
                <w:spacing w:val="-1"/>
              </w:rPr>
              <w:t>事故或者其他严重后果</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24"/>
              </w:rPr>
              <w:t xml:space="preserve"> </w:t>
            </w:r>
            <w:r>
              <w:rPr>
                <w:rFonts w:ascii="Times New Roman" w:hAnsi="Times New Roman" w:eastAsia="Times New Roman" w:cs="Times New Roman"/>
                <w:sz w:val="22"/>
                <w:szCs w:val="22"/>
                <w:spacing w:val="-2"/>
              </w:rPr>
              <w:t>269</w:t>
            </w:r>
          </w:hyperlink>
        </w:p>
        <w:p>
          <w:pPr>
            <w:pStyle w:val="BodyText"/>
            <w:spacing w:line="250" w:lineRule="auto"/>
            <w:rPr/>
          </w:pPr>
          <w:r/>
        </w:p>
        <w:p>
          <w:pPr>
            <w:pStyle w:val="BodyText"/>
            <w:spacing w:line="251" w:lineRule="auto"/>
            <w:rPr/>
          </w:pPr>
          <w:r/>
        </w:p>
        <w:p>
          <w:pPr>
            <w:spacing w:before="72" w:line="222" w:lineRule="auto"/>
            <w:tabs>
              <w:tab w:val="right" w:leader="dot" w:pos="13045"/>
            </w:tabs>
            <w:rPr>
              <w:rFonts w:ascii="Times New Roman" w:hAnsi="Times New Roman" w:eastAsia="Times New Roman" w:cs="Times New Roman"/>
              <w:sz w:val="22"/>
              <w:szCs w:val="22"/>
            </w:rPr>
          </w:pPr>
          <w:hyperlink w:history="true" w:anchor="bookmark235">
            <w:r>
              <w:rPr>
                <w:rFonts w:ascii="SimHei" w:hAnsi="SimHei" w:eastAsia="SimHei" w:cs="SimHei"/>
                <w:sz w:val="22"/>
                <w:szCs w:val="22"/>
                <w:spacing w:val="1"/>
              </w:rPr>
              <w:t>第一百八十四条</w:t>
            </w:r>
            <w:r>
              <w:rPr>
                <w:rFonts w:ascii="SimHei" w:hAnsi="SimHei" w:eastAsia="SimHei" w:cs="SimHei"/>
                <w:sz w:val="22"/>
                <w:szCs w:val="22"/>
                <w:spacing w:val="1"/>
              </w:rPr>
              <w:t xml:space="preserve"> </w:t>
            </w:r>
            <w:r>
              <w:rPr>
                <w:rFonts w:ascii="SimHei" w:hAnsi="SimHei" w:eastAsia="SimHei" w:cs="SimHei"/>
                <w:sz w:val="22"/>
                <w:szCs w:val="22"/>
                <w:spacing w:val="1"/>
              </w:rPr>
              <w:t>医师泄露患者隐私或者个人信息</w:t>
            </w:r>
            <w:r>
              <w:rPr>
                <w:rFonts w:ascii="SimHei" w:hAnsi="SimHei" w:eastAsia="SimHei" w:cs="SimHei"/>
                <w:sz w:val="22"/>
                <w:szCs w:val="22"/>
                <w:spacing w:val="-74"/>
              </w:rPr>
              <w:t xml:space="preserve"> </w:t>
            </w:r>
            <w:r>
              <w:rPr>
                <w:rFonts w:ascii="SimHei" w:hAnsi="SimHei" w:eastAsia="SimHei" w:cs="SimHei"/>
                <w:sz w:val="22"/>
                <w:szCs w:val="22"/>
              </w:rPr>
              <w:tab/>
            </w:r>
            <w:r>
              <w:rPr>
                <w:rFonts w:ascii="SimHei" w:hAnsi="SimHei" w:eastAsia="SimHei" w:cs="SimHei"/>
                <w:sz w:val="22"/>
                <w:szCs w:val="22"/>
                <w:spacing w:val="-74"/>
              </w:rPr>
              <w:t xml:space="preserve"> </w:t>
            </w:r>
            <w:r>
              <w:rPr>
                <w:rFonts w:ascii="Times New Roman" w:hAnsi="Times New Roman" w:eastAsia="Times New Roman" w:cs="Times New Roman"/>
                <w:sz w:val="22"/>
                <w:szCs w:val="22"/>
                <w:spacing w:val="-2"/>
              </w:rPr>
              <w:t>270</w:t>
            </w:r>
          </w:hyperlink>
        </w:p>
        <w:p>
          <w:pPr>
            <w:pStyle w:val="BodyText"/>
            <w:spacing w:line="250" w:lineRule="auto"/>
            <w:rPr/>
          </w:pPr>
          <w:r/>
        </w:p>
        <w:p>
          <w:pPr>
            <w:pStyle w:val="BodyText"/>
            <w:spacing w:line="250" w:lineRule="auto"/>
            <w:rPr/>
          </w:pPr>
          <w:r/>
        </w:p>
        <w:p>
          <w:pPr>
            <w:spacing w:before="73" w:line="213" w:lineRule="auto"/>
            <w:jc w:val="right"/>
            <w:rPr>
              <w:rFonts w:ascii="SimHei" w:hAnsi="SimHei" w:eastAsia="SimHei" w:cs="SimHei"/>
              <w:sz w:val="22"/>
              <w:szCs w:val="22"/>
            </w:rPr>
          </w:pPr>
          <w:hyperlink w:history="true" w:anchor="bookmark236">
            <w:r>
              <w:rPr>
                <w:rFonts w:ascii="SimHei" w:hAnsi="SimHei" w:eastAsia="SimHei" w:cs="SimHei"/>
                <w:sz w:val="22"/>
                <w:szCs w:val="22"/>
              </w:rPr>
              <w:t>第一百八十五条</w:t>
            </w:r>
            <w:r>
              <w:rPr>
                <w:rFonts w:ascii="SimHei" w:hAnsi="SimHei" w:eastAsia="SimHei" w:cs="SimHei"/>
                <w:sz w:val="22"/>
                <w:szCs w:val="22"/>
              </w:rPr>
              <w:t xml:space="preserve"> </w:t>
            </w:r>
            <w:r>
              <w:rPr>
                <w:rFonts w:ascii="SimHei" w:hAnsi="SimHei" w:eastAsia="SimHei" w:cs="SimHei"/>
                <w:sz w:val="22"/>
                <w:szCs w:val="22"/>
              </w:rPr>
              <w:t>医师出具虚假医学证明文件，或者未经亲自诊查、调查，签署诊断、治疗、流行病学等证明文件</w:t>
            </w:r>
            <w:r>
              <w:rPr>
                <w:rFonts w:ascii="SimHei" w:hAnsi="SimHei" w:eastAsia="SimHei" w:cs="SimHei"/>
                <w:sz w:val="22"/>
                <w:szCs w:val="22"/>
                <w:spacing w:val="-1"/>
              </w:rPr>
              <w:t>或者有关出生、死亡等</w:t>
            </w:r>
          </w:hyperlink>
        </w:p>
        <w:p>
          <w:pPr>
            <w:pStyle w:val="BodyText"/>
            <w:spacing w:line="282" w:lineRule="auto"/>
            <w:rPr/>
          </w:pPr>
          <w:r/>
        </w:p>
        <w:p>
          <w:pPr>
            <w:spacing w:before="72" w:line="221" w:lineRule="auto"/>
            <w:tabs>
              <w:tab w:val="right" w:leader="dot" w:pos="13065"/>
            </w:tabs>
            <w:rPr>
              <w:rFonts w:ascii="Times New Roman" w:hAnsi="Times New Roman" w:eastAsia="Times New Roman" w:cs="Times New Roman"/>
              <w:sz w:val="22"/>
              <w:szCs w:val="22"/>
            </w:rPr>
          </w:pPr>
          <w:hyperlink w:history="true" w:anchor="bookmark237">
            <w:r>
              <w:rPr>
                <w:rFonts w:ascii="SimHei" w:hAnsi="SimHei" w:eastAsia="SimHei" w:cs="SimHei"/>
                <w:sz w:val="22"/>
                <w:szCs w:val="22"/>
                <w:spacing w:val="5"/>
              </w:rPr>
              <w:t>证明文件</w:t>
            </w:r>
            <w:r>
              <w:rPr>
                <w:rFonts w:ascii="SimHei" w:hAnsi="SimHei" w:eastAsia="SimHei" w:cs="SimHei"/>
                <w:sz w:val="22"/>
                <w:szCs w:val="22"/>
                <w:spacing w:val="-91"/>
              </w:rPr>
              <w:t xml:space="preserve"> </w:t>
            </w:r>
            <w:r>
              <w:rPr>
                <w:rFonts w:ascii="SimHei" w:hAnsi="SimHei" w:eastAsia="SimHei" w:cs="SimHei"/>
                <w:sz w:val="22"/>
                <w:szCs w:val="22"/>
              </w:rPr>
              <w:tab/>
            </w:r>
            <w:r>
              <w:rPr>
                <w:rFonts w:ascii="Times New Roman" w:hAnsi="Times New Roman" w:eastAsia="Times New Roman" w:cs="Times New Roman"/>
                <w:sz w:val="22"/>
                <w:szCs w:val="22"/>
              </w:rPr>
              <w:t>271</w:t>
            </w:r>
          </w:hyperlink>
        </w:p>
        <w:p>
          <w:pPr>
            <w:pStyle w:val="BodyText"/>
            <w:spacing w:line="245" w:lineRule="auto"/>
            <w:rPr/>
          </w:pPr>
          <w:r/>
        </w:p>
        <w:p>
          <w:pPr>
            <w:pStyle w:val="BodyText"/>
            <w:spacing w:line="246" w:lineRule="auto"/>
            <w:rPr/>
          </w:pPr>
          <w:r/>
        </w:p>
        <w:p>
          <w:pPr>
            <w:spacing w:before="71" w:line="219" w:lineRule="auto"/>
            <w:tabs>
              <w:tab w:val="right" w:leader="dot" w:pos="13065"/>
            </w:tabs>
            <w:rPr>
              <w:rFonts w:ascii="Times New Roman" w:hAnsi="Times New Roman" w:eastAsia="Times New Roman" w:cs="Times New Roman"/>
              <w:sz w:val="22"/>
              <w:szCs w:val="22"/>
            </w:rPr>
          </w:pPr>
          <w:hyperlink w:history="true" w:anchor="bookmark238">
            <w:r>
              <w:rPr>
                <w:rFonts w:ascii="SimHei" w:hAnsi="SimHei" w:eastAsia="SimHei" w:cs="SimHei"/>
                <w:sz w:val="22"/>
                <w:szCs w:val="22"/>
                <w:spacing w:val="-1"/>
              </w:rPr>
              <w:t>第一百八十六条</w:t>
            </w:r>
            <w:r>
              <w:rPr>
                <w:rFonts w:ascii="SimHei" w:hAnsi="SimHei" w:eastAsia="SimHei" w:cs="SimHei"/>
                <w:sz w:val="22"/>
                <w:szCs w:val="22"/>
                <w:spacing w:val="-1"/>
              </w:rPr>
              <w:t xml:space="preserve"> </w:t>
            </w:r>
            <w:r>
              <w:rPr>
                <w:rFonts w:ascii="SimHei" w:hAnsi="SimHei" w:eastAsia="SimHei" w:cs="SimHei"/>
                <w:sz w:val="22"/>
                <w:szCs w:val="22"/>
                <w:spacing w:val="-1"/>
              </w:rPr>
              <w:t>医师在执业活动中隐匿、伪造、篡改或者擅自销毁病历等医学文书及有关资料</w:t>
            </w:r>
            <w:r>
              <w:rPr>
                <w:rFonts w:ascii="SimHei" w:hAnsi="SimHei" w:eastAsia="SimHei" w:cs="SimHei"/>
                <w:sz w:val="22"/>
                <w:szCs w:val="22"/>
                <w:spacing w:val="-89"/>
              </w:rPr>
              <w:t xml:space="preserve"> </w:t>
            </w:r>
            <w:r>
              <w:rPr>
                <w:rFonts w:ascii="SimHei" w:hAnsi="SimHei" w:eastAsia="SimHei" w:cs="SimHei"/>
                <w:sz w:val="22"/>
                <w:szCs w:val="22"/>
              </w:rPr>
              <w:tab/>
            </w:r>
            <w:r>
              <w:rPr>
                <w:rFonts w:ascii="Times New Roman" w:hAnsi="Times New Roman" w:eastAsia="Times New Roman" w:cs="Times New Roman"/>
                <w:sz w:val="22"/>
                <w:szCs w:val="22"/>
              </w:rPr>
              <w:t>273</w:t>
            </w:r>
          </w:hyperlink>
        </w:p>
        <w:p>
          <w:pPr>
            <w:pStyle w:val="BodyText"/>
            <w:spacing w:line="242" w:lineRule="auto"/>
            <w:rPr/>
          </w:pPr>
          <w:r/>
        </w:p>
        <w:p>
          <w:pPr>
            <w:pStyle w:val="BodyText"/>
            <w:spacing w:line="242" w:lineRule="auto"/>
            <w:rPr/>
          </w:pPr>
          <w:r/>
        </w:p>
        <w:p>
          <w:pPr>
            <w:spacing w:before="72" w:line="219" w:lineRule="auto"/>
            <w:tabs>
              <w:tab w:val="right" w:leader="dot" w:pos="13055"/>
            </w:tabs>
            <w:rPr>
              <w:rFonts w:ascii="Times New Roman" w:hAnsi="Times New Roman" w:eastAsia="Times New Roman" w:cs="Times New Roman"/>
              <w:sz w:val="22"/>
              <w:szCs w:val="22"/>
            </w:rPr>
          </w:pPr>
          <w:hyperlink w:history="true" w:anchor="bookmark239">
            <w:r>
              <w:rPr>
                <w:rFonts w:ascii="SimHei" w:hAnsi="SimHei" w:eastAsia="SimHei" w:cs="SimHei"/>
                <w:sz w:val="22"/>
                <w:szCs w:val="22"/>
                <w:spacing w:val="2"/>
              </w:rPr>
              <w:t>第一百八十七条</w:t>
            </w:r>
            <w:r>
              <w:rPr>
                <w:rFonts w:ascii="SimHei" w:hAnsi="SimHei" w:eastAsia="SimHei" w:cs="SimHei"/>
                <w:sz w:val="22"/>
                <w:szCs w:val="22"/>
                <w:spacing w:val="2"/>
              </w:rPr>
              <w:t xml:space="preserve"> </w:t>
            </w:r>
            <w:r>
              <w:rPr>
                <w:rFonts w:ascii="SimHei" w:hAnsi="SimHei" w:eastAsia="SimHei" w:cs="SimHei"/>
                <w:sz w:val="22"/>
                <w:szCs w:val="22"/>
                <w:spacing w:val="2"/>
              </w:rPr>
              <w:t>医师在执业活动中未按照规定使用麻醉药品、医疗用毒性药品、精神药品</w:t>
            </w:r>
            <w:r>
              <w:rPr>
                <w:rFonts w:ascii="SimHei" w:hAnsi="SimHei" w:eastAsia="SimHei" w:cs="SimHei"/>
                <w:sz w:val="22"/>
                <w:szCs w:val="22"/>
                <w:spacing w:val="1"/>
              </w:rPr>
              <w:t>、放射性药品等</w:t>
            </w:r>
            <w:r>
              <w:rPr>
                <w:rFonts w:ascii="SimHei" w:hAnsi="SimHei" w:eastAsia="SimHei" w:cs="SimHei"/>
                <w:sz w:val="22"/>
                <w:szCs w:val="22"/>
                <w:spacing w:val="-88"/>
              </w:rPr>
              <w:t xml:space="preserve"> </w:t>
            </w:r>
            <w:r>
              <w:rPr>
                <w:rFonts w:ascii="SimHei" w:hAnsi="SimHei" w:eastAsia="SimHei" w:cs="SimHei"/>
                <w:sz w:val="22"/>
                <w:szCs w:val="22"/>
              </w:rPr>
              <w:tab/>
            </w:r>
            <w:r>
              <w:rPr>
                <w:rFonts w:ascii="Times New Roman" w:hAnsi="Times New Roman" w:eastAsia="Times New Roman" w:cs="Times New Roman"/>
                <w:sz w:val="22"/>
                <w:szCs w:val="22"/>
                <w:spacing w:val="-3"/>
              </w:rPr>
              <w:t>274</w:t>
            </w:r>
          </w:hyperlink>
        </w:p>
        <w:p>
          <w:pPr>
            <w:pStyle w:val="BodyText"/>
            <w:spacing w:line="476" w:lineRule="auto"/>
            <w:rPr/>
          </w:pPr>
          <w:r/>
        </w:p>
        <w:p>
          <w:pPr>
            <w:spacing w:before="72" w:line="213" w:lineRule="auto"/>
            <w:jc w:val="right"/>
            <w:rPr>
              <w:rFonts w:ascii="SimHei" w:hAnsi="SimHei" w:eastAsia="SimHei" w:cs="SimHei"/>
              <w:sz w:val="22"/>
              <w:szCs w:val="22"/>
            </w:rPr>
          </w:pPr>
          <w:hyperlink w:history="true" w:anchor="bookmark240">
            <w:r>
              <w:rPr>
                <w:rFonts w:ascii="SimHei" w:hAnsi="SimHei" w:eastAsia="SimHei" w:cs="SimHei"/>
                <w:sz w:val="22"/>
                <w:szCs w:val="22"/>
              </w:rPr>
              <w:t>第一百八十八条</w:t>
            </w:r>
            <w:r>
              <w:rPr>
                <w:rFonts w:ascii="SimHei" w:hAnsi="SimHei" w:eastAsia="SimHei" w:cs="SimHei"/>
                <w:sz w:val="22"/>
                <w:szCs w:val="22"/>
              </w:rPr>
              <w:t xml:space="preserve"> </w:t>
            </w:r>
            <w:r>
              <w:rPr>
                <w:rFonts w:ascii="SimHei" w:hAnsi="SimHei" w:eastAsia="SimHei" w:cs="SimHei"/>
                <w:sz w:val="22"/>
                <w:szCs w:val="22"/>
              </w:rPr>
              <w:t>医师在执业活动中利用职务之便，索要、非法收受财物或者牟取其他不正当利益，或者违反诊疗</w:t>
            </w:r>
            <w:r>
              <w:rPr>
                <w:rFonts w:ascii="SimHei" w:hAnsi="SimHei" w:eastAsia="SimHei" w:cs="SimHei"/>
                <w:sz w:val="22"/>
                <w:szCs w:val="22"/>
                <w:spacing w:val="-1"/>
              </w:rPr>
              <w:t>规范，对患者实施不必</w:t>
            </w:r>
          </w:hyperlink>
        </w:p>
        <w:p>
          <w:pPr>
            <w:pStyle w:val="BodyText"/>
            <w:spacing w:line="312" w:lineRule="auto"/>
            <w:rPr/>
          </w:pPr>
          <w:r/>
        </w:p>
        <w:p>
          <w:pPr>
            <w:spacing w:before="72" w:line="222" w:lineRule="auto"/>
            <w:tabs>
              <w:tab w:val="right" w:leader="dot" w:pos="13075"/>
            </w:tabs>
            <w:rPr>
              <w:rFonts w:ascii="Times New Roman" w:hAnsi="Times New Roman" w:eastAsia="Times New Roman" w:cs="Times New Roman"/>
              <w:sz w:val="22"/>
              <w:szCs w:val="22"/>
            </w:rPr>
          </w:pPr>
          <w:hyperlink w:history="true" w:anchor="bookmark241">
            <w:r>
              <w:rPr>
                <w:rFonts w:ascii="SimHei" w:hAnsi="SimHei" w:eastAsia="SimHei" w:cs="SimHei"/>
                <w:sz w:val="22"/>
                <w:szCs w:val="22"/>
                <w:spacing w:val="-1"/>
              </w:rPr>
              <w:t>要的检查、治疗造成不良后果</w:t>
            </w:r>
            <w:r>
              <w:rPr>
                <w:rFonts w:ascii="SimHei" w:hAnsi="SimHei" w:eastAsia="SimHei" w:cs="SimHei"/>
                <w:sz w:val="22"/>
                <w:szCs w:val="22"/>
                <w:spacing w:val="-79"/>
              </w:rPr>
              <w:t xml:space="preserve"> </w:t>
            </w:r>
            <w:r>
              <w:rPr>
                <w:rFonts w:ascii="SimHei" w:hAnsi="SimHei" w:eastAsia="SimHei" w:cs="SimHei"/>
                <w:sz w:val="22"/>
                <w:szCs w:val="22"/>
              </w:rPr>
              <w:tab/>
            </w:r>
            <w:r>
              <w:rPr>
                <w:rFonts w:ascii="Times New Roman" w:hAnsi="Times New Roman" w:eastAsia="Times New Roman" w:cs="Times New Roman"/>
                <w:sz w:val="22"/>
                <w:szCs w:val="22"/>
                <w:spacing w:val="-3"/>
              </w:rPr>
              <w:t>275</w:t>
            </w:r>
          </w:hyperlink>
        </w:p>
      </w:sdtContent>
    </w:sdt>
    <w:p>
      <w:pPr>
        <w:pStyle w:val="BodyText"/>
        <w:spacing w:line="352" w:lineRule="auto"/>
        <w:rPr/>
      </w:pPr>
      <w:r/>
    </w:p>
    <w:p>
      <w:pPr>
        <w:pStyle w:val="BodyText"/>
        <w:spacing w:line="353" w:lineRule="auto"/>
        <w:rPr/>
      </w:pPr>
      <w:r/>
    </w:p>
    <w:p>
      <w:pPr>
        <w:ind w:left="5579"/>
        <w:spacing w:before="121" w:line="188" w:lineRule="auto"/>
        <w:rPr>
          <w:rFonts w:ascii="Times New Roman" w:hAnsi="Times New Roman" w:eastAsia="Times New Roman" w:cs="Times New Roman"/>
          <w:sz w:val="42"/>
          <w:szCs w:val="42"/>
        </w:rPr>
      </w:pPr>
      <w:r>
        <w:rPr>
          <w:rFonts w:ascii="Times New Roman" w:hAnsi="Times New Roman" w:eastAsia="Times New Roman" w:cs="Times New Roman"/>
          <w:sz w:val="42"/>
          <w:szCs w:val="42"/>
          <w:spacing w:val="-3"/>
          <w:w w:val="87"/>
        </w:rPr>
        <w:t>—24—</w:t>
      </w:r>
    </w:p>
    <w:p>
      <w:pPr>
        <w:spacing w:line="188" w:lineRule="auto"/>
        <w:sectPr>
          <w:footerReference w:type="default" r:id="rId24"/>
          <w:pgSz w:w="16830" w:h="11900"/>
          <w:pgMar w:top="1011" w:right="1438" w:bottom="400" w:left="2290" w:header="0" w:footer="0" w:gutter="0"/>
        </w:sectPr>
        <w:rPr>
          <w:rFonts w:ascii="Times New Roman" w:hAnsi="Times New Roman" w:eastAsia="Times New Roman" w:cs="Times New Roman"/>
          <w:sz w:val="42"/>
          <w:szCs w:val="42"/>
        </w:rPr>
      </w:pPr>
    </w:p>
    <w:p>
      <w:pPr>
        <w:pStyle w:val="BodyText"/>
        <w:spacing w:line="310" w:lineRule="auto"/>
        <w:rPr/>
      </w:pPr>
      <w:r/>
    </w:p>
    <w:p>
      <w:pPr>
        <w:pStyle w:val="BodyText"/>
        <w:spacing w:line="310" w:lineRule="auto"/>
        <w:rPr/>
      </w:pPr>
      <w:r/>
    </w:p>
    <w:p>
      <w:pPr>
        <w:pStyle w:val="BodyText"/>
        <w:spacing w:line="310"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340"/>
            <w:spacing w:before="68" w:line="219" w:lineRule="auto"/>
            <w:tabs>
              <w:tab w:val="right" w:leader="dot" w:pos="13440"/>
            </w:tabs>
            <w:rPr>
              <w:rFonts w:ascii="Times New Roman" w:hAnsi="Times New Roman" w:eastAsia="Times New Roman" w:cs="Times New Roman"/>
              <w:sz w:val="21"/>
              <w:szCs w:val="21"/>
            </w:rPr>
          </w:pPr>
          <w:hyperlink w:history="true" w:anchor="bookmark242">
            <w:r>
              <w:rPr>
                <w:rFonts w:ascii="SimHei" w:hAnsi="SimHei" w:eastAsia="SimHei" w:cs="SimHei"/>
                <w:sz w:val="21"/>
                <w:szCs w:val="21"/>
                <w:spacing w:val="8"/>
              </w:rPr>
              <w:t>第一百八十九条</w:t>
            </w:r>
            <w:r>
              <w:rPr>
                <w:rFonts w:ascii="SimHei" w:hAnsi="SimHei" w:eastAsia="SimHei" w:cs="SimHei"/>
                <w:sz w:val="21"/>
                <w:szCs w:val="21"/>
                <w:spacing w:val="39"/>
              </w:rPr>
              <w:t xml:space="preserve"> </w:t>
            </w:r>
            <w:r>
              <w:rPr>
                <w:rFonts w:ascii="SimHei" w:hAnsi="SimHei" w:eastAsia="SimHei" w:cs="SimHei"/>
                <w:sz w:val="21"/>
                <w:szCs w:val="21"/>
                <w:spacing w:val="8"/>
              </w:rPr>
              <w:t>医师在执业活动中开展禁止类医疗技术临床应用</w:t>
            </w:r>
            <w:r>
              <w:rPr>
                <w:rFonts w:ascii="SimHei" w:hAnsi="SimHei" w:eastAsia="SimHei" w:cs="SimHei"/>
                <w:sz w:val="21"/>
                <w:szCs w:val="21"/>
              </w:rPr>
              <w:tab/>
            </w:r>
            <w:r>
              <w:rPr>
                <w:rFonts w:ascii="SimHei" w:hAnsi="SimHei" w:eastAsia="SimHei" w:cs="SimHei"/>
                <w:sz w:val="21"/>
                <w:szCs w:val="21"/>
                <w:spacing w:val="-51"/>
              </w:rPr>
              <w:t xml:space="preserve"> </w:t>
            </w:r>
            <w:r>
              <w:rPr>
                <w:rFonts w:ascii="Times New Roman" w:hAnsi="Times New Roman" w:eastAsia="Times New Roman" w:cs="Times New Roman"/>
                <w:sz w:val="21"/>
                <w:szCs w:val="21"/>
                <w:spacing w:val="-2"/>
              </w:rPr>
              <w:t>276</w:t>
            </w:r>
          </w:hyperlink>
        </w:p>
        <w:p>
          <w:pPr>
            <w:pStyle w:val="BodyText"/>
            <w:spacing w:line="249" w:lineRule="auto"/>
            <w:rPr/>
          </w:pPr>
          <w:r/>
        </w:p>
        <w:p>
          <w:pPr>
            <w:pStyle w:val="BodyText"/>
            <w:spacing w:line="250" w:lineRule="auto"/>
            <w:rPr/>
          </w:pPr>
          <w:r/>
        </w:p>
        <w:p>
          <w:pPr>
            <w:ind w:left="340"/>
            <w:spacing w:before="68" w:line="219" w:lineRule="auto"/>
            <w:tabs>
              <w:tab w:val="right" w:leader="dot" w:pos="13440"/>
            </w:tabs>
            <w:rPr>
              <w:rFonts w:ascii="Times New Roman" w:hAnsi="Times New Roman" w:eastAsia="Times New Roman" w:cs="Times New Roman"/>
              <w:sz w:val="21"/>
              <w:szCs w:val="21"/>
            </w:rPr>
          </w:pPr>
          <w:hyperlink w:history="true" w:anchor="bookmark243">
            <w:r>
              <w:rPr>
                <w:rFonts w:ascii="SimHei" w:hAnsi="SimHei" w:eastAsia="SimHei" w:cs="SimHei"/>
                <w:sz w:val="21"/>
                <w:szCs w:val="21"/>
                <w:spacing w:val="6"/>
              </w:rPr>
              <w:t>第一百九十条</w:t>
            </w:r>
            <w:r>
              <w:rPr>
                <w:rFonts w:ascii="SimHei" w:hAnsi="SimHei" w:eastAsia="SimHei" w:cs="SimHei"/>
                <w:sz w:val="21"/>
                <w:szCs w:val="21"/>
                <w:spacing w:val="36"/>
              </w:rPr>
              <w:t xml:space="preserve"> </w:t>
            </w:r>
            <w:r>
              <w:rPr>
                <w:rFonts w:ascii="SimHei" w:hAnsi="SimHei" w:eastAsia="SimHei" w:cs="SimHei"/>
                <w:sz w:val="21"/>
                <w:szCs w:val="21"/>
                <w:spacing w:val="6"/>
              </w:rPr>
              <w:t>医师未按照注册的执业地点、执业类别、执业范围执业的</w:t>
            </w:r>
            <w:r>
              <w:rPr>
                <w:rFonts w:ascii="SimHei" w:hAnsi="SimHei" w:eastAsia="SimHei" w:cs="SimHei"/>
                <w:sz w:val="21"/>
                <w:szCs w:val="21"/>
                <w:spacing w:val="-94"/>
              </w:rPr>
              <w:t xml:space="preserve"> </w:t>
            </w:r>
            <w:r>
              <w:rPr>
                <w:rFonts w:ascii="SimHei" w:hAnsi="SimHei" w:eastAsia="SimHei" w:cs="SimHei"/>
                <w:sz w:val="21"/>
                <w:szCs w:val="21"/>
              </w:rPr>
              <w:tab/>
            </w:r>
            <w:r>
              <w:rPr>
                <w:rFonts w:ascii="SimHei" w:hAnsi="SimHei" w:eastAsia="SimHei" w:cs="SimHei"/>
                <w:sz w:val="21"/>
                <w:szCs w:val="21"/>
                <w:spacing w:val="-21"/>
              </w:rPr>
              <w:t xml:space="preserve"> </w:t>
            </w:r>
            <w:r>
              <w:rPr>
                <w:rFonts w:ascii="Times New Roman" w:hAnsi="Times New Roman" w:eastAsia="Times New Roman" w:cs="Times New Roman"/>
                <w:sz w:val="21"/>
                <w:szCs w:val="21"/>
                <w:spacing w:val="-2"/>
              </w:rPr>
              <w:t>277</w:t>
            </w:r>
          </w:hyperlink>
        </w:p>
        <w:p>
          <w:pPr>
            <w:pStyle w:val="BodyText"/>
            <w:spacing w:line="250" w:lineRule="auto"/>
            <w:rPr/>
          </w:pPr>
          <w:r/>
        </w:p>
        <w:p>
          <w:pPr>
            <w:pStyle w:val="BodyText"/>
            <w:spacing w:line="251" w:lineRule="auto"/>
            <w:rPr/>
          </w:pPr>
          <w:r/>
        </w:p>
        <w:p>
          <w:pPr>
            <w:ind w:left="340"/>
            <w:spacing w:before="68" w:line="213" w:lineRule="auto"/>
            <w:tabs>
              <w:tab w:val="right" w:leader="dot" w:pos="13440"/>
            </w:tabs>
            <w:rPr>
              <w:rFonts w:ascii="Times New Roman" w:hAnsi="Times New Roman" w:eastAsia="Times New Roman" w:cs="Times New Roman"/>
              <w:sz w:val="21"/>
              <w:szCs w:val="21"/>
            </w:rPr>
          </w:pPr>
          <w:hyperlink w:history="true" w:anchor="bookmark244">
            <w:r>
              <w:rPr>
                <w:rFonts w:ascii="SimHei" w:hAnsi="SimHei" w:eastAsia="SimHei" w:cs="SimHei"/>
                <w:sz w:val="21"/>
                <w:szCs w:val="21"/>
                <w:spacing w:val="7"/>
              </w:rPr>
              <w:t>第一百九十一条</w:t>
            </w:r>
            <w:r>
              <w:rPr>
                <w:rFonts w:ascii="SimHei" w:hAnsi="SimHei" w:eastAsia="SimHei" w:cs="SimHei"/>
                <w:sz w:val="21"/>
                <w:szCs w:val="21"/>
                <w:spacing w:val="37"/>
              </w:rPr>
              <w:t xml:space="preserve"> </w:t>
            </w:r>
            <w:r>
              <w:rPr>
                <w:rFonts w:ascii="SimHei" w:hAnsi="SimHei" w:eastAsia="SimHei" w:cs="SimHei"/>
                <w:sz w:val="21"/>
                <w:szCs w:val="21"/>
                <w:spacing w:val="7"/>
              </w:rPr>
              <w:t>医师在执业活动中严重违反医师职业道德、医学伦理规范，造成恶劣社会影响的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rPr>
              <w:t>278</w:t>
            </w:r>
          </w:hyperlink>
        </w:p>
        <w:p>
          <w:pPr>
            <w:pStyle w:val="BodyText"/>
            <w:spacing w:line="257" w:lineRule="auto"/>
            <w:rPr/>
          </w:pPr>
          <w:r/>
        </w:p>
        <w:p>
          <w:pPr>
            <w:pStyle w:val="BodyText"/>
            <w:spacing w:line="258" w:lineRule="auto"/>
            <w:rPr/>
          </w:pPr>
          <w:r/>
        </w:p>
        <w:p>
          <w:pPr>
            <w:ind w:left="340"/>
            <w:spacing w:before="69" w:line="222" w:lineRule="auto"/>
            <w:tabs>
              <w:tab w:val="right" w:leader="dot" w:pos="13440"/>
            </w:tabs>
            <w:rPr>
              <w:rFonts w:ascii="Times New Roman" w:hAnsi="Times New Roman" w:eastAsia="Times New Roman" w:cs="Times New Roman"/>
              <w:sz w:val="21"/>
              <w:szCs w:val="21"/>
            </w:rPr>
          </w:pPr>
          <w:hyperlink w:history="true" w:anchor="bookmark245">
            <w:r>
              <w:rPr>
                <w:rFonts w:ascii="SimHei" w:hAnsi="SimHei" w:eastAsia="SimHei" w:cs="SimHei"/>
                <w:sz w:val="21"/>
                <w:szCs w:val="21"/>
                <w:spacing w:val="7"/>
              </w:rPr>
              <w:t>第一百九十二条</w:t>
            </w:r>
            <w:r>
              <w:rPr>
                <w:rFonts w:ascii="SimHei" w:hAnsi="SimHei" w:eastAsia="SimHei" w:cs="SimHei"/>
                <w:sz w:val="21"/>
                <w:szCs w:val="21"/>
                <w:spacing w:val="41"/>
              </w:rPr>
              <w:t xml:space="preserve"> </w:t>
            </w:r>
            <w:r>
              <w:rPr>
                <w:rFonts w:ascii="SimHei" w:hAnsi="SimHei" w:eastAsia="SimHei" w:cs="SimHei"/>
                <w:sz w:val="21"/>
                <w:szCs w:val="21"/>
                <w:spacing w:val="7"/>
              </w:rPr>
              <w:t>非医师行医</w:t>
            </w:r>
            <w:r>
              <w:rPr>
                <w:rFonts w:ascii="SimHei" w:hAnsi="SimHei" w:eastAsia="SimHei" w:cs="SimHei"/>
                <w:sz w:val="21"/>
                <w:szCs w:val="21"/>
                <w:spacing w:val="-87"/>
              </w:rPr>
              <w:t xml:space="preserve"> </w:t>
            </w:r>
            <w:r>
              <w:rPr>
                <w:rFonts w:ascii="SimHei" w:hAnsi="SimHei" w:eastAsia="SimHei" w:cs="SimHei"/>
                <w:sz w:val="21"/>
                <w:szCs w:val="21"/>
              </w:rPr>
              <w:tab/>
            </w:r>
            <w:r>
              <w:rPr>
                <w:rFonts w:ascii="Times New Roman" w:hAnsi="Times New Roman" w:eastAsia="Times New Roman" w:cs="Times New Roman"/>
                <w:sz w:val="21"/>
                <w:szCs w:val="21"/>
              </w:rPr>
              <w:t>278</w:t>
            </w:r>
          </w:hyperlink>
        </w:p>
        <w:p>
          <w:pPr>
            <w:pStyle w:val="BodyText"/>
            <w:spacing w:line="243" w:lineRule="auto"/>
            <w:rPr/>
          </w:pPr>
          <w:r/>
        </w:p>
        <w:p>
          <w:pPr>
            <w:pStyle w:val="BodyText"/>
            <w:spacing w:line="243" w:lineRule="auto"/>
            <w:rPr/>
          </w:pPr>
          <w:r/>
        </w:p>
        <w:p>
          <w:pPr>
            <w:ind w:left="340"/>
            <w:spacing w:before="69" w:line="213" w:lineRule="auto"/>
            <w:tabs>
              <w:tab w:val="right" w:leader="dot" w:pos="13390"/>
            </w:tabs>
            <w:rPr>
              <w:rFonts w:ascii="Times New Roman" w:hAnsi="Times New Roman" w:eastAsia="Times New Roman" w:cs="Times New Roman"/>
              <w:sz w:val="21"/>
              <w:szCs w:val="21"/>
            </w:rPr>
          </w:pPr>
          <w:hyperlink w:history="true" w:anchor="bookmark246">
            <w:r>
              <w:rPr>
                <w:rFonts w:ascii="SimHei" w:hAnsi="SimHei" w:eastAsia="SimHei" w:cs="SimHei"/>
                <w:sz w:val="21"/>
                <w:szCs w:val="21"/>
                <w:spacing w:val="8"/>
              </w:rPr>
              <w:t>第一百九十三条</w:t>
            </w:r>
            <w:r>
              <w:rPr>
                <w:rFonts w:ascii="SimHei" w:hAnsi="SimHei" w:eastAsia="SimHei" w:cs="SimHei"/>
                <w:sz w:val="21"/>
                <w:szCs w:val="21"/>
                <w:spacing w:val="36"/>
              </w:rPr>
              <w:t xml:space="preserve"> </w:t>
            </w:r>
            <w:r>
              <w:rPr>
                <w:rFonts w:ascii="SimHei" w:hAnsi="SimHei" w:eastAsia="SimHei" w:cs="SimHei"/>
                <w:sz w:val="21"/>
                <w:szCs w:val="21"/>
                <w:spacing w:val="8"/>
              </w:rPr>
              <w:t>医疗卫生机构未履行报告职</w:t>
            </w:r>
            <w:r>
              <w:rPr>
                <w:rFonts w:ascii="SimHei" w:hAnsi="SimHei" w:eastAsia="SimHei" w:cs="SimHei"/>
                <w:sz w:val="21"/>
                <w:szCs w:val="21"/>
                <w:spacing w:val="7"/>
              </w:rPr>
              <w:t>责，造成严重后果的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279</w:t>
            </w:r>
          </w:hyperlink>
        </w:p>
        <w:p>
          <w:pPr>
            <w:pStyle w:val="BodyText"/>
            <w:spacing w:line="434" w:lineRule="auto"/>
            <w:rPr/>
          </w:pPr>
          <w:r/>
        </w:p>
        <w:p>
          <w:pPr>
            <w:spacing w:before="69" w:line="224" w:lineRule="auto"/>
            <w:tabs>
              <w:tab w:val="right" w:leader="dot" w:pos="13370"/>
            </w:tabs>
            <w:rPr>
              <w:rFonts w:ascii="Times New Roman" w:hAnsi="Times New Roman" w:eastAsia="Times New Roman" w:cs="Times New Roman"/>
              <w:sz w:val="21"/>
              <w:szCs w:val="21"/>
            </w:rPr>
          </w:pPr>
          <w:hyperlink w:history="true" w:anchor="bookmark247">
            <w:r>
              <w:rPr>
                <w:rFonts w:ascii="KaiTi" w:hAnsi="KaiTi" w:eastAsia="KaiTi" w:cs="KaiTi"/>
                <w:sz w:val="21"/>
                <w:szCs w:val="21"/>
                <w:spacing w:val="-9"/>
              </w:rPr>
              <w:t>(</w:t>
            </w:r>
            <w:r>
              <w:rPr>
                <w:rFonts w:ascii="KaiTi" w:hAnsi="KaiTi" w:eastAsia="KaiTi" w:cs="KaiTi"/>
                <w:sz w:val="21"/>
                <w:szCs w:val="21"/>
                <w:spacing w:val="-9"/>
              </w:rPr>
              <w:t xml:space="preserve"> </w:t>
            </w:r>
            <w:r>
              <w:rPr>
                <w:rFonts w:ascii="KaiTi" w:hAnsi="KaiTi" w:eastAsia="KaiTi" w:cs="KaiTi"/>
                <w:sz w:val="21"/>
                <w:szCs w:val="21"/>
                <w:spacing w:val="-9"/>
              </w:rPr>
              <w:t>四</w:t>
            </w:r>
            <w:r>
              <w:rPr>
                <w:rFonts w:ascii="KaiTi" w:hAnsi="KaiTi" w:eastAsia="KaiTi" w:cs="KaiTi"/>
                <w:sz w:val="21"/>
                <w:szCs w:val="21"/>
                <w:spacing w:val="-9"/>
              </w:rPr>
              <w:t xml:space="preserve"> </w:t>
            </w:r>
            <w:r>
              <w:rPr>
                <w:rFonts w:ascii="KaiTi" w:hAnsi="KaiTi" w:eastAsia="KaiTi" w:cs="KaiTi"/>
                <w:sz w:val="21"/>
                <w:szCs w:val="21"/>
                <w:spacing w:val="-9"/>
              </w:rPr>
              <w:t>)《护士条例》</w:t>
            </w:r>
            <w:r>
              <w:rPr>
                <w:rFonts w:ascii="KaiTi" w:hAnsi="KaiTi" w:eastAsia="KaiTi" w:cs="KaiTi"/>
                <w:sz w:val="21"/>
                <w:szCs w:val="21"/>
                <w:spacing w:val="-67"/>
              </w:rPr>
              <w:t xml:space="preserve"> </w:t>
            </w:r>
            <w:r>
              <w:rPr>
                <w:rFonts w:ascii="KaiTi" w:hAnsi="KaiTi" w:eastAsia="KaiTi" w:cs="KaiTi"/>
                <w:sz w:val="21"/>
                <w:szCs w:val="21"/>
              </w:rPr>
              <w:tab/>
            </w:r>
            <w:r>
              <w:rPr>
                <w:rFonts w:ascii="Times New Roman" w:hAnsi="Times New Roman" w:eastAsia="Times New Roman" w:cs="Times New Roman"/>
                <w:sz w:val="21"/>
                <w:szCs w:val="21"/>
              </w:rPr>
              <w:t>280</w:t>
            </w:r>
          </w:hyperlink>
        </w:p>
        <w:p>
          <w:pPr>
            <w:pStyle w:val="BodyText"/>
            <w:spacing w:line="246" w:lineRule="auto"/>
            <w:rPr/>
          </w:pPr>
          <w:r/>
        </w:p>
        <w:p>
          <w:pPr>
            <w:ind w:left="340"/>
            <w:spacing w:before="68" w:line="221" w:lineRule="auto"/>
            <w:tabs>
              <w:tab w:val="right" w:leader="dot" w:pos="13440"/>
            </w:tabs>
            <w:rPr>
              <w:rFonts w:ascii="Times New Roman" w:hAnsi="Times New Roman" w:eastAsia="Times New Roman" w:cs="Times New Roman"/>
              <w:sz w:val="21"/>
              <w:szCs w:val="21"/>
            </w:rPr>
          </w:pPr>
          <w:hyperlink w:history="true" w:anchor="bookmark248">
            <w:r>
              <w:rPr>
                <w:rFonts w:ascii="SimHei" w:hAnsi="SimHei" w:eastAsia="SimHei" w:cs="SimHei"/>
                <w:sz w:val="21"/>
                <w:szCs w:val="21"/>
                <w:spacing w:val="7"/>
              </w:rPr>
              <w:t>第一百九十四条</w:t>
            </w:r>
            <w:r>
              <w:rPr>
                <w:rFonts w:ascii="SimHei" w:hAnsi="SimHei" w:eastAsia="SimHei" w:cs="SimHei"/>
                <w:sz w:val="21"/>
                <w:szCs w:val="21"/>
                <w:spacing w:val="7"/>
              </w:rPr>
              <w:t xml:space="preserve"> </w:t>
            </w:r>
            <w:r>
              <w:rPr>
                <w:rFonts w:ascii="SimHei" w:hAnsi="SimHei" w:eastAsia="SimHei" w:cs="SimHei"/>
                <w:sz w:val="21"/>
                <w:szCs w:val="21"/>
                <w:spacing w:val="7"/>
              </w:rPr>
              <w:t>护士的配备数量低于国务院卫生主管部门规定的护士配备标准的</w:t>
            </w:r>
            <w:r>
              <w:rPr>
                <w:rFonts w:ascii="SimHei" w:hAnsi="SimHei" w:eastAsia="SimHei" w:cs="SimHei"/>
                <w:sz w:val="21"/>
                <w:szCs w:val="21"/>
                <w:spacing w:val="-83"/>
              </w:rPr>
              <w:t xml:space="preserve"> </w:t>
            </w:r>
            <w:r>
              <w:rPr>
                <w:rFonts w:ascii="SimHei" w:hAnsi="SimHei" w:eastAsia="SimHei" w:cs="SimHei"/>
                <w:sz w:val="21"/>
                <w:szCs w:val="21"/>
              </w:rPr>
              <w:tab/>
            </w:r>
            <w:r>
              <w:rPr>
                <w:rFonts w:ascii="SimHei" w:hAnsi="SimHei" w:eastAsia="SimHei" w:cs="SimHei"/>
                <w:sz w:val="21"/>
                <w:szCs w:val="21"/>
                <w:spacing w:val="-61"/>
              </w:rPr>
              <w:t xml:space="preserve"> </w:t>
            </w:r>
            <w:r>
              <w:rPr>
                <w:rFonts w:ascii="Times New Roman" w:hAnsi="Times New Roman" w:eastAsia="Times New Roman" w:cs="Times New Roman"/>
                <w:sz w:val="21"/>
                <w:szCs w:val="21"/>
                <w:spacing w:val="-2"/>
              </w:rPr>
              <w:t>280</w:t>
            </w:r>
          </w:hyperlink>
        </w:p>
        <w:p>
          <w:pPr>
            <w:pStyle w:val="BodyText"/>
            <w:spacing w:line="285" w:lineRule="auto"/>
            <w:rPr/>
          </w:pPr>
          <w:r/>
        </w:p>
        <w:p>
          <w:pPr>
            <w:pStyle w:val="BodyText"/>
            <w:spacing w:line="285" w:lineRule="auto"/>
            <w:rPr/>
          </w:pPr>
          <w:r/>
        </w:p>
        <w:p>
          <w:pPr>
            <w:ind w:left="359"/>
            <w:spacing w:before="53" w:line="219" w:lineRule="auto"/>
            <w:rPr>
              <w:rFonts w:ascii="SimHei" w:hAnsi="SimHei" w:eastAsia="SimHei" w:cs="SimHei"/>
              <w:sz w:val="16"/>
              <w:szCs w:val="16"/>
            </w:rPr>
          </w:pPr>
          <w:hyperlink w:history="true" w:anchor="bookmark249">
            <w:r>
              <w:rPr>
                <w:rFonts w:ascii="SimHei" w:hAnsi="SimHei" w:eastAsia="SimHei" w:cs="SimHei"/>
                <w:sz w:val="16"/>
                <w:szCs w:val="16"/>
                <w:spacing w:val="-8"/>
              </w:rPr>
              <w:t>第</w:t>
            </w:r>
            <w:r>
              <w:rPr>
                <w:rFonts w:ascii="SimHei" w:hAnsi="SimHei" w:eastAsia="SimHei" w:cs="SimHei"/>
                <w:sz w:val="16"/>
                <w:szCs w:val="16"/>
                <w:spacing w:val="-8"/>
              </w:rPr>
              <w:t xml:space="preserve"> </w:t>
            </w:r>
            <w:r>
              <w:rPr>
                <w:rFonts w:ascii="SimHei" w:hAnsi="SimHei" w:eastAsia="SimHei" w:cs="SimHei"/>
                <w:sz w:val="16"/>
                <w:szCs w:val="16"/>
                <w:spacing w:val="-8"/>
              </w:rPr>
              <w:t>一</w:t>
            </w:r>
            <w:r>
              <w:rPr>
                <w:rFonts w:ascii="SimHei" w:hAnsi="SimHei" w:eastAsia="SimHei" w:cs="SimHei"/>
                <w:sz w:val="16"/>
                <w:szCs w:val="16"/>
                <w:spacing w:val="-8"/>
              </w:rPr>
              <w:t xml:space="preserve"> </w:t>
            </w:r>
            <w:r>
              <w:rPr>
                <w:rFonts w:ascii="SimHei" w:hAnsi="SimHei" w:eastAsia="SimHei" w:cs="SimHei"/>
                <w:sz w:val="16"/>
                <w:szCs w:val="16"/>
                <w:spacing w:val="-8"/>
              </w:rPr>
              <w:t>百</w:t>
            </w:r>
            <w:r>
              <w:rPr>
                <w:rFonts w:ascii="SimHei" w:hAnsi="SimHei" w:eastAsia="SimHei" w:cs="SimHei"/>
                <w:sz w:val="16"/>
                <w:szCs w:val="16"/>
                <w:spacing w:val="-8"/>
              </w:rPr>
              <w:t xml:space="preserve"> </w:t>
            </w:r>
            <w:r>
              <w:rPr>
                <w:rFonts w:ascii="SimHei" w:hAnsi="SimHei" w:eastAsia="SimHei" w:cs="SimHei"/>
                <w:sz w:val="16"/>
                <w:szCs w:val="16"/>
                <w:spacing w:val="-8"/>
              </w:rPr>
              <w:t>九</w:t>
            </w:r>
            <w:r>
              <w:rPr>
                <w:rFonts w:ascii="SimHei" w:hAnsi="SimHei" w:eastAsia="SimHei" w:cs="SimHei"/>
                <w:sz w:val="16"/>
                <w:szCs w:val="16"/>
                <w:spacing w:val="-8"/>
              </w:rPr>
              <w:t xml:space="preserve"> </w:t>
            </w:r>
            <w:r>
              <w:rPr>
                <w:rFonts w:ascii="SimHei" w:hAnsi="SimHei" w:eastAsia="SimHei" w:cs="SimHei"/>
                <w:sz w:val="16"/>
                <w:szCs w:val="16"/>
                <w:spacing w:val="-8"/>
              </w:rPr>
              <w:t>十</w:t>
            </w:r>
            <w:r>
              <w:rPr>
                <w:rFonts w:ascii="SimHei" w:hAnsi="SimHei" w:eastAsia="SimHei" w:cs="SimHei"/>
                <w:sz w:val="16"/>
                <w:szCs w:val="16"/>
                <w:spacing w:val="-8"/>
              </w:rPr>
              <w:t xml:space="preserve"> </w:t>
            </w:r>
            <w:r>
              <w:rPr>
                <w:rFonts w:ascii="SimHei" w:hAnsi="SimHei" w:eastAsia="SimHei" w:cs="SimHei"/>
                <w:sz w:val="16"/>
                <w:szCs w:val="16"/>
                <w:spacing w:val="-8"/>
              </w:rPr>
              <w:t>五</w:t>
            </w:r>
            <w:r>
              <w:rPr>
                <w:rFonts w:ascii="SimHei" w:hAnsi="SimHei" w:eastAsia="SimHei" w:cs="SimHei"/>
                <w:sz w:val="16"/>
                <w:szCs w:val="16"/>
                <w:spacing w:val="-8"/>
              </w:rPr>
              <w:t xml:space="preserve"> </w:t>
            </w:r>
            <w:r>
              <w:rPr>
                <w:rFonts w:ascii="SimHei" w:hAnsi="SimHei" w:eastAsia="SimHei" w:cs="SimHei"/>
                <w:sz w:val="16"/>
                <w:szCs w:val="16"/>
                <w:spacing w:val="-8"/>
              </w:rPr>
              <w:t>条</w:t>
            </w:r>
            <w:r>
              <w:rPr>
                <w:rFonts w:ascii="SimHei" w:hAnsi="SimHei" w:eastAsia="SimHei" w:cs="SimHei"/>
                <w:sz w:val="16"/>
                <w:szCs w:val="16"/>
                <w:spacing w:val="25"/>
              </w:rPr>
              <w:t xml:space="preserve">  </w:t>
            </w:r>
            <w:r>
              <w:rPr>
                <w:rFonts w:ascii="SimHei" w:hAnsi="SimHei" w:eastAsia="SimHei" w:cs="SimHei"/>
                <w:sz w:val="16"/>
                <w:szCs w:val="16"/>
                <w:spacing w:val="-8"/>
              </w:rPr>
              <w:t>允</w:t>
            </w:r>
            <w:r>
              <w:rPr>
                <w:rFonts w:ascii="SimHei" w:hAnsi="SimHei" w:eastAsia="SimHei" w:cs="SimHei"/>
                <w:sz w:val="16"/>
                <w:szCs w:val="16"/>
                <w:spacing w:val="-8"/>
              </w:rPr>
              <w:t xml:space="preserve"> </w:t>
            </w:r>
            <w:r>
              <w:rPr>
                <w:rFonts w:ascii="SimHei" w:hAnsi="SimHei" w:eastAsia="SimHei" w:cs="SimHei"/>
                <w:sz w:val="16"/>
                <w:szCs w:val="16"/>
                <w:spacing w:val="-8"/>
              </w:rPr>
              <w:t>许</w:t>
            </w:r>
            <w:r>
              <w:rPr>
                <w:rFonts w:ascii="SimHei" w:hAnsi="SimHei" w:eastAsia="SimHei" w:cs="SimHei"/>
                <w:sz w:val="16"/>
                <w:szCs w:val="16"/>
                <w:spacing w:val="-14"/>
              </w:rPr>
              <w:t xml:space="preserve"> </w:t>
            </w:r>
            <w:r>
              <w:rPr>
                <w:rFonts w:ascii="SimHei" w:hAnsi="SimHei" w:eastAsia="SimHei" w:cs="SimHei"/>
                <w:sz w:val="16"/>
                <w:szCs w:val="16"/>
                <w:spacing w:val="-8"/>
              </w:rPr>
              <w:t>未</w:t>
            </w:r>
            <w:r>
              <w:rPr>
                <w:rFonts w:ascii="SimHei" w:hAnsi="SimHei" w:eastAsia="SimHei" w:cs="SimHei"/>
                <w:sz w:val="16"/>
                <w:szCs w:val="16"/>
                <w:spacing w:val="-8"/>
              </w:rPr>
              <w:t xml:space="preserve"> </w:t>
            </w:r>
            <w:r>
              <w:rPr>
                <w:rFonts w:ascii="SimHei" w:hAnsi="SimHei" w:eastAsia="SimHei" w:cs="SimHei"/>
                <w:sz w:val="16"/>
                <w:szCs w:val="16"/>
                <w:spacing w:val="-8"/>
              </w:rPr>
              <w:t>取</w:t>
            </w:r>
            <w:r>
              <w:rPr>
                <w:rFonts w:ascii="SimHei" w:hAnsi="SimHei" w:eastAsia="SimHei" w:cs="SimHei"/>
                <w:sz w:val="16"/>
                <w:szCs w:val="16"/>
                <w:spacing w:val="-14"/>
              </w:rPr>
              <w:t xml:space="preserve"> </w:t>
            </w:r>
            <w:r>
              <w:rPr>
                <w:rFonts w:ascii="SimHei" w:hAnsi="SimHei" w:eastAsia="SimHei" w:cs="SimHei"/>
                <w:sz w:val="16"/>
                <w:szCs w:val="16"/>
                <w:spacing w:val="-8"/>
              </w:rPr>
              <w:t>得</w:t>
            </w:r>
            <w:r>
              <w:rPr>
                <w:rFonts w:ascii="SimHei" w:hAnsi="SimHei" w:eastAsia="SimHei" w:cs="SimHei"/>
                <w:sz w:val="16"/>
                <w:szCs w:val="16"/>
                <w:spacing w:val="-13"/>
              </w:rPr>
              <w:t xml:space="preserve"> </w:t>
            </w:r>
            <w:r>
              <w:rPr>
                <w:rFonts w:ascii="SimHei" w:hAnsi="SimHei" w:eastAsia="SimHei" w:cs="SimHei"/>
                <w:sz w:val="16"/>
                <w:szCs w:val="16"/>
                <w:spacing w:val="-8"/>
              </w:rPr>
              <w:t>护</w:t>
            </w:r>
            <w:r>
              <w:rPr>
                <w:rFonts w:ascii="SimHei" w:hAnsi="SimHei" w:eastAsia="SimHei" w:cs="SimHei"/>
                <w:sz w:val="16"/>
                <w:szCs w:val="16"/>
                <w:spacing w:val="-10"/>
              </w:rPr>
              <w:t xml:space="preserve"> </w:t>
            </w:r>
            <w:r>
              <w:rPr>
                <w:rFonts w:ascii="SimHei" w:hAnsi="SimHei" w:eastAsia="SimHei" w:cs="SimHei"/>
                <w:sz w:val="16"/>
                <w:szCs w:val="16"/>
                <w:spacing w:val="-8"/>
              </w:rPr>
              <w:t>士</w:t>
            </w:r>
            <w:r>
              <w:rPr>
                <w:rFonts w:ascii="SimHei" w:hAnsi="SimHei" w:eastAsia="SimHei" w:cs="SimHei"/>
                <w:sz w:val="16"/>
                <w:szCs w:val="16"/>
                <w:spacing w:val="-15"/>
              </w:rPr>
              <w:t xml:space="preserve"> </w:t>
            </w:r>
            <w:r>
              <w:rPr>
                <w:rFonts w:ascii="SimHei" w:hAnsi="SimHei" w:eastAsia="SimHei" w:cs="SimHei"/>
                <w:sz w:val="16"/>
                <w:szCs w:val="16"/>
                <w:spacing w:val="-8"/>
              </w:rPr>
              <w:t>执</w:t>
            </w:r>
            <w:r>
              <w:rPr>
                <w:rFonts w:ascii="SimHei" w:hAnsi="SimHei" w:eastAsia="SimHei" w:cs="SimHei"/>
                <w:sz w:val="16"/>
                <w:szCs w:val="16"/>
                <w:spacing w:val="-12"/>
              </w:rPr>
              <w:t xml:space="preserve"> </w:t>
            </w:r>
            <w:r>
              <w:rPr>
                <w:rFonts w:ascii="SimHei" w:hAnsi="SimHei" w:eastAsia="SimHei" w:cs="SimHei"/>
                <w:sz w:val="16"/>
                <w:szCs w:val="16"/>
                <w:spacing w:val="-8"/>
              </w:rPr>
              <w:t>业</w:t>
            </w:r>
            <w:r>
              <w:rPr>
                <w:rFonts w:ascii="SimHei" w:hAnsi="SimHei" w:eastAsia="SimHei" w:cs="SimHei"/>
                <w:sz w:val="16"/>
                <w:szCs w:val="16"/>
                <w:spacing w:val="-15"/>
              </w:rPr>
              <w:t xml:space="preserve"> </w:t>
            </w:r>
            <w:r>
              <w:rPr>
                <w:rFonts w:ascii="SimHei" w:hAnsi="SimHei" w:eastAsia="SimHei" w:cs="SimHei"/>
                <w:sz w:val="16"/>
                <w:szCs w:val="16"/>
                <w:spacing w:val="-8"/>
              </w:rPr>
              <w:t>证</w:t>
            </w:r>
            <w:r>
              <w:rPr>
                <w:rFonts w:ascii="SimHei" w:hAnsi="SimHei" w:eastAsia="SimHei" w:cs="SimHei"/>
                <w:sz w:val="16"/>
                <w:szCs w:val="16"/>
                <w:spacing w:val="-9"/>
              </w:rPr>
              <w:t xml:space="preserve"> </w:t>
            </w:r>
            <w:r>
              <w:rPr>
                <w:rFonts w:ascii="SimHei" w:hAnsi="SimHei" w:eastAsia="SimHei" w:cs="SimHei"/>
                <w:sz w:val="16"/>
                <w:szCs w:val="16"/>
                <w:spacing w:val="-8"/>
              </w:rPr>
              <w:t>书</w:t>
            </w:r>
            <w:r>
              <w:rPr>
                <w:rFonts w:ascii="SimHei" w:hAnsi="SimHei" w:eastAsia="SimHei" w:cs="SimHei"/>
                <w:sz w:val="16"/>
                <w:szCs w:val="16"/>
                <w:spacing w:val="-8"/>
              </w:rPr>
              <w:t xml:space="preserve"> </w:t>
            </w:r>
            <w:r>
              <w:rPr>
                <w:rFonts w:ascii="SimHei" w:hAnsi="SimHei" w:eastAsia="SimHei" w:cs="SimHei"/>
                <w:sz w:val="16"/>
                <w:szCs w:val="16"/>
                <w:spacing w:val="-8"/>
              </w:rPr>
              <w:t>的</w:t>
            </w:r>
            <w:r>
              <w:rPr>
                <w:rFonts w:ascii="SimHei" w:hAnsi="SimHei" w:eastAsia="SimHei" w:cs="SimHei"/>
                <w:sz w:val="16"/>
                <w:szCs w:val="16"/>
                <w:spacing w:val="-11"/>
              </w:rPr>
              <w:t xml:space="preserve"> </w:t>
            </w:r>
            <w:r>
              <w:rPr>
                <w:rFonts w:ascii="SimHei" w:hAnsi="SimHei" w:eastAsia="SimHei" w:cs="SimHei"/>
                <w:sz w:val="16"/>
                <w:szCs w:val="16"/>
                <w:spacing w:val="-8"/>
              </w:rPr>
              <w:t>人</w:t>
            </w:r>
            <w:r>
              <w:rPr>
                <w:rFonts w:ascii="SimHei" w:hAnsi="SimHei" w:eastAsia="SimHei" w:cs="SimHei"/>
                <w:sz w:val="16"/>
                <w:szCs w:val="16"/>
                <w:spacing w:val="-11"/>
              </w:rPr>
              <w:t xml:space="preserve"> </w:t>
            </w:r>
            <w:r>
              <w:rPr>
                <w:rFonts w:ascii="SimHei" w:hAnsi="SimHei" w:eastAsia="SimHei" w:cs="SimHei"/>
                <w:sz w:val="16"/>
                <w:szCs w:val="16"/>
                <w:spacing w:val="-8"/>
              </w:rPr>
              <w:t>员</w:t>
            </w:r>
            <w:r>
              <w:rPr>
                <w:rFonts w:ascii="SimHei" w:hAnsi="SimHei" w:eastAsia="SimHei" w:cs="SimHei"/>
                <w:sz w:val="16"/>
                <w:szCs w:val="16"/>
                <w:spacing w:val="-11"/>
              </w:rPr>
              <w:t xml:space="preserve"> </w:t>
            </w:r>
            <w:r>
              <w:rPr>
                <w:rFonts w:ascii="SimHei" w:hAnsi="SimHei" w:eastAsia="SimHei" w:cs="SimHei"/>
                <w:sz w:val="16"/>
                <w:szCs w:val="16"/>
                <w:spacing w:val="-8"/>
              </w:rPr>
              <w:t>或</w:t>
            </w:r>
            <w:r>
              <w:rPr>
                <w:rFonts w:ascii="SimHei" w:hAnsi="SimHei" w:eastAsia="SimHei" w:cs="SimHei"/>
                <w:sz w:val="16"/>
                <w:szCs w:val="16"/>
                <w:spacing w:val="-12"/>
              </w:rPr>
              <w:t xml:space="preserve"> </w:t>
            </w:r>
            <w:r>
              <w:rPr>
                <w:rFonts w:ascii="SimHei" w:hAnsi="SimHei" w:eastAsia="SimHei" w:cs="SimHei"/>
                <w:sz w:val="16"/>
                <w:szCs w:val="16"/>
                <w:spacing w:val="-8"/>
              </w:rPr>
              <w:t>者</w:t>
            </w:r>
            <w:r>
              <w:rPr>
                <w:rFonts w:ascii="SimHei" w:hAnsi="SimHei" w:eastAsia="SimHei" w:cs="SimHei"/>
                <w:sz w:val="16"/>
                <w:szCs w:val="16"/>
                <w:spacing w:val="-10"/>
              </w:rPr>
              <w:t xml:space="preserve"> </w:t>
            </w:r>
            <w:r>
              <w:rPr>
                <w:rFonts w:ascii="SimHei" w:hAnsi="SimHei" w:eastAsia="SimHei" w:cs="SimHei"/>
                <w:sz w:val="16"/>
                <w:szCs w:val="16"/>
                <w:spacing w:val="-8"/>
              </w:rPr>
              <w:t>允</w:t>
            </w:r>
            <w:r>
              <w:rPr>
                <w:rFonts w:ascii="SimHei" w:hAnsi="SimHei" w:eastAsia="SimHei" w:cs="SimHei"/>
                <w:sz w:val="16"/>
                <w:szCs w:val="16"/>
                <w:spacing w:val="-14"/>
              </w:rPr>
              <w:t xml:space="preserve"> </w:t>
            </w:r>
            <w:r>
              <w:rPr>
                <w:rFonts w:ascii="SimHei" w:hAnsi="SimHei" w:eastAsia="SimHei" w:cs="SimHei"/>
                <w:sz w:val="16"/>
                <w:szCs w:val="16"/>
                <w:spacing w:val="-8"/>
              </w:rPr>
              <w:t>许</w:t>
            </w:r>
            <w:r>
              <w:rPr>
                <w:rFonts w:ascii="SimHei" w:hAnsi="SimHei" w:eastAsia="SimHei" w:cs="SimHei"/>
                <w:sz w:val="16"/>
                <w:szCs w:val="16"/>
                <w:spacing w:val="-15"/>
              </w:rPr>
              <w:t xml:space="preserve"> </w:t>
            </w:r>
            <w:r>
              <w:rPr>
                <w:rFonts w:ascii="SimHei" w:hAnsi="SimHei" w:eastAsia="SimHei" w:cs="SimHei"/>
                <w:sz w:val="16"/>
                <w:szCs w:val="16"/>
                <w:spacing w:val="-8"/>
              </w:rPr>
              <w:t>未</w:t>
            </w:r>
            <w:r>
              <w:rPr>
                <w:rFonts w:ascii="SimHei" w:hAnsi="SimHei" w:eastAsia="SimHei" w:cs="SimHei"/>
                <w:sz w:val="16"/>
                <w:szCs w:val="16"/>
                <w:spacing w:val="-14"/>
              </w:rPr>
              <w:t xml:space="preserve"> </w:t>
            </w:r>
            <w:r>
              <w:rPr>
                <w:rFonts w:ascii="SimHei" w:hAnsi="SimHei" w:eastAsia="SimHei" w:cs="SimHei"/>
                <w:sz w:val="16"/>
                <w:szCs w:val="16"/>
                <w:spacing w:val="-8"/>
              </w:rPr>
              <w:t>依</w:t>
            </w:r>
            <w:r>
              <w:rPr>
                <w:rFonts w:ascii="SimHei" w:hAnsi="SimHei" w:eastAsia="SimHei" w:cs="SimHei"/>
                <w:sz w:val="16"/>
                <w:szCs w:val="16"/>
                <w:spacing w:val="-12"/>
              </w:rPr>
              <w:t xml:space="preserve"> </w:t>
            </w:r>
            <w:r>
              <w:rPr>
                <w:rFonts w:ascii="SimHei" w:hAnsi="SimHei" w:eastAsia="SimHei" w:cs="SimHei"/>
                <w:sz w:val="16"/>
                <w:szCs w:val="16"/>
                <w:spacing w:val="-8"/>
              </w:rPr>
              <w:t>照</w:t>
            </w:r>
            <w:r>
              <w:rPr>
                <w:rFonts w:ascii="SimHei" w:hAnsi="SimHei" w:eastAsia="SimHei" w:cs="SimHei"/>
                <w:sz w:val="16"/>
                <w:szCs w:val="16"/>
                <w:spacing w:val="-21"/>
              </w:rPr>
              <w:t xml:space="preserve"> </w:t>
            </w:r>
            <w:r>
              <w:rPr>
                <w:rFonts w:ascii="SimHei" w:hAnsi="SimHei" w:eastAsia="SimHei" w:cs="SimHei"/>
                <w:sz w:val="16"/>
                <w:szCs w:val="16"/>
                <w:spacing w:val="-8"/>
              </w:rPr>
              <w:t>《</w:t>
            </w:r>
            <w:r>
              <w:rPr>
                <w:rFonts w:ascii="SimHei" w:hAnsi="SimHei" w:eastAsia="SimHei" w:cs="SimHei"/>
                <w:sz w:val="16"/>
                <w:szCs w:val="16"/>
                <w:spacing w:val="-8"/>
              </w:rPr>
              <w:t xml:space="preserve"> </w:t>
            </w:r>
            <w:r>
              <w:rPr>
                <w:rFonts w:ascii="SimHei" w:hAnsi="SimHei" w:eastAsia="SimHei" w:cs="SimHei"/>
                <w:sz w:val="16"/>
                <w:szCs w:val="16"/>
                <w:spacing w:val="-8"/>
              </w:rPr>
              <w:t>护</w:t>
            </w:r>
            <w:r>
              <w:rPr>
                <w:rFonts w:ascii="SimHei" w:hAnsi="SimHei" w:eastAsia="SimHei" w:cs="SimHei"/>
                <w:sz w:val="16"/>
                <w:szCs w:val="16"/>
                <w:spacing w:val="-10"/>
              </w:rPr>
              <w:t xml:space="preserve"> </w:t>
            </w:r>
            <w:r>
              <w:rPr>
                <w:rFonts w:ascii="SimHei" w:hAnsi="SimHei" w:eastAsia="SimHei" w:cs="SimHei"/>
                <w:sz w:val="16"/>
                <w:szCs w:val="16"/>
                <w:spacing w:val="-8"/>
              </w:rPr>
              <w:t>士</w:t>
            </w:r>
            <w:r>
              <w:rPr>
                <w:rFonts w:ascii="SimHei" w:hAnsi="SimHei" w:eastAsia="SimHei" w:cs="SimHei"/>
                <w:sz w:val="16"/>
                <w:szCs w:val="16"/>
                <w:spacing w:val="-13"/>
              </w:rPr>
              <w:t xml:space="preserve"> </w:t>
            </w:r>
            <w:r>
              <w:rPr>
                <w:rFonts w:ascii="SimHei" w:hAnsi="SimHei" w:eastAsia="SimHei" w:cs="SimHei"/>
                <w:sz w:val="16"/>
                <w:szCs w:val="16"/>
                <w:spacing w:val="-8"/>
              </w:rPr>
              <w:t>条</w:t>
            </w:r>
            <w:r>
              <w:rPr>
                <w:rFonts w:ascii="SimHei" w:hAnsi="SimHei" w:eastAsia="SimHei" w:cs="SimHei"/>
                <w:sz w:val="16"/>
                <w:szCs w:val="16"/>
                <w:spacing w:val="-16"/>
              </w:rPr>
              <w:t xml:space="preserve"> </w:t>
            </w:r>
            <w:r>
              <w:rPr>
                <w:rFonts w:ascii="SimHei" w:hAnsi="SimHei" w:eastAsia="SimHei" w:cs="SimHei"/>
                <w:sz w:val="16"/>
                <w:szCs w:val="16"/>
                <w:spacing w:val="-8"/>
              </w:rPr>
              <w:t>例</w:t>
            </w:r>
            <w:r>
              <w:rPr>
                <w:rFonts w:ascii="SimHei" w:hAnsi="SimHei" w:eastAsia="SimHei" w:cs="SimHei"/>
                <w:sz w:val="16"/>
                <w:szCs w:val="16"/>
                <w:spacing w:val="-9"/>
              </w:rPr>
              <w:t xml:space="preserve"> </w:t>
            </w:r>
            <w:r>
              <w:rPr>
                <w:rFonts w:ascii="SimHei" w:hAnsi="SimHei" w:eastAsia="SimHei" w:cs="SimHei"/>
                <w:sz w:val="16"/>
                <w:szCs w:val="16"/>
                <w:spacing w:val="-8"/>
              </w:rPr>
              <w:t>》</w:t>
            </w:r>
            <w:r>
              <w:rPr>
                <w:rFonts w:ascii="SimHei" w:hAnsi="SimHei" w:eastAsia="SimHei" w:cs="SimHei"/>
                <w:sz w:val="16"/>
                <w:szCs w:val="16"/>
                <w:spacing w:val="-15"/>
              </w:rPr>
              <w:t xml:space="preserve"> </w:t>
            </w:r>
            <w:r>
              <w:rPr>
                <w:rFonts w:ascii="SimHei" w:hAnsi="SimHei" w:eastAsia="SimHei" w:cs="SimHei"/>
                <w:sz w:val="16"/>
                <w:szCs w:val="16"/>
                <w:spacing w:val="-8"/>
              </w:rPr>
              <w:t>规</w:t>
            </w:r>
            <w:r>
              <w:rPr>
                <w:rFonts w:ascii="SimHei" w:hAnsi="SimHei" w:eastAsia="SimHei" w:cs="SimHei"/>
                <w:sz w:val="16"/>
                <w:szCs w:val="16"/>
                <w:spacing w:val="-16"/>
              </w:rPr>
              <w:t xml:space="preserve"> </w:t>
            </w:r>
            <w:r>
              <w:rPr>
                <w:rFonts w:ascii="SimHei" w:hAnsi="SimHei" w:eastAsia="SimHei" w:cs="SimHei"/>
                <w:sz w:val="16"/>
                <w:szCs w:val="16"/>
                <w:spacing w:val="-8"/>
              </w:rPr>
              <w:t>定</w:t>
            </w:r>
            <w:r>
              <w:rPr>
                <w:rFonts w:ascii="SimHei" w:hAnsi="SimHei" w:eastAsia="SimHei" w:cs="SimHei"/>
                <w:sz w:val="16"/>
                <w:szCs w:val="16"/>
                <w:spacing w:val="-13"/>
              </w:rPr>
              <w:t xml:space="preserve"> </w:t>
            </w:r>
            <w:r>
              <w:rPr>
                <w:rFonts w:ascii="SimHei" w:hAnsi="SimHei" w:eastAsia="SimHei" w:cs="SimHei"/>
                <w:sz w:val="16"/>
                <w:szCs w:val="16"/>
                <w:spacing w:val="-8"/>
              </w:rPr>
              <w:t>办</w:t>
            </w:r>
            <w:r>
              <w:rPr>
                <w:rFonts w:ascii="SimHei" w:hAnsi="SimHei" w:eastAsia="SimHei" w:cs="SimHei"/>
                <w:sz w:val="16"/>
                <w:szCs w:val="16"/>
                <w:spacing w:val="-15"/>
              </w:rPr>
              <w:t xml:space="preserve"> </w:t>
            </w:r>
            <w:r>
              <w:rPr>
                <w:rFonts w:ascii="SimHei" w:hAnsi="SimHei" w:eastAsia="SimHei" w:cs="SimHei"/>
                <w:sz w:val="16"/>
                <w:szCs w:val="16"/>
                <w:spacing w:val="-8"/>
              </w:rPr>
              <w:t>理</w:t>
            </w:r>
            <w:r>
              <w:rPr>
                <w:rFonts w:ascii="SimHei" w:hAnsi="SimHei" w:eastAsia="SimHei" w:cs="SimHei"/>
                <w:sz w:val="16"/>
                <w:szCs w:val="16"/>
                <w:spacing w:val="-14"/>
              </w:rPr>
              <w:t xml:space="preserve"> </w:t>
            </w:r>
            <w:r>
              <w:rPr>
                <w:rFonts w:ascii="SimHei" w:hAnsi="SimHei" w:eastAsia="SimHei" w:cs="SimHei"/>
                <w:sz w:val="16"/>
                <w:szCs w:val="16"/>
                <w:spacing w:val="-8"/>
              </w:rPr>
              <w:t>执</w:t>
            </w:r>
            <w:r>
              <w:rPr>
                <w:rFonts w:ascii="SimHei" w:hAnsi="SimHei" w:eastAsia="SimHei" w:cs="SimHei"/>
                <w:sz w:val="16"/>
                <w:szCs w:val="16"/>
                <w:spacing w:val="-12"/>
              </w:rPr>
              <w:t xml:space="preserve"> </w:t>
            </w:r>
            <w:r>
              <w:rPr>
                <w:rFonts w:ascii="SimHei" w:hAnsi="SimHei" w:eastAsia="SimHei" w:cs="SimHei"/>
                <w:sz w:val="16"/>
                <w:szCs w:val="16"/>
                <w:spacing w:val="-8"/>
              </w:rPr>
              <w:t>业</w:t>
            </w:r>
            <w:r>
              <w:rPr>
                <w:rFonts w:ascii="SimHei" w:hAnsi="SimHei" w:eastAsia="SimHei" w:cs="SimHei"/>
                <w:sz w:val="16"/>
                <w:szCs w:val="16"/>
                <w:spacing w:val="-14"/>
              </w:rPr>
              <w:t xml:space="preserve"> </w:t>
            </w:r>
            <w:r>
              <w:rPr>
                <w:rFonts w:ascii="SimHei" w:hAnsi="SimHei" w:eastAsia="SimHei" w:cs="SimHei"/>
                <w:sz w:val="16"/>
                <w:szCs w:val="16"/>
                <w:spacing w:val="-8"/>
              </w:rPr>
              <w:t>地</w:t>
            </w:r>
            <w:r>
              <w:rPr>
                <w:rFonts w:ascii="SimHei" w:hAnsi="SimHei" w:eastAsia="SimHei" w:cs="SimHei"/>
                <w:sz w:val="16"/>
                <w:szCs w:val="16"/>
                <w:spacing w:val="-12"/>
              </w:rPr>
              <w:t xml:space="preserve"> </w:t>
            </w:r>
            <w:r>
              <w:rPr>
                <w:rFonts w:ascii="SimHei" w:hAnsi="SimHei" w:eastAsia="SimHei" w:cs="SimHei"/>
                <w:sz w:val="16"/>
                <w:szCs w:val="16"/>
                <w:spacing w:val="-8"/>
              </w:rPr>
              <w:t>点</w:t>
            </w:r>
            <w:r>
              <w:rPr>
                <w:rFonts w:ascii="SimHei" w:hAnsi="SimHei" w:eastAsia="SimHei" w:cs="SimHei"/>
                <w:sz w:val="16"/>
                <w:szCs w:val="16"/>
                <w:spacing w:val="-11"/>
              </w:rPr>
              <w:t xml:space="preserve"> </w:t>
            </w:r>
            <w:r>
              <w:rPr>
                <w:rFonts w:ascii="SimHei" w:hAnsi="SimHei" w:eastAsia="SimHei" w:cs="SimHei"/>
                <w:sz w:val="16"/>
                <w:szCs w:val="16"/>
                <w:spacing w:val="-8"/>
              </w:rPr>
              <w:t>变</w:t>
            </w:r>
            <w:r>
              <w:rPr>
                <w:rFonts w:ascii="SimHei" w:hAnsi="SimHei" w:eastAsia="SimHei" w:cs="SimHei"/>
                <w:sz w:val="16"/>
                <w:szCs w:val="16"/>
                <w:spacing w:val="-11"/>
              </w:rPr>
              <w:t xml:space="preserve"> </w:t>
            </w:r>
            <w:r>
              <w:rPr>
                <w:rFonts w:ascii="SimHei" w:hAnsi="SimHei" w:eastAsia="SimHei" w:cs="SimHei"/>
                <w:sz w:val="16"/>
                <w:szCs w:val="16"/>
                <w:spacing w:val="-8"/>
              </w:rPr>
              <w:t>更</w:t>
            </w:r>
            <w:r>
              <w:rPr>
                <w:rFonts w:ascii="SimHei" w:hAnsi="SimHei" w:eastAsia="SimHei" w:cs="SimHei"/>
                <w:sz w:val="16"/>
                <w:szCs w:val="16"/>
                <w:spacing w:val="-11"/>
              </w:rPr>
              <w:t xml:space="preserve"> </w:t>
            </w:r>
            <w:r>
              <w:rPr>
                <w:rFonts w:ascii="SimHei" w:hAnsi="SimHei" w:eastAsia="SimHei" w:cs="SimHei"/>
                <w:sz w:val="16"/>
                <w:szCs w:val="16"/>
                <w:spacing w:val="-8"/>
              </w:rPr>
              <w:t>手</w:t>
            </w:r>
            <w:r>
              <w:rPr>
                <w:rFonts w:ascii="SimHei" w:hAnsi="SimHei" w:eastAsia="SimHei" w:cs="SimHei"/>
                <w:sz w:val="16"/>
                <w:szCs w:val="16"/>
                <w:spacing w:val="-15"/>
              </w:rPr>
              <w:t xml:space="preserve"> </w:t>
            </w:r>
            <w:r>
              <w:rPr>
                <w:rFonts w:ascii="SimHei" w:hAnsi="SimHei" w:eastAsia="SimHei" w:cs="SimHei"/>
                <w:sz w:val="16"/>
                <w:szCs w:val="16"/>
                <w:spacing w:val="-8"/>
              </w:rPr>
              <w:t>续</w:t>
            </w:r>
            <w:r>
              <w:rPr>
                <w:rFonts w:ascii="SimHei" w:hAnsi="SimHei" w:eastAsia="SimHei" w:cs="SimHei"/>
                <w:sz w:val="16"/>
                <w:szCs w:val="16"/>
                <w:spacing w:val="-8"/>
              </w:rPr>
              <w:t xml:space="preserve"> </w:t>
            </w:r>
            <w:r>
              <w:rPr>
                <w:rFonts w:ascii="SimHei" w:hAnsi="SimHei" w:eastAsia="SimHei" w:cs="SimHei"/>
                <w:sz w:val="16"/>
                <w:szCs w:val="16"/>
                <w:spacing w:val="-8"/>
              </w:rPr>
              <w:t>、</w:t>
            </w:r>
            <w:r>
              <w:rPr>
                <w:rFonts w:ascii="SimHei" w:hAnsi="SimHei" w:eastAsia="SimHei" w:cs="SimHei"/>
                <w:sz w:val="16"/>
                <w:szCs w:val="16"/>
                <w:spacing w:val="-8"/>
              </w:rPr>
              <w:t xml:space="preserve"> </w:t>
            </w:r>
            <w:r>
              <w:rPr>
                <w:rFonts w:ascii="SimHei" w:hAnsi="SimHei" w:eastAsia="SimHei" w:cs="SimHei"/>
                <w:sz w:val="16"/>
                <w:szCs w:val="16"/>
                <w:spacing w:val="-8"/>
              </w:rPr>
              <w:t>延</w:t>
            </w:r>
            <w:r>
              <w:rPr>
                <w:rFonts w:ascii="SimHei" w:hAnsi="SimHei" w:eastAsia="SimHei" w:cs="SimHei"/>
                <w:sz w:val="16"/>
                <w:szCs w:val="16"/>
                <w:spacing w:val="-15"/>
              </w:rPr>
              <w:t xml:space="preserve"> </w:t>
            </w:r>
            <w:r>
              <w:rPr>
                <w:rFonts w:ascii="SimHei" w:hAnsi="SimHei" w:eastAsia="SimHei" w:cs="SimHei"/>
                <w:sz w:val="16"/>
                <w:szCs w:val="16"/>
                <w:spacing w:val="-9"/>
              </w:rPr>
              <w:t>续</w:t>
            </w:r>
            <w:r>
              <w:rPr>
                <w:rFonts w:ascii="SimHei" w:hAnsi="SimHei" w:eastAsia="SimHei" w:cs="SimHei"/>
                <w:sz w:val="16"/>
                <w:szCs w:val="16"/>
                <w:spacing w:val="-15"/>
              </w:rPr>
              <w:t xml:space="preserve"> </w:t>
            </w:r>
            <w:r>
              <w:rPr>
                <w:rFonts w:ascii="SimHei" w:hAnsi="SimHei" w:eastAsia="SimHei" w:cs="SimHei"/>
                <w:sz w:val="16"/>
                <w:szCs w:val="16"/>
                <w:spacing w:val="-9"/>
              </w:rPr>
              <w:t>执</w:t>
            </w:r>
            <w:r>
              <w:rPr>
                <w:rFonts w:ascii="SimHei" w:hAnsi="SimHei" w:eastAsia="SimHei" w:cs="SimHei"/>
                <w:sz w:val="16"/>
                <w:szCs w:val="16"/>
                <w:spacing w:val="-12"/>
              </w:rPr>
              <w:t xml:space="preserve"> </w:t>
            </w:r>
            <w:r>
              <w:rPr>
                <w:rFonts w:ascii="SimHei" w:hAnsi="SimHei" w:eastAsia="SimHei" w:cs="SimHei"/>
                <w:sz w:val="16"/>
                <w:szCs w:val="16"/>
                <w:spacing w:val="-9"/>
              </w:rPr>
              <w:t>业</w:t>
            </w:r>
            <w:r>
              <w:rPr>
                <w:rFonts w:ascii="SimHei" w:hAnsi="SimHei" w:eastAsia="SimHei" w:cs="SimHei"/>
                <w:sz w:val="16"/>
                <w:szCs w:val="16"/>
                <w:spacing w:val="-12"/>
              </w:rPr>
              <w:t xml:space="preserve"> </w:t>
            </w:r>
            <w:r>
              <w:rPr>
                <w:rFonts w:ascii="SimHei" w:hAnsi="SimHei" w:eastAsia="SimHei" w:cs="SimHei"/>
                <w:sz w:val="16"/>
                <w:szCs w:val="16"/>
                <w:spacing w:val="-9"/>
              </w:rPr>
              <w:t>注</w:t>
            </w:r>
            <w:r>
              <w:rPr>
                <w:rFonts w:ascii="SimHei" w:hAnsi="SimHei" w:eastAsia="SimHei" w:cs="SimHei"/>
                <w:sz w:val="16"/>
                <w:szCs w:val="16"/>
                <w:spacing w:val="-14"/>
              </w:rPr>
              <w:t xml:space="preserve"> </w:t>
            </w:r>
            <w:r>
              <w:rPr>
                <w:rFonts w:ascii="SimHei" w:hAnsi="SimHei" w:eastAsia="SimHei" w:cs="SimHei"/>
                <w:sz w:val="16"/>
                <w:szCs w:val="16"/>
                <w:spacing w:val="-9"/>
              </w:rPr>
              <w:t>册</w:t>
            </w:r>
            <w:r>
              <w:rPr>
                <w:rFonts w:ascii="SimHei" w:hAnsi="SimHei" w:eastAsia="SimHei" w:cs="SimHei"/>
                <w:sz w:val="16"/>
                <w:szCs w:val="16"/>
                <w:spacing w:val="-13"/>
              </w:rPr>
              <w:t xml:space="preserve"> </w:t>
            </w:r>
            <w:r>
              <w:rPr>
                <w:rFonts w:ascii="SimHei" w:hAnsi="SimHei" w:eastAsia="SimHei" w:cs="SimHei"/>
                <w:sz w:val="16"/>
                <w:szCs w:val="16"/>
                <w:spacing w:val="-9"/>
              </w:rPr>
              <w:t>有</w:t>
            </w:r>
            <w:r>
              <w:rPr>
                <w:rFonts w:ascii="SimHei" w:hAnsi="SimHei" w:eastAsia="SimHei" w:cs="SimHei"/>
                <w:sz w:val="16"/>
                <w:szCs w:val="16"/>
                <w:spacing w:val="-15"/>
              </w:rPr>
              <w:t xml:space="preserve"> </w:t>
            </w:r>
            <w:r>
              <w:rPr>
                <w:rFonts w:ascii="SimHei" w:hAnsi="SimHei" w:eastAsia="SimHei" w:cs="SimHei"/>
                <w:sz w:val="16"/>
                <w:szCs w:val="16"/>
                <w:spacing w:val="-9"/>
              </w:rPr>
              <w:t>效</w:t>
            </w:r>
            <w:r>
              <w:rPr>
                <w:rFonts w:ascii="SimHei" w:hAnsi="SimHei" w:eastAsia="SimHei" w:cs="SimHei"/>
                <w:sz w:val="16"/>
                <w:szCs w:val="16"/>
                <w:spacing w:val="-14"/>
              </w:rPr>
              <w:t xml:space="preserve"> </w:t>
            </w:r>
            <w:r>
              <w:rPr>
                <w:rFonts w:ascii="SimHei" w:hAnsi="SimHei" w:eastAsia="SimHei" w:cs="SimHei"/>
                <w:sz w:val="16"/>
                <w:szCs w:val="16"/>
                <w:spacing w:val="-9"/>
              </w:rPr>
              <w:t>期</w:t>
            </w:r>
            <w:r>
              <w:rPr>
                <w:rFonts w:ascii="SimHei" w:hAnsi="SimHei" w:eastAsia="SimHei" w:cs="SimHei"/>
                <w:sz w:val="16"/>
                <w:szCs w:val="16"/>
                <w:spacing w:val="-9"/>
              </w:rPr>
              <w:t xml:space="preserve"> </w:t>
            </w:r>
            <w:r>
              <w:rPr>
                <w:rFonts w:ascii="SimHei" w:hAnsi="SimHei" w:eastAsia="SimHei" w:cs="SimHei"/>
                <w:sz w:val="16"/>
                <w:szCs w:val="16"/>
                <w:spacing w:val="-9"/>
              </w:rPr>
              <w:t>的</w:t>
            </w:r>
            <w:r>
              <w:rPr>
                <w:rFonts w:ascii="SimHei" w:hAnsi="SimHei" w:eastAsia="SimHei" w:cs="SimHei"/>
                <w:sz w:val="16"/>
                <w:szCs w:val="16"/>
                <w:spacing w:val="-14"/>
              </w:rPr>
              <w:t xml:space="preserve"> </w:t>
            </w:r>
            <w:r>
              <w:rPr>
                <w:rFonts w:ascii="SimHei" w:hAnsi="SimHei" w:eastAsia="SimHei" w:cs="SimHei"/>
                <w:sz w:val="16"/>
                <w:szCs w:val="16"/>
                <w:spacing w:val="-9"/>
              </w:rPr>
              <w:t>护</w:t>
            </w:r>
            <w:r>
              <w:rPr>
                <w:rFonts w:ascii="SimHei" w:hAnsi="SimHei" w:eastAsia="SimHei" w:cs="SimHei"/>
                <w:sz w:val="16"/>
                <w:szCs w:val="16"/>
                <w:spacing w:val="-10"/>
              </w:rPr>
              <w:t xml:space="preserve"> </w:t>
            </w:r>
            <w:r>
              <w:rPr>
                <w:rFonts w:ascii="SimHei" w:hAnsi="SimHei" w:eastAsia="SimHei" w:cs="SimHei"/>
                <w:sz w:val="16"/>
                <w:szCs w:val="16"/>
                <w:spacing w:val="-9"/>
              </w:rPr>
              <w:t>士</w:t>
            </w:r>
          </w:hyperlink>
        </w:p>
        <w:p>
          <w:pPr>
            <w:pStyle w:val="BodyText"/>
            <w:spacing w:line="312" w:lineRule="auto"/>
            <w:rPr/>
          </w:pPr>
          <w:r/>
        </w:p>
        <w:p>
          <w:pPr>
            <w:ind w:left="340"/>
            <w:spacing w:before="69" w:line="221" w:lineRule="auto"/>
            <w:tabs>
              <w:tab w:val="right" w:leader="dot" w:pos="13440"/>
            </w:tabs>
            <w:rPr>
              <w:rFonts w:ascii="Times New Roman" w:hAnsi="Times New Roman" w:eastAsia="Times New Roman" w:cs="Times New Roman"/>
              <w:sz w:val="21"/>
              <w:szCs w:val="21"/>
            </w:rPr>
          </w:pPr>
          <w:hyperlink w:history="true" w:anchor="bookmark250">
            <w:r>
              <w:rPr>
                <w:rFonts w:ascii="SimHei" w:hAnsi="SimHei" w:eastAsia="SimHei" w:cs="SimHei"/>
                <w:sz w:val="21"/>
                <w:szCs w:val="21"/>
                <w:spacing w:val="10"/>
              </w:rPr>
              <w:t>在本机构从事诊疗技术规范规定的护理活动的</w:t>
            </w:r>
            <w:r>
              <w:rPr>
                <w:rFonts w:ascii="SimHei" w:hAnsi="SimHei" w:eastAsia="SimHei" w:cs="SimHei"/>
                <w:sz w:val="21"/>
                <w:szCs w:val="21"/>
                <w:spacing w:val="-87"/>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281</w:t>
            </w:r>
          </w:hyperlink>
        </w:p>
        <w:p>
          <w:pPr>
            <w:pStyle w:val="BodyText"/>
            <w:spacing w:line="253" w:lineRule="auto"/>
            <w:rPr/>
          </w:pPr>
          <w:r/>
        </w:p>
        <w:p>
          <w:pPr>
            <w:pStyle w:val="BodyText"/>
            <w:spacing w:line="254" w:lineRule="auto"/>
            <w:rPr/>
          </w:pPr>
          <w:r/>
        </w:p>
        <w:p>
          <w:pPr>
            <w:ind w:left="340"/>
            <w:spacing w:before="69" w:line="222" w:lineRule="auto"/>
            <w:tabs>
              <w:tab w:val="right" w:leader="dot" w:pos="13440"/>
            </w:tabs>
            <w:rPr>
              <w:rFonts w:ascii="Times New Roman" w:hAnsi="Times New Roman" w:eastAsia="Times New Roman" w:cs="Times New Roman"/>
              <w:sz w:val="21"/>
              <w:szCs w:val="21"/>
            </w:rPr>
          </w:pPr>
          <w:hyperlink w:history="true" w:anchor="bookmark251">
            <w:r>
              <w:rPr>
                <w:rFonts w:ascii="SimHei" w:hAnsi="SimHei" w:eastAsia="SimHei" w:cs="SimHei"/>
                <w:sz w:val="21"/>
                <w:szCs w:val="21"/>
                <w:spacing w:val="7"/>
              </w:rPr>
              <w:t>第一百九十六条</w:t>
            </w:r>
            <w:r>
              <w:rPr>
                <w:rFonts w:ascii="SimHei" w:hAnsi="SimHei" w:eastAsia="SimHei" w:cs="SimHei"/>
                <w:sz w:val="21"/>
                <w:szCs w:val="21"/>
                <w:spacing w:val="37"/>
              </w:rPr>
              <w:t xml:space="preserve"> </w:t>
            </w:r>
            <w:r>
              <w:rPr>
                <w:rFonts w:ascii="SimHei" w:hAnsi="SimHei" w:eastAsia="SimHei" w:cs="SimHei"/>
                <w:sz w:val="21"/>
                <w:szCs w:val="21"/>
                <w:spacing w:val="7"/>
              </w:rPr>
              <w:t>医疗卫生机构未制定、实施本机构护士在职培训计划或者未保证护士接受培训的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rPr>
              <w:t>282</w:t>
            </w:r>
          </w:hyperlink>
        </w:p>
        <w:p>
          <w:pPr>
            <w:pStyle w:val="BodyText"/>
            <w:spacing w:line="247" w:lineRule="auto"/>
            <w:rPr/>
          </w:pPr>
          <w:r/>
        </w:p>
        <w:p>
          <w:pPr>
            <w:pStyle w:val="BodyText"/>
            <w:spacing w:line="248" w:lineRule="auto"/>
            <w:rPr/>
          </w:pPr>
          <w:r/>
        </w:p>
        <w:p>
          <w:pPr>
            <w:ind w:left="340"/>
            <w:spacing w:before="69" w:line="221" w:lineRule="auto"/>
            <w:tabs>
              <w:tab w:val="right" w:leader="dot" w:pos="13440"/>
            </w:tabs>
            <w:rPr>
              <w:rFonts w:ascii="Times New Roman" w:hAnsi="Times New Roman" w:eastAsia="Times New Roman" w:cs="Times New Roman"/>
              <w:sz w:val="21"/>
              <w:szCs w:val="21"/>
            </w:rPr>
          </w:pPr>
          <w:hyperlink w:history="true" w:anchor="bookmark252">
            <w:r>
              <w:rPr>
                <w:rFonts w:ascii="SimHei" w:hAnsi="SimHei" w:eastAsia="SimHei" w:cs="SimHei"/>
                <w:sz w:val="21"/>
                <w:szCs w:val="21"/>
                <w:spacing w:val="10"/>
              </w:rPr>
              <w:t>第一百九十七条</w:t>
            </w:r>
            <w:r>
              <w:rPr>
                <w:rFonts w:ascii="SimHei" w:hAnsi="SimHei" w:eastAsia="SimHei" w:cs="SimHei"/>
                <w:sz w:val="21"/>
                <w:szCs w:val="21"/>
                <w:spacing w:val="40"/>
              </w:rPr>
              <w:t xml:space="preserve"> </w:t>
            </w:r>
            <w:r>
              <w:rPr>
                <w:rFonts w:ascii="SimHei" w:hAnsi="SimHei" w:eastAsia="SimHei" w:cs="SimHei"/>
                <w:sz w:val="21"/>
                <w:szCs w:val="21"/>
                <w:spacing w:val="10"/>
              </w:rPr>
              <w:t>医疗卫生机构未依照本条例规定履</w:t>
            </w:r>
            <w:r>
              <w:rPr>
                <w:rFonts w:ascii="SimHei" w:hAnsi="SimHei" w:eastAsia="SimHei" w:cs="SimHei"/>
                <w:sz w:val="21"/>
                <w:szCs w:val="21"/>
                <w:spacing w:val="9"/>
              </w:rPr>
              <w:t>行护士管理职责的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rPr>
              <w:t>283</w:t>
            </w:r>
          </w:hyperlink>
        </w:p>
      </w:sdtContent>
    </w:sdt>
    <w:p>
      <w:pPr>
        <w:spacing w:line="221" w:lineRule="auto"/>
        <w:sectPr>
          <w:footerReference w:type="default" r:id="rId25"/>
          <w:pgSz w:w="16830" w:h="11900"/>
          <w:pgMar w:top="1011" w:right="1439" w:bottom="1134" w:left="1949" w:header="0" w:footer="792" w:gutter="0"/>
        </w:sectPr>
        <w:rPr>
          <w:rFonts w:ascii="Times New Roman" w:hAnsi="Times New Roman" w:eastAsia="Times New Roman" w:cs="Times New Roman"/>
          <w:sz w:val="21"/>
          <w:szCs w:val="21"/>
        </w:rPr>
      </w:pPr>
    </w:p>
    <w:p>
      <w:pPr>
        <w:pStyle w:val="BodyText"/>
        <w:spacing w:line="314" w:lineRule="auto"/>
        <w:rPr/>
      </w:pPr>
      <w:r/>
    </w:p>
    <w:p>
      <w:pPr>
        <w:pStyle w:val="BodyText"/>
        <w:spacing w:line="315" w:lineRule="auto"/>
        <w:rPr/>
      </w:pPr>
      <w:r/>
    </w:p>
    <w:p>
      <w:pPr>
        <w:pStyle w:val="BodyText"/>
        <w:spacing w:line="315" w:lineRule="auto"/>
        <w:rPr/>
      </w:pPr>
      <w:r/>
    </w:p>
    <w:sdt>
      <w:sdtPr>
        <w:rPr>
          <w:rFonts w:ascii="SimHei" w:hAnsi="SimHei" w:eastAsia="SimHei" w:cs="SimHei"/>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ind w:left="359"/>
            <w:spacing w:before="65" w:line="221" w:lineRule="auto"/>
            <w:tabs>
              <w:tab w:val="right" w:leader="dot" w:pos="13345"/>
            </w:tabs>
            <w:rPr>
              <w:rFonts w:ascii="Times New Roman" w:hAnsi="Times New Roman" w:eastAsia="Times New Roman" w:cs="Times New Roman"/>
              <w:sz w:val="20"/>
              <w:szCs w:val="20"/>
            </w:rPr>
          </w:pPr>
          <w:bookmarkStart w:name="bookmark253" w:id="6"/>
          <w:bookmarkEnd w:id="6"/>
          <w:hyperlink w:history="true" w:anchor="bookmark254">
            <w:r>
              <w:rPr>
                <w:rFonts w:ascii="SimHei" w:hAnsi="SimHei" w:eastAsia="SimHei" w:cs="SimHei"/>
                <w:sz w:val="20"/>
                <w:szCs w:val="20"/>
                <w:spacing w:val="15"/>
              </w:rPr>
              <w:t>第一百九十八条</w:t>
            </w:r>
            <w:r>
              <w:rPr>
                <w:rFonts w:ascii="SimHei" w:hAnsi="SimHei" w:eastAsia="SimHei" w:cs="SimHei"/>
                <w:sz w:val="20"/>
                <w:szCs w:val="20"/>
                <w:spacing w:val="43"/>
              </w:rPr>
              <w:t xml:space="preserve"> </w:t>
            </w:r>
            <w:r>
              <w:rPr>
                <w:rFonts w:ascii="SimHei" w:hAnsi="SimHei" w:eastAsia="SimHei" w:cs="SimHei"/>
                <w:sz w:val="20"/>
                <w:szCs w:val="20"/>
                <w:spacing w:val="15"/>
              </w:rPr>
              <w:t>护士发现患者病情危急未立即通知医</w:t>
            </w:r>
            <w:r>
              <w:rPr>
                <w:rFonts w:ascii="SimHei" w:hAnsi="SimHei" w:eastAsia="SimHei" w:cs="SimHei"/>
                <w:sz w:val="20"/>
                <w:szCs w:val="20"/>
                <w:spacing w:val="14"/>
              </w:rPr>
              <w:t>师的</w:t>
            </w:r>
            <w:r>
              <w:rPr>
                <w:rFonts w:ascii="SimHei" w:hAnsi="SimHei" w:eastAsia="SimHei" w:cs="SimHei"/>
                <w:sz w:val="20"/>
                <w:szCs w:val="20"/>
                <w:spacing w:val="-88"/>
              </w:rPr>
              <w:t xml:space="preserve"> </w:t>
            </w:r>
            <w:r>
              <w:rPr>
                <w:rFonts w:ascii="SimHei" w:hAnsi="SimHei" w:eastAsia="SimHei" w:cs="SimHei"/>
                <w:sz w:val="20"/>
                <w:szCs w:val="20"/>
              </w:rPr>
              <w:tab/>
            </w:r>
            <w:r>
              <w:rPr>
                <w:rFonts w:ascii="Times New Roman" w:hAnsi="Times New Roman" w:eastAsia="Times New Roman" w:cs="Times New Roman"/>
                <w:sz w:val="20"/>
                <w:szCs w:val="20"/>
                <w:spacing w:val="1"/>
              </w:rPr>
              <w:t>283</w:t>
            </w:r>
          </w:hyperlink>
        </w:p>
        <w:p>
          <w:pPr>
            <w:pStyle w:val="BodyText"/>
            <w:spacing w:line="251" w:lineRule="auto"/>
            <w:rPr/>
          </w:pPr>
          <w:r/>
        </w:p>
        <w:p>
          <w:pPr>
            <w:pStyle w:val="BodyText"/>
            <w:spacing w:line="252" w:lineRule="auto"/>
            <w:rPr/>
          </w:pPr>
          <w:r/>
        </w:p>
        <w:p>
          <w:pPr>
            <w:ind w:left="359"/>
            <w:spacing w:before="65" w:line="213" w:lineRule="auto"/>
            <w:tabs>
              <w:tab w:val="right" w:leader="dot" w:pos="13335"/>
            </w:tabs>
            <w:rPr>
              <w:rFonts w:ascii="Times New Roman" w:hAnsi="Times New Roman" w:eastAsia="Times New Roman" w:cs="Times New Roman"/>
              <w:sz w:val="20"/>
              <w:szCs w:val="20"/>
            </w:rPr>
          </w:pPr>
          <w:hyperlink w:history="true" w:anchor="bookmark255">
            <w:r>
              <w:rPr>
                <w:rFonts w:ascii="SimHei" w:hAnsi="SimHei" w:eastAsia="SimHei" w:cs="SimHei"/>
                <w:sz w:val="20"/>
                <w:szCs w:val="20"/>
                <w:spacing w:val="19"/>
              </w:rPr>
              <w:t>第一百九十九条</w:t>
            </w:r>
            <w:r>
              <w:rPr>
                <w:rFonts w:ascii="SimHei" w:hAnsi="SimHei" w:eastAsia="SimHei" w:cs="SimHei"/>
                <w:sz w:val="20"/>
                <w:szCs w:val="20"/>
                <w:spacing w:val="51"/>
              </w:rPr>
              <w:t xml:space="preserve"> </w:t>
            </w:r>
            <w:r>
              <w:rPr>
                <w:rFonts w:ascii="SimHei" w:hAnsi="SimHei" w:eastAsia="SimHei" w:cs="SimHei"/>
                <w:sz w:val="20"/>
                <w:szCs w:val="20"/>
                <w:spacing w:val="19"/>
              </w:rPr>
              <w:t>护士发现医嘱违反法律、法规、规章或者诊疗技术规范的规定，未依照本条例第十七条的规定提出或者报告的</w:t>
            </w:r>
            <w:r>
              <w:rPr>
                <w:rFonts w:ascii="SimHei" w:hAnsi="SimHei" w:eastAsia="SimHei" w:cs="SimHei"/>
                <w:sz w:val="20"/>
                <w:szCs w:val="20"/>
                <w:spacing w:val="-88"/>
              </w:rPr>
              <w:t xml:space="preserve"> </w:t>
            </w:r>
            <w:r>
              <w:rPr>
                <w:rFonts w:ascii="SimHei" w:hAnsi="SimHei" w:eastAsia="SimHei" w:cs="SimHei"/>
                <w:sz w:val="20"/>
                <w:szCs w:val="20"/>
              </w:rPr>
              <w:tab/>
            </w:r>
            <w:r>
              <w:rPr>
                <w:rFonts w:ascii="SimHei" w:hAnsi="SimHei" w:eastAsia="SimHei" w:cs="SimHei"/>
                <w:sz w:val="20"/>
                <w:szCs w:val="20"/>
                <w:spacing w:val="-7"/>
              </w:rPr>
              <w:t xml:space="preserve"> </w:t>
            </w:r>
            <w:r>
              <w:rPr>
                <w:rFonts w:ascii="Times New Roman" w:hAnsi="Times New Roman" w:eastAsia="Times New Roman" w:cs="Times New Roman"/>
                <w:sz w:val="20"/>
                <w:szCs w:val="20"/>
                <w:spacing w:val="-1"/>
              </w:rPr>
              <w:t>284</w:t>
            </w:r>
          </w:hyperlink>
        </w:p>
        <w:p>
          <w:pPr>
            <w:pStyle w:val="BodyText"/>
            <w:spacing w:line="269" w:lineRule="auto"/>
            <w:rPr/>
          </w:pPr>
          <w:r/>
        </w:p>
        <w:p>
          <w:pPr>
            <w:pStyle w:val="BodyText"/>
            <w:spacing w:line="270" w:lineRule="auto"/>
            <w:rPr/>
          </w:pPr>
          <w:r/>
        </w:p>
        <w:p>
          <w:pPr>
            <w:ind w:left="359"/>
            <w:spacing w:before="65" w:line="222" w:lineRule="auto"/>
            <w:tabs>
              <w:tab w:val="right" w:leader="dot" w:pos="13455"/>
            </w:tabs>
            <w:rPr>
              <w:rFonts w:ascii="Times New Roman" w:hAnsi="Times New Roman" w:eastAsia="Times New Roman" w:cs="Times New Roman"/>
              <w:sz w:val="20"/>
              <w:szCs w:val="20"/>
            </w:rPr>
          </w:pPr>
          <w:hyperlink w:history="true" w:anchor="bookmark256">
            <w:r>
              <w:rPr>
                <w:rFonts w:ascii="SimHei" w:hAnsi="SimHei" w:eastAsia="SimHei" w:cs="SimHei"/>
                <w:sz w:val="20"/>
                <w:szCs w:val="20"/>
                <w:spacing w:val="21"/>
              </w:rPr>
              <w:t>第二百条</w:t>
            </w:r>
            <w:r>
              <w:rPr>
                <w:rFonts w:ascii="SimHei" w:hAnsi="SimHei" w:eastAsia="SimHei" w:cs="SimHei"/>
                <w:sz w:val="20"/>
                <w:szCs w:val="20"/>
                <w:spacing w:val="21"/>
              </w:rPr>
              <w:t xml:space="preserve"> </w:t>
            </w:r>
            <w:r>
              <w:rPr>
                <w:rFonts w:ascii="SimHei" w:hAnsi="SimHei" w:eastAsia="SimHei" w:cs="SimHei"/>
                <w:sz w:val="20"/>
                <w:szCs w:val="20"/>
                <w:spacing w:val="21"/>
              </w:rPr>
              <w:t>护士泄露患者隐私的</w:t>
            </w:r>
            <w:r>
              <w:rPr>
                <w:rFonts w:ascii="SimHei" w:hAnsi="SimHei" w:eastAsia="SimHei" w:cs="SimHei"/>
                <w:sz w:val="20"/>
                <w:szCs w:val="20"/>
                <w:spacing w:val="-76"/>
              </w:rPr>
              <w:t xml:space="preserve"> </w:t>
            </w:r>
            <w:r>
              <w:rPr>
                <w:rFonts w:ascii="SimHei" w:hAnsi="SimHei" w:eastAsia="SimHei" w:cs="SimHei"/>
                <w:sz w:val="20"/>
                <w:szCs w:val="20"/>
              </w:rPr>
              <w:tab/>
            </w:r>
            <w:r>
              <w:rPr>
                <w:rFonts w:ascii="Times New Roman" w:hAnsi="Times New Roman" w:eastAsia="Times New Roman" w:cs="Times New Roman"/>
                <w:sz w:val="20"/>
                <w:szCs w:val="20"/>
                <w:spacing w:val="-1"/>
              </w:rPr>
              <w:t>285</w:t>
            </w:r>
          </w:hyperlink>
        </w:p>
        <w:p>
          <w:pPr>
            <w:pStyle w:val="BodyText"/>
            <w:spacing w:line="251" w:lineRule="auto"/>
            <w:rPr/>
          </w:pPr>
          <w:r/>
        </w:p>
        <w:p>
          <w:pPr>
            <w:pStyle w:val="BodyText"/>
            <w:spacing w:line="251" w:lineRule="auto"/>
            <w:rPr/>
          </w:pPr>
          <w:r/>
        </w:p>
        <w:p>
          <w:pPr>
            <w:ind w:left="359"/>
            <w:spacing w:before="65" w:line="213" w:lineRule="auto"/>
            <w:tabs>
              <w:tab w:val="right" w:leader="dot" w:pos="13335"/>
            </w:tabs>
            <w:rPr>
              <w:rFonts w:ascii="Times New Roman" w:hAnsi="Times New Roman" w:eastAsia="Times New Roman" w:cs="Times New Roman"/>
              <w:sz w:val="20"/>
              <w:szCs w:val="20"/>
            </w:rPr>
          </w:pPr>
          <w:hyperlink w:history="true" w:anchor="bookmark257">
            <w:r>
              <w:rPr>
                <w:rFonts w:ascii="SimHei" w:hAnsi="SimHei" w:eastAsia="SimHei" w:cs="SimHei"/>
                <w:sz w:val="20"/>
                <w:szCs w:val="20"/>
                <w:spacing w:val="18"/>
              </w:rPr>
              <w:t>第二百零一条</w:t>
            </w:r>
            <w:r>
              <w:rPr>
                <w:rFonts w:ascii="SimHei" w:hAnsi="SimHei" w:eastAsia="SimHei" w:cs="SimHei"/>
                <w:sz w:val="20"/>
                <w:szCs w:val="20"/>
                <w:spacing w:val="66"/>
              </w:rPr>
              <w:t xml:space="preserve"> </w:t>
            </w:r>
            <w:r>
              <w:rPr>
                <w:rFonts w:ascii="SimHei" w:hAnsi="SimHei" w:eastAsia="SimHei" w:cs="SimHei"/>
                <w:sz w:val="20"/>
                <w:szCs w:val="20"/>
                <w:spacing w:val="18"/>
              </w:rPr>
              <w:t>发生自然灾害、公共卫生事件等严重威胁公众生命健康的突发事件，护士不服从安排参加医疗救护的</w:t>
            </w:r>
            <w:r>
              <w:rPr>
                <w:rFonts w:ascii="SimHei" w:hAnsi="SimHei" w:eastAsia="SimHei" w:cs="SimHei"/>
                <w:sz w:val="20"/>
                <w:szCs w:val="20"/>
                <w:spacing w:val="-87"/>
              </w:rPr>
              <w:t xml:space="preserve"> </w:t>
            </w:r>
            <w:r>
              <w:rPr>
                <w:rFonts w:ascii="SimHei" w:hAnsi="SimHei" w:eastAsia="SimHei" w:cs="SimHei"/>
                <w:sz w:val="20"/>
                <w:szCs w:val="20"/>
              </w:rPr>
              <w:tab/>
            </w:r>
            <w:r>
              <w:rPr>
                <w:rFonts w:ascii="Times New Roman" w:hAnsi="Times New Roman" w:eastAsia="Times New Roman" w:cs="Times New Roman"/>
                <w:sz w:val="20"/>
                <w:szCs w:val="20"/>
                <w:spacing w:val="6"/>
              </w:rPr>
              <w:t>286</w:t>
            </w:r>
          </w:hyperlink>
        </w:p>
        <w:p>
          <w:pPr>
            <w:pStyle w:val="BodyText"/>
            <w:spacing w:line="436" w:lineRule="auto"/>
            <w:rPr/>
          </w:pPr>
          <w:r/>
        </w:p>
        <w:p>
          <w:pPr>
            <w:spacing w:before="66" w:line="223" w:lineRule="auto"/>
            <w:tabs>
              <w:tab w:val="right" w:leader="dot" w:pos="13250"/>
            </w:tabs>
            <w:rPr>
              <w:rFonts w:ascii="SimHei" w:hAnsi="SimHei" w:eastAsia="SimHei" w:cs="SimHei"/>
              <w:sz w:val="11"/>
              <w:szCs w:val="11"/>
            </w:rPr>
          </w:pPr>
          <w:hyperlink w:history="true" w:anchor="bookmark258">
            <w:r>
              <w:rPr>
                <w:rFonts w:ascii="KaiTi" w:hAnsi="KaiTi" w:eastAsia="KaiTi" w:cs="KaiTi"/>
                <w:sz w:val="20"/>
                <w:szCs w:val="20"/>
                <w:spacing w:val="2"/>
                <w:position w:val="-2"/>
              </w:rPr>
              <w:t>(</w:t>
            </w:r>
            <w:r>
              <w:rPr>
                <w:rFonts w:ascii="KaiTi" w:hAnsi="KaiTi" w:eastAsia="KaiTi" w:cs="KaiTi"/>
                <w:sz w:val="20"/>
                <w:szCs w:val="20"/>
                <w:spacing w:val="2"/>
                <w:position w:val="-2"/>
              </w:rPr>
              <w:t xml:space="preserve"> </w:t>
            </w:r>
            <w:r>
              <w:rPr>
                <w:rFonts w:ascii="KaiTi" w:hAnsi="KaiTi" w:eastAsia="KaiTi" w:cs="KaiTi"/>
                <w:sz w:val="20"/>
                <w:szCs w:val="20"/>
                <w:spacing w:val="2"/>
                <w:position w:val="-2"/>
              </w:rPr>
              <w:t>五</w:t>
            </w:r>
            <w:r>
              <w:rPr>
                <w:rFonts w:ascii="KaiTi" w:hAnsi="KaiTi" w:eastAsia="KaiTi" w:cs="KaiTi"/>
                <w:sz w:val="20"/>
                <w:szCs w:val="20"/>
                <w:spacing w:val="2"/>
                <w:position w:val="-2"/>
              </w:rPr>
              <w:t xml:space="preserve"> </w:t>
            </w:r>
            <w:r>
              <w:rPr>
                <w:rFonts w:ascii="KaiTi" w:hAnsi="KaiTi" w:eastAsia="KaiTi" w:cs="KaiTi"/>
                <w:sz w:val="20"/>
                <w:szCs w:val="20"/>
                <w:spacing w:val="2"/>
                <w:position w:val="-2"/>
              </w:rPr>
              <w:t>)</w:t>
            </w:r>
            <w:r>
              <w:rPr>
                <w:rFonts w:ascii="KaiTi" w:hAnsi="KaiTi" w:eastAsia="KaiTi" w:cs="KaiTi"/>
                <w:sz w:val="20"/>
                <w:szCs w:val="20"/>
                <w:spacing w:val="2"/>
                <w:position w:val="-2"/>
              </w:rPr>
              <w:t xml:space="preserve"> </w:t>
            </w:r>
            <w:r>
              <w:rPr>
                <w:rFonts w:ascii="KaiTi" w:hAnsi="KaiTi" w:eastAsia="KaiTi" w:cs="KaiTi"/>
                <w:sz w:val="20"/>
                <w:szCs w:val="20"/>
                <w:spacing w:val="2"/>
                <w:position w:val="-2"/>
              </w:rPr>
              <w:t>《乡村医生从业管理条例》</w:t>
            </w:r>
            <w:r>
              <w:rPr>
                <w:rFonts w:ascii="KaiTi" w:hAnsi="KaiTi" w:eastAsia="KaiTi" w:cs="KaiTi"/>
                <w:sz w:val="20"/>
                <w:szCs w:val="20"/>
                <w:spacing w:val="26"/>
                <w:position w:val="-2"/>
              </w:rPr>
              <w:t xml:space="preserve">  </w:t>
            </w:r>
            <w:r>
              <w:rPr>
                <w:rFonts w:ascii="KaiTi" w:hAnsi="KaiTi" w:eastAsia="KaiTi" w:cs="KaiTi"/>
                <w:sz w:val="20"/>
                <w:szCs w:val="20"/>
              </w:rPr>
              <w:tab/>
            </w:r>
            <w:r>
              <w:rPr>
                <w:rFonts w:ascii="KaiTi" w:hAnsi="KaiTi" w:eastAsia="KaiTi" w:cs="KaiTi"/>
                <w:sz w:val="20"/>
                <w:szCs w:val="20"/>
                <w:spacing w:val="-19"/>
                <w:position w:val="-2"/>
              </w:rPr>
              <w:t xml:space="preserve"> </w:t>
            </w:r>
            <w:r>
              <w:rPr>
                <w:rFonts w:ascii="SimHei" w:hAnsi="SimHei" w:eastAsia="SimHei" w:cs="SimHei"/>
                <w:sz w:val="11"/>
                <w:szCs w:val="11"/>
                <w:spacing w:val="-1"/>
                <w:position w:val="4"/>
              </w:rPr>
              <w:t>287</w:t>
            </w:r>
          </w:hyperlink>
        </w:p>
        <w:p>
          <w:pPr>
            <w:pStyle w:val="BodyText"/>
            <w:spacing w:line="266" w:lineRule="auto"/>
            <w:rPr/>
          </w:pPr>
          <w:r/>
        </w:p>
        <w:p>
          <w:pPr>
            <w:ind w:left="359"/>
            <w:spacing w:before="65" w:line="213" w:lineRule="auto"/>
            <w:tabs>
              <w:tab w:val="right" w:leader="dot" w:pos="13335"/>
            </w:tabs>
            <w:rPr>
              <w:rFonts w:ascii="Times New Roman" w:hAnsi="Times New Roman" w:eastAsia="Times New Roman" w:cs="Times New Roman"/>
              <w:sz w:val="20"/>
              <w:szCs w:val="20"/>
            </w:rPr>
          </w:pPr>
          <w:hyperlink w:history="true" w:anchor="bookmark259">
            <w:r>
              <w:rPr>
                <w:rFonts w:ascii="SimHei" w:hAnsi="SimHei" w:eastAsia="SimHei" w:cs="SimHei"/>
                <w:sz w:val="20"/>
                <w:szCs w:val="20"/>
                <w:spacing w:val="17"/>
              </w:rPr>
              <w:t>第二百零二条</w:t>
            </w:r>
            <w:r>
              <w:rPr>
                <w:rFonts w:ascii="SimHei" w:hAnsi="SimHei" w:eastAsia="SimHei" w:cs="SimHei"/>
                <w:sz w:val="20"/>
                <w:szCs w:val="20"/>
                <w:spacing w:val="64"/>
              </w:rPr>
              <w:t xml:space="preserve"> </w:t>
            </w:r>
            <w:r>
              <w:rPr>
                <w:rFonts w:ascii="SimHei" w:hAnsi="SimHei" w:eastAsia="SimHei" w:cs="SimHei"/>
                <w:sz w:val="20"/>
                <w:szCs w:val="20"/>
                <w:spacing w:val="17"/>
              </w:rPr>
              <w:t>乡村医生执业活动超出规定的执业范围，或者未按照规定进行转诊的</w:t>
            </w:r>
            <w:r>
              <w:rPr>
                <w:rFonts w:ascii="SimHei" w:hAnsi="SimHei" w:eastAsia="SimHei" w:cs="SimHei"/>
                <w:sz w:val="20"/>
                <w:szCs w:val="20"/>
                <w:spacing w:val="-87"/>
              </w:rPr>
              <w:t xml:space="preserve"> </w:t>
            </w:r>
            <w:r>
              <w:rPr>
                <w:rFonts w:ascii="SimHei" w:hAnsi="SimHei" w:eastAsia="SimHei" w:cs="SimHei"/>
                <w:sz w:val="20"/>
                <w:szCs w:val="20"/>
              </w:rPr>
              <w:tab/>
            </w:r>
            <w:r>
              <w:rPr>
                <w:rFonts w:ascii="Times New Roman" w:hAnsi="Times New Roman" w:eastAsia="Times New Roman" w:cs="Times New Roman"/>
                <w:sz w:val="20"/>
                <w:szCs w:val="20"/>
                <w:spacing w:val="1"/>
              </w:rPr>
              <w:t>287</w:t>
            </w:r>
          </w:hyperlink>
        </w:p>
        <w:p>
          <w:pPr>
            <w:pStyle w:val="BodyText"/>
            <w:spacing w:line="264" w:lineRule="auto"/>
            <w:rPr/>
          </w:pPr>
          <w:r/>
        </w:p>
        <w:p>
          <w:pPr>
            <w:pStyle w:val="BodyText"/>
            <w:spacing w:line="265" w:lineRule="auto"/>
            <w:rPr/>
          </w:pPr>
          <w:r/>
        </w:p>
        <w:p>
          <w:pPr>
            <w:ind w:left="359"/>
            <w:spacing w:before="66" w:line="221" w:lineRule="auto"/>
            <w:tabs>
              <w:tab w:val="right" w:leader="dot" w:pos="13335"/>
            </w:tabs>
            <w:rPr>
              <w:rFonts w:ascii="Times New Roman" w:hAnsi="Times New Roman" w:eastAsia="Times New Roman" w:cs="Times New Roman"/>
              <w:sz w:val="20"/>
              <w:szCs w:val="20"/>
            </w:rPr>
          </w:pPr>
          <w:hyperlink w:history="true" w:anchor="bookmark260">
            <w:r>
              <w:rPr>
                <w:rFonts w:ascii="SimHei" w:hAnsi="SimHei" w:eastAsia="SimHei" w:cs="SimHei"/>
                <w:sz w:val="20"/>
                <w:szCs w:val="20"/>
                <w:spacing w:val="18"/>
              </w:rPr>
              <w:t>第二百零三条</w:t>
            </w:r>
            <w:r>
              <w:rPr>
                <w:rFonts w:ascii="SimHei" w:hAnsi="SimHei" w:eastAsia="SimHei" w:cs="SimHei"/>
                <w:sz w:val="20"/>
                <w:szCs w:val="20"/>
                <w:spacing w:val="66"/>
              </w:rPr>
              <w:t xml:space="preserve"> </w:t>
            </w:r>
            <w:r>
              <w:rPr>
                <w:rFonts w:ascii="SimHei" w:hAnsi="SimHei" w:eastAsia="SimHei" w:cs="SimHei"/>
                <w:sz w:val="20"/>
                <w:szCs w:val="20"/>
                <w:spacing w:val="18"/>
              </w:rPr>
              <w:t>违反规定使用乡村医生基本用药目录以外的处方药品的</w:t>
            </w:r>
            <w:r>
              <w:rPr>
                <w:rFonts w:ascii="SimHei" w:hAnsi="SimHei" w:eastAsia="SimHei" w:cs="SimHei"/>
                <w:sz w:val="20"/>
                <w:szCs w:val="20"/>
                <w:spacing w:val="-87"/>
              </w:rPr>
              <w:t xml:space="preserve"> </w:t>
            </w:r>
            <w:r>
              <w:rPr>
                <w:rFonts w:ascii="SimHei" w:hAnsi="SimHei" w:eastAsia="SimHei" w:cs="SimHei"/>
                <w:sz w:val="20"/>
                <w:szCs w:val="20"/>
              </w:rPr>
              <w:tab/>
            </w:r>
            <w:r>
              <w:rPr>
                <w:rFonts w:ascii="Times New Roman" w:hAnsi="Times New Roman" w:eastAsia="Times New Roman" w:cs="Times New Roman"/>
                <w:sz w:val="20"/>
                <w:szCs w:val="20"/>
                <w:spacing w:val="1"/>
              </w:rPr>
              <w:t>288</w:t>
            </w:r>
          </w:hyperlink>
        </w:p>
        <w:p>
          <w:pPr>
            <w:pStyle w:val="BodyText"/>
            <w:spacing w:line="256" w:lineRule="auto"/>
            <w:rPr/>
          </w:pPr>
          <w:r/>
        </w:p>
        <w:p>
          <w:pPr>
            <w:pStyle w:val="BodyText"/>
            <w:spacing w:line="257" w:lineRule="auto"/>
            <w:rPr/>
          </w:pPr>
          <w:r/>
        </w:p>
        <w:p>
          <w:pPr>
            <w:ind w:left="359"/>
            <w:spacing w:before="66" w:line="213" w:lineRule="auto"/>
            <w:tabs>
              <w:tab w:val="right" w:leader="dot" w:pos="13345"/>
            </w:tabs>
            <w:rPr>
              <w:rFonts w:ascii="Times New Roman" w:hAnsi="Times New Roman" w:eastAsia="Times New Roman" w:cs="Times New Roman"/>
              <w:sz w:val="20"/>
              <w:szCs w:val="20"/>
            </w:rPr>
          </w:pPr>
          <w:hyperlink w:history="true" w:anchor="bookmark261">
            <w:r>
              <w:rPr>
                <w:rFonts w:ascii="SimHei" w:hAnsi="SimHei" w:eastAsia="SimHei" w:cs="SimHei"/>
                <w:sz w:val="20"/>
                <w:szCs w:val="20"/>
                <w:spacing w:val="16"/>
              </w:rPr>
              <w:t>第二百零四条</w:t>
            </w:r>
            <w:r>
              <w:rPr>
                <w:rFonts w:ascii="SimHei" w:hAnsi="SimHei" w:eastAsia="SimHei" w:cs="SimHei"/>
                <w:sz w:val="20"/>
                <w:szCs w:val="20"/>
                <w:spacing w:val="50"/>
              </w:rPr>
              <w:t xml:space="preserve"> </w:t>
            </w:r>
            <w:r>
              <w:rPr>
                <w:rFonts w:ascii="SimHei" w:hAnsi="SimHei" w:eastAsia="SimHei" w:cs="SimHei"/>
                <w:sz w:val="20"/>
                <w:szCs w:val="20"/>
                <w:spacing w:val="16"/>
              </w:rPr>
              <w:t>乡村医生违反规定出具医学证明，或者伪造卫</w:t>
            </w:r>
            <w:r>
              <w:rPr>
                <w:rFonts w:ascii="SimHei" w:hAnsi="SimHei" w:eastAsia="SimHei" w:cs="SimHei"/>
                <w:sz w:val="20"/>
                <w:szCs w:val="20"/>
                <w:spacing w:val="15"/>
              </w:rPr>
              <w:t>生统计资料的</w:t>
            </w:r>
            <w:r>
              <w:rPr>
                <w:rFonts w:ascii="SimHei" w:hAnsi="SimHei" w:eastAsia="SimHei" w:cs="SimHei"/>
                <w:sz w:val="20"/>
                <w:szCs w:val="20"/>
                <w:spacing w:val="-88"/>
              </w:rPr>
              <w:t xml:space="preserve"> </w:t>
            </w:r>
            <w:r>
              <w:rPr>
                <w:rFonts w:ascii="SimHei" w:hAnsi="SimHei" w:eastAsia="SimHei" w:cs="SimHei"/>
                <w:sz w:val="20"/>
                <w:szCs w:val="20"/>
              </w:rPr>
              <w:tab/>
            </w:r>
            <w:r>
              <w:rPr>
                <w:rFonts w:ascii="SimHei" w:hAnsi="SimHei" w:eastAsia="SimHei" w:cs="SimHei"/>
                <w:sz w:val="20"/>
                <w:szCs w:val="20"/>
                <w:spacing w:val="-58"/>
              </w:rPr>
              <w:t xml:space="preserve"> </w:t>
            </w:r>
            <w:r>
              <w:rPr>
                <w:rFonts w:ascii="Times New Roman" w:hAnsi="Times New Roman" w:eastAsia="Times New Roman" w:cs="Times New Roman"/>
                <w:sz w:val="20"/>
                <w:szCs w:val="20"/>
                <w:spacing w:val="-1"/>
              </w:rPr>
              <w:t>289</w:t>
            </w:r>
          </w:hyperlink>
        </w:p>
        <w:p>
          <w:pPr>
            <w:pStyle w:val="BodyText"/>
            <w:spacing w:line="264" w:lineRule="auto"/>
            <w:rPr/>
          </w:pPr>
          <w:r/>
        </w:p>
        <w:p>
          <w:pPr>
            <w:pStyle w:val="BodyText"/>
            <w:spacing w:line="265" w:lineRule="auto"/>
            <w:rPr/>
          </w:pPr>
          <w:r/>
        </w:p>
        <w:p>
          <w:pPr>
            <w:ind w:left="359"/>
            <w:spacing w:before="65" w:line="221" w:lineRule="auto"/>
            <w:tabs>
              <w:tab w:val="right" w:leader="dot" w:pos="13345"/>
            </w:tabs>
            <w:rPr>
              <w:rFonts w:ascii="Times New Roman" w:hAnsi="Times New Roman" w:eastAsia="Times New Roman" w:cs="Times New Roman"/>
              <w:sz w:val="20"/>
              <w:szCs w:val="20"/>
            </w:rPr>
          </w:pPr>
          <w:hyperlink w:history="true" w:anchor="bookmark262">
            <w:r>
              <w:rPr>
                <w:rFonts w:ascii="SimHei" w:hAnsi="SimHei" w:eastAsia="SimHei" w:cs="SimHei"/>
                <w:sz w:val="20"/>
                <w:szCs w:val="20"/>
                <w:spacing w:val="15"/>
              </w:rPr>
              <w:t>第二百零五条</w:t>
            </w:r>
            <w:r>
              <w:rPr>
                <w:rFonts w:ascii="SimHei" w:hAnsi="SimHei" w:eastAsia="SimHei" w:cs="SimHei"/>
                <w:sz w:val="20"/>
                <w:szCs w:val="20"/>
                <w:spacing w:val="44"/>
              </w:rPr>
              <w:t xml:space="preserve"> </w:t>
            </w:r>
            <w:r>
              <w:rPr>
                <w:rFonts w:ascii="SimHei" w:hAnsi="SimHei" w:eastAsia="SimHei" w:cs="SimHei"/>
                <w:sz w:val="20"/>
                <w:szCs w:val="20"/>
                <w:spacing w:val="15"/>
              </w:rPr>
              <w:t>发现传染病疫情、中毒事件不按规定</w:t>
            </w:r>
            <w:r>
              <w:rPr>
                <w:rFonts w:ascii="SimHei" w:hAnsi="SimHei" w:eastAsia="SimHei" w:cs="SimHei"/>
                <w:sz w:val="20"/>
                <w:szCs w:val="20"/>
                <w:spacing w:val="14"/>
              </w:rPr>
              <w:t>报告的</w:t>
            </w:r>
            <w:r>
              <w:rPr>
                <w:rFonts w:ascii="SimHei" w:hAnsi="SimHei" w:eastAsia="SimHei" w:cs="SimHei"/>
                <w:sz w:val="20"/>
                <w:szCs w:val="20"/>
                <w:spacing w:val="-87"/>
              </w:rPr>
              <w:t xml:space="preserve"> </w:t>
            </w:r>
            <w:r>
              <w:rPr>
                <w:rFonts w:ascii="SimHei" w:hAnsi="SimHei" w:eastAsia="SimHei" w:cs="SimHei"/>
                <w:sz w:val="20"/>
                <w:szCs w:val="20"/>
              </w:rPr>
              <w:tab/>
            </w:r>
            <w:r>
              <w:rPr>
                <w:rFonts w:ascii="Times New Roman" w:hAnsi="Times New Roman" w:eastAsia="Times New Roman" w:cs="Times New Roman"/>
                <w:sz w:val="20"/>
                <w:szCs w:val="20"/>
                <w:spacing w:val="1"/>
              </w:rPr>
              <w:t>289</w:t>
            </w:r>
          </w:hyperlink>
        </w:p>
        <w:p>
          <w:pPr>
            <w:pStyle w:val="BodyText"/>
            <w:spacing w:line="256" w:lineRule="auto"/>
            <w:rPr/>
          </w:pPr>
          <w:r/>
        </w:p>
        <w:p>
          <w:pPr>
            <w:pStyle w:val="BodyText"/>
            <w:spacing w:line="257" w:lineRule="auto"/>
            <w:rPr/>
          </w:pPr>
          <w:r/>
        </w:p>
        <w:p>
          <w:pPr>
            <w:ind w:left="359"/>
            <w:spacing w:before="66" w:line="213" w:lineRule="auto"/>
            <w:tabs>
              <w:tab w:val="right" w:leader="dot" w:pos="13335"/>
            </w:tabs>
            <w:rPr>
              <w:rFonts w:ascii="Times New Roman" w:hAnsi="Times New Roman" w:eastAsia="Times New Roman" w:cs="Times New Roman"/>
              <w:sz w:val="20"/>
              <w:szCs w:val="20"/>
            </w:rPr>
          </w:pPr>
          <w:hyperlink w:history="true" w:anchor="bookmark263">
            <w:r>
              <w:rPr>
                <w:rFonts w:ascii="SimHei" w:hAnsi="SimHei" w:eastAsia="SimHei" w:cs="SimHei"/>
                <w:sz w:val="20"/>
                <w:szCs w:val="20"/>
                <w:spacing w:val="19"/>
              </w:rPr>
              <w:t>第二百零六条</w:t>
            </w:r>
            <w:r>
              <w:rPr>
                <w:rFonts w:ascii="SimHei" w:hAnsi="SimHei" w:eastAsia="SimHei" w:cs="SimHei"/>
                <w:sz w:val="20"/>
                <w:szCs w:val="20"/>
                <w:spacing w:val="48"/>
              </w:rPr>
              <w:t xml:space="preserve"> </w:t>
            </w:r>
            <w:r>
              <w:rPr>
                <w:rFonts w:ascii="SimHei" w:hAnsi="SimHei" w:eastAsia="SimHei" w:cs="SimHei"/>
                <w:sz w:val="20"/>
                <w:szCs w:val="20"/>
                <w:spacing w:val="19"/>
              </w:rPr>
              <w:t>违反规定进行实验性临床医疗活动，或者重复使用一次</w:t>
            </w:r>
            <w:r>
              <w:rPr>
                <w:rFonts w:ascii="SimHei" w:hAnsi="SimHei" w:eastAsia="SimHei" w:cs="SimHei"/>
                <w:sz w:val="20"/>
                <w:szCs w:val="20"/>
                <w:spacing w:val="18"/>
              </w:rPr>
              <w:t>性医疗器械和卫生材料的</w:t>
            </w:r>
            <w:r>
              <w:rPr>
                <w:rFonts w:ascii="SimHei" w:hAnsi="SimHei" w:eastAsia="SimHei" w:cs="SimHei"/>
                <w:sz w:val="20"/>
                <w:szCs w:val="20"/>
                <w:spacing w:val="-88"/>
              </w:rPr>
              <w:t xml:space="preserve"> </w:t>
            </w:r>
            <w:r>
              <w:rPr>
                <w:rFonts w:ascii="SimHei" w:hAnsi="SimHei" w:eastAsia="SimHei" w:cs="SimHei"/>
                <w:sz w:val="20"/>
                <w:szCs w:val="20"/>
              </w:rPr>
              <w:tab/>
            </w:r>
            <w:r>
              <w:rPr>
                <w:rFonts w:ascii="Times New Roman" w:hAnsi="Times New Roman" w:eastAsia="Times New Roman" w:cs="Times New Roman"/>
                <w:sz w:val="20"/>
                <w:szCs w:val="20"/>
                <w:spacing w:val="1"/>
              </w:rPr>
              <w:t>290</w:t>
            </w:r>
          </w:hyperlink>
        </w:p>
      </w:sdtContent>
    </w:sdt>
    <w:p>
      <w:pPr>
        <w:spacing w:line="213" w:lineRule="auto"/>
        <w:sectPr>
          <w:footerReference w:type="default" r:id="rId26"/>
          <w:pgSz w:w="16830" w:h="11900"/>
          <w:pgMar w:top="1011" w:right="1434" w:bottom="1134" w:left="1939" w:header="0" w:footer="792" w:gutter="0"/>
        </w:sectPr>
        <w:rPr>
          <w:rFonts w:ascii="Times New Roman" w:hAnsi="Times New Roman" w:eastAsia="Times New Roman" w:cs="Times New Roman"/>
          <w:sz w:val="20"/>
          <w:szCs w:val="20"/>
        </w:rPr>
      </w:pPr>
    </w:p>
    <w:p>
      <w:pPr>
        <w:pStyle w:val="BodyText"/>
        <w:spacing w:line="306" w:lineRule="auto"/>
        <w:rPr/>
      </w:pPr>
      <w:r/>
    </w:p>
    <w:p>
      <w:pPr>
        <w:pStyle w:val="BodyText"/>
        <w:spacing w:line="306" w:lineRule="auto"/>
        <w:rPr/>
      </w:pPr>
      <w:r/>
    </w:p>
    <w:p>
      <w:pPr>
        <w:pStyle w:val="BodyText"/>
        <w:spacing w:line="306"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ind w:left="330"/>
            <w:spacing w:before="71" w:line="221" w:lineRule="auto"/>
            <w:tabs>
              <w:tab w:val="right" w:leader="dot" w:pos="13385"/>
            </w:tabs>
            <w:rPr>
              <w:rFonts w:ascii="Times New Roman" w:hAnsi="Times New Roman" w:eastAsia="Times New Roman" w:cs="Times New Roman"/>
              <w:sz w:val="22"/>
              <w:szCs w:val="22"/>
            </w:rPr>
          </w:pPr>
          <w:hyperlink w:history="true" w:anchor="bookmark264">
            <w:r>
              <w:rPr>
                <w:rFonts w:ascii="SimHei" w:hAnsi="SimHei" w:eastAsia="SimHei" w:cs="SimHei"/>
                <w:sz w:val="22"/>
                <w:szCs w:val="22"/>
                <w:spacing w:val="-1"/>
              </w:rPr>
              <w:t>第二百零七条</w:t>
            </w:r>
            <w:r>
              <w:rPr>
                <w:rFonts w:ascii="SimHei" w:hAnsi="SimHei" w:eastAsia="SimHei" w:cs="SimHei"/>
                <w:sz w:val="22"/>
                <w:szCs w:val="22"/>
                <w:spacing w:val="-1"/>
              </w:rPr>
              <w:t xml:space="preserve"> </w:t>
            </w:r>
            <w:r>
              <w:rPr>
                <w:rFonts w:ascii="SimHei" w:hAnsi="SimHei" w:eastAsia="SimHei" w:cs="SimHei"/>
                <w:sz w:val="22"/>
                <w:szCs w:val="22"/>
                <w:spacing w:val="-1"/>
              </w:rPr>
              <w:t>未经注册在村医疗卫生机构从事医疗活动的</w:t>
            </w:r>
            <w:r>
              <w:rPr>
                <w:rFonts w:ascii="SimHei" w:hAnsi="SimHei" w:eastAsia="SimHei" w:cs="SimHei"/>
                <w:sz w:val="22"/>
                <w:szCs w:val="22"/>
              </w:rPr>
              <w:tab/>
            </w:r>
            <w:r>
              <w:rPr>
                <w:rFonts w:ascii="Times New Roman" w:hAnsi="Times New Roman" w:eastAsia="Times New Roman" w:cs="Times New Roman"/>
                <w:sz w:val="22"/>
                <w:szCs w:val="22"/>
              </w:rPr>
              <w:t>291</w:t>
            </w:r>
          </w:hyperlink>
        </w:p>
        <w:p>
          <w:pPr>
            <w:pStyle w:val="BodyText"/>
            <w:spacing w:line="472" w:lineRule="auto"/>
            <w:rPr/>
          </w:pPr>
          <w:r/>
        </w:p>
        <w:p>
          <w:pPr>
            <w:ind w:left="330"/>
            <w:spacing w:before="72" w:line="213" w:lineRule="auto"/>
            <w:tabs>
              <w:tab w:val="right" w:leader="dot" w:pos="13335"/>
            </w:tabs>
            <w:rPr>
              <w:rFonts w:ascii="Times New Roman" w:hAnsi="Times New Roman" w:eastAsia="Times New Roman" w:cs="Times New Roman"/>
              <w:sz w:val="22"/>
              <w:szCs w:val="22"/>
            </w:rPr>
          </w:pPr>
          <w:hyperlink w:history="true" w:anchor="bookmark265">
            <w:r>
              <w:rPr>
                <w:rFonts w:ascii="SimHei" w:hAnsi="SimHei" w:eastAsia="SimHei" w:cs="SimHei"/>
                <w:sz w:val="22"/>
                <w:szCs w:val="22"/>
              </w:rPr>
              <w:t>第二百零八条</w:t>
            </w:r>
            <w:r>
              <w:rPr>
                <w:rFonts w:ascii="SimHei" w:hAnsi="SimHei" w:eastAsia="SimHei" w:cs="SimHei"/>
                <w:sz w:val="22"/>
                <w:szCs w:val="22"/>
              </w:rPr>
              <w:t xml:space="preserve"> </w:t>
            </w:r>
            <w:r>
              <w:rPr>
                <w:rFonts w:ascii="SimHei" w:hAnsi="SimHei" w:eastAsia="SimHei" w:cs="SimHei"/>
                <w:sz w:val="22"/>
                <w:szCs w:val="22"/>
              </w:rPr>
              <w:t>乡村医生变更执业的村医疗卫生机构，未办</w:t>
            </w:r>
            <w:r>
              <w:rPr>
                <w:rFonts w:ascii="SimHei" w:hAnsi="SimHei" w:eastAsia="SimHei" w:cs="SimHei"/>
                <w:sz w:val="22"/>
                <w:szCs w:val="22"/>
                <w:spacing w:val="-1"/>
              </w:rPr>
              <w:t>理变更执业注册手续的</w:t>
            </w:r>
            <w:r>
              <w:rPr>
                <w:rFonts w:ascii="SimHei" w:hAnsi="SimHei" w:eastAsia="SimHei" w:cs="SimHei"/>
                <w:sz w:val="22"/>
                <w:szCs w:val="22"/>
              </w:rPr>
              <w:tab/>
            </w:r>
            <w:r>
              <w:rPr>
                <w:rFonts w:ascii="SimHei" w:hAnsi="SimHei" w:eastAsia="SimHei" w:cs="SimHei"/>
                <w:sz w:val="22"/>
                <w:szCs w:val="22"/>
                <w:spacing w:val="-44"/>
              </w:rPr>
              <w:t xml:space="preserve"> </w:t>
            </w:r>
            <w:r>
              <w:rPr>
                <w:rFonts w:ascii="Times New Roman" w:hAnsi="Times New Roman" w:eastAsia="Times New Roman" w:cs="Times New Roman"/>
                <w:sz w:val="22"/>
                <w:szCs w:val="22"/>
                <w:spacing w:val="-2"/>
              </w:rPr>
              <w:t>292</w:t>
            </w:r>
          </w:hyperlink>
        </w:p>
        <w:p>
          <w:pPr>
            <w:pStyle w:val="BodyText"/>
            <w:spacing w:line="328" w:lineRule="auto"/>
            <w:rPr/>
          </w:pPr>
          <w:r/>
        </w:p>
        <w:p>
          <w:pPr>
            <w:spacing w:before="72" w:line="223" w:lineRule="auto"/>
            <w:tabs>
              <w:tab w:val="right" w:leader="dot" w:pos="13385"/>
            </w:tabs>
            <w:rPr>
              <w:rFonts w:ascii="Times New Roman" w:hAnsi="Times New Roman" w:eastAsia="Times New Roman" w:cs="Times New Roman"/>
              <w:sz w:val="22"/>
              <w:szCs w:val="22"/>
            </w:rPr>
          </w:pPr>
          <w:hyperlink w:history="true" w:anchor="bookmark266">
            <w:r>
              <w:rPr>
                <w:rFonts w:ascii="KaiTi" w:hAnsi="KaiTi" w:eastAsia="KaiTi" w:cs="KaiTi"/>
                <w:sz w:val="22"/>
                <w:szCs w:val="22"/>
                <w:spacing w:val="-7"/>
              </w:rPr>
              <w:t>(</w:t>
            </w:r>
            <w:r>
              <w:rPr>
                <w:rFonts w:ascii="KaiTi" w:hAnsi="KaiTi" w:eastAsia="KaiTi" w:cs="KaiTi"/>
                <w:sz w:val="22"/>
                <w:szCs w:val="22"/>
                <w:spacing w:val="-7"/>
              </w:rPr>
              <w:t xml:space="preserve"> </w:t>
            </w:r>
            <w:r>
              <w:rPr>
                <w:rFonts w:ascii="KaiTi" w:hAnsi="KaiTi" w:eastAsia="KaiTi" w:cs="KaiTi"/>
                <w:sz w:val="22"/>
                <w:szCs w:val="22"/>
                <w:spacing w:val="-7"/>
              </w:rPr>
              <w:t>六</w:t>
            </w:r>
            <w:r>
              <w:rPr>
                <w:rFonts w:ascii="KaiTi" w:hAnsi="KaiTi" w:eastAsia="KaiTi" w:cs="KaiTi"/>
                <w:sz w:val="22"/>
                <w:szCs w:val="22"/>
                <w:spacing w:val="-25"/>
              </w:rPr>
              <w:t xml:space="preserve"> </w:t>
            </w:r>
            <w:r>
              <w:rPr>
                <w:rFonts w:ascii="KaiTi" w:hAnsi="KaiTi" w:eastAsia="KaiTi" w:cs="KaiTi"/>
                <w:sz w:val="22"/>
                <w:szCs w:val="22"/>
                <w:spacing w:val="-7"/>
              </w:rPr>
              <w:t>)《医师外出会诊管理暂行规定》</w:t>
            </w:r>
            <w:r>
              <w:rPr>
                <w:rFonts w:ascii="KaiTi" w:hAnsi="KaiTi" w:eastAsia="KaiTi" w:cs="KaiTi"/>
                <w:sz w:val="22"/>
                <w:szCs w:val="22"/>
                <w:color w:val="702030"/>
              </w:rPr>
              <w:tab/>
            </w:r>
            <w:r>
              <w:rPr>
                <w:rFonts w:ascii="KaiTi" w:hAnsi="KaiTi" w:eastAsia="KaiTi" w:cs="KaiTi"/>
                <w:sz w:val="22"/>
                <w:szCs w:val="22"/>
                <w:spacing w:val="-75"/>
              </w:rPr>
              <w:t xml:space="preserve"> </w:t>
            </w:r>
            <w:r>
              <w:rPr>
                <w:rFonts w:ascii="Times New Roman" w:hAnsi="Times New Roman" w:eastAsia="Times New Roman" w:cs="Times New Roman"/>
                <w:sz w:val="22"/>
                <w:szCs w:val="22"/>
                <w:spacing w:val="-2"/>
              </w:rPr>
              <w:t>292</w:t>
            </w:r>
          </w:hyperlink>
        </w:p>
        <w:p>
          <w:pPr>
            <w:pStyle w:val="BodyText"/>
            <w:spacing w:line="324" w:lineRule="auto"/>
            <w:rPr/>
          </w:pPr>
          <w:r/>
        </w:p>
        <w:p>
          <w:pPr>
            <w:ind w:left="330"/>
            <w:spacing w:before="71" w:line="221" w:lineRule="auto"/>
            <w:tabs>
              <w:tab w:val="right" w:leader="dot" w:pos="13335"/>
            </w:tabs>
            <w:rPr>
              <w:rFonts w:ascii="Times New Roman" w:hAnsi="Times New Roman" w:eastAsia="Times New Roman" w:cs="Times New Roman"/>
              <w:sz w:val="22"/>
              <w:szCs w:val="22"/>
            </w:rPr>
          </w:pPr>
          <w:hyperlink w:history="true" w:anchor="bookmark267">
            <w:r>
              <w:rPr>
                <w:rFonts w:ascii="SimHei" w:hAnsi="SimHei" w:eastAsia="SimHei" w:cs="SimHei"/>
                <w:sz w:val="22"/>
                <w:szCs w:val="22"/>
                <w:spacing w:val="2"/>
              </w:rPr>
              <w:t>第二百零九条</w:t>
            </w:r>
            <w:r>
              <w:rPr>
                <w:rFonts w:ascii="SimHei" w:hAnsi="SimHei" w:eastAsia="SimHei" w:cs="SimHei"/>
                <w:sz w:val="22"/>
                <w:szCs w:val="22"/>
                <w:spacing w:val="2"/>
              </w:rPr>
              <w:t xml:space="preserve"> </w:t>
            </w:r>
            <w:r>
              <w:rPr>
                <w:rFonts w:ascii="SimHei" w:hAnsi="SimHei" w:eastAsia="SimHei" w:cs="SimHei"/>
                <w:sz w:val="22"/>
                <w:szCs w:val="22"/>
                <w:spacing w:val="2"/>
              </w:rPr>
              <w:t>会诊邀请超出医疗机构诊疗科目的</w:t>
            </w:r>
            <w:r>
              <w:rPr>
                <w:rFonts w:ascii="SimHei" w:hAnsi="SimHei" w:eastAsia="SimHei" w:cs="SimHei"/>
                <w:sz w:val="22"/>
                <w:szCs w:val="22"/>
                <w:spacing w:val="-96"/>
              </w:rPr>
              <w:t xml:space="preserve"> </w:t>
            </w:r>
            <w:r>
              <w:rPr>
                <w:rFonts w:ascii="SimHei" w:hAnsi="SimHei" w:eastAsia="SimHei" w:cs="SimHei"/>
                <w:sz w:val="22"/>
                <w:szCs w:val="22"/>
              </w:rPr>
              <w:tab/>
            </w:r>
            <w:r>
              <w:rPr>
                <w:rFonts w:ascii="Times New Roman" w:hAnsi="Times New Roman" w:eastAsia="Times New Roman" w:cs="Times New Roman"/>
                <w:sz w:val="22"/>
                <w:szCs w:val="22"/>
                <w:spacing w:val="-3"/>
              </w:rPr>
              <w:t>292</w:t>
            </w:r>
          </w:hyperlink>
        </w:p>
        <w:p>
          <w:pPr>
            <w:pStyle w:val="BodyText"/>
            <w:spacing w:line="246" w:lineRule="auto"/>
            <w:rPr/>
          </w:pPr>
          <w:r/>
        </w:p>
        <w:p>
          <w:pPr>
            <w:pStyle w:val="BodyText"/>
            <w:spacing w:line="246" w:lineRule="auto"/>
            <w:rPr/>
          </w:pPr>
          <w:r/>
        </w:p>
        <w:p>
          <w:pPr>
            <w:ind w:left="330"/>
            <w:spacing w:before="71" w:line="221" w:lineRule="auto"/>
            <w:tabs>
              <w:tab w:val="right" w:leader="dot" w:pos="13375"/>
            </w:tabs>
            <w:rPr>
              <w:rFonts w:ascii="Times New Roman" w:hAnsi="Times New Roman" w:eastAsia="Times New Roman" w:cs="Times New Roman"/>
              <w:sz w:val="22"/>
              <w:szCs w:val="22"/>
            </w:rPr>
          </w:pPr>
          <w:hyperlink w:history="true" w:anchor="bookmark268">
            <w:r>
              <w:rPr>
                <w:rFonts w:ascii="SimHei" w:hAnsi="SimHei" w:eastAsia="SimHei" w:cs="SimHei"/>
                <w:sz w:val="22"/>
                <w:szCs w:val="22"/>
                <w:spacing w:val="13"/>
              </w:rPr>
              <w:t>第二百一十条</w:t>
            </w:r>
            <w:r>
              <w:rPr>
                <w:rFonts w:ascii="SimHei" w:hAnsi="SimHei" w:eastAsia="SimHei" w:cs="SimHei"/>
                <w:sz w:val="22"/>
                <w:szCs w:val="22"/>
                <w:spacing w:val="66"/>
              </w:rPr>
              <w:t xml:space="preserve"> </w:t>
            </w:r>
            <w:r>
              <w:rPr>
                <w:rFonts w:ascii="SimHei" w:hAnsi="SimHei" w:eastAsia="SimHei" w:cs="SimHei"/>
                <w:sz w:val="22"/>
                <w:szCs w:val="22"/>
                <w:spacing w:val="13"/>
              </w:rPr>
              <w:t>医疗机构违反《医师外出会诊管理暂行规定》第六条、第八条、第五的</w:t>
            </w:r>
            <w:r>
              <w:rPr>
                <w:rFonts w:ascii="SimHei" w:hAnsi="SimHei" w:eastAsia="SimHei" w:cs="SimHei"/>
                <w:sz w:val="22"/>
                <w:szCs w:val="22"/>
                <w:spacing w:val="-98"/>
              </w:rPr>
              <w:t xml:space="preserve"> </w:t>
            </w:r>
            <w:r>
              <w:rPr>
                <w:rFonts w:ascii="SimHei" w:hAnsi="SimHei" w:eastAsia="SimHei" w:cs="SimHei"/>
                <w:sz w:val="22"/>
                <w:szCs w:val="22"/>
              </w:rPr>
              <w:tab/>
            </w:r>
            <w:r>
              <w:rPr>
                <w:rFonts w:ascii="Times New Roman" w:hAnsi="Times New Roman" w:eastAsia="Times New Roman" w:cs="Times New Roman"/>
                <w:sz w:val="22"/>
                <w:szCs w:val="22"/>
              </w:rPr>
              <w:t>294</w:t>
            </w:r>
          </w:hyperlink>
        </w:p>
        <w:p>
          <w:pPr>
            <w:pStyle w:val="BodyText"/>
            <w:spacing w:line="339" w:lineRule="auto"/>
            <w:rPr/>
          </w:pPr>
          <w:r/>
        </w:p>
        <w:p>
          <w:pPr>
            <w:spacing w:before="72" w:line="223" w:lineRule="auto"/>
            <w:tabs>
              <w:tab w:val="right" w:leader="dot" w:pos="13385"/>
            </w:tabs>
            <w:rPr>
              <w:rFonts w:ascii="Times New Roman" w:hAnsi="Times New Roman" w:eastAsia="Times New Roman" w:cs="Times New Roman"/>
              <w:sz w:val="22"/>
              <w:szCs w:val="22"/>
            </w:rPr>
          </w:pPr>
          <w:hyperlink w:history="true" w:anchor="bookmark269">
            <w:r>
              <w:rPr>
                <w:rFonts w:ascii="KaiTi" w:hAnsi="KaiTi" w:eastAsia="KaiTi" w:cs="KaiTi"/>
                <w:sz w:val="22"/>
                <w:szCs w:val="22"/>
                <w:spacing w:val="-9"/>
              </w:rPr>
              <w:t>(</w:t>
            </w:r>
            <w:r>
              <w:rPr>
                <w:rFonts w:ascii="KaiTi" w:hAnsi="KaiTi" w:eastAsia="KaiTi" w:cs="KaiTi"/>
                <w:sz w:val="22"/>
                <w:szCs w:val="22"/>
                <w:spacing w:val="-9"/>
              </w:rPr>
              <w:t xml:space="preserve"> </w:t>
            </w:r>
            <w:r>
              <w:rPr>
                <w:rFonts w:ascii="KaiTi" w:hAnsi="KaiTi" w:eastAsia="KaiTi" w:cs="KaiTi"/>
                <w:sz w:val="22"/>
                <w:szCs w:val="22"/>
                <w:spacing w:val="-9"/>
              </w:rPr>
              <w:t>七</w:t>
            </w:r>
            <w:r>
              <w:rPr>
                <w:rFonts w:ascii="KaiTi" w:hAnsi="KaiTi" w:eastAsia="KaiTi" w:cs="KaiTi"/>
                <w:sz w:val="22"/>
                <w:szCs w:val="22"/>
                <w:spacing w:val="-9"/>
              </w:rPr>
              <w:t xml:space="preserve"> </w:t>
            </w:r>
            <w:r>
              <w:rPr>
                <w:rFonts w:ascii="KaiTi" w:hAnsi="KaiTi" w:eastAsia="KaiTi" w:cs="KaiTi"/>
                <w:sz w:val="22"/>
                <w:szCs w:val="22"/>
                <w:spacing w:val="-9"/>
              </w:rPr>
              <w:t>)《医疗气功管理暂行规定》</w:t>
            </w:r>
            <w:r>
              <w:rPr>
                <w:rFonts w:ascii="KaiTi" w:hAnsi="KaiTi" w:eastAsia="KaiTi" w:cs="KaiTi"/>
                <w:sz w:val="22"/>
                <w:szCs w:val="22"/>
                <w:color w:val="703030"/>
              </w:rPr>
              <w:tab/>
            </w:r>
            <w:r>
              <w:rPr>
                <w:rFonts w:ascii="Times New Roman" w:hAnsi="Times New Roman" w:eastAsia="Times New Roman" w:cs="Times New Roman"/>
                <w:sz w:val="22"/>
                <w:szCs w:val="22"/>
                <w:spacing w:val="6"/>
              </w:rPr>
              <w:t>295</w:t>
            </w:r>
          </w:hyperlink>
        </w:p>
        <w:p>
          <w:pPr>
            <w:pStyle w:val="BodyText"/>
            <w:spacing w:line="284" w:lineRule="auto"/>
            <w:rPr/>
          </w:pPr>
          <w:r/>
        </w:p>
        <w:p>
          <w:pPr>
            <w:ind w:left="330"/>
            <w:spacing w:before="73" w:line="222" w:lineRule="auto"/>
            <w:tabs>
              <w:tab w:val="right" w:leader="dot" w:pos="13385"/>
            </w:tabs>
            <w:rPr>
              <w:rFonts w:ascii="Times New Roman" w:hAnsi="Times New Roman" w:eastAsia="Times New Roman" w:cs="Times New Roman"/>
              <w:sz w:val="22"/>
              <w:szCs w:val="22"/>
            </w:rPr>
          </w:pPr>
          <w:hyperlink w:history="true" w:anchor="bookmark270">
            <w:r>
              <w:rPr>
                <w:rFonts w:ascii="SimHei" w:hAnsi="SimHei" w:eastAsia="SimHei" w:cs="SimHei"/>
                <w:sz w:val="22"/>
                <w:szCs w:val="22"/>
                <w:spacing w:val="-1"/>
              </w:rPr>
              <w:t>第二百一十一条</w:t>
            </w:r>
            <w:r>
              <w:rPr>
                <w:rFonts w:ascii="SimHei" w:hAnsi="SimHei" w:eastAsia="SimHei" w:cs="SimHei"/>
                <w:sz w:val="22"/>
                <w:szCs w:val="22"/>
                <w:spacing w:val="-1"/>
              </w:rPr>
              <w:t xml:space="preserve"> </w:t>
            </w:r>
            <w:r>
              <w:rPr>
                <w:rFonts w:ascii="SimHei" w:hAnsi="SimHei" w:eastAsia="SimHei" w:cs="SimHei"/>
                <w:sz w:val="22"/>
                <w:szCs w:val="22"/>
                <w:spacing w:val="-1"/>
              </w:rPr>
              <w:t>开展医疗气功活动不符合相关管理规定的</w:t>
            </w:r>
            <w:r>
              <w:rPr>
                <w:rFonts w:ascii="SimHei" w:hAnsi="SimHei" w:eastAsia="SimHei" w:cs="SimHei"/>
                <w:sz w:val="22"/>
                <w:szCs w:val="22"/>
              </w:rPr>
              <w:tab/>
            </w:r>
            <w:r>
              <w:rPr>
                <w:rFonts w:ascii="Times New Roman" w:hAnsi="Times New Roman" w:eastAsia="Times New Roman" w:cs="Times New Roman"/>
                <w:sz w:val="22"/>
                <w:szCs w:val="22"/>
              </w:rPr>
              <w:t>295</w:t>
            </w:r>
          </w:hyperlink>
        </w:p>
        <w:p>
          <w:pPr>
            <w:pStyle w:val="BodyText"/>
            <w:spacing w:line="308" w:lineRule="auto"/>
            <w:rPr/>
          </w:pPr>
          <w:r/>
        </w:p>
        <w:p>
          <w:pPr>
            <w:spacing w:before="71" w:line="223" w:lineRule="auto"/>
            <w:tabs>
              <w:tab w:val="right" w:leader="dot" w:pos="13355"/>
            </w:tabs>
            <w:rPr>
              <w:rFonts w:ascii="Times New Roman" w:hAnsi="Times New Roman" w:eastAsia="Times New Roman" w:cs="Times New Roman"/>
              <w:sz w:val="22"/>
              <w:szCs w:val="22"/>
            </w:rPr>
          </w:pPr>
          <w:hyperlink w:history="true" w:anchor="bookmark271">
            <w:r>
              <w:rPr>
                <w:rFonts w:ascii="KaiTi" w:hAnsi="KaiTi" w:eastAsia="KaiTi" w:cs="KaiTi"/>
                <w:sz w:val="22"/>
                <w:szCs w:val="22"/>
                <w:spacing w:val="-6"/>
              </w:rPr>
              <w:t>(</w:t>
            </w:r>
            <w:r>
              <w:rPr>
                <w:rFonts w:ascii="KaiTi" w:hAnsi="KaiTi" w:eastAsia="KaiTi" w:cs="KaiTi"/>
                <w:sz w:val="22"/>
                <w:szCs w:val="22"/>
                <w:spacing w:val="-23"/>
              </w:rPr>
              <w:t xml:space="preserve"> </w:t>
            </w:r>
            <w:r>
              <w:rPr>
                <w:rFonts w:ascii="KaiTi" w:hAnsi="KaiTi" w:eastAsia="KaiTi" w:cs="KaiTi"/>
                <w:sz w:val="22"/>
                <w:szCs w:val="22"/>
                <w:spacing w:val="-6"/>
              </w:rPr>
              <w:t>八</w:t>
            </w:r>
            <w:r>
              <w:rPr>
                <w:rFonts w:ascii="KaiTi" w:hAnsi="KaiTi" w:eastAsia="KaiTi" w:cs="KaiTi"/>
                <w:sz w:val="22"/>
                <w:szCs w:val="22"/>
                <w:spacing w:val="-29"/>
              </w:rPr>
              <w:t xml:space="preserve"> </w:t>
            </w:r>
            <w:r>
              <w:rPr>
                <w:rFonts w:ascii="KaiTi" w:hAnsi="KaiTi" w:eastAsia="KaiTi" w:cs="KaiTi"/>
                <w:sz w:val="22"/>
                <w:szCs w:val="22"/>
                <w:spacing w:val="-6"/>
              </w:rPr>
              <w:t>)《香港、澳门特别行政区医师在内地短期行医管理规</w:t>
            </w:r>
            <w:r>
              <w:rPr>
                <w:rFonts w:ascii="KaiTi" w:hAnsi="KaiTi" w:eastAsia="KaiTi" w:cs="KaiTi"/>
                <w:sz w:val="22"/>
                <w:szCs w:val="22"/>
                <w:spacing w:val="-7"/>
              </w:rPr>
              <w:t>定》</w:t>
            </w:r>
            <w:r>
              <w:rPr>
                <w:rFonts w:ascii="KaiTi" w:hAnsi="KaiTi" w:eastAsia="KaiTi" w:cs="KaiTi"/>
                <w:sz w:val="22"/>
                <w:szCs w:val="22"/>
              </w:rPr>
              <w:tab/>
            </w:r>
            <w:r>
              <w:rPr>
                <w:rFonts w:ascii="KaiTi" w:hAnsi="KaiTi" w:eastAsia="KaiTi" w:cs="KaiTi"/>
                <w:sz w:val="22"/>
                <w:szCs w:val="22"/>
                <w:spacing w:val="-34"/>
              </w:rPr>
              <w:t xml:space="preserve"> </w:t>
            </w:r>
            <w:r>
              <w:rPr>
                <w:rFonts w:ascii="Times New Roman" w:hAnsi="Times New Roman" w:eastAsia="Times New Roman" w:cs="Times New Roman"/>
                <w:sz w:val="22"/>
                <w:szCs w:val="22"/>
                <w:spacing w:val="-2"/>
              </w:rPr>
              <w:t>297</w:t>
            </w:r>
          </w:hyperlink>
        </w:p>
        <w:p>
          <w:pPr>
            <w:pStyle w:val="BodyText"/>
            <w:spacing w:line="323" w:lineRule="auto"/>
            <w:rPr/>
          </w:pPr>
          <w:r/>
        </w:p>
        <w:p>
          <w:pPr>
            <w:ind w:left="330"/>
            <w:spacing w:before="72" w:line="219" w:lineRule="auto"/>
            <w:tabs>
              <w:tab w:val="right" w:leader="dot" w:pos="13345"/>
            </w:tabs>
            <w:rPr>
              <w:rFonts w:ascii="Times New Roman" w:hAnsi="Times New Roman" w:eastAsia="Times New Roman" w:cs="Times New Roman"/>
              <w:sz w:val="22"/>
              <w:szCs w:val="22"/>
            </w:rPr>
          </w:pPr>
          <w:hyperlink w:history="true" w:anchor="bookmark272">
            <w:r>
              <w:rPr>
                <w:rFonts w:ascii="SimHei" w:hAnsi="SimHei" w:eastAsia="SimHei" w:cs="SimHei"/>
                <w:sz w:val="22"/>
                <w:szCs w:val="22"/>
                <w:spacing w:val="3"/>
              </w:rPr>
              <w:t>第二百一十二条</w:t>
            </w:r>
            <w:r>
              <w:rPr>
                <w:rFonts w:ascii="SimHei" w:hAnsi="SimHei" w:eastAsia="SimHei" w:cs="SimHei"/>
                <w:sz w:val="22"/>
                <w:szCs w:val="22"/>
                <w:spacing w:val="3"/>
              </w:rPr>
              <w:t xml:space="preserve"> </w:t>
            </w:r>
            <w:r>
              <w:rPr>
                <w:rFonts w:ascii="SimHei" w:hAnsi="SimHei" w:eastAsia="SimHei" w:cs="SimHei"/>
                <w:sz w:val="22"/>
                <w:szCs w:val="22"/>
                <w:spacing w:val="3"/>
              </w:rPr>
              <w:t>医疗机构聘用未经内地短期行</w:t>
            </w:r>
            <w:r>
              <w:rPr>
                <w:rFonts w:ascii="SimHei" w:hAnsi="SimHei" w:eastAsia="SimHei" w:cs="SimHei"/>
                <w:sz w:val="22"/>
                <w:szCs w:val="22"/>
                <w:spacing w:val="2"/>
              </w:rPr>
              <w:t>医执业注册的港澳医师从事诊疗活动的</w:t>
            </w:r>
            <w:r>
              <w:rPr>
                <w:rFonts w:ascii="SimHei" w:hAnsi="SimHei" w:eastAsia="SimHei" w:cs="SimHei"/>
                <w:sz w:val="22"/>
                <w:szCs w:val="22"/>
                <w:spacing w:val="-99"/>
              </w:rPr>
              <w:t xml:space="preserve"> </w:t>
            </w:r>
            <w:r>
              <w:rPr>
                <w:rFonts w:ascii="SimHei" w:hAnsi="SimHei" w:eastAsia="SimHei" w:cs="SimHei"/>
                <w:sz w:val="22"/>
                <w:szCs w:val="22"/>
              </w:rPr>
              <w:tab/>
            </w:r>
            <w:r>
              <w:rPr>
                <w:rFonts w:ascii="Times New Roman" w:hAnsi="Times New Roman" w:eastAsia="Times New Roman" w:cs="Times New Roman"/>
                <w:sz w:val="22"/>
                <w:szCs w:val="22"/>
              </w:rPr>
              <w:t>297</w:t>
            </w:r>
          </w:hyperlink>
        </w:p>
        <w:p>
          <w:pPr>
            <w:pStyle w:val="BodyText"/>
            <w:spacing w:line="245" w:lineRule="auto"/>
            <w:rPr/>
          </w:pPr>
          <w:r/>
        </w:p>
        <w:p>
          <w:pPr>
            <w:pStyle w:val="BodyText"/>
            <w:spacing w:line="246" w:lineRule="auto"/>
            <w:rPr/>
          </w:pPr>
          <w:r/>
        </w:p>
        <w:p>
          <w:pPr>
            <w:ind w:left="333"/>
            <w:spacing w:before="72" w:line="219" w:lineRule="auto"/>
            <w:tabs>
              <w:tab w:val="right" w:leader="dot" w:pos="13324"/>
            </w:tabs>
            <w:rPr>
              <w:rFonts w:ascii="Times New Roman" w:hAnsi="Times New Roman" w:eastAsia="Times New Roman" w:cs="Times New Roman"/>
              <w:sz w:val="22"/>
              <w:szCs w:val="22"/>
            </w:rPr>
          </w:pPr>
          <w:hyperlink w:history="true" w:anchor="bookmark273">
            <w:r>
              <w:rPr>
                <w:rFonts w:ascii="SimHei" w:hAnsi="SimHei" w:eastAsia="SimHei" w:cs="SimHei"/>
                <w:sz w:val="22"/>
                <w:szCs w:val="22"/>
                <w:b/>
                <w:bCs/>
                <w:spacing w:val="11"/>
              </w:rPr>
              <w:t>第二百一十三条</w:t>
            </w:r>
            <w:r>
              <w:rPr>
                <w:rFonts w:ascii="SimHei" w:hAnsi="SimHei" w:eastAsia="SimHei" w:cs="SimHei"/>
                <w:sz w:val="22"/>
                <w:szCs w:val="22"/>
                <w:spacing w:val="52"/>
              </w:rPr>
              <w:t xml:space="preserve"> </w:t>
            </w:r>
            <w:r>
              <w:rPr>
                <w:rFonts w:ascii="SimHei" w:hAnsi="SimHei" w:eastAsia="SimHei" w:cs="SimHei"/>
                <w:sz w:val="22"/>
                <w:szCs w:val="22"/>
                <w:b/>
                <w:bCs/>
                <w:spacing w:val="11"/>
              </w:rPr>
              <w:t>港澳医师未取得《港澳医师短期行医执业证书》行医或者未照注册有期从事诊疗活动的</w:t>
            </w:r>
            <w:r>
              <w:rPr>
                <w:rFonts w:ascii="SimHei" w:hAnsi="SimHei" w:eastAsia="SimHei" w:cs="SimHei"/>
                <w:sz w:val="22"/>
                <w:szCs w:val="22"/>
                <w:spacing w:val="-96"/>
              </w:rPr>
              <w:t xml:space="preserve"> </w:t>
            </w:r>
            <w:r>
              <w:rPr>
                <w:rFonts w:ascii="SimHei" w:hAnsi="SimHei" w:eastAsia="SimHei" w:cs="SimHei"/>
                <w:sz w:val="22"/>
                <w:szCs w:val="22"/>
              </w:rPr>
              <w:tab/>
            </w:r>
            <w:r>
              <w:rPr>
                <w:rFonts w:ascii="SimHei" w:hAnsi="SimHei" w:eastAsia="SimHei" w:cs="SimHei"/>
                <w:sz w:val="22"/>
                <w:szCs w:val="22"/>
                <w:spacing w:val="-80"/>
              </w:rPr>
              <w:t xml:space="preserve"> </w:t>
            </w:r>
            <w:r>
              <w:rPr>
                <w:rFonts w:ascii="Times New Roman" w:hAnsi="Times New Roman" w:eastAsia="Times New Roman" w:cs="Times New Roman"/>
                <w:sz w:val="22"/>
                <w:szCs w:val="22"/>
                <w:b/>
                <w:bCs/>
                <w:spacing w:val="-2"/>
              </w:rPr>
              <w:t>298</w:t>
            </w:r>
          </w:hyperlink>
        </w:p>
        <w:p>
          <w:pPr>
            <w:pStyle w:val="BodyText"/>
            <w:spacing w:line="476" w:lineRule="auto"/>
            <w:rPr/>
          </w:pPr>
          <w:r/>
        </w:p>
        <w:p>
          <w:pPr>
            <w:ind w:left="333"/>
            <w:spacing w:before="72" w:line="213" w:lineRule="auto"/>
            <w:tabs>
              <w:tab w:val="right" w:leader="dot" w:pos="13304"/>
            </w:tabs>
            <w:rPr>
              <w:rFonts w:ascii="Times New Roman" w:hAnsi="Times New Roman" w:eastAsia="Times New Roman" w:cs="Times New Roman"/>
              <w:sz w:val="22"/>
              <w:szCs w:val="22"/>
            </w:rPr>
          </w:pPr>
          <w:hyperlink w:history="true" w:anchor="bookmark274">
            <w:r>
              <w:rPr>
                <w:rFonts w:ascii="SimHei" w:hAnsi="SimHei" w:eastAsia="SimHei" w:cs="SimHei"/>
                <w:sz w:val="22"/>
                <w:szCs w:val="22"/>
                <w:b/>
                <w:bCs/>
                <w:spacing w:val="-3"/>
              </w:rPr>
              <w:t>第二百一十四条</w:t>
            </w:r>
            <w:r>
              <w:rPr>
                <w:rFonts w:ascii="SimHei" w:hAnsi="SimHei" w:eastAsia="SimHei" w:cs="SimHei"/>
                <w:sz w:val="22"/>
                <w:szCs w:val="22"/>
                <w:spacing w:val="-3"/>
              </w:rPr>
              <w:t xml:space="preserve"> </w:t>
            </w:r>
            <w:r>
              <w:rPr>
                <w:rFonts w:ascii="SimHei" w:hAnsi="SimHei" w:eastAsia="SimHei" w:cs="SimHei"/>
                <w:sz w:val="22"/>
                <w:szCs w:val="22"/>
                <w:b/>
                <w:bCs/>
                <w:spacing w:val="-3"/>
              </w:rPr>
              <w:t>医疗机构聘用未经大陆短期行医执业注册的台湾</w:t>
            </w:r>
            <w:r>
              <w:rPr>
                <w:rFonts w:ascii="SimHei" w:hAnsi="SimHei" w:eastAsia="SimHei" w:cs="SimHei"/>
                <w:sz w:val="22"/>
                <w:szCs w:val="22"/>
                <w:b/>
                <w:bCs/>
                <w:spacing w:val="-4"/>
              </w:rPr>
              <w:t>医师从事诊疗活动，视为聘用非卫生技术人员</w:t>
            </w:r>
            <w:r>
              <w:rPr>
                <w:rFonts w:ascii="SimHei" w:hAnsi="SimHei" w:eastAsia="SimHei" w:cs="SimHei"/>
                <w:sz w:val="22"/>
                <w:szCs w:val="22"/>
                <w:spacing w:val="-89"/>
              </w:rPr>
              <w:t xml:space="preserve"> </w:t>
            </w:r>
            <w:r>
              <w:rPr>
                <w:rFonts w:ascii="SimHei" w:hAnsi="SimHei" w:eastAsia="SimHei" w:cs="SimHei"/>
                <w:sz w:val="22"/>
                <w:szCs w:val="22"/>
              </w:rPr>
              <w:tab/>
            </w:r>
            <w:r>
              <w:rPr>
                <w:rFonts w:ascii="SimHei" w:hAnsi="SimHei" w:eastAsia="SimHei" w:cs="SimHei"/>
                <w:sz w:val="22"/>
                <w:szCs w:val="22"/>
                <w:spacing w:val="-60"/>
              </w:rPr>
              <w:t xml:space="preserve"> </w:t>
            </w:r>
            <w:r>
              <w:rPr>
                <w:rFonts w:ascii="Times New Roman" w:hAnsi="Times New Roman" w:eastAsia="Times New Roman" w:cs="Times New Roman"/>
                <w:sz w:val="22"/>
                <w:szCs w:val="22"/>
                <w:b/>
                <w:bCs/>
                <w:spacing w:val="-2"/>
              </w:rPr>
              <w:t>299</w:t>
            </w:r>
          </w:hyperlink>
        </w:p>
      </w:sdtContent>
    </w:sdt>
    <w:p>
      <w:pPr>
        <w:spacing w:line="213" w:lineRule="auto"/>
        <w:sectPr>
          <w:footerReference w:type="default" r:id="rId27"/>
          <w:pgSz w:w="16830" w:h="11900"/>
          <w:pgMar w:top="1011" w:right="1484" w:bottom="1139" w:left="1960" w:header="0" w:footer="778" w:gutter="0"/>
        </w:sectPr>
        <w:rPr>
          <w:rFonts w:ascii="Times New Roman" w:hAnsi="Times New Roman" w:eastAsia="Times New Roman" w:cs="Times New Roman"/>
          <w:sz w:val="22"/>
          <w:szCs w:val="22"/>
        </w:rPr>
      </w:pPr>
    </w:p>
    <w:p>
      <w:pPr>
        <w:pStyle w:val="BodyText"/>
        <w:spacing w:line="305" w:lineRule="auto"/>
        <w:rPr/>
      </w:pPr>
      <w:r/>
    </w:p>
    <w:p>
      <w:pPr>
        <w:pStyle w:val="BodyText"/>
        <w:spacing w:line="306" w:lineRule="auto"/>
        <w:rPr/>
      </w:pPr>
      <w:r/>
    </w:p>
    <w:p>
      <w:pPr>
        <w:pStyle w:val="BodyText"/>
        <w:spacing w:line="306"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ind w:left="349"/>
            <w:spacing w:before="71" w:line="219" w:lineRule="auto"/>
            <w:tabs>
              <w:tab w:val="right" w:leader="dot" w:pos="13380"/>
            </w:tabs>
            <w:rPr>
              <w:rFonts w:ascii="Times New Roman" w:hAnsi="Times New Roman" w:eastAsia="Times New Roman" w:cs="Times New Roman"/>
              <w:sz w:val="22"/>
              <w:szCs w:val="22"/>
            </w:rPr>
          </w:pPr>
          <w:bookmarkStart w:name="bookmark275" w:id="7"/>
          <w:bookmarkEnd w:id="7"/>
          <w:hyperlink w:history="true" w:anchor="bookmark276">
            <w:r>
              <w:rPr>
                <w:rFonts w:ascii="SimHei" w:hAnsi="SimHei" w:eastAsia="SimHei" w:cs="SimHei"/>
                <w:sz w:val="22"/>
                <w:szCs w:val="22"/>
              </w:rPr>
              <w:t>第二百一十五条</w:t>
            </w:r>
            <w:r>
              <w:rPr>
                <w:rFonts w:ascii="SimHei" w:hAnsi="SimHei" w:eastAsia="SimHei" w:cs="SimHei"/>
                <w:sz w:val="22"/>
                <w:szCs w:val="22"/>
              </w:rPr>
              <w:t xml:space="preserve"> </w:t>
            </w:r>
            <w:r>
              <w:rPr>
                <w:rFonts w:ascii="SimHei" w:hAnsi="SimHei" w:eastAsia="SimHei" w:cs="SimHei"/>
                <w:sz w:val="22"/>
                <w:szCs w:val="22"/>
              </w:rPr>
              <w:t>台湾医师未取得《台湾医师短期行医执业证书》行医或者未按照注册的</w:t>
            </w:r>
            <w:r>
              <w:rPr>
                <w:rFonts w:ascii="SimHei" w:hAnsi="SimHei" w:eastAsia="SimHei" w:cs="SimHei"/>
                <w:sz w:val="22"/>
                <w:szCs w:val="22"/>
                <w:spacing w:val="-1"/>
              </w:rPr>
              <w:t>有效期从事诊疗活动的</w:t>
            </w:r>
            <w:r>
              <w:rPr>
                <w:rFonts w:ascii="SimHei" w:hAnsi="SimHei" w:eastAsia="SimHei" w:cs="SimHei"/>
                <w:sz w:val="22"/>
                <w:szCs w:val="22"/>
                <w:spacing w:val="-91"/>
              </w:rPr>
              <w:t xml:space="preserve"> </w:t>
            </w:r>
            <w:r>
              <w:rPr>
                <w:rFonts w:ascii="SimHei" w:hAnsi="SimHei" w:eastAsia="SimHei" w:cs="SimHei"/>
                <w:sz w:val="22"/>
                <w:szCs w:val="22"/>
              </w:rPr>
              <w:tab/>
            </w:r>
            <w:r>
              <w:rPr>
                <w:rFonts w:ascii="SimHei" w:hAnsi="SimHei" w:eastAsia="SimHei" w:cs="SimHei"/>
                <w:sz w:val="22"/>
                <w:szCs w:val="22"/>
                <w:spacing w:val="-34"/>
              </w:rPr>
              <w:t xml:space="preserve"> </w:t>
            </w:r>
            <w:r>
              <w:rPr>
                <w:rFonts w:ascii="Times New Roman" w:hAnsi="Times New Roman" w:eastAsia="Times New Roman" w:cs="Times New Roman"/>
                <w:sz w:val="22"/>
                <w:szCs w:val="22"/>
                <w:spacing w:val="-3"/>
              </w:rPr>
              <w:t>300</w:t>
            </w:r>
          </w:hyperlink>
        </w:p>
        <w:p>
          <w:pPr>
            <w:pStyle w:val="BodyText"/>
            <w:spacing w:line="295" w:lineRule="auto"/>
            <w:rPr/>
          </w:pPr>
          <w:r/>
        </w:p>
        <w:p>
          <w:pPr>
            <w:spacing w:before="72" w:line="224" w:lineRule="auto"/>
            <w:tabs>
              <w:tab w:val="right" w:leader="dot" w:pos="13330"/>
            </w:tabs>
            <w:rPr>
              <w:rFonts w:ascii="Times New Roman" w:hAnsi="Times New Roman" w:eastAsia="Times New Roman" w:cs="Times New Roman"/>
              <w:sz w:val="22"/>
              <w:szCs w:val="22"/>
            </w:rPr>
          </w:pPr>
          <w:hyperlink w:history="true" w:anchor="bookmark277">
            <w:r>
              <w:rPr>
                <w:rFonts w:ascii="KaiTi" w:hAnsi="KaiTi" w:eastAsia="KaiTi" w:cs="KaiTi"/>
                <w:sz w:val="22"/>
                <w:szCs w:val="22"/>
                <w:spacing w:val="-6"/>
              </w:rPr>
              <w:t>(</w:t>
            </w:r>
            <w:r>
              <w:rPr>
                <w:rFonts w:ascii="KaiTi" w:hAnsi="KaiTi" w:eastAsia="KaiTi" w:cs="KaiTi"/>
                <w:sz w:val="22"/>
                <w:szCs w:val="22"/>
                <w:spacing w:val="-21"/>
              </w:rPr>
              <w:t xml:space="preserve"> </w:t>
            </w:r>
            <w:r>
              <w:rPr>
                <w:rFonts w:ascii="KaiTi" w:hAnsi="KaiTi" w:eastAsia="KaiTi" w:cs="KaiTi"/>
                <w:sz w:val="22"/>
                <w:szCs w:val="22"/>
                <w:spacing w:val="-6"/>
              </w:rPr>
              <w:t>九</w:t>
            </w:r>
            <w:r>
              <w:rPr>
                <w:rFonts w:ascii="KaiTi" w:hAnsi="KaiTi" w:eastAsia="KaiTi" w:cs="KaiTi"/>
                <w:sz w:val="22"/>
                <w:szCs w:val="22"/>
                <w:spacing w:val="-28"/>
              </w:rPr>
              <w:t xml:space="preserve"> </w:t>
            </w:r>
            <w:r>
              <w:rPr>
                <w:rFonts w:ascii="KaiTi" w:hAnsi="KaiTi" w:eastAsia="KaiTi" w:cs="KaiTi"/>
                <w:sz w:val="22"/>
                <w:szCs w:val="22"/>
                <w:spacing w:val="-6"/>
              </w:rPr>
              <w:t>)《中华人民共和国精神卫生法》</w:t>
            </w:r>
            <w:r>
              <w:rPr>
                <w:rFonts w:ascii="KaiTi" w:hAnsi="KaiTi" w:eastAsia="KaiTi" w:cs="KaiTi"/>
                <w:sz w:val="22"/>
                <w:szCs w:val="22"/>
              </w:rPr>
              <w:tab/>
            </w:r>
            <w:r>
              <w:rPr>
                <w:rFonts w:ascii="Times New Roman" w:hAnsi="Times New Roman" w:eastAsia="Times New Roman" w:cs="Times New Roman"/>
                <w:sz w:val="22"/>
                <w:szCs w:val="22"/>
                <w:spacing w:val="-1"/>
              </w:rPr>
              <w:t>302</w:t>
            </w:r>
          </w:hyperlink>
        </w:p>
        <w:p>
          <w:pPr>
            <w:pStyle w:val="BodyText"/>
            <w:spacing w:line="340" w:lineRule="auto"/>
            <w:rPr/>
          </w:pPr>
          <w:r/>
        </w:p>
        <w:p>
          <w:pPr>
            <w:ind w:left="349"/>
            <w:spacing w:before="72" w:line="221" w:lineRule="auto"/>
            <w:tabs>
              <w:tab w:val="right" w:leader="dot" w:pos="13250"/>
            </w:tabs>
            <w:rPr>
              <w:rFonts w:ascii="Times New Roman" w:hAnsi="Times New Roman" w:eastAsia="Times New Roman" w:cs="Times New Roman"/>
              <w:sz w:val="22"/>
              <w:szCs w:val="22"/>
            </w:rPr>
          </w:pPr>
          <w:hyperlink w:history="true" w:anchor="bookmark278">
            <w:r>
              <w:rPr>
                <w:rFonts w:ascii="SimHei" w:hAnsi="SimHei" w:eastAsia="SimHei" w:cs="SimHei"/>
                <w:sz w:val="22"/>
                <w:szCs w:val="22"/>
                <w:spacing w:val="2"/>
              </w:rPr>
              <w:t>第二百一十六条</w:t>
            </w:r>
            <w:r>
              <w:rPr>
                <w:rFonts w:ascii="SimHei" w:hAnsi="SimHei" w:eastAsia="SimHei" w:cs="SimHei"/>
                <w:sz w:val="22"/>
                <w:szCs w:val="22"/>
                <w:spacing w:val="2"/>
              </w:rPr>
              <w:t xml:space="preserve"> </w:t>
            </w:r>
            <w:r>
              <w:rPr>
                <w:rFonts w:ascii="SimHei" w:hAnsi="SimHei" w:eastAsia="SimHei" w:cs="SimHei"/>
                <w:sz w:val="22"/>
                <w:szCs w:val="22"/>
                <w:spacing w:val="2"/>
              </w:rPr>
              <w:t>不符合《中华人民共和国精神卫生法》规定条件</w:t>
            </w:r>
            <w:r>
              <w:rPr>
                <w:rFonts w:ascii="SimHei" w:hAnsi="SimHei" w:eastAsia="SimHei" w:cs="SimHei"/>
                <w:sz w:val="22"/>
                <w:szCs w:val="22"/>
                <w:spacing w:val="1"/>
              </w:rPr>
              <w:t>的医疗机构擅自从事精神障碍诊断、治疗的</w:t>
            </w:r>
            <w:r>
              <w:rPr>
                <w:rFonts w:ascii="SimHei" w:hAnsi="SimHei" w:eastAsia="SimHei" w:cs="SimHei"/>
                <w:sz w:val="22"/>
                <w:szCs w:val="22"/>
                <w:spacing w:val="-98"/>
              </w:rPr>
              <w:t xml:space="preserve"> </w:t>
            </w:r>
            <w:r>
              <w:rPr>
                <w:rFonts w:ascii="SimHei" w:hAnsi="SimHei" w:eastAsia="SimHei" w:cs="SimHei"/>
                <w:sz w:val="22"/>
                <w:szCs w:val="22"/>
              </w:rPr>
              <w:tab/>
            </w:r>
            <w:r>
              <w:rPr>
                <w:rFonts w:ascii="SimHei" w:hAnsi="SimHei" w:eastAsia="SimHei" w:cs="SimHei"/>
                <w:sz w:val="22"/>
                <w:szCs w:val="22"/>
                <w:spacing w:val="-24"/>
              </w:rPr>
              <w:t xml:space="preserve"> </w:t>
            </w:r>
            <w:r>
              <w:rPr>
                <w:rFonts w:ascii="Times New Roman" w:hAnsi="Times New Roman" w:eastAsia="Times New Roman" w:cs="Times New Roman"/>
                <w:sz w:val="22"/>
                <w:szCs w:val="22"/>
                <w:spacing w:val="-3"/>
              </w:rPr>
              <w:t>302</w:t>
            </w:r>
          </w:hyperlink>
        </w:p>
        <w:p>
          <w:pPr>
            <w:pStyle w:val="BodyText"/>
            <w:spacing w:line="241" w:lineRule="auto"/>
            <w:rPr/>
          </w:pPr>
          <w:r/>
        </w:p>
        <w:p>
          <w:pPr>
            <w:pStyle w:val="BodyText"/>
            <w:spacing w:line="241" w:lineRule="auto"/>
            <w:rPr/>
          </w:pPr>
          <w:r/>
        </w:p>
        <w:p>
          <w:pPr>
            <w:ind w:left="349"/>
            <w:spacing w:before="71" w:line="221" w:lineRule="auto"/>
            <w:tabs>
              <w:tab w:val="right" w:leader="dot" w:pos="13390"/>
            </w:tabs>
            <w:rPr>
              <w:rFonts w:ascii="Times New Roman" w:hAnsi="Times New Roman" w:eastAsia="Times New Roman" w:cs="Times New Roman"/>
              <w:sz w:val="22"/>
              <w:szCs w:val="22"/>
            </w:rPr>
          </w:pPr>
          <w:hyperlink w:history="true" w:anchor="bookmark279">
            <w:r>
              <w:rPr>
                <w:rFonts w:ascii="SimHei" w:hAnsi="SimHei" w:eastAsia="SimHei" w:cs="SimHei"/>
                <w:sz w:val="22"/>
                <w:szCs w:val="22"/>
              </w:rPr>
              <w:t>第二百一十七条</w:t>
            </w:r>
            <w:r>
              <w:rPr>
                <w:rFonts w:ascii="SimHei" w:hAnsi="SimHei" w:eastAsia="SimHei" w:cs="SimHei"/>
                <w:sz w:val="22"/>
                <w:szCs w:val="22"/>
              </w:rPr>
              <w:t xml:space="preserve"> </w:t>
            </w:r>
            <w:r>
              <w:rPr>
                <w:rFonts w:ascii="SimHei" w:hAnsi="SimHei" w:eastAsia="SimHei" w:cs="SimHei"/>
                <w:sz w:val="22"/>
                <w:szCs w:val="22"/>
              </w:rPr>
              <w:t>医疗机构及其工作人员拒绝对送诊的疑似精</w:t>
            </w:r>
            <w:r>
              <w:rPr>
                <w:rFonts w:ascii="SimHei" w:hAnsi="SimHei" w:eastAsia="SimHei" w:cs="SimHei"/>
                <w:sz w:val="22"/>
                <w:szCs w:val="22"/>
                <w:spacing w:val="-1"/>
              </w:rPr>
              <w:t>神障碍患者作出诊断的</w:t>
            </w:r>
            <w:r>
              <w:rPr>
                <w:rFonts w:ascii="SimHei" w:hAnsi="SimHei" w:eastAsia="SimHei" w:cs="SimHei"/>
                <w:sz w:val="22"/>
                <w:szCs w:val="22"/>
                <w:spacing w:val="-81"/>
              </w:rPr>
              <w:t xml:space="preserve"> </w:t>
            </w:r>
            <w:r>
              <w:rPr>
                <w:rFonts w:ascii="SimHei" w:hAnsi="SimHei" w:eastAsia="SimHei" w:cs="SimHei"/>
                <w:sz w:val="22"/>
                <w:szCs w:val="22"/>
              </w:rPr>
              <w:tab/>
            </w:r>
            <w:r>
              <w:rPr>
                <w:rFonts w:ascii="SimHei" w:hAnsi="SimHei" w:eastAsia="SimHei" w:cs="SimHei"/>
                <w:sz w:val="22"/>
                <w:szCs w:val="22"/>
                <w:spacing w:val="-34"/>
              </w:rPr>
              <w:t xml:space="preserve"> </w:t>
            </w:r>
            <w:r>
              <w:rPr>
                <w:rFonts w:ascii="Times New Roman" w:hAnsi="Times New Roman" w:eastAsia="Times New Roman" w:cs="Times New Roman"/>
                <w:sz w:val="22"/>
                <w:szCs w:val="22"/>
                <w:spacing w:val="-4"/>
              </w:rPr>
              <w:t>302</w:t>
            </w:r>
          </w:hyperlink>
        </w:p>
        <w:p>
          <w:pPr>
            <w:pStyle w:val="BodyText"/>
            <w:spacing w:line="265" w:lineRule="auto"/>
            <w:rPr/>
          </w:pPr>
          <w:r/>
        </w:p>
        <w:p>
          <w:pPr>
            <w:pStyle w:val="BodyText"/>
            <w:spacing w:line="266" w:lineRule="auto"/>
            <w:rPr/>
          </w:pPr>
          <w:r/>
        </w:p>
        <w:p>
          <w:pPr>
            <w:ind w:left="349"/>
            <w:spacing w:before="72" w:line="221" w:lineRule="auto"/>
            <w:tabs>
              <w:tab w:val="right" w:leader="dot" w:pos="13380"/>
            </w:tabs>
            <w:rPr>
              <w:rFonts w:ascii="Times New Roman" w:hAnsi="Times New Roman" w:eastAsia="Times New Roman" w:cs="Times New Roman"/>
              <w:sz w:val="22"/>
              <w:szCs w:val="22"/>
            </w:rPr>
          </w:pPr>
          <w:hyperlink w:history="true" w:anchor="bookmark280">
            <w:r>
              <w:rPr>
                <w:rFonts w:ascii="SimHei" w:hAnsi="SimHei" w:eastAsia="SimHei" w:cs="SimHei"/>
                <w:sz w:val="22"/>
                <w:szCs w:val="22"/>
              </w:rPr>
              <w:t>第二百一十八条</w:t>
            </w:r>
            <w:r>
              <w:rPr>
                <w:rFonts w:ascii="SimHei" w:hAnsi="SimHei" w:eastAsia="SimHei" w:cs="SimHei"/>
                <w:sz w:val="22"/>
                <w:szCs w:val="22"/>
              </w:rPr>
              <w:t xml:space="preserve"> </w:t>
            </w:r>
            <w:r>
              <w:rPr>
                <w:rFonts w:ascii="SimHei" w:hAnsi="SimHei" w:eastAsia="SimHei" w:cs="SimHei"/>
                <w:sz w:val="22"/>
                <w:szCs w:val="22"/>
              </w:rPr>
              <w:t>医疗机构及其工作人员实施住院治疗的患者未及时进行检查评估或者未根</w:t>
            </w:r>
            <w:r>
              <w:rPr>
                <w:rFonts w:ascii="SimHei" w:hAnsi="SimHei" w:eastAsia="SimHei" w:cs="SimHei"/>
                <w:sz w:val="22"/>
                <w:szCs w:val="22"/>
                <w:spacing w:val="-1"/>
              </w:rPr>
              <w:t>据评估结果作出处理的</w:t>
            </w:r>
            <w:r>
              <w:rPr>
                <w:rFonts w:ascii="SimHei" w:hAnsi="SimHei" w:eastAsia="SimHei" w:cs="SimHei"/>
                <w:sz w:val="22"/>
                <w:szCs w:val="22"/>
                <w:spacing w:val="-81"/>
              </w:rPr>
              <w:t xml:space="preserve"> </w:t>
            </w:r>
            <w:r>
              <w:rPr>
                <w:rFonts w:ascii="SimHei" w:hAnsi="SimHei" w:eastAsia="SimHei" w:cs="SimHei"/>
                <w:sz w:val="22"/>
                <w:szCs w:val="22"/>
              </w:rPr>
              <w:tab/>
            </w:r>
            <w:r>
              <w:rPr>
                <w:rFonts w:ascii="SimHei" w:hAnsi="SimHei" w:eastAsia="SimHei" w:cs="SimHei"/>
                <w:sz w:val="22"/>
                <w:szCs w:val="22"/>
                <w:spacing w:val="-44"/>
              </w:rPr>
              <w:t xml:space="preserve"> </w:t>
            </w:r>
            <w:r>
              <w:rPr>
                <w:rFonts w:ascii="Times New Roman" w:hAnsi="Times New Roman" w:eastAsia="Times New Roman" w:cs="Times New Roman"/>
                <w:sz w:val="22"/>
                <w:szCs w:val="22"/>
                <w:spacing w:val="-3"/>
              </w:rPr>
              <w:t>303</w:t>
            </w:r>
          </w:hyperlink>
        </w:p>
        <w:p>
          <w:pPr>
            <w:pStyle w:val="BodyText"/>
            <w:spacing w:line="442" w:lineRule="auto"/>
            <w:rPr/>
          </w:pPr>
          <w:r/>
        </w:p>
        <w:p>
          <w:pPr>
            <w:ind w:left="349"/>
            <w:spacing w:before="72" w:line="221" w:lineRule="auto"/>
            <w:tabs>
              <w:tab w:val="right" w:leader="dot" w:pos="13380"/>
            </w:tabs>
            <w:rPr>
              <w:rFonts w:ascii="Times New Roman" w:hAnsi="Times New Roman" w:eastAsia="Times New Roman" w:cs="Times New Roman"/>
              <w:sz w:val="22"/>
              <w:szCs w:val="22"/>
            </w:rPr>
          </w:pPr>
          <w:hyperlink w:history="true" w:anchor="bookmark281">
            <w:r>
              <w:rPr>
                <w:rFonts w:ascii="SimHei" w:hAnsi="SimHei" w:eastAsia="SimHei" w:cs="SimHei"/>
                <w:sz w:val="22"/>
                <w:szCs w:val="22"/>
                <w:spacing w:val="-1"/>
              </w:rPr>
              <w:t>第二百一十九条</w:t>
            </w:r>
            <w:r>
              <w:rPr>
                <w:rFonts w:ascii="SimHei" w:hAnsi="SimHei" w:eastAsia="SimHei" w:cs="SimHei"/>
                <w:sz w:val="22"/>
                <w:szCs w:val="22"/>
                <w:spacing w:val="-1"/>
              </w:rPr>
              <w:t xml:space="preserve"> </w:t>
            </w:r>
            <w:r>
              <w:rPr>
                <w:rFonts w:ascii="SimHei" w:hAnsi="SimHei" w:eastAsia="SimHei" w:cs="SimHei"/>
                <w:sz w:val="22"/>
                <w:szCs w:val="22"/>
                <w:spacing w:val="-1"/>
              </w:rPr>
              <w:t>医疗机构及其工作人员违反《中华人民共和国精神卫生法》规定实施约束、隔离等保护性医疗措施的</w:t>
            </w:r>
            <w:r>
              <w:rPr>
                <w:rFonts w:ascii="SimHei" w:hAnsi="SimHei" w:eastAsia="SimHei" w:cs="SimHei"/>
                <w:sz w:val="22"/>
                <w:szCs w:val="22"/>
                <w:spacing w:val="-89"/>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304</w:t>
            </w:r>
          </w:hyperlink>
        </w:p>
        <w:p>
          <w:pPr>
            <w:pStyle w:val="BodyText"/>
            <w:spacing w:line="241" w:lineRule="auto"/>
            <w:rPr/>
          </w:pPr>
          <w:r/>
        </w:p>
        <w:p>
          <w:pPr>
            <w:pStyle w:val="BodyText"/>
            <w:spacing w:line="241" w:lineRule="auto"/>
            <w:rPr/>
          </w:pPr>
          <w:r/>
        </w:p>
        <w:p>
          <w:pPr>
            <w:ind w:left="349"/>
            <w:spacing w:before="72" w:line="222" w:lineRule="auto"/>
            <w:tabs>
              <w:tab w:val="right" w:leader="dot" w:pos="13250"/>
            </w:tabs>
            <w:rPr>
              <w:rFonts w:ascii="Times New Roman" w:hAnsi="Times New Roman" w:eastAsia="Times New Roman" w:cs="Times New Roman"/>
              <w:sz w:val="22"/>
              <w:szCs w:val="22"/>
            </w:rPr>
          </w:pPr>
          <w:hyperlink w:history="true" w:anchor="bookmark282">
            <w:r>
              <w:rPr>
                <w:rFonts w:ascii="SimHei" w:hAnsi="SimHei" w:eastAsia="SimHei" w:cs="SimHei"/>
                <w:sz w:val="22"/>
                <w:szCs w:val="22"/>
                <w:spacing w:val="4"/>
              </w:rPr>
              <w:t>第二百二十条</w:t>
            </w:r>
            <w:r>
              <w:rPr>
                <w:rFonts w:ascii="SimHei" w:hAnsi="SimHei" w:eastAsia="SimHei" w:cs="SimHei"/>
                <w:sz w:val="22"/>
                <w:szCs w:val="22"/>
                <w:spacing w:val="4"/>
              </w:rPr>
              <w:t xml:space="preserve"> </w:t>
            </w:r>
            <w:r>
              <w:rPr>
                <w:rFonts w:ascii="SimHei" w:hAnsi="SimHei" w:eastAsia="SimHei" w:cs="SimHei"/>
                <w:sz w:val="22"/>
                <w:szCs w:val="22"/>
                <w:spacing w:val="4"/>
              </w:rPr>
              <w:t>违反《中华人民共和国精神卫生法》,强迫精神障碍患者劳动的</w:t>
            </w:r>
            <w:r>
              <w:rPr>
                <w:rFonts w:ascii="SimHei" w:hAnsi="SimHei" w:eastAsia="SimHei" w:cs="SimHei"/>
                <w:sz w:val="22"/>
                <w:szCs w:val="22"/>
                <w:spacing w:val="-91"/>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305</w:t>
            </w:r>
          </w:hyperlink>
        </w:p>
        <w:p>
          <w:pPr>
            <w:pStyle w:val="BodyText"/>
            <w:rPr/>
          </w:pPr>
          <w:r/>
        </w:p>
        <w:p>
          <w:pPr>
            <w:pStyle w:val="BodyText"/>
            <w:spacing w:line="241" w:lineRule="auto"/>
            <w:rPr/>
          </w:pPr>
          <w:r/>
        </w:p>
        <w:p>
          <w:pPr>
            <w:ind w:left="349"/>
            <w:spacing w:before="71" w:line="213" w:lineRule="auto"/>
            <w:tabs>
              <w:tab w:val="right" w:leader="dot" w:pos="13380"/>
            </w:tabs>
            <w:rPr>
              <w:rFonts w:ascii="Times New Roman" w:hAnsi="Times New Roman" w:eastAsia="Times New Roman" w:cs="Times New Roman"/>
              <w:sz w:val="22"/>
              <w:szCs w:val="22"/>
            </w:rPr>
          </w:pPr>
          <w:hyperlink w:history="true" w:anchor="bookmark283">
            <w:r>
              <w:rPr>
                <w:rFonts w:ascii="SimHei" w:hAnsi="SimHei" w:eastAsia="SimHei" w:cs="SimHei"/>
                <w:sz w:val="22"/>
                <w:szCs w:val="22"/>
              </w:rPr>
              <w:t>第二百二十一条</w:t>
            </w:r>
            <w:r>
              <w:rPr>
                <w:rFonts w:ascii="SimHei" w:hAnsi="SimHei" w:eastAsia="SimHei" w:cs="SimHei"/>
                <w:sz w:val="22"/>
                <w:szCs w:val="22"/>
              </w:rPr>
              <w:t xml:space="preserve"> </w:t>
            </w:r>
            <w:r>
              <w:rPr>
                <w:rFonts w:ascii="SimHei" w:hAnsi="SimHei" w:eastAsia="SimHei" w:cs="SimHei"/>
                <w:sz w:val="22"/>
                <w:szCs w:val="22"/>
              </w:rPr>
              <w:t>违反《中华人民共和国精神卫生法》规定，对精神障碍患者实施外科手术</w:t>
            </w:r>
            <w:r>
              <w:rPr>
                <w:rFonts w:ascii="SimHei" w:hAnsi="SimHei" w:eastAsia="SimHei" w:cs="SimHei"/>
                <w:sz w:val="22"/>
                <w:szCs w:val="22"/>
                <w:spacing w:val="-1"/>
              </w:rPr>
              <w:t>或者实验性临床医疗的</w:t>
            </w:r>
            <w:r>
              <w:rPr>
                <w:rFonts w:ascii="SimHei" w:hAnsi="SimHei" w:eastAsia="SimHei" w:cs="SimHei"/>
                <w:sz w:val="22"/>
                <w:szCs w:val="22"/>
                <w:spacing w:val="-81"/>
              </w:rPr>
              <w:t xml:space="preserve"> </w:t>
            </w:r>
            <w:r>
              <w:rPr>
                <w:rFonts w:ascii="SimHei" w:hAnsi="SimHei" w:eastAsia="SimHei" w:cs="SimHei"/>
                <w:sz w:val="22"/>
                <w:szCs w:val="22"/>
              </w:rPr>
              <w:tab/>
            </w:r>
            <w:r>
              <w:rPr>
                <w:rFonts w:ascii="SimHei" w:hAnsi="SimHei" w:eastAsia="SimHei" w:cs="SimHei"/>
                <w:sz w:val="22"/>
                <w:szCs w:val="22"/>
                <w:spacing w:val="-44"/>
              </w:rPr>
              <w:t xml:space="preserve"> </w:t>
            </w:r>
            <w:r>
              <w:rPr>
                <w:rFonts w:ascii="Times New Roman" w:hAnsi="Times New Roman" w:eastAsia="Times New Roman" w:cs="Times New Roman"/>
                <w:sz w:val="22"/>
                <w:szCs w:val="22"/>
                <w:spacing w:val="-3"/>
              </w:rPr>
              <w:t>306</w:t>
            </w:r>
          </w:hyperlink>
        </w:p>
        <w:p>
          <w:pPr>
            <w:pStyle w:val="BodyText"/>
            <w:spacing w:line="245" w:lineRule="auto"/>
            <w:rPr/>
          </w:pPr>
          <w:r/>
        </w:p>
        <w:p>
          <w:pPr>
            <w:pStyle w:val="BodyText"/>
            <w:spacing w:line="246" w:lineRule="auto"/>
            <w:rPr/>
          </w:pPr>
          <w:r/>
        </w:p>
        <w:p>
          <w:pPr>
            <w:ind w:left="349"/>
            <w:spacing w:before="72" w:line="213" w:lineRule="auto"/>
            <w:tabs>
              <w:tab w:val="right" w:leader="dot" w:pos="13240"/>
            </w:tabs>
            <w:rPr>
              <w:rFonts w:ascii="Times New Roman" w:hAnsi="Times New Roman" w:eastAsia="Times New Roman" w:cs="Times New Roman"/>
              <w:sz w:val="22"/>
              <w:szCs w:val="22"/>
            </w:rPr>
          </w:pPr>
          <w:hyperlink w:history="true" w:anchor="bookmark284">
            <w:r>
              <w:rPr>
                <w:rFonts w:ascii="SimHei" w:hAnsi="SimHei" w:eastAsia="SimHei" w:cs="SimHei"/>
                <w:sz w:val="22"/>
                <w:szCs w:val="22"/>
                <w:spacing w:val="2"/>
              </w:rPr>
              <w:t>第二百二十二条</w:t>
            </w:r>
            <w:r>
              <w:rPr>
                <w:rFonts w:ascii="SimHei" w:hAnsi="SimHei" w:eastAsia="SimHei" w:cs="SimHei"/>
                <w:sz w:val="22"/>
                <w:szCs w:val="22"/>
                <w:spacing w:val="2"/>
              </w:rPr>
              <w:t xml:space="preserve"> </w:t>
            </w:r>
            <w:r>
              <w:rPr>
                <w:rFonts w:ascii="SimHei" w:hAnsi="SimHei" w:eastAsia="SimHei" w:cs="SimHei"/>
                <w:sz w:val="22"/>
                <w:szCs w:val="22"/>
                <w:spacing w:val="2"/>
              </w:rPr>
              <w:t>违反《中华人民共和国精神卫生法》规定，侵害</w:t>
            </w:r>
            <w:r>
              <w:rPr>
                <w:rFonts w:ascii="SimHei" w:hAnsi="SimHei" w:eastAsia="SimHei" w:cs="SimHei"/>
                <w:sz w:val="22"/>
                <w:szCs w:val="22"/>
                <w:spacing w:val="1"/>
              </w:rPr>
              <w:t>精神障碍患者的通讯和会见探访者等权利的</w:t>
            </w:r>
            <w:r>
              <w:rPr>
                <w:rFonts w:ascii="SimHei" w:hAnsi="SimHei" w:eastAsia="SimHei" w:cs="SimHei"/>
                <w:sz w:val="22"/>
                <w:szCs w:val="22"/>
                <w:spacing w:val="-98"/>
              </w:rPr>
              <w:t xml:space="preserve"> </w:t>
            </w:r>
            <w:r>
              <w:rPr>
                <w:rFonts w:ascii="SimHei" w:hAnsi="SimHei" w:eastAsia="SimHei" w:cs="SimHei"/>
                <w:sz w:val="22"/>
                <w:szCs w:val="22"/>
              </w:rPr>
              <w:tab/>
            </w:r>
            <w:r>
              <w:rPr>
                <w:rFonts w:ascii="SimHei" w:hAnsi="SimHei" w:eastAsia="SimHei" w:cs="SimHei"/>
                <w:sz w:val="22"/>
                <w:szCs w:val="22"/>
                <w:spacing w:val="-33"/>
              </w:rPr>
              <w:t xml:space="preserve"> </w:t>
            </w:r>
            <w:r>
              <w:rPr>
                <w:rFonts w:ascii="Times New Roman" w:hAnsi="Times New Roman" w:eastAsia="Times New Roman" w:cs="Times New Roman"/>
                <w:sz w:val="22"/>
                <w:szCs w:val="22"/>
                <w:spacing w:val="-3"/>
              </w:rPr>
              <w:t>306</w:t>
            </w:r>
          </w:hyperlink>
        </w:p>
        <w:p>
          <w:pPr>
            <w:pStyle w:val="BodyText"/>
            <w:spacing w:line="250" w:lineRule="auto"/>
            <w:rPr/>
          </w:pPr>
          <w:r/>
        </w:p>
        <w:p>
          <w:pPr>
            <w:pStyle w:val="BodyText"/>
            <w:spacing w:line="251" w:lineRule="auto"/>
            <w:rPr/>
          </w:pPr>
          <w:r/>
        </w:p>
        <w:p>
          <w:pPr>
            <w:ind w:left="349"/>
            <w:spacing w:before="73" w:line="213" w:lineRule="auto"/>
            <w:tabs>
              <w:tab w:val="right" w:leader="dot" w:pos="13380"/>
            </w:tabs>
            <w:rPr>
              <w:rFonts w:ascii="Times New Roman" w:hAnsi="Times New Roman" w:eastAsia="Times New Roman" w:cs="Times New Roman"/>
              <w:sz w:val="22"/>
              <w:szCs w:val="22"/>
            </w:rPr>
          </w:pPr>
          <w:hyperlink w:history="true" w:anchor="bookmark285">
            <w:r>
              <w:rPr>
                <w:rFonts w:ascii="SimHei" w:hAnsi="SimHei" w:eastAsia="SimHei" w:cs="SimHei"/>
                <w:sz w:val="22"/>
                <w:szCs w:val="22"/>
              </w:rPr>
              <w:t>第二百二十三条</w:t>
            </w:r>
            <w:r>
              <w:rPr>
                <w:rFonts w:ascii="SimHei" w:hAnsi="SimHei" w:eastAsia="SimHei" w:cs="SimHei"/>
                <w:sz w:val="22"/>
                <w:szCs w:val="22"/>
              </w:rPr>
              <w:t xml:space="preserve"> </w:t>
            </w:r>
            <w:r>
              <w:rPr>
                <w:rFonts w:ascii="SimHei" w:hAnsi="SimHei" w:eastAsia="SimHei" w:cs="SimHei"/>
                <w:sz w:val="22"/>
                <w:szCs w:val="22"/>
              </w:rPr>
              <w:t>违反精神障碍诊断标准，将非精神障碍患者</w:t>
            </w:r>
            <w:r>
              <w:rPr>
                <w:rFonts w:ascii="SimHei" w:hAnsi="SimHei" w:eastAsia="SimHei" w:cs="SimHei"/>
                <w:sz w:val="22"/>
                <w:szCs w:val="22"/>
                <w:spacing w:val="-1"/>
              </w:rPr>
              <w:t>诊断为精神障碍患者的</w:t>
            </w:r>
            <w:r>
              <w:rPr>
                <w:rFonts w:ascii="SimHei" w:hAnsi="SimHei" w:eastAsia="SimHei" w:cs="SimHei"/>
                <w:sz w:val="22"/>
                <w:szCs w:val="22"/>
                <w:spacing w:val="-81"/>
              </w:rPr>
              <w:t xml:space="preserve"> </w:t>
            </w:r>
            <w:r>
              <w:rPr>
                <w:rFonts w:ascii="SimHei" w:hAnsi="SimHei" w:eastAsia="SimHei" w:cs="SimHei"/>
                <w:sz w:val="22"/>
                <w:szCs w:val="22"/>
              </w:rPr>
              <w:tab/>
            </w:r>
            <w:r>
              <w:rPr>
                <w:rFonts w:ascii="SimHei" w:hAnsi="SimHei" w:eastAsia="SimHei" w:cs="SimHei"/>
                <w:sz w:val="22"/>
                <w:szCs w:val="22"/>
                <w:spacing w:val="-44"/>
              </w:rPr>
              <w:t xml:space="preserve"> </w:t>
            </w:r>
            <w:r>
              <w:rPr>
                <w:rFonts w:ascii="Times New Roman" w:hAnsi="Times New Roman" w:eastAsia="Times New Roman" w:cs="Times New Roman"/>
                <w:sz w:val="22"/>
                <w:szCs w:val="22"/>
                <w:spacing w:val="-3"/>
              </w:rPr>
              <w:t>307</w:t>
            </w:r>
          </w:hyperlink>
        </w:p>
      </w:sdtContent>
    </w:sdt>
    <w:p>
      <w:pPr>
        <w:spacing w:line="213" w:lineRule="auto"/>
        <w:sectPr>
          <w:footerReference w:type="default" r:id="rId28"/>
          <w:pgSz w:w="16830" w:h="11900"/>
          <w:pgMar w:top="1011" w:right="1478" w:bottom="1134" w:left="1960" w:header="0" w:footer="792" w:gutter="0"/>
        </w:sectPr>
        <w:rPr>
          <w:rFonts w:ascii="Times New Roman" w:hAnsi="Times New Roman" w:eastAsia="Times New Roman" w:cs="Times New Roman"/>
          <w:sz w:val="22"/>
          <w:szCs w:val="22"/>
        </w:rPr>
      </w:pPr>
    </w:p>
    <w:p>
      <w:pPr>
        <w:pStyle w:val="BodyText"/>
        <w:spacing w:line="306" w:lineRule="auto"/>
        <w:rPr/>
      </w:pPr>
      <w:r/>
    </w:p>
    <w:p>
      <w:pPr>
        <w:pStyle w:val="BodyText"/>
        <w:spacing w:line="306" w:lineRule="auto"/>
        <w:rPr/>
      </w:pPr>
      <w:r/>
    </w:p>
    <w:p>
      <w:pPr>
        <w:pStyle w:val="BodyText"/>
        <w:spacing w:line="306"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ind w:left="339"/>
            <w:spacing w:before="71" w:line="221" w:lineRule="auto"/>
            <w:tabs>
              <w:tab w:val="right" w:leader="dot" w:pos="13360"/>
            </w:tabs>
            <w:rPr>
              <w:rFonts w:ascii="Times New Roman" w:hAnsi="Times New Roman" w:eastAsia="Times New Roman" w:cs="Times New Roman"/>
              <w:sz w:val="22"/>
              <w:szCs w:val="22"/>
            </w:rPr>
          </w:pPr>
          <w:hyperlink w:history="true" w:anchor="bookmark286">
            <w:r>
              <w:rPr>
                <w:rFonts w:ascii="SimHei" w:hAnsi="SimHei" w:eastAsia="SimHei" w:cs="SimHei"/>
                <w:sz w:val="22"/>
                <w:szCs w:val="22"/>
              </w:rPr>
              <w:t>第二百二十四条</w:t>
            </w:r>
            <w:r>
              <w:rPr>
                <w:rFonts w:ascii="SimHei" w:hAnsi="SimHei" w:eastAsia="SimHei" w:cs="SimHei"/>
                <w:sz w:val="22"/>
                <w:szCs w:val="22"/>
              </w:rPr>
              <w:t xml:space="preserve"> </w:t>
            </w:r>
            <w:r>
              <w:rPr>
                <w:rFonts w:ascii="SimHei" w:hAnsi="SimHei" w:eastAsia="SimHei" w:cs="SimHei"/>
                <w:sz w:val="22"/>
                <w:szCs w:val="22"/>
              </w:rPr>
              <w:t>心理咨询人员从事心理治疗或者精</w:t>
            </w:r>
            <w:r>
              <w:rPr>
                <w:rFonts w:ascii="SimHei" w:hAnsi="SimHei" w:eastAsia="SimHei" w:cs="SimHei"/>
                <w:sz w:val="22"/>
                <w:szCs w:val="22"/>
                <w:spacing w:val="-1"/>
              </w:rPr>
              <w:t>神障碍的诊断、治疗的</w:t>
            </w:r>
            <w:r>
              <w:rPr>
                <w:rFonts w:ascii="SimHei" w:hAnsi="SimHei" w:eastAsia="SimHei" w:cs="SimHei"/>
                <w:sz w:val="22"/>
                <w:szCs w:val="22"/>
              </w:rPr>
              <w:tab/>
            </w:r>
            <w:r>
              <w:rPr>
                <w:rFonts w:ascii="SimHei" w:hAnsi="SimHei" w:eastAsia="SimHei" w:cs="SimHei"/>
                <w:sz w:val="22"/>
                <w:szCs w:val="22"/>
                <w:spacing w:val="-23"/>
              </w:rPr>
              <w:t xml:space="preserve"> </w:t>
            </w:r>
            <w:r>
              <w:rPr>
                <w:rFonts w:ascii="Times New Roman" w:hAnsi="Times New Roman" w:eastAsia="Times New Roman" w:cs="Times New Roman"/>
                <w:sz w:val="22"/>
                <w:szCs w:val="22"/>
                <w:spacing w:val="-3"/>
              </w:rPr>
              <w:t>308</w:t>
            </w:r>
          </w:hyperlink>
        </w:p>
        <w:p>
          <w:pPr>
            <w:pStyle w:val="BodyText"/>
            <w:spacing w:line="241" w:lineRule="auto"/>
            <w:rPr/>
          </w:pPr>
          <w:r/>
        </w:p>
        <w:p>
          <w:pPr>
            <w:pStyle w:val="BodyText"/>
            <w:spacing w:line="241" w:lineRule="auto"/>
            <w:rPr/>
          </w:pPr>
          <w:r/>
        </w:p>
        <w:p>
          <w:pPr>
            <w:ind w:left="339"/>
            <w:spacing w:before="71" w:line="221" w:lineRule="auto"/>
            <w:tabs>
              <w:tab w:val="right" w:leader="dot" w:pos="13418"/>
            </w:tabs>
            <w:rPr>
              <w:rFonts w:ascii="Times New Roman" w:hAnsi="Times New Roman" w:eastAsia="Times New Roman" w:cs="Times New Roman"/>
              <w:sz w:val="22"/>
              <w:szCs w:val="22"/>
            </w:rPr>
          </w:pPr>
          <w:hyperlink w:history="true" w:anchor="bookmark287">
            <w:r>
              <w:rPr>
                <w:rFonts w:ascii="SimHei" w:hAnsi="SimHei" w:eastAsia="SimHei" w:cs="SimHei"/>
                <w:sz w:val="22"/>
                <w:szCs w:val="22"/>
              </w:rPr>
              <w:t>第二百二十五条</w:t>
            </w:r>
            <w:r>
              <w:rPr>
                <w:rFonts w:ascii="SimHei" w:hAnsi="SimHei" w:eastAsia="SimHei" w:cs="SimHei"/>
                <w:sz w:val="22"/>
                <w:szCs w:val="22"/>
              </w:rPr>
              <w:t xml:space="preserve"> </w:t>
            </w:r>
            <w:r>
              <w:rPr>
                <w:rFonts w:ascii="SimHei" w:hAnsi="SimHei" w:eastAsia="SimHei" w:cs="SimHei"/>
                <w:sz w:val="22"/>
                <w:szCs w:val="22"/>
              </w:rPr>
              <w:t>从事心理治疗的人员在医疗机构以</w:t>
            </w:r>
            <w:r>
              <w:rPr>
                <w:rFonts w:ascii="SimHei" w:hAnsi="SimHei" w:eastAsia="SimHei" w:cs="SimHei"/>
                <w:sz w:val="22"/>
                <w:szCs w:val="22"/>
                <w:spacing w:val="-1"/>
              </w:rPr>
              <w:t>外开展心理治疗活动的</w:t>
            </w:r>
            <w:r>
              <w:rPr>
                <w:rFonts w:ascii="SimHei" w:hAnsi="SimHei" w:eastAsia="SimHei" w:cs="SimHei"/>
                <w:sz w:val="22"/>
                <w:szCs w:val="22"/>
              </w:rPr>
              <w:tab/>
            </w:r>
            <w:r>
              <w:rPr>
                <w:rFonts w:ascii="Times New Roman" w:hAnsi="Times New Roman" w:eastAsia="Times New Roman" w:cs="Times New Roman"/>
                <w:sz w:val="22"/>
                <w:szCs w:val="22"/>
                <w:spacing w:val="-8"/>
              </w:rPr>
              <w:t>309</w:t>
            </w:r>
          </w:hyperlink>
        </w:p>
        <w:p>
          <w:pPr>
            <w:pStyle w:val="BodyText"/>
            <w:spacing w:line="246" w:lineRule="auto"/>
            <w:rPr/>
          </w:pPr>
          <w:r/>
        </w:p>
        <w:p>
          <w:pPr>
            <w:pStyle w:val="BodyText"/>
            <w:spacing w:line="246" w:lineRule="auto"/>
            <w:rPr/>
          </w:pPr>
          <w:r/>
        </w:p>
        <w:p>
          <w:pPr>
            <w:ind w:left="339"/>
            <w:spacing w:before="71" w:line="221" w:lineRule="auto"/>
            <w:tabs>
              <w:tab w:val="right" w:leader="dot" w:pos="13360"/>
            </w:tabs>
            <w:rPr>
              <w:rFonts w:ascii="Times New Roman" w:hAnsi="Times New Roman" w:eastAsia="Times New Roman" w:cs="Times New Roman"/>
              <w:sz w:val="22"/>
              <w:szCs w:val="22"/>
            </w:rPr>
          </w:pPr>
          <w:hyperlink w:history="true" w:anchor="bookmark288">
            <w:r>
              <w:rPr>
                <w:rFonts w:ascii="SimHei" w:hAnsi="SimHei" w:eastAsia="SimHei" w:cs="SimHei"/>
                <w:sz w:val="22"/>
                <w:szCs w:val="22"/>
                <w:spacing w:val="2"/>
              </w:rPr>
              <w:t>第二百二十六条</w:t>
            </w:r>
            <w:r>
              <w:rPr>
                <w:rFonts w:ascii="SimHei" w:hAnsi="SimHei" w:eastAsia="SimHei" w:cs="SimHei"/>
                <w:sz w:val="22"/>
                <w:szCs w:val="22"/>
                <w:spacing w:val="2"/>
              </w:rPr>
              <w:t xml:space="preserve"> </w:t>
            </w:r>
            <w:r>
              <w:rPr>
                <w:rFonts w:ascii="SimHei" w:hAnsi="SimHei" w:eastAsia="SimHei" w:cs="SimHei"/>
                <w:sz w:val="22"/>
                <w:szCs w:val="22"/>
                <w:spacing w:val="2"/>
              </w:rPr>
              <w:t>专门从事心理治疗的人员</w:t>
            </w:r>
            <w:r>
              <w:rPr>
                <w:rFonts w:ascii="SimHei" w:hAnsi="SimHei" w:eastAsia="SimHei" w:cs="SimHei"/>
                <w:sz w:val="22"/>
                <w:szCs w:val="22"/>
                <w:spacing w:val="1"/>
              </w:rPr>
              <w:t>从事精神障碍的诊断的</w:t>
            </w:r>
            <w:r>
              <w:rPr>
                <w:rFonts w:ascii="SimHei" w:hAnsi="SimHei" w:eastAsia="SimHei" w:cs="SimHei"/>
                <w:sz w:val="22"/>
                <w:szCs w:val="22"/>
                <w:spacing w:val="-100"/>
              </w:rPr>
              <w:t xml:space="preserve"> </w:t>
            </w:r>
            <w:r>
              <w:rPr>
                <w:rFonts w:ascii="SimHei" w:hAnsi="SimHei" w:eastAsia="SimHei" w:cs="SimHei"/>
                <w:sz w:val="22"/>
                <w:szCs w:val="22"/>
              </w:rPr>
              <w:tab/>
            </w:r>
            <w:r>
              <w:rPr>
                <w:rFonts w:ascii="Times New Roman" w:hAnsi="Times New Roman" w:eastAsia="Times New Roman" w:cs="Times New Roman"/>
                <w:sz w:val="22"/>
                <w:szCs w:val="22"/>
                <w:spacing w:val="2"/>
              </w:rPr>
              <w:t>310</w:t>
            </w:r>
          </w:hyperlink>
        </w:p>
        <w:p>
          <w:pPr>
            <w:pStyle w:val="BodyText"/>
            <w:spacing w:line="241" w:lineRule="auto"/>
            <w:rPr/>
          </w:pPr>
          <w:r/>
        </w:p>
        <w:p>
          <w:pPr>
            <w:pStyle w:val="BodyText"/>
            <w:spacing w:line="241" w:lineRule="auto"/>
            <w:rPr/>
          </w:pPr>
          <w:r/>
        </w:p>
        <w:p>
          <w:pPr>
            <w:ind w:left="339"/>
            <w:spacing w:before="71" w:line="221" w:lineRule="auto"/>
            <w:tabs>
              <w:tab w:val="right" w:leader="dot" w:pos="13370"/>
            </w:tabs>
            <w:rPr>
              <w:rFonts w:ascii="Times New Roman" w:hAnsi="Times New Roman" w:eastAsia="Times New Roman" w:cs="Times New Roman"/>
              <w:sz w:val="22"/>
              <w:szCs w:val="22"/>
            </w:rPr>
          </w:pPr>
          <w:hyperlink w:history="true" w:anchor="bookmark289">
            <w:r>
              <w:rPr>
                <w:rFonts w:ascii="SimHei" w:hAnsi="SimHei" w:eastAsia="SimHei" w:cs="SimHei"/>
                <w:sz w:val="22"/>
                <w:szCs w:val="22"/>
                <w:spacing w:val="-1"/>
              </w:rPr>
              <w:t>第二百二十七条</w:t>
            </w:r>
            <w:r>
              <w:rPr>
                <w:rFonts w:ascii="SimHei" w:hAnsi="SimHei" w:eastAsia="SimHei" w:cs="SimHei"/>
                <w:sz w:val="22"/>
                <w:szCs w:val="22"/>
                <w:spacing w:val="-1"/>
              </w:rPr>
              <w:t xml:space="preserve"> </w:t>
            </w:r>
            <w:r>
              <w:rPr>
                <w:rFonts w:ascii="SimHei" w:hAnsi="SimHei" w:eastAsia="SimHei" w:cs="SimHei"/>
                <w:sz w:val="22"/>
                <w:szCs w:val="22"/>
                <w:spacing w:val="-1"/>
              </w:rPr>
              <w:t>专门从事心理治疗的人员为精神障碍患</w:t>
            </w:r>
            <w:r>
              <w:rPr>
                <w:rFonts w:ascii="SimHei" w:hAnsi="SimHei" w:eastAsia="SimHei" w:cs="SimHei"/>
                <w:sz w:val="22"/>
                <w:szCs w:val="22"/>
                <w:spacing w:val="-2"/>
              </w:rPr>
              <w:t>者开具处方或者提供外科治疗的</w:t>
            </w:r>
            <w:r>
              <w:rPr>
                <w:rFonts w:ascii="SimHei" w:hAnsi="SimHei" w:eastAsia="SimHei" w:cs="SimHei"/>
                <w:sz w:val="22"/>
                <w:szCs w:val="22"/>
                <w:spacing w:val="-99"/>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311</w:t>
            </w:r>
          </w:hyperlink>
        </w:p>
        <w:p>
          <w:pPr>
            <w:pStyle w:val="BodyText"/>
            <w:spacing w:line="289" w:lineRule="auto"/>
            <w:rPr/>
          </w:pPr>
          <w:r/>
        </w:p>
        <w:p>
          <w:pPr>
            <w:spacing w:before="73" w:line="223" w:lineRule="auto"/>
            <w:tabs>
              <w:tab w:val="right" w:leader="dot" w:pos="13418"/>
            </w:tabs>
            <w:rPr>
              <w:rFonts w:ascii="Times New Roman" w:hAnsi="Times New Roman" w:eastAsia="Times New Roman" w:cs="Times New Roman"/>
              <w:sz w:val="22"/>
              <w:szCs w:val="22"/>
            </w:rPr>
          </w:pPr>
          <w:hyperlink w:history="true" w:anchor="bookmark290">
            <w:r>
              <w:rPr>
                <w:rFonts w:ascii="KaiTi" w:hAnsi="KaiTi" w:eastAsia="KaiTi" w:cs="KaiTi"/>
                <w:sz w:val="22"/>
                <w:szCs w:val="22"/>
                <w:spacing w:val="-8"/>
              </w:rPr>
              <w:t>(</w:t>
            </w:r>
            <w:r>
              <w:rPr>
                <w:rFonts w:ascii="KaiTi" w:hAnsi="KaiTi" w:eastAsia="KaiTi" w:cs="KaiTi"/>
                <w:sz w:val="22"/>
                <w:szCs w:val="22"/>
                <w:spacing w:val="-8"/>
              </w:rPr>
              <w:t xml:space="preserve"> </w:t>
            </w:r>
            <w:r>
              <w:rPr>
                <w:rFonts w:ascii="KaiTi" w:hAnsi="KaiTi" w:eastAsia="KaiTi" w:cs="KaiTi"/>
                <w:sz w:val="22"/>
                <w:szCs w:val="22"/>
                <w:spacing w:val="-8"/>
              </w:rPr>
              <w:t>十</w:t>
            </w:r>
            <w:r>
              <w:rPr>
                <w:rFonts w:ascii="KaiTi" w:hAnsi="KaiTi" w:eastAsia="KaiTi" w:cs="KaiTi"/>
                <w:sz w:val="22"/>
                <w:szCs w:val="22"/>
                <w:spacing w:val="-24"/>
              </w:rPr>
              <w:t xml:space="preserve"> </w:t>
            </w:r>
            <w:r>
              <w:rPr>
                <w:rFonts w:ascii="KaiTi" w:hAnsi="KaiTi" w:eastAsia="KaiTi" w:cs="KaiTi"/>
                <w:sz w:val="22"/>
                <w:szCs w:val="22"/>
                <w:spacing w:val="-8"/>
              </w:rPr>
              <w:t>)《健康体检管理暂行规定》</w:t>
            </w:r>
            <w:r>
              <w:rPr>
                <w:rFonts w:ascii="KaiTi" w:hAnsi="KaiTi" w:eastAsia="KaiTi" w:cs="KaiTi"/>
                <w:sz w:val="22"/>
                <w:szCs w:val="22"/>
              </w:rPr>
              <w:tab/>
            </w:r>
            <w:r>
              <w:rPr>
                <w:rFonts w:ascii="Times New Roman" w:hAnsi="Times New Roman" w:eastAsia="Times New Roman" w:cs="Times New Roman"/>
                <w:sz w:val="22"/>
                <w:szCs w:val="22"/>
                <w:spacing w:val="-8"/>
              </w:rPr>
              <w:t>312</w:t>
            </w:r>
          </w:hyperlink>
        </w:p>
        <w:p>
          <w:pPr>
            <w:pStyle w:val="BodyText"/>
            <w:spacing w:line="394" w:lineRule="auto"/>
            <w:rPr/>
          </w:pPr>
          <w:r/>
        </w:p>
        <w:p>
          <w:pPr>
            <w:ind w:left="339"/>
            <w:spacing w:before="72" w:line="222" w:lineRule="auto"/>
            <w:tabs>
              <w:tab w:val="right" w:leader="dot" w:pos="13350"/>
            </w:tabs>
            <w:rPr>
              <w:rFonts w:ascii="Times New Roman" w:hAnsi="Times New Roman" w:eastAsia="Times New Roman" w:cs="Times New Roman"/>
              <w:sz w:val="22"/>
              <w:szCs w:val="22"/>
            </w:rPr>
          </w:pPr>
          <w:hyperlink w:history="true" w:anchor="bookmark291">
            <w:r>
              <w:rPr>
                <w:rFonts w:ascii="SimHei" w:hAnsi="SimHei" w:eastAsia="SimHei" w:cs="SimHei"/>
                <w:sz w:val="22"/>
                <w:szCs w:val="22"/>
                <w:spacing w:val="-1"/>
              </w:rPr>
              <w:t>第二百二十八条</w:t>
            </w:r>
            <w:r>
              <w:rPr>
                <w:rFonts w:ascii="SimHei" w:hAnsi="SimHei" w:eastAsia="SimHei" w:cs="SimHei"/>
                <w:sz w:val="22"/>
                <w:szCs w:val="22"/>
                <w:spacing w:val="-1"/>
              </w:rPr>
              <w:t xml:space="preserve"> </w:t>
            </w:r>
            <w:r>
              <w:rPr>
                <w:rFonts w:ascii="SimHei" w:hAnsi="SimHei" w:eastAsia="SimHei" w:cs="SimHei"/>
                <w:sz w:val="22"/>
                <w:szCs w:val="22"/>
                <w:spacing w:val="-1"/>
              </w:rPr>
              <w:t>医疗机构未经许可开展健康体检的</w:t>
            </w:r>
            <w:r>
              <w:rPr>
                <w:rFonts w:ascii="SimHei" w:hAnsi="SimHei" w:eastAsia="SimHei" w:cs="SimHei"/>
                <w:sz w:val="22"/>
                <w:szCs w:val="22"/>
                <w:spacing w:val="-68"/>
              </w:rPr>
              <w:t xml:space="preserve"> </w:t>
            </w:r>
            <w:r>
              <w:rPr>
                <w:rFonts w:ascii="SimHei" w:hAnsi="SimHei" w:eastAsia="SimHei" w:cs="SimHei"/>
                <w:sz w:val="22"/>
                <w:szCs w:val="22"/>
              </w:rPr>
              <w:tab/>
            </w:r>
            <w:r>
              <w:rPr>
                <w:rFonts w:ascii="SimHei" w:hAnsi="SimHei" w:eastAsia="SimHei" w:cs="SimHei"/>
                <w:sz w:val="22"/>
                <w:szCs w:val="22"/>
                <w:spacing w:val="-64"/>
              </w:rPr>
              <w:t xml:space="preserve"> </w:t>
            </w:r>
            <w:r>
              <w:rPr>
                <w:rFonts w:ascii="Times New Roman" w:hAnsi="Times New Roman" w:eastAsia="Times New Roman" w:cs="Times New Roman"/>
                <w:sz w:val="22"/>
                <w:szCs w:val="22"/>
                <w:spacing w:val="-3"/>
              </w:rPr>
              <w:t>312</w:t>
            </w:r>
          </w:hyperlink>
        </w:p>
        <w:p>
          <w:pPr>
            <w:spacing w:before="292" w:line="212" w:lineRule="auto"/>
            <w:tabs>
              <w:tab w:val="right" w:leader="dot" w:pos="13425"/>
            </w:tabs>
            <w:rPr>
              <w:rFonts w:ascii="Times New Roman" w:hAnsi="Times New Roman" w:eastAsia="Times New Roman" w:cs="Times New Roman"/>
              <w:sz w:val="22"/>
              <w:szCs w:val="22"/>
            </w:rPr>
          </w:pPr>
          <w:hyperlink w:history="true" w:anchor="bookmark292">
            <w:r>
              <w:rPr>
                <w:rFonts w:ascii="Times New Roman" w:hAnsi="Times New Roman" w:eastAsia="Times New Roman" w:cs="Times New Roman"/>
                <w:sz w:val="22"/>
                <w:szCs w:val="22"/>
                <w:spacing w:val="1"/>
              </w:rPr>
              <w:t>(</w:t>
            </w:r>
            <w:r>
              <w:rPr>
                <w:rFonts w:ascii="Times New Roman" w:hAnsi="Times New Roman" w:eastAsia="Times New Roman" w:cs="Times New Roman"/>
                <w:sz w:val="22"/>
                <w:szCs w:val="22"/>
                <w:spacing w:val="3"/>
              </w:rPr>
              <w:t xml:space="preserve"> </w:t>
            </w:r>
            <w:r>
              <w:rPr>
                <w:rFonts w:ascii="KaiTi" w:hAnsi="KaiTi" w:eastAsia="KaiTi" w:cs="KaiTi"/>
                <w:sz w:val="22"/>
                <w:szCs w:val="22"/>
                <w:spacing w:val="1"/>
              </w:rPr>
              <w:t>十一)《中华人民共和国中医药法》</w:t>
            </w:r>
            <w:r>
              <w:rPr>
                <w:rFonts w:ascii="KaiTi" w:hAnsi="KaiTi" w:eastAsia="KaiTi" w:cs="KaiTi"/>
                <w:sz w:val="22"/>
                <w:szCs w:val="22"/>
                <w:spacing w:val="-80"/>
              </w:rPr>
              <w:t xml:space="preserve"> </w:t>
            </w:r>
            <w:r>
              <w:rPr>
                <w:rFonts w:ascii="KaiTi" w:hAnsi="KaiTi" w:eastAsia="KaiTi" w:cs="KaiTi"/>
                <w:sz w:val="22"/>
                <w:szCs w:val="22"/>
              </w:rPr>
              <w:tab/>
            </w:r>
            <w:r>
              <w:rPr>
                <w:rFonts w:ascii="Times New Roman" w:hAnsi="Times New Roman" w:eastAsia="Times New Roman" w:cs="Times New Roman"/>
                <w:sz w:val="22"/>
                <w:szCs w:val="22"/>
                <w:spacing w:val="-7"/>
              </w:rPr>
              <w:t>313</w:t>
            </w:r>
          </w:hyperlink>
        </w:p>
        <w:p>
          <w:pPr>
            <w:pStyle w:val="BodyText"/>
            <w:spacing w:line="376" w:lineRule="auto"/>
            <w:rPr/>
          </w:pPr>
          <w:r/>
        </w:p>
        <w:p>
          <w:pPr>
            <w:ind w:left="339"/>
            <w:spacing w:before="72" w:line="221" w:lineRule="auto"/>
            <w:tabs>
              <w:tab w:val="right" w:leader="dot" w:pos="13360"/>
            </w:tabs>
            <w:rPr>
              <w:rFonts w:ascii="Times New Roman" w:hAnsi="Times New Roman" w:eastAsia="Times New Roman" w:cs="Times New Roman"/>
              <w:sz w:val="22"/>
              <w:szCs w:val="22"/>
            </w:rPr>
          </w:pPr>
          <w:hyperlink w:history="true" w:anchor="bookmark293">
            <w:r>
              <w:rPr>
                <w:rFonts w:ascii="SimHei" w:hAnsi="SimHei" w:eastAsia="SimHei" w:cs="SimHei"/>
                <w:sz w:val="22"/>
                <w:szCs w:val="22"/>
                <w:spacing w:val="-1"/>
              </w:rPr>
              <w:t>第二百二十九条</w:t>
            </w:r>
            <w:r>
              <w:rPr>
                <w:rFonts w:ascii="SimHei" w:hAnsi="SimHei" w:eastAsia="SimHei" w:cs="SimHei"/>
                <w:sz w:val="22"/>
                <w:szCs w:val="22"/>
                <w:spacing w:val="-1"/>
              </w:rPr>
              <w:t xml:space="preserve"> </w:t>
            </w:r>
            <w:r>
              <w:rPr>
                <w:rFonts w:ascii="SimHei" w:hAnsi="SimHei" w:eastAsia="SimHei" w:cs="SimHei"/>
                <w:sz w:val="22"/>
                <w:szCs w:val="22"/>
                <w:spacing w:val="-1"/>
              </w:rPr>
              <w:t>中医诊所超出备案范围开展医疗活动的</w:t>
            </w:r>
            <w:r>
              <w:rPr>
                <w:rFonts w:ascii="SimHei" w:hAnsi="SimHei" w:eastAsia="SimHei" w:cs="SimHei"/>
                <w:sz w:val="22"/>
                <w:szCs w:val="22"/>
                <w:spacing w:val="-76"/>
              </w:rPr>
              <w:t xml:space="preserve"> </w:t>
            </w:r>
            <w:r>
              <w:rPr>
                <w:rFonts w:ascii="SimHei" w:hAnsi="SimHei" w:eastAsia="SimHei" w:cs="SimHei"/>
                <w:sz w:val="22"/>
                <w:szCs w:val="22"/>
              </w:rPr>
              <w:tab/>
            </w:r>
            <w:r>
              <w:rPr>
                <w:rFonts w:ascii="SimHei" w:hAnsi="SimHei" w:eastAsia="SimHei" w:cs="SimHei"/>
                <w:sz w:val="22"/>
                <w:szCs w:val="22"/>
                <w:spacing w:val="-43"/>
              </w:rPr>
              <w:t xml:space="preserve"> </w:t>
            </w:r>
            <w:r>
              <w:rPr>
                <w:rFonts w:ascii="Times New Roman" w:hAnsi="Times New Roman" w:eastAsia="Times New Roman" w:cs="Times New Roman"/>
                <w:sz w:val="22"/>
                <w:szCs w:val="22"/>
                <w:spacing w:val="-3"/>
              </w:rPr>
              <w:t>313</w:t>
            </w:r>
          </w:hyperlink>
        </w:p>
        <w:p>
          <w:pPr>
            <w:pStyle w:val="BodyText"/>
            <w:spacing w:line="472" w:lineRule="auto"/>
            <w:rPr/>
          </w:pPr>
          <w:r/>
        </w:p>
        <w:p>
          <w:pPr>
            <w:spacing w:before="72" w:line="213" w:lineRule="auto"/>
            <w:jc w:val="right"/>
            <w:rPr>
              <w:rFonts w:ascii="SimHei" w:hAnsi="SimHei" w:eastAsia="SimHei" w:cs="SimHei"/>
              <w:sz w:val="22"/>
              <w:szCs w:val="22"/>
            </w:rPr>
          </w:pPr>
          <w:hyperlink w:history="true" w:anchor="bookmark294">
            <w:r>
              <w:rPr>
                <w:rFonts w:ascii="SimHei" w:hAnsi="SimHei" w:eastAsia="SimHei" w:cs="SimHei"/>
                <w:sz w:val="22"/>
                <w:szCs w:val="22"/>
                <w:spacing w:val="1"/>
              </w:rPr>
              <w:t>第二百三十条</w:t>
            </w:r>
            <w:r>
              <w:rPr>
                <w:rFonts w:ascii="SimHei" w:hAnsi="SimHei" w:eastAsia="SimHei" w:cs="SimHei"/>
                <w:sz w:val="22"/>
                <w:szCs w:val="22"/>
                <w:spacing w:val="30"/>
              </w:rPr>
              <w:t xml:space="preserve"> </w:t>
            </w:r>
            <w:r>
              <w:rPr>
                <w:rFonts w:ascii="SimHei" w:hAnsi="SimHei" w:eastAsia="SimHei" w:cs="SimHei"/>
                <w:sz w:val="22"/>
                <w:szCs w:val="22"/>
                <w:spacing w:val="1"/>
              </w:rPr>
              <w:t>中医诊所被责令停止执业活动的，其直接负责的主管人员自处罚决定作出</w:t>
            </w:r>
            <w:r>
              <w:rPr>
                <w:rFonts w:ascii="SimHei" w:hAnsi="SimHei" w:eastAsia="SimHei" w:cs="SimHei"/>
                <w:sz w:val="22"/>
                <w:szCs w:val="22"/>
              </w:rPr>
              <w:t>之日起五年内不得在医疗机构内从事管理工作，</w:t>
            </w:r>
          </w:hyperlink>
        </w:p>
        <w:p>
          <w:pPr>
            <w:pStyle w:val="BodyText"/>
            <w:spacing w:line="312" w:lineRule="auto"/>
            <w:rPr/>
          </w:pPr>
          <w:r/>
        </w:p>
        <w:p>
          <w:pPr>
            <w:ind w:left="339"/>
            <w:spacing w:before="71" w:line="221" w:lineRule="auto"/>
            <w:tabs>
              <w:tab w:val="right" w:leader="dot" w:pos="13380"/>
            </w:tabs>
            <w:rPr>
              <w:rFonts w:ascii="Times New Roman" w:hAnsi="Times New Roman" w:eastAsia="Times New Roman" w:cs="Times New Roman"/>
              <w:sz w:val="22"/>
              <w:szCs w:val="22"/>
            </w:rPr>
          </w:pPr>
          <w:hyperlink w:history="true" w:anchor="bookmark295">
            <w:r>
              <w:rPr>
                <w:rFonts w:ascii="SimHei" w:hAnsi="SimHei" w:eastAsia="SimHei" w:cs="SimHei"/>
                <w:sz w:val="22"/>
                <w:szCs w:val="22"/>
                <w:spacing w:val="-1"/>
              </w:rPr>
              <w:t>医疗机构聘用上述不得从事管理工作的人员从事管理工作的</w:t>
            </w:r>
            <w:r>
              <w:rPr>
                <w:rFonts w:ascii="SimHei" w:hAnsi="SimHei" w:eastAsia="SimHei" w:cs="SimHei"/>
                <w:sz w:val="22"/>
                <w:szCs w:val="22"/>
              </w:rPr>
              <w:tab/>
            </w:r>
            <w:r>
              <w:rPr>
                <w:rFonts w:ascii="Times New Roman" w:hAnsi="Times New Roman" w:eastAsia="Times New Roman" w:cs="Times New Roman"/>
                <w:sz w:val="22"/>
                <w:szCs w:val="22"/>
                <w:spacing w:val="-1"/>
              </w:rPr>
              <w:t>315</w:t>
            </w:r>
          </w:hyperlink>
        </w:p>
        <w:p>
          <w:pPr>
            <w:pStyle w:val="BodyText"/>
            <w:rPr/>
          </w:pPr>
          <w:r/>
        </w:p>
        <w:p>
          <w:pPr>
            <w:pStyle w:val="BodyText"/>
            <w:spacing w:line="241" w:lineRule="auto"/>
            <w:rPr/>
          </w:pPr>
          <w:r/>
        </w:p>
        <w:p>
          <w:pPr>
            <w:ind w:left="339"/>
            <w:spacing w:before="72" w:line="219" w:lineRule="auto"/>
            <w:tabs>
              <w:tab w:val="right" w:leader="dot" w:pos="13370"/>
            </w:tabs>
            <w:rPr>
              <w:rFonts w:ascii="Times New Roman" w:hAnsi="Times New Roman" w:eastAsia="Times New Roman" w:cs="Times New Roman"/>
              <w:sz w:val="22"/>
              <w:szCs w:val="22"/>
            </w:rPr>
          </w:pPr>
          <w:hyperlink w:history="true" w:anchor="bookmark296">
            <w:r>
              <w:rPr>
                <w:rFonts w:ascii="SimHei" w:hAnsi="SimHei" w:eastAsia="SimHei" w:cs="SimHei"/>
                <w:sz w:val="22"/>
                <w:szCs w:val="22"/>
                <w:spacing w:val="5"/>
              </w:rPr>
              <w:t>第二百三十一条</w:t>
            </w:r>
            <w:r>
              <w:rPr>
                <w:rFonts w:ascii="SimHei" w:hAnsi="SimHei" w:eastAsia="SimHei" w:cs="SimHei"/>
                <w:sz w:val="22"/>
                <w:szCs w:val="22"/>
                <w:spacing w:val="38"/>
              </w:rPr>
              <w:t xml:space="preserve"> </w:t>
            </w:r>
            <w:r>
              <w:rPr>
                <w:rFonts w:ascii="SimHei" w:hAnsi="SimHei" w:eastAsia="SimHei" w:cs="SimHei"/>
                <w:sz w:val="22"/>
                <w:szCs w:val="22"/>
                <w:spacing w:val="5"/>
              </w:rPr>
              <w:t>中医(专长)医师在执业中超</w:t>
            </w:r>
            <w:r>
              <w:rPr>
                <w:rFonts w:ascii="SimHei" w:hAnsi="SimHei" w:eastAsia="SimHei" w:cs="SimHei"/>
                <w:sz w:val="22"/>
                <w:szCs w:val="22"/>
                <w:spacing w:val="4"/>
              </w:rPr>
              <w:t>出注册的执业范围从事医疗活动的</w:t>
            </w:r>
            <w:r>
              <w:rPr>
                <w:rFonts w:ascii="SimHei" w:hAnsi="SimHei" w:eastAsia="SimHei" w:cs="SimHei"/>
                <w:sz w:val="22"/>
                <w:szCs w:val="22"/>
                <w:spacing w:val="-99"/>
              </w:rPr>
              <w:t xml:space="preserve"> </w:t>
            </w:r>
            <w:r>
              <w:rPr>
                <w:rFonts w:ascii="SimHei" w:hAnsi="SimHei" w:eastAsia="SimHei" w:cs="SimHei"/>
                <w:sz w:val="22"/>
                <w:szCs w:val="22"/>
              </w:rPr>
              <w:tab/>
            </w:r>
            <w:r>
              <w:rPr>
                <w:rFonts w:ascii="SimHei" w:hAnsi="SimHei" w:eastAsia="SimHei" w:cs="SimHei"/>
                <w:sz w:val="22"/>
                <w:szCs w:val="22"/>
                <w:spacing w:val="-14"/>
              </w:rPr>
              <w:t xml:space="preserve"> </w:t>
            </w:r>
            <w:r>
              <w:rPr>
                <w:rFonts w:ascii="Times New Roman" w:hAnsi="Times New Roman" w:eastAsia="Times New Roman" w:cs="Times New Roman"/>
                <w:sz w:val="22"/>
                <w:szCs w:val="22"/>
                <w:spacing w:val="-3"/>
              </w:rPr>
              <w:t>315</w:t>
            </w:r>
          </w:hyperlink>
        </w:p>
      </w:sdtContent>
    </w:sdt>
    <w:p>
      <w:pPr>
        <w:spacing w:line="219" w:lineRule="auto"/>
        <w:sectPr>
          <w:footerReference w:type="default" r:id="rId29"/>
          <w:pgSz w:w="16830" w:h="11900"/>
          <w:pgMar w:top="1011" w:right="1360" w:bottom="1135" w:left="1960" w:header="0" w:footer="793" w:gutter="0"/>
        </w:sectPr>
        <w:rPr>
          <w:rFonts w:ascii="Times New Roman" w:hAnsi="Times New Roman" w:eastAsia="Times New Roman" w:cs="Times New Roman"/>
          <w:sz w:val="22"/>
          <w:szCs w:val="22"/>
        </w:rPr>
      </w:pPr>
    </w:p>
    <w:p>
      <w:pPr>
        <w:pStyle w:val="BodyText"/>
        <w:spacing w:line="309" w:lineRule="auto"/>
        <w:rPr/>
      </w:pPr>
      <w:r/>
    </w:p>
    <w:p>
      <w:pPr>
        <w:pStyle w:val="BodyText"/>
        <w:spacing w:line="309" w:lineRule="auto"/>
        <w:rPr/>
      </w:pPr>
      <w:r/>
    </w:p>
    <w:p>
      <w:pPr>
        <w:pStyle w:val="BodyText"/>
        <w:spacing w:line="310"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333"/>
            <w:spacing w:before="68" w:line="221" w:lineRule="auto"/>
            <w:tabs>
              <w:tab w:val="right" w:leader="dot" w:pos="13355"/>
            </w:tabs>
            <w:rPr>
              <w:rFonts w:ascii="Times New Roman" w:hAnsi="Times New Roman" w:eastAsia="Times New Roman" w:cs="Times New Roman"/>
              <w:sz w:val="21"/>
              <w:szCs w:val="21"/>
            </w:rPr>
          </w:pPr>
          <w:hyperlink w:history="true" w:anchor="bookmark297">
            <w:r>
              <w:rPr>
                <w:rFonts w:ascii="SimHei" w:hAnsi="SimHei" w:eastAsia="SimHei" w:cs="SimHei"/>
                <w:sz w:val="21"/>
                <w:szCs w:val="21"/>
                <w:b/>
                <w:bCs/>
                <w:spacing w:val="8"/>
              </w:rPr>
              <w:t>第二百三十二条</w:t>
            </w:r>
            <w:r>
              <w:rPr>
                <w:rFonts w:ascii="SimHei" w:hAnsi="SimHei" w:eastAsia="SimHei" w:cs="SimHei"/>
                <w:sz w:val="21"/>
                <w:szCs w:val="21"/>
                <w:spacing w:val="8"/>
              </w:rPr>
              <w:t xml:space="preserve"> </w:t>
            </w:r>
            <w:r>
              <w:rPr>
                <w:rFonts w:ascii="SimHei" w:hAnsi="SimHei" w:eastAsia="SimHei" w:cs="SimHei"/>
                <w:sz w:val="21"/>
                <w:szCs w:val="21"/>
                <w:b/>
                <w:bCs/>
                <w:spacing w:val="8"/>
              </w:rPr>
              <w:t>举办中医诊所应当备案而未备案</w:t>
            </w:r>
            <w:r>
              <w:rPr>
                <w:rFonts w:ascii="SimHei" w:hAnsi="SimHei" w:eastAsia="SimHei" w:cs="SimHei"/>
                <w:sz w:val="21"/>
                <w:szCs w:val="21"/>
                <w:spacing w:val="-77"/>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316</w:t>
            </w:r>
          </w:hyperlink>
        </w:p>
        <w:p>
          <w:pPr>
            <w:pStyle w:val="BodyText"/>
            <w:spacing w:line="248" w:lineRule="auto"/>
            <w:rPr/>
          </w:pPr>
          <w:r/>
        </w:p>
        <w:p>
          <w:pPr>
            <w:pStyle w:val="BodyText"/>
            <w:spacing w:line="249" w:lineRule="auto"/>
            <w:rPr/>
          </w:pPr>
          <w:r/>
        </w:p>
        <w:p>
          <w:pPr>
            <w:ind w:left="333"/>
            <w:spacing w:before="68" w:line="221" w:lineRule="auto"/>
            <w:tabs>
              <w:tab w:val="right" w:leader="dot" w:pos="13220"/>
            </w:tabs>
            <w:rPr>
              <w:rFonts w:ascii="Times New Roman" w:hAnsi="Times New Roman" w:eastAsia="Times New Roman" w:cs="Times New Roman"/>
              <w:sz w:val="21"/>
              <w:szCs w:val="21"/>
            </w:rPr>
          </w:pPr>
          <w:hyperlink w:history="true" w:anchor="bookmark298">
            <w:r>
              <w:rPr>
                <w:rFonts w:ascii="SimHei" w:hAnsi="SimHei" w:eastAsia="SimHei" w:cs="SimHei"/>
                <w:sz w:val="21"/>
                <w:szCs w:val="21"/>
                <w:b/>
                <w:bCs/>
                <w:spacing w:val="7"/>
              </w:rPr>
              <w:t>第二百三十三条</w:t>
            </w:r>
            <w:r>
              <w:rPr>
                <w:rFonts w:ascii="SimHei" w:hAnsi="SimHei" w:eastAsia="SimHei" w:cs="SimHei"/>
                <w:sz w:val="21"/>
                <w:szCs w:val="21"/>
                <w:spacing w:val="7"/>
              </w:rPr>
              <w:t xml:space="preserve"> </w:t>
            </w:r>
            <w:r>
              <w:rPr>
                <w:rFonts w:ascii="SimHei" w:hAnsi="SimHei" w:eastAsia="SimHei" w:cs="SimHei"/>
                <w:sz w:val="21"/>
                <w:szCs w:val="21"/>
                <w:b/>
                <w:bCs/>
                <w:spacing w:val="7"/>
              </w:rPr>
              <w:t>提交虚假备案材料取得《中医诊所备案证》的</w:t>
            </w:r>
            <w:r>
              <w:rPr>
                <w:rFonts w:ascii="SimHei" w:hAnsi="SimHei" w:eastAsia="SimHei" w:cs="SimHei"/>
                <w:sz w:val="21"/>
                <w:szCs w:val="21"/>
                <w:spacing w:val="-80"/>
              </w:rPr>
              <w:t xml:space="preserve"> </w:t>
            </w:r>
            <w:r>
              <w:rPr>
                <w:rFonts w:ascii="SimHei" w:hAnsi="SimHei" w:eastAsia="SimHei" w:cs="SimHei"/>
                <w:sz w:val="21"/>
                <w:szCs w:val="21"/>
              </w:rPr>
              <w:tab/>
            </w:r>
            <w:r>
              <w:rPr>
                <w:rFonts w:ascii="SimHei" w:hAnsi="SimHei" w:eastAsia="SimHei" w:cs="SimHei"/>
                <w:sz w:val="21"/>
                <w:szCs w:val="21"/>
                <w:spacing w:val="-78"/>
              </w:rPr>
              <w:t xml:space="preserve"> </w:t>
            </w:r>
            <w:r>
              <w:rPr>
                <w:rFonts w:ascii="Times New Roman" w:hAnsi="Times New Roman" w:eastAsia="Times New Roman" w:cs="Times New Roman"/>
                <w:sz w:val="21"/>
                <w:szCs w:val="21"/>
                <w:b/>
                <w:bCs/>
                <w:spacing w:val="-1"/>
              </w:rPr>
              <w:t>318</w:t>
            </w:r>
          </w:hyperlink>
        </w:p>
        <w:p>
          <w:pPr>
            <w:pStyle w:val="BodyText"/>
            <w:spacing w:line="309" w:lineRule="auto"/>
            <w:rPr/>
          </w:pPr>
          <w:r/>
        </w:p>
        <w:p>
          <w:pPr>
            <w:spacing w:before="68" w:line="212" w:lineRule="auto"/>
            <w:tabs>
              <w:tab w:val="right" w:leader="dot" w:pos="13265"/>
            </w:tabs>
            <w:rPr>
              <w:rFonts w:ascii="Times New Roman" w:hAnsi="Times New Roman" w:eastAsia="Times New Roman" w:cs="Times New Roman"/>
              <w:sz w:val="21"/>
              <w:szCs w:val="21"/>
            </w:rPr>
          </w:pPr>
          <w:hyperlink w:history="true" w:anchor="bookmark299">
            <w:r>
              <w:rPr>
                <w:rFonts w:ascii="Times New Roman" w:hAnsi="Times New Roman" w:eastAsia="Times New Roman" w:cs="Times New Roman"/>
                <w:sz w:val="21"/>
                <w:szCs w:val="21"/>
                <w:spacing w:val="10"/>
              </w:rPr>
              <w:t>( </w:t>
            </w:r>
            <w:r>
              <w:rPr>
                <w:rFonts w:ascii="KaiTi" w:hAnsi="KaiTi" w:eastAsia="KaiTi" w:cs="KaiTi"/>
                <w:sz w:val="21"/>
                <w:szCs w:val="21"/>
                <w:spacing w:val="10"/>
              </w:rPr>
              <w:t>十二)《中医诊所备案管理暂行办法》</w:t>
            </w:r>
            <w:r>
              <w:rPr>
                <w:rFonts w:ascii="KaiTi" w:hAnsi="KaiTi" w:eastAsia="KaiTi" w:cs="KaiTi"/>
                <w:sz w:val="21"/>
                <w:szCs w:val="21"/>
                <w:spacing w:val="-64"/>
              </w:rPr>
              <w:t xml:space="preserve"> </w:t>
            </w:r>
            <w:r>
              <w:rPr>
                <w:rFonts w:ascii="KaiTi" w:hAnsi="KaiTi" w:eastAsia="KaiTi" w:cs="KaiTi"/>
                <w:sz w:val="21"/>
                <w:szCs w:val="21"/>
                <w:color w:val="602030"/>
              </w:rPr>
              <w:tab/>
            </w:r>
            <w:r>
              <w:rPr>
                <w:rFonts w:ascii="Times New Roman" w:hAnsi="Times New Roman" w:eastAsia="Times New Roman" w:cs="Times New Roman"/>
                <w:sz w:val="21"/>
                <w:szCs w:val="21"/>
                <w:spacing w:val="-1"/>
              </w:rPr>
              <w:t>319</w:t>
            </w:r>
          </w:hyperlink>
        </w:p>
        <w:p>
          <w:pPr>
            <w:pStyle w:val="BodyText"/>
            <w:spacing w:line="370" w:lineRule="auto"/>
            <w:rPr/>
          </w:pPr>
          <w:r/>
        </w:p>
        <w:p>
          <w:pPr>
            <w:ind w:left="330"/>
            <w:spacing w:before="68" w:line="221" w:lineRule="auto"/>
            <w:tabs>
              <w:tab w:val="right" w:leader="dot" w:pos="13215"/>
            </w:tabs>
            <w:rPr>
              <w:rFonts w:ascii="Times New Roman" w:hAnsi="Times New Roman" w:eastAsia="Times New Roman" w:cs="Times New Roman"/>
              <w:sz w:val="21"/>
              <w:szCs w:val="21"/>
            </w:rPr>
          </w:pPr>
          <w:hyperlink w:history="true" w:anchor="bookmark300">
            <w:r>
              <w:rPr>
                <w:rFonts w:ascii="SimHei" w:hAnsi="SimHei" w:eastAsia="SimHei" w:cs="SimHei"/>
                <w:sz w:val="21"/>
                <w:szCs w:val="21"/>
                <w:spacing w:val="9"/>
              </w:rPr>
              <w:t>第二百三十四条</w:t>
            </w:r>
            <w:r>
              <w:rPr>
                <w:rFonts w:ascii="SimHei" w:hAnsi="SimHei" w:eastAsia="SimHei" w:cs="SimHei"/>
                <w:sz w:val="21"/>
                <w:szCs w:val="21"/>
                <w:spacing w:val="44"/>
              </w:rPr>
              <w:t xml:space="preserve"> </w:t>
            </w:r>
            <w:r>
              <w:rPr>
                <w:rFonts w:ascii="SimHei" w:hAnsi="SimHei" w:eastAsia="SimHei" w:cs="SimHei"/>
                <w:sz w:val="21"/>
                <w:szCs w:val="21"/>
                <w:spacing w:val="9"/>
              </w:rPr>
              <w:t>中医诊所擅自更改设置未经备案或者</w:t>
            </w:r>
            <w:r>
              <w:rPr>
                <w:rFonts w:ascii="SimHei" w:hAnsi="SimHei" w:eastAsia="SimHei" w:cs="SimHei"/>
                <w:sz w:val="21"/>
                <w:szCs w:val="21"/>
                <w:spacing w:val="8"/>
              </w:rPr>
              <w:t>实际设置与取得的《中医诊所备案证》记载事项不一致的</w:t>
            </w:r>
            <w:r>
              <w:rPr>
                <w:rFonts w:ascii="SimHei" w:hAnsi="SimHei" w:eastAsia="SimHei" w:cs="SimHei"/>
                <w:sz w:val="21"/>
                <w:szCs w:val="21"/>
                <w:spacing w:val="-92"/>
              </w:rPr>
              <w:t xml:space="preserve"> </w:t>
            </w:r>
            <w:r>
              <w:rPr>
                <w:rFonts w:ascii="SimHei" w:hAnsi="SimHei" w:eastAsia="SimHei" w:cs="SimHei"/>
                <w:sz w:val="21"/>
                <w:szCs w:val="21"/>
              </w:rPr>
              <w:tab/>
            </w:r>
            <w:r>
              <w:rPr>
                <w:rFonts w:ascii="SimHei" w:hAnsi="SimHei" w:eastAsia="SimHei" w:cs="SimHei"/>
                <w:sz w:val="21"/>
                <w:szCs w:val="21"/>
                <w:spacing w:val="-42"/>
              </w:rPr>
              <w:t xml:space="preserve"> </w:t>
            </w:r>
            <w:r>
              <w:rPr>
                <w:rFonts w:ascii="Times New Roman" w:hAnsi="Times New Roman" w:eastAsia="Times New Roman" w:cs="Times New Roman"/>
                <w:sz w:val="21"/>
                <w:szCs w:val="21"/>
                <w:spacing w:val="-2"/>
              </w:rPr>
              <w:t>319</w:t>
            </w:r>
          </w:hyperlink>
        </w:p>
        <w:p>
          <w:pPr>
            <w:pStyle w:val="BodyText"/>
            <w:spacing w:line="253" w:lineRule="auto"/>
            <w:rPr/>
          </w:pPr>
          <w:r/>
        </w:p>
        <w:p>
          <w:pPr>
            <w:pStyle w:val="BodyText"/>
            <w:spacing w:line="254" w:lineRule="auto"/>
            <w:rPr/>
          </w:pPr>
          <w:r/>
        </w:p>
        <w:p>
          <w:pPr>
            <w:ind w:left="330"/>
            <w:spacing w:before="68" w:line="221" w:lineRule="auto"/>
            <w:tabs>
              <w:tab w:val="right" w:leader="dot" w:pos="13335"/>
            </w:tabs>
            <w:rPr>
              <w:rFonts w:ascii="Times New Roman" w:hAnsi="Times New Roman" w:eastAsia="Times New Roman" w:cs="Times New Roman"/>
              <w:sz w:val="21"/>
              <w:szCs w:val="21"/>
            </w:rPr>
          </w:pPr>
          <w:hyperlink w:history="true" w:anchor="bookmark301">
            <w:r>
              <w:rPr>
                <w:rFonts w:ascii="SimHei" w:hAnsi="SimHei" w:eastAsia="SimHei" w:cs="SimHei"/>
                <w:sz w:val="21"/>
                <w:szCs w:val="21"/>
                <w:spacing w:val="10"/>
              </w:rPr>
              <w:t>第二百三十五条</w:t>
            </w:r>
            <w:r>
              <w:rPr>
                <w:rFonts w:ascii="SimHei" w:hAnsi="SimHei" w:eastAsia="SimHei" w:cs="SimHei"/>
                <w:sz w:val="21"/>
                <w:szCs w:val="21"/>
                <w:spacing w:val="51"/>
              </w:rPr>
              <w:t xml:space="preserve"> </w:t>
            </w:r>
            <w:r>
              <w:rPr>
                <w:rFonts w:ascii="SimHei" w:hAnsi="SimHei" w:eastAsia="SimHei" w:cs="SimHei"/>
                <w:sz w:val="21"/>
                <w:szCs w:val="21"/>
                <w:spacing w:val="10"/>
              </w:rPr>
              <w:t>出卖、转让、出借《中医诊所备案证》的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320</w:t>
            </w:r>
          </w:hyperlink>
        </w:p>
        <w:p>
          <w:pPr>
            <w:pStyle w:val="BodyText"/>
            <w:spacing w:line="366" w:lineRule="auto"/>
            <w:rPr/>
          </w:pPr>
          <w:r/>
        </w:p>
        <w:p>
          <w:pPr>
            <w:spacing w:before="69" w:line="212" w:lineRule="auto"/>
            <w:tabs>
              <w:tab w:val="right" w:leader="dot" w:pos="13415"/>
            </w:tabs>
            <w:rPr>
              <w:rFonts w:ascii="Times New Roman" w:hAnsi="Times New Roman" w:eastAsia="Times New Roman" w:cs="Times New Roman"/>
              <w:sz w:val="21"/>
              <w:szCs w:val="21"/>
            </w:rPr>
          </w:pPr>
          <w:hyperlink w:history="true" w:anchor="bookmark302">
            <w:r>
              <w:rPr>
                <w:rFonts w:ascii="Times New Roman" w:hAnsi="Times New Roman" w:eastAsia="Times New Roman" w:cs="Times New Roman"/>
                <w:sz w:val="21"/>
                <w:szCs w:val="21"/>
                <w:spacing w:val="10"/>
              </w:rPr>
              <w:t>( </w:t>
            </w:r>
            <w:r>
              <w:rPr>
                <w:rFonts w:ascii="KaiTi" w:hAnsi="KaiTi" w:eastAsia="KaiTi" w:cs="KaiTi"/>
                <w:sz w:val="21"/>
                <w:szCs w:val="21"/>
                <w:spacing w:val="10"/>
              </w:rPr>
              <w:t>十三)《中医医术确有专长人员医师资格考核注册管理暂行办法》</w:t>
            </w:r>
            <w:r>
              <w:rPr>
                <w:rFonts w:ascii="KaiTi" w:hAnsi="KaiTi" w:eastAsia="KaiTi" w:cs="KaiTi"/>
                <w:sz w:val="21"/>
                <w:szCs w:val="21"/>
                <w:spacing w:val="-64"/>
              </w:rPr>
              <w:t xml:space="preserve"> </w:t>
            </w:r>
            <w:r>
              <w:rPr>
                <w:rFonts w:ascii="KaiTi" w:hAnsi="KaiTi" w:eastAsia="KaiTi" w:cs="KaiTi"/>
                <w:sz w:val="21"/>
                <w:szCs w:val="21"/>
                <w:color w:val="606040"/>
              </w:rPr>
              <w:tab/>
            </w:r>
            <w:r>
              <w:rPr>
                <w:rFonts w:ascii="Times New Roman" w:hAnsi="Times New Roman" w:eastAsia="Times New Roman" w:cs="Times New Roman"/>
                <w:sz w:val="21"/>
                <w:szCs w:val="21"/>
                <w:spacing w:val="-1"/>
              </w:rPr>
              <w:t>321</w:t>
            </w:r>
          </w:hyperlink>
        </w:p>
        <w:p>
          <w:pPr>
            <w:pStyle w:val="BodyText"/>
            <w:spacing w:line="291" w:lineRule="auto"/>
            <w:rPr/>
          </w:pPr>
          <w:r/>
        </w:p>
        <w:p>
          <w:pPr>
            <w:ind w:right="13"/>
            <w:spacing w:before="69" w:line="213" w:lineRule="auto"/>
            <w:jc w:val="right"/>
            <w:rPr>
              <w:rFonts w:ascii="SimHei" w:hAnsi="SimHei" w:eastAsia="SimHei" w:cs="SimHei"/>
              <w:sz w:val="21"/>
              <w:szCs w:val="21"/>
            </w:rPr>
          </w:pPr>
          <w:hyperlink w:history="true" w:anchor="bookmark303">
            <w:r>
              <w:rPr>
                <w:rFonts w:ascii="SimHei" w:hAnsi="SimHei" w:eastAsia="SimHei" w:cs="SimHei"/>
                <w:sz w:val="21"/>
                <w:szCs w:val="21"/>
                <w:spacing w:val="9"/>
              </w:rPr>
              <w:t>第二百三十六条</w:t>
            </w:r>
            <w:r>
              <w:rPr>
                <w:rFonts w:ascii="SimHei" w:hAnsi="SimHei" w:eastAsia="SimHei" w:cs="SimHei"/>
                <w:sz w:val="21"/>
                <w:szCs w:val="21"/>
                <w:spacing w:val="9"/>
              </w:rPr>
              <w:t xml:space="preserve"> </w:t>
            </w:r>
            <w:r>
              <w:rPr>
                <w:rFonts w:ascii="SimHei" w:hAnsi="SimHei" w:eastAsia="SimHei" w:cs="SimHei"/>
                <w:sz w:val="21"/>
                <w:szCs w:val="21"/>
                <w:spacing w:val="9"/>
              </w:rPr>
              <w:t>推荐中医医术确有专长人员的中医医师、以师承方式学习中医的医术确有专长人员的指导老师，违反本办法有关规定，</w:t>
            </w:r>
          </w:hyperlink>
        </w:p>
        <w:p>
          <w:pPr>
            <w:pStyle w:val="BodyText"/>
            <w:spacing w:line="323" w:lineRule="auto"/>
            <w:rPr/>
          </w:pPr>
          <w:r/>
        </w:p>
        <w:p>
          <w:pPr>
            <w:ind w:left="333"/>
            <w:spacing w:before="69" w:line="222" w:lineRule="auto"/>
            <w:tabs>
              <w:tab w:val="right" w:leader="dot" w:pos="13395"/>
            </w:tabs>
            <w:rPr>
              <w:rFonts w:ascii="Times New Roman" w:hAnsi="Times New Roman" w:eastAsia="Times New Roman" w:cs="Times New Roman"/>
              <w:sz w:val="21"/>
              <w:szCs w:val="21"/>
            </w:rPr>
          </w:pPr>
          <w:hyperlink w:history="true" w:anchor="bookmark304">
            <w:r>
              <w:rPr>
                <w:rFonts w:ascii="SimHei" w:hAnsi="SimHei" w:eastAsia="SimHei" w:cs="SimHei"/>
                <w:sz w:val="21"/>
                <w:szCs w:val="21"/>
                <w:b/>
                <w:bCs/>
                <w:spacing w:val="8"/>
              </w:rPr>
              <w:t>在推荐中弄虚作假、徇私舞弊的</w:t>
            </w:r>
            <w:r>
              <w:rPr>
                <w:rFonts w:ascii="SimHei" w:hAnsi="SimHei" w:eastAsia="SimHei" w:cs="SimHei"/>
                <w:sz w:val="21"/>
                <w:szCs w:val="21"/>
                <w:spacing w:val="-82"/>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321</w:t>
            </w:r>
          </w:hyperlink>
        </w:p>
        <w:p>
          <w:pPr>
            <w:pStyle w:val="BodyText"/>
            <w:spacing w:line="307" w:lineRule="auto"/>
            <w:rPr/>
          </w:pPr>
          <w:r/>
        </w:p>
        <w:p>
          <w:pPr>
            <w:spacing w:before="69" w:line="212" w:lineRule="auto"/>
            <w:tabs>
              <w:tab w:val="right" w:leader="dot" w:pos="13416"/>
            </w:tabs>
            <w:rPr>
              <w:rFonts w:ascii="Times New Roman" w:hAnsi="Times New Roman" w:eastAsia="Times New Roman" w:cs="Times New Roman"/>
              <w:sz w:val="21"/>
              <w:szCs w:val="21"/>
            </w:rPr>
          </w:pPr>
          <w:hyperlink w:history="true" w:anchor="bookmark305">
            <w:r>
              <w:rPr>
                <w:rFonts w:ascii="Times New Roman" w:hAnsi="Times New Roman" w:eastAsia="Times New Roman" w:cs="Times New Roman"/>
                <w:sz w:val="21"/>
                <w:szCs w:val="21"/>
                <w:spacing w:val="12"/>
              </w:rPr>
              <w:t>(</w:t>
            </w:r>
            <w:r>
              <w:rPr>
                <w:rFonts w:ascii="KaiTi" w:hAnsi="KaiTi" w:eastAsia="KaiTi" w:cs="KaiTi"/>
                <w:sz w:val="21"/>
                <w:szCs w:val="21"/>
                <w:spacing w:val="12"/>
              </w:rPr>
              <w:t>十四)《院前医疗急救管理办法》</w:t>
            </w:r>
            <w:r>
              <w:rPr>
                <w:rFonts w:ascii="KaiTi" w:hAnsi="KaiTi" w:eastAsia="KaiTi" w:cs="KaiTi"/>
                <w:sz w:val="21"/>
                <w:szCs w:val="21"/>
                <w:spacing w:val="-74"/>
              </w:rPr>
              <w:t xml:space="preserve"> </w:t>
            </w:r>
            <w:r>
              <w:rPr>
                <w:rFonts w:ascii="KaiTi" w:hAnsi="KaiTi" w:eastAsia="KaiTi" w:cs="KaiTi"/>
                <w:sz w:val="21"/>
                <w:szCs w:val="21"/>
              </w:rPr>
              <w:tab/>
            </w:r>
            <w:r>
              <w:rPr>
                <w:rFonts w:ascii="Times New Roman" w:hAnsi="Times New Roman" w:eastAsia="Times New Roman" w:cs="Times New Roman"/>
                <w:sz w:val="21"/>
                <w:szCs w:val="21"/>
                <w:spacing w:val="-12"/>
              </w:rPr>
              <w:t>32</w:t>
            </w:r>
            <w:r>
              <w:rPr>
                <w:rFonts w:ascii="Times New Roman" w:hAnsi="Times New Roman" w:eastAsia="Times New Roman" w:cs="Times New Roman"/>
                <w:sz w:val="21"/>
                <w:szCs w:val="21"/>
                <w:spacing w:val="-9"/>
              </w:rPr>
              <w:t>2</w:t>
            </w:r>
          </w:hyperlink>
        </w:p>
        <w:p>
          <w:pPr>
            <w:pStyle w:val="BodyText"/>
            <w:spacing w:line="367" w:lineRule="auto"/>
            <w:rPr/>
          </w:pPr>
          <w:r/>
        </w:p>
        <w:p>
          <w:pPr>
            <w:ind w:left="333"/>
            <w:spacing w:before="69" w:line="221" w:lineRule="auto"/>
            <w:tabs>
              <w:tab w:val="right" w:leader="dot" w:pos="13370"/>
            </w:tabs>
            <w:rPr>
              <w:rFonts w:ascii="Times New Roman" w:hAnsi="Times New Roman" w:eastAsia="Times New Roman" w:cs="Times New Roman"/>
              <w:sz w:val="21"/>
              <w:szCs w:val="21"/>
            </w:rPr>
          </w:pPr>
          <w:hyperlink w:history="true" w:anchor="bookmark306">
            <w:r>
              <w:rPr>
                <w:rFonts w:ascii="SimHei" w:hAnsi="SimHei" w:eastAsia="SimHei" w:cs="SimHei"/>
                <w:sz w:val="21"/>
                <w:szCs w:val="21"/>
                <w:b/>
                <w:bCs/>
                <w:spacing w:val="2"/>
              </w:rPr>
              <w:t>第二百三十七条</w:t>
            </w:r>
            <w:r>
              <w:rPr>
                <w:rFonts w:ascii="SimHei" w:hAnsi="SimHei" w:eastAsia="SimHei" w:cs="SimHei"/>
                <w:sz w:val="21"/>
                <w:szCs w:val="21"/>
                <w:spacing w:val="2"/>
              </w:rPr>
              <w:t xml:space="preserve"> </w:t>
            </w:r>
            <w:r>
              <w:rPr>
                <w:rFonts w:ascii="SimHei" w:hAnsi="SimHei" w:eastAsia="SimHei" w:cs="SimHei"/>
                <w:sz w:val="21"/>
                <w:szCs w:val="21"/>
                <w:b/>
                <w:bCs/>
                <w:spacing w:val="2"/>
              </w:rPr>
              <w:t>未经批准擅自开展院前医疗急救服务的</w:t>
            </w:r>
            <w:r>
              <w:rPr>
                <w:rFonts w:ascii="SimHei" w:hAnsi="SimHei" w:eastAsia="SimHei" w:cs="SimHei"/>
                <w:sz w:val="21"/>
                <w:szCs w:val="21"/>
                <w:spacing w:val="-78"/>
              </w:rPr>
              <w:t xml:space="preserve"> </w:t>
            </w:r>
            <w:r>
              <w:rPr>
                <w:rFonts w:ascii="SimHei" w:hAnsi="SimHei" w:eastAsia="SimHei" w:cs="SimHei"/>
                <w:sz w:val="21"/>
                <w:szCs w:val="21"/>
              </w:rPr>
              <w:tab/>
            </w:r>
            <w:r>
              <w:rPr>
                <w:rFonts w:ascii="Times New Roman" w:hAnsi="Times New Roman" w:eastAsia="Times New Roman" w:cs="Times New Roman"/>
                <w:sz w:val="21"/>
                <w:szCs w:val="21"/>
                <w:b/>
                <w:bCs/>
                <w:spacing w:val="3"/>
              </w:rPr>
              <w:t>322</w:t>
            </w:r>
          </w:hyperlink>
        </w:p>
        <w:p>
          <w:pPr>
            <w:pStyle w:val="BodyText"/>
            <w:spacing w:line="258" w:lineRule="auto"/>
            <w:rPr/>
          </w:pPr>
          <w:r/>
        </w:p>
        <w:p>
          <w:pPr>
            <w:pStyle w:val="BodyText"/>
            <w:spacing w:line="259" w:lineRule="auto"/>
            <w:rPr/>
          </w:pPr>
          <w:r/>
        </w:p>
        <w:p>
          <w:pPr>
            <w:ind w:left="333"/>
            <w:spacing w:before="68" w:line="221" w:lineRule="auto"/>
            <w:tabs>
              <w:tab w:val="right" w:leader="dot" w:pos="13360"/>
            </w:tabs>
            <w:rPr>
              <w:rFonts w:ascii="Times New Roman" w:hAnsi="Times New Roman" w:eastAsia="Times New Roman" w:cs="Times New Roman"/>
              <w:sz w:val="21"/>
              <w:szCs w:val="21"/>
            </w:rPr>
          </w:pPr>
          <w:hyperlink w:history="true" w:anchor="bookmark307">
            <w:r>
              <w:rPr>
                <w:rFonts w:ascii="SimHei" w:hAnsi="SimHei" w:eastAsia="SimHei" w:cs="SimHei"/>
                <w:sz w:val="21"/>
                <w:szCs w:val="21"/>
                <w:b/>
                <w:bCs/>
                <w:spacing w:val="14"/>
              </w:rPr>
              <w:t>第二百三十八条</w:t>
            </w:r>
            <w:r>
              <w:rPr>
                <w:rFonts w:ascii="SimHei" w:hAnsi="SimHei" w:eastAsia="SimHei" w:cs="SimHei"/>
                <w:sz w:val="21"/>
                <w:szCs w:val="21"/>
                <w:spacing w:val="45"/>
              </w:rPr>
              <w:t xml:space="preserve"> </w:t>
            </w:r>
            <w:r>
              <w:rPr>
                <w:rFonts w:ascii="SimHei" w:hAnsi="SimHei" w:eastAsia="SimHei" w:cs="SimHei"/>
                <w:sz w:val="21"/>
                <w:szCs w:val="21"/>
                <w:b/>
                <w:bCs/>
                <w:spacing w:val="14"/>
              </w:rPr>
              <w:t>急救中心(站)和急救网络</w:t>
            </w:r>
            <w:r>
              <w:rPr>
                <w:rFonts w:ascii="SimHei" w:hAnsi="SimHei" w:eastAsia="SimHei" w:cs="SimHei"/>
                <w:sz w:val="21"/>
                <w:szCs w:val="21"/>
                <w:b/>
                <w:bCs/>
                <w:spacing w:val="13"/>
              </w:rPr>
              <w:t>医院使用非卫生专业技术人员的</w:t>
            </w:r>
            <w:r>
              <w:rPr>
                <w:rFonts w:ascii="SimHei" w:hAnsi="SimHei" w:eastAsia="SimHei" w:cs="SimHei"/>
                <w:sz w:val="21"/>
                <w:szCs w:val="21"/>
                <w:spacing w:val="-90"/>
              </w:rPr>
              <w:t xml:space="preserve"> </w:t>
            </w:r>
            <w:r>
              <w:rPr>
                <w:rFonts w:ascii="SimHei" w:hAnsi="SimHei" w:eastAsia="SimHei" w:cs="SimHei"/>
                <w:sz w:val="21"/>
                <w:szCs w:val="21"/>
              </w:rPr>
              <w:tab/>
            </w:r>
            <w:r>
              <w:rPr>
                <w:rFonts w:ascii="SimHei" w:hAnsi="SimHei" w:eastAsia="SimHei" w:cs="SimHei"/>
                <w:sz w:val="21"/>
                <w:szCs w:val="21"/>
                <w:spacing w:val="-28"/>
              </w:rPr>
              <w:t xml:space="preserve"> </w:t>
            </w:r>
            <w:r>
              <w:rPr>
                <w:rFonts w:ascii="Times New Roman" w:hAnsi="Times New Roman" w:eastAsia="Times New Roman" w:cs="Times New Roman"/>
                <w:sz w:val="21"/>
                <w:szCs w:val="21"/>
                <w:b/>
                <w:bCs/>
                <w:spacing w:val="-1"/>
              </w:rPr>
              <w:t>324</w:t>
            </w:r>
          </w:hyperlink>
        </w:p>
      </w:sdtContent>
    </w:sdt>
    <w:p>
      <w:pPr>
        <w:spacing w:line="221" w:lineRule="auto"/>
        <w:sectPr>
          <w:footerReference w:type="default" r:id="rId30"/>
          <w:pgSz w:w="16830" w:h="11900"/>
          <w:pgMar w:top="1011" w:right="1452" w:bottom="1134" w:left="1960" w:header="0" w:footer="792" w:gutter="0"/>
        </w:sectPr>
        <w:rPr>
          <w:rFonts w:ascii="Times New Roman" w:hAnsi="Times New Roman" w:eastAsia="Times New Roman" w:cs="Times New Roman"/>
          <w:sz w:val="21"/>
          <w:szCs w:val="21"/>
        </w:rPr>
      </w:pPr>
    </w:p>
    <w:p>
      <w:pPr>
        <w:pStyle w:val="BodyText"/>
        <w:spacing w:line="306" w:lineRule="auto"/>
        <w:rPr/>
      </w:pPr>
      <w:r/>
    </w:p>
    <w:p>
      <w:pPr>
        <w:pStyle w:val="BodyText"/>
        <w:spacing w:line="306" w:lineRule="auto"/>
        <w:rPr/>
      </w:pPr>
      <w:r/>
    </w:p>
    <w:p>
      <w:pPr>
        <w:pStyle w:val="BodyText"/>
        <w:spacing w:line="306"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ind w:left="320"/>
            <w:spacing w:before="72" w:line="222" w:lineRule="auto"/>
            <w:tabs>
              <w:tab w:val="right" w:leader="dot" w:pos="13443"/>
            </w:tabs>
            <w:rPr>
              <w:rFonts w:ascii="Times New Roman" w:hAnsi="Times New Roman" w:eastAsia="Times New Roman" w:cs="Times New Roman"/>
              <w:sz w:val="22"/>
              <w:szCs w:val="22"/>
            </w:rPr>
          </w:pPr>
          <w:hyperlink w:history="true" w:anchor="bookmark308">
            <w:r>
              <w:rPr>
                <w:rFonts w:ascii="SimHei" w:hAnsi="SimHei" w:eastAsia="SimHei" w:cs="SimHei"/>
                <w:sz w:val="22"/>
                <w:szCs w:val="22"/>
                <w:spacing w:val="-1"/>
              </w:rPr>
              <w:t>第二百三十九条</w:t>
            </w:r>
            <w:r>
              <w:rPr>
                <w:rFonts w:ascii="SimHei" w:hAnsi="SimHei" w:eastAsia="SimHei" w:cs="SimHei"/>
                <w:sz w:val="22"/>
                <w:szCs w:val="22"/>
                <w:spacing w:val="-1"/>
              </w:rPr>
              <w:t xml:space="preserve"> </w:t>
            </w:r>
            <w:r>
              <w:rPr>
                <w:rFonts w:ascii="SimHei" w:hAnsi="SimHei" w:eastAsia="SimHei" w:cs="SimHei"/>
                <w:sz w:val="22"/>
                <w:szCs w:val="22"/>
                <w:spacing w:val="-1"/>
              </w:rPr>
              <w:t>未经批准擅自使用“120”院前医疗急救呼叫号码或者其他带有</w:t>
            </w:r>
            <w:r>
              <w:rPr>
                <w:rFonts w:ascii="SimHei" w:hAnsi="SimHei" w:eastAsia="SimHei" w:cs="SimHei"/>
                <w:sz w:val="22"/>
                <w:szCs w:val="22"/>
                <w:spacing w:val="-2"/>
              </w:rPr>
              <w:t>院前医疗急救呼叫性质号码的</w:t>
            </w:r>
            <w:r>
              <w:rPr>
                <w:rFonts w:ascii="SimHei" w:hAnsi="SimHei" w:eastAsia="SimHei" w:cs="SimHei"/>
                <w:sz w:val="22"/>
                <w:szCs w:val="22"/>
                <w:spacing w:val="-99"/>
              </w:rPr>
              <w:t xml:space="preserve"> </w:t>
            </w:r>
            <w:r>
              <w:rPr>
                <w:rFonts w:ascii="SimHei" w:hAnsi="SimHei" w:eastAsia="SimHei" w:cs="SimHei"/>
                <w:sz w:val="22"/>
                <w:szCs w:val="22"/>
              </w:rPr>
              <w:tab/>
            </w:r>
            <w:r>
              <w:rPr>
                <w:rFonts w:ascii="Times New Roman" w:hAnsi="Times New Roman" w:eastAsia="Times New Roman" w:cs="Times New Roman"/>
                <w:sz w:val="22"/>
                <w:szCs w:val="22"/>
                <w:spacing w:val="-10"/>
              </w:rPr>
              <w:t>325</w:t>
            </w:r>
          </w:hyperlink>
        </w:p>
        <w:p>
          <w:pPr>
            <w:pStyle w:val="BodyText"/>
            <w:rPr/>
          </w:pPr>
          <w:r/>
        </w:p>
        <w:p>
          <w:pPr>
            <w:pStyle w:val="BodyText"/>
            <w:rPr/>
          </w:pPr>
          <w:r/>
        </w:p>
        <w:p>
          <w:pPr>
            <w:ind w:left="320"/>
            <w:spacing w:before="71" w:line="221" w:lineRule="auto"/>
            <w:tabs>
              <w:tab w:val="right" w:leader="dot" w:pos="13420"/>
            </w:tabs>
            <w:rPr>
              <w:rFonts w:ascii="Times New Roman" w:hAnsi="Times New Roman" w:eastAsia="Times New Roman" w:cs="Times New Roman"/>
              <w:sz w:val="22"/>
              <w:szCs w:val="22"/>
            </w:rPr>
          </w:pPr>
          <w:hyperlink w:history="true" w:anchor="bookmark309">
            <w:r>
              <w:rPr>
                <w:rFonts w:ascii="SimHei" w:hAnsi="SimHei" w:eastAsia="SimHei" w:cs="SimHei"/>
                <w:sz w:val="22"/>
                <w:szCs w:val="22"/>
                <w:spacing w:val="2"/>
              </w:rPr>
              <w:t>第二百四十条</w:t>
            </w:r>
            <w:r>
              <w:rPr>
                <w:rFonts w:ascii="SimHei" w:hAnsi="SimHei" w:eastAsia="SimHei" w:cs="SimHei"/>
                <w:sz w:val="22"/>
                <w:szCs w:val="22"/>
                <w:spacing w:val="2"/>
              </w:rPr>
              <w:t xml:space="preserve"> </w:t>
            </w:r>
            <w:r>
              <w:rPr>
                <w:rFonts w:ascii="SimHei" w:hAnsi="SimHei" w:eastAsia="SimHei" w:cs="SimHei"/>
                <w:sz w:val="22"/>
                <w:szCs w:val="22"/>
                <w:spacing w:val="2"/>
              </w:rPr>
              <w:t>未经批准擅自使用救护车开</w:t>
            </w:r>
            <w:r>
              <w:rPr>
                <w:rFonts w:ascii="SimHei" w:hAnsi="SimHei" w:eastAsia="SimHei" w:cs="SimHei"/>
                <w:sz w:val="22"/>
                <w:szCs w:val="22"/>
                <w:spacing w:val="1"/>
              </w:rPr>
              <w:t>展院前医疗急救服务的</w:t>
            </w:r>
            <w:r>
              <w:rPr>
                <w:rFonts w:ascii="SimHei" w:hAnsi="SimHei" w:eastAsia="SimHei" w:cs="SimHei"/>
                <w:sz w:val="22"/>
                <w:szCs w:val="22"/>
                <w:spacing w:val="-100"/>
              </w:rPr>
              <w:t xml:space="preserve"> </w:t>
            </w:r>
            <w:r>
              <w:rPr>
                <w:rFonts w:ascii="SimHei" w:hAnsi="SimHei" w:eastAsia="SimHei" w:cs="SimHei"/>
                <w:sz w:val="22"/>
                <w:szCs w:val="22"/>
              </w:rPr>
              <w:tab/>
            </w:r>
            <w:r>
              <w:rPr>
                <w:rFonts w:ascii="SimHei" w:hAnsi="SimHei" w:eastAsia="SimHei" w:cs="SimHei"/>
                <w:sz w:val="22"/>
                <w:szCs w:val="22"/>
                <w:spacing w:val="-14"/>
              </w:rPr>
              <w:t xml:space="preserve"> </w:t>
            </w:r>
            <w:r>
              <w:rPr>
                <w:rFonts w:ascii="Times New Roman" w:hAnsi="Times New Roman" w:eastAsia="Times New Roman" w:cs="Times New Roman"/>
                <w:sz w:val="22"/>
                <w:szCs w:val="22"/>
                <w:spacing w:val="-3"/>
              </w:rPr>
              <w:t>325</w:t>
            </w:r>
          </w:hyperlink>
        </w:p>
        <w:p>
          <w:pPr>
            <w:pStyle w:val="BodyText"/>
            <w:spacing w:line="246" w:lineRule="auto"/>
            <w:rPr/>
          </w:pPr>
          <w:r/>
        </w:p>
        <w:p>
          <w:pPr>
            <w:pStyle w:val="BodyText"/>
            <w:spacing w:line="246" w:lineRule="auto"/>
            <w:rPr/>
          </w:pPr>
          <w:r/>
        </w:p>
        <w:p>
          <w:pPr>
            <w:ind w:left="320"/>
            <w:spacing w:before="71" w:line="221" w:lineRule="auto"/>
            <w:tabs>
              <w:tab w:val="right" w:leader="dot" w:pos="13436"/>
            </w:tabs>
            <w:rPr>
              <w:rFonts w:ascii="Times New Roman" w:hAnsi="Times New Roman" w:eastAsia="Times New Roman" w:cs="Times New Roman"/>
              <w:sz w:val="22"/>
              <w:szCs w:val="22"/>
            </w:rPr>
          </w:pPr>
          <w:hyperlink w:history="true" w:anchor="bookmark310">
            <w:r>
              <w:rPr>
                <w:rFonts w:ascii="SimHei" w:hAnsi="SimHei" w:eastAsia="SimHei" w:cs="SimHei"/>
                <w:sz w:val="22"/>
                <w:szCs w:val="22"/>
                <w:spacing w:val="4"/>
              </w:rPr>
              <w:t>第二百四十一条</w:t>
            </w:r>
            <w:r>
              <w:rPr>
                <w:rFonts w:ascii="SimHei" w:hAnsi="SimHei" w:eastAsia="SimHei" w:cs="SimHei"/>
                <w:sz w:val="22"/>
                <w:szCs w:val="22"/>
                <w:spacing w:val="4"/>
              </w:rPr>
              <w:t xml:space="preserve"> </w:t>
            </w:r>
            <w:r>
              <w:rPr>
                <w:rFonts w:ascii="SimHei" w:hAnsi="SimHei" w:eastAsia="SimHei" w:cs="SimHei"/>
                <w:sz w:val="22"/>
                <w:szCs w:val="22"/>
                <w:spacing w:val="4"/>
              </w:rPr>
              <w:t>急救中心(站)因指挥调度或者</w:t>
            </w:r>
            <w:r>
              <w:rPr>
                <w:rFonts w:ascii="SimHei" w:hAnsi="SimHei" w:eastAsia="SimHei" w:cs="SimHei"/>
                <w:sz w:val="22"/>
                <w:szCs w:val="22"/>
                <w:spacing w:val="3"/>
              </w:rPr>
              <w:t>费用等因素拒绝、推诿或者延误院前医疗急救服务的</w:t>
            </w:r>
            <w:r>
              <w:rPr>
                <w:rFonts w:ascii="SimHei" w:hAnsi="SimHei" w:eastAsia="SimHei" w:cs="SimHei"/>
                <w:sz w:val="22"/>
                <w:szCs w:val="22"/>
                <w:spacing w:val="-98"/>
              </w:rPr>
              <w:t xml:space="preserve"> </w:t>
            </w:r>
            <w:r>
              <w:rPr>
                <w:rFonts w:ascii="SimHei" w:hAnsi="SimHei" w:eastAsia="SimHei" w:cs="SimHei"/>
                <w:sz w:val="22"/>
                <w:szCs w:val="22"/>
              </w:rPr>
              <w:tab/>
            </w:r>
            <w:r>
              <w:rPr>
                <w:rFonts w:ascii="SimHei" w:hAnsi="SimHei" w:eastAsia="SimHei" w:cs="SimHei"/>
                <w:sz w:val="22"/>
                <w:szCs w:val="22"/>
                <w:spacing w:val="-74"/>
              </w:rPr>
              <w:t xml:space="preserve"> </w:t>
            </w:r>
            <w:r>
              <w:rPr>
                <w:rFonts w:ascii="Times New Roman" w:hAnsi="Times New Roman" w:eastAsia="Times New Roman" w:cs="Times New Roman"/>
                <w:sz w:val="22"/>
                <w:szCs w:val="22"/>
                <w:spacing w:val="-18"/>
              </w:rPr>
              <w:t>32</w:t>
            </w:r>
            <w:r>
              <w:rPr>
                <w:rFonts w:ascii="Times New Roman" w:hAnsi="Times New Roman" w:eastAsia="Times New Roman" w:cs="Times New Roman"/>
                <w:sz w:val="22"/>
                <w:szCs w:val="22"/>
                <w:spacing w:val="-9"/>
              </w:rPr>
              <w:t>6</w:t>
            </w:r>
          </w:hyperlink>
        </w:p>
        <w:p>
          <w:pPr>
            <w:pStyle w:val="BodyText"/>
            <w:spacing w:line="241" w:lineRule="auto"/>
            <w:rPr/>
          </w:pPr>
          <w:r/>
        </w:p>
        <w:p>
          <w:pPr>
            <w:pStyle w:val="BodyText"/>
            <w:spacing w:line="241" w:lineRule="auto"/>
            <w:rPr/>
          </w:pPr>
          <w:r/>
        </w:p>
        <w:p>
          <w:pPr>
            <w:ind w:left="320"/>
            <w:spacing w:before="71" w:line="221" w:lineRule="auto"/>
            <w:tabs>
              <w:tab w:val="right" w:leader="dot" w:pos="13320"/>
            </w:tabs>
            <w:rPr>
              <w:rFonts w:ascii="Times New Roman" w:hAnsi="Times New Roman" w:eastAsia="Times New Roman" w:cs="Times New Roman"/>
              <w:sz w:val="22"/>
              <w:szCs w:val="22"/>
            </w:rPr>
          </w:pPr>
          <w:hyperlink w:history="true" w:anchor="bookmark311">
            <w:r>
              <w:rPr>
                <w:rFonts w:ascii="SimHei" w:hAnsi="SimHei" w:eastAsia="SimHei" w:cs="SimHei"/>
                <w:sz w:val="22"/>
                <w:szCs w:val="22"/>
                <w:spacing w:val="-1"/>
              </w:rPr>
              <w:t>第二百四十二条</w:t>
            </w:r>
            <w:r>
              <w:rPr>
                <w:rFonts w:ascii="SimHei" w:hAnsi="SimHei" w:eastAsia="SimHei" w:cs="SimHei"/>
                <w:sz w:val="22"/>
                <w:szCs w:val="22"/>
                <w:spacing w:val="-1"/>
              </w:rPr>
              <w:t xml:space="preserve"> </w:t>
            </w:r>
            <w:r>
              <w:rPr>
                <w:rFonts w:ascii="SimHei" w:hAnsi="SimHei" w:eastAsia="SimHei" w:cs="SimHei"/>
                <w:sz w:val="22"/>
                <w:szCs w:val="22"/>
                <w:spacing w:val="-1"/>
              </w:rPr>
              <w:t>违反《院前医疗急救管理办法》其他规定的</w:t>
            </w:r>
            <w:r>
              <w:rPr>
                <w:rFonts w:ascii="SimHei" w:hAnsi="SimHei" w:eastAsia="SimHei" w:cs="SimHei"/>
                <w:sz w:val="22"/>
                <w:szCs w:val="22"/>
                <w:spacing w:val="-74"/>
              </w:rPr>
              <w:t xml:space="preserve"> </w:t>
            </w:r>
            <w:r>
              <w:rPr>
                <w:rFonts w:ascii="SimHei" w:hAnsi="SimHei" w:eastAsia="SimHei" w:cs="SimHei"/>
                <w:sz w:val="22"/>
                <w:szCs w:val="22"/>
              </w:rPr>
              <w:tab/>
            </w:r>
            <w:r>
              <w:rPr>
                <w:rFonts w:ascii="SimHei" w:hAnsi="SimHei" w:eastAsia="SimHei" w:cs="SimHei"/>
                <w:sz w:val="22"/>
                <w:szCs w:val="22"/>
                <w:spacing w:val="-64"/>
              </w:rPr>
              <w:t xml:space="preserve"> </w:t>
            </w:r>
            <w:r>
              <w:rPr>
                <w:rFonts w:ascii="Times New Roman" w:hAnsi="Times New Roman" w:eastAsia="Times New Roman" w:cs="Times New Roman"/>
                <w:sz w:val="22"/>
                <w:szCs w:val="22"/>
                <w:spacing w:val="-3"/>
              </w:rPr>
              <w:t>327</w:t>
            </w:r>
          </w:hyperlink>
        </w:p>
        <w:p>
          <w:pPr>
            <w:pStyle w:val="BodyText"/>
            <w:spacing w:line="270" w:lineRule="auto"/>
            <w:rPr/>
          </w:pPr>
          <w:r/>
        </w:p>
        <w:p>
          <w:pPr>
            <w:spacing w:before="72" w:line="212" w:lineRule="auto"/>
            <w:tabs>
              <w:tab w:val="right" w:leader="dot" w:pos="13400"/>
            </w:tabs>
            <w:rPr>
              <w:rFonts w:ascii="Times New Roman" w:hAnsi="Times New Roman" w:eastAsia="Times New Roman" w:cs="Times New Roman"/>
              <w:sz w:val="22"/>
              <w:szCs w:val="22"/>
            </w:rPr>
          </w:pPr>
          <w:hyperlink w:history="true" w:anchor="bookmark312">
            <w:r>
              <w:rPr>
                <w:rFonts w:ascii="Times New Roman" w:hAnsi="Times New Roman" w:eastAsia="Times New Roman" w:cs="Times New Roman"/>
                <w:sz w:val="22"/>
                <w:szCs w:val="22"/>
                <w:spacing w:val="1"/>
              </w:rPr>
              <w:t>(</w:t>
            </w:r>
            <w:r>
              <w:rPr>
                <w:rFonts w:ascii="Times New Roman" w:hAnsi="Times New Roman" w:eastAsia="Times New Roman" w:cs="Times New Roman"/>
                <w:sz w:val="22"/>
                <w:szCs w:val="22"/>
                <w:spacing w:val="4"/>
              </w:rPr>
              <w:t xml:space="preserve"> </w:t>
            </w:r>
            <w:r>
              <w:rPr>
                <w:rFonts w:ascii="KaiTi" w:hAnsi="KaiTi" w:eastAsia="KaiTi" w:cs="KaiTi"/>
                <w:sz w:val="22"/>
                <w:szCs w:val="22"/>
                <w:spacing w:val="1"/>
              </w:rPr>
              <w:t>十五)《中华人民共和国广告法》</w:t>
            </w:r>
            <w:r>
              <w:rPr>
                <w:rFonts w:ascii="KaiTi" w:hAnsi="KaiTi" w:eastAsia="KaiTi" w:cs="KaiTi"/>
                <w:sz w:val="22"/>
                <w:szCs w:val="22"/>
                <w:spacing w:val="-80"/>
              </w:rPr>
              <w:t xml:space="preserve"> </w:t>
            </w:r>
            <w:r>
              <w:rPr>
                <w:rFonts w:ascii="KaiTi" w:hAnsi="KaiTi" w:eastAsia="KaiTi" w:cs="KaiTi"/>
                <w:sz w:val="22"/>
                <w:szCs w:val="22"/>
              </w:rPr>
              <w:tab/>
            </w:r>
            <w:r>
              <w:rPr>
                <w:rFonts w:ascii="KaiTi" w:hAnsi="KaiTi" w:eastAsia="KaiTi" w:cs="KaiTi"/>
                <w:sz w:val="22"/>
                <w:szCs w:val="22"/>
                <w:spacing w:val="-53"/>
              </w:rPr>
              <w:t xml:space="preserve"> </w:t>
            </w:r>
            <w:r>
              <w:rPr>
                <w:rFonts w:ascii="Times New Roman" w:hAnsi="Times New Roman" w:eastAsia="Times New Roman" w:cs="Times New Roman"/>
                <w:sz w:val="22"/>
                <w:szCs w:val="22"/>
                <w:spacing w:val="-3"/>
              </w:rPr>
              <w:t>327</w:t>
            </w:r>
          </w:hyperlink>
        </w:p>
        <w:p>
          <w:pPr>
            <w:pStyle w:val="BodyText"/>
            <w:spacing w:line="455" w:lineRule="auto"/>
            <w:rPr/>
          </w:pPr>
          <w:r/>
        </w:p>
        <w:p>
          <w:pPr>
            <w:ind w:left="330"/>
            <w:spacing w:before="73" w:line="221" w:lineRule="auto"/>
            <w:tabs>
              <w:tab w:val="right" w:leader="dot" w:pos="13370"/>
            </w:tabs>
            <w:rPr>
              <w:rFonts w:ascii="Times New Roman" w:hAnsi="Times New Roman" w:eastAsia="Times New Roman" w:cs="Times New Roman"/>
              <w:sz w:val="22"/>
              <w:szCs w:val="22"/>
            </w:rPr>
          </w:pPr>
          <w:hyperlink w:history="true" w:anchor="bookmark313">
            <w:r>
              <w:rPr>
                <w:rFonts w:ascii="SimHei" w:hAnsi="SimHei" w:eastAsia="SimHei" w:cs="SimHei"/>
                <w:sz w:val="22"/>
                <w:szCs w:val="22"/>
                <w:spacing w:val="-1"/>
              </w:rPr>
              <w:t>第二百四十三条</w:t>
            </w:r>
            <w:r>
              <w:rPr>
                <w:rFonts w:ascii="SimHei" w:hAnsi="SimHei" w:eastAsia="SimHei" w:cs="SimHei"/>
                <w:sz w:val="22"/>
                <w:szCs w:val="22"/>
                <w:spacing w:val="-1"/>
              </w:rPr>
              <w:t xml:space="preserve"> </w:t>
            </w:r>
            <w:r>
              <w:rPr>
                <w:rFonts w:ascii="SimHei" w:hAnsi="SimHei" w:eastAsia="SimHei" w:cs="SimHei"/>
                <w:sz w:val="22"/>
                <w:szCs w:val="22"/>
                <w:spacing w:val="-1"/>
              </w:rPr>
              <w:t>医疗机构发布虚假医疗广告的</w:t>
            </w:r>
            <w:r>
              <w:rPr>
                <w:rFonts w:ascii="SimHei" w:hAnsi="SimHei" w:eastAsia="SimHei" w:cs="SimHei"/>
                <w:sz w:val="22"/>
                <w:szCs w:val="22"/>
                <w:spacing w:val="-80"/>
              </w:rPr>
              <w:t xml:space="preserve"> </w:t>
            </w:r>
            <w:r>
              <w:rPr>
                <w:rFonts w:ascii="SimHei" w:hAnsi="SimHei" w:eastAsia="SimHei" w:cs="SimHei"/>
                <w:sz w:val="22"/>
                <w:szCs w:val="22"/>
              </w:rPr>
              <w:tab/>
            </w:r>
            <w:r>
              <w:rPr>
                <w:rFonts w:ascii="SimHei" w:hAnsi="SimHei" w:eastAsia="SimHei" w:cs="SimHei"/>
                <w:sz w:val="22"/>
                <w:szCs w:val="22"/>
                <w:spacing w:val="-24"/>
              </w:rPr>
              <w:t xml:space="preserve"> </w:t>
            </w:r>
            <w:r>
              <w:rPr>
                <w:rFonts w:ascii="Times New Roman" w:hAnsi="Times New Roman" w:eastAsia="Times New Roman" w:cs="Times New Roman"/>
                <w:sz w:val="22"/>
                <w:szCs w:val="22"/>
                <w:spacing w:val="-3"/>
              </w:rPr>
              <w:t>327</w:t>
            </w:r>
          </w:hyperlink>
        </w:p>
        <w:p>
          <w:pPr>
            <w:pStyle w:val="BodyText"/>
            <w:spacing w:line="402" w:lineRule="auto"/>
            <w:rPr/>
          </w:pPr>
          <w:r/>
        </w:p>
        <w:p>
          <w:pPr>
            <w:ind w:left="320"/>
            <w:spacing w:before="72" w:line="221" w:lineRule="auto"/>
            <w:tabs>
              <w:tab w:val="right" w:leader="dot" w:pos="13440"/>
            </w:tabs>
            <w:rPr>
              <w:rFonts w:ascii="Times New Roman" w:hAnsi="Times New Roman" w:eastAsia="Times New Roman" w:cs="Times New Roman"/>
              <w:sz w:val="22"/>
              <w:szCs w:val="22"/>
            </w:rPr>
          </w:pPr>
          <w:hyperlink w:history="true" w:anchor="bookmark314">
            <w:r>
              <w:rPr>
                <w:rFonts w:ascii="SimHei" w:hAnsi="SimHei" w:eastAsia="SimHei" w:cs="SimHei"/>
                <w:sz w:val="22"/>
                <w:szCs w:val="22"/>
                <w:spacing w:val="-2"/>
              </w:rPr>
              <w:t>第二百四十四条</w:t>
            </w:r>
            <w:r>
              <w:rPr>
                <w:rFonts w:ascii="SimHei" w:hAnsi="SimHei" w:eastAsia="SimHei" w:cs="SimHei"/>
                <w:sz w:val="22"/>
                <w:szCs w:val="22"/>
                <w:spacing w:val="-2"/>
              </w:rPr>
              <w:t xml:space="preserve"> </w:t>
            </w:r>
            <w:r>
              <w:rPr>
                <w:rFonts w:ascii="SimHei" w:hAnsi="SimHei" w:eastAsia="SimHei" w:cs="SimHei"/>
                <w:sz w:val="22"/>
                <w:szCs w:val="22"/>
                <w:spacing w:val="-2"/>
              </w:rPr>
              <w:t>医疗机构发布违反《中华人民共和国广告法》第十六条规定的医疗</w:t>
            </w:r>
            <w:r>
              <w:rPr>
                <w:rFonts w:ascii="SimHei" w:hAnsi="SimHei" w:eastAsia="SimHei" w:cs="SimHei"/>
                <w:sz w:val="22"/>
                <w:szCs w:val="22"/>
                <w:spacing w:val="-3"/>
              </w:rPr>
              <w:t>广告的</w:t>
            </w:r>
            <w:r>
              <w:rPr>
                <w:rFonts w:ascii="SimHei" w:hAnsi="SimHei" w:eastAsia="SimHei" w:cs="SimHei"/>
                <w:sz w:val="22"/>
                <w:szCs w:val="22"/>
                <w:spacing w:val="-99"/>
              </w:rPr>
              <w:t xml:space="preserve"> </w:t>
            </w:r>
            <w:r>
              <w:rPr>
                <w:rFonts w:ascii="SimHei" w:hAnsi="SimHei" w:eastAsia="SimHei" w:cs="SimHei"/>
                <w:sz w:val="22"/>
                <w:szCs w:val="22"/>
              </w:rPr>
              <w:tab/>
            </w:r>
            <w:r>
              <w:rPr>
                <w:rFonts w:ascii="SimHei" w:hAnsi="SimHei" w:eastAsia="SimHei" w:cs="SimHei"/>
                <w:sz w:val="22"/>
                <w:szCs w:val="22"/>
                <w:spacing w:val="-55"/>
              </w:rPr>
              <w:t xml:space="preserve"> </w:t>
            </w:r>
            <w:r>
              <w:rPr>
                <w:rFonts w:ascii="Times New Roman" w:hAnsi="Times New Roman" w:eastAsia="Times New Roman" w:cs="Times New Roman"/>
                <w:sz w:val="22"/>
                <w:szCs w:val="22"/>
                <w:spacing w:val="-13"/>
              </w:rPr>
              <w:t>328</w:t>
            </w:r>
          </w:hyperlink>
        </w:p>
        <w:p>
          <w:pPr>
            <w:pStyle w:val="BodyText"/>
            <w:spacing w:line="270" w:lineRule="auto"/>
            <w:rPr/>
          </w:pPr>
          <w:r/>
        </w:p>
        <w:p>
          <w:pPr>
            <w:spacing w:before="72" w:line="212" w:lineRule="auto"/>
            <w:tabs>
              <w:tab w:val="right" w:leader="dot" w:pos="13400"/>
            </w:tabs>
            <w:rPr>
              <w:rFonts w:ascii="Times New Roman" w:hAnsi="Times New Roman" w:eastAsia="Times New Roman" w:cs="Times New Roman"/>
              <w:sz w:val="22"/>
              <w:szCs w:val="22"/>
            </w:rPr>
          </w:pPr>
          <w:hyperlink w:history="true" w:anchor="bookmark315">
            <w:r>
              <w:rPr>
                <w:rFonts w:ascii="Times New Roman" w:hAnsi="Times New Roman" w:eastAsia="Times New Roman" w:cs="Times New Roman"/>
                <w:sz w:val="22"/>
                <w:szCs w:val="22"/>
                <w:spacing w:val="2"/>
              </w:rPr>
              <w:t>(</w:t>
            </w:r>
            <w:r>
              <w:rPr>
                <w:rFonts w:ascii="Times New Roman" w:hAnsi="Times New Roman" w:eastAsia="Times New Roman" w:cs="Times New Roman"/>
                <w:sz w:val="22"/>
                <w:szCs w:val="22"/>
                <w:spacing w:val="-8"/>
              </w:rPr>
              <w:t xml:space="preserve"> </w:t>
            </w:r>
            <w:r>
              <w:rPr>
                <w:rFonts w:ascii="KaiTi" w:hAnsi="KaiTi" w:eastAsia="KaiTi" w:cs="KaiTi"/>
                <w:sz w:val="22"/>
                <w:szCs w:val="22"/>
                <w:spacing w:val="2"/>
              </w:rPr>
              <w:t>十六)《性病防治管理办法》</w:t>
            </w:r>
            <w:r>
              <w:rPr>
                <w:rFonts w:ascii="KaiTi" w:hAnsi="KaiTi" w:eastAsia="KaiTi" w:cs="KaiTi"/>
                <w:sz w:val="22"/>
                <w:szCs w:val="22"/>
                <w:spacing w:val="-80"/>
              </w:rPr>
              <w:t xml:space="preserve"> </w:t>
            </w:r>
            <w:r>
              <w:rPr>
                <w:rFonts w:ascii="KaiTi" w:hAnsi="KaiTi" w:eastAsia="KaiTi" w:cs="KaiTi"/>
                <w:sz w:val="22"/>
                <w:szCs w:val="22"/>
              </w:rPr>
              <w:tab/>
            </w:r>
            <w:r>
              <w:rPr>
                <w:rFonts w:ascii="KaiTi" w:hAnsi="KaiTi" w:eastAsia="KaiTi" w:cs="KaiTi"/>
                <w:sz w:val="22"/>
                <w:szCs w:val="22"/>
                <w:spacing w:val="-53"/>
              </w:rPr>
              <w:t xml:space="preserve"> </w:t>
            </w:r>
            <w:r>
              <w:rPr>
                <w:rFonts w:ascii="Times New Roman" w:hAnsi="Times New Roman" w:eastAsia="Times New Roman" w:cs="Times New Roman"/>
                <w:sz w:val="22"/>
                <w:szCs w:val="22"/>
                <w:spacing w:val="-3"/>
              </w:rPr>
              <w:t>329</w:t>
            </w:r>
          </w:hyperlink>
        </w:p>
        <w:p>
          <w:pPr>
            <w:pStyle w:val="BodyText"/>
            <w:spacing w:line="376" w:lineRule="auto"/>
            <w:rPr/>
          </w:pPr>
          <w:r/>
        </w:p>
        <w:p>
          <w:pPr>
            <w:ind w:left="320"/>
            <w:spacing w:before="72" w:line="221" w:lineRule="auto"/>
            <w:tabs>
              <w:tab w:val="right" w:leader="dot" w:pos="13420"/>
            </w:tabs>
            <w:rPr>
              <w:rFonts w:ascii="Times New Roman" w:hAnsi="Times New Roman" w:eastAsia="Times New Roman" w:cs="Times New Roman"/>
              <w:sz w:val="22"/>
              <w:szCs w:val="22"/>
            </w:rPr>
          </w:pPr>
          <w:hyperlink w:history="true" w:anchor="bookmark316">
            <w:r>
              <w:rPr>
                <w:rFonts w:ascii="SimHei" w:hAnsi="SimHei" w:eastAsia="SimHei" w:cs="SimHei"/>
                <w:sz w:val="22"/>
                <w:szCs w:val="22"/>
                <w:spacing w:val="-1"/>
              </w:rPr>
              <w:t>第二百四十五条</w:t>
            </w:r>
            <w:r>
              <w:rPr>
                <w:rFonts w:ascii="SimHei" w:hAnsi="SimHei" w:eastAsia="SimHei" w:cs="SimHei"/>
                <w:sz w:val="22"/>
                <w:szCs w:val="22"/>
                <w:spacing w:val="-1"/>
              </w:rPr>
              <w:t xml:space="preserve"> </w:t>
            </w:r>
            <w:r>
              <w:rPr>
                <w:rFonts w:ascii="SimHei" w:hAnsi="SimHei" w:eastAsia="SimHei" w:cs="SimHei"/>
                <w:sz w:val="22"/>
                <w:szCs w:val="22"/>
                <w:spacing w:val="-1"/>
              </w:rPr>
              <w:t>医疗机构提供性病诊疗服务时违反诊疗规范的</w:t>
            </w:r>
            <w:r>
              <w:rPr>
                <w:rFonts w:ascii="SimHei" w:hAnsi="SimHei" w:eastAsia="SimHei" w:cs="SimHei"/>
                <w:sz w:val="22"/>
                <w:szCs w:val="22"/>
                <w:spacing w:val="-74"/>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329</w:t>
            </w:r>
          </w:hyperlink>
        </w:p>
        <w:p>
          <w:pPr>
            <w:pStyle w:val="BodyText"/>
            <w:spacing w:line="245" w:lineRule="auto"/>
            <w:rPr/>
          </w:pPr>
          <w:r/>
        </w:p>
        <w:p>
          <w:pPr>
            <w:pStyle w:val="BodyText"/>
            <w:spacing w:line="246" w:lineRule="auto"/>
            <w:rPr/>
          </w:pPr>
          <w:r/>
        </w:p>
        <w:p>
          <w:pPr>
            <w:ind w:left="320"/>
            <w:spacing w:before="71" w:line="219" w:lineRule="auto"/>
            <w:tabs>
              <w:tab w:val="right" w:leader="dot" w:pos="13310"/>
            </w:tabs>
            <w:rPr>
              <w:rFonts w:ascii="Times New Roman" w:hAnsi="Times New Roman" w:eastAsia="Times New Roman" w:cs="Times New Roman"/>
              <w:sz w:val="22"/>
              <w:szCs w:val="22"/>
            </w:rPr>
          </w:pPr>
          <w:hyperlink w:history="true" w:anchor="bookmark317">
            <w:r>
              <w:rPr>
                <w:rFonts w:ascii="SimHei" w:hAnsi="SimHei" w:eastAsia="SimHei" w:cs="SimHei"/>
                <w:sz w:val="22"/>
                <w:szCs w:val="22"/>
              </w:rPr>
              <w:t>第二百四十六条</w:t>
            </w:r>
            <w:r>
              <w:rPr>
                <w:rFonts w:ascii="SimHei" w:hAnsi="SimHei" w:eastAsia="SimHei" w:cs="SimHei"/>
                <w:sz w:val="22"/>
                <w:szCs w:val="22"/>
              </w:rPr>
              <w:t xml:space="preserve"> </w:t>
            </w:r>
            <w:r>
              <w:rPr>
                <w:rFonts w:ascii="SimHei" w:hAnsi="SimHei" w:eastAsia="SimHei" w:cs="SimHei"/>
                <w:sz w:val="22"/>
                <w:szCs w:val="22"/>
              </w:rPr>
              <w:t>未取得医疗机构执业许可证</w:t>
            </w:r>
            <w:r>
              <w:rPr>
                <w:rFonts w:ascii="SimHei" w:hAnsi="SimHei" w:eastAsia="SimHei" w:cs="SimHei"/>
                <w:sz w:val="22"/>
                <w:szCs w:val="22"/>
                <w:spacing w:val="-1"/>
              </w:rPr>
              <w:t>擅自开展性病诊疗活动</w:t>
            </w:r>
            <w:r>
              <w:rPr>
                <w:rFonts w:ascii="SimHei" w:hAnsi="SimHei" w:eastAsia="SimHei" w:cs="SimHei"/>
                <w:sz w:val="22"/>
                <w:szCs w:val="22"/>
              </w:rPr>
              <w:tab/>
            </w:r>
            <w:r>
              <w:rPr>
                <w:rFonts w:ascii="Times New Roman" w:hAnsi="Times New Roman" w:eastAsia="Times New Roman" w:cs="Times New Roman"/>
                <w:sz w:val="22"/>
                <w:szCs w:val="22"/>
                <w:spacing w:val="-1"/>
              </w:rPr>
              <w:t>30</w:t>
            </w:r>
          </w:hyperlink>
        </w:p>
        <w:p>
          <w:pPr>
            <w:pStyle w:val="BodyText"/>
            <w:spacing w:line="242" w:lineRule="auto"/>
            <w:rPr/>
          </w:pPr>
          <w:r/>
        </w:p>
        <w:p>
          <w:pPr>
            <w:pStyle w:val="BodyText"/>
            <w:spacing w:line="243" w:lineRule="auto"/>
            <w:rPr/>
          </w:pPr>
          <w:r/>
        </w:p>
        <w:p>
          <w:pPr>
            <w:ind w:left="320"/>
            <w:spacing w:before="73" w:line="221" w:lineRule="auto"/>
            <w:tabs>
              <w:tab w:val="right" w:leader="dot" w:pos="13270"/>
            </w:tabs>
            <w:rPr>
              <w:rFonts w:ascii="Times New Roman" w:hAnsi="Times New Roman" w:eastAsia="Times New Roman" w:cs="Times New Roman"/>
              <w:sz w:val="22"/>
              <w:szCs w:val="22"/>
            </w:rPr>
          </w:pPr>
          <w:hyperlink w:history="true" w:anchor="bookmark318">
            <w:r>
              <w:rPr>
                <w:rFonts w:ascii="SimHei" w:hAnsi="SimHei" w:eastAsia="SimHei" w:cs="SimHei"/>
                <w:sz w:val="22"/>
                <w:szCs w:val="22"/>
              </w:rPr>
              <w:t>第二百四十七条</w:t>
            </w:r>
            <w:r>
              <w:rPr>
                <w:rFonts w:ascii="SimHei" w:hAnsi="SimHei" w:eastAsia="SimHei" w:cs="SimHei"/>
                <w:sz w:val="22"/>
                <w:szCs w:val="22"/>
              </w:rPr>
              <w:t xml:space="preserve"> </w:t>
            </w:r>
            <w:r>
              <w:rPr>
                <w:rFonts w:ascii="SimHei" w:hAnsi="SimHei" w:eastAsia="SimHei" w:cs="SimHei"/>
                <w:sz w:val="22"/>
                <w:szCs w:val="22"/>
              </w:rPr>
              <w:t>医疗机构诊疗活动超出诊疗科目登记</w:t>
            </w:r>
            <w:r>
              <w:rPr>
                <w:rFonts w:ascii="SimHei" w:hAnsi="SimHei" w:eastAsia="SimHei" w:cs="SimHei"/>
                <w:sz w:val="22"/>
                <w:szCs w:val="22"/>
                <w:spacing w:val="-1"/>
              </w:rPr>
              <w:t>范围开展性病诊疗活动</w:t>
            </w:r>
            <w:r>
              <w:rPr>
                <w:rFonts w:ascii="SimHei" w:hAnsi="SimHei" w:eastAsia="SimHei" w:cs="SimHei"/>
                <w:sz w:val="22"/>
                <w:szCs w:val="22"/>
              </w:rPr>
              <w:tab/>
            </w:r>
            <w:r>
              <w:rPr>
                <w:rFonts w:ascii="Times New Roman" w:hAnsi="Times New Roman" w:eastAsia="Times New Roman" w:cs="Times New Roman"/>
                <w:sz w:val="22"/>
                <w:szCs w:val="22"/>
                <w:spacing w:val="1"/>
              </w:rPr>
              <w:t>331</w:t>
            </w:r>
          </w:hyperlink>
        </w:p>
      </w:sdtContent>
    </w:sdt>
    <w:p>
      <w:pPr>
        <w:spacing w:line="221" w:lineRule="auto"/>
        <w:sectPr>
          <w:footerReference w:type="default" r:id="rId31"/>
          <w:pgSz w:w="16830" w:h="11900"/>
          <w:pgMar w:top="1011" w:right="1416" w:bottom="1141" w:left="1969" w:header="0" w:footer="790" w:gutter="0"/>
        </w:sectPr>
        <w:rPr>
          <w:rFonts w:ascii="Times New Roman" w:hAnsi="Times New Roman" w:eastAsia="Times New Roman" w:cs="Times New Roman"/>
          <w:sz w:val="22"/>
          <w:szCs w:val="22"/>
        </w:rPr>
      </w:pPr>
    </w:p>
    <w:p>
      <w:pPr>
        <w:pStyle w:val="BodyText"/>
        <w:spacing w:line="348" w:lineRule="auto"/>
        <w:rPr/>
      </w:pPr>
      <w:r/>
    </w:p>
    <w:p>
      <w:pPr>
        <w:pStyle w:val="BodyText"/>
        <w:spacing w:line="348" w:lineRule="auto"/>
        <w:rPr/>
      </w:pPr>
      <w:r/>
    </w:p>
    <w:sdt>
      <w:sdtPr>
        <w:rPr>
          <w:rFonts w:ascii="Times New Roman" w:hAnsi="Times New Roman" w:eastAsia="Times New Roman" w:cs="Times New Roman"/>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spacing w:before="72" w:line="212" w:lineRule="auto"/>
            <w:tabs>
              <w:tab w:val="right" w:leader="dot" w:pos="13340"/>
            </w:tabs>
            <w:rPr>
              <w:rFonts w:ascii="Times New Roman" w:hAnsi="Times New Roman" w:eastAsia="Times New Roman" w:cs="Times New Roman"/>
              <w:sz w:val="22"/>
              <w:szCs w:val="22"/>
            </w:rPr>
          </w:pPr>
          <w:hyperlink w:history="true" w:anchor="bookmark319">
            <w:r>
              <w:rPr>
                <w:rFonts w:ascii="Times New Roman" w:hAnsi="Times New Roman" w:eastAsia="Times New Roman" w:cs="Times New Roman"/>
                <w:sz w:val="22"/>
                <w:szCs w:val="22"/>
                <w:spacing w:val="2"/>
              </w:rPr>
              <w:t>(</w:t>
            </w:r>
            <w:r>
              <w:rPr>
                <w:rFonts w:ascii="Times New Roman" w:hAnsi="Times New Roman" w:eastAsia="Times New Roman" w:cs="Times New Roman"/>
                <w:sz w:val="22"/>
                <w:szCs w:val="22"/>
                <w:spacing w:val="-8"/>
              </w:rPr>
              <w:t xml:space="preserve"> </w:t>
            </w:r>
            <w:r>
              <w:rPr>
                <w:rFonts w:ascii="KaiTi" w:hAnsi="KaiTi" w:eastAsia="KaiTi" w:cs="KaiTi"/>
                <w:sz w:val="22"/>
                <w:szCs w:val="22"/>
                <w:spacing w:val="2"/>
              </w:rPr>
              <w:t>十七)《人体器官移植条例》</w:t>
            </w:r>
            <w:r>
              <w:rPr>
                <w:rFonts w:ascii="KaiTi" w:hAnsi="KaiTi" w:eastAsia="KaiTi" w:cs="KaiTi"/>
                <w:sz w:val="22"/>
                <w:szCs w:val="22"/>
                <w:spacing w:val="-80"/>
              </w:rPr>
              <w:t xml:space="preserve"> </w:t>
            </w:r>
            <w:r>
              <w:rPr>
                <w:rFonts w:ascii="KaiTi" w:hAnsi="KaiTi" w:eastAsia="KaiTi" w:cs="KaiTi"/>
                <w:sz w:val="22"/>
                <w:szCs w:val="22"/>
              </w:rPr>
              <w:tab/>
            </w:r>
            <w:r>
              <w:rPr>
                <w:rFonts w:ascii="Times New Roman" w:hAnsi="Times New Roman" w:eastAsia="Times New Roman" w:cs="Times New Roman"/>
                <w:sz w:val="22"/>
                <w:szCs w:val="22"/>
                <w:spacing w:val="-4"/>
              </w:rPr>
              <w:t>333</w:t>
            </w:r>
          </w:hyperlink>
        </w:p>
        <w:p>
          <w:pPr>
            <w:pStyle w:val="BodyText"/>
            <w:spacing w:line="376" w:lineRule="auto"/>
            <w:rPr/>
          </w:pPr>
          <w:r/>
        </w:p>
        <w:p>
          <w:pPr>
            <w:ind w:left="339"/>
            <w:spacing w:before="71" w:line="221" w:lineRule="auto"/>
            <w:tabs>
              <w:tab w:val="right" w:leader="dot" w:pos="13390"/>
            </w:tabs>
            <w:rPr>
              <w:rFonts w:ascii="Times New Roman" w:hAnsi="Times New Roman" w:eastAsia="Times New Roman" w:cs="Times New Roman"/>
              <w:sz w:val="22"/>
              <w:szCs w:val="22"/>
            </w:rPr>
          </w:pPr>
          <w:hyperlink w:history="true" w:anchor="bookmark320">
            <w:r>
              <w:rPr>
                <w:rFonts w:ascii="SimHei" w:hAnsi="SimHei" w:eastAsia="SimHei" w:cs="SimHei"/>
                <w:sz w:val="22"/>
                <w:szCs w:val="22"/>
              </w:rPr>
              <w:t>第二百四十八条</w:t>
            </w:r>
            <w:r>
              <w:rPr>
                <w:rFonts w:ascii="SimHei" w:hAnsi="SimHei" w:eastAsia="SimHei" w:cs="SimHei"/>
                <w:sz w:val="22"/>
                <w:szCs w:val="22"/>
              </w:rPr>
              <w:t xml:space="preserve"> </w:t>
            </w:r>
            <w:r>
              <w:rPr>
                <w:rFonts w:ascii="SimHei" w:hAnsi="SimHei" w:eastAsia="SimHei" w:cs="SimHei"/>
                <w:sz w:val="22"/>
                <w:szCs w:val="22"/>
              </w:rPr>
              <w:t>买卖人体器官或者从事与买</w:t>
            </w:r>
            <w:r>
              <w:rPr>
                <w:rFonts w:ascii="SimHei" w:hAnsi="SimHei" w:eastAsia="SimHei" w:cs="SimHei"/>
                <w:sz w:val="22"/>
                <w:szCs w:val="22"/>
                <w:spacing w:val="-1"/>
              </w:rPr>
              <w:t>卖人体器官有关活动的</w:t>
            </w:r>
            <w:r>
              <w:rPr>
                <w:rFonts w:ascii="SimHei" w:hAnsi="SimHei" w:eastAsia="SimHei" w:cs="SimHei"/>
                <w:sz w:val="22"/>
                <w:szCs w:val="22"/>
              </w:rPr>
              <w:tab/>
            </w:r>
            <w:r>
              <w:rPr>
                <w:rFonts w:ascii="Times New Roman" w:hAnsi="Times New Roman" w:eastAsia="Times New Roman" w:cs="Times New Roman"/>
                <w:sz w:val="22"/>
                <w:szCs w:val="22"/>
                <w:spacing w:val="-1"/>
              </w:rPr>
              <w:t>333</w:t>
            </w:r>
          </w:hyperlink>
        </w:p>
        <w:p>
          <w:pPr>
            <w:pStyle w:val="BodyText"/>
            <w:spacing w:line="241" w:lineRule="auto"/>
            <w:rPr/>
          </w:pPr>
          <w:r/>
        </w:p>
        <w:p>
          <w:pPr>
            <w:pStyle w:val="BodyText"/>
            <w:spacing w:line="241" w:lineRule="auto"/>
            <w:rPr/>
          </w:pPr>
          <w:r/>
        </w:p>
        <w:p>
          <w:pPr>
            <w:ind w:left="339"/>
            <w:spacing w:before="72" w:line="213" w:lineRule="auto"/>
            <w:tabs>
              <w:tab w:val="right" w:leader="dot" w:pos="13240"/>
            </w:tabs>
            <w:rPr>
              <w:rFonts w:ascii="Times New Roman" w:hAnsi="Times New Roman" w:eastAsia="Times New Roman" w:cs="Times New Roman"/>
              <w:sz w:val="22"/>
              <w:szCs w:val="22"/>
            </w:rPr>
          </w:pPr>
          <w:hyperlink w:history="true" w:anchor="bookmark321">
            <w:r>
              <w:rPr>
                <w:rFonts w:ascii="SimHei" w:hAnsi="SimHei" w:eastAsia="SimHei" w:cs="SimHei"/>
                <w:sz w:val="22"/>
                <w:szCs w:val="22"/>
                <w:spacing w:val="1"/>
              </w:rPr>
              <w:t>第二百四十九条</w:t>
            </w:r>
            <w:r>
              <w:rPr>
                <w:rFonts w:ascii="SimHei" w:hAnsi="SimHei" w:eastAsia="SimHei" w:cs="SimHei"/>
                <w:sz w:val="22"/>
                <w:szCs w:val="22"/>
                <w:spacing w:val="1"/>
              </w:rPr>
              <w:t xml:space="preserve"> </w:t>
            </w:r>
            <w:r>
              <w:rPr>
                <w:rFonts w:ascii="SimHei" w:hAnsi="SimHei" w:eastAsia="SimHei" w:cs="SimHei"/>
                <w:sz w:val="22"/>
                <w:szCs w:val="22"/>
                <w:spacing w:val="1"/>
              </w:rPr>
              <w:t>医疗机构未办理人体器官移植诊疗科目登记，擅自从事人体器官移植的</w:t>
            </w:r>
            <w:r>
              <w:rPr>
                <w:rFonts w:ascii="SimHei" w:hAnsi="SimHei" w:eastAsia="SimHei" w:cs="SimHei"/>
                <w:sz w:val="22"/>
                <w:szCs w:val="22"/>
                <w:spacing w:val="-100"/>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334</w:t>
            </w:r>
          </w:hyperlink>
        </w:p>
        <w:p>
          <w:pPr>
            <w:pStyle w:val="BodyText"/>
            <w:spacing w:line="250" w:lineRule="auto"/>
            <w:rPr/>
          </w:pPr>
          <w:r/>
        </w:p>
        <w:p>
          <w:pPr>
            <w:pStyle w:val="BodyText"/>
            <w:spacing w:line="251" w:lineRule="auto"/>
            <w:rPr/>
          </w:pPr>
          <w:r/>
        </w:p>
        <w:p>
          <w:pPr>
            <w:ind w:left="339"/>
            <w:spacing w:before="72" w:line="222" w:lineRule="auto"/>
            <w:tabs>
              <w:tab w:val="right" w:leader="dot" w:pos="13390"/>
            </w:tabs>
            <w:rPr>
              <w:rFonts w:ascii="Times New Roman" w:hAnsi="Times New Roman" w:eastAsia="Times New Roman" w:cs="Times New Roman"/>
              <w:sz w:val="22"/>
              <w:szCs w:val="22"/>
            </w:rPr>
          </w:pPr>
          <w:hyperlink w:history="true" w:anchor="bookmark322">
            <w:r>
              <w:rPr>
                <w:rFonts w:ascii="SimHei" w:hAnsi="SimHei" w:eastAsia="SimHei" w:cs="SimHei"/>
                <w:sz w:val="22"/>
                <w:szCs w:val="22"/>
                <w:spacing w:val="-2"/>
              </w:rPr>
              <w:t>第二百五十条</w:t>
            </w:r>
            <w:r>
              <w:rPr>
                <w:rFonts w:ascii="SimHei" w:hAnsi="SimHei" w:eastAsia="SimHei" w:cs="SimHei"/>
                <w:sz w:val="22"/>
                <w:szCs w:val="22"/>
                <w:spacing w:val="-2"/>
              </w:rPr>
              <w:t xml:space="preserve"> </w:t>
            </w:r>
            <w:r>
              <w:rPr>
                <w:rFonts w:ascii="SimHei" w:hAnsi="SimHei" w:eastAsia="SimHei" w:cs="SimHei"/>
                <w:sz w:val="22"/>
                <w:szCs w:val="22"/>
                <w:spacing w:val="-2"/>
              </w:rPr>
              <w:t>从事人体器官移植的医师泄露人体器官捐献人</w:t>
            </w:r>
            <w:r>
              <w:rPr>
                <w:rFonts w:ascii="SimHei" w:hAnsi="SimHei" w:eastAsia="SimHei" w:cs="SimHei"/>
                <w:sz w:val="22"/>
                <w:szCs w:val="22"/>
                <w:spacing w:val="-3"/>
              </w:rPr>
              <w:t>、接受人或者申请人体器官移植手术患者个人资料的</w:t>
            </w:r>
            <w:r>
              <w:rPr>
                <w:rFonts w:ascii="SimHei" w:hAnsi="SimHei" w:eastAsia="SimHei" w:cs="SimHei"/>
                <w:sz w:val="22"/>
                <w:szCs w:val="22"/>
                <w:spacing w:val="-99"/>
              </w:rPr>
              <w:t xml:space="preserve"> </w:t>
            </w:r>
            <w:r>
              <w:rPr>
                <w:rFonts w:ascii="SimHei" w:hAnsi="SimHei" w:eastAsia="SimHei" w:cs="SimHei"/>
                <w:sz w:val="22"/>
                <w:szCs w:val="22"/>
              </w:rPr>
              <w:tab/>
            </w:r>
            <w:r>
              <w:rPr>
                <w:rFonts w:ascii="Times New Roman" w:hAnsi="Times New Roman" w:eastAsia="Times New Roman" w:cs="Times New Roman"/>
                <w:sz w:val="22"/>
                <w:szCs w:val="22"/>
                <w:spacing w:val="-4"/>
              </w:rPr>
              <w:t>335</w:t>
            </w:r>
          </w:hyperlink>
        </w:p>
        <w:p>
          <w:pPr>
            <w:pStyle w:val="BodyText"/>
            <w:spacing w:line="245" w:lineRule="auto"/>
            <w:rPr/>
          </w:pPr>
          <w:r/>
        </w:p>
        <w:p>
          <w:pPr>
            <w:pStyle w:val="BodyText"/>
            <w:spacing w:line="245" w:lineRule="auto"/>
            <w:rPr/>
          </w:pPr>
          <w:r/>
        </w:p>
        <w:p>
          <w:pPr>
            <w:ind w:left="339"/>
            <w:spacing w:before="72" w:line="222" w:lineRule="auto"/>
            <w:tabs>
              <w:tab w:val="right" w:leader="dot" w:pos="13380"/>
            </w:tabs>
            <w:rPr>
              <w:rFonts w:ascii="Times New Roman" w:hAnsi="Times New Roman" w:eastAsia="Times New Roman" w:cs="Times New Roman"/>
              <w:sz w:val="22"/>
              <w:szCs w:val="22"/>
            </w:rPr>
          </w:pPr>
          <w:hyperlink w:history="true" w:anchor="bookmark323">
            <w:r>
              <w:rPr>
                <w:rFonts w:ascii="SimHei" w:hAnsi="SimHei" w:eastAsia="SimHei" w:cs="SimHei"/>
                <w:sz w:val="22"/>
                <w:szCs w:val="22"/>
              </w:rPr>
              <w:t>第二百五十一条</w:t>
            </w:r>
            <w:r>
              <w:rPr>
                <w:rFonts w:ascii="SimHei" w:hAnsi="SimHei" w:eastAsia="SimHei" w:cs="SimHei"/>
                <w:sz w:val="22"/>
                <w:szCs w:val="22"/>
              </w:rPr>
              <w:t xml:space="preserve"> </w:t>
            </w:r>
            <w:r>
              <w:rPr>
                <w:rFonts w:ascii="SimHei" w:hAnsi="SimHei" w:eastAsia="SimHei" w:cs="SimHei"/>
                <w:sz w:val="22"/>
                <w:szCs w:val="22"/>
              </w:rPr>
              <w:t>从事人体器官移植的护士泄露人体器官捐献人、接受人或者申请人体器官移</w:t>
            </w:r>
            <w:r>
              <w:rPr>
                <w:rFonts w:ascii="SimHei" w:hAnsi="SimHei" w:eastAsia="SimHei" w:cs="SimHei"/>
                <w:sz w:val="22"/>
                <w:szCs w:val="22"/>
                <w:spacing w:val="-1"/>
              </w:rPr>
              <w:t>植手术患者个人资料的</w:t>
            </w:r>
            <w:r>
              <w:rPr>
                <w:rFonts w:ascii="SimHei" w:hAnsi="SimHei" w:eastAsia="SimHei" w:cs="SimHei"/>
                <w:sz w:val="22"/>
                <w:szCs w:val="22"/>
                <w:spacing w:val="-81"/>
              </w:rPr>
              <w:t xml:space="preserve"> </w:t>
            </w:r>
            <w:r>
              <w:rPr>
                <w:rFonts w:ascii="SimHei" w:hAnsi="SimHei" w:eastAsia="SimHei" w:cs="SimHei"/>
                <w:sz w:val="22"/>
                <w:szCs w:val="22"/>
              </w:rPr>
              <w:tab/>
            </w:r>
            <w:r>
              <w:rPr>
                <w:rFonts w:ascii="SimHei" w:hAnsi="SimHei" w:eastAsia="SimHei" w:cs="SimHei"/>
                <w:sz w:val="22"/>
                <w:szCs w:val="22"/>
                <w:spacing w:val="-34"/>
              </w:rPr>
              <w:t xml:space="preserve"> </w:t>
            </w:r>
            <w:r>
              <w:rPr>
                <w:rFonts w:ascii="Times New Roman" w:hAnsi="Times New Roman" w:eastAsia="Times New Roman" w:cs="Times New Roman"/>
                <w:sz w:val="22"/>
                <w:szCs w:val="22"/>
                <w:spacing w:val="-3"/>
              </w:rPr>
              <w:t>337</w:t>
            </w:r>
          </w:hyperlink>
        </w:p>
        <w:p>
          <w:pPr>
            <w:pStyle w:val="BodyText"/>
            <w:spacing w:line="250" w:lineRule="auto"/>
            <w:rPr/>
          </w:pPr>
          <w:r/>
        </w:p>
        <w:p>
          <w:pPr>
            <w:pStyle w:val="BodyText"/>
            <w:spacing w:line="250" w:lineRule="auto"/>
            <w:rPr/>
          </w:pPr>
          <w:r/>
        </w:p>
        <w:p>
          <w:pPr>
            <w:ind w:left="339"/>
            <w:spacing w:before="71" w:line="221" w:lineRule="auto"/>
            <w:tabs>
              <w:tab w:val="right" w:leader="dot" w:pos="13270"/>
            </w:tabs>
            <w:rPr>
              <w:rFonts w:ascii="Times New Roman" w:hAnsi="Times New Roman" w:eastAsia="Times New Roman" w:cs="Times New Roman"/>
              <w:sz w:val="22"/>
              <w:szCs w:val="22"/>
            </w:rPr>
          </w:pPr>
          <w:hyperlink w:history="true" w:anchor="bookmark324">
            <w:r>
              <w:rPr>
                <w:rFonts w:ascii="SimHei" w:hAnsi="SimHei" w:eastAsia="SimHei" w:cs="SimHei"/>
                <w:sz w:val="22"/>
                <w:szCs w:val="22"/>
              </w:rPr>
              <w:t>第二百五十二条</w:t>
            </w:r>
            <w:r>
              <w:rPr>
                <w:rFonts w:ascii="SimHei" w:hAnsi="SimHei" w:eastAsia="SimHei" w:cs="SimHei"/>
                <w:sz w:val="22"/>
                <w:szCs w:val="22"/>
              </w:rPr>
              <w:t xml:space="preserve"> </w:t>
            </w:r>
            <w:r>
              <w:rPr>
                <w:rFonts w:ascii="SimHei" w:hAnsi="SimHei" w:eastAsia="SimHei" w:cs="SimHei"/>
                <w:sz w:val="22"/>
                <w:szCs w:val="22"/>
              </w:rPr>
              <w:t>未经人体器官移植技术临床应用与伦理委员会审</w:t>
            </w:r>
            <w:r>
              <w:rPr>
                <w:rFonts w:ascii="SimHei" w:hAnsi="SimHei" w:eastAsia="SimHei" w:cs="SimHei"/>
                <w:sz w:val="22"/>
                <w:szCs w:val="22"/>
                <w:spacing w:val="-1"/>
              </w:rPr>
              <w:t>查同意摘取人体器官的</w:t>
            </w:r>
            <w:r>
              <w:rPr>
                <w:rFonts w:ascii="SimHei" w:hAnsi="SimHei" w:eastAsia="SimHei" w:cs="SimHei"/>
                <w:sz w:val="22"/>
                <w:szCs w:val="22"/>
                <w:spacing w:val="-81"/>
              </w:rPr>
              <w:t xml:space="preserve"> </w:t>
            </w:r>
            <w:r>
              <w:rPr>
                <w:rFonts w:ascii="SimHei" w:hAnsi="SimHei" w:eastAsia="SimHei" w:cs="SimHei"/>
                <w:sz w:val="22"/>
                <w:szCs w:val="22"/>
              </w:rPr>
              <w:tab/>
            </w:r>
            <w:r>
              <w:rPr>
                <w:rFonts w:ascii="SimHei" w:hAnsi="SimHei" w:eastAsia="SimHei" w:cs="SimHei"/>
                <w:sz w:val="22"/>
                <w:szCs w:val="22"/>
                <w:spacing w:val="-35"/>
              </w:rPr>
              <w:t xml:space="preserve"> </w:t>
            </w:r>
            <w:r>
              <w:rPr>
                <w:rFonts w:ascii="Times New Roman" w:hAnsi="Times New Roman" w:eastAsia="Times New Roman" w:cs="Times New Roman"/>
                <w:sz w:val="22"/>
                <w:szCs w:val="22"/>
                <w:spacing w:val="-3"/>
              </w:rPr>
              <w:t>38</w:t>
            </w:r>
          </w:hyperlink>
        </w:p>
        <w:p>
          <w:pPr>
            <w:pStyle w:val="BodyText"/>
            <w:spacing w:line="462" w:lineRule="auto"/>
            <w:rPr/>
          </w:pPr>
          <w:r/>
        </w:p>
        <w:p>
          <w:pPr>
            <w:ind w:left="339"/>
            <w:spacing w:before="72" w:line="221" w:lineRule="auto"/>
            <w:tabs>
              <w:tab w:val="right" w:leader="dot" w:pos="13380"/>
            </w:tabs>
            <w:rPr>
              <w:rFonts w:ascii="Times New Roman" w:hAnsi="Times New Roman" w:eastAsia="Times New Roman" w:cs="Times New Roman"/>
              <w:sz w:val="22"/>
              <w:szCs w:val="22"/>
            </w:rPr>
          </w:pPr>
          <w:hyperlink w:history="true" w:anchor="bookmark325">
            <w:r>
              <w:rPr>
                <w:rFonts w:ascii="SimHei" w:hAnsi="SimHei" w:eastAsia="SimHei" w:cs="SimHei"/>
                <w:sz w:val="22"/>
                <w:szCs w:val="22"/>
                <w:spacing w:val="-1"/>
              </w:rPr>
              <w:t>第二百五十三条</w:t>
            </w:r>
            <w:r>
              <w:rPr>
                <w:rFonts w:ascii="SimHei" w:hAnsi="SimHei" w:eastAsia="SimHei" w:cs="SimHei"/>
                <w:sz w:val="22"/>
                <w:szCs w:val="22"/>
                <w:spacing w:val="-1"/>
              </w:rPr>
              <w:t xml:space="preserve"> </w:t>
            </w:r>
            <w:r>
              <w:rPr>
                <w:rFonts w:ascii="SimHei" w:hAnsi="SimHei" w:eastAsia="SimHei" w:cs="SimHei"/>
                <w:sz w:val="22"/>
                <w:szCs w:val="22"/>
                <w:spacing w:val="-1"/>
              </w:rPr>
              <w:t>摘取活体器官前未依照本条例第十九条的规</w:t>
            </w:r>
            <w:r>
              <w:rPr>
                <w:rFonts w:ascii="SimHei" w:hAnsi="SimHei" w:eastAsia="SimHei" w:cs="SimHei"/>
                <w:sz w:val="22"/>
                <w:szCs w:val="22"/>
                <w:spacing w:val="-2"/>
              </w:rPr>
              <w:t>定履行说明、查验、确认义务</w:t>
            </w:r>
            <w:r>
              <w:rPr>
                <w:rFonts w:ascii="SimHei" w:hAnsi="SimHei" w:eastAsia="SimHei" w:cs="SimHei"/>
                <w:sz w:val="22"/>
                <w:szCs w:val="22"/>
                <w:spacing w:val="-88"/>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339</w:t>
            </w:r>
          </w:hyperlink>
        </w:p>
        <w:p>
          <w:pPr>
            <w:pStyle w:val="BodyText"/>
            <w:spacing w:line="241" w:lineRule="auto"/>
            <w:rPr/>
          </w:pPr>
          <w:r/>
        </w:p>
        <w:p>
          <w:pPr>
            <w:pStyle w:val="BodyText"/>
            <w:spacing w:line="241" w:lineRule="auto"/>
            <w:rPr/>
          </w:pPr>
          <w:r/>
        </w:p>
        <w:p>
          <w:pPr>
            <w:ind w:left="339"/>
            <w:spacing w:before="73" w:line="213" w:lineRule="auto"/>
            <w:tabs>
              <w:tab w:val="right" w:leader="dot" w:pos="13380"/>
            </w:tabs>
            <w:rPr>
              <w:rFonts w:ascii="Times New Roman" w:hAnsi="Times New Roman" w:eastAsia="Times New Roman" w:cs="Times New Roman"/>
              <w:sz w:val="22"/>
              <w:szCs w:val="22"/>
            </w:rPr>
          </w:pPr>
          <w:hyperlink w:history="true" w:anchor="bookmark326">
            <w:r>
              <w:rPr>
                <w:rFonts w:ascii="SimHei" w:hAnsi="SimHei" w:eastAsia="SimHei" w:cs="SimHei"/>
                <w:sz w:val="22"/>
                <w:szCs w:val="22"/>
                <w:spacing w:val="-1"/>
              </w:rPr>
              <w:t>第二百五十四条</w:t>
            </w:r>
            <w:r>
              <w:rPr>
                <w:rFonts w:ascii="SimHei" w:hAnsi="SimHei" w:eastAsia="SimHei" w:cs="SimHei"/>
                <w:sz w:val="22"/>
                <w:szCs w:val="22"/>
                <w:spacing w:val="-1"/>
              </w:rPr>
              <w:t xml:space="preserve"> </w:t>
            </w:r>
            <w:r>
              <w:rPr>
                <w:rFonts w:ascii="SimHei" w:hAnsi="SimHei" w:eastAsia="SimHei" w:cs="SimHei"/>
                <w:sz w:val="22"/>
                <w:szCs w:val="22"/>
                <w:spacing w:val="-1"/>
              </w:rPr>
              <w:t>对摘取器官完毕的尸体未进行符合伦理原则的医学处理，恢复尸体</w:t>
            </w:r>
            <w:r>
              <w:rPr>
                <w:rFonts w:ascii="SimHei" w:hAnsi="SimHei" w:eastAsia="SimHei" w:cs="SimHei"/>
                <w:sz w:val="22"/>
                <w:szCs w:val="22"/>
                <w:spacing w:val="-2"/>
              </w:rPr>
              <w:t>原貌的</w:t>
            </w:r>
            <w:r>
              <w:rPr>
                <w:rFonts w:ascii="SimHei" w:hAnsi="SimHei" w:eastAsia="SimHei" w:cs="SimHei"/>
                <w:sz w:val="22"/>
                <w:szCs w:val="22"/>
                <w:spacing w:val="-98"/>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340</w:t>
            </w:r>
          </w:hyperlink>
        </w:p>
        <w:p>
          <w:pPr>
            <w:pStyle w:val="BodyText"/>
            <w:spacing w:line="250" w:lineRule="auto"/>
            <w:rPr/>
          </w:pPr>
          <w:r/>
        </w:p>
        <w:p>
          <w:pPr>
            <w:pStyle w:val="BodyText"/>
            <w:spacing w:line="250" w:lineRule="auto"/>
            <w:rPr/>
          </w:pPr>
          <w:r/>
        </w:p>
        <w:p>
          <w:pPr>
            <w:ind w:left="339"/>
            <w:spacing w:before="72" w:line="221" w:lineRule="auto"/>
            <w:tabs>
              <w:tab w:val="right" w:leader="dot" w:pos="13390"/>
            </w:tabs>
            <w:rPr>
              <w:rFonts w:ascii="Times New Roman" w:hAnsi="Times New Roman" w:eastAsia="Times New Roman" w:cs="Times New Roman"/>
              <w:sz w:val="22"/>
              <w:szCs w:val="22"/>
            </w:rPr>
          </w:pPr>
          <w:hyperlink w:history="true" w:anchor="bookmark327">
            <w:r>
              <w:rPr>
                <w:rFonts w:ascii="SimHei" w:hAnsi="SimHei" w:eastAsia="SimHei" w:cs="SimHei"/>
                <w:sz w:val="22"/>
                <w:szCs w:val="22"/>
                <w:spacing w:val="-1"/>
              </w:rPr>
              <w:t>第二百五十五条</w:t>
            </w:r>
            <w:r>
              <w:rPr>
                <w:rFonts w:ascii="SimHei" w:hAnsi="SimHei" w:eastAsia="SimHei" w:cs="SimHei"/>
                <w:sz w:val="22"/>
                <w:szCs w:val="22"/>
                <w:spacing w:val="-1"/>
              </w:rPr>
              <w:t xml:space="preserve"> </w:t>
            </w:r>
            <w:r>
              <w:rPr>
                <w:rFonts w:ascii="SimHei" w:hAnsi="SimHei" w:eastAsia="SimHei" w:cs="SimHei"/>
                <w:sz w:val="22"/>
                <w:szCs w:val="22"/>
                <w:spacing w:val="-1"/>
              </w:rPr>
              <w:t>从事人体器官移植的医务人员参与尸体器官捐献人的死亡判定的</w:t>
            </w:r>
            <w:r>
              <w:rPr>
                <w:rFonts w:ascii="SimHei" w:hAnsi="SimHei" w:eastAsia="SimHei" w:cs="SimHei"/>
                <w:sz w:val="22"/>
                <w:szCs w:val="22"/>
                <w:spacing w:val="-96"/>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341</w:t>
            </w:r>
          </w:hyperlink>
        </w:p>
        <w:p>
          <w:pPr>
            <w:pStyle w:val="BodyText"/>
            <w:spacing w:line="290" w:lineRule="auto"/>
            <w:rPr/>
          </w:pPr>
          <w:r/>
        </w:p>
        <w:p>
          <w:pPr>
            <w:spacing w:before="72" w:line="212" w:lineRule="auto"/>
            <w:tabs>
              <w:tab w:val="right" w:leader="dot" w:pos="13450"/>
            </w:tabs>
            <w:rPr>
              <w:rFonts w:ascii="Times New Roman" w:hAnsi="Times New Roman" w:eastAsia="Times New Roman" w:cs="Times New Roman"/>
              <w:sz w:val="22"/>
              <w:szCs w:val="22"/>
            </w:rPr>
          </w:pPr>
          <w:hyperlink w:history="true" w:anchor="bookmark328">
            <w:r>
              <w:rPr>
                <w:rFonts w:ascii="Times New Roman" w:hAnsi="Times New Roman" w:eastAsia="Times New Roman" w:cs="Times New Roman"/>
                <w:sz w:val="22"/>
                <w:szCs w:val="22"/>
                <w:spacing w:val="2"/>
              </w:rPr>
              <w:t>(</w:t>
            </w:r>
            <w:r>
              <w:rPr>
                <w:rFonts w:ascii="Times New Roman" w:hAnsi="Times New Roman" w:eastAsia="Times New Roman" w:cs="Times New Roman"/>
                <w:sz w:val="22"/>
                <w:szCs w:val="22"/>
                <w:spacing w:val="-8"/>
              </w:rPr>
              <w:t xml:space="preserve"> </w:t>
            </w:r>
            <w:r>
              <w:rPr>
                <w:rFonts w:ascii="KaiTi" w:hAnsi="KaiTi" w:eastAsia="KaiTi" w:cs="KaiTi"/>
                <w:sz w:val="22"/>
                <w:szCs w:val="22"/>
                <w:spacing w:val="2"/>
              </w:rPr>
              <w:t>十八)《医疗事故处理条例》</w:t>
            </w:r>
            <w:r>
              <w:rPr>
                <w:rFonts w:ascii="KaiTi" w:hAnsi="KaiTi" w:eastAsia="KaiTi" w:cs="KaiTi"/>
                <w:sz w:val="22"/>
                <w:szCs w:val="22"/>
                <w:spacing w:val="-80"/>
              </w:rPr>
              <w:t xml:space="preserve"> </w:t>
            </w:r>
            <w:r>
              <w:rPr>
                <w:rFonts w:ascii="KaiTi" w:hAnsi="KaiTi" w:eastAsia="KaiTi" w:cs="KaiTi"/>
                <w:sz w:val="22"/>
                <w:szCs w:val="22"/>
              </w:rPr>
              <w:tab/>
            </w:r>
            <w:r>
              <w:rPr>
                <w:rFonts w:ascii="KaiTi" w:hAnsi="KaiTi" w:eastAsia="KaiTi" w:cs="KaiTi"/>
                <w:sz w:val="22"/>
                <w:szCs w:val="22"/>
                <w:spacing w:val="-4"/>
              </w:rPr>
              <w:t xml:space="preserve"> </w:t>
            </w:r>
            <w:r>
              <w:rPr>
                <w:rFonts w:ascii="Times New Roman" w:hAnsi="Times New Roman" w:eastAsia="Times New Roman" w:cs="Times New Roman"/>
                <w:sz w:val="22"/>
                <w:szCs w:val="22"/>
                <w:spacing w:val="-4"/>
              </w:rPr>
              <w:t>341</w:t>
            </w:r>
          </w:hyperlink>
        </w:p>
        <w:p>
          <w:pPr>
            <w:pStyle w:val="BodyText"/>
            <w:spacing w:line="356" w:lineRule="auto"/>
            <w:rPr/>
          </w:pPr>
          <w:r/>
        </w:p>
        <w:p>
          <w:pPr>
            <w:ind w:left="339"/>
            <w:spacing w:before="72" w:line="221" w:lineRule="auto"/>
            <w:tabs>
              <w:tab w:val="right" w:leader="dot" w:pos="13370"/>
            </w:tabs>
            <w:rPr>
              <w:rFonts w:ascii="Times New Roman" w:hAnsi="Times New Roman" w:eastAsia="Times New Roman" w:cs="Times New Roman"/>
              <w:sz w:val="22"/>
              <w:szCs w:val="22"/>
            </w:rPr>
          </w:pPr>
          <w:hyperlink w:history="true" w:anchor="bookmark329">
            <w:r>
              <w:rPr>
                <w:rFonts w:ascii="SimHei" w:hAnsi="SimHei" w:eastAsia="SimHei" w:cs="SimHei"/>
                <w:sz w:val="22"/>
                <w:szCs w:val="22"/>
                <w:spacing w:val="2"/>
              </w:rPr>
              <w:t>第二百五十六条</w:t>
            </w:r>
            <w:r>
              <w:rPr>
                <w:rFonts w:ascii="SimHei" w:hAnsi="SimHei" w:eastAsia="SimHei" w:cs="SimHei"/>
                <w:sz w:val="22"/>
                <w:szCs w:val="22"/>
                <w:spacing w:val="2"/>
              </w:rPr>
              <w:t xml:space="preserve"> </w:t>
            </w:r>
            <w:r>
              <w:rPr>
                <w:rFonts w:ascii="SimHei" w:hAnsi="SimHei" w:eastAsia="SimHei" w:cs="SimHei"/>
                <w:sz w:val="22"/>
                <w:szCs w:val="22"/>
                <w:spacing w:val="2"/>
              </w:rPr>
              <w:t>医疗机构发生医疗事故的</w:t>
            </w:r>
            <w:r>
              <w:rPr>
                <w:rFonts w:ascii="SimHei" w:hAnsi="SimHei" w:eastAsia="SimHei" w:cs="SimHei"/>
                <w:sz w:val="22"/>
                <w:szCs w:val="22"/>
                <w:spacing w:val="-89"/>
              </w:rPr>
              <w:t xml:space="preserve"> </w:t>
            </w:r>
            <w:r>
              <w:rPr>
                <w:rFonts w:ascii="SimHei" w:hAnsi="SimHei" w:eastAsia="SimHei" w:cs="SimHei"/>
                <w:sz w:val="22"/>
                <w:szCs w:val="22"/>
              </w:rPr>
              <w:tab/>
            </w:r>
            <w:r>
              <w:rPr>
                <w:rFonts w:ascii="Times New Roman" w:hAnsi="Times New Roman" w:eastAsia="Times New Roman" w:cs="Times New Roman"/>
                <w:sz w:val="22"/>
                <w:szCs w:val="22"/>
                <w:spacing w:val="5"/>
              </w:rPr>
              <w:t>341</w:t>
            </w:r>
          </w:hyperlink>
        </w:p>
      </w:sdtContent>
    </w:sdt>
    <w:p>
      <w:pPr>
        <w:spacing w:line="221" w:lineRule="auto"/>
        <w:sectPr>
          <w:footerReference w:type="default" r:id="rId32"/>
          <w:pgSz w:w="16830" w:h="11900"/>
          <w:pgMar w:top="1011" w:right="1419" w:bottom="1144" w:left="1960" w:header="0" w:footer="802" w:gutter="0"/>
        </w:sectPr>
        <w:rPr>
          <w:rFonts w:ascii="Times New Roman" w:hAnsi="Times New Roman" w:eastAsia="Times New Roman" w:cs="Times New Roman"/>
          <w:sz w:val="22"/>
          <w:szCs w:val="22"/>
        </w:rPr>
      </w:pPr>
    </w:p>
    <w:p>
      <w:pPr>
        <w:pStyle w:val="BodyText"/>
        <w:spacing w:line="306" w:lineRule="auto"/>
        <w:rPr/>
      </w:pPr>
      <w:r/>
    </w:p>
    <w:p>
      <w:pPr>
        <w:pStyle w:val="BodyText"/>
        <w:spacing w:line="306" w:lineRule="auto"/>
        <w:rPr/>
      </w:pPr>
      <w:r/>
    </w:p>
    <w:p>
      <w:pPr>
        <w:pStyle w:val="BodyText"/>
        <w:spacing w:line="306"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ind w:left="329"/>
            <w:spacing w:before="71" w:line="221" w:lineRule="auto"/>
            <w:tabs>
              <w:tab w:val="right" w:leader="dot" w:pos="13230"/>
            </w:tabs>
            <w:rPr>
              <w:rFonts w:ascii="Times New Roman" w:hAnsi="Times New Roman" w:eastAsia="Times New Roman" w:cs="Times New Roman"/>
              <w:sz w:val="22"/>
              <w:szCs w:val="22"/>
            </w:rPr>
          </w:pPr>
          <w:hyperlink w:history="true" w:anchor="bookmark330">
            <w:r>
              <w:rPr>
                <w:rFonts w:ascii="SimHei" w:hAnsi="SimHei" w:eastAsia="SimHei" w:cs="SimHei"/>
                <w:sz w:val="22"/>
                <w:szCs w:val="22"/>
              </w:rPr>
              <w:t>第二百五十七条</w:t>
            </w:r>
            <w:r>
              <w:rPr>
                <w:rFonts w:ascii="SimHei" w:hAnsi="SimHei" w:eastAsia="SimHei" w:cs="SimHei"/>
                <w:sz w:val="22"/>
                <w:szCs w:val="22"/>
              </w:rPr>
              <w:t xml:space="preserve"> </w:t>
            </w:r>
            <w:r>
              <w:rPr>
                <w:rFonts w:ascii="SimHei" w:hAnsi="SimHei" w:eastAsia="SimHei" w:cs="SimHei"/>
                <w:sz w:val="22"/>
                <w:szCs w:val="22"/>
              </w:rPr>
              <w:t>有关医务人员发生医疗事故的</w:t>
            </w:r>
            <w:r>
              <w:rPr>
                <w:rFonts w:ascii="SimHei" w:hAnsi="SimHei" w:eastAsia="SimHei" w:cs="SimHei"/>
                <w:sz w:val="22"/>
                <w:szCs w:val="22"/>
                <w:spacing w:val="-81"/>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342</w:t>
            </w:r>
          </w:hyperlink>
        </w:p>
        <w:p>
          <w:pPr>
            <w:pStyle w:val="BodyText"/>
            <w:spacing w:line="472" w:lineRule="auto"/>
            <w:rPr/>
          </w:pPr>
          <w:r/>
        </w:p>
        <w:p>
          <w:pPr>
            <w:ind w:left="329"/>
            <w:spacing w:before="72" w:line="213" w:lineRule="auto"/>
            <w:tabs>
              <w:tab w:val="right" w:leader="dot" w:pos="13370"/>
            </w:tabs>
            <w:rPr>
              <w:rFonts w:ascii="Times New Roman" w:hAnsi="Times New Roman" w:eastAsia="Times New Roman" w:cs="Times New Roman"/>
              <w:sz w:val="22"/>
              <w:szCs w:val="22"/>
            </w:rPr>
          </w:pPr>
          <w:hyperlink w:history="true" w:anchor="bookmark331">
            <w:r>
              <w:rPr>
                <w:rFonts w:ascii="SimHei" w:hAnsi="SimHei" w:eastAsia="SimHei" w:cs="SimHei"/>
                <w:sz w:val="22"/>
                <w:szCs w:val="22"/>
              </w:rPr>
              <w:t>第二百五十八条</w:t>
            </w:r>
            <w:r>
              <w:rPr>
                <w:rFonts w:ascii="SimHei" w:hAnsi="SimHei" w:eastAsia="SimHei" w:cs="SimHei"/>
                <w:sz w:val="22"/>
                <w:szCs w:val="22"/>
              </w:rPr>
              <w:t xml:space="preserve"> </w:t>
            </w:r>
            <w:r>
              <w:rPr>
                <w:rFonts w:ascii="SimHei" w:hAnsi="SimHei" w:eastAsia="SimHei" w:cs="SimHei"/>
                <w:sz w:val="22"/>
                <w:szCs w:val="22"/>
              </w:rPr>
              <w:t>违反《医疗事故处理条例》的规定，承担尸检任务的机构没有正当</w:t>
            </w:r>
            <w:r>
              <w:rPr>
                <w:rFonts w:ascii="SimHei" w:hAnsi="SimHei" w:eastAsia="SimHei" w:cs="SimHei"/>
                <w:sz w:val="22"/>
                <w:szCs w:val="22"/>
                <w:spacing w:val="-1"/>
              </w:rPr>
              <w:t>理由，拒绝进行尸检的</w:t>
            </w:r>
            <w:r>
              <w:rPr>
                <w:rFonts w:ascii="SimHei" w:hAnsi="SimHei" w:eastAsia="SimHei" w:cs="SimHei"/>
                <w:sz w:val="22"/>
                <w:szCs w:val="22"/>
                <w:spacing w:val="-81"/>
              </w:rPr>
              <w:t xml:space="preserve"> </w:t>
            </w:r>
            <w:r>
              <w:rPr>
                <w:rFonts w:ascii="SimHei" w:hAnsi="SimHei" w:eastAsia="SimHei" w:cs="SimHei"/>
                <w:sz w:val="22"/>
                <w:szCs w:val="22"/>
              </w:rPr>
              <w:tab/>
            </w:r>
            <w:r>
              <w:rPr>
                <w:rFonts w:ascii="SimHei" w:hAnsi="SimHei" w:eastAsia="SimHei" w:cs="SimHei"/>
                <w:sz w:val="22"/>
                <w:szCs w:val="22"/>
                <w:spacing w:val="-34"/>
              </w:rPr>
              <w:t xml:space="preserve"> </w:t>
            </w:r>
            <w:r>
              <w:rPr>
                <w:rFonts w:ascii="Times New Roman" w:hAnsi="Times New Roman" w:eastAsia="Times New Roman" w:cs="Times New Roman"/>
                <w:sz w:val="22"/>
                <w:szCs w:val="22"/>
                <w:spacing w:val="-4"/>
              </w:rPr>
              <w:t>343</w:t>
            </w:r>
          </w:hyperlink>
        </w:p>
        <w:p>
          <w:pPr>
            <w:pStyle w:val="BodyText"/>
            <w:spacing w:line="250" w:lineRule="auto"/>
            <w:rPr/>
          </w:pPr>
          <w:r/>
        </w:p>
        <w:p>
          <w:pPr>
            <w:pStyle w:val="BodyText"/>
            <w:spacing w:line="251" w:lineRule="auto"/>
            <w:rPr/>
          </w:pPr>
          <w:r/>
        </w:p>
        <w:p>
          <w:pPr>
            <w:ind w:left="329"/>
            <w:spacing w:before="72" w:line="213" w:lineRule="auto"/>
            <w:tabs>
              <w:tab w:val="right" w:leader="dot" w:pos="13360"/>
            </w:tabs>
            <w:rPr>
              <w:rFonts w:ascii="Times New Roman" w:hAnsi="Times New Roman" w:eastAsia="Times New Roman" w:cs="Times New Roman"/>
              <w:sz w:val="22"/>
              <w:szCs w:val="22"/>
            </w:rPr>
          </w:pPr>
          <w:hyperlink w:history="true" w:anchor="bookmark332">
            <w:r>
              <w:rPr>
                <w:rFonts w:ascii="SimHei" w:hAnsi="SimHei" w:eastAsia="SimHei" w:cs="SimHei"/>
                <w:sz w:val="22"/>
                <w:szCs w:val="22"/>
                <w:spacing w:val="-1"/>
              </w:rPr>
              <w:t>第二百五十九条</w:t>
            </w:r>
            <w:r>
              <w:rPr>
                <w:rFonts w:ascii="SimHei" w:hAnsi="SimHei" w:eastAsia="SimHei" w:cs="SimHei"/>
                <w:sz w:val="22"/>
                <w:szCs w:val="22"/>
                <w:spacing w:val="-1"/>
              </w:rPr>
              <w:t xml:space="preserve"> </w:t>
            </w:r>
            <w:r>
              <w:rPr>
                <w:rFonts w:ascii="SimHei" w:hAnsi="SimHei" w:eastAsia="SimHei" w:cs="SimHei"/>
                <w:sz w:val="22"/>
                <w:szCs w:val="22"/>
                <w:spacing w:val="-1"/>
              </w:rPr>
              <w:t>医疗机构或者其他有关机构违反《医疗事故处理条例》的规定，涂改、伪造、隐匿、销毁病历资料的</w:t>
            </w:r>
            <w:r>
              <w:rPr>
                <w:rFonts w:ascii="SimHei" w:hAnsi="SimHei" w:eastAsia="SimHei" w:cs="SimHei"/>
                <w:sz w:val="22"/>
                <w:szCs w:val="22"/>
                <w:spacing w:val="-89"/>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344</w:t>
            </w:r>
          </w:hyperlink>
        </w:p>
        <w:p>
          <w:pPr>
            <w:pStyle w:val="BodyText"/>
            <w:spacing w:line="279" w:lineRule="auto"/>
            <w:rPr/>
          </w:pPr>
          <w:r/>
        </w:p>
        <w:p>
          <w:pPr>
            <w:spacing w:before="72" w:line="212" w:lineRule="auto"/>
            <w:tabs>
              <w:tab w:val="right" w:leader="dot" w:pos="13360"/>
            </w:tabs>
            <w:rPr>
              <w:rFonts w:ascii="Times New Roman" w:hAnsi="Times New Roman" w:eastAsia="Times New Roman" w:cs="Times New Roman"/>
              <w:sz w:val="22"/>
              <w:szCs w:val="22"/>
            </w:rPr>
          </w:pPr>
          <w:hyperlink w:history="true" w:anchor="bookmark333">
            <w:r>
              <w:rPr>
                <w:rFonts w:ascii="Times New Roman" w:hAnsi="Times New Roman" w:eastAsia="Times New Roman" w:cs="Times New Roman"/>
                <w:sz w:val="22"/>
                <w:szCs w:val="22"/>
                <w:spacing w:val="2"/>
              </w:rPr>
              <w:t>(</w:t>
            </w:r>
            <w:r>
              <w:rPr>
                <w:rFonts w:ascii="KaiTi" w:hAnsi="KaiTi" w:eastAsia="KaiTi" w:cs="KaiTi"/>
                <w:sz w:val="22"/>
                <w:szCs w:val="22"/>
                <w:spacing w:val="2"/>
              </w:rPr>
              <w:t>十九)《麻醉药品和精神药品管理条例》</w:t>
            </w:r>
            <w:r>
              <w:rPr>
                <w:rFonts w:ascii="KaiTi" w:hAnsi="KaiTi" w:eastAsia="KaiTi" w:cs="KaiTi"/>
                <w:sz w:val="22"/>
                <w:szCs w:val="22"/>
                <w:spacing w:val="-63"/>
              </w:rPr>
              <w:t xml:space="preserve"> </w:t>
            </w:r>
            <w:r>
              <w:rPr>
                <w:rFonts w:ascii="KaiTi" w:hAnsi="KaiTi" w:eastAsia="KaiTi" w:cs="KaiTi"/>
                <w:sz w:val="22"/>
                <w:szCs w:val="22"/>
              </w:rPr>
              <w:tab/>
            </w:r>
            <w:r>
              <w:rPr>
                <w:rFonts w:ascii="KaiTi" w:hAnsi="KaiTi" w:eastAsia="KaiTi" w:cs="KaiTi"/>
                <w:sz w:val="22"/>
                <w:szCs w:val="22"/>
                <w:spacing w:val="-74"/>
              </w:rPr>
              <w:t xml:space="preserve"> </w:t>
            </w:r>
            <w:r>
              <w:rPr>
                <w:rFonts w:ascii="Times New Roman" w:hAnsi="Times New Roman" w:eastAsia="Times New Roman" w:cs="Times New Roman"/>
                <w:sz w:val="22"/>
                <w:szCs w:val="22"/>
                <w:spacing w:val="-3"/>
              </w:rPr>
              <w:t>345</w:t>
            </w:r>
          </w:hyperlink>
        </w:p>
        <w:p>
          <w:pPr>
            <w:pStyle w:val="BodyText"/>
            <w:spacing w:line="426" w:lineRule="auto"/>
            <w:rPr/>
          </w:pPr>
          <w:r/>
        </w:p>
        <w:p>
          <w:pPr>
            <w:ind w:left="329"/>
            <w:spacing w:before="71" w:line="221" w:lineRule="auto"/>
            <w:tabs>
              <w:tab w:val="right" w:leader="dot" w:pos="13360"/>
            </w:tabs>
            <w:rPr>
              <w:rFonts w:ascii="Times New Roman" w:hAnsi="Times New Roman" w:eastAsia="Times New Roman" w:cs="Times New Roman"/>
              <w:sz w:val="22"/>
              <w:szCs w:val="22"/>
            </w:rPr>
          </w:pPr>
          <w:hyperlink w:history="true" w:anchor="bookmark334">
            <w:r>
              <w:rPr>
                <w:rFonts w:ascii="SimHei" w:hAnsi="SimHei" w:eastAsia="SimHei" w:cs="SimHei"/>
                <w:sz w:val="22"/>
                <w:szCs w:val="22"/>
              </w:rPr>
              <w:t>第二百六十条</w:t>
            </w:r>
            <w:r>
              <w:rPr>
                <w:rFonts w:ascii="SimHei" w:hAnsi="SimHei" w:eastAsia="SimHei" w:cs="SimHei"/>
                <w:sz w:val="22"/>
                <w:szCs w:val="22"/>
              </w:rPr>
              <w:t xml:space="preserve"> </w:t>
            </w:r>
            <w:r>
              <w:rPr>
                <w:rFonts w:ascii="SimHei" w:hAnsi="SimHei" w:eastAsia="SimHei" w:cs="SimHei"/>
                <w:sz w:val="22"/>
                <w:szCs w:val="22"/>
              </w:rPr>
              <w:t>取得印鉴卡的医疗机构未依照规定购买、储存麻醉药</w:t>
            </w:r>
            <w:r>
              <w:rPr>
                <w:rFonts w:ascii="SimHei" w:hAnsi="SimHei" w:eastAsia="SimHei" w:cs="SimHei"/>
                <w:sz w:val="22"/>
                <w:szCs w:val="22"/>
                <w:spacing w:val="-1"/>
              </w:rPr>
              <w:t>品和第一类精神药品的</w:t>
            </w:r>
            <w:r>
              <w:rPr>
                <w:rFonts w:ascii="SimHei" w:hAnsi="SimHei" w:eastAsia="SimHei" w:cs="SimHei"/>
                <w:sz w:val="22"/>
                <w:szCs w:val="22"/>
                <w:spacing w:val="-91"/>
              </w:rPr>
              <w:t xml:space="preserve"> </w:t>
            </w:r>
            <w:r>
              <w:rPr>
                <w:rFonts w:ascii="SimHei" w:hAnsi="SimHei" w:eastAsia="SimHei" w:cs="SimHei"/>
                <w:sz w:val="22"/>
                <w:szCs w:val="22"/>
              </w:rPr>
              <w:tab/>
            </w:r>
            <w:r>
              <w:rPr>
                <w:rFonts w:ascii="SimHei" w:hAnsi="SimHei" w:eastAsia="SimHei" w:cs="SimHei"/>
                <w:sz w:val="22"/>
                <w:szCs w:val="22"/>
                <w:spacing w:val="-34"/>
              </w:rPr>
              <w:t xml:space="preserve"> </w:t>
            </w:r>
            <w:r>
              <w:rPr>
                <w:rFonts w:ascii="Times New Roman" w:hAnsi="Times New Roman" w:eastAsia="Times New Roman" w:cs="Times New Roman"/>
                <w:sz w:val="22"/>
                <w:szCs w:val="22"/>
                <w:spacing w:val="-3"/>
              </w:rPr>
              <w:t>345</w:t>
            </w:r>
          </w:hyperlink>
        </w:p>
        <w:p>
          <w:pPr>
            <w:pStyle w:val="BodyText"/>
            <w:spacing w:line="433" w:lineRule="auto"/>
            <w:rPr/>
          </w:pPr>
          <w:r/>
        </w:p>
        <w:p>
          <w:pPr>
            <w:ind w:left="329"/>
            <w:spacing w:before="71" w:line="213" w:lineRule="auto"/>
            <w:tabs>
              <w:tab w:val="right" w:leader="dot" w:pos="13220"/>
            </w:tabs>
            <w:rPr>
              <w:rFonts w:ascii="Times New Roman" w:hAnsi="Times New Roman" w:eastAsia="Times New Roman" w:cs="Times New Roman"/>
              <w:sz w:val="22"/>
              <w:szCs w:val="22"/>
            </w:rPr>
          </w:pPr>
          <w:hyperlink w:history="true" w:anchor="bookmark335">
            <w:r>
              <w:rPr>
                <w:rFonts w:ascii="SimHei" w:hAnsi="SimHei" w:eastAsia="SimHei" w:cs="SimHei"/>
                <w:sz w:val="22"/>
                <w:szCs w:val="22"/>
              </w:rPr>
              <w:t>第二百六十一条</w:t>
            </w:r>
            <w:r>
              <w:rPr>
                <w:rFonts w:ascii="SimHei" w:hAnsi="SimHei" w:eastAsia="SimHei" w:cs="SimHei"/>
                <w:sz w:val="22"/>
                <w:szCs w:val="22"/>
              </w:rPr>
              <w:t xml:space="preserve"> </w:t>
            </w:r>
            <w:r>
              <w:rPr>
                <w:rFonts w:ascii="SimHei" w:hAnsi="SimHei" w:eastAsia="SimHei" w:cs="SimHei"/>
                <w:sz w:val="22"/>
                <w:szCs w:val="22"/>
              </w:rPr>
              <w:t>取得印鉴卡的医疗机构未依照规定保存麻醉药品和精神药品专用处方，或者未依照规</w:t>
            </w:r>
            <w:r>
              <w:rPr>
                <w:rFonts w:ascii="SimHei" w:hAnsi="SimHei" w:eastAsia="SimHei" w:cs="SimHei"/>
                <w:sz w:val="22"/>
                <w:szCs w:val="22"/>
                <w:spacing w:val="-1"/>
              </w:rPr>
              <w:t>定进行处方专册登记的</w:t>
            </w:r>
            <w:r>
              <w:rPr>
                <w:rFonts w:ascii="SimHei" w:hAnsi="SimHei" w:eastAsia="SimHei" w:cs="SimHei"/>
                <w:sz w:val="22"/>
                <w:szCs w:val="22"/>
                <w:spacing w:val="-81"/>
              </w:rPr>
              <w:t xml:space="preserve"> </w:t>
            </w:r>
            <w:r>
              <w:rPr>
                <w:rFonts w:ascii="SimHei" w:hAnsi="SimHei" w:eastAsia="SimHei" w:cs="SimHei"/>
                <w:sz w:val="22"/>
                <w:szCs w:val="22"/>
              </w:rPr>
              <w:tab/>
            </w:r>
            <w:r>
              <w:rPr>
                <w:rFonts w:ascii="Times New Roman" w:hAnsi="Times New Roman" w:eastAsia="Times New Roman" w:cs="Times New Roman"/>
                <w:sz w:val="22"/>
                <w:szCs w:val="22"/>
              </w:rPr>
              <w:t>346</w:t>
            </w:r>
          </w:hyperlink>
        </w:p>
        <w:p>
          <w:pPr>
            <w:pStyle w:val="BodyText"/>
            <w:spacing w:line="250" w:lineRule="auto"/>
            <w:rPr/>
          </w:pPr>
          <w:r/>
        </w:p>
        <w:p>
          <w:pPr>
            <w:pStyle w:val="BodyText"/>
            <w:spacing w:line="251" w:lineRule="auto"/>
            <w:rPr/>
          </w:pPr>
          <w:r/>
        </w:p>
        <w:p>
          <w:pPr>
            <w:ind w:left="329"/>
            <w:spacing w:before="72" w:line="222" w:lineRule="auto"/>
            <w:tabs>
              <w:tab w:val="right" w:leader="dot" w:pos="13360"/>
            </w:tabs>
            <w:rPr>
              <w:rFonts w:ascii="Times New Roman" w:hAnsi="Times New Roman" w:eastAsia="Times New Roman" w:cs="Times New Roman"/>
              <w:sz w:val="22"/>
              <w:szCs w:val="22"/>
            </w:rPr>
          </w:pPr>
          <w:hyperlink w:history="true" w:anchor="bookmark336">
            <w:r>
              <w:rPr>
                <w:rFonts w:ascii="SimHei" w:hAnsi="SimHei" w:eastAsia="SimHei" w:cs="SimHei"/>
                <w:sz w:val="22"/>
                <w:szCs w:val="22"/>
                <w:spacing w:val="-1"/>
              </w:rPr>
              <w:t>第二百六十二条</w:t>
            </w:r>
            <w:r>
              <w:rPr>
                <w:rFonts w:ascii="SimHei" w:hAnsi="SimHei" w:eastAsia="SimHei" w:cs="SimHei"/>
                <w:sz w:val="22"/>
                <w:szCs w:val="22"/>
                <w:spacing w:val="-1"/>
              </w:rPr>
              <w:t xml:space="preserve"> </w:t>
            </w:r>
            <w:r>
              <w:rPr>
                <w:rFonts w:ascii="SimHei" w:hAnsi="SimHei" w:eastAsia="SimHei" w:cs="SimHei"/>
                <w:sz w:val="22"/>
                <w:szCs w:val="22"/>
                <w:spacing w:val="-1"/>
              </w:rPr>
              <w:t>未依照规定报告麻醉药品和精神药品的进货、库存、使用数量的</w:t>
            </w:r>
            <w:r>
              <w:rPr>
                <w:rFonts w:ascii="SimHei" w:hAnsi="SimHei" w:eastAsia="SimHei" w:cs="SimHei"/>
                <w:sz w:val="22"/>
                <w:szCs w:val="22"/>
                <w:spacing w:val="-95"/>
              </w:rPr>
              <w:t xml:space="preserve"> </w:t>
            </w:r>
            <w:r>
              <w:rPr>
                <w:rFonts w:ascii="SimHei" w:hAnsi="SimHei" w:eastAsia="SimHei" w:cs="SimHei"/>
                <w:sz w:val="22"/>
                <w:szCs w:val="22"/>
              </w:rPr>
              <w:tab/>
            </w:r>
            <w:r>
              <w:rPr>
                <w:rFonts w:ascii="SimHei" w:hAnsi="SimHei" w:eastAsia="SimHei" w:cs="SimHei"/>
                <w:sz w:val="22"/>
                <w:szCs w:val="22"/>
                <w:spacing w:val="-4"/>
              </w:rPr>
              <w:t xml:space="preserve"> </w:t>
            </w:r>
            <w:r>
              <w:rPr>
                <w:rFonts w:ascii="Times New Roman" w:hAnsi="Times New Roman" w:eastAsia="Times New Roman" w:cs="Times New Roman"/>
                <w:sz w:val="22"/>
                <w:szCs w:val="22"/>
                <w:spacing w:val="-3"/>
              </w:rPr>
              <w:t>347</w:t>
            </w:r>
          </w:hyperlink>
        </w:p>
        <w:p>
          <w:pPr>
            <w:pStyle w:val="BodyText"/>
            <w:spacing w:line="244" w:lineRule="auto"/>
            <w:rPr/>
          </w:pPr>
          <w:r/>
        </w:p>
        <w:p>
          <w:pPr>
            <w:pStyle w:val="BodyText"/>
            <w:spacing w:line="245" w:lineRule="auto"/>
            <w:rPr/>
          </w:pPr>
          <w:r/>
        </w:p>
        <w:p>
          <w:pPr>
            <w:ind w:left="329"/>
            <w:spacing w:before="72" w:line="220" w:lineRule="auto"/>
            <w:tabs>
              <w:tab w:val="right" w:leader="dot" w:pos="13220"/>
            </w:tabs>
            <w:rPr>
              <w:rFonts w:ascii="Times New Roman" w:hAnsi="Times New Roman" w:eastAsia="Times New Roman" w:cs="Times New Roman"/>
              <w:sz w:val="22"/>
              <w:szCs w:val="22"/>
            </w:rPr>
          </w:pPr>
          <w:hyperlink w:history="true" w:anchor="bookmark337">
            <w:r>
              <w:rPr>
                <w:rFonts w:ascii="SimHei" w:hAnsi="SimHei" w:eastAsia="SimHei" w:cs="SimHei"/>
                <w:sz w:val="22"/>
                <w:szCs w:val="22"/>
                <w:spacing w:val="-1"/>
              </w:rPr>
              <w:t>第二百六十三条</w:t>
            </w:r>
            <w:r>
              <w:rPr>
                <w:rFonts w:ascii="SimHei" w:hAnsi="SimHei" w:eastAsia="SimHei" w:cs="SimHei"/>
                <w:sz w:val="22"/>
                <w:szCs w:val="22"/>
                <w:spacing w:val="-1"/>
              </w:rPr>
              <w:t xml:space="preserve"> </w:t>
            </w:r>
            <w:r>
              <w:rPr>
                <w:rFonts w:ascii="SimHei" w:hAnsi="SimHei" w:eastAsia="SimHei" w:cs="SimHei"/>
                <w:sz w:val="22"/>
                <w:szCs w:val="22"/>
                <w:spacing w:val="-1"/>
              </w:rPr>
              <w:t>取得印鉴卡的医疗机构紧急借用麻醉药品和第一类精神药品后</w:t>
            </w:r>
            <w:r>
              <w:rPr>
                <w:rFonts w:ascii="SimHei" w:hAnsi="SimHei" w:eastAsia="SimHei" w:cs="SimHei"/>
                <w:sz w:val="22"/>
                <w:szCs w:val="22"/>
                <w:spacing w:val="-2"/>
              </w:rPr>
              <w:t>未备案的</w:t>
            </w:r>
            <w:r>
              <w:rPr>
                <w:rFonts w:ascii="SimHei" w:hAnsi="SimHei" w:eastAsia="SimHei" w:cs="SimHei"/>
                <w:sz w:val="22"/>
                <w:szCs w:val="22"/>
                <w:spacing w:val="-98"/>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348</w:t>
            </w:r>
          </w:hyperlink>
        </w:p>
        <w:p>
          <w:pPr>
            <w:pStyle w:val="BodyText"/>
            <w:spacing w:line="241" w:lineRule="auto"/>
            <w:rPr/>
          </w:pPr>
          <w:r/>
        </w:p>
        <w:p>
          <w:pPr>
            <w:pStyle w:val="BodyText"/>
            <w:spacing w:line="242" w:lineRule="auto"/>
            <w:rPr/>
          </w:pPr>
          <w:r/>
        </w:p>
        <w:p>
          <w:pPr>
            <w:ind w:left="329"/>
            <w:spacing w:before="73" w:line="221" w:lineRule="auto"/>
            <w:tabs>
              <w:tab w:val="right" w:leader="dot" w:pos="13360"/>
            </w:tabs>
            <w:rPr>
              <w:rFonts w:ascii="Times New Roman" w:hAnsi="Times New Roman" w:eastAsia="Times New Roman" w:cs="Times New Roman"/>
              <w:sz w:val="22"/>
              <w:szCs w:val="22"/>
            </w:rPr>
          </w:pPr>
          <w:hyperlink w:history="true" w:anchor="bookmark338">
            <w:r>
              <w:rPr>
                <w:rFonts w:ascii="SimHei" w:hAnsi="SimHei" w:eastAsia="SimHei" w:cs="SimHei"/>
                <w:sz w:val="22"/>
                <w:szCs w:val="22"/>
                <w:spacing w:val="1"/>
              </w:rPr>
              <w:t>第二百六十四条</w:t>
            </w:r>
            <w:r>
              <w:rPr>
                <w:rFonts w:ascii="SimHei" w:hAnsi="SimHei" w:eastAsia="SimHei" w:cs="SimHei"/>
                <w:sz w:val="22"/>
                <w:szCs w:val="22"/>
                <w:spacing w:val="1"/>
              </w:rPr>
              <w:t xml:space="preserve"> </w:t>
            </w:r>
            <w:r>
              <w:rPr>
                <w:rFonts w:ascii="SimHei" w:hAnsi="SimHei" w:eastAsia="SimHei" w:cs="SimHei"/>
                <w:sz w:val="22"/>
                <w:szCs w:val="22"/>
                <w:spacing w:val="1"/>
              </w:rPr>
              <w:t>取得印鉴卡的医疗机构未依照规定销毁麻醉药品和精神药品的</w:t>
            </w:r>
            <w:r>
              <w:rPr>
                <w:rFonts w:ascii="SimHei" w:hAnsi="SimHei" w:eastAsia="SimHei" w:cs="SimHei"/>
                <w:sz w:val="22"/>
                <w:szCs w:val="22"/>
                <w:spacing w:val="-96"/>
              </w:rPr>
              <w:t xml:space="preserve"> </w:t>
            </w:r>
            <w:r>
              <w:rPr>
                <w:rFonts w:ascii="SimHei" w:hAnsi="SimHei" w:eastAsia="SimHei" w:cs="SimHei"/>
                <w:sz w:val="22"/>
                <w:szCs w:val="22"/>
              </w:rPr>
              <w:tab/>
            </w:r>
            <w:r>
              <w:rPr>
                <w:rFonts w:ascii="SimHei" w:hAnsi="SimHei" w:eastAsia="SimHei" w:cs="SimHei"/>
                <w:sz w:val="22"/>
                <w:szCs w:val="22"/>
                <w:spacing w:val="-74"/>
              </w:rPr>
              <w:t xml:space="preserve"> </w:t>
            </w:r>
            <w:r>
              <w:rPr>
                <w:rFonts w:ascii="Times New Roman" w:hAnsi="Times New Roman" w:eastAsia="Times New Roman" w:cs="Times New Roman"/>
                <w:sz w:val="22"/>
                <w:szCs w:val="22"/>
                <w:spacing w:val="-3"/>
              </w:rPr>
              <w:t>348</w:t>
            </w:r>
          </w:hyperlink>
        </w:p>
        <w:p>
          <w:pPr>
            <w:pStyle w:val="BodyText"/>
            <w:spacing w:line="241" w:lineRule="auto"/>
            <w:rPr/>
          </w:pPr>
          <w:r/>
        </w:p>
        <w:p>
          <w:pPr>
            <w:pStyle w:val="BodyText"/>
            <w:spacing w:line="241" w:lineRule="auto"/>
            <w:rPr/>
          </w:pPr>
          <w:r/>
        </w:p>
        <w:p>
          <w:pPr>
            <w:ind w:left="329"/>
            <w:spacing w:before="72" w:line="213" w:lineRule="auto"/>
            <w:tabs>
              <w:tab w:val="right" w:leader="dot" w:pos="13360"/>
            </w:tabs>
            <w:rPr>
              <w:rFonts w:ascii="Times New Roman" w:hAnsi="Times New Roman" w:eastAsia="Times New Roman" w:cs="Times New Roman"/>
              <w:sz w:val="22"/>
              <w:szCs w:val="22"/>
            </w:rPr>
          </w:pPr>
          <w:hyperlink w:history="true" w:anchor="bookmark339">
            <w:r>
              <w:rPr>
                <w:rFonts w:ascii="SimHei" w:hAnsi="SimHei" w:eastAsia="SimHei" w:cs="SimHei"/>
                <w:sz w:val="22"/>
                <w:szCs w:val="22"/>
              </w:rPr>
              <w:t>第二百六十五条</w:t>
            </w:r>
            <w:r>
              <w:rPr>
                <w:rFonts w:ascii="SimHei" w:hAnsi="SimHei" w:eastAsia="SimHei" w:cs="SimHei"/>
                <w:sz w:val="22"/>
                <w:szCs w:val="22"/>
              </w:rPr>
              <w:t xml:space="preserve"> </w:t>
            </w:r>
            <w:r>
              <w:rPr>
                <w:rFonts w:ascii="SimHei" w:hAnsi="SimHei" w:eastAsia="SimHei" w:cs="SimHei"/>
                <w:sz w:val="22"/>
                <w:szCs w:val="22"/>
              </w:rPr>
              <w:t>提供虚假材料、隐瞒有关情况，或者采取其他欺骗手段取得麻醉药品和</w:t>
            </w:r>
            <w:r>
              <w:rPr>
                <w:rFonts w:ascii="SimHei" w:hAnsi="SimHei" w:eastAsia="SimHei" w:cs="SimHei"/>
                <w:sz w:val="22"/>
                <w:szCs w:val="22"/>
                <w:spacing w:val="-1"/>
              </w:rPr>
              <w:t>精神药品的使用资格的</w:t>
            </w:r>
            <w:r>
              <w:rPr>
                <w:rFonts w:ascii="SimHei" w:hAnsi="SimHei" w:eastAsia="SimHei" w:cs="SimHei"/>
                <w:sz w:val="22"/>
                <w:szCs w:val="22"/>
              </w:rPr>
              <w:tab/>
            </w:r>
            <w:r>
              <w:rPr>
                <w:rFonts w:ascii="SimHei" w:hAnsi="SimHei" w:eastAsia="SimHei" w:cs="SimHei"/>
                <w:sz w:val="22"/>
                <w:szCs w:val="22"/>
                <w:spacing w:val="-14"/>
              </w:rPr>
              <w:t xml:space="preserve"> </w:t>
            </w:r>
            <w:r>
              <w:rPr>
                <w:rFonts w:ascii="Times New Roman" w:hAnsi="Times New Roman" w:eastAsia="Times New Roman" w:cs="Times New Roman"/>
                <w:sz w:val="22"/>
                <w:szCs w:val="22"/>
                <w:spacing w:val="-3"/>
              </w:rPr>
              <w:t>349</w:t>
            </w:r>
          </w:hyperlink>
        </w:p>
      </w:sdtContent>
    </w:sdt>
    <w:p>
      <w:pPr>
        <w:spacing w:line="213" w:lineRule="auto"/>
        <w:sectPr>
          <w:footerReference w:type="default" r:id="rId33"/>
          <w:pgSz w:w="16830" w:h="11900"/>
          <w:pgMar w:top="1011" w:right="1478" w:bottom="1141" w:left="1980" w:header="0" w:footer="790" w:gutter="0"/>
        </w:sectPr>
        <w:rPr>
          <w:rFonts w:ascii="Times New Roman" w:hAnsi="Times New Roman" w:eastAsia="Times New Roman" w:cs="Times New Roman"/>
          <w:sz w:val="22"/>
          <w:szCs w:val="22"/>
        </w:rPr>
      </w:pPr>
    </w:p>
    <w:p>
      <w:pPr>
        <w:pStyle w:val="BodyText"/>
        <w:spacing w:line="307" w:lineRule="auto"/>
        <w:rPr/>
      </w:pPr>
      <w:r/>
    </w:p>
    <w:p>
      <w:pPr>
        <w:pStyle w:val="BodyText"/>
        <w:spacing w:line="307" w:lineRule="auto"/>
        <w:rPr/>
      </w:pPr>
      <w:r/>
    </w:p>
    <w:p>
      <w:pPr>
        <w:pStyle w:val="BodyText"/>
        <w:spacing w:line="308"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320"/>
            <w:spacing w:before="68" w:line="213" w:lineRule="auto"/>
            <w:tabs>
              <w:tab w:val="right" w:leader="dot" w:pos="13205"/>
            </w:tabs>
            <w:rPr>
              <w:rFonts w:ascii="Times New Roman" w:hAnsi="Times New Roman" w:eastAsia="Times New Roman" w:cs="Times New Roman"/>
              <w:sz w:val="21"/>
              <w:szCs w:val="21"/>
            </w:rPr>
          </w:pPr>
          <w:hyperlink w:history="true" w:anchor="bookmark340">
            <w:r>
              <w:rPr>
                <w:rFonts w:ascii="SimHei" w:hAnsi="SimHei" w:eastAsia="SimHei" w:cs="SimHei"/>
                <w:sz w:val="21"/>
                <w:szCs w:val="21"/>
                <w:spacing w:val="10"/>
              </w:rPr>
              <w:t>第二百六十六条</w:t>
            </w:r>
            <w:r>
              <w:rPr>
                <w:rFonts w:ascii="SimHei" w:hAnsi="SimHei" w:eastAsia="SimHei" w:cs="SimHei"/>
                <w:sz w:val="21"/>
                <w:szCs w:val="21"/>
                <w:spacing w:val="10"/>
              </w:rPr>
              <w:t xml:space="preserve"> </w:t>
            </w:r>
            <w:r>
              <w:rPr>
                <w:rFonts w:ascii="SimHei" w:hAnsi="SimHei" w:eastAsia="SimHei" w:cs="SimHei"/>
                <w:sz w:val="21"/>
                <w:szCs w:val="21"/>
                <w:spacing w:val="10"/>
              </w:rPr>
              <w:t>发生麻醉药品和精神药品被盗、被抢、丢失案件的单位，未</w:t>
            </w:r>
            <w:r>
              <w:rPr>
                <w:rFonts w:ascii="SimHei" w:hAnsi="SimHei" w:eastAsia="SimHei" w:cs="SimHei"/>
                <w:sz w:val="21"/>
                <w:szCs w:val="21"/>
                <w:spacing w:val="9"/>
              </w:rPr>
              <w:t>采取必要的控制措施或者未依照规定报告的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2"/>
              </w:rPr>
              <w:t>350</w:t>
            </w:r>
          </w:hyperlink>
        </w:p>
        <w:p>
          <w:pPr>
            <w:pStyle w:val="BodyText"/>
            <w:spacing w:line="253" w:lineRule="auto"/>
            <w:rPr/>
          </w:pPr>
          <w:r/>
        </w:p>
        <w:p>
          <w:pPr>
            <w:pStyle w:val="BodyText"/>
            <w:spacing w:line="253" w:lineRule="auto"/>
            <w:rPr/>
          </w:pPr>
          <w:r/>
        </w:p>
        <w:p>
          <w:pPr>
            <w:spacing w:before="68" w:line="213" w:lineRule="auto"/>
            <w:jc w:val="right"/>
            <w:rPr>
              <w:rFonts w:ascii="SimHei" w:hAnsi="SimHei" w:eastAsia="SimHei" w:cs="SimHei"/>
              <w:sz w:val="21"/>
              <w:szCs w:val="21"/>
            </w:rPr>
          </w:pPr>
          <w:hyperlink w:history="true" w:anchor="bookmark341">
            <w:r>
              <w:rPr>
                <w:rFonts w:ascii="SimHei" w:hAnsi="SimHei" w:eastAsia="SimHei" w:cs="SimHei"/>
                <w:sz w:val="21"/>
                <w:szCs w:val="21"/>
                <w:spacing w:val="10"/>
              </w:rPr>
              <w:t>第二百六十七条</w:t>
            </w:r>
            <w:r>
              <w:rPr>
                <w:rFonts w:ascii="SimHei" w:hAnsi="SimHei" w:eastAsia="SimHei" w:cs="SimHei"/>
                <w:sz w:val="21"/>
                <w:szCs w:val="21"/>
                <w:spacing w:val="10"/>
              </w:rPr>
              <w:t xml:space="preserve"> </w:t>
            </w:r>
            <w:r>
              <w:rPr>
                <w:rFonts w:ascii="SimHei" w:hAnsi="SimHei" w:eastAsia="SimHei" w:cs="SimHei"/>
                <w:sz w:val="21"/>
                <w:szCs w:val="21"/>
                <w:spacing w:val="10"/>
              </w:rPr>
              <w:t>依法取得麻醉药品药用原植物种植或者麻醉药品和精神药品使用等资格的单位，倒卖、转让、出租</w:t>
            </w:r>
            <w:r>
              <w:rPr>
                <w:rFonts w:ascii="SimHei" w:hAnsi="SimHei" w:eastAsia="SimHei" w:cs="SimHei"/>
                <w:sz w:val="21"/>
                <w:szCs w:val="21"/>
                <w:spacing w:val="9"/>
              </w:rPr>
              <w:t>、出借、涂改其麻醉</w:t>
            </w:r>
          </w:hyperlink>
        </w:p>
        <w:p>
          <w:pPr>
            <w:pStyle w:val="BodyText"/>
            <w:spacing w:line="326" w:lineRule="auto"/>
            <w:rPr/>
          </w:pPr>
          <w:r/>
        </w:p>
        <w:p>
          <w:pPr>
            <w:ind w:left="320"/>
            <w:spacing w:before="68" w:line="221" w:lineRule="auto"/>
            <w:tabs>
              <w:tab w:val="right" w:leader="dot" w:pos="13428"/>
            </w:tabs>
            <w:rPr>
              <w:rFonts w:ascii="Times New Roman" w:hAnsi="Times New Roman" w:eastAsia="Times New Roman" w:cs="Times New Roman"/>
              <w:sz w:val="21"/>
              <w:szCs w:val="21"/>
            </w:rPr>
          </w:pPr>
          <w:hyperlink w:history="true" w:anchor="bookmark342">
            <w:r>
              <w:rPr>
                <w:rFonts w:ascii="SimHei" w:hAnsi="SimHei" w:eastAsia="SimHei" w:cs="SimHei"/>
                <w:sz w:val="21"/>
                <w:szCs w:val="21"/>
                <w:spacing w:val="13"/>
              </w:rPr>
              <w:t>药品和精神药品许可证明文件的</w:t>
            </w:r>
            <w:r>
              <w:rPr>
                <w:rFonts w:ascii="SimHei" w:hAnsi="SimHei" w:eastAsia="SimHei" w:cs="SimHei"/>
                <w:sz w:val="21"/>
                <w:szCs w:val="21"/>
                <w:spacing w:val="-89"/>
              </w:rPr>
              <w:t xml:space="preserve"> </w:t>
            </w:r>
            <w:r>
              <w:rPr>
                <w:rFonts w:ascii="SimHei" w:hAnsi="SimHei" w:eastAsia="SimHei" w:cs="SimHei"/>
                <w:sz w:val="21"/>
                <w:szCs w:val="21"/>
              </w:rPr>
              <w:tab/>
            </w:r>
            <w:r>
              <w:rPr>
                <w:rFonts w:ascii="SimHei" w:hAnsi="SimHei" w:eastAsia="SimHei" w:cs="SimHei"/>
                <w:sz w:val="21"/>
                <w:szCs w:val="21"/>
                <w:spacing w:val="-50"/>
              </w:rPr>
              <w:t xml:space="preserve"> </w:t>
            </w:r>
            <w:r>
              <w:rPr>
                <w:rFonts w:ascii="Times New Roman" w:hAnsi="Times New Roman" w:eastAsia="Times New Roman" w:cs="Times New Roman"/>
                <w:sz w:val="21"/>
                <w:szCs w:val="21"/>
                <w:spacing w:val="-15"/>
              </w:rPr>
              <w:t>35</w:t>
            </w:r>
            <w:r>
              <w:rPr>
                <w:rFonts w:ascii="Times New Roman" w:hAnsi="Times New Roman" w:eastAsia="Times New Roman" w:cs="Times New Roman"/>
                <w:sz w:val="21"/>
                <w:szCs w:val="21"/>
                <w:spacing w:val="-9"/>
              </w:rPr>
              <w:t>2</w:t>
            </w:r>
          </w:hyperlink>
        </w:p>
        <w:p>
          <w:pPr>
            <w:pStyle w:val="BodyText"/>
            <w:spacing w:line="286" w:lineRule="auto"/>
            <w:rPr/>
          </w:pPr>
          <w:r/>
        </w:p>
        <w:p>
          <w:pPr>
            <w:spacing w:before="69" w:line="212" w:lineRule="auto"/>
            <w:tabs>
              <w:tab w:val="right" w:leader="dot" w:pos="13345"/>
            </w:tabs>
            <w:rPr>
              <w:rFonts w:ascii="Times New Roman" w:hAnsi="Times New Roman" w:eastAsia="Times New Roman" w:cs="Times New Roman"/>
              <w:sz w:val="21"/>
              <w:szCs w:val="21"/>
            </w:rPr>
          </w:pPr>
          <w:hyperlink w:history="true" w:anchor="bookmark343">
            <w:r>
              <w:rPr>
                <w:rFonts w:ascii="Times New Roman" w:hAnsi="Times New Roman" w:eastAsia="Times New Roman" w:cs="Times New Roman"/>
                <w:sz w:val="21"/>
                <w:szCs w:val="21"/>
                <w:spacing w:val="10"/>
              </w:rPr>
              <w:t>( </w:t>
            </w:r>
            <w:r>
              <w:rPr>
                <w:rFonts w:ascii="KaiTi" w:hAnsi="KaiTi" w:eastAsia="KaiTi" w:cs="KaiTi"/>
                <w:sz w:val="21"/>
                <w:szCs w:val="21"/>
                <w:spacing w:val="10"/>
              </w:rPr>
              <w:t>二十)《处方管理办法》</w:t>
            </w:r>
            <w:r>
              <w:rPr>
                <w:rFonts w:ascii="KaiTi" w:hAnsi="KaiTi" w:eastAsia="KaiTi" w:cs="KaiTi"/>
                <w:sz w:val="21"/>
                <w:szCs w:val="21"/>
                <w:spacing w:val="-74"/>
              </w:rPr>
              <w:t xml:space="preserve"> </w:t>
            </w:r>
            <w:r>
              <w:rPr>
                <w:rFonts w:ascii="KaiTi" w:hAnsi="KaiTi" w:eastAsia="KaiTi" w:cs="KaiTi"/>
                <w:sz w:val="21"/>
                <w:szCs w:val="21"/>
                <w:color w:val="406060"/>
              </w:rPr>
              <w:tab/>
            </w:r>
            <w:r>
              <w:rPr>
                <w:rFonts w:ascii="KaiTi" w:hAnsi="KaiTi" w:eastAsia="KaiTi" w:cs="KaiTi"/>
                <w:sz w:val="21"/>
                <w:szCs w:val="21"/>
                <w:spacing w:val="-31"/>
              </w:rPr>
              <w:t xml:space="preserve"> </w:t>
            </w:r>
            <w:r>
              <w:rPr>
                <w:rFonts w:ascii="Times New Roman" w:hAnsi="Times New Roman" w:eastAsia="Times New Roman" w:cs="Times New Roman"/>
                <w:sz w:val="21"/>
                <w:szCs w:val="21"/>
                <w:spacing w:val="-2"/>
              </w:rPr>
              <w:t>353</w:t>
            </w:r>
          </w:hyperlink>
        </w:p>
        <w:p>
          <w:pPr>
            <w:pStyle w:val="BodyText"/>
            <w:spacing w:line="381" w:lineRule="auto"/>
            <w:rPr/>
          </w:pPr>
          <w:r/>
        </w:p>
        <w:p>
          <w:pPr>
            <w:ind w:left="320"/>
            <w:spacing w:before="68" w:line="213" w:lineRule="auto"/>
            <w:tabs>
              <w:tab w:val="right" w:leader="dot" w:pos="13365"/>
            </w:tabs>
            <w:rPr>
              <w:rFonts w:ascii="Times New Roman" w:hAnsi="Times New Roman" w:eastAsia="Times New Roman" w:cs="Times New Roman"/>
              <w:sz w:val="21"/>
              <w:szCs w:val="21"/>
            </w:rPr>
          </w:pPr>
          <w:hyperlink w:history="true" w:anchor="bookmark344">
            <w:r>
              <w:rPr>
                <w:rFonts w:ascii="SimHei" w:hAnsi="SimHei" w:eastAsia="SimHei" w:cs="SimHei"/>
                <w:sz w:val="21"/>
                <w:szCs w:val="21"/>
                <w:spacing w:val="10"/>
              </w:rPr>
              <w:t>第二百六十八条</w:t>
            </w:r>
            <w:r>
              <w:rPr>
                <w:rFonts w:ascii="SimHei" w:hAnsi="SimHei" w:eastAsia="SimHei" w:cs="SimHei"/>
                <w:sz w:val="21"/>
                <w:szCs w:val="21"/>
                <w:spacing w:val="39"/>
              </w:rPr>
              <w:t xml:space="preserve"> </w:t>
            </w:r>
            <w:r>
              <w:rPr>
                <w:rFonts w:ascii="SimHei" w:hAnsi="SimHei" w:eastAsia="SimHei" w:cs="SimHei"/>
                <w:sz w:val="21"/>
                <w:szCs w:val="21"/>
                <w:spacing w:val="10"/>
              </w:rPr>
              <w:t>医疗机构未按照规定保管麻醉药品和精神药品处方，或者未依照规定</w:t>
            </w:r>
            <w:r>
              <w:rPr>
                <w:rFonts w:ascii="SimHei" w:hAnsi="SimHei" w:eastAsia="SimHei" w:cs="SimHei"/>
                <w:sz w:val="21"/>
                <w:szCs w:val="21"/>
                <w:spacing w:val="9"/>
              </w:rPr>
              <w:t>进行专册登记的</w:t>
            </w:r>
            <w:r>
              <w:rPr>
                <w:rFonts w:ascii="SimHei" w:hAnsi="SimHei" w:eastAsia="SimHei" w:cs="SimHei"/>
                <w:sz w:val="21"/>
                <w:szCs w:val="21"/>
                <w:spacing w:val="-94"/>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353</w:t>
            </w:r>
          </w:hyperlink>
        </w:p>
        <w:p>
          <w:pPr>
            <w:pStyle w:val="BodyText"/>
            <w:spacing w:line="272" w:lineRule="auto"/>
            <w:rPr/>
          </w:pPr>
          <w:r/>
        </w:p>
        <w:p>
          <w:pPr>
            <w:pStyle w:val="BodyText"/>
            <w:spacing w:line="273" w:lineRule="auto"/>
            <w:rPr/>
          </w:pPr>
          <w:r/>
        </w:p>
        <w:p>
          <w:pPr>
            <w:ind w:left="320"/>
            <w:spacing w:before="68" w:line="221" w:lineRule="auto"/>
            <w:tabs>
              <w:tab w:val="right" w:leader="dot" w:pos="13345"/>
            </w:tabs>
            <w:rPr>
              <w:rFonts w:ascii="Times New Roman" w:hAnsi="Times New Roman" w:eastAsia="Times New Roman" w:cs="Times New Roman"/>
              <w:sz w:val="21"/>
              <w:szCs w:val="21"/>
            </w:rPr>
          </w:pPr>
          <w:hyperlink w:history="true" w:anchor="bookmark345">
            <w:r>
              <w:rPr>
                <w:rFonts w:ascii="SimHei" w:hAnsi="SimHei" w:eastAsia="SimHei" w:cs="SimHei"/>
                <w:sz w:val="21"/>
                <w:szCs w:val="21"/>
                <w:spacing w:val="10"/>
              </w:rPr>
              <w:t>第二百六十九条</w:t>
            </w:r>
            <w:r>
              <w:rPr>
                <w:rFonts w:ascii="SimHei" w:hAnsi="SimHei" w:eastAsia="SimHei" w:cs="SimHei"/>
                <w:sz w:val="21"/>
                <w:szCs w:val="21"/>
                <w:spacing w:val="10"/>
              </w:rPr>
              <w:t xml:space="preserve"> </w:t>
            </w:r>
            <w:r>
              <w:rPr>
                <w:rFonts w:ascii="SimHei" w:hAnsi="SimHei" w:eastAsia="SimHei" w:cs="SimHei"/>
                <w:sz w:val="21"/>
                <w:szCs w:val="21"/>
                <w:spacing w:val="10"/>
              </w:rPr>
              <w:t>使用未取得处方权的人员、被取消处方权</w:t>
            </w:r>
            <w:r>
              <w:rPr>
                <w:rFonts w:ascii="SimHei" w:hAnsi="SimHei" w:eastAsia="SimHei" w:cs="SimHei"/>
                <w:sz w:val="21"/>
                <w:szCs w:val="21"/>
                <w:spacing w:val="9"/>
              </w:rPr>
              <w:t>的医师开具处方的</w:t>
            </w:r>
            <w:r>
              <w:rPr>
                <w:rFonts w:ascii="SimHei" w:hAnsi="SimHei" w:eastAsia="SimHei" w:cs="SimHei"/>
                <w:sz w:val="21"/>
                <w:szCs w:val="21"/>
                <w:spacing w:val="-94"/>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354</w:t>
            </w:r>
          </w:hyperlink>
        </w:p>
        <w:p>
          <w:pPr>
            <w:pStyle w:val="BodyText"/>
            <w:spacing w:line="467" w:lineRule="auto"/>
            <w:rPr/>
          </w:pPr>
          <w:r/>
        </w:p>
        <w:p>
          <w:pPr>
            <w:ind w:left="320"/>
            <w:spacing w:before="69" w:line="221" w:lineRule="auto"/>
            <w:tabs>
              <w:tab w:val="right" w:leader="dot" w:pos="13415"/>
            </w:tabs>
            <w:rPr>
              <w:rFonts w:ascii="Times New Roman" w:hAnsi="Times New Roman" w:eastAsia="Times New Roman" w:cs="Times New Roman"/>
              <w:sz w:val="21"/>
              <w:szCs w:val="21"/>
            </w:rPr>
          </w:pPr>
          <w:hyperlink w:history="true" w:anchor="bookmark346">
            <w:r>
              <w:rPr>
                <w:rFonts w:ascii="SimHei" w:hAnsi="SimHei" w:eastAsia="SimHei" w:cs="SimHei"/>
                <w:sz w:val="21"/>
                <w:szCs w:val="21"/>
                <w:spacing w:val="7"/>
              </w:rPr>
              <w:t>第二百七十条</w:t>
            </w:r>
            <w:r>
              <w:rPr>
                <w:rFonts w:ascii="SimHei" w:hAnsi="SimHei" w:eastAsia="SimHei" w:cs="SimHei"/>
                <w:sz w:val="21"/>
                <w:szCs w:val="21"/>
                <w:spacing w:val="7"/>
              </w:rPr>
              <w:t xml:space="preserve"> </w:t>
            </w:r>
            <w:r>
              <w:rPr>
                <w:rFonts w:ascii="SimHei" w:hAnsi="SimHei" w:eastAsia="SimHei" w:cs="SimHei"/>
                <w:sz w:val="21"/>
                <w:szCs w:val="21"/>
                <w:spacing w:val="7"/>
              </w:rPr>
              <w:t>使用未取得药学专业技术职务任职资格的人员从事处方调剂工作的</w:t>
            </w:r>
            <w:r>
              <w:rPr>
                <w:rFonts w:ascii="SimHei" w:hAnsi="SimHei" w:eastAsia="SimHei" w:cs="SimHei"/>
                <w:sz w:val="21"/>
                <w:szCs w:val="21"/>
                <w:spacing w:val="-83"/>
              </w:rPr>
              <w:t xml:space="preserve"> </w:t>
            </w:r>
            <w:r>
              <w:rPr>
                <w:rFonts w:ascii="SimHei" w:hAnsi="SimHei" w:eastAsia="SimHei" w:cs="SimHei"/>
                <w:sz w:val="21"/>
                <w:szCs w:val="21"/>
              </w:rPr>
              <w:tab/>
            </w:r>
            <w:r>
              <w:rPr>
                <w:rFonts w:ascii="SimHei" w:hAnsi="SimHei" w:eastAsia="SimHei" w:cs="SimHei"/>
                <w:sz w:val="21"/>
                <w:szCs w:val="21"/>
                <w:spacing w:val="-61"/>
              </w:rPr>
              <w:t xml:space="preserve"> </w:t>
            </w:r>
            <w:r>
              <w:rPr>
                <w:rFonts w:ascii="Times New Roman" w:hAnsi="Times New Roman" w:eastAsia="Times New Roman" w:cs="Times New Roman"/>
                <w:sz w:val="21"/>
                <w:szCs w:val="21"/>
                <w:spacing w:val="-2"/>
              </w:rPr>
              <w:t>356</w:t>
            </w:r>
          </w:hyperlink>
        </w:p>
        <w:p>
          <w:pPr>
            <w:pStyle w:val="BodyText"/>
            <w:spacing w:line="253" w:lineRule="auto"/>
            <w:rPr/>
          </w:pPr>
          <w:r/>
        </w:p>
        <w:p>
          <w:pPr>
            <w:pStyle w:val="BodyText"/>
            <w:spacing w:line="254" w:lineRule="auto"/>
            <w:rPr/>
          </w:pPr>
          <w:r/>
        </w:p>
        <w:p>
          <w:pPr>
            <w:ind w:left="320"/>
            <w:spacing w:before="68" w:line="221" w:lineRule="auto"/>
            <w:tabs>
              <w:tab w:val="right" w:leader="dot" w:pos="13355"/>
            </w:tabs>
            <w:rPr>
              <w:rFonts w:ascii="Times New Roman" w:hAnsi="Times New Roman" w:eastAsia="Times New Roman" w:cs="Times New Roman"/>
              <w:sz w:val="21"/>
              <w:szCs w:val="21"/>
            </w:rPr>
          </w:pPr>
          <w:hyperlink w:history="true" w:anchor="bookmark347">
            <w:r>
              <w:rPr>
                <w:rFonts w:ascii="SimHei" w:hAnsi="SimHei" w:eastAsia="SimHei" w:cs="SimHei"/>
                <w:sz w:val="21"/>
                <w:szCs w:val="21"/>
                <w:spacing w:val="10"/>
              </w:rPr>
              <w:t>第二百七十一条</w:t>
            </w:r>
            <w:r>
              <w:rPr>
                <w:rFonts w:ascii="SimHei" w:hAnsi="SimHei" w:eastAsia="SimHei" w:cs="SimHei"/>
                <w:sz w:val="21"/>
                <w:szCs w:val="21"/>
                <w:spacing w:val="10"/>
              </w:rPr>
              <w:t xml:space="preserve"> </w:t>
            </w:r>
            <w:r>
              <w:rPr>
                <w:rFonts w:ascii="SimHei" w:hAnsi="SimHei" w:eastAsia="SimHei" w:cs="SimHei"/>
                <w:sz w:val="21"/>
                <w:szCs w:val="21"/>
                <w:spacing w:val="10"/>
              </w:rPr>
              <w:t>未取得麻醉药品和第一类精神药品处方资格的医师</w:t>
            </w:r>
            <w:r>
              <w:rPr>
                <w:rFonts w:ascii="SimHei" w:hAnsi="SimHei" w:eastAsia="SimHei" w:cs="SimHei"/>
                <w:sz w:val="21"/>
                <w:szCs w:val="21"/>
                <w:spacing w:val="9"/>
              </w:rPr>
              <w:t>擅自开具麻醉药品和第一类精神药品处方的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357</w:t>
            </w:r>
          </w:hyperlink>
        </w:p>
        <w:p>
          <w:pPr>
            <w:pStyle w:val="BodyText"/>
            <w:spacing w:line="248" w:lineRule="auto"/>
            <w:rPr/>
          </w:pPr>
          <w:r/>
        </w:p>
        <w:p>
          <w:pPr>
            <w:pStyle w:val="BodyText"/>
            <w:spacing w:line="249" w:lineRule="auto"/>
            <w:rPr/>
          </w:pPr>
          <w:r/>
        </w:p>
        <w:p>
          <w:pPr>
            <w:ind w:left="320"/>
            <w:spacing w:before="69" w:line="221" w:lineRule="auto"/>
            <w:tabs>
              <w:tab w:val="right" w:leader="dot" w:pos="13205"/>
            </w:tabs>
            <w:rPr>
              <w:rFonts w:ascii="Times New Roman" w:hAnsi="Times New Roman" w:eastAsia="Times New Roman" w:cs="Times New Roman"/>
              <w:sz w:val="21"/>
              <w:szCs w:val="21"/>
            </w:rPr>
          </w:pPr>
          <w:hyperlink w:history="true" w:anchor="bookmark348">
            <w:r>
              <w:rPr>
                <w:rFonts w:ascii="SimHei" w:hAnsi="SimHei" w:eastAsia="SimHei" w:cs="SimHei"/>
                <w:sz w:val="21"/>
                <w:szCs w:val="21"/>
                <w:spacing w:val="14"/>
              </w:rPr>
              <w:t>第二百七十二条</w:t>
            </w:r>
            <w:r>
              <w:rPr>
                <w:rFonts w:ascii="SimHei" w:hAnsi="SimHei" w:eastAsia="SimHei" w:cs="SimHei"/>
                <w:sz w:val="21"/>
                <w:szCs w:val="21"/>
                <w:spacing w:val="37"/>
              </w:rPr>
              <w:t xml:space="preserve"> </w:t>
            </w:r>
            <w:r>
              <w:rPr>
                <w:rFonts w:ascii="SimHei" w:hAnsi="SimHei" w:eastAsia="SimHei" w:cs="SimHei"/>
                <w:sz w:val="21"/>
                <w:szCs w:val="21"/>
                <w:spacing w:val="14"/>
              </w:rPr>
              <w:t>使用未取得麻醉药品和第一类精神药品处方资格的医师开具麻醉药品和第一类</w:t>
            </w:r>
            <w:r>
              <w:rPr>
                <w:rFonts w:ascii="SimHei" w:hAnsi="SimHei" w:eastAsia="SimHei" w:cs="SimHei"/>
                <w:sz w:val="21"/>
                <w:szCs w:val="21"/>
                <w:spacing w:val="13"/>
              </w:rPr>
              <w:t>精神药品处方的(机构)</w:t>
            </w:r>
            <w:r>
              <w:rPr>
                <w:rFonts w:ascii="SimHei" w:hAnsi="SimHei" w:eastAsia="SimHei" w:cs="SimHei"/>
                <w:sz w:val="21"/>
                <w:szCs w:val="21"/>
              </w:rPr>
              <w:tab/>
            </w:r>
            <w:r>
              <w:rPr>
                <w:rFonts w:ascii="Times New Roman" w:hAnsi="Times New Roman" w:eastAsia="Times New Roman" w:cs="Times New Roman"/>
                <w:sz w:val="21"/>
                <w:szCs w:val="21"/>
                <w:spacing w:val="-2"/>
              </w:rPr>
              <w:t>358</w:t>
            </w:r>
          </w:hyperlink>
        </w:p>
        <w:p>
          <w:pPr>
            <w:pStyle w:val="BodyText"/>
            <w:spacing w:line="249" w:lineRule="auto"/>
            <w:rPr/>
          </w:pPr>
          <w:r/>
        </w:p>
        <w:p>
          <w:pPr>
            <w:pStyle w:val="BodyText"/>
            <w:spacing w:line="249" w:lineRule="auto"/>
            <w:rPr/>
          </w:pPr>
          <w:r/>
        </w:p>
        <w:p>
          <w:pPr>
            <w:ind w:right="1"/>
            <w:spacing w:before="68" w:line="213" w:lineRule="auto"/>
            <w:jc w:val="right"/>
            <w:rPr>
              <w:rFonts w:ascii="SimHei" w:hAnsi="SimHei" w:eastAsia="SimHei" w:cs="SimHei"/>
              <w:sz w:val="21"/>
              <w:szCs w:val="21"/>
            </w:rPr>
          </w:pPr>
          <w:hyperlink w:history="true" w:anchor="bookmark349">
            <w:r>
              <w:rPr>
                <w:rFonts w:ascii="SimHei" w:hAnsi="SimHei" w:eastAsia="SimHei" w:cs="SimHei"/>
                <w:sz w:val="21"/>
                <w:szCs w:val="21"/>
                <w:spacing w:val="10"/>
              </w:rPr>
              <w:t>第二百七十三条</w:t>
            </w:r>
            <w:r>
              <w:rPr>
                <w:rFonts w:ascii="SimHei" w:hAnsi="SimHei" w:eastAsia="SimHei" w:cs="SimHei"/>
                <w:sz w:val="21"/>
                <w:szCs w:val="21"/>
                <w:spacing w:val="34"/>
              </w:rPr>
              <w:t xml:space="preserve"> </w:t>
            </w:r>
            <w:r>
              <w:rPr>
                <w:rFonts w:ascii="SimHei" w:hAnsi="SimHei" w:eastAsia="SimHei" w:cs="SimHei"/>
                <w:sz w:val="21"/>
                <w:szCs w:val="21"/>
                <w:spacing w:val="10"/>
              </w:rPr>
              <w:t>具有麻醉药品和第一类精神药品处方医师</w:t>
            </w:r>
            <w:r>
              <w:rPr>
                <w:rFonts w:ascii="SimHei" w:hAnsi="SimHei" w:eastAsia="SimHei" w:cs="SimHei"/>
                <w:sz w:val="21"/>
                <w:szCs w:val="21"/>
                <w:spacing w:val="9"/>
              </w:rPr>
              <w:t>未按照规定开具麻醉药品和第一类精神药品处方，或者未按照卫生部制定的麻</w:t>
            </w:r>
          </w:hyperlink>
        </w:p>
        <w:p>
          <w:pPr>
            <w:pStyle w:val="BodyText"/>
            <w:spacing w:line="316" w:lineRule="auto"/>
            <w:rPr/>
          </w:pPr>
          <w:r/>
        </w:p>
        <w:p>
          <w:pPr>
            <w:ind w:left="320"/>
            <w:spacing w:before="69" w:line="221" w:lineRule="auto"/>
            <w:tabs>
              <w:tab w:val="right" w:leader="dot" w:pos="13335"/>
            </w:tabs>
            <w:rPr>
              <w:rFonts w:ascii="Times New Roman" w:hAnsi="Times New Roman" w:eastAsia="Times New Roman" w:cs="Times New Roman"/>
              <w:sz w:val="21"/>
              <w:szCs w:val="21"/>
            </w:rPr>
          </w:pPr>
          <w:hyperlink w:history="true" w:anchor="bookmark350">
            <w:r>
              <w:rPr>
                <w:rFonts w:ascii="SimHei" w:hAnsi="SimHei" w:eastAsia="SimHei" w:cs="SimHei"/>
                <w:sz w:val="21"/>
                <w:szCs w:val="21"/>
                <w:spacing w:val="12"/>
              </w:rPr>
              <w:t>醉药品和精神药品临床应用指导原则使用麻醉药品和第一类精神药品的</w:t>
            </w:r>
            <w:r>
              <w:rPr>
                <w:rFonts w:ascii="SimHei" w:hAnsi="SimHei" w:eastAsia="SimHei" w:cs="SimHei"/>
                <w:sz w:val="21"/>
                <w:szCs w:val="21"/>
                <w:spacing w:val="-79"/>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359</w:t>
            </w:r>
          </w:hyperlink>
        </w:p>
      </w:sdtContent>
    </w:sdt>
    <w:p>
      <w:pPr>
        <w:spacing w:line="221" w:lineRule="auto"/>
        <w:sectPr>
          <w:footerReference w:type="default" r:id="rId34"/>
          <w:pgSz w:w="16830" w:h="11900"/>
          <w:pgMar w:top="1011" w:right="1431" w:bottom="1116" w:left="1969" w:header="0" w:footer="810" w:gutter="0"/>
        </w:sectPr>
        <w:rPr>
          <w:rFonts w:ascii="Times New Roman" w:hAnsi="Times New Roman" w:eastAsia="Times New Roman" w:cs="Times New Roman"/>
          <w:sz w:val="21"/>
          <w:szCs w:val="21"/>
        </w:rPr>
      </w:pPr>
    </w:p>
    <w:p>
      <w:pPr>
        <w:pStyle w:val="BodyText"/>
        <w:spacing w:line="306" w:lineRule="auto"/>
        <w:rPr/>
      </w:pPr>
      <w:r/>
    </w:p>
    <w:p>
      <w:pPr>
        <w:pStyle w:val="BodyText"/>
        <w:spacing w:line="306" w:lineRule="auto"/>
        <w:rPr/>
      </w:pPr>
      <w:r/>
    </w:p>
    <w:p>
      <w:pPr>
        <w:pStyle w:val="BodyText"/>
        <w:spacing w:line="306"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ind w:left="330"/>
            <w:spacing w:before="71" w:line="221" w:lineRule="auto"/>
            <w:tabs>
              <w:tab w:val="right" w:leader="dot" w:pos="13370"/>
            </w:tabs>
            <w:rPr>
              <w:rFonts w:ascii="Times New Roman" w:hAnsi="Times New Roman" w:eastAsia="Times New Roman" w:cs="Times New Roman"/>
              <w:sz w:val="22"/>
              <w:szCs w:val="22"/>
            </w:rPr>
          </w:pPr>
          <w:hyperlink w:history="true" w:anchor="bookmark351">
            <w:r>
              <w:rPr>
                <w:rFonts w:ascii="SimHei" w:hAnsi="SimHei" w:eastAsia="SimHei" w:cs="SimHei"/>
                <w:sz w:val="22"/>
                <w:szCs w:val="22"/>
                <w:spacing w:val="2"/>
              </w:rPr>
              <w:t>第二百七十四条</w:t>
            </w:r>
            <w:r>
              <w:rPr>
                <w:rFonts w:ascii="SimHei" w:hAnsi="SimHei" w:eastAsia="SimHei" w:cs="SimHei"/>
                <w:sz w:val="22"/>
                <w:szCs w:val="22"/>
                <w:spacing w:val="2"/>
              </w:rPr>
              <w:t xml:space="preserve"> </w:t>
            </w:r>
            <w:r>
              <w:rPr>
                <w:rFonts w:ascii="SimHei" w:hAnsi="SimHei" w:eastAsia="SimHei" w:cs="SimHei"/>
                <w:sz w:val="22"/>
                <w:szCs w:val="22"/>
                <w:spacing w:val="2"/>
              </w:rPr>
              <w:t>药师未按照规定调剂麻醉</w:t>
            </w:r>
            <w:r>
              <w:rPr>
                <w:rFonts w:ascii="SimHei" w:hAnsi="SimHei" w:eastAsia="SimHei" w:cs="SimHei"/>
                <w:sz w:val="22"/>
                <w:szCs w:val="22"/>
                <w:spacing w:val="1"/>
              </w:rPr>
              <w:t>药品、精神药品处方的</w:t>
            </w:r>
            <w:r>
              <w:rPr>
                <w:rFonts w:ascii="SimHei" w:hAnsi="SimHei" w:eastAsia="SimHei" w:cs="SimHei"/>
                <w:sz w:val="22"/>
                <w:szCs w:val="22"/>
                <w:spacing w:val="-100"/>
              </w:rPr>
              <w:t xml:space="preserve"> </w:t>
            </w:r>
            <w:r>
              <w:rPr>
                <w:rFonts w:ascii="SimHei" w:hAnsi="SimHei" w:eastAsia="SimHei" w:cs="SimHei"/>
                <w:sz w:val="22"/>
                <w:szCs w:val="22"/>
              </w:rPr>
              <w:tab/>
            </w:r>
            <w:r>
              <w:rPr>
                <w:rFonts w:ascii="SimHei" w:hAnsi="SimHei" w:eastAsia="SimHei" w:cs="SimHei"/>
                <w:sz w:val="22"/>
                <w:szCs w:val="22"/>
                <w:spacing w:val="-74"/>
              </w:rPr>
              <w:t xml:space="preserve"> </w:t>
            </w:r>
            <w:r>
              <w:rPr>
                <w:rFonts w:ascii="Times New Roman" w:hAnsi="Times New Roman" w:eastAsia="Times New Roman" w:cs="Times New Roman"/>
                <w:sz w:val="22"/>
                <w:szCs w:val="22"/>
                <w:spacing w:val="-3"/>
              </w:rPr>
              <w:t>360</w:t>
            </w:r>
          </w:hyperlink>
        </w:p>
        <w:p>
          <w:pPr>
            <w:pStyle w:val="BodyText"/>
            <w:spacing w:line="241" w:lineRule="auto"/>
            <w:rPr/>
          </w:pPr>
          <w:r/>
        </w:p>
        <w:p>
          <w:pPr>
            <w:pStyle w:val="BodyText"/>
            <w:spacing w:line="241" w:lineRule="auto"/>
            <w:rPr/>
          </w:pPr>
          <w:r/>
        </w:p>
        <w:p>
          <w:pPr>
            <w:ind w:left="330"/>
            <w:spacing w:before="71" w:line="221" w:lineRule="auto"/>
            <w:tabs>
              <w:tab w:val="right" w:leader="dot" w:pos="13260"/>
            </w:tabs>
            <w:rPr>
              <w:rFonts w:ascii="Times New Roman" w:hAnsi="Times New Roman" w:eastAsia="Times New Roman" w:cs="Times New Roman"/>
              <w:sz w:val="22"/>
              <w:szCs w:val="22"/>
            </w:rPr>
          </w:pPr>
          <w:hyperlink w:history="true" w:anchor="bookmark352">
            <w:r>
              <w:rPr>
                <w:rFonts w:ascii="SimHei" w:hAnsi="SimHei" w:eastAsia="SimHei" w:cs="SimHei"/>
                <w:sz w:val="22"/>
                <w:szCs w:val="22"/>
              </w:rPr>
              <w:t>第二百七十五条</w:t>
            </w:r>
            <w:r>
              <w:rPr>
                <w:rFonts w:ascii="SimHei" w:hAnsi="SimHei" w:eastAsia="SimHei" w:cs="SimHei"/>
                <w:sz w:val="22"/>
                <w:szCs w:val="22"/>
              </w:rPr>
              <w:t xml:space="preserve"> </w:t>
            </w:r>
            <w:r>
              <w:rPr>
                <w:rFonts w:ascii="SimHei" w:hAnsi="SimHei" w:eastAsia="SimHei" w:cs="SimHei"/>
                <w:sz w:val="22"/>
                <w:szCs w:val="22"/>
              </w:rPr>
              <w:t>药师未按照规定调剂处方药品</w:t>
            </w:r>
            <w:r>
              <w:rPr>
                <w:rFonts w:ascii="SimHei" w:hAnsi="SimHei" w:eastAsia="SimHei" w:cs="SimHei"/>
                <w:sz w:val="22"/>
                <w:szCs w:val="22"/>
                <w:spacing w:val="-82"/>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361</w:t>
            </w:r>
          </w:hyperlink>
        </w:p>
        <w:p>
          <w:pPr>
            <w:pStyle w:val="BodyText"/>
            <w:spacing w:line="270" w:lineRule="auto"/>
            <w:rPr/>
          </w:pPr>
          <w:r/>
        </w:p>
        <w:p>
          <w:pPr>
            <w:spacing w:before="72" w:line="212" w:lineRule="auto"/>
            <w:tabs>
              <w:tab w:val="right" w:leader="dot" w:pos="13380"/>
            </w:tabs>
            <w:rPr>
              <w:rFonts w:ascii="Times New Roman" w:hAnsi="Times New Roman" w:eastAsia="Times New Roman" w:cs="Times New Roman"/>
              <w:sz w:val="22"/>
              <w:szCs w:val="22"/>
            </w:rPr>
          </w:pPr>
          <w:hyperlink w:history="true" w:anchor="bookmark353">
            <w:r>
              <w:rPr>
                <w:rFonts w:ascii="Times New Roman" w:hAnsi="Times New Roman" w:eastAsia="Times New Roman" w:cs="Times New Roman"/>
                <w:sz w:val="22"/>
                <w:szCs w:val="22"/>
                <w:spacing w:val="4"/>
              </w:rPr>
              <w:t>(</w:t>
            </w:r>
            <w:r>
              <w:rPr>
                <w:rFonts w:ascii="KaiTi" w:hAnsi="KaiTi" w:eastAsia="KaiTi" w:cs="KaiTi"/>
                <w:sz w:val="22"/>
                <w:szCs w:val="22"/>
                <w:spacing w:val="4"/>
              </w:rPr>
              <w:t>二十一)《抗菌药物临床应用管理办法》</w:t>
            </w:r>
            <w:r>
              <w:rPr>
                <w:rFonts w:ascii="KaiTi" w:hAnsi="KaiTi" w:eastAsia="KaiTi" w:cs="KaiTi"/>
                <w:sz w:val="22"/>
                <w:szCs w:val="22"/>
                <w:spacing w:val="-81"/>
              </w:rPr>
              <w:t xml:space="preserve"> </w:t>
            </w:r>
            <w:r>
              <w:rPr>
                <w:rFonts w:ascii="KaiTi" w:hAnsi="KaiTi" w:eastAsia="KaiTi" w:cs="KaiTi"/>
                <w:sz w:val="22"/>
                <w:szCs w:val="22"/>
              </w:rPr>
              <w:tab/>
            </w:r>
            <w:r>
              <w:rPr>
                <w:rFonts w:ascii="KaiTi" w:hAnsi="KaiTi" w:eastAsia="KaiTi" w:cs="KaiTi"/>
                <w:sz w:val="22"/>
                <w:szCs w:val="22"/>
                <w:spacing w:val="-74"/>
              </w:rPr>
              <w:t xml:space="preserve"> </w:t>
            </w:r>
            <w:r>
              <w:rPr>
                <w:rFonts w:ascii="Times New Roman" w:hAnsi="Times New Roman" w:eastAsia="Times New Roman" w:cs="Times New Roman"/>
                <w:sz w:val="22"/>
                <w:szCs w:val="22"/>
                <w:spacing w:val="-3"/>
              </w:rPr>
              <w:t>362</w:t>
            </w:r>
          </w:hyperlink>
        </w:p>
        <w:p>
          <w:pPr>
            <w:pStyle w:val="BodyText"/>
            <w:spacing w:line="376" w:lineRule="auto"/>
            <w:rPr/>
          </w:pPr>
          <w:r/>
        </w:p>
        <w:p>
          <w:pPr>
            <w:ind w:left="330"/>
            <w:spacing w:before="71" w:line="221" w:lineRule="auto"/>
            <w:tabs>
              <w:tab w:val="right" w:leader="dot" w:pos="13260"/>
            </w:tabs>
            <w:rPr>
              <w:rFonts w:ascii="Times New Roman" w:hAnsi="Times New Roman" w:eastAsia="Times New Roman" w:cs="Times New Roman"/>
              <w:sz w:val="22"/>
              <w:szCs w:val="22"/>
            </w:rPr>
          </w:pPr>
          <w:hyperlink w:history="true" w:anchor="bookmark354">
            <w:r>
              <w:rPr>
                <w:rFonts w:ascii="SimHei" w:hAnsi="SimHei" w:eastAsia="SimHei" w:cs="SimHei"/>
                <w:sz w:val="22"/>
                <w:szCs w:val="22"/>
                <w:spacing w:val="4"/>
              </w:rPr>
              <w:t>第二百七十六条</w:t>
            </w:r>
            <w:r>
              <w:rPr>
                <w:rFonts w:ascii="SimHei" w:hAnsi="SimHei" w:eastAsia="SimHei" w:cs="SimHei"/>
                <w:sz w:val="22"/>
                <w:szCs w:val="22"/>
                <w:spacing w:val="4"/>
              </w:rPr>
              <w:t xml:space="preserve"> </w:t>
            </w:r>
            <w:r>
              <w:rPr>
                <w:rFonts w:ascii="SimHei" w:hAnsi="SimHei" w:eastAsia="SimHei" w:cs="SimHei"/>
                <w:sz w:val="22"/>
                <w:szCs w:val="22"/>
                <w:spacing w:val="4"/>
              </w:rPr>
              <w:t>医疗机构未建立抗菌药物管理组织机构或者未指定专(兼)职技术人员负责具体</w:t>
            </w:r>
            <w:r>
              <w:rPr>
                <w:rFonts w:ascii="SimHei" w:hAnsi="SimHei" w:eastAsia="SimHei" w:cs="SimHei"/>
                <w:sz w:val="22"/>
                <w:szCs w:val="22"/>
                <w:spacing w:val="3"/>
              </w:rPr>
              <w:t>管理工作的</w:t>
            </w:r>
            <w:r>
              <w:rPr>
                <w:rFonts w:ascii="SimHei" w:hAnsi="SimHei" w:eastAsia="SimHei" w:cs="SimHei"/>
                <w:sz w:val="22"/>
                <w:szCs w:val="22"/>
                <w:spacing w:val="-99"/>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362</w:t>
            </w:r>
          </w:hyperlink>
        </w:p>
        <w:p>
          <w:pPr>
            <w:pStyle w:val="BodyText"/>
            <w:spacing w:line="246" w:lineRule="auto"/>
            <w:rPr/>
          </w:pPr>
          <w:r/>
        </w:p>
        <w:p>
          <w:pPr>
            <w:pStyle w:val="BodyText"/>
            <w:spacing w:line="246" w:lineRule="auto"/>
            <w:rPr/>
          </w:pPr>
          <w:r/>
        </w:p>
        <w:p>
          <w:pPr>
            <w:ind w:left="330"/>
            <w:spacing w:before="72" w:line="221" w:lineRule="auto"/>
            <w:tabs>
              <w:tab w:val="right" w:leader="dot" w:pos="13438"/>
            </w:tabs>
            <w:rPr>
              <w:rFonts w:ascii="Times New Roman" w:hAnsi="Times New Roman" w:eastAsia="Times New Roman" w:cs="Times New Roman"/>
              <w:sz w:val="22"/>
              <w:szCs w:val="22"/>
            </w:rPr>
          </w:pPr>
          <w:hyperlink w:history="true" w:anchor="bookmark355">
            <w:r>
              <w:rPr>
                <w:rFonts w:ascii="SimHei" w:hAnsi="SimHei" w:eastAsia="SimHei" w:cs="SimHei"/>
                <w:sz w:val="22"/>
                <w:szCs w:val="22"/>
                <w:spacing w:val="2"/>
              </w:rPr>
              <w:t>第二百七十七条</w:t>
            </w:r>
            <w:r>
              <w:rPr>
                <w:rFonts w:ascii="SimHei" w:hAnsi="SimHei" w:eastAsia="SimHei" w:cs="SimHei"/>
                <w:sz w:val="22"/>
                <w:szCs w:val="22"/>
                <w:spacing w:val="2"/>
              </w:rPr>
              <w:t xml:space="preserve"> </w:t>
            </w:r>
            <w:r>
              <w:rPr>
                <w:rFonts w:ascii="SimHei" w:hAnsi="SimHei" w:eastAsia="SimHei" w:cs="SimHei"/>
                <w:sz w:val="22"/>
                <w:szCs w:val="22"/>
                <w:spacing w:val="2"/>
              </w:rPr>
              <w:t>医疗机构未建立抗菌药物管理规章制度的</w:t>
            </w:r>
            <w:r>
              <w:rPr>
                <w:rFonts w:ascii="SimHei" w:hAnsi="SimHei" w:eastAsia="SimHei" w:cs="SimHei"/>
                <w:sz w:val="22"/>
                <w:szCs w:val="22"/>
                <w:spacing w:val="-84"/>
              </w:rPr>
              <w:t xml:space="preserve"> </w:t>
            </w:r>
            <w:r>
              <w:rPr>
                <w:rFonts w:ascii="SimHei" w:hAnsi="SimHei" w:eastAsia="SimHei" w:cs="SimHei"/>
                <w:sz w:val="22"/>
                <w:szCs w:val="22"/>
              </w:rPr>
              <w:tab/>
            </w:r>
            <w:r>
              <w:rPr>
                <w:rFonts w:ascii="Times New Roman" w:hAnsi="Times New Roman" w:eastAsia="Times New Roman" w:cs="Times New Roman"/>
                <w:sz w:val="22"/>
                <w:szCs w:val="22"/>
                <w:spacing w:val="-15"/>
                <w:w w:val="97"/>
              </w:rPr>
              <w:t>3</w:t>
            </w:r>
            <w:r>
              <w:rPr>
                <w:rFonts w:ascii="Times New Roman" w:hAnsi="Times New Roman" w:eastAsia="Times New Roman" w:cs="Times New Roman"/>
                <w:sz w:val="22"/>
                <w:szCs w:val="22"/>
                <w:spacing w:val="-14"/>
                <w:w w:val="97"/>
              </w:rPr>
              <w:t>6</w:t>
            </w:r>
            <w:r>
              <w:rPr>
                <w:rFonts w:ascii="Times New Roman" w:hAnsi="Times New Roman" w:eastAsia="Times New Roman" w:cs="Times New Roman"/>
                <w:sz w:val="22"/>
                <w:szCs w:val="22"/>
                <w:spacing w:val="-10"/>
                <w:w w:val="97"/>
              </w:rPr>
              <w:t>2</w:t>
            </w:r>
          </w:hyperlink>
        </w:p>
        <w:p>
          <w:pPr>
            <w:pStyle w:val="BodyText"/>
            <w:spacing w:line="280" w:lineRule="auto"/>
            <w:rPr/>
          </w:pPr>
          <w:r/>
        </w:p>
        <w:p>
          <w:pPr>
            <w:pStyle w:val="BodyText"/>
            <w:spacing w:line="281" w:lineRule="auto"/>
            <w:rPr/>
          </w:pPr>
          <w:r/>
        </w:p>
        <w:p>
          <w:pPr>
            <w:ind w:left="339"/>
            <w:spacing w:before="72" w:line="221" w:lineRule="auto"/>
            <w:tabs>
              <w:tab w:val="right" w:leader="dot" w:pos="13370"/>
            </w:tabs>
            <w:rPr>
              <w:rFonts w:ascii="Times New Roman" w:hAnsi="Times New Roman" w:eastAsia="Times New Roman" w:cs="Times New Roman"/>
              <w:sz w:val="22"/>
              <w:szCs w:val="22"/>
            </w:rPr>
          </w:pPr>
          <w:hyperlink w:history="true" w:anchor="bookmark356">
            <w:r>
              <w:rPr>
                <w:rFonts w:ascii="SimHei" w:hAnsi="SimHei" w:eastAsia="SimHei" w:cs="SimHei"/>
                <w:sz w:val="22"/>
                <w:szCs w:val="22"/>
              </w:rPr>
              <w:t>第二百七十八条</w:t>
            </w:r>
            <w:r>
              <w:rPr>
                <w:rFonts w:ascii="SimHei" w:hAnsi="SimHei" w:eastAsia="SimHei" w:cs="SimHei"/>
                <w:sz w:val="22"/>
                <w:szCs w:val="22"/>
              </w:rPr>
              <w:t xml:space="preserve"> </w:t>
            </w:r>
            <w:r>
              <w:rPr>
                <w:rFonts w:ascii="SimHei" w:hAnsi="SimHei" w:eastAsia="SimHei" w:cs="SimHei"/>
                <w:sz w:val="22"/>
                <w:szCs w:val="22"/>
              </w:rPr>
              <w:t>医疗机构抗菌药物临床应用管理混乱的</w:t>
            </w:r>
            <w:r>
              <w:rPr>
                <w:rFonts w:ascii="SimHei" w:hAnsi="SimHei" w:eastAsia="SimHei" w:cs="SimHei"/>
                <w:sz w:val="22"/>
                <w:szCs w:val="22"/>
              </w:rPr>
              <w:tab/>
            </w:r>
            <w:r>
              <w:rPr>
                <w:rFonts w:ascii="SimHei" w:hAnsi="SimHei" w:eastAsia="SimHei" w:cs="SimHei"/>
                <w:sz w:val="22"/>
                <w:szCs w:val="22"/>
                <w:spacing w:val="-44"/>
              </w:rPr>
              <w:t xml:space="preserve"> </w:t>
            </w:r>
            <w:r>
              <w:rPr>
                <w:rFonts w:ascii="Times New Roman" w:hAnsi="Times New Roman" w:eastAsia="Times New Roman" w:cs="Times New Roman"/>
                <w:sz w:val="22"/>
                <w:szCs w:val="22"/>
                <w:spacing w:val="-3"/>
              </w:rPr>
              <w:t>363</w:t>
            </w:r>
          </w:hyperlink>
        </w:p>
        <w:p>
          <w:pPr>
            <w:pStyle w:val="BodyText"/>
            <w:spacing w:line="401" w:lineRule="auto"/>
            <w:rPr/>
          </w:pPr>
          <w:r/>
        </w:p>
        <w:p>
          <w:pPr>
            <w:ind w:right="6"/>
            <w:spacing w:before="72" w:line="219" w:lineRule="auto"/>
            <w:jc w:val="right"/>
            <w:rPr>
              <w:rFonts w:ascii="SimHei" w:hAnsi="SimHei" w:eastAsia="SimHei" w:cs="SimHei"/>
              <w:sz w:val="22"/>
              <w:szCs w:val="22"/>
            </w:rPr>
          </w:pPr>
          <w:hyperlink w:history="true" w:anchor="bookmark357">
            <w:r>
              <w:rPr>
                <w:rFonts w:ascii="SimHei" w:hAnsi="SimHei" w:eastAsia="SimHei" w:cs="SimHei"/>
                <w:sz w:val="22"/>
                <w:szCs w:val="22"/>
              </w:rPr>
              <w:t>第二百七十九条</w:t>
            </w:r>
            <w:r>
              <w:rPr>
                <w:rFonts w:ascii="SimHei" w:hAnsi="SimHei" w:eastAsia="SimHei" w:cs="SimHei"/>
                <w:sz w:val="22"/>
                <w:szCs w:val="22"/>
              </w:rPr>
              <w:t xml:space="preserve"> </w:t>
            </w:r>
            <w:r>
              <w:rPr>
                <w:rFonts w:ascii="SimHei" w:hAnsi="SimHei" w:eastAsia="SimHei" w:cs="SimHei"/>
                <w:sz w:val="22"/>
                <w:szCs w:val="22"/>
              </w:rPr>
              <w:t>医疗机构未按照《抗菌药物临床应用管理办法》规定执行抗菌药物分级管理、医师抗菌药物处方</w:t>
            </w:r>
            <w:r>
              <w:rPr>
                <w:rFonts w:ascii="SimHei" w:hAnsi="SimHei" w:eastAsia="SimHei" w:cs="SimHei"/>
                <w:sz w:val="22"/>
                <w:szCs w:val="22"/>
                <w:spacing w:val="-1"/>
              </w:rPr>
              <w:t>权限管理、药师抗菌药</w:t>
            </w:r>
          </w:hyperlink>
        </w:p>
        <w:p>
          <w:pPr>
            <w:pStyle w:val="BodyText"/>
            <w:spacing w:line="296" w:lineRule="auto"/>
            <w:rPr/>
          </w:pPr>
          <w:r/>
        </w:p>
        <w:p>
          <w:pPr>
            <w:ind w:left="330"/>
            <w:spacing w:before="72" w:line="221" w:lineRule="auto"/>
            <w:tabs>
              <w:tab w:val="right" w:leader="dot" w:pos="13435"/>
            </w:tabs>
            <w:rPr>
              <w:rFonts w:ascii="Times New Roman" w:hAnsi="Times New Roman" w:eastAsia="Times New Roman" w:cs="Times New Roman"/>
              <w:sz w:val="22"/>
              <w:szCs w:val="22"/>
            </w:rPr>
          </w:pPr>
          <w:hyperlink w:history="true" w:anchor="bookmark358">
            <w:r>
              <w:rPr>
                <w:rFonts w:ascii="SimHei" w:hAnsi="SimHei" w:eastAsia="SimHei" w:cs="SimHei"/>
                <w:sz w:val="22"/>
                <w:szCs w:val="22"/>
                <w:spacing w:val="2"/>
              </w:rPr>
              <w:t>物调剂资格管理或者未配备相关专业技术人员的</w:t>
            </w:r>
            <w:r>
              <w:rPr>
                <w:rFonts w:ascii="SimHei" w:hAnsi="SimHei" w:eastAsia="SimHei" w:cs="SimHei"/>
                <w:sz w:val="22"/>
                <w:szCs w:val="22"/>
                <w:spacing w:val="-94"/>
              </w:rPr>
              <w:t xml:space="preserve"> </w:t>
            </w:r>
            <w:r>
              <w:rPr>
                <w:rFonts w:ascii="SimHei" w:hAnsi="SimHei" w:eastAsia="SimHei" w:cs="SimHei"/>
                <w:sz w:val="22"/>
                <w:szCs w:val="22"/>
              </w:rPr>
              <w:tab/>
            </w:r>
            <w:r>
              <w:rPr>
                <w:rFonts w:ascii="Times New Roman" w:hAnsi="Times New Roman" w:eastAsia="Times New Roman" w:cs="Times New Roman"/>
                <w:sz w:val="22"/>
                <w:szCs w:val="22"/>
                <w:spacing w:val="-7"/>
              </w:rPr>
              <w:t>364</w:t>
            </w:r>
          </w:hyperlink>
        </w:p>
        <w:p>
          <w:pPr>
            <w:pStyle w:val="BodyText"/>
            <w:spacing w:line="241" w:lineRule="auto"/>
            <w:rPr/>
          </w:pPr>
          <w:r/>
        </w:p>
        <w:p>
          <w:pPr>
            <w:pStyle w:val="BodyText"/>
            <w:spacing w:line="241" w:lineRule="auto"/>
            <w:rPr/>
          </w:pPr>
          <w:r/>
        </w:p>
        <w:p>
          <w:pPr>
            <w:ind w:left="330"/>
            <w:spacing w:before="72" w:line="221" w:lineRule="auto"/>
            <w:tabs>
              <w:tab w:val="right" w:leader="dot" w:pos="13250"/>
            </w:tabs>
            <w:rPr>
              <w:rFonts w:ascii="Times New Roman" w:hAnsi="Times New Roman" w:eastAsia="Times New Roman" w:cs="Times New Roman"/>
              <w:sz w:val="22"/>
              <w:szCs w:val="22"/>
            </w:rPr>
          </w:pPr>
          <w:hyperlink w:history="true" w:anchor="bookmark359">
            <w:r>
              <w:rPr>
                <w:rFonts w:ascii="SimHei" w:hAnsi="SimHei" w:eastAsia="SimHei" w:cs="SimHei"/>
                <w:sz w:val="22"/>
                <w:szCs w:val="22"/>
                <w:spacing w:val="1"/>
              </w:rPr>
              <w:t>第二百八十条</w:t>
            </w:r>
            <w:r>
              <w:rPr>
                <w:rFonts w:ascii="SimHei" w:hAnsi="SimHei" w:eastAsia="SimHei" w:cs="SimHei"/>
                <w:sz w:val="22"/>
                <w:szCs w:val="22"/>
                <w:spacing w:val="1"/>
              </w:rPr>
              <w:t xml:space="preserve"> </w:t>
            </w:r>
            <w:r>
              <w:rPr>
                <w:rFonts w:ascii="SimHei" w:hAnsi="SimHei" w:eastAsia="SimHei" w:cs="SimHei"/>
                <w:sz w:val="22"/>
                <w:szCs w:val="22"/>
                <w:spacing w:val="1"/>
              </w:rPr>
              <w:t>医疗机构有其他违反《抗菌药物临床应用管理</w:t>
            </w:r>
            <w:r>
              <w:rPr>
                <w:rFonts w:ascii="SimHei" w:hAnsi="SimHei" w:eastAsia="SimHei" w:cs="SimHei"/>
                <w:sz w:val="22"/>
                <w:szCs w:val="22"/>
              </w:rPr>
              <w:t>办法》规定行为的</w:t>
            </w:r>
            <w:r>
              <w:rPr>
                <w:rFonts w:ascii="SimHei" w:hAnsi="SimHei" w:eastAsia="SimHei" w:cs="SimHei"/>
                <w:sz w:val="22"/>
                <w:szCs w:val="22"/>
                <w:spacing w:val="-99"/>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364</w:t>
            </w:r>
          </w:hyperlink>
        </w:p>
        <w:p>
          <w:pPr>
            <w:pStyle w:val="BodyText"/>
            <w:spacing w:line="246" w:lineRule="auto"/>
            <w:rPr/>
          </w:pPr>
          <w:r/>
        </w:p>
        <w:p>
          <w:pPr>
            <w:pStyle w:val="BodyText"/>
            <w:spacing w:line="246" w:lineRule="auto"/>
            <w:rPr/>
          </w:pPr>
          <w:r/>
        </w:p>
        <w:p>
          <w:pPr>
            <w:ind w:left="330"/>
            <w:spacing w:before="72" w:line="221" w:lineRule="auto"/>
            <w:tabs>
              <w:tab w:val="right" w:leader="dot" w:pos="13400"/>
            </w:tabs>
            <w:rPr>
              <w:rFonts w:ascii="Times New Roman" w:hAnsi="Times New Roman" w:eastAsia="Times New Roman" w:cs="Times New Roman"/>
              <w:sz w:val="22"/>
              <w:szCs w:val="22"/>
            </w:rPr>
          </w:pPr>
          <w:hyperlink w:history="true" w:anchor="bookmark360">
            <w:r>
              <w:rPr>
                <w:rFonts w:ascii="SimHei" w:hAnsi="SimHei" w:eastAsia="SimHei" w:cs="SimHei"/>
                <w:sz w:val="22"/>
                <w:szCs w:val="22"/>
              </w:rPr>
              <w:t>第二百八十一条</w:t>
            </w:r>
            <w:r>
              <w:rPr>
                <w:rFonts w:ascii="SimHei" w:hAnsi="SimHei" w:eastAsia="SimHei" w:cs="SimHei"/>
                <w:sz w:val="22"/>
                <w:szCs w:val="22"/>
              </w:rPr>
              <w:t xml:space="preserve"> </w:t>
            </w:r>
            <w:r>
              <w:rPr>
                <w:rFonts w:ascii="SimHei" w:hAnsi="SimHei" w:eastAsia="SimHei" w:cs="SimHei"/>
                <w:sz w:val="22"/>
                <w:szCs w:val="22"/>
              </w:rPr>
              <w:t>医疗机构使用未取得抗菌药物处方权的医师或者使用被取消抗菌药物处方权的医师开具抗菌药物处方的</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14"/>
              </w:rPr>
              <w:t xml:space="preserve"> </w:t>
            </w:r>
            <w:r>
              <w:rPr>
                <w:rFonts w:ascii="Times New Roman" w:hAnsi="Times New Roman" w:eastAsia="Times New Roman" w:cs="Times New Roman"/>
                <w:sz w:val="22"/>
                <w:szCs w:val="22"/>
                <w:spacing w:val="-3"/>
              </w:rPr>
              <w:t>365</w:t>
            </w:r>
          </w:hyperlink>
        </w:p>
        <w:p>
          <w:pPr>
            <w:pStyle w:val="BodyText"/>
            <w:spacing w:line="472" w:lineRule="auto"/>
            <w:rPr/>
          </w:pPr>
          <w:r/>
        </w:p>
        <w:p>
          <w:pPr>
            <w:ind w:left="330"/>
            <w:spacing w:before="72" w:line="213" w:lineRule="auto"/>
            <w:tabs>
              <w:tab w:val="right" w:leader="dot" w:pos="13370"/>
            </w:tabs>
            <w:rPr>
              <w:rFonts w:ascii="Times New Roman" w:hAnsi="Times New Roman" w:eastAsia="Times New Roman" w:cs="Times New Roman"/>
              <w:sz w:val="22"/>
              <w:szCs w:val="22"/>
            </w:rPr>
          </w:pPr>
          <w:hyperlink w:history="true" w:anchor="bookmark361">
            <w:r>
              <w:rPr>
                <w:rFonts w:ascii="SimHei" w:hAnsi="SimHei" w:eastAsia="SimHei" w:cs="SimHei"/>
                <w:sz w:val="22"/>
                <w:szCs w:val="22"/>
              </w:rPr>
              <w:t>第二百八十二条</w:t>
            </w:r>
            <w:r>
              <w:rPr>
                <w:rFonts w:ascii="SimHei" w:hAnsi="SimHei" w:eastAsia="SimHei" w:cs="SimHei"/>
                <w:sz w:val="22"/>
                <w:szCs w:val="22"/>
              </w:rPr>
              <w:t xml:space="preserve"> </w:t>
            </w:r>
            <w:r>
              <w:rPr>
                <w:rFonts w:ascii="SimHei" w:hAnsi="SimHei" w:eastAsia="SimHei" w:cs="SimHei"/>
                <w:sz w:val="22"/>
                <w:szCs w:val="22"/>
              </w:rPr>
              <w:t>医疗机构未对抗菌药物处方、医嘱实施适</w:t>
            </w:r>
            <w:r>
              <w:rPr>
                <w:rFonts w:ascii="SimHei" w:hAnsi="SimHei" w:eastAsia="SimHei" w:cs="SimHei"/>
                <w:sz w:val="22"/>
                <w:szCs w:val="22"/>
                <w:spacing w:val="-1"/>
              </w:rPr>
              <w:t>宜性审核，情节严重的</w:t>
            </w:r>
            <w:r>
              <w:rPr>
                <w:rFonts w:ascii="SimHei" w:hAnsi="SimHei" w:eastAsia="SimHei" w:cs="SimHei"/>
                <w:sz w:val="22"/>
                <w:szCs w:val="22"/>
              </w:rPr>
              <w:tab/>
            </w:r>
            <w:r>
              <w:rPr>
                <w:rFonts w:ascii="SimHei" w:hAnsi="SimHei" w:eastAsia="SimHei" w:cs="SimHei"/>
                <w:sz w:val="22"/>
                <w:szCs w:val="22"/>
                <w:spacing w:val="-4"/>
              </w:rPr>
              <w:t xml:space="preserve"> </w:t>
            </w:r>
            <w:r>
              <w:rPr>
                <w:rFonts w:ascii="Times New Roman" w:hAnsi="Times New Roman" w:eastAsia="Times New Roman" w:cs="Times New Roman"/>
                <w:sz w:val="22"/>
                <w:szCs w:val="22"/>
                <w:spacing w:val="-3"/>
              </w:rPr>
              <w:t>366</w:t>
            </w:r>
          </w:hyperlink>
        </w:p>
      </w:sdtContent>
    </w:sdt>
    <w:p>
      <w:pPr>
        <w:spacing w:line="213" w:lineRule="auto"/>
        <w:sectPr>
          <w:footerReference w:type="default" r:id="rId35"/>
          <w:pgSz w:w="16830" w:h="11900"/>
          <w:pgMar w:top="1011" w:right="1431" w:bottom="1134" w:left="1960" w:header="0" w:footer="792" w:gutter="0"/>
        </w:sectPr>
        <w:rPr>
          <w:rFonts w:ascii="Times New Roman" w:hAnsi="Times New Roman" w:eastAsia="Times New Roman" w:cs="Times New Roman"/>
          <w:sz w:val="22"/>
          <w:szCs w:val="22"/>
        </w:rPr>
      </w:pPr>
    </w:p>
    <w:p>
      <w:pPr>
        <w:pStyle w:val="BodyText"/>
        <w:spacing w:line="306" w:lineRule="auto"/>
        <w:rPr/>
      </w:pPr>
      <w:r/>
    </w:p>
    <w:p>
      <w:pPr>
        <w:pStyle w:val="BodyText"/>
        <w:spacing w:line="306" w:lineRule="auto"/>
        <w:rPr/>
      </w:pPr>
      <w:r/>
    </w:p>
    <w:p>
      <w:pPr>
        <w:pStyle w:val="BodyText"/>
        <w:spacing w:line="306"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spacing w:before="71" w:line="221" w:lineRule="auto"/>
            <w:tabs>
              <w:tab w:val="right" w:leader="dot" w:pos="13050"/>
            </w:tabs>
            <w:rPr>
              <w:rFonts w:ascii="Times New Roman" w:hAnsi="Times New Roman" w:eastAsia="Times New Roman" w:cs="Times New Roman"/>
              <w:sz w:val="22"/>
              <w:szCs w:val="22"/>
            </w:rPr>
          </w:pPr>
          <w:hyperlink w:history="true" w:anchor="bookmark362">
            <w:r>
              <w:rPr>
                <w:rFonts w:ascii="SimHei" w:hAnsi="SimHei" w:eastAsia="SimHei" w:cs="SimHei"/>
                <w:sz w:val="22"/>
                <w:szCs w:val="22"/>
              </w:rPr>
              <w:t>第二百八十三条</w:t>
            </w:r>
            <w:r>
              <w:rPr>
                <w:rFonts w:ascii="SimHei" w:hAnsi="SimHei" w:eastAsia="SimHei" w:cs="SimHei"/>
                <w:sz w:val="22"/>
                <w:szCs w:val="22"/>
              </w:rPr>
              <w:t xml:space="preserve"> </w:t>
            </w:r>
            <w:r>
              <w:rPr>
                <w:rFonts w:ascii="SimHei" w:hAnsi="SimHei" w:eastAsia="SimHei" w:cs="SimHei"/>
                <w:sz w:val="22"/>
                <w:szCs w:val="22"/>
              </w:rPr>
              <w:t>医疗机构非药学部门从事抗菌</w:t>
            </w:r>
            <w:r>
              <w:rPr>
                <w:rFonts w:ascii="SimHei" w:hAnsi="SimHei" w:eastAsia="SimHei" w:cs="SimHei"/>
                <w:sz w:val="22"/>
                <w:szCs w:val="22"/>
                <w:spacing w:val="-1"/>
              </w:rPr>
              <w:t>药物购销、调剂活动的</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24"/>
              </w:rPr>
              <w:t xml:space="preserve"> </w:t>
            </w:r>
            <w:r>
              <w:rPr>
                <w:rFonts w:ascii="Times New Roman" w:hAnsi="Times New Roman" w:eastAsia="Times New Roman" w:cs="Times New Roman"/>
                <w:sz w:val="22"/>
                <w:szCs w:val="22"/>
                <w:spacing w:val="-3"/>
              </w:rPr>
              <w:t>367</w:t>
            </w:r>
          </w:hyperlink>
        </w:p>
        <w:p>
          <w:pPr>
            <w:pStyle w:val="BodyText"/>
            <w:spacing w:line="241" w:lineRule="auto"/>
            <w:rPr/>
          </w:pPr>
          <w:r/>
        </w:p>
        <w:p>
          <w:pPr>
            <w:pStyle w:val="BodyText"/>
            <w:spacing w:line="241" w:lineRule="auto"/>
            <w:rPr/>
          </w:pPr>
          <w:r/>
        </w:p>
        <w:p>
          <w:pPr>
            <w:spacing w:before="71" w:line="221" w:lineRule="auto"/>
            <w:tabs>
              <w:tab w:val="right" w:leader="dot" w:pos="13108"/>
            </w:tabs>
            <w:rPr>
              <w:rFonts w:ascii="Times New Roman" w:hAnsi="Times New Roman" w:eastAsia="Times New Roman" w:cs="Times New Roman"/>
              <w:sz w:val="22"/>
              <w:szCs w:val="22"/>
            </w:rPr>
          </w:pPr>
          <w:hyperlink w:history="true" w:anchor="bookmark363">
            <w:r>
              <w:rPr>
                <w:rFonts w:ascii="SimHei" w:hAnsi="SimHei" w:eastAsia="SimHei" w:cs="SimHei"/>
                <w:sz w:val="22"/>
                <w:szCs w:val="22"/>
                <w:spacing w:val="-1"/>
              </w:rPr>
              <w:t>第二百八十四条</w:t>
            </w:r>
            <w:r>
              <w:rPr>
                <w:rFonts w:ascii="SimHei" w:hAnsi="SimHei" w:eastAsia="SimHei" w:cs="SimHei"/>
                <w:sz w:val="22"/>
                <w:szCs w:val="22"/>
                <w:spacing w:val="-1"/>
              </w:rPr>
              <w:t xml:space="preserve"> </w:t>
            </w:r>
            <w:r>
              <w:rPr>
                <w:rFonts w:ascii="SimHei" w:hAnsi="SimHei" w:eastAsia="SimHei" w:cs="SimHei"/>
                <w:sz w:val="22"/>
                <w:szCs w:val="22"/>
                <w:spacing w:val="-1"/>
              </w:rPr>
              <w:t>医疗机构将抗菌药物购销、临床应用情况与个人或者科室经济利益挂钩的</w:t>
            </w:r>
            <w:r>
              <w:rPr>
                <w:rFonts w:ascii="SimHei" w:hAnsi="SimHei" w:eastAsia="SimHei" w:cs="SimHei"/>
                <w:sz w:val="22"/>
                <w:szCs w:val="22"/>
                <w:spacing w:val="-92"/>
              </w:rPr>
              <w:t xml:space="preserve"> </w:t>
            </w:r>
            <w:r>
              <w:rPr>
                <w:rFonts w:ascii="SimHei" w:hAnsi="SimHei" w:eastAsia="SimHei" w:cs="SimHei"/>
                <w:sz w:val="22"/>
                <w:szCs w:val="22"/>
              </w:rPr>
              <w:tab/>
            </w:r>
            <w:r>
              <w:rPr>
                <w:rFonts w:ascii="Times New Roman" w:hAnsi="Times New Roman" w:eastAsia="Times New Roman" w:cs="Times New Roman"/>
                <w:sz w:val="22"/>
                <w:szCs w:val="22"/>
                <w:spacing w:val="-19"/>
              </w:rPr>
              <w:t>36</w:t>
            </w:r>
            <w:r>
              <w:rPr>
                <w:rFonts w:ascii="Times New Roman" w:hAnsi="Times New Roman" w:eastAsia="Times New Roman" w:cs="Times New Roman"/>
                <w:sz w:val="22"/>
                <w:szCs w:val="22"/>
                <w:spacing w:val="-10"/>
              </w:rPr>
              <w:t>7</w:t>
            </w:r>
          </w:hyperlink>
        </w:p>
        <w:p>
          <w:pPr>
            <w:pStyle w:val="BodyText"/>
            <w:spacing w:line="246" w:lineRule="auto"/>
            <w:rPr/>
          </w:pPr>
          <w:r/>
        </w:p>
        <w:p>
          <w:pPr>
            <w:pStyle w:val="BodyText"/>
            <w:spacing w:line="246" w:lineRule="auto"/>
            <w:rPr/>
          </w:pPr>
          <w:r/>
        </w:p>
        <w:p>
          <w:pPr>
            <w:spacing w:before="71" w:line="221" w:lineRule="auto"/>
            <w:tabs>
              <w:tab w:val="right" w:leader="dot" w:pos="13110"/>
            </w:tabs>
            <w:rPr>
              <w:rFonts w:ascii="Times New Roman" w:hAnsi="Times New Roman" w:eastAsia="Times New Roman" w:cs="Times New Roman"/>
              <w:sz w:val="22"/>
              <w:szCs w:val="22"/>
            </w:rPr>
          </w:pPr>
          <w:hyperlink w:history="true" w:anchor="bookmark364">
            <w:r>
              <w:rPr>
                <w:rFonts w:ascii="SimHei" w:hAnsi="SimHei" w:eastAsia="SimHei" w:cs="SimHei"/>
                <w:sz w:val="22"/>
                <w:szCs w:val="22"/>
              </w:rPr>
              <w:t>第二百八十五条</w:t>
            </w:r>
            <w:r>
              <w:rPr>
                <w:rFonts w:ascii="SimHei" w:hAnsi="SimHei" w:eastAsia="SimHei" w:cs="SimHei"/>
                <w:sz w:val="22"/>
                <w:szCs w:val="22"/>
              </w:rPr>
              <w:t xml:space="preserve"> </w:t>
            </w:r>
            <w:r>
              <w:rPr>
                <w:rFonts w:ascii="SimHei" w:hAnsi="SimHei" w:eastAsia="SimHei" w:cs="SimHei"/>
                <w:sz w:val="22"/>
                <w:szCs w:val="22"/>
              </w:rPr>
              <w:t>医疗机构在抗菌药物购销、临床应</w:t>
            </w:r>
            <w:r>
              <w:rPr>
                <w:rFonts w:ascii="SimHei" w:hAnsi="SimHei" w:eastAsia="SimHei" w:cs="SimHei"/>
                <w:sz w:val="22"/>
                <w:szCs w:val="22"/>
                <w:spacing w:val="-1"/>
              </w:rPr>
              <w:t>用中牟取不正当利益的</w:t>
            </w:r>
            <w:r>
              <w:rPr>
                <w:rFonts w:ascii="SimHei" w:hAnsi="SimHei" w:eastAsia="SimHei" w:cs="SimHei"/>
                <w:sz w:val="22"/>
                <w:szCs w:val="22"/>
              </w:rPr>
              <w:tab/>
            </w:r>
            <w:r>
              <w:rPr>
                <w:rFonts w:ascii="Times New Roman" w:hAnsi="Times New Roman" w:eastAsia="Times New Roman" w:cs="Times New Roman"/>
                <w:sz w:val="22"/>
                <w:szCs w:val="22"/>
                <w:spacing w:val="-11"/>
              </w:rPr>
              <w:t>368</w:t>
            </w:r>
          </w:hyperlink>
        </w:p>
        <w:p>
          <w:pPr>
            <w:pStyle w:val="BodyText"/>
            <w:spacing w:line="472" w:lineRule="auto"/>
            <w:rPr/>
          </w:pPr>
          <w:r/>
        </w:p>
        <w:p>
          <w:pPr>
            <w:spacing w:before="72" w:line="213" w:lineRule="auto"/>
            <w:tabs>
              <w:tab w:val="right" w:leader="dot" w:pos="13108"/>
            </w:tabs>
            <w:rPr>
              <w:rFonts w:ascii="Times New Roman" w:hAnsi="Times New Roman" w:eastAsia="Times New Roman" w:cs="Times New Roman"/>
              <w:sz w:val="22"/>
              <w:szCs w:val="22"/>
            </w:rPr>
          </w:pPr>
          <w:hyperlink w:history="true" w:anchor="bookmark365">
            <w:r>
              <w:rPr>
                <w:rFonts w:ascii="SimHei" w:hAnsi="SimHei" w:eastAsia="SimHei" w:cs="SimHei"/>
                <w:sz w:val="22"/>
                <w:szCs w:val="22"/>
                <w:spacing w:val="2"/>
              </w:rPr>
              <w:t>第二百八十六条</w:t>
            </w:r>
            <w:r>
              <w:rPr>
                <w:rFonts w:ascii="SimHei" w:hAnsi="SimHei" w:eastAsia="SimHei" w:cs="SimHei"/>
                <w:sz w:val="22"/>
                <w:szCs w:val="22"/>
                <w:spacing w:val="2"/>
              </w:rPr>
              <w:t xml:space="preserve"> </w:t>
            </w:r>
            <w:r>
              <w:rPr>
                <w:rFonts w:ascii="SimHei" w:hAnsi="SimHei" w:eastAsia="SimHei" w:cs="SimHei"/>
                <w:sz w:val="22"/>
                <w:szCs w:val="22"/>
                <w:spacing w:val="2"/>
              </w:rPr>
              <w:t>乡村医生未按照《抗菌药物临床应用管理办法》规定开具抗菌药物处方，造成严重后果的</w:t>
            </w:r>
            <w:r>
              <w:rPr>
                <w:rFonts w:ascii="SimHei" w:hAnsi="SimHei" w:eastAsia="SimHei" w:cs="SimHei"/>
                <w:sz w:val="22"/>
                <w:szCs w:val="22"/>
                <w:spacing w:val="-95"/>
              </w:rPr>
              <w:t xml:space="preserve"> </w:t>
            </w:r>
            <w:r>
              <w:rPr>
                <w:rFonts w:ascii="SimHei" w:hAnsi="SimHei" w:eastAsia="SimHei" w:cs="SimHei"/>
                <w:sz w:val="22"/>
                <w:szCs w:val="22"/>
              </w:rPr>
              <w:tab/>
            </w:r>
            <w:r>
              <w:rPr>
                <w:rFonts w:ascii="SimHei" w:hAnsi="SimHei" w:eastAsia="SimHei" w:cs="SimHei"/>
                <w:sz w:val="22"/>
                <w:szCs w:val="22"/>
                <w:spacing w:val="-26"/>
              </w:rPr>
              <w:t xml:space="preserve"> </w:t>
            </w:r>
            <w:r>
              <w:rPr>
                <w:rFonts w:ascii="Times New Roman" w:hAnsi="Times New Roman" w:eastAsia="Times New Roman" w:cs="Times New Roman"/>
                <w:sz w:val="22"/>
                <w:szCs w:val="22"/>
                <w:spacing w:val="-16"/>
              </w:rPr>
              <w:t>36</w:t>
            </w:r>
            <w:r>
              <w:rPr>
                <w:rFonts w:ascii="Times New Roman" w:hAnsi="Times New Roman" w:eastAsia="Times New Roman" w:cs="Times New Roman"/>
                <w:sz w:val="22"/>
                <w:szCs w:val="22"/>
                <w:spacing w:val="-10"/>
              </w:rPr>
              <w:t>9</w:t>
            </w:r>
          </w:hyperlink>
        </w:p>
        <w:p>
          <w:pPr>
            <w:pStyle w:val="BodyText"/>
            <w:spacing w:line="270" w:lineRule="auto"/>
            <w:rPr/>
          </w:pPr>
          <w:r/>
        </w:p>
        <w:p>
          <w:pPr>
            <w:pStyle w:val="BodyText"/>
            <w:spacing w:line="270" w:lineRule="auto"/>
            <w:rPr/>
          </w:pPr>
          <w:r/>
        </w:p>
        <w:p>
          <w:pPr>
            <w:spacing w:before="72" w:line="221" w:lineRule="auto"/>
            <w:tabs>
              <w:tab w:val="right" w:leader="dot" w:pos="13060"/>
            </w:tabs>
            <w:rPr>
              <w:rFonts w:ascii="Times New Roman" w:hAnsi="Times New Roman" w:eastAsia="Times New Roman" w:cs="Times New Roman"/>
              <w:sz w:val="22"/>
              <w:szCs w:val="22"/>
            </w:rPr>
          </w:pPr>
          <w:hyperlink w:history="true" w:anchor="bookmark366">
            <w:r>
              <w:rPr>
                <w:rFonts w:ascii="SimHei" w:hAnsi="SimHei" w:eastAsia="SimHei" w:cs="SimHei"/>
                <w:sz w:val="22"/>
                <w:szCs w:val="22"/>
              </w:rPr>
              <w:t>第二百八十七条</w:t>
            </w:r>
            <w:r>
              <w:rPr>
                <w:rFonts w:ascii="SimHei" w:hAnsi="SimHei" w:eastAsia="SimHei" w:cs="SimHei"/>
                <w:sz w:val="22"/>
                <w:szCs w:val="22"/>
              </w:rPr>
              <w:t xml:space="preserve"> </w:t>
            </w:r>
            <w:r>
              <w:rPr>
                <w:rFonts w:ascii="SimHei" w:hAnsi="SimHei" w:eastAsia="SimHei" w:cs="SimHei"/>
                <w:sz w:val="22"/>
                <w:szCs w:val="22"/>
              </w:rPr>
              <w:t>乡村医生使用未经国家药品监督管理部门批准的抗菌药物的</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24"/>
              </w:rPr>
              <w:t xml:space="preserve"> </w:t>
            </w:r>
            <w:r>
              <w:rPr>
                <w:rFonts w:ascii="Times New Roman" w:hAnsi="Times New Roman" w:eastAsia="Times New Roman" w:cs="Times New Roman"/>
                <w:sz w:val="22"/>
                <w:szCs w:val="22"/>
                <w:spacing w:val="-3"/>
              </w:rPr>
              <w:t>370</w:t>
            </w:r>
          </w:hyperlink>
        </w:p>
        <w:p>
          <w:pPr>
            <w:pStyle w:val="BodyText"/>
            <w:spacing w:line="442" w:lineRule="auto"/>
            <w:rPr/>
          </w:pPr>
          <w:r/>
        </w:p>
        <w:p>
          <w:pPr>
            <w:spacing w:before="73" w:line="213" w:lineRule="auto"/>
            <w:tabs>
              <w:tab w:val="right" w:leader="dot" w:pos="13060"/>
            </w:tabs>
            <w:rPr>
              <w:rFonts w:ascii="Times New Roman" w:hAnsi="Times New Roman" w:eastAsia="Times New Roman" w:cs="Times New Roman"/>
              <w:sz w:val="22"/>
              <w:szCs w:val="22"/>
            </w:rPr>
          </w:pPr>
          <w:hyperlink w:history="true" w:anchor="bookmark367">
            <w:r>
              <w:rPr>
                <w:rFonts w:ascii="SimHei" w:hAnsi="SimHei" w:eastAsia="SimHei" w:cs="SimHei"/>
                <w:sz w:val="22"/>
                <w:szCs w:val="22"/>
                <w:spacing w:val="1"/>
              </w:rPr>
              <w:t>第二百八十八条</w:t>
            </w:r>
            <w:r>
              <w:rPr>
                <w:rFonts w:ascii="SimHei" w:hAnsi="SimHei" w:eastAsia="SimHei" w:cs="SimHei"/>
                <w:sz w:val="22"/>
                <w:szCs w:val="22"/>
                <w:spacing w:val="1"/>
              </w:rPr>
              <w:t xml:space="preserve"> </w:t>
            </w:r>
            <w:r>
              <w:rPr>
                <w:rFonts w:ascii="SimHei" w:hAnsi="SimHei" w:eastAsia="SimHei" w:cs="SimHei"/>
                <w:sz w:val="22"/>
                <w:szCs w:val="22"/>
                <w:spacing w:val="1"/>
              </w:rPr>
              <w:t>乡村医生使用本机构抗菌药物供应目录以外的品种、品规，造成严</w:t>
            </w:r>
            <w:r>
              <w:rPr>
                <w:rFonts w:ascii="SimHei" w:hAnsi="SimHei" w:eastAsia="SimHei" w:cs="SimHei"/>
                <w:sz w:val="22"/>
                <w:szCs w:val="22"/>
              </w:rPr>
              <w:t>重后果的</w:t>
            </w:r>
            <w:r>
              <w:rPr>
                <w:rFonts w:ascii="SimHei" w:hAnsi="SimHei" w:eastAsia="SimHei" w:cs="SimHei"/>
                <w:sz w:val="22"/>
                <w:szCs w:val="22"/>
                <w:spacing w:val="-99"/>
              </w:rPr>
              <w:t xml:space="preserve"> </w:t>
            </w:r>
            <w:r>
              <w:rPr>
                <w:rFonts w:ascii="SimHei" w:hAnsi="SimHei" w:eastAsia="SimHei" w:cs="SimHei"/>
                <w:sz w:val="22"/>
                <w:szCs w:val="22"/>
              </w:rPr>
              <w:tab/>
            </w:r>
            <w:r>
              <w:rPr>
                <w:rFonts w:ascii="SimHei" w:hAnsi="SimHei" w:eastAsia="SimHei" w:cs="SimHei"/>
                <w:sz w:val="22"/>
                <w:szCs w:val="22"/>
                <w:spacing w:val="-44"/>
              </w:rPr>
              <w:t xml:space="preserve"> </w:t>
            </w:r>
            <w:r>
              <w:rPr>
                <w:rFonts w:ascii="Times New Roman" w:hAnsi="Times New Roman" w:eastAsia="Times New Roman" w:cs="Times New Roman"/>
                <w:sz w:val="22"/>
                <w:szCs w:val="22"/>
                <w:spacing w:val="-3"/>
              </w:rPr>
              <w:t>371</w:t>
            </w:r>
          </w:hyperlink>
        </w:p>
        <w:p>
          <w:pPr>
            <w:pStyle w:val="BodyText"/>
            <w:spacing w:line="245" w:lineRule="auto"/>
            <w:rPr/>
          </w:pPr>
          <w:r/>
        </w:p>
        <w:p>
          <w:pPr>
            <w:pStyle w:val="BodyText"/>
            <w:spacing w:line="246" w:lineRule="auto"/>
            <w:rPr/>
          </w:pPr>
          <w:r/>
        </w:p>
        <w:p>
          <w:pPr>
            <w:spacing w:before="72" w:line="213" w:lineRule="auto"/>
            <w:tabs>
              <w:tab w:val="right" w:leader="dot" w:pos="13060"/>
            </w:tabs>
            <w:rPr>
              <w:rFonts w:ascii="Times New Roman" w:hAnsi="Times New Roman" w:eastAsia="Times New Roman" w:cs="Times New Roman"/>
              <w:sz w:val="22"/>
              <w:szCs w:val="22"/>
            </w:rPr>
          </w:pPr>
          <w:hyperlink w:history="true" w:anchor="bookmark368">
            <w:r>
              <w:rPr>
                <w:rFonts w:ascii="SimHei" w:hAnsi="SimHei" w:eastAsia="SimHei" w:cs="SimHei"/>
                <w:sz w:val="22"/>
                <w:szCs w:val="22"/>
                <w:spacing w:val="-1"/>
              </w:rPr>
              <w:t>第二百八十九条</w:t>
            </w:r>
            <w:r>
              <w:rPr>
                <w:rFonts w:ascii="SimHei" w:hAnsi="SimHei" w:eastAsia="SimHei" w:cs="SimHei"/>
                <w:sz w:val="22"/>
                <w:szCs w:val="22"/>
                <w:spacing w:val="-1"/>
              </w:rPr>
              <w:t xml:space="preserve"> </w:t>
            </w:r>
            <w:r>
              <w:rPr>
                <w:rFonts w:ascii="SimHei" w:hAnsi="SimHei" w:eastAsia="SimHei" w:cs="SimHei"/>
                <w:sz w:val="22"/>
                <w:szCs w:val="22"/>
                <w:spacing w:val="-1"/>
              </w:rPr>
              <w:t>乡村医生违反《抗菌药物临床应用管理办法》其他规定，造成严重后果的</w:t>
            </w:r>
            <w:r>
              <w:rPr>
                <w:rFonts w:ascii="SimHei" w:hAnsi="SimHei" w:eastAsia="SimHei" w:cs="SimHei"/>
                <w:sz w:val="22"/>
                <w:szCs w:val="22"/>
                <w:spacing w:val="-92"/>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372</w:t>
            </w:r>
          </w:hyperlink>
        </w:p>
        <w:p>
          <w:pPr>
            <w:pStyle w:val="BodyText"/>
            <w:spacing w:line="250" w:lineRule="auto"/>
            <w:rPr/>
          </w:pPr>
          <w:r/>
        </w:p>
        <w:p>
          <w:pPr>
            <w:pStyle w:val="BodyText"/>
            <w:spacing w:line="251" w:lineRule="auto"/>
            <w:rPr/>
          </w:pPr>
          <w:r/>
        </w:p>
        <w:p>
          <w:pPr>
            <w:spacing w:before="72" w:line="213" w:lineRule="auto"/>
            <w:tabs>
              <w:tab w:val="right" w:leader="dot" w:pos="12910"/>
            </w:tabs>
            <w:rPr>
              <w:rFonts w:ascii="Times New Roman" w:hAnsi="Times New Roman" w:eastAsia="Times New Roman" w:cs="Times New Roman"/>
              <w:sz w:val="22"/>
              <w:szCs w:val="22"/>
            </w:rPr>
          </w:pPr>
          <w:hyperlink w:history="true" w:anchor="bookmark369">
            <w:r>
              <w:rPr>
                <w:rFonts w:ascii="SimHei" w:hAnsi="SimHei" w:eastAsia="SimHei" w:cs="SimHei"/>
                <w:sz w:val="22"/>
                <w:szCs w:val="22"/>
              </w:rPr>
              <w:t>第二百九十条</w:t>
            </w:r>
            <w:r>
              <w:rPr>
                <w:rFonts w:ascii="SimHei" w:hAnsi="SimHei" w:eastAsia="SimHei" w:cs="SimHei"/>
                <w:sz w:val="22"/>
                <w:szCs w:val="22"/>
              </w:rPr>
              <w:t xml:space="preserve"> </w:t>
            </w:r>
            <w:r>
              <w:rPr>
                <w:rFonts w:ascii="SimHei" w:hAnsi="SimHei" w:eastAsia="SimHei" w:cs="SimHei"/>
                <w:sz w:val="22"/>
                <w:szCs w:val="22"/>
              </w:rPr>
              <w:t>药师未按照规定审核、调剂抗菌</w:t>
            </w:r>
            <w:r>
              <w:rPr>
                <w:rFonts w:ascii="SimHei" w:hAnsi="SimHei" w:eastAsia="SimHei" w:cs="SimHei"/>
                <w:sz w:val="22"/>
                <w:szCs w:val="22"/>
                <w:spacing w:val="-1"/>
              </w:rPr>
              <w:t>药物处方，情节严重的</w:t>
            </w:r>
            <w:r>
              <w:rPr>
                <w:rFonts w:ascii="SimHei" w:hAnsi="SimHei" w:eastAsia="SimHei" w:cs="SimHei"/>
                <w:sz w:val="22"/>
                <w:szCs w:val="22"/>
                <w:spacing w:val="-82"/>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373</w:t>
            </w:r>
          </w:hyperlink>
        </w:p>
        <w:p>
          <w:pPr>
            <w:pStyle w:val="BodyText"/>
            <w:spacing w:line="250" w:lineRule="auto"/>
            <w:rPr/>
          </w:pPr>
          <w:r/>
        </w:p>
        <w:p>
          <w:pPr>
            <w:pStyle w:val="BodyText"/>
            <w:spacing w:line="250" w:lineRule="auto"/>
            <w:rPr/>
          </w:pPr>
          <w:r/>
        </w:p>
        <w:p>
          <w:pPr>
            <w:spacing w:before="73" w:line="221" w:lineRule="auto"/>
            <w:tabs>
              <w:tab w:val="right" w:leader="dot" w:pos="13050"/>
            </w:tabs>
            <w:rPr>
              <w:rFonts w:ascii="Times New Roman" w:hAnsi="Times New Roman" w:eastAsia="Times New Roman" w:cs="Times New Roman"/>
              <w:sz w:val="22"/>
              <w:szCs w:val="22"/>
            </w:rPr>
          </w:pPr>
          <w:hyperlink w:history="true" w:anchor="bookmark370">
            <w:r>
              <w:rPr>
                <w:rFonts w:ascii="SimHei" w:hAnsi="SimHei" w:eastAsia="SimHei" w:cs="SimHei"/>
                <w:sz w:val="22"/>
                <w:szCs w:val="22"/>
              </w:rPr>
              <w:t>第二百九十一条</w:t>
            </w:r>
            <w:r>
              <w:rPr>
                <w:rFonts w:ascii="SimHei" w:hAnsi="SimHei" w:eastAsia="SimHei" w:cs="SimHei"/>
                <w:sz w:val="22"/>
                <w:szCs w:val="22"/>
              </w:rPr>
              <w:t xml:space="preserve"> </w:t>
            </w:r>
            <w:r>
              <w:rPr>
                <w:rFonts w:ascii="SimHei" w:hAnsi="SimHei" w:eastAsia="SimHei" w:cs="SimHei"/>
                <w:sz w:val="22"/>
                <w:szCs w:val="22"/>
              </w:rPr>
              <w:t>药师未按照规定私自增加抗</w:t>
            </w:r>
            <w:r>
              <w:rPr>
                <w:rFonts w:ascii="SimHei" w:hAnsi="SimHei" w:eastAsia="SimHei" w:cs="SimHei"/>
                <w:sz w:val="22"/>
                <w:szCs w:val="22"/>
                <w:spacing w:val="-1"/>
              </w:rPr>
              <w:t>菌药物品种或者品规的</w:t>
            </w:r>
            <w:r>
              <w:rPr>
                <w:rFonts w:ascii="SimHei" w:hAnsi="SimHei" w:eastAsia="SimHei" w:cs="SimHei"/>
                <w:sz w:val="22"/>
                <w:szCs w:val="22"/>
                <w:spacing w:val="-102"/>
              </w:rPr>
              <w:t xml:space="preserve"> </w:t>
            </w:r>
            <w:r>
              <w:rPr>
                <w:rFonts w:ascii="SimHei" w:hAnsi="SimHei" w:eastAsia="SimHei" w:cs="SimHei"/>
                <w:sz w:val="22"/>
                <w:szCs w:val="22"/>
              </w:rPr>
              <w:tab/>
            </w:r>
            <w:r>
              <w:rPr>
                <w:rFonts w:ascii="SimHei" w:hAnsi="SimHei" w:eastAsia="SimHei" w:cs="SimHei"/>
                <w:sz w:val="22"/>
                <w:szCs w:val="22"/>
                <w:spacing w:val="-4"/>
              </w:rPr>
              <w:t xml:space="preserve"> </w:t>
            </w:r>
            <w:r>
              <w:rPr>
                <w:rFonts w:ascii="Times New Roman" w:hAnsi="Times New Roman" w:eastAsia="Times New Roman" w:cs="Times New Roman"/>
                <w:sz w:val="22"/>
                <w:szCs w:val="22"/>
                <w:spacing w:val="-3"/>
              </w:rPr>
              <w:t>374</w:t>
            </w:r>
          </w:hyperlink>
        </w:p>
        <w:p>
          <w:pPr>
            <w:pStyle w:val="BodyText"/>
            <w:spacing w:line="241" w:lineRule="auto"/>
            <w:rPr/>
          </w:pPr>
          <w:r/>
        </w:p>
        <w:p>
          <w:pPr>
            <w:pStyle w:val="BodyText"/>
            <w:spacing w:line="241" w:lineRule="auto"/>
            <w:rPr/>
          </w:pPr>
          <w:r/>
        </w:p>
        <w:p>
          <w:pPr>
            <w:spacing w:before="71" w:line="221" w:lineRule="auto"/>
            <w:tabs>
              <w:tab w:val="right" w:leader="dot" w:pos="13040"/>
            </w:tabs>
            <w:rPr>
              <w:rFonts w:ascii="Times New Roman" w:hAnsi="Times New Roman" w:eastAsia="Times New Roman" w:cs="Times New Roman"/>
              <w:sz w:val="22"/>
              <w:szCs w:val="22"/>
            </w:rPr>
          </w:pPr>
          <w:hyperlink w:history="true" w:anchor="bookmark371">
            <w:r>
              <w:rPr>
                <w:rFonts w:ascii="SimHei" w:hAnsi="SimHei" w:eastAsia="SimHei" w:cs="SimHei"/>
                <w:sz w:val="22"/>
                <w:szCs w:val="22"/>
              </w:rPr>
              <w:t>第二百九十二条</w:t>
            </w:r>
            <w:r>
              <w:rPr>
                <w:rFonts w:ascii="SimHei" w:hAnsi="SimHei" w:eastAsia="SimHei" w:cs="SimHei"/>
                <w:sz w:val="22"/>
                <w:szCs w:val="22"/>
              </w:rPr>
              <w:t xml:space="preserve"> </w:t>
            </w:r>
            <w:r>
              <w:rPr>
                <w:rFonts w:ascii="SimHei" w:hAnsi="SimHei" w:eastAsia="SimHei" w:cs="SimHei"/>
                <w:sz w:val="22"/>
                <w:szCs w:val="22"/>
              </w:rPr>
              <w:t>药师违反《抗菌药物临床应用</w:t>
            </w:r>
            <w:r>
              <w:rPr>
                <w:rFonts w:ascii="SimHei" w:hAnsi="SimHei" w:eastAsia="SimHei" w:cs="SimHei"/>
                <w:sz w:val="22"/>
                <w:szCs w:val="22"/>
                <w:spacing w:val="-1"/>
              </w:rPr>
              <w:t>管理办法》其他规定的</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34"/>
              </w:rPr>
              <w:t xml:space="preserve"> </w:t>
            </w:r>
            <w:r>
              <w:rPr>
                <w:rFonts w:ascii="Times New Roman" w:hAnsi="Times New Roman" w:eastAsia="Times New Roman" w:cs="Times New Roman"/>
                <w:sz w:val="22"/>
                <w:szCs w:val="22"/>
                <w:spacing w:val="-3"/>
              </w:rPr>
              <w:t>374</w:t>
            </w:r>
          </w:hyperlink>
        </w:p>
      </w:sdtContent>
    </w:sdt>
    <w:p>
      <w:pPr>
        <w:spacing w:line="221" w:lineRule="auto"/>
        <w:sectPr>
          <w:footerReference w:type="default" r:id="rId36"/>
          <w:pgSz w:w="16830" w:h="11900"/>
          <w:pgMar w:top="1011" w:right="1428" w:bottom="1138" w:left="2290" w:header="0" w:footer="778" w:gutter="0"/>
        </w:sectPr>
        <w:rPr>
          <w:rFonts w:ascii="Times New Roman" w:hAnsi="Times New Roman" w:eastAsia="Times New Roman" w:cs="Times New Roman"/>
          <w:sz w:val="22"/>
          <w:szCs w:val="22"/>
        </w:rPr>
      </w:pPr>
    </w:p>
    <w:p>
      <w:pPr>
        <w:pStyle w:val="BodyText"/>
        <w:spacing w:line="314" w:lineRule="auto"/>
        <w:rPr/>
      </w:pPr>
      <w:r/>
    </w:p>
    <w:p>
      <w:pPr>
        <w:pStyle w:val="BodyText"/>
        <w:spacing w:line="314" w:lineRule="auto"/>
        <w:rPr/>
      </w:pPr>
      <w:r/>
    </w:p>
    <w:p>
      <w:pPr>
        <w:pStyle w:val="BodyText"/>
        <w:spacing w:line="314"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339"/>
            <w:spacing w:before="68" w:line="213" w:lineRule="auto"/>
            <w:tabs>
              <w:tab w:val="right" w:leader="dot" w:pos="13291"/>
            </w:tabs>
            <w:rPr>
              <w:rFonts w:ascii="Times New Roman" w:hAnsi="Times New Roman" w:eastAsia="Times New Roman" w:cs="Times New Roman"/>
              <w:sz w:val="21"/>
              <w:szCs w:val="21"/>
            </w:rPr>
          </w:pPr>
          <w:hyperlink w:history="true" w:anchor="bookmark372">
            <w:r>
              <w:rPr>
                <w:rFonts w:ascii="SimHei" w:hAnsi="SimHei" w:eastAsia="SimHei" w:cs="SimHei"/>
                <w:sz w:val="21"/>
                <w:szCs w:val="21"/>
                <w:spacing w:val="10"/>
              </w:rPr>
              <w:t>第二百九十三条</w:t>
            </w:r>
            <w:r>
              <w:rPr>
                <w:rFonts w:ascii="SimHei" w:hAnsi="SimHei" w:eastAsia="SimHei" w:cs="SimHei"/>
                <w:sz w:val="21"/>
                <w:szCs w:val="21"/>
                <w:spacing w:val="10"/>
              </w:rPr>
              <w:t xml:space="preserve"> </w:t>
            </w:r>
            <w:r>
              <w:rPr>
                <w:rFonts w:ascii="SimHei" w:hAnsi="SimHei" w:eastAsia="SimHei" w:cs="SimHei"/>
                <w:sz w:val="21"/>
                <w:szCs w:val="21"/>
                <w:spacing w:val="10"/>
              </w:rPr>
              <w:t>未经县级卫生行政部门核准，村卫生室、诊所、社区卫生服务站擅自使用抗菌药物开展静脉输注活动的</w:t>
            </w:r>
            <w:r>
              <w:rPr>
                <w:rFonts w:ascii="SimHei" w:hAnsi="SimHei" w:eastAsia="SimHei" w:cs="SimHei"/>
                <w:sz w:val="21"/>
                <w:szCs w:val="21"/>
                <w:spacing w:val="-91"/>
              </w:rPr>
              <w:t xml:space="preserve"> </w:t>
            </w:r>
            <w:r>
              <w:rPr>
                <w:rFonts w:ascii="SimHei" w:hAnsi="SimHei" w:eastAsia="SimHei" w:cs="SimHei"/>
                <w:sz w:val="21"/>
                <w:szCs w:val="21"/>
              </w:rPr>
              <w:tab/>
            </w:r>
            <w:r>
              <w:rPr>
                <w:rFonts w:ascii="Times New Roman" w:hAnsi="Times New Roman" w:eastAsia="Times New Roman" w:cs="Times New Roman"/>
                <w:sz w:val="21"/>
                <w:szCs w:val="21"/>
              </w:rPr>
              <w:t>75</w:t>
            </w:r>
          </w:hyperlink>
        </w:p>
        <w:p>
          <w:pPr>
            <w:pStyle w:val="BodyText"/>
            <w:spacing w:line="384" w:lineRule="auto"/>
            <w:rPr/>
          </w:pPr>
          <w:r/>
        </w:p>
        <w:p>
          <w:pPr>
            <w:spacing w:before="68" w:line="212" w:lineRule="auto"/>
            <w:tabs>
              <w:tab w:val="right" w:leader="dot" w:pos="13385"/>
            </w:tabs>
            <w:rPr>
              <w:rFonts w:ascii="Times New Roman" w:hAnsi="Times New Roman" w:eastAsia="Times New Roman" w:cs="Times New Roman"/>
              <w:sz w:val="21"/>
              <w:szCs w:val="21"/>
            </w:rPr>
          </w:pPr>
          <w:hyperlink w:history="true" w:anchor="bookmark373">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3"/>
                <w:w w:val="101"/>
              </w:rPr>
              <w:t xml:space="preserve"> </w:t>
            </w:r>
            <w:r>
              <w:rPr>
                <w:rFonts w:ascii="KaiTi" w:hAnsi="KaiTi" w:eastAsia="KaiTi" w:cs="KaiTi"/>
                <w:sz w:val="21"/>
                <w:szCs w:val="21"/>
                <w:spacing w:val="4"/>
              </w:rPr>
              <w:t>二十二)《医疗器械监督管理条例》</w:t>
            </w:r>
            <w:r>
              <w:rPr>
                <w:rFonts w:ascii="KaiTi" w:hAnsi="KaiTi" w:eastAsia="KaiTi" w:cs="KaiTi"/>
                <w:sz w:val="21"/>
                <w:szCs w:val="21"/>
                <w:spacing w:val="-75"/>
              </w:rPr>
              <w:t xml:space="preserve"> </w:t>
            </w:r>
            <w:r>
              <w:rPr>
                <w:rFonts w:ascii="KaiTi" w:hAnsi="KaiTi" w:eastAsia="KaiTi" w:cs="KaiTi"/>
                <w:sz w:val="21"/>
                <w:szCs w:val="21"/>
              </w:rPr>
              <w:tab/>
            </w:r>
            <w:r>
              <w:rPr>
                <w:rFonts w:ascii="Times New Roman" w:hAnsi="Times New Roman" w:eastAsia="Times New Roman" w:cs="Times New Roman"/>
                <w:sz w:val="21"/>
                <w:szCs w:val="21"/>
                <w:spacing w:val="-1"/>
              </w:rPr>
              <w:t>376</w:t>
            </w:r>
          </w:hyperlink>
        </w:p>
        <w:p>
          <w:pPr>
            <w:pStyle w:val="BodyText"/>
            <w:spacing w:line="320" w:lineRule="auto"/>
            <w:rPr/>
          </w:pPr>
          <w:r/>
        </w:p>
        <w:p>
          <w:pPr>
            <w:ind w:left="339"/>
            <w:spacing w:before="68" w:line="221" w:lineRule="auto"/>
            <w:tabs>
              <w:tab w:val="right" w:leader="dot" w:pos="13385"/>
            </w:tabs>
            <w:rPr>
              <w:rFonts w:ascii="Times New Roman" w:hAnsi="Times New Roman" w:eastAsia="Times New Roman" w:cs="Times New Roman"/>
              <w:sz w:val="21"/>
              <w:szCs w:val="21"/>
            </w:rPr>
          </w:pPr>
          <w:hyperlink w:history="true" w:anchor="bookmark374">
            <w:r>
              <w:rPr>
                <w:rFonts w:ascii="SimHei" w:hAnsi="SimHei" w:eastAsia="SimHei" w:cs="SimHei"/>
                <w:sz w:val="21"/>
                <w:szCs w:val="21"/>
                <w:spacing w:val="9"/>
              </w:rPr>
              <w:t>第二百九十四条</w:t>
            </w:r>
            <w:r>
              <w:rPr>
                <w:rFonts w:ascii="SimHei" w:hAnsi="SimHei" w:eastAsia="SimHei" w:cs="SimHei"/>
                <w:sz w:val="21"/>
                <w:szCs w:val="21"/>
                <w:spacing w:val="38"/>
              </w:rPr>
              <w:t xml:space="preserve"> </w:t>
            </w:r>
            <w:r>
              <w:rPr>
                <w:rFonts w:ascii="SimHei" w:hAnsi="SimHei" w:eastAsia="SimHei" w:cs="SimHei"/>
                <w:sz w:val="21"/>
                <w:szCs w:val="21"/>
                <w:spacing w:val="9"/>
              </w:rPr>
              <w:t>医疗器械使用单位未妥善保存购入第三类医疗器械的原始</w:t>
            </w:r>
            <w:r>
              <w:rPr>
                <w:rFonts w:ascii="SimHei" w:hAnsi="SimHei" w:eastAsia="SimHei" w:cs="SimHei"/>
                <w:sz w:val="21"/>
                <w:szCs w:val="21"/>
                <w:spacing w:val="8"/>
              </w:rPr>
              <w:t>资料</w:t>
            </w:r>
            <w:r>
              <w:rPr>
                <w:rFonts w:ascii="SimHei" w:hAnsi="SimHei" w:eastAsia="SimHei" w:cs="SimHei"/>
                <w:sz w:val="21"/>
                <w:szCs w:val="21"/>
                <w:spacing w:val="-8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376</w:t>
            </w:r>
          </w:hyperlink>
        </w:p>
        <w:p>
          <w:pPr>
            <w:pStyle w:val="BodyText"/>
            <w:spacing w:line="248" w:lineRule="auto"/>
            <w:rPr/>
          </w:pPr>
          <w:r/>
        </w:p>
        <w:p>
          <w:pPr>
            <w:pStyle w:val="BodyText"/>
            <w:spacing w:line="249" w:lineRule="auto"/>
            <w:rPr/>
          </w:pPr>
          <w:r/>
        </w:p>
        <w:p>
          <w:pPr>
            <w:ind w:left="339"/>
            <w:spacing w:before="68" w:line="221" w:lineRule="auto"/>
            <w:tabs>
              <w:tab w:val="right" w:leader="dot" w:pos="13385"/>
            </w:tabs>
            <w:rPr>
              <w:rFonts w:ascii="Times New Roman" w:hAnsi="Times New Roman" w:eastAsia="Times New Roman" w:cs="Times New Roman"/>
              <w:sz w:val="21"/>
              <w:szCs w:val="21"/>
            </w:rPr>
          </w:pPr>
          <w:hyperlink w:history="true" w:anchor="bookmark375">
            <w:r>
              <w:rPr>
                <w:rFonts w:ascii="SimHei" w:hAnsi="SimHei" w:eastAsia="SimHei" w:cs="SimHei"/>
                <w:sz w:val="21"/>
                <w:szCs w:val="21"/>
                <w:spacing w:val="10"/>
              </w:rPr>
              <w:t>第二百九十五条</w:t>
            </w:r>
            <w:r>
              <w:rPr>
                <w:rFonts w:ascii="SimHei" w:hAnsi="SimHei" w:eastAsia="SimHei" w:cs="SimHei"/>
                <w:sz w:val="21"/>
                <w:szCs w:val="21"/>
                <w:spacing w:val="10"/>
              </w:rPr>
              <w:t xml:space="preserve"> </w:t>
            </w:r>
            <w:r>
              <w:rPr>
                <w:rFonts w:ascii="SimHei" w:hAnsi="SimHei" w:eastAsia="SimHei" w:cs="SimHei"/>
                <w:sz w:val="21"/>
                <w:szCs w:val="21"/>
                <w:spacing w:val="10"/>
              </w:rPr>
              <w:t>未按照规定将大型医疗器械以及植入和介入类医疗</w:t>
            </w:r>
            <w:r>
              <w:rPr>
                <w:rFonts w:ascii="SimHei" w:hAnsi="SimHei" w:eastAsia="SimHei" w:cs="SimHei"/>
                <w:sz w:val="21"/>
                <w:szCs w:val="21"/>
                <w:spacing w:val="9"/>
              </w:rPr>
              <w:t>器械的信息记载到病历等相关记录中案</w:t>
            </w:r>
            <w:r>
              <w:rPr>
                <w:rFonts w:ascii="SimHei" w:hAnsi="SimHei" w:eastAsia="SimHei" w:cs="SimHei"/>
                <w:sz w:val="21"/>
                <w:szCs w:val="21"/>
                <w:spacing w:val="-84"/>
              </w:rPr>
              <w:t xml:space="preserve"> </w:t>
            </w:r>
            <w:r>
              <w:rPr>
                <w:rFonts w:ascii="SimHei" w:hAnsi="SimHei" w:eastAsia="SimHei" w:cs="SimHei"/>
                <w:sz w:val="21"/>
                <w:szCs w:val="21"/>
              </w:rPr>
              <w:tab/>
            </w:r>
            <w:r>
              <w:rPr>
                <w:rFonts w:ascii="Times New Roman" w:hAnsi="Times New Roman" w:eastAsia="Times New Roman" w:cs="Times New Roman"/>
                <w:sz w:val="21"/>
                <w:szCs w:val="21"/>
                <w:spacing w:val="-2"/>
              </w:rPr>
              <w:t>376</w:t>
            </w:r>
          </w:hyperlink>
        </w:p>
        <w:p>
          <w:pPr>
            <w:pStyle w:val="BodyText"/>
            <w:spacing w:line="278" w:lineRule="auto"/>
            <w:rPr/>
          </w:pPr>
          <w:r/>
        </w:p>
        <w:p>
          <w:pPr>
            <w:pStyle w:val="BodyText"/>
            <w:spacing w:line="278" w:lineRule="auto"/>
            <w:rPr/>
          </w:pPr>
          <w:r/>
        </w:p>
        <w:p>
          <w:pPr>
            <w:ind w:left="339"/>
            <w:spacing w:before="69" w:line="221" w:lineRule="auto"/>
            <w:tabs>
              <w:tab w:val="right" w:leader="dot" w:pos="13395"/>
            </w:tabs>
            <w:rPr>
              <w:rFonts w:ascii="Times New Roman" w:hAnsi="Times New Roman" w:eastAsia="Times New Roman" w:cs="Times New Roman"/>
              <w:sz w:val="21"/>
              <w:szCs w:val="21"/>
            </w:rPr>
          </w:pPr>
          <w:hyperlink w:history="true" w:anchor="bookmark376">
            <w:r>
              <w:rPr>
                <w:rFonts w:ascii="SimHei" w:hAnsi="SimHei" w:eastAsia="SimHei" w:cs="SimHei"/>
                <w:sz w:val="21"/>
                <w:szCs w:val="21"/>
                <w:spacing w:val="8"/>
              </w:rPr>
              <w:t>第二百九十六条</w:t>
            </w:r>
            <w:r>
              <w:rPr>
                <w:rFonts w:ascii="SimHei" w:hAnsi="SimHei" w:eastAsia="SimHei" w:cs="SimHei"/>
                <w:sz w:val="21"/>
                <w:szCs w:val="21"/>
                <w:spacing w:val="38"/>
              </w:rPr>
              <w:t xml:space="preserve"> </w:t>
            </w:r>
            <w:r>
              <w:rPr>
                <w:rFonts w:ascii="SimHei" w:hAnsi="SimHei" w:eastAsia="SimHei" w:cs="SimHei"/>
                <w:sz w:val="21"/>
                <w:szCs w:val="21"/>
                <w:spacing w:val="8"/>
              </w:rPr>
              <w:t>医疗机构违反本法规定聘用人</w:t>
            </w:r>
            <w:r>
              <w:rPr>
                <w:rFonts w:ascii="SimHei" w:hAnsi="SimHei" w:eastAsia="SimHei" w:cs="SimHei"/>
                <w:sz w:val="21"/>
                <w:szCs w:val="21"/>
                <w:spacing w:val="7"/>
              </w:rPr>
              <w:t>员的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51"/>
              </w:rPr>
              <w:t xml:space="preserve"> </w:t>
            </w:r>
            <w:r>
              <w:rPr>
                <w:rFonts w:ascii="Times New Roman" w:hAnsi="Times New Roman" w:eastAsia="Times New Roman" w:cs="Times New Roman"/>
                <w:sz w:val="21"/>
                <w:szCs w:val="21"/>
                <w:spacing w:val="-2"/>
              </w:rPr>
              <w:t>378</w:t>
            </w:r>
          </w:hyperlink>
        </w:p>
        <w:p>
          <w:pPr>
            <w:pStyle w:val="BodyText"/>
            <w:spacing w:line="447" w:lineRule="auto"/>
            <w:rPr/>
          </w:pPr>
          <w:r/>
        </w:p>
        <w:p>
          <w:pPr>
            <w:spacing w:before="69" w:line="221" w:lineRule="auto"/>
            <w:jc w:val="right"/>
            <w:rPr>
              <w:rFonts w:ascii="SimHei" w:hAnsi="SimHei" w:eastAsia="SimHei" w:cs="SimHei"/>
              <w:sz w:val="21"/>
              <w:szCs w:val="21"/>
            </w:rPr>
          </w:pPr>
          <w:hyperlink w:history="true" w:anchor="bookmark377">
            <w:r>
              <w:rPr>
                <w:rFonts w:ascii="SimHei" w:hAnsi="SimHei" w:eastAsia="SimHei" w:cs="SimHei"/>
                <w:sz w:val="21"/>
                <w:szCs w:val="21"/>
                <w:spacing w:val="9"/>
              </w:rPr>
              <w:t>第二百九十七条</w:t>
            </w:r>
            <w:r>
              <w:rPr>
                <w:rFonts w:ascii="SimHei" w:hAnsi="SimHei" w:eastAsia="SimHei" w:cs="SimHei"/>
                <w:sz w:val="21"/>
                <w:szCs w:val="21"/>
                <w:spacing w:val="53"/>
              </w:rPr>
              <w:t xml:space="preserve"> </w:t>
            </w:r>
            <w:r>
              <w:rPr>
                <w:rFonts w:ascii="SimHei" w:hAnsi="SimHei" w:eastAsia="SimHei" w:cs="SimHei"/>
                <w:sz w:val="21"/>
                <w:szCs w:val="21"/>
                <w:spacing w:val="9"/>
              </w:rPr>
              <w:t>医疗机构的负责人、药品采购人医师、药师等有关人员收受药品上市许可持有人、药品生产企业、药品经营企业或者代</w:t>
            </w:r>
          </w:hyperlink>
        </w:p>
        <w:p>
          <w:pPr>
            <w:pStyle w:val="BodyText"/>
            <w:spacing w:line="348" w:lineRule="auto"/>
            <w:rPr/>
          </w:pPr>
          <w:r/>
        </w:p>
        <w:p>
          <w:pPr>
            <w:ind w:left="350"/>
            <w:spacing w:before="69" w:line="222" w:lineRule="auto"/>
            <w:tabs>
              <w:tab w:val="right" w:leader="dot" w:pos="13385"/>
            </w:tabs>
            <w:rPr>
              <w:rFonts w:ascii="Times New Roman" w:hAnsi="Times New Roman" w:eastAsia="Times New Roman" w:cs="Times New Roman"/>
              <w:sz w:val="21"/>
              <w:szCs w:val="21"/>
            </w:rPr>
          </w:pPr>
          <w:hyperlink w:history="true" w:anchor="bookmark378">
            <w:r>
              <w:rPr>
                <w:rFonts w:ascii="SimHei" w:hAnsi="SimHei" w:eastAsia="SimHei" w:cs="SimHei"/>
                <w:sz w:val="21"/>
                <w:szCs w:val="21"/>
                <w:spacing w:val="11"/>
              </w:rPr>
              <w:t>理人给予的财物或者其他不正当利益的</w:t>
            </w:r>
            <w:r>
              <w:rPr>
                <w:rFonts w:ascii="SimHei" w:hAnsi="SimHei" w:eastAsia="SimHei" w:cs="SimHei"/>
                <w:sz w:val="21"/>
                <w:szCs w:val="21"/>
              </w:rPr>
              <w:tab/>
            </w:r>
            <w:r>
              <w:rPr>
                <w:rFonts w:ascii="Times New Roman" w:hAnsi="Times New Roman" w:eastAsia="Times New Roman" w:cs="Times New Roman"/>
                <w:sz w:val="21"/>
                <w:szCs w:val="21"/>
                <w:spacing w:val="-1"/>
              </w:rPr>
              <w:t>379</w:t>
            </w:r>
          </w:hyperlink>
        </w:p>
        <w:p>
          <w:pPr>
            <w:pStyle w:val="BodyText"/>
            <w:spacing w:line="305" w:lineRule="auto"/>
            <w:rPr/>
          </w:pPr>
          <w:r/>
        </w:p>
        <w:p>
          <w:pPr>
            <w:spacing w:before="68" w:line="212" w:lineRule="auto"/>
            <w:tabs>
              <w:tab w:val="right" w:leader="dot" w:pos="13395"/>
            </w:tabs>
            <w:rPr>
              <w:rFonts w:ascii="Times New Roman" w:hAnsi="Times New Roman" w:eastAsia="Times New Roman" w:cs="Times New Roman"/>
              <w:sz w:val="21"/>
              <w:szCs w:val="21"/>
            </w:rPr>
          </w:pPr>
          <w:hyperlink w:history="true" w:anchor="bookmark379">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26"/>
              </w:rPr>
              <w:t xml:space="preserve"> </w:t>
            </w:r>
            <w:r>
              <w:rPr>
                <w:rFonts w:ascii="KaiTi" w:hAnsi="KaiTi" w:eastAsia="KaiTi" w:cs="KaiTi"/>
                <w:sz w:val="21"/>
                <w:szCs w:val="21"/>
                <w:spacing w:val="5"/>
              </w:rPr>
              <w:t>二十三)《医疗器械临床使用管理办法》</w:t>
            </w:r>
            <w:r>
              <w:rPr>
                <w:rFonts w:ascii="KaiTi" w:hAnsi="KaiTi" w:eastAsia="KaiTi" w:cs="KaiTi"/>
                <w:sz w:val="21"/>
                <w:szCs w:val="21"/>
                <w:spacing w:val="-75"/>
              </w:rPr>
              <w:t xml:space="preserve"> </w:t>
            </w:r>
            <w:r>
              <w:rPr>
                <w:rFonts w:ascii="KaiTi" w:hAnsi="KaiTi" w:eastAsia="KaiTi" w:cs="KaiTi"/>
                <w:sz w:val="21"/>
                <w:szCs w:val="21"/>
              </w:rPr>
              <w:tab/>
            </w:r>
            <w:r>
              <w:rPr>
                <w:rFonts w:ascii="Times New Roman" w:hAnsi="Times New Roman" w:eastAsia="Times New Roman" w:cs="Times New Roman"/>
                <w:sz w:val="21"/>
                <w:szCs w:val="21"/>
                <w:spacing w:val="-1"/>
              </w:rPr>
              <w:t>379</w:t>
            </w:r>
          </w:hyperlink>
        </w:p>
        <w:p>
          <w:pPr>
            <w:pStyle w:val="BodyText"/>
            <w:spacing w:line="281" w:lineRule="auto"/>
            <w:rPr/>
          </w:pPr>
          <w:r/>
        </w:p>
        <w:p>
          <w:pPr>
            <w:ind w:right="35"/>
            <w:spacing w:before="69" w:line="213" w:lineRule="auto"/>
            <w:jc w:val="right"/>
            <w:rPr>
              <w:rFonts w:ascii="SimHei" w:hAnsi="SimHei" w:eastAsia="SimHei" w:cs="SimHei"/>
              <w:sz w:val="21"/>
              <w:szCs w:val="21"/>
            </w:rPr>
          </w:pPr>
          <w:hyperlink w:history="true" w:anchor="bookmark380">
            <w:r>
              <w:rPr>
                <w:rFonts w:ascii="SimHei" w:hAnsi="SimHei" w:eastAsia="SimHei" w:cs="SimHei"/>
                <w:sz w:val="21"/>
                <w:szCs w:val="21"/>
                <w:spacing w:val="9"/>
              </w:rPr>
              <w:t>第二百九十八条</w:t>
            </w:r>
            <w:r>
              <w:rPr>
                <w:rFonts w:ascii="SimHei" w:hAnsi="SimHei" w:eastAsia="SimHei" w:cs="SimHei"/>
                <w:sz w:val="21"/>
                <w:szCs w:val="21"/>
                <w:spacing w:val="38"/>
              </w:rPr>
              <w:t xml:space="preserve"> </w:t>
            </w:r>
            <w:r>
              <w:rPr>
                <w:rFonts w:ascii="SimHei" w:hAnsi="SimHei" w:eastAsia="SimHei" w:cs="SimHei"/>
                <w:sz w:val="21"/>
                <w:szCs w:val="21"/>
                <w:spacing w:val="9"/>
              </w:rPr>
              <w:t>医疗机构违反本办法规定，有下列情形之一的，由县级以上地方卫生健康主管部门责令改正，</w:t>
            </w:r>
            <w:r>
              <w:rPr>
                <w:rFonts w:ascii="SimHei" w:hAnsi="SimHei" w:eastAsia="SimHei" w:cs="SimHei"/>
                <w:sz w:val="21"/>
                <w:szCs w:val="21"/>
                <w:spacing w:val="8"/>
              </w:rPr>
              <w:t>给予警告；情节严重的，</w:t>
            </w:r>
          </w:hyperlink>
        </w:p>
        <w:p>
          <w:pPr>
            <w:pStyle w:val="BodyText"/>
            <w:spacing w:line="326" w:lineRule="auto"/>
            <w:rPr/>
          </w:pPr>
          <w:r/>
        </w:p>
        <w:p>
          <w:pPr>
            <w:ind w:left="339"/>
            <w:spacing w:before="69" w:line="221" w:lineRule="auto"/>
            <w:tabs>
              <w:tab w:val="right" w:leader="dot" w:pos="13255"/>
            </w:tabs>
            <w:rPr>
              <w:rFonts w:ascii="Times New Roman" w:hAnsi="Times New Roman" w:eastAsia="Times New Roman" w:cs="Times New Roman"/>
              <w:sz w:val="21"/>
              <w:szCs w:val="21"/>
            </w:rPr>
          </w:pPr>
          <w:hyperlink w:history="true" w:anchor="bookmark381">
            <w:r>
              <w:rPr>
                <w:rFonts w:ascii="SimHei" w:hAnsi="SimHei" w:eastAsia="SimHei" w:cs="SimHei"/>
                <w:sz w:val="21"/>
                <w:szCs w:val="21"/>
                <w:spacing w:val="1"/>
              </w:rPr>
              <w:t>可以并处五千元以上三万元以下罚款：</w:t>
            </w:r>
            <w:r>
              <w:rPr>
                <w:rFonts w:ascii="SimHei" w:hAnsi="SimHei" w:eastAsia="SimHei" w:cs="SimHei"/>
                <w:sz w:val="21"/>
                <w:szCs w:val="21"/>
                <w:spacing w:val="-6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379</w:t>
            </w:r>
          </w:hyperlink>
        </w:p>
        <w:p>
          <w:pPr>
            <w:pStyle w:val="BodyText"/>
            <w:spacing w:line="336" w:lineRule="auto"/>
            <w:rPr/>
          </w:pPr>
          <w:r/>
        </w:p>
        <w:p>
          <w:pPr>
            <w:spacing w:before="68" w:line="212" w:lineRule="auto"/>
            <w:tabs>
              <w:tab w:val="right" w:leader="dot" w:pos="13405"/>
            </w:tabs>
            <w:rPr>
              <w:rFonts w:ascii="Times New Roman" w:hAnsi="Times New Roman" w:eastAsia="Times New Roman" w:cs="Times New Roman"/>
              <w:sz w:val="21"/>
              <w:szCs w:val="21"/>
            </w:rPr>
          </w:pPr>
          <w:hyperlink w:history="true" w:anchor="bookmark382">
            <w:r>
              <w:rPr>
                <w:rFonts w:ascii="Times New Roman" w:hAnsi="Times New Roman" w:eastAsia="Times New Roman" w:cs="Times New Roman"/>
                <w:sz w:val="21"/>
                <w:szCs w:val="21"/>
                <w:spacing w:val="5"/>
              </w:rPr>
              <w:t>( </w:t>
            </w:r>
            <w:r>
              <w:rPr>
                <w:rFonts w:ascii="KaiTi" w:hAnsi="KaiTi" w:eastAsia="KaiTi" w:cs="KaiTi"/>
                <w:sz w:val="21"/>
                <w:szCs w:val="21"/>
                <w:spacing w:val="5"/>
              </w:rPr>
              <w:t>二十四)《医疗质量管理办法》</w:t>
            </w:r>
            <w:r>
              <w:rPr>
                <w:rFonts w:ascii="KaiTi" w:hAnsi="KaiTi" w:eastAsia="KaiTi" w:cs="KaiTi"/>
                <w:sz w:val="21"/>
                <w:szCs w:val="21"/>
                <w:spacing w:val="-74"/>
              </w:rPr>
              <w:t xml:space="preserve"> </w:t>
            </w:r>
            <w:r>
              <w:rPr>
                <w:rFonts w:ascii="KaiTi" w:hAnsi="KaiTi" w:eastAsia="KaiTi" w:cs="KaiTi"/>
                <w:sz w:val="21"/>
                <w:szCs w:val="21"/>
              </w:rPr>
              <w:tab/>
            </w:r>
            <w:r>
              <w:rPr>
                <w:rFonts w:ascii="Times New Roman" w:hAnsi="Times New Roman" w:eastAsia="Times New Roman" w:cs="Times New Roman"/>
                <w:sz w:val="21"/>
                <w:szCs w:val="21"/>
                <w:spacing w:val="-1"/>
              </w:rPr>
              <w:t>383</w:t>
            </w:r>
          </w:hyperlink>
        </w:p>
        <w:p>
          <w:pPr>
            <w:pStyle w:val="BodyText"/>
            <w:spacing w:line="337" w:lineRule="auto"/>
            <w:rPr/>
          </w:pPr>
          <w:r/>
        </w:p>
        <w:p>
          <w:pPr>
            <w:ind w:left="342"/>
            <w:spacing w:before="69" w:line="221" w:lineRule="auto"/>
            <w:tabs>
              <w:tab w:val="right" w:leader="dot" w:pos="13390"/>
            </w:tabs>
            <w:rPr>
              <w:rFonts w:ascii="Times New Roman" w:hAnsi="Times New Roman" w:eastAsia="Times New Roman" w:cs="Times New Roman"/>
              <w:sz w:val="21"/>
              <w:szCs w:val="21"/>
            </w:rPr>
          </w:pPr>
          <w:hyperlink w:history="true" w:anchor="bookmark383">
            <w:r>
              <w:rPr>
                <w:rFonts w:ascii="SimHei" w:hAnsi="SimHei" w:eastAsia="SimHei" w:cs="SimHei"/>
                <w:sz w:val="21"/>
                <w:szCs w:val="21"/>
                <w:b/>
                <w:bCs/>
                <w:spacing w:val="7"/>
              </w:rPr>
              <w:t>第二百九十九条</w:t>
            </w:r>
            <w:r>
              <w:rPr>
                <w:rFonts w:ascii="SimHei" w:hAnsi="SimHei" w:eastAsia="SimHei" w:cs="SimHei"/>
                <w:sz w:val="21"/>
                <w:szCs w:val="21"/>
                <w:spacing w:val="39"/>
              </w:rPr>
              <w:t xml:space="preserve"> </w:t>
            </w:r>
            <w:r>
              <w:rPr>
                <w:rFonts w:ascii="SimHei" w:hAnsi="SimHei" w:eastAsia="SimHei" w:cs="SimHei"/>
                <w:sz w:val="21"/>
                <w:szCs w:val="21"/>
                <w:b/>
                <w:bCs/>
                <w:spacing w:val="7"/>
              </w:rPr>
              <w:t>医疗机构未按照规定落实医疗质量管理办</w:t>
            </w:r>
            <w:r>
              <w:rPr>
                <w:rFonts w:ascii="SimHei" w:hAnsi="SimHei" w:eastAsia="SimHei" w:cs="SimHei"/>
                <w:sz w:val="21"/>
                <w:szCs w:val="21"/>
                <w:b/>
                <w:bCs/>
                <w:spacing w:val="6"/>
              </w:rPr>
              <w:t>法的</w:t>
            </w:r>
            <w:r>
              <w:rPr>
                <w:rFonts w:ascii="SimHei" w:hAnsi="SimHei" w:eastAsia="SimHei" w:cs="SimHei"/>
                <w:sz w:val="21"/>
                <w:szCs w:val="21"/>
                <w:spacing w:val="-90"/>
              </w:rPr>
              <w:t xml:space="preserve"> </w:t>
            </w:r>
            <w:r>
              <w:rPr>
                <w:rFonts w:ascii="SimHei" w:hAnsi="SimHei" w:eastAsia="SimHei" w:cs="SimHei"/>
                <w:sz w:val="21"/>
                <w:szCs w:val="21"/>
              </w:rPr>
              <w:tab/>
            </w:r>
            <w:r>
              <w:rPr>
                <w:rFonts w:ascii="Times New Roman" w:hAnsi="Times New Roman" w:eastAsia="Times New Roman" w:cs="Times New Roman"/>
                <w:sz w:val="21"/>
                <w:szCs w:val="21"/>
                <w:b/>
                <w:bCs/>
                <w:spacing w:val="3"/>
              </w:rPr>
              <w:t>383</w:t>
            </w:r>
          </w:hyperlink>
        </w:p>
      </w:sdtContent>
    </w:sdt>
    <w:p>
      <w:pPr>
        <w:spacing w:line="221" w:lineRule="auto"/>
        <w:sectPr>
          <w:footerReference w:type="default" r:id="rId37"/>
          <w:pgSz w:w="16830" w:h="11900"/>
          <w:pgMar w:top="1011" w:right="1429" w:bottom="1152" w:left="1939" w:header="0" w:footer="800" w:gutter="0"/>
        </w:sectPr>
        <w:rPr>
          <w:rFonts w:ascii="Times New Roman" w:hAnsi="Times New Roman" w:eastAsia="Times New Roman" w:cs="Times New Roman"/>
          <w:sz w:val="21"/>
          <w:szCs w:val="21"/>
        </w:rPr>
      </w:pPr>
    </w:p>
    <w:p>
      <w:pPr>
        <w:pStyle w:val="BodyText"/>
        <w:spacing w:line="248" w:lineRule="auto"/>
        <w:rPr/>
      </w:pPr>
      <w:r/>
    </w:p>
    <w:p>
      <w:pPr>
        <w:pStyle w:val="BodyText"/>
        <w:spacing w:line="248" w:lineRule="auto"/>
        <w:rPr/>
      </w:pPr>
      <w:r/>
    </w:p>
    <w:p>
      <w:pPr>
        <w:pStyle w:val="BodyText"/>
        <w:spacing w:line="248" w:lineRule="auto"/>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spacing w:before="65" w:line="212" w:lineRule="auto"/>
            <w:tabs>
              <w:tab w:val="right" w:leader="dot" w:pos="13400"/>
            </w:tabs>
            <w:rPr>
              <w:rFonts w:ascii="Times New Roman" w:hAnsi="Times New Roman" w:eastAsia="Times New Roman" w:cs="Times New Roman"/>
              <w:sz w:val="20"/>
              <w:szCs w:val="20"/>
            </w:rPr>
          </w:pPr>
          <w:bookmarkStart w:name="bookmark384" w:id="8"/>
          <w:bookmarkEnd w:id="8"/>
          <w:hyperlink w:history="true" w:anchor="bookmark385">
            <w:r>
              <w:rPr>
                <w:rFonts w:ascii="Times New Roman" w:hAnsi="Times New Roman" w:eastAsia="Times New Roman" w:cs="Times New Roman"/>
                <w:sz w:val="20"/>
                <w:szCs w:val="20"/>
                <w:spacing w:val="20"/>
              </w:rPr>
              <w:t>(</w:t>
            </w:r>
            <w:r>
              <w:rPr>
                <w:rFonts w:ascii="Times New Roman" w:hAnsi="Times New Roman" w:eastAsia="Times New Roman" w:cs="Times New Roman"/>
                <w:sz w:val="20"/>
                <w:szCs w:val="20"/>
                <w:spacing w:val="2"/>
              </w:rPr>
              <w:t xml:space="preserve"> </w:t>
            </w:r>
            <w:r>
              <w:rPr>
                <w:rFonts w:ascii="KaiTi" w:hAnsi="KaiTi" w:eastAsia="KaiTi" w:cs="KaiTi"/>
                <w:sz w:val="20"/>
                <w:szCs w:val="20"/>
                <w:spacing w:val="20"/>
              </w:rPr>
              <w:t>二十五)《残疾预防和残疾人康复条例》</w:t>
            </w:r>
            <w:r>
              <w:rPr>
                <w:rFonts w:ascii="KaiTi" w:hAnsi="KaiTi" w:eastAsia="KaiTi" w:cs="KaiTi"/>
                <w:sz w:val="20"/>
                <w:szCs w:val="20"/>
                <w:spacing w:val="-70"/>
              </w:rPr>
              <w:t xml:space="preserve"> </w:t>
            </w:r>
            <w:r>
              <w:rPr>
                <w:rFonts w:ascii="KaiTi" w:hAnsi="KaiTi" w:eastAsia="KaiTi" w:cs="KaiTi"/>
                <w:sz w:val="20"/>
                <w:szCs w:val="20"/>
              </w:rPr>
              <w:tab/>
            </w:r>
            <w:r>
              <w:rPr>
                <w:rFonts w:ascii="Times New Roman" w:hAnsi="Times New Roman" w:eastAsia="Times New Roman" w:cs="Times New Roman"/>
                <w:sz w:val="20"/>
                <w:szCs w:val="20"/>
                <w:spacing w:val="-1"/>
              </w:rPr>
              <w:t>384</w:t>
            </w:r>
          </w:hyperlink>
        </w:p>
        <w:p>
          <w:pPr>
            <w:pStyle w:val="BodyText"/>
            <w:spacing w:line="378" w:lineRule="auto"/>
            <w:rPr/>
          </w:pPr>
          <w:r/>
        </w:p>
        <w:p>
          <w:pPr>
            <w:ind w:left="320"/>
            <w:spacing w:before="65" w:line="217" w:lineRule="auto"/>
            <w:tabs>
              <w:tab w:val="right" w:leader="dot" w:pos="13350"/>
            </w:tabs>
            <w:rPr>
              <w:rFonts w:ascii="Times New Roman" w:hAnsi="Times New Roman" w:eastAsia="Times New Roman" w:cs="Times New Roman"/>
              <w:sz w:val="20"/>
              <w:szCs w:val="20"/>
            </w:rPr>
          </w:pPr>
          <w:hyperlink w:history="true" w:anchor="bookmark386">
            <w:r>
              <w:rPr>
                <w:rFonts w:ascii="SimHei" w:hAnsi="SimHei" w:eastAsia="SimHei" w:cs="SimHei"/>
                <w:sz w:val="20"/>
                <w:szCs w:val="20"/>
                <w:spacing w:val="20"/>
              </w:rPr>
              <w:t>第三百条</w:t>
            </w:r>
            <w:r>
              <w:rPr>
                <w:rFonts w:ascii="SimHei" w:hAnsi="SimHei" w:eastAsia="SimHei" w:cs="SimHei"/>
                <w:sz w:val="20"/>
                <w:szCs w:val="20"/>
                <w:spacing w:val="20"/>
              </w:rPr>
              <w:t xml:space="preserve"> </w:t>
            </w:r>
            <w:r>
              <w:rPr>
                <w:rFonts w:ascii="SimHei" w:hAnsi="SimHei" w:eastAsia="SimHei" w:cs="SimHei"/>
                <w:sz w:val="20"/>
                <w:szCs w:val="20"/>
                <w:spacing w:val="20"/>
              </w:rPr>
              <w:t>医疗卫生机构、康复机构及其工作人员未依照《残疾预防和残疾人康复条例》规定开展残疾预防和残疾人康</w:t>
            </w:r>
            <w:r>
              <w:rPr>
                <w:rFonts w:ascii="SimHei" w:hAnsi="SimHei" w:eastAsia="SimHei" w:cs="SimHei"/>
                <w:sz w:val="20"/>
                <w:szCs w:val="20"/>
                <w:spacing w:val="19"/>
              </w:rPr>
              <w:t>复工作的</w:t>
            </w:r>
            <w:r>
              <w:rPr>
                <w:rFonts w:ascii="SimHei" w:hAnsi="SimHei" w:eastAsia="SimHei" w:cs="SimHei"/>
                <w:sz w:val="20"/>
                <w:szCs w:val="20"/>
                <w:spacing w:val="-87"/>
              </w:rPr>
              <w:t xml:space="preserve"> </w:t>
            </w:r>
            <w:r>
              <w:rPr>
                <w:rFonts w:ascii="SimHei" w:hAnsi="SimHei" w:eastAsia="SimHei" w:cs="SimHei"/>
                <w:sz w:val="20"/>
                <w:szCs w:val="20"/>
              </w:rPr>
              <w:tab/>
            </w:r>
            <w:r>
              <w:rPr>
                <w:rFonts w:ascii="Times New Roman" w:hAnsi="Times New Roman" w:eastAsia="Times New Roman" w:cs="Times New Roman"/>
                <w:sz w:val="20"/>
                <w:szCs w:val="20"/>
              </w:rPr>
              <w:t>384</w:t>
            </w:r>
          </w:hyperlink>
        </w:p>
        <w:p>
          <w:pPr>
            <w:pStyle w:val="BodyText"/>
            <w:spacing w:line="261" w:lineRule="auto"/>
            <w:rPr/>
          </w:pPr>
          <w:r/>
        </w:p>
        <w:p>
          <w:pPr>
            <w:pStyle w:val="BodyText"/>
            <w:spacing w:line="262" w:lineRule="auto"/>
            <w:rPr/>
          </w:pPr>
          <w:r/>
        </w:p>
        <w:p>
          <w:pPr>
            <w:spacing w:before="65" w:line="213" w:lineRule="auto"/>
            <w:jc w:val="right"/>
            <w:rPr>
              <w:rFonts w:ascii="SimHei" w:hAnsi="SimHei" w:eastAsia="SimHei" w:cs="SimHei"/>
              <w:sz w:val="20"/>
              <w:szCs w:val="20"/>
            </w:rPr>
          </w:pPr>
          <w:hyperlink w:history="true" w:anchor="bookmark387">
            <w:r>
              <w:rPr>
                <w:rFonts w:ascii="SimHei" w:hAnsi="SimHei" w:eastAsia="SimHei" w:cs="SimHei"/>
                <w:sz w:val="20"/>
                <w:szCs w:val="20"/>
                <w:spacing w:val="19"/>
              </w:rPr>
              <w:t>第三百零一条</w:t>
            </w:r>
            <w:r>
              <w:rPr>
                <w:rFonts w:ascii="SimHei" w:hAnsi="SimHei" w:eastAsia="SimHei" w:cs="SimHei"/>
                <w:sz w:val="20"/>
                <w:szCs w:val="20"/>
                <w:spacing w:val="64"/>
              </w:rPr>
              <w:t xml:space="preserve"> </w:t>
            </w:r>
            <w:r>
              <w:rPr>
                <w:rFonts w:ascii="SimHei" w:hAnsi="SimHei" w:eastAsia="SimHei" w:cs="SimHei"/>
                <w:sz w:val="20"/>
                <w:szCs w:val="20"/>
                <w:spacing w:val="19"/>
              </w:rPr>
              <w:t>具有高度致残风险的用人单位未履行本条例第十五条规定的残疾预防义务，违反安全生产、职业病防治等法律、行政法规</w:t>
            </w:r>
          </w:hyperlink>
        </w:p>
        <w:p>
          <w:pPr>
            <w:pStyle w:val="BodyText"/>
            <w:spacing w:line="333" w:lineRule="auto"/>
            <w:rPr/>
          </w:pPr>
          <w:r/>
        </w:p>
        <w:p>
          <w:pPr>
            <w:ind w:left="320"/>
            <w:spacing w:before="65" w:line="223" w:lineRule="auto"/>
            <w:tabs>
              <w:tab w:val="right" w:leader="dot" w:pos="13340"/>
            </w:tabs>
            <w:rPr>
              <w:rFonts w:ascii="Times New Roman" w:hAnsi="Times New Roman" w:eastAsia="Times New Roman" w:cs="Times New Roman"/>
              <w:sz w:val="20"/>
              <w:szCs w:val="20"/>
            </w:rPr>
          </w:pPr>
          <w:hyperlink w:history="true" w:anchor="bookmark388">
            <w:r>
              <w:rPr>
                <w:rFonts w:ascii="SimHei" w:hAnsi="SimHei" w:eastAsia="SimHei" w:cs="SimHei"/>
                <w:sz w:val="20"/>
                <w:szCs w:val="20"/>
                <w:spacing w:val="-11"/>
              </w:rPr>
              <w:t>规</w:t>
            </w:r>
            <w:r>
              <w:rPr>
                <w:rFonts w:ascii="SimHei" w:hAnsi="SimHei" w:eastAsia="SimHei" w:cs="SimHei"/>
                <w:sz w:val="20"/>
                <w:szCs w:val="20"/>
                <w:spacing w:val="-42"/>
              </w:rPr>
              <w:t xml:space="preserve"> </w:t>
            </w:r>
            <w:r>
              <w:rPr>
                <w:rFonts w:ascii="SimHei" w:hAnsi="SimHei" w:eastAsia="SimHei" w:cs="SimHei"/>
                <w:sz w:val="20"/>
                <w:szCs w:val="20"/>
                <w:spacing w:val="-11"/>
              </w:rPr>
              <w:t>定</w:t>
            </w:r>
            <w:r>
              <w:rPr>
                <w:rFonts w:ascii="SimHei" w:hAnsi="SimHei" w:eastAsia="SimHei" w:cs="SimHei"/>
                <w:sz w:val="20"/>
                <w:szCs w:val="20"/>
                <w:spacing w:val="-29"/>
              </w:rPr>
              <w:t xml:space="preserve"> </w:t>
            </w:r>
            <w:r>
              <w:rPr>
                <w:rFonts w:ascii="SimHei" w:hAnsi="SimHei" w:eastAsia="SimHei" w:cs="SimHei"/>
                <w:sz w:val="20"/>
                <w:szCs w:val="20"/>
                <w:spacing w:val="-11"/>
              </w:rPr>
              <w:t>的</w:t>
            </w:r>
            <w:r>
              <w:rPr>
                <w:rFonts w:ascii="SimHei" w:hAnsi="SimHei" w:eastAsia="SimHei" w:cs="SimHei"/>
                <w:sz w:val="20"/>
                <w:szCs w:val="20"/>
                <w:spacing w:val="-88"/>
              </w:rPr>
              <w:t xml:space="preserve"> </w:t>
            </w:r>
            <w:r>
              <w:rPr>
                <w:rFonts w:ascii="SimHei" w:hAnsi="SimHei" w:eastAsia="SimHei" w:cs="SimHei"/>
                <w:sz w:val="20"/>
                <w:szCs w:val="20"/>
              </w:rPr>
              <w:tab/>
            </w:r>
            <w:r>
              <w:rPr>
                <w:rFonts w:ascii="SimHei" w:hAnsi="SimHei" w:eastAsia="SimHei" w:cs="SimHei"/>
                <w:sz w:val="20"/>
                <w:szCs w:val="20"/>
                <w:spacing w:val="-58"/>
              </w:rPr>
              <w:t xml:space="preserve"> </w:t>
            </w:r>
            <w:r>
              <w:rPr>
                <w:rFonts w:ascii="Times New Roman" w:hAnsi="Times New Roman" w:eastAsia="Times New Roman" w:cs="Times New Roman"/>
                <w:sz w:val="20"/>
                <w:szCs w:val="20"/>
                <w:spacing w:val="-2"/>
              </w:rPr>
              <w:t>385</w:t>
            </w:r>
          </w:hyperlink>
        </w:p>
        <w:p>
          <w:pPr>
            <w:pStyle w:val="BodyText"/>
            <w:spacing w:line="318" w:lineRule="auto"/>
            <w:rPr/>
          </w:pPr>
          <w:r/>
        </w:p>
        <w:p>
          <w:pPr>
            <w:spacing w:before="65" w:line="212" w:lineRule="auto"/>
            <w:tabs>
              <w:tab w:val="right" w:leader="dot" w:pos="13350"/>
            </w:tabs>
            <w:rPr>
              <w:rFonts w:ascii="Times New Roman" w:hAnsi="Times New Roman" w:eastAsia="Times New Roman" w:cs="Times New Roman"/>
              <w:sz w:val="20"/>
              <w:szCs w:val="20"/>
            </w:rPr>
          </w:pPr>
          <w:hyperlink w:history="true" w:anchor="bookmark389">
            <w:r>
              <w:rPr>
                <w:rFonts w:ascii="Times New Roman" w:hAnsi="Times New Roman" w:eastAsia="Times New Roman" w:cs="Times New Roman"/>
                <w:sz w:val="20"/>
                <w:szCs w:val="20"/>
                <w:spacing w:val="21"/>
              </w:rPr>
              <w:t>(</w:t>
            </w:r>
            <w:r>
              <w:rPr>
                <w:rFonts w:ascii="Times New Roman" w:hAnsi="Times New Roman" w:eastAsia="Times New Roman" w:cs="Times New Roman"/>
                <w:sz w:val="20"/>
                <w:szCs w:val="20"/>
                <w:spacing w:val="-6"/>
              </w:rPr>
              <w:t xml:space="preserve"> </w:t>
            </w:r>
            <w:r>
              <w:rPr>
                <w:rFonts w:ascii="KaiTi" w:hAnsi="KaiTi" w:eastAsia="KaiTi" w:cs="KaiTi"/>
                <w:sz w:val="20"/>
                <w:szCs w:val="20"/>
                <w:spacing w:val="21"/>
              </w:rPr>
              <w:t>二十六)《医疗纠纷预防和处理条例》</w:t>
            </w:r>
            <w:r>
              <w:rPr>
                <w:rFonts w:ascii="KaiTi" w:hAnsi="KaiTi" w:eastAsia="KaiTi" w:cs="KaiTi"/>
                <w:sz w:val="20"/>
                <w:szCs w:val="20"/>
                <w:spacing w:val="-70"/>
              </w:rPr>
              <w:t xml:space="preserve"> </w:t>
            </w:r>
            <w:r>
              <w:rPr>
                <w:rFonts w:ascii="KaiTi" w:hAnsi="KaiTi" w:eastAsia="KaiTi" w:cs="KaiTi"/>
                <w:sz w:val="20"/>
                <w:szCs w:val="20"/>
                <w:color w:val="602030"/>
              </w:rPr>
              <w:tab/>
            </w:r>
            <w:r>
              <w:rPr>
                <w:rFonts w:ascii="KaiTi" w:hAnsi="KaiTi" w:eastAsia="KaiTi" w:cs="KaiTi"/>
                <w:sz w:val="20"/>
                <w:szCs w:val="20"/>
                <w:spacing w:val="-37"/>
              </w:rPr>
              <w:t xml:space="preserve"> </w:t>
            </w:r>
            <w:r>
              <w:rPr>
                <w:rFonts w:ascii="Times New Roman" w:hAnsi="Times New Roman" w:eastAsia="Times New Roman" w:cs="Times New Roman"/>
                <w:sz w:val="20"/>
                <w:szCs w:val="20"/>
                <w:spacing w:val="-2"/>
              </w:rPr>
              <w:t>386</w:t>
            </w:r>
          </w:hyperlink>
        </w:p>
        <w:p>
          <w:pPr>
            <w:pStyle w:val="BodyText"/>
            <w:spacing w:line="453" w:lineRule="auto"/>
            <w:rPr/>
          </w:pPr>
          <w:r/>
        </w:p>
        <w:p>
          <w:pPr>
            <w:ind w:left="330"/>
            <w:spacing w:before="65" w:line="221" w:lineRule="auto"/>
            <w:tabs>
              <w:tab w:val="right" w:leader="dot" w:pos="13350"/>
            </w:tabs>
            <w:rPr>
              <w:rFonts w:ascii="Times New Roman" w:hAnsi="Times New Roman" w:eastAsia="Times New Roman" w:cs="Times New Roman"/>
              <w:sz w:val="20"/>
              <w:szCs w:val="20"/>
            </w:rPr>
          </w:pPr>
          <w:hyperlink w:history="true" w:anchor="bookmark390">
            <w:r>
              <w:rPr>
                <w:rFonts w:ascii="SimHei" w:hAnsi="SimHei" w:eastAsia="SimHei" w:cs="SimHei"/>
                <w:sz w:val="20"/>
                <w:szCs w:val="20"/>
                <w:spacing w:val="18"/>
              </w:rPr>
              <w:t>第三百零二条</w:t>
            </w:r>
            <w:r>
              <w:rPr>
                <w:rFonts w:ascii="SimHei" w:hAnsi="SimHei" w:eastAsia="SimHei" w:cs="SimHei"/>
                <w:sz w:val="20"/>
                <w:szCs w:val="20"/>
                <w:spacing w:val="68"/>
              </w:rPr>
              <w:t xml:space="preserve"> </w:t>
            </w:r>
            <w:r>
              <w:rPr>
                <w:rFonts w:ascii="SimHei" w:hAnsi="SimHei" w:eastAsia="SimHei" w:cs="SimHei"/>
                <w:sz w:val="20"/>
                <w:szCs w:val="20"/>
                <w:spacing w:val="18"/>
              </w:rPr>
              <w:t>医疗机构篡改、伪造、隐匿、毁灭病历资料的</w:t>
            </w:r>
            <w:r>
              <w:rPr>
                <w:rFonts w:ascii="SimHei" w:hAnsi="SimHei" w:eastAsia="SimHei" w:cs="SimHei"/>
                <w:sz w:val="20"/>
                <w:szCs w:val="20"/>
              </w:rPr>
              <w:tab/>
            </w:r>
            <w:r>
              <w:rPr>
                <w:rFonts w:ascii="Times New Roman" w:hAnsi="Times New Roman" w:eastAsia="Times New Roman" w:cs="Times New Roman"/>
                <w:sz w:val="20"/>
                <w:szCs w:val="20"/>
                <w:spacing w:val="-1"/>
              </w:rPr>
              <w:t>386</w:t>
            </w:r>
          </w:hyperlink>
        </w:p>
        <w:p>
          <w:pPr>
            <w:pStyle w:val="BodyText"/>
            <w:spacing w:line="442" w:lineRule="auto"/>
            <w:rPr/>
          </w:pPr>
          <w:r/>
        </w:p>
        <w:p>
          <w:pPr>
            <w:ind w:left="320"/>
            <w:spacing w:before="66" w:line="221" w:lineRule="auto"/>
            <w:tabs>
              <w:tab w:val="right" w:leader="dot" w:pos="13350"/>
            </w:tabs>
            <w:rPr>
              <w:rFonts w:ascii="Times New Roman" w:hAnsi="Times New Roman" w:eastAsia="Times New Roman" w:cs="Times New Roman"/>
              <w:sz w:val="20"/>
              <w:szCs w:val="20"/>
            </w:rPr>
          </w:pPr>
          <w:hyperlink w:history="true" w:anchor="bookmark391">
            <w:r>
              <w:rPr>
                <w:rFonts w:ascii="SimHei" w:hAnsi="SimHei" w:eastAsia="SimHei" w:cs="SimHei"/>
                <w:sz w:val="20"/>
                <w:szCs w:val="20"/>
                <w:spacing w:val="16"/>
              </w:rPr>
              <w:t>第三百零三条</w:t>
            </w:r>
            <w:r>
              <w:rPr>
                <w:rFonts w:ascii="SimHei" w:hAnsi="SimHei" w:eastAsia="SimHei" w:cs="SimHei"/>
                <w:sz w:val="20"/>
                <w:szCs w:val="20"/>
                <w:spacing w:val="52"/>
              </w:rPr>
              <w:t xml:space="preserve"> </w:t>
            </w:r>
            <w:r>
              <w:rPr>
                <w:rFonts w:ascii="SimHei" w:hAnsi="SimHei" w:eastAsia="SimHei" w:cs="SimHei"/>
                <w:sz w:val="20"/>
                <w:szCs w:val="20"/>
                <w:spacing w:val="16"/>
              </w:rPr>
              <w:t>医疗机构将未通过技术评估和伦理审查的医疗新技术</w:t>
            </w:r>
            <w:r>
              <w:rPr>
                <w:rFonts w:ascii="SimHei" w:hAnsi="SimHei" w:eastAsia="SimHei" w:cs="SimHei"/>
                <w:sz w:val="20"/>
                <w:szCs w:val="20"/>
                <w:spacing w:val="15"/>
              </w:rPr>
              <w:t>应用于临床的</w:t>
            </w:r>
            <w:r>
              <w:rPr>
                <w:rFonts w:ascii="SimHei" w:hAnsi="SimHei" w:eastAsia="SimHei" w:cs="SimHei"/>
                <w:sz w:val="20"/>
                <w:szCs w:val="20"/>
                <w:spacing w:val="-88"/>
              </w:rPr>
              <w:t xml:space="preserve"> </w:t>
            </w:r>
            <w:r>
              <w:rPr>
                <w:rFonts w:ascii="SimHei" w:hAnsi="SimHei" w:eastAsia="SimHei" w:cs="SimHei"/>
                <w:sz w:val="20"/>
                <w:szCs w:val="20"/>
              </w:rPr>
              <w:tab/>
            </w:r>
            <w:r>
              <w:rPr>
                <w:rFonts w:ascii="SimHei" w:hAnsi="SimHei" w:eastAsia="SimHei" w:cs="SimHei"/>
                <w:sz w:val="20"/>
                <w:szCs w:val="20"/>
                <w:spacing w:val="-57"/>
              </w:rPr>
              <w:t xml:space="preserve"> </w:t>
            </w:r>
            <w:r>
              <w:rPr>
                <w:rFonts w:ascii="Times New Roman" w:hAnsi="Times New Roman" w:eastAsia="Times New Roman" w:cs="Times New Roman"/>
                <w:sz w:val="20"/>
                <w:szCs w:val="20"/>
                <w:spacing w:val="-2"/>
              </w:rPr>
              <w:t>387</w:t>
            </w:r>
          </w:hyperlink>
        </w:p>
        <w:p>
          <w:pPr>
            <w:pStyle w:val="BodyText"/>
            <w:spacing w:line="261" w:lineRule="auto"/>
            <w:rPr/>
          </w:pPr>
          <w:r/>
        </w:p>
        <w:p>
          <w:pPr>
            <w:pStyle w:val="BodyText"/>
            <w:spacing w:line="261" w:lineRule="auto"/>
            <w:rPr/>
          </w:pPr>
          <w:r/>
        </w:p>
        <w:p>
          <w:pPr>
            <w:ind w:left="320"/>
            <w:spacing w:before="65" w:line="221" w:lineRule="auto"/>
            <w:tabs>
              <w:tab w:val="right" w:leader="dot" w:pos="13350"/>
            </w:tabs>
            <w:rPr>
              <w:rFonts w:ascii="Times New Roman" w:hAnsi="Times New Roman" w:eastAsia="Times New Roman" w:cs="Times New Roman"/>
              <w:sz w:val="20"/>
              <w:szCs w:val="20"/>
            </w:rPr>
          </w:pPr>
          <w:hyperlink w:history="true" w:anchor="bookmark392">
            <w:r>
              <w:rPr>
                <w:rFonts w:ascii="SimHei" w:hAnsi="SimHei" w:eastAsia="SimHei" w:cs="SimHei"/>
                <w:sz w:val="20"/>
                <w:szCs w:val="20"/>
                <w:spacing w:val="19"/>
              </w:rPr>
              <w:t>第三百零四条</w:t>
            </w:r>
            <w:r>
              <w:rPr>
                <w:rFonts w:ascii="SimHei" w:hAnsi="SimHei" w:eastAsia="SimHei" w:cs="SimHei"/>
                <w:sz w:val="20"/>
                <w:szCs w:val="20"/>
                <w:spacing w:val="58"/>
              </w:rPr>
              <w:t xml:space="preserve"> </w:t>
            </w:r>
            <w:r>
              <w:rPr>
                <w:rFonts w:ascii="SimHei" w:hAnsi="SimHei" w:eastAsia="SimHei" w:cs="SimHei"/>
                <w:sz w:val="20"/>
                <w:szCs w:val="20"/>
                <w:spacing w:val="19"/>
              </w:rPr>
              <w:t>医疗机构及其医务人员未按规定制定和实施医疗质量安</w:t>
            </w:r>
            <w:r>
              <w:rPr>
                <w:rFonts w:ascii="SimHei" w:hAnsi="SimHei" w:eastAsia="SimHei" w:cs="SimHei"/>
                <w:sz w:val="20"/>
                <w:szCs w:val="20"/>
                <w:spacing w:val="18"/>
              </w:rPr>
              <w:t>全管理制度的</w:t>
            </w:r>
            <w:r>
              <w:rPr>
                <w:rFonts w:ascii="SimHei" w:hAnsi="SimHei" w:eastAsia="SimHei" w:cs="SimHei"/>
                <w:sz w:val="20"/>
                <w:szCs w:val="20"/>
                <w:spacing w:val="-88"/>
              </w:rPr>
              <w:t xml:space="preserve"> </w:t>
            </w:r>
            <w:r>
              <w:rPr>
                <w:rFonts w:ascii="SimHei" w:hAnsi="SimHei" w:eastAsia="SimHei" w:cs="SimHei"/>
                <w:sz w:val="20"/>
                <w:szCs w:val="20"/>
              </w:rPr>
              <w:tab/>
            </w:r>
            <w:r>
              <w:rPr>
                <w:rFonts w:ascii="Times New Roman" w:hAnsi="Times New Roman" w:eastAsia="Times New Roman" w:cs="Times New Roman"/>
                <w:sz w:val="20"/>
                <w:szCs w:val="20"/>
                <w:spacing w:val="-1"/>
              </w:rPr>
              <w:t>388</w:t>
            </w:r>
          </w:hyperlink>
        </w:p>
        <w:p>
          <w:pPr>
            <w:pStyle w:val="BodyText"/>
            <w:spacing w:line="256" w:lineRule="auto"/>
            <w:rPr/>
          </w:pPr>
          <w:r/>
        </w:p>
        <w:p>
          <w:pPr>
            <w:pStyle w:val="BodyText"/>
            <w:spacing w:line="256" w:lineRule="auto"/>
            <w:rPr/>
          </w:pPr>
          <w:r/>
        </w:p>
        <w:p>
          <w:pPr>
            <w:ind w:left="320"/>
            <w:spacing w:before="65" w:line="221" w:lineRule="auto"/>
            <w:tabs>
              <w:tab w:val="right" w:leader="dot" w:pos="13310"/>
            </w:tabs>
            <w:rPr>
              <w:rFonts w:ascii="Times New Roman" w:hAnsi="Times New Roman" w:eastAsia="Times New Roman" w:cs="Times New Roman"/>
              <w:sz w:val="20"/>
              <w:szCs w:val="20"/>
            </w:rPr>
          </w:pPr>
          <w:hyperlink w:history="true" w:anchor="bookmark393">
            <w:r>
              <w:rPr>
                <w:rFonts w:ascii="SimHei" w:hAnsi="SimHei" w:eastAsia="SimHei" w:cs="SimHei"/>
                <w:sz w:val="20"/>
                <w:szCs w:val="20"/>
                <w:spacing w:val="18"/>
              </w:rPr>
              <w:t>第三百零五条</w:t>
            </w:r>
            <w:r>
              <w:rPr>
                <w:rFonts w:ascii="SimHei" w:hAnsi="SimHei" w:eastAsia="SimHei" w:cs="SimHei"/>
                <w:sz w:val="20"/>
                <w:szCs w:val="20"/>
                <w:spacing w:val="55"/>
              </w:rPr>
              <w:t xml:space="preserve"> </w:t>
            </w:r>
            <w:r>
              <w:rPr>
                <w:rFonts w:ascii="SimHei" w:hAnsi="SimHei" w:eastAsia="SimHei" w:cs="SimHei"/>
                <w:sz w:val="20"/>
                <w:szCs w:val="20"/>
                <w:spacing w:val="18"/>
              </w:rPr>
              <w:t>医疗机构及其医务人员未按规定告知患者病情、医疗措施、医疗风险、替代医疗方案等的</w:t>
            </w:r>
            <w:r>
              <w:rPr>
                <w:rFonts w:ascii="SimHei" w:hAnsi="SimHei" w:eastAsia="SimHei" w:cs="SimHei"/>
                <w:sz w:val="20"/>
                <w:szCs w:val="20"/>
                <w:spacing w:val="-86"/>
              </w:rPr>
              <w:t xml:space="preserve"> </w:t>
            </w:r>
            <w:r>
              <w:rPr>
                <w:rFonts w:ascii="SimHei" w:hAnsi="SimHei" w:eastAsia="SimHei" w:cs="SimHei"/>
                <w:sz w:val="20"/>
                <w:szCs w:val="20"/>
              </w:rPr>
              <w:tab/>
            </w:r>
            <w:r>
              <w:rPr>
                <w:rFonts w:ascii="Times New Roman" w:hAnsi="Times New Roman" w:eastAsia="Times New Roman" w:cs="Times New Roman"/>
                <w:sz w:val="20"/>
                <w:szCs w:val="20"/>
              </w:rPr>
              <w:t>389</w:t>
            </w:r>
          </w:hyperlink>
        </w:p>
        <w:p>
          <w:pPr>
            <w:pStyle w:val="BodyText"/>
            <w:spacing w:line="256" w:lineRule="auto"/>
            <w:rPr/>
          </w:pPr>
          <w:r/>
        </w:p>
        <w:p>
          <w:pPr>
            <w:pStyle w:val="BodyText"/>
            <w:spacing w:line="257" w:lineRule="auto"/>
            <w:rPr/>
          </w:pPr>
          <w:r/>
        </w:p>
        <w:p>
          <w:pPr>
            <w:ind w:left="320"/>
            <w:spacing w:before="66" w:line="213" w:lineRule="auto"/>
            <w:tabs>
              <w:tab w:val="right" w:leader="dot" w:pos="13350"/>
            </w:tabs>
            <w:rPr>
              <w:rFonts w:ascii="Times New Roman" w:hAnsi="Times New Roman" w:eastAsia="Times New Roman" w:cs="Times New Roman"/>
              <w:sz w:val="20"/>
              <w:szCs w:val="20"/>
            </w:rPr>
          </w:pPr>
          <w:hyperlink w:history="true" w:anchor="bookmark394">
            <w:r>
              <w:rPr>
                <w:rFonts w:ascii="SimHei" w:hAnsi="SimHei" w:eastAsia="SimHei" w:cs="SimHei"/>
                <w:sz w:val="20"/>
                <w:szCs w:val="20"/>
                <w:spacing w:val="19"/>
              </w:rPr>
              <w:t>第三百零六条</w:t>
            </w:r>
            <w:r>
              <w:rPr>
                <w:rFonts w:ascii="SimHei" w:hAnsi="SimHei" w:eastAsia="SimHei" w:cs="SimHei"/>
                <w:sz w:val="20"/>
                <w:szCs w:val="20"/>
                <w:spacing w:val="72"/>
              </w:rPr>
              <w:t xml:space="preserve"> </w:t>
            </w:r>
            <w:r>
              <w:rPr>
                <w:rFonts w:ascii="SimHei" w:hAnsi="SimHei" w:eastAsia="SimHei" w:cs="SimHei"/>
                <w:sz w:val="20"/>
                <w:szCs w:val="20"/>
                <w:spacing w:val="19"/>
              </w:rPr>
              <w:t>医疗机构及其医务人员开展具有较高医疗风险的诊疗活动，未提前预备应对方案防范突发风险</w:t>
            </w:r>
            <w:r>
              <w:rPr>
                <w:rFonts w:ascii="SimHei" w:hAnsi="SimHei" w:eastAsia="SimHei" w:cs="SimHei"/>
                <w:sz w:val="20"/>
                <w:szCs w:val="20"/>
                <w:spacing w:val="-77"/>
              </w:rPr>
              <w:t xml:space="preserve"> </w:t>
            </w:r>
            <w:r>
              <w:rPr>
                <w:rFonts w:ascii="SimHei" w:hAnsi="SimHei" w:eastAsia="SimHei" w:cs="SimHei"/>
                <w:sz w:val="20"/>
                <w:szCs w:val="20"/>
              </w:rPr>
              <w:tab/>
            </w:r>
            <w:r>
              <w:rPr>
                <w:rFonts w:ascii="SimHei" w:hAnsi="SimHei" w:eastAsia="SimHei" w:cs="SimHei"/>
                <w:sz w:val="20"/>
                <w:szCs w:val="20"/>
                <w:spacing w:val="-27"/>
              </w:rPr>
              <w:t xml:space="preserve"> </w:t>
            </w:r>
            <w:r>
              <w:rPr>
                <w:rFonts w:ascii="Times New Roman" w:hAnsi="Times New Roman" w:eastAsia="Times New Roman" w:cs="Times New Roman"/>
                <w:sz w:val="20"/>
                <w:szCs w:val="20"/>
                <w:spacing w:val="-2"/>
              </w:rPr>
              <w:t>390</w:t>
            </w:r>
          </w:hyperlink>
        </w:p>
        <w:p>
          <w:pPr>
            <w:pStyle w:val="BodyText"/>
            <w:spacing w:line="260" w:lineRule="auto"/>
            <w:rPr/>
          </w:pPr>
          <w:r/>
        </w:p>
        <w:p>
          <w:pPr>
            <w:pStyle w:val="BodyText"/>
            <w:spacing w:line="261" w:lineRule="auto"/>
            <w:rPr/>
          </w:pPr>
          <w:r/>
        </w:p>
        <w:p>
          <w:pPr>
            <w:ind w:left="320"/>
            <w:spacing w:before="65" w:line="213" w:lineRule="auto"/>
            <w:tabs>
              <w:tab w:val="right" w:leader="dot" w:pos="13360"/>
            </w:tabs>
            <w:rPr>
              <w:rFonts w:ascii="Times New Roman" w:hAnsi="Times New Roman" w:eastAsia="Times New Roman" w:cs="Times New Roman"/>
              <w:sz w:val="20"/>
              <w:szCs w:val="20"/>
            </w:rPr>
          </w:pPr>
          <w:hyperlink w:history="true" w:anchor="bookmark395">
            <w:r>
              <w:rPr>
                <w:rFonts w:ascii="SimHei" w:hAnsi="SimHei" w:eastAsia="SimHei" w:cs="SimHei"/>
                <w:sz w:val="20"/>
                <w:szCs w:val="20"/>
                <w:spacing w:val="17"/>
              </w:rPr>
              <w:t>第三百零七条</w:t>
            </w:r>
            <w:r>
              <w:rPr>
                <w:rFonts w:ascii="SimHei" w:hAnsi="SimHei" w:eastAsia="SimHei" w:cs="SimHei"/>
                <w:sz w:val="20"/>
                <w:szCs w:val="20"/>
                <w:spacing w:val="67"/>
              </w:rPr>
              <w:t xml:space="preserve"> </w:t>
            </w:r>
            <w:r>
              <w:rPr>
                <w:rFonts w:ascii="SimHei" w:hAnsi="SimHei" w:eastAsia="SimHei" w:cs="SimHei"/>
                <w:sz w:val="20"/>
                <w:szCs w:val="20"/>
                <w:spacing w:val="17"/>
              </w:rPr>
              <w:t>医疗机构及其医务人员未按规定填写、保管病历资料，或者未按规定补记抢救病历</w:t>
            </w:r>
            <w:r>
              <w:rPr>
                <w:rFonts w:ascii="SimHei" w:hAnsi="SimHei" w:eastAsia="SimHei" w:cs="SimHei"/>
                <w:sz w:val="20"/>
                <w:szCs w:val="20"/>
                <w:spacing w:val="-93"/>
              </w:rPr>
              <w:t xml:space="preserve"> </w:t>
            </w:r>
            <w:r>
              <w:rPr>
                <w:rFonts w:ascii="SimHei" w:hAnsi="SimHei" w:eastAsia="SimHei" w:cs="SimHei"/>
                <w:sz w:val="20"/>
                <w:szCs w:val="20"/>
              </w:rPr>
              <w:tab/>
            </w:r>
            <w:r>
              <w:rPr>
                <w:rFonts w:ascii="SimHei" w:hAnsi="SimHei" w:eastAsia="SimHei" w:cs="SimHei"/>
                <w:sz w:val="20"/>
                <w:szCs w:val="20"/>
                <w:spacing w:val="-17"/>
              </w:rPr>
              <w:t xml:space="preserve"> </w:t>
            </w:r>
            <w:r>
              <w:rPr>
                <w:rFonts w:ascii="Times New Roman" w:hAnsi="Times New Roman" w:eastAsia="Times New Roman" w:cs="Times New Roman"/>
                <w:sz w:val="20"/>
                <w:szCs w:val="20"/>
                <w:spacing w:val="-2"/>
              </w:rPr>
              <w:t>391</w:t>
            </w:r>
          </w:hyperlink>
        </w:p>
      </w:sdtContent>
    </w:sdt>
    <w:p>
      <w:pPr>
        <w:pStyle w:val="BodyText"/>
        <w:spacing w:line="257" w:lineRule="auto"/>
        <w:rPr/>
      </w:pPr>
      <w:r/>
    </w:p>
    <w:p>
      <w:pPr>
        <w:pStyle w:val="BodyText"/>
        <w:spacing w:line="258" w:lineRule="auto"/>
        <w:rPr/>
      </w:pPr>
      <w:r/>
    </w:p>
    <w:p>
      <w:pPr>
        <w:pStyle w:val="BodyText"/>
        <w:spacing w:line="258" w:lineRule="auto"/>
        <w:rPr/>
      </w:pPr>
      <w:r/>
    </w:p>
    <w:p>
      <w:pPr>
        <w:pStyle w:val="BodyText"/>
        <w:spacing w:line="258" w:lineRule="auto"/>
        <w:rPr/>
      </w:pPr>
      <w:r/>
    </w:p>
    <w:p>
      <w:pPr>
        <w:ind w:left="5950"/>
        <w:spacing w:before="116" w:line="188"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15"/>
          <w:w w:val="96"/>
        </w:rPr>
        <w:t>—38—</w:t>
      </w:r>
    </w:p>
    <w:p>
      <w:pPr>
        <w:spacing w:line="188" w:lineRule="auto"/>
        <w:sectPr>
          <w:footerReference w:type="default" r:id="rId24"/>
          <w:pgSz w:w="16830" w:h="11900"/>
          <w:pgMar w:top="1011" w:right="1433" w:bottom="400" w:left="1969" w:header="0" w:footer="0" w:gutter="0"/>
        </w:sectPr>
        <w:rPr>
          <w:rFonts w:ascii="Times New Roman" w:hAnsi="Times New Roman" w:eastAsia="Times New Roman" w:cs="Times New Roman"/>
          <w:sz w:val="40"/>
          <w:szCs w:val="40"/>
        </w:rPr>
      </w:pPr>
    </w:p>
    <w:p>
      <w:pPr>
        <w:pStyle w:val="BodyText"/>
        <w:spacing w:line="306" w:lineRule="auto"/>
        <w:rPr/>
      </w:pPr>
      <w:r/>
    </w:p>
    <w:p>
      <w:pPr>
        <w:pStyle w:val="BodyText"/>
        <w:spacing w:line="306" w:lineRule="auto"/>
        <w:rPr/>
      </w:pPr>
      <w:r/>
    </w:p>
    <w:p>
      <w:pPr>
        <w:pStyle w:val="BodyText"/>
        <w:spacing w:line="306"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ind w:left="320"/>
            <w:spacing w:before="71" w:line="221" w:lineRule="auto"/>
            <w:tabs>
              <w:tab w:val="right" w:leader="dot" w:pos="13250"/>
            </w:tabs>
            <w:rPr>
              <w:rFonts w:ascii="Times New Roman" w:hAnsi="Times New Roman" w:eastAsia="Times New Roman" w:cs="Times New Roman"/>
              <w:sz w:val="22"/>
              <w:szCs w:val="22"/>
            </w:rPr>
          </w:pPr>
          <w:hyperlink w:history="true" w:anchor="bookmark396">
            <w:r>
              <w:rPr>
                <w:rFonts w:ascii="SimHei" w:hAnsi="SimHei" w:eastAsia="SimHei" w:cs="SimHei"/>
                <w:sz w:val="22"/>
                <w:szCs w:val="22"/>
                <w:spacing w:val="-2"/>
              </w:rPr>
              <w:t>第三百零八条</w:t>
            </w:r>
            <w:r>
              <w:rPr>
                <w:rFonts w:ascii="SimHei" w:hAnsi="SimHei" w:eastAsia="SimHei" w:cs="SimHei"/>
                <w:sz w:val="22"/>
                <w:szCs w:val="22"/>
                <w:spacing w:val="-2"/>
              </w:rPr>
              <w:t xml:space="preserve"> </w:t>
            </w:r>
            <w:r>
              <w:rPr>
                <w:rFonts w:ascii="SimHei" w:hAnsi="SimHei" w:eastAsia="SimHei" w:cs="SimHei"/>
                <w:sz w:val="22"/>
                <w:szCs w:val="22"/>
                <w:spacing w:val="-2"/>
              </w:rPr>
              <w:t>医疗机构及其医务人员拒绝为患者提供查阅、复制病历资料服务</w:t>
            </w:r>
            <w:r>
              <w:rPr>
                <w:rFonts w:ascii="SimHei" w:hAnsi="SimHei" w:eastAsia="SimHei" w:cs="SimHei"/>
                <w:sz w:val="22"/>
                <w:szCs w:val="22"/>
                <w:spacing w:val="-82"/>
              </w:rPr>
              <w:t xml:space="preserve"> </w:t>
            </w:r>
            <w:r>
              <w:rPr>
                <w:rFonts w:ascii="SimHei" w:hAnsi="SimHei" w:eastAsia="SimHei" w:cs="SimHei"/>
                <w:sz w:val="22"/>
                <w:szCs w:val="22"/>
              </w:rPr>
              <w:tab/>
            </w:r>
            <w:r>
              <w:rPr>
                <w:rFonts w:ascii="Times New Roman" w:hAnsi="Times New Roman" w:eastAsia="Times New Roman" w:cs="Times New Roman"/>
                <w:sz w:val="22"/>
                <w:szCs w:val="22"/>
                <w:spacing w:val="5"/>
              </w:rPr>
              <w:t>393</w:t>
            </w:r>
          </w:hyperlink>
        </w:p>
        <w:p>
          <w:pPr>
            <w:pStyle w:val="BodyText"/>
            <w:rPr/>
          </w:pPr>
          <w:r/>
        </w:p>
        <w:p>
          <w:pPr>
            <w:pStyle w:val="BodyText"/>
            <w:spacing w:line="241" w:lineRule="auto"/>
            <w:rPr/>
          </w:pPr>
          <w:r/>
        </w:p>
        <w:p>
          <w:pPr>
            <w:ind w:left="320"/>
            <w:spacing w:before="72" w:line="220" w:lineRule="auto"/>
            <w:tabs>
              <w:tab w:val="right" w:leader="dot" w:pos="13240"/>
            </w:tabs>
            <w:rPr>
              <w:rFonts w:ascii="Times New Roman" w:hAnsi="Times New Roman" w:eastAsia="Times New Roman" w:cs="Times New Roman"/>
              <w:sz w:val="22"/>
              <w:szCs w:val="22"/>
            </w:rPr>
          </w:pPr>
          <w:hyperlink w:history="true" w:anchor="bookmark397">
            <w:r>
              <w:rPr>
                <w:rFonts w:ascii="SimHei" w:hAnsi="SimHei" w:eastAsia="SimHei" w:cs="SimHei"/>
                <w:sz w:val="22"/>
                <w:szCs w:val="22"/>
                <w:spacing w:val="8"/>
              </w:rPr>
              <w:t>第三百零九条</w:t>
            </w:r>
            <w:r>
              <w:rPr>
                <w:rFonts w:ascii="SimHei" w:hAnsi="SimHei" w:eastAsia="SimHei" w:cs="SimHei"/>
                <w:sz w:val="22"/>
                <w:szCs w:val="22"/>
                <w:spacing w:val="35"/>
              </w:rPr>
              <w:t xml:space="preserve"> </w:t>
            </w:r>
            <w:r>
              <w:rPr>
                <w:rFonts w:ascii="SimHei" w:hAnsi="SimHei" w:eastAsia="SimHei" w:cs="SimHei"/>
                <w:sz w:val="22"/>
                <w:szCs w:val="22"/>
                <w:spacing w:val="8"/>
              </w:rPr>
              <w:t>医疗机构及其医务人员未建立投诉接待制度、</w:t>
            </w:r>
            <w:r>
              <w:rPr>
                <w:rFonts w:ascii="SimHei" w:hAnsi="SimHei" w:eastAsia="SimHei" w:cs="SimHei"/>
                <w:sz w:val="22"/>
                <w:szCs w:val="22"/>
                <w:spacing w:val="7"/>
              </w:rPr>
              <w:t>设置统一投诉管理部门或者配备专(兼)职人员</w:t>
            </w:r>
            <w:r>
              <w:rPr>
                <w:rFonts w:ascii="SimHei" w:hAnsi="SimHei" w:eastAsia="SimHei" w:cs="SimHei"/>
                <w:sz w:val="22"/>
                <w:szCs w:val="22"/>
                <w:spacing w:val="-92"/>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394</w:t>
            </w:r>
          </w:hyperlink>
        </w:p>
        <w:p>
          <w:pPr>
            <w:pStyle w:val="BodyText"/>
            <w:spacing w:line="246" w:lineRule="auto"/>
            <w:rPr/>
          </w:pPr>
          <w:r/>
        </w:p>
        <w:p>
          <w:pPr>
            <w:pStyle w:val="BodyText"/>
            <w:spacing w:line="247" w:lineRule="auto"/>
            <w:rPr/>
          </w:pPr>
          <w:r/>
        </w:p>
        <w:p>
          <w:pPr>
            <w:ind w:left="320"/>
            <w:spacing w:before="72" w:line="221" w:lineRule="auto"/>
            <w:tabs>
              <w:tab w:val="right" w:leader="dot" w:pos="13390"/>
            </w:tabs>
            <w:rPr>
              <w:rFonts w:ascii="Times New Roman" w:hAnsi="Times New Roman" w:eastAsia="Times New Roman" w:cs="Times New Roman"/>
              <w:sz w:val="22"/>
              <w:szCs w:val="22"/>
            </w:rPr>
          </w:pPr>
          <w:hyperlink w:history="true" w:anchor="bookmark398">
            <w:r>
              <w:rPr>
                <w:rFonts w:ascii="SimHei" w:hAnsi="SimHei" w:eastAsia="SimHei" w:cs="SimHei"/>
                <w:sz w:val="22"/>
                <w:szCs w:val="22"/>
                <w:spacing w:val="-1"/>
              </w:rPr>
              <w:t>第三百一十条</w:t>
            </w:r>
            <w:r>
              <w:rPr>
                <w:rFonts w:ascii="SimHei" w:hAnsi="SimHei" w:eastAsia="SimHei" w:cs="SimHei"/>
                <w:sz w:val="22"/>
                <w:szCs w:val="22"/>
                <w:spacing w:val="-1"/>
              </w:rPr>
              <w:t xml:space="preserve"> </w:t>
            </w:r>
            <w:r>
              <w:rPr>
                <w:rFonts w:ascii="SimHei" w:hAnsi="SimHei" w:eastAsia="SimHei" w:cs="SimHei"/>
                <w:sz w:val="22"/>
                <w:szCs w:val="22"/>
                <w:spacing w:val="-1"/>
              </w:rPr>
              <w:t>医疗机构及其医务人员未按规定封存、保管、启封病历资料和现场</w:t>
            </w:r>
            <w:r>
              <w:rPr>
                <w:rFonts w:ascii="SimHei" w:hAnsi="SimHei" w:eastAsia="SimHei" w:cs="SimHei"/>
                <w:sz w:val="22"/>
                <w:szCs w:val="22"/>
                <w:spacing w:val="-2"/>
              </w:rPr>
              <w:t>实物</w:t>
            </w:r>
            <w:r>
              <w:rPr>
                <w:rFonts w:ascii="SimHei" w:hAnsi="SimHei" w:eastAsia="SimHei" w:cs="SimHei"/>
                <w:sz w:val="22"/>
                <w:szCs w:val="22"/>
                <w:spacing w:val="-92"/>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395</w:t>
            </w:r>
          </w:hyperlink>
        </w:p>
        <w:p>
          <w:pPr>
            <w:pStyle w:val="BodyText"/>
            <w:spacing w:line="241" w:lineRule="auto"/>
            <w:rPr/>
          </w:pPr>
          <w:r/>
        </w:p>
        <w:p>
          <w:pPr>
            <w:pStyle w:val="BodyText"/>
            <w:spacing w:line="241" w:lineRule="auto"/>
            <w:rPr/>
          </w:pPr>
          <w:r/>
        </w:p>
        <w:p>
          <w:pPr>
            <w:ind w:left="320"/>
            <w:spacing w:before="71" w:line="221" w:lineRule="auto"/>
            <w:tabs>
              <w:tab w:val="right" w:leader="dot" w:pos="13380"/>
            </w:tabs>
            <w:rPr>
              <w:rFonts w:ascii="Times New Roman" w:hAnsi="Times New Roman" w:eastAsia="Times New Roman" w:cs="Times New Roman"/>
              <w:sz w:val="22"/>
              <w:szCs w:val="22"/>
            </w:rPr>
          </w:pPr>
          <w:hyperlink w:history="true" w:anchor="bookmark399">
            <w:r>
              <w:rPr>
                <w:rFonts w:ascii="SimHei" w:hAnsi="SimHei" w:eastAsia="SimHei" w:cs="SimHei"/>
                <w:sz w:val="22"/>
                <w:szCs w:val="22"/>
              </w:rPr>
              <w:t>第三百一十一条</w:t>
            </w:r>
            <w:r>
              <w:rPr>
                <w:rFonts w:ascii="SimHei" w:hAnsi="SimHei" w:eastAsia="SimHei" w:cs="SimHei"/>
                <w:sz w:val="22"/>
                <w:szCs w:val="22"/>
              </w:rPr>
              <w:t xml:space="preserve"> </w:t>
            </w:r>
            <w:r>
              <w:rPr>
                <w:rFonts w:ascii="SimHei" w:hAnsi="SimHei" w:eastAsia="SimHei" w:cs="SimHei"/>
                <w:sz w:val="22"/>
                <w:szCs w:val="22"/>
              </w:rPr>
              <w:t>医疗机构及其医务人员未按规定向卫生主管</w:t>
            </w:r>
            <w:r>
              <w:rPr>
                <w:rFonts w:ascii="SimHei" w:hAnsi="SimHei" w:eastAsia="SimHei" w:cs="SimHei"/>
                <w:sz w:val="22"/>
                <w:szCs w:val="22"/>
                <w:spacing w:val="-1"/>
              </w:rPr>
              <w:t>部门报告重大医疗纠纷</w:t>
            </w:r>
            <w:r>
              <w:rPr>
                <w:rFonts w:ascii="SimHei" w:hAnsi="SimHei" w:eastAsia="SimHei" w:cs="SimHei"/>
                <w:sz w:val="22"/>
                <w:szCs w:val="22"/>
                <w:spacing w:val="-92"/>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396</w:t>
            </w:r>
          </w:hyperlink>
        </w:p>
        <w:p>
          <w:pPr>
            <w:pStyle w:val="BodyText"/>
            <w:spacing w:line="260" w:lineRule="auto"/>
            <w:rPr/>
          </w:pPr>
          <w:r/>
        </w:p>
        <w:p>
          <w:pPr>
            <w:pStyle w:val="BodyText"/>
            <w:spacing w:line="261" w:lineRule="auto"/>
            <w:rPr/>
          </w:pPr>
          <w:r/>
        </w:p>
        <w:p>
          <w:pPr>
            <w:ind w:left="320"/>
            <w:spacing w:before="72" w:line="221" w:lineRule="auto"/>
            <w:tabs>
              <w:tab w:val="right" w:leader="dot" w:pos="13370"/>
            </w:tabs>
            <w:rPr>
              <w:rFonts w:ascii="Times New Roman" w:hAnsi="Times New Roman" w:eastAsia="Times New Roman" w:cs="Times New Roman"/>
              <w:sz w:val="22"/>
              <w:szCs w:val="22"/>
            </w:rPr>
          </w:pPr>
          <w:hyperlink w:history="true" w:anchor="bookmark400">
            <w:r>
              <w:rPr>
                <w:rFonts w:ascii="SimHei" w:hAnsi="SimHei" w:eastAsia="SimHei" w:cs="SimHei"/>
                <w:sz w:val="22"/>
                <w:szCs w:val="22"/>
              </w:rPr>
              <w:t>第三百一十二条</w:t>
            </w:r>
            <w:r>
              <w:rPr>
                <w:rFonts w:ascii="SimHei" w:hAnsi="SimHei" w:eastAsia="SimHei" w:cs="SimHei"/>
                <w:sz w:val="22"/>
                <w:szCs w:val="22"/>
              </w:rPr>
              <w:t xml:space="preserve"> </w:t>
            </w:r>
            <w:r>
              <w:rPr>
                <w:rFonts w:ascii="SimHei" w:hAnsi="SimHei" w:eastAsia="SimHei" w:cs="SimHei"/>
                <w:sz w:val="22"/>
                <w:szCs w:val="22"/>
              </w:rPr>
              <w:t>医疗机构及医务人员其他未履行《医疗纠纷预防和处理</w:t>
            </w:r>
            <w:r>
              <w:rPr>
                <w:rFonts w:ascii="SimHei" w:hAnsi="SimHei" w:eastAsia="SimHei" w:cs="SimHei"/>
                <w:sz w:val="22"/>
                <w:szCs w:val="22"/>
                <w:spacing w:val="-1"/>
              </w:rPr>
              <w:t>条例》规定义务的情形</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24"/>
              </w:rPr>
              <w:t xml:space="preserve"> </w:t>
            </w:r>
            <w:r>
              <w:rPr>
                <w:rFonts w:ascii="Times New Roman" w:hAnsi="Times New Roman" w:eastAsia="Times New Roman" w:cs="Times New Roman"/>
                <w:sz w:val="22"/>
                <w:szCs w:val="22"/>
                <w:spacing w:val="-3"/>
              </w:rPr>
              <w:t>397</w:t>
            </w:r>
          </w:hyperlink>
        </w:p>
        <w:p>
          <w:pPr>
            <w:pStyle w:val="BodyText"/>
            <w:spacing w:line="452" w:lineRule="auto"/>
            <w:rPr/>
          </w:pPr>
          <w:r/>
        </w:p>
        <w:p>
          <w:pPr>
            <w:ind w:left="320"/>
            <w:spacing w:before="72" w:line="221" w:lineRule="auto"/>
            <w:tabs>
              <w:tab w:val="right" w:leader="dot" w:pos="13380"/>
            </w:tabs>
            <w:rPr>
              <w:rFonts w:ascii="Times New Roman" w:hAnsi="Times New Roman" w:eastAsia="Times New Roman" w:cs="Times New Roman"/>
              <w:sz w:val="22"/>
              <w:szCs w:val="22"/>
            </w:rPr>
          </w:pPr>
          <w:hyperlink w:history="true" w:anchor="bookmark401">
            <w:r>
              <w:rPr>
                <w:rFonts w:ascii="SimHei" w:hAnsi="SimHei" w:eastAsia="SimHei" w:cs="SimHei"/>
                <w:sz w:val="22"/>
                <w:szCs w:val="22"/>
                <w:spacing w:val="1"/>
              </w:rPr>
              <w:t>第三百一十三条</w:t>
            </w:r>
            <w:r>
              <w:rPr>
                <w:rFonts w:ascii="SimHei" w:hAnsi="SimHei" w:eastAsia="SimHei" w:cs="SimHei"/>
                <w:sz w:val="22"/>
                <w:szCs w:val="22"/>
                <w:spacing w:val="1"/>
              </w:rPr>
              <w:t xml:space="preserve"> </w:t>
            </w:r>
            <w:r>
              <w:rPr>
                <w:rFonts w:ascii="SimHei" w:hAnsi="SimHei" w:eastAsia="SimHei" w:cs="SimHei"/>
                <w:sz w:val="22"/>
                <w:szCs w:val="22"/>
                <w:spacing w:val="1"/>
              </w:rPr>
              <w:t>医学会、司法鉴定机构出具虚假医疗损害鉴定意见的</w:t>
            </w:r>
            <w:r>
              <w:rPr>
                <w:rFonts w:ascii="SimHei" w:hAnsi="SimHei" w:eastAsia="SimHei" w:cs="SimHei"/>
                <w:sz w:val="22"/>
                <w:szCs w:val="22"/>
                <w:spacing w:val="-83"/>
              </w:rPr>
              <w:t xml:space="preserve"> </w:t>
            </w:r>
            <w:r>
              <w:rPr>
                <w:rFonts w:ascii="SimHei" w:hAnsi="SimHei" w:eastAsia="SimHei" w:cs="SimHei"/>
                <w:sz w:val="22"/>
                <w:szCs w:val="22"/>
              </w:rPr>
              <w:tab/>
            </w:r>
            <w:r>
              <w:rPr>
                <w:rFonts w:ascii="SimHei" w:hAnsi="SimHei" w:eastAsia="SimHei" w:cs="SimHei"/>
                <w:sz w:val="22"/>
                <w:szCs w:val="22"/>
                <w:spacing w:val="-53"/>
              </w:rPr>
              <w:t xml:space="preserve"> </w:t>
            </w:r>
            <w:r>
              <w:rPr>
                <w:rFonts w:ascii="Times New Roman" w:hAnsi="Times New Roman" w:eastAsia="Times New Roman" w:cs="Times New Roman"/>
                <w:sz w:val="22"/>
                <w:szCs w:val="22"/>
                <w:spacing w:val="-3"/>
              </w:rPr>
              <w:t>398</w:t>
            </w:r>
          </w:hyperlink>
        </w:p>
        <w:p>
          <w:pPr>
            <w:pStyle w:val="BodyText"/>
            <w:spacing w:line="241" w:lineRule="auto"/>
            <w:rPr/>
          </w:pPr>
          <w:r/>
        </w:p>
        <w:p>
          <w:pPr>
            <w:pStyle w:val="BodyText"/>
            <w:spacing w:line="241" w:lineRule="auto"/>
            <w:rPr/>
          </w:pPr>
          <w:r/>
        </w:p>
        <w:p>
          <w:pPr>
            <w:ind w:left="320"/>
            <w:spacing w:before="72" w:line="222" w:lineRule="auto"/>
            <w:tabs>
              <w:tab w:val="right" w:leader="dot" w:pos="13380"/>
            </w:tabs>
            <w:rPr>
              <w:rFonts w:ascii="Times New Roman" w:hAnsi="Times New Roman" w:eastAsia="Times New Roman" w:cs="Times New Roman"/>
              <w:sz w:val="22"/>
              <w:szCs w:val="22"/>
            </w:rPr>
          </w:pPr>
          <w:hyperlink w:history="true" w:anchor="bookmark402">
            <w:r>
              <w:rPr>
                <w:rFonts w:ascii="SimHei" w:hAnsi="SimHei" w:eastAsia="SimHei" w:cs="SimHei"/>
                <w:sz w:val="22"/>
                <w:szCs w:val="22"/>
                <w:spacing w:val="2"/>
              </w:rPr>
              <w:t>第三百一十四条</w:t>
            </w:r>
            <w:r>
              <w:rPr>
                <w:rFonts w:ascii="SimHei" w:hAnsi="SimHei" w:eastAsia="SimHei" w:cs="SimHei"/>
                <w:sz w:val="22"/>
                <w:szCs w:val="22"/>
                <w:spacing w:val="2"/>
              </w:rPr>
              <w:t xml:space="preserve"> </w:t>
            </w:r>
            <w:r>
              <w:rPr>
                <w:rFonts w:ascii="SimHei" w:hAnsi="SimHei" w:eastAsia="SimHei" w:cs="SimHei"/>
                <w:sz w:val="22"/>
                <w:szCs w:val="22"/>
                <w:spacing w:val="2"/>
              </w:rPr>
              <w:t>尸检机构出具虚假尸检报告的</w:t>
            </w:r>
            <w:r>
              <w:rPr>
                <w:rFonts w:ascii="SimHei" w:hAnsi="SimHei" w:eastAsia="SimHei" w:cs="SimHei"/>
                <w:sz w:val="22"/>
                <w:szCs w:val="22"/>
                <w:spacing w:val="-93"/>
              </w:rPr>
              <w:t xml:space="preserve"> </w:t>
            </w:r>
            <w:r>
              <w:rPr>
                <w:rFonts w:ascii="SimHei" w:hAnsi="SimHei" w:eastAsia="SimHei" w:cs="SimHei"/>
                <w:sz w:val="22"/>
                <w:szCs w:val="22"/>
                <w:color w:val="304040"/>
              </w:rPr>
              <w:tab/>
            </w:r>
            <w:r>
              <w:rPr>
                <w:rFonts w:ascii="SimHei" w:hAnsi="SimHei" w:eastAsia="SimHei" w:cs="SimHei"/>
                <w:sz w:val="22"/>
                <w:szCs w:val="22"/>
                <w:spacing w:val="-53"/>
              </w:rPr>
              <w:t xml:space="preserve"> </w:t>
            </w:r>
            <w:r>
              <w:rPr>
                <w:rFonts w:ascii="Times New Roman" w:hAnsi="Times New Roman" w:eastAsia="Times New Roman" w:cs="Times New Roman"/>
                <w:sz w:val="22"/>
                <w:szCs w:val="22"/>
                <w:spacing w:val="-3"/>
              </w:rPr>
              <w:t>399</w:t>
            </w:r>
          </w:hyperlink>
        </w:p>
        <w:p>
          <w:pPr>
            <w:pStyle w:val="BodyText"/>
            <w:spacing w:line="288" w:lineRule="auto"/>
            <w:rPr/>
          </w:pPr>
          <w:r/>
        </w:p>
        <w:p>
          <w:pPr>
            <w:spacing w:before="72" w:line="212" w:lineRule="auto"/>
            <w:tabs>
              <w:tab w:val="right" w:leader="dot" w:pos="13425"/>
            </w:tabs>
            <w:rPr>
              <w:rFonts w:ascii="Times New Roman" w:hAnsi="Times New Roman" w:eastAsia="Times New Roman" w:cs="Times New Roman"/>
              <w:sz w:val="22"/>
              <w:szCs w:val="22"/>
            </w:rPr>
          </w:pPr>
          <w:hyperlink w:history="true" w:anchor="bookmark403">
            <w:r>
              <w:rPr>
                <w:rFonts w:ascii="Times New Roman" w:hAnsi="Times New Roman" w:eastAsia="Times New Roman" w:cs="Times New Roman"/>
                <w:sz w:val="22"/>
                <w:szCs w:val="22"/>
                <w:spacing w:val="4"/>
              </w:rPr>
              <w:t>(</w:t>
            </w:r>
            <w:r>
              <w:rPr>
                <w:rFonts w:ascii="KaiTi" w:hAnsi="KaiTi" w:eastAsia="KaiTi" w:cs="KaiTi"/>
                <w:sz w:val="22"/>
                <w:szCs w:val="22"/>
                <w:spacing w:val="4"/>
              </w:rPr>
              <w:t>二十七)《医疗机构投诉管理办法》</w:t>
            </w:r>
            <w:r>
              <w:rPr>
                <w:rFonts w:ascii="KaiTi" w:hAnsi="KaiTi" w:eastAsia="KaiTi" w:cs="KaiTi"/>
                <w:sz w:val="22"/>
                <w:szCs w:val="22"/>
                <w:spacing w:val="-73"/>
              </w:rPr>
              <w:t xml:space="preserve"> </w:t>
            </w:r>
            <w:r>
              <w:rPr>
                <w:rFonts w:ascii="KaiTi" w:hAnsi="KaiTi" w:eastAsia="KaiTi" w:cs="KaiTi"/>
                <w:sz w:val="22"/>
                <w:szCs w:val="22"/>
              </w:rPr>
              <w:tab/>
            </w:r>
            <w:r>
              <w:rPr>
                <w:rFonts w:ascii="KaiTi" w:hAnsi="KaiTi" w:eastAsia="KaiTi" w:cs="KaiTi"/>
                <w:sz w:val="22"/>
                <w:szCs w:val="22"/>
                <w:spacing w:val="-36"/>
              </w:rPr>
              <w:t xml:space="preserve"> </w:t>
            </w:r>
            <w:r>
              <w:rPr>
                <w:rFonts w:ascii="Times New Roman" w:hAnsi="Times New Roman" w:eastAsia="Times New Roman" w:cs="Times New Roman"/>
                <w:sz w:val="22"/>
                <w:szCs w:val="22"/>
                <w:spacing w:val="-1"/>
              </w:rPr>
              <w:t>400</w:t>
            </w:r>
          </w:hyperlink>
        </w:p>
        <w:p>
          <w:pPr>
            <w:pStyle w:val="BodyText"/>
            <w:spacing w:line="357" w:lineRule="auto"/>
            <w:rPr/>
          </w:pPr>
          <w:r/>
        </w:p>
        <w:p>
          <w:pPr>
            <w:ind w:left="320"/>
            <w:spacing w:before="72" w:line="222" w:lineRule="auto"/>
            <w:tabs>
              <w:tab w:val="right" w:leader="dot" w:pos="13445"/>
            </w:tabs>
            <w:rPr>
              <w:rFonts w:ascii="Times New Roman" w:hAnsi="Times New Roman" w:eastAsia="Times New Roman" w:cs="Times New Roman"/>
              <w:sz w:val="22"/>
              <w:szCs w:val="22"/>
            </w:rPr>
          </w:pPr>
          <w:hyperlink w:history="true" w:anchor="bookmark404">
            <w:r>
              <w:rPr>
                <w:rFonts w:ascii="SimHei" w:hAnsi="SimHei" w:eastAsia="SimHei" w:cs="SimHei"/>
                <w:sz w:val="22"/>
                <w:szCs w:val="22"/>
                <w:spacing w:val="4"/>
              </w:rPr>
              <w:t>第三百一十五条</w:t>
            </w:r>
            <w:r>
              <w:rPr>
                <w:rFonts w:ascii="SimHei" w:hAnsi="SimHei" w:eastAsia="SimHei" w:cs="SimHei"/>
                <w:sz w:val="22"/>
                <w:szCs w:val="22"/>
                <w:spacing w:val="4"/>
              </w:rPr>
              <w:t xml:space="preserve"> </w:t>
            </w:r>
            <w:r>
              <w:rPr>
                <w:rFonts w:ascii="SimHei" w:hAnsi="SimHei" w:eastAsia="SimHei" w:cs="SimHei"/>
                <w:sz w:val="22"/>
                <w:szCs w:val="22"/>
                <w:spacing w:val="4"/>
              </w:rPr>
              <w:t>医疗机构未制订重大医疗纠纷事件应急处置预</w:t>
            </w:r>
            <w:r>
              <w:rPr>
                <w:rFonts w:ascii="SimHei" w:hAnsi="SimHei" w:eastAsia="SimHei" w:cs="SimHei"/>
                <w:sz w:val="22"/>
                <w:szCs w:val="22"/>
                <w:spacing w:val="3"/>
              </w:rPr>
              <w:t>案的</w:t>
            </w:r>
            <w:r>
              <w:rPr>
                <w:rFonts w:ascii="SimHei" w:hAnsi="SimHei" w:eastAsia="SimHei" w:cs="SimHei"/>
                <w:sz w:val="22"/>
                <w:szCs w:val="22"/>
                <w:spacing w:val="-100"/>
              </w:rPr>
              <w:t xml:space="preserve"> </w:t>
            </w:r>
            <w:r>
              <w:rPr>
                <w:rFonts w:ascii="SimHei" w:hAnsi="SimHei" w:eastAsia="SimHei" w:cs="SimHei"/>
                <w:sz w:val="22"/>
                <w:szCs w:val="22"/>
              </w:rPr>
              <w:tab/>
            </w:r>
            <w:r>
              <w:rPr>
                <w:rFonts w:ascii="SimHei" w:hAnsi="SimHei" w:eastAsia="SimHei" w:cs="SimHei"/>
                <w:sz w:val="22"/>
                <w:szCs w:val="22"/>
                <w:spacing w:val="-64"/>
              </w:rPr>
              <w:t xml:space="preserve"> </w:t>
            </w:r>
            <w:r>
              <w:rPr>
                <w:rFonts w:ascii="Times New Roman" w:hAnsi="Times New Roman" w:eastAsia="Times New Roman" w:cs="Times New Roman"/>
                <w:sz w:val="22"/>
                <w:szCs w:val="22"/>
                <w:spacing w:val="-2"/>
              </w:rPr>
              <w:t>400</w:t>
            </w:r>
          </w:hyperlink>
        </w:p>
        <w:p>
          <w:pPr>
            <w:pStyle w:val="BodyText"/>
            <w:spacing w:line="243" w:lineRule="auto"/>
            <w:rPr/>
          </w:pPr>
          <w:r/>
        </w:p>
        <w:p>
          <w:pPr>
            <w:pStyle w:val="BodyText"/>
            <w:spacing w:line="243" w:lineRule="auto"/>
            <w:rPr/>
          </w:pPr>
          <w:r/>
        </w:p>
        <w:p>
          <w:pPr>
            <w:ind w:left="323"/>
            <w:spacing w:before="72" w:line="220" w:lineRule="auto"/>
            <w:tabs>
              <w:tab w:val="right" w:leader="dot" w:pos="13384"/>
            </w:tabs>
            <w:rPr>
              <w:rFonts w:ascii="Times New Roman" w:hAnsi="Times New Roman" w:eastAsia="Times New Roman" w:cs="Times New Roman"/>
              <w:sz w:val="22"/>
              <w:szCs w:val="22"/>
            </w:rPr>
          </w:pPr>
          <w:hyperlink w:history="true" w:anchor="bookmark405">
            <w:r>
              <w:rPr>
                <w:rFonts w:ascii="SimHei" w:hAnsi="SimHei" w:eastAsia="SimHei" w:cs="SimHei"/>
                <w:sz w:val="22"/>
                <w:szCs w:val="22"/>
                <w:b/>
                <w:bCs/>
              </w:rPr>
              <w:t>第三百一十六条</w:t>
            </w:r>
            <w:r>
              <w:rPr>
                <w:rFonts w:ascii="SimHei" w:hAnsi="SimHei" w:eastAsia="SimHei" w:cs="SimHei"/>
                <w:sz w:val="22"/>
                <w:szCs w:val="22"/>
              </w:rPr>
              <w:t xml:space="preserve"> </w:t>
            </w:r>
            <w:r>
              <w:rPr>
                <w:rFonts w:ascii="SimHei" w:hAnsi="SimHei" w:eastAsia="SimHei" w:cs="SimHei"/>
                <w:sz w:val="22"/>
                <w:szCs w:val="22"/>
                <w:b/>
                <w:bCs/>
              </w:rPr>
              <w:t>医疗机构投诉管理混乱的</w:t>
            </w:r>
            <w:r>
              <w:rPr>
                <w:rFonts w:ascii="SimHei" w:hAnsi="SimHei" w:eastAsia="SimHei" w:cs="SimHei"/>
                <w:sz w:val="22"/>
                <w:szCs w:val="22"/>
                <w:spacing w:val="-96"/>
              </w:rPr>
              <w:t xml:space="preserve"> </w:t>
            </w:r>
            <w:r>
              <w:rPr>
                <w:rFonts w:ascii="SimHei" w:hAnsi="SimHei" w:eastAsia="SimHei" w:cs="SimHei"/>
                <w:sz w:val="22"/>
                <w:szCs w:val="22"/>
              </w:rPr>
              <w:tab/>
            </w:r>
            <w:r>
              <w:rPr>
                <w:rFonts w:ascii="SimHei" w:hAnsi="SimHei" w:eastAsia="SimHei" w:cs="SimHei"/>
                <w:sz w:val="22"/>
                <w:szCs w:val="22"/>
                <w:spacing w:val="-60"/>
              </w:rPr>
              <w:t xml:space="preserve"> </w:t>
            </w:r>
            <w:r>
              <w:rPr>
                <w:rFonts w:ascii="Times New Roman" w:hAnsi="Times New Roman" w:eastAsia="Times New Roman" w:cs="Times New Roman"/>
                <w:sz w:val="22"/>
                <w:szCs w:val="22"/>
                <w:b/>
                <w:bCs/>
                <w:spacing w:val="-2"/>
              </w:rPr>
              <w:t>401</w:t>
            </w:r>
          </w:hyperlink>
        </w:p>
      </w:sdtContent>
    </w:sdt>
    <w:p>
      <w:pPr>
        <w:spacing w:line="220" w:lineRule="auto"/>
        <w:sectPr>
          <w:footerReference w:type="default" r:id="rId38"/>
          <w:pgSz w:w="16830" w:h="11900"/>
          <w:pgMar w:top="1011" w:right="1413" w:bottom="1135" w:left="1969" w:header="0" w:footer="793" w:gutter="0"/>
        </w:sectPr>
        <w:rPr>
          <w:rFonts w:ascii="Times New Roman" w:hAnsi="Times New Roman" w:eastAsia="Times New Roman" w:cs="Times New Roman"/>
          <w:sz w:val="22"/>
          <w:szCs w:val="22"/>
        </w:rPr>
      </w:pPr>
    </w:p>
    <w:p>
      <w:pPr>
        <w:pStyle w:val="BodyText"/>
        <w:spacing w:line="314" w:lineRule="auto"/>
        <w:rPr/>
      </w:pPr>
      <w:r/>
    </w:p>
    <w:p>
      <w:pPr>
        <w:pStyle w:val="BodyText"/>
        <w:spacing w:line="315" w:lineRule="auto"/>
        <w:rPr/>
      </w:pPr>
      <w:r/>
    </w:p>
    <w:p>
      <w:pPr>
        <w:pStyle w:val="BodyText"/>
        <w:spacing w:line="315" w:lineRule="auto"/>
        <w:rPr/>
      </w:pPr>
      <w:r/>
    </w:p>
    <w:sdt>
      <w:sdtPr>
        <w:rPr>
          <w:rFonts w:ascii="SimHei" w:hAnsi="SimHei" w:eastAsia="SimHei" w:cs="SimHei"/>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ind w:left="310"/>
            <w:spacing w:before="65" w:line="222" w:lineRule="auto"/>
            <w:tabs>
              <w:tab w:val="right" w:leader="dot" w:pos="13435"/>
            </w:tabs>
            <w:rPr>
              <w:rFonts w:ascii="Times New Roman" w:hAnsi="Times New Roman" w:eastAsia="Times New Roman" w:cs="Times New Roman"/>
              <w:sz w:val="20"/>
              <w:szCs w:val="20"/>
            </w:rPr>
          </w:pPr>
          <w:hyperlink w:history="true" w:anchor="bookmark406">
            <w:r>
              <w:rPr>
                <w:rFonts w:ascii="SimHei" w:hAnsi="SimHei" w:eastAsia="SimHei" w:cs="SimHei"/>
                <w:sz w:val="20"/>
                <w:szCs w:val="20"/>
                <w:spacing w:val="17"/>
              </w:rPr>
              <w:t>第三百一十七条</w:t>
            </w:r>
            <w:r>
              <w:rPr>
                <w:rFonts w:ascii="SimHei" w:hAnsi="SimHei" w:eastAsia="SimHei" w:cs="SimHei"/>
                <w:sz w:val="20"/>
                <w:szCs w:val="20"/>
                <w:spacing w:val="64"/>
              </w:rPr>
              <w:t xml:space="preserve"> </w:t>
            </w:r>
            <w:r>
              <w:rPr>
                <w:rFonts w:ascii="SimHei" w:hAnsi="SimHei" w:eastAsia="SimHei" w:cs="SimHei"/>
                <w:sz w:val="20"/>
                <w:szCs w:val="20"/>
                <w:spacing w:val="17"/>
              </w:rPr>
              <w:t>医疗机构未按规定建立健全医患沟通机制的</w:t>
            </w:r>
            <w:r>
              <w:rPr>
                <w:rFonts w:ascii="SimHei" w:hAnsi="SimHei" w:eastAsia="SimHei" w:cs="SimHei"/>
                <w:sz w:val="20"/>
                <w:szCs w:val="20"/>
                <w:spacing w:val="-88"/>
              </w:rPr>
              <w:t xml:space="preserve"> </w:t>
            </w:r>
            <w:r>
              <w:rPr>
                <w:rFonts w:ascii="SimHei" w:hAnsi="SimHei" w:eastAsia="SimHei" w:cs="SimHei"/>
                <w:sz w:val="20"/>
                <w:szCs w:val="20"/>
              </w:rPr>
              <w:tab/>
            </w:r>
            <w:r>
              <w:rPr>
                <w:rFonts w:ascii="SimHei" w:hAnsi="SimHei" w:eastAsia="SimHei" w:cs="SimHei"/>
                <w:sz w:val="20"/>
                <w:szCs w:val="20"/>
                <w:spacing w:val="-66"/>
              </w:rPr>
              <w:t xml:space="preserve"> </w:t>
            </w:r>
            <w:r>
              <w:rPr>
                <w:rFonts w:ascii="Times New Roman" w:hAnsi="Times New Roman" w:eastAsia="Times New Roman" w:cs="Times New Roman"/>
                <w:sz w:val="20"/>
                <w:szCs w:val="20"/>
                <w:spacing w:val="-2"/>
              </w:rPr>
              <w:t>402</w:t>
            </w:r>
          </w:hyperlink>
        </w:p>
        <w:p>
          <w:pPr>
            <w:pStyle w:val="BodyText"/>
            <w:spacing w:line="255" w:lineRule="auto"/>
            <w:rPr/>
          </w:pPr>
          <w:r/>
        </w:p>
        <w:p>
          <w:pPr>
            <w:pStyle w:val="BodyText"/>
            <w:spacing w:line="255" w:lineRule="auto"/>
            <w:rPr/>
          </w:pPr>
          <w:r/>
        </w:p>
        <w:p>
          <w:pPr>
            <w:ind w:left="310"/>
            <w:spacing w:before="65" w:line="220" w:lineRule="auto"/>
            <w:tabs>
              <w:tab w:val="right" w:leader="dot" w:pos="13365"/>
            </w:tabs>
            <w:rPr>
              <w:rFonts w:ascii="Times New Roman" w:hAnsi="Times New Roman" w:eastAsia="Times New Roman" w:cs="Times New Roman"/>
              <w:sz w:val="20"/>
              <w:szCs w:val="20"/>
            </w:rPr>
          </w:pPr>
          <w:hyperlink w:history="true" w:anchor="bookmark407">
            <w:r>
              <w:rPr>
                <w:rFonts w:ascii="SimHei" w:hAnsi="SimHei" w:eastAsia="SimHei" w:cs="SimHei"/>
                <w:sz w:val="20"/>
                <w:szCs w:val="20"/>
                <w:spacing w:val="17"/>
              </w:rPr>
              <w:t>第三百一十八条</w:t>
            </w:r>
            <w:r>
              <w:rPr>
                <w:rFonts w:ascii="SimHei" w:hAnsi="SimHei" w:eastAsia="SimHei" w:cs="SimHei"/>
                <w:sz w:val="20"/>
                <w:szCs w:val="20"/>
                <w:spacing w:val="57"/>
              </w:rPr>
              <w:t xml:space="preserve"> </w:t>
            </w:r>
            <w:r>
              <w:rPr>
                <w:rFonts w:ascii="SimHei" w:hAnsi="SimHei" w:eastAsia="SimHei" w:cs="SimHei"/>
                <w:sz w:val="20"/>
                <w:szCs w:val="20"/>
                <w:spacing w:val="17"/>
              </w:rPr>
              <w:t>医疗机构未按规定及时处理投诉并反馈患者的</w:t>
            </w:r>
            <w:r>
              <w:rPr>
                <w:rFonts w:ascii="SimHei" w:hAnsi="SimHei" w:eastAsia="SimHei" w:cs="SimHei"/>
                <w:sz w:val="20"/>
                <w:szCs w:val="20"/>
                <w:spacing w:val="-87"/>
              </w:rPr>
              <w:t xml:space="preserve"> </w:t>
            </w:r>
            <w:r>
              <w:rPr>
                <w:rFonts w:ascii="SimHei" w:hAnsi="SimHei" w:eastAsia="SimHei" w:cs="SimHei"/>
                <w:sz w:val="20"/>
                <w:szCs w:val="20"/>
              </w:rPr>
              <w:tab/>
            </w:r>
            <w:r>
              <w:rPr>
                <w:rFonts w:ascii="Times New Roman" w:hAnsi="Times New Roman" w:eastAsia="Times New Roman" w:cs="Times New Roman"/>
                <w:sz w:val="20"/>
                <w:szCs w:val="20"/>
                <w:spacing w:val="1"/>
              </w:rPr>
              <w:t>402</w:t>
            </w:r>
          </w:hyperlink>
        </w:p>
        <w:p>
          <w:pPr>
            <w:pStyle w:val="BodyText"/>
            <w:spacing w:line="257" w:lineRule="auto"/>
            <w:rPr/>
          </w:pPr>
          <w:r/>
        </w:p>
        <w:p>
          <w:pPr>
            <w:pStyle w:val="BodyText"/>
            <w:spacing w:line="258" w:lineRule="auto"/>
            <w:rPr/>
          </w:pPr>
          <w:r/>
        </w:p>
        <w:p>
          <w:pPr>
            <w:ind w:left="310"/>
            <w:spacing w:before="65" w:line="213" w:lineRule="auto"/>
            <w:tabs>
              <w:tab w:val="right" w:leader="dot" w:pos="13325"/>
            </w:tabs>
            <w:rPr>
              <w:rFonts w:ascii="Times New Roman" w:hAnsi="Times New Roman" w:eastAsia="Times New Roman" w:cs="Times New Roman"/>
              <w:sz w:val="20"/>
              <w:szCs w:val="20"/>
            </w:rPr>
          </w:pPr>
          <w:hyperlink w:history="true" w:anchor="bookmark408">
            <w:r>
              <w:rPr>
                <w:rFonts w:ascii="SimHei" w:hAnsi="SimHei" w:eastAsia="SimHei" w:cs="SimHei"/>
                <w:sz w:val="20"/>
                <w:szCs w:val="20"/>
                <w:spacing w:val="19"/>
              </w:rPr>
              <w:t>第三百一十九条</w:t>
            </w:r>
            <w:r>
              <w:rPr>
                <w:rFonts w:ascii="SimHei" w:hAnsi="SimHei" w:eastAsia="SimHei" w:cs="SimHei"/>
                <w:sz w:val="20"/>
                <w:szCs w:val="20"/>
                <w:spacing w:val="56"/>
              </w:rPr>
              <w:t xml:space="preserve"> </w:t>
            </w:r>
            <w:r>
              <w:rPr>
                <w:rFonts w:ascii="SimHei" w:hAnsi="SimHei" w:eastAsia="SimHei" w:cs="SimHei"/>
                <w:sz w:val="20"/>
                <w:szCs w:val="20"/>
                <w:spacing w:val="19"/>
              </w:rPr>
              <w:t>医疗机构对接待过程中发现的可能激化矛盾，引起治安案件、刑事案件的投诉，未及时向当地公</w:t>
            </w:r>
            <w:r>
              <w:rPr>
                <w:rFonts w:ascii="SimHei" w:hAnsi="SimHei" w:eastAsia="SimHei" w:cs="SimHei"/>
                <w:sz w:val="20"/>
                <w:szCs w:val="20"/>
                <w:spacing w:val="18"/>
              </w:rPr>
              <w:t>安机关报告的</w:t>
            </w:r>
            <w:r>
              <w:rPr>
                <w:rFonts w:ascii="SimHei" w:hAnsi="SimHei" w:eastAsia="SimHei" w:cs="SimHei"/>
                <w:sz w:val="20"/>
                <w:szCs w:val="20"/>
                <w:spacing w:val="-87"/>
              </w:rPr>
              <w:t xml:space="preserve"> </w:t>
            </w:r>
            <w:r>
              <w:rPr>
                <w:rFonts w:ascii="SimHei" w:hAnsi="SimHei" w:eastAsia="SimHei" w:cs="SimHei"/>
                <w:sz w:val="20"/>
                <w:szCs w:val="20"/>
              </w:rPr>
              <w:tab/>
            </w:r>
            <w:r>
              <w:rPr>
                <w:rFonts w:ascii="Times New Roman" w:hAnsi="Times New Roman" w:eastAsia="Times New Roman" w:cs="Times New Roman"/>
                <w:sz w:val="20"/>
                <w:szCs w:val="20"/>
                <w:spacing w:val="2"/>
              </w:rPr>
              <w:t>403</w:t>
            </w:r>
          </w:hyperlink>
        </w:p>
        <w:p>
          <w:pPr>
            <w:pStyle w:val="BodyText"/>
            <w:spacing w:line="264" w:lineRule="auto"/>
            <w:rPr/>
          </w:pPr>
          <w:r/>
        </w:p>
        <w:p>
          <w:pPr>
            <w:pStyle w:val="BodyText"/>
            <w:spacing w:line="265" w:lineRule="auto"/>
            <w:rPr/>
          </w:pPr>
          <w:r/>
        </w:p>
        <w:p>
          <w:pPr>
            <w:ind w:left="310"/>
            <w:spacing w:before="65" w:line="221" w:lineRule="auto"/>
            <w:tabs>
              <w:tab w:val="right" w:leader="dot" w:pos="13375"/>
            </w:tabs>
            <w:rPr>
              <w:rFonts w:ascii="Times New Roman" w:hAnsi="Times New Roman" w:eastAsia="Times New Roman" w:cs="Times New Roman"/>
              <w:sz w:val="20"/>
              <w:szCs w:val="20"/>
            </w:rPr>
          </w:pPr>
          <w:hyperlink w:history="true" w:anchor="bookmark409">
            <w:r>
              <w:rPr>
                <w:rFonts w:ascii="SimHei" w:hAnsi="SimHei" w:eastAsia="SimHei" w:cs="SimHei"/>
                <w:sz w:val="20"/>
                <w:szCs w:val="20"/>
                <w:spacing w:val="18"/>
              </w:rPr>
              <w:t>第三百二十条</w:t>
            </w:r>
            <w:r>
              <w:rPr>
                <w:rFonts w:ascii="SimHei" w:hAnsi="SimHei" w:eastAsia="SimHei" w:cs="SimHei"/>
                <w:sz w:val="20"/>
                <w:szCs w:val="20"/>
                <w:spacing w:val="56"/>
              </w:rPr>
              <w:t xml:space="preserve"> </w:t>
            </w:r>
            <w:r>
              <w:rPr>
                <w:rFonts w:ascii="SimHei" w:hAnsi="SimHei" w:eastAsia="SimHei" w:cs="SimHei"/>
                <w:sz w:val="20"/>
                <w:szCs w:val="20"/>
                <w:spacing w:val="18"/>
              </w:rPr>
              <w:t>医疗机构发布违背或者夸大事</w:t>
            </w:r>
            <w:r>
              <w:rPr>
                <w:rFonts w:ascii="SimHei" w:hAnsi="SimHei" w:eastAsia="SimHei" w:cs="SimHei"/>
                <w:sz w:val="20"/>
                <w:szCs w:val="20"/>
                <w:spacing w:val="17"/>
              </w:rPr>
              <w:t>实、渲染事件处理过程的信息的</w:t>
            </w:r>
            <w:r>
              <w:rPr>
                <w:rFonts w:ascii="SimHei" w:hAnsi="SimHei" w:eastAsia="SimHei" w:cs="SimHei"/>
                <w:sz w:val="20"/>
                <w:szCs w:val="20"/>
                <w:spacing w:val="-88"/>
              </w:rPr>
              <w:t xml:space="preserve"> </w:t>
            </w:r>
            <w:r>
              <w:rPr>
                <w:rFonts w:ascii="SimHei" w:hAnsi="SimHei" w:eastAsia="SimHei" w:cs="SimHei"/>
                <w:sz w:val="20"/>
                <w:szCs w:val="20"/>
              </w:rPr>
              <w:tab/>
            </w:r>
            <w:r>
              <w:rPr>
                <w:rFonts w:ascii="SimHei" w:hAnsi="SimHei" w:eastAsia="SimHei" w:cs="SimHei"/>
                <w:sz w:val="20"/>
                <w:szCs w:val="20"/>
                <w:spacing w:val="-58"/>
              </w:rPr>
              <w:t xml:space="preserve"> </w:t>
            </w:r>
            <w:r>
              <w:rPr>
                <w:rFonts w:ascii="Times New Roman" w:hAnsi="Times New Roman" w:eastAsia="Times New Roman" w:cs="Times New Roman"/>
                <w:sz w:val="20"/>
                <w:szCs w:val="20"/>
                <w:spacing w:val="-1"/>
              </w:rPr>
              <w:t>404</w:t>
            </w:r>
          </w:hyperlink>
        </w:p>
        <w:p>
          <w:pPr>
            <w:pStyle w:val="BodyText"/>
            <w:spacing w:line="360" w:lineRule="auto"/>
            <w:rPr/>
          </w:pPr>
          <w:r/>
        </w:p>
        <w:p>
          <w:pPr>
            <w:spacing w:before="65" w:line="223" w:lineRule="auto"/>
            <w:tabs>
              <w:tab w:val="right" w:leader="dot" w:pos="13268"/>
            </w:tabs>
            <w:rPr>
              <w:rFonts w:ascii="SimHei" w:hAnsi="SimHei" w:eastAsia="SimHei" w:cs="SimHei"/>
              <w:sz w:val="12"/>
              <w:szCs w:val="12"/>
            </w:rPr>
          </w:pPr>
          <w:hyperlink w:history="true" w:anchor="bookmark410">
            <w:r>
              <w:rPr>
                <w:rFonts w:ascii="KaiTi" w:hAnsi="KaiTi" w:eastAsia="KaiTi" w:cs="KaiTi"/>
                <w:sz w:val="20"/>
                <w:szCs w:val="20"/>
                <w:spacing w:val="19"/>
              </w:rPr>
              <w:t>(二十八)《医疗技术临床应用管理办法》</w:t>
            </w:r>
            <w:r>
              <w:rPr>
                <w:rFonts w:ascii="KaiTi" w:hAnsi="KaiTi" w:eastAsia="KaiTi" w:cs="KaiTi"/>
                <w:sz w:val="20"/>
                <w:szCs w:val="20"/>
                <w:spacing w:val="3"/>
              </w:rPr>
              <w:t xml:space="preserve">                   </w:t>
            </w:r>
            <w:r>
              <w:rPr>
                <w:rFonts w:ascii="KaiTi" w:hAnsi="KaiTi" w:eastAsia="KaiTi" w:cs="KaiTi"/>
                <w:sz w:val="20"/>
                <w:szCs w:val="20"/>
                <w:spacing w:val="2"/>
              </w:rPr>
              <w:t xml:space="preserve">          </w:t>
            </w:r>
            <w:r>
              <w:rPr>
                <w:rFonts w:ascii="KaiTi" w:hAnsi="KaiTi" w:eastAsia="KaiTi" w:cs="KaiTi"/>
                <w:sz w:val="20"/>
                <w:szCs w:val="20"/>
              </w:rPr>
              <w:tab/>
            </w:r>
            <w:r>
              <w:rPr>
                <w:rFonts w:ascii="KaiTi" w:hAnsi="KaiTi" w:eastAsia="KaiTi" w:cs="KaiTi"/>
                <w:sz w:val="20"/>
                <w:szCs w:val="20"/>
                <w:spacing w:val="72"/>
              </w:rPr>
              <w:t xml:space="preserve"> </w:t>
            </w:r>
            <w:r>
              <w:rPr>
                <w:rFonts w:ascii="SimHei" w:hAnsi="SimHei" w:eastAsia="SimHei" w:cs="SimHei"/>
                <w:sz w:val="12"/>
                <w:szCs w:val="12"/>
                <w:spacing w:val="-1"/>
              </w:rPr>
              <w:t>405</w:t>
            </w:r>
          </w:hyperlink>
        </w:p>
        <w:p>
          <w:pPr>
            <w:pStyle w:val="BodyText"/>
            <w:spacing w:line="334" w:lineRule="auto"/>
            <w:rPr/>
          </w:pPr>
          <w:r/>
        </w:p>
        <w:p>
          <w:pPr>
            <w:ind w:left="310"/>
            <w:spacing w:before="65" w:line="221" w:lineRule="auto"/>
            <w:tabs>
              <w:tab w:val="right" w:leader="dot" w:pos="13405"/>
            </w:tabs>
            <w:rPr>
              <w:rFonts w:ascii="Times New Roman" w:hAnsi="Times New Roman" w:eastAsia="Times New Roman" w:cs="Times New Roman"/>
              <w:sz w:val="20"/>
              <w:szCs w:val="20"/>
            </w:rPr>
          </w:pPr>
          <w:hyperlink w:history="true" w:anchor="bookmark411">
            <w:r>
              <w:rPr>
                <w:rFonts w:ascii="SimHei" w:hAnsi="SimHei" w:eastAsia="SimHei" w:cs="SimHei"/>
                <w:sz w:val="20"/>
                <w:szCs w:val="20"/>
                <w:spacing w:val="21"/>
              </w:rPr>
              <w:t>第三百二十一条</w:t>
            </w:r>
            <w:r>
              <w:rPr>
                <w:rFonts w:ascii="SimHei" w:hAnsi="SimHei" w:eastAsia="SimHei" w:cs="SimHei"/>
                <w:sz w:val="20"/>
                <w:szCs w:val="20"/>
                <w:spacing w:val="61"/>
              </w:rPr>
              <w:t xml:space="preserve"> </w:t>
            </w:r>
            <w:r>
              <w:rPr>
                <w:rFonts w:ascii="SimHei" w:hAnsi="SimHei" w:eastAsia="SimHei" w:cs="SimHei"/>
                <w:sz w:val="20"/>
                <w:szCs w:val="20"/>
                <w:spacing w:val="21"/>
              </w:rPr>
              <w:t>医疗机构未建立医疗技术临床应用管理专门组织或者未指定专(</w:t>
            </w:r>
            <w:r>
              <w:rPr>
                <w:rFonts w:ascii="SimHei" w:hAnsi="SimHei" w:eastAsia="SimHei" w:cs="SimHei"/>
                <w:sz w:val="20"/>
                <w:szCs w:val="20"/>
                <w:spacing w:val="20"/>
              </w:rPr>
              <w:t>兼)职人员负责具体管理工作的</w:t>
            </w:r>
            <w:r>
              <w:rPr>
                <w:rFonts w:ascii="SimHei" w:hAnsi="SimHei" w:eastAsia="SimHei" w:cs="SimHei"/>
                <w:sz w:val="20"/>
                <w:szCs w:val="20"/>
                <w:spacing w:val="-88"/>
              </w:rPr>
              <w:t xml:space="preserve"> </w:t>
            </w:r>
            <w:r>
              <w:rPr>
                <w:rFonts w:ascii="SimHei" w:hAnsi="SimHei" w:eastAsia="SimHei" w:cs="SimHei"/>
                <w:sz w:val="20"/>
                <w:szCs w:val="20"/>
              </w:rPr>
              <w:tab/>
            </w:r>
            <w:r>
              <w:rPr>
                <w:rFonts w:ascii="SimHei" w:hAnsi="SimHei" w:eastAsia="SimHei" w:cs="SimHei"/>
                <w:sz w:val="20"/>
                <w:szCs w:val="20"/>
                <w:spacing w:val="-68"/>
              </w:rPr>
              <w:t xml:space="preserve"> </w:t>
            </w:r>
            <w:r>
              <w:rPr>
                <w:rFonts w:ascii="Times New Roman" w:hAnsi="Times New Roman" w:eastAsia="Times New Roman" w:cs="Times New Roman"/>
                <w:sz w:val="20"/>
                <w:szCs w:val="20"/>
                <w:spacing w:val="-1"/>
              </w:rPr>
              <w:t>405</w:t>
            </w:r>
          </w:hyperlink>
        </w:p>
        <w:p>
          <w:pPr>
            <w:pStyle w:val="BodyText"/>
            <w:spacing w:line="256" w:lineRule="auto"/>
            <w:rPr/>
          </w:pPr>
          <w:r/>
        </w:p>
        <w:p>
          <w:pPr>
            <w:pStyle w:val="BodyText"/>
            <w:spacing w:line="256" w:lineRule="auto"/>
            <w:rPr/>
          </w:pPr>
          <w:r/>
        </w:p>
        <w:p>
          <w:pPr>
            <w:ind w:left="310"/>
            <w:spacing w:before="66" w:line="222" w:lineRule="auto"/>
            <w:tabs>
              <w:tab w:val="right" w:leader="dot" w:pos="13315"/>
            </w:tabs>
            <w:rPr>
              <w:rFonts w:ascii="Times New Roman" w:hAnsi="Times New Roman" w:eastAsia="Times New Roman" w:cs="Times New Roman"/>
              <w:sz w:val="20"/>
              <w:szCs w:val="20"/>
            </w:rPr>
          </w:pPr>
          <w:hyperlink w:history="true" w:anchor="bookmark412">
            <w:r>
              <w:rPr>
                <w:rFonts w:ascii="SimHei" w:hAnsi="SimHei" w:eastAsia="SimHei" w:cs="SimHei"/>
                <w:sz w:val="20"/>
                <w:szCs w:val="20"/>
                <w:spacing w:val="19"/>
              </w:rPr>
              <w:t>第三百二十二条</w:t>
            </w:r>
            <w:r>
              <w:rPr>
                <w:rFonts w:ascii="SimHei" w:hAnsi="SimHei" w:eastAsia="SimHei" w:cs="SimHei"/>
                <w:sz w:val="20"/>
                <w:szCs w:val="20"/>
                <w:spacing w:val="67"/>
              </w:rPr>
              <w:t xml:space="preserve"> </w:t>
            </w:r>
            <w:r>
              <w:rPr>
                <w:rFonts w:ascii="SimHei" w:hAnsi="SimHei" w:eastAsia="SimHei" w:cs="SimHei"/>
                <w:sz w:val="20"/>
                <w:szCs w:val="20"/>
                <w:spacing w:val="19"/>
              </w:rPr>
              <w:t>医疗机构未建立医疗技术临床应用管理相关规章制度的</w:t>
            </w:r>
            <w:r>
              <w:rPr>
                <w:rFonts w:ascii="SimHei" w:hAnsi="SimHei" w:eastAsia="SimHei" w:cs="SimHei"/>
                <w:sz w:val="20"/>
                <w:szCs w:val="20"/>
                <w:spacing w:val="-88"/>
              </w:rPr>
              <w:t xml:space="preserve"> </w:t>
            </w:r>
            <w:r>
              <w:rPr>
                <w:rFonts w:ascii="SimHei" w:hAnsi="SimHei" w:eastAsia="SimHei" w:cs="SimHei"/>
                <w:sz w:val="20"/>
                <w:szCs w:val="20"/>
              </w:rPr>
              <w:tab/>
            </w:r>
            <w:r>
              <w:rPr>
                <w:rFonts w:ascii="Times New Roman" w:hAnsi="Times New Roman" w:eastAsia="Times New Roman" w:cs="Times New Roman"/>
                <w:sz w:val="20"/>
                <w:szCs w:val="20"/>
                <w:spacing w:val="1"/>
              </w:rPr>
              <w:t>406</w:t>
            </w:r>
          </w:hyperlink>
        </w:p>
        <w:p>
          <w:pPr>
            <w:pStyle w:val="BodyText"/>
            <w:spacing w:line="256" w:lineRule="auto"/>
            <w:rPr/>
          </w:pPr>
          <w:r/>
        </w:p>
        <w:p>
          <w:pPr>
            <w:pStyle w:val="BodyText"/>
            <w:spacing w:line="256" w:lineRule="auto"/>
            <w:rPr/>
          </w:pPr>
          <w:r/>
        </w:p>
        <w:p>
          <w:pPr>
            <w:ind w:left="310"/>
            <w:spacing w:before="65" w:line="213" w:lineRule="auto"/>
            <w:tabs>
              <w:tab w:val="right" w:leader="dot" w:pos="13315"/>
            </w:tabs>
            <w:rPr>
              <w:rFonts w:ascii="Times New Roman" w:hAnsi="Times New Roman" w:eastAsia="Times New Roman" w:cs="Times New Roman"/>
              <w:sz w:val="20"/>
              <w:szCs w:val="20"/>
            </w:rPr>
          </w:pPr>
          <w:hyperlink w:history="true" w:anchor="bookmark413">
            <w:r>
              <w:rPr>
                <w:rFonts w:ascii="SimHei" w:hAnsi="SimHei" w:eastAsia="SimHei" w:cs="SimHei"/>
                <w:sz w:val="20"/>
                <w:szCs w:val="20"/>
                <w:spacing w:val="16"/>
              </w:rPr>
              <w:t>第三百二十三条</w:t>
            </w:r>
            <w:r>
              <w:rPr>
                <w:rFonts w:ascii="SimHei" w:hAnsi="SimHei" w:eastAsia="SimHei" w:cs="SimHei"/>
                <w:sz w:val="20"/>
                <w:szCs w:val="20"/>
                <w:spacing w:val="67"/>
              </w:rPr>
              <w:t xml:space="preserve"> </w:t>
            </w:r>
            <w:r>
              <w:rPr>
                <w:rFonts w:ascii="SimHei" w:hAnsi="SimHei" w:eastAsia="SimHei" w:cs="SimHei"/>
                <w:sz w:val="20"/>
                <w:szCs w:val="20"/>
                <w:spacing w:val="16"/>
              </w:rPr>
              <w:t>医疗机构医疗技术临床应用管理混乱，存在医疗质量和医疗安全隐患的</w:t>
            </w:r>
            <w:r>
              <w:rPr>
                <w:rFonts w:ascii="SimHei" w:hAnsi="SimHei" w:eastAsia="SimHei" w:cs="SimHei"/>
                <w:sz w:val="20"/>
                <w:szCs w:val="20"/>
                <w:spacing w:val="-87"/>
              </w:rPr>
              <w:t xml:space="preserve"> </w:t>
            </w:r>
            <w:r>
              <w:rPr>
                <w:rFonts w:ascii="SimHei" w:hAnsi="SimHei" w:eastAsia="SimHei" w:cs="SimHei"/>
                <w:sz w:val="20"/>
                <w:szCs w:val="20"/>
              </w:rPr>
              <w:tab/>
            </w:r>
            <w:r>
              <w:rPr>
                <w:rFonts w:ascii="Times New Roman" w:hAnsi="Times New Roman" w:eastAsia="Times New Roman" w:cs="Times New Roman"/>
                <w:sz w:val="20"/>
                <w:szCs w:val="20"/>
                <w:spacing w:val="1"/>
              </w:rPr>
              <w:t>407</w:t>
            </w:r>
          </w:hyperlink>
        </w:p>
        <w:p>
          <w:pPr>
            <w:pStyle w:val="BodyText"/>
            <w:spacing w:line="264" w:lineRule="auto"/>
            <w:rPr/>
          </w:pPr>
          <w:r/>
        </w:p>
        <w:p>
          <w:pPr>
            <w:pStyle w:val="BodyText"/>
            <w:spacing w:line="265" w:lineRule="auto"/>
            <w:rPr/>
          </w:pPr>
          <w:r/>
        </w:p>
        <w:p>
          <w:pPr>
            <w:ind w:left="310"/>
            <w:spacing w:before="66" w:line="222" w:lineRule="auto"/>
            <w:tabs>
              <w:tab w:val="right" w:leader="dot" w:pos="13315"/>
            </w:tabs>
            <w:rPr>
              <w:rFonts w:ascii="Times New Roman" w:hAnsi="Times New Roman" w:eastAsia="Times New Roman" w:cs="Times New Roman"/>
              <w:sz w:val="20"/>
              <w:szCs w:val="20"/>
            </w:rPr>
          </w:pPr>
          <w:hyperlink w:history="true" w:anchor="bookmark414">
            <w:r>
              <w:rPr>
                <w:rFonts w:ascii="SimHei" w:hAnsi="SimHei" w:eastAsia="SimHei" w:cs="SimHei"/>
                <w:sz w:val="20"/>
                <w:szCs w:val="20"/>
                <w:spacing w:val="17"/>
              </w:rPr>
              <w:t>第三百二十四条</w:t>
            </w:r>
            <w:r>
              <w:rPr>
                <w:rFonts w:ascii="SimHei" w:hAnsi="SimHei" w:eastAsia="SimHei" w:cs="SimHei"/>
                <w:sz w:val="20"/>
                <w:szCs w:val="20"/>
                <w:spacing w:val="63"/>
              </w:rPr>
              <w:t xml:space="preserve"> </w:t>
            </w:r>
            <w:r>
              <w:rPr>
                <w:rFonts w:ascii="SimHei" w:hAnsi="SimHei" w:eastAsia="SimHei" w:cs="SimHei"/>
                <w:sz w:val="20"/>
                <w:szCs w:val="20"/>
                <w:spacing w:val="17"/>
              </w:rPr>
              <w:t>医疗机构未按照要求向卫生行政部门进行医疗技术临床应用备案的</w:t>
            </w:r>
            <w:r>
              <w:rPr>
                <w:rFonts w:ascii="SimHei" w:hAnsi="SimHei" w:eastAsia="SimHei" w:cs="SimHei"/>
                <w:sz w:val="20"/>
                <w:szCs w:val="20"/>
                <w:spacing w:val="-87"/>
              </w:rPr>
              <w:t xml:space="preserve"> </w:t>
            </w:r>
            <w:r>
              <w:rPr>
                <w:rFonts w:ascii="SimHei" w:hAnsi="SimHei" w:eastAsia="SimHei" w:cs="SimHei"/>
                <w:sz w:val="20"/>
                <w:szCs w:val="20"/>
              </w:rPr>
              <w:tab/>
            </w:r>
            <w:r>
              <w:rPr>
                <w:rFonts w:ascii="Times New Roman" w:hAnsi="Times New Roman" w:eastAsia="Times New Roman" w:cs="Times New Roman"/>
                <w:sz w:val="20"/>
                <w:szCs w:val="20"/>
                <w:spacing w:val="1"/>
              </w:rPr>
              <w:t>407</w:t>
            </w:r>
          </w:hyperlink>
        </w:p>
        <w:p>
          <w:pPr>
            <w:pStyle w:val="BodyText"/>
            <w:spacing w:line="260" w:lineRule="auto"/>
            <w:rPr/>
          </w:pPr>
          <w:r/>
        </w:p>
        <w:p>
          <w:pPr>
            <w:pStyle w:val="BodyText"/>
            <w:spacing w:line="261" w:lineRule="auto"/>
            <w:rPr/>
          </w:pPr>
          <w:r/>
        </w:p>
        <w:p>
          <w:pPr>
            <w:ind w:left="310"/>
            <w:spacing w:before="66" w:line="222" w:lineRule="auto"/>
            <w:tabs>
              <w:tab w:val="right" w:leader="dot" w:pos="13435"/>
            </w:tabs>
            <w:rPr>
              <w:rFonts w:ascii="Times New Roman" w:hAnsi="Times New Roman" w:eastAsia="Times New Roman" w:cs="Times New Roman"/>
              <w:sz w:val="20"/>
              <w:szCs w:val="20"/>
            </w:rPr>
          </w:pPr>
          <w:hyperlink w:history="true" w:anchor="bookmark415">
            <w:r>
              <w:rPr>
                <w:rFonts w:ascii="SimHei" w:hAnsi="SimHei" w:eastAsia="SimHei" w:cs="SimHei"/>
                <w:sz w:val="20"/>
                <w:szCs w:val="20"/>
                <w:spacing w:val="17"/>
              </w:rPr>
              <w:t>第三百二十五条</w:t>
            </w:r>
            <w:r>
              <w:rPr>
                <w:rFonts w:ascii="SimHei" w:hAnsi="SimHei" w:eastAsia="SimHei" w:cs="SimHei"/>
                <w:sz w:val="20"/>
                <w:szCs w:val="20"/>
                <w:spacing w:val="57"/>
              </w:rPr>
              <w:t xml:space="preserve"> </w:t>
            </w:r>
            <w:r>
              <w:rPr>
                <w:rFonts w:ascii="SimHei" w:hAnsi="SimHei" w:eastAsia="SimHei" w:cs="SimHei"/>
                <w:sz w:val="20"/>
                <w:szCs w:val="20"/>
                <w:spacing w:val="17"/>
              </w:rPr>
              <w:t>医疗机构未按照要求报告或者报告不实信息的</w:t>
            </w:r>
            <w:r>
              <w:rPr>
                <w:rFonts w:ascii="SimHei" w:hAnsi="SimHei" w:eastAsia="SimHei" w:cs="SimHei"/>
                <w:sz w:val="20"/>
                <w:szCs w:val="20"/>
                <w:spacing w:val="-87"/>
              </w:rPr>
              <w:t xml:space="preserve"> </w:t>
            </w:r>
            <w:r>
              <w:rPr>
                <w:rFonts w:ascii="SimHei" w:hAnsi="SimHei" w:eastAsia="SimHei" w:cs="SimHei"/>
                <w:sz w:val="20"/>
                <w:szCs w:val="20"/>
              </w:rPr>
              <w:tab/>
            </w:r>
            <w:r>
              <w:rPr>
                <w:rFonts w:ascii="Times New Roman" w:hAnsi="Times New Roman" w:eastAsia="Times New Roman" w:cs="Times New Roman"/>
                <w:sz w:val="20"/>
                <w:szCs w:val="20"/>
                <w:spacing w:val="6"/>
              </w:rPr>
              <w:t>408</w:t>
            </w:r>
          </w:hyperlink>
        </w:p>
      </w:sdtContent>
    </w:sdt>
    <w:p>
      <w:pPr>
        <w:spacing w:line="222" w:lineRule="auto"/>
        <w:sectPr>
          <w:footerReference w:type="default" r:id="rId39"/>
          <w:pgSz w:w="16830" w:h="11900"/>
          <w:pgMar w:top="1011" w:right="1413" w:bottom="1134" w:left="1980" w:header="0" w:footer="792" w:gutter="0"/>
        </w:sectPr>
        <w:rPr>
          <w:rFonts w:ascii="Times New Roman" w:hAnsi="Times New Roman" w:eastAsia="Times New Roman" w:cs="Times New Roman"/>
          <w:sz w:val="20"/>
          <w:szCs w:val="20"/>
        </w:rPr>
      </w:pPr>
    </w:p>
    <w:p>
      <w:pPr>
        <w:pStyle w:val="BodyText"/>
        <w:spacing w:line="317" w:lineRule="auto"/>
        <w:rPr/>
      </w:pPr>
      <w:r/>
    </w:p>
    <w:p>
      <w:pPr>
        <w:pStyle w:val="BodyText"/>
        <w:spacing w:line="317" w:lineRule="auto"/>
        <w:rPr/>
      </w:pPr>
      <w:r/>
    </w:p>
    <w:p>
      <w:pPr>
        <w:pStyle w:val="BodyText"/>
        <w:spacing w:line="317"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340"/>
            <w:spacing w:before="68" w:line="221" w:lineRule="auto"/>
            <w:tabs>
              <w:tab w:val="right" w:leader="dot" w:pos="13380"/>
            </w:tabs>
            <w:rPr>
              <w:rFonts w:ascii="Times New Roman" w:hAnsi="Times New Roman" w:eastAsia="Times New Roman" w:cs="Times New Roman"/>
              <w:sz w:val="21"/>
              <w:szCs w:val="21"/>
            </w:rPr>
          </w:pPr>
          <w:hyperlink w:history="true" w:anchor="bookmark416">
            <w:r>
              <w:rPr>
                <w:rFonts w:ascii="SimHei" w:hAnsi="SimHei" w:eastAsia="SimHei" w:cs="SimHei"/>
                <w:sz w:val="21"/>
                <w:szCs w:val="21"/>
                <w:spacing w:val="9"/>
              </w:rPr>
              <w:t>第三百二十六条</w:t>
            </w:r>
            <w:r>
              <w:rPr>
                <w:rFonts w:ascii="SimHei" w:hAnsi="SimHei" w:eastAsia="SimHei" w:cs="SimHei"/>
                <w:sz w:val="21"/>
                <w:szCs w:val="21"/>
                <w:spacing w:val="55"/>
              </w:rPr>
              <w:t xml:space="preserve"> </w:t>
            </w:r>
            <w:r>
              <w:rPr>
                <w:rFonts w:ascii="SimHei" w:hAnsi="SimHei" w:eastAsia="SimHei" w:cs="SimHei"/>
                <w:sz w:val="21"/>
                <w:szCs w:val="21"/>
                <w:spacing w:val="9"/>
              </w:rPr>
              <w:t>医疗机构未按照要求向国家和省级医疗技术临床应用信息化管理平台报送相关信息的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rPr>
              <w:t>409</w:t>
            </w:r>
          </w:hyperlink>
        </w:p>
        <w:p>
          <w:pPr>
            <w:pStyle w:val="BodyText"/>
            <w:spacing w:line="253" w:lineRule="auto"/>
            <w:rPr/>
          </w:pPr>
          <w:r/>
        </w:p>
        <w:p>
          <w:pPr>
            <w:pStyle w:val="BodyText"/>
            <w:spacing w:line="254" w:lineRule="auto"/>
            <w:rPr/>
          </w:pPr>
          <w:r/>
        </w:p>
        <w:p>
          <w:pPr>
            <w:ind w:left="340"/>
            <w:spacing w:before="68" w:line="221" w:lineRule="auto"/>
            <w:tabs>
              <w:tab w:val="right" w:leader="dot" w:pos="13380"/>
            </w:tabs>
            <w:rPr>
              <w:rFonts w:ascii="Times New Roman" w:hAnsi="Times New Roman" w:eastAsia="Times New Roman" w:cs="Times New Roman"/>
              <w:sz w:val="21"/>
              <w:szCs w:val="21"/>
            </w:rPr>
          </w:pPr>
          <w:hyperlink w:history="true" w:anchor="bookmark417">
            <w:r>
              <w:rPr>
                <w:rFonts w:ascii="SimHei" w:hAnsi="SimHei" w:eastAsia="SimHei" w:cs="SimHei"/>
                <w:sz w:val="21"/>
                <w:szCs w:val="21"/>
                <w:spacing w:val="9"/>
              </w:rPr>
              <w:t>第三百二十七条</w:t>
            </w:r>
            <w:r>
              <w:rPr>
                <w:rFonts w:ascii="SimHei" w:hAnsi="SimHei" w:eastAsia="SimHei" w:cs="SimHei"/>
                <w:sz w:val="21"/>
                <w:szCs w:val="21"/>
                <w:spacing w:val="37"/>
              </w:rPr>
              <w:t xml:space="preserve"> </w:t>
            </w:r>
            <w:r>
              <w:rPr>
                <w:rFonts w:ascii="SimHei" w:hAnsi="SimHei" w:eastAsia="SimHei" w:cs="SimHei"/>
                <w:sz w:val="21"/>
                <w:szCs w:val="21"/>
                <w:spacing w:val="9"/>
              </w:rPr>
              <w:t>医疗机构未将相关信息纳入院务公开范围向</w:t>
            </w:r>
            <w:r>
              <w:rPr>
                <w:rFonts w:ascii="SimHei" w:hAnsi="SimHei" w:eastAsia="SimHei" w:cs="SimHei"/>
                <w:sz w:val="21"/>
                <w:szCs w:val="21"/>
                <w:spacing w:val="8"/>
              </w:rPr>
              <w:t>社会公开的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410</w:t>
            </w:r>
          </w:hyperlink>
        </w:p>
        <w:p>
          <w:pPr>
            <w:pStyle w:val="BodyText"/>
            <w:spacing w:line="258" w:lineRule="auto"/>
            <w:rPr/>
          </w:pPr>
          <w:r/>
        </w:p>
        <w:p>
          <w:pPr>
            <w:pStyle w:val="BodyText"/>
            <w:spacing w:line="259" w:lineRule="auto"/>
            <w:rPr/>
          </w:pPr>
          <w:r/>
        </w:p>
        <w:p>
          <w:pPr>
            <w:ind w:left="340"/>
            <w:spacing w:before="68" w:line="221" w:lineRule="auto"/>
            <w:tabs>
              <w:tab w:val="right" w:leader="dot" w:pos="13380"/>
            </w:tabs>
            <w:rPr>
              <w:rFonts w:ascii="Times New Roman" w:hAnsi="Times New Roman" w:eastAsia="Times New Roman" w:cs="Times New Roman"/>
              <w:sz w:val="21"/>
              <w:szCs w:val="21"/>
            </w:rPr>
          </w:pPr>
          <w:hyperlink w:history="true" w:anchor="bookmark418">
            <w:r>
              <w:rPr>
                <w:rFonts w:ascii="SimHei" w:hAnsi="SimHei" w:eastAsia="SimHei" w:cs="SimHei"/>
                <w:sz w:val="21"/>
                <w:szCs w:val="21"/>
                <w:spacing w:val="9"/>
              </w:rPr>
              <w:t>第三百二十八条</w:t>
            </w:r>
            <w:r>
              <w:rPr>
                <w:rFonts w:ascii="SimHei" w:hAnsi="SimHei" w:eastAsia="SimHei" w:cs="SimHei"/>
                <w:sz w:val="21"/>
                <w:szCs w:val="21"/>
                <w:spacing w:val="50"/>
              </w:rPr>
              <w:t xml:space="preserve"> </w:t>
            </w:r>
            <w:r>
              <w:rPr>
                <w:rFonts w:ascii="SimHei" w:hAnsi="SimHei" w:eastAsia="SimHei" w:cs="SimHei"/>
                <w:sz w:val="21"/>
                <w:szCs w:val="21"/>
                <w:spacing w:val="9"/>
              </w:rPr>
              <w:t>医疗机构未按要求保障医务人员接受医疗技术临床应用规范化培训权益的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51"/>
              </w:rPr>
              <w:t xml:space="preserve"> </w:t>
            </w:r>
            <w:r>
              <w:rPr>
                <w:rFonts w:ascii="Times New Roman" w:hAnsi="Times New Roman" w:eastAsia="Times New Roman" w:cs="Times New Roman"/>
                <w:sz w:val="21"/>
                <w:szCs w:val="21"/>
                <w:spacing w:val="-1"/>
              </w:rPr>
              <w:t>411</w:t>
            </w:r>
          </w:hyperlink>
        </w:p>
        <w:p>
          <w:pPr>
            <w:pStyle w:val="BodyText"/>
            <w:spacing w:line="244" w:lineRule="auto"/>
            <w:rPr/>
          </w:pPr>
          <w:r/>
        </w:p>
        <w:p>
          <w:pPr>
            <w:pStyle w:val="BodyText"/>
            <w:spacing w:line="244" w:lineRule="auto"/>
            <w:rPr/>
          </w:pPr>
          <w:r/>
        </w:p>
        <w:p>
          <w:pPr>
            <w:ind w:left="340"/>
            <w:spacing w:before="68" w:line="213" w:lineRule="auto"/>
            <w:tabs>
              <w:tab w:val="right" w:leader="dot" w:pos="13255"/>
            </w:tabs>
            <w:rPr>
              <w:rFonts w:ascii="Times New Roman" w:hAnsi="Times New Roman" w:eastAsia="Times New Roman" w:cs="Times New Roman"/>
              <w:sz w:val="21"/>
              <w:szCs w:val="21"/>
            </w:rPr>
          </w:pPr>
          <w:hyperlink w:history="true" w:anchor="bookmark419">
            <w:r>
              <w:rPr>
                <w:rFonts w:ascii="SimHei" w:hAnsi="SimHei" w:eastAsia="SimHei" w:cs="SimHei"/>
                <w:sz w:val="21"/>
                <w:szCs w:val="21"/>
                <w:spacing w:val="9"/>
              </w:rPr>
              <w:t>第三百二十九条</w:t>
            </w:r>
            <w:r>
              <w:rPr>
                <w:rFonts w:ascii="SimHei" w:hAnsi="SimHei" w:eastAsia="SimHei" w:cs="SimHei"/>
                <w:sz w:val="21"/>
                <w:szCs w:val="21"/>
                <w:spacing w:val="55"/>
              </w:rPr>
              <w:t xml:space="preserve"> </w:t>
            </w:r>
            <w:r>
              <w:rPr>
                <w:rFonts w:ascii="SimHei" w:hAnsi="SimHei" w:eastAsia="SimHei" w:cs="SimHei"/>
                <w:sz w:val="21"/>
                <w:szCs w:val="21"/>
                <w:spacing w:val="9"/>
              </w:rPr>
              <w:t>医疗机构管理混乱导致医疗技术临床应用造成严重不良后果，并产生重大社会影响的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6"/>
              </w:rPr>
              <w:t>11</w:t>
            </w:r>
          </w:hyperlink>
        </w:p>
        <w:p>
          <w:pPr>
            <w:pStyle w:val="BodyText"/>
            <w:spacing w:line="364" w:lineRule="auto"/>
            <w:rPr/>
          </w:pPr>
          <w:r/>
        </w:p>
        <w:p>
          <w:pPr>
            <w:spacing w:before="68" w:line="212" w:lineRule="auto"/>
            <w:tabs>
              <w:tab w:val="right" w:leader="dot" w:pos="13390"/>
            </w:tabs>
            <w:rPr>
              <w:rFonts w:ascii="Times New Roman" w:hAnsi="Times New Roman" w:eastAsia="Times New Roman" w:cs="Times New Roman"/>
              <w:sz w:val="21"/>
              <w:szCs w:val="21"/>
            </w:rPr>
          </w:pPr>
          <w:hyperlink w:history="true" w:anchor="bookmark420">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16"/>
                <w:w w:val="101"/>
              </w:rPr>
              <w:t xml:space="preserve"> </w:t>
            </w:r>
            <w:r>
              <w:rPr>
                <w:rFonts w:ascii="KaiTi" w:hAnsi="KaiTi" w:eastAsia="KaiTi" w:cs="KaiTi"/>
                <w:sz w:val="21"/>
                <w:szCs w:val="21"/>
                <w:spacing w:val="5"/>
              </w:rPr>
              <w:t>二十九)《中华人民共和国献血法》</w:t>
            </w:r>
            <w:r>
              <w:rPr>
                <w:rFonts w:ascii="KaiTi" w:hAnsi="KaiTi" w:eastAsia="KaiTi" w:cs="KaiTi"/>
                <w:sz w:val="21"/>
                <w:szCs w:val="21"/>
                <w:spacing w:val="-75"/>
              </w:rPr>
              <w:t xml:space="preserve"> </w:t>
            </w:r>
            <w:r>
              <w:rPr>
                <w:rFonts w:ascii="KaiTi" w:hAnsi="KaiTi" w:eastAsia="KaiTi" w:cs="KaiTi"/>
                <w:sz w:val="21"/>
                <w:szCs w:val="21"/>
              </w:rPr>
              <w:tab/>
            </w:r>
            <w:r>
              <w:rPr>
                <w:rFonts w:ascii="Times New Roman" w:hAnsi="Times New Roman" w:eastAsia="Times New Roman" w:cs="Times New Roman"/>
                <w:sz w:val="21"/>
                <w:szCs w:val="21"/>
                <w:spacing w:val="1"/>
              </w:rPr>
              <w:t>412</w:t>
            </w:r>
          </w:hyperlink>
        </w:p>
        <w:p>
          <w:pPr>
            <w:pStyle w:val="BodyText"/>
            <w:spacing w:line="288" w:lineRule="auto"/>
            <w:rPr/>
          </w:pPr>
          <w:r/>
        </w:p>
        <w:p>
          <w:pPr>
            <w:ind w:left="343"/>
            <w:spacing w:before="68" w:line="222" w:lineRule="auto"/>
            <w:tabs>
              <w:tab w:val="right" w:leader="dot" w:pos="13430"/>
            </w:tabs>
            <w:rPr>
              <w:rFonts w:ascii="Times New Roman" w:hAnsi="Times New Roman" w:eastAsia="Times New Roman" w:cs="Times New Roman"/>
              <w:sz w:val="21"/>
              <w:szCs w:val="21"/>
            </w:rPr>
          </w:pPr>
          <w:hyperlink w:history="true" w:anchor="bookmark421">
            <w:r>
              <w:rPr>
                <w:rFonts w:ascii="SimHei" w:hAnsi="SimHei" w:eastAsia="SimHei" w:cs="SimHei"/>
                <w:sz w:val="21"/>
                <w:szCs w:val="21"/>
                <w:b/>
                <w:bCs/>
                <w:spacing w:val="7"/>
              </w:rPr>
              <w:t>第三百三十条</w:t>
            </w:r>
            <w:r>
              <w:rPr>
                <w:rFonts w:ascii="SimHei" w:hAnsi="SimHei" w:eastAsia="SimHei" w:cs="SimHei"/>
                <w:sz w:val="21"/>
                <w:szCs w:val="21"/>
                <w:spacing w:val="46"/>
              </w:rPr>
              <w:t xml:space="preserve"> </w:t>
            </w:r>
            <w:r>
              <w:rPr>
                <w:rFonts w:ascii="SimHei" w:hAnsi="SimHei" w:eastAsia="SimHei" w:cs="SimHei"/>
                <w:sz w:val="21"/>
                <w:szCs w:val="21"/>
                <w:b/>
                <w:bCs/>
                <w:spacing w:val="7"/>
              </w:rPr>
              <w:t>非法采集血液的</w:t>
            </w:r>
            <w:r>
              <w:rPr>
                <w:rFonts w:ascii="SimHei" w:hAnsi="SimHei" w:eastAsia="SimHei" w:cs="SimHei"/>
                <w:sz w:val="21"/>
                <w:szCs w:val="21"/>
                <w:spacing w:val="-90"/>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412</w:t>
            </w:r>
          </w:hyperlink>
        </w:p>
        <w:p>
          <w:pPr>
            <w:pStyle w:val="BodyText"/>
            <w:spacing w:line="249" w:lineRule="auto"/>
            <w:rPr/>
          </w:pPr>
          <w:r/>
        </w:p>
        <w:p>
          <w:pPr>
            <w:pStyle w:val="BodyText"/>
            <w:spacing w:line="250" w:lineRule="auto"/>
            <w:rPr/>
          </w:pPr>
          <w:r/>
        </w:p>
        <w:p>
          <w:pPr>
            <w:ind w:left="340"/>
            <w:spacing w:before="69" w:line="222" w:lineRule="auto"/>
            <w:tabs>
              <w:tab w:val="right" w:leader="dot" w:pos="13370"/>
            </w:tabs>
            <w:rPr>
              <w:rFonts w:ascii="Times New Roman" w:hAnsi="Times New Roman" w:eastAsia="Times New Roman" w:cs="Times New Roman"/>
              <w:sz w:val="21"/>
              <w:szCs w:val="21"/>
            </w:rPr>
          </w:pPr>
          <w:hyperlink w:history="true" w:anchor="bookmark422">
            <w:r>
              <w:rPr>
                <w:rFonts w:ascii="SimHei" w:hAnsi="SimHei" w:eastAsia="SimHei" w:cs="SimHei"/>
                <w:sz w:val="21"/>
                <w:szCs w:val="21"/>
                <w:spacing w:val="9"/>
              </w:rPr>
              <w:t>第三百三十一条</w:t>
            </w:r>
            <w:r>
              <w:rPr>
                <w:rFonts w:ascii="SimHei" w:hAnsi="SimHei" w:eastAsia="SimHei" w:cs="SimHei"/>
                <w:sz w:val="21"/>
                <w:szCs w:val="21"/>
                <w:spacing w:val="9"/>
              </w:rPr>
              <w:t xml:space="preserve"> </w:t>
            </w:r>
            <w:r>
              <w:rPr>
                <w:rFonts w:ascii="SimHei" w:hAnsi="SimHei" w:eastAsia="SimHei" w:cs="SimHei"/>
                <w:sz w:val="21"/>
                <w:szCs w:val="21"/>
                <w:spacing w:val="9"/>
              </w:rPr>
              <w:t>血站、医疗机构出售无偿献血的</w:t>
            </w:r>
            <w:r>
              <w:rPr>
                <w:rFonts w:ascii="SimHei" w:hAnsi="SimHei" w:eastAsia="SimHei" w:cs="SimHei"/>
                <w:sz w:val="21"/>
                <w:szCs w:val="21"/>
                <w:spacing w:val="8"/>
              </w:rPr>
              <w:t>血液的</w:t>
            </w:r>
            <w:r>
              <w:rPr>
                <w:rFonts w:ascii="SimHei" w:hAnsi="SimHei" w:eastAsia="SimHei" w:cs="SimHei"/>
                <w:sz w:val="21"/>
                <w:szCs w:val="21"/>
                <w:spacing w:val="-94"/>
              </w:rPr>
              <w:t xml:space="preserve"> </w:t>
            </w:r>
            <w:r>
              <w:rPr>
                <w:rFonts w:ascii="SimHei" w:hAnsi="SimHei" w:eastAsia="SimHei" w:cs="SimHei"/>
                <w:sz w:val="21"/>
                <w:szCs w:val="21"/>
              </w:rPr>
              <w:tab/>
            </w:r>
            <w:r>
              <w:rPr>
                <w:rFonts w:ascii="Times New Roman" w:hAnsi="Times New Roman" w:eastAsia="Times New Roman" w:cs="Times New Roman"/>
                <w:sz w:val="21"/>
                <w:szCs w:val="21"/>
                <w:spacing w:val="3"/>
              </w:rPr>
              <w:t>414</w:t>
            </w:r>
          </w:hyperlink>
        </w:p>
        <w:p>
          <w:pPr>
            <w:pStyle w:val="BodyText"/>
            <w:spacing w:line="251" w:lineRule="auto"/>
            <w:rPr/>
          </w:pPr>
          <w:r/>
        </w:p>
        <w:p>
          <w:pPr>
            <w:pStyle w:val="BodyText"/>
            <w:spacing w:line="251" w:lineRule="auto"/>
            <w:rPr/>
          </w:pPr>
          <w:r/>
        </w:p>
        <w:p>
          <w:pPr>
            <w:ind w:left="343"/>
            <w:spacing w:before="69" w:line="221" w:lineRule="auto"/>
            <w:tabs>
              <w:tab w:val="right" w:leader="dot" w:pos="13379"/>
            </w:tabs>
            <w:rPr>
              <w:rFonts w:ascii="Times New Roman" w:hAnsi="Times New Roman" w:eastAsia="Times New Roman" w:cs="Times New Roman"/>
              <w:sz w:val="21"/>
              <w:szCs w:val="21"/>
            </w:rPr>
          </w:pPr>
          <w:hyperlink w:history="true" w:anchor="bookmark423">
            <w:r>
              <w:rPr>
                <w:rFonts w:ascii="SimHei" w:hAnsi="SimHei" w:eastAsia="SimHei" w:cs="SimHei"/>
                <w:sz w:val="21"/>
                <w:szCs w:val="21"/>
                <w:b/>
                <w:bCs/>
                <w:spacing w:val="8"/>
              </w:rPr>
              <w:t>第三百三十二条</w:t>
            </w:r>
            <w:r>
              <w:rPr>
                <w:rFonts w:ascii="SimHei" w:hAnsi="SimHei" w:eastAsia="SimHei" w:cs="SimHei"/>
                <w:sz w:val="21"/>
                <w:szCs w:val="21"/>
                <w:spacing w:val="42"/>
              </w:rPr>
              <w:t xml:space="preserve"> </w:t>
            </w:r>
            <w:r>
              <w:rPr>
                <w:rFonts w:ascii="SimHei" w:hAnsi="SimHei" w:eastAsia="SimHei" w:cs="SimHei"/>
                <w:sz w:val="21"/>
                <w:szCs w:val="21"/>
                <w:b/>
                <w:bCs/>
                <w:spacing w:val="8"/>
              </w:rPr>
              <w:t>非法组织他人出卖血液的</w:t>
            </w:r>
            <w:r>
              <w:rPr>
                <w:rFonts w:ascii="SimHei" w:hAnsi="SimHei" w:eastAsia="SimHei" w:cs="SimHei"/>
                <w:sz w:val="21"/>
                <w:szCs w:val="21"/>
                <w:spacing w:val="-90"/>
              </w:rPr>
              <w:t xml:space="preserve"> </w:t>
            </w:r>
            <w:r>
              <w:rPr>
                <w:rFonts w:ascii="SimHei" w:hAnsi="SimHei" w:eastAsia="SimHei" w:cs="SimHei"/>
                <w:sz w:val="21"/>
                <w:szCs w:val="21"/>
              </w:rPr>
              <w:tab/>
            </w:r>
            <w:r>
              <w:rPr>
                <w:rFonts w:ascii="Times New Roman" w:hAnsi="Times New Roman" w:eastAsia="Times New Roman" w:cs="Times New Roman"/>
                <w:sz w:val="21"/>
                <w:szCs w:val="21"/>
                <w:b/>
                <w:bCs/>
              </w:rPr>
              <w:t>415</w:t>
            </w:r>
          </w:hyperlink>
        </w:p>
        <w:p>
          <w:pPr>
            <w:pStyle w:val="BodyText"/>
            <w:spacing w:line="245" w:lineRule="auto"/>
            <w:rPr/>
          </w:pPr>
          <w:r/>
        </w:p>
        <w:p>
          <w:pPr>
            <w:pStyle w:val="BodyText"/>
            <w:spacing w:line="246" w:lineRule="auto"/>
            <w:rPr/>
          </w:pPr>
          <w:r/>
        </w:p>
        <w:p>
          <w:pPr>
            <w:ind w:left="340"/>
            <w:spacing w:before="68" w:line="213" w:lineRule="auto"/>
            <w:tabs>
              <w:tab w:val="right" w:leader="dot" w:pos="13400"/>
            </w:tabs>
            <w:rPr>
              <w:rFonts w:ascii="Times New Roman" w:hAnsi="Times New Roman" w:eastAsia="Times New Roman" w:cs="Times New Roman"/>
              <w:sz w:val="21"/>
              <w:szCs w:val="21"/>
            </w:rPr>
          </w:pPr>
          <w:hyperlink w:history="true" w:anchor="bookmark424">
            <w:r>
              <w:rPr>
                <w:rFonts w:ascii="SimHei" w:hAnsi="SimHei" w:eastAsia="SimHei" w:cs="SimHei"/>
                <w:sz w:val="21"/>
                <w:szCs w:val="21"/>
                <w:spacing w:val="8"/>
              </w:rPr>
              <w:t>第三百三十三条</w:t>
            </w:r>
            <w:r>
              <w:rPr>
                <w:rFonts w:ascii="SimHei" w:hAnsi="SimHei" w:eastAsia="SimHei" w:cs="SimHei"/>
                <w:sz w:val="21"/>
                <w:szCs w:val="21"/>
                <w:spacing w:val="46"/>
              </w:rPr>
              <w:t xml:space="preserve"> </w:t>
            </w:r>
            <w:r>
              <w:rPr>
                <w:rFonts w:ascii="SimHei" w:hAnsi="SimHei" w:eastAsia="SimHei" w:cs="SimHei"/>
                <w:sz w:val="21"/>
                <w:szCs w:val="21"/>
                <w:spacing w:val="8"/>
              </w:rPr>
              <w:t>临床用血的包装、储存、运输，不符合国家规定的卫生标准和要求的</w:t>
            </w:r>
            <w:r>
              <w:rPr>
                <w:rFonts w:ascii="SimHei" w:hAnsi="SimHei" w:eastAsia="SimHei" w:cs="SimHei"/>
                <w:sz w:val="21"/>
                <w:szCs w:val="21"/>
                <w:spacing w:val="-94"/>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415</w:t>
            </w:r>
          </w:hyperlink>
        </w:p>
        <w:p>
          <w:pPr>
            <w:pStyle w:val="BodyText"/>
            <w:spacing w:line="394" w:lineRule="auto"/>
            <w:rPr/>
          </w:pPr>
          <w:r/>
        </w:p>
        <w:p>
          <w:pPr>
            <w:spacing w:before="69" w:line="212" w:lineRule="auto"/>
            <w:tabs>
              <w:tab w:val="right" w:leader="dot" w:pos="13380"/>
            </w:tabs>
            <w:rPr>
              <w:rFonts w:ascii="Times New Roman" w:hAnsi="Times New Roman" w:eastAsia="Times New Roman" w:cs="Times New Roman"/>
              <w:sz w:val="21"/>
              <w:szCs w:val="21"/>
            </w:rPr>
          </w:pPr>
          <w:hyperlink w:history="true" w:anchor="bookmark425">
            <w:r>
              <w:rPr>
                <w:rFonts w:ascii="Times New Roman" w:hAnsi="Times New Roman" w:eastAsia="Times New Roman" w:cs="Times New Roman"/>
                <w:sz w:val="21"/>
                <w:szCs w:val="21"/>
                <w:spacing w:val="9"/>
              </w:rPr>
              <w:t>( </w:t>
            </w:r>
            <w:r>
              <w:rPr>
                <w:rFonts w:ascii="KaiTi" w:hAnsi="KaiTi" w:eastAsia="KaiTi" w:cs="KaiTi"/>
                <w:sz w:val="21"/>
                <w:szCs w:val="21"/>
                <w:spacing w:val="9"/>
              </w:rPr>
              <w:t>三十)《血液制品管理条例》</w:t>
            </w:r>
            <w:r>
              <w:rPr>
                <w:rFonts w:ascii="KaiTi" w:hAnsi="KaiTi" w:eastAsia="KaiTi" w:cs="KaiTi"/>
                <w:sz w:val="21"/>
                <w:szCs w:val="21"/>
                <w:spacing w:val="-69"/>
              </w:rPr>
              <w:t xml:space="preserve"> </w:t>
            </w:r>
            <w:r>
              <w:rPr>
                <w:rFonts w:ascii="KaiTi" w:hAnsi="KaiTi" w:eastAsia="KaiTi" w:cs="KaiTi"/>
                <w:sz w:val="21"/>
                <w:szCs w:val="21"/>
              </w:rPr>
              <w:tab/>
            </w:r>
            <w:r>
              <w:rPr>
                <w:rFonts w:ascii="KaiTi" w:hAnsi="KaiTi" w:eastAsia="KaiTi" w:cs="KaiTi"/>
                <w:sz w:val="21"/>
                <w:szCs w:val="21"/>
                <w:spacing w:val="-11"/>
              </w:rPr>
              <w:t xml:space="preserve"> </w:t>
            </w:r>
            <w:r>
              <w:rPr>
                <w:rFonts w:ascii="Times New Roman" w:hAnsi="Times New Roman" w:eastAsia="Times New Roman" w:cs="Times New Roman"/>
                <w:sz w:val="21"/>
                <w:szCs w:val="21"/>
                <w:spacing w:val="-1"/>
              </w:rPr>
              <w:t>416</w:t>
            </w:r>
          </w:hyperlink>
        </w:p>
      </w:sdtContent>
    </w:sdt>
    <w:p>
      <w:pPr>
        <w:spacing w:line="212" w:lineRule="auto"/>
        <w:sectPr>
          <w:footerReference w:type="default" r:id="rId40"/>
          <w:pgSz w:w="16830" w:h="11900"/>
          <w:pgMar w:top="1011" w:right="1448" w:bottom="1137" w:left="1949" w:header="0" w:footer="785" w:gutter="0"/>
        </w:sectPr>
        <w:rPr>
          <w:rFonts w:ascii="Times New Roman" w:hAnsi="Times New Roman" w:eastAsia="Times New Roman" w:cs="Times New Roman"/>
          <w:sz w:val="21"/>
          <w:szCs w:val="21"/>
        </w:rPr>
      </w:pPr>
    </w:p>
    <w:p>
      <w:pPr>
        <w:pStyle w:val="BodyText"/>
        <w:spacing w:line="306" w:lineRule="auto"/>
        <w:rPr/>
      </w:pPr>
      <w:r/>
    </w:p>
    <w:p>
      <w:pPr>
        <w:pStyle w:val="BodyText"/>
        <w:spacing w:line="306" w:lineRule="auto"/>
        <w:rPr/>
      </w:pPr>
      <w:r/>
    </w:p>
    <w:p>
      <w:pPr>
        <w:pStyle w:val="BodyText"/>
        <w:spacing w:line="306" w:lineRule="auto"/>
        <w:rPr/>
      </w:pPr>
      <w:r/>
    </w:p>
    <w:p>
      <w:pPr>
        <w:spacing w:before="71" w:line="221" w:lineRule="auto"/>
        <w:jc w:val="right"/>
        <w:rPr>
          <w:rFonts w:ascii="SimHei" w:hAnsi="SimHei" w:eastAsia="SimHei" w:cs="SimHei"/>
          <w:sz w:val="22"/>
          <w:szCs w:val="22"/>
        </w:rPr>
      </w:pPr>
      <w:r>
        <w:rPr>
          <w:rFonts w:ascii="SimHei" w:hAnsi="SimHei" w:eastAsia="SimHei" w:cs="SimHei"/>
          <w:sz w:val="22"/>
          <w:szCs w:val="22"/>
          <w:spacing w:val="2"/>
        </w:rPr>
        <w:t>第三百三十四条</w:t>
      </w:r>
      <w:r>
        <w:rPr>
          <w:rFonts w:ascii="SimHei" w:hAnsi="SimHei" w:eastAsia="SimHei" w:cs="SimHei"/>
          <w:sz w:val="22"/>
          <w:szCs w:val="22"/>
          <w:spacing w:val="2"/>
        </w:rPr>
        <w:t xml:space="preserve"> </w:t>
      </w:r>
      <w:r>
        <w:rPr>
          <w:rFonts w:ascii="SimHei" w:hAnsi="SimHei" w:eastAsia="SimHei" w:cs="SimHei"/>
          <w:sz w:val="22"/>
          <w:szCs w:val="22"/>
          <w:spacing w:val="2"/>
        </w:rPr>
        <w:t>未取得省、自治区、直辖市人民政府卫生行政部门核发的《单采血浆许可证》,非法从事组织、采集、供应、倒</w:t>
      </w:r>
      <w:r>
        <w:rPr>
          <w:rFonts w:ascii="SimHei" w:hAnsi="SimHei" w:eastAsia="SimHei" w:cs="SimHei"/>
          <w:sz w:val="22"/>
          <w:szCs w:val="22"/>
          <w:spacing w:val="1"/>
        </w:rPr>
        <w:t>卖原料</w:t>
      </w:r>
    </w:p>
    <w:p>
      <w:pPr>
        <w:pStyle w:val="BodyText"/>
        <w:spacing w:line="293"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spacing w:before="72" w:line="222" w:lineRule="auto"/>
            <w:tabs>
              <w:tab w:val="right" w:leader="dot" w:pos="12955"/>
            </w:tabs>
            <w:rPr>
              <w:rFonts w:ascii="Times New Roman" w:hAnsi="Times New Roman" w:eastAsia="Times New Roman" w:cs="Times New Roman"/>
              <w:sz w:val="22"/>
              <w:szCs w:val="22"/>
            </w:rPr>
          </w:pPr>
          <w:hyperlink w:history="true" w:anchor="bookmark426">
            <w:r>
              <w:rPr>
                <w:rFonts w:ascii="SimHei" w:hAnsi="SimHei" w:eastAsia="SimHei" w:cs="SimHei"/>
                <w:sz w:val="22"/>
                <w:szCs w:val="22"/>
                <w:spacing w:val="3"/>
              </w:rPr>
              <w:t>血浆活动的</w:t>
            </w:r>
            <w:r>
              <w:rPr>
                <w:rFonts w:ascii="SimHei" w:hAnsi="SimHei" w:eastAsia="SimHei" w:cs="SimHei"/>
                <w:sz w:val="22"/>
                <w:szCs w:val="22"/>
                <w:spacing w:val="-97"/>
              </w:rPr>
              <w:t xml:space="preserve"> </w:t>
            </w:r>
            <w:r>
              <w:rPr>
                <w:rFonts w:ascii="SimHei" w:hAnsi="SimHei" w:eastAsia="SimHei" w:cs="SimHei"/>
                <w:sz w:val="22"/>
                <w:szCs w:val="22"/>
              </w:rPr>
              <w:tab/>
            </w:r>
            <w:r>
              <w:rPr>
                <w:rFonts w:ascii="SimHei" w:hAnsi="SimHei" w:eastAsia="SimHei" w:cs="SimHei"/>
                <w:sz w:val="22"/>
                <w:szCs w:val="22"/>
                <w:spacing w:val="-26"/>
              </w:rPr>
              <w:t xml:space="preserve"> </w:t>
            </w:r>
            <w:r>
              <w:rPr>
                <w:rFonts w:ascii="Times New Roman" w:hAnsi="Times New Roman" w:eastAsia="Times New Roman" w:cs="Times New Roman"/>
                <w:sz w:val="22"/>
                <w:szCs w:val="22"/>
                <w:spacing w:val="-1"/>
              </w:rPr>
              <w:t>416</w:t>
            </w:r>
          </w:hyperlink>
        </w:p>
        <w:p>
          <w:pPr>
            <w:pStyle w:val="BodyText"/>
            <w:spacing w:line="471" w:lineRule="auto"/>
            <w:rPr/>
          </w:pPr>
          <w:r/>
        </w:p>
        <w:p>
          <w:pPr>
            <w:spacing w:before="71" w:line="213" w:lineRule="auto"/>
            <w:tabs>
              <w:tab w:val="right" w:leader="dot" w:pos="12955"/>
            </w:tabs>
            <w:rPr>
              <w:rFonts w:ascii="Times New Roman" w:hAnsi="Times New Roman" w:eastAsia="Times New Roman" w:cs="Times New Roman"/>
              <w:sz w:val="22"/>
              <w:szCs w:val="22"/>
            </w:rPr>
          </w:pPr>
          <w:hyperlink w:history="true" w:anchor="bookmark427">
            <w:r>
              <w:rPr>
                <w:rFonts w:ascii="SimHei" w:hAnsi="SimHei" w:eastAsia="SimHei" w:cs="SimHei"/>
                <w:sz w:val="22"/>
                <w:szCs w:val="22"/>
              </w:rPr>
              <w:t>第三百三十五条</w:t>
            </w:r>
            <w:r>
              <w:rPr>
                <w:rFonts w:ascii="SimHei" w:hAnsi="SimHei" w:eastAsia="SimHei" w:cs="SimHei"/>
                <w:sz w:val="22"/>
                <w:szCs w:val="22"/>
              </w:rPr>
              <w:t xml:space="preserve"> </w:t>
            </w:r>
            <w:r>
              <w:rPr>
                <w:rFonts w:ascii="SimHei" w:hAnsi="SimHei" w:eastAsia="SimHei" w:cs="SimHei"/>
                <w:sz w:val="22"/>
                <w:szCs w:val="22"/>
              </w:rPr>
              <w:t>采集血浆前，未按照国务</w:t>
            </w:r>
            <w:r>
              <w:rPr>
                <w:rFonts w:ascii="SimHei" w:hAnsi="SimHei" w:eastAsia="SimHei" w:cs="SimHei"/>
                <w:sz w:val="22"/>
                <w:szCs w:val="22"/>
                <w:spacing w:val="-1"/>
              </w:rPr>
              <w:t>院卫生行政部门颁布的健康检查标准对供血浆者进行健康检查和血液化验的</w:t>
            </w:r>
            <w:r>
              <w:rPr>
                <w:rFonts w:ascii="SimHei" w:hAnsi="SimHei" w:eastAsia="SimHei" w:cs="SimHei"/>
                <w:sz w:val="22"/>
                <w:szCs w:val="22"/>
                <w:spacing w:val="-99"/>
              </w:rPr>
              <w:t xml:space="preserve"> </w:t>
            </w:r>
            <w:r>
              <w:rPr>
                <w:rFonts w:ascii="SimHei" w:hAnsi="SimHei" w:eastAsia="SimHei" w:cs="SimHei"/>
                <w:sz w:val="22"/>
                <w:szCs w:val="22"/>
              </w:rPr>
              <w:tab/>
            </w:r>
            <w:r>
              <w:rPr>
                <w:rFonts w:ascii="Times New Roman" w:hAnsi="Times New Roman" w:eastAsia="Times New Roman" w:cs="Times New Roman"/>
                <w:sz w:val="22"/>
                <w:szCs w:val="22"/>
                <w:spacing w:val="7"/>
              </w:rPr>
              <w:t>418</w:t>
            </w:r>
          </w:hyperlink>
        </w:p>
        <w:p>
          <w:pPr>
            <w:pStyle w:val="BodyText"/>
            <w:spacing w:line="245" w:lineRule="auto"/>
            <w:rPr/>
          </w:pPr>
          <w:r/>
        </w:p>
        <w:p>
          <w:pPr>
            <w:pStyle w:val="BodyText"/>
            <w:spacing w:line="246" w:lineRule="auto"/>
            <w:rPr/>
          </w:pPr>
          <w:r/>
        </w:p>
        <w:p>
          <w:pPr>
            <w:ind w:left="19"/>
            <w:spacing w:before="72" w:line="213" w:lineRule="auto"/>
            <w:rPr>
              <w:rFonts w:ascii="SimHei" w:hAnsi="SimHei" w:eastAsia="SimHei" w:cs="SimHei"/>
              <w:sz w:val="22"/>
              <w:szCs w:val="22"/>
            </w:rPr>
          </w:pPr>
          <w:hyperlink w:history="true" w:anchor="bookmark428">
            <w:r>
              <w:rPr>
                <w:rFonts w:ascii="SimHei" w:hAnsi="SimHei" w:eastAsia="SimHei" w:cs="SimHei"/>
                <w:sz w:val="22"/>
                <w:szCs w:val="22"/>
              </w:rPr>
              <w:t>第三百三十六条</w:t>
            </w:r>
            <w:r>
              <w:rPr>
                <w:rFonts w:ascii="SimHei" w:hAnsi="SimHei" w:eastAsia="SimHei" w:cs="SimHei"/>
                <w:sz w:val="22"/>
                <w:szCs w:val="22"/>
              </w:rPr>
              <w:t xml:space="preserve"> </w:t>
            </w:r>
            <w:r>
              <w:rPr>
                <w:rFonts w:ascii="SimHei" w:hAnsi="SimHei" w:eastAsia="SimHei" w:cs="SimHei"/>
                <w:sz w:val="22"/>
                <w:szCs w:val="22"/>
              </w:rPr>
              <w:t>采集非划定区域内的供血浆者或者其他人员血浆的；或者不对供血浆者进行身份识别，采集冒名</w:t>
            </w:r>
            <w:r>
              <w:rPr>
                <w:rFonts w:ascii="SimHei" w:hAnsi="SimHei" w:eastAsia="SimHei" w:cs="SimHei"/>
                <w:sz w:val="22"/>
                <w:szCs w:val="22"/>
                <w:spacing w:val="-1"/>
              </w:rPr>
              <w:t>顶替者、健康检查不合</w:t>
            </w:r>
          </w:hyperlink>
        </w:p>
        <w:p>
          <w:pPr>
            <w:pStyle w:val="BodyText"/>
            <w:spacing w:line="302" w:lineRule="auto"/>
            <w:rPr/>
          </w:pPr>
          <w:r/>
        </w:p>
        <w:p>
          <w:pPr>
            <w:spacing w:before="72" w:line="222" w:lineRule="auto"/>
            <w:tabs>
              <w:tab w:val="right" w:leader="dot" w:pos="13095"/>
            </w:tabs>
            <w:rPr>
              <w:rFonts w:ascii="Times New Roman" w:hAnsi="Times New Roman" w:eastAsia="Times New Roman" w:cs="Times New Roman"/>
              <w:sz w:val="22"/>
              <w:szCs w:val="22"/>
            </w:rPr>
          </w:pPr>
          <w:hyperlink w:history="true" w:anchor="bookmark429">
            <w:r>
              <w:rPr>
                <w:rFonts w:ascii="SimHei" w:hAnsi="SimHei" w:eastAsia="SimHei" w:cs="SimHei"/>
                <w:sz w:val="22"/>
                <w:szCs w:val="22"/>
                <w:spacing w:val="3"/>
              </w:rPr>
              <w:t>格者或者无《供血浆证》者的血浆的</w:t>
            </w:r>
            <w:r>
              <w:rPr>
                <w:rFonts w:ascii="SimHei" w:hAnsi="SimHei" w:eastAsia="SimHei" w:cs="SimHei"/>
                <w:sz w:val="22"/>
                <w:szCs w:val="22"/>
                <w:spacing w:val="-100"/>
              </w:rPr>
              <w:t xml:space="preserve"> </w:t>
            </w:r>
            <w:r>
              <w:rPr>
                <w:rFonts w:ascii="SimHei" w:hAnsi="SimHei" w:eastAsia="SimHei" w:cs="SimHei"/>
                <w:sz w:val="22"/>
                <w:szCs w:val="22"/>
                <w:color w:val="304040"/>
              </w:rPr>
              <w:tab/>
            </w:r>
            <w:r>
              <w:rPr>
                <w:rFonts w:ascii="Times New Roman" w:hAnsi="Times New Roman" w:eastAsia="Times New Roman" w:cs="Times New Roman"/>
                <w:sz w:val="22"/>
                <w:szCs w:val="22"/>
              </w:rPr>
              <w:t>419</w:t>
            </w:r>
          </w:hyperlink>
        </w:p>
        <w:p>
          <w:pPr>
            <w:pStyle w:val="BodyText"/>
            <w:spacing w:line="250" w:lineRule="auto"/>
            <w:rPr/>
          </w:pPr>
          <w:r/>
        </w:p>
        <w:p>
          <w:pPr>
            <w:pStyle w:val="BodyText"/>
            <w:spacing w:line="250" w:lineRule="auto"/>
            <w:rPr/>
          </w:pPr>
          <w:r/>
        </w:p>
        <w:p>
          <w:pPr>
            <w:spacing w:before="72" w:line="213" w:lineRule="auto"/>
            <w:tabs>
              <w:tab w:val="right" w:leader="dot" w:pos="13045"/>
            </w:tabs>
            <w:rPr>
              <w:rFonts w:ascii="Times New Roman" w:hAnsi="Times New Roman" w:eastAsia="Times New Roman" w:cs="Times New Roman"/>
              <w:sz w:val="22"/>
              <w:szCs w:val="22"/>
            </w:rPr>
          </w:pPr>
          <w:hyperlink w:history="true" w:anchor="bookmark430">
            <w:r>
              <w:rPr>
                <w:rFonts w:ascii="SimHei" w:hAnsi="SimHei" w:eastAsia="SimHei" w:cs="SimHei"/>
                <w:sz w:val="22"/>
                <w:szCs w:val="22"/>
              </w:rPr>
              <w:t>第三百三十七条</w:t>
            </w:r>
            <w:r>
              <w:rPr>
                <w:rFonts w:ascii="SimHei" w:hAnsi="SimHei" w:eastAsia="SimHei" w:cs="SimHei"/>
                <w:sz w:val="22"/>
                <w:szCs w:val="22"/>
              </w:rPr>
              <w:t xml:space="preserve"> </w:t>
            </w:r>
            <w:r>
              <w:rPr>
                <w:rFonts w:ascii="SimHei" w:hAnsi="SimHei" w:eastAsia="SimHei" w:cs="SimHei"/>
                <w:sz w:val="22"/>
                <w:szCs w:val="22"/>
              </w:rPr>
              <w:t>违反国务院卫生行政部门制定的血浆采集技术操作标准和程序，过频过量采集血浆的</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46"/>
              </w:rPr>
              <w:t xml:space="preserve"> </w:t>
            </w:r>
            <w:r>
              <w:rPr>
                <w:rFonts w:ascii="Times New Roman" w:hAnsi="Times New Roman" w:eastAsia="Times New Roman" w:cs="Times New Roman"/>
                <w:sz w:val="22"/>
                <w:szCs w:val="22"/>
                <w:spacing w:val="-1"/>
              </w:rPr>
              <w:t>420</w:t>
            </w:r>
          </w:hyperlink>
        </w:p>
        <w:p>
          <w:pPr>
            <w:pStyle w:val="BodyText"/>
            <w:rPr/>
          </w:pPr>
          <w:r/>
        </w:p>
        <w:p>
          <w:pPr>
            <w:pStyle w:val="BodyText"/>
            <w:spacing w:line="241" w:lineRule="auto"/>
            <w:rPr/>
          </w:pPr>
          <w:r/>
        </w:p>
        <w:p>
          <w:pPr>
            <w:spacing w:before="72" w:line="222" w:lineRule="auto"/>
            <w:tabs>
              <w:tab w:val="right" w:leader="dot" w:pos="13115"/>
            </w:tabs>
            <w:rPr>
              <w:rFonts w:ascii="Times New Roman" w:hAnsi="Times New Roman" w:eastAsia="Times New Roman" w:cs="Times New Roman"/>
              <w:sz w:val="22"/>
              <w:szCs w:val="22"/>
            </w:rPr>
          </w:pPr>
          <w:hyperlink w:history="true" w:anchor="bookmark431">
            <w:r>
              <w:rPr>
                <w:rFonts w:ascii="SimHei" w:hAnsi="SimHei" w:eastAsia="SimHei" w:cs="SimHei"/>
                <w:sz w:val="22"/>
                <w:szCs w:val="22"/>
                <w:spacing w:val="-1"/>
              </w:rPr>
              <w:t>第三百三十八条</w:t>
            </w:r>
            <w:r>
              <w:rPr>
                <w:rFonts w:ascii="SimHei" w:hAnsi="SimHei" w:eastAsia="SimHei" w:cs="SimHei"/>
                <w:sz w:val="22"/>
                <w:szCs w:val="22"/>
                <w:spacing w:val="-1"/>
              </w:rPr>
              <w:t xml:space="preserve"> </w:t>
            </w:r>
            <w:r>
              <w:rPr>
                <w:rFonts w:ascii="SimHei" w:hAnsi="SimHei" w:eastAsia="SimHei" w:cs="SimHei"/>
                <w:sz w:val="22"/>
                <w:szCs w:val="22"/>
                <w:spacing w:val="-1"/>
              </w:rPr>
              <w:t>单采血浆站向医疗机构直接供应原料血浆或</w:t>
            </w:r>
            <w:r>
              <w:rPr>
                <w:rFonts w:ascii="SimHei" w:hAnsi="SimHei" w:eastAsia="SimHei" w:cs="SimHei"/>
                <w:sz w:val="22"/>
                <w:szCs w:val="22"/>
                <w:spacing w:val="-2"/>
              </w:rPr>
              <w:t>者擅自采集血液的</w:t>
            </w:r>
            <w:r>
              <w:rPr>
                <w:rFonts w:ascii="SimHei" w:hAnsi="SimHei" w:eastAsia="SimHei" w:cs="SimHei"/>
                <w:sz w:val="22"/>
                <w:szCs w:val="22"/>
                <w:spacing w:val="-99"/>
              </w:rPr>
              <w:t xml:space="preserve"> </w:t>
            </w:r>
            <w:r>
              <w:rPr>
                <w:rFonts w:ascii="SimHei" w:hAnsi="SimHei" w:eastAsia="SimHei" w:cs="SimHei"/>
                <w:sz w:val="22"/>
                <w:szCs w:val="22"/>
              </w:rPr>
              <w:tab/>
            </w:r>
            <w:r>
              <w:rPr>
                <w:rFonts w:ascii="Times New Roman" w:hAnsi="Times New Roman" w:eastAsia="Times New Roman" w:cs="Times New Roman"/>
                <w:sz w:val="22"/>
                <w:szCs w:val="22"/>
              </w:rPr>
              <w:t>421</w:t>
            </w:r>
          </w:hyperlink>
        </w:p>
        <w:p>
          <w:pPr>
            <w:pStyle w:val="BodyText"/>
            <w:spacing w:line="245" w:lineRule="auto"/>
            <w:rPr/>
          </w:pPr>
          <w:r/>
        </w:p>
        <w:p>
          <w:pPr>
            <w:pStyle w:val="BodyText"/>
            <w:spacing w:line="245" w:lineRule="auto"/>
            <w:rPr/>
          </w:pPr>
          <w:r/>
        </w:p>
        <w:p>
          <w:pPr>
            <w:spacing w:before="73" w:line="222" w:lineRule="auto"/>
            <w:tabs>
              <w:tab w:val="right" w:leader="dot" w:pos="13105"/>
            </w:tabs>
            <w:rPr>
              <w:rFonts w:ascii="Times New Roman" w:hAnsi="Times New Roman" w:eastAsia="Times New Roman" w:cs="Times New Roman"/>
              <w:sz w:val="22"/>
              <w:szCs w:val="22"/>
            </w:rPr>
          </w:pPr>
          <w:hyperlink w:history="true" w:anchor="bookmark432">
            <w:r>
              <w:rPr>
                <w:rFonts w:ascii="SimHei" w:hAnsi="SimHei" w:eastAsia="SimHei" w:cs="SimHei"/>
                <w:sz w:val="22"/>
                <w:szCs w:val="22"/>
                <w:spacing w:val="1"/>
              </w:rPr>
              <w:t>第三百三十九条</w:t>
            </w:r>
            <w:r>
              <w:rPr>
                <w:rFonts w:ascii="SimHei" w:hAnsi="SimHei" w:eastAsia="SimHei" w:cs="SimHei"/>
                <w:sz w:val="22"/>
                <w:szCs w:val="22"/>
                <w:spacing w:val="1"/>
              </w:rPr>
              <w:t xml:space="preserve"> </w:t>
            </w:r>
            <w:r>
              <w:rPr>
                <w:rFonts w:ascii="SimHei" w:hAnsi="SimHei" w:eastAsia="SimHei" w:cs="SimHei"/>
                <w:sz w:val="22"/>
                <w:szCs w:val="22"/>
                <w:spacing w:val="1"/>
              </w:rPr>
              <w:t>单采血浆站未使用单采血浆机械进行血浆采</w:t>
            </w:r>
            <w:r>
              <w:rPr>
                <w:rFonts w:ascii="SimHei" w:hAnsi="SimHei" w:eastAsia="SimHei" w:cs="SimHei"/>
                <w:sz w:val="22"/>
                <w:szCs w:val="22"/>
              </w:rPr>
              <w:t>集的</w:t>
            </w:r>
            <w:r>
              <w:rPr>
                <w:rFonts w:ascii="SimHei" w:hAnsi="SimHei" w:eastAsia="SimHei" w:cs="SimHei"/>
                <w:sz w:val="22"/>
                <w:szCs w:val="22"/>
                <w:spacing w:val="-99"/>
              </w:rPr>
              <w:t xml:space="preserve"> </w:t>
            </w:r>
            <w:r>
              <w:rPr>
                <w:rFonts w:ascii="SimHei" w:hAnsi="SimHei" w:eastAsia="SimHei" w:cs="SimHei"/>
                <w:sz w:val="22"/>
                <w:szCs w:val="22"/>
              </w:rPr>
              <w:tab/>
            </w:r>
            <w:r>
              <w:rPr>
                <w:rFonts w:ascii="Times New Roman" w:hAnsi="Times New Roman" w:eastAsia="Times New Roman" w:cs="Times New Roman"/>
                <w:sz w:val="22"/>
                <w:szCs w:val="22"/>
              </w:rPr>
              <w:t>422</w:t>
            </w:r>
          </w:hyperlink>
        </w:p>
        <w:p>
          <w:pPr>
            <w:pStyle w:val="BodyText"/>
            <w:rPr/>
          </w:pPr>
          <w:r/>
        </w:p>
        <w:p>
          <w:pPr>
            <w:pStyle w:val="BodyText"/>
            <w:rPr/>
          </w:pPr>
          <w:r/>
        </w:p>
        <w:p>
          <w:pPr>
            <w:ind w:left="9"/>
            <w:spacing w:before="72" w:line="221" w:lineRule="auto"/>
            <w:rPr>
              <w:rFonts w:ascii="SimHei" w:hAnsi="SimHei" w:eastAsia="SimHei" w:cs="SimHei"/>
              <w:sz w:val="22"/>
              <w:szCs w:val="22"/>
            </w:rPr>
          </w:pPr>
          <w:hyperlink w:history="true" w:anchor="bookmark433">
            <w:r>
              <w:rPr>
                <w:rFonts w:ascii="SimHei" w:hAnsi="SimHei" w:eastAsia="SimHei" w:cs="SimHei"/>
                <w:sz w:val="22"/>
                <w:szCs w:val="22"/>
              </w:rPr>
              <w:t>第三百四十条</w:t>
            </w:r>
            <w:r>
              <w:rPr>
                <w:rFonts w:ascii="SimHei" w:hAnsi="SimHei" w:eastAsia="SimHei" w:cs="SimHei"/>
                <w:sz w:val="22"/>
                <w:szCs w:val="22"/>
              </w:rPr>
              <w:t xml:space="preserve"> </w:t>
            </w:r>
            <w:r>
              <w:rPr>
                <w:rFonts w:ascii="SimHei" w:hAnsi="SimHei" w:eastAsia="SimHei" w:cs="SimHei"/>
                <w:sz w:val="22"/>
                <w:szCs w:val="22"/>
              </w:rPr>
              <w:t>单采血浆站未使用有产品批准文号并经国家药品生物制品检定机构逐批检定合格的体外诊断试剂</w:t>
            </w:r>
            <w:r>
              <w:rPr>
                <w:rFonts w:ascii="SimHei" w:hAnsi="SimHei" w:eastAsia="SimHei" w:cs="SimHei"/>
                <w:sz w:val="22"/>
                <w:szCs w:val="22"/>
                <w:spacing w:val="-1"/>
              </w:rPr>
              <w:t>以及合格的一次性采血</w:t>
            </w:r>
          </w:hyperlink>
        </w:p>
        <w:p>
          <w:pPr>
            <w:pStyle w:val="BodyText"/>
            <w:spacing w:line="276" w:lineRule="auto"/>
            <w:rPr/>
          </w:pPr>
          <w:r/>
        </w:p>
        <w:p>
          <w:pPr>
            <w:spacing w:before="71" w:line="223" w:lineRule="auto"/>
            <w:tabs>
              <w:tab w:val="right" w:leader="dot" w:pos="13095"/>
            </w:tabs>
            <w:rPr>
              <w:rFonts w:ascii="Times New Roman" w:hAnsi="Times New Roman" w:eastAsia="Times New Roman" w:cs="Times New Roman"/>
              <w:sz w:val="22"/>
              <w:szCs w:val="22"/>
            </w:rPr>
          </w:pPr>
          <w:hyperlink w:history="true" w:anchor="bookmark434">
            <w:r>
              <w:rPr>
                <w:rFonts w:ascii="SimHei" w:hAnsi="SimHei" w:eastAsia="SimHei" w:cs="SimHei"/>
                <w:sz w:val="22"/>
                <w:szCs w:val="22"/>
                <w:color w:val="404040"/>
                <w:spacing w:val="4"/>
              </w:rPr>
              <w:t>浆器材的</w:t>
            </w:r>
            <w:r>
              <w:rPr>
                <w:rFonts w:ascii="SimHei" w:hAnsi="SimHei" w:eastAsia="SimHei" w:cs="SimHei"/>
                <w:sz w:val="22"/>
                <w:szCs w:val="22"/>
                <w:color w:val="404040"/>
                <w:spacing w:val="-98"/>
              </w:rPr>
              <w:t xml:space="preserve"> </w:t>
            </w:r>
            <w:r>
              <w:rPr>
                <w:rFonts w:ascii="SimHei" w:hAnsi="SimHei" w:eastAsia="SimHei" w:cs="SimHei"/>
                <w:sz w:val="22"/>
                <w:szCs w:val="22"/>
                <w:color w:val="404040"/>
              </w:rPr>
              <w:tab/>
            </w:r>
            <w:r>
              <w:rPr>
                <w:rFonts w:ascii="Times New Roman" w:hAnsi="Times New Roman" w:eastAsia="Times New Roman" w:cs="Times New Roman"/>
                <w:sz w:val="22"/>
                <w:szCs w:val="22"/>
                <w:color w:val="404040"/>
              </w:rPr>
              <w:t>423</w:t>
            </w:r>
          </w:hyperlink>
        </w:p>
        <w:p>
          <w:pPr>
            <w:pStyle w:val="BodyText"/>
            <w:spacing w:line="248" w:lineRule="auto"/>
            <w:rPr/>
          </w:pPr>
          <w:r/>
        </w:p>
        <w:p>
          <w:pPr>
            <w:pStyle w:val="BodyText"/>
            <w:spacing w:line="249" w:lineRule="auto"/>
            <w:rPr/>
          </w:pPr>
          <w:r/>
        </w:p>
        <w:p>
          <w:pPr>
            <w:spacing w:before="72" w:line="222" w:lineRule="auto"/>
            <w:tabs>
              <w:tab w:val="right" w:leader="dot" w:pos="13105"/>
            </w:tabs>
            <w:rPr>
              <w:rFonts w:ascii="Times New Roman" w:hAnsi="Times New Roman" w:eastAsia="Times New Roman" w:cs="Times New Roman"/>
              <w:sz w:val="22"/>
              <w:szCs w:val="22"/>
            </w:rPr>
          </w:pPr>
          <w:hyperlink w:history="true" w:anchor="bookmark435">
            <w:r>
              <w:rPr>
                <w:rFonts w:ascii="SimHei" w:hAnsi="SimHei" w:eastAsia="SimHei" w:cs="SimHei"/>
                <w:sz w:val="22"/>
                <w:szCs w:val="22"/>
                <w:spacing w:val="-1"/>
              </w:rPr>
              <w:t>第三百四十一条</w:t>
            </w:r>
            <w:r>
              <w:rPr>
                <w:rFonts w:ascii="SimHei" w:hAnsi="SimHei" w:eastAsia="SimHei" w:cs="SimHei"/>
                <w:sz w:val="22"/>
                <w:szCs w:val="22"/>
                <w:spacing w:val="-1"/>
              </w:rPr>
              <w:t xml:space="preserve"> </w:t>
            </w:r>
            <w:r>
              <w:rPr>
                <w:rFonts w:ascii="SimHei" w:hAnsi="SimHei" w:eastAsia="SimHei" w:cs="SimHei"/>
                <w:sz w:val="22"/>
                <w:szCs w:val="22"/>
                <w:spacing w:val="-1"/>
              </w:rPr>
              <w:t>单采血浆站未按照国家规定的卫生标准和要求包装、储存、运输原料血</w:t>
            </w:r>
            <w:r>
              <w:rPr>
                <w:rFonts w:ascii="SimHei" w:hAnsi="SimHei" w:eastAsia="SimHei" w:cs="SimHei"/>
                <w:sz w:val="22"/>
                <w:szCs w:val="22"/>
                <w:spacing w:val="-2"/>
              </w:rPr>
              <w:t>浆的</w:t>
            </w:r>
            <w:r>
              <w:rPr>
                <w:rFonts w:ascii="SimHei" w:hAnsi="SimHei" w:eastAsia="SimHei" w:cs="SimHei"/>
                <w:sz w:val="22"/>
                <w:szCs w:val="22"/>
                <w:spacing w:val="-98"/>
              </w:rPr>
              <w:t xml:space="preserve"> </w:t>
            </w:r>
            <w:r>
              <w:rPr>
                <w:rFonts w:ascii="SimHei" w:hAnsi="SimHei" w:eastAsia="SimHei" w:cs="SimHei"/>
                <w:sz w:val="22"/>
                <w:szCs w:val="22"/>
              </w:rPr>
              <w:tab/>
            </w:r>
            <w:r>
              <w:rPr>
                <w:rFonts w:ascii="Times New Roman" w:hAnsi="Times New Roman" w:eastAsia="Times New Roman" w:cs="Times New Roman"/>
                <w:sz w:val="22"/>
                <w:szCs w:val="22"/>
              </w:rPr>
              <w:t>424</w:t>
            </w:r>
          </w:hyperlink>
        </w:p>
      </w:sdtContent>
    </w:sdt>
    <w:p>
      <w:pPr>
        <w:spacing w:line="222" w:lineRule="auto"/>
        <w:sectPr>
          <w:footerReference w:type="default" r:id="rId41"/>
          <w:pgSz w:w="16830" w:h="11900"/>
          <w:pgMar w:top="1011" w:right="1421" w:bottom="1134" w:left="2290" w:header="0" w:footer="773" w:gutter="0"/>
        </w:sectPr>
        <w:rPr>
          <w:rFonts w:ascii="Times New Roman" w:hAnsi="Times New Roman" w:eastAsia="Times New Roman" w:cs="Times New Roman"/>
          <w:sz w:val="22"/>
          <w:szCs w:val="22"/>
        </w:rPr>
      </w:pPr>
    </w:p>
    <w:p>
      <w:pPr>
        <w:pStyle w:val="BodyText"/>
        <w:rPr/>
      </w:pPr>
      <w:r/>
    </w:p>
    <w:p>
      <w:pPr>
        <w:pStyle w:val="BodyText"/>
        <w:rPr/>
      </w:pPr>
      <w:r/>
    </w:p>
    <w:p>
      <w:pPr>
        <w:pStyle w:val="BodyText"/>
        <w:rPr/>
      </w:pPr>
      <w:r/>
    </w:p>
    <w:p>
      <w:pPr>
        <w:pStyle w:val="BodyText"/>
        <w:spacing w:line="241"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340"/>
            <w:spacing w:before="68" w:line="222" w:lineRule="auto"/>
            <w:tabs>
              <w:tab w:val="right" w:leader="dot" w:pos="13390"/>
            </w:tabs>
            <w:rPr>
              <w:rFonts w:ascii="Times New Roman" w:hAnsi="Times New Roman" w:eastAsia="Times New Roman" w:cs="Times New Roman"/>
              <w:sz w:val="21"/>
              <w:szCs w:val="21"/>
            </w:rPr>
          </w:pPr>
          <w:hyperlink w:history="true" w:anchor="bookmark436">
            <w:r>
              <w:rPr>
                <w:rFonts w:ascii="SimHei" w:hAnsi="SimHei" w:eastAsia="SimHei" w:cs="SimHei"/>
                <w:sz w:val="21"/>
                <w:szCs w:val="21"/>
                <w:spacing w:val="9"/>
              </w:rPr>
              <w:t>第三百四十二条</w:t>
            </w:r>
            <w:r>
              <w:rPr>
                <w:rFonts w:ascii="SimHei" w:hAnsi="SimHei" w:eastAsia="SimHei" w:cs="SimHei"/>
                <w:sz w:val="21"/>
                <w:szCs w:val="21"/>
                <w:spacing w:val="53"/>
              </w:rPr>
              <w:t xml:space="preserve"> </w:t>
            </w:r>
            <w:r>
              <w:rPr>
                <w:rFonts w:ascii="SimHei" w:hAnsi="SimHei" w:eastAsia="SimHei" w:cs="SimHei"/>
                <w:sz w:val="21"/>
                <w:szCs w:val="21"/>
                <w:spacing w:val="9"/>
              </w:rPr>
              <w:t>单采血浆站对国家规定检测项目检测结果呈阳性的血浆不清除、不及时上报的</w:t>
            </w:r>
            <w:r>
              <w:rPr>
                <w:rFonts w:ascii="SimHei" w:hAnsi="SimHei" w:eastAsia="SimHei" w:cs="SimHei"/>
                <w:sz w:val="21"/>
                <w:szCs w:val="21"/>
                <w:spacing w:val="-94"/>
              </w:rPr>
              <w:t xml:space="preserve"> </w:t>
            </w:r>
            <w:r>
              <w:rPr>
                <w:rFonts w:ascii="SimHei" w:hAnsi="SimHei" w:eastAsia="SimHei" w:cs="SimHei"/>
                <w:sz w:val="21"/>
                <w:szCs w:val="21"/>
              </w:rPr>
              <w:tab/>
            </w:r>
            <w:r>
              <w:rPr>
                <w:rFonts w:ascii="SimHei" w:hAnsi="SimHei" w:eastAsia="SimHei" w:cs="SimHei"/>
                <w:sz w:val="21"/>
                <w:szCs w:val="21"/>
                <w:spacing w:val="-61"/>
              </w:rPr>
              <w:t xml:space="preserve"> </w:t>
            </w:r>
            <w:r>
              <w:rPr>
                <w:rFonts w:ascii="Times New Roman" w:hAnsi="Times New Roman" w:eastAsia="Times New Roman" w:cs="Times New Roman"/>
                <w:sz w:val="21"/>
                <w:szCs w:val="21"/>
                <w:spacing w:val="-1"/>
              </w:rPr>
              <w:t>425</w:t>
            </w:r>
          </w:hyperlink>
        </w:p>
        <w:p>
          <w:pPr>
            <w:pStyle w:val="BodyText"/>
            <w:spacing w:line="243" w:lineRule="auto"/>
            <w:rPr/>
          </w:pPr>
          <w:r/>
        </w:p>
        <w:p>
          <w:pPr>
            <w:pStyle w:val="BodyText"/>
            <w:spacing w:line="243" w:lineRule="auto"/>
            <w:rPr/>
          </w:pPr>
          <w:r/>
        </w:p>
        <w:p>
          <w:pPr>
            <w:ind w:left="340"/>
            <w:spacing w:before="68" w:line="213" w:lineRule="auto"/>
            <w:tabs>
              <w:tab w:val="right" w:leader="dot" w:pos="13380"/>
            </w:tabs>
            <w:rPr>
              <w:rFonts w:ascii="Times New Roman" w:hAnsi="Times New Roman" w:eastAsia="Times New Roman" w:cs="Times New Roman"/>
              <w:sz w:val="21"/>
              <w:szCs w:val="21"/>
            </w:rPr>
          </w:pPr>
          <w:hyperlink w:history="true" w:anchor="bookmark437">
            <w:r>
              <w:rPr>
                <w:rFonts w:ascii="SimHei" w:hAnsi="SimHei" w:eastAsia="SimHei" w:cs="SimHei"/>
                <w:sz w:val="21"/>
                <w:szCs w:val="21"/>
                <w:spacing w:val="10"/>
              </w:rPr>
              <w:t>第三百四十三条</w:t>
            </w:r>
            <w:r>
              <w:rPr>
                <w:rFonts w:ascii="SimHei" w:hAnsi="SimHei" w:eastAsia="SimHei" w:cs="SimHei"/>
                <w:sz w:val="21"/>
                <w:szCs w:val="21"/>
                <w:spacing w:val="35"/>
              </w:rPr>
              <w:t xml:space="preserve"> </w:t>
            </w:r>
            <w:r>
              <w:rPr>
                <w:rFonts w:ascii="SimHei" w:hAnsi="SimHei" w:eastAsia="SimHei" w:cs="SimHei"/>
                <w:sz w:val="21"/>
                <w:szCs w:val="21"/>
                <w:spacing w:val="10"/>
              </w:rPr>
              <w:t>单采血浆站对污染的注射器、采血浆</w:t>
            </w:r>
            <w:r>
              <w:rPr>
                <w:rFonts w:ascii="SimHei" w:hAnsi="SimHei" w:eastAsia="SimHei" w:cs="SimHei"/>
                <w:sz w:val="21"/>
                <w:szCs w:val="21"/>
                <w:spacing w:val="9"/>
              </w:rPr>
              <w:t>器材及不合格血浆等不经消毒处理，擅自倾倒，污染环境，造成社会危害的</w:t>
            </w:r>
            <w:r>
              <w:rPr>
                <w:rFonts w:ascii="SimHei" w:hAnsi="SimHei" w:eastAsia="SimHei" w:cs="SimHei"/>
                <w:sz w:val="21"/>
                <w:szCs w:val="21"/>
                <w:spacing w:val="-94"/>
              </w:rPr>
              <w:t xml:space="preserve"> </w:t>
            </w:r>
            <w:r>
              <w:rPr>
                <w:rFonts w:ascii="SimHei" w:hAnsi="SimHei" w:eastAsia="SimHei" w:cs="SimHei"/>
                <w:sz w:val="21"/>
                <w:szCs w:val="21"/>
              </w:rPr>
              <w:tab/>
            </w:r>
            <w:r>
              <w:rPr>
                <w:rFonts w:ascii="Times New Roman" w:hAnsi="Times New Roman" w:eastAsia="Times New Roman" w:cs="Times New Roman"/>
                <w:sz w:val="21"/>
                <w:szCs w:val="21"/>
                <w:spacing w:val="3"/>
              </w:rPr>
              <w:t>426</w:t>
            </w:r>
          </w:hyperlink>
        </w:p>
        <w:p>
          <w:pPr>
            <w:pStyle w:val="BodyText"/>
            <w:spacing w:line="292" w:lineRule="auto"/>
            <w:rPr/>
          </w:pPr>
          <w:r/>
        </w:p>
        <w:p>
          <w:pPr>
            <w:pStyle w:val="BodyText"/>
            <w:spacing w:line="293" w:lineRule="auto"/>
            <w:rPr/>
          </w:pPr>
          <w:r/>
        </w:p>
        <w:p>
          <w:pPr>
            <w:ind w:left="350"/>
            <w:spacing w:before="68" w:line="222" w:lineRule="auto"/>
            <w:tabs>
              <w:tab w:val="right" w:leader="dot" w:pos="13380"/>
            </w:tabs>
            <w:rPr>
              <w:rFonts w:ascii="Times New Roman" w:hAnsi="Times New Roman" w:eastAsia="Times New Roman" w:cs="Times New Roman"/>
              <w:sz w:val="21"/>
              <w:szCs w:val="21"/>
            </w:rPr>
          </w:pPr>
          <w:hyperlink w:history="true" w:anchor="bookmark438">
            <w:r>
              <w:rPr>
                <w:rFonts w:ascii="SimHei" w:hAnsi="SimHei" w:eastAsia="SimHei" w:cs="SimHei"/>
                <w:sz w:val="21"/>
                <w:szCs w:val="21"/>
                <w:spacing w:val="9"/>
              </w:rPr>
              <w:t>第三百四十四条</w:t>
            </w:r>
            <w:r>
              <w:rPr>
                <w:rFonts w:ascii="SimHei" w:hAnsi="SimHei" w:eastAsia="SimHei" w:cs="SimHei"/>
                <w:sz w:val="21"/>
                <w:szCs w:val="21"/>
                <w:spacing w:val="37"/>
              </w:rPr>
              <w:t xml:space="preserve"> </w:t>
            </w:r>
            <w:r>
              <w:rPr>
                <w:rFonts w:ascii="SimHei" w:hAnsi="SimHei" w:eastAsia="SimHei" w:cs="SimHei"/>
                <w:sz w:val="21"/>
                <w:szCs w:val="21"/>
                <w:spacing w:val="9"/>
              </w:rPr>
              <w:t>单采血浆站重复使用一次性采血浆器材的</w:t>
            </w:r>
            <w:r>
              <w:rPr>
                <w:rFonts w:ascii="SimHei" w:hAnsi="SimHei" w:eastAsia="SimHei" w:cs="SimHei"/>
                <w:sz w:val="21"/>
                <w:szCs w:val="21"/>
              </w:rPr>
              <w:tab/>
            </w:r>
            <w:r>
              <w:rPr>
                <w:rFonts w:ascii="Times New Roman" w:hAnsi="Times New Roman" w:eastAsia="Times New Roman" w:cs="Times New Roman"/>
                <w:sz w:val="21"/>
                <w:szCs w:val="21"/>
                <w:spacing w:val="1"/>
              </w:rPr>
              <w:t>427</w:t>
            </w:r>
          </w:hyperlink>
        </w:p>
        <w:p>
          <w:pPr>
            <w:pStyle w:val="BodyText"/>
            <w:spacing w:line="446" w:lineRule="auto"/>
            <w:rPr/>
          </w:pPr>
          <w:r/>
        </w:p>
        <w:p>
          <w:pPr>
            <w:ind w:left="340"/>
            <w:spacing w:before="68" w:line="221" w:lineRule="auto"/>
            <w:tabs>
              <w:tab w:val="right" w:leader="dot" w:pos="13380"/>
            </w:tabs>
            <w:rPr>
              <w:rFonts w:ascii="Times New Roman" w:hAnsi="Times New Roman" w:eastAsia="Times New Roman" w:cs="Times New Roman"/>
              <w:sz w:val="21"/>
              <w:szCs w:val="21"/>
            </w:rPr>
          </w:pPr>
          <w:hyperlink w:history="true" w:anchor="bookmark439">
            <w:r>
              <w:rPr>
                <w:rFonts w:ascii="SimHei" w:hAnsi="SimHei" w:eastAsia="SimHei" w:cs="SimHei"/>
                <w:sz w:val="21"/>
                <w:szCs w:val="21"/>
                <w:spacing w:val="10"/>
              </w:rPr>
              <w:t>第三百四十五条</w:t>
            </w:r>
            <w:r>
              <w:rPr>
                <w:rFonts w:ascii="SimHei" w:hAnsi="SimHei" w:eastAsia="SimHei" w:cs="SimHei"/>
                <w:sz w:val="21"/>
                <w:szCs w:val="21"/>
                <w:spacing w:val="35"/>
              </w:rPr>
              <w:t xml:space="preserve"> </w:t>
            </w:r>
            <w:r>
              <w:rPr>
                <w:rFonts w:ascii="SimHei" w:hAnsi="SimHei" w:eastAsia="SimHei" w:cs="SimHei"/>
                <w:sz w:val="21"/>
                <w:szCs w:val="21"/>
                <w:spacing w:val="10"/>
              </w:rPr>
              <w:t>单采血浆站向与其签订质量责任</w:t>
            </w:r>
            <w:r>
              <w:rPr>
                <w:rFonts w:ascii="SimHei" w:hAnsi="SimHei" w:eastAsia="SimHei" w:cs="SimHei"/>
                <w:sz w:val="21"/>
                <w:szCs w:val="21"/>
                <w:spacing w:val="9"/>
              </w:rPr>
              <w:t>书的血液制品生产单位以外的其他单位供应原料血浆的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3"/>
              </w:rPr>
              <w:t>428</w:t>
            </w:r>
          </w:hyperlink>
        </w:p>
        <w:p>
          <w:pPr>
            <w:pStyle w:val="BodyText"/>
            <w:spacing w:line="244" w:lineRule="auto"/>
            <w:rPr/>
          </w:pPr>
          <w:r/>
        </w:p>
        <w:p>
          <w:pPr>
            <w:pStyle w:val="BodyText"/>
            <w:spacing w:line="244" w:lineRule="auto"/>
            <w:rPr/>
          </w:pPr>
          <w:r/>
        </w:p>
        <w:p>
          <w:pPr>
            <w:ind w:left="340"/>
            <w:spacing w:before="69" w:line="213" w:lineRule="auto"/>
            <w:tabs>
              <w:tab w:val="right" w:leader="dot" w:pos="13380"/>
            </w:tabs>
            <w:rPr>
              <w:rFonts w:ascii="Times New Roman" w:hAnsi="Times New Roman" w:eastAsia="Times New Roman" w:cs="Times New Roman"/>
              <w:sz w:val="21"/>
              <w:szCs w:val="21"/>
            </w:rPr>
          </w:pPr>
          <w:hyperlink w:history="true" w:anchor="bookmark440">
            <w:r>
              <w:rPr>
                <w:rFonts w:ascii="SimHei" w:hAnsi="SimHei" w:eastAsia="SimHei" w:cs="SimHei"/>
                <w:sz w:val="21"/>
                <w:szCs w:val="21"/>
                <w:spacing w:val="9"/>
              </w:rPr>
              <w:t>第三百四十六条</w:t>
            </w:r>
            <w:r>
              <w:rPr>
                <w:rFonts w:ascii="SimHei" w:hAnsi="SimHei" w:eastAsia="SimHei" w:cs="SimHei"/>
                <w:sz w:val="21"/>
                <w:szCs w:val="21"/>
                <w:spacing w:val="53"/>
              </w:rPr>
              <w:t xml:space="preserve"> </w:t>
            </w:r>
            <w:r>
              <w:rPr>
                <w:rFonts w:ascii="SimHei" w:hAnsi="SimHei" w:eastAsia="SimHei" w:cs="SimHei"/>
                <w:sz w:val="21"/>
                <w:szCs w:val="21"/>
                <w:spacing w:val="9"/>
              </w:rPr>
              <w:t>单采血浆站已知其采集的血浆检测结果呈阳性，仍向血液制品生产单位供应的</w:t>
            </w:r>
            <w:r>
              <w:rPr>
                <w:rFonts w:ascii="SimHei" w:hAnsi="SimHei" w:eastAsia="SimHei" w:cs="SimHei"/>
                <w:sz w:val="21"/>
                <w:szCs w:val="21"/>
                <w:spacing w:val="-94"/>
              </w:rPr>
              <w:t xml:space="preserve"> </w:t>
            </w:r>
            <w:r>
              <w:rPr>
                <w:rFonts w:ascii="SimHei" w:hAnsi="SimHei" w:eastAsia="SimHei" w:cs="SimHei"/>
                <w:sz w:val="21"/>
                <w:szCs w:val="21"/>
              </w:rPr>
              <w:tab/>
            </w:r>
            <w:r>
              <w:rPr>
                <w:rFonts w:ascii="SimHei" w:hAnsi="SimHei" w:eastAsia="SimHei" w:cs="SimHei"/>
                <w:sz w:val="21"/>
                <w:szCs w:val="21"/>
                <w:spacing w:val="-71"/>
              </w:rPr>
              <w:t xml:space="preserve"> </w:t>
            </w:r>
            <w:r>
              <w:rPr>
                <w:rFonts w:ascii="Times New Roman" w:hAnsi="Times New Roman" w:eastAsia="Times New Roman" w:cs="Times New Roman"/>
                <w:sz w:val="21"/>
                <w:szCs w:val="21"/>
                <w:spacing w:val="-1"/>
              </w:rPr>
              <w:t>429</w:t>
            </w:r>
          </w:hyperlink>
        </w:p>
        <w:p>
          <w:pPr>
            <w:pStyle w:val="BodyText"/>
            <w:spacing w:line="242" w:lineRule="auto"/>
            <w:rPr/>
          </w:pPr>
          <w:r/>
        </w:p>
        <w:p>
          <w:pPr>
            <w:pStyle w:val="BodyText"/>
            <w:spacing w:line="243" w:lineRule="auto"/>
            <w:rPr/>
          </w:pPr>
          <w:r/>
        </w:p>
        <w:p>
          <w:pPr>
            <w:ind w:left="340"/>
            <w:spacing w:before="69" w:line="222" w:lineRule="auto"/>
            <w:tabs>
              <w:tab w:val="right" w:leader="dot" w:pos="13370"/>
            </w:tabs>
            <w:rPr>
              <w:rFonts w:ascii="Times New Roman" w:hAnsi="Times New Roman" w:eastAsia="Times New Roman" w:cs="Times New Roman"/>
              <w:sz w:val="21"/>
              <w:szCs w:val="21"/>
            </w:rPr>
          </w:pPr>
          <w:hyperlink w:history="true" w:anchor="bookmark441">
            <w:r>
              <w:rPr>
                <w:rFonts w:ascii="SimHei" w:hAnsi="SimHei" w:eastAsia="SimHei" w:cs="SimHei"/>
                <w:sz w:val="21"/>
                <w:szCs w:val="21"/>
                <w:spacing w:val="10"/>
              </w:rPr>
              <w:t>第三百四十七条</w:t>
            </w:r>
            <w:r>
              <w:rPr>
                <w:rFonts w:ascii="SimHei" w:hAnsi="SimHei" w:eastAsia="SimHei" w:cs="SimHei"/>
                <w:sz w:val="21"/>
                <w:szCs w:val="21"/>
                <w:spacing w:val="51"/>
              </w:rPr>
              <w:t xml:space="preserve"> </w:t>
            </w:r>
            <w:r>
              <w:rPr>
                <w:rFonts w:ascii="SimHei" w:hAnsi="SimHei" w:eastAsia="SimHei" w:cs="SimHei"/>
                <w:sz w:val="21"/>
                <w:szCs w:val="21"/>
                <w:spacing w:val="10"/>
              </w:rPr>
              <w:t>涂改、伪造、转让《供血浆证》的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430</w:t>
            </w:r>
          </w:hyperlink>
        </w:p>
        <w:p>
          <w:pPr>
            <w:pStyle w:val="BodyText"/>
            <w:spacing w:line="248" w:lineRule="auto"/>
            <w:rPr/>
          </w:pPr>
          <w:r/>
        </w:p>
        <w:p>
          <w:pPr>
            <w:pStyle w:val="BodyText"/>
            <w:spacing w:line="248" w:lineRule="auto"/>
            <w:rPr/>
          </w:pPr>
          <w:r/>
        </w:p>
        <w:p>
          <w:pPr>
            <w:ind w:left="340"/>
            <w:spacing w:before="68" w:line="222" w:lineRule="auto"/>
            <w:tabs>
              <w:tab w:val="right" w:leader="dot" w:pos="13400"/>
            </w:tabs>
            <w:rPr>
              <w:rFonts w:ascii="Times New Roman" w:hAnsi="Times New Roman" w:eastAsia="Times New Roman" w:cs="Times New Roman"/>
              <w:sz w:val="21"/>
              <w:szCs w:val="21"/>
            </w:rPr>
          </w:pPr>
          <w:hyperlink w:history="true" w:anchor="bookmark442">
            <w:r>
              <w:rPr>
                <w:rFonts w:ascii="SimHei" w:hAnsi="SimHei" w:eastAsia="SimHei" w:cs="SimHei"/>
                <w:sz w:val="21"/>
                <w:szCs w:val="21"/>
                <w:spacing w:val="9"/>
              </w:rPr>
              <w:t>第三百四十八条</w:t>
            </w:r>
            <w:r>
              <w:rPr>
                <w:rFonts w:ascii="SimHei" w:hAnsi="SimHei" w:eastAsia="SimHei" w:cs="SimHei"/>
                <w:sz w:val="21"/>
                <w:szCs w:val="21"/>
                <w:spacing w:val="9"/>
              </w:rPr>
              <w:t xml:space="preserve"> </w:t>
            </w:r>
            <w:r>
              <w:rPr>
                <w:rFonts w:ascii="SimHei" w:hAnsi="SimHei" w:eastAsia="SimHei" w:cs="SimHei"/>
                <w:sz w:val="21"/>
                <w:szCs w:val="21"/>
                <w:spacing w:val="9"/>
              </w:rPr>
              <w:t>血液制品生产经营单位生产、包装、储存、运输、经营血液制品不符合国家规定的卫生标准和要求的</w:t>
            </w:r>
            <w:r>
              <w:rPr>
                <w:rFonts w:ascii="SimHei" w:hAnsi="SimHei" w:eastAsia="SimHei" w:cs="SimHei"/>
                <w:sz w:val="21"/>
                <w:szCs w:val="21"/>
                <w:spacing w:val="-89"/>
              </w:rPr>
              <w:t xml:space="preserve"> </w:t>
            </w:r>
            <w:r>
              <w:rPr>
                <w:rFonts w:ascii="SimHei" w:hAnsi="SimHei" w:eastAsia="SimHei" w:cs="SimHei"/>
                <w:sz w:val="21"/>
                <w:szCs w:val="21"/>
              </w:rPr>
              <w:tab/>
            </w:r>
            <w:r>
              <w:rPr>
                <w:rFonts w:ascii="Times New Roman" w:hAnsi="Times New Roman" w:eastAsia="Times New Roman" w:cs="Times New Roman"/>
                <w:sz w:val="21"/>
                <w:szCs w:val="21"/>
              </w:rPr>
              <w:t>431</w:t>
            </w:r>
          </w:hyperlink>
        </w:p>
        <w:p>
          <w:pPr>
            <w:pStyle w:val="BodyText"/>
            <w:spacing w:line="253" w:lineRule="auto"/>
            <w:rPr/>
          </w:pPr>
          <w:r/>
        </w:p>
        <w:p>
          <w:pPr>
            <w:pStyle w:val="BodyText"/>
            <w:spacing w:line="253" w:lineRule="auto"/>
            <w:rPr/>
          </w:pPr>
          <w:r/>
        </w:p>
        <w:p>
          <w:pPr>
            <w:ind w:left="340"/>
            <w:spacing w:before="69" w:line="222" w:lineRule="auto"/>
            <w:tabs>
              <w:tab w:val="right" w:leader="dot" w:pos="13380"/>
            </w:tabs>
            <w:rPr>
              <w:rFonts w:ascii="Times New Roman" w:hAnsi="Times New Roman" w:eastAsia="Times New Roman" w:cs="Times New Roman"/>
              <w:sz w:val="21"/>
              <w:szCs w:val="21"/>
            </w:rPr>
          </w:pPr>
          <w:hyperlink w:history="true" w:anchor="bookmark443">
            <w:r>
              <w:rPr>
                <w:rFonts w:ascii="SimHei" w:hAnsi="SimHei" w:eastAsia="SimHei" w:cs="SimHei"/>
                <w:sz w:val="21"/>
                <w:szCs w:val="21"/>
                <w:spacing w:val="12"/>
              </w:rPr>
              <w:t>第三百四十九条</w:t>
            </w:r>
            <w:r>
              <w:rPr>
                <w:rFonts w:ascii="SimHei" w:hAnsi="SimHei" w:eastAsia="SimHei" w:cs="SimHei"/>
                <w:sz w:val="21"/>
                <w:szCs w:val="21"/>
                <w:spacing w:val="12"/>
              </w:rPr>
              <w:t xml:space="preserve"> </w:t>
            </w:r>
            <w:r>
              <w:rPr>
                <w:rFonts w:ascii="SimHei" w:hAnsi="SimHei" w:eastAsia="SimHei" w:cs="SimHei"/>
                <w:sz w:val="21"/>
                <w:szCs w:val="21"/>
                <w:spacing w:val="12"/>
              </w:rPr>
              <w:t>擅自进出口血液制品或者出口原料血浆的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432</w:t>
            </w:r>
          </w:hyperlink>
        </w:p>
        <w:p>
          <w:pPr>
            <w:pStyle w:val="BodyText"/>
            <w:spacing w:line="384" w:lineRule="auto"/>
            <w:rPr/>
          </w:pPr>
          <w:r/>
        </w:p>
        <w:p>
          <w:pPr>
            <w:spacing w:before="69" w:line="212" w:lineRule="auto"/>
            <w:tabs>
              <w:tab w:val="right" w:leader="dot" w:pos="13400"/>
            </w:tabs>
            <w:rPr>
              <w:rFonts w:ascii="Times New Roman" w:hAnsi="Times New Roman" w:eastAsia="Times New Roman" w:cs="Times New Roman"/>
              <w:sz w:val="21"/>
              <w:szCs w:val="21"/>
            </w:rPr>
          </w:pPr>
          <w:hyperlink w:history="true" w:anchor="bookmark444">
            <w:r>
              <w:rPr>
                <w:rFonts w:ascii="Times New Roman" w:hAnsi="Times New Roman" w:eastAsia="Times New Roman" w:cs="Times New Roman"/>
                <w:sz w:val="21"/>
                <w:szCs w:val="21"/>
                <w:spacing w:val="10"/>
              </w:rPr>
              <w:t>( </w:t>
            </w:r>
            <w:r>
              <w:rPr>
                <w:rFonts w:ascii="KaiTi" w:hAnsi="KaiTi" w:eastAsia="KaiTi" w:cs="KaiTi"/>
                <w:sz w:val="21"/>
                <w:szCs w:val="21"/>
                <w:spacing w:val="10"/>
              </w:rPr>
              <w:t>三十一)《单采血浆站管理办法》</w:t>
            </w:r>
            <w:r>
              <w:rPr>
                <w:rFonts w:ascii="KaiTi" w:hAnsi="KaiTi" w:eastAsia="KaiTi" w:cs="KaiTi"/>
                <w:sz w:val="21"/>
                <w:szCs w:val="21"/>
                <w:spacing w:val="-64"/>
              </w:rPr>
              <w:t xml:space="preserve"> </w:t>
            </w:r>
            <w:r>
              <w:rPr>
                <w:rFonts w:ascii="KaiTi" w:hAnsi="KaiTi" w:eastAsia="KaiTi" w:cs="KaiTi"/>
                <w:sz w:val="21"/>
                <w:szCs w:val="21"/>
              </w:rPr>
              <w:tab/>
            </w:r>
            <w:r>
              <w:rPr>
                <w:rFonts w:ascii="KaiTi" w:hAnsi="KaiTi" w:eastAsia="KaiTi" w:cs="KaiTi"/>
                <w:sz w:val="21"/>
                <w:szCs w:val="21"/>
                <w:spacing w:val="-31"/>
              </w:rPr>
              <w:t xml:space="preserve"> </w:t>
            </w:r>
            <w:r>
              <w:rPr>
                <w:rFonts w:ascii="Times New Roman" w:hAnsi="Times New Roman" w:eastAsia="Times New Roman" w:cs="Times New Roman"/>
                <w:sz w:val="21"/>
                <w:szCs w:val="21"/>
                <w:spacing w:val="-1"/>
              </w:rPr>
              <w:t>432</w:t>
            </w:r>
          </w:hyperlink>
        </w:p>
        <w:p>
          <w:pPr>
            <w:pStyle w:val="BodyText"/>
            <w:spacing w:line="290" w:lineRule="auto"/>
            <w:rPr/>
          </w:pPr>
          <w:r/>
        </w:p>
        <w:p>
          <w:pPr>
            <w:ind w:left="340"/>
            <w:spacing w:before="68" w:line="221" w:lineRule="auto"/>
            <w:tabs>
              <w:tab w:val="right" w:leader="dot" w:pos="13460"/>
            </w:tabs>
            <w:rPr>
              <w:rFonts w:ascii="Times New Roman" w:hAnsi="Times New Roman" w:eastAsia="Times New Roman" w:cs="Times New Roman"/>
              <w:sz w:val="21"/>
              <w:szCs w:val="21"/>
            </w:rPr>
          </w:pPr>
          <w:hyperlink w:history="true" w:anchor="bookmark445">
            <w:r>
              <w:rPr>
                <w:rFonts w:ascii="SimHei" w:hAnsi="SimHei" w:eastAsia="SimHei" w:cs="SimHei"/>
                <w:sz w:val="21"/>
                <w:szCs w:val="21"/>
                <w:spacing w:val="9"/>
              </w:rPr>
              <w:t>第三百五十条</w:t>
            </w:r>
            <w:r>
              <w:rPr>
                <w:rFonts w:ascii="SimHei" w:hAnsi="SimHei" w:eastAsia="SimHei" w:cs="SimHei"/>
                <w:sz w:val="21"/>
                <w:szCs w:val="21"/>
                <w:spacing w:val="32"/>
              </w:rPr>
              <w:t xml:space="preserve"> </w:t>
            </w:r>
            <w:r>
              <w:rPr>
                <w:rFonts w:ascii="SimHei" w:hAnsi="SimHei" w:eastAsia="SimHei" w:cs="SimHei"/>
                <w:sz w:val="21"/>
                <w:szCs w:val="21"/>
                <w:spacing w:val="9"/>
              </w:rPr>
              <w:t>单采血浆站隐瞒、阻碍、拒绝卫生</w:t>
            </w:r>
            <w:r>
              <w:rPr>
                <w:rFonts w:ascii="SimHei" w:hAnsi="SimHei" w:eastAsia="SimHei" w:cs="SimHei"/>
                <w:sz w:val="21"/>
                <w:szCs w:val="21"/>
                <w:spacing w:val="8"/>
              </w:rPr>
              <w:t>行政部门监督检查或者不如实提供有关资料的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432</w:t>
            </w:r>
          </w:hyperlink>
        </w:p>
      </w:sdtContent>
    </w:sdt>
    <w:p>
      <w:pPr>
        <w:spacing w:line="221" w:lineRule="auto"/>
        <w:sectPr>
          <w:footerReference w:type="default" r:id="rId42"/>
          <w:pgSz w:w="16830" w:h="11900"/>
          <w:pgMar w:top="1011" w:right="1418" w:bottom="1128" w:left="1949" w:header="0" w:footer="768" w:gutter="0"/>
        </w:sectPr>
        <w:rPr>
          <w:rFonts w:ascii="Times New Roman" w:hAnsi="Times New Roman" w:eastAsia="Times New Roman" w:cs="Times New Roman"/>
          <w:sz w:val="21"/>
          <w:szCs w:val="21"/>
        </w:rPr>
      </w:pPr>
    </w:p>
    <w:p>
      <w:pPr>
        <w:pStyle w:val="BodyText"/>
        <w:spacing w:line="317" w:lineRule="auto"/>
        <w:rPr/>
      </w:pPr>
      <w:r/>
    </w:p>
    <w:p>
      <w:pPr>
        <w:pStyle w:val="BodyText"/>
        <w:spacing w:line="317" w:lineRule="auto"/>
        <w:rPr/>
      </w:pPr>
      <w:r/>
    </w:p>
    <w:p>
      <w:pPr>
        <w:pStyle w:val="BodyText"/>
        <w:spacing w:line="318"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300"/>
            <w:spacing w:before="68" w:line="213" w:lineRule="auto"/>
            <w:tabs>
              <w:tab w:val="right" w:leader="dot" w:pos="13245"/>
            </w:tabs>
            <w:rPr>
              <w:rFonts w:ascii="Times New Roman" w:hAnsi="Times New Roman" w:eastAsia="Times New Roman" w:cs="Times New Roman"/>
              <w:sz w:val="21"/>
              <w:szCs w:val="21"/>
            </w:rPr>
          </w:pPr>
          <w:hyperlink w:history="true" w:anchor="bookmark446">
            <w:r>
              <w:rPr>
                <w:rFonts w:ascii="SimHei" w:hAnsi="SimHei" w:eastAsia="SimHei" w:cs="SimHei"/>
                <w:sz w:val="21"/>
                <w:szCs w:val="21"/>
                <w:spacing w:val="9"/>
              </w:rPr>
              <w:t>第三百五十一条</w:t>
            </w:r>
            <w:r>
              <w:rPr>
                <w:rFonts w:ascii="SimHei" w:hAnsi="SimHei" w:eastAsia="SimHei" w:cs="SimHei"/>
                <w:sz w:val="21"/>
                <w:szCs w:val="21"/>
                <w:spacing w:val="53"/>
              </w:rPr>
              <w:t xml:space="preserve"> </w:t>
            </w:r>
            <w:r>
              <w:rPr>
                <w:rFonts w:ascii="SimHei" w:hAnsi="SimHei" w:eastAsia="SimHei" w:cs="SimHei"/>
                <w:sz w:val="21"/>
                <w:szCs w:val="21"/>
                <w:spacing w:val="9"/>
              </w:rPr>
              <w:t>单采血浆站对供血浆者未履行事先告知义务，未经供血浆者同意开展特殊免疫的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71"/>
              </w:rPr>
              <w:t xml:space="preserve"> </w:t>
            </w:r>
            <w:r>
              <w:rPr>
                <w:rFonts w:ascii="Times New Roman" w:hAnsi="Times New Roman" w:eastAsia="Times New Roman" w:cs="Times New Roman"/>
                <w:sz w:val="21"/>
                <w:szCs w:val="21"/>
                <w:spacing w:val="-1"/>
              </w:rPr>
              <w:t>43</w:t>
            </w:r>
          </w:hyperlink>
        </w:p>
        <w:p>
          <w:pPr>
            <w:pStyle w:val="BodyText"/>
            <w:spacing w:line="257" w:lineRule="auto"/>
            <w:rPr/>
          </w:pPr>
          <w:r/>
        </w:p>
        <w:p>
          <w:pPr>
            <w:pStyle w:val="BodyText"/>
            <w:spacing w:line="258" w:lineRule="auto"/>
            <w:rPr/>
          </w:pPr>
          <w:r/>
        </w:p>
        <w:p>
          <w:pPr>
            <w:ind w:left="300"/>
            <w:spacing w:before="68" w:line="221" w:lineRule="auto"/>
            <w:tabs>
              <w:tab w:val="right" w:leader="dot" w:pos="13350"/>
            </w:tabs>
            <w:rPr>
              <w:rFonts w:ascii="Times New Roman" w:hAnsi="Times New Roman" w:eastAsia="Times New Roman" w:cs="Times New Roman"/>
              <w:sz w:val="21"/>
              <w:szCs w:val="21"/>
            </w:rPr>
          </w:pPr>
          <w:hyperlink w:history="true" w:anchor="bookmark447">
            <w:r>
              <w:rPr>
                <w:rFonts w:ascii="SimHei" w:hAnsi="SimHei" w:eastAsia="SimHei" w:cs="SimHei"/>
                <w:sz w:val="21"/>
                <w:szCs w:val="21"/>
                <w:spacing w:val="9"/>
              </w:rPr>
              <w:t>第三百五十二条</w:t>
            </w:r>
            <w:r>
              <w:rPr>
                <w:rFonts w:ascii="SimHei" w:hAnsi="SimHei" w:eastAsia="SimHei" w:cs="SimHei"/>
                <w:sz w:val="21"/>
                <w:szCs w:val="21"/>
                <w:spacing w:val="37"/>
              </w:rPr>
              <w:t xml:space="preserve"> </w:t>
            </w:r>
            <w:r>
              <w:rPr>
                <w:rFonts w:ascii="SimHei" w:hAnsi="SimHei" w:eastAsia="SimHei" w:cs="SimHei"/>
                <w:sz w:val="21"/>
                <w:szCs w:val="21"/>
                <w:spacing w:val="9"/>
              </w:rPr>
              <w:t>单采血浆站未按照规定建立供血浆者档案管理及屏蔽、淘汰制度的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434</w:t>
            </w:r>
          </w:hyperlink>
        </w:p>
        <w:p>
          <w:pPr>
            <w:pStyle w:val="BodyText"/>
            <w:spacing w:line="258" w:lineRule="auto"/>
            <w:rPr/>
          </w:pPr>
          <w:r/>
        </w:p>
        <w:p>
          <w:pPr>
            <w:pStyle w:val="BodyText"/>
            <w:spacing w:line="259" w:lineRule="auto"/>
            <w:rPr/>
          </w:pPr>
          <w:r/>
        </w:p>
        <w:p>
          <w:pPr>
            <w:ind w:left="300"/>
            <w:spacing w:before="68" w:line="222" w:lineRule="auto"/>
            <w:tabs>
              <w:tab w:val="right" w:leader="dot" w:pos="13360"/>
            </w:tabs>
            <w:rPr>
              <w:rFonts w:ascii="Times New Roman" w:hAnsi="Times New Roman" w:eastAsia="Times New Roman" w:cs="Times New Roman"/>
              <w:sz w:val="21"/>
              <w:szCs w:val="21"/>
            </w:rPr>
          </w:pPr>
          <w:hyperlink w:history="true" w:anchor="bookmark448">
            <w:r>
              <w:rPr>
                <w:rFonts w:ascii="SimHei" w:hAnsi="SimHei" w:eastAsia="SimHei" w:cs="SimHei"/>
                <w:sz w:val="21"/>
                <w:szCs w:val="21"/>
                <w:spacing w:val="9"/>
              </w:rPr>
              <w:t>第三百五十三条</w:t>
            </w:r>
            <w:r>
              <w:rPr>
                <w:rFonts w:ascii="SimHei" w:hAnsi="SimHei" w:eastAsia="SimHei" w:cs="SimHei"/>
                <w:sz w:val="21"/>
                <w:szCs w:val="21"/>
                <w:spacing w:val="34"/>
              </w:rPr>
              <w:t xml:space="preserve"> </w:t>
            </w:r>
            <w:r>
              <w:rPr>
                <w:rFonts w:ascii="SimHei" w:hAnsi="SimHei" w:eastAsia="SimHei" w:cs="SimHei"/>
                <w:sz w:val="21"/>
                <w:szCs w:val="21"/>
                <w:spacing w:val="9"/>
              </w:rPr>
              <w:t>单采血浆站未按照规定制订各项工作制度或者不落</w:t>
            </w:r>
            <w:r>
              <w:rPr>
                <w:rFonts w:ascii="SimHei" w:hAnsi="SimHei" w:eastAsia="SimHei" w:cs="SimHei"/>
                <w:sz w:val="21"/>
                <w:szCs w:val="21"/>
                <w:spacing w:val="8"/>
              </w:rPr>
              <w:t>实的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435</w:t>
            </w:r>
          </w:hyperlink>
        </w:p>
        <w:p>
          <w:pPr>
            <w:pStyle w:val="BodyText"/>
            <w:spacing w:line="247" w:lineRule="auto"/>
            <w:rPr/>
          </w:pPr>
          <w:r/>
        </w:p>
        <w:p>
          <w:pPr>
            <w:pStyle w:val="BodyText"/>
            <w:spacing w:line="247" w:lineRule="auto"/>
            <w:rPr/>
          </w:pPr>
          <w:r/>
        </w:p>
        <w:p>
          <w:pPr>
            <w:ind w:left="300"/>
            <w:spacing w:before="68" w:line="219" w:lineRule="auto"/>
            <w:tabs>
              <w:tab w:val="right" w:leader="dot" w:pos="13340"/>
            </w:tabs>
            <w:rPr>
              <w:rFonts w:ascii="Times New Roman" w:hAnsi="Times New Roman" w:eastAsia="Times New Roman" w:cs="Times New Roman"/>
              <w:sz w:val="21"/>
              <w:szCs w:val="21"/>
            </w:rPr>
          </w:pPr>
          <w:hyperlink w:history="true" w:anchor="bookmark449">
            <w:r>
              <w:rPr>
                <w:rFonts w:ascii="SimHei" w:hAnsi="SimHei" w:eastAsia="SimHei" w:cs="SimHei"/>
                <w:sz w:val="21"/>
                <w:szCs w:val="21"/>
                <w:spacing w:val="10"/>
              </w:rPr>
              <w:t>第三百五十四条</w:t>
            </w:r>
            <w:r>
              <w:rPr>
                <w:rFonts w:ascii="SimHei" w:hAnsi="SimHei" w:eastAsia="SimHei" w:cs="SimHei"/>
                <w:sz w:val="21"/>
                <w:szCs w:val="21"/>
                <w:spacing w:val="34"/>
              </w:rPr>
              <w:t xml:space="preserve"> </w:t>
            </w:r>
            <w:r>
              <w:rPr>
                <w:rFonts w:ascii="SimHei" w:hAnsi="SimHei" w:eastAsia="SimHei" w:cs="SimHei"/>
                <w:sz w:val="21"/>
                <w:szCs w:val="21"/>
                <w:spacing w:val="10"/>
              </w:rPr>
              <w:t>单采血浆站工作人员未取得相关</w:t>
            </w:r>
            <w:r>
              <w:rPr>
                <w:rFonts w:ascii="SimHei" w:hAnsi="SimHei" w:eastAsia="SimHei" w:cs="SimHei"/>
                <w:sz w:val="21"/>
                <w:szCs w:val="21"/>
                <w:spacing w:val="9"/>
              </w:rPr>
              <w:t>岗位执业资格或者未经执业注册从事采供血浆工作的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rPr>
              <w:t>435</w:t>
            </w:r>
          </w:hyperlink>
        </w:p>
        <w:p>
          <w:pPr>
            <w:pStyle w:val="BodyText"/>
            <w:spacing w:line="275" w:lineRule="auto"/>
            <w:rPr/>
          </w:pPr>
          <w:r/>
        </w:p>
        <w:p>
          <w:pPr>
            <w:pStyle w:val="BodyText"/>
            <w:spacing w:line="275" w:lineRule="auto"/>
            <w:rPr/>
          </w:pPr>
          <w:r/>
        </w:p>
        <w:p>
          <w:pPr>
            <w:ind w:left="310"/>
            <w:spacing w:before="69" w:line="222" w:lineRule="auto"/>
            <w:tabs>
              <w:tab w:val="right" w:leader="dot" w:pos="13340"/>
            </w:tabs>
            <w:rPr>
              <w:rFonts w:ascii="Times New Roman" w:hAnsi="Times New Roman" w:eastAsia="Times New Roman" w:cs="Times New Roman"/>
              <w:sz w:val="21"/>
              <w:szCs w:val="21"/>
            </w:rPr>
          </w:pPr>
          <w:hyperlink w:history="true" w:anchor="bookmark450">
            <w:r>
              <w:rPr>
                <w:rFonts w:ascii="SimHei" w:hAnsi="SimHei" w:eastAsia="SimHei" w:cs="SimHei"/>
                <w:sz w:val="21"/>
                <w:szCs w:val="21"/>
                <w:spacing w:val="9"/>
              </w:rPr>
              <w:t>第三百五十五条</w:t>
            </w:r>
            <w:r>
              <w:rPr>
                <w:rFonts w:ascii="SimHei" w:hAnsi="SimHei" w:eastAsia="SimHei" w:cs="SimHei"/>
                <w:sz w:val="21"/>
                <w:szCs w:val="21"/>
                <w:spacing w:val="40"/>
              </w:rPr>
              <w:t xml:space="preserve"> </w:t>
            </w:r>
            <w:r>
              <w:rPr>
                <w:rFonts w:ascii="SimHei" w:hAnsi="SimHei" w:eastAsia="SimHei" w:cs="SimHei"/>
                <w:sz w:val="21"/>
                <w:szCs w:val="21"/>
                <w:spacing w:val="9"/>
              </w:rPr>
              <w:t>单采血浆站不按照规定记录或者保存工作记录的</w:t>
            </w:r>
            <w:r>
              <w:rPr>
                <w:rFonts w:ascii="SimHei" w:hAnsi="SimHei" w:eastAsia="SimHei" w:cs="SimHei"/>
                <w:sz w:val="21"/>
                <w:szCs w:val="21"/>
              </w:rPr>
              <w:tab/>
            </w:r>
            <w:r>
              <w:rPr>
                <w:rFonts w:ascii="Times New Roman" w:hAnsi="Times New Roman" w:eastAsia="Times New Roman" w:cs="Times New Roman"/>
                <w:sz w:val="21"/>
                <w:szCs w:val="21"/>
                <w:spacing w:val="1"/>
              </w:rPr>
              <w:t>436</w:t>
            </w:r>
          </w:hyperlink>
        </w:p>
        <w:p>
          <w:pPr>
            <w:pStyle w:val="BodyText"/>
            <w:spacing w:line="416" w:lineRule="auto"/>
            <w:rPr/>
          </w:pPr>
          <w:r/>
        </w:p>
        <w:p>
          <w:pPr>
            <w:ind w:left="300"/>
            <w:spacing w:before="69" w:line="222" w:lineRule="auto"/>
            <w:tabs>
              <w:tab w:val="right" w:leader="dot" w:pos="13330"/>
            </w:tabs>
            <w:rPr>
              <w:rFonts w:ascii="Times New Roman" w:hAnsi="Times New Roman" w:eastAsia="Times New Roman" w:cs="Times New Roman"/>
              <w:sz w:val="21"/>
              <w:szCs w:val="21"/>
            </w:rPr>
          </w:pPr>
          <w:hyperlink w:history="true" w:anchor="bookmark451">
            <w:r>
              <w:rPr>
                <w:rFonts w:ascii="SimHei" w:hAnsi="SimHei" w:eastAsia="SimHei" w:cs="SimHei"/>
                <w:sz w:val="21"/>
                <w:szCs w:val="21"/>
                <w:spacing w:val="8"/>
              </w:rPr>
              <w:t>第三百五十六条</w:t>
            </w:r>
            <w:r>
              <w:rPr>
                <w:rFonts w:ascii="SimHei" w:hAnsi="SimHei" w:eastAsia="SimHei" w:cs="SimHei"/>
                <w:sz w:val="21"/>
                <w:szCs w:val="21"/>
                <w:spacing w:val="40"/>
              </w:rPr>
              <w:t xml:space="preserve"> </w:t>
            </w:r>
            <w:r>
              <w:rPr>
                <w:rFonts w:ascii="SimHei" w:hAnsi="SimHei" w:eastAsia="SimHei" w:cs="SimHei"/>
                <w:sz w:val="21"/>
                <w:szCs w:val="21"/>
                <w:spacing w:val="8"/>
              </w:rPr>
              <w:t>单采血浆站未按照规定保存血浆标本的</w:t>
            </w:r>
            <w:r>
              <w:rPr>
                <w:rFonts w:ascii="SimHei" w:hAnsi="SimHei" w:eastAsia="SimHei" w:cs="SimHei"/>
                <w:sz w:val="21"/>
                <w:szCs w:val="21"/>
                <w:spacing w:val="-94"/>
              </w:rPr>
              <w:t xml:space="preserve"> </w:t>
            </w:r>
            <w:r>
              <w:rPr>
                <w:rFonts w:ascii="SimHei" w:hAnsi="SimHei" w:eastAsia="SimHei" w:cs="SimHei"/>
                <w:sz w:val="21"/>
                <w:szCs w:val="21"/>
              </w:rPr>
              <w:tab/>
            </w:r>
            <w:r>
              <w:rPr>
                <w:rFonts w:ascii="Times New Roman" w:hAnsi="Times New Roman" w:eastAsia="Times New Roman" w:cs="Times New Roman"/>
                <w:sz w:val="21"/>
                <w:szCs w:val="21"/>
              </w:rPr>
              <w:t>437</w:t>
            </w:r>
          </w:hyperlink>
        </w:p>
        <w:p>
          <w:pPr>
            <w:pStyle w:val="BodyText"/>
            <w:spacing w:line="248" w:lineRule="auto"/>
            <w:rPr/>
          </w:pPr>
          <w:r/>
        </w:p>
        <w:p>
          <w:pPr>
            <w:pStyle w:val="BodyText"/>
            <w:spacing w:line="248" w:lineRule="auto"/>
            <w:rPr/>
          </w:pPr>
          <w:r/>
        </w:p>
        <w:p>
          <w:pPr>
            <w:ind w:left="300"/>
            <w:spacing w:before="69" w:line="222" w:lineRule="auto"/>
            <w:tabs>
              <w:tab w:val="right" w:leader="dot" w:pos="13330"/>
            </w:tabs>
            <w:rPr>
              <w:rFonts w:ascii="Times New Roman" w:hAnsi="Times New Roman" w:eastAsia="Times New Roman" w:cs="Times New Roman"/>
              <w:sz w:val="21"/>
              <w:szCs w:val="21"/>
            </w:rPr>
          </w:pPr>
          <w:hyperlink w:history="true" w:anchor="bookmark452">
            <w:r>
              <w:rPr>
                <w:rFonts w:ascii="SimHei" w:hAnsi="SimHei" w:eastAsia="SimHei" w:cs="SimHei"/>
                <w:sz w:val="21"/>
                <w:szCs w:val="21"/>
                <w:spacing w:val="11"/>
              </w:rPr>
              <w:t>第三百五十七条</w:t>
            </w:r>
            <w:r>
              <w:rPr>
                <w:rFonts w:ascii="SimHei" w:hAnsi="SimHei" w:eastAsia="SimHei" w:cs="SimHei"/>
                <w:sz w:val="21"/>
                <w:szCs w:val="21"/>
                <w:spacing w:val="35"/>
              </w:rPr>
              <w:t xml:space="preserve"> </w:t>
            </w:r>
            <w:r>
              <w:rPr>
                <w:rFonts w:ascii="SimHei" w:hAnsi="SimHei" w:eastAsia="SimHei" w:cs="SimHei"/>
                <w:sz w:val="21"/>
                <w:szCs w:val="21"/>
                <w:spacing w:val="11"/>
              </w:rPr>
              <w:t>擅自出口原料血浆的</w:t>
            </w:r>
            <w:r>
              <w:rPr>
                <w:rFonts w:ascii="SimHei" w:hAnsi="SimHei" w:eastAsia="SimHei" w:cs="SimHei"/>
                <w:sz w:val="21"/>
                <w:szCs w:val="21"/>
                <w:spacing w:val="-93"/>
              </w:rPr>
              <w:t xml:space="preserve"> </w:t>
            </w:r>
            <w:r>
              <w:rPr>
                <w:rFonts w:ascii="SimHei" w:hAnsi="SimHei" w:eastAsia="SimHei" w:cs="SimHei"/>
                <w:sz w:val="21"/>
                <w:szCs w:val="21"/>
                <w:color w:val="404040"/>
              </w:rPr>
              <w:tab/>
            </w:r>
            <w:r>
              <w:rPr>
                <w:rFonts w:ascii="Times New Roman" w:hAnsi="Times New Roman" w:eastAsia="Times New Roman" w:cs="Times New Roman"/>
                <w:sz w:val="21"/>
                <w:szCs w:val="21"/>
                <w:spacing w:val="6"/>
              </w:rPr>
              <w:t>437</w:t>
            </w:r>
          </w:hyperlink>
        </w:p>
        <w:p>
          <w:pPr>
            <w:pStyle w:val="BodyText"/>
            <w:spacing w:line="252" w:lineRule="auto"/>
            <w:rPr/>
          </w:pPr>
          <w:r/>
        </w:p>
        <w:p>
          <w:pPr>
            <w:pStyle w:val="BodyText"/>
            <w:spacing w:line="253" w:lineRule="auto"/>
            <w:rPr/>
          </w:pPr>
          <w:r/>
        </w:p>
        <w:p>
          <w:pPr>
            <w:ind w:left="300"/>
            <w:spacing w:before="68" w:line="221" w:lineRule="auto"/>
            <w:tabs>
              <w:tab w:val="right" w:leader="dot" w:pos="13350"/>
            </w:tabs>
            <w:rPr>
              <w:rFonts w:ascii="Times New Roman" w:hAnsi="Times New Roman" w:eastAsia="Times New Roman" w:cs="Times New Roman"/>
              <w:sz w:val="21"/>
              <w:szCs w:val="21"/>
            </w:rPr>
          </w:pPr>
          <w:hyperlink w:history="true" w:anchor="bookmark453">
            <w:r>
              <w:rPr>
                <w:rFonts w:ascii="SimHei" w:hAnsi="SimHei" w:eastAsia="SimHei" w:cs="SimHei"/>
                <w:sz w:val="21"/>
                <w:szCs w:val="21"/>
                <w:spacing w:val="9"/>
              </w:rPr>
              <w:t>第三百五十八条</w:t>
            </w:r>
            <w:r>
              <w:rPr>
                <w:rFonts w:ascii="SimHei" w:hAnsi="SimHei" w:eastAsia="SimHei" w:cs="SimHei"/>
                <w:sz w:val="21"/>
                <w:szCs w:val="21"/>
                <w:spacing w:val="9"/>
              </w:rPr>
              <w:t xml:space="preserve"> </w:t>
            </w:r>
            <w:r>
              <w:rPr>
                <w:rFonts w:ascii="SimHei" w:hAnsi="SimHei" w:eastAsia="SimHei" w:cs="SimHei"/>
                <w:sz w:val="21"/>
                <w:szCs w:val="21"/>
                <w:spacing w:val="9"/>
              </w:rPr>
              <w:t>承担单采血浆站技术评价、检测的技</w:t>
            </w:r>
            <w:r>
              <w:rPr>
                <w:rFonts w:ascii="SimHei" w:hAnsi="SimHei" w:eastAsia="SimHei" w:cs="SimHei"/>
                <w:sz w:val="21"/>
                <w:szCs w:val="21"/>
                <w:spacing w:val="8"/>
              </w:rPr>
              <w:t>术机构出具虚假证明文件的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438</w:t>
            </w:r>
          </w:hyperlink>
        </w:p>
        <w:p>
          <w:pPr>
            <w:pStyle w:val="BodyText"/>
            <w:spacing w:line="346" w:lineRule="auto"/>
            <w:rPr/>
          </w:pPr>
          <w:r/>
        </w:p>
        <w:p>
          <w:pPr>
            <w:spacing w:before="69" w:line="212" w:lineRule="auto"/>
            <w:tabs>
              <w:tab w:val="right" w:leader="dot" w:pos="13350"/>
            </w:tabs>
            <w:rPr>
              <w:rFonts w:ascii="Times New Roman" w:hAnsi="Times New Roman" w:eastAsia="Times New Roman" w:cs="Times New Roman"/>
              <w:sz w:val="21"/>
              <w:szCs w:val="21"/>
            </w:rPr>
          </w:pPr>
          <w:hyperlink w:history="true" w:anchor="bookmark454">
            <w:r>
              <w:rPr>
                <w:rFonts w:ascii="Times New Roman" w:hAnsi="Times New Roman" w:eastAsia="Times New Roman" w:cs="Times New Roman"/>
                <w:sz w:val="21"/>
                <w:szCs w:val="21"/>
                <w:spacing w:val="13"/>
              </w:rPr>
              <w:t>(</w:t>
            </w:r>
            <w:r>
              <w:rPr>
                <w:rFonts w:ascii="KaiTi" w:hAnsi="KaiTi" w:eastAsia="KaiTi" w:cs="KaiTi"/>
                <w:sz w:val="21"/>
                <w:szCs w:val="21"/>
                <w:spacing w:val="13"/>
              </w:rPr>
              <w:t>三十二)《血站管理办法》</w:t>
            </w:r>
            <w:r>
              <w:rPr>
                <w:rFonts w:ascii="KaiTi" w:hAnsi="KaiTi" w:eastAsia="KaiTi" w:cs="KaiTi"/>
                <w:sz w:val="21"/>
                <w:szCs w:val="21"/>
                <w:spacing w:val="-70"/>
              </w:rPr>
              <w:t xml:space="preserve"> </w:t>
            </w:r>
            <w:r>
              <w:rPr>
                <w:rFonts w:ascii="KaiTi" w:hAnsi="KaiTi" w:eastAsia="KaiTi" w:cs="KaiTi"/>
                <w:sz w:val="21"/>
                <w:szCs w:val="21"/>
                <w:color w:val="605040"/>
              </w:rPr>
              <w:tab/>
            </w:r>
            <w:r>
              <w:rPr>
                <w:rFonts w:ascii="KaiTi" w:hAnsi="KaiTi" w:eastAsia="KaiTi" w:cs="KaiTi"/>
                <w:sz w:val="21"/>
                <w:szCs w:val="21"/>
                <w:spacing w:val="-21"/>
              </w:rPr>
              <w:t xml:space="preserve"> </w:t>
            </w:r>
            <w:r>
              <w:rPr>
                <w:rFonts w:ascii="Times New Roman" w:hAnsi="Times New Roman" w:eastAsia="Times New Roman" w:cs="Times New Roman"/>
                <w:sz w:val="21"/>
                <w:szCs w:val="21"/>
                <w:spacing w:val="-1"/>
              </w:rPr>
              <w:t>439</w:t>
            </w:r>
          </w:hyperlink>
        </w:p>
        <w:p>
          <w:pPr>
            <w:pStyle w:val="BodyText"/>
            <w:spacing w:line="329" w:lineRule="auto"/>
            <w:rPr/>
          </w:pPr>
          <w:r/>
        </w:p>
        <w:p>
          <w:pPr>
            <w:ind w:left="300"/>
            <w:spacing w:before="69" w:line="219" w:lineRule="auto"/>
            <w:tabs>
              <w:tab w:val="right" w:leader="dot" w:pos="13350"/>
            </w:tabs>
            <w:rPr>
              <w:rFonts w:ascii="Times New Roman" w:hAnsi="Times New Roman" w:eastAsia="Times New Roman" w:cs="Times New Roman"/>
              <w:sz w:val="21"/>
              <w:szCs w:val="21"/>
            </w:rPr>
          </w:pPr>
          <w:hyperlink w:history="true" w:anchor="bookmark455">
            <w:r>
              <w:rPr>
                <w:rFonts w:ascii="SimHei" w:hAnsi="SimHei" w:eastAsia="SimHei" w:cs="SimHei"/>
                <w:sz w:val="21"/>
                <w:szCs w:val="21"/>
                <w:spacing w:val="9"/>
              </w:rPr>
              <w:t>第三百五十九条</w:t>
            </w:r>
            <w:r>
              <w:rPr>
                <w:rFonts w:ascii="SimHei" w:hAnsi="SimHei" w:eastAsia="SimHei" w:cs="SimHei"/>
                <w:sz w:val="21"/>
                <w:szCs w:val="21"/>
                <w:spacing w:val="9"/>
              </w:rPr>
              <w:t xml:space="preserve"> </w:t>
            </w:r>
            <w:r>
              <w:rPr>
                <w:rFonts w:ascii="SimHei" w:hAnsi="SimHei" w:eastAsia="SimHei" w:cs="SimHei"/>
                <w:sz w:val="21"/>
                <w:szCs w:val="21"/>
                <w:spacing w:val="9"/>
              </w:rPr>
              <w:t>血站超出执业登记的项目、内容、范围开</w:t>
            </w:r>
            <w:r>
              <w:rPr>
                <w:rFonts w:ascii="SimHei" w:hAnsi="SimHei" w:eastAsia="SimHei" w:cs="SimHei"/>
                <w:sz w:val="21"/>
                <w:szCs w:val="21"/>
                <w:spacing w:val="8"/>
              </w:rPr>
              <w:t>展业务活动的</w:t>
            </w:r>
            <w:r>
              <w:rPr>
                <w:rFonts w:ascii="SimHei" w:hAnsi="SimHei" w:eastAsia="SimHei" w:cs="SimHei"/>
                <w:sz w:val="21"/>
                <w:szCs w:val="21"/>
                <w:spacing w:val="-94"/>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439</w:t>
            </w:r>
          </w:hyperlink>
        </w:p>
      </w:sdtContent>
    </w:sdt>
    <w:p>
      <w:pPr>
        <w:spacing w:line="219" w:lineRule="auto"/>
        <w:sectPr>
          <w:footerReference w:type="default" r:id="rId43"/>
          <w:pgSz w:w="16830" w:h="11900"/>
          <w:pgMar w:top="1011" w:right="1478" w:bottom="1137" w:left="1989" w:header="0" w:footer="785" w:gutter="0"/>
        </w:sectPr>
        <w:rPr>
          <w:rFonts w:ascii="Times New Roman" w:hAnsi="Times New Roman" w:eastAsia="Times New Roman" w:cs="Times New Roman"/>
          <w:sz w:val="21"/>
          <w:szCs w:val="21"/>
        </w:rPr>
      </w:pPr>
    </w:p>
    <w:p>
      <w:pPr>
        <w:pStyle w:val="BodyText"/>
        <w:spacing w:line="305" w:lineRule="auto"/>
        <w:rPr/>
      </w:pPr>
      <w:r/>
    </w:p>
    <w:p>
      <w:pPr>
        <w:pStyle w:val="BodyText"/>
        <w:spacing w:line="306" w:lineRule="auto"/>
        <w:rPr/>
      </w:pPr>
      <w:r/>
    </w:p>
    <w:p>
      <w:pPr>
        <w:pStyle w:val="BodyText"/>
        <w:spacing w:line="306"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spacing w:before="71" w:line="219" w:lineRule="auto"/>
            <w:tabs>
              <w:tab w:val="right" w:leader="dot" w:pos="13105"/>
            </w:tabs>
            <w:rPr>
              <w:rFonts w:ascii="Times New Roman" w:hAnsi="Times New Roman" w:eastAsia="Times New Roman" w:cs="Times New Roman"/>
              <w:sz w:val="22"/>
              <w:szCs w:val="22"/>
            </w:rPr>
          </w:pPr>
          <w:bookmarkStart w:name="bookmark456" w:id="9"/>
          <w:bookmarkEnd w:id="9"/>
          <w:hyperlink w:history="true" w:anchor="bookmark457">
            <w:r>
              <w:rPr>
                <w:rFonts w:ascii="SimHei" w:hAnsi="SimHei" w:eastAsia="SimHei" w:cs="SimHei"/>
                <w:sz w:val="22"/>
                <w:szCs w:val="22"/>
              </w:rPr>
              <w:t>第三百六十条</w:t>
            </w:r>
            <w:r>
              <w:rPr>
                <w:rFonts w:ascii="SimHei" w:hAnsi="SimHei" w:eastAsia="SimHei" w:cs="SimHei"/>
                <w:sz w:val="22"/>
                <w:szCs w:val="22"/>
              </w:rPr>
              <w:t xml:space="preserve"> </w:t>
            </w:r>
            <w:r>
              <w:rPr>
                <w:rFonts w:ascii="SimHei" w:hAnsi="SimHei" w:eastAsia="SimHei" w:cs="SimHei"/>
                <w:sz w:val="22"/>
                <w:szCs w:val="22"/>
              </w:rPr>
              <w:t>血站工作人员未取得相关岗位执业资格或者未经执业注</w:t>
            </w:r>
            <w:r>
              <w:rPr>
                <w:rFonts w:ascii="SimHei" w:hAnsi="SimHei" w:eastAsia="SimHei" w:cs="SimHei"/>
                <w:sz w:val="22"/>
                <w:szCs w:val="22"/>
                <w:spacing w:val="-1"/>
              </w:rPr>
              <w:t>册而从事采供血工作的</w:t>
            </w:r>
            <w:r>
              <w:rPr>
                <w:rFonts w:ascii="SimHei" w:hAnsi="SimHei" w:eastAsia="SimHei" w:cs="SimHei"/>
                <w:sz w:val="22"/>
                <w:szCs w:val="22"/>
                <w:spacing w:val="-81"/>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440</w:t>
            </w:r>
          </w:hyperlink>
        </w:p>
        <w:p>
          <w:pPr>
            <w:pStyle w:val="BodyText"/>
            <w:spacing w:line="242" w:lineRule="auto"/>
            <w:rPr/>
          </w:pPr>
          <w:r/>
        </w:p>
        <w:p>
          <w:pPr>
            <w:pStyle w:val="BodyText"/>
            <w:spacing w:line="243" w:lineRule="auto"/>
            <w:rPr/>
          </w:pPr>
          <w:r/>
        </w:p>
        <w:p>
          <w:pPr>
            <w:spacing w:before="72" w:line="221" w:lineRule="auto"/>
            <w:tabs>
              <w:tab w:val="right" w:leader="dot" w:pos="12945"/>
            </w:tabs>
            <w:rPr>
              <w:rFonts w:ascii="Times New Roman" w:hAnsi="Times New Roman" w:eastAsia="Times New Roman" w:cs="Times New Roman"/>
              <w:sz w:val="22"/>
              <w:szCs w:val="22"/>
            </w:rPr>
          </w:pPr>
          <w:hyperlink w:history="true" w:anchor="bookmark458">
            <w:r>
              <w:rPr>
                <w:rFonts w:ascii="SimHei" w:hAnsi="SimHei" w:eastAsia="SimHei" w:cs="SimHei"/>
                <w:sz w:val="22"/>
                <w:szCs w:val="22"/>
              </w:rPr>
              <w:t>第三百六十一条</w:t>
            </w:r>
            <w:r>
              <w:rPr>
                <w:rFonts w:ascii="SimHei" w:hAnsi="SimHei" w:eastAsia="SimHei" w:cs="SimHei"/>
                <w:sz w:val="22"/>
                <w:szCs w:val="22"/>
              </w:rPr>
              <w:t xml:space="preserve"> </w:t>
            </w:r>
            <w:r>
              <w:rPr>
                <w:rFonts w:ascii="SimHei" w:hAnsi="SimHei" w:eastAsia="SimHei" w:cs="SimHei"/>
                <w:sz w:val="22"/>
                <w:szCs w:val="22"/>
              </w:rPr>
              <w:t>血站血液检测实验室未取得</w:t>
            </w:r>
            <w:r>
              <w:rPr>
                <w:rFonts w:ascii="SimHei" w:hAnsi="SimHei" w:eastAsia="SimHei" w:cs="SimHei"/>
                <w:sz w:val="22"/>
                <w:szCs w:val="22"/>
                <w:spacing w:val="-1"/>
              </w:rPr>
              <w:t>相应资格即进行检测的</w:t>
            </w:r>
            <w:r>
              <w:rPr>
                <w:rFonts w:ascii="SimHei" w:hAnsi="SimHei" w:eastAsia="SimHei" w:cs="SimHei"/>
                <w:sz w:val="22"/>
                <w:szCs w:val="22"/>
              </w:rPr>
              <w:tab/>
            </w:r>
            <w:r>
              <w:rPr>
                <w:rFonts w:ascii="Times New Roman" w:hAnsi="Times New Roman" w:eastAsia="Times New Roman" w:cs="Times New Roman"/>
                <w:sz w:val="22"/>
                <w:szCs w:val="22"/>
                <w:spacing w:val="1"/>
              </w:rPr>
              <w:t>40</w:t>
            </w:r>
          </w:hyperlink>
        </w:p>
        <w:p>
          <w:pPr>
            <w:pStyle w:val="BodyText"/>
            <w:spacing w:line="246" w:lineRule="auto"/>
            <w:rPr/>
          </w:pPr>
          <w:r/>
        </w:p>
        <w:p>
          <w:pPr>
            <w:pStyle w:val="BodyText"/>
            <w:spacing w:line="246" w:lineRule="auto"/>
            <w:rPr/>
          </w:pPr>
          <w:r/>
        </w:p>
        <w:p>
          <w:pPr>
            <w:spacing w:before="71" w:line="221" w:lineRule="auto"/>
            <w:tabs>
              <w:tab w:val="right" w:leader="dot" w:pos="12945"/>
            </w:tabs>
            <w:rPr>
              <w:rFonts w:ascii="Times New Roman" w:hAnsi="Times New Roman" w:eastAsia="Times New Roman" w:cs="Times New Roman"/>
              <w:sz w:val="22"/>
              <w:szCs w:val="22"/>
            </w:rPr>
          </w:pPr>
          <w:hyperlink w:history="true" w:anchor="bookmark459">
            <w:r>
              <w:rPr>
                <w:rFonts w:ascii="SimHei" w:hAnsi="SimHei" w:eastAsia="SimHei" w:cs="SimHei"/>
                <w:sz w:val="22"/>
                <w:szCs w:val="22"/>
                <w:spacing w:val="2"/>
              </w:rPr>
              <w:t>第三百六十二条</w:t>
            </w:r>
            <w:r>
              <w:rPr>
                <w:rFonts w:ascii="SimHei" w:hAnsi="SimHei" w:eastAsia="SimHei" w:cs="SimHei"/>
                <w:sz w:val="22"/>
                <w:szCs w:val="22"/>
                <w:spacing w:val="2"/>
              </w:rPr>
              <w:t xml:space="preserve"> </w:t>
            </w:r>
            <w:r>
              <w:rPr>
                <w:rFonts w:ascii="SimHei" w:hAnsi="SimHei" w:eastAsia="SimHei" w:cs="SimHei"/>
                <w:sz w:val="22"/>
                <w:szCs w:val="22"/>
                <w:spacing w:val="2"/>
              </w:rPr>
              <w:t>血站擅自采集原料血浆、买卖血液的</w:t>
            </w:r>
            <w:r>
              <w:rPr>
                <w:rFonts w:ascii="SimHei" w:hAnsi="SimHei" w:eastAsia="SimHei" w:cs="SimHei"/>
                <w:sz w:val="22"/>
                <w:szCs w:val="22"/>
                <w:spacing w:val="-99"/>
              </w:rPr>
              <w:t xml:space="preserve"> </w:t>
            </w:r>
            <w:r>
              <w:rPr>
                <w:rFonts w:ascii="SimHei" w:hAnsi="SimHei" w:eastAsia="SimHei" w:cs="SimHei"/>
                <w:sz w:val="22"/>
                <w:szCs w:val="22"/>
              </w:rPr>
              <w:tab/>
            </w:r>
            <w:r>
              <w:rPr>
                <w:rFonts w:ascii="SimHei" w:hAnsi="SimHei" w:eastAsia="SimHei" w:cs="SimHei"/>
                <w:sz w:val="22"/>
                <w:szCs w:val="22"/>
                <w:spacing w:val="-66"/>
              </w:rPr>
              <w:t xml:space="preserve"> </w:t>
            </w:r>
            <w:r>
              <w:rPr>
                <w:rFonts w:ascii="Times New Roman" w:hAnsi="Times New Roman" w:eastAsia="Times New Roman" w:cs="Times New Roman"/>
                <w:sz w:val="22"/>
                <w:szCs w:val="22"/>
                <w:spacing w:val="-1"/>
              </w:rPr>
              <w:t>41</w:t>
            </w:r>
          </w:hyperlink>
        </w:p>
        <w:p>
          <w:pPr>
            <w:pStyle w:val="BodyText"/>
            <w:spacing w:line="472" w:lineRule="auto"/>
            <w:rPr/>
          </w:pPr>
          <w:r/>
        </w:p>
        <w:p>
          <w:pPr>
            <w:spacing w:before="72" w:line="213" w:lineRule="auto"/>
            <w:tabs>
              <w:tab w:val="right" w:leader="dot" w:pos="12955"/>
            </w:tabs>
            <w:rPr>
              <w:rFonts w:ascii="Times New Roman" w:hAnsi="Times New Roman" w:eastAsia="Times New Roman" w:cs="Times New Roman"/>
              <w:sz w:val="22"/>
              <w:szCs w:val="22"/>
            </w:rPr>
          </w:pPr>
          <w:hyperlink w:history="true" w:anchor="bookmark460">
            <w:r>
              <w:rPr>
                <w:rFonts w:ascii="SimHei" w:hAnsi="SimHei" w:eastAsia="SimHei" w:cs="SimHei"/>
                <w:sz w:val="22"/>
                <w:szCs w:val="22"/>
              </w:rPr>
              <w:t>第三百六十三条</w:t>
            </w:r>
            <w:r>
              <w:rPr>
                <w:rFonts w:ascii="SimHei" w:hAnsi="SimHei" w:eastAsia="SimHei" w:cs="SimHei"/>
                <w:sz w:val="22"/>
                <w:szCs w:val="22"/>
              </w:rPr>
              <w:t xml:space="preserve"> </w:t>
            </w:r>
            <w:r>
              <w:rPr>
                <w:rFonts w:ascii="SimHei" w:hAnsi="SimHei" w:eastAsia="SimHei" w:cs="SimHei"/>
                <w:sz w:val="22"/>
                <w:szCs w:val="22"/>
              </w:rPr>
              <w:t>血站采集血液前，未按照国家颁布的献血者健康检查要求对献血者</w:t>
            </w:r>
            <w:r>
              <w:rPr>
                <w:rFonts w:ascii="SimHei" w:hAnsi="SimHei" w:eastAsia="SimHei" w:cs="SimHei"/>
                <w:sz w:val="22"/>
                <w:szCs w:val="22"/>
                <w:spacing w:val="-1"/>
              </w:rPr>
              <w:t>进行健康检查、检测的</w:t>
            </w:r>
            <w:r>
              <w:rPr>
                <w:rFonts w:ascii="SimHei" w:hAnsi="SimHei" w:eastAsia="SimHei" w:cs="SimHei"/>
                <w:sz w:val="22"/>
                <w:szCs w:val="22"/>
                <w:spacing w:val="-92"/>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42</w:t>
            </w:r>
          </w:hyperlink>
        </w:p>
        <w:p>
          <w:pPr>
            <w:pStyle w:val="BodyText"/>
            <w:spacing w:line="260" w:lineRule="auto"/>
            <w:rPr/>
          </w:pPr>
          <w:r/>
        </w:p>
        <w:p>
          <w:pPr>
            <w:pStyle w:val="BodyText"/>
            <w:spacing w:line="260" w:lineRule="auto"/>
            <w:rPr/>
          </w:pPr>
          <w:r/>
        </w:p>
        <w:p>
          <w:pPr>
            <w:spacing w:before="72" w:line="221" w:lineRule="auto"/>
            <w:tabs>
              <w:tab w:val="right" w:leader="dot" w:pos="12945"/>
            </w:tabs>
            <w:rPr>
              <w:rFonts w:ascii="Times New Roman" w:hAnsi="Times New Roman" w:eastAsia="Times New Roman" w:cs="Times New Roman"/>
              <w:sz w:val="22"/>
              <w:szCs w:val="22"/>
            </w:rPr>
          </w:pPr>
          <w:hyperlink w:history="true" w:anchor="bookmark461">
            <w:r>
              <w:rPr>
                <w:rFonts w:ascii="SimHei" w:hAnsi="SimHei" w:eastAsia="SimHei" w:cs="SimHei"/>
                <w:sz w:val="22"/>
                <w:szCs w:val="22"/>
              </w:rPr>
              <w:t>第三百六十四条</w:t>
            </w:r>
            <w:r>
              <w:rPr>
                <w:rFonts w:ascii="SimHei" w:hAnsi="SimHei" w:eastAsia="SimHei" w:cs="SimHei"/>
                <w:sz w:val="22"/>
                <w:szCs w:val="22"/>
              </w:rPr>
              <w:t xml:space="preserve"> </w:t>
            </w:r>
            <w:r>
              <w:rPr>
                <w:rFonts w:ascii="SimHei" w:hAnsi="SimHei" w:eastAsia="SimHei" w:cs="SimHei"/>
                <w:sz w:val="22"/>
                <w:szCs w:val="22"/>
              </w:rPr>
              <w:t>血站采集冒名顶替者、健康检查不合格者血液以及</w:t>
            </w:r>
            <w:r>
              <w:rPr>
                <w:rFonts w:ascii="SimHei" w:hAnsi="SimHei" w:eastAsia="SimHei" w:cs="SimHei"/>
                <w:sz w:val="22"/>
                <w:szCs w:val="22"/>
                <w:spacing w:val="-1"/>
              </w:rPr>
              <w:t>超量、频繁采集血液的</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26"/>
              </w:rPr>
              <w:t xml:space="preserve"> </w:t>
            </w:r>
            <w:r>
              <w:rPr>
                <w:rFonts w:ascii="Times New Roman" w:hAnsi="Times New Roman" w:eastAsia="Times New Roman" w:cs="Times New Roman"/>
                <w:sz w:val="22"/>
                <w:szCs w:val="22"/>
                <w:spacing w:val="-1"/>
              </w:rPr>
              <w:t>42</w:t>
            </w:r>
          </w:hyperlink>
        </w:p>
        <w:p>
          <w:pPr>
            <w:pStyle w:val="BodyText"/>
            <w:spacing w:line="472" w:lineRule="auto"/>
            <w:rPr/>
          </w:pPr>
          <w:r/>
        </w:p>
        <w:p>
          <w:pPr>
            <w:spacing w:before="72" w:line="222" w:lineRule="auto"/>
            <w:tabs>
              <w:tab w:val="right" w:leader="dot" w:pos="12955"/>
            </w:tabs>
            <w:rPr>
              <w:rFonts w:ascii="Times New Roman" w:hAnsi="Times New Roman" w:eastAsia="Times New Roman" w:cs="Times New Roman"/>
              <w:sz w:val="22"/>
              <w:szCs w:val="22"/>
            </w:rPr>
          </w:pPr>
          <w:hyperlink w:history="true" w:anchor="bookmark462">
            <w:r>
              <w:rPr>
                <w:rFonts w:ascii="SimHei" w:hAnsi="SimHei" w:eastAsia="SimHei" w:cs="SimHei"/>
                <w:sz w:val="22"/>
                <w:szCs w:val="22"/>
                <w:spacing w:val="1"/>
              </w:rPr>
              <w:t>第三百六十五条</w:t>
            </w:r>
            <w:r>
              <w:rPr>
                <w:rFonts w:ascii="SimHei" w:hAnsi="SimHei" w:eastAsia="SimHei" w:cs="SimHei"/>
                <w:sz w:val="22"/>
                <w:szCs w:val="22"/>
                <w:spacing w:val="1"/>
              </w:rPr>
              <w:t xml:space="preserve"> </w:t>
            </w:r>
            <w:r>
              <w:rPr>
                <w:rFonts w:ascii="SimHei" w:hAnsi="SimHei" w:eastAsia="SimHei" w:cs="SimHei"/>
                <w:sz w:val="22"/>
                <w:szCs w:val="22"/>
                <w:spacing w:val="1"/>
              </w:rPr>
              <w:t>血站违反输血技术操作规程、有关质量规范和标准的</w:t>
            </w:r>
            <w:r>
              <w:rPr>
                <w:rFonts w:ascii="SimHei" w:hAnsi="SimHei" w:eastAsia="SimHei" w:cs="SimHei"/>
                <w:sz w:val="22"/>
                <w:szCs w:val="22"/>
                <w:spacing w:val="-83"/>
              </w:rPr>
              <w:t xml:space="preserve"> </w:t>
            </w:r>
            <w:r>
              <w:rPr>
                <w:rFonts w:ascii="SimHei" w:hAnsi="SimHei" w:eastAsia="SimHei" w:cs="SimHei"/>
                <w:sz w:val="22"/>
                <w:szCs w:val="22"/>
              </w:rPr>
              <w:tab/>
            </w:r>
            <w:r>
              <w:rPr>
                <w:rFonts w:ascii="SimHei" w:hAnsi="SimHei" w:eastAsia="SimHei" w:cs="SimHei"/>
                <w:sz w:val="22"/>
                <w:szCs w:val="22"/>
                <w:spacing w:val="-56"/>
              </w:rPr>
              <w:t xml:space="preserve"> </w:t>
            </w:r>
            <w:r>
              <w:rPr>
                <w:rFonts w:ascii="Times New Roman" w:hAnsi="Times New Roman" w:eastAsia="Times New Roman" w:cs="Times New Roman"/>
                <w:sz w:val="22"/>
                <w:szCs w:val="22"/>
                <w:spacing w:val="-1"/>
              </w:rPr>
              <w:t>43</w:t>
            </w:r>
          </w:hyperlink>
        </w:p>
        <w:p>
          <w:pPr>
            <w:pStyle w:val="BodyText"/>
            <w:rPr/>
          </w:pPr>
          <w:r/>
        </w:p>
        <w:p>
          <w:pPr>
            <w:pStyle w:val="BodyText"/>
            <w:rPr/>
          </w:pPr>
          <w:r/>
        </w:p>
        <w:p>
          <w:pPr>
            <w:spacing w:before="72" w:line="221" w:lineRule="auto"/>
            <w:tabs>
              <w:tab w:val="right" w:leader="dot" w:pos="12945"/>
            </w:tabs>
            <w:rPr>
              <w:rFonts w:ascii="Times New Roman" w:hAnsi="Times New Roman" w:eastAsia="Times New Roman" w:cs="Times New Roman"/>
              <w:sz w:val="22"/>
              <w:szCs w:val="22"/>
            </w:rPr>
          </w:pPr>
          <w:hyperlink w:history="true" w:anchor="bookmark463">
            <w:r>
              <w:rPr>
                <w:rFonts w:ascii="SimHei" w:hAnsi="SimHei" w:eastAsia="SimHei" w:cs="SimHei"/>
                <w:sz w:val="22"/>
                <w:szCs w:val="22"/>
                <w:spacing w:val="-1"/>
              </w:rPr>
              <w:t>第三百六十六条</w:t>
            </w:r>
            <w:r>
              <w:rPr>
                <w:rFonts w:ascii="SimHei" w:hAnsi="SimHei" w:eastAsia="SimHei" w:cs="SimHei"/>
                <w:sz w:val="22"/>
                <w:szCs w:val="22"/>
                <w:spacing w:val="-1"/>
              </w:rPr>
              <w:t xml:space="preserve"> </w:t>
            </w:r>
            <w:r>
              <w:rPr>
                <w:rFonts w:ascii="SimHei" w:hAnsi="SimHei" w:eastAsia="SimHei" w:cs="SimHei"/>
                <w:sz w:val="22"/>
                <w:szCs w:val="22"/>
                <w:spacing w:val="-1"/>
              </w:rPr>
              <w:t>血站采血前未向献血者、特殊血液成分捐赠者履行规定的告知义务的</w:t>
            </w:r>
            <w:r>
              <w:rPr>
                <w:rFonts w:ascii="SimHei" w:hAnsi="SimHei" w:eastAsia="SimHei" w:cs="SimHei"/>
                <w:sz w:val="22"/>
                <w:szCs w:val="22"/>
                <w:spacing w:val="-94"/>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44</w:t>
            </w:r>
          </w:hyperlink>
        </w:p>
        <w:p>
          <w:pPr>
            <w:pStyle w:val="BodyText"/>
            <w:spacing w:line="246" w:lineRule="auto"/>
            <w:rPr/>
          </w:pPr>
          <w:r/>
        </w:p>
        <w:p>
          <w:pPr>
            <w:pStyle w:val="BodyText"/>
            <w:spacing w:line="246" w:lineRule="auto"/>
            <w:rPr/>
          </w:pPr>
          <w:r/>
        </w:p>
        <w:p>
          <w:pPr>
            <w:spacing w:before="72" w:line="222" w:lineRule="auto"/>
            <w:tabs>
              <w:tab w:val="right" w:leader="dot" w:pos="12945"/>
            </w:tabs>
            <w:rPr>
              <w:rFonts w:ascii="Times New Roman" w:hAnsi="Times New Roman" w:eastAsia="Times New Roman" w:cs="Times New Roman"/>
              <w:sz w:val="22"/>
              <w:szCs w:val="22"/>
            </w:rPr>
          </w:pPr>
          <w:hyperlink w:history="true" w:anchor="bookmark464">
            <w:r>
              <w:rPr>
                <w:rFonts w:ascii="SimHei" w:hAnsi="SimHei" w:eastAsia="SimHei" w:cs="SimHei"/>
                <w:sz w:val="22"/>
                <w:szCs w:val="22"/>
              </w:rPr>
              <w:t>第三百六十七条</w:t>
            </w:r>
            <w:r>
              <w:rPr>
                <w:rFonts w:ascii="SimHei" w:hAnsi="SimHei" w:eastAsia="SimHei" w:cs="SimHei"/>
                <w:sz w:val="22"/>
                <w:szCs w:val="22"/>
              </w:rPr>
              <w:t xml:space="preserve"> </w:t>
            </w:r>
            <w:r>
              <w:rPr>
                <w:rFonts w:ascii="SimHei" w:hAnsi="SimHei" w:eastAsia="SimHei" w:cs="SimHei"/>
                <w:sz w:val="22"/>
                <w:szCs w:val="22"/>
              </w:rPr>
              <w:t>血站擅自涂改、毁损或者不</w:t>
            </w:r>
            <w:r>
              <w:rPr>
                <w:rFonts w:ascii="SimHei" w:hAnsi="SimHei" w:eastAsia="SimHei" w:cs="SimHei"/>
                <w:sz w:val="22"/>
                <w:szCs w:val="22"/>
                <w:spacing w:val="-1"/>
              </w:rPr>
              <w:t>按规定保存工作记录的</w:t>
            </w:r>
            <w:r>
              <w:rPr>
                <w:rFonts w:ascii="SimHei" w:hAnsi="SimHei" w:eastAsia="SimHei" w:cs="SimHei"/>
                <w:sz w:val="22"/>
                <w:szCs w:val="22"/>
              </w:rPr>
              <w:tab/>
            </w:r>
            <w:r>
              <w:rPr>
                <w:rFonts w:ascii="Times New Roman" w:hAnsi="Times New Roman" w:eastAsia="Times New Roman" w:cs="Times New Roman"/>
                <w:sz w:val="22"/>
                <w:szCs w:val="22"/>
                <w:spacing w:val="1"/>
              </w:rPr>
              <w:t>44</w:t>
            </w:r>
          </w:hyperlink>
        </w:p>
        <w:p>
          <w:pPr>
            <w:pStyle w:val="BodyText"/>
            <w:rPr/>
          </w:pPr>
          <w:r/>
        </w:p>
        <w:p>
          <w:pPr>
            <w:pStyle w:val="BodyText"/>
            <w:rPr/>
          </w:pPr>
          <w:r/>
        </w:p>
        <w:p>
          <w:pPr>
            <w:spacing w:before="72" w:line="221" w:lineRule="auto"/>
            <w:tabs>
              <w:tab w:val="right" w:leader="dot" w:pos="12955"/>
            </w:tabs>
            <w:rPr>
              <w:rFonts w:ascii="Times New Roman" w:hAnsi="Times New Roman" w:eastAsia="Times New Roman" w:cs="Times New Roman"/>
              <w:sz w:val="22"/>
              <w:szCs w:val="22"/>
            </w:rPr>
          </w:pPr>
          <w:hyperlink w:history="true" w:anchor="bookmark465">
            <w:r>
              <w:rPr>
                <w:rFonts w:ascii="SimHei" w:hAnsi="SimHei" w:eastAsia="SimHei" w:cs="SimHei"/>
                <w:sz w:val="22"/>
                <w:szCs w:val="22"/>
                <w:spacing w:val="-1"/>
              </w:rPr>
              <w:t>第三百六十八条</w:t>
            </w:r>
            <w:r>
              <w:rPr>
                <w:rFonts w:ascii="SimHei" w:hAnsi="SimHei" w:eastAsia="SimHei" w:cs="SimHei"/>
                <w:sz w:val="22"/>
                <w:szCs w:val="22"/>
                <w:spacing w:val="-1"/>
              </w:rPr>
              <w:t xml:space="preserve"> </w:t>
            </w:r>
            <w:r>
              <w:rPr>
                <w:rFonts w:ascii="SimHei" w:hAnsi="SimHei" w:eastAsia="SimHei" w:cs="SimHei"/>
                <w:sz w:val="22"/>
                <w:szCs w:val="22"/>
                <w:spacing w:val="-1"/>
              </w:rPr>
              <w:t>血站使用的药品、体外诊断试剂、一次性卫生器材不符合国家有关规定的</w:t>
            </w:r>
            <w:r>
              <w:rPr>
                <w:rFonts w:ascii="SimHei" w:hAnsi="SimHei" w:eastAsia="SimHei" w:cs="SimHei"/>
                <w:sz w:val="22"/>
                <w:szCs w:val="22"/>
                <w:spacing w:val="-92"/>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45</w:t>
            </w:r>
          </w:hyperlink>
        </w:p>
        <w:p>
          <w:pPr>
            <w:pStyle w:val="BodyText"/>
            <w:spacing w:line="241" w:lineRule="auto"/>
            <w:rPr/>
          </w:pPr>
          <w:r/>
        </w:p>
        <w:p>
          <w:pPr>
            <w:pStyle w:val="BodyText"/>
            <w:spacing w:line="241" w:lineRule="auto"/>
            <w:rPr/>
          </w:pPr>
          <w:r/>
        </w:p>
        <w:p>
          <w:pPr>
            <w:spacing w:before="72" w:line="222" w:lineRule="auto"/>
            <w:tabs>
              <w:tab w:val="right" w:leader="dot" w:pos="12985"/>
            </w:tabs>
            <w:rPr>
              <w:rFonts w:ascii="Times New Roman" w:hAnsi="Times New Roman" w:eastAsia="Times New Roman" w:cs="Times New Roman"/>
              <w:sz w:val="22"/>
              <w:szCs w:val="22"/>
            </w:rPr>
          </w:pPr>
          <w:hyperlink w:history="true" w:anchor="bookmark466">
            <w:r>
              <w:rPr>
                <w:rFonts w:ascii="SimHei" w:hAnsi="SimHei" w:eastAsia="SimHei" w:cs="SimHei"/>
                <w:sz w:val="22"/>
                <w:szCs w:val="22"/>
                <w:spacing w:val="2"/>
              </w:rPr>
              <w:t>第三百六十九条</w:t>
            </w:r>
            <w:r>
              <w:rPr>
                <w:rFonts w:ascii="SimHei" w:hAnsi="SimHei" w:eastAsia="SimHei" w:cs="SimHei"/>
                <w:sz w:val="22"/>
                <w:szCs w:val="22"/>
                <w:spacing w:val="2"/>
              </w:rPr>
              <w:t xml:space="preserve"> </w:t>
            </w:r>
            <w:r>
              <w:rPr>
                <w:rFonts w:ascii="SimHei" w:hAnsi="SimHei" w:eastAsia="SimHei" w:cs="SimHei"/>
                <w:sz w:val="22"/>
                <w:szCs w:val="22"/>
                <w:spacing w:val="2"/>
              </w:rPr>
              <w:t>血站重复使用一次性卫生器材的</w:t>
            </w:r>
            <w:r>
              <w:rPr>
                <w:rFonts w:ascii="SimHei" w:hAnsi="SimHei" w:eastAsia="SimHei" w:cs="SimHei"/>
                <w:sz w:val="22"/>
                <w:szCs w:val="22"/>
                <w:spacing w:val="-96"/>
              </w:rPr>
              <w:t xml:space="preserve"> </w:t>
            </w:r>
            <w:r>
              <w:rPr>
                <w:rFonts w:ascii="SimHei" w:hAnsi="SimHei" w:eastAsia="SimHei" w:cs="SimHei"/>
                <w:sz w:val="22"/>
                <w:szCs w:val="22"/>
              </w:rPr>
              <w:tab/>
            </w:r>
            <w:r>
              <w:rPr>
                <w:rFonts w:ascii="SimHei" w:hAnsi="SimHei" w:eastAsia="SimHei" w:cs="SimHei"/>
                <w:sz w:val="22"/>
                <w:szCs w:val="22"/>
                <w:spacing w:val="-26"/>
              </w:rPr>
              <w:t xml:space="preserve"> </w:t>
            </w:r>
            <w:r>
              <w:rPr>
                <w:rFonts w:ascii="Times New Roman" w:hAnsi="Times New Roman" w:eastAsia="Times New Roman" w:cs="Times New Roman"/>
                <w:sz w:val="22"/>
                <w:szCs w:val="22"/>
                <w:spacing w:val="-1"/>
              </w:rPr>
              <w:t>46</w:t>
            </w:r>
          </w:hyperlink>
        </w:p>
      </w:sdtContent>
    </w:sdt>
    <w:p>
      <w:pPr>
        <w:spacing w:line="222" w:lineRule="auto"/>
        <w:sectPr>
          <w:footerReference w:type="default" r:id="rId44"/>
          <w:pgSz w:w="16830" w:h="11900"/>
          <w:pgMar w:top="1011" w:right="1433" w:bottom="1138" w:left="2290" w:header="0" w:footer="778" w:gutter="0"/>
        </w:sectPr>
        <w:rPr>
          <w:rFonts w:ascii="Times New Roman" w:hAnsi="Times New Roman" w:eastAsia="Times New Roman" w:cs="Times New Roman"/>
          <w:sz w:val="22"/>
          <w:szCs w:val="22"/>
        </w:rPr>
      </w:pPr>
    </w:p>
    <w:p>
      <w:pPr>
        <w:pStyle w:val="BodyText"/>
        <w:spacing w:line="303" w:lineRule="auto"/>
        <w:rPr/>
      </w:pPr>
      <w:r/>
    </w:p>
    <w:p>
      <w:pPr>
        <w:pStyle w:val="BodyText"/>
        <w:spacing w:line="303" w:lineRule="auto"/>
        <w:rPr/>
      </w:pPr>
      <w:r/>
    </w:p>
    <w:p>
      <w:pPr>
        <w:pStyle w:val="BodyText"/>
        <w:spacing w:line="303"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ind w:left="320"/>
            <w:spacing w:before="71" w:line="213" w:lineRule="auto"/>
            <w:tabs>
              <w:tab w:val="right" w:leader="dot" w:pos="13395"/>
            </w:tabs>
            <w:rPr>
              <w:rFonts w:ascii="Times New Roman" w:hAnsi="Times New Roman" w:eastAsia="Times New Roman" w:cs="Times New Roman"/>
              <w:sz w:val="22"/>
              <w:szCs w:val="22"/>
            </w:rPr>
          </w:pPr>
          <w:bookmarkStart w:name="bookmark467" w:id="10"/>
          <w:bookmarkEnd w:id="10"/>
          <w:hyperlink w:history="true" w:anchor="bookmark468">
            <w:r>
              <w:rPr>
                <w:rFonts w:ascii="SimHei" w:hAnsi="SimHei" w:eastAsia="SimHei" w:cs="SimHei"/>
                <w:sz w:val="22"/>
                <w:szCs w:val="22"/>
              </w:rPr>
              <w:t>第三百七十条</w:t>
            </w:r>
            <w:r>
              <w:rPr>
                <w:rFonts w:ascii="SimHei" w:hAnsi="SimHei" w:eastAsia="SimHei" w:cs="SimHei"/>
                <w:sz w:val="22"/>
                <w:szCs w:val="22"/>
              </w:rPr>
              <w:t xml:space="preserve"> </w:t>
            </w:r>
            <w:r>
              <w:rPr>
                <w:rFonts w:ascii="SimHei" w:hAnsi="SimHei" w:eastAsia="SimHei" w:cs="SimHei"/>
                <w:sz w:val="22"/>
                <w:szCs w:val="22"/>
              </w:rPr>
              <w:t>血站对检测不合格或者报废的血液</w:t>
            </w:r>
            <w:r>
              <w:rPr>
                <w:rFonts w:ascii="SimHei" w:hAnsi="SimHei" w:eastAsia="SimHei" w:cs="SimHei"/>
                <w:sz w:val="22"/>
                <w:szCs w:val="22"/>
                <w:spacing w:val="-1"/>
              </w:rPr>
              <w:t>，未按有关规定处理的</w:t>
            </w:r>
            <w:r>
              <w:rPr>
                <w:rFonts w:ascii="SimHei" w:hAnsi="SimHei" w:eastAsia="SimHei" w:cs="SimHei"/>
                <w:sz w:val="22"/>
                <w:szCs w:val="22"/>
              </w:rPr>
              <w:tab/>
            </w:r>
            <w:r>
              <w:rPr>
                <w:rFonts w:ascii="Times New Roman" w:hAnsi="Times New Roman" w:eastAsia="Times New Roman" w:cs="Times New Roman"/>
                <w:sz w:val="22"/>
                <w:szCs w:val="22"/>
              </w:rPr>
              <w:t>446</w:t>
            </w:r>
          </w:hyperlink>
        </w:p>
        <w:p>
          <w:pPr>
            <w:pStyle w:val="BodyText"/>
            <w:spacing w:line="250" w:lineRule="auto"/>
            <w:rPr/>
          </w:pPr>
          <w:r/>
        </w:p>
        <w:p>
          <w:pPr>
            <w:pStyle w:val="BodyText"/>
            <w:spacing w:line="251" w:lineRule="auto"/>
            <w:rPr/>
          </w:pPr>
          <w:r/>
        </w:p>
        <w:p>
          <w:pPr>
            <w:ind w:left="320"/>
            <w:spacing w:before="72" w:line="222" w:lineRule="auto"/>
            <w:tabs>
              <w:tab w:val="right" w:leader="dot" w:pos="13395"/>
            </w:tabs>
            <w:rPr>
              <w:rFonts w:ascii="Times New Roman" w:hAnsi="Times New Roman" w:eastAsia="Times New Roman" w:cs="Times New Roman"/>
              <w:sz w:val="22"/>
              <w:szCs w:val="22"/>
            </w:rPr>
          </w:pPr>
          <w:hyperlink w:history="true" w:anchor="bookmark469">
            <w:r>
              <w:rPr>
                <w:rFonts w:ascii="SimHei" w:hAnsi="SimHei" w:eastAsia="SimHei" w:cs="SimHei"/>
                <w:sz w:val="22"/>
                <w:szCs w:val="22"/>
              </w:rPr>
              <w:t>第三百七十一条</w:t>
            </w:r>
            <w:r>
              <w:rPr>
                <w:rFonts w:ascii="SimHei" w:hAnsi="SimHei" w:eastAsia="SimHei" w:cs="SimHei"/>
                <w:sz w:val="22"/>
                <w:szCs w:val="22"/>
              </w:rPr>
              <w:t xml:space="preserve"> </w:t>
            </w:r>
            <w:r>
              <w:rPr>
                <w:rFonts w:ascii="SimHei" w:hAnsi="SimHei" w:eastAsia="SimHei" w:cs="SimHei"/>
                <w:sz w:val="22"/>
                <w:szCs w:val="22"/>
              </w:rPr>
              <w:t>血站未经批准擅自与外省、自治</w:t>
            </w:r>
            <w:r>
              <w:rPr>
                <w:rFonts w:ascii="SimHei" w:hAnsi="SimHei" w:eastAsia="SimHei" w:cs="SimHei"/>
                <w:sz w:val="22"/>
                <w:szCs w:val="22"/>
                <w:spacing w:val="-1"/>
              </w:rPr>
              <w:t>区、直辖市调配血液的</w:t>
            </w:r>
            <w:r>
              <w:rPr>
                <w:rFonts w:ascii="SimHei" w:hAnsi="SimHei" w:eastAsia="SimHei" w:cs="SimHei"/>
                <w:sz w:val="22"/>
                <w:szCs w:val="22"/>
              </w:rPr>
              <w:tab/>
            </w:r>
            <w:r>
              <w:rPr>
                <w:rFonts w:ascii="Times New Roman" w:hAnsi="Times New Roman" w:eastAsia="Times New Roman" w:cs="Times New Roman"/>
                <w:sz w:val="22"/>
                <w:szCs w:val="22"/>
              </w:rPr>
              <w:t>447</w:t>
            </w:r>
          </w:hyperlink>
        </w:p>
        <w:p>
          <w:pPr>
            <w:pStyle w:val="BodyText"/>
            <w:spacing w:line="245" w:lineRule="auto"/>
            <w:rPr/>
          </w:pPr>
          <w:r/>
        </w:p>
        <w:p>
          <w:pPr>
            <w:pStyle w:val="BodyText"/>
            <w:spacing w:line="245" w:lineRule="auto"/>
            <w:rPr/>
          </w:pPr>
          <w:r/>
        </w:p>
        <w:p>
          <w:pPr>
            <w:ind w:left="320"/>
            <w:spacing w:before="72" w:line="222" w:lineRule="auto"/>
            <w:tabs>
              <w:tab w:val="right" w:leader="dot" w:pos="13395"/>
            </w:tabs>
            <w:rPr>
              <w:rFonts w:ascii="Times New Roman" w:hAnsi="Times New Roman" w:eastAsia="Times New Roman" w:cs="Times New Roman"/>
              <w:sz w:val="22"/>
              <w:szCs w:val="22"/>
            </w:rPr>
          </w:pPr>
          <w:hyperlink w:history="true" w:anchor="bookmark470">
            <w:r>
              <w:rPr>
                <w:rFonts w:ascii="SimHei" w:hAnsi="SimHei" w:eastAsia="SimHei" w:cs="SimHei"/>
                <w:sz w:val="22"/>
                <w:szCs w:val="22"/>
              </w:rPr>
              <w:t>第三百七十二条</w:t>
            </w:r>
            <w:r>
              <w:rPr>
                <w:rFonts w:ascii="SimHei" w:hAnsi="SimHei" w:eastAsia="SimHei" w:cs="SimHei"/>
                <w:sz w:val="22"/>
                <w:szCs w:val="22"/>
              </w:rPr>
              <w:t xml:space="preserve"> </w:t>
            </w:r>
            <w:r>
              <w:rPr>
                <w:rFonts w:ascii="SimHei" w:hAnsi="SimHei" w:eastAsia="SimHei" w:cs="SimHei"/>
                <w:sz w:val="22"/>
                <w:szCs w:val="22"/>
              </w:rPr>
              <w:t>血站未经批准向境外医疗机构提供血</w:t>
            </w:r>
            <w:r>
              <w:rPr>
                <w:rFonts w:ascii="SimHei" w:hAnsi="SimHei" w:eastAsia="SimHei" w:cs="SimHei"/>
                <w:sz w:val="22"/>
                <w:szCs w:val="22"/>
                <w:spacing w:val="-1"/>
              </w:rPr>
              <w:t>液或者特殊血液成分的</w:t>
            </w:r>
            <w:r>
              <w:rPr>
                <w:rFonts w:ascii="SimHei" w:hAnsi="SimHei" w:eastAsia="SimHei" w:cs="SimHei"/>
                <w:sz w:val="22"/>
                <w:szCs w:val="22"/>
              </w:rPr>
              <w:tab/>
            </w:r>
            <w:r>
              <w:rPr>
                <w:rFonts w:ascii="Times New Roman" w:hAnsi="Times New Roman" w:eastAsia="Times New Roman" w:cs="Times New Roman"/>
                <w:sz w:val="22"/>
                <w:szCs w:val="22"/>
              </w:rPr>
              <w:t>448</w:t>
            </w:r>
          </w:hyperlink>
        </w:p>
        <w:p>
          <w:pPr>
            <w:pStyle w:val="BodyText"/>
            <w:rPr/>
          </w:pPr>
          <w:r/>
        </w:p>
        <w:p>
          <w:pPr>
            <w:pStyle w:val="BodyText"/>
            <w:spacing w:line="241" w:lineRule="auto"/>
            <w:rPr/>
          </w:pPr>
          <w:r/>
        </w:p>
        <w:p>
          <w:pPr>
            <w:ind w:left="320"/>
            <w:spacing w:before="71" w:line="222" w:lineRule="auto"/>
            <w:tabs>
              <w:tab w:val="right" w:leader="dot" w:pos="13455"/>
            </w:tabs>
            <w:rPr>
              <w:rFonts w:ascii="Times New Roman" w:hAnsi="Times New Roman" w:eastAsia="Times New Roman" w:cs="Times New Roman"/>
              <w:sz w:val="22"/>
              <w:szCs w:val="22"/>
            </w:rPr>
          </w:pPr>
          <w:hyperlink w:history="true" w:anchor="bookmark471">
            <w:r>
              <w:rPr>
                <w:rFonts w:ascii="SimHei" w:hAnsi="SimHei" w:eastAsia="SimHei" w:cs="SimHei"/>
                <w:sz w:val="22"/>
                <w:szCs w:val="22"/>
                <w:spacing w:val="1"/>
              </w:rPr>
              <w:t>第三百七十三条</w:t>
            </w:r>
            <w:r>
              <w:rPr>
                <w:rFonts w:ascii="SimHei" w:hAnsi="SimHei" w:eastAsia="SimHei" w:cs="SimHei"/>
                <w:sz w:val="22"/>
                <w:szCs w:val="22"/>
                <w:spacing w:val="1"/>
              </w:rPr>
              <w:t xml:space="preserve"> </w:t>
            </w:r>
            <w:r>
              <w:rPr>
                <w:rFonts w:ascii="SimHei" w:hAnsi="SimHei" w:eastAsia="SimHei" w:cs="SimHei"/>
                <w:sz w:val="22"/>
                <w:szCs w:val="22"/>
                <w:spacing w:val="1"/>
              </w:rPr>
              <w:t>血站未按规定保存血液标本的</w:t>
            </w:r>
            <w:r>
              <w:rPr>
                <w:rFonts w:ascii="SimHei" w:hAnsi="SimHei" w:eastAsia="SimHei" w:cs="SimHei"/>
                <w:sz w:val="22"/>
                <w:szCs w:val="22"/>
                <w:spacing w:val="-93"/>
              </w:rPr>
              <w:t xml:space="preserve"> </w:t>
            </w:r>
            <w:r>
              <w:rPr>
                <w:rFonts w:ascii="SimHei" w:hAnsi="SimHei" w:eastAsia="SimHei" w:cs="SimHei"/>
                <w:sz w:val="22"/>
                <w:szCs w:val="22"/>
              </w:rPr>
              <w:tab/>
            </w:r>
            <w:r>
              <w:rPr>
                <w:rFonts w:ascii="Times New Roman" w:hAnsi="Times New Roman" w:eastAsia="Times New Roman" w:cs="Times New Roman"/>
                <w:sz w:val="22"/>
                <w:szCs w:val="22"/>
              </w:rPr>
              <w:t>448</w:t>
            </w:r>
          </w:hyperlink>
        </w:p>
        <w:p>
          <w:pPr>
            <w:pStyle w:val="BodyText"/>
            <w:spacing w:line="279" w:lineRule="auto"/>
            <w:rPr/>
          </w:pPr>
          <w:r/>
        </w:p>
        <w:p>
          <w:pPr>
            <w:pStyle w:val="BodyText"/>
            <w:spacing w:line="280" w:lineRule="auto"/>
            <w:rPr/>
          </w:pPr>
          <w:r/>
        </w:p>
        <w:p>
          <w:pPr>
            <w:ind w:left="330"/>
            <w:spacing w:before="72" w:line="221" w:lineRule="auto"/>
            <w:tabs>
              <w:tab w:val="right" w:leader="dot" w:pos="13265"/>
            </w:tabs>
            <w:rPr>
              <w:rFonts w:ascii="Times New Roman" w:hAnsi="Times New Roman" w:eastAsia="Times New Roman" w:cs="Times New Roman"/>
              <w:sz w:val="22"/>
              <w:szCs w:val="22"/>
            </w:rPr>
          </w:pPr>
          <w:hyperlink w:history="true" w:anchor="bookmark472">
            <w:r>
              <w:rPr>
                <w:rFonts w:ascii="SimHei" w:hAnsi="SimHei" w:eastAsia="SimHei" w:cs="SimHei"/>
                <w:sz w:val="22"/>
                <w:szCs w:val="22"/>
              </w:rPr>
              <w:t>第三百七十四条</w:t>
            </w:r>
            <w:r>
              <w:rPr>
                <w:rFonts w:ascii="SimHei" w:hAnsi="SimHei" w:eastAsia="SimHei" w:cs="SimHei"/>
                <w:sz w:val="22"/>
                <w:szCs w:val="22"/>
              </w:rPr>
              <w:t xml:space="preserve"> </w:t>
            </w:r>
            <w:r>
              <w:rPr>
                <w:rFonts w:ascii="SimHei" w:hAnsi="SimHei" w:eastAsia="SimHei" w:cs="SimHei"/>
                <w:sz w:val="22"/>
                <w:szCs w:val="22"/>
              </w:rPr>
              <w:t>脐带血造血干细胞库等特殊血站违反有关技术规范的</w:t>
            </w:r>
            <w:r>
              <w:rPr>
                <w:rFonts w:ascii="SimHei" w:hAnsi="SimHei" w:eastAsia="SimHei" w:cs="SimHei"/>
                <w:sz w:val="22"/>
                <w:szCs w:val="22"/>
              </w:rPr>
              <w:tab/>
            </w:r>
            <w:r>
              <w:rPr>
                <w:rFonts w:ascii="SimHei" w:hAnsi="SimHei" w:eastAsia="SimHei" w:cs="SimHei"/>
                <w:sz w:val="22"/>
                <w:szCs w:val="22"/>
                <w:spacing w:val="-36"/>
              </w:rPr>
              <w:t xml:space="preserve"> </w:t>
            </w:r>
            <w:r>
              <w:rPr>
                <w:rFonts w:ascii="Times New Roman" w:hAnsi="Times New Roman" w:eastAsia="Times New Roman" w:cs="Times New Roman"/>
                <w:sz w:val="22"/>
                <w:szCs w:val="22"/>
                <w:spacing w:val="-1"/>
              </w:rPr>
              <w:t>49</w:t>
            </w:r>
          </w:hyperlink>
        </w:p>
        <w:p>
          <w:pPr>
            <w:spacing w:before="283" w:line="212" w:lineRule="auto"/>
            <w:tabs>
              <w:tab w:val="right" w:leader="dot" w:pos="13295"/>
            </w:tabs>
            <w:rPr>
              <w:rFonts w:ascii="Times New Roman" w:hAnsi="Times New Roman" w:eastAsia="Times New Roman" w:cs="Times New Roman"/>
              <w:sz w:val="22"/>
              <w:szCs w:val="22"/>
            </w:rPr>
          </w:pPr>
          <w:hyperlink w:history="true" w:anchor="bookmark473">
            <w:r>
              <w:rPr>
                <w:rFonts w:ascii="Times New Roman" w:hAnsi="Times New Roman" w:eastAsia="Times New Roman" w:cs="Times New Roman"/>
                <w:sz w:val="22"/>
                <w:szCs w:val="22"/>
                <w:spacing w:val="1"/>
              </w:rPr>
              <w:t>( </w:t>
            </w:r>
            <w:r>
              <w:rPr>
                <w:rFonts w:ascii="KaiTi" w:hAnsi="KaiTi" w:eastAsia="KaiTi" w:cs="KaiTi"/>
                <w:sz w:val="22"/>
                <w:szCs w:val="22"/>
                <w:spacing w:val="1"/>
              </w:rPr>
              <w:t>三十三)《医疗机构临床用血管理办法》</w:t>
            </w:r>
            <w:r>
              <w:rPr>
                <w:rFonts w:ascii="KaiTi" w:hAnsi="KaiTi" w:eastAsia="KaiTi" w:cs="KaiTi"/>
                <w:sz w:val="22"/>
                <w:szCs w:val="22"/>
                <w:spacing w:val="-80"/>
              </w:rPr>
              <w:t xml:space="preserve"> </w:t>
            </w:r>
            <w:r>
              <w:rPr>
                <w:rFonts w:ascii="KaiTi" w:hAnsi="KaiTi" w:eastAsia="KaiTi" w:cs="KaiTi"/>
                <w:sz w:val="22"/>
                <w:szCs w:val="22"/>
              </w:rPr>
              <w:tab/>
            </w:r>
            <w:r>
              <w:rPr>
                <w:rFonts w:ascii="Times New Roman" w:hAnsi="Times New Roman" w:eastAsia="Times New Roman" w:cs="Times New Roman"/>
                <w:sz w:val="22"/>
                <w:szCs w:val="22"/>
              </w:rPr>
              <w:t>450</w:t>
            </w:r>
          </w:hyperlink>
        </w:p>
        <w:p>
          <w:pPr>
            <w:pStyle w:val="BodyText"/>
            <w:spacing w:line="356" w:lineRule="auto"/>
            <w:rPr/>
          </w:pPr>
          <w:r/>
        </w:p>
        <w:p>
          <w:pPr>
            <w:ind w:left="320"/>
            <w:spacing w:before="72" w:line="221" w:lineRule="auto"/>
            <w:tabs>
              <w:tab w:val="right" w:leader="dot" w:pos="13395"/>
            </w:tabs>
            <w:rPr>
              <w:rFonts w:ascii="Times New Roman" w:hAnsi="Times New Roman" w:eastAsia="Times New Roman" w:cs="Times New Roman"/>
              <w:sz w:val="22"/>
              <w:szCs w:val="22"/>
            </w:rPr>
          </w:pPr>
          <w:hyperlink w:history="true" w:anchor="bookmark474">
            <w:r>
              <w:rPr>
                <w:rFonts w:ascii="SimHei" w:hAnsi="SimHei" w:eastAsia="SimHei" w:cs="SimHei"/>
                <w:sz w:val="22"/>
                <w:szCs w:val="22"/>
              </w:rPr>
              <w:t>第三百七十五条</w:t>
            </w:r>
            <w:r>
              <w:rPr>
                <w:rFonts w:ascii="SimHei" w:hAnsi="SimHei" w:eastAsia="SimHei" w:cs="SimHei"/>
                <w:sz w:val="22"/>
                <w:szCs w:val="22"/>
              </w:rPr>
              <w:t xml:space="preserve"> </w:t>
            </w:r>
            <w:r>
              <w:rPr>
                <w:rFonts w:ascii="SimHei" w:hAnsi="SimHei" w:eastAsia="SimHei" w:cs="SimHei"/>
                <w:sz w:val="22"/>
                <w:szCs w:val="22"/>
              </w:rPr>
              <w:t>医疗机构未设立临床用血管</w:t>
            </w:r>
            <w:r>
              <w:rPr>
                <w:rFonts w:ascii="SimHei" w:hAnsi="SimHei" w:eastAsia="SimHei" w:cs="SimHei"/>
                <w:sz w:val="22"/>
                <w:szCs w:val="22"/>
                <w:spacing w:val="-1"/>
              </w:rPr>
              <w:t>理委员会或者工作组的</w:t>
            </w:r>
            <w:r>
              <w:rPr>
                <w:rFonts w:ascii="SimHei" w:hAnsi="SimHei" w:eastAsia="SimHei" w:cs="SimHei"/>
                <w:sz w:val="22"/>
                <w:szCs w:val="22"/>
                <w:spacing w:val="-102"/>
              </w:rPr>
              <w:t xml:space="preserve"> </w:t>
            </w:r>
            <w:r>
              <w:rPr>
                <w:rFonts w:ascii="SimHei" w:hAnsi="SimHei" w:eastAsia="SimHei" w:cs="SimHei"/>
                <w:sz w:val="22"/>
                <w:szCs w:val="22"/>
              </w:rPr>
              <w:tab/>
            </w:r>
            <w:r>
              <w:rPr>
                <w:rFonts w:ascii="Times New Roman" w:hAnsi="Times New Roman" w:eastAsia="Times New Roman" w:cs="Times New Roman"/>
                <w:sz w:val="22"/>
                <w:szCs w:val="22"/>
              </w:rPr>
              <w:t>450</w:t>
            </w:r>
          </w:hyperlink>
        </w:p>
        <w:p>
          <w:pPr>
            <w:pStyle w:val="BodyText"/>
            <w:spacing w:line="246" w:lineRule="auto"/>
            <w:rPr/>
          </w:pPr>
          <w:r/>
        </w:p>
        <w:p>
          <w:pPr>
            <w:pStyle w:val="BodyText"/>
            <w:spacing w:line="246" w:lineRule="auto"/>
            <w:rPr/>
          </w:pPr>
          <w:r/>
        </w:p>
        <w:p>
          <w:pPr>
            <w:ind w:left="320"/>
            <w:spacing w:before="72" w:line="222" w:lineRule="auto"/>
            <w:tabs>
              <w:tab w:val="right" w:leader="dot" w:pos="13255"/>
            </w:tabs>
            <w:rPr>
              <w:rFonts w:ascii="Times New Roman" w:hAnsi="Times New Roman" w:eastAsia="Times New Roman" w:cs="Times New Roman"/>
              <w:sz w:val="22"/>
              <w:szCs w:val="22"/>
            </w:rPr>
          </w:pPr>
          <w:hyperlink w:history="true" w:anchor="bookmark475">
            <w:r>
              <w:rPr>
                <w:rFonts w:ascii="SimHei" w:hAnsi="SimHei" w:eastAsia="SimHei" w:cs="SimHei"/>
                <w:sz w:val="22"/>
                <w:szCs w:val="22"/>
                <w:spacing w:val="-1"/>
              </w:rPr>
              <w:t>第三百七十六条</w:t>
            </w:r>
            <w:r>
              <w:rPr>
                <w:rFonts w:ascii="SimHei" w:hAnsi="SimHei" w:eastAsia="SimHei" w:cs="SimHei"/>
                <w:sz w:val="22"/>
                <w:szCs w:val="22"/>
                <w:spacing w:val="-1"/>
              </w:rPr>
              <w:t xml:space="preserve"> </w:t>
            </w:r>
            <w:r>
              <w:rPr>
                <w:rFonts w:ascii="SimHei" w:hAnsi="SimHei" w:eastAsia="SimHei" w:cs="SimHei"/>
                <w:sz w:val="22"/>
                <w:szCs w:val="22"/>
                <w:spacing w:val="-1"/>
              </w:rPr>
              <w:t>医疗机构未拟定临床用血计划或者一年内未对计划实施情况进行评估和考核的</w:t>
            </w:r>
            <w:r>
              <w:rPr>
                <w:rFonts w:ascii="SimHei" w:hAnsi="SimHei" w:eastAsia="SimHei" w:cs="SimHei"/>
                <w:sz w:val="22"/>
                <w:szCs w:val="22"/>
                <w:spacing w:val="-90"/>
              </w:rPr>
              <w:t xml:space="preserve"> </w:t>
            </w:r>
            <w:r>
              <w:rPr>
                <w:rFonts w:ascii="SimHei" w:hAnsi="SimHei" w:eastAsia="SimHei" w:cs="SimHei"/>
                <w:sz w:val="22"/>
                <w:szCs w:val="22"/>
              </w:rPr>
              <w:tab/>
            </w:r>
            <w:r>
              <w:rPr>
                <w:rFonts w:ascii="Times New Roman" w:hAnsi="Times New Roman" w:eastAsia="Times New Roman" w:cs="Times New Roman"/>
                <w:sz w:val="22"/>
                <w:szCs w:val="22"/>
              </w:rPr>
              <w:t>450</w:t>
            </w:r>
          </w:hyperlink>
        </w:p>
        <w:p>
          <w:pPr>
            <w:pStyle w:val="BodyText"/>
            <w:rPr/>
          </w:pPr>
          <w:r/>
        </w:p>
        <w:p>
          <w:pPr>
            <w:pStyle w:val="BodyText"/>
            <w:rPr/>
          </w:pPr>
          <w:r/>
        </w:p>
        <w:p>
          <w:pPr>
            <w:ind w:left="320"/>
            <w:spacing w:before="72" w:line="221" w:lineRule="auto"/>
            <w:tabs>
              <w:tab w:val="right" w:leader="dot" w:pos="13405"/>
            </w:tabs>
            <w:rPr>
              <w:rFonts w:ascii="Times New Roman" w:hAnsi="Times New Roman" w:eastAsia="Times New Roman" w:cs="Times New Roman"/>
              <w:sz w:val="22"/>
              <w:szCs w:val="22"/>
            </w:rPr>
          </w:pPr>
          <w:hyperlink w:history="true" w:anchor="bookmark476">
            <w:r>
              <w:rPr>
                <w:rFonts w:ascii="SimHei" w:hAnsi="SimHei" w:eastAsia="SimHei" w:cs="SimHei"/>
                <w:sz w:val="22"/>
                <w:szCs w:val="22"/>
                <w:spacing w:val="-1"/>
              </w:rPr>
              <w:t>第三百七十七条</w:t>
            </w:r>
            <w:r>
              <w:rPr>
                <w:rFonts w:ascii="SimHei" w:hAnsi="SimHei" w:eastAsia="SimHei" w:cs="SimHei"/>
                <w:sz w:val="22"/>
                <w:szCs w:val="22"/>
                <w:spacing w:val="-1"/>
              </w:rPr>
              <w:t xml:space="preserve"> </w:t>
            </w:r>
            <w:r>
              <w:rPr>
                <w:rFonts w:ascii="SimHei" w:hAnsi="SimHei" w:eastAsia="SimHei" w:cs="SimHei"/>
                <w:sz w:val="22"/>
                <w:szCs w:val="22"/>
                <w:spacing w:val="-1"/>
              </w:rPr>
              <w:t>医疗机构未建立血液发放和输血核对制度的</w:t>
            </w:r>
            <w:r>
              <w:rPr>
                <w:rFonts w:ascii="SimHei" w:hAnsi="SimHei" w:eastAsia="SimHei" w:cs="SimHei"/>
                <w:sz w:val="22"/>
                <w:szCs w:val="22"/>
                <w:spacing w:val="-74"/>
              </w:rPr>
              <w:t xml:space="preserve"> </w:t>
            </w:r>
            <w:r>
              <w:rPr>
                <w:rFonts w:ascii="SimHei" w:hAnsi="SimHei" w:eastAsia="SimHei" w:cs="SimHei"/>
                <w:sz w:val="22"/>
                <w:szCs w:val="22"/>
              </w:rPr>
              <w:tab/>
            </w:r>
            <w:r>
              <w:rPr>
                <w:rFonts w:ascii="Times New Roman" w:hAnsi="Times New Roman" w:eastAsia="Times New Roman" w:cs="Times New Roman"/>
                <w:sz w:val="22"/>
                <w:szCs w:val="22"/>
              </w:rPr>
              <w:t>451</w:t>
            </w:r>
          </w:hyperlink>
        </w:p>
        <w:p>
          <w:pPr>
            <w:pStyle w:val="BodyText"/>
            <w:spacing w:line="246" w:lineRule="auto"/>
            <w:rPr/>
          </w:pPr>
          <w:r/>
        </w:p>
        <w:p>
          <w:pPr>
            <w:pStyle w:val="BodyText"/>
            <w:spacing w:line="246" w:lineRule="auto"/>
            <w:rPr/>
          </w:pPr>
          <w:r/>
        </w:p>
        <w:p>
          <w:pPr>
            <w:ind w:left="320"/>
            <w:spacing w:before="73" w:line="222" w:lineRule="auto"/>
            <w:tabs>
              <w:tab w:val="right" w:leader="dot" w:pos="13385"/>
            </w:tabs>
            <w:rPr>
              <w:rFonts w:ascii="Times New Roman" w:hAnsi="Times New Roman" w:eastAsia="Times New Roman" w:cs="Times New Roman"/>
              <w:sz w:val="22"/>
              <w:szCs w:val="22"/>
            </w:rPr>
          </w:pPr>
          <w:hyperlink w:history="true" w:anchor="bookmark477">
            <w:r>
              <w:rPr>
                <w:rFonts w:ascii="SimHei" w:hAnsi="SimHei" w:eastAsia="SimHei" w:cs="SimHei"/>
                <w:sz w:val="22"/>
                <w:szCs w:val="22"/>
                <w:spacing w:val="3"/>
              </w:rPr>
              <w:t>第三百七十八条</w:t>
            </w:r>
            <w:r>
              <w:rPr>
                <w:rFonts w:ascii="SimHei" w:hAnsi="SimHei" w:eastAsia="SimHei" w:cs="SimHei"/>
                <w:sz w:val="22"/>
                <w:szCs w:val="22"/>
                <w:spacing w:val="3"/>
              </w:rPr>
              <w:t xml:space="preserve"> </w:t>
            </w:r>
            <w:r>
              <w:rPr>
                <w:rFonts w:ascii="SimHei" w:hAnsi="SimHei" w:eastAsia="SimHei" w:cs="SimHei"/>
                <w:sz w:val="22"/>
                <w:szCs w:val="22"/>
                <w:spacing w:val="3"/>
              </w:rPr>
              <w:t>医疗机构未建立临床用血申请管理制度的</w:t>
            </w:r>
            <w:r>
              <w:rPr>
                <w:rFonts w:ascii="SimHei" w:hAnsi="SimHei" w:eastAsia="SimHei" w:cs="SimHei"/>
                <w:sz w:val="22"/>
                <w:szCs w:val="22"/>
                <w:spacing w:val="-99"/>
              </w:rPr>
              <w:t xml:space="preserve"> </w:t>
            </w:r>
            <w:r>
              <w:rPr>
                <w:rFonts w:ascii="SimHei" w:hAnsi="SimHei" w:eastAsia="SimHei" w:cs="SimHei"/>
                <w:sz w:val="22"/>
                <w:szCs w:val="22"/>
                <w:color w:val="304040"/>
              </w:rPr>
              <w:tab/>
            </w:r>
            <w:r>
              <w:rPr>
                <w:rFonts w:ascii="Times New Roman" w:hAnsi="Times New Roman" w:eastAsia="Times New Roman" w:cs="Times New Roman"/>
                <w:sz w:val="22"/>
                <w:szCs w:val="22"/>
                <w:spacing w:val="7"/>
              </w:rPr>
              <w:t>452</w:t>
            </w:r>
          </w:hyperlink>
        </w:p>
      </w:sdtContent>
    </w:sdt>
    <w:p>
      <w:pPr>
        <w:spacing w:line="222" w:lineRule="auto"/>
        <w:sectPr>
          <w:footerReference w:type="default" r:id="rId45"/>
          <w:pgSz w:w="16830" w:h="11900"/>
          <w:pgMar w:top="1011" w:right="1403" w:bottom="1134" w:left="1969" w:header="0" w:footer="792" w:gutter="0"/>
        </w:sectPr>
        <w:rPr>
          <w:rFonts w:ascii="Times New Roman" w:hAnsi="Times New Roman" w:eastAsia="Times New Roman" w:cs="Times New Roman"/>
          <w:sz w:val="22"/>
          <w:szCs w:val="22"/>
        </w:rPr>
      </w:pPr>
    </w:p>
    <w:p>
      <w:pPr>
        <w:pStyle w:val="BodyText"/>
        <w:spacing w:line="317" w:lineRule="auto"/>
        <w:rPr/>
      </w:pPr>
      <w:r/>
    </w:p>
    <w:p>
      <w:pPr>
        <w:pStyle w:val="BodyText"/>
        <w:spacing w:line="317" w:lineRule="auto"/>
        <w:rPr/>
      </w:pPr>
      <w:r/>
    </w:p>
    <w:p>
      <w:pPr>
        <w:pStyle w:val="BodyText"/>
        <w:spacing w:line="317"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339"/>
            <w:spacing w:before="68" w:line="221" w:lineRule="auto"/>
            <w:tabs>
              <w:tab w:val="right" w:leader="dot" w:pos="13370"/>
            </w:tabs>
            <w:rPr>
              <w:rFonts w:ascii="Times New Roman" w:hAnsi="Times New Roman" w:eastAsia="Times New Roman" w:cs="Times New Roman"/>
              <w:sz w:val="21"/>
              <w:szCs w:val="21"/>
            </w:rPr>
          </w:pPr>
          <w:hyperlink w:history="true" w:anchor="bookmark478">
            <w:r>
              <w:rPr>
                <w:rFonts w:ascii="SimHei" w:hAnsi="SimHei" w:eastAsia="SimHei" w:cs="SimHei"/>
                <w:sz w:val="21"/>
                <w:szCs w:val="21"/>
                <w:spacing w:val="9"/>
              </w:rPr>
              <w:t>第三百七十九条</w:t>
            </w:r>
            <w:r>
              <w:rPr>
                <w:rFonts w:ascii="SimHei" w:hAnsi="SimHei" w:eastAsia="SimHei" w:cs="SimHei"/>
                <w:sz w:val="21"/>
                <w:szCs w:val="21"/>
                <w:spacing w:val="45"/>
              </w:rPr>
              <w:t xml:space="preserve"> </w:t>
            </w:r>
            <w:r>
              <w:rPr>
                <w:rFonts w:ascii="SimHei" w:hAnsi="SimHei" w:eastAsia="SimHei" w:cs="SimHei"/>
                <w:sz w:val="21"/>
                <w:szCs w:val="21"/>
                <w:spacing w:val="9"/>
              </w:rPr>
              <w:t>医疗机构未建立医务人员临床用血和无偿献血知识培训制度的</w:t>
            </w:r>
            <w:r>
              <w:rPr>
                <w:rFonts w:ascii="SimHei" w:hAnsi="SimHei" w:eastAsia="SimHei" w:cs="SimHei"/>
                <w:sz w:val="21"/>
                <w:szCs w:val="21"/>
                <w:spacing w:val="-92"/>
              </w:rPr>
              <w:t xml:space="preserve"> </w:t>
            </w:r>
            <w:r>
              <w:rPr>
                <w:rFonts w:ascii="SimHei" w:hAnsi="SimHei" w:eastAsia="SimHei" w:cs="SimHei"/>
                <w:sz w:val="21"/>
                <w:szCs w:val="21"/>
              </w:rPr>
              <w:tab/>
            </w:r>
            <w:r>
              <w:rPr>
                <w:rFonts w:ascii="SimHei" w:hAnsi="SimHei" w:eastAsia="SimHei" w:cs="SimHei"/>
                <w:sz w:val="21"/>
                <w:szCs w:val="21"/>
                <w:spacing w:val="-11"/>
              </w:rPr>
              <w:t xml:space="preserve"> </w:t>
            </w:r>
            <w:r>
              <w:rPr>
                <w:rFonts w:ascii="Times New Roman" w:hAnsi="Times New Roman" w:eastAsia="Times New Roman" w:cs="Times New Roman"/>
                <w:sz w:val="21"/>
                <w:szCs w:val="21"/>
                <w:spacing w:val="-1"/>
              </w:rPr>
              <w:t>452</w:t>
            </w:r>
          </w:hyperlink>
        </w:p>
        <w:p>
          <w:pPr>
            <w:pStyle w:val="BodyText"/>
            <w:spacing w:line="253" w:lineRule="auto"/>
            <w:rPr/>
          </w:pPr>
          <w:r/>
        </w:p>
        <w:p>
          <w:pPr>
            <w:pStyle w:val="BodyText"/>
            <w:spacing w:line="254" w:lineRule="auto"/>
            <w:rPr/>
          </w:pPr>
          <w:r/>
        </w:p>
        <w:p>
          <w:pPr>
            <w:ind w:left="339"/>
            <w:spacing w:before="68" w:line="222" w:lineRule="auto"/>
            <w:tabs>
              <w:tab w:val="right" w:leader="dot" w:pos="13370"/>
            </w:tabs>
            <w:rPr>
              <w:rFonts w:ascii="Times New Roman" w:hAnsi="Times New Roman" w:eastAsia="Times New Roman" w:cs="Times New Roman"/>
              <w:sz w:val="21"/>
              <w:szCs w:val="21"/>
            </w:rPr>
          </w:pPr>
          <w:hyperlink w:history="true" w:anchor="bookmark479">
            <w:r>
              <w:rPr>
                <w:rFonts w:ascii="SimHei" w:hAnsi="SimHei" w:eastAsia="SimHei" w:cs="SimHei"/>
                <w:sz w:val="21"/>
                <w:szCs w:val="21"/>
                <w:spacing w:val="9"/>
              </w:rPr>
              <w:t>第三百八十条</w:t>
            </w:r>
            <w:r>
              <w:rPr>
                <w:rFonts w:ascii="SimHei" w:hAnsi="SimHei" w:eastAsia="SimHei" w:cs="SimHei"/>
                <w:sz w:val="21"/>
                <w:szCs w:val="21"/>
                <w:spacing w:val="41"/>
              </w:rPr>
              <w:t xml:space="preserve"> </w:t>
            </w:r>
            <w:r>
              <w:rPr>
                <w:rFonts w:ascii="SimHei" w:hAnsi="SimHei" w:eastAsia="SimHei" w:cs="SimHei"/>
                <w:sz w:val="21"/>
                <w:szCs w:val="21"/>
                <w:spacing w:val="9"/>
              </w:rPr>
              <w:t>医疗机构未建立科室和医师临床用血评价及公示制度的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453</w:t>
            </w:r>
          </w:hyperlink>
        </w:p>
        <w:p>
          <w:pPr>
            <w:pStyle w:val="BodyText"/>
            <w:spacing w:line="253" w:lineRule="auto"/>
            <w:rPr/>
          </w:pPr>
          <w:r/>
        </w:p>
        <w:p>
          <w:pPr>
            <w:pStyle w:val="BodyText"/>
            <w:spacing w:line="253" w:lineRule="auto"/>
            <w:rPr/>
          </w:pPr>
          <w:r/>
        </w:p>
        <w:p>
          <w:pPr>
            <w:ind w:left="339"/>
            <w:spacing w:before="68" w:line="222" w:lineRule="auto"/>
            <w:tabs>
              <w:tab w:val="right" w:leader="dot" w:pos="13370"/>
            </w:tabs>
            <w:rPr>
              <w:rFonts w:ascii="Times New Roman" w:hAnsi="Times New Roman" w:eastAsia="Times New Roman" w:cs="Times New Roman"/>
              <w:sz w:val="21"/>
              <w:szCs w:val="21"/>
            </w:rPr>
          </w:pPr>
          <w:hyperlink w:history="true" w:anchor="bookmark480">
            <w:r>
              <w:rPr>
                <w:rFonts w:ascii="SimHei" w:hAnsi="SimHei" w:eastAsia="SimHei" w:cs="SimHei"/>
                <w:sz w:val="21"/>
                <w:szCs w:val="21"/>
                <w:spacing w:val="9"/>
              </w:rPr>
              <w:t>第三百八十一条</w:t>
            </w:r>
            <w:r>
              <w:rPr>
                <w:rFonts w:ascii="SimHei" w:hAnsi="SimHei" w:eastAsia="SimHei" w:cs="SimHei"/>
                <w:sz w:val="21"/>
                <w:szCs w:val="21"/>
                <w:spacing w:val="45"/>
              </w:rPr>
              <w:t xml:space="preserve"> </w:t>
            </w:r>
            <w:r>
              <w:rPr>
                <w:rFonts w:ascii="SimHei" w:hAnsi="SimHei" w:eastAsia="SimHei" w:cs="SimHei"/>
                <w:sz w:val="21"/>
                <w:szCs w:val="21"/>
                <w:spacing w:val="9"/>
              </w:rPr>
              <w:t>医疗机构将经济收入作为对输血科或者血库工作的考核指标的</w:t>
            </w:r>
            <w:r>
              <w:rPr>
                <w:rFonts w:ascii="SimHei" w:hAnsi="SimHei" w:eastAsia="SimHei" w:cs="SimHei"/>
                <w:sz w:val="21"/>
                <w:szCs w:val="21"/>
                <w:spacing w:val="-92"/>
              </w:rPr>
              <w:t xml:space="preserve"> </w:t>
            </w:r>
            <w:r>
              <w:rPr>
                <w:rFonts w:ascii="SimHei" w:hAnsi="SimHei" w:eastAsia="SimHei" w:cs="SimHei"/>
                <w:sz w:val="21"/>
                <w:szCs w:val="21"/>
              </w:rPr>
              <w:tab/>
            </w:r>
            <w:r>
              <w:rPr>
                <w:rFonts w:ascii="SimHei" w:hAnsi="SimHei" w:eastAsia="SimHei" w:cs="SimHei"/>
                <w:sz w:val="21"/>
                <w:szCs w:val="21"/>
                <w:spacing w:val="-11"/>
              </w:rPr>
              <w:t xml:space="preserve"> </w:t>
            </w:r>
            <w:r>
              <w:rPr>
                <w:rFonts w:ascii="Times New Roman" w:hAnsi="Times New Roman" w:eastAsia="Times New Roman" w:cs="Times New Roman"/>
                <w:sz w:val="21"/>
                <w:szCs w:val="21"/>
                <w:spacing w:val="-1"/>
              </w:rPr>
              <w:t>454</w:t>
            </w:r>
          </w:hyperlink>
        </w:p>
        <w:p>
          <w:pPr>
            <w:pStyle w:val="BodyText"/>
            <w:spacing w:line="252" w:lineRule="auto"/>
            <w:rPr/>
          </w:pPr>
          <w:r/>
        </w:p>
        <w:p>
          <w:pPr>
            <w:pStyle w:val="BodyText"/>
            <w:spacing w:line="253" w:lineRule="auto"/>
            <w:rPr/>
          </w:pPr>
          <w:r/>
        </w:p>
        <w:p>
          <w:pPr>
            <w:ind w:left="339"/>
            <w:spacing w:before="68" w:line="221" w:lineRule="auto"/>
            <w:tabs>
              <w:tab w:val="right" w:leader="dot" w:pos="13370"/>
            </w:tabs>
            <w:rPr>
              <w:rFonts w:ascii="Times New Roman" w:hAnsi="Times New Roman" w:eastAsia="Times New Roman" w:cs="Times New Roman"/>
              <w:sz w:val="21"/>
              <w:szCs w:val="21"/>
            </w:rPr>
          </w:pPr>
          <w:hyperlink w:history="true" w:anchor="bookmark481">
            <w:r>
              <w:rPr>
                <w:rFonts w:ascii="SimHei" w:hAnsi="SimHei" w:eastAsia="SimHei" w:cs="SimHei"/>
                <w:sz w:val="21"/>
                <w:szCs w:val="21"/>
                <w:spacing w:val="7"/>
              </w:rPr>
              <w:t>第三百八十二条</w:t>
            </w:r>
            <w:r>
              <w:rPr>
                <w:rFonts w:ascii="SimHei" w:hAnsi="SimHei" w:eastAsia="SimHei" w:cs="SimHei"/>
                <w:sz w:val="21"/>
                <w:szCs w:val="21"/>
                <w:spacing w:val="33"/>
              </w:rPr>
              <w:t xml:space="preserve"> </w:t>
            </w:r>
            <w:r>
              <w:rPr>
                <w:rFonts w:ascii="SimHei" w:hAnsi="SimHei" w:eastAsia="SimHei" w:cs="SimHei"/>
                <w:sz w:val="21"/>
                <w:szCs w:val="21"/>
                <w:spacing w:val="7"/>
              </w:rPr>
              <w:t>医疗机构违反《医疗机构临床用血管理办法</w:t>
            </w:r>
            <w:r>
              <w:rPr>
                <w:rFonts w:ascii="SimHei" w:hAnsi="SimHei" w:eastAsia="SimHei" w:cs="SimHei"/>
                <w:sz w:val="21"/>
                <w:szCs w:val="21"/>
                <w:spacing w:val="6"/>
              </w:rPr>
              <w:t>》的其他行为</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454</w:t>
            </w:r>
          </w:hyperlink>
        </w:p>
        <w:p>
          <w:pPr>
            <w:pStyle w:val="BodyText"/>
            <w:spacing w:line="258" w:lineRule="auto"/>
            <w:rPr/>
          </w:pPr>
          <w:r/>
        </w:p>
        <w:p>
          <w:pPr>
            <w:pStyle w:val="BodyText"/>
            <w:spacing w:line="259" w:lineRule="auto"/>
            <w:rPr/>
          </w:pPr>
          <w:r/>
        </w:p>
        <w:p>
          <w:pPr>
            <w:ind w:left="339"/>
            <w:spacing w:before="69" w:line="222" w:lineRule="auto"/>
            <w:tabs>
              <w:tab w:val="right" w:leader="dot" w:pos="13380"/>
            </w:tabs>
            <w:rPr>
              <w:rFonts w:ascii="Times New Roman" w:hAnsi="Times New Roman" w:eastAsia="Times New Roman" w:cs="Times New Roman"/>
              <w:sz w:val="21"/>
              <w:szCs w:val="21"/>
            </w:rPr>
          </w:pPr>
          <w:hyperlink w:history="true" w:anchor="bookmark482">
            <w:r>
              <w:rPr>
                <w:rFonts w:ascii="SimHei" w:hAnsi="SimHei" w:eastAsia="SimHei" w:cs="SimHei"/>
                <w:sz w:val="21"/>
                <w:szCs w:val="21"/>
                <w:spacing w:val="9"/>
              </w:rPr>
              <w:t>第三百八十三条</w:t>
            </w:r>
            <w:r>
              <w:rPr>
                <w:rFonts w:ascii="SimHei" w:hAnsi="SimHei" w:eastAsia="SimHei" w:cs="SimHei"/>
                <w:sz w:val="21"/>
                <w:szCs w:val="21"/>
                <w:spacing w:val="38"/>
              </w:rPr>
              <w:t xml:space="preserve"> </w:t>
            </w:r>
            <w:r>
              <w:rPr>
                <w:rFonts w:ascii="SimHei" w:hAnsi="SimHei" w:eastAsia="SimHei" w:cs="SimHei"/>
                <w:sz w:val="21"/>
                <w:szCs w:val="21"/>
                <w:spacing w:val="9"/>
              </w:rPr>
              <w:t>医疗机构使用未经卫生行政部门指定的血站供应</w:t>
            </w:r>
            <w:r>
              <w:rPr>
                <w:rFonts w:ascii="SimHei" w:hAnsi="SimHei" w:eastAsia="SimHei" w:cs="SimHei"/>
                <w:sz w:val="21"/>
                <w:szCs w:val="21"/>
                <w:spacing w:val="8"/>
              </w:rPr>
              <w:t>的血液的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455</w:t>
            </w:r>
          </w:hyperlink>
        </w:p>
        <w:p>
          <w:pPr>
            <w:pStyle w:val="BodyText"/>
            <w:spacing w:line="247" w:lineRule="auto"/>
            <w:rPr/>
          </w:pPr>
          <w:r/>
        </w:p>
        <w:p>
          <w:pPr>
            <w:pStyle w:val="BodyText"/>
            <w:spacing w:line="248" w:lineRule="auto"/>
            <w:rPr/>
          </w:pPr>
          <w:r/>
        </w:p>
        <w:p>
          <w:pPr>
            <w:ind w:left="339"/>
            <w:spacing w:before="69" w:line="221" w:lineRule="auto"/>
            <w:tabs>
              <w:tab w:val="right" w:leader="dot" w:pos="13360"/>
            </w:tabs>
            <w:rPr>
              <w:rFonts w:ascii="Times New Roman" w:hAnsi="Times New Roman" w:eastAsia="Times New Roman" w:cs="Times New Roman"/>
              <w:sz w:val="21"/>
              <w:szCs w:val="21"/>
            </w:rPr>
          </w:pPr>
          <w:hyperlink w:history="true" w:anchor="bookmark483">
            <w:r>
              <w:rPr>
                <w:rFonts w:ascii="SimHei" w:hAnsi="SimHei" w:eastAsia="SimHei" w:cs="SimHei"/>
                <w:sz w:val="21"/>
                <w:szCs w:val="21"/>
                <w:spacing w:val="8"/>
              </w:rPr>
              <w:t>第三百八十四条</w:t>
            </w:r>
            <w:r>
              <w:rPr>
                <w:rFonts w:ascii="SimHei" w:hAnsi="SimHei" w:eastAsia="SimHei" w:cs="SimHei"/>
                <w:sz w:val="21"/>
                <w:szCs w:val="21"/>
                <w:spacing w:val="56"/>
              </w:rPr>
              <w:t xml:space="preserve"> </w:t>
            </w:r>
            <w:r>
              <w:rPr>
                <w:rFonts w:ascii="SimHei" w:hAnsi="SimHei" w:eastAsia="SimHei" w:cs="SimHei"/>
                <w:sz w:val="21"/>
                <w:szCs w:val="21"/>
                <w:spacing w:val="8"/>
              </w:rPr>
              <w:t>医疗机构违反本办法关于应急用血采血规定的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456</w:t>
            </w:r>
          </w:hyperlink>
        </w:p>
        <w:p>
          <w:pPr>
            <w:spacing w:before="307" w:line="212" w:lineRule="auto"/>
            <w:tabs>
              <w:tab w:val="right" w:leader="dot" w:pos="13320"/>
            </w:tabs>
            <w:rPr>
              <w:rFonts w:ascii="Times New Roman" w:hAnsi="Times New Roman" w:eastAsia="Times New Roman" w:cs="Times New Roman"/>
              <w:sz w:val="21"/>
              <w:szCs w:val="21"/>
            </w:rPr>
          </w:pPr>
          <w:hyperlink w:history="true" w:anchor="bookmark484">
            <w:r>
              <w:rPr>
                <w:rFonts w:ascii="Times New Roman" w:hAnsi="Times New Roman" w:eastAsia="Times New Roman" w:cs="Times New Roman"/>
                <w:sz w:val="21"/>
                <w:szCs w:val="21"/>
                <w:spacing w:val="20"/>
              </w:rPr>
              <w:t>(</w:t>
            </w:r>
            <w:r>
              <w:rPr>
                <w:rFonts w:ascii="Times New Roman" w:hAnsi="Times New Roman" w:eastAsia="Times New Roman" w:cs="Times New Roman"/>
                <w:sz w:val="21"/>
                <w:szCs w:val="21"/>
                <w:spacing w:val="-9"/>
              </w:rPr>
              <w:t xml:space="preserve"> </w:t>
            </w:r>
            <w:r>
              <w:rPr>
                <w:rFonts w:ascii="KaiTi" w:hAnsi="KaiTi" w:eastAsia="KaiTi" w:cs="KaiTi"/>
                <w:sz w:val="21"/>
                <w:szCs w:val="21"/>
                <w:spacing w:val="20"/>
              </w:rPr>
              <w:t>三十四)《脐带血造血干细胞库管理办法(试行)》</w:t>
            </w:r>
            <w:r>
              <w:rPr>
                <w:rFonts w:ascii="KaiTi" w:hAnsi="KaiTi" w:eastAsia="KaiTi" w:cs="KaiTi"/>
                <w:sz w:val="21"/>
                <w:szCs w:val="21"/>
                <w:spacing w:val="-75"/>
              </w:rPr>
              <w:t xml:space="preserve"> </w:t>
            </w:r>
            <w:r>
              <w:rPr>
                <w:rFonts w:ascii="KaiTi" w:hAnsi="KaiTi" w:eastAsia="KaiTi" w:cs="KaiTi"/>
                <w:sz w:val="21"/>
                <w:szCs w:val="21"/>
              </w:rPr>
              <w:tab/>
            </w:r>
            <w:r>
              <w:rPr>
                <w:rFonts w:ascii="Times New Roman" w:hAnsi="Times New Roman" w:eastAsia="Times New Roman" w:cs="Times New Roman"/>
                <w:sz w:val="21"/>
                <w:szCs w:val="21"/>
                <w:spacing w:val="1"/>
              </w:rPr>
              <w:t>456</w:t>
            </w:r>
          </w:hyperlink>
        </w:p>
        <w:p>
          <w:pPr>
            <w:pStyle w:val="BodyText"/>
            <w:spacing w:line="381" w:lineRule="auto"/>
            <w:rPr/>
          </w:pPr>
          <w:r/>
        </w:p>
        <w:p>
          <w:pPr>
            <w:ind w:left="339"/>
            <w:spacing w:before="68" w:line="213" w:lineRule="auto"/>
            <w:tabs>
              <w:tab w:val="right" w:leader="dot" w:pos="13220"/>
            </w:tabs>
            <w:rPr>
              <w:rFonts w:ascii="Times New Roman" w:hAnsi="Times New Roman" w:eastAsia="Times New Roman" w:cs="Times New Roman"/>
              <w:sz w:val="21"/>
              <w:szCs w:val="21"/>
            </w:rPr>
          </w:pPr>
          <w:hyperlink w:history="true" w:anchor="bookmark485">
            <w:r>
              <w:rPr>
                <w:rFonts w:ascii="SimHei" w:hAnsi="SimHei" w:eastAsia="SimHei" w:cs="SimHei"/>
                <w:sz w:val="21"/>
                <w:szCs w:val="21"/>
                <w:spacing w:val="9"/>
              </w:rPr>
              <w:t>第三百八十五条</w:t>
            </w:r>
            <w:r>
              <w:rPr>
                <w:rFonts w:ascii="SimHei" w:hAnsi="SimHei" w:eastAsia="SimHei" w:cs="SimHei"/>
                <w:sz w:val="21"/>
                <w:szCs w:val="21"/>
                <w:spacing w:val="9"/>
              </w:rPr>
              <w:t xml:space="preserve"> </w:t>
            </w:r>
            <w:r>
              <w:rPr>
                <w:rFonts w:ascii="SimHei" w:hAnsi="SimHei" w:eastAsia="SimHei" w:cs="SimHei"/>
                <w:sz w:val="21"/>
                <w:szCs w:val="21"/>
                <w:spacing w:val="9"/>
              </w:rPr>
              <w:t>未经批准擅自设置和开办脐带血造血干细胞库，非法</w:t>
            </w:r>
            <w:r>
              <w:rPr>
                <w:rFonts w:ascii="SimHei" w:hAnsi="SimHei" w:eastAsia="SimHei" w:cs="SimHei"/>
                <w:sz w:val="21"/>
                <w:szCs w:val="21"/>
                <w:spacing w:val="8"/>
              </w:rPr>
              <w:t>采集、提供脐带血的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456</w:t>
            </w:r>
          </w:hyperlink>
        </w:p>
        <w:p>
          <w:pPr>
            <w:pStyle w:val="BodyText"/>
            <w:spacing w:line="374" w:lineRule="auto"/>
            <w:rPr/>
          </w:pPr>
          <w:r/>
        </w:p>
        <w:p>
          <w:pPr>
            <w:spacing w:before="69" w:line="212" w:lineRule="auto"/>
            <w:tabs>
              <w:tab w:val="right" w:leader="dot" w:pos="13370"/>
            </w:tabs>
            <w:rPr>
              <w:rFonts w:ascii="Times New Roman" w:hAnsi="Times New Roman" w:eastAsia="Times New Roman" w:cs="Times New Roman"/>
              <w:sz w:val="21"/>
              <w:szCs w:val="21"/>
            </w:rPr>
          </w:pPr>
          <w:hyperlink w:history="true" w:anchor="bookmark486">
            <w:r>
              <w:rPr>
                <w:rFonts w:ascii="Times New Roman" w:hAnsi="Times New Roman" w:eastAsia="Times New Roman" w:cs="Times New Roman"/>
                <w:sz w:val="21"/>
                <w:szCs w:val="21"/>
                <w:spacing w:val="5"/>
              </w:rPr>
              <w:t>( </w:t>
            </w:r>
            <w:r>
              <w:rPr>
                <w:rFonts w:ascii="KaiTi" w:hAnsi="KaiTi" w:eastAsia="KaiTi" w:cs="KaiTi"/>
                <w:sz w:val="21"/>
                <w:szCs w:val="21"/>
                <w:spacing w:val="5"/>
              </w:rPr>
              <w:t>三十五)《药品不良反应报告和监测管理办法》</w:t>
            </w:r>
            <w:r>
              <w:rPr>
                <w:rFonts w:ascii="KaiTi" w:hAnsi="KaiTi" w:eastAsia="KaiTi" w:cs="KaiTi"/>
                <w:sz w:val="21"/>
                <w:szCs w:val="21"/>
                <w:spacing w:val="-59"/>
              </w:rPr>
              <w:t xml:space="preserve"> </w:t>
            </w:r>
            <w:r>
              <w:rPr>
                <w:rFonts w:ascii="KaiTi" w:hAnsi="KaiTi" w:eastAsia="KaiTi" w:cs="KaiTi"/>
                <w:sz w:val="21"/>
                <w:szCs w:val="21"/>
                <w:color w:val="A04040"/>
              </w:rPr>
              <w:tab/>
            </w:r>
            <w:r>
              <w:rPr>
                <w:rFonts w:ascii="KaiTi" w:hAnsi="KaiTi" w:eastAsia="KaiTi" w:cs="KaiTi"/>
                <w:sz w:val="21"/>
                <w:szCs w:val="21"/>
                <w:spacing w:val="-11"/>
              </w:rPr>
              <w:t xml:space="preserve"> </w:t>
            </w:r>
            <w:r>
              <w:rPr>
                <w:rFonts w:ascii="Times New Roman" w:hAnsi="Times New Roman" w:eastAsia="Times New Roman" w:cs="Times New Roman"/>
                <w:sz w:val="21"/>
                <w:szCs w:val="21"/>
                <w:spacing w:val="-1"/>
              </w:rPr>
              <w:t>457</w:t>
            </w:r>
          </w:hyperlink>
        </w:p>
        <w:p>
          <w:pPr>
            <w:pStyle w:val="BodyText"/>
            <w:spacing w:line="308" w:lineRule="auto"/>
            <w:rPr/>
          </w:pPr>
          <w:r/>
        </w:p>
        <w:p>
          <w:pPr>
            <w:ind w:left="342"/>
            <w:spacing w:before="68" w:line="213" w:lineRule="auto"/>
            <w:tabs>
              <w:tab w:val="right" w:leader="dot" w:pos="13369"/>
            </w:tabs>
            <w:rPr>
              <w:rFonts w:ascii="Times New Roman" w:hAnsi="Times New Roman" w:eastAsia="Times New Roman" w:cs="Times New Roman"/>
              <w:sz w:val="21"/>
              <w:szCs w:val="21"/>
            </w:rPr>
          </w:pPr>
          <w:hyperlink w:history="true" w:anchor="bookmark487">
            <w:r>
              <w:rPr>
                <w:rFonts w:ascii="SimHei" w:hAnsi="SimHei" w:eastAsia="SimHei" w:cs="SimHei"/>
                <w:sz w:val="21"/>
                <w:szCs w:val="21"/>
                <w:b/>
                <w:bCs/>
                <w:spacing w:val="10"/>
              </w:rPr>
              <w:t>第三百八十六条</w:t>
            </w:r>
            <w:r>
              <w:rPr>
                <w:rFonts w:ascii="SimHei" w:hAnsi="SimHei" w:eastAsia="SimHei" w:cs="SimHei"/>
                <w:sz w:val="21"/>
                <w:szCs w:val="21"/>
                <w:spacing w:val="43"/>
              </w:rPr>
              <w:t xml:space="preserve"> </w:t>
            </w:r>
            <w:r>
              <w:rPr>
                <w:rFonts w:ascii="SimHei" w:hAnsi="SimHei" w:eastAsia="SimHei" w:cs="SimHei"/>
                <w:sz w:val="21"/>
                <w:szCs w:val="21"/>
                <w:b/>
                <w:bCs/>
                <w:spacing w:val="10"/>
              </w:rPr>
              <w:t>医疗机构未设立或者指定机构并配备专(兼)职人员，承担本单位的药品不良反应报告和监测工作的</w:t>
            </w:r>
            <w:r>
              <w:rPr>
                <w:rFonts w:ascii="SimHei" w:hAnsi="SimHei" w:eastAsia="SimHei" w:cs="SimHei"/>
                <w:sz w:val="21"/>
                <w:szCs w:val="21"/>
                <w:spacing w:val="-90"/>
              </w:rPr>
              <w:t xml:space="preserve"> </w:t>
            </w:r>
            <w:r>
              <w:rPr>
                <w:rFonts w:ascii="SimHei" w:hAnsi="SimHei" w:eastAsia="SimHei" w:cs="SimHei"/>
                <w:sz w:val="21"/>
                <w:szCs w:val="21"/>
              </w:rPr>
              <w:tab/>
            </w:r>
            <w:r>
              <w:rPr>
                <w:rFonts w:ascii="Times New Roman" w:hAnsi="Times New Roman" w:eastAsia="Times New Roman" w:cs="Times New Roman"/>
                <w:sz w:val="21"/>
                <w:szCs w:val="21"/>
                <w:b/>
                <w:bCs/>
                <w:spacing w:val="2"/>
              </w:rPr>
              <w:t>457</w:t>
            </w:r>
          </w:hyperlink>
        </w:p>
        <w:p>
          <w:pPr>
            <w:pStyle w:val="BodyText"/>
            <w:spacing w:line="257" w:lineRule="auto"/>
            <w:rPr/>
          </w:pPr>
          <w:r/>
        </w:p>
        <w:p>
          <w:pPr>
            <w:pStyle w:val="BodyText"/>
            <w:spacing w:line="258" w:lineRule="auto"/>
            <w:rPr/>
          </w:pPr>
          <w:r/>
        </w:p>
        <w:p>
          <w:pPr>
            <w:ind w:left="342"/>
            <w:spacing w:before="69" w:line="221" w:lineRule="auto"/>
            <w:tabs>
              <w:tab w:val="right" w:leader="dot" w:pos="13409"/>
            </w:tabs>
            <w:rPr>
              <w:rFonts w:ascii="Times New Roman" w:hAnsi="Times New Roman" w:eastAsia="Times New Roman" w:cs="Times New Roman"/>
              <w:sz w:val="21"/>
              <w:szCs w:val="21"/>
            </w:rPr>
          </w:pPr>
          <w:hyperlink w:history="true" w:anchor="bookmark488">
            <w:r>
              <w:rPr>
                <w:rFonts w:ascii="SimHei" w:hAnsi="SimHei" w:eastAsia="SimHei" w:cs="SimHei"/>
                <w:sz w:val="21"/>
                <w:szCs w:val="21"/>
                <w:b/>
                <w:bCs/>
                <w:spacing w:val="5"/>
              </w:rPr>
              <w:t>第三百八十七条</w:t>
            </w:r>
            <w:r>
              <w:rPr>
                <w:rFonts w:ascii="SimHei" w:hAnsi="SimHei" w:eastAsia="SimHei" w:cs="SimHei"/>
                <w:sz w:val="21"/>
                <w:szCs w:val="21"/>
                <w:spacing w:val="53"/>
              </w:rPr>
              <w:t xml:space="preserve"> </w:t>
            </w:r>
            <w:r>
              <w:rPr>
                <w:rFonts w:ascii="SimHei" w:hAnsi="SimHei" w:eastAsia="SimHei" w:cs="SimHei"/>
                <w:sz w:val="21"/>
                <w:szCs w:val="21"/>
                <w:b/>
                <w:bCs/>
                <w:spacing w:val="5"/>
              </w:rPr>
              <w:t>医疗机构未按照要求开展药品不良反应或者群体不良事件报告的</w:t>
            </w:r>
            <w:r>
              <w:rPr>
                <w:rFonts w:ascii="SimHei" w:hAnsi="SimHei" w:eastAsia="SimHei" w:cs="SimHei"/>
                <w:sz w:val="21"/>
                <w:szCs w:val="21"/>
                <w:spacing w:val="-90"/>
              </w:rPr>
              <w:t xml:space="preserve"> </w:t>
            </w:r>
            <w:r>
              <w:rPr>
                <w:rFonts w:ascii="SimHei" w:hAnsi="SimHei" w:eastAsia="SimHei" w:cs="SimHei"/>
                <w:sz w:val="21"/>
                <w:szCs w:val="21"/>
              </w:rPr>
              <w:tab/>
            </w:r>
            <w:r>
              <w:rPr>
                <w:rFonts w:ascii="Times New Roman" w:hAnsi="Times New Roman" w:eastAsia="Times New Roman" w:cs="Times New Roman"/>
                <w:sz w:val="21"/>
                <w:szCs w:val="21"/>
                <w:b/>
                <w:bCs/>
                <w:spacing w:val="2"/>
              </w:rPr>
              <w:t>458</w:t>
            </w:r>
          </w:hyperlink>
        </w:p>
      </w:sdtContent>
    </w:sdt>
    <w:p>
      <w:pPr>
        <w:spacing w:line="221" w:lineRule="auto"/>
        <w:sectPr>
          <w:footerReference w:type="default" r:id="rId46"/>
          <w:pgSz w:w="16830" w:h="11900"/>
          <w:pgMar w:top="1011" w:right="1450" w:bottom="1142" w:left="1969" w:header="0" w:footer="790" w:gutter="0"/>
        </w:sectPr>
        <w:rPr>
          <w:rFonts w:ascii="Times New Roman" w:hAnsi="Times New Roman" w:eastAsia="Times New Roman" w:cs="Times New Roman"/>
          <w:sz w:val="21"/>
          <w:szCs w:val="21"/>
        </w:rPr>
      </w:pPr>
    </w:p>
    <w:p>
      <w:pPr>
        <w:pStyle w:val="BodyText"/>
        <w:rPr/>
      </w:pPr>
      <w:r/>
    </w:p>
    <w:p>
      <w:pPr>
        <w:pStyle w:val="BodyText"/>
        <w:rPr/>
      </w:pPr>
      <w:r/>
    </w:p>
    <w:p>
      <w:pPr>
        <w:pStyle w:val="BodyText"/>
        <w:rPr/>
      </w:pPr>
      <w:r/>
    </w:p>
    <w:p>
      <w:pPr>
        <w:pStyle w:val="BodyText"/>
        <w:spacing w:line="241"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359"/>
            <w:spacing w:before="68" w:line="221" w:lineRule="auto"/>
            <w:tabs>
              <w:tab w:val="right" w:leader="dot" w:pos="13380"/>
            </w:tabs>
            <w:rPr>
              <w:rFonts w:ascii="Times New Roman" w:hAnsi="Times New Roman" w:eastAsia="Times New Roman" w:cs="Times New Roman"/>
              <w:sz w:val="21"/>
              <w:szCs w:val="21"/>
            </w:rPr>
          </w:pPr>
          <w:hyperlink w:history="true" w:anchor="bookmark489">
            <w:r>
              <w:rPr>
                <w:rFonts w:ascii="SimHei" w:hAnsi="SimHei" w:eastAsia="SimHei" w:cs="SimHei"/>
                <w:sz w:val="21"/>
                <w:szCs w:val="21"/>
                <w:spacing w:val="9"/>
              </w:rPr>
              <w:t>第三百八十八条</w:t>
            </w:r>
            <w:r>
              <w:rPr>
                <w:rFonts w:ascii="SimHei" w:hAnsi="SimHei" w:eastAsia="SimHei" w:cs="SimHei"/>
                <w:sz w:val="21"/>
                <w:szCs w:val="21"/>
                <w:spacing w:val="48"/>
              </w:rPr>
              <w:t xml:space="preserve"> </w:t>
            </w:r>
            <w:r>
              <w:rPr>
                <w:rFonts w:ascii="SimHei" w:hAnsi="SimHei" w:eastAsia="SimHei" w:cs="SimHei"/>
                <w:sz w:val="21"/>
                <w:szCs w:val="21"/>
                <w:spacing w:val="9"/>
              </w:rPr>
              <w:t>医疗机构不配合严重药品不良反应和群体不良事件相关调查工作的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41"/>
              </w:rPr>
              <w:t xml:space="preserve"> </w:t>
            </w:r>
            <w:r>
              <w:rPr>
                <w:rFonts w:ascii="Times New Roman" w:hAnsi="Times New Roman" w:eastAsia="Times New Roman" w:cs="Times New Roman"/>
                <w:sz w:val="21"/>
                <w:szCs w:val="21"/>
                <w:spacing w:val="-1"/>
              </w:rPr>
              <w:t>458</w:t>
            </w:r>
          </w:hyperlink>
        </w:p>
        <w:p>
          <w:pPr>
            <w:pStyle w:val="BodyText"/>
            <w:spacing w:line="326" w:lineRule="auto"/>
            <w:rPr/>
          </w:pPr>
          <w:r/>
        </w:p>
        <w:p>
          <w:pPr>
            <w:spacing w:before="68" w:line="212" w:lineRule="auto"/>
            <w:tabs>
              <w:tab w:val="right" w:leader="dot" w:pos="13370"/>
            </w:tabs>
            <w:rPr>
              <w:rFonts w:ascii="Times New Roman" w:hAnsi="Times New Roman" w:eastAsia="Times New Roman" w:cs="Times New Roman"/>
              <w:sz w:val="21"/>
              <w:szCs w:val="21"/>
            </w:rPr>
          </w:pPr>
          <w:hyperlink w:history="true" w:anchor="bookmark490">
            <w:r>
              <w:rPr>
                <w:rFonts w:ascii="Times New Roman" w:hAnsi="Times New Roman" w:eastAsia="Times New Roman" w:cs="Times New Roman"/>
                <w:sz w:val="21"/>
                <w:szCs w:val="21"/>
                <w:spacing w:val="5"/>
              </w:rPr>
              <w:t>( </w:t>
            </w:r>
            <w:r>
              <w:rPr>
                <w:rFonts w:ascii="KaiTi" w:hAnsi="KaiTi" w:eastAsia="KaiTi" w:cs="KaiTi"/>
                <w:sz w:val="21"/>
                <w:szCs w:val="21"/>
                <w:spacing w:val="5"/>
              </w:rPr>
              <w:t>三十六)《涉及人的生物医学研究伦理审查办法》</w:t>
            </w:r>
            <w:r>
              <w:rPr>
                <w:rFonts w:ascii="KaiTi" w:hAnsi="KaiTi" w:eastAsia="KaiTi" w:cs="KaiTi"/>
                <w:sz w:val="21"/>
                <w:szCs w:val="21"/>
                <w:spacing w:val="-64"/>
              </w:rPr>
              <w:t xml:space="preserve"> </w:t>
            </w:r>
            <w:r>
              <w:rPr>
                <w:rFonts w:ascii="KaiTi" w:hAnsi="KaiTi" w:eastAsia="KaiTi" w:cs="KaiTi"/>
                <w:sz w:val="21"/>
                <w:szCs w:val="21"/>
              </w:rPr>
              <w:tab/>
            </w:r>
            <w:r>
              <w:rPr>
                <w:rFonts w:ascii="KaiTi" w:hAnsi="KaiTi" w:eastAsia="KaiTi" w:cs="KaiTi"/>
                <w:sz w:val="21"/>
                <w:szCs w:val="21"/>
                <w:spacing w:val="-11"/>
              </w:rPr>
              <w:t xml:space="preserve"> </w:t>
            </w:r>
            <w:r>
              <w:rPr>
                <w:rFonts w:ascii="Times New Roman" w:hAnsi="Times New Roman" w:eastAsia="Times New Roman" w:cs="Times New Roman"/>
                <w:sz w:val="21"/>
                <w:szCs w:val="21"/>
                <w:spacing w:val="-1"/>
              </w:rPr>
              <w:t>459</w:t>
            </w:r>
          </w:hyperlink>
        </w:p>
        <w:p>
          <w:pPr>
            <w:pStyle w:val="BodyText"/>
            <w:spacing w:line="351" w:lineRule="auto"/>
            <w:rPr/>
          </w:pPr>
          <w:r/>
        </w:p>
        <w:p>
          <w:pPr>
            <w:ind w:left="359"/>
            <w:spacing w:before="68" w:line="213" w:lineRule="auto"/>
            <w:tabs>
              <w:tab w:val="right" w:leader="dot" w:pos="13370"/>
            </w:tabs>
            <w:rPr>
              <w:rFonts w:ascii="Times New Roman" w:hAnsi="Times New Roman" w:eastAsia="Times New Roman" w:cs="Times New Roman"/>
              <w:sz w:val="21"/>
              <w:szCs w:val="21"/>
            </w:rPr>
          </w:pPr>
          <w:hyperlink w:history="true" w:anchor="bookmark491">
            <w:r>
              <w:rPr>
                <w:rFonts w:ascii="SimHei" w:hAnsi="SimHei" w:eastAsia="SimHei" w:cs="SimHei"/>
                <w:sz w:val="21"/>
                <w:szCs w:val="21"/>
                <w:spacing w:val="7"/>
              </w:rPr>
              <w:t>第三百八十九条</w:t>
            </w:r>
            <w:r>
              <w:rPr>
                <w:rFonts w:ascii="SimHei" w:hAnsi="SimHei" w:eastAsia="SimHei" w:cs="SimHei"/>
                <w:sz w:val="21"/>
                <w:szCs w:val="21"/>
                <w:spacing w:val="33"/>
              </w:rPr>
              <w:t xml:space="preserve"> </w:t>
            </w:r>
            <w:r>
              <w:rPr>
                <w:rFonts w:ascii="SimHei" w:hAnsi="SimHei" w:eastAsia="SimHei" w:cs="SimHei"/>
                <w:sz w:val="21"/>
                <w:szCs w:val="21"/>
                <w:spacing w:val="7"/>
              </w:rPr>
              <w:t>医疗卫生机构未按照规定设立伦理委员会擅自开展涉及人的生物医学研</w:t>
            </w:r>
            <w:r>
              <w:rPr>
                <w:rFonts w:ascii="SimHei" w:hAnsi="SimHei" w:eastAsia="SimHei" w:cs="SimHei"/>
                <w:sz w:val="21"/>
                <w:szCs w:val="21"/>
                <w:spacing w:val="6"/>
              </w:rPr>
              <w:t>究，逾期不改的</w:t>
            </w:r>
            <w:r>
              <w:rPr>
                <w:rFonts w:ascii="SimHei" w:hAnsi="SimHei" w:eastAsia="SimHei" w:cs="SimHei"/>
                <w:sz w:val="21"/>
                <w:szCs w:val="21"/>
                <w:spacing w:val="-92"/>
              </w:rPr>
              <w:t xml:space="preserve"> </w:t>
            </w:r>
            <w:r>
              <w:rPr>
                <w:rFonts w:ascii="SimHei" w:hAnsi="SimHei" w:eastAsia="SimHei" w:cs="SimHei"/>
                <w:sz w:val="21"/>
                <w:szCs w:val="21"/>
              </w:rPr>
              <w:tab/>
            </w:r>
            <w:r>
              <w:rPr>
                <w:rFonts w:ascii="SimHei" w:hAnsi="SimHei" w:eastAsia="SimHei" w:cs="SimHei"/>
                <w:sz w:val="21"/>
                <w:szCs w:val="21"/>
                <w:spacing w:val="-21"/>
              </w:rPr>
              <w:t xml:space="preserve"> </w:t>
            </w:r>
            <w:r>
              <w:rPr>
                <w:rFonts w:ascii="Times New Roman" w:hAnsi="Times New Roman" w:eastAsia="Times New Roman" w:cs="Times New Roman"/>
                <w:sz w:val="21"/>
                <w:szCs w:val="21"/>
                <w:spacing w:val="-1"/>
              </w:rPr>
              <w:t>459</w:t>
            </w:r>
          </w:hyperlink>
        </w:p>
        <w:p>
          <w:pPr>
            <w:pStyle w:val="BodyText"/>
            <w:spacing w:line="257" w:lineRule="auto"/>
            <w:rPr/>
          </w:pPr>
          <w:r/>
        </w:p>
        <w:p>
          <w:pPr>
            <w:pStyle w:val="BodyText"/>
            <w:spacing w:line="258" w:lineRule="auto"/>
            <w:rPr/>
          </w:pPr>
          <w:r/>
        </w:p>
        <w:p>
          <w:pPr>
            <w:ind w:left="359"/>
            <w:spacing w:before="68" w:line="221" w:lineRule="auto"/>
            <w:tabs>
              <w:tab w:val="right" w:leader="dot" w:pos="13370"/>
            </w:tabs>
            <w:rPr>
              <w:rFonts w:ascii="Times New Roman" w:hAnsi="Times New Roman" w:eastAsia="Times New Roman" w:cs="Times New Roman"/>
              <w:sz w:val="21"/>
              <w:szCs w:val="21"/>
            </w:rPr>
          </w:pPr>
          <w:hyperlink w:history="true" w:anchor="bookmark492">
            <w:r>
              <w:rPr>
                <w:rFonts w:ascii="SimHei" w:hAnsi="SimHei" w:eastAsia="SimHei" w:cs="SimHei"/>
                <w:sz w:val="21"/>
                <w:szCs w:val="21"/>
                <w:spacing w:val="12"/>
              </w:rPr>
              <w:t>第三百九十条</w:t>
            </w:r>
            <w:r>
              <w:rPr>
                <w:rFonts w:ascii="SimHei" w:hAnsi="SimHei" w:eastAsia="SimHei" w:cs="SimHei"/>
                <w:sz w:val="21"/>
                <w:szCs w:val="21"/>
                <w:spacing w:val="64"/>
              </w:rPr>
              <w:t xml:space="preserve"> </w:t>
            </w:r>
            <w:r>
              <w:rPr>
                <w:rFonts w:ascii="SimHei" w:hAnsi="SimHei" w:eastAsia="SimHei" w:cs="SimHei"/>
                <w:sz w:val="21"/>
                <w:szCs w:val="21"/>
                <w:spacing w:val="12"/>
              </w:rPr>
              <w:t>医疗卫生机构及其伦理委员会不符合相关管理规定的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3"/>
              </w:rPr>
              <w:t>460</w:t>
            </w:r>
          </w:hyperlink>
        </w:p>
        <w:p>
          <w:pPr>
            <w:pStyle w:val="BodyText"/>
            <w:spacing w:line="258" w:lineRule="auto"/>
            <w:rPr/>
          </w:pPr>
          <w:r/>
        </w:p>
        <w:p>
          <w:pPr>
            <w:pStyle w:val="BodyText"/>
            <w:spacing w:line="259" w:lineRule="auto"/>
            <w:rPr/>
          </w:pPr>
          <w:r/>
        </w:p>
        <w:p>
          <w:pPr>
            <w:ind w:left="359"/>
            <w:spacing w:before="69" w:line="222" w:lineRule="auto"/>
            <w:tabs>
              <w:tab w:val="right" w:leader="dot" w:pos="13260"/>
            </w:tabs>
            <w:rPr>
              <w:rFonts w:ascii="Times New Roman" w:hAnsi="Times New Roman" w:eastAsia="Times New Roman" w:cs="Times New Roman"/>
              <w:sz w:val="21"/>
              <w:szCs w:val="21"/>
            </w:rPr>
          </w:pPr>
          <w:hyperlink w:history="true" w:anchor="bookmark493">
            <w:r>
              <w:rPr>
                <w:rFonts w:ascii="SimHei" w:hAnsi="SimHei" w:eastAsia="SimHei" w:cs="SimHei"/>
                <w:sz w:val="21"/>
                <w:szCs w:val="21"/>
                <w:spacing w:val="14"/>
              </w:rPr>
              <w:t>第三百九十一条</w:t>
            </w:r>
            <w:r>
              <w:rPr>
                <w:rFonts w:ascii="SimHei" w:hAnsi="SimHei" w:eastAsia="SimHei" w:cs="SimHei"/>
                <w:sz w:val="21"/>
                <w:szCs w:val="21"/>
                <w:spacing w:val="46"/>
              </w:rPr>
              <w:t xml:space="preserve"> </w:t>
            </w:r>
            <w:r>
              <w:rPr>
                <w:rFonts w:ascii="SimHei" w:hAnsi="SimHei" w:eastAsia="SimHei" w:cs="SimHei"/>
                <w:sz w:val="21"/>
                <w:szCs w:val="21"/>
                <w:spacing w:val="14"/>
              </w:rPr>
              <w:t>项目研究者违反相关规定的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61</w:t>
            </w:r>
          </w:hyperlink>
        </w:p>
        <w:p>
          <w:pPr>
            <w:pStyle w:val="BodyText"/>
            <w:spacing w:line="265" w:lineRule="auto"/>
            <w:rPr/>
          </w:pPr>
          <w:r/>
        </w:p>
        <w:p>
          <w:pPr>
            <w:spacing w:before="68" w:line="212" w:lineRule="auto"/>
            <w:tabs>
              <w:tab w:val="right" w:leader="dot" w:pos="13380"/>
            </w:tabs>
            <w:rPr>
              <w:rFonts w:ascii="Times New Roman" w:hAnsi="Times New Roman" w:eastAsia="Times New Roman" w:cs="Times New Roman"/>
              <w:sz w:val="21"/>
              <w:szCs w:val="21"/>
            </w:rPr>
          </w:pPr>
          <w:hyperlink w:history="true" w:anchor="bookmark494">
            <w:r>
              <w:rPr>
                <w:rFonts w:ascii="Times New Roman" w:hAnsi="Times New Roman" w:eastAsia="Times New Roman" w:cs="Times New Roman"/>
                <w:sz w:val="21"/>
                <w:szCs w:val="21"/>
                <w:spacing w:val="7"/>
              </w:rPr>
              <w:t>(</w:t>
            </w:r>
            <w:r>
              <w:rPr>
                <w:rFonts w:ascii="KaiTi" w:hAnsi="KaiTi" w:eastAsia="KaiTi" w:cs="KaiTi"/>
                <w:sz w:val="21"/>
                <w:szCs w:val="21"/>
                <w:spacing w:val="7"/>
              </w:rPr>
              <w:t>三十七)《外国医师来华短期行医暂行管理办法》</w:t>
            </w:r>
            <w:r>
              <w:rPr>
                <w:rFonts w:ascii="KaiTi" w:hAnsi="KaiTi" w:eastAsia="KaiTi" w:cs="KaiTi"/>
                <w:sz w:val="21"/>
                <w:szCs w:val="21"/>
                <w:spacing w:val="-62"/>
              </w:rPr>
              <w:t xml:space="preserve"> </w:t>
            </w:r>
            <w:r>
              <w:rPr>
                <w:rFonts w:ascii="KaiTi" w:hAnsi="KaiTi" w:eastAsia="KaiTi" w:cs="KaiTi"/>
                <w:sz w:val="21"/>
                <w:szCs w:val="21"/>
              </w:rPr>
              <w:tab/>
            </w:r>
            <w:r>
              <w:rPr>
                <w:rFonts w:ascii="Times New Roman" w:hAnsi="Times New Roman" w:eastAsia="Times New Roman" w:cs="Times New Roman"/>
                <w:sz w:val="21"/>
                <w:szCs w:val="21"/>
                <w:spacing w:val="1"/>
              </w:rPr>
              <w:t>462</w:t>
            </w:r>
          </w:hyperlink>
        </w:p>
        <w:p>
          <w:pPr>
            <w:pStyle w:val="BodyText"/>
            <w:spacing w:line="380" w:lineRule="auto"/>
            <w:rPr/>
          </w:pPr>
          <w:r/>
        </w:p>
        <w:p>
          <w:pPr>
            <w:ind w:left="359"/>
            <w:spacing w:before="68" w:line="221" w:lineRule="auto"/>
            <w:tabs>
              <w:tab w:val="right" w:leader="dot" w:pos="13380"/>
            </w:tabs>
            <w:rPr>
              <w:rFonts w:ascii="Times New Roman" w:hAnsi="Times New Roman" w:eastAsia="Times New Roman" w:cs="Times New Roman"/>
              <w:sz w:val="21"/>
              <w:szCs w:val="21"/>
            </w:rPr>
          </w:pPr>
          <w:hyperlink w:history="true" w:anchor="bookmark495">
            <w:r>
              <w:rPr>
                <w:rFonts w:ascii="SimHei" w:hAnsi="SimHei" w:eastAsia="SimHei" w:cs="SimHei"/>
                <w:sz w:val="21"/>
                <w:szCs w:val="21"/>
                <w:spacing w:val="10"/>
              </w:rPr>
              <w:t>第三百九十二条</w:t>
            </w:r>
            <w:r>
              <w:rPr>
                <w:rFonts w:ascii="SimHei" w:hAnsi="SimHei" w:eastAsia="SimHei" w:cs="SimHei"/>
                <w:sz w:val="21"/>
                <w:szCs w:val="21"/>
                <w:spacing w:val="10"/>
              </w:rPr>
              <w:t xml:space="preserve"> </w:t>
            </w:r>
            <w:r>
              <w:rPr>
                <w:rFonts w:ascii="SimHei" w:hAnsi="SimHei" w:eastAsia="SimHei" w:cs="SimHei"/>
                <w:sz w:val="21"/>
                <w:szCs w:val="21"/>
                <w:spacing w:val="10"/>
              </w:rPr>
              <w:t>外国医师未经注册取得《外国医师短期行医许可证》擅</w:t>
            </w:r>
            <w:r>
              <w:rPr>
                <w:rFonts w:ascii="SimHei" w:hAnsi="SimHei" w:eastAsia="SimHei" w:cs="SimHei"/>
                <w:sz w:val="21"/>
                <w:szCs w:val="21"/>
                <w:spacing w:val="9"/>
              </w:rPr>
              <w:t>自来华短期行医的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61"/>
              </w:rPr>
              <w:t xml:space="preserve"> </w:t>
            </w:r>
            <w:r>
              <w:rPr>
                <w:rFonts w:ascii="Times New Roman" w:hAnsi="Times New Roman" w:eastAsia="Times New Roman" w:cs="Times New Roman"/>
                <w:sz w:val="21"/>
                <w:szCs w:val="21"/>
                <w:spacing w:val="-1"/>
              </w:rPr>
              <w:t>462</w:t>
            </w:r>
          </w:hyperlink>
        </w:p>
        <w:p>
          <w:pPr>
            <w:pStyle w:val="BodyText"/>
            <w:spacing w:line="336" w:lineRule="auto"/>
            <w:rPr/>
          </w:pPr>
          <w:r/>
        </w:p>
        <w:p>
          <w:pPr>
            <w:spacing w:before="69" w:line="212" w:lineRule="auto"/>
            <w:tabs>
              <w:tab w:val="right" w:leader="dot" w:pos="13270"/>
            </w:tabs>
            <w:rPr>
              <w:rFonts w:ascii="Times New Roman" w:hAnsi="Times New Roman" w:eastAsia="Times New Roman" w:cs="Times New Roman"/>
              <w:sz w:val="21"/>
              <w:szCs w:val="21"/>
            </w:rPr>
          </w:pPr>
          <w:hyperlink w:history="true" w:anchor="bookmark496">
            <w:r>
              <w:rPr>
                <w:rFonts w:ascii="Times New Roman" w:hAnsi="Times New Roman" w:eastAsia="Times New Roman" w:cs="Times New Roman"/>
                <w:sz w:val="21"/>
                <w:szCs w:val="21"/>
                <w:spacing w:val="9"/>
              </w:rPr>
              <w:t>( </w:t>
            </w:r>
            <w:r>
              <w:rPr>
                <w:rFonts w:ascii="KaiTi" w:hAnsi="KaiTi" w:eastAsia="KaiTi" w:cs="KaiTi"/>
                <w:sz w:val="21"/>
                <w:szCs w:val="21"/>
                <w:spacing w:val="9"/>
              </w:rPr>
              <w:t>三十八)《艾滋病防治条例》</w:t>
            </w:r>
            <w:r>
              <w:rPr>
                <w:rFonts w:ascii="KaiTi" w:hAnsi="KaiTi" w:eastAsia="KaiTi" w:cs="KaiTi"/>
                <w:sz w:val="21"/>
                <w:szCs w:val="21"/>
                <w:spacing w:val="-69"/>
              </w:rPr>
              <w:t xml:space="preserve"> </w:t>
            </w:r>
            <w:r>
              <w:rPr>
                <w:rFonts w:ascii="KaiTi" w:hAnsi="KaiTi" w:eastAsia="KaiTi" w:cs="KaiTi"/>
                <w:sz w:val="21"/>
                <w:szCs w:val="21"/>
              </w:rPr>
              <w:tab/>
            </w:r>
            <w:r>
              <w:rPr>
                <w:rFonts w:ascii="KaiTi" w:hAnsi="KaiTi" w:eastAsia="KaiTi" w:cs="KaiTi"/>
                <w:sz w:val="21"/>
                <w:szCs w:val="21"/>
                <w:spacing w:val="-11"/>
              </w:rPr>
              <w:t xml:space="preserve"> </w:t>
            </w:r>
            <w:r>
              <w:rPr>
                <w:rFonts w:ascii="Times New Roman" w:hAnsi="Times New Roman" w:eastAsia="Times New Roman" w:cs="Times New Roman"/>
                <w:sz w:val="21"/>
                <w:szCs w:val="21"/>
                <w:spacing w:val="-3"/>
              </w:rPr>
              <w:t>63</w:t>
            </w:r>
          </w:hyperlink>
        </w:p>
        <w:p>
          <w:pPr>
            <w:pStyle w:val="BodyText"/>
            <w:spacing w:line="310" w:lineRule="auto"/>
            <w:rPr/>
          </w:pPr>
          <w:r/>
        </w:p>
        <w:p>
          <w:pPr>
            <w:ind w:left="359"/>
            <w:spacing w:before="69" w:line="222" w:lineRule="auto"/>
            <w:tabs>
              <w:tab w:val="right" w:leader="dot" w:pos="13390"/>
            </w:tabs>
            <w:rPr>
              <w:rFonts w:ascii="Times New Roman" w:hAnsi="Times New Roman" w:eastAsia="Times New Roman" w:cs="Times New Roman"/>
              <w:sz w:val="21"/>
              <w:szCs w:val="21"/>
            </w:rPr>
          </w:pPr>
          <w:hyperlink w:history="true" w:anchor="bookmark497">
            <w:r>
              <w:rPr>
                <w:rFonts w:ascii="SimHei" w:hAnsi="SimHei" w:eastAsia="SimHei" w:cs="SimHei"/>
                <w:sz w:val="21"/>
                <w:szCs w:val="21"/>
                <w:spacing w:val="10"/>
              </w:rPr>
              <w:t>第三百九十三条</w:t>
            </w:r>
            <w:r>
              <w:rPr>
                <w:rFonts w:ascii="SimHei" w:hAnsi="SimHei" w:eastAsia="SimHei" w:cs="SimHei"/>
                <w:sz w:val="21"/>
                <w:szCs w:val="21"/>
                <w:spacing w:val="38"/>
              </w:rPr>
              <w:t xml:space="preserve"> </w:t>
            </w:r>
            <w:r>
              <w:rPr>
                <w:rFonts w:ascii="SimHei" w:hAnsi="SimHei" w:eastAsia="SimHei" w:cs="SimHei"/>
                <w:sz w:val="21"/>
                <w:szCs w:val="21"/>
                <w:spacing w:val="10"/>
              </w:rPr>
              <w:t>医疗卫生机构未经本人或者其监护人</w:t>
            </w:r>
            <w:r>
              <w:rPr>
                <w:rFonts w:ascii="SimHei" w:hAnsi="SimHei" w:eastAsia="SimHei" w:cs="SimHei"/>
                <w:sz w:val="21"/>
                <w:szCs w:val="21"/>
                <w:spacing w:val="9"/>
              </w:rPr>
              <w:t>同意公开艾滋病病毒感染者、艾滋病病人或者其家属的信息的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463</w:t>
            </w:r>
          </w:hyperlink>
        </w:p>
        <w:p>
          <w:pPr>
            <w:pStyle w:val="BodyText"/>
            <w:spacing w:line="253" w:lineRule="auto"/>
            <w:rPr/>
          </w:pPr>
          <w:r/>
        </w:p>
        <w:p>
          <w:pPr>
            <w:pStyle w:val="BodyText"/>
            <w:spacing w:line="253" w:lineRule="auto"/>
            <w:rPr/>
          </w:pPr>
          <w:r/>
        </w:p>
        <w:p>
          <w:pPr>
            <w:ind w:left="359"/>
            <w:spacing w:before="69" w:line="222" w:lineRule="auto"/>
            <w:tabs>
              <w:tab w:val="right" w:leader="dot" w:pos="13380"/>
            </w:tabs>
            <w:rPr>
              <w:rFonts w:ascii="Times New Roman" w:hAnsi="Times New Roman" w:eastAsia="Times New Roman" w:cs="Times New Roman"/>
              <w:sz w:val="21"/>
              <w:szCs w:val="21"/>
            </w:rPr>
          </w:pPr>
          <w:hyperlink w:history="true" w:anchor="bookmark498">
            <w:r>
              <w:rPr>
                <w:rFonts w:ascii="SimHei" w:hAnsi="SimHei" w:eastAsia="SimHei" w:cs="SimHei"/>
                <w:sz w:val="21"/>
                <w:szCs w:val="21"/>
                <w:spacing w:val="10"/>
              </w:rPr>
              <w:t>第三百九十四条</w:t>
            </w:r>
            <w:r>
              <w:rPr>
                <w:rFonts w:ascii="SimHei" w:hAnsi="SimHei" w:eastAsia="SimHei" w:cs="SimHei"/>
                <w:sz w:val="21"/>
                <w:szCs w:val="21"/>
                <w:spacing w:val="10"/>
              </w:rPr>
              <w:t xml:space="preserve"> </w:t>
            </w:r>
            <w:r>
              <w:rPr>
                <w:rFonts w:ascii="SimHei" w:hAnsi="SimHei" w:eastAsia="SimHei" w:cs="SimHei"/>
                <w:sz w:val="21"/>
                <w:szCs w:val="21"/>
                <w:spacing w:val="10"/>
              </w:rPr>
              <w:t>提供、使用未经出入境检验检疫机构检疫的进口人体血液、血浆、组织、器官、细胞、骨髓等的</w:t>
            </w:r>
            <w:r>
              <w:rPr>
                <w:rFonts w:ascii="SimHei" w:hAnsi="SimHei" w:eastAsia="SimHei" w:cs="SimHei"/>
                <w:sz w:val="21"/>
                <w:szCs w:val="21"/>
                <w:spacing w:val="-81"/>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464</w:t>
            </w:r>
          </w:hyperlink>
        </w:p>
        <w:p>
          <w:pPr>
            <w:pStyle w:val="BodyText"/>
            <w:spacing w:line="275" w:lineRule="auto"/>
            <w:rPr/>
          </w:pPr>
          <w:r/>
        </w:p>
        <w:p>
          <w:pPr>
            <w:spacing w:before="68" w:line="212" w:lineRule="auto"/>
            <w:tabs>
              <w:tab w:val="right" w:leader="dot" w:pos="13410"/>
            </w:tabs>
            <w:rPr>
              <w:rFonts w:ascii="Times New Roman" w:hAnsi="Times New Roman" w:eastAsia="Times New Roman" w:cs="Times New Roman"/>
              <w:sz w:val="21"/>
              <w:szCs w:val="21"/>
            </w:rPr>
          </w:pPr>
          <w:hyperlink w:history="true" w:anchor="bookmark499">
            <w:r>
              <w:rPr>
                <w:rFonts w:ascii="Times New Roman" w:hAnsi="Times New Roman" w:eastAsia="Times New Roman" w:cs="Times New Roman"/>
                <w:sz w:val="21"/>
                <w:szCs w:val="21"/>
                <w:spacing w:val="13"/>
              </w:rPr>
              <w:t>(</w:t>
            </w:r>
            <w:r>
              <w:rPr>
                <w:rFonts w:ascii="KaiTi" w:hAnsi="KaiTi" w:eastAsia="KaiTi" w:cs="KaiTi"/>
                <w:sz w:val="21"/>
                <w:szCs w:val="21"/>
                <w:spacing w:val="13"/>
              </w:rPr>
              <w:t>三十九)《反兴奋剂条例》</w:t>
            </w:r>
            <w:r>
              <w:rPr>
                <w:rFonts w:ascii="KaiTi" w:hAnsi="KaiTi" w:eastAsia="KaiTi" w:cs="KaiTi"/>
                <w:sz w:val="21"/>
                <w:szCs w:val="21"/>
                <w:spacing w:val="-70"/>
              </w:rPr>
              <w:t xml:space="preserve"> </w:t>
            </w:r>
            <w:r>
              <w:rPr>
                <w:rFonts w:ascii="KaiTi" w:hAnsi="KaiTi" w:eastAsia="KaiTi" w:cs="KaiTi"/>
                <w:sz w:val="21"/>
                <w:szCs w:val="21"/>
              </w:rPr>
              <w:tab/>
            </w:r>
            <w:r>
              <w:rPr>
                <w:rFonts w:ascii="Times New Roman" w:hAnsi="Times New Roman" w:eastAsia="Times New Roman" w:cs="Times New Roman"/>
                <w:sz w:val="21"/>
                <w:szCs w:val="21"/>
                <w:spacing w:val="1"/>
              </w:rPr>
              <w:t>465</w:t>
            </w:r>
          </w:hyperlink>
        </w:p>
        <w:p>
          <w:pPr>
            <w:pStyle w:val="BodyText"/>
            <w:spacing w:line="390" w:lineRule="auto"/>
            <w:rPr/>
          </w:pPr>
          <w:r/>
        </w:p>
        <w:p>
          <w:pPr>
            <w:ind w:left="359"/>
            <w:spacing w:before="69" w:line="213" w:lineRule="auto"/>
            <w:tabs>
              <w:tab w:val="right" w:leader="dot" w:pos="13450"/>
            </w:tabs>
            <w:rPr>
              <w:rFonts w:ascii="Times New Roman" w:hAnsi="Times New Roman" w:eastAsia="Times New Roman" w:cs="Times New Roman"/>
              <w:sz w:val="21"/>
              <w:szCs w:val="21"/>
            </w:rPr>
          </w:pPr>
          <w:hyperlink w:history="true" w:anchor="bookmark500">
            <w:r>
              <w:rPr>
                <w:rFonts w:ascii="SimHei" w:hAnsi="SimHei" w:eastAsia="SimHei" w:cs="SimHei"/>
                <w:sz w:val="21"/>
                <w:szCs w:val="21"/>
                <w:spacing w:val="12"/>
              </w:rPr>
              <w:t>第三百九十五条</w:t>
            </w:r>
            <w:r>
              <w:rPr>
                <w:rFonts w:ascii="SimHei" w:hAnsi="SimHei" w:eastAsia="SimHei" w:cs="SimHei"/>
                <w:sz w:val="21"/>
                <w:szCs w:val="21"/>
                <w:spacing w:val="43"/>
              </w:rPr>
              <w:t xml:space="preserve"> </w:t>
            </w:r>
            <w:r>
              <w:rPr>
                <w:rFonts w:ascii="SimHei" w:hAnsi="SimHei" w:eastAsia="SimHei" w:cs="SimHei"/>
                <w:sz w:val="21"/>
                <w:szCs w:val="21"/>
                <w:spacing w:val="12"/>
              </w:rPr>
              <w:t>医师未按照《反兴奋剂条例》的</w:t>
            </w:r>
            <w:r>
              <w:rPr>
                <w:rFonts w:ascii="SimHei" w:hAnsi="SimHei" w:eastAsia="SimHei" w:cs="SimHei"/>
                <w:sz w:val="21"/>
                <w:szCs w:val="21"/>
                <w:spacing w:val="11"/>
              </w:rPr>
              <w:t>规定使用药品，或者未履行告知义务的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6"/>
              </w:rPr>
              <w:t>465</w:t>
            </w:r>
          </w:hyperlink>
        </w:p>
      </w:sdtContent>
    </w:sdt>
    <w:p>
      <w:pPr>
        <w:spacing w:line="213" w:lineRule="auto"/>
        <w:sectPr>
          <w:footerReference w:type="default" r:id="rId47"/>
          <w:pgSz w:w="16830" w:h="11900"/>
          <w:pgMar w:top="1011" w:right="1428" w:bottom="1141" w:left="1949" w:header="0" w:footer="790" w:gutter="0"/>
        </w:sectPr>
        <w:rPr>
          <w:rFonts w:ascii="Times New Roman" w:hAnsi="Times New Roman" w:eastAsia="Times New Roman" w:cs="Times New Roman"/>
          <w:sz w:val="21"/>
          <w:szCs w:val="21"/>
        </w:rPr>
      </w:pPr>
    </w:p>
    <w:p>
      <w:pPr>
        <w:pStyle w:val="BodyText"/>
        <w:spacing w:line="253" w:lineRule="auto"/>
        <w:rPr/>
      </w:pPr>
      <w:r/>
    </w:p>
    <w:p>
      <w:pPr>
        <w:pStyle w:val="BodyText"/>
        <w:spacing w:line="253" w:lineRule="auto"/>
        <w:rPr/>
      </w:pPr>
      <w:r/>
    </w:p>
    <w:p>
      <w:pPr>
        <w:pStyle w:val="BodyText"/>
        <w:spacing w:line="253"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spacing w:before="68" w:line="221" w:lineRule="auto"/>
            <w:tabs>
              <w:tab w:val="right" w:leader="dot" w:pos="13928"/>
            </w:tabs>
            <w:rPr>
              <w:rFonts w:ascii="Times New Roman" w:hAnsi="Times New Roman" w:eastAsia="Times New Roman" w:cs="Times New Roman"/>
              <w:sz w:val="21"/>
              <w:szCs w:val="21"/>
            </w:rPr>
          </w:pPr>
          <w:bookmarkStart w:name="bookmark501" w:id="11"/>
          <w:bookmarkEnd w:id="11"/>
          <w:hyperlink w:history="true" w:anchor="bookmark502">
            <w:r>
              <w:rPr>
                <w:rFonts w:ascii="SimHei" w:hAnsi="SimHei" w:eastAsia="SimHei" w:cs="SimHei"/>
                <w:sz w:val="21"/>
                <w:szCs w:val="21"/>
                <w:b/>
                <w:bCs/>
                <w:spacing w:val="-11"/>
              </w:rPr>
              <w:t>三、计划生育与母婴保健类</w:t>
            </w:r>
            <w:r>
              <w:rPr>
                <w:rFonts w:ascii="SimHei" w:hAnsi="SimHei" w:eastAsia="SimHei" w:cs="SimHei"/>
                <w:sz w:val="21"/>
                <w:szCs w:val="21"/>
                <w:spacing w:val="-84"/>
              </w:rPr>
              <w:t xml:space="preserve"> </w:t>
            </w:r>
            <w:r>
              <w:rPr>
                <w:rFonts w:ascii="SimHei" w:hAnsi="SimHei" w:eastAsia="SimHei" w:cs="SimHei"/>
                <w:sz w:val="21"/>
                <w:szCs w:val="21"/>
              </w:rPr>
              <w:tab/>
            </w:r>
            <w:r>
              <w:rPr>
                <w:rFonts w:ascii="SimHei" w:hAnsi="SimHei" w:eastAsia="SimHei" w:cs="SimHei"/>
                <w:sz w:val="21"/>
                <w:szCs w:val="21"/>
                <w:spacing w:val="-31"/>
              </w:rPr>
              <w:t xml:space="preserve"> </w:t>
            </w:r>
            <w:r>
              <w:rPr>
                <w:rFonts w:ascii="Times New Roman" w:hAnsi="Times New Roman" w:eastAsia="Times New Roman" w:cs="Times New Roman"/>
                <w:sz w:val="21"/>
                <w:szCs w:val="21"/>
                <w:spacing w:val="-1"/>
              </w:rPr>
              <w:t>467</w:t>
            </w:r>
          </w:hyperlink>
        </w:p>
        <w:p>
          <w:pPr>
            <w:ind w:left="536"/>
            <w:spacing w:before="148" w:line="223" w:lineRule="auto"/>
            <w:tabs>
              <w:tab w:val="right" w:leader="dot" w:pos="13868"/>
            </w:tabs>
            <w:rPr>
              <w:rFonts w:ascii="Times New Roman" w:hAnsi="Times New Roman" w:eastAsia="Times New Roman" w:cs="Times New Roman"/>
              <w:sz w:val="21"/>
              <w:szCs w:val="21"/>
            </w:rPr>
          </w:pPr>
          <w:hyperlink w:history="true" w:anchor="bookmark503">
            <w:r>
              <w:rPr>
                <w:rFonts w:ascii="KaiTi" w:hAnsi="KaiTi" w:eastAsia="KaiTi" w:cs="KaiTi"/>
                <w:sz w:val="21"/>
                <w:szCs w:val="21"/>
                <w:spacing w:val="-6"/>
              </w:rPr>
              <w:t>(</w:t>
            </w:r>
            <w:r>
              <w:rPr>
                <w:rFonts w:ascii="KaiTi" w:hAnsi="KaiTi" w:eastAsia="KaiTi" w:cs="KaiTi"/>
                <w:sz w:val="21"/>
                <w:szCs w:val="21"/>
                <w:spacing w:val="-6"/>
              </w:rPr>
              <w:t xml:space="preserve"> </w:t>
            </w:r>
            <w:r>
              <w:rPr>
                <w:rFonts w:ascii="KaiTi" w:hAnsi="KaiTi" w:eastAsia="KaiTi" w:cs="KaiTi"/>
                <w:sz w:val="21"/>
                <w:szCs w:val="21"/>
                <w:spacing w:val="-6"/>
              </w:rPr>
              <w:t>一</w:t>
            </w:r>
            <w:r>
              <w:rPr>
                <w:rFonts w:ascii="KaiTi" w:hAnsi="KaiTi" w:eastAsia="KaiTi" w:cs="KaiTi"/>
                <w:sz w:val="21"/>
                <w:szCs w:val="21"/>
                <w:spacing w:val="-6"/>
              </w:rPr>
              <w:t xml:space="preserve"> </w:t>
            </w:r>
            <w:r>
              <w:rPr>
                <w:rFonts w:ascii="KaiTi" w:hAnsi="KaiTi" w:eastAsia="KaiTi" w:cs="KaiTi"/>
                <w:sz w:val="21"/>
                <w:szCs w:val="21"/>
                <w:spacing w:val="-6"/>
              </w:rPr>
              <w:t>)</w:t>
            </w:r>
            <w:r>
              <w:rPr>
                <w:rFonts w:ascii="KaiTi" w:hAnsi="KaiTi" w:eastAsia="KaiTi" w:cs="KaiTi"/>
                <w:sz w:val="21"/>
                <w:szCs w:val="21"/>
                <w:spacing w:val="-6"/>
              </w:rPr>
              <w:t xml:space="preserve"> </w:t>
            </w:r>
            <w:r>
              <w:rPr>
                <w:rFonts w:ascii="KaiTi" w:hAnsi="KaiTi" w:eastAsia="KaiTi" w:cs="KaiTi"/>
                <w:sz w:val="21"/>
                <w:szCs w:val="21"/>
                <w:spacing w:val="-6"/>
              </w:rPr>
              <w:t>《人类辅助生殖技术管理办法》</w:t>
            </w:r>
            <w:r>
              <w:rPr>
                <w:rFonts w:ascii="KaiTi" w:hAnsi="KaiTi" w:eastAsia="KaiTi" w:cs="KaiTi"/>
                <w:sz w:val="21"/>
                <w:szCs w:val="21"/>
                <w:spacing w:val="-71"/>
              </w:rPr>
              <w:t xml:space="preserve"> </w:t>
            </w:r>
            <w:r>
              <w:rPr>
                <w:rFonts w:ascii="KaiTi" w:hAnsi="KaiTi" w:eastAsia="KaiTi" w:cs="KaiTi"/>
                <w:sz w:val="21"/>
                <w:szCs w:val="21"/>
              </w:rPr>
              <w:tab/>
            </w:r>
            <w:r>
              <w:rPr>
                <w:rFonts w:ascii="Times New Roman" w:hAnsi="Times New Roman" w:eastAsia="Times New Roman" w:cs="Times New Roman"/>
                <w:sz w:val="21"/>
                <w:szCs w:val="21"/>
              </w:rPr>
              <w:t>467</w:t>
            </w:r>
          </w:hyperlink>
        </w:p>
        <w:p>
          <w:pPr>
            <w:pStyle w:val="BodyText"/>
            <w:spacing w:line="369" w:lineRule="auto"/>
            <w:rPr/>
          </w:pPr>
          <w:r/>
        </w:p>
        <w:p>
          <w:pPr>
            <w:ind w:left="866"/>
            <w:spacing w:before="68" w:line="221" w:lineRule="auto"/>
            <w:tabs>
              <w:tab w:val="right" w:leader="dot" w:pos="13958"/>
            </w:tabs>
            <w:rPr>
              <w:rFonts w:ascii="Times New Roman" w:hAnsi="Times New Roman" w:eastAsia="Times New Roman" w:cs="Times New Roman"/>
              <w:sz w:val="21"/>
              <w:szCs w:val="21"/>
            </w:rPr>
          </w:pPr>
          <w:hyperlink w:history="true" w:anchor="bookmark504">
            <w:r>
              <w:rPr>
                <w:rFonts w:ascii="SimHei" w:hAnsi="SimHei" w:eastAsia="SimHei" w:cs="SimHei"/>
                <w:sz w:val="21"/>
                <w:szCs w:val="21"/>
                <w:spacing w:val="9"/>
              </w:rPr>
              <w:t>第三百九十六条</w:t>
            </w:r>
            <w:r>
              <w:rPr>
                <w:rFonts w:ascii="SimHei" w:hAnsi="SimHei" w:eastAsia="SimHei" w:cs="SimHei"/>
                <w:sz w:val="21"/>
                <w:szCs w:val="21"/>
                <w:spacing w:val="9"/>
              </w:rPr>
              <w:t xml:space="preserve"> </w:t>
            </w:r>
            <w:r>
              <w:rPr>
                <w:rFonts w:ascii="SimHei" w:hAnsi="SimHei" w:eastAsia="SimHei" w:cs="SimHei"/>
                <w:sz w:val="21"/>
                <w:szCs w:val="21"/>
                <w:spacing w:val="9"/>
              </w:rPr>
              <w:t>开展人类辅助生殖技术的医疗机构买卖配子、合子、胚胎的</w:t>
            </w:r>
            <w:r>
              <w:rPr>
                <w:rFonts w:ascii="SimHei" w:hAnsi="SimHei" w:eastAsia="SimHei" w:cs="SimHei"/>
                <w:sz w:val="21"/>
                <w:szCs w:val="21"/>
                <w:spacing w:val="-87"/>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467</w:t>
            </w:r>
          </w:hyperlink>
        </w:p>
        <w:p>
          <w:pPr>
            <w:pStyle w:val="BodyText"/>
            <w:spacing w:line="248" w:lineRule="auto"/>
            <w:rPr/>
          </w:pPr>
          <w:r/>
        </w:p>
        <w:p>
          <w:pPr>
            <w:pStyle w:val="BodyText"/>
            <w:spacing w:line="249" w:lineRule="auto"/>
            <w:rPr/>
          </w:pPr>
          <w:r/>
        </w:p>
        <w:p>
          <w:pPr>
            <w:ind w:left="866"/>
            <w:spacing w:before="68" w:line="221" w:lineRule="auto"/>
            <w:tabs>
              <w:tab w:val="right" w:leader="dot" w:pos="13898"/>
            </w:tabs>
            <w:rPr>
              <w:rFonts w:ascii="Times New Roman" w:hAnsi="Times New Roman" w:eastAsia="Times New Roman" w:cs="Times New Roman"/>
              <w:sz w:val="21"/>
              <w:szCs w:val="21"/>
            </w:rPr>
          </w:pPr>
          <w:hyperlink w:history="true" w:anchor="bookmark505">
            <w:r>
              <w:rPr>
                <w:rFonts w:ascii="SimHei" w:hAnsi="SimHei" w:eastAsia="SimHei" w:cs="SimHei"/>
                <w:sz w:val="21"/>
                <w:szCs w:val="21"/>
                <w:spacing w:val="9"/>
              </w:rPr>
              <w:t>第三百九十七条</w:t>
            </w:r>
            <w:r>
              <w:rPr>
                <w:rFonts w:ascii="SimHei" w:hAnsi="SimHei" w:eastAsia="SimHei" w:cs="SimHei"/>
                <w:sz w:val="21"/>
                <w:szCs w:val="21"/>
                <w:spacing w:val="9"/>
              </w:rPr>
              <w:t xml:space="preserve"> </w:t>
            </w:r>
            <w:r>
              <w:rPr>
                <w:rFonts w:ascii="SimHei" w:hAnsi="SimHei" w:eastAsia="SimHei" w:cs="SimHei"/>
                <w:sz w:val="21"/>
                <w:szCs w:val="21"/>
                <w:spacing w:val="9"/>
              </w:rPr>
              <w:t>开展人类辅助生殖技术的医疗机构实施代孕技术的</w:t>
            </w:r>
            <w:r>
              <w:rPr>
                <w:rFonts w:ascii="SimHei" w:hAnsi="SimHei" w:eastAsia="SimHei" w:cs="SimHei"/>
                <w:sz w:val="21"/>
                <w:szCs w:val="21"/>
                <w:spacing w:val="-91"/>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468</w:t>
            </w:r>
          </w:hyperlink>
        </w:p>
        <w:p>
          <w:pPr>
            <w:pStyle w:val="BodyText"/>
            <w:spacing w:line="248" w:lineRule="auto"/>
            <w:rPr/>
          </w:pPr>
          <w:r/>
        </w:p>
        <w:p>
          <w:pPr>
            <w:pStyle w:val="BodyText"/>
            <w:spacing w:line="249" w:lineRule="auto"/>
            <w:rPr/>
          </w:pPr>
          <w:r/>
        </w:p>
        <w:p>
          <w:pPr>
            <w:ind w:left="866"/>
            <w:spacing w:before="68" w:line="221" w:lineRule="auto"/>
            <w:tabs>
              <w:tab w:val="right" w:leader="dot" w:pos="13898"/>
            </w:tabs>
            <w:rPr>
              <w:rFonts w:ascii="Times New Roman" w:hAnsi="Times New Roman" w:eastAsia="Times New Roman" w:cs="Times New Roman"/>
              <w:sz w:val="21"/>
              <w:szCs w:val="21"/>
            </w:rPr>
          </w:pPr>
          <w:hyperlink w:history="true" w:anchor="bookmark506">
            <w:r>
              <w:rPr>
                <w:rFonts w:ascii="SimHei" w:hAnsi="SimHei" w:eastAsia="SimHei" w:cs="SimHei"/>
                <w:sz w:val="21"/>
                <w:szCs w:val="21"/>
                <w:spacing w:val="9"/>
              </w:rPr>
              <w:t>第三百九十八条</w:t>
            </w:r>
            <w:r>
              <w:rPr>
                <w:rFonts w:ascii="SimHei" w:hAnsi="SimHei" w:eastAsia="SimHei" w:cs="SimHei"/>
                <w:sz w:val="21"/>
                <w:szCs w:val="21"/>
                <w:spacing w:val="9"/>
              </w:rPr>
              <w:t xml:space="preserve"> </w:t>
            </w:r>
            <w:r>
              <w:rPr>
                <w:rFonts w:ascii="SimHei" w:hAnsi="SimHei" w:eastAsia="SimHei" w:cs="SimHei"/>
                <w:sz w:val="21"/>
                <w:szCs w:val="21"/>
                <w:spacing w:val="9"/>
              </w:rPr>
              <w:t>开展人类辅助生殖技术的医疗机构使用不具有《人类精子库批准</w:t>
            </w:r>
            <w:r>
              <w:rPr>
                <w:rFonts w:ascii="SimHei" w:hAnsi="SimHei" w:eastAsia="SimHei" w:cs="SimHei"/>
                <w:sz w:val="21"/>
                <w:szCs w:val="21"/>
                <w:spacing w:val="8"/>
              </w:rPr>
              <w:t>证书》机构提供的精子的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72"/>
              </w:rPr>
              <w:t xml:space="preserve"> </w:t>
            </w:r>
            <w:r>
              <w:rPr>
                <w:rFonts w:ascii="Times New Roman" w:hAnsi="Times New Roman" w:eastAsia="Times New Roman" w:cs="Times New Roman"/>
                <w:sz w:val="21"/>
                <w:szCs w:val="21"/>
                <w:spacing w:val="-1"/>
              </w:rPr>
              <w:t>468</w:t>
            </w:r>
          </w:hyperlink>
        </w:p>
        <w:p>
          <w:pPr>
            <w:pStyle w:val="BodyText"/>
            <w:spacing w:line="253" w:lineRule="auto"/>
            <w:rPr/>
          </w:pPr>
          <w:r/>
        </w:p>
        <w:p>
          <w:pPr>
            <w:pStyle w:val="BodyText"/>
            <w:spacing w:line="254" w:lineRule="auto"/>
            <w:rPr/>
          </w:pPr>
          <w:r/>
        </w:p>
        <w:p>
          <w:pPr>
            <w:ind w:left="866"/>
            <w:spacing w:before="68" w:line="221" w:lineRule="auto"/>
            <w:tabs>
              <w:tab w:val="right" w:leader="dot" w:pos="13898"/>
            </w:tabs>
            <w:rPr>
              <w:rFonts w:ascii="Times New Roman" w:hAnsi="Times New Roman" w:eastAsia="Times New Roman" w:cs="Times New Roman"/>
              <w:sz w:val="21"/>
              <w:szCs w:val="21"/>
            </w:rPr>
          </w:pPr>
          <w:hyperlink w:history="true" w:anchor="bookmark507">
            <w:r>
              <w:rPr>
                <w:rFonts w:ascii="SimHei" w:hAnsi="SimHei" w:eastAsia="SimHei" w:cs="SimHei"/>
                <w:sz w:val="21"/>
                <w:szCs w:val="21"/>
                <w:spacing w:val="9"/>
              </w:rPr>
              <w:t>第三百九十九条</w:t>
            </w:r>
            <w:r>
              <w:rPr>
                <w:rFonts w:ascii="SimHei" w:hAnsi="SimHei" w:eastAsia="SimHei" w:cs="SimHei"/>
                <w:sz w:val="21"/>
                <w:szCs w:val="21"/>
                <w:spacing w:val="9"/>
              </w:rPr>
              <w:t xml:space="preserve"> </w:t>
            </w:r>
            <w:r>
              <w:rPr>
                <w:rFonts w:ascii="SimHei" w:hAnsi="SimHei" w:eastAsia="SimHei" w:cs="SimHei"/>
                <w:sz w:val="21"/>
                <w:szCs w:val="21"/>
                <w:spacing w:val="9"/>
              </w:rPr>
              <w:t>开展人类辅助生殖技术的医疗机构擅自进行性别选择的</w:t>
            </w:r>
            <w:r>
              <w:rPr>
                <w:rFonts w:ascii="SimHei" w:hAnsi="SimHei" w:eastAsia="SimHei" w:cs="SimHei"/>
                <w:sz w:val="21"/>
                <w:szCs w:val="21"/>
                <w:spacing w:val="-90"/>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469</w:t>
            </w:r>
          </w:hyperlink>
        </w:p>
        <w:p>
          <w:pPr>
            <w:pStyle w:val="BodyText"/>
            <w:spacing w:line="268" w:lineRule="auto"/>
            <w:rPr/>
          </w:pPr>
          <w:r/>
        </w:p>
        <w:p>
          <w:pPr>
            <w:pStyle w:val="BodyText"/>
            <w:spacing w:line="269" w:lineRule="auto"/>
            <w:rPr/>
          </w:pPr>
          <w:r/>
        </w:p>
        <w:p>
          <w:pPr>
            <w:ind w:left="866"/>
            <w:spacing w:before="69" w:line="221" w:lineRule="auto"/>
            <w:tabs>
              <w:tab w:val="right" w:leader="dot" w:pos="13888"/>
            </w:tabs>
            <w:rPr>
              <w:rFonts w:ascii="Times New Roman" w:hAnsi="Times New Roman" w:eastAsia="Times New Roman" w:cs="Times New Roman"/>
              <w:sz w:val="21"/>
              <w:szCs w:val="21"/>
            </w:rPr>
          </w:pPr>
          <w:hyperlink w:history="true" w:anchor="bookmark508">
            <w:r>
              <w:rPr>
                <w:rFonts w:ascii="SimHei" w:hAnsi="SimHei" w:eastAsia="SimHei" w:cs="SimHei"/>
                <w:sz w:val="21"/>
                <w:szCs w:val="21"/>
                <w:spacing w:val="10"/>
              </w:rPr>
              <w:t>第四百条</w:t>
            </w:r>
            <w:r>
              <w:rPr>
                <w:rFonts w:ascii="SimHei" w:hAnsi="SimHei" w:eastAsia="SimHei" w:cs="SimHei"/>
                <w:sz w:val="21"/>
                <w:szCs w:val="21"/>
                <w:spacing w:val="10"/>
              </w:rPr>
              <w:t xml:space="preserve"> </w:t>
            </w:r>
            <w:r>
              <w:rPr>
                <w:rFonts w:ascii="SimHei" w:hAnsi="SimHei" w:eastAsia="SimHei" w:cs="SimHei"/>
                <w:sz w:val="21"/>
                <w:szCs w:val="21"/>
                <w:spacing w:val="10"/>
              </w:rPr>
              <w:t>开展人类辅助生殖技术的医疗机构实施人类辅助生殖技术档案不健全的</w:t>
            </w:r>
            <w:r>
              <w:rPr>
                <w:rFonts w:ascii="SimHei" w:hAnsi="SimHei" w:eastAsia="SimHei" w:cs="SimHei"/>
                <w:sz w:val="21"/>
                <w:szCs w:val="21"/>
                <w:spacing w:val="-92"/>
              </w:rPr>
              <w:t xml:space="preserve"> </w:t>
            </w:r>
            <w:r>
              <w:rPr>
                <w:rFonts w:ascii="SimHei" w:hAnsi="SimHei" w:eastAsia="SimHei" w:cs="SimHei"/>
                <w:sz w:val="21"/>
                <w:szCs w:val="21"/>
              </w:rPr>
              <w:tab/>
            </w:r>
            <w:r>
              <w:rPr>
                <w:rFonts w:ascii="SimHei" w:hAnsi="SimHei" w:eastAsia="SimHei" w:cs="SimHei"/>
                <w:sz w:val="21"/>
                <w:szCs w:val="21"/>
                <w:spacing w:val="-32"/>
              </w:rPr>
              <w:t xml:space="preserve"> </w:t>
            </w:r>
            <w:r>
              <w:rPr>
                <w:rFonts w:ascii="Times New Roman" w:hAnsi="Times New Roman" w:eastAsia="Times New Roman" w:cs="Times New Roman"/>
                <w:sz w:val="21"/>
                <w:szCs w:val="21"/>
                <w:spacing w:val="-1"/>
              </w:rPr>
              <w:t>470</w:t>
            </w:r>
          </w:hyperlink>
        </w:p>
        <w:p>
          <w:pPr>
            <w:pStyle w:val="BodyText"/>
            <w:spacing w:line="467" w:lineRule="auto"/>
            <w:rPr/>
          </w:pPr>
          <w:r/>
        </w:p>
        <w:p>
          <w:pPr>
            <w:ind w:left="866"/>
            <w:spacing w:before="68" w:line="221" w:lineRule="auto"/>
            <w:tabs>
              <w:tab w:val="right" w:leader="dot" w:pos="13908"/>
            </w:tabs>
            <w:rPr>
              <w:rFonts w:ascii="Times New Roman" w:hAnsi="Times New Roman" w:eastAsia="Times New Roman" w:cs="Times New Roman"/>
              <w:sz w:val="21"/>
              <w:szCs w:val="21"/>
            </w:rPr>
          </w:pPr>
          <w:hyperlink w:history="true" w:anchor="bookmark509">
            <w:r>
              <w:rPr>
                <w:rFonts w:ascii="SimHei" w:hAnsi="SimHei" w:eastAsia="SimHei" w:cs="SimHei"/>
                <w:sz w:val="21"/>
                <w:szCs w:val="21"/>
                <w:spacing w:val="9"/>
              </w:rPr>
              <w:t>第四百零一条</w:t>
            </w:r>
            <w:r>
              <w:rPr>
                <w:rFonts w:ascii="SimHei" w:hAnsi="SimHei" w:eastAsia="SimHei" w:cs="SimHei"/>
                <w:sz w:val="21"/>
                <w:szCs w:val="21"/>
                <w:spacing w:val="9"/>
              </w:rPr>
              <w:t xml:space="preserve"> </w:t>
            </w:r>
            <w:r>
              <w:rPr>
                <w:rFonts w:ascii="SimHei" w:hAnsi="SimHei" w:eastAsia="SimHei" w:cs="SimHei"/>
                <w:sz w:val="21"/>
                <w:szCs w:val="21"/>
                <w:spacing w:val="9"/>
              </w:rPr>
              <w:t>开展人类辅助生殖技术的医疗机构的技术质量经指定技术评估机构检查不合格的</w:t>
            </w:r>
            <w:r>
              <w:rPr>
                <w:rFonts w:ascii="SimHei" w:hAnsi="SimHei" w:eastAsia="SimHei" w:cs="SimHei"/>
                <w:sz w:val="21"/>
                <w:szCs w:val="21"/>
                <w:spacing w:val="-89"/>
              </w:rPr>
              <w:t xml:space="preserve"> </w:t>
            </w:r>
            <w:r>
              <w:rPr>
                <w:rFonts w:ascii="SimHei" w:hAnsi="SimHei" w:eastAsia="SimHei" w:cs="SimHei"/>
                <w:sz w:val="21"/>
                <w:szCs w:val="21"/>
              </w:rPr>
              <w:tab/>
            </w:r>
            <w:r>
              <w:rPr>
                <w:rFonts w:ascii="SimHei" w:hAnsi="SimHei" w:eastAsia="SimHei" w:cs="SimHei"/>
                <w:sz w:val="21"/>
                <w:szCs w:val="21"/>
                <w:spacing w:val="-32"/>
              </w:rPr>
              <w:t xml:space="preserve"> </w:t>
            </w:r>
            <w:r>
              <w:rPr>
                <w:rFonts w:ascii="Times New Roman" w:hAnsi="Times New Roman" w:eastAsia="Times New Roman" w:cs="Times New Roman"/>
                <w:sz w:val="21"/>
                <w:szCs w:val="21"/>
                <w:spacing w:val="-1"/>
              </w:rPr>
              <w:t>471</w:t>
            </w:r>
          </w:hyperlink>
        </w:p>
        <w:p>
          <w:pPr>
            <w:pStyle w:val="BodyText"/>
            <w:spacing w:line="248" w:lineRule="auto"/>
            <w:rPr/>
          </w:pPr>
          <w:r/>
        </w:p>
        <w:p>
          <w:pPr>
            <w:pStyle w:val="BodyText"/>
            <w:spacing w:line="249" w:lineRule="auto"/>
            <w:rPr/>
          </w:pPr>
          <w:r/>
        </w:p>
        <w:p>
          <w:pPr>
            <w:ind w:left="866"/>
            <w:spacing w:before="69" w:line="221" w:lineRule="auto"/>
            <w:tabs>
              <w:tab w:val="right" w:leader="dot" w:pos="13968"/>
            </w:tabs>
            <w:rPr>
              <w:rFonts w:ascii="Times New Roman" w:hAnsi="Times New Roman" w:eastAsia="Times New Roman" w:cs="Times New Roman"/>
              <w:sz w:val="21"/>
              <w:szCs w:val="21"/>
            </w:rPr>
          </w:pPr>
          <w:hyperlink w:history="true" w:anchor="bookmark510">
            <w:r>
              <w:rPr>
                <w:rFonts w:ascii="SimHei" w:hAnsi="SimHei" w:eastAsia="SimHei" w:cs="SimHei"/>
                <w:sz w:val="21"/>
                <w:szCs w:val="21"/>
                <w:spacing w:val="9"/>
              </w:rPr>
              <w:t>第四百零二条</w:t>
            </w:r>
            <w:r>
              <w:rPr>
                <w:rFonts w:ascii="SimHei" w:hAnsi="SimHei" w:eastAsia="SimHei" w:cs="SimHei"/>
                <w:sz w:val="21"/>
                <w:szCs w:val="21"/>
                <w:spacing w:val="9"/>
              </w:rPr>
              <w:t xml:space="preserve"> </w:t>
            </w:r>
            <w:r>
              <w:rPr>
                <w:rFonts w:ascii="SimHei" w:hAnsi="SimHei" w:eastAsia="SimHei" w:cs="SimHei"/>
                <w:sz w:val="21"/>
                <w:szCs w:val="21"/>
                <w:spacing w:val="9"/>
              </w:rPr>
              <w:t>开展人类辅助生殖技术的医疗机构违反其他本办法规定的行为</w:t>
            </w:r>
            <w:r>
              <w:rPr>
                <w:rFonts w:ascii="SimHei" w:hAnsi="SimHei" w:eastAsia="SimHei" w:cs="SimHei"/>
                <w:sz w:val="21"/>
                <w:szCs w:val="21"/>
                <w:spacing w:val="-87"/>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472</w:t>
            </w:r>
          </w:hyperlink>
        </w:p>
        <w:p>
          <w:pPr>
            <w:pStyle w:val="BodyText"/>
            <w:spacing w:line="315" w:lineRule="auto"/>
            <w:rPr/>
          </w:pPr>
          <w:r/>
        </w:p>
        <w:p>
          <w:pPr>
            <w:ind w:left="536"/>
            <w:spacing w:before="68" w:line="223" w:lineRule="auto"/>
            <w:tabs>
              <w:tab w:val="right" w:leader="dot" w:pos="13898"/>
            </w:tabs>
            <w:rPr>
              <w:rFonts w:ascii="Times New Roman" w:hAnsi="Times New Roman" w:eastAsia="Times New Roman" w:cs="Times New Roman"/>
              <w:sz w:val="21"/>
              <w:szCs w:val="21"/>
            </w:rPr>
          </w:pPr>
          <w:hyperlink w:history="true" w:anchor="bookmark511">
            <w:r>
              <w:rPr>
                <w:rFonts w:ascii="KaiTi" w:hAnsi="KaiTi" w:eastAsia="KaiTi" w:cs="KaiTi"/>
                <w:sz w:val="21"/>
                <w:szCs w:val="21"/>
                <w:spacing w:val="-5"/>
              </w:rPr>
              <w:t>(</w:t>
            </w:r>
            <w:r>
              <w:rPr>
                <w:rFonts w:ascii="KaiTi" w:hAnsi="KaiTi" w:eastAsia="KaiTi" w:cs="KaiTi"/>
                <w:sz w:val="21"/>
                <w:szCs w:val="21"/>
                <w:spacing w:val="-15"/>
              </w:rPr>
              <w:t xml:space="preserve"> </w:t>
            </w:r>
            <w:r>
              <w:rPr>
                <w:rFonts w:ascii="KaiTi" w:hAnsi="KaiTi" w:eastAsia="KaiTi" w:cs="KaiTi"/>
                <w:sz w:val="21"/>
                <w:szCs w:val="21"/>
                <w:spacing w:val="-5"/>
              </w:rPr>
              <w:t>二</w:t>
            </w:r>
            <w:r>
              <w:rPr>
                <w:rFonts w:ascii="KaiTi" w:hAnsi="KaiTi" w:eastAsia="KaiTi" w:cs="KaiTi"/>
                <w:sz w:val="21"/>
                <w:szCs w:val="21"/>
                <w:spacing w:val="-31"/>
              </w:rPr>
              <w:t xml:space="preserve"> </w:t>
            </w:r>
            <w:r>
              <w:rPr>
                <w:rFonts w:ascii="KaiTi" w:hAnsi="KaiTi" w:eastAsia="KaiTi" w:cs="KaiTi"/>
                <w:sz w:val="21"/>
                <w:szCs w:val="21"/>
                <w:spacing w:val="-5"/>
              </w:rPr>
              <w:t>)</w:t>
            </w:r>
            <w:r>
              <w:rPr>
                <w:rFonts w:ascii="KaiTi" w:hAnsi="KaiTi" w:eastAsia="KaiTi" w:cs="KaiTi"/>
                <w:sz w:val="21"/>
                <w:szCs w:val="21"/>
                <w:spacing w:val="-46"/>
              </w:rPr>
              <w:t xml:space="preserve"> </w:t>
            </w:r>
            <w:r>
              <w:rPr>
                <w:rFonts w:ascii="KaiTi" w:hAnsi="KaiTi" w:eastAsia="KaiTi" w:cs="KaiTi"/>
                <w:sz w:val="21"/>
                <w:szCs w:val="21"/>
                <w:spacing w:val="-5"/>
              </w:rPr>
              <w:t>《产前诊断技术管理办法》</w:t>
            </w:r>
            <w:r>
              <w:rPr>
                <w:rFonts w:ascii="KaiTi" w:hAnsi="KaiTi" w:eastAsia="KaiTi" w:cs="KaiTi"/>
                <w:sz w:val="21"/>
                <w:szCs w:val="21"/>
                <w:spacing w:val="-74"/>
              </w:rPr>
              <w:t xml:space="preserve"> </w:t>
            </w:r>
            <w:r>
              <w:rPr>
                <w:rFonts w:ascii="KaiTi" w:hAnsi="KaiTi" w:eastAsia="KaiTi" w:cs="KaiTi"/>
                <w:sz w:val="21"/>
                <w:szCs w:val="21"/>
              </w:rPr>
              <w:tab/>
            </w:r>
            <w:r>
              <w:rPr>
                <w:rFonts w:ascii="KaiTi" w:hAnsi="KaiTi" w:eastAsia="KaiTi" w:cs="KaiTi"/>
                <w:sz w:val="21"/>
                <w:szCs w:val="21"/>
                <w:spacing w:val="-22"/>
              </w:rPr>
              <w:t xml:space="preserve"> </w:t>
            </w:r>
            <w:r>
              <w:rPr>
                <w:rFonts w:ascii="Times New Roman" w:hAnsi="Times New Roman" w:eastAsia="Times New Roman" w:cs="Times New Roman"/>
                <w:sz w:val="21"/>
                <w:szCs w:val="21"/>
                <w:spacing w:val="-1"/>
              </w:rPr>
              <w:t>472</w:t>
            </w:r>
          </w:hyperlink>
        </w:p>
        <w:p>
          <w:pPr>
            <w:pStyle w:val="BodyText"/>
            <w:spacing w:line="348" w:lineRule="auto"/>
            <w:rPr/>
          </w:pPr>
          <w:r/>
        </w:p>
        <w:p>
          <w:pPr>
            <w:ind w:left="866"/>
            <w:spacing w:before="69" w:line="219" w:lineRule="auto"/>
            <w:tabs>
              <w:tab w:val="right" w:leader="dot" w:pos="13908"/>
            </w:tabs>
            <w:rPr>
              <w:rFonts w:ascii="Times New Roman" w:hAnsi="Times New Roman" w:eastAsia="Times New Roman" w:cs="Times New Roman"/>
              <w:sz w:val="21"/>
              <w:szCs w:val="21"/>
            </w:rPr>
          </w:pPr>
          <w:hyperlink w:history="true" w:anchor="bookmark512">
            <w:r>
              <w:rPr>
                <w:rFonts w:ascii="SimHei" w:hAnsi="SimHei" w:eastAsia="SimHei" w:cs="SimHei"/>
                <w:sz w:val="21"/>
                <w:szCs w:val="21"/>
                <w:spacing w:val="8"/>
              </w:rPr>
              <w:t>第四百零三条</w:t>
            </w:r>
            <w:r>
              <w:rPr>
                <w:rFonts w:ascii="SimHei" w:hAnsi="SimHei" w:eastAsia="SimHei" w:cs="SimHei"/>
                <w:sz w:val="21"/>
                <w:szCs w:val="21"/>
                <w:spacing w:val="50"/>
              </w:rPr>
              <w:t xml:space="preserve"> </w:t>
            </w:r>
            <w:r>
              <w:rPr>
                <w:rFonts w:ascii="SimHei" w:hAnsi="SimHei" w:eastAsia="SimHei" w:cs="SimHei"/>
                <w:sz w:val="21"/>
                <w:szCs w:val="21"/>
                <w:spacing w:val="8"/>
              </w:rPr>
              <w:t>医疗保健机构未取得产前诊断执业许可或超越许可范围擅自从事产前诊断的</w:t>
            </w:r>
            <w:r>
              <w:rPr>
                <w:rFonts w:ascii="SimHei" w:hAnsi="SimHei" w:eastAsia="SimHei" w:cs="SimHei"/>
                <w:sz w:val="21"/>
                <w:szCs w:val="21"/>
                <w:spacing w:val="-94"/>
              </w:rPr>
              <w:t xml:space="preserve"> </w:t>
            </w:r>
            <w:r>
              <w:rPr>
                <w:rFonts w:ascii="SimHei" w:hAnsi="SimHei" w:eastAsia="SimHei" w:cs="SimHei"/>
                <w:sz w:val="21"/>
                <w:szCs w:val="21"/>
              </w:rPr>
              <w:tab/>
            </w:r>
            <w:r>
              <w:rPr>
                <w:rFonts w:ascii="SimHei" w:hAnsi="SimHei" w:eastAsia="SimHei" w:cs="SimHei"/>
                <w:sz w:val="21"/>
                <w:szCs w:val="21"/>
                <w:spacing w:val="-12"/>
              </w:rPr>
              <w:t xml:space="preserve"> </w:t>
            </w:r>
            <w:r>
              <w:rPr>
                <w:rFonts w:ascii="Times New Roman" w:hAnsi="Times New Roman" w:eastAsia="Times New Roman" w:cs="Times New Roman"/>
                <w:sz w:val="21"/>
                <w:szCs w:val="21"/>
                <w:spacing w:val="-1"/>
              </w:rPr>
              <w:t>472</w:t>
            </w:r>
          </w:hyperlink>
        </w:p>
        <w:p>
          <w:pPr>
            <w:pStyle w:val="BodyText"/>
            <w:spacing w:line="305" w:lineRule="auto"/>
            <w:rPr/>
          </w:pPr>
          <w:r/>
        </w:p>
        <w:p>
          <w:pPr>
            <w:ind w:left="536"/>
            <w:spacing w:before="69" w:line="221" w:lineRule="auto"/>
            <w:tabs>
              <w:tab w:val="right" w:leader="dot" w:pos="13868"/>
            </w:tabs>
            <w:rPr>
              <w:rFonts w:ascii="Times New Roman" w:hAnsi="Times New Roman" w:eastAsia="Times New Roman" w:cs="Times New Roman"/>
              <w:sz w:val="21"/>
              <w:szCs w:val="21"/>
            </w:rPr>
          </w:pPr>
          <w:hyperlink w:history="true" w:anchor="bookmark513">
            <w:r>
              <w:rPr>
                <w:rFonts w:ascii="KaiTi" w:hAnsi="KaiTi" w:eastAsia="KaiTi" w:cs="KaiTi"/>
                <w:sz w:val="21"/>
                <w:szCs w:val="21"/>
                <w:spacing w:val="-5"/>
              </w:rPr>
              <w:t>(</w:t>
            </w:r>
            <w:r>
              <w:rPr>
                <w:rFonts w:ascii="KaiTi" w:hAnsi="KaiTi" w:eastAsia="KaiTi" w:cs="KaiTi"/>
                <w:sz w:val="21"/>
                <w:szCs w:val="21"/>
                <w:spacing w:val="-10"/>
              </w:rPr>
              <w:t xml:space="preserve"> </w:t>
            </w:r>
            <w:r>
              <w:rPr>
                <w:rFonts w:ascii="KaiTi" w:hAnsi="KaiTi" w:eastAsia="KaiTi" w:cs="KaiTi"/>
                <w:sz w:val="21"/>
                <w:szCs w:val="21"/>
                <w:spacing w:val="-5"/>
              </w:rPr>
              <w:t>三</w:t>
            </w:r>
            <w:r>
              <w:rPr>
                <w:rFonts w:ascii="KaiTi" w:hAnsi="KaiTi" w:eastAsia="KaiTi" w:cs="KaiTi"/>
                <w:sz w:val="21"/>
                <w:szCs w:val="21"/>
                <w:spacing w:val="-22"/>
              </w:rPr>
              <w:t xml:space="preserve"> </w:t>
            </w:r>
            <w:r>
              <w:rPr>
                <w:rFonts w:ascii="KaiTi" w:hAnsi="KaiTi" w:eastAsia="KaiTi" w:cs="KaiTi"/>
                <w:sz w:val="21"/>
                <w:szCs w:val="21"/>
                <w:spacing w:val="-5"/>
              </w:rPr>
              <w:t>)</w:t>
            </w:r>
            <w:r>
              <w:rPr>
                <w:rFonts w:ascii="KaiTi" w:hAnsi="KaiTi" w:eastAsia="KaiTi" w:cs="KaiTi"/>
                <w:sz w:val="21"/>
                <w:szCs w:val="21"/>
                <w:spacing w:val="-54"/>
              </w:rPr>
              <w:t xml:space="preserve"> </w:t>
            </w:r>
            <w:r>
              <w:rPr>
                <w:rFonts w:ascii="KaiTi" w:hAnsi="KaiTi" w:eastAsia="KaiTi" w:cs="KaiTi"/>
                <w:sz w:val="21"/>
                <w:szCs w:val="21"/>
                <w:spacing w:val="-5"/>
              </w:rPr>
              <w:t>《人类精子库管理办法》</w:t>
            </w:r>
            <w:r>
              <w:rPr>
                <w:rFonts w:ascii="KaiTi" w:hAnsi="KaiTi" w:eastAsia="KaiTi" w:cs="KaiTi"/>
                <w:sz w:val="21"/>
                <w:szCs w:val="21"/>
                <w:spacing w:val="-75"/>
              </w:rPr>
              <w:t xml:space="preserve"> </w:t>
            </w:r>
            <w:r>
              <w:rPr>
                <w:rFonts w:ascii="KaiTi" w:hAnsi="KaiTi" w:eastAsia="KaiTi" w:cs="KaiTi"/>
                <w:sz w:val="21"/>
                <w:szCs w:val="21"/>
              </w:rPr>
              <w:tab/>
            </w:r>
            <w:r>
              <w:rPr>
                <w:rFonts w:ascii="KaiTi" w:hAnsi="KaiTi" w:eastAsia="KaiTi" w:cs="KaiTi"/>
                <w:sz w:val="21"/>
                <w:szCs w:val="21"/>
                <w:spacing w:val="-62"/>
              </w:rPr>
              <w:t xml:space="preserve"> </w:t>
            </w:r>
            <w:r>
              <w:rPr>
                <w:rFonts w:ascii="Times New Roman" w:hAnsi="Times New Roman" w:eastAsia="Times New Roman" w:cs="Times New Roman"/>
                <w:sz w:val="21"/>
                <w:szCs w:val="21"/>
                <w:spacing w:val="-1"/>
              </w:rPr>
              <w:t>474</w:t>
            </w:r>
          </w:hyperlink>
        </w:p>
      </w:sdtContent>
    </w:sdt>
    <w:p>
      <w:pPr>
        <w:spacing w:line="221" w:lineRule="auto"/>
        <w:sectPr>
          <w:footerReference w:type="default" r:id="rId48"/>
          <w:pgSz w:w="16830" w:h="11900"/>
          <w:pgMar w:top="1011" w:right="1428" w:bottom="1139" w:left="1433" w:header="0" w:footer="778" w:gutter="0"/>
        </w:sectPr>
        <w:rPr>
          <w:rFonts w:ascii="Times New Roman" w:hAnsi="Times New Roman" w:eastAsia="Times New Roman" w:cs="Times New Roman"/>
          <w:sz w:val="21"/>
          <w:szCs w:val="21"/>
        </w:rPr>
      </w:pPr>
    </w:p>
    <w:p>
      <w:pPr>
        <w:pStyle w:val="BodyText"/>
        <w:spacing w:line="307" w:lineRule="auto"/>
        <w:rPr/>
      </w:pPr>
      <w:r/>
    </w:p>
    <w:p>
      <w:pPr>
        <w:pStyle w:val="BodyText"/>
        <w:spacing w:line="307" w:lineRule="auto"/>
        <w:rPr/>
      </w:pPr>
      <w:r/>
    </w:p>
    <w:p>
      <w:pPr>
        <w:pStyle w:val="BodyText"/>
        <w:spacing w:line="308"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317"/>
            <w:spacing w:before="68" w:line="213" w:lineRule="auto"/>
            <w:tabs>
              <w:tab w:val="right" w:leader="dot" w:pos="13228"/>
            </w:tabs>
            <w:rPr>
              <w:rFonts w:ascii="Times New Roman" w:hAnsi="Times New Roman" w:eastAsia="Times New Roman" w:cs="Times New Roman"/>
              <w:sz w:val="21"/>
              <w:szCs w:val="21"/>
            </w:rPr>
          </w:pPr>
          <w:hyperlink w:history="true" w:anchor="bookmark514">
            <w:r>
              <w:rPr>
                <w:rFonts w:ascii="SimHei" w:hAnsi="SimHei" w:eastAsia="SimHei" w:cs="SimHei"/>
                <w:sz w:val="21"/>
                <w:szCs w:val="21"/>
                <w:spacing w:val="9"/>
              </w:rPr>
              <w:t>第四百零四条</w:t>
            </w:r>
            <w:r>
              <w:rPr>
                <w:rFonts w:ascii="SimHei" w:hAnsi="SimHei" w:eastAsia="SimHei" w:cs="SimHei"/>
                <w:sz w:val="21"/>
                <w:szCs w:val="21"/>
                <w:spacing w:val="9"/>
              </w:rPr>
              <w:t xml:space="preserve"> </w:t>
            </w:r>
            <w:r>
              <w:rPr>
                <w:rFonts w:ascii="SimHei" w:hAnsi="SimHei" w:eastAsia="SimHei" w:cs="SimHei"/>
                <w:sz w:val="21"/>
                <w:szCs w:val="21"/>
                <w:spacing w:val="9"/>
              </w:rPr>
              <w:t>设置人类精子库的医疗机构采集精液前，未按规定对供精者进行健康检查的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474</w:t>
            </w:r>
          </w:hyperlink>
        </w:p>
        <w:p>
          <w:pPr>
            <w:pStyle w:val="BodyText"/>
            <w:spacing w:line="257" w:lineRule="auto"/>
            <w:rPr/>
          </w:pPr>
          <w:r/>
        </w:p>
        <w:p>
          <w:pPr>
            <w:pStyle w:val="BodyText"/>
            <w:spacing w:line="258" w:lineRule="auto"/>
            <w:rPr/>
          </w:pPr>
          <w:r/>
        </w:p>
        <w:p>
          <w:pPr>
            <w:ind w:left="317"/>
            <w:spacing w:before="68" w:line="221" w:lineRule="auto"/>
            <w:tabs>
              <w:tab w:val="right" w:leader="dot" w:pos="13378"/>
            </w:tabs>
            <w:rPr>
              <w:rFonts w:ascii="Times New Roman" w:hAnsi="Times New Roman" w:eastAsia="Times New Roman" w:cs="Times New Roman"/>
              <w:sz w:val="21"/>
              <w:szCs w:val="21"/>
            </w:rPr>
          </w:pPr>
          <w:hyperlink w:history="true" w:anchor="bookmark515">
            <w:r>
              <w:rPr>
                <w:rFonts w:ascii="SimHei" w:hAnsi="SimHei" w:eastAsia="SimHei" w:cs="SimHei"/>
                <w:sz w:val="21"/>
                <w:szCs w:val="21"/>
                <w:spacing w:val="9"/>
              </w:rPr>
              <w:t>第四百零五条</w:t>
            </w:r>
            <w:r>
              <w:rPr>
                <w:rFonts w:ascii="SimHei" w:hAnsi="SimHei" w:eastAsia="SimHei" w:cs="SimHei"/>
                <w:sz w:val="21"/>
                <w:szCs w:val="21"/>
                <w:spacing w:val="9"/>
              </w:rPr>
              <w:t xml:space="preserve"> </w:t>
            </w:r>
            <w:r>
              <w:rPr>
                <w:rFonts w:ascii="SimHei" w:hAnsi="SimHei" w:eastAsia="SimHei" w:cs="SimHei"/>
                <w:sz w:val="21"/>
                <w:szCs w:val="21"/>
                <w:spacing w:val="9"/>
              </w:rPr>
              <w:t>设置人类精子库的医疗机构向其他医疗机构提供未经检验的精子的</w:t>
            </w:r>
            <w:r>
              <w:rPr>
                <w:rFonts w:ascii="SimHei" w:hAnsi="SimHei" w:eastAsia="SimHei" w:cs="SimHei"/>
                <w:sz w:val="21"/>
                <w:szCs w:val="21"/>
                <w:spacing w:val="-86"/>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474</w:t>
            </w:r>
          </w:hyperlink>
        </w:p>
        <w:p>
          <w:pPr>
            <w:pStyle w:val="BodyText"/>
            <w:spacing w:line="253" w:lineRule="auto"/>
            <w:rPr/>
          </w:pPr>
          <w:r/>
        </w:p>
        <w:p>
          <w:pPr>
            <w:pStyle w:val="BodyText"/>
            <w:spacing w:line="254" w:lineRule="auto"/>
            <w:rPr/>
          </w:pPr>
          <w:r/>
        </w:p>
        <w:p>
          <w:pPr>
            <w:ind w:left="317"/>
            <w:spacing w:before="68" w:line="221" w:lineRule="auto"/>
            <w:tabs>
              <w:tab w:val="right" w:leader="dot" w:pos="13388"/>
            </w:tabs>
            <w:rPr>
              <w:rFonts w:ascii="Times New Roman" w:hAnsi="Times New Roman" w:eastAsia="Times New Roman" w:cs="Times New Roman"/>
              <w:sz w:val="21"/>
              <w:szCs w:val="21"/>
            </w:rPr>
          </w:pPr>
          <w:hyperlink w:history="true" w:anchor="bookmark516">
            <w:r>
              <w:rPr>
                <w:rFonts w:ascii="SimHei" w:hAnsi="SimHei" w:eastAsia="SimHei" w:cs="SimHei"/>
                <w:sz w:val="21"/>
                <w:szCs w:val="21"/>
                <w:spacing w:val="8"/>
              </w:rPr>
              <w:t>第四百零六条</w:t>
            </w:r>
            <w:r>
              <w:rPr>
                <w:rFonts w:ascii="SimHei" w:hAnsi="SimHei" w:eastAsia="SimHei" w:cs="SimHei"/>
                <w:sz w:val="21"/>
                <w:szCs w:val="21"/>
                <w:spacing w:val="8"/>
              </w:rPr>
              <w:t xml:space="preserve"> </w:t>
            </w:r>
            <w:r>
              <w:rPr>
                <w:rFonts w:ascii="SimHei" w:hAnsi="SimHei" w:eastAsia="SimHei" w:cs="SimHei"/>
                <w:sz w:val="21"/>
                <w:szCs w:val="21"/>
                <w:spacing w:val="8"/>
              </w:rPr>
              <w:t>设置人类精子库的医疗机构向不具有人类辅助生殖技术批准证书的机构提供</w:t>
            </w:r>
            <w:r>
              <w:rPr>
                <w:rFonts w:ascii="SimHei" w:hAnsi="SimHei" w:eastAsia="SimHei" w:cs="SimHei"/>
                <w:sz w:val="21"/>
                <w:szCs w:val="21"/>
                <w:spacing w:val="7"/>
              </w:rPr>
              <w:t>精子的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475</w:t>
            </w:r>
          </w:hyperlink>
        </w:p>
        <w:p>
          <w:pPr>
            <w:pStyle w:val="BodyText"/>
            <w:spacing w:line="248" w:lineRule="auto"/>
            <w:rPr/>
          </w:pPr>
          <w:r/>
        </w:p>
        <w:p>
          <w:pPr>
            <w:pStyle w:val="BodyText"/>
            <w:spacing w:line="249" w:lineRule="auto"/>
            <w:rPr/>
          </w:pPr>
          <w:r/>
        </w:p>
        <w:p>
          <w:pPr>
            <w:ind w:left="317"/>
            <w:spacing w:before="68" w:line="221" w:lineRule="auto"/>
            <w:tabs>
              <w:tab w:val="right" w:leader="dot" w:pos="13378"/>
            </w:tabs>
            <w:rPr>
              <w:rFonts w:ascii="Times New Roman" w:hAnsi="Times New Roman" w:eastAsia="Times New Roman" w:cs="Times New Roman"/>
              <w:sz w:val="21"/>
              <w:szCs w:val="21"/>
            </w:rPr>
          </w:pPr>
          <w:hyperlink w:history="true" w:anchor="bookmark517">
            <w:r>
              <w:rPr>
                <w:rFonts w:ascii="SimHei" w:hAnsi="SimHei" w:eastAsia="SimHei" w:cs="SimHei"/>
                <w:sz w:val="21"/>
                <w:szCs w:val="21"/>
                <w:spacing w:val="10"/>
              </w:rPr>
              <w:t>第四百零七条</w:t>
            </w:r>
            <w:r>
              <w:rPr>
                <w:rFonts w:ascii="SimHei" w:hAnsi="SimHei" w:eastAsia="SimHei" w:cs="SimHei"/>
                <w:sz w:val="21"/>
                <w:szCs w:val="21"/>
                <w:spacing w:val="10"/>
              </w:rPr>
              <w:t xml:space="preserve"> </w:t>
            </w:r>
            <w:r>
              <w:rPr>
                <w:rFonts w:ascii="SimHei" w:hAnsi="SimHei" w:eastAsia="SimHei" w:cs="SimHei"/>
                <w:sz w:val="21"/>
                <w:szCs w:val="21"/>
                <w:spacing w:val="10"/>
              </w:rPr>
              <w:t>供精者档案不健全的</w:t>
            </w:r>
            <w:r>
              <w:rPr>
                <w:rFonts w:ascii="SimHei" w:hAnsi="SimHei" w:eastAsia="SimHei" w:cs="SimHei"/>
                <w:sz w:val="21"/>
                <w:szCs w:val="21"/>
                <w:spacing w:val="-82"/>
              </w:rPr>
              <w:t xml:space="preserve"> </w:t>
            </w:r>
            <w:r>
              <w:rPr>
                <w:rFonts w:ascii="SimHei" w:hAnsi="SimHei" w:eastAsia="SimHei" w:cs="SimHei"/>
                <w:sz w:val="21"/>
                <w:szCs w:val="21"/>
              </w:rPr>
              <w:tab/>
            </w:r>
            <w:r>
              <w:rPr>
                <w:rFonts w:ascii="SimHei" w:hAnsi="SimHei" w:eastAsia="SimHei" w:cs="SimHei"/>
                <w:sz w:val="21"/>
                <w:szCs w:val="21"/>
                <w:spacing w:val="-11"/>
              </w:rPr>
              <w:t xml:space="preserve"> </w:t>
            </w:r>
            <w:r>
              <w:rPr>
                <w:rFonts w:ascii="Times New Roman" w:hAnsi="Times New Roman" w:eastAsia="Times New Roman" w:cs="Times New Roman"/>
                <w:sz w:val="21"/>
                <w:szCs w:val="21"/>
                <w:spacing w:val="-1"/>
              </w:rPr>
              <w:t>476</w:t>
            </w:r>
          </w:hyperlink>
        </w:p>
        <w:p>
          <w:pPr>
            <w:pStyle w:val="BodyText"/>
            <w:spacing w:line="293" w:lineRule="auto"/>
            <w:rPr/>
          </w:pPr>
          <w:r/>
        </w:p>
        <w:p>
          <w:pPr>
            <w:pStyle w:val="BodyText"/>
            <w:spacing w:line="293" w:lineRule="auto"/>
            <w:rPr/>
          </w:pPr>
          <w:r/>
        </w:p>
        <w:p>
          <w:pPr>
            <w:ind w:left="327"/>
            <w:spacing w:before="69" w:line="221" w:lineRule="auto"/>
            <w:tabs>
              <w:tab w:val="right" w:leader="dot" w:pos="13253"/>
            </w:tabs>
            <w:rPr>
              <w:rFonts w:ascii="Times New Roman" w:hAnsi="Times New Roman" w:eastAsia="Times New Roman" w:cs="Times New Roman"/>
              <w:sz w:val="21"/>
              <w:szCs w:val="21"/>
            </w:rPr>
          </w:pPr>
          <w:hyperlink w:history="true" w:anchor="bookmark518">
            <w:r>
              <w:rPr>
                <w:rFonts w:ascii="SimHei" w:hAnsi="SimHei" w:eastAsia="SimHei" w:cs="SimHei"/>
                <w:sz w:val="21"/>
                <w:szCs w:val="21"/>
                <w:spacing w:val="9"/>
              </w:rPr>
              <w:t>第四百零八条</w:t>
            </w:r>
            <w:r>
              <w:rPr>
                <w:rFonts w:ascii="SimHei" w:hAnsi="SimHei" w:eastAsia="SimHei" w:cs="SimHei"/>
                <w:sz w:val="21"/>
                <w:szCs w:val="21"/>
                <w:spacing w:val="38"/>
              </w:rPr>
              <w:t xml:space="preserve"> </w:t>
            </w:r>
            <w:r>
              <w:rPr>
                <w:rFonts w:ascii="SimHei" w:hAnsi="SimHei" w:eastAsia="SimHei" w:cs="SimHei"/>
                <w:sz w:val="21"/>
                <w:szCs w:val="21"/>
                <w:spacing w:val="9"/>
              </w:rPr>
              <w:t>人类精子库中精子经评估机构检查质量不合格的</w:t>
            </w:r>
            <w:r>
              <w:rPr>
                <w:rFonts w:ascii="SimHei" w:hAnsi="SimHei" w:eastAsia="SimHei" w:cs="SimHei"/>
                <w:sz w:val="21"/>
                <w:szCs w:val="21"/>
              </w:rPr>
              <w:tab/>
            </w:r>
            <w:r>
              <w:rPr>
                <w:rFonts w:ascii="Times New Roman" w:hAnsi="Times New Roman" w:eastAsia="Times New Roman" w:cs="Times New Roman"/>
                <w:sz w:val="21"/>
                <w:szCs w:val="21"/>
                <w:spacing w:val="1"/>
              </w:rPr>
              <w:t>47</w:t>
            </w:r>
          </w:hyperlink>
        </w:p>
        <w:p>
          <w:pPr>
            <w:pStyle w:val="BodyText"/>
            <w:spacing w:line="417" w:lineRule="auto"/>
            <w:rPr/>
          </w:pPr>
          <w:r/>
        </w:p>
        <w:p>
          <w:pPr>
            <w:ind w:left="317"/>
            <w:spacing w:before="69" w:line="221" w:lineRule="auto"/>
            <w:tabs>
              <w:tab w:val="right" w:leader="dot" w:pos="13398"/>
            </w:tabs>
            <w:rPr>
              <w:rFonts w:ascii="Times New Roman" w:hAnsi="Times New Roman" w:eastAsia="Times New Roman" w:cs="Times New Roman"/>
              <w:sz w:val="21"/>
              <w:szCs w:val="21"/>
            </w:rPr>
          </w:pPr>
          <w:hyperlink w:history="true" w:anchor="bookmark519">
            <w:r>
              <w:rPr>
                <w:rFonts w:ascii="SimHei" w:hAnsi="SimHei" w:eastAsia="SimHei" w:cs="SimHei"/>
                <w:sz w:val="21"/>
                <w:szCs w:val="21"/>
                <w:spacing w:val="9"/>
              </w:rPr>
              <w:t>第四百零九条</w:t>
            </w:r>
            <w:r>
              <w:rPr>
                <w:rFonts w:ascii="SimHei" w:hAnsi="SimHei" w:eastAsia="SimHei" w:cs="SimHei"/>
                <w:sz w:val="21"/>
                <w:szCs w:val="21"/>
                <w:spacing w:val="9"/>
              </w:rPr>
              <w:t xml:space="preserve"> </w:t>
            </w:r>
            <w:r>
              <w:rPr>
                <w:rFonts w:ascii="SimHei" w:hAnsi="SimHei" w:eastAsia="SimHei" w:cs="SimHei"/>
                <w:sz w:val="21"/>
                <w:szCs w:val="21"/>
                <w:spacing w:val="9"/>
              </w:rPr>
              <w:t>违反《人类精子库管理办法》其他规定的行为</w:t>
            </w:r>
            <w:r>
              <w:rPr>
                <w:rFonts w:ascii="SimHei" w:hAnsi="SimHei" w:eastAsia="SimHei" w:cs="SimHei"/>
                <w:sz w:val="21"/>
                <w:szCs w:val="21"/>
                <w:spacing w:val="-74"/>
              </w:rPr>
              <w:t xml:space="preserve"> </w:t>
            </w:r>
            <w:r>
              <w:rPr>
                <w:rFonts w:ascii="SimHei" w:hAnsi="SimHei" w:eastAsia="SimHei" w:cs="SimHei"/>
                <w:sz w:val="21"/>
                <w:szCs w:val="21"/>
              </w:rPr>
              <w:tab/>
            </w:r>
            <w:r>
              <w:rPr>
                <w:rFonts w:ascii="Times New Roman" w:hAnsi="Times New Roman" w:eastAsia="Times New Roman" w:cs="Times New Roman"/>
                <w:sz w:val="21"/>
                <w:szCs w:val="21"/>
                <w:spacing w:val="6"/>
              </w:rPr>
              <w:t>478</w:t>
            </w:r>
          </w:hyperlink>
        </w:p>
        <w:p>
          <w:pPr>
            <w:pStyle w:val="BodyText"/>
            <w:spacing w:line="322" w:lineRule="auto"/>
            <w:rPr/>
          </w:pPr>
          <w:r/>
        </w:p>
        <w:p>
          <w:pPr>
            <w:spacing w:before="68" w:line="223" w:lineRule="auto"/>
            <w:tabs>
              <w:tab w:val="right" w:leader="dot" w:pos="13275"/>
            </w:tabs>
            <w:rPr>
              <w:rFonts w:ascii="Times New Roman" w:hAnsi="Times New Roman" w:eastAsia="Times New Roman" w:cs="Times New Roman"/>
              <w:sz w:val="21"/>
              <w:szCs w:val="21"/>
            </w:rPr>
          </w:pPr>
          <w:hyperlink w:history="true" w:anchor="bookmark520">
            <w:r>
              <w:rPr>
                <w:rFonts w:ascii="KaiTi" w:hAnsi="KaiTi" w:eastAsia="KaiTi" w:cs="KaiTi"/>
                <w:sz w:val="21"/>
                <w:szCs w:val="21"/>
                <w:b/>
                <w:bCs/>
                <w:spacing w:val="-7"/>
              </w:rPr>
              <w:t>(</w:t>
            </w:r>
            <w:r>
              <w:rPr>
                <w:rFonts w:ascii="KaiTi" w:hAnsi="KaiTi" w:eastAsia="KaiTi" w:cs="KaiTi"/>
                <w:sz w:val="21"/>
                <w:szCs w:val="21"/>
                <w:spacing w:val="-7"/>
              </w:rPr>
              <w:t xml:space="preserve"> </w:t>
            </w:r>
            <w:r>
              <w:rPr>
                <w:rFonts w:ascii="KaiTi" w:hAnsi="KaiTi" w:eastAsia="KaiTi" w:cs="KaiTi"/>
                <w:sz w:val="21"/>
                <w:szCs w:val="21"/>
                <w:b/>
                <w:bCs/>
                <w:spacing w:val="-7"/>
              </w:rPr>
              <w:t>四</w:t>
            </w:r>
            <w:r>
              <w:rPr>
                <w:rFonts w:ascii="KaiTi" w:hAnsi="KaiTi" w:eastAsia="KaiTi" w:cs="KaiTi"/>
                <w:sz w:val="21"/>
                <w:szCs w:val="21"/>
                <w:spacing w:val="-7"/>
              </w:rPr>
              <w:t xml:space="preserve"> </w:t>
            </w:r>
            <w:r>
              <w:rPr>
                <w:rFonts w:ascii="KaiTi" w:hAnsi="KaiTi" w:eastAsia="KaiTi" w:cs="KaiTi"/>
                <w:sz w:val="21"/>
                <w:szCs w:val="21"/>
                <w:b/>
                <w:bCs/>
                <w:spacing w:val="-7"/>
              </w:rPr>
              <w:t>)</w:t>
            </w:r>
            <w:r>
              <w:rPr>
                <w:rFonts w:ascii="KaiTi" w:hAnsi="KaiTi" w:eastAsia="KaiTi" w:cs="KaiTi"/>
                <w:sz w:val="21"/>
                <w:szCs w:val="21"/>
                <w:spacing w:val="-7"/>
              </w:rPr>
              <w:t xml:space="preserve"> </w:t>
            </w:r>
            <w:r>
              <w:rPr>
                <w:rFonts w:ascii="KaiTi" w:hAnsi="KaiTi" w:eastAsia="KaiTi" w:cs="KaiTi"/>
                <w:sz w:val="21"/>
                <w:szCs w:val="21"/>
                <w:b/>
                <w:bCs/>
                <w:spacing w:val="-7"/>
              </w:rPr>
              <w:t>《中华人民共和国人口与计划生育法》</w:t>
            </w:r>
            <w:r>
              <w:rPr>
                <w:rFonts w:ascii="KaiTi" w:hAnsi="KaiTi" w:eastAsia="KaiTi" w:cs="KaiTi"/>
                <w:sz w:val="21"/>
                <w:szCs w:val="21"/>
                <w:spacing w:val="-58"/>
              </w:rPr>
              <w:t xml:space="preserve"> </w:t>
            </w:r>
            <w:r>
              <w:rPr>
                <w:rFonts w:ascii="KaiTi" w:hAnsi="KaiTi" w:eastAsia="KaiTi" w:cs="KaiTi"/>
                <w:sz w:val="21"/>
                <w:szCs w:val="21"/>
                <w:color w:val="306070"/>
              </w:rPr>
              <w:tab/>
            </w:r>
            <w:r>
              <w:rPr>
                <w:rFonts w:ascii="Times New Roman" w:hAnsi="Times New Roman" w:eastAsia="Times New Roman" w:cs="Times New Roman"/>
                <w:sz w:val="21"/>
                <w:szCs w:val="21"/>
                <w:b/>
                <w:bCs/>
                <w:spacing w:val="2"/>
              </w:rPr>
              <w:t>478</w:t>
            </w:r>
          </w:hyperlink>
        </w:p>
        <w:p>
          <w:pPr>
            <w:pStyle w:val="BodyText"/>
            <w:spacing w:line="339" w:lineRule="auto"/>
            <w:rPr/>
          </w:pPr>
          <w:r/>
        </w:p>
        <w:p>
          <w:pPr>
            <w:ind w:left="320"/>
            <w:spacing w:before="69" w:line="222" w:lineRule="auto"/>
            <w:tabs>
              <w:tab w:val="right" w:leader="dot" w:pos="13395"/>
            </w:tabs>
            <w:rPr>
              <w:rFonts w:ascii="Times New Roman" w:hAnsi="Times New Roman" w:eastAsia="Times New Roman" w:cs="Times New Roman"/>
              <w:sz w:val="21"/>
              <w:szCs w:val="21"/>
            </w:rPr>
          </w:pPr>
          <w:hyperlink w:history="true" w:anchor="bookmark521">
            <w:r>
              <w:rPr>
                <w:rFonts w:ascii="SimHei" w:hAnsi="SimHei" w:eastAsia="SimHei" w:cs="SimHei"/>
                <w:sz w:val="21"/>
                <w:szCs w:val="21"/>
                <w:b/>
                <w:bCs/>
                <w:spacing w:val="8"/>
              </w:rPr>
              <w:t>第四百一十条</w:t>
            </w:r>
            <w:r>
              <w:rPr>
                <w:rFonts w:ascii="SimHei" w:hAnsi="SimHei" w:eastAsia="SimHei" w:cs="SimHei"/>
                <w:sz w:val="21"/>
                <w:szCs w:val="21"/>
                <w:spacing w:val="41"/>
              </w:rPr>
              <w:t xml:space="preserve"> </w:t>
            </w:r>
            <w:r>
              <w:rPr>
                <w:rFonts w:ascii="SimHei" w:hAnsi="SimHei" w:eastAsia="SimHei" w:cs="SimHei"/>
                <w:sz w:val="21"/>
                <w:szCs w:val="21"/>
                <w:b/>
                <w:bCs/>
                <w:spacing w:val="8"/>
              </w:rPr>
              <w:t>非法为他人施行计划生育手术的</w:t>
            </w:r>
            <w:r>
              <w:rPr>
                <w:rFonts w:ascii="SimHei" w:hAnsi="SimHei" w:eastAsia="SimHei" w:cs="SimHei"/>
                <w:sz w:val="21"/>
                <w:szCs w:val="21"/>
                <w:spacing w:val="-90"/>
              </w:rPr>
              <w:t xml:space="preserve"> </w:t>
            </w:r>
            <w:r>
              <w:rPr>
                <w:rFonts w:ascii="SimHei" w:hAnsi="SimHei" w:eastAsia="SimHei" w:cs="SimHei"/>
                <w:sz w:val="21"/>
                <w:szCs w:val="21"/>
              </w:rPr>
              <w:tab/>
            </w:r>
            <w:r>
              <w:rPr>
                <w:rFonts w:ascii="SimHei" w:hAnsi="SimHei" w:eastAsia="SimHei" w:cs="SimHei"/>
                <w:sz w:val="21"/>
                <w:szCs w:val="21"/>
                <w:spacing w:val="-76"/>
              </w:rPr>
              <w:t xml:space="preserve"> </w:t>
            </w:r>
            <w:r>
              <w:rPr>
                <w:rFonts w:ascii="Times New Roman" w:hAnsi="Times New Roman" w:eastAsia="Times New Roman" w:cs="Times New Roman"/>
                <w:sz w:val="21"/>
                <w:szCs w:val="21"/>
                <w:b/>
                <w:bCs/>
                <w:spacing w:val="-2"/>
              </w:rPr>
              <w:t>478</w:t>
            </w:r>
          </w:hyperlink>
        </w:p>
        <w:p>
          <w:pPr>
            <w:pStyle w:val="BodyText"/>
            <w:spacing w:line="247" w:lineRule="auto"/>
            <w:rPr/>
          </w:pPr>
          <w:r/>
        </w:p>
        <w:p>
          <w:pPr>
            <w:pStyle w:val="BodyText"/>
            <w:spacing w:line="248" w:lineRule="auto"/>
            <w:rPr/>
          </w:pPr>
          <w:r/>
        </w:p>
        <w:p>
          <w:pPr>
            <w:ind w:left="320"/>
            <w:spacing w:before="69" w:line="221" w:lineRule="auto"/>
            <w:tabs>
              <w:tab w:val="right" w:leader="dot" w:pos="13375"/>
            </w:tabs>
            <w:rPr>
              <w:rFonts w:ascii="Times New Roman" w:hAnsi="Times New Roman" w:eastAsia="Times New Roman" w:cs="Times New Roman"/>
              <w:sz w:val="21"/>
              <w:szCs w:val="21"/>
            </w:rPr>
          </w:pPr>
          <w:hyperlink w:history="true" w:anchor="bookmark522">
            <w:r>
              <w:rPr>
                <w:rFonts w:ascii="SimHei" w:hAnsi="SimHei" w:eastAsia="SimHei" w:cs="SimHei"/>
                <w:sz w:val="21"/>
                <w:szCs w:val="21"/>
                <w:b/>
                <w:bCs/>
                <w:spacing w:val="7"/>
              </w:rPr>
              <w:t>第四百一十一条</w:t>
            </w:r>
            <w:r>
              <w:rPr>
                <w:rFonts w:ascii="SimHei" w:hAnsi="SimHei" w:eastAsia="SimHei" w:cs="SimHei"/>
                <w:sz w:val="21"/>
                <w:szCs w:val="21"/>
                <w:spacing w:val="7"/>
              </w:rPr>
              <w:t xml:space="preserve"> </w:t>
            </w:r>
            <w:r>
              <w:rPr>
                <w:rFonts w:ascii="SimHei" w:hAnsi="SimHei" w:eastAsia="SimHei" w:cs="SimHei"/>
                <w:sz w:val="21"/>
                <w:szCs w:val="21"/>
                <w:b/>
                <w:bCs/>
                <w:spacing w:val="7"/>
              </w:rPr>
              <w:t>利用超声技术和其他技术手段为他人进行非医学需要的胎儿性别鉴定或者选</w:t>
            </w:r>
            <w:r>
              <w:rPr>
                <w:rFonts w:ascii="SimHei" w:hAnsi="SimHei" w:eastAsia="SimHei" w:cs="SimHei"/>
                <w:sz w:val="21"/>
                <w:szCs w:val="21"/>
                <w:b/>
                <w:bCs/>
                <w:spacing w:val="6"/>
              </w:rPr>
              <w:t>择性别的人工终止妊娠的</w:t>
            </w:r>
            <w:r>
              <w:rPr>
                <w:rFonts w:ascii="SimHei" w:hAnsi="SimHei" w:eastAsia="SimHei" w:cs="SimHei"/>
                <w:sz w:val="21"/>
                <w:szCs w:val="21"/>
                <w:spacing w:val="-90"/>
              </w:rPr>
              <w:t xml:space="preserve"> </w:t>
            </w:r>
            <w:r>
              <w:rPr>
                <w:rFonts w:ascii="SimHei" w:hAnsi="SimHei" w:eastAsia="SimHei" w:cs="SimHei"/>
                <w:sz w:val="21"/>
                <w:szCs w:val="21"/>
              </w:rPr>
              <w:tab/>
            </w:r>
            <w:r>
              <w:rPr>
                <w:rFonts w:ascii="Times New Roman" w:hAnsi="Times New Roman" w:eastAsia="Times New Roman" w:cs="Times New Roman"/>
                <w:sz w:val="21"/>
                <w:szCs w:val="21"/>
                <w:b/>
                <w:bCs/>
                <w:spacing w:val="-2"/>
              </w:rPr>
              <w:t>480</w:t>
            </w:r>
          </w:hyperlink>
        </w:p>
        <w:p>
          <w:pPr>
            <w:pStyle w:val="BodyText"/>
            <w:spacing w:line="253" w:lineRule="auto"/>
            <w:rPr/>
          </w:pPr>
          <w:r/>
        </w:p>
        <w:p>
          <w:pPr>
            <w:pStyle w:val="BodyText"/>
            <w:spacing w:line="254" w:lineRule="auto"/>
            <w:rPr/>
          </w:pPr>
          <w:r/>
        </w:p>
        <w:p>
          <w:pPr>
            <w:ind w:left="320"/>
            <w:spacing w:before="68" w:line="221" w:lineRule="auto"/>
            <w:tabs>
              <w:tab w:val="right" w:leader="dot" w:pos="13405"/>
            </w:tabs>
            <w:rPr>
              <w:rFonts w:ascii="Times New Roman" w:hAnsi="Times New Roman" w:eastAsia="Times New Roman" w:cs="Times New Roman"/>
              <w:sz w:val="21"/>
              <w:szCs w:val="21"/>
            </w:rPr>
          </w:pPr>
          <w:hyperlink w:history="true" w:anchor="bookmark523">
            <w:r>
              <w:rPr>
                <w:rFonts w:ascii="SimHei" w:hAnsi="SimHei" w:eastAsia="SimHei" w:cs="SimHei"/>
                <w:sz w:val="21"/>
                <w:szCs w:val="21"/>
                <w:b/>
                <w:bCs/>
                <w:spacing w:val="7"/>
              </w:rPr>
              <w:t>第四百一十二条</w:t>
            </w:r>
            <w:r>
              <w:rPr>
                <w:rFonts w:ascii="SimHei" w:hAnsi="SimHei" w:eastAsia="SimHei" w:cs="SimHei"/>
                <w:sz w:val="21"/>
                <w:szCs w:val="21"/>
                <w:spacing w:val="7"/>
              </w:rPr>
              <w:t xml:space="preserve"> </w:t>
            </w:r>
            <w:r>
              <w:rPr>
                <w:rFonts w:ascii="SimHei" w:hAnsi="SimHei" w:eastAsia="SimHei" w:cs="SimHei"/>
                <w:sz w:val="21"/>
                <w:szCs w:val="21"/>
                <w:b/>
                <w:bCs/>
                <w:spacing w:val="7"/>
              </w:rPr>
              <w:t>托育机构违反托育服务违反相关标准和规范的</w:t>
            </w:r>
            <w:r>
              <w:rPr>
                <w:rFonts w:ascii="SimHei" w:hAnsi="SimHei" w:eastAsia="SimHei" w:cs="SimHei"/>
                <w:sz w:val="21"/>
                <w:szCs w:val="21"/>
                <w:spacing w:val="-90"/>
              </w:rPr>
              <w:t xml:space="preserve"> </w:t>
            </w:r>
            <w:r>
              <w:rPr>
                <w:rFonts w:ascii="SimHei" w:hAnsi="SimHei" w:eastAsia="SimHei" w:cs="SimHei"/>
                <w:sz w:val="21"/>
                <w:szCs w:val="21"/>
              </w:rPr>
              <w:tab/>
            </w:r>
            <w:r>
              <w:rPr>
                <w:rFonts w:ascii="SimHei" w:hAnsi="SimHei" w:eastAsia="SimHei" w:cs="SimHei"/>
                <w:sz w:val="21"/>
                <w:szCs w:val="21"/>
                <w:spacing w:val="-78"/>
              </w:rPr>
              <w:t xml:space="preserve"> </w:t>
            </w:r>
            <w:r>
              <w:rPr>
                <w:rFonts w:ascii="Times New Roman" w:hAnsi="Times New Roman" w:eastAsia="Times New Roman" w:cs="Times New Roman"/>
                <w:sz w:val="21"/>
                <w:szCs w:val="21"/>
                <w:b/>
                <w:bCs/>
                <w:spacing w:val="-2"/>
              </w:rPr>
              <w:t>481</w:t>
            </w:r>
          </w:hyperlink>
        </w:p>
      </w:sdtContent>
    </w:sdt>
    <w:p>
      <w:pPr>
        <w:spacing w:line="221" w:lineRule="auto"/>
        <w:sectPr>
          <w:footerReference w:type="default" r:id="rId49"/>
          <w:pgSz w:w="16830" w:h="11900"/>
          <w:pgMar w:top="1011" w:right="1450" w:bottom="1138" w:left="1972" w:header="0" w:footer="778" w:gutter="0"/>
        </w:sectPr>
        <w:rPr>
          <w:rFonts w:ascii="Times New Roman" w:hAnsi="Times New Roman" w:eastAsia="Times New Roman" w:cs="Times New Roman"/>
          <w:sz w:val="21"/>
          <w:szCs w:val="21"/>
        </w:rPr>
      </w:pPr>
    </w:p>
    <w:p>
      <w:pPr>
        <w:pStyle w:val="BodyText"/>
        <w:spacing w:line="306" w:lineRule="auto"/>
        <w:rPr/>
      </w:pPr>
      <w:r/>
    </w:p>
    <w:p>
      <w:pPr>
        <w:pStyle w:val="BodyText"/>
        <w:spacing w:line="306" w:lineRule="auto"/>
        <w:rPr/>
      </w:pPr>
      <w:r/>
    </w:p>
    <w:p>
      <w:pPr>
        <w:pStyle w:val="BodyText"/>
        <w:spacing w:line="306"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ind w:left="349"/>
            <w:spacing w:before="72" w:line="222" w:lineRule="auto"/>
            <w:tabs>
              <w:tab w:val="right" w:leader="dot" w:pos="13395"/>
            </w:tabs>
            <w:rPr>
              <w:rFonts w:ascii="Times New Roman" w:hAnsi="Times New Roman" w:eastAsia="Times New Roman" w:cs="Times New Roman"/>
              <w:sz w:val="22"/>
              <w:szCs w:val="22"/>
            </w:rPr>
          </w:pPr>
          <w:hyperlink w:history="true" w:anchor="bookmark524">
            <w:r>
              <w:rPr>
                <w:rFonts w:ascii="SimHei" w:hAnsi="SimHei" w:eastAsia="SimHei" w:cs="SimHei"/>
                <w:sz w:val="22"/>
                <w:szCs w:val="22"/>
                <w:spacing w:val="1"/>
              </w:rPr>
              <w:t>第四百一十三条</w:t>
            </w:r>
            <w:r>
              <w:rPr>
                <w:rFonts w:ascii="SimHei" w:hAnsi="SimHei" w:eastAsia="SimHei" w:cs="SimHei"/>
                <w:sz w:val="22"/>
                <w:szCs w:val="22"/>
                <w:spacing w:val="1"/>
              </w:rPr>
              <w:t xml:space="preserve"> </w:t>
            </w:r>
            <w:r>
              <w:rPr>
                <w:rFonts w:ascii="SimHei" w:hAnsi="SimHei" w:eastAsia="SimHei" w:cs="SimHei"/>
                <w:sz w:val="22"/>
                <w:szCs w:val="22"/>
                <w:spacing w:val="1"/>
              </w:rPr>
              <w:t>托育机构有虐待婴幼儿行为的</w:t>
            </w:r>
            <w:r>
              <w:rPr>
                <w:rFonts w:ascii="SimHei" w:hAnsi="SimHei" w:eastAsia="SimHei" w:cs="SimHei"/>
                <w:sz w:val="22"/>
                <w:szCs w:val="22"/>
                <w:spacing w:val="-92"/>
              </w:rPr>
              <w:t xml:space="preserve"> </w:t>
            </w:r>
            <w:r>
              <w:rPr>
                <w:rFonts w:ascii="SimHei" w:hAnsi="SimHei" w:eastAsia="SimHei" w:cs="SimHei"/>
                <w:sz w:val="22"/>
                <w:szCs w:val="22"/>
              </w:rPr>
              <w:tab/>
            </w:r>
            <w:r>
              <w:rPr>
                <w:rFonts w:ascii="SimHei" w:hAnsi="SimHei" w:eastAsia="SimHei" w:cs="SimHei"/>
                <w:sz w:val="22"/>
                <w:szCs w:val="22"/>
                <w:spacing w:val="-55"/>
              </w:rPr>
              <w:t xml:space="preserve"> </w:t>
            </w:r>
            <w:r>
              <w:rPr>
                <w:rFonts w:ascii="Times New Roman" w:hAnsi="Times New Roman" w:eastAsia="Times New Roman" w:cs="Times New Roman"/>
                <w:sz w:val="22"/>
                <w:szCs w:val="22"/>
                <w:spacing w:val="-1"/>
              </w:rPr>
              <w:t>482</w:t>
            </w:r>
          </w:hyperlink>
        </w:p>
        <w:p>
          <w:pPr>
            <w:pStyle w:val="BodyText"/>
            <w:spacing w:line="310" w:lineRule="auto"/>
            <w:rPr/>
          </w:pPr>
          <w:r/>
        </w:p>
        <w:p>
          <w:pPr>
            <w:spacing w:before="71" w:line="224" w:lineRule="auto"/>
            <w:tabs>
              <w:tab w:val="right" w:leader="dot" w:pos="13435"/>
            </w:tabs>
            <w:rPr>
              <w:rFonts w:ascii="Times New Roman" w:hAnsi="Times New Roman" w:eastAsia="Times New Roman" w:cs="Times New Roman"/>
              <w:sz w:val="22"/>
              <w:szCs w:val="22"/>
            </w:rPr>
          </w:pPr>
          <w:hyperlink w:history="true" w:anchor="bookmark525">
            <w:r>
              <w:rPr>
                <w:rFonts w:ascii="KaiTi" w:hAnsi="KaiTi" w:eastAsia="KaiTi" w:cs="KaiTi"/>
                <w:sz w:val="22"/>
                <w:szCs w:val="22"/>
                <w:spacing w:val="-2"/>
              </w:rPr>
              <w:t>(</w:t>
            </w:r>
            <w:r>
              <w:rPr>
                <w:rFonts w:ascii="KaiTi" w:hAnsi="KaiTi" w:eastAsia="KaiTi" w:cs="KaiTi"/>
                <w:sz w:val="22"/>
                <w:szCs w:val="22"/>
                <w:spacing w:val="-24"/>
              </w:rPr>
              <w:t xml:space="preserve"> </w:t>
            </w:r>
            <w:r>
              <w:rPr>
                <w:rFonts w:ascii="KaiTi" w:hAnsi="KaiTi" w:eastAsia="KaiTi" w:cs="KaiTi"/>
                <w:sz w:val="22"/>
                <w:szCs w:val="22"/>
                <w:spacing w:val="-2"/>
              </w:rPr>
              <w:t>五</w:t>
            </w:r>
            <w:r>
              <w:rPr>
                <w:rFonts w:ascii="KaiTi" w:hAnsi="KaiTi" w:eastAsia="KaiTi" w:cs="KaiTi"/>
                <w:sz w:val="22"/>
                <w:szCs w:val="22"/>
                <w:spacing w:val="-29"/>
              </w:rPr>
              <w:t xml:space="preserve"> </w:t>
            </w:r>
            <w:r>
              <w:rPr>
                <w:rFonts w:ascii="KaiTi" w:hAnsi="KaiTi" w:eastAsia="KaiTi" w:cs="KaiTi"/>
                <w:sz w:val="22"/>
                <w:szCs w:val="22"/>
                <w:spacing w:val="-2"/>
              </w:rPr>
              <w:t>)《中华人民共和国母婴保健法》及《中华人民共和国母婴保</w:t>
            </w:r>
            <w:r>
              <w:rPr>
                <w:rFonts w:ascii="KaiTi" w:hAnsi="KaiTi" w:eastAsia="KaiTi" w:cs="KaiTi"/>
                <w:sz w:val="22"/>
                <w:szCs w:val="22"/>
                <w:spacing w:val="-3"/>
              </w:rPr>
              <w:t>健法实施办法》</w:t>
            </w:r>
            <w:r>
              <w:rPr>
                <w:rFonts w:ascii="KaiTi" w:hAnsi="KaiTi" w:eastAsia="KaiTi" w:cs="KaiTi"/>
                <w:sz w:val="22"/>
                <w:szCs w:val="22"/>
              </w:rPr>
              <w:tab/>
            </w:r>
            <w:r>
              <w:rPr>
                <w:rFonts w:ascii="KaiTi" w:hAnsi="KaiTi" w:eastAsia="KaiTi" w:cs="KaiTi"/>
                <w:sz w:val="22"/>
                <w:szCs w:val="22"/>
                <w:spacing w:val="-44"/>
              </w:rPr>
              <w:t xml:space="preserve"> </w:t>
            </w:r>
            <w:r>
              <w:rPr>
                <w:rFonts w:ascii="Times New Roman" w:hAnsi="Times New Roman" w:eastAsia="Times New Roman" w:cs="Times New Roman"/>
                <w:sz w:val="22"/>
                <w:szCs w:val="22"/>
                <w:spacing w:val="-2"/>
              </w:rPr>
              <w:t>483</w:t>
            </w:r>
          </w:hyperlink>
        </w:p>
        <w:p>
          <w:pPr>
            <w:pStyle w:val="BodyText"/>
            <w:spacing w:line="320" w:lineRule="auto"/>
            <w:rPr/>
          </w:pPr>
          <w:r/>
        </w:p>
        <w:p>
          <w:pPr>
            <w:ind w:left="349"/>
            <w:spacing w:before="72" w:line="221" w:lineRule="auto"/>
            <w:tabs>
              <w:tab w:val="right" w:leader="dot" w:pos="13435"/>
            </w:tabs>
            <w:rPr>
              <w:rFonts w:ascii="Times New Roman" w:hAnsi="Times New Roman" w:eastAsia="Times New Roman" w:cs="Times New Roman"/>
              <w:sz w:val="22"/>
              <w:szCs w:val="22"/>
            </w:rPr>
          </w:pPr>
          <w:hyperlink w:history="true" w:anchor="bookmark526">
            <w:r>
              <w:rPr>
                <w:rFonts w:ascii="SimHei" w:hAnsi="SimHei" w:eastAsia="SimHei" w:cs="SimHei"/>
                <w:sz w:val="22"/>
                <w:szCs w:val="22"/>
              </w:rPr>
              <w:t>第四百一十四条</w:t>
            </w:r>
            <w:r>
              <w:rPr>
                <w:rFonts w:ascii="SimHei" w:hAnsi="SimHei" w:eastAsia="SimHei" w:cs="SimHei"/>
                <w:sz w:val="22"/>
                <w:szCs w:val="22"/>
              </w:rPr>
              <w:t xml:space="preserve"> </w:t>
            </w:r>
            <w:r>
              <w:rPr>
                <w:rFonts w:ascii="SimHei" w:hAnsi="SimHei" w:eastAsia="SimHei" w:cs="SimHei"/>
                <w:sz w:val="22"/>
                <w:szCs w:val="22"/>
              </w:rPr>
              <w:t>未取得国家颁发的有关合格证书从事婚前医学检查、遗传病诊断、产前诊</w:t>
            </w:r>
            <w:r>
              <w:rPr>
                <w:rFonts w:ascii="SimHei" w:hAnsi="SimHei" w:eastAsia="SimHei" w:cs="SimHei"/>
                <w:sz w:val="22"/>
                <w:szCs w:val="22"/>
                <w:spacing w:val="-1"/>
              </w:rPr>
              <w:t>断或者医学技术鉴定的</w:t>
            </w:r>
            <w:r>
              <w:rPr>
                <w:rFonts w:ascii="SimHei" w:hAnsi="SimHei" w:eastAsia="SimHei" w:cs="SimHei"/>
                <w:sz w:val="22"/>
                <w:szCs w:val="22"/>
                <w:spacing w:val="-81"/>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483</w:t>
            </w:r>
          </w:hyperlink>
        </w:p>
        <w:p>
          <w:pPr>
            <w:pStyle w:val="BodyText"/>
            <w:spacing w:line="241" w:lineRule="auto"/>
            <w:rPr/>
          </w:pPr>
          <w:r/>
        </w:p>
        <w:p>
          <w:pPr>
            <w:pStyle w:val="BodyText"/>
            <w:spacing w:line="241" w:lineRule="auto"/>
            <w:rPr/>
          </w:pPr>
          <w:r/>
        </w:p>
        <w:p>
          <w:pPr>
            <w:ind w:left="349"/>
            <w:spacing w:before="71" w:line="221" w:lineRule="auto"/>
            <w:tabs>
              <w:tab w:val="right" w:leader="dot" w:pos="13395"/>
            </w:tabs>
            <w:rPr>
              <w:rFonts w:ascii="Times New Roman" w:hAnsi="Times New Roman" w:eastAsia="Times New Roman" w:cs="Times New Roman"/>
              <w:sz w:val="22"/>
              <w:szCs w:val="22"/>
            </w:rPr>
          </w:pPr>
          <w:hyperlink w:history="true" w:anchor="bookmark527">
            <w:r>
              <w:rPr>
                <w:rFonts w:ascii="SimHei" w:hAnsi="SimHei" w:eastAsia="SimHei" w:cs="SimHei"/>
                <w:sz w:val="22"/>
                <w:szCs w:val="22"/>
                <w:spacing w:val="-1"/>
              </w:rPr>
              <w:t>第四百一十五条</w:t>
            </w:r>
            <w:r>
              <w:rPr>
                <w:rFonts w:ascii="SimHei" w:hAnsi="SimHei" w:eastAsia="SimHei" w:cs="SimHei"/>
                <w:sz w:val="22"/>
                <w:szCs w:val="22"/>
                <w:spacing w:val="-1"/>
              </w:rPr>
              <w:t xml:space="preserve"> </w:t>
            </w:r>
            <w:r>
              <w:rPr>
                <w:rFonts w:ascii="SimHei" w:hAnsi="SimHei" w:eastAsia="SimHei" w:cs="SimHei"/>
                <w:sz w:val="22"/>
                <w:szCs w:val="22"/>
                <w:spacing w:val="-1"/>
              </w:rPr>
              <w:t>人员未取得母婴保健技术许可从事婚前医学检查、遗传病诊断的</w:t>
            </w:r>
            <w:r>
              <w:rPr>
                <w:rFonts w:ascii="SimHei" w:hAnsi="SimHei" w:eastAsia="SimHei" w:cs="SimHei"/>
                <w:sz w:val="22"/>
                <w:szCs w:val="22"/>
                <w:spacing w:val="-95"/>
              </w:rPr>
              <w:t xml:space="preserve"> </w:t>
            </w:r>
            <w:r>
              <w:rPr>
                <w:rFonts w:ascii="SimHei" w:hAnsi="SimHei" w:eastAsia="SimHei" w:cs="SimHei"/>
                <w:sz w:val="22"/>
                <w:szCs w:val="22"/>
              </w:rPr>
              <w:tab/>
            </w:r>
            <w:r>
              <w:rPr>
                <w:rFonts w:ascii="Times New Roman" w:hAnsi="Times New Roman" w:eastAsia="Times New Roman" w:cs="Times New Roman"/>
                <w:sz w:val="22"/>
                <w:szCs w:val="22"/>
              </w:rPr>
              <w:t>485</w:t>
            </w:r>
          </w:hyperlink>
        </w:p>
        <w:p>
          <w:pPr>
            <w:pStyle w:val="BodyText"/>
            <w:spacing w:line="246" w:lineRule="auto"/>
            <w:rPr/>
          </w:pPr>
          <w:r/>
        </w:p>
        <w:p>
          <w:pPr>
            <w:pStyle w:val="BodyText"/>
            <w:spacing w:line="246" w:lineRule="auto"/>
            <w:rPr/>
          </w:pPr>
          <w:r/>
        </w:p>
        <w:p>
          <w:pPr>
            <w:ind w:left="349"/>
            <w:spacing w:before="71" w:line="221" w:lineRule="auto"/>
            <w:tabs>
              <w:tab w:val="right" w:leader="dot" w:pos="13385"/>
            </w:tabs>
            <w:rPr>
              <w:rFonts w:ascii="Times New Roman" w:hAnsi="Times New Roman" w:eastAsia="Times New Roman" w:cs="Times New Roman"/>
              <w:sz w:val="22"/>
              <w:szCs w:val="22"/>
            </w:rPr>
          </w:pPr>
          <w:hyperlink w:history="true" w:anchor="bookmark528">
            <w:r>
              <w:rPr>
                <w:rFonts w:ascii="SimHei" w:hAnsi="SimHei" w:eastAsia="SimHei" w:cs="SimHei"/>
                <w:sz w:val="22"/>
                <w:szCs w:val="22"/>
              </w:rPr>
              <w:t>第四百一十六条</w:t>
            </w:r>
            <w:r>
              <w:rPr>
                <w:rFonts w:ascii="SimHei" w:hAnsi="SimHei" w:eastAsia="SimHei" w:cs="SimHei"/>
                <w:sz w:val="22"/>
                <w:szCs w:val="22"/>
              </w:rPr>
              <w:t xml:space="preserve"> </w:t>
            </w:r>
            <w:r>
              <w:rPr>
                <w:rFonts w:ascii="SimHei" w:hAnsi="SimHei" w:eastAsia="SimHei" w:cs="SimHei"/>
                <w:sz w:val="22"/>
                <w:szCs w:val="22"/>
              </w:rPr>
              <w:t>未取得国家颁发的有关合格证书</w:t>
            </w:r>
            <w:r>
              <w:rPr>
                <w:rFonts w:ascii="SimHei" w:hAnsi="SimHei" w:eastAsia="SimHei" w:cs="SimHei"/>
                <w:sz w:val="22"/>
                <w:szCs w:val="22"/>
                <w:spacing w:val="-1"/>
              </w:rPr>
              <w:t>而施行终止妊娠手术的</w:t>
            </w:r>
            <w:r>
              <w:rPr>
                <w:rFonts w:ascii="SimHei" w:hAnsi="SimHei" w:eastAsia="SimHei" w:cs="SimHei"/>
                <w:sz w:val="22"/>
                <w:szCs w:val="22"/>
              </w:rPr>
              <w:tab/>
            </w:r>
            <w:r>
              <w:rPr>
                <w:rFonts w:ascii="SimHei" w:hAnsi="SimHei" w:eastAsia="SimHei" w:cs="SimHei"/>
                <w:sz w:val="22"/>
                <w:szCs w:val="22"/>
                <w:spacing w:val="-16"/>
              </w:rPr>
              <w:t xml:space="preserve"> </w:t>
            </w:r>
            <w:r>
              <w:rPr>
                <w:rFonts w:ascii="Times New Roman" w:hAnsi="Times New Roman" w:eastAsia="Times New Roman" w:cs="Times New Roman"/>
                <w:sz w:val="22"/>
                <w:szCs w:val="22"/>
                <w:spacing w:val="-1"/>
              </w:rPr>
              <w:t>486</w:t>
            </w:r>
          </w:hyperlink>
        </w:p>
        <w:p>
          <w:pPr>
            <w:pStyle w:val="BodyText"/>
            <w:spacing w:line="256" w:lineRule="auto"/>
            <w:rPr/>
          </w:pPr>
          <w:r/>
        </w:p>
        <w:p>
          <w:pPr>
            <w:pStyle w:val="BodyText"/>
            <w:spacing w:line="256" w:lineRule="auto"/>
            <w:rPr/>
          </w:pPr>
          <w:r/>
        </w:p>
        <w:p>
          <w:pPr>
            <w:ind w:left="349"/>
            <w:spacing w:before="72" w:line="221" w:lineRule="auto"/>
            <w:tabs>
              <w:tab w:val="right" w:leader="dot" w:pos="13375"/>
            </w:tabs>
            <w:rPr>
              <w:rFonts w:ascii="Times New Roman" w:hAnsi="Times New Roman" w:eastAsia="Times New Roman" w:cs="Times New Roman"/>
              <w:sz w:val="22"/>
              <w:szCs w:val="22"/>
            </w:rPr>
          </w:pPr>
          <w:hyperlink w:history="true" w:anchor="bookmark529">
            <w:r>
              <w:rPr>
                <w:rFonts w:ascii="SimHei" w:hAnsi="SimHei" w:eastAsia="SimHei" w:cs="SimHei"/>
                <w:sz w:val="22"/>
                <w:szCs w:val="22"/>
              </w:rPr>
              <w:t>第四百一十七条</w:t>
            </w:r>
            <w:r>
              <w:rPr>
                <w:rFonts w:ascii="SimHei" w:hAnsi="SimHei" w:eastAsia="SimHei" w:cs="SimHei"/>
                <w:sz w:val="22"/>
                <w:szCs w:val="22"/>
              </w:rPr>
              <w:t xml:space="preserve"> </w:t>
            </w:r>
            <w:r>
              <w:rPr>
                <w:rFonts w:ascii="SimHei" w:hAnsi="SimHei" w:eastAsia="SimHei" w:cs="SimHei"/>
                <w:sz w:val="22"/>
                <w:szCs w:val="22"/>
              </w:rPr>
              <w:t>未取得国家颁发的有关合格证书出具《母婴保健法》</w:t>
            </w:r>
            <w:r>
              <w:rPr>
                <w:rFonts w:ascii="SimHei" w:hAnsi="SimHei" w:eastAsia="SimHei" w:cs="SimHei"/>
                <w:sz w:val="22"/>
                <w:szCs w:val="22"/>
                <w:spacing w:val="-1"/>
              </w:rPr>
              <w:t>规定的有关医学证明的</w:t>
            </w:r>
            <w:r>
              <w:rPr>
                <w:rFonts w:ascii="SimHei" w:hAnsi="SimHei" w:eastAsia="SimHei" w:cs="SimHei"/>
                <w:sz w:val="22"/>
                <w:szCs w:val="22"/>
                <w:spacing w:val="-81"/>
              </w:rPr>
              <w:t xml:space="preserve"> </w:t>
            </w:r>
            <w:r>
              <w:rPr>
                <w:rFonts w:ascii="SimHei" w:hAnsi="SimHei" w:eastAsia="SimHei" w:cs="SimHei"/>
                <w:sz w:val="22"/>
                <w:szCs w:val="22"/>
              </w:rPr>
              <w:tab/>
            </w:r>
            <w:r>
              <w:rPr>
                <w:rFonts w:ascii="SimHei" w:hAnsi="SimHei" w:eastAsia="SimHei" w:cs="SimHei"/>
                <w:sz w:val="22"/>
                <w:szCs w:val="22"/>
                <w:spacing w:val="-56"/>
              </w:rPr>
              <w:t xml:space="preserve"> </w:t>
            </w:r>
            <w:r>
              <w:rPr>
                <w:rFonts w:ascii="Times New Roman" w:hAnsi="Times New Roman" w:eastAsia="Times New Roman" w:cs="Times New Roman"/>
                <w:sz w:val="22"/>
                <w:szCs w:val="22"/>
                <w:spacing w:val="-1"/>
              </w:rPr>
              <w:t>488</w:t>
            </w:r>
          </w:hyperlink>
        </w:p>
        <w:p>
          <w:pPr>
            <w:pStyle w:val="BodyText"/>
            <w:spacing w:line="443" w:lineRule="auto"/>
            <w:rPr/>
          </w:pPr>
          <w:r/>
        </w:p>
        <w:p>
          <w:pPr>
            <w:ind w:left="349"/>
            <w:spacing w:before="71" w:line="213" w:lineRule="auto"/>
            <w:tabs>
              <w:tab w:val="right" w:leader="dot" w:pos="13425"/>
            </w:tabs>
            <w:rPr>
              <w:rFonts w:ascii="Times New Roman" w:hAnsi="Times New Roman" w:eastAsia="Times New Roman" w:cs="Times New Roman"/>
              <w:sz w:val="22"/>
              <w:szCs w:val="22"/>
            </w:rPr>
          </w:pPr>
          <w:hyperlink w:history="true" w:anchor="bookmark530">
            <w:r>
              <w:rPr>
                <w:rFonts w:ascii="SimHei" w:hAnsi="SimHei" w:eastAsia="SimHei" w:cs="SimHei"/>
                <w:sz w:val="22"/>
                <w:szCs w:val="22"/>
              </w:rPr>
              <w:t>第四百一十八条</w:t>
            </w:r>
            <w:r>
              <w:rPr>
                <w:rFonts w:ascii="SimHei" w:hAnsi="SimHei" w:eastAsia="SimHei" w:cs="SimHei"/>
                <w:sz w:val="22"/>
                <w:szCs w:val="22"/>
              </w:rPr>
              <w:t xml:space="preserve"> </w:t>
            </w:r>
            <w:r>
              <w:rPr>
                <w:rFonts w:ascii="SimHei" w:hAnsi="SimHei" w:eastAsia="SimHei" w:cs="SimHei"/>
                <w:sz w:val="22"/>
                <w:szCs w:val="22"/>
              </w:rPr>
              <w:t>对未取得产前诊断类母婴保健技术考核合格证书的个人，擅自从事产前</w:t>
            </w:r>
            <w:r>
              <w:rPr>
                <w:rFonts w:ascii="SimHei" w:hAnsi="SimHei" w:eastAsia="SimHei" w:cs="SimHei"/>
                <w:sz w:val="22"/>
                <w:szCs w:val="22"/>
                <w:spacing w:val="-1"/>
              </w:rPr>
              <w:t>诊断或超越许可范围的</w:t>
            </w:r>
            <w:r>
              <w:rPr>
                <w:rFonts w:ascii="SimHei" w:hAnsi="SimHei" w:eastAsia="SimHei" w:cs="SimHei"/>
                <w:sz w:val="22"/>
                <w:szCs w:val="22"/>
                <w:spacing w:val="-91"/>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489</w:t>
            </w:r>
          </w:hyperlink>
        </w:p>
        <w:p>
          <w:pPr>
            <w:pStyle w:val="BodyText"/>
            <w:spacing w:line="329" w:lineRule="auto"/>
            <w:rPr/>
          </w:pPr>
          <w:r/>
        </w:p>
        <w:p>
          <w:pPr>
            <w:spacing w:before="72" w:line="224" w:lineRule="auto"/>
            <w:tabs>
              <w:tab w:val="right" w:leader="dot" w:pos="13275"/>
            </w:tabs>
            <w:rPr>
              <w:rFonts w:ascii="Times New Roman" w:hAnsi="Times New Roman" w:eastAsia="Times New Roman" w:cs="Times New Roman"/>
              <w:sz w:val="22"/>
              <w:szCs w:val="22"/>
            </w:rPr>
          </w:pPr>
          <w:hyperlink w:history="true" w:anchor="bookmark531">
            <w:r>
              <w:rPr>
                <w:rFonts w:ascii="KaiTi" w:hAnsi="KaiTi" w:eastAsia="KaiTi" w:cs="KaiTi"/>
                <w:sz w:val="22"/>
                <w:szCs w:val="22"/>
                <w:spacing w:val="-4"/>
              </w:rPr>
              <w:t>(</w:t>
            </w:r>
            <w:r>
              <w:rPr>
                <w:rFonts w:ascii="KaiTi" w:hAnsi="KaiTi" w:eastAsia="KaiTi" w:cs="KaiTi"/>
                <w:sz w:val="22"/>
                <w:szCs w:val="22"/>
                <w:spacing w:val="-4"/>
              </w:rPr>
              <w:t xml:space="preserve"> </w:t>
            </w:r>
            <w:r>
              <w:rPr>
                <w:rFonts w:ascii="KaiTi" w:hAnsi="KaiTi" w:eastAsia="KaiTi" w:cs="KaiTi"/>
                <w:sz w:val="22"/>
                <w:szCs w:val="22"/>
                <w:spacing w:val="-4"/>
              </w:rPr>
              <w:t>六</w:t>
            </w:r>
            <w:r>
              <w:rPr>
                <w:rFonts w:ascii="KaiTi" w:hAnsi="KaiTi" w:eastAsia="KaiTi" w:cs="KaiTi"/>
                <w:sz w:val="22"/>
                <w:szCs w:val="22"/>
                <w:spacing w:val="-29"/>
              </w:rPr>
              <w:t xml:space="preserve"> </w:t>
            </w:r>
            <w:r>
              <w:rPr>
                <w:rFonts w:ascii="KaiTi" w:hAnsi="KaiTi" w:eastAsia="KaiTi" w:cs="KaiTi"/>
                <w:sz w:val="22"/>
                <w:szCs w:val="22"/>
                <w:spacing w:val="-4"/>
              </w:rPr>
              <w:t>)《禁止非医学需要的胎儿性别鉴定和选择性别人工终</w:t>
            </w:r>
            <w:r>
              <w:rPr>
                <w:rFonts w:ascii="KaiTi" w:hAnsi="KaiTi" w:eastAsia="KaiTi" w:cs="KaiTi"/>
                <w:sz w:val="22"/>
                <w:szCs w:val="22"/>
                <w:spacing w:val="-5"/>
              </w:rPr>
              <w:t>止妊娠的规定》</w:t>
            </w:r>
            <w:r>
              <w:rPr>
                <w:rFonts w:ascii="KaiTi" w:hAnsi="KaiTi" w:eastAsia="KaiTi" w:cs="KaiTi"/>
                <w:sz w:val="22"/>
                <w:szCs w:val="22"/>
              </w:rPr>
              <w:tab/>
            </w:r>
            <w:r>
              <w:rPr>
                <w:rFonts w:ascii="Times New Roman" w:hAnsi="Times New Roman" w:eastAsia="Times New Roman" w:cs="Times New Roman"/>
                <w:sz w:val="22"/>
                <w:szCs w:val="22"/>
              </w:rPr>
              <w:t>490</w:t>
            </w:r>
          </w:hyperlink>
        </w:p>
        <w:p>
          <w:pPr>
            <w:pStyle w:val="BodyText"/>
            <w:spacing w:line="322" w:lineRule="auto"/>
            <w:rPr/>
          </w:pPr>
          <w:r/>
        </w:p>
        <w:p>
          <w:pPr>
            <w:ind w:left="349"/>
            <w:spacing w:before="72" w:line="221" w:lineRule="auto"/>
            <w:tabs>
              <w:tab w:val="right" w:leader="dot" w:pos="13385"/>
            </w:tabs>
            <w:rPr>
              <w:rFonts w:ascii="Times New Roman" w:hAnsi="Times New Roman" w:eastAsia="Times New Roman" w:cs="Times New Roman"/>
              <w:sz w:val="22"/>
              <w:szCs w:val="22"/>
            </w:rPr>
          </w:pPr>
          <w:hyperlink w:history="true" w:anchor="bookmark532">
            <w:r>
              <w:rPr>
                <w:rFonts w:ascii="SimHei" w:hAnsi="SimHei" w:eastAsia="SimHei" w:cs="SimHei"/>
                <w:sz w:val="22"/>
                <w:szCs w:val="22"/>
                <w:spacing w:val="-1"/>
              </w:rPr>
              <w:t>第四百一十九条</w:t>
            </w:r>
            <w:r>
              <w:rPr>
                <w:rFonts w:ascii="SimHei" w:hAnsi="SimHei" w:eastAsia="SimHei" w:cs="SimHei"/>
                <w:sz w:val="22"/>
                <w:szCs w:val="22"/>
                <w:spacing w:val="-1"/>
              </w:rPr>
              <w:t xml:space="preserve"> </w:t>
            </w:r>
            <w:r>
              <w:rPr>
                <w:rFonts w:ascii="SimHei" w:hAnsi="SimHei" w:eastAsia="SimHei" w:cs="SimHei"/>
                <w:sz w:val="22"/>
                <w:szCs w:val="22"/>
                <w:spacing w:val="-1"/>
              </w:rPr>
              <w:t>未建立真实完整的终止妊娠药品购进记录或者未按照规定为终止妊娠药品使用者建立完整用药档案的</w:t>
            </w:r>
            <w:r>
              <w:rPr>
                <w:rFonts w:ascii="SimHei" w:hAnsi="SimHei" w:eastAsia="SimHei" w:cs="SimHei"/>
                <w:sz w:val="22"/>
                <w:szCs w:val="22"/>
                <w:spacing w:val="-89"/>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490</w:t>
            </w:r>
          </w:hyperlink>
        </w:p>
        <w:p>
          <w:pPr>
            <w:pStyle w:val="BodyText"/>
            <w:spacing w:line="246" w:lineRule="auto"/>
            <w:rPr/>
          </w:pPr>
          <w:r/>
        </w:p>
        <w:p>
          <w:pPr>
            <w:pStyle w:val="BodyText"/>
            <w:spacing w:line="246" w:lineRule="auto"/>
            <w:rPr/>
          </w:pPr>
          <w:r/>
        </w:p>
        <w:p>
          <w:pPr>
            <w:ind w:left="349"/>
            <w:spacing w:before="72" w:line="221" w:lineRule="auto"/>
            <w:tabs>
              <w:tab w:val="right" w:leader="dot" w:pos="13395"/>
            </w:tabs>
            <w:rPr>
              <w:rFonts w:ascii="Times New Roman" w:hAnsi="Times New Roman" w:eastAsia="Times New Roman" w:cs="Times New Roman"/>
              <w:sz w:val="22"/>
              <w:szCs w:val="22"/>
            </w:rPr>
          </w:pPr>
          <w:hyperlink w:history="true" w:anchor="bookmark533">
            <w:r>
              <w:rPr>
                <w:rFonts w:ascii="SimHei" w:hAnsi="SimHei" w:eastAsia="SimHei" w:cs="SimHei"/>
                <w:sz w:val="22"/>
                <w:szCs w:val="22"/>
                <w:spacing w:val="1"/>
              </w:rPr>
              <w:t>第四百二十条</w:t>
            </w:r>
            <w:r>
              <w:rPr>
                <w:rFonts w:ascii="SimHei" w:hAnsi="SimHei" w:eastAsia="SimHei" w:cs="SimHei"/>
                <w:sz w:val="22"/>
                <w:szCs w:val="22"/>
                <w:spacing w:val="1"/>
              </w:rPr>
              <w:t xml:space="preserve"> </w:t>
            </w:r>
            <w:r>
              <w:rPr>
                <w:rFonts w:ascii="SimHei" w:hAnsi="SimHei" w:eastAsia="SimHei" w:cs="SimHei"/>
                <w:sz w:val="22"/>
                <w:szCs w:val="22"/>
                <w:spacing w:val="1"/>
              </w:rPr>
              <w:t>介绍、组织孕妇实施非医学需要的胎儿性别鉴定</w:t>
            </w:r>
            <w:r>
              <w:rPr>
                <w:rFonts w:ascii="SimHei" w:hAnsi="SimHei" w:eastAsia="SimHei" w:cs="SimHei"/>
                <w:sz w:val="22"/>
                <w:szCs w:val="22"/>
              </w:rPr>
              <w:t>或者选择性别人工终止妊娠的</w:t>
            </w:r>
            <w:r>
              <w:rPr>
                <w:rFonts w:ascii="SimHei" w:hAnsi="SimHei" w:eastAsia="SimHei" w:cs="SimHei"/>
                <w:sz w:val="22"/>
                <w:szCs w:val="22"/>
                <w:spacing w:val="-99"/>
              </w:rPr>
              <w:t xml:space="preserve"> </w:t>
            </w:r>
            <w:r>
              <w:rPr>
                <w:rFonts w:ascii="SimHei" w:hAnsi="SimHei" w:eastAsia="SimHei" w:cs="SimHei"/>
                <w:sz w:val="22"/>
                <w:szCs w:val="22"/>
              </w:rPr>
              <w:tab/>
            </w:r>
            <w:r>
              <w:rPr>
                <w:rFonts w:ascii="SimHei" w:hAnsi="SimHei" w:eastAsia="SimHei" w:cs="SimHei"/>
                <w:sz w:val="22"/>
                <w:szCs w:val="22"/>
                <w:spacing w:val="-55"/>
              </w:rPr>
              <w:t xml:space="preserve"> </w:t>
            </w:r>
            <w:r>
              <w:rPr>
                <w:rFonts w:ascii="Times New Roman" w:hAnsi="Times New Roman" w:eastAsia="Times New Roman" w:cs="Times New Roman"/>
                <w:sz w:val="22"/>
                <w:szCs w:val="22"/>
                <w:spacing w:val="-1"/>
              </w:rPr>
              <w:t>491</w:t>
            </w:r>
          </w:hyperlink>
        </w:p>
        <w:p>
          <w:pPr>
            <w:pStyle w:val="BodyText"/>
            <w:spacing w:line="241" w:lineRule="auto"/>
            <w:rPr/>
          </w:pPr>
          <w:r/>
        </w:p>
        <w:p>
          <w:pPr>
            <w:pStyle w:val="BodyText"/>
            <w:spacing w:line="241" w:lineRule="auto"/>
            <w:rPr/>
          </w:pPr>
          <w:r/>
        </w:p>
        <w:p>
          <w:pPr>
            <w:ind w:left="349"/>
            <w:spacing w:before="71" w:line="221" w:lineRule="auto"/>
            <w:tabs>
              <w:tab w:val="right" w:leader="dot" w:pos="13395"/>
            </w:tabs>
            <w:rPr>
              <w:rFonts w:ascii="Times New Roman" w:hAnsi="Times New Roman" w:eastAsia="Times New Roman" w:cs="Times New Roman"/>
              <w:sz w:val="22"/>
              <w:szCs w:val="22"/>
            </w:rPr>
          </w:pPr>
          <w:hyperlink w:history="true" w:anchor="bookmark534">
            <w:r>
              <w:rPr>
                <w:rFonts w:ascii="SimHei" w:hAnsi="SimHei" w:eastAsia="SimHei" w:cs="SimHei"/>
                <w:sz w:val="22"/>
                <w:szCs w:val="22"/>
                <w:spacing w:val="-1"/>
              </w:rPr>
              <w:t>第四百二十一条</w:t>
            </w:r>
            <w:r>
              <w:rPr>
                <w:rFonts w:ascii="SimHei" w:hAnsi="SimHei" w:eastAsia="SimHei" w:cs="SimHei"/>
                <w:sz w:val="22"/>
                <w:szCs w:val="22"/>
                <w:spacing w:val="-1"/>
              </w:rPr>
              <w:t xml:space="preserve"> </w:t>
            </w:r>
            <w:r>
              <w:rPr>
                <w:rFonts w:ascii="SimHei" w:hAnsi="SimHei" w:eastAsia="SimHei" w:cs="SimHei"/>
                <w:sz w:val="22"/>
                <w:szCs w:val="22"/>
                <w:spacing w:val="-1"/>
              </w:rPr>
              <w:t>开展新生儿疾病筛查的医疗机构违反《新生儿疾病筛查技术规范》的</w:t>
            </w:r>
            <w:r>
              <w:rPr>
                <w:rFonts w:ascii="SimHei" w:hAnsi="SimHei" w:eastAsia="SimHei" w:cs="SimHei"/>
                <w:sz w:val="22"/>
                <w:szCs w:val="22"/>
                <w:spacing w:val="-93"/>
              </w:rPr>
              <w:t xml:space="preserve"> </w:t>
            </w:r>
            <w:r>
              <w:rPr>
                <w:rFonts w:ascii="SimHei" w:hAnsi="SimHei" w:eastAsia="SimHei" w:cs="SimHei"/>
                <w:sz w:val="22"/>
                <w:szCs w:val="22"/>
              </w:rPr>
              <w:tab/>
            </w:r>
            <w:r>
              <w:rPr>
                <w:rFonts w:ascii="Times New Roman" w:hAnsi="Times New Roman" w:eastAsia="Times New Roman" w:cs="Times New Roman"/>
                <w:sz w:val="22"/>
                <w:szCs w:val="22"/>
              </w:rPr>
              <w:t>493</w:t>
            </w:r>
          </w:hyperlink>
        </w:p>
      </w:sdtContent>
    </w:sdt>
    <w:p>
      <w:pPr>
        <w:spacing w:line="221" w:lineRule="auto"/>
        <w:sectPr>
          <w:footerReference w:type="default" r:id="rId50"/>
          <w:pgSz w:w="16830" w:h="11900"/>
          <w:pgMar w:top="1011" w:right="1433" w:bottom="1134" w:left="1960" w:header="0" w:footer="792" w:gutter="0"/>
        </w:sectPr>
        <w:rPr>
          <w:rFonts w:ascii="Times New Roman" w:hAnsi="Times New Roman" w:eastAsia="Times New Roman" w:cs="Times New Roman"/>
          <w:sz w:val="22"/>
          <w:szCs w:val="22"/>
        </w:rPr>
      </w:pPr>
    </w:p>
    <w:p>
      <w:pPr>
        <w:pStyle w:val="BodyText"/>
        <w:spacing w:line="319" w:lineRule="auto"/>
        <w:rPr/>
      </w:pPr>
      <w:r/>
    </w:p>
    <w:p>
      <w:pPr>
        <w:pStyle w:val="BodyText"/>
        <w:spacing w:line="319" w:lineRule="auto"/>
        <w:rPr/>
      </w:pPr>
      <w:r/>
    </w:p>
    <w:p>
      <w:pPr>
        <w:pStyle w:val="BodyText"/>
        <w:spacing w:line="320"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ind w:left="826"/>
            <w:spacing w:before="71" w:line="221" w:lineRule="auto"/>
            <w:tabs>
              <w:tab w:val="right" w:leader="dot" w:pos="13863"/>
            </w:tabs>
            <w:rPr>
              <w:rFonts w:ascii="Times New Roman" w:hAnsi="Times New Roman" w:eastAsia="Times New Roman" w:cs="Times New Roman"/>
              <w:sz w:val="22"/>
              <w:szCs w:val="22"/>
            </w:rPr>
          </w:pPr>
          <w:hyperlink w:history="true" w:anchor="bookmark535">
            <w:r>
              <w:rPr>
                <w:rFonts w:ascii="SimHei" w:hAnsi="SimHei" w:eastAsia="SimHei" w:cs="SimHei"/>
                <w:sz w:val="22"/>
                <w:szCs w:val="22"/>
              </w:rPr>
              <w:t>第四百二十二条</w:t>
            </w:r>
            <w:r>
              <w:rPr>
                <w:rFonts w:ascii="SimHei" w:hAnsi="SimHei" w:eastAsia="SimHei" w:cs="SimHei"/>
                <w:sz w:val="22"/>
                <w:szCs w:val="22"/>
              </w:rPr>
              <w:t xml:space="preserve"> </w:t>
            </w:r>
            <w:r>
              <w:rPr>
                <w:rFonts w:ascii="SimHei" w:hAnsi="SimHei" w:eastAsia="SimHei" w:cs="SimHei"/>
                <w:sz w:val="22"/>
                <w:szCs w:val="22"/>
              </w:rPr>
              <w:t>开展新生儿疾病筛查的医疗机构未履行告知程序擅自</w:t>
            </w:r>
            <w:r>
              <w:rPr>
                <w:rFonts w:ascii="SimHei" w:hAnsi="SimHei" w:eastAsia="SimHei" w:cs="SimHei"/>
                <w:sz w:val="22"/>
                <w:szCs w:val="22"/>
                <w:spacing w:val="-1"/>
              </w:rPr>
              <w:t>进行新生儿疾病筛查的</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46"/>
              </w:rPr>
              <w:t xml:space="preserve"> </w:t>
            </w:r>
            <w:r>
              <w:rPr>
                <w:rFonts w:ascii="Times New Roman" w:hAnsi="Times New Roman" w:eastAsia="Times New Roman" w:cs="Times New Roman"/>
                <w:sz w:val="22"/>
                <w:szCs w:val="22"/>
                <w:spacing w:val="-1"/>
              </w:rPr>
              <w:t>494</w:t>
            </w:r>
          </w:hyperlink>
        </w:p>
        <w:p>
          <w:pPr>
            <w:pStyle w:val="BodyText"/>
            <w:spacing w:line="462" w:lineRule="auto"/>
            <w:rPr/>
          </w:pPr>
          <w:r/>
        </w:p>
        <w:p>
          <w:pPr>
            <w:ind w:left="826"/>
            <w:spacing w:before="71" w:line="221" w:lineRule="auto"/>
            <w:tabs>
              <w:tab w:val="right" w:leader="dot" w:pos="13873"/>
            </w:tabs>
            <w:rPr>
              <w:rFonts w:ascii="Times New Roman" w:hAnsi="Times New Roman" w:eastAsia="Times New Roman" w:cs="Times New Roman"/>
              <w:sz w:val="22"/>
              <w:szCs w:val="22"/>
            </w:rPr>
          </w:pPr>
          <w:hyperlink w:history="true" w:anchor="bookmark536">
            <w:r>
              <w:rPr>
                <w:rFonts w:ascii="SimHei" w:hAnsi="SimHei" w:eastAsia="SimHei" w:cs="SimHei"/>
                <w:sz w:val="22"/>
                <w:szCs w:val="22"/>
              </w:rPr>
              <w:t>第四百二十三条</w:t>
            </w:r>
            <w:r>
              <w:rPr>
                <w:rFonts w:ascii="SimHei" w:hAnsi="SimHei" w:eastAsia="SimHei" w:cs="SimHei"/>
                <w:sz w:val="22"/>
                <w:szCs w:val="22"/>
              </w:rPr>
              <w:t xml:space="preserve"> </w:t>
            </w:r>
            <w:r>
              <w:rPr>
                <w:rFonts w:ascii="SimHei" w:hAnsi="SimHei" w:eastAsia="SimHei" w:cs="SimHei"/>
                <w:sz w:val="22"/>
                <w:szCs w:val="22"/>
              </w:rPr>
              <w:t>开展新生儿疾病筛查的医疗机构未按规定进行实</w:t>
            </w:r>
            <w:r>
              <w:rPr>
                <w:rFonts w:ascii="SimHei" w:hAnsi="SimHei" w:eastAsia="SimHei" w:cs="SimHei"/>
                <w:sz w:val="22"/>
                <w:szCs w:val="22"/>
                <w:spacing w:val="-1"/>
              </w:rPr>
              <w:t>验室质量监测、检查的</w:t>
            </w:r>
            <w:r>
              <w:rPr>
                <w:rFonts w:ascii="SimHei" w:hAnsi="SimHei" w:eastAsia="SimHei" w:cs="SimHei"/>
                <w:sz w:val="22"/>
                <w:szCs w:val="22"/>
                <w:spacing w:val="-81"/>
              </w:rPr>
              <w:t xml:space="preserve"> </w:t>
            </w:r>
            <w:r>
              <w:rPr>
                <w:rFonts w:ascii="SimHei" w:hAnsi="SimHei" w:eastAsia="SimHei" w:cs="SimHei"/>
                <w:sz w:val="22"/>
                <w:szCs w:val="22"/>
              </w:rPr>
              <w:tab/>
            </w:r>
            <w:r>
              <w:rPr>
                <w:rFonts w:ascii="SimHei" w:hAnsi="SimHei" w:eastAsia="SimHei" w:cs="SimHei"/>
                <w:sz w:val="22"/>
                <w:szCs w:val="22"/>
                <w:spacing w:val="-36"/>
              </w:rPr>
              <w:t xml:space="preserve"> </w:t>
            </w:r>
            <w:r>
              <w:rPr>
                <w:rFonts w:ascii="Times New Roman" w:hAnsi="Times New Roman" w:eastAsia="Times New Roman" w:cs="Times New Roman"/>
                <w:sz w:val="22"/>
                <w:szCs w:val="22"/>
                <w:spacing w:val="-1"/>
              </w:rPr>
              <w:t>495</w:t>
            </w:r>
          </w:hyperlink>
        </w:p>
        <w:p>
          <w:pPr>
            <w:pStyle w:val="BodyText"/>
            <w:spacing w:line="320" w:lineRule="auto"/>
            <w:rPr/>
          </w:pPr>
          <w:r/>
        </w:p>
        <w:p>
          <w:pPr>
            <w:spacing w:before="71" w:line="221" w:lineRule="auto"/>
            <w:tabs>
              <w:tab w:val="right" w:leader="dot" w:pos="13933"/>
            </w:tabs>
            <w:rPr>
              <w:rFonts w:ascii="Times New Roman" w:hAnsi="Times New Roman" w:eastAsia="Times New Roman" w:cs="Times New Roman"/>
              <w:sz w:val="22"/>
              <w:szCs w:val="22"/>
            </w:rPr>
          </w:pPr>
          <w:hyperlink w:history="true" w:anchor="bookmark537">
            <w:r>
              <w:rPr>
                <w:rFonts w:ascii="SimHei" w:hAnsi="SimHei" w:eastAsia="SimHei" w:cs="SimHei"/>
                <w:sz w:val="22"/>
                <w:szCs w:val="22"/>
                <w:b/>
                <w:bCs/>
                <w:spacing w:val="-26"/>
              </w:rPr>
              <w:t>四、公共卫生类</w:t>
            </w:r>
            <w:r>
              <w:rPr>
                <w:rFonts w:ascii="SimHei" w:hAnsi="SimHei" w:eastAsia="SimHei" w:cs="SimHei"/>
                <w:sz w:val="22"/>
                <w:szCs w:val="22"/>
                <w:spacing w:val="-89"/>
              </w:rPr>
              <w:t xml:space="preserve"> </w:t>
            </w:r>
            <w:r>
              <w:rPr>
                <w:rFonts w:ascii="SimHei" w:hAnsi="SimHei" w:eastAsia="SimHei" w:cs="SimHei"/>
                <w:sz w:val="22"/>
                <w:szCs w:val="22"/>
              </w:rPr>
              <w:tab/>
            </w:r>
            <w:r>
              <w:rPr>
                <w:rFonts w:ascii="Times New Roman" w:hAnsi="Times New Roman" w:eastAsia="Times New Roman" w:cs="Times New Roman"/>
                <w:sz w:val="22"/>
                <w:szCs w:val="22"/>
              </w:rPr>
              <w:t>497</w:t>
            </w:r>
          </w:hyperlink>
        </w:p>
        <w:p>
          <w:pPr>
            <w:ind w:left="496"/>
            <w:spacing w:before="186" w:line="223" w:lineRule="auto"/>
            <w:tabs>
              <w:tab w:val="right" w:leader="dot" w:pos="13873"/>
            </w:tabs>
            <w:rPr>
              <w:rFonts w:ascii="Times New Roman" w:hAnsi="Times New Roman" w:eastAsia="Times New Roman" w:cs="Times New Roman"/>
              <w:sz w:val="22"/>
              <w:szCs w:val="22"/>
            </w:rPr>
          </w:pPr>
          <w:hyperlink w:history="true" w:anchor="bookmark538">
            <w:r>
              <w:rPr>
                <w:rFonts w:ascii="KaiTi" w:hAnsi="KaiTi" w:eastAsia="KaiTi" w:cs="KaiTi"/>
                <w:sz w:val="22"/>
                <w:szCs w:val="22"/>
                <w:spacing w:val="-4"/>
              </w:rPr>
              <w:t>(</w:t>
            </w:r>
            <w:r>
              <w:rPr>
                <w:rFonts w:ascii="KaiTi" w:hAnsi="KaiTi" w:eastAsia="KaiTi" w:cs="KaiTi"/>
                <w:sz w:val="22"/>
                <w:szCs w:val="22"/>
                <w:spacing w:val="-4"/>
              </w:rPr>
              <w:t xml:space="preserve"> </w:t>
            </w:r>
            <w:r>
              <w:rPr>
                <w:rFonts w:ascii="KaiTi" w:hAnsi="KaiTi" w:eastAsia="KaiTi" w:cs="KaiTi"/>
                <w:sz w:val="22"/>
                <w:szCs w:val="22"/>
                <w:spacing w:val="-4"/>
              </w:rPr>
              <w:t>一</w:t>
            </w:r>
            <w:r>
              <w:rPr>
                <w:rFonts w:ascii="KaiTi" w:hAnsi="KaiTi" w:eastAsia="KaiTi" w:cs="KaiTi"/>
                <w:sz w:val="22"/>
                <w:szCs w:val="22"/>
                <w:spacing w:val="-19"/>
              </w:rPr>
              <w:t xml:space="preserve"> </w:t>
            </w:r>
            <w:r>
              <w:rPr>
                <w:rFonts w:ascii="KaiTi" w:hAnsi="KaiTi" w:eastAsia="KaiTi" w:cs="KaiTi"/>
                <w:sz w:val="22"/>
                <w:szCs w:val="22"/>
                <w:spacing w:val="-4"/>
              </w:rPr>
              <w:t>)《公共场所卫生管理条例》及《公共场所卫生管理条例实施细则》</w:t>
            </w:r>
            <w:r>
              <w:rPr>
                <w:rFonts w:ascii="KaiTi" w:hAnsi="KaiTi" w:eastAsia="KaiTi" w:cs="KaiTi"/>
                <w:sz w:val="22"/>
                <w:szCs w:val="22"/>
                <w:color w:val="703020"/>
              </w:rPr>
              <w:tab/>
            </w:r>
            <w:r>
              <w:rPr>
                <w:rFonts w:ascii="Times New Roman" w:hAnsi="Times New Roman" w:eastAsia="Times New Roman" w:cs="Times New Roman"/>
                <w:sz w:val="22"/>
                <w:szCs w:val="22"/>
                <w:spacing w:val="7"/>
              </w:rPr>
              <w:t>497</w:t>
            </w:r>
          </w:hyperlink>
        </w:p>
        <w:p>
          <w:pPr>
            <w:pStyle w:val="BodyText"/>
            <w:spacing w:line="304" w:lineRule="auto"/>
            <w:rPr/>
          </w:pPr>
          <w:r/>
        </w:p>
        <w:p>
          <w:pPr>
            <w:ind w:left="826"/>
            <w:spacing w:before="72" w:line="221" w:lineRule="auto"/>
            <w:tabs>
              <w:tab w:val="right" w:leader="dot" w:pos="13863"/>
            </w:tabs>
            <w:rPr>
              <w:rFonts w:ascii="Times New Roman" w:hAnsi="Times New Roman" w:eastAsia="Times New Roman" w:cs="Times New Roman"/>
              <w:sz w:val="22"/>
              <w:szCs w:val="22"/>
            </w:rPr>
          </w:pPr>
          <w:hyperlink w:history="true" w:anchor="bookmark539">
            <w:r>
              <w:rPr>
                <w:rFonts w:ascii="SimHei" w:hAnsi="SimHei" w:eastAsia="SimHei" w:cs="SimHei"/>
                <w:sz w:val="22"/>
                <w:szCs w:val="22"/>
              </w:rPr>
              <w:t>第四百二十四条</w:t>
            </w:r>
            <w:r>
              <w:rPr>
                <w:rFonts w:ascii="SimHei" w:hAnsi="SimHei" w:eastAsia="SimHei" w:cs="SimHei"/>
                <w:sz w:val="22"/>
                <w:szCs w:val="22"/>
              </w:rPr>
              <w:t xml:space="preserve"> </w:t>
            </w:r>
            <w:r>
              <w:rPr>
                <w:rFonts w:ascii="SimHei" w:hAnsi="SimHei" w:eastAsia="SimHei" w:cs="SimHei"/>
                <w:sz w:val="22"/>
                <w:szCs w:val="22"/>
              </w:rPr>
              <w:t>公共场所经营者安排未获得有效健康合格证明的从业人员从事直接为顾客服务工作的</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56"/>
              </w:rPr>
              <w:t xml:space="preserve"> </w:t>
            </w:r>
            <w:r>
              <w:rPr>
                <w:rFonts w:ascii="Times New Roman" w:hAnsi="Times New Roman" w:eastAsia="Times New Roman" w:cs="Times New Roman"/>
                <w:sz w:val="22"/>
                <w:szCs w:val="22"/>
                <w:spacing w:val="-1"/>
              </w:rPr>
              <w:t>497</w:t>
            </w:r>
          </w:hyperlink>
        </w:p>
        <w:p>
          <w:pPr>
            <w:pStyle w:val="BodyText"/>
            <w:spacing w:line="246" w:lineRule="auto"/>
            <w:rPr/>
          </w:pPr>
          <w:r/>
        </w:p>
        <w:p>
          <w:pPr>
            <w:pStyle w:val="BodyText"/>
            <w:spacing w:line="246" w:lineRule="auto"/>
            <w:rPr/>
          </w:pPr>
          <w:r/>
        </w:p>
        <w:p>
          <w:pPr>
            <w:ind w:right="33"/>
            <w:spacing w:before="72" w:line="213" w:lineRule="auto"/>
            <w:jc w:val="right"/>
            <w:rPr>
              <w:rFonts w:ascii="SimHei" w:hAnsi="SimHei" w:eastAsia="SimHei" w:cs="SimHei"/>
              <w:sz w:val="22"/>
              <w:szCs w:val="22"/>
            </w:rPr>
          </w:pPr>
          <w:hyperlink w:history="true" w:anchor="bookmark540">
            <w:r>
              <w:rPr>
                <w:rFonts w:ascii="SimHei" w:hAnsi="SimHei" w:eastAsia="SimHei" w:cs="SimHei"/>
                <w:sz w:val="22"/>
                <w:szCs w:val="22"/>
              </w:rPr>
              <w:t>第四百二十五条</w:t>
            </w:r>
            <w:r>
              <w:rPr>
                <w:rFonts w:ascii="SimHei" w:hAnsi="SimHei" w:eastAsia="SimHei" w:cs="SimHei"/>
                <w:sz w:val="22"/>
                <w:szCs w:val="22"/>
              </w:rPr>
              <w:t xml:space="preserve"> </w:t>
            </w:r>
            <w:r>
              <w:rPr>
                <w:rFonts w:ascii="SimHei" w:hAnsi="SimHei" w:eastAsia="SimHei" w:cs="SimHei"/>
                <w:sz w:val="22"/>
                <w:szCs w:val="22"/>
              </w:rPr>
              <w:t>公共场所经营者未取得公共场所卫生许可证擅自营业，或涂改、转让、倒卖、伪造的卫生许可证</w:t>
            </w:r>
            <w:r>
              <w:rPr>
                <w:rFonts w:ascii="SimHei" w:hAnsi="SimHei" w:eastAsia="SimHei" w:cs="SimHei"/>
                <w:sz w:val="22"/>
                <w:szCs w:val="22"/>
                <w:spacing w:val="-1"/>
              </w:rPr>
              <w:t>擅自营业的，或未办理</w:t>
            </w:r>
          </w:hyperlink>
        </w:p>
        <w:p>
          <w:pPr>
            <w:pStyle w:val="BodyText"/>
            <w:spacing w:line="263" w:lineRule="auto"/>
            <w:rPr/>
          </w:pPr>
          <w:r/>
        </w:p>
        <w:p>
          <w:pPr>
            <w:ind w:left="826"/>
            <w:spacing w:before="94" w:line="234" w:lineRule="auto"/>
            <w:tabs>
              <w:tab w:val="right" w:leader="dot" w:pos="13930"/>
            </w:tabs>
            <w:rPr>
              <w:rFonts w:ascii="SimHei" w:hAnsi="SimHei" w:eastAsia="SimHei" w:cs="SimHei"/>
              <w:sz w:val="29"/>
              <w:szCs w:val="29"/>
            </w:rPr>
          </w:pPr>
          <w:hyperlink w:history="true" w:anchor="bookmark540">
            <w:r>
              <w:rPr>
                <w:rFonts w:ascii="SimHei" w:hAnsi="SimHei" w:eastAsia="SimHei" w:cs="SimHei"/>
                <w:sz w:val="22"/>
                <w:szCs w:val="22"/>
                <w:spacing w:val="-2"/>
                <w:position w:val="1"/>
              </w:rPr>
              <w:t>卫生备案的</w:t>
            </w:r>
            <w:r>
              <w:rPr>
                <w:rFonts w:ascii="SimHei" w:hAnsi="SimHei" w:eastAsia="SimHei" w:cs="SimHei"/>
                <w:sz w:val="22"/>
                <w:szCs w:val="22"/>
                <w:spacing w:val="-22"/>
                <w:position w:val="1"/>
              </w:rPr>
              <w:t xml:space="preserve"> </w:t>
            </w:r>
            <w:r>
              <w:rPr>
                <w:rFonts w:ascii="SimHei" w:hAnsi="SimHei" w:eastAsia="SimHei" w:cs="SimHei"/>
                <w:sz w:val="22"/>
                <w:szCs w:val="22"/>
              </w:rPr>
              <w:tab/>
            </w:r>
            <w:r>
              <w:rPr>
                <w:rFonts w:ascii="SimHei" w:hAnsi="SimHei" w:eastAsia="SimHei" w:cs="SimHei"/>
                <w:sz w:val="29"/>
                <w:szCs w:val="29"/>
                <w:spacing w:val="-1"/>
              </w:rPr>
              <w:t>498</w:t>
            </w:r>
          </w:hyperlink>
        </w:p>
        <w:p>
          <w:pPr>
            <w:pStyle w:val="BodyText"/>
            <w:spacing w:line="365" w:lineRule="auto"/>
            <w:rPr/>
          </w:pPr>
          <w:r/>
        </w:p>
        <w:p>
          <w:pPr>
            <w:ind w:left="826"/>
            <w:spacing w:before="73" w:line="222" w:lineRule="auto"/>
            <w:tabs>
              <w:tab w:val="right" w:leader="dot" w:pos="13933"/>
            </w:tabs>
            <w:rPr>
              <w:rFonts w:ascii="Times New Roman" w:hAnsi="Times New Roman" w:eastAsia="Times New Roman" w:cs="Times New Roman"/>
              <w:sz w:val="22"/>
              <w:szCs w:val="22"/>
            </w:rPr>
          </w:pPr>
          <w:hyperlink w:history="true" w:anchor="bookmark541">
            <w:r>
              <w:rPr>
                <w:rFonts w:ascii="SimHei" w:hAnsi="SimHei" w:eastAsia="SimHei" w:cs="SimHei"/>
                <w:sz w:val="22"/>
                <w:szCs w:val="22"/>
                <w:spacing w:val="1"/>
              </w:rPr>
              <w:t>第四百二十六条</w:t>
            </w:r>
            <w:r>
              <w:rPr>
                <w:rFonts w:ascii="SimHei" w:hAnsi="SimHei" w:eastAsia="SimHei" w:cs="SimHei"/>
                <w:sz w:val="22"/>
                <w:szCs w:val="22"/>
                <w:spacing w:val="1"/>
              </w:rPr>
              <w:t xml:space="preserve"> </w:t>
            </w:r>
            <w:r>
              <w:rPr>
                <w:rFonts w:ascii="SimHei" w:hAnsi="SimHei" w:eastAsia="SimHei" w:cs="SimHei"/>
                <w:sz w:val="22"/>
                <w:szCs w:val="22"/>
                <w:spacing w:val="1"/>
              </w:rPr>
              <w:t>公共场所经营者未按规定对公共场所卫生质量进行卫生检测的</w:t>
            </w:r>
            <w:r>
              <w:rPr>
                <w:rFonts w:ascii="SimHei" w:hAnsi="SimHei" w:eastAsia="SimHei" w:cs="SimHei"/>
                <w:sz w:val="22"/>
                <w:szCs w:val="22"/>
                <w:spacing w:val="-97"/>
              </w:rPr>
              <w:t xml:space="preserve"> </w:t>
            </w:r>
            <w:r>
              <w:rPr>
                <w:rFonts w:ascii="SimHei" w:hAnsi="SimHei" w:eastAsia="SimHei" w:cs="SimHei"/>
                <w:sz w:val="22"/>
                <w:szCs w:val="22"/>
              </w:rPr>
              <w:tab/>
            </w:r>
            <w:r>
              <w:rPr>
                <w:rFonts w:ascii="Times New Roman" w:hAnsi="Times New Roman" w:eastAsia="Times New Roman" w:cs="Times New Roman"/>
                <w:sz w:val="22"/>
                <w:szCs w:val="22"/>
              </w:rPr>
              <w:t>499</w:t>
            </w:r>
          </w:hyperlink>
        </w:p>
        <w:p>
          <w:pPr>
            <w:pStyle w:val="BodyText"/>
            <w:spacing w:line="471" w:lineRule="auto"/>
            <w:rPr/>
          </w:pPr>
          <w:r/>
        </w:p>
        <w:p>
          <w:pPr>
            <w:ind w:left="826"/>
            <w:spacing w:before="71" w:line="213" w:lineRule="auto"/>
            <w:tabs>
              <w:tab w:val="right" w:leader="dot" w:pos="13865"/>
            </w:tabs>
            <w:rPr>
              <w:rFonts w:ascii="Times New Roman" w:hAnsi="Times New Roman" w:eastAsia="Times New Roman" w:cs="Times New Roman"/>
              <w:sz w:val="22"/>
              <w:szCs w:val="22"/>
            </w:rPr>
          </w:pPr>
          <w:hyperlink w:history="true" w:anchor="bookmark542">
            <w:r>
              <w:rPr>
                <w:rFonts w:ascii="SimHei" w:hAnsi="SimHei" w:eastAsia="SimHei" w:cs="SimHei"/>
                <w:sz w:val="22"/>
                <w:szCs w:val="22"/>
              </w:rPr>
              <w:t>第四百二十七条</w:t>
            </w:r>
            <w:r>
              <w:rPr>
                <w:rFonts w:ascii="SimHei" w:hAnsi="SimHei" w:eastAsia="SimHei" w:cs="SimHei"/>
                <w:sz w:val="22"/>
                <w:szCs w:val="22"/>
              </w:rPr>
              <w:t xml:space="preserve"> </w:t>
            </w:r>
            <w:r>
              <w:rPr>
                <w:rFonts w:ascii="SimHei" w:hAnsi="SimHei" w:eastAsia="SimHei" w:cs="SimHei"/>
                <w:sz w:val="22"/>
                <w:szCs w:val="22"/>
              </w:rPr>
              <w:t>公共场所经营者未按照规定对顾客用品用具进行清洗、消毒、保洁的，或者重复</w:t>
            </w:r>
            <w:r>
              <w:rPr>
                <w:rFonts w:ascii="SimHei" w:hAnsi="SimHei" w:eastAsia="SimHei" w:cs="SimHei"/>
                <w:sz w:val="22"/>
                <w:szCs w:val="22"/>
                <w:spacing w:val="-1"/>
              </w:rPr>
              <w:t>使用一次性用品用具的</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35"/>
              </w:rPr>
              <w:t xml:space="preserve"> </w:t>
            </w:r>
            <w:r>
              <w:rPr>
                <w:rFonts w:ascii="Times New Roman" w:hAnsi="Times New Roman" w:eastAsia="Times New Roman" w:cs="Times New Roman"/>
                <w:sz w:val="22"/>
                <w:szCs w:val="22"/>
                <w:spacing w:val="-3"/>
              </w:rPr>
              <w:t>500</w:t>
            </w:r>
          </w:hyperlink>
        </w:p>
        <w:p>
          <w:pPr>
            <w:pStyle w:val="BodyText"/>
            <w:spacing w:line="245" w:lineRule="auto"/>
            <w:rPr/>
          </w:pPr>
          <w:r/>
        </w:p>
        <w:p>
          <w:pPr>
            <w:pStyle w:val="BodyText"/>
            <w:spacing w:line="246" w:lineRule="auto"/>
            <w:rPr/>
          </w:pPr>
          <w:r/>
        </w:p>
        <w:p>
          <w:pPr>
            <w:ind w:right="13"/>
            <w:spacing w:before="72" w:line="213" w:lineRule="auto"/>
            <w:jc w:val="right"/>
            <w:rPr>
              <w:rFonts w:ascii="SimHei" w:hAnsi="SimHei" w:eastAsia="SimHei" w:cs="SimHei"/>
              <w:sz w:val="22"/>
              <w:szCs w:val="22"/>
            </w:rPr>
          </w:pPr>
          <w:hyperlink w:history="true" w:anchor="bookmark543">
            <w:r>
              <w:rPr>
                <w:rFonts w:ascii="SimHei" w:hAnsi="SimHei" w:eastAsia="SimHei" w:cs="SimHei"/>
                <w:sz w:val="22"/>
                <w:szCs w:val="22"/>
                <w:spacing w:val="4"/>
              </w:rPr>
              <w:t>第四百二十八条</w:t>
            </w:r>
            <w:r>
              <w:rPr>
                <w:rFonts w:ascii="SimHei" w:hAnsi="SimHei" w:eastAsia="SimHei" w:cs="SimHei"/>
                <w:sz w:val="22"/>
                <w:szCs w:val="22"/>
                <w:spacing w:val="4"/>
              </w:rPr>
              <w:t xml:space="preserve"> </w:t>
            </w:r>
            <w:r>
              <w:rPr>
                <w:rFonts w:ascii="SimHei" w:hAnsi="SimHei" w:eastAsia="SimHei" w:cs="SimHei"/>
                <w:sz w:val="22"/>
                <w:szCs w:val="22"/>
                <w:spacing w:val="4"/>
              </w:rPr>
              <w:t>公共场所经营者未按照规定建立卫生管理制度的，或未按照规定设立卫生</w:t>
            </w:r>
            <w:r>
              <w:rPr>
                <w:rFonts w:ascii="SimHei" w:hAnsi="SimHei" w:eastAsia="SimHei" w:cs="SimHei"/>
                <w:sz w:val="22"/>
                <w:szCs w:val="22"/>
                <w:spacing w:val="3"/>
              </w:rPr>
              <w:t>管理部门的，或未按照规定配备专(兼)职卫</w:t>
            </w:r>
          </w:hyperlink>
        </w:p>
        <w:p>
          <w:pPr>
            <w:pStyle w:val="BodyText"/>
            <w:spacing w:line="302" w:lineRule="auto"/>
            <w:rPr/>
          </w:pPr>
          <w:r/>
        </w:p>
        <w:p>
          <w:pPr>
            <w:ind w:left="826"/>
            <w:spacing w:before="73" w:line="213" w:lineRule="auto"/>
            <w:tabs>
              <w:tab w:val="right" w:leader="dot" w:pos="13940"/>
            </w:tabs>
            <w:rPr>
              <w:rFonts w:ascii="Times New Roman" w:hAnsi="Times New Roman" w:eastAsia="Times New Roman" w:cs="Times New Roman"/>
              <w:sz w:val="22"/>
              <w:szCs w:val="22"/>
            </w:rPr>
          </w:pPr>
          <w:hyperlink w:history="true" w:anchor="bookmark544">
            <w:r>
              <w:rPr>
                <w:rFonts w:ascii="SimHei" w:hAnsi="SimHei" w:eastAsia="SimHei" w:cs="SimHei"/>
                <w:sz w:val="22"/>
                <w:szCs w:val="22"/>
                <w:spacing w:val="2"/>
              </w:rPr>
              <w:t>生管理人员的，或未按照规定建立卫生管理档案的</w:t>
            </w:r>
            <w:r>
              <w:rPr>
                <w:rFonts w:ascii="SimHei" w:hAnsi="SimHei" w:eastAsia="SimHei" w:cs="SimHei"/>
                <w:sz w:val="22"/>
                <w:szCs w:val="22"/>
                <w:spacing w:val="-95"/>
              </w:rPr>
              <w:t xml:space="preserve"> </w:t>
            </w:r>
            <w:r>
              <w:rPr>
                <w:rFonts w:ascii="SimHei" w:hAnsi="SimHei" w:eastAsia="SimHei" w:cs="SimHei"/>
                <w:sz w:val="22"/>
                <w:szCs w:val="22"/>
              </w:rPr>
              <w:tab/>
            </w:r>
            <w:r>
              <w:rPr>
                <w:rFonts w:ascii="Times New Roman" w:hAnsi="Times New Roman" w:eastAsia="Times New Roman" w:cs="Times New Roman"/>
                <w:sz w:val="22"/>
                <w:szCs w:val="22"/>
                <w:spacing w:val="-4"/>
              </w:rPr>
              <w:t>501</w:t>
            </w:r>
          </w:hyperlink>
        </w:p>
      </w:sdtContent>
    </w:sdt>
    <w:p>
      <w:pPr>
        <w:spacing w:line="213" w:lineRule="auto"/>
        <w:sectPr>
          <w:footerReference w:type="default" r:id="rId51"/>
          <w:pgSz w:w="16830" w:h="11900"/>
          <w:pgMar w:top="1011" w:right="1415" w:bottom="1145" w:left="1473" w:header="0" w:footer="776" w:gutter="0"/>
        </w:sectPr>
        <w:rPr>
          <w:rFonts w:ascii="Times New Roman" w:hAnsi="Times New Roman" w:eastAsia="Times New Roman" w:cs="Times New Roman"/>
          <w:sz w:val="22"/>
          <w:szCs w:val="22"/>
        </w:rPr>
      </w:pPr>
    </w:p>
    <w:p>
      <w:pPr>
        <w:pStyle w:val="BodyText"/>
        <w:spacing w:line="307" w:lineRule="auto"/>
        <w:rPr/>
      </w:pPr>
      <w:r/>
    </w:p>
    <w:p>
      <w:pPr>
        <w:pStyle w:val="BodyText"/>
        <w:spacing w:line="307" w:lineRule="auto"/>
        <w:rPr/>
      </w:pPr>
      <w:r/>
    </w:p>
    <w:p>
      <w:pPr>
        <w:pStyle w:val="BodyText"/>
        <w:spacing w:line="308" w:lineRule="auto"/>
        <w:rPr/>
      </w:pPr>
      <w:r/>
    </w:p>
    <w:p>
      <w:pPr>
        <w:spacing w:before="68" w:line="213" w:lineRule="auto"/>
        <w:rPr>
          <w:rFonts w:ascii="SimHei" w:hAnsi="SimHei" w:eastAsia="SimHei" w:cs="SimHei"/>
          <w:sz w:val="21"/>
          <w:szCs w:val="21"/>
        </w:rPr>
      </w:pPr>
      <w:r>
        <w:rPr>
          <w:rFonts w:ascii="SimHei" w:hAnsi="SimHei" w:eastAsia="SimHei" w:cs="SimHei"/>
          <w:sz w:val="21"/>
          <w:szCs w:val="21"/>
          <w:spacing w:val="10"/>
        </w:rPr>
        <w:t>第四百二十九条</w:t>
      </w:r>
      <w:r>
        <w:rPr>
          <w:rFonts w:ascii="SimHei" w:hAnsi="SimHei" w:eastAsia="SimHei" w:cs="SimHei"/>
          <w:sz w:val="21"/>
          <w:szCs w:val="21"/>
          <w:spacing w:val="10"/>
        </w:rPr>
        <w:t xml:space="preserve"> </w:t>
      </w:r>
      <w:r>
        <w:rPr>
          <w:rFonts w:ascii="SimHei" w:hAnsi="SimHei" w:eastAsia="SimHei" w:cs="SimHei"/>
          <w:sz w:val="21"/>
          <w:szCs w:val="21"/>
          <w:spacing w:val="10"/>
        </w:rPr>
        <w:t>公共场所经营者未按照规定组织培训的，或安排未经相关卫生法律知识和公共场所卫生知识培训考核的从业人员上岗的</w:t>
      </w:r>
    </w:p>
    <w:p>
      <w:pPr>
        <w:pStyle w:val="BodyText"/>
        <w:spacing w:line="276" w:lineRule="auto"/>
        <w:rPr/>
      </w:pPr>
      <w:r/>
    </w:p>
    <w:sdt>
      <w:sdtPr>
        <w:rPr>
          <w:rFonts w:ascii="SimHei" w:hAnsi="SimHei" w:eastAsia="SimHei" w:cs="SimHei"/>
          <w:sz w:val="12"/>
          <w:szCs w:val="12"/>
        </w:rPr>
        <w:docPartObj>
          <w:docPartGallery w:val="Table of Contents"/>
          <w:docPartUnique/>
        </w:docPartObj>
      </w:sdtPr>
      <w:sdtEndPr>
        <w:rPr>
          <w:rFonts w:ascii="Times New Roman" w:hAnsi="Times New Roman" w:eastAsia="Times New Roman" w:cs="Times New Roman"/>
          <w:sz w:val="21"/>
          <w:szCs w:val="21"/>
        </w:rPr>
      </w:sdtEndPr>
      <w:sdtContent>
        <w:p>
          <w:pPr>
            <w:ind w:left="9360"/>
            <w:spacing w:before="39"/>
            <w:tabs>
              <w:tab w:val="right" w:leader="dot" w:pos="12908"/>
            </w:tabs>
            <w:rPr>
              <w:rFonts w:ascii="SimHei" w:hAnsi="SimHei" w:eastAsia="SimHei" w:cs="SimHei"/>
              <w:sz w:val="12"/>
              <w:szCs w:val="12"/>
            </w:rPr>
          </w:pPr>
          <w:hyperlink w:history="true" w:anchor="bookmark545">
            <w:r>
              <w:rPr>
                <w:rFonts w:ascii="SimHei" w:hAnsi="SimHei" w:eastAsia="SimHei" w:cs="SimHei"/>
                <w:sz w:val="12"/>
                <w:szCs w:val="12"/>
              </w:rPr>
              <w:tab/>
            </w:r>
            <w:r>
              <w:rPr>
                <w:rFonts w:ascii="SimHei" w:hAnsi="SimHei" w:eastAsia="SimHei" w:cs="SimHei"/>
                <w:sz w:val="12"/>
                <w:szCs w:val="12"/>
                <w:spacing w:val="11"/>
              </w:rPr>
              <w:t xml:space="preserve">  </w:t>
            </w:r>
            <w:r>
              <w:rPr>
                <w:rFonts w:ascii="SimHei" w:hAnsi="SimHei" w:eastAsia="SimHei" w:cs="SimHei"/>
                <w:sz w:val="12"/>
                <w:szCs w:val="12"/>
                <w:spacing w:val="-1"/>
              </w:rPr>
              <w:t>502</w:t>
            </w:r>
          </w:hyperlink>
        </w:p>
        <w:p>
          <w:pPr>
            <w:pStyle w:val="BodyText"/>
            <w:spacing w:line="344" w:lineRule="auto"/>
            <w:rPr/>
          </w:pPr>
          <w:r/>
        </w:p>
        <w:p>
          <w:pPr>
            <w:spacing w:before="68" w:line="213" w:lineRule="auto"/>
            <w:jc w:val="right"/>
            <w:rPr>
              <w:rFonts w:ascii="SimHei" w:hAnsi="SimHei" w:eastAsia="SimHei" w:cs="SimHei"/>
              <w:sz w:val="21"/>
              <w:szCs w:val="21"/>
            </w:rPr>
          </w:pPr>
          <w:hyperlink w:history="true" w:anchor="bookmark546">
            <w:r>
              <w:rPr>
                <w:rFonts w:ascii="SimHei" w:hAnsi="SimHei" w:eastAsia="SimHei" w:cs="SimHei"/>
                <w:sz w:val="21"/>
                <w:szCs w:val="21"/>
                <w:spacing w:val="10"/>
              </w:rPr>
              <w:t>第四百三十条</w:t>
            </w:r>
            <w:r>
              <w:rPr>
                <w:rFonts w:ascii="SimHei" w:hAnsi="SimHei" w:eastAsia="SimHei" w:cs="SimHei"/>
                <w:sz w:val="21"/>
                <w:szCs w:val="21"/>
                <w:spacing w:val="10"/>
              </w:rPr>
              <w:t xml:space="preserve"> </w:t>
            </w:r>
            <w:r>
              <w:rPr>
                <w:rFonts w:ascii="SimHei" w:hAnsi="SimHei" w:eastAsia="SimHei" w:cs="SimHei"/>
                <w:sz w:val="21"/>
                <w:szCs w:val="21"/>
                <w:spacing w:val="10"/>
              </w:rPr>
              <w:t>公共场所经营者未按照规定设置与其经营规模、项目相适应的清洗、消毒、保洁、盥洗等设施设备和公共卫生间的，或擅</w:t>
            </w:r>
          </w:hyperlink>
        </w:p>
        <w:p>
          <w:pPr>
            <w:pStyle w:val="BodyText"/>
            <w:spacing w:line="327" w:lineRule="auto"/>
            <w:rPr/>
          </w:pPr>
          <w:r/>
        </w:p>
        <w:p>
          <w:pPr>
            <w:spacing w:before="68" w:line="213" w:lineRule="auto"/>
            <w:tabs>
              <w:tab w:val="right" w:leader="dot" w:pos="12898"/>
            </w:tabs>
            <w:rPr>
              <w:rFonts w:ascii="SimHei" w:hAnsi="SimHei" w:eastAsia="SimHei" w:cs="SimHei"/>
              <w:sz w:val="12"/>
              <w:szCs w:val="12"/>
            </w:rPr>
          </w:pPr>
          <w:hyperlink w:history="true" w:anchor="bookmark547">
            <w:r>
              <w:rPr>
                <w:rFonts w:ascii="SimHei" w:hAnsi="SimHei" w:eastAsia="SimHei" w:cs="SimHei"/>
                <w:sz w:val="21"/>
                <w:szCs w:val="21"/>
                <w:spacing w:val="9"/>
              </w:rPr>
              <w:t>自停止使用、拆除上述设施设备，或者挪作他用的</w:t>
            </w:r>
            <w:r>
              <w:rPr>
                <w:rFonts w:ascii="SimHei" w:hAnsi="SimHei" w:eastAsia="SimHei" w:cs="SimHei"/>
                <w:sz w:val="21"/>
                <w:szCs w:val="21"/>
                <w:spacing w:val="-24"/>
              </w:rPr>
              <w:t xml:space="preserve"> </w:t>
            </w:r>
            <w:r>
              <w:rPr>
                <w:rFonts w:ascii="SimHei" w:hAnsi="SimHei" w:eastAsia="SimHei" w:cs="SimHei"/>
                <w:sz w:val="21"/>
                <w:szCs w:val="21"/>
              </w:rPr>
              <w:tab/>
            </w:r>
            <w:r>
              <w:rPr>
                <w:rFonts w:ascii="SimHei" w:hAnsi="SimHei" w:eastAsia="SimHei" w:cs="SimHei"/>
                <w:sz w:val="21"/>
                <w:szCs w:val="21"/>
                <w:spacing w:val="-27"/>
              </w:rPr>
              <w:t xml:space="preserve"> </w:t>
            </w:r>
            <w:r>
              <w:rPr>
                <w:rFonts w:ascii="SimHei" w:hAnsi="SimHei" w:eastAsia="SimHei" w:cs="SimHei"/>
                <w:sz w:val="12"/>
                <w:szCs w:val="12"/>
                <w:spacing w:val="-1"/>
              </w:rPr>
              <w:t>503</w:t>
            </w:r>
          </w:hyperlink>
        </w:p>
        <w:p>
          <w:pPr>
            <w:pStyle w:val="BodyText"/>
            <w:spacing w:line="248" w:lineRule="auto"/>
            <w:rPr/>
          </w:pPr>
          <w:r/>
        </w:p>
        <w:p>
          <w:pPr>
            <w:pStyle w:val="BodyText"/>
            <w:spacing w:line="248" w:lineRule="auto"/>
            <w:rPr/>
          </w:pPr>
          <w:r/>
        </w:p>
        <w:p>
          <w:pPr>
            <w:ind w:left="9"/>
            <w:spacing w:before="68" w:line="213" w:lineRule="auto"/>
            <w:rPr>
              <w:rFonts w:ascii="SimHei" w:hAnsi="SimHei" w:eastAsia="SimHei" w:cs="SimHei"/>
              <w:sz w:val="21"/>
              <w:szCs w:val="21"/>
            </w:rPr>
          </w:pPr>
          <w:hyperlink w:history="true" w:anchor="bookmark548">
            <w:r>
              <w:rPr>
                <w:rFonts w:ascii="SimHei" w:hAnsi="SimHei" w:eastAsia="SimHei" w:cs="SimHei"/>
                <w:sz w:val="21"/>
                <w:szCs w:val="21"/>
                <w:spacing w:val="10"/>
              </w:rPr>
              <w:t>第四百三十一条</w:t>
            </w:r>
            <w:r>
              <w:rPr>
                <w:rFonts w:ascii="SimHei" w:hAnsi="SimHei" w:eastAsia="SimHei" w:cs="SimHei"/>
                <w:sz w:val="21"/>
                <w:szCs w:val="21"/>
                <w:spacing w:val="10"/>
              </w:rPr>
              <w:t xml:space="preserve"> </w:t>
            </w:r>
            <w:r>
              <w:rPr>
                <w:rFonts w:ascii="SimHei" w:hAnsi="SimHei" w:eastAsia="SimHei" w:cs="SimHei"/>
                <w:sz w:val="21"/>
                <w:szCs w:val="21"/>
                <w:spacing w:val="10"/>
              </w:rPr>
              <w:t>公共场所经营者未按照规定配备预防控制鼠、蚊</w:t>
            </w:r>
            <w:r>
              <w:rPr>
                <w:rFonts w:ascii="SimHei" w:hAnsi="SimHei" w:eastAsia="SimHei" w:cs="SimHei"/>
                <w:sz w:val="21"/>
                <w:szCs w:val="21"/>
                <w:spacing w:val="9"/>
              </w:rPr>
              <w:t>、蝇、蟑螂和其他病媒生物的设施设备以及废弃物存放专用设施设备，</w:t>
            </w:r>
          </w:hyperlink>
        </w:p>
        <w:p>
          <w:pPr>
            <w:pStyle w:val="BodyText"/>
            <w:spacing w:line="346" w:lineRule="auto"/>
            <w:rPr/>
          </w:pPr>
          <w:r/>
        </w:p>
        <w:p>
          <w:pPr>
            <w:spacing w:before="69" w:line="221" w:lineRule="auto"/>
            <w:tabs>
              <w:tab w:val="right" w:leader="dot" w:pos="13024"/>
            </w:tabs>
            <w:rPr>
              <w:rFonts w:ascii="Times New Roman" w:hAnsi="Times New Roman" w:eastAsia="Times New Roman" w:cs="Times New Roman"/>
              <w:sz w:val="21"/>
              <w:szCs w:val="21"/>
            </w:rPr>
          </w:pPr>
          <w:hyperlink w:history="true" w:anchor="bookmark549">
            <w:r>
              <w:rPr>
                <w:rFonts w:ascii="SimHei" w:hAnsi="SimHei" w:eastAsia="SimHei" w:cs="SimHei"/>
                <w:sz w:val="21"/>
                <w:szCs w:val="21"/>
                <w:spacing w:val="11"/>
              </w:rPr>
              <w:t>或者擅自停止使用、拆除预防控制鼠、蚊、蝇、蟑螂和其他病</w:t>
            </w:r>
            <w:r>
              <w:rPr>
                <w:rFonts w:ascii="SimHei" w:hAnsi="SimHei" w:eastAsia="SimHei" w:cs="SimHei"/>
                <w:sz w:val="21"/>
                <w:szCs w:val="21"/>
                <w:spacing w:val="10"/>
              </w:rPr>
              <w:t>媒生物的设施设备以及废弃物存放专用设施设备的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70"/>
              </w:rPr>
              <w:t xml:space="preserve"> </w:t>
            </w:r>
            <w:r>
              <w:rPr>
                <w:rFonts w:ascii="Times New Roman" w:hAnsi="Times New Roman" w:eastAsia="Times New Roman" w:cs="Times New Roman"/>
                <w:sz w:val="21"/>
                <w:szCs w:val="21"/>
                <w:spacing w:val="-3"/>
              </w:rPr>
              <w:t>505</w:t>
            </w:r>
          </w:hyperlink>
        </w:p>
        <w:p>
          <w:pPr>
            <w:pStyle w:val="BodyText"/>
            <w:spacing w:line="477" w:lineRule="auto"/>
            <w:rPr/>
          </w:pPr>
          <w:r/>
        </w:p>
        <w:p>
          <w:pPr>
            <w:spacing w:before="69" w:line="221" w:lineRule="auto"/>
            <w:tabs>
              <w:tab w:val="right" w:leader="dot" w:pos="12944"/>
            </w:tabs>
            <w:rPr>
              <w:rFonts w:ascii="Times New Roman" w:hAnsi="Times New Roman" w:eastAsia="Times New Roman" w:cs="Times New Roman"/>
              <w:sz w:val="21"/>
              <w:szCs w:val="21"/>
            </w:rPr>
          </w:pPr>
          <w:hyperlink w:history="true" w:anchor="bookmark550">
            <w:r>
              <w:rPr>
                <w:rFonts w:ascii="SimHei" w:hAnsi="SimHei" w:eastAsia="SimHei" w:cs="SimHei"/>
                <w:sz w:val="21"/>
                <w:szCs w:val="21"/>
                <w:spacing w:val="11"/>
              </w:rPr>
              <w:t>第四百三十二条</w:t>
            </w:r>
            <w:r>
              <w:rPr>
                <w:rFonts w:ascii="SimHei" w:hAnsi="SimHei" w:eastAsia="SimHei" w:cs="SimHei"/>
                <w:sz w:val="21"/>
                <w:szCs w:val="21"/>
                <w:spacing w:val="11"/>
              </w:rPr>
              <w:t xml:space="preserve"> </w:t>
            </w:r>
            <w:r>
              <w:rPr>
                <w:rFonts w:ascii="SimHei" w:hAnsi="SimHei" w:eastAsia="SimHei" w:cs="SimHei"/>
                <w:sz w:val="21"/>
                <w:szCs w:val="21"/>
                <w:spacing w:val="11"/>
              </w:rPr>
              <w:t>公共场所经营者未按照规定索</w:t>
            </w:r>
            <w:r>
              <w:rPr>
                <w:rFonts w:ascii="SimHei" w:hAnsi="SimHei" w:eastAsia="SimHei" w:cs="SimHei"/>
                <w:sz w:val="21"/>
                <w:szCs w:val="21"/>
                <w:spacing w:val="10"/>
              </w:rPr>
              <w:t>取公共卫生用品检验合格证明和其他相关资料的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506</w:t>
            </w:r>
          </w:hyperlink>
        </w:p>
        <w:p>
          <w:pPr>
            <w:pStyle w:val="BodyText"/>
            <w:spacing w:line="248" w:lineRule="auto"/>
            <w:rPr/>
          </w:pPr>
          <w:r/>
        </w:p>
        <w:p>
          <w:pPr>
            <w:pStyle w:val="BodyText"/>
            <w:spacing w:line="249" w:lineRule="auto"/>
            <w:rPr/>
          </w:pPr>
          <w:r/>
        </w:p>
        <w:p>
          <w:pPr>
            <w:spacing w:before="68" w:line="221" w:lineRule="auto"/>
            <w:tabs>
              <w:tab w:val="right" w:leader="dot" w:pos="13005"/>
            </w:tabs>
            <w:rPr>
              <w:rFonts w:ascii="Times New Roman" w:hAnsi="Times New Roman" w:eastAsia="Times New Roman" w:cs="Times New Roman"/>
              <w:sz w:val="21"/>
              <w:szCs w:val="21"/>
            </w:rPr>
          </w:pPr>
          <w:hyperlink w:history="true" w:anchor="bookmark551">
            <w:r>
              <w:rPr>
                <w:rFonts w:ascii="SimHei" w:hAnsi="SimHei" w:eastAsia="SimHei" w:cs="SimHei"/>
                <w:sz w:val="21"/>
                <w:szCs w:val="21"/>
                <w:spacing w:val="9"/>
              </w:rPr>
              <w:t>第四百三十三条</w:t>
            </w:r>
            <w:r>
              <w:rPr>
                <w:rFonts w:ascii="SimHei" w:hAnsi="SimHei" w:eastAsia="SimHei" w:cs="SimHei"/>
                <w:sz w:val="21"/>
                <w:szCs w:val="21"/>
                <w:spacing w:val="9"/>
              </w:rPr>
              <w:t xml:space="preserve"> </w:t>
            </w:r>
            <w:r>
              <w:rPr>
                <w:rFonts w:ascii="SimHei" w:hAnsi="SimHei" w:eastAsia="SimHei" w:cs="SimHei"/>
                <w:sz w:val="21"/>
                <w:szCs w:val="21"/>
                <w:spacing w:val="9"/>
              </w:rPr>
              <w:t>公共场所经营者未按照规定对公共场所新建、改建、扩建项目办理预防性卫生审查手续的</w:t>
            </w:r>
            <w:r>
              <w:rPr>
                <w:rFonts w:ascii="SimHei" w:hAnsi="SimHei" w:eastAsia="SimHei" w:cs="SimHei"/>
                <w:sz w:val="21"/>
                <w:szCs w:val="21"/>
                <w:spacing w:val="-94"/>
              </w:rPr>
              <w:t xml:space="preserve"> </w:t>
            </w:r>
            <w:r>
              <w:rPr>
                <w:rFonts w:ascii="SimHei" w:hAnsi="SimHei" w:eastAsia="SimHei" w:cs="SimHei"/>
                <w:sz w:val="21"/>
                <w:szCs w:val="21"/>
              </w:rPr>
              <w:tab/>
            </w:r>
            <w:r>
              <w:rPr>
                <w:rFonts w:ascii="Times New Roman" w:hAnsi="Times New Roman" w:eastAsia="Times New Roman" w:cs="Times New Roman"/>
                <w:sz w:val="21"/>
                <w:szCs w:val="21"/>
                <w:spacing w:val="-2"/>
              </w:rPr>
              <w:t>507</w:t>
            </w:r>
          </w:hyperlink>
        </w:p>
        <w:p>
          <w:pPr>
            <w:pStyle w:val="BodyText"/>
            <w:spacing w:line="253" w:lineRule="auto"/>
            <w:rPr/>
          </w:pPr>
          <w:r/>
        </w:p>
        <w:p>
          <w:pPr>
            <w:pStyle w:val="BodyText"/>
            <w:spacing w:line="254" w:lineRule="auto"/>
            <w:rPr/>
          </w:pPr>
          <w:r/>
        </w:p>
        <w:p>
          <w:pPr>
            <w:spacing w:before="69" w:line="221" w:lineRule="auto"/>
            <w:tabs>
              <w:tab w:val="right" w:leader="dot" w:pos="13005"/>
            </w:tabs>
            <w:rPr>
              <w:rFonts w:ascii="Times New Roman" w:hAnsi="Times New Roman" w:eastAsia="Times New Roman" w:cs="Times New Roman"/>
              <w:sz w:val="21"/>
              <w:szCs w:val="21"/>
            </w:rPr>
          </w:pPr>
          <w:hyperlink w:history="true" w:anchor="bookmark552">
            <w:r>
              <w:rPr>
                <w:rFonts w:ascii="SimHei" w:hAnsi="SimHei" w:eastAsia="SimHei" w:cs="SimHei"/>
                <w:sz w:val="21"/>
                <w:szCs w:val="21"/>
                <w:spacing w:val="9"/>
              </w:rPr>
              <w:t>第四百三十四条</w:t>
            </w:r>
            <w:r>
              <w:rPr>
                <w:rFonts w:ascii="SimHei" w:hAnsi="SimHei" w:eastAsia="SimHei" w:cs="SimHei"/>
                <w:sz w:val="21"/>
                <w:szCs w:val="21"/>
                <w:spacing w:val="9"/>
              </w:rPr>
              <w:t xml:space="preserve"> </w:t>
            </w:r>
            <w:r>
              <w:rPr>
                <w:rFonts w:ascii="SimHei" w:hAnsi="SimHei" w:eastAsia="SimHei" w:cs="SimHei"/>
                <w:sz w:val="21"/>
                <w:szCs w:val="21"/>
                <w:spacing w:val="9"/>
              </w:rPr>
              <w:t>公共场所经营者使用未经卫生检测或者评价不合格而投入使用的集中空调通</w:t>
            </w:r>
            <w:r>
              <w:rPr>
                <w:rFonts w:ascii="SimHei" w:hAnsi="SimHei" w:eastAsia="SimHei" w:cs="SimHei"/>
                <w:sz w:val="21"/>
                <w:szCs w:val="21"/>
                <w:spacing w:val="8"/>
              </w:rPr>
              <w:t>风系统的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508</w:t>
            </w:r>
          </w:hyperlink>
        </w:p>
        <w:p>
          <w:pPr>
            <w:pStyle w:val="BodyText"/>
            <w:spacing w:line="248" w:lineRule="auto"/>
            <w:rPr/>
          </w:pPr>
          <w:r/>
        </w:p>
        <w:p>
          <w:pPr>
            <w:pStyle w:val="BodyText"/>
            <w:spacing w:line="249" w:lineRule="auto"/>
            <w:rPr/>
          </w:pPr>
          <w:r/>
        </w:p>
        <w:p>
          <w:pPr>
            <w:spacing w:before="68" w:line="221" w:lineRule="auto"/>
            <w:tabs>
              <w:tab w:val="right" w:leader="dot" w:pos="13005"/>
            </w:tabs>
            <w:rPr>
              <w:rFonts w:ascii="Times New Roman" w:hAnsi="Times New Roman" w:eastAsia="Times New Roman" w:cs="Times New Roman"/>
              <w:sz w:val="21"/>
              <w:szCs w:val="21"/>
            </w:rPr>
          </w:pPr>
          <w:hyperlink w:history="true" w:anchor="bookmark553">
            <w:r>
              <w:rPr>
                <w:rFonts w:ascii="SimHei" w:hAnsi="SimHei" w:eastAsia="SimHei" w:cs="SimHei"/>
                <w:sz w:val="21"/>
                <w:szCs w:val="21"/>
                <w:spacing w:val="9"/>
              </w:rPr>
              <w:t>第四百三十五条</w:t>
            </w:r>
            <w:r>
              <w:rPr>
                <w:rFonts w:ascii="SimHei" w:hAnsi="SimHei" w:eastAsia="SimHei" w:cs="SimHei"/>
                <w:sz w:val="21"/>
                <w:szCs w:val="21"/>
                <w:spacing w:val="9"/>
              </w:rPr>
              <w:t xml:space="preserve"> </w:t>
            </w:r>
            <w:r>
              <w:rPr>
                <w:rFonts w:ascii="SimHei" w:hAnsi="SimHei" w:eastAsia="SimHei" w:cs="SimHei"/>
                <w:sz w:val="21"/>
                <w:szCs w:val="21"/>
                <w:spacing w:val="9"/>
              </w:rPr>
              <w:t>公共场所经营者未按照规定公示公共场所卫生许可证、卫生检测结果和卫生信誉度等级的</w:t>
            </w:r>
            <w:r>
              <w:rPr>
                <w:rFonts w:ascii="SimHei" w:hAnsi="SimHei" w:eastAsia="SimHei" w:cs="SimHei"/>
                <w:sz w:val="21"/>
                <w:szCs w:val="21"/>
                <w:spacing w:val="-94"/>
              </w:rPr>
              <w:t xml:space="preserve"> </w:t>
            </w:r>
            <w:r>
              <w:rPr>
                <w:rFonts w:ascii="SimHei" w:hAnsi="SimHei" w:eastAsia="SimHei" w:cs="SimHei"/>
                <w:sz w:val="21"/>
                <w:szCs w:val="21"/>
              </w:rPr>
              <w:tab/>
            </w:r>
            <w:r>
              <w:rPr>
                <w:rFonts w:ascii="Times New Roman" w:hAnsi="Times New Roman" w:eastAsia="Times New Roman" w:cs="Times New Roman"/>
                <w:sz w:val="21"/>
                <w:szCs w:val="21"/>
                <w:spacing w:val="-2"/>
              </w:rPr>
              <w:t>509</w:t>
            </w:r>
          </w:hyperlink>
        </w:p>
        <w:p>
          <w:pPr>
            <w:pStyle w:val="BodyText"/>
            <w:spacing w:line="249" w:lineRule="auto"/>
            <w:rPr/>
          </w:pPr>
          <w:r/>
        </w:p>
        <w:p>
          <w:pPr>
            <w:pStyle w:val="BodyText"/>
            <w:spacing w:line="249" w:lineRule="auto"/>
            <w:rPr/>
          </w:pPr>
          <w:r/>
        </w:p>
        <w:p>
          <w:pPr>
            <w:spacing w:before="69" w:line="213" w:lineRule="auto"/>
            <w:tabs>
              <w:tab w:val="right" w:leader="dot" w:pos="13074"/>
            </w:tabs>
            <w:rPr>
              <w:rFonts w:ascii="Times New Roman" w:hAnsi="Times New Roman" w:eastAsia="Times New Roman" w:cs="Times New Roman"/>
              <w:sz w:val="21"/>
              <w:szCs w:val="21"/>
            </w:rPr>
          </w:pPr>
          <w:hyperlink w:history="true" w:anchor="bookmark554">
            <w:r>
              <w:rPr>
                <w:rFonts w:ascii="SimHei" w:hAnsi="SimHei" w:eastAsia="SimHei" w:cs="SimHei"/>
                <w:sz w:val="21"/>
                <w:szCs w:val="21"/>
                <w:spacing w:val="9"/>
              </w:rPr>
              <w:t>第四百三十六条</w:t>
            </w:r>
            <w:r>
              <w:rPr>
                <w:rFonts w:ascii="SimHei" w:hAnsi="SimHei" w:eastAsia="SimHei" w:cs="SimHei"/>
                <w:sz w:val="21"/>
                <w:szCs w:val="21"/>
                <w:spacing w:val="9"/>
              </w:rPr>
              <w:t xml:space="preserve"> </w:t>
            </w:r>
            <w:r>
              <w:rPr>
                <w:rFonts w:ascii="SimHei" w:hAnsi="SimHei" w:eastAsia="SimHei" w:cs="SimHei"/>
                <w:sz w:val="21"/>
                <w:szCs w:val="21"/>
                <w:spacing w:val="9"/>
              </w:rPr>
              <w:t>公共场所经营者对发生的危害健康事故未立即采取处置措施导致危害扩大，或隐瞒、缓报、谎报危害健康事</w:t>
            </w:r>
            <w:r>
              <w:rPr>
                <w:rFonts w:ascii="SimHei" w:hAnsi="SimHei" w:eastAsia="SimHei" w:cs="SimHei"/>
                <w:sz w:val="21"/>
                <w:szCs w:val="21"/>
                <w:spacing w:val="8"/>
              </w:rPr>
              <w:t>故的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510</w:t>
            </w:r>
          </w:hyperlink>
        </w:p>
      </w:sdtContent>
    </w:sdt>
    <w:p>
      <w:pPr>
        <w:spacing w:line="213" w:lineRule="auto"/>
        <w:sectPr>
          <w:footerReference w:type="default" r:id="rId52"/>
          <w:pgSz w:w="16830" w:h="11900"/>
          <w:pgMar w:top="1011" w:right="1419" w:bottom="1137" w:left="2299" w:header="0" w:footer="804" w:gutter="0"/>
        </w:sectPr>
        <w:rPr>
          <w:rFonts w:ascii="Times New Roman" w:hAnsi="Times New Roman" w:eastAsia="Times New Roman" w:cs="Times New Roman"/>
          <w:sz w:val="21"/>
          <w:szCs w:val="21"/>
        </w:rPr>
      </w:pPr>
    </w:p>
    <w:p>
      <w:pPr>
        <w:pStyle w:val="BodyText"/>
        <w:spacing w:line="249" w:lineRule="auto"/>
        <w:rPr/>
      </w:pPr>
      <w:r/>
    </w:p>
    <w:p>
      <w:pPr>
        <w:pStyle w:val="BodyText"/>
        <w:spacing w:line="250" w:lineRule="auto"/>
        <w:rPr/>
      </w:pPr>
      <w:r/>
    </w:p>
    <w:p>
      <w:pPr>
        <w:pStyle w:val="BodyText"/>
        <w:spacing w:line="250" w:lineRule="auto"/>
        <w:rPr/>
      </w:pPr>
      <w:r/>
    </w:p>
    <w:sdt>
      <w:sdtPr>
        <w:rPr>
          <w:rFonts w:ascii="KaiTi" w:hAnsi="KaiTi" w:eastAsia="KaiTi" w:cs="KaiT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spacing w:before="68" w:line="223" w:lineRule="auto"/>
            <w:tabs>
              <w:tab w:val="right" w:leader="dot" w:pos="13374"/>
            </w:tabs>
            <w:rPr>
              <w:rFonts w:ascii="Times New Roman" w:hAnsi="Times New Roman" w:eastAsia="Times New Roman" w:cs="Times New Roman"/>
              <w:sz w:val="21"/>
              <w:szCs w:val="21"/>
            </w:rPr>
          </w:pPr>
          <w:hyperlink w:history="true" w:anchor="bookmark555">
            <w:r>
              <w:rPr>
                <w:rFonts w:ascii="KaiTi" w:hAnsi="KaiTi" w:eastAsia="KaiTi" w:cs="KaiTi"/>
                <w:sz w:val="21"/>
                <w:szCs w:val="21"/>
                <w:spacing w:val="-5"/>
              </w:rPr>
              <w:t>(</w:t>
            </w:r>
            <w:r>
              <w:rPr>
                <w:rFonts w:ascii="KaiTi" w:hAnsi="KaiTi" w:eastAsia="KaiTi" w:cs="KaiTi"/>
                <w:sz w:val="21"/>
                <w:szCs w:val="21"/>
                <w:spacing w:val="-5"/>
              </w:rPr>
              <w:t xml:space="preserve"> </w:t>
            </w:r>
            <w:r>
              <w:rPr>
                <w:rFonts w:ascii="KaiTi" w:hAnsi="KaiTi" w:eastAsia="KaiTi" w:cs="KaiTi"/>
                <w:sz w:val="21"/>
                <w:szCs w:val="21"/>
                <w:spacing w:val="-5"/>
              </w:rPr>
              <w:t>二</w:t>
            </w:r>
            <w:r>
              <w:rPr>
                <w:rFonts w:ascii="KaiTi" w:hAnsi="KaiTi" w:eastAsia="KaiTi" w:cs="KaiTi"/>
                <w:sz w:val="21"/>
                <w:szCs w:val="21"/>
                <w:spacing w:val="-5"/>
              </w:rPr>
              <w:t xml:space="preserve"> </w:t>
            </w:r>
            <w:r>
              <w:rPr>
                <w:rFonts w:ascii="KaiTi" w:hAnsi="KaiTi" w:eastAsia="KaiTi" w:cs="KaiTi"/>
                <w:sz w:val="21"/>
                <w:szCs w:val="21"/>
                <w:spacing w:val="-5"/>
              </w:rPr>
              <w:t>)</w:t>
            </w:r>
            <w:r>
              <w:rPr>
                <w:rFonts w:ascii="KaiTi" w:hAnsi="KaiTi" w:eastAsia="KaiTi" w:cs="KaiTi"/>
                <w:sz w:val="21"/>
                <w:szCs w:val="21"/>
                <w:spacing w:val="4"/>
              </w:rPr>
              <w:t xml:space="preserve"> </w:t>
            </w:r>
            <w:r>
              <w:rPr>
                <w:rFonts w:ascii="KaiTi" w:hAnsi="KaiTi" w:eastAsia="KaiTi" w:cs="KaiTi"/>
                <w:sz w:val="21"/>
                <w:szCs w:val="21"/>
                <w:spacing w:val="-5"/>
              </w:rPr>
              <w:t>《生活饮用水卫生监督管理办法》</w:t>
            </w:r>
            <w:r>
              <w:rPr>
                <w:rFonts w:ascii="KaiTi" w:hAnsi="KaiTi" w:eastAsia="KaiTi" w:cs="KaiTi"/>
                <w:sz w:val="21"/>
                <w:szCs w:val="21"/>
                <w:spacing w:val="-76"/>
              </w:rPr>
              <w:t xml:space="preserve"> </w:t>
            </w:r>
            <w:r>
              <w:rPr>
                <w:rFonts w:ascii="KaiTi" w:hAnsi="KaiTi" w:eastAsia="KaiTi" w:cs="KaiTi"/>
                <w:sz w:val="21"/>
                <w:szCs w:val="21"/>
                <w:color w:val="407070"/>
              </w:rPr>
              <w:tab/>
            </w:r>
            <w:r>
              <w:rPr>
                <w:rFonts w:ascii="KaiTi" w:hAnsi="KaiTi" w:eastAsia="KaiTi" w:cs="KaiTi"/>
                <w:sz w:val="21"/>
                <w:szCs w:val="21"/>
                <w:spacing w:val="-71"/>
              </w:rPr>
              <w:t xml:space="preserve"> </w:t>
            </w:r>
            <w:r>
              <w:rPr>
                <w:rFonts w:ascii="Times New Roman" w:hAnsi="Times New Roman" w:eastAsia="Times New Roman" w:cs="Times New Roman"/>
                <w:sz w:val="21"/>
                <w:szCs w:val="21"/>
                <w:spacing w:val="-4"/>
              </w:rPr>
              <w:t>511</w:t>
            </w:r>
          </w:hyperlink>
        </w:p>
        <w:p>
          <w:pPr>
            <w:pStyle w:val="BodyText"/>
            <w:spacing w:line="339" w:lineRule="auto"/>
            <w:rPr/>
          </w:pPr>
          <w:r/>
        </w:p>
        <w:p>
          <w:pPr>
            <w:ind w:left="349"/>
            <w:spacing w:before="68" w:line="221" w:lineRule="auto"/>
            <w:rPr>
              <w:rFonts w:ascii="SimHei" w:hAnsi="SimHei" w:eastAsia="SimHei" w:cs="SimHei"/>
              <w:sz w:val="21"/>
              <w:szCs w:val="21"/>
            </w:rPr>
          </w:pPr>
          <w:hyperlink w:history="true" w:anchor="bookmark556">
            <w:r>
              <w:rPr>
                <w:rFonts w:ascii="SimHei" w:hAnsi="SimHei" w:eastAsia="SimHei" w:cs="SimHei"/>
                <w:sz w:val="21"/>
                <w:szCs w:val="21"/>
                <w:spacing w:val="12"/>
              </w:rPr>
              <w:t>第四百三十七条</w:t>
            </w:r>
            <w:r>
              <w:rPr>
                <w:rFonts w:ascii="SimHei" w:hAnsi="SimHei" w:eastAsia="SimHei" w:cs="SimHei"/>
                <w:sz w:val="21"/>
                <w:szCs w:val="21"/>
                <w:spacing w:val="35"/>
              </w:rPr>
              <w:t xml:space="preserve"> </w:t>
            </w:r>
            <w:r>
              <w:rPr>
                <w:rFonts w:ascii="SimHei" w:hAnsi="SimHei" w:eastAsia="SimHei" w:cs="SimHei"/>
                <w:sz w:val="21"/>
                <w:szCs w:val="21"/>
                <w:spacing w:val="12"/>
              </w:rPr>
              <w:t>集中式供水单位安排未取得体检合格</w:t>
            </w:r>
            <w:r>
              <w:rPr>
                <w:rFonts w:ascii="SimHei" w:hAnsi="SimHei" w:eastAsia="SimHei" w:cs="SimHei"/>
                <w:sz w:val="21"/>
                <w:szCs w:val="21"/>
                <w:spacing w:val="11"/>
              </w:rPr>
              <w:t>证的人员从事直接供、管水工作或安排患有有碍饮用水卫生疾病的或病原携带者</w:t>
            </w:r>
          </w:hyperlink>
        </w:p>
        <w:p>
          <w:pPr>
            <w:pStyle w:val="BodyText"/>
            <w:spacing w:line="308" w:lineRule="auto"/>
            <w:rPr/>
          </w:pPr>
          <w:r/>
        </w:p>
        <w:p>
          <w:pPr>
            <w:ind w:left="330"/>
            <w:spacing w:before="69" w:line="222" w:lineRule="auto"/>
            <w:tabs>
              <w:tab w:val="right" w:leader="dot" w:pos="13314"/>
            </w:tabs>
            <w:rPr>
              <w:rFonts w:ascii="Times New Roman" w:hAnsi="Times New Roman" w:eastAsia="Times New Roman" w:cs="Times New Roman"/>
              <w:sz w:val="21"/>
              <w:szCs w:val="21"/>
            </w:rPr>
          </w:pPr>
          <w:hyperlink w:history="true" w:anchor="bookmark557">
            <w:r>
              <w:rPr>
                <w:rFonts w:ascii="SimHei" w:hAnsi="SimHei" w:eastAsia="SimHei" w:cs="SimHei"/>
                <w:sz w:val="21"/>
                <w:szCs w:val="21"/>
                <w:spacing w:val="14"/>
              </w:rPr>
              <w:t>从事直接供、管水工作的</w:t>
            </w:r>
            <w:r>
              <w:rPr>
                <w:rFonts w:ascii="SimHei" w:hAnsi="SimHei" w:eastAsia="SimHei" w:cs="SimHei"/>
                <w:sz w:val="21"/>
                <w:szCs w:val="21"/>
                <w:spacing w:val="-91"/>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511</w:t>
            </w:r>
          </w:hyperlink>
        </w:p>
        <w:p>
          <w:pPr>
            <w:pStyle w:val="BodyText"/>
            <w:spacing w:line="247" w:lineRule="auto"/>
            <w:rPr/>
          </w:pPr>
          <w:r/>
        </w:p>
        <w:p>
          <w:pPr>
            <w:pStyle w:val="BodyText"/>
            <w:spacing w:line="248" w:lineRule="auto"/>
            <w:rPr/>
          </w:pPr>
          <w:r/>
        </w:p>
        <w:p>
          <w:pPr>
            <w:ind w:left="330"/>
            <w:spacing w:before="68" w:line="221" w:lineRule="auto"/>
            <w:tabs>
              <w:tab w:val="right" w:leader="dot" w:pos="13334"/>
            </w:tabs>
            <w:rPr>
              <w:rFonts w:ascii="Times New Roman" w:hAnsi="Times New Roman" w:eastAsia="Times New Roman" w:cs="Times New Roman"/>
              <w:sz w:val="21"/>
              <w:szCs w:val="21"/>
            </w:rPr>
          </w:pPr>
          <w:hyperlink w:history="true" w:anchor="bookmark558">
            <w:r>
              <w:rPr>
                <w:rFonts w:ascii="SimHei" w:hAnsi="SimHei" w:eastAsia="SimHei" w:cs="SimHei"/>
                <w:sz w:val="21"/>
                <w:szCs w:val="21"/>
                <w:spacing w:val="9"/>
              </w:rPr>
              <w:t>第四百三十八条</w:t>
            </w:r>
            <w:r>
              <w:rPr>
                <w:rFonts w:ascii="SimHei" w:hAnsi="SimHei" w:eastAsia="SimHei" w:cs="SimHei"/>
                <w:sz w:val="21"/>
                <w:szCs w:val="21"/>
                <w:spacing w:val="9"/>
              </w:rPr>
              <w:t xml:space="preserve"> </w:t>
            </w:r>
            <w:r>
              <w:rPr>
                <w:rFonts w:ascii="SimHei" w:hAnsi="SimHei" w:eastAsia="SimHei" w:cs="SimHei"/>
                <w:sz w:val="21"/>
                <w:szCs w:val="21"/>
                <w:spacing w:val="9"/>
              </w:rPr>
              <w:t>在饮用水水源保护区修建危害水源水质卫生的设施或进行有碍水源水质卫生作业的</w:t>
            </w:r>
            <w:r>
              <w:rPr>
                <w:rFonts w:ascii="SimHei" w:hAnsi="SimHei" w:eastAsia="SimHei" w:cs="SimHei"/>
                <w:sz w:val="21"/>
                <w:szCs w:val="21"/>
                <w:spacing w:val="-78"/>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512</w:t>
            </w:r>
          </w:hyperlink>
        </w:p>
        <w:p>
          <w:pPr>
            <w:pStyle w:val="BodyText"/>
            <w:spacing w:line="253" w:lineRule="auto"/>
            <w:rPr/>
          </w:pPr>
          <w:r/>
        </w:p>
        <w:p>
          <w:pPr>
            <w:pStyle w:val="BodyText"/>
            <w:spacing w:line="254" w:lineRule="auto"/>
            <w:rPr/>
          </w:pPr>
          <w:r/>
        </w:p>
        <w:p>
          <w:pPr>
            <w:ind w:left="330"/>
            <w:spacing w:before="68" w:line="221" w:lineRule="auto"/>
            <w:tabs>
              <w:tab w:val="right" w:leader="dot" w:pos="13334"/>
            </w:tabs>
            <w:rPr>
              <w:rFonts w:ascii="Times New Roman" w:hAnsi="Times New Roman" w:eastAsia="Times New Roman" w:cs="Times New Roman"/>
              <w:sz w:val="21"/>
              <w:szCs w:val="21"/>
            </w:rPr>
          </w:pPr>
          <w:hyperlink w:history="true" w:anchor="bookmark559">
            <w:r>
              <w:rPr>
                <w:rFonts w:ascii="SimHei" w:hAnsi="SimHei" w:eastAsia="SimHei" w:cs="SimHei"/>
                <w:sz w:val="21"/>
                <w:szCs w:val="21"/>
                <w:spacing w:val="11"/>
              </w:rPr>
              <w:t>第四百三十九条</w:t>
            </w:r>
            <w:r>
              <w:rPr>
                <w:rFonts w:ascii="SimHei" w:hAnsi="SimHei" w:eastAsia="SimHei" w:cs="SimHei"/>
                <w:sz w:val="21"/>
                <w:szCs w:val="21"/>
                <w:spacing w:val="11"/>
              </w:rPr>
              <w:t xml:space="preserve"> </w:t>
            </w:r>
            <w:r>
              <w:rPr>
                <w:rFonts w:ascii="SimHei" w:hAnsi="SimHei" w:eastAsia="SimHei" w:cs="SimHei"/>
                <w:sz w:val="21"/>
                <w:szCs w:val="21"/>
                <w:spacing w:val="11"/>
              </w:rPr>
              <w:t>新建、改建、扩建的饮用水供</w:t>
            </w:r>
            <w:r>
              <w:rPr>
                <w:rFonts w:ascii="SimHei" w:hAnsi="SimHei" w:eastAsia="SimHei" w:cs="SimHei"/>
                <w:sz w:val="21"/>
                <w:szCs w:val="21"/>
                <w:spacing w:val="10"/>
              </w:rPr>
              <w:t>水项目未经卫生行政部门参加选址、设计审查和竣工验收而擅自供水的</w:t>
            </w:r>
            <w:r>
              <w:rPr>
                <w:rFonts w:ascii="SimHei" w:hAnsi="SimHei" w:eastAsia="SimHei" w:cs="SimHei"/>
                <w:sz w:val="21"/>
                <w:szCs w:val="21"/>
                <w:spacing w:val="-92"/>
              </w:rPr>
              <w:t xml:space="preserve"> </w:t>
            </w:r>
            <w:r>
              <w:rPr>
                <w:rFonts w:ascii="SimHei" w:hAnsi="SimHei" w:eastAsia="SimHei" w:cs="SimHei"/>
                <w:sz w:val="21"/>
                <w:szCs w:val="21"/>
              </w:rPr>
              <w:tab/>
            </w:r>
            <w:r>
              <w:rPr>
                <w:rFonts w:ascii="SimHei" w:hAnsi="SimHei" w:eastAsia="SimHei" w:cs="SimHei"/>
                <w:sz w:val="21"/>
                <w:szCs w:val="21"/>
                <w:spacing w:val="-10"/>
              </w:rPr>
              <w:t xml:space="preserve"> </w:t>
            </w:r>
            <w:r>
              <w:rPr>
                <w:rFonts w:ascii="Times New Roman" w:hAnsi="Times New Roman" w:eastAsia="Times New Roman" w:cs="Times New Roman"/>
                <w:sz w:val="21"/>
                <w:szCs w:val="21"/>
                <w:spacing w:val="-3"/>
              </w:rPr>
              <w:t>512</w:t>
            </w:r>
          </w:hyperlink>
        </w:p>
        <w:p>
          <w:pPr>
            <w:pStyle w:val="BodyText"/>
            <w:spacing w:line="283" w:lineRule="auto"/>
            <w:rPr/>
          </w:pPr>
          <w:r/>
        </w:p>
        <w:p>
          <w:pPr>
            <w:pStyle w:val="BodyText"/>
            <w:spacing w:line="283" w:lineRule="auto"/>
            <w:rPr/>
          </w:pPr>
          <w:r/>
        </w:p>
        <w:p>
          <w:pPr>
            <w:ind w:left="339"/>
            <w:spacing w:before="69" w:line="221" w:lineRule="auto"/>
            <w:tabs>
              <w:tab w:val="right" w:leader="dot" w:pos="13354"/>
            </w:tabs>
            <w:rPr>
              <w:rFonts w:ascii="Times New Roman" w:hAnsi="Times New Roman" w:eastAsia="Times New Roman" w:cs="Times New Roman"/>
              <w:sz w:val="21"/>
              <w:szCs w:val="21"/>
            </w:rPr>
          </w:pPr>
          <w:hyperlink w:history="true" w:anchor="bookmark560">
            <w:r>
              <w:rPr>
                <w:rFonts w:ascii="SimHei" w:hAnsi="SimHei" w:eastAsia="SimHei" w:cs="SimHei"/>
                <w:sz w:val="21"/>
                <w:szCs w:val="21"/>
                <w:spacing w:val="10"/>
              </w:rPr>
              <w:t>第四百四十条</w:t>
            </w:r>
            <w:r>
              <w:rPr>
                <w:rFonts w:ascii="SimHei" w:hAnsi="SimHei" w:eastAsia="SimHei" w:cs="SimHei"/>
                <w:sz w:val="21"/>
                <w:szCs w:val="21"/>
                <w:spacing w:val="10"/>
              </w:rPr>
              <w:t xml:space="preserve"> </w:t>
            </w:r>
            <w:r>
              <w:rPr>
                <w:rFonts w:ascii="SimHei" w:hAnsi="SimHei" w:eastAsia="SimHei" w:cs="SimHei"/>
                <w:sz w:val="21"/>
                <w:szCs w:val="21"/>
                <w:spacing w:val="10"/>
              </w:rPr>
              <w:t>供水单位未取得卫生许可证而擅自供水的</w:t>
            </w:r>
            <w:r>
              <w:rPr>
                <w:rFonts w:ascii="SimHei" w:hAnsi="SimHei" w:eastAsia="SimHei" w:cs="SimHei"/>
                <w:sz w:val="21"/>
                <w:szCs w:val="21"/>
              </w:rPr>
              <w:tab/>
            </w:r>
            <w:r>
              <w:rPr>
                <w:rFonts w:ascii="Times New Roman" w:hAnsi="Times New Roman" w:eastAsia="Times New Roman" w:cs="Times New Roman"/>
                <w:sz w:val="21"/>
                <w:szCs w:val="21"/>
                <w:spacing w:val="-1"/>
              </w:rPr>
              <w:t>513</w:t>
            </w:r>
          </w:hyperlink>
        </w:p>
        <w:p>
          <w:pPr>
            <w:pStyle w:val="BodyText"/>
            <w:spacing w:line="428" w:lineRule="auto"/>
            <w:rPr/>
          </w:pPr>
          <w:r/>
        </w:p>
        <w:p>
          <w:pPr>
            <w:ind w:left="330"/>
            <w:spacing w:before="69" w:line="222" w:lineRule="auto"/>
            <w:tabs>
              <w:tab w:val="right" w:leader="dot" w:pos="13324"/>
            </w:tabs>
            <w:rPr>
              <w:rFonts w:ascii="Times New Roman" w:hAnsi="Times New Roman" w:eastAsia="Times New Roman" w:cs="Times New Roman"/>
              <w:sz w:val="21"/>
              <w:szCs w:val="21"/>
            </w:rPr>
          </w:pPr>
          <w:hyperlink w:history="true" w:anchor="bookmark561">
            <w:r>
              <w:rPr>
                <w:rFonts w:ascii="SimHei" w:hAnsi="SimHei" w:eastAsia="SimHei" w:cs="SimHei"/>
                <w:sz w:val="21"/>
                <w:szCs w:val="21"/>
                <w:spacing w:val="12"/>
              </w:rPr>
              <w:t>第四百四十一条</w:t>
            </w:r>
            <w:r>
              <w:rPr>
                <w:rFonts w:ascii="SimHei" w:hAnsi="SimHei" w:eastAsia="SimHei" w:cs="SimHei"/>
                <w:sz w:val="21"/>
                <w:szCs w:val="21"/>
                <w:spacing w:val="12"/>
              </w:rPr>
              <w:t xml:space="preserve"> </w:t>
            </w:r>
            <w:r>
              <w:rPr>
                <w:rFonts w:ascii="SimHei" w:hAnsi="SimHei" w:eastAsia="SimHei" w:cs="SimHei"/>
                <w:sz w:val="21"/>
                <w:szCs w:val="21"/>
                <w:spacing w:val="12"/>
              </w:rPr>
              <w:t>供水单位供应的饮用水不符合国家规定的生活饮用水卫生标准的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514</w:t>
            </w:r>
          </w:hyperlink>
        </w:p>
        <w:p>
          <w:pPr>
            <w:pStyle w:val="BodyText"/>
            <w:spacing w:line="252" w:lineRule="auto"/>
            <w:rPr/>
          </w:pPr>
          <w:r/>
        </w:p>
        <w:p>
          <w:pPr>
            <w:pStyle w:val="BodyText"/>
            <w:spacing w:line="253" w:lineRule="auto"/>
            <w:rPr/>
          </w:pPr>
          <w:r/>
        </w:p>
        <w:p>
          <w:pPr>
            <w:ind w:left="330"/>
            <w:spacing w:before="68" w:line="221" w:lineRule="auto"/>
            <w:tabs>
              <w:tab w:val="right" w:leader="dot" w:pos="13334"/>
            </w:tabs>
            <w:rPr>
              <w:rFonts w:ascii="Times New Roman" w:hAnsi="Times New Roman" w:eastAsia="Times New Roman" w:cs="Times New Roman"/>
              <w:sz w:val="21"/>
              <w:szCs w:val="21"/>
            </w:rPr>
          </w:pPr>
          <w:hyperlink w:history="true" w:anchor="bookmark562">
            <w:r>
              <w:rPr>
                <w:rFonts w:ascii="SimHei" w:hAnsi="SimHei" w:eastAsia="SimHei" w:cs="SimHei"/>
                <w:sz w:val="21"/>
                <w:szCs w:val="21"/>
                <w:spacing w:val="10"/>
              </w:rPr>
              <w:t>第四百四十二条</w:t>
            </w:r>
            <w:r>
              <w:rPr>
                <w:rFonts w:ascii="SimHei" w:hAnsi="SimHei" w:eastAsia="SimHei" w:cs="SimHei"/>
                <w:sz w:val="21"/>
                <w:szCs w:val="21"/>
                <w:spacing w:val="10"/>
              </w:rPr>
              <w:t xml:space="preserve"> </w:t>
            </w:r>
            <w:r>
              <w:rPr>
                <w:rFonts w:ascii="SimHei" w:hAnsi="SimHei" w:eastAsia="SimHei" w:cs="SimHei"/>
                <w:sz w:val="21"/>
                <w:szCs w:val="21"/>
                <w:spacing w:val="10"/>
              </w:rPr>
              <w:t>生产或者销售无卫生许可批准文件的涉及饮用</w:t>
            </w:r>
            <w:r>
              <w:rPr>
                <w:rFonts w:ascii="SimHei" w:hAnsi="SimHei" w:eastAsia="SimHei" w:cs="SimHei"/>
                <w:sz w:val="21"/>
                <w:szCs w:val="21"/>
                <w:spacing w:val="9"/>
              </w:rPr>
              <w:t>水卫生安全的产品的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40"/>
              </w:rPr>
              <w:t xml:space="preserve"> </w:t>
            </w:r>
            <w:r>
              <w:rPr>
                <w:rFonts w:ascii="Times New Roman" w:hAnsi="Times New Roman" w:eastAsia="Times New Roman" w:cs="Times New Roman"/>
                <w:sz w:val="21"/>
                <w:szCs w:val="21"/>
                <w:spacing w:val="-3"/>
              </w:rPr>
              <w:t>515</w:t>
            </w:r>
          </w:hyperlink>
        </w:p>
        <w:p>
          <w:pPr>
            <w:pStyle w:val="BodyText"/>
            <w:spacing w:line="297" w:lineRule="auto"/>
            <w:rPr/>
          </w:pPr>
          <w:r/>
        </w:p>
        <w:p>
          <w:pPr>
            <w:spacing w:before="69" w:line="224" w:lineRule="auto"/>
            <w:tabs>
              <w:tab w:val="right" w:leader="dot" w:pos="13314"/>
            </w:tabs>
            <w:rPr>
              <w:rFonts w:ascii="Times New Roman" w:hAnsi="Times New Roman" w:eastAsia="Times New Roman" w:cs="Times New Roman"/>
              <w:sz w:val="21"/>
              <w:szCs w:val="21"/>
            </w:rPr>
          </w:pPr>
          <w:hyperlink w:history="true" w:anchor="bookmark563">
            <w:r>
              <w:rPr>
                <w:rFonts w:ascii="KaiTi" w:hAnsi="KaiTi" w:eastAsia="KaiTi" w:cs="KaiTi"/>
                <w:sz w:val="21"/>
                <w:szCs w:val="21"/>
                <w:spacing w:val="-4"/>
              </w:rPr>
              <w:t>(</w:t>
            </w:r>
            <w:r>
              <w:rPr>
                <w:rFonts w:ascii="KaiTi" w:hAnsi="KaiTi" w:eastAsia="KaiTi" w:cs="KaiTi"/>
                <w:sz w:val="21"/>
                <w:szCs w:val="21"/>
                <w:spacing w:val="-19"/>
              </w:rPr>
              <w:t xml:space="preserve"> </w:t>
            </w:r>
            <w:r>
              <w:rPr>
                <w:rFonts w:ascii="KaiTi" w:hAnsi="KaiTi" w:eastAsia="KaiTi" w:cs="KaiTi"/>
                <w:sz w:val="21"/>
                <w:szCs w:val="21"/>
                <w:spacing w:val="-4"/>
              </w:rPr>
              <w:t>三</w:t>
            </w:r>
            <w:r>
              <w:rPr>
                <w:rFonts w:ascii="KaiTi" w:hAnsi="KaiTi" w:eastAsia="KaiTi" w:cs="KaiTi"/>
                <w:sz w:val="21"/>
                <w:szCs w:val="21"/>
                <w:spacing w:val="-32"/>
              </w:rPr>
              <w:t xml:space="preserve"> </w:t>
            </w:r>
            <w:r>
              <w:rPr>
                <w:rFonts w:ascii="KaiTi" w:hAnsi="KaiTi" w:eastAsia="KaiTi" w:cs="KaiTi"/>
                <w:sz w:val="21"/>
                <w:szCs w:val="21"/>
                <w:spacing w:val="-4"/>
              </w:rPr>
              <w:t>)</w:t>
            </w:r>
            <w:r>
              <w:rPr>
                <w:rFonts w:ascii="KaiTi" w:hAnsi="KaiTi" w:eastAsia="KaiTi" w:cs="KaiTi"/>
                <w:sz w:val="21"/>
                <w:szCs w:val="21"/>
                <w:spacing w:val="-4"/>
              </w:rPr>
              <w:t xml:space="preserve"> </w:t>
            </w:r>
            <w:r>
              <w:rPr>
                <w:rFonts w:ascii="KaiTi" w:hAnsi="KaiTi" w:eastAsia="KaiTi" w:cs="KaiTi"/>
                <w:sz w:val="21"/>
                <w:szCs w:val="21"/>
                <w:spacing w:val="-4"/>
              </w:rPr>
              <w:t>《中华人民共和国传染病防治法》</w:t>
            </w:r>
            <w:r>
              <w:rPr>
                <w:rFonts w:ascii="KaiTi" w:hAnsi="KaiTi" w:eastAsia="KaiTi" w:cs="KaiTi"/>
                <w:sz w:val="21"/>
                <w:szCs w:val="21"/>
                <w:spacing w:val="-75"/>
              </w:rPr>
              <w:t xml:space="preserve"> </w:t>
            </w:r>
            <w:r>
              <w:rPr>
                <w:rFonts w:ascii="KaiTi" w:hAnsi="KaiTi" w:eastAsia="KaiTi" w:cs="KaiTi"/>
                <w:sz w:val="21"/>
                <w:szCs w:val="21"/>
              </w:rPr>
              <w:tab/>
            </w:r>
            <w:r>
              <w:rPr>
                <w:rFonts w:ascii="Times New Roman" w:hAnsi="Times New Roman" w:eastAsia="Times New Roman" w:cs="Times New Roman"/>
                <w:sz w:val="21"/>
                <w:szCs w:val="21"/>
                <w:spacing w:val="-2"/>
              </w:rPr>
              <w:t>516</w:t>
            </w:r>
          </w:hyperlink>
        </w:p>
        <w:p>
          <w:pPr>
            <w:pStyle w:val="BodyText"/>
            <w:spacing w:line="356" w:lineRule="auto"/>
            <w:rPr/>
          </w:pPr>
          <w:r/>
        </w:p>
        <w:p>
          <w:pPr>
            <w:ind w:left="330"/>
            <w:spacing w:before="69" w:line="213" w:lineRule="auto"/>
            <w:tabs>
              <w:tab w:val="right" w:leader="dot" w:pos="13324"/>
            </w:tabs>
            <w:rPr>
              <w:rFonts w:ascii="Times New Roman" w:hAnsi="Times New Roman" w:eastAsia="Times New Roman" w:cs="Times New Roman"/>
              <w:sz w:val="21"/>
              <w:szCs w:val="21"/>
            </w:rPr>
          </w:pPr>
          <w:hyperlink w:history="true" w:anchor="bookmark564">
            <w:r>
              <w:rPr>
                <w:rFonts w:ascii="SimHei" w:hAnsi="SimHei" w:eastAsia="SimHei" w:cs="SimHei"/>
                <w:sz w:val="21"/>
                <w:szCs w:val="21"/>
                <w:spacing w:val="12"/>
              </w:rPr>
              <w:t>第四百四十三条</w:t>
            </w:r>
            <w:r>
              <w:rPr>
                <w:rFonts w:ascii="SimHei" w:hAnsi="SimHei" w:eastAsia="SimHei" w:cs="SimHei"/>
                <w:sz w:val="21"/>
                <w:szCs w:val="21"/>
                <w:spacing w:val="12"/>
              </w:rPr>
              <w:t xml:space="preserve"> </w:t>
            </w:r>
            <w:r>
              <w:rPr>
                <w:rFonts w:ascii="SimHei" w:hAnsi="SimHei" w:eastAsia="SimHei" w:cs="SimHei"/>
                <w:sz w:val="21"/>
                <w:szCs w:val="21"/>
                <w:spacing w:val="12"/>
              </w:rPr>
              <w:t>饮用水供水单位供应的饮用水不符合国家卫生标准和卫生规范，导致或</w:t>
            </w:r>
            <w:r>
              <w:rPr>
                <w:rFonts w:ascii="SimHei" w:hAnsi="SimHei" w:eastAsia="SimHei" w:cs="SimHei"/>
                <w:sz w:val="21"/>
                <w:szCs w:val="21"/>
                <w:spacing w:val="11"/>
              </w:rPr>
              <w:t>者可能导致传染病传播、流行的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2"/>
              </w:rPr>
              <w:t>516</w:t>
            </w:r>
          </w:hyperlink>
        </w:p>
        <w:p>
          <w:pPr>
            <w:pStyle w:val="BodyText"/>
            <w:spacing w:line="253" w:lineRule="auto"/>
            <w:rPr/>
          </w:pPr>
          <w:r/>
        </w:p>
        <w:p>
          <w:pPr>
            <w:pStyle w:val="BodyText"/>
            <w:spacing w:line="253" w:lineRule="auto"/>
            <w:rPr/>
          </w:pPr>
          <w:r/>
        </w:p>
        <w:p>
          <w:pPr>
            <w:ind w:left="330"/>
            <w:spacing w:before="69" w:line="213" w:lineRule="auto"/>
            <w:tabs>
              <w:tab w:val="right" w:leader="dot" w:pos="13324"/>
            </w:tabs>
            <w:rPr>
              <w:rFonts w:ascii="Times New Roman" w:hAnsi="Times New Roman" w:eastAsia="Times New Roman" w:cs="Times New Roman"/>
              <w:sz w:val="21"/>
              <w:szCs w:val="21"/>
            </w:rPr>
          </w:pPr>
          <w:hyperlink w:history="true" w:anchor="bookmark565">
            <w:r>
              <w:rPr>
                <w:rFonts w:ascii="SimHei" w:hAnsi="SimHei" w:eastAsia="SimHei" w:cs="SimHei"/>
                <w:sz w:val="21"/>
                <w:szCs w:val="21"/>
                <w:spacing w:val="11"/>
              </w:rPr>
              <w:t>第四百四十四条</w:t>
            </w:r>
            <w:r>
              <w:rPr>
                <w:rFonts w:ascii="SimHei" w:hAnsi="SimHei" w:eastAsia="SimHei" w:cs="SimHei"/>
                <w:sz w:val="21"/>
                <w:szCs w:val="21"/>
                <w:spacing w:val="11"/>
              </w:rPr>
              <w:t xml:space="preserve"> </w:t>
            </w:r>
            <w:r>
              <w:rPr>
                <w:rFonts w:ascii="SimHei" w:hAnsi="SimHei" w:eastAsia="SimHei" w:cs="SimHei"/>
                <w:sz w:val="21"/>
                <w:szCs w:val="21"/>
                <w:spacing w:val="11"/>
              </w:rPr>
              <w:t>涉及饮用水卫生安全的产品不</w:t>
            </w:r>
            <w:r>
              <w:rPr>
                <w:rFonts w:ascii="SimHei" w:hAnsi="SimHei" w:eastAsia="SimHei" w:cs="SimHei"/>
                <w:sz w:val="21"/>
                <w:szCs w:val="21"/>
                <w:spacing w:val="10"/>
              </w:rPr>
              <w:t>符合国家卫生标准和卫生规范，导致或者可能导致传染病传播、流行的</w:t>
            </w:r>
            <w:r>
              <w:rPr>
                <w:rFonts w:ascii="SimHei" w:hAnsi="SimHei" w:eastAsia="SimHei" w:cs="SimHei"/>
                <w:sz w:val="21"/>
                <w:szCs w:val="21"/>
                <w:spacing w:val="-92"/>
              </w:rPr>
              <w:t xml:space="preserve"> </w:t>
            </w:r>
            <w:r>
              <w:rPr>
                <w:rFonts w:ascii="SimHei" w:hAnsi="SimHei" w:eastAsia="SimHei" w:cs="SimHei"/>
                <w:sz w:val="21"/>
                <w:szCs w:val="21"/>
              </w:rPr>
              <w:tab/>
            </w:r>
            <w:r>
              <w:rPr>
                <w:rFonts w:ascii="SimHei" w:hAnsi="SimHei" w:eastAsia="SimHei" w:cs="SimHei"/>
                <w:sz w:val="21"/>
                <w:szCs w:val="21"/>
                <w:spacing w:val="-20"/>
              </w:rPr>
              <w:t xml:space="preserve"> </w:t>
            </w:r>
            <w:r>
              <w:rPr>
                <w:rFonts w:ascii="Times New Roman" w:hAnsi="Times New Roman" w:eastAsia="Times New Roman" w:cs="Times New Roman"/>
                <w:sz w:val="21"/>
                <w:szCs w:val="21"/>
                <w:spacing w:val="-3"/>
              </w:rPr>
              <w:t>517</w:t>
            </w:r>
          </w:hyperlink>
        </w:p>
      </w:sdtContent>
    </w:sdt>
    <w:p>
      <w:pPr>
        <w:spacing w:line="213" w:lineRule="auto"/>
        <w:sectPr>
          <w:footerReference w:type="default" r:id="rId53"/>
          <w:pgSz w:w="16830" w:h="11900"/>
          <w:pgMar w:top="1011" w:right="1495" w:bottom="1138" w:left="1960" w:header="0" w:footer="778" w:gutter="0"/>
        </w:sectPr>
        <w:rPr>
          <w:rFonts w:ascii="Times New Roman" w:hAnsi="Times New Roman" w:eastAsia="Times New Roman" w:cs="Times New Roman"/>
          <w:sz w:val="21"/>
          <w:szCs w:val="21"/>
        </w:rPr>
      </w:pPr>
    </w:p>
    <w:p>
      <w:pPr>
        <w:pStyle w:val="BodyText"/>
        <w:spacing w:line="306" w:lineRule="auto"/>
        <w:rPr/>
      </w:pPr>
      <w:r/>
    </w:p>
    <w:p>
      <w:pPr>
        <w:pStyle w:val="BodyText"/>
        <w:spacing w:line="306" w:lineRule="auto"/>
        <w:rPr/>
      </w:pPr>
      <w:r/>
    </w:p>
    <w:p>
      <w:pPr>
        <w:pStyle w:val="BodyText"/>
        <w:spacing w:line="306"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ind w:left="856"/>
            <w:spacing w:before="72" w:line="222" w:lineRule="auto"/>
            <w:tabs>
              <w:tab w:val="right" w:leader="dot" w:pos="13905"/>
            </w:tabs>
            <w:rPr>
              <w:rFonts w:ascii="Times New Roman" w:hAnsi="Times New Roman" w:eastAsia="Times New Roman" w:cs="Times New Roman"/>
              <w:sz w:val="22"/>
              <w:szCs w:val="22"/>
            </w:rPr>
          </w:pPr>
          <w:hyperlink w:history="true" w:anchor="bookmark566">
            <w:r>
              <w:rPr>
                <w:rFonts w:ascii="SimHei" w:hAnsi="SimHei" w:eastAsia="SimHei" w:cs="SimHei"/>
                <w:sz w:val="22"/>
                <w:szCs w:val="22"/>
                <w:spacing w:val="4"/>
              </w:rPr>
              <w:t>第四百四十五条</w:t>
            </w:r>
            <w:r>
              <w:rPr>
                <w:rFonts w:ascii="SimHei" w:hAnsi="SimHei" w:eastAsia="SimHei" w:cs="SimHei"/>
                <w:sz w:val="22"/>
                <w:szCs w:val="22"/>
                <w:spacing w:val="4"/>
              </w:rPr>
              <w:t xml:space="preserve"> </w:t>
            </w:r>
            <w:r>
              <w:rPr>
                <w:rFonts w:ascii="SimHei" w:hAnsi="SimHei" w:eastAsia="SimHei" w:cs="SimHei"/>
                <w:sz w:val="22"/>
                <w:szCs w:val="22"/>
                <w:spacing w:val="4"/>
              </w:rPr>
              <w:t>集中式供水单位供应的饮用水不符合</w:t>
            </w:r>
            <w:r>
              <w:rPr>
                <w:rFonts w:ascii="SimHei" w:hAnsi="SimHei" w:eastAsia="SimHei" w:cs="SimHei"/>
                <w:sz w:val="22"/>
                <w:szCs w:val="22"/>
                <w:spacing w:val="3"/>
              </w:rPr>
              <w:t>国家规定的《生活饮用水卫生标准》的法律依据</w:t>
            </w:r>
            <w:r>
              <w:rPr>
                <w:rFonts w:ascii="SimHei" w:hAnsi="SimHei" w:eastAsia="SimHei" w:cs="SimHei"/>
                <w:sz w:val="22"/>
                <w:szCs w:val="22"/>
                <w:spacing w:val="-91"/>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518</w:t>
            </w:r>
          </w:hyperlink>
        </w:p>
        <w:p>
          <w:pPr>
            <w:pStyle w:val="BodyText"/>
            <w:spacing w:line="311" w:lineRule="auto"/>
            <w:rPr/>
          </w:pPr>
          <w:r/>
        </w:p>
        <w:p>
          <w:pPr>
            <w:spacing w:before="72" w:line="224" w:lineRule="auto"/>
            <w:tabs>
              <w:tab w:val="right" w:leader="dot" w:pos="13961"/>
            </w:tabs>
            <w:rPr>
              <w:rFonts w:ascii="Times New Roman" w:hAnsi="Times New Roman" w:eastAsia="Times New Roman" w:cs="Times New Roman"/>
              <w:sz w:val="22"/>
              <w:szCs w:val="22"/>
            </w:rPr>
          </w:pPr>
          <w:hyperlink w:history="true" w:anchor="bookmark567">
            <w:r>
              <w:rPr>
                <w:rFonts w:ascii="SimHei" w:hAnsi="SimHei" w:eastAsia="SimHei" w:cs="SimHei"/>
                <w:sz w:val="22"/>
                <w:szCs w:val="22"/>
                <w:b/>
                <w:bCs/>
                <w:spacing w:val="-19"/>
              </w:rPr>
              <w:t>五、职业卫生</w:t>
            </w:r>
            <w:r>
              <w:rPr>
                <w:rFonts w:ascii="SimHei" w:hAnsi="SimHei" w:eastAsia="SimHei" w:cs="SimHei"/>
                <w:sz w:val="22"/>
                <w:szCs w:val="22"/>
                <w:b/>
                <w:bCs/>
              </w:rPr>
              <w:tab/>
            </w:r>
            <w:r>
              <w:rPr>
                <w:rFonts w:ascii="Times New Roman" w:hAnsi="Times New Roman" w:eastAsia="Times New Roman" w:cs="Times New Roman"/>
                <w:sz w:val="22"/>
                <w:szCs w:val="22"/>
                <w:spacing w:val="-14"/>
                <w:w w:val="84"/>
              </w:rPr>
              <w:t>52</w:t>
            </w:r>
            <w:r>
              <w:rPr>
                <w:rFonts w:ascii="Times New Roman" w:hAnsi="Times New Roman" w:eastAsia="Times New Roman" w:cs="Times New Roman"/>
                <w:sz w:val="22"/>
                <w:szCs w:val="22"/>
                <w:spacing w:val="-8"/>
                <w:w w:val="84"/>
              </w:rPr>
              <w:t>0</w:t>
            </w:r>
          </w:hyperlink>
        </w:p>
        <w:p>
          <w:pPr>
            <w:ind w:left="536"/>
            <w:spacing w:before="141" w:line="224" w:lineRule="auto"/>
            <w:tabs>
              <w:tab w:val="right" w:leader="dot" w:pos="13875"/>
            </w:tabs>
            <w:rPr>
              <w:rFonts w:ascii="Times New Roman" w:hAnsi="Times New Roman" w:eastAsia="Times New Roman" w:cs="Times New Roman"/>
              <w:sz w:val="22"/>
              <w:szCs w:val="22"/>
            </w:rPr>
          </w:pPr>
          <w:hyperlink w:history="true" w:anchor="bookmark568">
            <w:r>
              <w:rPr>
                <w:rFonts w:ascii="KaiTi" w:hAnsi="KaiTi" w:eastAsia="KaiTi" w:cs="KaiTi"/>
                <w:sz w:val="22"/>
                <w:szCs w:val="22"/>
                <w:spacing w:val="-6"/>
              </w:rPr>
              <w:t>(</w:t>
            </w:r>
            <w:r>
              <w:rPr>
                <w:rFonts w:ascii="KaiTi" w:hAnsi="KaiTi" w:eastAsia="KaiTi" w:cs="KaiTi"/>
                <w:sz w:val="22"/>
                <w:szCs w:val="22"/>
                <w:spacing w:val="-15"/>
              </w:rPr>
              <w:t xml:space="preserve"> </w:t>
            </w:r>
            <w:r>
              <w:rPr>
                <w:rFonts w:ascii="KaiTi" w:hAnsi="KaiTi" w:eastAsia="KaiTi" w:cs="KaiTi"/>
                <w:sz w:val="22"/>
                <w:szCs w:val="22"/>
                <w:spacing w:val="-6"/>
              </w:rPr>
              <w:t>一</w:t>
            </w:r>
            <w:r>
              <w:rPr>
                <w:rFonts w:ascii="KaiTi" w:hAnsi="KaiTi" w:eastAsia="KaiTi" w:cs="KaiTi"/>
                <w:sz w:val="22"/>
                <w:szCs w:val="22"/>
                <w:spacing w:val="-29"/>
              </w:rPr>
              <w:t xml:space="preserve"> </w:t>
            </w:r>
            <w:r>
              <w:rPr>
                <w:rFonts w:ascii="KaiTi" w:hAnsi="KaiTi" w:eastAsia="KaiTi" w:cs="KaiTi"/>
                <w:sz w:val="22"/>
                <w:szCs w:val="22"/>
                <w:spacing w:val="-6"/>
              </w:rPr>
              <w:t>)《中华人民共和国职业病防治法》</w:t>
            </w:r>
            <w:r>
              <w:rPr>
                <w:rFonts w:ascii="KaiTi" w:hAnsi="KaiTi" w:eastAsia="KaiTi" w:cs="KaiTi"/>
                <w:sz w:val="22"/>
                <w:szCs w:val="22"/>
              </w:rPr>
              <w:tab/>
            </w:r>
            <w:r>
              <w:rPr>
                <w:rFonts w:ascii="Times New Roman" w:hAnsi="Times New Roman" w:eastAsia="Times New Roman" w:cs="Times New Roman"/>
                <w:sz w:val="22"/>
                <w:szCs w:val="22"/>
                <w:spacing w:val="-4"/>
              </w:rPr>
              <w:t>520</w:t>
            </w:r>
          </w:hyperlink>
        </w:p>
        <w:p>
          <w:pPr>
            <w:pStyle w:val="BodyText"/>
            <w:spacing w:line="341" w:lineRule="auto"/>
            <w:rPr/>
          </w:pPr>
          <w:r/>
        </w:p>
        <w:p>
          <w:pPr>
            <w:ind w:left="856"/>
            <w:spacing w:before="71" w:line="222" w:lineRule="auto"/>
            <w:tabs>
              <w:tab w:val="right" w:leader="dot" w:pos="13895"/>
            </w:tabs>
            <w:rPr>
              <w:rFonts w:ascii="Times New Roman" w:hAnsi="Times New Roman" w:eastAsia="Times New Roman" w:cs="Times New Roman"/>
              <w:sz w:val="22"/>
              <w:szCs w:val="22"/>
            </w:rPr>
          </w:pPr>
          <w:hyperlink w:history="true" w:anchor="bookmark569">
            <w:r>
              <w:rPr>
                <w:rFonts w:ascii="SimHei" w:hAnsi="SimHei" w:eastAsia="SimHei" w:cs="SimHei"/>
                <w:sz w:val="22"/>
                <w:szCs w:val="22"/>
                <w:spacing w:val="-1"/>
              </w:rPr>
              <w:t>第四百四十六条</w:t>
            </w:r>
            <w:r>
              <w:rPr>
                <w:rFonts w:ascii="SimHei" w:hAnsi="SimHei" w:eastAsia="SimHei" w:cs="SimHei"/>
                <w:sz w:val="22"/>
                <w:szCs w:val="22"/>
                <w:spacing w:val="-1"/>
              </w:rPr>
              <w:t xml:space="preserve"> </w:t>
            </w:r>
            <w:r>
              <w:rPr>
                <w:rFonts w:ascii="SimHei" w:hAnsi="SimHei" w:eastAsia="SimHei" w:cs="SimHei"/>
                <w:sz w:val="22"/>
                <w:szCs w:val="22"/>
                <w:spacing w:val="-1"/>
              </w:rPr>
              <w:t>建设单位未按照规定进行职业病危害预评价的</w:t>
            </w:r>
            <w:r>
              <w:rPr>
                <w:rFonts w:ascii="SimHei" w:hAnsi="SimHei" w:eastAsia="SimHei" w:cs="SimHei"/>
                <w:sz w:val="22"/>
                <w:szCs w:val="22"/>
                <w:spacing w:val="-84"/>
              </w:rPr>
              <w:t xml:space="preserve"> </w:t>
            </w:r>
            <w:r>
              <w:rPr>
                <w:rFonts w:ascii="SimHei" w:hAnsi="SimHei" w:eastAsia="SimHei" w:cs="SimHei"/>
                <w:sz w:val="22"/>
                <w:szCs w:val="22"/>
              </w:rPr>
              <w:tab/>
            </w:r>
            <w:r>
              <w:rPr>
                <w:rFonts w:ascii="SimHei" w:hAnsi="SimHei" w:eastAsia="SimHei" w:cs="SimHei"/>
                <w:sz w:val="22"/>
                <w:szCs w:val="22"/>
                <w:spacing w:val="-15"/>
              </w:rPr>
              <w:t xml:space="preserve"> </w:t>
            </w:r>
            <w:r>
              <w:rPr>
                <w:rFonts w:ascii="Times New Roman" w:hAnsi="Times New Roman" w:eastAsia="Times New Roman" w:cs="Times New Roman"/>
                <w:sz w:val="22"/>
                <w:szCs w:val="22"/>
                <w:spacing w:val="-3"/>
              </w:rPr>
              <w:t>520</w:t>
            </w:r>
          </w:hyperlink>
        </w:p>
        <w:p>
          <w:pPr>
            <w:pStyle w:val="BodyText"/>
            <w:rPr/>
          </w:pPr>
          <w:r/>
        </w:p>
        <w:p>
          <w:pPr>
            <w:pStyle w:val="BodyText"/>
            <w:rPr/>
          </w:pPr>
          <w:r/>
        </w:p>
        <w:p>
          <w:pPr>
            <w:ind w:left="856"/>
            <w:spacing w:before="71" w:line="221" w:lineRule="auto"/>
            <w:tabs>
              <w:tab w:val="right" w:leader="dot" w:pos="13915"/>
            </w:tabs>
            <w:rPr>
              <w:rFonts w:ascii="Times New Roman" w:hAnsi="Times New Roman" w:eastAsia="Times New Roman" w:cs="Times New Roman"/>
              <w:sz w:val="22"/>
              <w:szCs w:val="22"/>
            </w:rPr>
          </w:pPr>
          <w:hyperlink w:history="true" w:anchor="bookmark570">
            <w:r>
              <w:rPr>
                <w:rFonts w:ascii="SimHei" w:hAnsi="SimHei" w:eastAsia="SimHei" w:cs="SimHei"/>
                <w:sz w:val="22"/>
                <w:szCs w:val="22"/>
              </w:rPr>
              <w:t>第四百四十七条</w:t>
            </w:r>
            <w:r>
              <w:rPr>
                <w:rFonts w:ascii="SimHei" w:hAnsi="SimHei" w:eastAsia="SimHei" w:cs="SimHei"/>
                <w:sz w:val="22"/>
                <w:szCs w:val="22"/>
              </w:rPr>
              <w:t xml:space="preserve"> </w:t>
            </w:r>
            <w:r>
              <w:rPr>
                <w:rFonts w:ascii="SimHei" w:hAnsi="SimHei" w:eastAsia="SimHei" w:cs="SimHei"/>
                <w:sz w:val="22"/>
                <w:szCs w:val="22"/>
              </w:rPr>
              <w:t>建设项目的职业病防护设施未按照规定与主体工程同时设计、同时施工、同时投入生产和使用的</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25"/>
              </w:rPr>
              <w:t xml:space="preserve"> </w:t>
            </w:r>
            <w:r>
              <w:rPr>
                <w:rFonts w:ascii="Times New Roman" w:hAnsi="Times New Roman" w:eastAsia="Times New Roman" w:cs="Times New Roman"/>
                <w:sz w:val="22"/>
                <w:szCs w:val="22"/>
                <w:spacing w:val="-3"/>
              </w:rPr>
              <w:t>521</w:t>
            </w:r>
          </w:hyperlink>
        </w:p>
        <w:p>
          <w:pPr>
            <w:pStyle w:val="BodyText"/>
            <w:spacing w:line="260" w:lineRule="auto"/>
            <w:rPr/>
          </w:pPr>
          <w:r/>
        </w:p>
        <w:p>
          <w:pPr>
            <w:pStyle w:val="BodyText"/>
            <w:spacing w:line="261" w:lineRule="auto"/>
            <w:rPr/>
          </w:pPr>
          <w:r/>
        </w:p>
        <w:p>
          <w:pPr>
            <w:ind w:left="856"/>
            <w:spacing w:before="73" w:line="221" w:lineRule="auto"/>
            <w:tabs>
              <w:tab w:val="right" w:leader="dot" w:pos="13895"/>
            </w:tabs>
            <w:rPr>
              <w:rFonts w:ascii="Times New Roman" w:hAnsi="Times New Roman" w:eastAsia="Times New Roman" w:cs="Times New Roman"/>
              <w:sz w:val="22"/>
              <w:szCs w:val="22"/>
            </w:rPr>
          </w:pPr>
          <w:hyperlink w:history="true" w:anchor="bookmark571">
            <w:r>
              <w:rPr>
                <w:rFonts w:ascii="SimHei" w:hAnsi="SimHei" w:eastAsia="SimHei" w:cs="SimHei"/>
                <w:sz w:val="22"/>
                <w:szCs w:val="22"/>
              </w:rPr>
              <w:t>第四百四十八条</w:t>
            </w:r>
            <w:r>
              <w:rPr>
                <w:rFonts w:ascii="SimHei" w:hAnsi="SimHei" w:eastAsia="SimHei" w:cs="SimHei"/>
                <w:sz w:val="22"/>
                <w:szCs w:val="22"/>
              </w:rPr>
              <w:t xml:space="preserve"> </w:t>
            </w:r>
            <w:r>
              <w:rPr>
                <w:rFonts w:ascii="SimHei" w:hAnsi="SimHei" w:eastAsia="SimHei" w:cs="SimHei"/>
                <w:sz w:val="22"/>
                <w:szCs w:val="22"/>
              </w:rPr>
              <w:t>建设项目的职业病防护设施设计不符合国家职</w:t>
            </w:r>
            <w:r>
              <w:rPr>
                <w:rFonts w:ascii="SimHei" w:hAnsi="SimHei" w:eastAsia="SimHei" w:cs="SimHei"/>
                <w:sz w:val="22"/>
                <w:szCs w:val="22"/>
                <w:spacing w:val="-1"/>
              </w:rPr>
              <w:t>业卫生标准和卫生要求</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35"/>
              </w:rPr>
              <w:t xml:space="preserve"> </w:t>
            </w:r>
            <w:r>
              <w:rPr>
                <w:rFonts w:ascii="Times New Roman" w:hAnsi="Times New Roman" w:eastAsia="Times New Roman" w:cs="Times New Roman"/>
                <w:sz w:val="22"/>
                <w:szCs w:val="22"/>
                <w:spacing w:val="-3"/>
              </w:rPr>
              <w:t>524</w:t>
            </w:r>
          </w:hyperlink>
        </w:p>
        <w:p>
          <w:pPr>
            <w:pStyle w:val="BodyText"/>
            <w:spacing w:line="452" w:lineRule="auto"/>
            <w:rPr/>
          </w:pPr>
          <w:r/>
        </w:p>
        <w:p>
          <w:pPr>
            <w:ind w:left="856"/>
            <w:spacing w:before="72" w:line="221" w:lineRule="auto"/>
            <w:tabs>
              <w:tab w:val="right" w:leader="dot" w:pos="13915"/>
            </w:tabs>
            <w:rPr>
              <w:rFonts w:ascii="Times New Roman" w:hAnsi="Times New Roman" w:eastAsia="Times New Roman" w:cs="Times New Roman"/>
              <w:sz w:val="22"/>
              <w:szCs w:val="22"/>
            </w:rPr>
          </w:pPr>
          <w:hyperlink w:history="true" w:anchor="bookmark572">
            <w:r>
              <w:rPr>
                <w:rFonts w:ascii="SimHei" w:hAnsi="SimHei" w:eastAsia="SimHei" w:cs="SimHei"/>
                <w:sz w:val="22"/>
                <w:szCs w:val="22"/>
                <w:spacing w:val="1"/>
              </w:rPr>
              <w:t>第四百四十九条</w:t>
            </w:r>
            <w:r>
              <w:rPr>
                <w:rFonts w:ascii="SimHei" w:hAnsi="SimHei" w:eastAsia="SimHei" w:cs="SimHei"/>
                <w:sz w:val="22"/>
                <w:szCs w:val="22"/>
                <w:spacing w:val="1"/>
              </w:rPr>
              <w:t xml:space="preserve"> </w:t>
            </w:r>
            <w:r>
              <w:rPr>
                <w:rFonts w:ascii="SimHei" w:hAnsi="SimHei" w:eastAsia="SimHei" w:cs="SimHei"/>
                <w:sz w:val="22"/>
                <w:szCs w:val="22"/>
                <w:spacing w:val="1"/>
              </w:rPr>
              <w:t>未按照规定对职业病防护设施进行职业病危害控制效果评价的</w:t>
            </w:r>
            <w:r>
              <w:rPr>
                <w:rFonts w:ascii="SimHei" w:hAnsi="SimHei" w:eastAsia="SimHei" w:cs="SimHei"/>
                <w:sz w:val="22"/>
                <w:szCs w:val="22"/>
                <w:spacing w:val="-97"/>
              </w:rPr>
              <w:t xml:space="preserve"> </w:t>
            </w:r>
            <w:r>
              <w:rPr>
                <w:rFonts w:ascii="SimHei" w:hAnsi="SimHei" w:eastAsia="SimHei" w:cs="SimHei"/>
                <w:sz w:val="22"/>
                <w:szCs w:val="22"/>
              </w:rPr>
              <w:tab/>
            </w:r>
            <w:r>
              <w:rPr>
                <w:rFonts w:ascii="SimHei" w:hAnsi="SimHei" w:eastAsia="SimHei" w:cs="SimHei"/>
                <w:sz w:val="22"/>
                <w:szCs w:val="22"/>
                <w:spacing w:val="-45"/>
              </w:rPr>
              <w:t xml:space="preserve"> </w:t>
            </w:r>
            <w:r>
              <w:rPr>
                <w:rFonts w:ascii="Times New Roman" w:hAnsi="Times New Roman" w:eastAsia="Times New Roman" w:cs="Times New Roman"/>
                <w:sz w:val="22"/>
                <w:szCs w:val="22"/>
                <w:spacing w:val="-3"/>
              </w:rPr>
              <w:t>525</w:t>
            </w:r>
          </w:hyperlink>
        </w:p>
        <w:p>
          <w:pPr>
            <w:pStyle w:val="BodyText"/>
            <w:spacing w:line="241" w:lineRule="auto"/>
            <w:rPr/>
          </w:pPr>
          <w:r/>
        </w:p>
        <w:p>
          <w:pPr>
            <w:pStyle w:val="BodyText"/>
            <w:spacing w:line="241" w:lineRule="auto"/>
            <w:rPr/>
          </w:pPr>
          <w:r/>
        </w:p>
        <w:p>
          <w:pPr>
            <w:ind w:left="856"/>
            <w:spacing w:before="72" w:line="213" w:lineRule="auto"/>
            <w:tabs>
              <w:tab w:val="right" w:leader="dot" w:pos="13905"/>
            </w:tabs>
            <w:rPr>
              <w:rFonts w:ascii="Times New Roman" w:hAnsi="Times New Roman" w:eastAsia="Times New Roman" w:cs="Times New Roman"/>
              <w:sz w:val="22"/>
              <w:szCs w:val="22"/>
            </w:rPr>
          </w:pPr>
          <w:hyperlink w:history="true" w:anchor="bookmark573">
            <w:r>
              <w:rPr>
                <w:rFonts w:ascii="SimHei" w:hAnsi="SimHei" w:eastAsia="SimHei" w:cs="SimHei"/>
                <w:sz w:val="22"/>
                <w:szCs w:val="22"/>
                <w:spacing w:val="1"/>
              </w:rPr>
              <w:t>第四百五十条</w:t>
            </w:r>
            <w:r>
              <w:rPr>
                <w:rFonts w:ascii="SimHei" w:hAnsi="SimHei" w:eastAsia="SimHei" w:cs="SimHei"/>
                <w:sz w:val="22"/>
                <w:szCs w:val="22"/>
                <w:spacing w:val="1"/>
              </w:rPr>
              <w:t xml:space="preserve"> </w:t>
            </w:r>
            <w:r>
              <w:rPr>
                <w:rFonts w:ascii="SimHei" w:hAnsi="SimHei" w:eastAsia="SimHei" w:cs="SimHei"/>
                <w:sz w:val="22"/>
                <w:szCs w:val="22"/>
                <w:spacing w:val="1"/>
              </w:rPr>
              <w:t>建设项目竣工投入生产和使用前，职业病防护</w:t>
            </w:r>
            <w:r>
              <w:rPr>
                <w:rFonts w:ascii="SimHei" w:hAnsi="SimHei" w:eastAsia="SimHei" w:cs="SimHei"/>
                <w:sz w:val="22"/>
                <w:szCs w:val="22"/>
              </w:rPr>
              <w:t>设施未按照规定验收合格的</w:t>
            </w:r>
            <w:r>
              <w:rPr>
                <w:rFonts w:ascii="SimHei" w:hAnsi="SimHei" w:eastAsia="SimHei" w:cs="SimHei"/>
                <w:sz w:val="22"/>
                <w:szCs w:val="22"/>
                <w:spacing w:val="-99"/>
              </w:rPr>
              <w:t xml:space="preserve"> </w:t>
            </w:r>
            <w:r>
              <w:rPr>
                <w:rFonts w:ascii="SimHei" w:hAnsi="SimHei" w:eastAsia="SimHei" w:cs="SimHei"/>
                <w:sz w:val="22"/>
                <w:szCs w:val="22"/>
              </w:rPr>
              <w:tab/>
            </w:r>
            <w:r>
              <w:rPr>
                <w:rFonts w:ascii="SimHei" w:hAnsi="SimHei" w:eastAsia="SimHei" w:cs="SimHei"/>
                <w:sz w:val="22"/>
                <w:szCs w:val="22"/>
                <w:spacing w:val="-45"/>
              </w:rPr>
              <w:t xml:space="preserve"> </w:t>
            </w:r>
            <w:r>
              <w:rPr>
                <w:rFonts w:ascii="Times New Roman" w:hAnsi="Times New Roman" w:eastAsia="Times New Roman" w:cs="Times New Roman"/>
                <w:sz w:val="22"/>
                <w:szCs w:val="22"/>
                <w:spacing w:val="-3"/>
              </w:rPr>
              <w:t>527</w:t>
            </w:r>
          </w:hyperlink>
        </w:p>
        <w:p>
          <w:pPr>
            <w:pStyle w:val="BodyText"/>
            <w:spacing w:line="250" w:lineRule="auto"/>
            <w:rPr/>
          </w:pPr>
          <w:r/>
        </w:p>
        <w:p>
          <w:pPr>
            <w:pStyle w:val="BodyText"/>
            <w:spacing w:line="251" w:lineRule="auto"/>
            <w:rPr/>
          </w:pPr>
          <w:r/>
        </w:p>
        <w:p>
          <w:pPr>
            <w:ind w:left="856"/>
            <w:spacing w:before="72" w:line="222" w:lineRule="auto"/>
            <w:tabs>
              <w:tab w:val="right" w:leader="dot" w:pos="13905"/>
            </w:tabs>
            <w:rPr>
              <w:rFonts w:ascii="Times New Roman" w:hAnsi="Times New Roman" w:eastAsia="Times New Roman" w:cs="Times New Roman"/>
              <w:sz w:val="22"/>
              <w:szCs w:val="22"/>
            </w:rPr>
          </w:pPr>
          <w:hyperlink w:history="true" w:anchor="bookmark574">
            <w:r>
              <w:rPr>
                <w:rFonts w:ascii="SimHei" w:hAnsi="SimHei" w:eastAsia="SimHei" w:cs="SimHei"/>
                <w:sz w:val="22"/>
                <w:szCs w:val="22"/>
              </w:rPr>
              <w:t>第四百五十一条</w:t>
            </w:r>
            <w:r>
              <w:rPr>
                <w:rFonts w:ascii="SimHei" w:hAnsi="SimHei" w:eastAsia="SimHei" w:cs="SimHei"/>
                <w:sz w:val="22"/>
                <w:szCs w:val="22"/>
              </w:rPr>
              <w:t xml:space="preserve"> </w:t>
            </w:r>
            <w:r>
              <w:rPr>
                <w:rFonts w:ascii="SimHei" w:hAnsi="SimHei" w:eastAsia="SimHei" w:cs="SimHei"/>
                <w:sz w:val="22"/>
                <w:szCs w:val="22"/>
              </w:rPr>
              <w:t>工作场所职业病危害因素检测、评价结果没</w:t>
            </w:r>
            <w:r>
              <w:rPr>
                <w:rFonts w:ascii="SimHei" w:hAnsi="SimHei" w:eastAsia="SimHei" w:cs="SimHei"/>
                <w:sz w:val="22"/>
                <w:szCs w:val="22"/>
                <w:spacing w:val="-1"/>
              </w:rPr>
              <w:t>有存档、上报、公布的</w:t>
            </w:r>
            <w:r>
              <w:rPr>
                <w:rFonts w:ascii="SimHei" w:hAnsi="SimHei" w:eastAsia="SimHei" w:cs="SimHei"/>
                <w:sz w:val="22"/>
                <w:szCs w:val="22"/>
                <w:spacing w:val="-92"/>
              </w:rPr>
              <w:t xml:space="preserve"> </w:t>
            </w:r>
            <w:r>
              <w:rPr>
                <w:rFonts w:ascii="SimHei" w:hAnsi="SimHei" w:eastAsia="SimHei" w:cs="SimHei"/>
                <w:sz w:val="22"/>
                <w:szCs w:val="22"/>
              </w:rPr>
              <w:tab/>
            </w:r>
            <w:r>
              <w:rPr>
                <w:rFonts w:ascii="SimHei" w:hAnsi="SimHei" w:eastAsia="SimHei" w:cs="SimHei"/>
                <w:sz w:val="22"/>
                <w:szCs w:val="22"/>
                <w:spacing w:val="-15"/>
              </w:rPr>
              <w:t xml:space="preserve"> </w:t>
            </w:r>
            <w:r>
              <w:rPr>
                <w:rFonts w:ascii="Times New Roman" w:hAnsi="Times New Roman" w:eastAsia="Times New Roman" w:cs="Times New Roman"/>
                <w:sz w:val="22"/>
                <w:szCs w:val="22"/>
                <w:spacing w:val="-3"/>
              </w:rPr>
              <w:t>529</w:t>
            </w:r>
          </w:hyperlink>
        </w:p>
        <w:p>
          <w:pPr>
            <w:pStyle w:val="BodyText"/>
            <w:rPr/>
          </w:pPr>
          <w:r/>
        </w:p>
        <w:p>
          <w:pPr>
            <w:pStyle w:val="BodyText"/>
            <w:rPr/>
          </w:pPr>
          <w:r/>
        </w:p>
        <w:p>
          <w:pPr>
            <w:ind w:left="856"/>
            <w:spacing w:before="72" w:line="221" w:lineRule="auto"/>
            <w:tabs>
              <w:tab w:val="right" w:leader="dot" w:pos="13895"/>
            </w:tabs>
            <w:rPr>
              <w:rFonts w:ascii="Times New Roman" w:hAnsi="Times New Roman" w:eastAsia="Times New Roman" w:cs="Times New Roman"/>
              <w:sz w:val="22"/>
              <w:szCs w:val="22"/>
            </w:rPr>
          </w:pPr>
          <w:hyperlink w:history="true" w:anchor="bookmark575">
            <w:r>
              <w:rPr>
                <w:rFonts w:ascii="SimHei" w:hAnsi="SimHei" w:eastAsia="SimHei" w:cs="SimHei"/>
                <w:sz w:val="22"/>
                <w:szCs w:val="22"/>
                <w:spacing w:val="2"/>
              </w:rPr>
              <w:t>第四百五十二条</w:t>
            </w:r>
            <w:r>
              <w:rPr>
                <w:rFonts w:ascii="SimHei" w:hAnsi="SimHei" w:eastAsia="SimHei" w:cs="SimHei"/>
                <w:sz w:val="22"/>
                <w:szCs w:val="22"/>
                <w:spacing w:val="2"/>
              </w:rPr>
              <w:t xml:space="preserve"> </w:t>
            </w:r>
            <w:r>
              <w:rPr>
                <w:rFonts w:ascii="SimHei" w:hAnsi="SimHei" w:eastAsia="SimHei" w:cs="SimHei"/>
                <w:sz w:val="22"/>
                <w:szCs w:val="22"/>
                <w:spacing w:val="2"/>
              </w:rPr>
              <w:t>未按规定采取职业病防治管理措施的</w:t>
            </w:r>
            <w:r>
              <w:rPr>
                <w:rFonts w:ascii="SimHei" w:hAnsi="SimHei" w:eastAsia="SimHei" w:cs="SimHei"/>
                <w:sz w:val="22"/>
                <w:szCs w:val="22"/>
                <w:spacing w:val="-99"/>
              </w:rPr>
              <w:t xml:space="preserve"> </w:t>
            </w:r>
            <w:r>
              <w:rPr>
                <w:rFonts w:ascii="SimHei" w:hAnsi="SimHei" w:eastAsia="SimHei" w:cs="SimHei"/>
                <w:sz w:val="22"/>
                <w:szCs w:val="22"/>
              </w:rPr>
              <w:tab/>
            </w:r>
            <w:r>
              <w:rPr>
                <w:rFonts w:ascii="SimHei" w:hAnsi="SimHei" w:eastAsia="SimHei" w:cs="SimHei"/>
                <w:sz w:val="22"/>
                <w:szCs w:val="22"/>
                <w:spacing w:val="-75"/>
              </w:rPr>
              <w:t xml:space="preserve"> </w:t>
            </w:r>
            <w:r>
              <w:rPr>
                <w:rFonts w:ascii="Times New Roman" w:hAnsi="Times New Roman" w:eastAsia="Times New Roman" w:cs="Times New Roman"/>
                <w:sz w:val="22"/>
                <w:szCs w:val="22"/>
                <w:spacing w:val="-3"/>
              </w:rPr>
              <w:t>530</w:t>
            </w:r>
          </w:hyperlink>
        </w:p>
        <w:p>
          <w:pPr>
            <w:pStyle w:val="BodyText"/>
            <w:spacing w:line="246" w:lineRule="auto"/>
            <w:rPr/>
          </w:pPr>
          <w:r/>
        </w:p>
        <w:p>
          <w:pPr>
            <w:pStyle w:val="BodyText"/>
            <w:spacing w:line="246" w:lineRule="auto"/>
            <w:rPr/>
          </w:pPr>
          <w:r/>
        </w:p>
        <w:p>
          <w:pPr>
            <w:ind w:left="856"/>
            <w:spacing w:before="72" w:line="221" w:lineRule="auto"/>
            <w:tabs>
              <w:tab w:val="right" w:leader="dot" w:pos="13915"/>
            </w:tabs>
            <w:rPr>
              <w:rFonts w:ascii="Times New Roman" w:hAnsi="Times New Roman" w:eastAsia="Times New Roman" w:cs="Times New Roman"/>
              <w:sz w:val="22"/>
              <w:szCs w:val="22"/>
            </w:rPr>
          </w:pPr>
          <w:hyperlink w:history="true" w:anchor="bookmark576">
            <w:r>
              <w:rPr>
                <w:rFonts w:ascii="SimHei" w:hAnsi="SimHei" w:eastAsia="SimHei" w:cs="SimHei"/>
                <w:sz w:val="22"/>
                <w:szCs w:val="22"/>
                <w:spacing w:val="-1"/>
              </w:rPr>
              <w:t>第四百五十三条</w:t>
            </w:r>
            <w:r>
              <w:rPr>
                <w:rFonts w:ascii="SimHei" w:hAnsi="SimHei" w:eastAsia="SimHei" w:cs="SimHei"/>
                <w:sz w:val="22"/>
                <w:szCs w:val="22"/>
                <w:spacing w:val="-1"/>
              </w:rPr>
              <w:t xml:space="preserve"> </w:t>
            </w:r>
            <w:r>
              <w:rPr>
                <w:rFonts w:ascii="SimHei" w:hAnsi="SimHei" w:eastAsia="SimHei" w:cs="SimHei"/>
                <w:sz w:val="22"/>
                <w:szCs w:val="22"/>
                <w:spacing w:val="-1"/>
              </w:rPr>
              <w:t>未按照规定公布有关职业病防治的规章制度、操作规程、职业病危害事故应急救援措施的</w:t>
            </w:r>
            <w:r>
              <w:rPr>
                <w:rFonts w:ascii="SimHei" w:hAnsi="SimHei" w:eastAsia="SimHei" w:cs="SimHei"/>
                <w:sz w:val="22"/>
                <w:szCs w:val="22"/>
                <w:spacing w:val="-85"/>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532</w:t>
            </w:r>
          </w:hyperlink>
        </w:p>
      </w:sdtContent>
    </w:sdt>
    <w:p>
      <w:pPr>
        <w:spacing w:line="221" w:lineRule="auto"/>
        <w:sectPr>
          <w:footerReference w:type="default" r:id="rId54"/>
          <w:pgSz w:w="16830" w:h="11900"/>
          <w:pgMar w:top="1011" w:right="1434" w:bottom="1119" w:left="1433" w:header="0" w:footer="808" w:gutter="0"/>
        </w:sectPr>
        <w:rPr>
          <w:rFonts w:ascii="Times New Roman" w:hAnsi="Times New Roman" w:eastAsia="Times New Roman" w:cs="Times New Roman"/>
          <w:sz w:val="22"/>
          <w:szCs w:val="22"/>
        </w:rPr>
      </w:pPr>
    </w:p>
    <w:p>
      <w:pPr>
        <w:pStyle w:val="BodyText"/>
        <w:spacing w:line="307" w:lineRule="auto"/>
        <w:rPr/>
      </w:pPr>
      <w:r/>
    </w:p>
    <w:p>
      <w:pPr>
        <w:pStyle w:val="BodyText"/>
        <w:spacing w:line="307" w:lineRule="auto"/>
        <w:rPr/>
      </w:pPr>
      <w:r/>
    </w:p>
    <w:p>
      <w:pPr>
        <w:pStyle w:val="BodyText"/>
        <w:spacing w:line="308"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spacing w:before="68" w:line="213" w:lineRule="auto"/>
            <w:tabs>
              <w:tab w:val="right" w:leader="dot" w:pos="13014"/>
            </w:tabs>
            <w:rPr>
              <w:rFonts w:ascii="Times New Roman" w:hAnsi="Times New Roman" w:eastAsia="Times New Roman" w:cs="Times New Roman"/>
              <w:sz w:val="21"/>
              <w:szCs w:val="21"/>
            </w:rPr>
          </w:pPr>
          <w:hyperlink w:history="true" w:anchor="bookmark577">
            <w:r>
              <w:rPr>
                <w:rFonts w:ascii="SimHei" w:hAnsi="SimHei" w:eastAsia="SimHei" w:cs="SimHei"/>
                <w:sz w:val="21"/>
                <w:szCs w:val="21"/>
                <w:spacing w:val="10"/>
              </w:rPr>
              <w:t>第四百五十四条</w:t>
            </w:r>
            <w:r>
              <w:rPr>
                <w:rFonts w:ascii="SimHei" w:hAnsi="SimHei" w:eastAsia="SimHei" w:cs="SimHei"/>
                <w:sz w:val="21"/>
                <w:szCs w:val="21"/>
                <w:spacing w:val="10"/>
              </w:rPr>
              <w:t xml:space="preserve"> </w:t>
            </w:r>
            <w:r>
              <w:rPr>
                <w:rFonts w:ascii="SimHei" w:hAnsi="SimHei" w:eastAsia="SimHei" w:cs="SimHei"/>
                <w:sz w:val="21"/>
                <w:szCs w:val="21"/>
                <w:spacing w:val="10"/>
              </w:rPr>
              <w:t>未按照规定组织劳动者进行职业卫生培训，或者未对劳动者个人职业病防护采取指导、督促措施的</w:t>
            </w:r>
            <w:r>
              <w:rPr>
                <w:rFonts w:ascii="SimHei" w:hAnsi="SimHei" w:eastAsia="SimHei" w:cs="SimHei"/>
                <w:sz w:val="21"/>
                <w:szCs w:val="21"/>
                <w:spacing w:val="-82"/>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534</w:t>
            </w:r>
          </w:hyperlink>
        </w:p>
        <w:p>
          <w:pPr>
            <w:pStyle w:val="BodyText"/>
            <w:spacing w:line="253" w:lineRule="auto"/>
            <w:rPr/>
          </w:pPr>
          <w:r/>
        </w:p>
        <w:p>
          <w:pPr>
            <w:pStyle w:val="BodyText"/>
            <w:spacing w:line="253" w:lineRule="auto"/>
            <w:rPr/>
          </w:pPr>
          <w:r/>
        </w:p>
        <w:p>
          <w:pPr>
            <w:spacing w:before="68" w:line="213" w:lineRule="auto"/>
            <w:jc w:val="right"/>
            <w:rPr>
              <w:rFonts w:ascii="SimHei" w:hAnsi="SimHei" w:eastAsia="SimHei" w:cs="SimHei"/>
              <w:sz w:val="21"/>
              <w:szCs w:val="21"/>
            </w:rPr>
          </w:pPr>
          <w:hyperlink w:history="true" w:anchor="bookmark578">
            <w:r>
              <w:rPr>
                <w:rFonts w:ascii="SimHei" w:hAnsi="SimHei" w:eastAsia="SimHei" w:cs="SimHei"/>
                <w:sz w:val="21"/>
                <w:szCs w:val="21"/>
                <w:spacing w:val="10"/>
              </w:rPr>
              <w:t>第四百五十五条</w:t>
            </w:r>
            <w:r>
              <w:rPr>
                <w:rFonts w:ascii="SimHei" w:hAnsi="SimHei" w:eastAsia="SimHei" w:cs="SimHei"/>
                <w:sz w:val="21"/>
                <w:szCs w:val="21"/>
                <w:spacing w:val="41"/>
              </w:rPr>
              <w:t xml:space="preserve"> </w:t>
            </w:r>
            <w:r>
              <w:rPr>
                <w:rFonts w:ascii="SimHei" w:hAnsi="SimHei" w:eastAsia="SimHei" w:cs="SimHei"/>
                <w:sz w:val="21"/>
                <w:szCs w:val="21"/>
                <w:spacing w:val="10"/>
              </w:rPr>
              <w:t>国内首次使用或者首次进口与职业病危害有关的化学材料，未</w:t>
            </w:r>
            <w:r>
              <w:rPr>
                <w:rFonts w:ascii="SimHei" w:hAnsi="SimHei" w:eastAsia="SimHei" w:cs="SimHei"/>
                <w:sz w:val="21"/>
                <w:szCs w:val="21"/>
                <w:spacing w:val="9"/>
              </w:rPr>
              <w:t>按照规定报送毒性鉴定资料以及经有关部门登记注册或者</w:t>
            </w:r>
          </w:hyperlink>
        </w:p>
        <w:p>
          <w:pPr>
            <w:pStyle w:val="BodyText"/>
            <w:spacing w:line="326" w:lineRule="auto"/>
            <w:rPr/>
          </w:pPr>
          <w:r/>
        </w:p>
        <w:p>
          <w:pPr>
            <w:spacing w:before="69" w:line="222" w:lineRule="auto"/>
            <w:tabs>
              <w:tab w:val="right" w:leader="dot" w:pos="12984"/>
            </w:tabs>
            <w:rPr>
              <w:rFonts w:ascii="Times New Roman" w:hAnsi="Times New Roman" w:eastAsia="Times New Roman" w:cs="Times New Roman"/>
              <w:sz w:val="21"/>
              <w:szCs w:val="21"/>
            </w:rPr>
          </w:pPr>
          <w:hyperlink w:history="true" w:anchor="bookmark579">
            <w:r>
              <w:rPr>
                <w:rFonts w:ascii="SimHei" w:hAnsi="SimHei" w:eastAsia="SimHei" w:cs="SimHei"/>
                <w:sz w:val="21"/>
                <w:szCs w:val="21"/>
                <w:spacing w:val="16"/>
              </w:rPr>
              <w:t>批准进口的文件的</w:t>
            </w:r>
            <w:r>
              <w:rPr>
                <w:rFonts w:ascii="SimHei" w:hAnsi="SimHei" w:eastAsia="SimHei" w:cs="SimHei"/>
                <w:sz w:val="21"/>
                <w:szCs w:val="21"/>
                <w:spacing w:val="-94"/>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535</w:t>
            </w:r>
          </w:hyperlink>
        </w:p>
        <w:p>
          <w:pPr>
            <w:pStyle w:val="BodyText"/>
            <w:spacing w:line="262" w:lineRule="auto"/>
            <w:rPr/>
          </w:pPr>
          <w:r/>
        </w:p>
        <w:p>
          <w:pPr>
            <w:pStyle w:val="BodyText"/>
            <w:spacing w:line="263" w:lineRule="auto"/>
            <w:rPr/>
          </w:pPr>
          <w:r/>
        </w:p>
        <w:p>
          <w:pPr>
            <w:spacing w:before="69" w:line="222" w:lineRule="auto"/>
            <w:tabs>
              <w:tab w:val="right" w:leader="dot" w:pos="13034"/>
            </w:tabs>
            <w:rPr>
              <w:rFonts w:ascii="Times New Roman" w:hAnsi="Times New Roman" w:eastAsia="Times New Roman" w:cs="Times New Roman"/>
              <w:sz w:val="21"/>
              <w:szCs w:val="21"/>
            </w:rPr>
          </w:pPr>
          <w:hyperlink w:history="true" w:anchor="bookmark580">
            <w:r>
              <w:rPr>
                <w:rFonts w:ascii="SimHei" w:hAnsi="SimHei" w:eastAsia="SimHei" w:cs="SimHei"/>
                <w:sz w:val="21"/>
                <w:szCs w:val="21"/>
                <w:spacing w:val="10"/>
              </w:rPr>
              <w:t>第四百五十六条</w:t>
            </w:r>
            <w:r>
              <w:rPr>
                <w:rFonts w:ascii="SimHei" w:hAnsi="SimHei" w:eastAsia="SimHei" w:cs="SimHei"/>
                <w:sz w:val="21"/>
                <w:szCs w:val="21"/>
                <w:spacing w:val="10"/>
              </w:rPr>
              <w:t xml:space="preserve"> </w:t>
            </w:r>
            <w:r>
              <w:rPr>
                <w:rFonts w:ascii="SimHei" w:hAnsi="SimHei" w:eastAsia="SimHei" w:cs="SimHei"/>
                <w:sz w:val="21"/>
                <w:szCs w:val="21"/>
                <w:spacing w:val="10"/>
              </w:rPr>
              <w:t>未按照规定及时、如实向卫生行政部门申报产生职业病危害的项目的</w:t>
            </w:r>
            <w:r>
              <w:rPr>
                <w:rFonts w:ascii="SimHei" w:hAnsi="SimHei" w:eastAsia="SimHei" w:cs="SimHei"/>
                <w:sz w:val="21"/>
                <w:szCs w:val="21"/>
                <w:spacing w:val="-81"/>
              </w:rPr>
              <w:t xml:space="preserve"> </w:t>
            </w:r>
            <w:r>
              <w:rPr>
                <w:rFonts w:ascii="SimHei" w:hAnsi="SimHei" w:eastAsia="SimHei" w:cs="SimHei"/>
                <w:sz w:val="21"/>
                <w:szCs w:val="21"/>
              </w:rPr>
              <w:tab/>
            </w:r>
            <w:r>
              <w:rPr>
                <w:rFonts w:ascii="SimHei" w:hAnsi="SimHei" w:eastAsia="SimHei" w:cs="SimHei"/>
                <w:sz w:val="21"/>
                <w:szCs w:val="21"/>
                <w:spacing w:val="-40"/>
              </w:rPr>
              <w:t xml:space="preserve"> </w:t>
            </w:r>
            <w:r>
              <w:rPr>
                <w:rFonts w:ascii="Times New Roman" w:hAnsi="Times New Roman" w:eastAsia="Times New Roman" w:cs="Times New Roman"/>
                <w:sz w:val="21"/>
                <w:szCs w:val="21"/>
                <w:spacing w:val="-3"/>
              </w:rPr>
              <w:t>537</w:t>
            </w:r>
          </w:hyperlink>
        </w:p>
        <w:p>
          <w:pPr>
            <w:pStyle w:val="BodyText"/>
            <w:spacing w:line="456" w:lineRule="auto"/>
            <w:rPr/>
          </w:pPr>
          <w:r/>
        </w:p>
        <w:p>
          <w:pPr>
            <w:spacing w:before="69" w:line="213" w:lineRule="auto"/>
            <w:tabs>
              <w:tab w:val="right" w:leader="dot" w:pos="13014"/>
            </w:tabs>
            <w:rPr>
              <w:rFonts w:ascii="Times New Roman" w:hAnsi="Times New Roman" w:eastAsia="Times New Roman" w:cs="Times New Roman"/>
              <w:sz w:val="21"/>
              <w:szCs w:val="21"/>
            </w:rPr>
          </w:pPr>
          <w:hyperlink w:history="true" w:anchor="bookmark581">
            <w:r>
              <w:rPr>
                <w:rFonts w:ascii="SimHei" w:hAnsi="SimHei" w:eastAsia="SimHei" w:cs="SimHei"/>
                <w:sz w:val="21"/>
                <w:szCs w:val="21"/>
                <w:spacing w:val="9"/>
              </w:rPr>
              <w:t>第四百五十七条</w:t>
            </w:r>
            <w:r>
              <w:rPr>
                <w:rFonts w:ascii="SimHei" w:hAnsi="SimHei" w:eastAsia="SimHei" w:cs="SimHei"/>
                <w:sz w:val="21"/>
                <w:szCs w:val="21"/>
                <w:spacing w:val="9"/>
              </w:rPr>
              <w:t xml:space="preserve"> </w:t>
            </w:r>
            <w:r>
              <w:rPr>
                <w:rFonts w:ascii="SimHei" w:hAnsi="SimHei" w:eastAsia="SimHei" w:cs="SimHei"/>
                <w:sz w:val="21"/>
                <w:szCs w:val="21"/>
                <w:spacing w:val="9"/>
              </w:rPr>
              <w:t>未实施由专人负责的职业病危害因素日常监测，或者监测系统不能正常监测的</w:t>
            </w:r>
            <w:r>
              <w:rPr>
                <w:rFonts w:ascii="SimHei" w:hAnsi="SimHei" w:eastAsia="SimHei" w:cs="SimHei"/>
                <w:sz w:val="21"/>
                <w:szCs w:val="21"/>
                <w:spacing w:val="-89"/>
              </w:rPr>
              <w:t xml:space="preserve"> </w:t>
            </w:r>
            <w:r>
              <w:rPr>
                <w:rFonts w:ascii="SimHei" w:hAnsi="SimHei" w:eastAsia="SimHei" w:cs="SimHei"/>
                <w:sz w:val="21"/>
                <w:szCs w:val="21"/>
              </w:rPr>
              <w:tab/>
            </w:r>
            <w:r>
              <w:rPr>
                <w:rFonts w:ascii="SimHei" w:hAnsi="SimHei" w:eastAsia="SimHei" w:cs="SimHei"/>
                <w:sz w:val="21"/>
                <w:szCs w:val="21"/>
                <w:spacing w:val="-50"/>
              </w:rPr>
              <w:t xml:space="preserve"> </w:t>
            </w:r>
            <w:r>
              <w:rPr>
                <w:rFonts w:ascii="Times New Roman" w:hAnsi="Times New Roman" w:eastAsia="Times New Roman" w:cs="Times New Roman"/>
                <w:sz w:val="21"/>
                <w:szCs w:val="21"/>
                <w:spacing w:val="-3"/>
              </w:rPr>
              <w:t>538</w:t>
            </w:r>
          </w:hyperlink>
        </w:p>
        <w:p>
          <w:pPr>
            <w:pStyle w:val="BodyText"/>
            <w:spacing w:line="258" w:lineRule="auto"/>
            <w:rPr/>
          </w:pPr>
          <w:r/>
        </w:p>
        <w:p>
          <w:pPr>
            <w:pStyle w:val="BodyText"/>
            <w:spacing w:line="258" w:lineRule="auto"/>
            <w:rPr/>
          </w:pPr>
          <w:r/>
        </w:p>
        <w:p>
          <w:pPr>
            <w:spacing w:before="68" w:line="213" w:lineRule="auto"/>
            <w:tabs>
              <w:tab w:val="right" w:leader="dot" w:pos="13014"/>
            </w:tabs>
            <w:rPr>
              <w:rFonts w:ascii="Times New Roman" w:hAnsi="Times New Roman" w:eastAsia="Times New Roman" w:cs="Times New Roman"/>
              <w:sz w:val="21"/>
              <w:szCs w:val="21"/>
            </w:rPr>
          </w:pPr>
          <w:hyperlink w:history="true" w:anchor="bookmark582">
            <w:r>
              <w:rPr>
                <w:rFonts w:ascii="SimHei" w:hAnsi="SimHei" w:eastAsia="SimHei" w:cs="SimHei"/>
                <w:sz w:val="21"/>
                <w:szCs w:val="21"/>
                <w:spacing w:val="9"/>
              </w:rPr>
              <w:t>第四百五十八条</w:t>
            </w:r>
            <w:r>
              <w:rPr>
                <w:rFonts w:ascii="SimHei" w:hAnsi="SimHei" w:eastAsia="SimHei" w:cs="SimHei"/>
                <w:sz w:val="21"/>
                <w:szCs w:val="21"/>
                <w:spacing w:val="9"/>
              </w:rPr>
              <w:t xml:space="preserve"> </w:t>
            </w:r>
            <w:r>
              <w:rPr>
                <w:rFonts w:ascii="SimHei" w:hAnsi="SimHei" w:eastAsia="SimHei" w:cs="SimHei"/>
                <w:sz w:val="21"/>
                <w:szCs w:val="21"/>
                <w:spacing w:val="9"/>
              </w:rPr>
              <w:t>订立或者变更劳动合同时，未告知劳动者职业病危害真实情况的</w:t>
            </w:r>
            <w:r>
              <w:rPr>
                <w:rFonts w:ascii="SimHei" w:hAnsi="SimHei" w:eastAsia="SimHei" w:cs="SimHei"/>
                <w:sz w:val="21"/>
                <w:szCs w:val="21"/>
                <w:spacing w:val="-85"/>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539</w:t>
            </w:r>
          </w:hyperlink>
        </w:p>
        <w:p>
          <w:pPr>
            <w:pStyle w:val="BodyText"/>
            <w:spacing w:line="257" w:lineRule="auto"/>
            <w:rPr/>
          </w:pPr>
          <w:r/>
        </w:p>
        <w:p>
          <w:pPr>
            <w:pStyle w:val="BodyText"/>
            <w:spacing w:line="258" w:lineRule="auto"/>
            <w:rPr/>
          </w:pPr>
          <w:r/>
        </w:p>
        <w:p>
          <w:pPr>
            <w:spacing w:before="69" w:line="222" w:lineRule="auto"/>
            <w:tabs>
              <w:tab w:val="right" w:leader="dot" w:pos="13054"/>
            </w:tabs>
            <w:rPr>
              <w:rFonts w:ascii="Times New Roman" w:hAnsi="Times New Roman" w:eastAsia="Times New Roman" w:cs="Times New Roman"/>
              <w:sz w:val="21"/>
              <w:szCs w:val="21"/>
            </w:rPr>
          </w:pPr>
          <w:hyperlink w:history="true" w:anchor="bookmark583">
            <w:r>
              <w:rPr>
                <w:rFonts w:ascii="SimHei" w:hAnsi="SimHei" w:eastAsia="SimHei" w:cs="SimHei"/>
                <w:sz w:val="21"/>
                <w:szCs w:val="21"/>
                <w:spacing w:val="11"/>
              </w:rPr>
              <w:t>第四百五十九条</w:t>
            </w:r>
            <w:r>
              <w:rPr>
                <w:rFonts w:ascii="SimHei" w:hAnsi="SimHei" w:eastAsia="SimHei" w:cs="SimHei"/>
                <w:sz w:val="21"/>
                <w:szCs w:val="21"/>
                <w:spacing w:val="11"/>
              </w:rPr>
              <w:t xml:space="preserve"> </w:t>
            </w:r>
            <w:r>
              <w:rPr>
                <w:rFonts w:ascii="SimHei" w:hAnsi="SimHei" w:eastAsia="SimHei" w:cs="SimHei"/>
                <w:sz w:val="21"/>
                <w:szCs w:val="21"/>
                <w:spacing w:val="11"/>
              </w:rPr>
              <w:t>未按照规定组织职业健康检查、</w:t>
            </w:r>
            <w:r>
              <w:rPr>
                <w:rFonts w:ascii="SimHei" w:hAnsi="SimHei" w:eastAsia="SimHei" w:cs="SimHei"/>
                <w:sz w:val="21"/>
                <w:szCs w:val="21"/>
                <w:spacing w:val="10"/>
              </w:rPr>
              <w:t>建立职业健康监护档案或者未将检查结果书面告知劳动者的</w:t>
            </w:r>
            <w:r>
              <w:rPr>
                <w:rFonts w:ascii="SimHei" w:hAnsi="SimHei" w:eastAsia="SimHei" w:cs="SimHei"/>
                <w:sz w:val="21"/>
                <w:szCs w:val="21"/>
                <w:spacing w:val="-94"/>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540</w:t>
            </w:r>
          </w:hyperlink>
        </w:p>
        <w:p>
          <w:pPr>
            <w:pStyle w:val="BodyText"/>
            <w:spacing w:line="253" w:lineRule="auto"/>
            <w:rPr/>
          </w:pPr>
          <w:r/>
        </w:p>
        <w:p>
          <w:pPr>
            <w:pStyle w:val="BodyText"/>
            <w:spacing w:line="253" w:lineRule="auto"/>
            <w:rPr/>
          </w:pPr>
          <w:r/>
        </w:p>
        <w:p>
          <w:pPr>
            <w:spacing w:before="68" w:line="222" w:lineRule="auto"/>
            <w:tabs>
              <w:tab w:val="right" w:leader="dot" w:pos="13034"/>
            </w:tabs>
            <w:rPr>
              <w:rFonts w:ascii="Times New Roman" w:hAnsi="Times New Roman" w:eastAsia="Times New Roman" w:cs="Times New Roman"/>
              <w:sz w:val="21"/>
              <w:szCs w:val="21"/>
            </w:rPr>
          </w:pPr>
          <w:hyperlink w:history="true" w:anchor="bookmark584">
            <w:r>
              <w:rPr>
                <w:rFonts w:ascii="SimHei" w:hAnsi="SimHei" w:eastAsia="SimHei" w:cs="SimHei"/>
                <w:sz w:val="21"/>
                <w:szCs w:val="21"/>
                <w:spacing w:val="11"/>
              </w:rPr>
              <w:t>第四百六十条</w:t>
            </w:r>
            <w:r>
              <w:rPr>
                <w:rFonts w:ascii="SimHei" w:hAnsi="SimHei" w:eastAsia="SimHei" w:cs="SimHei"/>
                <w:sz w:val="21"/>
                <w:szCs w:val="21"/>
                <w:spacing w:val="11"/>
              </w:rPr>
              <w:t xml:space="preserve"> </w:t>
            </w:r>
            <w:r>
              <w:rPr>
                <w:rFonts w:ascii="SimHei" w:hAnsi="SimHei" w:eastAsia="SimHei" w:cs="SimHei"/>
                <w:sz w:val="21"/>
                <w:szCs w:val="21"/>
                <w:spacing w:val="11"/>
              </w:rPr>
              <w:t>未依照本法规定在劳动者离开用人单位时提供职业健康监护档案复印件的</w:t>
            </w:r>
            <w:r>
              <w:rPr>
                <w:rFonts w:ascii="SimHei" w:hAnsi="SimHei" w:eastAsia="SimHei" w:cs="SimHei"/>
                <w:sz w:val="21"/>
                <w:szCs w:val="21"/>
                <w:spacing w:val="-91"/>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542</w:t>
            </w:r>
          </w:hyperlink>
        </w:p>
        <w:p>
          <w:pPr>
            <w:pStyle w:val="BodyText"/>
            <w:spacing w:line="248" w:lineRule="auto"/>
            <w:rPr/>
          </w:pPr>
          <w:r/>
        </w:p>
        <w:p>
          <w:pPr>
            <w:pStyle w:val="BodyText"/>
            <w:spacing w:line="248" w:lineRule="auto"/>
            <w:rPr/>
          </w:pPr>
          <w:r/>
        </w:p>
        <w:p>
          <w:pPr>
            <w:spacing w:before="69" w:line="222" w:lineRule="auto"/>
            <w:tabs>
              <w:tab w:val="right" w:leader="dot" w:pos="13024"/>
            </w:tabs>
            <w:rPr>
              <w:rFonts w:ascii="Times New Roman" w:hAnsi="Times New Roman" w:eastAsia="Times New Roman" w:cs="Times New Roman"/>
              <w:sz w:val="21"/>
              <w:szCs w:val="21"/>
            </w:rPr>
          </w:pPr>
          <w:hyperlink w:history="true" w:anchor="bookmark585">
            <w:r>
              <w:rPr>
                <w:rFonts w:ascii="SimHei" w:hAnsi="SimHei" w:eastAsia="SimHei" w:cs="SimHei"/>
                <w:sz w:val="21"/>
                <w:szCs w:val="21"/>
                <w:spacing w:val="10"/>
              </w:rPr>
              <w:t>第四百六十一条</w:t>
            </w:r>
            <w:r>
              <w:rPr>
                <w:rFonts w:ascii="SimHei" w:hAnsi="SimHei" w:eastAsia="SimHei" w:cs="SimHei"/>
                <w:sz w:val="21"/>
                <w:szCs w:val="21"/>
                <w:spacing w:val="10"/>
              </w:rPr>
              <w:t xml:space="preserve"> </w:t>
            </w:r>
            <w:r>
              <w:rPr>
                <w:rFonts w:ascii="SimHei" w:hAnsi="SimHei" w:eastAsia="SimHei" w:cs="SimHei"/>
                <w:sz w:val="21"/>
                <w:szCs w:val="21"/>
                <w:spacing w:val="10"/>
              </w:rPr>
              <w:t>工作场所职业病危害因素的强度或者浓度超过国</w:t>
            </w:r>
            <w:r>
              <w:rPr>
                <w:rFonts w:ascii="SimHei" w:hAnsi="SimHei" w:eastAsia="SimHei" w:cs="SimHei"/>
                <w:sz w:val="21"/>
                <w:szCs w:val="21"/>
                <w:spacing w:val="9"/>
              </w:rPr>
              <w:t>家职业卫生标准的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20"/>
              </w:rPr>
              <w:t xml:space="preserve"> </w:t>
            </w:r>
            <w:r>
              <w:rPr>
                <w:rFonts w:ascii="Times New Roman" w:hAnsi="Times New Roman" w:eastAsia="Times New Roman" w:cs="Times New Roman"/>
                <w:sz w:val="21"/>
                <w:szCs w:val="21"/>
                <w:spacing w:val="-3"/>
              </w:rPr>
              <w:t>543</w:t>
            </w:r>
          </w:hyperlink>
        </w:p>
      </w:sdtContent>
    </w:sdt>
    <w:p>
      <w:pPr>
        <w:spacing w:line="222" w:lineRule="auto"/>
        <w:sectPr>
          <w:footerReference w:type="default" r:id="rId55"/>
          <w:pgSz w:w="16830" w:h="11900"/>
          <w:pgMar w:top="1011" w:right="1417" w:bottom="1138" w:left="2299" w:header="0" w:footer="778" w:gutter="0"/>
        </w:sectPr>
        <w:rPr>
          <w:rFonts w:ascii="Times New Roman" w:hAnsi="Times New Roman" w:eastAsia="Times New Roman" w:cs="Times New Roman"/>
          <w:sz w:val="21"/>
          <w:szCs w:val="21"/>
        </w:rPr>
      </w:pPr>
    </w:p>
    <w:p>
      <w:pPr>
        <w:pStyle w:val="BodyText"/>
        <w:spacing w:line="303" w:lineRule="auto"/>
        <w:rPr/>
      </w:pPr>
      <w:r/>
    </w:p>
    <w:p>
      <w:pPr>
        <w:pStyle w:val="BodyText"/>
        <w:spacing w:line="303" w:lineRule="auto"/>
        <w:rPr/>
      </w:pPr>
      <w:r/>
    </w:p>
    <w:p>
      <w:pPr>
        <w:pStyle w:val="BodyText"/>
        <w:spacing w:line="303" w:lineRule="auto"/>
        <w:rPr/>
      </w:pPr>
      <w:r/>
    </w:p>
    <w:p>
      <w:pPr>
        <w:spacing w:before="71" w:line="213" w:lineRule="auto"/>
        <w:jc w:val="right"/>
        <w:rPr>
          <w:rFonts w:ascii="SimHei" w:hAnsi="SimHei" w:eastAsia="SimHei" w:cs="SimHei"/>
          <w:sz w:val="22"/>
          <w:szCs w:val="22"/>
        </w:rPr>
      </w:pPr>
      <w:bookmarkStart w:name="bookmark586" w:id="12"/>
      <w:bookmarkEnd w:id="12"/>
      <w:r>
        <w:rPr>
          <w:rFonts w:ascii="SimHei" w:hAnsi="SimHei" w:eastAsia="SimHei" w:cs="SimHei"/>
          <w:sz w:val="22"/>
          <w:szCs w:val="22"/>
        </w:rPr>
        <w:t>第四百六十二条</w:t>
      </w:r>
      <w:r>
        <w:rPr>
          <w:rFonts w:ascii="SimHei" w:hAnsi="SimHei" w:eastAsia="SimHei" w:cs="SimHei"/>
          <w:sz w:val="22"/>
          <w:szCs w:val="22"/>
        </w:rPr>
        <w:t xml:space="preserve"> </w:t>
      </w:r>
      <w:r>
        <w:rPr>
          <w:rFonts w:ascii="SimHei" w:hAnsi="SimHei" w:eastAsia="SimHei" w:cs="SimHei"/>
          <w:sz w:val="22"/>
          <w:szCs w:val="22"/>
        </w:rPr>
        <w:t>未提供职业病防护设施和个人使用的职业病防护用品，或者提供的职业病防护设施和个人使用的</w:t>
      </w:r>
      <w:r>
        <w:rPr>
          <w:rFonts w:ascii="SimHei" w:hAnsi="SimHei" w:eastAsia="SimHei" w:cs="SimHei"/>
          <w:sz w:val="22"/>
          <w:szCs w:val="22"/>
          <w:spacing w:val="-1"/>
        </w:rPr>
        <w:t>职业病防护用品不符合</w:t>
      </w:r>
    </w:p>
    <w:p>
      <w:pPr>
        <w:pStyle w:val="BodyText"/>
        <w:spacing w:line="302"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spacing w:before="72" w:line="222" w:lineRule="auto"/>
            <w:tabs>
              <w:tab w:val="right" w:leader="dot" w:pos="13059"/>
            </w:tabs>
            <w:rPr>
              <w:rFonts w:ascii="Times New Roman" w:hAnsi="Times New Roman" w:eastAsia="Times New Roman" w:cs="Times New Roman"/>
              <w:sz w:val="22"/>
              <w:szCs w:val="22"/>
            </w:rPr>
          </w:pPr>
          <w:hyperlink w:history="true" w:anchor="bookmark587">
            <w:r>
              <w:rPr>
                <w:rFonts w:ascii="SimHei" w:hAnsi="SimHei" w:eastAsia="SimHei" w:cs="SimHei"/>
                <w:sz w:val="22"/>
                <w:szCs w:val="22"/>
                <w:spacing w:val="2"/>
              </w:rPr>
              <w:t>国家职业卫生标准和卫生要求的</w:t>
            </w:r>
            <w:r>
              <w:rPr>
                <w:rFonts w:ascii="SimHei" w:hAnsi="SimHei" w:eastAsia="SimHei" w:cs="SimHei"/>
                <w:sz w:val="22"/>
                <w:szCs w:val="22"/>
                <w:spacing w:val="-90"/>
              </w:rPr>
              <w:t xml:space="preserve"> </w:t>
            </w:r>
            <w:r>
              <w:rPr>
                <w:rFonts w:ascii="SimHei" w:hAnsi="SimHei" w:eastAsia="SimHei" w:cs="SimHei"/>
                <w:sz w:val="22"/>
                <w:szCs w:val="22"/>
              </w:rPr>
              <w:tab/>
            </w:r>
            <w:r>
              <w:rPr>
                <w:rFonts w:ascii="Times New Roman" w:hAnsi="Times New Roman" w:eastAsia="Times New Roman" w:cs="Times New Roman"/>
                <w:sz w:val="22"/>
                <w:szCs w:val="22"/>
                <w:spacing w:val="-2"/>
              </w:rPr>
              <w:t>545</w:t>
            </w:r>
          </w:hyperlink>
        </w:p>
        <w:p>
          <w:pPr>
            <w:pStyle w:val="BodyText"/>
            <w:rPr/>
          </w:pPr>
          <w:r/>
        </w:p>
        <w:p>
          <w:pPr>
            <w:pStyle w:val="BodyText"/>
            <w:rPr/>
          </w:pPr>
          <w:r/>
        </w:p>
        <w:p>
          <w:pPr>
            <w:ind w:left="9"/>
            <w:spacing w:before="72" w:line="213" w:lineRule="auto"/>
            <w:rPr>
              <w:rFonts w:ascii="SimHei" w:hAnsi="SimHei" w:eastAsia="SimHei" w:cs="SimHei"/>
              <w:sz w:val="22"/>
              <w:szCs w:val="22"/>
            </w:rPr>
          </w:pPr>
          <w:hyperlink w:history="true" w:anchor="bookmark588">
            <w:r>
              <w:rPr>
                <w:rFonts w:ascii="SimHei" w:hAnsi="SimHei" w:eastAsia="SimHei" w:cs="SimHei"/>
                <w:sz w:val="22"/>
                <w:szCs w:val="22"/>
              </w:rPr>
              <w:t>第四百六十三条</w:t>
            </w:r>
            <w:r>
              <w:rPr>
                <w:rFonts w:ascii="SimHei" w:hAnsi="SimHei" w:eastAsia="SimHei" w:cs="SimHei"/>
                <w:sz w:val="22"/>
                <w:szCs w:val="22"/>
              </w:rPr>
              <w:t xml:space="preserve"> </w:t>
            </w:r>
            <w:r>
              <w:rPr>
                <w:rFonts w:ascii="SimHei" w:hAnsi="SimHei" w:eastAsia="SimHei" w:cs="SimHei"/>
                <w:sz w:val="22"/>
                <w:szCs w:val="22"/>
              </w:rPr>
              <w:t>对职业病防护设备、应急救援设施和个人使用的职业病防护用品未按照规定进行维护、检修、检</w:t>
            </w:r>
            <w:r>
              <w:rPr>
                <w:rFonts w:ascii="SimHei" w:hAnsi="SimHei" w:eastAsia="SimHei" w:cs="SimHei"/>
                <w:sz w:val="22"/>
                <w:szCs w:val="22"/>
                <w:spacing w:val="-1"/>
              </w:rPr>
              <w:t>测，或者不能保持正常</w:t>
            </w:r>
          </w:hyperlink>
        </w:p>
        <w:p>
          <w:pPr>
            <w:pStyle w:val="BodyText"/>
            <w:spacing w:line="302" w:lineRule="auto"/>
            <w:rPr/>
          </w:pPr>
          <w:r/>
        </w:p>
        <w:p>
          <w:pPr>
            <w:spacing w:before="72" w:line="222" w:lineRule="auto"/>
            <w:tabs>
              <w:tab w:val="right" w:leader="dot" w:pos="13039"/>
            </w:tabs>
            <w:rPr>
              <w:rFonts w:ascii="Times New Roman" w:hAnsi="Times New Roman" w:eastAsia="Times New Roman" w:cs="Times New Roman"/>
              <w:sz w:val="22"/>
              <w:szCs w:val="22"/>
            </w:rPr>
          </w:pPr>
          <w:hyperlink w:history="true" w:anchor="bookmark589">
            <w:r>
              <w:rPr>
                <w:rFonts w:ascii="SimHei" w:hAnsi="SimHei" w:eastAsia="SimHei" w:cs="SimHei"/>
                <w:sz w:val="22"/>
                <w:szCs w:val="22"/>
                <w:spacing w:val="3"/>
              </w:rPr>
              <w:t>运行、使用状态的</w:t>
            </w:r>
            <w:r>
              <w:rPr>
                <w:rFonts w:ascii="SimHei" w:hAnsi="SimHei" w:eastAsia="SimHei" w:cs="SimHei"/>
                <w:sz w:val="22"/>
                <w:szCs w:val="22"/>
                <w:spacing w:val="-96"/>
              </w:rPr>
              <w:t xml:space="preserve"> </w:t>
            </w:r>
            <w:r>
              <w:rPr>
                <w:rFonts w:ascii="SimHei" w:hAnsi="SimHei" w:eastAsia="SimHei" w:cs="SimHei"/>
                <w:sz w:val="22"/>
                <w:szCs w:val="22"/>
              </w:rPr>
              <w:tab/>
            </w:r>
            <w:r>
              <w:rPr>
                <w:rFonts w:ascii="Times New Roman" w:hAnsi="Times New Roman" w:eastAsia="Times New Roman" w:cs="Times New Roman"/>
                <w:sz w:val="22"/>
                <w:szCs w:val="22"/>
                <w:spacing w:val="-2"/>
              </w:rPr>
              <w:t>548</w:t>
            </w:r>
          </w:hyperlink>
        </w:p>
        <w:p>
          <w:pPr>
            <w:pStyle w:val="BodyText"/>
            <w:spacing w:line="275" w:lineRule="auto"/>
            <w:rPr/>
          </w:pPr>
          <w:r/>
        </w:p>
        <w:p>
          <w:pPr>
            <w:pStyle w:val="BodyText"/>
            <w:spacing w:line="275" w:lineRule="auto"/>
            <w:rPr/>
          </w:pPr>
          <w:r/>
        </w:p>
        <w:p>
          <w:pPr>
            <w:ind w:left="9"/>
            <w:spacing w:before="72" w:line="222" w:lineRule="auto"/>
            <w:tabs>
              <w:tab w:val="right" w:leader="dot" w:pos="13059"/>
            </w:tabs>
            <w:rPr>
              <w:rFonts w:ascii="Times New Roman" w:hAnsi="Times New Roman" w:eastAsia="Times New Roman" w:cs="Times New Roman"/>
              <w:sz w:val="22"/>
              <w:szCs w:val="22"/>
            </w:rPr>
          </w:pPr>
          <w:hyperlink w:history="true" w:anchor="bookmark590">
            <w:r>
              <w:rPr>
                <w:rFonts w:ascii="SimHei" w:hAnsi="SimHei" w:eastAsia="SimHei" w:cs="SimHei"/>
                <w:sz w:val="22"/>
                <w:szCs w:val="22"/>
              </w:rPr>
              <w:t>第四百六十四条</w:t>
            </w:r>
            <w:r>
              <w:rPr>
                <w:rFonts w:ascii="SimHei" w:hAnsi="SimHei" w:eastAsia="SimHei" w:cs="SimHei"/>
                <w:sz w:val="22"/>
                <w:szCs w:val="22"/>
              </w:rPr>
              <w:t xml:space="preserve"> </w:t>
            </w:r>
            <w:r>
              <w:rPr>
                <w:rFonts w:ascii="SimHei" w:hAnsi="SimHei" w:eastAsia="SimHei" w:cs="SimHei"/>
                <w:sz w:val="22"/>
                <w:szCs w:val="22"/>
              </w:rPr>
              <w:t>未按照规定对工作场所职业病危害因素进行检测、评价的</w:t>
            </w:r>
            <w:r>
              <w:rPr>
                <w:rFonts w:ascii="SimHei" w:hAnsi="SimHei" w:eastAsia="SimHei" w:cs="SimHei"/>
                <w:sz w:val="22"/>
                <w:szCs w:val="22"/>
              </w:rPr>
              <w:tab/>
            </w:r>
            <w:r>
              <w:rPr>
                <w:rFonts w:ascii="SimHei" w:hAnsi="SimHei" w:eastAsia="SimHei" w:cs="SimHei"/>
                <w:sz w:val="22"/>
                <w:szCs w:val="22"/>
                <w:spacing w:val="-25"/>
              </w:rPr>
              <w:t xml:space="preserve"> </w:t>
            </w:r>
            <w:r>
              <w:rPr>
                <w:rFonts w:ascii="Times New Roman" w:hAnsi="Times New Roman" w:eastAsia="Times New Roman" w:cs="Times New Roman"/>
                <w:sz w:val="22"/>
                <w:szCs w:val="22"/>
                <w:spacing w:val="-3"/>
              </w:rPr>
              <w:t>551</w:t>
            </w:r>
          </w:hyperlink>
        </w:p>
        <w:p>
          <w:pPr>
            <w:pStyle w:val="BodyText"/>
            <w:spacing w:line="411" w:lineRule="auto"/>
            <w:rPr/>
          </w:pPr>
          <w:r/>
        </w:p>
        <w:p>
          <w:pPr>
            <w:spacing w:before="72" w:line="213" w:lineRule="auto"/>
            <w:jc w:val="right"/>
            <w:rPr>
              <w:rFonts w:ascii="SimHei" w:hAnsi="SimHei" w:eastAsia="SimHei" w:cs="SimHei"/>
              <w:sz w:val="22"/>
              <w:szCs w:val="22"/>
            </w:rPr>
          </w:pPr>
          <w:hyperlink w:history="true" w:anchor="bookmark591">
            <w:r>
              <w:rPr>
                <w:rFonts w:ascii="SimHei" w:hAnsi="SimHei" w:eastAsia="SimHei" w:cs="SimHei"/>
                <w:sz w:val="22"/>
                <w:szCs w:val="22"/>
                <w:spacing w:val="2"/>
              </w:rPr>
              <w:t>第四百六十五条</w:t>
            </w:r>
            <w:r>
              <w:rPr>
                <w:rFonts w:ascii="SimHei" w:hAnsi="SimHei" w:eastAsia="SimHei" w:cs="SimHei"/>
                <w:sz w:val="22"/>
                <w:szCs w:val="22"/>
                <w:spacing w:val="2"/>
              </w:rPr>
              <w:t xml:space="preserve"> </w:t>
            </w:r>
            <w:r>
              <w:rPr>
                <w:rFonts w:ascii="SimHei" w:hAnsi="SimHei" w:eastAsia="SimHei" w:cs="SimHei"/>
                <w:sz w:val="22"/>
                <w:szCs w:val="22"/>
                <w:spacing w:val="2"/>
              </w:rPr>
              <w:t>工作场所职业病危害因素经治理仍然达不到国家职业卫生标准和卫生要求时，未停止存在职业</w:t>
            </w:r>
            <w:r>
              <w:rPr>
                <w:rFonts w:ascii="SimHei" w:hAnsi="SimHei" w:eastAsia="SimHei" w:cs="SimHei"/>
                <w:sz w:val="22"/>
                <w:szCs w:val="22"/>
                <w:spacing w:val="1"/>
              </w:rPr>
              <w:t>病危害因素的作业的553</w:t>
            </w:r>
          </w:hyperlink>
        </w:p>
        <w:p>
          <w:pPr>
            <w:pStyle w:val="BodyText"/>
            <w:spacing w:line="250" w:lineRule="auto"/>
            <w:rPr/>
          </w:pPr>
          <w:r/>
        </w:p>
        <w:p>
          <w:pPr>
            <w:pStyle w:val="BodyText"/>
            <w:spacing w:line="250" w:lineRule="auto"/>
            <w:rPr/>
          </w:pPr>
          <w:r/>
        </w:p>
        <w:p>
          <w:pPr>
            <w:spacing w:before="72" w:line="221" w:lineRule="auto"/>
            <w:tabs>
              <w:tab w:val="right" w:leader="dot" w:pos="13029"/>
            </w:tabs>
            <w:rPr>
              <w:rFonts w:ascii="Times New Roman" w:hAnsi="Times New Roman" w:eastAsia="Times New Roman" w:cs="Times New Roman"/>
              <w:sz w:val="22"/>
              <w:szCs w:val="22"/>
            </w:rPr>
          </w:pPr>
          <w:hyperlink w:history="true" w:anchor="bookmark592">
            <w:r>
              <w:rPr>
                <w:rFonts w:ascii="SimHei" w:hAnsi="SimHei" w:eastAsia="SimHei" w:cs="SimHei"/>
                <w:sz w:val="22"/>
                <w:szCs w:val="22"/>
                <w:spacing w:val="2"/>
              </w:rPr>
              <w:t>第四百六十六条</w:t>
            </w:r>
            <w:r>
              <w:rPr>
                <w:rFonts w:ascii="SimHei" w:hAnsi="SimHei" w:eastAsia="SimHei" w:cs="SimHei"/>
                <w:sz w:val="22"/>
                <w:szCs w:val="22"/>
                <w:spacing w:val="2"/>
              </w:rPr>
              <w:t xml:space="preserve"> </w:t>
            </w:r>
            <w:r>
              <w:rPr>
                <w:rFonts w:ascii="SimHei" w:hAnsi="SimHei" w:eastAsia="SimHei" w:cs="SimHei"/>
                <w:sz w:val="22"/>
                <w:szCs w:val="22"/>
                <w:spacing w:val="2"/>
              </w:rPr>
              <w:t>未按照规定安排职业病病人、疑似职</w:t>
            </w:r>
            <w:r>
              <w:rPr>
                <w:rFonts w:ascii="SimHei" w:hAnsi="SimHei" w:eastAsia="SimHei" w:cs="SimHei"/>
                <w:sz w:val="22"/>
                <w:szCs w:val="22"/>
                <w:spacing w:val="1"/>
              </w:rPr>
              <w:t>业病病人进行诊治的</w:t>
            </w:r>
            <w:r>
              <w:rPr>
                <w:rFonts w:ascii="SimHei" w:hAnsi="SimHei" w:eastAsia="SimHei" w:cs="SimHei"/>
                <w:sz w:val="22"/>
                <w:szCs w:val="22"/>
                <w:spacing w:val="-99"/>
              </w:rPr>
              <w:t xml:space="preserve"> </w:t>
            </w:r>
            <w:r>
              <w:rPr>
                <w:rFonts w:ascii="SimHei" w:hAnsi="SimHei" w:eastAsia="SimHei" w:cs="SimHei"/>
                <w:sz w:val="22"/>
                <w:szCs w:val="22"/>
              </w:rPr>
              <w:tab/>
            </w:r>
            <w:r>
              <w:rPr>
                <w:rFonts w:ascii="Times New Roman" w:hAnsi="Times New Roman" w:eastAsia="Times New Roman" w:cs="Times New Roman"/>
                <w:sz w:val="22"/>
                <w:szCs w:val="22"/>
                <w:spacing w:val="-2"/>
              </w:rPr>
              <w:t>55</w:t>
            </w:r>
          </w:hyperlink>
        </w:p>
        <w:p>
          <w:pPr>
            <w:pStyle w:val="BodyText"/>
            <w:spacing w:line="241" w:lineRule="auto"/>
            <w:rPr/>
          </w:pPr>
          <w:r/>
        </w:p>
        <w:p>
          <w:pPr>
            <w:pStyle w:val="BodyText"/>
            <w:spacing w:line="241" w:lineRule="auto"/>
            <w:rPr/>
          </w:pPr>
          <w:r/>
        </w:p>
        <w:p>
          <w:pPr>
            <w:spacing w:before="72" w:line="213" w:lineRule="auto"/>
            <w:tabs>
              <w:tab w:val="right" w:leader="dot" w:pos="12939"/>
            </w:tabs>
            <w:rPr>
              <w:rFonts w:ascii="Times New Roman" w:hAnsi="Times New Roman" w:eastAsia="Times New Roman" w:cs="Times New Roman"/>
              <w:sz w:val="22"/>
              <w:szCs w:val="22"/>
            </w:rPr>
          </w:pPr>
          <w:hyperlink w:history="true" w:anchor="bookmark593">
            <w:r>
              <w:rPr>
                <w:rFonts w:ascii="SimHei" w:hAnsi="SimHei" w:eastAsia="SimHei" w:cs="SimHei"/>
                <w:sz w:val="22"/>
                <w:szCs w:val="22"/>
                <w:spacing w:val="1"/>
              </w:rPr>
              <w:t>第四百六十七条</w:t>
            </w:r>
            <w:r>
              <w:rPr>
                <w:rFonts w:ascii="SimHei" w:hAnsi="SimHei" w:eastAsia="SimHei" w:cs="SimHei"/>
                <w:sz w:val="22"/>
                <w:szCs w:val="22"/>
                <w:spacing w:val="1"/>
              </w:rPr>
              <w:t xml:space="preserve"> </w:t>
            </w:r>
            <w:r>
              <w:rPr>
                <w:rFonts w:ascii="SimHei" w:hAnsi="SimHei" w:eastAsia="SimHei" w:cs="SimHei"/>
                <w:sz w:val="22"/>
                <w:szCs w:val="22"/>
                <w:spacing w:val="1"/>
              </w:rPr>
              <w:t>发生或者可能发生急性职业病危害事故时，</w:t>
            </w:r>
            <w:r>
              <w:rPr>
                <w:rFonts w:ascii="SimHei" w:hAnsi="SimHei" w:eastAsia="SimHei" w:cs="SimHei"/>
                <w:sz w:val="22"/>
                <w:szCs w:val="22"/>
              </w:rPr>
              <w:t>未立即采取应急救援和控制措施或者未按照规定及时报告的</w:t>
            </w:r>
            <w:r>
              <w:rPr>
                <w:rFonts w:ascii="SimHei" w:hAnsi="SimHei" w:eastAsia="SimHei" w:cs="SimHei"/>
                <w:sz w:val="22"/>
                <w:szCs w:val="22"/>
                <w:spacing w:val="-99"/>
              </w:rPr>
              <w:t xml:space="preserve"> </w:t>
            </w:r>
            <w:r>
              <w:rPr>
                <w:rFonts w:ascii="SimHei" w:hAnsi="SimHei" w:eastAsia="SimHei" w:cs="SimHei"/>
                <w:sz w:val="22"/>
                <w:szCs w:val="22"/>
              </w:rPr>
              <w:tab/>
            </w:r>
            <w:r>
              <w:rPr>
                <w:rFonts w:ascii="SimHei" w:hAnsi="SimHei" w:eastAsia="SimHei" w:cs="SimHei"/>
                <w:sz w:val="22"/>
                <w:szCs w:val="22"/>
                <w:spacing w:val="-46"/>
              </w:rPr>
              <w:t xml:space="preserve"> </w:t>
            </w:r>
            <w:r>
              <w:rPr>
                <w:rFonts w:ascii="Times New Roman" w:hAnsi="Times New Roman" w:eastAsia="Times New Roman" w:cs="Times New Roman"/>
                <w:sz w:val="22"/>
                <w:szCs w:val="22"/>
                <w:spacing w:val="-3"/>
              </w:rPr>
              <w:t>56</w:t>
            </w:r>
          </w:hyperlink>
        </w:p>
        <w:p>
          <w:pPr>
            <w:pStyle w:val="BodyText"/>
            <w:spacing w:line="250" w:lineRule="auto"/>
            <w:rPr/>
          </w:pPr>
          <w:r/>
        </w:p>
        <w:p>
          <w:pPr>
            <w:pStyle w:val="BodyText"/>
            <w:spacing w:line="250" w:lineRule="auto"/>
            <w:rPr/>
          </w:pPr>
          <w:r/>
        </w:p>
        <w:p>
          <w:pPr>
            <w:spacing w:before="72" w:line="221" w:lineRule="auto"/>
            <w:tabs>
              <w:tab w:val="right" w:leader="dot" w:pos="12949"/>
            </w:tabs>
            <w:rPr>
              <w:rFonts w:ascii="Times New Roman" w:hAnsi="Times New Roman" w:eastAsia="Times New Roman" w:cs="Times New Roman"/>
              <w:sz w:val="22"/>
              <w:szCs w:val="22"/>
            </w:rPr>
          </w:pPr>
          <w:hyperlink w:history="true" w:anchor="bookmark594">
            <w:r>
              <w:rPr>
                <w:rFonts w:ascii="SimHei" w:hAnsi="SimHei" w:eastAsia="SimHei" w:cs="SimHei"/>
                <w:sz w:val="22"/>
                <w:szCs w:val="22"/>
                <w:spacing w:val="-1"/>
              </w:rPr>
              <w:t>第四百六十八条</w:t>
            </w:r>
            <w:r>
              <w:rPr>
                <w:rFonts w:ascii="SimHei" w:hAnsi="SimHei" w:eastAsia="SimHei" w:cs="SimHei"/>
                <w:sz w:val="22"/>
                <w:szCs w:val="22"/>
                <w:spacing w:val="-1"/>
              </w:rPr>
              <w:t xml:space="preserve"> </w:t>
            </w:r>
            <w:r>
              <w:rPr>
                <w:rFonts w:ascii="SimHei" w:hAnsi="SimHei" w:eastAsia="SimHei" w:cs="SimHei"/>
                <w:sz w:val="22"/>
                <w:szCs w:val="22"/>
                <w:spacing w:val="-1"/>
              </w:rPr>
              <w:t>未按照规定在产生严重职业病危害的作业岗位醒目位置设置警示标识和</w:t>
            </w:r>
            <w:r>
              <w:rPr>
                <w:rFonts w:ascii="SimHei" w:hAnsi="SimHei" w:eastAsia="SimHei" w:cs="SimHei"/>
                <w:sz w:val="22"/>
                <w:szCs w:val="22"/>
                <w:spacing w:val="-2"/>
              </w:rPr>
              <w:t>中文警示说明的</w:t>
            </w:r>
            <w:r>
              <w:rPr>
                <w:rFonts w:ascii="SimHei" w:hAnsi="SimHei" w:eastAsia="SimHei" w:cs="SimHei"/>
                <w:sz w:val="22"/>
                <w:szCs w:val="22"/>
                <w:spacing w:val="-99"/>
              </w:rPr>
              <w:t xml:space="preserve"> </w:t>
            </w:r>
            <w:r>
              <w:rPr>
                <w:rFonts w:ascii="SimHei" w:hAnsi="SimHei" w:eastAsia="SimHei" w:cs="SimHei"/>
                <w:sz w:val="22"/>
                <w:szCs w:val="22"/>
              </w:rPr>
              <w:tab/>
            </w:r>
            <w:r>
              <w:rPr>
                <w:rFonts w:ascii="Times New Roman" w:hAnsi="Times New Roman" w:eastAsia="Times New Roman" w:cs="Times New Roman"/>
                <w:sz w:val="22"/>
                <w:szCs w:val="22"/>
                <w:spacing w:val="-2"/>
              </w:rPr>
              <w:t>57</w:t>
            </w:r>
          </w:hyperlink>
        </w:p>
        <w:p>
          <w:pPr>
            <w:pStyle w:val="BodyText"/>
            <w:spacing w:line="241" w:lineRule="auto"/>
            <w:rPr/>
          </w:pPr>
          <w:r/>
        </w:p>
        <w:p>
          <w:pPr>
            <w:pStyle w:val="BodyText"/>
            <w:spacing w:line="241" w:lineRule="auto"/>
            <w:rPr/>
          </w:pPr>
          <w:r/>
        </w:p>
        <w:p>
          <w:pPr>
            <w:spacing w:before="72" w:line="221" w:lineRule="auto"/>
            <w:tabs>
              <w:tab w:val="right" w:leader="dot" w:pos="12929"/>
            </w:tabs>
            <w:rPr>
              <w:rFonts w:ascii="Times New Roman" w:hAnsi="Times New Roman" w:eastAsia="Times New Roman" w:cs="Times New Roman"/>
              <w:sz w:val="22"/>
              <w:szCs w:val="22"/>
            </w:rPr>
          </w:pPr>
          <w:hyperlink w:history="true" w:anchor="bookmark595">
            <w:r>
              <w:rPr>
                <w:rFonts w:ascii="SimHei" w:hAnsi="SimHei" w:eastAsia="SimHei" w:cs="SimHei"/>
                <w:sz w:val="22"/>
                <w:szCs w:val="22"/>
                <w:spacing w:val="2"/>
              </w:rPr>
              <w:t>第四百六十九条</w:t>
            </w:r>
            <w:r>
              <w:rPr>
                <w:rFonts w:ascii="SimHei" w:hAnsi="SimHei" w:eastAsia="SimHei" w:cs="SimHei"/>
                <w:sz w:val="22"/>
                <w:szCs w:val="22"/>
                <w:spacing w:val="2"/>
              </w:rPr>
              <w:t xml:space="preserve"> </w:t>
            </w:r>
            <w:r>
              <w:rPr>
                <w:rFonts w:ascii="SimHei" w:hAnsi="SimHei" w:eastAsia="SimHei" w:cs="SimHei"/>
                <w:sz w:val="22"/>
                <w:szCs w:val="22"/>
                <w:spacing w:val="2"/>
              </w:rPr>
              <w:t>用人单位拒绝职业卫生监</w:t>
            </w:r>
            <w:r>
              <w:rPr>
                <w:rFonts w:ascii="SimHei" w:hAnsi="SimHei" w:eastAsia="SimHei" w:cs="SimHei"/>
                <w:sz w:val="22"/>
                <w:szCs w:val="22"/>
                <w:spacing w:val="1"/>
              </w:rPr>
              <w:t>督管理部门监督检查的</w:t>
            </w:r>
            <w:r>
              <w:rPr>
                <w:rFonts w:ascii="SimHei" w:hAnsi="SimHei" w:eastAsia="SimHei" w:cs="SimHei"/>
                <w:sz w:val="22"/>
                <w:szCs w:val="22"/>
                <w:spacing w:val="-100"/>
              </w:rPr>
              <w:t xml:space="preserve"> </w:t>
            </w:r>
            <w:r>
              <w:rPr>
                <w:rFonts w:ascii="SimHei" w:hAnsi="SimHei" w:eastAsia="SimHei" w:cs="SimHei"/>
                <w:sz w:val="22"/>
                <w:szCs w:val="22"/>
              </w:rPr>
              <w:tab/>
            </w:r>
            <w:r>
              <w:rPr>
                <w:rFonts w:ascii="SimHei" w:hAnsi="SimHei" w:eastAsia="SimHei" w:cs="SimHei"/>
                <w:sz w:val="22"/>
                <w:szCs w:val="22"/>
                <w:spacing w:val="-76"/>
              </w:rPr>
              <w:t xml:space="preserve"> </w:t>
            </w:r>
            <w:r>
              <w:rPr>
                <w:rFonts w:ascii="Times New Roman" w:hAnsi="Times New Roman" w:eastAsia="Times New Roman" w:cs="Times New Roman"/>
                <w:sz w:val="22"/>
                <w:szCs w:val="22"/>
                <w:spacing w:val="-3"/>
              </w:rPr>
              <w:t>59</w:t>
            </w:r>
          </w:hyperlink>
        </w:p>
      </w:sdtContent>
    </w:sdt>
    <w:p>
      <w:pPr>
        <w:spacing w:line="221" w:lineRule="auto"/>
        <w:sectPr>
          <w:footerReference w:type="default" r:id="rId56"/>
          <w:pgSz w:w="16830" w:h="11900"/>
          <w:pgMar w:top="1011" w:right="1438" w:bottom="1140" w:left="2290" w:header="0" w:footer="776" w:gutter="0"/>
        </w:sectPr>
        <w:rPr>
          <w:rFonts w:ascii="Times New Roman" w:hAnsi="Times New Roman" w:eastAsia="Times New Roman" w:cs="Times New Roman"/>
          <w:sz w:val="22"/>
          <w:szCs w:val="22"/>
        </w:rPr>
      </w:pPr>
    </w:p>
    <w:p>
      <w:pPr>
        <w:pStyle w:val="BodyText"/>
        <w:spacing w:line="307" w:lineRule="auto"/>
        <w:rPr/>
      </w:pPr>
      <w:r/>
    </w:p>
    <w:p>
      <w:pPr>
        <w:pStyle w:val="BodyText"/>
        <w:spacing w:line="307" w:lineRule="auto"/>
        <w:rPr/>
      </w:pPr>
      <w:r/>
    </w:p>
    <w:p>
      <w:pPr>
        <w:pStyle w:val="BodyText"/>
        <w:spacing w:line="308" w:lineRule="auto"/>
        <w:rPr/>
      </w:pPr>
      <w:r/>
    </w:p>
    <w:p>
      <w:pPr>
        <w:ind w:left="19"/>
        <w:spacing w:before="68" w:line="213" w:lineRule="auto"/>
        <w:rPr>
          <w:rFonts w:ascii="SimHei" w:hAnsi="SimHei" w:eastAsia="SimHei" w:cs="SimHei"/>
          <w:sz w:val="21"/>
          <w:szCs w:val="21"/>
        </w:rPr>
      </w:pPr>
      <w:r>
        <w:rPr>
          <w:rFonts w:ascii="SimHei" w:hAnsi="SimHei" w:eastAsia="SimHei" w:cs="SimHei"/>
          <w:sz w:val="21"/>
          <w:szCs w:val="21"/>
          <w:spacing w:val="10"/>
        </w:rPr>
        <w:t>第四百七十条</w:t>
      </w:r>
      <w:r>
        <w:rPr>
          <w:rFonts w:ascii="SimHei" w:hAnsi="SimHei" w:eastAsia="SimHei" w:cs="SimHei"/>
          <w:sz w:val="21"/>
          <w:szCs w:val="21"/>
          <w:spacing w:val="36"/>
        </w:rPr>
        <w:t xml:space="preserve"> </w:t>
      </w:r>
      <w:r>
        <w:rPr>
          <w:rFonts w:ascii="SimHei" w:hAnsi="SimHei" w:eastAsia="SimHei" w:cs="SimHei"/>
          <w:sz w:val="21"/>
          <w:szCs w:val="21"/>
          <w:spacing w:val="10"/>
        </w:rPr>
        <w:t>隐瞒、伪造、篡改、毁损职业健康监护档案、工作场所职业病危害</w:t>
      </w:r>
      <w:r>
        <w:rPr>
          <w:rFonts w:ascii="SimHei" w:hAnsi="SimHei" w:eastAsia="SimHei" w:cs="SimHei"/>
          <w:sz w:val="21"/>
          <w:szCs w:val="21"/>
          <w:spacing w:val="9"/>
        </w:rPr>
        <w:t>因素检测评价结果等相关资料，或者拒不提供职业病诊</w:t>
      </w:r>
    </w:p>
    <w:p>
      <w:pPr>
        <w:pStyle w:val="BodyText"/>
        <w:spacing w:line="327"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spacing w:before="68" w:line="222" w:lineRule="auto"/>
            <w:tabs>
              <w:tab w:val="right" w:leader="dot" w:pos="13004"/>
            </w:tabs>
            <w:rPr>
              <w:rFonts w:ascii="Times New Roman" w:hAnsi="Times New Roman" w:eastAsia="Times New Roman" w:cs="Times New Roman"/>
              <w:sz w:val="21"/>
              <w:szCs w:val="21"/>
            </w:rPr>
          </w:pPr>
          <w:hyperlink w:history="true" w:anchor="bookmark596">
            <w:r>
              <w:rPr>
                <w:rFonts w:ascii="SimHei" w:hAnsi="SimHei" w:eastAsia="SimHei" w:cs="SimHei"/>
                <w:sz w:val="21"/>
                <w:szCs w:val="21"/>
                <w:spacing w:val="13"/>
              </w:rPr>
              <w:t>断、鉴定所需资料的</w:t>
            </w:r>
            <w:r>
              <w:rPr>
                <w:rFonts w:ascii="SimHei" w:hAnsi="SimHei" w:eastAsia="SimHei" w:cs="SimHei"/>
                <w:sz w:val="21"/>
                <w:szCs w:val="21"/>
                <w:spacing w:val="-94"/>
              </w:rPr>
              <w:t xml:space="preserve"> </w:t>
            </w:r>
            <w:r>
              <w:rPr>
                <w:rFonts w:ascii="SimHei" w:hAnsi="SimHei" w:eastAsia="SimHei" w:cs="SimHei"/>
                <w:sz w:val="21"/>
                <w:szCs w:val="21"/>
                <w:color w:val="405040"/>
              </w:rPr>
              <w:tab/>
            </w:r>
            <w:r>
              <w:rPr>
                <w:rFonts w:ascii="Times New Roman" w:hAnsi="Times New Roman" w:eastAsia="Times New Roman" w:cs="Times New Roman"/>
                <w:sz w:val="21"/>
                <w:szCs w:val="21"/>
                <w:spacing w:val="-4"/>
              </w:rPr>
              <w:t>560</w:t>
            </w:r>
          </w:hyperlink>
        </w:p>
        <w:p>
          <w:pPr>
            <w:pStyle w:val="BodyText"/>
            <w:spacing w:line="247" w:lineRule="auto"/>
            <w:rPr/>
          </w:pPr>
          <w:r/>
        </w:p>
        <w:p>
          <w:pPr>
            <w:pStyle w:val="BodyText"/>
            <w:spacing w:line="248" w:lineRule="auto"/>
            <w:rPr/>
          </w:pPr>
          <w:r/>
        </w:p>
        <w:p>
          <w:pPr>
            <w:spacing w:before="68" w:line="221" w:lineRule="auto"/>
            <w:tabs>
              <w:tab w:val="right" w:leader="dot" w:pos="13034"/>
            </w:tabs>
            <w:rPr>
              <w:rFonts w:ascii="Times New Roman" w:hAnsi="Times New Roman" w:eastAsia="Times New Roman" w:cs="Times New Roman"/>
              <w:sz w:val="21"/>
              <w:szCs w:val="21"/>
            </w:rPr>
          </w:pPr>
          <w:hyperlink w:history="true" w:anchor="bookmark597">
            <w:r>
              <w:rPr>
                <w:rFonts w:ascii="SimHei" w:hAnsi="SimHei" w:eastAsia="SimHei" w:cs="SimHei"/>
                <w:sz w:val="21"/>
                <w:szCs w:val="21"/>
                <w:spacing w:val="11"/>
              </w:rPr>
              <w:t>第四百七十一条</w:t>
            </w:r>
            <w:r>
              <w:rPr>
                <w:rFonts w:ascii="SimHei" w:hAnsi="SimHei" w:eastAsia="SimHei" w:cs="SimHei"/>
                <w:sz w:val="21"/>
                <w:szCs w:val="21"/>
                <w:spacing w:val="11"/>
              </w:rPr>
              <w:t xml:space="preserve"> </w:t>
            </w:r>
            <w:r>
              <w:rPr>
                <w:rFonts w:ascii="SimHei" w:hAnsi="SimHei" w:eastAsia="SimHei" w:cs="SimHei"/>
                <w:sz w:val="21"/>
                <w:szCs w:val="21"/>
                <w:spacing w:val="11"/>
              </w:rPr>
              <w:t>按照规定承担职业病诊断、鉴</w:t>
            </w:r>
            <w:r>
              <w:rPr>
                <w:rFonts w:ascii="SimHei" w:hAnsi="SimHei" w:eastAsia="SimHei" w:cs="SimHei"/>
                <w:sz w:val="21"/>
                <w:szCs w:val="21"/>
                <w:spacing w:val="10"/>
              </w:rPr>
              <w:t>定费用和职业病病人的医疗、生活保障费用的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562</w:t>
            </w:r>
          </w:hyperlink>
        </w:p>
        <w:p>
          <w:pPr>
            <w:pStyle w:val="BodyText"/>
            <w:spacing w:line="244" w:lineRule="auto"/>
            <w:rPr/>
          </w:pPr>
          <w:r/>
        </w:p>
        <w:p>
          <w:pPr>
            <w:pStyle w:val="BodyText"/>
            <w:spacing w:line="244" w:lineRule="auto"/>
            <w:rPr/>
          </w:pPr>
          <w:r/>
        </w:p>
        <w:p>
          <w:pPr>
            <w:spacing w:before="68" w:line="213" w:lineRule="auto"/>
            <w:jc w:val="right"/>
            <w:rPr>
              <w:rFonts w:ascii="SimHei" w:hAnsi="SimHei" w:eastAsia="SimHei" w:cs="SimHei"/>
              <w:sz w:val="21"/>
              <w:szCs w:val="21"/>
            </w:rPr>
          </w:pPr>
          <w:hyperlink w:history="true" w:anchor="bookmark598">
            <w:r>
              <w:rPr>
                <w:rFonts w:ascii="SimHei" w:hAnsi="SimHei" w:eastAsia="SimHei" w:cs="SimHei"/>
                <w:sz w:val="21"/>
                <w:szCs w:val="21"/>
                <w:spacing w:val="10"/>
              </w:rPr>
              <w:t>第四百七十二条</w:t>
            </w:r>
            <w:r>
              <w:rPr>
                <w:rFonts w:ascii="SimHei" w:hAnsi="SimHei" w:eastAsia="SimHei" w:cs="SimHei"/>
                <w:sz w:val="21"/>
                <w:szCs w:val="21"/>
                <w:spacing w:val="45"/>
              </w:rPr>
              <w:t xml:space="preserve"> </w:t>
            </w:r>
            <w:r>
              <w:rPr>
                <w:rFonts w:ascii="SimHei" w:hAnsi="SimHei" w:eastAsia="SimHei" w:cs="SimHei"/>
                <w:sz w:val="21"/>
                <w:szCs w:val="21"/>
                <w:spacing w:val="10"/>
              </w:rPr>
              <w:t>向用人单位提供可能产生职业病危害的设备、材料，未按照规定提供中文说明书或者设置警示标</w:t>
            </w:r>
            <w:r>
              <w:rPr>
                <w:rFonts w:ascii="SimHei" w:hAnsi="SimHei" w:eastAsia="SimHei" w:cs="SimHei"/>
                <w:sz w:val="21"/>
                <w:szCs w:val="21"/>
                <w:spacing w:val="9"/>
              </w:rPr>
              <w:t>识和中文警示说明的564</w:t>
            </w:r>
          </w:hyperlink>
        </w:p>
        <w:p>
          <w:pPr>
            <w:pStyle w:val="BodyText"/>
            <w:spacing w:line="257" w:lineRule="auto"/>
            <w:rPr/>
          </w:pPr>
          <w:r/>
        </w:p>
        <w:p>
          <w:pPr>
            <w:pStyle w:val="BodyText"/>
            <w:spacing w:line="258" w:lineRule="auto"/>
            <w:rPr/>
          </w:pPr>
          <w:r/>
        </w:p>
        <w:p>
          <w:pPr>
            <w:spacing w:before="68" w:line="221" w:lineRule="auto"/>
            <w:tabs>
              <w:tab w:val="right" w:leader="dot" w:pos="13034"/>
            </w:tabs>
            <w:rPr>
              <w:rFonts w:ascii="Times New Roman" w:hAnsi="Times New Roman" w:eastAsia="Times New Roman" w:cs="Times New Roman"/>
              <w:sz w:val="21"/>
              <w:szCs w:val="21"/>
            </w:rPr>
          </w:pPr>
          <w:hyperlink w:history="true" w:anchor="bookmark599">
            <w:r>
              <w:rPr>
                <w:rFonts w:ascii="SimHei" w:hAnsi="SimHei" w:eastAsia="SimHei" w:cs="SimHei"/>
                <w:sz w:val="21"/>
                <w:szCs w:val="21"/>
                <w:spacing w:val="9"/>
              </w:rPr>
              <w:t>第四百七十三条</w:t>
            </w:r>
            <w:r>
              <w:rPr>
                <w:rFonts w:ascii="SimHei" w:hAnsi="SimHei" w:eastAsia="SimHei" w:cs="SimHei"/>
                <w:sz w:val="21"/>
                <w:szCs w:val="21"/>
                <w:spacing w:val="9"/>
              </w:rPr>
              <w:t xml:space="preserve"> </w:t>
            </w:r>
            <w:r>
              <w:rPr>
                <w:rFonts w:ascii="SimHei" w:hAnsi="SimHei" w:eastAsia="SimHei" w:cs="SimHei"/>
                <w:sz w:val="21"/>
                <w:szCs w:val="21"/>
                <w:spacing w:val="9"/>
              </w:rPr>
              <w:t>用人单位和医疗卫生机构未按照规定报告职业病、疑似职业病的</w:t>
            </w:r>
            <w:r>
              <w:rPr>
                <w:rFonts w:ascii="SimHei" w:hAnsi="SimHei" w:eastAsia="SimHei" w:cs="SimHei"/>
                <w:sz w:val="21"/>
                <w:szCs w:val="21"/>
                <w:spacing w:val="-76"/>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565</w:t>
            </w:r>
          </w:hyperlink>
        </w:p>
        <w:p>
          <w:pPr>
            <w:pStyle w:val="BodyText"/>
            <w:spacing w:line="273" w:lineRule="auto"/>
            <w:rPr/>
          </w:pPr>
          <w:r/>
        </w:p>
        <w:p>
          <w:pPr>
            <w:pStyle w:val="BodyText"/>
            <w:spacing w:line="274" w:lineRule="auto"/>
            <w:rPr/>
          </w:pPr>
          <w:r/>
        </w:p>
        <w:p>
          <w:pPr>
            <w:spacing w:before="69" w:line="222" w:lineRule="auto"/>
            <w:tabs>
              <w:tab w:val="right" w:leader="dot" w:pos="13024"/>
            </w:tabs>
            <w:rPr>
              <w:rFonts w:ascii="Times New Roman" w:hAnsi="Times New Roman" w:eastAsia="Times New Roman" w:cs="Times New Roman"/>
              <w:sz w:val="21"/>
              <w:szCs w:val="21"/>
            </w:rPr>
          </w:pPr>
          <w:hyperlink w:history="true" w:anchor="bookmark600">
            <w:r>
              <w:rPr>
                <w:rFonts w:ascii="SimHei" w:hAnsi="SimHei" w:eastAsia="SimHei" w:cs="SimHei"/>
                <w:sz w:val="21"/>
                <w:szCs w:val="21"/>
                <w:spacing w:val="9"/>
              </w:rPr>
              <w:t>第四百七十四条</w:t>
            </w:r>
            <w:r>
              <w:rPr>
                <w:rFonts w:ascii="SimHei" w:hAnsi="SimHei" w:eastAsia="SimHei" w:cs="SimHei"/>
                <w:sz w:val="21"/>
                <w:szCs w:val="21"/>
                <w:spacing w:val="54"/>
              </w:rPr>
              <w:t xml:space="preserve"> </w:t>
            </w:r>
            <w:r>
              <w:rPr>
                <w:rFonts w:ascii="SimHei" w:hAnsi="SimHei" w:eastAsia="SimHei" w:cs="SimHei"/>
                <w:sz w:val="21"/>
                <w:szCs w:val="21"/>
                <w:spacing w:val="9"/>
              </w:rPr>
              <w:t>隐瞒技术、工艺、设备、材料所产生的职业病危害而采用的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10"/>
              </w:rPr>
              <w:t xml:space="preserve"> </w:t>
            </w:r>
            <w:r>
              <w:rPr>
                <w:rFonts w:ascii="Times New Roman" w:hAnsi="Times New Roman" w:eastAsia="Times New Roman" w:cs="Times New Roman"/>
                <w:sz w:val="21"/>
                <w:szCs w:val="21"/>
                <w:spacing w:val="-3"/>
              </w:rPr>
              <w:t>567</w:t>
            </w:r>
          </w:hyperlink>
        </w:p>
        <w:p>
          <w:pPr>
            <w:pStyle w:val="BodyText"/>
            <w:spacing w:line="456" w:lineRule="auto"/>
            <w:rPr/>
          </w:pPr>
          <w:r/>
        </w:p>
        <w:p>
          <w:pPr>
            <w:spacing w:before="69" w:line="222" w:lineRule="auto"/>
            <w:tabs>
              <w:tab w:val="right" w:leader="dot" w:pos="13014"/>
            </w:tabs>
            <w:rPr>
              <w:rFonts w:ascii="Times New Roman" w:hAnsi="Times New Roman" w:eastAsia="Times New Roman" w:cs="Times New Roman"/>
              <w:sz w:val="21"/>
              <w:szCs w:val="21"/>
            </w:rPr>
          </w:pPr>
          <w:hyperlink w:history="true" w:anchor="bookmark601">
            <w:r>
              <w:rPr>
                <w:rFonts w:ascii="SimHei" w:hAnsi="SimHei" w:eastAsia="SimHei" w:cs="SimHei"/>
                <w:sz w:val="21"/>
                <w:szCs w:val="21"/>
                <w:spacing w:val="10"/>
              </w:rPr>
              <w:t>第四百七十五条</w:t>
            </w:r>
            <w:r>
              <w:rPr>
                <w:rFonts w:ascii="SimHei" w:hAnsi="SimHei" w:eastAsia="SimHei" w:cs="SimHei"/>
                <w:sz w:val="21"/>
                <w:szCs w:val="21"/>
                <w:spacing w:val="52"/>
              </w:rPr>
              <w:t xml:space="preserve"> </w:t>
            </w:r>
            <w:r>
              <w:rPr>
                <w:rFonts w:ascii="SimHei" w:hAnsi="SimHei" w:eastAsia="SimHei" w:cs="SimHei"/>
                <w:sz w:val="21"/>
                <w:szCs w:val="21"/>
                <w:spacing w:val="10"/>
              </w:rPr>
              <w:t>隐瞒本单位职业卫生真实情况的</w:t>
            </w:r>
            <w:r>
              <w:rPr>
                <w:rFonts w:ascii="SimHei" w:hAnsi="SimHei" w:eastAsia="SimHei" w:cs="SimHei"/>
                <w:sz w:val="21"/>
                <w:szCs w:val="21"/>
                <w:spacing w:val="-94"/>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568</w:t>
            </w:r>
          </w:hyperlink>
        </w:p>
        <w:p>
          <w:pPr>
            <w:pStyle w:val="BodyText"/>
            <w:spacing w:line="248" w:lineRule="auto"/>
            <w:rPr/>
          </w:pPr>
          <w:r/>
        </w:p>
        <w:p>
          <w:pPr>
            <w:pStyle w:val="BodyText"/>
            <w:spacing w:line="248" w:lineRule="auto"/>
            <w:rPr/>
          </w:pPr>
          <w:r/>
        </w:p>
        <w:p>
          <w:pPr>
            <w:ind w:left="19"/>
            <w:spacing w:before="69" w:line="213" w:lineRule="auto"/>
            <w:rPr>
              <w:rFonts w:ascii="SimHei" w:hAnsi="SimHei" w:eastAsia="SimHei" w:cs="SimHei"/>
              <w:sz w:val="21"/>
              <w:szCs w:val="21"/>
            </w:rPr>
          </w:pPr>
          <w:hyperlink w:history="true" w:anchor="bookmark602">
            <w:r>
              <w:rPr>
                <w:rFonts w:ascii="SimHei" w:hAnsi="SimHei" w:eastAsia="SimHei" w:cs="SimHei"/>
                <w:sz w:val="21"/>
                <w:szCs w:val="21"/>
                <w:spacing w:val="12"/>
              </w:rPr>
              <w:t>第四百七十六条</w:t>
            </w:r>
            <w:r>
              <w:rPr>
                <w:rFonts w:ascii="SimHei" w:hAnsi="SimHei" w:eastAsia="SimHei" w:cs="SimHei"/>
                <w:sz w:val="21"/>
                <w:szCs w:val="21"/>
                <w:spacing w:val="36"/>
              </w:rPr>
              <w:t xml:space="preserve"> </w:t>
            </w:r>
            <w:r>
              <w:rPr>
                <w:rFonts w:ascii="SimHei" w:hAnsi="SimHei" w:eastAsia="SimHei" w:cs="SimHei"/>
                <w:sz w:val="21"/>
                <w:szCs w:val="21"/>
                <w:spacing w:val="12"/>
              </w:rPr>
              <w:t>可能发生急性职业损伤的有毒、有害工作场所(用</w:t>
            </w:r>
            <w:r>
              <w:rPr>
                <w:rFonts w:ascii="SimHei" w:hAnsi="SimHei" w:eastAsia="SimHei" w:cs="SimHei"/>
                <w:sz w:val="21"/>
                <w:szCs w:val="21"/>
                <w:spacing w:val="11"/>
              </w:rPr>
              <w:t>人单位应当设置报警装置，配置现场急救用品、冲洗设备、应急撤离</w:t>
            </w:r>
          </w:hyperlink>
        </w:p>
        <w:p>
          <w:pPr>
            <w:pStyle w:val="BodyText"/>
            <w:spacing w:line="317" w:lineRule="auto"/>
            <w:rPr/>
          </w:pPr>
          <w:r/>
        </w:p>
        <w:p>
          <w:pPr>
            <w:ind w:left="19"/>
            <w:spacing w:before="68" w:line="213" w:lineRule="auto"/>
            <w:rPr>
              <w:rFonts w:ascii="SimHei" w:hAnsi="SimHei" w:eastAsia="SimHei" w:cs="SimHei"/>
              <w:sz w:val="21"/>
              <w:szCs w:val="21"/>
            </w:rPr>
          </w:pPr>
          <w:hyperlink w:history="true" w:anchor="bookmark602">
            <w:r>
              <w:rPr>
                <w:rFonts w:ascii="SimHei" w:hAnsi="SimHei" w:eastAsia="SimHei" w:cs="SimHei"/>
                <w:sz w:val="21"/>
                <w:szCs w:val="21"/>
                <w:spacing w:val="14"/>
              </w:rPr>
              <w:t>通道和必要的泄险区)、放射工作场所或者放射性同位素的运输、贮存(用人单位必须配置防护设备和报警装置，保</w:t>
            </w:r>
            <w:r>
              <w:rPr>
                <w:rFonts w:ascii="SimHei" w:hAnsi="SimHei" w:eastAsia="SimHei" w:cs="SimHei"/>
                <w:sz w:val="21"/>
                <w:szCs w:val="21"/>
                <w:spacing w:val="13"/>
              </w:rPr>
              <w:t>证接触放射线的工</w:t>
            </w:r>
          </w:hyperlink>
        </w:p>
        <w:p>
          <w:pPr>
            <w:pStyle w:val="BodyText"/>
            <w:spacing w:line="326" w:lineRule="auto"/>
            <w:rPr/>
          </w:pPr>
          <w:r/>
        </w:p>
        <w:p>
          <w:pPr>
            <w:ind w:left="9"/>
            <w:spacing w:before="69" w:line="221" w:lineRule="auto"/>
            <w:tabs>
              <w:tab w:val="right" w:leader="dot" w:pos="13070"/>
            </w:tabs>
            <w:rPr>
              <w:rFonts w:ascii="Times New Roman" w:hAnsi="Times New Roman" w:eastAsia="Times New Roman" w:cs="Times New Roman"/>
              <w:sz w:val="21"/>
              <w:szCs w:val="21"/>
            </w:rPr>
          </w:pPr>
          <w:hyperlink w:history="true" w:anchor="bookmark602">
            <w:r>
              <w:rPr>
                <w:rFonts w:ascii="SimHei" w:hAnsi="SimHei" w:eastAsia="SimHei" w:cs="SimHei"/>
                <w:sz w:val="21"/>
                <w:szCs w:val="21"/>
                <w:spacing w:val="15"/>
              </w:rPr>
              <w:t>作人员佩戴个人剂量计)不符合本法第二十五条规定的</w:t>
            </w:r>
            <w:r>
              <w:rPr>
                <w:rFonts w:ascii="SimHei" w:hAnsi="SimHei" w:eastAsia="SimHei" w:cs="SimHei"/>
                <w:sz w:val="21"/>
                <w:szCs w:val="21"/>
              </w:rPr>
              <w:tab/>
            </w:r>
            <w:r>
              <w:rPr>
                <w:rFonts w:ascii="Times New Roman" w:hAnsi="Times New Roman" w:eastAsia="Times New Roman" w:cs="Times New Roman"/>
                <w:sz w:val="21"/>
                <w:szCs w:val="21"/>
                <w:spacing w:val="7"/>
              </w:rPr>
              <w:t>69</w:t>
            </w:r>
          </w:hyperlink>
        </w:p>
        <w:p>
          <w:pPr>
            <w:pStyle w:val="BodyText"/>
            <w:spacing w:line="242" w:lineRule="auto"/>
            <w:rPr/>
          </w:pPr>
          <w:r/>
        </w:p>
        <w:p>
          <w:pPr>
            <w:pStyle w:val="BodyText"/>
            <w:spacing w:line="242" w:lineRule="auto"/>
            <w:rPr/>
          </w:pPr>
          <w:r/>
        </w:p>
        <w:p>
          <w:pPr>
            <w:spacing w:before="69" w:line="219" w:lineRule="auto"/>
            <w:tabs>
              <w:tab w:val="right" w:leader="dot" w:pos="13034"/>
            </w:tabs>
            <w:rPr>
              <w:rFonts w:ascii="Times New Roman" w:hAnsi="Times New Roman" w:eastAsia="Times New Roman" w:cs="Times New Roman"/>
              <w:sz w:val="21"/>
              <w:szCs w:val="21"/>
            </w:rPr>
          </w:pPr>
          <w:hyperlink w:history="true" w:anchor="bookmark603">
            <w:r>
              <w:rPr>
                <w:rFonts w:ascii="SimHei" w:hAnsi="SimHei" w:eastAsia="SimHei" w:cs="SimHei"/>
                <w:sz w:val="21"/>
                <w:szCs w:val="21"/>
                <w:spacing w:val="9"/>
              </w:rPr>
              <w:t>第四百七十七条</w:t>
            </w:r>
            <w:r>
              <w:rPr>
                <w:rFonts w:ascii="SimHei" w:hAnsi="SimHei" w:eastAsia="SimHei" w:cs="SimHei"/>
                <w:sz w:val="21"/>
                <w:szCs w:val="21"/>
                <w:spacing w:val="9"/>
              </w:rPr>
              <w:t xml:space="preserve"> </w:t>
            </w:r>
            <w:r>
              <w:rPr>
                <w:rFonts w:ascii="SimHei" w:hAnsi="SimHei" w:eastAsia="SimHei" w:cs="SimHei"/>
                <w:sz w:val="21"/>
                <w:szCs w:val="21"/>
                <w:spacing w:val="9"/>
              </w:rPr>
              <w:t>使用国家明令禁止使用的可能产生职业病危害的设备或者材料的</w:t>
            </w:r>
            <w:r>
              <w:rPr>
                <w:rFonts w:ascii="SimHei" w:hAnsi="SimHei" w:eastAsia="SimHei" w:cs="SimHei"/>
                <w:sz w:val="21"/>
                <w:szCs w:val="21"/>
                <w:spacing w:val="-76"/>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571</w:t>
            </w:r>
          </w:hyperlink>
        </w:p>
      </w:sdtContent>
    </w:sdt>
    <w:p>
      <w:pPr>
        <w:spacing w:line="219" w:lineRule="auto"/>
        <w:sectPr>
          <w:footerReference w:type="default" r:id="rId57"/>
          <w:pgSz w:w="16830" w:h="11900"/>
          <w:pgMar w:top="1011" w:right="1285" w:bottom="1127" w:left="2290" w:header="0" w:footer="794" w:gutter="0"/>
        </w:sectPr>
        <w:rPr>
          <w:rFonts w:ascii="Times New Roman" w:hAnsi="Times New Roman" w:eastAsia="Times New Roman" w:cs="Times New Roman"/>
          <w:sz w:val="21"/>
          <w:szCs w:val="21"/>
        </w:rPr>
      </w:pPr>
    </w:p>
    <w:p>
      <w:pPr>
        <w:pStyle w:val="BodyText"/>
        <w:spacing w:line="307" w:lineRule="auto"/>
        <w:rPr/>
      </w:pPr>
      <w:r/>
    </w:p>
    <w:p>
      <w:pPr>
        <w:pStyle w:val="BodyText"/>
        <w:spacing w:line="307" w:lineRule="auto"/>
        <w:rPr/>
      </w:pPr>
      <w:r/>
    </w:p>
    <w:p>
      <w:pPr>
        <w:pStyle w:val="BodyText"/>
        <w:spacing w:line="308" w:lineRule="auto"/>
        <w:rPr/>
      </w:pPr>
      <w:r/>
    </w:p>
    <w:p>
      <w:pPr>
        <w:ind w:left="19"/>
        <w:spacing w:before="68" w:line="213" w:lineRule="auto"/>
        <w:rPr>
          <w:rFonts w:ascii="SimHei" w:hAnsi="SimHei" w:eastAsia="SimHei" w:cs="SimHei"/>
          <w:sz w:val="21"/>
          <w:szCs w:val="21"/>
        </w:rPr>
      </w:pPr>
      <w:bookmarkStart w:name="bookmark604" w:id="13"/>
      <w:bookmarkEnd w:id="13"/>
      <w:r>
        <w:rPr>
          <w:rFonts w:ascii="SimHei" w:hAnsi="SimHei" w:eastAsia="SimHei" w:cs="SimHei"/>
          <w:sz w:val="21"/>
          <w:szCs w:val="21"/>
          <w:spacing w:val="10"/>
        </w:rPr>
        <w:t>第四百七十八条</w:t>
      </w:r>
      <w:r>
        <w:rPr>
          <w:rFonts w:ascii="SimHei" w:hAnsi="SimHei" w:eastAsia="SimHei" w:cs="SimHei"/>
          <w:sz w:val="21"/>
          <w:szCs w:val="21"/>
          <w:spacing w:val="10"/>
        </w:rPr>
        <w:t xml:space="preserve"> </w:t>
      </w:r>
      <w:r>
        <w:rPr>
          <w:rFonts w:ascii="SimHei" w:hAnsi="SimHei" w:eastAsia="SimHei" w:cs="SimHei"/>
          <w:sz w:val="21"/>
          <w:szCs w:val="21"/>
          <w:spacing w:val="10"/>
        </w:rPr>
        <w:t>将产生职业病危害的作业转移给没有职业病防护条件的单位和个人，或者没有职业病防护条件的单位和个人接受产生职</w:t>
      </w:r>
    </w:p>
    <w:p>
      <w:pPr>
        <w:pStyle w:val="BodyText"/>
        <w:spacing w:line="317"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spacing w:before="68" w:line="222" w:lineRule="auto"/>
            <w:tabs>
              <w:tab w:val="right" w:leader="dot" w:pos="13054"/>
            </w:tabs>
            <w:rPr>
              <w:rFonts w:ascii="Times New Roman" w:hAnsi="Times New Roman" w:eastAsia="Times New Roman" w:cs="Times New Roman"/>
              <w:sz w:val="21"/>
              <w:szCs w:val="21"/>
            </w:rPr>
          </w:pPr>
          <w:hyperlink w:history="true" w:anchor="bookmark605">
            <w:r>
              <w:rPr>
                <w:rFonts w:ascii="SimHei" w:hAnsi="SimHei" w:eastAsia="SimHei" w:cs="SimHei"/>
                <w:sz w:val="21"/>
                <w:szCs w:val="21"/>
                <w:spacing w:val="14"/>
              </w:rPr>
              <w:t>业病危害的作业的</w:t>
            </w:r>
            <w:r>
              <w:rPr>
                <w:rFonts w:ascii="SimHei" w:hAnsi="SimHei" w:eastAsia="SimHei" w:cs="SimHei"/>
                <w:sz w:val="21"/>
                <w:szCs w:val="21"/>
                <w:spacing w:val="-89"/>
              </w:rPr>
              <w:t xml:space="preserve"> </w:t>
            </w:r>
            <w:r>
              <w:rPr>
                <w:rFonts w:ascii="SimHei" w:hAnsi="SimHei" w:eastAsia="SimHei" w:cs="SimHei"/>
                <w:sz w:val="21"/>
                <w:szCs w:val="21"/>
              </w:rPr>
              <w:tab/>
            </w:r>
            <w:r>
              <w:rPr>
                <w:rFonts w:ascii="SimHei" w:hAnsi="SimHei" w:eastAsia="SimHei" w:cs="SimHei"/>
                <w:sz w:val="21"/>
                <w:szCs w:val="21"/>
                <w:spacing w:val="-60"/>
              </w:rPr>
              <w:t xml:space="preserve"> </w:t>
            </w:r>
            <w:r>
              <w:rPr>
                <w:rFonts w:ascii="Times New Roman" w:hAnsi="Times New Roman" w:eastAsia="Times New Roman" w:cs="Times New Roman"/>
                <w:sz w:val="21"/>
                <w:szCs w:val="21"/>
                <w:spacing w:val="-3"/>
              </w:rPr>
              <w:t>573</w:t>
            </w:r>
          </w:hyperlink>
        </w:p>
        <w:p>
          <w:pPr>
            <w:pStyle w:val="BodyText"/>
            <w:spacing w:line="252" w:lineRule="auto"/>
            <w:rPr/>
          </w:pPr>
          <w:r/>
        </w:p>
        <w:p>
          <w:pPr>
            <w:pStyle w:val="BodyText"/>
            <w:spacing w:line="253" w:lineRule="auto"/>
            <w:rPr/>
          </w:pPr>
          <w:r/>
        </w:p>
        <w:p>
          <w:pPr>
            <w:spacing w:before="68" w:line="221" w:lineRule="auto"/>
            <w:tabs>
              <w:tab w:val="right" w:leader="dot" w:pos="13044"/>
            </w:tabs>
            <w:rPr>
              <w:rFonts w:ascii="Times New Roman" w:hAnsi="Times New Roman" w:eastAsia="Times New Roman" w:cs="Times New Roman"/>
              <w:sz w:val="21"/>
              <w:szCs w:val="21"/>
            </w:rPr>
          </w:pPr>
          <w:hyperlink w:history="true" w:anchor="bookmark606">
            <w:r>
              <w:rPr>
                <w:rFonts w:ascii="SimHei" w:hAnsi="SimHei" w:eastAsia="SimHei" w:cs="SimHei"/>
                <w:sz w:val="21"/>
                <w:szCs w:val="21"/>
                <w:spacing w:val="12"/>
              </w:rPr>
              <w:t>第四百七十九条</w:t>
            </w:r>
            <w:r>
              <w:rPr>
                <w:rFonts w:ascii="SimHei" w:hAnsi="SimHei" w:eastAsia="SimHei" w:cs="SimHei"/>
                <w:sz w:val="21"/>
                <w:szCs w:val="21"/>
                <w:spacing w:val="47"/>
              </w:rPr>
              <w:t xml:space="preserve"> </w:t>
            </w:r>
            <w:r>
              <w:rPr>
                <w:rFonts w:ascii="SimHei" w:hAnsi="SimHei" w:eastAsia="SimHei" w:cs="SimHei"/>
                <w:sz w:val="21"/>
                <w:szCs w:val="21"/>
                <w:spacing w:val="12"/>
              </w:rPr>
              <w:t>擅自拆除、停止使用职业病防护设备或者应急救援设施的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70"/>
              </w:rPr>
              <w:t xml:space="preserve"> </w:t>
            </w:r>
            <w:r>
              <w:rPr>
                <w:rFonts w:ascii="Times New Roman" w:hAnsi="Times New Roman" w:eastAsia="Times New Roman" w:cs="Times New Roman"/>
                <w:sz w:val="21"/>
                <w:szCs w:val="21"/>
                <w:spacing w:val="-3"/>
              </w:rPr>
              <w:t>575</w:t>
            </w:r>
          </w:hyperlink>
        </w:p>
        <w:p>
          <w:pPr>
            <w:pStyle w:val="BodyText"/>
            <w:spacing w:line="248" w:lineRule="auto"/>
            <w:rPr/>
          </w:pPr>
          <w:r/>
        </w:p>
        <w:p>
          <w:pPr>
            <w:pStyle w:val="BodyText"/>
            <w:spacing w:line="249" w:lineRule="auto"/>
            <w:rPr/>
          </w:pPr>
          <w:r/>
        </w:p>
        <w:p>
          <w:pPr>
            <w:ind w:left="19"/>
            <w:spacing w:before="68" w:line="221" w:lineRule="auto"/>
            <w:rPr>
              <w:rFonts w:ascii="SimHei" w:hAnsi="SimHei" w:eastAsia="SimHei" w:cs="SimHei"/>
              <w:sz w:val="21"/>
              <w:szCs w:val="21"/>
            </w:rPr>
          </w:pPr>
          <w:hyperlink w:history="true" w:anchor="bookmark607">
            <w:r>
              <w:rPr>
                <w:rFonts w:ascii="SimHei" w:hAnsi="SimHei" w:eastAsia="SimHei" w:cs="SimHei"/>
                <w:sz w:val="21"/>
                <w:szCs w:val="21"/>
                <w:spacing w:val="10"/>
              </w:rPr>
              <w:t>第四百八十条</w:t>
            </w:r>
            <w:r>
              <w:rPr>
                <w:rFonts w:ascii="SimHei" w:hAnsi="SimHei" w:eastAsia="SimHei" w:cs="SimHei"/>
                <w:sz w:val="21"/>
                <w:szCs w:val="21"/>
                <w:spacing w:val="37"/>
              </w:rPr>
              <w:t xml:space="preserve"> </w:t>
            </w:r>
            <w:r>
              <w:rPr>
                <w:rFonts w:ascii="SimHei" w:hAnsi="SimHei" w:eastAsia="SimHei" w:cs="SimHei"/>
                <w:sz w:val="21"/>
                <w:szCs w:val="21"/>
                <w:spacing w:val="10"/>
              </w:rPr>
              <w:t>安排未经职业健康检查的劳动者、有职业禁忌的劳动者、未成年工或</w:t>
            </w:r>
            <w:r>
              <w:rPr>
                <w:rFonts w:ascii="SimHei" w:hAnsi="SimHei" w:eastAsia="SimHei" w:cs="SimHei"/>
                <w:sz w:val="21"/>
                <w:szCs w:val="21"/>
                <w:spacing w:val="9"/>
              </w:rPr>
              <w:t>者孕期、哺乳期女职工从事接触职业病危害的作业或</w:t>
            </w:r>
          </w:hyperlink>
        </w:p>
        <w:p>
          <w:pPr>
            <w:pStyle w:val="BodyText"/>
            <w:spacing w:line="388" w:lineRule="auto"/>
            <w:rPr/>
          </w:pPr>
          <w:r/>
        </w:p>
        <w:p>
          <w:pPr>
            <w:spacing w:before="68" w:line="222" w:lineRule="auto"/>
            <w:tabs>
              <w:tab w:val="right" w:leader="dot" w:pos="13024"/>
            </w:tabs>
            <w:rPr>
              <w:rFonts w:ascii="Times New Roman" w:hAnsi="Times New Roman" w:eastAsia="Times New Roman" w:cs="Times New Roman"/>
              <w:sz w:val="21"/>
              <w:szCs w:val="21"/>
            </w:rPr>
          </w:pPr>
          <w:hyperlink w:history="true" w:anchor="bookmark608">
            <w:r>
              <w:rPr>
                <w:rFonts w:ascii="SimHei" w:hAnsi="SimHei" w:eastAsia="SimHei" w:cs="SimHei"/>
                <w:sz w:val="21"/>
                <w:szCs w:val="21"/>
                <w:spacing w:val="11"/>
              </w:rPr>
              <w:t>者禁忌作业的</w:t>
            </w:r>
            <w:r>
              <w:rPr>
                <w:rFonts w:ascii="SimHei" w:hAnsi="SimHei" w:eastAsia="SimHei" w:cs="SimHei"/>
                <w:sz w:val="21"/>
                <w:szCs w:val="21"/>
                <w:spacing w:val="-92"/>
              </w:rPr>
              <w:t xml:space="preserve"> </w:t>
            </w:r>
            <w:r>
              <w:rPr>
                <w:rFonts w:ascii="SimHei" w:hAnsi="SimHei" w:eastAsia="SimHei" w:cs="SimHei"/>
                <w:sz w:val="21"/>
                <w:szCs w:val="21"/>
              </w:rPr>
              <w:tab/>
            </w:r>
            <w:r>
              <w:rPr>
                <w:rFonts w:ascii="SimHei" w:hAnsi="SimHei" w:eastAsia="SimHei" w:cs="SimHei"/>
                <w:sz w:val="21"/>
                <w:szCs w:val="21"/>
                <w:spacing w:val="-40"/>
              </w:rPr>
              <w:t xml:space="preserve"> </w:t>
            </w:r>
            <w:r>
              <w:rPr>
                <w:rFonts w:ascii="Times New Roman" w:hAnsi="Times New Roman" w:eastAsia="Times New Roman" w:cs="Times New Roman"/>
                <w:sz w:val="21"/>
                <w:szCs w:val="21"/>
                <w:spacing w:val="-3"/>
              </w:rPr>
              <w:t>576</w:t>
            </w:r>
          </w:hyperlink>
        </w:p>
        <w:p>
          <w:pPr>
            <w:pStyle w:val="BodyText"/>
            <w:spacing w:line="413" w:lineRule="auto"/>
            <w:rPr/>
          </w:pPr>
          <w:r/>
        </w:p>
        <w:p>
          <w:pPr>
            <w:spacing w:before="69" w:line="219" w:lineRule="auto"/>
            <w:tabs>
              <w:tab w:val="right" w:leader="dot" w:pos="13124"/>
            </w:tabs>
            <w:rPr>
              <w:rFonts w:ascii="Times New Roman" w:hAnsi="Times New Roman" w:eastAsia="Times New Roman" w:cs="Times New Roman"/>
              <w:sz w:val="21"/>
              <w:szCs w:val="21"/>
            </w:rPr>
          </w:pPr>
          <w:hyperlink w:history="true" w:anchor="bookmark609">
            <w:r>
              <w:rPr>
                <w:rFonts w:ascii="SimHei" w:hAnsi="SimHei" w:eastAsia="SimHei" w:cs="SimHei"/>
                <w:sz w:val="21"/>
                <w:szCs w:val="21"/>
                <w:spacing w:val="8"/>
              </w:rPr>
              <w:t>第四百八十一条</w:t>
            </w:r>
            <w:r>
              <w:rPr>
                <w:rFonts w:ascii="SimHei" w:hAnsi="SimHei" w:eastAsia="SimHei" w:cs="SimHei"/>
                <w:sz w:val="21"/>
                <w:szCs w:val="21"/>
                <w:spacing w:val="8"/>
              </w:rPr>
              <w:t xml:space="preserve"> </w:t>
            </w:r>
            <w:r>
              <w:rPr>
                <w:rFonts w:ascii="SimHei" w:hAnsi="SimHei" w:eastAsia="SimHei" w:cs="SimHei"/>
                <w:sz w:val="21"/>
                <w:szCs w:val="21"/>
                <w:spacing w:val="8"/>
              </w:rPr>
              <w:t>违章指挥和强令劳动者进行</w:t>
            </w:r>
            <w:r>
              <w:rPr>
                <w:rFonts w:ascii="SimHei" w:hAnsi="SimHei" w:eastAsia="SimHei" w:cs="SimHei"/>
                <w:sz w:val="21"/>
                <w:szCs w:val="21"/>
                <w:spacing w:val="7"/>
              </w:rPr>
              <w:t>没有职业病防护措施的作业的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21"/>
              </w:rPr>
              <w:t xml:space="preserve"> </w:t>
            </w:r>
            <w:r>
              <w:rPr>
                <w:rFonts w:ascii="Times New Roman" w:hAnsi="Times New Roman" w:eastAsia="Times New Roman" w:cs="Times New Roman"/>
                <w:sz w:val="21"/>
                <w:szCs w:val="21"/>
                <w:spacing w:val="-4"/>
              </w:rPr>
              <w:t>579</w:t>
            </w:r>
          </w:hyperlink>
        </w:p>
        <w:p>
          <w:pPr>
            <w:pStyle w:val="BodyText"/>
            <w:spacing w:line="246" w:lineRule="auto"/>
            <w:rPr/>
          </w:pPr>
          <w:r/>
        </w:p>
        <w:p>
          <w:pPr>
            <w:pStyle w:val="BodyText"/>
            <w:spacing w:line="247" w:lineRule="auto"/>
            <w:rPr/>
          </w:pPr>
          <w:r/>
        </w:p>
        <w:p>
          <w:pPr>
            <w:spacing w:before="69" w:line="213" w:lineRule="auto"/>
            <w:tabs>
              <w:tab w:val="right" w:leader="dot" w:pos="13054"/>
            </w:tabs>
            <w:rPr>
              <w:rFonts w:ascii="Times New Roman" w:hAnsi="Times New Roman" w:eastAsia="Times New Roman" w:cs="Times New Roman"/>
              <w:sz w:val="21"/>
              <w:szCs w:val="21"/>
            </w:rPr>
          </w:pPr>
          <w:hyperlink w:history="true" w:anchor="bookmark610">
            <w:r>
              <w:rPr>
                <w:rFonts w:ascii="SimHei" w:hAnsi="SimHei" w:eastAsia="SimHei" w:cs="SimHei"/>
                <w:sz w:val="21"/>
                <w:szCs w:val="21"/>
                <w:spacing w:val="9"/>
              </w:rPr>
              <w:t>第四百八十二条</w:t>
            </w:r>
            <w:r>
              <w:rPr>
                <w:rFonts w:ascii="SimHei" w:hAnsi="SimHei" w:eastAsia="SimHei" w:cs="SimHei"/>
                <w:sz w:val="21"/>
                <w:szCs w:val="21"/>
                <w:spacing w:val="9"/>
              </w:rPr>
              <w:t xml:space="preserve"> </w:t>
            </w:r>
            <w:r>
              <w:rPr>
                <w:rFonts w:ascii="SimHei" w:hAnsi="SimHei" w:eastAsia="SimHei" w:cs="SimHei"/>
                <w:sz w:val="21"/>
                <w:szCs w:val="21"/>
                <w:spacing w:val="9"/>
              </w:rPr>
              <w:t>用人单位违反本法规定，已经对劳动者生命健康造成严重损害的</w:t>
            </w:r>
            <w:r>
              <w:rPr>
                <w:rFonts w:ascii="SimHei" w:hAnsi="SimHei" w:eastAsia="SimHei" w:cs="SimHei"/>
                <w:sz w:val="21"/>
                <w:szCs w:val="21"/>
                <w:spacing w:val="-86"/>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581</w:t>
            </w:r>
          </w:hyperlink>
        </w:p>
        <w:p>
          <w:pPr>
            <w:pStyle w:val="BodyText"/>
            <w:spacing w:line="262" w:lineRule="auto"/>
            <w:rPr/>
          </w:pPr>
          <w:r/>
        </w:p>
        <w:p>
          <w:pPr>
            <w:pStyle w:val="BodyText"/>
            <w:spacing w:line="263" w:lineRule="auto"/>
            <w:rPr/>
          </w:pPr>
          <w:r/>
        </w:p>
        <w:p>
          <w:pPr>
            <w:spacing w:before="68" w:line="221" w:lineRule="auto"/>
            <w:tabs>
              <w:tab w:val="right" w:leader="dot" w:pos="13054"/>
            </w:tabs>
            <w:rPr>
              <w:rFonts w:ascii="Times New Roman" w:hAnsi="Times New Roman" w:eastAsia="Times New Roman" w:cs="Times New Roman"/>
              <w:sz w:val="21"/>
              <w:szCs w:val="21"/>
            </w:rPr>
          </w:pPr>
          <w:hyperlink w:history="true" w:anchor="bookmark611">
            <w:r>
              <w:rPr>
                <w:rFonts w:ascii="SimHei" w:hAnsi="SimHei" w:eastAsia="SimHei" w:cs="SimHei"/>
                <w:sz w:val="21"/>
                <w:szCs w:val="21"/>
                <w:spacing w:val="9"/>
              </w:rPr>
              <w:t>第四百八十三条</w:t>
            </w:r>
            <w:r>
              <w:rPr>
                <w:rFonts w:ascii="SimHei" w:hAnsi="SimHei" w:eastAsia="SimHei" w:cs="SimHei"/>
                <w:sz w:val="21"/>
                <w:szCs w:val="21"/>
                <w:spacing w:val="9"/>
              </w:rPr>
              <w:t xml:space="preserve"> </w:t>
            </w:r>
            <w:r>
              <w:rPr>
                <w:rFonts w:ascii="SimHei" w:hAnsi="SimHei" w:eastAsia="SimHei" w:cs="SimHei"/>
                <w:sz w:val="21"/>
                <w:szCs w:val="21"/>
                <w:spacing w:val="9"/>
              </w:rPr>
              <w:t>未取得职业卫生技术服务资质认可擅自从事职业卫生技术服务的</w:t>
            </w:r>
            <w:r>
              <w:rPr>
                <w:rFonts w:ascii="SimHei" w:hAnsi="SimHei" w:eastAsia="SimHei" w:cs="SimHei"/>
                <w:sz w:val="21"/>
                <w:szCs w:val="21"/>
                <w:spacing w:val="-86"/>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582</w:t>
            </w:r>
          </w:hyperlink>
        </w:p>
        <w:p>
          <w:pPr>
            <w:pStyle w:val="BodyText"/>
            <w:spacing w:line="248" w:lineRule="auto"/>
            <w:rPr/>
          </w:pPr>
          <w:r/>
        </w:p>
        <w:p>
          <w:pPr>
            <w:pStyle w:val="BodyText"/>
            <w:spacing w:line="249" w:lineRule="auto"/>
            <w:rPr/>
          </w:pPr>
          <w:r/>
        </w:p>
        <w:p>
          <w:pPr>
            <w:spacing w:before="69" w:line="221" w:lineRule="auto"/>
            <w:tabs>
              <w:tab w:val="right" w:leader="dot" w:pos="13034"/>
            </w:tabs>
            <w:rPr>
              <w:rFonts w:ascii="Times New Roman" w:hAnsi="Times New Roman" w:eastAsia="Times New Roman" w:cs="Times New Roman"/>
              <w:sz w:val="21"/>
              <w:szCs w:val="21"/>
            </w:rPr>
          </w:pPr>
          <w:hyperlink w:history="true" w:anchor="bookmark612">
            <w:r>
              <w:rPr>
                <w:rFonts w:ascii="SimHei" w:hAnsi="SimHei" w:eastAsia="SimHei" w:cs="SimHei"/>
                <w:sz w:val="21"/>
                <w:szCs w:val="21"/>
                <w:spacing w:val="12"/>
              </w:rPr>
              <w:t>第四百八十四条</w:t>
            </w:r>
            <w:r>
              <w:rPr>
                <w:rFonts w:ascii="SimHei" w:hAnsi="SimHei" w:eastAsia="SimHei" w:cs="SimHei"/>
                <w:sz w:val="21"/>
                <w:szCs w:val="21"/>
                <w:spacing w:val="12"/>
              </w:rPr>
              <w:t xml:space="preserve"> </w:t>
            </w:r>
            <w:r>
              <w:rPr>
                <w:rFonts w:ascii="SimHei" w:hAnsi="SimHei" w:eastAsia="SimHei" w:cs="SimHei"/>
                <w:sz w:val="21"/>
                <w:szCs w:val="21"/>
                <w:spacing w:val="12"/>
              </w:rPr>
              <w:t>挪用防尘措施经费的</w:t>
            </w:r>
            <w:r>
              <w:rPr>
                <w:rFonts w:ascii="SimHei" w:hAnsi="SimHei" w:eastAsia="SimHei" w:cs="SimHei"/>
                <w:sz w:val="21"/>
                <w:szCs w:val="21"/>
                <w:spacing w:val="-86"/>
              </w:rPr>
              <w:t xml:space="preserve"> </w:t>
            </w:r>
            <w:r>
              <w:rPr>
                <w:rFonts w:ascii="SimHei" w:hAnsi="SimHei" w:eastAsia="SimHei" w:cs="SimHei"/>
                <w:sz w:val="21"/>
                <w:szCs w:val="21"/>
              </w:rPr>
              <w:tab/>
            </w:r>
            <w:r>
              <w:rPr>
                <w:rFonts w:ascii="SimHei" w:hAnsi="SimHei" w:eastAsia="SimHei" w:cs="SimHei"/>
                <w:sz w:val="21"/>
                <w:szCs w:val="21"/>
                <w:spacing w:val="-70"/>
              </w:rPr>
              <w:t xml:space="preserve"> </w:t>
            </w:r>
            <w:r>
              <w:rPr>
                <w:rFonts w:ascii="Times New Roman" w:hAnsi="Times New Roman" w:eastAsia="Times New Roman" w:cs="Times New Roman"/>
                <w:sz w:val="21"/>
                <w:szCs w:val="21"/>
                <w:spacing w:val="-3"/>
              </w:rPr>
              <w:t>584</w:t>
            </w:r>
          </w:hyperlink>
        </w:p>
        <w:p>
          <w:pPr>
            <w:pStyle w:val="BodyText"/>
            <w:spacing w:line="248" w:lineRule="auto"/>
            <w:rPr/>
          </w:pPr>
          <w:r/>
        </w:p>
        <w:p>
          <w:pPr>
            <w:pStyle w:val="BodyText"/>
            <w:spacing w:line="249" w:lineRule="auto"/>
            <w:rPr/>
          </w:pPr>
          <w:r/>
        </w:p>
        <w:p>
          <w:pPr>
            <w:spacing w:before="68" w:line="221" w:lineRule="auto"/>
            <w:tabs>
              <w:tab w:val="right" w:leader="dot" w:pos="13044"/>
            </w:tabs>
            <w:rPr>
              <w:rFonts w:ascii="Times New Roman" w:hAnsi="Times New Roman" w:eastAsia="Times New Roman" w:cs="Times New Roman"/>
              <w:sz w:val="21"/>
              <w:szCs w:val="21"/>
            </w:rPr>
          </w:pPr>
          <w:hyperlink w:history="true" w:anchor="bookmark613">
            <w:r>
              <w:rPr>
                <w:rFonts w:ascii="SimHei" w:hAnsi="SimHei" w:eastAsia="SimHei" w:cs="SimHei"/>
                <w:sz w:val="21"/>
                <w:szCs w:val="21"/>
                <w:spacing w:val="8"/>
              </w:rPr>
              <w:t>第四百八十五条</w:t>
            </w:r>
            <w:r>
              <w:rPr>
                <w:rFonts w:ascii="SimHei" w:hAnsi="SimHei" w:eastAsia="SimHei" w:cs="SimHei"/>
                <w:sz w:val="21"/>
                <w:szCs w:val="21"/>
                <w:spacing w:val="8"/>
              </w:rPr>
              <w:t xml:space="preserve"> </w:t>
            </w:r>
            <w:r>
              <w:rPr>
                <w:rFonts w:ascii="SimHei" w:hAnsi="SimHei" w:eastAsia="SimHei" w:cs="SimHei"/>
                <w:sz w:val="21"/>
                <w:szCs w:val="21"/>
                <w:spacing w:val="8"/>
              </w:rPr>
              <w:t>超出资质认可或者诊疗项目登记范围从事职业卫生技术服务或者职</w:t>
            </w:r>
            <w:r>
              <w:rPr>
                <w:rFonts w:ascii="SimHei" w:hAnsi="SimHei" w:eastAsia="SimHei" w:cs="SimHei"/>
                <w:sz w:val="21"/>
                <w:szCs w:val="21"/>
                <w:spacing w:val="7"/>
              </w:rPr>
              <w:t>业病诊断的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584</w:t>
            </w:r>
          </w:hyperlink>
        </w:p>
      </w:sdtContent>
    </w:sdt>
    <w:p>
      <w:pPr>
        <w:spacing w:line="221" w:lineRule="auto"/>
        <w:sectPr>
          <w:footerReference w:type="default" r:id="rId58"/>
          <w:pgSz w:w="16830" w:h="11900"/>
          <w:pgMar w:top="1011" w:right="1415" w:bottom="1139" w:left="2290" w:header="0" w:footer="778" w:gutter="0"/>
        </w:sectPr>
        <w:rPr>
          <w:rFonts w:ascii="Times New Roman" w:hAnsi="Times New Roman" w:eastAsia="Times New Roman" w:cs="Times New Roman"/>
          <w:sz w:val="21"/>
          <w:szCs w:val="21"/>
        </w:rPr>
      </w:pPr>
    </w:p>
    <w:p>
      <w:pPr>
        <w:pStyle w:val="BodyText"/>
        <w:spacing w:line="317" w:lineRule="auto"/>
        <w:rPr/>
      </w:pPr>
      <w:r/>
    </w:p>
    <w:p>
      <w:pPr>
        <w:pStyle w:val="BodyText"/>
        <w:spacing w:line="317" w:lineRule="auto"/>
        <w:rPr/>
      </w:pPr>
      <w:r/>
    </w:p>
    <w:p>
      <w:pPr>
        <w:pStyle w:val="BodyText"/>
        <w:spacing w:line="317"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319"/>
            <w:spacing w:before="68" w:line="221" w:lineRule="auto"/>
            <w:tabs>
              <w:tab w:val="right" w:leader="dot" w:pos="13315"/>
            </w:tabs>
            <w:rPr>
              <w:rFonts w:ascii="Times New Roman" w:hAnsi="Times New Roman" w:eastAsia="Times New Roman" w:cs="Times New Roman"/>
              <w:sz w:val="21"/>
              <w:szCs w:val="21"/>
            </w:rPr>
          </w:pPr>
          <w:hyperlink w:history="true" w:anchor="bookmark614">
            <w:r>
              <w:rPr>
                <w:rFonts w:ascii="SimHei" w:hAnsi="SimHei" w:eastAsia="SimHei" w:cs="SimHei"/>
                <w:sz w:val="21"/>
                <w:szCs w:val="21"/>
                <w:spacing w:val="10"/>
              </w:rPr>
              <w:t>第四百八十六条</w:t>
            </w:r>
            <w:r>
              <w:rPr>
                <w:rFonts w:ascii="SimHei" w:hAnsi="SimHei" w:eastAsia="SimHei" w:cs="SimHei"/>
                <w:sz w:val="21"/>
                <w:szCs w:val="21"/>
                <w:spacing w:val="10"/>
              </w:rPr>
              <w:t xml:space="preserve"> </w:t>
            </w:r>
            <w:r>
              <w:rPr>
                <w:rFonts w:ascii="SimHei" w:hAnsi="SimHei" w:eastAsia="SimHei" w:cs="SimHei"/>
                <w:sz w:val="21"/>
                <w:szCs w:val="21"/>
                <w:spacing w:val="10"/>
              </w:rPr>
              <w:t>从事职业卫生技术服务的机构和承担职业病诊断的医疗卫生机构不按照本法规定履行法定职责的</w:t>
            </w:r>
            <w:r>
              <w:rPr>
                <w:rFonts w:ascii="SimHei" w:hAnsi="SimHei" w:eastAsia="SimHei" w:cs="SimHei"/>
                <w:sz w:val="21"/>
                <w:szCs w:val="21"/>
                <w:spacing w:val="-91"/>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587</w:t>
            </w:r>
          </w:hyperlink>
        </w:p>
        <w:p>
          <w:pPr>
            <w:pStyle w:val="BodyText"/>
            <w:spacing w:line="253" w:lineRule="auto"/>
            <w:rPr/>
          </w:pPr>
          <w:r/>
        </w:p>
        <w:p>
          <w:pPr>
            <w:pStyle w:val="BodyText"/>
            <w:spacing w:line="254" w:lineRule="auto"/>
            <w:rPr/>
          </w:pPr>
          <w:r/>
        </w:p>
        <w:p>
          <w:pPr>
            <w:ind w:left="319"/>
            <w:spacing w:before="68" w:line="221" w:lineRule="auto"/>
            <w:tabs>
              <w:tab w:val="right" w:leader="dot" w:pos="13324"/>
            </w:tabs>
            <w:rPr>
              <w:rFonts w:ascii="Times New Roman" w:hAnsi="Times New Roman" w:eastAsia="Times New Roman" w:cs="Times New Roman"/>
              <w:sz w:val="21"/>
              <w:szCs w:val="21"/>
            </w:rPr>
          </w:pPr>
          <w:hyperlink w:history="true" w:anchor="bookmark615">
            <w:r>
              <w:rPr>
                <w:rFonts w:ascii="SimHei" w:hAnsi="SimHei" w:eastAsia="SimHei" w:cs="SimHei"/>
                <w:sz w:val="21"/>
                <w:szCs w:val="21"/>
                <w:spacing w:val="10"/>
              </w:rPr>
              <w:t>第四百八十七条</w:t>
            </w:r>
            <w:r>
              <w:rPr>
                <w:rFonts w:ascii="SimHei" w:hAnsi="SimHei" w:eastAsia="SimHei" w:cs="SimHei"/>
                <w:sz w:val="21"/>
                <w:szCs w:val="21"/>
                <w:spacing w:val="10"/>
              </w:rPr>
              <w:t xml:space="preserve"> </w:t>
            </w:r>
            <w:r>
              <w:rPr>
                <w:rFonts w:ascii="SimHei" w:hAnsi="SimHei" w:eastAsia="SimHei" w:cs="SimHei"/>
                <w:sz w:val="21"/>
                <w:szCs w:val="21"/>
                <w:spacing w:val="10"/>
              </w:rPr>
              <w:t>从事职业卫生技术服务的机构和承担职业病诊断的医疗卫生机构出具虚假证明文件的</w:t>
            </w:r>
            <w:r>
              <w:rPr>
                <w:rFonts w:ascii="SimHei" w:hAnsi="SimHei" w:eastAsia="SimHei" w:cs="SimHei"/>
                <w:sz w:val="21"/>
                <w:szCs w:val="21"/>
                <w:spacing w:val="-91"/>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589</w:t>
            </w:r>
          </w:hyperlink>
        </w:p>
        <w:p>
          <w:pPr>
            <w:pStyle w:val="BodyText"/>
            <w:spacing w:line="258" w:lineRule="auto"/>
            <w:rPr/>
          </w:pPr>
          <w:r/>
        </w:p>
        <w:p>
          <w:pPr>
            <w:pStyle w:val="BodyText"/>
            <w:spacing w:line="259" w:lineRule="auto"/>
            <w:rPr/>
          </w:pPr>
          <w:r/>
        </w:p>
        <w:p>
          <w:pPr>
            <w:ind w:left="319"/>
            <w:spacing w:before="68" w:line="221" w:lineRule="auto"/>
            <w:tabs>
              <w:tab w:val="right" w:leader="dot" w:pos="13334"/>
            </w:tabs>
            <w:rPr>
              <w:rFonts w:ascii="Times New Roman" w:hAnsi="Times New Roman" w:eastAsia="Times New Roman" w:cs="Times New Roman"/>
              <w:sz w:val="21"/>
              <w:szCs w:val="21"/>
            </w:rPr>
          </w:pPr>
          <w:hyperlink w:history="true" w:anchor="bookmark616">
            <w:r>
              <w:rPr>
                <w:rFonts w:ascii="SimHei" w:hAnsi="SimHei" w:eastAsia="SimHei" w:cs="SimHei"/>
                <w:sz w:val="21"/>
                <w:szCs w:val="21"/>
                <w:spacing w:val="10"/>
              </w:rPr>
              <w:t>第四百八十八条</w:t>
            </w:r>
            <w:r>
              <w:rPr>
                <w:rFonts w:ascii="SimHei" w:hAnsi="SimHei" w:eastAsia="SimHei" w:cs="SimHei"/>
                <w:sz w:val="21"/>
                <w:szCs w:val="21"/>
                <w:spacing w:val="10"/>
              </w:rPr>
              <w:t xml:space="preserve"> </w:t>
            </w:r>
            <w:r>
              <w:rPr>
                <w:rFonts w:ascii="SimHei" w:hAnsi="SimHei" w:eastAsia="SimHei" w:cs="SimHei"/>
                <w:sz w:val="21"/>
                <w:szCs w:val="21"/>
                <w:spacing w:val="10"/>
              </w:rPr>
              <w:t>职业病诊断鉴定委员会组成人员收受职业病诊断争议当事人的</w:t>
            </w:r>
            <w:r>
              <w:rPr>
                <w:rFonts w:ascii="SimHei" w:hAnsi="SimHei" w:eastAsia="SimHei" w:cs="SimHei"/>
                <w:sz w:val="21"/>
                <w:szCs w:val="21"/>
                <w:spacing w:val="9"/>
              </w:rPr>
              <w:t>财物或者其他好处的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2"/>
              </w:rPr>
              <w:t>591</w:t>
            </w:r>
          </w:hyperlink>
        </w:p>
        <w:p>
          <w:pPr>
            <w:pStyle w:val="BodyText"/>
            <w:spacing w:line="315" w:lineRule="auto"/>
            <w:rPr/>
          </w:pPr>
          <w:r/>
        </w:p>
        <w:p>
          <w:pPr>
            <w:spacing w:before="68" w:line="223" w:lineRule="auto"/>
            <w:tabs>
              <w:tab w:val="right" w:leader="dot" w:pos="13334"/>
            </w:tabs>
            <w:rPr>
              <w:rFonts w:ascii="Times New Roman" w:hAnsi="Times New Roman" w:eastAsia="Times New Roman" w:cs="Times New Roman"/>
              <w:sz w:val="21"/>
              <w:szCs w:val="21"/>
            </w:rPr>
          </w:pPr>
          <w:hyperlink w:history="true" w:anchor="bookmark617">
            <w:r>
              <w:rPr>
                <w:rFonts w:ascii="KaiTi" w:hAnsi="KaiTi" w:eastAsia="KaiTi" w:cs="KaiTi"/>
                <w:sz w:val="21"/>
                <w:szCs w:val="21"/>
                <w:spacing w:val="-2"/>
              </w:rPr>
              <w:t>(</w:t>
            </w:r>
            <w:r>
              <w:rPr>
                <w:rFonts w:ascii="KaiTi" w:hAnsi="KaiTi" w:eastAsia="KaiTi" w:cs="KaiTi"/>
                <w:sz w:val="21"/>
                <w:szCs w:val="21"/>
                <w:spacing w:val="-2"/>
              </w:rPr>
              <w:t xml:space="preserve"> </w:t>
            </w:r>
            <w:r>
              <w:rPr>
                <w:rFonts w:ascii="KaiTi" w:hAnsi="KaiTi" w:eastAsia="KaiTi" w:cs="KaiTi"/>
                <w:sz w:val="21"/>
                <w:szCs w:val="21"/>
                <w:spacing w:val="-2"/>
              </w:rPr>
              <w:t>二</w:t>
            </w:r>
            <w:r>
              <w:rPr>
                <w:rFonts w:ascii="KaiTi" w:hAnsi="KaiTi" w:eastAsia="KaiTi" w:cs="KaiTi"/>
                <w:sz w:val="21"/>
                <w:szCs w:val="21"/>
                <w:spacing w:val="-2"/>
              </w:rPr>
              <w:t xml:space="preserve"> </w:t>
            </w:r>
            <w:r>
              <w:rPr>
                <w:rFonts w:ascii="KaiTi" w:hAnsi="KaiTi" w:eastAsia="KaiTi" w:cs="KaiTi"/>
                <w:sz w:val="21"/>
                <w:szCs w:val="21"/>
                <w:spacing w:val="-2"/>
              </w:rPr>
              <w:t>)《建设项目职业病防护设施“三同时”监督管理</w:t>
            </w:r>
            <w:r>
              <w:rPr>
                <w:rFonts w:ascii="KaiTi" w:hAnsi="KaiTi" w:eastAsia="KaiTi" w:cs="KaiTi"/>
                <w:sz w:val="21"/>
                <w:szCs w:val="21"/>
                <w:spacing w:val="-3"/>
              </w:rPr>
              <w:t>办法》</w:t>
            </w:r>
            <w:r>
              <w:rPr>
                <w:rFonts w:ascii="KaiTi" w:hAnsi="KaiTi" w:eastAsia="KaiTi" w:cs="KaiTi"/>
                <w:sz w:val="21"/>
                <w:szCs w:val="21"/>
                <w:spacing w:val="-75"/>
              </w:rPr>
              <w:t xml:space="preserve"> </w:t>
            </w:r>
            <w:r>
              <w:rPr>
                <w:rFonts w:ascii="KaiTi" w:hAnsi="KaiTi" w:eastAsia="KaiTi" w:cs="KaiTi"/>
                <w:sz w:val="21"/>
                <w:szCs w:val="21"/>
              </w:rPr>
              <w:tab/>
            </w:r>
            <w:r>
              <w:rPr>
                <w:rFonts w:ascii="KaiTi" w:hAnsi="KaiTi" w:eastAsia="KaiTi" w:cs="KaiTi"/>
                <w:sz w:val="21"/>
                <w:szCs w:val="21"/>
                <w:spacing w:val="-40"/>
              </w:rPr>
              <w:t xml:space="preserve"> </w:t>
            </w:r>
            <w:r>
              <w:rPr>
                <w:rFonts w:ascii="Times New Roman" w:hAnsi="Times New Roman" w:eastAsia="Times New Roman" w:cs="Times New Roman"/>
                <w:sz w:val="21"/>
                <w:szCs w:val="21"/>
                <w:spacing w:val="-3"/>
              </w:rPr>
              <w:t>592</w:t>
            </w:r>
          </w:hyperlink>
        </w:p>
        <w:p>
          <w:pPr>
            <w:pStyle w:val="BodyText"/>
            <w:spacing w:line="339" w:lineRule="auto"/>
            <w:rPr/>
          </w:pPr>
          <w:r/>
        </w:p>
        <w:p>
          <w:pPr>
            <w:ind w:right="4"/>
            <w:spacing w:before="68" w:line="221" w:lineRule="auto"/>
            <w:jc w:val="right"/>
            <w:rPr>
              <w:rFonts w:ascii="SimHei" w:hAnsi="SimHei" w:eastAsia="SimHei" w:cs="SimHei"/>
              <w:sz w:val="21"/>
              <w:szCs w:val="21"/>
            </w:rPr>
          </w:pPr>
          <w:hyperlink w:history="true" w:anchor="bookmark618">
            <w:r>
              <w:rPr>
                <w:rFonts w:ascii="SimHei" w:hAnsi="SimHei" w:eastAsia="SimHei" w:cs="SimHei"/>
                <w:sz w:val="21"/>
                <w:szCs w:val="21"/>
                <w:spacing w:val="13"/>
              </w:rPr>
              <w:t>第四百八十九条</w:t>
            </w:r>
            <w:r>
              <w:rPr>
                <w:rFonts w:ascii="SimHei" w:hAnsi="SimHei" w:eastAsia="SimHei" w:cs="SimHei"/>
                <w:sz w:val="21"/>
                <w:szCs w:val="21"/>
                <w:spacing w:val="40"/>
              </w:rPr>
              <w:t xml:space="preserve"> </w:t>
            </w:r>
            <w:r>
              <w:rPr>
                <w:rFonts w:ascii="SimHei" w:hAnsi="SimHei" w:eastAsia="SimHei" w:cs="SimHei"/>
                <w:sz w:val="21"/>
                <w:szCs w:val="21"/>
                <w:spacing w:val="13"/>
              </w:rPr>
              <w:t>建设单位未对职业病危害预评价报告职业病防护设施设计、职业病危害控制效果评价报告进行评审或者组织职业病防</w:t>
            </w:r>
          </w:hyperlink>
        </w:p>
        <w:p>
          <w:pPr>
            <w:pStyle w:val="BodyText"/>
            <w:spacing w:line="348" w:lineRule="auto"/>
            <w:rPr/>
          </w:pPr>
          <w:r/>
        </w:p>
        <w:p>
          <w:pPr>
            <w:ind w:left="319"/>
            <w:spacing w:before="69" w:line="222" w:lineRule="auto"/>
            <w:tabs>
              <w:tab w:val="right" w:leader="dot" w:pos="13324"/>
            </w:tabs>
            <w:rPr>
              <w:rFonts w:ascii="Times New Roman" w:hAnsi="Times New Roman" w:eastAsia="Times New Roman" w:cs="Times New Roman"/>
              <w:sz w:val="21"/>
              <w:szCs w:val="21"/>
            </w:rPr>
          </w:pPr>
          <w:hyperlink w:history="true" w:anchor="bookmark619">
            <w:r>
              <w:rPr>
                <w:rFonts w:ascii="SimHei" w:hAnsi="SimHei" w:eastAsia="SimHei" w:cs="SimHei"/>
                <w:sz w:val="21"/>
                <w:szCs w:val="21"/>
                <w:spacing w:val="8"/>
              </w:rPr>
              <w:t>护设施验收的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40"/>
              </w:rPr>
              <w:t xml:space="preserve"> </w:t>
            </w:r>
            <w:r>
              <w:rPr>
                <w:rFonts w:ascii="Times New Roman" w:hAnsi="Times New Roman" w:eastAsia="Times New Roman" w:cs="Times New Roman"/>
                <w:sz w:val="21"/>
                <w:szCs w:val="21"/>
                <w:spacing w:val="-3"/>
              </w:rPr>
              <w:t>592</w:t>
            </w:r>
          </w:hyperlink>
        </w:p>
        <w:p>
          <w:pPr>
            <w:pStyle w:val="BodyText"/>
            <w:spacing w:line="445" w:lineRule="auto"/>
            <w:rPr/>
          </w:pPr>
          <w:r/>
        </w:p>
        <w:p>
          <w:pPr>
            <w:ind w:right="4"/>
            <w:spacing w:before="69" w:line="221" w:lineRule="auto"/>
            <w:jc w:val="right"/>
            <w:rPr>
              <w:rFonts w:ascii="SimHei" w:hAnsi="SimHei" w:eastAsia="SimHei" w:cs="SimHei"/>
              <w:sz w:val="21"/>
              <w:szCs w:val="21"/>
            </w:rPr>
          </w:pPr>
          <w:hyperlink w:history="true" w:anchor="bookmark620">
            <w:r>
              <w:rPr>
                <w:rFonts w:ascii="SimHei" w:hAnsi="SimHei" w:eastAsia="SimHei" w:cs="SimHei"/>
                <w:sz w:val="21"/>
                <w:szCs w:val="21"/>
                <w:spacing w:val="10"/>
              </w:rPr>
              <w:t>第四百九十条</w:t>
            </w:r>
            <w:r>
              <w:rPr>
                <w:rFonts w:ascii="SimHei" w:hAnsi="SimHei" w:eastAsia="SimHei" w:cs="SimHei"/>
                <w:sz w:val="21"/>
                <w:szCs w:val="21"/>
                <w:spacing w:val="10"/>
              </w:rPr>
              <w:t xml:space="preserve"> </w:t>
            </w:r>
            <w:r>
              <w:rPr>
                <w:rFonts w:ascii="SimHei" w:hAnsi="SimHei" w:eastAsia="SimHei" w:cs="SimHei"/>
                <w:sz w:val="21"/>
                <w:szCs w:val="21"/>
                <w:spacing w:val="10"/>
              </w:rPr>
              <w:t>建设单位职业病危害预评价、职业病防护设施设计、职业病危害控制效果评价或者职业病防护设施验收工作</w:t>
            </w:r>
            <w:r>
              <w:rPr>
                <w:rFonts w:ascii="SimHei" w:hAnsi="SimHei" w:eastAsia="SimHei" w:cs="SimHei"/>
                <w:sz w:val="21"/>
                <w:szCs w:val="21"/>
                <w:spacing w:val="9"/>
              </w:rPr>
              <w:t>过程未形成书</w:t>
            </w:r>
          </w:hyperlink>
        </w:p>
        <w:p>
          <w:pPr>
            <w:pStyle w:val="BodyText"/>
            <w:spacing w:line="291" w:lineRule="auto"/>
            <w:rPr/>
          </w:pPr>
          <w:r/>
        </w:p>
        <w:p>
          <w:pPr>
            <w:ind w:left="319"/>
            <w:spacing w:before="68" w:line="223" w:lineRule="auto"/>
            <w:tabs>
              <w:tab w:val="right" w:leader="dot" w:pos="13414"/>
            </w:tabs>
            <w:rPr>
              <w:rFonts w:ascii="Times New Roman" w:hAnsi="Times New Roman" w:eastAsia="Times New Roman" w:cs="Times New Roman"/>
              <w:sz w:val="21"/>
              <w:szCs w:val="21"/>
            </w:rPr>
          </w:pPr>
          <w:hyperlink w:history="true" w:anchor="bookmark621">
            <w:r>
              <w:rPr>
                <w:rFonts w:ascii="SimHei" w:hAnsi="SimHei" w:eastAsia="SimHei" w:cs="SimHei"/>
                <w:sz w:val="21"/>
                <w:szCs w:val="21"/>
                <w:spacing w:val="13"/>
              </w:rPr>
              <w:t>面报告备查的</w:t>
            </w:r>
            <w:r>
              <w:rPr>
                <w:rFonts w:ascii="SimHei" w:hAnsi="SimHei" w:eastAsia="SimHei" w:cs="SimHei"/>
                <w:sz w:val="21"/>
                <w:szCs w:val="21"/>
                <w:spacing w:val="-94"/>
              </w:rPr>
              <w:t xml:space="preserve"> </w:t>
            </w:r>
            <w:r>
              <w:rPr>
                <w:rFonts w:ascii="SimHei" w:hAnsi="SimHei" w:eastAsia="SimHei" w:cs="SimHei"/>
                <w:sz w:val="21"/>
                <w:szCs w:val="21"/>
              </w:rPr>
              <w:tab/>
            </w:r>
            <w:r>
              <w:rPr>
                <w:rFonts w:ascii="Times New Roman" w:hAnsi="Times New Roman" w:eastAsia="Times New Roman" w:cs="Times New Roman"/>
                <w:sz w:val="21"/>
                <w:szCs w:val="21"/>
                <w:spacing w:val="-2"/>
              </w:rPr>
              <w:t>593</w:t>
            </w:r>
          </w:hyperlink>
        </w:p>
        <w:p>
          <w:pPr>
            <w:pStyle w:val="BodyText"/>
            <w:spacing w:line="473" w:lineRule="auto"/>
            <w:rPr/>
          </w:pPr>
          <w:r/>
        </w:p>
        <w:p>
          <w:pPr>
            <w:ind w:right="18"/>
            <w:spacing w:before="69" w:line="213" w:lineRule="auto"/>
            <w:jc w:val="right"/>
            <w:rPr>
              <w:rFonts w:ascii="SimHei" w:hAnsi="SimHei" w:eastAsia="SimHei" w:cs="SimHei"/>
              <w:sz w:val="21"/>
              <w:szCs w:val="21"/>
            </w:rPr>
          </w:pPr>
          <w:hyperlink w:history="true" w:anchor="bookmark622">
            <w:r>
              <w:rPr>
                <w:rFonts w:ascii="SimHei" w:hAnsi="SimHei" w:eastAsia="SimHei" w:cs="SimHei"/>
                <w:sz w:val="21"/>
                <w:szCs w:val="21"/>
                <w:spacing w:val="17"/>
              </w:rPr>
              <w:t>第四百九十一条</w:t>
            </w:r>
            <w:r>
              <w:rPr>
                <w:rFonts w:ascii="SimHei" w:hAnsi="SimHei" w:eastAsia="SimHei" w:cs="SimHei"/>
                <w:sz w:val="21"/>
                <w:szCs w:val="21"/>
                <w:spacing w:val="43"/>
              </w:rPr>
              <w:t xml:space="preserve"> </w:t>
            </w:r>
            <w:r>
              <w:rPr>
                <w:rFonts w:ascii="SimHei" w:hAnsi="SimHei" w:eastAsia="SimHei" w:cs="SimHei"/>
                <w:sz w:val="21"/>
                <w:szCs w:val="21"/>
                <w:spacing w:val="17"/>
              </w:rPr>
              <w:t>建设单位建设项目的生产规模、工艺等发生变更导致职业病危害风险发生重大化，建设</w:t>
            </w:r>
            <w:r>
              <w:rPr>
                <w:rFonts w:ascii="SimHei" w:hAnsi="SimHei" w:eastAsia="SimHei" w:cs="SimHei"/>
                <w:sz w:val="21"/>
                <w:szCs w:val="21"/>
                <w:spacing w:val="16"/>
              </w:rPr>
              <w:t>单位对变更内容未重新进行</w:t>
            </w:r>
          </w:hyperlink>
        </w:p>
        <w:p>
          <w:pPr>
            <w:pStyle w:val="BodyText"/>
            <w:spacing w:line="327" w:lineRule="auto"/>
            <w:rPr/>
          </w:pPr>
          <w:r/>
        </w:p>
        <w:p>
          <w:pPr>
            <w:ind w:left="319"/>
            <w:spacing w:before="69" w:line="337" w:lineRule="exact"/>
            <w:tabs>
              <w:tab w:val="right" w:leader="dot" w:pos="13330"/>
            </w:tabs>
            <w:rPr>
              <w:rFonts w:ascii="SimHei" w:hAnsi="SimHei" w:eastAsia="SimHei" w:cs="SimHei"/>
              <w:sz w:val="21"/>
              <w:szCs w:val="21"/>
            </w:rPr>
          </w:pPr>
          <w:hyperlink w:history="true" w:anchor="bookmark623">
            <w:r>
              <w:rPr>
                <w:rFonts w:ascii="SimHei" w:hAnsi="SimHei" w:eastAsia="SimHei" w:cs="SimHei"/>
                <w:sz w:val="21"/>
                <w:szCs w:val="21"/>
                <w:spacing w:val="12"/>
                <w:position w:val="4"/>
              </w:rPr>
              <w:t>职业病危害预评价和评审的</w:t>
            </w:r>
            <w:r>
              <w:rPr>
                <w:rFonts w:ascii="SimHei" w:hAnsi="SimHei" w:eastAsia="SimHei" w:cs="SimHei"/>
                <w:sz w:val="21"/>
                <w:szCs w:val="21"/>
                <w:spacing w:val="-70"/>
                <w:position w:val="4"/>
              </w:rPr>
              <w:t xml:space="preserve"> </w:t>
            </w:r>
            <w:r>
              <w:rPr>
                <w:rFonts w:ascii="SimHei" w:hAnsi="SimHei" w:eastAsia="SimHei" w:cs="SimHei"/>
                <w:sz w:val="21"/>
                <w:szCs w:val="21"/>
                <w:position w:val="1"/>
              </w:rPr>
              <w:tab/>
            </w:r>
            <w:r>
              <w:rPr>
                <w:rFonts w:ascii="SimHei" w:hAnsi="SimHei" w:eastAsia="SimHei" w:cs="SimHei"/>
                <w:sz w:val="21"/>
                <w:szCs w:val="21"/>
                <w:spacing w:val="25"/>
                <w:position w:val="4"/>
              </w:rPr>
              <w:t xml:space="preserve"> </w:t>
            </w:r>
            <w:r>
              <w:rPr>
                <w:rFonts w:ascii="SimHei" w:hAnsi="SimHei" w:eastAsia="SimHei" w:cs="SimHei"/>
                <w:sz w:val="21"/>
                <w:szCs w:val="21"/>
                <w:spacing w:val="-1"/>
                <w:position w:val="-1"/>
              </w:rPr>
              <w:t>594</w:t>
            </w:r>
          </w:hyperlink>
        </w:p>
        <w:p>
          <w:pPr>
            <w:pStyle w:val="BodyText"/>
            <w:spacing w:line="410" w:lineRule="auto"/>
            <w:rPr/>
          </w:pPr>
          <w:r/>
        </w:p>
        <w:p>
          <w:pPr>
            <w:ind w:left="319"/>
            <w:spacing w:before="69" w:line="221" w:lineRule="auto"/>
            <w:tabs>
              <w:tab w:val="right" w:leader="dot" w:pos="13284"/>
            </w:tabs>
            <w:rPr>
              <w:rFonts w:ascii="Times New Roman" w:hAnsi="Times New Roman" w:eastAsia="Times New Roman" w:cs="Times New Roman"/>
              <w:sz w:val="21"/>
              <w:szCs w:val="21"/>
            </w:rPr>
          </w:pPr>
          <w:hyperlink w:history="true" w:anchor="bookmark624">
            <w:r>
              <w:rPr>
                <w:rFonts w:ascii="SimHei" w:hAnsi="SimHei" w:eastAsia="SimHei" w:cs="SimHei"/>
                <w:sz w:val="21"/>
                <w:szCs w:val="21"/>
                <w:spacing w:val="9"/>
              </w:rPr>
              <w:t>第四百九十二条</w:t>
            </w:r>
            <w:r>
              <w:rPr>
                <w:rFonts w:ascii="SimHei" w:hAnsi="SimHei" w:eastAsia="SimHei" w:cs="SimHei"/>
                <w:sz w:val="21"/>
                <w:szCs w:val="21"/>
                <w:spacing w:val="9"/>
              </w:rPr>
              <w:t xml:space="preserve"> </w:t>
            </w:r>
            <w:r>
              <w:rPr>
                <w:rFonts w:ascii="SimHei" w:hAnsi="SimHei" w:eastAsia="SimHei" w:cs="SimHei"/>
                <w:sz w:val="21"/>
                <w:szCs w:val="21"/>
                <w:spacing w:val="9"/>
              </w:rPr>
              <w:t>建设单位需要试运行的职业病防护设施未与主体工程同时试运行的</w:t>
            </w:r>
            <w:r>
              <w:rPr>
                <w:rFonts w:ascii="SimHei" w:hAnsi="SimHei" w:eastAsia="SimHei" w:cs="SimHei"/>
                <w:sz w:val="21"/>
                <w:szCs w:val="21"/>
                <w:spacing w:val="-94"/>
              </w:rPr>
              <w:t xml:space="preserve"> </w:t>
            </w:r>
            <w:r>
              <w:rPr>
                <w:rFonts w:ascii="SimHei" w:hAnsi="SimHei" w:eastAsia="SimHei" w:cs="SimHei"/>
                <w:sz w:val="21"/>
                <w:szCs w:val="21"/>
              </w:rPr>
              <w:tab/>
            </w:r>
            <w:r>
              <w:rPr>
                <w:rFonts w:ascii="SimHei" w:hAnsi="SimHei" w:eastAsia="SimHei" w:cs="SimHei"/>
                <w:sz w:val="21"/>
                <w:szCs w:val="21"/>
                <w:spacing w:val="-50"/>
              </w:rPr>
              <w:t xml:space="preserve"> </w:t>
            </w:r>
            <w:r>
              <w:rPr>
                <w:rFonts w:ascii="Times New Roman" w:hAnsi="Times New Roman" w:eastAsia="Times New Roman" w:cs="Times New Roman"/>
                <w:sz w:val="21"/>
                <w:szCs w:val="21"/>
                <w:spacing w:val="-3"/>
              </w:rPr>
              <w:t>595</w:t>
            </w:r>
          </w:hyperlink>
        </w:p>
      </w:sdtContent>
    </w:sdt>
    <w:p>
      <w:pPr>
        <w:spacing w:line="221" w:lineRule="auto"/>
        <w:sectPr>
          <w:footerReference w:type="default" r:id="rId59"/>
          <w:pgSz w:w="16830" w:h="11900"/>
          <w:pgMar w:top="1011" w:right="1425" w:bottom="1134" w:left="1989" w:header="0" w:footer="792" w:gutter="0"/>
        </w:sectPr>
        <w:rPr>
          <w:rFonts w:ascii="Times New Roman" w:hAnsi="Times New Roman" w:eastAsia="Times New Roman" w:cs="Times New Roman"/>
          <w:sz w:val="21"/>
          <w:szCs w:val="21"/>
        </w:rPr>
      </w:pPr>
    </w:p>
    <w:p>
      <w:pPr>
        <w:pStyle w:val="BodyText"/>
        <w:spacing w:line="310" w:lineRule="auto"/>
        <w:rPr/>
      </w:pPr>
      <w:r/>
    </w:p>
    <w:p>
      <w:pPr>
        <w:pStyle w:val="BodyText"/>
        <w:spacing w:line="310" w:lineRule="auto"/>
        <w:rPr/>
      </w:pPr>
      <w:r/>
    </w:p>
    <w:p>
      <w:pPr>
        <w:pStyle w:val="BodyText"/>
        <w:spacing w:line="310" w:lineRule="auto"/>
        <w:rPr/>
      </w:pPr>
      <w:r/>
    </w:p>
    <w:p>
      <w:pPr>
        <w:ind w:left="329" w:right="3"/>
        <w:spacing w:before="68" w:line="435" w:lineRule="auto"/>
        <w:rPr>
          <w:rFonts w:ascii="SimHei" w:hAnsi="SimHei" w:eastAsia="SimHei" w:cs="SimHei"/>
          <w:sz w:val="21"/>
          <w:szCs w:val="21"/>
        </w:rPr>
      </w:pPr>
      <w:bookmarkStart w:name="bookmark625" w:id="14"/>
      <w:bookmarkEnd w:id="14"/>
      <w:r>
        <w:rPr>
          <w:rFonts w:ascii="SimHei" w:hAnsi="SimHei" w:eastAsia="SimHei" w:cs="SimHei"/>
          <w:sz w:val="21"/>
          <w:szCs w:val="21"/>
          <w:spacing w:val="12"/>
        </w:rPr>
        <w:t>第四百九十三条</w:t>
      </w:r>
      <w:r>
        <w:rPr>
          <w:rFonts w:ascii="SimHei" w:hAnsi="SimHei" w:eastAsia="SimHei" w:cs="SimHei"/>
          <w:sz w:val="21"/>
          <w:szCs w:val="21"/>
          <w:spacing w:val="12"/>
        </w:rPr>
        <w:t xml:space="preserve"> </w:t>
      </w:r>
      <w:r>
        <w:rPr>
          <w:rFonts w:ascii="SimHei" w:hAnsi="SimHei" w:eastAsia="SimHei" w:cs="SimHei"/>
          <w:sz w:val="21"/>
          <w:szCs w:val="21"/>
          <w:spacing w:val="12"/>
        </w:rPr>
        <w:t>建设单位未按照《建设项目职业病防护设施“三同时”监督管理办法》第八条</w:t>
      </w:r>
      <w:r>
        <w:rPr>
          <w:rFonts w:ascii="SimHei" w:hAnsi="SimHei" w:eastAsia="SimHei" w:cs="SimHei"/>
          <w:sz w:val="21"/>
          <w:szCs w:val="21"/>
          <w:spacing w:val="11"/>
        </w:rPr>
        <w:t>规定公布有关信息(除国家保密的建设项</w:t>
      </w:r>
      <w:r>
        <w:rPr>
          <w:rFonts w:ascii="SimHei" w:hAnsi="SimHei" w:eastAsia="SimHei" w:cs="SimHei"/>
          <w:sz w:val="21"/>
          <w:szCs w:val="21"/>
        </w:rPr>
        <w:t xml:space="preserve"> </w:t>
      </w:r>
      <w:r>
        <w:rPr>
          <w:rFonts w:ascii="SimHei" w:hAnsi="SimHei" w:eastAsia="SimHei" w:cs="SimHei"/>
          <w:sz w:val="21"/>
          <w:szCs w:val="21"/>
          <w:spacing w:val="9"/>
        </w:rPr>
        <w:t>目外，产生职业病危害的建设单位应当通过公告栏、网站等方式及时公布建设项目职业病危害预评价、职业病防护设施设计、职业病危</w:t>
      </w:r>
      <w:r>
        <w:rPr>
          <w:rFonts w:ascii="SimHei" w:hAnsi="SimHei" w:eastAsia="SimHei" w:cs="SimHei"/>
          <w:sz w:val="21"/>
          <w:szCs w:val="21"/>
          <w:spacing w:val="6"/>
        </w:rPr>
        <w:t xml:space="preserve">  </w:t>
      </w:r>
      <w:r>
        <w:rPr>
          <w:rFonts w:ascii="SimHei" w:hAnsi="SimHei" w:eastAsia="SimHei" w:cs="SimHei"/>
          <w:sz w:val="21"/>
          <w:szCs w:val="21"/>
          <w:spacing w:val="15"/>
        </w:rPr>
        <w:t>害控制效果评价的承担单位、评价结论、评审时间及评审意见，以及职业病防护设施验收时间、验收方案和验收</w:t>
      </w:r>
      <w:r>
        <w:rPr>
          <w:rFonts w:ascii="SimHei" w:hAnsi="SimHei" w:eastAsia="SimHei" w:cs="SimHei"/>
          <w:sz w:val="21"/>
          <w:szCs w:val="21"/>
          <w:spacing w:val="14"/>
        </w:rPr>
        <w:t>意见等信息)的..596</w:t>
      </w:r>
    </w:p>
    <w:p>
      <w:pPr>
        <w:pStyle w:val="BodyText"/>
        <w:spacing w:line="257" w:lineRule="auto"/>
        <w:rPr/>
      </w:pPr>
      <w:r/>
    </w:p>
    <w:p>
      <w:pPr>
        <w:pStyle w:val="BodyText"/>
        <w:spacing w:line="258" w:lineRule="auto"/>
        <w:rPr/>
      </w:pPr>
      <w:r/>
    </w:p>
    <w:p>
      <w:pPr>
        <w:ind w:right="8"/>
        <w:spacing w:before="68" w:line="221" w:lineRule="auto"/>
        <w:jc w:val="right"/>
        <w:rPr>
          <w:rFonts w:ascii="SimHei" w:hAnsi="SimHei" w:eastAsia="SimHei" w:cs="SimHei"/>
          <w:sz w:val="21"/>
          <w:szCs w:val="21"/>
        </w:rPr>
      </w:pPr>
      <w:r>
        <w:rPr>
          <w:rFonts w:ascii="SimHei" w:hAnsi="SimHei" w:eastAsia="SimHei" w:cs="SimHei"/>
          <w:sz w:val="21"/>
          <w:szCs w:val="21"/>
          <w:spacing w:val="10"/>
        </w:rPr>
        <w:t>第四百九十四条</w:t>
      </w:r>
      <w:r>
        <w:rPr>
          <w:rFonts w:ascii="SimHei" w:hAnsi="SimHei" w:eastAsia="SimHei" w:cs="SimHei"/>
          <w:sz w:val="21"/>
          <w:szCs w:val="21"/>
          <w:spacing w:val="10"/>
        </w:rPr>
        <w:t xml:space="preserve"> </w:t>
      </w:r>
      <w:r>
        <w:rPr>
          <w:rFonts w:ascii="SimHei" w:hAnsi="SimHei" w:eastAsia="SimHei" w:cs="SimHei"/>
          <w:sz w:val="21"/>
          <w:szCs w:val="21"/>
          <w:spacing w:val="10"/>
        </w:rPr>
        <w:t>建设单位在职业病危害预评价报告、职业病防护设施设计、职业病危害控制效果评价报告编制、评审</w:t>
      </w:r>
      <w:r>
        <w:rPr>
          <w:rFonts w:ascii="SimHei" w:hAnsi="SimHei" w:eastAsia="SimHei" w:cs="SimHei"/>
          <w:sz w:val="21"/>
          <w:szCs w:val="21"/>
          <w:spacing w:val="9"/>
        </w:rPr>
        <w:t>以及职业病防护设</w:t>
      </w:r>
    </w:p>
    <w:p>
      <w:pPr>
        <w:pStyle w:val="BodyText"/>
        <w:spacing w:line="299"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310"/>
            <w:spacing w:before="68" w:line="222" w:lineRule="auto"/>
            <w:tabs>
              <w:tab w:val="right" w:leader="dot" w:pos="13216"/>
            </w:tabs>
            <w:rPr>
              <w:rFonts w:ascii="SimHei" w:hAnsi="SimHei" w:eastAsia="SimHei" w:cs="SimHei"/>
              <w:sz w:val="12"/>
              <w:szCs w:val="12"/>
            </w:rPr>
          </w:pPr>
          <w:hyperlink w:history="true" w:anchor="bookmark626">
            <w:r>
              <w:rPr>
                <w:rFonts w:ascii="SimHei" w:hAnsi="SimHei" w:eastAsia="SimHei" w:cs="SimHei"/>
                <w:sz w:val="21"/>
                <w:szCs w:val="21"/>
                <w:spacing w:val="11"/>
              </w:rPr>
              <w:t>施验收等过程中弄虚作假的</w:t>
            </w:r>
            <w:r>
              <w:rPr>
                <w:rFonts w:ascii="SimHei" w:hAnsi="SimHei" w:eastAsia="SimHei" w:cs="SimHei"/>
                <w:sz w:val="21"/>
                <w:szCs w:val="21"/>
                <w:spacing w:val="11"/>
              </w:rPr>
              <w:t xml:space="preserve"> </w:t>
            </w:r>
            <w:r>
              <w:rPr>
                <w:rFonts w:ascii="SimHei" w:hAnsi="SimHei" w:eastAsia="SimHei" w:cs="SimHei"/>
                <w:sz w:val="21"/>
                <w:szCs w:val="21"/>
              </w:rPr>
              <w:tab/>
            </w:r>
            <w:r>
              <w:rPr>
                <w:rFonts w:ascii="SimHei" w:hAnsi="SimHei" w:eastAsia="SimHei" w:cs="SimHei"/>
                <w:sz w:val="21"/>
                <w:szCs w:val="21"/>
                <w:spacing w:val="-33"/>
              </w:rPr>
              <w:t xml:space="preserve"> </w:t>
            </w:r>
            <w:r>
              <w:rPr>
                <w:rFonts w:ascii="SimHei" w:hAnsi="SimHei" w:eastAsia="SimHei" w:cs="SimHei"/>
                <w:sz w:val="12"/>
                <w:szCs w:val="12"/>
                <w:spacing w:val="-1"/>
              </w:rPr>
              <w:t>597</w:t>
            </w:r>
          </w:hyperlink>
        </w:p>
        <w:p>
          <w:pPr>
            <w:pStyle w:val="BodyText"/>
            <w:spacing w:line="248" w:lineRule="auto"/>
            <w:rPr/>
          </w:pPr>
          <w:r/>
        </w:p>
        <w:p>
          <w:pPr>
            <w:pStyle w:val="BodyText"/>
            <w:spacing w:line="248" w:lineRule="auto"/>
            <w:rPr/>
          </w:pPr>
          <w:r/>
        </w:p>
        <w:p>
          <w:pPr>
            <w:spacing w:before="68" w:line="213" w:lineRule="auto"/>
            <w:jc w:val="right"/>
            <w:rPr>
              <w:rFonts w:ascii="SimHei" w:hAnsi="SimHei" w:eastAsia="SimHei" w:cs="SimHei"/>
              <w:sz w:val="21"/>
              <w:szCs w:val="21"/>
            </w:rPr>
          </w:pPr>
          <w:hyperlink w:history="true" w:anchor="bookmark627">
            <w:r>
              <w:rPr>
                <w:rFonts w:ascii="SimHei" w:hAnsi="SimHei" w:eastAsia="SimHei" w:cs="SimHei"/>
                <w:sz w:val="21"/>
                <w:szCs w:val="21"/>
                <w:spacing w:val="10"/>
              </w:rPr>
              <w:t>第四百九十五条</w:t>
            </w:r>
            <w:r>
              <w:rPr>
                <w:rFonts w:ascii="SimHei" w:hAnsi="SimHei" w:eastAsia="SimHei" w:cs="SimHei"/>
                <w:sz w:val="21"/>
                <w:szCs w:val="21"/>
                <w:spacing w:val="10"/>
              </w:rPr>
              <w:t xml:space="preserve"> </w:t>
            </w:r>
            <w:r>
              <w:rPr>
                <w:rFonts w:ascii="SimHei" w:hAnsi="SimHei" w:eastAsia="SimHei" w:cs="SimHei"/>
                <w:sz w:val="21"/>
                <w:szCs w:val="21"/>
                <w:spacing w:val="10"/>
              </w:rPr>
              <w:t>建设单位未按照规定及时、如实报告建设项目职业病防护设施验收方案，或者职业病危害严重建设项目未提交职业病危</w:t>
            </w:r>
          </w:hyperlink>
        </w:p>
        <w:p>
          <w:pPr>
            <w:pStyle w:val="BodyText"/>
            <w:spacing w:line="346" w:lineRule="auto"/>
            <w:rPr/>
          </w:pPr>
          <w:r/>
        </w:p>
        <w:p>
          <w:pPr>
            <w:ind w:left="310"/>
            <w:spacing w:before="68" w:line="221" w:lineRule="auto"/>
            <w:tabs>
              <w:tab w:val="right" w:leader="dot" w:pos="13400"/>
            </w:tabs>
            <w:rPr>
              <w:rFonts w:ascii="Times New Roman" w:hAnsi="Times New Roman" w:eastAsia="Times New Roman" w:cs="Times New Roman"/>
              <w:sz w:val="21"/>
              <w:szCs w:val="21"/>
            </w:rPr>
          </w:pPr>
          <w:hyperlink w:history="true" w:anchor="bookmark628">
            <w:r>
              <w:rPr>
                <w:rFonts w:ascii="SimHei" w:hAnsi="SimHei" w:eastAsia="SimHei" w:cs="SimHei"/>
                <w:sz w:val="21"/>
                <w:szCs w:val="21"/>
                <w:spacing w:val="9"/>
              </w:rPr>
              <w:t>害控制效果评价与职业病防护设施验收的书面报告的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5"/>
              </w:rPr>
              <w:t>598</w:t>
            </w:r>
          </w:hyperlink>
        </w:p>
        <w:p>
          <w:pPr>
            <w:pStyle w:val="BodyText"/>
            <w:spacing w:line="295" w:lineRule="auto"/>
            <w:rPr/>
          </w:pPr>
          <w:r/>
        </w:p>
        <w:p>
          <w:pPr>
            <w:spacing w:before="69" w:line="223" w:lineRule="auto"/>
            <w:tabs>
              <w:tab w:val="right" w:leader="dot" w:pos="13354"/>
            </w:tabs>
            <w:rPr>
              <w:rFonts w:ascii="Times New Roman" w:hAnsi="Times New Roman" w:eastAsia="Times New Roman" w:cs="Times New Roman"/>
              <w:sz w:val="21"/>
              <w:szCs w:val="21"/>
            </w:rPr>
          </w:pPr>
          <w:hyperlink w:history="true" w:anchor="bookmark629">
            <w:r>
              <w:rPr>
                <w:rFonts w:ascii="KaiTi" w:hAnsi="KaiTi" w:eastAsia="KaiTi" w:cs="KaiTi"/>
                <w:sz w:val="21"/>
                <w:szCs w:val="21"/>
                <w:spacing w:val="-2"/>
              </w:rPr>
              <w:t>(</w:t>
            </w:r>
            <w:r>
              <w:rPr>
                <w:rFonts w:ascii="KaiTi" w:hAnsi="KaiTi" w:eastAsia="KaiTi" w:cs="KaiTi"/>
                <w:sz w:val="21"/>
                <w:szCs w:val="21"/>
                <w:spacing w:val="-26"/>
              </w:rPr>
              <w:t xml:space="preserve"> </w:t>
            </w:r>
            <w:r>
              <w:rPr>
                <w:rFonts w:ascii="KaiTi" w:hAnsi="KaiTi" w:eastAsia="KaiTi" w:cs="KaiTi"/>
                <w:sz w:val="21"/>
                <w:szCs w:val="21"/>
                <w:spacing w:val="-2"/>
              </w:rPr>
              <w:t>三</w:t>
            </w:r>
            <w:r>
              <w:rPr>
                <w:rFonts w:ascii="KaiTi" w:hAnsi="KaiTi" w:eastAsia="KaiTi" w:cs="KaiTi"/>
                <w:sz w:val="21"/>
                <w:szCs w:val="21"/>
                <w:spacing w:val="-27"/>
              </w:rPr>
              <w:t xml:space="preserve"> </w:t>
            </w:r>
            <w:r>
              <w:rPr>
                <w:rFonts w:ascii="KaiTi" w:hAnsi="KaiTi" w:eastAsia="KaiTi" w:cs="KaiTi"/>
                <w:sz w:val="21"/>
                <w:szCs w:val="21"/>
                <w:spacing w:val="-2"/>
              </w:rPr>
              <w:t>)</w:t>
            </w:r>
            <w:r>
              <w:rPr>
                <w:rFonts w:ascii="KaiTi" w:hAnsi="KaiTi" w:eastAsia="KaiTi" w:cs="KaiTi"/>
                <w:sz w:val="21"/>
                <w:szCs w:val="21"/>
                <w:spacing w:val="-2"/>
              </w:rPr>
              <w:t xml:space="preserve"> </w:t>
            </w:r>
            <w:r>
              <w:rPr>
                <w:rFonts w:ascii="KaiTi" w:hAnsi="KaiTi" w:eastAsia="KaiTi" w:cs="KaiTi"/>
                <w:sz w:val="21"/>
                <w:szCs w:val="21"/>
                <w:spacing w:val="-2"/>
              </w:rPr>
              <w:t>《使用有毒物品作业场所劳动保护条例》</w:t>
            </w:r>
            <w:r>
              <w:rPr>
                <w:rFonts w:ascii="KaiTi" w:hAnsi="KaiTi" w:eastAsia="KaiTi" w:cs="KaiTi"/>
                <w:sz w:val="21"/>
                <w:szCs w:val="21"/>
                <w:spacing w:val="-74"/>
              </w:rPr>
              <w:t xml:space="preserve"> </w:t>
            </w:r>
            <w:r>
              <w:rPr>
                <w:rFonts w:ascii="KaiTi" w:hAnsi="KaiTi" w:eastAsia="KaiTi" w:cs="KaiTi"/>
                <w:sz w:val="21"/>
                <w:szCs w:val="21"/>
              </w:rPr>
              <w:tab/>
            </w:r>
            <w:r>
              <w:rPr>
                <w:rFonts w:ascii="Times New Roman" w:hAnsi="Times New Roman" w:eastAsia="Times New Roman" w:cs="Times New Roman"/>
                <w:sz w:val="21"/>
                <w:szCs w:val="21"/>
                <w:spacing w:val="1"/>
              </w:rPr>
              <w:t>599</w:t>
            </w:r>
          </w:hyperlink>
        </w:p>
        <w:p>
          <w:pPr>
            <w:pStyle w:val="BodyText"/>
            <w:spacing w:line="339" w:lineRule="auto"/>
            <w:rPr/>
          </w:pPr>
          <w:r/>
        </w:p>
        <w:p>
          <w:pPr>
            <w:ind w:left="310"/>
            <w:spacing w:before="69" w:line="222" w:lineRule="auto"/>
            <w:tabs>
              <w:tab w:val="right" w:leader="dot" w:pos="13254"/>
            </w:tabs>
            <w:rPr>
              <w:rFonts w:ascii="Times New Roman" w:hAnsi="Times New Roman" w:eastAsia="Times New Roman" w:cs="Times New Roman"/>
              <w:sz w:val="21"/>
              <w:szCs w:val="21"/>
            </w:rPr>
          </w:pPr>
          <w:hyperlink w:history="true" w:anchor="bookmark630">
            <w:r>
              <w:rPr>
                <w:rFonts w:ascii="SimHei" w:hAnsi="SimHei" w:eastAsia="SimHei" w:cs="SimHei"/>
                <w:sz w:val="21"/>
                <w:szCs w:val="21"/>
                <w:spacing w:val="8"/>
              </w:rPr>
              <w:t>第四百九十六条</w:t>
            </w:r>
            <w:r>
              <w:rPr>
                <w:rFonts w:ascii="SimHei" w:hAnsi="SimHei" w:eastAsia="SimHei" w:cs="SimHei"/>
                <w:sz w:val="21"/>
                <w:szCs w:val="21"/>
                <w:spacing w:val="8"/>
              </w:rPr>
              <w:t xml:space="preserve"> </w:t>
            </w:r>
            <w:r>
              <w:rPr>
                <w:rFonts w:ascii="SimHei" w:hAnsi="SimHei" w:eastAsia="SimHei" w:cs="SimHei"/>
                <w:sz w:val="21"/>
                <w:szCs w:val="21"/>
                <w:spacing w:val="8"/>
              </w:rPr>
              <w:t>用人单位未按照规定实行有害作业与无害作业分开、工作场所与生活场所分开的</w:t>
            </w:r>
            <w:r>
              <w:rPr>
                <w:rFonts w:ascii="SimHei" w:hAnsi="SimHei" w:eastAsia="SimHei" w:cs="SimHei"/>
                <w:sz w:val="21"/>
                <w:szCs w:val="21"/>
                <w:spacing w:val="-76"/>
              </w:rPr>
              <w:t xml:space="preserve"> </w:t>
            </w:r>
            <w:r>
              <w:rPr>
                <w:rFonts w:ascii="SimHei" w:hAnsi="SimHei" w:eastAsia="SimHei" w:cs="SimHei"/>
                <w:sz w:val="21"/>
                <w:szCs w:val="21"/>
              </w:rPr>
              <w:tab/>
            </w:r>
            <w:r>
              <w:rPr>
                <w:rFonts w:ascii="Times New Roman" w:hAnsi="Times New Roman" w:eastAsia="Times New Roman" w:cs="Times New Roman"/>
                <w:sz w:val="21"/>
                <w:szCs w:val="21"/>
                <w:spacing w:val="-2"/>
              </w:rPr>
              <w:t>599</w:t>
            </w:r>
          </w:hyperlink>
        </w:p>
        <w:p>
          <w:pPr>
            <w:pStyle w:val="BodyText"/>
            <w:spacing w:line="252" w:lineRule="auto"/>
            <w:rPr/>
          </w:pPr>
          <w:r/>
        </w:p>
        <w:p>
          <w:pPr>
            <w:pStyle w:val="BodyText"/>
            <w:spacing w:line="253" w:lineRule="auto"/>
            <w:rPr/>
          </w:pPr>
          <w:r/>
        </w:p>
        <w:p>
          <w:pPr>
            <w:ind w:left="310"/>
            <w:spacing w:before="69" w:line="221" w:lineRule="auto"/>
            <w:tabs>
              <w:tab w:val="right" w:leader="dot" w:pos="13235"/>
            </w:tabs>
            <w:rPr>
              <w:rFonts w:ascii="Times New Roman" w:hAnsi="Times New Roman" w:eastAsia="Times New Roman" w:cs="Times New Roman"/>
              <w:sz w:val="21"/>
              <w:szCs w:val="21"/>
            </w:rPr>
          </w:pPr>
          <w:hyperlink w:history="true" w:anchor="bookmark631">
            <w:r>
              <w:rPr>
                <w:rFonts w:ascii="SimHei" w:hAnsi="SimHei" w:eastAsia="SimHei" w:cs="SimHei"/>
                <w:sz w:val="21"/>
                <w:szCs w:val="21"/>
                <w:spacing w:val="12"/>
              </w:rPr>
              <w:t>第四百九十七条</w:t>
            </w:r>
            <w:r>
              <w:rPr>
                <w:rFonts w:ascii="SimHei" w:hAnsi="SimHei" w:eastAsia="SimHei" w:cs="SimHei"/>
                <w:sz w:val="21"/>
                <w:szCs w:val="21"/>
                <w:spacing w:val="50"/>
              </w:rPr>
              <w:t xml:space="preserve"> </w:t>
            </w:r>
            <w:r>
              <w:rPr>
                <w:rFonts w:ascii="SimHei" w:hAnsi="SimHei" w:eastAsia="SimHei" w:cs="SimHei"/>
                <w:sz w:val="21"/>
                <w:szCs w:val="21"/>
                <w:spacing w:val="12"/>
              </w:rPr>
              <w:t>高毒作业场所未与其他作业场所有效隔离的</w:t>
            </w:r>
            <w:r>
              <w:rPr>
                <w:rFonts w:ascii="SimHei" w:hAnsi="SimHei" w:eastAsia="SimHei" w:cs="SimHei"/>
                <w:sz w:val="21"/>
                <w:szCs w:val="21"/>
                <w:spacing w:val="-94"/>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600</w:t>
            </w:r>
          </w:hyperlink>
        </w:p>
        <w:p>
          <w:pPr>
            <w:pStyle w:val="BodyText"/>
            <w:spacing w:line="247" w:lineRule="auto"/>
            <w:rPr/>
          </w:pPr>
          <w:r/>
        </w:p>
        <w:p>
          <w:pPr>
            <w:pStyle w:val="BodyText"/>
            <w:spacing w:line="247" w:lineRule="auto"/>
            <w:rPr/>
          </w:pPr>
          <w:r/>
        </w:p>
        <w:p>
          <w:pPr>
            <w:ind w:right="9"/>
            <w:spacing w:before="69" w:line="222" w:lineRule="auto"/>
            <w:jc w:val="right"/>
            <w:rPr>
              <w:rFonts w:ascii="SimHei" w:hAnsi="SimHei" w:eastAsia="SimHei" w:cs="SimHei"/>
              <w:sz w:val="21"/>
              <w:szCs w:val="21"/>
            </w:rPr>
          </w:pPr>
          <w:hyperlink w:history="true" w:anchor="bookmark632">
            <w:r>
              <w:rPr>
                <w:rFonts w:ascii="SimHei" w:hAnsi="SimHei" w:eastAsia="SimHei" w:cs="SimHei"/>
                <w:sz w:val="21"/>
                <w:szCs w:val="21"/>
                <w:b/>
                <w:bCs/>
                <w:spacing w:val="8"/>
              </w:rPr>
              <w:t>第四百九十八条</w:t>
            </w:r>
            <w:r>
              <w:rPr>
                <w:rFonts w:ascii="SimHei" w:hAnsi="SimHei" w:eastAsia="SimHei" w:cs="SimHei"/>
                <w:sz w:val="21"/>
                <w:szCs w:val="21"/>
                <w:spacing w:val="8"/>
              </w:rPr>
              <w:t xml:space="preserve"> </w:t>
            </w:r>
            <w:r>
              <w:rPr>
                <w:rFonts w:ascii="SimHei" w:hAnsi="SimHei" w:eastAsia="SimHei" w:cs="SimHei"/>
                <w:sz w:val="21"/>
                <w:szCs w:val="21"/>
                <w:b/>
                <w:bCs/>
                <w:spacing w:val="8"/>
              </w:rPr>
              <w:t>用人单位未为从事使用高毒物品作业的劳动者</w:t>
            </w:r>
            <w:r>
              <w:rPr>
                <w:rFonts w:ascii="SimHei" w:hAnsi="SimHei" w:eastAsia="SimHei" w:cs="SimHei"/>
                <w:sz w:val="21"/>
                <w:szCs w:val="21"/>
                <w:b/>
                <w:bCs/>
                <w:spacing w:val="7"/>
              </w:rPr>
              <w:t>设置淋浴间、更衣室或者未设置清洗、存放和处理工作服、工作鞋帽等物</w:t>
            </w:r>
          </w:hyperlink>
        </w:p>
        <w:p>
          <w:pPr>
            <w:pStyle w:val="BodyText"/>
            <w:spacing w:line="297" w:lineRule="auto"/>
            <w:rPr/>
          </w:pPr>
          <w:r/>
        </w:p>
        <w:p>
          <w:pPr>
            <w:ind w:left="313"/>
            <w:spacing w:before="69" w:line="213" w:lineRule="auto"/>
            <w:tabs>
              <w:tab w:val="right" w:leader="dot" w:pos="13406"/>
            </w:tabs>
            <w:rPr>
              <w:rFonts w:ascii="Times New Roman" w:hAnsi="Times New Roman" w:eastAsia="Times New Roman" w:cs="Times New Roman"/>
              <w:sz w:val="21"/>
              <w:szCs w:val="21"/>
            </w:rPr>
          </w:pPr>
          <w:hyperlink w:history="true" w:anchor="bookmark633">
            <w:r>
              <w:rPr>
                <w:rFonts w:ascii="SimHei" w:hAnsi="SimHei" w:eastAsia="SimHei" w:cs="SimHei"/>
                <w:sz w:val="21"/>
                <w:szCs w:val="21"/>
                <w:b/>
                <w:bCs/>
                <w:spacing w:val="7"/>
              </w:rPr>
              <w:t>品的专用间，或者不能正常使用的</w:t>
            </w:r>
            <w:r>
              <w:rPr>
                <w:rFonts w:ascii="SimHei" w:hAnsi="SimHei" w:eastAsia="SimHei" w:cs="SimHei"/>
                <w:sz w:val="21"/>
                <w:szCs w:val="21"/>
                <w:spacing w:val="-78"/>
              </w:rPr>
              <w:t xml:space="preserve"> </w:t>
            </w:r>
            <w:r>
              <w:rPr>
                <w:rFonts w:ascii="SimHei" w:hAnsi="SimHei" w:eastAsia="SimHei" w:cs="SimHei"/>
                <w:sz w:val="21"/>
                <w:szCs w:val="21"/>
              </w:rPr>
              <w:tab/>
            </w:r>
            <w:r>
              <w:rPr>
                <w:rFonts w:ascii="SimHei" w:hAnsi="SimHei" w:eastAsia="SimHei" w:cs="SimHei"/>
                <w:sz w:val="21"/>
                <w:szCs w:val="21"/>
                <w:spacing w:val="-68"/>
              </w:rPr>
              <w:t xml:space="preserve"> </w:t>
            </w:r>
            <w:r>
              <w:rPr>
                <w:rFonts w:ascii="Times New Roman" w:hAnsi="Times New Roman" w:eastAsia="Times New Roman" w:cs="Times New Roman"/>
                <w:sz w:val="21"/>
                <w:szCs w:val="21"/>
                <w:b/>
                <w:bCs/>
                <w:spacing w:val="-2"/>
              </w:rPr>
              <w:t>601</w:t>
            </w:r>
          </w:hyperlink>
        </w:p>
      </w:sdtContent>
    </w:sdt>
    <w:p>
      <w:pPr>
        <w:spacing w:line="213" w:lineRule="auto"/>
        <w:sectPr>
          <w:footerReference w:type="default" r:id="rId60"/>
          <w:pgSz w:w="16830" w:h="11900"/>
          <w:pgMar w:top="1011" w:right="1423" w:bottom="1138" w:left="1980" w:header="0" w:footer="778" w:gutter="0"/>
        </w:sectPr>
        <w:rPr>
          <w:rFonts w:ascii="Times New Roman" w:hAnsi="Times New Roman" w:eastAsia="Times New Roman" w:cs="Times New Roman"/>
          <w:sz w:val="21"/>
          <w:szCs w:val="21"/>
        </w:rPr>
      </w:pPr>
    </w:p>
    <w:p>
      <w:pPr>
        <w:pStyle w:val="BodyText"/>
        <w:spacing w:line="310" w:lineRule="auto"/>
        <w:rPr/>
      </w:pPr>
      <w:r/>
    </w:p>
    <w:p>
      <w:pPr>
        <w:pStyle w:val="BodyText"/>
        <w:spacing w:line="310" w:lineRule="auto"/>
        <w:rPr/>
      </w:pPr>
      <w:r/>
    </w:p>
    <w:p>
      <w:pPr>
        <w:pStyle w:val="BodyText"/>
        <w:spacing w:line="311"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300"/>
            <w:spacing w:before="68" w:line="222" w:lineRule="auto"/>
            <w:tabs>
              <w:tab w:val="right" w:leader="dot" w:pos="13345"/>
            </w:tabs>
            <w:rPr>
              <w:rFonts w:ascii="Times New Roman" w:hAnsi="Times New Roman" w:eastAsia="Times New Roman" w:cs="Times New Roman"/>
              <w:sz w:val="21"/>
              <w:szCs w:val="21"/>
            </w:rPr>
          </w:pPr>
          <w:hyperlink w:history="true" w:anchor="bookmark634">
            <w:r>
              <w:rPr>
                <w:rFonts w:ascii="SimHei" w:hAnsi="SimHei" w:eastAsia="SimHei" w:cs="SimHei"/>
                <w:sz w:val="21"/>
                <w:szCs w:val="21"/>
                <w:spacing w:val="9"/>
              </w:rPr>
              <w:t>第四百九十九条</w:t>
            </w:r>
            <w:r>
              <w:rPr>
                <w:rFonts w:ascii="SimHei" w:hAnsi="SimHei" w:eastAsia="SimHei" w:cs="SimHei"/>
                <w:sz w:val="21"/>
                <w:szCs w:val="21"/>
                <w:spacing w:val="9"/>
              </w:rPr>
              <w:t xml:space="preserve"> </w:t>
            </w:r>
            <w:r>
              <w:rPr>
                <w:rFonts w:ascii="SimHei" w:hAnsi="SimHei" w:eastAsia="SimHei" w:cs="SimHei"/>
                <w:sz w:val="21"/>
                <w:szCs w:val="21"/>
                <w:spacing w:val="9"/>
              </w:rPr>
              <w:t>未安排从事使用高毒物品作业一定年</w:t>
            </w:r>
            <w:r>
              <w:rPr>
                <w:rFonts w:ascii="SimHei" w:hAnsi="SimHei" w:eastAsia="SimHei" w:cs="SimHei"/>
                <w:sz w:val="21"/>
                <w:szCs w:val="21"/>
                <w:spacing w:val="8"/>
              </w:rPr>
              <w:t>限的劳动者进行岗位轮换的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602</w:t>
            </w:r>
          </w:hyperlink>
        </w:p>
        <w:p>
          <w:pPr>
            <w:pStyle w:val="BodyText"/>
            <w:spacing w:line="247" w:lineRule="auto"/>
            <w:rPr/>
          </w:pPr>
          <w:r/>
        </w:p>
        <w:p>
          <w:pPr>
            <w:pStyle w:val="BodyText"/>
            <w:spacing w:line="248" w:lineRule="auto"/>
            <w:rPr/>
          </w:pPr>
          <w:r/>
        </w:p>
        <w:p>
          <w:pPr>
            <w:ind w:left="300"/>
            <w:spacing w:before="68" w:line="221" w:lineRule="auto"/>
            <w:tabs>
              <w:tab w:val="right" w:leader="dot" w:pos="13345"/>
            </w:tabs>
            <w:rPr>
              <w:rFonts w:ascii="Times New Roman" w:hAnsi="Times New Roman" w:eastAsia="Times New Roman" w:cs="Times New Roman"/>
              <w:sz w:val="21"/>
              <w:szCs w:val="21"/>
            </w:rPr>
          </w:pPr>
          <w:hyperlink w:history="true" w:anchor="bookmark635">
            <w:r>
              <w:rPr>
                <w:rFonts w:ascii="SimHei" w:hAnsi="SimHei" w:eastAsia="SimHei" w:cs="SimHei"/>
                <w:sz w:val="21"/>
                <w:szCs w:val="21"/>
                <w:spacing w:val="9"/>
              </w:rPr>
              <w:t>第五百条</w:t>
            </w:r>
            <w:r>
              <w:rPr>
                <w:rFonts w:ascii="SimHei" w:hAnsi="SimHei" w:eastAsia="SimHei" w:cs="SimHei"/>
                <w:sz w:val="21"/>
                <w:szCs w:val="21"/>
                <w:spacing w:val="9"/>
              </w:rPr>
              <w:t xml:space="preserve"> </w:t>
            </w:r>
            <w:r>
              <w:rPr>
                <w:rFonts w:ascii="SimHei" w:hAnsi="SimHei" w:eastAsia="SimHei" w:cs="SimHei"/>
                <w:sz w:val="21"/>
                <w:szCs w:val="21"/>
                <w:spacing w:val="9"/>
              </w:rPr>
              <w:t>有关职业卫生防护措施和待遇等如实告知</w:t>
            </w:r>
            <w:r>
              <w:rPr>
                <w:rFonts w:ascii="SimHei" w:hAnsi="SimHei" w:eastAsia="SimHei" w:cs="SimHei"/>
                <w:sz w:val="21"/>
                <w:szCs w:val="21"/>
                <w:spacing w:val="8"/>
              </w:rPr>
              <w:t>劳动者并在劳动合同中写明的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603</w:t>
            </w:r>
          </w:hyperlink>
        </w:p>
        <w:p>
          <w:pPr>
            <w:pStyle w:val="BodyText"/>
            <w:spacing w:line="249" w:lineRule="auto"/>
            <w:rPr/>
          </w:pPr>
          <w:r/>
        </w:p>
        <w:p>
          <w:pPr>
            <w:pStyle w:val="BodyText"/>
            <w:spacing w:line="249" w:lineRule="auto"/>
            <w:rPr/>
          </w:pPr>
          <w:r/>
        </w:p>
        <w:p>
          <w:pPr>
            <w:ind w:left="300"/>
            <w:spacing w:before="68" w:line="213" w:lineRule="auto"/>
            <w:tabs>
              <w:tab w:val="right" w:leader="dot" w:pos="13335"/>
            </w:tabs>
            <w:rPr>
              <w:rFonts w:ascii="Times New Roman" w:hAnsi="Times New Roman" w:eastAsia="Times New Roman" w:cs="Times New Roman"/>
              <w:sz w:val="21"/>
              <w:szCs w:val="21"/>
            </w:rPr>
          </w:pPr>
          <w:hyperlink w:history="true" w:anchor="bookmark636">
            <w:r>
              <w:rPr>
                <w:rFonts w:ascii="SimHei" w:hAnsi="SimHei" w:eastAsia="SimHei" w:cs="SimHei"/>
                <w:sz w:val="21"/>
                <w:szCs w:val="21"/>
                <w:spacing w:val="9"/>
              </w:rPr>
              <w:t>第五百零一条</w:t>
            </w:r>
            <w:r>
              <w:rPr>
                <w:rFonts w:ascii="SimHei" w:hAnsi="SimHei" w:eastAsia="SimHei" w:cs="SimHei"/>
                <w:sz w:val="21"/>
                <w:szCs w:val="21"/>
                <w:spacing w:val="42"/>
              </w:rPr>
              <w:t xml:space="preserve"> </w:t>
            </w:r>
            <w:r>
              <w:rPr>
                <w:rFonts w:ascii="SimHei" w:hAnsi="SimHei" w:eastAsia="SimHei" w:cs="SimHei"/>
                <w:sz w:val="21"/>
                <w:szCs w:val="21"/>
                <w:spacing w:val="9"/>
              </w:rPr>
              <w:t>劳动者在存在威胁生命、健康危险的情况下，从危险现场中撤离，而被取消或者减少应当享有的待遇的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604</w:t>
            </w:r>
          </w:hyperlink>
        </w:p>
        <w:p>
          <w:pPr>
            <w:pStyle w:val="BodyText"/>
            <w:spacing w:line="253" w:lineRule="auto"/>
            <w:rPr/>
          </w:pPr>
          <w:r/>
        </w:p>
        <w:p>
          <w:pPr>
            <w:pStyle w:val="BodyText"/>
            <w:spacing w:line="253" w:lineRule="auto"/>
            <w:rPr/>
          </w:pPr>
          <w:r/>
        </w:p>
        <w:p>
          <w:pPr>
            <w:ind w:left="300"/>
            <w:spacing w:before="69" w:line="213" w:lineRule="auto"/>
            <w:tabs>
              <w:tab w:val="right" w:leader="dot" w:pos="13345"/>
            </w:tabs>
            <w:rPr>
              <w:rFonts w:ascii="Times New Roman" w:hAnsi="Times New Roman" w:eastAsia="Times New Roman" w:cs="Times New Roman"/>
              <w:sz w:val="21"/>
              <w:szCs w:val="21"/>
            </w:rPr>
          </w:pPr>
          <w:hyperlink w:history="true" w:anchor="bookmark637">
            <w:r>
              <w:rPr>
                <w:rFonts w:ascii="SimHei" w:hAnsi="SimHei" w:eastAsia="SimHei" w:cs="SimHei"/>
                <w:sz w:val="21"/>
                <w:szCs w:val="21"/>
                <w:spacing w:val="9"/>
              </w:rPr>
              <w:t>第五百零二条</w:t>
            </w:r>
            <w:r>
              <w:rPr>
                <w:rFonts w:ascii="SimHei" w:hAnsi="SimHei" w:eastAsia="SimHei" w:cs="SimHei"/>
                <w:sz w:val="21"/>
                <w:szCs w:val="21"/>
                <w:spacing w:val="9"/>
              </w:rPr>
              <w:t xml:space="preserve"> </w:t>
            </w:r>
            <w:r>
              <w:rPr>
                <w:rFonts w:ascii="SimHei" w:hAnsi="SimHei" w:eastAsia="SimHei" w:cs="SimHei"/>
                <w:sz w:val="21"/>
                <w:szCs w:val="21"/>
                <w:spacing w:val="9"/>
              </w:rPr>
              <w:t>对未进行离岗职业健康检查的劳动者，解除或者终止与</w:t>
            </w:r>
            <w:r>
              <w:rPr>
                <w:rFonts w:ascii="SimHei" w:hAnsi="SimHei" w:eastAsia="SimHei" w:cs="SimHei"/>
                <w:sz w:val="21"/>
                <w:szCs w:val="21"/>
                <w:spacing w:val="8"/>
              </w:rPr>
              <w:t>其订立的劳动合同的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605</w:t>
            </w:r>
          </w:hyperlink>
        </w:p>
        <w:p>
          <w:pPr>
            <w:pStyle w:val="BodyText"/>
            <w:spacing w:line="257" w:lineRule="auto"/>
            <w:rPr/>
          </w:pPr>
          <w:r/>
        </w:p>
        <w:p>
          <w:pPr>
            <w:pStyle w:val="BodyText"/>
            <w:spacing w:line="258" w:lineRule="auto"/>
            <w:rPr/>
          </w:pPr>
          <w:r/>
        </w:p>
        <w:p>
          <w:pPr>
            <w:ind w:left="300"/>
            <w:spacing w:before="68" w:line="221" w:lineRule="auto"/>
            <w:tabs>
              <w:tab w:val="right" w:leader="dot" w:pos="13335"/>
            </w:tabs>
            <w:rPr>
              <w:rFonts w:ascii="Times New Roman" w:hAnsi="Times New Roman" w:eastAsia="Times New Roman" w:cs="Times New Roman"/>
              <w:sz w:val="21"/>
              <w:szCs w:val="21"/>
            </w:rPr>
          </w:pPr>
          <w:hyperlink w:history="true" w:anchor="bookmark638">
            <w:r>
              <w:rPr>
                <w:rFonts w:ascii="SimHei" w:hAnsi="SimHei" w:eastAsia="SimHei" w:cs="SimHei"/>
                <w:sz w:val="21"/>
                <w:szCs w:val="21"/>
                <w:spacing w:val="11"/>
              </w:rPr>
              <w:t>第五百零三条</w:t>
            </w:r>
            <w:r>
              <w:rPr>
                <w:rFonts w:ascii="SimHei" w:hAnsi="SimHei" w:eastAsia="SimHei" w:cs="SimHei"/>
                <w:sz w:val="21"/>
                <w:szCs w:val="21"/>
                <w:spacing w:val="11"/>
              </w:rPr>
              <w:t xml:space="preserve"> </w:t>
            </w:r>
            <w:r>
              <w:rPr>
                <w:rFonts w:ascii="SimHei" w:hAnsi="SimHei" w:eastAsia="SimHei" w:cs="SimHei"/>
                <w:sz w:val="21"/>
                <w:szCs w:val="21"/>
                <w:spacing w:val="11"/>
              </w:rPr>
              <w:t>职业卫生防护设备、应急救援设</w:t>
            </w:r>
            <w:r>
              <w:rPr>
                <w:rFonts w:ascii="SimHei" w:hAnsi="SimHei" w:eastAsia="SimHei" w:cs="SimHei"/>
                <w:sz w:val="21"/>
                <w:szCs w:val="21"/>
                <w:spacing w:val="10"/>
              </w:rPr>
              <w:t>施、通讯报警装置处于不正常状态而不停止作业的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2"/>
              </w:rPr>
              <w:t>606</w:t>
            </w:r>
          </w:hyperlink>
        </w:p>
        <w:p>
          <w:pPr>
            <w:pStyle w:val="BodyText"/>
            <w:spacing w:line="268" w:lineRule="auto"/>
            <w:rPr/>
          </w:pPr>
          <w:r/>
        </w:p>
        <w:p>
          <w:pPr>
            <w:pStyle w:val="BodyText"/>
            <w:spacing w:line="268" w:lineRule="auto"/>
            <w:rPr/>
          </w:pPr>
          <w:r/>
        </w:p>
        <w:p>
          <w:pPr>
            <w:ind w:left="300"/>
            <w:spacing w:before="69" w:line="221" w:lineRule="auto"/>
            <w:tabs>
              <w:tab w:val="right" w:leader="dot" w:pos="13335"/>
            </w:tabs>
            <w:rPr>
              <w:rFonts w:ascii="Times New Roman" w:hAnsi="Times New Roman" w:eastAsia="Times New Roman" w:cs="Times New Roman"/>
              <w:sz w:val="21"/>
              <w:szCs w:val="21"/>
            </w:rPr>
          </w:pPr>
          <w:hyperlink w:history="true" w:anchor="bookmark639">
            <w:r>
              <w:rPr>
                <w:rFonts w:ascii="SimHei" w:hAnsi="SimHei" w:eastAsia="SimHei" w:cs="SimHei"/>
                <w:sz w:val="21"/>
                <w:szCs w:val="21"/>
                <w:spacing w:val="10"/>
              </w:rPr>
              <w:t>第五百零四条</w:t>
            </w:r>
            <w:r>
              <w:rPr>
                <w:rFonts w:ascii="SimHei" w:hAnsi="SimHei" w:eastAsia="SimHei" w:cs="SimHei"/>
                <w:sz w:val="21"/>
                <w:szCs w:val="21"/>
                <w:spacing w:val="10"/>
              </w:rPr>
              <w:t xml:space="preserve"> </w:t>
            </w:r>
            <w:r>
              <w:rPr>
                <w:rFonts w:ascii="SimHei" w:hAnsi="SimHei" w:eastAsia="SimHei" w:cs="SimHei"/>
                <w:sz w:val="21"/>
                <w:szCs w:val="21"/>
                <w:spacing w:val="10"/>
              </w:rPr>
              <w:t>未依照本条例的规定维护、检修存在高</w:t>
            </w:r>
            <w:r>
              <w:rPr>
                <w:rFonts w:ascii="SimHei" w:hAnsi="SimHei" w:eastAsia="SimHei" w:cs="SimHei"/>
                <w:sz w:val="21"/>
                <w:szCs w:val="21"/>
                <w:spacing w:val="9"/>
              </w:rPr>
              <w:t>毒物品的生产装置的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607</w:t>
            </w:r>
          </w:hyperlink>
        </w:p>
        <w:p>
          <w:pPr>
            <w:pStyle w:val="BodyText"/>
            <w:spacing w:line="467" w:lineRule="auto"/>
            <w:rPr/>
          </w:pPr>
          <w:r/>
        </w:p>
        <w:p>
          <w:pPr>
            <w:ind w:left="300"/>
            <w:spacing w:before="69" w:line="221" w:lineRule="auto"/>
            <w:tabs>
              <w:tab w:val="right" w:leader="dot" w:pos="13315"/>
            </w:tabs>
            <w:rPr>
              <w:rFonts w:ascii="Times New Roman" w:hAnsi="Times New Roman" w:eastAsia="Times New Roman" w:cs="Times New Roman"/>
              <w:sz w:val="21"/>
              <w:szCs w:val="21"/>
            </w:rPr>
          </w:pPr>
          <w:hyperlink w:history="true" w:anchor="bookmark640">
            <w:r>
              <w:rPr>
                <w:rFonts w:ascii="SimHei" w:hAnsi="SimHei" w:eastAsia="SimHei" w:cs="SimHei"/>
                <w:sz w:val="21"/>
                <w:szCs w:val="21"/>
                <w:spacing w:val="9"/>
              </w:rPr>
              <w:t>第五百零五条</w:t>
            </w:r>
            <w:r>
              <w:rPr>
                <w:rFonts w:ascii="SimHei" w:hAnsi="SimHei" w:eastAsia="SimHei" w:cs="SimHei"/>
                <w:sz w:val="21"/>
                <w:szCs w:val="21"/>
                <w:spacing w:val="9"/>
              </w:rPr>
              <w:t xml:space="preserve"> </w:t>
            </w:r>
            <w:r>
              <w:rPr>
                <w:rFonts w:ascii="SimHei" w:hAnsi="SimHei" w:eastAsia="SimHei" w:cs="SimHei"/>
                <w:sz w:val="21"/>
                <w:szCs w:val="21"/>
                <w:spacing w:val="9"/>
              </w:rPr>
              <w:t>使用未经培训考核合格的劳动者从事高毒作业的</w:t>
            </w:r>
            <w:r>
              <w:rPr>
                <w:rFonts w:ascii="SimHei" w:hAnsi="SimHei" w:eastAsia="SimHei" w:cs="SimHei"/>
                <w:sz w:val="21"/>
                <w:szCs w:val="21"/>
                <w:spacing w:val="-94"/>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608</w:t>
            </w:r>
          </w:hyperlink>
        </w:p>
        <w:p>
          <w:pPr>
            <w:pStyle w:val="BodyText"/>
            <w:spacing w:line="249" w:lineRule="auto"/>
            <w:rPr/>
          </w:pPr>
          <w:r/>
        </w:p>
        <w:p>
          <w:pPr>
            <w:pStyle w:val="BodyText"/>
            <w:spacing w:line="249" w:lineRule="auto"/>
            <w:rPr/>
          </w:pPr>
          <w:r/>
        </w:p>
        <w:p>
          <w:pPr>
            <w:spacing w:before="69" w:line="213" w:lineRule="auto"/>
            <w:jc w:val="right"/>
            <w:rPr>
              <w:rFonts w:ascii="SimHei" w:hAnsi="SimHei" w:eastAsia="SimHei" w:cs="SimHei"/>
              <w:sz w:val="21"/>
              <w:szCs w:val="21"/>
            </w:rPr>
          </w:pPr>
          <w:hyperlink w:history="true" w:anchor="bookmark641">
            <w:r>
              <w:rPr>
                <w:rFonts w:ascii="SimHei" w:hAnsi="SimHei" w:eastAsia="SimHei" w:cs="SimHei"/>
                <w:sz w:val="21"/>
                <w:szCs w:val="21"/>
                <w:spacing w:val="10"/>
              </w:rPr>
              <w:t>第五百零六条</w:t>
            </w:r>
            <w:r>
              <w:rPr>
                <w:rFonts w:ascii="SimHei" w:hAnsi="SimHei" w:eastAsia="SimHei" w:cs="SimHei"/>
                <w:sz w:val="21"/>
                <w:szCs w:val="21"/>
                <w:spacing w:val="10"/>
              </w:rPr>
              <w:t xml:space="preserve"> </w:t>
            </w:r>
            <w:r>
              <w:rPr>
                <w:rFonts w:ascii="SimHei" w:hAnsi="SimHei" w:eastAsia="SimHei" w:cs="SimHei"/>
                <w:sz w:val="21"/>
                <w:szCs w:val="21"/>
                <w:spacing w:val="10"/>
              </w:rPr>
              <w:t>发生分立、合并、解散、破产情形，未对从事使用有毒物品作业的劳动者进行健康检查，并按照国家有</w:t>
            </w:r>
            <w:r>
              <w:rPr>
                <w:rFonts w:ascii="SimHei" w:hAnsi="SimHei" w:eastAsia="SimHei" w:cs="SimHei"/>
                <w:sz w:val="21"/>
                <w:szCs w:val="21"/>
                <w:spacing w:val="9"/>
              </w:rPr>
              <w:t>关规定妥善安置职</w:t>
            </w:r>
          </w:hyperlink>
        </w:p>
        <w:p>
          <w:pPr>
            <w:pStyle w:val="BodyText"/>
            <w:spacing w:line="308" w:lineRule="auto"/>
            <w:rPr/>
          </w:pPr>
          <w:r/>
        </w:p>
        <w:p>
          <w:pPr>
            <w:ind w:left="300"/>
            <w:spacing w:before="68" w:line="222" w:lineRule="auto"/>
            <w:tabs>
              <w:tab w:val="right" w:leader="dot" w:pos="13265"/>
            </w:tabs>
            <w:rPr>
              <w:rFonts w:ascii="Times New Roman" w:hAnsi="Times New Roman" w:eastAsia="Times New Roman" w:cs="Times New Roman"/>
              <w:sz w:val="21"/>
              <w:szCs w:val="21"/>
            </w:rPr>
          </w:pPr>
          <w:hyperlink w:history="true" w:anchor="bookmark642">
            <w:r>
              <w:rPr>
                <w:rFonts w:ascii="SimHei" w:hAnsi="SimHei" w:eastAsia="SimHei" w:cs="SimHei"/>
                <w:sz w:val="21"/>
                <w:szCs w:val="21"/>
                <w:spacing w:val="13"/>
              </w:rPr>
              <w:t>业病病人的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2"/>
              </w:rPr>
              <w:t>609</w:t>
            </w:r>
          </w:hyperlink>
        </w:p>
        <w:p>
          <w:pPr>
            <w:pStyle w:val="BodyText"/>
            <w:spacing w:line="312" w:lineRule="auto"/>
            <w:rPr/>
          </w:pPr>
          <w:r/>
        </w:p>
        <w:p>
          <w:pPr>
            <w:spacing w:before="69" w:line="223" w:lineRule="auto"/>
            <w:tabs>
              <w:tab w:val="right" w:leader="dot" w:pos="13325"/>
            </w:tabs>
            <w:rPr>
              <w:rFonts w:ascii="Times New Roman" w:hAnsi="Times New Roman" w:eastAsia="Times New Roman" w:cs="Times New Roman"/>
              <w:sz w:val="21"/>
              <w:szCs w:val="21"/>
            </w:rPr>
          </w:pPr>
          <w:hyperlink w:history="true" w:anchor="bookmark643">
            <w:r>
              <w:rPr>
                <w:rFonts w:ascii="KaiTi" w:hAnsi="KaiTi" w:eastAsia="KaiTi" w:cs="KaiTi"/>
                <w:sz w:val="21"/>
                <w:szCs w:val="21"/>
                <w:spacing w:val="-6"/>
              </w:rPr>
              <w:t>(</w:t>
            </w:r>
            <w:r>
              <w:rPr>
                <w:rFonts w:ascii="KaiTi" w:hAnsi="KaiTi" w:eastAsia="KaiTi" w:cs="KaiTi"/>
                <w:sz w:val="21"/>
                <w:szCs w:val="21"/>
                <w:spacing w:val="-6"/>
              </w:rPr>
              <w:t xml:space="preserve"> </w:t>
            </w:r>
            <w:r>
              <w:rPr>
                <w:rFonts w:ascii="KaiTi" w:hAnsi="KaiTi" w:eastAsia="KaiTi" w:cs="KaiTi"/>
                <w:sz w:val="21"/>
                <w:szCs w:val="21"/>
                <w:spacing w:val="-6"/>
              </w:rPr>
              <w:t>四</w:t>
            </w:r>
            <w:r>
              <w:rPr>
                <w:rFonts w:ascii="KaiTi" w:hAnsi="KaiTi" w:eastAsia="KaiTi" w:cs="KaiTi"/>
                <w:sz w:val="21"/>
                <w:szCs w:val="21"/>
                <w:spacing w:val="-22"/>
              </w:rPr>
              <w:t xml:space="preserve"> </w:t>
            </w:r>
            <w:r>
              <w:rPr>
                <w:rFonts w:ascii="KaiTi" w:hAnsi="KaiTi" w:eastAsia="KaiTi" w:cs="KaiTi"/>
                <w:sz w:val="21"/>
                <w:szCs w:val="21"/>
                <w:spacing w:val="-6"/>
              </w:rPr>
              <w:t>)</w:t>
            </w:r>
            <w:r>
              <w:rPr>
                <w:rFonts w:ascii="KaiTi" w:hAnsi="KaiTi" w:eastAsia="KaiTi" w:cs="KaiTi"/>
                <w:sz w:val="21"/>
                <w:szCs w:val="21"/>
                <w:spacing w:val="-6"/>
              </w:rPr>
              <w:t xml:space="preserve"> </w:t>
            </w:r>
            <w:r>
              <w:rPr>
                <w:rFonts w:ascii="KaiTi" w:hAnsi="KaiTi" w:eastAsia="KaiTi" w:cs="KaiTi"/>
                <w:sz w:val="21"/>
                <w:szCs w:val="21"/>
                <w:spacing w:val="-6"/>
              </w:rPr>
              <w:t>《工作场所职业卫生管理规定》</w:t>
            </w:r>
            <w:r>
              <w:rPr>
                <w:rFonts w:ascii="KaiTi" w:hAnsi="KaiTi" w:eastAsia="KaiTi" w:cs="KaiTi"/>
                <w:sz w:val="21"/>
                <w:szCs w:val="21"/>
                <w:spacing w:val="-76"/>
              </w:rPr>
              <w:t xml:space="preserve"> </w:t>
            </w:r>
            <w:r>
              <w:rPr>
                <w:rFonts w:ascii="KaiTi" w:hAnsi="KaiTi" w:eastAsia="KaiTi" w:cs="KaiTi"/>
                <w:sz w:val="21"/>
                <w:szCs w:val="21"/>
                <w:color w:val="204040"/>
              </w:rPr>
              <w:tab/>
            </w:r>
            <w:r>
              <w:rPr>
                <w:rFonts w:ascii="Times New Roman" w:hAnsi="Times New Roman" w:eastAsia="Times New Roman" w:cs="Times New Roman"/>
                <w:sz w:val="21"/>
                <w:szCs w:val="21"/>
                <w:spacing w:val="4"/>
              </w:rPr>
              <w:t>610</w:t>
            </w:r>
          </w:hyperlink>
        </w:p>
        <w:p>
          <w:pPr>
            <w:pStyle w:val="BodyText"/>
            <w:spacing w:line="359" w:lineRule="auto"/>
            <w:rPr/>
          </w:pPr>
          <w:r/>
        </w:p>
        <w:p>
          <w:pPr>
            <w:ind w:left="300"/>
            <w:spacing w:before="68" w:line="221" w:lineRule="auto"/>
            <w:tabs>
              <w:tab w:val="right" w:leader="dot" w:pos="13335"/>
            </w:tabs>
            <w:rPr>
              <w:rFonts w:ascii="Times New Roman" w:hAnsi="Times New Roman" w:eastAsia="Times New Roman" w:cs="Times New Roman"/>
              <w:sz w:val="21"/>
              <w:szCs w:val="21"/>
            </w:rPr>
          </w:pPr>
          <w:hyperlink w:history="true" w:anchor="bookmark644">
            <w:r>
              <w:rPr>
                <w:rFonts w:ascii="SimHei" w:hAnsi="SimHei" w:eastAsia="SimHei" w:cs="SimHei"/>
                <w:sz w:val="21"/>
                <w:szCs w:val="21"/>
                <w:spacing w:val="9"/>
              </w:rPr>
              <w:t>第五百零七条</w:t>
            </w:r>
            <w:r>
              <w:rPr>
                <w:rFonts w:ascii="SimHei" w:hAnsi="SimHei" w:eastAsia="SimHei" w:cs="SimHei"/>
                <w:sz w:val="21"/>
                <w:szCs w:val="21"/>
                <w:spacing w:val="9"/>
              </w:rPr>
              <w:t xml:space="preserve"> </w:t>
            </w:r>
            <w:r>
              <w:rPr>
                <w:rFonts w:ascii="SimHei" w:hAnsi="SimHei" w:eastAsia="SimHei" w:cs="SimHei"/>
                <w:sz w:val="21"/>
                <w:szCs w:val="21"/>
                <w:spacing w:val="9"/>
              </w:rPr>
              <w:t>用人单位的主要负责人、职业卫生管理</w:t>
            </w:r>
            <w:r>
              <w:rPr>
                <w:rFonts w:ascii="SimHei" w:hAnsi="SimHei" w:eastAsia="SimHei" w:cs="SimHei"/>
                <w:sz w:val="21"/>
                <w:szCs w:val="21"/>
                <w:spacing w:val="8"/>
              </w:rPr>
              <w:t>人员未接受职业卫生培训的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610</w:t>
            </w:r>
          </w:hyperlink>
        </w:p>
      </w:sdtContent>
    </w:sdt>
    <w:p>
      <w:pPr>
        <w:spacing w:line="221" w:lineRule="auto"/>
        <w:sectPr>
          <w:footerReference w:type="default" r:id="rId61"/>
          <w:pgSz w:w="16830" w:h="11900"/>
          <w:pgMar w:top="1011" w:right="1431" w:bottom="1134" w:left="1989" w:header="0" w:footer="792" w:gutter="0"/>
        </w:sectPr>
        <w:rPr>
          <w:rFonts w:ascii="Times New Roman" w:hAnsi="Times New Roman" w:eastAsia="Times New Roman" w:cs="Times New Roman"/>
          <w:sz w:val="21"/>
          <w:szCs w:val="21"/>
        </w:rPr>
      </w:pPr>
    </w:p>
    <w:p>
      <w:pPr>
        <w:pStyle w:val="BodyText"/>
        <w:spacing w:line="306" w:lineRule="auto"/>
        <w:rPr/>
      </w:pPr>
      <w:r/>
    </w:p>
    <w:p>
      <w:pPr>
        <w:pStyle w:val="BodyText"/>
        <w:spacing w:line="306" w:lineRule="auto"/>
        <w:rPr/>
      </w:pPr>
      <w:r/>
    </w:p>
    <w:p>
      <w:pPr>
        <w:pStyle w:val="BodyText"/>
        <w:spacing w:line="306"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ind w:left="330"/>
            <w:spacing w:before="71" w:line="221" w:lineRule="auto"/>
            <w:tabs>
              <w:tab w:val="right" w:leader="dot" w:pos="13250"/>
            </w:tabs>
            <w:rPr>
              <w:rFonts w:ascii="Times New Roman" w:hAnsi="Times New Roman" w:eastAsia="Times New Roman" w:cs="Times New Roman"/>
              <w:sz w:val="22"/>
              <w:szCs w:val="22"/>
            </w:rPr>
          </w:pPr>
          <w:bookmarkStart w:name="bookmark645" w:id="15"/>
          <w:bookmarkEnd w:id="15"/>
          <w:hyperlink w:history="true" w:anchor="bookmark646">
            <w:r>
              <w:rPr>
                <w:rFonts w:ascii="SimHei" w:hAnsi="SimHei" w:eastAsia="SimHei" w:cs="SimHei"/>
                <w:sz w:val="22"/>
                <w:szCs w:val="22"/>
                <w:spacing w:val="-3"/>
              </w:rPr>
              <w:t>第五百零八条</w:t>
            </w:r>
            <w:r>
              <w:rPr>
                <w:rFonts w:ascii="SimHei" w:hAnsi="SimHei" w:eastAsia="SimHei" w:cs="SimHei"/>
                <w:sz w:val="22"/>
                <w:szCs w:val="22"/>
                <w:spacing w:val="-3"/>
              </w:rPr>
              <w:t xml:space="preserve"> </w:t>
            </w:r>
            <w:r>
              <w:rPr>
                <w:rFonts w:ascii="SimHei" w:hAnsi="SimHei" w:eastAsia="SimHei" w:cs="SimHei"/>
                <w:sz w:val="22"/>
                <w:szCs w:val="22"/>
                <w:spacing w:val="-3"/>
              </w:rPr>
              <w:t>其他违反《工作场所职业卫生管理规定》的行为</w:t>
            </w:r>
            <w:r>
              <w:rPr>
                <w:rFonts w:ascii="SimHei" w:hAnsi="SimHei" w:eastAsia="SimHei" w:cs="SimHei"/>
                <w:sz w:val="22"/>
                <w:szCs w:val="22"/>
                <w:spacing w:val="-88"/>
              </w:rPr>
              <w:t xml:space="preserve"> </w:t>
            </w:r>
            <w:r>
              <w:rPr>
                <w:rFonts w:ascii="SimHei" w:hAnsi="SimHei" w:eastAsia="SimHei" w:cs="SimHei"/>
                <w:sz w:val="22"/>
                <w:szCs w:val="22"/>
              </w:rPr>
              <w:tab/>
            </w:r>
            <w:r>
              <w:rPr>
                <w:rFonts w:ascii="SimHei" w:hAnsi="SimHei" w:eastAsia="SimHei" w:cs="SimHei"/>
                <w:sz w:val="22"/>
                <w:szCs w:val="22"/>
                <w:spacing w:val="-74"/>
              </w:rPr>
              <w:t xml:space="preserve"> </w:t>
            </w:r>
            <w:r>
              <w:rPr>
                <w:rFonts w:ascii="Times New Roman" w:hAnsi="Times New Roman" w:eastAsia="Times New Roman" w:cs="Times New Roman"/>
                <w:sz w:val="22"/>
                <w:szCs w:val="22"/>
                <w:spacing w:val="-3"/>
              </w:rPr>
              <w:t>611</w:t>
            </w:r>
          </w:hyperlink>
        </w:p>
        <w:p>
          <w:pPr>
            <w:pStyle w:val="BodyText"/>
            <w:spacing w:line="309" w:lineRule="auto"/>
            <w:rPr/>
          </w:pPr>
          <w:r/>
        </w:p>
        <w:p>
          <w:pPr>
            <w:spacing w:before="72" w:line="223" w:lineRule="auto"/>
            <w:tabs>
              <w:tab w:val="right" w:leader="dot" w:pos="13280"/>
            </w:tabs>
            <w:rPr>
              <w:rFonts w:ascii="Times New Roman" w:hAnsi="Times New Roman" w:eastAsia="Times New Roman" w:cs="Times New Roman"/>
              <w:sz w:val="22"/>
              <w:szCs w:val="22"/>
            </w:rPr>
          </w:pPr>
          <w:hyperlink w:history="true" w:anchor="bookmark647">
            <w:r>
              <w:rPr>
                <w:rFonts w:ascii="KaiTi" w:hAnsi="KaiTi" w:eastAsia="KaiTi" w:cs="KaiTi"/>
                <w:sz w:val="22"/>
                <w:szCs w:val="22"/>
                <w:spacing w:val="-7"/>
              </w:rPr>
              <w:t>(</w:t>
            </w:r>
            <w:r>
              <w:rPr>
                <w:rFonts w:ascii="KaiTi" w:hAnsi="KaiTi" w:eastAsia="KaiTi" w:cs="KaiTi"/>
                <w:sz w:val="22"/>
                <w:szCs w:val="22"/>
                <w:spacing w:val="-18"/>
              </w:rPr>
              <w:t xml:space="preserve"> </w:t>
            </w:r>
            <w:r>
              <w:rPr>
                <w:rFonts w:ascii="KaiTi" w:hAnsi="KaiTi" w:eastAsia="KaiTi" w:cs="KaiTi"/>
                <w:sz w:val="22"/>
                <w:szCs w:val="22"/>
                <w:spacing w:val="-7"/>
              </w:rPr>
              <w:t>五</w:t>
            </w:r>
            <w:r>
              <w:rPr>
                <w:rFonts w:ascii="KaiTi" w:hAnsi="KaiTi" w:eastAsia="KaiTi" w:cs="KaiTi"/>
                <w:sz w:val="22"/>
                <w:szCs w:val="22"/>
                <w:spacing w:val="-29"/>
              </w:rPr>
              <w:t xml:space="preserve"> </w:t>
            </w:r>
            <w:r>
              <w:rPr>
                <w:rFonts w:ascii="KaiTi" w:hAnsi="KaiTi" w:eastAsia="KaiTi" w:cs="KaiTi"/>
                <w:sz w:val="22"/>
                <w:szCs w:val="22"/>
                <w:spacing w:val="-7"/>
              </w:rPr>
              <w:t>)《职业健康检查管理办法》</w:t>
            </w:r>
            <w:r>
              <w:rPr>
                <w:rFonts w:ascii="KaiTi" w:hAnsi="KaiTi" w:eastAsia="KaiTi" w:cs="KaiTi"/>
                <w:sz w:val="22"/>
                <w:szCs w:val="22"/>
              </w:rPr>
              <w:tab/>
            </w:r>
            <w:r>
              <w:rPr>
                <w:rFonts w:ascii="Times New Roman" w:hAnsi="Times New Roman" w:eastAsia="Times New Roman" w:cs="Times New Roman"/>
                <w:sz w:val="22"/>
                <w:szCs w:val="22"/>
                <w:spacing w:val="-1"/>
              </w:rPr>
              <w:t>612</w:t>
            </w:r>
          </w:hyperlink>
        </w:p>
        <w:p>
          <w:pPr>
            <w:pStyle w:val="BodyText"/>
            <w:spacing w:line="324" w:lineRule="auto"/>
            <w:rPr/>
          </w:pPr>
          <w:r/>
        </w:p>
        <w:p>
          <w:pPr>
            <w:ind w:left="330"/>
            <w:spacing w:before="71" w:line="221" w:lineRule="auto"/>
            <w:tabs>
              <w:tab w:val="right" w:leader="dot" w:pos="13370"/>
            </w:tabs>
            <w:rPr>
              <w:rFonts w:ascii="Times New Roman" w:hAnsi="Times New Roman" w:eastAsia="Times New Roman" w:cs="Times New Roman"/>
              <w:sz w:val="22"/>
              <w:szCs w:val="22"/>
            </w:rPr>
          </w:pPr>
          <w:hyperlink w:history="true" w:anchor="bookmark648">
            <w:r>
              <w:rPr>
                <w:rFonts w:ascii="SimHei" w:hAnsi="SimHei" w:eastAsia="SimHei" w:cs="SimHei"/>
                <w:sz w:val="22"/>
                <w:szCs w:val="22"/>
                <w:spacing w:val="2"/>
              </w:rPr>
              <w:t>第五百零九条</w:t>
            </w:r>
            <w:r>
              <w:rPr>
                <w:rFonts w:ascii="SimHei" w:hAnsi="SimHei" w:eastAsia="SimHei" w:cs="SimHei"/>
                <w:sz w:val="22"/>
                <w:szCs w:val="22"/>
                <w:spacing w:val="2"/>
              </w:rPr>
              <w:t xml:space="preserve"> </w:t>
            </w:r>
            <w:r>
              <w:rPr>
                <w:rFonts w:ascii="SimHei" w:hAnsi="SimHei" w:eastAsia="SimHei" w:cs="SimHei"/>
                <w:sz w:val="22"/>
                <w:szCs w:val="22"/>
                <w:spacing w:val="2"/>
              </w:rPr>
              <w:t>未按规定备案开展职业健康检查的</w:t>
            </w:r>
            <w:r>
              <w:rPr>
                <w:rFonts w:ascii="SimHei" w:hAnsi="SimHei" w:eastAsia="SimHei" w:cs="SimHei"/>
                <w:sz w:val="22"/>
                <w:szCs w:val="22"/>
                <w:spacing w:val="-96"/>
              </w:rPr>
              <w:t xml:space="preserve"> </w:t>
            </w:r>
            <w:r>
              <w:rPr>
                <w:rFonts w:ascii="SimHei" w:hAnsi="SimHei" w:eastAsia="SimHei" w:cs="SimHei"/>
                <w:sz w:val="22"/>
                <w:szCs w:val="22"/>
              </w:rPr>
              <w:tab/>
            </w:r>
            <w:r>
              <w:rPr>
                <w:rFonts w:ascii="SimHei" w:hAnsi="SimHei" w:eastAsia="SimHei" w:cs="SimHei"/>
                <w:sz w:val="22"/>
                <w:szCs w:val="22"/>
                <w:spacing w:val="-74"/>
              </w:rPr>
              <w:t xml:space="preserve"> </w:t>
            </w:r>
            <w:r>
              <w:rPr>
                <w:rFonts w:ascii="Times New Roman" w:hAnsi="Times New Roman" w:eastAsia="Times New Roman" w:cs="Times New Roman"/>
                <w:sz w:val="22"/>
                <w:szCs w:val="22"/>
                <w:spacing w:val="-3"/>
              </w:rPr>
              <w:t>612</w:t>
            </w:r>
          </w:hyperlink>
        </w:p>
        <w:p>
          <w:pPr>
            <w:pStyle w:val="BodyText"/>
            <w:spacing w:line="241" w:lineRule="auto"/>
            <w:rPr/>
          </w:pPr>
          <w:r/>
        </w:p>
        <w:p>
          <w:pPr>
            <w:pStyle w:val="BodyText"/>
            <w:spacing w:line="241" w:lineRule="auto"/>
            <w:rPr/>
          </w:pPr>
          <w:r/>
        </w:p>
        <w:p>
          <w:pPr>
            <w:ind w:left="330"/>
            <w:spacing w:before="71" w:line="221" w:lineRule="auto"/>
            <w:tabs>
              <w:tab w:val="right" w:leader="dot" w:pos="13250"/>
            </w:tabs>
            <w:rPr>
              <w:rFonts w:ascii="Times New Roman" w:hAnsi="Times New Roman" w:eastAsia="Times New Roman" w:cs="Times New Roman"/>
              <w:sz w:val="22"/>
              <w:szCs w:val="22"/>
            </w:rPr>
          </w:pPr>
          <w:hyperlink w:history="true" w:anchor="bookmark649">
            <w:r>
              <w:rPr>
                <w:rFonts w:ascii="SimHei" w:hAnsi="SimHei" w:eastAsia="SimHei" w:cs="SimHei"/>
                <w:sz w:val="22"/>
                <w:szCs w:val="22"/>
                <w:spacing w:val="-1"/>
              </w:rPr>
              <w:t>第五百一十条</w:t>
            </w:r>
            <w:r>
              <w:rPr>
                <w:rFonts w:ascii="SimHei" w:hAnsi="SimHei" w:eastAsia="SimHei" w:cs="SimHei"/>
                <w:sz w:val="22"/>
                <w:szCs w:val="22"/>
                <w:spacing w:val="-1"/>
              </w:rPr>
              <w:t xml:space="preserve"> </w:t>
            </w:r>
            <w:r>
              <w:rPr>
                <w:rFonts w:ascii="SimHei" w:hAnsi="SimHei" w:eastAsia="SimHei" w:cs="SimHei"/>
                <w:sz w:val="22"/>
                <w:szCs w:val="22"/>
                <w:spacing w:val="-1"/>
              </w:rPr>
              <w:t>承担职业健康检查的医疗卫生机构未按规定告知疑似职业病的</w:t>
            </w:r>
            <w:r>
              <w:rPr>
                <w:rFonts w:ascii="SimHei" w:hAnsi="SimHei" w:eastAsia="SimHei" w:cs="SimHei"/>
                <w:sz w:val="22"/>
                <w:szCs w:val="22"/>
                <w:spacing w:val="-98"/>
              </w:rPr>
              <w:t xml:space="preserve"> </w:t>
            </w:r>
            <w:r>
              <w:rPr>
                <w:rFonts w:ascii="SimHei" w:hAnsi="SimHei" w:eastAsia="SimHei" w:cs="SimHei"/>
                <w:sz w:val="22"/>
                <w:szCs w:val="22"/>
              </w:rPr>
              <w:tab/>
            </w:r>
            <w:r>
              <w:rPr>
                <w:rFonts w:ascii="Times New Roman" w:hAnsi="Times New Roman" w:eastAsia="Times New Roman" w:cs="Times New Roman"/>
                <w:sz w:val="22"/>
                <w:szCs w:val="22"/>
                <w:spacing w:val="-4"/>
              </w:rPr>
              <w:t>613</w:t>
            </w:r>
          </w:hyperlink>
        </w:p>
        <w:p>
          <w:pPr>
            <w:pStyle w:val="BodyText"/>
            <w:spacing w:line="270" w:lineRule="auto"/>
            <w:rPr/>
          </w:pPr>
          <w:r/>
        </w:p>
        <w:p>
          <w:pPr>
            <w:pStyle w:val="BodyText"/>
            <w:spacing w:line="271" w:lineRule="auto"/>
            <w:rPr/>
          </w:pPr>
          <w:r/>
        </w:p>
        <w:p>
          <w:pPr>
            <w:ind w:left="330"/>
            <w:spacing w:before="72" w:line="221" w:lineRule="auto"/>
            <w:tabs>
              <w:tab w:val="right" w:leader="dot" w:pos="13370"/>
            </w:tabs>
            <w:rPr>
              <w:rFonts w:ascii="Times New Roman" w:hAnsi="Times New Roman" w:eastAsia="Times New Roman" w:cs="Times New Roman"/>
              <w:sz w:val="22"/>
              <w:szCs w:val="22"/>
            </w:rPr>
          </w:pPr>
          <w:hyperlink w:history="true" w:anchor="bookmark650">
            <w:r>
              <w:rPr>
                <w:rFonts w:ascii="SimHei" w:hAnsi="SimHei" w:eastAsia="SimHei" w:cs="SimHei"/>
                <w:sz w:val="22"/>
                <w:szCs w:val="22"/>
              </w:rPr>
              <w:t>第五百一十一条</w:t>
            </w:r>
            <w:r>
              <w:rPr>
                <w:rFonts w:ascii="SimHei" w:hAnsi="SimHei" w:eastAsia="SimHei" w:cs="SimHei"/>
                <w:sz w:val="22"/>
                <w:szCs w:val="22"/>
              </w:rPr>
              <w:t xml:space="preserve"> </w:t>
            </w:r>
            <w:r>
              <w:rPr>
                <w:rFonts w:ascii="SimHei" w:hAnsi="SimHei" w:eastAsia="SimHei" w:cs="SimHei"/>
                <w:sz w:val="22"/>
                <w:szCs w:val="22"/>
              </w:rPr>
              <w:t>承担职业健康检查的医疗卫生机</w:t>
            </w:r>
            <w:r>
              <w:rPr>
                <w:rFonts w:ascii="SimHei" w:hAnsi="SimHei" w:eastAsia="SimHei" w:cs="SimHei"/>
                <w:sz w:val="22"/>
                <w:szCs w:val="22"/>
                <w:spacing w:val="-1"/>
              </w:rPr>
              <w:t>构出具虚假证明文件的</w:t>
            </w:r>
            <w:r>
              <w:rPr>
                <w:rFonts w:ascii="SimHei" w:hAnsi="SimHei" w:eastAsia="SimHei" w:cs="SimHei"/>
                <w:sz w:val="22"/>
                <w:szCs w:val="22"/>
                <w:spacing w:val="-91"/>
              </w:rPr>
              <w:t xml:space="preserve"> </w:t>
            </w:r>
            <w:r>
              <w:rPr>
                <w:rFonts w:ascii="SimHei" w:hAnsi="SimHei" w:eastAsia="SimHei" w:cs="SimHei"/>
                <w:sz w:val="22"/>
                <w:szCs w:val="22"/>
              </w:rPr>
              <w:tab/>
            </w:r>
            <w:r>
              <w:rPr>
                <w:rFonts w:ascii="SimHei" w:hAnsi="SimHei" w:eastAsia="SimHei" w:cs="SimHei"/>
                <w:sz w:val="22"/>
                <w:szCs w:val="22"/>
                <w:spacing w:val="-24"/>
              </w:rPr>
              <w:t xml:space="preserve"> </w:t>
            </w:r>
            <w:r>
              <w:rPr>
                <w:rFonts w:ascii="Times New Roman" w:hAnsi="Times New Roman" w:eastAsia="Times New Roman" w:cs="Times New Roman"/>
                <w:sz w:val="22"/>
                <w:szCs w:val="22"/>
                <w:spacing w:val="-3"/>
              </w:rPr>
              <w:t>613</w:t>
            </w:r>
          </w:hyperlink>
        </w:p>
        <w:p>
          <w:pPr>
            <w:pStyle w:val="BodyText"/>
            <w:spacing w:line="432" w:lineRule="auto"/>
            <w:rPr/>
          </w:pPr>
          <w:r/>
        </w:p>
        <w:p>
          <w:pPr>
            <w:ind w:left="330"/>
            <w:spacing w:before="72" w:line="221" w:lineRule="auto"/>
            <w:tabs>
              <w:tab w:val="right" w:leader="dot" w:pos="13240"/>
            </w:tabs>
            <w:rPr>
              <w:rFonts w:ascii="Times New Roman" w:hAnsi="Times New Roman" w:eastAsia="Times New Roman" w:cs="Times New Roman"/>
              <w:sz w:val="22"/>
              <w:szCs w:val="22"/>
            </w:rPr>
          </w:pPr>
          <w:hyperlink w:history="true" w:anchor="bookmark651">
            <w:r>
              <w:rPr>
                <w:rFonts w:ascii="SimHei" w:hAnsi="SimHei" w:eastAsia="SimHei" w:cs="SimHei"/>
                <w:sz w:val="22"/>
                <w:szCs w:val="22"/>
                <w:spacing w:val="-1"/>
              </w:rPr>
              <w:t>第五百一十二条</w:t>
            </w:r>
            <w:r>
              <w:rPr>
                <w:rFonts w:ascii="SimHei" w:hAnsi="SimHei" w:eastAsia="SimHei" w:cs="SimHei"/>
                <w:sz w:val="22"/>
                <w:szCs w:val="22"/>
                <w:spacing w:val="-1"/>
              </w:rPr>
              <w:t xml:space="preserve"> </w:t>
            </w:r>
            <w:r>
              <w:rPr>
                <w:rFonts w:ascii="SimHei" w:hAnsi="SimHei" w:eastAsia="SimHei" w:cs="SimHei"/>
                <w:sz w:val="22"/>
                <w:szCs w:val="22"/>
                <w:spacing w:val="-1"/>
              </w:rPr>
              <w:t>未指定主检医师或指定的主检医师未取得职业病诊断资格的</w:t>
            </w:r>
            <w:r>
              <w:rPr>
                <w:rFonts w:ascii="SimHei" w:hAnsi="SimHei" w:eastAsia="SimHei" w:cs="SimHei"/>
                <w:sz w:val="22"/>
                <w:szCs w:val="22"/>
                <w:spacing w:val="-98"/>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614</w:t>
            </w:r>
          </w:hyperlink>
        </w:p>
        <w:p>
          <w:pPr>
            <w:pStyle w:val="BodyText"/>
            <w:spacing w:line="241" w:lineRule="auto"/>
            <w:rPr/>
          </w:pPr>
          <w:r/>
        </w:p>
        <w:p>
          <w:pPr>
            <w:pStyle w:val="BodyText"/>
            <w:spacing w:line="241" w:lineRule="auto"/>
            <w:rPr/>
          </w:pPr>
          <w:r/>
        </w:p>
        <w:p>
          <w:pPr>
            <w:ind w:left="330"/>
            <w:spacing w:before="73" w:line="222" w:lineRule="auto"/>
            <w:tabs>
              <w:tab w:val="right" w:leader="dot" w:pos="13390"/>
            </w:tabs>
            <w:rPr>
              <w:rFonts w:ascii="Times New Roman" w:hAnsi="Times New Roman" w:eastAsia="Times New Roman" w:cs="Times New Roman"/>
              <w:sz w:val="22"/>
              <w:szCs w:val="22"/>
            </w:rPr>
          </w:pPr>
          <w:hyperlink w:history="true" w:anchor="bookmark652">
            <w:r>
              <w:rPr>
                <w:rFonts w:ascii="SimHei" w:hAnsi="SimHei" w:eastAsia="SimHei" w:cs="SimHei"/>
                <w:sz w:val="22"/>
                <w:szCs w:val="22"/>
              </w:rPr>
              <w:t>第五百一十三条</w:t>
            </w:r>
            <w:r>
              <w:rPr>
                <w:rFonts w:ascii="SimHei" w:hAnsi="SimHei" w:eastAsia="SimHei" w:cs="SimHei"/>
                <w:sz w:val="22"/>
                <w:szCs w:val="22"/>
              </w:rPr>
              <w:t xml:space="preserve"> </w:t>
            </w:r>
            <w:r>
              <w:rPr>
                <w:rFonts w:ascii="SimHei" w:hAnsi="SimHei" w:eastAsia="SimHei" w:cs="SimHei"/>
                <w:sz w:val="22"/>
                <w:szCs w:val="22"/>
              </w:rPr>
              <w:t>未按要求建立职业健康检查档案的</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24"/>
              </w:rPr>
              <w:t xml:space="preserve"> </w:t>
            </w:r>
            <w:r>
              <w:rPr>
                <w:rFonts w:ascii="Times New Roman" w:hAnsi="Times New Roman" w:eastAsia="Times New Roman" w:cs="Times New Roman"/>
                <w:sz w:val="22"/>
                <w:szCs w:val="22"/>
                <w:spacing w:val="-4"/>
              </w:rPr>
              <w:t>615</w:t>
            </w:r>
          </w:hyperlink>
        </w:p>
        <w:p>
          <w:pPr>
            <w:pStyle w:val="BodyText"/>
            <w:spacing w:line="245" w:lineRule="auto"/>
            <w:rPr/>
          </w:pPr>
          <w:r/>
        </w:p>
        <w:p>
          <w:pPr>
            <w:pStyle w:val="BodyText"/>
            <w:spacing w:line="245" w:lineRule="auto"/>
            <w:rPr/>
          </w:pPr>
          <w:r/>
        </w:p>
        <w:p>
          <w:pPr>
            <w:ind w:left="330"/>
            <w:spacing w:before="72" w:line="221" w:lineRule="auto"/>
            <w:tabs>
              <w:tab w:val="right" w:leader="dot" w:pos="13360"/>
            </w:tabs>
            <w:rPr>
              <w:rFonts w:ascii="Times New Roman" w:hAnsi="Times New Roman" w:eastAsia="Times New Roman" w:cs="Times New Roman"/>
              <w:sz w:val="22"/>
              <w:szCs w:val="22"/>
            </w:rPr>
          </w:pPr>
          <w:hyperlink w:history="true" w:anchor="bookmark653">
            <w:r>
              <w:rPr>
                <w:rFonts w:ascii="SimHei" w:hAnsi="SimHei" w:eastAsia="SimHei" w:cs="SimHei"/>
                <w:sz w:val="22"/>
                <w:szCs w:val="22"/>
                <w:spacing w:val="2"/>
              </w:rPr>
              <w:t>第五百一十四条</w:t>
            </w:r>
            <w:r>
              <w:rPr>
                <w:rFonts w:ascii="SimHei" w:hAnsi="SimHei" w:eastAsia="SimHei" w:cs="SimHei"/>
                <w:sz w:val="22"/>
                <w:szCs w:val="22"/>
                <w:spacing w:val="2"/>
              </w:rPr>
              <w:t xml:space="preserve"> </w:t>
            </w:r>
            <w:r>
              <w:rPr>
                <w:rFonts w:ascii="SimHei" w:hAnsi="SimHei" w:eastAsia="SimHei" w:cs="SimHei"/>
                <w:sz w:val="22"/>
                <w:szCs w:val="22"/>
                <w:spacing w:val="2"/>
              </w:rPr>
              <w:t>未履行职业健康检查信息报告义务的</w:t>
            </w:r>
            <w:r>
              <w:rPr>
                <w:rFonts w:ascii="SimHei" w:hAnsi="SimHei" w:eastAsia="SimHei" w:cs="SimHei"/>
                <w:sz w:val="22"/>
                <w:szCs w:val="22"/>
                <w:spacing w:val="-99"/>
              </w:rPr>
              <w:t xml:space="preserve"> </w:t>
            </w:r>
            <w:r>
              <w:rPr>
                <w:rFonts w:ascii="SimHei" w:hAnsi="SimHei" w:eastAsia="SimHei" w:cs="SimHei"/>
                <w:sz w:val="22"/>
                <w:szCs w:val="22"/>
              </w:rPr>
              <w:tab/>
            </w:r>
            <w:r>
              <w:rPr>
                <w:rFonts w:ascii="Times New Roman" w:hAnsi="Times New Roman" w:eastAsia="Times New Roman" w:cs="Times New Roman"/>
                <w:sz w:val="22"/>
                <w:szCs w:val="22"/>
                <w:spacing w:val="5"/>
              </w:rPr>
              <w:t>616</w:t>
            </w:r>
          </w:hyperlink>
        </w:p>
        <w:p>
          <w:pPr>
            <w:pStyle w:val="BodyText"/>
            <w:spacing w:line="241" w:lineRule="auto"/>
            <w:rPr/>
          </w:pPr>
          <w:r/>
        </w:p>
        <w:p>
          <w:pPr>
            <w:pStyle w:val="BodyText"/>
            <w:spacing w:line="241" w:lineRule="auto"/>
            <w:rPr/>
          </w:pPr>
          <w:r/>
        </w:p>
        <w:p>
          <w:pPr>
            <w:ind w:left="330"/>
            <w:spacing w:before="72" w:line="222" w:lineRule="auto"/>
            <w:tabs>
              <w:tab w:val="right" w:leader="dot" w:pos="13380"/>
            </w:tabs>
            <w:rPr>
              <w:rFonts w:ascii="Times New Roman" w:hAnsi="Times New Roman" w:eastAsia="Times New Roman" w:cs="Times New Roman"/>
              <w:sz w:val="22"/>
              <w:szCs w:val="22"/>
            </w:rPr>
          </w:pPr>
          <w:hyperlink w:history="true" w:anchor="bookmark654">
            <w:r>
              <w:rPr>
                <w:rFonts w:ascii="SimHei" w:hAnsi="SimHei" w:eastAsia="SimHei" w:cs="SimHei"/>
                <w:sz w:val="22"/>
                <w:szCs w:val="22"/>
              </w:rPr>
              <w:t>第五百一十五条</w:t>
            </w:r>
            <w:r>
              <w:rPr>
                <w:rFonts w:ascii="SimHei" w:hAnsi="SimHei" w:eastAsia="SimHei" w:cs="SimHei"/>
                <w:sz w:val="22"/>
                <w:szCs w:val="22"/>
              </w:rPr>
              <w:t xml:space="preserve"> </w:t>
            </w:r>
            <w:r>
              <w:rPr>
                <w:rFonts w:ascii="SimHei" w:hAnsi="SimHei" w:eastAsia="SimHei" w:cs="SimHei"/>
                <w:sz w:val="22"/>
                <w:szCs w:val="22"/>
              </w:rPr>
              <w:t>未按照相关职业健康监护技</w:t>
            </w:r>
            <w:r>
              <w:rPr>
                <w:rFonts w:ascii="SimHei" w:hAnsi="SimHei" w:eastAsia="SimHei" w:cs="SimHei"/>
                <w:sz w:val="22"/>
                <w:szCs w:val="22"/>
                <w:spacing w:val="-1"/>
              </w:rPr>
              <w:t>术规范规定开展工作的</w:t>
            </w:r>
            <w:r>
              <w:rPr>
                <w:rFonts w:ascii="SimHei" w:hAnsi="SimHei" w:eastAsia="SimHei" w:cs="SimHei"/>
                <w:sz w:val="22"/>
                <w:szCs w:val="22"/>
              </w:rPr>
              <w:tab/>
            </w:r>
            <w:r>
              <w:rPr>
                <w:rFonts w:ascii="Times New Roman" w:hAnsi="Times New Roman" w:eastAsia="Times New Roman" w:cs="Times New Roman"/>
                <w:sz w:val="22"/>
                <w:szCs w:val="22"/>
                <w:spacing w:val="-1"/>
              </w:rPr>
              <w:t>617</w:t>
            </w:r>
          </w:hyperlink>
        </w:p>
        <w:p>
          <w:pPr>
            <w:pStyle w:val="BodyText"/>
            <w:spacing w:line="245" w:lineRule="auto"/>
            <w:rPr/>
          </w:pPr>
          <w:r/>
        </w:p>
        <w:p>
          <w:pPr>
            <w:pStyle w:val="BodyText"/>
            <w:spacing w:line="245" w:lineRule="auto"/>
            <w:rPr/>
          </w:pPr>
          <w:r/>
        </w:p>
        <w:p>
          <w:pPr>
            <w:ind w:left="330"/>
            <w:spacing w:before="72" w:line="221" w:lineRule="auto"/>
            <w:tabs>
              <w:tab w:val="right" w:leader="dot" w:pos="13380"/>
            </w:tabs>
            <w:rPr>
              <w:rFonts w:ascii="Times New Roman" w:hAnsi="Times New Roman" w:eastAsia="Times New Roman" w:cs="Times New Roman"/>
              <w:sz w:val="22"/>
              <w:szCs w:val="22"/>
            </w:rPr>
          </w:pPr>
          <w:hyperlink w:history="true" w:anchor="bookmark655">
            <w:r>
              <w:rPr>
                <w:rFonts w:ascii="SimHei" w:hAnsi="SimHei" w:eastAsia="SimHei" w:cs="SimHei"/>
                <w:sz w:val="22"/>
                <w:szCs w:val="22"/>
                <w:spacing w:val="1"/>
              </w:rPr>
              <w:t>第五百一十六条</w:t>
            </w:r>
            <w:r>
              <w:rPr>
                <w:rFonts w:ascii="SimHei" w:hAnsi="SimHei" w:eastAsia="SimHei" w:cs="SimHei"/>
                <w:sz w:val="22"/>
                <w:szCs w:val="22"/>
                <w:spacing w:val="1"/>
              </w:rPr>
              <w:t xml:space="preserve"> </w:t>
            </w:r>
            <w:r>
              <w:rPr>
                <w:rFonts w:ascii="SimHei" w:hAnsi="SimHei" w:eastAsia="SimHei" w:cs="SimHei"/>
                <w:sz w:val="22"/>
                <w:szCs w:val="22"/>
                <w:spacing w:val="1"/>
              </w:rPr>
              <w:t>职业健康检查机构违反《职业健康检查管理办法》其他有关规定的</w:t>
            </w:r>
            <w:r>
              <w:rPr>
                <w:rFonts w:ascii="SimHei" w:hAnsi="SimHei" w:eastAsia="SimHei" w:cs="SimHei"/>
                <w:sz w:val="22"/>
                <w:szCs w:val="22"/>
                <w:spacing w:val="-99"/>
              </w:rPr>
              <w:t xml:space="preserve"> </w:t>
            </w:r>
            <w:r>
              <w:rPr>
                <w:rFonts w:ascii="SimHei" w:hAnsi="SimHei" w:eastAsia="SimHei" w:cs="SimHei"/>
                <w:sz w:val="22"/>
                <w:szCs w:val="22"/>
              </w:rPr>
              <w:tab/>
            </w:r>
            <w:r>
              <w:rPr>
                <w:rFonts w:ascii="SimHei" w:hAnsi="SimHei" w:eastAsia="SimHei" w:cs="SimHei"/>
                <w:sz w:val="22"/>
                <w:szCs w:val="22"/>
                <w:spacing w:val="-54"/>
              </w:rPr>
              <w:t xml:space="preserve"> </w:t>
            </w:r>
            <w:r>
              <w:rPr>
                <w:rFonts w:ascii="Times New Roman" w:hAnsi="Times New Roman" w:eastAsia="Times New Roman" w:cs="Times New Roman"/>
                <w:sz w:val="22"/>
                <w:szCs w:val="22"/>
                <w:spacing w:val="-3"/>
              </w:rPr>
              <w:t>617</w:t>
            </w:r>
          </w:hyperlink>
        </w:p>
      </w:sdtContent>
    </w:sdt>
    <w:p>
      <w:pPr>
        <w:spacing w:line="221" w:lineRule="auto"/>
        <w:sectPr>
          <w:footerReference w:type="default" r:id="rId62"/>
          <w:pgSz w:w="16830" w:h="11900"/>
          <w:pgMar w:top="1011" w:right="1479" w:bottom="1134" w:left="1960" w:header="0" w:footer="792" w:gutter="0"/>
        </w:sectPr>
        <w:rPr>
          <w:rFonts w:ascii="Times New Roman" w:hAnsi="Times New Roman" w:eastAsia="Times New Roman" w:cs="Times New Roman"/>
          <w:sz w:val="22"/>
          <w:szCs w:val="22"/>
        </w:rPr>
      </w:pPr>
    </w:p>
    <w:p>
      <w:pPr>
        <w:pStyle w:val="BodyText"/>
        <w:spacing w:line="303" w:lineRule="auto"/>
        <w:rPr/>
      </w:pPr>
      <w:r/>
    </w:p>
    <w:p>
      <w:pPr>
        <w:pStyle w:val="BodyText"/>
        <w:spacing w:line="303" w:lineRule="auto"/>
        <w:rPr/>
      </w:pPr>
      <w:r/>
    </w:p>
    <w:p>
      <w:pPr>
        <w:pStyle w:val="BodyText"/>
        <w:spacing w:line="303" w:lineRule="auto"/>
        <w:rPr/>
      </w:pPr>
      <w:r/>
    </w:p>
    <w:p>
      <w:pPr>
        <w:spacing w:before="71" w:line="213" w:lineRule="auto"/>
        <w:jc w:val="right"/>
        <w:rPr>
          <w:rFonts w:ascii="SimHei" w:hAnsi="SimHei" w:eastAsia="SimHei" w:cs="SimHei"/>
          <w:sz w:val="22"/>
          <w:szCs w:val="22"/>
        </w:rPr>
      </w:pPr>
      <w:r>
        <w:rPr>
          <w:rFonts w:ascii="SimHei" w:hAnsi="SimHei" w:eastAsia="SimHei" w:cs="SimHei"/>
          <w:sz w:val="22"/>
          <w:szCs w:val="22"/>
        </w:rPr>
        <w:t>第五百一十七条</w:t>
      </w:r>
      <w:r>
        <w:rPr>
          <w:rFonts w:ascii="SimHei" w:hAnsi="SimHei" w:eastAsia="SimHei" w:cs="SimHei"/>
          <w:sz w:val="22"/>
          <w:szCs w:val="22"/>
        </w:rPr>
        <w:t xml:space="preserve"> </w:t>
      </w:r>
      <w:r>
        <w:rPr>
          <w:rFonts w:ascii="SimHei" w:hAnsi="SimHei" w:eastAsia="SimHei" w:cs="SimHei"/>
          <w:sz w:val="22"/>
          <w:szCs w:val="22"/>
        </w:rPr>
        <w:t>职业健康检查机构未按规定参加实验室比对或者职业健康检查质量考核工作，或者参加质量考核</w:t>
      </w:r>
      <w:r>
        <w:rPr>
          <w:rFonts w:ascii="SimHei" w:hAnsi="SimHei" w:eastAsia="SimHei" w:cs="SimHei"/>
          <w:sz w:val="22"/>
          <w:szCs w:val="22"/>
          <w:spacing w:val="-1"/>
        </w:rPr>
        <w:t>不合格未按要求整改仍</w:t>
      </w:r>
    </w:p>
    <w:p>
      <w:pPr>
        <w:pStyle w:val="BodyText"/>
        <w:spacing w:line="302"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ind w:left="320"/>
            <w:spacing w:before="72" w:line="222" w:lineRule="auto"/>
            <w:tabs>
              <w:tab w:val="right" w:leader="dot" w:pos="13350"/>
            </w:tabs>
            <w:rPr>
              <w:rFonts w:ascii="Times New Roman" w:hAnsi="Times New Roman" w:eastAsia="Times New Roman" w:cs="Times New Roman"/>
              <w:sz w:val="22"/>
              <w:szCs w:val="22"/>
            </w:rPr>
          </w:pPr>
          <w:hyperlink w:history="true" w:anchor="bookmark656">
            <w:r>
              <w:rPr>
                <w:rFonts w:ascii="SimHei" w:hAnsi="SimHei" w:eastAsia="SimHei" w:cs="SimHei"/>
                <w:sz w:val="22"/>
                <w:szCs w:val="22"/>
                <w:spacing w:val="4"/>
              </w:rPr>
              <w:t>开展职业健康检查工作的</w:t>
            </w:r>
            <w:r>
              <w:rPr>
                <w:rFonts w:ascii="SimHei" w:hAnsi="SimHei" w:eastAsia="SimHei" w:cs="SimHei"/>
                <w:sz w:val="22"/>
                <w:szCs w:val="22"/>
                <w:spacing w:val="-96"/>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618</w:t>
            </w:r>
          </w:hyperlink>
        </w:p>
        <w:p>
          <w:pPr>
            <w:pStyle w:val="BodyText"/>
            <w:spacing w:line="304" w:lineRule="auto"/>
            <w:rPr/>
          </w:pPr>
          <w:r/>
        </w:p>
        <w:p>
          <w:pPr>
            <w:ind w:left="3"/>
            <w:spacing w:before="72" w:line="223" w:lineRule="auto"/>
            <w:tabs>
              <w:tab w:val="right" w:leader="dot" w:pos="13410"/>
            </w:tabs>
            <w:rPr>
              <w:rFonts w:ascii="Times New Roman" w:hAnsi="Times New Roman" w:eastAsia="Times New Roman" w:cs="Times New Roman"/>
              <w:sz w:val="22"/>
              <w:szCs w:val="22"/>
            </w:rPr>
          </w:pPr>
          <w:hyperlink w:history="true" w:anchor="bookmark657">
            <w:r>
              <w:rPr>
                <w:rFonts w:ascii="KaiTi" w:hAnsi="KaiTi" w:eastAsia="KaiTi" w:cs="KaiTi"/>
                <w:sz w:val="22"/>
                <w:szCs w:val="22"/>
                <w:b/>
                <w:bCs/>
                <w:spacing w:val="-9"/>
              </w:rPr>
              <w:t>(</w:t>
            </w:r>
            <w:r>
              <w:rPr>
                <w:rFonts w:ascii="KaiTi" w:hAnsi="KaiTi" w:eastAsia="KaiTi" w:cs="KaiTi"/>
                <w:sz w:val="22"/>
                <w:szCs w:val="22"/>
                <w:spacing w:val="-9"/>
              </w:rPr>
              <w:t xml:space="preserve"> </w:t>
            </w:r>
            <w:r>
              <w:rPr>
                <w:rFonts w:ascii="KaiTi" w:hAnsi="KaiTi" w:eastAsia="KaiTi" w:cs="KaiTi"/>
                <w:sz w:val="22"/>
                <w:szCs w:val="22"/>
                <w:b/>
                <w:bCs/>
                <w:spacing w:val="-9"/>
              </w:rPr>
              <w:t>六</w:t>
            </w:r>
            <w:r>
              <w:rPr>
                <w:rFonts w:ascii="KaiTi" w:hAnsi="KaiTi" w:eastAsia="KaiTi" w:cs="KaiTi"/>
                <w:sz w:val="22"/>
                <w:szCs w:val="22"/>
                <w:spacing w:val="-32"/>
              </w:rPr>
              <w:t xml:space="preserve"> </w:t>
            </w:r>
            <w:r>
              <w:rPr>
                <w:rFonts w:ascii="KaiTi" w:hAnsi="KaiTi" w:eastAsia="KaiTi" w:cs="KaiTi"/>
                <w:sz w:val="22"/>
                <w:szCs w:val="22"/>
                <w:b/>
                <w:bCs/>
                <w:spacing w:val="-9"/>
              </w:rPr>
              <w:t>)《职业病诊断与鉴定管理办法》</w:t>
            </w:r>
            <w:r>
              <w:rPr>
                <w:rFonts w:ascii="KaiTi" w:hAnsi="KaiTi" w:eastAsia="KaiTi" w:cs="KaiTi"/>
                <w:sz w:val="22"/>
                <w:szCs w:val="22"/>
              </w:rPr>
              <w:tab/>
            </w:r>
            <w:r>
              <w:rPr>
                <w:rFonts w:ascii="KaiTi" w:hAnsi="KaiTi" w:eastAsia="KaiTi" w:cs="KaiTi"/>
                <w:sz w:val="22"/>
                <w:szCs w:val="22"/>
                <w:spacing w:val="-50"/>
              </w:rPr>
              <w:t xml:space="preserve"> </w:t>
            </w:r>
            <w:r>
              <w:rPr>
                <w:rFonts w:ascii="Times New Roman" w:hAnsi="Times New Roman" w:eastAsia="Times New Roman" w:cs="Times New Roman"/>
                <w:sz w:val="22"/>
                <w:szCs w:val="22"/>
                <w:spacing w:val="-3"/>
              </w:rPr>
              <w:t>619</w:t>
            </w:r>
          </w:hyperlink>
        </w:p>
        <w:p>
          <w:pPr>
            <w:pStyle w:val="BodyText"/>
            <w:spacing w:line="327" w:lineRule="auto"/>
            <w:rPr/>
          </w:pPr>
          <w:r/>
        </w:p>
        <w:p>
          <w:pPr>
            <w:ind w:left="320"/>
            <w:spacing w:before="71" w:line="221" w:lineRule="auto"/>
            <w:tabs>
              <w:tab w:val="right" w:leader="dot" w:pos="13370"/>
            </w:tabs>
            <w:rPr>
              <w:rFonts w:ascii="Times New Roman" w:hAnsi="Times New Roman" w:eastAsia="Times New Roman" w:cs="Times New Roman"/>
              <w:sz w:val="22"/>
              <w:szCs w:val="22"/>
            </w:rPr>
          </w:pPr>
          <w:hyperlink w:history="true" w:anchor="bookmark658">
            <w:r>
              <w:rPr>
                <w:rFonts w:ascii="SimHei" w:hAnsi="SimHei" w:eastAsia="SimHei" w:cs="SimHei"/>
                <w:sz w:val="22"/>
                <w:szCs w:val="22"/>
                <w:spacing w:val="1"/>
              </w:rPr>
              <w:t>第五百一十八条</w:t>
            </w:r>
            <w:r>
              <w:rPr>
                <w:rFonts w:ascii="SimHei" w:hAnsi="SimHei" w:eastAsia="SimHei" w:cs="SimHei"/>
                <w:sz w:val="22"/>
                <w:szCs w:val="22"/>
                <w:spacing w:val="1"/>
              </w:rPr>
              <w:t xml:space="preserve"> </w:t>
            </w:r>
            <w:r>
              <w:rPr>
                <w:rFonts w:ascii="SimHei" w:hAnsi="SimHei" w:eastAsia="SimHei" w:cs="SimHei"/>
                <w:sz w:val="22"/>
                <w:szCs w:val="22"/>
                <w:spacing w:val="1"/>
              </w:rPr>
              <w:t>未按规定备案开展职业病诊断的</w:t>
            </w:r>
            <w:r>
              <w:rPr>
                <w:rFonts w:ascii="SimHei" w:hAnsi="SimHei" w:eastAsia="SimHei" w:cs="SimHei"/>
                <w:sz w:val="22"/>
                <w:szCs w:val="22"/>
                <w:spacing w:val="-94"/>
              </w:rPr>
              <w:t xml:space="preserve"> </w:t>
            </w:r>
            <w:r>
              <w:rPr>
                <w:rFonts w:ascii="SimHei" w:hAnsi="SimHei" w:eastAsia="SimHei" w:cs="SimHei"/>
                <w:sz w:val="22"/>
                <w:szCs w:val="22"/>
              </w:rPr>
              <w:tab/>
            </w:r>
            <w:r>
              <w:rPr>
                <w:rFonts w:ascii="SimHei" w:hAnsi="SimHei" w:eastAsia="SimHei" w:cs="SimHei"/>
                <w:sz w:val="22"/>
                <w:szCs w:val="22"/>
                <w:spacing w:val="-44"/>
              </w:rPr>
              <w:t xml:space="preserve"> </w:t>
            </w:r>
            <w:r>
              <w:rPr>
                <w:rFonts w:ascii="Times New Roman" w:hAnsi="Times New Roman" w:eastAsia="Times New Roman" w:cs="Times New Roman"/>
                <w:sz w:val="22"/>
                <w:szCs w:val="22"/>
                <w:spacing w:val="-3"/>
              </w:rPr>
              <w:t>619</w:t>
            </w:r>
          </w:hyperlink>
        </w:p>
        <w:p>
          <w:pPr>
            <w:pStyle w:val="BodyText"/>
            <w:spacing w:line="246" w:lineRule="auto"/>
            <w:rPr/>
          </w:pPr>
          <w:r/>
        </w:p>
        <w:p>
          <w:pPr>
            <w:pStyle w:val="BodyText"/>
            <w:spacing w:line="246" w:lineRule="auto"/>
            <w:rPr/>
          </w:pPr>
          <w:r/>
        </w:p>
        <w:p>
          <w:pPr>
            <w:ind w:left="320"/>
            <w:spacing w:before="71" w:line="221" w:lineRule="auto"/>
            <w:tabs>
              <w:tab w:val="right" w:leader="dot" w:pos="13390"/>
            </w:tabs>
            <w:rPr>
              <w:rFonts w:ascii="Times New Roman" w:hAnsi="Times New Roman" w:eastAsia="Times New Roman" w:cs="Times New Roman"/>
              <w:sz w:val="22"/>
              <w:szCs w:val="22"/>
            </w:rPr>
          </w:pPr>
          <w:hyperlink w:history="true" w:anchor="bookmark659">
            <w:r>
              <w:rPr>
                <w:rFonts w:ascii="SimHei" w:hAnsi="SimHei" w:eastAsia="SimHei" w:cs="SimHei"/>
                <w:sz w:val="22"/>
                <w:szCs w:val="22"/>
                <w:spacing w:val="-1"/>
              </w:rPr>
              <w:t>第五百一十九条</w:t>
            </w:r>
            <w:r>
              <w:rPr>
                <w:rFonts w:ascii="SimHei" w:hAnsi="SimHei" w:eastAsia="SimHei" w:cs="SimHei"/>
                <w:sz w:val="22"/>
                <w:szCs w:val="22"/>
                <w:spacing w:val="-1"/>
              </w:rPr>
              <w:t xml:space="preserve"> </w:t>
            </w:r>
            <w:r>
              <w:rPr>
                <w:rFonts w:ascii="SimHei" w:hAnsi="SimHei" w:eastAsia="SimHei" w:cs="SimHei"/>
                <w:sz w:val="22"/>
                <w:szCs w:val="22"/>
                <w:spacing w:val="-1"/>
              </w:rPr>
              <w:t>职业病诊断机构未建立职业病诊断管理制度的</w:t>
            </w:r>
            <w:r>
              <w:rPr>
                <w:rFonts w:ascii="SimHei" w:hAnsi="SimHei" w:eastAsia="SimHei" w:cs="SimHei"/>
                <w:sz w:val="22"/>
                <w:szCs w:val="22"/>
                <w:spacing w:val="-84"/>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620</w:t>
            </w:r>
          </w:hyperlink>
        </w:p>
        <w:p>
          <w:pPr>
            <w:pStyle w:val="BodyText"/>
            <w:spacing w:line="260" w:lineRule="auto"/>
            <w:rPr/>
          </w:pPr>
          <w:r/>
        </w:p>
        <w:p>
          <w:pPr>
            <w:pStyle w:val="BodyText"/>
            <w:spacing w:line="261" w:lineRule="auto"/>
            <w:rPr/>
          </w:pPr>
          <w:r/>
        </w:p>
        <w:p>
          <w:pPr>
            <w:ind w:left="320"/>
            <w:spacing w:before="73" w:line="221" w:lineRule="auto"/>
            <w:tabs>
              <w:tab w:val="right" w:leader="dot" w:pos="13370"/>
            </w:tabs>
            <w:rPr>
              <w:rFonts w:ascii="Times New Roman" w:hAnsi="Times New Roman" w:eastAsia="Times New Roman" w:cs="Times New Roman"/>
              <w:sz w:val="22"/>
              <w:szCs w:val="22"/>
            </w:rPr>
          </w:pPr>
          <w:hyperlink w:history="true" w:anchor="bookmark660">
            <w:r>
              <w:rPr>
                <w:rFonts w:ascii="SimHei" w:hAnsi="SimHei" w:eastAsia="SimHei" w:cs="SimHei"/>
                <w:sz w:val="22"/>
                <w:szCs w:val="22"/>
              </w:rPr>
              <w:t>第五百二十条</w:t>
            </w:r>
            <w:r>
              <w:rPr>
                <w:rFonts w:ascii="SimHei" w:hAnsi="SimHei" w:eastAsia="SimHei" w:cs="SimHei"/>
                <w:sz w:val="22"/>
                <w:szCs w:val="22"/>
              </w:rPr>
              <w:t xml:space="preserve"> </w:t>
            </w:r>
            <w:r>
              <w:rPr>
                <w:rFonts w:ascii="SimHei" w:hAnsi="SimHei" w:eastAsia="SimHei" w:cs="SimHei"/>
                <w:sz w:val="22"/>
                <w:szCs w:val="22"/>
              </w:rPr>
              <w:t>职业病诊断机构不按照规定向劳动者</w:t>
            </w:r>
            <w:r>
              <w:rPr>
                <w:rFonts w:ascii="SimHei" w:hAnsi="SimHei" w:eastAsia="SimHei" w:cs="SimHei"/>
                <w:sz w:val="22"/>
                <w:szCs w:val="22"/>
                <w:spacing w:val="-1"/>
              </w:rPr>
              <w:t>公开职业病诊断程序的</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24"/>
              </w:rPr>
              <w:t xml:space="preserve"> </w:t>
            </w:r>
            <w:r>
              <w:rPr>
                <w:rFonts w:ascii="Times New Roman" w:hAnsi="Times New Roman" w:eastAsia="Times New Roman" w:cs="Times New Roman"/>
                <w:sz w:val="22"/>
                <w:szCs w:val="22"/>
                <w:spacing w:val="-3"/>
              </w:rPr>
              <w:t>621</w:t>
            </w:r>
          </w:hyperlink>
        </w:p>
        <w:p>
          <w:pPr>
            <w:pStyle w:val="BodyText"/>
            <w:spacing w:line="442" w:lineRule="auto"/>
            <w:rPr/>
          </w:pPr>
          <w:r/>
        </w:p>
        <w:p>
          <w:pPr>
            <w:ind w:left="320"/>
            <w:spacing w:before="72" w:line="221" w:lineRule="auto"/>
            <w:tabs>
              <w:tab w:val="right" w:leader="dot" w:pos="13240"/>
            </w:tabs>
            <w:rPr>
              <w:rFonts w:ascii="Times New Roman" w:hAnsi="Times New Roman" w:eastAsia="Times New Roman" w:cs="Times New Roman"/>
              <w:sz w:val="22"/>
              <w:szCs w:val="22"/>
            </w:rPr>
          </w:pPr>
          <w:hyperlink w:history="true" w:anchor="bookmark661">
            <w:r>
              <w:rPr>
                <w:rFonts w:ascii="SimHei" w:hAnsi="SimHei" w:eastAsia="SimHei" w:cs="SimHei"/>
                <w:sz w:val="22"/>
                <w:szCs w:val="22"/>
                <w:spacing w:val="1"/>
              </w:rPr>
              <w:t>第五百二十一条</w:t>
            </w:r>
            <w:r>
              <w:rPr>
                <w:rFonts w:ascii="SimHei" w:hAnsi="SimHei" w:eastAsia="SimHei" w:cs="SimHei"/>
                <w:sz w:val="22"/>
                <w:szCs w:val="22"/>
                <w:spacing w:val="1"/>
              </w:rPr>
              <w:t xml:space="preserve"> </w:t>
            </w:r>
            <w:r>
              <w:rPr>
                <w:rFonts w:ascii="SimHei" w:hAnsi="SimHei" w:eastAsia="SimHei" w:cs="SimHei"/>
                <w:sz w:val="22"/>
                <w:szCs w:val="22"/>
                <w:spacing w:val="1"/>
              </w:rPr>
              <w:t>职业病诊断机构泄露劳动者涉及个人隐私的有关信息、资料的</w:t>
            </w:r>
            <w:r>
              <w:rPr>
                <w:rFonts w:ascii="SimHei" w:hAnsi="SimHei" w:eastAsia="SimHei" w:cs="SimHei"/>
                <w:sz w:val="22"/>
                <w:szCs w:val="22"/>
                <w:spacing w:val="-97"/>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622</w:t>
            </w:r>
          </w:hyperlink>
        </w:p>
        <w:p>
          <w:pPr>
            <w:pStyle w:val="BodyText"/>
            <w:spacing w:line="241" w:lineRule="auto"/>
            <w:rPr/>
          </w:pPr>
          <w:r/>
        </w:p>
        <w:p>
          <w:pPr>
            <w:pStyle w:val="BodyText"/>
            <w:spacing w:line="241" w:lineRule="auto"/>
            <w:rPr/>
          </w:pPr>
          <w:r/>
        </w:p>
        <w:p>
          <w:pPr>
            <w:ind w:left="320"/>
            <w:spacing w:before="72" w:line="213" w:lineRule="auto"/>
            <w:tabs>
              <w:tab w:val="right" w:leader="dot" w:pos="13240"/>
            </w:tabs>
            <w:rPr>
              <w:rFonts w:ascii="Times New Roman" w:hAnsi="Times New Roman" w:eastAsia="Times New Roman" w:cs="Times New Roman"/>
              <w:sz w:val="22"/>
              <w:szCs w:val="22"/>
            </w:rPr>
          </w:pPr>
          <w:hyperlink w:history="true" w:anchor="bookmark662">
            <w:r>
              <w:rPr>
                <w:rFonts w:ascii="SimHei" w:hAnsi="SimHei" w:eastAsia="SimHei" w:cs="SimHei"/>
                <w:sz w:val="22"/>
                <w:szCs w:val="22"/>
              </w:rPr>
              <w:t>第五百二十二条</w:t>
            </w:r>
            <w:r>
              <w:rPr>
                <w:rFonts w:ascii="SimHei" w:hAnsi="SimHei" w:eastAsia="SimHei" w:cs="SimHei"/>
                <w:sz w:val="22"/>
                <w:szCs w:val="22"/>
              </w:rPr>
              <w:t xml:space="preserve"> </w:t>
            </w:r>
            <w:r>
              <w:rPr>
                <w:rFonts w:ascii="SimHei" w:hAnsi="SimHei" w:eastAsia="SimHei" w:cs="SimHei"/>
                <w:sz w:val="22"/>
                <w:szCs w:val="22"/>
              </w:rPr>
              <w:t>职业病诊断机构未按照规定参加质量控制评估，或者质量控制评估不合格且未按要求整改的</w:t>
            </w:r>
            <w:r>
              <w:rPr>
                <w:rFonts w:ascii="SimHei" w:hAnsi="SimHei" w:eastAsia="SimHei" w:cs="SimHei"/>
                <w:sz w:val="22"/>
                <w:szCs w:val="22"/>
                <w:spacing w:val="-82"/>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623</w:t>
            </w:r>
          </w:hyperlink>
        </w:p>
        <w:p>
          <w:pPr>
            <w:pStyle w:val="BodyText"/>
            <w:spacing w:line="250" w:lineRule="auto"/>
            <w:rPr/>
          </w:pPr>
          <w:r/>
        </w:p>
        <w:p>
          <w:pPr>
            <w:pStyle w:val="BodyText"/>
            <w:spacing w:line="250" w:lineRule="auto"/>
            <w:rPr/>
          </w:pPr>
          <w:r/>
        </w:p>
        <w:p>
          <w:pPr>
            <w:ind w:left="320"/>
            <w:spacing w:before="72" w:line="221" w:lineRule="auto"/>
            <w:tabs>
              <w:tab w:val="right" w:leader="dot" w:pos="13370"/>
            </w:tabs>
            <w:rPr>
              <w:rFonts w:ascii="Times New Roman" w:hAnsi="Times New Roman" w:eastAsia="Times New Roman" w:cs="Times New Roman"/>
              <w:sz w:val="22"/>
              <w:szCs w:val="22"/>
            </w:rPr>
          </w:pPr>
          <w:hyperlink w:history="true" w:anchor="bookmark663">
            <w:r>
              <w:rPr>
                <w:rFonts w:ascii="SimHei" w:hAnsi="SimHei" w:eastAsia="SimHei" w:cs="SimHei"/>
                <w:sz w:val="22"/>
                <w:szCs w:val="22"/>
              </w:rPr>
              <w:t>第五百二十三条</w:t>
            </w:r>
            <w:r>
              <w:rPr>
                <w:rFonts w:ascii="SimHei" w:hAnsi="SimHei" w:eastAsia="SimHei" w:cs="SimHei"/>
                <w:sz w:val="22"/>
                <w:szCs w:val="22"/>
              </w:rPr>
              <w:t xml:space="preserve"> </w:t>
            </w:r>
            <w:r>
              <w:rPr>
                <w:rFonts w:ascii="SimHei" w:hAnsi="SimHei" w:eastAsia="SimHei" w:cs="SimHei"/>
                <w:sz w:val="22"/>
                <w:szCs w:val="22"/>
              </w:rPr>
              <w:t>职业病诊断机构拒不配合卫生健</w:t>
            </w:r>
            <w:r>
              <w:rPr>
                <w:rFonts w:ascii="SimHei" w:hAnsi="SimHei" w:eastAsia="SimHei" w:cs="SimHei"/>
                <w:sz w:val="22"/>
                <w:szCs w:val="22"/>
                <w:spacing w:val="-1"/>
              </w:rPr>
              <w:t>康主管部门监督检查的</w:t>
            </w:r>
            <w:r>
              <w:rPr>
                <w:rFonts w:ascii="SimHei" w:hAnsi="SimHei" w:eastAsia="SimHei" w:cs="SimHei"/>
                <w:sz w:val="22"/>
                <w:szCs w:val="22"/>
              </w:rPr>
              <w:tab/>
            </w:r>
            <w:r>
              <w:rPr>
                <w:rFonts w:ascii="Times New Roman" w:hAnsi="Times New Roman" w:eastAsia="Times New Roman" w:cs="Times New Roman"/>
                <w:sz w:val="22"/>
                <w:szCs w:val="22"/>
                <w:spacing w:val="-1"/>
              </w:rPr>
              <w:t>624</w:t>
            </w:r>
          </w:hyperlink>
        </w:p>
        <w:p>
          <w:pPr>
            <w:pStyle w:val="BodyText"/>
            <w:spacing w:line="299" w:lineRule="auto"/>
            <w:rPr/>
          </w:pPr>
          <w:r/>
        </w:p>
        <w:p>
          <w:pPr>
            <w:spacing w:before="73" w:line="223" w:lineRule="auto"/>
            <w:tabs>
              <w:tab w:val="right" w:leader="dot" w:pos="13420"/>
            </w:tabs>
            <w:rPr>
              <w:rFonts w:ascii="Times New Roman" w:hAnsi="Times New Roman" w:eastAsia="Times New Roman" w:cs="Times New Roman"/>
              <w:sz w:val="22"/>
              <w:szCs w:val="22"/>
            </w:rPr>
          </w:pPr>
          <w:hyperlink w:history="true" w:anchor="bookmark664">
            <w:r>
              <w:rPr>
                <w:rFonts w:ascii="KaiTi" w:hAnsi="KaiTi" w:eastAsia="KaiTi" w:cs="KaiTi"/>
                <w:sz w:val="22"/>
                <w:szCs w:val="22"/>
                <w:spacing w:val="-6"/>
              </w:rPr>
              <w:t>(</w:t>
            </w:r>
            <w:r>
              <w:rPr>
                <w:rFonts w:ascii="KaiTi" w:hAnsi="KaiTi" w:eastAsia="KaiTi" w:cs="KaiTi"/>
                <w:sz w:val="22"/>
                <w:szCs w:val="22"/>
                <w:spacing w:val="-19"/>
              </w:rPr>
              <w:t xml:space="preserve"> </w:t>
            </w:r>
            <w:r>
              <w:rPr>
                <w:rFonts w:ascii="KaiTi" w:hAnsi="KaiTi" w:eastAsia="KaiTi" w:cs="KaiTi"/>
                <w:sz w:val="22"/>
                <w:szCs w:val="22"/>
                <w:spacing w:val="-6"/>
              </w:rPr>
              <w:t>七</w:t>
            </w:r>
            <w:r>
              <w:rPr>
                <w:rFonts w:ascii="KaiTi" w:hAnsi="KaiTi" w:eastAsia="KaiTi" w:cs="KaiTi"/>
                <w:sz w:val="22"/>
                <w:szCs w:val="22"/>
                <w:spacing w:val="-38"/>
              </w:rPr>
              <w:t xml:space="preserve"> </w:t>
            </w:r>
            <w:r>
              <w:rPr>
                <w:rFonts w:ascii="KaiTi" w:hAnsi="KaiTi" w:eastAsia="KaiTi" w:cs="KaiTi"/>
                <w:sz w:val="22"/>
                <w:szCs w:val="22"/>
                <w:spacing w:val="-6"/>
              </w:rPr>
              <w:t>)《职业卫生技术服务机构管理办法》</w:t>
            </w:r>
            <w:r>
              <w:rPr>
                <w:rFonts w:ascii="KaiTi" w:hAnsi="KaiTi" w:eastAsia="KaiTi" w:cs="KaiTi"/>
                <w:sz w:val="22"/>
                <w:szCs w:val="22"/>
              </w:rPr>
              <w:tab/>
            </w:r>
            <w:r>
              <w:rPr>
                <w:rFonts w:ascii="KaiTi" w:hAnsi="KaiTi" w:eastAsia="KaiTi" w:cs="KaiTi"/>
                <w:sz w:val="22"/>
                <w:szCs w:val="22"/>
                <w:spacing w:val="-14"/>
              </w:rPr>
              <w:t xml:space="preserve"> </w:t>
            </w:r>
            <w:r>
              <w:rPr>
                <w:rFonts w:ascii="Times New Roman" w:hAnsi="Times New Roman" w:eastAsia="Times New Roman" w:cs="Times New Roman"/>
                <w:sz w:val="22"/>
                <w:szCs w:val="22"/>
                <w:spacing w:val="-3"/>
              </w:rPr>
              <w:t>625</w:t>
            </w:r>
          </w:hyperlink>
        </w:p>
        <w:p>
          <w:pPr>
            <w:pStyle w:val="BodyText"/>
            <w:spacing w:line="334" w:lineRule="auto"/>
            <w:rPr/>
          </w:pPr>
          <w:r/>
        </w:p>
        <w:p>
          <w:pPr>
            <w:ind w:left="320"/>
            <w:spacing w:before="71" w:line="221" w:lineRule="auto"/>
            <w:tabs>
              <w:tab w:val="right" w:leader="dot" w:pos="13380"/>
            </w:tabs>
            <w:rPr>
              <w:rFonts w:ascii="Times New Roman" w:hAnsi="Times New Roman" w:eastAsia="Times New Roman" w:cs="Times New Roman"/>
              <w:sz w:val="22"/>
              <w:szCs w:val="22"/>
            </w:rPr>
          </w:pPr>
          <w:hyperlink w:history="true" w:anchor="bookmark665">
            <w:r>
              <w:rPr>
                <w:rFonts w:ascii="SimHei" w:hAnsi="SimHei" w:eastAsia="SimHei" w:cs="SimHei"/>
                <w:sz w:val="22"/>
                <w:szCs w:val="22"/>
                <w:spacing w:val="1"/>
              </w:rPr>
              <w:t>第五百二十四条</w:t>
            </w:r>
            <w:r>
              <w:rPr>
                <w:rFonts w:ascii="SimHei" w:hAnsi="SimHei" w:eastAsia="SimHei" w:cs="SimHei"/>
                <w:sz w:val="22"/>
                <w:szCs w:val="22"/>
                <w:spacing w:val="1"/>
              </w:rPr>
              <w:t xml:space="preserve"> </w:t>
            </w:r>
            <w:r>
              <w:rPr>
                <w:rFonts w:ascii="SimHei" w:hAnsi="SimHei" w:eastAsia="SimHei" w:cs="SimHei"/>
                <w:sz w:val="22"/>
                <w:szCs w:val="22"/>
                <w:spacing w:val="1"/>
              </w:rPr>
              <w:t>隐瞒有关情况或者提供虚假材料申请职业卫生技术服务机构资质认</w:t>
            </w:r>
            <w:r>
              <w:rPr>
                <w:rFonts w:ascii="SimHei" w:hAnsi="SimHei" w:eastAsia="SimHei" w:cs="SimHei"/>
                <w:sz w:val="22"/>
                <w:szCs w:val="22"/>
              </w:rPr>
              <w:t>可的</w:t>
            </w:r>
            <w:r>
              <w:rPr>
                <w:rFonts w:ascii="SimHei" w:hAnsi="SimHei" w:eastAsia="SimHei" w:cs="SimHei"/>
                <w:sz w:val="22"/>
                <w:szCs w:val="22"/>
                <w:spacing w:val="-98"/>
              </w:rPr>
              <w:t xml:space="preserve"> </w:t>
            </w:r>
            <w:r>
              <w:rPr>
                <w:rFonts w:ascii="SimHei" w:hAnsi="SimHei" w:eastAsia="SimHei" w:cs="SimHei"/>
                <w:sz w:val="22"/>
                <w:szCs w:val="22"/>
              </w:rPr>
              <w:tab/>
            </w:r>
            <w:r>
              <w:rPr>
                <w:rFonts w:ascii="SimHei" w:hAnsi="SimHei" w:eastAsia="SimHei" w:cs="SimHei"/>
                <w:sz w:val="22"/>
                <w:szCs w:val="22"/>
                <w:spacing w:val="-44"/>
              </w:rPr>
              <w:t xml:space="preserve"> </w:t>
            </w:r>
            <w:r>
              <w:rPr>
                <w:rFonts w:ascii="Times New Roman" w:hAnsi="Times New Roman" w:eastAsia="Times New Roman" w:cs="Times New Roman"/>
                <w:sz w:val="22"/>
                <w:szCs w:val="22"/>
                <w:spacing w:val="-3"/>
              </w:rPr>
              <w:t>625</w:t>
            </w:r>
          </w:hyperlink>
        </w:p>
      </w:sdtContent>
    </w:sdt>
    <w:p>
      <w:pPr>
        <w:spacing w:line="221" w:lineRule="auto"/>
        <w:sectPr>
          <w:footerReference w:type="default" r:id="rId63"/>
          <w:pgSz w:w="16830" w:h="11900"/>
          <w:pgMar w:top="1011" w:right="1428" w:bottom="1134" w:left="1969" w:header="0" w:footer="792" w:gutter="0"/>
        </w:sectPr>
        <w:rPr>
          <w:rFonts w:ascii="Times New Roman" w:hAnsi="Times New Roman" w:eastAsia="Times New Roman" w:cs="Times New Roman"/>
          <w:sz w:val="22"/>
          <w:szCs w:val="22"/>
        </w:rPr>
      </w:pPr>
    </w:p>
    <w:p>
      <w:pPr>
        <w:pStyle w:val="BodyText"/>
        <w:spacing w:line="306" w:lineRule="auto"/>
        <w:rPr/>
      </w:pPr>
      <w:r/>
    </w:p>
    <w:p>
      <w:pPr>
        <w:pStyle w:val="BodyText"/>
        <w:spacing w:line="306" w:lineRule="auto"/>
        <w:rPr/>
      </w:pPr>
      <w:r/>
    </w:p>
    <w:p>
      <w:pPr>
        <w:pStyle w:val="BodyText"/>
        <w:spacing w:line="306"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spacing w:before="71" w:line="221" w:lineRule="auto"/>
            <w:tabs>
              <w:tab w:val="right" w:leader="dot" w:pos="13040"/>
            </w:tabs>
            <w:rPr>
              <w:rFonts w:ascii="Times New Roman" w:hAnsi="Times New Roman" w:eastAsia="Times New Roman" w:cs="Times New Roman"/>
              <w:sz w:val="22"/>
              <w:szCs w:val="22"/>
            </w:rPr>
          </w:pPr>
          <w:hyperlink w:history="true" w:anchor="bookmark666">
            <w:r>
              <w:rPr>
                <w:rFonts w:ascii="SimHei" w:hAnsi="SimHei" w:eastAsia="SimHei" w:cs="SimHei"/>
                <w:sz w:val="22"/>
                <w:szCs w:val="22"/>
              </w:rPr>
              <w:t>第五百二十五条</w:t>
            </w:r>
            <w:r>
              <w:rPr>
                <w:rFonts w:ascii="SimHei" w:hAnsi="SimHei" w:eastAsia="SimHei" w:cs="SimHei"/>
                <w:sz w:val="22"/>
                <w:szCs w:val="22"/>
              </w:rPr>
              <w:t xml:space="preserve"> </w:t>
            </w:r>
            <w:r>
              <w:rPr>
                <w:rFonts w:ascii="SimHei" w:hAnsi="SimHei" w:eastAsia="SimHei" w:cs="SimHei"/>
                <w:sz w:val="22"/>
                <w:szCs w:val="22"/>
              </w:rPr>
              <w:t>以欺骗、贿赂等不正当手段取得职业卫生技</w:t>
            </w:r>
            <w:r>
              <w:rPr>
                <w:rFonts w:ascii="SimHei" w:hAnsi="SimHei" w:eastAsia="SimHei" w:cs="SimHei"/>
                <w:sz w:val="22"/>
                <w:szCs w:val="22"/>
                <w:spacing w:val="-1"/>
              </w:rPr>
              <w:t>术服务机构资质认可的</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34"/>
              </w:rPr>
              <w:t xml:space="preserve"> </w:t>
            </w:r>
            <w:r>
              <w:rPr>
                <w:rFonts w:ascii="Times New Roman" w:hAnsi="Times New Roman" w:eastAsia="Times New Roman" w:cs="Times New Roman"/>
                <w:sz w:val="22"/>
                <w:szCs w:val="22"/>
                <w:spacing w:val="-3"/>
              </w:rPr>
              <w:t>626</w:t>
            </w:r>
          </w:hyperlink>
        </w:p>
        <w:p>
          <w:pPr>
            <w:pStyle w:val="BodyText"/>
            <w:spacing w:line="472" w:lineRule="auto"/>
            <w:rPr/>
          </w:pPr>
          <w:r/>
        </w:p>
        <w:p>
          <w:pPr>
            <w:spacing w:before="72" w:line="213" w:lineRule="auto"/>
            <w:jc w:val="right"/>
            <w:rPr>
              <w:rFonts w:ascii="SimHei" w:hAnsi="SimHei" w:eastAsia="SimHei" w:cs="SimHei"/>
              <w:sz w:val="22"/>
              <w:szCs w:val="22"/>
            </w:rPr>
          </w:pPr>
          <w:hyperlink w:history="true" w:anchor="bookmark667">
            <w:r>
              <w:rPr>
                <w:rFonts w:ascii="SimHei" w:hAnsi="SimHei" w:eastAsia="SimHei" w:cs="SimHei"/>
                <w:sz w:val="22"/>
                <w:szCs w:val="22"/>
              </w:rPr>
              <w:t>第五百二十六条</w:t>
            </w:r>
            <w:r>
              <w:rPr>
                <w:rFonts w:ascii="SimHei" w:hAnsi="SimHei" w:eastAsia="SimHei" w:cs="SimHei"/>
                <w:sz w:val="22"/>
                <w:szCs w:val="22"/>
              </w:rPr>
              <w:t xml:space="preserve"> </w:t>
            </w:r>
            <w:r>
              <w:rPr>
                <w:rFonts w:ascii="SimHei" w:hAnsi="SimHei" w:eastAsia="SimHei" w:cs="SimHei"/>
                <w:sz w:val="22"/>
                <w:szCs w:val="22"/>
              </w:rPr>
              <w:t>涂改、倒卖、出租、出借职业卫生技术服务机构资质证书，或者以其他形式非法转让职业卫生技</w:t>
            </w:r>
            <w:r>
              <w:rPr>
                <w:rFonts w:ascii="SimHei" w:hAnsi="SimHei" w:eastAsia="SimHei" w:cs="SimHei"/>
                <w:sz w:val="22"/>
                <w:szCs w:val="22"/>
                <w:spacing w:val="-1"/>
              </w:rPr>
              <w:t>术服务机构资质证书的</w:t>
            </w:r>
          </w:hyperlink>
        </w:p>
        <w:p>
          <w:pPr>
            <w:pStyle w:val="BodyText"/>
            <w:spacing w:line="263" w:lineRule="auto"/>
            <w:rPr/>
          </w:pPr>
          <w:r/>
        </w:p>
        <w:p>
          <w:pPr>
            <w:ind w:left="59"/>
            <w:spacing w:before="42" w:line="242" w:lineRule="auto"/>
            <w:tabs>
              <w:tab w:val="right" w:leader="dot" w:pos="12920"/>
            </w:tabs>
            <w:rPr>
              <w:rFonts w:ascii="SimHei" w:hAnsi="SimHei" w:eastAsia="SimHei" w:cs="SimHei"/>
              <w:sz w:val="13"/>
              <w:szCs w:val="13"/>
            </w:rPr>
          </w:pPr>
          <w:hyperlink w:history="true" w:anchor="bookmark668">
            <w:r>
              <w:rPr>
                <w:rFonts w:ascii="SimHei" w:hAnsi="SimHei" w:eastAsia="SimHei" w:cs="SimHei"/>
                <w:sz w:val="13"/>
                <w:szCs w:val="13"/>
                <w:position w:val="1"/>
              </w:rPr>
              <w:drawing>
                <wp:inline distT="0" distB="0" distL="0" distR="0">
                  <wp:extent cx="1301789" cy="31737"/>
                  <wp:effectExtent l="0" t="0" r="0" b="0"/>
                  <wp:docPr id="2" name="IM 2"/>
                  <wp:cNvGraphicFramePr/>
                  <a:graphic>
                    <a:graphicData uri="http://schemas.openxmlformats.org/drawingml/2006/picture">
                      <pic:pic>
                        <pic:nvPicPr>
                          <pic:cNvPr id="2" name="IM 2"/>
                          <pic:cNvPicPr/>
                        </pic:nvPicPr>
                        <pic:blipFill>
                          <a:blip r:embed="rId65"/>
                          <a:stretch>
                            <a:fillRect/>
                          </a:stretch>
                        </pic:blipFill>
                        <pic:spPr>
                          <a:xfrm rot="0">
                            <a:off x="0" y="0"/>
                            <a:ext cx="1301789" cy="31737"/>
                          </a:xfrm>
                          <a:prstGeom prst="rect">
                            <a:avLst/>
                          </a:prstGeom>
                        </pic:spPr>
                      </pic:pic>
                    </a:graphicData>
                  </a:graphic>
                </wp:inline>
              </w:drawing>
            </w:r>
            <w:r>
              <w:rPr>
                <w:rFonts w:ascii="SimHei" w:hAnsi="SimHei" w:eastAsia="SimHei" w:cs="SimHei"/>
                <w:sz w:val="13"/>
                <w:szCs w:val="13"/>
                <w:spacing w:val="-6"/>
              </w:rPr>
              <w:t xml:space="preserve"> </w:t>
            </w:r>
            <w:r>
              <w:rPr>
                <w:rFonts w:ascii="SimHei" w:hAnsi="SimHei" w:eastAsia="SimHei" w:cs="SimHei"/>
                <w:sz w:val="13"/>
                <w:szCs w:val="13"/>
              </w:rPr>
              <w:tab/>
            </w:r>
            <w:r>
              <w:rPr>
                <w:rFonts w:ascii="SimHei" w:hAnsi="SimHei" w:eastAsia="SimHei" w:cs="SimHei"/>
                <w:sz w:val="13"/>
                <w:szCs w:val="13"/>
                <w:spacing w:val="-21"/>
              </w:rPr>
              <w:t xml:space="preserve"> </w:t>
            </w:r>
            <w:r>
              <w:rPr>
                <w:rFonts w:ascii="SimHei" w:hAnsi="SimHei" w:eastAsia="SimHei" w:cs="SimHei"/>
                <w:sz w:val="13"/>
                <w:szCs w:val="13"/>
                <w:spacing w:val="-2"/>
              </w:rPr>
              <w:t>626</w:t>
            </w:r>
          </w:hyperlink>
        </w:p>
        <w:p>
          <w:pPr>
            <w:pStyle w:val="BodyText"/>
            <w:spacing w:line="344" w:lineRule="auto"/>
            <w:rPr/>
          </w:pPr>
          <w:r/>
        </w:p>
        <w:p>
          <w:pPr>
            <w:spacing w:before="71" w:line="221" w:lineRule="auto"/>
            <w:tabs>
              <w:tab w:val="right" w:leader="dot" w:pos="13040"/>
            </w:tabs>
            <w:rPr>
              <w:rFonts w:ascii="Times New Roman" w:hAnsi="Times New Roman" w:eastAsia="Times New Roman" w:cs="Times New Roman"/>
              <w:sz w:val="22"/>
              <w:szCs w:val="22"/>
            </w:rPr>
          </w:pPr>
          <w:hyperlink w:history="true" w:anchor="bookmark669">
            <w:r>
              <w:rPr>
                <w:rFonts w:ascii="SimHei" w:hAnsi="SimHei" w:eastAsia="SimHei" w:cs="SimHei"/>
                <w:sz w:val="22"/>
                <w:szCs w:val="22"/>
                <w:spacing w:val="1"/>
              </w:rPr>
              <w:t>第五百二十七条</w:t>
            </w:r>
            <w:r>
              <w:rPr>
                <w:rFonts w:ascii="SimHei" w:hAnsi="SimHei" w:eastAsia="SimHei" w:cs="SimHei"/>
                <w:sz w:val="22"/>
                <w:szCs w:val="22"/>
                <w:spacing w:val="1"/>
              </w:rPr>
              <w:t xml:space="preserve"> </w:t>
            </w:r>
            <w:r>
              <w:rPr>
                <w:rFonts w:ascii="SimHei" w:hAnsi="SimHei" w:eastAsia="SimHei" w:cs="SimHei"/>
                <w:sz w:val="22"/>
                <w:szCs w:val="22"/>
                <w:spacing w:val="1"/>
              </w:rPr>
              <w:t>未按规定向技术服务所在地卫生健康主管部门报送职业卫生技术服</w:t>
            </w:r>
            <w:r>
              <w:rPr>
                <w:rFonts w:ascii="SimHei" w:hAnsi="SimHei" w:eastAsia="SimHei" w:cs="SimHei"/>
                <w:sz w:val="22"/>
                <w:szCs w:val="22"/>
              </w:rPr>
              <w:t>务相关信息的</w:t>
            </w:r>
            <w:r>
              <w:rPr>
                <w:rFonts w:ascii="SimHei" w:hAnsi="SimHei" w:eastAsia="SimHei" w:cs="SimHei"/>
                <w:sz w:val="22"/>
                <w:szCs w:val="22"/>
                <w:spacing w:val="-99"/>
              </w:rPr>
              <w:t xml:space="preserve"> </w:t>
            </w:r>
            <w:r>
              <w:rPr>
                <w:rFonts w:ascii="SimHei" w:hAnsi="SimHei" w:eastAsia="SimHei" w:cs="SimHei"/>
                <w:sz w:val="22"/>
                <w:szCs w:val="22"/>
              </w:rPr>
              <w:tab/>
            </w:r>
            <w:r>
              <w:rPr>
                <w:rFonts w:ascii="SimHei" w:hAnsi="SimHei" w:eastAsia="SimHei" w:cs="SimHei"/>
                <w:sz w:val="22"/>
                <w:szCs w:val="22"/>
                <w:spacing w:val="-64"/>
              </w:rPr>
              <w:t xml:space="preserve"> </w:t>
            </w:r>
            <w:r>
              <w:rPr>
                <w:rFonts w:ascii="Times New Roman" w:hAnsi="Times New Roman" w:eastAsia="Times New Roman" w:cs="Times New Roman"/>
                <w:sz w:val="22"/>
                <w:szCs w:val="22"/>
                <w:spacing w:val="-3"/>
              </w:rPr>
              <w:t>627</w:t>
            </w:r>
          </w:hyperlink>
        </w:p>
        <w:p>
          <w:pPr>
            <w:pStyle w:val="BodyText"/>
            <w:spacing w:line="241" w:lineRule="auto"/>
            <w:rPr/>
          </w:pPr>
          <w:r/>
        </w:p>
        <w:p>
          <w:pPr>
            <w:pStyle w:val="BodyText"/>
            <w:spacing w:line="241" w:lineRule="auto"/>
            <w:rPr/>
          </w:pPr>
          <w:r/>
        </w:p>
        <w:p>
          <w:pPr>
            <w:spacing w:before="72" w:line="222" w:lineRule="auto"/>
            <w:tabs>
              <w:tab w:val="right" w:leader="dot" w:pos="13040"/>
            </w:tabs>
            <w:rPr>
              <w:rFonts w:ascii="Times New Roman" w:hAnsi="Times New Roman" w:eastAsia="Times New Roman" w:cs="Times New Roman"/>
              <w:sz w:val="22"/>
              <w:szCs w:val="22"/>
            </w:rPr>
          </w:pPr>
          <w:hyperlink w:history="true" w:anchor="bookmark670">
            <w:r>
              <w:rPr>
                <w:rFonts w:ascii="SimHei" w:hAnsi="SimHei" w:eastAsia="SimHei" w:cs="SimHei"/>
                <w:sz w:val="22"/>
                <w:szCs w:val="22"/>
              </w:rPr>
              <w:t>第五百二十八条</w:t>
            </w:r>
            <w:r>
              <w:rPr>
                <w:rFonts w:ascii="SimHei" w:hAnsi="SimHei" w:eastAsia="SimHei" w:cs="SimHei"/>
                <w:sz w:val="22"/>
                <w:szCs w:val="22"/>
              </w:rPr>
              <w:t xml:space="preserve"> </w:t>
            </w:r>
            <w:r>
              <w:rPr>
                <w:rFonts w:ascii="SimHei" w:hAnsi="SimHei" w:eastAsia="SimHei" w:cs="SimHei"/>
                <w:sz w:val="22"/>
                <w:szCs w:val="22"/>
              </w:rPr>
              <w:t>未按规定在网上公开职业卫</w:t>
            </w:r>
            <w:r>
              <w:rPr>
                <w:rFonts w:ascii="SimHei" w:hAnsi="SimHei" w:eastAsia="SimHei" w:cs="SimHei"/>
                <w:sz w:val="22"/>
                <w:szCs w:val="22"/>
                <w:spacing w:val="-1"/>
              </w:rPr>
              <w:t>生技术报告相关信息的</w:t>
            </w:r>
            <w:r>
              <w:rPr>
                <w:rFonts w:ascii="SimHei" w:hAnsi="SimHei" w:eastAsia="SimHei" w:cs="SimHei"/>
                <w:sz w:val="22"/>
                <w:szCs w:val="22"/>
              </w:rPr>
              <w:tab/>
            </w:r>
            <w:r>
              <w:rPr>
                <w:rFonts w:ascii="SimHei" w:hAnsi="SimHei" w:eastAsia="SimHei" w:cs="SimHei"/>
                <w:sz w:val="22"/>
                <w:szCs w:val="22"/>
                <w:spacing w:val="-4"/>
              </w:rPr>
              <w:t xml:space="preserve"> </w:t>
            </w:r>
            <w:r>
              <w:rPr>
                <w:rFonts w:ascii="Times New Roman" w:hAnsi="Times New Roman" w:eastAsia="Times New Roman" w:cs="Times New Roman"/>
                <w:sz w:val="22"/>
                <w:szCs w:val="22"/>
                <w:spacing w:val="-3"/>
              </w:rPr>
              <w:t>628</w:t>
            </w:r>
          </w:hyperlink>
        </w:p>
        <w:p>
          <w:pPr>
            <w:pStyle w:val="BodyText"/>
            <w:spacing w:line="255" w:lineRule="auto"/>
            <w:rPr/>
          </w:pPr>
          <w:r/>
        </w:p>
        <w:p>
          <w:pPr>
            <w:pStyle w:val="BodyText"/>
            <w:spacing w:line="255" w:lineRule="auto"/>
            <w:rPr/>
          </w:pPr>
          <w:r/>
        </w:p>
        <w:p>
          <w:pPr>
            <w:spacing w:before="73" w:line="213" w:lineRule="auto"/>
            <w:tabs>
              <w:tab w:val="right" w:leader="dot" w:pos="13060"/>
            </w:tabs>
            <w:rPr>
              <w:rFonts w:ascii="Times New Roman" w:hAnsi="Times New Roman" w:eastAsia="Times New Roman" w:cs="Times New Roman"/>
              <w:sz w:val="22"/>
              <w:szCs w:val="22"/>
            </w:rPr>
          </w:pPr>
          <w:hyperlink w:history="true" w:anchor="bookmark671">
            <w:r>
              <w:rPr>
                <w:rFonts w:ascii="SimHei" w:hAnsi="SimHei" w:eastAsia="SimHei" w:cs="SimHei"/>
                <w:sz w:val="22"/>
                <w:szCs w:val="22"/>
                <w:spacing w:val="-4"/>
              </w:rPr>
              <w:t>第五百二十九条</w:t>
            </w:r>
            <w:r>
              <w:rPr>
                <w:rFonts w:ascii="SimHei" w:hAnsi="SimHei" w:eastAsia="SimHei" w:cs="SimHei"/>
                <w:sz w:val="22"/>
                <w:szCs w:val="22"/>
                <w:spacing w:val="-4"/>
              </w:rPr>
              <w:t xml:space="preserve"> </w:t>
            </w:r>
            <w:r>
              <w:rPr>
                <w:rFonts w:ascii="SimHei" w:hAnsi="SimHei" w:eastAsia="SimHei" w:cs="SimHei"/>
                <w:sz w:val="22"/>
                <w:szCs w:val="22"/>
                <w:spacing w:val="-4"/>
              </w:rPr>
              <w:t>未按标准规范开展职业卫生技术服务，或者擅自更改、简化</w:t>
            </w:r>
            <w:r>
              <w:rPr>
                <w:rFonts w:ascii="SimHei" w:hAnsi="SimHei" w:eastAsia="SimHei" w:cs="SimHei"/>
                <w:sz w:val="22"/>
                <w:szCs w:val="22"/>
                <w:spacing w:val="-5"/>
              </w:rPr>
              <w:t>服务程序和相关内容</w:t>
            </w:r>
            <w:r>
              <w:rPr>
                <w:rFonts w:ascii="SimHei" w:hAnsi="SimHei" w:eastAsia="SimHei" w:cs="SimHei"/>
                <w:sz w:val="22"/>
                <w:szCs w:val="22"/>
                <w:spacing w:val="-90"/>
              </w:rPr>
              <w:t xml:space="preserve"> </w:t>
            </w:r>
            <w:r>
              <w:rPr>
                <w:rFonts w:ascii="SimHei" w:hAnsi="SimHei" w:eastAsia="SimHei" w:cs="SimHei"/>
                <w:sz w:val="22"/>
                <w:szCs w:val="22"/>
              </w:rPr>
              <w:tab/>
            </w:r>
            <w:r>
              <w:rPr>
                <w:rFonts w:ascii="SimHei" w:hAnsi="SimHei" w:eastAsia="SimHei" w:cs="SimHei"/>
                <w:sz w:val="22"/>
                <w:szCs w:val="22"/>
                <w:spacing w:val="-54"/>
              </w:rPr>
              <w:t xml:space="preserve"> </w:t>
            </w:r>
            <w:r>
              <w:rPr>
                <w:rFonts w:ascii="Times New Roman" w:hAnsi="Times New Roman" w:eastAsia="Times New Roman" w:cs="Times New Roman"/>
                <w:sz w:val="22"/>
                <w:szCs w:val="22"/>
                <w:spacing w:val="-3"/>
              </w:rPr>
              <w:t>629</w:t>
            </w:r>
          </w:hyperlink>
        </w:p>
        <w:p>
          <w:pPr>
            <w:pStyle w:val="BodyText"/>
            <w:spacing w:line="471" w:lineRule="auto"/>
            <w:rPr/>
          </w:pPr>
          <w:r/>
        </w:p>
        <w:p>
          <w:pPr>
            <w:spacing w:before="72" w:line="222" w:lineRule="auto"/>
            <w:tabs>
              <w:tab w:val="right" w:leader="dot" w:pos="13030"/>
            </w:tabs>
            <w:rPr>
              <w:rFonts w:ascii="Times New Roman" w:hAnsi="Times New Roman" w:eastAsia="Times New Roman" w:cs="Times New Roman"/>
              <w:sz w:val="22"/>
              <w:szCs w:val="22"/>
            </w:rPr>
          </w:pPr>
          <w:hyperlink w:history="true" w:anchor="bookmark672">
            <w:r>
              <w:rPr>
                <w:rFonts w:ascii="SimHei" w:hAnsi="SimHei" w:eastAsia="SimHei" w:cs="SimHei"/>
                <w:sz w:val="22"/>
                <w:szCs w:val="22"/>
                <w:spacing w:val="2"/>
              </w:rPr>
              <w:t>第五百三十条</w:t>
            </w:r>
            <w:r>
              <w:rPr>
                <w:rFonts w:ascii="SimHei" w:hAnsi="SimHei" w:eastAsia="SimHei" w:cs="SimHei"/>
                <w:sz w:val="22"/>
                <w:szCs w:val="22"/>
                <w:spacing w:val="2"/>
              </w:rPr>
              <w:t xml:space="preserve"> </w:t>
            </w:r>
            <w:r>
              <w:rPr>
                <w:rFonts w:ascii="SimHei" w:hAnsi="SimHei" w:eastAsia="SimHei" w:cs="SimHei"/>
                <w:sz w:val="22"/>
                <w:szCs w:val="22"/>
                <w:spacing w:val="2"/>
              </w:rPr>
              <w:t>未按规定实施委托检测的</w:t>
            </w:r>
            <w:r>
              <w:rPr>
                <w:rFonts w:ascii="SimHei" w:hAnsi="SimHei" w:eastAsia="SimHei" w:cs="SimHei"/>
                <w:sz w:val="22"/>
                <w:szCs w:val="22"/>
                <w:spacing w:val="-88"/>
              </w:rPr>
              <w:t xml:space="preserve"> </w:t>
            </w:r>
            <w:r>
              <w:rPr>
                <w:rFonts w:ascii="SimHei" w:hAnsi="SimHei" w:eastAsia="SimHei" w:cs="SimHei"/>
                <w:sz w:val="22"/>
                <w:szCs w:val="22"/>
              </w:rPr>
              <w:tab/>
            </w:r>
            <w:r>
              <w:rPr>
                <w:rFonts w:ascii="Times New Roman" w:hAnsi="Times New Roman" w:eastAsia="Times New Roman" w:cs="Times New Roman"/>
                <w:sz w:val="22"/>
                <w:szCs w:val="22"/>
                <w:spacing w:val="5"/>
              </w:rPr>
              <w:t>629</w:t>
            </w:r>
          </w:hyperlink>
        </w:p>
        <w:p>
          <w:pPr>
            <w:pStyle w:val="BodyText"/>
            <w:rPr/>
          </w:pPr>
          <w:r/>
        </w:p>
        <w:p>
          <w:pPr>
            <w:pStyle w:val="BodyText"/>
            <w:rPr/>
          </w:pPr>
          <w:r/>
        </w:p>
        <w:p>
          <w:pPr>
            <w:spacing w:before="72" w:line="221" w:lineRule="auto"/>
            <w:tabs>
              <w:tab w:val="right" w:leader="dot" w:pos="13080"/>
            </w:tabs>
            <w:rPr>
              <w:rFonts w:ascii="Times New Roman" w:hAnsi="Times New Roman" w:eastAsia="Times New Roman" w:cs="Times New Roman"/>
              <w:sz w:val="22"/>
              <w:szCs w:val="22"/>
            </w:rPr>
          </w:pPr>
          <w:hyperlink w:history="true" w:anchor="bookmark673">
            <w:r>
              <w:rPr>
                <w:rFonts w:ascii="SimHei" w:hAnsi="SimHei" w:eastAsia="SimHei" w:cs="SimHei"/>
                <w:sz w:val="22"/>
                <w:szCs w:val="22"/>
                <w:spacing w:val="2"/>
              </w:rPr>
              <w:t>第五百三十一条</w:t>
            </w:r>
            <w:r>
              <w:rPr>
                <w:rFonts w:ascii="SimHei" w:hAnsi="SimHei" w:eastAsia="SimHei" w:cs="SimHei"/>
                <w:sz w:val="22"/>
                <w:szCs w:val="22"/>
                <w:spacing w:val="2"/>
              </w:rPr>
              <w:t xml:space="preserve"> </w:t>
            </w:r>
            <w:r>
              <w:rPr>
                <w:rFonts w:ascii="SimHei" w:hAnsi="SimHei" w:eastAsia="SimHei" w:cs="SimHei"/>
                <w:sz w:val="22"/>
                <w:szCs w:val="22"/>
                <w:spacing w:val="2"/>
              </w:rPr>
              <w:t>转包职业卫生技术服务项目的</w:t>
            </w:r>
            <w:r>
              <w:rPr>
                <w:rFonts w:ascii="SimHei" w:hAnsi="SimHei" w:eastAsia="SimHei" w:cs="SimHei"/>
                <w:sz w:val="22"/>
                <w:szCs w:val="22"/>
                <w:spacing w:val="-93"/>
              </w:rPr>
              <w:t xml:space="preserve"> </w:t>
            </w:r>
            <w:r>
              <w:rPr>
                <w:rFonts w:ascii="SimHei" w:hAnsi="SimHei" w:eastAsia="SimHei" w:cs="SimHei"/>
                <w:sz w:val="22"/>
                <w:szCs w:val="22"/>
              </w:rPr>
              <w:tab/>
            </w:r>
            <w:r>
              <w:rPr>
                <w:rFonts w:ascii="SimHei" w:hAnsi="SimHei" w:eastAsia="SimHei" w:cs="SimHei"/>
                <w:sz w:val="22"/>
                <w:szCs w:val="22"/>
                <w:spacing w:val="-34"/>
              </w:rPr>
              <w:t xml:space="preserve"> </w:t>
            </w:r>
            <w:r>
              <w:rPr>
                <w:rFonts w:ascii="Times New Roman" w:hAnsi="Times New Roman" w:eastAsia="Times New Roman" w:cs="Times New Roman"/>
                <w:sz w:val="22"/>
                <w:szCs w:val="22"/>
                <w:spacing w:val="-3"/>
              </w:rPr>
              <w:t>630</w:t>
            </w:r>
          </w:hyperlink>
        </w:p>
        <w:p>
          <w:pPr>
            <w:pStyle w:val="BodyText"/>
            <w:spacing w:line="246" w:lineRule="auto"/>
            <w:rPr/>
          </w:pPr>
          <w:r/>
        </w:p>
        <w:p>
          <w:pPr>
            <w:pStyle w:val="BodyText"/>
            <w:spacing w:line="246" w:lineRule="auto"/>
            <w:rPr/>
          </w:pPr>
          <w:r/>
        </w:p>
        <w:p>
          <w:pPr>
            <w:spacing w:before="72" w:line="221" w:lineRule="auto"/>
            <w:tabs>
              <w:tab w:val="right" w:leader="dot" w:pos="13050"/>
            </w:tabs>
            <w:rPr>
              <w:rFonts w:ascii="Times New Roman" w:hAnsi="Times New Roman" w:eastAsia="Times New Roman" w:cs="Times New Roman"/>
              <w:sz w:val="22"/>
              <w:szCs w:val="22"/>
            </w:rPr>
          </w:pPr>
          <w:hyperlink w:history="true" w:anchor="bookmark674">
            <w:r>
              <w:rPr>
                <w:rFonts w:ascii="SimHei" w:hAnsi="SimHei" w:eastAsia="SimHei" w:cs="SimHei"/>
                <w:sz w:val="22"/>
                <w:szCs w:val="22"/>
                <w:spacing w:val="-1"/>
              </w:rPr>
              <w:t>第五百三十二条</w:t>
            </w:r>
            <w:r>
              <w:rPr>
                <w:rFonts w:ascii="SimHei" w:hAnsi="SimHei" w:eastAsia="SimHei" w:cs="SimHei"/>
                <w:sz w:val="22"/>
                <w:szCs w:val="22"/>
                <w:spacing w:val="-1"/>
              </w:rPr>
              <w:t xml:space="preserve"> </w:t>
            </w:r>
            <w:r>
              <w:rPr>
                <w:rFonts w:ascii="SimHei" w:hAnsi="SimHei" w:eastAsia="SimHei" w:cs="SimHei"/>
                <w:sz w:val="22"/>
                <w:szCs w:val="22"/>
                <w:spacing w:val="-1"/>
              </w:rPr>
              <w:t>未按规定以书面形式与用人单位明确技术服务内容、范围以及双方责任的</w:t>
            </w:r>
            <w:r>
              <w:rPr>
                <w:rFonts w:ascii="SimHei" w:hAnsi="SimHei" w:eastAsia="SimHei" w:cs="SimHei"/>
                <w:sz w:val="22"/>
                <w:szCs w:val="22"/>
                <w:spacing w:val="-92"/>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631</w:t>
            </w:r>
          </w:hyperlink>
        </w:p>
        <w:p>
          <w:pPr>
            <w:pStyle w:val="BodyText"/>
            <w:spacing w:line="241" w:lineRule="auto"/>
            <w:rPr/>
          </w:pPr>
          <w:r/>
        </w:p>
        <w:p>
          <w:pPr>
            <w:pStyle w:val="BodyText"/>
            <w:spacing w:line="241" w:lineRule="auto"/>
            <w:rPr/>
          </w:pPr>
          <w:r/>
        </w:p>
        <w:p>
          <w:pPr>
            <w:spacing w:before="71" w:line="221" w:lineRule="auto"/>
            <w:tabs>
              <w:tab w:val="right" w:leader="dot" w:pos="12920"/>
            </w:tabs>
            <w:rPr>
              <w:rFonts w:ascii="Times New Roman" w:hAnsi="Times New Roman" w:eastAsia="Times New Roman" w:cs="Times New Roman"/>
              <w:sz w:val="22"/>
              <w:szCs w:val="22"/>
            </w:rPr>
          </w:pPr>
          <w:hyperlink w:history="true" w:anchor="bookmark675">
            <w:r>
              <w:rPr>
                <w:rFonts w:ascii="SimHei" w:hAnsi="SimHei" w:eastAsia="SimHei" w:cs="SimHei"/>
                <w:sz w:val="22"/>
                <w:szCs w:val="22"/>
              </w:rPr>
              <w:t>第五百三十三条</w:t>
            </w:r>
            <w:r>
              <w:rPr>
                <w:rFonts w:ascii="SimHei" w:hAnsi="SimHei" w:eastAsia="SimHei" w:cs="SimHei"/>
                <w:sz w:val="22"/>
                <w:szCs w:val="22"/>
              </w:rPr>
              <w:t xml:space="preserve"> </w:t>
            </w:r>
            <w:r>
              <w:rPr>
                <w:rFonts w:ascii="SimHei" w:hAnsi="SimHei" w:eastAsia="SimHei" w:cs="SimHei"/>
                <w:sz w:val="22"/>
                <w:szCs w:val="22"/>
              </w:rPr>
              <w:t>使用非本机构专业技术人员从事职</w:t>
            </w:r>
            <w:r>
              <w:rPr>
                <w:rFonts w:ascii="SimHei" w:hAnsi="SimHei" w:eastAsia="SimHei" w:cs="SimHei"/>
                <w:sz w:val="22"/>
                <w:szCs w:val="22"/>
                <w:spacing w:val="-1"/>
              </w:rPr>
              <w:t>业卫生技术服务活动的</w:t>
            </w:r>
            <w:r>
              <w:rPr>
                <w:rFonts w:ascii="SimHei" w:hAnsi="SimHei" w:eastAsia="SimHei" w:cs="SimHei"/>
                <w:sz w:val="22"/>
                <w:szCs w:val="22"/>
              </w:rPr>
              <w:tab/>
            </w:r>
            <w:r>
              <w:rPr>
                <w:rFonts w:ascii="Times New Roman" w:hAnsi="Times New Roman" w:eastAsia="Times New Roman" w:cs="Times New Roman"/>
                <w:sz w:val="22"/>
                <w:szCs w:val="22"/>
                <w:spacing w:val="-1"/>
              </w:rPr>
              <w:t>632</w:t>
            </w:r>
          </w:hyperlink>
        </w:p>
        <w:p>
          <w:pPr>
            <w:pStyle w:val="BodyText"/>
            <w:spacing w:line="246" w:lineRule="auto"/>
            <w:rPr/>
          </w:pPr>
          <w:r/>
        </w:p>
        <w:p>
          <w:pPr>
            <w:pStyle w:val="BodyText"/>
            <w:spacing w:line="246" w:lineRule="auto"/>
            <w:rPr/>
          </w:pPr>
          <w:r/>
        </w:p>
        <w:p>
          <w:pPr>
            <w:spacing w:before="72" w:line="221" w:lineRule="auto"/>
            <w:tabs>
              <w:tab w:val="right" w:leader="dot" w:pos="13050"/>
            </w:tabs>
            <w:rPr>
              <w:rFonts w:ascii="Times New Roman" w:hAnsi="Times New Roman" w:eastAsia="Times New Roman" w:cs="Times New Roman"/>
              <w:sz w:val="22"/>
              <w:szCs w:val="22"/>
            </w:rPr>
          </w:pPr>
          <w:hyperlink w:history="true" w:anchor="bookmark676">
            <w:r>
              <w:rPr>
                <w:rFonts w:ascii="SimHei" w:hAnsi="SimHei" w:eastAsia="SimHei" w:cs="SimHei"/>
                <w:sz w:val="22"/>
                <w:szCs w:val="22"/>
                <w:spacing w:val="1"/>
              </w:rPr>
              <w:t>第五百三十四条</w:t>
            </w:r>
            <w:r>
              <w:rPr>
                <w:rFonts w:ascii="SimHei" w:hAnsi="SimHei" w:eastAsia="SimHei" w:cs="SimHei"/>
                <w:sz w:val="22"/>
                <w:szCs w:val="22"/>
                <w:spacing w:val="1"/>
              </w:rPr>
              <w:t xml:space="preserve"> </w:t>
            </w:r>
            <w:r>
              <w:rPr>
                <w:rFonts w:ascii="SimHei" w:hAnsi="SimHei" w:eastAsia="SimHei" w:cs="SimHei"/>
                <w:sz w:val="22"/>
                <w:szCs w:val="22"/>
                <w:spacing w:val="1"/>
              </w:rPr>
              <w:t>安排未达到技术评审考核评估要求的专业技术</w:t>
            </w:r>
            <w:r>
              <w:rPr>
                <w:rFonts w:ascii="SimHei" w:hAnsi="SimHei" w:eastAsia="SimHei" w:cs="SimHei"/>
                <w:sz w:val="22"/>
                <w:szCs w:val="22"/>
              </w:rPr>
              <w:t>人员参与职业卫生技术服务的</w:t>
            </w:r>
            <w:r>
              <w:rPr>
                <w:rFonts w:ascii="SimHei" w:hAnsi="SimHei" w:eastAsia="SimHei" w:cs="SimHei"/>
                <w:sz w:val="22"/>
                <w:szCs w:val="22"/>
                <w:spacing w:val="-99"/>
              </w:rPr>
              <w:t xml:space="preserve"> </w:t>
            </w:r>
            <w:r>
              <w:rPr>
                <w:rFonts w:ascii="SimHei" w:hAnsi="SimHei" w:eastAsia="SimHei" w:cs="SimHei"/>
                <w:sz w:val="22"/>
                <w:szCs w:val="22"/>
              </w:rPr>
              <w:tab/>
            </w:r>
            <w:r>
              <w:rPr>
                <w:rFonts w:ascii="SimHei" w:hAnsi="SimHei" w:eastAsia="SimHei" w:cs="SimHei"/>
                <w:sz w:val="22"/>
                <w:szCs w:val="22"/>
                <w:spacing w:val="-44"/>
              </w:rPr>
              <w:t xml:space="preserve"> </w:t>
            </w:r>
            <w:r>
              <w:rPr>
                <w:rFonts w:ascii="Times New Roman" w:hAnsi="Times New Roman" w:eastAsia="Times New Roman" w:cs="Times New Roman"/>
                <w:sz w:val="22"/>
                <w:szCs w:val="22"/>
                <w:spacing w:val="-3"/>
              </w:rPr>
              <w:t>633</w:t>
            </w:r>
          </w:hyperlink>
        </w:p>
      </w:sdtContent>
    </w:sdt>
    <w:p>
      <w:pPr>
        <w:spacing w:line="221" w:lineRule="auto"/>
        <w:sectPr>
          <w:footerReference w:type="default" r:id="rId64"/>
          <w:pgSz w:w="16830" w:h="11900"/>
          <w:pgMar w:top="1011" w:right="1448" w:bottom="1137" w:left="2290" w:header="0" w:footer="804" w:gutter="0"/>
        </w:sectPr>
        <w:rPr>
          <w:rFonts w:ascii="Times New Roman" w:hAnsi="Times New Roman" w:eastAsia="Times New Roman" w:cs="Times New Roman"/>
          <w:sz w:val="22"/>
          <w:szCs w:val="22"/>
        </w:rPr>
      </w:pPr>
    </w:p>
    <w:p>
      <w:pPr>
        <w:pStyle w:val="BodyText"/>
        <w:spacing w:line="317" w:lineRule="auto"/>
        <w:rPr/>
      </w:pPr>
      <w:r/>
    </w:p>
    <w:p>
      <w:pPr>
        <w:pStyle w:val="BodyText"/>
        <w:spacing w:line="317" w:lineRule="auto"/>
        <w:rPr/>
      </w:pPr>
      <w:r/>
    </w:p>
    <w:p>
      <w:pPr>
        <w:pStyle w:val="BodyText"/>
        <w:spacing w:line="317"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350"/>
            <w:spacing w:before="68" w:line="222" w:lineRule="auto"/>
            <w:tabs>
              <w:tab w:val="right" w:leader="dot" w:pos="13385"/>
            </w:tabs>
            <w:rPr>
              <w:rFonts w:ascii="Times New Roman" w:hAnsi="Times New Roman" w:eastAsia="Times New Roman" w:cs="Times New Roman"/>
              <w:sz w:val="21"/>
              <w:szCs w:val="21"/>
            </w:rPr>
          </w:pPr>
          <w:hyperlink w:history="true" w:anchor="bookmark677">
            <w:r>
              <w:rPr>
                <w:rFonts w:ascii="SimHei" w:hAnsi="SimHei" w:eastAsia="SimHei" w:cs="SimHei"/>
                <w:sz w:val="21"/>
                <w:szCs w:val="21"/>
                <w:spacing w:val="10"/>
              </w:rPr>
              <w:t>第五百三十五条</w:t>
            </w:r>
            <w:r>
              <w:rPr>
                <w:rFonts w:ascii="SimHei" w:hAnsi="SimHei" w:eastAsia="SimHei" w:cs="SimHei"/>
                <w:sz w:val="21"/>
                <w:szCs w:val="21"/>
                <w:spacing w:val="10"/>
              </w:rPr>
              <w:t xml:space="preserve"> </w:t>
            </w:r>
            <w:r>
              <w:rPr>
                <w:rFonts w:ascii="SimHei" w:hAnsi="SimHei" w:eastAsia="SimHei" w:cs="SimHei"/>
                <w:sz w:val="21"/>
                <w:szCs w:val="21"/>
                <w:spacing w:val="10"/>
              </w:rPr>
              <w:t>在职业卫生技术报告或者有关原始记录上代替他人签字的</w:t>
            </w:r>
            <w:r>
              <w:rPr>
                <w:rFonts w:ascii="SimHei" w:hAnsi="SimHei" w:eastAsia="SimHei" w:cs="SimHei"/>
                <w:sz w:val="21"/>
                <w:szCs w:val="21"/>
                <w:spacing w:val="-91"/>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634</w:t>
            </w:r>
          </w:hyperlink>
        </w:p>
        <w:p>
          <w:pPr>
            <w:pStyle w:val="BodyText"/>
            <w:spacing w:line="252" w:lineRule="auto"/>
            <w:rPr/>
          </w:pPr>
          <w:r/>
        </w:p>
        <w:p>
          <w:pPr>
            <w:pStyle w:val="BodyText"/>
            <w:spacing w:line="253" w:lineRule="auto"/>
            <w:rPr/>
          </w:pPr>
          <w:r/>
        </w:p>
        <w:p>
          <w:pPr>
            <w:ind w:left="350"/>
            <w:spacing w:before="68" w:line="221" w:lineRule="auto"/>
            <w:tabs>
              <w:tab w:val="right" w:leader="dot" w:pos="13395"/>
            </w:tabs>
            <w:rPr>
              <w:rFonts w:ascii="Times New Roman" w:hAnsi="Times New Roman" w:eastAsia="Times New Roman" w:cs="Times New Roman"/>
              <w:sz w:val="21"/>
              <w:szCs w:val="21"/>
            </w:rPr>
          </w:pPr>
          <w:hyperlink w:history="true" w:anchor="bookmark678">
            <w:r>
              <w:rPr>
                <w:rFonts w:ascii="SimHei" w:hAnsi="SimHei" w:eastAsia="SimHei" w:cs="SimHei"/>
                <w:sz w:val="21"/>
                <w:szCs w:val="21"/>
                <w:spacing w:val="10"/>
              </w:rPr>
              <w:t>第五百三十六条</w:t>
            </w:r>
            <w:r>
              <w:rPr>
                <w:rFonts w:ascii="SimHei" w:hAnsi="SimHei" w:eastAsia="SimHei" w:cs="SimHei"/>
                <w:sz w:val="21"/>
                <w:szCs w:val="21"/>
                <w:spacing w:val="10"/>
              </w:rPr>
              <w:t xml:space="preserve"> </w:t>
            </w:r>
            <w:r>
              <w:rPr>
                <w:rFonts w:ascii="SimHei" w:hAnsi="SimHei" w:eastAsia="SimHei" w:cs="SimHei"/>
                <w:sz w:val="21"/>
                <w:szCs w:val="21"/>
                <w:spacing w:val="10"/>
              </w:rPr>
              <w:t>未参与相应职业卫生技术服务事项而在技术报告或者有关原始记录上签字的</w:t>
            </w:r>
            <w:r>
              <w:rPr>
                <w:rFonts w:ascii="SimHei" w:hAnsi="SimHei" w:eastAsia="SimHei" w:cs="SimHei"/>
                <w:sz w:val="21"/>
                <w:szCs w:val="21"/>
                <w:spacing w:val="-91"/>
              </w:rPr>
              <w:t xml:space="preserve"> </w:t>
            </w:r>
            <w:r>
              <w:rPr>
                <w:rFonts w:ascii="SimHei" w:hAnsi="SimHei" w:eastAsia="SimHei" w:cs="SimHei"/>
                <w:sz w:val="21"/>
                <w:szCs w:val="21"/>
              </w:rPr>
              <w:tab/>
            </w:r>
            <w:r>
              <w:rPr>
                <w:rFonts w:ascii="SimHei" w:hAnsi="SimHei" w:eastAsia="SimHei" w:cs="SimHei"/>
                <w:sz w:val="21"/>
                <w:szCs w:val="21"/>
                <w:spacing w:val="-49"/>
              </w:rPr>
              <w:t xml:space="preserve"> </w:t>
            </w:r>
            <w:r>
              <w:rPr>
                <w:rFonts w:ascii="Times New Roman" w:hAnsi="Times New Roman" w:eastAsia="Times New Roman" w:cs="Times New Roman"/>
                <w:sz w:val="21"/>
                <w:szCs w:val="21"/>
                <w:spacing w:val="-4"/>
              </w:rPr>
              <w:t>635</w:t>
            </w:r>
          </w:hyperlink>
        </w:p>
        <w:p>
          <w:pPr>
            <w:pStyle w:val="BodyText"/>
            <w:spacing w:line="258" w:lineRule="auto"/>
            <w:rPr/>
          </w:pPr>
          <w:r/>
        </w:p>
        <w:p>
          <w:pPr>
            <w:pStyle w:val="BodyText"/>
            <w:spacing w:line="259" w:lineRule="auto"/>
            <w:rPr/>
          </w:pPr>
          <w:r/>
        </w:p>
        <w:p>
          <w:pPr>
            <w:ind w:left="350"/>
            <w:spacing w:before="68" w:line="221" w:lineRule="auto"/>
            <w:tabs>
              <w:tab w:val="right" w:leader="dot" w:pos="13375"/>
            </w:tabs>
            <w:rPr>
              <w:rFonts w:ascii="Times New Roman" w:hAnsi="Times New Roman" w:eastAsia="Times New Roman" w:cs="Times New Roman"/>
              <w:sz w:val="21"/>
              <w:szCs w:val="21"/>
            </w:rPr>
          </w:pPr>
          <w:hyperlink w:history="true" w:anchor="bookmark679">
            <w:r>
              <w:rPr>
                <w:rFonts w:ascii="SimHei" w:hAnsi="SimHei" w:eastAsia="SimHei" w:cs="SimHei"/>
                <w:sz w:val="21"/>
                <w:szCs w:val="21"/>
                <w:spacing w:val="10"/>
              </w:rPr>
              <w:t>第五百三十七条</w:t>
            </w:r>
            <w:r>
              <w:rPr>
                <w:rFonts w:ascii="SimHei" w:hAnsi="SimHei" w:eastAsia="SimHei" w:cs="SimHei"/>
                <w:sz w:val="21"/>
                <w:szCs w:val="21"/>
                <w:spacing w:val="10"/>
              </w:rPr>
              <w:t xml:space="preserve"> </w:t>
            </w:r>
            <w:r>
              <w:rPr>
                <w:rFonts w:ascii="SimHei" w:hAnsi="SimHei" w:eastAsia="SimHei" w:cs="SimHei"/>
                <w:sz w:val="21"/>
                <w:szCs w:val="21"/>
                <w:spacing w:val="10"/>
              </w:rPr>
              <w:t>职业卫生技术服务机构其他</w:t>
            </w:r>
            <w:r>
              <w:rPr>
                <w:rFonts w:ascii="SimHei" w:hAnsi="SimHei" w:eastAsia="SimHei" w:cs="SimHei"/>
                <w:sz w:val="21"/>
                <w:szCs w:val="21"/>
                <w:spacing w:val="9"/>
              </w:rPr>
              <w:t>违反本办法规定的行</w:t>
            </w:r>
            <w:r>
              <w:rPr>
                <w:rFonts w:ascii="SimHei" w:hAnsi="SimHei" w:eastAsia="SimHei" w:cs="SimHei"/>
                <w:sz w:val="21"/>
                <w:szCs w:val="21"/>
                <w:spacing w:val="-82"/>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636</w:t>
            </w:r>
          </w:hyperlink>
        </w:p>
        <w:p>
          <w:pPr>
            <w:pStyle w:val="BodyText"/>
            <w:spacing w:line="244" w:lineRule="auto"/>
            <w:rPr/>
          </w:pPr>
          <w:r/>
        </w:p>
        <w:p>
          <w:pPr>
            <w:pStyle w:val="BodyText"/>
            <w:spacing w:line="244" w:lineRule="auto"/>
            <w:rPr/>
          </w:pPr>
          <w:r/>
        </w:p>
        <w:p>
          <w:pPr>
            <w:ind w:left="350"/>
            <w:spacing w:before="68" w:line="213" w:lineRule="auto"/>
            <w:tabs>
              <w:tab w:val="right" w:leader="dot" w:pos="13385"/>
            </w:tabs>
            <w:rPr>
              <w:rFonts w:ascii="Times New Roman" w:hAnsi="Times New Roman" w:eastAsia="Times New Roman" w:cs="Times New Roman"/>
              <w:sz w:val="21"/>
              <w:szCs w:val="21"/>
            </w:rPr>
          </w:pPr>
          <w:hyperlink w:history="true" w:anchor="bookmark680">
            <w:r>
              <w:rPr>
                <w:rFonts w:ascii="SimHei" w:hAnsi="SimHei" w:eastAsia="SimHei" w:cs="SimHei"/>
                <w:sz w:val="21"/>
                <w:szCs w:val="21"/>
                <w:spacing w:val="9"/>
              </w:rPr>
              <w:t>第五百三十八条</w:t>
            </w:r>
            <w:r>
              <w:rPr>
                <w:rFonts w:ascii="SimHei" w:hAnsi="SimHei" w:eastAsia="SimHei" w:cs="SimHei"/>
                <w:sz w:val="21"/>
                <w:szCs w:val="21"/>
                <w:spacing w:val="42"/>
              </w:rPr>
              <w:t xml:space="preserve"> </w:t>
            </w:r>
            <w:r>
              <w:rPr>
                <w:rFonts w:ascii="SimHei" w:hAnsi="SimHei" w:eastAsia="SimHei" w:cs="SimHei"/>
                <w:sz w:val="21"/>
                <w:szCs w:val="21"/>
                <w:spacing w:val="9"/>
              </w:rPr>
              <w:t>已经取得资质认可的职业卫生技术服务机构，不再符合规定的资质条</w:t>
            </w:r>
            <w:r>
              <w:rPr>
                <w:rFonts w:ascii="SimHei" w:hAnsi="SimHei" w:eastAsia="SimHei" w:cs="SimHei"/>
                <w:sz w:val="21"/>
                <w:szCs w:val="21"/>
                <w:spacing w:val="8"/>
              </w:rPr>
              <w:t>件的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39"/>
              </w:rPr>
              <w:t xml:space="preserve"> </w:t>
            </w:r>
            <w:r>
              <w:rPr>
                <w:rFonts w:ascii="Times New Roman" w:hAnsi="Times New Roman" w:eastAsia="Times New Roman" w:cs="Times New Roman"/>
                <w:sz w:val="21"/>
                <w:szCs w:val="21"/>
                <w:spacing w:val="-3"/>
              </w:rPr>
              <w:t>637</w:t>
            </w:r>
          </w:hyperlink>
        </w:p>
        <w:p>
          <w:pPr>
            <w:pStyle w:val="BodyText"/>
            <w:spacing w:line="253" w:lineRule="auto"/>
            <w:rPr/>
          </w:pPr>
          <w:r/>
        </w:p>
        <w:p>
          <w:pPr>
            <w:pStyle w:val="BodyText"/>
            <w:spacing w:line="253" w:lineRule="auto"/>
            <w:rPr/>
          </w:pPr>
          <w:r/>
        </w:p>
        <w:p>
          <w:pPr>
            <w:ind w:left="350"/>
            <w:spacing w:before="69" w:line="213" w:lineRule="auto"/>
            <w:tabs>
              <w:tab w:val="right" w:leader="dot" w:pos="13385"/>
            </w:tabs>
            <w:rPr>
              <w:rFonts w:ascii="Times New Roman" w:hAnsi="Times New Roman" w:eastAsia="Times New Roman" w:cs="Times New Roman"/>
              <w:sz w:val="21"/>
              <w:szCs w:val="21"/>
            </w:rPr>
          </w:pPr>
          <w:hyperlink w:history="true" w:anchor="bookmark681">
            <w:r>
              <w:rPr>
                <w:rFonts w:ascii="SimHei" w:hAnsi="SimHei" w:eastAsia="SimHei" w:cs="SimHei"/>
                <w:sz w:val="21"/>
                <w:szCs w:val="21"/>
                <w:spacing w:val="10"/>
              </w:rPr>
              <w:t>第五百三十九条</w:t>
            </w:r>
            <w:r>
              <w:rPr>
                <w:rFonts w:ascii="SimHei" w:hAnsi="SimHei" w:eastAsia="SimHei" w:cs="SimHei"/>
                <w:sz w:val="21"/>
                <w:szCs w:val="21"/>
                <w:spacing w:val="10"/>
              </w:rPr>
              <w:t xml:space="preserve"> </w:t>
            </w:r>
            <w:r>
              <w:rPr>
                <w:rFonts w:ascii="SimHei" w:hAnsi="SimHei" w:eastAsia="SimHei" w:cs="SimHei"/>
                <w:sz w:val="21"/>
                <w:szCs w:val="21"/>
                <w:spacing w:val="10"/>
              </w:rPr>
              <w:t>用人单位有关事项发生重大变化，未按照本办法的规定申报变更职业病危害项目内容的</w:t>
            </w:r>
            <w:r>
              <w:rPr>
                <w:rFonts w:ascii="SimHei" w:hAnsi="SimHei" w:eastAsia="SimHei" w:cs="SimHei"/>
                <w:sz w:val="21"/>
                <w:szCs w:val="21"/>
                <w:spacing w:val="-91"/>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638</w:t>
            </w:r>
          </w:hyperlink>
        </w:p>
        <w:p>
          <w:pPr>
            <w:pStyle w:val="BodyText"/>
            <w:spacing w:line="382" w:lineRule="auto"/>
            <w:rPr/>
          </w:pPr>
          <w:r/>
        </w:p>
        <w:p>
          <w:pPr>
            <w:spacing w:before="69" w:line="223" w:lineRule="auto"/>
            <w:tabs>
              <w:tab w:val="right" w:leader="dot" w:pos="13385"/>
            </w:tabs>
            <w:rPr>
              <w:rFonts w:ascii="Times New Roman" w:hAnsi="Times New Roman" w:eastAsia="Times New Roman" w:cs="Times New Roman"/>
              <w:sz w:val="21"/>
              <w:szCs w:val="21"/>
            </w:rPr>
          </w:pPr>
          <w:hyperlink w:history="true" w:anchor="bookmark682">
            <w:r>
              <w:rPr>
                <w:rFonts w:ascii="KaiTi" w:hAnsi="KaiTi" w:eastAsia="KaiTi" w:cs="KaiTi"/>
                <w:sz w:val="21"/>
                <w:szCs w:val="21"/>
                <w:spacing w:val="-3"/>
              </w:rPr>
              <w:t>(</w:t>
            </w:r>
            <w:r>
              <w:rPr>
                <w:rFonts w:ascii="KaiTi" w:hAnsi="KaiTi" w:eastAsia="KaiTi" w:cs="KaiTi"/>
                <w:sz w:val="21"/>
                <w:szCs w:val="21"/>
                <w:spacing w:val="-3"/>
              </w:rPr>
              <w:t xml:space="preserve"> </w:t>
            </w:r>
            <w:r>
              <w:rPr>
                <w:rFonts w:ascii="KaiTi" w:hAnsi="KaiTi" w:eastAsia="KaiTi" w:cs="KaiTi"/>
                <w:sz w:val="21"/>
                <w:szCs w:val="21"/>
                <w:spacing w:val="-3"/>
              </w:rPr>
              <w:t>八</w:t>
            </w:r>
            <w:r>
              <w:rPr>
                <w:rFonts w:ascii="KaiTi" w:hAnsi="KaiTi" w:eastAsia="KaiTi" w:cs="KaiTi"/>
                <w:sz w:val="21"/>
                <w:szCs w:val="21"/>
                <w:spacing w:val="-3"/>
              </w:rPr>
              <w:t xml:space="preserve"> </w:t>
            </w:r>
            <w:r>
              <w:rPr>
                <w:rFonts w:ascii="KaiTi" w:hAnsi="KaiTi" w:eastAsia="KaiTi" w:cs="KaiTi"/>
                <w:sz w:val="21"/>
                <w:szCs w:val="21"/>
                <w:spacing w:val="-3"/>
              </w:rPr>
              <w:t>)《用人单位职业健康监护监督管理办法》</w:t>
            </w:r>
            <w:r>
              <w:rPr>
                <w:rFonts w:ascii="KaiTi" w:hAnsi="KaiTi" w:eastAsia="KaiTi" w:cs="KaiTi"/>
                <w:sz w:val="21"/>
                <w:szCs w:val="21"/>
                <w:spacing w:val="-67"/>
              </w:rPr>
              <w:t xml:space="preserve"> </w:t>
            </w:r>
            <w:r>
              <w:rPr>
                <w:rFonts w:ascii="KaiTi" w:hAnsi="KaiTi" w:eastAsia="KaiTi" w:cs="KaiTi"/>
                <w:sz w:val="21"/>
                <w:szCs w:val="21"/>
              </w:rPr>
              <w:tab/>
            </w:r>
            <w:r>
              <w:rPr>
                <w:rFonts w:ascii="Times New Roman" w:hAnsi="Times New Roman" w:eastAsia="Times New Roman" w:cs="Times New Roman"/>
                <w:sz w:val="21"/>
                <w:szCs w:val="21"/>
                <w:spacing w:val="-1"/>
              </w:rPr>
              <w:t>640</w:t>
            </w:r>
          </w:hyperlink>
        </w:p>
        <w:p>
          <w:pPr>
            <w:pStyle w:val="BodyText"/>
            <w:spacing w:line="260" w:lineRule="auto"/>
            <w:rPr/>
          </w:pPr>
          <w:r/>
        </w:p>
        <w:p>
          <w:pPr>
            <w:ind w:left="350"/>
            <w:spacing w:before="68" w:line="222" w:lineRule="auto"/>
            <w:tabs>
              <w:tab w:val="right" w:leader="dot" w:pos="13385"/>
            </w:tabs>
            <w:rPr>
              <w:rFonts w:ascii="Times New Roman" w:hAnsi="Times New Roman" w:eastAsia="Times New Roman" w:cs="Times New Roman"/>
              <w:sz w:val="21"/>
              <w:szCs w:val="21"/>
            </w:rPr>
          </w:pPr>
          <w:hyperlink w:history="true" w:anchor="bookmark683">
            <w:r>
              <w:rPr>
                <w:rFonts w:ascii="SimHei" w:hAnsi="SimHei" w:eastAsia="SimHei" w:cs="SimHei"/>
                <w:sz w:val="21"/>
                <w:szCs w:val="21"/>
                <w:spacing w:val="10"/>
              </w:rPr>
              <w:t>第五百四十条</w:t>
            </w:r>
            <w:r>
              <w:rPr>
                <w:rFonts w:ascii="SimHei" w:hAnsi="SimHei" w:eastAsia="SimHei" w:cs="SimHei"/>
                <w:sz w:val="21"/>
                <w:szCs w:val="21"/>
                <w:spacing w:val="10"/>
              </w:rPr>
              <w:t xml:space="preserve"> </w:t>
            </w:r>
            <w:r>
              <w:rPr>
                <w:rFonts w:ascii="SimHei" w:hAnsi="SimHei" w:eastAsia="SimHei" w:cs="SimHei"/>
                <w:sz w:val="21"/>
                <w:szCs w:val="21"/>
                <w:spacing w:val="10"/>
              </w:rPr>
              <w:t>未建立或者落实职业健康监护制度的</w:t>
            </w:r>
            <w:r>
              <w:rPr>
                <w:rFonts w:ascii="SimHei" w:hAnsi="SimHei" w:eastAsia="SimHei" w:cs="SimHei"/>
                <w:sz w:val="21"/>
                <w:szCs w:val="21"/>
                <w:spacing w:val="-82"/>
              </w:rPr>
              <w:t xml:space="preserve"> </w:t>
            </w:r>
            <w:r>
              <w:rPr>
                <w:rFonts w:ascii="SimHei" w:hAnsi="SimHei" w:eastAsia="SimHei" w:cs="SimHei"/>
                <w:sz w:val="21"/>
                <w:szCs w:val="21"/>
              </w:rPr>
              <w:tab/>
            </w:r>
            <w:r>
              <w:rPr>
                <w:rFonts w:ascii="Times New Roman" w:hAnsi="Times New Roman" w:eastAsia="Times New Roman" w:cs="Times New Roman"/>
                <w:sz w:val="21"/>
                <w:szCs w:val="21"/>
                <w:spacing w:val="-2"/>
              </w:rPr>
              <w:t>640</w:t>
            </w:r>
          </w:hyperlink>
        </w:p>
        <w:p>
          <w:pPr>
            <w:pStyle w:val="BodyText"/>
            <w:spacing w:line="253" w:lineRule="auto"/>
            <w:rPr/>
          </w:pPr>
          <w:r/>
        </w:p>
        <w:p>
          <w:pPr>
            <w:pStyle w:val="BodyText"/>
            <w:spacing w:line="253" w:lineRule="auto"/>
            <w:rPr/>
          </w:pPr>
          <w:r/>
        </w:p>
        <w:p>
          <w:pPr>
            <w:ind w:left="350"/>
            <w:spacing w:before="69" w:line="222" w:lineRule="auto"/>
            <w:tabs>
              <w:tab w:val="right" w:leader="dot" w:pos="13375"/>
            </w:tabs>
            <w:rPr>
              <w:rFonts w:ascii="Times New Roman" w:hAnsi="Times New Roman" w:eastAsia="Times New Roman" w:cs="Times New Roman"/>
              <w:sz w:val="21"/>
              <w:szCs w:val="21"/>
            </w:rPr>
          </w:pPr>
          <w:hyperlink w:history="true" w:anchor="bookmark684">
            <w:r>
              <w:rPr>
                <w:rFonts w:ascii="SimHei" w:hAnsi="SimHei" w:eastAsia="SimHei" w:cs="SimHei"/>
                <w:sz w:val="21"/>
                <w:szCs w:val="21"/>
                <w:spacing w:val="11"/>
              </w:rPr>
              <w:t>第五百四十一条</w:t>
            </w:r>
            <w:r>
              <w:rPr>
                <w:rFonts w:ascii="SimHei" w:hAnsi="SimHei" w:eastAsia="SimHei" w:cs="SimHei"/>
                <w:sz w:val="21"/>
                <w:szCs w:val="21"/>
                <w:spacing w:val="11"/>
              </w:rPr>
              <w:t xml:space="preserve"> </w:t>
            </w:r>
            <w:r>
              <w:rPr>
                <w:rFonts w:ascii="SimHei" w:hAnsi="SimHei" w:eastAsia="SimHei" w:cs="SimHei"/>
                <w:sz w:val="21"/>
                <w:szCs w:val="21"/>
                <w:spacing w:val="11"/>
              </w:rPr>
              <w:t>未按照规定制定职业健康监护计划和落实专项经费的</w:t>
            </w:r>
            <w:r>
              <w:rPr>
                <w:rFonts w:ascii="SimHei" w:hAnsi="SimHei" w:eastAsia="SimHei" w:cs="SimHei"/>
                <w:sz w:val="21"/>
                <w:szCs w:val="21"/>
                <w:spacing w:val="-82"/>
              </w:rPr>
              <w:t xml:space="preserve"> </w:t>
            </w:r>
            <w:r>
              <w:rPr>
                <w:rFonts w:ascii="SimHei" w:hAnsi="SimHei" w:eastAsia="SimHei" w:cs="SimHei"/>
                <w:sz w:val="21"/>
                <w:szCs w:val="21"/>
              </w:rPr>
              <w:tab/>
            </w:r>
            <w:r>
              <w:rPr>
                <w:rFonts w:ascii="SimHei" w:hAnsi="SimHei" w:eastAsia="SimHei" w:cs="SimHei"/>
                <w:sz w:val="21"/>
                <w:szCs w:val="21"/>
                <w:spacing w:val="-10"/>
              </w:rPr>
              <w:t xml:space="preserve"> </w:t>
            </w:r>
            <w:r>
              <w:rPr>
                <w:rFonts w:ascii="Times New Roman" w:hAnsi="Times New Roman" w:eastAsia="Times New Roman" w:cs="Times New Roman"/>
                <w:sz w:val="21"/>
                <w:szCs w:val="21"/>
                <w:spacing w:val="-3"/>
              </w:rPr>
              <w:t>641</w:t>
            </w:r>
          </w:hyperlink>
        </w:p>
        <w:p>
          <w:pPr>
            <w:pStyle w:val="BodyText"/>
            <w:spacing w:line="243" w:lineRule="auto"/>
            <w:rPr/>
          </w:pPr>
          <w:r/>
        </w:p>
        <w:p>
          <w:pPr>
            <w:pStyle w:val="BodyText"/>
            <w:spacing w:line="243" w:lineRule="auto"/>
            <w:rPr/>
          </w:pPr>
          <w:r/>
        </w:p>
        <w:p>
          <w:pPr>
            <w:ind w:left="350"/>
            <w:spacing w:before="69" w:line="213" w:lineRule="auto"/>
            <w:tabs>
              <w:tab w:val="right" w:leader="dot" w:pos="13395"/>
            </w:tabs>
            <w:rPr>
              <w:rFonts w:ascii="Times New Roman" w:hAnsi="Times New Roman" w:eastAsia="Times New Roman" w:cs="Times New Roman"/>
              <w:sz w:val="21"/>
              <w:szCs w:val="21"/>
            </w:rPr>
          </w:pPr>
          <w:hyperlink w:history="true" w:anchor="bookmark685">
            <w:r>
              <w:rPr>
                <w:rFonts w:ascii="SimHei" w:hAnsi="SimHei" w:eastAsia="SimHei" w:cs="SimHei"/>
                <w:sz w:val="21"/>
                <w:szCs w:val="21"/>
                <w:spacing w:val="8"/>
              </w:rPr>
              <w:t>第五百四十二条</w:t>
            </w:r>
            <w:r>
              <w:rPr>
                <w:rFonts w:ascii="SimHei" w:hAnsi="SimHei" w:eastAsia="SimHei" w:cs="SimHei"/>
                <w:sz w:val="21"/>
                <w:szCs w:val="21"/>
                <w:spacing w:val="40"/>
              </w:rPr>
              <w:t xml:space="preserve"> </w:t>
            </w:r>
            <w:r>
              <w:rPr>
                <w:rFonts w:ascii="SimHei" w:hAnsi="SimHei" w:eastAsia="SimHei" w:cs="SimHei"/>
                <w:sz w:val="21"/>
                <w:szCs w:val="21"/>
                <w:spacing w:val="8"/>
              </w:rPr>
              <w:t>弄虚作假，指使他人冒名顶替参加职业健康检查的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642</w:t>
            </w:r>
          </w:hyperlink>
        </w:p>
        <w:p>
          <w:pPr>
            <w:pStyle w:val="BodyText"/>
            <w:spacing w:line="262" w:lineRule="auto"/>
            <w:rPr/>
          </w:pPr>
          <w:r/>
        </w:p>
        <w:p>
          <w:pPr>
            <w:pStyle w:val="BodyText"/>
            <w:spacing w:line="263" w:lineRule="auto"/>
            <w:rPr/>
          </w:pPr>
          <w:r/>
        </w:p>
        <w:p>
          <w:pPr>
            <w:ind w:left="350"/>
            <w:spacing w:before="69" w:line="222" w:lineRule="auto"/>
            <w:tabs>
              <w:tab w:val="right" w:leader="dot" w:pos="13375"/>
            </w:tabs>
            <w:rPr>
              <w:rFonts w:ascii="Times New Roman" w:hAnsi="Times New Roman" w:eastAsia="Times New Roman" w:cs="Times New Roman"/>
              <w:sz w:val="21"/>
              <w:szCs w:val="21"/>
            </w:rPr>
          </w:pPr>
          <w:hyperlink w:history="true" w:anchor="bookmark686">
            <w:r>
              <w:rPr>
                <w:rFonts w:ascii="SimHei" w:hAnsi="SimHei" w:eastAsia="SimHei" w:cs="SimHei"/>
                <w:sz w:val="21"/>
                <w:szCs w:val="21"/>
                <w:spacing w:val="11"/>
              </w:rPr>
              <w:t>第五百四十三条</w:t>
            </w:r>
            <w:r>
              <w:rPr>
                <w:rFonts w:ascii="SimHei" w:hAnsi="SimHei" w:eastAsia="SimHei" w:cs="SimHei"/>
                <w:sz w:val="21"/>
                <w:szCs w:val="21"/>
                <w:spacing w:val="11"/>
              </w:rPr>
              <w:t xml:space="preserve"> </w:t>
            </w:r>
            <w:r>
              <w:rPr>
                <w:rFonts w:ascii="SimHei" w:hAnsi="SimHei" w:eastAsia="SimHei" w:cs="SimHei"/>
                <w:sz w:val="21"/>
                <w:szCs w:val="21"/>
                <w:spacing w:val="11"/>
              </w:rPr>
              <w:t>未如实提供职业健康检查所需要的文件、资料的</w:t>
            </w:r>
            <w:r>
              <w:rPr>
                <w:rFonts w:ascii="SimHei" w:hAnsi="SimHei" w:eastAsia="SimHei" w:cs="SimHei"/>
                <w:sz w:val="21"/>
                <w:szCs w:val="21"/>
                <w:spacing w:val="-81"/>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642</w:t>
            </w:r>
          </w:hyperlink>
        </w:p>
      </w:sdtContent>
    </w:sdt>
    <w:p>
      <w:pPr>
        <w:spacing w:line="222" w:lineRule="auto"/>
        <w:sectPr>
          <w:footerReference w:type="default" r:id="rId66"/>
          <w:pgSz w:w="16830" w:h="11900"/>
          <w:pgMar w:top="1011" w:right="1484" w:bottom="1134" w:left="1949" w:header="0" w:footer="792" w:gutter="0"/>
        </w:sectPr>
        <w:rPr>
          <w:rFonts w:ascii="Times New Roman" w:hAnsi="Times New Roman" w:eastAsia="Times New Roman" w:cs="Times New Roman"/>
          <w:sz w:val="21"/>
          <w:szCs w:val="21"/>
        </w:rPr>
      </w:pPr>
    </w:p>
    <w:p>
      <w:pPr>
        <w:pStyle w:val="BodyText"/>
        <w:spacing w:line="310" w:lineRule="auto"/>
        <w:rPr/>
      </w:pPr>
      <w:r/>
    </w:p>
    <w:p>
      <w:pPr>
        <w:pStyle w:val="BodyText"/>
        <w:spacing w:line="310" w:lineRule="auto"/>
        <w:rPr/>
      </w:pPr>
      <w:r/>
    </w:p>
    <w:p>
      <w:pPr>
        <w:pStyle w:val="BodyText"/>
        <w:spacing w:line="311"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866"/>
            <w:spacing w:before="68" w:line="221" w:lineRule="auto"/>
            <w:tabs>
              <w:tab w:val="right" w:leader="dot" w:pos="13871"/>
            </w:tabs>
            <w:rPr>
              <w:rFonts w:ascii="Times New Roman" w:hAnsi="Times New Roman" w:eastAsia="Times New Roman" w:cs="Times New Roman"/>
              <w:sz w:val="21"/>
              <w:szCs w:val="21"/>
            </w:rPr>
          </w:pPr>
          <w:hyperlink w:history="true" w:anchor="bookmark687">
            <w:r>
              <w:rPr>
                <w:rFonts w:ascii="SimHei" w:hAnsi="SimHei" w:eastAsia="SimHei" w:cs="SimHei"/>
                <w:sz w:val="21"/>
                <w:szCs w:val="21"/>
                <w:spacing w:val="9"/>
              </w:rPr>
              <w:t>第五百四十四条</w:t>
            </w:r>
            <w:r>
              <w:rPr>
                <w:rFonts w:ascii="SimHei" w:hAnsi="SimHei" w:eastAsia="SimHei" w:cs="SimHei"/>
                <w:sz w:val="21"/>
                <w:szCs w:val="21"/>
                <w:spacing w:val="9"/>
              </w:rPr>
              <w:t xml:space="preserve"> </w:t>
            </w:r>
            <w:r>
              <w:rPr>
                <w:rFonts w:ascii="SimHei" w:hAnsi="SimHei" w:eastAsia="SimHei" w:cs="SimHei"/>
                <w:sz w:val="21"/>
                <w:szCs w:val="21"/>
                <w:spacing w:val="9"/>
              </w:rPr>
              <w:t>未根据职业健康检查情况采取相应措施的</w:t>
            </w:r>
            <w:r>
              <w:rPr>
                <w:rFonts w:ascii="SimHei" w:hAnsi="SimHei" w:eastAsia="SimHei" w:cs="SimHei"/>
                <w:sz w:val="21"/>
                <w:szCs w:val="21"/>
                <w:spacing w:val="-86"/>
              </w:rPr>
              <w:t xml:space="preserve"> </w:t>
            </w:r>
            <w:r>
              <w:rPr>
                <w:rFonts w:ascii="SimHei" w:hAnsi="SimHei" w:eastAsia="SimHei" w:cs="SimHei"/>
                <w:sz w:val="21"/>
                <w:szCs w:val="21"/>
                <w:color w:val="405050"/>
              </w:rPr>
              <w:tab/>
            </w:r>
            <w:r>
              <w:rPr>
                <w:rFonts w:ascii="Times New Roman" w:hAnsi="Times New Roman" w:eastAsia="Times New Roman" w:cs="Times New Roman"/>
                <w:sz w:val="21"/>
                <w:szCs w:val="21"/>
                <w:spacing w:val="-1"/>
              </w:rPr>
              <w:t>643</w:t>
            </w:r>
          </w:hyperlink>
        </w:p>
        <w:p>
          <w:pPr>
            <w:pStyle w:val="BodyText"/>
            <w:spacing w:line="248" w:lineRule="auto"/>
            <w:rPr/>
          </w:pPr>
          <w:r/>
        </w:p>
        <w:p>
          <w:pPr>
            <w:pStyle w:val="BodyText"/>
            <w:spacing w:line="249" w:lineRule="auto"/>
            <w:rPr/>
          </w:pPr>
          <w:r/>
        </w:p>
        <w:p>
          <w:pPr>
            <w:ind w:left="866"/>
            <w:spacing w:before="69" w:line="222" w:lineRule="auto"/>
            <w:tabs>
              <w:tab w:val="right" w:leader="dot" w:pos="13841"/>
            </w:tabs>
            <w:rPr>
              <w:rFonts w:ascii="Times New Roman" w:hAnsi="Times New Roman" w:eastAsia="Times New Roman" w:cs="Times New Roman"/>
              <w:sz w:val="21"/>
              <w:szCs w:val="21"/>
            </w:rPr>
          </w:pPr>
          <w:hyperlink w:history="true" w:anchor="bookmark688">
            <w:r>
              <w:rPr>
                <w:rFonts w:ascii="SimHei" w:hAnsi="SimHei" w:eastAsia="SimHei" w:cs="SimHei"/>
                <w:sz w:val="21"/>
                <w:szCs w:val="21"/>
                <w:spacing w:val="10"/>
              </w:rPr>
              <w:t>第五百四十五条</w:t>
            </w:r>
            <w:r>
              <w:rPr>
                <w:rFonts w:ascii="SimHei" w:hAnsi="SimHei" w:eastAsia="SimHei" w:cs="SimHei"/>
                <w:sz w:val="21"/>
                <w:szCs w:val="21"/>
                <w:spacing w:val="51"/>
              </w:rPr>
              <w:t xml:space="preserve"> </w:t>
            </w:r>
            <w:r>
              <w:rPr>
                <w:rFonts w:ascii="SimHei" w:hAnsi="SimHei" w:eastAsia="SimHei" w:cs="SimHei"/>
                <w:sz w:val="21"/>
                <w:szCs w:val="21"/>
                <w:spacing w:val="10"/>
              </w:rPr>
              <w:t>不承担职业健康检查费用的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645</w:t>
            </w:r>
          </w:hyperlink>
        </w:p>
        <w:p>
          <w:pPr>
            <w:pStyle w:val="BodyText"/>
            <w:spacing w:line="248" w:lineRule="auto"/>
            <w:rPr/>
          </w:pPr>
          <w:r/>
        </w:p>
        <w:p>
          <w:pPr>
            <w:pStyle w:val="BodyText"/>
            <w:spacing w:line="248" w:lineRule="auto"/>
            <w:rPr/>
          </w:pPr>
          <w:r/>
        </w:p>
        <w:p>
          <w:pPr>
            <w:spacing w:before="68" w:line="213" w:lineRule="auto"/>
            <w:jc w:val="right"/>
            <w:rPr>
              <w:rFonts w:ascii="SimHei" w:hAnsi="SimHei" w:eastAsia="SimHei" w:cs="SimHei"/>
              <w:sz w:val="21"/>
              <w:szCs w:val="21"/>
            </w:rPr>
          </w:pPr>
          <w:hyperlink w:history="true" w:anchor="bookmark689">
            <w:r>
              <w:rPr>
                <w:rFonts w:ascii="SimHei" w:hAnsi="SimHei" w:eastAsia="SimHei" w:cs="SimHei"/>
                <w:sz w:val="21"/>
                <w:szCs w:val="21"/>
                <w:spacing w:val="21"/>
              </w:rPr>
              <w:t>第五百四十六条</w:t>
            </w:r>
            <w:r>
              <w:rPr>
                <w:rFonts w:ascii="SimHei" w:hAnsi="SimHei" w:eastAsia="SimHei" w:cs="SimHei"/>
                <w:sz w:val="21"/>
                <w:szCs w:val="21"/>
                <w:spacing w:val="55"/>
              </w:rPr>
              <w:t xml:space="preserve"> </w:t>
            </w:r>
            <w:r>
              <w:rPr>
                <w:rFonts w:ascii="SimHei" w:hAnsi="SimHei" w:eastAsia="SimHei" w:cs="SimHei"/>
                <w:sz w:val="21"/>
                <w:szCs w:val="21"/>
                <w:spacing w:val="21"/>
              </w:rPr>
              <w:t>从事使用有毒物品作业的用人单位违反本条例的规定，在产停、停业或者解散、破产时未采取有效措施，妥善处</w:t>
            </w:r>
          </w:hyperlink>
        </w:p>
        <w:p>
          <w:pPr>
            <w:pStyle w:val="BodyText"/>
            <w:spacing w:line="311" w:lineRule="auto"/>
            <w:rPr/>
          </w:pPr>
          <w:r/>
        </w:p>
        <w:p>
          <w:pPr>
            <w:ind w:left="866"/>
            <w:spacing w:before="68" w:line="217" w:lineRule="auto"/>
            <w:tabs>
              <w:tab w:val="right" w:leader="dot" w:pos="13871"/>
            </w:tabs>
            <w:rPr>
              <w:rFonts w:ascii="Times New Roman" w:hAnsi="Times New Roman" w:eastAsia="Times New Roman" w:cs="Times New Roman"/>
              <w:sz w:val="21"/>
              <w:szCs w:val="21"/>
            </w:rPr>
          </w:pPr>
          <w:hyperlink w:history="true" w:anchor="bookmark690">
            <w:r>
              <w:rPr>
                <w:rFonts w:ascii="SimHei" w:hAnsi="SimHei" w:eastAsia="SimHei" w:cs="SimHei"/>
                <w:sz w:val="21"/>
                <w:szCs w:val="21"/>
                <w:spacing w:val="11"/>
              </w:rPr>
              <w:t>理留存或者残留高毒物品的设备、包装物和容器的</w:t>
            </w:r>
            <w:r>
              <w:rPr>
                <w:rFonts w:ascii="SimHei" w:hAnsi="SimHei" w:eastAsia="SimHei" w:cs="SimHei"/>
                <w:sz w:val="21"/>
                <w:szCs w:val="21"/>
                <w:spacing w:val="-79"/>
              </w:rPr>
              <w:t xml:space="preserve"> </w:t>
            </w:r>
            <w:r>
              <w:rPr>
                <w:rFonts w:ascii="SimHei" w:hAnsi="SimHei" w:eastAsia="SimHei" w:cs="SimHei"/>
                <w:sz w:val="21"/>
                <w:szCs w:val="21"/>
              </w:rPr>
              <w:tab/>
            </w:r>
            <w:r>
              <w:rPr>
                <w:rFonts w:ascii="SimHei" w:hAnsi="SimHei" w:eastAsia="SimHei" w:cs="SimHei"/>
                <w:sz w:val="21"/>
                <w:szCs w:val="21"/>
                <w:spacing w:val="-39"/>
              </w:rPr>
              <w:t xml:space="preserve"> </w:t>
            </w:r>
            <w:r>
              <w:rPr>
                <w:rFonts w:ascii="Times New Roman" w:hAnsi="Times New Roman" w:eastAsia="Times New Roman" w:cs="Times New Roman"/>
                <w:sz w:val="21"/>
                <w:szCs w:val="21"/>
                <w:spacing w:val="-3"/>
              </w:rPr>
              <w:t>646</w:t>
            </w:r>
          </w:hyperlink>
        </w:p>
        <w:p>
          <w:pPr>
            <w:pStyle w:val="BodyText"/>
            <w:spacing w:line="337" w:lineRule="auto"/>
            <w:rPr/>
          </w:pPr>
          <w:r/>
        </w:p>
        <w:p>
          <w:pPr>
            <w:spacing w:before="68" w:line="222" w:lineRule="auto"/>
            <w:tabs>
              <w:tab w:val="right" w:leader="dot" w:pos="13891"/>
            </w:tabs>
            <w:rPr>
              <w:rFonts w:ascii="Times New Roman" w:hAnsi="Times New Roman" w:eastAsia="Times New Roman" w:cs="Times New Roman"/>
              <w:sz w:val="21"/>
              <w:szCs w:val="21"/>
            </w:rPr>
          </w:pPr>
          <w:hyperlink w:history="true" w:anchor="bookmark691">
            <w:r>
              <w:rPr>
                <w:rFonts w:ascii="SimHei" w:hAnsi="SimHei" w:eastAsia="SimHei" w:cs="SimHei"/>
                <w:sz w:val="21"/>
                <w:szCs w:val="21"/>
                <w:b/>
                <w:bCs/>
                <w:spacing w:val="-9"/>
              </w:rPr>
              <w:t>六、放射管理</w:t>
            </w:r>
            <w:r>
              <w:rPr>
                <w:rFonts w:ascii="SimHei" w:hAnsi="SimHei" w:eastAsia="SimHei" w:cs="SimHei"/>
                <w:sz w:val="21"/>
                <w:szCs w:val="21"/>
                <w:spacing w:val="-89"/>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648</w:t>
            </w:r>
          </w:hyperlink>
        </w:p>
        <w:p>
          <w:pPr>
            <w:ind w:left="526"/>
            <w:spacing w:before="225" w:line="223" w:lineRule="auto"/>
            <w:tabs>
              <w:tab w:val="right" w:leader="dot" w:pos="13891"/>
            </w:tabs>
            <w:rPr>
              <w:rFonts w:ascii="Times New Roman" w:hAnsi="Times New Roman" w:eastAsia="Times New Roman" w:cs="Times New Roman"/>
              <w:sz w:val="21"/>
              <w:szCs w:val="21"/>
            </w:rPr>
          </w:pPr>
          <w:hyperlink w:history="true" w:anchor="bookmark692">
            <w:r>
              <w:rPr>
                <w:rFonts w:ascii="KaiTi" w:hAnsi="KaiTi" w:eastAsia="KaiTi" w:cs="KaiTi"/>
                <w:sz w:val="21"/>
                <w:szCs w:val="21"/>
                <w:spacing w:val="-4"/>
              </w:rPr>
              <w:t>(</w:t>
            </w:r>
            <w:r>
              <w:rPr>
                <w:rFonts w:ascii="KaiTi" w:hAnsi="KaiTi" w:eastAsia="KaiTi" w:cs="KaiTi"/>
                <w:sz w:val="21"/>
                <w:szCs w:val="21"/>
                <w:spacing w:val="-4"/>
              </w:rPr>
              <w:t xml:space="preserve"> </w:t>
            </w:r>
            <w:r>
              <w:rPr>
                <w:rFonts w:ascii="KaiTi" w:hAnsi="KaiTi" w:eastAsia="KaiTi" w:cs="KaiTi"/>
                <w:sz w:val="21"/>
                <w:szCs w:val="21"/>
                <w:spacing w:val="-4"/>
              </w:rPr>
              <w:t>一</w:t>
            </w:r>
            <w:r>
              <w:rPr>
                <w:rFonts w:ascii="KaiTi" w:hAnsi="KaiTi" w:eastAsia="KaiTi" w:cs="KaiTi"/>
                <w:sz w:val="21"/>
                <w:szCs w:val="21"/>
                <w:spacing w:val="-4"/>
              </w:rPr>
              <w:t xml:space="preserve"> </w:t>
            </w:r>
            <w:r>
              <w:rPr>
                <w:rFonts w:ascii="KaiTi" w:hAnsi="KaiTi" w:eastAsia="KaiTi" w:cs="KaiTi"/>
                <w:sz w:val="21"/>
                <w:szCs w:val="21"/>
                <w:spacing w:val="-4"/>
              </w:rPr>
              <w:t>)《放射诊疗管理规定》</w:t>
            </w:r>
            <w:r>
              <w:rPr>
                <w:rFonts w:ascii="KaiTi" w:hAnsi="KaiTi" w:eastAsia="KaiTi" w:cs="KaiTi"/>
                <w:sz w:val="21"/>
                <w:szCs w:val="21"/>
                <w:spacing w:val="-67"/>
              </w:rPr>
              <w:t xml:space="preserve"> </w:t>
            </w:r>
            <w:r>
              <w:rPr>
                <w:rFonts w:ascii="KaiTi" w:hAnsi="KaiTi" w:eastAsia="KaiTi" w:cs="KaiTi"/>
                <w:sz w:val="21"/>
                <w:szCs w:val="21"/>
              </w:rPr>
              <w:tab/>
            </w:r>
            <w:r>
              <w:rPr>
                <w:rFonts w:ascii="KaiTi" w:hAnsi="KaiTi" w:eastAsia="KaiTi" w:cs="KaiTi"/>
                <w:sz w:val="21"/>
                <w:szCs w:val="21"/>
                <w:spacing w:val="-20"/>
              </w:rPr>
              <w:t xml:space="preserve"> </w:t>
            </w:r>
            <w:r>
              <w:rPr>
                <w:rFonts w:ascii="Times New Roman" w:hAnsi="Times New Roman" w:eastAsia="Times New Roman" w:cs="Times New Roman"/>
                <w:sz w:val="21"/>
                <w:szCs w:val="21"/>
                <w:spacing w:val="-3"/>
              </w:rPr>
              <w:t>648</w:t>
            </w:r>
          </w:hyperlink>
        </w:p>
        <w:p>
          <w:pPr>
            <w:pStyle w:val="BodyText"/>
            <w:spacing w:line="289" w:lineRule="auto"/>
            <w:rPr/>
          </w:pPr>
          <w:r/>
        </w:p>
        <w:p>
          <w:pPr>
            <w:ind w:left="866"/>
            <w:spacing w:before="69" w:line="221" w:lineRule="auto"/>
            <w:tabs>
              <w:tab w:val="right" w:leader="dot" w:pos="13841"/>
            </w:tabs>
            <w:rPr>
              <w:rFonts w:ascii="Times New Roman" w:hAnsi="Times New Roman" w:eastAsia="Times New Roman" w:cs="Times New Roman"/>
              <w:sz w:val="21"/>
              <w:szCs w:val="21"/>
            </w:rPr>
          </w:pPr>
          <w:hyperlink w:history="true" w:anchor="bookmark693">
            <w:r>
              <w:rPr>
                <w:rFonts w:ascii="SimHei" w:hAnsi="SimHei" w:eastAsia="SimHei" w:cs="SimHei"/>
                <w:sz w:val="21"/>
                <w:szCs w:val="21"/>
                <w:spacing w:val="7"/>
              </w:rPr>
              <w:t>第五百四十七条</w:t>
            </w:r>
            <w:r>
              <w:rPr>
                <w:rFonts w:ascii="SimHei" w:hAnsi="SimHei" w:eastAsia="SimHei" w:cs="SimHei"/>
                <w:sz w:val="21"/>
                <w:szCs w:val="21"/>
                <w:spacing w:val="38"/>
              </w:rPr>
              <w:t xml:space="preserve"> </w:t>
            </w:r>
            <w:r>
              <w:rPr>
                <w:rFonts w:ascii="SimHei" w:hAnsi="SimHei" w:eastAsia="SimHei" w:cs="SimHei"/>
                <w:sz w:val="21"/>
                <w:szCs w:val="21"/>
                <w:spacing w:val="7"/>
              </w:rPr>
              <w:t>医疗机构未取得放射诊疗许可从事放射诊疗工作的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648</w:t>
            </w:r>
          </w:hyperlink>
        </w:p>
        <w:p>
          <w:pPr>
            <w:pStyle w:val="BodyText"/>
            <w:spacing w:line="253" w:lineRule="auto"/>
            <w:rPr/>
          </w:pPr>
          <w:r/>
        </w:p>
        <w:p>
          <w:pPr>
            <w:pStyle w:val="BodyText"/>
            <w:spacing w:line="254" w:lineRule="auto"/>
            <w:rPr/>
          </w:pPr>
          <w:r/>
        </w:p>
        <w:p>
          <w:pPr>
            <w:ind w:left="866"/>
            <w:spacing w:before="68" w:line="221" w:lineRule="auto"/>
            <w:tabs>
              <w:tab w:val="right" w:leader="dot" w:pos="13871"/>
            </w:tabs>
            <w:rPr>
              <w:rFonts w:ascii="Times New Roman" w:hAnsi="Times New Roman" w:eastAsia="Times New Roman" w:cs="Times New Roman"/>
              <w:sz w:val="21"/>
              <w:szCs w:val="21"/>
            </w:rPr>
          </w:pPr>
          <w:hyperlink w:history="true" w:anchor="bookmark694">
            <w:r>
              <w:rPr>
                <w:rFonts w:ascii="SimHei" w:hAnsi="SimHei" w:eastAsia="SimHei" w:cs="SimHei"/>
                <w:sz w:val="21"/>
                <w:szCs w:val="21"/>
                <w:spacing w:val="10"/>
              </w:rPr>
              <w:t>第五百四十八条</w:t>
            </w:r>
            <w:r>
              <w:rPr>
                <w:rFonts w:ascii="SimHei" w:hAnsi="SimHei" w:eastAsia="SimHei" w:cs="SimHei"/>
                <w:sz w:val="21"/>
                <w:szCs w:val="21"/>
                <w:spacing w:val="42"/>
              </w:rPr>
              <w:t xml:space="preserve"> </w:t>
            </w:r>
            <w:r>
              <w:rPr>
                <w:rFonts w:ascii="SimHei" w:hAnsi="SimHei" w:eastAsia="SimHei" w:cs="SimHei"/>
                <w:sz w:val="21"/>
                <w:szCs w:val="21"/>
                <w:spacing w:val="10"/>
              </w:rPr>
              <w:t>医疗机构未办理诊疗科目登记或者未按照规定进行校验的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39"/>
              </w:rPr>
              <w:t xml:space="preserve"> </w:t>
            </w:r>
            <w:r>
              <w:rPr>
                <w:rFonts w:ascii="Times New Roman" w:hAnsi="Times New Roman" w:eastAsia="Times New Roman" w:cs="Times New Roman"/>
                <w:sz w:val="21"/>
                <w:szCs w:val="21"/>
                <w:spacing w:val="-3"/>
              </w:rPr>
              <w:t>649</w:t>
            </w:r>
          </w:hyperlink>
        </w:p>
        <w:p>
          <w:pPr>
            <w:pStyle w:val="BodyText"/>
            <w:spacing w:line="248" w:lineRule="auto"/>
            <w:rPr/>
          </w:pPr>
          <w:r/>
        </w:p>
        <w:p>
          <w:pPr>
            <w:pStyle w:val="BodyText"/>
            <w:spacing w:line="249" w:lineRule="auto"/>
            <w:rPr/>
          </w:pPr>
          <w:r/>
        </w:p>
        <w:p>
          <w:pPr>
            <w:ind w:left="866"/>
            <w:spacing w:before="69" w:line="221" w:lineRule="auto"/>
            <w:tabs>
              <w:tab w:val="right" w:leader="dot" w:pos="13841"/>
            </w:tabs>
            <w:rPr>
              <w:rFonts w:ascii="Times New Roman" w:hAnsi="Times New Roman" w:eastAsia="Times New Roman" w:cs="Times New Roman"/>
              <w:sz w:val="21"/>
              <w:szCs w:val="21"/>
            </w:rPr>
          </w:pPr>
          <w:hyperlink w:history="true" w:anchor="bookmark695">
            <w:r>
              <w:rPr>
                <w:rFonts w:ascii="SimHei" w:hAnsi="SimHei" w:eastAsia="SimHei" w:cs="SimHei"/>
                <w:sz w:val="21"/>
                <w:szCs w:val="21"/>
                <w:spacing w:val="33"/>
              </w:rPr>
              <w:t>第五百四十九条</w:t>
            </w:r>
            <w:r>
              <w:rPr>
                <w:rFonts w:ascii="SimHei" w:hAnsi="SimHei" w:eastAsia="SimHei" w:cs="SimHei"/>
                <w:sz w:val="21"/>
                <w:szCs w:val="21"/>
                <w:spacing w:val="107"/>
              </w:rPr>
              <w:t xml:space="preserve"> </w:t>
            </w:r>
            <w:r>
              <w:rPr>
                <w:rFonts w:ascii="SimHei" w:hAnsi="SimHei" w:eastAsia="SimHei" w:cs="SimHei"/>
                <w:sz w:val="21"/>
                <w:szCs w:val="21"/>
                <w:spacing w:val="33"/>
              </w:rPr>
              <w:t>医疗机构未经批准擅自变更放射诊疗项目或者超出批准范从放诊工作的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20"/>
              </w:rPr>
              <w:t xml:space="preserve"> </w:t>
            </w:r>
            <w:r>
              <w:rPr>
                <w:rFonts w:ascii="Times New Roman" w:hAnsi="Times New Roman" w:eastAsia="Times New Roman" w:cs="Times New Roman"/>
                <w:sz w:val="21"/>
                <w:szCs w:val="21"/>
                <w:spacing w:val="-3"/>
              </w:rPr>
              <w:t>650</w:t>
            </w:r>
          </w:hyperlink>
        </w:p>
        <w:p>
          <w:pPr>
            <w:pStyle w:val="BodyText"/>
            <w:spacing w:line="248" w:lineRule="auto"/>
            <w:rPr/>
          </w:pPr>
          <w:r/>
        </w:p>
        <w:p>
          <w:pPr>
            <w:pStyle w:val="BodyText"/>
            <w:spacing w:line="249" w:lineRule="auto"/>
            <w:rPr/>
          </w:pPr>
          <w:r/>
        </w:p>
        <w:p>
          <w:pPr>
            <w:ind w:left="866"/>
            <w:spacing w:before="68" w:line="221" w:lineRule="auto"/>
            <w:tabs>
              <w:tab w:val="right" w:leader="dot" w:pos="13881"/>
            </w:tabs>
            <w:rPr>
              <w:rFonts w:ascii="Times New Roman" w:hAnsi="Times New Roman" w:eastAsia="Times New Roman" w:cs="Times New Roman"/>
              <w:sz w:val="21"/>
              <w:szCs w:val="21"/>
            </w:rPr>
          </w:pPr>
          <w:hyperlink w:history="true" w:anchor="bookmark696">
            <w:r>
              <w:rPr>
                <w:rFonts w:ascii="SimHei" w:hAnsi="SimHei" w:eastAsia="SimHei" w:cs="SimHei"/>
                <w:sz w:val="21"/>
                <w:szCs w:val="21"/>
                <w:spacing w:val="6"/>
              </w:rPr>
              <w:t>第五百五十条</w:t>
            </w:r>
            <w:r>
              <w:rPr>
                <w:rFonts w:ascii="SimHei" w:hAnsi="SimHei" w:eastAsia="SimHei" w:cs="SimHei"/>
                <w:sz w:val="21"/>
                <w:szCs w:val="21"/>
                <w:spacing w:val="45"/>
              </w:rPr>
              <w:t xml:space="preserve"> </w:t>
            </w:r>
            <w:r>
              <w:rPr>
                <w:rFonts w:ascii="SimHei" w:hAnsi="SimHei" w:eastAsia="SimHei" w:cs="SimHei"/>
                <w:sz w:val="21"/>
                <w:szCs w:val="21"/>
                <w:spacing w:val="6"/>
              </w:rPr>
              <w:t>医疗机构使用不具备相应资质的人员从事放射诊疗工作的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4"/>
              </w:rPr>
              <w:t>651</w:t>
            </w:r>
          </w:hyperlink>
        </w:p>
        <w:p>
          <w:pPr>
            <w:pStyle w:val="BodyText"/>
            <w:spacing w:line="253" w:lineRule="auto"/>
            <w:rPr/>
          </w:pPr>
          <w:r/>
        </w:p>
        <w:p>
          <w:pPr>
            <w:pStyle w:val="BodyText"/>
            <w:spacing w:line="254" w:lineRule="auto"/>
            <w:rPr/>
          </w:pPr>
          <w:r/>
        </w:p>
        <w:p>
          <w:pPr>
            <w:ind w:left="866"/>
            <w:spacing w:before="69" w:line="221" w:lineRule="auto"/>
            <w:tabs>
              <w:tab w:val="right" w:leader="dot" w:pos="13881"/>
            </w:tabs>
            <w:rPr>
              <w:rFonts w:ascii="Times New Roman" w:hAnsi="Times New Roman" w:eastAsia="Times New Roman" w:cs="Times New Roman"/>
              <w:sz w:val="21"/>
              <w:szCs w:val="21"/>
            </w:rPr>
          </w:pPr>
          <w:hyperlink w:history="true" w:anchor="bookmark697">
            <w:r>
              <w:rPr>
                <w:rFonts w:ascii="SimHei" w:hAnsi="SimHei" w:eastAsia="SimHei" w:cs="SimHei"/>
                <w:sz w:val="21"/>
                <w:szCs w:val="21"/>
                <w:spacing w:val="23"/>
              </w:rPr>
              <w:t>第五百五十一条</w:t>
            </w:r>
            <w:r>
              <w:rPr>
                <w:rFonts w:ascii="SimHei" w:hAnsi="SimHei" w:eastAsia="SimHei" w:cs="SimHei"/>
                <w:sz w:val="21"/>
                <w:szCs w:val="21"/>
                <w:spacing w:val="68"/>
              </w:rPr>
              <w:t xml:space="preserve"> </w:t>
            </w:r>
            <w:r>
              <w:rPr>
                <w:rFonts w:ascii="SimHei" w:hAnsi="SimHei" w:eastAsia="SimHei" w:cs="SimHei"/>
                <w:sz w:val="21"/>
                <w:szCs w:val="21"/>
                <w:spacing w:val="23"/>
              </w:rPr>
              <w:t>医疗机构购置、使用不合格或国家有关部门规定淘汰的放</w:t>
            </w:r>
            <w:r>
              <w:rPr>
                <w:rFonts w:ascii="SimHei" w:hAnsi="SimHei" w:eastAsia="SimHei" w:cs="SimHei"/>
                <w:sz w:val="21"/>
                <w:szCs w:val="21"/>
                <w:spacing w:val="22"/>
              </w:rPr>
              <w:t>诊设备的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652</w:t>
            </w:r>
          </w:hyperlink>
        </w:p>
      </w:sdtContent>
    </w:sdt>
    <w:p>
      <w:pPr>
        <w:spacing w:line="221" w:lineRule="auto"/>
        <w:sectPr>
          <w:footerReference w:type="default" r:id="rId67"/>
          <w:pgSz w:w="16830" w:h="11900"/>
          <w:pgMar w:top="1011" w:right="1422" w:bottom="1129" w:left="1433" w:header="0" w:footer="768" w:gutter="0"/>
        </w:sectPr>
        <w:rPr>
          <w:rFonts w:ascii="Times New Roman" w:hAnsi="Times New Roman" w:eastAsia="Times New Roman" w:cs="Times New Roman"/>
          <w:sz w:val="21"/>
          <w:szCs w:val="21"/>
        </w:rPr>
      </w:pPr>
    </w:p>
    <w:p>
      <w:pPr>
        <w:pStyle w:val="BodyText"/>
        <w:spacing w:line="306" w:lineRule="auto"/>
        <w:rPr/>
      </w:pPr>
      <w:r/>
    </w:p>
    <w:p>
      <w:pPr>
        <w:pStyle w:val="BodyText"/>
        <w:spacing w:line="306" w:lineRule="auto"/>
        <w:rPr/>
      </w:pPr>
      <w:r/>
    </w:p>
    <w:p>
      <w:pPr>
        <w:pStyle w:val="BodyText"/>
        <w:spacing w:line="306"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spacing w:before="71" w:line="221" w:lineRule="auto"/>
            <w:tabs>
              <w:tab w:val="right" w:leader="dot" w:pos="13060"/>
            </w:tabs>
            <w:rPr>
              <w:rFonts w:ascii="Times New Roman" w:hAnsi="Times New Roman" w:eastAsia="Times New Roman" w:cs="Times New Roman"/>
              <w:sz w:val="22"/>
              <w:szCs w:val="22"/>
            </w:rPr>
          </w:pPr>
          <w:hyperlink w:history="true" w:anchor="bookmark698">
            <w:r>
              <w:rPr>
                <w:rFonts w:ascii="SimHei" w:hAnsi="SimHei" w:eastAsia="SimHei" w:cs="SimHei"/>
                <w:sz w:val="22"/>
                <w:szCs w:val="22"/>
              </w:rPr>
              <w:t>第五百五十二条</w:t>
            </w:r>
            <w:r>
              <w:rPr>
                <w:rFonts w:ascii="SimHei" w:hAnsi="SimHei" w:eastAsia="SimHei" w:cs="SimHei"/>
                <w:sz w:val="22"/>
                <w:szCs w:val="22"/>
              </w:rPr>
              <w:t xml:space="preserve"> </w:t>
            </w:r>
            <w:r>
              <w:rPr>
                <w:rFonts w:ascii="SimHei" w:hAnsi="SimHei" w:eastAsia="SimHei" w:cs="SimHei"/>
                <w:sz w:val="22"/>
                <w:szCs w:val="22"/>
              </w:rPr>
              <w:t>医疗机构未按照规定使用安全防护</w:t>
            </w:r>
            <w:r>
              <w:rPr>
                <w:rFonts w:ascii="SimHei" w:hAnsi="SimHei" w:eastAsia="SimHei" w:cs="SimHei"/>
                <w:sz w:val="22"/>
                <w:szCs w:val="22"/>
                <w:spacing w:val="-1"/>
              </w:rPr>
              <w:t>装置和个人防护用品的</w:t>
            </w:r>
            <w:r>
              <w:rPr>
                <w:rFonts w:ascii="SimHei" w:hAnsi="SimHei" w:eastAsia="SimHei" w:cs="SimHei"/>
                <w:sz w:val="22"/>
                <w:szCs w:val="22"/>
              </w:rPr>
              <w:tab/>
            </w:r>
            <w:r>
              <w:rPr>
                <w:rFonts w:ascii="Times New Roman" w:hAnsi="Times New Roman" w:eastAsia="Times New Roman" w:cs="Times New Roman"/>
                <w:sz w:val="22"/>
                <w:szCs w:val="22"/>
                <w:spacing w:val="-1"/>
              </w:rPr>
              <w:t>653</w:t>
            </w:r>
          </w:hyperlink>
        </w:p>
        <w:p>
          <w:pPr>
            <w:pStyle w:val="BodyText"/>
            <w:spacing w:line="472" w:lineRule="auto"/>
            <w:rPr/>
          </w:pPr>
          <w:r/>
        </w:p>
        <w:p>
          <w:pPr>
            <w:spacing w:before="72" w:line="213" w:lineRule="auto"/>
            <w:jc w:val="right"/>
            <w:rPr>
              <w:rFonts w:ascii="SimHei" w:hAnsi="SimHei" w:eastAsia="SimHei" w:cs="SimHei"/>
              <w:sz w:val="22"/>
              <w:szCs w:val="22"/>
            </w:rPr>
          </w:pPr>
          <w:hyperlink w:history="true" w:anchor="bookmark699">
            <w:r>
              <w:rPr>
                <w:rFonts w:ascii="SimHei" w:hAnsi="SimHei" w:eastAsia="SimHei" w:cs="SimHei"/>
                <w:sz w:val="22"/>
                <w:szCs w:val="22"/>
              </w:rPr>
              <w:t>第五百五十三条</w:t>
            </w:r>
            <w:r>
              <w:rPr>
                <w:rFonts w:ascii="SimHei" w:hAnsi="SimHei" w:eastAsia="SimHei" w:cs="SimHei"/>
                <w:sz w:val="22"/>
                <w:szCs w:val="22"/>
              </w:rPr>
              <w:t xml:space="preserve"> </w:t>
            </w:r>
            <w:r>
              <w:rPr>
                <w:rFonts w:ascii="SimHei" w:hAnsi="SimHei" w:eastAsia="SimHei" w:cs="SimHei"/>
                <w:sz w:val="22"/>
                <w:szCs w:val="22"/>
              </w:rPr>
              <w:t>医疗机构新安装、维修或更换重要部件后的放射诊疗设备，未经省级以上卫生行政部门资质认证</w:t>
            </w:r>
            <w:r>
              <w:rPr>
                <w:rFonts w:ascii="SimHei" w:hAnsi="SimHei" w:eastAsia="SimHei" w:cs="SimHei"/>
                <w:sz w:val="22"/>
                <w:szCs w:val="22"/>
                <w:spacing w:val="-1"/>
              </w:rPr>
              <w:t>的检测机构对其进行检</w:t>
            </w:r>
          </w:hyperlink>
        </w:p>
        <w:p>
          <w:pPr>
            <w:pStyle w:val="BodyText"/>
            <w:spacing w:line="312" w:lineRule="auto"/>
            <w:rPr/>
          </w:pPr>
          <w:r/>
        </w:p>
        <w:p>
          <w:pPr>
            <w:spacing w:before="72" w:line="222" w:lineRule="auto"/>
            <w:tabs>
              <w:tab w:val="right" w:leader="dot" w:pos="13050"/>
            </w:tabs>
            <w:rPr>
              <w:rFonts w:ascii="Times New Roman" w:hAnsi="Times New Roman" w:eastAsia="Times New Roman" w:cs="Times New Roman"/>
              <w:sz w:val="22"/>
              <w:szCs w:val="22"/>
            </w:rPr>
          </w:pPr>
          <w:hyperlink w:history="true" w:anchor="bookmark700">
            <w:r>
              <w:rPr>
                <w:rFonts w:ascii="SimHei" w:hAnsi="SimHei" w:eastAsia="SimHei" w:cs="SimHei"/>
                <w:sz w:val="22"/>
                <w:szCs w:val="22"/>
                <w:color w:val="304040"/>
                <w:spacing w:val="6"/>
              </w:rPr>
              <w:t>测投入使用的</w:t>
            </w:r>
            <w:r>
              <w:rPr>
                <w:rFonts w:ascii="SimHei" w:hAnsi="SimHei" w:eastAsia="SimHei" w:cs="SimHei"/>
                <w:sz w:val="22"/>
                <w:szCs w:val="22"/>
                <w:color w:val="304040"/>
                <w:spacing w:val="-98"/>
              </w:rPr>
              <w:t xml:space="preserve"> </w:t>
            </w:r>
            <w:r>
              <w:rPr>
                <w:rFonts w:ascii="SimHei" w:hAnsi="SimHei" w:eastAsia="SimHei" w:cs="SimHei"/>
                <w:sz w:val="22"/>
                <w:szCs w:val="22"/>
                <w:color w:val="304040"/>
              </w:rPr>
              <w:tab/>
            </w:r>
            <w:r>
              <w:rPr>
                <w:rFonts w:ascii="Times New Roman" w:hAnsi="Times New Roman" w:eastAsia="Times New Roman" w:cs="Times New Roman"/>
                <w:sz w:val="22"/>
                <w:szCs w:val="22"/>
                <w:color w:val="304040"/>
                <w:spacing w:val="-1"/>
              </w:rPr>
              <w:t>654</w:t>
            </w:r>
          </w:hyperlink>
        </w:p>
        <w:p>
          <w:pPr>
            <w:pStyle w:val="BodyText"/>
            <w:rPr/>
          </w:pPr>
          <w:r/>
        </w:p>
        <w:p>
          <w:pPr>
            <w:pStyle w:val="BodyText"/>
            <w:rPr/>
          </w:pPr>
          <w:r/>
        </w:p>
        <w:p>
          <w:pPr>
            <w:spacing w:before="71" w:line="221" w:lineRule="auto"/>
            <w:tabs>
              <w:tab w:val="right" w:leader="dot" w:pos="12910"/>
            </w:tabs>
            <w:rPr>
              <w:rFonts w:ascii="Times New Roman" w:hAnsi="Times New Roman" w:eastAsia="Times New Roman" w:cs="Times New Roman"/>
              <w:sz w:val="22"/>
              <w:szCs w:val="22"/>
            </w:rPr>
          </w:pPr>
          <w:hyperlink w:history="true" w:anchor="bookmark701">
            <w:r>
              <w:rPr>
                <w:rFonts w:ascii="SimHei" w:hAnsi="SimHei" w:eastAsia="SimHei" w:cs="SimHei"/>
                <w:sz w:val="22"/>
                <w:szCs w:val="22"/>
                <w:spacing w:val="-1"/>
              </w:rPr>
              <w:t>第五百五十四条</w:t>
            </w:r>
            <w:r>
              <w:rPr>
                <w:rFonts w:ascii="SimHei" w:hAnsi="SimHei" w:eastAsia="SimHei" w:cs="SimHei"/>
                <w:sz w:val="22"/>
                <w:szCs w:val="22"/>
                <w:spacing w:val="-1"/>
              </w:rPr>
              <w:t xml:space="preserve"> </w:t>
            </w:r>
            <w:r>
              <w:rPr>
                <w:rFonts w:ascii="SimHei" w:hAnsi="SimHei" w:eastAsia="SimHei" w:cs="SimHei"/>
                <w:sz w:val="22"/>
                <w:szCs w:val="22"/>
                <w:spacing w:val="-1"/>
              </w:rPr>
              <w:t>医疗机构放射诊疗设备未由省级以上卫生行政部门资质认证的检测机构每年至少进行一次状态检测的</w:t>
            </w:r>
            <w:r>
              <w:rPr>
                <w:rFonts w:ascii="SimHei" w:hAnsi="SimHei" w:eastAsia="SimHei" w:cs="SimHei"/>
                <w:sz w:val="22"/>
                <w:szCs w:val="22"/>
                <w:spacing w:val="-89"/>
              </w:rPr>
              <w:t xml:space="preserve"> </w:t>
            </w:r>
            <w:r>
              <w:rPr>
                <w:rFonts w:ascii="SimHei" w:hAnsi="SimHei" w:eastAsia="SimHei" w:cs="SimHei"/>
                <w:sz w:val="22"/>
                <w:szCs w:val="22"/>
              </w:rPr>
              <w:tab/>
            </w:r>
            <w:r>
              <w:rPr>
                <w:rFonts w:ascii="Times New Roman" w:hAnsi="Times New Roman" w:eastAsia="Times New Roman" w:cs="Times New Roman"/>
                <w:sz w:val="22"/>
                <w:szCs w:val="22"/>
                <w:spacing w:val="-4"/>
              </w:rPr>
              <w:t>655</w:t>
            </w:r>
          </w:hyperlink>
        </w:p>
        <w:p>
          <w:pPr>
            <w:pStyle w:val="BodyText"/>
            <w:spacing w:line="251" w:lineRule="auto"/>
            <w:rPr/>
          </w:pPr>
          <w:r/>
        </w:p>
        <w:p>
          <w:pPr>
            <w:pStyle w:val="BodyText"/>
            <w:spacing w:line="251" w:lineRule="auto"/>
            <w:rPr/>
          </w:pPr>
          <w:r/>
        </w:p>
        <w:p>
          <w:pPr>
            <w:spacing w:before="71" w:line="221" w:lineRule="auto"/>
            <w:tabs>
              <w:tab w:val="right" w:leader="dot" w:pos="13050"/>
            </w:tabs>
            <w:rPr>
              <w:rFonts w:ascii="Times New Roman" w:hAnsi="Times New Roman" w:eastAsia="Times New Roman" w:cs="Times New Roman"/>
              <w:sz w:val="22"/>
              <w:szCs w:val="22"/>
            </w:rPr>
          </w:pPr>
          <w:hyperlink w:history="true" w:anchor="bookmark702">
            <w:r>
              <w:rPr>
                <w:rFonts w:ascii="SimHei" w:hAnsi="SimHei" w:eastAsia="SimHei" w:cs="SimHei"/>
                <w:sz w:val="22"/>
                <w:szCs w:val="22"/>
              </w:rPr>
              <w:t>第五百五十五条</w:t>
            </w:r>
            <w:r>
              <w:rPr>
                <w:rFonts w:ascii="SimHei" w:hAnsi="SimHei" w:eastAsia="SimHei" w:cs="SimHei"/>
                <w:sz w:val="22"/>
                <w:szCs w:val="22"/>
              </w:rPr>
              <w:t xml:space="preserve"> </w:t>
            </w:r>
            <w:r>
              <w:rPr>
                <w:rFonts w:ascii="SimHei" w:hAnsi="SimHei" w:eastAsia="SimHei" w:cs="SimHei"/>
                <w:sz w:val="22"/>
                <w:szCs w:val="22"/>
              </w:rPr>
              <w:t>医疗机构未按照规定对放射诊疗工作人员进行个人剂量监测、健康检查、建立</w:t>
            </w:r>
            <w:r>
              <w:rPr>
                <w:rFonts w:ascii="SimHei" w:hAnsi="SimHei" w:eastAsia="SimHei" w:cs="SimHei"/>
                <w:sz w:val="22"/>
                <w:szCs w:val="22"/>
                <w:spacing w:val="-1"/>
              </w:rPr>
              <w:t>个人剂量和健康档案的</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24"/>
              </w:rPr>
              <w:t xml:space="preserve"> </w:t>
            </w:r>
            <w:r>
              <w:rPr>
                <w:rFonts w:ascii="Times New Roman" w:hAnsi="Times New Roman" w:eastAsia="Times New Roman" w:cs="Times New Roman"/>
                <w:sz w:val="22"/>
                <w:szCs w:val="22"/>
                <w:spacing w:val="-3"/>
              </w:rPr>
              <w:t>657</w:t>
            </w:r>
          </w:hyperlink>
        </w:p>
        <w:p>
          <w:pPr>
            <w:pStyle w:val="BodyText"/>
            <w:spacing w:line="472" w:lineRule="auto"/>
            <w:rPr/>
          </w:pPr>
          <w:r/>
        </w:p>
        <w:p>
          <w:pPr>
            <w:spacing w:before="72" w:line="221" w:lineRule="auto"/>
            <w:tabs>
              <w:tab w:val="right" w:leader="dot" w:pos="13040"/>
            </w:tabs>
            <w:rPr>
              <w:rFonts w:ascii="Times New Roman" w:hAnsi="Times New Roman" w:eastAsia="Times New Roman" w:cs="Times New Roman"/>
              <w:sz w:val="22"/>
              <w:szCs w:val="22"/>
            </w:rPr>
          </w:pPr>
          <w:hyperlink w:history="true" w:anchor="bookmark703">
            <w:r>
              <w:rPr>
                <w:rFonts w:ascii="SimHei" w:hAnsi="SimHei" w:eastAsia="SimHei" w:cs="SimHei"/>
                <w:sz w:val="22"/>
                <w:szCs w:val="22"/>
              </w:rPr>
              <w:t>第五百五十六条</w:t>
            </w:r>
            <w:r>
              <w:rPr>
                <w:rFonts w:ascii="SimHei" w:hAnsi="SimHei" w:eastAsia="SimHei" w:cs="SimHei"/>
                <w:sz w:val="22"/>
                <w:szCs w:val="22"/>
              </w:rPr>
              <w:t xml:space="preserve"> </w:t>
            </w:r>
            <w:r>
              <w:rPr>
                <w:rFonts w:ascii="SimHei" w:hAnsi="SimHei" w:eastAsia="SimHei" w:cs="SimHei"/>
                <w:sz w:val="22"/>
                <w:szCs w:val="22"/>
              </w:rPr>
              <w:t>医疗机构发生放射事件并造</w:t>
            </w:r>
            <w:r>
              <w:rPr>
                <w:rFonts w:ascii="SimHei" w:hAnsi="SimHei" w:eastAsia="SimHei" w:cs="SimHei"/>
                <w:sz w:val="22"/>
                <w:szCs w:val="22"/>
                <w:spacing w:val="-1"/>
              </w:rPr>
              <w:t>成人员健康严重损害的</w:t>
            </w:r>
            <w:r>
              <w:rPr>
                <w:rFonts w:ascii="SimHei" w:hAnsi="SimHei" w:eastAsia="SimHei" w:cs="SimHei"/>
                <w:sz w:val="22"/>
                <w:szCs w:val="22"/>
                <w:spacing w:val="-102"/>
              </w:rPr>
              <w:t xml:space="preserve"> </w:t>
            </w:r>
            <w:r>
              <w:rPr>
                <w:rFonts w:ascii="SimHei" w:hAnsi="SimHei" w:eastAsia="SimHei" w:cs="SimHei"/>
                <w:sz w:val="22"/>
                <w:szCs w:val="22"/>
              </w:rPr>
              <w:tab/>
            </w:r>
            <w:r>
              <w:rPr>
                <w:rFonts w:ascii="SimHei" w:hAnsi="SimHei" w:eastAsia="SimHei" w:cs="SimHei"/>
                <w:sz w:val="22"/>
                <w:szCs w:val="22"/>
                <w:spacing w:val="-14"/>
              </w:rPr>
              <w:t xml:space="preserve"> </w:t>
            </w:r>
            <w:r>
              <w:rPr>
                <w:rFonts w:ascii="Times New Roman" w:hAnsi="Times New Roman" w:eastAsia="Times New Roman" w:cs="Times New Roman"/>
                <w:sz w:val="22"/>
                <w:szCs w:val="22"/>
                <w:spacing w:val="-3"/>
              </w:rPr>
              <w:t>658</w:t>
            </w:r>
          </w:hyperlink>
        </w:p>
        <w:p>
          <w:pPr>
            <w:pStyle w:val="BodyText"/>
            <w:spacing w:line="241" w:lineRule="auto"/>
            <w:rPr/>
          </w:pPr>
          <w:r/>
        </w:p>
        <w:p>
          <w:pPr>
            <w:pStyle w:val="BodyText"/>
            <w:spacing w:line="241" w:lineRule="auto"/>
            <w:rPr/>
          </w:pPr>
          <w:r/>
        </w:p>
        <w:p>
          <w:pPr>
            <w:spacing w:before="72" w:line="221" w:lineRule="auto"/>
            <w:tabs>
              <w:tab w:val="right" w:leader="dot" w:pos="13050"/>
            </w:tabs>
            <w:rPr>
              <w:rFonts w:ascii="Times New Roman" w:hAnsi="Times New Roman" w:eastAsia="Times New Roman" w:cs="Times New Roman"/>
              <w:sz w:val="22"/>
              <w:szCs w:val="22"/>
            </w:rPr>
          </w:pPr>
          <w:hyperlink w:history="true" w:anchor="bookmark704">
            <w:r>
              <w:rPr>
                <w:rFonts w:ascii="SimHei" w:hAnsi="SimHei" w:eastAsia="SimHei" w:cs="SimHei"/>
                <w:sz w:val="22"/>
                <w:szCs w:val="22"/>
                <w:spacing w:val="-1"/>
              </w:rPr>
              <w:t>第五百五十七条</w:t>
            </w:r>
            <w:r>
              <w:rPr>
                <w:rFonts w:ascii="SimHei" w:hAnsi="SimHei" w:eastAsia="SimHei" w:cs="SimHei"/>
                <w:sz w:val="22"/>
                <w:szCs w:val="22"/>
                <w:spacing w:val="-1"/>
              </w:rPr>
              <w:t xml:space="preserve"> </w:t>
            </w:r>
            <w:r>
              <w:rPr>
                <w:rFonts w:ascii="SimHei" w:hAnsi="SimHei" w:eastAsia="SimHei" w:cs="SimHei"/>
                <w:sz w:val="22"/>
                <w:szCs w:val="22"/>
                <w:spacing w:val="-1"/>
              </w:rPr>
              <w:t>医疗机构发生放射事件未立即采取应急救援和控制措施或者未按照规定及时报告的</w:t>
            </w:r>
            <w:r>
              <w:rPr>
                <w:rFonts w:ascii="SimHei" w:hAnsi="SimHei" w:eastAsia="SimHei" w:cs="SimHei"/>
                <w:sz w:val="22"/>
                <w:szCs w:val="22"/>
                <w:spacing w:val="-87"/>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659</w:t>
            </w:r>
          </w:hyperlink>
        </w:p>
        <w:p>
          <w:pPr>
            <w:pStyle w:val="BodyText"/>
            <w:spacing w:line="241" w:lineRule="auto"/>
            <w:rPr/>
          </w:pPr>
          <w:r/>
        </w:p>
        <w:p>
          <w:pPr>
            <w:pStyle w:val="BodyText"/>
            <w:spacing w:line="241" w:lineRule="auto"/>
            <w:rPr/>
          </w:pPr>
          <w:r/>
        </w:p>
        <w:p>
          <w:pPr>
            <w:spacing w:before="72" w:line="213" w:lineRule="auto"/>
            <w:tabs>
              <w:tab w:val="right" w:leader="dot" w:pos="13050"/>
            </w:tabs>
            <w:rPr>
              <w:rFonts w:ascii="Times New Roman" w:hAnsi="Times New Roman" w:eastAsia="Times New Roman" w:cs="Times New Roman"/>
              <w:sz w:val="22"/>
              <w:szCs w:val="22"/>
            </w:rPr>
          </w:pPr>
          <w:hyperlink w:history="true" w:anchor="bookmark705">
            <w:r>
              <w:rPr>
                <w:rFonts w:ascii="SimHei" w:hAnsi="SimHei" w:eastAsia="SimHei" w:cs="SimHei"/>
                <w:sz w:val="22"/>
                <w:szCs w:val="22"/>
              </w:rPr>
              <w:t>第五百五十八条</w:t>
            </w:r>
            <w:r>
              <w:rPr>
                <w:rFonts w:ascii="SimHei" w:hAnsi="SimHei" w:eastAsia="SimHei" w:cs="SimHei"/>
                <w:sz w:val="22"/>
                <w:szCs w:val="22"/>
              </w:rPr>
              <w:t xml:space="preserve"> </w:t>
            </w:r>
            <w:r>
              <w:rPr>
                <w:rFonts w:ascii="SimHei" w:hAnsi="SimHei" w:eastAsia="SimHei" w:cs="SimHei"/>
                <w:sz w:val="22"/>
                <w:szCs w:val="22"/>
              </w:rPr>
              <w:t>对患者和受检者进行医疗照射时，未</w:t>
            </w:r>
            <w:r>
              <w:rPr>
                <w:rFonts w:ascii="SimHei" w:hAnsi="SimHei" w:eastAsia="SimHei" w:cs="SimHei"/>
                <w:sz w:val="22"/>
                <w:szCs w:val="22"/>
                <w:spacing w:val="-1"/>
              </w:rPr>
              <w:t>遵守医疗照射正当化的</w:t>
            </w:r>
            <w:r>
              <w:rPr>
                <w:rFonts w:ascii="SimHei" w:hAnsi="SimHei" w:eastAsia="SimHei" w:cs="SimHei"/>
                <w:sz w:val="22"/>
                <w:szCs w:val="22"/>
              </w:rPr>
              <w:tab/>
            </w:r>
            <w:r>
              <w:rPr>
                <w:rFonts w:ascii="Times New Roman" w:hAnsi="Times New Roman" w:eastAsia="Times New Roman" w:cs="Times New Roman"/>
                <w:sz w:val="22"/>
                <w:szCs w:val="22"/>
                <w:spacing w:val="-1"/>
              </w:rPr>
              <w:t>660</w:t>
            </w:r>
          </w:hyperlink>
        </w:p>
        <w:p>
          <w:pPr>
            <w:pStyle w:val="BodyText"/>
            <w:spacing w:line="245" w:lineRule="auto"/>
            <w:rPr/>
          </w:pPr>
          <w:r/>
        </w:p>
        <w:p>
          <w:pPr>
            <w:pStyle w:val="BodyText"/>
            <w:spacing w:line="246" w:lineRule="auto"/>
            <w:rPr/>
          </w:pPr>
          <w:r/>
        </w:p>
        <w:p>
          <w:pPr>
            <w:spacing w:before="72" w:line="213" w:lineRule="auto"/>
            <w:tabs>
              <w:tab w:val="right" w:leader="dot" w:pos="13050"/>
            </w:tabs>
            <w:rPr>
              <w:rFonts w:ascii="Times New Roman" w:hAnsi="Times New Roman" w:eastAsia="Times New Roman" w:cs="Times New Roman"/>
              <w:sz w:val="22"/>
              <w:szCs w:val="22"/>
            </w:rPr>
          </w:pPr>
          <w:hyperlink w:history="true" w:anchor="bookmark706">
            <w:r>
              <w:rPr>
                <w:rFonts w:ascii="SimHei" w:hAnsi="SimHei" w:eastAsia="SimHei" w:cs="SimHei"/>
                <w:sz w:val="22"/>
                <w:szCs w:val="22"/>
                <w:spacing w:val="2"/>
              </w:rPr>
              <w:t>第五百五十九条</w:t>
            </w:r>
            <w:r>
              <w:rPr>
                <w:rFonts w:ascii="SimHei" w:hAnsi="SimHei" w:eastAsia="SimHei" w:cs="SimHei"/>
                <w:sz w:val="22"/>
                <w:szCs w:val="22"/>
                <w:spacing w:val="2"/>
              </w:rPr>
              <w:t xml:space="preserve"> </w:t>
            </w:r>
            <w:r>
              <w:rPr>
                <w:rFonts w:ascii="SimHei" w:hAnsi="SimHei" w:eastAsia="SimHei" w:cs="SimHei"/>
                <w:sz w:val="22"/>
                <w:szCs w:val="22"/>
                <w:spacing w:val="2"/>
              </w:rPr>
              <w:t>对患者和受检者进行医疗照射前</w:t>
            </w:r>
            <w:r>
              <w:rPr>
                <w:rFonts w:ascii="SimHei" w:hAnsi="SimHei" w:eastAsia="SimHei" w:cs="SimHei"/>
                <w:sz w:val="22"/>
                <w:szCs w:val="22"/>
                <w:spacing w:val="1"/>
              </w:rPr>
              <w:t>，未告知其辐射对健康影响的</w:t>
            </w:r>
            <w:r>
              <w:rPr>
                <w:rFonts w:ascii="SimHei" w:hAnsi="SimHei" w:eastAsia="SimHei" w:cs="SimHei"/>
                <w:sz w:val="22"/>
                <w:szCs w:val="22"/>
                <w:spacing w:val="-98"/>
              </w:rPr>
              <w:t xml:space="preserve"> </w:t>
            </w:r>
            <w:r>
              <w:rPr>
                <w:rFonts w:ascii="SimHei" w:hAnsi="SimHei" w:eastAsia="SimHei" w:cs="SimHei"/>
                <w:sz w:val="22"/>
                <w:szCs w:val="22"/>
              </w:rPr>
              <w:tab/>
            </w:r>
            <w:r>
              <w:rPr>
                <w:rFonts w:ascii="SimHei" w:hAnsi="SimHei" w:eastAsia="SimHei" w:cs="SimHei"/>
                <w:sz w:val="22"/>
                <w:szCs w:val="22"/>
                <w:spacing w:val="-74"/>
              </w:rPr>
              <w:t xml:space="preserve"> </w:t>
            </w:r>
            <w:r>
              <w:rPr>
                <w:rFonts w:ascii="Times New Roman" w:hAnsi="Times New Roman" w:eastAsia="Times New Roman" w:cs="Times New Roman"/>
                <w:sz w:val="22"/>
                <w:szCs w:val="22"/>
                <w:spacing w:val="-3"/>
              </w:rPr>
              <w:t>661</w:t>
            </w:r>
          </w:hyperlink>
        </w:p>
        <w:p>
          <w:pPr>
            <w:pStyle w:val="BodyText"/>
            <w:spacing w:line="245" w:lineRule="auto"/>
            <w:rPr/>
          </w:pPr>
          <w:r/>
        </w:p>
        <w:p>
          <w:pPr>
            <w:pStyle w:val="BodyText"/>
            <w:spacing w:line="246" w:lineRule="auto"/>
            <w:rPr/>
          </w:pPr>
          <w:r/>
        </w:p>
        <w:p>
          <w:pPr>
            <w:spacing w:before="72" w:line="213" w:lineRule="auto"/>
            <w:tabs>
              <w:tab w:val="right" w:leader="dot" w:pos="13060"/>
            </w:tabs>
            <w:rPr>
              <w:rFonts w:ascii="Times New Roman" w:hAnsi="Times New Roman" w:eastAsia="Times New Roman" w:cs="Times New Roman"/>
              <w:sz w:val="22"/>
              <w:szCs w:val="22"/>
            </w:rPr>
          </w:pPr>
          <w:hyperlink w:history="true" w:anchor="bookmark707">
            <w:r>
              <w:rPr>
                <w:rFonts w:ascii="SimHei" w:hAnsi="SimHei" w:eastAsia="SimHei" w:cs="SimHei"/>
                <w:sz w:val="22"/>
                <w:szCs w:val="22"/>
              </w:rPr>
              <w:t>第五百六十条</w:t>
            </w:r>
            <w:r>
              <w:rPr>
                <w:rFonts w:ascii="SimHei" w:hAnsi="SimHei" w:eastAsia="SimHei" w:cs="SimHei"/>
                <w:sz w:val="22"/>
                <w:szCs w:val="22"/>
              </w:rPr>
              <w:t xml:space="preserve"> </w:t>
            </w:r>
            <w:r>
              <w:rPr>
                <w:rFonts w:ascii="SimHei" w:hAnsi="SimHei" w:eastAsia="SimHei" w:cs="SimHei"/>
                <w:sz w:val="22"/>
                <w:szCs w:val="22"/>
              </w:rPr>
              <w:t>对患者和受检者进行医疗照射时，未严格控制</w:t>
            </w:r>
            <w:r>
              <w:rPr>
                <w:rFonts w:ascii="SimHei" w:hAnsi="SimHei" w:eastAsia="SimHei" w:cs="SimHei"/>
                <w:sz w:val="22"/>
                <w:szCs w:val="22"/>
                <w:spacing w:val="-1"/>
              </w:rPr>
              <w:t>照射范围或照射剂量的</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14"/>
              </w:rPr>
              <w:t xml:space="preserve"> </w:t>
            </w:r>
            <w:r>
              <w:rPr>
                <w:rFonts w:ascii="Times New Roman" w:hAnsi="Times New Roman" w:eastAsia="Times New Roman" w:cs="Times New Roman"/>
                <w:sz w:val="22"/>
                <w:szCs w:val="22"/>
                <w:spacing w:val="-3"/>
              </w:rPr>
              <w:t>662</w:t>
            </w:r>
          </w:hyperlink>
        </w:p>
      </w:sdtContent>
    </w:sdt>
    <w:p>
      <w:pPr>
        <w:spacing w:line="213" w:lineRule="auto"/>
        <w:sectPr>
          <w:footerReference w:type="default" r:id="rId68"/>
          <w:pgSz w:w="16830" w:h="11900"/>
          <w:pgMar w:top="1011" w:right="1438" w:bottom="1138" w:left="2290" w:header="0" w:footer="778" w:gutter="0"/>
        </w:sectPr>
        <w:rPr>
          <w:rFonts w:ascii="Times New Roman" w:hAnsi="Times New Roman" w:eastAsia="Times New Roman" w:cs="Times New Roman"/>
          <w:sz w:val="22"/>
          <w:szCs w:val="22"/>
        </w:rPr>
      </w:pPr>
    </w:p>
    <w:p>
      <w:pPr>
        <w:pStyle w:val="BodyText"/>
        <w:spacing w:line="303" w:lineRule="auto"/>
        <w:rPr/>
      </w:pPr>
      <w:r/>
    </w:p>
    <w:p>
      <w:pPr>
        <w:pStyle w:val="BodyText"/>
        <w:spacing w:line="303" w:lineRule="auto"/>
        <w:rPr/>
      </w:pPr>
      <w:r/>
    </w:p>
    <w:p>
      <w:pPr>
        <w:pStyle w:val="BodyText"/>
        <w:spacing w:line="303"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spacing w:before="71" w:line="213" w:lineRule="auto"/>
            <w:tabs>
              <w:tab w:val="right" w:leader="dot" w:pos="13050"/>
            </w:tabs>
            <w:rPr>
              <w:rFonts w:ascii="Times New Roman" w:hAnsi="Times New Roman" w:eastAsia="Times New Roman" w:cs="Times New Roman"/>
              <w:sz w:val="22"/>
              <w:szCs w:val="22"/>
            </w:rPr>
          </w:pPr>
          <w:bookmarkStart w:name="bookmark708" w:id="16"/>
          <w:bookmarkEnd w:id="16"/>
          <w:hyperlink w:history="true" w:anchor="bookmark709">
            <w:r>
              <w:rPr>
                <w:rFonts w:ascii="SimHei" w:hAnsi="SimHei" w:eastAsia="SimHei" w:cs="SimHei"/>
                <w:sz w:val="22"/>
                <w:szCs w:val="22"/>
                <w:spacing w:val="2"/>
              </w:rPr>
              <w:t>第五百六十一条</w:t>
            </w:r>
            <w:r>
              <w:rPr>
                <w:rFonts w:ascii="SimHei" w:hAnsi="SimHei" w:eastAsia="SimHei" w:cs="SimHei"/>
                <w:sz w:val="22"/>
                <w:szCs w:val="22"/>
                <w:spacing w:val="2"/>
              </w:rPr>
              <w:t xml:space="preserve"> </w:t>
            </w:r>
            <w:r>
              <w:rPr>
                <w:rFonts w:ascii="SimHei" w:hAnsi="SimHei" w:eastAsia="SimHei" w:cs="SimHei"/>
                <w:sz w:val="22"/>
                <w:szCs w:val="22"/>
                <w:spacing w:val="2"/>
              </w:rPr>
              <w:t>对育龄妇女腹部或骨盆进行核素显像检查或</w:t>
            </w:r>
            <w:r>
              <w:rPr>
                <w:rFonts w:ascii="Times New Roman" w:hAnsi="Times New Roman" w:eastAsia="Times New Roman" w:cs="Times New Roman"/>
                <w:sz w:val="22"/>
                <w:szCs w:val="22"/>
                <w:spacing w:val="2"/>
              </w:rPr>
              <w:t>X </w:t>
            </w:r>
            <w:r>
              <w:rPr>
                <w:rFonts w:ascii="SimHei" w:hAnsi="SimHei" w:eastAsia="SimHei" w:cs="SimHei"/>
                <w:sz w:val="22"/>
                <w:szCs w:val="22"/>
                <w:spacing w:val="2"/>
              </w:rPr>
              <w:t>射线检查前，未问明是否怀孕的</w:t>
            </w:r>
            <w:r>
              <w:rPr>
                <w:rFonts w:ascii="SimHei" w:hAnsi="SimHei" w:eastAsia="SimHei" w:cs="SimHei"/>
                <w:sz w:val="22"/>
                <w:szCs w:val="22"/>
                <w:spacing w:val="-81"/>
              </w:rPr>
              <w:t xml:space="preserve"> </w:t>
            </w:r>
            <w:r>
              <w:rPr>
                <w:rFonts w:ascii="SimHei" w:hAnsi="SimHei" w:eastAsia="SimHei" w:cs="SimHei"/>
                <w:sz w:val="22"/>
                <w:szCs w:val="22"/>
              </w:rPr>
              <w:tab/>
            </w:r>
            <w:r>
              <w:rPr>
                <w:rFonts w:ascii="Times New Roman" w:hAnsi="Times New Roman" w:eastAsia="Times New Roman" w:cs="Times New Roman"/>
                <w:sz w:val="22"/>
                <w:szCs w:val="22"/>
                <w:spacing w:val="-4"/>
              </w:rPr>
              <w:t>663</w:t>
            </w:r>
          </w:hyperlink>
        </w:p>
        <w:p>
          <w:pPr>
            <w:pStyle w:val="BodyText"/>
            <w:spacing w:line="245" w:lineRule="auto"/>
            <w:rPr/>
          </w:pPr>
          <w:r/>
        </w:p>
        <w:p>
          <w:pPr>
            <w:pStyle w:val="BodyText"/>
            <w:spacing w:line="246" w:lineRule="auto"/>
            <w:rPr/>
          </w:pPr>
          <w:r/>
        </w:p>
        <w:p>
          <w:pPr>
            <w:spacing w:before="72" w:line="213" w:lineRule="auto"/>
            <w:tabs>
              <w:tab w:val="right" w:leader="dot" w:pos="12940"/>
            </w:tabs>
            <w:rPr>
              <w:rFonts w:ascii="Times New Roman" w:hAnsi="Times New Roman" w:eastAsia="Times New Roman" w:cs="Times New Roman"/>
              <w:sz w:val="22"/>
              <w:szCs w:val="22"/>
            </w:rPr>
          </w:pPr>
          <w:hyperlink w:history="true" w:anchor="bookmark710">
            <w:r>
              <w:rPr>
                <w:rFonts w:ascii="SimHei" w:hAnsi="SimHei" w:eastAsia="SimHei" w:cs="SimHei"/>
                <w:sz w:val="22"/>
                <w:szCs w:val="22"/>
                <w:spacing w:val="-1"/>
              </w:rPr>
              <w:t>第五百六十二条</w:t>
            </w:r>
            <w:r>
              <w:rPr>
                <w:rFonts w:ascii="SimHei" w:hAnsi="SimHei" w:eastAsia="SimHei" w:cs="SimHei"/>
                <w:sz w:val="22"/>
                <w:szCs w:val="22"/>
                <w:spacing w:val="-1"/>
              </w:rPr>
              <w:t xml:space="preserve"> </w:t>
            </w:r>
            <w:r>
              <w:rPr>
                <w:rFonts w:ascii="SimHei" w:hAnsi="SimHei" w:eastAsia="SimHei" w:cs="SimHei"/>
                <w:sz w:val="22"/>
                <w:szCs w:val="22"/>
                <w:spacing w:val="-1"/>
              </w:rPr>
              <w:t>非特殊需要，对受孕后八至十五周的育龄妇女进行下腹部放射影像检查的</w:t>
            </w:r>
            <w:r>
              <w:rPr>
                <w:rFonts w:ascii="SimHei" w:hAnsi="SimHei" w:eastAsia="SimHei" w:cs="SimHei"/>
                <w:sz w:val="22"/>
                <w:szCs w:val="22"/>
                <w:spacing w:val="-92"/>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65</w:t>
            </w:r>
          </w:hyperlink>
        </w:p>
        <w:p>
          <w:pPr>
            <w:pStyle w:val="BodyText"/>
            <w:spacing w:line="254" w:lineRule="auto"/>
            <w:rPr/>
          </w:pPr>
          <w:r/>
        </w:p>
        <w:p>
          <w:pPr>
            <w:pStyle w:val="BodyText"/>
            <w:spacing w:line="255" w:lineRule="auto"/>
            <w:rPr/>
          </w:pPr>
          <w:r/>
        </w:p>
        <w:p>
          <w:pPr>
            <w:spacing w:before="72" w:line="219" w:lineRule="auto"/>
            <w:tabs>
              <w:tab w:val="right" w:leader="dot" w:pos="12930"/>
            </w:tabs>
            <w:rPr>
              <w:rFonts w:ascii="Times New Roman" w:hAnsi="Times New Roman" w:eastAsia="Times New Roman" w:cs="Times New Roman"/>
              <w:sz w:val="22"/>
              <w:szCs w:val="22"/>
            </w:rPr>
          </w:pPr>
          <w:hyperlink w:history="true" w:anchor="bookmark711">
            <w:r>
              <w:rPr>
                <w:rFonts w:ascii="SimHei" w:hAnsi="SimHei" w:eastAsia="SimHei" w:cs="SimHei"/>
                <w:sz w:val="22"/>
                <w:szCs w:val="22"/>
              </w:rPr>
              <w:t>第五百六十三条</w:t>
            </w:r>
            <w:r>
              <w:rPr>
                <w:rFonts w:ascii="SimHei" w:hAnsi="SimHei" w:eastAsia="SimHei" w:cs="SimHei"/>
                <w:sz w:val="22"/>
                <w:szCs w:val="22"/>
              </w:rPr>
              <w:t xml:space="preserve"> </w:t>
            </w:r>
            <w:r>
              <w:rPr>
                <w:rFonts w:ascii="SimHei" w:hAnsi="SimHei" w:eastAsia="SimHei" w:cs="SimHei"/>
                <w:sz w:val="22"/>
                <w:szCs w:val="22"/>
              </w:rPr>
              <w:t>医疗机构将核素显像检查或</w:t>
            </w:r>
            <w:r>
              <w:rPr>
                <w:rFonts w:ascii="Times New Roman" w:hAnsi="Times New Roman" w:eastAsia="Times New Roman" w:cs="Times New Roman"/>
                <w:sz w:val="22"/>
                <w:szCs w:val="22"/>
              </w:rPr>
              <w:t>X</w:t>
            </w:r>
            <w:r>
              <w:rPr>
                <w:rFonts w:ascii="Times New Roman" w:hAnsi="Times New Roman" w:eastAsia="Times New Roman" w:cs="Times New Roman"/>
                <w:sz w:val="22"/>
                <w:szCs w:val="22"/>
                <w:spacing w:val="37"/>
              </w:rPr>
              <w:t xml:space="preserve"> </w:t>
            </w:r>
            <w:r>
              <w:rPr>
                <w:rFonts w:ascii="SimHei" w:hAnsi="SimHei" w:eastAsia="SimHei" w:cs="SimHei"/>
                <w:sz w:val="22"/>
                <w:szCs w:val="22"/>
              </w:rPr>
              <w:t>射线胸部检查列入对婴幼儿及少年儿童体检的常规检查项目的</w:t>
            </w:r>
            <w:r>
              <w:rPr>
                <w:rFonts w:ascii="SimHei" w:hAnsi="SimHei" w:eastAsia="SimHei" w:cs="SimHei"/>
                <w:sz w:val="22"/>
                <w:szCs w:val="22"/>
                <w:spacing w:val="-102"/>
              </w:rPr>
              <w:t xml:space="preserve"> </w:t>
            </w:r>
            <w:r>
              <w:rPr>
                <w:rFonts w:ascii="SimHei" w:hAnsi="SimHei" w:eastAsia="SimHei" w:cs="SimHei"/>
                <w:sz w:val="22"/>
                <w:szCs w:val="22"/>
              </w:rPr>
              <w:tab/>
            </w:r>
            <w:r>
              <w:rPr>
                <w:rFonts w:ascii="SimHei" w:hAnsi="SimHei" w:eastAsia="SimHei" w:cs="SimHei"/>
                <w:sz w:val="22"/>
                <w:szCs w:val="22"/>
                <w:spacing w:val="-55"/>
              </w:rPr>
              <w:t xml:space="preserve"> </w:t>
            </w:r>
            <w:r>
              <w:rPr>
                <w:rFonts w:ascii="Times New Roman" w:hAnsi="Times New Roman" w:eastAsia="Times New Roman" w:cs="Times New Roman"/>
                <w:sz w:val="22"/>
                <w:szCs w:val="22"/>
                <w:spacing w:val="-3"/>
              </w:rPr>
              <w:t>66</w:t>
            </w:r>
          </w:hyperlink>
        </w:p>
        <w:p>
          <w:pPr>
            <w:pStyle w:val="BodyText"/>
            <w:spacing w:line="242" w:lineRule="auto"/>
            <w:rPr/>
          </w:pPr>
          <w:r/>
        </w:p>
        <w:p>
          <w:pPr>
            <w:pStyle w:val="BodyText"/>
            <w:spacing w:line="243" w:lineRule="auto"/>
            <w:rPr/>
          </w:pPr>
          <w:r/>
        </w:p>
        <w:p>
          <w:pPr>
            <w:spacing w:before="72" w:line="221" w:lineRule="auto"/>
            <w:tabs>
              <w:tab w:val="right" w:leader="dot" w:pos="13040"/>
            </w:tabs>
            <w:rPr>
              <w:rFonts w:ascii="Times New Roman" w:hAnsi="Times New Roman" w:eastAsia="Times New Roman" w:cs="Times New Roman"/>
              <w:sz w:val="22"/>
              <w:szCs w:val="22"/>
            </w:rPr>
          </w:pPr>
          <w:hyperlink w:history="true" w:anchor="bookmark712">
            <w:r>
              <w:rPr>
                <w:rFonts w:ascii="SimHei" w:hAnsi="SimHei" w:eastAsia="SimHei" w:cs="SimHei"/>
                <w:sz w:val="22"/>
                <w:szCs w:val="22"/>
                <w:spacing w:val="-1"/>
              </w:rPr>
              <w:t>第五百六十四条</w:t>
            </w:r>
            <w:r>
              <w:rPr>
                <w:rFonts w:ascii="SimHei" w:hAnsi="SimHei" w:eastAsia="SimHei" w:cs="SimHei"/>
                <w:sz w:val="22"/>
                <w:szCs w:val="22"/>
                <w:spacing w:val="-1"/>
              </w:rPr>
              <w:t xml:space="preserve"> </w:t>
            </w:r>
            <w:r>
              <w:rPr>
                <w:rFonts w:ascii="SimHei" w:hAnsi="SimHei" w:eastAsia="SimHei" w:cs="SimHei"/>
                <w:sz w:val="22"/>
                <w:szCs w:val="22"/>
                <w:spacing w:val="-1"/>
              </w:rPr>
              <w:t>未按国家有关规定检验或校准用于放射防护和质量控制的检测仪表的</w:t>
            </w:r>
            <w:r>
              <w:rPr>
                <w:rFonts w:ascii="SimHei" w:hAnsi="SimHei" w:eastAsia="SimHei" w:cs="SimHei"/>
                <w:sz w:val="22"/>
                <w:szCs w:val="22"/>
                <w:spacing w:val="-94"/>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667</w:t>
            </w:r>
          </w:hyperlink>
        </w:p>
        <w:p>
          <w:pPr>
            <w:pStyle w:val="BodyText"/>
            <w:spacing w:line="260" w:lineRule="auto"/>
            <w:rPr/>
          </w:pPr>
          <w:r/>
        </w:p>
        <w:p>
          <w:pPr>
            <w:pStyle w:val="BodyText"/>
            <w:spacing w:line="261" w:lineRule="auto"/>
            <w:rPr/>
          </w:pPr>
          <w:r/>
        </w:p>
        <w:p>
          <w:pPr>
            <w:spacing w:before="72" w:line="221" w:lineRule="auto"/>
            <w:tabs>
              <w:tab w:val="right" w:leader="dot" w:pos="12940"/>
            </w:tabs>
            <w:rPr>
              <w:rFonts w:ascii="Times New Roman" w:hAnsi="Times New Roman" w:eastAsia="Times New Roman" w:cs="Times New Roman"/>
              <w:sz w:val="22"/>
              <w:szCs w:val="22"/>
            </w:rPr>
          </w:pPr>
          <w:hyperlink w:history="true" w:anchor="bookmark713">
            <w:r>
              <w:rPr>
                <w:rFonts w:ascii="SimHei" w:hAnsi="SimHei" w:eastAsia="SimHei" w:cs="SimHei"/>
                <w:sz w:val="22"/>
                <w:szCs w:val="22"/>
              </w:rPr>
              <w:t>第五百六十五条</w:t>
            </w:r>
            <w:r>
              <w:rPr>
                <w:rFonts w:ascii="SimHei" w:hAnsi="SimHei" w:eastAsia="SimHei" w:cs="SimHei"/>
                <w:sz w:val="22"/>
                <w:szCs w:val="22"/>
              </w:rPr>
              <w:t xml:space="preserve"> </w:t>
            </w:r>
            <w:r>
              <w:rPr>
                <w:rFonts w:ascii="SimHei" w:hAnsi="SimHei" w:eastAsia="SimHei" w:cs="SimHei"/>
                <w:sz w:val="22"/>
                <w:szCs w:val="22"/>
              </w:rPr>
              <w:t>医疗机构放射诊疗场所和配套设施不符合</w:t>
            </w:r>
            <w:r>
              <w:rPr>
                <w:rFonts w:ascii="SimHei" w:hAnsi="SimHei" w:eastAsia="SimHei" w:cs="SimHei"/>
                <w:sz w:val="22"/>
                <w:szCs w:val="22"/>
                <w:spacing w:val="-1"/>
              </w:rPr>
              <w:t>国家相关标准和规定的</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25"/>
              </w:rPr>
              <w:t xml:space="preserve"> </w:t>
            </w:r>
            <w:r>
              <w:rPr>
                <w:rFonts w:ascii="Times New Roman" w:hAnsi="Times New Roman" w:eastAsia="Times New Roman" w:cs="Times New Roman"/>
                <w:sz w:val="22"/>
                <w:szCs w:val="22"/>
                <w:spacing w:val="-3"/>
              </w:rPr>
              <w:t>68</w:t>
            </w:r>
          </w:hyperlink>
        </w:p>
        <w:p>
          <w:pPr>
            <w:pStyle w:val="BodyText"/>
            <w:spacing w:line="452" w:lineRule="auto"/>
            <w:rPr/>
          </w:pPr>
          <w:r/>
        </w:p>
        <w:p>
          <w:pPr>
            <w:spacing w:before="71" w:line="221" w:lineRule="auto"/>
            <w:jc w:val="right"/>
            <w:rPr>
              <w:rFonts w:ascii="SimHei" w:hAnsi="SimHei" w:eastAsia="SimHei" w:cs="SimHei"/>
              <w:sz w:val="22"/>
              <w:szCs w:val="22"/>
            </w:rPr>
          </w:pPr>
          <w:hyperlink w:history="true" w:anchor="bookmark714">
            <w:r>
              <w:rPr>
                <w:rFonts w:ascii="SimHei" w:hAnsi="SimHei" w:eastAsia="SimHei" w:cs="SimHei"/>
                <w:sz w:val="22"/>
                <w:szCs w:val="22"/>
              </w:rPr>
              <w:t>第五百六十六条</w:t>
            </w:r>
            <w:r>
              <w:rPr>
                <w:rFonts w:ascii="SimHei" w:hAnsi="SimHei" w:eastAsia="SimHei" w:cs="SimHei"/>
                <w:sz w:val="22"/>
                <w:szCs w:val="22"/>
              </w:rPr>
              <w:t xml:space="preserve"> </w:t>
            </w:r>
            <w:r>
              <w:rPr>
                <w:rFonts w:ascii="SimHei" w:hAnsi="SimHei" w:eastAsia="SimHei" w:cs="SimHei"/>
                <w:sz w:val="22"/>
                <w:szCs w:val="22"/>
              </w:rPr>
              <w:t>医疗机构放射治疗场所多重安全联锁系统、剂量监测系统、影像监控、对讲装置和固定式剂量监</w:t>
            </w:r>
            <w:r>
              <w:rPr>
                <w:rFonts w:ascii="SimHei" w:hAnsi="SimHei" w:eastAsia="SimHei" w:cs="SimHei"/>
                <w:sz w:val="22"/>
                <w:szCs w:val="22"/>
                <w:spacing w:val="-1"/>
              </w:rPr>
              <w:t>测报警装置不符合国家</w:t>
            </w:r>
          </w:hyperlink>
        </w:p>
        <w:p>
          <w:pPr>
            <w:pStyle w:val="BodyText"/>
            <w:spacing w:line="285" w:lineRule="auto"/>
            <w:rPr/>
          </w:pPr>
          <w:r/>
        </w:p>
        <w:p>
          <w:pPr>
            <w:spacing w:before="72" w:line="223" w:lineRule="auto"/>
            <w:tabs>
              <w:tab w:val="right" w:leader="dot" w:pos="12780"/>
            </w:tabs>
            <w:rPr>
              <w:rFonts w:ascii="Times New Roman" w:hAnsi="Times New Roman" w:eastAsia="Times New Roman" w:cs="Times New Roman"/>
              <w:sz w:val="22"/>
              <w:szCs w:val="22"/>
            </w:rPr>
          </w:pPr>
          <w:hyperlink w:history="true" w:anchor="bookmark708">
            <w:r>
              <w:rPr>
                <w:rFonts w:ascii="SimHei" w:hAnsi="SimHei" w:eastAsia="SimHei" w:cs="SimHei"/>
                <w:sz w:val="22"/>
                <w:szCs w:val="22"/>
                <w:spacing w:val="9"/>
              </w:rPr>
              <w:t>相关标准的</w:t>
            </w:r>
            <w:r>
              <w:rPr>
                <w:rFonts w:ascii="SimHei" w:hAnsi="SimHei" w:eastAsia="SimHei" w:cs="SimHei"/>
                <w:sz w:val="22"/>
                <w:szCs w:val="22"/>
                <w:spacing w:val="-97"/>
              </w:rPr>
              <w:t xml:space="preserve"> </w:t>
            </w:r>
            <w:r>
              <w:rPr>
                <w:rFonts w:ascii="SimHei" w:hAnsi="SimHei" w:eastAsia="SimHei" w:cs="SimHei"/>
                <w:sz w:val="22"/>
                <w:szCs w:val="22"/>
                <w:color w:val="505050"/>
              </w:rPr>
              <w:tab/>
            </w:r>
            <w:r>
              <w:rPr>
                <w:rFonts w:ascii="Times New Roman" w:hAnsi="Times New Roman" w:eastAsia="Times New Roman" w:cs="Times New Roman"/>
                <w:sz w:val="22"/>
                <w:szCs w:val="22"/>
                <w:spacing w:val="-4"/>
              </w:rPr>
              <w:t>69</w:t>
            </w:r>
          </w:hyperlink>
        </w:p>
        <w:p>
          <w:pPr>
            <w:pStyle w:val="BodyText"/>
            <w:spacing w:line="243" w:lineRule="auto"/>
            <w:rPr/>
          </w:pPr>
          <w:r/>
        </w:p>
        <w:p>
          <w:pPr>
            <w:pStyle w:val="BodyText"/>
            <w:spacing w:line="244" w:lineRule="auto"/>
            <w:rPr/>
          </w:pPr>
          <w:r/>
        </w:p>
        <w:p>
          <w:pPr>
            <w:spacing w:before="73" w:line="222" w:lineRule="auto"/>
            <w:tabs>
              <w:tab w:val="right" w:leader="dot" w:pos="13040"/>
            </w:tabs>
            <w:rPr>
              <w:rFonts w:ascii="Times New Roman" w:hAnsi="Times New Roman" w:eastAsia="Times New Roman" w:cs="Times New Roman"/>
              <w:sz w:val="22"/>
              <w:szCs w:val="22"/>
            </w:rPr>
          </w:pPr>
          <w:hyperlink w:history="true" w:anchor="bookmark715">
            <w:r>
              <w:rPr>
                <w:rFonts w:ascii="SimHei" w:hAnsi="SimHei" w:eastAsia="SimHei" w:cs="SimHei"/>
                <w:sz w:val="22"/>
                <w:szCs w:val="22"/>
                <w:spacing w:val="1"/>
              </w:rPr>
              <w:t>第五百六十七条</w:t>
            </w:r>
            <w:r>
              <w:rPr>
                <w:rFonts w:ascii="SimHei" w:hAnsi="SimHei" w:eastAsia="SimHei" w:cs="SimHei"/>
                <w:sz w:val="22"/>
                <w:szCs w:val="22"/>
                <w:spacing w:val="1"/>
              </w:rPr>
              <w:t xml:space="preserve"> </w:t>
            </w:r>
            <w:r>
              <w:rPr>
                <w:rFonts w:ascii="SimHei" w:hAnsi="SimHei" w:eastAsia="SimHei" w:cs="SimHei"/>
                <w:sz w:val="22"/>
                <w:szCs w:val="22"/>
                <w:spacing w:val="1"/>
              </w:rPr>
              <w:t>医疗机构放射治疗场所未按照相应标准配备放</w:t>
            </w:r>
            <w:r>
              <w:rPr>
                <w:rFonts w:ascii="SimHei" w:hAnsi="SimHei" w:eastAsia="SimHei" w:cs="SimHei"/>
                <w:sz w:val="22"/>
                <w:szCs w:val="22"/>
              </w:rPr>
              <w:t>疗剂量仪、剂量扫描装置和个人剂量报警仪的</w:t>
            </w:r>
            <w:r>
              <w:rPr>
                <w:rFonts w:ascii="SimHei" w:hAnsi="SimHei" w:eastAsia="SimHei" w:cs="SimHei"/>
                <w:sz w:val="22"/>
                <w:szCs w:val="22"/>
                <w:spacing w:val="-100"/>
              </w:rPr>
              <w:t xml:space="preserve"> </w:t>
            </w:r>
            <w:r>
              <w:rPr>
                <w:rFonts w:ascii="SimHei" w:hAnsi="SimHei" w:eastAsia="SimHei" w:cs="SimHei"/>
                <w:sz w:val="22"/>
                <w:szCs w:val="22"/>
              </w:rPr>
              <w:tab/>
            </w:r>
            <w:r>
              <w:rPr>
                <w:rFonts w:ascii="SimHei" w:hAnsi="SimHei" w:eastAsia="SimHei" w:cs="SimHei"/>
                <w:sz w:val="22"/>
                <w:szCs w:val="22"/>
                <w:spacing w:val="-54"/>
              </w:rPr>
              <w:t xml:space="preserve"> </w:t>
            </w:r>
            <w:r>
              <w:rPr>
                <w:rFonts w:ascii="Times New Roman" w:hAnsi="Times New Roman" w:eastAsia="Times New Roman" w:cs="Times New Roman"/>
                <w:sz w:val="22"/>
                <w:szCs w:val="22"/>
                <w:spacing w:val="-3"/>
              </w:rPr>
              <w:t>670</w:t>
            </w:r>
          </w:hyperlink>
        </w:p>
        <w:p>
          <w:pPr>
            <w:pStyle w:val="BodyText"/>
            <w:spacing w:line="471" w:lineRule="auto"/>
            <w:rPr/>
          </w:pPr>
          <w:r/>
        </w:p>
        <w:p>
          <w:pPr>
            <w:spacing w:before="71" w:line="213" w:lineRule="auto"/>
            <w:tabs>
              <w:tab w:val="right" w:leader="dot" w:pos="13050"/>
            </w:tabs>
            <w:rPr>
              <w:rFonts w:ascii="Times New Roman" w:hAnsi="Times New Roman" w:eastAsia="Times New Roman" w:cs="Times New Roman"/>
              <w:sz w:val="22"/>
              <w:szCs w:val="22"/>
            </w:rPr>
          </w:pPr>
          <w:hyperlink w:history="true" w:anchor="bookmark716">
            <w:r>
              <w:rPr>
                <w:rFonts w:ascii="SimHei" w:hAnsi="SimHei" w:eastAsia="SimHei" w:cs="SimHei"/>
                <w:sz w:val="22"/>
                <w:szCs w:val="22"/>
              </w:rPr>
              <w:t>第五百六十八条</w:t>
            </w:r>
            <w:r>
              <w:rPr>
                <w:rFonts w:ascii="SimHei" w:hAnsi="SimHei" w:eastAsia="SimHei" w:cs="SimHei"/>
                <w:sz w:val="22"/>
                <w:szCs w:val="22"/>
              </w:rPr>
              <w:t xml:space="preserve"> </w:t>
            </w:r>
            <w:r>
              <w:rPr>
                <w:rFonts w:ascii="SimHei" w:hAnsi="SimHei" w:eastAsia="SimHei" w:cs="SimHei"/>
                <w:sz w:val="22"/>
                <w:szCs w:val="22"/>
              </w:rPr>
              <w:t>医疗机构核医学工作场所未设有专门的放射性同位素分装、注射、储存场所，放射性废物</w:t>
            </w:r>
            <w:r>
              <w:rPr>
                <w:rFonts w:ascii="SimHei" w:hAnsi="SimHei" w:eastAsia="SimHei" w:cs="SimHei"/>
                <w:sz w:val="22"/>
                <w:szCs w:val="22"/>
                <w:spacing w:val="-1"/>
              </w:rPr>
              <w:t>屏蔽设备和存放场所的</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22"/>
              </w:rPr>
              <w:t xml:space="preserve"> </w:t>
            </w:r>
            <w:r>
              <w:rPr>
                <w:rFonts w:ascii="Times New Roman" w:hAnsi="Times New Roman" w:eastAsia="Times New Roman" w:cs="Times New Roman"/>
                <w:sz w:val="22"/>
                <w:szCs w:val="22"/>
                <w:spacing w:val="-3"/>
              </w:rPr>
              <w:t>671</w:t>
            </w:r>
          </w:hyperlink>
        </w:p>
        <w:p>
          <w:pPr>
            <w:pStyle w:val="BodyText"/>
            <w:spacing w:line="250" w:lineRule="auto"/>
            <w:rPr/>
          </w:pPr>
          <w:r/>
        </w:p>
        <w:p>
          <w:pPr>
            <w:pStyle w:val="BodyText"/>
            <w:spacing w:line="250" w:lineRule="auto"/>
            <w:rPr/>
          </w:pPr>
          <w:r/>
        </w:p>
        <w:p>
          <w:pPr>
            <w:spacing w:before="73" w:line="221" w:lineRule="auto"/>
            <w:tabs>
              <w:tab w:val="right" w:leader="dot" w:pos="13050"/>
            </w:tabs>
            <w:rPr>
              <w:rFonts w:ascii="Times New Roman" w:hAnsi="Times New Roman" w:eastAsia="Times New Roman" w:cs="Times New Roman"/>
              <w:sz w:val="22"/>
              <w:szCs w:val="22"/>
            </w:rPr>
          </w:pPr>
          <w:hyperlink w:history="true" w:anchor="bookmark717">
            <w:r>
              <w:rPr>
                <w:rFonts w:ascii="SimHei" w:hAnsi="SimHei" w:eastAsia="SimHei" w:cs="SimHei"/>
                <w:sz w:val="22"/>
                <w:szCs w:val="22"/>
              </w:rPr>
              <w:t>第五百六十九条</w:t>
            </w:r>
            <w:r>
              <w:rPr>
                <w:rFonts w:ascii="SimHei" w:hAnsi="SimHei" w:eastAsia="SimHei" w:cs="SimHei"/>
                <w:sz w:val="22"/>
                <w:szCs w:val="22"/>
              </w:rPr>
              <w:t xml:space="preserve"> </w:t>
            </w:r>
            <w:r>
              <w:rPr>
                <w:rFonts w:ascii="SimHei" w:hAnsi="SimHei" w:eastAsia="SimHei" w:cs="SimHei"/>
                <w:sz w:val="22"/>
                <w:szCs w:val="22"/>
              </w:rPr>
              <w:t>医疗机构核医学工作场所未配备活度计、放</w:t>
            </w:r>
            <w:r>
              <w:rPr>
                <w:rFonts w:ascii="SimHei" w:hAnsi="SimHei" w:eastAsia="SimHei" w:cs="SimHei"/>
                <w:sz w:val="22"/>
                <w:szCs w:val="22"/>
                <w:spacing w:val="-1"/>
              </w:rPr>
              <w:t>射性表面污染监测仪的</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24"/>
              </w:rPr>
              <w:t xml:space="preserve"> </w:t>
            </w:r>
            <w:r>
              <w:rPr>
                <w:rFonts w:ascii="Times New Roman" w:hAnsi="Times New Roman" w:eastAsia="Times New Roman" w:cs="Times New Roman"/>
                <w:sz w:val="22"/>
                <w:szCs w:val="22"/>
                <w:spacing w:val="-3"/>
              </w:rPr>
              <w:t>672</w:t>
            </w:r>
          </w:hyperlink>
        </w:p>
      </w:sdtContent>
    </w:sdt>
    <w:p>
      <w:pPr>
        <w:spacing w:line="221" w:lineRule="auto"/>
        <w:sectPr>
          <w:footerReference w:type="default" r:id="rId69"/>
          <w:pgSz w:w="16830" w:h="11900"/>
          <w:pgMar w:top="1011" w:right="1438" w:bottom="1139" w:left="2290" w:header="0" w:footer="778" w:gutter="0"/>
        </w:sectPr>
        <w:rPr>
          <w:rFonts w:ascii="Times New Roman" w:hAnsi="Times New Roman" w:eastAsia="Times New Roman" w:cs="Times New Roman"/>
          <w:sz w:val="22"/>
          <w:szCs w:val="22"/>
        </w:rPr>
      </w:pPr>
    </w:p>
    <w:p>
      <w:pPr>
        <w:pStyle w:val="BodyText"/>
        <w:spacing w:line="317" w:lineRule="auto"/>
        <w:rPr/>
      </w:pPr>
      <w:r/>
    </w:p>
    <w:p>
      <w:pPr>
        <w:pStyle w:val="BodyText"/>
        <w:spacing w:line="317" w:lineRule="auto"/>
        <w:rPr/>
      </w:pPr>
      <w:r/>
    </w:p>
    <w:p>
      <w:pPr>
        <w:pStyle w:val="BodyText"/>
        <w:spacing w:line="317" w:lineRule="auto"/>
        <w:rPr/>
      </w:pPr>
      <w:r/>
    </w:p>
    <w:sdt>
      <w:sdtPr>
        <w:rPr>
          <w:rFonts w:ascii="SimHei" w:hAnsi="SimHei" w:eastAsia="SimHei" w:cs="SimHe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ind w:left="340"/>
            <w:spacing w:before="68" w:line="221" w:lineRule="auto"/>
            <w:tabs>
              <w:tab w:val="right" w:leader="dot" w:pos="13375"/>
            </w:tabs>
            <w:rPr>
              <w:rFonts w:ascii="Times New Roman" w:hAnsi="Times New Roman" w:eastAsia="Times New Roman" w:cs="Times New Roman"/>
              <w:sz w:val="21"/>
              <w:szCs w:val="21"/>
            </w:rPr>
          </w:pPr>
          <w:hyperlink w:history="true" w:anchor="bookmark718">
            <w:r>
              <w:rPr>
                <w:rFonts w:ascii="SimHei" w:hAnsi="SimHei" w:eastAsia="SimHei" w:cs="SimHei"/>
                <w:sz w:val="21"/>
                <w:szCs w:val="21"/>
                <w:spacing w:val="10"/>
              </w:rPr>
              <w:t>第五百七十条</w:t>
            </w:r>
            <w:r>
              <w:rPr>
                <w:rFonts w:ascii="SimHei" w:hAnsi="SimHei" w:eastAsia="SimHei" w:cs="SimHei"/>
                <w:sz w:val="21"/>
                <w:szCs w:val="21"/>
                <w:spacing w:val="38"/>
              </w:rPr>
              <w:t xml:space="preserve"> </w:t>
            </w:r>
            <w:r>
              <w:rPr>
                <w:rFonts w:ascii="SimHei" w:hAnsi="SimHei" w:eastAsia="SimHei" w:cs="SimHei"/>
                <w:sz w:val="21"/>
                <w:szCs w:val="21"/>
                <w:spacing w:val="10"/>
              </w:rPr>
              <w:t>医疗机构放射诊疗工作场所、放射性同位素储存场所和防护设</w:t>
            </w:r>
            <w:r>
              <w:rPr>
                <w:rFonts w:ascii="SimHei" w:hAnsi="SimHei" w:eastAsia="SimHei" w:cs="SimHei"/>
                <w:sz w:val="21"/>
                <w:szCs w:val="21"/>
                <w:spacing w:val="9"/>
              </w:rPr>
              <w:t>施辐射水平不符合有关规定或者标准的</w:t>
            </w:r>
            <w:r>
              <w:rPr>
                <w:rFonts w:ascii="SimHei" w:hAnsi="SimHei" w:eastAsia="SimHei" w:cs="SimHei"/>
                <w:sz w:val="21"/>
                <w:szCs w:val="21"/>
                <w:spacing w:val="-9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673</w:t>
            </w:r>
          </w:hyperlink>
        </w:p>
        <w:p>
          <w:pPr>
            <w:pStyle w:val="BodyText"/>
            <w:spacing w:line="253" w:lineRule="auto"/>
            <w:rPr/>
          </w:pPr>
          <w:r/>
        </w:p>
        <w:p>
          <w:pPr>
            <w:pStyle w:val="BodyText"/>
            <w:spacing w:line="253" w:lineRule="auto"/>
            <w:rPr/>
          </w:pPr>
          <w:r/>
        </w:p>
        <w:p>
          <w:pPr>
            <w:ind w:left="340"/>
            <w:spacing w:before="68" w:line="220" w:lineRule="auto"/>
            <w:tabs>
              <w:tab w:val="right" w:leader="dot" w:pos="13385"/>
            </w:tabs>
            <w:rPr>
              <w:rFonts w:ascii="Times New Roman" w:hAnsi="Times New Roman" w:eastAsia="Times New Roman" w:cs="Times New Roman"/>
              <w:sz w:val="21"/>
              <w:szCs w:val="21"/>
            </w:rPr>
          </w:pPr>
          <w:hyperlink w:history="true" w:anchor="bookmark719">
            <w:r>
              <w:rPr>
                <w:rFonts w:ascii="SimHei" w:hAnsi="SimHei" w:eastAsia="SimHei" w:cs="SimHei"/>
                <w:sz w:val="21"/>
                <w:szCs w:val="21"/>
                <w:spacing w:val="9"/>
              </w:rPr>
              <w:t>第五百七十一条</w:t>
            </w:r>
            <w:r>
              <w:rPr>
                <w:rFonts w:ascii="SimHei" w:hAnsi="SimHei" w:eastAsia="SimHei" w:cs="SimHei"/>
                <w:sz w:val="21"/>
                <w:szCs w:val="21"/>
                <w:spacing w:val="45"/>
              </w:rPr>
              <w:t xml:space="preserve"> </w:t>
            </w:r>
            <w:r>
              <w:rPr>
                <w:rFonts w:ascii="SimHei" w:hAnsi="SimHei" w:eastAsia="SimHei" w:cs="SimHei"/>
                <w:sz w:val="21"/>
                <w:szCs w:val="21"/>
                <w:spacing w:val="9"/>
              </w:rPr>
              <w:t>医疗机构放射性同位素与易燃、易爆、腐蚀性物品同库储存的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674</w:t>
            </w:r>
          </w:hyperlink>
        </w:p>
        <w:p>
          <w:pPr>
            <w:pStyle w:val="BodyText"/>
            <w:spacing w:line="250" w:lineRule="auto"/>
            <w:rPr/>
          </w:pPr>
          <w:r/>
        </w:p>
        <w:p>
          <w:pPr>
            <w:pStyle w:val="BodyText"/>
            <w:spacing w:line="250" w:lineRule="auto"/>
            <w:rPr/>
          </w:pPr>
          <w:r/>
        </w:p>
        <w:p>
          <w:pPr>
            <w:ind w:left="340"/>
            <w:spacing w:before="68" w:line="213" w:lineRule="auto"/>
            <w:tabs>
              <w:tab w:val="right" w:leader="dot" w:pos="13385"/>
            </w:tabs>
            <w:rPr>
              <w:rFonts w:ascii="Times New Roman" w:hAnsi="Times New Roman" w:eastAsia="Times New Roman" w:cs="Times New Roman"/>
              <w:sz w:val="21"/>
              <w:szCs w:val="21"/>
            </w:rPr>
          </w:pPr>
          <w:hyperlink w:history="true" w:anchor="bookmark720">
            <w:r>
              <w:rPr>
                <w:rFonts w:ascii="SimHei" w:hAnsi="SimHei" w:eastAsia="SimHei" w:cs="SimHei"/>
                <w:sz w:val="21"/>
                <w:szCs w:val="21"/>
                <w:spacing w:val="9"/>
              </w:rPr>
              <w:t>第五百七十二条</w:t>
            </w:r>
            <w:r>
              <w:rPr>
                <w:rFonts w:ascii="SimHei" w:hAnsi="SimHei" w:eastAsia="SimHei" w:cs="SimHei"/>
                <w:sz w:val="21"/>
                <w:szCs w:val="21"/>
                <w:spacing w:val="56"/>
              </w:rPr>
              <w:t xml:space="preserve"> </w:t>
            </w:r>
            <w:r>
              <w:rPr>
                <w:rFonts w:ascii="SimHei" w:hAnsi="SimHei" w:eastAsia="SimHei" w:cs="SimHei"/>
                <w:sz w:val="21"/>
                <w:szCs w:val="21"/>
                <w:spacing w:val="9"/>
              </w:rPr>
              <w:t>医疗机构放射性同位素储存场所未采取有效的防泄漏等措施，未安装必要的报警装置的</w:t>
            </w:r>
            <w:r>
              <w:rPr>
                <w:rFonts w:ascii="SimHei" w:hAnsi="SimHei" w:eastAsia="SimHei" w:cs="SimHei"/>
                <w:sz w:val="21"/>
                <w:szCs w:val="21"/>
                <w:spacing w:val="-92"/>
              </w:rPr>
              <w:t xml:space="preserve"> </w:t>
            </w:r>
            <w:r>
              <w:rPr>
                <w:rFonts w:ascii="SimHei" w:hAnsi="SimHei" w:eastAsia="SimHei" w:cs="SimHei"/>
                <w:sz w:val="21"/>
                <w:szCs w:val="21"/>
              </w:rPr>
              <w:tab/>
            </w:r>
            <w:r>
              <w:rPr>
                <w:rFonts w:ascii="Times New Roman" w:hAnsi="Times New Roman" w:eastAsia="Times New Roman" w:cs="Times New Roman"/>
                <w:sz w:val="21"/>
                <w:szCs w:val="21"/>
                <w:spacing w:val="-2"/>
              </w:rPr>
              <w:t>675</w:t>
            </w:r>
          </w:hyperlink>
        </w:p>
        <w:p>
          <w:pPr>
            <w:pStyle w:val="BodyText"/>
            <w:spacing w:line="258" w:lineRule="auto"/>
            <w:rPr/>
          </w:pPr>
          <w:r/>
        </w:p>
        <w:p>
          <w:pPr>
            <w:pStyle w:val="BodyText"/>
            <w:spacing w:line="258" w:lineRule="auto"/>
            <w:rPr/>
          </w:pPr>
          <w:r/>
        </w:p>
        <w:p>
          <w:pPr>
            <w:ind w:right="18"/>
            <w:spacing w:before="68" w:line="213" w:lineRule="auto"/>
            <w:jc w:val="right"/>
            <w:rPr>
              <w:rFonts w:ascii="SimHei" w:hAnsi="SimHei" w:eastAsia="SimHei" w:cs="SimHei"/>
              <w:sz w:val="21"/>
              <w:szCs w:val="21"/>
            </w:rPr>
          </w:pPr>
          <w:hyperlink w:history="true" w:anchor="bookmark721">
            <w:r>
              <w:rPr>
                <w:rFonts w:ascii="SimHei" w:hAnsi="SimHei" w:eastAsia="SimHei" w:cs="SimHei"/>
                <w:sz w:val="21"/>
                <w:szCs w:val="21"/>
                <w:spacing w:val="9"/>
              </w:rPr>
              <w:t>第五百七十三条</w:t>
            </w:r>
            <w:r>
              <w:rPr>
                <w:rFonts w:ascii="SimHei" w:hAnsi="SimHei" w:eastAsia="SimHei" w:cs="SimHei"/>
                <w:sz w:val="21"/>
                <w:szCs w:val="21"/>
                <w:spacing w:val="41"/>
              </w:rPr>
              <w:t xml:space="preserve"> </w:t>
            </w:r>
            <w:r>
              <w:rPr>
                <w:rFonts w:ascii="SimHei" w:hAnsi="SimHei" w:eastAsia="SimHei" w:cs="SimHei"/>
                <w:sz w:val="21"/>
                <w:szCs w:val="21"/>
                <w:spacing w:val="9"/>
              </w:rPr>
              <w:t>医疗机构放射性同位素储存场所无专人负责，无完善的存入、领取、归还登记和检查的制度，未做到交接严格，检查及</w:t>
            </w:r>
          </w:hyperlink>
        </w:p>
        <w:p>
          <w:pPr>
            <w:pStyle w:val="BodyText"/>
            <w:spacing w:line="307" w:lineRule="auto"/>
            <w:rPr/>
          </w:pPr>
          <w:r/>
        </w:p>
        <w:p>
          <w:pPr>
            <w:ind w:left="340"/>
            <w:spacing w:before="69" w:line="304" w:lineRule="exact"/>
            <w:tabs>
              <w:tab w:val="right" w:leader="dot" w:pos="13314"/>
            </w:tabs>
            <w:rPr>
              <w:rFonts w:ascii="SimHei" w:hAnsi="SimHei" w:eastAsia="SimHei" w:cs="SimHei"/>
              <w:sz w:val="16"/>
              <w:szCs w:val="16"/>
            </w:rPr>
          </w:pPr>
          <w:hyperlink w:history="true" w:anchor="bookmark722">
            <w:r>
              <w:rPr>
                <w:rFonts w:ascii="SimHei" w:hAnsi="SimHei" w:eastAsia="SimHei" w:cs="SimHei"/>
                <w:sz w:val="21"/>
                <w:szCs w:val="21"/>
                <w:spacing w:val="5"/>
                <w:position w:val="2"/>
              </w:rPr>
              <w:t>时</w:t>
            </w:r>
            <w:r>
              <w:rPr>
                <w:rFonts w:ascii="SimHei" w:hAnsi="SimHei" w:eastAsia="SimHei" w:cs="SimHei"/>
                <w:sz w:val="21"/>
                <w:szCs w:val="21"/>
                <w:spacing w:val="-12"/>
                <w:position w:val="2"/>
              </w:rPr>
              <w:t xml:space="preserve"> </w:t>
            </w:r>
            <w:r>
              <w:rPr>
                <w:rFonts w:ascii="SimHei" w:hAnsi="SimHei" w:eastAsia="SimHei" w:cs="SimHei"/>
                <w:sz w:val="21"/>
                <w:szCs w:val="21"/>
                <w:spacing w:val="5"/>
                <w:position w:val="2"/>
              </w:rPr>
              <w:t>，账目清楚，账物相符，记录资料完整的</w:t>
            </w:r>
            <w:r>
              <w:rPr>
                <w:rFonts w:ascii="SimHei" w:hAnsi="SimHei" w:eastAsia="SimHei" w:cs="SimHei"/>
                <w:sz w:val="21"/>
                <w:szCs w:val="21"/>
                <w:spacing w:val="5"/>
                <w:position w:val="2"/>
              </w:rPr>
              <w:t xml:space="preserve"> </w:t>
            </w:r>
            <w:r>
              <w:rPr>
                <w:rFonts w:ascii="SimHei" w:hAnsi="SimHei" w:eastAsia="SimHei" w:cs="SimHei"/>
                <w:sz w:val="21"/>
                <w:szCs w:val="21"/>
                <w:position w:val="1"/>
              </w:rPr>
              <w:tab/>
            </w:r>
            <w:r>
              <w:rPr>
                <w:rFonts w:ascii="SimHei" w:hAnsi="SimHei" w:eastAsia="SimHei" w:cs="SimHei"/>
                <w:sz w:val="21"/>
                <w:szCs w:val="21"/>
                <w:spacing w:val="1"/>
                <w:position w:val="2"/>
              </w:rPr>
              <w:t xml:space="preserve"> </w:t>
            </w:r>
            <w:r>
              <w:rPr>
                <w:rFonts w:ascii="SimHei" w:hAnsi="SimHei" w:eastAsia="SimHei" w:cs="SimHei"/>
                <w:sz w:val="16"/>
                <w:szCs w:val="16"/>
                <w:spacing w:val="-2"/>
                <w:position w:val="-2"/>
              </w:rPr>
              <w:t>676</w:t>
            </w:r>
          </w:hyperlink>
        </w:p>
        <w:p>
          <w:pPr>
            <w:pStyle w:val="BodyText"/>
            <w:spacing w:line="414" w:lineRule="auto"/>
            <w:rPr/>
          </w:pPr>
          <w:r/>
        </w:p>
        <w:p>
          <w:pPr>
            <w:spacing w:before="69" w:line="213" w:lineRule="auto"/>
            <w:jc w:val="right"/>
            <w:rPr>
              <w:rFonts w:ascii="SimHei" w:hAnsi="SimHei" w:eastAsia="SimHei" w:cs="SimHei"/>
              <w:sz w:val="21"/>
              <w:szCs w:val="21"/>
            </w:rPr>
          </w:pPr>
          <w:hyperlink w:history="true" w:anchor="bookmark723">
            <w:r>
              <w:rPr>
                <w:rFonts w:ascii="SimHei" w:hAnsi="SimHei" w:eastAsia="SimHei" w:cs="SimHei"/>
                <w:sz w:val="21"/>
                <w:szCs w:val="21"/>
                <w:spacing w:val="10"/>
              </w:rPr>
              <w:t>第五百七十四条</w:t>
            </w:r>
            <w:r>
              <w:rPr>
                <w:rFonts w:ascii="SimHei" w:hAnsi="SimHei" w:eastAsia="SimHei" w:cs="SimHei"/>
                <w:sz w:val="21"/>
                <w:szCs w:val="21"/>
                <w:spacing w:val="10"/>
              </w:rPr>
              <w:t xml:space="preserve"> </w:t>
            </w:r>
            <w:r>
              <w:rPr>
                <w:rFonts w:ascii="SimHei" w:hAnsi="SimHei" w:eastAsia="SimHei" w:cs="SimHei"/>
                <w:sz w:val="21"/>
                <w:szCs w:val="21"/>
                <w:spacing w:val="10"/>
              </w:rPr>
              <w:t>开展核医学诊疗的医疗机构，未遵守相应的操作规范、规程，防止放射性同位素污染人体、设备、</w:t>
            </w:r>
            <w:r>
              <w:rPr>
                <w:rFonts w:ascii="SimHei" w:hAnsi="SimHei" w:eastAsia="SimHei" w:cs="SimHei"/>
                <w:sz w:val="21"/>
                <w:szCs w:val="21"/>
                <w:spacing w:val="9"/>
              </w:rPr>
              <w:t>工作场所和环境；未</w:t>
            </w:r>
          </w:hyperlink>
        </w:p>
        <w:p>
          <w:pPr>
            <w:pStyle w:val="BodyText"/>
            <w:spacing w:line="307" w:lineRule="auto"/>
            <w:rPr/>
          </w:pPr>
          <w:r/>
        </w:p>
        <w:p>
          <w:pPr>
            <w:ind w:left="340"/>
            <w:spacing w:before="69" w:line="213" w:lineRule="auto"/>
            <w:tabs>
              <w:tab w:val="right" w:leader="dot" w:pos="13375"/>
            </w:tabs>
            <w:rPr>
              <w:rFonts w:ascii="Times New Roman" w:hAnsi="Times New Roman" w:eastAsia="Times New Roman" w:cs="Times New Roman"/>
              <w:sz w:val="21"/>
              <w:szCs w:val="21"/>
            </w:rPr>
          </w:pPr>
          <w:hyperlink w:history="true" w:anchor="bookmark724">
            <w:r>
              <w:rPr>
                <w:rFonts w:ascii="SimHei" w:hAnsi="SimHei" w:eastAsia="SimHei" w:cs="SimHei"/>
                <w:sz w:val="21"/>
                <w:szCs w:val="21"/>
                <w:spacing w:val="10"/>
              </w:rPr>
              <w:t>按照有关标准的规定对接受体内放射性药物诊治的患者进行控制，避免其他患者和公</w:t>
            </w:r>
            <w:r>
              <w:rPr>
                <w:rFonts w:ascii="SimHei" w:hAnsi="SimHei" w:eastAsia="SimHei" w:cs="SimHei"/>
                <w:sz w:val="21"/>
                <w:szCs w:val="21"/>
                <w:spacing w:val="9"/>
              </w:rPr>
              <w:t>众受到超过允许水平的照射的</w:t>
            </w:r>
            <w:r>
              <w:rPr>
                <w:rFonts w:ascii="SimHei" w:hAnsi="SimHei" w:eastAsia="SimHei" w:cs="SimHei"/>
                <w:sz w:val="21"/>
                <w:szCs w:val="21"/>
                <w:spacing w:val="-94"/>
              </w:rPr>
              <w:t xml:space="preserve"> </w:t>
            </w:r>
            <w:r>
              <w:rPr>
                <w:rFonts w:ascii="SimHei" w:hAnsi="SimHei" w:eastAsia="SimHei" w:cs="SimHei"/>
                <w:sz w:val="21"/>
                <w:szCs w:val="21"/>
              </w:rPr>
              <w:tab/>
            </w:r>
            <w:r>
              <w:rPr>
                <w:rFonts w:ascii="SimHei" w:hAnsi="SimHei" w:eastAsia="SimHei" w:cs="SimHei"/>
                <w:sz w:val="21"/>
                <w:szCs w:val="21"/>
                <w:spacing w:val="-30"/>
              </w:rPr>
              <w:t xml:space="preserve"> </w:t>
            </w:r>
            <w:r>
              <w:rPr>
                <w:rFonts w:ascii="Times New Roman" w:hAnsi="Times New Roman" w:eastAsia="Times New Roman" w:cs="Times New Roman"/>
                <w:sz w:val="21"/>
                <w:szCs w:val="21"/>
                <w:spacing w:val="-3"/>
              </w:rPr>
              <w:t>677</w:t>
            </w:r>
          </w:hyperlink>
        </w:p>
        <w:p>
          <w:pPr>
            <w:pStyle w:val="BodyText"/>
            <w:spacing w:line="258" w:lineRule="auto"/>
            <w:rPr/>
          </w:pPr>
          <w:r/>
        </w:p>
        <w:p>
          <w:pPr>
            <w:pStyle w:val="BodyText"/>
            <w:spacing w:line="258" w:lineRule="auto"/>
            <w:rPr/>
          </w:pPr>
          <w:r/>
        </w:p>
        <w:p>
          <w:pPr>
            <w:ind w:right="32"/>
            <w:spacing w:before="68" w:line="213" w:lineRule="auto"/>
            <w:jc w:val="right"/>
            <w:rPr>
              <w:rFonts w:ascii="SimHei" w:hAnsi="SimHei" w:eastAsia="SimHei" w:cs="SimHei"/>
              <w:sz w:val="21"/>
              <w:szCs w:val="21"/>
            </w:rPr>
          </w:pPr>
          <w:hyperlink w:history="true" w:anchor="bookmark725">
            <w:r>
              <w:rPr>
                <w:rFonts w:ascii="SimHei" w:hAnsi="SimHei" w:eastAsia="SimHei" w:cs="SimHei"/>
                <w:sz w:val="21"/>
                <w:szCs w:val="21"/>
                <w:spacing w:val="9"/>
              </w:rPr>
              <w:t>第五百七十五条</w:t>
            </w:r>
            <w:r>
              <w:rPr>
                <w:rFonts w:ascii="SimHei" w:hAnsi="SimHei" w:eastAsia="SimHei" w:cs="SimHei"/>
                <w:sz w:val="21"/>
                <w:szCs w:val="21"/>
                <w:spacing w:val="38"/>
              </w:rPr>
              <w:t xml:space="preserve"> </w:t>
            </w:r>
            <w:r>
              <w:rPr>
                <w:rFonts w:ascii="SimHei" w:hAnsi="SimHei" w:eastAsia="SimHei" w:cs="SimHei"/>
                <w:sz w:val="21"/>
                <w:szCs w:val="21"/>
                <w:spacing w:val="9"/>
              </w:rPr>
              <w:t>医疗机构核医学诊疗产生的放射性固体废物、废液及患者的放射性排出物未单独收集，未与其</w:t>
            </w:r>
            <w:r>
              <w:rPr>
                <w:rFonts w:ascii="SimHei" w:hAnsi="SimHei" w:eastAsia="SimHei" w:cs="SimHei"/>
                <w:sz w:val="21"/>
                <w:szCs w:val="21"/>
                <w:spacing w:val="8"/>
              </w:rPr>
              <w:t>他废物、废液分开存放，</w:t>
            </w:r>
          </w:hyperlink>
        </w:p>
        <w:p>
          <w:pPr>
            <w:pStyle w:val="BodyText"/>
            <w:spacing w:line="316" w:lineRule="auto"/>
            <w:rPr/>
          </w:pPr>
          <w:r/>
        </w:p>
        <w:p>
          <w:pPr>
            <w:ind w:left="340"/>
            <w:spacing w:before="70" w:line="222" w:lineRule="auto"/>
            <w:tabs>
              <w:tab w:val="right" w:leader="dot" w:pos="13365"/>
            </w:tabs>
            <w:rPr>
              <w:rFonts w:ascii="Times New Roman" w:hAnsi="Times New Roman" w:eastAsia="Times New Roman" w:cs="Times New Roman"/>
              <w:sz w:val="21"/>
              <w:szCs w:val="21"/>
            </w:rPr>
          </w:pPr>
          <w:hyperlink w:history="true" w:anchor="bookmark726">
            <w:r>
              <w:rPr>
                <w:rFonts w:ascii="SimHei" w:hAnsi="SimHei" w:eastAsia="SimHei" w:cs="SimHei"/>
                <w:sz w:val="21"/>
                <w:szCs w:val="21"/>
                <w:spacing w:val="13"/>
              </w:rPr>
              <w:t>未按照国家有关规定处理的</w:t>
            </w:r>
            <w:r>
              <w:rPr>
                <w:rFonts w:ascii="SimHei" w:hAnsi="SimHei" w:eastAsia="SimHei" w:cs="SimHei"/>
                <w:sz w:val="21"/>
                <w:szCs w:val="21"/>
                <w:spacing w:val="-83"/>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678</w:t>
            </w:r>
          </w:hyperlink>
        </w:p>
        <w:p>
          <w:pPr>
            <w:pStyle w:val="BodyText"/>
            <w:spacing w:line="395" w:lineRule="auto"/>
            <w:rPr/>
          </w:pPr>
          <w:r/>
        </w:p>
        <w:p>
          <w:pPr>
            <w:spacing w:before="68" w:line="224" w:lineRule="auto"/>
            <w:tabs>
              <w:tab w:val="right" w:leader="dot" w:pos="13385"/>
            </w:tabs>
            <w:rPr>
              <w:rFonts w:ascii="Times New Roman" w:hAnsi="Times New Roman" w:eastAsia="Times New Roman" w:cs="Times New Roman"/>
              <w:sz w:val="21"/>
              <w:szCs w:val="21"/>
            </w:rPr>
          </w:pPr>
          <w:hyperlink w:history="true" w:anchor="bookmark727">
            <w:r>
              <w:rPr>
                <w:rFonts w:ascii="KaiTi" w:hAnsi="KaiTi" w:eastAsia="KaiTi" w:cs="KaiTi"/>
                <w:sz w:val="21"/>
                <w:szCs w:val="21"/>
                <w:spacing w:val="-4"/>
              </w:rPr>
              <w:t>(</w:t>
            </w:r>
            <w:r>
              <w:rPr>
                <w:rFonts w:ascii="KaiTi" w:hAnsi="KaiTi" w:eastAsia="KaiTi" w:cs="KaiTi"/>
                <w:sz w:val="21"/>
                <w:szCs w:val="21"/>
                <w:spacing w:val="-4"/>
              </w:rPr>
              <w:t xml:space="preserve"> </w:t>
            </w:r>
            <w:r>
              <w:rPr>
                <w:rFonts w:ascii="KaiTi" w:hAnsi="KaiTi" w:eastAsia="KaiTi" w:cs="KaiTi"/>
                <w:sz w:val="21"/>
                <w:szCs w:val="21"/>
                <w:spacing w:val="-4"/>
              </w:rPr>
              <w:t>二</w:t>
            </w:r>
            <w:r>
              <w:rPr>
                <w:rFonts w:ascii="KaiTi" w:hAnsi="KaiTi" w:eastAsia="KaiTi" w:cs="KaiTi"/>
                <w:sz w:val="21"/>
                <w:szCs w:val="21"/>
                <w:spacing w:val="-4"/>
              </w:rPr>
              <w:t xml:space="preserve"> </w:t>
            </w:r>
            <w:r>
              <w:rPr>
                <w:rFonts w:ascii="KaiTi" w:hAnsi="KaiTi" w:eastAsia="KaiTi" w:cs="KaiTi"/>
                <w:sz w:val="21"/>
                <w:szCs w:val="21"/>
                <w:spacing w:val="-4"/>
              </w:rPr>
              <w:t>)《中华人民共和国职业病防冶法》</w:t>
            </w:r>
            <w:r>
              <w:rPr>
                <w:rFonts w:ascii="KaiTi" w:hAnsi="KaiTi" w:eastAsia="KaiTi" w:cs="KaiTi"/>
                <w:sz w:val="21"/>
                <w:szCs w:val="21"/>
                <w:spacing w:val="-75"/>
              </w:rPr>
              <w:t xml:space="preserve"> </w:t>
            </w:r>
            <w:r>
              <w:rPr>
                <w:rFonts w:ascii="KaiTi" w:hAnsi="KaiTi" w:eastAsia="KaiTi" w:cs="KaiTi"/>
                <w:sz w:val="21"/>
                <w:szCs w:val="21"/>
                <w:color w:val="604030"/>
              </w:rPr>
              <w:tab/>
            </w:r>
            <w:r>
              <w:rPr>
                <w:rFonts w:ascii="Times New Roman" w:hAnsi="Times New Roman" w:eastAsia="Times New Roman" w:cs="Times New Roman"/>
                <w:sz w:val="21"/>
                <w:szCs w:val="21"/>
                <w:spacing w:val="-1"/>
              </w:rPr>
              <w:t>680</w:t>
            </w:r>
          </w:hyperlink>
        </w:p>
      </w:sdtContent>
    </w:sdt>
    <w:p>
      <w:pPr>
        <w:spacing w:line="224" w:lineRule="auto"/>
        <w:sectPr>
          <w:footerReference w:type="default" r:id="rId70"/>
          <w:pgSz w:w="16830" w:h="11900"/>
          <w:pgMar w:top="1011" w:right="1432" w:bottom="1139" w:left="1949" w:header="0" w:footer="778" w:gutter="0"/>
        </w:sectPr>
        <w:rPr>
          <w:rFonts w:ascii="Times New Roman" w:hAnsi="Times New Roman" w:eastAsia="Times New Roman" w:cs="Times New Roman"/>
          <w:sz w:val="21"/>
          <w:szCs w:val="21"/>
        </w:rPr>
      </w:pPr>
    </w:p>
    <w:p>
      <w:pPr>
        <w:pStyle w:val="BodyText"/>
        <w:spacing w:line="306" w:lineRule="auto"/>
        <w:rPr/>
      </w:pPr>
      <w:r/>
    </w:p>
    <w:p>
      <w:pPr>
        <w:pStyle w:val="BodyText"/>
        <w:spacing w:line="306" w:lineRule="auto"/>
        <w:rPr/>
      </w:pPr>
      <w:r/>
    </w:p>
    <w:p>
      <w:pPr>
        <w:pStyle w:val="BodyText"/>
        <w:spacing w:line="306" w:lineRule="auto"/>
        <w:rPr/>
      </w:pPr>
      <w:r/>
    </w:p>
    <w:p>
      <w:pPr>
        <w:spacing w:before="72" w:line="222" w:lineRule="auto"/>
        <w:rPr>
          <w:rFonts w:ascii="SimHei" w:hAnsi="SimHei" w:eastAsia="SimHei" w:cs="SimHei"/>
          <w:sz w:val="22"/>
          <w:szCs w:val="22"/>
        </w:rPr>
      </w:pPr>
      <w:r>
        <w:rPr>
          <w:rFonts w:ascii="SimHei" w:hAnsi="SimHei" w:eastAsia="SimHei" w:cs="SimHei"/>
          <w:sz w:val="22"/>
          <w:szCs w:val="22"/>
        </w:rPr>
        <w:t>第五百七十六条</w:t>
      </w:r>
      <w:r>
        <w:rPr>
          <w:rFonts w:ascii="SimHei" w:hAnsi="SimHei" w:eastAsia="SimHei" w:cs="SimHei"/>
          <w:sz w:val="22"/>
          <w:szCs w:val="22"/>
        </w:rPr>
        <w:t xml:space="preserve"> </w:t>
      </w:r>
      <w:r>
        <w:rPr>
          <w:rFonts w:ascii="SimHei" w:hAnsi="SimHei" w:eastAsia="SimHei" w:cs="SimHei"/>
          <w:sz w:val="22"/>
          <w:szCs w:val="22"/>
        </w:rPr>
        <w:t>未按规定对可能产生放射性职业病危害的建设项目进行职业病危害预评价或者放射性职业病危害预评价报告未经卫生</w:t>
      </w:r>
    </w:p>
    <w:p>
      <w:pPr>
        <w:pStyle w:val="BodyText"/>
        <w:spacing w:line="282" w:lineRule="auto"/>
        <w:rPr/>
      </w:pPr>
      <w:r/>
    </w:p>
    <w:sdt>
      <w:sdtPr>
        <w:rPr>
          <w:rFonts w:ascii="SimHei" w:hAnsi="SimHei" w:eastAsia="SimHei" w:cs="SimHei"/>
          <w:sz w:val="22"/>
          <w:szCs w:val="22"/>
        </w:rPr>
        <w:docPartObj>
          <w:docPartGallery w:val="Table of Contents"/>
          <w:docPartUnique/>
        </w:docPartObj>
      </w:sdtPr>
      <w:sdtEndPr>
        <w:rPr>
          <w:rFonts w:ascii="Times New Roman" w:hAnsi="Times New Roman" w:eastAsia="Times New Roman" w:cs="Times New Roman"/>
          <w:sz w:val="22"/>
          <w:szCs w:val="22"/>
        </w:rPr>
      </w:sdtEndPr>
      <w:sdtContent>
        <w:p>
          <w:pPr>
            <w:spacing w:before="71" w:line="222" w:lineRule="auto"/>
            <w:tabs>
              <w:tab w:val="right" w:leader="dot" w:pos="13060"/>
            </w:tabs>
            <w:rPr>
              <w:rFonts w:ascii="Times New Roman" w:hAnsi="Times New Roman" w:eastAsia="Times New Roman" w:cs="Times New Roman"/>
              <w:sz w:val="22"/>
              <w:szCs w:val="22"/>
            </w:rPr>
          </w:pPr>
          <w:hyperlink w:history="true" w:anchor="bookmark728">
            <w:r>
              <w:rPr>
                <w:rFonts w:ascii="SimHei" w:hAnsi="SimHei" w:eastAsia="SimHei" w:cs="SimHei"/>
                <w:sz w:val="22"/>
                <w:szCs w:val="22"/>
                <w:spacing w:val="2"/>
              </w:rPr>
              <w:t>行政部门审核同意即开工建设的</w:t>
            </w:r>
            <w:r>
              <w:rPr>
                <w:rFonts w:ascii="SimHei" w:hAnsi="SimHei" w:eastAsia="SimHei" w:cs="SimHei"/>
                <w:sz w:val="22"/>
                <w:szCs w:val="22"/>
                <w:spacing w:val="-99"/>
              </w:rPr>
              <w:t xml:space="preserve"> </w:t>
            </w:r>
            <w:r>
              <w:rPr>
                <w:rFonts w:ascii="SimHei" w:hAnsi="SimHei" w:eastAsia="SimHei" w:cs="SimHei"/>
                <w:sz w:val="22"/>
                <w:szCs w:val="22"/>
              </w:rPr>
              <w:tab/>
            </w:r>
            <w:r>
              <w:rPr>
                <w:rFonts w:ascii="Times New Roman" w:hAnsi="Times New Roman" w:eastAsia="Times New Roman" w:cs="Times New Roman"/>
                <w:sz w:val="22"/>
                <w:szCs w:val="22"/>
                <w:spacing w:val="-2"/>
              </w:rPr>
              <w:t>680</w:t>
            </w:r>
          </w:hyperlink>
        </w:p>
        <w:p>
          <w:pPr>
            <w:pStyle w:val="BodyText"/>
            <w:spacing w:line="245" w:lineRule="auto"/>
            <w:rPr/>
          </w:pPr>
          <w:r/>
        </w:p>
        <w:p>
          <w:pPr>
            <w:pStyle w:val="BodyText"/>
            <w:spacing w:line="245" w:lineRule="auto"/>
            <w:rPr/>
          </w:pPr>
          <w:r/>
        </w:p>
        <w:p>
          <w:pPr>
            <w:spacing w:before="71" w:line="221" w:lineRule="auto"/>
            <w:tabs>
              <w:tab w:val="right" w:leader="dot" w:pos="13050"/>
            </w:tabs>
            <w:rPr>
              <w:rFonts w:ascii="Times New Roman" w:hAnsi="Times New Roman" w:eastAsia="Times New Roman" w:cs="Times New Roman"/>
              <w:sz w:val="22"/>
              <w:szCs w:val="22"/>
            </w:rPr>
          </w:pPr>
          <w:hyperlink w:history="true" w:anchor="bookmark729">
            <w:r>
              <w:rPr>
                <w:rFonts w:ascii="SimHei" w:hAnsi="SimHei" w:eastAsia="SimHei" w:cs="SimHei"/>
                <w:sz w:val="22"/>
                <w:szCs w:val="22"/>
              </w:rPr>
              <w:t>第五百七十七条</w:t>
            </w:r>
            <w:r>
              <w:rPr>
                <w:rFonts w:ascii="SimHei" w:hAnsi="SimHei" w:eastAsia="SimHei" w:cs="SimHei"/>
                <w:sz w:val="22"/>
                <w:szCs w:val="22"/>
              </w:rPr>
              <w:t xml:space="preserve"> </w:t>
            </w:r>
            <w:r>
              <w:rPr>
                <w:rFonts w:ascii="SimHei" w:hAnsi="SimHei" w:eastAsia="SimHei" w:cs="SimHei"/>
                <w:sz w:val="22"/>
                <w:szCs w:val="22"/>
              </w:rPr>
              <w:t>按照规定对放射性职业病防护设施进行职业</w:t>
            </w:r>
            <w:r>
              <w:rPr>
                <w:rFonts w:ascii="SimHei" w:hAnsi="SimHei" w:eastAsia="SimHei" w:cs="SimHei"/>
                <w:sz w:val="22"/>
                <w:szCs w:val="22"/>
                <w:spacing w:val="-1"/>
              </w:rPr>
              <w:t>病危害控制效果评价的</w:t>
            </w:r>
            <w:r>
              <w:rPr>
                <w:rFonts w:ascii="SimHei" w:hAnsi="SimHei" w:eastAsia="SimHei" w:cs="SimHei"/>
                <w:sz w:val="22"/>
                <w:szCs w:val="22"/>
                <w:spacing w:val="-91"/>
              </w:rPr>
              <w:t xml:space="preserve"> </w:t>
            </w:r>
            <w:r>
              <w:rPr>
                <w:rFonts w:ascii="SimHei" w:hAnsi="SimHei" w:eastAsia="SimHei" w:cs="SimHei"/>
                <w:sz w:val="22"/>
                <w:szCs w:val="22"/>
              </w:rPr>
              <w:tab/>
            </w:r>
            <w:r>
              <w:rPr>
                <w:rFonts w:ascii="SimHei" w:hAnsi="SimHei" w:eastAsia="SimHei" w:cs="SimHei"/>
                <w:sz w:val="22"/>
                <w:szCs w:val="22"/>
                <w:spacing w:val="-14"/>
              </w:rPr>
              <w:t xml:space="preserve"> </w:t>
            </w:r>
            <w:r>
              <w:rPr>
                <w:rFonts w:ascii="Times New Roman" w:hAnsi="Times New Roman" w:eastAsia="Times New Roman" w:cs="Times New Roman"/>
                <w:sz w:val="22"/>
                <w:szCs w:val="22"/>
                <w:spacing w:val="-3"/>
              </w:rPr>
              <w:t>681</w:t>
            </w:r>
          </w:hyperlink>
        </w:p>
        <w:p>
          <w:pPr>
            <w:pStyle w:val="BodyText"/>
            <w:spacing w:line="472" w:lineRule="auto"/>
            <w:rPr/>
          </w:pPr>
          <w:r/>
        </w:p>
        <w:p>
          <w:pPr>
            <w:spacing w:before="72" w:line="213" w:lineRule="auto"/>
            <w:tabs>
              <w:tab w:val="right" w:leader="dot" w:pos="13050"/>
            </w:tabs>
            <w:rPr>
              <w:rFonts w:ascii="Times New Roman" w:hAnsi="Times New Roman" w:eastAsia="Times New Roman" w:cs="Times New Roman"/>
              <w:sz w:val="22"/>
              <w:szCs w:val="22"/>
            </w:rPr>
          </w:pPr>
          <w:hyperlink w:history="true" w:anchor="bookmark730">
            <w:r>
              <w:rPr>
                <w:rFonts w:ascii="SimHei" w:hAnsi="SimHei" w:eastAsia="SimHei" w:cs="SimHei"/>
                <w:sz w:val="22"/>
                <w:szCs w:val="22"/>
              </w:rPr>
              <w:t>第五百七十八条</w:t>
            </w:r>
            <w:r>
              <w:rPr>
                <w:rFonts w:ascii="SimHei" w:hAnsi="SimHei" w:eastAsia="SimHei" w:cs="SimHei"/>
                <w:sz w:val="22"/>
                <w:szCs w:val="22"/>
              </w:rPr>
              <w:t xml:space="preserve"> </w:t>
            </w:r>
            <w:r>
              <w:rPr>
                <w:rFonts w:ascii="SimHei" w:hAnsi="SimHei" w:eastAsia="SimHei" w:cs="SimHei"/>
                <w:sz w:val="22"/>
                <w:szCs w:val="22"/>
              </w:rPr>
              <w:t>可能产生放射性职业病危害的建设项目竣工投入生产和使用前，职业病防护设施</w:t>
            </w:r>
            <w:r>
              <w:rPr>
                <w:rFonts w:ascii="SimHei" w:hAnsi="SimHei" w:eastAsia="SimHei" w:cs="SimHei"/>
                <w:sz w:val="22"/>
                <w:szCs w:val="22"/>
                <w:spacing w:val="-1"/>
              </w:rPr>
              <w:t>未按照规定验收合格的</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24"/>
              </w:rPr>
              <w:t xml:space="preserve"> </w:t>
            </w:r>
            <w:r>
              <w:rPr>
                <w:rFonts w:ascii="Times New Roman" w:hAnsi="Times New Roman" w:eastAsia="Times New Roman" w:cs="Times New Roman"/>
                <w:sz w:val="22"/>
                <w:szCs w:val="22"/>
                <w:spacing w:val="-3"/>
              </w:rPr>
              <w:t>683</w:t>
            </w:r>
          </w:hyperlink>
        </w:p>
        <w:p>
          <w:pPr>
            <w:pStyle w:val="BodyText"/>
            <w:spacing w:line="260" w:lineRule="auto"/>
            <w:rPr/>
          </w:pPr>
          <w:r/>
        </w:p>
        <w:p>
          <w:pPr>
            <w:pStyle w:val="BodyText"/>
            <w:spacing w:line="260" w:lineRule="auto"/>
            <w:rPr/>
          </w:pPr>
          <w:r/>
        </w:p>
        <w:p>
          <w:pPr>
            <w:spacing w:before="72" w:line="221" w:lineRule="auto"/>
            <w:tabs>
              <w:tab w:val="right" w:leader="dot" w:pos="13040"/>
            </w:tabs>
            <w:rPr>
              <w:rFonts w:ascii="Times New Roman" w:hAnsi="Times New Roman" w:eastAsia="Times New Roman" w:cs="Times New Roman"/>
              <w:sz w:val="22"/>
              <w:szCs w:val="22"/>
            </w:rPr>
          </w:pPr>
          <w:hyperlink w:history="true" w:anchor="bookmark731">
            <w:r>
              <w:rPr>
                <w:rFonts w:ascii="SimHei" w:hAnsi="SimHei" w:eastAsia="SimHei" w:cs="SimHei"/>
                <w:sz w:val="22"/>
                <w:szCs w:val="22"/>
              </w:rPr>
              <w:t>第五百七十九条</w:t>
            </w:r>
            <w:r>
              <w:rPr>
                <w:rFonts w:ascii="SimHei" w:hAnsi="SimHei" w:eastAsia="SimHei" w:cs="SimHei"/>
                <w:sz w:val="22"/>
                <w:szCs w:val="22"/>
              </w:rPr>
              <w:t xml:space="preserve"> </w:t>
            </w:r>
            <w:r>
              <w:rPr>
                <w:rFonts w:ascii="SimHei" w:hAnsi="SimHei" w:eastAsia="SimHei" w:cs="SimHei"/>
                <w:sz w:val="22"/>
                <w:szCs w:val="22"/>
              </w:rPr>
              <w:t>医疗机构未按照规定公布有关放射性职业病防治的规章制度、操作规程、放射事件应急救援措施的</w:t>
            </w:r>
            <w:r>
              <w:rPr>
                <w:rFonts w:ascii="SimHei" w:hAnsi="SimHei" w:eastAsia="SimHei" w:cs="SimHei"/>
                <w:sz w:val="22"/>
                <w:szCs w:val="22"/>
                <w:spacing w:val="-82"/>
              </w:rPr>
              <w:t xml:space="preserve"> </w:t>
            </w:r>
            <w:r>
              <w:rPr>
                <w:rFonts w:ascii="SimHei" w:hAnsi="SimHei" w:eastAsia="SimHei" w:cs="SimHei"/>
                <w:sz w:val="22"/>
                <w:szCs w:val="22"/>
              </w:rPr>
              <w:tab/>
            </w:r>
            <w:r>
              <w:rPr>
                <w:rFonts w:ascii="SimHei" w:hAnsi="SimHei" w:eastAsia="SimHei" w:cs="SimHei"/>
                <w:sz w:val="22"/>
                <w:szCs w:val="22"/>
                <w:spacing w:val="-44"/>
              </w:rPr>
              <w:t xml:space="preserve"> </w:t>
            </w:r>
            <w:r>
              <w:rPr>
                <w:rFonts w:ascii="Times New Roman" w:hAnsi="Times New Roman" w:eastAsia="Times New Roman" w:cs="Times New Roman"/>
                <w:sz w:val="22"/>
                <w:szCs w:val="22"/>
                <w:spacing w:val="-3"/>
              </w:rPr>
              <w:t>685</w:t>
            </w:r>
          </w:hyperlink>
        </w:p>
        <w:p>
          <w:pPr>
            <w:pStyle w:val="BodyText"/>
            <w:spacing w:line="472" w:lineRule="auto"/>
            <w:rPr/>
          </w:pPr>
          <w:r/>
        </w:p>
        <w:p>
          <w:pPr>
            <w:spacing w:before="72" w:line="221" w:lineRule="auto"/>
            <w:tabs>
              <w:tab w:val="right" w:leader="dot" w:pos="13040"/>
            </w:tabs>
            <w:rPr>
              <w:rFonts w:ascii="Times New Roman" w:hAnsi="Times New Roman" w:eastAsia="Times New Roman" w:cs="Times New Roman"/>
              <w:sz w:val="22"/>
              <w:szCs w:val="22"/>
            </w:rPr>
          </w:pPr>
          <w:hyperlink w:history="true" w:anchor="bookmark732">
            <w:r>
              <w:rPr>
                <w:rFonts w:ascii="SimHei" w:hAnsi="SimHei" w:eastAsia="SimHei" w:cs="SimHei"/>
                <w:sz w:val="22"/>
                <w:szCs w:val="22"/>
              </w:rPr>
              <w:t>第五百八十条</w:t>
            </w:r>
            <w:r>
              <w:rPr>
                <w:rFonts w:ascii="SimHei" w:hAnsi="SimHei" w:eastAsia="SimHei" w:cs="SimHei"/>
                <w:sz w:val="22"/>
                <w:szCs w:val="22"/>
              </w:rPr>
              <w:t xml:space="preserve"> </w:t>
            </w:r>
            <w:r>
              <w:rPr>
                <w:rFonts w:ascii="SimHei" w:hAnsi="SimHei" w:eastAsia="SimHei" w:cs="SimHei"/>
                <w:sz w:val="22"/>
                <w:szCs w:val="22"/>
              </w:rPr>
              <w:t>医疗机构未按照规定组织放射工作人</w:t>
            </w:r>
            <w:r>
              <w:rPr>
                <w:rFonts w:ascii="SimHei" w:hAnsi="SimHei" w:eastAsia="SimHei" w:cs="SimHei"/>
                <w:sz w:val="22"/>
                <w:szCs w:val="22"/>
                <w:spacing w:val="-1"/>
              </w:rPr>
              <w:t>员进行职业卫生培训的</w:t>
            </w:r>
            <w:r>
              <w:rPr>
                <w:rFonts w:ascii="SimHei" w:hAnsi="SimHei" w:eastAsia="SimHei" w:cs="SimHei"/>
                <w:sz w:val="22"/>
                <w:szCs w:val="22"/>
              </w:rPr>
              <w:tab/>
            </w:r>
            <w:r>
              <w:rPr>
                <w:rFonts w:ascii="Times New Roman" w:hAnsi="Times New Roman" w:eastAsia="Times New Roman" w:cs="Times New Roman"/>
                <w:sz w:val="22"/>
                <w:szCs w:val="22"/>
                <w:spacing w:val="-1"/>
              </w:rPr>
              <w:t>686</w:t>
            </w:r>
          </w:hyperlink>
        </w:p>
        <w:p>
          <w:pPr>
            <w:pStyle w:val="BodyText"/>
            <w:spacing w:line="241" w:lineRule="auto"/>
            <w:rPr/>
          </w:pPr>
          <w:r/>
        </w:p>
        <w:p>
          <w:pPr>
            <w:pStyle w:val="BodyText"/>
            <w:spacing w:line="241" w:lineRule="auto"/>
            <w:rPr/>
          </w:pPr>
          <w:r/>
        </w:p>
        <w:p>
          <w:pPr>
            <w:spacing w:before="72" w:line="222" w:lineRule="auto"/>
            <w:tabs>
              <w:tab w:val="right" w:leader="dot" w:pos="13050"/>
            </w:tabs>
            <w:rPr>
              <w:rFonts w:ascii="Times New Roman" w:hAnsi="Times New Roman" w:eastAsia="Times New Roman" w:cs="Times New Roman"/>
              <w:sz w:val="22"/>
              <w:szCs w:val="22"/>
            </w:rPr>
          </w:pPr>
          <w:hyperlink w:history="true" w:anchor="bookmark733">
            <w:r>
              <w:rPr>
                <w:rFonts w:ascii="SimHei" w:hAnsi="SimHei" w:eastAsia="SimHei" w:cs="SimHei"/>
                <w:sz w:val="22"/>
                <w:szCs w:val="22"/>
                <w:spacing w:val="-1"/>
              </w:rPr>
              <w:t>第五百八十一条</w:t>
            </w:r>
            <w:r>
              <w:rPr>
                <w:rFonts w:ascii="SimHei" w:hAnsi="SimHei" w:eastAsia="SimHei" w:cs="SimHei"/>
                <w:sz w:val="22"/>
                <w:szCs w:val="22"/>
                <w:spacing w:val="-1"/>
              </w:rPr>
              <w:t xml:space="preserve"> </w:t>
            </w:r>
            <w:r>
              <w:rPr>
                <w:rFonts w:ascii="SimHei" w:hAnsi="SimHei" w:eastAsia="SimHei" w:cs="SimHei"/>
                <w:sz w:val="22"/>
                <w:szCs w:val="22"/>
                <w:spacing w:val="-1"/>
              </w:rPr>
              <w:t>医疗机构未按照规定组织职业健康检查、建立职业健康监护档案或者未将检查结果书面告知劳动者的</w:t>
            </w:r>
            <w:r>
              <w:rPr>
                <w:rFonts w:ascii="SimHei" w:hAnsi="SimHei" w:eastAsia="SimHei" w:cs="SimHei"/>
                <w:sz w:val="22"/>
                <w:szCs w:val="22"/>
                <w:spacing w:val="-89"/>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688</w:t>
            </w:r>
          </w:hyperlink>
        </w:p>
        <w:p>
          <w:pPr>
            <w:pStyle w:val="BodyText"/>
            <w:spacing w:line="245" w:lineRule="auto"/>
            <w:rPr/>
          </w:pPr>
          <w:r/>
        </w:p>
        <w:p>
          <w:pPr>
            <w:pStyle w:val="BodyText"/>
            <w:spacing w:line="245" w:lineRule="auto"/>
            <w:rPr/>
          </w:pPr>
          <w:r/>
        </w:p>
        <w:p>
          <w:pPr>
            <w:spacing w:before="72" w:line="221" w:lineRule="auto"/>
            <w:tabs>
              <w:tab w:val="right" w:leader="dot" w:pos="13040"/>
            </w:tabs>
            <w:rPr>
              <w:rFonts w:ascii="Times New Roman" w:hAnsi="Times New Roman" w:eastAsia="Times New Roman" w:cs="Times New Roman"/>
              <w:sz w:val="22"/>
              <w:szCs w:val="22"/>
            </w:rPr>
          </w:pPr>
          <w:hyperlink w:history="true" w:anchor="bookmark734">
            <w:r>
              <w:rPr>
                <w:rFonts w:ascii="SimHei" w:hAnsi="SimHei" w:eastAsia="SimHei" w:cs="SimHei"/>
                <w:sz w:val="22"/>
                <w:szCs w:val="22"/>
              </w:rPr>
              <w:t>第五百八十二条</w:t>
            </w:r>
            <w:r>
              <w:rPr>
                <w:rFonts w:ascii="SimHei" w:hAnsi="SimHei" w:eastAsia="SimHei" w:cs="SimHei"/>
                <w:sz w:val="22"/>
                <w:szCs w:val="22"/>
              </w:rPr>
              <w:t xml:space="preserve"> </w:t>
            </w:r>
            <w:r>
              <w:rPr>
                <w:rFonts w:ascii="SimHei" w:hAnsi="SimHei" w:eastAsia="SimHei" w:cs="SimHei"/>
                <w:sz w:val="22"/>
                <w:szCs w:val="22"/>
              </w:rPr>
              <w:t>未取得放射卫生技术服务资质认可擅自从</w:t>
            </w:r>
            <w:r>
              <w:rPr>
                <w:rFonts w:ascii="SimHei" w:hAnsi="SimHei" w:eastAsia="SimHei" w:cs="SimHei"/>
                <w:sz w:val="22"/>
                <w:szCs w:val="22"/>
                <w:spacing w:val="-1"/>
              </w:rPr>
              <w:t>事放射卫生技术服务的</w:t>
            </w:r>
            <w:r>
              <w:rPr>
                <w:rFonts w:ascii="SimHei" w:hAnsi="SimHei" w:eastAsia="SimHei" w:cs="SimHei"/>
                <w:sz w:val="22"/>
                <w:szCs w:val="22"/>
              </w:rPr>
              <w:tab/>
            </w:r>
            <w:r>
              <w:rPr>
                <w:rFonts w:ascii="SimHei" w:hAnsi="SimHei" w:eastAsia="SimHei" w:cs="SimHei"/>
                <w:sz w:val="22"/>
                <w:szCs w:val="22"/>
                <w:spacing w:val="-4"/>
              </w:rPr>
              <w:t xml:space="preserve"> </w:t>
            </w:r>
            <w:r>
              <w:rPr>
                <w:rFonts w:ascii="Times New Roman" w:hAnsi="Times New Roman" w:eastAsia="Times New Roman" w:cs="Times New Roman"/>
                <w:sz w:val="22"/>
                <w:szCs w:val="22"/>
                <w:spacing w:val="-3"/>
              </w:rPr>
              <w:t>689</w:t>
            </w:r>
          </w:hyperlink>
        </w:p>
        <w:p>
          <w:pPr>
            <w:pStyle w:val="BodyText"/>
            <w:spacing w:line="241" w:lineRule="auto"/>
            <w:rPr/>
          </w:pPr>
          <w:r/>
        </w:p>
        <w:p>
          <w:pPr>
            <w:pStyle w:val="BodyText"/>
            <w:spacing w:line="241" w:lineRule="auto"/>
            <w:rPr/>
          </w:pPr>
          <w:r/>
        </w:p>
        <w:p>
          <w:pPr>
            <w:spacing w:before="72" w:line="221" w:lineRule="auto"/>
            <w:tabs>
              <w:tab w:val="right" w:leader="dot" w:pos="13040"/>
            </w:tabs>
            <w:rPr>
              <w:rFonts w:ascii="Times New Roman" w:hAnsi="Times New Roman" w:eastAsia="Times New Roman" w:cs="Times New Roman"/>
              <w:sz w:val="22"/>
              <w:szCs w:val="22"/>
            </w:rPr>
          </w:pPr>
          <w:hyperlink w:history="true" w:anchor="bookmark735">
            <w:r>
              <w:rPr>
                <w:rFonts w:ascii="SimHei" w:hAnsi="SimHei" w:eastAsia="SimHei" w:cs="SimHei"/>
                <w:sz w:val="22"/>
                <w:szCs w:val="22"/>
                <w:spacing w:val="-1"/>
              </w:rPr>
              <w:t>第五百八十三条</w:t>
            </w:r>
            <w:r>
              <w:rPr>
                <w:rFonts w:ascii="SimHei" w:hAnsi="SimHei" w:eastAsia="SimHei" w:cs="SimHei"/>
                <w:sz w:val="22"/>
                <w:szCs w:val="22"/>
                <w:spacing w:val="-1"/>
              </w:rPr>
              <w:t xml:space="preserve"> </w:t>
            </w:r>
            <w:r>
              <w:rPr>
                <w:rFonts w:ascii="SimHei" w:hAnsi="SimHei" w:eastAsia="SimHei" w:cs="SimHei"/>
                <w:sz w:val="22"/>
                <w:szCs w:val="22"/>
                <w:spacing w:val="-1"/>
              </w:rPr>
              <w:t>从事放射卫生技术服务的机构超出资质认可或者批准范围从事放射卫生技术服务的</w:t>
            </w:r>
            <w:r>
              <w:rPr>
                <w:rFonts w:ascii="SimHei" w:hAnsi="SimHei" w:eastAsia="SimHei" w:cs="SimHei"/>
                <w:sz w:val="22"/>
                <w:szCs w:val="22"/>
                <w:spacing w:val="-87"/>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690</w:t>
            </w:r>
          </w:hyperlink>
        </w:p>
        <w:p>
          <w:pPr>
            <w:pStyle w:val="BodyText"/>
            <w:spacing w:line="241" w:lineRule="auto"/>
            <w:rPr/>
          </w:pPr>
          <w:r/>
        </w:p>
        <w:p>
          <w:pPr>
            <w:pStyle w:val="BodyText"/>
            <w:spacing w:line="241" w:lineRule="auto"/>
            <w:rPr/>
          </w:pPr>
          <w:r/>
        </w:p>
        <w:p>
          <w:pPr>
            <w:spacing w:before="71" w:line="221" w:lineRule="auto"/>
            <w:tabs>
              <w:tab w:val="right" w:leader="dot" w:pos="12890"/>
            </w:tabs>
            <w:rPr>
              <w:rFonts w:ascii="Times New Roman" w:hAnsi="Times New Roman" w:eastAsia="Times New Roman" w:cs="Times New Roman"/>
              <w:sz w:val="22"/>
              <w:szCs w:val="22"/>
            </w:rPr>
          </w:pPr>
          <w:hyperlink w:history="true" w:anchor="bookmark736">
            <w:r>
              <w:rPr>
                <w:rFonts w:ascii="SimHei" w:hAnsi="SimHei" w:eastAsia="SimHei" w:cs="SimHei"/>
                <w:sz w:val="22"/>
                <w:szCs w:val="22"/>
              </w:rPr>
              <w:t>第五百八十四条</w:t>
            </w:r>
            <w:r>
              <w:rPr>
                <w:rFonts w:ascii="SimHei" w:hAnsi="SimHei" w:eastAsia="SimHei" w:cs="SimHei"/>
                <w:sz w:val="22"/>
                <w:szCs w:val="22"/>
              </w:rPr>
              <w:t xml:space="preserve"> </w:t>
            </w:r>
            <w:r>
              <w:rPr>
                <w:rFonts w:ascii="SimHei" w:hAnsi="SimHei" w:eastAsia="SimHei" w:cs="SimHei"/>
                <w:sz w:val="22"/>
                <w:szCs w:val="22"/>
              </w:rPr>
              <w:t>从事放射卫生技术服务的机</w:t>
            </w:r>
            <w:r>
              <w:rPr>
                <w:rFonts w:ascii="SimHei" w:hAnsi="SimHei" w:eastAsia="SimHei" w:cs="SimHei"/>
                <w:sz w:val="22"/>
                <w:szCs w:val="22"/>
                <w:spacing w:val="-1"/>
              </w:rPr>
              <w:t>构出具虚假证明文件的</w:t>
            </w:r>
            <w:r>
              <w:rPr>
                <w:rFonts w:ascii="SimHei" w:hAnsi="SimHei" w:eastAsia="SimHei" w:cs="SimHei"/>
                <w:sz w:val="22"/>
                <w:szCs w:val="22"/>
                <w:spacing w:val="-91"/>
              </w:rPr>
              <w:t xml:space="preserve"> </w:t>
            </w:r>
            <w:r>
              <w:rPr>
                <w:rFonts w:ascii="SimHei" w:hAnsi="SimHei" w:eastAsia="SimHei" w:cs="SimHei"/>
                <w:sz w:val="22"/>
                <w:szCs w:val="22"/>
              </w:rPr>
              <w:tab/>
            </w:r>
            <w:r>
              <w:rPr>
                <w:rFonts w:ascii="Times New Roman" w:hAnsi="Times New Roman" w:eastAsia="Times New Roman" w:cs="Times New Roman"/>
                <w:sz w:val="22"/>
                <w:szCs w:val="22"/>
                <w:spacing w:val="-1"/>
              </w:rPr>
              <w:t>691</w:t>
            </w:r>
          </w:hyperlink>
        </w:p>
      </w:sdtContent>
    </w:sdt>
    <w:p>
      <w:pPr>
        <w:pStyle w:val="BodyText"/>
        <w:spacing w:line="287" w:lineRule="auto"/>
        <w:rPr/>
      </w:pPr>
      <w:r/>
    </w:p>
    <w:p>
      <w:pPr>
        <w:pStyle w:val="BodyText"/>
        <w:spacing w:line="287" w:lineRule="auto"/>
        <w:rPr/>
      </w:pPr>
      <w:r/>
    </w:p>
    <w:p>
      <w:pPr>
        <w:pStyle w:val="BodyText"/>
        <w:spacing w:line="287" w:lineRule="auto"/>
        <w:rPr/>
      </w:pPr>
      <w:r/>
    </w:p>
    <w:p>
      <w:pPr>
        <w:pStyle w:val="BodyText"/>
        <w:spacing w:line="287" w:lineRule="auto"/>
        <w:rPr/>
      </w:pPr>
      <w:r/>
    </w:p>
    <w:p>
      <w:pPr>
        <w:ind w:left="5620"/>
        <w:spacing w:before="119" w:line="188" w:lineRule="auto"/>
        <w:rPr>
          <w:rFonts w:ascii="Times New Roman" w:hAnsi="Times New Roman" w:eastAsia="Times New Roman" w:cs="Times New Roman"/>
          <w:sz w:val="41"/>
          <w:szCs w:val="41"/>
        </w:rPr>
      </w:pPr>
      <w:r>
        <w:rPr>
          <w:rFonts w:ascii="Times New Roman" w:hAnsi="Times New Roman" w:eastAsia="Times New Roman" w:cs="Times New Roman"/>
          <w:sz w:val="41"/>
          <w:szCs w:val="41"/>
          <w:spacing w:val="-26"/>
          <w:w w:val="94"/>
        </w:rPr>
        <w:t>—71—</w:t>
      </w:r>
    </w:p>
    <w:p>
      <w:pPr>
        <w:spacing w:line="188" w:lineRule="auto"/>
        <w:sectPr>
          <w:footerReference w:type="default" r:id="rId24"/>
          <w:pgSz w:w="16830" w:h="11900"/>
          <w:pgMar w:top="1011" w:right="1469" w:bottom="400" w:left="2299" w:header="0" w:footer="0" w:gutter="0"/>
        </w:sectPr>
        <w:rPr>
          <w:rFonts w:ascii="Times New Roman" w:hAnsi="Times New Roman" w:eastAsia="Times New Roman" w:cs="Times New Roman"/>
          <w:sz w:val="41"/>
          <w:szCs w:val="41"/>
        </w:rPr>
      </w:pPr>
    </w:p>
    <w:p>
      <w:pPr>
        <w:pStyle w:val="BodyText"/>
        <w:spacing w:line="276" w:lineRule="auto"/>
        <w:rPr/>
      </w:pPr>
      <w:r/>
    </w:p>
    <w:p>
      <w:pPr>
        <w:pStyle w:val="BodyText"/>
        <w:spacing w:line="276" w:lineRule="auto"/>
        <w:rPr/>
      </w:pPr>
      <w:r/>
    </w:p>
    <w:p>
      <w:pPr>
        <w:pStyle w:val="BodyText"/>
        <w:spacing w:line="276" w:lineRule="auto"/>
        <w:rPr/>
      </w:pPr>
      <w:r/>
    </w:p>
    <w:sdt>
      <w:sdtPr>
        <w:rPr>
          <w:rFonts w:ascii="KaiTi" w:hAnsi="KaiTi" w:eastAsia="KaiTi" w:cs="KaiTi"/>
          <w:sz w:val="21"/>
          <w:szCs w:val="21"/>
        </w:rPr>
        <w:docPartObj>
          <w:docPartGallery w:val="Table of Contents"/>
          <w:docPartUnique/>
        </w:docPartObj>
      </w:sdtPr>
      <w:sdtEndPr>
        <w:rPr>
          <w:rFonts w:ascii="Times New Roman" w:hAnsi="Times New Roman" w:eastAsia="Times New Roman" w:cs="Times New Roman"/>
          <w:sz w:val="21"/>
          <w:szCs w:val="21"/>
        </w:rPr>
      </w:sdtEndPr>
      <w:sdtContent>
        <w:p>
          <w:pPr>
            <w:spacing w:before="68" w:line="223" w:lineRule="auto"/>
            <w:tabs>
              <w:tab w:val="right" w:leader="dot" w:pos="13375"/>
            </w:tabs>
            <w:rPr>
              <w:rFonts w:ascii="Times New Roman" w:hAnsi="Times New Roman" w:eastAsia="Times New Roman" w:cs="Times New Roman"/>
              <w:sz w:val="21"/>
              <w:szCs w:val="21"/>
            </w:rPr>
          </w:pPr>
          <w:hyperlink w:history="true" w:anchor="bookmark737">
            <w:r>
              <w:rPr>
                <w:rFonts w:ascii="KaiTi" w:hAnsi="KaiTi" w:eastAsia="KaiTi" w:cs="KaiTi"/>
                <w:sz w:val="21"/>
                <w:szCs w:val="21"/>
                <w:spacing w:val="-4"/>
              </w:rPr>
              <w:t>(</w:t>
            </w:r>
            <w:r>
              <w:rPr>
                <w:rFonts w:ascii="KaiTi" w:hAnsi="KaiTi" w:eastAsia="KaiTi" w:cs="KaiTi"/>
                <w:sz w:val="21"/>
                <w:szCs w:val="21"/>
                <w:spacing w:val="-4"/>
              </w:rPr>
              <w:t xml:space="preserve"> </w:t>
            </w:r>
            <w:r>
              <w:rPr>
                <w:rFonts w:ascii="KaiTi" w:hAnsi="KaiTi" w:eastAsia="KaiTi" w:cs="KaiTi"/>
                <w:sz w:val="21"/>
                <w:szCs w:val="21"/>
                <w:spacing w:val="-4"/>
              </w:rPr>
              <w:t>三</w:t>
            </w:r>
            <w:r>
              <w:rPr>
                <w:rFonts w:ascii="KaiTi" w:hAnsi="KaiTi" w:eastAsia="KaiTi" w:cs="KaiTi"/>
                <w:sz w:val="21"/>
                <w:szCs w:val="21"/>
                <w:spacing w:val="-4"/>
              </w:rPr>
              <w:t xml:space="preserve"> </w:t>
            </w:r>
            <w:r>
              <w:rPr>
                <w:rFonts w:ascii="KaiTi" w:hAnsi="KaiTi" w:eastAsia="KaiTi" w:cs="KaiTi"/>
                <w:sz w:val="21"/>
                <w:szCs w:val="21"/>
                <w:spacing w:val="-4"/>
              </w:rPr>
              <w:t>)《放射工作人员职业健康管理办法》</w:t>
            </w:r>
            <w:r>
              <w:rPr>
                <w:rFonts w:ascii="KaiTi" w:hAnsi="KaiTi" w:eastAsia="KaiTi" w:cs="KaiTi"/>
                <w:sz w:val="21"/>
                <w:szCs w:val="21"/>
                <w:spacing w:val="-72"/>
              </w:rPr>
              <w:t xml:space="preserve"> </w:t>
            </w:r>
            <w:r>
              <w:rPr>
                <w:rFonts w:ascii="KaiTi" w:hAnsi="KaiTi" w:eastAsia="KaiTi" w:cs="KaiTi"/>
                <w:sz w:val="21"/>
                <w:szCs w:val="21"/>
              </w:rPr>
              <w:tab/>
            </w:r>
            <w:r>
              <w:rPr>
                <w:rFonts w:ascii="Times New Roman" w:hAnsi="Times New Roman" w:eastAsia="Times New Roman" w:cs="Times New Roman"/>
                <w:sz w:val="21"/>
                <w:szCs w:val="21"/>
                <w:spacing w:val="-1"/>
              </w:rPr>
              <w:t>693</w:t>
            </w:r>
          </w:hyperlink>
        </w:p>
        <w:p>
          <w:pPr>
            <w:pStyle w:val="BodyText"/>
            <w:spacing w:line="289" w:lineRule="auto"/>
            <w:rPr/>
          </w:pPr>
          <w:r/>
        </w:p>
        <w:p>
          <w:pPr>
            <w:ind w:left="359"/>
            <w:spacing w:before="68" w:line="221" w:lineRule="auto"/>
            <w:tabs>
              <w:tab w:val="right" w:leader="dot" w:pos="13375"/>
            </w:tabs>
            <w:rPr>
              <w:rFonts w:ascii="Times New Roman" w:hAnsi="Times New Roman" w:eastAsia="Times New Roman" w:cs="Times New Roman"/>
              <w:sz w:val="21"/>
              <w:szCs w:val="21"/>
            </w:rPr>
          </w:pPr>
          <w:hyperlink w:history="true" w:anchor="bookmark738">
            <w:r>
              <w:rPr>
                <w:rFonts w:ascii="SimHei" w:hAnsi="SimHei" w:eastAsia="SimHei" w:cs="SimHei"/>
                <w:sz w:val="21"/>
                <w:szCs w:val="21"/>
                <w:spacing w:val="10"/>
              </w:rPr>
              <w:t>第五百八十五条</w:t>
            </w:r>
            <w:r>
              <w:rPr>
                <w:rFonts w:ascii="SimHei" w:hAnsi="SimHei" w:eastAsia="SimHei" w:cs="SimHei"/>
                <w:sz w:val="21"/>
                <w:szCs w:val="21"/>
                <w:spacing w:val="10"/>
              </w:rPr>
              <w:t xml:space="preserve"> </w:t>
            </w:r>
            <w:r>
              <w:rPr>
                <w:rFonts w:ascii="SimHei" w:hAnsi="SimHei" w:eastAsia="SimHei" w:cs="SimHei"/>
                <w:sz w:val="21"/>
                <w:szCs w:val="21"/>
                <w:spacing w:val="10"/>
              </w:rPr>
              <w:t>放射工作单位未给从事放射工作的人员办理《放</w:t>
            </w:r>
            <w:r>
              <w:rPr>
                <w:rFonts w:ascii="SimHei" w:hAnsi="SimHei" w:eastAsia="SimHei" w:cs="SimHei"/>
                <w:sz w:val="21"/>
                <w:szCs w:val="21"/>
                <w:spacing w:val="9"/>
              </w:rPr>
              <w:t>射工作人员证》的</w:t>
            </w:r>
            <w:r>
              <w:rPr>
                <w:rFonts w:ascii="SimHei" w:hAnsi="SimHei" w:eastAsia="SimHei" w:cs="SimHei"/>
                <w:sz w:val="21"/>
                <w:szCs w:val="21"/>
                <w:spacing w:val="-93"/>
              </w:rPr>
              <w:t xml:space="preserve"> </w:t>
            </w:r>
            <w:r>
              <w:rPr>
                <w:rFonts w:ascii="SimHei" w:hAnsi="SimHei" w:eastAsia="SimHei" w:cs="SimHei"/>
                <w:sz w:val="21"/>
                <w:szCs w:val="21"/>
              </w:rPr>
              <w:tab/>
            </w:r>
            <w:r>
              <w:rPr>
                <w:rFonts w:ascii="SimHei" w:hAnsi="SimHei" w:eastAsia="SimHei" w:cs="SimHei"/>
                <w:sz w:val="21"/>
                <w:szCs w:val="21"/>
                <w:spacing w:val="-30"/>
              </w:rPr>
              <w:t xml:space="preserve"> </w:t>
            </w:r>
            <w:r>
              <w:rPr>
                <w:rFonts w:ascii="Times New Roman" w:hAnsi="Times New Roman" w:eastAsia="Times New Roman" w:cs="Times New Roman"/>
                <w:sz w:val="21"/>
                <w:szCs w:val="21"/>
                <w:spacing w:val="-3"/>
              </w:rPr>
              <w:t>693</w:t>
            </w:r>
          </w:hyperlink>
        </w:p>
        <w:p>
          <w:pPr>
            <w:pStyle w:val="BodyText"/>
            <w:spacing w:line="354" w:lineRule="auto"/>
            <w:rPr/>
          </w:pPr>
          <w:r/>
        </w:p>
        <w:p>
          <w:pPr>
            <w:spacing w:before="69" w:line="223" w:lineRule="auto"/>
            <w:tabs>
              <w:tab w:val="right" w:leader="dot" w:pos="13365"/>
            </w:tabs>
            <w:rPr>
              <w:rFonts w:ascii="Times New Roman" w:hAnsi="Times New Roman" w:eastAsia="Times New Roman" w:cs="Times New Roman"/>
              <w:sz w:val="21"/>
              <w:szCs w:val="21"/>
            </w:rPr>
          </w:pPr>
          <w:hyperlink w:history="true" w:anchor="bookmark739">
            <w:r>
              <w:rPr>
                <w:rFonts w:ascii="KaiTi" w:hAnsi="KaiTi" w:eastAsia="KaiTi" w:cs="KaiTi"/>
                <w:sz w:val="21"/>
                <w:szCs w:val="21"/>
                <w:color w:val="707040"/>
                <w:spacing w:val="-3"/>
              </w:rPr>
              <w:t>(</w:t>
            </w:r>
            <w:r>
              <w:rPr>
                <w:rFonts w:ascii="KaiTi" w:hAnsi="KaiTi" w:eastAsia="KaiTi" w:cs="KaiTi"/>
                <w:sz w:val="21"/>
                <w:szCs w:val="21"/>
                <w:color w:val="707040"/>
                <w:spacing w:val="-3"/>
              </w:rPr>
              <w:t xml:space="preserve"> </w:t>
            </w:r>
            <w:r>
              <w:rPr>
                <w:rFonts w:ascii="KaiTi" w:hAnsi="KaiTi" w:eastAsia="KaiTi" w:cs="KaiTi"/>
                <w:sz w:val="21"/>
                <w:szCs w:val="21"/>
                <w:color w:val="707040"/>
                <w:spacing w:val="-3"/>
              </w:rPr>
              <w:t>四</w:t>
            </w:r>
            <w:r>
              <w:rPr>
                <w:rFonts w:ascii="KaiTi" w:hAnsi="KaiTi" w:eastAsia="KaiTi" w:cs="KaiTi"/>
                <w:sz w:val="21"/>
                <w:szCs w:val="21"/>
                <w:color w:val="707040"/>
                <w:spacing w:val="-3"/>
              </w:rPr>
              <w:t xml:space="preserve"> </w:t>
            </w:r>
            <w:r>
              <w:rPr>
                <w:rFonts w:ascii="KaiTi" w:hAnsi="KaiTi" w:eastAsia="KaiTi" w:cs="KaiTi"/>
                <w:sz w:val="21"/>
                <w:szCs w:val="21"/>
                <w:color w:val="707040"/>
                <w:spacing w:val="-3"/>
              </w:rPr>
              <w:t>)《医疗器械监督管理条例》</w:t>
            </w:r>
            <w:r>
              <w:rPr>
                <w:rFonts w:ascii="KaiTi" w:hAnsi="KaiTi" w:eastAsia="KaiTi" w:cs="KaiTi"/>
                <w:sz w:val="21"/>
                <w:szCs w:val="21"/>
                <w:color w:val="707040"/>
                <w:spacing w:val="-65"/>
              </w:rPr>
              <w:t xml:space="preserve"> </w:t>
            </w:r>
            <w:r>
              <w:rPr>
                <w:rFonts w:ascii="KaiTi" w:hAnsi="KaiTi" w:eastAsia="KaiTi" w:cs="KaiTi"/>
                <w:sz w:val="21"/>
                <w:szCs w:val="21"/>
                <w:color w:val="707040"/>
              </w:rPr>
              <w:tab/>
            </w:r>
            <w:r>
              <w:rPr>
                <w:rFonts w:ascii="KaiTi" w:hAnsi="KaiTi" w:eastAsia="KaiTi" w:cs="KaiTi"/>
                <w:sz w:val="21"/>
                <w:szCs w:val="21"/>
                <w:color w:val="707040"/>
                <w:spacing w:val="-29"/>
              </w:rPr>
              <w:t xml:space="preserve"> </w:t>
            </w:r>
            <w:r>
              <w:rPr>
                <w:rFonts w:ascii="Times New Roman" w:hAnsi="Times New Roman" w:eastAsia="Times New Roman" w:cs="Times New Roman"/>
                <w:sz w:val="21"/>
                <w:szCs w:val="21"/>
                <w:color w:val="707040"/>
                <w:spacing w:val="-3"/>
              </w:rPr>
              <w:t>694</w:t>
            </w:r>
          </w:hyperlink>
        </w:p>
        <w:p>
          <w:pPr>
            <w:pStyle w:val="BodyText"/>
            <w:spacing w:line="310" w:lineRule="auto"/>
            <w:rPr/>
          </w:pPr>
          <w:r/>
        </w:p>
        <w:p>
          <w:pPr>
            <w:ind w:left="359"/>
            <w:spacing w:before="68" w:line="222" w:lineRule="auto"/>
            <w:tabs>
              <w:tab w:val="right" w:leader="dot" w:pos="13365"/>
            </w:tabs>
            <w:rPr>
              <w:rFonts w:ascii="Times New Roman" w:hAnsi="Times New Roman" w:eastAsia="Times New Roman" w:cs="Times New Roman"/>
              <w:sz w:val="21"/>
              <w:szCs w:val="21"/>
            </w:rPr>
          </w:pPr>
          <w:hyperlink w:history="true" w:anchor="bookmark740">
            <w:r>
              <w:rPr>
                <w:rFonts w:ascii="SimHei" w:hAnsi="SimHei" w:eastAsia="SimHei" w:cs="SimHei"/>
                <w:sz w:val="21"/>
                <w:szCs w:val="21"/>
                <w:spacing w:val="10"/>
              </w:rPr>
              <w:t>第五百八十六条</w:t>
            </w:r>
            <w:r>
              <w:rPr>
                <w:rFonts w:ascii="SimHei" w:hAnsi="SimHei" w:eastAsia="SimHei" w:cs="SimHei"/>
                <w:sz w:val="21"/>
                <w:szCs w:val="21"/>
                <w:spacing w:val="10"/>
              </w:rPr>
              <w:t xml:space="preserve"> </w:t>
            </w:r>
            <w:r>
              <w:rPr>
                <w:rFonts w:ascii="SimHei" w:hAnsi="SimHei" w:eastAsia="SimHei" w:cs="SimHei"/>
                <w:sz w:val="21"/>
                <w:szCs w:val="21"/>
                <w:spacing w:val="10"/>
              </w:rPr>
              <w:t>未经许可擅自配置使用大型医用设备的</w:t>
            </w:r>
            <w:r>
              <w:rPr>
                <w:rFonts w:ascii="SimHei" w:hAnsi="SimHei" w:eastAsia="SimHei" w:cs="SimHei"/>
                <w:sz w:val="21"/>
                <w:szCs w:val="21"/>
                <w:spacing w:val="-91"/>
              </w:rPr>
              <w:t xml:space="preserve"> </w:t>
            </w:r>
            <w:r>
              <w:rPr>
                <w:rFonts w:ascii="SimHei" w:hAnsi="SimHei" w:eastAsia="SimHei" w:cs="SimHei"/>
                <w:sz w:val="21"/>
                <w:szCs w:val="21"/>
              </w:rPr>
              <w:tab/>
            </w:r>
            <w:r>
              <w:rPr>
                <w:rFonts w:ascii="Times New Roman" w:hAnsi="Times New Roman" w:eastAsia="Times New Roman" w:cs="Times New Roman"/>
                <w:sz w:val="21"/>
                <w:szCs w:val="21"/>
                <w:spacing w:val="-1"/>
              </w:rPr>
              <w:t>694</w:t>
            </w:r>
          </w:hyperlink>
        </w:p>
        <w:p>
          <w:pPr>
            <w:pStyle w:val="BodyText"/>
            <w:spacing w:line="475" w:lineRule="auto"/>
            <w:rPr/>
          </w:pPr>
          <w:r/>
        </w:p>
        <w:p>
          <w:pPr>
            <w:ind w:left="359"/>
            <w:spacing w:before="69" w:line="221" w:lineRule="auto"/>
            <w:tabs>
              <w:tab w:val="right" w:leader="dot" w:pos="13395"/>
            </w:tabs>
            <w:rPr>
              <w:rFonts w:ascii="Times New Roman" w:hAnsi="Times New Roman" w:eastAsia="Times New Roman" w:cs="Times New Roman"/>
              <w:sz w:val="21"/>
              <w:szCs w:val="21"/>
            </w:rPr>
          </w:pPr>
          <w:hyperlink w:history="true" w:anchor="bookmark741">
            <w:r>
              <w:rPr>
                <w:rFonts w:ascii="SimHei" w:hAnsi="SimHei" w:eastAsia="SimHei" w:cs="SimHei"/>
                <w:sz w:val="21"/>
                <w:szCs w:val="21"/>
                <w:spacing w:val="10"/>
              </w:rPr>
              <w:t>第五百八十七条</w:t>
            </w:r>
            <w:r>
              <w:rPr>
                <w:rFonts w:ascii="SimHei" w:hAnsi="SimHei" w:eastAsia="SimHei" w:cs="SimHei"/>
                <w:sz w:val="21"/>
                <w:szCs w:val="21"/>
                <w:spacing w:val="10"/>
              </w:rPr>
              <w:t xml:space="preserve"> </w:t>
            </w:r>
            <w:r>
              <w:rPr>
                <w:rFonts w:ascii="SimHei" w:hAnsi="SimHei" w:eastAsia="SimHei" w:cs="SimHei"/>
                <w:sz w:val="21"/>
                <w:szCs w:val="21"/>
                <w:spacing w:val="10"/>
              </w:rPr>
              <w:t>提供虚假资料或者采取其他欺骗手段取得大型医用设备配置许可证的</w:t>
            </w:r>
            <w:r>
              <w:rPr>
                <w:rFonts w:ascii="SimHei" w:hAnsi="SimHei" w:eastAsia="SimHei" w:cs="SimHei"/>
                <w:sz w:val="21"/>
                <w:szCs w:val="21"/>
                <w:spacing w:val="-81"/>
              </w:rPr>
              <w:t xml:space="preserve"> </w:t>
            </w:r>
            <w:r>
              <w:rPr>
                <w:rFonts w:ascii="SimHei" w:hAnsi="SimHei" w:eastAsia="SimHei" w:cs="SimHei"/>
                <w:sz w:val="21"/>
                <w:szCs w:val="21"/>
              </w:rPr>
              <w:tab/>
            </w:r>
            <w:r>
              <w:rPr>
                <w:rFonts w:ascii="SimHei" w:hAnsi="SimHei" w:eastAsia="SimHei" w:cs="SimHei"/>
                <w:sz w:val="21"/>
                <w:szCs w:val="21"/>
                <w:spacing w:val="-39"/>
              </w:rPr>
              <w:t xml:space="preserve"> </w:t>
            </w:r>
            <w:r>
              <w:rPr>
                <w:rFonts w:ascii="Times New Roman" w:hAnsi="Times New Roman" w:eastAsia="Times New Roman" w:cs="Times New Roman"/>
                <w:sz w:val="21"/>
                <w:szCs w:val="21"/>
                <w:spacing w:val="-3"/>
              </w:rPr>
              <w:t>695</w:t>
            </w:r>
          </w:hyperlink>
        </w:p>
        <w:p>
          <w:pPr>
            <w:pStyle w:val="BodyText"/>
            <w:spacing w:line="244" w:lineRule="auto"/>
            <w:rPr/>
          </w:pPr>
          <w:r/>
        </w:p>
        <w:p>
          <w:pPr>
            <w:pStyle w:val="BodyText"/>
            <w:spacing w:line="244" w:lineRule="auto"/>
            <w:rPr/>
          </w:pPr>
          <w:r/>
        </w:p>
        <w:p>
          <w:pPr>
            <w:spacing w:before="68" w:line="213" w:lineRule="auto"/>
            <w:jc w:val="right"/>
            <w:rPr>
              <w:rFonts w:ascii="SimHei" w:hAnsi="SimHei" w:eastAsia="SimHei" w:cs="SimHei"/>
              <w:sz w:val="21"/>
              <w:szCs w:val="21"/>
            </w:rPr>
          </w:pPr>
          <w:hyperlink w:history="true" w:anchor="bookmark742">
            <w:r>
              <w:rPr>
                <w:rFonts w:ascii="SimHei" w:hAnsi="SimHei" w:eastAsia="SimHei" w:cs="SimHei"/>
                <w:sz w:val="21"/>
                <w:szCs w:val="21"/>
                <w:spacing w:val="10"/>
              </w:rPr>
              <w:t>第五百八十八条</w:t>
            </w:r>
            <w:r>
              <w:rPr>
                <w:rFonts w:ascii="SimHei" w:hAnsi="SimHei" w:eastAsia="SimHei" w:cs="SimHei"/>
                <w:sz w:val="21"/>
                <w:szCs w:val="21"/>
                <w:spacing w:val="38"/>
              </w:rPr>
              <w:t xml:space="preserve"> </w:t>
            </w:r>
            <w:r>
              <w:rPr>
                <w:rFonts w:ascii="SimHei" w:hAnsi="SimHei" w:eastAsia="SimHei" w:cs="SimHei"/>
                <w:sz w:val="21"/>
                <w:szCs w:val="21"/>
                <w:spacing w:val="10"/>
              </w:rPr>
              <w:t>医疗器械使用单位发现使用的医疗器械存在安全隐患未立即停</w:t>
            </w:r>
            <w:r>
              <w:rPr>
                <w:rFonts w:ascii="SimHei" w:hAnsi="SimHei" w:eastAsia="SimHei" w:cs="SimHei"/>
                <w:sz w:val="21"/>
                <w:szCs w:val="21"/>
                <w:spacing w:val="9"/>
              </w:rPr>
              <w:t>止使用、通知检修，或者继续使用经检修仍不能达到使用</w:t>
            </w:r>
          </w:hyperlink>
        </w:p>
        <w:p>
          <w:pPr>
            <w:pStyle w:val="BodyText"/>
            <w:spacing w:line="301" w:lineRule="auto"/>
            <w:rPr/>
          </w:pPr>
          <w:r/>
        </w:p>
        <w:p>
          <w:pPr>
            <w:ind w:left="359"/>
            <w:spacing w:before="85" w:line="380" w:lineRule="exact"/>
            <w:tabs>
              <w:tab w:val="right" w:leader="dot" w:pos="13445"/>
            </w:tabs>
            <w:rPr>
              <w:rFonts w:ascii="SimHei" w:hAnsi="SimHei" w:eastAsia="SimHei" w:cs="SimHei"/>
              <w:sz w:val="26"/>
              <w:szCs w:val="26"/>
            </w:rPr>
          </w:pPr>
          <w:hyperlink w:history="true" w:anchor="bookmark742">
            <w:r>
              <w:rPr>
                <w:rFonts w:ascii="SimHei" w:hAnsi="SimHei" w:eastAsia="SimHei" w:cs="SimHei"/>
                <w:sz w:val="21"/>
                <w:szCs w:val="21"/>
                <w:spacing w:val="11"/>
                <w:position w:val="6"/>
              </w:rPr>
              <w:t>安全标准的医疗器械的</w:t>
            </w:r>
            <w:r>
              <w:rPr>
                <w:rFonts w:ascii="SimHei" w:hAnsi="SimHei" w:eastAsia="SimHei" w:cs="SimHei"/>
                <w:sz w:val="21"/>
                <w:szCs w:val="21"/>
                <w:spacing w:val="-56"/>
                <w:position w:val="6"/>
              </w:rPr>
              <w:t xml:space="preserve"> </w:t>
            </w:r>
            <w:r>
              <w:rPr>
                <w:rFonts w:ascii="SimHei" w:hAnsi="SimHei" w:eastAsia="SimHei" w:cs="SimHei"/>
                <w:sz w:val="21"/>
                <w:szCs w:val="21"/>
                <w:position w:val="2"/>
              </w:rPr>
              <w:tab/>
            </w:r>
            <w:r>
              <w:rPr>
                <w:rFonts w:ascii="SimHei" w:hAnsi="SimHei" w:eastAsia="SimHei" w:cs="SimHei"/>
                <w:sz w:val="21"/>
                <w:szCs w:val="21"/>
                <w:spacing w:val="30"/>
                <w:position w:val="6"/>
              </w:rPr>
              <w:t xml:space="preserve"> </w:t>
            </w:r>
            <w:r>
              <w:rPr>
                <w:rFonts w:ascii="SimHei" w:hAnsi="SimHei" w:eastAsia="SimHei" w:cs="SimHei"/>
                <w:sz w:val="26"/>
                <w:szCs w:val="26"/>
                <w:spacing w:val="-8"/>
                <w:position w:val="-1"/>
              </w:rPr>
              <w:t>696</w:t>
            </w:r>
          </w:hyperlink>
        </w:p>
        <w:p>
          <w:pPr>
            <w:pStyle w:val="BodyText"/>
            <w:spacing w:line="369" w:lineRule="auto"/>
            <w:rPr/>
          </w:pPr>
          <w:r/>
        </w:p>
        <w:p>
          <w:pPr>
            <w:ind w:left="359"/>
            <w:spacing w:before="69" w:line="213" w:lineRule="auto"/>
            <w:tabs>
              <w:tab w:val="right" w:leader="dot" w:pos="13385"/>
            </w:tabs>
            <w:rPr>
              <w:rFonts w:ascii="Times New Roman" w:hAnsi="Times New Roman" w:eastAsia="Times New Roman" w:cs="Times New Roman"/>
              <w:sz w:val="21"/>
              <w:szCs w:val="21"/>
            </w:rPr>
          </w:pPr>
          <w:hyperlink w:history="true" w:anchor="bookmark743">
            <w:r>
              <w:rPr>
                <w:rFonts w:ascii="SimHei" w:hAnsi="SimHei" w:eastAsia="SimHei" w:cs="SimHei"/>
                <w:sz w:val="21"/>
                <w:szCs w:val="21"/>
                <w:spacing w:val="10"/>
              </w:rPr>
              <w:t>第五百八十九条</w:t>
            </w:r>
            <w:r>
              <w:rPr>
                <w:rFonts w:ascii="SimHei" w:hAnsi="SimHei" w:eastAsia="SimHei" w:cs="SimHei"/>
                <w:sz w:val="21"/>
                <w:szCs w:val="21"/>
                <w:spacing w:val="39"/>
              </w:rPr>
              <w:t xml:space="preserve"> </w:t>
            </w:r>
            <w:r>
              <w:rPr>
                <w:rFonts w:ascii="SimHei" w:hAnsi="SimHei" w:eastAsia="SimHei" w:cs="SimHei"/>
                <w:sz w:val="21"/>
                <w:szCs w:val="21"/>
                <w:spacing w:val="10"/>
              </w:rPr>
              <w:t>医疗器械使用单位违规使用</w:t>
            </w:r>
            <w:r>
              <w:rPr>
                <w:rFonts w:ascii="SimHei" w:hAnsi="SimHei" w:eastAsia="SimHei" w:cs="SimHei"/>
                <w:sz w:val="21"/>
                <w:szCs w:val="21"/>
                <w:spacing w:val="9"/>
              </w:rPr>
              <w:t>大型医用设备，不能保障医疗质量安全的</w:t>
            </w:r>
            <w:r>
              <w:rPr>
                <w:rFonts w:ascii="SimHei" w:hAnsi="SimHei" w:eastAsia="SimHei" w:cs="SimHei"/>
                <w:sz w:val="21"/>
                <w:szCs w:val="21"/>
                <w:spacing w:val="-92"/>
              </w:rPr>
              <w:t xml:space="preserve"> </w:t>
            </w:r>
            <w:r>
              <w:rPr>
                <w:rFonts w:ascii="SimHei" w:hAnsi="SimHei" w:eastAsia="SimHei" w:cs="SimHei"/>
                <w:sz w:val="21"/>
                <w:szCs w:val="21"/>
              </w:rPr>
              <w:tab/>
            </w:r>
            <w:r>
              <w:rPr>
                <w:rFonts w:ascii="SimHei" w:hAnsi="SimHei" w:eastAsia="SimHei" w:cs="SimHei"/>
                <w:sz w:val="21"/>
                <w:szCs w:val="21"/>
                <w:spacing w:val="-49"/>
              </w:rPr>
              <w:t xml:space="preserve"> </w:t>
            </w:r>
            <w:r>
              <w:rPr>
                <w:rFonts w:ascii="Times New Roman" w:hAnsi="Times New Roman" w:eastAsia="Times New Roman" w:cs="Times New Roman"/>
                <w:sz w:val="21"/>
                <w:szCs w:val="21"/>
                <w:spacing w:val="-3"/>
              </w:rPr>
              <w:t>698</w:t>
            </w:r>
          </w:hyperlink>
        </w:p>
      </w:sdtContent>
    </w:sdt>
    <w:p>
      <w:pPr>
        <w:pStyle w:val="BodyText"/>
        <w:spacing w:line="248" w:lineRule="auto"/>
        <w:rPr/>
      </w:pPr>
      <w:r/>
    </w:p>
    <w:p>
      <w:pPr>
        <w:pStyle w:val="BodyText"/>
        <w:spacing w:line="248"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ind w:left="5970"/>
        <w:spacing w:before="115" w:line="188"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7"/>
          <w:w w:val="93"/>
        </w:rPr>
        <w:t>—72—</w:t>
      </w:r>
    </w:p>
    <w:p>
      <w:pPr>
        <w:spacing w:line="188" w:lineRule="auto"/>
        <w:sectPr>
          <w:pgSz w:w="16830" w:h="11900"/>
          <w:pgMar w:top="1011" w:right="1410" w:bottom="400" w:left="1949" w:header="0" w:footer="0" w:gutter="0"/>
        </w:sectPr>
        <w:rPr>
          <w:rFonts w:ascii="Times New Roman" w:hAnsi="Times New Roman" w:eastAsia="Times New Roman" w:cs="Times New Roman"/>
          <w:sz w:val="40"/>
          <w:szCs w:val="40"/>
        </w:rPr>
      </w:pPr>
    </w:p>
    <w:p>
      <w:pPr>
        <w:pStyle w:val="BodyText"/>
        <w:spacing w:line="262" w:lineRule="auto"/>
        <w:rPr/>
      </w:pPr>
      <w:r/>
    </w:p>
    <w:p>
      <w:pPr>
        <w:pStyle w:val="BodyText"/>
        <w:spacing w:line="262" w:lineRule="auto"/>
        <w:rPr/>
      </w:pPr>
      <w:r/>
    </w:p>
    <w:p>
      <w:pPr>
        <w:pStyle w:val="BodyText"/>
        <w:spacing w:line="263" w:lineRule="auto"/>
        <w:rPr/>
      </w:pPr>
      <w:r/>
    </w:p>
    <w:p>
      <w:pPr>
        <w:pStyle w:val="BodyText"/>
        <w:spacing w:line="263" w:lineRule="auto"/>
        <w:rPr/>
      </w:pPr>
      <w:r/>
    </w:p>
    <w:p>
      <w:pPr>
        <w:pStyle w:val="BodyText"/>
        <w:spacing w:line="263" w:lineRule="auto"/>
        <w:rPr/>
      </w:pPr>
      <w:r/>
    </w:p>
    <w:p>
      <w:pPr>
        <w:pStyle w:val="BodyText"/>
        <w:spacing w:line="263" w:lineRule="auto"/>
        <w:rPr/>
      </w:pPr>
      <w:r/>
    </w:p>
    <w:p>
      <w:pPr>
        <w:ind w:left="5729"/>
        <w:spacing w:before="98" w:line="221" w:lineRule="auto"/>
        <w:rPr>
          <w:rFonts w:ascii="SimHei" w:hAnsi="SimHei" w:eastAsia="SimHei" w:cs="SimHei"/>
          <w:sz w:val="30"/>
          <w:szCs w:val="30"/>
        </w:rPr>
      </w:pPr>
      <w:bookmarkStart w:name="bookmark744" w:id="17"/>
      <w:bookmarkEnd w:id="17"/>
      <w:r>
        <w:rPr>
          <w:rFonts w:ascii="SimHei" w:hAnsi="SimHei" w:eastAsia="SimHei" w:cs="SimHei"/>
          <w:sz w:val="30"/>
          <w:szCs w:val="30"/>
          <w:b/>
          <w:bCs/>
          <w:spacing w:val="7"/>
        </w:rPr>
        <w:t>一</w:t>
      </w:r>
      <w:r>
        <w:rPr>
          <w:rFonts w:ascii="SimHei" w:hAnsi="SimHei" w:eastAsia="SimHei" w:cs="SimHei"/>
          <w:sz w:val="30"/>
          <w:szCs w:val="30"/>
          <w:spacing w:val="-65"/>
        </w:rPr>
        <w:t xml:space="preserve"> </w:t>
      </w:r>
      <w:r>
        <w:rPr>
          <w:rFonts w:ascii="SimHei" w:hAnsi="SimHei" w:eastAsia="SimHei" w:cs="SimHei"/>
          <w:sz w:val="30"/>
          <w:szCs w:val="30"/>
          <w:b/>
          <w:bCs/>
          <w:spacing w:val="7"/>
        </w:rPr>
        <w:t>、传染病防治类</w:t>
      </w:r>
    </w:p>
    <w:p>
      <w:pPr>
        <w:pStyle w:val="BodyText"/>
        <w:spacing w:line="290" w:lineRule="auto"/>
        <w:rPr/>
      </w:pPr>
      <w:r/>
    </w:p>
    <w:p>
      <w:pPr>
        <w:ind w:left="829"/>
        <w:spacing w:before="97" w:line="224" w:lineRule="auto"/>
        <w:rPr>
          <w:rFonts w:ascii="KaiTi" w:hAnsi="KaiTi" w:eastAsia="KaiTi" w:cs="KaiTi"/>
          <w:sz w:val="30"/>
          <w:szCs w:val="30"/>
        </w:rPr>
      </w:pPr>
      <w:r>
        <w:rPr>
          <w:rFonts w:ascii="KaiTi" w:hAnsi="KaiTi" w:eastAsia="KaiTi" w:cs="KaiTi"/>
          <w:sz w:val="30"/>
          <w:szCs w:val="30"/>
          <w:b/>
          <w:bCs/>
          <w:spacing w:val="28"/>
        </w:rPr>
        <w:t>(一)《中华人民共和国食品安全法》</w:t>
      </w:r>
    </w:p>
    <w:p>
      <w:pPr>
        <w:ind w:left="45" w:right="163" w:firstLine="654"/>
        <w:spacing w:before="84" w:line="269" w:lineRule="auto"/>
        <w:rPr>
          <w:rFonts w:ascii="FangSong" w:hAnsi="FangSong" w:eastAsia="FangSong" w:cs="FangSong"/>
          <w:sz w:val="30"/>
          <w:szCs w:val="30"/>
        </w:rPr>
      </w:pPr>
      <w:r>
        <w:rPr>
          <w:rFonts w:ascii="FangSong" w:hAnsi="FangSong" w:eastAsia="FangSong" w:cs="FangSong"/>
          <w:sz w:val="30"/>
          <w:szCs w:val="30"/>
          <w:b/>
          <w:bCs/>
          <w:spacing w:val="17"/>
        </w:rPr>
        <w:t>第一条</w:t>
      </w:r>
      <w:r>
        <w:rPr>
          <w:rFonts w:ascii="FangSong" w:hAnsi="FangSong" w:eastAsia="FangSong" w:cs="FangSong"/>
          <w:sz w:val="30"/>
          <w:szCs w:val="30"/>
          <w:spacing w:val="17"/>
        </w:rPr>
        <w:t xml:space="preserve">  </w:t>
      </w:r>
      <w:r>
        <w:rPr>
          <w:rFonts w:ascii="FangSong" w:hAnsi="FangSong" w:eastAsia="FangSong" w:cs="FangSong"/>
          <w:sz w:val="30"/>
          <w:szCs w:val="30"/>
          <w:b/>
          <w:bCs/>
          <w:spacing w:val="17"/>
        </w:rPr>
        <w:t>餐具、饮具集中消毒服务单位违反本法规定用水，使用洗涤剂、消毒剂，或者出厂的</w:t>
      </w:r>
      <w:r>
        <w:rPr>
          <w:rFonts w:ascii="FangSong" w:hAnsi="FangSong" w:eastAsia="FangSong" w:cs="FangSong"/>
          <w:sz w:val="30"/>
          <w:szCs w:val="30"/>
        </w:rPr>
        <w:t xml:space="preserve"> </w:t>
      </w:r>
      <w:r>
        <w:rPr>
          <w:rFonts w:ascii="FangSong" w:hAnsi="FangSong" w:eastAsia="FangSong" w:cs="FangSong"/>
          <w:sz w:val="30"/>
          <w:szCs w:val="30"/>
          <w:spacing w:val="18"/>
        </w:rPr>
        <w:t>餐</w:t>
      </w:r>
      <w:r>
        <w:rPr>
          <w:rFonts w:ascii="FangSong" w:hAnsi="FangSong" w:eastAsia="FangSong" w:cs="FangSong"/>
          <w:sz w:val="30"/>
          <w:szCs w:val="30"/>
          <w:b/>
          <w:bCs/>
          <w:spacing w:val="18"/>
        </w:rPr>
        <w:t>具、饮具未按规定检验合格并随附消毒合格证</w:t>
      </w:r>
      <w:r>
        <w:rPr>
          <w:rFonts w:ascii="FangSong" w:hAnsi="FangSong" w:eastAsia="FangSong" w:cs="FangSong"/>
          <w:sz w:val="30"/>
          <w:szCs w:val="30"/>
          <w:b/>
          <w:bCs/>
          <w:spacing w:val="17"/>
        </w:rPr>
        <w:t>明，或者未按规定在独立包装上标注相关内容的</w:t>
      </w:r>
    </w:p>
    <w:p>
      <w:pPr>
        <w:ind w:left="695"/>
        <w:spacing w:before="13" w:line="222" w:lineRule="auto"/>
        <w:rPr>
          <w:rFonts w:ascii="FangSong" w:hAnsi="FangSong" w:eastAsia="FangSong" w:cs="FangSong"/>
          <w:sz w:val="30"/>
          <w:szCs w:val="30"/>
        </w:rPr>
      </w:pPr>
      <w:r>
        <w:rPr>
          <w:rFonts w:ascii="FangSong" w:hAnsi="FangSong" w:eastAsia="FangSong" w:cs="FangSong"/>
          <w:sz w:val="30"/>
          <w:szCs w:val="30"/>
        </w:rPr>
        <w:t>法律依据：</w:t>
      </w:r>
    </w:p>
    <w:p>
      <w:pPr>
        <w:ind w:left="45" w:right="37" w:firstLine="649"/>
        <w:spacing w:before="74" w:line="267" w:lineRule="auto"/>
        <w:jc w:val="both"/>
        <w:rPr>
          <w:rFonts w:ascii="FangSong" w:hAnsi="FangSong" w:eastAsia="FangSong" w:cs="FangSong"/>
          <w:sz w:val="30"/>
          <w:szCs w:val="30"/>
        </w:rPr>
      </w:pPr>
      <w:r>
        <w:rPr>
          <w:rFonts w:ascii="FangSong" w:hAnsi="FangSong" w:eastAsia="FangSong" w:cs="FangSong"/>
          <w:sz w:val="30"/>
          <w:szCs w:val="30"/>
          <w:spacing w:val="15"/>
        </w:rPr>
        <w:t>第一百二十六条第二款</w:t>
      </w:r>
      <w:r>
        <w:rPr>
          <w:rFonts w:ascii="FangSong" w:hAnsi="FangSong" w:eastAsia="FangSong" w:cs="FangSong"/>
          <w:sz w:val="30"/>
          <w:szCs w:val="30"/>
          <w:spacing w:val="15"/>
        </w:rPr>
        <w:t xml:space="preserve">  </w:t>
      </w:r>
      <w:r>
        <w:rPr>
          <w:rFonts w:ascii="FangSong" w:hAnsi="FangSong" w:eastAsia="FangSong" w:cs="FangSong"/>
          <w:sz w:val="30"/>
          <w:szCs w:val="30"/>
          <w:spacing w:val="15"/>
        </w:rPr>
        <w:t>违反本法规定，有下列情形之一的，由县级以上人民政府食品药品监督</w:t>
      </w:r>
      <w:r>
        <w:rPr>
          <w:rFonts w:ascii="FangSong" w:hAnsi="FangSong" w:eastAsia="FangSong" w:cs="FangSong"/>
          <w:sz w:val="30"/>
          <w:szCs w:val="30"/>
          <w:spacing w:val="14"/>
        </w:rPr>
        <w:t xml:space="preserve"> </w:t>
      </w:r>
      <w:r>
        <w:rPr>
          <w:rFonts w:ascii="FangSong" w:hAnsi="FangSong" w:eastAsia="FangSong" w:cs="FangSong"/>
          <w:sz w:val="30"/>
          <w:szCs w:val="30"/>
          <w:spacing w:val="16"/>
        </w:rPr>
        <w:t>管理部门责令改正，给予警告；拒不改正的，处五千元以上五万元以下罚款；情节严重的，责令停产</w:t>
      </w:r>
      <w:r>
        <w:rPr>
          <w:rFonts w:ascii="FangSong" w:hAnsi="FangSong" w:eastAsia="FangSong" w:cs="FangSong"/>
          <w:sz w:val="30"/>
          <w:szCs w:val="30"/>
          <w:spacing w:val="16"/>
        </w:rPr>
        <w:t xml:space="preserve"> </w:t>
      </w:r>
      <w:r>
        <w:rPr>
          <w:rFonts w:ascii="FangSong" w:hAnsi="FangSong" w:eastAsia="FangSong" w:cs="FangSong"/>
          <w:sz w:val="30"/>
          <w:szCs w:val="30"/>
          <w:spacing w:val="12"/>
        </w:rPr>
        <w:t>停业，直至吊销许可证：</w:t>
      </w:r>
    </w:p>
    <w:p>
      <w:pPr>
        <w:ind w:left="45" w:firstLine="649"/>
        <w:spacing w:before="5" w:line="270" w:lineRule="auto"/>
        <w:jc w:val="both"/>
        <w:rPr>
          <w:rFonts w:ascii="FangSong" w:hAnsi="FangSong" w:eastAsia="FangSong" w:cs="FangSong"/>
          <w:sz w:val="30"/>
          <w:szCs w:val="30"/>
        </w:rPr>
      </w:pPr>
      <w:r>
        <w:rPr>
          <w:rFonts w:ascii="FangSong" w:hAnsi="FangSong" w:eastAsia="FangSong" w:cs="FangSong"/>
          <w:sz w:val="30"/>
          <w:szCs w:val="30"/>
          <w:spacing w:val="16"/>
        </w:rPr>
        <w:t>餐具、饮具集中消毒服务单位违反本法规定用水，使用洗涤剂、消</w:t>
      </w:r>
      <w:r>
        <w:rPr>
          <w:rFonts w:ascii="FangSong" w:hAnsi="FangSong" w:eastAsia="FangSong" w:cs="FangSong"/>
          <w:sz w:val="30"/>
          <w:szCs w:val="30"/>
          <w:spacing w:val="15"/>
        </w:rPr>
        <w:t>毒剂，或者出厂的餐具、饮具</w:t>
      </w:r>
      <w:r>
        <w:rPr>
          <w:rFonts w:ascii="FangSong" w:hAnsi="FangSong" w:eastAsia="FangSong" w:cs="FangSong"/>
          <w:sz w:val="30"/>
          <w:szCs w:val="30"/>
        </w:rPr>
        <w:t xml:space="preserve"> </w:t>
      </w:r>
      <w:r>
        <w:rPr>
          <w:rFonts w:ascii="FangSong" w:hAnsi="FangSong" w:eastAsia="FangSong" w:cs="FangSong"/>
          <w:sz w:val="30"/>
          <w:szCs w:val="30"/>
          <w:spacing w:val="17"/>
        </w:rPr>
        <w:t>未按规定检验合格并随附消毒合格证明，或者未按规定在独立包装上标注相关内容的，由县级以上人</w:t>
      </w:r>
      <w:r>
        <w:rPr>
          <w:rFonts w:ascii="FangSong" w:hAnsi="FangSong" w:eastAsia="FangSong" w:cs="FangSong"/>
          <w:sz w:val="30"/>
          <w:szCs w:val="30"/>
          <w:spacing w:val="9"/>
        </w:rPr>
        <w:t xml:space="preserve"> </w:t>
      </w:r>
      <w:r>
        <w:rPr>
          <w:rFonts w:ascii="FangSong" w:hAnsi="FangSong" w:eastAsia="FangSong" w:cs="FangSong"/>
          <w:sz w:val="30"/>
          <w:szCs w:val="30"/>
          <w:spacing w:val="16"/>
        </w:rPr>
        <w:t>民政府卫生行政部门依照前款规定给予处罚。</w:t>
      </w:r>
    </w:p>
    <w:p>
      <w:pPr>
        <w:ind w:left="6459"/>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4" w:lineRule="auto"/>
        <w:rPr>
          <w:rFonts w:ascii="Arial"/>
          <w:sz w:val="2"/>
        </w:rPr>
      </w:pPr>
      <w:r>
        <w:rPr>
          <w:rFonts w:ascii="Arial"/>
          <w:sz w:val="2"/>
        </w:rPr>
      </w:r>
    </w:p>
    <w:tbl>
      <w:tblPr>
        <w:tblStyle w:val="TableNormal"/>
        <w:tblW w:w="138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83"/>
        <w:gridCol w:w="7455"/>
        <w:gridCol w:w="3572"/>
      </w:tblGrid>
      <w:tr>
        <w:trPr>
          <w:trHeight w:val="460" w:hRule="atLeast"/>
        </w:trPr>
        <w:tc>
          <w:tcPr>
            <w:tcW w:w="2783" w:type="dxa"/>
            <w:vAlign w:val="top"/>
          </w:tcPr>
          <w:p>
            <w:pPr>
              <w:ind w:left="848"/>
              <w:spacing w:before="103" w:line="220" w:lineRule="auto"/>
              <w:rPr>
                <w:rFonts w:ascii="SimSun" w:hAnsi="SimSun" w:eastAsia="SimSun" w:cs="SimSun"/>
                <w:sz w:val="27"/>
                <w:szCs w:val="27"/>
              </w:rPr>
            </w:pPr>
            <w:r>
              <w:rPr>
                <w:rFonts w:ascii="SimSun" w:hAnsi="SimSun" w:eastAsia="SimSun" w:cs="SimSun"/>
                <w:sz w:val="27"/>
                <w:szCs w:val="27"/>
                <w:b/>
                <w:bCs/>
                <w:spacing w:val="-5"/>
              </w:rPr>
              <w:t>违法程度</w:t>
            </w:r>
          </w:p>
        </w:tc>
        <w:tc>
          <w:tcPr>
            <w:tcW w:w="7455" w:type="dxa"/>
            <w:vAlign w:val="top"/>
          </w:tcPr>
          <w:p>
            <w:pPr>
              <w:ind w:left="3165"/>
              <w:spacing w:before="103" w:line="220" w:lineRule="auto"/>
              <w:rPr>
                <w:rFonts w:ascii="SimSun" w:hAnsi="SimSun" w:eastAsia="SimSun" w:cs="SimSun"/>
                <w:sz w:val="27"/>
                <w:szCs w:val="27"/>
              </w:rPr>
            </w:pPr>
            <w:r>
              <w:rPr>
                <w:rFonts w:ascii="SimSun" w:hAnsi="SimSun" w:eastAsia="SimSun" w:cs="SimSun"/>
                <w:sz w:val="27"/>
                <w:szCs w:val="27"/>
                <w:b/>
                <w:bCs/>
                <w:spacing w:val="-6"/>
              </w:rPr>
              <w:t>情节后果</w:t>
            </w:r>
          </w:p>
        </w:tc>
        <w:tc>
          <w:tcPr>
            <w:tcW w:w="3572" w:type="dxa"/>
            <w:vAlign w:val="top"/>
          </w:tcPr>
          <w:p>
            <w:pPr>
              <w:ind w:left="1240"/>
              <w:spacing w:before="99" w:line="218" w:lineRule="auto"/>
              <w:rPr>
                <w:rFonts w:ascii="SimSun" w:hAnsi="SimSun" w:eastAsia="SimSun" w:cs="SimSun"/>
                <w:sz w:val="27"/>
                <w:szCs w:val="27"/>
              </w:rPr>
            </w:pPr>
            <w:r>
              <w:rPr>
                <w:rFonts w:ascii="SimSun" w:hAnsi="SimSun" w:eastAsia="SimSun" w:cs="SimSun"/>
                <w:sz w:val="27"/>
                <w:szCs w:val="27"/>
                <w:b/>
                <w:bCs/>
                <w:spacing w:val="-6"/>
              </w:rPr>
              <w:t>裁量幅度</w:t>
            </w:r>
          </w:p>
        </w:tc>
      </w:tr>
      <w:tr>
        <w:trPr>
          <w:trHeight w:val="430" w:hRule="atLeast"/>
        </w:trPr>
        <w:tc>
          <w:tcPr>
            <w:tcW w:w="2783" w:type="dxa"/>
            <w:vAlign w:val="top"/>
          </w:tcPr>
          <w:p>
            <w:pPr>
              <w:ind w:left="1118"/>
              <w:spacing w:before="142" w:line="190" w:lineRule="auto"/>
              <w:rPr>
                <w:rFonts w:ascii="SimSun" w:hAnsi="SimSun" w:eastAsia="SimSun" w:cs="SimSun"/>
                <w:sz w:val="27"/>
                <w:szCs w:val="27"/>
              </w:rPr>
            </w:pPr>
            <w:r>
              <w:rPr>
                <w:rFonts w:ascii="SimSun" w:hAnsi="SimSun" w:eastAsia="SimSun" w:cs="SimSun"/>
                <w:sz w:val="27"/>
                <w:szCs w:val="27"/>
                <w:b/>
                <w:bCs/>
                <w:spacing w:val="-6"/>
              </w:rPr>
              <w:t>较轻</w:t>
            </w:r>
          </w:p>
        </w:tc>
        <w:tc>
          <w:tcPr>
            <w:tcW w:w="7455" w:type="dxa"/>
            <w:vAlign w:val="top"/>
          </w:tcPr>
          <w:p>
            <w:pPr>
              <w:ind w:left="116"/>
              <w:spacing w:before="142" w:line="190" w:lineRule="auto"/>
              <w:rPr>
                <w:rFonts w:ascii="SimSun" w:hAnsi="SimSun" w:eastAsia="SimSun" w:cs="SimSun"/>
                <w:sz w:val="27"/>
                <w:szCs w:val="27"/>
              </w:rPr>
            </w:pPr>
            <w:r>
              <w:rPr>
                <w:rFonts w:ascii="SimSun" w:hAnsi="SimSun" w:eastAsia="SimSun" w:cs="SimSun"/>
                <w:sz w:val="27"/>
                <w:szCs w:val="27"/>
                <w:b/>
                <w:bCs/>
                <w:spacing w:val="-5"/>
              </w:rPr>
              <w:t>首次发现违法行为。</w:t>
            </w:r>
          </w:p>
        </w:tc>
        <w:tc>
          <w:tcPr>
            <w:tcW w:w="3572" w:type="dxa"/>
            <w:vAlign w:val="top"/>
          </w:tcPr>
          <w:p>
            <w:pPr>
              <w:ind w:left="100"/>
              <w:spacing w:before="140" w:line="191" w:lineRule="auto"/>
              <w:rPr>
                <w:rFonts w:ascii="SimSun" w:hAnsi="SimSun" w:eastAsia="SimSun" w:cs="SimSun"/>
                <w:sz w:val="27"/>
                <w:szCs w:val="27"/>
              </w:rPr>
            </w:pPr>
            <w:r>
              <w:rPr>
                <w:rFonts w:ascii="SimSun" w:hAnsi="SimSun" w:eastAsia="SimSun" w:cs="SimSun"/>
                <w:sz w:val="27"/>
                <w:szCs w:val="27"/>
                <w:b/>
                <w:bCs/>
                <w:spacing w:val="-4"/>
              </w:rPr>
              <w:t>给予警告。</w:t>
            </w:r>
          </w:p>
        </w:tc>
      </w:tr>
    </w:tbl>
    <w:p>
      <w:pPr>
        <w:pStyle w:val="BodyText"/>
        <w:rPr/>
      </w:pPr>
      <w:r/>
    </w:p>
    <w:p>
      <w:pPr>
        <w:sectPr>
          <w:footerReference w:type="default" r:id="rId71"/>
          <w:pgSz w:w="16830" w:h="11900"/>
          <w:pgMar w:top="1011" w:right="1431" w:bottom="1205" w:left="1394" w:header="0" w:footer="699" w:gutter="0"/>
        </w:sectPr>
        <w:rPr/>
      </w:pPr>
    </w:p>
    <w:p>
      <w:pPr>
        <w:spacing w:before="13"/>
        <w:rPr/>
      </w:pPr>
      <w:r/>
    </w:p>
    <w:p>
      <w:pPr>
        <w:spacing w:before="13"/>
        <w:rPr/>
      </w:pPr>
      <w:r/>
    </w:p>
    <w:p>
      <w:pPr>
        <w:spacing w:before="13"/>
        <w:rPr/>
      </w:pPr>
      <w:r/>
    </w:p>
    <w:tbl>
      <w:tblPr>
        <w:tblStyle w:val="TableNormal"/>
        <w:tblW w:w="137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73"/>
        <w:gridCol w:w="7424"/>
        <w:gridCol w:w="3592"/>
      </w:tblGrid>
      <w:tr>
        <w:trPr>
          <w:trHeight w:val="1123" w:hRule="atLeast"/>
        </w:trPr>
        <w:tc>
          <w:tcPr>
            <w:tcW w:w="2773"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138"/>
              <w:spacing w:before="78" w:line="221" w:lineRule="auto"/>
              <w:rPr/>
            </w:pPr>
            <w:bookmarkStart w:name="bookmark745" w:id="18"/>
            <w:bookmarkEnd w:id="18"/>
            <w:r>
              <w:rPr>
                <w:b/>
                <w:bCs/>
                <w:spacing w:val="-10"/>
              </w:rPr>
              <w:t>一般</w:t>
            </w:r>
          </w:p>
        </w:tc>
        <w:tc>
          <w:tcPr>
            <w:tcW w:w="7424" w:type="dxa"/>
            <w:vAlign w:val="top"/>
          </w:tcPr>
          <w:p>
            <w:pPr>
              <w:pStyle w:val="TableText"/>
              <w:ind w:left="111" w:right="106" w:firstLine="100"/>
              <w:spacing w:before="273" w:line="323" w:lineRule="auto"/>
              <w:rPr/>
            </w:pPr>
            <w:r>
              <w:rPr/>
              <w:t>(1)责令改正后，拒不改正，用水，使用洗涤剂、消毒剂其中一项指</w:t>
            </w:r>
            <w:r>
              <w:rPr>
                <w:spacing w:val="14"/>
              </w:rPr>
              <w:t xml:space="preserve"> </w:t>
            </w:r>
            <w:r>
              <w:rPr>
                <w:spacing w:val="4"/>
              </w:rPr>
              <w:t>标或内容不符合食品安全国家标准和其他国家标准或卫生规范；</w:t>
            </w:r>
          </w:p>
        </w:tc>
        <w:tc>
          <w:tcPr>
            <w:tcW w:w="3592" w:type="dxa"/>
            <w:vAlign w:val="top"/>
          </w:tcPr>
          <w:p>
            <w:pPr>
              <w:spacing w:line="365" w:lineRule="auto"/>
              <w:rPr>
                <w:rFonts w:ascii="Arial"/>
                <w:sz w:val="21"/>
              </w:rPr>
            </w:pPr>
            <w:r/>
          </w:p>
          <w:p>
            <w:pPr>
              <w:pStyle w:val="TableText"/>
              <w:spacing w:before="78" w:line="220" w:lineRule="auto"/>
              <w:jc w:val="right"/>
              <w:rPr/>
            </w:pPr>
            <w:r>
              <w:rPr>
                <w:spacing w:val="8"/>
              </w:rPr>
              <w:t>处五千元以上一万元以下罚款；</w:t>
            </w:r>
          </w:p>
        </w:tc>
      </w:tr>
      <w:tr>
        <w:trPr>
          <w:trHeight w:val="908" w:hRule="atLeast"/>
        </w:trPr>
        <w:tc>
          <w:tcPr>
            <w:tcW w:w="2773" w:type="dxa"/>
            <w:vAlign w:val="top"/>
            <w:vMerge w:val="continue"/>
            <w:tcBorders>
              <w:top w:val="nil"/>
              <w:bottom w:val="nil"/>
            </w:tcBorders>
          </w:tcPr>
          <w:p>
            <w:pPr>
              <w:rPr>
                <w:rFonts w:ascii="Arial"/>
                <w:sz w:val="21"/>
              </w:rPr>
            </w:pPr>
            <w:r/>
          </w:p>
        </w:tc>
        <w:tc>
          <w:tcPr>
            <w:tcW w:w="7424" w:type="dxa"/>
            <w:vAlign w:val="top"/>
          </w:tcPr>
          <w:p>
            <w:pPr>
              <w:pStyle w:val="TableText"/>
              <w:ind w:left="111" w:right="106" w:firstLine="100"/>
              <w:spacing w:before="151" w:line="287" w:lineRule="auto"/>
              <w:rPr/>
            </w:pPr>
            <w:r>
              <w:rPr/>
              <w:t>(2)责令改正后，拒不改正，用水，使用洗涤剂、消毒剂其中二项指</w:t>
            </w:r>
            <w:r>
              <w:rPr>
                <w:spacing w:val="14"/>
              </w:rPr>
              <w:t xml:space="preserve"> </w:t>
            </w:r>
            <w:r>
              <w:rPr>
                <w:spacing w:val="4"/>
              </w:rPr>
              <w:t>标或内容不符合食品安全国家标准和其他国家标准或卫生规范；</w:t>
            </w:r>
          </w:p>
        </w:tc>
        <w:tc>
          <w:tcPr>
            <w:tcW w:w="3592" w:type="dxa"/>
            <w:vAlign w:val="top"/>
          </w:tcPr>
          <w:p>
            <w:pPr>
              <w:spacing w:line="263" w:lineRule="auto"/>
              <w:rPr>
                <w:rFonts w:ascii="Arial"/>
                <w:sz w:val="21"/>
              </w:rPr>
            </w:pPr>
            <w:r/>
          </w:p>
          <w:p>
            <w:pPr>
              <w:pStyle w:val="TableText"/>
              <w:spacing w:before="78" w:line="220" w:lineRule="auto"/>
              <w:jc w:val="right"/>
              <w:rPr/>
            </w:pPr>
            <w:r>
              <w:rPr>
                <w:spacing w:val="8"/>
              </w:rPr>
              <w:t>处一万元以上三万元以下罚款；</w:t>
            </w:r>
          </w:p>
        </w:tc>
      </w:tr>
      <w:tr>
        <w:trPr>
          <w:trHeight w:val="1008" w:hRule="atLeast"/>
        </w:trPr>
        <w:tc>
          <w:tcPr>
            <w:tcW w:w="2773" w:type="dxa"/>
            <w:vAlign w:val="top"/>
            <w:vMerge w:val="continue"/>
            <w:tcBorders>
              <w:top w:val="nil"/>
              <w:bottom w:val="nil"/>
            </w:tcBorders>
          </w:tcPr>
          <w:p>
            <w:pPr>
              <w:rPr>
                <w:rFonts w:ascii="Arial"/>
                <w:sz w:val="21"/>
              </w:rPr>
            </w:pPr>
            <w:r/>
          </w:p>
        </w:tc>
        <w:tc>
          <w:tcPr>
            <w:tcW w:w="7424" w:type="dxa"/>
            <w:vAlign w:val="top"/>
          </w:tcPr>
          <w:p>
            <w:pPr>
              <w:pStyle w:val="TableText"/>
              <w:ind w:left="111" w:right="106" w:firstLine="100"/>
              <w:spacing w:before="191" w:line="310" w:lineRule="auto"/>
              <w:rPr/>
            </w:pPr>
            <w:r>
              <w:rPr/>
              <w:t>(3)责令改正后，拒不改正，用水，使用洗涤剂、消毒剂三项以上指</w:t>
            </w:r>
            <w:r>
              <w:rPr>
                <w:spacing w:val="14"/>
              </w:rPr>
              <w:t xml:space="preserve"> </w:t>
            </w:r>
            <w:r>
              <w:rPr>
                <w:spacing w:val="4"/>
              </w:rPr>
              <w:t>标或内容都不符合食品安全国家标准和其他国家标准或卫生规范；</w:t>
            </w:r>
          </w:p>
        </w:tc>
        <w:tc>
          <w:tcPr>
            <w:tcW w:w="3592" w:type="dxa"/>
            <w:vAlign w:val="top"/>
          </w:tcPr>
          <w:p>
            <w:pPr>
              <w:spacing w:line="314" w:lineRule="auto"/>
              <w:rPr>
                <w:rFonts w:ascii="Arial"/>
                <w:sz w:val="21"/>
              </w:rPr>
            </w:pPr>
            <w:r/>
          </w:p>
          <w:p>
            <w:pPr>
              <w:pStyle w:val="TableText"/>
              <w:spacing w:before="78" w:line="220" w:lineRule="auto"/>
              <w:jc w:val="right"/>
              <w:rPr/>
            </w:pPr>
            <w:r>
              <w:rPr>
                <w:spacing w:val="8"/>
              </w:rPr>
              <w:t>处三万元以上五万元以下罚款；</w:t>
            </w:r>
          </w:p>
        </w:tc>
      </w:tr>
      <w:tr>
        <w:trPr>
          <w:trHeight w:val="928" w:hRule="atLeast"/>
        </w:trPr>
        <w:tc>
          <w:tcPr>
            <w:tcW w:w="2773" w:type="dxa"/>
            <w:vAlign w:val="top"/>
            <w:vMerge w:val="continue"/>
            <w:tcBorders>
              <w:top w:val="nil"/>
              <w:bottom w:val="nil"/>
            </w:tcBorders>
          </w:tcPr>
          <w:p>
            <w:pPr>
              <w:rPr>
                <w:rFonts w:ascii="Arial"/>
                <w:sz w:val="21"/>
              </w:rPr>
            </w:pPr>
            <w:r/>
          </w:p>
        </w:tc>
        <w:tc>
          <w:tcPr>
            <w:tcW w:w="7424" w:type="dxa"/>
            <w:vAlign w:val="top"/>
          </w:tcPr>
          <w:p>
            <w:pPr>
              <w:pStyle w:val="TableText"/>
              <w:ind w:left="111" w:right="111" w:firstLine="100"/>
              <w:spacing w:before="156" w:line="293" w:lineRule="auto"/>
              <w:rPr/>
            </w:pPr>
            <w:r>
              <w:rPr/>
              <w:t>(4)责令改正后，拒不改正，出厂的餐具、饮具未按规定检验合格并</w:t>
            </w:r>
            <w:r>
              <w:rPr>
                <w:spacing w:val="9"/>
              </w:rPr>
              <w:t xml:space="preserve"> </w:t>
            </w:r>
            <w:r>
              <w:rPr>
                <w:spacing w:val="13"/>
              </w:rPr>
              <w:t>随附消毒合格证明；</w:t>
            </w:r>
          </w:p>
        </w:tc>
        <w:tc>
          <w:tcPr>
            <w:tcW w:w="3592" w:type="dxa"/>
            <w:vAlign w:val="top"/>
          </w:tcPr>
          <w:p>
            <w:pPr>
              <w:spacing w:line="276" w:lineRule="auto"/>
              <w:rPr>
                <w:rFonts w:ascii="Arial"/>
                <w:sz w:val="21"/>
              </w:rPr>
            </w:pPr>
            <w:r/>
          </w:p>
          <w:p>
            <w:pPr>
              <w:pStyle w:val="TableText"/>
              <w:spacing w:before="78" w:line="220" w:lineRule="auto"/>
              <w:jc w:val="right"/>
              <w:rPr/>
            </w:pPr>
            <w:r>
              <w:rPr>
                <w:spacing w:val="8"/>
              </w:rPr>
              <w:t>处一万元以上二万元以下罚款；</w:t>
            </w:r>
          </w:p>
        </w:tc>
      </w:tr>
      <w:tr>
        <w:trPr>
          <w:trHeight w:val="769" w:hRule="atLeast"/>
        </w:trPr>
        <w:tc>
          <w:tcPr>
            <w:tcW w:w="2773" w:type="dxa"/>
            <w:vAlign w:val="top"/>
            <w:vMerge w:val="continue"/>
            <w:tcBorders>
              <w:top w:val="nil"/>
            </w:tcBorders>
          </w:tcPr>
          <w:p>
            <w:pPr>
              <w:rPr>
                <w:rFonts w:ascii="Arial"/>
                <w:sz w:val="21"/>
              </w:rPr>
            </w:pPr>
            <w:r/>
          </w:p>
        </w:tc>
        <w:tc>
          <w:tcPr>
            <w:tcW w:w="7424" w:type="dxa"/>
            <w:vAlign w:val="top"/>
          </w:tcPr>
          <w:p>
            <w:pPr>
              <w:pStyle w:val="TableText"/>
              <w:ind w:left="111"/>
              <w:spacing w:before="276" w:line="219" w:lineRule="auto"/>
              <w:rPr/>
            </w:pPr>
            <w:r>
              <w:rPr/>
              <w:t>(5)责令改正后，拒不改正，未按规定在独立包装上标注相关内</w:t>
            </w:r>
            <w:r>
              <w:rPr>
                <w:spacing w:val="-1"/>
              </w:rPr>
              <w:t>容。</w:t>
            </w:r>
          </w:p>
        </w:tc>
        <w:tc>
          <w:tcPr>
            <w:tcW w:w="3592" w:type="dxa"/>
            <w:vAlign w:val="top"/>
          </w:tcPr>
          <w:p>
            <w:pPr>
              <w:pStyle w:val="TableText"/>
              <w:ind w:left="167"/>
              <w:spacing w:before="278" w:line="220" w:lineRule="auto"/>
              <w:rPr/>
            </w:pPr>
            <w:r>
              <w:rPr/>
              <w:t>处五千元以上一万元以下罚款。</w:t>
            </w:r>
          </w:p>
        </w:tc>
      </w:tr>
      <w:tr>
        <w:trPr>
          <w:trHeight w:val="873" w:hRule="atLeast"/>
        </w:trPr>
        <w:tc>
          <w:tcPr>
            <w:tcW w:w="2773" w:type="dxa"/>
            <w:vAlign w:val="top"/>
          </w:tcPr>
          <w:p>
            <w:pPr>
              <w:spacing w:line="306" w:lineRule="auto"/>
              <w:rPr>
                <w:rFonts w:ascii="Arial"/>
                <w:sz w:val="21"/>
              </w:rPr>
            </w:pPr>
            <w:r/>
          </w:p>
          <w:p>
            <w:pPr>
              <w:pStyle w:val="TableText"/>
              <w:ind w:left="1138"/>
              <w:spacing w:before="78" w:line="220" w:lineRule="auto"/>
              <w:rPr/>
            </w:pPr>
            <w:r>
              <w:rPr>
                <w:b/>
                <w:bCs/>
                <w:spacing w:val="-6"/>
              </w:rPr>
              <w:t>严重</w:t>
            </w:r>
          </w:p>
        </w:tc>
        <w:tc>
          <w:tcPr>
            <w:tcW w:w="7424" w:type="dxa"/>
            <w:vAlign w:val="top"/>
          </w:tcPr>
          <w:p>
            <w:pPr>
              <w:spacing w:line="307" w:lineRule="auto"/>
              <w:rPr>
                <w:rFonts w:ascii="Arial"/>
                <w:sz w:val="21"/>
              </w:rPr>
            </w:pPr>
            <w:r/>
          </w:p>
          <w:p>
            <w:pPr>
              <w:pStyle w:val="TableText"/>
              <w:ind w:left="111"/>
              <w:spacing w:before="78" w:line="219" w:lineRule="auto"/>
              <w:rPr/>
            </w:pPr>
            <w:r>
              <w:rPr/>
              <w:t>依照《中华人民共和国食品安全法实施条例》第六十七条规定执行。</w:t>
            </w:r>
          </w:p>
        </w:tc>
        <w:tc>
          <w:tcPr>
            <w:tcW w:w="3592" w:type="dxa"/>
            <w:vAlign w:val="top"/>
          </w:tcPr>
          <w:p>
            <w:pPr>
              <w:pStyle w:val="TableText"/>
              <w:ind w:left="47" w:firstLine="117"/>
              <w:spacing w:before="168" w:line="267" w:lineRule="auto"/>
              <w:rPr/>
            </w:pPr>
            <w:r>
              <w:rPr/>
              <w:t>处四万元以上五万元以下罚款， </w:t>
            </w:r>
            <w:r>
              <w:rPr>
                <w:spacing w:val="-5"/>
              </w:rPr>
              <w:t>责令停产停业，直至吊销许可证。</w:t>
            </w:r>
          </w:p>
        </w:tc>
      </w:tr>
    </w:tbl>
    <w:p>
      <w:pPr>
        <w:pStyle w:val="BodyText"/>
        <w:spacing w:line="453" w:lineRule="auto"/>
        <w:rPr/>
      </w:pPr>
      <w:r/>
    </w:p>
    <w:p>
      <w:pPr>
        <w:ind w:left="29" w:firstLine="649"/>
        <w:spacing w:before="100" w:line="262" w:lineRule="auto"/>
        <w:rPr>
          <w:rFonts w:ascii="FangSong" w:hAnsi="FangSong" w:eastAsia="FangSong" w:cs="FangSong"/>
          <w:sz w:val="31"/>
          <w:szCs w:val="31"/>
        </w:rPr>
      </w:pPr>
      <w:r>
        <w:rPr>
          <w:rFonts w:ascii="FangSong" w:hAnsi="FangSong" w:eastAsia="FangSong" w:cs="FangSong"/>
          <w:sz w:val="31"/>
          <w:szCs w:val="31"/>
          <w:b/>
          <w:bCs/>
          <w:spacing w:val="10"/>
        </w:rPr>
        <w:t>第二条餐具、饮具集中消毒服务单位拒绝、阻挠、干涉卫生健康行政</w:t>
      </w:r>
      <w:r>
        <w:rPr>
          <w:rFonts w:ascii="FangSong" w:hAnsi="FangSong" w:eastAsia="FangSong" w:cs="FangSong"/>
          <w:sz w:val="31"/>
          <w:szCs w:val="31"/>
          <w:b/>
          <w:bCs/>
          <w:spacing w:val="9"/>
        </w:rPr>
        <w:t>部门及其工作人员依法开</w:t>
      </w:r>
      <w:r>
        <w:rPr>
          <w:rFonts w:ascii="FangSong" w:hAnsi="FangSong" w:eastAsia="FangSong" w:cs="FangSong"/>
          <w:sz w:val="31"/>
          <w:szCs w:val="31"/>
        </w:rPr>
        <w:t xml:space="preserve"> </w:t>
      </w:r>
      <w:r>
        <w:rPr>
          <w:rFonts w:ascii="FangSong" w:hAnsi="FangSong" w:eastAsia="FangSong" w:cs="FangSong"/>
          <w:sz w:val="31"/>
          <w:szCs w:val="31"/>
          <w:b/>
          <w:bCs/>
          <w:spacing w:val="3"/>
        </w:rPr>
        <w:t>展监督检查的</w:t>
      </w:r>
    </w:p>
    <w:p>
      <w:pPr>
        <w:ind w:left="644"/>
        <w:spacing w:before="47"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spacing w:line="222" w:lineRule="auto"/>
        <w:sectPr>
          <w:footerReference w:type="default" r:id="rId72"/>
          <w:pgSz w:w="16830" w:h="11900"/>
          <w:pgMar w:top="1011" w:right="1481" w:bottom="1195" w:left="1425" w:header="0" w:footer="689" w:gutter="0"/>
        </w:sectPr>
        <w:rPr>
          <w:rFonts w:ascii="FangSong" w:hAnsi="FangSong" w:eastAsia="FangSong" w:cs="FangSong"/>
          <w:sz w:val="27"/>
          <w:szCs w:val="27"/>
        </w:rPr>
      </w:pPr>
    </w:p>
    <w:p>
      <w:pPr>
        <w:pStyle w:val="BodyText"/>
        <w:spacing w:line="257" w:lineRule="auto"/>
        <w:rPr/>
      </w:pPr>
      <w:r/>
    </w:p>
    <w:p>
      <w:pPr>
        <w:pStyle w:val="BodyText"/>
        <w:spacing w:line="258" w:lineRule="auto"/>
        <w:rPr/>
      </w:pPr>
      <w:r/>
    </w:p>
    <w:p>
      <w:pPr>
        <w:pStyle w:val="BodyText"/>
        <w:spacing w:line="258" w:lineRule="auto"/>
        <w:rPr/>
      </w:pPr>
      <w:r/>
    </w:p>
    <w:p>
      <w:pPr>
        <w:ind w:left="14" w:right="120" w:firstLine="650"/>
        <w:spacing w:before="98" w:line="271" w:lineRule="auto"/>
        <w:jc w:val="both"/>
        <w:rPr>
          <w:rFonts w:ascii="FangSong" w:hAnsi="FangSong" w:eastAsia="FangSong" w:cs="FangSong"/>
          <w:sz w:val="30"/>
          <w:szCs w:val="30"/>
        </w:rPr>
      </w:pPr>
      <w:bookmarkStart w:name="bookmark746" w:id="19"/>
      <w:bookmarkEnd w:id="19"/>
      <w:r>
        <w:rPr>
          <w:rFonts w:ascii="FangSong" w:hAnsi="FangSong" w:eastAsia="FangSong" w:cs="FangSong"/>
          <w:sz w:val="30"/>
          <w:szCs w:val="30"/>
          <w:spacing w:val="16"/>
        </w:rPr>
        <w:t>《中华人民共和国食品安全法》第一百三十三条第一款</w:t>
      </w:r>
      <w:r>
        <w:rPr>
          <w:rFonts w:ascii="FangSong" w:hAnsi="FangSong" w:eastAsia="FangSong" w:cs="FangSong"/>
          <w:sz w:val="30"/>
          <w:szCs w:val="30"/>
          <w:spacing w:val="16"/>
        </w:rPr>
        <w:t xml:space="preserve">  </w:t>
      </w:r>
      <w:r>
        <w:rPr>
          <w:rFonts w:ascii="FangSong" w:hAnsi="FangSong" w:eastAsia="FangSong" w:cs="FangSong"/>
          <w:sz w:val="30"/>
          <w:szCs w:val="30"/>
          <w:spacing w:val="16"/>
        </w:rPr>
        <w:t>违反本法规定，拒绝、阻</w:t>
      </w:r>
      <w:r>
        <w:rPr>
          <w:rFonts w:ascii="FangSong" w:hAnsi="FangSong" w:eastAsia="FangSong" w:cs="FangSong"/>
          <w:sz w:val="30"/>
          <w:szCs w:val="30"/>
          <w:spacing w:val="15"/>
        </w:rPr>
        <w:t>挠、干涉有关</w:t>
      </w:r>
      <w:r>
        <w:rPr>
          <w:rFonts w:ascii="FangSong" w:hAnsi="FangSong" w:eastAsia="FangSong" w:cs="FangSong"/>
          <w:sz w:val="30"/>
          <w:szCs w:val="30"/>
        </w:rPr>
        <w:t xml:space="preserve"> </w:t>
      </w:r>
      <w:r>
        <w:rPr>
          <w:rFonts w:ascii="FangSong" w:hAnsi="FangSong" w:eastAsia="FangSong" w:cs="FangSong"/>
          <w:sz w:val="30"/>
          <w:szCs w:val="30"/>
          <w:spacing w:val="17"/>
        </w:rPr>
        <w:t>部门、机构及其工作人员依法开展食品安全监督检查、事故调查处理、风险监测</w:t>
      </w:r>
      <w:r>
        <w:rPr>
          <w:rFonts w:ascii="FangSong" w:hAnsi="FangSong" w:eastAsia="FangSong" w:cs="FangSong"/>
          <w:sz w:val="30"/>
          <w:szCs w:val="30"/>
          <w:spacing w:val="16"/>
        </w:rPr>
        <w:t>和风险评估的，由有</w:t>
      </w:r>
      <w:r>
        <w:rPr>
          <w:rFonts w:ascii="FangSong" w:hAnsi="FangSong" w:eastAsia="FangSong" w:cs="FangSong"/>
          <w:sz w:val="30"/>
          <w:szCs w:val="30"/>
        </w:rPr>
        <w:t xml:space="preserve"> </w:t>
      </w:r>
      <w:r>
        <w:rPr>
          <w:rFonts w:ascii="FangSong" w:hAnsi="FangSong" w:eastAsia="FangSong" w:cs="FangSong"/>
          <w:sz w:val="30"/>
          <w:szCs w:val="30"/>
          <w:spacing w:val="17"/>
        </w:rPr>
        <w:t>关主管部门按照各自职责分工责令停产停业，并处二千元以上五</w:t>
      </w:r>
      <w:r>
        <w:rPr>
          <w:rFonts w:ascii="FangSong" w:hAnsi="FangSong" w:eastAsia="FangSong" w:cs="FangSong"/>
          <w:sz w:val="30"/>
          <w:szCs w:val="30"/>
          <w:spacing w:val="16"/>
        </w:rPr>
        <w:t>万元以下罚款；情节严重的，吊销许</w:t>
      </w:r>
      <w:r>
        <w:rPr>
          <w:rFonts w:ascii="FangSong" w:hAnsi="FangSong" w:eastAsia="FangSong" w:cs="FangSong"/>
          <w:sz w:val="30"/>
          <w:szCs w:val="30"/>
        </w:rPr>
        <w:t xml:space="preserve"> </w:t>
      </w:r>
      <w:r>
        <w:rPr>
          <w:rFonts w:ascii="FangSong" w:hAnsi="FangSong" w:eastAsia="FangSong" w:cs="FangSong"/>
          <w:sz w:val="30"/>
          <w:szCs w:val="30"/>
          <w:spacing w:val="17"/>
        </w:rPr>
        <w:t>可证；构成违反治安管理行为的，由公安机关依法给予治安管理处罚。</w:t>
      </w:r>
    </w:p>
    <w:p>
      <w:pPr>
        <w:ind w:left="6419"/>
        <w:spacing w:before="19" w:line="195"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066"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94"/>
        <w:gridCol w:w="7524"/>
        <w:gridCol w:w="4748"/>
      </w:tblGrid>
      <w:tr>
        <w:trPr>
          <w:trHeight w:val="643" w:hRule="atLeast"/>
        </w:trPr>
        <w:tc>
          <w:tcPr>
            <w:tcW w:w="1794" w:type="dxa"/>
            <w:vAlign w:val="top"/>
          </w:tcPr>
          <w:p>
            <w:pPr>
              <w:pStyle w:val="TableText"/>
              <w:ind w:left="388"/>
              <w:spacing w:before="202" w:line="220" w:lineRule="auto"/>
              <w:rPr>
                <w:sz w:val="25"/>
                <w:szCs w:val="25"/>
              </w:rPr>
            </w:pPr>
            <w:r>
              <w:rPr>
                <w:sz w:val="25"/>
                <w:szCs w:val="25"/>
                <w:b/>
                <w:bCs/>
                <w:spacing w:val="-5"/>
              </w:rPr>
              <w:t>违法程度</w:t>
            </w:r>
          </w:p>
        </w:tc>
        <w:tc>
          <w:tcPr>
            <w:tcW w:w="7524" w:type="dxa"/>
            <w:vAlign w:val="top"/>
          </w:tcPr>
          <w:p>
            <w:pPr>
              <w:pStyle w:val="TableText"/>
              <w:ind w:left="3254"/>
              <w:spacing w:before="202" w:line="220" w:lineRule="auto"/>
              <w:rPr>
                <w:sz w:val="25"/>
                <w:szCs w:val="25"/>
              </w:rPr>
            </w:pPr>
            <w:r>
              <w:rPr>
                <w:sz w:val="25"/>
                <w:szCs w:val="25"/>
                <w:b/>
                <w:bCs/>
                <w:spacing w:val="-5"/>
              </w:rPr>
              <w:t>情节后果</w:t>
            </w:r>
          </w:p>
        </w:tc>
        <w:tc>
          <w:tcPr>
            <w:tcW w:w="4748" w:type="dxa"/>
            <w:vAlign w:val="top"/>
          </w:tcPr>
          <w:p>
            <w:pPr>
              <w:pStyle w:val="TableText"/>
              <w:ind w:left="1870"/>
              <w:spacing w:before="199" w:line="218" w:lineRule="auto"/>
              <w:rPr>
                <w:sz w:val="25"/>
                <w:szCs w:val="25"/>
              </w:rPr>
            </w:pPr>
            <w:r>
              <w:rPr>
                <w:sz w:val="25"/>
                <w:szCs w:val="25"/>
                <w:b/>
                <w:bCs/>
                <w:spacing w:val="-5"/>
              </w:rPr>
              <w:t>裁量幅度</w:t>
            </w:r>
          </w:p>
        </w:tc>
      </w:tr>
      <w:tr>
        <w:trPr>
          <w:trHeight w:val="886" w:hRule="atLeast"/>
        </w:trPr>
        <w:tc>
          <w:tcPr>
            <w:tcW w:w="1794" w:type="dxa"/>
            <w:vAlign w:val="top"/>
          </w:tcPr>
          <w:p>
            <w:pPr>
              <w:pStyle w:val="TableText"/>
              <w:ind w:left="638"/>
              <w:spacing w:before="320" w:line="221" w:lineRule="auto"/>
              <w:rPr>
                <w:sz w:val="25"/>
                <w:szCs w:val="25"/>
              </w:rPr>
            </w:pPr>
            <w:r>
              <w:rPr>
                <w:sz w:val="25"/>
                <w:szCs w:val="25"/>
                <w:b/>
                <w:bCs/>
                <w:spacing w:val="-10"/>
              </w:rPr>
              <w:t>一般</w:t>
            </w:r>
          </w:p>
        </w:tc>
        <w:tc>
          <w:tcPr>
            <w:tcW w:w="7524" w:type="dxa"/>
            <w:vAlign w:val="top"/>
          </w:tcPr>
          <w:p>
            <w:pPr>
              <w:pStyle w:val="TableText"/>
              <w:ind w:left="119" w:hanging="109"/>
              <w:spacing w:before="160" w:line="264" w:lineRule="auto"/>
              <w:rPr>
                <w:sz w:val="25"/>
                <w:szCs w:val="25"/>
              </w:rPr>
            </w:pPr>
            <w:r>
              <w:rPr>
                <w:sz w:val="25"/>
                <w:szCs w:val="25"/>
                <w:spacing w:val="-8"/>
              </w:rPr>
              <w:t>餐具、饮具集中消毒服务单位拒绝、阻挠、干涉卫生健康行政部门及其</w:t>
            </w:r>
            <w:r>
              <w:rPr>
                <w:sz w:val="25"/>
                <w:szCs w:val="25"/>
              </w:rPr>
              <w:t xml:space="preserve"> </w:t>
            </w:r>
            <w:r>
              <w:rPr>
                <w:sz w:val="25"/>
                <w:szCs w:val="25"/>
              </w:rPr>
              <w:t>工作人员依法开展监督检查的，首次发现</w:t>
            </w:r>
          </w:p>
        </w:tc>
        <w:tc>
          <w:tcPr>
            <w:tcW w:w="4748" w:type="dxa"/>
            <w:vAlign w:val="top"/>
          </w:tcPr>
          <w:p>
            <w:pPr>
              <w:pStyle w:val="TableText"/>
              <w:spacing w:before="160" w:line="219" w:lineRule="auto"/>
              <w:jc w:val="right"/>
              <w:rPr>
                <w:sz w:val="25"/>
                <w:szCs w:val="25"/>
              </w:rPr>
            </w:pPr>
            <w:r>
              <w:rPr>
                <w:sz w:val="25"/>
                <w:szCs w:val="25"/>
                <w:spacing w:val="-2"/>
              </w:rPr>
              <w:t>责令停产停业，并处二千元以上一万元以下</w:t>
            </w:r>
          </w:p>
          <w:p>
            <w:pPr>
              <w:pStyle w:val="TableText"/>
              <w:ind w:left="126"/>
              <w:spacing w:before="136" w:line="208" w:lineRule="auto"/>
              <w:rPr>
                <w:sz w:val="25"/>
                <w:szCs w:val="25"/>
              </w:rPr>
            </w:pPr>
            <w:r>
              <w:rPr>
                <w:sz w:val="25"/>
                <w:szCs w:val="25"/>
                <w:color w:val="504050"/>
                <w:spacing w:val="5"/>
              </w:rPr>
              <w:t>罚款</w:t>
            </w:r>
          </w:p>
        </w:tc>
      </w:tr>
      <w:tr>
        <w:trPr>
          <w:trHeight w:val="871" w:hRule="atLeast"/>
        </w:trPr>
        <w:tc>
          <w:tcPr>
            <w:tcW w:w="1794" w:type="dxa"/>
            <w:vAlign w:val="top"/>
          </w:tcPr>
          <w:p>
            <w:pPr>
              <w:pStyle w:val="TableText"/>
              <w:ind w:left="638"/>
              <w:spacing w:before="313" w:line="220" w:lineRule="auto"/>
              <w:rPr>
                <w:sz w:val="25"/>
                <w:szCs w:val="25"/>
              </w:rPr>
            </w:pPr>
            <w:r>
              <w:rPr>
                <w:sz w:val="25"/>
                <w:szCs w:val="25"/>
                <w:b/>
                <w:bCs/>
                <w:spacing w:val="-6"/>
              </w:rPr>
              <w:t>严重</w:t>
            </w:r>
          </w:p>
        </w:tc>
        <w:tc>
          <w:tcPr>
            <w:tcW w:w="7524" w:type="dxa"/>
            <w:vAlign w:val="top"/>
          </w:tcPr>
          <w:p>
            <w:pPr>
              <w:pStyle w:val="TableText"/>
              <w:ind w:left="99" w:hanging="89"/>
              <w:spacing w:before="135" w:line="268" w:lineRule="auto"/>
              <w:rPr>
                <w:sz w:val="25"/>
                <w:szCs w:val="25"/>
              </w:rPr>
            </w:pPr>
            <w:r>
              <w:rPr>
                <w:sz w:val="25"/>
                <w:szCs w:val="25"/>
                <w:spacing w:val="-8"/>
              </w:rPr>
              <w:t>餐具、饮具集中消毒服务单位拒绝、阻挠、干涉卫生健康行政部门及其</w:t>
            </w:r>
            <w:r>
              <w:rPr>
                <w:sz w:val="25"/>
                <w:szCs w:val="25"/>
              </w:rPr>
              <w:t xml:space="preserve"> </w:t>
            </w:r>
            <w:r>
              <w:rPr>
                <w:sz w:val="25"/>
                <w:szCs w:val="25"/>
              </w:rPr>
              <w:t>工作人员依法开展监督检查的，拒不改正的</w:t>
            </w:r>
          </w:p>
        </w:tc>
        <w:tc>
          <w:tcPr>
            <w:tcW w:w="4748" w:type="dxa"/>
            <w:vAlign w:val="top"/>
          </w:tcPr>
          <w:p>
            <w:pPr>
              <w:pStyle w:val="TableText"/>
              <w:spacing w:before="134" w:line="219" w:lineRule="auto"/>
              <w:jc w:val="right"/>
              <w:rPr>
                <w:sz w:val="25"/>
                <w:szCs w:val="25"/>
              </w:rPr>
            </w:pPr>
            <w:r>
              <w:rPr>
                <w:sz w:val="25"/>
                <w:szCs w:val="25"/>
                <w:spacing w:val="-2"/>
              </w:rPr>
              <w:t>责令停产停业，并处一万元以上五万元以下</w:t>
            </w:r>
          </w:p>
          <w:p>
            <w:pPr>
              <w:pStyle w:val="TableText"/>
              <w:ind w:left="136"/>
              <w:spacing w:before="156" w:line="202" w:lineRule="auto"/>
              <w:rPr>
                <w:sz w:val="25"/>
                <w:szCs w:val="25"/>
              </w:rPr>
            </w:pPr>
            <w:r>
              <w:rPr>
                <w:sz w:val="25"/>
                <w:szCs w:val="25"/>
                <w:color w:val="706060"/>
                <w:spacing w:val="5"/>
              </w:rPr>
              <w:t>罚款</w:t>
            </w:r>
          </w:p>
        </w:tc>
      </w:tr>
    </w:tbl>
    <w:p>
      <w:pPr>
        <w:pStyle w:val="BodyText"/>
        <w:spacing w:line="477" w:lineRule="auto"/>
        <w:rPr/>
      </w:pPr>
      <w:r/>
    </w:p>
    <w:p>
      <w:pPr>
        <w:ind w:left="799"/>
        <w:spacing w:before="98" w:line="221" w:lineRule="auto"/>
        <w:rPr>
          <w:rFonts w:ascii="FangSong" w:hAnsi="FangSong" w:eastAsia="FangSong" w:cs="FangSong"/>
          <w:sz w:val="30"/>
          <w:szCs w:val="30"/>
        </w:rPr>
      </w:pPr>
      <w:r>
        <w:rPr>
          <w:rFonts w:ascii="FangSong" w:hAnsi="FangSong" w:eastAsia="FangSong" w:cs="FangSong"/>
          <w:sz w:val="30"/>
          <w:szCs w:val="30"/>
          <w:b/>
          <w:bCs/>
          <w:spacing w:val="28"/>
        </w:rPr>
        <w:t>(二)《医疗器械监督管理条例》</w:t>
      </w:r>
    </w:p>
    <w:p>
      <w:pPr>
        <w:ind w:left="669"/>
        <w:spacing w:before="70" w:line="221" w:lineRule="auto"/>
        <w:rPr>
          <w:rFonts w:ascii="FangSong" w:hAnsi="FangSong" w:eastAsia="FangSong" w:cs="FangSong"/>
          <w:sz w:val="30"/>
          <w:szCs w:val="30"/>
        </w:rPr>
      </w:pPr>
      <w:r>
        <w:rPr>
          <w:rFonts w:ascii="FangSong" w:hAnsi="FangSong" w:eastAsia="FangSong" w:cs="FangSong"/>
          <w:sz w:val="30"/>
          <w:szCs w:val="30"/>
          <w:b/>
          <w:bCs/>
          <w:spacing w:val="21"/>
        </w:rPr>
        <w:t>第三条对重复使用的医疗器械，医疗器械使用单位未按照消毒和管理的规定进行处理的</w:t>
      </w:r>
    </w:p>
    <w:p>
      <w:pPr>
        <w:ind w:left="664"/>
        <w:spacing w:before="78"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4" w:right="41" w:firstLine="649"/>
        <w:spacing w:before="105" w:line="271" w:lineRule="auto"/>
        <w:jc w:val="both"/>
        <w:rPr>
          <w:rFonts w:ascii="FangSong" w:hAnsi="FangSong" w:eastAsia="FangSong" w:cs="FangSong"/>
          <w:sz w:val="30"/>
          <w:szCs w:val="30"/>
        </w:rPr>
      </w:pPr>
      <w:r>
        <w:rPr>
          <w:rFonts w:ascii="FangSong" w:hAnsi="FangSong" w:eastAsia="FangSong" w:cs="FangSong"/>
          <w:sz w:val="30"/>
          <w:szCs w:val="30"/>
          <w:spacing w:val="9"/>
        </w:rPr>
        <w:t>第</w:t>
      </w:r>
      <w:r>
        <w:rPr>
          <w:rFonts w:ascii="FangSong" w:hAnsi="FangSong" w:eastAsia="FangSong" w:cs="FangSong"/>
          <w:sz w:val="30"/>
          <w:szCs w:val="30"/>
          <w:spacing w:val="-36"/>
        </w:rPr>
        <w:t xml:space="preserve"> </w:t>
      </w:r>
      <w:r>
        <w:rPr>
          <w:rFonts w:ascii="FangSong" w:hAnsi="FangSong" w:eastAsia="FangSong" w:cs="FangSong"/>
          <w:sz w:val="30"/>
          <w:szCs w:val="30"/>
          <w:spacing w:val="9"/>
        </w:rPr>
        <w:t>九</w:t>
      </w:r>
      <w:r>
        <w:rPr>
          <w:rFonts w:ascii="FangSong" w:hAnsi="FangSong" w:eastAsia="FangSong" w:cs="FangSong"/>
          <w:sz w:val="30"/>
          <w:szCs w:val="30"/>
          <w:spacing w:val="-45"/>
        </w:rPr>
        <w:t xml:space="preserve"> </w:t>
      </w:r>
      <w:r>
        <w:rPr>
          <w:rFonts w:ascii="FangSong" w:hAnsi="FangSong" w:eastAsia="FangSong" w:cs="FangSong"/>
          <w:sz w:val="30"/>
          <w:szCs w:val="30"/>
          <w:spacing w:val="9"/>
        </w:rPr>
        <w:t>十</w:t>
      </w:r>
      <w:r>
        <w:rPr>
          <w:rFonts w:ascii="FangSong" w:hAnsi="FangSong" w:eastAsia="FangSong" w:cs="FangSong"/>
          <w:sz w:val="30"/>
          <w:szCs w:val="30"/>
          <w:spacing w:val="-50"/>
        </w:rPr>
        <w:t xml:space="preserve"> </w:t>
      </w:r>
      <w:r>
        <w:rPr>
          <w:rFonts w:ascii="FangSong" w:hAnsi="FangSong" w:eastAsia="FangSong" w:cs="FangSong"/>
          <w:sz w:val="30"/>
          <w:szCs w:val="30"/>
          <w:spacing w:val="9"/>
        </w:rPr>
        <w:t>条</w:t>
      </w:r>
      <w:r>
        <w:rPr>
          <w:rFonts w:ascii="FangSong" w:hAnsi="FangSong" w:eastAsia="FangSong" w:cs="FangSong"/>
          <w:sz w:val="30"/>
          <w:szCs w:val="30"/>
          <w:spacing w:val="-40"/>
        </w:rPr>
        <w:t xml:space="preserve"> </w:t>
      </w:r>
      <w:r>
        <w:rPr>
          <w:rFonts w:ascii="FangSong" w:hAnsi="FangSong" w:eastAsia="FangSong" w:cs="FangSong"/>
          <w:sz w:val="30"/>
          <w:szCs w:val="30"/>
          <w:spacing w:val="9"/>
        </w:rPr>
        <w:t>第</w:t>
      </w:r>
      <w:r>
        <w:rPr>
          <w:rFonts w:ascii="FangSong" w:hAnsi="FangSong" w:eastAsia="FangSong" w:cs="FangSong"/>
          <w:sz w:val="30"/>
          <w:szCs w:val="30"/>
          <w:spacing w:val="9"/>
        </w:rPr>
        <w:t xml:space="preserve"> </w:t>
      </w:r>
      <w:r>
        <w:rPr>
          <w:rFonts w:ascii="FangSong" w:hAnsi="FangSong" w:eastAsia="FangSong" w:cs="FangSong"/>
          <w:sz w:val="30"/>
          <w:szCs w:val="30"/>
          <w:spacing w:val="9"/>
        </w:rPr>
        <w:t>(</w:t>
      </w:r>
      <w:r>
        <w:rPr>
          <w:rFonts w:ascii="FangSong" w:hAnsi="FangSong" w:eastAsia="FangSong" w:cs="FangSong"/>
          <w:sz w:val="30"/>
          <w:szCs w:val="30"/>
          <w:spacing w:val="-49"/>
        </w:rPr>
        <w:t xml:space="preserve"> </w:t>
      </w:r>
      <w:r>
        <w:rPr>
          <w:rFonts w:ascii="FangSong" w:hAnsi="FangSong" w:eastAsia="FangSong" w:cs="FangSong"/>
          <w:sz w:val="30"/>
          <w:szCs w:val="30"/>
          <w:spacing w:val="9"/>
        </w:rPr>
        <w:t>一</w:t>
      </w:r>
      <w:r>
        <w:rPr>
          <w:rFonts w:ascii="FangSong" w:hAnsi="FangSong" w:eastAsia="FangSong" w:cs="FangSong"/>
          <w:sz w:val="30"/>
          <w:szCs w:val="30"/>
          <w:spacing w:val="-61"/>
        </w:rPr>
        <w:t xml:space="preserve"> </w:t>
      </w:r>
      <w:r>
        <w:rPr>
          <w:rFonts w:ascii="FangSong" w:hAnsi="FangSong" w:eastAsia="FangSong" w:cs="FangSong"/>
          <w:sz w:val="30"/>
          <w:szCs w:val="30"/>
          <w:spacing w:val="9"/>
        </w:rPr>
        <w:t>)</w:t>
      </w:r>
      <w:r>
        <w:rPr>
          <w:rFonts w:ascii="FangSong" w:hAnsi="FangSong" w:eastAsia="FangSong" w:cs="FangSong"/>
          <w:sz w:val="30"/>
          <w:szCs w:val="30"/>
          <w:spacing w:val="-52"/>
        </w:rPr>
        <w:t xml:space="preserve"> </w:t>
      </w:r>
      <w:r>
        <w:rPr>
          <w:rFonts w:ascii="FangSong" w:hAnsi="FangSong" w:eastAsia="FangSong" w:cs="FangSong"/>
          <w:sz w:val="30"/>
          <w:szCs w:val="30"/>
          <w:spacing w:val="9"/>
        </w:rPr>
        <w:t>项</w:t>
      </w:r>
      <w:r>
        <w:rPr>
          <w:rFonts w:ascii="FangSong" w:hAnsi="FangSong" w:eastAsia="FangSong" w:cs="FangSong"/>
          <w:sz w:val="30"/>
          <w:szCs w:val="30"/>
          <w:spacing w:val="9"/>
        </w:rPr>
        <w:t xml:space="preserve">  </w:t>
      </w:r>
      <w:r>
        <w:rPr>
          <w:rFonts w:ascii="FangSong" w:hAnsi="FangSong" w:eastAsia="FangSong" w:cs="FangSong"/>
          <w:sz w:val="30"/>
          <w:szCs w:val="30"/>
          <w:spacing w:val="9"/>
        </w:rPr>
        <w:t>有下列情形之一的，由县级以上人民政府卫生主管部门责令改正，给予</w:t>
      </w:r>
      <w:r>
        <w:rPr>
          <w:rFonts w:ascii="FangSong" w:hAnsi="FangSong" w:eastAsia="FangSong" w:cs="FangSong"/>
          <w:sz w:val="30"/>
          <w:szCs w:val="30"/>
        </w:rPr>
        <w:t xml:space="preserve"> </w:t>
      </w:r>
      <w:r>
        <w:rPr>
          <w:rFonts w:ascii="FangSong" w:hAnsi="FangSong" w:eastAsia="FangSong" w:cs="FangSong"/>
          <w:sz w:val="30"/>
          <w:szCs w:val="30"/>
          <w:spacing w:val="28"/>
        </w:rPr>
        <w:t>警告；拒不改正的，处5万元以上10万元以下罚款；情节</w:t>
      </w:r>
      <w:r>
        <w:rPr>
          <w:rFonts w:ascii="FangSong" w:hAnsi="FangSong" w:eastAsia="FangSong" w:cs="FangSong"/>
          <w:sz w:val="30"/>
          <w:szCs w:val="30"/>
          <w:spacing w:val="27"/>
        </w:rPr>
        <w:t>严重的，处10万元以上30万元以下罚款，</w:t>
      </w:r>
      <w:r>
        <w:rPr>
          <w:rFonts w:ascii="FangSong" w:hAnsi="FangSong" w:eastAsia="FangSong" w:cs="FangSong"/>
          <w:sz w:val="30"/>
          <w:szCs w:val="30"/>
        </w:rPr>
        <w:t xml:space="preserve"> </w:t>
      </w:r>
      <w:r>
        <w:rPr>
          <w:rFonts w:ascii="FangSong" w:hAnsi="FangSong" w:eastAsia="FangSong" w:cs="FangSong"/>
          <w:sz w:val="30"/>
          <w:szCs w:val="30"/>
          <w:spacing w:val="21"/>
        </w:rPr>
        <w:t>责令暂停相关医疗器械使用活动，直至由原发证部门吊销</w:t>
      </w:r>
      <w:r>
        <w:rPr>
          <w:rFonts w:ascii="FangSong" w:hAnsi="FangSong" w:eastAsia="FangSong" w:cs="FangSong"/>
          <w:sz w:val="30"/>
          <w:szCs w:val="30"/>
          <w:spacing w:val="20"/>
        </w:rPr>
        <w:t>执业许可证，依法责令相关责任人员暂停6</w:t>
      </w:r>
      <w:r>
        <w:rPr>
          <w:rFonts w:ascii="FangSong" w:hAnsi="FangSong" w:eastAsia="FangSong" w:cs="FangSong"/>
          <w:sz w:val="30"/>
          <w:szCs w:val="30"/>
        </w:rPr>
        <w:t xml:space="preserve"> </w:t>
      </w:r>
      <w:r>
        <w:rPr>
          <w:rFonts w:ascii="FangSong" w:hAnsi="FangSong" w:eastAsia="FangSong" w:cs="FangSong"/>
          <w:sz w:val="30"/>
          <w:szCs w:val="30"/>
          <w:spacing w:val="22"/>
        </w:rPr>
        <w:t>个月以上1年以下执业活动，直至由原发证部门吊销相关人员执业证书，对违法单位的法定代表人、</w:t>
      </w:r>
    </w:p>
    <w:p>
      <w:pPr>
        <w:spacing w:line="271" w:lineRule="auto"/>
        <w:sectPr>
          <w:footerReference w:type="default" r:id="rId73"/>
          <w:pgSz w:w="16830" w:h="11900"/>
          <w:pgMar w:top="1011" w:right="1328" w:bottom="1170" w:left="1425" w:header="0" w:footer="716" w:gutter="0"/>
        </w:sectPr>
        <w:rPr>
          <w:rFonts w:ascii="FangSong" w:hAnsi="FangSong" w:eastAsia="FangSong" w:cs="FangSong"/>
          <w:sz w:val="30"/>
          <w:szCs w:val="30"/>
        </w:rPr>
      </w:pPr>
    </w:p>
    <w:p>
      <w:pPr>
        <w:pStyle w:val="BodyText"/>
        <w:spacing w:line="261" w:lineRule="auto"/>
        <w:rPr/>
      </w:pPr>
      <w:r/>
    </w:p>
    <w:p>
      <w:pPr>
        <w:pStyle w:val="BodyText"/>
        <w:spacing w:line="261" w:lineRule="auto"/>
        <w:rPr/>
      </w:pPr>
      <w:r/>
    </w:p>
    <w:p>
      <w:pPr>
        <w:pStyle w:val="BodyText"/>
        <w:spacing w:line="261" w:lineRule="auto"/>
        <w:rPr/>
      </w:pPr>
      <w:r/>
    </w:p>
    <w:p>
      <w:pPr>
        <w:ind w:left="104" w:right="107" w:firstLine="10"/>
        <w:spacing w:before="97" w:line="277" w:lineRule="auto"/>
        <w:rPr>
          <w:rFonts w:ascii="FangSong" w:hAnsi="FangSong" w:eastAsia="FangSong" w:cs="FangSong"/>
          <w:sz w:val="30"/>
          <w:szCs w:val="30"/>
        </w:rPr>
      </w:pPr>
      <w:r>
        <w:rPr>
          <w:rFonts w:ascii="FangSong" w:hAnsi="FangSong" w:eastAsia="FangSong" w:cs="FangSong"/>
          <w:sz w:val="30"/>
          <w:szCs w:val="30"/>
          <w:spacing w:val="17"/>
        </w:rPr>
        <w:t>主要负责人、直接负责的主管人员和其他责任人员，没收违法行为发生期间自本单位所获收入，并处</w:t>
      </w:r>
      <w:r>
        <w:rPr>
          <w:rFonts w:ascii="FangSong" w:hAnsi="FangSong" w:eastAsia="FangSong" w:cs="FangSong"/>
          <w:sz w:val="30"/>
          <w:szCs w:val="30"/>
          <w:spacing w:val="1"/>
        </w:rPr>
        <w:t xml:space="preserve"> </w:t>
      </w:r>
      <w:r>
        <w:rPr>
          <w:rFonts w:ascii="FangSong" w:hAnsi="FangSong" w:eastAsia="FangSong" w:cs="FangSong"/>
          <w:sz w:val="30"/>
          <w:szCs w:val="30"/>
          <w:spacing w:val="30"/>
        </w:rPr>
        <w:t>所获收入30%以上3倍以下罚款，依法给予处分：</w:t>
      </w:r>
    </w:p>
    <w:p>
      <w:pPr>
        <w:ind w:left="754"/>
        <w:spacing w:before="1" w:line="220" w:lineRule="auto"/>
        <w:rPr>
          <w:rFonts w:ascii="FangSong" w:hAnsi="FangSong" w:eastAsia="FangSong" w:cs="FangSong"/>
          <w:sz w:val="30"/>
          <w:szCs w:val="30"/>
        </w:rPr>
      </w:pPr>
      <w:r>
        <w:rPr>
          <w:rFonts w:ascii="FangSong" w:hAnsi="FangSong" w:eastAsia="FangSong" w:cs="FangSong"/>
          <w:sz w:val="30"/>
          <w:szCs w:val="30"/>
          <w:spacing w:val="17"/>
        </w:rPr>
        <w:t>对重复使用的医疗器械，医疗器械使用单位未按照消毒和管理的规定进行处理；</w:t>
      </w:r>
    </w:p>
    <w:p>
      <w:pPr>
        <w:ind w:left="6509"/>
        <w:spacing w:before="52"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163"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23"/>
        <w:gridCol w:w="4127"/>
        <w:gridCol w:w="7213"/>
      </w:tblGrid>
      <w:tr>
        <w:trPr>
          <w:trHeight w:val="843" w:hRule="atLeast"/>
        </w:trPr>
        <w:tc>
          <w:tcPr>
            <w:tcW w:w="2823" w:type="dxa"/>
            <w:vAlign w:val="top"/>
          </w:tcPr>
          <w:p>
            <w:pPr>
              <w:pStyle w:val="TableText"/>
              <w:ind w:left="828"/>
              <w:spacing w:before="302" w:line="220" w:lineRule="auto"/>
              <w:rPr>
                <w:sz w:val="25"/>
                <w:szCs w:val="25"/>
              </w:rPr>
            </w:pPr>
            <w:r>
              <w:rPr>
                <w:sz w:val="25"/>
                <w:szCs w:val="25"/>
                <w:b/>
                <w:bCs/>
                <w:spacing w:val="-5"/>
              </w:rPr>
              <w:t>违法程度</w:t>
            </w:r>
          </w:p>
        </w:tc>
        <w:tc>
          <w:tcPr>
            <w:tcW w:w="4127" w:type="dxa"/>
            <w:vAlign w:val="top"/>
          </w:tcPr>
          <w:p>
            <w:pPr>
              <w:pStyle w:val="TableText"/>
              <w:ind w:left="1495"/>
              <w:spacing w:before="302" w:line="220" w:lineRule="auto"/>
              <w:rPr>
                <w:sz w:val="25"/>
                <w:szCs w:val="25"/>
              </w:rPr>
            </w:pPr>
            <w:r>
              <w:rPr>
                <w:sz w:val="25"/>
                <w:szCs w:val="25"/>
                <w:b/>
                <w:bCs/>
                <w:spacing w:val="-5"/>
              </w:rPr>
              <w:t>情节后果</w:t>
            </w:r>
          </w:p>
        </w:tc>
        <w:tc>
          <w:tcPr>
            <w:tcW w:w="7213" w:type="dxa"/>
            <w:vAlign w:val="top"/>
          </w:tcPr>
          <w:p>
            <w:pPr>
              <w:pStyle w:val="TableText"/>
              <w:ind w:left="3098"/>
              <w:spacing w:before="299" w:line="218" w:lineRule="auto"/>
              <w:rPr>
                <w:sz w:val="25"/>
                <w:szCs w:val="25"/>
              </w:rPr>
            </w:pPr>
            <w:r>
              <w:rPr>
                <w:sz w:val="25"/>
                <w:szCs w:val="25"/>
                <w:b/>
                <w:bCs/>
                <w:spacing w:val="-5"/>
              </w:rPr>
              <w:t>裁量幅度</w:t>
            </w:r>
          </w:p>
        </w:tc>
      </w:tr>
      <w:tr>
        <w:trPr>
          <w:trHeight w:val="619" w:hRule="atLeast"/>
        </w:trPr>
        <w:tc>
          <w:tcPr>
            <w:tcW w:w="2823" w:type="dxa"/>
            <w:vAlign w:val="top"/>
          </w:tcPr>
          <w:p>
            <w:pPr>
              <w:pStyle w:val="TableText"/>
              <w:ind w:left="108"/>
              <w:spacing w:before="188" w:line="219" w:lineRule="auto"/>
              <w:rPr>
                <w:sz w:val="25"/>
                <w:szCs w:val="25"/>
              </w:rPr>
            </w:pPr>
            <w:r>
              <w:rPr>
                <w:sz w:val="25"/>
                <w:szCs w:val="25"/>
                <w:b/>
                <w:bCs/>
                <w:spacing w:val="-6"/>
              </w:rPr>
              <w:t>较轻</w:t>
            </w:r>
          </w:p>
        </w:tc>
        <w:tc>
          <w:tcPr>
            <w:tcW w:w="4127" w:type="dxa"/>
            <w:vAlign w:val="top"/>
          </w:tcPr>
          <w:p>
            <w:pPr>
              <w:pStyle w:val="TableText"/>
              <w:ind w:left="121"/>
              <w:spacing w:before="192" w:line="219" w:lineRule="auto"/>
              <w:rPr>
                <w:sz w:val="25"/>
                <w:szCs w:val="25"/>
              </w:rPr>
            </w:pPr>
            <w:r>
              <w:rPr>
                <w:sz w:val="25"/>
                <w:szCs w:val="25"/>
              </w:rPr>
              <w:t>首次发现违法行为。</w:t>
            </w:r>
          </w:p>
        </w:tc>
        <w:tc>
          <w:tcPr>
            <w:tcW w:w="7213" w:type="dxa"/>
            <w:vAlign w:val="top"/>
          </w:tcPr>
          <w:p>
            <w:pPr>
              <w:pStyle w:val="TableText"/>
              <w:ind w:left="114"/>
              <w:spacing w:before="190" w:line="218" w:lineRule="auto"/>
              <w:rPr>
                <w:sz w:val="25"/>
                <w:szCs w:val="25"/>
              </w:rPr>
            </w:pPr>
            <w:r>
              <w:rPr>
                <w:sz w:val="25"/>
                <w:szCs w:val="25"/>
                <w:spacing w:val="-1"/>
              </w:rPr>
              <w:t>给予警告。</w:t>
            </w:r>
          </w:p>
        </w:tc>
      </w:tr>
      <w:tr>
        <w:trPr>
          <w:trHeight w:val="469" w:hRule="atLeast"/>
        </w:trPr>
        <w:tc>
          <w:tcPr>
            <w:tcW w:w="2823" w:type="dxa"/>
            <w:vAlign w:val="top"/>
          </w:tcPr>
          <w:p>
            <w:pPr>
              <w:pStyle w:val="TableText"/>
              <w:ind w:left="108"/>
              <w:spacing w:before="161" w:line="220" w:lineRule="auto"/>
              <w:rPr>
                <w:sz w:val="25"/>
                <w:szCs w:val="25"/>
              </w:rPr>
            </w:pPr>
            <w:r>
              <w:rPr>
                <w:sz w:val="25"/>
                <w:szCs w:val="25"/>
                <w:b/>
                <w:bCs/>
                <w:spacing w:val="-10"/>
              </w:rPr>
              <w:t>一般</w:t>
            </w:r>
          </w:p>
        </w:tc>
        <w:tc>
          <w:tcPr>
            <w:tcW w:w="4127" w:type="dxa"/>
            <w:vAlign w:val="top"/>
          </w:tcPr>
          <w:p>
            <w:pPr>
              <w:pStyle w:val="TableText"/>
              <w:ind w:left="121"/>
              <w:spacing w:before="171" w:line="212" w:lineRule="auto"/>
              <w:rPr>
                <w:sz w:val="25"/>
                <w:szCs w:val="25"/>
              </w:rPr>
            </w:pPr>
            <w:r>
              <w:rPr>
                <w:sz w:val="25"/>
                <w:szCs w:val="25"/>
              </w:rPr>
              <w:t>责令改正后，拒不改正。</w:t>
            </w:r>
          </w:p>
        </w:tc>
        <w:tc>
          <w:tcPr>
            <w:tcW w:w="7213" w:type="dxa"/>
            <w:vAlign w:val="top"/>
          </w:tcPr>
          <w:p>
            <w:pPr>
              <w:pStyle w:val="TableText"/>
              <w:ind w:left="125"/>
              <w:spacing w:before="174" w:line="210" w:lineRule="auto"/>
              <w:rPr>
                <w:sz w:val="25"/>
                <w:szCs w:val="25"/>
              </w:rPr>
            </w:pPr>
            <w:r>
              <w:rPr>
                <w:sz w:val="25"/>
                <w:szCs w:val="25"/>
                <w:spacing w:val="-1"/>
              </w:rPr>
              <w:t>处5万元以上10万元以下罚款。</w:t>
            </w:r>
          </w:p>
        </w:tc>
      </w:tr>
      <w:tr>
        <w:trPr>
          <w:trHeight w:val="928" w:hRule="atLeast"/>
        </w:trPr>
        <w:tc>
          <w:tcPr>
            <w:tcW w:w="2823"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08"/>
              <w:spacing w:before="81" w:line="220" w:lineRule="auto"/>
              <w:rPr>
                <w:sz w:val="25"/>
                <w:szCs w:val="25"/>
              </w:rPr>
            </w:pPr>
            <w:r>
              <w:rPr>
                <w:sz w:val="25"/>
                <w:szCs w:val="25"/>
                <w:b/>
                <w:bCs/>
                <w:spacing w:val="-6"/>
              </w:rPr>
              <w:t>严重</w:t>
            </w:r>
          </w:p>
        </w:tc>
        <w:tc>
          <w:tcPr>
            <w:tcW w:w="4127"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112" w:firstLine="19"/>
              <w:spacing w:before="81" w:line="326" w:lineRule="auto"/>
              <w:jc w:val="both"/>
              <w:rPr>
                <w:sz w:val="25"/>
                <w:szCs w:val="25"/>
              </w:rPr>
            </w:pPr>
            <w:r>
              <w:rPr>
                <w:sz w:val="25"/>
                <w:szCs w:val="25"/>
                <w:spacing w:val="-8"/>
              </w:rPr>
              <w:t>对重复使用的医疗器械，消毒效果未</w:t>
            </w:r>
            <w:r>
              <w:rPr>
                <w:sz w:val="25"/>
                <w:szCs w:val="25"/>
                <w:spacing w:val="1"/>
              </w:rPr>
              <w:t xml:space="preserve">  </w:t>
            </w:r>
            <w:r>
              <w:rPr>
                <w:sz w:val="25"/>
                <w:szCs w:val="25"/>
                <w:spacing w:val="-15"/>
              </w:rPr>
              <w:t>达到《消毒管理办法》第六条的规定，</w:t>
            </w:r>
            <w:r>
              <w:rPr>
                <w:sz w:val="25"/>
                <w:szCs w:val="25"/>
                <w:spacing w:val="8"/>
              </w:rPr>
              <w:t xml:space="preserve"> </w:t>
            </w:r>
            <w:r>
              <w:rPr>
                <w:sz w:val="25"/>
                <w:szCs w:val="25"/>
                <w:spacing w:val="-6"/>
              </w:rPr>
              <w:t>发生医疗器械使用安全事件。</w:t>
            </w:r>
          </w:p>
        </w:tc>
        <w:tc>
          <w:tcPr>
            <w:tcW w:w="7213" w:type="dxa"/>
            <w:vAlign w:val="top"/>
          </w:tcPr>
          <w:p>
            <w:pPr>
              <w:pStyle w:val="TableText"/>
              <w:ind w:left="114" w:right="92" w:hanging="20"/>
              <w:spacing w:before="184" w:line="271" w:lineRule="auto"/>
              <w:rPr>
                <w:sz w:val="25"/>
                <w:szCs w:val="25"/>
              </w:rPr>
            </w:pPr>
            <w:r>
              <w:rPr>
                <w:sz w:val="25"/>
                <w:szCs w:val="25"/>
              </w:rPr>
              <w:t>接触皮肤、粘膜的医疗器械未达到消毒要求，处10万元以上20万</w:t>
            </w:r>
            <w:r>
              <w:rPr>
                <w:sz w:val="25"/>
                <w:szCs w:val="25"/>
                <w:spacing w:val="14"/>
              </w:rPr>
              <w:t xml:space="preserve"> </w:t>
            </w:r>
            <w:r>
              <w:rPr>
                <w:sz w:val="25"/>
                <w:szCs w:val="25"/>
                <w:spacing w:val="20"/>
              </w:rPr>
              <w:t>元以下罚款；</w:t>
            </w:r>
          </w:p>
        </w:tc>
      </w:tr>
      <w:tr>
        <w:trPr>
          <w:trHeight w:val="3090" w:hRule="atLeast"/>
        </w:trPr>
        <w:tc>
          <w:tcPr>
            <w:tcW w:w="2823" w:type="dxa"/>
            <w:vAlign w:val="top"/>
            <w:vMerge w:val="continue"/>
            <w:tcBorders>
              <w:top w:val="nil"/>
            </w:tcBorders>
          </w:tcPr>
          <w:p>
            <w:pPr>
              <w:rPr>
                <w:rFonts w:ascii="Arial"/>
                <w:sz w:val="21"/>
              </w:rPr>
            </w:pPr>
            <w:r/>
          </w:p>
        </w:tc>
        <w:tc>
          <w:tcPr>
            <w:tcW w:w="4127" w:type="dxa"/>
            <w:vAlign w:val="top"/>
            <w:vMerge w:val="continue"/>
            <w:tcBorders>
              <w:top w:val="nil"/>
            </w:tcBorders>
          </w:tcPr>
          <w:p>
            <w:pPr>
              <w:rPr>
                <w:rFonts w:ascii="Arial"/>
                <w:sz w:val="21"/>
              </w:rPr>
            </w:pPr>
            <w:r/>
          </w:p>
        </w:tc>
        <w:tc>
          <w:tcPr>
            <w:tcW w:w="7213" w:type="dxa"/>
            <w:vAlign w:val="top"/>
          </w:tcPr>
          <w:p>
            <w:pPr>
              <w:pStyle w:val="TableText"/>
              <w:ind w:left="98" w:firstLine="19"/>
              <w:spacing w:before="160" w:line="308" w:lineRule="auto"/>
              <w:jc w:val="both"/>
              <w:rPr>
                <w:sz w:val="25"/>
                <w:szCs w:val="25"/>
              </w:rPr>
            </w:pPr>
            <w:r>
              <w:rPr>
                <w:sz w:val="25"/>
                <w:szCs w:val="25"/>
                <w:b/>
                <w:bCs/>
                <w:spacing w:val="-8"/>
              </w:rPr>
              <w:t>进入人体组织或无菌器官的医疗器械未达到灭菌要求，</w:t>
            </w:r>
            <w:r>
              <w:rPr>
                <w:sz w:val="25"/>
                <w:szCs w:val="25"/>
                <w:b/>
                <w:bCs/>
                <w:spacing w:val="-9"/>
              </w:rPr>
              <w:t>处20万元以</w:t>
            </w:r>
            <w:r>
              <w:rPr>
                <w:sz w:val="25"/>
                <w:szCs w:val="25"/>
              </w:rPr>
              <w:t xml:space="preserve"> </w:t>
            </w:r>
            <w:r>
              <w:rPr>
                <w:sz w:val="25"/>
                <w:szCs w:val="25"/>
                <w:b/>
                <w:bCs/>
                <w:spacing w:val="-8"/>
              </w:rPr>
              <w:t>上30万元以下罚款。责令暂停相关医疗器械使用活动，直至由原发</w:t>
            </w:r>
            <w:r>
              <w:rPr>
                <w:sz w:val="25"/>
                <w:szCs w:val="25"/>
                <w:spacing w:val="3"/>
              </w:rPr>
              <w:t xml:space="preserve"> </w:t>
            </w:r>
            <w:r>
              <w:rPr>
                <w:sz w:val="25"/>
                <w:szCs w:val="25"/>
                <w:b/>
                <w:bCs/>
                <w:spacing w:val="-3"/>
              </w:rPr>
              <w:t>证部门吊销执业许可证，依法责令相关责任人员暂停6个月以上1</w:t>
            </w:r>
            <w:r>
              <w:rPr>
                <w:sz w:val="25"/>
                <w:szCs w:val="25"/>
                <w:spacing w:val="8"/>
              </w:rPr>
              <w:t xml:space="preserve">  </w:t>
            </w:r>
            <w:r>
              <w:rPr>
                <w:sz w:val="25"/>
                <w:szCs w:val="25"/>
                <w:b/>
                <w:bCs/>
                <w:spacing w:val="-8"/>
              </w:rPr>
              <w:t>年以下执业活动，直至由原发证部门吊销相关人员执业证书</w:t>
            </w:r>
            <w:r>
              <w:rPr>
                <w:sz w:val="25"/>
                <w:szCs w:val="25"/>
                <w:b/>
                <w:bCs/>
                <w:spacing w:val="-9"/>
              </w:rPr>
              <w:t>，对违</w:t>
            </w:r>
            <w:r>
              <w:rPr>
                <w:sz w:val="25"/>
                <w:szCs w:val="25"/>
              </w:rPr>
              <w:t xml:space="preserve"> </w:t>
            </w:r>
            <w:r>
              <w:rPr>
                <w:sz w:val="25"/>
                <w:szCs w:val="25"/>
                <w:b/>
                <w:bCs/>
                <w:spacing w:val="-8"/>
              </w:rPr>
              <w:t>法单位的法定代表人、主要负责人、直接负责的主管人员和其他责</w:t>
            </w:r>
            <w:r>
              <w:rPr>
                <w:sz w:val="25"/>
                <w:szCs w:val="25"/>
                <w:spacing w:val="3"/>
              </w:rPr>
              <w:t xml:space="preserve"> </w:t>
            </w:r>
            <w:r>
              <w:rPr>
                <w:sz w:val="25"/>
                <w:szCs w:val="25"/>
                <w:b/>
                <w:bCs/>
                <w:spacing w:val="-8"/>
              </w:rPr>
              <w:t>任人员，没收违法行为发生期间自本单位所获收入，并处所</w:t>
            </w:r>
            <w:r>
              <w:rPr>
                <w:sz w:val="25"/>
                <w:szCs w:val="25"/>
                <w:b/>
                <w:bCs/>
                <w:spacing w:val="-9"/>
              </w:rPr>
              <w:t>获收入</w:t>
            </w:r>
            <w:r>
              <w:rPr>
                <w:sz w:val="25"/>
                <w:szCs w:val="25"/>
              </w:rPr>
              <w:t xml:space="preserve"> </w:t>
            </w:r>
            <w:r>
              <w:rPr>
                <w:sz w:val="25"/>
                <w:szCs w:val="25"/>
                <w:b/>
                <w:bCs/>
                <w:spacing w:val="-4"/>
              </w:rPr>
              <w:t>30%以上3倍以下罚款。</w:t>
            </w:r>
          </w:p>
        </w:tc>
      </w:tr>
    </w:tbl>
    <w:p>
      <w:pPr>
        <w:pStyle w:val="BodyText"/>
        <w:rPr/>
      </w:pPr>
      <w:r/>
    </w:p>
    <w:p>
      <w:pPr>
        <w:sectPr>
          <w:footerReference w:type="default" r:id="rId74"/>
          <w:pgSz w:w="16830" w:h="11900"/>
          <w:pgMar w:top="1011" w:right="1321" w:bottom="1195" w:left="1335" w:header="0" w:footer="689" w:gutter="0"/>
        </w:sectPr>
        <w:rPr/>
      </w:pPr>
    </w:p>
    <w:p>
      <w:pPr>
        <w:pStyle w:val="BodyText"/>
        <w:spacing w:line="265" w:lineRule="auto"/>
        <w:rPr/>
      </w:pPr>
      <w:r/>
    </w:p>
    <w:p>
      <w:pPr>
        <w:pStyle w:val="BodyText"/>
        <w:spacing w:line="266" w:lineRule="auto"/>
        <w:rPr/>
      </w:pPr>
      <w:r/>
    </w:p>
    <w:p>
      <w:pPr>
        <w:pStyle w:val="BodyText"/>
        <w:spacing w:line="266" w:lineRule="auto"/>
        <w:rPr/>
      </w:pPr>
      <w:r/>
    </w:p>
    <w:p>
      <w:pPr>
        <w:ind w:left="29" w:right="135" w:firstLine="640"/>
        <w:spacing w:before="97" w:line="271" w:lineRule="auto"/>
        <w:rPr>
          <w:rFonts w:ascii="FangSong" w:hAnsi="FangSong" w:eastAsia="FangSong" w:cs="FangSong"/>
          <w:sz w:val="30"/>
          <w:szCs w:val="30"/>
        </w:rPr>
      </w:pPr>
      <w:bookmarkStart w:name="bookmark747" w:id="20"/>
      <w:bookmarkEnd w:id="20"/>
      <w:r>
        <w:rPr>
          <w:rFonts w:ascii="FangSong" w:hAnsi="FangSong" w:eastAsia="FangSong" w:cs="FangSong"/>
          <w:sz w:val="30"/>
          <w:szCs w:val="30"/>
          <w:b/>
          <w:bCs/>
          <w:spacing w:val="21"/>
        </w:rPr>
        <w:t>第四条医疗器械使用单位重复使用一次性使用的医疗器械，或者未按</w:t>
      </w:r>
      <w:r>
        <w:rPr>
          <w:rFonts w:ascii="FangSong" w:hAnsi="FangSong" w:eastAsia="FangSong" w:cs="FangSong"/>
          <w:sz w:val="30"/>
          <w:szCs w:val="30"/>
          <w:b/>
          <w:bCs/>
          <w:spacing w:val="20"/>
        </w:rPr>
        <w:t>照规定销毁使用过的一次</w:t>
      </w:r>
      <w:r>
        <w:rPr>
          <w:rFonts w:ascii="FangSong" w:hAnsi="FangSong" w:eastAsia="FangSong" w:cs="FangSong"/>
          <w:sz w:val="30"/>
          <w:szCs w:val="30"/>
        </w:rPr>
        <w:t xml:space="preserve"> </w:t>
      </w:r>
      <w:r>
        <w:rPr>
          <w:rFonts w:ascii="FangSong" w:hAnsi="FangSong" w:eastAsia="FangSong" w:cs="FangSong"/>
          <w:sz w:val="30"/>
          <w:szCs w:val="30"/>
          <w:b/>
          <w:bCs/>
          <w:spacing w:val="14"/>
        </w:rPr>
        <w:t>性使用的医疗器械的</w:t>
      </w:r>
    </w:p>
    <w:p>
      <w:pPr>
        <w:ind w:left="665"/>
        <w:spacing w:before="8"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firstLine="640"/>
        <w:spacing w:before="78" w:line="265" w:lineRule="auto"/>
        <w:jc w:val="both"/>
        <w:rPr>
          <w:rFonts w:ascii="FangSong" w:hAnsi="FangSong" w:eastAsia="FangSong" w:cs="FangSong"/>
          <w:sz w:val="30"/>
          <w:szCs w:val="30"/>
        </w:rPr>
      </w:pPr>
      <w:r>
        <w:rPr>
          <w:rFonts w:ascii="FangSong" w:hAnsi="FangSong" w:eastAsia="FangSong" w:cs="FangSong"/>
          <w:sz w:val="30"/>
          <w:szCs w:val="30"/>
          <w:spacing w:val="9"/>
        </w:rPr>
        <w:t>第</w:t>
      </w:r>
      <w:r>
        <w:rPr>
          <w:rFonts w:ascii="FangSong" w:hAnsi="FangSong" w:eastAsia="FangSong" w:cs="FangSong"/>
          <w:sz w:val="30"/>
          <w:szCs w:val="30"/>
          <w:spacing w:val="-41"/>
        </w:rPr>
        <w:t xml:space="preserve"> </w:t>
      </w:r>
      <w:r>
        <w:rPr>
          <w:rFonts w:ascii="FangSong" w:hAnsi="FangSong" w:eastAsia="FangSong" w:cs="FangSong"/>
          <w:sz w:val="30"/>
          <w:szCs w:val="30"/>
          <w:spacing w:val="9"/>
        </w:rPr>
        <w:t>九</w:t>
      </w:r>
      <w:r>
        <w:rPr>
          <w:rFonts w:ascii="FangSong" w:hAnsi="FangSong" w:eastAsia="FangSong" w:cs="FangSong"/>
          <w:sz w:val="30"/>
          <w:szCs w:val="30"/>
          <w:spacing w:val="-45"/>
        </w:rPr>
        <w:t xml:space="preserve"> </w:t>
      </w:r>
      <w:r>
        <w:rPr>
          <w:rFonts w:ascii="FangSong" w:hAnsi="FangSong" w:eastAsia="FangSong" w:cs="FangSong"/>
          <w:sz w:val="30"/>
          <w:szCs w:val="30"/>
          <w:spacing w:val="9"/>
        </w:rPr>
        <w:t>十</w:t>
      </w:r>
      <w:r>
        <w:rPr>
          <w:rFonts w:ascii="FangSong" w:hAnsi="FangSong" w:eastAsia="FangSong" w:cs="FangSong"/>
          <w:sz w:val="30"/>
          <w:szCs w:val="30"/>
          <w:spacing w:val="-50"/>
        </w:rPr>
        <w:t xml:space="preserve"> </w:t>
      </w:r>
      <w:r>
        <w:rPr>
          <w:rFonts w:ascii="FangSong" w:hAnsi="FangSong" w:eastAsia="FangSong" w:cs="FangSong"/>
          <w:sz w:val="30"/>
          <w:szCs w:val="30"/>
          <w:spacing w:val="9"/>
        </w:rPr>
        <w:t>条</w:t>
      </w:r>
      <w:r>
        <w:rPr>
          <w:rFonts w:ascii="FangSong" w:hAnsi="FangSong" w:eastAsia="FangSong" w:cs="FangSong"/>
          <w:sz w:val="30"/>
          <w:szCs w:val="30"/>
          <w:spacing w:val="-40"/>
        </w:rPr>
        <w:t xml:space="preserve"> </w:t>
      </w:r>
      <w:r>
        <w:rPr>
          <w:rFonts w:ascii="FangSong" w:hAnsi="FangSong" w:eastAsia="FangSong" w:cs="FangSong"/>
          <w:sz w:val="30"/>
          <w:szCs w:val="30"/>
          <w:spacing w:val="9"/>
        </w:rPr>
        <w:t>第</w:t>
      </w:r>
      <w:r>
        <w:rPr>
          <w:rFonts w:ascii="FangSong" w:hAnsi="FangSong" w:eastAsia="FangSong" w:cs="FangSong"/>
          <w:sz w:val="30"/>
          <w:szCs w:val="30"/>
          <w:spacing w:val="9"/>
        </w:rPr>
        <w:t xml:space="preserve"> </w:t>
      </w:r>
      <w:r>
        <w:rPr>
          <w:rFonts w:ascii="FangSong" w:hAnsi="FangSong" w:eastAsia="FangSong" w:cs="FangSong"/>
          <w:sz w:val="30"/>
          <w:szCs w:val="30"/>
          <w:spacing w:val="9"/>
        </w:rPr>
        <w:t>(</w:t>
      </w:r>
      <w:r>
        <w:rPr>
          <w:rFonts w:ascii="FangSong" w:hAnsi="FangSong" w:eastAsia="FangSong" w:cs="FangSong"/>
          <w:sz w:val="30"/>
          <w:szCs w:val="30"/>
          <w:spacing w:val="-44"/>
        </w:rPr>
        <w:t xml:space="preserve"> </w:t>
      </w:r>
      <w:r>
        <w:rPr>
          <w:rFonts w:ascii="FangSong" w:hAnsi="FangSong" w:eastAsia="FangSong" w:cs="FangSong"/>
          <w:sz w:val="30"/>
          <w:szCs w:val="30"/>
          <w:spacing w:val="9"/>
        </w:rPr>
        <w:t>二</w:t>
      </w:r>
      <w:r>
        <w:rPr>
          <w:rFonts w:ascii="FangSong" w:hAnsi="FangSong" w:eastAsia="FangSong" w:cs="FangSong"/>
          <w:sz w:val="30"/>
          <w:szCs w:val="30"/>
          <w:spacing w:val="-61"/>
        </w:rPr>
        <w:t xml:space="preserve"> </w:t>
      </w:r>
      <w:r>
        <w:rPr>
          <w:rFonts w:ascii="FangSong" w:hAnsi="FangSong" w:eastAsia="FangSong" w:cs="FangSong"/>
          <w:sz w:val="30"/>
          <w:szCs w:val="30"/>
          <w:spacing w:val="9"/>
        </w:rPr>
        <w:t>)</w:t>
      </w:r>
      <w:r>
        <w:rPr>
          <w:rFonts w:ascii="FangSong" w:hAnsi="FangSong" w:eastAsia="FangSong" w:cs="FangSong"/>
          <w:sz w:val="30"/>
          <w:szCs w:val="30"/>
          <w:spacing w:val="-52"/>
        </w:rPr>
        <w:t xml:space="preserve"> </w:t>
      </w:r>
      <w:r>
        <w:rPr>
          <w:rFonts w:ascii="FangSong" w:hAnsi="FangSong" w:eastAsia="FangSong" w:cs="FangSong"/>
          <w:sz w:val="30"/>
          <w:szCs w:val="30"/>
          <w:spacing w:val="9"/>
        </w:rPr>
        <w:t>项</w:t>
      </w:r>
      <w:r>
        <w:rPr>
          <w:rFonts w:ascii="FangSong" w:hAnsi="FangSong" w:eastAsia="FangSong" w:cs="FangSong"/>
          <w:sz w:val="30"/>
          <w:szCs w:val="30"/>
          <w:spacing w:val="9"/>
        </w:rPr>
        <w:t xml:space="preserve">  </w:t>
      </w:r>
      <w:r>
        <w:rPr>
          <w:rFonts w:ascii="FangSong" w:hAnsi="FangSong" w:eastAsia="FangSong" w:cs="FangSong"/>
          <w:sz w:val="30"/>
          <w:szCs w:val="30"/>
          <w:spacing w:val="9"/>
        </w:rPr>
        <w:t>有下列情形之一的，由县级以上人民政府卫生主管部门责令改正，给予</w:t>
      </w:r>
      <w:r>
        <w:rPr>
          <w:rFonts w:ascii="FangSong" w:hAnsi="FangSong" w:eastAsia="FangSong" w:cs="FangSong"/>
          <w:sz w:val="30"/>
          <w:szCs w:val="30"/>
        </w:rPr>
        <w:t xml:space="preserve">  </w:t>
      </w:r>
      <w:r>
        <w:rPr>
          <w:rFonts w:ascii="FangSong" w:hAnsi="FangSong" w:eastAsia="FangSong" w:cs="FangSong"/>
          <w:sz w:val="30"/>
          <w:szCs w:val="30"/>
          <w:spacing w:val="29"/>
        </w:rPr>
        <w:t>警告；拒不改正的，处5万元以上10万元以下</w:t>
      </w:r>
      <w:r>
        <w:rPr>
          <w:rFonts w:ascii="FangSong" w:hAnsi="FangSong" w:eastAsia="FangSong" w:cs="FangSong"/>
          <w:sz w:val="30"/>
          <w:szCs w:val="30"/>
          <w:spacing w:val="28"/>
        </w:rPr>
        <w:t>罚款；情节严重的，处10万元以上30万元以下罚款，</w:t>
      </w:r>
      <w:r>
        <w:rPr>
          <w:rFonts w:ascii="FangSong" w:hAnsi="FangSong" w:eastAsia="FangSong" w:cs="FangSong"/>
          <w:sz w:val="30"/>
          <w:szCs w:val="30"/>
        </w:rPr>
        <w:t xml:space="preserve"> </w:t>
      </w:r>
      <w:r>
        <w:rPr>
          <w:rFonts w:ascii="FangSong" w:hAnsi="FangSong" w:eastAsia="FangSong" w:cs="FangSong"/>
          <w:sz w:val="30"/>
          <w:szCs w:val="30"/>
          <w:spacing w:val="21"/>
        </w:rPr>
        <w:t>责令暂停相关医疗器械使用活动，直至由原发证部门吊销执业许可证，依法责令</w:t>
      </w:r>
      <w:r>
        <w:rPr>
          <w:rFonts w:ascii="FangSong" w:hAnsi="FangSong" w:eastAsia="FangSong" w:cs="FangSong"/>
          <w:sz w:val="30"/>
          <w:szCs w:val="30"/>
          <w:spacing w:val="20"/>
        </w:rPr>
        <w:t>相关责任人员暂停6</w:t>
      </w:r>
      <w:r>
        <w:rPr>
          <w:rFonts w:ascii="FangSong" w:hAnsi="FangSong" w:eastAsia="FangSong" w:cs="FangSong"/>
          <w:sz w:val="30"/>
          <w:szCs w:val="30"/>
        </w:rPr>
        <w:t xml:space="preserve"> </w:t>
      </w:r>
      <w:r>
        <w:rPr>
          <w:rFonts w:ascii="FangSong" w:hAnsi="FangSong" w:eastAsia="FangSong" w:cs="FangSong"/>
          <w:sz w:val="30"/>
          <w:szCs w:val="30"/>
          <w:spacing w:val="22"/>
        </w:rPr>
        <w:t>个月以上1年以下执业活动，直至由原发证部门吊销相关人员执业证书，对违法</w:t>
      </w:r>
      <w:r>
        <w:rPr>
          <w:rFonts w:ascii="FangSong" w:hAnsi="FangSong" w:eastAsia="FangSong" w:cs="FangSong"/>
          <w:sz w:val="30"/>
          <w:szCs w:val="30"/>
          <w:spacing w:val="21"/>
        </w:rPr>
        <w:t>单位的法定代表人、</w:t>
      </w:r>
      <w:r>
        <w:rPr>
          <w:rFonts w:ascii="FangSong" w:hAnsi="FangSong" w:eastAsia="FangSong" w:cs="FangSong"/>
          <w:sz w:val="30"/>
          <w:szCs w:val="30"/>
        </w:rPr>
        <w:t xml:space="preserve"> </w:t>
      </w:r>
      <w:r>
        <w:rPr>
          <w:rFonts w:ascii="FangSong" w:hAnsi="FangSong" w:eastAsia="FangSong" w:cs="FangSong"/>
          <w:sz w:val="30"/>
          <w:szCs w:val="30"/>
          <w:spacing w:val="17"/>
        </w:rPr>
        <w:t>主要负责人、直接负责的主管人员和其他责任人员，没收违</w:t>
      </w:r>
      <w:r>
        <w:rPr>
          <w:rFonts w:ascii="FangSong" w:hAnsi="FangSong" w:eastAsia="FangSong" w:cs="FangSong"/>
          <w:sz w:val="30"/>
          <w:szCs w:val="30"/>
          <w:spacing w:val="16"/>
        </w:rPr>
        <w:t>法行为发生期间自本单位所获收入，并处</w:t>
      </w:r>
      <w:r>
        <w:rPr>
          <w:rFonts w:ascii="FangSong" w:hAnsi="FangSong" w:eastAsia="FangSong" w:cs="FangSong"/>
          <w:sz w:val="30"/>
          <w:szCs w:val="30"/>
        </w:rPr>
        <w:t xml:space="preserve"> </w:t>
      </w:r>
      <w:r>
        <w:rPr>
          <w:rFonts w:ascii="FangSong" w:hAnsi="FangSong" w:eastAsia="FangSong" w:cs="FangSong"/>
          <w:sz w:val="30"/>
          <w:szCs w:val="30"/>
          <w:spacing w:val="29"/>
        </w:rPr>
        <w:t>所获收入30%以上3倍以下罚款，依法给予处分：</w:t>
      </w:r>
    </w:p>
    <w:p>
      <w:pPr>
        <w:ind w:left="25" w:right="129" w:firstLine="769"/>
        <w:spacing w:before="53" w:line="262" w:lineRule="auto"/>
        <w:rPr>
          <w:rFonts w:ascii="FangSong" w:hAnsi="FangSong" w:eastAsia="FangSong" w:cs="FangSong"/>
          <w:sz w:val="30"/>
          <w:szCs w:val="30"/>
        </w:rPr>
      </w:pPr>
      <w:r>
        <w:rPr>
          <w:rFonts w:ascii="FangSong" w:hAnsi="FangSong" w:eastAsia="FangSong" w:cs="FangSong"/>
          <w:sz w:val="30"/>
          <w:szCs w:val="30"/>
          <w:spacing w:val="21"/>
        </w:rPr>
        <w:t>(二)医疗器械使用单位重复使用一次性使</w:t>
      </w:r>
      <w:r>
        <w:rPr>
          <w:rFonts w:ascii="FangSong" w:hAnsi="FangSong" w:eastAsia="FangSong" w:cs="FangSong"/>
          <w:sz w:val="30"/>
          <w:szCs w:val="30"/>
          <w:spacing w:val="20"/>
        </w:rPr>
        <w:t>用的医疗器械，或者未按照规定销毁使用过的一次性</w:t>
      </w:r>
      <w:r>
        <w:rPr>
          <w:rFonts w:ascii="FangSong" w:hAnsi="FangSong" w:eastAsia="FangSong" w:cs="FangSong"/>
          <w:sz w:val="30"/>
          <w:szCs w:val="30"/>
        </w:rPr>
        <w:t xml:space="preserve"> </w:t>
      </w:r>
      <w:r>
        <w:rPr>
          <w:rFonts w:ascii="FangSong" w:hAnsi="FangSong" w:eastAsia="FangSong" w:cs="FangSong"/>
          <w:sz w:val="30"/>
          <w:szCs w:val="30"/>
          <w:spacing w:val="8"/>
        </w:rPr>
        <w:t>使用的医疗器械；</w:t>
      </w:r>
    </w:p>
    <w:p>
      <w:pPr>
        <w:ind w:left="6369"/>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3" w:lineRule="auto"/>
        <w:rPr>
          <w:rFonts w:ascii="Arial"/>
          <w:sz w:val="2"/>
        </w:rPr>
      </w:pPr>
      <w:r>
        <w:rPr>
          <w:rFonts w:ascii="Arial"/>
          <w:sz w:val="2"/>
        </w:rPr>
      </w:r>
    </w:p>
    <w:tbl>
      <w:tblPr>
        <w:tblStyle w:val="TableNormal"/>
        <w:tblW w:w="138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54"/>
        <w:gridCol w:w="5976"/>
        <w:gridCol w:w="6190"/>
      </w:tblGrid>
      <w:tr>
        <w:trPr>
          <w:trHeight w:val="831" w:hRule="atLeast"/>
        </w:trPr>
        <w:tc>
          <w:tcPr>
            <w:tcW w:w="1654" w:type="dxa"/>
            <w:vAlign w:val="top"/>
          </w:tcPr>
          <w:p>
            <w:pPr>
              <w:pStyle w:val="TableText"/>
              <w:ind w:left="298"/>
              <w:spacing w:before="292" w:line="220" w:lineRule="auto"/>
              <w:rPr>
                <w:sz w:val="26"/>
                <w:szCs w:val="26"/>
              </w:rPr>
            </w:pPr>
            <w:r>
              <w:rPr>
                <w:sz w:val="26"/>
                <w:szCs w:val="26"/>
                <w:b/>
                <w:bCs/>
                <w:spacing w:val="-5"/>
              </w:rPr>
              <w:t>违法程度</w:t>
            </w:r>
          </w:p>
        </w:tc>
        <w:tc>
          <w:tcPr>
            <w:tcW w:w="5976" w:type="dxa"/>
            <w:vAlign w:val="top"/>
          </w:tcPr>
          <w:p>
            <w:pPr>
              <w:pStyle w:val="TableText"/>
              <w:ind w:left="2414"/>
              <w:spacing w:before="292" w:line="220" w:lineRule="auto"/>
              <w:rPr>
                <w:sz w:val="26"/>
                <w:szCs w:val="26"/>
              </w:rPr>
            </w:pPr>
            <w:r>
              <w:rPr>
                <w:sz w:val="26"/>
                <w:szCs w:val="26"/>
                <w:b/>
                <w:bCs/>
                <w:spacing w:val="-5"/>
              </w:rPr>
              <w:t>情节后果</w:t>
            </w:r>
          </w:p>
        </w:tc>
        <w:tc>
          <w:tcPr>
            <w:tcW w:w="6190" w:type="dxa"/>
            <w:vAlign w:val="top"/>
          </w:tcPr>
          <w:p>
            <w:pPr>
              <w:pStyle w:val="TableText"/>
              <w:ind w:left="2528"/>
              <w:spacing w:before="289" w:line="218" w:lineRule="auto"/>
              <w:rPr>
                <w:sz w:val="26"/>
                <w:szCs w:val="26"/>
              </w:rPr>
            </w:pPr>
            <w:r>
              <w:rPr>
                <w:sz w:val="26"/>
                <w:szCs w:val="26"/>
                <w:b/>
                <w:bCs/>
                <w:spacing w:val="-5"/>
              </w:rPr>
              <w:t>裁量幅度</w:t>
            </w:r>
          </w:p>
        </w:tc>
      </w:tr>
      <w:tr>
        <w:trPr>
          <w:trHeight w:val="936" w:hRule="atLeast"/>
        </w:trPr>
        <w:tc>
          <w:tcPr>
            <w:tcW w:w="1654" w:type="dxa"/>
            <w:vAlign w:val="top"/>
          </w:tcPr>
          <w:p>
            <w:pPr>
              <w:spacing w:line="255" w:lineRule="auto"/>
              <w:rPr>
                <w:rFonts w:ascii="Arial"/>
                <w:sz w:val="21"/>
              </w:rPr>
            </w:pPr>
            <w:r/>
          </w:p>
          <w:p>
            <w:pPr>
              <w:pStyle w:val="TableText"/>
              <w:ind w:left="558"/>
              <w:spacing w:before="84" w:line="219" w:lineRule="auto"/>
              <w:rPr>
                <w:sz w:val="26"/>
                <w:szCs w:val="26"/>
              </w:rPr>
            </w:pPr>
            <w:r>
              <w:rPr>
                <w:sz w:val="26"/>
                <w:szCs w:val="26"/>
                <w:b/>
                <w:bCs/>
                <w:spacing w:val="-6"/>
              </w:rPr>
              <w:t>较轻</w:t>
            </w:r>
          </w:p>
        </w:tc>
        <w:tc>
          <w:tcPr>
            <w:tcW w:w="5976" w:type="dxa"/>
            <w:vAlign w:val="top"/>
          </w:tcPr>
          <w:p>
            <w:pPr>
              <w:spacing w:line="258" w:lineRule="auto"/>
              <w:rPr>
                <w:rFonts w:ascii="Arial"/>
                <w:sz w:val="21"/>
              </w:rPr>
            </w:pPr>
            <w:r/>
          </w:p>
          <w:p>
            <w:pPr>
              <w:pStyle w:val="TableText"/>
              <w:ind w:left="121"/>
              <w:spacing w:before="85" w:line="219" w:lineRule="auto"/>
              <w:rPr>
                <w:sz w:val="26"/>
                <w:szCs w:val="26"/>
              </w:rPr>
            </w:pPr>
            <w:r>
              <w:rPr>
                <w:sz w:val="26"/>
                <w:szCs w:val="26"/>
              </w:rPr>
              <w:t>首次发现违法行为。</w:t>
            </w:r>
          </w:p>
        </w:tc>
        <w:tc>
          <w:tcPr>
            <w:tcW w:w="6190" w:type="dxa"/>
            <w:vAlign w:val="top"/>
          </w:tcPr>
          <w:p>
            <w:pPr>
              <w:spacing w:line="256" w:lineRule="auto"/>
              <w:rPr>
                <w:rFonts w:ascii="Arial"/>
                <w:sz w:val="21"/>
              </w:rPr>
            </w:pPr>
            <w:r/>
          </w:p>
          <w:p>
            <w:pPr>
              <w:pStyle w:val="TableText"/>
              <w:ind w:left="124"/>
              <w:spacing w:before="84" w:line="218" w:lineRule="auto"/>
              <w:rPr>
                <w:sz w:val="26"/>
                <w:szCs w:val="26"/>
              </w:rPr>
            </w:pPr>
            <w:r>
              <w:rPr>
                <w:sz w:val="26"/>
                <w:szCs w:val="26"/>
              </w:rPr>
              <w:t>给予警告。</w:t>
            </w:r>
          </w:p>
        </w:tc>
      </w:tr>
      <w:tr>
        <w:trPr>
          <w:trHeight w:val="772" w:hRule="atLeast"/>
        </w:trPr>
        <w:tc>
          <w:tcPr>
            <w:tcW w:w="1654" w:type="dxa"/>
            <w:vAlign w:val="top"/>
          </w:tcPr>
          <w:p>
            <w:pPr>
              <w:rPr>
                <w:rFonts w:ascii="Arial"/>
                <w:sz w:val="21"/>
              </w:rPr>
            </w:pPr>
            <w:r/>
          </w:p>
          <w:p>
            <w:pPr>
              <w:pStyle w:val="TableText"/>
              <w:ind w:left="558"/>
              <w:spacing w:before="84" w:line="221" w:lineRule="auto"/>
              <w:rPr>
                <w:sz w:val="26"/>
                <w:szCs w:val="26"/>
              </w:rPr>
            </w:pPr>
            <w:r>
              <w:rPr>
                <w:sz w:val="26"/>
                <w:szCs w:val="26"/>
                <w:b/>
                <w:bCs/>
                <w:spacing w:val="-10"/>
              </w:rPr>
              <w:t>一般</w:t>
            </w:r>
          </w:p>
        </w:tc>
        <w:tc>
          <w:tcPr>
            <w:tcW w:w="5976" w:type="dxa"/>
            <w:vAlign w:val="top"/>
          </w:tcPr>
          <w:p>
            <w:pPr>
              <w:spacing w:line="241" w:lineRule="auto"/>
              <w:rPr>
                <w:rFonts w:ascii="Arial"/>
                <w:sz w:val="21"/>
              </w:rPr>
            </w:pPr>
            <w:r/>
          </w:p>
          <w:p>
            <w:pPr>
              <w:pStyle w:val="TableText"/>
              <w:ind w:left="121"/>
              <w:spacing w:before="84" w:line="219" w:lineRule="auto"/>
              <w:rPr>
                <w:sz w:val="26"/>
                <w:szCs w:val="26"/>
              </w:rPr>
            </w:pPr>
            <w:r>
              <w:rPr>
                <w:sz w:val="26"/>
                <w:szCs w:val="26"/>
              </w:rPr>
              <w:t>责令改正后，拒不改正。</w:t>
            </w:r>
          </w:p>
        </w:tc>
        <w:tc>
          <w:tcPr>
            <w:tcW w:w="6190" w:type="dxa"/>
            <w:vAlign w:val="top"/>
          </w:tcPr>
          <w:p>
            <w:pPr>
              <w:spacing w:line="243" w:lineRule="auto"/>
              <w:rPr>
                <w:rFonts w:ascii="Arial"/>
                <w:sz w:val="21"/>
              </w:rPr>
            </w:pPr>
            <w:r/>
          </w:p>
          <w:p>
            <w:pPr>
              <w:pStyle w:val="TableText"/>
              <w:ind w:left="124"/>
              <w:spacing w:before="85" w:line="220" w:lineRule="auto"/>
              <w:rPr>
                <w:sz w:val="26"/>
                <w:szCs w:val="26"/>
              </w:rPr>
            </w:pPr>
            <w:r>
              <w:rPr>
                <w:sz w:val="26"/>
                <w:szCs w:val="26"/>
              </w:rPr>
              <w:t>处5万元以上10万元以下罚款。</w:t>
            </w:r>
          </w:p>
        </w:tc>
      </w:tr>
    </w:tbl>
    <w:p>
      <w:pPr>
        <w:pStyle w:val="BodyText"/>
        <w:rPr/>
      </w:pPr>
      <w:r/>
    </w:p>
    <w:p>
      <w:pPr>
        <w:sectPr>
          <w:footerReference w:type="default" r:id="rId75"/>
          <w:pgSz w:w="16830" w:h="11900"/>
          <w:pgMar w:top="1011" w:right="1329" w:bottom="1205" w:left="1414" w:header="0" w:footer="699" w:gutter="0"/>
        </w:sectPr>
        <w:rPr/>
      </w:pPr>
    </w:p>
    <w:p>
      <w:pPr>
        <w:spacing w:before="17"/>
        <w:rPr/>
      </w:pPr>
      <w:r/>
    </w:p>
    <w:p>
      <w:pPr>
        <w:spacing w:before="16"/>
        <w:rPr/>
      </w:pPr>
      <w:r/>
    </w:p>
    <w:p>
      <w:pPr>
        <w:spacing w:before="16"/>
        <w:rPr/>
      </w:pPr>
      <w:r/>
    </w:p>
    <w:tbl>
      <w:tblPr>
        <w:tblStyle w:val="TableNormal"/>
        <w:tblW w:w="138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54"/>
        <w:gridCol w:w="5976"/>
        <w:gridCol w:w="6190"/>
      </w:tblGrid>
      <w:tr>
        <w:trPr>
          <w:trHeight w:val="1322" w:hRule="atLeast"/>
        </w:trPr>
        <w:tc>
          <w:tcPr>
            <w:tcW w:w="1654"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578"/>
              <w:spacing w:before="81" w:line="220" w:lineRule="auto"/>
              <w:outlineLvl w:val="1"/>
              <w:rPr>
                <w:sz w:val="25"/>
                <w:szCs w:val="25"/>
              </w:rPr>
            </w:pPr>
            <w:bookmarkStart w:name="bookmark748" w:id="21"/>
            <w:bookmarkEnd w:id="21"/>
            <w:bookmarkStart w:name="bookmark186" w:id="22"/>
            <w:bookmarkEnd w:id="22"/>
            <w:r>
              <w:rPr>
                <w:sz w:val="25"/>
                <w:szCs w:val="25"/>
                <w:b/>
                <w:bCs/>
                <w:spacing w:val="-6"/>
              </w:rPr>
              <w:t>严重</w:t>
            </w:r>
          </w:p>
        </w:tc>
        <w:tc>
          <w:tcPr>
            <w:tcW w:w="5976" w:type="dxa"/>
            <w:vAlign w:val="top"/>
          </w:tcPr>
          <w:p>
            <w:pPr>
              <w:pStyle w:val="TableText"/>
              <w:ind w:left="11"/>
              <w:spacing w:before="154" w:line="285" w:lineRule="auto"/>
              <w:jc w:val="both"/>
              <w:rPr>
                <w:sz w:val="25"/>
                <w:szCs w:val="25"/>
              </w:rPr>
            </w:pPr>
            <w:r>
              <w:rPr>
                <w:sz w:val="25"/>
                <w:szCs w:val="25"/>
                <w:spacing w:val="-2"/>
              </w:rPr>
              <w:t>医疗器械使用单位重复使用一次性使用的医疗器械，或</w:t>
            </w:r>
            <w:r>
              <w:rPr>
                <w:sz w:val="25"/>
                <w:szCs w:val="25"/>
                <w:spacing w:val="1"/>
              </w:rPr>
              <w:t xml:space="preserve"> </w:t>
            </w:r>
            <w:r>
              <w:rPr>
                <w:sz w:val="25"/>
                <w:szCs w:val="25"/>
                <w:spacing w:val="-3"/>
              </w:rPr>
              <w:t>者未按照规定销毁使用过的一次性使用的医疗器械，导</w:t>
            </w:r>
            <w:r>
              <w:rPr>
                <w:sz w:val="25"/>
                <w:szCs w:val="25"/>
                <w:spacing w:val="14"/>
              </w:rPr>
              <w:t xml:space="preserve"> </w:t>
            </w:r>
            <w:r>
              <w:rPr>
                <w:sz w:val="25"/>
                <w:szCs w:val="25"/>
                <w:spacing w:val="5"/>
              </w:rPr>
              <w:t>致医院内感染、传染病传播等。</w:t>
            </w:r>
          </w:p>
        </w:tc>
        <w:tc>
          <w:tcPr>
            <w:tcW w:w="6190" w:type="dxa"/>
            <w:vAlign w:val="top"/>
          </w:tcPr>
          <w:p>
            <w:pPr>
              <w:spacing w:line="461" w:lineRule="auto"/>
              <w:rPr>
                <w:rFonts w:ascii="Arial"/>
                <w:sz w:val="21"/>
              </w:rPr>
            </w:pPr>
            <w:r/>
          </w:p>
          <w:p>
            <w:pPr>
              <w:pStyle w:val="TableText"/>
              <w:ind w:left="124"/>
              <w:spacing w:before="81" w:line="219" w:lineRule="auto"/>
              <w:rPr>
                <w:sz w:val="25"/>
                <w:szCs w:val="25"/>
              </w:rPr>
            </w:pPr>
            <w:r>
              <w:rPr>
                <w:sz w:val="25"/>
                <w:szCs w:val="25"/>
                <w:spacing w:val="5"/>
              </w:rPr>
              <w:t>导致医院内感染，处10万元以上20万元以下罚款；</w:t>
            </w:r>
          </w:p>
        </w:tc>
      </w:tr>
      <w:tr>
        <w:trPr>
          <w:trHeight w:val="4317" w:hRule="atLeast"/>
        </w:trPr>
        <w:tc>
          <w:tcPr>
            <w:tcW w:w="1654" w:type="dxa"/>
            <w:vAlign w:val="top"/>
            <w:vMerge w:val="continue"/>
            <w:tcBorders>
              <w:top w:val="nil"/>
            </w:tcBorders>
          </w:tcPr>
          <w:p>
            <w:pPr>
              <w:rPr>
                <w:rFonts w:ascii="Arial"/>
                <w:sz w:val="21"/>
              </w:rPr>
            </w:pPr>
            <w:r/>
          </w:p>
        </w:tc>
        <w:tc>
          <w:tcPr>
            <w:tcW w:w="5976"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01" w:right="99"/>
              <w:spacing w:before="82" w:line="319" w:lineRule="auto"/>
              <w:rPr>
                <w:sz w:val="25"/>
                <w:szCs w:val="25"/>
              </w:rPr>
            </w:pPr>
            <w:r>
              <w:rPr>
                <w:sz w:val="25"/>
                <w:szCs w:val="25"/>
              </w:rPr>
              <w:t>重复使用的医疗器械未按照规定处理在15件次以上25</w:t>
            </w:r>
            <w:r>
              <w:rPr>
                <w:sz w:val="25"/>
                <w:szCs w:val="25"/>
                <w:spacing w:val="14"/>
              </w:rPr>
              <w:t xml:space="preserve"> </w:t>
            </w:r>
            <w:r>
              <w:rPr>
                <w:sz w:val="25"/>
                <w:szCs w:val="25"/>
                <w:spacing w:val="1"/>
              </w:rPr>
              <w:t>件次以下，经责令限期改正，逾期不改正的</w:t>
            </w:r>
          </w:p>
        </w:tc>
        <w:tc>
          <w:tcPr>
            <w:tcW w:w="6190" w:type="dxa"/>
            <w:vAlign w:val="top"/>
          </w:tcPr>
          <w:p>
            <w:pPr>
              <w:spacing w:line="349" w:lineRule="auto"/>
              <w:rPr>
                <w:rFonts w:ascii="Arial"/>
                <w:sz w:val="21"/>
              </w:rPr>
            </w:pPr>
            <w:r/>
          </w:p>
          <w:p>
            <w:pPr>
              <w:spacing w:line="349" w:lineRule="auto"/>
              <w:rPr>
                <w:rFonts w:ascii="Arial"/>
                <w:sz w:val="21"/>
              </w:rPr>
            </w:pPr>
            <w:r/>
          </w:p>
          <w:p>
            <w:pPr>
              <w:pStyle w:val="TableText"/>
              <w:ind w:left="85"/>
              <w:spacing w:before="81" w:line="323" w:lineRule="auto"/>
              <w:jc w:val="both"/>
              <w:rPr>
                <w:sz w:val="25"/>
                <w:szCs w:val="25"/>
              </w:rPr>
            </w:pPr>
            <w:r>
              <w:rPr>
                <w:sz w:val="25"/>
                <w:szCs w:val="25"/>
              </w:rPr>
              <w:t>导致传染病传播，处20万元以上30万元以下罚款。责令</w:t>
            </w:r>
            <w:r>
              <w:rPr>
                <w:sz w:val="25"/>
                <w:szCs w:val="25"/>
                <w:spacing w:val="5"/>
              </w:rPr>
              <w:t xml:space="preserve"> </w:t>
            </w:r>
            <w:r>
              <w:rPr>
                <w:sz w:val="25"/>
                <w:szCs w:val="25"/>
                <w:spacing w:val="-7"/>
              </w:rPr>
              <w:t>暂停相关医疗器械使用活动，直至由原发证部门吊销执业</w:t>
            </w:r>
            <w:r>
              <w:rPr>
                <w:sz w:val="25"/>
                <w:szCs w:val="25"/>
                <w:spacing w:val="16"/>
              </w:rPr>
              <w:t xml:space="preserve"> </w:t>
            </w:r>
            <w:r>
              <w:rPr>
                <w:sz w:val="25"/>
                <w:szCs w:val="25"/>
              </w:rPr>
              <w:t>许可证，依法责令相关责任人员暂停6个月以上1年以下</w:t>
            </w:r>
            <w:r>
              <w:rPr>
                <w:sz w:val="25"/>
                <w:szCs w:val="25"/>
                <w:spacing w:val="10"/>
              </w:rPr>
              <w:t xml:space="preserve"> </w:t>
            </w:r>
            <w:r>
              <w:rPr>
                <w:sz w:val="25"/>
                <w:szCs w:val="25"/>
                <w:spacing w:val="-7"/>
              </w:rPr>
              <w:t>执业活动，直至由原发证部门吊销相关人员执业证书，对</w:t>
            </w:r>
            <w:r>
              <w:rPr>
                <w:sz w:val="25"/>
                <w:szCs w:val="25"/>
                <w:spacing w:val="18"/>
              </w:rPr>
              <w:t xml:space="preserve"> </w:t>
            </w:r>
            <w:r>
              <w:rPr>
                <w:sz w:val="25"/>
                <w:szCs w:val="25"/>
                <w:spacing w:val="-7"/>
              </w:rPr>
              <w:t>违法单位的法定代表人、主要负责人、直接负责的主管人</w:t>
            </w:r>
            <w:r>
              <w:rPr>
                <w:sz w:val="25"/>
                <w:szCs w:val="25"/>
                <w:spacing w:val="18"/>
              </w:rPr>
              <w:t xml:space="preserve"> </w:t>
            </w:r>
            <w:r>
              <w:rPr>
                <w:sz w:val="25"/>
                <w:szCs w:val="25"/>
                <w:spacing w:val="-7"/>
              </w:rPr>
              <w:t>员和其他责任人员，没收违法行为发生期间自本单位所获</w:t>
            </w:r>
            <w:r>
              <w:rPr>
                <w:sz w:val="25"/>
                <w:szCs w:val="25"/>
                <w:spacing w:val="18"/>
              </w:rPr>
              <w:t xml:space="preserve"> </w:t>
            </w:r>
            <w:r>
              <w:rPr>
                <w:sz w:val="25"/>
                <w:szCs w:val="25"/>
              </w:rPr>
              <w:t>收入，并处所获收入30%以上3倍以下罚款。</w:t>
            </w:r>
          </w:p>
        </w:tc>
      </w:tr>
    </w:tbl>
    <w:p>
      <w:pPr>
        <w:pStyle w:val="BodyText"/>
        <w:spacing w:line="445" w:lineRule="auto"/>
        <w:rPr/>
      </w:pPr>
      <w:r/>
    </w:p>
    <w:p>
      <w:pPr>
        <w:ind w:left="809"/>
        <w:spacing w:before="101" w:line="224" w:lineRule="auto"/>
        <w:rPr>
          <w:rFonts w:ascii="KaiTi" w:hAnsi="KaiTi" w:eastAsia="KaiTi" w:cs="KaiTi"/>
          <w:sz w:val="31"/>
          <w:szCs w:val="31"/>
        </w:rPr>
      </w:pPr>
      <w:r>
        <w:rPr>
          <w:rFonts w:ascii="KaiTi" w:hAnsi="KaiTi" w:eastAsia="KaiTi" w:cs="KaiTi"/>
          <w:sz w:val="31"/>
          <w:szCs w:val="31"/>
          <w:b/>
          <w:bCs/>
          <w:spacing w:val="17"/>
        </w:rPr>
        <w:t>(三)《中华人民共和国传染病防治法》</w:t>
      </w:r>
    </w:p>
    <w:p>
      <w:pPr>
        <w:ind w:left="679"/>
        <w:spacing w:before="43" w:line="224" w:lineRule="auto"/>
        <w:rPr>
          <w:rFonts w:ascii="KaiTi" w:hAnsi="KaiTi" w:eastAsia="KaiTi" w:cs="KaiTi"/>
          <w:sz w:val="31"/>
          <w:szCs w:val="31"/>
        </w:rPr>
      </w:pPr>
      <w:r>
        <w:rPr>
          <w:rFonts w:ascii="KaiTi" w:hAnsi="KaiTi" w:eastAsia="KaiTi" w:cs="KaiTi"/>
          <w:sz w:val="31"/>
          <w:szCs w:val="31"/>
          <w:b/>
          <w:bCs/>
          <w:spacing w:val="13"/>
        </w:rPr>
        <w:t>第五条疾病预防控制机构未依法履行传染病监测职责的</w:t>
      </w:r>
    </w:p>
    <w:p>
      <w:pPr>
        <w:ind w:left="654"/>
        <w:spacing w:before="125" w:line="224" w:lineRule="auto"/>
        <w:rPr>
          <w:rFonts w:ascii="KaiTi" w:hAnsi="KaiTi" w:eastAsia="KaiTi" w:cs="KaiTi"/>
          <w:sz w:val="27"/>
          <w:szCs w:val="27"/>
        </w:rPr>
      </w:pPr>
      <w:r>
        <w:rPr>
          <w:rFonts w:ascii="KaiTi" w:hAnsi="KaiTi" w:eastAsia="KaiTi" w:cs="KaiTi"/>
          <w:sz w:val="27"/>
          <w:szCs w:val="27"/>
          <w:spacing w:val="29"/>
        </w:rPr>
        <w:t>法律依据：</w:t>
      </w:r>
    </w:p>
    <w:p>
      <w:pPr>
        <w:spacing w:line="224" w:lineRule="auto"/>
        <w:sectPr>
          <w:footerReference w:type="default" r:id="rId76"/>
          <w:pgSz w:w="16830" w:h="11900"/>
          <w:pgMar w:top="1011" w:right="1584" w:bottom="1195" w:left="1414" w:header="0" w:footer="689" w:gutter="0"/>
        </w:sectPr>
        <w:rPr>
          <w:rFonts w:ascii="KaiTi" w:hAnsi="KaiTi" w:eastAsia="KaiTi" w:cs="KaiTi"/>
          <w:sz w:val="27"/>
          <w:szCs w:val="27"/>
        </w:rPr>
      </w:pPr>
    </w:p>
    <w:p>
      <w:pPr>
        <w:pStyle w:val="BodyText"/>
        <w:spacing w:line="263" w:lineRule="auto"/>
        <w:rPr/>
      </w:pPr>
      <w:r/>
    </w:p>
    <w:p>
      <w:pPr>
        <w:pStyle w:val="BodyText"/>
        <w:spacing w:line="263" w:lineRule="auto"/>
        <w:rPr/>
      </w:pPr>
      <w:r/>
    </w:p>
    <w:p>
      <w:pPr>
        <w:pStyle w:val="BodyText"/>
        <w:spacing w:line="263" w:lineRule="auto"/>
        <w:rPr/>
      </w:pPr>
      <w:r/>
    </w:p>
    <w:p>
      <w:pPr>
        <w:ind w:left="25" w:firstLine="635"/>
        <w:spacing w:before="94" w:line="275" w:lineRule="auto"/>
        <w:jc w:val="both"/>
        <w:rPr>
          <w:rFonts w:ascii="FangSong" w:hAnsi="FangSong" w:eastAsia="FangSong" w:cs="FangSong"/>
          <w:sz w:val="29"/>
          <w:szCs w:val="29"/>
        </w:rPr>
      </w:pPr>
      <w:bookmarkStart w:name="bookmark749" w:id="23"/>
      <w:bookmarkEnd w:id="23"/>
      <w:r>
        <w:rPr>
          <w:rFonts w:ascii="FangSong" w:hAnsi="FangSong" w:eastAsia="FangSong" w:cs="FangSong"/>
          <w:sz w:val="29"/>
          <w:szCs w:val="29"/>
          <w:spacing w:val="32"/>
        </w:rPr>
        <w:t>《中华人民共和国传染病防治法》第六十八条第(</w:t>
      </w:r>
      <w:r>
        <w:rPr>
          <w:rFonts w:ascii="FangSong" w:hAnsi="FangSong" w:eastAsia="FangSong" w:cs="FangSong"/>
          <w:sz w:val="29"/>
          <w:szCs w:val="29"/>
          <w:spacing w:val="-64"/>
        </w:rPr>
        <w:t xml:space="preserve"> </w:t>
      </w:r>
      <w:r>
        <w:rPr>
          <w:rFonts w:ascii="FangSong" w:hAnsi="FangSong" w:eastAsia="FangSong" w:cs="FangSong"/>
          <w:sz w:val="29"/>
          <w:szCs w:val="29"/>
          <w:spacing w:val="32"/>
        </w:rPr>
        <w:t>一)项</w:t>
      </w:r>
      <w:r>
        <w:rPr>
          <w:rFonts w:ascii="FangSong" w:hAnsi="FangSong" w:eastAsia="FangSong" w:cs="FangSong"/>
          <w:sz w:val="29"/>
          <w:szCs w:val="29"/>
          <w:spacing w:val="32"/>
        </w:rPr>
        <w:t xml:space="preserve">   </w:t>
      </w:r>
      <w:r>
        <w:rPr>
          <w:rFonts w:ascii="FangSong" w:hAnsi="FangSong" w:eastAsia="FangSong" w:cs="FangSong"/>
          <w:sz w:val="29"/>
          <w:szCs w:val="29"/>
          <w:spacing w:val="32"/>
        </w:rPr>
        <w:t>疾病</w:t>
      </w:r>
      <w:r>
        <w:rPr>
          <w:rFonts w:ascii="FangSong" w:hAnsi="FangSong" w:eastAsia="FangSong" w:cs="FangSong"/>
          <w:sz w:val="29"/>
          <w:szCs w:val="29"/>
          <w:spacing w:val="31"/>
        </w:rPr>
        <w:t>预防控制机构违反本法规定，</w:t>
      </w:r>
      <w:r>
        <w:rPr>
          <w:rFonts w:ascii="FangSong" w:hAnsi="FangSong" w:eastAsia="FangSong" w:cs="FangSong"/>
          <w:sz w:val="29"/>
          <w:szCs w:val="29"/>
        </w:rPr>
        <w:t xml:space="preserve"> </w:t>
      </w:r>
      <w:r>
        <w:rPr>
          <w:rFonts w:ascii="FangSong" w:hAnsi="FangSong" w:eastAsia="FangSong" w:cs="FangSong"/>
          <w:sz w:val="29"/>
          <w:szCs w:val="29"/>
          <w:spacing w:val="27"/>
        </w:rPr>
        <w:t>有下列情形之一的，由县级以上人民政府卫生行政部门责令限期改正，通报批</w:t>
      </w:r>
      <w:r>
        <w:rPr>
          <w:rFonts w:ascii="FangSong" w:hAnsi="FangSong" w:eastAsia="FangSong" w:cs="FangSong"/>
          <w:sz w:val="29"/>
          <w:szCs w:val="29"/>
          <w:spacing w:val="26"/>
        </w:rPr>
        <w:t>评，给予警告；对负有</w:t>
      </w:r>
      <w:r>
        <w:rPr>
          <w:rFonts w:ascii="FangSong" w:hAnsi="FangSong" w:eastAsia="FangSong" w:cs="FangSong"/>
          <w:sz w:val="29"/>
          <w:szCs w:val="29"/>
        </w:rPr>
        <w:t xml:space="preserve"> </w:t>
      </w:r>
      <w:r>
        <w:rPr>
          <w:rFonts w:ascii="FangSong" w:hAnsi="FangSong" w:eastAsia="FangSong" w:cs="FangSong"/>
          <w:sz w:val="29"/>
          <w:szCs w:val="29"/>
          <w:spacing w:val="27"/>
        </w:rPr>
        <w:t>责任的主管人员和其他直接责任人员，依法给予降级、撤职、</w:t>
      </w:r>
      <w:r>
        <w:rPr>
          <w:rFonts w:ascii="FangSong" w:hAnsi="FangSong" w:eastAsia="FangSong" w:cs="FangSong"/>
          <w:sz w:val="29"/>
          <w:szCs w:val="29"/>
          <w:spacing w:val="26"/>
        </w:rPr>
        <w:t>开除的处分，并可以依法吊销有关责任</w:t>
      </w:r>
      <w:r>
        <w:rPr>
          <w:rFonts w:ascii="FangSong" w:hAnsi="FangSong" w:eastAsia="FangSong" w:cs="FangSong"/>
          <w:sz w:val="29"/>
          <w:szCs w:val="29"/>
        </w:rPr>
        <w:t xml:space="preserve"> </w:t>
      </w:r>
      <w:r>
        <w:rPr>
          <w:rFonts w:ascii="FangSong" w:hAnsi="FangSong" w:eastAsia="FangSong" w:cs="FangSong"/>
          <w:sz w:val="29"/>
          <w:szCs w:val="29"/>
          <w:spacing w:val="16"/>
        </w:rPr>
        <w:t>人员的执业证书：</w:t>
      </w:r>
    </w:p>
    <w:p>
      <w:pPr>
        <w:ind w:left="805"/>
        <w:spacing w:before="28" w:line="221" w:lineRule="auto"/>
        <w:rPr>
          <w:rFonts w:ascii="FangSong" w:hAnsi="FangSong" w:eastAsia="FangSong" w:cs="FangSong"/>
          <w:sz w:val="29"/>
          <w:szCs w:val="29"/>
        </w:rPr>
      </w:pPr>
      <w:r>
        <w:rPr>
          <w:rFonts w:ascii="FangSong" w:hAnsi="FangSong" w:eastAsia="FangSong" w:cs="FangSong"/>
          <w:sz w:val="29"/>
          <w:szCs w:val="29"/>
          <w:spacing w:val="28"/>
        </w:rPr>
        <w:t>(</w:t>
      </w:r>
      <w:r>
        <w:rPr>
          <w:rFonts w:ascii="FangSong" w:hAnsi="FangSong" w:eastAsia="FangSong" w:cs="FangSong"/>
          <w:sz w:val="29"/>
          <w:szCs w:val="29"/>
          <w:spacing w:val="-68"/>
        </w:rPr>
        <w:t xml:space="preserve"> </w:t>
      </w:r>
      <w:r>
        <w:rPr>
          <w:rFonts w:ascii="FangSong" w:hAnsi="FangSong" w:eastAsia="FangSong" w:cs="FangSong"/>
          <w:sz w:val="29"/>
          <w:szCs w:val="29"/>
          <w:spacing w:val="28"/>
        </w:rPr>
        <w:t>一)未依法履行传染病监测职责的；</w:t>
      </w:r>
    </w:p>
    <w:p>
      <w:pPr>
        <w:ind w:left="6439"/>
        <w:spacing w:before="9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8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624"/>
        <w:gridCol w:w="4832"/>
      </w:tblGrid>
      <w:tr>
        <w:trPr>
          <w:trHeight w:val="582" w:hRule="atLeast"/>
        </w:trPr>
        <w:tc>
          <w:tcPr>
            <w:tcW w:w="1434" w:type="dxa"/>
            <w:vAlign w:val="top"/>
          </w:tcPr>
          <w:p>
            <w:pPr>
              <w:pStyle w:val="TableText"/>
              <w:ind w:left="208"/>
              <w:spacing w:before="172" w:line="220" w:lineRule="auto"/>
              <w:rPr>
                <w:sz w:val="25"/>
                <w:szCs w:val="25"/>
              </w:rPr>
            </w:pPr>
            <w:r>
              <w:rPr>
                <w:sz w:val="25"/>
                <w:szCs w:val="25"/>
                <w:b/>
                <w:bCs/>
                <w:spacing w:val="-5"/>
              </w:rPr>
              <w:t>违法程度</w:t>
            </w:r>
          </w:p>
        </w:tc>
        <w:tc>
          <w:tcPr>
            <w:tcW w:w="7624" w:type="dxa"/>
            <w:vAlign w:val="top"/>
          </w:tcPr>
          <w:p>
            <w:pPr>
              <w:pStyle w:val="TableText"/>
              <w:ind w:left="3234"/>
              <w:spacing w:before="172" w:line="220" w:lineRule="auto"/>
              <w:rPr>
                <w:sz w:val="25"/>
                <w:szCs w:val="25"/>
              </w:rPr>
            </w:pPr>
            <w:r>
              <w:rPr>
                <w:sz w:val="25"/>
                <w:szCs w:val="25"/>
                <w:b/>
                <w:bCs/>
                <w:spacing w:val="-5"/>
              </w:rPr>
              <w:t>情节后果</w:t>
            </w:r>
          </w:p>
        </w:tc>
        <w:tc>
          <w:tcPr>
            <w:tcW w:w="4832" w:type="dxa"/>
            <w:vAlign w:val="top"/>
          </w:tcPr>
          <w:p>
            <w:pPr>
              <w:pStyle w:val="TableText"/>
              <w:ind w:left="1860"/>
              <w:spacing w:before="169" w:line="218" w:lineRule="auto"/>
              <w:rPr>
                <w:sz w:val="25"/>
                <w:szCs w:val="25"/>
              </w:rPr>
            </w:pPr>
            <w:r>
              <w:rPr>
                <w:sz w:val="25"/>
                <w:szCs w:val="25"/>
                <w:b/>
                <w:bCs/>
                <w:spacing w:val="-5"/>
              </w:rPr>
              <w:t>裁量幅度</w:t>
            </w:r>
          </w:p>
        </w:tc>
      </w:tr>
      <w:tr>
        <w:trPr>
          <w:trHeight w:val="606" w:hRule="atLeast"/>
        </w:trPr>
        <w:tc>
          <w:tcPr>
            <w:tcW w:w="1434" w:type="dxa"/>
            <w:vAlign w:val="top"/>
          </w:tcPr>
          <w:p>
            <w:pPr>
              <w:pStyle w:val="TableText"/>
              <w:ind w:left="458"/>
              <w:spacing w:before="181" w:line="221" w:lineRule="auto"/>
              <w:rPr>
                <w:sz w:val="25"/>
                <w:szCs w:val="25"/>
              </w:rPr>
            </w:pPr>
            <w:r>
              <w:rPr>
                <w:sz w:val="25"/>
                <w:szCs w:val="25"/>
                <w:b/>
                <w:bCs/>
                <w:spacing w:val="-10"/>
              </w:rPr>
              <w:t>一般</w:t>
            </w:r>
          </w:p>
        </w:tc>
        <w:tc>
          <w:tcPr>
            <w:tcW w:w="7624" w:type="dxa"/>
            <w:vAlign w:val="top"/>
          </w:tcPr>
          <w:p>
            <w:pPr>
              <w:pStyle w:val="TableText"/>
              <w:ind w:left="111"/>
              <w:spacing w:before="241" w:line="219" w:lineRule="auto"/>
              <w:rPr>
                <w:sz w:val="25"/>
                <w:szCs w:val="25"/>
              </w:rPr>
            </w:pPr>
            <w:r>
              <w:rPr>
                <w:sz w:val="25"/>
                <w:szCs w:val="25"/>
              </w:rPr>
              <w:t>疾病预防控制机构未依法履行传染病监测职责的</w:t>
            </w:r>
          </w:p>
        </w:tc>
        <w:tc>
          <w:tcPr>
            <w:tcW w:w="4832" w:type="dxa"/>
            <w:vAlign w:val="top"/>
          </w:tcPr>
          <w:p>
            <w:pPr>
              <w:pStyle w:val="TableText"/>
              <w:ind w:left="127"/>
              <w:spacing w:before="241" w:line="218" w:lineRule="auto"/>
              <w:rPr>
                <w:sz w:val="25"/>
                <w:szCs w:val="25"/>
              </w:rPr>
            </w:pPr>
            <w:r>
              <w:rPr>
                <w:sz w:val="25"/>
                <w:szCs w:val="25"/>
                <w:spacing w:val="2"/>
              </w:rPr>
              <w:t>通报批评，警告</w:t>
            </w:r>
          </w:p>
        </w:tc>
      </w:tr>
      <w:tr>
        <w:trPr>
          <w:trHeight w:val="472" w:hRule="atLeast"/>
        </w:trPr>
        <w:tc>
          <w:tcPr>
            <w:tcW w:w="1434" w:type="dxa"/>
            <w:vAlign w:val="top"/>
          </w:tcPr>
          <w:p>
            <w:pPr>
              <w:pStyle w:val="TableText"/>
              <w:ind w:left="458"/>
              <w:spacing w:before="184" w:line="205" w:lineRule="auto"/>
              <w:rPr>
                <w:sz w:val="25"/>
                <w:szCs w:val="25"/>
              </w:rPr>
            </w:pPr>
            <w:r>
              <w:rPr>
                <w:sz w:val="25"/>
                <w:szCs w:val="25"/>
                <w:b/>
                <w:bCs/>
                <w:spacing w:val="-6"/>
              </w:rPr>
              <w:t>严重</w:t>
            </w:r>
          </w:p>
        </w:tc>
        <w:tc>
          <w:tcPr>
            <w:tcW w:w="7624" w:type="dxa"/>
            <w:vAlign w:val="top"/>
          </w:tcPr>
          <w:p>
            <w:pPr>
              <w:pStyle w:val="TableText"/>
              <w:spacing w:before="185" w:line="204" w:lineRule="auto"/>
              <w:jc w:val="right"/>
              <w:rPr>
                <w:sz w:val="25"/>
                <w:szCs w:val="25"/>
              </w:rPr>
            </w:pPr>
            <w:r>
              <w:rPr>
                <w:sz w:val="25"/>
                <w:szCs w:val="25"/>
              </w:rPr>
              <w:t>未依法履行传染病监测职责导致传染病传播、流行等或其他严重后果</w:t>
            </w:r>
          </w:p>
        </w:tc>
        <w:tc>
          <w:tcPr>
            <w:tcW w:w="4832" w:type="dxa"/>
            <w:vAlign w:val="top"/>
          </w:tcPr>
          <w:p>
            <w:pPr>
              <w:pStyle w:val="TableText"/>
              <w:ind w:left="127"/>
              <w:spacing w:before="185" w:line="204" w:lineRule="auto"/>
              <w:rPr>
                <w:sz w:val="25"/>
                <w:szCs w:val="25"/>
              </w:rPr>
            </w:pPr>
            <w:r>
              <w:rPr>
                <w:sz w:val="25"/>
                <w:szCs w:val="25"/>
                <w:spacing w:val="1"/>
              </w:rPr>
              <w:t>依法吊销有关责任人员的执业证书</w:t>
            </w:r>
          </w:p>
        </w:tc>
      </w:tr>
    </w:tbl>
    <w:p>
      <w:pPr>
        <w:pStyle w:val="BodyText"/>
        <w:spacing w:line="473" w:lineRule="auto"/>
        <w:rPr/>
      </w:pPr>
      <w:r/>
    </w:p>
    <w:p>
      <w:pPr>
        <w:ind w:left="29" w:right="18" w:firstLine="649"/>
        <w:spacing w:before="95" w:line="278" w:lineRule="auto"/>
        <w:rPr>
          <w:rFonts w:ascii="KaiTi" w:hAnsi="KaiTi" w:eastAsia="KaiTi" w:cs="KaiTi"/>
          <w:sz w:val="29"/>
          <w:szCs w:val="29"/>
        </w:rPr>
      </w:pPr>
      <w:r>
        <w:rPr>
          <w:rFonts w:ascii="KaiTi" w:hAnsi="KaiTi" w:eastAsia="KaiTi" w:cs="KaiTi"/>
          <w:sz w:val="29"/>
          <w:szCs w:val="29"/>
          <w:b/>
          <w:bCs/>
          <w:spacing w:val="31"/>
        </w:rPr>
        <w:t>第六条疾病预防控制机构未依法履行传染病疫</w:t>
      </w:r>
      <w:r>
        <w:rPr>
          <w:rFonts w:ascii="KaiTi" w:hAnsi="KaiTi" w:eastAsia="KaiTi" w:cs="KaiTi"/>
          <w:sz w:val="29"/>
          <w:szCs w:val="29"/>
          <w:b/>
          <w:bCs/>
          <w:spacing w:val="30"/>
        </w:rPr>
        <w:t>情报告、通报职责，或者隐瞒、谎报、缓报传染</w:t>
      </w:r>
      <w:r>
        <w:rPr>
          <w:rFonts w:ascii="KaiTi" w:hAnsi="KaiTi" w:eastAsia="KaiTi" w:cs="KaiTi"/>
          <w:sz w:val="29"/>
          <w:szCs w:val="29"/>
        </w:rPr>
        <w:t xml:space="preserve"> </w:t>
      </w:r>
      <w:r>
        <w:rPr>
          <w:rFonts w:ascii="KaiTi" w:hAnsi="KaiTi" w:eastAsia="KaiTi" w:cs="KaiTi"/>
          <w:sz w:val="29"/>
          <w:szCs w:val="29"/>
          <w:b/>
          <w:bCs/>
          <w:spacing w:val="22"/>
        </w:rPr>
        <w:t>病疫情的</w:t>
      </w:r>
    </w:p>
    <w:p>
      <w:pPr>
        <w:ind w:left="675"/>
        <w:spacing w:line="222" w:lineRule="auto"/>
        <w:rPr>
          <w:rFonts w:ascii="FangSong" w:hAnsi="FangSong" w:eastAsia="FangSong" w:cs="FangSong"/>
          <w:sz w:val="29"/>
          <w:szCs w:val="29"/>
        </w:rPr>
      </w:pPr>
      <w:r>
        <w:rPr>
          <w:rFonts w:ascii="FangSong" w:hAnsi="FangSong" w:eastAsia="FangSong" w:cs="FangSong"/>
          <w:sz w:val="29"/>
          <w:szCs w:val="29"/>
          <w:spacing w:val="6"/>
        </w:rPr>
        <w:t>法律依据：</w:t>
      </w:r>
    </w:p>
    <w:p>
      <w:pPr>
        <w:ind w:left="25" w:firstLine="635"/>
        <w:spacing w:before="88" w:line="282" w:lineRule="auto"/>
        <w:jc w:val="both"/>
        <w:rPr>
          <w:rFonts w:ascii="FangSong" w:hAnsi="FangSong" w:eastAsia="FangSong" w:cs="FangSong"/>
          <w:sz w:val="29"/>
          <w:szCs w:val="29"/>
        </w:rPr>
      </w:pPr>
      <w:r>
        <w:rPr>
          <w:rFonts w:ascii="FangSong" w:hAnsi="FangSong" w:eastAsia="FangSong" w:cs="FangSong"/>
          <w:sz w:val="29"/>
          <w:szCs w:val="29"/>
          <w:spacing w:val="34"/>
        </w:rPr>
        <w:t>《中华人民共和国传染病防治法》第六十八条第(二)项</w:t>
      </w:r>
      <w:r>
        <w:rPr>
          <w:rFonts w:ascii="FangSong" w:hAnsi="FangSong" w:eastAsia="FangSong" w:cs="FangSong"/>
          <w:sz w:val="29"/>
          <w:szCs w:val="29"/>
          <w:spacing w:val="33"/>
        </w:rPr>
        <w:t xml:space="preserve">   </w:t>
      </w:r>
      <w:r>
        <w:rPr>
          <w:rFonts w:ascii="FangSong" w:hAnsi="FangSong" w:eastAsia="FangSong" w:cs="FangSong"/>
          <w:sz w:val="29"/>
          <w:szCs w:val="29"/>
          <w:spacing w:val="33"/>
        </w:rPr>
        <w:t>疾病预防控制机构违反本法规定，</w:t>
      </w:r>
      <w:r>
        <w:rPr>
          <w:rFonts w:ascii="FangSong" w:hAnsi="FangSong" w:eastAsia="FangSong" w:cs="FangSong"/>
          <w:sz w:val="29"/>
          <w:szCs w:val="29"/>
        </w:rPr>
        <w:t xml:space="preserve"> </w:t>
      </w:r>
      <w:r>
        <w:rPr>
          <w:rFonts w:ascii="FangSong" w:hAnsi="FangSong" w:eastAsia="FangSong" w:cs="FangSong"/>
          <w:sz w:val="29"/>
          <w:szCs w:val="29"/>
          <w:spacing w:val="27"/>
        </w:rPr>
        <w:t>有下列情形之一的，由县级以上人民政府卫生行政部门责令限期改正，通报批</w:t>
      </w:r>
      <w:r>
        <w:rPr>
          <w:rFonts w:ascii="FangSong" w:hAnsi="FangSong" w:eastAsia="FangSong" w:cs="FangSong"/>
          <w:sz w:val="29"/>
          <w:szCs w:val="29"/>
          <w:spacing w:val="26"/>
        </w:rPr>
        <w:t>评，给予警告；对负有</w:t>
      </w:r>
      <w:r>
        <w:rPr>
          <w:rFonts w:ascii="FangSong" w:hAnsi="FangSong" w:eastAsia="FangSong" w:cs="FangSong"/>
          <w:sz w:val="29"/>
          <w:szCs w:val="29"/>
        </w:rPr>
        <w:t xml:space="preserve"> </w:t>
      </w:r>
      <w:r>
        <w:rPr>
          <w:rFonts w:ascii="FangSong" w:hAnsi="FangSong" w:eastAsia="FangSong" w:cs="FangSong"/>
          <w:sz w:val="29"/>
          <w:szCs w:val="29"/>
          <w:spacing w:val="27"/>
        </w:rPr>
        <w:t>责任的主管人员和其他直接责任人员，依法给予降级、撤职、</w:t>
      </w:r>
      <w:r>
        <w:rPr>
          <w:rFonts w:ascii="FangSong" w:hAnsi="FangSong" w:eastAsia="FangSong" w:cs="FangSong"/>
          <w:sz w:val="29"/>
          <w:szCs w:val="29"/>
          <w:spacing w:val="26"/>
        </w:rPr>
        <w:t>开除的处分，并可以依法吊销有关责任</w:t>
      </w:r>
      <w:r>
        <w:rPr>
          <w:rFonts w:ascii="FangSong" w:hAnsi="FangSong" w:eastAsia="FangSong" w:cs="FangSong"/>
          <w:sz w:val="29"/>
          <w:szCs w:val="29"/>
        </w:rPr>
        <w:t xml:space="preserve"> </w:t>
      </w:r>
      <w:r>
        <w:rPr>
          <w:rFonts w:ascii="FangSong" w:hAnsi="FangSong" w:eastAsia="FangSong" w:cs="FangSong"/>
          <w:sz w:val="29"/>
          <w:szCs w:val="29"/>
          <w:spacing w:val="16"/>
        </w:rPr>
        <w:t>人员的执业证书：</w:t>
      </w:r>
    </w:p>
    <w:p>
      <w:pPr>
        <w:spacing w:line="282" w:lineRule="auto"/>
        <w:sectPr>
          <w:footerReference w:type="default" r:id="rId77"/>
          <w:pgSz w:w="16830" w:h="11900"/>
          <w:pgMar w:top="1011" w:right="1450" w:bottom="1185" w:left="1414" w:header="0" w:footer="679" w:gutter="0"/>
        </w:sectPr>
        <w:rPr>
          <w:rFonts w:ascii="FangSong" w:hAnsi="FangSong" w:eastAsia="FangSong" w:cs="FangSong"/>
          <w:sz w:val="29"/>
          <w:szCs w:val="29"/>
        </w:rPr>
      </w:pPr>
    </w:p>
    <w:p>
      <w:pPr>
        <w:pStyle w:val="BodyText"/>
        <w:spacing w:line="250" w:lineRule="auto"/>
        <w:rPr/>
      </w:pPr>
      <w:r/>
    </w:p>
    <w:p>
      <w:pPr>
        <w:pStyle w:val="BodyText"/>
        <w:spacing w:line="250" w:lineRule="auto"/>
        <w:rPr/>
      </w:pPr>
      <w:r/>
    </w:p>
    <w:p>
      <w:pPr>
        <w:pStyle w:val="BodyText"/>
        <w:spacing w:line="250" w:lineRule="auto"/>
        <w:rPr/>
      </w:pPr>
      <w:r/>
    </w:p>
    <w:p>
      <w:pPr>
        <w:ind w:left="815"/>
        <w:spacing w:before="104" w:line="218" w:lineRule="auto"/>
        <w:rPr>
          <w:rFonts w:ascii="SimSun" w:hAnsi="SimSun" w:eastAsia="SimSun" w:cs="SimSun"/>
          <w:sz w:val="32"/>
          <w:szCs w:val="32"/>
        </w:rPr>
      </w:pPr>
      <w:r>
        <w:rPr>
          <w:rFonts w:ascii="SimSun" w:hAnsi="SimSun" w:eastAsia="SimSun" w:cs="SimSun"/>
          <w:sz w:val="32"/>
          <w:szCs w:val="32"/>
          <w:spacing w:val="4"/>
        </w:rPr>
        <w:t>(一)未依法履行传染病疫情报告、通报职责，或者隐瞒、谎报、缓报传染病疫情的；</w:t>
      </w:r>
    </w:p>
    <w:p>
      <w:pPr>
        <w:ind w:left="6379"/>
        <w:spacing w:before="91" w:line="220" w:lineRule="auto"/>
        <w:outlineLvl w:val="1"/>
        <w:rPr>
          <w:rFonts w:ascii="SimSun" w:hAnsi="SimSun" w:eastAsia="SimSun" w:cs="SimSun"/>
          <w:sz w:val="32"/>
          <w:szCs w:val="32"/>
        </w:rPr>
      </w:pPr>
      <w:bookmarkStart w:name="bookmark750" w:id="24"/>
      <w:bookmarkEnd w:id="24"/>
      <w:bookmarkStart w:name="bookmark186" w:id="25"/>
      <w:bookmarkEnd w:id="25"/>
      <w:r>
        <w:rPr>
          <w:rFonts w:ascii="SimSun" w:hAnsi="SimSun" w:eastAsia="SimSun" w:cs="SimSun"/>
          <w:sz w:val="32"/>
          <w:szCs w:val="32"/>
          <w:b/>
          <w:bCs/>
          <w:spacing w:val="-6"/>
        </w:rPr>
        <w:t>裁量标准</w:t>
      </w:r>
    </w:p>
    <w:p>
      <w:pPr>
        <w:spacing w:line="144" w:lineRule="exact"/>
        <w:rPr/>
      </w:pPr>
      <w:r/>
    </w:p>
    <w:tbl>
      <w:tblPr>
        <w:tblStyle w:val="TableNormal"/>
        <w:tblW w:w="138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73"/>
        <w:gridCol w:w="7874"/>
        <w:gridCol w:w="3192"/>
      </w:tblGrid>
      <w:tr>
        <w:trPr>
          <w:trHeight w:val="852" w:hRule="atLeast"/>
        </w:trPr>
        <w:tc>
          <w:tcPr>
            <w:tcW w:w="2773" w:type="dxa"/>
            <w:vAlign w:val="top"/>
          </w:tcPr>
          <w:p>
            <w:pPr>
              <w:pStyle w:val="TableText"/>
              <w:ind w:left="898"/>
              <w:spacing w:before="312" w:line="220" w:lineRule="auto"/>
              <w:rPr/>
            </w:pPr>
            <w:r>
              <w:rPr>
                <w:b/>
                <w:bCs/>
                <w:spacing w:val="-5"/>
              </w:rPr>
              <w:t>违法程度</w:t>
            </w:r>
          </w:p>
        </w:tc>
        <w:tc>
          <w:tcPr>
            <w:tcW w:w="7874" w:type="dxa"/>
            <w:vAlign w:val="top"/>
          </w:tcPr>
          <w:p>
            <w:pPr>
              <w:pStyle w:val="TableText"/>
              <w:ind w:left="3455"/>
              <w:spacing w:before="312" w:line="220" w:lineRule="auto"/>
              <w:rPr/>
            </w:pPr>
            <w:r>
              <w:rPr>
                <w:b/>
                <w:bCs/>
                <w:spacing w:val="-5"/>
              </w:rPr>
              <w:t>情节后果</w:t>
            </w:r>
          </w:p>
        </w:tc>
        <w:tc>
          <w:tcPr>
            <w:tcW w:w="3192" w:type="dxa"/>
            <w:vAlign w:val="top"/>
          </w:tcPr>
          <w:p>
            <w:pPr>
              <w:pStyle w:val="TableText"/>
              <w:ind w:left="1031"/>
              <w:spacing w:before="309" w:line="218" w:lineRule="auto"/>
              <w:rPr/>
            </w:pPr>
            <w:r>
              <w:rPr>
                <w:b/>
                <w:bCs/>
                <w:spacing w:val="-5"/>
              </w:rPr>
              <w:t>裁量幅度</w:t>
            </w:r>
          </w:p>
        </w:tc>
      </w:tr>
      <w:tr>
        <w:trPr>
          <w:trHeight w:val="1127" w:hRule="atLeast"/>
        </w:trPr>
        <w:tc>
          <w:tcPr>
            <w:tcW w:w="2773" w:type="dxa"/>
            <w:vAlign w:val="top"/>
          </w:tcPr>
          <w:p>
            <w:pPr>
              <w:spacing w:line="370" w:lineRule="auto"/>
              <w:rPr>
                <w:rFonts w:ascii="Arial"/>
                <w:sz w:val="21"/>
              </w:rPr>
            </w:pPr>
            <w:r/>
          </w:p>
          <w:p>
            <w:pPr>
              <w:pStyle w:val="TableText"/>
              <w:ind w:left="1038"/>
              <w:spacing w:before="78" w:line="221" w:lineRule="auto"/>
              <w:rPr/>
            </w:pPr>
            <w:r>
              <w:rPr>
                <w:b/>
                <w:bCs/>
                <w:spacing w:val="-10"/>
              </w:rPr>
              <w:t>一</w:t>
            </w:r>
            <w:r>
              <w:rPr>
                <w:spacing w:val="105"/>
              </w:rPr>
              <w:t xml:space="preserve"> </w:t>
            </w:r>
            <w:r>
              <w:rPr>
                <w:b/>
                <w:bCs/>
                <w:spacing w:val="-10"/>
              </w:rPr>
              <w:t>般</w:t>
            </w:r>
          </w:p>
        </w:tc>
        <w:tc>
          <w:tcPr>
            <w:tcW w:w="7874" w:type="dxa"/>
            <w:vAlign w:val="top"/>
          </w:tcPr>
          <w:p>
            <w:pPr>
              <w:pStyle w:val="TableText"/>
              <w:ind w:left="92"/>
              <w:spacing w:before="120" w:line="218" w:lineRule="auto"/>
              <w:rPr/>
            </w:pPr>
            <w:r>
              <w:rPr/>
              <w:t>未依法履行传染病疫情报告、通报职责，或者隐瞒、谎报、缓报传染病疫</w:t>
            </w:r>
          </w:p>
          <w:p>
            <w:pPr>
              <w:pStyle w:val="TableText"/>
              <w:ind w:left="112"/>
              <w:spacing w:before="149" w:line="220" w:lineRule="auto"/>
              <w:rPr/>
            </w:pPr>
            <w:r>
              <w:rPr>
                <w:color w:val="406060"/>
              </w:rPr>
              <w:t>情。</w:t>
            </w:r>
          </w:p>
        </w:tc>
        <w:tc>
          <w:tcPr>
            <w:tcW w:w="3192" w:type="dxa"/>
            <w:vAlign w:val="top"/>
          </w:tcPr>
          <w:p>
            <w:pPr>
              <w:spacing w:line="261" w:lineRule="auto"/>
              <w:rPr>
                <w:rFonts w:ascii="Arial"/>
                <w:sz w:val="21"/>
              </w:rPr>
            </w:pPr>
            <w:r/>
          </w:p>
          <w:p>
            <w:pPr>
              <w:pStyle w:val="TableText"/>
              <w:ind w:left="97"/>
              <w:spacing w:before="78" w:line="218" w:lineRule="auto"/>
              <w:rPr/>
            </w:pPr>
            <w:r>
              <w:rPr>
                <w:spacing w:val="2"/>
              </w:rPr>
              <w:t>通报批评、警告</w:t>
            </w:r>
          </w:p>
        </w:tc>
      </w:tr>
      <w:tr>
        <w:trPr>
          <w:trHeight w:val="1521" w:hRule="atLeast"/>
        </w:trPr>
        <w:tc>
          <w:tcPr>
            <w:tcW w:w="2773" w:type="dxa"/>
            <w:vAlign w:val="top"/>
          </w:tcPr>
          <w:p>
            <w:pPr>
              <w:spacing w:line="280" w:lineRule="auto"/>
              <w:rPr>
                <w:rFonts w:ascii="Arial"/>
                <w:sz w:val="21"/>
              </w:rPr>
            </w:pPr>
            <w:r/>
          </w:p>
          <w:p>
            <w:pPr>
              <w:spacing w:line="281" w:lineRule="auto"/>
              <w:rPr>
                <w:rFonts w:ascii="Arial"/>
                <w:sz w:val="21"/>
              </w:rPr>
            </w:pPr>
            <w:r/>
          </w:p>
          <w:p>
            <w:pPr>
              <w:pStyle w:val="TableText"/>
              <w:ind w:left="1038"/>
              <w:spacing w:before="78" w:line="220" w:lineRule="auto"/>
              <w:rPr/>
            </w:pPr>
            <w:r>
              <w:rPr>
                <w:b/>
                <w:bCs/>
                <w:spacing w:val="-8"/>
              </w:rPr>
              <w:t>严</w:t>
            </w:r>
            <w:r>
              <w:rPr>
                <w:spacing w:val="105"/>
              </w:rPr>
              <w:t xml:space="preserve"> </w:t>
            </w:r>
            <w:r>
              <w:rPr>
                <w:b/>
                <w:bCs/>
                <w:spacing w:val="-8"/>
              </w:rPr>
              <w:t>重</w:t>
            </w:r>
          </w:p>
        </w:tc>
        <w:tc>
          <w:tcPr>
            <w:tcW w:w="7874" w:type="dxa"/>
            <w:vAlign w:val="top"/>
          </w:tcPr>
          <w:p>
            <w:pPr>
              <w:pStyle w:val="TableText"/>
              <w:ind w:left="121" w:right="79" w:hanging="29"/>
              <w:spacing w:before="312" w:line="349" w:lineRule="auto"/>
              <w:rPr/>
            </w:pPr>
            <w:r>
              <w:rPr/>
              <w:t>未依法履行传染病疫情报告、通报职责，或者隐瞒、谎报、缓报传染病疫</w:t>
            </w:r>
            <w:r>
              <w:rPr>
                <w:spacing w:val="11"/>
              </w:rPr>
              <w:t xml:space="preserve"> </w:t>
            </w:r>
            <w:r>
              <w:rPr/>
              <w:t>情，造成传染病传播、流行等或其他严重后果。</w:t>
            </w:r>
          </w:p>
        </w:tc>
        <w:tc>
          <w:tcPr>
            <w:tcW w:w="3192" w:type="dxa"/>
            <w:vAlign w:val="top"/>
          </w:tcPr>
          <w:p>
            <w:pPr>
              <w:pStyle w:val="TableText"/>
              <w:ind w:left="107"/>
              <w:spacing w:before="314" w:line="219" w:lineRule="auto"/>
              <w:rPr/>
            </w:pPr>
            <w:r>
              <w:rPr/>
              <w:t>依法吊销有关责任人员的执</w:t>
            </w:r>
          </w:p>
          <w:p>
            <w:pPr>
              <w:pStyle w:val="TableText"/>
              <w:ind w:left="97"/>
              <w:spacing w:before="185" w:line="219" w:lineRule="auto"/>
              <w:rPr/>
            </w:pPr>
            <w:r>
              <w:rPr>
                <w:color w:val="404040"/>
                <w:spacing w:val="5"/>
              </w:rPr>
              <w:t>业证书</w:t>
            </w:r>
          </w:p>
        </w:tc>
      </w:tr>
    </w:tbl>
    <w:p>
      <w:pPr>
        <w:pStyle w:val="BodyText"/>
        <w:spacing w:line="311" w:lineRule="auto"/>
        <w:rPr/>
      </w:pPr>
      <w:r/>
    </w:p>
    <w:p>
      <w:pPr>
        <w:pStyle w:val="BodyText"/>
        <w:spacing w:line="312" w:lineRule="auto"/>
        <w:rPr/>
      </w:pPr>
      <w:r/>
    </w:p>
    <w:p>
      <w:pPr>
        <w:ind w:left="49" w:right="13" w:firstLine="649"/>
        <w:spacing w:before="101" w:line="267" w:lineRule="auto"/>
        <w:rPr>
          <w:rFonts w:ascii="FangSong" w:hAnsi="FangSong" w:eastAsia="FangSong" w:cs="FangSong"/>
          <w:sz w:val="31"/>
          <w:szCs w:val="31"/>
        </w:rPr>
      </w:pPr>
      <w:r>
        <w:rPr>
          <w:rFonts w:ascii="FangSong" w:hAnsi="FangSong" w:eastAsia="FangSong" w:cs="FangSong"/>
          <w:sz w:val="31"/>
          <w:szCs w:val="31"/>
          <w:b/>
          <w:bCs/>
          <w:spacing w:val="11"/>
        </w:rPr>
        <w:t>第七条疾病预防控制机构未主动收集传染病</w:t>
      </w:r>
      <w:r>
        <w:rPr>
          <w:rFonts w:ascii="FangSong" w:hAnsi="FangSong" w:eastAsia="FangSong" w:cs="FangSong"/>
          <w:sz w:val="31"/>
          <w:szCs w:val="31"/>
          <w:b/>
          <w:bCs/>
          <w:spacing w:val="10"/>
        </w:rPr>
        <w:t>疫情信息，或者对传染病疫情信息和疫情报告未及</w:t>
      </w:r>
      <w:r>
        <w:rPr>
          <w:rFonts w:ascii="FangSong" w:hAnsi="FangSong" w:eastAsia="FangSong" w:cs="FangSong"/>
          <w:sz w:val="31"/>
          <w:szCs w:val="31"/>
        </w:rPr>
        <w:t xml:space="preserve"> </w:t>
      </w:r>
      <w:r>
        <w:rPr>
          <w:rFonts w:ascii="FangSong" w:hAnsi="FangSong" w:eastAsia="FangSong" w:cs="FangSong"/>
          <w:sz w:val="31"/>
          <w:szCs w:val="31"/>
          <w:b/>
          <w:bCs/>
          <w:spacing w:val="4"/>
        </w:rPr>
        <w:t>时进行分析、调查、核实的</w:t>
      </w:r>
    </w:p>
    <w:p>
      <w:pPr>
        <w:ind w:left="684"/>
        <w:spacing w:line="222" w:lineRule="auto"/>
        <w:rPr>
          <w:rFonts w:ascii="FangSong" w:hAnsi="FangSong" w:eastAsia="FangSong" w:cs="FangSong"/>
          <w:sz w:val="31"/>
          <w:szCs w:val="31"/>
        </w:rPr>
      </w:pPr>
      <w:r>
        <w:rPr>
          <w:rFonts w:ascii="FangSong" w:hAnsi="FangSong" w:eastAsia="FangSong" w:cs="FangSong"/>
          <w:sz w:val="31"/>
          <w:szCs w:val="31"/>
          <w:spacing w:val="7"/>
        </w:rPr>
        <w:t>法律依据</w:t>
      </w:r>
    </w:p>
    <w:p>
      <w:pPr>
        <w:ind w:left="660"/>
        <w:spacing w:before="74" w:line="222" w:lineRule="auto"/>
        <w:rPr>
          <w:rFonts w:ascii="FangSong" w:hAnsi="FangSong" w:eastAsia="FangSong" w:cs="FangSong"/>
          <w:sz w:val="31"/>
          <w:szCs w:val="31"/>
        </w:rPr>
      </w:pPr>
      <w:r>
        <w:rPr>
          <w:rFonts w:ascii="FangSong" w:hAnsi="FangSong" w:eastAsia="FangSong" w:cs="FangSong"/>
          <w:sz w:val="31"/>
          <w:szCs w:val="31"/>
          <w:spacing w:val="16"/>
        </w:rPr>
        <w:t>《中华人民共和国传染病防治法》第六十八条第(三)项</w:t>
      </w:r>
      <w:r>
        <w:rPr>
          <w:rFonts w:ascii="FangSong" w:hAnsi="FangSong" w:eastAsia="FangSong" w:cs="FangSong"/>
          <w:sz w:val="31"/>
          <w:szCs w:val="31"/>
          <w:spacing w:val="16"/>
        </w:rPr>
        <w:t xml:space="preserve">   </w:t>
      </w:r>
      <w:r>
        <w:rPr>
          <w:rFonts w:ascii="FangSong" w:hAnsi="FangSong" w:eastAsia="FangSong" w:cs="FangSong"/>
          <w:sz w:val="31"/>
          <w:szCs w:val="31"/>
          <w:spacing w:val="15"/>
        </w:rPr>
        <w:t>疾病预防控制机构违反本法规定，</w:t>
      </w:r>
    </w:p>
    <w:p>
      <w:pPr>
        <w:spacing w:before="77" w:line="221" w:lineRule="auto"/>
        <w:jc w:val="right"/>
        <w:rPr>
          <w:rFonts w:ascii="FangSong" w:hAnsi="FangSong" w:eastAsia="FangSong" w:cs="FangSong"/>
          <w:sz w:val="31"/>
          <w:szCs w:val="31"/>
        </w:rPr>
      </w:pPr>
      <w:r>
        <w:rPr>
          <w:rFonts w:ascii="FangSong" w:hAnsi="FangSong" w:eastAsia="FangSong" w:cs="FangSong"/>
          <w:sz w:val="31"/>
          <w:szCs w:val="31"/>
          <w:spacing w:val="7"/>
        </w:rPr>
        <w:t>有下列情形之一的，由县级以上人民政府卫生行政部门责令限期改正，通报批评，给</w:t>
      </w:r>
      <w:r>
        <w:rPr>
          <w:rFonts w:ascii="FangSong" w:hAnsi="FangSong" w:eastAsia="FangSong" w:cs="FangSong"/>
          <w:sz w:val="31"/>
          <w:szCs w:val="31"/>
          <w:spacing w:val="6"/>
        </w:rPr>
        <w:t>予警告；对负有</w:t>
      </w:r>
    </w:p>
    <w:p>
      <w:pPr>
        <w:spacing w:line="221" w:lineRule="auto"/>
        <w:sectPr>
          <w:footerReference w:type="default" r:id="rId78"/>
          <w:pgSz w:w="16830" w:h="11900"/>
          <w:pgMar w:top="1011" w:right="1437" w:bottom="1205" w:left="1405" w:header="0" w:footer="699" w:gutter="0"/>
        </w:sectPr>
        <w:rPr>
          <w:rFonts w:ascii="FangSong" w:hAnsi="FangSong" w:eastAsia="FangSong" w:cs="FangSong"/>
          <w:sz w:val="31"/>
          <w:szCs w:val="31"/>
        </w:rPr>
      </w:pPr>
    </w:p>
    <w:p>
      <w:pPr>
        <w:pStyle w:val="BodyText"/>
        <w:spacing w:line="261" w:lineRule="auto"/>
        <w:rPr/>
      </w:pPr>
      <w:r/>
    </w:p>
    <w:p>
      <w:pPr>
        <w:pStyle w:val="BodyText"/>
        <w:spacing w:line="262" w:lineRule="auto"/>
        <w:rPr/>
      </w:pPr>
      <w:r/>
    </w:p>
    <w:p>
      <w:pPr>
        <w:pStyle w:val="BodyText"/>
        <w:spacing w:line="262" w:lineRule="auto"/>
        <w:rPr/>
      </w:pPr>
      <w:r/>
    </w:p>
    <w:p>
      <w:pPr>
        <w:ind w:right="101"/>
        <w:spacing w:before="94" w:line="279" w:lineRule="auto"/>
        <w:rPr>
          <w:rFonts w:ascii="FangSong" w:hAnsi="FangSong" w:eastAsia="FangSong" w:cs="FangSong"/>
          <w:sz w:val="29"/>
          <w:szCs w:val="29"/>
        </w:rPr>
      </w:pPr>
      <w:bookmarkStart w:name="bookmark751" w:id="26"/>
      <w:bookmarkEnd w:id="26"/>
      <w:r>
        <w:rPr>
          <w:rFonts w:ascii="FangSong" w:hAnsi="FangSong" w:eastAsia="FangSong" w:cs="FangSong"/>
          <w:sz w:val="29"/>
          <w:szCs w:val="29"/>
          <w:spacing w:val="26"/>
        </w:rPr>
        <w:t>责任的主管人员和其他直接责任人员，依法给予降级、撤职、开除的处分，并可以依法吊销有关责任</w:t>
      </w:r>
      <w:r>
        <w:rPr>
          <w:rFonts w:ascii="FangSong" w:hAnsi="FangSong" w:eastAsia="FangSong" w:cs="FangSong"/>
          <w:sz w:val="29"/>
          <w:szCs w:val="29"/>
          <w:spacing w:val="17"/>
        </w:rPr>
        <w:t xml:space="preserve"> </w:t>
      </w:r>
      <w:r>
        <w:rPr>
          <w:rFonts w:ascii="FangSong" w:hAnsi="FangSong" w:eastAsia="FangSong" w:cs="FangSong"/>
          <w:sz w:val="29"/>
          <w:szCs w:val="29"/>
          <w:spacing w:val="16"/>
        </w:rPr>
        <w:t>人员的执业证书：</w:t>
      </w:r>
    </w:p>
    <w:p>
      <w:pPr>
        <w:ind w:firstLine="790"/>
        <w:spacing w:before="5" w:line="276" w:lineRule="auto"/>
        <w:rPr>
          <w:rFonts w:ascii="FangSong" w:hAnsi="FangSong" w:eastAsia="FangSong" w:cs="FangSong"/>
          <w:sz w:val="29"/>
          <w:szCs w:val="29"/>
        </w:rPr>
      </w:pPr>
      <w:r>
        <w:rPr>
          <w:rFonts w:ascii="FangSong" w:hAnsi="FangSong" w:eastAsia="FangSong" w:cs="FangSong"/>
          <w:sz w:val="29"/>
          <w:szCs w:val="29"/>
          <w:spacing w:val="32"/>
        </w:rPr>
        <w:t>(三)未主动收集传染病疫情信息，或者对传染病疫情信息和疫情报告未及时进行分析、调查、</w:t>
      </w:r>
      <w:r>
        <w:rPr>
          <w:rFonts w:ascii="FangSong" w:hAnsi="FangSong" w:eastAsia="FangSong" w:cs="FangSong"/>
          <w:sz w:val="29"/>
          <w:szCs w:val="29"/>
        </w:rPr>
        <w:t xml:space="preserve"> </w:t>
      </w:r>
      <w:r>
        <w:rPr>
          <w:rFonts w:ascii="FangSong" w:hAnsi="FangSong" w:eastAsia="FangSong" w:cs="FangSong"/>
          <w:sz w:val="29"/>
          <w:szCs w:val="29"/>
          <w:spacing w:val="8"/>
        </w:rPr>
        <w:t>核实的；</w:t>
      </w:r>
    </w:p>
    <w:p>
      <w:pPr>
        <w:pStyle w:val="BodyText"/>
        <w:spacing w:line="350" w:lineRule="auto"/>
        <w:rPr/>
      </w:pPr>
      <w:r/>
    </w:p>
    <w:p>
      <w:pPr>
        <w:ind w:left="6423"/>
        <w:spacing w:before="91"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870" w:type="dxa"/>
        <w:tblInd w:w="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4"/>
        <w:gridCol w:w="7534"/>
        <w:gridCol w:w="4532"/>
      </w:tblGrid>
      <w:tr>
        <w:trPr>
          <w:trHeight w:val="442" w:hRule="atLeast"/>
        </w:trPr>
        <w:tc>
          <w:tcPr>
            <w:tcW w:w="1804" w:type="dxa"/>
            <w:vAlign w:val="top"/>
          </w:tcPr>
          <w:p>
            <w:pPr>
              <w:pStyle w:val="TableText"/>
              <w:ind w:left="398"/>
              <w:spacing w:before="102" w:line="220" w:lineRule="auto"/>
              <w:rPr>
                <w:sz w:val="25"/>
                <w:szCs w:val="25"/>
              </w:rPr>
            </w:pPr>
            <w:r>
              <w:rPr>
                <w:sz w:val="25"/>
                <w:szCs w:val="25"/>
                <w:b/>
                <w:bCs/>
                <w:spacing w:val="-5"/>
              </w:rPr>
              <w:t>违法程度</w:t>
            </w:r>
          </w:p>
        </w:tc>
        <w:tc>
          <w:tcPr>
            <w:tcW w:w="7534" w:type="dxa"/>
            <w:vAlign w:val="top"/>
          </w:tcPr>
          <w:p>
            <w:pPr>
              <w:pStyle w:val="TableText"/>
              <w:ind w:left="3194"/>
              <w:spacing w:before="102" w:line="220" w:lineRule="auto"/>
              <w:rPr>
                <w:sz w:val="25"/>
                <w:szCs w:val="25"/>
              </w:rPr>
            </w:pPr>
            <w:r>
              <w:rPr>
                <w:sz w:val="25"/>
                <w:szCs w:val="25"/>
                <w:b/>
                <w:bCs/>
                <w:spacing w:val="-5"/>
              </w:rPr>
              <w:t>情节后果</w:t>
            </w:r>
          </w:p>
        </w:tc>
        <w:tc>
          <w:tcPr>
            <w:tcW w:w="4532" w:type="dxa"/>
            <w:vAlign w:val="top"/>
          </w:tcPr>
          <w:p>
            <w:pPr>
              <w:pStyle w:val="TableText"/>
              <w:ind w:left="1700"/>
              <w:spacing w:before="99" w:line="218" w:lineRule="auto"/>
              <w:rPr>
                <w:sz w:val="25"/>
                <w:szCs w:val="25"/>
              </w:rPr>
            </w:pPr>
            <w:r>
              <w:rPr>
                <w:sz w:val="25"/>
                <w:szCs w:val="25"/>
                <w:b/>
                <w:bCs/>
                <w:spacing w:val="-5"/>
              </w:rPr>
              <w:t>裁量幅度</w:t>
            </w:r>
          </w:p>
        </w:tc>
      </w:tr>
      <w:tr>
        <w:trPr>
          <w:trHeight w:val="876" w:hRule="atLeast"/>
        </w:trPr>
        <w:tc>
          <w:tcPr>
            <w:tcW w:w="1804" w:type="dxa"/>
            <w:vAlign w:val="top"/>
          </w:tcPr>
          <w:p>
            <w:pPr>
              <w:pStyle w:val="TableText"/>
              <w:ind w:left="648"/>
              <w:spacing w:before="321" w:line="221" w:lineRule="auto"/>
              <w:rPr>
                <w:sz w:val="25"/>
                <w:szCs w:val="25"/>
              </w:rPr>
            </w:pPr>
            <w:r>
              <w:rPr>
                <w:sz w:val="25"/>
                <w:szCs w:val="25"/>
                <w:b/>
                <w:bCs/>
                <w:spacing w:val="-10"/>
              </w:rPr>
              <w:t>一般</w:t>
            </w:r>
          </w:p>
        </w:tc>
        <w:tc>
          <w:tcPr>
            <w:tcW w:w="7534" w:type="dxa"/>
            <w:vAlign w:val="top"/>
          </w:tcPr>
          <w:p>
            <w:pPr>
              <w:pStyle w:val="TableText"/>
              <w:ind w:left="91"/>
              <w:spacing w:before="172" w:line="256" w:lineRule="auto"/>
              <w:rPr>
                <w:sz w:val="25"/>
                <w:szCs w:val="25"/>
              </w:rPr>
            </w:pPr>
            <w:r>
              <w:rPr>
                <w:sz w:val="25"/>
                <w:szCs w:val="25"/>
                <w:spacing w:val="-2"/>
              </w:rPr>
              <w:t>疾病预防控制机构未主动收集传染病疫情信息，</w:t>
            </w:r>
            <w:r>
              <w:rPr>
                <w:sz w:val="25"/>
                <w:szCs w:val="25"/>
                <w:spacing w:val="-3"/>
              </w:rPr>
              <w:t>或者对传染病疫情信</w:t>
            </w:r>
            <w:r>
              <w:rPr>
                <w:sz w:val="25"/>
                <w:szCs w:val="25"/>
              </w:rPr>
              <w:t xml:space="preserve"> </w:t>
            </w:r>
            <w:r>
              <w:rPr>
                <w:sz w:val="25"/>
                <w:szCs w:val="25"/>
              </w:rPr>
              <w:t>息和疫情报告未及时进行分析、调查、核实的</w:t>
            </w:r>
          </w:p>
        </w:tc>
        <w:tc>
          <w:tcPr>
            <w:tcW w:w="4532" w:type="dxa"/>
            <w:vAlign w:val="top"/>
          </w:tcPr>
          <w:p>
            <w:pPr>
              <w:spacing w:line="288" w:lineRule="auto"/>
              <w:rPr>
                <w:rFonts w:ascii="Arial"/>
                <w:sz w:val="21"/>
              </w:rPr>
            </w:pPr>
            <w:r/>
          </w:p>
          <w:p>
            <w:pPr>
              <w:pStyle w:val="TableText"/>
              <w:ind w:left="87"/>
              <w:spacing w:before="81" w:line="218" w:lineRule="auto"/>
              <w:rPr>
                <w:sz w:val="25"/>
                <w:szCs w:val="25"/>
              </w:rPr>
            </w:pPr>
            <w:r>
              <w:rPr>
                <w:sz w:val="25"/>
                <w:szCs w:val="25"/>
                <w:spacing w:val="2"/>
              </w:rPr>
              <w:t>通报批评、警告</w:t>
            </w:r>
          </w:p>
        </w:tc>
      </w:tr>
      <w:tr>
        <w:trPr>
          <w:trHeight w:val="881" w:hRule="atLeast"/>
        </w:trPr>
        <w:tc>
          <w:tcPr>
            <w:tcW w:w="1804" w:type="dxa"/>
            <w:vAlign w:val="top"/>
          </w:tcPr>
          <w:p>
            <w:pPr>
              <w:spacing w:line="291" w:lineRule="auto"/>
              <w:rPr>
                <w:rFonts w:ascii="Arial"/>
                <w:sz w:val="21"/>
              </w:rPr>
            </w:pPr>
            <w:r/>
          </w:p>
          <w:p>
            <w:pPr>
              <w:pStyle w:val="TableText"/>
              <w:ind w:left="648"/>
              <w:spacing w:before="81" w:line="220" w:lineRule="auto"/>
              <w:rPr>
                <w:sz w:val="25"/>
                <w:szCs w:val="25"/>
              </w:rPr>
            </w:pPr>
            <w:r>
              <w:rPr>
                <w:sz w:val="25"/>
                <w:szCs w:val="25"/>
                <w:b/>
                <w:bCs/>
                <w:spacing w:val="-6"/>
              </w:rPr>
              <w:t>严重</w:t>
            </w:r>
          </w:p>
        </w:tc>
        <w:tc>
          <w:tcPr>
            <w:tcW w:w="7534" w:type="dxa"/>
            <w:vAlign w:val="top"/>
          </w:tcPr>
          <w:p>
            <w:pPr>
              <w:pStyle w:val="TableText"/>
              <w:ind w:left="91"/>
              <w:spacing w:before="174" w:line="257" w:lineRule="auto"/>
              <w:rPr>
                <w:sz w:val="25"/>
                <w:szCs w:val="25"/>
              </w:rPr>
            </w:pPr>
            <w:r>
              <w:rPr>
                <w:sz w:val="25"/>
                <w:szCs w:val="25"/>
                <w:spacing w:val="-10"/>
              </w:rPr>
              <w:t>未主动收集传染病疫情信息，或者对传染病疫情信</w:t>
            </w:r>
            <w:r>
              <w:rPr>
                <w:sz w:val="25"/>
                <w:szCs w:val="25"/>
                <w:spacing w:val="-11"/>
              </w:rPr>
              <w:t>息和疫情报告未及时</w:t>
            </w:r>
            <w:r>
              <w:rPr>
                <w:sz w:val="25"/>
                <w:szCs w:val="25"/>
              </w:rPr>
              <w:t xml:space="preserve"> </w:t>
            </w:r>
            <w:r>
              <w:rPr>
                <w:sz w:val="25"/>
                <w:szCs w:val="25"/>
              </w:rPr>
              <w:t>进行分析、调查、核实导致传染病传播或流行或其他严重后果的</w:t>
            </w:r>
          </w:p>
        </w:tc>
        <w:tc>
          <w:tcPr>
            <w:tcW w:w="4532" w:type="dxa"/>
            <w:vAlign w:val="top"/>
          </w:tcPr>
          <w:p>
            <w:pPr>
              <w:spacing w:line="242" w:lineRule="auto"/>
              <w:rPr>
                <w:rFonts w:ascii="Arial"/>
                <w:sz w:val="21"/>
              </w:rPr>
            </w:pPr>
            <w:r/>
          </w:p>
          <w:p>
            <w:pPr>
              <w:pStyle w:val="TableText"/>
              <w:ind w:left="87"/>
              <w:spacing w:before="82" w:line="219" w:lineRule="auto"/>
              <w:rPr>
                <w:sz w:val="25"/>
                <w:szCs w:val="25"/>
              </w:rPr>
            </w:pPr>
            <w:r>
              <w:rPr>
                <w:sz w:val="25"/>
                <w:szCs w:val="25"/>
                <w:spacing w:val="1"/>
              </w:rPr>
              <w:t>依法吊销有关责任人员的执业证书</w:t>
            </w:r>
          </w:p>
        </w:tc>
      </w:tr>
    </w:tbl>
    <w:p>
      <w:pPr>
        <w:pStyle w:val="BodyText"/>
        <w:spacing w:line="461" w:lineRule="auto"/>
        <w:rPr/>
      </w:pPr>
      <w:r/>
    </w:p>
    <w:p>
      <w:pPr>
        <w:ind w:left="674"/>
        <w:spacing w:before="94" w:line="222" w:lineRule="auto"/>
        <w:rPr>
          <w:rFonts w:ascii="FangSong" w:hAnsi="FangSong" w:eastAsia="FangSong" w:cs="FangSong"/>
          <w:sz w:val="29"/>
          <w:szCs w:val="29"/>
        </w:rPr>
      </w:pPr>
      <w:r>
        <w:rPr>
          <w:rFonts w:ascii="FangSong" w:hAnsi="FangSong" w:eastAsia="FangSong" w:cs="FangSong"/>
          <w:sz w:val="29"/>
          <w:szCs w:val="29"/>
          <w:b/>
          <w:bCs/>
          <w:spacing w:val="32"/>
        </w:rPr>
        <w:t>第八条疾病预防控制机构发现传染病疫情时</w:t>
      </w:r>
      <w:r>
        <w:rPr>
          <w:rFonts w:ascii="FangSong" w:hAnsi="FangSong" w:eastAsia="FangSong" w:cs="FangSong"/>
          <w:sz w:val="29"/>
          <w:szCs w:val="29"/>
          <w:b/>
          <w:bCs/>
          <w:spacing w:val="31"/>
        </w:rPr>
        <w:t>，未依据职责及时采取本法规定的措施的</w:t>
      </w:r>
    </w:p>
    <w:p>
      <w:pPr>
        <w:ind w:left="659"/>
        <w:spacing w:before="77" w:line="222" w:lineRule="auto"/>
        <w:rPr>
          <w:rFonts w:ascii="FangSong" w:hAnsi="FangSong" w:eastAsia="FangSong" w:cs="FangSong"/>
          <w:sz w:val="29"/>
          <w:szCs w:val="29"/>
        </w:rPr>
      </w:pPr>
      <w:r>
        <w:rPr>
          <w:rFonts w:ascii="FangSong" w:hAnsi="FangSong" w:eastAsia="FangSong" w:cs="FangSong"/>
          <w:sz w:val="29"/>
          <w:szCs w:val="29"/>
          <w:spacing w:val="6"/>
        </w:rPr>
        <w:t>法律依据：</w:t>
      </w:r>
    </w:p>
    <w:p>
      <w:pPr>
        <w:ind w:right="95" w:firstLine="645"/>
        <w:spacing w:before="112" w:line="275" w:lineRule="auto"/>
        <w:jc w:val="both"/>
        <w:rPr>
          <w:rFonts w:ascii="FangSong" w:hAnsi="FangSong" w:eastAsia="FangSong" w:cs="FangSong"/>
          <w:sz w:val="29"/>
          <w:szCs w:val="29"/>
        </w:rPr>
      </w:pPr>
      <w:r>
        <w:rPr>
          <w:rFonts w:ascii="FangSong" w:hAnsi="FangSong" w:eastAsia="FangSong" w:cs="FangSong"/>
          <w:sz w:val="29"/>
          <w:szCs w:val="29"/>
          <w:spacing w:val="34"/>
        </w:rPr>
        <w:t>《中华人民共和国传染病防治法》第六十八条第(四)项</w:t>
      </w:r>
      <w:r>
        <w:rPr>
          <w:rFonts w:ascii="FangSong" w:hAnsi="FangSong" w:eastAsia="FangSong" w:cs="FangSong"/>
          <w:sz w:val="29"/>
          <w:szCs w:val="29"/>
          <w:spacing w:val="34"/>
        </w:rPr>
        <w:t xml:space="preserve">   </w:t>
      </w:r>
      <w:r>
        <w:rPr>
          <w:rFonts w:ascii="FangSong" w:hAnsi="FangSong" w:eastAsia="FangSong" w:cs="FangSong"/>
          <w:sz w:val="29"/>
          <w:szCs w:val="29"/>
          <w:spacing w:val="34"/>
        </w:rPr>
        <w:t>疾病预防控制</w:t>
      </w:r>
      <w:r>
        <w:rPr>
          <w:rFonts w:ascii="FangSong" w:hAnsi="FangSong" w:eastAsia="FangSong" w:cs="FangSong"/>
          <w:sz w:val="29"/>
          <w:szCs w:val="29"/>
          <w:spacing w:val="33"/>
        </w:rPr>
        <w:t>机构违反本法规定，</w:t>
      </w:r>
      <w:r>
        <w:rPr>
          <w:rFonts w:ascii="FangSong" w:hAnsi="FangSong" w:eastAsia="FangSong" w:cs="FangSong"/>
          <w:sz w:val="29"/>
          <w:szCs w:val="29"/>
        </w:rPr>
        <w:t xml:space="preserve"> </w:t>
      </w:r>
      <w:r>
        <w:rPr>
          <w:rFonts w:ascii="FangSong" w:hAnsi="FangSong" w:eastAsia="FangSong" w:cs="FangSong"/>
          <w:sz w:val="29"/>
          <w:szCs w:val="29"/>
          <w:spacing w:val="27"/>
        </w:rPr>
        <w:t>有下列情形之一的，由县级以上人民政府卫生行政部门</w:t>
      </w:r>
      <w:r>
        <w:rPr>
          <w:rFonts w:ascii="FangSong" w:hAnsi="FangSong" w:eastAsia="FangSong" w:cs="FangSong"/>
          <w:sz w:val="29"/>
          <w:szCs w:val="29"/>
          <w:spacing w:val="26"/>
        </w:rPr>
        <w:t>责令限期改正，通报批评，给予警告；对负有</w:t>
      </w:r>
      <w:r>
        <w:rPr>
          <w:rFonts w:ascii="FangSong" w:hAnsi="FangSong" w:eastAsia="FangSong" w:cs="FangSong"/>
          <w:sz w:val="29"/>
          <w:szCs w:val="29"/>
        </w:rPr>
        <w:t xml:space="preserve"> </w:t>
      </w:r>
      <w:r>
        <w:rPr>
          <w:rFonts w:ascii="FangSong" w:hAnsi="FangSong" w:eastAsia="FangSong" w:cs="FangSong"/>
          <w:sz w:val="29"/>
          <w:szCs w:val="29"/>
          <w:spacing w:val="26"/>
        </w:rPr>
        <w:t>责任的主管人员和其他直接责任人员，依法给予降级、撤职、开除的处分，并可以依法吊销有关责任</w:t>
      </w:r>
      <w:r>
        <w:rPr>
          <w:rFonts w:ascii="FangSong" w:hAnsi="FangSong" w:eastAsia="FangSong" w:cs="FangSong"/>
          <w:sz w:val="29"/>
          <w:szCs w:val="29"/>
          <w:spacing w:val="17"/>
        </w:rPr>
        <w:t xml:space="preserve"> </w:t>
      </w:r>
      <w:r>
        <w:rPr>
          <w:rFonts w:ascii="FangSong" w:hAnsi="FangSong" w:eastAsia="FangSong" w:cs="FangSong"/>
          <w:sz w:val="29"/>
          <w:szCs w:val="29"/>
          <w:spacing w:val="16"/>
        </w:rPr>
        <w:t>人员的执业证书：</w:t>
      </w:r>
    </w:p>
    <w:p>
      <w:pPr>
        <w:spacing w:line="275" w:lineRule="auto"/>
        <w:sectPr>
          <w:footerReference w:type="default" r:id="rId79"/>
          <w:pgSz w:w="16830" w:h="11900"/>
          <w:pgMar w:top="1011" w:right="1375" w:bottom="1185" w:left="1430" w:header="0" w:footer="679" w:gutter="0"/>
        </w:sectPr>
        <w:rPr>
          <w:rFonts w:ascii="FangSong" w:hAnsi="FangSong" w:eastAsia="FangSong" w:cs="FangSong"/>
          <w:sz w:val="29"/>
          <w:szCs w:val="29"/>
        </w:rPr>
      </w:pPr>
    </w:p>
    <w:p>
      <w:pPr>
        <w:pStyle w:val="BodyText"/>
        <w:spacing w:line="264" w:lineRule="auto"/>
        <w:rPr/>
      </w:pPr>
      <w:r/>
    </w:p>
    <w:p>
      <w:pPr>
        <w:pStyle w:val="BodyText"/>
        <w:spacing w:line="264" w:lineRule="auto"/>
        <w:rPr/>
      </w:pPr>
      <w:r/>
    </w:p>
    <w:p>
      <w:pPr>
        <w:pStyle w:val="BodyText"/>
        <w:spacing w:line="265" w:lineRule="auto"/>
        <w:rPr/>
      </w:pPr>
      <w:r/>
    </w:p>
    <w:p>
      <w:pPr>
        <w:ind w:left="805"/>
        <w:spacing w:before="101" w:line="222" w:lineRule="auto"/>
        <w:rPr>
          <w:rFonts w:ascii="FangSong" w:hAnsi="FangSong" w:eastAsia="FangSong" w:cs="FangSong"/>
          <w:sz w:val="31"/>
          <w:szCs w:val="31"/>
        </w:rPr>
      </w:pPr>
      <w:r>
        <w:rPr>
          <w:rFonts w:ascii="FangSong" w:hAnsi="FangSong" w:eastAsia="FangSong" w:cs="FangSong"/>
          <w:sz w:val="31"/>
          <w:szCs w:val="31"/>
          <w:spacing w:val="13"/>
        </w:rPr>
        <w:t>(一)发现传染病疫情时，未依据职责及时采取本法规定的措施的；</w:t>
      </w:r>
    </w:p>
    <w:p>
      <w:pPr>
        <w:ind w:left="6349"/>
        <w:spacing w:before="55" w:line="215" w:lineRule="auto"/>
        <w:outlineLvl w:val="1"/>
        <w:rPr>
          <w:rFonts w:ascii="SimSun" w:hAnsi="SimSun" w:eastAsia="SimSun" w:cs="SimSun"/>
          <w:sz w:val="28"/>
          <w:szCs w:val="28"/>
        </w:rPr>
      </w:pPr>
      <w:bookmarkStart w:name="bookmark186" w:id="27"/>
      <w:bookmarkEnd w:id="27"/>
      <w:r>
        <w:rPr>
          <w:rFonts w:ascii="SimSun" w:hAnsi="SimSun" w:eastAsia="SimSun" w:cs="SimSun"/>
          <w:sz w:val="28"/>
          <w:szCs w:val="28"/>
          <w:b/>
          <w:bCs/>
          <w:spacing w:val="-6"/>
        </w:rPr>
        <w:t>裁量标准</w:t>
      </w:r>
    </w:p>
    <w:tbl>
      <w:tblPr>
        <w:tblStyle w:val="TableNormal"/>
        <w:tblW w:w="137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63"/>
        <w:gridCol w:w="8223"/>
        <w:gridCol w:w="2803"/>
      </w:tblGrid>
      <w:tr>
        <w:trPr>
          <w:trHeight w:val="844" w:hRule="atLeast"/>
        </w:trPr>
        <w:tc>
          <w:tcPr>
            <w:tcW w:w="2763" w:type="dxa"/>
            <w:vAlign w:val="top"/>
          </w:tcPr>
          <w:p>
            <w:pPr>
              <w:pStyle w:val="TableText"/>
              <w:ind w:left="798"/>
              <w:spacing w:before="30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8223" w:type="dxa"/>
            <w:vAlign w:val="top"/>
          </w:tcPr>
          <w:p>
            <w:pPr>
              <w:pStyle w:val="TableText"/>
              <w:ind w:left="3625"/>
              <w:spacing w:before="302" w:line="220" w:lineRule="auto"/>
              <w:rPr/>
            </w:pPr>
            <w:r>
              <w:rPr>
                <w:b/>
                <w:bCs/>
                <w:spacing w:val="-5"/>
              </w:rPr>
              <w:t>情节后果</w:t>
            </w:r>
          </w:p>
        </w:tc>
        <w:tc>
          <w:tcPr>
            <w:tcW w:w="2803" w:type="dxa"/>
            <w:vAlign w:val="top"/>
          </w:tcPr>
          <w:p>
            <w:pPr>
              <w:pStyle w:val="TableText"/>
              <w:ind w:left="832"/>
              <w:spacing w:before="299" w:line="218" w:lineRule="auto"/>
              <w:rPr/>
            </w:pPr>
            <w:r>
              <w:rPr>
                <w:b/>
                <w:bCs/>
                <w:spacing w:val="-5"/>
              </w:rPr>
              <w:t>裁量幅度</w:t>
            </w:r>
          </w:p>
        </w:tc>
      </w:tr>
      <w:tr>
        <w:trPr>
          <w:trHeight w:val="1208" w:hRule="atLeast"/>
        </w:trPr>
        <w:tc>
          <w:tcPr>
            <w:tcW w:w="2763" w:type="dxa"/>
            <w:vAlign w:val="top"/>
          </w:tcPr>
          <w:p>
            <w:pPr>
              <w:spacing w:line="289" w:lineRule="auto"/>
              <w:rPr>
                <w:rFonts w:ascii="Arial"/>
                <w:sz w:val="21"/>
              </w:rPr>
            </w:pPr>
            <w:r/>
          </w:p>
          <w:p>
            <w:pPr>
              <w:pStyle w:val="TableText"/>
              <w:ind w:left="1138"/>
              <w:spacing w:before="78" w:line="221" w:lineRule="auto"/>
              <w:rPr/>
            </w:pPr>
            <w:r>
              <w:rPr>
                <w:b/>
                <w:bCs/>
                <w:spacing w:val="-10"/>
              </w:rPr>
              <w:t>一般</w:t>
            </w:r>
          </w:p>
        </w:tc>
        <w:tc>
          <w:tcPr>
            <w:tcW w:w="8223" w:type="dxa"/>
            <w:vAlign w:val="top"/>
          </w:tcPr>
          <w:p>
            <w:pPr>
              <w:pStyle w:val="TableText"/>
              <w:ind w:left="112" w:right="407"/>
              <w:spacing w:before="150" w:line="340" w:lineRule="auto"/>
              <w:rPr/>
            </w:pPr>
            <w:r>
              <w:rPr/>
              <w:t>疾病预防控制机构发现传染病疫情时，未依据职责及时采取本法规定的措</w:t>
            </w:r>
            <w:r>
              <w:rPr>
                <w:spacing w:val="12"/>
              </w:rPr>
              <w:t xml:space="preserve"> </w:t>
            </w:r>
            <w:r>
              <w:rPr>
                <w:spacing w:val="1"/>
              </w:rPr>
              <w:t>施，未导致传染病传播、流行的</w:t>
            </w:r>
          </w:p>
        </w:tc>
        <w:tc>
          <w:tcPr>
            <w:tcW w:w="2803" w:type="dxa"/>
            <w:vAlign w:val="top"/>
          </w:tcPr>
          <w:p>
            <w:pPr>
              <w:spacing w:line="289" w:lineRule="auto"/>
              <w:rPr>
                <w:rFonts w:ascii="Arial"/>
                <w:sz w:val="21"/>
              </w:rPr>
            </w:pPr>
            <w:r/>
          </w:p>
          <w:p>
            <w:pPr>
              <w:pStyle w:val="TableText"/>
              <w:ind w:left="99"/>
              <w:spacing w:before="78" w:line="218" w:lineRule="auto"/>
              <w:rPr/>
            </w:pPr>
            <w:r>
              <w:rPr>
                <w:spacing w:val="2"/>
              </w:rPr>
              <w:t>通报批评、警告</w:t>
            </w:r>
          </w:p>
        </w:tc>
      </w:tr>
      <w:tr>
        <w:trPr>
          <w:trHeight w:val="1987" w:hRule="atLeast"/>
        </w:trPr>
        <w:tc>
          <w:tcPr>
            <w:tcW w:w="2763"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138"/>
              <w:spacing w:before="78" w:line="220" w:lineRule="auto"/>
              <w:rPr/>
            </w:pPr>
            <w:r>
              <w:rPr>
                <w:b/>
                <w:bCs/>
                <w:spacing w:val="-6"/>
              </w:rPr>
              <w:t>严重</w:t>
            </w:r>
          </w:p>
        </w:tc>
        <w:tc>
          <w:tcPr>
            <w:tcW w:w="8223" w:type="dxa"/>
            <w:vAlign w:val="top"/>
          </w:tcPr>
          <w:p>
            <w:pPr>
              <w:pStyle w:val="TableText"/>
              <w:ind w:left="122" w:right="30" w:firstLine="20"/>
              <w:spacing w:before="113" w:line="336" w:lineRule="auto"/>
              <w:jc w:val="both"/>
              <w:rPr/>
            </w:pPr>
            <w:r>
              <w:rPr>
                <w:spacing w:val="4"/>
              </w:rPr>
              <w:t>未依据职责对传染病疫情进行流行病学调查，</w:t>
            </w:r>
            <w:r>
              <w:rPr>
                <w:spacing w:val="3"/>
              </w:rPr>
              <w:t>根据调查情况提出划定疫点、</w:t>
            </w:r>
            <w:r>
              <w:rPr/>
              <w:t xml:space="preserve"> </w:t>
            </w:r>
            <w:r>
              <w:rPr/>
              <w:t>疫区的建议，对被污染的场所进行卫生处理，对密切接触者，在指定场所进</w:t>
            </w:r>
            <w:r>
              <w:rPr>
                <w:spacing w:val="4"/>
              </w:rPr>
              <w:t xml:space="preserve">  </w:t>
            </w:r>
            <w:r>
              <w:rPr>
                <w:spacing w:val="1"/>
              </w:rPr>
              <w:t>行医学观察和采取其他必要的预防措施，并向卫生行政部门提出</w:t>
            </w:r>
            <w:r>
              <w:rPr/>
              <w:t>疫情控制方  </w:t>
            </w:r>
            <w:r>
              <w:rPr/>
              <w:t>案导致传染病爆发、流行的或其他严重后果的</w:t>
            </w:r>
          </w:p>
        </w:tc>
        <w:tc>
          <w:tcPr>
            <w:tcW w:w="2803"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99" w:right="241" w:firstLine="19"/>
              <w:spacing w:before="78" w:line="340" w:lineRule="auto"/>
              <w:rPr/>
            </w:pPr>
            <w:r>
              <w:rPr>
                <w:spacing w:val="3"/>
              </w:rPr>
              <w:t>依法吊销有关责任人员</w:t>
            </w:r>
            <w:r>
              <w:rPr>
                <w:spacing w:val="1"/>
              </w:rPr>
              <w:t xml:space="preserve"> </w:t>
            </w:r>
            <w:r>
              <w:rPr>
                <w:spacing w:val="3"/>
              </w:rPr>
              <w:t>的执业证书</w:t>
            </w:r>
          </w:p>
        </w:tc>
      </w:tr>
      <w:tr>
        <w:trPr>
          <w:trHeight w:val="1508" w:hRule="atLeast"/>
        </w:trPr>
        <w:tc>
          <w:tcPr>
            <w:tcW w:w="2763" w:type="dxa"/>
            <w:vAlign w:val="top"/>
            <w:vMerge w:val="continue"/>
            <w:tcBorders>
              <w:top w:val="nil"/>
              <w:bottom w:val="nil"/>
            </w:tcBorders>
          </w:tcPr>
          <w:p>
            <w:pPr>
              <w:rPr>
                <w:rFonts w:ascii="Arial"/>
                <w:sz w:val="21"/>
              </w:rPr>
            </w:pPr>
            <w:r/>
          </w:p>
        </w:tc>
        <w:tc>
          <w:tcPr>
            <w:tcW w:w="8223" w:type="dxa"/>
            <w:vAlign w:val="top"/>
          </w:tcPr>
          <w:p>
            <w:pPr>
              <w:pStyle w:val="TableText"/>
              <w:ind w:left="125" w:right="155" w:firstLine="20"/>
              <w:spacing w:before="100" w:line="336" w:lineRule="auto"/>
              <w:jc w:val="both"/>
              <w:rPr/>
            </w:pPr>
            <w:r>
              <w:rPr>
                <w:b/>
                <w:bCs/>
                <w:spacing w:val="-3"/>
              </w:rPr>
              <w:t>疾病预防控制机构在传染病暴发、流行时，未依据职责对疫点、疫区进行卫</w:t>
            </w:r>
            <w:r>
              <w:rPr>
                <w:spacing w:val="6"/>
              </w:rPr>
              <w:t xml:space="preserve"> </w:t>
            </w:r>
            <w:r>
              <w:rPr>
                <w:b/>
                <w:bCs/>
                <w:spacing w:val="-2"/>
              </w:rPr>
              <w:t>生处理，向卫生行政部门提出疫情控制方案，并按照</w:t>
            </w:r>
            <w:r>
              <w:rPr>
                <w:b/>
                <w:bCs/>
                <w:spacing w:val="-3"/>
              </w:rPr>
              <w:t>卫生行政部门的要求采</w:t>
            </w:r>
            <w:r>
              <w:rPr/>
              <w:t xml:space="preserve"> </w:t>
            </w:r>
            <w:r>
              <w:rPr>
                <w:b/>
                <w:bCs/>
                <w:spacing w:val="-2"/>
              </w:rPr>
              <w:t>取措施的导致传染病进一步流行或其他严重后果的</w:t>
            </w:r>
          </w:p>
        </w:tc>
        <w:tc>
          <w:tcPr>
            <w:tcW w:w="2803" w:type="dxa"/>
            <w:vAlign w:val="top"/>
            <w:vMerge w:val="continue"/>
            <w:tcBorders>
              <w:top w:val="nil"/>
              <w:bottom w:val="nil"/>
            </w:tcBorders>
          </w:tcPr>
          <w:p>
            <w:pPr>
              <w:rPr>
                <w:rFonts w:ascii="Arial"/>
                <w:sz w:val="21"/>
              </w:rPr>
            </w:pPr>
            <w:r/>
          </w:p>
        </w:tc>
      </w:tr>
      <w:tr>
        <w:trPr>
          <w:trHeight w:val="1592" w:hRule="atLeast"/>
        </w:trPr>
        <w:tc>
          <w:tcPr>
            <w:tcW w:w="2763" w:type="dxa"/>
            <w:vAlign w:val="top"/>
            <w:vMerge w:val="continue"/>
            <w:tcBorders>
              <w:top w:val="nil"/>
            </w:tcBorders>
          </w:tcPr>
          <w:p>
            <w:pPr>
              <w:rPr>
                <w:rFonts w:ascii="Arial"/>
                <w:sz w:val="21"/>
              </w:rPr>
            </w:pPr>
            <w:r/>
          </w:p>
        </w:tc>
        <w:tc>
          <w:tcPr>
            <w:tcW w:w="8223" w:type="dxa"/>
            <w:vAlign w:val="top"/>
          </w:tcPr>
          <w:p>
            <w:pPr>
              <w:pStyle w:val="TableText"/>
              <w:ind w:left="105" w:right="138" w:firstLine="40"/>
              <w:spacing w:before="133" w:line="339" w:lineRule="auto"/>
              <w:jc w:val="both"/>
              <w:rPr/>
            </w:pPr>
            <w:r>
              <w:rPr>
                <w:b/>
                <w:bCs/>
                <w:spacing w:val="-3"/>
              </w:rPr>
              <w:t>疾病预防控制机构发现传染病疫情时，未依据职责指导下级疾病预防控制机</w:t>
            </w:r>
            <w:r>
              <w:rPr>
                <w:spacing w:val="6"/>
              </w:rPr>
              <w:t xml:space="preserve"> </w:t>
            </w:r>
            <w:r>
              <w:rPr>
                <w:b/>
                <w:bCs/>
                <w:spacing w:val="-1"/>
              </w:rPr>
              <w:t>构实施传染病预防、控制措施，组织、指导有关单位对传染病疫情的</w:t>
            </w:r>
            <w:r>
              <w:rPr>
                <w:b/>
                <w:bCs/>
                <w:spacing w:val="-2"/>
              </w:rPr>
              <w:t>处理导</w:t>
            </w:r>
            <w:r>
              <w:rPr/>
              <w:t xml:space="preserve"> </w:t>
            </w:r>
            <w:r>
              <w:rPr>
                <w:b/>
                <w:bCs/>
                <w:spacing w:val="-2"/>
              </w:rPr>
              <w:t>致传染病爆发、流行的或其他严重后果的</w:t>
            </w:r>
          </w:p>
        </w:tc>
        <w:tc>
          <w:tcPr>
            <w:tcW w:w="2803" w:type="dxa"/>
            <w:vAlign w:val="top"/>
            <w:vMerge w:val="continue"/>
            <w:tcBorders>
              <w:top w:val="nil"/>
            </w:tcBorders>
          </w:tcPr>
          <w:p>
            <w:pPr>
              <w:rPr>
                <w:rFonts w:ascii="Arial"/>
                <w:sz w:val="21"/>
              </w:rPr>
            </w:pPr>
            <w:r/>
          </w:p>
        </w:tc>
      </w:tr>
    </w:tbl>
    <w:p>
      <w:pPr>
        <w:pStyle w:val="BodyText"/>
        <w:rPr/>
      </w:pPr>
      <w:r/>
    </w:p>
    <w:p>
      <w:pPr>
        <w:sectPr>
          <w:footerReference w:type="default" r:id="rId80"/>
          <w:pgSz w:w="16830" w:h="11900"/>
          <w:pgMar w:top="1011" w:right="1615" w:bottom="1185" w:left="1414" w:header="0" w:footer="679" w:gutter="0"/>
        </w:sectPr>
        <w:rPr/>
      </w:pPr>
    </w:p>
    <w:p>
      <w:pPr>
        <w:pStyle w:val="BodyText"/>
        <w:spacing w:line="286" w:lineRule="auto"/>
        <w:rPr/>
      </w:pPr>
      <w:r/>
    </w:p>
    <w:p>
      <w:pPr>
        <w:pStyle w:val="BodyText"/>
        <w:spacing w:line="287" w:lineRule="auto"/>
        <w:rPr/>
      </w:pPr>
      <w:r/>
    </w:p>
    <w:p>
      <w:pPr>
        <w:pStyle w:val="BodyText"/>
        <w:spacing w:line="287" w:lineRule="auto"/>
        <w:rPr/>
      </w:pPr>
      <w:r/>
    </w:p>
    <w:p>
      <w:pPr>
        <w:pStyle w:val="BodyText"/>
        <w:spacing w:line="287" w:lineRule="auto"/>
        <w:rPr/>
      </w:pPr>
      <w:r/>
    </w:p>
    <w:p>
      <w:pPr>
        <w:pStyle w:val="BodyText"/>
        <w:spacing w:line="287" w:lineRule="auto"/>
        <w:rPr/>
      </w:pPr>
      <w:r/>
    </w:p>
    <w:p>
      <w:pPr>
        <w:ind w:left="29" w:right="15" w:firstLine="660"/>
        <w:spacing w:before="98" w:line="270" w:lineRule="auto"/>
        <w:rPr>
          <w:rFonts w:ascii="FangSong" w:hAnsi="FangSong" w:eastAsia="FangSong" w:cs="FangSong"/>
          <w:sz w:val="30"/>
          <w:szCs w:val="30"/>
        </w:rPr>
      </w:pPr>
      <w:bookmarkStart w:name="bookmark752" w:id="28"/>
      <w:bookmarkEnd w:id="28"/>
      <w:r>
        <w:rPr>
          <w:rFonts w:ascii="FangSong" w:hAnsi="FangSong" w:eastAsia="FangSong" w:cs="FangSong"/>
          <w:sz w:val="30"/>
          <w:szCs w:val="30"/>
          <w:b/>
          <w:bCs/>
          <w:spacing w:val="20"/>
        </w:rPr>
        <w:t>第九条疾病预防控制机构故意泄露传染病病人、病原携带者、疑似传染病病人、密切接触者涉</w:t>
      </w:r>
      <w:r>
        <w:rPr>
          <w:rFonts w:ascii="FangSong" w:hAnsi="FangSong" w:eastAsia="FangSong" w:cs="FangSong"/>
          <w:sz w:val="30"/>
          <w:szCs w:val="30"/>
          <w:spacing w:val="10"/>
        </w:rPr>
        <w:t xml:space="preserve"> </w:t>
      </w:r>
      <w:r>
        <w:rPr>
          <w:rFonts w:ascii="FangSong" w:hAnsi="FangSong" w:eastAsia="FangSong" w:cs="FangSong"/>
          <w:sz w:val="30"/>
          <w:szCs w:val="30"/>
          <w:b/>
          <w:bCs/>
          <w:spacing w:val="17"/>
        </w:rPr>
        <w:t>及个人隐私的有关信息、资料</w:t>
      </w:r>
    </w:p>
    <w:p>
      <w:pPr>
        <w:ind w:left="675"/>
        <w:spacing w:line="222" w:lineRule="auto"/>
        <w:rPr>
          <w:rFonts w:ascii="FangSong" w:hAnsi="FangSong" w:eastAsia="FangSong" w:cs="FangSong"/>
          <w:sz w:val="30"/>
          <w:szCs w:val="30"/>
        </w:rPr>
      </w:pPr>
      <w:r>
        <w:rPr>
          <w:rFonts w:ascii="FangSong" w:hAnsi="FangSong" w:eastAsia="FangSong" w:cs="FangSong"/>
          <w:sz w:val="30"/>
          <w:szCs w:val="30"/>
        </w:rPr>
        <w:t>法律依据：</w:t>
      </w:r>
    </w:p>
    <w:p>
      <w:pPr>
        <w:ind w:left="25" w:firstLine="640"/>
        <w:spacing w:before="69" w:line="272" w:lineRule="auto"/>
        <w:jc w:val="both"/>
        <w:rPr>
          <w:rFonts w:ascii="FangSong" w:hAnsi="FangSong" w:eastAsia="FangSong" w:cs="FangSong"/>
          <w:sz w:val="30"/>
          <w:szCs w:val="30"/>
        </w:rPr>
      </w:pPr>
      <w:r>
        <w:rPr>
          <w:rFonts w:ascii="FangSong" w:hAnsi="FangSong" w:eastAsia="FangSong" w:cs="FangSong"/>
          <w:sz w:val="30"/>
          <w:szCs w:val="30"/>
          <w:spacing w:val="25"/>
        </w:rPr>
        <w:t>《中华人民共和国传染病防治法》第六十八条第(五)项</w:t>
      </w:r>
      <w:r>
        <w:rPr>
          <w:rFonts w:ascii="FangSong" w:hAnsi="FangSong" w:eastAsia="FangSong" w:cs="FangSong"/>
          <w:sz w:val="30"/>
          <w:szCs w:val="30"/>
          <w:spacing w:val="25"/>
        </w:rPr>
        <w:t xml:space="preserve">   </w:t>
      </w:r>
      <w:r>
        <w:rPr>
          <w:rFonts w:ascii="FangSong" w:hAnsi="FangSong" w:eastAsia="FangSong" w:cs="FangSong"/>
          <w:sz w:val="30"/>
          <w:szCs w:val="30"/>
          <w:spacing w:val="25"/>
        </w:rPr>
        <w:t>疾病预防控制机构违反本法规定，</w:t>
      </w:r>
      <w:r>
        <w:rPr>
          <w:rFonts w:ascii="FangSong" w:hAnsi="FangSong" w:eastAsia="FangSong" w:cs="FangSong"/>
          <w:sz w:val="30"/>
          <w:szCs w:val="30"/>
          <w:spacing w:val="14"/>
        </w:rPr>
        <w:t xml:space="preserve"> </w:t>
      </w:r>
      <w:r>
        <w:rPr>
          <w:rFonts w:ascii="FangSong" w:hAnsi="FangSong" w:eastAsia="FangSong" w:cs="FangSong"/>
          <w:sz w:val="30"/>
          <w:szCs w:val="30"/>
          <w:spacing w:val="17"/>
        </w:rPr>
        <w:t>有下列情形之一的，由县级以上人民政府卫生行政部门责令限期改正，通报批评</w:t>
      </w:r>
      <w:r>
        <w:rPr>
          <w:rFonts w:ascii="FangSong" w:hAnsi="FangSong" w:eastAsia="FangSong" w:cs="FangSong"/>
          <w:sz w:val="30"/>
          <w:szCs w:val="30"/>
          <w:spacing w:val="16"/>
        </w:rPr>
        <w:t>，给予警告；对负有</w:t>
      </w:r>
      <w:r>
        <w:rPr>
          <w:rFonts w:ascii="FangSong" w:hAnsi="FangSong" w:eastAsia="FangSong" w:cs="FangSong"/>
          <w:sz w:val="30"/>
          <w:szCs w:val="30"/>
        </w:rPr>
        <w:t xml:space="preserve"> </w:t>
      </w:r>
      <w:r>
        <w:rPr>
          <w:rFonts w:ascii="FangSong" w:hAnsi="FangSong" w:eastAsia="FangSong" w:cs="FangSong"/>
          <w:sz w:val="30"/>
          <w:szCs w:val="30"/>
          <w:spacing w:val="17"/>
        </w:rPr>
        <w:t>责任的主管人员和其他直接责任人员，依法给予降级、撤职、开</w:t>
      </w:r>
      <w:r>
        <w:rPr>
          <w:rFonts w:ascii="FangSong" w:hAnsi="FangSong" w:eastAsia="FangSong" w:cs="FangSong"/>
          <w:sz w:val="30"/>
          <w:szCs w:val="30"/>
          <w:spacing w:val="16"/>
        </w:rPr>
        <w:t>除的处分，并可以依法吊销有关责任</w:t>
      </w:r>
      <w:r>
        <w:rPr>
          <w:rFonts w:ascii="FangSong" w:hAnsi="FangSong" w:eastAsia="FangSong" w:cs="FangSong"/>
          <w:sz w:val="30"/>
          <w:szCs w:val="30"/>
        </w:rPr>
        <w:t xml:space="preserve"> </w:t>
      </w:r>
      <w:r>
        <w:rPr>
          <w:rFonts w:ascii="FangSong" w:hAnsi="FangSong" w:eastAsia="FangSong" w:cs="FangSong"/>
          <w:sz w:val="30"/>
          <w:szCs w:val="30"/>
          <w:spacing w:val="11"/>
        </w:rPr>
        <w:t>人员的执业证书：</w:t>
      </w:r>
    </w:p>
    <w:p>
      <w:pPr>
        <w:ind w:left="25" w:right="10" w:firstLine="769"/>
        <w:spacing w:before="8" w:line="262" w:lineRule="auto"/>
        <w:rPr>
          <w:rFonts w:ascii="FangSong" w:hAnsi="FangSong" w:eastAsia="FangSong" w:cs="FangSong"/>
          <w:sz w:val="30"/>
          <w:szCs w:val="30"/>
        </w:rPr>
      </w:pPr>
      <w:r>
        <w:rPr>
          <w:rFonts w:ascii="FangSong" w:hAnsi="FangSong" w:eastAsia="FangSong" w:cs="FangSong"/>
          <w:sz w:val="30"/>
          <w:szCs w:val="30"/>
          <w:spacing w:val="21"/>
        </w:rPr>
        <w:t>(五)故意泄露传染病病人、病原携带者、</w:t>
      </w:r>
      <w:r>
        <w:rPr>
          <w:rFonts w:ascii="FangSong" w:hAnsi="FangSong" w:eastAsia="FangSong" w:cs="FangSong"/>
          <w:sz w:val="30"/>
          <w:szCs w:val="30"/>
          <w:spacing w:val="20"/>
        </w:rPr>
        <w:t>疑似传染病病人、密切接触者涉及个人隐私的有关信</w:t>
      </w:r>
      <w:r>
        <w:rPr>
          <w:rFonts w:ascii="FangSong" w:hAnsi="FangSong" w:eastAsia="FangSong" w:cs="FangSong"/>
          <w:sz w:val="30"/>
          <w:szCs w:val="30"/>
        </w:rPr>
        <w:t xml:space="preserve"> </w:t>
      </w:r>
      <w:r>
        <w:rPr>
          <w:rFonts w:ascii="FangSong" w:hAnsi="FangSong" w:eastAsia="FangSong" w:cs="FangSong"/>
          <w:sz w:val="30"/>
          <w:szCs w:val="30"/>
          <w:spacing w:val="10"/>
        </w:rPr>
        <w:t>息、资料的。</w:t>
      </w:r>
    </w:p>
    <w:p>
      <w:pPr>
        <w:ind w:left="6379"/>
        <w:spacing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63"/>
        <w:gridCol w:w="8573"/>
        <w:gridCol w:w="2503"/>
      </w:tblGrid>
      <w:tr>
        <w:trPr>
          <w:trHeight w:val="830" w:hRule="atLeast"/>
        </w:trPr>
        <w:tc>
          <w:tcPr>
            <w:tcW w:w="2763" w:type="dxa"/>
            <w:vAlign w:val="top"/>
          </w:tcPr>
          <w:p>
            <w:pPr>
              <w:pStyle w:val="TableText"/>
              <w:ind w:left="898"/>
              <w:spacing w:before="302" w:line="220" w:lineRule="auto"/>
              <w:rPr/>
            </w:pPr>
            <w:r>
              <w:rPr>
                <w:b/>
                <w:bCs/>
                <w:spacing w:val="-5"/>
              </w:rPr>
              <w:t>违法程度</w:t>
            </w:r>
          </w:p>
        </w:tc>
        <w:tc>
          <w:tcPr>
            <w:tcW w:w="8573" w:type="dxa"/>
            <w:vAlign w:val="top"/>
          </w:tcPr>
          <w:p>
            <w:pPr>
              <w:pStyle w:val="TableText"/>
              <w:ind w:left="3805"/>
              <w:spacing w:before="302" w:line="220" w:lineRule="auto"/>
              <w:rPr/>
            </w:pPr>
            <w:r>
              <w:rPr>
                <w:b/>
                <w:bCs/>
                <w:spacing w:val="-5"/>
              </w:rPr>
              <w:t>情节后果</w:t>
            </w:r>
          </w:p>
        </w:tc>
        <w:tc>
          <w:tcPr>
            <w:tcW w:w="2503" w:type="dxa"/>
            <w:vAlign w:val="top"/>
          </w:tcPr>
          <w:p>
            <w:pPr>
              <w:pStyle w:val="TableText"/>
              <w:ind w:left="702"/>
              <w:spacing w:before="299" w:line="218" w:lineRule="auto"/>
              <w:rPr/>
            </w:pPr>
            <w:r>
              <w:rPr>
                <w:b/>
                <w:bCs/>
                <w:spacing w:val="-5"/>
              </w:rPr>
              <w:t>裁量幅度</w:t>
            </w:r>
          </w:p>
        </w:tc>
      </w:tr>
      <w:tr>
        <w:trPr>
          <w:trHeight w:val="1079" w:hRule="atLeast"/>
        </w:trPr>
        <w:tc>
          <w:tcPr>
            <w:tcW w:w="2763" w:type="dxa"/>
            <w:vAlign w:val="top"/>
          </w:tcPr>
          <w:p>
            <w:pPr>
              <w:spacing w:line="342" w:lineRule="auto"/>
              <w:rPr>
                <w:rFonts w:ascii="Arial"/>
                <w:sz w:val="21"/>
              </w:rPr>
            </w:pPr>
            <w:r/>
          </w:p>
          <w:p>
            <w:pPr>
              <w:pStyle w:val="TableText"/>
              <w:ind w:left="1138"/>
              <w:spacing w:before="78" w:line="221" w:lineRule="auto"/>
              <w:rPr/>
            </w:pPr>
            <w:r>
              <w:rPr>
                <w:b/>
                <w:bCs/>
                <w:spacing w:val="-10"/>
              </w:rPr>
              <w:t>一般</w:t>
            </w:r>
          </w:p>
        </w:tc>
        <w:tc>
          <w:tcPr>
            <w:tcW w:w="8573" w:type="dxa"/>
            <w:vAlign w:val="top"/>
          </w:tcPr>
          <w:p>
            <w:pPr>
              <w:pStyle w:val="TableText"/>
              <w:ind w:left="134" w:right="70" w:hanging="49"/>
              <w:spacing w:before="120" w:line="341" w:lineRule="auto"/>
              <w:rPr/>
            </w:pPr>
            <w:r>
              <w:rPr>
                <w:b/>
                <w:bCs/>
                <w:spacing w:val="-2"/>
              </w:rPr>
              <w:t>故意泄露传染病病人、病原携带者、疑似传染病病</w:t>
            </w:r>
            <w:r>
              <w:rPr>
                <w:b/>
                <w:bCs/>
                <w:spacing w:val="-3"/>
              </w:rPr>
              <w:t>人、密切接触者涉及个人隐私</w:t>
            </w:r>
            <w:r>
              <w:rPr/>
              <w:t xml:space="preserve"> </w:t>
            </w:r>
            <w:r>
              <w:rPr>
                <w:b/>
                <w:bCs/>
                <w:spacing w:val="-2"/>
              </w:rPr>
              <w:t>的有关信息和资料的</w:t>
            </w:r>
          </w:p>
        </w:tc>
        <w:tc>
          <w:tcPr>
            <w:tcW w:w="2503" w:type="dxa"/>
            <w:vAlign w:val="top"/>
          </w:tcPr>
          <w:p>
            <w:pPr>
              <w:spacing w:line="339" w:lineRule="auto"/>
              <w:rPr>
                <w:rFonts w:ascii="Arial"/>
                <w:sz w:val="21"/>
              </w:rPr>
            </w:pPr>
            <w:r/>
          </w:p>
          <w:p>
            <w:pPr>
              <w:pStyle w:val="TableText"/>
              <w:ind w:left="112"/>
              <w:spacing w:before="78" w:line="218" w:lineRule="auto"/>
              <w:rPr/>
            </w:pPr>
            <w:r>
              <w:rPr>
                <w:b/>
                <w:bCs/>
                <w:spacing w:val="-4"/>
              </w:rPr>
              <w:t>通报批评、警告</w:t>
            </w:r>
          </w:p>
        </w:tc>
      </w:tr>
    </w:tbl>
    <w:p>
      <w:pPr>
        <w:pStyle w:val="BodyText"/>
        <w:rPr/>
      </w:pPr>
      <w:r/>
    </w:p>
    <w:p>
      <w:pPr>
        <w:sectPr>
          <w:footerReference w:type="default" r:id="rId81"/>
          <w:pgSz w:w="16830" w:h="11900"/>
          <w:pgMar w:top="1011" w:right="1449" w:bottom="1137" w:left="1414" w:header="0" w:footer="748" w:gutter="0"/>
        </w:sectPr>
        <w:rPr/>
      </w:pPr>
    </w:p>
    <w:p>
      <w:pPr>
        <w:spacing w:before="17"/>
        <w:rPr/>
      </w:pPr>
      <w:r/>
    </w:p>
    <w:p>
      <w:pPr>
        <w:spacing w:before="16"/>
        <w:rPr/>
      </w:pPr>
      <w:r/>
    </w:p>
    <w:p>
      <w:pPr>
        <w:spacing w:before="16"/>
        <w:rPr/>
      </w:pPr>
      <w:r/>
    </w:p>
    <w:tbl>
      <w:tblPr>
        <w:tblStyle w:val="TableNormal"/>
        <w:tblW w:w="13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73"/>
        <w:gridCol w:w="8574"/>
        <w:gridCol w:w="2523"/>
      </w:tblGrid>
      <w:tr>
        <w:trPr>
          <w:trHeight w:val="1509" w:hRule="atLeast"/>
        </w:trPr>
        <w:tc>
          <w:tcPr>
            <w:tcW w:w="2773" w:type="dxa"/>
            <w:vAlign w:val="top"/>
          </w:tcPr>
          <w:p>
            <w:pPr>
              <w:spacing w:line="280" w:lineRule="auto"/>
              <w:rPr>
                <w:rFonts w:ascii="Arial"/>
                <w:sz w:val="21"/>
              </w:rPr>
            </w:pPr>
            <w:r/>
          </w:p>
          <w:p>
            <w:pPr>
              <w:spacing w:line="280" w:lineRule="auto"/>
              <w:rPr>
                <w:rFonts w:ascii="Arial"/>
                <w:sz w:val="21"/>
              </w:rPr>
            </w:pPr>
            <w:r/>
          </w:p>
          <w:p>
            <w:pPr>
              <w:pStyle w:val="TableText"/>
              <w:ind w:left="1158"/>
              <w:spacing w:before="78" w:line="220" w:lineRule="auto"/>
              <w:outlineLvl w:val="1"/>
              <w:rPr/>
            </w:pPr>
            <w:bookmarkStart w:name="bookmark753" w:id="29"/>
            <w:bookmarkEnd w:id="29"/>
            <w:bookmarkStart w:name="bookmark186" w:id="30"/>
            <w:bookmarkEnd w:id="30"/>
            <w:r>
              <w:rPr>
                <w:b/>
                <w:bCs/>
                <w:spacing w:val="-6"/>
              </w:rPr>
              <w:t>严重</w:t>
            </w:r>
          </w:p>
        </w:tc>
        <w:tc>
          <w:tcPr>
            <w:tcW w:w="8574" w:type="dxa"/>
            <w:vAlign w:val="top"/>
          </w:tcPr>
          <w:p>
            <w:pPr>
              <w:pStyle w:val="TableText"/>
              <w:ind w:left="82"/>
              <w:spacing w:before="103" w:line="344" w:lineRule="auto"/>
              <w:jc w:val="both"/>
              <w:rPr/>
            </w:pPr>
            <w:r>
              <w:rPr>
                <w:spacing w:val="-1"/>
              </w:rPr>
              <w:t>故意泄露传染病病人、病原携带者、疑似传染病病人、密切接触者涉及个人隐私</w:t>
            </w:r>
            <w:r>
              <w:rPr>
                <w:spacing w:val="5"/>
              </w:rPr>
              <w:t xml:space="preserve">  </w:t>
            </w:r>
            <w:r>
              <w:rPr>
                <w:spacing w:val="2"/>
              </w:rPr>
              <w:t>的有关信息、资料，导致不良社会影响或引发恐慌，或者严重影响当事人声誉、</w:t>
            </w:r>
            <w:r>
              <w:rPr>
                <w:spacing w:val="10"/>
              </w:rPr>
              <w:t xml:space="preserve"> </w:t>
            </w:r>
            <w:r>
              <w:rPr>
                <w:spacing w:val="4"/>
              </w:rPr>
              <w:t>工作、生活、就医等。</w:t>
            </w:r>
          </w:p>
        </w:tc>
        <w:tc>
          <w:tcPr>
            <w:tcW w:w="2523" w:type="dxa"/>
            <w:vAlign w:val="top"/>
          </w:tcPr>
          <w:p>
            <w:pPr>
              <w:spacing w:line="244" w:lineRule="auto"/>
              <w:rPr>
                <w:rFonts w:ascii="Arial"/>
                <w:sz w:val="21"/>
              </w:rPr>
            </w:pPr>
            <w:r/>
          </w:p>
          <w:p>
            <w:pPr>
              <w:pStyle w:val="TableText"/>
              <w:ind w:left="138" w:right="204"/>
              <w:spacing w:before="78" w:line="340" w:lineRule="auto"/>
              <w:rPr/>
            </w:pPr>
            <w:r>
              <w:rPr>
                <w:spacing w:val="1"/>
              </w:rPr>
              <w:t>依法吊销有关责任人</w:t>
            </w:r>
            <w:r>
              <w:rPr/>
              <w:t xml:space="preserve"> </w:t>
            </w:r>
            <w:r>
              <w:rPr>
                <w:spacing w:val="2"/>
              </w:rPr>
              <w:t>员的执业证书</w:t>
            </w:r>
          </w:p>
        </w:tc>
      </w:tr>
    </w:tbl>
    <w:p>
      <w:pPr>
        <w:pStyle w:val="BodyText"/>
        <w:spacing w:line="475" w:lineRule="auto"/>
        <w:rPr/>
      </w:pPr>
      <w:r/>
    </w:p>
    <w:p>
      <w:pPr>
        <w:ind w:left="49" w:right="46" w:firstLine="660"/>
        <w:spacing w:before="98" w:line="271" w:lineRule="auto"/>
        <w:rPr>
          <w:rFonts w:ascii="FangSong" w:hAnsi="FangSong" w:eastAsia="FangSong" w:cs="FangSong"/>
          <w:sz w:val="30"/>
          <w:szCs w:val="30"/>
        </w:rPr>
      </w:pPr>
      <w:r>
        <w:rPr>
          <w:rFonts w:ascii="FangSong" w:hAnsi="FangSong" w:eastAsia="FangSong" w:cs="FangSong"/>
          <w:sz w:val="30"/>
          <w:szCs w:val="30"/>
          <w:b/>
          <w:bCs/>
          <w:spacing w:val="20"/>
        </w:rPr>
        <w:t>第十条医疗机构未按照规定承担本单位的传染病预防、控制工作、医院感染控制任务和责任区</w:t>
      </w:r>
      <w:r>
        <w:rPr>
          <w:rFonts w:ascii="FangSong" w:hAnsi="FangSong" w:eastAsia="FangSong" w:cs="FangSong"/>
          <w:sz w:val="30"/>
          <w:szCs w:val="30"/>
        </w:rPr>
        <w:t xml:space="preserve"> </w:t>
      </w:r>
      <w:r>
        <w:rPr>
          <w:rFonts w:ascii="FangSong" w:hAnsi="FangSong" w:eastAsia="FangSong" w:cs="FangSong"/>
          <w:sz w:val="30"/>
          <w:szCs w:val="30"/>
          <w:b/>
          <w:bCs/>
          <w:spacing w:val="16"/>
        </w:rPr>
        <w:t>域内的传染病预防工作</w:t>
      </w:r>
    </w:p>
    <w:p>
      <w:pPr>
        <w:ind w:left="685"/>
        <w:spacing w:before="8" w:line="222" w:lineRule="auto"/>
        <w:rPr>
          <w:rFonts w:ascii="FangSong" w:hAnsi="FangSong" w:eastAsia="FangSong" w:cs="FangSong"/>
          <w:sz w:val="30"/>
          <w:szCs w:val="30"/>
        </w:rPr>
      </w:pPr>
      <w:r>
        <w:rPr>
          <w:rFonts w:ascii="FangSong" w:hAnsi="FangSong" w:eastAsia="FangSong" w:cs="FangSong"/>
          <w:sz w:val="30"/>
          <w:szCs w:val="30"/>
          <w:spacing w:val="6"/>
        </w:rPr>
        <w:t>法律依据：</w:t>
      </w:r>
    </w:p>
    <w:p>
      <w:pPr>
        <w:ind w:left="45" w:firstLine="619"/>
        <w:spacing w:before="78" w:line="264" w:lineRule="auto"/>
        <w:jc w:val="both"/>
        <w:rPr>
          <w:rFonts w:ascii="FangSong" w:hAnsi="FangSong" w:eastAsia="FangSong" w:cs="FangSong"/>
          <w:sz w:val="30"/>
          <w:szCs w:val="30"/>
        </w:rPr>
      </w:pPr>
      <w:r>
        <w:rPr>
          <w:rFonts w:ascii="FangSong" w:hAnsi="FangSong" w:eastAsia="FangSong" w:cs="FangSong"/>
          <w:sz w:val="30"/>
          <w:szCs w:val="30"/>
          <w:spacing w:val="26"/>
        </w:rPr>
        <w:t>《中华人民共和国传染病防治法》第六十九条第(</w:t>
      </w:r>
      <w:r>
        <w:rPr>
          <w:rFonts w:ascii="FangSong" w:hAnsi="FangSong" w:eastAsia="FangSong" w:cs="FangSong"/>
          <w:sz w:val="30"/>
          <w:szCs w:val="30"/>
          <w:spacing w:val="25"/>
        </w:rPr>
        <w:t>一)项</w:t>
      </w:r>
      <w:r>
        <w:rPr>
          <w:rFonts w:ascii="FangSong" w:hAnsi="FangSong" w:eastAsia="FangSong" w:cs="FangSong"/>
          <w:sz w:val="30"/>
          <w:szCs w:val="30"/>
          <w:spacing w:val="25"/>
        </w:rPr>
        <w:t xml:space="preserve">   </w:t>
      </w:r>
      <w:r>
        <w:rPr>
          <w:rFonts w:ascii="FangSong" w:hAnsi="FangSong" w:eastAsia="FangSong" w:cs="FangSong"/>
          <w:sz w:val="30"/>
          <w:szCs w:val="30"/>
          <w:spacing w:val="25"/>
        </w:rPr>
        <w:t>医疗机构违反本法规定，有下列情</w:t>
      </w:r>
      <w:r>
        <w:rPr>
          <w:rFonts w:ascii="FangSong" w:hAnsi="FangSong" w:eastAsia="FangSong" w:cs="FangSong"/>
          <w:sz w:val="30"/>
          <w:szCs w:val="30"/>
        </w:rPr>
        <w:t xml:space="preserve"> </w:t>
      </w:r>
      <w:r>
        <w:rPr>
          <w:rFonts w:ascii="FangSong" w:hAnsi="FangSong" w:eastAsia="FangSong" w:cs="FangSong"/>
          <w:sz w:val="30"/>
          <w:szCs w:val="30"/>
          <w:spacing w:val="17"/>
        </w:rPr>
        <w:t>形之一的，由县级以上人民政府卫生行政部门责令改正，通报批评，给予警告；造成传染病传播、流</w:t>
      </w:r>
      <w:r>
        <w:rPr>
          <w:rFonts w:ascii="FangSong" w:hAnsi="FangSong" w:eastAsia="FangSong" w:cs="FangSong"/>
          <w:sz w:val="30"/>
          <w:szCs w:val="30"/>
          <w:spacing w:val="12"/>
        </w:rPr>
        <w:t xml:space="preserve"> </w:t>
      </w:r>
      <w:r>
        <w:rPr>
          <w:rFonts w:ascii="FangSong" w:hAnsi="FangSong" w:eastAsia="FangSong" w:cs="FangSong"/>
          <w:sz w:val="30"/>
          <w:szCs w:val="30"/>
          <w:spacing w:val="17"/>
        </w:rPr>
        <w:t>行或者其他严重后果的，对负有责任的主管人员和其他直接责任人员，依法给</w:t>
      </w:r>
      <w:r>
        <w:rPr>
          <w:rFonts w:ascii="FangSong" w:hAnsi="FangSong" w:eastAsia="FangSong" w:cs="FangSong"/>
          <w:sz w:val="30"/>
          <w:szCs w:val="30"/>
          <w:spacing w:val="16"/>
        </w:rPr>
        <w:t>予降级、撤职、开除的</w:t>
      </w:r>
      <w:r>
        <w:rPr>
          <w:rFonts w:ascii="FangSong" w:hAnsi="FangSong" w:eastAsia="FangSong" w:cs="FangSong"/>
          <w:sz w:val="30"/>
          <w:szCs w:val="30"/>
        </w:rPr>
        <w:t xml:space="preserve"> </w:t>
      </w:r>
      <w:r>
        <w:rPr>
          <w:rFonts w:ascii="FangSong" w:hAnsi="FangSong" w:eastAsia="FangSong" w:cs="FangSong"/>
          <w:sz w:val="30"/>
          <w:szCs w:val="30"/>
          <w:spacing w:val="16"/>
        </w:rPr>
        <w:t>处分，并可以依法吊销有关责任人员的执业</w:t>
      </w:r>
      <w:r>
        <w:rPr>
          <w:rFonts w:ascii="FangSong" w:hAnsi="FangSong" w:eastAsia="FangSong" w:cs="FangSong"/>
          <w:sz w:val="30"/>
          <w:szCs w:val="30"/>
          <w:spacing w:val="15"/>
        </w:rPr>
        <w:t>证书：</w:t>
      </w:r>
    </w:p>
    <w:p>
      <w:pPr>
        <w:ind w:left="45" w:right="1" w:firstLine="780"/>
        <w:spacing w:before="22" w:line="271" w:lineRule="auto"/>
        <w:rPr>
          <w:rFonts w:ascii="FangSong" w:hAnsi="FangSong" w:eastAsia="FangSong" w:cs="FangSong"/>
          <w:sz w:val="30"/>
          <w:szCs w:val="30"/>
        </w:rPr>
      </w:pPr>
      <w:r>
        <w:rPr>
          <w:rFonts w:ascii="FangSong" w:hAnsi="FangSong" w:eastAsia="FangSong" w:cs="FangSong"/>
          <w:sz w:val="30"/>
          <w:szCs w:val="30"/>
          <w:spacing w:val="21"/>
        </w:rPr>
        <w:t>(一)未按照规定承担本单位的传染病预防、控制工作、医院感染控制任务和责任区域</w:t>
      </w:r>
      <w:r>
        <w:rPr>
          <w:rFonts w:ascii="FangSong" w:hAnsi="FangSong" w:eastAsia="FangSong" w:cs="FangSong"/>
          <w:sz w:val="30"/>
          <w:szCs w:val="30"/>
          <w:spacing w:val="20"/>
        </w:rPr>
        <w:t>内的传染</w:t>
      </w:r>
      <w:r>
        <w:rPr>
          <w:rFonts w:ascii="FangSong" w:hAnsi="FangSong" w:eastAsia="FangSong" w:cs="FangSong"/>
          <w:sz w:val="30"/>
          <w:szCs w:val="30"/>
        </w:rPr>
        <w:t xml:space="preserve"> </w:t>
      </w:r>
      <w:r>
        <w:rPr>
          <w:rFonts w:ascii="FangSong" w:hAnsi="FangSong" w:eastAsia="FangSong" w:cs="FangSong"/>
          <w:sz w:val="30"/>
          <w:szCs w:val="30"/>
          <w:spacing w:val="10"/>
        </w:rPr>
        <w:t>病预防工作的；</w:t>
      </w:r>
    </w:p>
    <w:p>
      <w:pPr>
        <w:ind w:left="6449"/>
        <w:spacing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70" w:type="dxa"/>
        <w:tblInd w:w="4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94"/>
        <w:gridCol w:w="7694"/>
        <w:gridCol w:w="4382"/>
      </w:tblGrid>
      <w:tr>
        <w:trPr>
          <w:trHeight w:val="671" w:hRule="atLeast"/>
        </w:trPr>
        <w:tc>
          <w:tcPr>
            <w:tcW w:w="1794" w:type="dxa"/>
            <w:vAlign w:val="top"/>
          </w:tcPr>
          <w:p>
            <w:pPr>
              <w:pStyle w:val="TableText"/>
              <w:ind w:left="368"/>
              <w:spacing w:before="212" w:line="220" w:lineRule="auto"/>
              <w:rPr>
                <w:sz w:val="26"/>
                <w:szCs w:val="26"/>
              </w:rPr>
            </w:pPr>
            <w:r>
              <w:rPr>
                <w:sz w:val="26"/>
                <w:szCs w:val="26"/>
                <w:b/>
                <w:bCs/>
                <w:spacing w:val="-5"/>
              </w:rPr>
              <w:t>违法程度</w:t>
            </w:r>
          </w:p>
        </w:tc>
        <w:tc>
          <w:tcPr>
            <w:tcW w:w="7694" w:type="dxa"/>
            <w:vAlign w:val="top"/>
          </w:tcPr>
          <w:p>
            <w:pPr>
              <w:pStyle w:val="TableText"/>
              <w:ind w:left="3324"/>
              <w:spacing w:before="212" w:line="220" w:lineRule="auto"/>
              <w:rPr>
                <w:sz w:val="26"/>
                <w:szCs w:val="26"/>
              </w:rPr>
            </w:pPr>
            <w:r>
              <w:rPr>
                <w:sz w:val="26"/>
                <w:szCs w:val="26"/>
                <w:b/>
                <w:bCs/>
                <w:spacing w:val="-5"/>
              </w:rPr>
              <w:t>情节后果</w:t>
            </w:r>
          </w:p>
        </w:tc>
        <w:tc>
          <w:tcPr>
            <w:tcW w:w="4382" w:type="dxa"/>
            <w:vAlign w:val="top"/>
          </w:tcPr>
          <w:p>
            <w:pPr>
              <w:pStyle w:val="TableText"/>
              <w:ind w:left="1630"/>
              <w:spacing w:before="209" w:line="218" w:lineRule="auto"/>
              <w:rPr>
                <w:sz w:val="26"/>
                <w:szCs w:val="26"/>
              </w:rPr>
            </w:pPr>
            <w:r>
              <w:rPr>
                <w:sz w:val="26"/>
                <w:szCs w:val="26"/>
                <w:b/>
                <w:bCs/>
                <w:spacing w:val="-5"/>
              </w:rPr>
              <w:t>裁量幅度</w:t>
            </w:r>
          </w:p>
        </w:tc>
      </w:tr>
      <w:tr>
        <w:trPr>
          <w:trHeight w:val="979" w:hRule="atLeast"/>
        </w:trPr>
        <w:tc>
          <w:tcPr>
            <w:tcW w:w="1794" w:type="dxa"/>
            <w:vAlign w:val="top"/>
          </w:tcPr>
          <w:p>
            <w:pPr>
              <w:spacing w:line="276" w:lineRule="auto"/>
              <w:rPr>
                <w:rFonts w:ascii="Arial"/>
                <w:sz w:val="21"/>
              </w:rPr>
            </w:pPr>
            <w:r/>
          </w:p>
          <w:p>
            <w:pPr>
              <w:pStyle w:val="TableText"/>
              <w:ind w:left="628"/>
              <w:spacing w:before="84" w:line="221" w:lineRule="auto"/>
              <w:rPr>
                <w:sz w:val="26"/>
                <w:szCs w:val="26"/>
              </w:rPr>
            </w:pPr>
            <w:r>
              <w:rPr>
                <w:sz w:val="26"/>
                <w:szCs w:val="26"/>
                <w:b/>
                <w:bCs/>
                <w:spacing w:val="-10"/>
              </w:rPr>
              <w:t>一般</w:t>
            </w:r>
          </w:p>
        </w:tc>
        <w:tc>
          <w:tcPr>
            <w:tcW w:w="7694" w:type="dxa"/>
            <w:vAlign w:val="top"/>
          </w:tcPr>
          <w:p>
            <w:pPr>
              <w:pStyle w:val="TableText"/>
              <w:ind w:left="14"/>
              <w:spacing w:before="200" w:line="273" w:lineRule="auto"/>
              <w:rPr>
                <w:sz w:val="26"/>
                <w:szCs w:val="26"/>
              </w:rPr>
            </w:pPr>
            <w:r>
              <w:rPr>
                <w:sz w:val="26"/>
                <w:szCs w:val="26"/>
                <w:b/>
                <w:bCs/>
                <w:spacing w:val="-16"/>
              </w:rPr>
              <w:t>医疗机构未按照规定承担本单位的传染病预防、控制工作、医院感染控</w:t>
            </w:r>
            <w:r>
              <w:rPr>
                <w:sz w:val="26"/>
                <w:szCs w:val="26"/>
                <w:spacing w:val="10"/>
              </w:rPr>
              <w:t xml:space="preserve"> </w:t>
            </w:r>
            <w:r>
              <w:rPr>
                <w:sz w:val="26"/>
                <w:szCs w:val="26"/>
                <w:b/>
                <w:bCs/>
                <w:spacing w:val="-7"/>
              </w:rPr>
              <w:t>制任务和责任区域内的传染病预防工作，未导致传染病传播</w:t>
            </w:r>
            <w:r>
              <w:rPr>
                <w:sz w:val="26"/>
                <w:szCs w:val="26"/>
                <w:b/>
                <w:bCs/>
                <w:spacing w:val="-8"/>
              </w:rPr>
              <w:t>、流行的</w:t>
            </w:r>
          </w:p>
        </w:tc>
        <w:tc>
          <w:tcPr>
            <w:tcW w:w="4382" w:type="dxa"/>
            <w:vAlign w:val="top"/>
          </w:tcPr>
          <w:p>
            <w:pPr>
              <w:spacing w:line="342" w:lineRule="auto"/>
              <w:rPr>
                <w:rFonts w:ascii="Arial"/>
                <w:sz w:val="21"/>
              </w:rPr>
            </w:pPr>
            <w:r/>
          </w:p>
          <w:p>
            <w:pPr>
              <w:pStyle w:val="TableText"/>
              <w:ind w:left="110"/>
              <w:spacing w:before="84" w:line="218" w:lineRule="auto"/>
              <w:rPr>
                <w:sz w:val="26"/>
                <w:szCs w:val="26"/>
              </w:rPr>
            </w:pPr>
            <w:r>
              <w:rPr>
                <w:sz w:val="26"/>
                <w:szCs w:val="26"/>
                <w:b/>
                <w:bCs/>
                <w:spacing w:val="-2"/>
              </w:rPr>
              <w:t>通报批评、警告</w:t>
            </w:r>
          </w:p>
        </w:tc>
      </w:tr>
    </w:tbl>
    <w:p>
      <w:pPr>
        <w:pStyle w:val="BodyText"/>
        <w:spacing w:line="358" w:lineRule="auto"/>
        <w:rPr/>
      </w:pPr>
      <w:r/>
    </w:p>
    <w:p>
      <w:pPr>
        <w:pStyle w:val="BodyText"/>
        <w:spacing w:line="359" w:lineRule="auto"/>
        <w:rPr/>
      </w:pPr>
      <w:r/>
    </w:p>
    <w:p>
      <w:pPr>
        <w:ind w:left="6515"/>
        <w:spacing w:before="127"/>
        <w:rPr>
          <w:rFonts w:ascii="SimSun" w:hAnsi="SimSun" w:eastAsia="SimSun" w:cs="SimSun"/>
          <w:sz w:val="39"/>
          <w:szCs w:val="39"/>
        </w:rPr>
      </w:pPr>
      <w:r>
        <w:rPr>
          <w:rFonts w:ascii="SimSun" w:hAnsi="SimSun" w:eastAsia="SimSun" w:cs="SimSun"/>
          <w:sz w:val="39"/>
          <w:szCs w:val="39"/>
          <w:spacing w:val="-21"/>
        </w:rPr>
        <w:t>—84—</w:t>
      </w:r>
    </w:p>
    <w:p>
      <w:pPr>
        <w:sectPr>
          <w:footerReference w:type="default" r:id="rId24"/>
          <w:pgSz w:w="16830" w:h="11900"/>
          <w:pgMar w:top="1011" w:right="1428" w:bottom="400" w:left="1394" w:header="0" w:footer="0" w:gutter="0"/>
        </w:sectPr>
        <w:rPr>
          <w:rFonts w:ascii="SimSun" w:hAnsi="SimSun" w:eastAsia="SimSun" w:cs="SimSun"/>
          <w:sz w:val="39"/>
          <w:szCs w:val="39"/>
        </w:rPr>
      </w:pPr>
    </w:p>
    <w:p>
      <w:pPr>
        <w:spacing w:before="20"/>
        <w:rPr/>
      </w:pPr>
      <w:r/>
    </w:p>
    <w:p>
      <w:pPr>
        <w:spacing w:before="20"/>
        <w:rPr/>
      </w:pPr>
      <w:r/>
    </w:p>
    <w:p>
      <w:pPr>
        <w:spacing w:before="19"/>
        <w:rPr/>
      </w:pPr>
      <w:r/>
    </w:p>
    <w:tbl>
      <w:tblPr>
        <w:tblStyle w:val="TableNormal"/>
        <w:tblW w:w="138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4"/>
        <w:gridCol w:w="7694"/>
        <w:gridCol w:w="4392"/>
      </w:tblGrid>
      <w:tr>
        <w:trPr>
          <w:trHeight w:val="1299" w:hRule="atLeast"/>
        </w:trPr>
        <w:tc>
          <w:tcPr>
            <w:tcW w:w="1804" w:type="dxa"/>
            <w:vAlign w:val="top"/>
          </w:tcPr>
          <w:p>
            <w:pPr>
              <w:spacing w:line="451" w:lineRule="auto"/>
              <w:rPr>
                <w:rFonts w:ascii="Arial"/>
                <w:sz w:val="21"/>
              </w:rPr>
            </w:pPr>
            <w:r/>
          </w:p>
          <w:p>
            <w:pPr>
              <w:pStyle w:val="TableText"/>
              <w:ind w:left="638"/>
              <w:spacing w:before="78" w:line="220" w:lineRule="auto"/>
              <w:outlineLvl w:val="1"/>
              <w:rPr/>
            </w:pPr>
            <w:bookmarkStart w:name="bookmark754" w:id="31"/>
            <w:bookmarkEnd w:id="31"/>
            <w:bookmarkStart w:name="bookmark186" w:id="32"/>
            <w:bookmarkEnd w:id="32"/>
            <w:r>
              <w:rPr>
                <w:b/>
                <w:bCs/>
                <w:spacing w:val="-6"/>
              </w:rPr>
              <w:t>严重</w:t>
            </w:r>
          </w:p>
        </w:tc>
        <w:tc>
          <w:tcPr>
            <w:tcW w:w="7694" w:type="dxa"/>
            <w:vAlign w:val="top"/>
          </w:tcPr>
          <w:p>
            <w:pPr>
              <w:pStyle w:val="TableText"/>
              <w:ind w:left="121" w:right="103"/>
              <w:spacing w:before="122" w:line="299" w:lineRule="auto"/>
              <w:jc w:val="both"/>
              <w:rPr/>
            </w:pPr>
            <w:r>
              <w:rPr/>
              <w:t>未按照规定承担本单位的传染病预防、控制工作、医院感染控制任务和</w:t>
            </w:r>
            <w:r>
              <w:rPr>
                <w:spacing w:val="18"/>
              </w:rPr>
              <w:t xml:space="preserve"> </w:t>
            </w:r>
            <w:r>
              <w:rPr/>
              <w:t>责任区域内的传染病预防工作，造成传染病传播、流行或者人员死亡或</w:t>
            </w:r>
            <w:r>
              <w:rPr>
                <w:spacing w:val="10"/>
              </w:rPr>
              <w:t xml:space="preserve"> </w:t>
            </w:r>
            <w:r>
              <w:rPr>
                <w:spacing w:val="2"/>
              </w:rPr>
              <w:t>其他严重后果的</w:t>
            </w:r>
          </w:p>
        </w:tc>
        <w:tc>
          <w:tcPr>
            <w:tcW w:w="4392" w:type="dxa"/>
            <w:vAlign w:val="top"/>
          </w:tcPr>
          <w:p>
            <w:pPr>
              <w:spacing w:line="452" w:lineRule="auto"/>
              <w:rPr>
                <w:rFonts w:ascii="Arial"/>
                <w:sz w:val="21"/>
              </w:rPr>
            </w:pPr>
            <w:r/>
          </w:p>
          <w:p>
            <w:pPr>
              <w:pStyle w:val="TableText"/>
              <w:ind w:left="117"/>
              <w:spacing w:before="78" w:line="219" w:lineRule="auto"/>
              <w:rPr/>
            </w:pPr>
            <w:r>
              <w:rPr>
                <w:spacing w:val="1"/>
              </w:rPr>
              <w:t>依法吊销有关责任人员的执业证书</w:t>
            </w:r>
          </w:p>
        </w:tc>
      </w:tr>
    </w:tbl>
    <w:p>
      <w:pPr>
        <w:pStyle w:val="BodyText"/>
        <w:spacing w:line="456" w:lineRule="auto"/>
        <w:rPr/>
      </w:pPr>
      <w:r/>
    </w:p>
    <w:p>
      <w:pPr>
        <w:ind w:left="35" w:firstLine="639"/>
        <w:spacing w:before="101" w:line="263" w:lineRule="auto"/>
        <w:jc w:val="both"/>
        <w:rPr>
          <w:rFonts w:ascii="KaiTi" w:hAnsi="KaiTi" w:eastAsia="KaiTi" w:cs="KaiTi"/>
          <w:sz w:val="31"/>
          <w:szCs w:val="31"/>
        </w:rPr>
      </w:pPr>
      <w:r>
        <w:rPr>
          <w:rFonts w:ascii="KaiTi" w:hAnsi="KaiTi" w:eastAsia="KaiTi" w:cs="KaiTi"/>
          <w:sz w:val="31"/>
          <w:szCs w:val="31"/>
          <w:spacing w:val="14"/>
        </w:rPr>
        <w:t>第十一条医疗机构发现本法规定的传染病疫情或者发现其他传染病暴发、流行以及突发原因不</w:t>
      </w:r>
      <w:r>
        <w:rPr>
          <w:rFonts w:ascii="KaiTi" w:hAnsi="KaiTi" w:eastAsia="KaiTi" w:cs="KaiTi"/>
          <w:sz w:val="31"/>
          <w:szCs w:val="31"/>
          <w:spacing w:val="16"/>
        </w:rPr>
        <w:t xml:space="preserve"> </w:t>
      </w:r>
      <w:r>
        <w:rPr>
          <w:rFonts w:ascii="KaiTi" w:hAnsi="KaiTi" w:eastAsia="KaiTi" w:cs="KaiTi"/>
          <w:sz w:val="31"/>
          <w:szCs w:val="31"/>
          <w:spacing w:val="11"/>
        </w:rPr>
        <w:t>明的传染病时，未遵循疫情报告属地管理原则，未按照国务院</w:t>
      </w:r>
      <w:r>
        <w:rPr>
          <w:rFonts w:ascii="KaiTi" w:hAnsi="KaiTi" w:eastAsia="KaiTi" w:cs="KaiTi"/>
          <w:sz w:val="31"/>
          <w:szCs w:val="31"/>
          <w:spacing w:val="10"/>
        </w:rPr>
        <w:t>规定的或者国务院卫生行政部门规定</w:t>
      </w:r>
      <w:r>
        <w:rPr>
          <w:rFonts w:ascii="KaiTi" w:hAnsi="KaiTi" w:eastAsia="KaiTi" w:cs="KaiTi"/>
          <w:sz w:val="31"/>
          <w:szCs w:val="31"/>
        </w:rPr>
        <w:t xml:space="preserve">  </w:t>
      </w:r>
      <w:r>
        <w:rPr>
          <w:rFonts w:ascii="KaiTi" w:hAnsi="KaiTi" w:eastAsia="KaiTi" w:cs="KaiTi"/>
          <w:sz w:val="31"/>
          <w:szCs w:val="31"/>
          <w:spacing w:val="8"/>
        </w:rPr>
        <w:t>的内容、程序、方式和时限报告的</w:t>
      </w:r>
    </w:p>
    <w:p>
      <w:pPr>
        <w:ind w:left="675"/>
        <w:spacing w:line="222" w:lineRule="auto"/>
        <w:rPr>
          <w:rFonts w:ascii="FangSong" w:hAnsi="FangSong" w:eastAsia="FangSong" w:cs="FangSong"/>
          <w:sz w:val="31"/>
          <w:szCs w:val="31"/>
        </w:rPr>
      </w:pPr>
      <w:r>
        <w:rPr>
          <w:rFonts w:ascii="FangSong" w:hAnsi="FangSong" w:eastAsia="FangSong" w:cs="FangSong"/>
          <w:sz w:val="31"/>
          <w:szCs w:val="31"/>
          <w:spacing w:val="-4"/>
        </w:rPr>
        <w:t>法律依据：</w:t>
      </w:r>
    </w:p>
    <w:p>
      <w:pPr>
        <w:ind w:left="35" w:right="1" w:firstLine="624"/>
        <w:spacing w:before="52" w:line="262" w:lineRule="auto"/>
        <w:jc w:val="both"/>
        <w:rPr>
          <w:rFonts w:ascii="FangSong" w:hAnsi="FangSong" w:eastAsia="FangSong" w:cs="FangSong"/>
          <w:sz w:val="31"/>
          <w:szCs w:val="31"/>
        </w:rPr>
      </w:pPr>
      <w:r>
        <w:rPr>
          <w:rFonts w:ascii="FangSong" w:hAnsi="FangSong" w:eastAsia="FangSong" w:cs="FangSong"/>
          <w:sz w:val="31"/>
          <w:szCs w:val="31"/>
          <w:spacing w:val="16"/>
        </w:rPr>
        <w:t>《中华人民共和国传染病防治法》第六十九条第(二)项</w:t>
      </w:r>
      <w:r>
        <w:rPr>
          <w:rFonts w:ascii="FangSong" w:hAnsi="FangSong" w:eastAsia="FangSong" w:cs="FangSong"/>
          <w:sz w:val="31"/>
          <w:szCs w:val="31"/>
          <w:spacing w:val="16"/>
        </w:rPr>
        <w:t xml:space="preserve">   </w:t>
      </w:r>
      <w:r>
        <w:rPr>
          <w:rFonts w:ascii="FangSong" w:hAnsi="FangSong" w:eastAsia="FangSong" w:cs="FangSong"/>
          <w:sz w:val="31"/>
          <w:szCs w:val="31"/>
          <w:spacing w:val="16"/>
        </w:rPr>
        <w:t>医疗机构违</w:t>
      </w:r>
      <w:r>
        <w:rPr>
          <w:rFonts w:ascii="FangSong" w:hAnsi="FangSong" w:eastAsia="FangSong" w:cs="FangSong"/>
          <w:sz w:val="31"/>
          <w:szCs w:val="31"/>
          <w:spacing w:val="15"/>
        </w:rPr>
        <w:t>反本法规定，有下列情</w:t>
      </w:r>
      <w:r>
        <w:rPr>
          <w:rFonts w:ascii="FangSong" w:hAnsi="FangSong" w:eastAsia="FangSong" w:cs="FangSong"/>
          <w:sz w:val="31"/>
          <w:szCs w:val="31"/>
        </w:rPr>
        <w:t xml:space="preserve"> </w:t>
      </w:r>
      <w:r>
        <w:rPr>
          <w:rFonts w:ascii="FangSong" w:hAnsi="FangSong" w:eastAsia="FangSong" w:cs="FangSong"/>
          <w:sz w:val="31"/>
          <w:szCs w:val="31"/>
          <w:spacing w:val="7"/>
        </w:rPr>
        <w:t>形之一的，由县级以上人民政府卫生行政部门责令改正，通</w:t>
      </w:r>
      <w:r>
        <w:rPr>
          <w:rFonts w:ascii="FangSong" w:hAnsi="FangSong" w:eastAsia="FangSong" w:cs="FangSong"/>
          <w:sz w:val="31"/>
          <w:szCs w:val="31"/>
          <w:spacing w:val="6"/>
        </w:rPr>
        <w:t>报批评，给予警告；造成传染病传播、流</w:t>
      </w:r>
      <w:r>
        <w:rPr>
          <w:rFonts w:ascii="FangSong" w:hAnsi="FangSong" w:eastAsia="FangSong" w:cs="FangSong"/>
          <w:sz w:val="31"/>
          <w:szCs w:val="31"/>
        </w:rPr>
        <w:t xml:space="preserve"> </w:t>
      </w:r>
      <w:r>
        <w:rPr>
          <w:rFonts w:ascii="FangSong" w:hAnsi="FangSong" w:eastAsia="FangSong" w:cs="FangSong"/>
          <w:sz w:val="31"/>
          <w:szCs w:val="31"/>
          <w:spacing w:val="7"/>
        </w:rPr>
        <w:t>行或者其他严重后果的，对负有责任的主管人员和其他直接责任人员，依法给予</w:t>
      </w:r>
      <w:r>
        <w:rPr>
          <w:rFonts w:ascii="FangSong" w:hAnsi="FangSong" w:eastAsia="FangSong" w:cs="FangSong"/>
          <w:sz w:val="31"/>
          <w:szCs w:val="31"/>
          <w:spacing w:val="6"/>
        </w:rPr>
        <w:t>降级、撤职、开除的</w:t>
      </w:r>
      <w:r>
        <w:rPr>
          <w:rFonts w:ascii="FangSong" w:hAnsi="FangSong" w:eastAsia="FangSong" w:cs="FangSong"/>
          <w:sz w:val="31"/>
          <w:szCs w:val="31"/>
        </w:rPr>
        <w:t xml:space="preserve"> </w:t>
      </w:r>
      <w:r>
        <w:rPr>
          <w:rFonts w:ascii="FangSong" w:hAnsi="FangSong" w:eastAsia="FangSong" w:cs="FangSong"/>
          <w:sz w:val="31"/>
          <w:szCs w:val="31"/>
          <w:spacing w:val="6"/>
        </w:rPr>
        <w:t>处分，并可以依法吊销有关责任人员的执业证书：</w:t>
      </w:r>
    </w:p>
    <w:p>
      <w:pPr>
        <w:ind w:left="805"/>
        <w:spacing w:before="25" w:line="222" w:lineRule="auto"/>
        <w:rPr>
          <w:rFonts w:ascii="FangSong" w:hAnsi="FangSong" w:eastAsia="FangSong" w:cs="FangSong"/>
          <w:sz w:val="31"/>
          <w:szCs w:val="31"/>
        </w:rPr>
      </w:pPr>
      <w:r>
        <w:rPr>
          <w:rFonts w:ascii="FangSong" w:hAnsi="FangSong" w:eastAsia="FangSong" w:cs="FangSong"/>
          <w:sz w:val="31"/>
          <w:szCs w:val="31"/>
          <w:spacing w:val="12"/>
        </w:rPr>
        <w:t>(二)未按照规定报告传染病疫情，或者隐瞒、谎报、缓报传染病疫情的；</w:t>
      </w:r>
    </w:p>
    <w:p>
      <w:pPr>
        <w:ind w:left="6439"/>
        <w:spacing w:before="55"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74"/>
        <w:gridCol w:w="7505"/>
        <w:gridCol w:w="4811"/>
      </w:tblGrid>
      <w:tr>
        <w:trPr>
          <w:trHeight w:val="690" w:hRule="atLeast"/>
        </w:trPr>
        <w:tc>
          <w:tcPr>
            <w:tcW w:w="1574" w:type="dxa"/>
            <w:vAlign w:val="top"/>
          </w:tcPr>
          <w:p>
            <w:pPr>
              <w:pStyle w:val="TableText"/>
              <w:ind w:left="298"/>
              <w:spacing w:before="232" w:line="220" w:lineRule="auto"/>
              <w:rPr/>
            </w:pPr>
            <w:r>
              <w:rPr>
                <w:b/>
                <w:bCs/>
                <w:spacing w:val="-5"/>
              </w:rPr>
              <w:t>违法程度</w:t>
            </w:r>
          </w:p>
        </w:tc>
        <w:tc>
          <w:tcPr>
            <w:tcW w:w="7505" w:type="dxa"/>
            <w:vAlign w:val="top"/>
          </w:tcPr>
          <w:p>
            <w:pPr>
              <w:pStyle w:val="TableText"/>
              <w:ind w:left="3264"/>
              <w:spacing w:before="232" w:line="220" w:lineRule="auto"/>
              <w:rPr/>
            </w:pPr>
            <w:r>
              <w:rPr>
                <w:b/>
                <w:bCs/>
                <w:spacing w:val="-5"/>
              </w:rPr>
              <w:t>情节后果</w:t>
            </w:r>
          </w:p>
        </w:tc>
        <w:tc>
          <w:tcPr>
            <w:tcW w:w="4811" w:type="dxa"/>
            <w:vAlign w:val="top"/>
          </w:tcPr>
          <w:p>
            <w:pPr>
              <w:pStyle w:val="TableText"/>
              <w:ind w:left="1839"/>
              <w:spacing w:before="229" w:line="218" w:lineRule="auto"/>
              <w:rPr/>
            </w:pPr>
            <w:r>
              <w:rPr>
                <w:b/>
                <w:bCs/>
                <w:spacing w:val="-5"/>
              </w:rPr>
              <w:t>裁量幅度</w:t>
            </w:r>
          </w:p>
        </w:tc>
      </w:tr>
      <w:tr>
        <w:trPr>
          <w:trHeight w:val="849" w:hRule="atLeast"/>
        </w:trPr>
        <w:tc>
          <w:tcPr>
            <w:tcW w:w="1574" w:type="dxa"/>
            <w:vAlign w:val="top"/>
          </w:tcPr>
          <w:p>
            <w:pPr>
              <w:spacing w:line="283" w:lineRule="auto"/>
              <w:rPr>
                <w:rFonts w:ascii="Arial"/>
                <w:sz w:val="21"/>
              </w:rPr>
            </w:pPr>
            <w:r/>
          </w:p>
          <w:p>
            <w:pPr>
              <w:pStyle w:val="TableText"/>
              <w:ind w:left="538"/>
              <w:spacing w:before="78" w:line="221" w:lineRule="auto"/>
              <w:rPr/>
            </w:pPr>
            <w:r>
              <w:rPr>
                <w:b/>
                <w:bCs/>
                <w:spacing w:val="-10"/>
              </w:rPr>
              <w:t>一般</w:t>
            </w:r>
          </w:p>
        </w:tc>
        <w:tc>
          <w:tcPr>
            <w:tcW w:w="7505" w:type="dxa"/>
            <w:vAlign w:val="top"/>
          </w:tcPr>
          <w:p>
            <w:pPr>
              <w:pStyle w:val="TableText"/>
              <w:ind w:left="24"/>
              <w:spacing w:before="139" w:line="218" w:lineRule="auto"/>
              <w:rPr/>
            </w:pPr>
            <w:r>
              <w:rPr>
                <w:b/>
                <w:bCs/>
                <w:spacing w:val="-2"/>
              </w:rPr>
              <w:t>医疗机构未按照规定报告传染病疫情，或者</w:t>
            </w:r>
            <w:r>
              <w:rPr>
                <w:b/>
                <w:bCs/>
                <w:spacing w:val="-3"/>
              </w:rPr>
              <w:t>隐瞒、谎报、缓报传染病疫</w:t>
            </w:r>
          </w:p>
          <w:p>
            <w:pPr>
              <w:pStyle w:val="TableText"/>
              <w:ind w:left="94"/>
              <w:spacing w:before="149" w:line="205" w:lineRule="auto"/>
              <w:rPr/>
            </w:pPr>
            <w:r>
              <w:rPr>
                <w:b/>
                <w:bCs/>
                <w:color w:val="505040"/>
                <w:spacing w:val="3"/>
              </w:rPr>
              <w:t>情的</w:t>
            </w:r>
          </w:p>
        </w:tc>
        <w:tc>
          <w:tcPr>
            <w:tcW w:w="4811" w:type="dxa"/>
            <w:vAlign w:val="top"/>
          </w:tcPr>
          <w:p>
            <w:pPr>
              <w:spacing w:line="279" w:lineRule="auto"/>
              <w:rPr>
                <w:rFonts w:ascii="Arial"/>
                <w:sz w:val="21"/>
              </w:rPr>
            </w:pPr>
            <w:r/>
          </w:p>
          <w:p>
            <w:pPr>
              <w:pStyle w:val="TableText"/>
              <w:ind w:left="109"/>
              <w:spacing w:before="78" w:line="218" w:lineRule="auto"/>
              <w:rPr/>
            </w:pPr>
            <w:r>
              <w:rPr>
                <w:b/>
                <w:bCs/>
                <w:spacing w:val="-4"/>
              </w:rPr>
              <w:t>通报批评、警告</w:t>
            </w:r>
          </w:p>
        </w:tc>
      </w:tr>
    </w:tbl>
    <w:p>
      <w:pPr>
        <w:pStyle w:val="BodyText"/>
        <w:rPr/>
      </w:pPr>
      <w:r/>
    </w:p>
    <w:p>
      <w:pPr>
        <w:sectPr>
          <w:footerReference w:type="default" r:id="rId82"/>
          <w:pgSz w:w="16830" w:h="11900"/>
          <w:pgMar w:top="1011" w:right="1438" w:bottom="1146" w:left="1414" w:header="0" w:footer="744" w:gutter="0"/>
        </w:sectPr>
        <w:rPr/>
      </w:pPr>
    </w:p>
    <w:p>
      <w:pPr>
        <w:spacing w:before="20"/>
        <w:rPr/>
      </w:pPr>
      <w:r/>
    </w:p>
    <w:p>
      <w:pPr>
        <w:spacing w:before="20"/>
        <w:rPr/>
      </w:pPr>
      <w:r/>
    </w:p>
    <w:p>
      <w:pPr>
        <w:spacing w:before="19"/>
        <w:rPr/>
      </w:pPr>
      <w:r/>
    </w:p>
    <w:tbl>
      <w:tblPr>
        <w:tblStyle w:val="TableNormal"/>
        <w:tblW w:w="13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54"/>
        <w:gridCol w:w="7505"/>
        <w:gridCol w:w="4811"/>
      </w:tblGrid>
      <w:tr>
        <w:trPr>
          <w:trHeight w:val="880" w:hRule="atLeast"/>
        </w:trPr>
        <w:tc>
          <w:tcPr>
            <w:tcW w:w="1554" w:type="dxa"/>
            <w:vAlign w:val="top"/>
            <w:vMerge w:val="restart"/>
            <w:tcBorders>
              <w:bottom w:val="nil"/>
            </w:tcBorders>
          </w:tcPr>
          <w:p>
            <w:pPr>
              <w:spacing w:line="339" w:lineRule="auto"/>
              <w:rPr>
                <w:rFonts w:ascii="Arial"/>
                <w:sz w:val="21"/>
              </w:rPr>
            </w:pPr>
            <w:r/>
          </w:p>
          <w:p>
            <w:pPr>
              <w:spacing w:line="340" w:lineRule="auto"/>
              <w:rPr>
                <w:rFonts w:ascii="Arial"/>
                <w:sz w:val="21"/>
              </w:rPr>
            </w:pPr>
            <w:r/>
          </w:p>
          <w:p>
            <w:pPr>
              <w:pStyle w:val="TableText"/>
              <w:ind w:left="508"/>
              <w:spacing w:before="78" w:line="220" w:lineRule="auto"/>
              <w:outlineLvl w:val="1"/>
              <w:rPr/>
            </w:pPr>
            <w:bookmarkStart w:name="bookmark755" w:id="33"/>
            <w:bookmarkEnd w:id="33"/>
            <w:bookmarkStart w:name="bookmark186" w:id="34"/>
            <w:bookmarkEnd w:id="34"/>
            <w:r>
              <w:rPr>
                <w:b/>
                <w:bCs/>
                <w:spacing w:val="-6"/>
              </w:rPr>
              <w:t>严重</w:t>
            </w:r>
          </w:p>
        </w:tc>
        <w:tc>
          <w:tcPr>
            <w:tcW w:w="7505" w:type="dxa"/>
            <w:vAlign w:val="top"/>
          </w:tcPr>
          <w:p>
            <w:pPr>
              <w:pStyle w:val="TableText"/>
              <w:ind w:left="100" w:right="172" w:firstLine="10"/>
              <w:spacing w:before="131" w:line="284" w:lineRule="auto"/>
              <w:rPr/>
            </w:pPr>
            <w:r>
              <w:rPr/>
              <w:t>未按照规定报告传染病疫情造成传染病传播、流行或者人员死亡及或</w:t>
            </w:r>
            <w:r>
              <w:rPr>
                <w:spacing w:val="10"/>
              </w:rPr>
              <w:t xml:space="preserve"> </w:t>
            </w:r>
            <w:r>
              <w:rPr>
                <w:spacing w:val="2"/>
              </w:rPr>
              <w:t>其他严重后果的</w:t>
            </w:r>
          </w:p>
        </w:tc>
        <w:tc>
          <w:tcPr>
            <w:tcW w:w="4811" w:type="dxa"/>
            <w:vAlign w:val="top"/>
            <w:vMerge w:val="restart"/>
            <w:tcBorders>
              <w:bottom w:val="nil"/>
            </w:tcBorders>
          </w:tcPr>
          <w:p>
            <w:pPr>
              <w:spacing w:line="340" w:lineRule="auto"/>
              <w:rPr>
                <w:rFonts w:ascii="Arial"/>
                <w:sz w:val="21"/>
              </w:rPr>
            </w:pPr>
            <w:r/>
          </w:p>
          <w:p>
            <w:pPr>
              <w:spacing w:line="341" w:lineRule="auto"/>
              <w:rPr>
                <w:rFonts w:ascii="Arial"/>
                <w:sz w:val="21"/>
              </w:rPr>
            </w:pPr>
            <w:r/>
          </w:p>
          <w:p>
            <w:pPr>
              <w:pStyle w:val="TableText"/>
              <w:ind w:left="105"/>
              <w:spacing w:before="78" w:line="219" w:lineRule="auto"/>
              <w:rPr/>
            </w:pPr>
            <w:r>
              <w:rPr>
                <w:spacing w:val="1"/>
              </w:rPr>
              <w:t>依法吊销有关责任人员的执业证书</w:t>
            </w:r>
          </w:p>
        </w:tc>
      </w:tr>
      <w:tr>
        <w:trPr>
          <w:trHeight w:val="870" w:hRule="atLeast"/>
        </w:trPr>
        <w:tc>
          <w:tcPr>
            <w:tcW w:w="1554" w:type="dxa"/>
            <w:vAlign w:val="top"/>
            <w:vMerge w:val="continue"/>
            <w:tcBorders>
              <w:top w:val="nil"/>
            </w:tcBorders>
          </w:tcPr>
          <w:p>
            <w:pPr>
              <w:rPr>
                <w:rFonts w:ascii="Arial"/>
                <w:sz w:val="21"/>
              </w:rPr>
            </w:pPr>
            <w:r/>
          </w:p>
        </w:tc>
        <w:tc>
          <w:tcPr>
            <w:tcW w:w="7505" w:type="dxa"/>
            <w:vAlign w:val="top"/>
          </w:tcPr>
          <w:p>
            <w:pPr>
              <w:pStyle w:val="TableText"/>
              <w:ind w:left="100" w:right="183"/>
              <w:spacing w:before="142" w:line="276" w:lineRule="auto"/>
              <w:rPr/>
            </w:pPr>
            <w:r>
              <w:rPr/>
              <w:t>未依法履行传染病疫情报告，隐瞒、谎报、缓报传染病疫情造成传染</w:t>
            </w:r>
            <w:r>
              <w:rPr>
                <w:spacing w:val="9"/>
              </w:rPr>
              <w:t xml:space="preserve"> </w:t>
            </w:r>
            <w:r>
              <w:rPr/>
              <w:t>病传播、流行或者人员死亡或其他严重后果的</w:t>
            </w:r>
          </w:p>
        </w:tc>
        <w:tc>
          <w:tcPr>
            <w:tcW w:w="4811" w:type="dxa"/>
            <w:vAlign w:val="top"/>
            <w:vMerge w:val="continue"/>
            <w:tcBorders>
              <w:top w:val="nil"/>
            </w:tcBorders>
          </w:tcPr>
          <w:p>
            <w:pPr>
              <w:rPr>
                <w:rFonts w:ascii="Arial"/>
                <w:sz w:val="21"/>
              </w:rPr>
            </w:pPr>
            <w:r/>
          </w:p>
        </w:tc>
      </w:tr>
    </w:tbl>
    <w:p>
      <w:pPr>
        <w:pStyle w:val="BodyText"/>
        <w:spacing w:line="436" w:lineRule="auto"/>
        <w:rPr/>
      </w:pPr>
      <w:r/>
    </w:p>
    <w:p>
      <w:pPr>
        <w:ind w:left="9" w:right="140" w:firstLine="649"/>
        <w:spacing w:before="101" w:line="266" w:lineRule="auto"/>
        <w:rPr>
          <w:rFonts w:ascii="KaiTi" w:hAnsi="KaiTi" w:eastAsia="KaiTi" w:cs="KaiTi"/>
          <w:sz w:val="31"/>
          <w:szCs w:val="31"/>
        </w:rPr>
      </w:pPr>
      <w:r>
        <w:rPr>
          <w:rFonts w:ascii="KaiTi" w:hAnsi="KaiTi" w:eastAsia="KaiTi" w:cs="KaiTi"/>
          <w:sz w:val="31"/>
          <w:szCs w:val="31"/>
          <w:b/>
          <w:bCs/>
          <w:spacing w:val="11"/>
        </w:rPr>
        <w:t>第十二条医疗机构发现传染病疫情时，未按照规定对传染病</w:t>
      </w:r>
      <w:r>
        <w:rPr>
          <w:rFonts w:ascii="KaiTi" w:hAnsi="KaiTi" w:eastAsia="KaiTi" w:cs="KaiTi"/>
          <w:sz w:val="31"/>
          <w:szCs w:val="31"/>
          <w:b/>
          <w:bCs/>
          <w:spacing w:val="10"/>
        </w:rPr>
        <w:t>病人、疑似传染病病人提供医疗救</w:t>
      </w:r>
      <w:r>
        <w:rPr>
          <w:rFonts w:ascii="KaiTi" w:hAnsi="KaiTi" w:eastAsia="KaiTi" w:cs="KaiTi"/>
          <w:sz w:val="31"/>
          <w:szCs w:val="31"/>
        </w:rPr>
        <w:t xml:space="preserve"> </w:t>
      </w:r>
      <w:r>
        <w:rPr>
          <w:rFonts w:ascii="KaiTi" w:hAnsi="KaiTi" w:eastAsia="KaiTi" w:cs="KaiTi"/>
          <w:sz w:val="31"/>
          <w:szCs w:val="31"/>
          <w:b/>
          <w:bCs/>
          <w:spacing w:val="6"/>
        </w:rPr>
        <w:t>护、现场救援、接诊、转诊的，或者拒绝接受转诊的</w:t>
      </w:r>
    </w:p>
    <w:p>
      <w:pPr>
        <w:ind w:left="654"/>
        <w:spacing w:before="2" w:line="222" w:lineRule="auto"/>
        <w:rPr>
          <w:rFonts w:ascii="FangSong" w:hAnsi="FangSong" w:eastAsia="FangSong" w:cs="FangSong"/>
          <w:sz w:val="31"/>
          <w:szCs w:val="31"/>
        </w:rPr>
      </w:pPr>
      <w:r>
        <w:rPr>
          <w:rFonts w:ascii="FangSong" w:hAnsi="FangSong" w:eastAsia="FangSong" w:cs="FangSong"/>
          <w:sz w:val="31"/>
          <w:szCs w:val="31"/>
          <w:spacing w:val="-4"/>
        </w:rPr>
        <w:t>法律依据：</w:t>
      </w:r>
    </w:p>
    <w:p>
      <w:pPr>
        <w:ind w:left="5" w:right="124" w:firstLine="635"/>
        <w:spacing w:before="72" w:line="256" w:lineRule="auto"/>
        <w:jc w:val="both"/>
        <w:rPr>
          <w:rFonts w:ascii="FangSong" w:hAnsi="FangSong" w:eastAsia="FangSong" w:cs="FangSong"/>
          <w:sz w:val="31"/>
          <w:szCs w:val="31"/>
        </w:rPr>
      </w:pPr>
      <w:r>
        <w:rPr>
          <w:rFonts w:ascii="FangSong" w:hAnsi="FangSong" w:eastAsia="FangSong" w:cs="FangSong"/>
          <w:sz w:val="31"/>
          <w:szCs w:val="31"/>
          <w:spacing w:val="16"/>
        </w:rPr>
        <w:t>《中华人民共和国传染病防治法》第六十九条第(三)项</w:t>
      </w:r>
      <w:r>
        <w:rPr>
          <w:rFonts w:ascii="FangSong" w:hAnsi="FangSong" w:eastAsia="FangSong" w:cs="FangSong"/>
          <w:sz w:val="31"/>
          <w:szCs w:val="31"/>
          <w:spacing w:val="16"/>
        </w:rPr>
        <w:t xml:space="preserve">   </w:t>
      </w:r>
      <w:r>
        <w:rPr>
          <w:rFonts w:ascii="FangSong" w:hAnsi="FangSong" w:eastAsia="FangSong" w:cs="FangSong"/>
          <w:sz w:val="31"/>
          <w:szCs w:val="31"/>
          <w:spacing w:val="16"/>
        </w:rPr>
        <w:t>医疗机构违反本法规定，有下列情</w:t>
      </w:r>
      <w:r>
        <w:rPr>
          <w:rFonts w:ascii="FangSong" w:hAnsi="FangSong" w:eastAsia="FangSong" w:cs="FangSong"/>
          <w:sz w:val="31"/>
          <w:szCs w:val="31"/>
        </w:rPr>
        <w:t xml:space="preserve"> </w:t>
      </w:r>
      <w:r>
        <w:rPr>
          <w:rFonts w:ascii="FangSong" w:hAnsi="FangSong" w:eastAsia="FangSong" w:cs="FangSong"/>
          <w:sz w:val="31"/>
          <w:szCs w:val="31"/>
          <w:spacing w:val="7"/>
        </w:rPr>
        <w:t>形之一的，由县级以上人民政府卫生行政部门责令改正，通报批评，给予警告；造成</w:t>
      </w:r>
      <w:r>
        <w:rPr>
          <w:rFonts w:ascii="FangSong" w:hAnsi="FangSong" w:eastAsia="FangSong" w:cs="FangSong"/>
          <w:sz w:val="31"/>
          <w:szCs w:val="31"/>
          <w:spacing w:val="6"/>
        </w:rPr>
        <w:t>传染病传播、流</w:t>
      </w:r>
      <w:r>
        <w:rPr>
          <w:rFonts w:ascii="FangSong" w:hAnsi="FangSong" w:eastAsia="FangSong" w:cs="FangSong"/>
          <w:sz w:val="31"/>
          <w:szCs w:val="31"/>
        </w:rPr>
        <w:t xml:space="preserve"> </w:t>
      </w:r>
      <w:r>
        <w:rPr>
          <w:rFonts w:ascii="FangSong" w:hAnsi="FangSong" w:eastAsia="FangSong" w:cs="FangSong"/>
          <w:sz w:val="31"/>
          <w:szCs w:val="31"/>
          <w:spacing w:val="7"/>
        </w:rPr>
        <w:t>行或者其他严重后果的，对负有责任的主管人员和其他直接责任人员，依法给予降级、撤职、开除的</w:t>
      </w:r>
      <w:r>
        <w:rPr>
          <w:rFonts w:ascii="FangSong" w:hAnsi="FangSong" w:eastAsia="FangSong" w:cs="FangSong"/>
          <w:sz w:val="31"/>
          <w:szCs w:val="31"/>
          <w:spacing w:val="1"/>
        </w:rPr>
        <w:t xml:space="preserve"> </w:t>
      </w:r>
      <w:r>
        <w:rPr>
          <w:rFonts w:ascii="FangSong" w:hAnsi="FangSong" w:eastAsia="FangSong" w:cs="FangSong"/>
          <w:sz w:val="31"/>
          <w:szCs w:val="31"/>
          <w:spacing w:val="6"/>
        </w:rPr>
        <w:t>处分，并可以依法吊销有关责任人员的执业证书：</w:t>
      </w:r>
    </w:p>
    <w:p>
      <w:pPr>
        <w:ind w:left="5" w:firstLine="790"/>
        <w:spacing w:before="33" w:line="259" w:lineRule="auto"/>
        <w:rPr>
          <w:rFonts w:ascii="FangSong" w:hAnsi="FangSong" w:eastAsia="FangSong" w:cs="FangSong"/>
          <w:sz w:val="31"/>
          <w:szCs w:val="31"/>
        </w:rPr>
      </w:pPr>
      <w:r>
        <w:rPr>
          <w:rFonts w:ascii="FangSong" w:hAnsi="FangSong" w:eastAsia="FangSong" w:cs="FangSong"/>
          <w:sz w:val="31"/>
          <w:szCs w:val="31"/>
          <w:spacing w:val="6"/>
        </w:rPr>
        <w:t>(三)发现传染病疫情时，未按照规定对传染病病人、疑似传染病病人提供医疗救护、现场救援、</w:t>
      </w:r>
      <w:r>
        <w:rPr>
          <w:rFonts w:ascii="FangSong" w:hAnsi="FangSong" w:eastAsia="FangSong" w:cs="FangSong"/>
          <w:sz w:val="31"/>
          <w:szCs w:val="31"/>
          <w:spacing w:val="6"/>
        </w:rPr>
        <w:t xml:space="preserve"> </w:t>
      </w:r>
      <w:r>
        <w:rPr>
          <w:rFonts w:ascii="FangSong" w:hAnsi="FangSong" w:eastAsia="FangSong" w:cs="FangSong"/>
          <w:sz w:val="31"/>
          <w:szCs w:val="31"/>
          <w:spacing w:val="4"/>
        </w:rPr>
        <w:t>接诊、转诊的，或者拒绝接受转诊的；</w:t>
      </w:r>
    </w:p>
    <w:p>
      <w:pPr>
        <w:ind w:left="6419"/>
        <w:spacing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7645"/>
        <w:gridCol w:w="4811"/>
      </w:tblGrid>
      <w:tr>
        <w:trPr>
          <w:trHeight w:val="691" w:hRule="atLeast"/>
        </w:trPr>
        <w:tc>
          <w:tcPr>
            <w:tcW w:w="1414" w:type="dxa"/>
            <w:vAlign w:val="top"/>
          </w:tcPr>
          <w:p>
            <w:pPr>
              <w:pStyle w:val="TableText"/>
              <w:ind w:left="178"/>
              <w:spacing w:before="222" w:line="220" w:lineRule="auto"/>
              <w:rPr>
                <w:sz w:val="26"/>
                <w:szCs w:val="26"/>
              </w:rPr>
            </w:pPr>
            <w:r>
              <w:rPr>
                <w:sz w:val="26"/>
                <w:szCs w:val="26"/>
                <w:b/>
                <w:bCs/>
                <w:spacing w:val="-5"/>
              </w:rPr>
              <w:t>违法程度</w:t>
            </w:r>
          </w:p>
        </w:tc>
        <w:tc>
          <w:tcPr>
            <w:tcW w:w="7645" w:type="dxa"/>
            <w:vAlign w:val="top"/>
          </w:tcPr>
          <w:p>
            <w:pPr>
              <w:pStyle w:val="TableText"/>
              <w:ind w:left="3294"/>
              <w:spacing w:before="222" w:line="220" w:lineRule="auto"/>
              <w:rPr>
                <w:sz w:val="26"/>
                <w:szCs w:val="26"/>
              </w:rPr>
            </w:pPr>
            <w:r>
              <w:rPr>
                <w:sz w:val="26"/>
                <w:szCs w:val="26"/>
                <w:b/>
                <w:bCs/>
                <w:spacing w:val="-5"/>
              </w:rPr>
              <w:t>情节后果</w:t>
            </w:r>
          </w:p>
        </w:tc>
        <w:tc>
          <w:tcPr>
            <w:tcW w:w="4811" w:type="dxa"/>
            <w:vAlign w:val="top"/>
          </w:tcPr>
          <w:p>
            <w:pPr>
              <w:pStyle w:val="TableText"/>
              <w:ind w:left="1839"/>
              <w:spacing w:before="219" w:line="218" w:lineRule="auto"/>
              <w:rPr>
                <w:sz w:val="26"/>
                <w:szCs w:val="26"/>
              </w:rPr>
            </w:pPr>
            <w:r>
              <w:rPr>
                <w:sz w:val="26"/>
                <w:szCs w:val="26"/>
                <w:b/>
                <w:bCs/>
                <w:spacing w:val="-5"/>
              </w:rPr>
              <w:t>裁量幅度</w:t>
            </w:r>
          </w:p>
        </w:tc>
      </w:tr>
      <w:tr>
        <w:trPr>
          <w:trHeight w:val="859" w:hRule="atLeast"/>
        </w:trPr>
        <w:tc>
          <w:tcPr>
            <w:tcW w:w="1414" w:type="dxa"/>
            <w:vAlign w:val="top"/>
          </w:tcPr>
          <w:p>
            <w:pPr>
              <w:spacing w:line="286" w:lineRule="auto"/>
              <w:rPr>
                <w:rFonts w:ascii="Arial"/>
                <w:sz w:val="21"/>
              </w:rPr>
            </w:pPr>
            <w:r/>
          </w:p>
          <w:p>
            <w:pPr>
              <w:pStyle w:val="TableText"/>
              <w:ind w:left="438"/>
              <w:spacing w:before="84" w:line="221" w:lineRule="auto"/>
              <w:rPr>
                <w:sz w:val="26"/>
                <w:szCs w:val="26"/>
              </w:rPr>
            </w:pPr>
            <w:r>
              <w:rPr>
                <w:sz w:val="26"/>
                <w:szCs w:val="26"/>
                <w:b/>
                <w:bCs/>
                <w:spacing w:val="-10"/>
              </w:rPr>
              <w:t>一般</w:t>
            </w:r>
          </w:p>
        </w:tc>
        <w:tc>
          <w:tcPr>
            <w:tcW w:w="7645" w:type="dxa"/>
            <w:vAlign w:val="top"/>
          </w:tcPr>
          <w:p>
            <w:pPr>
              <w:pStyle w:val="TableText"/>
              <w:ind w:left="44" w:hanging="30"/>
              <w:spacing w:before="139" w:line="252" w:lineRule="auto"/>
              <w:rPr>
                <w:sz w:val="26"/>
                <w:szCs w:val="26"/>
              </w:rPr>
            </w:pPr>
            <w:r>
              <w:rPr>
                <w:sz w:val="26"/>
                <w:szCs w:val="26"/>
                <w:b/>
                <w:bCs/>
                <w:spacing w:val="-17"/>
              </w:rPr>
              <w:t>医疗机构发现传染病疫情时，未按照规定对传染病病人、疑似传染病病</w:t>
            </w:r>
            <w:r>
              <w:rPr>
                <w:sz w:val="26"/>
                <w:szCs w:val="26"/>
                <w:spacing w:val="1"/>
              </w:rPr>
              <w:t xml:space="preserve"> </w:t>
            </w:r>
            <w:r>
              <w:rPr>
                <w:sz w:val="26"/>
                <w:szCs w:val="26"/>
                <w:b/>
                <w:bCs/>
                <w:spacing w:val="-3"/>
              </w:rPr>
              <w:t>人提供医疗救护、现场救援、接诊、转诊的，或者拒绝接受转诊的</w:t>
            </w:r>
          </w:p>
        </w:tc>
        <w:tc>
          <w:tcPr>
            <w:tcW w:w="4811" w:type="dxa"/>
            <w:vAlign w:val="top"/>
          </w:tcPr>
          <w:p>
            <w:pPr>
              <w:spacing w:line="282" w:lineRule="auto"/>
              <w:rPr>
                <w:rFonts w:ascii="Arial"/>
                <w:sz w:val="21"/>
              </w:rPr>
            </w:pPr>
            <w:r/>
          </w:p>
          <w:p>
            <w:pPr>
              <w:pStyle w:val="TableText"/>
              <w:ind w:left="119"/>
              <w:spacing w:before="85" w:line="218" w:lineRule="auto"/>
              <w:rPr>
                <w:sz w:val="26"/>
                <w:szCs w:val="26"/>
              </w:rPr>
            </w:pPr>
            <w:r>
              <w:rPr>
                <w:sz w:val="26"/>
                <w:szCs w:val="26"/>
                <w:b/>
                <w:bCs/>
                <w:spacing w:val="-2"/>
              </w:rPr>
              <w:t>通报批评、警告</w:t>
            </w:r>
          </w:p>
        </w:tc>
      </w:tr>
    </w:tbl>
    <w:p>
      <w:pPr>
        <w:pStyle w:val="BodyText"/>
        <w:rPr/>
      </w:pPr>
      <w:r/>
    </w:p>
    <w:p>
      <w:pPr>
        <w:sectPr>
          <w:footerReference w:type="default" r:id="rId83"/>
          <w:pgSz w:w="16830" w:h="11900"/>
          <w:pgMar w:top="1011" w:right="1314" w:bottom="1146" w:left="1434" w:header="0" w:footer="744" w:gutter="0"/>
        </w:sectPr>
        <w:rPr/>
      </w:pPr>
    </w:p>
    <w:p>
      <w:pPr>
        <w:spacing w:before="20"/>
        <w:rPr/>
      </w:pPr>
      <w:r/>
    </w:p>
    <w:p>
      <w:pPr>
        <w:spacing w:before="20"/>
        <w:rPr/>
      </w:pPr>
      <w:r/>
    </w:p>
    <w:p>
      <w:pPr>
        <w:spacing w:before="19"/>
        <w:rPr/>
      </w:pPr>
      <w:r/>
    </w:p>
    <w:tbl>
      <w:tblPr>
        <w:tblStyle w:val="TableNormal"/>
        <w:tblW w:w="138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635"/>
        <w:gridCol w:w="4811"/>
      </w:tblGrid>
      <w:tr>
        <w:trPr>
          <w:trHeight w:val="1299" w:hRule="atLeast"/>
        </w:trPr>
        <w:tc>
          <w:tcPr>
            <w:tcW w:w="1444" w:type="dxa"/>
            <w:vAlign w:val="top"/>
          </w:tcPr>
          <w:p>
            <w:pPr>
              <w:spacing w:line="451" w:lineRule="auto"/>
              <w:rPr>
                <w:rFonts w:ascii="Arial"/>
                <w:sz w:val="21"/>
              </w:rPr>
            </w:pPr>
            <w:r/>
          </w:p>
          <w:p>
            <w:pPr>
              <w:pStyle w:val="TableText"/>
              <w:ind w:left="458"/>
              <w:spacing w:before="78" w:line="220" w:lineRule="auto"/>
              <w:outlineLvl w:val="1"/>
              <w:rPr/>
            </w:pPr>
            <w:bookmarkStart w:name="bookmark756" w:id="35"/>
            <w:bookmarkEnd w:id="35"/>
            <w:bookmarkStart w:name="bookmark186" w:id="36"/>
            <w:bookmarkEnd w:id="36"/>
            <w:r>
              <w:rPr>
                <w:b/>
                <w:bCs/>
                <w:spacing w:val="-6"/>
              </w:rPr>
              <w:t>严重</w:t>
            </w:r>
          </w:p>
        </w:tc>
        <w:tc>
          <w:tcPr>
            <w:tcW w:w="7635" w:type="dxa"/>
            <w:vAlign w:val="top"/>
          </w:tcPr>
          <w:p>
            <w:pPr>
              <w:pStyle w:val="TableText"/>
              <w:ind w:left="11" w:firstLine="78"/>
              <w:spacing w:before="122" w:line="299" w:lineRule="auto"/>
              <w:jc w:val="both"/>
              <w:rPr/>
            </w:pPr>
            <w:r>
              <w:rPr>
                <w:spacing w:val="-3"/>
              </w:rPr>
              <w:t>发现传染病疫情时，未按照规定对传染病病人、疑似传染病</w:t>
            </w:r>
            <w:r>
              <w:rPr>
                <w:spacing w:val="-4"/>
              </w:rPr>
              <w:t>病人提供医</w:t>
            </w:r>
            <w:r>
              <w:rPr/>
              <w:t xml:space="preserve">  </w:t>
            </w:r>
            <w:r>
              <w:rPr>
                <w:spacing w:val="-2"/>
              </w:rPr>
              <w:t>疗救护、现场救援、接诊、转诊的，或者拒绝接受转诊造成传染病</w:t>
            </w:r>
            <w:r>
              <w:rPr>
                <w:spacing w:val="-3"/>
              </w:rPr>
              <w:t>传播、</w:t>
            </w:r>
            <w:r>
              <w:rPr/>
              <w:t xml:space="preserve"> </w:t>
            </w:r>
            <w:r>
              <w:rPr>
                <w:spacing w:val="2"/>
              </w:rPr>
              <w:t>流行或者人员死亡或其他严重后果的</w:t>
            </w:r>
          </w:p>
        </w:tc>
        <w:tc>
          <w:tcPr>
            <w:tcW w:w="4811" w:type="dxa"/>
            <w:vAlign w:val="top"/>
          </w:tcPr>
          <w:p>
            <w:pPr>
              <w:spacing w:line="452" w:lineRule="auto"/>
              <w:rPr>
                <w:rFonts w:ascii="Arial"/>
                <w:sz w:val="21"/>
              </w:rPr>
            </w:pPr>
            <w:r/>
          </w:p>
          <w:p>
            <w:pPr>
              <w:pStyle w:val="TableText"/>
              <w:ind w:left="96"/>
              <w:spacing w:before="78" w:line="219" w:lineRule="auto"/>
              <w:rPr/>
            </w:pPr>
            <w:r>
              <w:rPr>
                <w:spacing w:val="1"/>
              </w:rPr>
              <w:t>依法吊销有关责任人员的执业证书</w:t>
            </w:r>
          </w:p>
        </w:tc>
      </w:tr>
    </w:tbl>
    <w:p>
      <w:pPr>
        <w:pStyle w:val="BodyText"/>
        <w:spacing w:line="467" w:lineRule="auto"/>
        <w:rPr/>
      </w:pPr>
      <w:r/>
    </w:p>
    <w:p>
      <w:pPr>
        <w:ind w:left="29" w:firstLine="649"/>
        <w:spacing w:before="97" w:line="273" w:lineRule="auto"/>
        <w:rPr>
          <w:rFonts w:ascii="FangSong" w:hAnsi="FangSong" w:eastAsia="FangSong" w:cs="FangSong"/>
          <w:sz w:val="30"/>
          <w:szCs w:val="30"/>
        </w:rPr>
      </w:pPr>
      <w:r>
        <w:rPr>
          <w:rFonts w:ascii="FangSong" w:hAnsi="FangSong" w:eastAsia="FangSong" w:cs="FangSong"/>
          <w:sz w:val="30"/>
          <w:szCs w:val="30"/>
          <w:b/>
          <w:bCs/>
          <w:spacing w:val="21"/>
        </w:rPr>
        <w:t>第十三条医疗机构未按照规定对本单位内被传染病病原体污染的场所、物品以及医疗废物实施</w:t>
      </w:r>
      <w:r>
        <w:rPr>
          <w:rFonts w:ascii="FangSong" w:hAnsi="FangSong" w:eastAsia="FangSong" w:cs="FangSong"/>
          <w:sz w:val="30"/>
          <w:szCs w:val="30"/>
          <w:spacing w:val="13"/>
        </w:rPr>
        <w:t xml:space="preserve"> </w:t>
      </w:r>
      <w:r>
        <w:rPr>
          <w:rFonts w:ascii="FangSong" w:hAnsi="FangSong" w:eastAsia="FangSong" w:cs="FangSong"/>
          <w:sz w:val="30"/>
          <w:szCs w:val="30"/>
          <w:b/>
          <w:bCs/>
          <w:spacing w:val="13"/>
        </w:rPr>
        <w:t>消毒或者无害化处置的</w:t>
      </w:r>
    </w:p>
    <w:p>
      <w:pPr>
        <w:ind w:left="665"/>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right="13" w:firstLine="640"/>
        <w:spacing w:before="88" w:line="264" w:lineRule="auto"/>
        <w:jc w:val="both"/>
        <w:rPr>
          <w:rFonts w:ascii="FangSong" w:hAnsi="FangSong" w:eastAsia="FangSong" w:cs="FangSong"/>
          <w:sz w:val="30"/>
          <w:szCs w:val="30"/>
        </w:rPr>
      </w:pPr>
      <w:r>
        <w:rPr>
          <w:rFonts w:ascii="FangSong" w:hAnsi="FangSong" w:eastAsia="FangSong" w:cs="FangSong"/>
          <w:sz w:val="30"/>
          <w:szCs w:val="30"/>
          <w:spacing w:val="23"/>
        </w:rPr>
        <w:t>《中华人民共和国传染病防治法》第六十九条第(四)项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医疗机构违反本法规定，有下列情形</w:t>
      </w:r>
      <w:r>
        <w:rPr>
          <w:rFonts w:ascii="FangSong" w:hAnsi="FangSong" w:eastAsia="FangSong" w:cs="FangSong"/>
          <w:sz w:val="30"/>
          <w:szCs w:val="30"/>
          <w:spacing w:val="15"/>
        </w:rPr>
        <w:t xml:space="preserve"> </w:t>
      </w:r>
      <w:r>
        <w:rPr>
          <w:rFonts w:ascii="FangSong" w:hAnsi="FangSong" w:eastAsia="FangSong" w:cs="FangSong"/>
          <w:sz w:val="30"/>
          <w:szCs w:val="30"/>
          <w:spacing w:val="17"/>
        </w:rPr>
        <w:t>之一的，由县级以上人民政府卫生行政部门责令改正，通报批评，给予警告；造成</w:t>
      </w:r>
      <w:r>
        <w:rPr>
          <w:rFonts w:ascii="FangSong" w:hAnsi="FangSong" w:eastAsia="FangSong" w:cs="FangSong"/>
          <w:sz w:val="30"/>
          <w:szCs w:val="30"/>
          <w:spacing w:val="16"/>
        </w:rPr>
        <w:t>传染病传播、流行</w:t>
      </w:r>
      <w:r>
        <w:rPr>
          <w:rFonts w:ascii="FangSong" w:hAnsi="FangSong" w:eastAsia="FangSong" w:cs="FangSong"/>
          <w:sz w:val="30"/>
          <w:szCs w:val="30"/>
        </w:rPr>
        <w:t xml:space="preserve"> </w:t>
      </w:r>
      <w:r>
        <w:rPr>
          <w:rFonts w:ascii="FangSong" w:hAnsi="FangSong" w:eastAsia="FangSong" w:cs="FangSong"/>
          <w:sz w:val="30"/>
          <w:szCs w:val="30"/>
          <w:spacing w:val="17"/>
        </w:rPr>
        <w:t>或者其他严重后果的，对负有责任的主管人员和其他直接责任人员，依法给予降</w:t>
      </w:r>
      <w:r>
        <w:rPr>
          <w:rFonts w:ascii="FangSong" w:hAnsi="FangSong" w:eastAsia="FangSong" w:cs="FangSong"/>
          <w:sz w:val="30"/>
          <w:szCs w:val="30"/>
          <w:spacing w:val="16"/>
        </w:rPr>
        <w:t>级、撤职、开除的处</w:t>
      </w:r>
      <w:r>
        <w:rPr>
          <w:rFonts w:ascii="FangSong" w:hAnsi="FangSong" w:eastAsia="FangSong" w:cs="FangSong"/>
          <w:sz w:val="30"/>
          <w:szCs w:val="30"/>
        </w:rPr>
        <w:t xml:space="preserve"> </w:t>
      </w:r>
      <w:r>
        <w:rPr>
          <w:rFonts w:ascii="FangSong" w:hAnsi="FangSong" w:eastAsia="FangSong" w:cs="FangSong"/>
          <w:sz w:val="30"/>
          <w:szCs w:val="30"/>
          <w:spacing w:val="16"/>
        </w:rPr>
        <w:t>分，并可以依法吊销有关责任人员的执业证书：</w:t>
      </w:r>
    </w:p>
    <w:p>
      <w:pPr>
        <w:ind w:left="25" w:right="12" w:firstLine="760"/>
        <w:spacing w:before="32" w:line="268" w:lineRule="auto"/>
        <w:rPr>
          <w:rFonts w:ascii="FangSong" w:hAnsi="FangSong" w:eastAsia="FangSong" w:cs="FangSong"/>
          <w:sz w:val="30"/>
          <w:szCs w:val="30"/>
        </w:rPr>
      </w:pPr>
      <w:r>
        <w:rPr>
          <w:rFonts w:ascii="FangSong" w:hAnsi="FangSong" w:eastAsia="FangSong" w:cs="FangSong"/>
          <w:sz w:val="30"/>
          <w:szCs w:val="30"/>
          <w:spacing w:val="21"/>
        </w:rPr>
        <w:t>(四)未按照规定对本单位内被传染病病原体污染的场所、物品以及医疗废物实施消毒或者无害</w:t>
      </w:r>
      <w:r>
        <w:rPr>
          <w:rFonts w:ascii="FangSong" w:hAnsi="FangSong" w:eastAsia="FangSong" w:cs="FangSong"/>
          <w:sz w:val="30"/>
          <w:szCs w:val="30"/>
          <w:spacing w:val="3"/>
        </w:rPr>
        <w:t xml:space="preserve"> </w:t>
      </w:r>
      <w:r>
        <w:rPr>
          <w:rFonts w:ascii="FangSong" w:hAnsi="FangSong" w:eastAsia="FangSong" w:cs="FangSong"/>
          <w:sz w:val="30"/>
          <w:szCs w:val="30"/>
        </w:rPr>
        <w:t>化处置的；</w:t>
      </w:r>
    </w:p>
    <w:p>
      <w:pPr>
        <w:ind w:left="6439"/>
        <w:spacing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635"/>
        <w:gridCol w:w="4811"/>
      </w:tblGrid>
      <w:tr>
        <w:trPr>
          <w:trHeight w:val="680" w:hRule="atLeast"/>
        </w:trPr>
        <w:tc>
          <w:tcPr>
            <w:tcW w:w="1444" w:type="dxa"/>
            <w:vAlign w:val="top"/>
          </w:tcPr>
          <w:p>
            <w:pPr>
              <w:pStyle w:val="TableText"/>
              <w:ind w:left="198"/>
              <w:spacing w:before="212" w:line="220" w:lineRule="auto"/>
              <w:rPr>
                <w:sz w:val="26"/>
                <w:szCs w:val="26"/>
              </w:rPr>
            </w:pPr>
            <w:r>
              <w:rPr>
                <w:sz w:val="26"/>
                <w:szCs w:val="26"/>
                <w:b/>
                <w:bCs/>
                <w:spacing w:val="-5"/>
              </w:rPr>
              <w:t>违法程度</w:t>
            </w:r>
          </w:p>
        </w:tc>
        <w:tc>
          <w:tcPr>
            <w:tcW w:w="7635" w:type="dxa"/>
            <w:vAlign w:val="top"/>
          </w:tcPr>
          <w:p>
            <w:pPr>
              <w:pStyle w:val="TableText"/>
              <w:ind w:left="3234"/>
              <w:spacing w:before="212" w:line="220" w:lineRule="auto"/>
              <w:rPr>
                <w:sz w:val="26"/>
                <w:szCs w:val="26"/>
              </w:rPr>
            </w:pPr>
            <w:r>
              <w:rPr>
                <w:sz w:val="26"/>
                <w:szCs w:val="26"/>
                <w:b/>
                <w:bCs/>
                <w:spacing w:val="-5"/>
              </w:rPr>
              <w:t>情节后果</w:t>
            </w:r>
          </w:p>
        </w:tc>
        <w:tc>
          <w:tcPr>
            <w:tcW w:w="4811" w:type="dxa"/>
            <w:vAlign w:val="top"/>
          </w:tcPr>
          <w:p>
            <w:pPr>
              <w:pStyle w:val="TableText"/>
              <w:ind w:left="1839"/>
              <w:spacing w:before="209" w:line="218" w:lineRule="auto"/>
              <w:rPr>
                <w:sz w:val="26"/>
                <w:szCs w:val="26"/>
              </w:rPr>
            </w:pPr>
            <w:r>
              <w:rPr>
                <w:sz w:val="26"/>
                <w:szCs w:val="26"/>
                <w:b/>
                <w:bCs/>
                <w:spacing w:val="-5"/>
              </w:rPr>
              <w:t>裁量幅度</w:t>
            </w:r>
          </w:p>
        </w:tc>
      </w:tr>
      <w:tr>
        <w:trPr>
          <w:trHeight w:val="889" w:hRule="atLeast"/>
        </w:trPr>
        <w:tc>
          <w:tcPr>
            <w:tcW w:w="1444" w:type="dxa"/>
            <w:vAlign w:val="top"/>
          </w:tcPr>
          <w:p>
            <w:pPr>
              <w:pStyle w:val="TableText"/>
              <w:ind w:left="458"/>
              <w:spacing w:before="323" w:line="221" w:lineRule="auto"/>
              <w:rPr>
                <w:sz w:val="26"/>
                <w:szCs w:val="26"/>
              </w:rPr>
            </w:pPr>
            <w:r>
              <w:rPr>
                <w:sz w:val="26"/>
                <w:szCs w:val="26"/>
                <w:b/>
                <w:bCs/>
                <w:spacing w:val="-10"/>
              </w:rPr>
              <w:t>一般</w:t>
            </w:r>
          </w:p>
        </w:tc>
        <w:tc>
          <w:tcPr>
            <w:tcW w:w="7635" w:type="dxa"/>
            <w:vAlign w:val="top"/>
          </w:tcPr>
          <w:p>
            <w:pPr>
              <w:pStyle w:val="TableText"/>
              <w:ind w:left="114"/>
              <w:spacing w:before="160" w:line="255" w:lineRule="auto"/>
              <w:rPr>
                <w:sz w:val="26"/>
                <w:szCs w:val="26"/>
              </w:rPr>
            </w:pPr>
            <w:r>
              <w:rPr>
                <w:sz w:val="26"/>
                <w:szCs w:val="26"/>
                <w:b/>
                <w:bCs/>
                <w:spacing w:val="-13"/>
              </w:rPr>
              <w:t>医疗机构未按照规定对本单位内被传染病病原体污染的场所、物品以</w:t>
            </w:r>
            <w:r>
              <w:rPr>
                <w:sz w:val="26"/>
                <w:szCs w:val="26"/>
                <w:spacing w:val="17"/>
              </w:rPr>
              <w:t xml:space="preserve"> </w:t>
            </w:r>
            <w:r>
              <w:rPr>
                <w:sz w:val="26"/>
                <w:szCs w:val="26"/>
                <w:b/>
                <w:bCs/>
                <w:spacing w:val="-3"/>
              </w:rPr>
              <w:t>及医疗废物实施消毒或者无害化处置的</w:t>
            </w:r>
          </w:p>
        </w:tc>
        <w:tc>
          <w:tcPr>
            <w:tcW w:w="4811" w:type="dxa"/>
            <w:vAlign w:val="top"/>
          </w:tcPr>
          <w:p>
            <w:pPr>
              <w:pStyle w:val="TableText"/>
              <w:ind w:left="119"/>
              <w:spacing w:before="319" w:line="218" w:lineRule="auto"/>
              <w:rPr>
                <w:sz w:val="26"/>
                <w:szCs w:val="26"/>
              </w:rPr>
            </w:pPr>
            <w:r>
              <w:rPr>
                <w:sz w:val="26"/>
                <w:szCs w:val="26"/>
                <w:b/>
                <w:bCs/>
                <w:spacing w:val="-2"/>
              </w:rPr>
              <w:t>通报批评、警告</w:t>
            </w:r>
          </w:p>
        </w:tc>
      </w:tr>
    </w:tbl>
    <w:p>
      <w:pPr>
        <w:pStyle w:val="BodyText"/>
        <w:rPr/>
      </w:pPr>
      <w:r/>
    </w:p>
    <w:p>
      <w:pPr>
        <w:sectPr>
          <w:footerReference w:type="default" r:id="rId84"/>
          <w:pgSz w:w="16830" w:h="11900"/>
          <w:pgMar w:top="1011" w:right="1430" w:bottom="1185" w:left="1414" w:header="0" w:footer="679" w:gutter="0"/>
        </w:sectPr>
        <w:rPr/>
      </w:pPr>
    </w:p>
    <w:p>
      <w:pPr>
        <w:spacing w:before="20"/>
        <w:rPr/>
      </w:pPr>
      <w:r/>
    </w:p>
    <w:p>
      <w:pPr>
        <w:spacing w:before="20"/>
        <w:rPr/>
      </w:pPr>
      <w:r/>
    </w:p>
    <w:p>
      <w:pPr>
        <w:spacing w:before="19"/>
        <w:rPr/>
      </w:pPr>
      <w:r/>
    </w:p>
    <w:tbl>
      <w:tblPr>
        <w:tblStyle w:val="TableNormal"/>
        <w:tblW w:w="13870"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7645"/>
        <w:gridCol w:w="4811"/>
      </w:tblGrid>
      <w:tr>
        <w:trPr>
          <w:trHeight w:val="1299" w:hRule="atLeast"/>
        </w:trPr>
        <w:tc>
          <w:tcPr>
            <w:tcW w:w="1414" w:type="dxa"/>
            <w:vAlign w:val="top"/>
          </w:tcPr>
          <w:p>
            <w:pPr>
              <w:spacing w:line="451" w:lineRule="auto"/>
              <w:rPr>
                <w:rFonts w:ascii="Arial"/>
                <w:sz w:val="21"/>
              </w:rPr>
            </w:pPr>
            <w:r/>
          </w:p>
          <w:p>
            <w:pPr>
              <w:pStyle w:val="TableText"/>
              <w:ind w:left="448"/>
              <w:spacing w:before="78" w:line="220" w:lineRule="auto"/>
              <w:outlineLvl w:val="1"/>
              <w:rPr/>
            </w:pPr>
            <w:bookmarkStart w:name="bookmark757" w:id="37"/>
            <w:bookmarkEnd w:id="37"/>
            <w:bookmarkStart w:name="bookmark186" w:id="38"/>
            <w:bookmarkEnd w:id="38"/>
            <w:r>
              <w:rPr>
                <w:b/>
                <w:bCs/>
                <w:spacing w:val="-6"/>
              </w:rPr>
              <w:t>严重</w:t>
            </w:r>
          </w:p>
        </w:tc>
        <w:tc>
          <w:tcPr>
            <w:tcW w:w="7645" w:type="dxa"/>
            <w:vAlign w:val="top"/>
          </w:tcPr>
          <w:p>
            <w:pPr>
              <w:pStyle w:val="TableText"/>
              <w:ind w:left="90" w:right="92"/>
              <w:spacing w:before="122" w:line="299" w:lineRule="auto"/>
              <w:jc w:val="both"/>
              <w:rPr/>
            </w:pPr>
            <w:r>
              <w:rPr/>
              <w:t>未按照规定对本单位内被传染病病原体污染的场所、物品以及医疗废物</w:t>
            </w:r>
            <w:r>
              <w:rPr>
                <w:spacing w:val="10"/>
              </w:rPr>
              <w:t xml:space="preserve"> </w:t>
            </w:r>
            <w:r>
              <w:rPr/>
              <w:t>实施消毒或者无害化处置造成传染病传播、流行或者人员死亡或其他严</w:t>
            </w:r>
            <w:r>
              <w:rPr>
                <w:spacing w:val="9"/>
              </w:rPr>
              <w:t xml:space="preserve"> </w:t>
            </w:r>
            <w:r>
              <w:rPr>
                <w:spacing w:val="9"/>
              </w:rPr>
              <w:t>重后果的</w:t>
            </w:r>
          </w:p>
        </w:tc>
        <w:tc>
          <w:tcPr>
            <w:tcW w:w="4811" w:type="dxa"/>
            <w:vAlign w:val="top"/>
          </w:tcPr>
          <w:p>
            <w:pPr>
              <w:spacing w:line="452" w:lineRule="auto"/>
              <w:rPr>
                <w:rFonts w:ascii="Arial"/>
                <w:sz w:val="21"/>
              </w:rPr>
            </w:pPr>
            <w:r/>
          </w:p>
          <w:p>
            <w:pPr>
              <w:pStyle w:val="TableText"/>
              <w:ind w:left="105"/>
              <w:spacing w:before="78" w:line="219" w:lineRule="auto"/>
              <w:rPr/>
            </w:pPr>
            <w:r>
              <w:rPr>
                <w:spacing w:val="1"/>
              </w:rPr>
              <w:t>依法吊销有关责任人员的执业证书</w:t>
            </w:r>
          </w:p>
        </w:tc>
      </w:tr>
    </w:tbl>
    <w:p>
      <w:pPr>
        <w:pStyle w:val="BodyText"/>
        <w:spacing w:line="456" w:lineRule="auto"/>
        <w:rPr/>
      </w:pPr>
      <w:r/>
    </w:p>
    <w:p>
      <w:pPr>
        <w:ind w:left="9" w:firstLine="670"/>
        <w:spacing w:before="101" w:line="270" w:lineRule="auto"/>
        <w:rPr>
          <w:rFonts w:ascii="FangSong" w:hAnsi="FangSong" w:eastAsia="FangSong" w:cs="FangSong"/>
          <w:sz w:val="31"/>
          <w:szCs w:val="31"/>
        </w:rPr>
      </w:pPr>
      <w:r>
        <w:rPr>
          <w:rFonts w:ascii="FangSong" w:hAnsi="FangSong" w:eastAsia="FangSong" w:cs="FangSong"/>
          <w:sz w:val="31"/>
          <w:szCs w:val="31"/>
          <w:b/>
          <w:bCs/>
          <w:spacing w:val="11"/>
        </w:rPr>
        <w:t>第十四条医疗机构未按照规定对医疗器械进行消毒，或者对按照规定一次使用的医疗器具未予</w:t>
      </w:r>
      <w:r>
        <w:rPr>
          <w:rFonts w:ascii="FangSong" w:hAnsi="FangSong" w:eastAsia="FangSong" w:cs="FangSong"/>
          <w:sz w:val="31"/>
          <w:szCs w:val="31"/>
          <w:spacing w:val="2"/>
        </w:rPr>
        <w:t xml:space="preserve"> </w:t>
      </w:r>
      <w:r>
        <w:rPr>
          <w:rFonts w:ascii="FangSong" w:hAnsi="FangSong" w:eastAsia="FangSong" w:cs="FangSong"/>
          <w:sz w:val="31"/>
          <w:szCs w:val="31"/>
          <w:b/>
          <w:bCs/>
          <w:spacing w:val="3"/>
        </w:rPr>
        <w:t>销毁，再次使用的</w:t>
      </w:r>
    </w:p>
    <w:p>
      <w:pPr>
        <w:ind w:left="675"/>
        <w:spacing w:before="27" w:line="222" w:lineRule="auto"/>
        <w:rPr>
          <w:rFonts w:ascii="FangSong" w:hAnsi="FangSong" w:eastAsia="FangSong" w:cs="FangSong"/>
          <w:sz w:val="26"/>
          <w:szCs w:val="26"/>
        </w:rPr>
      </w:pPr>
      <w:r>
        <w:rPr>
          <w:rFonts w:ascii="FangSong" w:hAnsi="FangSong" w:eastAsia="FangSong" w:cs="FangSong"/>
          <w:sz w:val="26"/>
          <w:szCs w:val="26"/>
          <w:spacing w:val="34"/>
        </w:rPr>
        <w:t>法律依据</w:t>
      </w:r>
      <w:r>
        <w:rPr>
          <w:rFonts w:ascii="FangSong" w:hAnsi="FangSong" w:eastAsia="FangSong" w:cs="FangSong"/>
          <w:sz w:val="26"/>
          <w:szCs w:val="26"/>
          <w:spacing w:val="-63"/>
        </w:rPr>
        <w:t xml:space="preserve"> </w:t>
      </w:r>
      <w:r>
        <w:rPr>
          <w:rFonts w:ascii="FangSong" w:hAnsi="FangSong" w:eastAsia="FangSong" w:cs="FangSong"/>
          <w:sz w:val="26"/>
          <w:szCs w:val="26"/>
          <w:spacing w:val="34"/>
        </w:rPr>
        <w:t>：</w:t>
      </w:r>
    </w:p>
    <w:p>
      <w:pPr>
        <w:ind w:left="4" w:right="10" w:firstLine="655"/>
        <w:spacing w:before="84" w:line="256" w:lineRule="auto"/>
        <w:jc w:val="both"/>
        <w:rPr>
          <w:rFonts w:ascii="FangSong" w:hAnsi="FangSong" w:eastAsia="FangSong" w:cs="FangSong"/>
          <w:sz w:val="31"/>
          <w:szCs w:val="31"/>
        </w:rPr>
      </w:pPr>
      <w:r>
        <w:rPr>
          <w:rFonts w:ascii="FangSong" w:hAnsi="FangSong" w:eastAsia="FangSong" w:cs="FangSong"/>
          <w:sz w:val="31"/>
          <w:szCs w:val="31"/>
          <w:spacing w:val="16"/>
        </w:rPr>
        <w:t>《中华人民共和国传染病防治法》第六十九条第(五)项</w:t>
      </w:r>
      <w:r>
        <w:rPr>
          <w:rFonts w:ascii="FangSong" w:hAnsi="FangSong" w:eastAsia="FangSong" w:cs="FangSong"/>
          <w:sz w:val="31"/>
          <w:szCs w:val="31"/>
          <w:spacing w:val="16"/>
        </w:rPr>
        <w:t xml:space="preserve">   </w:t>
      </w:r>
      <w:r>
        <w:rPr>
          <w:rFonts w:ascii="FangSong" w:hAnsi="FangSong" w:eastAsia="FangSong" w:cs="FangSong"/>
          <w:sz w:val="31"/>
          <w:szCs w:val="31"/>
          <w:spacing w:val="16"/>
        </w:rPr>
        <w:t>医疗机构违反本法规定，有下列情</w:t>
      </w:r>
      <w:r>
        <w:rPr>
          <w:rFonts w:ascii="FangSong" w:hAnsi="FangSong" w:eastAsia="FangSong" w:cs="FangSong"/>
          <w:sz w:val="31"/>
          <w:szCs w:val="31"/>
        </w:rPr>
        <w:t xml:space="preserve"> </w:t>
      </w:r>
      <w:r>
        <w:rPr>
          <w:rFonts w:ascii="FangSong" w:hAnsi="FangSong" w:eastAsia="FangSong" w:cs="FangSong"/>
          <w:sz w:val="31"/>
          <w:szCs w:val="31"/>
          <w:spacing w:val="7"/>
        </w:rPr>
        <w:t>形之一的，由县级以上人民政府卫生行政部门责令改正，通报批评，给予警告；造成传染病传播、流</w:t>
      </w:r>
      <w:r>
        <w:rPr>
          <w:rFonts w:ascii="FangSong" w:hAnsi="FangSong" w:eastAsia="FangSong" w:cs="FangSong"/>
          <w:sz w:val="31"/>
          <w:szCs w:val="31"/>
          <w:spacing w:val="12"/>
        </w:rPr>
        <w:t xml:space="preserve"> </w:t>
      </w:r>
      <w:r>
        <w:rPr>
          <w:rFonts w:ascii="FangSong" w:hAnsi="FangSong" w:eastAsia="FangSong" w:cs="FangSong"/>
          <w:sz w:val="31"/>
          <w:szCs w:val="31"/>
          <w:spacing w:val="7"/>
        </w:rPr>
        <w:t>行或者其他严重后果的，对负有责任的主管人员和其他直</w:t>
      </w:r>
      <w:r>
        <w:rPr>
          <w:rFonts w:ascii="FangSong" w:hAnsi="FangSong" w:eastAsia="FangSong" w:cs="FangSong"/>
          <w:sz w:val="31"/>
          <w:szCs w:val="31"/>
          <w:spacing w:val="6"/>
        </w:rPr>
        <w:t>接责任人员，依法给予降级、撤职、开除的</w:t>
      </w:r>
      <w:r>
        <w:rPr>
          <w:rFonts w:ascii="FangSong" w:hAnsi="FangSong" w:eastAsia="FangSong" w:cs="FangSong"/>
          <w:sz w:val="31"/>
          <w:szCs w:val="31"/>
        </w:rPr>
        <w:t xml:space="preserve"> </w:t>
      </w:r>
      <w:r>
        <w:rPr>
          <w:rFonts w:ascii="FangSong" w:hAnsi="FangSong" w:eastAsia="FangSong" w:cs="FangSong"/>
          <w:sz w:val="31"/>
          <w:szCs w:val="31"/>
          <w:spacing w:val="6"/>
        </w:rPr>
        <w:t>处分，并可以依法吊销有关责任人员的执业证书：</w:t>
      </w:r>
    </w:p>
    <w:p>
      <w:pPr>
        <w:ind w:left="4" w:right="11" w:firstLine="810"/>
        <w:spacing w:before="32" w:line="282" w:lineRule="auto"/>
        <w:rPr>
          <w:rFonts w:ascii="FangSong" w:hAnsi="FangSong" w:eastAsia="FangSong" w:cs="FangSong"/>
          <w:sz w:val="26"/>
          <w:szCs w:val="26"/>
        </w:rPr>
      </w:pPr>
      <w:r>
        <w:rPr>
          <w:rFonts w:ascii="FangSong" w:hAnsi="FangSong" w:eastAsia="FangSong" w:cs="FangSong"/>
          <w:sz w:val="31"/>
          <w:szCs w:val="31"/>
          <w:spacing w:val="11"/>
        </w:rPr>
        <w:t>(五)未按照规定对医疗器械进行消毒，或</w:t>
      </w:r>
      <w:r>
        <w:rPr>
          <w:rFonts w:ascii="FangSong" w:hAnsi="FangSong" w:eastAsia="FangSong" w:cs="FangSong"/>
          <w:sz w:val="31"/>
          <w:szCs w:val="31"/>
          <w:spacing w:val="10"/>
        </w:rPr>
        <w:t>者对按照规定一次使用的医疗器具未予销毁，再次使</w:t>
      </w:r>
      <w:r>
        <w:rPr>
          <w:rFonts w:ascii="FangSong" w:hAnsi="FangSong" w:eastAsia="FangSong" w:cs="FangSong"/>
          <w:sz w:val="31"/>
          <w:szCs w:val="31"/>
        </w:rPr>
        <w:t xml:space="preserve"> </w:t>
      </w:r>
      <w:r>
        <w:rPr>
          <w:rFonts w:ascii="FangSong" w:hAnsi="FangSong" w:eastAsia="FangSong" w:cs="FangSong"/>
          <w:sz w:val="26"/>
          <w:szCs w:val="26"/>
          <w:spacing w:val="-16"/>
        </w:rPr>
        <w:t>用</w:t>
      </w:r>
      <w:r>
        <w:rPr>
          <w:rFonts w:ascii="FangSong" w:hAnsi="FangSong" w:eastAsia="FangSong" w:cs="FangSong"/>
          <w:sz w:val="26"/>
          <w:szCs w:val="26"/>
          <w:spacing w:val="-16"/>
        </w:rPr>
        <w:t xml:space="preserve"> </w:t>
      </w:r>
      <w:r>
        <w:rPr>
          <w:rFonts w:ascii="FangSong" w:hAnsi="FangSong" w:eastAsia="FangSong" w:cs="FangSong"/>
          <w:sz w:val="26"/>
          <w:szCs w:val="26"/>
          <w:spacing w:val="-16"/>
        </w:rPr>
        <w:t>的</w:t>
      </w:r>
      <w:r>
        <w:rPr>
          <w:rFonts w:ascii="FangSong" w:hAnsi="FangSong" w:eastAsia="FangSong" w:cs="FangSong"/>
          <w:sz w:val="26"/>
          <w:szCs w:val="26"/>
          <w:spacing w:val="-40"/>
        </w:rPr>
        <w:t xml:space="preserve"> </w:t>
      </w:r>
      <w:r>
        <w:rPr>
          <w:rFonts w:ascii="FangSong" w:hAnsi="FangSong" w:eastAsia="FangSong" w:cs="FangSong"/>
          <w:sz w:val="26"/>
          <w:szCs w:val="26"/>
          <w:spacing w:val="-16"/>
        </w:rPr>
        <w:t>；</w:t>
      </w:r>
    </w:p>
    <w:p>
      <w:pPr>
        <w:ind w:left="6439"/>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8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914"/>
        <w:gridCol w:w="4552"/>
      </w:tblGrid>
      <w:tr>
        <w:trPr>
          <w:trHeight w:val="690" w:hRule="atLeast"/>
        </w:trPr>
        <w:tc>
          <w:tcPr>
            <w:tcW w:w="1424" w:type="dxa"/>
            <w:vAlign w:val="top"/>
          </w:tcPr>
          <w:p>
            <w:pPr>
              <w:pStyle w:val="TableText"/>
              <w:ind w:left="188"/>
              <w:spacing w:before="222" w:line="220" w:lineRule="auto"/>
              <w:rPr>
                <w:sz w:val="26"/>
                <w:szCs w:val="26"/>
              </w:rPr>
            </w:pPr>
            <w:r>
              <w:rPr>
                <w:sz w:val="26"/>
                <w:szCs w:val="26"/>
                <w:b/>
                <w:bCs/>
                <w:spacing w:val="-5"/>
              </w:rPr>
              <w:t>违法程度</w:t>
            </w:r>
          </w:p>
        </w:tc>
        <w:tc>
          <w:tcPr>
            <w:tcW w:w="7914" w:type="dxa"/>
            <w:vAlign w:val="top"/>
          </w:tcPr>
          <w:p>
            <w:pPr>
              <w:pStyle w:val="TableText"/>
              <w:ind w:left="3434"/>
              <w:spacing w:before="222" w:line="220" w:lineRule="auto"/>
              <w:rPr>
                <w:sz w:val="26"/>
                <w:szCs w:val="26"/>
              </w:rPr>
            </w:pPr>
            <w:r>
              <w:rPr>
                <w:sz w:val="26"/>
                <w:szCs w:val="26"/>
                <w:b/>
                <w:bCs/>
                <w:spacing w:val="-5"/>
              </w:rPr>
              <w:t>情节后果</w:t>
            </w:r>
          </w:p>
        </w:tc>
        <w:tc>
          <w:tcPr>
            <w:tcW w:w="4552" w:type="dxa"/>
            <w:vAlign w:val="top"/>
          </w:tcPr>
          <w:p>
            <w:pPr>
              <w:pStyle w:val="TableText"/>
              <w:ind w:left="1720"/>
              <w:spacing w:before="219" w:line="218" w:lineRule="auto"/>
              <w:rPr>
                <w:sz w:val="26"/>
                <w:szCs w:val="26"/>
              </w:rPr>
            </w:pPr>
            <w:r>
              <w:rPr>
                <w:sz w:val="26"/>
                <w:szCs w:val="26"/>
                <w:b/>
                <w:bCs/>
                <w:spacing w:val="-5"/>
              </w:rPr>
              <w:t>裁量幅度</w:t>
            </w:r>
          </w:p>
        </w:tc>
      </w:tr>
      <w:tr>
        <w:trPr>
          <w:trHeight w:val="859" w:hRule="atLeast"/>
        </w:trPr>
        <w:tc>
          <w:tcPr>
            <w:tcW w:w="1424" w:type="dxa"/>
            <w:vAlign w:val="top"/>
          </w:tcPr>
          <w:p>
            <w:pPr>
              <w:spacing w:line="287" w:lineRule="auto"/>
              <w:rPr>
                <w:rFonts w:ascii="Arial"/>
                <w:sz w:val="21"/>
              </w:rPr>
            </w:pPr>
            <w:r/>
          </w:p>
          <w:p>
            <w:pPr>
              <w:pStyle w:val="TableText"/>
              <w:ind w:left="448"/>
              <w:spacing w:before="84" w:line="221" w:lineRule="auto"/>
              <w:rPr>
                <w:sz w:val="26"/>
                <w:szCs w:val="26"/>
              </w:rPr>
            </w:pPr>
            <w:r>
              <w:rPr>
                <w:sz w:val="26"/>
                <w:szCs w:val="26"/>
                <w:b/>
                <w:bCs/>
                <w:spacing w:val="-10"/>
              </w:rPr>
              <w:t>一般</w:t>
            </w:r>
          </w:p>
        </w:tc>
        <w:tc>
          <w:tcPr>
            <w:tcW w:w="7914" w:type="dxa"/>
            <w:vAlign w:val="top"/>
          </w:tcPr>
          <w:p>
            <w:pPr>
              <w:pStyle w:val="TableText"/>
              <w:ind w:left="114" w:hanging="100"/>
              <w:spacing w:before="142" w:line="251" w:lineRule="auto"/>
              <w:rPr>
                <w:sz w:val="26"/>
                <w:szCs w:val="26"/>
              </w:rPr>
            </w:pPr>
            <w:r>
              <w:rPr>
                <w:sz w:val="26"/>
                <w:szCs w:val="26"/>
                <w:b/>
                <w:bCs/>
                <w:spacing w:val="-16"/>
              </w:rPr>
              <w:t>医疗机构未按照规定对医疗器械进行消毒，或者对按照规</w:t>
            </w:r>
            <w:r>
              <w:rPr>
                <w:sz w:val="26"/>
                <w:szCs w:val="26"/>
                <w:b/>
                <w:bCs/>
                <w:spacing w:val="-17"/>
              </w:rPr>
              <w:t>定一次使用的医</w:t>
            </w:r>
            <w:r>
              <w:rPr>
                <w:sz w:val="26"/>
                <w:szCs w:val="26"/>
              </w:rPr>
              <w:t xml:space="preserve"> </w:t>
            </w:r>
            <w:r>
              <w:rPr>
                <w:sz w:val="26"/>
                <w:szCs w:val="26"/>
                <w:b/>
                <w:bCs/>
                <w:spacing w:val="-3"/>
              </w:rPr>
              <w:t>疗器具未予销毁，再次使用的</w:t>
            </w:r>
          </w:p>
        </w:tc>
        <w:tc>
          <w:tcPr>
            <w:tcW w:w="4552" w:type="dxa"/>
            <w:vAlign w:val="top"/>
          </w:tcPr>
          <w:p>
            <w:pPr>
              <w:spacing w:line="283" w:lineRule="auto"/>
              <w:rPr>
                <w:rFonts w:ascii="Arial"/>
                <w:sz w:val="21"/>
              </w:rPr>
            </w:pPr>
            <w:r/>
          </w:p>
          <w:p>
            <w:pPr>
              <w:pStyle w:val="TableText"/>
              <w:ind w:left="140"/>
              <w:spacing w:before="84" w:line="218" w:lineRule="auto"/>
              <w:rPr>
                <w:sz w:val="26"/>
                <w:szCs w:val="26"/>
              </w:rPr>
            </w:pPr>
            <w:r>
              <w:rPr>
                <w:sz w:val="26"/>
                <w:szCs w:val="26"/>
                <w:b/>
                <w:bCs/>
                <w:spacing w:val="-2"/>
              </w:rPr>
              <w:t>通报批评、警告</w:t>
            </w:r>
          </w:p>
        </w:tc>
      </w:tr>
    </w:tbl>
    <w:p>
      <w:pPr>
        <w:pStyle w:val="BodyText"/>
        <w:rPr/>
      </w:pPr>
      <w:r/>
    </w:p>
    <w:p>
      <w:pPr>
        <w:sectPr>
          <w:footerReference w:type="default" r:id="rId85"/>
          <w:pgSz w:w="16830" w:h="11900"/>
          <w:pgMar w:top="1011" w:right="1437" w:bottom="1180" w:left="1414" w:header="0" w:footer="726" w:gutter="0"/>
        </w:sectPr>
        <w:rPr/>
      </w:pPr>
    </w:p>
    <w:p>
      <w:pPr>
        <w:spacing w:before="20"/>
        <w:rPr/>
      </w:pPr>
      <w:r/>
    </w:p>
    <w:p>
      <w:pPr>
        <w:spacing w:before="20"/>
        <w:rPr/>
      </w:pPr>
      <w:r/>
    </w:p>
    <w:p>
      <w:pPr>
        <w:spacing w:before="19"/>
        <w:rPr/>
      </w:pPr>
      <w:r/>
    </w:p>
    <w:tbl>
      <w:tblPr>
        <w:tblStyle w:val="TableNormal"/>
        <w:tblW w:w="1387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7924"/>
        <w:gridCol w:w="4532"/>
      </w:tblGrid>
      <w:tr>
        <w:trPr>
          <w:trHeight w:val="860" w:hRule="atLeast"/>
        </w:trPr>
        <w:tc>
          <w:tcPr>
            <w:tcW w:w="1414" w:type="dxa"/>
            <w:vAlign w:val="top"/>
          </w:tcPr>
          <w:p>
            <w:pPr>
              <w:pStyle w:val="TableText"/>
              <w:ind w:left="428"/>
              <w:spacing w:before="312" w:line="220" w:lineRule="auto"/>
              <w:outlineLvl w:val="1"/>
              <w:rPr/>
            </w:pPr>
            <w:bookmarkStart w:name="bookmark758" w:id="39"/>
            <w:bookmarkEnd w:id="39"/>
            <w:bookmarkStart w:name="bookmark186" w:id="40"/>
            <w:bookmarkEnd w:id="40"/>
            <w:r>
              <w:rPr>
                <w:b/>
                <w:bCs/>
                <w:spacing w:val="-6"/>
              </w:rPr>
              <w:t>严重</w:t>
            </w:r>
          </w:p>
        </w:tc>
        <w:tc>
          <w:tcPr>
            <w:tcW w:w="7924" w:type="dxa"/>
            <w:vAlign w:val="top"/>
          </w:tcPr>
          <w:p>
            <w:pPr>
              <w:pStyle w:val="TableText"/>
              <w:ind w:left="111" w:right="104"/>
              <w:spacing w:before="135" w:line="275" w:lineRule="auto"/>
              <w:rPr/>
            </w:pPr>
            <w:r>
              <w:rPr/>
              <w:t>未按照规定对医疗器械进行消毒，或者对按照规定一次使用的医疗器具未</w:t>
            </w:r>
            <w:r>
              <w:rPr>
                <w:spacing w:val="11"/>
              </w:rPr>
              <w:t xml:space="preserve"> </w:t>
            </w:r>
            <w:r>
              <w:rPr/>
              <w:t>予销毁，再次使用造成传染病传播、流行或者人员死亡或其他严重后果的</w:t>
            </w:r>
          </w:p>
        </w:tc>
        <w:tc>
          <w:tcPr>
            <w:tcW w:w="4532" w:type="dxa"/>
            <w:vAlign w:val="top"/>
          </w:tcPr>
          <w:p>
            <w:pPr>
              <w:pStyle w:val="TableText"/>
              <w:ind w:left="107"/>
              <w:spacing w:before="313" w:line="219" w:lineRule="auto"/>
              <w:rPr/>
            </w:pPr>
            <w:r>
              <w:rPr>
                <w:spacing w:val="1"/>
              </w:rPr>
              <w:t>依法吊销有关责任人员的执业证书</w:t>
            </w:r>
          </w:p>
        </w:tc>
      </w:tr>
    </w:tbl>
    <w:p>
      <w:pPr>
        <w:pStyle w:val="BodyText"/>
        <w:spacing w:line="476" w:lineRule="auto"/>
        <w:rPr/>
      </w:pPr>
      <w:r/>
    </w:p>
    <w:p>
      <w:pPr>
        <w:ind w:left="689"/>
        <w:spacing w:before="97" w:line="219" w:lineRule="auto"/>
        <w:rPr>
          <w:rFonts w:ascii="FangSong" w:hAnsi="FangSong" w:eastAsia="FangSong" w:cs="FangSong"/>
          <w:sz w:val="30"/>
          <w:szCs w:val="30"/>
        </w:rPr>
      </w:pPr>
      <w:r>
        <w:rPr>
          <w:rFonts w:ascii="FangSong" w:hAnsi="FangSong" w:eastAsia="FangSong" w:cs="FangSong"/>
          <w:sz w:val="30"/>
          <w:szCs w:val="30"/>
          <w:b/>
          <w:bCs/>
          <w:spacing w:val="23"/>
        </w:rPr>
        <w:t>第十五条医疗机构在医疗救治过程中未按照规定保管医学</w:t>
      </w:r>
      <w:r>
        <w:rPr>
          <w:rFonts w:ascii="FangSong" w:hAnsi="FangSong" w:eastAsia="FangSong" w:cs="FangSong"/>
          <w:sz w:val="30"/>
          <w:szCs w:val="30"/>
          <w:b/>
          <w:bCs/>
          <w:spacing w:val="22"/>
        </w:rPr>
        <w:t>记录资料的</w:t>
      </w:r>
    </w:p>
    <w:p>
      <w:pPr>
        <w:ind w:left="654"/>
        <w:spacing w:before="102" w:line="222" w:lineRule="auto"/>
        <w:rPr>
          <w:rFonts w:ascii="FangSong" w:hAnsi="FangSong" w:eastAsia="FangSong" w:cs="FangSong"/>
          <w:sz w:val="30"/>
          <w:szCs w:val="30"/>
        </w:rPr>
      </w:pPr>
      <w:r>
        <w:rPr>
          <w:rFonts w:ascii="FangSong" w:hAnsi="FangSong" w:eastAsia="FangSong" w:cs="FangSong"/>
          <w:sz w:val="30"/>
          <w:szCs w:val="30"/>
          <w:spacing w:val="6"/>
        </w:rPr>
        <w:t>法律依据：</w:t>
      </w:r>
    </w:p>
    <w:p>
      <w:pPr>
        <w:ind w:left="14" w:firstLine="619"/>
        <w:spacing w:before="59" w:line="270" w:lineRule="auto"/>
        <w:jc w:val="both"/>
        <w:rPr>
          <w:rFonts w:ascii="FangSong" w:hAnsi="FangSong" w:eastAsia="FangSong" w:cs="FangSong"/>
          <w:sz w:val="30"/>
          <w:szCs w:val="30"/>
        </w:rPr>
      </w:pPr>
      <w:r>
        <w:rPr>
          <w:rFonts w:ascii="FangSong" w:hAnsi="FangSong" w:eastAsia="FangSong" w:cs="FangSong"/>
          <w:sz w:val="30"/>
          <w:szCs w:val="30"/>
          <w:spacing w:val="23"/>
        </w:rPr>
        <w:t>《中华人民共和国传染病防治法》第六十九条第(六)项医疗机构违反本法规定，有下列情形之</w:t>
      </w:r>
      <w:r>
        <w:rPr>
          <w:rFonts w:ascii="FangSong" w:hAnsi="FangSong" w:eastAsia="FangSong" w:cs="FangSong"/>
          <w:sz w:val="30"/>
          <w:szCs w:val="30"/>
          <w:spacing w:val="1"/>
        </w:rPr>
        <w:t xml:space="preserve">  </w:t>
      </w:r>
      <w:r>
        <w:rPr>
          <w:rFonts w:ascii="FangSong" w:hAnsi="FangSong" w:eastAsia="FangSong" w:cs="FangSong"/>
          <w:sz w:val="30"/>
          <w:szCs w:val="30"/>
          <w:spacing w:val="16"/>
        </w:rPr>
        <w:t>一的，由县级以上人民政府卫生行政部门责令改正，通报批评，给予警告；造成传染病传播、流行或</w:t>
      </w:r>
      <w:r>
        <w:rPr>
          <w:rFonts w:ascii="FangSong" w:hAnsi="FangSong" w:eastAsia="FangSong" w:cs="FangSong"/>
          <w:sz w:val="30"/>
          <w:szCs w:val="30"/>
          <w:spacing w:val="11"/>
        </w:rPr>
        <w:t xml:space="preserve"> </w:t>
      </w:r>
      <w:r>
        <w:rPr>
          <w:rFonts w:ascii="FangSong" w:hAnsi="FangSong" w:eastAsia="FangSong" w:cs="FangSong"/>
          <w:sz w:val="30"/>
          <w:szCs w:val="30"/>
          <w:spacing w:val="12"/>
        </w:rPr>
        <w:t>者其他严重后果的，对负有责任的主管人员和其他直接责任人员，依法给予降级、撤职、开除的处</w:t>
      </w:r>
      <w:r>
        <w:rPr>
          <w:rFonts w:ascii="FangSong" w:hAnsi="FangSong" w:eastAsia="FangSong" w:cs="FangSong"/>
          <w:sz w:val="30"/>
          <w:szCs w:val="30"/>
          <w:spacing w:val="11"/>
        </w:rPr>
        <w:t>分，</w:t>
      </w:r>
      <w:r>
        <w:rPr>
          <w:rFonts w:ascii="FangSong" w:hAnsi="FangSong" w:eastAsia="FangSong" w:cs="FangSong"/>
          <w:sz w:val="30"/>
          <w:szCs w:val="30"/>
        </w:rPr>
        <w:t xml:space="preserve"> </w:t>
      </w:r>
      <w:r>
        <w:rPr>
          <w:rFonts w:ascii="FangSong" w:hAnsi="FangSong" w:eastAsia="FangSong" w:cs="FangSong"/>
          <w:sz w:val="30"/>
          <w:szCs w:val="30"/>
          <w:spacing w:val="14"/>
        </w:rPr>
        <w:t>并可以依法吊销有关责任人员的执业证书：</w:t>
      </w:r>
    </w:p>
    <w:p>
      <w:pPr>
        <w:ind w:left="794"/>
        <w:spacing w:line="219" w:lineRule="auto"/>
        <w:rPr>
          <w:rFonts w:ascii="FangSong" w:hAnsi="FangSong" w:eastAsia="FangSong" w:cs="FangSong"/>
          <w:sz w:val="30"/>
          <w:szCs w:val="30"/>
        </w:rPr>
      </w:pPr>
      <w:r>
        <w:rPr>
          <w:rFonts w:ascii="FangSong" w:hAnsi="FangSong" w:eastAsia="FangSong" w:cs="FangSong"/>
          <w:sz w:val="30"/>
          <w:szCs w:val="30"/>
          <w:spacing w:val="22"/>
        </w:rPr>
        <w:t>(一)在医疗救治过程中未按照规定保管医学记录资料的；</w:t>
      </w:r>
    </w:p>
    <w:p>
      <w:pPr>
        <w:ind w:left="6299"/>
        <w:spacing w:before="67" w:line="220" w:lineRule="auto"/>
        <w:rPr>
          <w:rFonts w:ascii="SimSun" w:hAnsi="SimSun" w:eastAsia="SimSun" w:cs="SimSun"/>
          <w:sz w:val="29"/>
          <w:szCs w:val="29"/>
        </w:rPr>
      </w:pPr>
      <w:r>
        <w:rPr>
          <w:rFonts w:ascii="SimSun" w:hAnsi="SimSun" w:eastAsia="SimSun" w:cs="SimSun"/>
          <w:sz w:val="29"/>
          <w:szCs w:val="29"/>
          <w:b/>
          <w:bCs/>
          <w:spacing w:val="-6"/>
        </w:rPr>
        <w:t>裁量标准</w:t>
      </w:r>
    </w:p>
    <w:p>
      <w:pPr>
        <w:spacing w:line="114" w:lineRule="auto"/>
        <w:rPr>
          <w:rFonts w:ascii="Arial"/>
          <w:sz w:val="2"/>
        </w:rPr>
      </w:pPr>
      <w:r>
        <w:rPr>
          <w:rFonts w:ascii="Arial"/>
          <w:sz w:val="2"/>
        </w:rPr>
      </w:r>
    </w:p>
    <w:tbl>
      <w:tblPr>
        <w:tblStyle w:val="TableNormal"/>
        <w:tblW w:w="137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43"/>
        <w:gridCol w:w="8074"/>
        <w:gridCol w:w="2892"/>
      </w:tblGrid>
      <w:tr>
        <w:trPr>
          <w:trHeight w:val="812" w:hRule="atLeast"/>
        </w:trPr>
        <w:tc>
          <w:tcPr>
            <w:tcW w:w="2743" w:type="dxa"/>
            <w:vAlign w:val="top"/>
          </w:tcPr>
          <w:p>
            <w:pPr>
              <w:pStyle w:val="TableText"/>
              <w:ind w:left="788"/>
              <w:spacing w:before="29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8074" w:type="dxa"/>
            <w:vAlign w:val="top"/>
          </w:tcPr>
          <w:p>
            <w:pPr>
              <w:pStyle w:val="TableText"/>
              <w:ind w:left="3485"/>
              <w:spacing w:before="292" w:line="220" w:lineRule="auto"/>
              <w:rPr/>
            </w:pPr>
            <w:r>
              <w:rPr>
                <w:b/>
                <w:bCs/>
                <w:spacing w:val="-5"/>
              </w:rPr>
              <w:t>情节后果</w:t>
            </w:r>
          </w:p>
        </w:tc>
        <w:tc>
          <w:tcPr>
            <w:tcW w:w="2892" w:type="dxa"/>
            <w:vAlign w:val="top"/>
          </w:tcPr>
          <w:p>
            <w:pPr>
              <w:pStyle w:val="TableText"/>
              <w:ind w:left="901"/>
              <w:spacing w:before="289" w:line="218" w:lineRule="auto"/>
              <w:rPr/>
            </w:pPr>
            <w:r>
              <w:rPr>
                <w:b/>
                <w:bCs/>
                <w:spacing w:val="-5"/>
              </w:rPr>
              <w:t>裁量幅度</w:t>
            </w:r>
          </w:p>
        </w:tc>
      </w:tr>
      <w:tr>
        <w:trPr>
          <w:trHeight w:val="787" w:hRule="atLeast"/>
        </w:trPr>
        <w:tc>
          <w:tcPr>
            <w:tcW w:w="2743" w:type="dxa"/>
            <w:vAlign w:val="top"/>
          </w:tcPr>
          <w:p>
            <w:pPr>
              <w:pStyle w:val="TableText"/>
              <w:ind w:left="1128"/>
              <w:spacing w:before="170" w:line="221" w:lineRule="auto"/>
              <w:rPr/>
            </w:pPr>
            <w:r>
              <w:rPr>
                <w:b/>
                <w:bCs/>
                <w:spacing w:val="-10"/>
              </w:rPr>
              <w:t>一般</w:t>
            </w:r>
          </w:p>
        </w:tc>
        <w:tc>
          <w:tcPr>
            <w:tcW w:w="8074" w:type="dxa"/>
            <w:vAlign w:val="top"/>
          </w:tcPr>
          <w:p>
            <w:pPr>
              <w:pStyle w:val="TableText"/>
              <w:ind w:left="141"/>
              <w:spacing w:before="161" w:line="219" w:lineRule="auto"/>
              <w:rPr/>
            </w:pPr>
            <w:r>
              <w:rPr/>
              <w:t>医疗机构在医疗救治过程中未按照规定保管医学记录资料的</w:t>
            </w:r>
          </w:p>
        </w:tc>
        <w:tc>
          <w:tcPr>
            <w:tcW w:w="2892" w:type="dxa"/>
            <w:vAlign w:val="top"/>
          </w:tcPr>
          <w:p>
            <w:pPr>
              <w:pStyle w:val="TableText"/>
              <w:ind w:left="118"/>
              <w:spacing w:before="160" w:line="218" w:lineRule="auto"/>
              <w:rPr/>
            </w:pPr>
            <w:r>
              <w:rPr>
                <w:spacing w:val="2"/>
              </w:rPr>
              <w:t>通报批评、警告</w:t>
            </w:r>
          </w:p>
        </w:tc>
      </w:tr>
      <w:tr>
        <w:trPr>
          <w:trHeight w:val="1151" w:hRule="atLeast"/>
        </w:trPr>
        <w:tc>
          <w:tcPr>
            <w:tcW w:w="2743" w:type="dxa"/>
            <w:vAlign w:val="top"/>
          </w:tcPr>
          <w:p>
            <w:pPr>
              <w:spacing w:line="263" w:lineRule="auto"/>
              <w:rPr>
                <w:rFonts w:ascii="Arial"/>
                <w:sz w:val="21"/>
              </w:rPr>
            </w:pPr>
            <w:r/>
          </w:p>
          <w:p>
            <w:pPr>
              <w:pStyle w:val="TableText"/>
              <w:ind w:left="1128"/>
              <w:spacing w:before="78" w:line="220" w:lineRule="auto"/>
              <w:rPr/>
            </w:pPr>
            <w:r>
              <w:rPr>
                <w:b/>
                <w:bCs/>
                <w:spacing w:val="-6"/>
              </w:rPr>
              <w:t>严重</w:t>
            </w:r>
          </w:p>
        </w:tc>
        <w:tc>
          <w:tcPr>
            <w:tcW w:w="8074" w:type="dxa"/>
            <w:vAlign w:val="top"/>
          </w:tcPr>
          <w:p>
            <w:pPr>
              <w:pStyle w:val="TableText"/>
              <w:ind w:left="141" w:right="10"/>
              <w:spacing w:before="125" w:line="357" w:lineRule="auto"/>
              <w:rPr/>
            </w:pPr>
            <w:r>
              <w:rPr/>
              <w:t>在医疗救治过程中未按照规定保管医学记录资料，造</w:t>
            </w:r>
            <w:r>
              <w:rPr>
                <w:spacing w:val="-1"/>
              </w:rPr>
              <w:t>成医学记录资料丢失或</w:t>
            </w:r>
            <w:r>
              <w:rPr/>
              <w:t xml:space="preserve"> </w:t>
            </w:r>
            <w:r>
              <w:rPr/>
              <w:t>者其他严重后果的。</w:t>
            </w:r>
          </w:p>
        </w:tc>
        <w:tc>
          <w:tcPr>
            <w:tcW w:w="2892" w:type="dxa"/>
            <w:vAlign w:val="top"/>
          </w:tcPr>
          <w:p>
            <w:pPr>
              <w:pStyle w:val="TableText"/>
              <w:ind w:left="118" w:right="75" w:firstLine="29"/>
              <w:spacing w:before="133" w:line="333" w:lineRule="auto"/>
              <w:rPr/>
            </w:pPr>
            <w:r>
              <w:rPr>
                <w:spacing w:val="1"/>
              </w:rPr>
              <w:t>依法吊销有关责任人员的</w:t>
            </w:r>
            <w:r>
              <w:rPr>
                <w:spacing w:val="6"/>
              </w:rPr>
              <w:t xml:space="preserve"> </w:t>
            </w:r>
            <w:r>
              <w:rPr>
                <w:spacing w:val="3"/>
              </w:rPr>
              <w:t>执业证书</w:t>
            </w:r>
          </w:p>
        </w:tc>
      </w:tr>
    </w:tbl>
    <w:p>
      <w:pPr>
        <w:pStyle w:val="BodyText"/>
        <w:rPr/>
      </w:pPr>
      <w:r/>
    </w:p>
    <w:p>
      <w:pPr>
        <w:sectPr>
          <w:footerReference w:type="default" r:id="rId86"/>
          <w:pgSz w:w="16830" w:h="11900"/>
          <w:pgMar w:top="1011" w:right="1350" w:bottom="1195" w:left="1425" w:header="0" w:footer="689" w:gutter="0"/>
        </w:sectPr>
        <w:rPr/>
      </w:pPr>
    </w:p>
    <w:p>
      <w:pPr>
        <w:pStyle w:val="BodyText"/>
        <w:spacing w:line="259" w:lineRule="auto"/>
        <w:rPr/>
      </w:pPr>
      <w:r/>
    </w:p>
    <w:p>
      <w:pPr>
        <w:pStyle w:val="BodyText"/>
        <w:spacing w:line="259" w:lineRule="auto"/>
        <w:rPr/>
      </w:pPr>
      <w:r/>
    </w:p>
    <w:p>
      <w:pPr>
        <w:pStyle w:val="BodyText"/>
        <w:spacing w:line="260" w:lineRule="auto"/>
        <w:rPr/>
      </w:pPr>
      <w:r/>
    </w:p>
    <w:p>
      <w:pPr>
        <w:ind w:left="779"/>
        <w:spacing w:before="97" w:line="220" w:lineRule="auto"/>
        <w:outlineLvl w:val="0"/>
        <w:rPr>
          <w:rFonts w:ascii="FangSong" w:hAnsi="FangSong" w:eastAsia="FangSong" w:cs="FangSong"/>
          <w:sz w:val="30"/>
          <w:szCs w:val="30"/>
        </w:rPr>
      </w:pPr>
      <w:bookmarkStart w:name="bookmark759" w:id="41"/>
      <w:bookmarkEnd w:id="41"/>
      <w:bookmarkStart w:name="bookmark186" w:id="42"/>
      <w:bookmarkEnd w:id="42"/>
      <w:bookmarkStart w:name="bookmark465" w:id="43"/>
      <w:bookmarkEnd w:id="43"/>
      <w:bookmarkStart w:name="bookmark35" w:id="44"/>
      <w:bookmarkEnd w:id="44"/>
      <w:r>
        <w:rPr>
          <w:rFonts w:ascii="FangSong" w:hAnsi="FangSong" w:eastAsia="FangSong" w:cs="FangSong"/>
          <w:sz w:val="30"/>
          <w:szCs w:val="30"/>
          <w:b/>
          <w:bCs/>
          <w:spacing w:val="21"/>
        </w:rPr>
        <w:t>第十六条医疗机构故意泄露传染病病人、病原携带者、疑似传染病</w:t>
      </w:r>
      <w:r>
        <w:rPr>
          <w:rFonts w:ascii="FangSong" w:hAnsi="FangSong" w:eastAsia="FangSong" w:cs="FangSong"/>
          <w:sz w:val="30"/>
          <w:szCs w:val="30"/>
          <w:b/>
          <w:bCs/>
          <w:spacing w:val="20"/>
        </w:rPr>
        <w:t>病人、密切接触者涉及个人</w:t>
      </w:r>
    </w:p>
    <w:p>
      <w:pPr>
        <w:ind w:left="119"/>
        <w:spacing w:before="102" w:line="220" w:lineRule="auto"/>
        <w:rPr>
          <w:rFonts w:ascii="FangSong" w:hAnsi="FangSong" w:eastAsia="FangSong" w:cs="FangSong"/>
          <w:sz w:val="30"/>
          <w:szCs w:val="30"/>
        </w:rPr>
      </w:pPr>
      <w:r>
        <w:rPr>
          <w:rFonts w:ascii="FangSong" w:hAnsi="FangSong" w:eastAsia="FangSong" w:cs="FangSong"/>
          <w:sz w:val="30"/>
          <w:szCs w:val="30"/>
          <w:b/>
          <w:bCs/>
          <w:spacing w:val="13"/>
        </w:rPr>
        <w:t>隐私的有关信息、资料的</w:t>
      </w:r>
    </w:p>
    <w:p>
      <w:pPr>
        <w:ind w:left="774"/>
        <w:spacing w:before="109" w:line="222" w:lineRule="auto"/>
        <w:rPr>
          <w:rFonts w:ascii="FangSong" w:hAnsi="FangSong" w:eastAsia="FangSong" w:cs="FangSong"/>
          <w:sz w:val="26"/>
          <w:szCs w:val="26"/>
        </w:rPr>
      </w:pPr>
      <w:r>
        <w:rPr>
          <w:rFonts w:ascii="FangSong" w:hAnsi="FangSong" w:eastAsia="FangSong" w:cs="FangSong"/>
          <w:sz w:val="26"/>
          <w:szCs w:val="26"/>
          <w:spacing w:val="34"/>
        </w:rPr>
        <w:t>法律依据</w:t>
      </w:r>
      <w:r>
        <w:rPr>
          <w:rFonts w:ascii="FangSong" w:hAnsi="FangSong" w:eastAsia="FangSong" w:cs="FangSong"/>
          <w:sz w:val="26"/>
          <w:szCs w:val="26"/>
          <w:spacing w:val="-63"/>
        </w:rPr>
        <w:t xml:space="preserve"> </w:t>
      </w:r>
      <w:r>
        <w:rPr>
          <w:rFonts w:ascii="FangSong" w:hAnsi="FangSong" w:eastAsia="FangSong" w:cs="FangSong"/>
          <w:sz w:val="26"/>
          <w:szCs w:val="26"/>
          <w:spacing w:val="34"/>
        </w:rPr>
        <w:t>：</w:t>
      </w:r>
    </w:p>
    <w:p>
      <w:pPr>
        <w:ind w:left="115" w:right="104" w:firstLine="649"/>
        <w:spacing w:before="98" w:line="270" w:lineRule="auto"/>
        <w:jc w:val="both"/>
        <w:rPr>
          <w:rFonts w:ascii="FangSong" w:hAnsi="FangSong" w:eastAsia="FangSong" w:cs="FangSong"/>
          <w:sz w:val="30"/>
          <w:szCs w:val="30"/>
        </w:rPr>
      </w:pPr>
      <w:r>
        <w:rPr>
          <w:rFonts w:ascii="FangSong" w:hAnsi="FangSong" w:eastAsia="FangSong" w:cs="FangSong"/>
          <w:sz w:val="30"/>
          <w:szCs w:val="30"/>
          <w:spacing w:val="25"/>
        </w:rPr>
        <w:t>《中华人民共和国传染病防治法》第六十九条第(七)项</w:t>
      </w:r>
      <w:r>
        <w:rPr>
          <w:rFonts w:ascii="FangSong" w:hAnsi="FangSong" w:eastAsia="FangSong" w:cs="FangSong"/>
          <w:sz w:val="30"/>
          <w:szCs w:val="30"/>
          <w:spacing w:val="25"/>
        </w:rPr>
        <w:t xml:space="preserve">   </w:t>
      </w:r>
      <w:r>
        <w:rPr>
          <w:rFonts w:ascii="FangSong" w:hAnsi="FangSong" w:eastAsia="FangSong" w:cs="FangSong"/>
          <w:sz w:val="30"/>
          <w:szCs w:val="30"/>
          <w:spacing w:val="25"/>
        </w:rPr>
        <w:t>医疗机构违反本法规定，有下列情</w:t>
      </w:r>
      <w:r>
        <w:rPr>
          <w:rFonts w:ascii="FangSong" w:hAnsi="FangSong" w:eastAsia="FangSong" w:cs="FangSong"/>
          <w:sz w:val="30"/>
          <w:szCs w:val="30"/>
          <w:spacing w:val="12"/>
        </w:rPr>
        <w:t xml:space="preserve"> </w:t>
      </w:r>
      <w:r>
        <w:rPr>
          <w:rFonts w:ascii="FangSong" w:hAnsi="FangSong" w:eastAsia="FangSong" w:cs="FangSong"/>
          <w:sz w:val="30"/>
          <w:szCs w:val="30"/>
          <w:spacing w:val="17"/>
        </w:rPr>
        <w:t>形之一的，由县级以上人民政府卫生行政部门责令改正，通报批评，给予警告；造成传染病传播、流</w:t>
      </w:r>
      <w:r>
        <w:rPr>
          <w:rFonts w:ascii="FangSong" w:hAnsi="FangSong" w:eastAsia="FangSong" w:cs="FangSong"/>
          <w:sz w:val="30"/>
          <w:szCs w:val="30"/>
          <w:spacing w:val="1"/>
        </w:rPr>
        <w:t xml:space="preserve"> </w:t>
      </w:r>
      <w:r>
        <w:rPr>
          <w:rFonts w:ascii="FangSong" w:hAnsi="FangSong" w:eastAsia="FangSong" w:cs="FangSong"/>
          <w:sz w:val="30"/>
          <w:szCs w:val="30"/>
          <w:spacing w:val="17"/>
        </w:rPr>
        <w:t>行或者其他严重后果的，对负有责任的主管人员和其他直接责任人员，依法给</w:t>
      </w:r>
      <w:r>
        <w:rPr>
          <w:rFonts w:ascii="FangSong" w:hAnsi="FangSong" w:eastAsia="FangSong" w:cs="FangSong"/>
          <w:sz w:val="30"/>
          <w:szCs w:val="30"/>
          <w:spacing w:val="16"/>
        </w:rPr>
        <w:t>予降级、撤职、开除的</w:t>
      </w:r>
      <w:r>
        <w:rPr>
          <w:rFonts w:ascii="FangSong" w:hAnsi="FangSong" w:eastAsia="FangSong" w:cs="FangSong"/>
          <w:sz w:val="30"/>
          <w:szCs w:val="30"/>
        </w:rPr>
        <w:t xml:space="preserve"> </w:t>
      </w:r>
      <w:r>
        <w:rPr>
          <w:rFonts w:ascii="FangSong" w:hAnsi="FangSong" w:eastAsia="FangSong" w:cs="FangSong"/>
          <w:sz w:val="30"/>
          <w:szCs w:val="30"/>
          <w:spacing w:val="16"/>
        </w:rPr>
        <w:t>处分，并可以依法吊销有关责任人员的执业证书：</w:t>
      </w:r>
    </w:p>
    <w:p>
      <w:pPr>
        <w:ind w:left="115" w:right="113" w:firstLine="659"/>
        <w:spacing w:before="11" w:line="284" w:lineRule="auto"/>
        <w:rPr>
          <w:rFonts w:ascii="FangSong" w:hAnsi="FangSong" w:eastAsia="FangSong" w:cs="FangSong"/>
          <w:sz w:val="26"/>
          <w:szCs w:val="26"/>
        </w:rPr>
      </w:pPr>
      <w:r>
        <w:rPr>
          <w:rFonts w:ascii="FangSong" w:hAnsi="FangSong" w:eastAsia="FangSong" w:cs="FangSong"/>
          <w:sz w:val="30"/>
          <w:szCs w:val="30"/>
          <w:spacing w:val="16"/>
        </w:rPr>
        <w:t>故意泄露传染病病人、病原携带者、疑似传染病病人、密切接触者涉及个人隐私的有关信息、资</w:t>
      </w:r>
      <w:r>
        <w:rPr>
          <w:rFonts w:ascii="FangSong" w:hAnsi="FangSong" w:eastAsia="FangSong" w:cs="FangSong"/>
          <w:sz w:val="30"/>
          <w:szCs w:val="30"/>
          <w:spacing w:val="8"/>
        </w:rPr>
        <w:t xml:space="preserve"> </w:t>
      </w:r>
      <w:r>
        <w:rPr>
          <w:rFonts w:ascii="FangSong" w:hAnsi="FangSong" w:eastAsia="FangSong" w:cs="FangSong"/>
          <w:sz w:val="26"/>
          <w:szCs w:val="26"/>
          <w:spacing w:val="-17"/>
        </w:rPr>
        <w:t>料</w:t>
      </w:r>
      <w:r>
        <w:rPr>
          <w:rFonts w:ascii="FangSong" w:hAnsi="FangSong" w:eastAsia="FangSong" w:cs="FangSong"/>
          <w:sz w:val="26"/>
          <w:szCs w:val="26"/>
          <w:spacing w:val="-16"/>
        </w:rPr>
        <w:t xml:space="preserve"> </w:t>
      </w:r>
      <w:r>
        <w:rPr>
          <w:rFonts w:ascii="FangSong" w:hAnsi="FangSong" w:eastAsia="FangSong" w:cs="FangSong"/>
          <w:sz w:val="26"/>
          <w:szCs w:val="26"/>
          <w:spacing w:val="-17"/>
        </w:rPr>
        <w:t>的</w:t>
      </w:r>
      <w:r>
        <w:rPr>
          <w:rFonts w:ascii="FangSong" w:hAnsi="FangSong" w:eastAsia="FangSong" w:cs="FangSong"/>
          <w:sz w:val="26"/>
          <w:szCs w:val="26"/>
          <w:spacing w:val="-50"/>
        </w:rPr>
        <w:t xml:space="preserve"> </w:t>
      </w:r>
      <w:r>
        <w:rPr>
          <w:rFonts w:ascii="FangSong" w:hAnsi="FangSong" w:eastAsia="FangSong" w:cs="FangSong"/>
          <w:sz w:val="26"/>
          <w:szCs w:val="26"/>
          <w:spacing w:val="-17"/>
        </w:rPr>
        <w:t>。</w:t>
      </w:r>
    </w:p>
    <w:p>
      <w:pPr>
        <w:ind w:left="6539"/>
        <w:spacing w:before="1"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73"/>
        <w:gridCol w:w="5396"/>
        <w:gridCol w:w="5391"/>
      </w:tblGrid>
      <w:tr>
        <w:trPr>
          <w:trHeight w:val="843" w:hRule="atLeast"/>
        </w:trPr>
        <w:tc>
          <w:tcPr>
            <w:tcW w:w="3373" w:type="dxa"/>
            <w:vAlign w:val="top"/>
          </w:tcPr>
          <w:p>
            <w:pPr>
              <w:pStyle w:val="TableText"/>
              <w:ind w:left="1098"/>
              <w:spacing w:before="30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5396" w:type="dxa"/>
            <w:vAlign w:val="top"/>
          </w:tcPr>
          <w:p>
            <w:pPr>
              <w:pStyle w:val="TableText"/>
              <w:ind w:left="2215"/>
              <w:spacing w:before="302" w:line="220" w:lineRule="auto"/>
              <w:rPr/>
            </w:pPr>
            <w:r>
              <w:rPr>
                <w:b/>
                <w:bCs/>
                <w:spacing w:val="-5"/>
              </w:rPr>
              <w:t>情节后果</w:t>
            </w:r>
          </w:p>
        </w:tc>
        <w:tc>
          <w:tcPr>
            <w:tcW w:w="5391" w:type="dxa"/>
            <w:vAlign w:val="top"/>
          </w:tcPr>
          <w:p>
            <w:pPr>
              <w:pStyle w:val="TableText"/>
              <w:ind w:left="2129"/>
              <w:spacing w:before="299" w:line="218" w:lineRule="auto"/>
              <w:rPr/>
            </w:pPr>
            <w:r>
              <w:rPr>
                <w:b/>
                <w:bCs/>
                <w:spacing w:val="-5"/>
              </w:rPr>
              <w:t>裁量幅度</w:t>
            </w:r>
          </w:p>
        </w:tc>
      </w:tr>
      <w:tr>
        <w:trPr>
          <w:trHeight w:val="1406" w:hRule="atLeast"/>
        </w:trPr>
        <w:tc>
          <w:tcPr>
            <w:tcW w:w="3373" w:type="dxa"/>
            <w:vAlign w:val="top"/>
          </w:tcPr>
          <w:p>
            <w:pPr>
              <w:spacing w:line="255" w:lineRule="auto"/>
              <w:rPr>
                <w:rFonts w:ascii="Arial"/>
                <w:sz w:val="21"/>
              </w:rPr>
            </w:pPr>
            <w:r/>
          </w:p>
          <w:p>
            <w:pPr>
              <w:spacing w:line="256" w:lineRule="auto"/>
              <w:rPr>
                <w:rFonts w:ascii="Arial"/>
                <w:sz w:val="21"/>
              </w:rPr>
            </w:pPr>
            <w:r/>
          </w:p>
          <w:p>
            <w:pPr>
              <w:pStyle w:val="TableText"/>
              <w:ind w:left="1434"/>
              <w:spacing w:before="79" w:line="221" w:lineRule="auto"/>
              <w:rPr/>
            </w:pPr>
            <w:r>
              <w:rPr>
                <w:spacing w:val="5"/>
              </w:rPr>
              <w:t>一般</w:t>
            </w:r>
          </w:p>
        </w:tc>
        <w:tc>
          <w:tcPr>
            <w:tcW w:w="5396" w:type="dxa"/>
            <w:vAlign w:val="top"/>
          </w:tcPr>
          <w:p>
            <w:pPr>
              <w:pStyle w:val="TableText"/>
              <w:ind w:left="170" w:right="37" w:hanging="119"/>
              <w:spacing w:before="70" w:line="302" w:lineRule="auto"/>
              <w:rPr/>
            </w:pPr>
            <w:r>
              <w:rPr/>
              <w:t>故意泄露传染病病人、病原携带者、疑似传染病病</w:t>
            </w:r>
            <w:r>
              <w:rPr>
                <w:spacing w:val="16"/>
              </w:rPr>
              <w:t xml:space="preserve"> </w:t>
            </w:r>
            <w:r>
              <w:rPr>
                <w:spacing w:val="-1"/>
              </w:rPr>
              <w:t>人、密切接触者涉及个人隐私的有关信息和资料</w:t>
            </w:r>
          </w:p>
          <w:p>
            <w:pPr>
              <w:pStyle w:val="TableText"/>
              <w:ind w:left="112"/>
              <w:spacing w:line="222" w:lineRule="auto"/>
              <w:rPr/>
            </w:pPr>
            <w:r>
              <w:rPr>
                <w:color w:val="507070"/>
              </w:rPr>
              <w:t>的</w:t>
            </w:r>
          </w:p>
        </w:tc>
        <w:tc>
          <w:tcPr>
            <w:tcW w:w="5391" w:type="dxa"/>
            <w:vAlign w:val="top"/>
          </w:tcPr>
          <w:p>
            <w:pPr>
              <w:spacing w:line="254" w:lineRule="auto"/>
              <w:rPr>
                <w:rFonts w:ascii="Arial"/>
                <w:sz w:val="21"/>
              </w:rPr>
            </w:pPr>
            <w:r/>
          </w:p>
          <w:p>
            <w:pPr>
              <w:spacing w:line="254" w:lineRule="auto"/>
              <w:rPr>
                <w:rFonts w:ascii="Arial"/>
                <w:sz w:val="21"/>
              </w:rPr>
            </w:pPr>
            <w:r/>
          </w:p>
          <w:p>
            <w:pPr>
              <w:pStyle w:val="TableText"/>
              <w:ind w:left="115"/>
              <w:spacing w:before="78" w:line="218" w:lineRule="auto"/>
              <w:rPr/>
            </w:pPr>
            <w:r>
              <w:rPr>
                <w:spacing w:val="2"/>
              </w:rPr>
              <w:t>通报批评、警告</w:t>
            </w:r>
          </w:p>
        </w:tc>
      </w:tr>
      <w:tr>
        <w:trPr>
          <w:trHeight w:val="1531" w:hRule="atLeast"/>
        </w:trPr>
        <w:tc>
          <w:tcPr>
            <w:tcW w:w="3373" w:type="dxa"/>
            <w:vAlign w:val="top"/>
          </w:tcPr>
          <w:p>
            <w:pPr>
              <w:spacing w:line="287" w:lineRule="auto"/>
              <w:rPr>
                <w:rFonts w:ascii="Arial"/>
                <w:sz w:val="21"/>
              </w:rPr>
            </w:pPr>
            <w:r/>
          </w:p>
          <w:p>
            <w:pPr>
              <w:spacing w:line="288" w:lineRule="auto"/>
              <w:rPr>
                <w:rFonts w:ascii="Arial"/>
                <w:sz w:val="21"/>
              </w:rPr>
            </w:pPr>
            <w:r/>
          </w:p>
          <w:p>
            <w:pPr>
              <w:pStyle w:val="TableText"/>
              <w:ind w:left="1434"/>
              <w:spacing w:before="78" w:line="220" w:lineRule="auto"/>
              <w:rPr/>
            </w:pPr>
            <w:r>
              <w:rPr>
                <w:spacing w:val="5"/>
              </w:rPr>
              <w:t>严重</w:t>
            </w:r>
          </w:p>
        </w:tc>
        <w:tc>
          <w:tcPr>
            <w:tcW w:w="5396" w:type="dxa"/>
            <w:vAlign w:val="top"/>
          </w:tcPr>
          <w:p>
            <w:pPr>
              <w:pStyle w:val="TableText"/>
              <w:ind w:left="111" w:hanging="60"/>
              <w:spacing w:before="103" w:line="340" w:lineRule="auto"/>
              <w:jc w:val="both"/>
              <w:rPr/>
            </w:pPr>
            <w:r>
              <w:rPr/>
              <w:t>故意泄露传染病病人、病原携带者、疑似传染病病</w:t>
            </w:r>
            <w:r>
              <w:rPr>
                <w:spacing w:val="10"/>
              </w:rPr>
              <w:t xml:space="preserve"> </w:t>
            </w:r>
            <w:r>
              <w:rPr>
                <w:spacing w:val="-1"/>
              </w:rPr>
              <w:t>人、密切接触者涉及个人隐私的有关信息、资料，</w:t>
            </w:r>
            <w:r>
              <w:rPr>
                <w:spacing w:val="15"/>
              </w:rPr>
              <w:t xml:space="preserve"> </w:t>
            </w:r>
            <w:r>
              <w:rPr/>
              <w:t>影响当事人工作、生活等严重不良社会影响。</w:t>
            </w:r>
          </w:p>
        </w:tc>
        <w:tc>
          <w:tcPr>
            <w:tcW w:w="5391" w:type="dxa"/>
            <w:vAlign w:val="top"/>
          </w:tcPr>
          <w:p>
            <w:pPr>
              <w:spacing w:line="286" w:lineRule="auto"/>
              <w:rPr>
                <w:rFonts w:ascii="Arial"/>
                <w:sz w:val="21"/>
              </w:rPr>
            </w:pPr>
            <w:r/>
          </w:p>
          <w:p>
            <w:pPr>
              <w:spacing w:line="286" w:lineRule="auto"/>
              <w:rPr>
                <w:rFonts w:ascii="Arial"/>
                <w:sz w:val="21"/>
              </w:rPr>
            </w:pPr>
            <w:r/>
          </w:p>
          <w:p>
            <w:pPr>
              <w:pStyle w:val="TableText"/>
              <w:ind w:left="115"/>
              <w:spacing w:before="78" w:line="219" w:lineRule="auto"/>
              <w:rPr/>
            </w:pPr>
            <w:r>
              <w:rPr>
                <w:spacing w:val="1"/>
              </w:rPr>
              <w:t>依法吊销有关责任人员的执业证书</w:t>
            </w:r>
          </w:p>
        </w:tc>
      </w:tr>
    </w:tbl>
    <w:p>
      <w:pPr>
        <w:pStyle w:val="BodyText"/>
        <w:rPr/>
      </w:pPr>
      <w:r/>
    </w:p>
    <w:p>
      <w:pPr>
        <w:sectPr>
          <w:footerReference w:type="default" r:id="rId87"/>
          <w:pgSz w:w="16830" w:h="11900"/>
          <w:pgMar w:top="1011" w:right="1344" w:bottom="1199" w:left="1314" w:header="0" w:footer="732" w:gutter="0"/>
        </w:sectPr>
        <w:rPr/>
      </w:pPr>
    </w:p>
    <w:p>
      <w:pPr>
        <w:pStyle w:val="BodyText"/>
        <w:spacing w:line="254" w:lineRule="auto"/>
        <w:rPr/>
      </w:pPr>
      <w:r/>
    </w:p>
    <w:p>
      <w:pPr>
        <w:pStyle w:val="BodyText"/>
        <w:spacing w:line="254" w:lineRule="auto"/>
        <w:rPr/>
      </w:pPr>
      <w:r/>
    </w:p>
    <w:p>
      <w:pPr>
        <w:pStyle w:val="BodyText"/>
        <w:spacing w:line="255" w:lineRule="auto"/>
        <w:rPr/>
      </w:pPr>
      <w:r/>
    </w:p>
    <w:p>
      <w:pPr>
        <w:ind w:left="129" w:right="149" w:firstLine="659"/>
        <w:spacing w:before="97" w:line="284" w:lineRule="auto"/>
        <w:rPr>
          <w:rFonts w:ascii="KaiTi" w:hAnsi="KaiTi" w:eastAsia="KaiTi" w:cs="KaiTi"/>
          <w:sz w:val="30"/>
          <w:szCs w:val="30"/>
        </w:rPr>
      </w:pPr>
      <w:bookmarkStart w:name="bookmark760" w:id="45"/>
      <w:bookmarkEnd w:id="45"/>
      <w:r>
        <w:rPr>
          <w:rFonts w:ascii="KaiTi" w:hAnsi="KaiTi" w:eastAsia="KaiTi" w:cs="KaiTi"/>
          <w:sz w:val="30"/>
          <w:szCs w:val="30"/>
          <w:b/>
          <w:bCs/>
          <w:spacing w:val="20"/>
        </w:rPr>
        <w:t>第十七条采供血机构及其工作人员隐瞒、谎报、缓</w:t>
      </w:r>
      <w:r>
        <w:rPr>
          <w:rFonts w:ascii="KaiTi" w:hAnsi="KaiTi" w:eastAsia="KaiTi" w:cs="KaiTi"/>
          <w:sz w:val="30"/>
          <w:szCs w:val="30"/>
          <w:b/>
          <w:bCs/>
          <w:spacing w:val="19"/>
        </w:rPr>
        <w:t>报传染病疫情，或者未执行国家有关规定，</w:t>
      </w:r>
      <w:r>
        <w:rPr>
          <w:rFonts w:ascii="KaiTi" w:hAnsi="KaiTi" w:eastAsia="KaiTi" w:cs="KaiTi"/>
          <w:sz w:val="30"/>
          <w:szCs w:val="30"/>
        </w:rPr>
        <w:t xml:space="preserve"> </w:t>
      </w:r>
      <w:r>
        <w:rPr>
          <w:rFonts w:ascii="KaiTi" w:hAnsi="KaiTi" w:eastAsia="KaiTi" w:cs="KaiTi"/>
          <w:sz w:val="30"/>
          <w:szCs w:val="30"/>
          <w:b/>
          <w:bCs/>
          <w:spacing w:val="15"/>
        </w:rPr>
        <w:t>导致因输入血液引起经血液传播疾病发生的</w:t>
      </w:r>
    </w:p>
    <w:p>
      <w:pPr>
        <w:ind w:left="784"/>
        <w:spacing w:line="222" w:lineRule="auto"/>
        <w:rPr>
          <w:rFonts w:ascii="FangSong" w:hAnsi="FangSong" w:eastAsia="FangSong" w:cs="FangSong"/>
          <w:sz w:val="30"/>
          <w:szCs w:val="30"/>
        </w:rPr>
      </w:pPr>
      <w:r>
        <w:rPr>
          <w:rFonts w:ascii="FangSong" w:hAnsi="FangSong" w:eastAsia="FangSong" w:cs="FangSong"/>
          <w:sz w:val="30"/>
          <w:szCs w:val="30"/>
          <w:spacing w:val="3"/>
        </w:rPr>
        <w:t>法律依据：</w:t>
      </w:r>
    </w:p>
    <w:p>
      <w:pPr>
        <w:ind w:left="124" w:right="106" w:firstLine="649"/>
        <w:spacing w:before="70" w:line="270" w:lineRule="auto"/>
        <w:jc w:val="both"/>
        <w:rPr>
          <w:rFonts w:ascii="FangSong" w:hAnsi="FangSong" w:eastAsia="FangSong" w:cs="FangSong"/>
          <w:sz w:val="30"/>
          <w:szCs w:val="30"/>
        </w:rPr>
      </w:pPr>
      <w:r>
        <w:rPr>
          <w:rFonts w:ascii="FangSong" w:hAnsi="FangSong" w:eastAsia="FangSong" w:cs="FangSong"/>
          <w:sz w:val="30"/>
          <w:szCs w:val="30"/>
          <w:spacing w:val="19"/>
        </w:rPr>
        <w:t>《中华人民共和国传染病防治法》第七十条第一款</w:t>
      </w:r>
      <w:r>
        <w:rPr>
          <w:rFonts w:ascii="FangSong" w:hAnsi="FangSong" w:eastAsia="FangSong" w:cs="FangSong"/>
          <w:sz w:val="30"/>
          <w:szCs w:val="30"/>
          <w:spacing w:val="19"/>
        </w:rPr>
        <w:t xml:space="preserve">  </w:t>
      </w:r>
      <w:r>
        <w:rPr>
          <w:rFonts w:ascii="FangSong" w:hAnsi="FangSong" w:eastAsia="FangSong" w:cs="FangSong"/>
          <w:sz w:val="30"/>
          <w:szCs w:val="30"/>
          <w:spacing w:val="18"/>
        </w:rPr>
        <w:t xml:space="preserve"> </w:t>
      </w:r>
      <w:r>
        <w:rPr>
          <w:rFonts w:ascii="FangSong" w:hAnsi="FangSong" w:eastAsia="FangSong" w:cs="FangSong"/>
          <w:sz w:val="30"/>
          <w:szCs w:val="30"/>
          <w:spacing w:val="18"/>
        </w:rPr>
        <w:t>采供血机构未按照规定报告传染病疫情，</w:t>
      </w:r>
      <w:r>
        <w:rPr>
          <w:rFonts w:ascii="FangSong" w:hAnsi="FangSong" w:eastAsia="FangSong" w:cs="FangSong"/>
          <w:sz w:val="30"/>
          <w:szCs w:val="30"/>
        </w:rPr>
        <w:t xml:space="preserve"> </w:t>
      </w:r>
      <w:r>
        <w:rPr>
          <w:rFonts w:ascii="FangSong" w:hAnsi="FangSong" w:eastAsia="FangSong" w:cs="FangSong"/>
          <w:sz w:val="30"/>
          <w:szCs w:val="30"/>
          <w:spacing w:val="17"/>
        </w:rPr>
        <w:t>或者隐瞒、谎报、缓报传染病疫情，或者未执行国家有关规定，导致因输入</w:t>
      </w:r>
      <w:r>
        <w:rPr>
          <w:rFonts w:ascii="FangSong" w:hAnsi="FangSong" w:eastAsia="FangSong" w:cs="FangSong"/>
          <w:sz w:val="30"/>
          <w:szCs w:val="30"/>
          <w:spacing w:val="16"/>
        </w:rPr>
        <w:t>血液引起经血液传播疾病</w:t>
      </w:r>
      <w:r>
        <w:rPr>
          <w:rFonts w:ascii="FangSong" w:hAnsi="FangSong" w:eastAsia="FangSong" w:cs="FangSong"/>
          <w:sz w:val="30"/>
          <w:szCs w:val="30"/>
        </w:rPr>
        <w:t xml:space="preserve"> </w:t>
      </w:r>
      <w:r>
        <w:rPr>
          <w:rFonts w:ascii="FangSong" w:hAnsi="FangSong" w:eastAsia="FangSong" w:cs="FangSong"/>
          <w:sz w:val="30"/>
          <w:szCs w:val="30"/>
          <w:spacing w:val="17"/>
        </w:rPr>
        <w:t>发生的，由县级以上人民政府卫生行政部门责令改正，通报</w:t>
      </w:r>
      <w:r>
        <w:rPr>
          <w:rFonts w:ascii="FangSong" w:hAnsi="FangSong" w:eastAsia="FangSong" w:cs="FangSong"/>
          <w:sz w:val="30"/>
          <w:szCs w:val="30"/>
          <w:spacing w:val="16"/>
        </w:rPr>
        <w:t>批评，给予警告；造成传染病传播、流行</w:t>
      </w:r>
      <w:r>
        <w:rPr>
          <w:rFonts w:ascii="FangSong" w:hAnsi="FangSong" w:eastAsia="FangSong" w:cs="FangSong"/>
          <w:sz w:val="30"/>
          <w:szCs w:val="30"/>
        </w:rPr>
        <w:t xml:space="preserve"> </w:t>
      </w:r>
      <w:r>
        <w:rPr>
          <w:rFonts w:ascii="FangSong" w:hAnsi="FangSong" w:eastAsia="FangSong" w:cs="FangSong"/>
          <w:sz w:val="30"/>
          <w:szCs w:val="30"/>
          <w:spacing w:val="17"/>
        </w:rPr>
        <w:t>或者其他严重后果的，对负有责任的主管人员和其他直接责</w:t>
      </w:r>
      <w:r>
        <w:rPr>
          <w:rFonts w:ascii="FangSong" w:hAnsi="FangSong" w:eastAsia="FangSong" w:cs="FangSong"/>
          <w:sz w:val="30"/>
          <w:szCs w:val="30"/>
          <w:spacing w:val="16"/>
        </w:rPr>
        <w:t>任人员，依法给予降级、撤职、开除的处</w:t>
      </w:r>
      <w:r>
        <w:rPr>
          <w:rFonts w:ascii="FangSong" w:hAnsi="FangSong" w:eastAsia="FangSong" w:cs="FangSong"/>
          <w:sz w:val="30"/>
          <w:szCs w:val="30"/>
        </w:rPr>
        <w:t xml:space="preserve"> </w:t>
      </w:r>
      <w:r>
        <w:rPr>
          <w:rFonts w:ascii="FangSong" w:hAnsi="FangSong" w:eastAsia="FangSong" w:cs="FangSong"/>
          <w:sz w:val="30"/>
          <w:szCs w:val="30"/>
          <w:spacing w:val="17"/>
        </w:rPr>
        <w:t>分，并可以依法吊销采供血机构的执业许可证；</w:t>
      </w:r>
    </w:p>
    <w:p>
      <w:pPr>
        <w:pStyle w:val="BodyText"/>
        <w:spacing w:line="320" w:lineRule="auto"/>
        <w:rPr/>
      </w:pPr>
      <w:r/>
    </w:p>
    <w:p>
      <w:pPr>
        <w:ind w:left="6518"/>
        <w:spacing w:before="97"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before="139"/>
        <w:rPr/>
      </w:pPr>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82"/>
        <w:gridCol w:w="7275"/>
        <w:gridCol w:w="3502"/>
      </w:tblGrid>
      <w:tr>
        <w:trPr>
          <w:trHeight w:val="852" w:hRule="atLeast"/>
        </w:trPr>
        <w:tc>
          <w:tcPr>
            <w:tcW w:w="3382" w:type="dxa"/>
            <w:vAlign w:val="top"/>
          </w:tcPr>
          <w:p>
            <w:pPr>
              <w:pStyle w:val="TableText"/>
              <w:ind w:left="1188"/>
              <w:spacing w:before="302" w:line="220" w:lineRule="auto"/>
              <w:rPr>
                <w:sz w:val="25"/>
                <w:szCs w:val="25"/>
              </w:rPr>
            </w:pPr>
            <w:r>
              <w:rPr>
                <w:sz w:val="25"/>
                <w:szCs w:val="25"/>
                <w:b/>
                <w:bCs/>
                <w:spacing w:val="-5"/>
              </w:rPr>
              <w:t>违法程度</w:t>
            </w:r>
          </w:p>
        </w:tc>
        <w:tc>
          <w:tcPr>
            <w:tcW w:w="7275" w:type="dxa"/>
            <w:vAlign w:val="top"/>
          </w:tcPr>
          <w:p>
            <w:pPr>
              <w:pStyle w:val="TableText"/>
              <w:ind w:left="3136"/>
              <w:spacing w:before="302" w:line="220" w:lineRule="auto"/>
              <w:rPr>
                <w:sz w:val="25"/>
                <w:szCs w:val="25"/>
              </w:rPr>
            </w:pPr>
            <w:r>
              <w:rPr>
                <w:sz w:val="25"/>
                <w:szCs w:val="25"/>
                <w:b/>
                <w:bCs/>
                <w:spacing w:val="-5"/>
              </w:rPr>
              <w:t>情节后果</w:t>
            </w:r>
          </w:p>
        </w:tc>
        <w:tc>
          <w:tcPr>
            <w:tcW w:w="3502" w:type="dxa"/>
            <w:vAlign w:val="top"/>
          </w:tcPr>
          <w:p>
            <w:pPr>
              <w:pStyle w:val="TableText"/>
              <w:ind w:left="1181"/>
              <w:spacing w:before="299" w:line="218" w:lineRule="auto"/>
              <w:rPr>
                <w:sz w:val="25"/>
                <w:szCs w:val="25"/>
              </w:rPr>
            </w:pPr>
            <w:r>
              <w:rPr>
                <w:sz w:val="25"/>
                <w:szCs w:val="25"/>
                <w:b/>
                <w:bCs/>
                <w:spacing w:val="-5"/>
              </w:rPr>
              <w:t>裁量幅度</w:t>
            </w:r>
          </w:p>
        </w:tc>
      </w:tr>
      <w:tr>
        <w:trPr>
          <w:trHeight w:val="1678" w:hRule="atLeast"/>
        </w:trPr>
        <w:tc>
          <w:tcPr>
            <w:tcW w:w="3382" w:type="dxa"/>
            <w:vAlign w:val="top"/>
          </w:tcPr>
          <w:p>
            <w:pPr>
              <w:spacing w:line="317" w:lineRule="auto"/>
              <w:rPr>
                <w:rFonts w:ascii="Arial"/>
                <w:sz w:val="21"/>
              </w:rPr>
            </w:pPr>
            <w:r/>
          </w:p>
          <w:p>
            <w:pPr>
              <w:spacing w:line="318" w:lineRule="auto"/>
              <w:rPr>
                <w:rFonts w:ascii="Arial"/>
                <w:sz w:val="21"/>
              </w:rPr>
            </w:pPr>
            <w:r/>
          </w:p>
          <w:p>
            <w:pPr>
              <w:pStyle w:val="TableText"/>
              <w:ind w:left="1438"/>
              <w:spacing w:before="82" w:line="221" w:lineRule="auto"/>
              <w:rPr>
                <w:sz w:val="25"/>
                <w:szCs w:val="25"/>
              </w:rPr>
            </w:pPr>
            <w:r>
              <w:rPr>
                <w:sz w:val="25"/>
                <w:szCs w:val="25"/>
                <w:b/>
                <w:bCs/>
                <w:spacing w:val="-10"/>
              </w:rPr>
              <w:t>一般</w:t>
            </w:r>
          </w:p>
        </w:tc>
        <w:tc>
          <w:tcPr>
            <w:tcW w:w="7275" w:type="dxa"/>
            <w:vAlign w:val="top"/>
          </w:tcPr>
          <w:p>
            <w:pPr>
              <w:pStyle w:val="TableText"/>
              <w:ind w:left="6" w:right="17"/>
              <w:spacing w:before="177" w:line="330" w:lineRule="auto"/>
              <w:jc w:val="both"/>
              <w:rPr>
                <w:sz w:val="25"/>
                <w:szCs w:val="25"/>
              </w:rPr>
            </w:pPr>
            <w:r>
              <w:rPr>
                <w:sz w:val="25"/>
                <w:szCs w:val="25"/>
                <w:b/>
                <w:bCs/>
                <w:spacing w:val="-3"/>
              </w:rPr>
              <w:t>采供血机构有下列情形之一的，导致因输入血液引起经血液传播疾</w:t>
            </w:r>
            <w:r>
              <w:rPr>
                <w:sz w:val="25"/>
                <w:szCs w:val="25"/>
                <w:spacing w:val="1"/>
              </w:rPr>
              <w:t xml:space="preserve"> </w:t>
            </w:r>
            <w:r>
              <w:rPr>
                <w:sz w:val="25"/>
                <w:szCs w:val="25"/>
                <w:b/>
                <w:bCs/>
                <w:spacing w:val="-3"/>
              </w:rPr>
              <w:t>病发生的：A、未按照规定报告传染病疫情；B、隐瞒、谎报、缓报</w:t>
            </w:r>
            <w:r>
              <w:rPr>
                <w:sz w:val="25"/>
                <w:szCs w:val="25"/>
                <w:spacing w:val="1"/>
              </w:rPr>
              <w:t xml:space="preserve"> </w:t>
            </w:r>
            <w:r>
              <w:rPr>
                <w:sz w:val="25"/>
                <w:szCs w:val="25"/>
                <w:b/>
                <w:bCs/>
                <w:spacing w:val="3"/>
              </w:rPr>
              <w:t>传染病疫情；C、未执行国家有关规定</w:t>
            </w:r>
          </w:p>
        </w:tc>
        <w:tc>
          <w:tcPr>
            <w:tcW w:w="3502" w:type="dxa"/>
            <w:vAlign w:val="top"/>
          </w:tcPr>
          <w:p>
            <w:pPr>
              <w:spacing w:line="316" w:lineRule="auto"/>
              <w:rPr>
                <w:rFonts w:ascii="Arial"/>
                <w:sz w:val="21"/>
              </w:rPr>
            </w:pPr>
            <w:r/>
          </w:p>
          <w:p>
            <w:pPr>
              <w:spacing w:line="316" w:lineRule="auto"/>
              <w:rPr>
                <w:rFonts w:ascii="Arial"/>
                <w:sz w:val="21"/>
              </w:rPr>
            </w:pPr>
            <w:r/>
          </w:p>
          <w:p>
            <w:pPr>
              <w:pStyle w:val="TableText"/>
              <w:ind w:left="101"/>
              <w:spacing w:before="81" w:line="218" w:lineRule="auto"/>
              <w:rPr>
                <w:sz w:val="25"/>
                <w:szCs w:val="25"/>
              </w:rPr>
            </w:pPr>
            <w:r>
              <w:rPr>
                <w:sz w:val="25"/>
                <w:szCs w:val="25"/>
                <w:b/>
                <w:bCs/>
                <w:spacing w:val="-2"/>
              </w:rPr>
              <w:t>通报批评、警告</w:t>
            </w:r>
          </w:p>
        </w:tc>
      </w:tr>
    </w:tbl>
    <w:p>
      <w:pPr>
        <w:pStyle w:val="BodyText"/>
        <w:spacing w:line="284" w:lineRule="auto"/>
        <w:rPr/>
      </w:pPr>
      <w:r/>
    </w:p>
    <w:p>
      <w:pPr>
        <w:pStyle w:val="BodyText"/>
        <w:spacing w:line="284" w:lineRule="auto"/>
        <w:rPr/>
      </w:pPr>
      <w:r/>
    </w:p>
    <w:p>
      <w:pPr>
        <w:pStyle w:val="BodyText"/>
        <w:spacing w:line="285" w:lineRule="auto"/>
        <w:rPr/>
      </w:pPr>
      <w:r/>
    </w:p>
    <w:p>
      <w:pPr>
        <w:pStyle w:val="BodyText"/>
        <w:spacing w:line="285" w:lineRule="auto"/>
        <w:rPr/>
      </w:pPr>
      <w:r/>
    </w:p>
    <w:p>
      <w:pPr>
        <w:pStyle w:val="BodyText"/>
        <w:spacing w:line="285" w:lineRule="auto"/>
        <w:rPr/>
      </w:pPr>
      <w:r/>
    </w:p>
    <w:p>
      <w:pPr>
        <w:ind w:left="6594"/>
        <w:spacing w:before="127"/>
        <w:rPr>
          <w:rFonts w:ascii="SimSun" w:hAnsi="SimSun" w:eastAsia="SimSun" w:cs="SimSun"/>
          <w:sz w:val="39"/>
          <w:szCs w:val="39"/>
        </w:rPr>
      </w:pPr>
      <w:r>
        <w:rPr>
          <w:rFonts w:ascii="SimSun" w:hAnsi="SimSun" w:eastAsia="SimSun" w:cs="SimSun"/>
          <w:sz w:val="39"/>
          <w:szCs w:val="39"/>
          <w:spacing w:val="-32"/>
        </w:rPr>
        <w:t>—91—</w:t>
      </w:r>
    </w:p>
    <w:p>
      <w:pPr>
        <w:sectPr>
          <w:footerReference w:type="default" r:id="rId24"/>
          <w:pgSz w:w="16830" w:h="11900"/>
          <w:pgMar w:top="1011" w:right="1335" w:bottom="400" w:left="1325" w:header="0" w:footer="0" w:gutter="0"/>
        </w:sectPr>
        <w:rPr>
          <w:rFonts w:ascii="SimSun" w:hAnsi="SimSun" w:eastAsia="SimSun" w:cs="SimSun"/>
          <w:sz w:val="39"/>
          <w:szCs w:val="39"/>
        </w:rPr>
      </w:pPr>
    </w:p>
    <w:p>
      <w:pPr>
        <w:spacing w:before="20"/>
        <w:rPr/>
      </w:pPr>
      <w:r/>
    </w:p>
    <w:p>
      <w:pPr>
        <w:spacing w:before="20"/>
        <w:rPr/>
      </w:pPr>
      <w:r/>
    </w:p>
    <w:p>
      <w:pPr>
        <w:spacing w:before="19"/>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73"/>
        <w:gridCol w:w="7285"/>
        <w:gridCol w:w="3512"/>
      </w:tblGrid>
      <w:tr>
        <w:trPr>
          <w:trHeight w:val="1512" w:hRule="atLeast"/>
        </w:trPr>
        <w:tc>
          <w:tcPr>
            <w:tcW w:w="3373"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1438"/>
              <w:spacing w:before="78" w:line="220" w:lineRule="auto"/>
              <w:outlineLvl w:val="1"/>
              <w:rPr/>
            </w:pPr>
            <w:bookmarkStart w:name="bookmark761" w:id="46"/>
            <w:bookmarkEnd w:id="46"/>
            <w:bookmarkStart w:name="bookmark186" w:id="47"/>
            <w:bookmarkEnd w:id="47"/>
            <w:r>
              <w:rPr>
                <w:b/>
                <w:bCs/>
                <w:spacing w:val="-6"/>
              </w:rPr>
              <w:t>严重</w:t>
            </w:r>
          </w:p>
        </w:tc>
        <w:tc>
          <w:tcPr>
            <w:tcW w:w="7285" w:type="dxa"/>
            <w:vAlign w:val="top"/>
          </w:tcPr>
          <w:p>
            <w:pPr>
              <w:pStyle w:val="TableText"/>
              <w:ind w:left="112" w:right="166" w:firstLine="20"/>
              <w:spacing w:before="55" w:line="343" w:lineRule="auto"/>
              <w:jc w:val="both"/>
              <w:rPr/>
            </w:pPr>
            <w:r>
              <w:rPr/>
              <w:t>采供血机构及其工作人员隐瞒、谎报、缓报传染病疫情造成传染病</w:t>
            </w:r>
            <w:r>
              <w:rPr>
                <w:spacing w:val="15"/>
              </w:rPr>
              <w:t xml:space="preserve"> </w:t>
            </w:r>
            <w:r>
              <w:rPr/>
              <w:t>传播、流行或者人员死亡或者未执行国家有关</w:t>
            </w:r>
            <w:r>
              <w:rPr>
                <w:spacing w:val="-1"/>
              </w:rPr>
              <w:t>规定，导致因输入血</w:t>
            </w:r>
            <w:r>
              <w:rPr/>
              <w:t xml:space="preserve"> </w:t>
            </w:r>
            <w:r>
              <w:rPr>
                <w:spacing w:val="1"/>
              </w:rPr>
              <w:t>液引起经血液传播疾病发生或其他严重后果的</w:t>
            </w:r>
          </w:p>
        </w:tc>
        <w:tc>
          <w:tcPr>
            <w:tcW w:w="3512"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107"/>
              <w:spacing w:before="78" w:line="219" w:lineRule="auto"/>
              <w:rPr/>
            </w:pPr>
            <w:r>
              <w:rPr/>
              <w:t>依法吊销采供血机构的执业许</w:t>
            </w:r>
          </w:p>
          <w:p>
            <w:pPr>
              <w:pStyle w:val="TableText"/>
              <w:ind w:left="107"/>
              <w:spacing w:before="141" w:line="223" w:lineRule="auto"/>
              <w:rPr/>
            </w:pPr>
            <w:r>
              <w:rPr>
                <w:color w:val="606060"/>
                <w:spacing w:val="5"/>
              </w:rPr>
              <w:t>可证</w:t>
            </w:r>
          </w:p>
        </w:tc>
      </w:tr>
      <w:tr>
        <w:trPr>
          <w:trHeight w:val="2416" w:hRule="atLeast"/>
        </w:trPr>
        <w:tc>
          <w:tcPr>
            <w:tcW w:w="3373" w:type="dxa"/>
            <w:vAlign w:val="top"/>
            <w:vMerge w:val="continue"/>
            <w:tcBorders>
              <w:top w:val="nil"/>
              <w:bottom w:val="nil"/>
            </w:tcBorders>
          </w:tcPr>
          <w:p>
            <w:pPr>
              <w:rPr>
                <w:rFonts w:ascii="Arial"/>
                <w:sz w:val="21"/>
              </w:rPr>
            </w:pPr>
            <w:r/>
          </w:p>
        </w:tc>
        <w:tc>
          <w:tcPr>
            <w:tcW w:w="7285" w:type="dxa"/>
            <w:vAlign w:val="top"/>
          </w:tcPr>
          <w:p>
            <w:pPr>
              <w:pStyle w:val="TableText"/>
              <w:ind w:left="121"/>
              <w:spacing w:before="91" w:line="339" w:lineRule="auto"/>
              <w:rPr/>
            </w:pPr>
            <w:r>
              <w:rPr>
                <w:spacing w:val="2"/>
              </w:rPr>
              <w:t>采供血机构发现本法规定的传染病疫情或者发现其他传染病暴发、</w:t>
            </w:r>
            <w:r>
              <w:rPr>
                <w:spacing w:val="7"/>
              </w:rPr>
              <w:t xml:space="preserve">  </w:t>
            </w:r>
            <w:r>
              <w:rPr>
                <w:spacing w:val="-2"/>
              </w:rPr>
              <w:t>流行以及突发原因不明的传染病时，未遵循疫情报告属地管理原则，</w:t>
            </w:r>
            <w:r>
              <w:rPr>
                <w:spacing w:val="12"/>
              </w:rPr>
              <w:t xml:space="preserve"> </w:t>
            </w:r>
            <w:r>
              <w:rPr>
                <w:spacing w:val="2"/>
              </w:rPr>
              <w:t>未按照国务院规定的或者国务院卫生行政部门规定的内容、程序、</w:t>
            </w:r>
            <w:r>
              <w:rPr>
                <w:spacing w:val="7"/>
              </w:rPr>
              <w:t xml:space="preserve">  </w:t>
            </w:r>
            <w:r>
              <w:rPr/>
              <w:t>方式和时限报告造成传染病传播、流行或者人</w:t>
            </w:r>
            <w:r>
              <w:rPr>
                <w:spacing w:val="-1"/>
              </w:rPr>
              <w:t>员死亡或其他严重后</w:t>
            </w:r>
          </w:p>
          <w:p>
            <w:pPr>
              <w:pStyle w:val="TableText"/>
              <w:ind w:left="121"/>
              <w:spacing w:before="9" w:line="220" w:lineRule="auto"/>
              <w:rPr/>
            </w:pPr>
            <w:r>
              <w:rPr>
                <w:color w:val="505050"/>
                <w:spacing w:val="9"/>
              </w:rPr>
              <w:t>果的</w:t>
            </w:r>
          </w:p>
        </w:tc>
        <w:tc>
          <w:tcPr>
            <w:tcW w:w="3512" w:type="dxa"/>
            <w:vAlign w:val="top"/>
            <w:vMerge w:val="continue"/>
            <w:tcBorders>
              <w:top w:val="nil"/>
              <w:bottom w:val="nil"/>
            </w:tcBorders>
          </w:tcPr>
          <w:p>
            <w:pPr>
              <w:rPr>
                <w:rFonts w:ascii="Arial"/>
                <w:sz w:val="21"/>
              </w:rPr>
            </w:pPr>
            <w:r/>
          </w:p>
        </w:tc>
      </w:tr>
      <w:tr>
        <w:trPr>
          <w:trHeight w:val="1882" w:hRule="atLeast"/>
        </w:trPr>
        <w:tc>
          <w:tcPr>
            <w:tcW w:w="3373" w:type="dxa"/>
            <w:vAlign w:val="top"/>
            <w:vMerge w:val="continue"/>
            <w:tcBorders>
              <w:top w:val="nil"/>
            </w:tcBorders>
          </w:tcPr>
          <w:p>
            <w:pPr>
              <w:rPr>
                <w:rFonts w:ascii="Arial"/>
                <w:sz w:val="21"/>
              </w:rPr>
            </w:pPr>
            <w:r/>
          </w:p>
        </w:tc>
        <w:tc>
          <w:tcPr>
            <w:tcW w:w="7285" w:type="dxa"/>
            <w:vAlign w:val="top"/>
          </w:tcPr>
          <w:p>
            <w:pPr>
              <w:pStyle w:val="TableText"/>
              <w:ind w:left="121" w:right="172"/>
              <w:spacing w:before="286" w:line="333" w:lineRule="auto"/>
              <w:jc w:val="both"/>
              <w:rPr/>
            </w:pPr>
            <w:r>
              <w:rPr/>
              <w:t>采供血机构未执行国家有关规定，未保证血液、血液制品的质量， </w:t>
            </w:r>
            <w:r>
              <w:rPr>
                <w:spacing w:val="1"/>
              </w:rPr>
              <w:t>非法采集血液或者组织他人出卖血液造成传</w:t>
            </w:r>
            <w:r>
              <w:rPr/>
              <w:t>染病传播、流行或者人 </w:t>
            </w:r>
            <w:r>
              <w:rPr>
                <w:spacing w:val="1"/>
              </w:rPr>
              <w:t>员死亡或其他严重后果的</w:t>
            </w:r>
          </w:p>
        </w:tc>
        <w:tc>
          <w:tcPr>
            <w:tcW w:w="3512" w:type="dxa"/>
            <w:vAlign w:val="top"/>
            <w:vMerge w:val="continue"/>
            <w:tcBorders>
              <w:top w:val="nil"/>
            </w:tcBorders>
          </w:tcPr>
          <w:p>
            <w:pPr>
              <w:rPr>
                <w:rFonts w:ascii="Arial"/>
                <w:sz w:val="21"/>
              </w:rPr>
            </w:pPr>
            <w:r/>
          </w:p>
        </w:tc>
      </w:tr>
    </w:tbl>
    <w:p>
      <w:pPr>
        <w:ind w:left="139" w:right="119" w:firstLine="649"/>
        <w:spacing w:before="98" w:line="271" w:lineRule="auto"/>
        <w:rPr>
          <w:rFonts w:ascii="FangSong" w:hAnsi="FangSong" w:eastAsia="FangSong" w:cs="FangSong"/>
          <w:sz w:val="30"/>
          <w:szCs w:val="30"/>
        </w:rPr>
      </w:pPr>
      <w:r>
        <w:rPr>
          <w:rFonts w:ascii="FangSong" w:hAnsi="FangSong" w:eastAsia="FangSong" w:cs="FangSong"/>
          <w:sz w:val="30"/>
          <w:szCs w:val="30"/>
          <w:b/>
          <w:bCs/>
          <w:spacing w:val="21"/>
        </w:rPr>
        <w:t>第十八条用于传染病防治的消毒产品不符合国家</w:t>
      </w:r>
      <w:r>
        <w:rPr>
          <w:rFonts w:ascii="FangSong" w:hAnsi="FangSong" w:eastAsia="FangSong" w:cs="FangSong"/>
          <w:sz w:val="30"/>
          <w:szCs w:val="30"/>
          <w:b/>
          <w:bCs/>
          <w:spacing w:val="20"/>
        </w:rPr>
        <w:t>卫生标准和卫生规范，导致或者可能导致传染</w:t>
      </w:r>
      <w:r>
        <w:rPr>
          <w:rFonts w:ascii="FangSong" w:hAnsi="FangSong" w:eastAsia="FangSong" w:cs="FangSong"/>
          <w:sz w:val="30"/>
          <w:szCs w:val="30"/>
        </w:rPr>
        <w:t xml:space="preserve"> </w:t>
      </w:r>
      <w:r>
        <w:rPr>
          <w:rFonts w:ascii="FangSong" w:hAnsi="FangSong" w:eastAsia="FangSong" w:cs="FangSong"/>
          <w:sz w:val="30"/>
          <w:szCs w:val="30"/>
          <w:b/>
          <w:bCs/>
          <w:spacing w:val="15"/>
        </w:rPr>
        <w:t>病传播、流行的</w:t>
      </w:r>
    </w:p>
    <w:p>
      <w:pPr>
        <w:ind w:left="754"/>
        <w:spacing w:before="6"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755"/>
        <w:spacing w:before="96" w:line="222" w:lineRule="auto"/>
        <w:rPr>
          <w:rFonts w:ascii="FangSong" w:hAnsi="FangSong" w:eastAsia="FangSong" w:cs="FangSong"/>
          <w:sz w:val="30"/>
          <w:szCs w:val="30"/>
        </w:rPr>
      </w:pPr>
      <w:r>
        <w:rPr>
          <w:rFonts w:ascii="FangSong" w:hAnsi="FangSong" w:eastAsia="FangSong" w:cs="FangSong"/>
          <w:sz w:val="30"/>
          <w:szCs w:val="30"/>
          <w:spacing w:val="26"/>
        </w:rPr>
        <w:t>《中华人民共和国传染病防治法》第七十三条第(三)项</w:t>
      </w:r>
      <w:r>
        <w:rPr>
          <w:rFonts w:ascii="FangSong" w:hAnsi="FangSong" w:eastAsia="FangSong" w:cs="FangSong"/>
          <w:sz w:val="30"/>
          <w:szCs w:val="30"/>
          <w:spacing w:val="26"/>
        </w:rPr>
        <w:t xml:space="preserve">   </w:t>
      </w:r>
      <w:r>
        <w:rPr>
          <w:rFonts w:ascii="FangSong" w:hAnsi="FangSong" w:eastAsia="FangSong" w:cs="FangSong"/>
          <w:sz w:val="30"/>
          <w:szCs w:val="30"/>
          <w:spacing w:val="26"/>
        </w:rPr>
        <w:t>违反本法规定，有下列情形之一，</w:t>
      </w:r>
    </w:p>
    <w:p>
      <w:pPr>
        <w:ind w:left="145"/>
        <w:spacing w:before="68" w:line="221" w:lineRule="auto"/>
        <w:rPr>
          <w:rFonts w:ascii="FangSong" w:hAnsi="FangSong" w:eastAsia="FangSong" w:cs="FangSong"/>
          <w:sz w:val="30"/>
          <w:szCs w:val="30"/>
        </w:rPr>
      </w:pPr>
      <w:r>
        <w:rPr>
          <w:rFonts w:ascii="FangSong" w:hAnsi="FangSong" w:eastAsia="FangSong" w:cs="FangSong"/>
          <w:sz w:val="30"/>
          <w:szCs w:val="30"/>
          <w:spacing w:val="16"/>
        </w:rPr>
        <w:t>导致或者可能导致传染病传播、流行的，由县级以上人民政府卫生行政部门责令限期改正，没收违法</w:t>
      </w:r>
    </w:p>
    <w:p>
      <w:pPr>
        <w:spacing w:line="221" w:lineRule="auto"/>
        <w:sectPr>
          <w:footerReference w:type="default" r:id="rId88"/>
          <w:pgSz w:w="16830" w:h="11900"/>
          <w:pgMar w:top="1011" w:right="1335" w:bottom="1189" w:left="1314" w:header="0" w:footer="722" w:gutter="0"/>
        </w:sectPr>
        <w:rPr>
          <w:rFonts w:ascii="FangSong" w:hAnsi="FangSong" w:eastAsia="FangSong" w:cs="FangSong"/>
          <w:sz w:val="30"/>
          <w:szCs w:val="30"/>
        </w:rPr>
      </w:pPr>
    </w:p>
    <w:p>
      <w:pPr>
        <w:pStyle w:val="BodyText"/>
        <w:spacing w:line="264" w:lineRule="auto"/>
        <w:rPr/>
      </w:pPr>
      <w:r/>
    </w:p>
    <w:p>
      <w:pPr>
        <w:pStyle w:val="BodyText"/>
        <w:spacing w:line="264" w:lineRule="auto"/>
        <w:rPr/>
      </w:pPr>
      <w:r/>
    </w:p>
    <w:p>
      <w:pPr>
        <w:pStyle w:val="BodyText"/>
        <w:spacing w:line="264" w:lineRule="auto"/>
        <w:rPr/>
      </w:pPr>
      <w:r/>
    </w:p>
    <w:p>
      <w:pPr>
        <w:ind w:left="35"/>
        <w:spacing w:before="98" w:line="271" w:lineRule="auto"/>
        <w:rPr>
          <w:rFonts w:ascii="FangSong" w:hAnsi="FangSong" w:eastAsia="FangSong" w:cs="FangSong"/>
          <w:sz w:val="30"/>
          <w:szCs w:val="30"/>
        </w:rPr>
      </w:pPr>
      <w:bookmarkStart w:name="bookmark762" w:id="48"/>
      <w:bookmarkEnd w:id="48"/>
      <w:r>
        <w:rPr>
          <w:rFonts w:ascii="FangSong" w:hAnsi="FangSong" w:eastAsia="FangSong" w:cs="FangSong"/>
          <w:sz w:val="30"/>
          <w:szCs w:val="30"/>
          <w:spacing w:val="17"/>
        </w:rPr>
        <w:t>所得，可以并处五万元以下的罚款；已取得许可证的，原发证部门可以依法暂扣或者吊销许可证；构</w:t>
      </w:r>
      <w:r>
        <w:rPr>
          <w:rFonts w:ascii="FangSong" w:hAnsi="FangSong" w:eastAsia="FangSong" w:cs="FangSong"/>
          <w:sz w:val="30"/>
          <w:szCs w:val="30"/>
          <w:spacing w:val="4"/>
        </w:rPr>
        <w:t xml:space="preserve"> </w:t>
      </w:r>
      <w:r>
        <w:rPr>
          <w:rFonts w:ascii="FangSong" w:hAnsi="FangSong" w:eastAsia="FangSong" w:cs="FangSong"/>
          <w:sz w:val="30"/>
          <w:szCs w:val="30"/>
          <w:spacing w:val="14"/>
        </w:rPr>
        <w:t>成犯罪的，依法追究刑事责任：</w:t>
      </w:r>
    </w:p>
    <w:p>
      <w:pPr>
        <w:ind w:left="815"/>
        <w:spacing w:before="1" w:line="220" w:lineRule="auto"/>
        <w:rPr>
          <w:rFonts w:ascii="FangSong" w:hAnsi="FangSong" w:eastAsia="FangSong" w:cs="FangSong"/>
          <w:sz w:val="30"/>
          <w:szCs w:val="30"/>
        </w:rPr>
      </w:pPr>
      <w:r>
        <w:rPr>
          <w:rFonts w:ascii="FangSong" w:hAnsi="FangSong" w:eastAsia="FangSong" w:cs="FangSong"/>
          <w:sz w:val="30"/>
          <w:szCs w:val="30"/>
          <w:spacing w:val="22"/>
        </w:rPr>
        <w:t>(三)用于传染病防治的消毒产品不符合国家卫生标准和卫生</w:t>
      </w:r>
      <w:r>
        <w:rPr>
          <w:rFonts w:ascii="FangSong" w:hAnsi="FangSong" w:eastAsia="FangSong" w:cs="FangSong"/>
          <w:sz w:val="30"/>
          <w:szCs w:val="30"/>
          <w:spacing w:val="21"/>
        </w:rPr>
        <w:t>规范的；</w:t>
      </w:r>
    </w:p>
    <w:p>
      <w:pPr>
        <w:ind w:left="6439"/>
        <w:spacing w:before="6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8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04"/>
        <w:gridCol w:w="7225"/>
        <w:gridCol w:w="4961"/>
      </w:tblGrid>
      <w:tr>
        <w:trPr>
          <w:trHeight w:val="584" w:hRule="atLeast"/>
        </w:trPr>
        <w:tc>
          <w:tcPr>
            <w:tcW w:w="1704" w:type="dxa"/>
            <w:vAlign w:val="top"/>
          </w:tcPr>
          <w:p>
            <w:pPr>
              <w:pStyle w:val="TableText"/>
              <w:ind w:left="268"/>
              <w:spacing w:before="17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225" w:type="dxa"/>
            <w:vAlign w:val="top"/>
          </w:tcPr>
          <w:p>
            <w:pPr>
              <w:pStyle w:val="TableText"/>
              <w:ind w:left="3124"/>
              <w:spacing w:before="172" w:line="220" w:lineRule="auto"/>
              <w:rPr/>
            </w:pPr>
            <w:r>
              <w:rPr>
                <w:b/>
                <w:bCs/>
                <w:spacing w:val="-5"/>
              </w:rPr>
              <w:t>情节后果</w:t>
            </w:r>
          </w:p>
        </w:tc>
        <w:tc>
          <w:tcPr>
            <w:tcW w:w="4961" w:type="dxa"/>
            <w:vAlign w:val="top"/>
          </w:tcPr>
          <w:p>
            <w:pPr>
              <w:pStyle w:val="TableText"/>
              <w:ind w:left="1929"/>
              <w:spacing w:before="169" w:line="218" w:lineRule="auto"/>
              <w:rPr/>
            </w:pPr>
            <w:r>
              <w:rPr>
                <w:b/>
                <w:bCs/>
                <w:spacing w:val="-5"/>
              </w:rPr>
              <w:t>裁量幅度</w:t>
            </w:r>
          </w:p>
        </w:tc>
      </w:tr>
      <w:tr>
        <w:trPr>
          <w:trHeight w:val="859" w:hRule="atLeast"/>
        </w:trPr>
        <w:tc>
          <w:tcPr>
            <w:tcW w:w="1704" w:type="dxa"/>
            <w:vAlign w:val="top"/>
          </w:tcPr>
          <w:p>
            <w:pPr>
              <w:pStyle w:val="TableText"/>
              <w:ind w:left="608"/>
              <w:spacing w:before="307" w:line="219" w:lineRule="auto"/>
              <w:rPr/>
            </w:pPr>
            <w:r>
              <w:rPr>
                <w:b/>
                <w:bCs/>
                <w:spacing w:val="-5"/>
              </w:rPr>
              <w:t>较轻</w:t>
            </w:r>
          </w:p>
        </w:tc>
        <w:tc>
          <w:tcPr>
            <w:tcW w:w="7225" w:type="dxa"/>
            <w:vAlign w:val="top"/>
          </w:tcPr>
          <w:p>
            <w:pPr>
              <w:pStyle w:val="TableText"/>
              <w:ind w:left="110" w:right="118" w:firstLine="10"/>
              <w:spacing w:before="139" w:line="273" w:lineRule="auto"/>
              <w:rPr/>
            </w:pPr>
            <w:r>
              <w:rPr/>
              <w:t>用于传染病防治的消毒产品不符合国家卫生标准和卫生规范可能导</w:t>
            </w:r>
            <w:r>
              <w:rPr>
                <w:spacing w:val="14"/>
              </w:rPr>
              <w:t xml:space="preserve"> </w:t>
            </w:r>
            <w:r>
              <w:rPr>
                <w:spacing w:val="1"/>
              </w:rPr>
              <w:t>致传染病传播、流行的</w:t>
            </w:r>
          </w:p>
        </w:tc>
        <w:tc>
          <w:tcPr>
            <w:tcW w:w="4961" w:type="dxa"/>
            <w:vAlign w:val="top"/>
          </w:tcPr>
          <w:p>
            <w:pPr>
              <w:pStyle w:val="TableText"/>
              <w:ind w:left="106"/>
              <w:spacing w:before="311" w:line="219" w:lineRule="auto"/>
              <w:rPr/>
            </w:pPr>
            <w:r>
              <w:rPr/>
              <w:t>没收违法所得，罚款15000元以下</w:t>
            </w:r>
          </w:p>
        </w:tc>
      </w:tr>
      <w:tr>
        <w:trPr>
          <w:trHeight w:val="878" w:hRule="atLeast"/>
        </w:trPr>
        <w:tc>
          <w:tcPr>
            <w:tcW w:w="1704" w:type="dxa"/>
            <w:vAlign w:val="top"/>
          </w:tcPr>
          <w:p>
            <w:pPr>
              <w:spacing w:line="290" w:lineRule="auto"/>
              <w:rPr>
                <w:rFonts w:ascii="Arial"/>
                <w:sz w:val="21"/>
              </w:rPr>
            </w:pPr>
            <w:r/>
          </w:p>
          <w:p>
            <w:pPr>
              <w:pStyle w:val="TableText"/>
              <w:ind w:left="608"/>
              <w:spacing w:before="78" w:line="221" w:lineRule="auto"/>
              <w:rPr/>
            </w:pPr>
            <w:r>
              <w:rPr>
                <w:b/>
                <w:bCs/>
                <w:spacing w:val="-10"/>
              </w:rPr>
              <w:t>一般</w:t>
            </w:r>
          </w:p>
        </w:tc>
        <w:tc>
          <w:tcPr>
            <w:tcW w:w="7225" w:type="dxa"/>
            <w:vAlign w:val="top"/>
          </w:tcPr>
          <w:p>
            <w:pPr>
              <w:pStyle w:val="TableText"/>
              <w:ind w:left="110" w:right="121" w:firstLine="10"/>
              <w:spacing w:before="150" w:line="276" w:lineRule="auto"/>
              <w:rPr/>
            </w:pPr>
            <w:r>
              <w:rPr/>
              <w:t>用于传染病防治的消毒产品不符合国家卫生标准和卫生规范导致传</w:t>
            </w:r>
            <w:r>
              <w:rPr>
                <w:spacing w:val="11"/>
              </w:rPr>
              <w:t xml:space="preserve"> </w:t>
            </w:r>
            <w:r>
              <w:rPr>
                <w:spacing w:val="3"/>
              </w:rPr>
              <w:t>染病传播的</w:t>
            </w:r>
          </w:p>
        </w:tc>
        <w:tc>
          <w:tcPr>
            <w:tcW w:w="4961" w:type="dxa"/>
            <w:vAlign w:val="top"/>
          </w:tcPr>
          <w:p>
            <w:pPr>
              <w:pStyle w:val="TableText"/>
              <w:ind w:left="106" w:right="263"/>
              <w:spacing w:before="160" w:line="272" w:lineRule="auto"/>
              <w:rPr/>
            </w:pPr>
            <w:r>
              <w:rPr>
                <w:spacing w:val="1"/>
              </w:rPr>
              <w:t>没收违法所得，罚款15000元以上350</w:t>
            </w:r>
            <w:r>
              <w:rPr/>
              <w:t>00元以 </w:t>
            </w:r>
            <w:r>
              <w:rPr/>
              <w:t>下</w:t>
            </w:r>
          </w:p>
        </w:tc>
      </w:tr>
      <w:tr>
        <w:trPr>
          <w:trHeight w:val="878" w:hRule="atLeast"/>
        </w:trPr>
        <w:tc>
          <w:tcPr>
            <w:tcW w:w="1704" w:type="dxa"/>
            <w:vAlign w:val="top"/>
          </w:tcPr>
          <w:p>
            <w:pPr>
              <w:spacing w:line="293" w:lineRule="auto"/>
              <w:rPr>
                <w:rFonts w:ascii="Arial"/>
                <w:sz w:val="21"/>
              </w:rPr>
            </w:pPr>
            <w:r/>
          </w:p>
          <w:p>
            <w:pPr>
              <w:pStyle w:val="TableText"/>
              <w:ind w:left="608"/>
              <w:spacing w:before="78" w:line="221" w:lineRule="auto"/>
              <w:rPr/>
            </w:pPr>
            <w:r>
              <w:rPr>
                <w:b/>
                <w:bCs/>
                <w:spacing w:val="-5"/>
              </w:rPr>
              <w:t>较重</w:t>
            </w:r>
          </w:p>
        </w:tc>
        <w:tc>
          <w:tcPr>
            <w:tcW w:w="7225" w:type="dxa"/>
            <w:vAlign w:val="top"/>
          </w:tcPr>
          <w:p>
            <w:pPr>
              <w:pStyle w:val="TableText"/>
              <w:ind w:left="110" w:right="121" w:firstLine="10"/>
              <w:spacing w:before="163" w:line="271" w:lineRule="auto"/>
              <w:rPr/>
            </w:pPr>
            <w:r>
              <w:rPr/>
              <w:t>用于传染病防治的消毒产品不符合国家卫生标准和卫生规范导致传</w:t>
            </w:r>
            <w:r>
              <w:rPr>
                <w:spacing w:val="11"/>
              </w:rPr>
              <w:t xml:space="preserve"> </w:t>
            </w:r>
            <w:r>
              <w:rPr>
                <w:spacing w:val="3"/>
              </w:rPr>
              <w:t>染病流行的</w:t>
            </w:r>
          </w:p>
        </w:tc>
        <w:tc>
          <w:tcPr>
            <w:tcW w:w="4961" w:type="dxa"/>
            <w:vAlign w:val="top"/>
          </w:tcPr>
          <w:p>
            <w:pPr>
              <w:pStyle w:val="TableText"/>
              <w:ind w:left="106" w:right="263"/>
              <w:spacing w:before="163" w:line="271" w:lineRule="auto"/>
              <w:rPr/>
            </w:pPr>
            <w:r>
              <w:rPr>
                <w:spacing w:val="1"/>
              </w:rPr>
              <w:t>没收违法所得，罚款35000元以上500</w:t>
            </w:r>
            <w:r>
              <w:rPr/>
              <w:t>00元以 </w:t>
            </w:r>
            <w:r>
              <w:rPr/>
              <w:t>下</w:t>
            </w:r>
          </w:p>
        </w:tc>
      </w:tr>
      <w:tr>
        <w:trPr>
          <w:trHeight w:val="888" w:hRule="atLeast"/>
        </w:trPr>
        <w:tc>
          <w:tcPr>
            <w:tcW w:w="1704" w:type="dxa"/>
            <w:vAlign w:val="top"/>
            <w:vMerge w:val="restart"/>
            <w:tcBorders>
              <w:bottom w:val="nil"/>
            </w:tcBorders>
          </w:tcPr>
          <w:p>
            <w:pPr>
              <w:spacing w:line="345" w:lineRule="auto"/>
              <w:rPr>
                <w:rFonts w:ascii="Arial"/>
                <w:sz w:val="21"/>
              </w:rPr>
            </w:pPr>
            <w:r/>
          </w:p>
          <w:p>
            <w:pPr>
              <w:spacing w:line="345" w:lineRule="auto"/>
              <w:rPr>
                <w:rFonts w:ascii="Arial"/>
                <w:sz w:val="21"/>
              </w:rPr>
            </w:pPr>
            <w:r/>
          </w:p>
          <w:p>
            <w:pPr>
              <w:pStyle w:val="TableText"/>
              <w:ind w:left="608"/>
              <w:spacing w:before="78" w:line="220" w:lineRule="auto"/>
              <w:rPr/>
            </w:pPr>
            <w:r>
              <w:rPr>
                <w:b/>
                <w:bCs/>
                <w:spacing w:val="-6"/>
              </w:rPr>
              <w:t>严重</w:t>
            </w:r>
          </w:p>
        </w:tc>
        <w:tc>
          <w:tcPr>
            <w:tcW w:w="7225" w:type="dxa"/>
            <w:vAlign w:val="top"/>
          </w:tcPr>
          <w:p>
            <w:pPr>
              <w:pStyle w:val="TableText"/>
              <w:ind w:left="101" w:right="121" w:firstLine="20"/>
              <w:spacing w:before="165" w:line="274" w:lineRule="auto"/>
              <w:rPr/>
            </w:pPr>
            <w:r>
              <w:rPr/>
              <w:t>用于传染病防治的消毒产品不符合国家卫生标准和卫生规范导致传</w:t>
            </w:r>
            <w:r>
              <w:rPr>
                <w:spacing w:val="11"/>
              </w:rPr>
              <w:t xml:space="preserve"> </w:t>
            </w:r>
            <w:r>
              <w:rPr/>
              <w:t>染病传播的区域进一步扩大</w:t>
            </w:r>
          </w:p>
        </w:tc>
        <w:tc>
          <w:tcPr>
            <w:tcW w:w="4961" w:type="dxa"/>
            <w:vAlign w:val="top"/>
          </w:tcPr>
          <w:p>
            <w:pPr>
              <w:pStyle w:val="TableText"/>
              <w:ind w:left="106" w:right="263"/>
              <w:spacing w:before="165" w:line="274" w:lineRule="auto"/>
              <w:rPr/>
            </w:pPr>
            <w:r>
              <w:rPr>
                <w:spacing w:val="1"/>
              </w:rPr>
              <w:t>没收违法所得，罚款35000元以上500</w:t>
            </w:r>
            <w:r>
              <w:rPr/>
              <w:t>00元以 </w:t>
            </w:r>
            <w:r>
              <w:rPr/>
              <w:t>下，已取得许可证的，依法暂扣许可证</w:t>
            </w:r>
          </w:p>
        </w:tc>
      </w:tr>
      <w:tr>
        <w:trPr>
          <w:trHeight w:val="883" w:hRule="atLeast"/>
        </w:trPr>
        <w:tc>
          <w:tcPr>
            <w:tcW w:w="1704" w:type="dxa"/>
            <w:vAlign w:val="top"/>
            <w:vMerge w:val="continue"/>
            <w:tcBorders>
              <w:top w:val="nil"/>
            </w:tcBorders>
          </w:tcPr>
          <w:p>
            <w:pPr>
              <w:rPr>
                <w:rFonts w:ascii="Arial"/>
                <w:sz w:val="21"/>
              </w:rPr>
            </w:pPr>
            <w:r/>
          </w:p>
        </w:tc>
        <w:tc>
          <w:tcPr>
            <w:tcW w:w="7225" w:type="dxa"/>
            <w:vAlign w:val="top"/>
          </w:tcPr>
          <w:p>
            <w:pPr>
              <w:pStyle w:val="TableText"/>
              <w:ind w:left="124" w:right="141"/>
              <w:spacing w:before="163" w:line="273" w:lineRule="auto"/>
              <w:rPr/>
            </w:pPr>
            <w:r>
              <w:rPr>
                <w:b/>
                <w:bCs/>
                <w:spacing w:val="-3"/>
              </w:rPr>
              <w:t>用于传染病防治的消毒产品不符合国家卫生标准和卫生规范导致传</w:t>
            </w:r>
            <w:r>
              <w:rPr>
                <w:spacing w:val="1"/>
              </w:rPr>
              <w:t xml:space="preserve"> </w:t>
            </w:r>
            <w:r>
              <w:rPr>
                <w:b/>
                <w:bCs/>
                <w:spacing w:val="-2"/>
              </w:rPr>
              <w:t>染病暴发流行或其他严重后果</w:t>
            </w:r>
          </w:p>
        </w:tc>
        <w:tc>
          <w:tcPr>
            <w:tcW w:w="4961" w:type="dxa"/>
            <w:vAlign w:val="top"/>
          </w:tcPr>
          <w:p>
            <w:pPr>
              <w:pStyle w:val="TableText"/>
              <w:ind w:left="106" w:right="263"/>
              <w:spacing w:before="168" w:line="271" w:lineRule="auto"/>
              <w:rPr/>
            </w:pPr>
            <w:r>
              <w:rPr>
                <w:spacing w:val="1"/>
              </w:rPr>
              <w:t>没收违法所得，罚款35000元以上500</w:t>
            </w:r>
            <w:r>
              <w:rPr/>
              <w:t>00元以 </w:t>
            </w:r>
            <w:r>
              <w:rPr/>
              <w:t>下，已取得许可证的，依法吊销许可证</w:t>
            </w:r>
          </w:p>
        </w:tc>
      </w:tr>
    </w:tbl>
    <w:p>
      <w:pPr>
        <w:pStyle w:val="BodyText"/>
        <w:spacing w:line="452" w:lineRule="auto"/>
        <w:rPr/>
      </w:pPr>
      <w:r/>
    </w:p>
    <w:p>
      <w:pPr>
        <w:ind w:left="39" w:right="54" w:firstLine="639"/>
        <w:spacing w:before="97" w:line="262" w:lineRule="auto"/>
        <w:rPr>
          <w:rFonts w:ascii="KaiTi" w:hAnsi="KaiTi" w:eastAsia="KaiTi" w:cs="KaiTi"/>
          <w:sz w:val="30"/>
          <w:szCs w:val="30"/>
        </w:rPr>
      </w:pPr>
      <w:r>
        <w:rPr>
          <w:rFonts w:ascii="KaiTi" w:hAnsi="KaiTi" w:eastAsia="KaiTi" w:cs="KaiTi"/>
          <w:sz w:val="30"/>
          <w:szCs w:val="30"/>
          <w:b/>
          <w:bCs/>
          <w:spacing w:val="20"/>
        </w:rPr>
        <w:t>第十九条出售、运输疫区中被传染病病原体污染或者可能被传染病病原体污染的物品，未进行</w:t>
      </w:r>
      <w:r>
        <w:rPr>
          <w:rFonts w:ascii="KaiTi" w:hAnsi="KaiTi" w:eastAsia="KaiTi" w:cs="KaiTi"/>
          <w:sz w:val="30"/>
          <w:szCs w:val="30"/>
          <w:spacing w:val="4"/>
        </w:rPr>
        <w:t xml:space="preserve"> </w:t>
      </w:r>
      <w:r>
        <w:rPr>
          <w:rFonts w:ascii="KaiTi" w:hAnsi="KaiTi" w:eastAsia="KaiTi" w:cs="KaiTi"/>
          <w:sz w:val="30"/>
          <w:szCs w:val="30"/>
          <w:b/>
          <w:bCs/>
          <w:spacing w:val="17"/>
        </w:rPr>
        <w:t>消毒处理，导致或者可能导致传染病传播、</w:t>
      </w:r>
      <w:r>
        <w:rPr>
          <w:rFonts w:ascii="KaiTi" w:hAnsi="KaiTi" w:eastAsia="KaiTi" w:cs="KaiTi"/>
          <w:sz w:val="30"/>
          <w:szCs w:val="30"/>
          <w:b/>
          <w:bCs/>
          <w:spacing w:val="16"/>
        </w:rPr>
        <w:t>流行的</w:t>
      </w:r>
    </w:p>
    <w:p>
      <w:pPr>
        <w:spacing w:line="262" w:lineRule="auto"/>
        <w:sectPr>
          <w:footerReference w:type="default" r:id="rId89"/>
          <w:pgSz w:w="16830" w:h="11900"/>
          <w:pgMar w:top="1011" w:right="1426" w:bottom="1185" w:left="1414" w:header="0" w:footer="679" w:gutter="0"/>
        </w:sectPr>
        <w:rPr>
          <w:rFonts w:ascii="KaiTi" w:hAnsi="KaiTi" w:eastAsia="KaiTi" w:cs="KaiTi"/>
          <w:sz w:val="30"/>
          <w:szCs w:val="30"/>
        </w:rPr>
      </w:pPr>
    </w:p>
    <w:p>
      <w:pPr>
        <w:pStyle w:val="BodyText"/>
        <w:spacing w:line="281" w:lineRule="auto"/>
        <w:rPr/>
      </w:pPr>
      <w:r/>
    </w:p>
    <w:p>
      <w:pPr>
        <w:pStyle w:val="BodyText"/>
        <w:spacing w:line="281" w:lineRule="auto"/>
        <w:rPr/>
      </w:pPr>
      <w:r/>
    </w:p>
    <w:p>
      <w:pPr>
        <w:pStyle w:val="BodyText"/>
        <w:spacing w:line="282" w:lineRule="auto"/>
        <w:rPr/>
      </w:pPr>
      <w:r/>
    </w:p>
    <w:p>
      <w:pPr>
        <w:ind w:left="664"/>
        <w:spacing w:before="88"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ind w:left="14" w:right="92" w:firstLine="619"/>
        <w:spacing w:before="71" w:line="272" w:lineRule="auto"/>
        <w:jc w:val="both"/>
        <w:rPr>
          <w:rFonts w:ascii="FangSong" w:hAnsi="FangSong" w:eastAsia="FangSong" w:cs="FangSong"/>
          <w:sz w:val="30"/>
          <w:szCs w:val="30"/>
        </w:rPr>
      </w:pPr>
      <w:r>
        <w:rPr>
          <w:rFonts w:ascii="FangSong" w:hAnsi="FangSong" w:eastAsia="FangSong" w:cs="FangSong"/>
          <w:sz w:val="30"/>
          <w:szCs w:val="30"/>
          <w:spacing w:val="26"/>
        </w:rPr>
        <w:t>《中华人民共和国传染病防治法》第七十三条第(四)项</w:t>
      </w:r>
      <w:r>
        <w:rPr>
          <w:rFonts w:ascii="FangSong" w:hAnsi="FangSong" w:eastAsia="FangSong" w:cs="FangSong"/>
          <w:sz w:val="30"/>
          <w:szCs w:val="30"/>
          <w:spacing w:val="26"/>
        </w:rPr>
        <w:t xml:space="preserve">   </w:t>
      </w:r>
      <w:r>
        <w:rPr>
          <w:rFonts w:ascii="FangSong" w:hAnsi="FangSong" w:eastAsia="FangSong" w:cs="FangSong"/>
          <w:sz w:val="30"/>
          <w:szCs w:val="30"/>
          <w:spacing w:val="26"/>
        </w:rPr>
        <w:t>违反本法规定，有下列情形之一</w:t>
      </w:r>
      <w:r>
        <w:rPr>
          <w:rFonts w:ascii="FangSong" w:hAnsi="FangSong" w:eastAsia="FangSong" w:cs="FangSong"/>
          <w:sz w:val="30"/>
          <w:szCs w:val="30"/>
          <w:spacing w:val="-86"/>
        </w:rPr>
        <w:t xml:space="preserve"> </w:t>
      </w:r>
      <w:r>
        <w:rPr>
          <w:rFonts w:ascii="FangSong" w:hAnsi="FangSong" w:eastAsia="FangSong" w:cs="FangSong"/>
          <w:sz w:val="30"/>
          <w:szCs w:val="30"/>
          <w:spacing w:val="26"/>
        </w:rPr>
        <w:t>，</w:t>
      </w:r>
      <w:r>
        <w:rPr>
          <w:rFonts w:ascii="FangSong" w:hAnsi="FangSong" w:eastAsia="FangSong" w:cs="FangSong"/>
          <w:sz w:val="30"/>
          <w:szCs w:val="30"/>
        </w:rPr>
        <w:t xml:space="preserve"> </w:t>
      </w:r>
      <w:r>
        <w:rPr>
          <w:rFonts w:ascii="FangSong" w:hAnsi="FangSong" w:eastAsia="FangSong" w:cs="FangSong"/>
          <w:sz w:val="30"/>
          <w:szCs w:val="30"/>
          <w:spacing w:val="17"/>
        </w:rPr>
        <w:t>导致或者可能导致传染病传播、流行的，由县级以上人民政府卫生行政部门责令限期改正，没收违法</w:t>
      </w:r>
      <w:r>
        <w:rPr>
          <w:rFonts w:ascii="FangSong" w:hAnsi="FangSong" w:eastAsia="FangSong" w:cs="FangSong"/>
          <w:sz w:val="30"/>
          <w:szCs w:val="30"/>
        </w:rPr>
        <w:t xml:space="preserve"> </w:t>
      </w:r>
      <w:r>
        <w:rPr>
          <w:rFonts w:ascii="FangSong" w:hAnsi="FangSong" w:eastAsia="FangSong" w:cs="FangSong"/>
          <w:sz w:val="30"/>
          <w:szCs w:val="30"/>
          <w:spacing w:val="17"/>
        </w:rPr>
        <w:t>所得，可以并处五万元以下的罚款；已取得许可证的，原发证部门可以依法暂扣或者吊销许可证；构</w:t>
      </w:r>
      <w:r>
        <w:rPr>
          <w:rFonts w:ascii="FangSong" w:hAnsi="FangSong" w:eastAsia="FangSong" w:cs="FangSong"/>
          <w:sz w:val="30"/>
          <w:szCs w:val="30"/>
          <w:spacing w:val="13"/>
        </w:rPr>
        <w:t xml:space="preserve"> </w:t>
      </w:r>
      <w:r>
        <w:rPr>
          <w:rFonts w:ascii="FangSong" w:hAnsi="FangSong" w:eastAsia="FangSong" w:cs="FangSong"/>
          <w:sz w:val="30"/>
          <w:szCs w:val="30"/>
          <w:spacing w:val="15"/>
        </w:rPr>
        <w:t>成犯罪的，依法追究刑事责任：</w:t>
      </w:r>
    </w:p>
    <w:p>
      <w:pPr>
        <w:ind w:left="14" w:right="131" w:firstLine="769"/>
        <w:spacing w:before="3" w:line="265" w:lineRule="auto"/>
        <w:rPr>
          <w:rFonts w:ascii="FangSong" w:hAnsi="FangSong" w:eastAsia="FangSong" w:cs="FangSong"/>
          <w:sz w:val="30"/>
          <w:szCs w:val="30"/>
        </w:rPr>
      </w:pPr>
      <w:r>
        <w:rPr>
          <w:rFonts w:ascii="FangSong" w:hAnsi="FangSong" w:eastAsia="FangSong" w:cs="FangSong"/>
          <w:sz w:val="30"/>
          <w:szCs w:val="30"/>
          <w:spacing w:val="20"/>
        </w:rPr>
        <w:t>(四)出售、运输疫区中被传染病病原体污染或者可能被传染病病原体污染的物品，未进行消毒</w:t>
      </w:r>
      <w:r>
        <w:rPr>
          <w:rFonts w:ascii="FangSong" w:hAnsi="FangSong" w:eastAsia="FangSong" w:cs="FangSong"/>
          <w:sz w:val="30"/>
          <w:szCs w:val="30"/>
          <w:spacing w:val="12"/>
        </w:rPr>
        <w:t xml:space="preserve"> </w:t>
      </w:r>
      <w:r>
        <w:rPr>
          <w:rFonts w:ascii="FangSong" w:hAnsi="FangSong" w:eastAsia="FangSong" w:cs="FangSong"/>
          <w:sz w:val="30"/>
          <w:szCs w:val="30"/>
          <w:spacing w:val="2"/>
        </w:rPr>
        <w:t>处理的；</w:t>
      </w:r>
    </w:p>
    <w:p>
      <w:pPr>
        <w:ind w:left="6438"/>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40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7954"/>
        <w:gridCol w:w="4701"/>
      </w:tblGrid>
      <w:tr>
        <w:trPr>
          <w:trHeight w:val="444" w:hRule="atLeast"/>
        </w:trPr>
        <w:tc>
          <w:tcPr>
            <w:tcW w:w="1404" w:type="dxa"/>
            <w:vAlign w:val="top"/>
          </w:tcPr>
          <w:p>
            <w:pPr>
              <w:pStyle w:val="TableText"/>
              <w:ind w:left="118"/>
              <w:spacing w:before="10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954" w:type="dxa"/>
            <w:vAlign w:val="top"/>
          </w:tcPr>
          <w:p>
            <w:pPr>
              <w:pStyle w:val="TableText"/>
              <w:ind w:left="3494"/>
              <w:spacing w:before="102" w:line="220" w:lineRule="auto"/>
              <w:rPr/>
            </w:pPr>
            <w:r>
              <w:rPr>
                <w:b/>
                <w:bCs/>
                <w:spacing w:val="-5"/>
              </w:rPr>
              <w:t>情节后果</w:t>
            </w:r>
          </w:p>
        </w:tc>
        <w:tc>
          <w:tcPr>
            <w:tcW w:w="4701" w:type="dxa"/>
            <w:vAlign w:val="top"/>
          </w:tcPr>
          <w:p>
            <w:pPr>
              <w:pStyle w:val="TableText"/>
              <w:ind w:left="1770"/>
              <w:spacing w:before="9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868" w:hRule="atLeast"/>
        </w:trPr>
        <w:tc>
          <w:tcPr>
            <w:tcW w:w="1404" w:type="dxa"/>
            <w:vAlign w:val="top"/>
          </w:tcPr>
          <w:p>
            <w:pPr>
              <w:pStyle w:val="TableText"/>
              <w:ind w:left="458"/>
              <w:spacing w:before="317" w:line="219" w:lineRule="auto"/>
              <w:rPr/>
            </w:pPr>
            <w:r>
              <w:rPr>
                <w:b/>
                <w:bCs/>
                <w:spacing w:val="-5"/>
              </w:rPr>
              <w:t>较轻</w:t>
            </w:r>
          </w:p>
        </w:tc>
        <w:tc>
          <w:tcPr>
            <w:tcW w:w="7954" w:type="dxa"/>
            <w:vAlign w:val="top"/>
          </w:tcPr>
          <w:p>
            <w:pPr>
              <w:pStyle w:val="TableText"/>
              <w:ind w:left="139" w:right="119" w:hanging="9"/>
              <w:spacing w:before="140" w:line="276" w:lineRule="auto"/>
              <w:rPr/>
            </w:pPr>
            <w:r>
              <w:rPr/>
              <w:t>出售、运输疫区中被或可能被丙类传染病病原体污染的物品、未进行消毒</w:t>
            </w:r>
            <w:r>
              <w:rPr>
                <w:spacing w:val="12"/>
              </w:rPr>
              <w:t xml:space="preserve"> </w:t>
            </w:r>
            <w:r>
              <w:rPr/>
              <w:t>处理，导致或者可能导致传染病传播、流行的</w:t>
            </w:r>
          </w:p>
        </w:tc>
        <w:tc>
          <w:tcPr>
            <w:tcW w:w="4701" w:type="dxa"/>
            <w:vAlign w:val="top"/>
          </w:tcPr>
          <w:p>
            <w:pPr>
              <w:spacing w:line="241" w:lineRule="auto"/>
              <w:rPr>
                <w:rFonts w:ascii="Arial"/>
                <w:sz w:val="21"/>
              </w:rPr>
            </w:pPr>
            <w:r/>
          </w:p>
          <w:p>
            <w:pPr>
              <w:pStyle w:val="TableText"/>
              <w:ind w:left="96"/>
              <w:spacing w:before="78" w:line="219" w:lineRule="auto"/>
              <w:rPr/>
            </w:pPr>
            <w:r>
              <w:rPr/>
              <w:t>没收违法所得，罚款15000元以下</w:t>
            </w:r>
          </w:p>
        </w:tc>
      </w:tr>
      <w:tr>
        <w:trPr>
          <w:trHeight w:val="868" w:hRule="atLeast"/>
        </w:trPr>
        <w:tc>
          <w:tcPr>
            <w:tcW w:w="1404" w:type="dxa"/>
            <w:vAlign w:val="top"/>
          </w:tcPr>
          <w:p>
            <w:pPr>
              <w:spacing w:line="241" w:lineRule="auto"/>
              <w:rPr>
                <w:rFonts w:ascii="Arial"/>
                <w:sz w:val="21"/>
              </w:rPr>
            </w:pPr>
            <w:r/>
          </w:p>
          <w:p>
            <w:pPr>
              <w:pStyle w:val="TableText"/>
              <w:ind w:left="458"/>
              <w:spacing w:before="78" w:line="221" w:lineRule="auto"/>
              <w:rPr/>
            </w:pPr>
            <w:r>
              <w:rPr>
                <w:b/>
                <w:bCs/>
                <w:spacing w:val="-10"/>
              </w:rPr>
              <w:t>一般</w:t>
            </w:r>
          </w:p>
        </w:tc>
        <w:tc>
          <w:tcPr>
            <w:tcW w:w="7954" w:type="dxa"/>
            <w:vAlign w:val="top"/>
          </w:tcPr>
          <w:p>
            <w:pPr>
              <w:pStyle w:val="TableText"/>
              <w:ind w:left="139" w:right="119" w:hanging="9"/>
              <w:spacing w:before="142" w:line="275" w:lineRule="auto"/>
              <w:rPr/>
            </w:pPr>
            <w:r>
              <w:rPr/>
              <w:t>出售、运输疫区中被或可能被乙类传染病病原体污染的物品、未进行消毒</w:t>
            </w:r>
            <w:r>
              <w:rPr>
                <w:spacing w:val="12"/>
              </w:rPr>
              <w:t xml:space="preserve"> </w:t>
            </w:r>
            <w:r>
              <w:rPr/>
              <w:t>处理，导致或者可能导致传染病传播、流行的</w:t>
            </w:r>
          </w:p>
        </w:tc>
        <w:tc>
          <w:tcPr>
            <w:tcW w:w="4701" w:type="dxa"/>
            <w:vAlign w:val="top"/>
          </w:tcPr>
          <w:p>
            <w:pPr>
              <w:pStyle w:val="TableText"/>
              <w:ind w:left="96"/>
              <w:spacing w:before="143" w:line="219" w:lineRule="auto"/>
              <w:rPr/>
            </w:pPr>
            <w:r>
              <w:rPr/>
              <w:t>没收违法所得，罚款15000元以上35000元</w:t>
            </w:r>
          </w:p>
          <w:p>
            <w:pPr>
              <w:pStyle w:val="TableText"/>
              <w:ind w:left="96"/>
              <w:spacing w:before="166" w:line="203" w:lineRule="auto"/>
              <w:rPr/>
            </w:pPr>
            <w:r>
              <w:rPr>
                <w:color w:val="504040"/>
                <w:spacing w:val="7"/>
              </w:rPr>
              <w:t>以下</w:t>
            </w:r>
          </w:p>
        </w:tc>
      </w:tr>
      <w:tr>
        <w:trPr>
          <w:trHeight w:val="1317" w:hRule="atLeast"/>
        </w:trPr>
        <w:tc>
          <w:tcPr>
            <w:tcW w:w="1404" w:type="dxa"/>
            <w:vAlign w:val="top"/>
          </w:tcPr>
          <w:p>
            <w:pPr>
              <w:spacing w:line="463" w:lineRule="auto"/>
              <w:rPr>
                <w:rFonts w:ascii="Arial"/>
                <w:sz w:val="21"/>
              </w:rPr>
            </w:pPr>
            <w:r/>
          </w:p>
          <w:p>
            <w:pPr>
              <w:pStyle w:val="TableText"/>
              <w:ind w:left="458"/>
              <w:spacing w:before="78" w:line="221" w:lineRule="auto"/>
              <w:rPr/>
            </w:pPr>
            <w:r>
              <w:rPr>
                <w:b/>
                <w:bCs/>
                <w:spacing w:val="-5"/>
              </w:rPr>
              <w:t>较重</w:t>
            </w:r>
          </w:p>
        </w:tc>
        <w:tc>
          <w:tcPr>
            <w:tcW w:w="7954" w:type="dxa"/>
            <w:vAlign w:val="top"/>
          </w:tcPr>
          <w:p>
            <w:pPr>
              <w:pStyle w:val="TableText"/>
              <w:ind w:left="130" w:right="115"/>
              <w:spacing w:before="163" w:line="325" w:lineRule="auto"/>
              <w:rPr/>
            </w:pPr>
            <w:r>
              <w:rPr/>
              <w:t>出售、运输疫区中被或可能被甲类传染病、按照甲类管理的乙类传染病病</w:t>
            </w:r>
            <w:r>
              <w:rPr>
                <w:spacing w:val="16"/>
              </w:rPr>
              <w:t xml:space="preserve"> </w:t>
            </w:r>
            <w:r>
              <w:rPr/>
              <w:t>原体污染的物品、未进行消毒处理，导致或者可能导致传染病传播、流行</w:t>
            </w:r>
          </w:p>
          <w:p>
            <w:pPr>
              <w:pStyle w:val="TableText"/>
              <w:ind w:left="121"/>
              <w:spacing w:before="20" w:line="214" w:lineRule="auto"/>
              <w:rPr/>
            </w:pPr>
            <w:r>
              <w:rPr>
                <w:color w:val="606060"/>
              </w:rPr>
              <w:t>的</w:t>
            </w:r>
          </w:p>
        </w:tc>
        <w:tc>
          <w:tcPr>
            <w:tcW w:w="4701" w:type="dxa"/>
            <w:vAlign w:val="top"/>
          </w:tcPr>
          <w:p>
            <w:pPr>
              <w:spacing w:line="305" w:lineRule="auto"/>
              <w:rPr>
                <w:rFonts w:ascii="Arial"/>
                <w:sz w:val="21"/>
              </w:rPr>
            </w:pPr>
            <w:r/>
          </w:p>
          <w:p>
            <w:pPr>
              <w:pStyle w:val="TableText"/>
              <w:ind w:left="86"/>
              <w:spacing w:before="78" w:line="219" w:lineRule="auto"/>
              <w:rPr/>
            </w:pPr>
            <w:r>
              <w:rPr/>
              <w:t>没收违法所得，罚款35000元以上50000元</w:t>
            </w:r>
          </w:p>
          <w:p>
            <w:pPr>
              <w:pStyle w:val="TableText"/>
              <w:ind w:left="96"/>
              <w:spacing w:before="146" w:line="221" w:lineRule="auto"/>
              <w:rPr/>
            </w:pPr>
            <w:r>
              <w:rPr>
                <w:color w:val="404040"/>
                <w:spacing w:val="7"/>
              </w:rPr>
              <w:t>以下</w:t>
            </w:r>
          </w:p>
        </w:tc>
      </w:tr>
      <w:tr>
        <w:trPr>
          <w:trHeight w:val="873" w:hRule="atLeast"/>
        </w:trPr>
        <w:tc>
          <w:tcPr>
            <w:tcW w:w="1404" w:type="dxa"/>
            <w:vAlign w:val="top"/>
          </w:tcPr>
          <w:p>
            <w:pPr>
              <w:spacing w:line="245" w:lineRule="auto"/>
              <w:rPr>
                <w:rFonts w:ascii="Arial"/>
                <w:sz w:val="21"/>
              </w:rPr>
            </w:pPr>
            <w:r/>
          </w:p>
          <w:p>
            <w:pPr>
              <w:pStyle w:val="TableText"/>
              <w:ind w:left="458"/>
              <w:spacing w:before="78" w:line="220" w:lineRule="auto"/>
              <w:rPr/>
            </w:pPr>
            <w:r>
              <w:rPr>
                <w:b/>
                <w:bCs/>
                <w:spacing w:val="-6"/>
              </w:rPr>
              <w:t>严重</w:t>
            </w:r>
          </w:p>
        </w:tc>
        <w:tc>
          <w:tcPr>
            <w:tcW w:w="7954" w:type="dxa"/>
            <w:vAlign w:val="top"/>
          </w:tcPr>
          <w:p>
            <w:pPr>
              <w:pStyle w:val="TableText"/>
              <w:ind w:left="121" w:right="119" w:firstLine="9"/>
              <w:spacing w:before="166" w:line="268" w:lineRule="auto"/>
              <w:rPr/>
            </w:pPr>
            <w:r>
              <w:rPr/>
              <w:t>出售、运输疫区中被或可能被乙类传染病病原体污染的物品、未进行消毒</w:t>
            </w:r>
            <w:r>
              <w:rPr>
                <w:spacing w:val="12"/>
              </w:rPr>
              <w:t xml:space="preserve"> </w:t>
            </w:r>
            <w:r>
              <w:rPr/>
              <w:t>处理，导致或者可能导致传染病传播、流行的区域进一步扩大</w:t>
            </w:r>
          </w:p>
        </w:tc>
        <w:tc>
          <w:tcPr>
            <w:tcW w:w="4701" w:type="dxa"/>
            <w:vAlign w:val="top"/>
          </w:tcPr>
          <w:p>
            <w:pPr>
              <w:pStyle w:val="TableText"/>
              <w:ind w:left="96" w:right="263" w:hanging="10"/>
              <w:spacing w:before="158" w:line="271" w:lineRule="auto"/>
              <w:rPr/>
            </w:pPr>
            <w:r>
              <w:rPr/>
              <w:t>没收违法所得，罚款35000元以上50000元</w:t>
            </w:r>
            <w:r>
              <w:rPr>
                <w:spacing w:val="9"/>
              </w:rPr>
              <w:t xml:space="preserve"> </w:t>
            </w:r>
            <w:r>
              <w:rPr/>
              <w:t>以下，已取得许可证的，依法暂扣许可证</w:t>
            </w:r>
          </w:p>
        </w:tc>
      </w:tr>
    </w:tbl>
    <w:p>
      <w:pPr>
        <w:pStyle w:val="BodyText"/>
        <w:rPr/>
      </w:pPr>
      <w:r/>
    </w:p>
    <w:p>
      <w:pPr>
        <w:sectPr>
          <w:footerReference w:type="default" r:id="rId90"/>
          <w:pgSz w:w="16830" w:h="11900"/>
          <w:pgMar w:top="1011" w:right="1335" w:bottom="1170" w:left="1425" w:header="0" w:footer="716" w:gutter="0"/>
        </w:sectPr>
        <w:rPr/>
      </w:pPr>
    </w:p>
    <w:p>
      <w:pPr>
        <w:spacing w:before="20"/>
        <w:rPr/>
      </w:pPr>
      <w:r/>
    </w:p>
    <w:p>
      <w:pPr>
        <w:spacing w:before="20"/>
        <w:rPr/>
      </w:pPr>
      <w:r/>
    </w:p>
    <w:p>
      <w:pPr>
        <w:spacing w:before="19"/>
        <w:rPr/>
      </w:pPr>
      <w:r/>
    </w:p>
    <w:tbl>
      <w:tblPr>
        <w:tblStyle w:val="TableNormal"/>
        <w:tblW w:w="140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7944"/>
        <w:gridCol w:w="4702"/>
      </w:tblGrid>
      <w:tr>
        <w:trPr>
          <w:trHeight w:val="1299" w:hRule="atLeast"/>
        </w:trPr>
        <w:tc>
          <w:tcPr>
            <w:tcW w:w="1404" w:type="dxa"/>
            <w:vAlign w:val="top"/>
          </w:tcPr>
          <w:p>
            <w:pPr>
              <w:rPr>
                <w:rFonts w:ascii="Arial"/>
                <w:sz w:val="21"/>
              </w:rPr>
            </w:pPr>
            <w:r/>
          </w:p>
        </w:tc>
        <w:tc>
          <w:tcPr>
            <w:tcW w:w="7944" w:type="dxa"/>
            <w:vAlign w:val="top"/>
          </w:tcPr>
          <w:p>
            <w:pPr>
              <w:pStyle w:val="TableText"/>
              <w:ind w:left="121" w:right="115"/>
              <w:spacing w:before="134" w:line="296" w:lineRule="auto"/>
              <w:jc w:val="both"/>
              <w:rPr/>
            </w:pPr>
            <w:r>
              <w:rPr/>
              <w:t>出售、运输疫区中被或可能被甲类传染病、按照甲类管理的乙类传染病病</w:t>
            </w:r>
            <w:r>
              <w:rPr>
                <w:spacing w:val="16"/>
              </w:rPr>
              <w:t xml:space="preserve"> </w:t>
            </w:r>
            <w:r>
              <w:rPr/>
              <w:t>原体污染的物品、未进行消毒处理，导致或者可能导致传染病暴发流行或</w:t>
            </w:r>
            <w:r>
              <w:rPr>
                <w:spacing w:val="10"/>
              </w:rPr>
              <w:t xml:space="preserve"> </w:t>
            </w:r>
            <w:r>
              <w:rPr>
                <w:spacing w:val="4"/>
              </w:rPr>
              <w:t>其他严重后果</w:t>
            </w:r>
          </w:p>
        </w:tc>
        <w:tc>
          <w:tcPr>
            <w:tcW w:w="4702" w:type="dxa"/>
            <w:vAlign w:val="top"/>
          </w:tcPr>
          <w:p>
            <w:pPr>
              <w:spacing w:line="274" w:lineRule="auto"/>
              <w:rPr>
                <w:rFonts w:ascii="Arial"/>
                <w:sz w:val="21"/>
              </w:rPr>
            </w:pPr>
            <w:r/>
          </w:p>
          <w:p>
            <w:pPr>
              <w:pStyle w:val="TableText"/>
              <w:ind w:left="187" w:right="174"/>
              <w:spacing w:before="78" w:line="340" w:lineRule="auto"/>
              <w:rPr/>
            </w:pPr>
            <w:r>
              <w:rPr/>
              <w:t>没收违法所得，罚款35000元以上50000元</w:t>
            </w:r>
            <w:r>
              <w:rPr>
                <w:spacing w:val="9"/>
              </w:rPr>
              <w:t xml:space="preserve"> </w:t>
            </w:r>
            <w:r>
              <w:rPr/>
              <w:t>以下，已取得许可证的，依法吊销许可证</w:t>
            </w:r>
          </w:p>
        </w:tc>
      </w:tr>
    </w:tbl>
    <w:p>
      <w:pPr>
        <w:pStyle w:val="BodyText"/>
        <w:spacing w:line="466" w:lineRule="auto"/>
        <w:rPr/>
      </w:pPr>
      <w:r/>
    </w:p>
    <w:p>
      <w:pPr>
        <w:ind w:left="19" w:right="170" w:firstLine="659"/>
        <w:spacing w:before="98" w:line="263" w:lineRule="auto"/>
        <w:rPr>
          <w:rFonts w:ascii="FangSong" w:hAnsi="FangSong" w:eastAsia="FangSong" w:cs="FangSong"/>
          <w:sz w:val="30"/>
          <w:szCs w:val="30"/>
        </w:rPr>
      </w:pPr>
      <w:r>
        <w:rPr>
          <w:rFonts w:ascii="FangSong" w:hAnsi="FangSong" w:eastAsia="FangSong" w:cs="FangSong"/>
          <w:sz w:val="30"/>
          <w:szCs w:val="30"/>
          <w:b/>
          <w:bCs/>
          <w:spacing w:val="20"/>
        </w:rPr>
        <w:t>第二十条疾病预防控制机构、医疗机构和从事病原微生物实验的单</w:t>
      </w:r>
      <w:r>
        <w:rPr>
          <w:rFonts w:ascii="FangSong" w:hAnsi="FangSong" w:eastAsia="FangSong" w:cs="FangSong"/>
          <w:sz w:val="30"/>
          <w:szCs w:val="30"/>
          <w:b/>
          <w:bCs/>
          <w:spacing w:val="19"/>
        </w:rPr>
        <w:t>位不符合国家规定的条件</w:t>
      </w:r>
      <w:r>
        <w:rPr>
          <w:rFonts w:ascii="FangSong" w:hAnsi="FangSong" w:eastAsia="FangSong" w:cs="FangSong"/>
          <w:sz w:val="30"/>
          <w:szCs w:val="30"/>
          <w:spacing w:val="19"/>
        </w:rPr>
        <w:t>和</w:t>
      </w:r>
      <w:r>
        <w:rPr>
          <w:rFonts w:ascii="FangSong" w:hAnsi="FangSong" w:eastAsia="FangSong" w:cs="FangSong"/>
          <w:sz w:val="30"/>
          <w:szCs w:val="30"/>
        </w:rPr>
        <w:t xml:space="preserve"> </w:t>
      </w:r>
      <w:bookmarkStart w:name="bookmark763" w:id="49"/>
      <w:bookmarkEnd w:id="49"/>
      <w:r>
        <w:rPr>
          <w:rFonts w:ascii="FangSong" w:hAnsi="FangSong" w:eastAsia="FangSong" w:cs="FangSong"/>
          <w:sz w:val="30"/>
          <w:szCs w:val="30"/>
          <w:b/>
          <w:bCs/>
          <w:spacing w:val="17"/>
        </w:rPr>
        <w:t>技术标准，对传染病病原体样本未按照规定进行严格管理，造成实验室感染和病原微生物扩散的</w:t>
      </w:r>
    </w:p>
    <w:p>
      <w:pPr>
        <w:ind w:left="654"/>
        <w:spacing w:before="13"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5" w:firstLine="619"/>
        <w:spacing w:before="80" w:line="271" w:lineRule="auto"/>
        <w:jc w:val="both"/>
        <w:rPr>
          <w:rFonts w:ascii="FangSong" w:hAnsi="FangSong" w:eastAsia="FangSong" w:cs="FangSong"/>
          <w:sz w:val="30"/>
          <w:szCs w:val="30"/>
        </w:rPr>
      </w:pPr>
      <w:r>
        <w:rPr>
          <w:rFonts w:ascii="FangSong" w:hAnsi="FangSong" w:eastAsia="FangSong" w:cs="FangSong"/>
          <w:sz w:val="30"/>
          <w:szCs w:val="30"/>
          <w:spacing w:val="23"/>
        </w:rPr>
        <w:t>《中华人民共和国传染病防治法》第七十四条第(一)项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违反本</w:t>
      </w:r>
      <w:r>
        <w:rPr>
          <w:rFonts w:ascii="FangSong" w:hAnsi="FangSong" w:eastAsia="FangSong" w:cs="FangSong"/>
          <w:sz w:val="30"/>
          <w:szCs w:val="30"/>
          <w:spacing w:val="22"/>
        </w:rPr>
        <w:t>法规定，有下列情形之一的，</w:t>
      </w:r>
      <w:r>
        <w:rPr>
          <w:rFonts w:ascii="FangSong" w:hAnsi="FangSong" w:eastAsia="FangSong" w:cs="FangSong"/>
          <w:sz w:val="30"/>
          <w:szCs w:val="30"/>
        </w:rPr>
        <w:t xml:space="preserve"> </w:t>
      </w:r>
      <w:r>
        <w:rPr>
          <w:rFonts w:ascii="FangSong" w:hAnsi="FangSong" w:eastAsia="FangSong" w:cs="FangSong"/>
          <w:sz w:val="30"/>
          <w:szCs w:val="30"/>
          <w:spacing w:val="16"/>
        </w:rPr>
        <w:t>由县级以上地方人民政府卫生行政部门责令改正，通报批评，给予警告，已取得许可证的，可以依法</w:t>
      </w:r>
      <w:r>
        <w:rPr>
          <w:rFonts w:ascii="FangSong" w:hAnsi="FangSong" w:eastAsia="FangSong" w:cs="FangSong"/>
          <w:sz w:val="30"/>
          <w:szCs w:val="30"/>
          <w:spacing w:val="2"/>
        </w:rPr>
        <w:t xml:space="preserve">  </w:t>
      </w:r>
      <w:r>
        <w:rPr>
          <w:rFonts w:ascii="FangSong" w:hAnsi="FangSong" w:eastAsia="FangSong" w:cs="FangSong"/>
          <w:sz w:val="30"/>
          <w:szCs w:val="30"/>
          <w:spacing w:val="17"/>
        </w:rPr>
        <w:t>暂扣或者吊销许可证；造成传染病传播、流行以及其他严重后果的，对负有责任的主管人</w:t>
      </w:r>
      <w:r>
        <w:rPr>
          <w:rFonts w:ascii="FangSong" w:hAnsi="FangSong" w:eastAsia="FangSong" w:cs="FangSong"/>
          <w:sz w:val="30"/>
          <w:szCs w:val="30"/>
          <w:spacing w:val="16"/>
        </w:rPr>
        <w:t>员和其他直</w:t>
      </w:r>
      <w:r>
        <w:rPr>
          <w:rFonts w:ascii="FangSong" w:hAnsi="FangSong" w:eastAsia="FangSong" w:cs="FangSong"/>
          <w:sz w:val="30"/>
          <w:szCs w:val="30"/>
        </w:rPr>
        <w:t xml:space="preserve"> </w:t>
      </w:r>
      <w:r>
        <w:rPr>
          <w:rFonts w:ascii="FangSong" w:hAnsi="FangSong" w:eastAsia="FangSong" w:cs="FangSong"/>
          <w:sz w:val="30"/>
          <w:szCs w:val="30"/>
          <w:spacing w:val="17"/>
        </w:rPr>
        <w:t>接责任人员，依法给予降级、撤职、开除的处分，并可以依法吊销有关责任人员</w:t>
      </w:r>
      <w:r>
        <w:rPr>
          <w:rFonts w:ascii="FangSong" w:hAnsi="FangSong" w:eastAsia="FangSong" w:cs="FangSong"/>
          <w:sz w:val="30"/>
          <w:szCs w:val="30"/>
          <w:spacing w:val="16"/>
        </w:rPr>
        <w:t>的执业证书；构成犯</w:t>
      </w:r>
      <w:r>
        <w:rPr>
          <w:rFonts w:ascii="FangSong" w:hAnsi="FangSong" w:eastAsia="FangSong" w:cs="FangSong"/>
          <w:sz w:val="30"/>
          <w:szCs w:val="30"/>
        </w:rPr>
        <w:t xml:space="preserve"> </w:t>
      </w:r>
      <w:r>
        <w:rPr>
          <w:rFonts w:ascii="FangSong" w:hAnsi="FangSong" w:eastAsia="FangSong" w:cs="FangSong"/>
          <w:sz w:val="30"/>
          <w:szCs w:val="30"/>
          <w:spacing w:val="12"/>
        </w:rPr>
        <w:t>罪的，依法追究刑事责任：</w:t>
      </w:r>
    </w:p>
    <w:p>
      <w:pPr>
        <w:ind w:left="15" w:right="131" w:firstLine="769"/>
        <w:spacing w:before="12" w:line="257" w:lineRule="auto"/>
        <w:rPr>
          <w:rFonts w:ascii="FangSong" w:hAnsi="FangSong" w:eastAsia="FangSong" w:cs="FangSong"/>
          <w:sz w:val="30"/>
          <w:szCs w:val="30"/>
        </w:rPr>
      </w:pPr>
      <w:r>
        <w:rPr>
          <w:rFonts w:ascii="FangSong" w:hAnsi="FangSong" w:eastAsia="FangSong" w:cs="FangSong"/>
          <w:sz w:val="30"/>
          <w:szCs w:val="30"/>
          <w:spacing w:val="21"/>
        </w:rPr>
        <w:t>(一)疾病预防控制机构、医疗机构和从事病原微生物实验的</w:t>
      </w:r>
      <w:r>
        <w:rPr>
          <w:rFonts w:ascii="FangSong" w:hAnsi="FangSong" w:eastAsia="FangSong" w:cs="FangSong"/>
          <w:sz w:val="30"/>
          <w:szCs w:val="30"/>
          <w:spacing w:val="20"/>
        </w:rPr>
        <w:t>单位不符合国家规定的条件和技术</w:t>
      </w:r>
      <w:r>
        <w:rPr>
          <w:rFonts w:ascii="FangSong" w:hAnsi="FangSong" w:eastAsia="FangSong" w:cs="FangSong"/>
          <w:sz w:val="30"/>
          <w:szCs w:val="30"/>
        </w:rPr>
        <w:t xml:space="preserve"> </w:t>
      </w:r>
      <w:r>
        <w:rPr>
          <w:rFonts w:ascii="FangSong" w:hAnsi="FangSong" w:eastAsia="FangSong" w:cs="FangSong"/>
          <w:sz w:val="30"/>
          <w:szCs w:val="30"/>
          <w:spacing w:val="18"/>
        </w:rPr>
        <w:t>标准，对传染病病原体样本未按照规定进行严格管理，造成实验室感染</w:t>
      </w:r>
      <w:r>
        <w:rPr>
          <w:rFonts w:ascii="FangSong" w:hAnsi="FangSong" w:eastAsia="FangSong" w:cs="FangSong"/>
          <w:sz w:val="30"/>
          <w:szCs w:val="30"/>
          <w:spacing w:val="17"/>
        </w:rPr>
        <w:t>和病原微生物扩散的；</w:t>
      </w:r>
    </w:p>
    <w:p>
      <w:pPr>
        <w:ind w:left="6428"/>
        <w:spacing w:before="27"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34" w:lineRule="auto"/>
        <w:rPr>
          <w:rFonts w:ascii="Arial"/>
          <w:sz w:val="2"/>
        </w:rPr>
      </w:pPr>
      <w:r>
        <w:rPr>
          <w:rFonts w:ascii="Arial"/>
          <w:sz w:val="2"/>
        </w:rPr>
      </w:r>
    </w:p>
    <w:tbl>
      <w:tblPr>
        <w:tblStyle w:val="TableNormal"/>
        <w:tblW w:w="140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7914"/>
        <w:gridCol w:w="4732"/>
      </w:tblGrid>
      <w:tr>
        <w:trPr>
          <w:trHeight w:val="680" w:hRule="atLeast"/>
        </w:trPr>
        <w:tc>
          <w:tcPr>
            <w:tcW w:w="1404" w:type="dxa"/>
            <w:vAlign w:val="top"/>
          </w:tcPr>
          <w:p>
            <w:pPr>
              <w:pStyle w:val="TableText"/>
              <w:ind w:left="119"/>
              <w:spacing w:before="203" w:line="220" w:lineRule="auto"/>
              <w:rPr>
                <w:sz w:val="29"/>
                <w:szCs w:val="29"/>
              </w:rPr>
            </w:pPr>
            <w:r>
              <w:rPr>
                <w:sz w:val="29"/>
                <w:szCs w:val="29"/>
                <w:b/>
                <w:bCs/>
                <w:spacing w:val="-1"/>
              </w:rPr>
              <w:t>违法程度</w:t>
            </w:r>
          </w:p>
        </w:tc>
        <w:tc>
          <w:tcPr>
            <w:tcW w:w="7914" w:type="dxa"/>
            <w:vAlign w:val="top"/>
          </w:tcPr>
          <w:p>
            <w:pPr>
              <w:pStyle w:val="TableText"/>
              <w:ind w:left="3415"/>
              <w:spacing w:before="203" w:line="220" w:lineRule="auto"/>
              <w:rPr>
                <w:sz w:val="29"/>
                <w:szCs w:val="29"/>
              </w:rPr>
            </w:pPr>
            <w:r>
              <w:rPr>
                <w:sz w:val="29"/>
                <w:szCs w:val="29"/>
                <w:b/>
                <w:bCs/>
                <w:spacing w:val="-1"/>
              </w:rPr>
              <w:t>情节后果</w:t>
            </w:r>
          </w:p>
        </w:tc>
        <w:tc>
          <w:tcPr>
            <w:tcW w:w="4732" w:type="dxa"/>
            <w:vAlign w:val="top"/>
          </w:tcPr>
          <w:p>
            <w:pPr>
              <w:pStyle w:val="TableText"/>
              <w:ind w:left="1811"/>
              <w:spacing w:before="200" w:line="218" w:lineRule="auto"/>
              <w:rPr>
                <w:sz w:val="29"/>
                <w:szCs w:val="29"/>
              </w:rPr>
            </w:pPr>
            <w:r>
              <w:rPr>
                <w:sz w:val="29"/>
                <w:szCs w:val="29"/>
                <w:b/>
                <w:bCs/>
                <w:spacing w:val="-1"/>
              </w:rPr>
              <w:t>裁量幅度</w:t>
            </w:r>
          </w:p>
        </w:tc>
      </w:tr>
    </w:tbl>
    <w:p>
      <w:pPr>
        <w:pStyle w:val="BodyText"/>
        <w:rPr/>
      </w:pPr>
      <w:r/>
    </w:p>
    <w:p>
      <w:pPr>
        <w:sectPr>
          <w:footerReference w:type="default" r:id="rId91"/>
          <w:pgSz w:w="16830" w:h="11900"/>
          <w:pgMar w:top="1011" w:right="1309" w:bottom="1195" w:left="1434" w:header="0" w:footer="689" w:gutter="0"/>
        </w:sectPr>
        <w:rPr/>
      </w:pPr>
    </w:p>
    <w:p>
      <w:pPr>
        <w:spacing w:before="17"/>
        <w:rPr/>
      </w:pPr>
      <w:r/>
    </w:p>
    <w:p>
      <w:pPr>
        <w:spacing w:before="16"/>
        <w:rPr/>
      </w:pPr>
      <w:r/>
    </w:p>
    <w:p>
      <w:pPr>
        <w:spacing w:before="16"/>
        <w:rPr/>
      </w:pPr>
      <w:r/>
    </w:p>
    <w:tbl>
      <w:tblPr>
        <w:tblStyle w:val="TableNormal"/>
        <w:tblW w:w="140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914"/>
        <w:gridCol w:w="4712"/>
      </w:tblGrid>
      <w:tr>
        <w:trPr>
          <w:trHeight w:val="1322" w:hRule="atLeast"/>
        </w:trPr>
        <w:tc>
          <w:tcPr>
            <w:tcW w:w="1424" w:type="dxa"/>
            <w:vAlign w:val="top"/>
          </w:tcPr>
          <w:p>
            <w:pPr>
              <w:spacing w:line="461" w:lineRule="auto"/>
              <w:rPr>
                <w:rFonts w:ascii="Arial"/>
                <w:sz w:val="21"/>
              </w:rPr>
            </w:pPr>
            <w:r/>
          </w:p>
          <w:p>
            <w:pPr>
              <w:pStyle w:val="TableText"/>
              <w:ind w:left="468"/>
              <w:spacing w:before="79" w:line="221" w:lineRule="auto"/>
              <w:rPr/>
            </w:pPr>
            <w:bookmarkStart w:name="bookmark764" w:id="50"/>
            <w:bookmarkEnd w:id="50"/>
            <w:r>
              <w:rPr>
                <w:b/>
                <w:bCs/>
                <w:spacing w:val="-10"/>
              </w:rPr>
              <w:t>一般</w:t>
            </w:r>
          </w:p>
        </w:tc>
        <w:tc>
          <w:tcPr>
            <w:tcW w:w="7914" w:type="dxa"/>
            <w:vAlign w:val="top"/>
          </w:tcPr>
          <w:p>
            <w:pPr>
              <w:pStyle w:val="TableText"/>
              <w:ind w:left="101" w:right="52" w:firstLine="9"/>
              <w:spacing w:before="122" w:line="305" w:lineRule="auto"/>
              <w:jc w:val="both"/>
              <w:rPr/>
            </w:pPr>
            <w:r>
              <w:rPr/>
              <w:t>疾病预防控制机构、医疗机构和从事病原微生物实验的单位，不符合国家</w:t>
            </w:r>
            <w:r>
              <w:rPr>
                <w:spacing w:val="12"/>
              </w:rPr>
              <w:t xml:space="preserve"> </w:t>
            </w:r>
            <w:r>
              <w:rPr>
                <w:spacing w:val="2"/>
              </w:rPr>
              <w:t>规定的条件和技术标准，对传染病病原体样本未按照规定进行严格管理，</w:t>
            </w:r>
            <w:r>
              <w:rPr>
                <w:spacing w:val="5"/>
              </w:rPr>
              <w:t xml:space="preserve"> </w:t>
            </w:r>
            <w:r>
              <w:rPr/>
              <w:t>造成实验室感染和病原微生物扩散，存在导致传染病传播、流行隐患的</w:t>
            </w:r>
          </w:p>
        </w:tc>
        <w:tc>
          <w:tcPr>
            <w:tcW w:w="4712" w:type="dxa"/>
            <w:vAlign w:val="top"/>
          </w:tcPr>
          <w:p>
            <w:pPr>
              <w:spacing w:line="283" w:lineRule="auto"/>
              <w:rPr>
                <w:rFonts w:ascii="Arial"/>
                <w:sz w:val="21"/>
              </w:rPr>
            </w:pPr>
            <w:r/>
          </w:p>
          <w:p>
            <w:pPr>
              <w:pStyle w:val="TableText"/>
              <w:ind w:left="96"/>
              <w:spacing w:before="78" w:line="218" w:lineRule="auto"/>
              <w:rPr/>
            </w:pPr>
            <w:r>
              <w:rPr>
                <w:spacing w:val="2"/>
              </w:rPr>
              <w:t>通报批评、警告</w:t>
            </w:r>
          </w:p>
        </w:tc>
      </w:tr>
      <w:tr>
        <w:trPr>
          <w:trHeight w:val="1318" w:hRule="atLeast"/>
        </w:trPr>
        <w:tc>
          <w:tcPr>
            <w:tcW w:w="1424"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468"/>
              <w:spacing w:before="78" w:line="220" w:lineRule="auto"/>
              <w:rPr/>
            </w:pPr>
            <w:r>
              <w:rPr>
                <w:b/>
                <w:bCs/>
                <w:spacing w:val="-6"/>
              </w:rPr>
              <w:t>严重</w:t>
            </w:r>
          </w:p>
        </w:tc>
        <w:tc>
          <w:tcPr>
            <w:tcW w:w="7914" w:type="dxa"/>
            <w:vAlign w:val="top"/>
          </w:tcPr>
          <w:p>
            <w:pPr>
              <w:pStyle w:val="TableText"/>
              <w:ind w:left="110" w:right="103"/>
              <w:spacing w:before="153" w:line="296" w:lineRule="auto"/>
              <w:jc w:val="both"/>
              <w:rPr/>
            </w:pPr>
            <w:r>
              <w:rPr/>
              <w:t>疾病预防控制机构、医疗机构和从事病原微生物实</w:t>
            </w:r>
            <w:r>
              <w:rPr>
                <w:spacing w:val="-1"/>
              </w:rPr>
              <w:t>验的单位不符合国家规</w:t>
            </w:r>
            <w:r>
              <w:rPr/>
              <w:t xml:space="preserve"> </w:t>
            </w:r>
            <w:r>
              <w:rPr/>
              <w:t>定的条件和技术标准，对传染病病原体样本未按照规定进行严格管理，造</w:t>
            </w:r>
            <w:r>
              <w:rPr>
                <w:spacing w:val="8"/>
              </w:rPr>
              <w:t xml:space="preserve"> </w:t>
            </w:r>
            <w:r>
              <w:rPr>
                <w:spacing w:val="1"/>
              </w:rPr>
              <w:t>成实验室感染和病原微生物扩散，导致丙类传染病传播、流行的</w:t>
            </w:r>
          </w:p>
        </w:tc>
        <w:tc>
          <w:tcPr>
            <w:tcW w:w="4712" w:type="dxa"/>
            <w:vAlign w:val="top"/>
          </w:tcPr>
          <w:p>
            <w:pPr>
              <w:spacing w:line="310" w:lineRule="auto"/>
              <w:rPr>
                <w:rFonts w:ascii="Arial"/>
                <w:sz w:val="21"/>
              </w:rPr>
            </w:pPr>
            <w:r/>
          </w:p>
          <w:p>
            <w:pPr>
              <w:pStyle w:val="TableText"/>
              <w:ind w:left="96"/>
              <w:spacing w:before="78" w:line="218" w:lineRule="auto"/>
              <w:rPr/>
            </w:pPr>
            <w:r>
              <w:rPr/>
              <w:t>给予警告，已取得许可证的，依法暂扣许可</w:t>
            </w:r>
          </w:p>
          <w:p>
            <w:pPr>
              <w:pStyle w:val="TableText"/>
              <w:ind w:left="96"/>
              <w:spacing w:before="162" w:line="230" w:lineRule="auto"/>
              <w:rPr/>
            </w:pPr>
            <w:r>
              <w:rPr>
                <w:color w:val="404040"/>
              </w:rPr>
              <w:t>证</w:t>
            </w:r>
          </w:p>
        </w:tc>
      </w:tr>
      <w:tr>
        <w:trPr>
          <w:trHeight w:val="1317" w:hRule="atLeast"/>
        </w:trPr>
        <w:tc>
          <w:tcPr>
            <w:tcW w:w="1424" w:type="dxa"/>
            <w:vAlign w:val="top"/>
            <w:vMerge w:val="continue"/>
            <w:tcBorders>
              <w:top w:val="nil"/>
              <w:bottom w:val="nil"/>
            </w:tcBorders>
          </w:tcPr>
          <w:p>
            <w:pPr>
              <w:rPr>
                <w:rFonts w:ascii="Arial"/>
                <w:sz w:val="21"/>
              </w:rPr>
            </w:pPr>
            <w:r/>
          </w:p>
        </w:tc>
        <w:tc>
          <w:tcPr>
            <w:tcW w:w="7914" w:type="dxa"/>
            <w:vAlign w:val="top"/>
          </w:tcPr>
          <w:p>
            <w:pPr>
              <w:pStyle w:val="TableText"/>
              <w:ind w:left="91" w:right="100" w:firstLine="19"/>
              <w:spacing w:before="152" w:line="296" w:lineRule="auto"/>
              <w:jc w:val="both"/>
              <w:rPr/>
            </w:pPr>
            <w:r>
              <w:rPr/>
              <w:t>疾病预防控制机构、医疗机构和从事病原微生物实</w:t>
            </w:r>
            <w:r>
              <w:rPr>
                <w:spacing w:val="-1"/>
              </w:rPr>
              <w:t>验的单位不符合国家规</w:t>
            </w:r>
            <w:r>
              <w:rPr/>
              <w:t xml:space="preserve"> </w:t>
            </w:r>
            <w:r>
              <w:rPr>
                <w:spacing w:val="1"/>
              </w:rPr>
              <w:t>定的条件和技术标准，对传染病病原体样本未按照规定进行严格管理，实</w:t>
            </w:r>
            <w:r>
              <w:rPr/>
              <w:t xml:space="preserve"> </w:t>
            </w:r>
            <w:r>
              <w:rPr/>
              <w:t>验室感染和病原微生物扩散，导致乙类传染病传播、流行的</w:t>
            </w:r>
          </w:p>
        </w:tc>
        <w:tc>
          <w:tcPr>
            <w:tcW w:w="4712" w:type="dxa"/>
            <w:vAlign w:val="top"/>
          </w:tcPr>
          <w:p>
            <w:pPr>
              <w:spacing w:line="292" w:lineRule="auto"/>
              <w:rPr>
                <w:rFonts w:ascii="Arial"/>
                <w:sz w:val="21"/>
              </w:rPr>
            </w:pPr>
            <w:r/>
          </w:p>
          <w:p>
            <w:pPr>
              <w:pStyle w:val="TableText"/>
              <w:ind w:left="96"/>
              <w:spacing w:before="78" w:line="218" w:lineRule="auto"/>
              <w:rPr/>
            </w:pPr>
            <w:r>
              <w:rPr/>
              <w:t>给予警告，已取得许可证的，依法吊销许可</w:t>
            </w:r>
          </w:p>
          <w:p>
            <w:pPr>
              <w:pStyle w:val="TableText"/>
              <w:ind w:left="96"/>
              <w:spacing w:before="182" w:line="230" w:lineRule="auto"/>
              <w:rPr/>
            </w:pPr>
            <w:r>
              <w:rPr>
                <w:color w:val="404040"/>
              </w:rPr>
              <w:t>证</w:t>
            </w:r>
          </w:p>
        </w:tc>
      </w:tr>
      <w:tr>
        <w:trPr>
          <w:trHeight w:val="1323" w:hRule="atLeast"/>
        </w:trPr>
        <w:tc>
          <w:tcPr>
            <w:tcW w:w="1424" w:type="dxa"/>
            <w:vAlign w:val="top"/>
            <w:vMerge w:val="continue"/>
            <w:tcBorders>
              <w:top w:val="nil"/>
            </w:tcBorders>
          </w:tcPr>
          <w:p>
            <w:pPr>
              <w:rPr>
                <w:rFonts w:ascii="Arial"/>
                <w:sz w:val="21"/>
              </w:rPr>
            </w:pPr>
            <w:r/>
          </w:p>
        </w:tc>
        <w:tc>
          <w:tcPr>
            <w:tcW w:w="7914" w:type="dxa"/>
            <w:vAlign w:val="top"/>
          </w:tcPr>
          <w:p>
            <w:pPr>
              <w:pStyle w:val="TableText"/>
              <w:ind w:left="91" w:right="100" w:firstLine="19"/>
              <w:spacing w:before="146" w:line="299" w:lineRule="auto"/>
              <w:jc w:val="both"/>
              <w:rPr/>
            </w:pPr>
            <w:r>
              <w:rPr/>
              <w:t>疾病预防控制机构、医疗机构和从事病原微生物实</w:t>
            </w:r>
            <w:r>
              <w:rPr>
                <w:spacing w:val="-1"/>
              </w:rPr>
              <w:t>验的单位不符合国家规</w:t>
            </w:r>
            <w:r>
              <w:rPr/>
              <w:t xml:space="preserve"> </w:t>
            </w:r>
            <w:r>
              <w:rPr>
                <w:spacing w:val="1"/>
              </w:rPr>
              <w:t>定的条件和技术标准，对传染病病原体样本未按照规定进行严格管理，实</w:t>
            </w:r>
            <w:r>
              <w:rPr/>
              <w:t xml:space="preserve"> </w:t>
            </w:r>
            <w:r>
              <w:rPr/>
              <w:t>验室感染和病原微生物扩散，导致甲类传染病传播、流行的</w:t>
            </w:r>
          </w:p>
        </w:tc>
        <w:tc>
          <w:tcPr>
            <w:tcW w:w="4712" w:type="dxa"/>
            <w:vAlign w:val="top"/>
          </w:tcPr>
          <w:p>
            <w:pPr>
              <w:spacing w:line="287" w:lineRule="auto"/>
              <w:rPr>
                <w:rFonts w:ascii="Arial"/>
                <w:sz w:val="21"/>
              </w:rPr>
            </w:pPr>
            <w:r/>
          </w:p>
          <w:p>
            <w:pPr>
              <w:pStyle w:val="TableText"/>
              <w:ind w:left="96" w:right="34"/>
              <w:spacing w:before="78" w:line="356" w:lineRule="auto"/>
              <w:rPr/>
            </w:pPr>
            <w:r>
              <w:rPr/>
              <w:t>给予警告，已取得许可证的，依法吊销许可</w:t>
            </w:r>
            <w:r>
              <w:rPr>
                <w:spacing w:val="9"/>
              </w:rPr>
              <w:t xml:space="preserve"> </w:t>
            </w:r>
            <w:r>
              <w:rPr/>
              <w:t>证，依法吊销有关责任人员的执业证书</w:t>
            </w:r>
          </w:p>
        </w:tc>
      </w:tr>
    </w:tbl>
    <w:p>
      <w:pPr>
        <w:pStyle w:val="BodyText"/>
        <w:spacing w:line="405" w:lineRule="auto"/>
        <w:rPr/>
      </w:pPr>
      <w:r/>
    </w:p>
    <w:p>
      <w:pPr>
        <w:ind w:left="9" w:right="107" w:firstLine="670"/>
        <w:spacing w:before="98" w:line="270" w:lineRule="auto"/>
        <w:rPr>
          <w:rFonts w:ascii="FangSong" w:hAnsi="FangSong" w:eastAsia="FangSong" w:cs="FangSong"/>
          <w:sz w:val="30"/>
          <w:szCs w:val="30"/>
        </w:rPr>
      </w:pPr>
      <w:r>
        <w:rPr>
          <w:rFonts w:ascii="FangSong" w:hAnsi="FangSong" w:eastAsia="FangSong" w:cs="FangSong"/>
          <w:sz w:val="30"/>
          <w:szCs w:val="30"/>
          <w:b/>
          <w:bCs/>
          <w:spacing w:val="21"/>
        </w:rPr>
        <w:t>第二十一条违反国家有关规定，采集、保藏、携带、</w:t>
      </w:r>
      <w:r>
        <w:rPr>
          <w:rFonts w:ascii="FangSong" w:hAnsi="FangSong" w:eastAsia="FangSong" w:cs="FangSong"/>
          <w:sz w:val="30"/>
          <w:szCs w:val="30"/>
          <w:b/>
          <w:bCs/>
          <w:spacing w:val="20"/>
        </w:rPr>
        <w:t>运输和使用传染病菌种、毒种和传染病检</w:t>
      </w:r>
      <w:r>
        <w:rPr>
          <w:rFonts w:ascii="FangSong" w:hAnsi="FangSong" w:eastAsia="FangSong" w:cs="FangSong"/>
          <w:sz w:val="30"/>
          <w:szCs w:val="30"/>
        </w:rPr>
        <w:t xml:space="preserve"> </w:t>
      </w:r>
      <w:r>
        <w:rPr>
          <w:rFonts w:ascii="FangSong" w:hAnsi="FangSong" w:eastAsia="FangSong" w:cs="FangSong"/>
          <w:sz w:val="30"/>
          <w:szCs w:val="30"/>
          <w:b/>
          <w:bCs/>
          <w:spacing w:val="12"/>
        </w:rPr>
        <w:t>测样本的</w:t>
      </w:r>
    </w:p>
    <w:p>
      <w:pPr>
        <w:ind w:left="665"/>
        <w:spacing w:before="12"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54" w:right="4" w:firstLine="590"/>
        <w:spacing w:before="108" w:line="264" w:lineRule="auto"/>
        <w:rPr>
          <w:rFonts w:ascii="FangSong" w:hAnsi="FangSong" w:eastAsia="FangSong" w:cs="FangSong"/>
          <w:sz w:val="30"/>
          <w:szCs w:val="30"/>
        </w:rPr>
      </w:pPr>
      <w:r>
        <w:rPr>
          <w:rFonts w:ascii="FangSong" w:hAnsi="FangSong" w:eastAsia="FangSong" w:cs="FangSong"/>
          <w:sz w:val="30"/>
          <w:szCs w:val="30"/>
          <w:spacing w:val="22"/>
        </w:rPr>
        <w:t>《中华人民共和国传染病防治法》第七十四条第(二)项</w:t>
      </w:r>
      <w:r>
        <w:rPr>
          <w:rFonts w:ascii="FangSong" w:hAnsi="FangSong" w:eastAsia="FangSong" w:cs="FangSong"/>
          <w:sz w:val="30"/>
          <w:szCs w:val="30"/>
          <w:spacing w:val="22"/>
        </w:rPr>
        <w:t xml:space="preserve">   </w:t>
      </w:r>
      <w:r>
        <w:rPr>
          <w:rFonts w:ascii="FangSong" w:hAnsi="FangSong" w:eastAsia="FangSong" w:cs="FangSong"/>
          <w:sz w:val="30"/>
          <w:szCs w:val="30"/>
          <w:spacing w:val="22"/>
        </w:rPr>
        <w:t>违反本法规定，</w:t>
      </w:r>
      <w:r>
        <w:rPr>
          <w:rFonts w:ascii="FangSong" w:hAnsi="FangSong" w:eastAsia="FangSong" w:cs="FangSong"/>
          <w:sz w:val="30"/>
          <w:szCs w:val="30"/>
          <w:spacing w:val="21"/>
        </w:rPr>
        <w:t>有下列情形之一的，</w:t>
      </w:r>
      <w:r>
        <w:rPr>
          <w:rFonts w:ascii="FangSong" w:hAnsi="FangSong" w:eastAsia="FangSong" w:cs="FangSong"/>
          <w:sz w:val="30"/>
          <w:szCs w:val="30"/>
        </w:rPr>
        <w:t xml:space="preserve"> </w:t>
      </w:r>
      <w:r>
        <w:rPr>
          <w:rFonts w:ascii="FangSong" w:hAnsi="FangSong" w:eastAsia="FangSong" w:cs="FangSong"/>
          <w:sz w:val="30"/>
          <w:szCs w:val="30"/>
          <w:spacing w:val="16"/>
        </w:rPr>
        <w:t>由县级以上地方人民政府卫生行政部门责令改正，通报批评，给予警告，已取得许可证的</w:t>
      </w:r>
      <w:r>
        <w:rPr>
          <w:rFonts w:ascii="FangSong" w:hAnsi="FangSong" w:eastAsia="FangSong" w:cs="FangSong"/>
          <w:sz w:val="30"/>
          <w:szCs w:val="30"/>
          <w:spacing w:val="15"/>
        </w:rPr>
        <w:t>，可以依法</w:t>
      </w:r>
    </w:p>
    <w:p>
      <w:pPr>
        <w:spacing w:line="264" w:lineRule="auto"/>
        <w:sectPr>
          <w:footerReference w:type="default" r:id="rId92"/>
          <w:pgSz w:w="16830" w:h="11900"/>
          <w:pgMar w:top="1011" w:right="1335" w:bottom="1195" w:left="1434" w:header="0" w:footer="689" w:gutter="0"/>
        </w:sectPr>
        <w:rPr>
          <w:rFonts w:ascii="FangSong" w:hAnsi="FangSong" w:eastAsia="FangSong" w:cs="FangSong"/>
          <w:sz w:val="30"/>
          <w:szCs w:val="30"/>
        </w:rPr>
      </w:pPr>
    </w:p>
    <w:p>
      <w:pPr>
        <w:pStyle w:val="BodyText"/>
        <w:spacing w:line="267" w:lineRule="auto"/>
        <w:rPr/>
      </w:pPr>
      <w:r/>
    </w:p>
    <w:p>
      <w:pPr>
        <w:pStyle w:val="BodyText"/>
        <w:spacing w:line="268" w:lineRule="auto"/>
        <w:rPr/>
      </w:pPr>
      <w:r/>
    </w:p>
    <w:p>
      <w:pPr>
        <w:pStyle w:val="BodyText"/>
        <w:spacing w:line="268" w:lineRule="auto"/>
        <w:rPr/>
      </w:pPr>
      <w:r/>
    </w:p>
    <w:p>
      <w:pPr>
        <w:ind w:left="124"/>
        <w:spacing w:before="97" w:line="221" w:lineRule="auto"/>
        <w:outlineLvl w:val="1"/>
        <w:rPr>
          <w:rFonts w:ascii="FangSong" w:hAnsi="FangSong" w:eastAsia="FangSong" w:cs="FangSong"/>
          <w:sz w:val="30"/>
          <w:szCs w:val="30"/>
        </w:rPr>
      </w:pPr>
      <w:bookmarkStart w:name="bookmark186" w:id="51"/>
      <w:bookmarkEnd w:id="51"/>
      <w:bookmarkStart w:name="bookmark35" w:id="52"/>
      <w:bookmarkEnd w:id="52"/>
      <w:r>
        <w:rPr>
          <w:rFonts w:ascii="FangSong" w:hAnsi="FangSong" w:eastAsia="FangSong" w:cs="FangSong"/>
          <w:sz w:val="30"/>
          <w:szCs w:val="30"/>
          <w:spacing w:val="17"/>
        </w:rPr>
        <w:t>暂扣或者吊销许可证；造成传染病传播、流行以及其他严重后果的，对负有责任的主管人</w:t>
      </w:r>
      <w:r>
        <w:rPr>
          <w:rFonts w:ascii="FangSong" w:hAnsi="FangSong" w:eastAsia="FangSong" w:cs="FangSong"/>
          <w:sz w:val="30"/>
          <w:szCs w:val="30"/>
          <w:spacing w:val="16"/>
        </w:rPr>
        <w:t>员和其他直</w:t>
      </w:r>
    </w:p>
    <w:p>
      <w:pPr>
        <w:ind w:left="124" w:right="94"/>
        <w:spacing w:before="80" w:line="272" w:lineRule="auto"/>
        <w:rPr>
          <w:rFonts w:ascii="FangSong" w:hAnsi="FangSong" w:eastAsia="FangSong" w:cs="FangSong"/>
          <w:sz w:val="30"/>
          <w:szCs w:val="30"/>
        </w:rPr>
      </w:pPr>
      <w:r>
        <w:rPr>
          <w:rFonts w:ascii="FangSong" w:hAnsi="FangSong" w:eastAsia="FangSong" w:cs="FangSong"/>
          <w:sz w:val="30"/>
          <w:szCs w:val="30"/>
          <w:spacing w:val="17"/>
        </w:rPr>
        <w:t>接责任人员，依法给予降级、撤职、开除的处分，并可以依法吊销有关责任人员</w:t>
      </w:r>
      <w:r>
        <w:rPr>
          <w:rFonts w:ascii="FangSong" w:hAnsi="FangSong" w:eastAsia="FangSong" w:cs="FangSong"/>
          <w:sz w:val="30"/>
          <w:szCs w:val="30"/>
          <w:spacing w:val="16"/>
        </w:rPr>
        <w:t>的执业证书；构成犯</w:t>
      </w:r>
      <w:r>
        <w:rPr>
          <w:rFonts w:ascii="FangSong" w:hAnsi="FangSong" w:eastAsia="FangSong" w:cs="FangSong"/>
          <w:sz w:val="30"/>
          <w:szCs w:val="30"/>
        </w:rPr>
        <w:t xml:space="preserve"> </w:t>
      </w:r>
      <w:r>
        <w:rPr>
          <w:rFonts w:ascii="FangSong" w:hAnsi="FangSong" w:eastAsia="FangSong" w:cs="FangSong"/>
          <w:sz w:val="30"/>
          <w:szCs w:val="30"/>
          <w:spacing w:val="13"/>
        </w:rPr>
        <w:t>罪的，依法追究刑事责任：</w:t>
      </w:r>
    </w:p>
    <w:p>
      <w:pPr>
        <w:ind w:left="124" w:right="100" w:firstLine="799"/>
        <w:spacing w:before="2" w:line="260" w:lineRule="auto"/>
        <w:rPr>
          <w:rFonts w:ascii="SimSun" w:hAnsi="SimSun" w:eastAsia="SimSun" w:cs="SimSun"/>
          <w:sz w:val="30"/>
          <w:szCs w:val="30"/>
        </w:rPr>
      </w:pPr>
      <w:r>
        <w:rPr>
          <w:rFonts w:ascii="SimSun" w:hAnsi="SimSun" w:eastAsia="SimSun" w:cs="SimSun"/>
          <w:sz w:val="30"/>
          <w:szCs w:val="30"/>
          <w:spacing w:val="20"/>
        </w:rPr>
        <w:t>(二)违反国家有关规定，采集、保藏、携带、运输和使用传染病菌种、毒种和</w:t>
      </w:r>
      <w:r>
        <w:rPr>
          <w:rFonts w:ascii="SimSun" w:hAnsi="SimSun" w:eastAsia="SimSun" w:cs="SimSun"/>
          <w:sz w:val="30"/>
          <w:szCs w:val="30"/>
          <w:spacing w:val="19"/>
        </w:rPr>
        <w:t>传染病检测样本</w:t>
      </w:r>
      <w:r>
        <w:rPr>
          <w:rFonts w:ascii="SimSun" w:hAnsi="SimSun" w:eastAsia="SimSun" w:cs="SimSun"/>
          <w:sz w:val="30"/>
          <w:szCs w:val="30"/>
        </w:rPr>
        <w:t xml:space="preserve"> </w:t>
      </w:r>
      <w:r>
        <w:rPr>
          <w:rFonts w:ascii="SimSun" w:hAnsi="SimSun" w:eastAsia="SimSun" w:cs="SimSun"/>
          <w:sz w:val="30"/>
          <w:szCs w:val="30"/>
          <w:spacing w:val="-19"/>
        </w:rPr>
        <w:t>的</w:t>
      </w:r>
      <w:r>
        <w:rPr>
          <w:rFonts w:ascii="SimSun" w:hAnsi="SimSun" w:eastAsia="SimSun" w:cs="SimSun"/>
          <w:sz w:val="30"/>
          <w:szCs w:val="30"/>
          <w:spacing w:val="-53"/>
        </w:rPr>
        <w:t xml:space="preserve"> </w:t>
      </w:r>
      <w:r>
        <w:rPr>
          <w:rFonts w:ascii="SimSun" w:hAnsi="SimSun" w:eastAsia="SimSun" w:cs="SimSun"/>
          <w:sz w:val="30"/>
          <w:szCs w:val="30"/>
          <w:spacing w:val="-19"/>
        </w:rPr>
        <w:t>；</w:t>
      </w:r>
    </w:p>
    <w:p>
      <w:pPr>
        <w:ind w:left="6528"/>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34" w:lineRule="auto"/>
        <w:rPr>
          <w:rFonts w:ascii="Arial"/>
          <w:sz w:val="2"/>
        </w:rPr>
      </w:pPr>
      <w:r>
        <w:rPr>
          <w:rFonts w:ascii="Arial"/>
          <w:sz w:val="2"/>
        </w:r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82"/>
        <w:gridCol w:w="5386"/>
        <w:gridCol w:w="5381"/>
      </w:tblGrid>
      <w:tr>
        <w:trPr>
          <w:trHeight w:val="813" w:hRule="atLeast"/>
        </w:trPr>
        <w:tc>
          <w:tcPr>
            <w:tcW w:w="3382" w:type="dxa"/>
            <w:vAlign w:val="top"/>
          </w:tcPr>
          <w:p>
            <w:pPr>
              <w:pStyle w:val="TableText"/>
              <w:ind w:left="1108"/>
              <w:spacing w:before="29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5386" w:type="dxa"/>
            <w:vAlign w:val="top"/>
          </w:tcPr>
          <w:p>
            <w:pPr>
              <w:pStyle w:val="TableText"/>
              <w:ind w:left="2206"/>
              <w:spacing w:before="292" w:line="220" w:lineRule="auto"/>
              <w:rPr/>
            </w:pPr>
            <w:r>
              <w:rPr>
                <w:b/>
                <w:bCs/>
                <w:spacing w:val="-5"/>
              </w:rPr>
              <w:t>情节后果</w:t>
            </w:r>
          </w:p>
        </w:tc>
        <w:tc>
          <w:tcPr>
            <w:tcW w:w="5381" w:type="dxa"/>
            <w:vAlign w:val="top"/>
          </w:tcPr>
          <w:p>
            <w:pPr>
              <w:pStyle w:val="TableText"/>
              <w:ind w:left="2120"/>
              <w:spacing w:before="289" w:line="218" w:lineRule="auto"/>
              <w:rPr/>
            </w:pPr>
            <w:r>
              <w:rPr>
                <w:b/>
                <w:bCs/>
                <w:spacing w:val="-5"/>
              </w:rPr>
              <w:t>裁量幅度</w:t>
            </w:r>
          </w:p>
        </w:tc>
      </w:tr>
      <w:tr>
        <w:trPr>
          <w:trHeight w:val="1417" w:hRule="atLeast"/>
        </w:trPr>
        <w:tc>
          <w:tcPr>
            <w:tcW w:w="3382" w:type="dxa"/>
            <w:vAlign w:val="top"/>
          </w:tcPr>
          <w:p>
            <w:pPr>
              <w:spacing w:line="254" w:lineRule="auto"/>
              <w:rPr>
                <w:rFonts w:ascii="Arial"/>
                <w:sz w:val="21"/>
              </w:rPr>
            </w:pPr>
            <w:r/>
          </w:p>
          <w:p>
            <w:pPr>
              <w:spacing w:line="254" w:lineRule="auto"/>
              <w:rPr>
                <w:rFonts w:ascii="Arial"/>
                <w:sz w:val="21"/>
              </w:rPr>
            </w:pPr>
            <w:r/>
          </w:p>
          <w:p>
            <w:pPr>
              <w:pStyle w:val="TableText"/>
              <w:ind w:left="1448"/>
              <w:spacing w:before="78" w:line="221" w:lineRule="auto"/>
              <w:rPr/>
            </w:pPr>
            <w:r>
              <w:rPr>
                <w:b/>
                <w:bCs/>
                <w:spacing w:val="-10"/>
              </w:rPr>
              <w:t>一般</w:t>
            </w:r>
          </w:p>
        </w:tc>
        <w:tc>
          <w:tcPr>
            <w:tcW w:w="5386" w:type="dxa"/>
            <w:vAlign w:val="top"/>
          </w:tcPr>
          <w:p>
            <w:pPr>
              <w:pStyle w:val="TableText"/>
              <w:ind w:left="42" w:right="40"/>
              <w:spacing w:before="110" w:line="294" w:lineRule="auto"/>
              <w:rPr/>
            </w:pPr>
            <w:r>
              <w:rPr/>
              <w:t>违反国家有关规定，采集、保藏、携带、运输和使</w:t>
            </w:r>
            <w:r>
              <w:rPr>
                <w:spacing w:val="11"/>
              </w:rPr>
              <w:t xml:space="preserve"> </w:t>
            </w:r>
            <w:r>
              <w:rPr/>
              <w:t>用非高致病性传染病菌种、毒种和传染病检测样本</w:t>
            </w:r>
          </w:p>
          <w:p>
            <w:pPr>
              <w:pStyle w:val="TableText"/>
              <w:ind w:left="92"/>
              <w:spacing w:before="10" w:line="222" w:lineRule="auto"/>
              <w:rPr/>
            </w:pPr>
            <w:r>
              <w:rPr>
                <w:color w:val="507070"/>
              </w:rPr>
              <w:t>的</w:t>
            </w:r>
          </w:p>
        </w:tc>
        <w:tc>
          <w:tcPr>
            <w:tcW w:w="5381" w:type="dxa"/>
            <w:vAlign w:val="top"/>
          </w:tcPr>
          <w:p>
            <w:pPr>
              <w:spacing w:line="254" w:lineRule="auto"/>
              <w:rPr>
                <w:rFonts w:ascii="Arial"/>
                <w:sz w:val="21"/>
              </w:rPr>
            </w:pPr>
            <w:r/>
          </w:p>
          <w:p>
            <w:pPr>
              <w:spacing w:line="254" w:lineRule="auto"/>
              <w:rPr>
                <w:rFonts w:ascii="Arial"/>
                <w:sz w:val="21"/>
              </w:rPr>
            </w:pPr>
            <w:r/>
          </w:p>
          <w:p>
            <w:pPr>
              <w:pStyle w:val="TableText"/>
              <w:ind w:left="96"/>
              <w:spacing w:before="78" w:line="218" w:lineRule="auto"/>
              <w:rPr/>
            </w:pPr>
            <w:r>
              <w:rPr>
                <w:spacing w:val="2"/>
              </w:rPr>
              <w:t>通报批评、警告</w:t>
            </w:r>
          </w:p>
        </w:tc>
      </w:tr>
      <w:tr>
        <w:trPr>
          <w:trHeight w:val="1157" w:hRule="atLeast"/>
        </w:trPr>
        <w:tc>
          <w:tcPr>
            <w:tcW w:w="3382" w:type="dxa"/>
            <w:vAlign w:val="top"/>
            <w:vMerge w:val="restart"/>
            <w:tcBorders>
              <w:bottom w:val="nil"/>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444"/>
              <w:spacing w:before="78" w:line="220" w:lineRule="auto"/>
              <w:rPr/>
            </w:pPr>
            <w:r>
              <w:rPr>
                <w:spacing w:val="5"/>
              </w:rPr>
              <w:t>严重</w:t>
            </w:r>
          </w:p>
        </w:tc>
        <w:tc>
          <w:tcPr>
            <w:tcW w:w="5386" w:type="dxa"/>
            <w:vAlign w:val="top"/>
          </w:tcPr>
          <w:p>
            <w:pPr>
              <w:pStyle w:val="TableText"/>
              <w:ind w:left="42" w:right="34"/>
              <w:spacing w:before="153" w:line="325" w:lineRule="auto"/>
              <w:rPr/>
            </w:pPr>
            <w:r>
              <w:rPr/>
              <w:t>违反国家有关规定，采集、保藏、携带、运输和使</w:t>
            </w:r>
            <w:r>
              <w:rPr>
                <w:spacing w:val="11"/>
              </w:rPr>
              <w:t xml:space="preserve"> </w:t>
            </w:r>
            <w:r>
              <w:rPr/>
              <w:t>用高致病性传染病菌种、毒种和传染病检测样本的</w:t>
            </w:r>
          </w:p>
        </w:tc>
        <w:tc>
          <w:tcPr>
            <w:tcW w:w="5381" w:type="dxa"/>
            <w:vAlign w:val="top"/>
          </w:tcPr>
          <w:p>
            <w:pPr>
              <w:spacing w:line="273" w:lineRule="auto"/>
              <w:rPr>
                <w:rFonts w:ascii="Arial"/>
                <w:sz w:val="21"/>
              </w:rPr>
            </w:pPr>
            <w:r/>
          </w:p>
          <w:p>
            <w:pPr>
              <w:pStyle w:val="TableText"/>
              <w:ind w:left="96"/>
              <w:spacing w:before="78" w:line="218" w:lineRule="auto"/>
              <w:rPr/>
            </w:pPr>
            <w:r>
              <w:rPr/>
              <w:t>给予警告，已取得许可证的，依法暂扣许可证</w:t>
            </w:r>
          </w:p>
        </w:tc>
      </w:tr>
      <w:tr>
        <w:trPr>
          <w:trHeight w:val="1392" w:hRule="atLeast"/>
        </w:trPr>
        <w:tc>
          <w:tcPr>
            <w:tcW w:w="3382" w:type="dxa"/>
            <w:vAlign w:val="top"/>
            <w:vMerge w:val="continue"/>
            <w:tcBorders>
              <w:top w:val="nil"/>
            </w:tcBorders>
          </w:tcPr>
          <w:p>
            <w:pPr>
              <w:rPr>
                <w:rFonts w:ascii="Arial"/>
                <w:sz w:val="21"/>
              </w:rPr>
            </w:pPr>
            <w:r/>
          </w:p>
        </w:tc>
        <w:tc>
          <w:tcPr>
            <w:tcW w:w="5386" w:type="dxa"/>
            <w:vAlign w:val="top"/>
          </w:tcPr>
          <w:p>
            <w:pPr>
              <w:pStyle w:val="TableText"/>
              <w:ind w:left="42" w:right="40"/>
              <w:spacing w:before="86" w:line="305" w:lineRule="auto"/>
              <w:jc w:val="both"/>
              <w:rPr/>
            </w:pPr>
            <w:r>
              <w:rPr/>
              <w:t>违反国家有关规定，采集、保藏、携带、运输和使</w:t>
            </w:r>
            <w:r>
              <w:rPr>
                <w:spacing w:val="11"/>
              </w:rPr>
              <w:t xml:space="preserve"> </w:t>
            </w:r>
            <w:r>
              <w:rPr/>
              <w:t>用高致病性传染病菌种、毒种和传染病检测样本造</w:t>
            </w:r>
            <w:r>
              <w:rPr>
                <w:spacing w:val="8"/>
              </w:rPr>
              <w:t xml:space="preserve"> </w:t>
            </w:r>
            <w:r>
              <w:rPr>
                <w:spacing w:val="5"/>
              </w:rPr>
              <w:t>成传染病传播或其他严重后果</w:t>
            </w:r>
          </w:p>
        </w:tc>
        <w:tc>
          <w:tcPr>
            <w:tcW w:w="5381" w:type="dxa"/>
            <w:vAlign w:val="top"/>
          </w:tcPr>
          <w:p>
            <w:pPr>
              <w:spacing w:line="252" w:lineRule="auto"/>
              <w:rPr>
                <w:rFonts w:ascii="Arial"/>
                <w:sz w:val="21"/>
              </w:rPr>
            </w:pPr>
            <w:r/>
          </w:p>
          <w:p>
            <w:pPr>
              <w:spacing w:line="252" w:lineRule="auto"/>
              <w:rPr>
                <w:rFonts w:ascii="Arial"/>
                <w:sz w:val="21"/>
              </w:rPr>
            </w:pPr>
            <w:r/>
          </w:p>
          <w:p>
            <w:pPr>
              <w:pStyle w:val="TableText"/>
              <w:ind w:left="96"/>
              <w:spacing w:before="78" w:line="218" w:lineRule="auto"/>
              <w:rPr/>
            </w:pPr>
            <w:r>
              <w:rPr/>
              <w:t>给予警告，已取得许可证的，依法吊销许可证</w:t>
            </w:r>
          </w:p>
        </w:tc>
      </w:tr>
    </w:tbl>
    <w:p>
      <w:pPr>
        <w:pStyle w:val="BodyText"/>
        <w:rPr/>
      </w:pPr>
      <w:r/>
    </w:p>
    <w:p>
      <w:pPr>
        <w:sectPr>
          <w:footerReference w:type="default" r:id="rId93"/>
          <w:pgSz w:w="16830" w:h="11900"/>
          <w:pgMar w:top="1011" w:right="1344" w:bottom="1195" w:left="1325" w:header="0" w:footer="689" w:gutter="0"/>
        </w:sectPr>
        <w:rPr/>
      </w:pPr>
    </w:p>
    <w:p>
      <w:pPr>
        <w:spacing w:before="20"/>
        <w:rPr/>
      </w:pPr>
      <w:r/>
    </w:p>
    <w:p>
      <w:pPr>
        <w:spacing w:before="20"/>
        <w:rPr/>
      </w:pPr>
      <w:r/>
    </w:p>
    <w:p>
      <w:pPr>
        <w:spacing w:before="19"/>
        <w:rPr/>
      </w:pPr>
      <w:r/>
    </w:p>
    <w:tbl>
      <w:tblPr>
        <w:tblStyle w:val="TableNormal"/>
        <w:tblW w:w="14178"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92"/>
        <w:gridCol w:w="5386"/>
        <w:gridCol w:w="5400"/>
      </w:tblGrid>
      <w:tr>
        <w:trPr>
          <w:trHeight w:val="1450" w:hRule="atLeast"/>
        </w:trPr>
        <w:tc>
          <w:tcPr>
            <w:tcW w:w="3392" w:type="dxa"/>
            <w:vAlign w:val="top"/>
          </w:tcPr>
          <w:p>
            <w:pPr>
              <w:rPr>
                <w:rFonts w:ascii="Arial"/>
                <w:sz w:val="21"/>
              </w:rPr>
            </w:pPr>
            <w:r/>
          </w:p>
        </w:tc>
        <w:tc>
          <w:tcPr>
            <w:tcW w:w="5386" w:type="dxa"/>
            <w:vAlign w:val="top"/>
          </w:tcPr>
          <w:p>
            <w:pPr>
              <w:pStyle w:val="TableText"/>
              <w:ind w:left="43" w:right="40"/>
              <w:spacing w:before="123" w:line="309" w:lineRule="auto"/>
              <w:jc w:val="both"/>
              <w:rPr/>
            </w:pPr>
            <w:r>
              <w:rPr/>
              <w:t>违反国家有关规定，采集、保藏、携带、运输和使</w:t>
            </w:r>
            <w:r>
              <w:rPr>
                <w:spacing w:val="11"/>
              </w:rPr>
              <w:t xml:space="preserve"> </w:t>
            </w:r>
            <w:r>
              <w:rPr/>
              <w:t>用高致病性传染病菌种、毒种和传染病检测样本造</w:t>
            </w:r>
            <w:r>
              <w:rPr>
                <w:spacing w:val="8"/>
              </w:rPr>
              <w:t xml:space="preserve"> </w:t>
            </w:r>
            <w:r>
              <w:rPr>
                <w:spacing w:val="7"/>
              </w:rPr>
              <w:t>成传染病流行以及其他严重后果的</w:t>
            </w:r>
          </w:p>
        </w:tc>
        <w:tc>
          <w:tcPr>
            <w:tcW w:w="5400" w:type="dxa"/>
            <w:vAlign w:val="top"/>
          </w:tcPr>
          <w:p>
            <w:pPr>
              <w:pStyle w:val="TableText"/>
              <w:ind w:left="125" w:hanging="19"/>
              <w:spacing w:before="304" w:line="325" w:lineRule="auto"/>
              <w:rPr/>
            </w:pPr>
            <w:r>
              <w:rPr/>
              <w:t>给予警告，已取得许可证的，依法吊销许可证，依</w:t>
            </w:r>
            <w:r>
              <w:rPr>
                <w:spacing w:val="2"/>
              </w:rPr>
              <w:t xml:space="preserve"> </w:t>
            </w:r>
            <w:r>
              <w:rPr/>
              <w:t>法吊销有关责任人员的执业证书</w:t>
            </w:r>
          </w:p>
        </w:tc>
      </w:tr>
    </w:tbl>
    <w:p>
      <w:pPr>
        <w:pStyle w:val="BodyText"/>
        <w:spacing w:line="327" w:lineRule="auto"/>
        <w:rPr/>
      </w:pPr>
      <w:r/>
    </w:p>
    <w:p>
      <w:pPr>
        <w:pStyle w:val="BodyText"/>
        <w:spacing w:line="328" w:lineRule="auto"/>
        <w:rPr/>
      </w:pPr>
      <w:r/>
    </w:p>
    <w:p>
      <w:pPr>
        <w:ind w:left="129" w:right="100" w:firstLine="670"/>
        <w:spacing w:before="98" w:line="282" w:lineRule="auto"/>
        <w:rPr>
          <w:rFonts w:ascii="FangSong" w:hAnsi="FangSong" w:eastAsia="FangSong" w:cs="FangSong"/>
          <w:sz w:val="30"/>
          <w:szCs w:val="30"/>
        </w:rPr>
      </w:pPr>
      <w:r>
        <w:rPr>
          <w:rFonts w:ascii="FangSong" w:hAnsi="FangSong" w:eastAsia="FangSong" w:cs="FangSong"/>
          <w:sz w:val="30"/>
          <w:szCs w:val="30"/>
          <w:b/>
          <w:bCs/>
          <w:spacing w:val="21"/>
        </w:rPr>
        <w:t>第二十二条疾病预防控制机构、医疗机构未执行国家有关规定，导致因输入血液、使用</w:t>
      </w:r>
      <w:r>
        <w:rPr>
          <w:rFonts w:ascii="FangSong" w:hAnsi="FangSong" w:eastAsia="FangSong" w:cs="FangSong"/>
          <w:sz w:val="30"/>
          <w:szCs w:val="30"/>
          <w:b/>
          <w:bCs/>
          <w:spacing w:val="20"/>
        </w:rPr>
        <w:t>血液制</w:t>
      </w:r>
      <w:r>
        <w:rPr>
          <w:rFonts w:ascii="FangSong" w:hAnsi="FangSong" w:eastAsia="FangSong" w:cs="FangSong"/>
          <w:sz w:val="30"/>
          <w:szCs w:val="30"/>
        </w:rPr>
        <w:t xml:space="preserve"> </w:t>
      </w:r>
      <w:bookmarkStart w:name="bookmark765" w:id="53"/>
      <w:bookmarkEnd w:id="53"/>
      <w:r>
        <w:rPr>
          <w:rFonts w:ascii="FangSong" w:hAnsi="FangSong" w:eastAsia="FangSong" w:cs="FangSong"/>
          <w:sz w:val="30"/>
          <w:szCs w:val="30"/>
          <w:b/>
          <w:bCs/>
          <w:spacing w:val="13"/>
        </w:rPr>
        <w:t>品引起经血液传播疾病发生的</w:t>
      </w:r>
    </w:p>
    <w:p>
      <w:pPr>
        <w:ind w:left="785"/>
        <w:spacing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124" w:right="13" w:firstLine="619"/>
        <w:spacing w:before="77" w:line="271" w:lineRule="auto"/>
        <w:jc w:val="both"/>
        <w:rPr>
          <w:rFonts w:ascii="FangSong" w:hAnsi="FangSong" w:eastAsia="FangSong" w:cs="FangSong"/>
          <w:sz w:val="30"/>
          <w:szCs w:val="30"/>
        </w:rPr>
      </w:pPr>
      <w:r>
        <w:rPr>
          <w:rFonts w:ascii="FangSong" w:hAnsi="FangSong" w:eastAsia="FangSong" w:cs="FangSong"/>
          <w:sz w:val="30"/>
          <w:szCs w:val="30"/>
          <w:spacing w:val="22"/>
        </w:rPr>
        <w:t>《中华人民共和国传染病防治法》第七十四条第(三)项</w:t>
      </w:r>
      <w:r>
        <w:rPr>
          <w:rFonts w:ascii="FangSong" w:hAnsi="FangSong" w:eastAsia="FangSong" w:cs="FangSong"/>
          <w:sz w:val="30"/>
          <w:szCs w:val="30"/>
          <w:spacing w:val="22"/>
        </w:rPr>
        <w:t xml:space="preserve">   </w:t>
      </w:r>
      <w:r>
        <w:rPr>
          <w:rFonts w:ascii="FangSong" w:hAnsi="FangSong" w:eastAsia="FangSong" w:cs="FangSong"/>
          <w:sz w:val="30"/>
          <w:szCs w:val="30"/>
          <w:spacing w:val="22"/>
        </w:rPr>
        <w:t>违反本法规定，有下列情形之一的，</w:t>
      </w:r>
      <w:r>
        <w:rPr>
          <w:rFonts w:ascii="FangSong" w:hAnsi="FangSong" w:eastAsia="FangSong" w:cs="FangSong"/>
          <w:sz w:val="30"/>
          <w:szCs w:val="30"/>
          <w:spacing w:val="11"/>
        </w:rPr>
        <w:t xml:space="preserve"> </w:t>
      </w:r>
      <w:r>
        <w:rPr>
          <w:rFonts w:ascii="FangSong" w:hAnsi="FangSong" w:eastAsia="FangSong" w:cs="FangSong"/>
          <w:sz w:val="30"/>
          <w:szCs w:val="30"/>
          <w:spacing w:val="16"/>
        </w:rPr>
        <w:t>由县级以上地方人民政府卫生行政部门责令改正，通报批评，给</w:t>
      </w:r>
      <w:r>
        <w:rPr>
          <w:rFonts w:ascii="FangSong" w:hAnsi="FangSong" w:eastAsia="FangSong" w:cs="FangSong"/>
          <w:sz w:val="30"/>
          <w:szCs w:val="30"/>
          <w:spacing w:val="15"/>
        </w:rPr>
        <w:t>予警告，已取得许可证的，可以依法</w:t>
      </w:r>
      <w:r>
        <w:rPr>
          <w:rFonts w:ascii="FangSong" w:hAnsi="FangSong" w:eastAsia="FangSong" w:cs="FangSong"/>
          <w:sz w:val="30"/>
          <w:szCs w:val="30"/>
        </w:rPr>
        <w:t xml:space="preserve">  </w:t>
      </w:r>
      <w:r>
        <w:rPr>
          <w:rFonts w:ascii="FangSong" w:hAnsi="FangSong" w:eastAsia="FangSong" w:cs="FangSong"/>
          <w:sz w:val="30"/>
          <w:szCs w:val="30"/>
          <w:spacing w:val="17"/>
        </w:rPr>
        <w:t>暂扣或者吊销许可证；造成传染病传播、流</w:t>
      </w:r>
      <w:r>
        <w:rPr>
          <w:rFonts w:ascii="FangSong" w:hAnsi="FangSong" w:eastAsia="FangSong" w:cs="FangSong"/>
          <w:sz w:val="30"/>
          <w:szCs w:val="30"/>
          <w:spacing w:val="16"/>
        </w:rPr>
        <w:t>行以及其他严重后果的，对负有责任的主管人员和其他直</w:t>
      </w:r>
      <w:r>
        <w:rPr>
          <w:rFonts w:ascii="FangSong" w:hAnsi="FangSong" w:eastAsia="FangSong" w:cs="FangSong"/>
          <w:sz w:val="30"/>
          <w:szCs w:val="30"/>
        </w:rPr>
        <w:t xml:space="preserve"> </w:t>
      </w:r>
      <w:r>
        <w:rPr>
          <w:rFonts w:ascii="FangSong" w:hAnsi="FangSong" w:eastAsia="FangSong" w:cs="FangSong"/>
          <w:sz w:val="30"/>
          <w:szCs w:val="30"/>
          <w:spacing w:val="16"/>
        </w:rPr>
        <w:t>接责任人员，依法给予降级、撤职、开除的处分，并可以依法吊销有关责任人员的执业证书；构成犯</w:t>
      </w:r>
      <w:r>
        <w:rPr>
          <w:rFonts w:ascii="FangSong" w:hAnsi="FangSong" w:eastAsia="FangSong" w:cs="FangSong"/>
          <w:sz w:val="30"/>
          <w:szCs w:val="30"/>
          <w:spacing w:val="7"/>
        </w:rPr>
        <w:t xml:space="preserve">  </w:t>
      </w:r>
      <w:r>
        <w:rPr>
          <w:rFonts w:ascii="FangSong" w:hAnsi="FangSong" w:eastAsia="FangSong" w:cs="FangSong"/>
          <w:sz w:val="30"/>
          <w:szCs w:val="30"/>
          <w:spacing w:val="12"/>
        </w:rPr>
        <w:t>罪的，依法追究刑事责任：</w:t>
      </w:r>
    </w:p>
    <w:p>
      <w:pPr>
        <w:ind w:left="124" w:right="143" w:firstLine="769"/>
        <w:spacing w:before="3" w:line="261" w:lineRule="auto"/>
        <w:rPr>
          <w:rFonts w:ascii="FangSong" w:hAnsi="FangSong" w:eastAsia="FangSong" w:cs="FangSong"/>
          <w:sz w:val="30"/>
          <w:szCs w:val="30"/>
        </w:rPr>
      </w:pPr>
      <w:r>
        <w:rPr>
          <w:rFonts w:ascii="FangSong" w:hAnsi="FangSong" w:eastAsia="FangSong" w:cs="FangSong"/>
          <w:sz w:val="30"/>
          <w:szCs w:val="30"/>
          <w:spacing w:val="20"/>
        </w:rPr>
        <w:t>(三)疾病预防控制机构、医疗机构未执行国家有关规定，导致因输入血液、使用血液制品引起</w:t>
      </w:r>
      <w:r>
        <w:rPr>
          <w:rFonts w:ascii="FangSong" w:hAnsi="FangSong" w:eastAsia="FangSong" w:cs="FangSong"/>
          <w:sz w:val="30"/>
          <w:szCs w:val="30"/>
          <w:spacing w:val="9"/>
        </w:rPr>
        <w:t xml:space="preserve"> </w:t>
      </w:r>
      <w:r>
        <w:rPr>
          <w:rFonts w:ascii="FangSong" w:hAnsi="FangSong" w:eastAsia="FangSong" w:cs="FangSong"/>
          <w:sz w:val="30"/>
          <w:szCs w:val="30"/>
          <w:spacing w:val="10"/>
        </w:rPr>
        <w:t>经血液传播疾病发生的；</w:t>
      </w:r>
    </w:p>
    <w:p>
      <w:pPr>
        <w:ind w:left="6539"/>
        <w:spacing w:before="13"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70" w:type="dxa"/>
        <w:tblInd w:w="12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7924"/>
        <w:gridCol w:w="4532"/>
      </w:tblGrid>
      <w:tr>
        <w:trPr>
          <w:trHeight w:val="670" w:hRule="atLeast"/>
        </w:trPr>
        <w:tc>
          <w:tcPr>
            <w:tcW w:w="1414" w:type="dxa"/>
            <w:vAlign w:val="top"/>
          </w:tcPr>
          <w:p>
            <w:pPr>
              <w:pStyle w:val="TableText"/>
              <w:ind w:left="119"/>
              <w:spacing w:before="193" w:line="220" w:lineRule="auto"/>
              <w:rPr>
                <w:sz w:val="29"/>
                <w:szCs w:val="29"/>
              </w:rPr>
            </w:pPr>
            <w:r>
              <w:rPr>
                <w:sz w:val="29"/>
                <w:szCs w:val="29"/>
                <w:b/>
                <w:bCs/>
                <w:spacing w:val="-1"/>
              </w:rPr>
              <w:t>违法程度</w:t>
            </w:r>
          </w:p>
        </w:tc>
        <w:tc>
          <w:tcPr>
            <w:tcW w:w="7924" w:type="dxa"/>
            <w:vAlign w:val="top"/>
          </w:tcPr>
          <w:p>
            <w:pPr>
              <w:pStyle w:val="TableText"/>
              <w:ind w:left="3385"/>
              <w:spacing w:before="193" w:line="220" w:lineRule="auto"/>
              <w:rPr>
                <w:sz w:val="29"/>
                <w:szCs w:val="29"/>
              </w:rPr>
            </w:pPr>
            <w:r>
              <w:rPr>
                <w:sz w:val="29"/>
                <w:szCs w:val="29"/>
                <w:b/>
                <w:bCs/>
                <w:spacing w:val="-1"/>
              </w:rPr>
              <w:t>情节后果</w:t>
            </w:r>
          </w:p>
        </w:tc>
        <w:tc>
          <w:tcPr>
            <w:tcW w:w="4532" w:type="dxa"/>
            <w:vAlign w:val="top"/>
          </w:tcPr>
          <w:p>
            <w:pPr>
              <w:pStyle w:val="TableText"/>
              <w:ind w:left="1701"/>
              <w:spacing w:before="190" w:line="218" w:lineRule="auto"/>
              <w:rPr>
                <w:sz w:val="29"/>
                <w:szCs w:val="29"/>
              </w:rPr>
            </w:pPr>
            <w:r>
              <w:rPr>
                <w:sz w:val="29"/>
                <w:szCs w:val="29"/>
                <w:b/>
                <w:bCs/>
                <w:spacing w:val="-1"/>
              </w:rPr>
              <w:t>裁量幅度</w:t>
            </w:r>
          </w:p>
        </w:tc>
      </w:tr>
    </w:tbl>
    <w:p>
      <w:pPr>
        <w:pStyle w:val="BodyText"/>
        <w:rPr/>
      </w:pPr>
      <w:r/>
    </w:p>
    <w:p>
      <w:pPr>
        <w:sectPr>
          <w:footerReference w:type="default" r:id="rId94"/>
          <w:pgSz w:w="16830" w:h="11900"/>
          <w:pgMar w:top="1011" w:right="1326" w:bottom="1189" w:left="1314" w:header="0" w:footer="722" w:gutter="0"/>
        </w:sectPr>
        <w:rPr/>
      </w:pPr>
    </w:p>
    <w:p>
      <w:pPr>
        <w:spacing w:before="17"/>
        <w:rPr/>
      </w:pPr>
      <w:r/>
    </w:p>
    <w:p>
      <w:pPr>
        <w:spacing w:before="16"/>
        <w:rPr/>
      </w:pPr>
      <w:r/>
    </w:p>
    <w:p>
      <w:pPr>
        <w:spacing w:before="16"/>
        <w:rPr/>
      </w:pPr>
      <w:r/>
    </w:p>
    <w:tbl>
      <w:tblPr>
        <w:tblStyle w:val="TableNormal"/>
        <w:tblW w:w="138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904"/>
        <w:gridCol w:w="4552"/>
      </w:tblGrid>
      <w:tr>
        <w:trPr>
          <w:trHeight w:val="882" w:hRule="atLeast"/>
        </w:trPr>
        <w:tc>
          <w:tcPr>
            <w:tcW w:w="1424" w:type="dxa"/>
            <w:vAlign w:val="top"/>
          </w:tcPr>
          <w:p>
            <w:pPr>
              <w:spacing w:line="246" w:lineRule="auto"/>
              <w:rPr>
                <w:rFonts w:ascii="Arial"/>
                <w:sz w:val="21"/>
              </w:rPr>
            </w:pPr>
            <w:r/>
          </w:p>
          <w:p>
            <w:pPr>
              <w:pStyle w:val="TableText"/>
              <w:ind w:left="464"/>
              <w:spacing w:before="78" w:line="221" w:lineRule="auto"/>
              <w:rPr/>
            </w:pPr>
            <w:bookmarkStart w:name="bookmark766" w:id="54"/>
            <w:bookmarkEnd w:id="54"/>
            <w:r>
              <w:rPr>
                <w:spacing w:val="5"/>
              </w:rPr>
              <w:t>一般</w:t>
            </w:r>
          </w:p>
        </w:tc>
        <w:tc>
          <w:tcPr>
            <w:tcW w:w="7904" w:type="dxa"/>
            <w:vAlign w:val="top"/>
          </w:tcPr>
          <w:p>
            <w:pPr>
              <w:pStyle w:val="TableText"/>
              <w:ind w:left="90" w:right="121" w:firstLine="10"/>
              <w:spacing w:before="133" w:line="284" w:lineRule="auto"/>
              <w:rPr/>
            </w:pPr>
            <w:r>
              <w:rPr/>
              <w:t>疾病预防控制机构、医疗机构未执行国家有关规定</w:t>
            </w:r>
            <w:r>
              <w:rPr>
                <w:spacing w:val="-1"/>
              </w:rPr>
              <w:t>，存在导致经血液传播</w:t>
            </w:r>
            <w:r>
              <w:rPr/>
              <w:t xml:space="preserve"> </w:t>
            </w:r>
            <w:r>
              <w:rPr>
                <w:spacing w:val="3"/>
              </w:rPr>
              <w:t>疾病隐患的</w:t>
            </w:r>
          </w:p>
        </w:tc>
        <w:tc>
          <w:tcPr>
            <w:tcW w:w="4552" w:type="dxa"/>
            <w:vAlign w:val="top"/>
          </w:tcPr>
          <w:p>
            <w:pPr>
              <w:spacing w:line="243" w:lineRule="auto"/>
              <w:rPr>
                <w:rFonts w:ascii="Arial"/>
                <w:sz w:val="21"/>
              </w:rPr>
            </w:pPr>
            <w:r/>
          </w:p>
          <w:p>
            <w:pPr>
              <w:pStyle w:val="TableText"/>
              <w:ind w:left="126"/>
              <w:spacing w:before="78" w:line="218" w:lineRule="auto"/>
              <w:rPr/>
            </w:pPr>
            <w:r>
              <w:rPr>
                <w:spacing w:val="2"/>
              </w:rPr>
              <w:t>通报批评、警告</w:t>
            </w:r>
          </w:p>
        </w:tc>
      </w:tr>
      <w:tr>
        <w:trPr>
          <w:trHeight w:val="887" w:hRule="atLeast"/>
        </w:trPr>
        <w:tc>
          <w:tcPr>
            <w:tcW w:w="1424" w:type="dxa"/>
            <w:vAlign w:val="top"/>
            <w:vMerge w:val="restart"/>
            <w:tcBorders>
              <w:bottom w:val="nil"/>
            </w:tcBorders>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pStyle w:val="TableText"/>
              <w:ind w:left="468"/>
              <w:spacing w:before="78" w:line="220" w:lineRule="auto"/>
              <w:rPr/>
            </w:pPr>
            <w:r>
              <w:rPr>
                <w:b/>
                <w:bCs/>
                <w:spacing w:val="-6"/>
              </w:rPr>
              <w:t>严重</w:t>
            </w:r>
          </w:p>
        </w:tc>
        <w:tc>
          <w:tcPr>
            <w:tcW w:w="7904" w:type="dxa"/>
            <w:vAlign w:val="top"/>
          </w:tcPr>
          <w:p>
            <w:pPr>
              <w:pStyle w:val="TableText"/>
              <w:ind w:left="90" w:right="100" w:firstLine="10"/>
              <w:spacing w:before="141" w:line="283" w:lineRule="auto"/>
              <w:rPr/>
            </w:pPr>
            <w:r>
              <w:rPr/>
              <w:t>疾病预防控制机构、医疗机构未执行国家有关规定，导致因输入血液、使</w:t>
            </w:r>
            <w:r>
              <w:rPr>
                <w:spacing w:val="11"/>
              </w:rPr>
              <w:t xml:space="preserve"> </w:t>
            </w:r>
            <w:r>
              <w:rPr>
                <w:spacing w:val="1"/>
              </w:rPr>
              <w:t>用血液制品引起经血液传播疾病发生的</w:t>
            </w:r>
          </w:p>
        </w:tc>
        <w:tc>
          <w:tcPr>
            <w:tcW w:w="4552" w:type="dxa"/>
            <w:vAlign w:val="top"/>
          </w:tcPr>
          <w:p>
            <w:pPr>
              <w:pStyle w:val="TableText"/>
              <w:ind w:left="106"/>
              <w:spacing w:before="140" w:line="218" w:lineRule="auto"/>
              <w:rPr/>
            </w:pPr>
            <w:r>
              <w:rPr>
                <w:spacing w:val="-1"/>
              </w:rPr>
              <w:t>给予警告，已取得许可证的，依法暂扣许</w:t>
            </w:r>
          </w:p>
          <w:p>
            <w:pPr>
              <w:pStyle w:val="TableText"/>
              <w:ind w:left="126"/>
              <w:spacing w:before="183" w:line="207" w:lineRule="auto"/>
              <w:rPr/>
            </w:pPr>
            <w:r>
              <w:rPr>
                <w:color w:val="606060"/>
                <w:spacing w:val="5"/>
              </w:rPr>
              <w:t>可证</w:t>
            </w:r>
          </w:p>
        </w:tc>
      </w:tr>
      <w:tr>
        <w:trPr>
          <w:trHeight w:val="858" w:hRule="atLeast"/>
        </w:trPr>
        <w:tc>
          <w:tcPr>
            <w:tcW w:w="1424" w:type="dxa"/>
            <w:vAlign w:val="top"/>
            <w:vMerge w:val="continue"/>
            <w:tcBorders>
              <w:top w:val="nil"/>
              <w:bottom w:val="nil"/>
            </w:tcBorders>
          </w:tcPr>
          <w:p>
            <w:pPr>
              <w:rPr>
                <w:rFonts w:ascii="Arial"/>
                <w:sz w:val="21"/>
              </w:rPr>
            </w:pPr>
            <w:r/>
          </w:p>
        </w:tc>
        <w:tc>
          <w:tcPr>
            <w:tcW w:w="7904" w:type="dxa"/>
            <w:vAlign w:val="top"/>
          </w:tcPr>
          <w:p>
            <w:pPr>
              <w:pStyle w:val="TableText"/>
              <w:ind w:left="90" w:right="100" w:firstLine="10"/>
              <w:spacing w:before="145" w:line="270" w:lineRule="auto"/>
              <w:rPr/>
            </w:pPr>
            <w:r>
              <w:rPr/>
              <w:t>疾病预防控制机构、医疗机构未执行国家有关规定，导致因输入血液、使</w:t>
            </w:r>
            <w:r>
              <w:rPr>
                <w:spacing w:val="11"/>
              </w:rPr>
              <w:t xml:space="preserve"> </w:t>
            </w:r>
            <w:r>
              <w:rPr/>
              <w:t>用血液制品引起经血液传播疾病发生并造成传染病传播或其他严重后果</w:t>
            </w:r>
          </w:p>
        </w:tc>
        <w:tc>
          <w:tcPr>
            <w:tcW w:w="4552" w:type="dxa"/>
            <w:vAlign w:val="top"/>
          </w:tcPr>
          <w:p>
            <w:pPr>
              <w:pStyle w:val="TableText"/>
              <w:ind w:left="106"/>
              <w:spacing w:before="143" w:line="218" w:lineRule="auto"/>
              <w:rPr/>
            </w:pPr>
            <w:r>
              <w:rPr>
                <w:spacing w:val="-1"/>
              </w:rPr>
              <w:t>给予警告，已取得许可证的，依法吊销许</w:t>
            </w:r>
          </w:p>
          <w:p>
            <w:pPr>
              <w:pStyle w:val="TableText"/>
              <w:ind w:left="126"/>
              <w:spacing w:before="163" w:line="198" w:lineRule="auto"/>
              <w:rPr/>
            </w:pPr>
            <w:r>
              <w:rPr>
                <w:color w:val="404040"/>
                <w:spacing w:val="5"/>
              </w:rPr>
              <w:t>可证</w:t>
            </w:r>
          </w:p>
        </w:tc>
      </w:tr>
      <w:tr>
        <w:trPr>
          <w:trHeight w:val="883" w:hRule="atLeast"/>
        </w:trPr>
        <w:tc>
          <w:tcPr>
            <w:tcW w:w="1424" w:type="dxa"/>
            <w:vAlign w:val="top"/>
            <w:vMerge w:val="continue"/>
            <w:tcBorders>
              <w:top w:val="nil"/>
            </w:tcBorders>
          </w:tcPr>
          <w:p>
            <w:pPr>
              <w:rPr>
                <w:rFonts w:ascii="Arial"/>
                <w:sz w:val="21"/>
              </w:rPr>
            </w:pPr>
            <w:r/>
          </w:p>
        </w:tc>
        <w:tc>
          <w:tcPr>
            <w:tcW w:w="7904" w:type="dxa"/>
            <w:vAlign w:val="top"/>
          </w:tcPr>
          <w:p>
            <w:pPr>
              <w:pStyle w:val="TableText"/>
              <w:ind w:left="101" w:right="94"/>
              <w:spacing w:before="176" w:line="268" w:lineRule="auto"/>
              <w:rPr/>
            </w:pPr>
            <w:r>
              <w:rPr/>
              <w:t>疾病预防控制机构、医疗机构未执行国家有关规定，导致因输入血液、使</w:t>
            </w:r>
            <w:r>
              <w:rPr>
                <w:spacing w:val="11"/>
              </w:rPr>
              <w:t xml:space="preserve"> </w:t>
            </w:r>
            <w:r>
              <w:rPr/>
              <w:t>用血液制品引起经血液传播疾病发生造成传染病流行以及其他严重后果的</w:t>
            </w:r>
          </w:p>
        </w:tc>
        <w:tc>
          <w:tcPr>
            <w:tcW w:w="4552" w:type="dxa"/>
            <w:vAlign w:val="top"/>
          </w:tcPr>
          <w:p>
            <w:pPr>
              <w:pStyle w:val="TableText"/>
              <w:ind w:left="106" w:right="99"/>
              <w:spacing w:before="176" w:line="268" w:lineRule="auto"/>
              <w:rPr/>
            </w:pPr>
            <w:r>
              <w:rPr>
                <w:spacing w:val="-1"/>
              </w:rPr>
              <w:t>给予警告，已取得许可证的，依法吊销许</w:t>
            </w:r>
            <w:r>
              <w:rPr>
                <w:spacing w:val="6"/>
              </w:rPr>
              <w:t xml:space="preserve"> </w:t>
            </w:r>
            <w:r>
              <w:rPr/>
              <w:t>可证，依法吊销有关责任人员的执业证书</w:t>
            </w:r>
          </w:p>
        </w:tc>
      </w:tr>
    </w:tbl>
    <w:p>
      <w:pPr>
        <w:pStyle w:val="BodyText"/>
        <w:spacing w:line="334" w:lineRule="auto"/>
        <w:rPr/>
      </w:pPr>
      <w:r/>
    </w:p>
    <w:p>
      <w:pPr>
        <w:pStyle w:val="BodyText"/>
        <w:spacing w:line="335" w:lineRule="auto"/>
        <w:rPr/>
      </w:pPr>
      <w:r/>
    </w:p>
    <w:p>
      <w:pPr>
        <w:ind w:left="199"/>
        <w:spacing w:before="98" w:line="219" w:lineRule="auto"/>
        <w:rPr>
          <w:rFonts w:ascii="SimSun" w:hAnsi="SimSun" w:eastAsia="SimSun" w:cs="SimSun"/>
          <w:sz w:val="30"/>
          <w:szCs w:val="30"/>
        </w:rPr>
      </w:pPr>
      <w:r>
        <w:rPr>
          <w:rFonts w:ascii="SimSun" w:hAnsi="SimSun" w:eastAsia="SimSun" w:cs="SimSun"/>
          <w:sz w:val="30"/>
          <w:szCs w:val="30"/>
          <w:b/>
          <w:bCs/>
          <w:spacing w:val="22"/>
        </w:rPr>
        <w:t>(四)《中华人民共和国传染病防治法实施办法》</w:t>
      </w:r>
    </w:p>
    <w:p>
      <w:pPr>
        <w:pStyle w:val="BodyText"/>
        <w:spacing w:line="270" w:lineRule="auto"/>
        <w:rPr/>
      </w:pPr>
      <w:r/>
    </w:p>
    <w:p>
      <w:pPr>
        <w:pStyle w:val="BodyText"/>
        <w:spacing w:line="270" w:lineRule="auto"/>
        <w:rPr/>
      </w:pPr>
      <w:r/>
    </w:p>
    <w:p>
      <w:pPr>
        <w:ind w:left="669"/>
        <w:spacing w:before="97" w:line="221" w:lineRule="auto"/>
        <w:rPr>
          <w:rFonts w:ascii="FangSong" w:hAnsi="FangSong" w:eastAsia="FangSong" w:cs="FangSong"/>
          <w:sz w:val="30"/>
          <w:szCs w:val="30"/>
        </w:rPr>
      </w:pPr>
      <w:r>
        <w:rPr>
          <w:rFonts w:ascii="FangSong" w:hAnsi="FangSong" w:eastAsia="FangSong" w:cs="FangSong"/>
          <w:sz w:val="30"/>
          <w:szCs w:val="30"/>
          <w:b/>
          <w:bCs/>
          <w:spacing w:val="22"/>
        </w:rPr>
        <w:t>第二十三条对被传染病病原体污染的污水、污物、粪便不按规定进行消毒处理的</w:t>
      </w:r>
    </w:p>
    <w:p>
      <w:pPr>
        <w:ind w:left="695"/>
        <w:spacing w:before="126" w:line="222" w:lineRule="auto"/>
        <w:rPr>
          <w:rFonts w:ascii="FangSong" w:hAnsi="FangSong" w:eastAsia="FangSong" w:cs="FangSong"/>
          <w:sz w:val="26"/>
          <w:szCs w:val="26"/>
        </w:rPr>
      </w:pPr>
      <w:r>
        <w:rPr>
          <w:rFonts w:ascii="FangSong" w:hAnsi="FangSong" w:eastAsia="FangSong" w:cs="FangSong"/>
          <w:sz w:val="26"/>
          <w:szCs w:val="26"/>
          <w:spacing w:val="31"/>
        </w:rPr>
        <w:t>法律依据</w:t>
      </w:r>
      <w:r>
        <w:rPr>
          <w:rFonts w:ascii="FangSong" w:hAnsi="FangSong" w:eastAsia="FangSong" w:cs="FangSong"/>
          <w:sz w:val="26"/>
          <w:szCs w:val="26"/>
          <w:spacing w:val="-69"/>
        </w:rPr>
        <w:t xml:space="preserve"> </w:t>
      </w:r>
      <w:r>
        <w:rPr>
          <w:rFonts w:ascii="FangSong" w:hAnsi="FangSong" w:eastAsia="FangSong" w:cs="FangSong"/>
          <w:sz w:val="26"/>
          <w:szCs w:val="26"/>
          <w:spacing w:val="31"/>
        </w:rPr>
        <w:t>：</w:t>
      </w:r>
    </w:p>
    <w:p>
      <w:pPr>
        <w:ind w:left="14" w:firstLine="640"/>
        <w:spacing w:before="103" w:line="276" w:lineRule="auto"/>
        <w:jc w:val="both"/>
        <w:rPr>
          <w:rFonts w:ascii="FangSong" w:hAnsi="FangSong" w:eastAsia="FangSong" w:cs="FangSong"/>
          <w:sz w:val="26"/>
          <w:szCs w:val="26"/>
        </w:rPr>
      </w:pPr>
      <w:r>
        <w:rPr>
          <w:rFonts w:ascii="FangSong" w:hAnsi="FangSong" w:eastAsia="FangSong" w:cs="FangSong"/>
          <w:sz w:val="30"/>
          <w:szCs w:val="30"/>
          <w:spacing w:val="27"/>
        </w:rPr>
        <w:t>《中华人民共和国传染病防治法实施办法》第六十六条第一款第(四)项</w:t>
      </w:r>
      <w:r>
        <w:rPr>
          <w:rFonts w:ascii="FangSong" w:hAnsi="FangSong" w:eastAsia="FangSong" w:cs="FangSong"/>
          <w:sz w:val="30"/>
          <w:szCs w:val="30"/>
          <w:spacing w:val="26"/>
        </w:rPr>
        <w:t>、第二款</w:t>
      </w:r>
      <w:r>
        <w:rPr>
          <w:rFonts w:ascii="FangSong" w:hAnsi="FangSong" w:eastAsia="FangSong" w:cs="FangSong"/>
          <w:sz w:val="30"/>
          <w:szCs w:val="30"/>
          <w:spacing w:val="26"/>
        </w:rPr>
        <w:t xml:space="preserve">   </w:t>
      </w:r>
      <w:r>
        <w:rPr>
          <w:rFonts w:ascii="FangSong" w:hAnsi="FangSong" w:eastAsia="FangSong" w:cs="FangSong"/>
          <w:sz w:val="30"/>
          <w:szCs w:val="30"/>
          <w:spacing w:val="26"/>
        </w:rPr>
        <w:t>有下列行</w:t>
      </w:r>
      <w:r>
        <w:rPr>
          <w:rFonts w:ascii="FangSong" w:hAnsi="FangSong" w:eastAsia="FangSong" w:cs="FangSong"/>
          <w:sz w:val="30"/>
          <w:szCs w:val="30"/>
        </w:rPr>
        <w:t xml:space="preserve"> </w:t>
      </w:r>
      <w:r>
        <w:rPr>
          <w:rFonts w:ascii="FangSong" w:hAnsi="FangSong" w:eastAsia="FangSong" w:cs="FangSong"/>
          <w:sz w:val="30"/>
          <w:szCs w:val="30"/>
          <w:spacing w:val="19"/>
        </w:rPr>
        <w:t>为之一的，由县级以上政府卫生行政部门责令限期改正，可以</w:t>
      </w:r>
      <w:r>
        <w:rPr>
          <w:rFonts w:ascii="FangSong" w:hAnsi="FangSong" w:eastAsia="FangSong" w:cs="FangSong"/>
          <w:sz w:val="30"/>
          <w:szCs w:val="30"/>
          <w:spacing w:val="18"/>
        </w:rPr>
        <w:t>处五千元以下的罚款；情节较严重的，</w:t>
      </w:r>
      <w:r>
        <w:rPr>
          <w:rFonts w:ascii="FangSong" w:hAnsi="FangSong" w:eastAsia="FangSong" w:cs="FangSong"/>
          <w:sz w:val="30"/>
          <w:szCs w:val="30"/>
        </w:rPr>
        <w:t xml:space="preserve"> </w:t>
      </w:r>
      <w:r>
        <w:rPr>
          <w:rFonts w:ascii="FangSong" w:hAnsi="FangSong" w:eastAsia="FangSong" w:cs="FangSong"/>
          <w:sz w:val="30"/>
          <w:szCs w:val="30"/>
          <w:spacing w:val="17"/>
        </w:rPr>
        <w:t>可以处五千元以上二万元以下的罚款，对主管人员和直接责任人员由其所在单位或</w:t>
      </w:r>
      <w:r>
        <w:rPr>
          <w:rFonts w:ascii="FangSong" w:hAnsi="FangSong" w:eastAsia="FangSong" w:cs="FangSong"/>
          <w:sz w:val="30"/>
          <w:szCs w:val="30"/>
          <w:spacing w:val="16"/>
        </w:rPr>
        <w:t>者上级机关给予行</w:t>
      </w:r>
      <w:r>
        <w:rPr>
          <w:rFonts w:ascii="FangSong" w:hAnsi="FangSong" w:eastAsia="FangSong" w:cs="FangSong"/>
          <w:sz w:val="30"/>
          <w:szCs w:val="30"/>
        </w:rPr>
        <w:t xml:space="preserve"> </w:t>
      </w:r>
      <w:r>
        <w:rPr>
          <w:rFonts w:ascii="FangSong" w:hAnsi="FangSong" w:eastAsia="FangSong" w:cs="FangSong"/>
          <w:sz w:val="26"/>
          <w:szCs w:val="26"/>
          <w:spacing w:val="31"/>
        </w:rPr>
        <w:t>政处分</w:t>
      </w:r>
      <w:r>
        <w:rPr>
          <w:rFonts w:ascii="FangSong" w:hAnsi="FangSong" w:eastAsia="FangSong" w:cs="FangSong"/>
          <w:sz w:val="26"/>
          <w:szCs w:val="26"/>
          <w:spacing w:val="-57"/>
        </w:rPr>
        <w:t xml:space="preserve"> </w:t>
      </w:r>
      <w:r>
        <w:rPr>
          <w:rFonts w:ascii="FangSong" w:hAnsi="FangSong" w:eastAsia="FangSong" w:cs="FangSong"/>
          <w:sz w:val="26"/>
          <w:szCs w:val="26"/>
          <w:spacing w:val="31"/>
        </w:rPr>
        <w:t>：</w:t>
      </w:r>
    </w:p>
    <w:p>
      <w:pPr>
        <w:pStyle w:val="BodyText"/>
        <w:spacing w:line="277" w:lineRule="auto"/>
        <w:rPr/>
      </w:pPr>
      <w:r/>
    </w:p>
    <w:p>
      <w:pPr>
        <w:pStyle w:val="BodyText"/>
        <w:spacing w:line="278" w:lineRule="auto"/>
        <w:rPr/>
      </w:pPr>
      <w:r/>
    </w:p>
    <w:p>
      <w:pPr>
        <w:pStyle w:val="BodyText"/>
        <w:spacing w:line="278" w:lineRule="auto"/>
        <w:rPr/>
      </w:pPr>
      <w:r/>
    </w:p>
    <w:p>
      <w:pPr>
        <w:ind w:left="6424"/>
        <w:spacing w:before="126"/>
        <w:rPr>
          <w:rFonts w:ascii="SimSun" w:hAnsi="SimSun" w:eastAsia="SimSun" w:cs="SimSun"/>
          <w:sz w:val="39"/>
          <w:szCs w:val="39"/>
        </w:rPr>
      </w:pPr>
      <w:r>
        <w:rPr>
          <w:rFonts w:ascii="SimSun" w:hAnsi="SimSun" w:eastAsia="SimSun" w:cs="SimSun"/>
          <w:sz w:val="39"/>
          <w:szCs w:val="39"/>
          <w:spacing w:val="-10"/>
        </w:rPr>
        <w:t>—99—</w:t>
      </w:r>
    </w:p>
    <w:p>
      <w:pPr>
        <w:sectPr>
          <w:footerReference w:type="default" r:id="rId24"/>
          <w:pgSz w:w="16830" w:h="11900"/>
          <w:pgMar w:top="1011" w:right="1369" w:bottom="400" w:left="1425" w:header="0" w:footer="0" w:gutter="0"/>
        </w:sectPr>
        <w:rPr>
          <w:rFonts w:ascii="SimSun" w:hAnsi="SimSun" w:eastAsia="SimSun" w:cs="SimSun"/>
          <w:sz w:val="39"/>
          <w:szCs w:val="39"/>
        </w:rPr>
      </w:pPr>
    </w:p>
    <w:p>
      <w:pPr>
        <w:pStyle w:val="BodyText"/>
        <w:spacing w:line="264" w:lineRule="auto"/>
        <w:rPr/>
      </w:pPr>
      <w:r/>
    </w:p>
    <w:p>
      <w:pPr>
        <w:pStyle w:val="BodyText"/>
        <w:spacing w:line="264" w:lineRule="auto"/>
        <w:rPr/>
      </w:pPr>
      <w:r/>
    </w:p>
    <w:p>
      <w:pPr>
        <w:pStyle w:val="BodyText"/>
        <w:spacing w:line="264" w:lineRule="auto"/>
        <w:rPr/>
      </w:pPr>
      <w:r/>
    </w:p>
    <w:p>
      <w:pPr>
        <w:ind w:left="774" w:right="2609" w:firstLine="119"/>
        <w:spacing w:before="100" w:line="241" w:lineRule="auto"/>
        <w:rPr>
          <w:rFonts w:ascii="FangSong" w:hAnsi="FangSong" w:eastAsia="FangSong" w:cs="FangSong"/>
          <w:sz w:val="31"/>
          <w:szCs w:val="31"/>
        </w:rPr>
      </w:pPr>
      <w:r>
        <w:rPr>
          <w:rFonts w:ascii="FangSong" w:hAnsi="FangSong" w:eastAsia="FangSong" w:cs="FangSong"/>
          <w:sz w:val="31"/>
          <w:szCs w:val="31"/>
          <w:spacing w:val="12"/>
        </w:rPr>
        <w:t>(四)对被传染病病原体污染的污水、污物、粪便不按规定进行消毒处理的；</w:t>
      </w:r>
      <w:r>
        <w:rPr>
          <w:rFonts w:ascii="FangSong" w:hAnsi="FangSong" w:eastAsia="FangSong" w:cs="FangSong"/>
          <w:sz w:val="31"/>
          <w:szCs w:val="31"/>
          <w:spacing w:val="16"/>
        </w:rPr>
        <w:t xml:space="preserve"> </w:t>
      </w:r>
      <w:r>
        <w:rPr>
          <w:rFonts w:ascii="FangSong" w:hAnsi="FangSong" w:eastAsia="FangSong" w:cs="FangSong"/>
          <w:sz w:val="31"/>
          <w:szCs w:val="31"/>
          <w:spacing w:val="5"/>
        </w:rPr>
        <w:t>前款所称情节较严重的，是指下列情形之一：</w:t>
      </w:r>
    </w:p>
    <w:p>
      <w:pPr>
        <w:ind w:left="894"/>
        <w:spacing w:before="72" w:line="222" w:lineRule="auto"/>
        <w:rPr>
          <w:rFonts w:ascii="FangSong" w:hAnsi="FangSong" w:eastAsia="FangSong" w:cs="FangSong"/>
          <w:sz w:val="31"/>
          <w:szCs w:val="31"/>
        </w:rPr>
      </w:pPr>
      <w:r>
        <w:rPr>
          <w:rFonts w:ascii="FangSong" w:hAnsi="FangSong" w:eastAsia="FangSong" w:cs="FangSong"/>
          <w:sz w:val="31"/>
          <w:szCs w:val="31"/>
          <w:spacing w:val="14"/>
        </w:rPr>
        <w:t>(一)造成甲类传染病、艾滋病、肺炭疽传播危险的；</w:t>
      </w:r>
    </w:p>
    <w:p>
      <w:pPr>
        <w:ind w:left="894"/>
        <w:spacing w:before="74" w:line="221" w:lineRule="auto"/>
        <w:rPr>
          <w:rFonts w:ascii="FangSong" w:hAnsi="FangSong" w:eastAsia="FangSong" w:cs="FangSong"/>
          <w:sz w:val="31"/>
          <w:szCs w:val="31"/>
        </w:rPr>
      </w:pPr>
      <w:r>
        <w:rPr>
          <w:rFonts w:ascii="FangSong" w:hAnsi="FangSong" w:eastAsia="FangSong" w:cs="FangSong"/>
          <w:sz w:val="31"/>
          <w:szCs w:val="31"/>
          <w:spacing w:val="13"/>
        </w:rPr>
        <w:t>(二)造成除艾滋病、肺炭疽之外的乙、丙类传染病暴</w:t>
      </w:r>
      <w:r>
        <w:rPr>
          <w:rFonts w:ascii="FangSong" w:hAnsi="FangSong" w:eastAsia="FangSong" w:cs="FangSong"/>
          <w:sz w:val="31"/>
          <w:szCs w:val="31"/>
          <w:spacing w:val="12"/>
        </w:rPr>
        <w:t>发、流行的；</w:t>
      </w:r>
    </w:p>
    <w:p>
      <w:pPr>
        <w:ind w:left="894"/>
        <w:spacing w:before="78" w:line="221" w:lineRule="auto"/>
        <w:rPr>
          <w:rFonts w:ascii="FangSong" w:hAnsi="FangSong" w:eastAsia="FangSong" w:cs="FangSong"/>
          <w:sz w:val="31"/>
          <w:szCs w:val="31"/>
        </w:rPr>
      </w:pPr>
      <w:r>
        <w:rPr>
          <w:rFonts w:ascii="FangSong" w:hAnsi="FangSong" w:eastAsia="FangSong" w:cs="FangSong"/>
          <w:sz w:val="31"/>
          <w:szCs w:val="31"/>
          <w:spacing w:val="33"/>
        </w:rPr>
        <w:t>(三)造成传染病菌(毒)种扩散的；</w:t>
      </w:r>
    </w:p>
    <w:p>
      <w:pPr>
        <w:ind w:left="894"/>
        <w:spacing w:before="72" w:line="222" w:lineRule="auto"/>
        <w:rPr>
          <w:rFonts w:ascii="FangSong" w:hAnsi="FangSong" w:eastAsia="FangSong" w:cs="FangSong"/>
          <w:sz w:val="31"/>
          <w:szCs w:val="31"/>
        </w:rPr>
      </w:pPr>
      <w:r>
        <w:rPr>
          <w:rFonts w:ascii="FangSong" w:hAnsi="FangSong" w:eastAsia="FangSong" w:cs="FangSong"/>
          <w:sz w:val="31"/>
          <w:szCs w:val="31"/>
          <w:spacing w:val="16"/>
        </w:rPr>
        <w:t>(四)造成病人残废、死亡的；</w:t>
      </w:r>
    </w:p>
    <w:p>
      <w:pPr>
        <w:ind w:left="894"/>
        <w:spacing w:before="44" w:line="221" w:lineRule="auto"/>
        <w:rPr>
          <w:rFonts w:ascii="FangSong" w:hAnsi="FangSong" w:eastAsia="FangSong" w:cs="FangSong"/>
          <w:sz w:val="31"/>
          <w:szCs w:val="31"/>
        </w:rPr>
      </w:pPr>
      <w:r>
        <w:rPr>
          <w:rFonts w:ascii="FangSong" w:hAnsi="FangSong" w:eastAsia="FangSong" w:cs="FangSong"/>
          <w:sz w:val="31"/>
          <w:szCs w:val="31"/>
          <w:spacing w:val="13"/>
        </w:rPr>
        <w:t>(五)拒绝执行《传染病防治法》及本办法的规定，屡经教育仍继续违法的。</w:t>
      </w:r>
    </w:p>
    <w:p>
      <w:pPr>
        <w:ind w:left="6528"/>
        <w:spacing w:before="59"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9" w:lineRule="auto"/>
        <w:rPr>
          <w:rFonts w:ascii="Arial"/>
          <w:sz w:val="2"/>
        </w:rPr>
      </w:pPr>
      <w:r>
        <w:rPr>
          <w:rFonts w:ascii="Arial"/>
          <w:sz w:val="2"/>
        </w:r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82"/>
        <w:gridCol w:w="5386"/>
        <w:gridCol w:w="5381"/>
      </w:tblGrid>
      <w:tr>
        <w:trPr>
          <w:trHeight w:val="843" w:hRule="atLeast"/>
        </w:trPr>
        <w:tc>
          <w:tcPr>
            <w:tcW w:w="3382" w:type="dxa"/>
            <w:vAlign w:val="top"/>
          </w:tcPr>
          <w:p>
            <w:pPr>
              <w:pStyle w:val="TableText"/>
              <w:ind w:left="1108"/>
              <w:spacing w:before="30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5386" w:type="dxa"/>
            <w:vAlign w:val="top"/>
          </w:tcPr>
          <w:p>
            <w:pPr>
              <w:pStyle w:val="TableText"/>
              <w:ind w:left="2206"/>
              <w:spacing w:before="302" w:line="220" w:lineRule="auto"/>
              <w:rPr/>
            </w:pPr>
            <w:r>
              <w:rPr>
                <w:b/>
                <w:bCs/>
                <w:spacing w:val="-5"/>
              </w:rPr>
              <w:t>情节后果</w:t>
            </w:r>
          </w:p>
        </w:tc>
        <w:tc>
          <w:tcPr>
            <w:tcW w:w="5381" w:type="dxa"/>
            <w:vAlign w:val="top"/>
          </w:tcPr>
          <w:p>
            <w:pPr>
              <w:pStyle w:val="TableText"/>
              <w:ind w:left="2120"/>
              <w:spacing w:before="299" w:line="218" w:lineRule="auto"/>
              <w:rPr/>
            </w:pPr>
            <w:r>
              <w:rPr>
                <w:b/>
                <w:bCs/>
                <w:spacing w:val="-5"/>
              </w:rPr>
              <w:t>裁量幅度</w:t>
            </w:r>
          </w:p>
        </w:tc>
      </w:tr>
      <w:tr>
        <w:trPr>
          <w:trHeight w:val="1067" w:hRule="atLeast"/>
        </w:trPr>
        <w:tc>
          <w:tcPr>
            <w:tcW w:w="3382" w:type="dxa"/>
            <w:vAlign w:val="top"/>
          </w:tcPr>
          <w:p>
            <w:pPr>
              <w:pStyle w:val="TableText"/>
              <w:ind w:left="1444"/>
              <w:spacing w:before="292" w:line="219" w:lineRule="auto"/>
              <w:rPr/>
            </w:pPr>
            <w:r>
              <w:rPr>
                <w:spacing w:val="-3"/>
              </w:rPr>
              <w:t>较轻</w:t>
            </w:r>
          </w:p>
        </w:tc>
        <w:tc>
          <w:tcPr>
            <w:tcW w:w="5386" w:type="dxa"/>
            <w:vAlign w:val="top"/>
          </w:tcPr>
          <w:p>
            <w:pPr>
              <w:pStyle w:val="TableText"/>
              <w:ind w:left="81" w:right="61" w:hanging="39"/>
              <w:spacing w:before="100" w:line="326" w:lineRule="auto"/>
              <w:rPr/>
            </w:pPr>
            <w:r>
              <w:rPr>
                <w:spacing w:val="-1"/>
              </w:rPr>
              <w:t>对被传染病病原体污染的污水、污物、粪便不按规</w:t>
            </w:r>
            <w:r>
              <w:rPr>
                <w:spacing w:val="12"/>
              </w:rPr>
              <w:t xml:space="preserve"> </w:t>
            </w:r>
            <w:r>
              <w:rPr/>
              <w:t>定进行消毒处理，时间不足1个月。</w:t>
            </w:r>
          </w:p>
        </w:tc>
        <w:tc>
          <w:tcPr>
            <w:tcW w:w="5381" w:type="dxa"/>
            <w:vAlign w:val="top"/>
          </w:tcPr>
          <w:p>
            <w:pPr>
              <w:pStyle w:val="TableText"/>
              <w:ind w:left="106"/>
              <w:spacing w:before="302" w:line="220" w:lineRule="auto"/>
              <w:rPr/>
            </w:pPr>
            <w:r>
              <w:rPr/>
              <w:t>可以处2000元以下罚款。</w:t>
            </w:r>
          </w:p>
        </w:tc>
      </w:tr>
      <w:tr>
        <w:trPr>
          <w:trHeight w:val="1107" w:hRule="atLeast"/>
        </w:trPr>
        <w:tc>
          <w:tcPr>
            <w:tcW w:w="3382" w:type="dxa"/>
            <w:vAlign w:val="top"/>
          </w:tcPr>
          <w:p>
            <w:pPr>
              <w:spacing w:line="246" w:lineRule="auto"/>
              <w:rPr>
                <w:rFonts w:ascii="Arial"/>
                <w:sz w:val="21"/>
              </w:rPr>
            </w:pPr>
            <w:r/>
          </w:p>
          <w:p>
            <w:pPr>
              <w:pStyle w:val="TableText"/>
              <w:ind w:left="1444"/>
              <w:spacing w:before="78" w:line="221" w:lineRule="auto"/>
              <w:rPr/>
            </w:pPr>
            <w:r>
              <w:rPr>
                <w:spacing w:val="5"/>
              </w:rPr>
              <w:t>一般</w:t>
            </w:r>
          </w:p>
        </w:tc>
        <w:tc>
          <w:tcPr>
            <w:tcW w:w="5386" w:type="dxa"/>
            <w:vAlign w:val="top"/>
          </w:tcPr>
          <w:p>
            <w:pPr>
              <w:pStyle w:val="TableText"/>
              <w:ind w:left="121" w:right="61" w:hanging="79"/>
              <w:spacing w:before="104" w:line="364" w:lineRule="auto"/>
              <w:rPr/>
            </w:pPr>
            <w:r>
              <w:rPr>
                <w:spacing w:val="-1"/>
              </w:rPr>
              <w:t>对被传染病病原体污染的污水、污物、粪便不按规</w:t>
            </w:r>
            <w:r>
              <w:rPr>
                <w:spacing w:val="12"/>
              </w:rPr>
              <w:t xml:space="preserve"> </w:t>
            </w:r>
            <w:r>
              <w:rPr/>
              <w:t>定进行消毒处理，时间在1个月以上。</w:t>
            </w:r>
          </w:p>
        </w:tc>
        <w:tc>
          <w:tcPr>
            <w:tcW w:w="5381" w:type="dxa"/>
            <w:vAlign w:val="top"/>
          </w:tcPr>
          <w:p>
            <w:pPr>
              <w:spacing w:line="246" w:lineRule="auto"/>
              <w:rPr>
                <w:rFonts w:ascii="Arial"/>
                <w:sz w:val="21"/>
              </w:rPr>
            </w:pPr>
            <w:r/>
          </w:p>
          <w:p>
            <w:pPr>
              <w:pStyle w:val="TableText"/>
              <w:ind w:left="106"/>
              <w:spacing w:before="78" w:line="220" w:lineRule="auto"/>
              <w:rPr/>
            </w:pPr>
            <w:r>
              <w:rPr/>
              <w:t>可以处2000元以上5000元以下罚款。</w:t>
            </w:r>
          </w:p>
        </w:tc>
      </w:tr>
      <w:tr>
        <w:trPr>
          <w:trHeight w:val="842" w:hRule="atLeast"/>
        </w:trPr>
        <w:tc>
          <w:tcPr>
            <w:tcW w:w="3382" w:type="dxa"/>
            <w:vAlign w:val="top"/>
          </w:tcPr>
          <w:p>
            <w:pPr>
              <w:pStyle w:val="TableText"/>
              <w:ind w:left="1444"/>
              <w:spacing w:before="181" w:line="221" w:lineRule="auto"/>
              <w:rPr/>
            </w:pPr>
            <w:r>
              <w:rPr>
                <w:spacing w:val="5"/>
              </w:rPr>
              <w:t>较重</w:t>
            </w:r>
          </w:p>
        </w:tc>
        <w:tc>
          <w:tcPr>
            <w:tcW w:w="5386" w:type="dxa"/>
            <w:vAlign w:val="top"/>
          </w:tcPr>
          <w:p>
            <w:pPr>
              <w:pStyle w:val="TableText"/>
              <w:spacing w:before="186" w:line="219" w:lineRule="auto"/>
              <w:jc w:val="right"/>
              <w:rPr/>
            </w:pPr>
            <w:r>
              <w:rPr>
                <w:spacing w:val="-1"/>
              </w:rPr>
              <w:t>本办法第六十六条第二款规定的情形之一的行为。</w:t>
            </w:r>
          </w:p>
        </w:tc>
        <w:tc>
          <w:tcPr>
            <w:tcW w:w="5381" w:type="dxa"/>
            <w:vAlign w:val="top"/>
          </w:tcPr>
          <w:p>
            <w:pPr>
              <w:pStyle w:val="TableText"/>
              <w:ind w:left="106"/>
              <w:spacing w:before="188" w:line="220" w:lineRule="auto"/>
              <w:rPr/>
            </w:pPr>
            <w:r>
              <w:rPr/>
              <w:t>可以处5000元以上2万元以下罚款。</w:t>
            </w:r>
          </w:p>
        </w:tc>
      </w:tr>
    </w:tbl>
    <w:p>
      <w:pPr>
        <w:pStyle w:val="BodyText"/>
        <w:rPr/>
      </w:pPr>
      <w:r/>
    </w:p>
    <w:p>
      <w:pPr>
        <w:sectPr>
          <w:footerReference w:type="default" r:id="rId95"/>
          <w:pgSz w:w="16830" w:h="11900"/>
          <w:pgMar w:top="1011" w:right="1344" w:bottom="1117" w:left="1325" w:header="0" w:footer="784" w:gutter="0"/>
        </w:sectPr>
        <w:rPr/>
      </w:pPr>
    </w:p>
    <w:p>
      <w:pPr>
        <w:pStyle w:val="BodyText"/>
        <w:spacing w:line="258" w:lineRule="auto"/>
        <w:rPr/>
      </w:pPr>
      <w:r/>
    </w:p>
    <w:p>
      <w:pPr>
        <w:pStyle w:val="BodyText"/>
        <w:spacing w:line="259" w:lineRule="auto"/>
        <w:rPr/>
      </w:pPr>
      <w:r/>
    </w:p>
    <w:p>
      <w:pPr>
        <w:pStyle w:val="BodyText"/>
        <w:spacing w:line="259" w:lineRule="auto"/>
        <w:rPr/>
      </w:pPr>
      <w:r/>
    </w:p>
    <w:p>
      <w:pPr>
        <w:ind w:left="654"/>
        <w:spacing w:before="98" w:line="223" w:lineRule="auto"/>
        <w:outlineLvl w:val="1"/>
        <w:rPr>
          <w:rFonts w:ascii="KaiTi" w:hAnsi="KaiTi" w:eastAsia="KaiTi" w:cs="KaiTi"/>
          <w:sz w:val="30"/>
          <w:szCs w:val="30"/>
        </w:rPr>
      </w:pPr>
      <w:bookmarkStart w:name="bookmark767" w:id="55"/>
      <w:bookmarkEnd w:id="55"/>
      <w:bookmarkStart w:name="bookmark35" w:id="56"/>
      <w:bookmarkEnd w:id="56"/>
      <w:r>
        <w:rPr>
          <w:rFonts w:ascii="KaiTi" w:hAnsi="KaiTi" w:eastAsia="KaiTi" w:cs="KaiTi"/>
          <w:sz w:val="30"/>
          <w:szCs w:val="30"/>
          <w:b/>
          <w:bCs/>
          <w:spacing w:val="20"/>
        </w:rPr>
        <w:t>第二十四条对被甲类和乙类传染病病人、病原携带者、疑似传染病病人污染的场所、物品</w:t>
      </w:r>
      <w:r>
        <w:rPr>
          <w:rFonts w:ascii="KaiTi" w:hAnsi="KaiTi" w:eastAsia="KaiTi" w:cs="KaiTi"/>
          <w:sz w:val="30"/>
          <w:szCs w:val="30"/>
          <w:b/>
          <w:bCs/>
          <w:spacing w:val="19"/>
        </w:rPr>
        <w:t>未按</w:t>
      </w:r>
    </w:p>
    <w:p>
      <w:pPr>
        <w:ind w:left="4"/>
        <w:spacing w:before="115" w:line="228" w:lineRule="auto"/>
        <w:rPr>
          <w:rFonts w:ascii="KaiTi" w:hAnsi="KaiTi" w:eastAsia="KaiTi" w:cs="KaiTi"/>
          <w:sz w:val="30"/>
          <w:szCs w:val="30"/>
        </w:rPr>
      </w:pPr>
      <w:r>
        <w:rPr>
          <w:rFonts w:ascii="KaiTi" w:hAnsi="KaiTi" w:eastAsia="KaiTi" w:cs="KaiTi"/>
          <w:sz w:val="30"/>
          <w:szCs w:val="30"/>
          <w:b/>
          <w:bCs/>
          <w:spacing w:val="15"/>
        </w:rPr>
        <w:t>照卫生防疫机构的要求实施必要的卫生处理的</w:t>
      </w:r>
    </w:p>
    <w:p>
      <w:pPr>
        <w:ind w:left="649"/>
        <w:spacing w:before="6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firstLine="629"/>
        <w:spacing w:before="66" w:line="269" w:lineRule="auto"/>
        <w:jc w:val="both"/>
        <w:rPr>
          <w:rFonts w:ascii="FangSong" w:hAnsi="FangSong" w:eastAsia="FangSong" w:cs="FangSong"/>
          <w:sz w:val="30"/>
          <w:szCs w:val="30"/>
        </w:rPr>
      </w:pPr>
      <w:r>
        <w:rPr>
          <w:rFonts w:ascii="FangSong" w:hAnsi="FangSong" w:eastAsia="FangSong" w:cs="FangSong"/>
          <w:sz w:val="30"/>
          <w:szCs w:val="30"/>
          <w:spacing w:val="27"/>
        </w:rPr>
        <w:t>《中华人民共和国传染病防治法实施办法》第六十</w:t>
      </w:r>
      <w:r>
        <w:rPr>
          <w:rFonts w:ascii="FangSong" w:hAnsi="FangSong" w:eastAsia="FangSong" w:cs="FangSong"/>
          <w:sz w:val="30"/>
          <w:szCs w:val="30"/>
          <w:spacing w:val="26"/>
        </w:rPr>
        <w:t>六条第一款第(五)项、第二款</w:t>
      </w:r>
      <w:r>
        <w:rPr>
          <w:rFonts w:ascii="FangSong" w:hAnsi="FangSong" w:eastAsia="FangSong" w:cs="FangSong"/>
          <w:sz w:val="30"/>
          <w:szCs w:val="30"/>
          <w:spacing w:val="26"/>
        </w:rPr>
        <w:t xml:space="preserve">   </w:t>
      </w:r>
      <w:r>
        <w:rPr>
          <w:rFonts w:ascii="FangSong" w:hAnsi="FangSong" w:eastAsia="FangSong" w:cs="FangSong"/>
          <w:sz w:val="30"/>
          <w:szCs w:val="30"/>
          <w:spacing w:val="26"/>
        </w:rPr>
        <w:t>有下列行</w:t>
      </w:r>
      <w:r>
        <w:rPr>
          <w:rFonts w:ascii="FangSong" w:hAnsi="FangSong" w:eastAsia="FangSong" w:cs="FangSong"/>
          <w:sz w:val="30"/>
          <w:szCs w:val="30"/>
        </w:rPr>
        <w:t xml:space="preserve"> </w:t>
      </w:r>
      <w:r>
        <w:rPr>
          <w:rFonts w:ascii="FangSong" w:hAnsi="FangSong" w:eastAsia="FangSong" w:cs="FangSong"/>
          <w:sz w:val="30"/>
          <w:szCs w:val="30"/>
          <w:spacing w:val="18"/>
        </w:rPr>
        <w:t>为之一的，由县级以上政府卫生行政部门责令限期改正，可以处五千元以下的罚款；情节较严重的，</w:t>
      </w:r>
      <w:r>
        <w:rPr>
          <w:rFonts w:ascii="FangSong" w:hAnsi="FangSong" w:eastAsia="FangSong" w:cs="FangSong"/>
          <w:sz w:val="30"/>
          <w:szCs w:val="30"/>
          <w:spacing w:val="17"/>
        </w:rPr>
        <w:t xml:space="preserve"> </w:t>
      </w:r>
      <w:r>
        <w:rPr>
          <w:rFonts w:ascii="FangSong" w:hAnsi="FangSong" w:eastAsia="FangSong" w:cs="FangSong"/>
          <w:sz w:val="30"/>
          <w:szCs w:val="30"/>
          <w:spacing w:val="16"/>
        </w:rPr>
        <w:t>可以处五千元以上二万元以下的罚款，对主管人员和直接责任人员由其所在单位或者上级机关给予行</w:t>
      </w:r>
      <w:r>
        <w:rPr>
          <w:rFonts w:ascii="FangSong" w:hAnsi="FangSong" w:eastAsia="FangSong" w:cs="FangSong"/>
          <w:sz w:val="30"/>
          <w:szCs w:val="30"/>
          <w:spacing w:val="16"/>
        </w:rPr>
        <w:t xml:space="preserve"> </w:t>
      </w:r>
      <w:r>
        <w:rPr>
          <w:rFonts w:ascii="FangSong" w:hAnsi="FangSong" w:eastAsia="FangSong" w:cs="FangSong"/>
          <w:sz w:val="30"/>
          <w:szCs w:val="30"/>
          <w:spacing w:val="2"/>
        </w:rPr>
        <w:t>政处分：</w:t>
      </w:r>
    </w:p>
    <w:p>
      <w:pPr>
        <w:ind w:right="85" w:firstLine="779"/>
        <w:spacing w:before="1" w:line="271" w:lineRule="auto"/>
        <w:rPr>
          <w:rFonts w:ascii="FangSong" w:hAnsi="FangSong" w:eastAsia="FangSong" w:cs="FangSong"/>
          <w:sz w:val="30"/>
          <w:szCs w:val="30"/>
        </w:rPr>
      </w:pPr>
      <w:r>
        <w:rPr>
          <w:rFonts w:ascii="FangSong" w:hAnsi="FangSong" w:eastAsia="FangSong" w:cs="FangSong"/>
          <w:sz w:val="30"/>
          <w:szCs w:val="30"/>
          <w:spacing w:val="20"/>
        </w:rPr>
        <w:t>(五)对被甲类和乙类传染病病人、病原携带者、疑似传染病病人污染的场所、物品未按照卫生</w:t>
      </w:r>
      <w:r>
        <w:rPr>
          <w:rFonts w:ascii="FangSong" w:hAnsi="FangSong" w:eastAsia="FangSong" w:cs="FangSong"/>
          <w:sz w:val="30"/>
          <w:szCs w:val="30"/>
          <w:spacing w:val="3"/>
        </w:rPr>
        <w:t xml:space="preserve"> </w:t>
      </w:r>
      <w:r>
        <w:rPr>
          <w:rFonts w:ascii="FangSong" w:hAnsi="FangSong" w:eastAsia="FangSong" w:cs="FangSong"/>
          <w:sz w:val="30"/>
          <w:szCs w:val="30"/>
          <w:spacing w:val="14"/>
        </w:rPr>
        <w:t>防疫机构的要求实施必要的卫生处理的；</w:t>
      </w:r>
    </w:p>
    <w:p>
      <w:pPr>
        <w:ind w:left="649"/>
        <w:spacing w:before="1" w:line="220" w:lineRule="auto"/>
        <w:rPr>
          <w:rFonts w:ascii="FangSong" w:hAnsi="FangSong" w:eastAsia="FangSong" w:cs="FangSong"/>
          <w:sz w:val="30"/>
          <w:szCs w:val="30"/>
        </w:rPr>
      </w:pPr>
      <w:r>
        <w:rPr>
          <w:rFonts w:ascii="FangSong" w:hAnsi="FangSong" w:eastAsia="FangSong" w:cs="FangSong"/>
          <w:sz w:val="30"/>
          <w:szCs w:val="30"/>
          <w:spacing w:val="14"/>
        </w:rPr>
        <w:t>前款所称情节较严重的，是指下列情形之一：</w:t>
      </w:r>
    </w:p>
    <w:p>
      <w:pPr>
        <w:ind w:left="779"/>
        <w:spacing w:before="94" w:line="222" w:lineRule="auto"/>
        <w:rPr>
          <w:rFonts w:ascii="FangSong" w:hAnsi="FangSong" w:eastAsia="FangSong" w:cs="FangSong"/>
          <w:sz w:val="30"/>
          <w:szCs w:val="30"/>
        </w:rPr>
      </w:pPr>
      <w:r>
        <w:rPr>
          <w:rFonts w:ascii="FangSong" w:hAnsi="FangSong" w:eastAsia="FangSong" w:cs="FangSong"/>
          <w:sz w:val="30"/>
          <w:szCs w:val="30"/>
          <w:spacing w:val="22"/>
        </w:rPr>
        <w:t>(一)造成甲类传染病、艾滋病、肺炭疽传播危险的；</w:t>
      </w:r>
    </w:p>
    <w:p>
      <w:pPr>
        <w:ind w:left="779"/>
        <w:spacing w:before="76" w:line="221" w:lineRule="auto"/>
        <w:rPr>
          <w:rFonts w:ascii="FangSong" w:hAnsi="FangSong" w:eastAsia="FangSong" w:cs="FangSong"/>
          <w:sz w:val="30"/>
          <w:szCs w:val="30"/>
        </w:rPr>
      </w:pPr>
      <w:r>
        <w:rPr>
          <w:rFonts w:ascii="FangSong" w:hAnsi="FangSong" w:eastAsia="FangSong" w:cs="FangSong"/>
          <w:sz w:val="30"/>
          <w:szCs w:val="30"/>
          <w:spacing w:val="22"/>
        </w:rPr>
        <w:t>(二)造成除艾滋病、肺炭疽之外的乙、丙类传染病暴发、流行的；</w:t>
      </w:r>
    </w:p>
    <w:p>
      <w:pPr>
        <w:ind w:left="779"/>
        <w:spacing w:before="71" w:line="221" w:lineRule="auto"/>
        <w:rPr>
          <w:rFonts w:ascii="FangSong" w:hAnsi="FangSong" w:eastAsia="FangSong" w:cs="FangSong"/>
          <w:sz w:val="30"/>
          <w:szCs w:val="30"/>
        </w:rPr>
      </w:pPr>
      <w:r>
        <w:rPr>
          <w:rFonts w:ascii="FangSong" w:hAnsi="FangSong" w:eastAsia="FangSong" w:cs="FangSong"/>
          <w:sz w:val="30"/>
          <w:szCs w:val="30"/>
          <w:spacing w:val="41"/>
        </w:rPr>
        <w:t>(三)造成传染病菌(毒)种扩散的；</w:t>
      </w:r>
    </w:p>
    <w:p>
      <w:pPr>
        <w:ind w:left="779"/>
        <w:spacing w:before="74" w:line="222" w:lineRule="auto"/>
        <w:rPr>
          <w:rFonts w:ascii="FangSong" w:hAnsi="FangSong" w:eastAsia="FangSong" w:cs="FangSong"/>
          <w:sz w:val="30"/>
          <w:szCs w:val="30"/>
        </w:rPr>
      </w:pPr>
      <w:r>
        <w:rPr>
          <w:rFonts w:ascii="FangSong" w:hAnsi="FangSong" w:eastAsia="FangSong" w:cs="FangSong"/>
          <w:sz w:val="30"/>
          <w:szCs w:val="30"/>
          <w:spacing w:val="23"/>
        </w:rPr>
        <w:t>(四)造成病人残废、死亡的；</w:t>
      </w:r>
    </w:p>
    <w:p>
      <w:pPr>
        <w:ind w:left="779"/>
        <w:spacing w:before="66" w:line="221" w:lineRule="auto"/>
        <w:rPr>
          <w:rFonts w:ascii="FangSong" w:hAnsi="FangSong" w:eastAsia="FangSong" w:cs="FangSong"/>
          <w:sz w:val="30"/>
          <w:szCs w:val="30"/>
        </w:rPr>
      </w:pPr>
      <w:r>
        <w:rPr>
          <w:rFonts w:ascii="FangSong" w:hAnsi="FangSong" w:eastAsia="FangSong" w:cs="FangSong"/>
          <w:sz w:val="30"/>
          <w:szCs w:val="30"/>
          <w:spacing w:val="22"/>
        </w:rPr>
        <w:t>(五)拒绝执行《传染病防治法》及本办法的规定，屡经教育仍继续违法的。</w:t>
      </w:r>
    </w:p>
    <w:p>
      <w:pPr>
        <w:ind w:left="6404"/>
        <w:spacing w:before="329"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96"/>
          <w:pgSz w:w="16830" w:h="11900"/>
          <w:pgMar w:top="1011" w:right="1369" w:bottom="1107" w:left="1450" w:header="0" w:footer="774" w:gutter="0"/>
        </w:sectPr>
        <w:rPr>
          <w:rFonts w:ascii="SimHei" w:hAnsi="SimHei" w:eastAsia="SimHei" w:cs="SimHei"/>
          <w:sz w:val="30"/>
          <w:szCs w:val="30"/>
        </w:rPr>
      </w:pPr>
    </w:p>
    <w:p>
      <w:pPr>
        <w:spacing w:before="13"/>
        <w:rPr/>
      </w:pPr>
      <w:r/>
    </w:p>
    <w:p>
      <w:pPr>
        <w:spacing w:before="13"/>
        <w:rPr/>
      </w:pPr>
      <w:r/>
    </w:p>
    <w:p>
      <w:pPr>
        <w:spacing w:before="13"/>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83"/>
        <w:gridCol w:w="6785"/>
        <w:gridCol w:w="3992"/>
      </w:tblGrid>
      <w:tr>
        <w:trPr>
          <w:trHeight w:val="853" w:hRule="atLeast"/>
        </w:trPr>
        <w:tc>
          <w:tcPr>
            <w:tcW w:w="3383" w:type="dxa"/>
            <w:vAlign w:val="top"/>
          </w:tcPr>
          <w:p>
            <w:pPr>
              <w:pStyle w:val="TableText"/>
              <w:ind w:left="1108"/>
              <w:spacing w:before="312" w:line="220" w:lineRule="auto"/>
              <w:rPr/>
            </w:pPr>
            <w:bookmarkStart w:name="bookmark768" w:id="57"/>
            <w:bookmarkEnd w:id="57"/>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6785" w:type="dxa"/>
            <w:vAlign w:val="top"/>
          </w:tcPr>
          <w:p>
            <w:pPr>
              <w:pStyle w:val="TableText"/>
              <w:ind w:left="2905"/>
              <w:spacing w:before="312" w:line="220" w:lineRule="auto"/>
              <w:rPr/>
            </w:pPr>
            <w:r>
              <w:rPr>
                <w:b/>
                <w:bCs/>
                <w:spacing w:val="-5"/>
              </w:rPr>
              <w:t>情节后果</w:t>
            </w:r>
          </w:p>
        </w:tc>
        <w:tc>
          <w:tcPr>
            <w:tcW w:w="3992" w:type="dxa"/>
            <w:vAlign w:val="top"/>
          </w:tcPr>
          <w:p>
            <w:pPr>
              <w:pStyle w:val="TableText"/>
              <w:ind w:left="1430"/>
              <w:spacing w:before="309" w:line="218" w:lineRule="auto"/>
              <w:rPr/>
            </w:pPr>
            <w:r>
              <w:rPr>
                <w:b/>
                <w:bCs/>
                <w:spacing w:val="46"/>
              </w:rPr>
              <w:t>裁量幅度</w:t>
            </w:r>
          </w:p>
        </w:tc>
      </w:tr>
      <w:tr>
        <w:trPr>
          <w:trHeight w:val="1526" w:hRule="atLeast"/>
        </w:trPr>
        <w:tc>
          <w:tcPr>
            <w:tcW w:w="3383" w:type="dxa"/>
            <w:vAlign w:val="top"/>
          </w:tcPr>
          <w:p>
            <w:pPr>
              <w:spacing w:line="283" w:lineRule="auto"/>
              <w:rPr>
                <w:rFonts w:ascii="Arial"/>
                <w:sz w:val="21"/>
              </w:rPr>
            </w:pPr>
            <w:r/>
          </w:p>
          <w:p>
            <w:pPr>
              <w:spacing w:line="284" w:lineRule="auto"/>
              <w:rPr>
                <w:rFonts w:ascii="Arial"/>
                <w:sz w:val="21"/>
              </w:rPr>
            </w:pPr>
            <w:r/>
          </w:p>
          <w:p>
            <w:pPr>
              <w:pStyle w:val="TableText"/>
              <w:ind w:left="1448"/>
              <w:spacing w:before="78" w:line="219" w:lineRule="auto"/>
              <w:rPr/>
            </w:pPr>
            <w:r>
              <w:rPr>
                <w:b/>
                <w:bCs/>
                <w:spacing w:val="-5"/>
              </w:rPr>
              <w:t>较轻</w:t>
            </w:r>
          </w:p>
        </w:tc>
        <w:tc>
          <w:tcPr>
            <w:tcW w:w="6785" w:type="dxa"/>
            <w:vAlign w:val="top"/>
          </w:tcPr>
          <w:p>
            <w:pPr>
              <w:pStyle w:val="TableText"/>
              <w:ind w:left="142"/>
              <w:spacing w:before="100" w:line="219" w:lineRule="auto"/>
              <w:outlineLvl w:val="1"/>
              <w:rPr/>
            </w:pPr>
            <w:bookmarkStart w:name="bookmark35" w:id="58"/>
            <w:bookmarkEnd w:id="58"/>
            <w:r>
              <w:rPr/>
              <w:t>对被甲类和乙类传染病病人、病原携带者、疑似传染病病人污</w:t>
            </w:r>
          </w:p>
          <w:p>
            <w:pPr>
              <w:pStyle w:val="TableText"/>
              <w:ind w:left="102" w:right="142" w:firstLine="40"/>
              <w:spacing w:before="156" w:line="340" w:lineRule="auto"/>
              <w:rPr/>
            </w:pPr>
            <w:r>
              <w:rPr/>
              <w:t>染的场所、物品未按照卫生防疫机构的要求实施必要的卫生处</w:t>
            </w:r>
            <w:r>
              <w:rPr>
                <w:spacing w:val="9"/>
              </w:rPr>
              <w:t xml:space="preserve"> </w:t>
            </w:r>
            <w:r>
              <w:rPr>
                <w:spacing w:val="-1"/>
              </w:rPr>
              <w:t>理，未造成传染病传播。</w:t>
            </w:r>
          </w:p>
        </w:tc>
        <w:tc>
          <w:tcPr>
            <w:tcW w:w="3992" w:type="dxa"/>
            <w:vAlign w:val="top"/>
          </w:tcPr>
          <w:p>
            <w:pPr>
              <w:spacing w:line="285" w:lineRule="auto"/>
              <w:rPr>
                <w:rFonts w:ascii="Arial"/>
                <w:sz w:val="21"/>
              </w:rPr>
            </w:pPr>
            <w:r/>
          </w:p>
          <w:p>
            <w:pPr>
              <w:spacing w:line="286" w:lineRule="auto"/>
              <w:rPr>
                <w:rFonts w:ascii="Arial"/>
                <w:sz w:val="21"/>
              </w:rPr>
            </w:pPr>
            <w:r/>
          </w:p>
          <w:p>
            <w:pPr>
              <w:pStyle w:val="TableText"/>
              <w:ind w:left="97"/>
              <w:spacing w:before="78" w:line="220" w:lineRule="auto"/>
              <w:rPr/>
            </w:pPr>
            <w:r>
              <w:rPr/>
              <w:t>以处2000元以下罚款。</w:t>
            </w:r>
          </w:p>
        </w:tc>
      </w:tr>
      <w:tr>
        <w:trPr>
          <w:trHeight w:val="1527" w:hRule="atLeast"/>
        </w:trPr>
        <w:tc>
          <w:tcPr>
            <w:tcW w:w="3383" w:type="dxa"/>
            <w:vAlign w:val="top"/>
          </w:tcPr>
          <w:p>
            <w:pPr>
              <w:spacing w:line="286" w:lineRule="auto"/>
              <w:rPr>
                <w:rFonts w:ascii="Arial"/>
                <w:sz w:val="21"/>
              </w:rPr>
            </w:pPr>
            <w:r/>
          </w:p>
          <w:p>
            <w:pPr>
              <w:spacing w:line="286" w:lineRule="auto"/>
              <w:rPr>
                <w:rFonts w:ascii="Arial"/>
                <w:sz w:val="21"/>
              </w:rPr>
            </w:pPr>
            <w:r/>
          </w:p>
          <w:p>
            <w:pPr>
              <w:pStyle w:val="TableText"/>
              <w:ind w:left="1448"/>
              <w:spacing w:before="78" w:line="221" w:lineRule="auto"/>
              <w:rPr/>
            </w:pPr>
            <w:r>
              <w:rPr>
                <w:b/>
                <w:bCs/>
                <w:spacing w:val="-10"/>
              </w:rPr>
              <w:t>一般</w:t>
            </w:r>
          </w:p>
        </w:tc>
        <w:tc>
          <w:tcPr>
            <w:tcW w:w="6785" w:type="dxa"/>
            <w:vAlign w:val="top"/>
          </w:tcPr>
          <w:p>
            <w:pPr>
              <w:pStyle w:val="TableText"/>
              <w:ind w:left="102" w:right="141" w:firstLine="40"/>
              <w:spacing w:before="103" w:line="340" w:lineRule="auto"/>
              <w:jc w:val="both"/>
              <w:rPr/>
            </w:pPr>
            <w:r>
              <w:rPr/>
              <w:t>对被甲类和乙类传染病病人、病原携带者、疑似传染病病人污</w:t>
            </w:r>
            <w:r>
              <w:rPr>
                <w:spacing w:val="10"/>
              </w:rPr>
              <w:t xml:space="preserve"> </w:t>
            </w:r>
            <w:r>
              <w:rPr>
                <w:spacing w:val="2"/>
              </w:rPr>
              <w:t>染的场所、物品未按照卫生防疫机构的要求实施必</w:t>
            </w:r>
            <w:r>
              <w:rPr>
                <w:spacing w:val="1"/>
              </w:rPr>
              <w:t>要的卫生处</w:t>
            </w:r>
            <w:r>
              <w:rPr/>
              <w:t xml:space="preserve"> </w:t>
            </w:r>
            <w:r>
              <w:rPr>
                <w:spacing w:val="-1"/>
              </w:rPr>
              <w:t>理，造成甲类或乙类传染病传播。</w:t>
            </w:r>
          </w:p>
        </w:tc>
        <w:tc>
          <w:tcPr>
            <w:tcW w:w="3992" w:type="dxa"/>
            <w:vAlign w:val="top"/>
          </w:tcPr>
          <w:p>
            <w:pPr>
              <w:spacing w:line="247" w:lineRule="auto"/>
              <w:rPr>
                <w:rFonts w:ascii="Arial"/>
                <w:sz w:val="21"/>
              </w:rPr>
            </w:pPr>
            <w:r/>
          </w:p>
          <w:p>
            <w:pPr>
              <w:pStyle w:val="TableText"/>
              <w:ind w:left="97"/>
              <w:spacing w:before="78" w:line="220" w:lineRule="auto"/>
              <w:rPr/>
            </w:pPr>
            <w:r>
              <w:rPr>
                <w:spacing w:val="1"/>
              </w:rPr>
              <w:t>可以处2000元以上5000元以下罚</w:t>
            </w:r>
          </w:p>
          <w:p>
            <w:pPr>
              <w:pStyle w:val="TableText"/>
              <w:ind w:left="97"/>
              <w:spacing w:before="154" w:line="221" w:lineRule="auto"/>
              <w:rPr/>
            </w:pPr>
            <w:r>
              <w:rPr>
                <w:color w:val="405070"/>
              </w:rPr>
              <w:t>款。</w:t>
            </w:r>
          </w:p>
        </w:tc>
      </w:tr>
      <w:tr>
        <w:trPr>
          <w:trHeight w:val="873" w:hRule="atLeast"/>
        </w:trPr>
        <w:tc>
          <w:tcPr>
            <w:tcW w:w="3383" w:type="dxa"/>
            <w:vAlign w:val="top"/>
          </w:tcPr>
          <w:p>
            <w:pPr>
              <w:pStyle w:val="TableText"/>
              <w:ind w:left="1448"/>
              <w:spacing w:before="208" w:line="221" w:lineRule="auto"/>
              <w:rPr/>
            </w:pPr>
            <w:r>
              <w:rPr>
                <w:b/>
                <w:bCs/>
                <w:spacing w:val="-5"/>
              </w:rPr>
              <w:t>较重</w:t>
            </w:r>
          </w:p>
        </w:tc>
        <w:tc>
          <w:tcPr>
            <w:tcW w:w="6785" w:type="dxa"/>
            <w:vAlign w:val="top"/>
          </w:tcPr>
          <w:p>
            <w:pPr>
              <w:pStyle w:val="TableText"/>
              <w:ind w:left="122"/>
              <w:spacing w:before="217" w:line="219" w:lineRule="auto"/>
              <w:rPr/>
            </w:pPr>
            <w:r>
              <w:rPr/>
              <w:t>本办法第六十六条第二款规定的情形之一的行为。</w:t>
            </w:r>
          </w:p>
        </w:tc>
        <w:tc>
          <w:tcPr>
            <w:tcW w:w="3992" w:type="dxa"/>
            <w:vAlign w:val="top"/>
          </w:tcPr>
          <w:p>
            <w:pPr>
              <w:pStyle w:val="TableText"/>
              <w:ind w:left="97"/>
              <w:spacing w:before="219" w:line="220" w:lineRule="auto"/>
              <w:rPr/>
            </w:pPr>
            <w:r>
              <w:rPr>
                <w:spacing w:val="-1"/>
              </w:rPr>
              <w:t>可以处5000元以上2万元以下罚款。</w:t>
            </w:r>
          </w:p>
        </w:tc>
      </w:tr>
    </w:tbl>
    <w:p>
      <w:pPr>
        <w:ind w:left="799"/>
        <w:spacing w:before="97" w:line="220" w:lineRule="auto"/>
        <w:rPr>
          <w:rFonts w:ascii="FangSong" w:hAnsi="FangSong" w:eastAsia="FangSong" w:cs="FangSong"/>
          <w:sz w:val="30"/>
          <w:szCs w:val="30"/>
        </w:rPr>
      </w:pPr>
      <w:r>
        <w:rPr>
          <w:rFonts w:ascii="FangSong" w:hAnsi="FangSong" w:eastAsia="FangSong" w:cs="FangSong"/>
          <w:sz w:val="30"/>
          <w:szCs w:val="30"/>
          <w:b/>
          <w:bCs/>
          <w:spacing w:val="21"/>
        </w:rPr>
        <w:t>第二十五条造成传染病的医源性感染、医院内感染、实验室感染和致病性微生物扩散的</w:t>
      </w:r>
    </w:p>
    <w:p>
      <w:pPr>
        <w:ind w:left="795"/>
        <w:spacing w:before="120" w:line="222" w:lineRule="auto"/>
        <w:rPr>
          <w:rFonts w:ascii="FangSong" w:hAnsi="FangSong" w:eastAsia="FangSong" w:cs="FangSong"/>
          <w:sz w:val="30"/>
          <w:szCs w:val="30"/>
        </w:rPr>
      </w:pPr>
      <w:r>
        <w:rPr>
          <w:rFonts w:ascii="FangSong" w:hAnsi="FangSong" w:eastAsia="FangSong" w:cs="FangSong"/>
          <w:sz w:val="30"/>
          <w:szCs w:val="30"/>
          <w:spacing w:val="3"/>
        </w:rPr>
        <w:t>法律依据：</w:t>
      </w:r>
    </w:p>
    <w:p>
      <w:pPr>
        <w:ind w:left="124" w:right="45" w:firstLine="640"/>
        <w:spacing w:before="58" w:line="266" w:lineRule="auto"/>
        <w:jc w:val="both"/>
        <w:rPr>
          <w:rFonts w:ascii="FangSong" w:hAnsi="FangSong" w:eastAsia="FangSong" w:cs="FangSong"/>
          <w:sz w:val="30"/>
          <w:szCs w:val="30"/>
        </w:rPr>
      </w:pPr>
      <w:r>
        <w:rPr>
          <w:rFonts w:ascii="FangSong" w:hAnsi="FangSong" w:eastAsia="FangSong" w:cs="FangSong"/>
          <w:sz w:val="30"/>
          <w:szCs w:val="30"/>
          <w:spacing w:val="27"/>
        </w:rPr>
        <w:t>《中华人民共和国传染病防治法实施办法》第六十六条第一款第(六)项、第二款</w:t>
      </w:r>
      <w:r>
        <w:rPr>
          <w:rFonts w:ascii="FangSong" w:hAnsi="FangSong" w:eastAsia="FangSong" w:cs="FangSong"/>
          <w:sz w:val="30"/>
          <w:szCs w:val="30"/>
          <w:spacing w:val="27"/>
        </w:rPr>
        <w:t xml:space="preserve">   </w:t>
      </w:r>
      <w:r>
        <w:rPr>
          <w:rFonts w:ascii="FangSong" w:hAnsi="FangSong" w:eastAsia="FangSong" w:cs="FangSong"/>
          <w:sz w:val="30"/>
          <w:szCs w:val="30"/>
          <w:spacing w:val="27"/>
        </w:rPr>
        <w:t>有下列行</w:t>
      </w:r>
      <w:r>
        <w:rPr>
          <w:rFonts w:ascii="FangSong" w:hAnsi="FangSong" w:eastAsia="FangSong" w:cs="FangSong"/>
          <w:sz w:val="30"/>
          <w:szCs w:val="30"/>
        </w:rPr>
        <w:t xml:space="preserve"> </w:t>
      </w:r>
      <w:r>
        <w:rPr>
          <w:rFonts w:ascii="FangSong" w:hAnsi="FangSong" w:eastAsia="FangSong" w:cs="FangSong"/>
          <w:sz w:val="30"/>
          <w:szCs w:val="30"/>
          <w:spacing w:val="18"/>
        </w:rPr>
        <w:t>为之一的，由县级以上政府卫生行政部门责令限期改正，可以处五千元以下的罚款；情节较严重的，</w:t>
      </w:r>
      <w:r>
        <w:rPr>
          <w:rFonts w:ascii="FangSong" w:hAnsi="FangSong" w:eastAsia="FangSong" w:cs="FangSong"/>
          <w:sz w:val="30"/>
          <w:szCs w:val="30"/>
          <w:spacing w:val="6"/>
        </w:rPr>
        <w:t xml:space="preserve"> </w:t>
      </w:r>
      <w:r>
        <w:rPr>
          <w:rFonts w:ascii="FangSong" w:hAnsi="FangSong" w:eastAsia="FangSong" w:cs="FangSong"/>
          <w:sz w:val="30"/>
          <w:szCs w:val="30"/>
          <w:spacing w:val="17"/>
        </w:rPr>
        <w:t>可以处五千元以上二万元以下的罚款，对主管人员和直接责</w:t>
      </w:r>
      <w:r>
        <w:rPr>
          <w:rFonts w:ascii="FangSong" w:hAnsi="FangSong" w:eastAsia="FangSong" w:cs="FangSong"/>
          <w:sz w:val="30"/>
          <w:szCs w:val="30"/>
          <w:spacing w:val="16"/>
        </w:rPr>
        <w:t>任人员由其所在单位或者上级机关给予行</w:t>
      </w:r>
      <w:r>
        <w:rPr>
          <w:rFonts w:ascii="FangSong" w:hAnsi="FangSong" w:eastAsia="FangSong" w:cs="FangSong"/>
          <w:sz w:val="30"/>
          <w:szCs w:val="30"/>
        </w:rPr>
        <w:t xml:space="preserve"> </w:t>
      </w:r>
      <w:r>
        <w:rPr>
          <w:rFonts w:ascii="FangSong" w:hAnsi="FangSong" w:eastAsia="FangSong" w:cs="FangSong"/>
          <w:sz w:val="30"/>
          <w:szCs w:val="30"/>
        </w:rPr>
        <w:t>政处分：</w:t>
      </w:r>
    </w:p>
    <w:p>
      <w:pPr>
        <w:ind w:left="925"/>
        <w:spacing w:before="17" w:line="220" w:lineRule="auto"/>
        <w:rPr>
          <w:rFonts w:ascii="FangSong" w:hAnsi="FangSong" w:eastAsia="FangSong" w:cs="FangSong"/>
          <w:sz w:val="30"/>
          <w:szCs w:val="30"/>
        </w:rPr>
      </w:pPr>
      <w:r>
        <w:rPr>
          <w:rFonts w:ascii="FangSong" w:hAnsi="FangSong" w:eastAsia="FangSong" w:cs="FangSong"/>
          <w:sz w:val="30"/>
          <w:szCs w:val="30"/>
          <w:spacing w:val="22"/>
        </w:rPr>
        <w:t>(六)造成传染病的医源性感染、医院内感染、实验室感染和致病性微</w:t>
      </w:r>
      <w:r>
        <w:rPr>
          <w:rFonts w:ascii="FangSong" w:hAnsi="FangSong" w:eastAsia="FangSong" w:cs="FangSong"/>
          <w:sz w:val="30"/>
          <w:szCs w:val="30"/>
          <w:spacing w:val="21"/>
        </w:rPr>
        <w:t>生物扩散的；</w:t>
      </w:r>
    </w:p>
    <w:p>
      <w:pPr>
        <w:spacing w:line="220" w:lineRule="auto"/>
        <w:sectPr>
          <w:footerReference w:type="default" r:id="rId97"/>
          <w:pgSz w:w="16830" w:h="11900"/>
          <w:pgMar w:top="1011" w:right="1344" w:bottom="1107" w:left="1314" w:header="0" w:footer="774" w:gutter="0"/>
        </w:sectPr>
        <w:rPr>
          <w:rFonts w:ascii="FangSong" w:hAnsi="FangSong" w:eastAsia="FangSong" w:cs="FangSong"/>
          <w:sz w:val="30"/>
          <w:szCs w:val="30"/>
        </w:rPr>
      </w:pPr>
    </w:p>
    <w:p>
      <w:pPr>
        <w:pStyle w:val="BodyText"/>
        <w:spacing w:line="267" w:lineRule="auto"/>
        <w:rPr/>
      </w:pPr>
      <w:r/>
    </w:p>
    <w:p>
      <w:pPr>
        <w:pStyle w:val="BodyText"/>
        <w:spacing w:line="268" w:lineRule="auto"/>
        <w:rPr/>
      </w:pPr>
      <w:r/>
    </w:p>
    <w:p>
      <w:pPr>
        <w:pStyle w:val="BodyText"/>
        <w:spacing w:line="268" w:lineRule="auto"/>
        <w:rPr/>
      </w:pPr>
      <w:r/>
    </w:p>
    <w:p>
      <w:pPr>
        <w:ind w:left="754"/>
        <w:spacing w:before="97" w:line="221" w:lineRule="auto"/>
        <w:rPr>
          <w:rFonts w:ascii="FangSong" w:hAnsi="FangSong" w:eastAsia="FangSong" w:cs="FangSong"/>
          <w:sz w:val="30"/>
          <w:szCs w:val="30"/>
        </w:rPr>
      </w:pPr>
      <w:r>
        <w:rPr>
          <w:rFonts w:ascii="FangSong" w:hAnsi="FangSong" w:eastAsia="FangSong" w:cs="FangSong"/>
          <w:sz w:val="30"/>
          <w:szCs w:val="30"/>
          <w:spacing w:val="18"/>
        </w:rPr>
        <w:t>前款所称情节较严重的，是指下列情形之一：</w:t>
      </w:r>
    </w:p>
    <w:p>
      <w:pPr>
        <w:ind w:left="885"/>
        <w:spacing w:before="74" w:line="222" w:lineRule="auto"/>
        <w:rPr>
          <w:rFonts w:ascii="FangSong" w:hAnsi="FangSong" w:eastAsia="FangSong" w:cs="FangSong"/>
          <w:sz w:val="30"/>
          <w:szCs w:val="30"/>
        </w:rPr>
      </w:pPr>
      <w:r>
        <w:rPr>
          <w:rFonts w:ascii="FangSong" w:hAnsi="FangSong" w:eastAsia="FangSong" w:cs="FangSong"/>
          <w:sz w:val="30"/>
          <w:szCs w:val="30"/>
          <w:spacing w:val="23"/>
        </w:rPr>
        <w:t>(一)造成甲类传染病、艾滋病、肺炭疽传播危险的；</w:t>
      </w:r>
    </w:p>
    <w:p>
      <w:pPr>
        <w:ind w:left="885"/>
        <w:spacing w:before="86" w:line="221" w:lineRule="auto"/>
        <w:rPr>
          <w:rFonts w:ascii="FangSong" w:hAnsi="FangSong" w:eastAsia="FangSong" w:cs="FangSong"/>
          <w:sz w:val="30"/>
          <w:szCs w:val="30"/>
        </w:rPr>
      </w:pPr>
      <w:r>
        <w:rPr>
          <w:rFonts w:ascii="FangSong" w:hAnsi="FangSong" w:eastAsia="FangSong" w:cs="FangSong"/>
          <w:sz w:val="30"/>
          <w:szCs w:val="30"/>
          <w:spacing w:val="22"/>
        </w:rPr>
        <w:t>(二)造成除艾滋病、肺炭疽之外的乙、丙类传染病暴发、流行的；</w:t>
      </w:r>
    </w:p>
    <w:p>
      <w:pPr>
        <w:ind w:left="885"/>
        <w:spacing w:before="90" w:line="221" w:lineRule="auto"/>
        <w:rPr>
          <w:rFonts w:ascii="FangSong" w:hAnsi="FangSong" w:eastAsia="FangSong" w:cs="FangSong"/>
          <w:sz w:val="30"/>
          <w:szCs w:val="30"/>
        </w:rPr>
      </w:pPr>
      <w:r>
        <w:rPr>
          <w:rFonts w:ascii="FangSong" w:hAnsi="FangSong" w:eastAsia="FangSong" w:cs="FangSong"/>
          <w:sz w:val="30"/>
          <w:szCs w:val="30"/>
          <w:spacing w:val="41"/>
        </w:rPr>
        <w:t>(三)造成传染病菌(毒)种扩散的；</w:t>
      </w:r>
    </w:p>
    <w:p>
      <w:pPr>
        <w:ind w:left="885"/>
        <w:spacing w:before="73" w:line="222" w:lineRule="auto"/>
        <w:rPr>
          <w:rFonts w:ascii="FangSong" w:hAnsi="FangSong" w:eastAsia="FangSong" w:cs="FangSong"/>
          <w:sz w:val="30"/>
          <w:szCs w:val="30"/>
        </w:rPr>
      </w:pPr>
      <w:r>
        <w:rPr>
          <w:rFonts w:ascii="FangSong" w:hAnsi="FangSong" w:eastAsia="FangSong" w:cs="FangSong"/>
          <w:sz w:val="30"/>
          <w:szCs w:val="30"/>
          <w:spacing w:val="25"/>
        </w:rPr>
        <w:t>(四)造成病人残废、死亡的；</w:t>
      </w:r>
    </w:p>
    <w:p>
      <w:pPr>
        <w:ind w:left="6508" w:right="2595" w:hanging="5623"/>
        <w:spacing w:before="67" w:line="242" w:lineRule="auto"/>
        <w:rPr>
          <w:rFonts w:ascii="SimHei" w:hAnsi="SimHei" w:eastAsia="SimHei" w:cs="SimHei"/>
          <w:sz w:val="30"/>
          <w:szCs w:val="30"/>
        </w:rPr>
      </w:pPr>
      <w:r>
        <w:rPr>
          <w:rFonts w:ascii="FangSong" w:hAnsi="FangSong" w:eastAsia="FangSong" w:cs="FangSong"/>
          <w:sz w:val="30"/>
          <w:szCs w:val="30"/>
          <w:spacing w:val="23"/>
        </w:rPr>
        <w:t>(五)拒绝执行《传染病防治法》及本办法的</w:t>
      </w:r>
      <w:r>
        <w:rPr>
          <w:rFonts w:ascii="FangSong" w:hAnsi="FangSong" w:eastAsia="FangSong" w:cs="FangSong"/>
          <w:sz w:val="30"/>
          <w:szCs w:val="30"/>
          <w:spacing w:val="22"/>
        </w:rPr>
        <w:t>规定，屡经教育仍继续违法的。</w:t>
      </w:r>
      <w:r>
        <w:rPr>
          <w:rFonts w:ascii="FangSong" w:hAnsi="FangSong" w:eastAsia="FangSong" w:cs="FangSong"/>
          <w:sz w:val="30"/>
          <w:szCs w:val="30"/>
        </w:rPr>
        <w:t xml:space="preserve"> </w:t>
      </w:r>
      <w:r>
        <w:rPr>
          <w:rFonts w:ascii="SimHei" w:hAnsi="SimHei" w:eastAsia="SimHei" w:cs="SimHei"/>
          <w:sz w:val="30"/>
          <w:szCs w:val="30"/>
          <w:b/>
          <w:bCs/>
          <w:spacing w:val="-17"/>
        </w:rPr>
        <w:t>裁量标准</w:t>
      </w:r>
    </w:p>
    <w:p>
      <w:pPr>
        <w:spacing w:line="161" w:lineRule="exact"/>
        <w:rPr/>
      </w:pPr>
      <w:r/>
    </w:p>
    <w:tbl>
      <w:tblPr>
        <w:tblStyle w:val="TableNormal"/>
        <w:tblW w:w="1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73"/>
        <w:gridCol w:w="5366"/>
        <w:gridCol w:w="5401"/>
      </w:tblGrid>
      <w:tr>
        <w:trPr>
          <w:trHeight w:val="853" w:hRule="atLeast"/>
        </w:trPr>
        <w:tc>
          <w:tcPr>
            <w:tcW w:w="3373" w:type="dxa"/>
            <w:vAlign w:val="top"/>
          </w:tcPr>
          <w:p>
            <w:pPr>
              <w:pStyle w:val="TableText"/>
              <w:ind w:left="1098"/>
              <w:spacing w:before="31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5366" w:type="dxa"/>
            <w:vAlign w:val="top"/>
          </w:tcPr>
          <w:p>
            <w:pPr>
              <w:pStyle w:val="TableText"/>
              <w:ind w:left="2195"/>
              <w:spacing w:before="312" w:line="220" w:lineRule="auto"/>
              <w:rPr/>
            </w:pPr>
            <w:r>
              <w:rPr>
                <w:b/>
                <w:bCs/>
                <w:spacing w:val="-5"/>
              </w:rPr>
              <w:t>情节后果</w:t>
            </w:r>
          </w:p>
        </w:tc>
        <w:tc>
          <w:tcPr>
            <w:tcW w:w="5401" w:type="dxa"/>
            <w:vAlign w:val="top"/>
          </w:tcPr>
          <w:p>
            <w:pPr>
              <w:pStyle w:val="TableText"/>
              <w:ind w:left="2149"/>
              <w:spacing w:before="309" w:line="218" w:lineRule="auto"/>
              <w:rPr/>
            </w:pPr>
            <w:r>
              <w:rPr>
                <w:b/>
                <w:bCs/>
                <w:spacing w:val="-5"/>
              </w:rPr>
              <w:t>裁量幅度</w:t>
            </w:r>
          </w:p>
        </w:tc>
      </w:tr>
      <w:tr>
        <w:trPr>
          <w:trHeight w:val="1098" w:hRule="atLeast"/>
        </w:trPr>
        <w:tc>
          <w:tcPr>
            <w:tcW w:w="3373" w:type="dxa"/>
            <w:vAlign w:val="top"/>
          </w:tcPr>
          <w:p>
            <w:pPr>
              <w:pStyle w:val="TableText"/>
              <w:ind w:left="1438"/>
              <w:spacing w:before="318" w:line="219" w:lineRule="auto"/>
              <w:rPr/>
            </w:pPr>
            <w:r>
              <w:rPr>
                <w:b/>
                <w:bCs/>
                <w:spacing w:val="-5"/>
              </w:rPr>
              <w:t>较轻</w:t>
            </w:r>
          </w:p>
        </w:tc>
        <w:tc>
          <w:tcPr>
            <w:tcW w:w="5366" w:type="dxa"/>
            <w:vAlign w:val="top"/>
          </w:tcPr>
          <w:p>
            <w:pPr>
              <w:pStyle w:val="TableText"/>
              <w:ind w:left="111" w:right="52" w:hanging="80"/>
              <w:spacing w:before="101" w:line="333" w:lineRule="auto"/>
              <w:rPr/>
            </w:pPr>
            <w:r>
              <w:rPr>
                <w:spacing w:val="-1"/>
              </w:rPr>
              <w:t>造成传染病的医源性感染、医院内感染、实验室感</w:t>
            </w:r>
            <w:r>
              <w:rPr>
                <w:spacing w:val="12"/>
              </w:rPr>
              <w:t xml:space="preserve"> </w:t>
            </w:r>
            <w:r>
              <w:rPr>
                <w:spacing w:val="-1"/>
              </w:rPr>
              <w:t>染1人和致病性微生物扩散。</w:t>
            </w:r>
          </w:p>
        </w:tc>
        <w:tc>
          <w:tcPr>
            <w:tcW w:w="5401" w:type="dxa"/>
            <w:vAlign w:val="top"/>
          </w:tcPr>
          <w:p>
            <w:pPr>
              <w:spacing w:line="243" w:lineRule="auto"/>
              <w:rPr>
                <w:rFonts w:ascii="Arial"/>
                <w:sz w:val="21"/>
              </w:rPr>
            </w:pPr>
            <w:r/>
          </w:p>
          <w:p>
            <w:pPr>
              <w:pStyle w:val="TableText"/>
              <w:ind w:left="136"/>
              <w:spacing w:before="78" w:line="220" w:lineRule="auto"/>
              <w:rPr/>
            </w:pPr>
            <w:r>
              <w:rPr/>
              <w:t>可以处2000元以下罚款。</w:t>
            </w:r>
          </w:p>
        </w:tc>
      </w:tr>
      <w:tr>
        <w:trPr>
          <w:trHeight w:val="1077" w:hRule="atLeast"/>
        </w:trPr>
        <w:tc>
          <w:tcPr>
            <w:tcW w:w="3373" w:type="dxa"/>
            <w:vAlign w:val="top"/>
          </w:tcPr>
          <w:p>
            <w:pPr>
              <w:pStyle w:val="TableText"/>
              <w:ind w:left="1438"/>
              <w:spacing w:before="301" w:line="221" w:lineRule="auto"/>
              <w:rPr/>
            </w:pPr>
            <w:r>
              <w:rPr>
                <w:b/>
                <w:bCs/>
                <w:spacing w:val="-10"/>
              </w:rPr>
              <w:t>一般</w:t>
            </w:r>
          </w:p>
        </w:tc>
        <w:tc>
          <w:tcPr>
            <w:tcW w:w="5366" w:type="dxa"/>
            <w:vAlign w:val="top"/>
          </w:tcPr>
          <w:p>
            <w:pPr>
              <w:pStyle w:val="TableText"/>
              <w:ind w:left="111" w:right="52" w:hanging="80"/>
              <w:spacing w:before="83" w:line="364" w:lineRule="auto"/>
              <w:rPr/>
            </w:pPr>
            <w:r>
              <w:rPr>
                <w:spacing w:val="-1"/>
              </w:rPr>
              <w:t>造成传染病的医源性感染、医院内感染、实验室感</w:t>
            </w:r>
            <w:r>
              <w:rPr>
                <w:spacing w:val="12"/>
              </w:rPr>
              <w:t xml:space="preserve"> </w:t>
            </w:r>
            <w:r>
              <w:rPr>
                <w:spacing w:val="-1"/>
              </w:rPr>
              <w:t>染2人以上和致病性微生物扩散。</w:t>
            </w:r>
          </w:p>
        </w:tc>
        <w:tc>
          <w:tcPr>
            <w:tcW w:w="5401" w:type="dxa"/>
            <w:vAlign w:val="top"/>
          </w:tcPr>
          <w:p>
            <w:pPr>
              <w:pStyle w:val="TableText"/>
              <w:ind w:left="136"/>
              <w:spacing w:before="304" w:line="220" w:lineRule="auto"/>
              <w:rPr/>
            </w:pPr>
            <w:r>
              <w:rPr>
                <w:spacing w:val="-1"/>
              </w:rPr>
              <w:t>可以处2000元以上5000元以下罚款。</w:t>
            </w:r>
          </w:p>
        </w:tc>
      </w:tr>
      <w:tr>
        <w:trPr>
          <w:trHeight w:val="1302" w:hRule="atLeast"/>
        </w:trPr>
        <w:tc>
          <w:tcPr>
            <w:tcW w:w="3373" w:type="dxa"/>
            <w:vAlign w:val="top"/>
          </w:tcPr>
          <w:p>
            <w:pPr>
              <w:spacing w:line="455" w:lineRule="auto"/>
              <w:rPr>
                <w:rFonts w:ascii="Arial"/>
                <w:sz w:val="21"/>
              </w:rPr>
            </w:pPr>
            <w:r/>
          </w:p>
          <w:p>
            <w:pPr>
              <w:pStyle w:val="TableText"/>
              <w:ind w:left="1438"/>
              <w:spacing w:before="78" w:line="221" w:lineRule="auto"/>
              <w:rPr/>
            </w:pPr>
            <w:r>
              <w:rPr>
                <w:b/>
                <w:bCs/>
                <w:spacing w:val="-5"/>
              </w:rPr>
              <w:t>较重</w:t>
            </w:r>
          </w:p>
        </w:tc>
        <w:tc>
          <w:tcPr>
            <w:tcW w:w="5366" w:type="dxa"/>
            <w:vAlign w:val="top"/>
          </w:tcPr>
          <w:p>
            <w:pPr>
              <w:spacing w:line="454" w:lineRule="auto"/>
              <w:rPr>
                <w:rFonts w:ascii="Arial"/>
                <w:sz w:val="21"/>
              </w:rPr>
            </w:pPr>
            <w:r/>
          </w:p>
          <w:p>
            <w:pPr>
              <w:pStyle w:val="TableText"/>
              <w:spacing w:before="78" w:line="219" w:lineRule="auto"/>
              <w:jc w:val="right"/>
              <w:rPr/>
            </w:pPr>
            <w:r>
              <w:rPr>
                <w:spacing w:val="-1"/>
              </w:rPr>
              <w:t>本办法第六十六条第二款规定的情形之一的行为。</w:t>
            </w:r>
          </w:p>
        </w:tc>
        <w:tc>
          <w:tcPr>
            <w:tcW w:w="5401" w:type="dxa"/>
            <w:vAlign w:val="top"/>
          </w:tcPr>
          <w:p>
            <w:pPr>
              <w:spacing w:line="337" w:lineRule="auto"/>
              <w:rPr>
                <w:rFonts w:ascii="Arial"/>
                <w:sz w:val="21"/>
              </w:rPr>
            </w:pPr>
            <w:r/>
          </w:p>
          <w:p>
            <w:pPr>
              <w:pStyle w:val="TableText"/>
              <w:ind w:left="136"/>
              <w:spacing w:before="78" w:line="220" w:lineRule="auto"/>
              <w:rPr/>
            </w:pPr>
            <w:r>
              <w:rPr>
                <w:spacing w:val="-1"/>
              </w:rPr>
              <w:t>可以处5000元以上2万元以下罚款。</w:t>
            </w:r>
          </w:p>
        </w:tc>
      </w:tr>
    </w:tbl>
    <w:p>
      <w:pPr>
        <w:pStyle w:val="BodyText"/>
        <w:rPr/>
      </w:pPr>
      <w:r/>
    </w:p>
    <w:p>
      <w:pPr>
        <w:sectPr>
          <w:footerReference w:type="default" r:id="rId98"/>
          <w:pgSz w:w="16830" w:h="11900"/>
          <w:pgMar w:top="1011" w:right="1344" w:bottom="1117" w:left="1335" w:header="0" w:footer="784" w:gutter="0"/>
        </w:sectPr>
        <w:rPr/>
      </w:pPr>
    </w:p>
    <w:p>
      <w:pPr>
        <w:pStyle w:val="BodyText"/>
        <w:spacing w:line="268" w:lineRule="auto"/>
        <w:rPr/>
      </w:pPr>
      <w:r/>
    </w:p>
    <w:p>
      <w:pPr>
        <w:pStyle w:val="BodyText"/>
        <w:spacing w:line="268" w:lineRule="auto"/>
        <w:rPr/>
      </w:pPr>
      <w:r/>
    </w:p>
    <w:p>
      <w:pPr>
        <w:pStyle w:val="BodyText"/>
        <w:spacing w:line="268" w:lineRule="auto"/>
        <w:rPr/>
      </w:pPr>
      <w:r/>
    </w:p>
    <w:p>
      <w:pPr>
        <w:ind w:firstLine="660"/>
        <w:spacing w:before="97" w:line="267" w:lineRule="auto"/>
        <w:rPr>
          <w:rFonts w:ascii="FangSong" w:hAnsi="FangSong" w:eastAsia="FangSong" w:cs="FangSong"/>
          <w:sz w:val="30"/>
          <w:szCs w:val="30"/>
        </w:rPr>
      </w:pPr>
      <w:bookmarkStart w:name="bookmark769" w:id="59"/>
      <w:bookmarkEnd w:id="59"/>
      <w:r>
        <w:rPr>
          <w:rFonts w:ascii="FangSong" w:hAnsi="FangSong" w:eastAsia="FangSong" w:cs="FangSong"/>
          <w:sz w:val="30"/>
          <w:szCs w:val="30"/>
          <w:spacing w:val="17"/>
        </w:rPr>
        <w:t>第二十六条生产、经营、使用消毒药剂和消毒器械、卫生用品、卫生材料、</w:t>
      </w:r>
      <w:r>
        <w:rPr>
          <w:rFonts w:ascii="FangSong" w:hAnsi="FangSong" w:eastAsia="FangSong" w:cs="FangSong"/>
          <w:sz w:val="30"/>
          <w:szCs w:val="30"/>
          <w:spacing w:val="112"/>
        </w:rPr>
        <w:t xml:space="preserve"> </w:t>
      </w:r>
      <w:r>
        <w:rPr>
          <w:rFonts w:ascii="FangSong" w:hAnsi="FangSong" w:eastAsia="FangSong" w:cs="FangSong"/>
          <w:sz w:val="30"/>
          <w:szCs w:val="30"/>
          <w:spacing w:val="17"/>
        </w:rPr>
        <w:t>一次性医疗器材、</w:t>
      </w:r>
      <w:r>
        <w:rPr>
          <w:rFonts w:ascii="FangSong" w:hAnsi="FangSong" w:eastAsia="FangSong" w:cs="FangSong"/>
          <w:sz w:val="30"/>
          <w:szCs w:val="30"/>
        </w:rPr>
        <w:t xml:space="preserve">  </w:t>
      </w:r>
      <w:r>
        <w:rPr>
          <w:rFonts w:ascii="FangSong" w:hAnsi="FangSong" w:eastAsia="FangSong" w:cs="FangSong"/>
          <w:sz w:val="30"/>
          <w:szCs w:val="30"/>
          <w:spacing w:val="20"/>
        </w:rPr>
        <w:t>隐形眼镜、人造器官等不符合国家卫生标准，可能造成传染病的传播、扩散或者造成传染病的传</w:t>
      </w:r>
      <w:r>
        <w:rPr>
          <w:rFonts w:ascii="FangSong" w:hAnsi="FangSong" w:eastAsia="FangSong" w:cs="FangSong"/>
          <w:sz w:val="30"/>
          <w:szCs w:val="30"/>
          <w:spacing w:val="19"/>
        </w:rPr>
        <w:t>播、</w:t>
      </w:r>
      <w:r>
        <w:rPr>
          <w:rFonts w:ascii="FangSong" w:hAnsi="FangSong" w:eastAsia="FangSong" w:cs="FangSong"/>
          <w:sz w:val="30"/>
          <w:szCs w:val="30"/>
        </w:rPr>
        <w:t xml:space="preserve"> </w:t>
      </w:r>
      <w:r>
        <w:rPr>
          <w:rFonts w:ascii="FangSong" w:hAnsi="FangSong" w:eastAsia="FangSong" w:cs="FangSong"/>
          <w:sz w:val="30"/>
          <w:szCs w:val="30"/>
          <w:spacing w:val="13"/>
        </w:rPr>
        <w:t>扩散的</w:t>
      </w:r>
    </w:p>
    <w:p>
      <w:pPr>
        <w:ind w:left="660"/>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right="80" w:firstLine="640"/>
        <w:spacing w:before="83" w:line="271" w:lineRule="auto"/>
        <w:jc w:val="both"/>
        <w:rPr>
          <w:rFonts w:ascii="FangSong" w:hAnsi="FangSong" w:eastAsia="FangSong" w:cs="FangSong"/>
          <w:sz w:val="30"/>
          <w:szCs w:val="30"/>
        </w:rPr>
      </w:pPr>
      <w:r>
        <w:rPr>
          <w:rFonts w:ascii="FangSong" w:hAnsi="FangSong" w:eastAsia="FangSong" w:cs="FangSong"/>
          <w:sz w:val="30"/>
          <w:szCs w:val="30"/>
          <w:spacing w:val="27"/>
        </w:rPr>
        <w:t>《中华人民共和国传染病防治法实施办法》第六十六条第一款第(七)项、第二款</w:t>
      </w:r>
      <w:r>
        <w:rPr>
          <w:rFonts w:ascii="FangSong" w:hAnsi="FangSong" w:eastAsia="FangSong" w:cs="FangSong"/>
          <w:sz w:val="30"/>
          <w:szCs w:val="30"/>
          <w:spacing w:val="27"/>
        </w:rPr>
        <w:t xml:space="preserve">   </w:t>
      </w:r>
      <w:r>
        <w:rPr>
          <w:rFonts w:ascii="FangSong" w:hAnsi="FangSong" w:eastAsia="FangSong" w:cs="FangSong"/>
          <w:sz w:val="30"/>
          <w:szCs w:val="30"/>
          <w:spacing w:val="27"/>
        </w:rPr>
        <w:t>有下列行</w:t>
      </w:r>
      <w:r>
        <w:rPr>
          <w:rFonts w:ascii="FangSong" w:hAnsi="FangSong" w:eastAsia="FangSong" w:cs="FangSong"/>
          <w:sz w:val="30"/>
          <w:szCs w:val="30"/>
        </w:rPr>
        <w:t xml:space="preserve"> </w:t>
      </w:r>
      <w:r>
        <w:rPr>
          <w:rFonts w:ascii="FangSong" w:hAnsi="FangSong" w:eastAsia="FangSong" w:cs="FangSong"/>
          <w:sz w:val="30"/>
          <w:szCs w:val="30"/>
          <w:spacing w:val="18"/>
        </w:rPr>
        <w:t>为之一的，由县级以上政府卫生行政部门责令限期改正，可以处五千元以下的罚款；情节较严重的，</w:t>
      </w:r>
      <w:r>
        <w:rPr>
          <w:rFonts w:ascii="FangSong" w:hAnsi="FangSong" w:eastAsia="FangSong" w:cs="FangSong"/>
          <w:sz w:val="30"/>
          <w:szCs w:val="30"/>
          <w:spacing w:val="6"/>
        </w:rPr>
        <w:t xml:space="preserve"> </w:t>
      </w:r>
      <w:r>
        <w:rPr>
          <w:rFonts w:ascii="FangSong" w:hAnsi="FangSong" w:eastAsia="FangSong" w:cs="FangSong"/>
          <w:sz w:val="30"/>
          <w:szCs w:val="30"/>
          <w:spacing w:val="17"/>
        </w:rPr>
        <w:t>可以处五千元以上二万元以下的罚款，对主管人员和直接责任人员由其所在单位或者上级机关给予行</w:t>
      </w:r>
      <w:r>
        <w:rPr>
          <w:rFonts w:ascii="FangSong" w:hAnsi="FangSong" w:eastAsia="FangSong" w:cs="FangSong"/>
          <w:sz w:val="30"/>
          <w:szCs w:val="30"/>
          <w:spacing w:val="2"/>
        </w:rPr>
        <w:t xml:space="preserve"> </w:t>
      </w:r>
      <w:r>
        <w:rPr>
          <w:rFonts w:ascii="FangSong" w:hAnsi="FangSong" w:eastAsia="FangSong" w:cs="FangSong"/>
          <w:sz w:val="30"/>
          <w:szCs w:val="30"/>
          <w:spacing w:val="5"/>
        </w:rPr>
        <w:t>政处分：</w:t>
      </w:r>
    </w:p>
    <w:p>
      <w:pPr>
        <w:ind w:firstLine="790"/>
        <w:spacing w:line="271" w:lineRule="auto"/>
        <w:rPr>
          <w:rFonts w:ascii="FangSong" w:hAnsi="FangSong" w:eastAsia="FangSong" w:cs="FangSong"/>
          <w:sz w:val="30"/>
          <w:szCs w:val="30"/>
        </w:rPr>
      </w:pPr>
      <w:r>
        <w:rPr>
          <w:rFonts w:ascii="FangSong" w:hAnsi="FangSong" w:eastAsia="FangSong" w:cs="FangSong"/>
          <w:sz w:val="30"/>
          <w:szCs w:val="30"/>
          <w:spacing w:val="15"/>
        </w:rPr>
        <w:t>(七)生产、经营、使用消毒药剂和消毒器械、卫生用品</w:t>
      </w:r>
      <w:r>
        <w:rPr>
          <w:rFonts w:ascii="FangSong" w:hAnsi="FangSong" w:eastAsia="FangSong" w:cs="FangSong"/>
          <w:sz w:val="30"/>
          <w:szCs w:val="30"/>
          <w:spacing w:val="14"/>
        </w:rPr>
        <w:t>、卫生材料、</w:t>
      </w:r>
      <w:r>
        <w:rPr>
          <w:rFonts w:ascii="FangSong" w:hAnsi="FangSong" w:eastAsia="FangSong" w:cs="FangSong"/>
          <w:sz w:val="30"/>
          <w:szCs w:val="30"/>
          <w:spacing w:val="96"/>
        </w:rPr>
        <w:t xml:space="preserve"> </w:t>
      </w:r>
      <w:r>
        <w:rPr>
          <w:rFonts w:ascii="FangSong" w:hAnsi="FangSong" w:eastAsia="FangSong" w:cs="FangSong"/>
          <w:sz w:val="30"/>
          <w:szCs w:val="30"/>
          <w:spacing w:val="14"/>
        </w:rPr>
        <w:t>一次性医疗器材、隐形眼</w:t>
      </w:r>
      <w:r>
        <w:rPr>
          <w:rFonts w:ascii="FangSong" w:hAnsi="FangSong" w:eastAsia="FangSong" w:cs="FangSong"/>
          <w:sz w:val="30"/>
          <w:szCs w:val="30"/>
        </w:rPr>
        <w:t xml:space="preserve">  </w:t>
      </w:r>
      <w:r>
        <w:rPr>
          <w:rFonts w:ascii="FangSong" w:hAnsi="FangSong" w:eastAsia="FangSong" w:cs="FangSong"/>
          <w:sz w:val="30"/>
          <w:szCs w:val="30"/>
          <w:spacing w:val="13"/>
        </w:rPr>
        <w:t>镜、人造器官等不符合国家卫生标准，可能造成传染病的传播、扩散或者造成传染病的传</w:t>
      </w:r>
      <w:r>
        <w:rPr>
          <w:rFonts w:ascii="FangSong" w:hAnsi="FangSong" w:eastAsia="FangSong" w:cs="FangSong"/>
          <w:sz w:val="30"/>
          <w:szCs w:val="30"/>
          <w:spacing w:val="12"/>
        </w:rPr>
        <w:t>播、扩散的；</w:t>
      </w:r>
    </w:p>
    <w:p>
      <w:pPr>
        <w:ind w:left="660"/>
        <w:spacing w:before="1" w:line="220" w:lineRule="auto"/>
        <w:rPr>
          <w:rFonts w:ascii="FangSong" w:hAnsi="FangSong" w:eastAsia="FangSong" w:cs="FangSong"/>
          <w:sz w:val="30"/>
          <w:szCs w:val="30"/>
        </w:rPr>
      </w:pPr>
      <w:r>
        <w:rPr>
          <w:rFonts w:ascii="FangSong" w:hAnsi="FangSong" w:eastAsia="FangSong" w:cs="FangSong"/>
          <w:sz w:val="30"/>
          <w:szCs w:val="30"/>
          <w:spacing w:val="14"/>
        </w:rPr>
        <w:t>前款所称情节较严重的，是指下列情形之一：</w:t>
      </w:r>
    </w:p>
    <w:p>
      <w:pPr>
        <w:ind w:left="790"/>
        <w:spacing w:before="84" w:line="222" w:lineRule="auto"/>
        <w:rPr>
          <w:rFonts w:ascii="FangSong" w:hAnsi="FangSong" w:eastAsia="FangSong" w:cs="FangSong"/>
          <w:sz w:val="30"/>
          <w:szCs w:val="30"/>
        </w:rPr>
      </w:pPr>
      <w:r>
        <w:rPr>
          <w:rFonts w:ascii="FangSong" w:hAnsi="FangSong" w:eastAsia="FangSong" w:cs="FangSong"/>
          <w:sz w:val="30"/>
          <w:szCs w:val="30"/>
          <w:spacing w:val="23"/>
        </w:rPr>
        <w:t>(一)造成甲类传染病、艾滋病、肺炭疽传播危险的；</w:t>
      </w:r>
    </w:p>
    <w:p>
      <w:pPr>
        <w:ind w:left="790"/>
        <w:spacing w:before="96" w:line="221" w:lineRule="auto"/>
        <w:rPr>
          <w:rFonts w:ascii="FangSong" w:hAnsi="FangSong" w:eastAsia="FangSong" w:cs="FangSong"/>
          <w:sz w:val="30"/>
          <w:szCs w:val="30"/>
        </w:rPr>
      </w:pPr>
      <w:r>
        <w:rPr>
          <w:rFonts w:ascii="FangSong" w:hAnsi="FangSong" w:eastAsia="FangSong" w:cs="FangSong"/>
          <w:sz w:val="30"/>
          <w:szCs w:val="30"/>
          <w:spacing w:val="21"/>
        </w:rPr>
        <w:t>(二)造成除艾滋病、肺炭疽之外的乙、丙类传染病暴发、流行的；</w:t>
      </w:r>
    </w:p>
    <w:p>
      <w:pPr>
        <w:ind w:left="790"/>
        <w:spacing w:before="71" w:line="221" w:lineRule="auto"/>
        <w:rPr>
          <w:rFonts w:ascii="FangSong" w:hAnsi="FangSong" w:eastAsia="FangSong" w:cs="FangSong"/>
          <w:sz w:val="30"/>
          <w:szCs w:val="30"/>
        </w:rPr>
      </w:pPr>
      <w:r>
        <w:rPr>
          <w:rFonts w:ascii="FangSong" w:hAnsi="FangSong" w:eastAsia="FangSong" w:cs="FangSong"/>
          <w:sz w:val="30"/>
          <w:szCs w:val="30"/>
          <w:spacing w:val="41"/>
        </w:rPr>
        <w:t>(三)造成传染病菌(毒)种扩散的；</w:t>
      </w:r>
    </w:p>
    <w:p>
      <w:pPr>
        <w:ind w:left="790"/>
        <w:spacing w:before="44" w:line="222" w:lineRule="auto"/>
        <w:rPr>
          <w:rFonts w:ascii="FangSong" w:hAnsi="FangSong" w:eastAsia="FangSong" w:cs="FangSong"/>
          <w:sz w:val="30"/>
          <w:szCs w:val="30"/>
        </w:rPr>
      </w:pPr>
      <w:r>
        <w:rPr>
          <w:rFonts w:ascii="FangSong" w:hAnsi="FangSong" w:eastAsia="FangSong" w:cs="FangSong"/>
          <w:sz w:val="30"/>
          <w:szCs w:val="30"/>
          <w:spacing w:val="23"/>
        </w:rPr>
        <w:t>(四)造成病人残废、死亡的；</w:t>
      </w:r>
    </w:p>
    <w:p>
      <w:pPr>
        <w:ind w:left="790"/>
        <w:spacing w:before="87" w:line="221" w:lineRule="auto"/>
        <w:rPr>
          <w:rFonts w:ascii="FangSong" w:hAnsi="FangSong" w:eastAsia="FangSong" w:cs="FangSong"/>
          <w:sz w:val="30"/>
          <w:szCs w:val="30"/>
        </w:rPr>
      </w:pPr>
      <w:r>
        <w:rPr>
          <w:rFonts w:ascii="FangSong" w:hAnsi="FangSong" w:eastAsia="FangSong" w:cs="FangSong"/>
          <w:sz w:val="30"/>
          <w:szCs w:val="30"/>
          <w:spacing w:val="22"/>
        </w:rPr>
        <w:t>(五)拒绝执行《传染病防治法》及本办法的规定，屡经教育仍继续违法的。</w:t>
      </w:r>
    </w:p>
    <w:p>
      <w:pPr>
        <w:ind w:left="6414"/>
        <w:spacing w:before="58"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99"/>
          <w:pgSz w:w="16830" w:h="11900"/>
          <w:pgMar w:top="1011" w:right="1309" w:bottom="1107" w:left="1439" w:header="0" w:footer="774" w:gutter="0"/>
        </w:sectPr>
        <w:rPr>
          <w:rFonts w:ascii="SimHei" w:hAnsi="SimHei" w:eastAsia="SimHei" w:cs="SimHei"/>
          <w:sz w:val="30"/>
          <w:szCs w:val="30"/>
        </w:rPr>
      </w:pPr>
    </w:p>
    <w:p>
      <w:pPr>
        <w:spacing w:before="17"/>
        <w:rPr/>
      </w:pPr>
      <w:r/>
    </w:p>
    <w:p>
      <w:pPr>
        <w:spacing w:before="16"/>
        <w:rPr/>
      </w:pPr>
      <w:r/>
    </w:p>
    <w:p>
      <w:pPr>
        <w:spacing w:before="16"/>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83"/>
        <w:gridCol w:w="6935"/>
        <w:gridCol w:w="3842"/>
      </w:tblGrid>
      <w:tr>
        <w:trPr>
          <w:trHeight w:val="853" w:hRule="atLeast"/>
        </w:trPr>
        <w:tc>
          <w:tcPr>
            <w:tcW w:w="3383" w:type="dxa"/>
            <w:vAlign w:val="top"/>
          </w:tcPr>
          <w:p>
            <w:pPr>
              <w:pStyle w:val="TableText"/>
              <w:ind w:left="1108"/>
              <w:spacing w:before="182" w:line="220" w:lineRule="auto"/>
              <w:rPr/>
            </w:pPr>
            <w:bookmarkStart w:name="bookmark770" w:id="60"/>
            <w:bookmarkEnd w:id="60"/>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6935" w:type="dxa"/>
            <w:vAlign w:val="top"/>
          </w:tcPr>
          <w:p>
            <w:pPr>
              <w:pStyle w:val="TableText"/>
              <w:ind w:left="2985"/>
              <w:spacing w:before="192" w:line="220" w:lineRule="auto"/>
              <w:rPr/>
            </w:pPr>
            <w:r>
              <w:rPr>
                <w:b/>
                <w:bCs/>
                <w:spacing w:val="-5"/>
              </w:rPr>
              <w:t>情节后果</w:t>
            </w:r>
          </w:p>
        </w:tc>
        <w:tc>
          <w:tcPr>
            <w:tcW w:w="3842" w:type="dxa"/>
            <w:vAlign w:val="top"/>
          </w:tcPr>
          <w:p>
            <w:pPr>
              <w:pStyle w:val="TableText"/>
              <w:ind w:left="1360"/>
              <w:spacing w:before="179" w:line="218" w:lineRule="auto"/>
              <w:rPr/>
            </w:pPr>
            <w:r>
              <w:rPr>
                <w:b/>
                <w:bCs/>
                <w:spacing w:val="-5"/>
              </w:rPr>
              <w:t>裁量幅度</w:t>
            </w:r>
          </w:p>
        </w:tc>
      </w:tr>
      <w:tr>
        <w:trPr>
          <w:trHeight w:val="1957" w:hRule="atLeast"/>
        </w:trPr>
        <w:tc>
          <w:tcPr>
            <w:tcW w:w="3383" w:type="dxa"/>
            <w:vAlign w:val="top"/>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pStyle w:val="TableText"/>
              <w:ind w:left="1348"/>
              <w:spacing w:before="78" w:line="219" w:lineRule="auto"/>
              <w:rPr/>
            </w:pPr>
            <w:r>
              <w:rPr>
                <w:b/>
                <w:bCs/>
                <w:spacing w:val="-8"/>
              </w:rPr>
              <w:t>较</w:t>
            </w:r>
            <w:r>
              <w:rPr>
                <w:spacing w:val="102"/>
              </w:rPr>
              <w:t xml:space="preserve"> </w:t>
            </w:r>
            <w:r>
              <w:rPr>
                <w:b/>
                <w:bCs/>
                <w:spacing w:val="-8"/>
              </w:rPr>
              <w:t>轻</w:t>
            </w:r>
          </w:p>
        </w:tc>
        <w:tc>
          <w:tcPr>
            <w:tcW w:w="6935" w:type="dxa"/>
            <w:vAlign w:val="top"/>
          </w:tcPr>
          <w:p>
            <w:pPr>
              <w:pStyle w:val="TableText"/>
              <w:spacing w:before="90" w:line="219" w:lineRule="auto"/>
              <w:jc w:val="right"/>
              <w:rPr/>
            </w:pPr>
            <w:r>
              <w:rPr>
                <w:spacing w:val="3"/>
              </w:rPr>
              <w:t>生产、经营、使用消毒药剂和消毒器械、卫生用品、卫生材料、</w:t>
            </w:r>
          </w:p>
          <w:p>
            <w:pPr>
              <w:pStyle w:val="TableText"/>
              <w:ind w:left="11" w:firstLine="147"/>
              <w:spacing w:before="156" w:line="340" w:lineRule="auto"/>
              <w:rPr/>
            </w:pPr>
            <w:r>
              <w:rPr>
                <w:spacing w:val="-4"/>
              </w:rPr>
              <w:t>一次性医疗器材、隐形眼镜、人造器官等有1项指标不符合国家</w:t>
            </w:r>
            <w:r>
              <w:rPr>
                <w:spacing w:val="5"/>
              </w:rPr>
              <w:t xml:space="preserve">   </w:t>
            </w:r>
            <w:r>
              <w:rPr>
                <w:spacing w:val="-2"/>
              </w:rPr>
              <w:t>卫生标准，可能造成传染病的传播、扩散或者造成传染病的传播、</w:t>
            </w:r>
            <w:r>
              <w:rPr>
                <w:spacing w:val="10"/>
              </w:rPr>
              <w:t xml:space="preserve"> </w:t>
            </w:r>
            <w:r>
              <w:rPr>
                <w:spacing w:val="26"/>
              </w:rPr>
              <w:t>扩散。</w:t>
            </w:r>
          </w:p>
        </w:tc>
        <w:tc>
          <w:tcPr>
            <w:tcW w:w="3842" w:type="dxa"/>
            <w:vAlign w:val="top"/>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16"/>
              <w:spacing w:before="78" w:line="220" w:lineRule="auto"/>
              <w:rPr/>
            </w:pPr>
            <w:r>
              <w:rPr/>
              <w:t>可以处2000元以下罚款。</w:t>
            </w:r>
          </w:p>
        </w:tc>
      </w:tr>
      <w:tr>
        <w:trPr>
          <w:trHeight w:val="1977" w:hRule="atLeast"/>
        </w:trPr>
        <w:tc>
          <w:tcPr>
            <w:tcW w:w="3383"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348"/>
              <w:spacing w:before="78" w:line="221" w:lineRule="auto"/>
              <w:rPr/>
            </w:pPr>
            <w:r>
              <w:rPr>
                <w:b/>
                <w:bCs/>
                <w:spacing w:val="-10"/>
              </w:rPr>
              <w:t>一</w:t>
            </w:r>
            <w:r>
              <w:rPr>
                <w:spacing w:val="105"/>
              </w:rPr>
              <w:t xml:space="preserve"> </w:t>
            </w:r>
            <w:r>
              <w:rPr>
                <w:b/>
                <w:bCs/>
                <w:spacing w:val="-10"/>
              </w:rPr>
              <w:t>般</w:t>
            </w:r>
          </w:p>
        </w:tc>
        <w:tc>
          <w:tcPr>
            <w:tcW w:w="6935" w:type="dxa"/>
            <w:vAlign w:val="top"/>
          </w:tcPr>
          <w:p>
            <w:pPr>
              <w:pStyle w:val="TableText"/>
              <w:ind w:left="102"/>
              <w:spacing w:before="103" w:line="342" w:lineRule="auto"/>
              <w:jc w:val="both"/>
              <w:rPr/>
            </w:pPr>
            <w:r>
              <w:rPr>
                <w:spacing w:val="3"/>
              </w:rPr>
              <w:t>生产、经营、使用消毒药剂和消毒器械、卫生用品、卫生材料、</w:t>
            </w:r>
            <w:r>
              <w:rPr>
                <w:spacing w:val="17"/>
              </w:rPr>
              <w:t xml:space="preserve"> </w:t>
            </w:r>
            <w:r>
              <w:rPr>
                <w:spacing w:val="2"/>
              </w:rPr>
              <w:t>一次性医疗器材、隐形眼镜、人造器官等有2项以上指</w:t>
            </w:r>
            <w:r>
              <w:rPr>
                <w:spacing w:val="1"/>
              </w:rPr>
              <w:t>标不符合</w:t>
            </w:r>
            <w:r>
              <w:rPr/>
              <w:t xml:space="preserve">  </w:t>
            </w:r>
            <w:r>
              <w:rPr/>
              <w:t>国家卫生标准，可能造成传染病的传播、扩散或者造成传染病的  </w:t>
            </w:r>
            <w:r>
              <w:rPr>
                <w:spacing w:val="2"/>
              </w:rPr>
              <w:t>传播、扩散。</w:t>
            </w:r>
          </w:p>
        </w:tc>
        <w:tc>
          <w:tcPr>
            <w:tcW w:w="3842" w:type="dxa"/>
            <w:vAlign w:val="top"/>
          </w:tcPr>
          <w:p>
            <w:pPr>
              <w:spacing w:line="464" w:lineRule="auto"/>
              <w:rPr>
                <w:rFonts w:ascii="Arial"/>
                <w:sz w:val="21"/>
              </w:rPr>
            </w:pPr>
            <w:r/>
          </w:p>
          <w:p>
            <w:pPr>
              <w:pStyle w:val="TableText"/>
              <w:ind w:left="116"/>
              <w:spacing w:before="78" w:line="220" w:lineRule="auto"/>
              <w:rPr/>
            </w:pPr>
            <w:r>
              <w:rPr>
                <w:spacing w:val="1"/>
              </w:rPr>
              <w:t>可以处2000元以上5000元以下罚</w:t>
            </w:r>
          </w:p>
          <w:p>
            <w:pPr>
              <w:pStyle w:val="TableText"/>
              <w:ind w:left="116"/>
              <w:spacing w:before="144" w:line="221" w:lineRule="auto"/>
              <w:rPr/>
            </w:pPr>
            <w:r>
              <w:rPr>
                <w:color w:val="406080"/>
              </w:rPr>
              <w:t>款。</w:t>
            </w:r>
          </w:p>
        </w:tc>
      </w:tr>
      <w:tr>
        <w:trPr>
          <w:trHeight w:val="1083" w:hRule="atLeast"/>
        </w:trPr>
        <w:tc>
          <w:tcPr>
            <w:tcW w:w="3383" w:type="dxa"/>
            <w:vAlign w:val="top"/>
          </w:tcPr>
          <w:p>
            <w:pPr>
              <w:pStyle w:val="TableText"/>
              <w:ind w:left="1348"/>
              <w:spacing w:before="277" w:line="221" w:lineRule="auto"/>
              <w:rPr/>
            </w:pPr>
            <w:r>
              <w:rPr>
                <w:b/>
                <w:bCs/>
                <w:spacing w:val="-8"/>
              </w:rPr>
              <w:t>较</w:t>
            </w:r>
            <w:r>
              <w:rPr>
                <w:spacing w:val="104"/>
              </w:rPr>
              <w:t xml:space="preserve"> </w:t>
            </w:r>
            <w:r>
              <w:rPr>
                <w:b/>
                <w:bCs/>
                <w:spacing w:val="-8"/>
              </w:rPr>
              <w:t>重</w:t>
            </w:r>
          </w:p>
        </w:tc>
        <w:tc>
          <w:tcPr>
            <w:tcW w:w="6935" w:type="dxa"/>
            <w:vAlign w:val="top"/>
          </w:tcPr>
          <w:p>
            <w:pPr>
              <w:pStyle w:val="TableText"/>
              <w:ind w:left="102"/>
              <w:spacing w:before="308" w:line="219" w:lineRule="auto"/>
              <w:rPr/>
            </w:pPr>
            <w:r>
              <w:rPr/>
              <w:t>办法第六十六条第二款规定的情形之一的行为。</w:t>
            </w:r>
          </w:p>
        </w:tc>
        <w:tc>
          <w:tcPr>
            <w:tcW w:w="3842" w:type="dxa"/>
            <w:vAlign w:val="top"/>
          </w:tcPr>
          <w:p>
            <w:pPr>
              <w:pStyle w:val="TableText"/>
              <w:ind w:left="116"/>
              <w:spacing w:before="108" w:line="220" w:lineRule="auto"/>
              <w:rPr/>
            </w:pPr>
            <w:r>
              <w:rPr>
                <w:spacing w:val="1"/>
              </w:rPr>
              <w:t>可以处5000元以上2万元以下罚</w:t>
            </w:r>
          </w:p>
          <w:p>
            <w:pPr>
              <w:pStyle w:val="TableText"/>
              <w:ind w:left="116"/>
              <w:spacing w:before="144" w:line="221" w:lineRule="auto"/>
              <w:rPr/>
            </w:pPr>
            <w:r>
              <w:rPr>
                <w:color w:val="405060"/>
              </w:rPr>
              <w:t>款。</w:t>
            </w:r>
          </w:p>
        </w:tc>
      </w:tr>
    </w:tbl>
    <w:p>
      <w:pPr>
        <w:ind w:left="149" w:right="112" w:firstLine="649"/>
        <w:spacing w:before="77" w:line="288" w:lineRule="auto"/>
        <w:rPr>
          <w:rFonts w:ascii="FangSong" w:hAnsi="FangSong" w:eastAsia="FangSong" w:cs="FangSong"/>
          <w:sz w:val="30"/>
          <w:szCs w:val="30"/>
        </w:rPr>
      </w:pPr>
      <w:r>
        <w:rPr>
          <w:rFonts w:ascii="FangSong" w:hAnsi="FangSong" w:eastAsia="FangSong" w:cs="FangSong"/>
          <w:sz w:val="30"/>
          <w:szCs w:val="30"/>
          <w:b/>
          <w:bCs/>
          <w:spacing w:val="20"/>
        </w:rPr>
        <w:t>第二十七条准许或者纵容传染病病人、病原携带者和疑似传染病病人，从事国务院卫生行政部</w:t>
      </w:r>
      <w:r>
        <w:rPr>
          <w:rFonts w:ascii="FangSong" w:hAnsi="FangSong" w:eastAsia="FangSong" w:cs="FangSong"/>
          <w:sz w:val="30"/>
          <w:szCs w:val="30"/>
          <w:spacing w:val="8"/>
        </w:rPr>
        <w:t xml:space="preserve"> </w:t>
      </w:r>
      <w:r>
        <w:rPr>
          <w:rFonts w:ascii="FangSong" w:hAnsi="FangSong" w:eastAsia="FangSong" w:cs="FangSong"/>
          <w:sz w:val="30"/>
          <w:szCs w:val="30"/>
          <w:b/>
          <w:bCs/>
          <w:spacing w:val="15"/>
        </w:rPr>
        <w:t>门规定禁止从事的易使该传染病扩散的工作的</w:t>
      </w:r>
    </w:p>
    <w:p>
      <w:pPr>
        <w:ind w:left="785"/>
        <w:spacing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135" w:right="35" w:firstLine="649"/>
        <w:spacing w:before="93" w:line="271" w:lineRule="auto"/>
        <w:rPr>
          <w:rFonts w:ascii="FangSong" w:hAnsi="FangSong" w:eastAsia="FangSong" w:cs="FangSong"/>
          <w:sz w:val="30"/>
          <w:szCs w:val="30"/>
        </w:rPr>
      </w:pPr>
      <w:r>
        <w:rPr>
          <w:rFonts w:ascii="FangSong" w:hAnsi="FangSong" w:eastAsia="FangSong" w:cs="FangSong"/>
          <w:sz w:val="30"/>
          <w:szCs w:val="30"/>
          <w:spacing w:val="27"/>
        </w:rPr>
        <w:t>《中华人民共和国传染病防治法实施办法》第六</w:t>
      </w:r>
      <w:r>
        <w:rPr>
          <w:rFonts w:ascii="FangSong" w:hAnsi="FangSong" w:eastAsia="FangSong" w:cs="FangSong"/>
          <w:sz w:val="30"/>
          <w:szCs w:val="30"/>
          <w:spacing w:val="26"/>
        </w:rPr>
        <w:t>十六条第一款第(八)项、第二款</w:t>
      </w:r>
      <w:r>
        <w:rPr>
          <w:rFonts w:ascii="FangSong" w:hAnsi="FangSong" w:eastAsia="FangSong" w:cs="FangSong"/>
          <w:sz w:val="30"/>
          <w:szCs w:val="30"/>
          <w:spacing w:val="26"/>
        </w:rPr>
        <w:t xml:space="preserve">   </w:t>
      </w:r>
      <w:r>
        <w:rPr>
          <w:rFonts w:ascii="FangSong" w:hAnsi="FangSong" w:eastAsia="FangSong" w:cs="FangSong"/>
          <w:sz w:val="30"/>
          <w:szCs w:val="30"/>
          <w:spacing w:val="26"/>
        </w:rPr>
        <w:t>有下列行</w:t>
      </w:r>
      <w:r>
        <w:rPr>
          <w:rFonts w:ascii="FangSong" w:hAnsi="FangSong" w:eastAsia="FangSong" w:cs="FangSong"/>
          <w:sz w:val="30"/>
          <w:szCs w:val="30"/>
        </w:rPr>
        <w:t xml:space="preserve"> </w:t>
      </w:r>
      <w:r>
        <w:rPr>
          <w:rFonts w:ascii="FangSong" w:hAnsi="FangSong" w:eastAsia="FangSong" w:cs="FangSong"/>
          <w:sz w:val="30"/>
          <w:szCs w:val="30"/>
          <w:spacing w:val="18"/>
        </w:rPr>
        <w:t>为之一的，由县级以上政府卫生行政部门责令限期改正，可以处五千元以下的罚款；情节较严重的，</w:t>
      </w:r>
    </w:p>
    <w:p>
      <w:pPr>
        <w:spacing w:line="271" w:lineRule="auto"/>
        <w:sectPr>
          <w:footerReference w:type="default" r:id="rId100"/>
          <w:pgSz w:w="16830" w:h="11900"/>
          <w:pgMar w:top="1011" w:right="1344" w:bottom="1117" w:left="1314" w:header="0" w:footer="784" w:gutter="0"/>
        </w:sectPr>
        <w:rPr>
          <w:rFonts w:ascii="FangSong" w:hAnsi="FangSong" w:eastAsia="FangSong" w:cs="FangSong"/>
          <w:sz w:val="30"/>
          <w:szCs w:val="30"/>
        </w:rPr>
      </w:pPr>
    </w:p>
    <w:p>
      <w:pPr>
        <w:pStyle w:val="BodyText"/>
        <w:spacing w:line="267" w:lineRule="auto"/>
        <w:rPr/>
      </w:pPr>
      <w:r/>
    </w:p>
    <w:p>
      <w:pPr>
        <w:pStyle w:val="BodyText"/>
        <w:spacing w:line="267" w:lineRule="auto"/>
        <w:rPr/>
      </w:pPr>
      <w:r/>
    </w:p>
    <w:p>
      <w:pPr>
        <w:pStyle w:val="BodyText"/>
        <w:spacing w:line="267" w:lineRule="auto"/>
        <w:rPr/>
      </w:pPr>
      <w:r/>
    </w:p>
    <w:p>
      <w:pPr>
        <w:ind w:left="115" w:right="103"/>
        <w:spacing w:before="97" w:line="265" w:lineRule="auto"/>
        <w:rPr>
          <w:rFonts w:ascii="FangSong" w:hAnsi="FangSong" w:eastAsia="FangSong" w:cs="FangSong"/>
          <w:sz w:val="30"/>
          <w:szCs w:val="30"/>
        </w:rPr>
      </w:pPr>
      <w:r>
        <w:rPr>
          <w:rFonts w:ascii="FangSong" w:hAnsi="FangSong" w:eastAsia="FangSong" w:cs="FangSong"/>
          <w:sz w:val="30"/>
          <w:szCs w:val="30"/>
          <w:spacing w:val="17"/>
        </w:rPr>
        <w:t>可以处五千元以上二万元以下的罚款，对主管人员和直接责</w:t>
      </w:r>
      <w:r>
        <w:rPr>
          <w:rFonts w:ascii="FangSong" w:hAnsi="FangSong" w:eastAsia="FangSong" w:cs="FangSong"/>
          <w:sz w:val="30"/>
          <w:szCs w:val="30"/>
          <w:spacing w:val="16"/>
        </w:rPr>
        <w:t>任人员由其所在单位或者上级机关给予行</w:t>
      </w:r>
      <w:r>
        <w:rPr>
          <w:rFonts w:ascii="FangSong" w:hAnsi="FangSong" w:eastAsia="FangSong" w:cs="FangSong"/>
          <w:sz w:val="30"/>
          <w:szCs w:val="30"/>
        </w:rPr>
        <w:t xml:space="preserve"> </w:t>
      </w:r>
      <w:r>
        <w:rPr>
          <w:rFonts w:ascii="FangSong" w:hAnsi="FangSong" w:eastAsia="FangSong" w:cs="FangSong"/>
          <w:sz w:val="30"/>
          <w:szCs w:val="30"/>
          <w:spacing w:val="2"/>
        </w:rPr>
        <w:t>政处分：</w:t>
      </w:r>
    </w:p>
    <w:p>
      <w:pPr>
        <w:ind w:left="115" w:right="103" w:firstLine="790"/>
        <w:spacing w:before="2" w:line="276" w:lineRule="auto"/>
        <w:rPr>
          <w:rFonts w:ascii="FangSong" w:hAnsi="FangSong" w:eastAsia="FangSong" w:cs="FangSong"/>
          <w:sz w:val="30"/>
          <w:szCs w:val="30"/>
        </w:rPr>
      </w:pPr>
      <w:r>
        <w:rPr>
          <w:rFonts w:ascii="FangSong" w:hAnsi="FangSong" w:eastAsia="FangSong" w:cs="FangSong"/>
          <w:sz w:val="30"/>
          <w:szCs w:val="30"/>
          <w:spacing w:val="20"/>
        </w:rPr>
        <w:t>(八)准许或者纵容传染病病人、病原携带者和疑似传染病病人，从事国务院卫生行政部门规定</w:t>
      </w:r>
      <w:r>
        <w:rPr>
          <w:rFonts w:ascii="FangSong" w:hAnsi="FangSong" w:eastAsia="FangSong" w:cs="FangSong"/>
          <w:sz w:val="30"/>
          <w:szCs w:val="30"/>
        </w:rPr>
        <w:t xml:space="preserve"> </w:t>
      </w:r>
      <w:r>
        <w:rPr>
          <w:rFonts w:ascii="FangSong" w:hAnsi="FangSong" w:eastAsia="FangSong" w:cs="FangSong"/>
          <w:sz w:val="30"/>
          <w:szCs w:val="30"/>
          <w:spacing w:val="16"/>
        </w:rPr>
        <w:t>禁止从事的易使该传染病扩散的工作的；</w:t>
      </w:r>
    </w:p>
    <w:p>
      <w:pPr>
        <w:ind w:left="905"/>
        <w:spacing w:before="1" w:line="221" w:lineRule="auto"/>
        <w:rPr>
          <w:rFonts w:ascii="FangSong" w:hAnsi="FangSong" w:eastAsia="FangSong" w:cs="FangSong"/>
          <w:sz w:val="30"/>
          <w:szCs w:val="30"/>
        </w:rPr>
      </w:pPr>
      <w:r>
        <w:rPr>
          <w:rFonts w:ascii="FangSong" w:hAnsi="FangSong" w:eastAsia="FangSong" w:cs="FangSong"/>
          <w:sz w:val="30"/>
          <w:szCs w:val="30"/>
          <w:spacing w:val="18"/>
        </w:rPr>
        <w:t>前款所称情节较严重的，是指下列情形之一：</w:t>
      </w:r>
    </w:p>
    <w:p>
      <w:pPr>
        <w:ind w:left="905"/>
        <w:spacing w:before="94" w:line="222" w:lineRule="auto"/>
        <w:rPr>
          <w:rFonts w:ascii="FangSong" w:hAnsi="FangSong" w:eastAsia="FangSong" w:cs="FangSong"/>
          <w:sz w:val="30"/>
          <w:szCs w:val="30"/>
        </w:rPr>
      </w:pPr>
      <w:r>
        <w:rPr>
          <w:rFonts w:ascii="FangSong" w:hAnsi="FangSong" w:eastAsia="FangSong" w:cs="FangSong"/>
          <w:sz w:val="30"/>
          <w:szCs w:val="30"/>
          <w:spacing w:val="23"/>
        </w:rPr>
        <w:t>(一)造成甲类传染病、艾滋病、肺炭疽传播危险的；</w:t>
      </w:r>
    </w:p>
    <w:p>
      <w:pPr>
        <w:ind w:left="905"/>
        <w:spacing w:before="66" w:line="221" w:lineRule="auto"/>
        <w:rPr>
          <w:rFonts w:ascii="FangSong" w:hAnsi="FangSong" w:eastAsia="FangSong" w:cs="FangSong"/>
          <w:sz w:val="30"/>
          <w:szCs w:val="30"/>
        </w:rPr>
      </w:pPr>
      <w:r>
        <w:rPr>
          <w:rFonts w:ascii="FangSong" w:hAnsi="FangSong" w:eastAsia="FangSong" w:cs="FangSong"/>
          <w:sz w:val="30"/>
          <w:szCs w:val="30"/>
          <w:spacing w:val="22"/>
        </w:rPr>
        <w:t>(二)造成除艾滋病、肺炭疽之外的乙、丙类传染病暴发、流行</w:t>
      </w:r>
      <w:r>
        <w:rPr>
          <w:rFonts w:ascii="FangSong" w:hAnsi="FangSong" w:eastAsia="FangSong" w:cs="FangSong"/>
          <w:sz w:val="30"/>
          <w:szCs w:val="30"/>
          <w:spacing w:val="21"/>
        </w:rPr>
        <w:t>的；</w:t>
      </w:r>
    </w:p>
    <w:p>
      <w:pPr>
        <w:ind w:left="905"/>
        <w:spacing w:before="90" w:line="221" w:lineRule="auto"/>
        <w:rPr>
          <w:rFonts w:ascii="FangSong" w:hAnsi="FangSong" w:eastAsia="FangSong" w:cs="FangSong"/>
          <w:sz w:val="30"/>
          <w:szCs w:val="30"/>
        </w:rPr>
      </w:pPr>
      <w:r>
        <w:rPr>
          <w:rFonts w:ascii="FangSong" w:hAnsi="FangSong" w:eastAsia="FangSong" w:cs="FangSong"/>
          <w:sz w:val="30"/>
          <w:szCs w:val="30"/>
          <w:spacing w:val="41"/>
        </w:rPr>
        <w:t>(三)造成传染病菌(毒)种扩散的；</w:t>
      </w:r>
    </w:p>
    <w:p>
      <w:pPr>
        <w:ind w:left="905"/>
        <w:spacing w:before="74" w:line="222" w:lineRule="auto"/>
        <w:rPr>
          <w:rFonts w:ascii="FangSong" w:hAnsi="FangSong" w:eastAsia="FangSong" w:cs="FangSong"/>
          <w:sz w:val="30"/>
          <w:szCs w:val="30"/>
        </w:rPr>
      </w:pPr>
      <w:r>
        <w:rPr>
          <w:rFonts w:ascii="FangSong" w:hAnsi="FangSong" w:eastAsia="FangSong" w:cs="FangSong"/>
          <w:sz w:val="30"/>
          <w:szCs w:val="30"/>
          <w:spacing w:val="25"/>
        </w:rPr>
        <w:t>(四)造成病人残废、死亡的；</w:t>
      </w:r>
    </w:p>
    <w:p>
      <w:pPr>
        <w:ind w:left="905"/>
        <w:spacing w:before="56" w:line="221" w:lineRule="auto"/>
        <w:rPr>
          <w:rFonts w:ascii="FangSong" w:hAnsi="FangSong" w:eastAsia="FangSong" w:cs="FangSong"/>
          <w:sz w:val="30"/>
          <w:szCs w:val="30"/>
        </w:rPr>
      </w:pPr>
      <w:r>
        <w:rPr>
          <w:rFonts w:ascii="FangSong" w:hAnsi="FangSong" w:eastAsia="FangSong" w:cs="FangSong"/>
          <w:sz w:val="30"/>
          <w:szCs w:val="30"/>
          <w:spacing w:val="22"/>
        </w:rPr>
        <w:t>(五)拒绝执行《传染病防治法》及本办法的规定，屡经教育仍继续违法的。</w:t>
      </w:r>
    </w:p>
    <w:p>
      <w:pPr>
        <w:ind w:left="6509"/>
        <w:spacing w:before="79" w:line="221" w:lineRule="auto"/>
        <w:rPr>
          <w:rFonts w:ascii="SimHei" w:hAnsi="SimHei" w:eastAsia="SimHei" w:cs="SimHei"/>
          <w:sz w:val="30"/>
          <w:szCs w:val="30"/>
        </w:rPr>
      </w:pPr>
      <w:r>
        <w:rPr>
          <w:rFonts w:ascii="SimHei" w:hAnsi="SimHei" w:eastAsia="SimHei" w:cs="SimHei"/>
          <w:sz w:val="30"/>
          <w:szCs w:val="30"/>
          <w:b/>
          <w:bCs/>
          <w:spacing w:val="-15"/>
        </w:rPr>
        <w:t>裁量标准</w:t>
      </w:r>
    </w:p>
    <w:p>
      <w:pPr>
        <w:spacing w:line="181" w:lineRule="exact"/>
        <w:rPr/>
      </w:pPr>
      <w:r/>
    </w:p>
    <w:tbl>
      <w:tblPr>
        <w:tblStyle w:val="TableNormal"/>
        <w:tblW w:w="141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73"/>
        <w:gridCol w:w="6735"/>
        <w:gridCol w:w="4032"/>
      </w:tblGrid>
      <w:tr>
        <w:trPr>
          <w:trHeight w:val="822" w:hRule="atLeast"/>
        </w:trPr>
        <w:tc>
          <w:tcPr>
            <w:tcW w:w="3373" w:type="dxa"/>
            <w:vAlign w:val="top"/>
          </w:tcPr>
          <w:p>
            <w:pPr>
              <w:pStyle w:val="TableText"/>
              <w:ind w:left="1098"/>
              <w:spacing w:before="17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6735" w:type="dxa"/>
            <w:vAlign w:val="top"/>
          </w:tcPr>
          <w:p>
            <w:pPr>
              <w:pStyle w:val="TableText"/>
              <w:ind w:left="2885"/>
              <w:spacing w:before="172" w:line="220" w:lineRule="auto"/>
              <w:rPr/>
            </w:pPr>
            <w:r>
              <w:rPr>
                <w:b/>
                <w:bCs/>
                <w:spacing w:val="-5"/>
              </w:rPr>
              <w:t>情节后果</w:t>
            </w:r>
          </w:p>
        </w:tc>
        <w:tc>
          <w:tcPr>
            <w:tcW w:w="4032" w:type="dxa"/>
            <w:vAlign w:val="top"/>
          </w:tcPr>
          <w:p>
            <w:pPr>
              <w:pStyle w:val="TableText"/>
              <w:ind w:left="1460"/>
              <w:spacing w:before="169" w:line="218" w:lineRule="auto"/>
              <w:rPr/>
            </w:pPr>
            <w:r>
              <w:rPr>
                <w:b/>
                <w:bCs/>
                <w:spacing w:val="-5"/>
              </w:rPr>
              <w:t>裁量幅度</w:t>
            </w:r>
          </w:p>
        </w:tc>
      </w:tr>
      <w:tr>
        <w:trPr>
          <w:trHeight w:val="1897" w:hRule="atLeast"/>
        </w:trPr>
        <w:tc>
          <w:tcPr>
            <w:tcW w:w="3373"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438"/>
              <w:spacing w:before="78" w:line="219" w:lineRule="auto"/>
              <w:rPr/>
            </w:pPr>
            <w:r>
              <w:rPr>
                <w:b/>
                <w:bCs/>
                <w:spacing w:val="-5"/>
              </w:rPr>
              <w:t>较轻</w:t>
            </w:r>
          </w:p>
        </w:tc>
        <w:tc>
          <w:tcPr>
            <w:tcW w:w="6735" w:type="dxa"/>
            <w:vAlign w:val="top"/>
          </w:tcPr>
          <w:p>
            <w:pPr>
              <w:pStyle w:val="TableText"/>
              <w:ind w:left="125" w:right="128"/>
              <w:spacing w:before="277" w:line="352" w:lineRule="auto"/>
              <w:jc w:val="both"/>
              <w:rPr/>
            </w:pPr>
            <w:r>
              <w:rPr>
                <w:b/>
                <w:bCs/>
                <w:spacing w:val="-3"/>
              </w:rPr>
              <w:t>准许或者纵容传染病病人、病原携带者和疑似传染病病人，从</w:t>
            </w:r>
            <w:r>
              <w:rPr/>
              <w:t xml:space="preserve"> </w:t>
            </w:r>
            <w:r>
              <w:rPr>
                <w:b/>
                <w:bCs/>
                <w:spacing w:val="-3"/>
              </w:rPr>
              <w:t>事国务院卫生行政部门规定禁止从事的易使该传染病扩散的工</w:t>
            </w:r>
            <w:r>
              <w:rPr>
                <w:spacing w:val="2"/>
              </w:rPr>
              <w:t xml:space="preserve"> </w:t>
            </w:r>
            <w:r>
              <w:rPr>
                <w:b/>
                <w:bCs/>
                <w:spacing w:val="-2"/>
              </w:rPr>
              <w:t>作，涉及人数为1名的</w:t>
            </w:r>
          </w:p>
        </w:tc>
        <w:tc>
          <w:tcPr>
            <w:tcW w:w="4032"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20"/>
              <w:spacing w:before="78" w:line="220" w:lineRule="auto"/>
              <w:rPr/>
            </w:pPr>
            <w:r>
              <w:rPr>
                <w:b/>
                <w:bCs/>
                <w:spacing w:val="-3"/>
              </w:rPr>
              <w:t>可以处2000元以下罚款。</w:t>
            </w:r>
          </w:p>
        </w:tc>
      </w:tr>
    </w:tbl>
    <w:p>
      <w:pPr>
        <w:pStyle w:val="BodyText"/>
        <w:rPr/>
      </w:pPr>
      <w:r/>
    </w:p>
    <w:p>
      <w:pPr>
        <w:sectPr>
          <w:footerReference w:type="default" r:id="rId101"/>
          <w:pgSz w:w="16830" w:h="11900"/>
          <w:pgMar w:top="1011" w:right="1344" w:bottom="1117" w:left="1335" w:header="0" w:footer="784" w:gutter="0"/>
        </w:sectPr>
        <w:rPr/>
      </w:pPr>
    </w:p>
    <w:p>
      <w:pPr>
        <w:spacing w:before="23"/>
        <w:rPr/>
      </w:pPr>
      <w:r/>
    </w:p>
    <w:p>
      <w:pPr>
        <w:spacing w:before="23"/>
        <w:rPr/>
      </w:pPr>
      <w:r/>
    </w:p>
    <w:p>
      <w:pPr>
        <w:spacing w:before="23"/>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93"/>
        <w:gridCol w:w="6725"/>
        <w:gridCol w:w="4052"/>
      </w:tblGrid>
      <w:tr>
        <w:trPr>
          <w:trHeight w:val="1529" w:hRule="atLeast"/>
        </w:trPr>
        <w:tc>
          <w:tcPr>
            <w:tcW w:w="3393" w:type="dxa"/>
            <w:vAlign w:val="top"/>
          </w:tcPr>
          <w:p>
            <w:pPr>
              <w:spacing w:line="285" w:lineRule="auto"/>
              <w:rPr>
                <w:rFonts w:ascii="Arial"/>
                <w:sz w:val="21"/>
              </w:rPr>
            </w:pPr>
            <w:r/>
          </w:p>
          <w:p>
            <w:pPr>
              <w:spacing w:line="286" w:lineRule="auto"/>
              <w:rPr>
                <w:rFonts w:ascii="Arial"/>
                <w:sz w:val="21"/>
              </w:rPr>
            </w:pPr>
            <w:r/>
          </w:p>
          <w:p>
            <w:pPr>
              <w:pStyle w:val="TableText"/>
              <w:ind w:left="1448"/>
              <w:spacing w:before="78" w:line="221" w:lineRule="auto"/>
              <w:rPr/>
            </w:pPr>
            <w:bookmarkStart w:name="bookmark771" w:id="61"/>
            <w:bookmarkEnd w:id="61"/>
            <w:r>
              <w:rPr>
                <w:b/>
                <w:bCs/>
                <w:spacing w:val="-10"/>
              </w:rPr>
              <w:t>一般</w:t>
            </w:r>
          </w:p>
        </w:tc>
        <w:tc>
          <w:tcPr>
            <w:tcW w:w="6725" w:type="dxa"/>
            <w:vAlign w:val="top"/>
          </w:tcPr>
          <w:p>
            <w:pPr>
              <w:pStyle w:val="TableText"/>
              <w:ind w:left="112" w:right="106"/>
              <w:spacing w:before="93" w:line="344" w:lineRule="auto"/>
              <w:rPr/>
            </w:pPr>
            <w:r>
              <w:rPr/>
              <w:t>准许或者纵容传染病病人、病原携带者和疑似传染病病人2人</w:t>
            </w:r>
            <w:r>
              <w:rPr>
                <w:spacing w:val="4"/>
              </w:rPr>
              <w:t xml:space="preserve">  </w:t>
            </w:r>
            <w:r>
              <w:rPr/>
              <w:t>以上，从事国务院卫生行政部门规定禁止从事的易使该传染病</w:t>
            </w:r>
            <w:r>
              <w:rPr>
                <w:spacing w:val="15"/>
              </w:rPr>
              <w:t xml:space="preserve"> </w:t>
            </w:r>
            <w:r>
              <w:rPr>
                <w:spacing w:val="-1"/>
              </w:rPr>
              <w:t>扩散的工作。</w:t>
            </w:r>
          </w:p>
        </w:tc>
        <w:tc>
          <w:tcPr>
            <w:tcW w:w="4052" w:type="dxa"/>
            <w:vAlign w:val="top"/>
          </w:tcPr>
          <w:p>
            <w:pPr>
              <w:pStyle w:val="TableText"/>
              <w:ind w:left="126"/>
              <w:spacing w:before="305" w:line="220" w:lineRule="auto"/>
              <w:rPr/>
            </w:pPr>
            <w:r>
              <w:rPr>
                <w:spacing w:val="1"/>
              </w:rPr>
              <w:t>可以处2000元以上5000元以下罚</w:t>
            </w:r>
          </w:p>
          <w:p>
            <w:pPr>
              <w:pStyle w:val="TableText"/>
              <w:ind w:left="126"/>
              <w:spacing w:before="154" w:line="221" w:lineRule="auto"/>
              <w:rPr/>
            </w:pPr>
            <w:r>
              <w:rPr>
                <w:color w:val="405060"/>
              </w:rPr>
              <w:t>款。</w:t>
            </w:r>
          </w:p>
        </w:tc>
      </w:tr>
      <w:tr>
        <w:trPr>
          <w:trHeight w:val="1051" w:hRule="atLeast"/>
        </w:trPr>
        <w:tc>
          <w:tcPr>
            <w:tcW w:w="3393" w:type="dxa"/>
            <w:vAlign w:val="top"/>
          </w:tcPr>
          <w:p>
            <w:pPr>
              <w:pStyle w:val="TableText"/>
              <w:ind w:left="1448"/>
              <w:spacing w:before="295" w:line="221" w:lineRule="auto"/>
              <w:rPr/>
            </w:pPr>
            <w:r>
              <w:rPr>
                <w:b/>
                <w:bCs/>
                <w:spacing w:val="-5"/>
              </w:rPr>
              <w:t>较重</w:t>
            </w:r>
          </w:p>
        </w:tc>
        <w:tc>
          <w:tcPr>
            <w:tcW w:w="6725" w:type="dxa"/>
            <w:vAlign w:val="top"/>
          </w:tcPr>
          <w:p>
            <w:pPr>
              <w:pStyle w:val="TableText"/>
              <w:ind w:left="112"/>
              <w:spacing w:before="294" w:line="219" w:lineRule="auto"/>
              <w:rPr/>
            </w:pPr>
            <w:r>
              <w:rPr/>
              <w:t>本办法第六十六条第二款规定的情形之一的行为。</w:t>
            </w:r>
          </w:p>
        </w:tc>
        <w:tc>
          <w:tcPr>
            <w:tcW w:w="4052" w:type="dxa"/>
            <w:vAlign w:val="top"/>
          </w:tcPr>
          <w:p>
            <w:pPr>
              <w:pStyle w:val="TableText"/>
              <w:ind w:left="126"/>
              <w:spacing w:before="296" w:line="220" w:lineRule="auto"/>
              <w:rPr/>
            </w:pPr>
            <w:r>
              <w:rPr/>
              <w:t>可以处5000元以上2万元以下罚款。</w:t>
            </w:r>
          </w:p>
        </w:tc>
      </w:tr>
    </w:tbl>
    <w:p>
      <w:pPr>
        <w:ind w:left="799"/>
        <w:spacing w:before="87" w:line="220" w:lineRule="auto"/>
        <w:rPr>
          <w:rFonts w:ascii="FangSong" w:hAnsi="FangSong" w:eastAsia="FangSong" w:cs="FangSong"/>
          <w:sz w:val="30"/>
          <w:szCs w:val="30"/>
        </w:rPr>
      </w:pPr>
      <w:r>
        <w:rPr>
          <w:rFonts w:ascii="FangSong" w:hAnsi="FangSong" w:eastAsia="FangSong" w:cs="FangSong"/>
          <w:sz w:val="30"/>
          <w:szCs w:val="30"/>
          <w:b/>
          <w:bCs/>
          <w:spacing w:val="22"/>
        </w:rPr>
        <w:t>第二十八条传染病病人、病原携带者故意传播传</w:t>
      </w:r>
      <w:r>
        <w:rPr>
          <w:rFonts w:ascii="FangSong" w:hAnsi="FangSong" w:eastAsia="FangSong" w:cs="FangSong"/>
          <w:sz w:val="30"/>
          <w:szCs w:val="30"/>
          <w:b/>
          <w:bCs/>
          <w:spacing w:val="21"/>
        </w:rPr>
        <w:t>染病，造成他人感染的</w:t>
      </w:r>
    </w:p>
    <w:p>
      <w:pPr>
        <w:ind w:left="795"/>
        <w:spacing w:before="11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35" w:right="4" w:firstLine="629"/>
        <w:spacing w:before="63" w:line="271" w:lineRule="auto"/>
        <w:jc w:val="both"/>
        <w:rPr>
          <w:rFonts w:ascii="FangSong" w:hAnsi="FangSong" w:eastAsia="FangSong" w:cs="FangSong"/>
          <w:sz w:val="30"/>
          <w:szCs w:val="30"/>
        </w:rPr>
      </w:pPr>
      <w:r>
        <w:rPr>
          <w:rFonts w:ascii="FangSong" w:hAnsi="FangSong" w:eastAsia="FangSong" w:cs="FangSong"/>
          <w:sz w:val="30"/>
          <w:szCs w:val="30"/>
          <w:spacing w:val="27"/>
        </w:rPr>
        <w:t>《中华人民共和国传染病防治法实施办法》第六十六条第一款第(九)项</w:t>
      </w:r>
      <w:r>
        <w:rPr>
          <w:rFonts w:ascii="FangSong" w:hAnsi="FangSong" w:eastAsia="FangSong" w:cs="FangSong"/>
          <w:sz w:val="30"/>
          <w:szCs w:val="30"/>
          <w:spacing w:val="26"/>
        </w:rPr>
        <w:t>、第二款</w:t>
      </w:r>
      <w:r>
        <w:rPr>
          <w:rFonts w:ascii="FangSong" w:hAnsi="FangSong" w:eastAsia="FangSong" w:cs="FangSong"/>
          <w:sz w:val="30"/>
          <w:szCs w:val="30"/>
          <w:spacing w:val="26"/>
        </w:rPr>
        <w:t xml:space="preserve">   </w:t>
      </w:r>
      <w:r>
        <w:rPr>
          <w:rFonts w:ascii="FangSong" w:hAnsi="FangSong" w:eastAsia="FangSong" w:cs="FangSong"/>
          <w:sz w:val="30"/>
          <w:szCs w:val="30"/>
          <w:spacing w:val="26"/>
        </w:rPr>
        <w:t>有下列行</w:t>
      </w:r>
      <w:r>
        <w:rPr>
          <w:rFonts w:ascii="FangSong" w:hAnsi="FangSong" w:eastAsia="FangSong" w:cs="FangSong"/>
          <w:sz w:val="30"/>
          <w:szCs w:val="30"/>
        </w:rPr>
        <w:t xml:space="preserve"> </w:t>
      </w:r>
      <w:r>
        <w:rPr>
          <w:rFonts w:ascii="FangSong" w:hAnsi="FangSong" w:eastAsia="FangSong" w:cs="FangSong"/>
          <w:sz w:val="30"/>
          <w:szCs w:val="30"/>
          <w:spacing w:val="19"/>
        </w:rPr>
        <w:t>为之一的，由县级以上政府卫生行政部门责令限期改正，可以处五千元以下的罚款；情节较严重的，</w:t>
      </w:r>
      <w:r>
        <w:rPr>
          <w:rFonts w:ascii="FangSong" w:hAnsi="FangSong" w:eastAsia="FangSong" w:cs="FangSong"/>
          <w:sz w:val="30"/>
          <w:szCs w:val="30"/>
          <w:spacing w:val="3"/>
        </w:rPr>
        <w:t xml:space="preserve"> </w:t>
      </w:r>
      <w:r>
        <w:rPr>
          <w:rFonts w:ascii="FangSong" w:hAnsi="FangSong" w:eastAsia="FangSong" w:cs="FangSong"/>
          <w:sz w:val="30"/>
          <w:szCs w:val="30"/>
          <w:spacing w:val="17"/>
        </w:rPr>
        <w:t>可以处五千元以上二万元以下的罚款，对主管人员和直接责</w:t>
      </w:r>
      <w:r>
        <w:rPr>
          <w:rFonts w:ascii="FangSong" w:hAnsi="FangSong" w:eastAsia="FangSong" w:cs="FangSong"/>
          <w:sz w:val="30"/>
          <w:szCs w:val="30"/>
          <w:spacing w:val="16"/>
        </w:rPr>
        <w:t>任人员由其所在单位或者上级机关给予行</w:t>
      </w:r>
      <w:r>
        <w:rPr>
          <w:rFonts w:ascii="FangSong" w:hAnsi="FangSong" w:eastAsia="FangSong" w:cs="FangSong"/>
          <w:sz w:val="30"/>
          <w:szCs w:val="30"/>
        </w:rPr>
        <w:t xml:space="preserve"> </w:t>
      </w:r>
      <w:r>
        <w:rPr>
          <w:rFonts w:ascii="FangSong" w:hAnsi="FangSong" w:eastAsia="FangSong" w:cs="FangSong"/>
          <w:sz w:val="30"/>
          <w:szCs w:val="30"/>
          <w:spacing w:val="4"/>
        </w:rPr>
        <w:t>政处分：</w:t>
      </w:r>
    </w:p>
    <w:p>
      <w:pPr>
        <w:ind w:left="914" w:right="3894"/>
        <w:rPr>
          <w:rFonts w:ascii="FangSong" w:hAnsi="FangSong" w:eastAsia="FangSong" w:cs="FangSong"/>
          <w:sz w:val="30"/>
          <w:szCs w:val="30"/>
        </w:rPr>
      </w:pPr>
      <w:r>
        <w:rPr>
          <w:rFonts w:ascii="FangSong" w:hAnsi="FangSong" w:eastAsia="FangSong" w:cs="FangSong"/>
          <w:sz w:val="30"/>
          <w:szCs w:val="30"/>
          <w:spacing w:val="22"/>
        </w:rPr>
        <w:t>(九)传染病病人、病原携带者故意传播传染病，造成他人感染的；</w:t>
      </w:r>
      <w:r>
        <w:rPr>
          <w:rFonts w:ascii="FangSong" w:hAnsi="FangSong" w:eastAsia="FangSong" w:cs="FangSong"/>
          <w:sz w:val="30"/>
          <w:szCs w:val="30"/>
          <w:spacing w:val="9"/>
        </w:rPr>
        <w:t xml:space="preserve"> </w:t>
      </w:r>
      <w:r>
        <w:rPr>
          <w:rFonts w:ascii="FangSong" w:hAnsi="FangSong" w:eastAsia="FangSong" w:cs="FangSong"/>
          <w:sz w:val="30"/>
          <w:szCs w:val="30"/>
          <w:spacing w:val="18"/>
        </w:rPr>
        <w:t>前款所称情节较严重的，是指下列情形之一：</w:t>
      </w:r>
    </w:p>
    <w:p>
      <w:pPr>
        <w:ind w:left="914"/>
        <w:spacing w:before="114" w:line="222" w:lineRule="auto"/>
        <w:rPr>
          <w:rFonts w:ascii="FangSong" w:hAnsi="FangSong" w:eastAsia="FangSong" w:cs="FangSong"/>
          <w:sz w:val="30"/>
          <w:szCs w:val="30"/>
        </w:rPr>
      </w:pPr>
      <w:r>
        <w:rPr>
          <w:rFonts w:ascii="FangSong" w:hAnsi="FangSong" w:eastAsia="FangSong" w:cs="FangSong"/>
          <w:sz w:val="30"/>
          <w:szCs w:val="30"/>
          <w:spacing w:val="23"/>
        </w:rPr>
        <w:t>(一)造成甲类传染病、艾滋病、肺炭疽传播</w:t>
      </w:r>
      <w:r>
        <w:rPr>
          <w:rFonts w:ascii="FangSong" w:hAnsi="FangSong" w:eastAsia="FangSong" w:cs="FangSong"/>
          <w:sz w:val="30"/>
          <w:szCs w:val="30"/>
          <w:spacing w:val="22"/>
        </w:rPr>
        <w:t>危险的；</w:t>
      </w:r>
    </w:p>
    <w:p>
      <w:pPr>
        <w:ind w:left="914"/>
        <w:spacing w:before="96" w:line="221" w:lineRule="auto"/>
        <w:rPr>
          <w:rFonts w:ascii="FangSong" w:hAnsi="FangSong" w:eastAsia="FangSong" w:cs="FangSong"/>
          <w:sz w:val="30"/>
          <w:szCs w:val="30"/>
        </w:rPr>
      </w:pPr>
      <w:r>
        <w:rPr>
          <w:rFonts w:ascii="FangSong" w:hAnsi="FangSong" w:eastAsia="FangSong" w:cs="FangSong"/>
          <w:sz w:val="30"/>
          <w:szCs w:val="30"/>
          <w:spacing w:val="22"/>
        </w:rPr>
        <w:t>(二)造成除艾滋病、肺炭疽之外的乙、丙类传染病暴发、流行的；</w:t>
      </w:r>
    </w:p>
    <w:p>
      <w:pPr>
        <w:ind w:left="914"/>
        <w:spacing w:before="40" w:line="221" w:lineRule="auto"/>
        <w:rPr>
          <w:rFonts w:ascii="FangSong" w:hAnsi="FangSong" w:eastAsia="FangSong" w:cs="FangSong"/>
          <w:sz w:val="30"/>
          <w:szCs w:val="30"/>
        </w:rPr>
      </w:pPr>
      <w:r>
        <w:rPr>
          <w:rFonts w:ascii="FangSong" w:hAnsi="FangSong" w:eastAsia="FangSong" w:cs="FangSong"/>
          <w:sz w:val="30"/>
          <w:szCs w:val="30"/>
          <w:spacing w:val="40"/>
        </w:rPr>
        <w:t>(三)造成传染病菌(毒)种扩散的；</w:t>
      </w:r>
    </w:p>
    <w:p>
      <w:pPr>
        <w:ind w:left="914"/>
        <w:spacing w:before="74" w:line="222" w:lineRule="auto"/>
        <w:rPr>
          <w:rFonts w:ascii="FangSong" w:hAnsi="FangSong" w:eastAsia="FangSong" w:cs="FangSong"/>
          <w:sz w:val="30"/>
          <w:szCs w:val="30"/>
        </w:rPr>
      </w:pPr>
      <w:r>
        <w:rPr>
          <w:rFonts w:ascii="FangSong" w:hAnsi="FangSong" w:eastAsia="FangSong" w:cs="FangSong"/>
          <w:sz w:val="30"/>
          <w:szCs w:val="30"/>
          <w:spacing w:val="23"/>
        </w:rPr>
        <w:t>(四)造成病人残废、死亡的；</w:t>
      </w:r>
    </w:p>
    <w:p>
      <w:pPr>
        <w:spacing w:line="222" w:lineRule="auto"/>
        <w:sectPr>
          <w:footerReference w:type="default" r:id="rId102"/>
          <w:pgSz w:w="16830" w:h="11900"/>
          <w:pgMar w:top="1011" w:right="1335" w:bottom="1118" w:left="1314" w:header="0" w:footer="785" w:gutter="0"/>
        </w:sectPr>
        <w:rPr>
          <w:rFonts w:ascii="FangSong" w:hAnsi="FangSong" w:eastAsia="FangSong" w:cs="FangSong"/>
          <w:sz w:val="30"/>
          <w:szCs w:val="30"/>
        </w:rPr>
      </w:pPr>
    </w:p>
    <w:p>
      <w:pPr>
        <w:pStyle w:val="BodyText"/>
        <w:spacing w:line="257" w:lineRule="auto"/>
        <w:rPr/>
      </w:pPr>
      <w:r/>
    </w:p>
    <w:p>
      <w:pPr>
        <w:pStyle w:val="BodyText"/>
        <w:spacing w:line="257" w:lineRule="auto"/>
        <w:rPr/>
      </w:pPr>
      <w:r/>
    </w:p>
    <w:p>
      <w:pPr>
        <w:pStyle w:val="BodyText"/>
        <w:spacing w:line="258" w:lineRule="auto"/>
        <w:rPr/>
      </w:pPr>
      <w:r/>
    </w:p>
    <w:p>
      <w:pPr>
        <w:ind w:left="6539" w:right="2564" w:hanging="5604"/>
        <w:spacing w:before="98" w:line="251" w:lineRule="auto"/>
        <w:rPr>
          <w:rFonts w:ascii="SimSun" w:hAnsi="SimSun" w:eastAsia="SimSun" w:cs="SimSun"/>
          <w:sz w:val="28"/>
          <w:szCs w:val="28"/>
        </w:rPr>
      </w:pPr>
      <w:bookmarkStart w:name="bookmark772" w:id="62"/>
      <w:bookmarkEnd w:id="62"/>
      <w:r>
        <w:rPr>
          <w:rFonts w:ascii="FangSong" w:hAnsi="FangSong" w:eastAsia="FangSong" w:cs="FangSong"/>
          <w:sz w:val="30"/>
          <w:szCs w:val="30"/>
          <w:spacing w:val="22"/>
        </w:rPr>
        <w:t>(五)拒绝执行《传染病防治法》及本办法的规定，屡经教育仍继续违法的。</w:t>
      </w:r>
      <w:r>
        <w:rPr>
          <w:rFonts w:ascii="FangSong" w:hAnsi="FangSong" w:eastAsia="FangSong" w:cs="FangSong"/>
          <w:sz w:val="30"/>
          <w:szCs w:val="30"/>
          <w:spacing w:val="11"/>
        </w:rPr>
        <w:t xml:space="preserve"> </w:t>
      </w:r>
      <w:r>
        <w:rPr>
          <w:rFonts w:ascii="SimSun" w:hAnsi="SimSun" w:eastAsia="SimSun" w:cs="SimSun"/>
          <w:sz w:val="28"/>
          <w:szCs w:val="28"/>
          <w:b/>
          <w:bCs/>
          <w:spacing w:val="-6"/>
        </w:rPr>
        <w:t>裁量标准</w:t>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82"/>
        <w:gridCol w:w="6046"/>
        <w:gridCol w:w="4721"/>
      </w:tblGrid>
      <w:tr>
        <w:trPr>
          <w:trHeight w:val="823" w:hRule="atLeast"/>
        </w:trPr>
        <w:tc>
          <w:tcPr>
            <w:tcW w:w="3382" w:type="dxa"/>
            <w:vAlign w:val="top"/>
          </w:tcPr>
          <w:p>
            <w:pPr>
              <w:pStyle w:val="TableText"/>
              <w:ind w:left="1188"/>
              <w:spacing w:before="292" w:line="220" w:lineRule="auto"/>
              <w:rPr>
                <w:sz w:val="25"/>
                <w:szCs w:val="25"/>
              </w:rPr>
            </w:pPr>
            <w:r>
              <w:rPr>
                <w:sz w:val="25"/>
                <w:szCs w:val="25"/>
                <w:b/>
                <w:bCs/>
                <w:spacing w:val="-5"/>
              </w:rPr>
              <w:t>违法程度</w:t>
            </w:r>
          </w:p>
        </w:tc>
        <w:tc>
          <w:tcPr>
            <w:tcW w:w="6046" w:type="dxa"/>
            <w:vAlign w:val="top"/>
          </w:tcPr>
          <w:p>
            <w:pPr>
              <w:pStyle w:val="TableText"/>
              <w:ind w:left="2456"/>
              <w:spacing w:before="292" w:line="220" w:lineRule="auto"/>
              <w:rPr>
                <w:sz w:val="25"/>
                <w:szCs w:val="25"/>
              </w:rPr>
            </w:pPr>
            <w:r>
              <w:rPr>
                <w:sz w:val="25"/>
                <w:szCs w:val="25"/>
                <w:b/>
                <w:bCs/>
                <w:spacing w:val="-5"/>
              </w:rPr>
              <w:t>情节后果</w:t>
            </w:r>
          </w:p>
        </w:tc>
        <w:tc>
          <w:tcPr>
            <w:tcW w:w="4721" w:type="dxa"/>
            <w:vAlign w:val="top"/>
          </w:tcPr>
          <w:p>
            <w:pPr>
              <w:pStyle w:val="TableText"/>
              <w:ind w:left="1810"/>
              <w:spacing w:before="289" w:line="218" w:lineRule="auto"/>
              <w:rPr>
                <w:sz w:val="25"/>
                <w:szCs w:val="25"/>
              </w:rPr>
            </w:pPr>
            <w:r>
              <w:rPr>
                <w:sz w:val="25"/>
                <w:szCs w:val="25"/>
                <w:b/>
                <w:bCs/>
                <w:spacing w:val="-5"/>
              </w:rPr>
              <w:t>裁量幅度</w:t>
            </w:r>
          </w:p>
        </w:tc>
      </w:tr>
      <w:tr>
        <w:trPr>
          <w:trHeight w:val="1097" w:hRule="atLeast"/>
        </w:trPr>
        <w:tc>
          <w:tcPr>
            <w:tcW w:w="3382" w:type="dxa"/>
            <w:vAlign w:val="top"/>
          </w:tcPr>
          <w:p>
            <w:pPr>
              <w:pStyle w:val="TableText"/>
              <w:ind w:left="1438"/>
              <w:spacing w:before="308" w:line="219" w:lineRule="auto"/>
              <w:rPr>
                <w:sz w:val="25"/>
                <w:szCs w:val="25"/>
              </w:rPr>
            </w:pPr>
            <w:r>
              <w:rPr>
                <w:sz w:val="25"/>
                <w:szCs w:val="25"/>
                <w:b/>
                <w:bCs/>
                <w:spacing w:val="-6"/>
              </w:rPr>
              <w:t>较轻</w:t>
            </w:r>
          </w:p>
        </w:tc>
        <w:tc>
          <w:tcPr>
            <w:tcW w:w="6046" w:type="dxa"/>
            <w:vAlign w:val="top"/>
          </w:tcPr>
          <w:p>
            <w:pPr>
              <w:pStyle w:val="TableText"/>
              <w:ind w:left="92" w:firstLine="10"/>
              <w:spacing w:before="99" w:line="328" w:lineRule="auto"/>
              <w:rPr>
                <w:sz w:val="25"/>
                <w:szCs w:val="25"/>
              </w:rPr>
            </w:pPr>
            <w:r>
              <w:rPr>
                <w:sz w:val="25"/>
                <w:szCs w:val="25"/>
                <w:spacing w:val="-3"/>
              </w:rPr>
              <w:t>传染病病人、病原携带者故意传播传染病，造成他人感</w:t>
            </w:r>
            <w:r>
              <w:rPr>
                <w:sz w:val="25"/>
                <w:szCs w:val="25"/>
                <w:spacing w:val="3"/>
              </w:rPr>
              <w:t xml:space="preserve"> </w:t>
            </w:r>
            <w:r>
              <w:rPr>
                <w:sz w:val="25"/>
                <w:szCs w:val="25"/>
                <w:spacing w:val="3"/>
              </w:rPr>
              <w:t>染人数为1名的</w:t>
            </w:r>
          </w:p>
        </w:tc>
        <w:tc>
          <w:tcPr>
            <w:tcW w:w="4721" w:type="dxa"/>
            <w:vAlign w:val="top"/>
          </w:tcPr>
          <w:p>
            <w:pPr>
              <w:pStyle w:val="TableText"/>
              <w:ind w:left="126"/>
              <w:spacing w:before="313" w:line="220" w:lineRule="auto"/>
              <w:rPr>
                <w:sz w:val="25"/>
                <w:szCs w:val="25"/>
              </w:rPr>
            </w:pPr>
            <w:r>
              <w:rPr>
                <w:sz w:val="25"/>
                <w:szCs w:val="25"/>
              </w:rPr>
              <w:t>处2000元以下罚款。</w:t>
            </w:r>
          </w:p>
        </w:tc>
      </w:tr>
      <w:tr>
        <w:trPr>
          <w:trHeight w:val="1077" w:hRule="atLeast"/>
        </w:trPr>
        <w:tc>
          <w:tcPr>
            <w:tcW w:w="3382" w:type="dxa"/>
            <w:vAlign w:val="top"/>
          </w:tcPr>
          <w:p>
            <w:pPr>
              <w:pStyle w:val="TableText"/>
              <w:ind w:left="1438"/>
              <w:spacing w:before="313" w:line="221" w:lineRule="auto"/>
              <w:rPr>
                <w:sz w:val="25"/>
                <w:szCs w:val="25"/>
              </w:rPr>
            </w:pPr>
            <w:r>
              <w:rPr>
                <w:sz w:val="25"/>
                <w:szCs w:val="25"/>
                <w:b/>
                <w:bCs/>
                <w:spacing w:val="-10"/>
              </w:rPr>
              <w:t>一般</w:t>
            </w:r>
          </w:p>
        </w:tc>
        <w:tc>
          <w:tcPr>
            <w:tcW w:w="6046" w:type="dxa"/>
            <w:vAlign w:val="top"/>
          </w:tcPr>
          <w:p>
            <w:pPr>
              <w:pStyle w:val="TableText"/>
              <w:ind w:left="92" w:right="40" w:firstLine="10"/>
              <w:spacing w:before="95" w:line="343" w:lineRule="auto"/>
              <w:rPr>
                <w:sz w:val="25"/>
                <w:szCs w:val="25"/>
              </w:rPr>
            </w:pPr>
            <w:r>
              <w:rPr>
                <w:sz w:val="25"/>
                <w:szCs w:val="25"/>
              </w:rPr>
              <w:t>传染病病人、病原携带者故意传播传染病，造成2人以</w:t>
            </w:r>
            <w:r>
              <w:rPr>
                <w:sz w:val="25"/>
                <w:szCs w:val="25"/>
                <w:spacing w:val="16"/>
              </w:rPr>
              <w:t xml:space="preserve"> </w:t>
            </w:r>
            <w:r>
              <w:rPr>
                <w:sz w:val="25"/>
                <w:szCs w:val="25"/>
                <w:spacing w:val="1"/>
              </w:rPr>
              <w:t>上感染。</w:t>
            </w:r>
          </w:p>
        </w:tc>
        <w:tc>
          <w:tcPr>
            <w:tcW w:w="4721" w:type="dxa"/>
            <w:vAlign w:val="top"/>
          </w:tcPr>
          <w:p>
            <w:pPr>
              <w:pStyle w:val="TableText"/>
              <w:ind w:left="126"/>
              <w:spacing w:before="316" w:line="220" w:lineRule="auto"/>
              <w:rPr>
                <w:sz w:val="25"/>
                <w:szCs w:val="25"/>
              </w:rPr>
            </w:pPr>
            <w:r>
              <w:rPr>
                <w:sz w:val="25"/>
                <w:szCs w:val="25"/>
              </w:rPr>
              <w:t>处2000元以上5000元以下罚款。</w:t>
            </w:r>
          </w:p>
        </w:tc>
      </w:tr>
      <w:tr>
        <w:trPr>
          <w:trHeight w:val="1023" w:hRule="atLeast"/>
        </w:trPr>
        <w:tc>
          <w:tcPr>
            <w:tcW w:w="3382" w:type="dxa"/>
            <w:vAlign w:val="top"/>
          </w:tcPr>
          <w:p>
            <w:pPr>
              <w:pStyle w:val="TableText"/>
              <w:ind w:left="1438"/>
              <w:spacing w:before="288" w:line="221" w:lineRule="auto"/>
              <w:rPr>
                <w:sz w:val="25"/>
                <w:szCs w:val="25"/>
              </w:rPr>
            </w:pPr>
            <w:r>
              <w:rPr>
                <w:sz w:val="25"/>
                <w:szCs w:val="25"/>
                <w:b/>
                <w:bCs/>
                <w:spacing w:val="-6"/>
              </w:rPr>
              <w:t>较重</w:t>
            </w:r>
          </w:p>
        </w:tc>
        <w:tc>
          <w:tcPr>
            <w:tcW w:w="6046" w:type="dxa"/>
            <w:vAlign w:val="top"/>
          </w:tcPr>
          <w:p>
            <w:pPr>
              <w:spacing w:line="313" w:lineRule="auto"/>
              <w:rPr>
                <w:rFonts w:ascii="Arial"/>
                <w:sz w:val="21"/>
              </w:rPr>
            </w:pPr>
            <w:r/>
          </w:p>
          <w:p>
            <w:pPr>
              <w:pStyle w:val="TableText"/>
              <w:ind w:left="92"/>
              <w:spacing w:before="81" w:line="219" w:lineRule="auto"/>
              <w:rPr>
                <w:sz w:val="25"/>
                <w:szCs w:val="25"/>
              </w:rPr>
            </w:pPr>
            <w:r>
              <w:rPr>
                <w:sz w:val="25"/>
                <w:szCs w:val="25"/>
              </w:rPr>
              <w:t>本办法第六十六条第二款规定的情形之一的行为。</w:t>
            </w:r>
          </w:p>
        </w:tc>
        <w:tc>
          <w:tcPr>
            <w:tcW w:w="4721" w:type="dxa"/>
            <w:vAlign w:val="top"/>
          </w:tcPr>
          <w:p>
            <w:pPr>
              <w:pStyle w:val="TableText"/>
              <w:ind w:left="126"/>
              <w:spacing w:before="319" w:line="220" w:lineRule="auto"/>
              <w:rPr>
                <w:sz w:val="25"/>
                <w:szCs w:val="25"/>
              </w:rPr>
            </w:pPr>
            <w:r>
              <w:rPr>
                <w:sz w:val="25"/>
                <w:szCs w:val="25"/>
              </w:rPr>
              <w:t>处5000元以上2万元以下罚款。</w:t>
            </w:r>
          </w:p>
        </w:tc>
      </w:tr>
    </w:tbl>
    <w:p>
      <w:pPr>
        <w:ind w:left="129" w:right="91" w:firstLine="670"/>
        <w:spacing w:before="97" w:line="282" w:lineRule="auto"/>
        <w:rPr>
          <w:rFonts w:ascii="FangSong" w:hAnsi="FangSong" w:eastAsia="FangSong" w:cs="FangSong"/>
          <w:sz w:val="30"/>
          <w:szCs w:val="30"/>
        </w:rPr>
      </w:pPr>
      <w:r>
        <w:rPr>
          <w:rFonts w:ascii="FangSong" w:hAnsi="FangSong" w:eastAsia="FangSong" w:cs="FangSong"/>
          <w:sz w:val="30"/>
          <w:szCs w:val="30"/>
          <w:b/>
          <w:bCs/>
          <w:spacing w:val="21"/>
        </w:rPr>
        <w:t>第二十九条甲类传染病病人、病原携带者或</w:t>
      </w:r>
      <w:r>
        <w:rPr>
          <w:rFonts w:ascii="FangSong" w:hAnsi="FangSong" w:eastAsia="FangSong" w:cs="FangSong"/>
          <w:sz w:val="30"/>
          <w:szCs w:val="30"/>
          <w:b/>
          <w:bCs/>
          <w:spacing w:val="20"/>
        </w:rPr>
        <w:t>者疑似传染病病人，乙类传染病中艾滋病、肺炭疽</w:t>
      </w:r>
      <w:r>
        <w:rPr>
          <w:rFonts w:ascii="FangSong" w:hAnsi="FangSong" w:eastAsia="FangSong" w:cs="FangSong"/>
          <w:sz w:val="30"/>
          <w:szCs w:val="30"/>
        </w:rPr>
        <w:t xml:space="preserve"> </w:t>
      </w:r>
      <w:r>
        <w:rPr>
          <w:rFonts w:ascii="FangSong" w:hAnsi="FangSong" w:eastAsia="FangSong" w:cs="FangSong"/>
          <w:sz w:val="30"/>
          <w:szCs w:val="30"/>
          <w:b/>
          <w:bCs/>
          <w:spacing w:val="16"/>
        </w:rPr>
        <w:t>病人拒绝进行隔离治疗的</w:t>
      </w:r>
    </w:p>
    <w:p>
      <w:pPr>
        <w:ind w:left="785"/>
        <w:spacing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154" w:right="24" w:firstLine="610"/>
        <w:spacing w:before="113" w:line="265" w:lineRule="auto"/>
        <w:rPr>
          <w:rFonts w:ascii="FangSong" w:hAnsi="FangSong" w:eastAsia="FangSong" w:cs="FangSong"/>
          <w:sz w:val="30"/>
          <w:szCs w:val="30"/>
        </w:rPr>
      </w:pPr>
      <w:r>
        <w:rPr>
          <w:rFonts w:ascii="FangSong" w:hAnsi="FangSong" w:eastAsia="FangSong" w:cs="FangSong"/>
          <w:sz w:val="30"/>
          <w:szCs w:val="30"/>
          <w:spacing w:val="23"/>
        </w:rPr>
        <w:t>《中华人民共和国传染病防治法实施办法》第六十六条第一款第(十)项、第二款</w:t>
      </w:r>
      <w:r>
        <w:rPr>
          <w:rFonts w:ascii="FangSong" w:hAnsi="FangSong" w:eastAsia="FangSong" w:cs="FangSong"/>
          <w:sz w:val="30"/>
          <w:szCs w:val="30"/>
          <w:spacing w:val="23"/>
        </w:rPr>
        <w:t xml:space="preserve">    </w:t>
      </w:r>
      <w:r>
        <w:rPr>
          <w:rFonts w:ascii="FangSong" w:hAnsi="FangSong" w:eastAsia="FangSong" w:cs="FangSong"/>
          <w:sz w:val="30"/>
          <w:szCs w:val="30"/>
          <w:spacing w:val="23"/>
        </w:rPr>
        <w:t>有下</w:t>
      </w:r>
      <w:r>
        <w:rPr>
          <w:rFonts w:ascii="FangSong" w:hAnsi="FangSong" w:eastAsia="FangSong" w:cs="FangSong"/>
          <w:sz w:val="30"/>
          <w:szCs w:val="30"/>
          <w:spacing w:val="22"/>
        </w:rPr>
        <w:t>列行</w:t>
      </w:r>
      <w:r>
        <w:rPr>
          <w:rFonts w:ascii="FangSong" w:hAnsi="FangSong" w:eastAsia="FangSong" w:cs="FangSong"/>
          <w:sz w:val="30"/>
          <w:szCs w:val="30"/>
        </w:rPr>
        <w:t xml:space="preserve"> </w:t>
      </w:r>
      <w:r>
        <w:rPr>
          <w:rFonts w:ascii="FangSong" w:hAnsi="FangSong" w:eastAsia="FangSong" w:cs="FangSong"/>
          <w:sz w:val="30"/>
          <w:szCs w:val="30"/>
          <w:spacing w:val="18"/>
        </w:rPr>
        <w:t>为之一的，由县级以上政府卫生行政部门责令限期改正，可以处五千元</w:t>
      </w:r>
      <w:r>
        <w:rPr>
          <w:rFonts w:ascii="FangSong" w:hAnsi="FangSong" w:eastAsia="FangSong" w:cs="FangSong"/>
          <w:sz w:val="30"/>
          <w:szCs w:val="30"/>
          <w:spacing w:val="17"/>
        </w:rPr>
        <w:t>以下的罚款；情节较严重的，</w:t>
      </w:r>
    </w:p>
    <w:p>
      <w:pPr>
        <w:ind w:left="154" w:right="5086"/>
        <w:spacing w:before="2" w:line="261" w:lineRule="auto"/>
        <w:rPr>
          <w:rFonts w:ascii="FangSong" w:hAnsi="FangSong" w:eastAsia="FangSong" w:cs="FangSong"/>
          <w:sz w:val="30"/>
          <w:szCs w:val="30"/>
        </w:rPr>
      </w:pPr>
      <w:r>
        <w:rPr>
          <w:rFonts w:ascii="FangSong" w:hAnsi="FangSong" w:eastAsia="FangSong" w:cs="FangSong"/>
          <w:sz w:val="30"/>
          <w:szCs w:val="30"/>
          <w:spacing w:val="18"/>
        </w:rPr>
        <w:t>可以处五千元以上二万元以下的罚款，对主管人员和直接责任人</w:t>
      </w:r>
      <w:r>
        <w:rPr>
          <w:rFonts w:ascii="FangSong" w:hAnsi="FangSong" w:eastAsia="FangSong" w:cs="FangSong"/>
          <w:sz w:val="30"/>
          <w:szCs w:val="30"/>
          <w:spacing w:val="13"/>
        </w:rPr>
        <w:t xml:space="preserve"> </w:t>
      </w:r>
      <w:r>
        <w:rPr>
          <w:rFonts w:ascii="FangSong" w:hAnsi="FangSong" w:eastAsia="FangSong" w:cs="FangSong"/>
          <w:sz w:val="30"/>
          <w:szCs w:val="30"/>
          <w:spacing w:val="13"/>
        </w:rPr>
        <w:t>员由其所在单位或者上级机关给予行政处分：</w:t>
      </w:r>
    </w:p>
    <w:p>
      <w:pPr>
        <w:pStyle w:val="BodyText"/>
        <w:spacing w:line="260" w:lineRule="auto"/>
        <w:rPr/>
      </w:pPr>
      <w:r/>
    </w:p>
    <w:p>
      <w:pPr>
        <w:pStyle w:val="BodyText"/>
        <w:spacing w:line="261" w:lineRule="auto"/>
        <w:rPr/>
      </w:pPr>
      <w:r/>
    </w:p>
    <w:p>
      <w:pPr>
        <w:pStyle w:val="BodyText"/>
        <w:spacing w:line="261" w:lineRule="auto"/>
        <w:rPr/>
      </w:pPr>
      <w:r/>
    </w:p>
    <w:p>
      <w:pPr>
        <w:ind w:left="6485"/>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—108—</w:t>
      </w:r>
    </w:p>
    <w:p>
      <w:pPr>
        <w:spacing w:line="188" w:lineRule="auto"/>
        <w:sectPr>
          <w:footerReference w:type="default" r:id="rId24"/>
          <w:pgSz w:w="16830" w:h="11900"/>
          <w:pgMar w:top="1011" w:right="1355" w:bottom="400" w:left="1314" w:header="0" w:footer="0" w:gutter="0"/>
        </w:sectPr>
        <w:rPr>
          <w:rFonts w:ascii="Times New Roman" w:hAnsi="Times New Roman" w:eastAsia="Times New Roman" w:cs="Times New Roman"/>
          <w:sz w:val="37"/>
          <w:szCs w:val="37"/>
        </w:rPr>
      </w:pPr>
    </w:p>
    <w:p>
      <w:pPr>
        <w:pStyle w:val="BodyText"/>
        <w:spacing w:line="254" w:lineRule="auto"/>
        <w:rPr/>
      </w:pPr>
      <w:r/>
    </w:p>
    <w:p>
      <w:pPr>
        <w:pStyle w:val="BodyText"/>
        <w:spacing w:line="254" w:lineRule="auto"/>
        <w:rPr/>
      </w:pPr>
      <w:r/>
    </w:p>
    <w:p>
      <w:pPr>
        <w:pStyle w:val="BodyText"/>
        <w:spacing w:line="255" w:lineRule="auto"/>
        <w:rPr/>
      </w:pPr>
      <w:r/>
    </w:p>
    <w:p>
      <w:pPr>
        <w:ind w:left="115" w:right="110" w:firstLine="790"/>
        <w:spacing w:before="98" w:line="283" w:lineRule="auto"/>
        <w:rPr>
          <w:rFonts w:ascii="FangSong" w:hAnsi="FangSong" w:eastAsia="FangSong" w:cs="FangSong"/>
          <w:sz w:val="30"/>
          <w:szCs w:val="30"/>
        </w:rPr>
      </w:pPr>
      <w:r>
        <w:rPr>
          <w:rFonts w:ascii="FangSong" w:hAnsi="FangSong" w:eastAsia="FangSong" w:cs="FangSong"/>
          <w:sz w:val="30"/>
          <w:szCs w:val="30"/>
          <w:spacing w:val="20"/>
        </w:rPr>
        <w:t>(十)甲类传染病病人、病原携带者或者疑似传染病病人</w:t>
      </w:r>
      <w:r>
        <w:rPr>
          <w:rFonts w:ascii="FangSong" w:hAnsi="FangSong" w:eastAsia="FangSong" w:cs="FangSong"/>
          <w:sz w:val="30"/>
          <w:szCs w:val="30"/>
          <w:spacing w:val="19"/>
        </w:rPr>
        <w:t>，乙类传染病中艾滋病、肺炭疽病人拒</w:t>
      </w:r>
      <w:r>
        <w:rPr>
          <w:rFonts w:ascii="FangSong" w:hAnsi="FangSong" w:eastAsia="FangSong" w:cs="FangSong"/>
          <w:sz w:val="30"/>
          <w:szCs w:val="30"/>
        </w:rPr>
        <w:t xml:space="preserve"> </w:t>
      </w:r>
      <w:r>
        <w:rPr>
          <w:rFonts w:ascii="FangSong" w:hAnsi="FangSong" w:eastAsia="FangSong" w:cs="FangSong"/>
          <w:sz w:val="30"/>
          <w:szCs w:val="30"/>
          <w:spacing w:val="10"/>
        </w:rPr>
        <w:t>绝进行隔离治疗的；</w:t>
      </w:r>
    </w:p>
    <w:p>
      <w:pPr>
        <w:ind w:left="905"/>
        <w:spacing w:before="1" w:line="220" w:lineRule="auto"/>
        <w:rPr>
          <w:rFonts w:ascii="FangSong" w:hAnsi="FangSong" w:eastAsia="FangSong" w:cs="FangSong"/>
          <w:sz w:val="30"/>
          <w:szCs w:val="30"/>
        </w:rPr>
      </w:pPr>
      <w:r>
        <w:rPr>
          <w:rFonts w:ascii="FangSong" w:hAnsi="FangSong" w:eastAsia="FangSong" w:cs="FangSong"/>
          <w:sz w:val="30"/>
          <w:szCs w:val="30"/>
          <w:spacing w:val="14"/>
        </w:rPr>
        <w:t>前款所称情节较严重的，是指下列情形之一：</w:t>
      </w:r>
    </w:p>
    <w:p>
      <w:pPr>
        <w:ind w:left="905"/>
        <w:spacing w:before="94" w:line="222" w:lineRule="auto"/>
        <w:rPr>
          <w:rFonts w:ascii="FangSong" w:hAnsi="FangSong" w:eastAsia="FangSong" w:cs="FangSong"/>
          <w:sz w:val="30"/>
          <w:szCs w:val="30"/>
        </w:rPr>
      </w:pPr>
      <w:r>
        <w:rPr>
          <w:rFonts w:ascii="FangSong" w:hAnsi="FangSong" w:eastAsia="FangSong" w:cs="FangSong"/>
          <w:sz w:val="30"/>
          <w:szCs w:val="30"/>
          <w:spacing w:val="23"/>
        </w:rPr>
        <w:t>(一)造成甲类传染病、艾滋病、肺炭疽传播危险的；</w:t>
      </w:r>
    </w:p>
    <w:p>
      <w:pPr>
        <w:ind w:left="905"/>
        <w:spacing w:before="66" w:line="221" w:lineRule="auto"/>
        <w:rPr>
          <w:rFonts w:ascii="FangSong" w:hAnsi="FangSong" w:eastAsia="FangSong" w:cs="FangSong"/>
          <w:sz w:val="30"/>
          <w:szCs w:val="30"/>
        </w:rPr>
      </w:pPr>
      <w:r>
        <w:rPr>
          <w:rFonts w:ascii="FangSong" w:hAnsi="FangSong" w:eastAsia="FangSong" w:cs="FangSong"/>
          <w:sz w:val="30"/>
          <w:szCs w:val="30"/>
          <w:spacing w:val="22"/>
        </w:rPr>
        <w:t>(二)造成除艾滋病、肺炭疽之外的乙、丙类传染病暴发、流行的；</w:t>
      </w:r>
    </w:p>
    <w:p>
      <w:pPr>
        <w:ind w:left="905"/>
        <w:spacing w:before="100" w:line="221" w:lineRule="auto"/>
        <w:rPr>
          <w:rFonts w:ascii="FangSong" w:hAnsi="FangSong" w:eastAsia="FangSong" w:cs="FangSong"/>
          <w:sz w:val="30"/>
          <w:szCs w:val="30"/>
        </w:rPr>
      </w:pPr>
      <w:r>
        <w:rPr>
          <w:rFonts w:ascii="FangSong" w:hAnsi="FangSong" w:eastAsia="FangSong" w:cs="FangSong"/>
          <w:sz w:val="30"/>
          <w:szCs w:val="30"/>
          <w:spacing w:val="42"/>
        </w:rPr>
        <w:t>(三)造成传染病菌(毒)种扩散的；</w:t>
      </w:r>
    </w:p>
    <w:p>
      <w:pPr>
        <w:ind w:left="905"/>
        <w:spacing w:before="63" w:line="222" w:lineRule="auto"/>
        <w:rPr>
          <w:rFonts w:ascii="FangSong" w:hAnsi="FangSong" w:eastAsia="FangSong" w:cs="FangSong"/>
          <w:sz w:val="30"/>
          <w:szCs w:val="30"/>
        </w:rPr>
      </w:pPr>
      <w:r>
        <w:rPr>
          <w:rFonts w:ascii="FangSong" w:hAnsi="FangSong" w:eastAsia="FangSong" w:cs="FangSong"/>
          <w:sz w:val="30"/>
          <w:szCs w:val="30"/>
          <w:spacing w:val="25"/>
        </w:rPr>
        <w:t>(四)造成病人残废、死亡的；</w:t>
      </w:r>
    </w:p>
    <w:p>
      <w:pPr>
        <w:ind w:left="905"/>
        <w:spacing w:before="57" w:line="221" w:lineRule="auto"/>
        <w:rPr>
          <w:rFonts w:ascii="FangSong" w:hAnsi="FangSong" w:eastAsia="FangSong" w:cs="FangSong"/>
          <w:sz w:val="30"/>
          <w:szCs w:val="30"/>
        </w:rPr>
      </w:pPr>
      <w:r>
        <w:rPr>
          <w:rFonts w:ascii="FangSong" w:hAnsi="FangSong" w:eastAsia="FangSong" w:cs="FangSong"/>
          <w:sz w:val="30"/>
          <w:szCs w:val="30"/>
          <w:spacing w:val="22"/>
        </w:rPr>
        <w:t>(五)拒绝执行《传染病防治法》及本办法的规定，屡经教育仍继续违法的。</w:t>
      </w:r>
    </w:p>
    <w:p>
      <w:pPr>
        <w:ind w:left="6519"/>
        <w:spacing w:before="7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35" w:lineRule="auto"/>
        <w:rPr>
          <w:rFonts w:ascii="Arial"/>
          <w:sz w:val="2"/>
        </w:rPr>
      </w:pPr>
      <w:r>
        <w:rPr>
          <w:rFonts w:ascii="Arial"/>
          <w:sz w:val="2"/>
        </w:rPr>
      </w:r>
    </w:p>
    <w:tbl>
      <w:tblPr>
        <w:tblStyle w:val="TableNormal"/>
        <w:tblW w:w="1412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72"/>
        <w:gridCol w:w="5706"/>
        <w:gridCol w:w="5051"/>
      </w:tblGrid>
      <w:tr>
        <w:trPr>
          <w:trHeight w:val="833" w:hRule="atLeast"/>
        </w:trPr>
        <w:tc>
          <w:tcPr>
            <w:tcW w:w="3372" w:type="dxa"/>
            <w:vAlign w:val="top"/>
          </w:tcPr>
          <w:p>
            <w:pPr>
              <w:pStyle w:val="TableText"/>
              <w:ind w:left="1098"/>
              <w:spacing w:before="30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5706" w:type="dxa"/>
            <w:vAlign w:val="top"/>
          </w:tcPr>
          <w:p>
            <w:pPr>
              <w:pStyle w:val="TableText"/>
              <w:ind w:left="2276"/>
              <w:spacing w:before="302" w:line="220" w:lineRule="auto"/>
              <w:rPr/>
            </w:pPr>
            <w:r>
              <w:rPr>
                <w:b/>
                <w:bCs/>
                <w:spacing w:val="-11"/>
              </w:rPr>
              <w:t>情</w:t>
            </w:r>
            <w:r>
              <w:rPr>
                <w:spacing w:val="-37"/>
              </w:rPr>
              <w:t xml:space="preserve"> </w:t>
            </w:r>
            <w:r>
              <w:rPr>
                <w:b/>
                <w:bCs/>
                <w:spacing w:val="-11"/>
              </w:rPr>
              <w:t>节</w:t>
            </w:r>
            <w:r>
              <w:rPr>
                <w:spacing w:val="-36"/>
              </w:rPr>
              <w:t xml:space="preserve"> </w:t>
            </w:r>
            <w:r>
              <w:rPr>
                <w:b/>
                <w:bCs/>
                <w:spacing w:val="-11"/>
              </w:rPr>
              <w:t>后</w:t>
            </w:r>
            <w:r>
              <w:rPr>
                <w:spacing w:val="-33"/>
              </w:rPr>
              <w:t xml:space="preserve"> </w:t>
            </w:r>
            <w:r>
              <w:rPr>
                <w:b/>
                <w:bCs/>
                <w:spacing w:val="-11"/>
              </w:rPr>
              <w:t>果</w:t>
            </w:r>
          </w:p>
        </w:tc>
        <w:tc>
          <w:tcPr>
            <w:tcW w:w="5051" w:type="dxa"/>
            <w:vAlign w:val="top"/>
          </w:tcPr>
          <w:p>
            <w:pPr>
              <w:pStyle w:val="TableText"/>
              <w:ind w:left="1960"/>
              <w:spacing w:before="29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087" w:hRule="atLeast"/>
        </w:trPr>
        <w:tc>
          <w:tcPr>
            <w:tcW w:w="3372" w:type="dxa"/>
            <w:vAlign w:val="top"/>
          </w:tcPr>
          <w:p>
            <w:pPr>
              <w:pStyle w:val="TableText"/>
              <w:ind w:left="1434"/>
              <w:spacing w:before="302" w:line="219" w:lineRule="auto"/>
              <w:rPr/>
            </w:pPr>
            <w:r>
              <w:rPr>
                <w:spacing w:val="-3"/>
              </w:rPr>
              <w:t>较轻</w:t>
            </w:r>
          </w:p>
        </w:tc>
        <w:tc>
          <w:tcPr>
            <w:tcW w:w="5706" w:type="dxa"/>
            <w:vAlign w:val="top"/>
          </w:tcPr>
          <w:p>
            <w:pPr>
              <w:pStyle w:val="TableText"/>
              <w:ind w:left="82"/>
              <w:spacing w:before="90" w:line="219" w:lineRule="auto"/>
              <w:rPr/>
            </w:pPr>
            <w:r>
              <w:rPr>
                <w:spacing w:val="1"/>
              </w:rPr>
              <w:t>乙类传染病中艾滋病、肺炭疽病人拒绝进行</w:t>
            </w:r>
            <w:r>
              <w:rPr/>
              <w:t>隔离治</w:t>
            </w:r>
          </w:p>
          <w:p>
            <w:pPr>
              <w:pStyle w:val="TableText"/>
              <w:ind w:left="82"/>
              <w:spacing w:before="157" w:line="220" w:lineRule="auto"/>
              <w:rPr/>
            </w:pPr>
            <w:r>
              <w:rPr>
                <w:color w:val="505050"/>
              </w:rPr>
              <w:t>疗。</w:t>
            </w:r>
          </w:p>
        </w:tc>
        <w:tc>
          <w:tcPr>
            <w:tcW w:w="5051" w:type="dxa"/>
            <w:vAlign w:val="top"/>
          </w:tcPr>
          <w:p>
            <w:pPr>
              <w:pStyle w:val="TableText"/>
              <w:ind w:left="116"/>
              <w:spacing w:before="312" w:line="220" w:lineRule="auto"/>
              <w:rPr/>
            </w:pPr>
            <w:r>
              <w:rPr/>
              <w:t>处2000元以下罚款。</w:t>
            </w:r>
          </w:p>
        </w:tc>
      </w:tr>
      <w:tr>
        <w:trPr>
          <w:trHeight w:val="1077" w:hRule="atLeast"/>
        </w:trPr>
        <w:tc>
          <w:tcPr>
            <w:tcW w:w="3372" w:type="dxa"/>
            <w:vAlign w:val="top"/>
          </w:tcPr>
          <w:p>
            <w:pPr>
              <w:spacing w:line="346" w:lineRule="auto"/>
              <w:rPr>
                <w:rFonts w:ascii="Arial"/>
                <w:sz w:val="21"/>
              </w:rPr>
            </w:pPr>
            <w:r/>
          </w:p>
          <w:p>
            <w:pPr>
              <w:pStyle w:val="TableText"/>
              <w:ind w:left="1434"/>
              <w:spacing w:before="78" w:line="221" w:lineRule="auto"/>
              <w:rPr/>
            </w:pPr>
            <w:r>
              <w:rPr>
                <w:spacing w:val="5"/>
              </w:rPr>
              <w:t>一般</w:t>
            </w:r>
          </w:p>
        </w:tc>
        <w:tc>
          <w:tcPr>
            <w:tcW w:w="5706" w:type="dxa"/>
            <w:vAlign w:val="top"/>
          </w:tcPr>
          <w:p>
            <w:pPr>
              <w:pStyle w:val="TableText"/>
              <w:ind w:left="82" w:right="77"/>
              <w:spacing w:before="104" w:line="342" w:lineRule="auto"/>
              <w:rPr/>
            </w:pPr>
            <w:r>
              <w:rPr/>
              <w:t>甲类传染病病人、病原携带者或者疑似传染病病人拒</w:t>
            </w:r>
            <w:r>
              <w:rPr>
                <w:spacing w:val="14"/>
              </w:rPr>
              <w:t xml:space="preserve"> </w:t>
            </w:r>
            <w:r>
              <w:rPr/>
              <w:t>绝进行隔离治疗。</w:t>
            </w:r>
          </w:p>
        </w:tc>
        <w:tc>
          <w:tcPr>
            <w:tcW w:w="5051" w:type="dxa"/>
            <w:vAlign w:val="top"/>
          </w:tcPr>
          <w:p>
            <w:pPr>
              <w:spacing w:line="256" w:lineRule="auto"/>
              <w:rPr>
                <w:rFonts w:ascii="Arial"/>
                <w:sz w:val="21"/>
              </w:rPr>
            </w:pPr>
            <w:r/>
          </w:p>
          <w:p>
            <w:pPr>
              <w:pStyle w:val="TableText"/>
              <w:ind w:left="116"/>
              <w:spacing w:before="78" w:line="220" w:lineRule="auto"/>
              <w:rPr/>
            </w:pPr>
            <w:r>
              <w:rPr>
                <w:spacing w:val="-1"/>
              </w:rPr>
              <w:t>处2000元以上5000元以下罚款。</w:t>
            </w:r>
          </w:p>
        </w:tc>
      </w:tr>
      <w:tr>
        <w:trPr>
          <w:trHeight w:val="933" w:hRule="atLeast"/>
        </w:trPr>
        <w:tc>
          <w:tcPr>
            <w:tcW w:w="3372" w:type="dxa"/>
            <w:vAlign w:val="top"/>
          </w:tcPr>
          <w:p>
            <w:pPr>
              <w:spacing w:line="281" w:lineRule="auto"/>
              <w:rPr>
                <w:rFonts w:ascii="Arial"/>
                <w:sz w:val="21"/>
              </w:rPr>
            </w:pPr>
            <w:r/>
          </w:p>
          <w:p>
            <w:pPr>
              <w:pStyle w:val="TableText"/>
              <w:ind w:left="1434"/>
              <w:spacing w:before="78" w:line="221" w:lineRule="auto"/>
              <w:rPr/>
            </w:pPr>
            <w:r>
              <w:rPr>
                <w:spacing w:val="5"/>
              </w:rPr>
              <w:t>较重</w:t>
            </w:r>
          </w:p>
        </w:tc>
        <w:tc>
          <w:tcPr>
            <w:tcW w:w="5706" w:type="dxa"/>
            <w:vAlign w:val="top"/>
          </w:tcPr>
          <w:p>
            <w:pPr>
              <w:spacing w:line="276" w:lineRule="auto"/>
              <w:rPr>
                <w:rFonts w:ascii="Arial"/>
                <w:sz w:val="21"/>
              </w:rPr>
            </w:pPr>
            <w:r/>
          </w:p>
          <w:p>
            <w:pPr>
              <w:pStyle w:val="TableText"/>
              <w:ind w:left="82"/>
              <w:spacing w:before="78" w:line="219" w:lineRule="auto"/>
              <w:rPr/>
            </w:pPr>
            <w:r>
              <w:rPr/>
              <w:t>本办法第六十六条第二款规定的情形之一的行为。</w:t>
            </w:r>
          </w:p>
        </w:tc>
        <w:tc>
          <w:tcPr>
            <w:tcW w:w="5051" w:type="dxa"/>
            <w:vAlign w:val="top"/>
          </w:tcPr>
          <w:p>
            <w:pPr>
              <w:spacing w:line="279" w:lineRule="auto"/>
              <w:rPr>
                <w:rFonts w:ascii="Arial"/>
                <w:sz w:val="21"/>
              </w:rPr>
            </w:pPr>
            <w:r/>
          </w:p>
          <w:p>
            <w:pPr>
              <w:pStyle w:val="TableText"/>
              <w:ind w:left="116"/>
              <w:spacing w:before="78" w:line="220" w:lineRule="auto"/>
              <w:rPr/>
            </w:pPr>
            <w:r>
              <w:rPr/>
              <w:t>处5000元以上2万元以下罚款。</w:t>
            </w:r>
          </w:p>
        </w:tc>
      </w:tr>
    </w:tbl>
    <w:p>
      <w:pPr>
        <w:pStyle w:val="BodyText"/>
        <w:rPr/>
      </w:pPr>
      <w:r/>
    </w:p>
    <w:p>
      <w:pPr>
        <w:sectPr>
          <w:footerReference w:type="default" r:id="rId103"/>
          <w:pgSz w:w="16830" w:h="11900"/>
          <w:pgMar w:top="1011" w:right="1355" w:bottom="1118" w:left="1335" w:header="0" w:footer="785" w:gutter="0"/>
        </w:sectPr>
        <w:rPr/>
      </w:pPr>
    </w:p>
    <w:p>
      <w:pPr>
        <w:pStyle w:val="BodyText"/>
        <w:spacing w:line="260" w:lineRule="auto"/>
        <w:rPr/>
      </w:pPr>
      <w:r/>
    </w:p>
    <w:p>
      <w:pPr>
        <w:pStyle w:val="BodyText"/>
        <w:spacing w:line="260" w:lineRule="auto"/>
        <w:rPr/>
      </w:pPr>
      <w:r/>
    </w:p>
    <w:p>
      <w:pPr>
        <w:pStyle w:val="BodyText"/>
        <w:spacing w:line="261" w:lineRule="auto"/>
        <w:rPr/>
      </w:pPr>
      <w:r/>
    </w:p>
    <w:p>
      <w:pPr>
        <w:ind w:left="109" w:right="246" w:firstLine="660"/>
        <w:spacing w:before="94" w:line="292" w:lineRule="auto"/>
        <w:rPr>
          <w:rFonts w:ascii="FangSong" w:hAnsi="FangSong" w:eastAsia="FangSong" w:cs="FangSong"/>
          <w:sz w:val="29"/>
          <w:szCs w:val="29"/>
        </w:rPr>
      </w:pPr>
      <w:r>
        <w:rPr>
          <w:rFonts w:ascii="FangSong" w:hAnsi="FangSong" w:eastAsia="FangSong" w:cs="FangSong"/>
          <w:sz w:val="29"/>
          <w:szCs w:val="29"/>
          <w:b/>
          <w:bCs/>
          <w:spacing w:val="27"/>
        </w:rPr>
        <w:t>第三十条</w:t>
      </w:r>
      <w:r>
        <w:rPr>
          <w:rFonts w:ascii="FangSong" w:hAnsi="FangSong" w:eastAsia="FangSong" w:cs="FangSong"/>
          <w:sz w:val="29"/>
          <w:szCs w:val="29"/>
          <w:spacing w:val="27"/>
        </w:rPr>
        <w:t xml:space="preserve">  </w:t>
      </w:r>
      <w:r>
        <w:rPr>
          <w:rFonts w:ascii="FangSong" w:hAnsi="FangSong" w:eastAsia="FangSong" w:cs="FangSong"/>
          <w:sz w:val="29"/>
          <w:szCs w:val="29"/>
          <w:b/>
          <w:bCs/>
          <w:spacing w:val="27"/>
        </w:rPr>
        <w:t>在自然疫源地和可能是自然疫源地的地区兴建大型建设项目未经卫生调查即</w:t>
      </w:r>
      <w:r>
        <w:rPr>
          <w:rFonts w:ascii="FangSong" w:hAnsi="FangSong" w:eastAsia="FangSong" w:cs="FangSong"/>
          <w:sz w:val="29"/>
          <w:szCs w:val="29"/>
          <w:b/>
          <w:bCs/>
          <w:spacing w:val="26"/>
        </w:rPr>
        <w:t>进行施</w:t>
      </w:r>
      <w:r>
        <w:rPr>
          <w:rFonts w:ascii="FangSong" w:hAnsi="FangSong" w:eastAsia="FangSong" w:cs="FangSong"/>
          <w:sz w:val="29"/>
          <w:szCs w:val="29"/>
        </w:rPr>
        <w:t xml:space="preserve"> </w:t>
      </w:r>
      <w:r>
        <w:rPr>
          <w:rFonts w:ascii="FangSong" w:hAnsi="FangSong" w:eastAsia="FangSong" w:cs="FangSong"/>
          <w:sz w:val="29"/>
          <w:szCs w:val="29"/>
          <w:b/>
          <w:bCs/>
          <w:spacing w:val="12"/>
        </w:rPr>
        <w:t>工的</w:t>
      </w:r>
    </w:p>
    <w:p>
      <w:pPr>
        <w:ind w:left="774"/>
        <w:spacing w:line="222" w:lineRule="auto"/>
        <w:rPr>
          <w:rFonts w:ascii="FangSong" w:hAnsi="FangSong" w:eastAsia="FangSong" w:cs="FangSong"/>
          <w:sz w:val="29"/>
          <w:szCs w:val="29"/>
        </w:rPr>
      </w:pPr>
      <w:r>
        <w:rPr>
          <w:rFonts w:ascii="FangSong" w:hAnsi="FangSong" w:eastAsia="FangSong" w:cs="FangSong"/>
          <w:sz w:val="29"/>
          <w:szCs w:val="29"/>
          <w:spacing w:val="9"/>
        </w:rPr>
        <w:t>法律依据：</w:t>
      </w:r>
    </w:p>
    <w:p>
      <w:pPr>
        <w:ind w:left="104" w:right="111" w:firstLine="314"/>
        <w:spacing w:before="85" w:line="276" w:lineRule="auto"/>
        <w:jc w:val="both"/>
        <w:rPr>
          <w:rFonts w:ascii="FangSong" w:hAnsi="FangSong" w:eastAsia="FangSong" w:cs="FangSong"/>
          <w:sz w:val="29"/>
          <w:szCs w:val="29"/>
        </w:rPr>
      </w:pPr>
      <w:r>
        <w:rPr>
          <w:rFonts w:ascii="FangSong" w:hAnsi="FangSong" w:eastAsia="FangSong" w:cs="FangSong"/>
          <w:sz w:val="29"/>
          <w:szCs w:val="29"/>
          <w:spacing w:val="29"/>
        </w:rPr>
        <w:t>《中华人民共和国传染病防治法实施办法》第六十七条</w:t>
      </w:r>
      <w:r>
        <w:rPr>
          <w:rFonts w:ascii="FangSong" w:hAnsi="FangSong" w:eastAsia="FangSong" w:cs="FangSong"/>
          <w:sz w:val="29"/>
          <w:szCs w:val="29"/>
          <w:spacing w:val="29"/>
        </w:rPr>
        <w:t xml:space="preserve">   </w:t>
      </w:r>
      <w:r>
        <w:rPr>
          <w:rFonts w:ascii="FangSong" w:hAnsi="FangSong" w:eastAsia="FangSong" w:cs="FangSong"/>
          <w:sz w:val="29"/>
          <w:szCs w:val="29"/>
          <w:spacing w:val="29"/>
        </w:rPr>
        <w:t>在自然疫源地和可能是自然疫源地的地</w:t>
      </w:r>
      <w:r>
        <w:rPr>
          <w:rFonts w:ascii="FangSong" w:hAnsi="FangSong" w:eastAsia="FangSong" w:cs="FangSong"/>
          <w:sz w:val="29"/>
          <w:szCs w:val="29"/>
          <w:spacing w:val="15"/>
        </w:rPr>
        <w:t xml:space="preserve"> </w:t>
      </w:r>
      <w:r>
        <w:rPr>
          <w:rFonts w:ascii="FangSong" w:hAnsi="FangSong" w:eastAsia="FangSong" w:cs="FangSong"/>
          <w:sz w:val="29"/>
          <w:szCs w:val="29"/>
          <w:spacing w:val="27"/>
        </w:rPr>
        <w:t>区兴建大型建设项目未经卫生调查即进行施工的，由县级以上政府卫生行政部门责令限期</w:t>
      </w:r>
      <w:r>
        <w:rPr>
          <w:rFonts w:ascii="FangSong" w:hAnsi="FangSong" w:eastAsia="FangSong" w:cs="FangSong"/>
          <w:sz w:val="29"/>
          <w:szCs w:val="29"/>
          <w:spacing w:val="26"/>
        </w:rPr>
        <w:t>改正，可以</w:t>
      </w:r>
      <w:r>
        <w:rPr>
          <w:rFonts w:ascii="FangSong" w:hAnsi="FangSong" w:eastAsia="FangSong" w:cs="FangSong"/>
          <w:sz w:val="29"/>
          <w:szCs w:val="29"/>
        </w:rPr>
        <w:t xml:space="preserve"> </w:t>
      </w:r>
      <w:r>
        <w:rPr>
          <w:rFonts w:ascii="FangSong" w:hAnsi="FangSong" w:eastAsia="FangSong" w:cs="FangSong"/>
          <w:sz w:val="29"/>
          <w:szCs w:val="29"/>
          <w:spacing w:val="26"/>
        </w:rPr>
        <w:t>处二千元以上二万以下的罚款。</w:t>
      </w:r>
    </w:p>
    <w:p>
      <w:pPr>
        <w:ind w:left="6509"/>
        <w:spacing w:line="221" w:lineRule="auto"/>
        <w:rPr>
          <w:rFonts w:ascii="SimHei" w:hAnsi="SimHei" w:eastAsia="SimHei" w:cs="SimHei"/>
          <w:sz w:val="29"/>
          <w:szCs w:val="29"/>
        </w:rPr>
      </w:pPr>
      <w:r>
        <w:rPr>
          <w:rFonts w:ascii="SimHei" w:hAnsi="SimHei" w:eastAsia="SimHei" w:cs="SimHei"/>
          <w:sz w:val="29"/>
          <w:szCs w:val="29"/>
          <w:b/>
          <w:bCs/>
          <w:spacing w:val="-6"/>
        </w:rPr>
        <w:t>裁量标准</w:t>
      </w:r>
    </w:p>
    <w:p>
      <w:pPr>
        <w:spacing w:line="172" w:lineRule="exact"/>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72"/>
        <w:gridCol w:w="5376"/>
        <w:gridCol w:w="989"/>
        <w:gridCol w:w="4412"/>
      </w:tblGrid>
      <w:tr>
        <w:trPr>
          <w:trHeight w:val="843" w:hRule="atLeast"/>
        </w:trPr>
        <w:tc>
          <w:tcPr>
            <w:tcW w:w="3372" w:type="dxa"/>
            <w:vAlign w:val="top"/>
          </w:tcPr>
          <w:p>
            <w:pPr>
              <w:pStyle w:val="TableText"/>
              <w:ind w:left="1098"/>
              <w:spacing w:before="18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5376" w:type="dxa"/>
            <w:vAlign w:val="top"/>
          </w:tcPr>
          <w:p>
            <w:pPr>
              <w:pStyle w:val="TableText"/>
              <w:ind w:left="2116"/>
              <w:spacing w:before="192" w:line="220" w:lineRule="auto"/>
              <w:rPr/>
            </w:pPr>
            <w:r>
              <w:rPr>
                <w:b/>
                <w:bCs/>
                <w:spacing w:val="-5"/>
              </w:rPr>
              <w:t>情节后果</w:t>
            </w:r>
          </w:p>
        </w:tc>
        <w:tc>
          <w:tcPr>
            <w:tcW w:w="5401" w:type="dxa"/>
            <w:vAlign w:val="top"/>
            <w:gridSpan w:val="2"/>
          </w:tcPr>
          <w:p>
            <w:pPr>
              <w:pStyle w:val="TableText"/>
              <w:ind w:left="2140"/>
              <w:spacing w:before="18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127" w:hRule="atLeast"/>
        </w:trPr>
        <w:tc>
          <w:tcPr>
            <w:tcW w:w="3372" w:type="dxa"/>
            <w:vAlign w:val="top"/>
          </w:tcPr>
          <w:p>
            <w:pPr>
              <w:pStyle w:val="TableText"/>
              <w:ind w:left="1438"/>
              <w:spacing w:before="318" w:line="219" w:lineRule="auto"/>
              <w:rPr/>
            </w:pPr>
            <w:r>
              <w:rPr>
                <w:b/>
                <w:bCs/>
                <w:spacing w:val="-5"/>
              </w:rPr>
              <w:t>较轻</w:t>
            </w:r>
          </w:p>
        </w:tc>
        <w:tc>
          <w:tcPr>
            <w:tcW w:w="6365" w:type="dxa"/>
            <w:vAlign w:val="top"/>
            <w:gridSpan w:val="2"/>
          </w:tcPr>
          <w:p>
            <w:pPr>
              <w:pStyle w:val="TableText"/>
              <w:ind w:left="102" w:right="236"/>
              <w:spacing w:before="122" w:line="332" w:lineRule="auto"/>
              <w:rPr/>
            </w:pPr>
            <w:r>
              <w:rPr/>
              <w:t>在自然疫源地和可能是自然疫源地的地区兴建大型建设项</w:t>
            </w:r>
            <w:r>
              <w:rPr>
                <w:spacing w:val="14"/>
              </w:rPr>
              <w:t xml:space="preserve"> </w:t>
            </w:r>
            <w:r>
              <w:rPr/>
              <w:t>目未经卫生调查即进行施工，时间不足一个月。</w:t>
            </w:r>
          </w:p>
        </w:tc>
        <w:tc>
          <w:tcPr>
            <w:tcW w:w="4412" w:type="dxa"/>
            <w:vAlign w:val="top"/>
          </w:tcPr>
          <w:p>
            <w:pPr>
              <w:spacing w:line="243" w:lineRule="auto"/>
              <w:rPr>
                <w:rFonts w:ascii="Arial"/>
                <w:sz w:val="21"/>
              </w:rPr>
            </w:pPr>
            <w:r/>
          </w:p>
          <w:p>
            <w:pPr>
              <w:pStyle w:val="TableText"/>
              <w:ind w:left="118"/>
              <w:spacing w:before="78" w:line="220" w:lineRule="auto"/>
              <w:rPr/>
            </w:pPr>
            <w:r>
              <w:rPr>
                <w:spacing w:val="-1"/>
              </w:rPr>
              <w:t>处2000元以上7400元以下罚款。</w:t>
            </w:r>
          </w:p>
        </w:tc>
      </w:tr>
      <w:tr>
        <w:trPr>
          <w:trHeight w:val="1067" w:hRule="atLeast"/>
        </w:trPr>
        <w:tc>
          <w:tcPr>
            <w:tcW w:w="3372" w:type="dxa"/>
            <w:vAlign w:val="top"/>
          </w:tcPr>
          <w:p>
            <w:pPr>
              <w:pStyle w:val="TableText"/>
              <w:ind w:left="1438"/>
              <w:spacing w:before="302" w:line="221" w:lineRule="auto"/>
              <w:rPr/>
            </w:pPr>
            <w:r>
              <w:rPr>
                <w:b/>
                <w:bCs/>
                <w:spacing w:val="-10"/>
              </w:rPr>
              <w:t>一般</w:t>
            </w:r>
          </w:p>
        </w:tc>
        <w:tc>
          <w:tcPr>
            <w:tcW w:w="6365" w:type="dxa"/>
            <w:vAlign w:val="top"/>
            <w:gridSpan w:val="2"/>
          </w:tcPr>
          <w:p>
            <w:pPr>
              <w:pStyle w:val="TableText"/>
              <w:ind w:left="102" w:right="236"/>
              <w:spacing w:before="76" w:line="347" w:lineRule="auto"/>
              <w:rPr/>
            </w:pPr>
            <w:r>
              <w:rPr/>
              <w:t>在自然疫源地和可能是自然疫源地的地区兴建大型建设项</w:t>
            </w:r>
            <w:r>
              <w:rPr>
                <w:spacing w:val="14"/>
              </w:rPr>
              <w:t xml:space="preserve"> </w:t>
            </w:r>
            <w:r>
              <w:rPr/>
              <w:t>目未经卫生调查即进行施工，时间在一至三个月。</w:t>
            </w:r>
          </w:p>
        </w:tc>
        <w:tc>
          <w:tcPr>
            <w:tcW w:w="4412" w:type="dxa"/>
            <w:vAlign w:val="top"/>
          </w:tcPr>
          <w:p>
            <w:pPr>
              <w:pStyle w:val="TableText"/>
              <w:ind w:left="118"/>
              <w:spacing w:before="305" w:line="220" w:lineRule="auto"/>
              <w:rPr/>
            </w:pPr>
            <w:r>
              <w:rPr/>
              <w:t>处7400元以上14600元以下罚款。</w:t>
            </w:r>
          </w:p>
        </w:tc>
      </w:tr>
      <w:tr>
        <w:trPr>
          <w:trHeight w:val="1162" w:hRule="atLeast"/>
        </w:trPr>
        <w:tc>
          <w:tcPr>
            <w:tcW w:w="3372" w:type="dxa"/>
            <w:vAlign w:val="top"/>
          </w:tcPr>
          <w:p>
            <w:pPr>
              <w:spacing w:line="387" w:lineRule="auto"/>
              <w:rPr>
                <w:rFonts w:ascii="Arial"/>
                <w:sz w:val="21"/>
              </w:rPr>
            </w:pPr>
            <w:r/>
          </w:p>
          <w:p>
            <w:pPr>
              <w:pStyle w:val="TableText"/>
              <w:ind w:left="1438"/>
              <w:spacing w:before="78" w:line="221" w:lineRule="auto"/>
              <w:rPr/>
            </w:pPr>
            <w:r>
              <w:rPr>
                <w:b/>
                <w:bCs/>
                <w:spacing w:val="-5"/>
              </w:rPr>
              <w:t>较重</w:t>
            </w:r>
          </w:p>
        </w:tc>
        <w:tc>
          <w:tcPr>
            <w:tcW w:w="6365" w:type="dxa"/>
            <w:vAlign w:val="top"/>
            <w:gridSpan w:val="2"/>
          </w:tcPr>
          <w:p>
            <w:pPr>
              <w:pStyle w:val="TableText"/>
              <w:ind w:left="102" w:right="236"/>
              <w:spacing w:before="138" w:line="363" w:lineRule="auto"/>
              <w:rPr/>
            </w:pPr>
            <w:r>
              <w:rPr/>
              <w:t>在自然疫源地和可能是自然疫源地的地区兴建大型建设项</w:t>
            </w:r>
            <w:r>
              <w:rPr>
                <w:spacing w:val="14"/>
              </w:rPr>
              <w:t xml:space="preserve"> </w:t>
            </w:r>
            <w:r>
              <w:rPr/>
              <w:t>目未经卫生调查即进行施工，时间超过三个月。</w:t>
            </w:r>
          </w:p>
        </w:tc>
        <w:tc>
          <w:tcPr>
            <w:tcW w:w="4412" w:type="dxa"/>
            <w:vAlign w:val="top"/>
          </w:tcPr>
          <w:p>
            <w:pPr>
              <w:spacing w:line="388" w:lineRule="auto"/>
              <w:rPr>
                <w:rFonts w:ascii="Arial"/>
                <w:sz w:val="21"/>
              </w:rPr>
            </w:pPr>
            <w:r/>
          </w:p>
          <w:p>
            <w:pPr>
              <w:pStyle w:val="TableText"/>
              <w:ind w:left="118"/>
              <w:spacing w:before="78" w:line="220" w:lineRule="auto"/>
              <w:rPr/>
            </w:pPr>
            <w:r>
              <w:rPr/>
              <w:t>处14600元以上20000元以下罚款。</w:t>
            </w:r>
          </w:p>
        </w:tc>
      </w:tr>
    </w:tbl>
    <w:p>
      <w:pPr>
        <w:pStyle w:val="BodyText"/>
        <w:rPr/>
      </w:pPr>
      <w:r/>
    </w:p>
    <w:p>
      <w:pPr>
        <w:sectPr>
          <w:footerReference w:type="default" r:id="rId104"/>
          <w:pgSz w:w="16830" w:h="11900"/>
          <w:pgMar w:top="1011" w:right="1335" w:bottom="1117" w:left="1335" w:header="0" w:footer="784" w:gutter="0"/>
        </w:sectPr>
        <w:rPr/>
      </w:pPr>
    </w:p>
    <w:p>
      <w:pPr>
        <w:pStyle w:val="BodyText"/>
        <w:spacing w:line="256" w:lineRule="auto"/>
        <w:rPr/>
      </w:pPr>
      <w:r/>
    </w:p>
    <w:p>
      <w:pPr>
        <w:pStyle w:val="BodyText"/>
        <w:spacing w:line="256" w:lineRule="auto"/>
        <w:rPr/>
      </w:pPr>
      <w:r/>
    </w:p>
    <w:p>
      <w:pPr>
        <w:pStyle w:val="BodyText"/>
        <w:spacing w:line="257" w:lineRule="auto"/>
        <w:rPr/>
      </w:pPr>
      <w:r/>
    </w:p>
    <w:p>
      <w:pPr>
        <w:ind w:left="129" w:right="239" w:firstLine="649"/>
        <w:spacing w:before="97" w:line="276" w:lineRule="auto"/>
        <w:rPr>
          <w:rFonts w:ascii="FangSong" w:hAnsi="FangSong" w:eastAsia="FangSong" w:cs="FangSong"/>
          <w:sz w:val="30"/>
          <w:szCs w:val="30"/>
        </w:rPr>
      </w:pPr>
      <w:bookmarkStart w:name="bookmark773" w:id="63"/>
      <w:bookmarkEnd w:id="63"/>
      <w:r>
        <w:rPr>
          <w:rFonts w:ascii="FangSong" w:hAnsi="FangSong" w:eastAsia="FangSong" w:cs="FangSong"/>
          <w:sz w:val="30"/>
          <w:szCs w:val="30"/>
          <w:b/>
          <w:bCs/>
          <w:spacing w:val="18"/>
        </w:rPr>
        <w:t>第三十一条</w:t>
      </w:r>
      <w:r>
        <w:rPr>
          <w:rFonts w:ascii="FangSong" w:hAnsi="FangSong" w:eastAsia="FangSong" w:cs="FangSong"/>
          <w:sz w:val="30"/>
          <w:szCs w:val="30"/>
          <w:spacing w:val="144"/>
        </w:rPr>
        <w:t xml:space="preserve"> </w:t>
      </w:r>
      <w:r>
        <w:rPr>
          <w:rFonts w:ascii="FangSong" w:hAnsi="FangSong" w:eastAsia="FangSong" w:cs="FangSong"/>
          <w:sz w:val="30"/>
          <w:szCs w:val="30"/>
          <w:b/>
          <w:bCs/>
          <w:spacing w:val="18"/>
        </w:rPr>
        <w:t>单位和个人出售、运输被传染病病原体污染和来自疫区可能被传染病病原体污染</w:t>
      </w:r>
      <w:r>
        <w:rPr>
          <w:rFonts w:ascii="FangSong" w:hAnsi="FangSong" w:eastAsia="FangSong" w:cs="FangSong"/>
          <w:sz w:val="30"/>
          <w:szCs w:val="30"/>
        </w:rPr>
        <w:t xml:space="preserve"> </w:t>
      </w:r>
      <w:r>
        <w:rPr>
          <w:rFonts w:ascii="FangSong" w:hAnsi="FangSong" w:eastAsia="FangSong" w:cs="FangSong"/>
          <w:sz w:val="30"/>
          <w:szCs w:val="30"/>
          <w:b/>
          <w:bCs/>
          <w:spacing w:val="15"/>
        </w:rPr>
        <w:t>的皮毛、旧衣物及生物用品的</w:t>
      </w:r>
    </w:p>
    <w:p>
      <w:pPr>
        <w:ind w:left="784"/>
        <w:spacing w:line="222" w:lineRule="auto"/>
        <w:rPr>
          <w:rFonts w:ascii="FangSong" w:hAnsi="FangSong" w:eastAsia="FangSong" w:cs="FangSong"/>
          <w:sz w:val="30"/>
          <w:szCs w:val="30"/>
        </w:rPr>
      </w:pPr>
      <w:r>
        <w:rPr>
          <w:rFonts w:ascii="FangSong" w:hAnsi="FangSong" w:eastAsia="FangSong" w:cs="FangSong"/>
          <w:sz w:val="30"/>
          <w:szCs w:val="30"/>
          <w:spacing w:val="3"/>
        </w:rPr>
        <w:t>法律依据：</w:t>
      </w:r>
    </w:p>
    <w:p>
      <w:pPr>
        <w:ind w:left="124" w:right="84" w:firstLine="649"/>
        <w:spacing w:before="96" w:line="264" w:lineRule="auto"/>
        <w:jc w:val="both"/>
        <w:rPr>
          <w:rFonts w:ascii="FangSong" w:hAnsi="FangSong" w:eastAsia="FangSong" w:cs="FangSong"/>
          <w:sz w:val="30"/>
          <w:szCs w:val="30"/>
        </w:rPr>
      </w:pPr>
      <w:r>
        <w:rPr>
          <w:rFonts w:ascii="FangSong" w:hAnsi="FangSong" w:eastAsia="FangSong" w:cs="FangSong"/>
          <w:sz w:val="30"/>
          <w:szCs w:val="30"/>
          <w:spacing w:val="15"/>
        </w:rPr>
        <w:t>《中华人民共和国传染病防治法实施办法》第六十八条单位和个人出售、运输被传染病病原体污</w:t>
      </w:r>
      <w:r>
        <w:rPr>
          <w:rFonts w:ascii="FangSong" w:hAnsi="FangSong" w:eastAsia="FangSong" w:cs="FangSong"/>
          <w:sz w:val="30"/>
          <w:szCs w:val="30"/>
          <w:spacing w:val="18"/>
        </w:rPr>
        <w:t xml:space="preserve"> </w:t>
      </w:r>
      <w:r>
        <w:rPr>
          <w:rFonts w:ascii="FangSong" w:hAnsi="FangSong" w:eastAsia="FangSong" w:cs="FangSong"/>
          <w:sz w:val="30"/>
          <w:szCs w:val="30"/>
          <w:spacing w:val="17"/>
        </w:rPr>
        <w:t>染和来自疫区可能被传染病病原体污染的皮毛、旧衣物及生物用品的，由县级以上政府卫生行政部门</w:t>
      </w:r>
      <w:r>
        <w:rPr>
          <w:rFonts w:ascii="FangSong" w:hAnsi="FangSong" w:eastAsia="FangSong" w:cs="FangSong"/>
          <w:sz w:val="30"/>
          <w:szCs w:val="30"/>
          <w:spacing w:val="1"/>
        </w:rPr>
        <w:t xml:space="preserve"> </w:t>
      </w:r>
      <w:r>
        <w:rPr>
          <w:rFonts w:ascii="FangSong" w:hAnsi="FangSong" w:eastAsia="FangSong" w:cs="FangSong"/>
          <w:sz w:val="30"/>
          <w:szCs w:val="30"/>
          <w:spacing w:val="17"/>
        </w:rPr>
        <w:t>责令限期进行卫生处理，可以处出售金额一倍以下的罚款；造</w:t>
      </w:r>
      <w:r>
        <w:rPr>
          <w:rFonts w:ascii="FangSong" w:hAnsi="FangSong" w:eastAsia="FangSong" w:cs="FangSong"/>
          <w:sz w:val="30"/>
          <w:szCs w:val="30"/>
          <w:spacing w:val="16"/>
        </w:rPr>
        <w:t>成传染病流行的，根据情节，可以处相</w:t>
      </w:r>
      <w:r>
        <w:rPr>
          <w:rFonts w:ascii="FangSong" w:hAnsi="FangSong" w:eastAsia="FangSong" w:cs="FangSong"/>
          <w:sz w:val="30"/>
          <w:szCs w:val="30"/>
        </w:rPr>
        <w:t xml:space="preserve"> </w:t>
      </w:r>
      <w:r>
        <w:rPr>
          <w:rFonts w:ascii="FangSong" w:hAnsi="FangSong" w:eastAsia="FangSong" w:cs="FangSong"/>
          <w:sz w:val="30"/>
          <w:szCs w:val="30"/>
          <w:spacing w:val="16"/>
        </w:rPr>
        <w:t>当出售金额三倍以下的罚款，危害严重，出售金额不满二千元的，以二千元计算；对主管人员和直接</w:t>
      </w:r>
      <w:r>
        <w:rPr>
          <w:rFonts w:ascii="FangSong" w:hAnsi="FangSong" w:eastAsia="FangSong" w:cs="FangSong"/>
          <w:sz w:val="30"/>
          <w:szCs w:val="30"/>
          <w:spacing w:val="13"/>
        </w:rPr>
        <w:t xml:space="preserve"> </w:t>
      </w:r>
      <w:r>
        <w:rPr>
          <w:rFonts w:ascii="FangSong" w:hAnsi="FangSong" w:eastAsia="FangSong" w:cs="FangSong"/>
          <w:sz w:val="30"/>
          <w:szCs w:val="30"/>
          <w:spacing w:val="18"/>
        </w:rPr>
        <w:t>责任人员由所在单位或者上级机关给予行政处分。</w:t>
      </w:r>
    </w:p>
    <w:p>
      <w:pPr>
        <w:ind w:left="6518"/>
        <w:spacing w:before="32"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70" w:lineRule="exact"/>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82"/>
        <w:gridCol w:w="5366"/>
        <w:gridCol w:w="5401"/>
      </w:tblGrid>
      <w:tr>
        <w:trPr>
          <w:trHeight w:val="842" w:hRule="atLeast"/>
        </w:trPr>
        <w:tc>
          <w:tcPr>
            <w:tcW w:w="3382" w:type="dxa"/>
            <w:vAlign w:val="top"/>
          </w:tcPr>
          <w:p>
            <w:pPr>
              <w:pStyle w:val="TableText"/>
              <w:ind w:left="1108"/>
              <w:spacing w:before="30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5366" w:type="dxa"/>
            <w:vAlign w:val="top"/>
          </w:tcPr>
          <w:p>
            <w:pPr>
              <w:pStyle w:val="TableText"/>
              <w:ind w:left="2196"/>
              <w:spacing w:before="302" w:line="220" w:lineRule="auto"/>
              <w:rPr/>
            </w:pPr>
            <w:r>
              <w:rPr>
                <w:b/>
                <w:bCs/>
                <w:spacing w:val="-5"/>
              </w:rPr>
              <w:t>情节后果</w:t>
            </w:r>
          </w:p>
        </w:tc>
        <w:tc>
          <w:tcPr>
            <w:tcW w:w="5401" w:type="dxa"/>
            <w:vAlign w:val="top"/>
          </w:tcPr>
          <w:p>
            <w:pPr>
              <w:pStyle w:val="TableText"/>
              <w:ind w:left="2220"/>
              <w:spacing w:before="299" w:line="218" w:lineRule="auto"/>
              <w:rPr/>
            </w:pPr>
            <w:r>
              <w:rPr>
                <w:b/>
                <w:bCs/>
                <w:spacing w:val="-5"/>
              </w:rPr>
              <w:t>裁量幅度</w:t>
            </w:r>
          </w:p>
        </w:tc>
      </w:tr>
      <w:tr>
        <w:trPr>
          <w:trHeight w:val="1516" w:hRule="atLeast"/>
        </w:trPr>
        <w:tc>
          <w:tcPr>
            <w:tcW w:w="3382" w:type="dxa"/>
            <w:vAlign w:val="top"/>
          </w:tcPr>
          <w:p>
            <w:pPr>
              <w:spacing w:line="280" w:lineRule="auto"/>
              <w:rPr>
                <w:rFonts w:ascii="Arial"/>
                <w:sz w:val="21"/>
              </w:rPr>
            </w:pPr>
            <w:r/>
          </w:p>
          <w:p>
            <w:pPr>
              <w:spacing w:line="281" w:lineRule="auto"/>
              <w:rPr>
                <w:rFonts w:ascii="Arial"/>
                <w:sz w:val="21"/>
              </w:rPr>
            </w:pPr>
            <w:r/>
          </w:p>
          <w:p>
            <w:pPr>
              <w:pStyle w:val="TableText"/>
              <w:ind w:left="1444"/>
              <w:spacing w:before="78" w:line="219" w:lineRule="auto"/>
              <w:rPr/>
            </w:pPr>
            <w:r>
              <w:rPr>
                <w:spacing w:val="-3"/>
              </w:rPr>
              <w:t>较轻</w:t>
            </w:r>
          </w:p>
        </w:tc>
        <w:tc>
          <w:tcPr>
            <w:tcW w:w="5366" w:type="dxa"/>
            <w:vAlign w:val="top"/>
          </w:tcPr>
          <w:p>
            <w:pPr>
              <w:pStyle w:val="TableText"/>
              <w:ind w:left="32" w:right="2"/>
              <w:spacing w:before="100" w:line="336" w:lineRule="auto"/>
              <w:jc w:val="both"/>
              <w:rPr/>
            </w:pPr>
            <w:r>
              <w:rPr>
                <w:spacing w:val="1"/>
              </w:rPr>
              <w:t>单位和个人出售、运输被传染病病原体污染和来自</w:t>
            </w:r>
            <w:r>
              <w:rPr>
                <w:spacing w:val="17"/>
              </w:rPr>
              <w:t xml:space="preserve"> </w:t>
            </w:r>
            <w:r>
              <w:rPr/>
              <w:t>疫区可能被传染病病原体污染的皮毛、旧衣物及生</w:t>
            </w:r>
            <w:r>
              <w:rPr>
                <w:spacing w:val="10"/>
              </w:rPr>
              <w:t xml:space="preserve"> </w:t>
            </w:r>
            <w:r>
              <w:rPr>
                <w:spacing w:val="4"/>
              </w:rPr>
              <w:t>物用品，未造成传染病传播。</w:t>
            </w:r>
          </w:p>
        </w:tc>
        <w:tc>
          <w:tcPr>
            <w:tcW w:w="5401" w:type="dxa"/>
            <w:vAlign w:val="top"/>
          </w:tcPr>
          <w:p>
            <w:pPr>
              <w:spacing w:line="279" w:lineRule="auto"/>
              <w:rPr>
                <w:rFonts w:ascii="Arial"/>
                <w:sz w:val="21"/>
              </w:rPr>
            </w:pPr>
            <w:r/>
          </w:p>
          <w:p>
            <w:pPr>
              <w:spacing w:line="280" w:lineRule="auto"/>
              <w:rPr>
                <w:rFonts w:ascii="Arial"/>
                <w:sz w:val="21"/>
              </w:rPr>
            </w:pPr>
            <w:r/>
          </w:p>
          <w:p>
            <w:pPr>
              <w:pStyle w:val="TableText"/>
              <w:spacing w:before="78" w:line="219" w:lineRule="auto"/>
              <w:jc w:val="right"/>
              <w:rPr/>
            </w:pPr>
            <w:r>
              <w:rPr>
                <w:spacing w:val="-1"/>
              </w:rPr>
              <w:t>责令限期进行卫生处理，处出售金额一倍的罚款。</w:t>
            </w:r>
          </w:p>
        </w:tc>
      </w:tr>
      <w:tr>
        <w:trPr>
          <w:trHeight w:val="1531" w:hRule="atLeast"/>
        </w:trPr>
        <w:tc>
          <w:tcPr>
            <w:tcW w:w="3382" w:type="dxa"/>
            <w:vAlign w:val="top"/>
          </w:tcPr>
          <w:p>
            <w:pPr>
              <w:spacing w:line="288" w:lineRule="auto"/>
              <w:rPr>
                <w:rFonts w:ascii="Arial"/>
                <w:sz w:val="21"/>
              </w:rPr>
            </w:pPr>
            <w:r/>
          </w:p>
          <w:p>
            <w:pPr>
              <w:spacing w:line="288" w:lineRule="auto"/>
              <w:rPr>
                <w:rFonts w:ascii="Arial"/>
                <w:sz w:val="21"/>
              </w:rPr>
            </w:pPr>
            <w:r/>
          </w:p>
          <w:p>
            <w:pPr>
              <w:pStyle w:val="TableText"/>
              <w:ind w:left="1444"/>
              <w:spacing w:before="78" w:line="221" w:lineRule="auto"/>
              <w:rPr/>
            </w:pPr>
            <w:r>
              <w:rPr>
                <w:spacing w:val="5"/>
              </w:rPr>
              <w:t>一般</w:t>
            </w:r>
          </w:p>
        </w:tc>
        <w:tc>
          <w:tcPr>
            <w:tcW w:w="5366" w:type="dxa"/>
            <w:vAlign w:val="top"/>
          </w:tcPr>
          <w:p>
            <w:pPr>
              <w:pStyle w:val="TableText"/>
              <w:ind w:left="32" w:right="2"/>
              <w:spacing w:before="97" w:line="343" w:lineRule="auto"/>
              <w:jc w:val="both"/>
              <w:rPr/>
            </w:pPr>
            <w:r>
              <w:rPr>
                <w:spacing w:val="1"/>
              </w:rPr>
              <w:t>单位和个人出售、运输被传染病病原体污染和来自</w:t>
            </w:r>
            <w:r>
              <w:rPr>
                <w:spacing w:val="17"/>
              </w:rPr>
              <w:t xml:space="preserve"> </w:t>
            </w:r>
            <w:r>
              <w:rPr/>
              <w:t>疫区可能被传染病病原体污染的皮毛、旧衣物及生</w:t>
            </w:r>
            <w:r>
              <w:rPr>
                <w:spacing w:val="10"/>
              </w:rPr>
              <w:t xml:space="preserve"> </w:t>
            </w:r>
            <w:r>
              <w:rPr>
                <w:spacing w:val="4"/>
              </w:rPr>
              <w:t>物用品，造成乙类或丙类传染病流行。</w:t>
            </w:r>
          </w:p>
        </w:tc>
        <w:tc>
          <w:tcPr>
            <w:tcW w:w="5401" w:type="dxa"/>
            <w:vAlign w:val="top"/>
          </w:tcPr>
          <w:p>
            <w:pPr>
              <w:spacing w:line="246" w:lineRule="auto"/>
              <w:rPr>
                <w:rFonts w:ascii="Arial"/>
                <w:sz w:val="21"/>
              </w:rPr>
            </w:pPr>
            <w:r/>
          </w:p>
          <w:p>
            <w:pPr>
              <w:pStyle w:val="TableText"/>
              <w:ind w:left="16" w:firstLine="98"/>
              <w:spacing w:before="78" w:line="364" w:lineRule="auto"/>
              <w:rPr/>
            </w:pPr>
            <w:r>
              <w:rPr>
                <w:spacing w:val="-1"/>
              </w:rPr>
              <w:t>责令限期进行卫生处理，处出售金额二倍的罚款，</w:t>
            </w:r>
            <w:r>
              <w:rPr>
                <w:spacing w:val="16"/>
              </w:rPr>
              <w:t xml:space="preserve"> </w:t>
            </w:r>
            <w:r>
              <w:rPr>
                <w:spacing w:val="-7"/>
              </w:rPr>
              <w:t>危害严重，出售金额不满二千元的，以二千元计算。</w:t>
            </w:r>
          </w:p>
        </w:tc>
      </w:tr>
    </w:tbl>
    <w:p>
      <w:pPr>
        <w:pStyle w:val="BodyText"/>
        <w:rPr/>
      </w:pPr>
      <w:r/>
    </w:p>
    <w:p>
      <w:pPr>
        <w:sectPr>
          <w:footerReference w:type="default" r:id="rId105"/>
          <w:pgSz w:w="16830" w:h="11900"/>
          <w:pgMar w:top="1011" w:right="1344" w:bottom="1113" w:left="1325" w:header="0" w:footer="779" w:gutter="0"/>
        </w:sectPr>
        <w:rPr/>
      </w:pPr>
    </w:p>
    <w:p>
      <w:pPr>
        <w:spacing w:before="23"/>
        <w:rPr/>
      </w:pPr>
      <w:r/>
    </w:p>
    <w:p>
      <w:pPr>
        <w:spacing w:before="23"/>
        <w:rPr/>
      </w:pPr>
      <w:r/>
    </w:p>
    <w:p>
      <w:pPr>
        <w:spacing w:before="23"/>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73"/>
        <w:gridCol w:w="5396"/>
        <w:gridCol w:w="5401"/>
      </w:tblGrid>
      <w:tr>
        <w:trPr>
          <w:trHeight w:val="1529" w:hRule="atLeast"/>
        </w:trPr>
        <w:tc>
          <w:tcPr>
            <w:tcW w:w="3373" w:type="dxa"/>
            <w:vAlign w:val="top"/>
          </w:tcPr>
          <w:p>
            <w:pPr>
              <w:spacing w:line="286" w:lineRule="auto"/>
              <w:rPr>
                <w:rFonts w:ascii="Arial"/>
                <w:sz w:val="21"/>
              </w:rPr>
            </w:pPr>
            <w:r/>
          </w:p>
          <w:p>
            <w:pPr>
              <w:spacing w:line="287" w:lineRule="auto"/>
              <w:rPr>
                <w:rFonts w:ascii="Arial"/>
                <w:sz w:val="21"/>
              </w:rPr>
            </w:pPr>
            <w:r/>
          </w:p>
          <w:p>
            <w:pPr>
              <w:pStyle w:val="TableText"/>
              <w:ind w:left="1448"/>
              <w:spacing w:before="78" w:line="221" w:lineRule="auto"/>
              <w:rPr/>
            </w:pPr>
            <w:bookmarkStart w:name="bookmark774" w:id="64"/>
            <w:bookmarkEnd w:id="64"/>
            <w:r>
              <w:rPr>
                <w:b/>
                <w:bCs/>
                <w:spacing w:val="-5"/>
              </w:rPr>
              <w:t>较重</w:t>
            </w:r>
          </w:p>
        </w:tc>
        <w:tc>
          <w:tcPr>
            <w:tcW w:w="5396" w:type="dxa"/>
            <w:vAlign w:val="top"/>
          </w:tcPr>
          <w:p>
            <w:pPr>
              <w:pStyle w:val="TableText"/>
              <w:ind w:left="51" w:right="13"/>
              <w:spacing w:before="75" w:line="343" w:lineRule="auto"/>
              <w:jc w:val="both"/>
              <w:rPr/>
            </w:pPr>
            <w:r>
              <w:rPr>
                <w:spacing w:val="1"/>
              </w:rPr>
              <w:t>单位和个人出售、运输被传染病病原体污染和来自</w:t>
            </w:r>
            <w:r>
              <w:rPr>
                <w:spacing w:val="17"/>
              </w:rPr>
              <w:t xml:space="preserve"> </w:t>
            </w:r>
            <w:r>
              <w:rPr/>
              <w:t>疫区可能被传染病病原体污染的皮毛、旧衣物及生</w:t>
            </w:r>
            <w:r>
              <w:rPr>
                <w:spacing w:val="10"/>
              </w:rPr>
              <w:t xml:space="preserve"> </w:t>
            </w:r>
            <w:r>
              <w:rPr>
                <w:spacing w:val="4"/>
              </w:rPr>
              <w:t>物用品，造成甲类传染病流行。</w:t>
            </w:r>
          </w:p>
        </w:tc>
        <w:tc>
          <w:tcPr>
            <w:tcW w:w="5401" w:type="dxa"/>
            <w:vAlign w:val="top"/>
          </w:tcPr>
          <w:p>
            <w:pPr>
              <w:pStyle w:val="TableText"/>
              <w:ind w:left="15" w:firstLine="98"/>
              <w:spacing w:before="314" w:line="341" w:lineRule="auto"/>
              <w:rPr/>
            </w:pPr>
            <w:r>
              <w:rPr>
                <w:spacing w:val="-1"/>
              </w:rPr>
              <w:t>责令限期进行卫生处理，处出售金额三倍的罚款，</w:t>
            </w:r>
            <w:r>
              <w:rPr>
                <w:spacing w:val="17"/>
              </w:rPr>
              <w:t xml:space="preserve"> </w:t>
            </w:r>
            <w:r>
              <w:rPr>
                <w:spacing w:val="-7"/>
              </w:rPr>
              <w:t>危害严重，出售金额不满二千元的，以二千元计算。</w:t>
            </w:r>
          </w:p>
        </w:tc>
      </w:tr>
    </w:tbl>
    <w:p>
      <w:pPr>
        <w:ind w:left="789"/>
        <w:spacing w:before="68" w:line="221" w:lineRule="auto"/>
        <w:rPr>
          <w:rFonts w:ascii="FangSong" w:hAnsi="FangSong" w:eastAsia="FangSong" w:cs="FangSong"/>
          <w:sz w:val="30"/>
          <w:szCs w:val="30"/>
        </w:rPr>
      </w:pPr>
      <w:r>
        <w:rPr>
          <w:rFonts w:ascii="FangSong" w:hAnsi="FangSong" w:eastAsia="FangSong" w:cs="FangSong"/>
          <w:sz w:val="30"/>
          <w:szCs w:val="30"/>
          <w:b/>
          <w:bCs/>
          <w:spacing w:val="16"/>
        </w:rPr>
        <w:t>第三十二条</w:t>
      </w:r>
      <w:r>
        <w:rPr>
          <w:rFonts w:ascii="FangSong" w:hAnsi="FangSong" w:eastAsia="FangSong" w:cs="FangSong"/>
          <w:sz w:val="30"/>
          <w:szCs w:val="30"/>
          <w:spacing w:val="16"/>
        </w:rPr>
        <w:t xml:space="preserve">  </w:t>
      </w:r>
      <w:r>
        <w:rPr>
          <w:rFonts w:ascii="FangSong" w:hAnsi="FangSong" w:eastAsia="FangSong" w:cs="FangSong"/>
          <w:sz w:val="30"/>
          <w:szCs w:val="30"/>
          <w:b/>
          <w:bCs/>
          <w:spacing w:val="16"/>
        </w:rPr>
        <w:t>单位和个人非法经营、出售用于预防传染病菌苗、疫苗等生物制品的</w:t>
      </w:r>
    </w:p>
    <w:p>
      <w:pPr>
        <w:ind w:left="795"/>
        <w:spacing w:before="118" w:line="222" w:lineRule="auto"/>
        <w:rPr>
          <w:rFonts w:ascii="FangSong" w:hAnsi="FangSong" w:eastAsia="FangSong" w:cs="FangSong"/>
          <w:sz w:val="30"/>
          <w:szCs w:val="30"/>
        </w:rPr>
      </w:pPr>
      <w:r>
        <w:rPr>
          <w:rFonts w:ascii="FangSong" w:hAnsi="FangSong" w:eastAsia="FangSong" w:cs="FangSong"/>
          <w:sz w:val="30"/>
          <w:szCs w:val="30"/>
          <w:spacing w:val="3"/>
        </w:rPr>
        <w:t>法律依据：</w:t>
      </w:r>
    </w:p>
    <w:p>
      <w:pPr>
        <w:ind w:left="124" w:right="15" w:firstLine="650"/>
        <w:spacing w:before="69" w:line="270" w:lineRule="auto"/>
        <w:jc w:val="both"/>
        <w:rPr>
          <w:rFonts w:ascii="FangSong" w:hAnsi="FangSong" w:eastAsia="FangSong" w:cs="FangSong"/>
          <w:sz w:val="30"/>
          <w:szCs w:val="30"/>
        </w:rPr>
      </w:pPr>
      <w:r>
        <w:rPr>
          <w:rFonts w:ascii="FangSong" w:hAnsi="FangSong" w:eastAsia="FangSong" w:cs="FangSong"/>
          <w:sz w:val="30"/>
          <w:szCs w:val="30"/>
          <w:spacing w:val="19"/>
        </w:rPr>
        <w:t>《中华人民共和国传染病防治法实施办法》第六十九条</w:t>
      </w:r>
      <w:r>
        <w:rPr>
          <w:rFonts w:ascii="FangSong" w:hAnsi="FangSong" w:eastAsia="FangSong" w:cs="FangSong"/>
          <w:sz w:val="30"/>
          <w:szCs w:val="30"/>
          <w:spacing w:val="19"/>
        </w:rPr>
        <w:t xml:space="preserve">   </w:t>
      </w:r>
      <w:r>
        <w:rPr>
          <w:rFonts w:ascii="FangSong" w:hAnsi="FangSong" w:eastAsia="FangSong" w:cs="FangSong"/>
          <w:sz w:val="30"/>
          <w:szCs w:val="30"/>
          <w:spacing w:val="19"/>
        </w:rPr>
        <w:t>单位和个人非法经营</w:t>
      </w:r>
      <w:r>
        <w:rPr>
          <w:rFonts w:ascii="FangSong" w:hAnsi="FangSong" w:eastAsia="FangSong" w:cs="FangSong"/>
          <w:sz w:val="30"/>
          <w:szCs w:val="30"/>
          <w:spacing w:val="18"/>
        </w:rPr>
        <w:t>、出售用于预防</w:t>
      </w:r>
      <w:r>
        <w:rPr>
          <w:rFonts w:ascii="FangSong" w:hAnsi="FangSong" w:eastAsia="FangSong" w:cs="FangSong"/>
          <w:sz w:val="30"/>
          <w:szCs w:val="30"/>
        </w:rPr>
        <w:t xml:space="preserve"> </w:t>
      </w:r>
      <w:r>
        <w:rPr>
          <w:rFonts w:ascii="FangSong" w:hAnsi="FangSong" w:eastAsia="FangSong" w:cs="FangSong"/>
          <w:sz w:val="30"/>
          <w:szCs w:val="30"/>
          <w:spacing w:val="19"/>
        </w:rPr>
        <w:t>传染病菌苗、疫苗等生物制品的，县级以上政府卫生行政部门可以处相当出售金额三倍以下的罚款，</w:t>
      </w:r>
      <w:r>
        <w:rPr>
          <w:rFonts w:ascii="FangSong" w:hAnsi="FangSong" w:eastAsia="FangSong" w:cs="FangSong"/>
          <w:sz w:val="30"/>
          <w:szCs w:val="30"/>
          <w:spacing w:val="2"/>
        </w:rPr>
        <w:t xml:space="preserve"> </w:t>
      </w:r>
      <w:r>
        <w:rPr>
          <w:rFonts w:ascii="FangSong" w:hAnsi="FangSong" w:eastAsia="FangSong" w:cs="FangSong"/>
          <w:sz w:val="30"/>
          <w:szCs w:val="30"/>
          <w:spacing w:val="16"/>
        </w:rPr>
        <w:t>危害严重，出售金额不满五千元，以五千元计算；对主管人员和直接责任人员由所在单位或者上级机</w:t>
      </w:r>
      <w:r>
        <w:rPr>
          <w:rFonts w:ascii="FangSong" w:hAnsi="FangSong" w:eastAsia="FangSong" w:cs="FangSong"/>
          <w:sz w:val="30"/>
          <w:szCs w:val="30"/>
          <w:spacing w:val="1"/>
        </w:rPr>
        <w:t xml:space="preserve">  </w:t>
      </w:r>
      <w:r>
        <w:rPr>
          <w:rFonts w:ascii="FangSong" w:hAnsi="FangSong" w:eastAsia="FangSong" w:cs="FangSong"/>
          <w:sz w:val="30"/>
          <w:szCs w:val="30"/>
          <w:spacing w:val="17"/>
        </w:rPr>
        <w:t>关根据情节，可以给予行政处分。</w:t>
      </w:r>
    </w:p>
    <w:p>
      <w:pPr>
        <w:ind w:left="6529"/>
        <w:spacing w:before="1" w:line="220"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70" w:lineRule="exact"/>
        <w:rPr/>
      </w:pPr>
      <w:r/>
    </w:p>
    <w:tbl>
      <w:tblPr>
        <w:tblStyle w:val="TableNormal"/>
        <w:tblW w:w="1414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62"/>
        <w:gridCol w:w="6705"/>
        <w:gridCol w:w="4082"/>
      </w:tblGrid>
      <w:tr>
        <w:trPr>
          <w:trHeight w:val="822" w:hRule="atLeast"/>
        </w:trPr>
        <w:tc>
          <w:tcPr>
            <w:tcW w:w="3362" w:type="dxa"/>
            <w:vAlign w:val="top"/>
          </w:tcPr>
          <w:p>
            <w:pPr>
              <w:pStyle w:val="TableText"/>
              <w:ind w:left="1098"/>
              <w:spacing w:before="17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6705" w:type="dxa"/>
            <w:vAlign w:val="top"/>
          </w:tcPr>
          <w:p>
            <w:pPr>
              <w:pStyle w:val="TableText"/>
              <w:ind w:left="2866"/>
              <w:spacing w:before="172" w:line="220" w:lineRule="auto"/>
              <w:rPr/>
            </w:pPr>
            <w:r>
              <w:rPr>
                <w:b/>
                <w:bCs/>
                <w:spacing w:val="-5"/>
              </w:rPr>
              <w:t>情节后果</w:t>
            </w:r>
          </w:p>
        </w:tc>
        <w:tc>
          <w:tcPr>
            <w:tcW w:w="4082" w:type="dxa"/>
            <w:vAlign w:val="top"/>
          </w:tcPr>
          <w:p>
            <w:pPr>
              <w:pStyle w:val="TableText"/>
              <w:ind w:left="1481"/>
              <w:spacing w:before="15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107" w:hRule="atLeast"/>
        </w:trPr>
        <w:tc>
          <w:tcPr>
            <w:tcW w:w="3362" w:type="dxa"/>
            <w:vAlign w:val="top"/>
          </w:tcPr>
          <w:p>
            <w:pPr>
              <w:pStyle w:val="TableText"/>
              <w:ind w:left="1438"/>
              <w:spacing w:before="309" w:line="219" w:lineRule="auto"/>
              <w:rPr/>
            </w:pPr>
            <w:r>
              <w:rPr>
                <w:b/>
                <w:bCs/>
                <w:spacing w:val="-5"/>
              </w:rPr>
              <w:t>较轻</w:t>
            </w:r>
          </w:p>
        </w:tc>
        <w:tc>
          <w:tcPr>
            <w:tcW w:w="6705" w:type="dxa"/>
            <w:vAlign w:val="top"/>
          </w:tcPr>
          <w:p>
            <w:pPr>
              <w:pStyle w:val="TableText"/>
              <w:ind w:left="112" w:right="100" w:hanging="10"/>
              <w:spacing w:before="113" w:line="333" w:lineRule="auto"/>
              <w:rPr/>
            </w:pPr>
            <w:r>
              <w:rPr/>
              <w:t>单位和个人非法经营、出售用于预防传染病菌苗、疫苗等生物</w:t>
            </w:r>
            <w:r>
              <w:rPr>
                <w:spacing w:val="11"/>
              </w:rPr>
              <w:t xml:space="preserve"> </w:t>
            </w:r>
            <w:r>
              <w:rPr>
                <w:spacing w:val="-1"/>
              </w:rPr>
              <w:t>制品，出售金额不足5000元。</w:t>
            </w:r>
          </w:p>
        </w:tc>
        <w:tc>
          <w:tcPr>
            <w:tcW w:w="4082" w:type="dxa"/>
            <w:vAlign w:val="top"/>
          </w:tcPr>
          <w:p>
            <w:pPr>
              <w:pStyle w:val="TableText"/>
              <w:ind w:left="117"/>
              <w:spacing w:before="313" w:line="219" w:lineRule="auto"/>
              <w:rPr/>
            </w:pPr>
            <w:r>
              <w:rPr/>
              <w:t>处出售金额一倍的罚款。</w:t>
            </w:r>
          </w:p>
        </w:tc>
      </w:tr>
      <w:tr>
        <w:trPr>
          <w:trHeight w:val="1131" w:hRule="atLeast"/>
        </w:trPr>
        <w:tc>
          <w:tcPr>
            <w:tcW w:w="3362" w:type="dxa"/>
            <w:vAlign w:val="top"/>
          </w:tcPr>
          <w:p>
            <w:pPr>
              <w:spacing w:line="264" w:lineRule="auto"/>
              <w:rPr>
                <w:rFonts w:ascii="Arial"/>
                <w:sz w:val="21"/>
              </w:rPr>
            </w:pPr>
            <w:r/>
          </w:p>
          <w:p>
            <w:pPr>
              <w:pStyle w:val="TableText"/>
              <w:ind w:left="1438"/>
              <w:spacing w:before="78" w:line="221" w:lineRule="auto"/>
              <w:rPr/>
            </w:pPr>
            <w:r>
              <w:rPr>
                <w:b/>
                <w:bCs/>
                <w:spacing w:val="-10"/>
              </w:rPr>
              <w:t>一般</w:t>
            </w:r>
          </w:p>
        </w:tc>
        <w:tc>
          <w:tcPr>
            <w:tcW w:w="6705" w:type="dxa"/>
            <w:vAlign w:val="top"/>
          </w:tcPr>
          <w:p>
            <w:pPr>
              <w:pStyle w:val="TableText"/>
              <w:ind w:left="112" w:right="100" w:hanging="10"/>
              <w:spacing w:before="114" w:line="349" w:lineRule="auto"/>
              <w:rPr/>
            </w:pPr>
            <w:r>
              <w:rPr/>
              <w:t>单位和个人非法经营、出售用于预防传染病菌苗、疫苗等生物</w:t>
            </w:r>
            <w:r>
              <w:rPr>
                <w:spacing w:val="11"/>
              </w:rPr>
              <w:t xml:space="preserve"> </w:t>
            </w:r>
            <w:r>
              <w:rPr/>
              <w:t>制品，出售金额在5000至10000元。</w:t>
            </w:r>
          </w:p>
        </w:tc>
        <w:tc>
          <w:tcPr>
            <w:tcW w:w="4082" w:type="dxa"/>
            <w:vAlign w:val="top"/>
          </w:tcPr>
          <w:p>
            <w:pPr>
              <w:spacing w:line="286" w:lineRule="auto"/>
              <w:rPr>
                <w:rFonts w:ascii="Arial"/>
                <w:sz w:val="21"/>
              </w:rPr>
            </w:pPr>
            <w:r/>
          </w:p>
          <w:p>
            <w:pPr>
              <w:pStyle w:val="TableText"/>
              <w:ind w:left="117"/>
              <w:spacing w:before="78" w:line="219" w:lineRule="auto"/>
              <w:rPr/>
            </w:pPr>
            <w:r>
              <w:rPr/>
              <w:t>处出售金额二倍的罚款。</w:t>
            </w:r>
          </w:p>
        </w:tc>
      </w:tr>
    </w:tbl>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6474"/>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—112—</w:t>
      </w:r>
    </w:p>
    <w:p>
      <w:pPr>
        <w:spacing w:line="188" w:lineRule="auto"/>
        <w:sectPr>
          <w:footerReference w:type="default" r:id="rId24"/>
          <w:pgSz w:w="16830" w:h="11900"/>
          <w:pgMar w:top="1011" w:right="1335" w:bottom="400" w:left="1314" w:header="0" w:footer="0" w:gutter="0"/>
        </w:sectPr>
        <w:rPr>
          <w:rFonts w:ascii="Times New Roman" w:hAnsi="Times New Roman" w:eastAsia="Times New Roman" w:cs="Times New Roman"/>
          <w:sz w:val="37"/>
          <w:szCs w:val="37"/>
        </w:rPr>
      </w:pPr>
    </w:p>
    <w:p>
      <w:pPr>
        <w:spacing w:before="20"/>
        <w:rPr/>
      </w:pPr>
      <w:r/>
    </w:p>
    <w:p>
      <w:pPr>
        <w:spacing w:before="20"/>
        <w:rPr/>
      </w:pPr>
      <w:r/>
    </w:p>
    <w:p>
      <w:pPr>
        <w:spacing w:before="19"/>
        <w:rPr/>
      </w:pPr>
      <w:r/>
    </w:p>
    <w:tbl>
      <w:tblPr>
        <w:tblStyle w:val="TableNormal"/>
        <w:tblW w:w="1415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92"/>
        <w:gridCol w:w="6695"/>
        <w:gridCol w:w="4072"/>
      </w:tblGrid>
      <w:tr>
        <w:trPr>
          <w:trHeight w:val="1559" w:hRule="atLeast"/>
        </w:trPr>
        <w:tc>
          <w:tcPr>
            <w:tcW w:w="3392" w:type="dxa"/>
            <w:vAlign w:val="top"/>
          </w:tcPr>
          <w:p>
            <w:pPr>
              <w:spacing w:line="291" w:lineRule="auto"/>
              <w:rPr>
                <w:rFonts w:ascii="Arial"/>
                <w:sz w:val="21"/>
              </w:rPr>
            </w:pPr>
            <w:r/>
          </w:p>
          <w:p>
            <w:pPr>
              <w:spacing w:line="292" w:lineRule="auto"/>
              <w:rPr>
                <w:rFonts w:ascii="Arial"/>
                <w:sz w:val="21"/>
              </w:rPr>
            </w:pPr>
            <w:r/>
          </w:p>
          <w:p>
            <w:pPr>
              <w:pStyle w:val="TableText"/>
              <w:ind w:left="1448"/>
              <w:spacing w:before="78" w:line="221" w:lineRule="auto"/>
              <w:rPr/>
            </w:pPr>
            <w:r>
              <w:rPr>
                <w:b/>
                <w:bCs/>
                <w:spacing w:val="-5"/>
              </w:rPr>
              <w:t>较重</w:t>
            </w:r>
          </w:p>
        </w:tc>
        <w:tc>
          <w:tcPr>
            <w:tcW w:w="6695" w:type="dxa"/>
            <w:vAlign w:val="top"/>
          </w:tcPr>
          <w:p>
            <w:pPr>
              <w:pStyle w:val="TableText"/>
              <w:ind w:left="102" w:right="89"/>
              <w:spacing w:before="313" w:line="349" w:lineRule="auto"/>
              <w:rPr/>
            </w:pPr>
            <w:r>
              <w:rPr/>
              <w:t>单位和个人非法经营、出售用于预防传染病菌苗、疫苗等生物</w:t>
            </w:r>
            <w:r>
              <w:rPr>
                <w:spacing w:val="11"/>
              </w:rPr>
              <w:t xml:space="preserve"> </w:t>
            </w:r>
            <w:r>
              <w:rPr>
                <w:spacing w:val="-1"/>
              </w:rPr>
              <w:t>制品，出售金额超过10000元。</w:t>
            </w:r>
          </w:p>
        </w:tc>
        <w:tc>
          <w:tcPr>
            <w:tcW w:w="4072" w:type="dxa"/>
            <w:vAlign w:val="top"/>
          </w:tcPr>
          <w:p>
            <w:pPr>
              <w:spacing w:line="291" w:lineRule="auto"/>
              <w:rPr>
                <w:rFonts w:ascii="Arial"/>
                <w:sz w:val="21"/>
              </w:rPr>
            </w:pPr>
            <w:r/>
          </w:p>
          <w:p>
            <w:pPr>
              <w:spacing w:line="292" w:lineRule="auto"/>
              <w:rPr>
                <w:rFonts w:ascii="Arial"/>
                <w:sz w:val="21"/>
              </w:rPr>
            </w:pPr>
            <w:r/>
          </w:p>
          <w:p>
            <w:pPr>
              <w:pStyle w:val="TableText"/>
              <w:ind w:left="97"/>
              <w:spacing w:before="78" w:line="219" w:lineRule="auto"/>
              <w:rPr/>
            </w:pPr>
            <w:r>
              <w:rPr/>
              <w:t>处出售金额三倍的罚款。</w:t>
            </w:r>
          </w:p>
        </w:tc>
      </w:tr>
    </w:tbl>
    <w:p>
      <w:pPr>
        <w:ind w:left="789"/>
        <w:spacing w:before="106" w:line="219" w:lineRule="auto"/>
        <w:rPr>
          <w:rFonts w:ascii="FangSong" w:hAnsi="FangSong" w:eastAsia="FangSong" w:cs="FangSong"/>
          <w:sz w:val="30"/>
          <w:szCs w:val="30"/>
        </w:rPr>
      </w:pPr>
      <w:r>
        <w:rPr>
          <w:rFonts w:ascii="FangSong" w:hAnsi="FangSong" w:eastAsia="FangSong" w:cs="FangSong"/>
          <w:sz w:val="30"/>
          <w:szCs w:val="30"/>
          <w:b/>
          <w:bCs/>
          <w:spacing w:val="21"/>
        </w:rPr>
        <w:t>第三十三条个体行医人员在执行职务时，不报、漏报、迟报传染病疫情的</w:t>
      </w:r>
    </w:p>
    <w:p>
      <w:pPr>
        <w:ind w:left="795"/>
        <w:spacing w:before="102"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24" w:right="109" w:firstLine="660"/>
        <w:spacing w:before="63" w:line="269" w:lineRule="auto"/>
        <w:jc w:val="both"/>
        <w:rPr>
          <w:rFonts w:ascii="FangSong" w:hAnsi="FangSong" w:eastAsia="FangSong" w:cs="FangSong"/>
          <w:sz w:val="30"/>
          <w:szCs w:val="30"/>
        </w:rPr>
      </w:pPr>
      <w:r>
        <w:rPr>
          <w:rFonts w:ascii="FangSong" w:hAnsi="FangSong" w:eastAsia="FangSong" w:cs="FangSong"/>
          <w:sz w:val="30"/>
          <w:szCs w:val="30"/>
          <w:spacing w:val="19"/>
        </w:rPr>
        <w:t>《中华人民共和国传染病防治法实施办法》第七十一条第二款</w:t>
      </w:r>
      <w:r>
        <w:rPr>
          <w:rFonts w:ascii="FangSong" w:hAnsi="FangSong" w:eastAsia="FangSong" w:cs="FangSong"/>
          <w:sz w:val="30"/>
          <w:szCs w:val="30"/>
          <w:spacing w:val="19"/>
        </w:rPr>
        <w:t xml:space="preserve">   </w:t>
      </w:r>
      <w:r>
        <w:rPr>
          <w:rFonts w:ascii="FangSong" w:hAnsi="FangSong" w:eastAsia="FangSong" w:cs="FangSong"/>
          <w:sz w:val="30"/>
          <w:szCs w:val="30"/>
          <w:spacing w:val="19"/>
        </w:rPr>
        <w:t>个体行医</w:t>
      </w:r>
      <w:r>
        <w:rPr>
          <w:rFonts w:ascii="FangSong" w:hAnsi="FangSong" w:eastAsia="FangSong" w:cs="FangSong"/>
          <w:sz w:val="30"/>
          <w:szCs w:val="30"/>
          <w:spacing w:val="18"/>
        </w:rPr>
        <w:t>人员在执行职务时，</w:t>
      </w:r>
      <w:r>
        <w:rPr>
          <w:rFonts w:ascii="FangSong" w:hAnsi="FangSong" w:eastAsia="FangSong" w:cs="FangSong"/>
          <w:sz w:val="30"/>
          <w:szCs w:val="30"/>
        </w:rPr>
        <w:t xml:space="preserve"> </w:t>
      </w:r>
      <w:r>
        <w:rPr>
          <w:rFonts w:ascii="FangSong" w:hAnsi="FangSong" w:eastAsia="FangSong" w:cs="FangSong"/>
          <w:sz w:val="30"/>
          <w:szCs w:val="30"/>
          <w:spacing w:val="17"/>
        </w:rPr>
        <w:t>不报、漏报、迟报传染病疫情的，由县级以上政府卫生行政部门责令限期改正，限期内不改</w:t>
      </w:r>
      <w:r>
        <w:rPr>
          <w:rFonts w:ascii="FangSong" w:hAnsi="FangSong" w:eastAsia="FangSong" w:cs="FangSong"/>
          <w:sz w:val="30"/>
          <w:szCs w:val="30"/>
          <w:spacing w:val="16"/>
        </w:rPr>
        <w:t>的，可以</w:t>
      </w:r>
      <w:r>
        <w:rPr>
          <w:rFonts w:ascii="FangSong" w:hAnsi="FangSong" w:eastAsia="FangSong" w:cs="FangSong"/>
          <w:sz w:val="30"/>
          <w:szCs w:val="30"/>
        </w:rPr>
        <w:t xml:space="preserve"> </w:t>
      </w:r>
      <w:r>
        <w:rPr>
          <w:rFonts w:ascii="FangSong" w:hAnsi="FangSong" w:eastAsia="FangSong" w:cs="FangSong"/>
          <w:sz w:val="30"/>
          <w:szCs w:val="30"/>
          <w:spacing w:val="19"/>
        </w:rPr>
        <w:t>处一百元以上五百元以下罚款；对造成传染病传播流</w:t>
      </w:r>
      <w:r>
        <w:rPr>
          <w:rFonts w:ascii="FangSong" w:hAnsi="FangSong" w:eastAsia="FangSong" w:cs="FangSong"/>
          <w:sz w:val="30"/>
          <w:szCs w:val="30"/>
          <w:spacing w:val="18"/>
        </w:rPr>
        <w:t>行的，可以处二百元以上二千元以下罚款。</w:t>
      </w:r>
    </w:p>
    <w:p>
      <w:pPr>
        <w:ind w:left="6529"/>
        <w:spacing w:before="1" w:line="220"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90" w:lineRule="exact"/>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83"/>
        <w:gridCol w:w="5396"/>
        <w:gridCol w:w="5381"/>
      </w:tblGrid>
      <w:tr>
        <w:trPr>
          <w:trHeight w:val="822" w:hRule="atLeast"/>
        </w:trPr>
        <w:tc>
          <w:tcPr>
            <w:tcW w:w="3383" w:type="dxa"/>
            <w:vAlign w:val="top"/>
          </w:tcPr>
          <w:p>
            <w:pPr>
              <w:pStyle w:val="TableText"/>
              <w:ind w:left="1108"/>
              <w:spacing w:before="29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5396" w:type="dxa"/>
            <w:vAlign w:val="top"/>
          </w:tcPr>
          <w:p>
            <w:pPr>
              <w:pStyle w:val="TableText"/>
              <w:ind w:left="2125"/>
              <w:spacing w:before="292" w:line="220" w:lineRule="auto"/>
              <w:rPr/>
            </w:pPr>
            <w:r>
              <w:rPr>
                <w:b/>
                <w:bCs/>
                <w:spacing w:val="-5"/>
              </w:rPr>
              <w:t>情节后果</w:t>
            </w:r>
          </w:p>
        </w:tc>
        <w:tc>
          <w:tcPr>
            <w:tcW w:w="5381" w:type="dxa"/>
            <w:vAlign w:val="top"/>
          </w:tcPr>
          <w:p>
            <w:pPr>
              <w:pStyle w:val="TableText"/>
              <w:ind w:left="2129"/>
              <w:spacing w:before="289" w:line="218" w:lineRule="auto"/>
              <w:rPr/>
            </w:pPr>
            <w:r>
              <w:rPr>
                <w:b/>
                <w:bCs/>
                <w:spacing w:val="-5"/>
              </w:rPr>
              <w:t>裁量幅度</w:t>
            </w:r>
          </w:p>
        </w:tc>
      </w:tr>
      <w:tr>
        <w:trPr>
          <w:trHeight w:val="668" w:hRule="atLeast"/>
        </w:trPr>
        <w:tc>
          <w:tcPr>
            <w:tcW w:w="3383" w:type="dxa"/>
            <w:vAlign w:val="top"/>
          </w:tcPr>
          <w:p>
            <w:pPr>
              <w:pStyle w:val="TableText"/>
              <w:ind w:left="1448"/>
              <w:spacing w:before="99" w:line="219" w:lineRule="auto"/>
              <w:rPr/>
            </w:pPr>
            <w:r>
              <w:rPr>
                <w:b/>
                <w:bCs/>
                <w:spacing w:val="-5"/>
              </w:rPr>
              <w:t>较轻</w:t>
            </w:r>
          </w:p>
        </w:tc>
        <w:tc>
          <w:tcPr>
            <w:tcW w:w="5396" w:type="dxa"/>
            <w:vAlign w:val="top"/>
          </w:tcPr>
          <w:p>
            <w:pPr>
              <w:pStyle w:val="TableText"/>
              <w:ind w:left="122"/>
              <w:spacing w:before="113" w:line="219" w:lineRule="auto"/>
              <w:rPr/>
            </w:pPr>
            <w:r>
              <w:rPr/>
              <w:t>首次发现违法行为。</w:t>
            </w:r>
          </w:p>
        </w:tc>
        <w:tc>
          <w:tcPr>
            <w:tcW w:w="5381" w:type="dxa"/>
            <w:vAlign w:val="top"/>
          </w:tcPr>
          <w:p>
            <w:pPr>
              <w:pStyle w:val="TableText"/>
              <w:ind w:left="125"/>
              <w:spacing w:before="101" w:line="219" w:lineRule="auto"/>
              <w:rPr/>
            </w:pPr>
            <w:r>
              <w:rPr/>
              <w:t>责令限期改正。</w:t>
            </w:r>
          </w:p>
        </w:tc>
      </w:tr>
      <w:tr>
        <w:trPr>
          <w:trHeight w:val="678" w:hRule="atLeast"/>
        </w:trPr>
        <w:tc>
          <w:tcPr>
            <w:tcW w:w="3383" w:type="dxa"/>
            <w:vAlign w:val="top"/>
          </w:tcPr>
          <w:p>
            <w:pPr>
              <w:pStyle w:val="TableText"/>
              <w:ind w:left="1448"/>
              <w:spacing w:before="102" w:line="221" w:lineRule="auto"/>
              <w:rPr/>
            </w:pPr>
            <w:r>
              <w:rPr>
                <w:b/>
                <w:bCs/>
                <w:spacing w:val="-10"/>
              </w:rPr>
              <w:t>一般</w:t>
            </w:r>
          </w:p>
        </w:tc>
        <w:tc>
          <w:tcPr>
            <w:tcW w:w="5396" w:type="dxa"/>
            <w:vAlign w:val="top"/>
          </w:tcPr>
          <w:p>
            <w:pPr>
              <w:pStyle w:val="TableText"/>
              <w:ind w:left="122"/>
              <w:spacing w:before="93" w:line="219" w:lineRule="auto"/>
              <w:rPr/>
            </w:pPr>
            <w:r>
              <w:rPr>
                <w:spacing w:val="-1"/>
              </w:rPr>
              <w:t>责令限期改正，限期内不改。</w:t>
            </w:r>
          </w:p>
        </w:tc>
        <w:tc>
          <w:tcPr>
            <w:tcW w:w="5381" w:type="dxa"/>
            <w:vAlign w:val="top"/>
          </w:tcPr>
          <w:p>
            <w:pPr>
              <w:pStyle w:val="TableText"/>
              <w:ind w:left="125"/>
              <w:spacing w:before="115" w:line="220" w:lineRule="auto"/>
              <w:rPr/>
            </w:pPr>
            <w:r>
              <w:rPr/>
              <w:t>处100元以上500元以下罚款。</w:t>
            </w:r>
          </w:p>
        </w:tc>
      </w:tr>
      <w:tr>
        <w:trPr>
          <w:trHeight w:val="762" w:hRule="atLeast"/>
        </w:trPr>
        <w:tc>
          <w:tcPr>
            <w:tcW w:w="3383" w:type="dxa"/>
            <w:vAlign w:val="top"/>
          </w:tcPr>
          <w:p>
            <w:pPr>
              <w:pStyle w:val="TableText"/>
              <w:ind w:left="1448"/>
              <w:spacing w:before="156" w:line="221" w:lineRule="auto"/>
              <w:rPr/>
            </w:pPr>
            <w:r>
              <w:rPr>
                <w:b/>
                <w:bCs/>
                <w:spacing w:val="-5"/>
              </w:rPr>
              <w:t>较重</w:t>
            </w:r>
          </w:p>
        </w:tc>
        <w:tc>
          <w:tcPr>
            <w:tcW w:w="5396" w:type="dxa"/>
            <w:vAlign w:val="top"/>
          </w:tcPr>
          <w:p>
            <w:pPr>
              <w:pStyle w:val="TableText"/>
              <w:spacing w:before="155" w:line="219" w:lineRule="auto"/>
              <w:jc w:val="right"/>
              <w:rPr/>
            </w:pPr>
            <w:r>
              <w:rPr>
                <w:spacing w:val="-12"/>
              </w:rPr>
              <w:t>责令限期改正，限期内不改，造成传染病传播流行。</w:t>
            </w:r>
          </w:p>
        </w:tc>
        <w:tc>
          <w:tcPr>
            <w:tcW w:w="5381" w:type="dxa"/>
            <w:vAlign w:val="top"/>
          </w:tcPr>
          <w:p>
            <w:pPr>
              <w:pStyle w:val="TableText"/>
              <w:ind w:left="125"/>
              <w:spacing w:before="157" w:line="220" w:lineRule="auto"/>
              <w:rPr/>
            </w:pPr>
            <w:r>
              <w:rPr>
                <w:spacing w:val="-1"/>
              </w:rPr>
              <w:t>处200元以上2000元以下罚款。</w:t>
            </w:r>
          </w:p>
        </w:tc>
      </w:tr>
    </w:tbl>
    <w:p>
      <w:pPr>
        <w:ind w:left="124" w:right="90" w:firstLine="670"/>
        <w:spacing w:before="94" w:line="257" w:lineRule="auto"/>
        <w:rPr>
          <w:rFonts w:ascii="FangSong" w:hAnsi="FangSong" w:eastAsia="FangSong" w:cs="FangSong"/>
          <w:sz w:val="30"/>
          <w:szCs w:val="30"/>
        </w:rPr>
      </w:pPr>
      <w:r>
        <w:rPr>
          <w:rFonts w:ascii="SimSun" w:hAnsi="SimSun" w:eastAsia="SimSun" w:cs="SimSun"/>
          <w:sz w:val="32"/>
          <w:szCs w:val="32"/>
        </w:rPr>
        <w:t>增1招用流动人员的用工单位，未向卫生防疫机构报告并未采取卫生措施，造成传染病传播、流</w:t>
      </w:r>
      <w:r>
        <w:rPr>
          <w:rFonts w:ascii="SimSun" w:hAnsi="SimSun" w:eastAsia="SimSun" w:cs="SimSun"/>
          <w:sz w:val="32"/>
          <w:szCs w:val="32"/>
          <w:spacing w:val="13"/>
        </w:rPr>
        <w:t xml:space="preserve"> </w:t>
      </w:r>
      <w:r>
        <w:rPr>
          <w:rFonts w:ascii="FangSong" w:hAnsi="FangSong" w:eastAsia="FangSong" w:cs="FangSong"/>
          <w:sz w:val="30"/>
          <w:szCs w:val="30"/>
          <w:spacing w:val="19"/>
        </w:rPr>
        <w:t>行的</w:t>
      </w:r>
    </w:p>
    <w:p>
      <w:pPr>
        <w:spacing w:line="257" w:lineRule="auto"/>
        <w:sectPr>
          <w:footerReference w:type="default" r:id="rId106"/>
          <w:pgSz w:w="16830" w:h="11900"/>
          <w:pgMar w:top="1011" w:right="1335" w:bottom="1117" w:left="1314" w:header="0" w:footer="784" w:gutter="0"/>
        </w:sectPr>
        <w:rPr>
          <w:rFonts w:ascii="FangSong" w:hAnsi="FangSong" w:eastAsia="FangSong" w:cs="FangSong"/>
          <w:sz w:val="30"/>
          <w:szCs w:val="30"/>
        </w:rPr>
      </w:pPr>
    </w:p>
    <w:p>
      <w:pPr>
        <w:pStyle w:val="BodyText"/>
        <w:spacing w:line="268" w:lineRule="auto"/>
        <w:rPr/>
      </w:pPr>
      <w:r/>
    </w:p>
    <w:p>
      <w:pPr>
        <w:pStyle w:val="BodyText"/>
        <w:spacing w:line="269" w:lineRule="auto"/>
        <w:rPr/>
      </w:pPr>
      <w:r/>
    </w:p>
    <w:p>
      <w:pPr>
        <w:pStyle w:val="BodyText"/>
        <w:spacing w:line="269" w:lineRule="auto"/>
        <w:rPr/>
      </w:pPr>
      <w:r/>
    </w:p>
    <w:p>
      <w:pPr>
        <w:ind w:left="784"/>
        <w:spacing w:before="97" w:line="222" w:lineRule="auto"/>
        <w:rPr>
          <w:rFonts w:ascii="FangSong" w:hAnsi="FangSong" w:eastAsia="FangSong" w:cs="FangSong"/>
          <w:sz w:val="30"/>
          <w:szCs w:val="30"/>
        </w:rPr>
      </w:pPr>
      <w:r>
        <w:rPr>
          <w:rFonts w:ascii="FangSong" w:hAnsi="FangSong" w:eastAsia="FangSong" w:cs="FangSong"/>
          <w:sz w:val="30"/>
          <w:szCs w:val="30"/>
          <w:spacing w:val="3"/>
        </w:rPr>
        <w:t>法律依据：</w:t>
      </w:r>
    </w:p>
    <w:p>
      <w:pPr>
        <w:ind w:left="124" w:right="86" w:firstLine="619"/>
        <w:spacing w:before="68" w:line="271" w:lineRule="auto"/>
        <w:jc w:val="both"/>
        <w:rPr>
          <w:rFonts w:ascii="FangSong" w:hAnsi="FangSong" w:eastAsia="FangSong" w:cs="FangSong"/>
          <w:sz w:val="30"/>
          <w:szCs w:val="30"/>
        </w:rPr>
      </w:pPr>
      <w:r>
        <w:rPr>
          <w:rFonts w:ascii="FangSong" w:hAnsi="FangSong" w:eastAsia="FangSong" w:cs="FangSong"/>
          <w:sz w:val="30"/>
          <w:szCs w:val="30"/>
          <w:spacing w:val="17"/>
        </w:rPr>
        <w:t>《中华人民共和国传染病防治法实施办法》第六十六条有下列行为之一</w:t>
      </w:r>
      <w:r>
        <w:rPr>
          <w:rFonts w:ascii="FangSong" w:hAnsi="FangSong" w:eastAsia="FangSong" w:cs="FangSong"/>
          <w:sz w:val="30"/>
          <w:szCs w:val="30"/>
          <w:spacing w:val="16"/>
        </w:rPr>
        <w:t>的，由县级以上政府卫生</w:t>
      </w:r>
      <w:r>
        <w:rPr>
          <w:rFonts w:ascii="FangSong" w:hAnsi="FangSong" w:eastAsia="FangSong" w:cs="FangSong"/>
          <w:sz w:val="30"/>
          <w:szCs w:val="30"/>
        </w:rPr>
        <w:t xml:space="preserve"> </w:t>
      </w:r>
      <w:r>
        <w:rPr>
          <w:rFonts w:ascii="FangSong" w:hAnsi="FangSong" w:eastAsia="FangSong" w:cs="FangSong"/>
          <w:sz w:val="30"/>
          <w:szCs w:val="30"/>
          <w:spacing w:val="25"/>
        </w:rPr>
        <w:t>行政部门责令限期改正，可以处5000元以下的罚款；情节较严重的，可以处5000元以上2</w:t>
      </w:r>
      <w:r>
        <w:rPr>
          <w:rFonts w:ascii="FangSong" w:hAnsi="FangSong" w:eastAsia="FangSong" w:cs="FangSong"/>
          <w:sz w:val="30"/>
          <w:szCs w:val="30"/>
          <w:spacing w:val="24"/>
        </w:rPr>
        <w:t>万元以下</w:t>
      </w:r>
      <w:r>
        <w:rPr>
          <w:rFonts w:ascii="FangSong" w:hAnsi="FangSong" w:eastAsia="FangSong" w:cs="FangSong"/>
          <w:sz w:val="30"/>
          <w:szCs w:val="30"/>
        </w:rPr>
        <w:t xml:space="preserve"> </w:t>
      </w:r>
      <w:r>
        <w:rPr>
          <w:rFonts w:ascii="FangSong" w:hAnsi="FangSong" w:eastAsia="FangSong" w:cs="FangSong"/>
          <w:sz w:val="30"/>
          <w:szCs w:val="30"/>
          <w:spacing w:val="24"/>
        </w:rPr>
        <w:t>的罚款，对主管人员和直接责任人员由其所在单位或者上级机关给予行政处分：(十一)招用流动人</w:t>
      </w:r>
      <w:r>
        <w:rPr>
          <w:rFonts w:ascii="FangSong" w:hAnsi="FangSong" w:eastAsia="FangSong" w:cs="FangSong"/>
          <w:sz w:val="30"/>
          <w:szCs w:val="30"/>
          <w:spacing w:val="1"/>
        </w:rPr>
        <w:t xml:space="preserve"> </w:t>
      </w:r>
      <w:r>
        <w:rPr>
          <w:rFonts w:ascii="FangSong" w:hAnsi="FangSong" w:eastAsia="FangSong" w:cs="FangSong"/>
          <w:sz w:val="30"/>
          <w:szCs w:val="30"/>
          <w:spacing w:val="16"/>
        </w:rPr>
        <w:t>员的用工单位，未向卫生防疫机构报告并未采取卫生措施，造成传染病传播、流行的。</w:t>
      </w:r>
      <w:r>
        <w:rPr>
          <w:rFonts w:ascii="FangSong" w:hAnsi="FangSong" w:eastAsia="FangSong" w:cs="FangSong"/>
          <w:sz w:val="30"/>
          <w:szCs w:val="30"/>
          <w:spacing w:val="15"/>
        </w:rPr>
        <w:t>前款所称情节</w:t>
      </w:r>
      <w:r>
        <w:rPr>
          <w:rFonts w:ascii="FangSong" w:hAnsi="FangSong" w:eastAsia="FangSong" w:cs="FangSong"/>
          <w:sz w:val="30"/>
          <w:szCs w:val="30"/>
        </w:rPr>
        <w:t xml:space="preserve"> </w:t>
      </w:r>
      <w:r>
        <w:rPr>
          <w:rFonts w:ascii="FangSong" w:hAnsi="FangSong" w:eastAsia="FangSong" w:cs="FangSong"/>
          <w:sz w:val="30"/>
          <w:szCs w:val="30"/>
          <w:spacing w:val="19"/>
        </w:rPr>
        <w:t>较严重的，是指下列情形之一：</w:t>
      </w:r>
    </w:p>
    <w:p>
      <w:pPr>
        <w:ind w:left="894"/>
        <w:spacing w:before="9" w:line="222" w:lineRule="auto"/>
        <w:rPr>
          <w:rFonts w:ascii="FangSong" w:hAnsi="FangSong" w:eastAsia="FangSong" w:cs="FangSong"/>
          <w:sz w:val="30"/>
          <w:szCs w:val="30"/>
        </w:rPr>
      </w:pPr>
      <w:r>
        <w:rPr>
          <w:rFonts w:ascii="FangSong" w:hAnsi="FangSong" w:eastAsia="FangSong" w:cs="FangSong"/>
          <w:sz w:val="30"/>
          <w:szCs w:val="30"/>
          <w:spacing w:val="23"/>
        </w:rPr>
        <w:t>(一)造成甲类传染病、艾滋病、肺炭疽传播危险的；</w:t>
      </w:r>
    </w:p>
    <w:p>
      <w:pPr>
        <w:ind w:left="894"/>
        <w:spacing w:before="66" w:line="221" w:lineRule="auto"/>
        <w:rPr>
          <w:rFonts w:ascii="FangSong" w:hAnsi="FangSong" w:eastAsia="FangSong" w:cs="FangSong"/>
          <w:sz w:val="30"/>
          <w:szCs w:val="30"/>
        </w:rPr>
      </w:pPr>
      <w:r>
        <w:rPr>
          <w:rFonts w:ascii="FangSong" w:hAnsi="FangSong" w:eastAsia="FangSong" w:cs="FangSong"/>
          <w:sz w:val="30"/>
          <w:szCs w:val="30"/>
          <w:spacing w:val="22"/>
        </w:rPr>
        <w:t>(二)造成除艾滋病、肺炭疽之外的乙、丙类传染病暴发、流行的；</w:t>
      </w:r>
    </w:p>
    <w:p>
      <w:pPr>
        <w:ind w:left="894"/>
        <w:spacing w:before="90" w:line="221" w:lineRule="auto"/>
        <w:rPr>
          <w:rFonts w:ascii="FangSong" w:hAnsi="FangSong" w:eastAsia="FangSong" w:cs="FangSong"/>
          <w:sz w:val="30"/>
          <w:szCs w:val="30"/>
        </w:rPr>
      </w:pPr>
      <w:r>
        <w:rPr>
          <w:rFonts w:ascii="FangSong" w:hAnsi="FangSong" w:eastAsia="FangSong" w:cs="FangSong"/>
          <w:sz w:val="30"/>
          <w:szCs w:val="30"/>
          <w:spacing w:val="42"/>
        </w:rPr>
        <w:t>(三)造成传染病菌(毒)种扩散的；</w:t>
      </w:r>
    </w:p>
    <w:p>
      <w:pPr>
        <w:ind w:left="894"/>
        <w:spacing w:before="74" w:line="222" w:lineRule="auto"/>
        <w:rPr>
          <w:rFonts w:ascii="FangSong" w:hAnsi="FangSong" w:eastAsia="FangSong" w:cs="FangSong"/>
          <w:sz w:val="30"/>
          <w:szCs w:val="30"/>
        </w:rPr>
      </w:pPr>
      <w:r>
        <w:rPr>
          <w:rFonts w:ascii="FangSong" w:hAnsi="FangSong" w:eastAsia="FangSong" w:cs="FangSong"/>
          <w:sz w:val="30"/>
          <w:szCs w:val="30"/>
          <w:spacing w:val="25"/>
        </w:rPr>
        <w:t>(四)造成病人残疾、死亡的；</w:t>
      </w:r>
    </w:p>
    <w:p>
      <w:pPr>
        <w:ind w:left="894"/>
        <w:spacing w:before="86" w:line="221" w:lineRule="auto"/>
        <w:rPr>
          <w:rFonts w:ascii="FangSong" w:hAnsi="FangSong" w:eastAsia="FangSong" w:cs="FangSong"/>
          <w:sz w:val="30"/>
          <w:szCs w:val="30"/>
        </w:rPr>
      </w:pPr>
      <w:r>
        <w:rPr>
          <w:rFonts w:ascii="FangSong" w:hAnsi="FangSong" w:eastAsia="FangSong" w:cs="FangSong"/>
          <w:sz w:val="30"/>
          <w:szCs w:val="30"/>
          <w:spacing w:val="23"/>
        </w:rPr>
        <w:t>(五)拒绝执行《传染病防治法》及本办法的</w:t>
      </w:r>
      <w:r>
        <w:rPr>
          <w:rFonts w:ascii="FangSong" w:hAnsi="FangSong" w:eastAsia="FangSong" w:cs="FangSong"/>
          <w:sz w:val="30"/>
          <w:szCs w:val="30"/>
          <w:spacing w:val="22"/>
        </w:rPr>
        <w:t>规定，屡经教育仍继续违法的。</w:t>
      </w:r>
    </w:p>
    <w:p>
      <w:pPr>
        <w:ind w:left="6518"/>
        <w:spacing w:before="69"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80" w:lineRule="exact"/>
        <w:rPr/>
      </w:pPr>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82"/>
        <w:gridCol w:w="5386"/>
        <w:gridCol w:w="979"/>
        <w:gridCol w:w="4412"/>
      </w:tblGrid>
      <w:tr>
        <w:trPr>
          <w:trHeight w:val="641" w:hRule="atLeast"/>
        </w:trPr>
        <w:tc>
          <w:tcPr>
            <w:tcW w:w="3382" w:type="dxa"/>
            <w:vAlign w:val="top"/>
          </w:tcPr>
          <w:p>
            <w:pPr>
              <w:pStyle w:val="TableText"/>
              <w:ind w:left="1188"/>
              <w:spacing w:before="82" w:line="220" w:lineRule="auto"/>
              <w:rPr>
                <w:sz w:val="25"/>
                <w:szCs w:val="25"/>
              </w:rPr>
            </w:pPr>
            <w:r>
              <w:rPr>
                <w:sz w:val="25"/>
                <w:szCs w:val="25"/>
                <w:b/>
                <w:bCs/>
                <w:spacing w:val="-5"/>
              </w:rPr>
              <w:t>违法程度</w:t>
            </w:r>
          </w:p>
        </w:tc>
        <w:tc>
          <w:tcPr>
            <w:tcW w:w="5386" w:type="dxa"/>
            <w:vAlign w:val="top"/>
          </w:tcPr>
          <w:p>
            <w:pPr>
              <w:pStyle w:val="TableText"/>
              <w:ind w:left="2126"/>
              <w:spacing w:before="82" w:line="220" w:lineRule="auto"/>
              <w:rPr>
                <w:sz w:val="25"/>
                <w:szCs w:val="25"/>
              </w:rPr>
            </w:pPr>
            <w:r>
              <w:rPr>
                <w:sz w:val="25"/>
                <w:szCs w:val="25"/>
                <w:b/>
                <w:bCs/>
                <w:spacing w:val="-5"/>
              </w:rPr>
              <w:t>情节后果</w:t>
            </w:r>
          </w:p>
        </w:tc>
        <w:tc>
          <w:tcPr>
            <w:tcW w:w="5391" w:type="dxa"/>
            <w:vAlign w:val="top"/>
            <w:gridSpan w:val="2"/>
          </w:tcPr>
          <w:p>
            <w:pPr>
              <w:pStyle w:val="TableText"/>
              <w:ind w:left="2130"/>
              <w:spacing w:before="79" w:line="218" w:lineRule="auto"/>
              <w:rPr>
                <w:sz w:val="25"/>
                <w:szCs w:val="25"/>
              </w:rPr>
            </w:pPr>
            <w:r>
              <w:rPr>
                <w:sz w:val="25"/>
                <w:szCs w:val="25"/>
                <w:b/>
                <w:bCs/>
                <w:spacing w:val="-5"/>
              </w:rPr>
              <w:t>裁量幅度</w:t>
            </w:r>
          </w:p>
        </w:tc>
      </w:tr>
      <w:tr>
        <w:trPr>
          <w:trHeight w:val="1048" w:hRule="atLeast"/>
        </w:trPr>
        <w:tc>
          <w:tcPr>
            <w:tcW w:w="3382" w:type="dxa"/>
            <w:vAlign w:val="top"/>
          </w:tcPr>
          <w:p>
            <w:pPr>
              <w:pStyle w:val="TableText"/>
              <w:ind w:left="1438"/>
              <w:spacing w:before="290" w:line="219" w:lineRule="auto"/>
              <w:rPr>
                <w:sz w:val="25"/>
                <w:szCs w:val="25"/>
              </w:rPr>
            </w:pPr>
            <w:r>
              <w:rPr>
                <w:sz w:val="25"/>
                <w:szCs w:val="25"/>
                <w:b/>
                <w:bCs/>
                <w:spacing w:val="-6"/>
              </w:rPr>
              <w:t>较轻</w:t>
            </w:r>
          </w:p>
        </w:tc>
        <w:tc>
          <w:tcPr>
            <w:tcW w:w="6365" w:type="dxa"/>
            <w:vAlign w:val="top"/>
            <w:gridSpan w:val="2"/>
          </w:tcPr>
          <w:p>
            <w:pPr>
              <w:pStyle w:val="TableText"/>
              <w:ind w:left="116"/>
              <w:spacing w:before="79" w:line="327" w:lineRule="auto"/>
              <w:rPr>
                <w:sz w:val="25"/>
                <w:szCs w:val="25"/>
              </w:rPr>
            </w:pPr>
            <w:r>
              <w:rPr>
                <w:sz w:val="25"/>
                <w:szCs w:val="25"/>
                <w:b/>
                <w:bCs/>
                <w:spacing w:val="-3"/>
              </w:rPr>
              <w:t>招用流动人员1至5名的用工单位，未向卫生防疫机</w:t>
            </w:r>
            <w:r>
              <w:rPr>
                <w:sz w:val="25"/>
                <w:szCs w:val="25"/>
                <w:b/>
                <w:bCs/>
                <w:spacing w:val="-4"/>
              </w:rPr>
              <w:t>构报告</w:t>
            </w:r>
            <w:r>
              <w:rPr>
                <w:sz w:val="25"/>
                <w:szCs w:val="25"/>
              </w:rPr>
              <w:t xml:space="preserve"> </w:t>
            </w:r>
            <w:r>
              <w:rPr>
                <w:sz w:val="25"/>
                <w:szCs w:val="25"/>
                <w:b/>
                <w:bCs/>
                <w:spacing w:val="-4"/>
              </w:rPr>
              <w:t>并未采取卫生措施，造成传染病传播、流行。</w:t>
            </w:r>
          </w:p>
        </w:tc>
        <w:tc>
          <w:tcPr>
            <w:tcW w:w="4412" w:type="dxa"/>
            <w:vAlign w:val="top"/>
          </w:tcPr>
          <w:p>
            <w:pPr>
              <w:pStyle w:val="TableText"/>
              <w:ind w:left="127"/>
              <w:spacing w:before="305" w:line="220" w:lineRule="auto"/>
              <w:rPr>
                <w:sz w:val="25"/>
                <w:szCs w:val="25"/>
              </w:rPr>
            </w:pPr>
            <w:r>
              <w:rPr>
                <w:sz w:val="25"/>
                <w:szCs w:val="25"/>
                <w:spacing w:val="-1"/>
              </w:rPr>
              <w:t>以处2000元以下罚款。</w:t>
            </w:r>
          </w:p>
        </w:tc>
      </w:tr>
    </w:tbl>
    <w:p>
      <w:pPr>
        <w:pStyle w:val="BodyText"/>
        <w:rPr/>
      </w:pPr>
      <w:r/>
    </w:p>
    <w:p>
      <w:pPr>
        <w:sectPr>
          <w:footerReference w:type="default" r:id="rId107"/>
          <w:pgSz w:w="16830" w:h="11900"/>
          <w:pgMar w:top="1011" w:right="1335" w:bottom="1103" w:left="1325" w:header="0" w:footer="769" w:gutter="0"/>
        </w:sectPr>
        <w:rPr/>
      </w:pPr>
    </w:p>
    <w:p>
      <w:pPr>
        <w:spacing w:before="17"/>
        <w:rPr/>
      </w:pPr>
      <w:r/>
    </w:p>
    <w:p>
      <w:pPr>
        <w:spacing w:before="16"/>
        <w:rPr/>
      </w:pPr>
      <w:r/>
    </w:p>
    <w:p>
      <w:pPr>
        <w:spacing w:before="16"/>
        <w:rPr/>
      </w:pPr>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82"/>
        <w:gridCol w:w="6335"/>
        <w:gridCol w:w="4442"/>
      </w:tblGrid>
      <w:tr>
        <w:trPr>
          <w:trHeight w:val="1089" w:hRule="atLeast"/>
        </w:trPr>
        <w:tc>
          <w:tcPr>
            <w:tcW w:w="3382" w:type="dxa"/>
            <w:vAlign w:val="top"/>
          </w:tcPr>
          <w:p>
            <w:pPr>
              <w:pStyle w:val="TableText"/>
              <w:ind w:left="1448"/>
              <w:spacing w:before="302" w:line="221" w:lineRule="auto"/>
              <w:rPr/>
            </w:pPr>
            <w:r>
              <w:rPr>
                <w:b/>
                <w:bCs/>
                <w:spacing w:val="-10"/>
              </w:rPr>
              <w:t>一般</w:t>
            </w:r>
          </w:p>
        </w:tc>
        <w:tc>
          <w:tcPr>
            <w:tcW w:w="6335" w:type="dxa"/>
            <w:vAlign w:val="top"/>
          </w:tcPr>
          <w:p>
            <w:pPr>
              <w:pStyle w:val="TableText"/>
              <w:ind w:left="112" w:right="75"/>
              <w:spacing w:before="72" w:line="349" w:lineRule="auto"/>
              <w:rPr/>
            </w:pPr>
            <w:r>
              <w:rPr/>
              <w:t>招用流动人员6名以上的用工单位，未向卫生防疫机构报告</w:t>
            </w:r>
            <w:r>
              <w:rPr>
                <w:spacing w:val="15"/>
              </w:rPr>
              <w:t xml:space="preserve"> </w:t>
            </w:r>
            <w:r>
              <w:rPr>
                <w:spacing w:val="-1"/>
              </w:rPr>
              <w:t>并未采取卫生措施，造成传染病传播、流行。</w:t>
            </w:r>
          </w:p>
        </w:tc>
        <w:tc>
          <w:tcPr>
            <w:tcW w:w="4442" w:type="dxa"/>
            <w:vAlign w:val="top"/>
          </w:tcPr>
          <w:p>
            <w:pPr>
              <w:pStyle w:val="TableText"/>
              <w:ind w:left="147"/>
              <w:spacing w:before="305" w:line="220" w:lineRule="auto"/>
              <w:rPr/>
            </w:pPr>
            <w:r>
              <w:rPr>
                <w:spacing w:val="-1"/>
              </w:rPr>
              <w:t>可以处2000元以上5000元以下罚款。</w:t>
            </w:r>
          </w:p>
        </w:tc>
      </w:tr>
      <w:tr>
        <w:trPr>
          <w:trHeight w:val="760" w:hRule="atLeast"/>
        </w:trPr>
        <w:tc>
          <w:tcPr>
            <w:tcW w:w="3382" w:type="dxa"/>
            <w:vAlign w:val="top"/>
          </w:tcPr>
          <w:p>
            <w:pPr>
              <w:pStyle w:val="TableText"/>
              <w:ind w:left="1448"/>
              <w:spacing w:before="155" w:line="221" w:lineRule="auto"/>
              <w:rPr/>
            </w:pPr>
            <w:r>
              <w:rPr>
                <w:b/>
                <w:bCs/>
                <w:spacing w:val="-5"/>
              </w:rPr>
              <w:t>较重</w:t>
            </w:r>
          </w:p>
        </w:tc>
        <w:tc>
          <w:tcPr>
            <w:tcW w:w="6335" w:type="dxa"/>
            <w:vAlign w:val="top"/>
          </w:tcPr>
          <w:p>
            <w:pPr>
              <w:pStyle w:val="TableText"/>
              <w:ind w:left="112"/>
              <w:spacing w:before="154" w:line="219" w:lineRule="auto"/>
              <w:rPr/>
            </w:pPr>
            <w:r>
              <w:rPr/>
              <w:t>本办法第六十六条第二款规定的情形之一的行为。</w:t>
            </w:r>
          </w:p>
        </w:tc>
        <w:tc>
          <w:tcPr>
            <w:tcW w:w="4442" w:type="dxa"/>
            <w:vAlign w:val="top"/>
          </w:tcPr>
          <w:p>
            <w:pPr>
              <w:pStyle w:val="TableText"/>
              <w:ind w:left="147"/>
              <w:spacing w:before="156" w:line="220" w:lineRule="auto"/>
              <w:rPr/>
            </w:pPr>
            <w:r>
              <w:rPr>
                <w:spacing w:val="-1"/>
              </w:rPr>
              <w:t>可以处5000元以上2万元以下罚款。</w:t>
            </w:r>
          </w:p>
        </w:tc>
      </w:tr>
    </w:tbl>
    <w:p>
      <w:pPr>
        <w:ind w:left="114"/>
        <w:spacing w:before="102" w:line="221" w:lineRule="auto"/>
        <w:rPr>
          <w:rFonts w:ascii="FangSong" w:hAnsi="FangSong" w:eastAsia="FangSong" w:cs="FangSong"/>
          <w:sz w:val="30"/>
          <w:szCs w:val="30"/>
        </w:rPr>
      </w:pPr>
      <w:r>
        <w:rPr>
          <w:rFonts w:ascii="FangSong" w:hAnsi="FangSong" w:eastAsia="FangSong" w:cs="FangSong"/>
          <w:sz w:val="30"/>
          <w:szCs w:val="30"/>
          <w:spacing w:val="21"/>
        </w:rPr>
        <w:t>增2.违章养犬或者拒绝、阻挠捕杀违章犬，造成咬伤他人或者导致人群中发生狂犬病</w:t>
      </w:r>
    </w:p>
    <w:p>
      <w:pPr>
        <w:ind w:left="784"/>
        <w:spacing w:before="313" w:line="222" w:lineRule="auto"/>
        <w:rPr>
          <w:rFonts w:ascii="FangSong" w:hAnsi="FangSong" w:eastAsia="FangSong" w:cs="FangSong"/>
          <w:sz w:val="30"/>
          <w:szCs w:val="30"/>
        </w:rPr>
      </w:pPr>
      <w:r>
        <w:rPr>
          <w:rFonts w:ascii="FangSong" w:hAnsi="FangSong" w:eastAsia="FangSong" w:cs="FangSong"/>
          <w:sz w:val="30"/>
          <w:szCs w:val="30"/>
        </w:rPr>
        <w:t>法律依据：</w:t>
      </w:r>
    </w:p>
    <w:p>
      <w:pPr>
        <w:ind w:left="114" w:right="127" w:firstLine="630"/>
        <w:spacing w:before="89" w:line="265" w:lineRule="auto"/>
        <w:jc w:val="both"/>
        <w:rPr>
          <w:rFonts w:ascii="FangSong" w:hAnsi="FangSong" w:eastAsia="FangSong" w:cs="FangSong"/>
          <w:sz w:val="30"/>
          <w:szCs w:val="30"/>
        </w:rPr>
      </w:pPr>
      <w:r>
        <w:rPr>
          <w:rFonts w:ascii="FangSong" w:hAnsi="FangSong" w:eastAsia="FangSong" w:cs="FangSong"/>
          <w:sz w:val="30"/>
          <w:szCs w:val="30"/>
          <w:spacing w:val="17"/>
        </w:rPr>
        <w:t>《中华人民共和国传染病防治法实施办法》第六</w:t>
      </w:r>
      <w:r>
        <w:rPr>
          <w:rFonts w:ascii="FangSong" w:hAnsi="FangSong" w:eastAsia="FangSong" w:cs="FangSong"/>
          <w:sz w:val="30"/>
          <w:szCs w:val="30"/>
          <w:spacing w:val="16"/>
        </w:rPr>
        <w:t>十六条有下列行为之一的，由县级以上政府卫生</w:t>
      </w:r>
      <w:r>
        <w:rPr>
          <w:rFonts w:ascii="FangSong" w:hAnsi="FangSong" w:eastAsia="FangSong" w:cs="FangSong"/>
          <w:sz w:val="30"/>
          <w:szCs w:val="30"/>
        </w:rPr>
        <w:t xml:space="preserve"> </w:t>
      </w:r>
      <w:r>
        <w:rPr>
          <w:rFonts w:ascii="FangSong" w:hAnsi="FangSong" w:eastAsia="FangSong" w:cs="FangSong"/>
          <w:sz w:val="30"/>
          <w:szCs w:val="30"/>
          <w:spacing w:val="25"/>
        </w:rPr>
        <w:t>行政部门责令限期改正，可以处5000元以下的罚款；情节较严重的，可以处5000元以上2万</w:t>
      </w:r>
      <w:r>
        <w:rPr>
          <w:rFonts w:ascii="FangSong" w:hAnsi="FangSong" w:eastAsia="FangSong" w:cs="FangSong"/>
          <w:sz w:val="30"/>
          <w:szCs w:val="30"/>
          <w:spacing w:val="24"/>
        </w:rPr>
        <w:t>元以下</w:t>
      </w:r>
      <w:r>
        <w:rPr>
          <w:rFonts w:ascii="FangSong" w:hAnsi="FangSong" w:eastAsia="FangSong" w:cs="FangSong"/>
          <w:sz w:val="30"/>
          <w:szCs w:val="30"/>
        </w:rPr>
        <w:t xml:space="preserve"> </w:t>
      </w:r>
      <w:r>
        <w:rPr>
          <w:rFonts w:ascii="FangSong" w:hAnsi="FangSong" w:eastAsia="FangSong" w:cs="FangSong"/>
          <w:sz w:val="30"/>
          <w:szCs w:val="30"/>
          <w:spacing w:val="23"/>
        </w:rPr>
        <w:t>的罚款，对主管人员和直接责任人员由其所在单位或者上级机关给予行政处分：(十二)违章养犬或</w:t>
      </w:r>
      <w:r>
        <w:rPr>
          <w:rFonts w:ascii="FangSong" w:hAnsi="FangSong" w:eastAsia="FangSong" w:cs="FangSong"/>
          <w:sz w:val="30"/>
          <w:szCs w:val="30"/>
          <w:spacing w:val="14"/>
        </w:rPr>
        <w:t xml:space="preserve"> </w:t>
      </w:r>
      <w:r>
        <w:rPr>
          <w:rFonts w:ascii="FangSong" w:hAnsi="FangSong" w:eastAsia="FangSong" w:cs="FangSong"/>
          <w:sz w:val="30"/>
          <w:szCs w:val="30"/>
          <w:spacing w:val="16"/>
        </w:rPr>
        <w:t>者拒绝、阻挠捕杀违章犬，造成咬伤他人或者导致人群中发生狂犬病的。前款所称情节较严重的，是</w:t>
      </w:r>
      <w:r>
        <w:rPr>
          <w:rFonts w:ascii="FangSong" w:hAnsi="FangSong" w:eastAsia="FangSong" w:cs="FangSong"/>
          <w:sz w:val="30"/>
          <w:szCs w:val="30"/>
          <w:spacing w:val="15"/>
        </w:rPr>
        <w:t xml:space="preserve"> </w:t>
      </w:r>
      <w:r>
        <w:rPr>
          <w:rFonts w:ascii="FangSong" w:hAnsi="FangSong" w:eastAsia="FangSong" w:cs="FangSong"/>
          <w:sz w:val="30"/>
          <w:szCs w:val="30"/>
          <w:spacing w:val="20"/>
        </w:rPr>
        <w:t>指下列情形之一：</w:t>
      </w:r>
    </w:p>
    <w:p>
      <w:pPr>
        <w:ind w:left="894"/>
        <w:spacing w:before="46" w:line="222" w:lineRule="auto"/>
        <w:rPr>
          <w:rFonts w:ascii="FangSong" w:hAnsi="FangSong" w:eastAsia="FangSong" w:cs="FangSong"/>
          <w:sz w:val="30"/>
          <w:szCs w:val="30"/>
        </w:rPr>
      </w:pPr>
      <w:r>
        <w:rPr>
          <w:rFonts w:ascii="FangSong" w:hAnsi="FangSong" w:eastAsia="FangSong" w:cs="FangSong"/>
          <w:sz w:val="30"/>
          <w:szCs w:val="30"/>
          <w:spacing w:val="23"/>
        </w:rPr>
        <w:t>(一)造成甲类传染病、艾滋病、肺炭疽传播危险的；</w:t>
      </w:r>
    </w:p>
    <w:p>
      <w:pPr>
        <w:ind w:left="894"/>
        <w:spacing w:before="96" w:line="221" w:lineRule="auto"/>
        <w:rPr>
          <w:rFonts w:ascii="FangSong" w:hAnsi="FangSong" w:eastAsia="FangSong" w:cs="FangSong"/>
          <w:sz w:val="30"/>
          <w:szCs w:val="30"/>
        </w:rPr>
      </w:pPr>
      <w:r>
        <w:rPr>
          <w:rFonts w:ascii="FangSong" w:hAnsi="FangSong" w:eastAsia="FangSong" w:cs="FangSong"/>
          <w:sz w:val="30"/>
          <w:szCs w:val="30"/>
          <w:spacing w:val="22"/>
        </w:rPr>
        <w:t>(二)造成除艾滋病、肺炭疽之外的乙、丙类传染病暴发、流行的；</w:t>
      </w:r>
    </w:p>
    <w:p>
      <w:pPr>
        <w:ind w:left="894"/>
        <w:spacing w:before="81" w:line="221" w:lineRule="auto"/>
        <w:rPr>
          <w:rFonts w:ascii="FangSong" w:hAnsi="FangSong" w:eastAsia="FangSong" w:cs="FangSong"/>
          <w:sz w:val="30"/>
          <w:szCs w:val="30"/>
        </w:rPr>
      </w:pPr>
      <w:r>
        <w:rPr>
          <w:rFonts w:ascii="FangSong" w:hAnsi="FangSong" w:eastAsia="FangSong" w:cs="FangSong"/>
          <w:sz w:val="30"/>
          <w:szCs w:val="30"/>
          <w:spacing w:val="42"/>
        </w:rPr>
        <w:t>(三)造成传染病菌(毒)种扩散的；</w:t>
      </w:r>
    </w:p>
    <w:p>
      <w:pPr>
        <w:ind w:left="894"/>
        <w:spacing w:before="24" w:line="222" w:lineRule="auto"/>
        <w:rPr>
          <w:rFonts w:ascii="FangSong" w:hAnsi="FangSong" w:eastAsia="FangSong" w:cs="FangSong"/>
          <w:sz w:val="30"/>
          <w:szCs w:val="30"/>
        </w:rPr>
      </w:pPr>
      <w:r>
        <w:rPr>
          <w:rFonts w:ascii="FangSong" w:hAnsi="FangSong" w:eastAsia="FangSong" w:cs="FangSong"/>
          <w:sz w:val="30"/>
          <w:szCs w:val="30"/>
          <w:spacing w:val="24"/>
        </w:rPr>
        <w:t>(四)造成病人残疾、死亡的；</w:t>
      </w:r>
    </w:p>
    <w:p>
      <w:pPr>
        <w:ind w:left="894"/>
        <w:spacing w:before="86" w:line="221" w:lineRule="auto"/>
        <w:rPr>
          <w:rFonts w:ascii="FangSong" w:hAnsi="FangSong" w:eastAsia="FangSong" w:cs="FangSong"/>
          <w:sz w:val="30"/>
          <w:szCs w:val="30"/>
        </w:rPr>
      </w:pPr>
      <w:r>
        <w:rPr>
          <w:rFonts w:ascii="FangSong" w:hAnsi="FangSong" w:eastAsia="FangSong" w:cs="FangSong"/>
          <w:sz w:val="30"/>
          <w:szCs w:val="30"/>
          <w:spacing w:val="22"/>
        </w:rPr>
        <w:t>(五)拒绝执行《传染病防治法》及本办法的规定，屡经教育仍继续违法的。</w:t>
      </w:r>
    </w:p>
    <w:p>
      <w:pPr>
        <w:ind w:left="6529"/>
        <w:spacing w:before="49"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108"/>
          <w:pgSz w:w="16830" w:h="11900"/>
          <w:pgMar w:top="1011" w:right="1335" w:bottom="1117" w:left="1325" w:header="0" w:footer="784" w:gutter="0"/>
        </w:sectPr>
        <w:rPr>
          <w:rFonts w:ascii="SimHei" w:hAnsi="SimHei" w:eastAsia="SimHei" w:cs="SimHei"/>
          <w:sz w:val="30"/>
          <w:szCs w:val="30"/>
        </w:rPr>
      </w:pPr>
    </w:p>
    <w:p>
      <w:pPr>
        <w:spacing w:before="17"/>
        <w:rPr/>
      </w:pPr>
      <w:r/>
    </w:p>
    <w:p>
      <w:pPr>
        <w:spacing w:before="16"/>
        <w:rPr/>
      </w:pPr>
      <w:r/>
    </w:p>
    <w:p>
      <w:pPr>
        <w:spacing w:before="16"/>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72"/>
        <w:gridCol w:w="5376"/>
        <w:gridCol w:w="5401"/>
      </w:tblGrid>
      <w:tr>
        <w:trPr>
          <w:trHeight w:val="643" w:hRule="atLeast"/>
        </w:trPr>
        <w:tc>
          <w:tcPr>
            <w:tcW w:w="3372" w:type="dxa"/>
            <w:vAlign w:val="top"/>
          </w:tcPr>
          <w:p>
            <w:pPr>
              <w:pStyle w:val="TableText"/>
              <w:ind w:left="1098"/>
              <w:spacing w:before="8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5376" w:type="dxa"/>
            <w:vAlign w:val="top"/>
          </w:tcPr>
          <w:p>
            <w:pPr>
              <w:pStyle w:val="TableText"/>
              <w:ind w:left="2206"/>
              <w:spacing w:before="92" w:line="220" w:lineRule="auto"/>
              <w:rPr/>
            </w:pPr>
            <w:r>
              <w:rPr>
                <w:b/>
                <w:bCs/>
                <w:spacing w:val="-5"/>
              </w:rPr>
              <w:t>情节后果</w:t>
            </w:r>
          </w:p>
        </w:tc>
        <w:tc>
          <w:tcPr>
            <w:tcW w:w="5401" w:type="dxa"/>
            <w:vAlign w:val="top"/>
          </w:tcPr>
          <w:p>
            <w:pPr>
              <w:pStyle w:val="TableText"/>
              <w:ind w:left="2140"/>
              <w:spacing w:before="7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097" w:hRule="atLeast"/>
        </w:trPr>
        <w:tc>
          <w:tcPr>
            <w:tcW w:w="3372" w:type="dxa"/>
            <w:vAlign w:val="top"/>
          </w:tcPr>
          <w:p>
            <w:pPr>
              <w:pStyle w:val="TableText"/>
              <w:ind w:left="1438"/>
              <w:spacing w:before="318" w:line="219" w:lineRule="auto"/>
              <w:rPr/>
            </w:pPr>
            <w:r>
              <w:rPr>
                <w:b/>
                <w:bCs/>
                <w:spacing w:val="-5"/>
              </w:rPr>
              <w:t>较轻</w:t>
            </w:r>
          </w:p>
        </w:tc>
        <w:tc>
          <w:tcPr>
            <w:tcW w:w="5376" w:type="dxa"/>
            <w:vAlign w:val="top"/>
          </w:tcPr>
          <w:p>
            <w:pPr>
              <w:pStyle w:val="TableText"/>
              <w:ind w:left="72" w:right="78" w:firstLine="29"/>
              <w:spacing w:before="90" w:line="361" w:lineRule="auto"/>
              <w:rPr/>
            </w:pPr>
            <w:r>
              <w:rPr>
                <w:spacing w:val="1"/>
              </w:rPr>
              <w:t>违章养犬或者拒绝、阻挠捕杀违章犬，造成咬伤1 </w:t>
            </w:r>
            <w:r>
              <w:rPr/>
              <w:t>人。</w:t>
            </w:r>
          </w:p>
        </w:tc>
        <w:tc>
          <w:tcPr>
            <w:tcW w:w="5401" w:type="dxa"/>
            <w:vAlign w:val="top"/>
          </w:tcPr>
          <w:p>
            <w:pPr>
              <w:spacing w:line="262" w:lineRule="auto"/>
              <w:rPr>
                <w:rFonts w:ascii="Arial"/>
                <w:sz w:val="21"/>
              </w:rPr>
            </w:pPr>
            <w:r/>
          </w:p>
          <w:p>
            <w:pPr>
              <w:pStyle w:val="TableText"/>
              <w:ind w:left="116"/>
              <w:spacing w:before="79" w:line="220" w:lineRule="auto"/>
              <w:rPr/>
            </w:pPr>
            <w:r>
              <w:rPr/>
              <w:t>处2000元以下罚款。</w:t>
            </w:r>
          </w:p>
        </w:tc>
      </w:tr>
      <w:tr>
        <w:trPr>
          <w:trHeight w:val="1097" w:hRule="atLeast"/>
        </w:trPr>
        <w:tc>
          <w:tcPr>
            <w:tcW w:w="3372" w:type="dxa"/>
            <w:vAlign w:val="top"/>
          </w:tcPr>
          <w:p>
            <w:pPr>
              <w:pStyle w:val="TableText"/>
              <w:ind w:left="1438"/>
              <w:spacing w:before="312" w:line="221" w:lineRule="auto"/>
              <w:rPr/>
            </w:pPr>
            <w:r>
              <w:rPr>
                <w:b/>
                <w:bCs/>
                <w:spacing w:val="-10"/>
              </w:rPr>
              <w:t>一般</w:t>
            </w:r>
          </w:p>
        </w:tc>
        <w:tc>
          <w:tcPr>
            <w:tcW w:w="5376" w:type="dxa"/>
            <w:vAlign w:val="top"/>
          </w:tcPr>
          <w:p>
            <w:pPr>
              <w:pStyle w:val="TableText"/>
              <w:ind w:left="112" w:right="88" w:hanging="10"/>
              <w:spacing w:before="92" w:line="357" w:lineRule="auto"/>
              <w:rPr/>
            </w:pPr>
            <w:r>
              <w:rPr/>
              <w:t>违章养犬或者拒绝、阻挠捕杀违章犬，造成咬伤2</w:t>
            </w:r>
            <w:r>
              <w:rPr>
                <w:spacing w:val="14"/>
              </w:rPr>
              <w:t xml:space="preserve"> </w:t>
            </w:r>
            <w:r>
              <w:rPr>
                <w:spacing w:val="-1"/>
              </w:rPr>
              <w:t>人以上或者导致人群中发生狂犬病。</w:t>
            </w:r>
          </w:p>
        </w:tc>
        <w:tc>
          <w:tcPr>
            <w:tcW w:w="5401" w:type="dxa"/>
            <w:vAlign w:val="top"/>
          </w:tcPr>
          <w:p>
            <w:pPr>
              <w:pStyle w:val="TableText"/>
              <w:ind w:left="116"/>
              <w:spacing w:before="315" w:line="220" w:lineRule="auto"/>
              <w:rPr/>
            </w:pPr>
            <w:r>
              <w:rPr>
                <w:spacing w:val="-1"/>
              </w:rPr>
              <w:t>处2000元以上5000元以下罚款。</w:t>
            </w:r>
          </w:p>
        </w:tc>
      </w:tr>
      <w:tr>
        <w:trPr>
          <w:trHeight w:val="762" w:hRule="atLeast"/>
        </w:trPr>
        <w:tc>
          <w:tcPr>
            <w:tcW w:w="3372" w:type="dxa"/>
            <w:vAlign w:val="top"/>
          </w:tcPr>
          <w:p>
            <w:pPr>
              <w:pStyle w:val="TableText"/>
              <w:ind w:left="1438"/>
              <w:spacing w:before="167" w:line="221" w:lineRule="auto"/>
              <w:rPr/>
            </w:pPr>
            <w:r>
              <w:rPr>
                <w:b/>
                <w:bCs/>
                <w:spacing w:val="-5"/>
              </w:rPr>
              <w:t>较重</w:t>
            </w:r>
          </w:p>
        </w:tc>
        <w:tc>
          <w:tcPr>
            <w:tcW w:w="5376" w:type="dxa"/>
            <w:vAlign w:val="top"/>
          </w:tcPr>
          <w:p>
            <w:pPr>
              <w:pStyle w:val="TableText"/>
              <w:spacing w:before="166" w:line="219" w:lineRule="auto"/>
              <w:jc w:val="right"/>
              <w:rPr/>
            </w:pPr>
            <w:r>
              <w:rPr>
                <w:spacing w:val="-1"/>
              </w:rPr>
              <w:t>本办法第六十六条第二款规定的情形之一的行为。</w:t>
            </w:r>
          </w:p>
        </w:tc>
        <w:tc>
          <w:tcPr>
            <w:tcW w:w="5401" w:type="dxa"/>
            <w:vAlign w:val="top"/>
          </w:tcPr>
          <w:p>
            <w:pPr>
              <w:pStyle w:val="TableText"/>
              <w:ind w:left="116"/>
              <w:spacing w:before="178" w:line="220" w:lineRule="auto"/>
              <w:rPr/>
            </w:pPr>
            <w:r>
              <w:rPr/>
              <w:t>处5000元以上2万元以下罚款。</w:t>
            </w:r>
          </w:p>
        </w:tc>
      </w:tr>
    </w:tbl>
    <w:p>
      <w:pPr>
        <w:ind w:left="909"/>
        <w:spacing w:before="125" w:line="223" w:lineRule="auto"/>
        <w:rPr>
          <w:rFonts w:ascii="KaiTi" w:hAnsi="KaiTi" w:eastAsia="KaiTi" w:cs="KaiTi"/>
          <w:sz w:val="30"/>
          <w:szCs w:val="30"/>
        </w:rPr>
      </w:pPr>
      <w:r>
        <w:rPr>
          <w:rFonts w:ascii="SimSun" w:hAnsi="SimSun" w:eastAsia="SimSun" w:cs="SimSun"/>
          <w:sz w:val="30"/>
          <w:szCs w:val="30"/>
          <w:b/>
          <w:bCs/>
          <w:spacing w:val="12"/>
        </w:rPr>
        <w:t>(</w:t>
      </w:r>
      <w:r>
        <w:rPr>
          <w:rFonts w:ascii="SimSun" w:hAnsi="SimSun" w:eastAsia="SimSun" w:cs="SimSun"/>
          <w:sz w:val="30"/>
          <w:szCs w:val="30"/>
          <w:spacing w:val="-31"/>
        </w:rPr>
        <w:t xml:space="preserve"> </w:t>
      </w:r>
      <w:r>
        <w:rPr>
          <w:rFonts w:ascii="SimSun" w:hAnsi="SimSun" w:eastAsia="SimSun" w:cs="SimSun"/>
          <w:sz w:val="30"/>
          <w:szCs w:val="30"/>
          <w:b/>
          <w:bCs/>
          <w:spacing w:val="12"/>
        </w:rPr>
        <w:t>五</w:t>
      </w:r>
      <w:r>
        <w:rPr>
          <w:rFonts w:ascii="SimSun" w:hAnsi="SimSun" w:eastAsia="SimSun" w:cs="SimSun"/>
          <w:sz w:val="30"/>
          <w:szCs w:val="30"/>
          <w:spacing w:val="-47"/>
        </w:rPr>
        <w:t xml:space="preserve"> </w:t>
      </w:r>
      <w:r>
        <w:rPr>
          <w:rFonts w:ascii="SimSun" w:hAnsi="SimSun" w:eastAsia="SimSun" w:cs="SimSun"/>
          <w:sz w:val="30"/>
          <w:szCs w:val="30"/>
          <w:b/>
          <w:bCs/>
          <w:spacing w:val="12"/>
        </w:rPr>
        <w:t>)</w:t>
      </w:r>
      <w:r>
        <w:rPr>
          <w:rFonts w:ascii="SimHei" w:hAnsi="SimHei" w:eastAsia="SimHei" w:cs="SimHei"/>
          <w:sz w:val="30"/>
          <w:szCs w:val="30"/>
          <w:b/>
          <w:bCs/>
          <w:spacing w:val="12"/>
        </w:rPr>
        <w:t>《</w:t>
      </w:r>
      <w:r>
        <w:rPr>
          <w:rFonts w:ascii="KaiTi" w:hAnsi="KaiTi" w:eastAsia="KaiTi" w:cs="KaiTi"/>
          <w:sz w:val="30"/>
          <w:szCs w:val="30"/>
          <w:b/>
          <w:bCs/>
          <w:spacing w:val="12"/>
        </w:rPr>
        <w:t>中华人民共和国疫苗管理法》</w:t>
      </w:r>
    </w:p>
    <w:p>
      <w:pPr>
        <w:ind w:left="109" w:right="111" w:firstLine="670"/>
        <w:spacing w:before="307" w:line="292" w:lineRule="auto"/>
        <w:rPr>
          <w:rFonts w:ascii="FangSong" w:hAnsi="FangSong" w:eastAsia="FangSong" w:cs="FangSong"/>
          <w:sz w:val="30"/>
          <w:szCs w:val="30"/>
        </w:rPr>
      </w:pPr>
      <w:r>
        <w:rPr>
          <w:rFonts w:ascii="FangSong" w:hAnsi="FangSong" w:eastAsia="FangSong" w:cs="FangSong"/>
          <w:sz w:val="30"/>
          <w:szCs w:val="30"/>
          <w:b/>
          <w:bCs/>
          <w:spacing w:val="17"/>
        </w:rPr>
        <w:t>第三十四条疾病预防控制机构、接种单位违反疫苗储存、运</w:t>
      </w:r>
      <w:r>
        <w:rPr>
          <w:rFonts w:ascii="FangSong" w:hAnsi="FangSong" w:eastAsia="FangSong" w:cs="FangSong"/>
          <w:sz w:val="30"/>
          <w:szCs w:val="30"/>
          <w:b/>
          <w:bCs/>
          <w:spacing w:val="16"/>
        </w:rPr>
        <w:t>输管理规范有关冷链储存、</w:t>
      </w:r>
      <w:r>
        <w:rPr>
          <w:rFonts w:ascii="FangSong" w:hAnsi="FangSong" w:eastAsia="FangSong" w:cs="FangSong"/>
          <w:sz w:val="30"/>
          <w:szCs w:val="30"/>
          <w:spacing w:val="16"/>
        </w:rPr>
        <w:t xml:space="preserve"> </w:t>
      </w:r>
      <w:r>
        <w:rPr>
          <w:rFonts w:ascii="FangSong" w:hAnsi="FangSong" w:eastAsia="FangSong" w:cs="FangSong"/>
          <w:sz w:val="30"/>
          <w:szCs w:val="30"/>
          <w:spacing w:val="16"/>
        </w:rPr>
        <w:t>运输要</w:t>
      </w:r>
      <w:r>
        <w:rPr>
          <w:rFonts w:ascii="FangSong" w:hAnsi="FangSong" w:eastAsia="FangSong" w:cs="FangSong"/>
          <w:sz w:val="30"/>
          <w:szCs w:val="30"/>
        </w:rPr>
        <w:t xml:space="preserve"> </w:t>
      </w:r>
      <w:r>
        <w:rPr>
          <w:rFonts w:ascii="FangSong" w:hAnsi="FangSong" w:eastAsia="FangSong" w:cs="FangSong"/>
          <w:sz w:val="30"/>
          <w:szCs w:val="30"/>
          <w:b/>
          <w:bCs/>
          <w:spacing w:val="2"/>
        </w:rPr>
        <w:t>求的</w:t>
      </w:r>
    </w:p>
    <w:p>
      <w:pPr>
        <w:ind w:left="754"/>
        <w:spacing w:line="222" w:lineRule="auto"/>
        <w:rPr>
          <w:rFonts w:ascii="FangSong" w:hAnsi="FangSong" w:eastAsia="FangSong" w:cs="FangSong"/>
          <w:sz w:val="30"/>
          <w:szCs w:val="30"/>
        </w:rPr>
      </w:pPr>
      <w:r>
        <w:rPr>
          <w:rFonts w:ascii="FangSong" w:hAnsi="FangSong" w:eastAsia="FangSong" w:cs="FangSong"/>
          <w:sz w:val="30"/>
          <w:szCs w:val="30"/>
          <w:spacing w:val="12"/>
        </w:rPr>
        <w:t>法律依据</w:t>
      </w:r>
    </w:p>
    <w:p>
      <w:pPr>
        <w:ind w:left="104" w:right="45" w:firstLine="660"/>
        <w:spacing w:before="49" w:line="264" w:lineRule="auto"/>
        <w:rPr>
          <w:rFonts w:ascii="FangSong" w:hAnsi="FangSong" w:eastAsia="FangSong" w:cs="FangSong"/>
          <w:sz w:val="30"/>
          <w:szCs w:val="30"/>
        </w:rPr>
      </w:pPr>
      <w:r>
        <w:rPr>
          <w:rFonts w:ascii="FangSong" w:hAnsi="FangSong" w:eastAsia="FangSong" w:cs="FangSong"/>
          <w:sz w:val="30"/>
          <w:szCs w:val="30"/>
          <w:spacing w:val="16"/>
        </w:rPr>
        <w:t>《中华人民共和国疫苗管理法》第八十五条第二款</w:t>
      </w:r>
      <w:r>
        <w:rPr>
          <w:rFonts w:ascii="FangSong" w:hAnsi="FangSong" w:eastAsia="FangSong" w:cs="FangSong"/>
          <w:sz w:val="30"/>
          <w:szCs w:val="30"/>
          <w:spacing w:val="16"/>
        </w:rPr>
        <w:t xml:space="preserve">  </w:t>
      </w:r>
      <w:r>
        <w:rPr>
          <w:rFonts w:ascii="FangSong" w:hAnsi="FangSong" w:eastAsia="FangSong" w:cs="FangSong"/>
          <w:sz w:val="30"/>
          <w:szCs w:val="30"/>
          <w:spacing w:val="16"/>
        </w:rPr>
        <w:t>疾病预防控制机构、接种单</w:t>
      </w:r>
      <w:r>
        <w:rPr>
          <w:rFonts w:ascii="FangSong" w:hAnsi="FangSong" w:eastAsia="FangSong" w:cs="FangSong"/>
          <w:sz w:val="30"/>
          <w:szCs w:val="30"/>
          <w:spacing w:val="15"/>
        </w:rPr>
        <w:t>位有前款规定违</w:t>
      </w:r>
      <w:r>
        <w:rPr>
          <w:rFonts w:ascii="FangSong" w:hAnsi="FangSong" w:eastAsia="FangSong" w:cs="FangSong"/>
          <w:sz w:val="30"/>
          <w:szCs w:val="30"/>
        </w:rPr>
        <w:t xml:space="preserve"> </w:t>
      </w:r>
      <w:r>
        <w:rPr>
          <w:rFonts w:ascii="FangSong" w:hAnsi="FangSong" w:eastAsia="FangSong" w:cs="FangSong"/>
          <w:sz w:val="30"/>
          <w:szCs w:val="30"/>
          <w:spacing w:val="16"/>
        </w:rPr>
        <w:t>法行为的，由县级以上人民政府卫生健康主管部门对主要负责人、直接负责的主管人员和其他直接责</w:t>
      </w:r>
      <w:r>
        <w:rPr>
          <w:rFonts w:ascii="FangSong" w:hAnsi="FangSong" w:eastAsia="FangSong" w:cs="FangSong"/>
          <w:sz w:val="30"/>
          <w:szCs w:val="30"/>
          <w:spacing w:val="1"/>
        </w:rPr>
        <w:t xml:space="preserve"> </w:t>
      </w:r>
      <w:r>
        <w:rPr>
          <w:rFonts w:ascii="FangSong" w:hAnsi="FangSong" w:eastAsia="FangSong" w:cs="FangSong"/>
          <w:sz w:val="30"/>
          <w:szCs w:val="30"/>
          <w:spacing w:val="17"/>
        </w:rPr>
        <w:t>任人员依法给予警告直至撤职处分，责令负有责任的医疗卫生人员暂停一年以上十八</w:t>
      </w:r>
      <w:r>
        <w:rPr>
          <w:rFonts w:ascii="FangSong" w:hAnsi="FangSong" w:eastAsia="FangSong" w:cs="FangSong"/>
          <w:sz w:val="30"/>
          <w:szCs w:val="30"/>
          <w:spacing w:val="16"/>
        </w:rPr>
        <w:t>个月以下执业活</w:t>
      </w:r>
      <w:r>
        <w:rPr>
          <w:rFonts w:ascii="FangSong" w:hAnsi="FangSong" w:eastAsia="FangSong" w:cs="FangSong"/>
          <w:sz w:val="30"/>
          <w:szCs w:val="30"/>
        </w:rPr>
        <w:t xml:space="preserve"> </w:t>
      </w:r>
      <w:r>
        <w:rPr>
          <w:rFonts w:ascii="FangSong" w:hAnsi="FangSong" w:eastAsia="FangSong" w:cs="FangSong"/>
          <w:sz w:val="30"/>
          <w:szCs w:val="30"/>
          <w:spacing w:val="18"/>
        </w:rPr>
        <w:t>动；造成严重后果的，对主要负责人、直接负责的主管人员和其他直接责任人员依法给予开除处分，</w:t>
      </w:r>
      <w:r>
        <w:rPr>
          <w:rFonts w:ascii="FangSong" w:hAnsi="FangSong" w:eastAsia="FangSong" w:cs="FangSong"/>
          <w:sz w:val="30"/>
          <w:szCs w:val="30"/>
          <w:spacing w:val="16"/>
        </w:rPr>
        <w:t xml:space="preserve"> </w:t>
      </w:r>
      <w:r>
        <w:rPr>
          <w:rFonts w:ascii="FangSong" w:hAnsi="FangSong" w:eastAsia="FangSong" w:cs="FangSong"/>
          <w:sz w:val="30"/>
          <w:szCs w:val="30"/>
          <w:spacing w:val="19"/>
        </w:rPr>
        <w:t>并可以吊销接种单位的接种资格，由原发证部门吊销负有责任的医</w:t>
      </w:r>
      <w:r>
        <w:rPr>
          <w:rFonts w:ascii="FangSong" w:hAnsi="FangSong" w:eastAsia="FangSong" w:cs="FangSong"/>
          <w:sz w:val="30"/>
          <w:szCs w:val="30"/>
          <w:spacing w:val="18"/>
        </w:rPr>
        <w:t>疗卫生人员的执业证书。</w:t>
      </w:r>
    </w:p>
    <w:p>
      <w:pPr>
        <w:spacing w:line="264" w:lineRule="auto"/>
        <w:sectPr>
          <w:footerReference w:type="default" r:id="rId109"/>
          <w:pgSz w:w="16830" w:h="11900"/>
          <w:pgMar w:top="1011" w:right="1335" w:bottom="1117" w:left="1335" w:header="0" w:footer="784" w:gutter="0"/>
        </w:sectPr>
        <w:rPr>
          <w:rFonts w:ascii="FangSong" w:hAnsi="FangSong" w:eastAsia="FangSong" w:cs="FangSong"/>
          <w:sz w:val="30"/>
          <w:szCs w:val="30"/>
        </w:rPr>
      </w:pPr>
    </w:p>
    <w:p>
      <w:pPr>
        <w:pStyle w:val="BodyText"/>
        <w:spacing w:line="269" w:lineRule="auto"/>
        <w:rPr/>
      </w:pPr>
      <w:r/>
    </w:p>
    <w:p>
      <w:pPr>
        <w:pStyle w:val="BodyText"/>
        <w:spacing w:line="269" w:lineRule="auto"/>
        <w:rPr/>
      </w:pPr>
      <w:r/>
    </w:p>
    <w:p>
      <w:pPr>
        <w:pStyle w:val="BodyText"/>
        <w:spacing w:line="269" w:lineRule="auto"/>
        <w:rPr/>
      </w:pPr>
      <w:r/>
    </w:p>
    <w:p>
      <w:pPr>
        <w:ind w:left="6528"/>
        <w:spacing w:before="91" w:line="221" w:lineRule="auto"/>
        <w:outlineLvl w:val="1"/>
        <w:rPr>
          <w:rFonts w:ascii="SimHei" w:hAnsi="SimHei" w:eastAsia="SimHei" w:cs="SimHei"/>
          <w:sz w:val="28"/>
          <w:szCs w:val="28"/>
        </w:rPr>
      </w:pPr>
      <w:bookmarkStart w:name="bookmark775" w:id="65"/>
      <w:bookmarkEnd w:id="65"/>
      <w:bookmarkStart w:name="bookmark186" w:id="66"/>
      <w:bookmarkEnd w:id="66"/>
      <w:r>
        <w:rPr>
          <w:rFonts w:ascii="SimHei" w:hAnsi="SimHei" w:eastAsia="SimHei" w:cs="SimHei"/>
          <w:sz w:val="28"/>
          <w:szCs w:val="28"/>
          <w:b/>
          <w:bCs/>
          <w:spacing w:val="-6"/>
        </w:rPr>
        <w:t>裁量标准</w:t>
      </w:r>
    </w:p>
    <w:p>
      <w:pPr>
        <w:spacing w:line="184" w:lineRule="exact"/>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73"/>
        <w:gridCol w:w="5396"/>
        <w:gridCol w:w="5391"/>
      </w:tblGrid>
      <w:tr>
        <w:trPr>
          <w:trHeight w:val="833" w:hRule="atLeast"/>
        </w:trPr>
        <w:tc>
          <w:tcPr>
            <w:tcW w:w="3373" w:type="dxa"/>
            <w:vAlign w:val="top"/>
          </w:tcPr>
          <w:p>
            <w:pPr>
              <w:pStyle w:val="TableText"/>
              <w:ind w:left="1098"/>
              <w:spacing w:before="17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5396" w:type="dxa"/>
            <w:vAlign w:val="top"/>
          </w:tcPr>
          <w:p>
            <w:pPr>
              <w:pStyle w:val="TableText"/>
              <w:ind w:left="2215"/>
              <w:spacing w:before="172" w:line="220" w:lineRule="auto"/>
              <w:rPr/>
            </w:pPr>
            <w:r>
              <w:rPr>
                <w:b/>
                <w:bCs/>
                <w:spacing w:val="-5"/>
              </w:rPr>
              <w:t>情节后果</w:t>
            </w:r>
          </w:p>
        </w:tc>
        <w:tc>
          <w:tcPr>
            <w:tcW w:w="5391" w:type="dxa"/>
            <w:vAlign w:val="top"/>
          </w:tcPr>
          <w:p>
            <w:pPr>
              <w:pStyle w:val="TableText"/>
              <w:ind w:left="2209"/>
              <w:spacing w:before="179" w:line="218" w:lineRule="auto"/>
              <w:rPr/>
            </w:pPr>
            <w:r>
              <w:rPr>
                <w:b/>
                <w:bCs/>
                <w:spacing w:val="-5"/>
              </w:rPr>
              <w:t>裁量幅度</w:t>
            </w:r>
          </w:p>
        </w:tc>
      </w:tr>
      <w:tr>
        <w:trPr>
          <w:trHeight w:val="1517" w:hRule="atLeast"/>
        </w:trPr>
        <w:tc>
          <w:tcPr>
            <w:tcW w:w="3373" w:type="dxa"/>
            <w:vAlign w:val="top"/>
          </w:tcPr>
          <w:p>
            <w:pPr>
              <w:spacing w:line="278" w:lineRule="auto"/>
              <w:rPr>
                <w:rFonts w:ascii="Arial"/>
                <w:sz w:val="21"/>
              </w:rPr>
            </w:pPr>
            <w:r/>
          </w:p>
          <w:p>
            <w:pPr>
              <w:spacing w:line="279" w:lineRule="auto"/>
              <w:rPr>
                <w:rFonts w:ascii="Arial"/>
                <w:sz w:val="21"/>
              </w:rPr>
            </w:pPr>
            <w:r/>
          </w:p>
          <w:p>
            <w:pPr>
              <w:pStyle w:val="TableText"/>
              <w:ind w:left="1438"/>
              <w:spacing w:before="78" w:line="219" w:lineRule="auto"/>
              <w:rPr/>
            </w:pPr>
            <w:r>
              <w:rPr>
                <w:b/>
                <w:bCs/>
                <w:spacing w:val="-5"/>
              </w:rPr>
              <w:t>较轻</w:t>
            </w:r>
          </w:p>
        </w:tc>
        <w:tc>
          <w:tcPr>
            <w:tcW w:w="5396" w:type="dxa"/>
            <w:vAlign w:val="top"/>
          </w:tcPr>
          <w:p>
            <w:pPr>
              <w:pStyle w:val="TableText"/>
              <w:ind w:left="51" w:right="43"/>
              <w:spacing w:before="89" w:line="341" w:lineRule="auto"/>
              <w:jc w:val="both"/>
              <w:rPr/>
            </w:pPr>
            <w:r>
              <w:rPr>
                <w:spacing w:val="-1"/>
              </w:rPr>
              <w:t>疾病预防控制机构、接种单位违反疫苗储存、运输</w:t>
            </w:r>
            <w:r>
              <w:rPr>
                <w:spacing w:val="12"/>
              </w:rPr>
              <w:t xml:space="preserve"> </w:t>
            </w:r>
            <w:r>
              <w:rPr/>
              <w:t>管理规范有关冷链储存、运输要求，涉及疫苗种类</w:t>
            </w:r>
            <w:r>
              <w:rPr>
                <w:spacing w:val="9"/>
              </w:rPr>
              <w:t xml:space="preserve"> </w:t>
            </w:r>
            <w:r>
              <w:rPr>
                <w:spacing w:val="12"/>
              </w:rPr>
              <w:t>一至五种。</w:t>
            </w:r>
          </w:p>
        </w:tc>
        <w:tc>
          <w:tcPr>
            <w:tcW w:w="5391" w:type="dxa"/>
            <w:vAlign w:val="top"/>
          </w:tcPr>
          <w:p>
            <w:pPr>
              <w:pStyle w:val="TableText"/>
              <w:ind w:left="115" w:right="164" w:firstLine="50"/>
              <w:spacing w:before="311" w:line="333" w:lineRule="auto"/>
              <w:rPr/>
            </w:pPr>
            <w:r>
              <w:rPr/>
              <w:t>责令负有责任的医疗卫生人员暂停一年以上十五</w:t>
            </w:r>
            <w:r>
              <w:rPr>
                <w:spacing w:val="9"/>
              </w:rPr>
              <w:t xml:space="preserve"> </w:t>
            </w:r>
            <w:r>
              <w:rPr/>
              <w:t>个月以下执业活动。</w:t>
            </w:r>
          </w:p>
        </w:tc>
      </w:tr>
      <w:tr>
        <w:trPr>
          <w:trHeight w:val="1897" w:hRule="atLeast"/>
        </w:trPr>
        <w:tc>
          <w:tcPr>
            <w:tcW w:w="3373"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438"/>
              <w:spacing w:before="78" w:line="221" w:lineRule="auto"/>
              <w:rPr/>
            </w:pPr>
            <w:r>
              <w:rPr>
                <w:b/>
                <w:bCs/>
                <w:spacing w:val="-10"/>
              </w:rPr>
              <w:t>一般</w:t>
            </w:r>
          </w:p>
        </w:tc>
        <w:tc>
          <w:tcPr>
            <w:tcW w:w="5396" w:type="dxa"/>
            <w:vAlign w:val="top"/>
          </w:tcPr>
          <w:p>
            <w:pPr>
              <w:pStyle w:val="TableText"/>
              <w:ind w:left="51" w:right="43"/>
              <w:spacing w:before="292" w:line="341" w:lineRule="auto"/>
              <w:jc w:val="both"/>
              <w:rPr/>
            </w:pPr>
            <w:r>
              <w:rPr>
                <w:spacing w:val="-1"/>
              </w:rPr>
              <w:t>疾病预防控制机构、接种单位违反疫苗储存、运输</w:t>
            </w:r>
            <w:r>
              <w:rPr>
                <w:spacing w:val="12"/>
              </w:rPr>
              <w:t xml:space="preserve"> </w:t>
            </w:r>
            <w:r>
              <w:rPr/>
              <w:t>管理规范有关冷链储存、运输要求，涉及疫苗种类</w:t>
            </w:r>
            <w:r>
              <w:rPr>
                <w:spacing w:val="9"/>
              </w:rPr>
              <w:t xml:space="preserve"> </w:t>
            </w:r>
            <w:r>
              <w:rPr>
                <w:spacing w:val="12"/>
              </w:rPr>
              <w:t>六种以上。</w:t>
            </w:r>
          </w:p>
        </w:tc>
        <w:tc>
          <w:tcPr>
            <w:tcW w:w="5391" w:type="dxa"/>
            <w:vAlign w:val="top"/>
          </w:tcPr>
          <w:p>
            <w:pPr>
              <w:spacing w:line="423" w:lineRule="auto"/>
              <w:rPr>
                <w:rFonts w:ascii="Arial"/>
                <w:sz w:val="21"/>
              </w:rPr>
            </w:pPr>
            <w:r/>
          </w:p>
          <w:p>
            <w:pPr>
              <w:pStyle w:val="TableText"/>
              <w:ind w:left="126" w:right="164" w:firstLine="40"/>
              <w:spacing w:before="78" w:line="341" w:lineRule="auto"/>
              <w:rPr/>
            </w:pPr>
            <w:r>
              <w:rPr/>
              <w:t>责令负有责任的医疗卫生人员暂停十五个月以上</w:t>
            </w:r>
            <w:r>
              <w:rPr>
                <w:spacing w:val="9"/>
              </w:rPr>
              <w:t xml:space="preserve"> </w:t>
            </w:r>
            <w:r>
              <w:rPr>
                <w:spacing w:val="-1"/>
              </w:rPr>
              <w:t>十八个月以下执业活动。</w:t>
            </w:r>
          </w:p>
        </w:tc>
      </w:tr>
      <w:tr>
        <w:trPr>
          <w:trHeight w:val="1702" w:hRule="atLeast"/>
        </w:trPr>
        <w:tc>
          <w:tcPr>
            <w:tcW w:w="3373" w:type="dxa"/>
            <w:vAlign w:val="top"/>
          </w:tcPr>
          <w:p>
            <w:pPr>
              <w:spacing w:line="326" w:lineRule="auto"/>
              <w:rPr>
                <w:rFonts w:ascii="Arial"/>
                <w:sz w:val="21"/>
              </w:rPr>
            </w:pPr>
            <w:r/>
          </w:p>
          <w:p>
            <w:pPr>
              <w:spacing w:line="327" w:lineRule="auto"/>
              <w:rPr>
                <w:rFonts w:ascii="Arial"/>
                <w:sz w:val="21"/>
              </w:rPr>
            </w:pPr>
            <w:r/>
          </w:p>
          <w:p>
            <w:pPr>
              <w:pStyle w:val="TableText"/>
              <w:ind w:left="1438"/>
              <w:spacing w:before="78" w:line="220" w:lineRule="auto"/>
              <w:rPr/>
            </w:pPr>
            <w:r>
              <w:rPr>
                <w:b/>
                <w:bCs/>
                <w:spacing w:val="-6"/>
              </w:rPr>
              <w:t>严重</w:t>
            </w:r>
          </w:p>
        </w:tc>
        <w:tc>
          <w:tcPr>
            <w:tcW w:w="5396" w:type="dxa"/>
            <w:vAlign w:val="top"/>
          </w:tcPr>
          <w:p>
            <w:pPr>
              <w:pStyle w:val="TableText"/>
              <w:ind w:left="51" w:right="42"/>
              <w:spacing w:before="197" w:line="340" w:lineRule="auto"/>
              <w:jc w:val="both"/>
              <w:rPr/>
            </w:pPr>
            <w:r>
              <w:rPr>
                <w:spacing w:val="-1"/>
              </w:rPr>
              <w:t>疾病预防控制机构、接种单位违反疫苗储存、运输</w:t>
            </w:r>
            <w:r>
              <w:rPr>
                <w:spacing w:val="12"/>
              </w:rPr>
              <w:t xml:space="preserve"> </w:t>
            </w:r>
            <w:r>
              <w:rPr/>
              <w:t>管理规范有关冷链储存、运输要求，导致接种疫苗</w:t>
            </w:r>
            <w:r>
              <w:rPr>
                <w:spacing w:val="10"/>
              </w:rPr>
              <w:t xml:space="preserve"> </w:t>
            </w:r>
            <w:r>
              <w:rPr>
                <w:spacing w:val="4"/>
              </w:rPr>
              <w:t>后造成人员伤残或死亡等严重后果。</w:t>
            </w:r>
          </w:p>
        </w:tc>
        <w:tc>
          <w:tcPr>
            <w:tcW w:w="5391" w:type="dxa"/>
            <w:vAlign w:val="top"/>
          </w:tcPr>
          <w:p>
            <w:pPr>
              <w:spacing w:line="336" w:lineRule="auto"/>
              <w:rPr>
                <w:rFonts w:ascii="Arial"/>
                <w:sz w:val="21"/>
              </w:rPr>
            </w:pPr>
            <w:r/>
          </w:p>
          <w:p>
            <w:pPr>
              <w:pStyle w:val="TableText"/>
              <w:ind w:left="115" w:right="42" w:hanging="69"/>
              <w:spacing w:before="78" w:line="340" w:lineRule="auto"/>
              <w:rPr/>
            </w:pPr>
            <w:r>
              <w:rPr/>
              <w:t>吊销接种单位的接种资格，由原发证部门吊销负有</w:t>
            </w:r>
            <w:r>
              <w:rPr>
                <w:spacing w:val="10"/>
              </w:rPr>
              <w:t xml:space="preserve"> </w:t>
            </w:r>
            <w:r>
              <w:rPr/>
              <w:t>责任的医疗卫生人员的执业证书。</w:t>
            </w:r>
          </w:p>
        </w:tc>
      </w:tr>
    </w:tbl>
    <w:p>
      <w:pPr>
        <w:ind w:left="139" w:right="105" w:firstLine="649"/>
        <w:spacing w:before="95" w:line="259" w:lineRule="auto"/>
        <w:rPr>
          <w:rFonts w:ascii="FangSong" w:hAnsi="FangSong" w:eastAsia="FangSong" w:cs="FangSong"/>
          <w:sz w:val="31"/>
          <w:szCs w:val="31"/>
        </w:rPr>
      </w:pPr>
      <w:r>
        <w:rPr>
          <w:rFonts w:ascii="FangSong" w:hAnsi="FangSong" w:eastAsia="FangSong" w:cs="FangSong"/>
          <w:sz w:val="31"/>
          <w:szCs w:val="31"/>
          <w:b/>
          <w:bCs/>
          <w:spacing w:val="11"/>
        </w:rPr>
        <w:t>第三十五条疾病预防控制机构、接种单位有本</w:t>
      </w:r>
      <w:r>
        <w:rPr>
          <w:rFonts w:ascii="FangSong" w:hAnsi="FangSong" w:eastAsia="FangSong" w:cs="FangSong"/>
          <w:sz w:val="31"/>
          <w:szCs w:val="31"/>
          <w:b/>
          <w:bCs/>
          <w:spacing w:val="10"/>
        </w:rPr>
        <w:t>法第八十五条规定以外的违反疫苗储存、运输管</w:t>
      </w:r>
      <w:r>
        <w:rPr>
          <w:rFonts w:ascii="FangSong" w:hAnsi="FangSong" w:eastAsia="FangSong" w:cs="FangSong"/>
          <w:sz w:val="31"/>
          <w:szCs w:val="31"/>
        </w:rPr>
        <w:t xml:space="preserve"> </w:t>
      </w:r>
      <w:r>
        <w:rPr>
          <w:rFonts w:ascii="FangSong" w:hAnsi="FangSong" w:eastAsia="FangSong" w:cs="FangSong"/>
          <w:sz w:val="31"/>
          <w:szCs w:val="31"/>
          <w:b/>
          <w:bCs/>
          <w:spacing w:val="3"/>
        </w:rPr>
        <w:t>理规范行为的</w:t>
      </w:r>
    </w:p>
    <w:p>
      <w:pPr>
        <w:ind w:left="774"/>
        <w:spacing w:line="222" w:lineRule="auto"/>
        <w:rPr>
          <w:rFonts w:ascii="FangSong" w:hAnsi="FangSong" w:eastAsia="FangSong" w:cs="FangSong"/>
          <w:sz w:val="31"/>
          <w:szCs w:val="31"/>
        </w:rPr>
      </w:pPr>
      <w:r>
        <w:rPr>
          <w:rFonts w:ascii="FangSong" w:hAnsi="FangSong" w:eastAsia="FangSong" w:cs="FangSong"/>
          <w:sz w:val="31"/>
          <w:szCs w:val="31"/>
          <w:spacing w:val="5"/>
        </w:rPr>
        <w:t>法律依据</w:t>
      </w:r>
    </w:p>
    <w:p>
      <w:pPr>
        <w:spacing w:line="222" w:lineRule="auto"/>
        <w:sectPr>
          <w:footerReference w:type="default" r:id="rId110"/>
          <w:pgSz w:w="16830" w:h="11900"/>
          <w:pgMar w:top="1011" w:right="1344" w:bottom="1098" w:left="1314" w:header="0" w:footer="765" w:gutter="0"/>
        </w:sectPr>
        <w:rPr>
          <w:rFonts w:ascii="FangSong" w:hAnsi="FangSong" w:eastAsia="FangSong" w:cs="FangSong"/>
          <w:sz w:val="31"/>
          <w:szCs w:val="31"/>
        </w:rPr>
      </w:pPr>
    </w:p>
    <w:p>
      <w:pPr>
        <w:pStyle w:val="BodyText"/>
        <w:spacing w:line="263" w:lineRule="auto"/>
        <w:rPr/>
      </w:pPr>
      <w:r/>
    </w:p>
    <w:p>
      <w:pPr>
        <w:pStyle w:val="BodyText"/>
        <w:spacing w:line="263" w:lineRule="auto"/>
        <w:rPr/>
      </w:pPr>
      <w:r/>
    </w:p>
    <w:p>
      <w:pPr>
        <w:pStyle w:val="BodyText"/>
        <w:spacing w:line="263" w:lineRule="auto"/>
        <w:rPr/>
      </w:pPr>
      <w:r/>
    </w:p>
    <w:p>
      <w:pPr>
        <w:ind w:left="124" w:firstLine="680"/>
        <w:spacing w:before="98" w:line="271" w:lineRule="auto"/>
        <w:jc w:val="both"/>
        <w:rPr>
          <w:rFonts w:ascii="FangSong" w:hAnsi="FangSong" w:eastAsia="FangSong" w:cs="FangSong"/>
          <w:sz w:val="30"/>
          <w:szCs w:val="30"/>
        </w:rPr>
      </w:pPr>
      <w:r>
        <w:rPr>
          <w:rFonts w:ascii="FangSong" w:hAnsi="FangSong" w:eastAsia="FangSong" w:cs="FangSong"/>
          <w:sz w:val="30"/>
          <w:szCs w:val="30"/>
          <w:spacing w:val="15"/>
        </w:rPr>
        <w:t>中华人民共和国疫苗管理法》第八十六条第二款</w:t>
      </w:r>
      <w:r>
        <w:rPr>
          <w:rFonts w:ascii="FangSong" w:hAnsi="FangSong" w:eastAsia="FangSong" w:cs="FangSong"/>
          <w:sz w:val="30"/>
          <w:szCs w:val="30"/>
          <w:spacing w:val="15"/>
        </w:rPr>
        <w:t xml:space="preserve">  </w:t>
      </w:r>
      <w:r>
        <w:rPr>
          <w:rFonts w:ascii="FangSong" w:hAnsi="FangSong" w:eastAsia="FangSong" w:cs="FangSong"/>
          <w:sz w:val="30"/>
          <w:szCs w:val="30"/>
          <w:spacing w:val="15"/>
        </w:rPr>
        <w:t>疾病预防控制机构、接种单位有前款规定违法</w:t>
      </w:r>
      <w:r>
        <w:rPr>
          <w:rFonts w:ascii="FangSong" w:hAnsi="FangSong" w:eastAsia="FangSong" w:cs="FangSong"/>
          <w:sz w:val="30"/>
          <w:szCs w:val="30"/>
          <w:spacing w:val="1"/>
        </w:rPr>
        <w:t xml:space="preserve">  </w:t>
      </w:r>
      <w:r>
        <w:rPr>
          <w:rFonts w:ascii="FangSong" w:hAnsi="FangSong" w:eastAsia="FangSong" w:cs="FangSong"/>
          <w:sz w:val="30"/>
          <w:szCs w:val="30"/>
          <w:spacing w:val="16"/>
        </w:rPr>
        <w:t>行为的，县级以上人民政府卫生健康主管部门可以对主要负责人、直接负责的主管人员和其他直接责</w:t>
      </w:r>
      <w:r>
        <w:rPr>
          <w:rFonts w:ascii="FangSong" w:hAnsi="FangSong" w:eastAsia="FangSong" w:cs="FangSong"/>
          <w:sz w:val="30"/>
          <w:szCs w:val="30"/>
          <w:spacing w:val="3"/>
        </w:rPr>
        <w:t xml:space="preserve">   </w:t>
      </w:r>
      <w:r>
        <w:rPr>
          <w:rFonts w:ascii="FangSong" w:hAnsi="FangSong" w:eastAsia="FangSong" w:cs="FangSong"/>
          <w:sz w:val="30"/>
          <w:szCs w:val="30"/>
          <w:spacing w:val="16"/>
        </w:rPr>
        <w:t>任人员依法给予警告直至撤职处分，责令负有责任的医</w:t>
      </w:r>
      <w:r>
        <w:rPr>
          <w:rFonts w:ascii="FangSong" w:hAnsi="FangSong" w:eastAsia="FangSong" w:cs="FangSong"/>
          <w:sz w:val="30"/>
          <w:szCs w:val="30"/>
          <w:spacing w:val="15"/>
        </w:rPr>
        <w:t>疗卫生人员暂停六个月以上一年以下执业活动；</w:t>
      </w:r>
      <w:r>
        <w:rPr>
          <w:rFonts w:ascii="FangSong" w:hAnsi="FangSong" w:eastAsia="FangSong" w:cs="FangSong"/>
          <w:sz w:val="30"/>
          <w:szCs w:val="30"/>
        </w:rPr>
        <w:t xml:space="preserve"> </w:t>
      </w:r>
      <w:r>
        <w:rPr>
          <w:rFonts w:ascii="FangSong" w:hAnsi="FangSong" w:eastAsia="FangSong" w:cs="FangSong"/>
          <w:sz w:val="30"/>
          <w:szCs w:val="30"/>
          <w:spacing w:val="17"/>
        </w:rPr>
        <w:t>造成严重后果的，对主要负责人、直接负责的主管人员和其他直接责任人员依法给予开</w:t>
      </w:r>
      <w:r>
        <w:rPr>
          <w:rFonts w:ascii="FangSong" w:hAnsi="FangSong" w:eastAsia="FangSong" w:cs="FangSong"/>
          <w:sz w:val="30"/>
          <w:szCs w:val="30"/>
          <w:spacing w:val="16"/>
        </w:rPr>
        <w:t>除处分，由原</w:t>
      </w:r>
      <w:r>
        <w:rPr>
          <w:rFonts w:ascii="FangSong" w:hAnsi="FangSong" w:eastAsia="FangSong" w:cs="FangSong"/>
          <w:sz w:val="30"/>
          <w:szCs w:val="30"/>
        </w:rPr>
        <w:t xml:space="preserve">  </w:t>
      </w:r>
      <w:r>
        <w:rPr>
          <w:rFonts w:ascii="FangSong" w:hAnsi="FangSong" w:eastAsia="FangSong" w:cs="FangSong"/>
          <w:sz w:val="30"/>
          <w:szCs w:val="30"/>
          <w:spacing w:val="17"/>
        </w:rPr>
        <w:t>发证部门吊销负有责任的医疗卫生人员的执业证书。</w:t>
      </w:r>
    </w:p>
    <w:p>
      <w:pPr>
        <w:ind w:left="6529"/>
        <w:spacing w:before="1" w:line="220"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60" w:lineRule="exact"/>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84"/>
        <w:gridCol w:w="7185"/>
        <w:gridCol w:w="4991"/>
      </w:tblGrid>
      <w:tr>
        <w:trPr>
          <w:trHeight w:val="853" w:hRule="atLeast"/>
        </w:trPr>
        <w:tc>
          <w:tcPr>
            <w:tcW w:w="1984" w:type="dxa"/>
            <w:vAlign w:val="top"/>
          </w:tcPr>
          <w:p>
            <w:pPr>
              <w:pStyle w:val="TableText"/>
              <w:ind w:left="408"/>
              <w:spacing w:before="18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7185" w:type="dxa"/>
            <w:vAlign w:val="top"/>
          </w:tcPr>
          <w:p>
            <w:pPr>
              <w:pStyle w:val="TableText"/>
              <w:ind w:left="3104"/>
              <w:spacing w:before="312" w:line="220" w:lineRule="auto"/>
              <w:rPr/>
            </w:pPr>
            <w:r>
              <w:rPr>
                <w:b/>
                <w:bCs/>
                <w:spacing w:val="-5"/>
              </w:rPr>
              <w:t>情节后果</w:t>
            </w:r>
          </w:p>
        </w:tc>
        <w:tc>
          <w:tcPr>
            <w:tcW w:w="4991" w:type="dxa"/>
            <w:vAlign w:val="top"/>
          </w:tcPr>
          <w:p>
            <w:pPr>
              <w:pStyle w:val="TableText"/>
              <w:ind w:left="1929"/>
              <w:spacing w:before="179" w:line="218" w:lineRule="auto"/>
              <w:rPr/>
            </w:pPr>
            <w:r>
              <w:rPr>
                <w:b/>
                <w:bCs/>
                <w:spacing w:val="-5"/>
              </w:rPr>
              <w:t>裁量幅度</w:t>
            </w:r>
          </w:p>
        </w:tc>
      </w:tr>
      <w:tr>
        <w:trPr>
          <w:trHeight w:val="1497" w:hRule="atLeast"/>
        </w:trPr>
        <w:tc>
          <w:tcPr>
            <w:tcW w:w="1984" w:type="dxa"/>
            <w:vAlign w:val="top"/>
          </w:tcPr>
          <w:p>
            <w:pPr>
              <w:spacing w:line="273" w:lineRule="auto"/>
              <w:rPr>
                <w:rFonts w:ascii="Arial"/>
                <w:sz w:val="21"/>
              </w:rPr>
            </w:pPr>
            <w:r/>
          </w:p>
          <w:p>
            <w:pPr>
              <w:spacing w:line="274" w:lineRule="auto"/>
              <w:rPr>
                <w:rFonts w:ascii="Arial"/>
                <w:sz w:val="21"/>
              </w:rPr>
            </w:pPr>
            <w:r/>
          </w:p>
          <w:p>
            <w:pPr>
              <w:pStyle w:val="TableText"/>
              <w:ind w:left="748"/>
              <w:spacing w:before="78" w:line="219" w:lineRule="auto"/>
              <w:rPr/>
            </w:pPr>
            <w:r>
              <w:rPr>
                <w:b/>
                <w:bCs/>
                <w:spacing w:val="-5"/>
              </w:rPr>
              <w:t>较轻</w:t>
            </w:r>
          </w:p>
        </w:tc>
        <w:tc>
          <w:tcPr>
            <w:tcW w:w="7185" w:type="dxa"/>
            <w:vAlign w:val="top"/>
          </w:tcPr>
          <w:p>
            <w:pPr>
              <w:pStyle w:val="TableText"/>
              <w:ind w:left="91" w:right="101" w:firstLine="9"/>
              <w:spacing w:before="300" w:line="349" w:lineRule="auto"/>
              <w:rPr/>
            </w:pPr>
            <w:r>
              <w:rPr/>
              <w:t>疾病预防控制机构、接种单位有本法第八十五条规定以外的违反疫</w:t>
            </w:r>
            <w:r>
              <w:rPr>
                <w:spacing w:val="11"/>
              </w:rPr>
              <w:t xml:space="preserve"> </w:t>
            </w:r>
            <w:r>
              <w:rPr/>
              <w:t>苗储存、运输管理规范行为，涉及疫苗种类一至五种。</w:t>
            </w:r>
          </w:p>
        </w:tc>
        <w:tc>
          <w:tcPr>
            <w:tcW w:w="4991" w:type="dxa"/>
            <w:vAlign w:val="top"/>
          </w:tcPr>
          <w:p>
            <w:pPr>
              <w:pStyle w:val="TableText"/>
              <w:ind w:left="126" w:right="273"/>
              <w:spacing w:before="300" w:line="349" w:lineRule="auto"/>
              <w:rPr/>
            </w:pPr>
            <w:r>
              <w:rPr>
                <w:spacing w:val="1"/>
              </w:rPr>
              <w:t>责令负有责任的医疗卫生人员暂停六个月以 </w:t>
            </w:r>
            <w:r>
              <w:rPr>
                <w:spacing w:val="-1"/>
              </w:rPr>
              <w:t>上九个月以下执业活动。</w:t>
            </w:r>
          </w:p>
        </w:tc>
      </w:tr>
      <w:tr>
        <w:trPr>
          <w:trHeight w:val="1098" w:hRule="atLeast"/>
        </w:trPr>
        <w:tc>
          <w:tcPr>
            <w:tcW w:w="1984" w:type="dxa"/>
            <w:vAlign w:val="top"/>
          </w:tcPr>
          <w:p>
            <w:pPr>
              <w:spacing w:line="243" w:lineRule="auto"/>
              <w:rPr>
                <w:rFonts w:ascii="Arial"/>
                <w:sz w:val="21"/>
              </w:rPr>
            </w:pPr>
            <w:r/>
          </w:p>
          <w:p>
            <w:pPr>
              <w:pStyle w:val="TableText"/>
              <w:ind w:left="748"/>
              <w:spacing w:before="78" w:line="221" w:lineRule="auto"/>
              <w:rPr/>
            </w:pPr>
            <w:r>
              <w:rPr>
                <w:b/>
                <w:bCs/>
                <w:spacing w:val="-10"/>
              </w:rPr>
              <w:t>一般</w:t>
            </w:r>
          </w:p>
        </w:tc>
        <w:tc>
          <w:tcPr>
            <w:tcW w:w="7185" w:type="dxa"/>
            <w:vAlign w:val="top"/>
          </w:tcPr>
          <w:p>
            <w:pPr>
              <w:pStyle w:val="TableText"/>
              <w:ind w:left="91" w:right="101" w:firstLine="9"/>
              <w:spacing w:before="114" w:line="341" w:lineRule="auto"/>
              <w:rPr/>
            </w:pPr>
            <w:r>
              <w:rPr/>
              <w:t>疾病预防控制机构、接种单位有本法第八十五条规定以外的违反疫</w:t>
            </w:r>
            <w:r>
              <w:rPr>
                <w:spacing w:val="11"/>
              </w:rPr>
              <w:t xml:space="preserve"> </w:t>
            </w:r>
            <w:r>
              <w:rPr/>
              <w:t>苗储存、运输管理规范行为，涉及疫苗种类六种以</w:t>
            </w:r>
            <w:r>
              <w:rPr>
                <w:spacing w:val="-1"/>
              </w:rPr>
              <w:t>上。</w:t>
            </w:r>
          </w:p>
        </w:tc>
        <w:tc>
          <w:tcPr>
            <w:tcW w:w="4991" w:type="dxa"/>
            <w:vAlign w:val="top"/>
          </w:tcPr>
          <w:p>
            <w:pPr>
              <w:pStyle w:val="TableText"/>
              <w:ind w:left="126" w:right="273"/>
              <w:spacing w:before="113" w:line="326" w:lineRule="auto"/>
              <w:rPr/>
            </w:pPr>
            <w:r>
              <w:rPr>
                <w:spacing w:val="1"/>
              </w:rPr>
              <w:t>责令负有责任的医疗卫生人员暂停九个月以 </w:t>
            </w:r>
            <w:r>
              <w:rPr>
                <w:spacing w:val="-1"/>
              </w:rPr>
              <w:t>上一年以下执业活动。</w:t>
            </w:r>
          </w:p>
        </w:tc>
      </w:tr>
      <w:tr>
        <w:trPr>
          <w:trHeight w:val="1562" w:hRule="atLeast"/>
        </w:trPr>
        <w:tc>
          <w:tcPr>
            <w:tcW w:w="1984" w:type="dxa"/>
            <w:vAlign w:val="top"/>
          </w:tcPr>
          <w:p>
            <w:pPr>
              <w:spacing w:line="291" w:lineRule="auto"/>
              <w:rPr>
                <w:rFonts w:ascii="Arial"/>
                <w:sz w:val="21"/>
              </w:rPr>
            </w:pPr>
            <w:r/>
          </w:p>
          <w:p>
            <w:pPr>
              <w:spacing w:line="291" w:lineRule="auto"/>
              <w:rPr>
                <w:rFonts w:ascii="Arial"/>
                <w:sz w:val="21"/>
              </w:rPr>
            </w:pPr>
            <w:r/>
          </w:p>
          <w:p>
            <w:pPr>
              <w:pStyle w:val="TableText"/>
              <w:ind w:left="748"/>
              <w:spacing w:before="78" w:line="220" w:lineRule="auto"/>
              <w:rPr/>
            </w:pPr>
            <w:r>
              <w:rPr>
                <w:b/>
                <w:bCs/>
                <w:spacing w:val="-6"/>
              </w:rPr>
              <w:t>严重</w:t>
            </w:r>
          </w:p>
        </w:tc>
        <w:tc>
          <w:tcPr>
            <w:tcW w:w="7185" w:type="dxa"/>
            <w:vAlign w:val="top"/>
          </w:tcPr>
          <w:p>
            <w:pPr>
              <w:pStyle w:val="TableText"/>
              <w:ind w:left="91" w:right="101" w:firstLine="9"/>
              <w:spacing w:before="105" w:line="348" w:lineRule="auto"/>
              <w:jc w:val="both"/>
              <w:rPr/>
            </w:pPr>
            <w:r>
              <w:rPr/>
              <w:t>疾病预防控制机构、接种单位有本法第八十五条规定以外的违反疫</w:t>
            </w:r>
            <w:r>
              <w:rPr>
                <w:spacing w:val="11"/>
              </w:rPr>
              <w:t xml:space="preserve"> </w:t>
            </w:r>
            <w:r>
              <w:rPr>
                <w:spacing w:val="1"/>
              </w:rPr>
              <w:t>苗储存、运输管理规范行为，导致接种疫苗</w:t>
            </w:r>
            <w:r>
              <w:rPr/>
              <w:t>后造成人员伤残或死亡 </w:t>
            </w:r>
            <w:r>
              <w:rPr/>
              <w:t>等严重后果。</w:t>
            </w:r>
          </w:p>
        </w:tc>
        <w:tc>
          <w:tcPr>
            <w:tcW w:w="4991" w:type="dxa"/>
            <w:vAlign w:val="top"/>
          </w:tcPr>
          <w:p>
            <w:pPr>
              <w:spacing w:line="256" w:lineRule="auto"/>
              <w:rPr>
                <w:rFonts w:ascii="Arial"/>
                <w:sz w:val="21"/>
              </w:rPr>
            </w:pPr>
            <w:r/>
          </w:p>
          <w:p>
            <w:pPr>
              <w:pStyle w:val="TableText"/>
              <w:ind w:left="126" w:right="262"/>
              <w:spacing w:before="78" w:line="363" w:lineRule="auto"/>
              <w:rPr/>
            </w:pPr>
            <w:r>
              <w:rPr>
                <w:spacing w:val="1"/>
              </w:rPr>
              <w:t>由原发证部门吊销负有责任的医疗卫生人员</w:t>
            </w:r>
            <w:r>
              <w:rPr>
                <w:spacing w:val="12"/>
              </w:rPr>
              <w:t xml:space="preserve"> </w:t>
            </w:r>
            <w:r>
              <w:rPr>
                <w:spacing w:val="-1"/>
              </w:rPr>
              <w:t>的执业证书。</w:t>
            </w:r>
          </w:p>
        </w:tc>
      </w:tr>
    </w:tbl>
    <w:p>
      <w:pPr>
        <w:pStyle w:val="BodyText"/>
        <w:rPr/>
      </w:pPr>
      <w:r/>
    </w:p>
    <w:p>
      <w:pPr>
        <w:sectPr>
          <w:footerReference w:type="default" r:id="rId111"/>
          <w:pgSz w:w="16830" w:h="11900"/>
          <w:pgMar w:top="1011" w:right="1189" w:bottom="1117" w:left="1314" w:header="0" w:footer="784" w:gutter="0"/>
        </w:sectPr>
        <w:rPr/>
      </w:pP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ind w:left="779"/>
        <w:spacing w:before="98" w:line="221" w:lineRule="auto"/>
        <w:rPr>
          <w:rFonts w:ascii="FangSong" w:hAnsi="FangSong" w:eastAsia="FangSong" w:cs="FangSong"/>
          <w:sz w:val="30"/>
          <w:szCs w:val="30"/>
        </w:rPr>
      </w:pPr>
      <w:bookmarkStart w:name="bookmark776" w:id="67"/>
      <w:bookmarkEnd w:id="67"/>
      <w:r>
        <w:rPr>
          <w:rFonts w:ascii="FangSong" w:hAnsi="FangSong" w:eastAsia="FangSong" w:cs="FangSong"/>
          <w:sz w:val="30"/>
          <w:szCs w:val="30"/>
          <w:b/>
          <w:bCs/>
          <w:spacing w:val="21"/>
        </w:rPr>
        <w:t>第三十六条疾病预防控制机构、接种单位未按照规定供应、接收、采购疫苗</w:t>
      </w:r>
    </w:p>
    <w:p>
      <w:pPr>
        <w:ind w:left="765"/>
        <w:spacing w:before="108" w:line="222" w:lineRule="auto"/>
        <w:rPr>
          <w:rFonts w:ascii="FangSong" w:hAnsi="FangSong" w:eastAsia="FangSong" w:cs="FangSong"/>
          <w:sz w:val="30"/>
          <w:szCs w:val="30"/>
        </w:rPr>
      </w:pPr>
      <w:r>
        <w:rPr>
          <w:rFonts w:ascii="FangSong" w:hAnsi="FangSong" w:eastAsia="FangSong" w:cs="FangSong"/>
          <w:sz w:val="30"/>
          <w:szCs w:val="30"/>
          <w:spacing w:val="7"/>
        </w:rPr>
        <w:t>法律依据</w:t>
      </w:r>
    </w:p>
    <w:p>
      <w:pPr>
        <w:ind w:left="104" w:right="103" w:firstLine="630"/>
        <w:spacing w:before="76" w:line="271" w:lineRule="auto"/>
        <w:rPr>
          <w:rFonts w:ascii="FangSong" w:hAnsi="FangSong" w:eastAsia="FangSong" w:cs="FangSong"/>
          <w:sz w:val="30"/>
          <w:szCs w:val="30"/>
        </w:rPr>
      </w:pPr>
      <w:r>
        <w:rPr>
          <w:rFonts w:ascii="FangSong" w:hAnsi="FangSong" w:eastAsia="FangSong" w:cs="FangSong"/>
          <w:sz w:val="30"/>
          <w:szCs w:val="30"/>
          <w:spacing w:val="23"/>
        </w:rPr>
        <w:t>《中华人民共和国疫苗管理法》第八十七条第(一)项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违反本法规定，疾病预防控制机构、接</w:t>
      </w:r>
      <w:r>
        <w:rPr>
          <w:rFonts w:ascii="FangSong" w:hAnsi="FangSong" w:eastAsia="FangSong" w:cs="FangSong"/>
          <w:sz w:val="30"/>
          <w:szCs w:val="30"/>
          <w:spacing w:val="8"/>
        </w:rPr>
        <w:t xml:space="preserve"> </w:t>
      </w:r>
      <w:r>
        <w:rPr>
          <w:rFonts w:ascii="FangSong" w:hAnsi="FangSong" w:eastAsia="FangSong" w:cs="FangSong"/>
          <w:sz w:val="30"/>
          <w:szCs w:val="30"/>
          <w:spacing w:val="17"/>
        </w:rPr>
        <w:t>种单位有下列情形之一的，由县级以上人民政府卫生健</w:t>
      </w:r>
      <w:r>
        <w:rPr>
          <w:rFonts w:ascii="FangSong" w:hAnsi="FangSong" w:eastAsia="FangSong" w:cs="FangSong"/>
          <w:sz w:val="30"/>
          <w:szCs w:val="30"/>
          <w:spacing w:val="16"/>
        </w:rPr>
        <w:t>康主管部门责令改正，给予警告，没收违法所</w:t>
      </w:r>
      <w:r>
        <w:rPr>
          <w:rFonts w:ascii="FangSong" w:hAnsi="FangSong" w:eastAsia="FangSong" w:cs="FangSong"/>
          <w:sz w:val="30"/>
          <w:szCs w:val="30"/>
        </w:rPr>
        <w:t xml:space="preserve"> </w:t>
      </w:r>
      <w:r>
        <w:rPr>
          <w:rFonts w:ascii="FangSong" w:hAnsi="FangSong" w:eastAsia="FangSong" w:cs="FangSong"/>
          <w:sz w:val="30"/>
          <w:szCs w:val="30"/>
          <w:spacing w:val="17"/>
        </w:rPr>
        <w:t>得；情节严重的，对主要负责人、直接负责的主管人员和其他直接责任人员依法给予警告直至撤职处</w:t>
      </w:r>
      <w:r>
        <w:rPr>
          <w:rFonts w:ascii="FangSong" w:hAnsi="FangSong" w:eastAsia="FangSong" w:cs="FangSong"/>
          <w:sz w:val="30"/>
          <w:szCs w:val="30"/>
          <w:spacing w:val="2"/>
        </w:rPr>
        <w:t xml:space="preserve"> </w:t>
      </w:r>
      <w:r>
        <w:rPr>
          <w:rFonts w:ascii="FangSong" w:hAnsi="FangSong" w:eastAsia="FangSong" w:cs="FangSong"/>
          <w:sz w:val="30"/>
          <w:szCs w:val="30"/>
          <w:spacing w:val="17"/>
        </w:rPr>
        <w:t>分，责令负有责任的医疗卫生人员暂停一年以上十八个</w:t>
      </w:r>
      <w:r>
        <w:rPr>
          <w:rFonts w:ascii="FangSong" w:hAnsi="FangSong" w:eastAsia="FangSong" w:cs="FangSong"/>
          <w:sz w:val="30"/>
          <w:szCs w:val="30"/>
          <w:spacing w:val="16"/>
        </w:rPr>
        <w:t>月以下执业活动；造成严重后果的，对主要负</w:t>
      </w:r>
      <w:r>
        <w:rPr>
          <w:rFonts w:ascii="FangSong" w:hAnsi="FangSong" w:eastAsia="FangSong" w:cs="FangSong"/>
          <w:sz w:val="30"/>
          <w:szCs w:val="30"/>
        </w:rPr>
        <w:t xml:space="preserve"> </w:t>
      </w:r>
      <w:r>
        <w:rPr>
          <w:rFonts w:ascii="FangSong" w:hAnsi="FangSong" w:eastAsia="FangSong" w:cs="FangSong"/>
          <w:sz w:val="30"/>
          <w:szCs w:val="30"/>
          <w:spacing w:val="17"/>
        </w:rPr>
        <w:t>责人、直接负责的主管人员和其他直接责任人员依法给予开除处分，由原发证部</w:t>
      </w:r>
      <w:r>
        <w:rPr>
          <w:rFonts w:ascii="FangSong" w:hAnsi="FangSong" w:eastAsia="FangSong" w:cs="FangSong"/>
          <w:sz w:val="30"/>
          <w:szCs w:val="30"/>
          <w:spacing w:val="16"/>
        </w:rPr>
        <w:t>门吊销负有责任的医</w:t>
      </w:r>
      <w:r>
        <w:rPr>
          <w:rFonts w:ascii="FangSong" w:hAnsi="FangSong" w:eastAsia="FangSong" w:cs="FangSong"/>
          <w:sz w:val="30"/>
          <w:szCs w:val="30"/>
        </w:rPr>
        <w:t xml:space="preserve"> </w:t>
      </w:r>
      <w:r>
        <w:rPr>
          <w:rFonts w:ascii="FangSong" w:hAnsi="FangSong" w:eastAsia="FangSong" w:cs="FangSong"/>
          <w:sz w:val="30"/>
          <w:szCs w:val="30"/>
          <w:spacing w:val="14"/>
        </w:rPr>
        <w:t>疗卫生人员的执业证书：</w:t>
      </w:r>
    </w:p>
    <w:p>
      <w:pPr>
        <w:ind w:left="914"/>
        <w:spacing w:line="222" w:lineRule="auto"/>
        <w:rPr>
          <w:rFonts w:ascii="FangSong" w:hAnsi="FangSong" w:eastAsia="FangSong" w:cs="FangSong"/>
          <w:sz w:val="30"/>
          <w:szCs w:val="30"/>
        </w:rPr>
      </w:pPr>
      <w:r>
        <w:rPr>
          <w:rFonts w:ascii="FangSong" w:hAnsi="FangSong" w:eastAsia="FangSong" w:cs="FangSong"/>
          <w:sz w:val="30"/>
          <w:szCs w:val="30"/>
          <w:spacing w:val="24"/>
        </w:rPr>
        <w:t>(一)未按照规定供应、接收、采购疫苗；</w:t>
      </w:r>
    </w:p>
    <w:p>
      <w:pPr>
        <w:ind w:left="6508"/>
        <w:spacing w:before="74"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70" w:lineRule="exact"/>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72"/>
        <w:gridCol w:w="5626"/>
        <w:gridCol w:w="5151"/>
      </w:tblGrid>
      <w:tr>
        <w:trPr>
          <w:trHeight w:val="820" w:hRule="atLeast"/>
        </w:trPr>
        <w:tc>
          <w:tcPr>
            <w:tcW w:w="3372" w:type="dxa"/>
            <w:vAlign w:val="top"/>
          </w:tcPr>
          <w:p>
            <w:pPr>
              <w:pStyle w:val="TableText"/>
              <w:ind w:left="1158"/>
              <w:spacing w:before="172" w:line="220" w:lineRule="auto"/>
              <w:rPr>
                <w:sz w:val="26"/>
                <w:szCs w:val="26"/>
              </w:rPr>
            </w:pPr>
            <w:r>
              <w:rPr>
                <w:sz w:val="26"/>
                <w:szCs w:val="26"/>
                <w:b/>
                <w:bCs/>
                <w:spacing w:val="-5"/>
              </w:rPr>
              <w:t>违法程度</w:t>
            </w:r>
          </w:p>
        </w:tc>
        <w:tc>
          <w:tcPr>
            <w:tcW w:w="5626" w:type="dxa"/>
            <w:vAlign w:val="top"/>
          </w:tcPr>
          <w:p>
            <w:pPr>
              <w:pStyle w:val="TableText"/>
              <w:ind w:left="2286"/>
              <w:spacing w:before="172" w:line="220" w:lineRule="auto"/>
              <w:rPr>
                <w:sz w:val="26"/>
                <w:szCs w:val="26"/>
              </w:rPr>
            </w:pPr>
            <w:r>
              <w:rPr>
                <w:sz w:val="26"/>
                <w:szCs w:val="26"/>
                <w:b/>
                <w:bCs/>
                <w:spacing w:val="-5"/>
              </w:rPr>
              <w:t>情节后果</w:t>
            </w:r>
          </w:p>
        </w:tc>
        <w:tc>
          <w:tcPr>
            <w:tcW w:w="5151" w:type="dxa"/>
            <w:vAlign w:val="top"/>
          </w:tcPr>
          <w:p>
            <w:pPr>
              <w:pStyle w:val="TableText"/>
              <w:ind w:left="2030"/>
              <w:spacing w:before="179" w:line="218" w:lineRule="auto"/>
              <w:rPr>
                <w:sz w:val="26"/>
                <w:szCs w:val="26"/>
              </w:rPr>
            </w:pPr>
            <w:r>
              <w:rPr>
                <w:sz w:val="26"/>
                <w:szCs w:val="26"/>
                <w:b/>
                <w:bCs/>
                <w:spacing w:val="-5"/>
              </w:rPr>
              <w:t>裁量幅度</w:t>
            </w:r>
          </w:p>
        </w:tc>
      </w:tr>
      <w:tr>
        <w:trPr>
          <w:trHeight w:val="1079" w:hRule="atLeast"/>
        </w:trPr>
        <w:tc>
          <w:tcPr>
            <w:tcW w:w="3372" w:type="dxa"/>
            <w:vAlign w:val="top"/>
          </w:tcPr>
          <w:p>
            <w:pPr>
              <w:spacing w:line="325" w:lineRule="auto"/>
              <w:rPr>
                <w:rFonts w:ascii="Arial"/>
                <w:sz w:val="21"/>
              </w:rPr>
            </w:pPr>
            <w:r/>
          </w:p>
          <w:p>
            <w:pPr>
              <w:pStyle w:val="TableText"/>
              <w:ind w:left="1418"/>
              <w:spacing w:before="85" w:line="219" w:lineRule="auto"/>
              <w:rPr>
                <w:sz w:val="26"/>
                <w:szCs w:val="26"/>
              </w:rPr>
            </w:pPr>
            <w:r>
              <w:rPr>
                <w:sz w:val="26"/>
                <w:szCs w:val="26"/>
                <w:b/>
                <w:bCs/>
                <w:spacing w:val="-6"/>
              </w:rPr>
              <w:t>较轻</w:t>
            </w:r>
          </w:p>
        </w:tc>
        <w:tc>
          <w:tcPr>
            <w:tcW w:w="5626" w:type="dxa"/>
            <w:vAlign w:val="top"/>
          </w:tcPr>
          <w:p>
            <w:pPr>
              <w:pStyle w:val="TableText"/>
              <w:ind w:left="86" w:hanging="70"/>
              <w:spacing w:before="112" w:line="330" w:lineRule="auto"/>
              <w:rPr>
                <w:sz w:val="26"/>
                <w:szCs w:val="26"/>
              </w:rPr>
            </w:pPr>
            <w:r>
              <w:rPr>
                <w:sz w:val="26"/>
                <w:szCs w:val="26"/>
                <w:b/>
                <w:bCs/>
                <w:spacing w:val="-21"/>
              </w:rPr>
              <w:t>未按照规定供应、</w:t>
            </w:r>
            <w:r>
              <w:rPr>
                <w:sz w:val="26"/>
                <w:szCs w:val="26"/>
                <w:b/>
                <w:bCs/>
                <w:spacing w:val="-20"/>
              </w:rPr>
              <w:t>接收、采购疫苗，违法所得不足</w:t>
            </w:r>
            <w:r>
              <w:rPr>
                <w:sz w:val="26"/>
                <w:szCs w:val="26"/>
                <w:b/>
                <w:bCs/>
                <w:spacing w:val="-12"/>
              </w:rPr>
              <w:t>五</w:t>
            </w:r>
            <w:r>
              <w:rPr>
                <w:sz w:val="26"/>
                <w:szCs w:val="26"/>
                <w:spacing w:val="15"/>
              </w:rPr>
              <w:t xml:space="preserve"> </w:t>
            </w:r>
            <w:r>
              <w:rPr>
                <w:sz w:val="26"/>
                <w:szCs w:val="26"/>
                <w:b/>
                <w:bCs/>
                <w:spacing w:val="-5"/>
              </w:rPr>
              <w:t>万元。</w:t>
            </w:r>
          </w:p>
        </w:tc>
        <w:tc>
          <w:tcPr>
            <w:tcW w:w="5151" w:type="dxa"/>
            <w:vAlign w:val="top"/>
          </w:tcPr>
          <w:p>
            <w:pPr>
              <w:spacing w:line="323" w:lineRule="auto"/>
              <w:rPr>
                <w:rFonts w:ascii="Arial"/>
                <w:sz w:val="21"/>
              </w:rPr>
            </w:pPr>
            <w:r/>
          </w:p>
          <w:p>
            <w:pPr>
              <w:pStyle w:val="TableText"/>
              <w:ind w:left="140"/>
              <w:spacing w:before="84" w:line="218" w:lineRule="auto"/>
              <w:rPr>
                <w:sz w:val="26"/>
                <w:szCs w:val="26"/>
              </w:rPr>
            </w:pPr>
            <w:r>
              <w:rPr>
                <w:sz w:val="26"/>
                <w:szCs w:val="26"/>
                <w:b/>
                <w:bCs/>
                <w:spacing w:val="-4"/>
              </w:rPr>
              <w:t>给予警告，没收违法所得。</w:t>
            </w:r>
          </w:p>
        </w:tc>
      </w:tr>
    </w:tbl>
    <w:p>
      <w:pPr>
        <w:pStyle w:val="BodyText"/>
        <w:spacing w:line="272" w:lineRule="auto"/>
        <w:rPr/>
      </w:pPr>
      <w: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ind w:left="6454"/>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—119—</w:t>
      </w:r>
    </w:p>
    <w:p>
      <w:pPr>
        <w:spacing w:line="188" w:lineRule="auto"/>
        <w:sectPr>
          <w:footerReference w:type="default" r:id="rId24"/>
          <w:pgSz w:w="16830" w:h="11900"/>
          <w:pgMar w:top="1011" w:right="1335" w:bottom="400" w:left="1335" w:header="0" w:footer="0" w:gutter="0"/>
        </w:sectPr>
        <w:rPr>
          <w:rFonts w:ascii="Times New Roman" w:hAnsi="Times New Roman" w:eastAsia="Times New Roman" w:cs="Times New Roman"/>
          <w:sz w:val="37"/>
          <w:szCs w:val="37"/>
        </w:rPr>
      </w:pPr>
    </w:p>
    <w:p>
      <w:pPr>
        <w:spacing w:before="17"/>
        <w:rPr/>
      </w:pPr>
      <w:r/>
    </w:p>
    <w:p>
      <w:pPr>
        <w:spacing w:before="16"/>
        <w:rPr/>
      </w:pPr>
      <w:r/>
    </w:p>
    <w:p>
      <w:pPr>
        <w:spacing w:before="16"/>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93"/>
        <w:gridCol w:w="5646"/>
        <w:gridCol w:w="5131"/>
      </w:tblGrid>
      <w:tr>
        <w:trPr>
          <w:trHeight w:val="1871" w:hRule="atLeast"/>
        </w:trPr>
        <w:tc>
          <w:tcPr>
            <w:tcW w:w="3393"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448"/>
              <w:spacing w:before="78" w:line="221" w:lineRule="auto"/>
              <w:rPr/>
            </w:pPr>
            <w:bookmarkStart w:name="bookmark777" w:id="68"/>
            <w:bookmarkEnd w:id="68"/>
            <w:r>
              <w:rPr>
                <w:b/>
                <w:bCs/>
                <w:spacing w:val="-10"/>
              </w:rPr>
              <w:t>一般</w:t>
            </w:r>
          </w:p>
        </w:tc>
        <w:tc>
          <w:tcPr>
            <w:tcW w:w="5646" w:type="dxa"/>
            <w:vAlign w:val="top"/>
          </w:tcPr>
          <w:p>
            <w:pPr>
              <w:spacing w:line="412" w:lineRule="auto"/>
              <w:rPr>
                <w:rFonts w:ascii="Arial"/>
                <w:sz w:val="21"/>
              </w:rPr>
            </w:pPr>
            <w:r/>
          </w:p>
          <w:p>
            <w:pPr>
              <w:pStyle w:val="TableText"/>
              <w:ind w:left="92" w:right="12"/>
              <w:spacing w:before="78" w:line="358" w:lineRule="auto"/>
              <w:rPr/>
            </w:pPr>
            <w:r>
              <w:rPr/>
              <w:t>未按照规定供应、接收、采购疫苗，违法所得五至十</w:t>
            </w:r>
            <w:r>
              <w:rPr>
                <w:spacing w:val="9"/>
              </w:rPr>
              <w:t xml:space="preserve"> </w:t>
            </w:r>
            <w:r>
              <w:rPr>
                <w:spacing w:val="-9"/>
              </w:rPr>
              <w:t>万</w:t>
            </w:r>
            <w:r>
              <w:rPr>
                <w:spacing w:val="-14"/>
              </w:rPr>
              <w:t xml:space="preserve"> </w:t>
            </w:r>
            <w:r>
              <w:rPr>
                <w:spacing w:val="-9"/>
              </w:rPr>
              <w:t>元</w:t>
            </w:r>
            <w:r>
              <w:rPr>
                <w:spacing w:val="-24"/>
              </w:rPr>
              <w:t xml:space="preserve"> </w:t>
            </w:r>
            <w:r>
              <w:rPr>
                <w:spacing w:val="-9"/>
              </w:rPr>
              <w:t>；</w:t>
            </w:r>
          </w:p>
        </w:tc>
        <w:tc>
          <w:tcPr>
            <w:tcW w:w="5131" w:type="dxa"/>
            <w:vAlign w:val="top"/>
          </w:tcPr>
          <w:p>
            <w:pPr>
              <w:spacing w:line="393" w:lineRule="auto"/>
              <w:rPr>
                <w:rFonts w:ascii="Arial"/>
                <w:sz w:val="21"/>
              </w:rPr>
            </w:pPr>
            <w:r/>
          </w:p>
          <w:p>
            <w:pPr>
              <w:pStyle w:val="TableText"/>
              <w:ind w:left="35"/>
              <w:spacing w:before="78" w:line="357" w:lineRule="auto"/>
              <w:rPr/>
            </w:pPr>
            <w:r>
              <w:rPr>
                <w:spacing w:val="-3"/>
              </w:rPr>
              <w:t>给予警告，没收违法所得，责令负有责任的</w:t>
            </w:r>
            <w:r>
              <w:rPr>
                <w:spacing w:val="-4"/>
              </w:rPr>
              <w:t>医疗</w:t>
            </w:r>
            <w:r>
              <w:rPr/>
              <w:t xml:space="preserve">  </w:t>
            </w:r>
            <w:r>
              <w:rPr>
                <w:spacing w:val="2"/>
              </w:rPr>
              <w:t>卫生人员暂停一年以上十五个月以下执业活动；</w:t>
            </w:r>
          </w:p>
        </w:tc>
      </w:tr>
      <w:tr>
        <w:trPr>
          <w:trHeight w:val="1906" w:hRule="atLeast"/>
        </w:trPr>
        <w:tc>
          <w:tcPr>
            <w:tcW w:w="3393" w:type="dxa"/>
            <w:vAlign w:val="top"/>
            <w:vMerge w:val="continue"/>
            <w:tcBorders>
              <w:top w:val="nil"/>
            </w:tcBorders>
          </w:tcPr>
          <w:p>
            <w:pPr>
              <w:rPr>
                <w:rFonts w:ascii="Arial"/>
                <w:sz w:val="21"/>
              </w:rPr>
            </w:pPr>
            <w:r/>
          </w:p>
        </w:tc>
        <w:tc>
          <w:tcPr>
            <w:tcW w:w="5646" w:type="dxa"/>
            <w:vAlign w:val="top"/>
          </w:tcPr>
          <w:p>
            <w:pPr>
              <w:spacing w:line="437" w:lineRule="auto"/>
              <w:rPr>
                <w:rFonts w:ascii="Arial"/>
                <w:sz w:val="21"/>
              </w:rPr>
            </w:pPr>
            <w:r/>
          </w:p>
          <w:p>
            <w:pPr>
              <w:pStyle w:val="TableText"/>
              <w:ind w:left="95" w:right="33"/>
              <w:spacing w:before="78" w:line="358" w:lineRule="auto"/>
              <w:rPr/>
            </w:pPr>
            <w:r>
              <w:rPr>
                <w:b/>
                <w:bCs/>
                <w:spacing w:val="-3"/>
              </w:rPr>
              <w:t>未按照规定供应、接收、采购疫苗，违法所</w:t>
            </w:r>
            <w:r>
              <w:rPr>
                <w:b/>
                <w:bCs/>
                <w:spacing w:val="-4"/>
              </w:rPr>
              <w:t>得超过十</w:t>
            </w:r>
            <w:r>
              <w:rPr/>
              <w:t xml:space="preserve"> </w:t>
            </w:r>
            <w:r>
              <w:rPr>
                <w:b/>
                <w:bCs/>
                <w:spacing w:val="-5"/>
              </w:rPr>
              <w:t>万元。</w:t>
            </w:r>
          </w:p>
        </w:tc>
        <w:tc>
          <w:tcPr>
            <w:tcW w:w="5131" w:type="dxa"/>
            <w:vAlign w:val="top"/>
          </w:tcPr>
          <w:p>
            <w:pPr>
              <w:pStyle w:val="TableText"/>
              <w:ind w:left="154" w:right="34" w:hanging="119"/>
              <w:spacing w:before="292" w:line="334" w:lineRule="auto"/>
              <w:rPr/>
            </w:pPr>
            <w:r>
              <w:rPr/>
              <w:t>给予警告，没收违法所得，责令负有责任的医疗</w:t>
            </w:r>
            <w:r>
              <w:rPr>
                <w:spacing w:val="9"/>
              </w:rPr>
              <w:t xml:space="preserve"> </w:t>
            </w:r>
            <w:r>
              <w:rPr>
                <w:spacing w:val="-1"/>
              </w:rPr>
              <w:t>卫生人员暂停十五个月以上十八个月以下执业</w:t>
            </w:r>
          </w:p>
          <w:p>
            <w:pPr>
              <w:pStyle w:val="TableText"/>
              <w:ind w:left="116"/>
              <w:spacing w:before="23" w:line="220" w:lineRule="auto"/>
              <w:rPr/>
            </w:pPr>
            <w:r>
              <w:rPr>
                <w:color w:val="404040"/>
              </w:rPr>
              <w:t>活动。</w:t>
            </w:r>
          </w:p>
        </w:tc>
      </w:tr>
      <w:tr>
        <w:trPr>
          <w:trHeight w:val="1103" w:hRule="atLeast"/>
        </w:trPr>
        <w:tc>
          <w:tcPr>
            <w:tcW w:w="3393" w:type="dxa"/>
            <w:vAlign w:val="top"/>
          </w:tcPr>
          <w:p>
            <w:pPr>
              <w:pStyle w:val="TableText"/>
              <w:ind w:left="1448"/>
              <w:spacing w:before="315" w:line="220" w:lineRule="auto"/>
              <w:rPr/>
            </w:pPr>
            <w:r>
              <w:rPr>
                <w:b/>
                <w:bCs/>
                <w:spacing w:val="-6"/>
              </w:rPr>
              <w:t>严重</w:t>
            </w:r>
          </w:p>
        </w:tc>
        <w:tc>
          <w:tcPr>
            <w:tcW w:w="5646" w:type="dxa"/>
            <w:vAlign w:val="top"/>
          </w:tcPr>
          <w:p>
            <w:pPr>
              <w:pStyle w:val="TableText"/>
              <w:ind w:left="92" w:right="32"/>
              <w:spacing w:before="107" w:line="342" w:lineRule="auto"/>
              <w:rPr/>
            </w:pPr>
            <w:r>
              <w:rPr>
                <w:spacing w:val="-1"/>
              </w:rPr>
              <w:t>造成在传染病传播或流行期间，影响群众预防接种等</w:t>
            </w:r>
            <w:r>
              <w:rPr>
                <w:spacing w:val="13"/>
              </w:rPr>
              <w:t xml:space="preserve"> </w:t>
            </w:r>
            <w:r>
              <w:rPr>
                <w:spacing w:val="-1"/>
              </w:rPr>
              <w:t>严重后果。</w:t>
            </w:r>
          </w:p>
        </w:tc>
        <w:tc>
          <w:tcPr>
            <w:tcW w:w="5131" w:type="dxa"/>
            <w:vAlign w:val="top"/>
          </w:tcPr>
          <w:p>
            <w:pPr>
              <w:pStyle w:val="TableText"/>
              <w:ind w:left="105" w:right="20" w:hanging="70"/>
              <w:spacing w:before="105" w:line="341" w:lineRule="auto"/>
              <w:rPr/>
            </w:pPr>
            <w:r>
              <w:rPr>
                <w:spacing w:val="1"/>
              </w:rPr>
              <w:t>给予警告，没收违法所得，由原发证部门吊销负</w:t>
            </w:r>
            <w:r>
              <w:rPr>
                <w:spacing w:val="2"/>
              </w:rPr>
              <w:t xml:space="preserve"> </w:t>
            </w:r>
            <w:r>
              <w:rPr/>
              <w:t>有责任的医疗卫生人员的执业证书。</w:t>
            </w:r>
          </w:p>
        </w:tc>
      </w:tr>
    </w:tbl>
    <w:p>
      <w:pPr>
        <w:ind w:left="129" w:right="107" w:firstLine="660"/>
        <w:spacing w:before="87" w:line="270" w:lineRule="auto"/>
        <w:rPr>
          <w:rFonts w:ascii="FangSong" w:hAnsi="FangSong" w:eastAsia="FangSong" w:cs="FangSong"/>
          <w:sz w:val="30"/>
          <w:szCs w:val="30"/>
        </w:rPr>
      </w:pPr>
      <w:r>
        <w:rPr>
          <w:rFonts w:ascii="FangSong" w:hAnsi="FangSong" w:eastAsia="FangSong" w:cs="FangSong"/>
          <w:sz w:val="30"/>
          <w:szCs w:val="30"/>
          <w:b/>
          <w:bCs/>
          <w:spacing w:val="21"/>
        </w:rPr>
        <w:t>第三十七条疾病预防控制机构、接种单位接种疫苗未遵守预防接种工作规范</w:t>
      </w:r>
      <w:r>
        <w:rPr>
          <w:rFonts w:ascii="FangSong" w:hAnsi="FangSong" w:eastAsia="FangSong" w:cs="FangSong"/>
          <w:sz w:val="30"/>
          <w:szCs w:val="30"/>
          <w:b/>
          <w:bCs/>
          <w:spacing w:val="20"/>
        </w:rPr>
        <w:t>、免疫程序、疫苗</w:t>
      </w:r>
      <w:r>
        <w:rPr>
          <w:rFonts w:ascii="FangSong" w:hAnsi="FangSong" w:eastAsia="FangSong" w:cs="FangSong"/>
          <w:sz w:val="30"/>
          <w:szCs w:val="30"/>
        </w:rPr>
        <w:t xml:space="preserve"> </w:t>
      </w:r>
      <w:r>
        <w:rPr>
          <w:rFonts w:ascii="FangSong" w:hAnsi="FangSong" w:eastAsia="FangSong" w:cs="FangSong"/>
          <w:sz w:val="30"/>
          <w:szCs w:val="30"/>
          <w:b/>
          <w:bCs/>
          <w:spacing w:val="15"/>
        </w:rPr>
        <w:t>使用指导原则、接种方案的</w:t>
      </w:r>
    </w:p>
    <w:p>
      <w:pPr>
        <w:ind w:left="795"/>
        <w:spacing w:line="222" w:lineRule="auto"/>
        <w:rPr>
          <w:rFonts w:ascii="FangSong" w:hAnsi="FangSong" w:eastAsia="FangSong" w:cs="FangSong"/>
          <w:sz w:val="30"/>
          <w:szCs w:val="30"/>
        </w:rPr>
      </w:pPr>
      <w:r>
        <w:rPr>
          <w:rFonts w:ascii="FangSong" w:hAnsi="FangSong" w:eastAsia="FangSong" w:cs="FangSong"/>
          <w:sz w:val="30"/>
          <w:szCs w:val="30"/>
          <w:spacing w:val="7"/>
        </w:rPr>
        <w:t>法律依据</w:t>
      </w:r>
    </w:p>
    <w:p>
      <w:pPr>
        <w:ind w:left="124" w:right="102" w:firstLine="640"/>
        <w:spacing w:before="99" w:line="265" w:lineRule="auto"/>
        <w:rPr>
          <w:rFonts w:ascii="FangSong" w:hAnsi="FangSong" w:eastAsia="FangSong" w:cs="FangSong"/>
          <w:sz w:val="30"/>
          <w:szCs w:val="30"/>
        </w:rPr>
      </w:pPr>
      <w:r>
        <w:rPr>
          <w:rFonts w:ascii="FangSong" w:hAnsi="FangSong" w:eastAsia="FangSong" w:cs="FangSong"/>
          <w:sz w:val="30"/>
          <w:szCs w:val="30"/>
          <w:spacing w:val="26"/>
        </w:rPr>
        <w:t>《中华人民共和国疫苗管理法》第八十七条第(二)项</w:t>
      </w:r>
      <w:r>
        <w:rPr>
          <w:rFonts w:ascii="FangSong" w:hAnsi="FangSong" w:eastAsia="FangSong" w:cs="FangSong"/>
          <w:sz w:val="30"/>
          <w:szCs w:val="30"/>
          <w:spacing w:val="26"/>
        </w:rPr>
        <w:t xml:space="preserve">   </w:t>
      </w:r>
      <w:r>
        <w:rPr>
          <w:rFonts w:ascii="FangSong" w:hAnsi="FangSong" w:eastAsia="FangSong" w:cs="FangSong"/>
          <w:sz w:val="30"/>
          <w:szCs w:val="30"/>
          <w:spacing w:val="26"/>
        </w:rPr>
        <w:t>违反本法规定</w:t>
      </w:r>
      <w:r>
        <w:rPr>
          <w:rFonts w:ascii="FangSong" w:hAnsi="FangSong" w:eastAsia="FangSong" w:cs="FangSong"/>
          <w:sz w:val="30"/>
          <w:szCs w:val="30"/>
          <w:spacing w:val="25"/>
        </w:rPr>
        <w:t>，疾病预防控制机构、</w:t>
      </w:r>
      <w:r>
        <w:rPr>
          <w:rFonts w:ascii="FangSong" w:hAnsi="FangSong" w:eastAsia="FangSong" w:cs="FangSong"/>
          <w:sz w:val="30"/>
          <w:szCs w:val="30"/>
        </w:rPr>
        <w:t xml:space="preserve"> </w:t>
      </w:r>
      <w:r>
        <w:rPr>
          <w:rFonts w:ascii="FangSong" w:hAnsi="FangSong" w:eastAsia="FangSong" w:cs="FangSong"/>
          <w:sz w:val="30"/>
          <w:szCs w:val="30"/>
          <w:spacing w:val="17"/>
        </w:rPr>
        <w:t>接种单位有下列情形之一的，由县级以上人民政府卫生</w:t>
      </w:r>
      <w:r>
        <w:rPr>
          <w:rFonts w:ascii="FangSong" w:hAnsi="FangSong" w:eastAsia="FangSong" w:cs="FangSong"/>
          <w:sz w:val="30"/>
          <w:szCs w:val="30"/>
          <w:spacing w:val="16"/>
        </w:rPr>
        <w:t>健康主管部门责令改正，给予警告，没收违法</w:t>
      </w:r>
      <w:r>
        <w:rPr>
          <w:rFonts w:ascii="FangSong" w:hAnsi="FangSong" w:eastAsia="FangSong" w:cs="FangSong"/>
          <w:sz w:val="30"/>
          <w:szCs w:val="30"/>
        </w:rPr>
        <w:t xml:space="preserve"> </w:t>
      </w:r>
      <w:r>
        <w:rPr>
          <w:rFonts w:ascii="FangSong" w:hAnsi="FangSong" w:eastAsia="FangSong" w:cs="FangSong"/>
          <w:sz w:val="30"/>
          <w:szCs w:val="30"/>
          <w:spacing w:val="17"/>
        </w:rPr>
        <w:t>所得；情节严重的，对主要负责人、直接负责的主管人员和其他直接责任人员依法给予警告直至</w:t>
      </w:r>
      <w:r>
        <w:rPr>
          <w:rFonts w:ascii="FangSong" w:hAnsi="FangSong" w:eastAsia="FangSong" w:cs="FangSong"/>
          <w:sz w:val="30"/>
          <w:szCs w:val="30"/>
          <w:spacing w:val="16"/>
        </w:rPr>
        <w:t>撤职</w:t>
      </w:r>
      <w:r>
        <w:rPr>
          <w:rFonts w:ascii="FangSong" w:hAnsi="FangSong" w:eastAsia="FangSong" w:cs="FangSong"/>
          <w:sz w:val="30"/>
          <w:szCs w:val="30"/>
        </w:rPr>
        <w:t xml:space="preserve"> </w:t>
      </w:r>
      <w:r>
        <w:rPr>
          <w:rFonts w:ascii="FangSong" w:hAnsi="FangSong" w:eastAsia="FangSong" w:cs="FangSong"/>
          <w:sz w:val="30"/>
          <w:szCs w:val="30"/>
          <w:spacing w:val="17"/>
        </w:rPr>
        <w:t>处分，责令负有责任的医疗卫生人员暂停一年以上十八个月以下执业活动；造成严重后果的，对主要</w:t>
      </w:r>
    </w:p>
    <w:p>
      <w:pPr>
        <w:spacing w:line="265" w:lineRule="auto"/>
        <w:sectPr>
          <w:footerReference w:type="default" r:id="rId112"/>
          <w:pgSz w:w="16830" w:h="11900"/>
          <w:pgMar w:top="1011" w:right="1335" w:bottom="1117" w:left="1314" w:header="0" w:footer="784" w:gutter="0"/>
        </w:sectPr>
        <w:rPr>
          <w:rFonts w:ascii="FangSong" w:hAnsi="FangSong" w:eastAsia="FangSong" w:cs="FangSong"/>
          <w:sz w:val="30"/>
          <w:szCs w:val="30"/>
        </w:rPr>
      </w:pPr>
    </w:p>
    <w:p>
      <w:pPr>
        <w:pStyle w:val="BodyText"/>
        <w:spacing w:line="265" w:lineRule="auto"/>
        <w:rPr/>
      </w:pPr>
      <w:r/>
    </w:p>
    <w:p>
      <w:pPr>
        <w:pStyle w:val="BodyText"/>
        <w:spacing w:line="266" w:lineRule="auto"/>
        <w:rPr/>
      </w:pPr>
      <w:r/>
    </w:p>
    <w:p>
      <w:pPr>
        <w:pStyle w:val="BodyText"/>
        <w:spacing w:line="266" w:lineRule="auto"/>
        <w:rPr/>
      </w:pPr>
      <w:r/>
    </w:p>
    <w:p>
      <w:pPr>
        <w:ind w:left="154" w:right="96" w:hanging="19"/>
        <w:spacing w:before="94" w:line="282" w:lineRule="auto"/>
        <w:rPr>
          <w:rFonts w:ascii="FangSong" w:hAnsi="FangSong" w:eastAsia="FangSong" w:cs="FangSong"/>
          <w:sz w:val="29"/>
          <w:szCs w:val="29"/>
        </w:rPr>
      </w:pPr>
      <w:r>
        <w:rPr>
          <w:rFonts w:ascii="FangSong" w:hAnsi="FangSong" w:eastAsia="FangSong" w:cs="FangSong"/>
          <w:sz w:val="29"/>
          <w:szCs w:val="29"/>
          <w:spacing w:val="27"/>
        </w:rPr>
        <w:t>负责人、直接负责的主管人员和其他直接责任人员依法给予开除处分，由原</w:t>
      </w:r>
      <w:r>
        <w:rPr>
          <w:rFonts w:ascii="FangSong" w:hAnsi="FangSong" w:eastAsia="FangSong" w:cs="FangSong"/>
          <w:sz w:val="29"/>
          <w:szCs w:val="29"/>
          <w:spacing w:val="26"/>
        </w:rPr>
        <w:t>发证部门吊销负有责任的</w:t>
      </w:r>
      <w:r>
        <w:rPr>
          <w:rFonts w:ascii="FangSong" w:hAnsi="FangSong" w:eastAsia="FangSong" w:cs="FangSong"/>
          <w:sz w:val="29"/>
          <w:szCs w:val="29"/>
        </w:rPr>
        <w:t xml:space="preserve"> </w:t>
      </w:r>
      <w:r>
        <w:rPr>
          <w:rFonts w:ascii="FangSong" w:hAnsi="FangSong" w:eastAsia="FangSong" w:cs="FangSong"/>
          <w:sz w:val="29"/>
          <w:szCs w:val="29"/>
          <w:spacing w:val="20"/>
        </w:rPr>
        <w:t>医疗卫生人员的执业证书：</w:t>
      </w:r>
    </w:p>
    <w:p>
      <w:pPr>
        <w:ind w:left="925"/>
        <w:spacing w:before="12" w:line="220" w:lineRule="auto"/>
        <w:rPr>
          <w:rFonts w:ascii="FangSong" w:hAnsi="FangSong" w:eastAsia="FangSong" w:cs="FangSong"/>
          <w:sz w:val="29"/>
          <w:szCs w:val="29"/>
        </w:rPr>
      </w:pPr>
      <w:r>
        <w:rPr>
          <w:rFonts w:ascii="FangSong" w:hAnsi="FangSong" w:eastAsia="FangSong" w:cs="FangSong"/>
          <w:sz w:val="29"/>
          <w:szCs w:val="29"/>
          <w:spacing w:val="31"/>
        </w:rPr>
        <w:t>(一)接种疫苗未遵守预防接种工作规范、免疫程序、疫苗使用指导原则、接种方案；</w:t>
      </w:r>
    </w:p>
    <w:p>
      <w:pPr>
        <w:ind w:left="6529"/>
        <w:spacing w:before="83" w:line="221" w:lineRule="auto"/>
        <w:rPr>
          <w:rFonts w:ascii="SimHei" w:hAnsi="SimHei" w:eastAsia="SimHei" w:cs="SimHei"/>
          <w:sz w:val="29"/>
          <w:szCs w:val="29"/>
        </w:rPr>
      </w:pPr>
      <w:r>
        <w:rPr>
          <w:rFonts w:ascii="SimHei" w:hAnsi="SimHei" w:eastAsia="SimHei" w:cs="SimHei"/>
          <w:sz w:val="29"/>
          <w:szCs w:val="29"/>
          <w:b/>
          <w:bCs/>
          <w:spacing w:val="-6"/>
        </w:rPr>
        <w:t>裁量标准</w:t>
      </w:r>
    </w:p>
    <w:p>
      <w:pPr>
        <w:spacing w:line="162" w:lineRule="exact"/>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74"/>
        <w:gridCol w:w="7205"/>
        <w:gridCol w:w="5381"/>
      </w:tblGrid>
      <w:tr>
        <w:trPr>
          <w:trHeight w:val="853" w:hRule="atLeast"/>
        </w:trPr>
        <w:tc>
          <w:tcPr>
            <w:tcW w:w="1574" w:type="dxa"/>
            <w:vAlign w:val="top"/>
          </w:tcPr>
          <w:p>
            <w:pPr>
              <w:pStyle w:val="TableText"/>
              <w:ind w:left="198"/>
              <w:spacing w:before="18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7205" w:type="dxa"/>
            <w:vAlign w:val="top"/>
          </w:tcPr>
          <w:p>
            <w:pPr>
              <w:pStyle w:val="TableText"/>
              <w:ind w:left="3114"/>
              <w:spacing w:before="202" w:line="220" w:lineRule="auto"/>
              <w:rPr/>
            </w:pPr>
            <w:r>
              <w:rPr>
                <w:b/>
                <w:bCs/>
                <w:spacing w:val="-5"/>
              </w:rPr>
              <w:t>情节后果</w:t>
            </w:r>
          </w:p>
        </w:tc>
        <w:tc>
          <w:tcPr>
            <w:tcW w:w="5381" w:type="dxa"/>
            <w:vAlign w:val="top"/>
          </w:tcPr>
          <w:p>
            <w:pPr>
              <w:pStyle w:val="TableText"/>
              <w:ind w:left="2119"/>
              <w:spacing w:before="19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068" w:hRule="atLeast"/>
        </w:trPr>
        <w:tc>
          <w:tcPr>
            <w:tcW w:w="1574" w:type="dxa"/>
            <w:vAlign w:val="top"/>
          </w:tcPr>
          <w:p>
            <w:pPr>
              <w:pStyle w:val="TableText"/>
              <w:ind w:left="538"/>
              <w:spacing w:before="298" w:line="219" w:lineRule="auto"/>
              <w:rPr/>
            </w:pPr>
            <w:r>
              <w:rPr>
                <w:b/>
                <w:bCs/>
                <w:spacing w:val="-5"/>
              </w:rPr>
              <w:t>较轻</w:t>
            </w:r>
          </w:p>
        </w:tc>
        <w:tc>
          <w:tcPr>
            <w:tcW w:w="7205" w:type="dxa"/>
            <w:vAlign w:val="top"/>
          </w:tcPr>
          <w:p>
            <w:pPr>
              <w:pStyle w:val="TableText"/>
              <w:ind w:left="129" w:hanging="118"/>
              <w:spacing w:before="101" w:line="325" w:lineRule="auto"/>
              <w:rPr/>
            </w:pPr>
            <w:r>
              <w:rPr>
                <w:spacing w:val="-1"/>
              </w:rPr>
              <w:t>接种疫苗未遵守预防接种工作规范、免疫程序、疫苗使用指导原则、</w:t>
            </w:r>
            <w:r>
              <w:rPr>
                <w:spacing w:val="12"/>
              </w:rPr>
              <w:t xml:space="preserve"> </w:t>
            </w:r>
            <w:r>
              <w:rPr>
                <w:spacing w:val="-4"/>
              </w:rPr>
              <w:t>接种方案，违法所得不足五万元。</w:t>
            </w:r>
          </w:p>
        </w:tc>
        <w:tc>
          <w:tcPr>
            <w:tcW w:w="5381" w:type="dxa"/>
            <w:vAlign w:val="top"/>
          </w:tcPr>
          <w:p>
            <w:pPr>
              <w:pStyle w:val="TableText"/>
              <w:ind w:left="105"/>
              <w:spacing w:before="299" w:line="218" w:lineRule="auto"/>
              <w:rPr/>
            </w:pPr>
            <w:r>
              <w:rPr/>
              <w:t>给予警告，没收违法所得。</w:t>
            </w:r>
          </w:p>
        </w:tc>
      </w:tr>
      <w:tr>
        <w:trPr>
          <w:trHeight w:val="1418" w:hRule="atLeast"/>
        </w:trPr>
        <w:tc>
          <w:tcPr>
            <w:tcW w:w="1574"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pStyle w:val="TableText"/>
              <w:ind w:left="538"/>
              <w:spacing w:before="78" w:line="221" w:lineRule="auto"/>
              <w:rPr/>
            </w:pPr>
            <w:r>
              <w:rPr>
                <w:b/>
                <w:bCs/>
                <w:spacing w:val="-10"/>
              </w:rPr>
              <w:t>一般</w:t>
            </w:r>
          </w:p>
        </w:tc>
        <w:tc>
          <w:tcPr>
            <w:tcW w:w="7205" w:type="dxa"/>
            <w:vAlign w:val="top"/>
          </w:tcPr>
          <w:p>
            <w:pPr>
              <w:pStyle w:val="TableText"/>
              <w:ind w:left="119" w:hanging="108"/>
              <w:spacing w:before="282" w:line="310" w:lineRule="auto"/>
              <w:rPr/>
            </w:pPr>
            <w:r>
              <w:rPr>
                <w:spacing w:val="-1"/>
              </w:rPr>
              <w:t>接种疫苗未遵守预防接种工作规范、免疫程序、疫苗使用指导原则、</w:t>
            </w:r>
            <w:r>
              <w:rPr>
                <w:spacing w:val="12"/>
              </w:rPr>
              <w:t xml:space="preserve"> </w:t>
            </w:r>
            <w:r>
              <w:rPr>
                <w:spacing w:val="4"/>
              </w:rPr>
              <w:t>接种方案，违法所得五至十万元；</w:t>
            </w:r>
          </w:p>
        </w:tc>
        <w:tc>
          <w:tcPr>
            <w:tcW w:w="5381" w:type="dxa"/>
            <w:vAlign w:val="top"/>
          </w:tcPr>
          <w:p>
            <w:pPr>
              <w:pStyle w:val="TableText"/>
              <w:ind w:left="105" w:right="206" w:firstLine="119"/>
              <w:spacing w:before="101" w:line="296" w:lineRule="auto"/>
              <w:rPr/>
            </w:pPr>
            <w:r>
              <w:rPr/>
              <w:t>(1)给予警告，没收违法所得，责令负有责任的</w:t>
            </w:r>
            <w:r>
              <w:rPr>
                <w:spacing w:val="17"/>
              </w:rPr>
              <w:t xml:space="preserve"> </w:t>
            </w:r>
            <w:r>
              <w:rPr/>
              <w:t>医疗卫生人员暂停一年以上十五个月以下执业活</w:t>
            </w:r>
          </w:p>
          <w:p>
            <w:pPr>
              <w:pStyle w:val="TableText"/>
              <w:ind w:left="105"/>
              <w:spacing w:before="3" w:line="220" w:lineRule="auto"/>
              <w:rPr/>
            </w:pPr>
            <w:r>
              <w:rPr>
                <w:color w:val="405050"/>
                <w:spacing w:val="-6"/>
              </w:rPr>
              <w:t>动</w:t>
            </w:r>
            <w:r>
              <w:rPr>
                <w:color w:val="405050"/>
                <w:spacing w:val="67"/>
              </w:rPr>
              <w:t xml:space="preserve"> </w:t>
            </w:r>
            <w:r>
              <w:rPr>
                <w:color w:val="405050"/>
                <w:spacing w:val="-6"/>
              </w:rPr>
              <w:t>；</w:t>
            </w:r>
          </w:p>
        </w:tc>
      </w:tr>
      <w:tr>
        <w:trPr>
          <w:trHeight w:val="1418" w:hRule="atLeast"/>
        </w:trPr>
        <w:tc>
          <w:tcPr>
            <w:tcW w:w="1574" w:type="dxa"/>
            <w:vAlign w:val="top"/>
            <w:vMerge w:val="continue"/>
            <w:tcBorders>
              <w:top w:val="nil"/>
            </w:tcBorders>
          </w:tcPr>
          <w:p>
            <w:pPr>
              <w:rPr>
                <w:rFonts w:ascii="Arial"/>
                <w:sz w:val="21"/>
              </w:rPr>
            </w:pPr>
            <w:r/>
          </w:p>
        </w:tc>
        <w:tc>
          <w:tcPr>
            <w:tcW w:w="7205" w:type="dxa"/>
            <w:vAlign w:val="top"/>
          </w:tcPr>
          <w:p>
            <w:pPr>
              <w:pStyle w:val="TableText"/>
              <w:ind w:left="122" w:hanging="108"/>
              <w:spacing w:before="282" w:line="302" w:lineRule="auto"/>
              <w:rPr/>
            </w:pPr>
            <w:r>
              <w:rPr>
                <w:b/>
                <w:bCs/>
                <w:spacing w:val="-3"/>
              </w:rPr>
              <w:t>接种疫苗未遵守预防接种工作规范、免疫程序、疫苗</w:t>
            </w:r>
            <w:r>
              <w:rPr>
                <w:b/>
                <w:bCs/>
                <w:spacing w:val="-4"/>
              </w:rPr>
              <w:t>使用指导原则、</w:t>
            </w:r>
            <w:r>
              <w:rPr/>
              <w:t xml:space="preserve"> </w:t>
            </w:r>
            <w:r>
              <w:rPr>
                <w:b/>
                <w:bCs/>
                <w:spacing w:val="-7"/>
              </w:rPr>
              <w:t>接种方案，违法所得超过十万元。</w:t>
            </w:r>
          </w:p>
        </w:tc>
        <w:tc>
          <w:tcPr>
            <w:tcW w:w="5381" w:type="dxa"/>
            <w:vAlign w:val="top"/>
          </w:tcPr>
          <w:p>
            <w:pPr>
              <w:pStyle w:val="TableText"/>
              <w:ind w:left="105" w:right="194" w:firstLine="110"/>
              <w:spacing w:before="64" w:line="314" w:lineRule="auto"/>
              <w:jc w:val="both"/>
              <w:rPr/>
            </w:pPr>
            <w:r>
              <w:rPr/>
              <w:t>(2)给予警告，没收违法所得，责令负有责任的</w:t>
            </w:r>
            <w:r>
              <w:rPr>
                <w:spacing w:val="17"/>
              </w:rPr>
              <w:t xml:space="preserve"> </w:t>
            </w:r>
            <w:r>
              <w:rPr>
                <w:spacing w:val="1"/>
              </w:rPr>
              <w:t>医疗卫生人员暂停十五个月以上十八个月以下执</w:t>
            </w:r>
            <w:r>
              <w:rPr>
                <w:spacing w:val="8"/>
              </w:rPr>
              <w:t xml:space="preserve"> </w:t>
            </w:r>
            <w:r>
              <w:rPr/>
              <w:t>业活动。</w:t>
            </w:r>
          </w:p>
        </w:tc>
      </w:tr>
      <w:tr>
        <w:trPr>
          <w:trHeight w:val="1423" w:hRule="atLeast"/>
        </w:trPr>
        <w:tc>
          <w:tcPr>
            <w:tcW w:w="1574" w:type="dxa"/>
            <w:vAlign w:val="top"/>
          </w:tcPr>
          <w:p>
            <w:pPr>
              <w:spacing w:line="257" w:lineRule="auto"/>
              <w:rPr>
                <w:rFonts w:ascii="Arial"/>
                <w:sz w:val="21"/>
              </w:rPr>
            </w:pPr>
            <w:r/>
          </w:p>
          <w:p>
            <w:pPr>
              <w:spacing w:line="257" w:lineRule="auto"/>
              <w:rPr>
                <w:rFonts w:ascii="Arial"/>
                <w:sz w:val="21"/>
              </w:rPr>
            </w:pPr>
            <w:r/>
          </w:p>
          <w:p>
            <w:pPr>
              <w:pStyle w:val="TableText"/>
              <w:ind w:left="538"/>
              <w:spacing w:before="78" w:line="220" w:lineRule="auto"/>
              <w:rPr/>
            </w:pPr>
            <w:r>
              <w:rPr>
                <w:b/>
                <w:bCs/>
                <w:spacing w:val="-6"/>
              </w:rPr>
              <w:t>严重</w:t>
            </w:r>
          </w:p>
        </w:tc>
        <w:tc>
          <w:tcPr>
            <w:tcW w:w="7205" w:type="dxa"/>
            <w:vAlign w:val="top"/>
          </w:tcPr>
          <w:p>
            <w:pPr>
              <w:pStyle w:val="TableText"/>
              <w:ind w:left="119" w:hanging="108"/>
              <w:spacing w:before="268" w:line="348" w:lineRule="auto"/>
              <w:rPr/>
            </w:pPr>
            <w:r>
              <w:rPr>
                <w:spacing w:val="-1"/>
              </w:rPr>
              <w:t>接种疫苗未遵守预防接种工作规范、免疫程序、疫苗使用指导原则、</w:t>
            </w:r>
            <w:r>
              <w:rPr>
                <w:spacing w:val="12"/>
              </w:rPr>
              <w:t xml:space="preserve"> </w:t>
            </w:r>
            <w:r>
              <w:rPr>
                <w:spacing w:val="-4"/>
              </w:rPr>
              <w:t>接种方案，导致接种疫苗后造成人员伤残或死亡等严重后果。</w:t>
            </w:r>
          </w:p>
        </w:tc>
        <w:tc>
          <w:tcPr>
            <w:tcW w:w="5381" w:type="dxa"/>
            <w:vAlign w:val="top"/>
          </w:tcPr>
          <w:p>
            <w:pPr>
              <w:pStyle w:val="TableText"/>
              <w:ind w:left="125" w:hanging="20"/>
              <w:spacing w:before="255" w:line="364" w:lineRule="auto"/>
              <w:rPr/>
            </w:pPr>
            <w:r>
              <w:rPr>
                <w:spacing w:val="-1"/>
              </w:rPr>
              <w:t>给予警告，没收违法所得，由原发证部门吊销负有</w:t>
            </w:r>
            <w:r>
              <w:rPr>
                <w:spacing w:val="6"/>
              </w:rPr>
              <w:t xml:space="preserve"> </w:t>
            </w:r>
            <w:r>
              <w:rPr>
                <w:spacing w:val="-1"/>
              </w:rPr>
              <w:t>责任的医疗卫生人员的执业证书。</w:t>
            </w:r>
          </w:p>
        </w:tc>
      </w:tr>
    </w:tbl>
    <w:p>
      <w:pPr>
        <w:pStyle w:val="BodyText"/>
        <w:rPr/>
      </w:pPr>
      <w:r/>
    </w:p>
    <w:p>
      <w:pPr>
        <w:sectPr>
          <w:footerReference w:type="default" r:id="rId113"/>
          <w:pgSz w:w="16830" w:h="11900"/>
          <w:pgMar w:top="1011" w:right="1344" w:bottom="1093" w:left="1314" w:header="0" w:footer="759" w:gutter="0"/>
        </w:sectPr>
        <w:rPr/>
      </w:pPr>
    </w:p>
    <w:p>
      <w:pPr>
        <w:pStyle w:val="BodyText"/>
        <w:spacing w:line="256" w:lineRule="auto"/>
        <w:rPr/>
      </w:pPr>
      <w:r/>
    </w:p>
    <w:p>
      <w:pPr>
        <w:pStyle w:val="BodyText"/>
        <w:spacing w:line="256" w:lineRule="auto"/>
        <w:rPr/>
      </w:pPr>
      <w:r/>
    </w:p>
    <w:p>
      <w:pPr>
        <w:pStyle w:val="BodyText"/>
        <w:spacing w:line="256" w:lineRule="auto"/>
        <w:rPr/>
      </w:pPr>
      <w:r/>
    </w:p>
    <w:p>
      <w:pPr>
        <w:ind w:left="789"/>
        <w:spacing w:before="97" w:line="220" w:lineRule="auto"/>
        <w:rPr>
          <w:rFonts w:ascii="FangSong" w:hAnsi="FangSong" w:eastAsia="FangSong" w:cs="FangSong"/>
          <w:sz w:val="30"/>
          <w:szCs w:val="30"/>
        </w:rPr>
      </w:pPr>
      <w:bookmarkStart w:name="bookmark778" w:id="69"/>
      <w:bookmarkEnd w:id="69"/>
      <w:r>
        <w:rPr>
          <w:rFonts w:ascii="FangSong" w:hAnsi="FangSong" w:eastAsia="FangSong" w:cs="FangSong"/>
          <w:sz w:val="30"/>
          <w:szCs w:val="30"/>
          <w:b/>
          <w:bCs/>
          <w:spacing w:val="22"/>
        </w:rPr>
        <w:t>第三十八条疾病预防控制机构、接种单位擅自进行群体性预防接种</w:t>
      </w:r>
    </w:p>
    <w:p>
      <w:pPr>
        <w:ind w:left="785"/>
        <w:spacing w:before="110" w:line="222" w:lineRule="auto"/>
        <w:rPr>
          <w:rFonts w:ascii="FangSong" w:hAnsi="FangSong" w:eastAsia="FangSong" w:cs="FangSong"/>
          <w:sz w:val="30"/>
          <w:szCs w:val="30"/>
        </w:rPr>
      </w:pPr>
      <w:r>
        <w:rPr>
          <w:rFonts w:ascii="FangSong" w:hAnsi="FangSong" w:eastAsia="FangSong" w:cs="FangSong"/>
          <w:sz w:val="30"/>
          <w:szCs w:val="30"/>
          <w:spacing w:val="7"/>
        </w:rPr>
        <w:t>法律依据</w:t>
      </w:r>
    </w:p>
    <w:p>
      <w:pPr>
        <w:ind w:left="124" w:right="97" w:firstLine="630"/>
        <w:spacing w:before="78" w:line="265" w:lineRule="auto"/>
        <w:rPr>
          <w:rFonts w:ascii="FangSong" w:hAnsi="FangSong" w:eastAsia="FangSong" w:cs="FangSong"/>
          <w:sz w:val="30"/>
          <w:szCs w:val="30"/>
        </w:rPr>
      </w:pPr>
      <w:r>
        <w:rPr>
          <w:rFonts w:ascii="FangSong" w:hAnsi="FangSong" w:eastAsia="FangSong" w:cs="FangSong"/>
          <w:sz w:val="30"/>
          <w:szCs w:val="30"/>
          <w:spacing w:val="26"/>
        </w:rPr>
        <w:t>《中华人民共和国疫苗管理法》第八十七条第(三)项</w:t>
      </w:r>
      <w:r>
        <w:rPr>
          <w:rFonts w:ascii="FangSong" w:hAnsi="FangSong" w:eastAsia="FangSong" w:cs="FangSong"/>
          <w:sz w:val="30"/>
          <w:szCs w:val="30"/>
          <w:spacing w:val="26"/>
        </w:rPr>
        <w:t xml:space="preserve">   </w:t>
      </w:r>
      <w:r>
        <w:rPr>
          <w:rFonts w:ascii="FangSong" w:hAnsi="FangSong" w:eastAsia="FangSong" w:cs="FangSong"/>
          <w:sz w:val="30"/>
          <w:szCs w:val="30"/>
          <w:spacing w:val="26"/>
        </w:rPr>
        <w:t>违反本法规定，疾病预防控制机构、</w:t>
      </w:r>
      <w:r>
        <w:rPr>
          <w:rFonts w:ascii="FangSong" w:hAnsi="FangSong" w:eastAsia="FangSong" w:cs="FangSong"/>
          <w:sz w:val="30"/>
          <w:szCs w:val="30"/>
          <w:spacing w:val="10"/>
        </w:rPr>
        <w:t xml:space="preserve"> </w:t>
      </w:r>
      <w:r>
        <w:rPr>
          <w:rFonts w:ascii="FangSong" w:hAnsi="FangSong" w:eastAsia="FangSong" w:cs="FangSong"/>
          <w:sz w:val="30"/>
          <w:szCs w:val="30"/>
          <w:spacing w:val="16"/>
        </w:rPr>
        <w:t>接种单位有下列情形之一的，由县级以上人民政府卫生健康主管部门责令改正，给予警告，没收违法</w:t>
      </w:r>
      <w:r>
        <w:rPr>
          <w:rFonts w:ascii="FangSong" w:hAnsi="FangSong" w:eastAsia="FangSong" w:cs="FangSong"/>
          <w:sz w:val="30"/>
          <w:szCs w:val="30"/>
          <w:spacing w:val="14"/>
        </w:rPr>
        <w:t xml:space="preserve"> </w:t>
      </w:r>
      <w:r>
        <w:rPr>
          <w:rFonts w:ascii="FangSong" w:hAnsi="FangSong" w:eastAsia="FangSong" w:cs="FangSong"/>
          <w:sz w:val="30"/>
          <w:szCs w:val="30"/>
          <w:spacing w:val="17"/>
        </w:rPr>
        <w:t>所得；情节严重的，对主要负责人、直接负责的主管人员和其他直接责任人员依法给予警告直至</w:t>
      </w:r>
      <w:r>
        <w:rPr>
          <w:rFonts w:ascii="FangSong" w:hAnsi="FangSong" w:eastAsia="FangSong" w:cs="FangSong"/>
          <w:sz w:val="30"/>
          <w:szCs w:val="30"/>
          <w:spacing w:val="16"/>
        </w:rPr>
        <w:t>撤职</w:t>
      </w:r>
      <w:r>
        <w:rPr>
          <w:rFonts w:ascii="FangSong" w:hAnsi="FangSong" w:eastAsia="FangSong" w:cs="FangSong"/>
          <w:sz w:val="30"/>
          <w:szCs w:val="30"/>
        </w:rPr>
        <w:t xml:space="preserve"> </w:t>
      </w:r>
      <w:r>
        <w:rPr>
          <w:rFonts w:ascii="FangSong" w:hAnsi="FangSong" w:eastAsia="FangSong" w:cs="FangSong"/>
          <w:sz w:val="30"/>
          <w:szCs w:val="30"/>
          <w:spacing w:val="16"/>
        </w:rPr>
        <w:t>处分，责令负有责任的医疗卫生人员暂停一年以上十八个月以下执业活动；造成严重后果的，对主要</w:t>
      </w:r>
      <w:r>
        <w:rPr>
          <w:rFonts w:ascii="FangSong" w:hAnsi="FangSong" w:eastAsia="FangSong" w:cs="FangSong"/>
          <w:sz w:val="30"/>
          <w:szCs w:val="30"/>
          <w:spacing w:val="18"/>
        </w:rPr>
        <w:t xml:space="preserve"> </w:t>
      </w:r>
      <w:r>
        <w:rPr>
          <w:rFonts w:ascii="FangSong" w:hAnsi="FangSong" w:eastAsia="FangSong" w:cs="FangSong"/>
          <w:sz w:val="30"/>
          <w:szCs w:val="30"/>
          <w:spacing w:val="17"/>
        </w:rPr>
        <w:t>负责人、直接负责的主管人员和其他直接责任人员依法</w:t>
      </w:r>
      <w:r>
        <w:rPr>
          <w:rFonts w:ascii="FangSong" w:hAnsi="FangSong" w:eastAsia="FangSong" w:cs="FangSong"/>
          <w:sz w:val="30"/>
          <w:szCs w:val="30"/>
          <w:spacing w:val="16"/>
        </w:rPr>
        <w:t>给予开除处分，由原发证部门吊销负有责任的</w:t>
      </w:r>
      <w:r>
        <w:rPr>
          <w:rFonts w:ascii="FangSong" w:hAnsi="FangSong" w:eastAsia="FangSong" w:cs="FangSong"/>
          <w:sz w:val="30"/>
          <w:szCs w:val="30"/>
        </w:rPr>
        <w:t xml:space="preserve"> </w:t>
      </w:r>
      <w:r>
        <w:rPr>
          <w:rFonts w:ascii="FangSong" w:hAnsi="FangSong" w:eastAsia="FangSong" w:cs="FangSong"/>
          <w:sz w:val="30"/>
          <w:szCs w:val="30"/>
          <w:spacing w:val="14"/>
        </w:rPr>
        <w:t>医疗卫生人员的执业证书：</w:t>
      </w:r>
    </w:p>
    <w:p>
      <w:pPr>
        <w:ind w:left="935"/>
        <w:spacing w:before="63" w:line="220" w:lineRule="auto"/>
        <w:rPr>
          <w:rFonts w:ascii="FangSong" w:hAnsi="FangSong" w:eastAsia="FangSong" w:cs="FangSong"/>
          <w:sz w:val="30"/>
          <w:szCs w:val="30"/>
        </w:rPr>
      </w:pPr>
      <w:r>
        <w:rPr>
          <w:rFonts w:ascii="FangSong" w:hAnsi="FangSong" w:eastAsia="FangSong" w:cs="FangSong"/>
          <w:sz w:val="30"/>
          <w:szCs w:val="30"/>
          <w:spacing w:val="27"/>
        </w:rPr>
        <w:t>(三)擅自进行群体性预防接种。</w:t>
      </w:r>
    </w:p>
    <w:p>
      <w:pPr>
        <w:ind w:left="6529"/>
        <w:spacing w:before="51"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81" w:lineRule="exact"/>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14"/>
        <w:gridCol w:w="6465"/>
        <w:gridCol w:w="5381"/>
      </w:tblGrid>
      <w:tr>
        <w:trPr>
          <w:trHeight w:val="643" w:hRule="atLeast"/>
        </w:trPr>
        <w:tc>
          <w:tcPr>
            <w:tcW w:w="2314" w:type="dxa"/>
            <w:vAlign w:val="top"/>
          </w:tcPr>
          <w:p>
            <w:pPr>
              <w:pStyle w:val="TableText"/>
              <w:ind w:left="568"/>
              <w:spacing w:before="20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6465" w:type="dxa"/>
            <w:vAlign w:val="top"/>
          </w:tcPr>
          <w:p>
            <w:pPr>
              <w:pStyle w:val="TableText"/>
              <w:ind w:left="2654"/>
              <w:spacing w:before="202" w:line="220" w:lineRule="auto"/>
              <w:rPr/>
            </w:pPr>
            <w:r>
              <w:rPr>
                <w:b/>
                <w:bCs/>
                <w:spacing w:val="-5"/>
              </w:rPr>
              <w:t>情节后果</w:t>
            </w:r>
          </w:p>
        </w:tc>
        <w:tc>
          <w:tcPr>
            <w:tcW w:w="5381" w:type="dxa"/>
            <w:vAlign w:val="top"/>
          </w:tcPr>
          <w:p>
            <w:pPr>
              <w:pStyle w:val="TableText"/>
              <w:ind w:left="2209"/>
              <w:spacing w:before="199" w:line="218" w:lineRule="auto"/>
              <w:rPr/>
            </w:pPr>
            <w:r>
              <w:rPr>
                <w:b/>
                <w:bCs/>
                <w:spacing w:val="-5"/>
              </w:rPr>
              <w:t>裁量幅度</w:t>
            </w:r>
          </w:p>
        </w:tc>
      </w:tr>
      <w:tr>
        <w:trPr>
          <w:trHeight w:val="788" w:hRule="atLeast"/>
        </w:trPr>
        <w:tc>
          <w:tcPr>
            <w:tcW w:w="2314" w:type="dxa"/>
            <w:vAlign w:val="top"/>
          </w:tcPr>
          <w:p>
            <w:pPr>
              <w:pStyle w:val="TableText"/>
              <w:ind w:left="94"/>
              <w:spacing w:before="162" w:line="219" w:lineRule="auto"/>
              <w:rPr/>
            </w:pPr>
            <w:r>
              <w:rPr>
                <w:spacing w:val="-3"/>
              </w:rPr>
              <w:t>较轻</w:t>
            </w:r>
          </w:p>
        </w:tc>
        <w:tc>
          <w:tcPr>
            <w:tcW w:w="6465" w:type="dxa"/>
            <w:vAlign w:val="top"/>
          </w:tcPr>
          <w:p>
            <w:pPr>
              <w:pStyle w:val="TableText"/>
              <w:ind w:left="111"/>
              <w:spacing w:before="182" w:line="219" w:lineRule="auto"/>
              <w:rPr/>
            </w:pPr>
            <w:r>
              <w:rPr>
                <w:spacing w:val="-1"/>
              </w:rPr>
              <w:t>擅自进行群体性预防接种不足三十人次。</w:t>
            </w:r>
          </w:p>
        </w:tc>
        <w:tc>
          <w:tcPr>
            <w:tcW w:w="5381" w:type="dxa"/>
            <w:vAlign w:val="top"/>
          </w:tcPr>
          <w:p>
            <w:pPr>
              <w:pStyle w:val="TableText"/>
              <w:ind w:left="96"/>
              <w:spacing w:before="179" w:line="218" w:lineRule="auto"/>
              <w:rPr/>
            </w:pPr>
            <w:r>
              <w:rPr>
                <w:spacing w:val="-1"/>
              </w:rPr>
              <w:t>给予警告，没收违法所得。</w:t>
            </w:r>
          </w:p>
        </w:tc>
      </w:tr>
      <w:tr>
        <w:trPr>
          <w:trHeight w:val="1097" w:hRule="atLeast"/>
        </w:trPr>
        <w:tc>
          <w:tcPr>
            <w:tcW w:w="2314" w:type="dxa"/>
            <w:vAlign w:val="top"/>
            <w:vMerge w:val="restart"/>
            <w:tcBorders>
              <w:bottom w:val="nil"/>
            </w:tcBorders>
          </w:tcPr>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pStyle w:val="TableText"/>
              <w:ind w:left="94"/>
              <w:spacing w:before="78" w:line="221" w:lineRule="auto"/>
              <w:rPr/>
            </w:pPr>
            <w:r>
              <w:rPr>
                <w:spacing w:val="5"/>
              </w:rPr>
              <w:t>一般</w:t>
            </w:r>
          </w:p>
        </w:tc>
        <w:tc>
          <w:tcPr>
            <w:tcW w:w="6465" w:type="dxa"/>
            <w:vAlign w:val="top"/>
          </w:tcPr>
          <w:p>
            <w:pPr>
              <w:spacing w:line="244" w:lineRule="auto"/>
              <w:rPr>
                <w:rFonts w:ascii="Arial"/>
                <w:sz w:val="21"/>
              </w:rPr>
            </w:pPr>
            <w:r/>
          </w:p>
          <w:p>
            <w:pPr>
              <w:pStyle w:val="TableText"/>
              <w:ind w:left="111"/>
              <w:spacing w:before="78" w:line="219" w:lineRule="auto"/>
              <w:rPr/>
            </w:pPr>
            <w:r>
              <w:rPr>
                <w:spacing w:val="6"/>
              </w:rPr>
              <w:t>擅自进行群体性预防接种三十至五十人次；</w:t>
            </w:r>
          </w:p>
        </w:tc>
        <w:tc>
          <w:tcPr>
            <w:tcW w:w="5381" w:type="dxa"/>
            <w:vAlign w:val="top"/>
          </w:tcPr>
          <w:p>
            <w:pPr>
              <w:pStyle w:val="TableText"/>
              <w:ind w:left="116" w:right="33" w:hanging="70"/>
              <w:spacing w:before="111" w:line="319" w:lineRule="auto"/>
              <w:rPr/>
            </w:pPr>
            <w:r>
              <w:rPr/>
              <w:t>给予警告，没收违法所得，责令负有责任的医疗卫</w:t>
            </w:r>
            <w:r>
              <w:rPr>
                <w:spacing w:val="10"/>
              </w:rPr>
              <w:t xml:space="preserve"> </w:t>
            </w:r>
            <w:r>
              <w:rPr>
                <w:spacing w:val="5"/>
              </w:rPr>
              <w:t>生人员暂停一年以上十五个月以下执业活动；</w:t>
            </w:r>
          </w:p>
        </w:tc>
      </w:tr>
      <w:tr>
        <w:trPr>
          <w:trHeight w:val="1072" w:hRule="atLeast"/>
        </w:trPr>
        <w:tc>
          <w:tcPr>
            <w:tcW w:w="2314" w:type="dxa"/>
            <w:vAlign w:val="top"/>
            <w:vMerge w:val="continue"/>
            <w:tcBorders>
              <w:top w:val="nil"/>
            </w:tcBorders>
          </w:tcPr>
          <w:p>
            <w:pPr>
              <w:rPr>
                <w:rFonts w:ascii="Arial"/>
                <w:sz w:val="21"/>
              </w:rPr>
            </w:pPr>
            <w:r/>
          </w:p>
        </w:tc>
        <w:tc>
          <w:tcPr>
            <w:tcW w:w="6465" w:type="dxa"/>
            <w:vAlign w:val="top"/>
          </w:tcPr>
          <w:p>
            <w:pPr>
              <w:pStyle w:val="TableText"/>
              <w:ind w:left="111"/>
              <w:spacing w:before="317" w:line="219" w:lineRule="auto"/>
              <w:rPr/>
            </w:pPr>
            <w:r>
              <w:rPr>
                <w:spacing w:val="-1"/>
              </w:rPr>
              <w:t>擅自进行群体性预防接种超过五十人次。</w:t>
            </w:r>
          </w:p>
        </w:tc>
        <w:tc>
          <w:tcPr>
            <w:tcW w:w="5381" w:type="dxa"/>
            <w:vAlign w:val="top"/>
          </w:tcPr>
          <w:p>
            <w:pPr>
              <w:pStyle w:val="TableText"/>
              <w:ind w:left="105" w:hanging="59"/>
              <w:spacing w:before="103" w:line="327" w:lineRule="auto"/>
              <w:rPr/>
            </w:pPr>
            <w:r>
              <w:rPr>
                <w:spacing w:val="-1"/>
              </w:rPr>
              <w:t>给予警告，没收违法所得，责令负有责任的医疗卫</w:t>
            </w:r>
            <w:r>
              <w:rPr>
                <w:spacing w:val="17"/>
              </w:rPr>
              <w:t xml:space="preserve"> </w:t>
            </w:r>
            <w:r>
              <w:rPr>
                <w:spacing w:val="-1"/>
              </w:rPr>
              <w:t>生人员暂停十五个月以上十八个月以下执业活动。</w:t>
            </w:r>
          </w:p>
        </w:tc>
      </w:tr>
    </w:tbl>
    <w:p>
      <w:pPr>
        <w:pStyle w:val="BodyText"/>
        <w:rPr/>
      </w:pPr>
      <w:r/>
    </w:p>
    <w:p>
      <w:pPr>
        <w:sectPr>
          <w:footerReference w:type="default" r:id="rId114"/>
          <w:pgSz w:w="16830" w:h="11900"/>
          <w:pgMar w:top="1011" w:right="1344" w:bottom="1113" w:left="1314" w:header="0" w:footer="779" w:gutter="0"/>
        </w:sectPr>
        <w:rPr/>
      </w:pPr>
    </w:p>
    <w:p>
      <w:pPr>
        <w:spacing w:before="23"/>
        <w:rPr/>
      </w:pPr>
      <w:r/>
    </w:p>
    <w:p>
      <w:pPr>
        <w:spacing w:before="23"/>
        <w:rPr/>
      </w:pPr>
      <w:r/>
    </w:p>
    <w:p>
      <w:pPr>
        <w:spacing w:before="23"/>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03"/>
        <w:gridCol w:w="6476"/>
        <w:gridCol w:w="5391"/>
      </w:tblGrid>
      <w:tr>
        <w:trPr>
          <w:trHeight w:val="1269" w:hRule="atLeast"/>
        </w:trPr>
        <w:tc>
          <w:tcPr>
            <w:tcW w:w="2303" w:type="dxa"/>
            <w:vAlign w:val="top"/>
          </w:tcPr>
          <w:p>
            <w:pPr>
              <w:spacing w:line="441" w:lineRule="auto"/>
              <w:rPr>
                <w:rFonts w:ascii="Arial"/>
                <w:sz w:val="21"/>
              </w:rPr>
            </w:pPr>
            <w:r/>
          </w:p>
          <w:p>
            <w:pPr>
              <w:pStyle w:val="TableText"/>
              <w:ind w:left="108"/>
              <w:spacing w:before="78" w:line="220" w:lineRule="auto"/>
              <w:outlineLvl w:val="1"/>
              <w:rPr/>
            </w:pPr>
            <w:bookmarkStart w:name="bookmark779" w:id="70"/>
            <w:bookmarkEnd w:id="70"/>
            <w:bookmarkStart w:name="bookmark186" w:id="71"/>
            <w:bookmarkEnd w:id="71"/>
            <w:r>
              <w:rPr>
                <w:b/>
                <w:bCs/>
                <w:spacing w:val="-6"/>
              </w:rPr>
              <w:t>严重</w:t>
            </w:r>
          </w:p>
        </w:tc>
        <w:tc>
          <w:tcPr>
            <w:tcW w:w="6476" w:type="dxa"/>
            <w:vAlign w:val="top"/>
          </w:tcPr>
          <w:p>
            <w:pPr>
              <w:pStyle w:val="TableText"/>
              <w:ind w:left="122" w:right="92"/>
              <w:spacing w:before="174" w:line="356" w:lineRule="auto"/>
              <w:rPr/>
            </w:pPr>
            <w:r>
              <w:rPr/>
              <w:t>擅自进行群体性预防接种，导致接种疫苗后造成人员伤残或</w:t>
            </w:r>
            <w:r>
              <w:rPr>
                <w:spacing w:val="10"/>
              </w:rPr>
              <w:t xml:space="preserve"> </w:t>
            </w:r>
            <w:r>
              <w:rPr>
                <w:spacing w:val="-1"/>
              </w:rPr>
              <w:t>死亡等严重后果。</w:t>
            </w:r>
          </w:p>
        </w:tc>
        <w:tc>
          <w:tcPr>
            <w:tcW w:w="5391" w:type="dxa"/>
            <w:vAlign w:val="top"/>
          </w:tcPr>
          <w:p>
            <w:pPr>
              <w:pStyle w:val="TableText"/>
              <w:ind w:left="116" w:hanging="20"/>
              <w:spacing w:before="182" w:line="364" w:lineRule="auto"/>
              <w:rPr/>
            </w:pPr>
            <w:r>
              <w:rPr/>
              <w:t>给予警告，没收违法所得，由原发证部门吊销负有</w:t>
            </w:r>
            <w:r>
              <w:rPr>
                <w:spacing w:val="3"/>
              </w:rPr>
              <w:t xml:space="preserve"> </w:t>
            </w:r>
            <w:r>
              <w:rPr>
                <w:spacing w:val="-1"/>
              </w:rPr>
              <w:t>责任的医疗卫生人员的执业证书。</w:t>
            </w:r>
          </w:p>
        </w:tc>
      </w:tr>
    </w:tbl>
    <w:p>
      <w:pPr>
        <w:ind w:left="799"/>
        <w:spacing w:before="98" w:line="221" w:lineRule="auto"/>
        <w:rPr>
          <w:rFonts w:ascii="FangSong" w:hAnsi="FangSong" w:eastAsia="FangSong" w:cs="FangSong"/>
          <w:sz w:val="30"/>
          <w:szCs w:val="30"/>
        </w:rPr>
      </w:pPr>
      <w:r>
        <w:rPr>
          <w:rFonts w:ascii="FangSong" w:hAnsi="FangSong" w:eastAsia="FangSong" w:cs="FangSong"/>
          <w:sz w:val="30"/>
          <w:szCs w:val="30"/>
          <w:b/>
          <w:bCs/>
          <w:spacing w:val="23"/>
        </w:rPr>
        <w:t>第三十九条疾病预防控制机构、接种单位未按照规</w:t>
      </w:r>
      <w:r>
        <w:rPr>
          <w:rFonts w:ascii="FangSong" w:hAnsi="FangSong" w:eastAsia="FangSong" w:cs="FangSong"/>
          <w:sz w:val="30"/>
          <w:szCs w:val="30"/>
          <w:b/>
          <w:bCs/>
          <w:spacing w:val="22"/>
        </w:rPr>
        <w:t>定提供追溯信息</w:t>
      </w:r>
    </w:p>
    <w:p>
      <w:pPr>
        <w:ind w:left="785"/>
        <w:spacing w:before="98" w:line="222" w:lineRule="auto"/>
        <w:rPr>
          <w:rFonts w:ascii="FangSong" w:hAnsi="FangSong" w:eastAsia="FangSong" w:cs="FangSong"/>
          <w:sz w:val="30"/>
          <w:szCs w:val="30"/>
        </w:rPr>
      </w:pPr>
      <w:r>
        <w:rPr>
          <w:rFonts w:ascii="FangSong" w:hAnsi="FangSong" w:eastAsia="FangSong" w:cs="FangSong"/>
          <w:sz w:val="30"/>
          <w:szCs w:val="30"/>
          <w:spacing w:val="7"/>
        </w:rPr>
        <w:t>法律依据</w:t>
      </w:r>
    </w:p>
    <w:p>
      <w:pPr>
        <w:ind w:left="135" w:right="124" w:firstLine="619"/>
        <w:spacing w:before="65" w:line="270" w:lineRule="auto"/>
        <w:rPr>
          <w:rFonts w:ascii="FangSong" w:hAnsi="FangSong" w:eastAsia="FangSong" w:cs="FangSong"/>
          <w:sz w:val="30"/>
          <w:szCs w:val="30"/>
        </w:rPr>
      </w:pPr>
      <w:r>
        <w:rPr>
          <w:rFonts w:ascii="FangSong" w:hAnsi="FangSong" w:eastAsia="FangSong" w:cs="FangSong"/>
          <w:sz w:val="30"/>
          <w:szCs w:val="30"/>
          <w:spacing w:val="26"/>
        </w:rPr>
        <w:t>《中华人民共和国疫苗管理法》第八十八条第(一)项</w:t>
      </w:r>
      <w:r>
        <w:rPr>
          <w:rFonts w:ascii="FangSong" w:hAnsi="FangSong" w:eastAsia="FangSong" w:cs="FangSong"/>
          <w:sz w:val="30"/>
          <w:szCs w:val="30"/>
          <w:spacing w:val="26"/>
        </w:rPr>
        <w:t xml:space="preserve">   </w:t>
      </w:r>
      <w:r>
        <w:rPr>
          <w:rFonts w:ascii="FangSong" w:hAnsi="FangSong" w:eastAsia="FangSong" w:cs="FangSong"/>
          <w:sz w:val="30"/>
          <w:szCs w:val="30"/>
          <w:spacing w:val="26"/>
        </w:rPr>
        <w:t>违反本法规定，疾病预防控制机构、</w:t>
      </w:r>
      <w:r>
        <w:rPr>
          <w:rFonts w:ascii="FangSong" w:hAnsi="FangSong" w:eastAsia="FangSong" w:cs="FangSong"/>
          <w:sz w:val="30"/>
          <w:szCs w:val="30"/>
          <w:spacing w:val="10"/>
        </w:rPr>
        <w:t xml:space="preserve"> </w:t>
      </w:r>
      <w:r>
        <w:rPr>
          <w:rFonts w:ascii="FangSong" w:hAnsi="FangSong" w:eastAsia="FangSong" w:cs="FangSong"/>
          <w:sz w:val="30"/>
          <w:szCs w:val="30"/>
          <w:spacing w:val="16"/>
        </w:rPr>
        <w:t>接种单位有下列情形之一的，由县级以上人民政府卫生健康主管部门责令改正，给予警告；情节严重</w:t>
      </w:r>
      <w:r>
        <w:rPr>
          <w:rFonts w:ascii="FangSong" w:hAnsi="FangSong" w:eastAsia="FangSong" w:cs="FangSong"/>
          <w:sz w:val="30"/>
          <w:szCs w:val="30"/>
          <w:spacing w:val="11"/>
        </w:rPr>
        <w:t xml:space="preserve"> </w:t>
      </w:r>
      <w:r>
        <w:rPr>
          <w:rFonts w:ascii="FangSong" w:hAnsi="FangSong" w:eastAsia="FangSong" w:cs="FangSong"/>
          <w:sz w:val="30"/>
          <w:szCs w:val="30"/>
          <w:spacing w:val="16"/>
        </w:rPr>
        <w:t>的，对主要负责人、直接负责的主管人员和其他直接责任人员依法给予警告直至撤职处分，责令负有</w:t>
      </w:r>
      <w:r>
        <w:rPr>
          <w:rFonts w:ascii="FangSong" w:hAnsi="FangSong" w:eastAsia="FangSong" w:cs="FangSong"/>
          <w:sz w:val="30"/>
          <w:szCs w:val="30"/>
          <w:spacing w:val="15"/>
        </w:rPr>
        <w:t xml:space="preserve"> </w:t>
      </w:r>
      <w:r>
        <w:rPr>
          <w:rFonts w:ascii="FangSong" w:hAnsi="FangSong" w:eastAsia="FangSong" w:cs="FangSong"/>
          <w:sz w:val="30"/>
          <w:szCs w:val="30"/>
          <w:spacing w:val="16"/>
        </w:rPr>
        <w:t>责任的医疗卫生人员暂停六个月以上一年以下执业活动；造成严重后果的，对主要负责人、直接负责</w:t>
      </w:r>
      <w:r>
        <w:rPr>
          <w:rFonts w:ascii="FangSong" w:hAnsi="FangSong" w:eastAsia="FangSong" w:cs="FangSong"/>
          <w:sz w:val="30"/>
          <w:szCs w:val="30"/>
          <w:spacing w:val="11"/>
        </w:rPr>
        <w:t xml:space="preserve"> </w:t>
      </w:r>
      <w:r>
        <w:rPr>
          <w:rFonts w:ascii="FangSong" w:hAnsi="FangSong" w:eastAsia="FangSong" w:cs="FangSong"/>
          <w:sz w:val="30"/>
          <w:szCs w:val="30"/>
          <w:spacing w:val="16"/>
        </w:rPr>
        <w:t>的主管人员和其他直接责任人员依法给予开除处分，由原发证部门吊销负有责任的医疗卫生人员的执</w:t>
      </w:r>
      <w:r>
        <w:rPr>
          <w:rFonts w:ascii="FangSong" w:hAnsi="FangSong" w:eastAsia="FangSong" w:cs="FangSong"/>
          <w:sz w:val="30"/>
          <w:szCs w:val="30"/>
          <w:spacing w:val="9"/>
        </w:rPr>
        <w:t xml:space="preserve"> </w:t>
      </w:r>
      <w:r>
        <w:rPr>
          <w:rFonts w:ascii="FangSong" w:hAnsi="FangSong" w:eastAsia="FangSong" w:cs="FangSong"/>
          <w:sz w:val="30"/>
          <w:szCs w:val="30"/>
          <w:spacing w:val="4"/>
        </w:rPr>
        <w:t>业证书：</w:t>
      </w:r>
    </w:p>
    <w:p>
      <w:pPr>
        <w:ind w:left="935"/>
        <w:spacing w:line="221" w:lineRule="auto"/>
        <w:rPr>
          <w:rFonts w:ascii="FangSong" w:hAnsi="FangSong" w:eastAsia="FangSong" w:cs="FangSong"/>
          <w:sz w:val="30"/>
          <w:szCs w:val="30"/>
        </w:rPr>
      </w:pPr>
      <w:r>
        <w:rPr>
          <w:rFonts w:ascii="FangSong" w:hAnsi="FangSong" w:eastAsia="FangSong" w:cs="FangSong"/>
          <w:sz w:val="30"/>
          <w:szCs w:val="30"/>
          <w:spacing w:val="23"/>
        </w:rPr>
        <w:t>(一)未按照规定提供追溯信息；</w:t>
      </w:r>
    </w:p>
    <w:p>
      <w:pPr>
        <w:ind w:left="6529"/>
        <w:spacing w:before="96"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60" w:lineRule="exact"/>
        <w:rPr/>
      </w:pPr>
      <w:r/>
    </w:p>
    <w:tbl>
      <w:tblPr>
        <w:tblStyle w:val="TableNormal"/>
        <w:tblW w:w="14149"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13"/>
        <w:gridCol w:w="7245"/>
        <w:gridCol w:w="4891"/>
      </w:tblGrid>
      <w:tr>
        <w:trPr>
          <w:trHeight w:val="849" w:hRule="atLeast"/>
        </w:trPr>
        <w:tc>
          <w:tcPr>
            <w:tcW w:w="2013" w:type="dxa"/>
            <w:vAlign w:val="top"/>
          </w:tcPr>
          <w:p>
            <w:pPr>
              <w:pStyle w:val="TableText"/>
              <w:ind w:left="438"/>
              <w:spacing w:before="302" w:line="220" w:lineRule="auto"/>
              <w:rPr>
                <w:sz w:val="25"/>
                <w:szCs w:val="25"/>
              </w:rPr>
            </w:pPr>
            <w:r>
              <w:rPr>
                <w:sz w:val="25"/>
                <w:szCs w:val="25"/>
                <w:b/>
                <w:bCs/>
                <w:spacing w:val="-5"/>
              </w:rPr>
              <w:t>违法程度</w:t>
            </w:r>
          </w:p>
        </w:tc>
        <w:tc>
          <w:tcPr>
            <w:tcW w:w="7245" w:type="dxa"/>
            <w:vAlign w:val="top"/>
          </w:tcPr>
          <w:p>
            <w:pPr>
              <w:pStyle w:val="TableText"/>
              <w:ind w:left="3085"/>
              <w:spacing w:before="182" w:line="220" w:lineRule="auto"/>
              <w:rPr>
                <w:sz w:val="25"/>
                <w:szCs w:val="25"/>
              </w:rPr>
            </w:pPr>
            <w:r>
              <w:rPr>
                <w:sz w:val="25"/>
                <w:szCs w:val="25"/>
                <w:b/>
                <w:bCs/>
                <w:spacing w:val="-5"/>
              </w:rPr>
              <w:t>情节后果</w:t>
            </w:r>
          </w:p>
        </w:tc>
        <w:tc>
          <w:tcPr>
            <w:tcW w:w="4891" w:type="dxa"/>
            <w:vAlign w:val="top"/>
          </w:tcPr>
          <w:p>
            <w:pPr>
              <w:pStyle w:val="TableText"/>
              <w:ind w:left="1890"/>
              <w:spacing w:before="179" w:line="218" w:lineRule="auto"/>
              <w:rPr>
                <w:sz w:val="25"/>
                <w:szCs w:val="25"/>
              </w:rPr>
            </w:pPr>
            <w:r>
              <w:rPr>
                <w:sz w:val="25"/>
                <w:szCs w:val="25"/>
                <w:b/>
                <w:bCs/>
                <w:spacing w:val="-5"/>
              </w:rPr>
              <w:t>裁量幅度</w:t>
            </w:r>
          </w:p>
        </w:tc>
      </w:tr>
      <w:tr>
        <w:trPr>
          <w:trHeight w:val="621" w:hRule="atLeast"/>
        </w:trPr>
        <w:tc>
          <w:tcPr>
            <w:tcW w:w="2013" w:type="dxa"/>
            <w:vAlign w:val="top"/>
          </w:tcPr>
          <w:p>
            <w:pPr>
              <w:pStyle w:val="TableText"/>
              <w:ind w:left="88"/>
              <w:spacing w:before="96" w:line="221" w:lineRule="auto"/>
              <w:rPr>
                <w:sz w:val="25"/>
                <w:szCs w:val="25"/>
              </w:rPr>
            </w:pPr>
            <w:r>
              <w:rPr>
                <w:sz w:val="25"/>
                <w:szCs w:val="25"/>
                <w:b/>
                <w:bCs/>
                <w:spacing w:val="-6"/>
              </w:rPr>
              <w:t>较重</w:t>
            </w:r>
          </w:p>
        </w:tc>
        <w:tc>
          <w:tcPr>
            <w:tcW w:w="7245" w:type="dxa"/>
            <w:vAlign w:val="top"/>
          </w:tcPr>
          <w:p>
            <w:pPr>
              <w:pStyle w:val="TableText"/>
              <w:ind w:left="155"/>
              <w:spacing w:before="111" w:line="219" w:lineRule="auto"/>
              <w:rPr>
                <w:sz w:val="25"/>
                <w:szCs w:val="25"/>
              </w:rPr>
            </w:pPr>
            <w:r>
              <w:rPr>
                <w:sz w:val="25"/>
                <w:szCs w:val="25"/>
                <w:b/>
                <w:bCs/>
                <w:spacing w:val="-3"/>
              </w:rPr>
              <w:t>未按照规定提供追溯信息，未造成不良后果。</w:t>
            </w:r>
          </w:p>
        </w:tc>
        <w:tc>
          <w:tcPr>
            <w:tcW w:w="4891" w:type="dxa"/>
            <w:vAlign w:val="top"/>
          </w:tcPr>
          <w:p>
            <w:pPr>
              <w:pStyle w:val="TableText"/>
              <w:ind w:left="100"/>
              <w:spacing w:before="90" w:line="218" w:lineRule="auto"/>
              <w:rPr>
                <w:sz w:val="25"/>
                <w:szCs w:val="25"/>
              </w:rPr>
            </w:pPr>
            <w:r>
              <w:rPr>
                <w:sz w:val="25"/>
                <w:szCs w:val="25"/>
                <w:b/>
                <w:bCs/>
                <w:spacing w:val="-3"/>
              </w:rPr>
              <w:t>给予警告。</w:t>
            </w:r>
          </w:p>
        </w:tc>
      </w:tr>
    </w:tbl>
    <w:p>
      <w:pPr>
        <w:pStyle w:val="BodyText"/>
        <w:rPr/>
      </w:pPr>
      <w:r/>
    </w:p>
    <w:p>
      <w:pPr>
        <w:sectPr>
          <w:footerReference w:type="default" r:id="rId115"/>
          <w:pgSz w:w="16830" w:h="11900"/>
          <w:pgMar w:top="1011" w:right="1335" w:bottom="1117" w:left="1314" w:header="0" w:footer="784" w:gutter="0"/>
        </w:sectPr>
        <w:rPr/>
      </w:pPr>
    </w:p>
    <w:p>
      <w:pPr>
        <w:spacing w:before="17"/>
        <w:rPr/>
      </w:pPr>
      <w:r/>
    </w:p>
    <w:p>
      <w:pPr>
        <w:spacing w:before="16"/>
        <w:rPr/>
      </w:pPr>
      <w:r/>
    </w:p>
    <w:p>
      <w:pPr>
        <w:spacing w:before="16"/>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43"/>
        <w:gridCol w:w="7245"/>
        <w:gridCol w:w="4882"/>
      </w:tblGrid>
      <w:tr>
        <w:trPr>
          <w:trHeight w:val="1070" w:hRule="atLeast"/>
        </w:trPr>
        <w:tc>
          <w:tcPr>
            <w:tcW w:w="2043" w:type="dxa"/>
            <w:vAlign w:val="top"/>
          </w:tcPr>
          <w:p>
            <w:pPr>
              <w:pStyle w:val="TableText"/>
              <w:ind w:left="98"/>
              <w:spacing w:before="302" w:line="221" w:lineRule="auto"/>
              <w:rPr/>
            </w:pPr>
            <w:bookmarkStart w:name="bookmark780" w:id="72"/>
            <w:bookmarkEnd w:id="72"/>
            <w:r>
              <w:rPr>
                <w:b/>
                <w:bCs/>
                <w:spacing w:val="-10"/>
              </w:rPr>
              <w:t>一般</w:t>
            </w:r>
          </w:p>
        </w:tc>
        <w:tc>
          <w:tcPr>
            <w:tcW w:w="7245" w:type="dxa"/>
            <w:vAlign w:val="top"/>
          </w:tcPr>
          <w:p>
            <w:pPr>
              <w:pStyle w:val="TableText"/>
              <w:ind w:left="111"/>
              <w:spacing w:before="93" w:line="219" w:lineRule="auto"/>
              <w:rPr/>
            </w:pPr>
            <w:r>
              <w:rPr/>
              <w:t>未按照规定提供追溯信息，影响对有预防接种异常反应的疫苗溯源</w:t>
            </w:r>
          </w:p>
          <w:p>
            <w:pPr>
              <w:pStyle w:val="TableText"/>
              <w:ind w:left="111"/>
              <w:spacing w:before="147" w:line="220" w:lineRule="auto"/>
              <w:rPr/>
            </w:pPr>
            <w:r>
              <w:rPr>
                <w:color w:val="404040"/>
              </w:rPr>
              <w:t>工作。</w:t>
            </w:r>
          </w:p>
        </w:tc>
        <w:tc>
          <w:tcPr>
            <w:tcW w:w="4882" w:type="dxa"/>
            <w:vAlign w:val="top"/>
          </w:tcPr>
          <w:p>
            <w:pPr>
              <w:pStyle w:val="TableText"/>
              <w:ind w:left="106" w:right="203" w:hanging="10"/>
              <w:spacing w:before="72" w:line="365" w:lineRule="auto"/>
              <w:rPr/>
            </w:pPr>
            <w:r>
              <w:rPr/>
              <w:t>给予警告，责令负有责任的医疗卫生人员暂</w:t>
            </w:r>
            <w:r>
              <w:rPr>
                <w:spacing w:val="10"/>
              </w:rPr>
              <w:t xml:space="preserve"> </w:t>
            </w:r>
            <w:r>
              <w:rPr/>
              <w:t>停六个月以上一年以下执业活动。</w:t>
            </w:r>
          </w:p>
        </w:tc>
      </w:tr>
      <w:tr>
        <w:trPr>
          <w:trHeight w:val="1079" w:hRule="atLeast"/>
        </w:trPr>
        <w:tc>
          <w:tcPr>
            <w:tcW w:w="2043" w:type="dxa"/>
            <w:vAlign w:val="top"/>
          </w:tcPr>
          <w:p>
            <w:pPr>
              <w:pStyle w:val="TableText"/>
              <w:ind w:left="98"/>
              <w:spacing w:before="312" w:line="220" w:lineRule="auto"/>
              <w:rPr/>
            </w:pPr>
            <w:r>
              <w:rPr>
                <w:b/>
                <w:bCs/>
                <w:spacing w:val="-6"/>
              </w:rPr>
              <w:t>严重</w:t>
            </w:r>
          </w:p>
        </w:tc>
        <w:tc>
          <w:tcPr>
            <w:tcW w:w="7245" w:type="dxa"/>
            <w:vAlign w:val="top"/>
          </w:tcPr>
          <w:p>
            <w:pPr>
              <w:pStyle w:val="TableText"/>
              <w:ind w:left="111"/>
              <w:spacing w:before="313" w:line="219" w:lineRule="auto"/>
              <w:rPr/>
            </w:pPr>
            <w:r>
              <w:rPr/>
              <w:t>未按照规定提供追溯信息，严重影响对不合格疫苗的溯源工作。</w:t>
            </w:r>
          </w:p>
        </w:tc>
        <w:tc>
          <w:tcPr>
            <w:tcW w:w="4882" w:type="dxa"/>
            <w:vAlign w:val="top"/>
          </w:tcPr>
          <w:p>
            <w:pPr>
              <w:pStyle w:val="TableText"/>
              <w:ind w:left="107" w:right="190"/>
              <w:spacing w:before="91" w:line="349" w:lineRule="auto"/>
              <w:rPr/>
            </w:pPr>
            <w:r>
              <w:rPr/>
              <w:t>给予警告，由原发证部门吊销负有责任的医</w:t>
            </w:r>
            <w:r>
              <w:rPr>
                <w:spacing w:val="13"/>
              </w:rPr>
              <w:t xml:space="preserve"> </w:t>
            </w:r>
            <w:r>
              <w:rPr/>
              <w:t>疗卫生人员的执业证书。</w:t>
            </w:r>
          </w:p>
        </w:tc>
      </w:tr>
    </w:tbl>
    <w:p>
      <w:pPr>
        <w:ind w:left="139" w:right="130" w:firstLine="659"/>
        <w:spacing w:before="124" w:line="277" w:lineRule="auto"/>
        <w:rPr>
          <w:rFonts w:ascii="FangSong" w:hAnsi="FangSong" w:eastAsia="FangSong" w:cs="FangSong"/>
          <w:sz w:val="30"/>
          <w:szCs w:val="30"/>
        </w:rPr>
      </w:pPr>
      <w:r>
        <w:rPr>
          <w:rFonts w:ascii="FangSong" w:hAnsi="FangSong" w:eastAsia="FangSong" w:cs="FangSong"/>
          <w:sz w:val="30"/>
          <w:szCs w:val="30"/>
          <w:b/>
          <w:bCs/>
          <w:spacing w:val="20"/>
        </w:rPr>
        <w:t>第四十条疾病预防控制机构、接种单位接收或者购进疫苗时未按照规定索取并保存相关证明文</w:t>
      </w:r>
      <w:r>
        <w:rPr>
          <w:rFonts w:ascii="FangSong" w:hAnsi="FangSong" w:eastAsia="FangSong" w:cs="FangSong"/>
          <w:sz w:val="30"/>
          <w:szCs w:val="30"/>
          <w:spacing w:val="14"/>
        </w:rPr>
        <w:t xml:space="preserve"> </w:t>
      </w:r>
      <w:r>
        <w:rPr>
          <w:rFonts w:ascii="FangSong" w:hAnsi="FangSong" w:eastAsia="FangSong" w:cs="FangSong"/>
          <w:sz w:val="30"/>
          <w:szCs w:val="30"/>
          <w:b/>
          <w:bCs/>
          <w:spacing w:val="16"/>
        </w:rPr>
        <w:t>件、温度监测记录</w:t>
      </w:r>
    </w:p>
    <w:p>
      <w:pPr>
        <w:ind w:left="795"/>
        <w:spacing w:line="222" w:lineRule="auto"/>
        <w:rPr>
          <w:rFonts w:ascii="FangSong" w:hAnsi="FangSong" w:eastAsia="FangSong" w:cs="FangSong"/>
          <w:sz w:val="30"/>
          <w:szCs w:val="30"/>
        </w:rPr>
      </w:pPr>
      <w:r>
        <w:rPr>
          <w:rFonts w:ascii="FangSong" w:hAnsi="FangSong" w:eastAsia="FangSong" w:cs="FangSong"/>
          <w:sz w:val="30"/>
          <w:szCs w:val="30"/>
          <w:spacing w:val="7"/>
        </w:rPr>
        <w:t>法律依据</w:t>
      </w:r>
    </w:p>
    <w:p>
      <w:pPr>
        <w:ind w:left="135" w:firstLine="619"/>
        <w:spacing w:before="100" w:line="267" w:lineRule="auto"/>
        <w:rPr>
          <w:rFonts w:ascii="FangSong" w:hAnsi="FangSong" w:eastAsia="FangSong" w:cs="FangSong"/>
          <w:sz w:val="30"/>
          <w:szCs w:val="30"/>
        </w:rPr>
      </w:pPr>
      <w:r>
        <w:rPr>
          <w:rFonts w:ascii="FangSong" w:hAnsi="FangSong" w:eastAsia="FangSong" w:cs="FangSong"/>
          <w:sz w:val="30"/>
          <w:szCs w:val="30"/>
          <w:spacing w:val="23"/>
        </w:rPr>
        <w:t>《中华人民共和国疫苗管理法》第八十八条第(二)项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违反本法规定，疾病预防控制机构、接</w:t>
      </w:r>
      <w:r>
        <w:rPr>
          <w:rFonts w:ascii="FangSong" w:hAnsi="FangSong" w:eastAsia="FangSong" w:cs="FangSong"/>
          <w:sz w:val="30"/>
          <w:szCs w:val="30"/>
          <w:spacing w:val="9"/>
        </w:rPr>
        <w:t xml:space="preserve">  </w:t>
      </w:r>
      <w:r>
        <w:rPr>
          <w:rFonts w:ascii="FangSong" w:hAnsi="FangSong" w:eastAsia="FangSong" w:cs="FangSong"/>
          <w:sz w:val="30"/>
          <w:szCs w:val="30"/>
          <w:spacing w:val="12"/>
        </w:rPr>
        <w:t>种单位有下列情形之一的，由县级以上人民政府卫生健康主管部门责令改正，给予警告；情节严重的，</w:t>
      </w:r>
      <w:r>
        <w:rPr>
          <w:rFonts w:ascii="FangSong" w:hAnsi="FangSong" w:eastAsia="FangSong" w:cs="FangSong"/>
          <w:sz w:val="30"/>
          <w:szCs w:val="30"/>
          <w:spacing w:val="18"/>
        </w:rPr>
        <w:t xml:space="preserve"> </w:t>
      </w:r>
      <w:r>
        <w:rPr>
          <w:rFonts w:ascii="FangSong" w:hAnsi="FangSong" w:eastAsia="FangSong" w:cs="FangSong"/>
          <w:sz w:val="30"/>
          <w:szCs w:val="30"/>
          <w:spacing w:val="17"/>
        </w:rPr>
        <w:t>对主要负责人、直接负责的主管人员和其他直接责任人员依法给</w:t>
      </w:r>
      <w:r>
        <w:rPr>
          <w:rFonts w:ascii="FangSong" w:hAnsi="FangSong" w:eastAsia="FangSong" w:cs="FangSong"/>
          <w:sz w:val="30"/>
          <w:szCs w:val="30"/>
          <w:spacing w:val="16"/>
        </w:rPr>
        <w:t>予警告直至撤职处分，责令负有责任</w:t>
      </w:r>
      <w:r>
        <w:rPr>
          <w:rFonts w:ascii="FangSong" w:hAnsi="FangSong" w:eastAsia="FangSong" w:cs="FangSong"/>
          <w:sz w:val="30"/>
          <w:szCs w:val="30"/>
        </w:rPr>
        <w:t xml:space="preserve"> </w:t>
      </w:r>
      <w:r>
        <w:rPr>
          <w:rFonts w:ascii="FangSong" w:hAnsi="FangSong" w:eastAsia="FangSong" w:cs="FangSong"/>
          <w:sz w:val="30"/>
          <w:szCs w:val="30"/>
          <w:spacing w:val="17"/>
        </w:rPr>
        <w:t>的医疗卫生人员暂停六个月以上一年以下执业活动；造成严重后果的</w:t>
      </w:r>
      <w:r>
        <w:rPr>
          <w:rFonts w:ascii="FangSong" w:hAnsi="FangSong" w:eastAsia="FangSong" w:cs="FangSong"/>
          <w:sz w:val="30"/>
          <w:szCs w:val="30"/>
          <w:spacing w:val="16"/>
        </w:rPr>
        <w:t>，对主要负责人、直接负责的主</w:t>
      </w:r>
      <w:r>
        <w:rPr>
          <w:rFonts w:ascii="FangSong" w:hAnsi="FangSong" w:eastAsia="FangSong" w:cs="FangSong"/>
          <w:sz w:val="30"/>
          <w:szCs w:val="30"/>
        </w:rPr>
        <w:t xml:space="preserve"> </w:t>
      </w:r>
      <w:r>
        <w:rPr>
          <w:rFonts w:ascii="FangSong" w:hAnsi="FangSong" w:eastAsia="FangSong" w:cs="FangSong"/>
          <w:sz w:val="30"/>
          <w:szCs w:val="30"/>
          <w:spacing w:val="17"/>
        </w:rPr>
        <w:t>管人员和其他直接责任人员依法给予开除处分，由原发</w:t>
      </w:r>
      <w:r>
        <w:rPr>
          <w:rFonts w:ascii="FangSong" w:hAnsi="FangSong" w:eastAsia="FangSong" w:cs="FangSong"/>
          <w:sz w:val="30"/>
          <w:szCs w:val="30"/>
          <w:spacing w:val="16"/>
        </w:rPr>
        <w:t>证部门吊销负有责任的医疗卫生人员的执业证</w:t>
      </w:r>
      <w:r>
        <w:rPr>
          <w:rFonts w:ascii="FangSong" w:hAnsi="FangSong" w:eastAsia="FangSong" w:cs="FangSong"/>
          <w:sz w:val="30"/>
          <w:szCs w:val="30"/>
        </w:rPr>
        <w:t xml:space="preserve"> </w:t>
      </w:r>
      <w:r>
        <w:rPr>
          <w:rFonts w:ascii="FangSong" w:hAnsi="FangSong" w:eastAsia="FangSong" w:cs="FangSong"/>
          <w:sz w:val="30"/>
          <w:szCs w:val="30"/>
          <w:spacing w:val="-17"/>
        </w:rPr>
        <w:t>书</w:t>
      </w:r>
      <w:r>
        <w:rPr>
          <w:rFonts w:ascii="FangSong" w:hAnsi="FangSong" w:eastAsia="FangSong" w:cs="FangSong"/>
          <w:sz w:val="30"/>
          <w:szCs w:val="30"/>
          <w:spacing w:val="-70"/>
        </w:rPr>
        <w:t xml:space="preserve"> </w:t>
      </w:r>
      <w:r>
        <w:rPr>
          <w:rFonts w:ascii="FangSong" w:hAnsi="FangSong" w:eastAsia="FangSong" w:cs="FangSong"/>
          <w:sz w:val="30"/>
          <w:szCs w:val="30"/>
          <w:spacing w:val="-17"/>
        </w:rPr>
        <w:t>：</w:t>
      </w:r>
    </w:p>
    <w:p>
      <w:pPr>
        <w:ind w:left="925"/>
        <w:spacing w:line="219" w:lineRule="auto"/>
        <w:rPr>
          <w:rFonts w:ascii="FangSong" w:hAnsi="FangSong" w:eastAsia="FangSong" w:cs="FangSong"/>
          <w:sz w:val="30"/>
          <w:szCs w:val="30"/>
        </w:rPr>
      </w:pPr>
      <w:r>
        <w:rPr>
          <w:rFonts w:ascii="FangSong" w:hAnsi="FangSong" w:eastAsia="FangSong" w:cs="FangSong"/>
          <w:sz w:val="30"/>
          <w:szCs w:val="30"/>
          <w:spacing w:val="22"/>
        </w:rPr>
        <w:t>(二)接收或者购进疫苗时未按照规定索取并保存相关证明文件、温度监测</w:t>
      </w:r>
      <w:r>
        <w:rPr>
          <w:rFonts w:ascii="FangSong" w:hAnsi="FangSong" w:eastAsia="FangSong" w:cs="FangSong"/>
          <w:sz w:val="30"/>
          <w:szCs w:val="30"/>
          <w:spacing w:val="21"/>
        </w:rPr>
        <w:t>记录；</w:t>
      </w:r>
    </w:p>
    <w:p>
      <w:pPr>
        <w:ind w:left="6539"/>
        <w:spacing w:before="54"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00" w:lineRule="exact"/>
        <w:rPr/>
      </w:pPr>
      <w:r/>
    </w:p>
    <w:tbl>
      <w:tblPr>
        <w:tblStyle w:val="TableNormal"/>
        <w:tblW w:w="1414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72"/>
        <w:gridCol w:w="5956"/>
        <w:gridCol w:w="4821"/>
      </w:tblGrid>
      <w:tr>
        <w:trPr>
          <w:trHeight w:val="820" w:hRule="atLeast"/>
        </w:trPr>
        <w:tc>
          <w:tcPr>
            <w:tcW w:w="3372" w:type="dxa"/>
            <w:vAlign w:val="top"/>
          </w:tcPr>
          <w:p>
            <w:pPr>
              <w:pStyle w:val="TableText"/>
              <w:ind w:left="1099"/>
              <w:spacing w:before="273" w:line="220" w:lineRule="auto"/>
              <w:rPr>
                <w:sz w:val="29"/>
                <w:szCs w:val="29"/>
              </w:rPr>
            </w:pPr>
            <w:r>
              <w:rPr>
                <w:sz w:val="29"/>
                <w:szCs w:val="29"/>
                <w:b/>
                <w:bCs/>
                <w:spacing w:val="-1"/>
              </w:rPr>
              <w:t>违法程度</w:t>
            </w:r>
          </w:p>
        </w:tc>
        <w:tc>
          <w:tcPr>
            <w:tcW w:w="5956" w:type="dxa"/>
            <w:vAlign w:val="top"/>
          </w:tcPr>
          <w:p>
            <w:pPr>
              <w:pStyle w:val="TableText"/>
              <w:ind w:left="2417"/>
              <w:spacing w:before="273" w:line="220" w:lineRule="auto"/>
              <w:rPr>
                <w:sz w:val="29"/>
                <w:szCs w:val="29"/>
              </w:rPr>
            </w:pPr>
            <w:r>
              <w:rPr>
                <w:sz w:val="29"/>
                <w:szCs w:val="29"/>
                <w:b/>
                <w:bCs/>
                <w:spacing w:val="-1"/>
              </w:rPr>
              <w:t>情节后果</w:t>
            </w:r>
          </w:p>
        </w:tc>
        <w:tc>
          <w:tcPr>
            <w:tcW w:w="4821" w:type="dxa"/>
            <w:vAlign w:val="top"/>
          </w:tcPr>
          <w:p>
            <w:pPr>
              <w:pStyle w:val="TableText"/>
              <w:ind w:left="1861"/>
              <w:spacing w:before="270" w:line="218" w:lineRule="auto"/>
              <w:rPr>
                <w:sz w:val="29"/>
                <w:szCs w:val="29"/>
              </w:rPr>
            </w:pPr>
            <w:r>
              <w:rPr>
                <w:sz w:val="29"/>
                <w:szCs w:val="29"/>
                <w:b/>
                <w:bCs/>
                <w:spacing w:val="-1"/>
              </w:rPr>
              <w:t>裁量幅度</w:t>
            </w:r>
          </w:p>
        </w:tc>
      </w:tr>
    </w:tbl>
    <w:p>
      <w:pPr>
        <w:pStyle w:val="BodyText"/>
        <w:rPr/>
      </w:pPr>
      <w:r/>
    </w:p>
    <w:p>
      <w:pPr>
        <w:sectPr>
          <w:footerReference w:type="default" r:id="rId116"/>
          <w:pgSz w:w="16830" w:h="11900"/>
          <w:pgMar w:top="1011" w:right="1320" w:bottom="1126" w:left="1314" w:header="0" w:footer="802" w:gutter="0"/>
        </w:sectPr>
        <w:rPr/>
      </w:pPr>
    </w:p>
    <w:p>
      <w:pPr>
        <w:spacing w:before="20"/>
        <w:rPr/>
      </w:pPr>
      <w:r/>
    </w:p>
    <w:p>
      <w:pPr>
        <w:spacing w:before="20"/>
        <w:rPr/>
      </w:pPr>
      <w:r/>
    </w:p>
    <w:p>
      <w:pPr>
        <w:spacing w:before="19"/>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72"/>
        <w:gridCol w:w="5966"/>
        <w:gridCol w:w="4822"/>
      </w:tblGrid>
      <w:tr>
        <w:trPr>
          <w:trHeight w:val="1112" w:hRule="atLeast"/>
        </w:trPr>
        <w:tc>
          <w:tcPr>
            <w:tcW w:w="3372" w:type="dxa"/>
            <w:vAlign w:val="top"/>
          </w:tcPr>
          <w:p>
            <w:pPr>
              <w:pStyle w:val="TableText"/>
              <w:ind w:left="1438"/>
              <w:spacing w:before="311" w:line="219" w:lineRule="auto"/>
              <w:rPr/>
            </w:pPr>
            <w:bookmarkStart w:name="bookmark781" w:id="73"/>
            <w:bookmarkEnd w:id="73"/>
            <w:r>
              <w:rPr>
                <w:b/>
                <w:bCs/>
                <w:spacing w:val="-5"/>
              </w:rPr>
              <w:t>较轻</w:t>
            </w:r>
          </w:p>
        </w:tc>
        <w:tc>
          <w:tcPr>
            <w:tcW w:w="5966" w:type="dxa"/>
            <w:vAlign w:val="top"/>
          </w:tcPr>
          <w:p>
            <w:pPr>
              <w:pStyle w:val="TableText"/>
              <w:ind w:left="133" w:right="277"/>
              <w:spacing w:before="95" w:line="348" w:lineRule="auto"/>
              <w:rPr/>
            </w:pPr>
            <w:r>
              <w:rPr>
                <w:spacing w:val="1"/>
              </w:rPr>
              <w:t>接收或者购进疫苗时未按照规定索取并保存相关证明 </w:t>
            </w:r>
            <w:r>
              <w:rPr>
                <w:spacing w:val="-1"/>
              </w:rPr>
              <w:t>文件、温度监测记录，未造成不良后果。</w:t>
            </w:r>
          </w:p>
        </w:tc>
        <w:tc>
          <w:tcPr>
            <w:tcW w:w="4822" w:type="dxa"/>
            <w:vAlign w:val="top"/>
          </w:tcPr>
          <w:p>
            <w:pPr>
              <w:spacing w:line="243" w:lineRule="auto"/>
              <w:rPr>
                <w:rFonts w:ascii="Arial"/>
                <w:sz w:val="21"/>
              </w:rPr>
            </w:pPr>
            <w:r/>
          </w:p>
          <w:p>
            <w:pPr>
              <w:pStyle w:val="TableText"/>
              <w:ind w:left="127"/>
              <w:spacing w:before="78" w:line="218" w:lineRule="auto"/>
              <w:rPr/>
            </w:pPr>
            <w:r>
              <w:rPr/>
              <w:t>给予警告。</w:t>
            </w:r>
          </w:p>
        </w:tc>
      </w:tr>
      <w:tr>
        <w:trPr>
          <w:trHeight w:val="1097" w:hRule="atLeast"/>
        </w:trPr>
        <w:tc>
          <w:tcPr>
            <w:tcW w:w="3372" w:type="dxa"/>
            <w:vAlign w:val="top"/>
          </w:tcPr>
          <w:p>
            <w:pPr>
              <w:spacing w:line="350" w:lineRule="auto"/>
              <w:rPr>
                <w:rFonts w:ascii="Arial"/>
                <w:sz w:val="21"/>
              </w:rPr>
            </w:pPr>
            <w:r/>
          </w:p>
          <w:p>
            <w:pPr>
              <w:pStyle w:val="TableText"/>
              <w:ind w:left="1438"/>
              <w:spacing w:before="78" w:line="221" w:lineRule="auto"/>
              <w:rPr/>
            </w:pPr>
            <w:r>
              <w:rPr>
                <w:b/>
                <w:bCs/>
                <w:spacing w:val="-10"/>
              </w:rPr>
              <w:t>一般</w:t>
            </w:r>
          </w:p>
        </w:tc>
        <w:tc>
          <w:tcPr>
            <w:tcW w:w="5966" w:type="dxa"/>
            <w:vAlign w:val="top"/>
          </w:tcPr>
          <w:p>
            <w:pPr>
              <w:pStyle w:val="TableText"/>
              <w:ind w:left="133" w:right="62"/>
              <w:spacing w:before="111" w:line="341" w:lineRule="auto"/>
              <w:rPr/>
            </w:pPr>
            <w:r>
              <w:rPr/>
              <w:t>未按照规定索取并保存相关证明文件、温度监测记</w:t>
            </w:r>
            <w:r>
              <w:rPr>
                <w:spacing w:val="-1"/>
              </w:rPr>
              <w:t>录，</w:t>
            </w:r>
            <w:r>
              <w:rPr/>
              <w:t xml:space="preserve"> </w:t>
            </w:r>
            <w:r>
              <w:rPr>
                <w:spacing w:val="-1"/>
              </w:rPr>
              <w:t>导致接收或者购进了不合格或失效的疫苗。</w:t>
            </w:r>
          </w:p>
        </w:tc>
        <w:tc>
          <w:tcPr>
            <w:tcW w:w="4822" w:type="dxa"/>
            <w:vAlign w:val="top"/>
          </w:tcPr>
          <w:p>
            <w:pPr>
              <w:pStyle w:val="TableText"/>
              <w:ind w:left="127" w:right="113"/>
              <w:spacing w:before="111" w:line="357" w:lineRule="auto"/>
              <w:rPr/>
            </w:pPr>
            <w:r>
              <w:rPr/>
              <w:t>给予警告，责令负有责任的医疗卫生人员暂</w:t>
            </w:r>
            <w:r>
              <w:rPr>
                <w:spacing w:val="10"/>
              </w:rPr>
              <w:t xml:space="preserve"> </w:t>
            </w:r>
            <w:r>
              <w:rPr/>
              <w:t>停六个月以上一年以下执业活动。</w:t>
            </w:r>
          </w:p>
        </w:tc>
      </w:tr>
      <w:tr>
        <w:trPr>
          <w:trHeight w:val="1531" w:hRule="atLeast"/>
        </w:trPr>
        <w:tc>
          <w:tcPr>
            <w:tcW w:w="3372" w:type="dxa"/>
            <w:vAlign w:val="top"/>
          </w:tcPr>
          <w:p>
            <w:pPr>
              <w:spacing w:line="285" w:lineRule="auto"/>
              <w:rPr>
                <w:rFonts w:ascii="Arial"/>
                <w:sz w:val="21"/>
              </w:rPr>
            </w:pPr>
            <w:r/>
          </w:p>
          <w:p>
            <w:pPr>
              <w:spacing w:line="286" w:lineRule="auto"/>
              <w:rPr>
                <w:rFonts w:ascii="Arial"/>
                <w:sz w:val="21"/>
              </w:rPr>
            </w:pPr>
            <w:r/>
          </w:p>
          <w:p>
            <w:pPr>
              <w:pStyle w:val="TableText"/>
              <w:ind w:left="1438"/>
              <w:spacing w:before="78" w:line="220" w:lineRule="auto"/>
              <w:rPr/>
            </w:pPr>
            <w:r>
              <w:rPr>
                <w:b/>
                <w:bCs/>
                <w:spacing w:val="-6"/>
              </w:rPr>
              <w:t>严重</w:t>
            </w:r>
          </w:p>
        </w:tc>
        <w:tc>
          <w:tcPr>
            <w:tcW w:w="5966" w:type="dxa"/>
            <w:vAlign w:val="top"/>
          </w:tcPr>
          <w:p>
            <w:pPr>
              <w:pStyle w:val="TableText"/>
              <w:ind w:left="133" w:right="62"/>
              <w:spacing w:before="105" w:line="333" w:lineRule="auto"/>
              <w:rPr/>
            </w:pPr>
            <w:r>
              <w:rPr/>
              <w:t>未按照规定索取并保存相关证明文件、温度监测记</w:t>
            </w:r>
            <w:r>
              <w:rPr>
                <w:spacing w:val="-1"/>
              </w:rPr>
              <w:t>录，</w:t>
            </w:r>
            <w:r>
              <w:rPr/>
              <w:t xml:space="preserve"> </w:t>
            </w:r>
            <w:r>
              <w:rPr/>
              <w:t>导致接收或者购进了未经药品监督管理部门批准生产</w:t>
            </w:r>
          </w:p>
          <w:p>
            <w:pPr>
              <w:pStyle w:val="TableText"/>
              <w:ind w:left="133"/>
              <w:spacing w:before="15" w:line="220" w:lineRule="auto"/>
              <w:rPr/>
            </w:pPr>
            <w:r>
              <w:rPr>
                <w:color w:val="403030"/>
                <w:spacing w:val="-1"/>
              </w:rPr>
              <w:t>的疫苗。</w:t>
            </w:r>
          </w:p>
        </w:tc>
        <w:tc>
          <w:tcPr>
            <w:tcW w:w="4822" w:type="dxa"/>
            <w:vAlign w:val="top"/>
          </w:tcPr>
          <w:p>
            <w:pPr>
              <w:pStyle w:val="TableText"/>
              <w:ind w:left="127" w:right="110"/>
              <w:spacing w:before="312" w:line="349" w:lineRule="auto"/>
              <w:rPr/>
            </w:pPr>
            <w:r>
              <w:rPr/>
              <w:t>给予警告，由原发证部门吊销负有责任的医</w:t>
            </w:r>
            <w:r>
              <w:rPr>
                <w:spacing w:val="13"/>
              </w:rPr>
              <w:t xml:space="preserve"> </w:t>
            </w:r>
            <w:r>
              <w:rPr/>
              <w:t>疗卫生人员的执业证书。</w:t>
            </w:r>
          </w:p>
        </w:tc>
      </w:tr>
    </w:tbl>
    <w:p>
      <w:pPr>
        <w:ind w:left="119" w:right="89" w:firstLine="670"/>
        <w:spacing w:before="125" w:line="264" w:lineRule="auto"/>
        <w:rPr>
          <w:rFonts w:ascii="FangSong" w:hAnsi="FangSong" w:eastAsia="FangSong" w:cs="FangSong"/>
          <w:sz w:val="30"/>
          <w:szCs w:val="30"/>
        </w:rPr>
      </w:pPr>
      <w:r>
        <w:rPr>
          <w:rFonts w:ascii="FangSong" w:hAnsi="FangSong" w:eastAsia="FangSong" w:cs="FangSong"/>
          <w:sz w:val="30"/>
          <w:szCs w:val="30"/>
          <w:b/>
          <w:bCs/>
          <w:spacing w:val="21"/>
        </w:rPr>
        <w:t>第四十一条未按照规定建立并保存疫苗接收、购进、储存、配送、供应、接种、处置记录法律</w:t>
      </w:r>
      <w:r>
        <w:rPr>
          <w:rFonts w:ascii="FangSong" w:hAnsi="FangSong" w:eastAsia="FangSong" w:cs="FangSong"/>
          <w:sz w:val="30"/>
          <w:szCs w:val="30"/>
        </w:rPr>
        <w:t xml:space="preserve"> </w:t>
      </w:r>
      <w:r>
        <w:rPr>
          <w:rFonts w:ascii="FangSong" w:hAnsi="FangSong" w:eastAsia="FangSong" w:cs="FangSong"/>
          <w:sz w:val="30"/>
          <w:szCs w:val="30"/>
          <w:b/>
          <w:bCs/>
          <w:spacing w:val="12"/>
        </w:rPr>
        <w:t>依据</w:t>
      </w:r>
    </w:p>
    <w:p>
      <w:pPr>
        <w:ind w:left="115" w:right="15" w:firstLine="660"/>
        <w:spacing w:line="271" w:lineRule="auto"/>
        <w:jc w:val="both"/>
        <w:rPr>
          <w:rFonts w:ascii="FangSong" w:hAnsi="FangSong" w:eastAsia="FangSong" w:cs="FangSong"/>
          <w:sz w:val="26"/>
          <w:szCs w:val="26"/>
        </w:rPr>
      </w:pPr>
      <w:r>
        <w:rPr>
          <w:rFonts w:ascii="FangSong" w:hAnsi="FangSong" w:eastAsia="FangSong" w:cs="FangSong"/>
          <w:sz w:val="30"/>
          <w:szCs w:val="30"/>
          <w:spacing w:val="25"/>
        </w:rPr>
        <w:t>《中华人民共和国疫苗管理法》第八十八条第(三</w:t>
      </w:r>
      <w:r>
        <w:rPr>
          <w:rFonts w:ascii="FangSong" w:hAnsi="FangSong" w:eastAsia="FangSong" w:cs="FangSong"/>
          <w:sz w:val="30"/>
          <w:szCs w:val="30"/>
          <w:spacing w:val="24"/>
        </w:rPr>
        <w:t>)项</w:t>
      </w:r>
      <w:r>
        <w:rPr>
          <w:rFonts w:ascii="FangSong" w:hAnsi="FangSong" w:eastAsia="FangSong" w:cs="FangSong"/>
          <w:sz w:val="30"/>
          <w:szCs w:val="30"/>
          <w:spacing w:val="24"/>
        </w:rPr>
        <w:t xml:space="preserve">    </w:t>
      </w:r>
      <w:r>
        <w:rPr>
          <w:rFonts w:ascii="FangSong" w:hAnsi="FangSong" w:eastAsia="FangSong" w:cs="FangSong"/>
          <w:sz w:val="30"/>
          <w:szCs w:val="30"/>
          <w:spacing w:val="24"/>
        </w:rPr>
        <w:t>违反本法规定，疾病预防控制机构、</w:t>
      </w:r>
      <w:r>
        <w:rPr>
          <w:rFonts w:ascii="FangSong" w:hAnsi="FangSong" w:eastAsia="FangSong" w:cs="FangSong"/>
          <w:sz w:val="30"/>
          <w:szCs w:val="30"/>
        </w:rPr>
        <w:t xml:space="preserve"> </w:t>
      </w:r>
      <w:r>
        <w:rPr>
          <w:rFonts w:ascii="FangSong" w:hAnsi="FangSong" w:eastAsia="FangSong" w:cs="FangSong"/>
          <w:sz w:val="30"/>
          <w:szCs w:val="30"/>
          <w:spacing w:val="16"/>
        </w:rPr>
        <w:t>接种单位有下列情形之一的，由县级以上人民政府卫生健康主管部门责令改正，给予警告；情节严重</w:t>
      </w:r>
      <w:r>
        <w:rPr>
          <w:rFonts w:ascii="FangSong" w:hAnsi="FangSong" w:eastAsia="FangSong" w:cs="FangSong"/>
          <w:sz w:val="30"/>
          <w:szCs w:val="30"/>
          <w:spacing w:val="11"/>
        </w:rPr>
        <w:t xml:space="preserve"> </w:t>
      </w:r>
      <w:r>
        <w:rPr>
          <w:rFonts w:ascii="FangSong" w:hAnsi="FangSong" w:eastAsia="FangSong" w:cs="FangSong"/>
          <w:sz w:val="30"/>
          <w:szCs w:val="30"/>
          <w:spacing w:val="16"/>
        </w:rPr>
        <w:t>的，对主要负责人、直接负责的主管人员和其他直接责任人员依法给予警告直至撤职处分，责令负有</w:t>
      </w:r>
      <w:r>
        <w:rPr>
          <w:rFonts w:ascii="FangSong" w:hAnsi="FangSong" w:eastAsia="FangSong" w:cs="FangSong"/>
          <w:sz w:val="30"/>
          <w:szCs w:val="30"/>
          <w:spacing w:val="15"/>
        </w:rPr>
        <w:t xml:space="preserve"> </w:t>
      </w:r>
      <w:r>
        <w:rPr>
          <w:rFonts w:ascii="FangSong" w:hAnsi="FangSong" w:eastAsia="FangSong" w:cs="FangSong"/>
          <w:sz w:val="30"/>
          <w:szCs w:val="30"/>
          <w:spacing w:val="16"/>
        </w:rPr>
        <w:t>责任的医疗卫生人员暂停六个月以上一年以下执业活动；造成严重后果的，对主要负责人、直接负责</w:t>
      </w:r>
      <w:r>
        <w:rPr>
          <w:rFonts w:ascii="FangSong" w:hAnsi="FangSong" w:eastAsia="FangSong" w:cs="FangSong"/>
          <w:sz w:val="30"/>
          <w:szCs w:val="30"/>
          <w:spacing w:val="11"/>
        </w:rPr>
        <w:t xml:space="preserve"> </w:t>
      </w:r>
      <w:r>
        <w:rPr>
          <w:rFonts w:ascii="FangSong" w:hAnsi="FangSong" w:eastAsia="FangSong" w:cs="FangSong"/>
          <w:sz w:val="30"/>
          <w:szCs w:val="30"/>
          <w:spacing w:val="17"/>
        </w:rPr>
        <w:t>的主管人员和其他直接责任人员依法给予开除处分，由原发证部门吊销负有责任的医疗卫生人员的执</w:t>
      </w:r>
      <w:r>
        <w:rPr>
          <w:rFonts w:ascii="FangSong" w:hAnsi="FangSong" w:eastAsia="FangSong" w:cs="FangSong"/>
          <w:sz w:val="30"/>
          <w:szCs w:val="30"/>
          <w:spacing w:val="5"/>
        </w:rPr>
        <w:t xml:space="preserve"> </w:t>
      </w:r>
      <w:r>
        <w:rPr>
          <w:rFonts w:ascii="FangSong" w:hAnsi="FangSong" w:eastAsia="FangSong" w:cs="FangSong"/>
          <w:sz w:val="26"/>
          <w:szCs w:val="26"/>
          <w:spacing w:val="29"/>
        </w:rPr>
        <w:t>业证书</w:t>
      </w:r>
      <w:r>
        <w:rPr>
          <w:rFonts w:ascii="FangSong" w:hAnsi="FangSong" w:eastAsia="FangSong" w:cs="FangSong"/>
          <w:sz w:val="26"/>
          <w:szCs w:val="26"/>
          <w:spacing w:val="-59"/>
        </w:rPr>
        <w:t xml:space="preserve"> </w:t>
      </w:r>
      <w:r>
        <w:rPr>
          <w:rFonts w:ascii="FangSong" w:hAnsi="FangSong" w:eastAsia="FangSong" w:cs="FangSong"/>
          <w:sz w:val="26"/>
          <w:szCs w:val="26"/>
          <w:spacing w:val="29"/>
        </w:rPr>
        <w:t>：</w:t>
      </w:r>
    </w:p>
    <w:p>
      <w:pPr>
        <w:ind w:left="905"/>
        <w:spacing w:before="92" w:line="219" w:lineRule="auto"/>
        <w:rPr>
          <w:rFonts w:ascii="FangSong" w:hAnsi="FangSong" w:eastAsia="FangSong" w:cs="FangSong"/>
          <w:sz w:val="30"/>
          <w:szCs w:val="30"/>
        </w:rPr>
      </w:pPr>
      <w:r>
        <w:rPr>
          <w:rFonts w:ascii="FangSong" w:hAnsi="FangSong" w:eastAsia="FangSong" w:cs="FangSong"/>
          <w:sz w:val="30"/>
          <w:szCs w:val="30"/>
          <w:spacing w:val="23"/>
        </w:rPr>
        <w:t>(三)未按照规定建立并保存疫苗接收、购进、储</w:t>
      </w:r>
      <w:r>
        <w:rPr>
          <w:rFonts w:ascii="FangSong" w:hAnsi="FangSong" w:eastAsia="FangSong" w:cs="FangSong"/>
          <w:sz w:val="30"/>
          <w:szCs w:val="30"/>
          <w:spacing w:val="22"/>
        </w:rPr>
        <w:t>存、配送、供应、接种、处置记录；</w:t>
      </w:r>
    </w:p>
    <w:p>
      <w:pPr>
        <w:spacing w:line="219" w:lineRule="auto"/>
        <w:sectPr>
          <w:footerReference w:type="default" r:id="rId117"/>
          <w:pgSz w:w="16830" w:h="11900"/>
          <w:pgMar w:top="1011" w:right="1344" w:bottom="1117" w:left="1314" w:header="0" w:footer="784" w:gutter="0"/>
        </w:sectPr>
        <w:rPr>
          <w:rFonts w:ascii="FangSong" w:hAnsi="FangSong" w:eastAsia="FangSong" w:cs="FangSong"/>
          <w:sz w:val="30"/>
          <w:szCs w:val="30"/>
        </w:rPr>
      </w:pPr>
    </w:p>
    <w:p>
      <w:pPr>
        <w:pStyle w:val="BodyText"/>
        <w:spacing w:line="254" w:lineRule="auto"/>
        <w:rPr/>
      </w:pPr>
      <w:r/>
    </w:p>
    <w:p>
      <w:pPr>
        <w:pStyle w:val="BodyText"/>
        <w:spacing w:line="255" w:lineRule="auto"/>
        <w:rPr/>
      </w:pPr>
      <w:r/>
    </w:p>
    <w:p>
      <w:pPr>
        <w:pStyle w:val="BodyText"/>
        <w:spacing w:line="255" w:lineRule="auto"/>
        <w:rPr/>
      </w:pPr>
      <w:r/>
    </w:p>
    <w:p>
      <w:pPr>
        <w:ind w:left="6529"/>
        <w:spacing w:before="94" w:line="221" w:lineRule="auto"/>
        <w:outlineLvl w:val="1"/>
        <w:rPr>
          <w:rFonts w:ascii="SimHei" w:hAnsi="SimHei" w:eastAsia="SimHei" w:cs="SimHei"/>
          <w:sz w:val="29"/>
          <w:szCs w:val="29"/>
        </w:rPr>
      </w:pPr>
      <w:bookmarkStart w:name="bookmark782" w:id="74"/>
      <w:bookmarkEnd w:id="74"/>
      <w:bookmarkStart w:name="bookmark186" w:id="75"/>
      <w:bookmarkEnd w:id="75"/>
      <w:r>
        <w:rPr>
          <w:rFonts w:ascii="SimHei" w:hAnsi="SimHei" w:eastAsia="SimHei" w:cs="SimHei"/>
          <w:sz w:val="29"/>
          <w:szCs w:val="29"/>
          <w:b/>
          <w:bCs/>
          <w:spacing w:val="-6"/>
        </w:rPr>
        <w:t>裁量标准</w:t>
      </w:r>
    </w:p>
    <w:p>
      <w:pPr>
        <w:spacing w:line="212" w:lineRule="exact"/>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82"/>
        <w:gridCol w:w="5846"/>
        <w:gridCol w:w="4921"/>
      </w:tblGrid>
      <w:tr>
        <w:trPr>
          <w:trHeight w:val="843" w:hRule="atLeast"/>
        </w:trPr>
        <w:tc>
          <w:tcPr>
            <w:tcW w:w="3382" w:type="dxa"/>
            <w:vAlign w:val="top"/>
          </w:tcPr>
          <w:p>
            <w:pPr>
              <w:pStyle w:val="TableText"/>
              <w:ind w:left="1098"/>
              <w:spacing w:before="18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5846" w:type="dxa"/>
            <w:vAlign w:val="top"/>
          </w:tcPr>
          <w:p>
            <w:pPr>
              <w:pStyle w:val="TableText"/>
              <w:ind w:left="2436"/>
              <w:spacing w:before="172" w:line="220" w:lineRule="auto"/>
              <w:rPr/>
            </w:pPr>
            <w:r>
              <w:rPr>
                <w:b/>
                <w:bCs/>
                <w:spacing w:val="-5"/>
              </w:rPr>
              <w:t>情节后果</w:t>
            </w:r>
          </w:p>
        </w:tc>
        <w:tc>
          <w:tcPr>
            <w:tcW w:w="4921" w:type="dxa"/>
            <w:vAlign w:val="top"/>
          </w:tcPr>
          <w:p>
            <w:pPr>
              <w:pStyle w:val="TableText"/>
              <w:ind w:left="1910"/>
              <w:spacing w:before="16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077" w:hRule="atLeast"/>
        </w:trPr>
        <w:tc>
          <w:tcPr>
            <w:tcW w:w="3382" w:type="dxa"/>
            <w:vAlign w:val="top"/>
          </w:tcPr>
          <w:p>
            <w:pPr>
              <w:pStyle w:val="TableText"/>
              <w:ind w:left="84"/>
              <w:spacing w:before="302" w:line="219" w:lineRule="auto"/>
              <w:rPr/>
            </w:pPr>
            <w:r>
              <w:rPr>
                <w:color w:val="505050"/>
                <w:spacing w:val="-3"/>
              </w:rPr>
              <w:t>较轻</w:t>
            </w:r>
          </w:p>
        </w:tc>
        <w:tc>
          <w:tcPr>
            <w:tcW w:w="5846" w:type="dxa"/>
            <w:vAlign w:val="top"/>
          </w:tcPr>
          <w:p>
            <w:pPr>
              <w:pStyle w:val="TableText"/>
              <w:ind w:left="110" w:hanging="98"/>
              <w:spacing w:before="81" w:line="364" w:lineRule="auto"/>
              <w:rPr/>
            </w:pPr>
            <w:r>
              <w:rPr>
                <w:spacing w:val="-7"/>
              </w:rPr>
              <w:t>疫苗接收、购进、储存、配送、供应、接种、处置</w:t>
            </w:r>
            <w:r>
              <w:rPr>
                <w:spacing w:val="-8"/>
              </w:rPr>
              <w:t>记录，</w:t>
            </w:r>
            <w:r>
              <w:rPr/>
              <w:t xml:space="preserve"> </w:t>
            </w:r>
            <w:r>
              <w:rPr>
                <w:spacing w:val="-5"/>
              </w:rPr>
              <w:t>保存时间在疫苗有效期满后少于五年。</w:t>
            </w:r>
          </w:p>
        </w:tc>
        <w:tc>
          <w:tcPr>
            <w:tcW w:w="4921" w:type="dxa"/>
            <w:vAlign w:val="top"/>
          </w:tcPr>
          <w:p>
            <w:pPr>
              <w:pStyle w:val="TableText"/>
              <w:ind w:left="116"/>
              <w:spacing w:before="299" w:line="218" w:lineRule="auto"/>
              <w:rPr/>
            </w:pPr>
            <w:r>
              <w:rPr/>
              <w:t>给予警告。</w:t>
            </w:r>
          </w:p>
        </w:tc>
      </w:tr>
      <w:tr>
        <w:trPr>
          <w:trHeight w:val="1207" w:hRule="atLeast"/>
        </w:trPr>
        <w:tc>
          <w:tcPr>
            <w:tcW w:w="3382" w:type="dxa"/>
            <w:vAlign w:val="top"/>
          </w:tcPr>
          <w:p>
            <w:pPr>
              <w:spacing w:line="296" w:lineRule="auto"/>
              <w:rPr>
                <w:rFonts w:ascii="Arial"/>
                <w:sz w:val="21"/>
              </w:rPr>
            </w:pPr>
            <w:r/>
          </w:p>
          <w:p>
            <w:pPr>
              <w:pStyle w:val="TableText"/>
              <w:ind w:left="84"/>
              <w:spacing w:before="78" w:line="221" w:lineRule="auto"/>
              <w:rPr/>
            </w:pPr>
            <w:r>
              <w:rPr>
                <w:spacing w:val="5"/>
              </w:rPr>
              <w:t>一般</w:t>
            </w:r>
          </w:p>
        </w:tc>
        <w:tc>
          <w:tcPr>
            <w:tcW w:w="5846" w:type="dxa"/>
            <w:vAlign w:val="top"/>
          </w:tcPr>
          <w:p>
            <w:pPr>
              <w:pStyle w:val="TableText"/>
              <w:ind w:left="91" w:hanging="59"/>
              <w:spacing w:before="153" w:line="327" w:lineRule="auto"/>
              <w:rPr/>
            </w:pPr>
            <w:r>
              <w:rPr>
                <w:spacing w:val="1"/>
              </w:rPr>
              <w:t>未按照规定建立疫苗接收、购进、储存、配送、供应、</w:t>
            </w:r>
            <w:r>
              <w:rPr>
                <w:spacing w:val="18"/>
              </w:rPr>
              <w:t xml:space="preserve"> </w:t>
            </w:r>
            <w:r>
              <w:rPr>
                <w:spacing w:val="-3"/>
              </w:rPr>
              <w:t>接种、处置记录。</w:t>
            </w:r>
          </w:p>
        </w:tc>
        <w:tc>
          <w:tcPr>
            <w:tcW w:w="4921" w:type="dxa"/>
            <w:vAlign w:val="top"/>
          </w:tcPr>
          <w:p>
            <w:pPr>
              <w:pStyle w:val="TableText"/>
              <w:ind w:left="116" w:firstLine="10"/>
              <w:spacing w:before="154" w:line="326" w:lineRule="auto"/>
              <w:rPr/>
            </w:pPr>
            <w:r>
              <w:rPr>
                <w:spacing w:val="-1"/>
              </w:rPr>
              <w:t>给予警告，责令负有责任的医疗卫生人员暂停</w:t>
            </w:r>
            <w:r>
              <w:rPr>
                <w:spacing w:val="3"/>
              </w:rPr>
              <w:t xml:space="preserve"> </w:t>
            </w:r>
            <w:r>
              <w:rPr>
                <w:spacing w:val="-1"/>
              </w:rPr>
              <w:t>六个月以上一年以下执业活动。</w:t>
            </w:r>
          </w:p>
        </w:tc>
      </w:tr>
      <w:tr>
        <w:trPr>
          <w:trHeight w:val="1332" w:hRule="atLeast"/>
        </w:trPr>
        <w:tc>
          <w:tcPr>
            <w:tcW w:w="3382" w:type="dxa"/>
            <w:vAlign w:val="top"/>
          </w:tcPr>
          <w:p>
            <w:pPr>
              <w:spacing w:line="477" w:lineRule="auto"/>
              <w:rPr>
                <w:rFonts w:ascii="Arial"/>
                <w:sz w:val="21"/>
              </w:rPr>
            </w:pPr>
            <w:r/>
          </w:p>
          <w:p>
            <w:pPr>
              <w:pStyle w:val="TableText"/>
              <w:ind w:left="84"/>
              <w:spacing w:before="78" w:line="220" w:lineRule="auto"/>
              <w:rPr/>
            </w:pPr>
            <w:r>
              <w:rPr>
                <w:color w:val="404040"/>
                <w:spacing w:val="5"/>
              </w:rPr>
              <w:t>严重</w:t>
            </w:r>
          </w:p>
        </w:tc>
        <w:tc>
          <w:tcPr>
            <w:tcW w:w="5846" w:type="dxa"/>
            <w:vAlign w:val="top"/>
          </w:tcPr>
          <w:p>
            <w:pPr>
              <w:pStyle w:val="TableText"/>
              <w:ind w:left="101" w:hanging="69"/>
              <w:spacing w:before="217" w:line="332" w:lineRule="auto"/>
              <w:rPr/>
            </w:pPr>
            <w:r>
              <w:rPr>
                <w:spacing w:val="1"/>
              </w:rPr>
              <w:t>未按照规定建立并保存疫苗接收、购进、储存、配送、</w:t>
            </w:r>
            <w:r>
              <w:rPr>
                <w:spacing w:val="18"/>
              </w:rPr>
              <w:t xml:space="preserve"> </w:t>
            </w:r>
            <w:r>
              <w:rPr>
                <w:spacing w:val="-3"/>
              </w:rPr>
              <w:t>供应、接种、处置记录，导致疫苗管理混乱。</w:t>
            </w:r>
          </w:p>
        </w:tc>
        <w:tc>
          <w:tcPr>
            <w:tcW w:w="4921" w:type="dxa"/>
            <w:vAlign w:val="top"/>
          </w:tcPr>
          <w:p>
            <w:pPr>
              <w:pStyle w:val="TableText"/>
              <w:ind w:left="116"/>
              <w:spacing w:before="216" w:line="364" w:lineRule="auto"/>
              <w:rPr/>
            </w:pPr>
            <w:r>
              <w:rPr>
                <w:spacing w:val="-1"/>
              </w:rPr>
              <w:t>给予警告，由原发证部门吊销负有责任的医疗</w:t>
            </w:r>
            <w:r>
              <w:rPr>
                <w:spacing w:val="13"/>
              </w:rPr>
              <w:t xml:space="preserve"> </w:t>
            </w:r>
            <w:r>
              <w:rPr>
                <w:spacing w:val="-1"/>
              </w:rPr>
              <w:t>卫生人员的执业证书。</w:t>
            </w:r>
          </w:p>
        </w:tc>
      </w:tr>
    </w:tbl>
    <w:p>
      <w:pPr>
        <w:ind w:left="789"/>
        <w:spacing w:before="107" w:line="221" w:lineRule="auto"/>
        <w:rPr>
          <w:rFonts w:ascii="FangSong" w:hAnsi="FangSong" w:eastAsia="FangSong" w:cs="FangSong"/>
          <w:sz w:val="29"/>
          <w:szCs w:val="29"/>
        </w:rPr>
      </w:pPr>
      <w:r>
        <w:rPr>
          <w:rFonts w:ascii="FangSong" w:hAnsi="FangSong" w:eastAsia="FangSong" w:cs="FangSong"/>
          <w:sz w:val="29"/>
          <w:szCs w:val="29"/>
          <w:b/>
          <w:bCs/>
          <w:spacing w:val="33"/>
        </w:rPr>
        <w:t>第四十二条未按照规定告知、询问受种者或者其监护人有关情况</w:t>
      </w:r>
    </w:p>
    <w:p>
      <w:pPr>
        <w:ind w:left="774"/>
        <w:spacing w:before="100" w:line="222" w:lineRule="auto"/>
        <w:rPr>
          <w:rFonts w:ascii="FangSong" w:hAnsi="FangSong" w:eastAsia="FangSong" w:cs="FangSong"/>
          <w:sz w:val="29"/>
          <w:szCs w:val="29"/>
        </w:rPr>
      </w:pPr>
      <w:r>
        <w:rPr>
          <w:rFonts w:ascii="FangSong" w:hAnsi="FangSong" w:eastAsia="FangSong" w:cs="FangSong"/>
          <w:sz w:val="29"/>
          <w:szCs w:val="29"/>
          <w:spacing w:val="6"/>
        </w:rPr>
        <w:t>法律依据：</w:t>
      </w:r>
    </w:p>
    <w:p>
      <w:pPr>
        <w:ind w:left="114" w:right="125" w:firstLine="645"/>
        <w:spacing w:before="89" w:line="281" w:lineRule="auto"/>
        <w:jc w:val="both"/>
        <w:rPr>
          <w:rFonts w:ascii="FangSong" w:hAnsi="FangSong" w:eastAsia="FangSong" w:cs="FangSong"/>
          <w:sz w:val="29"/>
          <w:szCs w:val="29"/>
        </w:rPr>
      </w:pPr>
      <w:r>
        <w:rPr>
          <w:rFonts w:ascii="FangSong" w:hAnsi="FangSong" w:eastAsia="FangSong" w:cs="FangSong"/>
          <w:sz w:val="29"/>
          <w:szCs w:val="29"/>
          <w:spacing w:val="35"/>
        </w:rPr>
        <w:t>《中华人民共和国疫苗管理法》第八十八条第(四)项</w:t>
      </w:r>
      <w:r>
        <w:rPr>
          <w:rFonts w:ascii="FangSong" w:hAnsi="FangSong" w:eastAsia="FangSong" w:cs="FangSong"/>
          <w:sz w:val="29"/>
          <w:szCs w:val="29"/>
          <w:spacing w:val="35"/>
        </w:rPr>
        <w:t xml:space="preserve">   </w:t>
      </w:r>
      <w:r>
        <w:rPr>
          <w:rFonts w:ascii="FangSong" w:hAnsi="FangSong" w:eastAsia="FangSong" w:cs="FangSong"/>
          <w:sz w:val="29"/>
          <w:szCs w:val="29"/>
          <w:spacing w:val="35"/>
        </w:rPr>
        <w:t>违反本法规定，疾病预防控制机构、</w:t>
      </w:r>
      <w:r>
        <w:rPr>
          <w:rFonts w:ascii="FangSong" w:hAnsi="FangSong" w:eastAsia="FangSong" w:cs="FangSong"/>
          <w:sz w:val="29"/>
          <w:szCs w:val="29"/>
        </w:rPr>
        <w:t xml:space="preserve"> </w:t>
      </w:r>
      <w:r>
        <w:rPr>
          <w:rFonts w:ascii="FangSong" w:hAnsi="FangSong" w:eastAsia="FangSong" w:cs="FangSong"/>
          <w:sz w:val="29"/>
          <w:szCs w:val="29"/>
          <w:spacing w:val="26"/>
        </w:rPr>
        <w:t>接种单位有下列情形之一的，由县级以上人民政府卫生健康主管部门责令改正，给予警告；情节严重</w:t>
      </w:r>
      <w:r>
        <w:rPr>
          <w:rFonts w:ascii="FangSong" w:hAnsi="FangSong" w:eastAsia="FangSong" w:cs="FangSong"/>
          <w:sz w:val="29"/>
          <w:szCs w:val="29"/>
          <w:spacing w:val="11"/>
        </w:rPr>
        <w:t xml:space="preserve"> </w:t>
      </w:r>
      <w:r>
        <w:rPr>
          <w:rFonts w:ascii="FangSong" w:hAnsi="FangSong" w:eastAsia="FangSong" w:cs="FangSong"/>
          <w:sz w:val="29"/>
          <w:szCs w:val="29"/>
          <w:spacing w:val="26"/>
        </w:rPr>
        <w:t>的，对主要负责人、直接负责的主管人员和其他直接责任人员依法给予警告直至撤职处分，责令负有</w:t>
      </w:r>
      <w:r>
        <w:rPr>
          <w:rFonts w:ascii="FangSong" w:hAnsi="FangSong" w:eastAsia="FangSong" w:cs="FangSong"/>
          <w:sz w:val="29"/>
          <w:szCs w:val="29"/>
          <w:spacing w:val="14"/>
        </w:rPr>
        <w:t xml:space="preserve"> </w:t>
      </w:r>
      <w:r>
        <w:rPr>
          <w:rFonts w:ascii="FangSong" w:hAnsi="FangSong" w:eastAsia="FangSong" w:cs="FangSong"/>
          <w:sz w:val="29"/>
          <w:szCs w:val="29"/>
          <w:spacing w:val="26"/>
        </w:rPr>
        <w:t>责任的医疗卫生人员暂停六个月以上一年以下执业活动；造成严重后果的，对主要负责人、直接负责</w:t>
      </w:r>
    </w:p>
    <w:p>
      <w:pPr>
        <w:spacing w:line="281" w:lineRule="auto"/>
        <w:sectPr>
          <w:footerReference w:type="default" r:id="rId118"/>
          <w:pgSz w:w="16830" w:h="11900"/>
          <w:pgMar w:top="1011" w:right="1344" w:bottom="1097" w:left="1325" w:header="0" w:footer="764" w:gutter="0"/>
        </w:sectPr>
        <w:rPr>
          <w:rFonts w:ascii="FangSong" w:hAnsi="FangSong" w:eastAsia="FangSong" w:cs="FangSong"/>
          <w:sz w:val="29"/>
          <w:szCs w:val="29"/>
        </w:rPr>
      </w:pPr>
    </w:p>
    <w:p>
      <w:pPr>
        <w:pStyle w:val="BodyText"/>
        <w:spacing w:line="266" w:lineRule="auto"/>
        <w:rPr/>
      </w:pPr>
      <w:r/>
    </w:p>
    <w:p>
      <w:pPr>
        <w:pStyle w:val="BodyText"/>
        <w:spacing w:line="266" w:lineRule="auto"/>
        <w:rPr/>
      </w:pPr>
      <w:r/>
    </w:p>
    <w:p>
      <w:pPr>
        <w:pStyle w:val="BodyText"/>
        <w:spacing w:line="266" w:lineRule="auto"/>
        <w:rPr/>
      </w:pPr>
      <w:r/>
    </w:p>
    <w:p>
      <w:pPr>
        <w:ind w:left="124" w:right="101" w:firstLine="20"/>
        <w:spacing w:before="94" w:line="286" w:lineRule="auto"/>
        <w:rPr>
          <w:rFonts w:ascii="FangSong" w:hAnsi="FangSong" w:eastAsia="FangSong" w:cs="FangSong"/>
          <w:sz w:val="29"/>
          <w:szCs w:val="29"/>
        </w:rPr>
      </w:pPr>
      <w:r>
        <w:rPr>
          <w:rFonts w:ascii="FangSong" w:hAnsi="FangSong" w:eastAsia="FangSong" w:cs="FangSong"/>
          <w:sz w:val="29"/>
          <w:szCs w:val="29"/>
          <w:spacing w:val="26"/>
        </w:rPr>
        <w:t>的主管人员和其他直接责任人员依法给予开除处分，由原发证部门吊销负有责任的医疗卫生人员的执</w:t>
      </w:r>
      <w:r>
        <w:rPr>
          <w:rFonts w:ascii="FangSong" w:hAnsi="FangSong" w:eastAsia="FangSong" w:cs="FangSong"/>
          <w:sz w:val="29"/>
          <w:szCs w:val="29"/>
          <w:spacing w:val="18"/>
        </w:rPr>
        <w:t xml:space="preserve"> </w:t>
      </w:r>
      <w:r>
        <w:rPr>
          <w:rFonts w:ascii="FangSong" w:hAnsi="FangSong" w:eastAsia="FangSong" w:cs="FangSong"/>
          <w:sz w:val="29"/>
          <w:szCs w:val="29"/>
          <w:spacing w:val="11"/>
        </w:rPr>
        <w:t>业证书：</w:t>
      </w:r>
    </w:p>
    <w:p>
      <w:pPr>
        <w:ind w:left="935"/>
        <w:spacing w:before="1" w:line="220" w:lineRule="auto"/>
        <w:rPr>
          <w:rFonts w:ascii="FangSong" w:hAnsi="FangSong" w:eastAsia="FangSong" w:cs="FangSong"/>
          <w:sz w:val="29"/>
          <w:szCs w:val="29"/>
        </w:rPr>
      </w:pPr>
      <w:r>
        <w:rPr>
          <w:rFonts w:ascii="FangSong" w:hAnsi="FangSong" w:eastAsia="FangSong" w:cs="FangSong"/>
          <w:sz w:val="29"/>
          <w:szCs w:val="29"/>
          <w:spacing w:val="33"/>
        </w:rPr>
        <w:t>(四)未按照规定告知、询问受种者或者其监护人有关情况。</w:t>
      </w:r>
    </w:p>
    <w:p>
      <w:pPr>
        <w:ind w:left="6529"/>
        <w:spacing w:before="81" w:line="221" w:lineRule="auto"/>
        <w:rPr>
          <w:rFonts w:ascii="SimHei" w:hAnsi="SimHei" w:eastAsia="SimHei" w:cs="SimHei"/>
          <w:sz w:val="29"/>
          <w:szCs w:val="29"/>
        </w:rPr>
      </w:pPr>
      <w:r>
        <w:rPr>
          <w:rFonts w:ascii="SimHei" w:hAnsi="SimHei" w:eastAsia="SimHei" w:cs="SimHei"/>
          <w:sz w:val="29"/>
          <w:szCs w:val="29"/>
          <w:b/>
          <w:bCs/>
          <w:spacing w:val="-6"/>
        </w:rPr>
        <w:t>裁量标准</w:t>
      </w:r>
    </w:p>
    <w:p>
      <w:pPr>
        <w:spacing w:line="162" w:lineRule="exact"/>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84"/>
        <w:gridCol w:w="829"/>
        <w:gridCol w:w="6775"/>
        <w:gridCol w:w="5272"/>
      </w:tblGrid>
      <w:tr>
        <w:trPr>
          <w:trHeight w:val="853" w:hRule="atLeast"/>
        </w:trPr>
        <w:tc>
          <w:tcPr>
            <w:tcW w:w="2113" w:type="dxa"/>
            <w:vAlign w:val="top"/>
            <w:gridSpan w:val="2"/>
          </w:tcPr>
          <w:p>
            <w:pPr>
              <w:pStyle w:val="TableText"/>
              <w:ind w:left="468"/>
              <w:spacing w:before="18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6775" w:type="dxa"/>
            <w:vAlign w:val="top"/>
          </w:tcPr>
          <w:p>
            <w:pPr>
              <w:pStyle w:val="TableText"/>
              <w:ind w:left="2815"/>
              <w:spacing w:before="202" w:line="220" w:lineRule="auto"/>
              <w:rPr/>
            </w:pPr>
            <w:r>
              <w:rPr>
                <w:b/>
                <w:bCs/>
                <w:spacing w:val="-5"/>
              </w:rPr>
              <w:t>情节后果</w:t>
            </w:r>
          </w:p>
        </w:tc>
        <w:tc>
          <w:tcPr>
            <w:tcW w:w="5272" w:type="dxa"/>
            <w:vAlign w:val="top"/>
          </w:tcPr>
          <w:p>
            <w:pPr>
              <w:pStyle w:val="TableText"/>
              <w:ind w:left="2060"/>
              <w:spacing w:before="179" w:line="218" w:lineRule="auto"/>
              <w:rPr/>
            </w:pPr>
            <w:r>
              <w:rPr>
                <w:b/>
                <w:bCs/>
                <w:spacing w:val="-5"/>
              </w:rPr>
              <w:t>裁量幅度</w:t>
            </w:r>
          </w:p>
        </w:tc>
      </w:tr>
      <w:tr>
        <w:trPr>
          <w:trHeight w:val="1507" w:hRule="atLeast"/>
        </w:trPr>
        <w:tc>
          <w:tcPr>
            <w:tcW w:w="1284" w:type="dxa"/>
            <w:vAlign w:val="top"/>
          </w:tcPr>
          <w:p>
            <w:pPr>
              <w:spacing w:line="280" w:lineRule="auto"/>
              <w:rPr>
                <w:rFonts w:ascii="Arial"/>
                <w:sz w:val="21"/>
              </w:rPr>
            </w:pPr>
            <w:r/>
          </w:p>
          <w:p>
            <w:pPr>
              <w:spacing w:line="280" w:lineRule="auto"/>
              <w:rPr>
                <w:rFonts w:ascii="Arial"/>
                <w:sz w:val="21"/>
              </w:rPr>
            </w:pPr>
            <w:r/>
          </w:p>
          <w:p>
            <w:pPr>
              <w:pStyle w:val="TableText"/>
              <w:ind w:left="395"/>
              <w:spacing w:before="78" w:line="219" w:lineRule="auto"/>
              <w:rPr/>
            </w:pPr>
            <w:r>
              <w:rPr>
                <w:color w:val="404040"/>
                <w:spacing w:val="-3"/>
              </w:rPr>
              <w:t>较轻</w:t>
            </w:r>
          </w:p>
        </w:tc>
        <w:tc>
          <w:tcPr>
            <w:tcW w:w="7604" w:type="dxa"/>
            <w:vAlign w:val="top"/>
            <w:gridSpan w:val="2"/>
          </w:tcPr>
          <w:p>
            <w:pPr>
              <w:pStyle w:val="TableText"/>
              <w:ind w:left="71" w:right="70"/>
              <w:spacing w:before="90" w:line="337" w:lineRule="auto"/>
              <w:jc w:val="both"/>
              <w:rPr/>
            </w:pPr>
            <w:r>
              <w:rPr/>
              <w:t>未按照规定告知所接种疫苗的品种、作用、禁忌、不良反应以及注意事</w:t>
            </w:r>
            <w:r>
              <w:rPr>
                <w:spacing w:val="10"/>
              </w:rPr>
              <w:t xml:space="preserve"> </w:t>
            </w:r>
            <w:r>
              <w:rPr/>
              <w:t>项或未按照规定询问受种者的健康状况以及是否有接种禁忌等情况，未</w:t>
            </w:r>
            <w:r>
              <w:rPr>
                <w:spacing w:val="10"/>
              </w:rPr>
              <w:t xml:space="preserve"> </w:t>
            </w:r>
            <w:r>
              <w:rPr>
                <w:spacing w:val="7"/>
              </w:rPr>
              <w:t>造成不良后果。</w:t>
            </w:r>
          </w:p>
        </w:tc>
        <w:tc>
          <w:tcPr>
            <w:tcW w:w="5272" w:type="dxa"/>
            <w:vAlign w:val="top"/>
          </w:tcPr>
          <w:p>
            <w:pPr>
              <w:spacing w:line="279" w:lineRule="auto"/>
              <w:rPr>
                <w:rFonts w:ascii="Arial"/>
                <w:sz w:val="21"/>
              </w:rPr>
            </w:pPr>
            <w:r/>
          </w:p>
          <w:p>
            <w:pPr>
              <w:spacing w:line="279" w:lineRule="auto"/>
              <w:rPr>
                <w:rFonts w:ascii="Arial"/>
                <w:sz w:val="21"/>
              </w:rPr>
            </w:pPr>
            <w:r/>
          </w:p>
          <w:p>
            <w:pPr>
              <w:pStyle w:val="TableText"/>
              <w:ind w:left="97"/>
              <w:spacing w:before="78" w:line="218" w:lineRule="auto"/>
              <w:rPr/>
            </w:pPr>
            <w:r>
              <w:rPr/>
              <w:t>给予警告。</w:t>
            </w:r>
          </w:p>
        </w:tc>
      </w:tr>
      <w:tr>
        <w:trPr>
          <w:trHeight w:val="1098" w:hRule="atLeast"/>
        </w:trPr>
        <w:tc>
          <w:tcPr>
            <w:tcW w:w="1284"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spacing w:line="301" w:lineRule="auto"/>
              <w:rPr>
                <w:rFonts w:ascii="Arial"/>
                <w:sz w:val="21"/>
              </w:rPr>
            </w:pPr>
            <w:r/>
          </w:p>
          <w:p>
            <w:pPr>
              <w:pStyle w:val="TableText"/>
              <w:ind w:left="395"/>
              <w:spacing w:before="78" w:line="221" w:lineRule="auto"/>
              <w:rPr/>
            </w:pPr>
            <w:r>
              <w:rPr>
                <w:spacing w:val="5"/>
              </w:rPr>
              <w:t>一般</w:t>
            </w:r>
          </w:p>
        </w:tc>
        <w:tc>
          <w:tcPr>
            <w:tcW w:w="7604" w:type="dxa"/>
            <w:vAlign w:val="top"/>
            <w:gridSpan w:val="2"/>
          </w:tcPr>
          <w:p>
            <w:pPr>
              <w:pStyle w:val="TableText"/>
              <w:ind w:left="71"/>
              <w:spacing w:before="112" w:line="218" w:lineRule="auto"/>
              <w:rPr/>
            </w:pPr>
            <w:r>
              <w:rPr/>
              <w:t>未按照规定告知、询问受种者或者其监护人有关情况，涉及受种者不足</w:t>
            </w:r>
          </w:p>
          <w:p>
            <w:pPr>
              <w:pStyle w:val="TableText"/>
              <w:ind w:left="121"/>
              <w:spacing w:before="158" w:line="219" w:lineRule="auto"/>
              <w:rPr/>
            </w:pPr>
            <w:r>
              <w:rPr>
                <w:spacing w:val="28"/>
              </w:rPr>
              <w:t>十人次</w:t>
            </w:r>
            <w:r>
              <w:rPr>
                <w:spacing w:val="-57"/>
              </w:rPr>
              <w:t xml:space="preserve"> </w:t>
            </w:r>
            <w:r>
              <w:rPr>
                <w:spacing w:val="28"/>
              </w:rPr>
              <w:t>；</w:t>
            </w:r>
          </w:p>
        </w:tc>
        <w:tc>
          <w:tcPr>
            <w:tcW w:w="5272" w:type="dxa"/>
            <w:vAlign w:val="top"/>
          </w:tcPr>
          <w:p>
            <w:pPr>
              <w:pStyle w:val="TableText"/>
              <w:ind w:left="97" w:right="114"/>
              <w:spacing w:before="132" w:line="311" w:lineRule="auto"/>
              <w:rPr/>
            </w:pPr>
            <w:r>
              <w:rPr/>
              <w:t>给予警告，责令负有责任的医疗卫生人员暂停六</w:t>
            </w:r>
            <w:r>
              <w:rPr>
                <w:spacing w:val="9"/>
              </w:rPr>
              <w:t xml:space="preserve"> </w:t>
            </w:r>
            <w:r>
              <w:rPr>
                <w:spacing w:val="8"/>
              </w:rPr>
              <w:t>个月以上九个月以下执业活动；</w:t>
            </w:r>
          </w:p>
        </w:tc>
      </w:tr>
      <w:tr>
        <w:trPr>
          <w:trHeight w:val="1078" w:hRule="atLeast"/>
        </w:trPr>
        <w:tc>
          <w:tcPr>
            <w:tcW w:w="1284" w:type="dxa"/>
            <w:vAlign w:val="top"/>
            <w:vMerge w:val="continue"/>
            <w:tcBorders>
              <w:top w:val="nil"/>
            </w:tcBorders>
          </w:tcPr>
          <w:p>
            <w:pPr>
              <w:rPr>
                <w:rFonts w:ascii="Arial"/>
                <w:sz w:val="21"/>
              </w:rPr>
            </w:pPr>
            <w:r/>
          </w:p>
        </w:tc>
        <w:tc>
          <w:tcPr>
            <w:tcW w:w="7604" w:type="dxa"/>
            <w:vAlign w:val="top"/>
            <w:gridSpan w:val="2"/>
          </w:tcPr>
          <w:p>
            <w:pPr>
              <w:pStyle w:val="TableText"/>
              <w:ind w:left="120" w:right="73" w:hanging="49"/>
              <w:spacing w:before="84" w:line="342" w:lineRule="auto"/>
              <w:rPr/>
            </w:pPr>
            <w:r>
              <w:rPr/>
              <w:t>未按照规定告知、询问受种者或者其监护人有关情况，涉及受种者超过</w:t>
            </w:r>
            <w:r>
              <w:rPr>
                <w:spacing w:val="8"/>
              </w:rPr>
              <w:t xml:space="preserve"> </w:t>
            </w:r>
            <w:r>
              <w:rPr>
                <w:spacing w:val="-1"/>
              </w:rPr>
              <w:t>十人次。</w:t>
            </w:r>
          </w:p>
        </w:tc>
        <w:tc>
          <w:tcPr>
            <w:tcW w:w="5272" w:type="dxa"/>
            <w:vAlign w:val="top"/>
          </w:tcPr>
          <w:p>
            <w:pPr>
              <w:pStyle w:val="TableText"/>
              <w:ind w:left="97" w:right="114"/>
              <w:spacing w:before="83" w:line="350" w:lineRule="auto"/>
              <w:rPr/>
            </w:pPr>
            <w:r>
              <w:rPr/>
              <w:t>给予警告，责令负有责任的医疗卫生人员暂停六</w:t>
            </w:r>
            <w:r>
              <w:rPr>
                <w:spacing w:val="9"/>
              </w:rPr>
              <w:t xml:space="preserve"> </w:t>
            </w:r>
            <w:r>
              <w:rPr/>
              <w:t>个月以上九个月以下执业活动。</w:t>
            </w:r>
          </w:p>
        </w:tc>
      </w:tr>
      <w:tr>
        <w:trPr>
          <w:trHeight w:val="1143" w:hRule="atLeast"/>
        </w:trPr>
        <w:tc>
          <w:tcPr>
            <w:tcW w:w="1284" w:type="dxa"/>
            <w:vAlign w:val="top"/>
          </w:tcPr>
          <w:p>
            <w:pPr>
              <w:spacing w:line="269" w:lineRule="auto"/>
              <w:rPr>
                <w:rFonts w:ascii="Arial"/>
                <w:sz w:val="21"/>
              </w:rPr>
            </w:pPr>
            <w:r/>
          </w:p>
          <w:p>
            <w:pPr>
              <w:pStyle w:val="TableText"/>
              <w:ind w:left="395"/>
              <w:spacing w:before="78" w:line="220" w:lineRule="auto"/>
              <w:rPr/>
            </w:pPr>
            <w:r>
              <w:rPr>
                <w:color w:val="404040"/>
                <w:spacing w:val="5"/>
              </w:rPr>
              <w:t>严重</w:t>
            </w:r>
          </w:p>
        </w:tc>
        <w:tc>
          <w:tcPr>
            <w:tcW w:w="7604" w:type="dxa"/>
            <w:vAlign w:val="top"/>
            <w:gridSpan w:val="2"/>
          </w:tcPr>
          <w:p>
            <w:pPr>
              <w:pStyle w:val="TableText"/>
              <w:ind w:left="120" w:right="72" w:hanging="49"/>
              <w:spacing w:before="135" w:line="350" w:lineRule="auto"/>
              <w:rPr/>
            </w:pPr>
            <w:r>
              <w:rPr/>
              <w:t>未按照规定告知、询问受种者或者其监护人有关情况，导致受种者身体</w:t>
            </w:r>
            <w:r>
              <w:rPr>
                <w:spacing w:val="9"/>
              </w:rPr>
              <w:t xml:space="preserve"> </w:t>
            </w:r>
            <w:r>
              <w:rPr/>
              <w:t>伤害。</w:t>
            </w:r>
          </w:p>
        </w:tc>
        <w:tc>
          <w:tcPr>
            <w:tcW w:w="5272" w:type="dxa"/>
            <w:vAlign w:val="top"/>
          </w:tcPr>
          <w:p>
            <w:pPr>
              <w:pStyle w:val="TableText"/>
              <w:ind w:left="97" w:right="113"/>
              <w:spacing w:before="126" w:line="364" w:lineRule="auto"/>
              <w:rPr/>
            </w:pPr>
            <w:r>
              <w:rPr/>
              <w:t>给予警告，由原发证部门吊销负有责任的医疗卫</w:t>
            </w:r>
            <w:r>
              <w:rPr>
                <w:spacing w:val="10"/>
              </w:rPr>
              <w:t xml:space="preserve"> </w:t>
            </w:r>
            <w:r>
              <w:rPr/>
              <w:t>生人员的执业证书。</w:t>
            </w:r>
          </w:p>
        </w:tc>
      </w:tr>
    </w:tbl>
    <w:p>
      <w:pPr>
        <w:pStyle w:val="BodyText"/>
        <w:rPr/>
      </w:pPr>
      <w:r/>
    </w:p>
    <w:p>
      <w:pPr>
        <w:sectPr>
          <w:footerReference w:type="default" r:id="rId119"/>
          <w:pgSz w:w="16830" w:h="11900"/>
          <w:pgMar w:top="1011" w:right="1344" w:bottom="1098" w:left="1314" w:header="0" w:footer="765" w:gutter="0"/>
        </w:sectPr>
        <w:rPr/>
      </w:pPr>
    </w:p>
    <w:p>
      <w:pPr>
        <w:pStyle w:val="BodyText"/>
        <w:spacing w:line="259" w:lineRule="auto"/>
        <w:rPr/>
      </w:pPr>
      <w:r/>
    </w:p>
    <w:p>
      <w:pPr>
        <w:pStyle w:val="BodyText"/>
        <w:spacing w:line="260" w:lineRule="auto"/>
        <w:rPr/>
      </w:pPr>
      <w:r/>
    </w:p>
    <w:p>
      <w:pPr>
        <w:pStyle w:val="BodyText"/>
        <w:spacing w:line="260" w:lineRule="auto"/>
        <w:rPr/>
      </w:pPr>
      <w:r/>
    </w:p>
    <w:p>
      <w:pPr>
        <w:ind w:left="119" w:right="109" w:firstLine="670"/>
        <w:spacing w:before="97" w:line="269" w:lineRule="auto"/>
        <w:rPr>
          <w:rFonts w:ascii="FangSong" w:hAnsi="FangSong" w:eastAsia="FangSong" w:cs="FangSong"/>
          <w:sz w:val="30"/>
          <w:szCs w:val="30"/>
        </w:rPr>
      </w:pPr>
      <w:bookmarkStart w:name="bookmark783" w:id="76"/>
      <w:bookmarkEnd w:id="76"/>
      <w:r>
        <w:rPr>
          <w:rFonts w:ascii="FangSong" w:hAnsi="FangSong" w:eastAsia="FangSong" w:cs="FangSong"/>
          <w:sz w:val="30"/>
          <w:szCs w:val="30"/>
          <w:b/>
          <w:bCs/>
          <w:spacing w:val="20"/>
        </w:rPr>
        <w:t>第四十三条疾病预防控制机构、接种单位、医疗机构未按照规定报告疑似预防接种异常反应、</w:t>
      </w:r>
      <w:r>
        <w:rPr>
          <w:rFonts w:ascii="FangSong" w:hAnsi="FangSong" w:eastAsia="FangSong" w:cs="FangSong"/>
          <w:sz w:val="30"/>
          <w:szCs w:val="30"/>
          <w:spacing w:val="11"/>
        </w:rPr>
        <w:t xml:space="preserve"> </w:t>
      </w:r>
      <w:r>
        <w:rPr>
          <w:rFonts w:ascii="FangSong" w:hAnsi="FangSong" w:eastAsia="FangSong" w:cs="FangSong"/>
          <w:sz w:val="30"/>
          <w:szCs w:val="30"/>
          <w:b/>
          <w:bCs/>
          <w:spacing w:val="17"/>
        </w:rPr>
        <w:t>疫苗安全事件等，或者未按照规定对疑似预防接种异常反应组织调</w:t>
      </w:r>
      <w:r>
        <w:rPr>
          <w:rFonts w:ascii="FangSong" w:hAnsi="FangSong" w:eastAsia="FangSong" w:cs="FangSong"/>
          <w:sz w:val="30"/>
          <w:szCs w:val="30"/>
          <w:b/>
          <w:bCs/>
          <w:spacing w:val="16"/>
        </w:rPr>
        <w:t>查、诊断等的</w:t>
      </w:r>
    </w:p>
    <w:p>
      <w:pPr>
        <w:ind w:left="114" w:right="115" w:firstLine="339"/>
        <w:spacing w:before="7" w:line="270" w:lineRule="auto"/>
        <w:jc w:val="both"/>
        <w:rPr>
          <w:rFonts w:ascii="FangSong" w:hAnsi="FangSong" w:eastAsia="FangSong" w:cs="FangSong"/>
          <w:sz w:val="30"/>
          <w:szCs w:val="30"/>
        </w:rPr>
      </w:pPr>
      <w:r>
        <w:rPr>
          <w:rFonts w:ascii="FangSong" w:hAnsi="FangSong" w:eastAsia="FangSong" w:cs="FangSong"/>
          <w:sz w:val="30"/>
          <w:szCs w:val="30"/>
          <w:spacing w:val="13"/>
        </w:rPr>
        <w:t>法律依据：</w:t>
      </w:r>
      <w:r>
        <w:rPr>
          <w:rFonts w:ascii="FangSong" w:hAnsi="FangSong" w:eastAsia="FangSong" w:cs="FangSong"/>
          <w:sz w:val="30"/>
          <w:szCs w:val="30"/>
          <w:spacing w:val="75"/>
        </w:rPr>
        <w:t xml:space="preserve"> </w:t>
      </w:r>
      <w:r>
        <w:rPr>
          <w:rFonts w:ascii="FangSong" w:hAnsi="FangSong" w:eastAsia="FangSong" w:cs="FangSong"/>
          <w:sz w:val="30"/>
          <w:szCs w:val="30"/>
          <w:spacing w:val="13"/>
        </w:rPr>
        <w:t>《中华人民共和国疫苗管理法》第八十九条</w:t>
      </w:r>
      <w:r>
        <w:rPr>
          <w:rFonts w:ascii="FangSong" w:hAnsi="FangSong" w:eastAsia="FangSong" w:cs="FangSong"/>
          <w:sz w:val="30"/>
          <w:szCs w:val="30"/>
          <w:spacing w:val="13"/>
        </w:rPr>
        <w:t xml:space="preserve">   </w:t>
      </w:r>
      <w:r>
        <w:rPr>
          <w:rFonts w:ascii="FangSong" w:hAnsi="FangSong" w:eastAsia="FangSong" w:cs="FangSong"/>
          <w:sz w:val="30"/>
          <w:szCs w:val="30"/>
          <w:spacing w:val="13"/>
        </w:rPr>
        <w:t>疾病预防控制机构、接种单位、医疗机</w:t>
      </w:r>
      <w:r>
        <w:rPr>
          <w:rFonts w:ascii="FangSong" w:hAnsi="FangSong" w:eastAsia="FangSong" w:cs="FangSong"/>
          <w:sz w:val="30"/>
          <w:szCs w:val="30"/>
        </w:rPr>
        <w:t xml:space="preserve"> </w:t>
      </w:r>
      <w:r>
        <w:rPr>
          <w:rFonts w:ascii="FangSong" w:hAnsi="FangSong" w:eastAsia="FangSong" w:cs="FangSong"/>
          <w:sz w:val="30"/>
          <w:szCs w:val="30"/>
          <w:spacing w:val="16"/>
        </w:rPr>
        <w:t>构未按照规定报告疑似预防接种异常反应、疫苗安全事件等，或者未按照规定对疑似预防接种异常反</w:t>
      </w:r>
      <w:r>
        <w:rPr>
          <w:rFonts w:ascii="FangSong" w:hAnsi="FangSong" w:eastAsia="FangSong" w:cs="FangSong"/>
          <w:sz w:val="30"/>
          <w:szCs w:val="30"/>
          <w:spacing w:val="13"/>
        </w:rPr>
        <w:t xml:space="preserve"> </w:t>
      </w:r>
      <w:r>
        <w:rPr>
          <w:rFonts w:ascii="FangSong" w:hAnsi="FangSong" w:eastAsia="FangSong" w:cs="FangSong"/>
          <w:sz w:val="30"/>
          <w:szCs w:val="30"/>
          <w:spacing w:val="16"/>
        </w:rPr>
        <w:t>应组织调查、诊断等的，由县级以上人民政府卫生健康主管部门责令改正，警告；情节严重的，对接</w:t>
      </w:r>
      <w:r>
        <w:rPr>
          <w:rFonts w:ascii="FangSong" w:hAnsi="FangSong" w:eastAsia="FangSong" w:cs="FangSong"/>
          <w:sz w:val="30"/>
          <w:szCs w:val="30"/>
          <w:spacing w:val="13"/>
        </w:rPr>
        <w:t xml:space="preserve"> </w:t>
      </w:r>
      <w:r>
        <w:rPr>
          <w:rFonts w:ascii="FangSong" w:hAnsi="FangSong" w:eastAsia="FangSong" w:cs="FangSong"/>
          <w:sz w:val="30"/>
          <w:szCs w:val="30"/>
          <w:spacing w:val="17"/>
        </w:rPr>
        <w:t>种单位、医疗机构处五万元以上五十万元以下的罚款，</w:t>
      </w:r>
      <w:r>
        <w:rPr>
          <w:rFonts w:ascii="FangSong" w:hAnsi="FangSong" w:eastAsia="FangSong" w:cs="FangSong"/>
          <w:sz w:val="30"/>
          <w:szCs w:val="30"/>
          <w:spacing w:val="16"/>
        </w:rPr>
        <w:t>对疾病预防控制机构、接种单位、医疗机构的</w:t>
      </w:r>
      <w:r>
        <w:rPr>
          <w:rFonts w:ascii="FangSong" w:hAnsi="FangSong" w:eastAsia="FangSong" w:cs="FangSong"/>
          <w:sz w:val="30"/>
          <w:szCs w:val="30"/>
        </w:rPr>
        <w:t xml:space="preserve"> </w:t>
      </w:r>
      <w:r>
        <w:rPr>
          <w:rFonts w:ascii="FangSong" w:hAnsi="FangSong" w:eastAsia="FangSong" w:cs="FangSong"/>
          <w:sz w:val="30"/>
          <w:szCs w:val="30"/>
          <w:spacing w:val="16"/>
        </w:rPr>
        <w:t>主要负责人、直接负责的主管人员和其他直接责任人员依法警告直至撤职处分；造成严重后果的，对</w:t>
      </w:r>
    </w:p>
    <w:p>
      <w:pPr>
        <w:ind w:left="114" w:right="148"/>
        <w:spacing w:before="1" w:line="272" w:lineRule="auto"/>
        <w:rPr>
          <w:rFonts w:ascii="FangSong" w:hAnsi="FangSong" w:eastAsia="FangSong" w:cs="FangSong"/>
          <w:sz w:val="30"/>
          <w:szCs w:val="30"/>
        </w:rPr>
      </w:pPr>
      <w:r>
        <w:rPr>
          <w:rFonts w:ascii="FangSong" w:hAnsi="FangSong" w:eastAsia="FangSong" w:cs="FangSong"/>
          <w:sz w:val="30"/>
          <w:szCs w:val="30"/>
          <w:spacing w:val="16"/>
        </w:rPr>
        <w:t>主要负责人、直接负责的主管人员和其他直接责任人员依法给予开除处分，由原</w:t>
      </w:r>
      <w:r>
        <w:rPr>
          <w:rFonts w:ascii="FangSong" w:hAnsi="FangSong" w:eastAsia="FangSong" w:cs="FangSong"/>
          <w:sz w:val="30"/>
          <w:szCs w:val="30"/>
          <w:spacing w:val="15"/>
        </w:rPr>
        <w:t>发证部门吊销负有责</w:t>
      </w:r>
      <w:r>
        <w:rPr>
          <w:rFonts w:ascii="FangSong" w:hAnsi="FangSong" w:eastAsia="FangSong" w:cs="FangSong"/>
          <w:sz w:val="30"/>
          <w:szCs w:val="30"/>
        </w:rPr>
        <w:t xml:space="preserve"> </w:t>
      </w:r>
      <w:r>
        <w:rPr>
          <w:rFonts w:ascii="FangSong" w:hAnsi="FangSong" w:eastAsia="FangSong" w:cs="FangSong"/>
          <w:sz w:val="30"/>
          <w:szCs w:val="30"/>
          <w:spacing w:val="16"/>
        </w:rPr>
        <w:t>任的医疗卫生人员的执业证书。</w:t>
      </w:r>
    </w:p>
    <w:p>
      <w:pPr>
        <w:ind w:left="6518"/>
        <w:spacing w:before="11"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60" w:lineRule="exact"/>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34"/>
        <w:gridCol w:w="9203"/>
        <w:gridCol w:w="3212"/>
      </w:tblGrid>
      <w:tr>
        <w:trPr>
          <w:trHeight w:val="852" w:hRule="atLeast"/>
        </w:trPr>
        <w:tc>
          <w:tcPr>
            <w:tcW w:w="1734" w:type="dxa"/>
            <w:vAlign w:val="top"/>
          </w:tcPr>
          <w:p>
            <w:pPr>
              <w:pStyle w:val="TableText"/>
              <w:ind w:left="378"/>
              <w:spacing w:before="182" w:line="220" w:lineRule="auto"/>
              <w:rPr/>
            </w:pPr>
            <w:r>
              <w:rPr>
                <w:b/>
                <w:bCs/>
                <w:spacing w:val="-5"/>
              </w:rPr>
              <w:t>违法程度</w:t>
            </w:r>
          </w:p>
        </w:tc>
        <w:tc>
          <w:tcPr>
            <w:tcW w:w="9203" w:type="dxa"/>
            <w:vAlign w:val="top"/>
          </w:tcPr>
          <w:p>
            <w:pPr>
              <w:pStyle w:val="TableText"/>
              <w:ind w:left="4114"/>
              <w:spacing w:before="182" w:line="220" w:lineRule="auto"/>
              <w:rPr/>
            </w:pPr>
            <w:r>
              <w:rPr>
                <w:b/>
                <w:bCs/>
                <w:spacing w:val="-5"/>
              </w:rPr>
              <w:t>情节后果</w:t>
            </w:r>
          </w:p>
        </w:tc>
        <w:tc>
          <w:tcPr>
            <w:tcW w:w="3212" w:type="dxa"/>
            <w:vAlign w:val="top"/>
          </w:tcPr>
          <w:p>
            <w:pPr>
              <w:pStyle w:val="TableText"/>
              <w:ind w:left="1021"/>
              <w:spacing w:before="17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077" w:hRule="atLeast"/>
        </w:trPr>
        <w:tc>
          <w:tcPr>
            <w:tcW w:w="1734" w:type="dxa"/>
            <w:vAlign w:val="top"/>
          </w:tcPr>
          <w:p>
            <w:pPr>
              <w:pStyle w:val="TableText"/>
              <w:ind w:left="614"/>
              <w:spacing w:before="303" w:line="219" w:lineRule="auto"/>
              <w:rPr/>
            </w:pPr>
            <w:r>
              <w:rPr>
                <w:color w:val="405050"/>
                <w:spacing w:val="-3"/>
              </w:rPr>
              <w:t>较轻</w:t>
            </w:r>
          </w:p>
        </w:tc>
        <w:tc>
          <w:tcPr>
            <w:tcW w:w="9203" w:type="dxa"/>
            <w:vAlign w:val="top"/>
          </w:tcPr>
          <w:p>
            <w:pPr>
              <w:pStyle w:val="TableText"/>
              <w:ind w:left="208" w:hanging="178"/>
              <w:spacing w:before="79" w:line="350" w:lineRule="auto"/>
              <w:rPr/>
            </w:pPr>
            <w:r>
              <w:rPr>
                <w:spacing w:val="1"/>
              </w:rPr>
              <w:t>疾病预防控制机构、接种单位、医疗机构未按照规定报告一例疑似预防接种异常反应、</w:t>
            </w:r>
            <w:r>
              <w:rPr>
                <w:spacing w:val="3"/>
              </w:rPr>
              <w:t xml:space="preserve"> </w:t>
            </w:r>
            <w:r>
              <w:rPr>
                <w:spacing w:val="-2"/>
              </w:rPr>
              <w:t>疫苗安全事件等，或者未按照规定对一例疑似预防接种异常反应组织调查、诊断等。</w:t>
            </w:r>
          </w:p>
        </w:tc>
        <w:tc>
          <w:tcPr>
            <w:tcW w:w="3212" w:type="dxa"/>
            <w:vAlign w:val="top"/>
          </w:tcPr>
          <w:p>
            <w:pPr>
              <w:pStyle w:val="TableText"/>
              <w:ind w:left="118"/>
              <w:spacing w:before="300" w:line="218" w:lineRule="auto"/>
              <w:rPr/>
            </w:pPr>
            <w:r>
              <w:rPr/>
              <w:t>给予警告。</w:t>
            </w:r>
          </w:p>
        </w:tc>
      </w:tr>
      <w:tr>
        <w:trPr>
          <w:trHeight w:val="1501" w:hRule="atLeast"/>
        </w:trPr>
        <w:tc>
          <w:tcPr>
            <w:tcW w:w="1734" w:type="dxa"/>
            <w:vAlign w:val="top"/>
          </w:tcPr>
          <w:p>
            <w:pPr>
              <w:spacing w:line="277" w:lineRule="auto"/>
              <w:rPr>
                <w:rFonts w:ascii="Arial"/>
                <w:sz w:val="21"/>
              </w:rPr>
            </w:pPr>
            <w:r/>
          </w:p>
          <w:p>
            <w:pPr>
              <w:spacing w:line="278" w:lineRule="auto"/>
              <w:rPr>
                <w:rFonts w:ascii="Arial"/>
                <w:sz w:val="21"/>
              </w:rPr>
            </w:pPr>
            <w:r/>
          </w:p>
          <w:p>
            <w:pPr>
              <w:pStyle w:val="TableText"/>
              <w:ind w:left="614"/>
              <w:spacing w:before="78" w:line="221" w:lineRule="auto"/>
              <w:rPr/>
            </w:pPr>
            <w:r>
              <w:rPr>
                <w:spacing w:val="5"/>
              </w:rPr>
              <w:t>一般</w:t>
            </w:r>
          </w:p>
        </w:tc>
        <w:tc>
          <w:tcPr>
            <w:tcW w:w="9203" w:type="dxa"/>
            <w:vAlign w:val="top"/>
          </w:tcPr>
          <w:p>
            <w:pPr>
              <w:pStyle w:val="TableText"/>
              <w:ind w:left="30" w:firstLine="119"/>
              <w:spacing w:before="85" w:line="340" w:lineRule="auto"/>
              <w:jc w:val="both"/>
              <w:rPr/>
            </w:pPr>
            <w:r>
              <w:rPr>
                <w:spacing w:val="-2"/>
              </w:rPr>
              <w:t>疾病预防控制机构、接种单位、医疗机构未按照规定报告二至十例疑似预防接种异常</w:t>
            </w:r>
            <w:r>
              <w:rPr>
                <w:spacing w:val="3"/>
              </w:rPr>
              <w:t xml:space="preserve">   </w:t>
            </w:r>
            <w:r>
              <w:rPr>
                <w:spacing w:val="1"/>
              </w:rPr>
              <w:t>反应、疫苗安全事件等，或者未按照规定对二至十例疑似预防接种异常反应组织调查、</w:t>
            </w:r>
            <w:r>
              <w:rPr>
                <w:spacing w:val="3"/>
              </w:rPr>
              <w:t xml:space="preserve"> </w:t>
            </w:r>
            <w:r>
              <w:rPr>
                <w:spacing w:val="10"/>
              </w:rPr>
              <w:t>诊</w:t>
            </w:r>
            <w:r>
              <w:rPr>
                <w:spacing w:val="-38"/>
              </w:rPr>
              <w:t xml:space="preserve"> </w:t>
            </w:r>
            <w:r>
              <w:rPr>
                <w:spacing w:val="10"/>
              </w:rPr>
              <w:t>断</w:t>
            </w:r>
            <w:r>
              <w:rPr>
                <w:spacing w:val="-47"/>
              </w:rPr>
              <w:t xml:space="preserve"> </w:t>
            </w:r>
            <w:r>
              <w:rPr>
                <w:spacing w:val="10"/>
              </w:rPr>
              <w:t>等</w:t>
            </w:r>
            <w:r>
              <w:rPr>
                <w:spacing w:val="-59"/>
              </w:rPr>
              <w:t xml:space="preserve"> </w:t>
            </w:r>
            <w:r>
              <w:rPr>
                <w:spacing w:val="10"/>
              </w:rPr>
              <w:t>；</w:t>
            </w:r>
          </w:p>
        </w:tc>
        <w:tc>
          <w:tcPr>
            <w:tcW w:w="3212" w:type="dxa"/>
            <w:vAlign w:val="top"/>
          </w:tcPr>
          <w:p>
            <w:pPr>
              <w:pStyle w:val="TableText"/>
              <w:ind w:left="156" w:right="33" w:hanging="119"/>
              <w:spacing w:before="83" w:line="344" w:lineRule="auto"/>
              <w:rPr/>
            </w:pPr>
            <w:r>
              <w:rPr/>
              <w:t>给予警告，对接种单位、医疗</w:t>
            </w:r>
            <w:r>
              <w:rPr>
                <w:spacing w:val="9"/>
              </w:rPr>
              <w:t xml:space="preserve"> </w:t>
            </w:r>
            <w:r>
              <w:rPr>
                <w:spacing w:val="-1"/>
              </w:rPr>
              <w:t>机构处五万元以上二十万元</w:t>
            </w:r>
          </w:p>
          <w:p>
            <w:pPr>
              <w:pStyle w:val="TableText"/>
              <w:ind w:left="118"/>
              <w:spacing w:before="1" w:line="220" w:lineRule="auto"/>
              <w:rPr/>
            </w:pPr>
            <w:r>
              <w:rPr>
                <w:spacing w:val="19"/>
              </w:rPr>
              <w:t>以下的罚款；</w:t>
            </w:r>
          </w:p>
        </w:tc>
      </w:tr>
    </w:tbl>
    <w:p>
      <w:pPr>
        <w:pStyle w:val="BodyText"/>
        <w:rPr/>
      </w:pPr>
      <w:r/>
    </w:p>
    <w:p>
      <w:pPr>
        <w:sectPr>
          <w:footerReference w:type="default" r:id="rId120"/>
          <w:pgSz w:w="16830" w:h="11900"/>
          <w:pgMar w:top="1011" w:right="1344" w:bottom="1117" w:left="1325" w:header="0" w:footer="784" w:gutter="0"/>
        </w:sectPr>
        <w:rPr/>
      </w:pPr>
    </w:p>
    <w:p>
      <w:pPr>
        <w:spacing w:before="20"/>
        <w:rPr/>
      </w:pPr>
      <w:r/>
    </w:p>
    <w:p>
      <w:pPr>
        <w:spacing w:before="20"/>
        <w:rPr/>
      </w:pPr>
      <w:r/>
    </w:p>
    <w:p>
      <w:pPr>
        <w:spacing w:before="19"/>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64"/>
        <w:gridCol w:w="9183"/>
        <w:gridCol w:w="3223"/>
      </w:tblGrid>
      <w:tr>
        <w:trPr>
          <w:trHeight w:val="1529" w:hRule="atLeast"/>
        </w:trPr>
        <w:tc>
          <w:tcPr>
            <w:tcW w:w="1764" w:type="dxa"/>
            <w:vAlign w:val="top"/>
          </w:tcPr>
          <w:p>
            <w:pPr>
              <w:rPr>
                <w:rFonts w:ascii="Arial"/>
                <w:sz w:val="21"/>
              </w:rPr>
            </w:pPr>
            <w:r/>
          </w:p>
        </w:tc>
        <w:tc>
          <w:tcPr>
            <w:tcW w:w="9183" w:type="dxa"/>
            <w:vAlign w:val="top"/>
          </w:tcPr>
          <w:p>
            <w:pPr>
              <w:pStyle w:val="TableText"/>
              <w:ind w:left="100" w:right="167" w:firstLine="10"/>
              <w:spacing w:before="94" w:line="340" w:lineRule="auto"/>
              <w:jc w:val="both"/>
              <w:rPr/>
            </w:pPr>
            <w:bookmarkStart w:name="bookmark784" w:id="77"/>
            <w:bookmarkEnd w:id="77"/>
            <w:r>
              <w:rPr/>
              <w:t>疾病预防控制机构、接种单位、医疗机构未按照规定报告十一例以上疑似预防接种异</w:t>
            </w:r>
            <w:r>
              <w:rPr>
                <w:spacing w:val="13"/>
              </w:rPr>
              <w:t xml:space="preserve"> </w:t>
            </w:r>
            <w:r>
              <w:rPr>
                <w:spacing w:val="1"/>
              </w:rPr>
              <w:t>常反应、疫苗安全事件等，或者未按照规定对十一</w:t>
            </w:r>
            <w:r>
              <w:rPr/>
              <w:t>例以上疑似预防接种异常反应组织 </w:t>
            </w:r>
            <w:r>
              <w:rPr/>
              <w:t>调查、诊断等。</w:t>
            </w:r>
          </w:p>
        </w:tc>
        <w:tc>
          <w:tcPr>
            <w:tcW w:w="3223" w:type="dxa"/>
            <w:vAlign w:val="top"/>
          </w:tcPr>
          <w:p>
            <w:pPr>
              <w:pStyle w:val="TableText"/>
              <w:ind w:left="167" w:right="34" w:hanging="119"/>
              <w:spacing w:before="94" w:line="339" w:lineRule="auto"/>
              <w:rPr/>
            </w:pPr>
            <w:r>
              <w:rPr/>
              <w:t>给予警告，对接种单位、医疗</w:t>
            </w:r>
            <w:r>
              <w:rPr>
                <w:spacing w:val="9"/>
              </w:rPr>
              <w:t xml:space="preserve"> </w:t>
            </w:r>
            <w:r>
              <w:rPr>
                <w:spacing w:val="1"/>
              </w:rPr>
              <w:t>机构处二十万元以上五十万</w:t>
            </w:r>
          </w:p>
          <w:p>
            <w:pPr>
              <w:pStyle w:val="TableText"/>
              <w:ind w:left="118"/>
              <w:spacing w:line="220" w:lineRule="auto"/>
              <w:rPr/>
            </w:pPr>
            <w:r>
              <w:rPr/>
              <w:t>元以下的罚款。</w:t>
            </w:r>
          </w:p>
        </w:tc>
      </w:tr>
      <w:tr>
        <w:trPr>
          <w:trHeight w:val="1500" w:hRule="atLeast"/>
        </w:trPr>
        <w:tc>
          <w:tcPr>
            <w:tcW w:w="1764" w:type="dxa"/>
            <w:vAlign w:val="top"/>
          </w:tcPr>
          <w:p>
            <w:pPr>
              <w:spacing w:line="277" w:lineRule="auto"/>
              <w:rPr>
                <w:rFonts w:ascii="Arial"/>
                <w:sz w:val="21"/>
              </w:rPr>
            </w:pPr>
            <w:r/>
          </w:p>
          <w:p>
            <w:pPr>
              <w:spacing w:line="278" w:lineRule="auto"/>
              <w:rPr>
                <w:rFonts w:ascii="Arial"/>
                <w:sz w:val="21"/>
              </w:rPr>
            </w:pPr>
            <w:r/>
          </w:p>
          <w:p>
            <w:pPr>
              <w:pStyle w:val="TableText"/>
              <w:ind w:left="624"/>
              <w:spacing w:before="78" w:line="220" w:lineRule="auto"/>
              <w:rPr/>
            </w:pPr>
            <w:r>
              <w:rPr>
                <w:spacing w:val="5"/>
              </w:rPr>
              <w:t>严重</w:t>
            </w:r>
          </w:p>
        </w:tc>
        <w:tc>
          <w:tcPr>
            <w:tcW w:w="9183" w:type="dxa"/>
            <w:vAlign w:val="top"/>
          </w:tcPr>
          <w:p>
            <w:pPr>
              <w:spacing w:line="277" w:lineRule="auto"/>
              <w:rPr>
                <w:rFonts w:ascii="Arial"/>
                <w:sz w:val="21"/>
              </w:rPr>
            </w:pPr>
            <w:r/>
          </w:p>
          <w:p>
            <w:pPr>
              <w:spacing w:line="277" w:lineRule="auto"/>
              <w:rPr>
                <w:rFonts w:ascii="Arial"/>
                <w:sz w:val="21"/>
              </w:rPr>
            </w:pPr>
            <w:r/>
          </w:p>
          <w:p>
            <w:pPr>
              <w:pStyle w:val="TableText"/>
              <w:ind w:left="100"/>
              <w:spacing w:before="78" w:line="219" w:lineRule="auto"/>
              <w:rPr/>
            </w:pPr>
            <w:r>
              <w:rPr/>
              <w:t>严重影响有关部门对预防接种异常反应、疫苗安全事件的调查处理和治疗。</w:t>
            </w:r>
          </w:p>
        </w:tc>
        <w:tc>
          <w:tcPr>
            <w:tcW w:w="3223" w:type="dxa"/>
            <w:vAlign w:val="top"/>
          </w:tcPr>
          <w:p>
            <w:pPr>
              <w:pStyle w:val="TableText"/>
              <w:ind w:left="167" w:right="27" w:hanging="119"/>
              <w:spacing w:before="102" w:line="327" w:lineRule="auto"/>
              <w:rPr/>
            </w:pPr>
            <w:r>
              <w:rPr>
                <w:spacing w:val="1"/>
              </w:rPr>
              <w:t>给予警告，由原发证部门吊销</w:t>
            </w:r>
            <w:r>
              <w:rPr>
                <w:spacing w:val="3"/>
              </w:rPr>
              <w:t xml:space="preserve"> </w:t>
            </w:r>
            <w:r>
              <w:rPr>
                <w:spacing w:val="1"/>
              </w:rPr>
              <w:t>负有责任的医疗卫生人员的</w:t>
            </w:r>
          </w:p>
          <w:p>
            <w:pPr>
              <w:pStyle w:val="TableText"/>
              <w:ind w:left="118"/>
              <w:spacing w:before="21" w:line="219" w:lineRule="auto"/>
              <w:rPr/>
            </w:pPr>
            <w:r>
              <w:rPr/>
              <w:t>执业证书。</w:t>
            </w:r>
          </w:p>
        </w:tc>
      </w:tr>
    </w:tbl>
    <w:p>
      <w:pPr>
        <w:ind w:left="129" w:right="429" w:firstLine="660"/>
        <w:spacing w:before="149" w:line="269" w:lineRule="auto"/>
        <w:rPr>
          <w:rFonts w:ascii="KaiTi" w:hAnsi="KaiTi" w:eastAsia="KaiTi" w:cs="KaiTi"/>
          <w:sz w:val="30"/>
          <w:szCs w:val="30"/>
        </w:rPr>
      </w:pPr>
      <w:r>
        <w:rPr>
          <w:rFonts w:ascii="FangSong" w:hAnsi="FangSong" w:eastAsia="FangSong" w:cs="FangSong"/>
          <w:sz w:val="30"/>
          <w:szCs w:val="30"/>
          <w:b/>
          <w:bCs/>
          <w:spacing w:val="21"/>
        </w:rPr>
        <w:t>第四十四条未经县级以上地方人民政府卫生健康主管部门指定擅自从事免疫规</w:t>
      </w:r>
      <w:r>
        <w:rPr>
          <w:rFonts w:ascii="FangSong" w:hAnsi="FangSong" w:eastAsia="FangSong" w:cs="FangSong"/>
          <w:sz w:val="30"/>
          <w:szCs w:val="30"/>
          <w:b/>
          <w:bCs/>
          <w:spacing w:val="20"/>
        </w:rPr>
        <w:t>划疫苗接种工</w:t>
      </w:r>
      <w:r>
        <w:rPr>
          <w:rFonts w:ascii="FangSong" w:hAnsi="FangSong" w:eastAsia="FangSong" w:cs="FangSong"/>
          <w:sz w:val="30"/>
          <w:szCs w:val="30"/>
        </w:rPr>
        <w:t xml:space="preserve"> </w:t>
      </w:r>
      <w:r>
        <w:rPr>
          <w:rFonts w:ascii="KaiTi" w:hAnsi="KaiTi" w:eastAsia="KaiTi" w:cs="KaiTi"/>
          <w:sz w:val="30"/>
          <w:szCs w:val="30"/>
          <w:b/>
          <w:bCs/>
          <w:spacing w:val="17"/>
        </w:rPr>
        <w:t>作、从事非免疫规划疫苗接种工作不符合条件或者未</w:t>
      </w:r>
      <w:r>
        <w:rPr>
          <w:rFonts w:ascii="KaiTi" w:hAnsi="KaiTi" w:eastAsia="KaiTi" w:cs="KaiTi"/>
          <w:sz w:val="30"/>
          <w:szCs w:val="30"/>
          <w:b/>
          <w:bCs/>
          <w:spacing w:val="16"/>
        </w:rPr>
        <w:t>备案的</w:t>
      </w:r>
    </w:p>
    <w:p>
      <w:pPr>
        <w:ind w:left="124" w:right="112" w:firstLine="649"/>
        <w:spacing w:before="4" w:line="269" w:lineRule="auto"/>
        <w:jc w:val="both"/>
        <w:rPr>
          <w:rFonts w:ascii="FangSong" w:hAnsi="FangSong" w:eastAsia="FangSong" w:cs="FangSong"/>
          <w:sz w:val="30"/>
          <w:szCs w:val="30"/>
        </w:rPr>
      </w:pPr>
      <w:r>
        <w:rPr>
          <w:rFonts w:ascii="FangSong" w:hAnsi="FangSong" w:eastAsia="FangSong" w:cs="FangSong"/>
          <w:sz w:val="30"/>
          <w:szCs w:val="30"/>
          <w:spacing w:val="14"/>
        </w:rPr>
        <w:t>法律依据：</w:t>
      </w:r>
      <w:r>
        <w:rPr>
          <w:rFonts w:ascii="FangSong" w:hAnsi="FangSong" w:eastAsia="FangSong" w:cs="FangSong"/>
          <w:sz w:val="30"/>
          <w:szCs w:val="30"/>
          <w:spacing w:val="50"/>
        </w:rPr>
        <w:t xml:space="preserve"> </w:t>
      </w:r>
      <w:r>
        <w:rPr>
          <w:rFonts w:ascii="FangSong" w:hAnsi="FangSong" w:eastAsia="FangSong" w:cs="FangSong"/>
          <w:sz w:val="30"/>
          <w:szCs w:val="30"/>
          <w:spacing w:val="14"/>
        </w:rPr>
        <w:t>《中华人民共和国疫苗管理法》第九十一条第一款</w:t>
      </w:r>
      <w:r>
        <w:rPr>
          <w:rFonts w:ascii="FangSong" w:hAnsi="FangSong" w:eastAsia="FangSong" w:cs="FangSong"/>
          <w:sz w:val="30"/>
          <w:szCs w:val="30"/>
          <w:spacing w:val="14"/>
        </w:rPr>
        <w:t xml:space="preserve">   </w:t>
      </w:r>
      <w:r>
        <w:rPr>
          <w:rFonts w:ascii="FangSong" w:hAnsi="FangSong" w:eastAsia="FangSong" w:cs="FangSong"/>
          <w:sz w:val="30"/>
          <w:szCs w:val="30"/>
          <w:spacing w:val="14"/>
        </w:rPr>
        <w:t>违反本法规定，未经</w:t>
      </w:r>
      <w:r>
        <w:rPr>
          <w:rFonts w:ascii="FangSong" w:hAnsi="FangSong" w:eastAsia="FangSong" w:cs="FangSong"/>
          <w:sz w:val="30"/>
          <w:szCs w:val="30"/>
          <w:spacing w:val="13"/>
        </w:rPr>
        <w:t>县级以上</w:t>
      </w:r>
      <w:r>
        <w:rPr>
          <w:rFonts w:ascii="FangSong" w:hAnsi="FangSong" w:eastAsia="FangSong" w:cs="FangSong"/>
          <w:sz w:val="30"/>
          <w:szCs w:val="30"/>
        </w:rPr>
        <w:t xml:space="preserve"> </w:t>
      </w:r>
      <w:r>
        <w:rPr>
          <w:rFonts w:ascii="FangSong" w:hAnsi="FangSong" w:eastAsia="FangSong" w:cs="FangSong"/>
          <w:sz w:val="30"/>
          <w:szCs w:val="30"/>
          <w:spacing w:val="17"/>
        </w:rPr>
        <w:t>地方人民政府卫生健康主管部门指定擅自从事免疫规划疫苗接种工作</w:t>
      </w:r>
      <w:r>
        <w:rPr>
          <w:rFonts w:ascii="FangSong" w:hAnsi="FangSong" w:eastAsia="FangSong" w:cs="FangSong"/>
          <w:sz w:val="30"/>
          <w:szCs w:val="30"/>
          <w:spacing w:val="16"/>
        </w:rPr>
        <w:t>、从事非免疫规划疫苗接种工作</w:t>
      </w:r>
      <w:r>
        <w:rPr>
          <w:rFonts w:ascii="FangSong" w:hAnsi="FangSong" w:eastAsia="FangSong" w:cs="FangSong"/>
          <w:sz w:val="30"/>
          <w:szCs w:val="30"/>
        </w:rPr>
        <w:t xml:space="preserve"> </w:t>
      </w:r>
      <w:r>
        <w:rPr>
          <w:rFonts w:ascii="FangSong" w:hAnsi="FangSong" w:eastAsia="FangSong" w:cs="FangSong"/>
          <w:sz w:val="30"/>
          <w:szCs w:val="30"/>
          <w:spacing w:val="17"/>
        </w:rPr>
        <w:t>不符合条件或者未备案的，由县级以上人民政府卫生健康主管部门责令改正，警告，</w:t>
      </w:r>
      <w:r>
        <w:rPr>
          <w:rFonts w:ascii="FangSong" w:hAnsi="FangSong" w:eastAsia="FangSong" w:cs="FangSong"/>
          <w:sz w:val="30"/>
          <w:szCs w:val="30"/>
          <w:spacing w:val="16"/>
        </w:rPr>
        <w:t>没收违法所得和</w:t>
      </w:r>
      <w:r>
        <w:rPr>
          <w:rFonts w:ascii="FangSong" w:hAnsi="FangSong" w:eastAsia="FangSong" w:cs="FangSong"/>
          <w:sz w:val="30"/>
          <w:szCs w:val="30"/>
        </w:rPr>
        <w:t xml:space="preserve"> </w:t>
      </w:r>
      <w:r>
        <w:rPr>
          <w:rFonts w:ascii="FangSong" w:hAnsi="FangSong" w:eastAsia="FangSong" w:cs="FangSong"/>
          <w:sz w:val="30"/>
          <w:szCs w:val="30"/>
          <w:spacing w:val="17"/>
        </w:rPr>
        <w:t>违法持有的疫苗，责令停业整顿，并处十万元以上一百万元以下的罚款，对主</w:t>
      </w:r>
      <w:r>
        <w:rPr>
          <w:rFonts w:ascii="FangSong" w:hAnsi="FangSong" w:eastAsia="FangSong" w:cs="FangSong"/>
          <w:sz w:val="30"/>
          <w:szCs w:val="30"/>
          <w:spacing w:val="16"/>
        </w:rPr>
        <w:t>要负责人、直接负责的</w:t>
      </w:r>
      <w:r>
        <w:rPr>
          <w:rFonts w:ascii="FangSong" w:hAnsi="FangSong" w:eastAsia="FangSong" w:cs="FangSong"/>
          <w:sz w:val="30"/>
          <w:szCs w:val="30"/>
        </w:rPr>
        <w:t xml:space="preserve"> </w:t>
      </w:r>
      <w:r>
        <w:rPr>
          <w:rFonts w:ascii="FangSong" w:hAnsi="FangSong" w:eastAsia="FangSong" w:cs="FangSong"/>
          <w:sz w:val="30"/>
          <w:szCs w:val="30"/>
          <w:spacing w:val="15"/>
        </w:rPr>
        <w:t>主管人员和其他直接责任人员依法给予处分。</w:t>
      </w:r>
    </w:p>
    <w:p>
      <w:pPr>
        <w:ind w:left="6749"/>
        <w:spacing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70" w:type="dxa"/>
        <w:tblInd w:w="12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8334"/>
        <w:gridCol w:w="4122"/>
      </w:tblGrid>
      <w:tr>
        <w:trPr>
          <w:trHeight w:val="601" w:hRule="atLeast"/>
        </w:trPr>
        <w:tc>
          <w:tcPr>
            <w:tcW w:w="1414" w:type="dxa"/>
            <w:vAlign w:val="top"/>
          </w:tcPr>
          <w:p>
            <w:pPr>
              <w:pStyle w:val="TableText"/>
              <w:ind w:left="198"/>
              <w:spacing w:before="182" w:line="220" w:lineRule="auto"/>
              <w:rPr>
                <w:sz w:val="25"/>
                <w:szCs w:val="25"/>
              </w:rPr>
            </w:pPr>
            <w:r>
              <w:rPr>
                <w:sz w:val="25"/>
                <w:szCs w:val="25"/>
                <w:b/>
                <w:bCs/>
                <w:spacing w:val="-5"/>
              </w:rPr>
              <w:t>违法程度</w:t>
            </w:r>
          </w:p>
        </w:tc>
        <w:tc>
          <w:tcPr>
            <w:tcW w:w="8334" w:type="dxa"/>
            <w:vAlign w:val="top"/>
          </w:tcPr>
          <w:p>
            <w:pPr>
              <w:pStyle w:val="TableText"/>
              <w:ind w:left="3664"/>
              <w:spacing w:before="182" w:line="220" w:lineRule="auto"/>
              <w:rPr>
                <w:sz w:val="25"/>
                <w:szCs w:val="25"/>
              </w:rPr>
            </w:pPr>
            <w:r>
              <w:rPr>
                <w:sz w:val="25"/>
                <w:szCs w:val="25"/>
                <w:b/>
                <w:bCs/>
                <w:spacing w:val="-5"/>
              </w:rPr>
              <w:t>情节后果</w:t>
            </w:r>
          </w:p>
        </w:tc>
        <w:tc>
          <w:tcPr>
            <w:tcW w:w="4122" w:type="dxa"/>
            <w:vAlign w:val="top"/>
          </w:tcPr>
          <w:p>
            <w:pPr>
              <w:pStyle w:val="TableText"/>
              <w:ind w:left="1560"/>
              <w:spacing w:before="179" w:line="218" w:lineRule="auto"/>
              <w:rPr>
                <w:sz w:val="25"/>
                <w:szCs w:val="25"/>
              </w:rPr>
            </w:pPr>
            <w:r>
              <w:rPr>
                <w:sz w:val="25"/>
                <w:szCs w:val="25"/>
                <w:b/>
                <w:bCs/>
                <w:spacing w:val="-5"/>
              </w:rPr>
              <w:t>裁量幅度</w:t>
            </w:r>
          </w:p>
        </w:tc>
      </w:tr>
      <w:tr>
        <w:trPr>
          <w:trHeight w:val="969" w:hRule="atLeast"/>
        </w:trPr>
        <w:tc>
          <w:tcPr>
            <w:tcW w:w="1414" w:type="dxa"/>
            <w:vAlign w:val="top"/>
          </w:tcPr>
          <w:p>
            <w:pPr>
              <w:spacing w:line="277" w:lineRule="auto"/>
              <w:rPr>
                <w:rFonts w:ascii="Arial"/>
                <w:sz w:val="21"/>
              </w:rPr>
            </w:pPr>
            <w:r/>
          </w:p>
          <w:p>
            <w:pPr>
              <w:pStyle w:val="TableText"/>
              <w:ind w:left="448"/>
              <w:spacing w:before="82" w:line="219" w:lineRule="auto"/>
              <w:rPr>
                <w:sz w:val="25"/>
                <w:szCs w:val="25"/>
              </w:rPr>
            </w:pPr>
            <w:r>
              <w:rPr>
                <w:sz w:val="25"/>
                <w:szCs w:val="25"/>
                <w:b/>
                <w:bCs/>
                <w:spacing w:val="-6"/>
              </w:rPr>
              <w:t>轻微</w:t>
            </w:r>
          </w:p>
        </w:tc>
        <w:tc>
          <w:tcPr>
            <w:tcW w:w="8334" w:type="dxa"/>
            <w:vAlign w:val="top"/>
          </w:tcPr>
          <w:p>
            <w:pPr>
              <w:pStyle w:val="TableText"/>
              <w:ind w:left="14" w:firstLine="20"/>
              <w:spacing w:before="200" w:line="280" w:lineRule="auto"/>
              <w:rPr>
                <w:sz w:val="25"/>
                <w:szCs w:val="25"/>
              </w:rPr>
            </w:pPr>
            <w:r>
              <w:rPr>
                <w:sz w:val="25"/>
                <w:szCs w:val="25"/>
                <w:b/>
                <w:bCs/>
                <w:spacing w:val="-3"/>
              </w:rPr>
              <w:t>未经县级以上地方人民政府卫生健康主管部门指定擅</w:t>
            </w:r>
            <w:r>
              <w:rPr>
                <w:sz w:val="25"/>
                <w:szCs w:val="25"/>
                <w:b/>
                <w:bCs/>
                <w:spacing w:val="-4"/>
              </w:rPr>
              <w:t>自从事免疫规划疫苗接</w:t>
            </w:r>
            <w:r>
              <w:rPr>
                <w:sz w:val="25"/>
                <w:szCs w:val="25"/>
              </w:rPr>
              <w:t xml:space="preserve">  </w:t>
            </w:r>
            <w:r>
              <w:rPr>
                <w:sz w:val="25"/>
                <w:szCs w:val="25"/>
                <w:b/>
                <w:bCs/>
                <w:spacing w:val="-8"/>
              </w:rPr>
              <w:t>种工作、从事非免疫规划疫苗接种工作不符合条件或者未</w:t>
            </w:r>
            <w:r>
              <w:rPr>
                <w:sz w:val="25"/>
                <w:szCs w:val="25"/>
                <w:b/>
                <w:bCs/>
                <w:spacing w:val="-9"/>
              </w:rPr>
              <w:t>备案的，违法所得在</w:t>
            </w:r>
          </w:p>
        </w:tc>
        <w:tc>
          <w:tcPr>
            <w:tcW w:w="4122" w:type="dxa"/>
            <w:vAlign w:val="top"/>
          </w:tcPr>
          <w:p>
            <w:pPr>
              <w:pStyle w:val="TableText"/>
              <w:ind w:left="60" w:right="63"/>
              <w:spacing w:before="197" w:line="281" w:lineRule="auto"/>
              <w:rPr>
                <w:sz w:val="25"/>
                <w:szCs w:val="25"/>
              </w:rPr>
            </w:pPr>
            <w:r>
              <w:rPr>
                <w:sz w:val="25"/>
                <w:szCs w:val="25"/>
                <w:b/>
                <w:bCs/>
                <w:spacing w:val="-4"/>
              </w:rPr>
              <w:t>警告，没收违法所得和违法持有的疫</w:t>
            </w:r>
            <w:r>
              <w:rPr>
                <w:sz w:val="25"/>
                <w:szCs w:val="25"/>
                <w:spacing w:val="7"/>
              </w:rPr>
              <w:t xml:space="preserve"> </w:t>
            </w:r>
            <w:r>
              <w:rPr>
                <w:sz w:val="25"/>
                <w:szCs w:val="25"/>
                <w:b/>
                <w:bCs/>
                <w:spacing w:val="-4"/>
              </w:rPr>
              <w:t>苗，责令停业整顿，并处十万元以上</w:t>
            </w:r>
          </w:p>
        </w:tc>
      </w:tr>
    </w:tbl>
    <w:p>
      <w:pPr>
        <w:pStyle w:val="BodyText"/>
        <w:rPr/>
      </w:pPr>
      <w:r/>
    </w:p>
    <w:p>
      <w:pPr>
        <w:sectPr>
          <w:footerReference w:type="default" r:id="rId121"/>
          <w:pgSz w:w="16830" w:h="11900"/>
          <w:pgMar w:top="1011" w:right="1335" w:bottom="1108" w:left="1314" w:header="0" w:footer="775" w:gutter="0"/>
        </w:sectPr>
        <w:rPr/>
      </w:pPr>
    </w:p>
    <w:p>
      <w:pPr>
        <w:spacing w:before="13"/>
        <w:rPr/>
      </w:pPr>
      <w:r/>
    </w:p>
    <w:p>
      <w:pPr>
        <w:spacing w:before="13"/>
        <w:rPr/>
      </w:pPr>
      <w:r/>
    </w:p>
    <w:p>
      <w:pPr>
        <w:spacing w:before="13"/>
        <w:rPr/>
      </w:pPr>
      <w:r/>
    </w:p>
    <w:tbl>
      <w:tblPr>
        <w:tblStyle w:val="TableNormal"/>
        <w:tblW w:w="138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8374"/>
        <w:gridCol w:w="4092"/>
      </w:tblGrid>
      <w:tr>
        <w:trPr>
          <w:trHeight w:val="992" w:hRule="atLeast"/>
        </w:trPr>
        <w:tc>
          <w:tcPr>
            <w:tcW w:w="1414" w:type="dxa"/>
            <w:vAlign w:val="top"/>
          </w:tcPr>
          <w:p>
            <w:pPr>
              <w:rPr>
                <w:rFonts w:ascii="Arial"/>
                <w:sz w:val="21"/>
              </w:rPr>
            </w:pPr>
            <w:r/>
          </w:p>
        </w:tc>
        <w:tc>
          <w:tcPr>
            <w:tcW w:w="8374" w:type="dxa"/>
            <w:vAlign w:val="top"/>
          </w:tcPr>
          <w:p>
            <w:pPr>
              <w:pStyle w:val="TableText"/>
              <w:ind w:left="120"/>
              <w:spacing w:before="165" w:line="220" w:lineRule="auto"/>
              <w:rPr/>
            </w:pPr>
            <w:r>
              <w:rPr>
                <w:spacing w:val="3"/>
              </w:rPr>
              <w:t>不足五万元的</w:t>
            </w:r>
          </w:p>
        </w:tc>
        <w:tc>
          <w:tcPr>
            <w:tcW w:w="4092" w:type="dxa"/>
            <w:vAlign w:val="top"/>
          </w:tcPr>
          <w:p>
            <w:pPr>
              <w:pStyle w:val="TableText"/>
              <w:ind w:left="106"/>
              <w:spacing w:before="145" w:line="220" w:lineRule="auto"/>
              <w:rPr/>
            </w:pPr>
            <w:r>
              <w:rPr>
                <w:spacing w:val="-1"/>
              </w:rPr>
              <w:t>三十万元以下的罚款</w:t>
            </w:r>
          </w:p>
        </w:tc>
      </w:tr>
      <w:tr>
        <w:trPr>
          <w:trHeight w:val="1336" w:hRule="atLeast"/>
        </w:trPr>
        <w:tc>
          <w:tcPr>
            <w:tcW w:w="1414" w:type="dxa"/>
            <w:vAlign w:val="top"/>
          </w:tcPr>
          <w:p>
            <w:pPr>
              <w:spacing w:line="469" w:lineRule="auto"/>
              <w:rPr>
                <w:rFonts w:ascii="Arial"/>
                <w:sz w:val="21"/>
              </w:rPr>
            </w:pPr>
            <w:r/>
          </w:p>
          <w:p>
            <w:pPr>
              <w:pStyle w:val="TableText"/>
              <w:ind w:left="458"/>
              <w:spacing w:before="78" w:line="221" w:lineRule="auto"/>
              <w:rPr/>
            </w:pPr>
            <w:bookmarkStart w:name="bookmark785" w:id="78"/>
            <w:bookmarkEnd w:id="78"/>
            <w:r>
              <w:rPr>
                <w:b/>
                <w:bCs/>
                <w:spacing w:val="-10"/>
              </w:rPr>
              <w:t>一般</w:t>
            </w:r>
          </w:p>
        </w:tc>
        <w:tc>
          <w:tcPr>
            <w:tcW w:w="8374" w:type="dxa"/>
            <w:vAlign w:val="top"/>
          </w:tcPr>
          <w:p>
            <w:pPr>
              <w:pStyle w:val="TableText"/>
              <w:ind w:left="120"/>
              <w:spacing w:before="161" w:line="219" w:lineRule="auto"/>
              <w:rPr/>
            </w:pPr>
            <w:r>
              <w:rPr/>
              <w:t>未经县级以上地方人民政府卫生健康主管部门指定擅自从事免疫规划疫苗接</w:t>
            </w:r>
          </w:p>
          <w:p>
            <w:pPr>
              <w:pStyle w:val="TableText"/>
              <w:ind w:left="120" w:right="69"/>
              <w:spacing w:before="167" w:line="274" w:lineRule="auto"/>
              <w:rPr/>
            </w:pPr>
            <w:r>
              <w:rPr/>
              <w:t>种工作、从事非免疫规划疫苗接种工作不符合条件或者未备案的，违法所得在</w:t>
            </w:r>
            <w:r>
              <w:rPr>
                <w:spacing w:val="12"/>
              </w:rPr>
              <w:t xml:space="preserve"> </w:t>
            </w:r>
            <w:r>
              <w:rPr>
                <w:spacing w:val="1"/>
              </w:rPr>
              <w:t>五万元以上不足二十五万元的</w:t>
            </w:r>
          </w:p>
        </w:tc>
        <w:tc>
          <w:tcPr>
            <w:tcW w:w="4092" w:type="dxa"/>
            <w:vAlign w:val="top"/>
          </w:tcPr>
          <w:p>
            <w:pPr>
              <w:pStyle w:val="TableText"/>
              <w:ind w:left="117" w:right="109"/>
              <w:spacing w:before="163" w:line="298" w:lineRule="auto"/>
              <w:jc w:val="both"/>
              <w:rPr/>
            </w:pPr>
            <w:r>
              <w:rPr/>
              <w:t>没收违法所得和违法持有的疫苗，责</w:t>
            </w:r>
            <w:r>
              <w:rPr>
                <w:spacing w:val="14"/>
              </w:rPr>
              <w:t xml:space="preserve"> </w:t>
            </w:r>
            <w:r>
              <w:rPr/>
              <w:t>令停业整顿，并处三十万元以上六十</w:t>
            </w:r>
            <w:r>
              <w:rPr>
                <w:spacing w:val="10"/>
              </w:rPr>
              <w:t xml:space="preserve"> </w:t>
            </w:r>
            <w:r>
              <w:rPr>
                <w:spacing w:val="1"/>
              </w:rPr>
              <w:t>万元以下的罚款</w:t>
            </w:r>
          </w:p>
        </w:tc>
      </w:tr>
      <w:tr>
        <w:trPr>
          <w:trHeight w:val="1311" w:hRule="atLeast"/>
        </w:trPr>
        <w:tc>
          <w:tcPr>
            <w:tcW w:w="1414" w:type="dxa"/>
            <w:vAlign w:val="top"/>
          </w:tcPr>
          <w:p>
            <w:pPr>
              <w:spacing w:line="463" w:lineRule="auto"/>
              <w:rPr>
                <w:rFonts w:ascii="Arial"/>
                <w:sz w:val="21"/>
              </w:rPr>
            </w:pPr>
            <w:r/>
          </w:p>
          <w:p>
            <w:pPr>
              <w:pStyle w:val="TableText"/>
              <w:ind w:left="458"/>
              <w:spacing w:before="78" w:line="220" w:lineRule="auto"/>
              <w:rPr/>
            </w:pPr>
            <w:r>
              <w:rPr>
                <w:b/>
                <w:bCs/>
                <w:spacing w:val="-6"/>
              </w:rPr>
              <w:t>严重</w:t>
            </w:r>
          </w:p>
        </w:tc>
        <w:tc>
          <w:tcPr>
            <w:tcW w:w="8374" w:type="dxa"/>
            <w:vAlign w:val="top"/>
          </w:tcPr>
          <w:p>
            <w:pPr>
              <w:pStyle w:val="TableText"/>
              <w:ind w:left="120"/>
              <w:spacing w:before="155" w:line="219" w:lineRule="auto"/>
              <w:rPr/>
            </w:pPr>
            <w:r>
              <w:rPr/>
              <w:t>未经县级以上地方人民政府卫生健康主管部门指定擅自从事免疫规划疫苗接</w:t>
            </w:r>
          </w:p>
          <w:p>
            <w:pPr>
              <w:pStyle w:val="TableText"/>
              <w:ind w:left="120" w:right="69"/>
              <w:spacing w:before="166" w:line="267" w:lineRule="auto"/>
              <w:rPr/>
            </w:pPr>
            <w:r>
              <w:rPr/>
              <w:t>种工作、从事非免疫规划疫苗接种工作不符合条件或者未备案的，违法所得在</w:t>
            </w:r>
            <w:r>
              <w:rPr>
                <w:spacing w:val="12"/>
              </w:rPr>
              <w:t xml:space="preserve"> </w:t>
            </w:r>
            <w:r>
              <w:rPr>
                <w:spacing w:val="2"/>
              </w:rPr>
              <w:t>二十五万元以上的</w:t>
            </w:r>
          </w:p>
        </w:tc>
        <w:tc>
          <w:tcPr>
            <w:tcW w:w="4092" w:type="dxa"/>
            <w:vAlign w:val="top"/>
          </w:tcPr>
          <w:p>
            <w:pPr>
              <w:pStyle w:val="TableText"/>
              <w:ind w:left="117" w:right="108"/>
              <w:spacing w:before="158" w:line="293" w:lineRule="auto"/>
              <w:jc w:val="both"/>
              <w:rPr/>
            </w:pPr>
            <w:r>
              <w:rPr/>
              <w:t>没收违法所得和违法持有的疫苗，责</w:t>
            </w:r>
            <w:r>
              <w:rPr>
                <w:spacing w:val="14"/>
              </w:rPr>
              <w:t xml:space="preserve"> </w:t>
            </w:r>
            <w:r>
              <w:rPr>
                <w:spacing w:val="1"/>
              </w:rPr>
              <w:t>令停业整顿，并处六十万元以上一百</w:t>
            </w:r>
            <w:r>
              <w:rPr/>
              <w:t xml:space="preserve"> </w:t>
            </w:r>
            <w:r>
              <w:rPr>
                <w:spacing w:val="1"/>
              </w:rPr>
              <w:t>万元以下的罚款</w:t>
            </w:r>
          </w:p>
        </w:tc>
      </w:tr>
    </w:tbl>
    <w:p>
      <w:pPr>
        <w:ind w:left="669"/>
        <w:spacing w:before="137" w:line="220" w:lineRule="auto"/>
        <w:rPr>
          <w:rFonts w:ascii="FangSong" w:hAnsi="FangSong" w:eastAsia="FangSong" w:cs="FangSong"/>
          <w:sz w:val="30"/>
          <w:szCs w:val="30"/>
        </w:rPr>
      </w:pPr>
      <w:r>
        <w:rPr>
          <w:rFonts w:ascii="FangSong" w:hAnsi="FangSong" w:eastAsia="FangSong" w:cs="FangSong"/>
          <w:sz w:val="30"/>
          <w:szCs w:val="30"/>
          <w:b/>
          <w:bCs/>
          <w:spacing w:val="21"/>
        </w:rPr>
        <w:t>第四十五条疾病预防控制机构、接种单位以外的单位或者个人擅自进行群体性预防接种的</w:t>
      </w:r>
    </w:p>
    <w:p>
      <w:pPr>
        <w:ind w:left="14" w:firstLine="660"/>
        <w:spacing w:before="78" w:line="265" w:lineRule="auto"/>
        <w:jc w:val="both"/>
        <w:rPr>
          <w:rFonts w:ascii="FangSong" w:hAnsi="FangSong" w:eastAsia="FangSong" w:cs="FangSong"/>
          <w:sz w:val="30"/>
          <w:szCs w:val="30"/>
        </w:rPr>
      </w:pPr>
      <w:r>
        <w:rPr>
          <w:rFonts w:ascii="FangSong" w:hAnsi="FangSong" w:eastAsia="FangSong" w:cs="FangSong"/>
          <w:sz w:val="30"/>
          <w:szCs w:val="30"/>
          <w:spacing w:val="14"/>
        </w:rPr>
        <w:t>法律依据：</w:t>
      </w:r>
      <w:r>
        <w:rPr>
          <w:rFonts w:ascii="FangSong" w:hAnsi="FangSong" w:eastAsia="FangSong" w:cs="FangSong"/>
          <w:sz w:val="30"/>
          <w:szCs w:val="30"/>
          <w:spacing w:val="54"/>
        </w:rPr>
        <w:t xml:space="preserve"> </w:t>
      </w:r>
      <w:r>
        <w:rPr>
          <w:rFonts w:ascii="FangSong" w:hAnsi="FangSong" w:eastAsia="FangSong" w:cs="FangSong"/>
          <w:sz w:val="30"/>
          <w:szCs w:val="30"/>
          <w:spacing w:val="14"/>
        </w:rPr>
        <w:t>《中华人民共和国疫苗管理法》第九十一条第二款</w:t>
      </w:r>
      <w:r>
        <w:rPr>
          <w:rFonts w:ascii="FangSong" w:hAnsi="FangSong" w:eastAsia="FangSong" w:cs="FangSong"/>
          <w:sz w:val="30"/>
          <w:szCs w:val="30"/>
          <w:spacing w:val="14"/>
        </w:rPr>
        <w:t xml:space="preserve">   </w:t>
      </w:r>
      <w:r>
        <w:rPr>
          <w:rFonts w:ascii="FangSong" w:hAnsi="FangSong" w:eastAsia="FangSong" w:cs="FangSong"/>
          <w:sz w:val="30"/>
          <w:szCs w:val="30"/>
          <w:spacing w:val="14"/>
        </w:rPr>
        <w:t>违反本法规定，疾病预防控制</w:t>
      </w:r>
      <w:r>
        <w:rPr>
          <w:rFonts w:ascii="FangSong" w:hAnsi="FangSong" w:eastAsia="FangSong" w:cs="FangSong"/>
          <w:sz w:val="30"/>
          <w:szCs w:val="30"/>
        </w:rPr>
        <w:t xml:space="preserve"> </w:t>
      </w:r>
      <w:r>
        <w:rPr>
          <w:rFonts w:ascii="FangSong" w:hAnsi="FangSong" w:eastAsia="FangSong" w:cs="FangSong"/>
          <w:sz w:val="30"/>
          <w:szCs w:val="30"/>
          <w:spacing w:val="17"/>
        </w:rPr>
        <w:t>机构、接种单位以外的单位或者个人擅自进行群体性预防接种</w:t>
      </w:r>
      <w:r>
        <w:rPr>
          <w:rFonts w:ascii="FangSong" w:hAnsi="FangSong" w:eastAsia="FangSong" w:cs="FangSong"/>
          <w:sz w:val="30"/>
          <w:szCs w:val="30"/>
          <w:spacing w:val="16"/>
        </w:rPr>
        <w:t>的，由县级以上人民政府卫生健康主管</w:t>
      </w:r>
      <w:r>
        <w:rPr>
          <w:rFonts w:ascii="FangSong" w:hAnsi="FangSong" w:eastAsia="FangSong" w:cs="FangSong"/>
          <w:sz w:val="30"/>
          <w:szCs w:val="30"/>
        </w:rPr>
        <w:t xml:space="preserve"> </w:t>
      </w:r>
      <w:r>
        <w:rPr>
          <w:rFonts w:ascii="FangSong" w:hAnsi="FangSong" w:eastAsia="FangSong" w:cs="FangSong"/>
          <w:sz w:val="30"/>
          <w:szCs w:val="30"/>
          <w:spacing w:val="16"/>
        </w:rPr>
        <w:t>部门责令改正，没收违法所得和违法持有的疫苗，并处违法持有的疫苗货值金额十倍以上三十倍以下</w:t>
      </w:r>
      <w:r>
        <w:rPr>
          <w:rFonts w:ascii="FangSong" w:hAnsi="FangSong" w:eastAsia="FangSong" w:cs="FangSong"/>
          <w:sz w:val="30"/>
          <w:szCs w:val="30"/>
          <w:spacing w:val="18"/>
        </w:rPr>
        <w:t xml:space="preserve"> </w:t>
      </w:r>
      <w:r>
        <w:rPr>
          <w:rFonts w:ascii="FangSong" w:hAnsi="FangSong" w:eastAsia="FangSong" w:cs="FangSong"/>
          <w:sz w:val="30"/>
          <w:szCs w:val="30"/>
          <w:spacing w:val="15"/>
        </w:rPr>
        <w:t>的罚款，货值金额不足五万元的，按五万元计算。</w:t>
      </w:r>
    </w:p>
    <w:p>
      <w:pPr>
        <w:ind w:left="6428"/>
        <w:spacing w:before="27"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8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8344"/>
        <w:gridCol w:w="4112"/>
      </w:tblGrid>
      <w:tr>
        <w:trPr>
          <w:trHeight w:val="582" w:hRule="atLeast"/>
        </w:trPr>
        <w:tc>
          <w:tcPr>
            <w:tcW w:w="1424" w:type="dxa"/>
            <w:vAlign w:val="top"/>
          </w:tcPr>
          <w:p>
            <w:pPr>
              <w:pStyle w:val="TableText"/>
              <w:ind w:left="208"/>
              <w:spacing w:before="172" w:line="220" w:lineRule="auto"/>
              <w:rPr>
                <w:sz w:val="25"/>
                <w:szCs w:val="25"/>
              </w:rPr>
            </w:pPr>
            <w:r>
              <w:rPr>
                <w:sz w:val="25"/>
                <w:szCs w:val="25"/>
                <w:b/>
                <w:bCs/>
                <w:spacing w:val="-5"/>
              </w:rPr>
              <w:t>违法程度</w:t>
            </w:r>
          </w:p>
        </w:tc>
        <w:tc>
          <w:tcPr>
            <w:tcW w:w="8344" w:type="dxa"/>
            <w:vAlign w:val="top"/>
          </w:tcPr>
          <w:p>
            <w:pPr>
              <w:pStyle w:val="TableText"/>
              <w:ind w:left="3624"/>
              <w:spacing w:before="172" w:line="220" w:lineRule="auto"/>
              <w:rPr>
                <w:sz w:val="25"/>
                <w:szCs w:val="25"/>
              </w:rPr>
            </w:pPr>
            <w:r>
              <w:rPr>
                <w:sz w:val="25"/>
                <w:szCs w:val="25"/>
                <w:b/>
                <w:bCs/>
                <w:spacing w:val="-5"/>
              </w:rPr>
              <w:t>情节后果</w:t>
            </w:r>
          </w:p>
        </w:tc>
        <w:tc>
          <w:tcPr>
            <w:tcW w:w="4112" w:type="dxa"/>
            <w:vAlign w:val="top"/>
          </w:tcPr>
          <w:p>
            <w:pPr>
              <w:pStyle w:val="TableText"/>
              <w:ind w:left="1550"/>
              <w:spacing w:before="169" w:line="218" w:lineRule="auto"/>
              <w:rPr>
                <w:sz w:val="25"/>
                <w:szCs w:val="25"/>
              </w:rPr>
            </w:pPr>
            <w:r>
              <w:rPr>
                <w:sz w:val="25"/>
                <w:szCs w:val="25"/>
                <w:b/>
                <w:bCs/>
                <w:spacing w:val="-5"/>
              </w:rPr>
              <w:t>裁量幅度</w:t>
            </w:r>
          </w:p>
        </w:tc>
      </w:tr>
      <w:tr>
        <w:trPr>
          <w:trHeight w:val="1308" w:hRule="atLeast"/>
        </w:trPr>
        <w:tc>
          <w:tcPr>
            <w:tcW w:w="1424" w:type="dxa"/>
            <w:vAlign w:val="top"/>
          </w:tcPr>
          <w:p>
            <w:pPr>
              <w:spacing w:line="445" w:lineRule="auto"/>
              <w:rPr>
                <w:rFonts w:ascii="Arial"/>
                <w:sz w:val="21"/>
              </w:rPr>
            </w:pPr>
            <w:r/>
          </w:p>
          <w:p>
            <w:pPr>
              <w:pStyle w:val="TableText"/>
              <w:ind w:left="458"/>
              <w:spacing w:before="82" w:line="219" w:lineRule="auto"/>
              <w:rPr>
                <w:sz w:val="25"/>
                <w:szCs w:val="25"/>
              </w:rPr>
            </w:pPr>
            <w:r>
              <w:rPr>
                <w:sz w:val="25"/>
                <w:szCs w:val="25"/>
                <w:b/>
                <w:bCs/>
                <w:spacing w:val="-6"/>
              </w:rPr>
              <w:t>轻微</w:t>
            </w:r>
          </w:p>
        </w:tc>
        <w:tc>
          <w:tcPr>
            <w:tcW w:w="8344" w:type="dxa"/>
            <w:vAlign w:val="top"/>
          </w:tcPr>
          <w:p>
            <w:pPr>
              <w:spacing w:line="304" w:lineRule="auto"/>
              <w:rPr>
                <w:rFonts w:ascii="Arial"/>
                <w:sz w:val="21"/>
              </w:rPr>
            </w:pPr>
            <w:r/>
          </w:p>
          <w:p>
            <w:pPr>
              <w:pStyle w:val="TableText"/>
              <w:ind w:left="104"/>
              <w:spacing w:before="81" w:line="327" w:lineRule="auto"/>
              <w:rPr>
                <w:sz w:val="25"/>
                <w:szCs w:val="25"/>
              </w:rPr>
            </w:pPr>
            <w:r>
              <w:rPr>
                <w:sz w:val="25"/>
                <w:szCs w:val="25"/>
                <w:b/>
                <w:bCs/>
                <w:spacing w:val="-3"/>
              </w:rPr>
              <w:t>疾病预防控制机构、接种单位以外的单位或者个人擅</w:t>
            </w:r>
            <w:r>
              <w:rPr>
                <w:sz w:val="25"/>
                <w:szCs w:val="25"/>
                <w:b/>
                <w:bCs/>
                <w:spacing w:val="-4"/>
              </w:rPr>
              <w:t>自进行群体性预防接种</w:t>
            </w:r>
            <w:r>
              <w:rPr>
                <w:sz w:val="25"/>
                <w:szCs w:val="25"/>
              </w:rPr>
              <w:t xml:space="preserve"> </w:t>
            </w:r>
            <w:r>
              <w:rPr>
                <w:sz w:val="25"/>
                <w:szCs w:val="25"/>
                <w:b/>
                <w:bCs/>
                <w:spacing w:val="-3"/>
              </w:rPr>
              <w:t>的，违法持有的疫苗货值金额不足五万元的</w:t>
            </w:r>
          </w:p>
        </w:tc>
        <w:tc>
          <w:tcPr>
            <w:tcW w:w="4112" w:type="dxa"/>
            <w:vAlign w:val="top"/>
          </w:tcPr>
          <w:p>
            <w:pPr>
              <w:pStyle w:val="TableText"/>
              <w:ind w:left="50" w:right="65"/>
              <w:spacing w:before="159" w:line="321" w:lineRule="auto"/>
              <w:rPr>
                <w:sz w:val="25"/>
                <w:szCs w:val="25"/>
              </w:rPr>
            </w:pPr>
            <w:r>
              <w:rPr>
                <w:sz w:val="25"/>
                <w:szCs w:val="25"/>
                <w:b/>
                <w:bCs/>
                <w:spacing w:val="-4"/>
              </w:rPr>
              <w:t>没收违法所得和违法持有的疫苗，并</w:t>
            </w:r>
            <w:r>
              <w:rPr>
                <w:sz w:val="25"/>
                <w:szCs w:val="25"/>
                <w:spacing w:val="7"/>
              </w:rPr>
              <w:t xml:space="preserve"> </w:t>
            </w:r>
            <w:r>
              <w:rPr>
                <w:sz w:val="25"/>
                <w:szCs w:val="25"/>
                <w:b/>
                <w:bCs/>
                <w:spacing w:val="-4"/>
              </w:rPr>
              <w:t>处违法持有的疫苗货值金额十倍以上</w:t>
            </w:r>
          </w:p>
          <w:p>
            <w:pPr>
              <w:pStyle w:val="TableText"/>
              <w:ind w:left="50"/>
              <w:spacing w:before="1" w:line="198" w:lineRule="auto"/>
              <w:rPr>
                <w:sz w:val="25"/>
                <w:szCs w:val="25"/>
              </w:rPr>
            </w:pPr>
            <w:r>
              <w:rPr>
                <w:sz w:val="25"/>
                <w:szCs w:val="25"/>
                <w:b/>
                <w:bCs/>
                <w:spacing w:val="-4"/>
              </w:rPr>
              <w:t>十五倍以下的罚款，货值金额不足五</w:t>
            </w:r>
          </w:p>
        </w:tc>
      </w:tr>
    </w:tbl>
    <w:p>
      <w:pPr>
        <w:pStyle w:val="BodyText"/>
        <w:spacing w:line="323" w:lineRule="auto"/>
        <w:rPr/>
      </w:pPr>
      <w:r/>
    </w:p>
    <w:p>
      <w:pPr>
        <w:pStyle w:val="BodyText"/>
        <w:spacing w:line="324" w:lineRule="auto"/>
        <w:rPr/>
      </w:pPr>
      <w:r/>
    </w:p>
    <w:p>
      <w:pPr>
        <w:ind w:left="6354"/>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w:t>
      </w:r>
      <w:r>
        <w:rPr>
          <w:rFonts w:ascii="Times New Roman" w:hAnsi="Times New Roman" w:eastAsia="Times New Roman" w:cs="Times New Roman"/>
          <w:sz w:val="37"/>
          <w:szCs w:val="37"/>
          <w:spacing w:val="-55"/>
        </w:rPr>
        <w:t xml:space="preserve"> </w:t>
      </w:r>
      <w:r>
        <w:rPr>
          <w:rFonts w:ascii="Times New Roman" w:hAnsi="Times New Roman" w:eastAsia="Times New Roman" w:cs="Times New Roman"/>
          <w:sz w:val="37"/>
          <w:szCs w:val="37"/>
          <w:spacing w:val="-16"/>
        </w:rPr>
        <w:t>130—</w:t>
      </w:r>
    </w:p>
    <w:p>
      <w:pPr>
        <w:spacing w:line="188" w:lineRule="auto"/>
        <w:sectPr>
          <w:footerReference w:type="default" r:id="rId24"/>
          <w:pgSz w:w="16830" w:h="11900"/>
          <w:pgMar w:top="1011" w:right="1457" w:bottom="400" w:left="1425" w:header="0" w:footer="0" w:gutter="0"/>
        </w:sectPr>
        <w:rPr>
          <w:rFonts w:ascii="Times New Roman" w:hAnsi="Times New Roman" w:eastAsia="Times New Roman" w:cs="Times New Roman"/>
          <w:sz w:val="37"/>
          <w:szCs w:val="37"/>
        </w:rPr>
      </w:pPr>
    </w:p>
    <w:p>
      <w:pPr>
        <w:spacing w:before="17"/>
        <w:rPr/>
      </w:pPr>
      <w:r/>
    </w:p>
    <w:p>
      <w:pPr>
        <w:spacing w:before="16"/>
        <w:rPr/>
      </w:pPr>
      <w:r/>
    </w:p>
    <w:p>
      <w:pPr>
        <w:spacing w:before="16"/>
        <w:rPr/>
      </w:pPr>
      <w:r/>
    </w:p>
    <w:tbl>
      <w:tblPr>
        <w:tblStyle w:val="TableNormal"/>
        <w:tblW w:w="13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8334"/>
        <w:gridCol w:w="4122"/>
      </w:tblGrid>
      <w:tr>
        <w:trPr>
          <w:trHeight w:val="742" w:hRule="atLeast"/>
        </w:trPr>
        <w:tc>
          <w:tcPr>
            <w:tcW w:w="1414" w:type="dxa"/>
            <w:vAlign w:val="top"/>
          </w:tcPr>
          <w:p>
            <w:pPr>
              <w:rPr>
                <w:rFonts w:ascii="Arial"/>
                <w:sz w:val="21"/>
              </w:rPr>
            </w:pPr>
            <w:r/>
          </w:p>
        </w:tc>
        <w:tc>
          <w:tcPr>
            <w:tcW w:w="8334" w:type="dxa"/>
            <w:vAlign w:val="top"/>
          </w:tcPr>
          <w:p>
            <w:pPr>
              <w:rPr>
                <w:rFonts w:ascii="Arial"/>
                <w:sz w:val="21"/>
              </w:rPr>
            </w:pPr>
            <w:r/>
          </w:p>
        </w:tc>
        <w:tc>
          <w:tcPr>
            <w:tcW w:w="4122" w:type="dxa"/>
            <w:vAlign w:val="top"/>
          </w:tcPr>
          <w:p>
            <w:pPr>
              <w:pStyle w:val="TableText"/>
              <w:ind w:left="127"/>
              <w:spacing w:before="145" w:line="219" w:lineRule="auto"/>
              <w:rPr/>
            </w:pPr>
            <w:r>
              <w:rPr>
                <w:spacing w:val="1"/>
              </w:rPr>
              <w:t>万元的，按五万元计算</w:t>
            </w:r>
          </w:p>
        </w:tc>
      </w:tr>
      <w:tr>
        <w:trPr>
          <w:trHeight w:val="1326" w:hRule="atLeast"/>
        </w:trPr>
        <w:tc>
          <w:tcPr>
            <w:tcW w:w="1414" w:type="dxa"/>
            <w:vAlign w:val="top"/>
          </w:tcPr>
          <w:p>
            <w:pPr>
              <w:spacing w:line="469" w:lineRule="auto"/>
              <w:rPr>
                <w:rFonts w:ascii="Arial"/>
                <w:sz w:val="21"/>
              </w:rPr>
            </w:pPr>
            <w:r/>
          </w:p>
          <w:p>
            <w:pPr>
              <w:pStyle w:val="TableText"/>
              <w:ind w:left="458"/>
              <w:spacing w:before="78" w:line="221" w:lineRule="auto"/>
              <w:rPr/>
            </w:pPr>
            <w:bookmarkStart w:name="bookmark786" w:id="79"/>
            <w:bookmarkEnd w:id="79"/>
            <w:r>
              <w:rPr>
                <w:b/>
                <w:bCs/>
                <w:spacing w:val="-10"/>
              </w:rPr>
              <w:t>一般</w:t>
            </w:r>
          </w:p>
        </w:tc>
        <w:tc>
          <w:tcPr>
            <w:tcW w:w="8334" w:type="dxa"/>
            <w:vAlign w:val="top"/>
          </w:tcPr>
          <w:p>
            <w:pPr>
              <w:spacing w:line="281" w:lineRule="auto"/>
              <w:rPr>
                <w:rFonts w:ascii="Arial"/>
                <w:sz w:val="21"/>
              </w:rPr>
            </w:pPr>
            <w:r/>
          </w:p>
          <w:p>
            <w:pPr>
              <w:pStyle w:val="TableText"/>
              <w:ind w:left="111" w:right="275"/>
              <w:spacing w:before="78" w:line="348" w:lineRule="auto"/>
              <w:rPr/>
            </w:pPr>
            <w:r>
              <w:rPr/>
              <w:t>疾病预防控制机构、接种单位以外的单位或者个人擅自进行群体性预防接种</w:t>
            </w:r>
            <w:r>
              <w:rPr>
                <w:spacing w:val="16"/>
              </w:rPr>
              <w:t xml:space="preserve"> </w:t>
            </w:r>
            <w:r>
              <w:rPr/>
              <w:t>的，违法持有的疫苗货值金额超过五万元以上不足二十万元的</w:t>
            </w:r>
          </w:p>
        </w:tc>
        <w:tc>
          <w:tcPr>
            <w:tcW w:w="4122" w:type="dxa"/>
            <w:vAlign w:val="top"/>
          </w:tcPr>
          <w:p>
            <w:pPr>
              <w:pStyle w:val="TableText"/>
              <w:ind w:left="136" w:right="113"/>
              <w:spacing w:before="134" w:line="303" w:lineRule="auto"/>
              <w:jc w:val="both"/>
              <w:rPr/>
            </w:pPr>
            <w:r>
              <w:rPr/>
              <w:t>没收违法所得和违法持有的疫苗，并</w:t>
            </w:r>
            <w:r>
              <w:rPr>
                <w:spacing w:val="9"/>
              </w:rPr>
              <w:t xml:space="preserve"> </w:t>
            </w:r>
            <w:r>
              <w:rPr>
                <w:spacing w:val="1"/>
              </w:rPr>
              <w:t>处违法持有的疫苗货值金额十五倍以</w:t>
            </w:r>
            <w:r>
              <w:rPr>
                <w:spacing w:val="4"/>
              </w:rPr>
              <w:t xml:space="preserve"> </w:t>
            </w:r>
            <w:r>
              <w:rPr>
                <w:spacing w:val="1"/>
              </w:rPr>
              <w:t>上二十五倍以下的罚款</w:t>
            </w:r>
          </w:p>
        </w:tc>
      </w:tr>
      <w:tr>
        <w:trPr>
          <w:trHeight w:val="1301" w:hRule="atLeast"/>
        </w:trPr>
        <w:tc>
          <w:tcPr>
            <w:tcW w:w="1414" w:type="dxa"/>
            <w:vAlign w:val="top"/>
          </w:tcPr>
          <w:p>
            <w:pPr>
              <w:spacing w:line="453" w:lineRule="auto"/>
              <w:rPr>
                <w:rFonts w:ascii="Arial"/>
                <w:sz w:val="21"/>
              </w:rPr>
            </w:pPr>
            <w:r/>
          </w:p>
          <w:p>
            <w:pPr>
              <w:pStyle w:val="TableText"/>
              <w:ind w:left="458"/>
              <w:spacing w:before="78" w:line="220" w:lineRule="auto"/>
              <w:rPr/>
            </w:pPr>
            <w:r>
              <w:rPr>
                <w:b/>
                <w:bCs/>
                <w:spacing w:val="-6"/>
              </w:rPr>
              <w:t>严重</w:t>
            </w:r>
          </w:p>
        </w:tc>
        <w:tc>
          <w:tcPr>
            <w:tcW w:w="8334" w:type="dxa"/>
            <w:vAlign w:val="top"/>
          </w:tcPr>
          <w:p>
            <w:pPr>
              <w:spacing w:line="286" w:lineRule="auto"/>
              <w:rPr>
                <w:rFonts w:ascii="Arial"/>
                <w:sz w:val="21"/>
              </w:rPr>
            </w:pPr>
            <w:r/>
          </w:p>
          <w:p>
            <w:pPr>
              <w:pStyle w:val="TableText"/>
              <w:ind w:left="111" w:right="275"/>
              <w:spacing w:before="78" w:line="340" w:lineRule="auto"/>
              <w:rPr/>
            </w:pPr>
            <w:r>
              <w:rPr/>
              <w:t>疾病预防控制机构、接种单位以外的单位或者个人擅自进行群体性预防接种</w:t>
            </w:r>
            <w:r>
              <w:rPr>
                <w:spacing w:val="16"/>
              </w:rPr>
              <w:t xml:space="preserve"> </w:t>
            </w:r>
            <w:r>
              <w:rPr/>
              <w:t>的，违法持有的疫苗货值金额在二十万元以上的</w:t>
            </w:r>
          </w:p>
        </w:tc>
        <w:tc>
          <w:tcPr>
            <w:tcW w:w="4122" w:type="dxa"/>
            <w:vAlign w:val="top"/>
          </w:tcPr>
          <w:p>
            <w:pPr>
              <w:pStyle w:val="TableText"/>
              <w:ind w:left="136" w:right="124"/>
              <w:spacing w:before="148" w:line="293" w:lineRule="auto"/>
              <w:jc w:val="both"/>
              <w:rPr/>
            </w:pPr>
            <w:r>
              <w:rPr/>
              <w:t>没收违法所得和违法持有的疫苗，并</w:t>
            </w:r>
            <w:r>
              <w:rPr>
                <w:spacing w:val="9"/>
              </w:rPr>
              <w:t xml:space="preserve"> </w:t>
            </w:r>
            <w:r>
              <w:rPr/>
              <w:t>处违法持有的疫苗货值金额二十倍五</w:t>
            </w:r>
            <w:r>
              <w:rPr>
                <w:spacing w:val="9"/>
              </w:rPr>
              <w:t xml:space="preserve"> </w:t>
            </w:r>
            <w:r>
              <w:rPr>
                <w:spacing w:val="2"/>
              </w:rPr>
              <w:t>以上三十倍以下的罚款</w:t>
            </w:r>
          </w:p>
        </w:tc>
      </w:tr>
    </w:tbl>
    <w:p>
      <w:pPr>
        <w:pStyle w:val="BodyText"/>
        <w:spacing w:line="244" w:lineRule="auto"/>
        <w:rPr/>
      </w:pPr>
      <w:r/>
    </w:p>
    <w:p>
      <w:pPr>
        <w:pStyle w:val="BodyText"/>
        <w:spacing w:line="244" w:lineRule="auto"/>
        <w:rPr/>
      </w:pPr>
      <w:r/>
    </w:p>
    <w:p>
      <w:pPr>
        <w:ind w:left="799"/>
        <w:spacing w:before="97" w:line="224" w:lineRule="auto"/>
        <w:rPr>
          <w:rFonts w:ascii="KaiTi" w:hAnsi="KaiTi" w:eastAsia="KaiTi" w:cs="KaiTi"/>
          <w:sz w:val="30"/>
          <w:szCs w:val="30"/>
        </w:rPr>
      </w:pPr>
      <w:r>
        <w:rPr>
          <w:rFonts w:ascii="KaiTi" w:hAnsi="KaiTi" w:eastAsia="KaiTi" w:cs="KaiTi"/>
          <w:sz w:val="30"/>
          <w:szCs w:val="30"/>
          <w:b/>
          <w:bCs/>
          <w:spacing w:val="31"/>
        </w:rPr>
        <w:t>(六)《艾滋病防治条例》</w:t>
      </w:r>
    </w:p>
    <w:p>
      <w:pPr>
        <w:ind w:left="659"/>
        <w:spacing w:before="295" w:line="221" w:lineRule="auto"/>
        <w:rPr>
          <w:rFonts w:ascii="FangSong" w:hAnsi="FangSong" w:eastAsia="FangSong" w:cs="FangSong"/>
          <w:sz w:val="30"/>
          <w:szCs w:val="30"/>
        </w:rPr>
      </w:pPr>
      <w:r>
        <w:rPr>
          <w:rFonts w:ascii="FangSong" w:hAnsi="FangSong" w:eastAsia="FangSong" w:cs="FangSong"/>
          <w:sz w:val="30"/>
          <w:szCs w:val="30"/>
          <w:b/>
          <w:bCs/>
          <w:spacing w:val="24"/>
        </w:rPr>
        <w:t>第四十六条医疗卫生机构未履行艾滋病监测职责的</w:t>
      </w:r>
    </w:p>
    <w:p>
      <w:pPr>
        <w:ind w:left="665"/>
        <w:spacing w:before="108" w:line="222" w:lineRule="auto"/>
        <w:rPr>
          <w:rFonts w:ascii="FangSong" w:hAnsi="FangSong" w:eastAsia="FangSong" w:cs="FangSong"/>
          <w:sz w:val="30"/>
          <w:szCs w:val="30"/>
        </w:rPr>
      </w:pPr>
      <w:r>
        <w:rPr>
          <w:rFonts w:ascii="FangSong" w:hAnsi="FangSong" w:eastAsia="FangSong" w:cs="FangSong"/>
          <w:sz w:val="30"/>
          <w:szCs w:val="30"/>
          <w:spacing w:val="3"/>
        </w:rPr>
        <w:t>法律依据：</w:t>
      </w:r>
    </w:p>
    <w:p>
      <w:pPr>
        <w:ind w:left="5" w:firstLine="640"/>
        <w:spacing w:before="58" w:line="264" w:lineRule="auto"/>
        <w:jc w:val="both"/>
        <w:rPr>
          <w:rFonts w:ascii="FangSong" w:hAnsi="FangSong" w:eastAsia="FangSong" w:cs="FangSong"/>
          <w:sz w:val="30"/>
          <w:szCs w:val="30"/>
        </w:rPr>
      </w:pPr>
      <w:r>
        <w:rPr>
          <w:rFonts w:ascii="FangSong" w:hAnsi="FangSong" w:eastAsia="FangSong" w:cs="FangSong"/>
          <w:sz w:val="30"/>
          <w:szCs w:val="30"/>
          <w:spacing w:val="22"/>
        </w:rPr>
        <w:t>《艾滋病防治条例》第五十五条第一款第(一)项</w:t>
      </w:r>
      <w:r>
        <w:rPr>
          <w:rFonts w:ascii="FangSong" w:hAnsi="FangSong" w:eastAsia="FangSong" w:cs="FangSong"/>
          <w:sz w:val="30"/>
          <w:szCs w:val="30"/>
          <w:spacing w:val="22"/>
        </w:rPr>
        <w:t xml:space="preserve">   </w:t>
      </w:r>
      <w:r>
        <w:rPr>
          <w:rFonts w:ascii="FangSong" w:hAnsi="FangSong" w:eastAsia="FangSong" w:cs="FangSong"/>
          <w:sz w:val="30"/>
          <w:szCs w:val="30"/>
          <w:spacing w:val="22"/>
        </w:rPr>
        <w:t>医疗卫生机构未依照本条例规定履行职责，</w:t>
      </w:r>
      <w:r>
        <w:rPr>
          <w:rFonts w:ascii="FangSong" w:hAnsi="FangSong" w:eastAsia="FangSong" w:cs="FangSong"/>
          <w:sz w:val="30"/>
          <w:szCs w:val="30"/>
          <w:spacing w:val="11"/>
        </w:rPr>
        <w:t xml:space="preserve"> </w:t>
      </w:r>
      <w:r>
        <w:rPr>
          <w:rFonts w:ascii="FangSong" w:hAnsi="FangSong" w:eastAsia="FangSong" w:cs="FangSong"/>
          <w:sz w:val="30"/>
          <w:szCs w:val="30"/>
          <w:spacing w:val="16"/>
        </w:rPr>
        <w:t>有下列情形的，由县级以上人民政府卫生主管部门责令限期改正，通报批评，给予警告；造成艾滋病</w:t>
      </w:r>
      <w:r>
        <w:rPr>
          <w:rFonts w:ascii="FangSong" w:hAnsi="FangSong" w:eastAsia="FangSong" w:cs="FangSong"/>
          <w:sz w:val="30"/>
          <w:szCs w:val="30"/>
          <w:spacing w:val="6"/>
        </w:rPr>
        <w:t xml:space="preserve">  </w:t>
      </w:r>
      <w:r>
        <w:rPr>
          <w:rFonts w:ascii="FangSong" w:hAnsi="FangSong" w:eastAsia="FangSong" w:cs="FangSong"/>
          <w:sz w:val="30"/>
          <w:szCs w:val="30"/>
          <w:spacing w:val="18"/>
        </w:rPr>
        <w:t>传播、流行或者其他严重后果的，对负有责任的主管人员和其他直接责任人员依法给予降级、撤职、</w:t>
      </w:r>
      <w:r>
        <w:rPr>
          <w:rFonts w:ascii="FangSong" w:hAnsi="FangSong" w:eastAsia="FangSong" w:cs="FangSong"/>
          <w:sz w:val="30"/>
          <w:szCs w:val="30"/>
          <w:spacing w:val="17"/>
        </w:rPr>
        <w:t xml:space="preserve"> </w:t>
      </w:r>
      <w:r>
        <w:rPr>
          <w:rFonts w:ascii="FangSong" w:hAnsi="FangSong" w:eastAsia="FangSong" w:cs="FangSong"/>
          <w:sz w:val="30"/>
          <w:szCs w:val="30"/>
          <w:spacing w:val="16"/>
        </w:rPr>
        <w:t>开除的处分，并可以依法吊销有关机构或者责任人员的执业许可证件；构成犯罪的，依法追究刑事责</w:t>
      </w:r>
    </w:p>
    <w:p>
      <w:pPr>
        <w:ind w:left="5"/>
        <w:spacing w:before="5" w:line="223" w:lineRule="auto"/>
        <w:rPr>
          <w:rFonts w:ascii="FangSong" w:hAnsi="FangSong" w:eastAsia="FangSong" w:cs="FangSong"/>
          <w:sz w:val="30"/>
          <w:szCs w:val="30"/>
        </w:rPr>
      </w:pPr>
      <w:r>
        <w:rPr>
          <w:rFonts w:ascii="FangSong" w:hAnsi="FangSong" w:eastAsia="FangSong" w:cs="FangSong"/>
          <w:sz w:val="30"/>
          <w:szCs w:val="30"/>
          <w:color w:val="504040"/>
          <w:spacing w:val="-8"/>
        </w:rPr>
        <w:t>任：</w:t>
      </w:r>
    </w:p>
    <w:p>
      <w:pPr>
        <w:ind w:left="795"/>
        <w:spacing w:before="134" w:line="221" w:lineRule="auto"/>
        <w:rPr>
          <w:rFonts w:ascii="FangSong" w:hAnsi="FangSong" w:eastAsia="FangSong" w:cs="FangSong"/>
          <w:sz w:val="30"/>
          <w:szCs w:val="30"/>
        </w:rPr>
      </w:pPr>
      <w:r>
        <w:rPr>
          <w:rFonts w:ascii="FangSong" w:hAnsi="FangSong" w:eastAsia="FangSong" w:cs="FangSong"/>
          <w:sz w:val="30"/>
          <w:szCs w:val="30"/>
          <w:spacing w:val="24"/>
        </w:rPr>
        <w:t>(一)未履行艾滋病监测职责的；</w:t>
      </w:r>
    </w:p>
    <w:p>
      <w:pPr>
        <w:pStyle w:val="BodyText"/>
        <w:spacing w:line="258" w:lineRule="auto"/>
        <w:rPr/>
      </w:pPr>
      <w:r/>
    </w:p>
    <w:p>
      <w:pPr>
        <w:pStyle w:val="BodyText"/>
        <w:spacing w:line="258" w:lineRule="auto"/>
        <w:rPr/>
      </w:pPr>
      <w:r/>
    </w:p>
    <w:p>
      <w:pPr>
        <w:pStyle w:val="BodyText"/>
        <w:spacing w:line="258" w:lineRule="auto"/>
        <w:rPr/>
      </w:pPr>
      <w:r/>
    </w:p>
    <w:p>
      <w:pPr>
        <w:ind w:left="6354"/>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w:t>
      </w:r>
      <w:r>
        <w:rPr>
          <w:rFonts w:ascii="Times New Roman" w:hAnsi="Times New Roman" w:eastAsia="Times New Roman" w:cs="Times New Roman"/>
          <w:sz w:val="37"/>
          <w:szCs w:val="37"/>
          <w:spacing w:val="-55"/>
        </w:rPr>
        <w:t xml:space="preserve"> </w:t>
      </w:r>
      <w:r>
        <w:rPr>
          <w:rFonts w:ascii="Times New Roman" w:hAnsi="Times New Roman" w:eastAsia="Times New Roman" w:cs="Times New Roman"/>
          <w:sz w:val="37"/>
          <w:szCs w:val="37"/>
          <w:spacing w:val="-16"/>
        </w:rPr>
        <w:t>131—</w:t>
      </w:r>
    </w:p>
    <w:p>
      <w:pPr>
        <w:spacing w:line="188" w:lineRule="auto"/>
        <w:sectPr>
          <w:pgSz w:w="16830" w:h="11900"/>
          <w:pgMar w:top="1011" w:right="1319" w:bottom="400" w:left="1434" w:header="0" w:footer="0" w:gutter="0"/>
        </w:sectPr>
        <w:rPr>
          <w:rFonts w:ascii="Times New Roman" w:hAnsi="Times New Roman" w:eastAsia="Times New Roman" w:cs="Times New Roman"/>
          <w:sz w:val="37"/>
          <w:szCs w:val="37"/>
        </w:rPr>
      </w:pPr>
    </w:p>
    <w:p>
      <w:pPr>
        <w:pStyle w:val="BodyText"/>
        <w:spacing w:line="254" w:lineRule="auto"/>
        <w:rPr/>
      </w:pPr>
      <w:r/>
    </w:p>
    <w:p>
      <w:pPr>
        <w:pStyle w:val="BodyText"/>
        <w:spacing w:line="255" w:lineRule="auto"/>
        <w:rPr/>
      </w:pPr>
      <w:r/>
    </w:p>
    <w:p>
      <w:pPr>
        <w:pStyle w:val="BodyText"/>
        <w:spacing w:line="255" w:lineRule="auto"/>
        <w:rPr/>
      </w:pPr>
      <w:r/>
    </w:p>
    <w:p>
      <w:pPr>
        <w:ind w:left="6519"/>
        <w:spacing w:before="94" w:line="221" w:lineRule="auto"/>
        <w:outlineLvl w:val="1"/>
        <w:rPr>
          <w:rFonts w:ascii="SimHei" w:hAnsi="SimHei" w:eastAsia="SimHei" w:cs="SimHei"/>
          <w:sz w:val="29"/>
          <w:szCs w:val="29"/>
        </w:rPr>
      </w:pPr>
      <w:bookmarkStart w:name="bookmark787" w:id="80"/>
      <w:bookmarkEnd w:id="80"/>
      <w:bookmarkStart w:name="bookmark186" w:id="81"/>
      <w:bookmarkEnd w:id="81"/>
      <w:r>
        <w:rPr>
          <w:rFonts w:ascii="SimHei" w:hAnsi="SimHei" w:eastAsia="SimHei" w:cs="SimHei"/>
          <w:sz w:val="29"/>
          <w:szCs w:val="29"/>
          <w:b/>
          <w:bCs/>
          <w:spacing w:val="-6"/>
        </w:rPr>
        <w:t>裁量标准</w:t>
      </w:r>
    </w:p>
    <w:p>
      <w:pPr>
        <w:spacing w:line="202" w:lineRule="exact"/>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93"/>
        <w:gridCol w:w="7105"/>
        <w:gridCol w:w="4751"/>
      </w:tblGrid>
      <w:tr>
        <w:trPr>
          <w:trHeight w:val="842" w:hRule="atLeast"/>
        </w:trPr>
        <w:tc>
          <w:tcPr>
            <w:tcW w:w="2293" w:type="dxa"/>
            <w:vAlign w:val="top"/>
          </w:tcPr>
          <w:p>
            <w:pPr>
              <w:pStyle w:val="TableText"/>
              <w:ind w:left="558"/>
              <w:spacing w:before="30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7105" w:type="dxa"/>
            <w:vAlign w:val="top"/>
          </w:tcPr>
          <w:p>
            <w:pPr>
              <w:pStyle w:val="TableText"/>
              <w:ind w:left="3065"/>
              <w:spacing w:before="302" w:line="220" w:lineRule="auto"/>
              <w:rPr/>
            </w:pPr>
            <w:r>
              <w:rPr>
                <w:b/>
                <w:bCs/>
                <w:spacing w:val="-5"/>
              </w:rPr>
              <w:t>情节后果</w:t>
            </w:r>
          </w:p>
        </w:tc>
        <w:tc>
          <w:tcPr>
            <w:tcW w:w="4751" w:type="dxa"/>
            <w:vAlign w:val="top"/>
          </w:tcPr>
          <w:p>
            <w:pPr>
              <w:pStyle w:val="TableText"/>
              <w:ind w:left="1830"/>
              <w:spacing w:before="29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757" w:hRule="atLeast"/>
        </w:trPr>
        <w:tc>
          <w:tcPr>
            <w:tcW w:w="2293" w:type="dxa"/>
            <w:vAlign w:val="top"/>
          </w:tcPr>
          <w:p>
            <w:pPr>
              <w:pStyle w:val="TableText"/>
              <w:ind w:left="898"/>
              <w:spacing w:before="160" w:line="221" w:lineRule="auto"/>
              <w:rPr/>
            </w:pPr>
            <w:r>
              <w:rPr>
                <w:b/>
                <w:bCs/>
                <w:spacing w:val="-10"/>
              </w:rPr>
              <w:t>一般</w:t>
            </w:r>
          </w:p>
        </w:tc>
        <w:tc>
          <w:tcPr>
            <w:tcW w:w="7105" w:type="dxa"/>
            <w:vAlign w:val="top"/>
          </w:tcPr>
          <w:p>
            <w:pPr>
              <w:pStyle w:val="TableText"/>
              <w:ind w:right="13"/>
              <w:spacing w:before="161" w:line="219" w:lineRule="auto"/>
              <w:jc w:val="right"/>
              <w:rPr/>
            </w:pPr>
            <w:r>
              <w:rPr/>
              <w:t>医疗卫生机构未履行艾滋病监测职责，未造成艾滋病传播等后果。</w:t>
            </w:r>
          </w:p>
        </w:tc>
        <w:tc>
          <w:tcPr>
            <w:tcW w:w="4751" w:type="dxa"/>
            <w:vAlign w:val="top"/>
          </w:tcPr>
          <w:p>
            <w:pPr>
              <w:pStyle w:val="TableText"/>
              <w:ind w:left="136"/>
              <w:spacing w:before="160" w:line="218" w:lineRule="auto"/>
              <w:rPr/>
            </w:pPr>
            <w:r>
              <w:rPr/>
              <w:t>通报批评，给予警告。</w:t>
            </w:r>
          </w:p>
        </w:tc>
      </w:tr>
      <w:tr>
        <w:trPr>
          <w:trHeight w:val="1161" w:hRule="atLeast"/>
        </w:trPr>
        <w:tc>
          <w:tcPr>
            <w:tcW w:w="2293" w:type="dxa"/>
            <w:vAlign w:val="top"/>
          </w:tcPr>
          <w:p>
            <w:pPr>
              <w:spacing w:line="382" w:lineRule="auto"/>
              <w:rPr>
                <w:rFonts w:ascii="Arial"/>
                <w:sz w:val="21"/>
              </w:rPr>
            </w:pPr>
            <w:r/>
          </w:p>
          <w:p>
            <w:pPr>
              <w:pStyle w:val="TableText"/>
              <w:ind w:left="898"/>
              <w:spacing w:before="78" w:line="220" w:lineRule="auto"/>
              <w:rPr/>
            </w:pPr>
            <w:r>
              <w:rPr>
                <w:b/>
                <w:bCs/>
                <w:spacing w:val="-6"/>
              </w:rPr>
              <w:t>严重</w:t>
            </w:r>
          </w:p>
        </w:tc>
        <w:tc>
          <w:tcPr>
            <w:tcW w:w="7105" w:type="dxa"/>
            <w:vAlign w:val="top"/>
          </w:tcPr>
          <w:p>
            <w:pPr>
              <w:pStyle w:val="TableText"/>
              <w:ind w:left="101" w:right="61" w:hanging="39"/>
              <w:spacing w:before="154" w:line="327" w:lineRule="auto"/>
              <w:rPr/>
            </w:pPr>
            <w:r>
              <w:rPr/>
              <w:t>医疗卫生机构未履行艾滋病监测职责，造成艾滋病传播、流行或者</w:t>
            </w:r>
            <w:r>
              <w:rPr>
                <w:spacing w:val="10"/>
              </w:rPr>
              <w:t xml:space="preserve"> </w:t>
            </w:r>
            <w:r>
              <w:rPr>
                <w:spacing w:val="-1"/>
              </w:rPr>
              <w:t>其他严重后果。</w:t>
            </w:r>
          </w:p>
        </w:tc>
        <w:tc>
          <w:tcPr>
            <w:tcW w:w="4751" w:type="dxa"/>
            <w:vAlign w:val="top"/>
          </w:tcPr>
          <w:p>
            <w:pPr>
              <w:pStyle w:val="TableText"/>
              <w:ind w:left="136" w:right="274"/>
              <w:spacing w:before="165" w:line="341" w:lineRule="auto"/>
              <w:rPr/>
            </w:pPr>
            <w:r>
              <w:rPr/>
              <w:t>依法吊销有关机构或者责任人员的执业许</w:t>
            </w:r>
            <w:r>
              <w:rPr>
                <w:spacing w:val="8"/>
              </w:rPr>
              <w:t xml:space="preserve"> </w:t>
            </w:r>
            <w:r>
              <w:rPr/>
              <w:t>可证件。</w:t>
            </w:r>
          </w:p>
        </w:tc>
      </w:tr>
    </w:tbl>
    <w:p>
      <w:pPr>
        <w:ind w:left="769"/>
        <w:spacing w:before="107" w:line="220" w:lineRule="auto"/>
        <w:rPr>
          <w:rFonts w:ascii="FangSong" w:hAnsi="FangSong" w:eastAsia="FangSong" w:cs="FangSong"/>
          <w:sz w:val="29"/>
          <w:szCs w:val="29"/>
        </w:rPr>
      </w:pPr>
      <w:r>
        <w:rPr>
          <w:rFonts w:ascii="FangSong" w:hAnsi="FangSong" w:eastAsia="FangSong" w:cs="FangSong"/>
          <w:sz w:val="29"/>
          <w:szCs w:val="29"/>
          <w:b/>
          <w:bCs/>
          <w:spacing w:val="32"/>
        </w:rPr>
        <w:t>第四十七条医疗卫生机构未按照规定免费提供咨询和初筛检测的</w:t>
      </w:r>
    </w:p>
    <w:p>
      <w:pPr>
        <w:ind w:left="765"/>
        <w:spacing w:before="102" w:line="222" w:lineRule="auto"/>
        <w:rPr>
          <w:rFonts w:ascii="FangSong" w:hAnsi="FangSong" w:eastAsia="FangSong" w:cs="FangSong"/>
          <w:sz w:val="29"/>
          <w:szCs w:val="29"/>
        </w:rPr>
      </w:pPr>
      <w:r>
        <w:rPr>
          <w:rFonts w:ascii="FangSong" w:hAnsi="FangSong" w:eastAsia="FangSong" w:cs="FangSong"/>
          <w:sz w:val="29"/>
          <w:szCs w:val="29"/>
          <w:spacing w:val="6"/>
        </w:rPr>
        <w:t>法律依据：</w:t>
      </w:r>
    </w:p>
    <w:p>
      <w:pPr>
        <w:ind w:left="104" w:right="9" w:firstLine="635"/>
        <w:spacing w:before="101" w:line="273" w:lineRule="auto"/>
        <w:jc w:val="both"/>
        <w:rPr>
          <w:rFonts w:ascii="FangSong" w:hAnsi="FangSong" w:eastAsia="FangSong" w:cs="FangSong"/>
          <w:sz w:val="29"/>
          <w:szCs w:val="29"/>
        </w:rPr>
      </w:pPr>
      <w:r>
        <w:rPr>
          <w:rFonts w:ascii="FangSong" w:hAnsi="FangSong" w:eastAsia="FangSong" w:cs="FangSong"/>
          <w:sz w:val="29"/>
          <w:szCs w:val="29"/>
          <w:spacing w:val="29"/>
        </w:rPr>
        <w:t>《艾滋病防治条例》第五十五条第</w:t>
      </w:r>
      <w:r>
        <w:rPr>
          <w:rFonts w:ascii="FangSong" w:hAnsi="FangSong" w:eastAsia="FangSong" w:cs="FangSong"/>
          <w:sz w:val="29"/>
          <w:szCs w:val="29"/>
          <w:spacing w:val="-47"/>
        </w:rPr>
        <w:t xml:space="preserve"> </w:t>
      </w:r>
      <w:r>
        <w:rPr>
          <w:rFonts w:ascii="FangSong" w:hAnsi="FangSong" w:eastAsia="FangSong" w:cs="FangSong"/>
          <w:sz w:val="29"/>
          <w:szCs w:val="29"/>
          <w:spacing w:val="29"/>
        </w:rPr>
        <w:t>一款第(二)项</w:t>
      </w:r>
      <w:r>
        <w:rPr>
          <w:rFonts w:ascii="FangSong" w:hAnsi="FangSong" w:eastAsia="FangSong" w:cs="FangSong"/>
          <w:sz w:val="29"/>
          <w:szCs w:val="29"/>
          <w:spacing w:val="29"/>
        </w:rPr>
        <w:t xml:space="preserve">   </w:t>
      </w:r>
      <w:r>
        <w:rPr>
          <w:rFonts w:ascii="FangSong" w:hAnsi="FangSong" w:eastAsia="FangSong" w:cs="FangSong"/>
          <w:sz w:val="29"/>
          <w:szCs w:val="29"/>
          <w:spacing w:val="29"/>
        </w:rPr>
        <w:t>医疗卫生机构未依照本条例规定履行职责，</w:t>
      </w:r>
      <w:r>
        <w:rPr>
          <w:rFonts w:ascii="FangSong" w:hAnsi="FangSong" w:eastAsia="FangSong" w:cs="FangSong"/>
          <w:sz w:val="29"/>
          <w:szCs w:val="29"/>
        </w:rPr>
        <w:t xml:space="preserve"> </w:t>
      </w:r>
      <w:r>
        <w:rPr>
          <w:rFonts w:ascii="FangSong" w:hAnsi="FangSong" w:eastAsia="FangSong" w:cs="FangSong"/>
          <w:sz w:val="29"/>
          <w:szCs w:val="29"/>
          <w:spacing w:val="27"/>
        </w:rPr>
        <w:t>有下列情形的，由县级以上人民政府卫生主管部门</w:t>
      </w:r>
      <w:r>
        <w:rPr>
          <w:rFonts w:ascii="FangSong" w:hAnsi="FangSong" w:eastAsia="FangSong" w:cs="FangSong"/>
          <w:sz w:val="29"/>
          <w:szCs w:val="29"/>
          <w:spacing w:val="26"/>
        </w:rPr>
        <w:t>责令限期改正，通报批评，给予警告；造成艾滋病</w:t>
      </w:r>
      <w:r>
        <w:rPr>
          <w:rFonts w:ascii="FangSong" w:hAnsi="FangSong" w:eastAsia="FangSong" w:cs="FangSong"/>
          <w:sz w:val="29"/>
          <w:szCs w:val="29"/>
        </w:rPr>
        <w:t xml:space="preserve"> </w:t>
      </w:r>
      <w:r>
        <w:rPr>
          <w:rFonts w:ascii="FangSong" w:hAnsi="FangSong" w:eastAsia="FangSong" w:cs="FangSong"/>
          <w:sz w:val="29"/>
          <w:szCs w:val="29"/>
          <w:spacing w:val="28"/>
        </w:rPr>
        <w:t>传播、流行或者其他严重后果的，对负有责任的主管人员和其他直接责任人员依法给予降级、撤职、</w:t>
      </w:r>
      <w:r>
        <w:rPr>
          <w:rFonts w:ascii="FangSong" w:hAnsi="FangSong" w:eastAsia="FangSong" w:cs="FangSong"/>
          <w:sz w:val="29"/>
          <w:szCs w:val="29"/>
          <w:spacing w:val="12"/>
        </w:rPr>
        <w:t xml:space="preserve"> </w:t>
      </w:r>
      <w:r>
        <w:rPr>
          <w:rFonts w:ascii="FangSong" w:hAnsi="FangSong" w:eastAsia="FangSong" w:cs="FangSong"/>
          <w:sz w:val="29"/>
          <w:szCs w:val="29"/>
          <w:spacing w:val="27"/>
        </w:rPr>
        <w:t>开除的处分，并可以依法吊销有关机构或者责</w:t>
      </w:r>
      <w:r>
        <w:rPr>
          <w:rFonts w:ascii="FangSong" w:hAnsi="FangSong" w:eastAsia="FangSong" w:cs="FangSong"/>
          <w:sz w:val="29"/>
          <w:szCs w:val="29"/>
          <w:spacing w:val="26"/>
        </w:rPr>
        <w:t>任人员的执业许可证件；构成犯罪的，依法追究刑事责</w:t>
      </w:r>
    </w:p>
    <w:p>
      <w:pPr>
        <w:ind w:left="104"/>
        <w:spacing w:before="5" w:line="223" w:lineRule="auto"/>
        <w:rPr>
          <w:rFonts w:ascii="FangSong" w:hAnsi="FangSong" w:eastAsia="FangSong" w:cs="FangSong"/>
          <w:sz w:val="29"/>
          <w:szCs w:val="29"/>
        </w:rPr>
      </w:pPr>
      <w:r>
        <w:rPr>
          <w:rFonts w:ascii="FangSong" w:hAnsi="FangSong" w:eastAsia="FangSong" w:cs="FangSong"/>
          <w:sz w:val="29"/>
          <w:szCs w:val="29"/>
          <w:color w:val="504040"/>
          <w:spacing w:val="-10"/>
        </w:rPr>
        <w:t>任</w:t>
      </w:r>
      <w:r>
        <w:rPr>
          <w:rFonts w:ascii="FangSong" w:hAnsi="FangSong" w:eastAsia="FangSong" w:cs="FangSong"/>
          <w:sz w:val="29"/>
          <w:szCs w:val="29"/>
          <w:color w:val="504040"/>
          <w:spacing w:val="-77"/>
        </w:rPr>
        <w:t xml:space="preserve"> </w:t>
      </w:r>
      <w:r>
        <w:rPr>
          <w:rFonts w:ascii="FangSong" w:hAnsi="FangSong" w:eastAsia="FangSong" w:cs="FangSong"/>
          <w:sz w:val="29"/>
          <w:szCs w:val="29"/>
          <w:color w:val="504040"/>
          <w:spacing w:val="-10"/>
        </w:rPr>
        <w:t>：</w:t>
      </w:r>
    </w:p>
    <w:p>
      <w:pPr>
        <w:pStyle w:val="BodyText"/>
        <w:spacing w:line="293" w:lineRule="auto"/>
        <w:rPr/>
      </w:pPr>
      <w:r/>
    </w:p>
    <w:p>
      <w:pPr>
        <w:pStyle w:val="BodyText"/>
        <w:spacing w:line="293" w:lineRule="auto"/>
        <w:rPr/>
      </w:pPr>
      <w:r/>
    </w:p>
    <w:p>
      <w:pPr>
        <w:ind w:left="6619"/>
        <w:spacing w:before="95" w:line="221" w:lineRule="auto"/>
        <w:rPr>
          <w:rFonts w:ascii="SimHei" w:hAnsi="SimHei" w:eastAsia="SimHei" w:cs="SimHei"/>
          <w:sz w:val="29"/>
          <w:szCs w:val="29"/>
        </w:rPr>
      </w:pPr>
      <w:r>
        <w:rPr>
          <w:rFonts w:ascii="SimHei" w:hAnsi="SimHei" w:eastAsia="SimHei" w:cs="SimHei"/>
          <w:sz w:val="29"/>
          <w:szCs w:val="29"/>
          <w:b/>
          <w:bCs/>
          <w:spacing w:val="-6"/>
        </w:rPr>
        <w:t>裁量标准</w:t>
      </w:r>
    </w:p>
    <w:p>
      <w:pPr>
        <w:spacing w:line="221" w:lineRule="auto"/>
        <w:sectPr>
          <w:footerReference w:type="default" r:id="rId122"/>
          <w:pgSz w:w="16830" w:h="11900"/>
          <w:pgMar w:top="1011" w:right="1335" w:bottom="1117" w:left="1335" w:header="0" w:footer="784" w:gutter="0"/>
        </w:sectPr>
        <w:rPr>
          <w:rFonts w:ascii="SimHei" w:hAnsi="SimHei" w:eastAsia="SimHei" w:cs="SimHei"/>
          <w:sz w:val="29"/>
          <w:szCs w:val="29"/>
        </w:rPr>
      </w:pPr>
    </w:p>
    <w:p>
      <w:pPr>
        <w:spacing w:before="17"/>
        <w:rPr/>
      </w:pPr>
      <w:r/>
    </w:p>
    <w:p>
      <w:pPr>
        <w:spacing w:before="16"/>
        <w:rPr/>
      </w:pPr>
      <w:r/>
    </w:p>
    <w:p>
      <w:pPr>
        <w:spacing w:before="16"/>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3"/>
        <w:gridCol w:w="7555"/>
        <w:gridCol w:w="4811"/>
      </w:tblGrid>
      <w:tr>
        <w:trPr>
          <w:trHeight w:val="842" w:hRule="atLeast"/>
        </w:trPr>
        <w:tc>
          <w:tcPr>
            <w:tcW w:w="1783" w:type="dxa"/>
            <w:vAlign w:val="top"/>
          </w:tcPr>
          <w:p>
            <w:pPr>
              <w:pStyle w:val="TableText"/>
              <w:ind w:left="308"/>
              <w:spacing w:before="172" w:line="220" w:lineRule="auto"/>
              <w:rPr/>
            </w:pPr>
            <w:bookmarkStart w:name="bookmark788" w:id="82"/>
            <w:bookmarkEnd w:id="82"/>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555" w:type="dxa"/>
            <w:vAlign w:val="top"/>
          </w:tcPr>
          <w:p>
            <w:pPr>
              <w:pStyle w:val="TableText"/>
              <w:ind w:left="3195"/>
              <w:spacing w:before="182" w:line="220" w:lineRule="auto"/>
              <w:rPr/>
            </w:pPr>
            <w:r>
              <w:rPr>
                <w:b/>
                <w:bCs/>
                <w:spacing w:val="-5"/>
              </w:rPr>
              <w:t>情节后果</w:t>
            </w:r>
          </w:p>
        </w:tc>
        <w:tc>
          <w:tcPr>
            <w:tcW w:w="4811" w:type="dxa"/>
            <w:vAlign w:val="top"/>
          </w:tcPr>
          <w:p>
            <w:pPr>
              <w:pStyle w:val="TableText"/>
              <w:ind w:left="1850"/>
              <w:spacing w:before="16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757" w:hRule="atLeast"/>
        </w:trPr>
        <w:tc>
          <w:tcPr>
            <w:tcW w:w="1783" w:type="dxa"/>
            <w:vAlign w:val="top"/>
          </w:tcPr>
          <w:p>
            <w:pPr>
              <w:pStyle w:val="TableText"/>
              <w:ind w:left="648"/>
              <w:spacing w:before="150" w:line="221" w:lineRule="auto"/>
              <w:rPr/>
            </w:pPr>
            <w:r>
              <w:rPr>
                <w:b/>
                <w:bCs/>
                <w:spacing w:val="-10"/>
              </w:rPr>
              <w:t>一般</w:t>
            </w:r>
          </w:p>
        </w:tc>
        <w:tc>
          <w:tcPr>
            <w:tcW w:w="7555" w:type="dxa"/>
            <w:vAlign w:val="top"/>
          </w:tcPr>
          <w:p>
            <w:pPr>
              <w:pStyle w:val="TableText"/>
              <w:ind w:left="81"/>
              <w:spacing w:before="161" w:line="219" w:lineRule="auto"/>
              <w:rPr/>
            </w:pPr>
            <w:r>
              <w:rPr/>
              <w:t>按照规定免费提供咨询和初筛检测，未造成艾滋病传播等后</w:t>
            </w:r>
            <w:r>
              <w:rPr>
                <w:spacing w:val="-1"/>
              </w:rPr>
              <w:t>果。</w:t>
            </w:r>
          </w:p>
        </w:tc>
        <w:tc>
          <w:tcPr>
            <w:tcW w:w="4811" w:type="dxa"/>
            <w:vAlign w:val="top"/>
          </w:tcPr>
          <w:p>
            <w:pPr>
              <w:pStyle w:val="TableText"/>
              <w:ind w:left="116"/>
              <w:spacing w:before="140" w:line="218" w:lineRule="auto"/>
              <w:rPr/>
            </w:pPr>
            <w:r>
              <w:rPr>
                <w:spacing w:val="-1"/>
              </w:rPr>
              <w:t>通报批评，给予警告。</w:t>
            </w:r>
          </w:p>
        </w:tc>
      </w:tr>
      <w:tr>
        <w:trPr>
          <w:trHeight w:val="1160" w:hRule="atLeast"/>
        </w:trPr>
        <w:tc>
          <w:tcPr>
            <w:tcW w:w="1783" w:type="dxa"/>
            <w:vAlign w:val="top"/>
          </w:tcPr>
          <w:p>
            <w:pPr>
              <w:spacing w:line="382" w:lineRule="auto"/>
              <w:rPr>
                <w:rFonts w:ascii="Arial"/>
                <w:sz w:val="21"/>
              </w:rPr>
            </w:pPr>
            <w:r/>
          </w:p>
          <w:p>
            <w:pPr>
              <w:pStyle w:val="TableText"/>
              <w:ind w:left="648"/>
              <w:spacing w:before="78" w:line="220" w:lineRule="auto"/>
              <w:rPr/>
            </w:pPr>
            <w:r>
              <w:rPr>
                <w:b/>
                <w:bCs/>
                <w:spacing w:val="-6"/>
              </w:rPr>
              <w:t>严重</w:t>
            </w:r>
          </w:p>
        </w:tc>
        <w:tc>
          <w:tcPr>
            <w:tcW w:w="7555" w:type="dxa"/>
            <w:vAlign w:val="top"/>
          </w:tcPr>
          <w:p>
            <w:pPr>
              <w:pStyle w:val="TableText"/>
              <w:ind w:left="81" w:right="13"/>
              <w:spacing w:before="134" w:line="350" w:lineRule="auto"/>
              <w:rPr/>
            </w:pPr>
            <w:r>
              <w:rPr/>
              <w:t>未按照规定免费提供咨询和初筛检测，造成艾滋病传播、流行或者其他</w:t>
            </w:r>
            <w:r>
              <w:rPr>
                <w:spacing w:val="8"/>
              </w:rPr>
              <w:t xml:space="preserve"> </w:t>
            </w:r>
            <w:r>
              <w:rPr>
                <w:spacing w:val="-1"/>
              </w:rPr>
              <w:t>严重后果。</w:t>
            </w:r>
          </w:p>
        </w:tc>
        <w:tc>
          <w:tcPr>
            <w:tcW w:w="4811" w:type="dxa"/>
            <w:vAlign w:val="top"/>
          </w:tcPr>
          <w:p>
            <w:pPr>
              <w:pStyle w:val="TableText"/>
              <w:ind w:left="146"/>
              <w:spacing w:before="164" w:line="219" w:lineRule="auto"/>
              <w:rPr/>
            </w:pPr>
            <w:r>
              <w:rPr/>
              <w:t>依法吊销有关机构或者责任人员的执业许可</w:t>
            </w:r>
          </w:p>
          <w:p>
            <w:pPr>
              <w:pStyle w:val="TableText"/>
              <w:ind w:left="116"/>
              <w:spacing w:before="146" w:line="219" w:lineRule="auto"/>
              <w:rPr/>
            </w:pPr>
            <w:r>
              <w:rPr>
                <w:color w:val="404040"/>
              </w:rPr>
              <w:t>证件。</w:t>
            </w:r>
          </w:p>
        </w:tc>
      </w:tr>
    </w:tbl>
    <w:p>
      <w:pPr>
        <w:ind w:left="804"/>
        <w:spacing w:before="111" w:line="220" w:lineRule="auto"/>
        <w:rPr>
          <w:rFonts w:ascii="FangSong" w:hAnsi="FangSong" w:eastAsia="FangSong" w:cs="FangSong"/>
          <w:sz w:val="30"/>
          <w:szCs w:val="30"/>
        </w:rPr>
      </w:pPr>
      <w:r>
        <w:rPr>
          <w:rFonts w:ascii="FangSong" w:hAnsi="FangSong" w:eastAsia="FangSong" w:cs="FangSong"/>
          <w:sz w:val="30"/>
          <w:szCs w:val="30"/>
          <w:spacing w:val="22"/>
        </w:rPr>
        <w:t>(二)未按照规定免费提供咨询和初筛检测的；</w:t>
      </w:r>
    </w:p>
    <w:p>
      <w:pPr>
        <w:ind w:left="19" w:right="233" w:firstLine="660"/>
        <w:spacing w:before="61" w:line="272" w:lineRule="auto"/>
        <w:rPr>
          <w:rFonts w:ascii="KaiTi" w:hAnsi="KaiTi" w:eastAsia="KaiTi" w:cs="KaiTi"/>
          <w:sz w:val="30"/>
          <w:szCs w:val="30"/>
        </w:rPr>
      </w:pPr>
      <w:r>
        <w:rPr>
          <w:rFonts w:ascii="KaiTi" w:hAnsi="KaiTi" w:eastAsia="KaiTi" w:cs="KaiTi"/>
          <w:sz w:val="30"/>
          <w:szCs w:val="30"/>
          <w:b/>
          <w:bCs/>
          <w:spacing w:val="20"/>
        </w:rPr>
        <w:t>第四十八条医疗卫生机构对临时应急采集的血液未进行艾滋病检测，对临床用血艾滋</w:t>
      </w:r>
      <w:r>
        <w:rPr>
          <w:rFonts w:ascii="KaiTi" w:hAnsi="KaiTi" w:eastAsia="KaiTi" w:cs="KaiTi"/>
          <w:sz w:val="30"/>
          <w:szCs w:val="30"/>
          <w:b/>
          <w:bCs/>
          <w:spacing w:val="19"/>
        </w:rPr>
        <w:t>病检测结</w:t>
      </w:r>
      <w:r>
        <w:rPr>
          <w:rFonts w:ascii="KaiTi" w:hAnsi="KaiTi" w:eastAsia="KaiTi" w:cs="KaiTi"/>
          <w:sz w:val="30"/>
          <w:szCs w:val="30"/>
        </w:rPr>
        <w:t xml:space="preserve"> </w:t>
      </w:r>
      <w:r>
        <w:rPr>
          <w:rFonts w:ascii="KaiTi" w:hAnsi="KaiTi" w:eastAsia="KaiTi" w:cs="KaiTi"/>
          <w:sz w:val="30"/>
          <w:szCs w:val="30"/>
          <w:b/>
          <w:bCs/>
          <w:spacing w:val="17"/>
        </w:rPr>
        <w:t>果未进行核查，或者将艾滋病检测阳性的血液用于</w:t>
      </w:r>
      <w:r>
        <w:rPr>
          <w:rFonts w:ascii="KaiTi" w:hAnsi="KaiTi" w:eastAsia="KaiTi" w:cs="KaiTi"/>
          <w:sz w:val="30"/>
          <w:szCs w:val="30"/>
          <w:b/>
          <w:bCs/>
          <w:spacing w:val="16"/>
        </w:rPr>
        <w:t>临床的</w:t>
      </w:r>
    </w:p>
    <w:p>
      <w:pPr>
        <w:ind w:left="675"/>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4" w:right="94" w:firstLine="640"/>
        <w:spacing w:before="79" w:line="270" w:lineRule="auto"/>
        <w:jc w:val="both"/>
        <w:rPr>
          <w:rFonts w:ascii="FangSong" w:hAnsi="FangSong" w:eastAsia="FangSong" w:cs="FangSong"/>
          <w:sz w:val="30"/>
          <w:szCs w:val="30"/>
        </w:rPr>
      </w:pPr>
      <w:r>
        <w:rPr>
          <w:rFonts w:ascii="FangSong" w:hAnsi="FangSong" w:eastAsia="FangSong" w:cs="FangSong"/>
          <w:sz w:val="30"/>
          <w:szCs w:val="30"/>
          <w:spacing w:val="20"/>
        </w:rPr>
        <w:t>《艾滋病防治条例》第五十五条第</w:t>
      </w:r>
      <w:r>
        <w:rPr>
          <w:rFonts w:ascii="FangSong" w:hAnsi="FangSong" w:eastAsia="FangSong" w:cs="FangSong"/>
          <w:sz w:val="30"/>
          <w:szCs w:val="30"/>
          <w:spacing w:val="-64"/>
        </w:rPr>
        <w:t xml:space="preserve"> </w:t>
      </w:r>
      <w:r>
        <w:rPr>
          <w:rFonts w:ascii="FangSong" w:hAnsi="FangSong" w:eastAsia="FangSong" w:cs="FangSong"/>
          <w:sz w:val="30"/>
          <w:szCs w:val="30"/>
          <w:spacing w:val="20"/>
        </w:rPr>
        <w:t>一款第(三)项</w:t>
      </w:r>
      <w:r>
        <w:rPr>
          <w:rFonts w:ascii="FangSong" w:hAnsi="FangSong" w:eastAsia="FangSong" w:cs="FangSong"/>
          <w:sz w:val="30"/>
          <w:szCs w:val="30"/>
          <w:spacing w:val="20"/>
        </w:rPr>
        <w:t xml:space="preserve">   </w:t>
      </w:r>
      <w:r>
        <w:rPr>
          <w:rFonts w:ascii="FangSong" w:hAnsi="FangSong" w:eastAsia="FangSong" w:cs="FangSong"/>
          <w:sz w:val="30"/>
          <w:szCs w:val="30"/>
          <w:spacing w:val="20"/>
        </w:rPr>
        <w:t>医疗卫生机构未依照本条例</w:t>
      </w:r>
      <w:r>
        <w:rPr>
          <w:rFonts w:ascii="FangSong" w:hAnsi="FangSong" w:eastAsia="FangSong" w:cs="FangSong"/>
          <w:sz w:val="30"/>
          <w:szCs w:val="30"/>
          <w:spacing w:val="19"/>
        </w:rPr>
        <w:t>规定履行职责，</w:t>
      </w:r>
      <w:r>
        <w:rPr>
          <w:rFonts w:ascii="FangSong" w:hAnsi="FangSong" w:eastAsia="FangSong" w:cs="FangSong"/>
          <w:sz w:val="30"/>
          <w:szCs w:val="30"/>
        </w:rPr>
        <w:t xml:space="preserve"> </w:t>
      </w:r>
      <w:r>
        <w:rPr>
          <w:rFonts w:ascii="FangSong" w:hAnsi="FangSong" w:eastAsia="FangSong" w:cs="FangSong"/>
          <w:sz w:val="30"/>
          <w:szCs w:val="30"/>
          <w:spacing w:val="17"/>
        </w:rPr>
        <w:t>有下列情形的，由县级以上人民政府卫生主管部门责</w:t>
      </w:r>
      <w:r>
        <w:rPr>
          <w:rFonts w:ascii="FangSong" w:hAnsi="FangSong" w:eastAsia="FangSong" w:cs="FangSong"/>
          <w:sz w:val="30"/>
          <w:szCs w:val="30"/>
          <w:spacing w:val="16"/>
        </w:rPr>
        <w:t>令限期改正，通报批评，给予警告；造成艾滋病</w:t>
      </w:r>
      <w:r>
        <w:rPr>
          <w:rFonts w:ascii="FangSong" w:hAnsi="FangSong" w:eastAsia="FangSong" w:cs="FangSong"/>
          <w:sz w:val="30"/>
          <w:szCs w:val="30"/>
        </w:rPr>
        <w:t xml:space="preserve"> </w:t>
      </w:r>
      <w:r>
        <w:rPr>
          <w:rFonts w:ascii="FangSong" w:hAnsi="FangSong" w:eastAsia="FangSong" w:cs="FangSong"/>
          <w:sz w:val="30"/>
          <w:szCs w:val="30"/>
          <w:spacing w:val="18"/>
        </w:rPr>
        <w:t>传播、流行或者其他严重后果的，对负有责任的主管人员和其他直接责任人员依法给予降级、撤职、</w:t>
      </w:r>
      <w:r>
        <w:rPr>
          <w:rFonts w:ascii="FangSong" w:hAnsi="FangSong" w:eastAsia="FangSong" w:cs="FangSong"/>
          <w:sz w:val="30"/>
          <w:szCs w:val="30"/>
          <w:spacing w:val="6"/>
        </w:rPr>
        <w:t xml:space="preserve"> </w:t>
      </w:r>
      <w:r>
        <w:rPr>
          <w:rFonts w:ascii="FangSong" w:hAnsi="FangSong" w:eastAsia="FangSong" w:cs="FangSong"/>
          <w:sz w:val="30"/>
          <w:szCs w:val="30"/>
          <w:spacing w:val="16"/>
        </w:rPr>
        <w:t>开除的处分，并可以依法吊销有关机构或者责任人员的执业许可证件；构成犯罪的</w:t>
      </w:r>
      <w:r>
        <w:rPr>
          <w:rFonts w:ascii="FangSong" w:hAnsi="FangSong" w:eastAsia="FangSong" w:cs="FangSong"/>
          <w:sz w:val="30"/>
          <w:szCs w:val="30"/>
          <w:spacing w:val="15"/>
        </w:rPr>
        <w:t>，依法追究刑事责</w:t>
      </w:r>
    </w:p>
    <w:p>
      <w:pPr>
        <w:ind w:left="14"/>
        <w:spacing w:before="6" w:line="223" w:lineRule="auto"/>
        <w:rPr>
          <w:rFonts w:ascii="FangSong" w:hAnsi="FangSong" w:eastAsia="FangSong" w:cs="FangSong"/>
          <w:sz w:val="30"/>
          <w:szCs w:val="30"/>
        </w:rPr>
      </w:pPr>
      <w:r>
        <w:rPr>
          <w:rFonts w:ascii="FangSong" w:hAnsi="FangSong" w:eastAsia="FangSong" w:cs="FangSong"/>
          <w:sz w:val="30"/>
          <w:szCs w:val="30"/>
          <w:color w:val="504040"/>
          <w:spacing w:val="-8"/>
        </w:rPr>
        <w:t>任：</w:t>
      </w:r>
    </w:p>
    <w:p>
      <w:pPr>
        <w:ind w:left="14" w:right="221" w:firstLine="790"/>
        <w:spacing w:before="94" w:line="264" w:lineRule="auto"/>
        <w:rPr>
          <w:rFonts w:ascii="FangSong" w:hAnsi="FangSong" w:eastAsia="FangSong" w:cs="FangSong"/>
          <w:sz w:val="30"/>
          <w:szCs w:val="30"/>
        </w:rPr>
      </w:pPr>
      <w:r>
        <w:rPr>
          <w:rFonts w:ascii="FangSong" w:hAnsi="FangSong" w:eastAsia="FangSong" w:cs="FangSong"/>
          <w:sz w:val="30"/>
          <w:szCs w:val="30"/>
          <w:spacing w:val="20"/>
        </w:rPr>
        <w:t>(三)对临时应急采集的血液未进行艾滋病检测，对临床用血艾滋病检测结果</w:t>
      </w:r>
      <w:r>
        <w:rPr>
          <w:rFonts w:ascii="FangSong" w:hAnsi="FangSong" w:eastAsia="FangSong" w:cs="FangSong"/>
          <w:sz w:val="30"/>
          <w:szCs w:val="30"/>
          <w:spacing w:val="19"/>
        </w:rPr>
        <w:t>未进行核查，或者</w:t>
      </w:r>
      <w:r>
        <w:rPr>
          <w:rFonts w:ascii="FangSong" w:hAnsi="FangSong" w:eastAsia="FangSong" w:cs="FangSong"/>
          <w:sz w:val="30"/>
          <w:szCs w:val="30"/>
        </w:rPr>
        <w:t xml:space="preserve"> </w:t>
      </w:r>
      <w:r>
        <w:rPr>
          <w:rFonts w:ascii="FangSong" w:hAnsi="FangSong" w:eastAsia="FangSong" w:cs="FangSong"/>
          <w:sz w:val="30"/>
          <w:szCs w:val="30"/>
          <w:spacing w:val="13"/>
        </w:rPr>
        <w:t>将艾滋病检测阳性的血液用于临床的；</w:t>
      </w:r>
    </w:p>
    <w:p>
      <w:pPr>
        <w:ind w:left="6429"/>
        <w:spacing w:before="1" w:line="220" w:lineRule="auto"/>
        <w:rPr>
          <w:rFonts w:ascii="SimHei" w:hAnsi="SimHei" w:eastAsia="SimHei" w:cs="SimHei"/>
          <w:sz w:val="30"/>
          <w:szCs w:val="30"/>
        </w:rPr>
      </w:pPr>
      <w:r>
        <w:rPr>
          <w:rFonts w:ascii="SimHei" w:hAnsi="SimHei" w:eastAsia="SimHei" w:cs="SimHei"/>
          <w:sz w:val="30"/>
          <w:szCs w:val="30"/>
          <w:b/>
          <w:bCs/>
          <w:spacing w:val="-19"/>
        </w:rPr>
        <w:t>裁量标准</w:t>
      </w:r>
    </w:p>
    <w:p>
      <w:pPr>
        <w:spacing w:line="220" w:lineRule="auto"/>
        <w:sectPr>
          <w:footerReference w:type="default" r:id="rId123"/>
          <w:pgSz w:w="16830" w:h="11900"/>
          <w:pgMar w:top="1011" w:right="1244" w:bottom="1130" w:left="1425" w:header="0" w:footer="806" w:gutter="0"/>
        </w:sectPr>
        <w:rPr>
          <w:rFonts w:ascii="SimHei" w:hAnsi="SimHei" w:eastAsia="SimHei" w:cs="SimHei"/>
          <w:sz w:val="30"/>
          <w:szCs w:val="30"/>
        </w:rPr>
      </w:pPr>
    </w:p>
    <w:p>
      <w:pPr>
        <w:spacing w:before="20"/>
        <w:rPr/>
      </w:pPr>
      <w:r/>
    </w:p>
    <w:p>
      <w:pPr>
        <w:spacing w:before="20"/>
        <w:rPr/>
      </w:pPr>
      <w:r/>
    </w:p>
    <w:p>
      <w:pPr>
        <w:spacing w:before="19"/>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14"/>
        <w:gridCol w:w="8034"/>
        <w:gridCol w:w="4222"/>
      </w:tblGrid>
      <w:tr>
        <w:trPr>
          <w:trHeight w:val="823" w:hRule="atLeast"/>
        </w:trPr>
        <w:tc>
          <w:tcPr>
            <w:tcW w:w="1914" w:type="dxa"/>
            <w:vAlign w:val="top"/>
          </w:tcPr>
          <w:p>
            <w:pPr>
              <w:pStyle w:val="TableText"/>
              <w:ind w:left="368"/>
              <w:spacing w:before="292" w:line="220" w:lineRule="auto"/>
              <w:outlineLvl w:val="1"/>
              <w:rPr/>
            </w:pPr>
            <w:bookmarkStart w:name="bookmark789" w:id="83"/>
            <w:bookmarkEnd w:id="83"/>
            <w:bookmarkStart w:name="bookmark186" w:id="84"/>
            <w:bookmarkEnd w:id="84"/>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8034" w:type="dxa"/>
            <w:vAlign w:val="top"/>
          </w:tcPr>
          <w:p>
            <w:pPr>
              <w:pStyle w:val="TableText"/>
              <w:ind w:left="3534"/>
              <w:spacing w:before="292" w:line="220" w:lineRule="auto"/>
              <w:rPr/>
            </w:pPr>
            <w:r>
              <w:rPr>
                <w:b/>
                <w:bCs/>
                <w:spacing w:val="-5"/>
              </w:rPr>
              <w:t>情节后果</w:t>
            </w:r>
          </w:p>
        </w:tc>
        <w:tc>
          <w:tcPr>
            <w:tcW w:w="4222" w:type="dxa"/>
            <w:vAlign w:val="top"/>
          </w:tcPr>
          <w:p>
            <w:pPr>
              <w:pStyle w:val="TableText"/>
              <w:ind w:left="1550"/>
              <w:spacing w:before="28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906" w:hRule="atLeast"/>
        </w:trPr>
        <w:tc>
          <w:tcPr>
            <w:tcW w:w="1914" w:type="dxa"/>
            <w:vAlign w:val="top"/>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pStyle w:val="TableText"/>
              <w:ind w:left="708"/>
              <w:spacing w:before="78" w:line="221" w:lineRule="auto"/>
              <w:rPr/>
            </w:pPr>
            <w:r>
              <w:rPr>
                <w:b/>
                <w:bCs/>
                <w:spacing w:val="-10"/>
              </w:rPr>
              <w:t>一般</w:t>
            </w:r>
          </w:p>
        </w:tc>
        <w:tc>
          <w:tcPr>
            <w:tcW w:w="8034" w:type="dxa"/>
            <w:vAlign w:val="top"/>
          </w:tcPr>
          <w:p>
            <w:pPr>
              <w:spacing w:line="429" w:lineRule="auto"/>
              <w:rPr>
                <w:rFonts w:ascii="Arial"/>
                <w:sz w:val="21"/>
              </w:rPr>
            </w:pPr>
            <w:r/>
          </w:p>
          <w:p>
            <w:pPr>
              <w:pStyle w:val="TableText"/>
              <w:ind w:left="10" w:firstLine="39"/>
              <w:spacing w:before="78" w:line="333" w:lineRule="auto"/>
              <w:rPr/>
            </w:pPr>
            <w:r>
              <w:rPr>
                <w:spacing w:val="-3"/>
              </w:rPr>
              <w:t>对临时应急采集的血液未进行艾滋病检测，对临床用血艾滋</w:t>
            </w:r>
            <w:r>
              <w:rPr>
                <w:spacing w:val="-4"/>
              </w:rPr>
              <w:t>病检测结果未进</w:t>
            </w:r>
            <w:r>
              <w:rPr/>
              <w:t xml:space="preserve">  </w:t>
            </w:r>
            <w:r>
              <w:rPr>
                <w:spacing w:val="-4"/>
              </w:rPr>
              <w:t>行核查，或者将艾滋病检测阳性的血液用于临床，</w:t>
            </w:r>
            <w:r>
              <w:rPr>
                <w:spacing w:val="-5"/>
              </w:rPr>
              <w:t>未造成艾滋病传播等后果。</w:t>
            </w:r>
          </w:p>
        </w:tc>
        <w:tc>
          <w:tcPr>
            <w:tcW w:w="4222" w:type="dxa"/>
            <w:vAlign w:val="top"/>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pStyle w:val="TableText"/>
              <w:ind w:left="136"/>
              <w:spacing w:before="78" w:line="218" w:lineRule="auto"/>
              <w:rPr/>
            </w:pPr>
            <w:r>
              <w:rPr>
                <w:spacing w:val="-1"/>
              </w:rPr>
              <w:t>通报批评，给予警告。</w:t>
            </w:r>
          </w:p>
        </w:tc>
      </w:tr>
      <w:tr>
        <w:trPr>
          <w:trHeight w:val="2281" w:hRule="atLeast"/>
        </w:trPr>
        <w:tc>
          <w:tcPr>
            <w:tcW w:w="1914" w:type="dxa"/>
            <w:vAlign w:val="top"/>
          </w:tcPr>
          <w:p>
            <w:pPr>
              <w:spacing w:line="313" w:lineRule="auto"/>
              <w:rPr>
                <w:rFonts w:ascii="Arial"/>
                <w:sz w:val="21"/>
              </w:rPr>
            </w:pPr>
            <w:r/>
          </w:p>
          <w:p>
            <w:pPr>
              <w:spacing w:line="313" w:lineRule="auto"/>
              <w:rPr>
                <w:rFonts w:ascii="Arial"/>
                <w:sz w:val="21"/>
              </w:rPr>
            </w:pPr>
            <w:r/>
          </w:p>
          <w:p>
            <w:pPr>
              <w:spacing w:line="313" w:lineRule="auto"/>
              <w:rPr>
                <w:rFonts w:ascii="Arial"/>
                <w:sz w:val="21"/>
              </w:rPr>
            </w:pPr>
            <w:r/>
          </w:p>
          <w:p>
            <w:pPr>
              <w:pStyle w:val="TableText"/>
              <w:ind w:left="708"/>
              <w:spacing w:before="78" w:line="220" w:lineRule="auto"/>
              <w:rPr/>
            </w:pPr>
            <w:r>
              <w:rPr>
                <w:b/>
                <w:bCs/>
                <w:spacing w:val="-6"/>
              </w:rPr>
              <w:t>严重</w:t>
            </w:r>
          </w:p>
        </w:tc>
        <w:tc>
          <w:tcPr>
            <w:tcW w:w="8034" w:type="dxa"/>
            <w:vAlign w:val="top"/>
          </w:tcPr>
          <w:p>
            <w:pPr>
              <w:spacing w:line="393" w:lineRule="auto"/>
              <w:rPr>
                <w:rFonts w:ascii="Arial"/>
                <w:sz w:val="21"/>
              </w:rPr>
            </w:pPr>
            <w:r/>
          </w:p>
          <w:p>
            <w:pPr>
              <w:pStyle w:val="TableText"/>
              <w:ind w:left="50" w:right="41"/>
              <w:spacing w:before="78" w:line="341" w:lineRule="auto"/>
              <w:jc w:val="both"/>
              <w:rPr/>
            </w:pPr>
            <w:r>
              <w:rPr/>
              <w:t>对临时应急采集的血液未进行艾滋病检测，对临床用</w:t>
            </w:r>
            <w:r>
              <w:rPr>
                <w:spacing w:val="-1"/>
              </w:rPr>
              <w:t>血艾滋病检测结果未进</w:t>
            </w:r>
            <w:r>
              <w:rPr/>
              <w:t xml:space="preserve"> </w:t>
            </w:r>
            <w:r>
              <w:rPr/>
              <w:t>行核查，或者将艾滋病检测阳性的血液用于临床，造成艾滋病传播、流行或</w:t>
            </w:r>
            <w:r>
              <w:rPr>
                <w:spacing w:val="10"/>
              </w:rPr>
              <w:t xml:space="preserve"> </w:t>
            </w:r>
            <w:r>
              <w:rPr>
                <w:spacing w:val="7"/>
              </w:rPr>
              <w:t>者其他严重后果。</w:t>
            </w:r>
          </w:p>
        </w:tc>
        <w:tc>
          <w:tcPr>
            <w:tcW w:w="4222" w:type="dxa"/>
            <w:vAlign w:val="top"/>
          </w:tcPr>
          <w:p>
            <w:pPr>
              <w:spacing w:line="316" w:lineRule="auto"/>
              <w:rPr>
                <w:rFonts w:ascii="Arial"/>
                <w:sz w:val="21"/>
              </w:rPr>
            </w:pPr>
            <w:r/>
          </w:p>
          <w:p>
            <w:pPr>
              <w:spacing w:line="317" w:lineRule="auto"/>
              <w:rPr>
                <w:rFonts w:ascii="Arial"/>
                <w:sz w:val="21"/>
              </w:rPr>
            </w:pPr>
            <w:r/>
          </w:p>
          <w:p>
            <w:pPr>
              <w:pStyle w:val="TableText"/>
              <w:ind w:left="136" w:right="214" w:firstLine="10"/>
              <w:spacing w:before="78" w:line="341" w:lineRule="auto"/>
              <w:rPr/>
            </w:pPr>
            <w:r>
              <w:rPr/>
              <w:t>依法吊销有关机构或者责任人员的执</w:t>
            </w:r>
            <w:r>
              <w:rPr>
                <w:spacing w:val="9"/>
              </w:rPr>
              <w:t xml:space="preserve"> </w:t>
            </w:r>
            <w:r>
              <w:rPr/>
              <w:t>业许可证件。</w:t>
            </w:r>
          </w:p>
        </w:tc>
      </w:tr>
    </w:tbl>
    <w:p>
      <w:pPr>
        <w:ind w:left="139" w:right="131" w:firstLine="660"/>
        <w:spacing w:before="87" w:line="279" w:lineRule="auto"/>
        <w:rPr>
          <w:rFonts w:ascii="FangSong" w:hAnsi="FangSong" w:eastAsia="FangSong" w:cs="FangSong"/>
          <w:sz w:val="30"/>
          <w:szCs w:val="30"/>
        </w:rPr>
      </w:pPr>
      <w:r>
        <w:rPr>
          <w:rFonts w:ascii="FangSong" w:hAnsi="FangSong" w:eastAsia="FangSong" w:cs="FangSong"/>
          <w:sz w:val="30"/>
          <w:szCs w:val="30"/>
          <w:b/>
          <w:bCs/>
          <w:spacing w:val="20"/>
        </w:rPr>
        <w:t>第四十九条医疗卫生机构未遵守标准防护原则，或者未执行操作规程和消毒管理制度，发生艾</w:t>
      </w:r>
      <w:r>
        <w:rPr>
          <w:rFonts w:ascii="FangSong" w:hAnsi="FangSong" w:eastAsia="FangSong" w:cs="FangSong"/>
          <w:sz w:val="30"/>
          <w:szCs w:val="30"/>
          <w:spacing w:val="4"/>
        </w:rPr>
        <w:t xml:space="preserve"> </w:t>
      </w:r>
      <w:r>
        <w:rPr>
          <w:rFonts w:ascii="FangSong" w:hAnsi="FangSong" w:eastAsia="FangSong" w:cs="FangSong"/>
          <w:sz w:val="30"/>
          <w:szCs w:val="30"/>
          <w:b/>
          <w:bCs/>
          <w:spacing w:val="16"/>
        </w:rPr>
        <w:t>滋病医院感染或者医源性感染的</w:t>
      </w:r>
    </w:p>
    <w:p>
      <w:pPr>
        <w:ind w:left="794"/>
        <w:spacing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134" w:firstLine="660"/>
        <w:spacing w:before="83" w:line="271" w:lineRule="auto"/>
        <w:jc w:val="both"/>
        <w:rPr>
          <w:rFonts w:ascii="FangSong" w:hAnsi="FangSong" w:eastAsia="FangSong" w:cs="FangSong"/>
          <w:sz w:val="30"/>
          <w:szCs w:val="30"/>
        </w:rPr>
      </w:pPr>
      <w:r>
        <w:rPr>
          <w:rFonts w:ascii="FangSong" w:hAnsi="FangSong" w:eastAsia="FangSong" w:cs="FangSong"/>
          <w:sz w:val="30"/>
          <w:szCs w:val="30"/>
          <w:spacing w:val="21"/>
        </w:rPr>
        <w:t>《艾滋病防治条例》第五十五条第一款第(四)项</w:t>
      </w:r>
      <w:r>
        <w:rPr>
          <w:rFonts w:ascii="FangSong" w:hAnsi="FangSong" w:eastAsia="FangSong" w:cs="FangSong"/>
          <w:sz w:val="30"/>
          <w:szCs w:val="30"/>
          <w:spacing w:val="21"/>
        </w:rPr>
        <w:t xml:space="preserve">   </w:t>
      </w:r>
      <w:r>
        <w:rPr>
          <w:rFonts w:ascii="FangSong" w:hAnsi="FangSong" w:eastAsia="FangSong" w:cs="FangSong"/>
          <w:sz w:val="30"/>
          <w:szCs w:val="30"/>
          <w:spacing w:val="21"/>
        </w:rPr>
        <w:t>医疗卫生机构未依照本条例规定履行职责，</w:t>
      </w:r>
      <w:r>
        <w:rPr>
          <w:rFonts w:ascii="FangSong" w:hAnsi="FangSong" w:eastAsia="FangSong" w:cs="FangSong"/>
          <w:sz w:val="30"/>
          <w:szCs w:val="30"/>
          <w:spacing w:val="14"/>
        </w:rPr>
        <w:t xml:space="preserve"> </w:t>
      </w:r>
      <w:r>
        <w:rPr>
          <w:rFonts w:ascii="FangSong" w:hAnsi="FangSong" w:eastAsia="FangSong" w:cs="FangSong"/>
          <w:sz w:val="30"/>
          <w:szCs w:val="30"/>
          <w:spacing w:val="17"/>
        </w:rPr>
        <w:t>有下列情形的，由县级以上人民政府卫生主管部门责</w:t>
      </w:r>
      <w:r>
        <w:rPr>
          <w:rFonts w:ascii="FangSong" w:hAnsi="FangSong" w:eastAsia="FangSong" w:cs="FangSong"/>
          <w:sz w:val="30"/>
          <w:szCs w:val="30"/>
          <w:spacing w:val="16"/>
        </w:rPr>
        <w:t>令限期改正，通报批评，给予警告；造成艾滋病</w:t>
      </w:r>
      <w:r>
        <w:rPr>
          <w:rFonts w:ascii="FangSong" w:hAnsi="FangSong" w:eastAsia="FangSong" w:cs="FangSong"/>
          <w:sz w:val="30"/>
          <w:szCs w:val="30"/>
        </w:rPr>
        <w:t xml:space="preserve"> </w:t>
      </w:r>
      <w:r>
        <w:rPr>
          <w:rFonts w:ascii="FangSong" w:hAnsi="FangSong" w:eastAsia="FangSong" w:cs="FangSong"/>
          <w:sz w:val="30"/>
          <w:szCs w:val="30"/>
          <w:spacing w:val="18"/>
        </w:rPr>
        <w:t>传播、流行或者其他严重后果的，对负有责任的主管人员和其他直接责任人员依法给予降级、撤职、</w:t>
      </w:r>
    </w:p>
    <w:p>
      <w:pPr>
        <w:spacing w:line="271" w:lineRule="auto"/>
        <w:sectPr>
          <w:footerReference w:type="default" r:id="rId124"/>
          <w:pgSz w:w="16830" w:h="11900"/>
          <w:pgMar w:top="1011" w:right="1340" w:bottom="1107" w:left="1305" w:header="0" w:footer="774" w:gutter="0"/>
        </w:sectPr>
        <w:rPr>
          <w:rFonts w:ascii="FangSong" w:hAnsi="FangSong" w:eastAsia="FangSong" w:cs="FangSong"/>
          <w:sz w:val="30"/>
          <w:szCs w:val="30"/>
        </w:rPr>
      </w:pPr>
    </w:p>
    <w:p>
      <w:pPr>
        <w:pStyle w:val="BodyText"/>
        <w:spacing w:line="263" w:lineRule="auto"/>
        <w:rPr/>
      </w:pPr>
      <w:r/>
    </w:p>
    <w:p>
      <w:pPr>
        <w:pStyle w:val="BodyText"/>
        <w:spacing w:line="263" w:lineRule="auto"/>
        <w:rPr/>
      </w:pPr>
      <w:r/>
    </w:p>
    <w:p>
      <w:pPr>
        <w:pStyle w:val="BodyText"/>
        <w:spacing w:line="263" w:lineRule="auto"/>
        <w:rPr/>
      </w:pPr>
      <w:r/>
    </w:p>
    <w:p>
      <w:pPr>
        <w:ind w:left="135"/>
        <w:spacing w:before="94" w:line="219" w:lineRule="auto"/>
        <w:outlineLvl w:val="1"/>
        <w:rPr>
          <w:rFonts w:ascii="SimSun" w:hAnsi="SimSun" w:eastAsia="SimSun" w:cs="SimSun"/>
          <w:sz w:val="29"/>
          <w:szCs w:val="29"/>
        </w:rPr>
      </w:pPr>
      <w:bookmarkStart w:name="bookmark790" w:id="85"/>
      <w:bookmarkEnd w:id="85"/>
      <w:bookmarkStart w:name="bookmark186" w:id="86"/>
      <w:bookmarkEnd w:id="86"/>
      <w:r>
        <w:rPr>
          <w:rFonts w:ascii="SimSun" w:hAnsi="SimSun" w:eastAsia="SimSun" w:cs="SimSun"/>
          <w:sz w:val="29"/>
          <w:szCs w:val="29"/>
          <w:spacing w:val="26"/>
        </w:rPr>
        <w:t>开除的处分，并可以依法吊销有关机构或者责任人员的执业许可证件；构成犯罪的，依法追究刑事责</w:t>
      </w:r>
    </w:p>
    <w:p>
      <w:pPr>
        <w:ind w:left="135"/>
        <w:spacing w:before="118" w:line="219" w:lineRule="auto"/>
        <w:rPr>
          <w:rFonts w:ascii="SimSun" w:hAnsi="SimSun" w:eastAsia="SimSun" w:cs="SimSun"/>
          <w:sz w:val="29"/>
          <w:szCs w:val="29"/>
        </w:rPr>
      </w:pPr>
      <w:r>
        <w:rPr>
          <w:rFonts w:ascii="SimSun" w:hAnsi="SimSun" w:eastAsia="SimSun" w:cs="SimSun"/>
          <w:sz w:val="29"/>
          <w:szCs w:val="29"/>
          <w:spacing w:val="-7"/>
        </w:rPr>
        <w:t>任：</w:t>
      </w:r>
    </w:p>
    <w:p>
      <w:pPr>
        <w:ind w:left="135" w:right="105" w:firstLine="790"/>
        <w:spacing w:before="70" w:line="283" w:lineRule="auto"/>
        <w:rPr>
          <w:rFonts w:ascii="FangSong" w:hAnsi="FangSong" w:eastAsia="FangSong" w:cs="FangSong"/>
          <w:sz w:val="29"/>
          <w:szCs w:val="29"/>
        </w:rPr>
      </w:pPr>
      <w:r>
        <w:rPr>
          <w:rFonts w:ascii="FangSong" w:hAnsi="FangSong" w:eastAsia="FangSong" w:cs="FangSong"/>
          <w:sz w:val="29"/>
          <w:szCs w:val="29"/>
          <w:spacing w:val="30"/>
        </w:rPr>
        <w:t>(四)未遵守标准防护原则，或者未执行操作规程和消毒管理制度，</w:t>
      </w:r>
      <w:r>
        <w:rPr>
          <w:rFonts w:ascii="FangSong" w:hAnsi="FangSong" w:eastAsia="FangSong" w:cs="FangSong"/>
          <w:sz w:val="29"/>
          <w:szCs w:val="29"/>
          <w:spacing w:val="29"/>
        </w:rPr>
        <w:t>发生艾滋病医院感染或者医</w:t>
      </w:r>
      <w:r>
        <w:rPr>
          <w:rFonts w:ascii="FangSong" w:hAnsi="FangSong" w:eastAsia="FangSong" w:cs="FangSong"/>
          <w:sz w:val="29"/>
          <w:szCs w:val="29"/>
        </w:rPr>
        <w:t xml:space="preserve"> </w:t>
      </w:r>
      <w:r>
        <w:rPr>
          <w:rFonts w:ascii="FangSong" w:hAnsi="FangSong" w:eastAsia="FangSong" w:cs="FangSong"/>
          <w:sz w:val="29"/>
          <w:szCs w:val="29"/>
          <w:spacing w:val="14"/>
        </w:rPr>
        <w:t>源性感染的；</w:t>
      </w:r>
    </w:p>
    <w:p>
      <w:pPr>
        <w:ind w:left="6529"/>
        <w:spacing w:before="1" w:line="220" w:lineRule="auto"/>
        <w:rPr>
          <w:rFonts w:ascii="SimHei" w:hAnsi="SimHei" w:eastAsia="SimHei" w:cs="SimHei"/>
          <w:sz w:val="29"/>
          <w:szCs w:val="29"/>
        </w:rPr>
      </w:pPr>
      <w:r>
        <w:rPr>
          <w:rFonts w:ascii="SimHei" w:hAnsi="SimHei" w:eastAsia="SimHei" w:cs="SimHei"/>
          <w:sz w:val="29"/>
          <w:szCs w:val="29"/>
          <w:b/>
          <w:bCs/>
          <w:spacing w:val="-6"/>
        </w:rPr>
        <w:t>裁量标准</w:t>
      </w:r>
    </w:p>
    <w:p>
      <w:pPr>
        <w:spacing w:line="182" w:lineRule="exact"/>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54"/>
        <w:gridCol w:w="6705"/>
        <w:gridCol w:w="1149"/>
        <w:gridCol w:w="4252"/>
      </w:tblGrid>
      <w:tr>
        <w:trPr>
          <w:trHeight w:val="822" w:hRule="atLeast"/>
        </w:trPr>
        <w:tc>
          <w:tcPr>
            <w:tcW w:w="2054" w:type="dxa"/>
            <w:vAlign w:val="top"/>
          </w:tcPr>
          <w:p>
            <w:pPr>
              <w:pStyle w:val="TableText"/>
              <w:ind w:left="538"/>
              <w:spacing w:before="182" w:line="220" w:lineRule="auto"/>
              <w:rPr/>
            </w:pPr>
            <w:r>
              <w:rPr>
                <w:b/>
                <w:bCs/>
                <w:spacing w:val="-5"/>
              </w:rPr>
              <w:t>违法程度</w:t>
            </w:r>
          </w:p>
        </w:tc>
        <w:tc>
          <w:tcPr>
            <w:tcW w:w="6705" w:type="dxa"/>
            <w:vAlign w:val="top"/>
          </w:tcPr>
          <w:p>
            <w:pPr>
              <w:pStyle w:val="TableText"/>
              <w:ind w:left="2784"/>
              <w:spacing w:before="182" w:line="220" w:lineRule="auto"/>
              <w:rPr/>
            </w:pPr>
            <w:r>
              <w:rPr>
                <w:b/>
                <w:bCs/>
                <w:spacing w:val="-5"/>
              </w:rPr>
              <w:t>情节后果</w:t>
            </w:r>
          </w:p>
        </w:tc>
        <w:tc>
          <w:tcPr>
            <w:tcW w:w="5401" w:type="dxa"/>
            <w:vAlign w:val="top"/>
            <w:gridSpan w:val="2"/>
          </w:tcPr>
          <w:p>
            <w:pPr>
              <w:pStyle w:val="TableText"/>
              <w:ind w:left="2139"/>
              <w:spacing w:before="179" w:line="218" w:lineRule="auto"/>
              <w:rPr/>
            </w:pPr>
            <w:r>
              <w:rPr>
                <w:b/>
                <w:bCs/>
                <w:spacing w:val="-5"/>
              </w:rPr>
              <w:t>裁量幅度</w:t>
            </w:r>
          </w:p>
        </w:tc>
      </w:tr>
      <w:tr>
        <w:trPr>
          <w:trHeight w:val="1097" w:hRule="atLeast"/>
        </w:trPr>
        <w:tc>
          <w:tcPr>
            <w:tcW w:w="2054" w:type="dxa"/>
            <w:vAlign w:val="top"/>
          </w:tcPr>
          <w:p>
            <w:pPr>
              <w:spacing w:line="251" w:lineRule="auto"/>
              <w:rPr>
                <w:rFonts w:ascii="Arial"/>
                <w:sz w:val="21"/>
              </w:rPr>
            </w:pPr>
            <w:r/>
          </w:p>
          <w:p>
            <w:pPr>
              <w:pStyle w:val="TableText"/>
              <w:ind w:left="778"/>
              <w:spacing w:before="78" w:line="221" w:lineRule="auto"/>
              <w:rPr/>
            </w:pPr>
            <w:r>
              <w:rPr>
                <w:b/>
                <w:bCs/>
                <w:spacing w:val="-10"/>
              </w:rPr>
              <w:t>一般</w:t>
            </w:r>
          </w:p>
        </w:tc>
        <w:tc>
          <w:tcPr>
            <w:tcW w:w="7854" w:type="dxa"/>
            <w:vAlign w:val="top"/>
            <w:gridSpan w:val="2"/>
          </w:tcPr>
          <w:p>
            <w:pPr>
              <w:pStyle w:val="TableText"/>
              <w:ind w:left="131" w:right="16"/>
              <w:spacing w:before="103" w:line="347" w:lineRule="auto"/>
              <w:rPr/>
            </w:pPr>
            <w:r>
              <w:rPr/>
              <w:t>未遵守标准防护原则，或者未执行操作规程和消毒管理制度，发生艾滋病</w:t>
            </w:r>
            <w:r>
              <w:rPr>
                <w:spacing w:val="15"/>
              </w:rPr>
              <w:t xml:space="preserve"> </w:t>
            </w:r>
            <w:r>
              <w:rPr/>
              <w:t>医院感染或者医源性感染，未造成艾滋病传播等后</w:t>
            </w:r>
            <w:r>
              <w:rPr>
                <w:spacing w:val="-1"/>
              </w:rPr>
              <w:t>果。</w:t>
            </w:r>
          </w:p>
        </w:tc>
        <w:tc>
          <w:tcPr>
            <w:tcW w:w="4252" w:type="dxa"/>
            <w:vAlign w:val="top"/>
          </w:tcPr>
          <w:p>
            <w:pPr>
              <w:spacing w:line="241" w:lineRule="auto"/>
              <w:rPr>
                <w:rFonts w:ascii="Arial"/>
                <w:sz w:val="21"/>
              </w:rPr>
            </w:pPr>
            <w:r/>
          </w:p>
          <w:p>
            <w:pPr>
              <w:pStyle w:val="TableText"/>
              <w:ind w:left="117"/>
              <w:spacing w:before="78" w:line="218" w:lineRule="auto"/>
              <w:rPr/>
            </w:pPr>
            <w:r>
              <w:rPr>
                <w:spacing w:val="-1"/>
              </w:rPr>
              <w:t>通报批评，给予警告。</w:t>
            </w:r>
          </w:p>
        </w:tc>
      </w:tr>
      <w:tr>
        <w:trPr>
          <w:trHeight w:val="1501" w:hRule="atLeast"/>
        </w:trPr>
        <w:tc>
          <w:tcPr>
            <w:tcW w:w="2054" w:type="dxa"/>
            <w:vAlign w:val="top"/>
          </w:tcPr>
          <w:p>
            <w:pPr>
              <w:spacing w:line="275" w:lineRule="auto"/>
              <w:rPr>
                <w:rFonts w:ascii="Arial"/>
                <w:sz w:val="21"/>
              </w:rPr>
            </w:pPr>
            <w:r/>
          </w:p>
          <w:p>
            <w:pPr>
              <w:spacing w:line="276" w:lineRule="auto"/>
              <w:rPr>
                <w:rFonts w:ascii="Arial"/>
                <w:sz w:val="21"/>
              </w:rPr>
            </w:pPr>
            <w:r/>
          </w:p>
          <w:p>
            <w:pPr>
              <w:pStyle w:val="TableText"/>
              <w:ind w:left="778"/>
              <w:spacing w:before="78" w:line="220" w:lineRule="auto"/>
              <w:rPr/>
            </w:pPr>
            <w:r>
              <w:rPr>
                <w:b/>
                <w:bCs/>
                <w:spacing w:val="-6"/>
              </w:rPr>
              <w:t>严重</w:t>
            </w:r>
          </w:p>
        </w:tc>
        <w:tc>
          <w:tcPr>
            <w:tcW w:w="7854" w:type="dxa"/>
            <w:vAlign w:val="top"/>
            <w:gridSpan w:val="2"/>
          </w:tcPr>
          <w:p>
            <w:pPr>
              <w:pStyle w:val="TableText"/>
              <w:ind w:left="131" w:right="6" w:firstLine="9"/>
              <w:spacing w:before="306" w:line="347" w:lineRule="auto"/>
              <w:rPr/>
            </w:pPr>
            <w:r>
              <w:rPr/>
              <w:t>未遵守标准防护原则，或者未执行操作规程和消毒管理制度，发生艾滋病</w:t>
            </w:r>
            <w:r>
              <w:rPr>
                <w:spacing w:val="15"/>
              </w:rPr>
              <w:t xml:space="preserve"> </w:t>
            </w:r>
            <w:r>
              <w:rPr/>
              <w:t>医院感染或者医源性感染，造成艾滋病传播、流行或者其他严重后</w:t>
            </w:r>
            <w:r>
              <w:rPr>
                <w:spacing w:val="-1"/>
              </w:rPr>
              <w:t>果。</w:t>
            </w:r>
          </w:p>
        </w:tc>
        <w:tc>
          <w:tcPr>
            <w:tcW w:w="4252" w:type="dxa"/>
            <w:vAlign w:val="top"/>
          </w:tcPr>
          <w:p>
            <w:pPr>
              <w:pStyle w:val="TableText"/>
              <w:ind w:left="117" w:right="274"/>
              <w:spacing w:before="304" w:line="349" w:lineRule="auto"/>
              <w:rPr/>
            </w:pPr>
            <w:r>
              <w:rPr/>
              <w:t>依法吊销有关机构或者责任人员的执</w:t>
            </w:r>
            <w:r>
              <w:rPr>
                <w:spacing w:val="9"/>
              </w:rPr>
              <w:t xml:space="preserve"> </w:t>
            </w:r>
            <w:r>
              <w:rPr/>
              <w:t>业许可证件。</w:t>
            </w:r>
          </w:p>
        </w:tc>
      </w:tr>
    </w:tbl>
    <w:p>
      <w:pPr>
        <w:ind w:left="789"/>
        <w:spacing w:before="101" w:line="219" w:lineRule="auto"/>
        <w:rPr>
          <w:rFonts w:ascii="SimSun" w:hAnsi="SimSun" w:eastAsia="SimSun" w:cs="SimSun"/>
          <w:sz w:val="32"/>
          <w:szCs w:val="32"/>
        </w:rPr>
      </w:pPr>
      <w:r>
        <w:rPr>
          <w:rFonts w:ascii="SimSun" w:hAnsi="SimSun" w:eastAsia="SimSun" w:cs="SimSun"/>
          <w:sz w:val="32"/>
          <w:szCs w:val="32"/>
          <w:b/>
          <w:bCs/>
          <w:spacing w:val="-3"/>
        </w:rPr>
        <w:t>第五十条医疗卫生机构未采取有效的卫生防护措施和医疗保健措施的</w:t>
      </w:r>
    </w:p>
    <w:p>
      <w:pPr>
        <w:ind w:left="785"/>
        <w:spacing w:before="74" w:line="222" w:lineRule="auto"/>
        <w:rPr>
          <w:rFonts w:ascii="FangSong" w:hAnsi="FangSong" w:eastAsia="FangSong" w:cs="FangSong"/>
          <w:sz w:val="29"/>
          <w:szCs w:val="29"/>
        </w:rPr>
      </w:pPr>
      <w:r>
        <w:rPr>
          <w:rFonts w:ascii="FangSong" w:hAnsi="FangSong" w:eastAsia="FangSong" w:cs="FangSong"/>
          <w:sz w:val="29"/>
          <w:szCs w:val="29"/>
          <w:spacing w:val="6"/>
        </w:rPr>
        <w:t>法律依据：</w:t>
      </w:r>
    </w:p>
    <w:p>
      <w:pPr>
        <w:ind w:left="135" w:right="92" w:firstLine="4"/>
        <w:spacing w:before="107" w:line="269" w:lineRule="auto"/>
        <w:rPr>
          <w:rFonts w:ascii="FangSong" w:hAnsi="FangSong" w:eastAsia="FangSong" w:cs="FangSong"/>
          <w:sz w:val="29"/>
          <w:szCs w:val="29"/>
        </w:rPr>
      </w:pPr>
      <w:r>
        <w:rPr>
          <w:rFonts w:ascii="FangSong" w:hAnsi="FangSong" w:eastAsia="FangSong" w:cs="FangSong"/>
          <w:sz w:val="29"/>
          <w:szCs w:val="29"/>
          <w:spacing w:val="32"/>
        </w:rPr>
        <w:t>《艾滋病防治条例》第五十五条第</w:t>
      </w:r>
      <w:r>
        <w:rPr>
          <w:rFonts w:ascii="FangSong" w:hAnsi="FangSong" w:eastAsia="FangSong" w:cs="FangSong"/>
          <w:sz w:val="29"/>
          <w:szCs w:val="29"/>
          <w:spacing w:val="-47"/>
        </w:rPr>
        <w:t xml:space="preserve"> </w:t>
      </w:r>
      <w:r>
        <w:rPr>
          <w:rFonts w:ascii="FangSong" w:hAnsi="FangSong" w:eastAsia="FangSong" w:cs="FangSong"/>
          <w:sz w:val="29"/>
          <w:szCs w:val="29"/>
          <w:spacing w:val="32"/>
        </w:rPr>
        <w:t>一</w:t>
      </w:r>
      <w:r>
        <w:rPr>
          <w:rFonts w:ascii="FangSong" w:hAnsi="FangSong" w:eastAsia="FangSong" w:cs="FangSong"/>
          <w:sz w:val="29"/>
          <w:szCs w:val="29"/>
          <w:spacing w:val="-82"/>
        </w:rPr>
        <w:t xml:space="preserve"> </w:t>
      </w:r>
      <w:r>
        <w:rPr>
          <w:rFonts w:ascii="FangSong" w:hAnsi="FangSong" w:eastAsia="FangSong" w:cs="FangSong"/>
          <w:sz w:val="29"/>
          <w:szCs w:val="29"/>
          <w:spacing w:val="32"/>
        </w:rPr>
        <w:t>款第(五)项</w:t>
      </w:r>
      <w:r>
        <w:rPr>
          <w:rFonts w:ascii="FangSong" w:hAnsi="FangSong" w:eastAsia="FangSong" w:cs="FangSong"/>
          <w:sz w:val="29"/>
          <w:szCs w:val="29"/>
          <w:spacing w:val="32"/>
        </w:rPr>
        <w:t xml:space="preserve">   </w:t>
      </w:r>
      <w:r>
        <w:rPr>
          <w:rFonts w:ascii="FangSong" w:hAnsi="FangSong" w:eastAsia="FangSong" w:cs="FangSong"/>
          <w:sz w:val="29"/>
          <w:szCs w:val="29"/>
          <w:spacing w:val="32"/>
        </w:rPr>
        <w:t>医疗卫生机构未依照本条例规定履行职</w:t>
      </w:r>
      <w:r>
        <w:rPr>
          <w:rFonts w:ascii="FangSong" w:hAnsi="FangSong" w:eastAsia="FangSong" w:cs="FangSong"/>
          <w:sz w:val="29"/>
          <w:szCs w:val="29"/>
          <w:spacing w:val="31"/>
        </w:rPr>
        <w:t>责，有</w:t>
      </w:r>
      <w:r>
        <w:rPr>
          <w:rFonts w:ascii="FangSong" w:hAnsi="FangSong" w:eastAsia="FangSong" w:cs="FangSong"/>
          <w:sz w:val="29"/>
          <w:szCs w:val="29"/>
        </w:rPr>
        <w:t xml:space="preserve"> </w:t>
      </w:r>
      <w:r>
        <w:rPr>
          <w:rFonts w:ascii="FangSong" w:hAnsi="FangSong" w:eastAsia="FangSong" w:cs="FangSong"/>
          <w:sz w:val="29"/>
          <w:szCs w:val="29"/>
          <w:spacing w:val="27"/>
        </w:rPr>
        <w:t>下列情形的，由县级以上人民政府卫生主管部门责令限期改正，通报批评，给予警告</w:t>
      </w:r>
      <w:r>
        <w:rPr>
          <w:rFonts w:ascii="FangSong" w:hAnsi="FangSong" w:eastAsia="FangSong" w:cs="FangSong"/>
          <w:sz w:val="29"/>
          <w:szCs w:val="29"/>
          <w:spacing w:val="26"/>
        </w:rPr>
        <w:t>；造成艾滋病传</w:t>
      </w:r>
    </w:p>
    <w:p>
      <w:pPr>
        <w:spacing w:line="269" w:lineRule="auto"/>
        <w:sectPr>
          <w:footerReference w:type="default" r:id="rId125"/>
          <w:pgSz w:w="16830" w:h="11900"/>
          <w:pgMar w:top="1011" w:right="1344" w:bottom="1097" w:left="1314" w:header="0" w:footer="764" w:gutter="0"/>
        </w:sectPr>
        <w:rPr>
          <w:rFonts w:ascii="FangSong" w:hAnsi="FangSong" w:eastAsia="FangSong" w:cs="FangSong"/>
          <w:sz w:val="29"/>
          <w:szCs w:val="29"/>
        </w:rPr>
      </w:pPr>
    </w:p>
    <w:p>
      <w:pPr>
        <w:pStyle w:val="BodyText"/>
        <w:spacing w:line="251" w:lineRule="auto"/>
        <w:rPr/>
      </w:pPr>
      <w:r/>
    </w:p>
    <w:p>
      <w:pPr>
        <w:pStyle w:val="BodyText"/>
        <w:spacing w:line="251" w:lineRule="auto"/>
        <w:rPr/>
      </w:pPr>
      <w:r/>
    </w:p>
    <w:p>
      <w:pPr>
        <w:pStyle w:val="BodyText"/>
        <w:spacing w:line="251" w:lineRule="auto"/>
        <w:rPr/>
      </w:pPr>
      <w:r/>
    </w:p>
    <w:p>
      <w:pPr>
        <w:ind w:left="124"/>
        <w:spacing w:before="98" w:line="221" w:lineRule="auto"/>
        <w:outlineLvl w:val="0"/>
        <w:rPr>
          <w:rFonts w:ascii="FangSong" w:hAnsi="FangSong" w:eastAsia="FangSong" w:cs="FangSong"/>
          <w:sz w:val="30"/>
          <w:szCs w:val="30"/>
        </w:rPr>
      </w:pPr>
      <w:bookmarkStart w:name="bookmark791" w:id="87"/>
      <w:bookmarkEnd w:id="87"/>
      <w:bookmarkStart w:name="bookmark186" w:id="88"/>
      <w:bookmarkEnd w:id="88"/>
      <w:bookmarkStart w:name="bookmark25" w:id="89"/>
      <w:bookmarkEnd w:id="89"/>
      <w:r>
        <w:rPr>
          <w:rFonts w:ascii="FangSong" w:hAnsi="FangSong" w:eastAsia="FangSong" w:cs="FangSong"/>
          <w:sz w:val="30"/>
          <w:szCs w:val="30"/>
          <w:spacing w:val="17"/>
        </w:rPr>
        <w:t>播、流行或者其他严重后果的，对负有责任的主管人员和其</w:t>
      </w:r>
      <w:r>
        <w:rPr>
          <w:rFonts w:ascii="FangSong" w:hAnsi="FangSong" w:eastAsia="FangSong" w:cs="FangSong"/>
          <w:sz w:val="30"/>
          <w:szCs w:val="30"/>
          <w:spacing w:val="16"/>
        </w:rPr>
        <w:t>他直接责任人员依法给予降级、撤职、开</w:t>
      </w:r>
    </w:p>
    <w:p>
      <w:pPr>
        <w:ind w:right="20"/>
        <w:spacing w:before="90" w:line="220" w:lineRule="auto"/>
        <w:jc w:val="right"/>
        <w:rPr>
          <w:rFonts w:ascii="FangSong" w:hAnsi="FangSong" w:eastAsia="FangSong" w:cs="FangSong"/>
          <w:sz w:val="30"/>
          <w:szCs w:val="30"/>
        </w:rPr>
      </w:pPr>
      <w:r>
        <w:rPr>
          <w:rFonts w:ascii="FangSong" w:hAnsi="FangSong" w:eastAsia="FangSong" w:cs="FangSong"/>
          <w:sz w:val="30"/>
          <w:szCs w:val="30"/>
          <w:spacing w:val="12"/>
        </w:rPr>
        <w:t>除的处分，并可以依法吊销有关机构或者责任人员的执业许可证件；构成犯罪的，依法追究刑事责</w:t>
      </w:r>
      <w:r>
        <w:rPr>
          <w:rFonts w:ascii="FangSong" w:hAnsi="FangSong" w:eastAsia="FangSong" w:cs="FangSong"/>
          <w:sz w:val="30"/>
          <w:szCs w:val="30"/>
          <w:spacing w:val="11"/>
        </w:rPr>
        <w:t>任：</w:t>
      </w:r>
    </w:p>
    <w:p>
      <w:pPr>
        <w:ind w:left="925"/>
        <w:spacing w:before="93" w:line="221" w:lineRule="auto"/>
        <w:rPr>
          <w:rFonts w:ascii="FangSong" w:hAnsi="FangSong" w:eastAsia="FangSong" w:cs="FangSong"/>
          <w:sz w:val="30"/>
          <w:szCs w:val="30"/>
        </w:rPr>
      </w:pPr>
      <w:r>
        <w:rPr>
          <w:rFonts w:ascii="FangSong" w:hAnsi="FangSong" w:eastAsia="FangSong" w:cs="FangSong"/>
          <w:sz w:val="30"/>
          <w:szCs w:val="30"/>
          <w:spacing w:val="22"/>
        </w:rPr>
        <w:t>(五)未采取有效的卫生防护措施和医疗保健措施的；</w:t>
      </w:r>
    </w:p>
    <w:p>
      <w:pPr>
        <w:ind w:left="6539"/>
        <w:spacing w:before="58"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00" w:lineRule="exact"/>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83"/>
        <w:gridCol w:w="5386"/>
        <w:gridCol w:w="5391"/>
      </w:tblGrid>
      <w:tr>
        <w:trPr>
          <w:trHeight w:val="842" w:hRule="atLeast"/>
        </w:trPr>
        <w:tc>
          <w:tcPr>
            <w:tcW w:w="3383" w:type="dxa"/>
            <w:vAlign w:val="top"/>
          </w:tcPr>
          <w:p>
            <w:pPr>
              <w:pStyle w:val="TableText"/>
              <w:ind w:left="1108"/>
              <w:spacing w:before="17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5386" w:type="dxa"/>
            <w:vAlign w:val="top"/>
          </w:tcPr>
          <w:p>
            <w:pPr>
              <w:pStyle w:val="TableText"/>
              <w:ind w:left="2205"/>
              <w:spacing w:before="192" w:line="220" w:lineRule="auto"/>
              <w:rPr/>
            </w:pPr>
            <w:r>
              <w:rPr>
                <w:b/>
                <w:bCs/>
                <w:spacing w:val="-5"/>
              </w:rPr>
              <w:t>情节后果</w:t>
            </w:r>
          </w:p>
        </w:tc>
        <w:tc>
          <w:tcPr>
            <w:tcW w:w="5391" w:type="dxa"/>
            <w:vAlign w:val="top"/>
          </w:tcPr>
          <w:p>
            <w:pPr>
              <w:pStyle w:val="TableText"/>
              <w:ind w:left="2209"/>
              <w:spacing w:before="169" w:line="218" w:lineRule="auto"/>
              <w:rPr/>
            </w:pPr>
            <w:r>
              <w:rPr>
                <w:b/>
                <w:bCs/>
                <w:spacing w:val="-5"/>
              </w:rPr>
              <w:t>裁量幅度</w:t>
            </w:r>
          </w:p>
        </w:tc>
      </w:tr>
      <w:tr>
        <w:trPr>
          <w:trHeight w:val="1156" w:hRule="atLeast"/>
        </w:trPr>
        <w:tc>
          <w:tcPr>
            <w:tcW w:w="3383" w:type="dxa"/>
            <w:vAlign w:val="top"/>
          </w:tcPr>
          <w:p>
            <w:pPr>
              <w:spacing w:line="261" w:lineRule="auto"/>
              <w:rPr>
                <w:rFonts w:ascii="Arial"/>
                <w:sz w:val="21"/>
              </w:rPr>
            </w:pPr>
            <w:r/>
          </w:p>
          <w:p>
            <w:pPr>
              <w:pStyle w:val="TableText"/>
              <w:ind w:left="1448"/>
              <w:spacing w:before="78" w:line="221" w:lineRule="auto"/>
              <w:rPr/>
            </w:pPr>
            <w:r>
              <w:rPr>
                <w:b/>
                <w:bCs/>
                <w:spacing w:val="-10"/>
              </w:rPr>
              <w:t>一般</w:t>
            </w:r>
          </w:p>
        </w:tc>
        <w:tc>
          <w:tcPr>
            <w:tcW w:w="5386" w:type="dxa"/>
            <w:vAlign w:val="top"/>
          </w:tcPr>
          <w:p>
            <w:pPr>
              <w:pStyle w:val="TableText"/>
              <w:ind w:left="121" w:right="44" w:hanging="80"/>
              <w:spacing w:before="120" w:line="356" w:lineRule="auto"/>
              <w:rPr/>
            </w:pPr>
            <w:r>
              <w:rPr/>
              <w:t>未采取有效的卫生防护措施和医疗保健措施，未造</w:t>
            </w:r>
            <w:r>
              <w:rPr>
                <w:spacing w:val="8"/>
              </w:rPr>
              <w:t xml:space="preserve"> </w:t>
            </w:r>
            <w:r>
              <w:rPr/>
              <w:t>成艾滋病传播等后果。</w:t>
            </w:r>
          </w:p>
        </w:tc>
        <w:tc>
          <w:tcPr>
            <w:tcW w:w="5391" w:type="dxa"/>
            <w:vAlign w:val="top"/>
          </w:tcPr>
          <w:p>
            <w:pPr>
              <w:spacing w:line="261" w:lineRule="auto"/>
              <w:rPr>
                <w:rFonts w:ascii="Arial"/>
                <w:sz w:val="21"/>
              </w:rPr>
            </w:pPr>
            <w:r/>
          </w:p>
          <w:p>
            <w:pPr>
              <w:pStyle w:val="TableText"/>
              <w:ind w:left="115"/>
              <w:spacing w:before="78" w:line="218" w:lineRule="auto"/>
              <w:rPr/>
            </w:pPr>
            <w:r>
              <w:rPr/>
              <w:t>通报批评，给予警告。</w:t>
            </w:r>
          </w:p>
        </w:tc>
      </w:tr>
      <w:tr>
        <w:trPr>
          <w:trHeight w:val="1131" w:hRule="atLeast"/>
        </w:trPr>
        <w:tc>
          <w:tcPr>
            <w:tcW w:w="3383" w:type="dxa"/>
            <w:vAlign w:val="top"/>
          </w:tcPr>
          <w:p>
            <w:pPr>
              <w:spacing w:line="244" w:lineRule="auto"/>
              <w:rPr>
                <w:rFonts w:ascii="Arial"/>
                <w:sz w:val="21"/>
              </w:rPr>
            </w:pPr>
            <w:r/>
          </w:p>
          <w:p>
            <w:pPr>
              <w:pStyle w:val="TableText"/>
              <w:ind w:left="1448"/>
              <w:spacing w:before="78" w:line="220" w:lineRule="auto"/>
              <w:rPr/>
            </w:pPr>
            <w:r>
              <w:rPr>
                <w:b/>
                <w:bCs/>
                <w:spacing w:val="-6"/>
              </w:rPr>
              <w:t>严重</w:t>
            </w:r>
          </w:p>
        </w:tc>
        <w:tc>
          <w:tcPr>
            <w:tcW w:w="5386" w:type="dxa"/>
            <w:vAlign w:val="top"/>
          </w:tcPr>
          <w:p>
            <w:pPr>
              <w:pStyle w:val="TableText"/>
              <w:ind w:left="121" w:right="42" w:hanging="80"/>
              <w:spacing w:before="115" w:line="348" w:lineRule="auto"/>
              <w:rPr/>
            </w:pPr>
            <w:r>
              <w:rPr/>
              <w:t>未采取有效的卫生防护措施和医疗保健措施，造成</w:t>
            </w:r>
            <w:r>
              <w:rPr>
                <w:spacing w:val="10"/>
              </w:rPr>
              <w:t xml:space="preserve"> </w:t>
            </w:r>
            <w:r>
              <w:rPr/>
              <w:t>艾滋病传播、流行或者其他严重后果。</w:t>
            </w:r>
          </w:p>
        </w:tc>
        <w:tc>
          <w:tcPr>
            <w:tcW w:w="5391" w:type="dxa"/>
            <w:vAlign w:val="top"/>
          </w:tcPr>
          <w:p>
            <w:pPr>
              <w:spacing w:line="275" w:lineRule="auto"/>
              <w:rPr>
                <w:rFonts w:ascii="Arial"/>
                <w:sz w:val="21"/>
              </w:rPr>
            </w:pPr>
            <w:r/>
          </w:p>
          <w:p>
            <w:pPr>
              <w:pStyle w:val="TableText"/>
              <w:spacing w:before="78" w:line="219" w:lineRule="auto"/>
              <w:jc w:val="right"/>
              <w:rPr/>
            </w:pPr>
            <w:r>
              <w:rPr>
                <w:spacing w:val="-1"/>
              </w:rPr>
              <w:t>依法吊销有关机构或者责任人员的执业许可证件。</w:t>
            </w:r>
          </w:p>
        </w:tc>
      </w:tr>
    </w:tbl>
    <w:p>
      <w:pPr>
        <w:ind w:left="129" w:right="111" w:firstLine="670"/>
        <w:spacing w:before="110" w:line="269" w:lineRule="auto"/>
        <w:rPr>
          <w:rFonts w:ascii="FangSong" w:hAnsi="FangSong" w:eastAsia="FangSong" w:cs="FangSong"/>
          <w:sz w:val="30"/>
          <w:szCs w:val="30"/>
        </w:rPr>
      </w:pPr>
      <w:r>
        <w:rPr>
          <w:rFonts w:ascii="FangSong" w:hAnsi="FangSong" w:eastAsia="FangSong" w:cs="FangSong"/>
          <w:sz w:val="30"/>
          <w:szCs w:val="30"/>
          <w:b/>
          <w:bCs/>
          <w:spacing w:val="21"/>
        </w:rPr>
        <w:t>第五十一条医疗卫生机构推诿、拒绝治疗艾滋病病毒感</w:t>
      </w:r>
      <w:r>
        <w:rPr>
          <w:rFonts w:ascii="FangSong" w:hAnsi="FangSong" w:eastAsia="FangSong" w:cs="FangSong"/>
          <w:sz w:val="30"/>
          <w:szCs w:val="30"/>
          <w:b/>
          <w:bCs/>
          <w:spacing w:val="20"/>
        </w:rPr>
        <w:t>染者或者艾滋病病人的其他疾病，或者</w:t>
      </w:r>
      <w:r>
        <w:rPr>
          <w:rFonts w:ascii="FangSong" w:hAnsi="FangSong" w:eastAsia="FangSong" w:cs="FangSong"/>
          <w:sz w:val="30"/>
          <w:szCs w:val="30"/>
        </w:rPr>
        <w:t xml:space="preserve"> </w:t>
      </w:r>
      <w:r>
        <w:rPr>
          <w:rFonts w:ascii="FangSong" w:hAnsi="FangSong" w:eastAsia="FangSong" w:cs="FangSong"/>
          <w:sz w:val="30"/>
          <w:szCs w:val="30"/>
          <w:b/>
          <w:bCs/>
          <w:spacing w:val="17"/>
        </w:rPr>
        <w:t>对艾滋病病毒感染者、艾滋病病人未提供咨询、诊断和治疗服务的</w:t>
      </w:r>
    </w:p>
    <w:p>
      <w:pPr>
        <w:ind w:left="785"/>
        <w:spacing w:before="1"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24" w:firstLine="660"/>
        <w:spacing w:before="76" w:line="271" w:lineRule="auto"/>
        <w:jc w:val="both"/>
        <w:rPr>
          <w:rFonts w:ascii="FangSong" w:hAnsi="FangSong" w:eastAsia="FangSong" w:cs="FangSong"/>
          <w:sz w:val="30"/>
          <w:szCs w:val="30"/>
        </w:rPr>
      </w:pPr>
      <w:r>
        <w:rPr>
          <w:rFonts w:ascii="FangSong" w:hAnsi="FangSong" w:eastAsia="FangSong" w:cs="FangSong"/>
          <w:sz w:val="30"/>
          <w:szCs w:val="30"/>
          <w:spacing w:val="22"/>
        </w:rPr>
        <w:t>《艾滋病防治条例》第五十五条第一款第(六)项</w:t>
      </w:r>
      <w:r>
        <w:rPr>
          <w:rFonts w:ascii="FangSong" w:hAnsi="FangSong" w:eastAsia="FangSong" w:cs="FangSong"/>
          <w:sz w:val="30"/>
          <w:szCs w:val="30"/>
          <w:spacing w:val="22"/>
        </w:rPr>
        <w:t xml:space="preserve">  </w:t>
      </w:r>
      <w:r>
        <w:rPr>
          <w:rFonts w:ascii="FangSong" w:hAnsi="FangSong" w:eastAsia="FangSong" w:cs="FangSong"/>
          <w:sz w:val="30"/>
          <w:szCs w:val="30"/>
          <w:spacing w:val="21"/>
        </w:rPr>
        <w:t xml:space="preserve"> </w:t>
      </w:r>
      <w:r>
        <w:rPr>
          <w:rFonts w:ascii="FangSong" w:hAnsi="FangSong" w:eastAsia="FangSong" w:cs="FangSong"/>
          <w:sz w:val="30"/>
          <w:szCs w:val="30"/>
          <w:spacing w:val="21"/>
        </w:rPr>
        <w:t>医疗卫生机构未依照本条例规定履行职责，</w:t>
      </w:r>
      <w:r>
        <w:rPr>
          <w:rFonts w:ascii="FangSong" w:hAnsi="FangSong" w:eastAsia="FangSong" w:cs="FangSong"/>
          <w:sz w:val="30"/>
          <w:szCs w:val="30"/>
        </w:rPr>
        <w:t xml:space="preserve"> </w:t>
      </w:r>
      <w:r>
        <w:rPr>
          <w:rFonts w:ascii="FangSong" w:hAnsi="FangSong" w:eastAsia="FangSong" w:cs="FangSong"/>
          <w:sz w:val="30"/>
          <w:szCs w:val="30"/>
          <w:spacing w:val="17"/>
        </w:rPr>
        <w:t>有下列情形的，由县级以上人民政府卫生主管部门责令限期改正，通报批评</w:t>
      </w:r>
      <w:r>
        <w:rPr>
          <w:rFonts w:ascii="FangSong" w:hAnsi="FangSong" w:eastAsia="FangSong" w:cs="FangSong"/>
          <w:sz w:val="30"/>
          <w:szCs w:val="30"/>
          <w:spacing w:val="16"/>
        </w:rPr>
        <w:t>，给予警告；造成艾滋病</w:t>
      </w:r>
      <w:r>
        <w:rPr>
          <w:rFonts w:ascii="FangSong" w:hAnsi="FangSong" w:eastAsia="FangSong" w:cs="FangSong"/>
          <w:sz w:val="30"/>
          <w:szCs w:val="30"/>
        </w:rPr>
        <w:t xml:space="preserve"> </w:t>
      </w:r>
      <w:r>
        <w:rPr>
          <w:rFonts w:ascii="FangSong" w:hAnsi="FangSong" w:eastAsia="FangSong" w:cs="FangSong"/>
          <w:sz w:val="30"/>
          <w:szCs w:val="30"/>
          <w:spacing w:val="18"/>
        </w:rPr>
        <w:t>传播、流行或者其他严重后果的，对负有责任的主管人员和其他直接责任人员依法给予降级、撤职、</w:t>
      </w:r>
    </w:p>
    <w:p>
      <w:pPr>
        <w:spacing w:line="271" w:lineRule="auto"/>
        <w:sectPr>
          <w:footerReference w:type="default" r:id="rId126"/>
          <w:pgSz w:w="16830" w:h="11900"/>
          <w:pgMar w:top="1011" w:right="1330" w:bottom="1097" w:left="1314" w:header="0" w:footer="764" w:gutter="0"/>
        </w:sectPr>
        <w:rPr>
          <w:rFonts w:ascii="FangSong" w:hAnsi="FangSong" w:eastAsia="FangSong" w:cs="FangSong"/>
          <w:sz w:val="30"/>
          <w:szCs w:val="30"/>
        </w:rPr>
      </w:pPr>
    </w:p>
    <w:p>
      <w:pPr>
        <w:pStyle w:val="BodyText"/>
        <w:spacing w:line="258" w:lineRule="auto"/>
        <w:rPr/>
      </w:pPr>
      <w:r/>
    </w:p>
    <w:p>
      <w:pPr>
        <w:pStyle w:val="BodyText"/>
        <w:spacing w:line="259" w:lineRule="auto"/>
        <w:rPr/>
      </w:pPr>
      <w:r/>
    </w:p>
    <w:p>
      <w:pPr>
        <w:pStyle w:val="BodyText"/>
        <w:spacing w:line="259" w:lineRule="auto"/>
        <w:rPr/>
      </w:pPr>
      <w:r/>
    </w:p>
    <w:p>
      <w:pPr>
        <w:ind w:left="114"/>
        <w:spacing w:before="98" w:line="219" w:lineRule="auto"/>
        <w:outlineLvl w:val="1"/>
        <w:rPr>
          <w:rFonts w:ascii="SimSun" w:hAnsi="SimSun" w:eastAsia="SimSun" w:cs="SimSun"/>
          <w:sz w:val="30"/>
          <w:szCs w:val="30"/>
        </w:rPr>
      </w:pPr>
      <w:bookmarkStart w:name="bookmark792" w:id="90"/>
      <w:bookmarkEnd w:id="90"/>
      <w:bookmarkStart w:name="bookmark186" w:id="91"/>
      <w:bookmarkEnd w:id="91"/>
      <w:r>
        <w:rPr>
          <w:rFonts w:ascii="SimSun" w:hAnsi="SimSun" w:eastAsia="SimSun" w:cs="SimSun"/>
          <w:sz w:val="30"/>
          <w:szCs w:val="30"/>
          <w:spacing w:val="16"/>
        </w:rPr>
        <w:t>开除的处分，并可以依法吊销有关机构或者责任人员的执业许可证件；构成犯罪的，依法追究刑事责</w:t>
      </w:r>
    </w:p>
    <w:p>
      <w:pPr>
        <w:ind w:left="114"/>
        <w:spacing w:before="106" w:line="219" w:lineRule="auto"/>
        <w:rPr>
          <w:rFonts w:ascii="SimSun" w:hAnsi="SimSun" w:eastAsia="SimSun" w:cs="SimSun"/>
          <w:sz w:val="30"/>
          <w:szCs w:val="30"/>
        </w:rPr>
      </w:pPr>
      <w:r>
        <w:rPr>
          <w:rFonts w:ascii="SimSun" w:hAnsi="SimSun" w:eastAsia="SimSun" w:cs="SimSun"/>
          <w:sz w:val="30"/>
          <w:szCs w:val="30"/>
          <w:spacing w:val="-11"/>
        </w:rPr>
        <w:t>任：</w:t>
      </w:r>
    </w:p>
    <w:p>
      <w:pPr>
        <w:ind w:left="114" w:firstLine="819"/>
        <w:spacing w:before="50" w:line="276" w:lineRule="auto"/>
        <w:rPr>
          <w:rFonts w:ascii="FangSong" w:hAnsi="FangSong" w:eastAsia="FangSong" w:cs="FangSong"/>
          <w:sz w:val="30"/>
          <w:szCs w:val="30"/>
        </w:rPr>
      </w:pPr>
      <w:r>
        <w:rPr>
          <w:rFonts w:ascii="FangSong" w:hAnsi="FangSong" w:eastAsia="FangSong" w:cs="FangSong"/>
          <w:sz w:val="30"/>
          <w:szCs w:val="30"/>
          <w:spacing w:val="15"/>
        </w:rPr>
        <w:t>(六)推诿、拒绝治疗艾滋病病毒感染者或者艾滋病病人的其他疾病，或者对艾滋</w:t>
      </w:r>
      <w:r>
        <w:rPr>
          <w:rFonts w:ascii="FangSong" w:hAnsi="FangSong" w:eastAsia="FangSong" w:cs="FangSong"/>
          <w:sz w:val="30"/>
          <w:szCs w:val="30"/>
          <w:spacing w:val="14"/>
        </w:rPr>
        <w:t>病病毒感染者、</w:t>
      </w:r>
      <w:r>
        <w:rPr>
          <w:rFonts w:ascii="FangSong" w:hAnsi="FangSong" w:eastAsia="FangSong" w:cs="FangSong"/>
          <w:sz w:val="30"/>
          <w:szCs w:val="30"/>
        </w:rPr>
        <w:t xml:space="preserve"> </w:t>
      </w:r>
      <w:r>
        <w:rPr>
          <w:rFonts w:ascii="FangSong" w:hAnsi="FangSong" w:eastAsia="FangSong" w:cs="FangSong"/>
          <w:sz w:val="30"/>
          <w:szCs w:val="30"/>
          <w:spacing w:val="14"/>
        </w:rPr>
        <w:t>艾滋病病人未提供咨询、诊断和治疗服务的；</w:t>
      </w:r>
    </w:p>
    <w:p>
      <w:pPr>
        <w:ind w:left="6518"/>
        <w:spacing w:before="1" w:line="220"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70" w:lineRule="exact"/>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7704"/>
        <w:gridCol w:w="5031"/>
      </w:tblGrid>
      <w:tr>
        <w:trPr>
          <w:trHeight w:val="842" w:hRule="atLeast"/>
        </w:trPr>
        <w:tc>
          <w:tcPr>
            <w:tcW w:w="1414" w:type="dxa"/>
            <w:vAlign w:val="top"/>
          </w:tcPr>
          <w:p>
            <w:pPr>
              <w:pStyle w:val="TableText"/>
              <w:ind w:left="98"/>
              <w:spacing w:before="302" w:line="220" w:lineRule="auto"/>
              <w:rPr/>
            </w:pPr>
            <w:r>
              <w:rPr>
                <w:b/>
                <w:bCs/>
                <w:spacing w:val="-5"/>
              </w:rPr>
              <w:t>违法程度</w:t>
            </w:r>
          </w:p>
        </w:tc>
        <w:tc>
          <w:tcPr>
            <w:tcW w:w="7704" w:type="dxa"/>
            <w:vAlign w:val="top"/>
          </w:tcPr>
          <w:p>
            <w:pPr>
              <w:pStyle w:val="TableText"/>
              <w:ind w:left="3364"/>
              <w:spacing w:before="302" w:line="220" w:lineRule="auto"/>
              <w:rPr/>
            </w:pPr>
            <w:r>
              <w:rPr>
                <w:b/>
                <w:bCs/>
                <w:spacing w:val="-5"/>
              </w:rPr>
              <w:t>情节后果</w:t>
            </w:r>
          </w:p>
        </w:tc>
        <w:tc>
          <w:tcPr>
            <w:tcW w:w="5031" w:type="dxa"/>
            <w:vAlign w:val="top"/>
          </w:tcPr>
          <w:p>
            <w:pPr>
              <w:pStyle w:val="TableText"/>
              <w:ind w:left="1960"/>
              <w:spacing w:before="29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536" w:hRule="atLeast"/>
        </w:trPr>
        <w:tc>
          <w:tcPr>
            <w:tcW w:w="1414" w:type="dxa"/>
            <w:vAlign w:val="top"/>
          </w:tcPr>
          <w:p>
            <w:pPr>
              <w:spacing w:line="284" w:lineRule="auto"/>
              <w:rPr>
                <w:rFonts w:ascii="Arial"/>
                <w:sz w:val="21"/>
              </w:rPr>
            </w:pPr>
            <w:r/>
          </w:p>
          <w:p>
            <w:pPr>
              <w:spacing w:line="285" w:lineRule="auto"/>
              <w:rPr>
                <w:rFonts w:ascii="Arial"/>
                <w:sz w:val="21"/>
              </w:rPr>
            </w:pPr>
            <w:r/>
          </w:p>
          <w:p>
            <w:pPr>
              <w:pStyle w:val="TableText"/>
              <w:ind w:left="98"/>
              <w:spacing w:before="78" w:line="221" w:lineRule="auto"/>
              <w:rPr/>
            </w:pPr>
            <w:r>
              <w:rPr>
                <w:b/>
                <w:bCs/>
                <w:spacing w:val="-10"/>
              </w:rPr>
              <w:t>一般</w:t>
            </w:r>
          </w:p>
        </w:tc>
        <w:tc>
          <w:tcPr>
            <w:tcW w:w="7704" w:type="dxa"/>
            <w:vAlign w:val="top"/>
          </w:tcPr>
          <w:p>
            <w:pPr>
              <w:pStyle w:val="TableText"/>
              <w:ind w:left="110" w:right="121" w:firstLine="10"/>
              <w:spacing w:before="103" w:line="339" w:lineRule="auto"/>
              <w:jc w:val="both"/>
              <w:rPr/>
            </w:pPr>
            <w:r>
              <w:rPr/>
              <w:t>推诿、拒绝治疗艾滋病病毒感染者或者艾滋病</w:t>
            </w:r>
            <w:r>
              <w:rPr>
                <w:spacing w:val="-1"/>
              </w:rPr>
              <w:t>病人的其他疾病，或者对</w:t>
            </w:r>
            <w:r>
              <w:rPr/>
              <w:t xml:space="preserve"> </w:t>
            </w:r>
            <w:r>
              <w:rPr>
                <w:spacing w:val="1"/>
              </w:rPr>
              <w:t>艾滋病病毒感染者、艾滋病病人未提供咨询、</w:t>
            </w:r>
            <w:r>
              <w:rPr/>
              <w:t>诊断和治疗服务，未造成 </w:t>
            </w:r>
            <w:r>
              <w:rPr/>
              <w:t>艾滋病传播等后果。</w:t>
            </w:r>
          </w:p>
        </w:tc>
        <w:tc>
          <w:tcPr>
            <w:tcW w:w="5031" w:type="dxa"/>
            <w:vAlign w:val="top"/>
          </w:tcPr>
          <w:p>
            <w:pPr>
              <w:spacing w:line="284" w:lineRule="auto"/>
              <w:rPr>
                <w:rFonts w:ascii="Arial"/>
                <w:sz w:val="21"/>
              </w:rPr>
            </w:pPr>
            <w:r/>
          </w:p>
          <w:p>
            <w:pPr>
              <w:spacing w:line="285" w:lineRule="auto"/>
              <w:rPr>
                <w:rFonts w:ascii="Arial"/>
                <w:sz w:val="21"/>
              </w:rPr>
            </w:pPr>
            <w:r/>
          </w:p>
          <w:p>
            <w:pPr>
              <w:pStyle w:val="TableText"/>
              <w:ind w:left="96"/>
              <w:spacing w:before="78" w:line="218" w:lineRule="auto"/>
              <w:rPr/>
            </w:pPr>
            <w:r>
              <w:rPr>
                <w:spacing w:val="-1"/>
              </w:rPr>
              <w:t>通报批评，给予警告。</w:t>
            </w:r>
          </w:p>
        </w:tc>
      </w:tr>
      <w:tr>
        <w:trPr>
          <w:trHeight w:val="1561" w:hRule="atLeast"/>
        </w:trPr>
        <w:tc>
          <w:tcPr>
            <w:tcW w:w="1414" w:type="dxa"/>
            <w:vAlign w:val="top"/>
          </w:tcPr>
          <w:p>
            <w:pPr>
              <w:spacing w:line="291" w:lineRule="auto"/>
              <w:rPr>
                <w:rFonts w:ascii="Arial"/>
                <w:sz w:val="21"/>
              </w:rPr>
            </w:pPr>
            <w:r/>
          </w:p>
          <w:p>
            <w:pPr>
              <w:spacing w:line="291" w:lineRule="auto"/>
              <w:rPr>
                <w:rFonts w:ascii="Arial"/>
                <w:sz w:val="21"/>
              </w:rPr>
            </w:pPr>
            <w:r/>
          </w:p>
          <w:p>
            <w:pPr>
              <w:pStyle w:val="TableText"/>
              <w:ind w:left="98"/>
              <w:spacing w:before="78" w:line="220" w:lineRule="auto"/>
              <w:rPr/>
            </w:pPr>
            <w:r>
              <w:rPr>
                <w:b/>
                <w:bCs/>
                <w:spacing w:val="-6"/>
              </w:rPr>
              <w:t>严重</w:t>
            </w:r>
          </w:p>
        </w:tc>
        <w:tc>
          <w:tcPr>
            <w:tcW w:w="7704" w:type="dxa"/>
            <w:vAlign w:val="top"/>
          </w:tcPr>
          <w:p>
            <w:pPr>
              <w:pStyle w:val="TableText"/>
              <w:ind w:left="120" w:right="121"/>
              <w:spacing w:before="117" w:line="343" w:lineRule="auto"/>
              <w:jc w:val="both"/>
              <w:rPr/>
            </w:pPr>
            <w:r>
              <w:rPr/>
              <w:t>推诿、拒绝治疗艾滋病病毒感染者或者艾滋病</w:t>
            </w:r>
            <w:r>
              <w:rPr>
                <w:spacing w:val="-1"/>
              </w:rPr>
              <w:t>病人的其他疾病，或者对</w:t>
            </w:r>
            <w:r>
              <w:rPr/>
              <w:t xml:space="preserve"> </w:t>
            </w:r>
            <w:r>
              <w:rPr/>
              <w:t>艾滋病病毒感染者、艾滋病病人未提供咨询、诊断和治疗服务，造成艾</w:t>
            </w:r>
            <w:r>
              <w:rPr>
                <w:spacing w:val="10"/>
              </w:rPr>
              <w:t xml:space="preserve"> </w:t>
            </w:r>
            <w:r>
              <w:rPr>
                <w:spacing w:val="-1"/>
              </w:rPr>
              <w:t>滋病传播、流行或者其他严重后果。</w:t>
            </w:r>
          </w:p>
        </w:tc>
        <w:tc>
          <w:tcPr>
            <w:tcW w:w="5031" w:type="dxa"/>
            <w:vAlign w:val="top"/>
          </w:tcPr>
          <w:p>
            <w:pPr>
              <w:spacing w:line="247" w:lineRule="auto"/>
              <w:rPr>
                <w:rFonts w:ascii="Arial"/>
                <w:sz w:val="21"/>
              </w:rPr>
            </w:pPr>
            <w:r/>
          </w:p>
          <w:p>
            <w:pPr>
              <w:spacing w:line="247" w:lineRule="auto"/>
              <w:rPr>
                <w:rFonts w:ascii="Arial"/>
                <w:sz w:val="21"/>
              </w:rPr>
            </w:pPr>
            <w:r/>
          </w:p>
          <w:p>
            <w:pPr>
              <w:pStyle w:val="TableText"/>
              <w:ind w:left="96"/>
              <w:spacing w:before="78" w:line="219" w:lineRule="auto"/>
              <w:rPr/>
            </w:pPr>
            <w:r>
              <w:rPr/>
              <w:t>依法吊销有关机构或者责任人员的执业许可证</w:t>
            </w:r>
          </w:p>
          <w:p>
            <w:pPr>
              <w:pStyle w:val="TableText"/>
              <w:ind w:left="96"/>
              <w:spacing w:before="136" w:line="219" w:lineRule="auto"/>
              <w:rPr/>
            </w:pPr>
            <w:r>
              <w:rPr>
                <w:color w:val="606070"/>
              </w:rPr>
              <w:t>件。</w:t>
            </w:r>
          </w:p>
        </w:tc>
      </w:tr>
    </w:tbl>
    <w:p>
      <w:pPr>
        <w:ind w:left="769"/>
        <w:spacing w:before="108" w:line="221" w:lineRule="auto"/>
        <w:rPr>
          <w:rFonts w:ascii="FangSong" w:hAnsi="FangSong" w:eastAsia="FangSong" w:cs="FangSong"/>
          <w:sz w:val="30"/>
          <w:szCs w:val="30"/>
        </w:rPr>
      </w:pPr>
      <w:r>
        <w:rPr>
          <w:rFonts w:ascii="FangSong" w:hAnsi="FangSong" w:eastAsia="FangSong" w:cs="FangSong"/>
          <w:sz w:val="30"/>
          <w:szCs w:val="30"/>
          <w:b/>
          <w:bCs/>
          <w:spacing w:val="22"/>
        </w:rPr>
        <w:t>第五十二条医疗卫生机构未对艾滋病病毒感染者或者艾滋病病人进行医学随访的</w:t>
      </w:r>
    </w:p>
    <w:p>
      <w:pPr>
        <w:ind w:left="774"/>
        <w:spacing w:before="68"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14" w:firstLine="640"/>
        <w:spacing w:before="105" w:line="260" w:lineRule="auto"/>
        <w:rPr>
          <w:rFonts w:ascii="FangSong" w:hAnsi="FangSong" w:eastAsia="FangSong" w:cs="FangSong"/>
          <w:sz w:val="30"/>
          <w:szCs w:val="30"/>
        </w:rPr>
      </w:pPr>
      <w:r>
        <w:rPr>
          <w:rFonts w:ascii="FangSong" w:hAnsi="FangSong" w:eastAsia="FangSong" w:cs="FangSong"/>
          <w:sz w:val="30"/>
          <w:szCs w:val="30"/>
          <w:spacing w:val="20"/>
        </w:rPr>
        <w:t>《艾滋病防治条例》第五十五条第</w:t>
      </w:r>
      <w:r>
        <w:rPr>
          <w:rFonts w:ascii="FangSong" w:hAnsi="FangSong" w:eastAsia="FangSong" w:cs="FangSong"/>
          <w:sz w:val="30"/>
          <w:szCs w:val="30"/>
          <w:spacing w:val="-62"/>
        </w:rPr>
        <w:t xml:space="preserve"> </w:t>
      </w:r>
      <w:r>
        <w:rPr>
          <w:rFonts w:ascii="FangSong" w:hAnsi="FangSong" w:eastAsia="FangSong" w:cs="FangSong"/>
          <w:sz w:val="30"/>
          <w:szCs w:val="30"/>
          <w:spacing w:val="20"/>
        </w:rPr>
        <w:t>一款第(七)项</w:t>
      </w:r>
      <w:r>
        <w:rPr>
          <w:rFonts w:ascii="FangSong" w:hAnsi="FangSong" w:eastAsia="FangSong" w:cs="FangSong"/>
          <w:sz w:val="30"/>
          <w:szCs w:val="30"/>
          <w:spacing w:val="20"/>
        </w:rPr>
        <w:t xml:space="preserve">   </w:t>
      </w:r>
      <w:r>
        <w:rPr>
          <w:rFonts w:ascii="FangSong" w:hAnsi="FangSong" w:eastAsia="FangSong" w:cs="FangSong"/>
          <w:sz w:val="30"/>
          <w:szCs w:val="30"/>
          <w:spacing w:val="20"/>
        </w:rPr>
        <w:t>医疗卫生机构未依照本条例规定履行职责，</w:t>
      </w:r>
      <w:r>
        <w:rPr>
          <w:rFonts w:ascii="FangSong" w:hAnsi="FangSong" w:eastAsia="FangSong" w:cs="FangSong"/>
          <w:sz w:val="30"/>
          <w:szCs w:val="30"/>
        </w:rPr>
        <w:t xml:space="preserve"> </w:t>
      </w:r>
      <w:r>
        <w:rPr>
          <w:rFonts w:ascii="FangSong" w:hAnsi="FangSong" w:eastAsia="FangSong" w:cs="FangSong"/>
          <w:sz w:val="30"/>
          <w:szCs w:val="30"/>
          <w:spacing w:val="17"/>
        </w:rPr>
        <w:t>有下列情形的，由县级以上人民政府卫生主管部门责令限期改正，通报批评</w:t>
      </w:r>
      <w:r>
        <w:rPr>
          <w:rFonts w:ascii="FangSong" w:hAnsi="FangSong" w:eastAsia="FangSong" w:cs="FangSong"/>
          <w:sz w:val="30"/>
          <w:szCs w:val="30"/>
          <w:spacing w:val="16"/>
        </w:rPr>
        <w:t>，给予警告；造成艾滋病</w:t>
      </w:r>
    </w:p>
    <w:p>
      <w:pPr>
        <w:spacing w:line="260" w:lineRule="auto"/>
        <w:sectPr>
          <w:footerReference w:type="default" r:id="rId127"/>
          <w:pgSz w:w="16830" w:h="11900"/>
          <w:pgMar w:top="1011" w:right="1330" w:bottom="1098" w:left="1325" w:header="0" w:footer="765" w:gutter="0"/>
        </w:sectPr>
        <w:rPr>
          <w:rFonts w:ascii="FangSong" w:hAnsi="FangSong" w:eastAsia="FangSong" w:cs="FangSong"/>
          <w:sz w:val="30"/>
          <w:szCs w:val="30"/>
        </w:rPr>
      </w:pPr>
    </w:p>
    <w:p>
      <w:pPr>
        <w:pStyle w:val="BodyText"/>
        <w:spacing w:line="251" w:lineRule="auto"/>
        <w:rPr/>
      </w:pPr>
      <w:r/>
    </w:p>
    <w:p>
      <w:pPr>
        <w:pStyle w:val="BodyText"/>
        <w:spacing w:line="251" w:lineRule="auto"/>
        <w:rPr/>
      </w:pPr>
      <w:r/>
    </w:p>
    <w:p>
      <w:pPr>
        <w:pStyle w:val="BodyText"/>
        <w:spacing w:line="251" w:lineRule="auto"/>
        <w:rPr/>
      </w:pPr>
      <w:r/>
    </w:p>
    <w:p>
      <w:pPr>
        <w:ind w:left="124"/>
        <w:spacing w:before="98" w:line="221" w:lineRule="auto"/>
        <w:outlineLvl w:val="1"/>
        <w:rPr>
          <w:rFonts w:ascii="FangSong" w:hAnsi="FangSong" w:eastAsia="FangSong" w:cs="FangSong"/>
          <w:sz w:val="30"/>
          <w:szCs w:val="30"/>
        </w:rPr>
      </w:pPr>
      <w:bookmarkStart w:name="bookmark793" w:id="92"/>
      <w:bookmarkEnd w:id="92"/>
      <w:bookmarkStart w:name="bookmark186" w:id="93"/>
      <w:bookmarkEnd w:id="93"/>
      <w:r>
        <w:rPr>
          <w:rFonts w:ascii="FangSong" w:hAnsi="FangSong" w:eastAsia="FangSong" w:cs="FangSong"/>
          <w:sz w:val="30"/>
          <w:szCs w:val="30"/>
          <w:spacing w:val="18"/>
        </w:rPr>
        <w:t>传播、流行或者其他严重后果的，对负有责任的主管人员和其他直接责任人员依法给予降级、撤职、</w:t>
      </w:r>
    </w:p>
    <w:p>
      <w:pPr>
        <w:ind w:left="124"/>
        <w:spacing w:before="80" w:line="220" w:lineRule="auto"/>
        <w:rPr>
          <w:rFonts w:ascii="FangSong" w:hAnsi="FangSong" w:eastAsia="FangSong" w:cs="FangSong"/>
          <w:sz w:val="30"/>
          <w:szCs w:val="30"/>
        </w:rPr>
      </w:pPr>
      <w:r>
        <w:rPr>
          <w:rFonts w:ascii="FangSong" w:hAnsi="FangSong" w:eastAsia="FangSong" w:cs="FangSong"/>
          <w:sz w:val="30"/>
          <w:szCs w:val="30"/>
          <w:spacing w:val="16"/>
        </w:rPr>
        <w:t>开除的处分，并可以依法吊销有关机构或者责任人员的执业许可证件；构成犯罪的，依法追究刑事责</w:t>
      </w:r>
    </w:p>
    <w:p>
      <w:pPr>
        <w:ind w:left="124"/>
        <w:spacing w:before="87" w:line="223" w:lineRule="auto"/>
        <w:rPr>
          <w:rFonts w:ascii="FangSong" w:hAnsi="FangSong" w:eastAsia="FangSong" w:cs="FangSong"/>
          <w:sz w:val="30"/>
          <w:szCs w:val="30"/>
        </w:rPr>
      </w:pPr>
      <w:r>
        <w:rPr>
          <w:rFonts w:ascii="FangSong" w:hAnsi="FangSong" w:eastAsia="FangSong" w:cs="FangSong"/>
          <w:sz w:val="30"/>
          <w:szCs w:val="30"/>
          <w:color w:val="504040"/>
          <w:spacing w:val="-8"/>
        </w:rPr>
        <w:t>任：</w:t>
      </w:r>
    </w:p>
    <w:p>
      <w:pPr>
        <w:ind w:left="944"/>
        <w:spacing w:before="93" w:line="221" w:lineRule="auto"/>
        <w:rPr>
          <w:rFonts w:ascii="FangSong" w:hAnsi="FangSong" w:eastAsia="FangSong" w:cs="FangSong"/>
          <w:sz w:val="30"/>
          <w:szCs w:val="30"/>
        </w:rPr>
      </w:pPr>
      <w:r>
        <w:rPr>
          <w:rFonts w:ascii="FangSong" w:hAnsi="FangSong" w:eastAsia="FangSong" w:cs="FangSong"/>
          <w:sz w:val="30"/>
          <w:szCs w:val="30"/>
          <w:spacing w:val="21"/>
        </w:rPr>
        <w:t>(七)未对艾滋病病毒感染者或者艾滋病病人进行医学随访的；</w:t>
      </w:r>
    </w:p>
    <w:p>
      <w:pPr>
        <w:ind w:left="6529"/>
        <w:spacing w:before="88"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70" w:lineRule="exact"/>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324"/>
        <w:gridCol w:w="5381"/>
      </w:tblGrid>
      <w:tr>
        <w:trPr>
          <w:trHeight w:val="842" w:hRule="atLeast"/>
        </w:trPr>
        <w:tc>
          <w:tcPr>
            <w:tcW w:w="1444" w:type="dxa"/>
            <w:vAlign w:val="top"/>
          </w:tcPr>
          <w:p>
            <w:pPr>
              <w:pStyle w:val="TableText"/>
              <w:ind w:left="98"/>
              <w:spacing w:before="302" w:line="220" w:lineRule="auto"/>
              <w:rPr>
                <w:sz w:val="25"/>
                <w:szCs w:val="25"/>
              </w:rPr>
            </w:pPr>
            <w:r>
              <w:rPr>
                <w:sz w:val="25"/>
                <w:szCs w:val="25"/>
                <w:b/>
                <w:bCs/>
                <w:spacing w:val="-5"/>
              </w:rPr>
              <w:t>违法程度</w:t>
            </w:r>
          </w:p>
        </w:tc>
        <w:tc>
          <w:tcPr>
            <w:tcW w:w="7324" w:type="dxa"/>
            <w:vAlign w:val="top"/>
          </w:tcPr>
          <w:p>
            <w:pPr>
              <w:pStyle w:val="TableText"/>
              <w:ind w:left="3154"/>
              <w:spacing w:before="302" w:line="220" w:lineRule="auto"/>
              <w:rPr>
                <w:sz w:val="25"/>
                <w:szCs w:val="25"/>
              </w:rPr>
            </w:pPr>
            <w:r>
              <w:rPr>
                <w:sz w:val="25"/>
                <w:szCs w:val="25"/>
                <w:b/>
                <w:bCs/>
                <w:spacing w:val="-5"/>
              </w:rPr>
              <w:t>情节后果</w:t>
            </w:r>
          </w:p>
        </w:tc>
        <w:tc>
          <w:tcPr>
            <w:tcW w:w="5381" w:type="dxa"/>
            <w:vAlign w:val="top"/>
          </w:tcPr>
          <w:p>
            <w:pPr>
              <w:pStyle w:val="TableText"/>
              <w:ind w:left="2190"/>
              <w:spacing w:before="299" w:line="218" w:lineRule="auto"/>
              <w:rPr>
                <w:sz w:val="25"/>
                <w:szCs w:val="25"/>
              </w:rPr>
            </w:pPr>
            <w:r>
              <w:rPr>
                <w:sz w:val="25"/>
                <w:szCs w:val="25"/>
                <w:b/>
                <w:bCs/>
                <w:spacing w:val="-5"/>
              </w:rPr>
              <w:t>裁量幅度</w:t>
            </w:r>
          </w:p>
        </w:tc>
      </w:tr>
      <w:tr>
        <w:trPr>
          <w:trHeight w:val="1157" w:hRule="atLeast"/>
        </w:trPr>
        <w:tc>
          <w:tcPr>
            <w:tcW w:w="1444" w:type="dxa"/>
            <w:vAlign w:val="top"/>
          </w:tcPr>
          <w:p>
            <w:pPr>
              <w:spacing w:line="258" w:lineRule="auto"/>
              <w:rPr>
                <w:rFonts w:ascii="Arial"/>
                <w:sz w:val="21"/>
              </w:rPr>
            </w:pPr>
            <w:r/>
          </w:p>
          <w:p>
            <w:pPr>
              <w:pStyle w:val="TableText"/>
              <w:ind w:left="98"/>
              <w:spacing w:before="81" w:line="221" w:lineRule="auto"/>
              <w:rPr>
                <w:sz w:val="25"/>
                <w:szCs w:val="25"/>
              </w:rPr>
            </w:pPr>
            <w:r>
              <w:rPr>
                <w:sz w:val="25"/>
                <w:szCs w:val="25"/>
                <w:b/>
                <w:bCs/>
                <w:spacing w:val="-10"/>
              </w:rPr>
              <w:t>一般</w:t>
            </w:r>
          </w:p>
        </w:tc>
        <w:tc>
          <w:tcPr>
            <w:tcW w:w="7324" w:type="dxa"/>
            <w:vAlign w:val="top"/>
          </w:tcPr>
          <w:p>
            <w:pPr>
              <w:pStyle w:val="TableText"/>
              <w:ind w:left="90" w:right="149" w:firstLine="60"/>
              <w:spacing w:before="144" w:line="313" w:lineRule="auto"/>
              <w:rPr>
                <w:sz w:val="25"/>
                <w:szCs w:val="25"/>
              </w:rPr>
            </w:pPr>
            <w:r>
              <w:rPr>
                <w:sz w:val="25"/>
                <w:szCs w:val="25"/>
              </w:rPr>
              <w:t>未对艾滋病病毒感染者1至5人或者艾滋病病人1至5人进行医学随</w:t>
            </w:r>
            <w:r>
              <w:rPr>
                <w:sz w:val="25"/>
                <w:szCs w:val="25"/>
                <w:spacing w:val="12"/>
              </w:rPr>
              <w:t xml:space="preserve"> </w:t>
            </w:r>
            <w:r>
              <w:rPr>
                <w:sz w:val="25"/>
                <w:szCs w:val="25"/>
                <w:spacing w:val="-2"/>
              </w:rPr>
              <w:t>访。</w:t>
            </w:r>
          </w:p>
        </w:tc>
        <w:tc>
          <w:tcPr>
            <w:tcW w:w="5381" w:type="dxa"/>
            <w:vAlign w:val="top"/>
          </w:tcPr>
          <w:p>
            <w:pPr>
              <w:spacing w:line="268" w:lineRule="auto"/>
              <w:rPr>
                <w:rFonts w:ascii="Arial"/>
                <w:sz w:val="21"/>
              </w:rPr>
            </w:pPr>
            <w:r/>
          </w:p>
          <w:p>
            <w:pPr>
              <w:pStyle w:val="TableText"/>
              <w:ind w:left="116"/>
              <w:spacing w:before="81" w:line="218" w:lineRule="auto"/>
              <w:rPr>
                <w:sz w:val="25"/>
                <w:szCs w:val="25"/>
              </w:rPr>
            </w:pPr>
            <w:r>
              <w:rPr>
                <w:sz w:val="25"/>
                <w:szCs w:val="25"/>
                <w:spacing w:val="-1"/>
              </w:rPr>
              <w:t>通报批评，给予警告。</w:t>
            </w:r>
          </w:p>
        </w:tc>
      </w:tr>
      <w:tr>
        <w:trPr>
          <w:trHeight w:val="1511" w:hRule="atLeast"/>
        </w:trPr>
        <w:tc>
          <w:tcPr>
            <w:tcW w:w="1444" w:type="dxa"/>
            <w:vAlign w:val="top"/>
          </w:tcPr>
          <w:p>
            <w:pPr>
              <w:spacing w:line="274" w:lineRule="auto"/>
              <w:rPr>
                <w:rFonts w:ascii="Arial"/>
                <w:sz w:val="21"/>
              </w:rPr>
            </w:pPr>
            <w:r/>
          </w:p>
          <w:p>
            <w:pPr>
              <w:spacing w:line="274" w:lineRule="auto"/>
              <w:rPr>
                <w:rFonts w:ascii="Arial"/>
                <w:sz w:val="21"/>
              </w:rPr>
            </w:pPr>
            <w:r/>
          </w:p>
          <w:p>
            <w:pPr>
              <w:pStyle w:val="TableText"/>
              <w:ind w:left="98"/>
              <w:spacing w:before="82" w:line="220" w:lineRule="auto"/>
              <w:rPr>
                <w:sz w:val="25"/>
                <w:szCs w:val="25"/>
              </w:rPr>
            </w:pPr>
            <w:r>
              <w:rPr>
                <w:sz w:val="25"/>
                <w:szCs w:val="25"/>
                <w:b/>
                <w:bCs/>
                <w:spacing w:val="-6"/>
              </w:rPr>
              <w:t>严重</w:t>
            </w:r>
          </w:p>
        </w:tc>
        <w:tc>
          <w:tcPr>
            <w:tcW w:w="7324" w:type="dxa"/>
            <w:vAlign w:val="top"/>
          </w:tcPr>
          <w:p>
            <w:pPr>
              <w:pStyle w:val="TableText"/>
              <w:ind w:left="31" w:firstLine="177"/>
              <w:spacing w:before="295" w:line="341" w:lineRule="auto"/>
              <w:rPr>
                <w:sz w:val="25"/>
                <w:szCs w:val="25"/>
              </w:rPr>
            </w:pPr>
            <w:r>
              <w:rPr>
                <w:sz w:val="25"/>
                <w:szCs w:val="25"/>
                <w:spacing w:val="-2"/>
              </w:rPr>
              <w:t>(1)未对艾滋病病毒感染者6人以上或者艾</w:t>
            </w:r>
            <w:r>
              <w:rPr>
                <w:sz w:val="25"/>
                <w:szCs w:val="25"/>
                <w:spacing w:val="-3"/>
              </w:rPr>
              <w:t>滋病病人6人以上进行</w:t>
            </w:r>
            <w:r>
              <w:rPr>
                <w:sz w:val="25"/>
                <w:szCs w:val="25"/>
              </w:rPr>
              <w:t xml:space="preserve">   </w:t>
            </w:r>
            <w:r>
              <w:rPr>
                <w:sz w:val="25"/>
                <w:szCs w:val="25"/>
                <w:spacing w:val="-3"/>
              </w:rPr>
              <w:t>医学随访；(2)违法行为造成艾滋病传播、流行或者其他严重后果。</w:t>
            </w:r>
          </w:p>
        </w:tc>
        <w:tc>
          <w:tcPr>
            <w:tcW w:w="5381" w:type="dxa"/>
            <w:vAlign w:val="top"/>
          </w:tcPr>
          <w:p>
            <w:pPr>
              <w:spacing w:line="275" w:lineRule="auto"/>
              <w:rPr>
                <w:rFonts w:ascii="Arial"/>
                <w:sz w:val="21"/>
              </w:rPr>
            </w:pPr>
            <w:r/>
          </w:p>
          <w:p>
            <w:pPr>
              <w:spacing w:line="275" w:lineRule="auto"/>
              <w:rPr>
                <w:rFonts w:ascii="Arial"/>
                <w:sz w:val="21"/>
              </w:rPr>
            </w:pPr>
            <w:r/>
          </w:p>
          <w:p>
            <w:pPr>
              <w:pStyle w:val="TableText"/>
              <w:spacing w:before="81" w:line="219" w:lineRule="auto"/>
              <w:jc w:val="right"/>
              <w:rPr>
                <w:sz w:val="25"/>
                <w:szCs w:val="25"/>
              </w:rPr>
            </w:pPr>
            <w:r>
              <w:rPr>
                <w:sz w:val="25"/>
                <w:szCs w:val="25"/>
                <w:spacing w:val="-7"/>
              </w:rPr>
              <w:t>依法吊销有关机构或者责任人员的执业许可证件。</w:t>
            </w:r>
          </w:p>
        </w:tc>
      </w:tr>
    </w:tbl>
    <w:p>
      <w:pPr>
        <w:ind w:left="129" w:right="399" w:firstLine="670"/>
        <w:spacing w:before="101" w:line="272" w:lineRule="auto"/>
        <w:rPr>
          <w:rFonts w:ascii="FangSong" w:hAnsi="FangSong" w:eastAsia="FangSong" w:cs="FangSong"/>
          <w:sz w:val="30"/>
          <w:szCs w:val="30"/>
        </w:rPr>
      </w:pPr>
      <w:r>
        <w:rPr>
          <w:rFonts w:ascii="FangSong" w:hAnsi="FangSong" w:eastAsia="FangSong" w:cs="FangSong"/>
          <w:sz w:val="30"/>
          <w:szCs w:val="30"/>
          <w:b/>
          <w:bCs/>
          <w:spacing w:val="21"/>
        </w:rPr>
        <w:t>第五十三条医疗卫生机构未按照规定对感染艾滋病病毒的孕产妇及其婴儿提供</w:t>
      </w:r>
      <w:r>
        <w:rPr>
          <w:rFonts w:ascii="FangSong" w:hAnsi="FangSong" w:eastAsia="FangSong" w:cs="FangSong"/>
          <w:sz w:val="30"/>
          <w:szCs w:val="30"/>
          <w:b/>
          <w:bCs/>
          <w:spacing w:val="20"/>
        </w:rPr>
        <w:t>预防艾滋病母</w:t>
      </w:r>
      <w:r>
        <w:rPr>
          <w:rFonts w:ascii="FangSong" w:hAnsi="FangSong" w:eastAsia="FangSong" w:cs="FangSong"/>
          <w:sz w:val="30"/>
          <w:szCs w:val="30"/>
        </w:rPr>
        <w:t xml:space="preserve"> </w:t>
      </w:r>
      <w:r>
        <w:rPr>
          <w:rFonts w:ascii="FangSong" w:hAnsi="FangSong" w:eastAsia="FangSong" w:cs="FangSong"/>
          <w:sz w:val="30"/>
          <w:szCs w:val="30"/>
          <w:b/>
          <w:bCs/>
          <w:spacing w:val="14"/>
        </w:rPr>
        <w:t>婴传播技术指导的</w:t>
      </w:r>
    </w:p>
    <w:p>
      <w:pPr>
        <w:ind w:left="785"/>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24" w:right="84" w:firstLine="10"/>
        <w:spacing w:before="87" w:line="266" w:lineRule="auto"/>
        <w:rPr>
          <w:rFonts w:ascii="FangSong" w:hAnsi="FangSong" w:eastAsia="FangSong" w:cs="FangSong"/>
          <w:sz w:val="30"/>
          <w:szCs w:val="30"/>
        </w:rPr>
      </w:pPr>
      <w:r>
        <w:rPr>
          <w:rFonts w:ascii="FangSong" w:hAnsi="FangSong" w:eastAsia="FangSong" w:cs="FangSong"/>
          <w:sz w:val="30"/>
          <w:szCs w:val="30"/>
          <w:spacing w:val="27"/>
        </w:rPr>
        <w:t>《艾滋病防治条例》第五十五条第一款第(</w:t>
      </w:r>
      <w:r>
        <w:rPr>
          <w:rFonts w:ascii="FangSong" w:hAnsi="FangSong" w:eastAsia="FangSong" w:cs="FangSong"/>
          <w:sz w:val="30"/>
          <w:szCs w:val="30"/>
          <w:spacing w:val="26"/>
        </w:rPr>
        <w:t>八)项</w:t>
      </w:r>
      <w:r>
        <w:rPr>
          <w:rFonts w:ascii="FangSong" w:hAnsi="FangSong" w:eastAsia="FangSong" w:cs="FangSong"/>
          <w:sz w:val="30"/>
          <w:szCs w:val="30"/>
          <w:spacing w:val="26"/>
        </w:rPr>
        <w:t xml:space="preserve">   </w:t>
      </w:r>
      <w:r>
        <w:rPr>
          <w:rFonts w:ascii="FangSong" w:hAnsi="FangSong" w:eastAsia="FangSong" w:cs="FangSong"/>
          <w:sz w:val="30"/>
          <w:szCs w:val="30"/>
          <w:spacing w:val="26"/>
        </w:rPr>
        <w:t>医疗卫生机构未依照本条例规定履行职责，有</w:t>
      </w:r>
      <w:r>
        <w:rPr>
          <w:rFonts w:ascii="FangSong" w:hAnsi="FangSong" w:eastAsia="FangSong" w:cs="FangSong"/>
          <w:sz w:val="30"/>
          <w:szCs w:val="30"/>
        </w:rPr>
        <w:t xml:space="preserve"> </w:t>
      </w:r>
      <w:r>
        <w:rPr>
          <w:rFonts w:ascii="FangSong" w:hAnsi="FangSong" w:eastAsia="FangSong" w:cs="FangSong"/>
          <w:sz w:val="30"/>
          <w:szCs w:val="30"/>
          <w:spacing w:val="17"/>
        </w:rPr>
        <w:t>下列情形的，由县级以上人民政府卫生主管部门责令限期改正，通报批评，给予警告；</w:t>
      </w:r>
      <w:r>
        <w:rPr>
          <w:rFonts w:ascii="FangSong" w:hAnsi="FangSong" w:eastAsia="FangSong" w:cs="FangSong"/>
          <w:sz w:val="30"/>
          <w:szCs w:val="30"/>
          <w:spacing w:val="16"/>
        </w:rPr>
        <w:t>造成艾滋病传</w:t>
      </w:r>
    </w:p>
    <w:p>
      <w:pPr>
        <w:spacing w:line="266" w:lineRule="auto"/>
        <w:sectPr>
          <w:footerReference w:type="default" r:id="rId128"/>
          <w:pgSz w:w="16830" w:h="11900"/>
          <w:pgMar w:top="1011" w:right="1355" w:bottom="1097" w:left="1314" w:header="0" w:footer="764" w:gutter="0"/>
        </w:sectPr>
        <w:rPr>
          <w:rFonts w:ascii="FangSong" w:hAnsi="FangSong" w:eastAsia="FangSong" w:cs="FangSong"/>
          <w:sz w:val="30"/>
          <w:szCs w:val="30"/>
        </w:rPr>
      </w:pPr>
    </w:p>
    <w:p>
      <w:pPr>
        <w:pStyle w:val="BodyText"/>
        <w:spacing w:line="251" w:lineRule="auto"/>
        <w:rPr/>
      </w:pPr>
      <w:r/>
    </w:p>
    <w:p>
      <w:pPr>
        <w:pStyle w:val="BodyText"/>
        <w:spacing w:line="251" w:lineRule="auto"/>
        <w:rPr/>
      </w:pPr>
      <w:r/>
    </w:p>
    <w:p>
      <w:pPr>
        <w:pStyle w:val="BodyText"/>
        <w:spacing w:line="251" w:lineRule="auto"/>
        <w:rPr/>
      </w:pPr>
      <w:r/>
    </w:p>
    <w:p>
      <w:pPr>
        <w:ind w:left="124"/>
        <w:spacing w:before="98" w:line="221" w:lineRule="auto"/>
        <w:outlineLvl w:val="1"/>
        <w:rPr>
          <w:rFonts w:ascii="FangSong" w:hAnsi="FangSong" w:eastAsia="FangSong" w:cs="FangSong"/>
          <w:sz w:val="30"/>
          <w:szCs w:val="30"/>
        </w:rPr>
      </w:pPr>
      <w:bookmarkStart w:name="bookmark186" w:id="94"/>
      <w:bookmarkEnd w:id="94"/>
      <w:r>
        <w:rPr>
          <w:rFonts w:ascii="FangSong" w:hAnsi="FangSong" w:eastAsia="FangSong" w:cs="FangSong"/>
          <w:sz w:val="30"/>
          <w:szCs w:val="30"/>
          <w:spacing w:val="17"/>
        </w:rPr>
        <w:t>播、流行或者其他严重后果的，对负有责任的主管人员和其他直接责任人员依法给予降级、撤职、开</w:t>
      </w:r>
    </w:p>
    <w:p>
      <w:pPr>
        <w:ind w:left="124"/>
        <w:spacing w:before="80" w:line="220" w:lineRule="auto"/>
        <w:rPr>
          <w:rFonts w:ascii="FangSong" w:hAnsi="FangSong" w:eastAsia="FangSong" w:cs="FangSong"/>
          <w:sz w:val="30"/>
          <w:szCs w:val="30"/>
        </w:rPr>
      </w:pPr>
      <w:r>
        <w:rPr>
          <w:rFonts w:ascii="FangSong" w:hAnsi="FangSong" w:eastAsia="FangSong" w:cs="FangSong"/>
          <w:sz w:val="30"/>
          <w:szCs w:val="30"/>
          <w:spacing w:val="12"/>
        </w:rPr>
        <w:t>除的处分，并可以依法吊销有关机构或者责任人员的执业许可证件；构成犯罪的，依法追究刑事责</w:t>
      </w:r>
      <w:r>
        <w:rPr>
          <w:rFonts w:ascii="FangSong" w:hAnsi="FangSong" w:eastAsia="FangSong" w:cs="FangSong"/>
          <w:sz w:val="30"/>
          <w:szCs w:val="30"/>
          <w:spacing w:val="11"/>
        </w:rPr>
        <w:t>任：</w:t>
      </w:r>
    </w:p>
    <w:p>
      <w:pPr>
        <w:ind w:left="6539" w:right="359" w:hanging="5604"/>
        <w:spacing w:before="87" w:line="268" w:lineRule="auto"/>
        <w:rPr>
          <w:rFonts w:ascii="SimHei" w:hAnsi="SimHei" w:eastAsia="SimHei" w:cs="SimHei"/>
          <w:sz w:val="30"/>
          <w:szCs w:val="30"/>
        </w:rPr>
      </w:pPr>
      <w:r>
        <w:rPr>
          <w:rFonts w:ascii="FangSong" w:hAnsi="FangSong" w:eastAsia="FangSong" w:cs="FangSong"/>
          <w:sz w:val="30"/>
          <w:szCs w:val="30"/>
          <w:spacing w:val="22"/>
        </w:rPr>
        <w:t>(八)未按照规定对感染艾滋病病毒的孕产妇及其婴儿提供预防艾滋病母婴传播技术指导的。</w:t>
      </w:r>
      <w:r>
        <w:rPr>
          <w:rFonts w:ascii="FangSong" w:hAnsi="FangSong" w:eastAsia="FangSong" w:cs="FangSong"/>
          <w:sz w:val="30"/>
          <w:szCs w:val="30"/>
          <w:spacing w:val="7"/>
        </w:rPr>
        <w:t xml:space="preserve"> </w:t>
      </w:r>
      <w:r>
        <w:rPr>
          <w:rFonts w:ascii="SimHei" w:hAnsi="SimHei" w:eastAsia="SimHei" w:cs="SimHei"/>
          <w:sz w:val="30"/>
          <w:szCs w:val="30"/>
          <w:b/>
          <w:bCs/>
          <w:spacing w:val="-17"/>
        </w:rPr>
        <w:t>裁量标准</w:t>
      </w:r>
    </w:p>
    <w:p>
      <w:pPr>
        <w:spacing w:line="132" w:lineRule="exact"/>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14"/>
        <w:gridCol w:w="7754"/>
        <w:gridCol w:w="4592"/>
      </w:tblGrid>
      <w:tr>
        <w:trPr>
          <w:trHeight w:val="842" w:hRule="atLeast"/>
        </w:trPr>
        <w:tc>
          <w:tcPr>
            <w:tcW w:w="1814" w:type="dxa"/>
            <w:vAlign w:val="top"/>
          </w:tcPr>
          <w:p>
            <w:pPr>
              <w:pStyle w:val="TableText"/>
              <w:ind w:left="328"/>
              <w:spacing w:before="17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754" w:type="dxa"/>
            <w:vAlign w:val="top"/>
          </w:tcPr>
          <w:p>
            <w:pPr>
              <w:pStyle w:val="TableText"/>
              <w:ind w:left="3394"/>
              <w:spacing w:before="182" w:line="220" w:lineRule="auto"/>
              <w:rPr/>
            </w:pPr>
            <w:r>
              <w:rPr>
                <w:b/>
                <w:bCs/>
                <w:spacing w:val="-5"/>
              </w:rPr>
              <w:t>情节后果</w:t>
            </w:r>
          </w:p>
        </w:tc>
        <w:tc>
          <w:tcPr>
            <w:tcW w:w="4592" w:type="dxa"/>
            <w:vAlign w:val="top"/>
          </w:tcPr>
          <w:p>
            <w:pPr>
              <w:pStyle w:val="TableText"/>
              <w:ind w:left="1740"/>
              <w:spacing w:before="179" w:line="218" w:lineRule="auto"/>
              <w:rPr/>
            </w:pPr>
            <w:r>
              <w:rPr>
                <w:b/>
                <w:bCs/>
                <w:spacing w:val="-5"/>
              </w:rPr>
              <w:t>裁量幅度</w:t>
            </w:r>
          </w:p>
        </w:tc>
      </w:tr>
      <w:tr>
        <w:trPr>
          <w:trHeight w:val="1077" w:hRule="atLeast"/>
        </w:trPr>
        <w:tc>
          <w:tcPr>
            <w:tcW w:w="1814" w:type="dxa"/>
            <w:vAlign w:val="top"/>
          </w:tcPr>
          <w:p>
            <w:pPr>
              <w:pStyle w:val="TableText"/>
              <w:ind w:left="88"/>
              <w:spacing w:before="310" w:line="221" w:lineRule="auto"/>
              <w:rPr/>
            </w:pPr>
            <w:r>
              <w:rPr>
                <w:b/>
                <w:bCs/>
                <w:spacing w:val="-10"/>
              </w:rPr>
              <w:t>一般</w:t>
            </w:r>
          </w:p>
        </w:tc>
        <w:tc>
          <w:tcPr>
            <w:tcW w:w="7754" w:type="dxa"/>
            <w:vAlign w:val="top"/>
          </w:tcPr>
          <w:p>
            <w:pPr>
              <w:pStyle w:val="TableText"/>
              <w:ind w:left="120" w:right="201" w:firstLine="90"/>
              <w:spacing w:before="92" w:line="340" w:lineRule="auto"/>
              <w:rPr/>
            </w:pPr>
            <w:r>
              <w:rPr/>
              <w:t>未按照规定对感染艾滋病病毒的孕产妇1人及其婴儿提供预防艾滋病母</w:t>
            </w:r>
            <w:r>
              <w:rPr>
                <w:spacing w:val="10"/>
              </w:rPr>
              <w:t xml:space="preserve"> </w:t>
            </w:r>
            <w:r>
              <w:rPr>
                <w:spacing w:val="-1"/>
              </w:rPr>
              <w:t>婴传播技术指导。</w:t>
            </w:r>
          </w:p>
        </w:tc>
        <w:tc>
          <w:tcPr>
            <w:tcW w:w="4592" w:type="dxa"/>
            <w:vAlign w:val="top"/>
          </w:tcPr>
          <w:p>
            <w:pPr>
              <w:pStyle w:val="TableText"/>
              <w:ind w:left="137"/>
              <w:spacing w:before="290" w:line="218" w:lineRule="auto"/>
              <w:rPr/>
            </w:pPr>
            <w:r>
              <w:rPr>
                <w:spacing w:val="-1"/>
              </w:rPr>
              <w:t>通报批评，给予警告。</w:t>
            </w:r>
          </w:p>
        </w:tc>
      </w:tr>
      <w:tr>
        <w:trPr>
          <w:trHeight w:val="1581" w:hRule="atLeast"/>
        </w:trPr>
        <w:tc>
          <w:tcPr>
            <w:tcW w:w="1814" w:type="dxa"/>
            <w:vAlign w:val="top"/>
          </w:tcPr>
          <w:p>
            <w:pPr>
              <w:spacing w:line="295" w:lineRule="auto"/>
              <w:rPr>
                <w:rFonts w:ascii="Arial"/>
                <w:sz w:val="21"/>
              </w:rPr>
            </w:pPr>
            <w:r/>
          </w:p>
          <w:p>
            <w:pPr>
              <w:spacing w:line="296" w:lineRule="auto"/>
              <w:rPr>
                <w:rFonts w:ascii="Arial"/>
                <w:sz w:val="21"/>
              </w:rPr>
            </w:pPr>
            <w:r/>
          </w:p>
          <w:p>
            <w:pPr>
              <w:pStyle w:val="TableText"/>
              <w:ind w:left="88"/>
              <w:spacing w:before="78" w:line="220" w:lineRule="auto"/>
              <w:rPr/>
            </w:pPr>
            <w:r>
              <w:rPr>
                <w:b/>
                <w:bCs/>
                <w:spacing w:val="-6"/>
              </w:rPr>
              <w:t>严重</w:t>
            </w:r>
          </w:p>
        </w:tc>
        <w:tc>
          <w:tcPr>
            <w:tcW w:w="7754" w:type="dxa"/>
            <w:vAlign w:val="top"/>
          </w:tcPr>
          <w:p>
            <w:pPr>
              <w:pStyle w:val="TableText"/>
              <w:ind w:left="211" w:right="195" w:firstLine="59"/>
              <w:spacing w:before="143" w:line="333" w:lineRule="auto"/>
              <w:rPr/>
            </w:pPr>
            <w:r>
              <w:rPr/>
              <w:t>(1)未按照规定对感染艾滋病病毒的孕产妇2人以上及其婴儿提供预防</w:t>
            </w:r>
            <w:r>
              <w:rPr>
                <w:spacing w:val="12"/>
              </w:rPr>
              <w:t xml:space="preserve"> </w:t>
            </w:r>
            <w:r>
              <w:rPr/>
              <w:t>艾滋病母婴传播技术指导；(2)造成艾滋病传播、流行或者其他严重后</w:t>
            </w:r>
          </w:p>
          <w:p>
            <w:pPr>
              <w:pStyle w:val="TableText"/>
              <w:ind w:left="111"/>
              <w:spacing w:before="7" w:line="220" w:lineRule="auto"/>
              <w:rPr/>
            </w:pPr>
            <w:r>
              <w:rPr>
                <w:color w:val="505050"/>
              </w:rPr>
              <w:t>果。</w:t>
            </w:r>
          </w:p>
        </w:tc>
        <w:tc>
          <w:tcPr>
            <w:tcW w:w="4592" w:type="dxa"/>
            <w:vAlign w:val="top"/>
          </w:tcPr>
          <w:p>
            <w:pPr>
              <w:spacing w:line="295" w:lineRule="auto"/>
              <w:rPr>
                <w:rFonts w:ascii="Arial"/>
                <w:sz w:val="21"/>
              </w:rPr>
            </w:pPr>
            <w:r/>
          </w:p>
          <w:p>
            <w:pPr>
              <w:pStyle w:val="TableText"/>
              <w:ind w:left="137" w:right="115"/>
              <w:spacing w:before="78" w:line="341" w:lineRule="auto"/>
              <w:rPr/>
            </w:pPr>
            <w:r>
              <w:rPr/>
              <w:t>依法吊销有关机构或者责任人员的执业许</w:t>
            </w:r>
            <w:r>
              <w:rPr>
                <w:spacing w:val="8"/>
              </w:rPr>
              <w:t xml:space="preserve"> </w:t>
            </w:r>
            <w:r>
              <w:rPr/>
              <w:t>可证件。</w:t>
            </w:r>
          </w:p>
        </w:tc>
      </w:tr>
    </w:tbl>
    <w:p>
      <w:pPr>
        <w:ind w:left="129" w:right="132" w:firstLine="660"/>
        <w:spacing w:before="107" w:line="270" w:lineRule="auto"/>
        <w:rPr>
          <w:rFonts w:ascii="FangSong" w:hAnsi="FangSong" w:eastAsia="FangSong" w:cs="FangSong"/>
          <w:sz w:val="30"/>
          <w:szCs w:val="30"/>
        </w:rPr>
      </w:pPr>
      <w:r>
        <w:rPr>
          <w:rFonts w:ascii="FangSong" w:hAnsi="FangSong" w:eastAsia="FangSong" w:cs="FangSong"/>
          <w:sz w:val="30"/>
          <w:szCs w:val="30"/>
          <w:b/>
          <w:bCs/>
          <w:spacing w:val="21"/>
        </w:rPr>
        <w:t>第五十四条血站、单采血浆站对采集的人体血液、血浆未进行艾滋病检测，</w:t>
      </w:r>
      <w:r>
        <w:rPr>
          <w:rFonts w:ascii="FangSong" w:hAnsi="FangSong" w:eastAsia="FangSong" w:cs="FangSong"/>
          <w:sz w:val="30"/>
          <w:szCs w:val="30"/>
          <w:b/>
          <w:bCs/>
          <w:spacing w:val="20"/>
        </w:rPr>
        <w:t>或者发现艾滋病检</w:t>
      </w:r>
      <w:r>
        <w:rPr>
          <w:rFonts w:ascii="FangSong" w:hAnsi="FangSong" w:eastAsia="FangSong" w:cs="FangSong"/>
          <w:sz w:val="30"/>
          <w:szCs w:val="30"/>
        </w:rPr>
        <w:t xml:space="preserve"> </w:t>
      </w:r>
      <w:r>
        <w:rPr>
          <w:rFonts w:ascii="FangSong" w:hAnsi="FangSong" w:eastAsia="FangSong" w:cs="FangSong"/>
          <w:sz w:val="30"/>
          <w:szCs w:val="30"/>
          <w:b/>
          <w:bCs/>
          <w:spacing w:val="16"/>
        </w:rPr>
        <w:t>测阳性的人体血液、血浆仍然采集的</w:t>
      </w:r>
    </w:p>
    <w:p>
      <w:pPr>
        <w:ind w:left="124"/>
        <w:spacing w:line="222" w:lineRule="auto"/>
        <w:rPr>
          <w:rFonts w:ascii="FangSong" w:hAnsi="FangSong" w:eastAsia="FangSong" w:cs="FangSong"/>
          <w:sz w:val="30"/>
          <w:szCs w:val="30"/>
        </w:rPr>
      </w:pPr>
      <w:r>
        <w:rPr>
          <w:rFonts w:ascii="FangSong" w:hAnsi="FangSong" w:eastAsia="FangSong" w:cs="FangSong"/>
          <w:sz w:val="30"/>
          <w:szCs w:val="30"/>
        </w:rPr>
        <w:t>法律依据：</w:t>
      </w:r>
    </w:p>
    <w:p>
      <w:pPr>
        <w:ind w:left="124"/>
        <w:spacing w:before="96" w:line="271" w:lineRule="auto"/>
        <w:jc w:val="both"/>
        <w:rPr>
          <w:rFonts w:ascii="FangSong" w:hAnsi="FangSong" w:eastAsia="FangSong" w:cs="FangSong"/>
          <w:sz w:val="30"/>
          <w:szCs w:val="30"/>
        </w:rPr>
      </w:pPr>
      <w:r>
        <w:rPr>
          <w:rFonts w:ascii="FangSong" w:hAnsi="FangSong" w:eastAsia="FangSong" w:cs="FangSong"/>
          <w:sz w:val="30"/>
          <w:szCs w:val="30"/>
          <w:spacing w:val="22"/>
        </w:rPr>
        <w:t>《艾滋病防治条例》第五十七条第(一)项</w:t>
      </w:r>
      <w:r>
        <w:rPr>
          <w:rFonts w:ascii="FangSong" w:hAnsi="FangSong" w:eastAsia="FangSong" w:cs="FangSong"/>
          <w:sz w:val="30"/>
          <w:szCs w:val="30"/>
          <w:spacing w:val="22"/>
        </w:rPr>
        <w:t xml:space="preserve">   </w:t>
      </w:r>
      <w:r>
        <w:rPr>
          <w:rFonts w:ascii="FangSong" w:hAnsi="FangSong" w:eastAsia="FangSong" w:cs="FangSong"/>
          <w:sz w:val="30"/>
          <w:szCs w:val="30"/>
          <w:spacing w:val="22"/>
        </w:rPr>
        <w:t>血站、单采血浆站违反本条例规定，有下列情形之一，</w:t>
      </w:r>
      <w:r>
        <w:rPr>
          <w:rFonts w:ascii="FangSong" w:hAnsi="FangSong" w:eastAsia="FangSong" w:cs="FangSong"/>
          <w:sz w:val="30"/>
          <w:szCs w:val="30"/>
          <w:spacing w:val="17"/>
        </w:rPr>
        <w:t xml:space="preserve"> </w:t>
      </w:r>
      <w:r>
        <w:rPr>
          <w:rFonts w:ascii="FangSong" w:hAnsi="FangSong" w:eastAsia="FangSong" w:cs="FangSong"/>
          <w:sz w:val="30"/>
          <w:szCs w:val="30"/>
          <w:spacing w:val="13"/>
        </w:rPr>
        <w:t>构成犯罪的，依法追究刑事责任；尚不构成犯罪的，由县级以上人民政府卫生主管部门依</w:t>
      </w:r>
      <w:r>
        <w:rPr>
          <w:rFonts w:ascii="FangSong" w:hAnsi="FangSong" w:eastAsia="FangSong" w:cs="FangSong"/>
          <w:sz w:val="30"/>
          <w:szCs w:val="30"/>
          <w:spacing w:val="12"/>
        </w:rPr>
        <w:t>照《献血法》</w:t>
      </w:r>
      <w:r>
        <w:rPr>
          <w:rFonts w:ascii="FangSong" w:hAnsi="FangSong" w:eastAsia="FangSong" w:cs="FangSong"/>
          <w:sz w:val="30"/>
          <w:szCs w:val="30"/>
        </w:rPr>
        <w:t xml:space="preserve"> </w:t>
      </w:r>
      <w:r>
        <w:rPr>
          <w:rFonts w:ascii="FangSong" w:hAnsi="FangSong" w:eastAsia="FangSong" w:cs="FangSong"/>
          <w:sz w:val="30"/>
          <w:szCs w:val="30"/>
          <w:spacing w:val="17"/>
        </w:rPr>
        <w:t>和《血液制品管理条例》的规定予以处罚；造成艾滋病传播、流行或者其他严重后果的，对负有责任</w:t>
      </w:r>
    </w:p>
    <w:p>
      <w:pPr>
        <w:spacing w:line="271" w:lineRule="auto"/>
        <w:sectPr>
          <w:footerReference w:type="default" r:id="rId129"/>
          <w:pgSz w:w="16830" w:h="11900"/>
          <w:pgMar w:top="1011" w:right="1309" w:bottom="1118" w:left="1314" w:header="0" w:footer="785" w:gutter="0"/>
        </w:sectPr>
        <w:rPr>
          <w:rFonts w:ascii="FangSong" w:hAnsi="FangSong" w:eastAsia="FangSong" w:cs="FangSong"/>
          <w:sz w:val="30"/>
          <w:szCs w:val="30"/>
        </w:rPr>
      </w:pPr>
    </w:p>
    <w:p>
      <w:pPr>
        <w:pStyle w:val="BodyText"/>
        <w:spacing w:line="261" w:lineRule="auto"/>
        <w:rPr/>
      </w:pPr>
      <w:r/>
    </w:p>
    <w:p>
      <w:pPr>
        <w:pStyle w:val="BodyText"/>
        <w:spacing w:line="262" w:lineRule="auto"/>
        <w:rPr/>
      </w:pPr>
      <w:r/>
    </w:p>
    <w:p>
      <w:pPr>
        <w:pStyle w:val="BodyText"/>
        <w:spacing w:line="262" w:lineRule="auto"/>
        <w:rPr/>
      </w:pPr>
      <w:r/>
    </w:p>
    <w:p>
      <w:pPr>
        <w:ind w:left="95" w:right="135"/>
        <w:spacing w:before="95" w:line="280" w:lineRule="auto"/>
        <w:rPr>
          <w:rFonts w:ascii="FangSong" w:hAnsi="FangSong" w:eastAsia="FangSong" w:cs="FangSong"/>
          <w:sz w:val="29"/>
          <w:szCs w:val="29"/>
        </w:rPr>
      </w:pPr>
      <w:bookmarkStart w:name="bookmark794" w:id="95"/>
      <w:bookmarkEnd w:id="95"/>
      <w:r>
        <w:rPr>
          <w:rFonts w:ascii="FangSong" w:hAnsi="FangSong" w:eastAsia="FangSong" w:cs="FangSong"/>
          <w:sz w:val="29"/>
          <w:szCs w:val="29"/>
          <w:spacing w:val="27"/>
        </w:rPr>
        <w:t>的主管人员和其他直接责任人员依法给予降级、撤职、</w:t>
      </w:r>
      <w:r>
        <w:rPr>
          <w:rFonts w:ascii="FangSong" w:hAnsi="FangSong" w:eastAsia="FangSong" w:cs="FangSong"/>
          <w:sz w:val="29"/>
          <w:szCs w:val="29"/>
          <w:spacing w:val="26"/>
        </w:rPr>
        <w:t>开除的处分，并可以依法吊销血站、单采血浆</w:t>
      </w:r>
      <w:r>
        <w:rPr>
          <w:rFonts w:ascii="FangSong" w:hAnsi="FangSong" w:eastAsia="FangSong" w:cs="FangSong"/>
          <w:sz w:val="29"/>
          <w:szCs w:val="29"/>
        </w:rPr>
        <w:t xml:space="preserve"> </w:t>
      </w:r>
      <w:r>
        <w:rPr>
          <w:rFonts w:ascii="FangSong" w:hAnsi="FangSong" w:eastAsia="FangSong" w:cs="FangSong"/>
          <w:sz w:val="29"/>
          <w:szCs w:val="29"/>
          <w:spacing w:val="18"/>
        </w:rPr>
        <w:t>站的执业许可证：</w:t>
      </w:r>
    </w:p>
    <w:p>
      <w:pPr>
        <w:ind w:left="95" w:right="105" w:firstLine="159"/>
        <w:spacing w:line="283" w:lineRule="auto"/>
        <w:rPr>
          <w:rFonts w:ascii="FangSong" w:hAnsi="FangSong" w:eastAsia="FangSong" w:cs="FangSong"/>
          <w:sz w:val="29"/>
          <w:szCs w:val="29"/>
        </w:rPr>
      </w:pPr>
      <w:r>
        <w:rPr>
          <w:rFonts w:ascii="FangSong" w:hAnsi="FangSong" w:eastAsia="FangSong" w:cs="FangSong"/>
          <w:sz w:val="29"/>
          <w:szCs w:val="29"/>
          <w:spacing w:val="30"/>
        </w:rPr>
        <w:t>(一)对采集的人体血液、血浆未进行艾滋病检测，或者发现艾滋病检测阳性的人体血液、血浆仍然</w:t>
      </w:r>
      <w:r>
        <w:rPr>
          <w:rFonts w:ascii="FangSong" w:hAnsi="FangSong" w:eastAsia="FangSong" w:cs="FangSong"/>
          <w:sz w:val="29"/>
          <w:szCs w:val="29"/>
          <w:spacing w:val="8"/>
        </w:rPr>
        <w:t xml:space="preserve"> </w:t>
      </w:r>
      <w:r>
        <w:rPr>
          <w:rFonts w:ascii="FangSong" w:hAnsi="FangSong" w:eastAsia="FangSong" w:cs="FangSong"/>
          <w:sz w:val="29"/>
          <w:szCs w:val="29"/>
          <w:spacing w:val="11"/>
        </w:rPr>
        <w:t>采集的；</w:t>
      </w:r>
    </w:p>
    <w:p>
      <w:pPr>
        <w:ind w:left="6509"/>
        <w:spacing w:before="1" w:line="220" w:lineRule="auto"/>
        <w:rPr>
          <w:rFonts w:ascii="SimHei" w:hAnsi="SimHei" w:eastAsia="SimHei" w:cs="SimHei"/>
          <w:sz w:val="29"/>
          <w:szCs w:val="29"/>
        </w:rPr>
      </w:pPr>
      <w:r>
        <w:rPr>
          <w:rFonts w:ascii="SimHei" w:hAnsi="SimHei" w:eastAsia="SimHei" w:cs="SimHei"/>
          <w:sz w:val="29"/>
          <w:szCs w:val="29"/>
          <w:b/>
          <w:bCs/>
          <w:spacing w:val="-6"/>
        </w:rPr>
        <w:t>裁量标准</w:t>
      </w:r>
    </w:p>
    <w:p>
      <w:pPr>
        <w:spacing w:line="172" w:lineRule="exact"/>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63"/>
        <w:gridCol w:w="7195"/>
        <w:gridCol w:w="4691"/>
      </w:tblGrid>
      <w:tr>
        <w:trPr>
          <w:trHeight w:val="843" w:hRule="atLeast"/>
        </w:trPr>
        <w:tc>
          <w:tcPr>
            <w:tcW w:w="2263" w:type="dxa"/>
            <w:vAlign w:val="top"/>
          </w:tcPr>
          <w:p>
            <w:pPr>
              <w:pStyle w:val="TableText"/>
              <w:ind w:left="648"/>
              <w:spacing w:before="302" w:line="220" w:lineRule="auto"/>
              <w:rPr/>
            </w:pPr>
            <w:r>
              <w:rPr>
                <w:b/>
                <w:bCs/>
                <w:spacing w:val="-5"/>
              </w:rPr>
              <w:t>违法程度</w:t>
            </w:r>
          </w:p>
        </w:tc>
        <w:tc>
          <w:tcPr>
            <w:tcW w:w="7195" w:type="dxa"/>
            <w:vAlign w:val="top"/>
          </w:tcPr>
          <w:p>
            <w:pPr>
              <w:pStyle w:val="TableText"/>
              <w:ind w:left="3115"/>
              <w:spacing w:before="302" w:line="220" w:lineRule="auto"/>
              <w:rPr/>
            </w:pPr>
            <w:r>
              <w:rPr>
                <w:b/>
                <w:bCs/>
                <w:spacing w:val="-5"/>
              </w:rPr>
              <w:t>情节后果</w:t>
            </w:r>
          </w:p>
        </w:tc>
        <w:tc>
          <w:tcPr>
            <w:tcW w:w="4691" w:type="dxa"/>
            <w:vAlign w:val="top"/>
          </w:tcPr>
          <w:p>
            <w:pPr>
              <w:pStyle w:val="TableText"/>
              <w:ind w:left="1860"/>
              <w:spacing w:before="299" w:line="218" w:lineRule="auto"/>
              <w:rPr/>
            </w:pPr>
            <w:r>
              <w:rPr>
                <w:b/>
                <w:bCs/>
                <w:spacing w:val="-5"/>
              </w:rPr>
              <w:t>裁量幅度</w:t>
            </w:r>
          </w:p>
        </w:tc>
      </w:tr>
      <w:tr>
        <w:trPr>
          <w:trHeight w:val="1386" w:hRule="atLeast"/>
        </w:trPr>
        <w:tc>
          <w:tcPr>
            <w:tcW w:w="2263" w:type="dxa"/>
            <w:vAlign w:val="top"/>
          </w:tcPr>
          <w:p>
            <w:pPr>
              <w:spacing w:line="249" w:lineRule="auto"/>
              <w:rPr>
                <w:rFonts w:ascii="Arial"/>
                <w:sz w:val="21"/>
              </w:rPr>
            </w:pPr>
            <w:r/>
          </w:p>
          <w:p>
            <w:pPr>
              <w:spacing w:line="249" w:lineRule="auto"/>
              <w:rPr>
                <w:rFonts w:ascii="Arial"/>
                <w:sz w:val="21"/>
              </w:rPr>
            </w:pPr>
            <w:r/>
          </w:p>
          <w:p>
            <w:pPr>
              <w:pStyle w:val="TableText"/>
              <w:ind w:left="888"/>
              <w:spacing w:before="78" w:line="221" w:lineRule="auto"/>
              <w:rPr/>
            </w:pPr>
            <w:r>
              <w:rPr>
                <w:b/>
                <w:bCs/>
                <w:spacing w:val="-10"/>
              </w:rPr>
              <w:t>一般</w:t>
            </w:r>
          </w:p>
        </w:tc>
        <w:tc>
          <w:tcPr>
            <w:tcW w:w="7195" w:type="dxa"/>
            <w:vAlign w:val="top"/>
          </w:tcPr>
          <w:p>
            <w:pPr>
              <w:pStyle w:val="TableText"/>
              <w:ind w:left="102" w:right="93" w:firstLine="9"/>
              <w:spacing w:before="139" w:line="317" w:lineRule="auto"/>
              <w:jc w:val="both"/>
              <w:rPr/>
            </w:pPr>
            <w:r>
              <w:rPr/>
              <w:t>对采集的人体血液、血浆未进行艾滋病检测，或者发现艾滋病检测</w:t>
            </w:r>
            <w:r>
              <w:rPr>
                <w:spacing w:val="18"/>
              </w:rPr>
              <w:t xml:space="preserve"> </w:t>
            </w:r>
            <w:r>
              <w:rPr>
                <w:spacing w:val="1"/>
              </w:rPr>
              <w:t>阳性的人体血液、血浆仍然采集，未造成艾</w:t>
            </w:r>
            <w:r>
              <w:rPr/>
              <w:t>滋病传播、流行或者其 </w:t>
            </w:r>
            <w:r>
              <w:rPr>
                <w:spacing w:val="-1"/>
              </w:rPr>
              <w:t>他严重后果。</w:t>
            </w:r>
          </w:p>
        </w:tc>
        <w:tc>
          <w:tcPr>
            <w:tcW w:w="4691" w:type="dxa"/>
            <w:vAlign w:val="top"/>
          </w:tcPr>
          <w:p>
            <w:pPr>
              <w:spacing w:line="272" w:lineRule="auto"/>
              <w:rPr>
                <w:rFonts w:ascii="Arial"/>
                <w:sz w:val="21"/>
              </w:rPr>
            </w:pPr>
            <w:r/>
          </w:p>
          <w:p>
            <w:pPr>
              <w:pStyle w:val="TableText"/>
              <w:ind w:left="136" w:right="43" w:hanging="79"/>
              <w:spacing w:before="78" w:line="333" w:lineRule="auto"/>
              <w:rPr/>
            </w:pPr>
            <w:r>
              <w:rPr>
                <w:spacing w:val="1"/>
              </w:rPr>
              <w:t>依照《中华人民共和国献血法》和《血液制</w:t>
            </w:r>
            <w:r>
              <w:rPr/>
              <w:t xml:space="preserve"> </w:t>
            </w:r>
            <w:r>
              <w:rPr>
                <w:spacing w:val="-1"/>
              </w:rPr>
              <w:t>品管理条例》的规定予以处罚。</w:t>
            </w:r>
          </w:p>
        </w:tc>
      </w:tr>
      <w:tr>
        <w:trPr>
          <w:trHeight w:val="1481" w:hRule="atLeast"/>
        </w:trPr>
        <w:tc>
          <w:tcPr>
            <w:tcW w:w="2263" w:type="dxa"/>
            <w:vAlign w:val="top"/>
          </w:tcPr>
          <w:p>
            <w:pPr>
              <w:spacing w:line="270" w:lineRule="auto"/>
              <w:rPr>
                <w:rFonts w:ascii="Arial"/>
                <w:sz w:val="21"/>
              </w:rPr>
            </w:pPr>
            <w:r/>
          </w:p>
          <w:p>
            <w:pPr>
              <w:spacing w:line="271" w:lineRule="auto"/>
              <w:rPr>
                <w:rFonts w:ascii="Arial"/>
                <w:sz w:val="21"/>
              </w:rPr>
            </w:pPr>
            <w:r/>
          </w:p>
          <w:p>
            <w:pPr>
              <w:pStyle w:val="TableText"/>
              <w:ind w:left="888"/>
              <w:spacing w:before="78" w:line="220" w:lineRule="auto"/>
              <w:rPr/>
            </w:pPr>
            <w:r>
              <w:rPr>
                <w:b/>
                <w:bCs/>
                <w:spacing w:val="-6"/>
              </w:rPr>
              <w:t>严重</w:t>
            </w:r>
          </w:p>
        </w:tc>
        <w:tc>
          <w:tcPr>
            <w:tcW w:w="7195" w:type="dxa"/>
            <w:vAlign w:val="top"/>
          </w:tcPr>
          <w:p>
            <w:pPr>
              <w:pStyle w:val="TableText"/>
              <w:ind w:left="102" w:right="93" w:firstLine="9"/>
              <w:spacing w:before="164" w:line="335" w:lineRule="auto"/>
              <w:jc w:val="both"/>
              <w:rPr/>
            </w:pPr>
            <w:r>
              <w:rPr/>
              <w:t>对采集的人体血液、血浆未进行艾滋病检测，或者发现艾滋病检测</w:t>
            </w:r>
            <w:r>
              <w:rPr>
                <w:spacing w:val="18"/>
              </w:rPr>
              <w:t xml:space="preserve"> </w:t>
            </w:r>
            <w:r>
              <w:rPr/>
              <w:t>阳性的人体血液、血浆仍然采集，造成艾滋病传播、流行或者其他</w:t>
            </w:r>
            <w:r>
              <w:rPr>
                <w:spacing w:val="18"/>
              </w:rPr>
              <w:t xml:space="preserve"> </w:t>
            </w:r>
            <w:r>
              <w:rPr>
                <w:spacing w:val="-1"/>
              </w:rPr>
              <w:t>严重后果。</w:t>
            </w:r>
          </w:p>
        </w:tc>
        <w:tc>
          <w:tcPr>
            <w:tcW w:w="4691" w:type="dxa"/>
            <w:vAlign w:val="top"/>
          </w:tcPr>
          <w:p>
            <w:pPr>
              <w:spacing w:line="271" w:lineRule="auto"/>
              <w:rPr>
                <w:rFonts w:ascii="Arial"/>
                <w:sz w:val="21"/>
              </w:rPr>
            </w:pPr>
            <w:r/>
          </w:p>
          <w:p>
            <w:pPr>
              <w:spacing w:line="272" w:lineRule="auto"/>
              <w:rPr>
                <w:rFonts w:ascii="Arial"/>
                <w:sz w:val="21"/>
              </w:rPr>
            </w:pPr>
            <w:r/>
          </w:p>
          <w:p>
            <w:pPr>
              <w:pStyle w:val="TableText"/>
              <w:ind w:right="4"/>
              <w:spacing w:before="78" w:line="219" w:lineRule="auto"/>
              <w:jc w:val="right"/>
              <w:rPr/>
            </w:pPr>
            <w:r>
              <w:rPr/>
              <w:t>依法吊销血站、单采血浆站的执业许可证。</w:t>
            </w:r>
          </w:p>
        </w:tc>
      </w:tr>
    </w:tbl>
    <w:p>
      <w:pPr>
        <w:ind w:left="99" w:right="109" w:firstLine="679"/>
        <w:spacing w:before="100" w:line="275" w:lineRule="auto"/>
        <w:rPr>
          <w:rFonts w:ascii="KaiTi" w:hAnsi="KaiTi" w:eastAsia="KaiTi" w:cs="KaiTi"/>
          <w:sz w:val="29"/>
          <w:szCs w:val="29"/>
        </w:rPr>
      </w:pPr>
      <w:r>
        <w:rPr>
          <w:rFonts w:ascii="KaiTi" w:hAnsi="KaiTi" w:eastAsia="KaiTi" w:cs="KaiTi"/>
          <w:sz w:val="29"/>
          <w:szCs w:val="29"/>
          <w:b/>
          <w:bCs/>
          <w:spacing w:val="31"/>
        </w:rPr>
        <w:t>第五十五条血站、单采血浆站将未经艾滋病检测的人体血</w:t>
      </w:r>
      <w:r>
        <w:rPr>
          <w:rFonts w:ascii="KaiTi" w:hAnsi="KaiTi" w:eastAsia="KaiTi" w:cs="KaiTi"/>
          <w:sz w:val="29"/>
          <w:szCs w:val="29"/>
          <w:b/>
          <w:bCs/>
          <w:spacing w:val="30"/>
        </w:rPr>
        <w:t>液、血浆，或者艾滋病检测阳性的人</w:t>
      </w:r>
      <w:r>
        <w:rPr>
          <w:rFonts w:ascii="KaiTi" w:hAnsi="KaiTi" w:eastAsia="KaiTi" w:cs="KaiTi"/>
          <w:sz w:val="29"/>
          <w:szCs w:val="29"/>
        </w:rPr>
        <w:t xml:space="preserve"> </w:t>
      </w:r>
      <w:r>
        <w:rPr>
          <w:rFonts w:ascii="KaiTi" w:hAnsi="KaiTi" w:eastAsia="KaiTi" w:cs="KaiTi"/>
          <w:sz w:val="29"/>
          <w:szCs w:val="29"/>
          <w:b/>
          <w:bCs/>
          <w:spacing w:val="28"/>
        </w:rPr>
        <w:t>体血液、血浆供应给医疗机构和血液制品生</w:t>
      </w:r>
      <w:r>
        <w:rPr>
          <w:rFonts w:ascii="KaiTi" w:hAnsi="KaiTi" w:eastAsia="KaiTi" w:cs="KaiTi"/>
          <w:sz w:val="29"/>
          <w:szCs w:val="29"/>
          <w:b/>
          <w:bCs/>
          <w:spacing w:val="27"/>
        </w:rPr>
        <w:t>产单位的</w:t>
      </w:r>
    </w:p>
    <w:p>
      <w:pPr>
        <w:ind w:left="765"/>
        <w:spacing w:line="222" w:lineRule="auto"/>
        <w:rPr>
          <w:rFonts w:ascii="FangSong" w:hAnsi="FangSong" w:eastAsia="FangSong" w:cs="FangSong"/>
          <w:sz w:val="29"/>
          <w:szCs w:val="29"/>
        </w:rPr>
      </w:pPr>
      <w:r>
        <w:rPr>
          <w:rFonts w:ascii="FangSong" w:hAnsi="FangSong" w:eastAsia="FangSong" w:cs="FangSong"/>
          <w:sz w:val="29"/>
          <w:szCs w:val="29"/>
          <w:spacing w:val="6"/>
        </w:rPr>
        <w:t>法律依据：</w:t>
      </w:r>
    </w:p>
    <w:p>
      <w:pPr>
        <w:spacing w:line="222" w:lineRule="auto"/>
        <w:sectPr>
          <w:footerReference w:type="default" r:id="rId130"/>
          <w:pgSz w:w="16830" w:h="11900"/>
          <w:pgMar w:top="1011" w:right="1335" w:bottom="1130" w:left="1335" w:header="0" w:footer="806" w:gutter="0"/>
        </w:sectPr>
        <w:rPr>
          <w:rFonts w:ascii="FangSong" w:hAnsi="FangSong" w:eastAsia="FangSong" w:cs="FangSong"/>
          <w:sz w:val="29"/>
          <w:szCs w:val="29"/>
        </w:rPr>
      </w:pPr>
    </w:p>
    <w:p>
      <w:pPr>
        <w:pStyle w:val="BodyText"/>
        <w:spacing w:line="267" w:lineRule="auto"/>
        <w:rPr/>
      </w:pPr>
      <w:r/>
    </w:p>
    <w:p>
      <w:pPr>
        <w:pStyle w:val="BodyText"/>
        <w:spacing w:line="267" w:lineRule="auto"/>
        <w:rPr/>
      </w:pPr>
      <w:r/>
    </w:p>
    <w:p>
      <w:pPr>
        <w:pStyle w:val="BodyText"/>
        <w:spacing w:line="268" w:lineRule="auto"/>
        <w:rPr/>
      </w:pPr>
      <w:r/>
    </w:p>
    <w:p>
      <w:pPr>
        <w:ind w:left="104" w:firstLine="655"/>
        <w:spacing w:before="94" w:line="275" w:lineRule="auto"/>
        <w:jc w:val="both"/>
        <w:rPr>
          <w:rFonts w:ascii="FangSong" w:hAnsi="FangSong" w:eastAsia="FangSong" w:cs="FangSong"/>
          <w:sz w:val="29"/>
          <w:szCs w:val="29"/>
        </w:rPr>
      </w:pPr>
      <w:r>
        <w:rPr>
          <w:rFonts w:ascii="FangSong" w:hAnsi="FangSong" w:eastAsia="FangSong" w:cs="FangSong"/>
          <w:sz w:val="29"/>
          <w:szCs w:val="29"/>
          <w:spacing w:val="28"/>
        </w:rPr>
        <w:t>《艾滋病防治条例》第五十七条第(二)项血站、单采血浆站违反本条</w:t>
      </w:r>
      <w:r>
        <w:rPr>
          <w:rFonts w:ascii="FangSong" w:hAnsi="FangSong" w:eastAsia="FangSong" w:cs="FangSong"/>
          <w:sz w:val="29"/>
          <w:szCs w:val="29"/>
          <w:spacing w:val="27"/>
        </w:rPr>
        <w:t>例规定，有下列情形之</w:t>
      </w:r>
      <w:r>
        <w:rPr>
          <w:rFonts w:ascii="FangSong" w:hAnsi="FangSong" w:eastAsia="FangSong" w:cs="FangSong"/>
          <w:sz w:val="29"/>
          <w:szCs w:val="29"/>
          <w:spacing w:val="-69"/>
        </w:rPr>
        <w:t xml:space="preserve"> </w:t>
      </w:r>
      <w:r>
        <w:rPr>
          <w:rFonts w:ascii="FangSong" w:hAnsi="FangSong" w:eastAsia="FangSong" w:cs="FangSong"/>
          <w:sz w:val="29"/>
          <w:szCs w:val="29"/>
          <w:spacing w:val="27"/>
        </w:rPr>
        <w:t>一，</w:t>
      </w:r>
      <w:r>
        <w:rPr>
          <w:rFonts w:ascii="FangSong" w:hAnsi="FangSong" w:eastAsia="FangSong" w:cs="FangSong"/>
          <w:sz w:val="29"/>
          <w:szCs w:val="29"/>
        </w:rPr>
        <w:t xml:space="preserve"> </w:t>
      </w:r>
      <w:r>
        <w:rPr>
          <w:rFonts w:ascii="FangSong" w:hAnsi="FangSong" w:eastAsia="FangSong" w:cs="FangSong"/>
          <w:sz w:val="29"/>
          <w:szCs w:val="29"/>
          <w:spacing w:val="23"/>
        </w:rPr>
        <w:t>构成犯罪的，依法追究刑事责任；尚不构成犯罪的，由县级以上人民政府卫生主管部门依照《献血法》</w:t>
      </w:r>
      <w:r>
        <w:rPr>
          <w:rFonts w:ascii="FangSong" w:hAnsi="FangSong" w:eastAsia="FangSong" w:cs="FangSong"/>
          <w:sz w:val="29"/>
          <w:szCs w:val="29"/>
          <w:spacing w:val="18"/>
        </w:rPr>
        <w:t xml:space="preserve"> </w:t>
      </w:r>
      <w:r>
        <w:rPr>
          <w:rFonts w:ascii="FangSong" w:hAnsi="FangSong" w:eastAsia="FangSong" w:cs="FangSong"/>
          <w:sz w:val="29"/>
          <w:szCs w:val="29"/>
          <w:spacing w:val="27"/>
        </w:rPr>
        <w:t>和《血液制品管理条例》的规定予以处罚；造成艾滋病传播、流行或者其他严重后果的</w:t>
      </w:r>
      <w:r>
        <w:rPr>
          <w:rFonts w:ascii="FangSong" w:hAnsi="FangSong" w:eastAsia="FangSong" w:cs="FangSong"/>
          <w:sz w:val="29"/>
          <w:szCs w:val="29"/>
          <w:spacing w:val="26"/>
        </w:rPr>
        <w:t>，对负有责任</w:t>
      </w:r>
      <w:r>
        <w:rPr>
          <w:rFonts w:ascii="FangSong" w:hAnsi="FangSong" w:eastAsia="FangSong" w:cs="FangSong"/>
          <w:sz w:val="29"/>
          <w:szCs w:val="29"/>
        </w:rPr>
        <w:t xml:space="preserve">  </w:t>
      </w:r>
      <w:r>
        <w:rPr>
          <w:rFonts w:ascii="FangSong" w:hAnsi="FangSong" w:eastAsia="FangSong" w:cs="FangSong"/>
          <w:sz w:val="29"/>
          <w:szCs w:val="29"/>
          <w:spacing w:val="27"/>
        </w:rPr>
        <w:t>的主管人员和其他直接责任人员依法给予降级、撤职、开除的处分，并可以</w:t>
      </w:r>
      <w:r>
        <w:rPr>
          <w:rFonts w:ascii="FangSong" w:hAnsi="FangSong" w:eastAsia="FangSong" w:cs="FangSong"/>
          <w:sz w:val="29"/>
          <w:szCs w:val="29"/>
          <w:spacing w:val="26"/>
        </w:rPr>
        <w:t>依法吊销血站、单采血浆</w:t>
      </w:r>
      <w:r>
        <w:rPr>
          <w:rFonts w:ascii="FangSong" w:hAnsi="FangSong" w:eastAsia="FangSong" w:cs="FangSong"/>
          <w:sz w:val="29"/>
          <w:szCs w:val="29"/>
        </w:rPr>
        <w:t xml:space="preserve">  </w:t>
      </w:r>
      <w:r>
        <w:rPr>
          <w:rFonts w:ascii="FangSong" w:hAnsi="FangSong" w:eastAsia="FangSong" w:cs="FangSong"/>
          <w:sz w:val="29"/>
          <w:szCs w:val="29"/>
          <w:spacing w:val="19"/>
        </w:rPr>
        <w:t>站的执业许可证：</w:t>
      </w:r>
    </w:p>
    <w:p>
      <w:pPr>
        <w:ind w:left="104" w:right="162" w:firstLine="810"/>
        <w:spacing w:before="44" w:line="287" w:lineRule="auto"/>
        <w:rPr>
          <w:rFonts w:ascii="FangSong" w:hAnsi="FangSong" w:eastAsia="FangSong" w:cs="FangSong"/>
          <w:sz w:val="29"/>
          <w:szCs w:val="29"/>
        </w:rPr>
      </w:pPr>
      <w:r>
        <w:rPr>
          <w:rFonts w:ascii="FangSong" w:hAnsi="FangSong" w:eastAsia="FangSong" w:cs="FangSong"/>
          <w:sz w:val="29"/>
          <w:szCs w:val="29"/>
          <w:spacing w:val="30"/>
        </w:rPr>
        <w:t>(二)将未经艾滋病检测的人体血液、血浆，或者</w:t>
      </w:r>
      <w:r>
        <w:rPr>
          <w:rFonts w:ascii="FangSong" w:hAnsi="FangSong" w:eastAsia="FangSong" w:cs="FangSong"/>
          <w:sz w:val="29"/>
          <w:szCs w:val="29"/>
          <w:spacing w:val="29"/>
        </w:rPr>
        <w:t>艾滋病检测阳性的人体血液、血浆供应给医疗</w:t>
      </w:r>
      <w:r>
        <w:rPr>
          <w:rFonts w:ascii="FangSong" w:hAnsi="FangSong" w:eastAsia="FangSong" w:cs="FangSong"/>
          <w:sz w:val="29"/>
          <w:szCs w:val="29"/>
        </w:rPr>
        <w:t xml:space="preserve"> </w:t>
      </w:r>
      <w:r>
        <w:rPr>
          <w:rFonts w:ascii="FangSong" w:hAnsi="FangSong" w:eastAsia="FangSong" w:cs="FangSong"/>
          <w:sz w:val="29"/>
          <w:szCs w:val="29"/>
          <w:spacing w:val="25"/>
        </w:rPr>
        <w:t>机构和血液制品生产单位的。</w:t>
      </w:r>
    </w:p>
    <w:p>
      <w:pPr>
        <w:ind w:left="6509"/>
        <w:spacing w:before="175" w:line="221" w:lineRule="auto"/>
        <w:rPr>
          <w:rFonts w:ascii="SimHei" w:hAnsi="SimHei" w:eastAsia="SimHei" w:cs="SimHei"/>
          <w:sz w:val="29"/>
          <w:szCs w:val="29"/>
        </w:rPr>
      </w:pPr>
      <w:r>
        <w:rPr>
          <w:rFonts w:ascii="SimHei" w:hAnsi="SimHei" w:eastAsia="SimHei" w:cs="SimHei"/>
          <w:sz w:val="29"/>
          <w:szCs w:val="29"/>
          <w:b/>
          <w:bCs/>
          <w:spacing w:val="-6"/>
        </w:rPr>
        <w:t>裁量标准</w:t>
      </w:r>
    </w:p>
    <w:p>
      <w:pPr>
        <w:spacing w:line="172" w:lineRule="exact"/>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82"/>
        <w:gridCol w:w="5366"/>
        <w:gridCol w:w="5401"/>
      </w:tblGrid>
      <w:tr>
        <w:trPr>
          <w:trHeight w:val="823" w:hRule="atLeast"/>
        </w:trPr>
        <w:tc>
          <w:tcPr>
            <w:tcW w:w="3382" w:type="dxa"/>
            <w:vAlign w:val="top"/>
          </w:tcPr>
          <w:p>
            <w:pPr>
              <w:pStyle w:val="TableText"/>
              <w:ind w:left="1108"/>
              <w:spacing w:before="17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5366" w:type="dxa"/>
            <w:vAlign w:val="top"/>
          </w:tcPr>
          <w:p>
            <w:pPr>
              <w:pStyle w:val="TableText"/>
              <w:ind w:left="2196"/>
              <w:spacing w:before="182" w:line="220" w:lineRule="auto"/>
              <w:rPr/>
            </w:pPr>
            <w:r>
              <w:rPr>
                <w:b/>
                <w:bCs/>
                <w:spacing w:val="-5"/>
              </w:rPr>
              <w:t>情节后果</w:t>
            </w:r>
          </w:p>
        </w:tc>
        <w:tc>
          <w:tcPr>
            <w:tcW w:w="5401" w:type="dxa"/>
            <w:vAlign w:val="top"/>
          </w:tcPr>
          <w:p>
            <w:pPr>
              <w:pStyle w:val="TableText"/>
              <w:ind w:left="2140"/>
              <w:spacing w:before="16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2265" w:hRule="atLeast"/>
        </w:trPr>
        <w:tc>
          <w:tcPr>
            <w:tcW w:w="3382" w:type="dxa"/>
            <w:vAlign w:val="top"/>
          </w:tcPr>
          <w:p>
            <w:pPr>
              <w:spacing w:line="313" w:lineRule="auto"/>
              <w:rPr>
                <w:rFonts w:ascii="Arial"/>
                <w:sz w:val="21"/>
              </w:rPr>
            </w:pPr>
            <w:r/>
          </w:p>
          <w:p>
            <w:pPr>
              <w:spacing w:line="313" w:lineRule="auto"/>
              <w:rPr>
                <w:rFonts w:ascii="Arial"/>
                <w:sz w:val="21"/>
              </w:rPr>
            </w:pPr>
            <w:r/>
          </w:p>
          <w:p>
            <w:pPr>
              <w:spacing w:line="313" w:lineRule="auto"/>
              <w:rPr>
                <w:rFonts w:ascii="Arial"/>
                <w:sz w:val="21"/>
              </w:rPr>
            </w:pPr>
            <w:r/>
          </w:p>
          <w:p>
            <w:pPr>
              <w:pStyle w:val="TableText"/>
              <w:ind w:left="1445"/>
              <w:spacing w:before="78" w:line="221" w:lineRule="auto"/>
              <w:rPr/>
            </w:pPr>
            <w:r>
              <w:rPr>
                <w:spacing w:val="5"/>
              </w:rPr>
              <w:t>一般</w:t>
            </w:r>
          </w:p>
        </w:tc>
        <w:tc>
          <w:tcPr>
            <w:tcW w:w="5366" w:type="dxa"/>
            <w:vAlign w:val="top"/>
          </w:tcPr>
          <w:p>
            <w:pPr>
              <w:pStyle w:val="TableText"/>
              <w:ind w:left="33" w:right="26"/>
              <w:spacing w:before="263" w:line="337" w:lineRule="auto"/>
              <w:jc w:val="both"/>
              <w:rPr/>
            </w:pPr>
            <w:r>
              <w:rPr/>
              <w:t>将未经艾滋病检测的人体血液、血浆，或者艾滋病</w:t>
            </w:r>
            <w:r>
              <w:rPr>
                <w:spacing w:val="15"/>
              </w:rPr>
              <w:t xml:space="preserve"> </w:t>
            </w:r>
            <w:r>
              <w:rPr>
                <w:spacing w:val="-1"/>
              </w:rPr>
              <w:t>检测阳性的人体血液、血浆供应给医疗机构和血液</w:t>
            </w:r>
            <w:r>
              <w:rPr>
                <w:spacing w:val="11"/>
              </w:rPr>
              <w:t xml:space="preserve"> </w:t>
            </w:r>
            <w:r>
              <w:rPr>
                <w:spacing w:val="-1"/>
              </w:rPr>
              <w:t>制品生产单位，未造成艾滋病传播、流行或者其他</w:t>
            </w:r>
            <w:r>
              <w:rPr>
                <w:spacing w:val="10"/>
              </w:rPr>
              <w:t xml:space="preserve"> </w:t>
            </w:r>
            <w:r>
              <w:rPr>
                <w:spacing w:val="11"/>
              </w:rPr>
              <w:t>严重后果。</w:t>
            </w:r>
          </w:p>
        </w:tc>
        <w:tc>
          <w:tcPr>
            <w:tcW w:w="5401" w:type="dxa"/>
            <w:vAlign w:val="top"/>
          </w:tcPr>
          <w:p>
            <w:pPr>
              <w:spacing w:line="304" w:lineRule="auto"/>
              <w:rPr>
                <w:rFonts w:ascii="Arial"/>
                <w:sz w:val="21"/>
              </w:rPr>
            </w:pPr>
            <w:r/>
          </w:p>
          <w:p>
            <w:pPr>
              <w:spacing w:line="305" w:lineRule="auto"/>
              <w:rPr>
                <w:rFonts w:ascii="Arial"/>
                <w:sz w:val="21"/>
              </w:rPr>
            </w:pPr>
            <w:r/>
          </w:p>
          <w:p>
            <w:pPr>
              <w:pStyle w:val="TableText"/>
              <w:ind w:left="136"/>
              <w:spacing w:before="78" w:line="341" w:lineRule="auto"/>
              <w:rPr/>
            </w:pPr>
            <w:r>
              <w:rPr>
                <w:spacing w:val="-2"/>
              </w:rPr>
              <w:t>依照《中华人民共和国献血法》和《血液制品管理</w:t>
            </w:r>
            <w:r>
              <w:rPr>
                <w:spacing w:val="17"/>
              </w:rPr>
              <w:t xml:space="preserve"> </w:t>
            </w:r>
            <w:r>
              <w:rPr>
                <w:spacing w:val="-1"/>
              </w:rPr>
              <w:t>条例》的规定予以处罚。</w:t>
            </w:r>
          </w:p>
        </w:tc>
      </w:tr>
      <w:tr>
        <w:trPr>
          <w:trHeight w:val="1222" w:hRule="atLeast"/>
        </w:trPr>
        <w:tc>
          <w:tcPr>
            <w:tcW w:w="3382" w:type="dxa"/>
            <w:vAlign w:val="top"/>
          </w:tcPr>
          <w:p>
            <w:pPr>
              <w:spacing w:line="417" w:lineRule="auto"/>
              <w:rPr>
                <w:rFonts w:ascii="Arial"/>
                <w:sz w:val="21"/>
              </w:rPr>
            </w:pPr>
            <w:r/>
          </w:p>
          <w:p>
            <w:pPr>
              <w:pStyle w:val="TableText"/>
              <w:ind w:left="1445"/>
              <w:spacing w:before="78" w:line="220" w:lineRule="auto"/>
              <w:rPr/>
            </w:pPr>
            <w:r>
              <w:rPr>
                <w:spacing w:val="5"/>
              </w:rPr>
              <w:t>严重</w:t>
            </w:r>
          </w:p>
        </w:tc>
        <w:tc>
          <w:tcPr>
            <w:tcW w:w="5366" w:type="dxa"/>
            <w:vAlign w:val="top"/>
          </w:tcPr>
          <w:p>
            <w:pPr>
              <w:pStyle w:val="TableText"/>
              <w:ind w:left="33" w:right="26"/>
              <w:spacing w:before="286" w:line="332" w:lineRule="auto"/>
              <w:rPr/>
            </w:pPr>
            <w:r>
              <w:rPr/>
              <w:t>将未经艾滋病检测的人体血液、血浆，或者艾滋病</w:t>
            </w:r>
            <w:r>
              <w:rPr>
                <w:spacing w:val="15"/>
              </w:rPr>
              <w:t xml:space="preserve"> </w:t>
            </w:r>
            <w:r>
              <w:rPr>
                <w:spacing w:val="-1"/>
              </w:rPr>
              <w:t>检测阳性的人体血液、血浆供应给医疗机构和血液</w:t>
            </w:r>
          </w:p>
        </w:tc>
        <w:tc>
          <w:tcPr>
            <w:tcW w:w="5401" w:type="dxa"/>
            <w:vAlign w:val="top"/>
          </w:tcPr>
          <w:p>
            <w:pPr>
              <w:spacing w:line="414" w:lineRule="auto"/>
              <w:rPr>
                <w:rFonts w:ascii="Arial"/>
                <w:sz w:val="21"/>
              </w:rPr>
            </w:pPr>
            <w:r/>
          </w:p>
          <w:p>
            <w:pPr>
              <w:pStyle w:val="TableText"/>
              <w:ind w:left="136"/>
              <w:spacing w:before="78" w:line="219" w:lineRule="auto"/>
              <w:rPr/>
            </w:pPr>
            <w:r>
              <w:rPr/>
              <w:t>依法吊销血站、单采血浆站的执业许可证。</w:t>
            </w:r>
          </w:p>
        </w:tc>
      </w:tr>
    </w:tbl>
    <w:p>
      <w:pPr>
        <w:pStyle w:val="BodyText"/>
        <w:rPr/>
      </w:pPr>
      <w:r/>
    </w:p>
    <w:p>
      <w:pPr>
        <w:sectPr>
          <w:footerReference w:type="default" r:id="rId131"/>
          <w:pgSz w:w="16830" w:h="11900"/>
          <w:pgMar w:top="1011" w:right="1285" w:bottom="1126" w:left="1335" w:header="0" w:footer="802" w:gutter="0"/>
        </w:sectPr>
        <w:rPr/>
      </w:pPr>
    </w:p>
    <w:p>
      <w:pPr>
        <w:spacing w:before="20"/>
        <w:rPr/>
      </w:pPr>
      <w:r/>
    </w:p>
    <w:p>
      <w:pPr>
        <w:spacing w:before="20"/>
        <w:rPr/>
      </w:pPr>
      <w:r/>
    </w:p>
    <w:p>
      <w:pPr>
        <w:spacing w:before="19"/>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93"/>
        <w:gridCol w:w="5386"/>
        <w:gridCol w:w="5391"/>
      </w:tblGrid>
      <w:tr>
        <w:trPr>
          <w:trHeight w:val="1199" w:hRule="atLeast"/>
        </w:trPr>
        <w:tc>
          <w:tcPr>
            <w:tcW w:w="3393" w:type="dxa"/>
            <w:vAlign w:val="top"/>
          </w:tcPr>
          <w:p>
            <w:pPr>
              <w:rPr>
                <w:rFonts w:ascii="Arial"/>
                <w:sz w:val="21"/>
              </w:rPr>
            </w:pPr>
            <w:r/>
          </w:p>
        </w:tc>
        <w:tc>
          <w:tcPr>
            <w:tcW w:w="5386" w:type="dxa"/>
            <w:vAlign w:val="top"/>
          </w:tcPr>
          <w:p>
            <w:pPr>
              <w:pStyle w:val="TableText"/>
              <w:ind w:left="112" w:firstLine="9"/>
              <w:spacing w:before="64" w:line="365" w:lineRule="auto"/>
              <w:rPr/>
            </w:pPr>
            <w:r>
              <w:rPr>
                <w:spacing w:val="-2"/>
              </w:rPr>
              <w:t>制品生产单位，造成艾滋病传播、流行或者其他严</w:t>
            </w:r>
            <w:r>
              <w:rPr>
                <w:spacing w:val="17"/>
              </w:rPr>
              <w:t xml:space="preserve"> </w:t>
            </w:r>
            <w:r>
              <w:rPr>
                <w:spacing w:val="-1"/>
              </w:rPr>
              <w:t>重后果。</w:t>
            </w:r>
          </w:p>
        </w:tc>
        <w:tc>
          <w:tcPr>
            <w:tcW w:w="5391" w:type="dxa"/>
            <w:vAlign w:val="top"/>
          </w:tcPr>
          <w:p>
            <w:pPr>
              <w:rPr>
                <w:rFonts w:ascii="Arial"/>
                <w:sz w:val="21"/>
              </w:rPr>
            </w:pPr>
            <w:r/>
          </w:p>
        </w:tc>
      </w:tr>
    </w:tbl>
    <w:p>
      <w:pPr>
        <w:ind w:left="789"/>
        <w:spacing w:before="117" w:line="220" w:lineRule="auto"/>
        <w:outlineLvl w:val="1"/>
        <w:rPr>
          <w:rFonts w:ascii="FangSong" w:hAnsi="FangSong" w:eastAsia="FangSong" w:cs="FangSong"/>
          <w:sz w:val="30"/>
          <w:szCs w:val="30"/>
        </w:rPr>
      </w:pPr>
      <w:bookmarkStart w:name="bookmark186" w:id="96"/>
      <w:bookmarkEnd w:id="96"/>
      <w:r>
        <w:rPr>
          <w:rFonts w:ascii="FangSong" w:hAnsi="FangSong" w:eastAsia="FangSong" w:cs="FangSong"/>
          <w:sz w:val="30"/>
          <w:szCs w:val="30"/>
          <w:b/>
          <w:bCs/>
          <w:spacing w:val="20"/>
        </w:rPr>
        <w:t>第五十六条采集或者使用人体组织、器官、细胞、骨髓等未进行艾滋病检测或检测阳性仍采集</w:t>
      </w:r>
    </w:p>
    <w:p>
      <w:pPr>
        <w:ind w:left="139"/>
        <w:spacing w:before="96" w:line="222" w:lineRule="auto"/>
        <w:rPr>
          <w:rFonts w:ascii="FangSong" w:hAnsi="FangSong" w:eastAsia="FangSong" w:cs="FangSong"/>
          <w:sz w:val="30"/>
          <w:szCs w:val="30"/>
        </w:rPr>
      </w:pPr>
      <w:bookmarkStart w:name="bookmark795" w:id="97"/>
      <w:bookmarkEnd w:id="97"/>
      <w:r>
        <w:rPr>
          <w:rFonts w:ascii="FangSong" w:hAnsi="FangSong" w:eastAsia="FangSong" w:cs="FangSong"/>
          <w:sz w:val="30"/>
          <w:szCs w:val="30"/>
          <w:b/>
          <w:bCs/>
          <w:spacing w:val="15"/>
        </w:rPr>
        <w:t>或者使用的</w:t>
      </w:r>
    </w:p>
    <w:p>
      <w:pPr>
        <w:ind w:left="795"/>
        <w:spacing w:before="83" w:line="222" w:lineRule="auto"/>
        <w:rPr>
          <w:rFonts w:ascii="FangSong" w:hAnsi="FangSong" w:eastAsia="FangSong" w:cs="FangSong"/>
          <w:sz w:val="30"/>
          <w:szCs w:val="30"/>
        </w:rPr>
      </w:pPr>
      <w:r>
        <w:rPr>
          <w:rFonts w:ascii="FangSong" w:hAnsi="FangSong" w:eastAsia="FangSong" w:cs="FangSong"/>
          <w:sz w:val="30"/>
          <w:szCs w:val="30"/>
        </w:rPr>
        <w:t>法律依据：</w:t>
      </w:r>
    </w:p>
    <w:p>
      <w:pPr>
        <w:ind w:left="135" w:right="126" w:firstLine="629"/>
        <w:spacing w:before="78" w:line="270" w:lineRule="auto"/>
        <w:jc w:val="both"/>
        <w:rPr>
          <w:rFonts w:ascii="FangSong" w:hAnsi="FangSong" w:eastAsia="FangSong" w:cs="FangSong"/>
          <w:sz w:val="30"/>
          <w:szCs w:val="30"/>
        </w:rPr>
      </w:pPr>
      <w:r>
        <w:rPr>
          <w:rFonts w:ascii="FangSong" w:hAnsi="FangSong" w:eastAsia="FangSong" w:cs="FangSong"/>
          <w:sz w:val="30"/>
          <w:szCs w:val="30"/>
          <w:spacing w:val="19"/>
        </w:rPr>
        <w:t>《艾滋病防治条例》第五十八条</w:t>
      </w:r>
      <w:r>
        <w:rPr>
          <w:rFonts w:ascii="FangSong" w:hAnsi="FangSong" w:eastAsia="FangSong" w:cs="FangSong"/>
          <w:sz w:val="30"/>
          <w:szCs w:val="30"/>
          <w:spacing w:val="19"/>
        </w:rPr>
        <w:t xml:space="preserve">   </w:t>
      </w:r>
      <w:r>
        <w:rPr>
          <w:rFonts w:ascii="FangSong" w:hAnsi="FangSong" w:eastAsia="FangSong" w:cs="FangSong"/>
          <w:sz w:val="30"/>
          <w:szCs w:val="30"/>
          <w:spacing w:val="19"/>
        </w:rPr>
        <w:t>违反本条例第三十六条规定采集或者使用人体组织、器官、</w:t>
      </w:r>
      <w:r>
        <w:rPr>
          <w:rFonts w:ascii="FangSong" w:hAnsi="FangSong" w:eastAsia="FangSong" w:cs="FangSong"/>
          <w:sz w:val="30"/>
          <w:szCs w:val="30"/>
          <w:spacing w:val="11"/>
        </w:rPr>
        <w:t xml:space="preserve"> </w:t>
      </w:r>
      <w:r>
        <w:rPr>
          <w:rFonts w:ascii="FangSong" w:hAnsi="FangSong" w:eastAsia="FangSong" w:cs="FangSong"/>
          <w:sz w:val="30"/>
          <w:szCs w:val="30"/>
          <w:spacing w:val="16"/>
        </w:rPr>
        <w:t>细胞、骨髓等的，由县级人民政府卫生主管部门责令改正，通报批评，给予警告；情节严重的，责令</w:t>
      </w:r>
      <w:r>
        <w:rPr>
          <w:rFonts w:ascii="FangSong" w:hAnsi="FangSong" w:eastAsia="FangSong" w:cs="FangSong"/>
          <w:sz w:val="30"/>
          <w:szCs w:val="30"/>
          <w:spacing w:val="13"/>
        </w:rPr>
        <w:t xml:space="preserve"> </w:t>
      </w:r>
      <w:r>
        <w:rPr>
          <w:rFonts w:ascii="FangSong" w:hAnsi="FangSong" w:eastAsia="FangSong" w:cs="FangSong"/>
          <w:sz w:val="30"/>
          <w:szCs w:val="30"/>
          <w:spacing w:val="19"/>
        </w:rPr>
        <w:t>停业整顿，有执业许可证件的，由原发证部门暂扣或者吊销其</w:t>
      </w:r>
      <w:r>
        <w:rPr>
          <w:rFonts w:ascii="FangSong" w:hAnsi="FangSong" w:eastAsia="FangSong" w:cs="FangSong"/>
          <w:sz w:val="30"/>
          <w:szCs w:val="30"/>
          <w:spacing w:val="18"/>
        </w:rPr>
        <w:t>执业许可证件。</w:t>
      </w:r>
    </w:p>
    <w:p>
      <w:pPr>
        <w:ind w:left="6529"/>
        <w:spacing w:before="1" w:line="220"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60" w:lineRule="exact"/>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93"/>
        <w:gridCol w:w="5386"/>
        <w:gridCol w:w="5381"/>
      </w:tblGrid>
      <w:tr>
        <w:trPr>
          <w:trHeight w:val="643" w:hRule="atLeast"/>
        </w:trPr>
        <w:tc>
          <w:tcPr>
            <w:tcW w:w="3393" w:type="dxa"/>
            <w:vAlign w:val="top"/>
          </w:tcPr>
          <w:p>
            <w:pPr>
              <w:pStyle w:val="TableText"/>
              <w:ind w:left="1108"/>
              <w:spacing w:before="20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5386" w:type="dxa"/>
            <w:vAlign w:val="top"/>
          </w:tcPr>
          <w:p>
            <w:pPr>
              <w:pStyle w:val="TableText"/>
              <w:ind w:left="2205"/>
              <w:spacing w:before="202" w:line="220" w:lineRule="auto"/>
              <w:rPr/>
            </w:pPr>
            <w:r>
              <w:rPr>
                <w:b/>
                <w:bCs/>
                <w:spacing w:val="-5"/>
              </w:rPr>
              <w:t>情节后果</w:t>
            </w:r>
          </w:p>
        </w:tc>
        <w:tc>
          <w:tcPr>
            <w:tcW w:w="5381" w:type="dxa"/>
            <w:vAlign w:val="top"/>
          </w:tcPr>
          <w:p>
            <w:pPr>
              <w:pStyle w:val="TableText"/>
              <w:ind w:left="2119"/>
              <w:spacing w:before="199" w:line="218" w:lineRule="auto"/>
              <w:rPr/>
            </w:pPr>
            <w:r>
              <w:rPr>
                <w:b/>
                <w:bCs/>
                <w:spacing w:val="-5"/>
              </w:rPr>
              <w:t>裁量幅度</w:t>
            </w:r>
          </w:p>
        </w:tc>
      </w:tr>
      <w:tr>
        <w:trPr>
          <w:trHeight w:val="1526" w:hRule="atLeast"/>
        </w:trPr>
        <w:tc>
          <w:tcPr>
            <w:tcW w:w="3393" w:type="dxa"/>
            <w:vAlign w:val="top"/>
          </w:tcPr>
          <w:p>
            <w:pPr>
              <w:spacing w:line="285" w:lineRule="auto"/>
              <w:rPr>
                <w:rFonts w:ascii="Arial"/>
                <w:sz w:val="21"/>
              </w:rPr>
            </w:pPr>
            <w:r/>
          </w:p>
          <w:p>
            <w:pPr>
              <w:spacing w:line="286" w:lineRule="auto"/>
              <w:rPr>
                <w:rFonts w:ascii="Arial"/>
                <w:sz w:val="21"/>
              </w:rPr>
            </w:pPr>
            <w:r/>
          </w:p>
          <w:p>
            <w:pPr>
              <w:pStyle w:val="TableText"/>
              <w:ind w:left="1445"/>
              <w:spacing w:before="78" w:line="221" w:lineRule="auto"/>
              <w:rPr/>
            </w:pPr>
            <w:r>
              <w:rPr>
                <w:spacing w:val="5"/>
              </w:rPr>
              <w:t>一般</w:t>
            </w:r>
          </w:p>
        </w:tc>
        <w:tc>
          <w:tcPr>
            <w:tcW w:w="5386" w:type="dxa"/>
            <w:vAlign w:val="top"/>
          </w:tcPr>
          <w:p>
            <w:pPr>
              <w:pStyle w:val="TableText"/>
              <w:ind w:left="42" w:right="41"/>
              <w:spacing w:before="109" w:line="341" w:lineRule="auto"/>
              <w:jc w:val="both"/>
              <w:rPr/>
            </w:pPr>
            <w:r>
              <w:rPr/>
              <w:t>采集或者使用人体组织、器官、细胞、骨髓等，未</w:t>
            </w:r>
            <w:r>
              <w:rPr>
                <w:spacing w:val="11"/>
              </w:rPr>
              <w:t xml:space="preserve"> </w:t>
            </w:r>
            <w:r>
              <w:rPr>
                <w:spacing w:val="-1"/>
              </w:rPr>
              <w:t>进行艾滋病检测，没有造成艾滋病传播、流行或者</w:t>
            </w:r>
            <w:r>
              <w:rPr>
                <w:spacing w:val="13"/>
              </w:rPr>
              <w:t xml:space="preserve"> </w:t>
            </w:r>
            <w:r>
              <w:rPr>
                <w:spacing w:val="8"/>
              </w:rPr>
              <w:t>其他严重后果。</w:t>
            </w:r>
          </w:p>
        </w:tc>
        <w:tc>
          <w:tcPr>
            <w:tcW w:w="5381" w:type="dxa"/>
            <w:vAlign w:val="top"/>
          </w:tcPr>
          <w:p>
            <w:pPr>
              <w:spacing w:line="284" w:lineRule="auto"/>
              <w:rPr>
                <w:rFonts w:ascii="Arial"/>
                <w:sz w:val="21"/>
              </w:rPr>
            </w:pPr>
            <w:r/>
          </w:p>
          <w:p>
            <w:pPr>
              <w:spacing w:line="284" w:lineRule="auto"/>
              <w:rPr>
                <w:rFonts w:ascii="Arial"/>
                <w:sz w:val="21"/>
              </w:rPr>
            </w:pPr>
            <w:r/>
          </w:p>
          <w:p>
            <w:pPr>
              <w:pStyle w:val="TableText"/>
              <w:ind w:left="116"/>
              <w:spacing w:before="78" w:line="218" w:lineRule="auto"/>
              <w:rPr/>
            </w:pPr>
            <w:r>
              <w:rPr>
                <w:spacing w:val="-1"/>
              </w:rPr>
              <w:t>通报批评，给予警告。</w:t>
            </w:r>
          </w:p>
        </w:tc>
      </w:tr>
      <w:tr>
        <w:trPr>
          <w:trHeight w:val="1531" w:hRule="atLeast"/>
        </w:trPr>
        <w:tc>
          <w:tcPr>
            <w:tcW w:w="3393" w:type="dxa"/>
            <w:vAlign w:val="top"/>
          </w:tcPr>
          <w:p>
            <w:pPr>
              <w:spacing w:line="287" w:lineRule="auto"/>
              <w:rPr>
                <w:rFonts w:ascii="Arial"/>
                <w:sz w:val="21"/>
              </w:rPr>
            </w:pPr>
            <w:r/>
          </w:p>
          <w:p>
            <w:pPr>
              <w:spacing w:line="288" w:lineRule="auto"/>
              <w:rPr>
                <w:rFonts w:ascii="Arial"/>
                <w:sz w:val="21"/>
              </w:rPr>
            </w:pPr>
            <w:r/>
          </w:p>
          <w:p>
            <w:pPr>
              <w:pStyle w:val="TableText"/>
              <w:ind w:left="1445"/>
              <w:spacing w:before="78" w:line="220" w:lineRule="auto"/>
              <w:rPr/>
            </w:pPr>
            <w:r>
              <w:rPr>
                <w:spacing w:val="5"/>
              </w:rPr>
              <w:t>严重</w:t>
            </w:r>
          </w:p>
        </w:tc>
        <w:tc>
          <w:tcPr>
            <w:tcW w:w="5386" w:type="dxa"/>
            <w:vAlign w:val="top"/>
          </w:tcPr>
          <w:p>
            <w:pPr>
              <w:pStyle w:val="TableText"/>
              <w:ind w:left="42" w:right="41"/>
              <w:spacing w:before="125" w:line="333" w:lineRule="auto"/>
              <w:jc w:val="both"/>
              <w:rPr/>
            </w:pPr>
            <w:r>
              <w:rPr/>
              <w:t>采集或者使用人体组织、器官、细胞、骨髓等，未</w:t>
            </w:r>
            <w:r>
              <w:rPr>
                <w:spacing w:val="11"/>
              </w:rPr>
              <w:t xml:space="preserve"> </w:t>
            </w:r>
            <w:r>
              <w:rPr>
                <w:spacing w:val="-1"/>
              </w:rPr>
              <w:t>进行艾滋病检测，造成艾滋病传播、流行或者其他</w:t>
            </w:r>
            <w:r>
              <w:rPr>
                <w:spacing w:val="13"/>
              </w:rPr>
              <w:t xml:space="preserve"> </w:t>
            </w:r>
            <w:r>
              <w:rPr>
                <w:spacing w:val="9"/>
              </w:rPr>
              <w:t>严重后果。</w:t>
            </w:r>
          </w:p>
        </w:tc>
        <w:tc>
          <w:tcPr>
            <w:tcW w:w="5381" w:type="dxa"/>
            <w:vAlign w:val="top"/>
          </w:tcPr>
          <w:p>
            <w:pPr>
              <w:spacing w:line="244" w:lineRule="auto"/>
              <w:rPr>
                <w:rFonts w:ascii="Arial"/>
                <w:sz w:val="21"/>
              </w:rPr>
            </w:pPr>
            <w:r/>
          </w:p>
          <w:p>
            <w:pPr>
              <w:pStyle w:val="TableText"/>
              <w:ind w:left="116"/>
              <w:spacing w:before="78" w:line="357" w:lineRule="auto"/>
              <w:rPr/>
            </w:pPr>
            <w:r>
              <w:rPr>
                <w:spacing w:val="-2"/>
              </w:rPr>
              <w:t>责令停业整顿，有执业许可证件的，由原发证部门</w:t>
            </w:r>
            <w:r>
              <w:rPr>
                <w:spacing w:val="17"/>
              </w:rPr>
              <w:t xml:space="preserve"> </w:t>
            </w:r>
            <w:r>
              <w:rPr>
                <w:spacing w:val="-1"/>
              </w:rPr>
              <w:t>暂扣或者吊销其执业许可证件。</w:t>
            </w:r>
          </w:p>
        </w:tc>
      </w:tr>
    </w:tbl>
    <w:p>
      <w:pPr>
        <w:pStyle w:val="BodyText"/>
        <w:rPr/>
      </w:pPr>
      <w:r/>
    </w:p>
    <w:p>
      <w:pPr>
        <w:sectPr>
          <w:footerReference w:type="default" r:id="rId132"/>
          <w:pgSz w:w="16830" w:h="11900"/>
          <w:pgMar w:top="1011" w:right="1335" w:bottom="1103" w:left="1314" w:header="0" w:footer="769" w:gutter="0"/>
        </w:sectPr>
        <w:rPr/>
      </w:pPr>
    </w:p>
    <w:p>
      <w:pPr>
        <w:pStyle w:val="BodyText"/>
        <w:spacing w:line="265" w:lineRule="auto"/>
        <w:rPr/>
      </w:pPr>
      <w:r/>
    </w:p>
    <w:p>
      <w:pPr>
        <w:pStyle w:val="BodyText"/>
        <w:spacing w:line="265" w:lineRule="auto"/>
        <w:rPr/>
      </w:pPr>
      <w:r/>
    </w:p>
    <w:p>
      <w:pPr>
        <w:pStyle w:val="BodyText"/>
        <w:spacing w:line="266" w:lineRule="auto"/>
        <w:rPr/>
      </w:pPr>
      <w:r/>
    </w:p>
    <w:p>
      <w:pPr>
        <w:ind w:left="679"/>
        <w:spacing w:before="98" w:line="223" w:lineRule="auto"/>
        <w:outlineLvl w:val="1"/>
        <w:rPr>
          <w:rFonts w:ascii="KaiTi" w:hAnsi="KaiTi" w:eastAsia="KaiTi" w:cs="KaiTi"/>
          <w:sz w:val="30"/>
          <w:szCs w:val="30"/>
        </w:rPr>
      </w:pPr>
      <w:bookmarkStart w:name="bookmark796" w:id="98"/>
      <w:bookmarkEnd w:id="98"/>
      <w:bookmarkStart w:name="bookmark186" w:id="99"/>
      <w:bookmarkEnd w:id="99"/>
      <w:r>
        <w:rPr>
          <w:rFonts w:ascii="KaiTi" w:hAnsi="KaiTi" w:eastAsia="KaiTi" w:cs="KaiTi"/>
          <w:sz w:val="30"/>
          <w:szCs w:val="30"/>
          <w:b/>
          <w:bCs/>
          <w:spacing w:val="20"/>
        </w:rPr>
        <w:t>第五十七条医疗卫生机构、计划生育技术服务机构或者其他单位、个人违反本条例第三十九条</w:t>
      </w:r>
    </w:p>
    <w:p>
      <w:pPr>
        <w:ind w:left="29"/>
        <w:spacing w:before="73" w:line="220" w:lineRule="auto"/>
        <w:rPr>
          <w:rFonts w:ascii="KaiTi" w:hAnsi="KaiTi" w:eastAsia="KaiTi" w:cs="KaiTi"/>
          <w:sz w:val="30"/>
          <w:szCs w:val="30"/>
        </w:rPr>
      </w:pPr>
      <w:r>
        <w:rPr>
          <w:rFonts w:ascii="KaiTi" w:hAnsi="KaiTi" w:eastAsia="KaiTi" w:cs="KaiTi"/>
          <w:sz w:val="30"/>
          <w:szCs w:val="30"/>
          <w:b/>
          <w:bCs/>
          <w:spacing w:val="17"/>
        </w:rPr>
        <w:t>第二款规定，公开艾滋病病毒感染者、艾滋病病人或者其家属的信息的</w:t>
      </w:r>
    </w:p>
    <w:p>
      <w:pPr>
        <w:ind w:left="25" w:firstLine="649"/>
        <w:spacing w:before="60" w:line="271" w:lineRule="auto"/>
        <w:jc w:val="both"/>
        <w:rPr>
          <w:rFonts w:ascii="FangSong" w:hAnsi="FangSong" w:eastAsia="FangSong" w:cs="FangSong"/>
          <w:sz w:val="30"/>
          <w:szCs w:val="30"/>
        </w:rPr>
      </w:pPr>
      <w:r>
        <w:rPr>
          <w:rFonts w:ascii="FangSong" w:hAnsi="FangSong" w:eastAsia="FangSong" w:cs="FangSong"/>
          <w:sz w:val="30"/>
          <w:szCs w:val="30"/>
          <w:spacing w:val="16"/>
        </w:rPr>
        <w:t>法律依据：《艾滋病防治条例》第五十六条第二款</w:t>
      </w:r>
      <w:r>
        <w:rPr>
          <w:rFonts w:ascii="FangSong" w:hAnsi="FangSong" w:eastAsia="FangSong" w:cs="FangSong"/>
          <w:sz w:val="30"/>
          <w:szCs w:val="30"/>
          <w:spacing w:val="16"/>
        </w:rPr>
        <w:t xml:space="preserve">  </w:t>
      </w:r>
      <w:r>
        <w:rPr>
          <w:rFonts w:ascii="FangSong" w:hAnsi="FangSong" w:eastAsia="FangSong" w:cs="FangSong"/>
          <w:sz w:val="30"/>
          <w:szCs w:val="30"/>
          <w:spacing w:val="16"/>
        </w:rPr>
        <w:t>出入境检验检疫机</w:t>
      </w:r>
      <w:r>
        <w:rPr>
          <w:rFonts w:ascii="FangSong" w:hAnsi="FangSong" w:eastAsia="FangSong" w:cs="FangSong"/>
          <w:sz w:val="30"/>
          <w:szCs w:val="30"/>
          <w:spacing w:val="15"/>
        </w:rPr>
        <w:t>构、计划生育技术服务机</w:t>
      </w:r>
      <w:r>
        <w:rPr>
          <w:rFonts w:ascii="FangSong" w:hAnsi="FangSong" w:eastAsia="FangSong" w:cs="FangSong"/>
          <w:sz w:val="30"/>
          <w:szCs w:val="30"/>
        </w:rPr>
        <w:t xml:space="preserve">  </w:t>
      </w:r>
      <w:r>
        <w:rPr>
          <w:rFonts w:ascii="FangSong" w:hAnsi="FangSong" w:eastAsia="FangSong" w:cs="FangSong"/>
          <w:sz w:val="30"/>
          <w:szCs w:val="30"/>
          <w:spacing w:val="17"/>
        </w:rPr>
        <w:t>构或者其他单位、个人违反本条例第三十九条第二款规定，公开</w:t>
      </w:r>
      <w:r>
        <w:rPr>
          <w:rFonts w:ascii="FangSong" w:hAnsi="FangSong" w:eastAsia="FangSong" w:cs="FangSong"/>
          <w:sz w:val="30"/>
          <w:szCs w:val="30"/>
          <w:spacing w:val="16"/>
        </w:rPr>
        <w:t>艾滋病病毒感染者、艾滋病病人或者</w:t>
      </w:r>
      <w:r>
        <w:rPr>
          <w:rFonts w:ascii="FangSong" w:hAnsi="FangSong" w:eastAsia="FangSong" w:cs="FangSong"/>
          <w:sz w:val="30"/>
          <w:szCs w:val="30"/>
        </w:rPr>
        <w:t xml:space="preserve">  </w:t>
      </w:r>
      <w:r>
        <w:rPr>
          <w:rFonts w:ascii="FangSong" w:hAnsi="FangSong" w:eastAsia="FangSong" w:cs="FangSong"/>
          <w:sz w:val="30"/>
          <w:szCs w:val="30"/>
          <w:spacing w:val="16"/>
        </w:rPr>
        <w:t>其家属的信息的，由其上级主管部门责令改正，通报批评，给予警告，对负有责任的主管人员和其他</w:t>
      </w:r>
      <w:r>
        <w:rPr>
          <w:rFonts w:ascii="FangSong" w:hAnsi="FangSong" w:eastAsia="FangSong" w:cs="FangSong"/>
          <w:sz w:val="30"/>
          <w:szCs w:val="30"/>
          <w:spacing w:val="3"/>
        </w:rPr>
        <w:t xml:space="preserve">  </w:t>
      </w:r>
      <w:r>
        <w:rPr>
          <w:rFonts w:ascii="FangSong" w:hAnsi="FangSong" w:eastAsia="FangSong" w:cs="FangSong"/>
          <w:sz w:val="30"/>
          <w:szCs w:val="30"/>
          <w:spacing w:val="13"/>
        </w:rPr>
        <w:t>直接责任人员依法给予处分；情节严重的，由原发证部门吊销有关机构或者责任人员的执</w:t>
      </w:r>
      <w:r>
        <w:rPr>
          <w:rFonts w:ascii="FangSong" w:hAnsi="FangSong" w:eastAsia="FangSong" w:cs="FangSong"/>
          <w:sz w:val="30"/>
          <w:szCs w:val="30"/>
          <w:spacing w:val="12"/>
        </w:rPr>
        <w:t>业许可证件。</w:t>
      </w:r>
    </w:p>
    <w:p>
      <w:pPr>
        <w:ind w:left="6299"/>
        <w:spacing w:before="1" w:line="220"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80" w:lineRule="exact"/>
        <w:rPr/>
      </w:pPr>
      <w:r/>
    </w:p>
    <w:tbl>
      <w:tblPr>
        <w:tblStyle w:val="TableNormal"/>
        <w:tblW w:w="136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44"/>
        <w:gridCol w:w="7454"/>
        <w:gridCol w:w="4092"/>
      </w:tblGrid>
      <w:tr>
        <w:trPr>
          <w:trHeight w:val="652" w:hRule="atLeast"/>
        </w:trPr>
        <w:tc>
          <w:tcPr>
            <w:tcW w:w="2144" w:type="dxa"/>
            <w:vAlign w:val="top"/>
          </w:tcPr>
          <w:p>
            <w:pPr>
              <w:pStyle w:val="TableText"/>
              <w:ind w:left="488"/>
              <w:spacing w:before="9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454" w:type="dxa"/>
            <w:vAlign w:val="top"/>
          </w:tcPr>
          <w:p>
            <w:pPr>
              <w:pStyle w:val="TableText"/>
              <w:ind w:left="3244"/>
              <w:spacing w:before="92" w:line="220" w:lineRule="auto"/>
              <w:rPr/>
            </w:pPr>
            <w:r>
              <w:rPr>
                <w:b/>
                <w:bCs/>
                <w:spacing w:val="-5"/>
              </w:rPr>
              <w:t>情节后果</w:t>
            </w:r>
          </w:p>
        </w:tc>
        <w:tc>
          <w:tcPr>
            <w:tcW w:w="4092" w:type="dxa"/>
            <w:vAlign w:val="top"/>
          </w:tcPr>
          <w:p>
            <w:pPr>
              <w:pStyle w:val="TableText"/>
              <w:ind w:left="1480"/>
              <w:spacing w:before="9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136" w:hRule="atLeast"/>
        </w:trPr>
        <w:tc>
          <w:tcPr>
            <w:tcW w:w="2144" w:type="dxa"/>
            <w:vAlign w:val="top"/>
          </w:tcPr>
          <w:p>
            <w:pPr>
              <w:spacing w:line="370" w:lineRule="auto"/>
              <w:rPr>
                <w:rFonts w:ascii="Arial"/>
                <w:sz w:val="21"/>
              </w:rPr>
            </w:pPr>
            <w:r/>
          </w:p>
          <w:p>
            <w:pPr>
              <w:pStyle w:val="TableText"/>
              <w:ind w:left="828"/>
              <w:spacing w:before="78" w:line="221" w:lineRule="auto"/>
              <w:rPr/>
            </w:pPr>
            <w:r>
              <w:rPr>
                <w:b/>
                <w:bCs/>
                <w:spacing w:val="-10"/>
              </w:rPr>
              <w:t>一般</w:t>
            </w:r>
          </w:p>
        </w:tc>
        <w:tc>
          <w:tcPr>
            <w:tcW w:w="7454" w:type="dxa"/>
            <w:vAlign w:val="top"/>
          </w:tcPr>
          <w:p>
            <w:pPr>
              <w:pStyle w:val="TableText"/>
              <w:ind w:left="121" w:right="103"/>
              <w:spacing w:before="133" w:line="348" w:lineRule="auto"/>
              <w:rPr/>
            </w:pPr>
            <w:r>
              <w:rPr/>
              <w:t>公开艾滋病病毒感染者、艾滋病病人或者其家属的信息，未严重影响</w:t>
            </w:r>
            <w:r>
              <w:rPr>
                <w:spacing w:val="18"/>
              </w:rPr>
              <w:t xml:space="preserve"> </w:t>
            </w:r>
            <w:r>
              <w:rPr>
                <w:spacing w:val="-1"/>
              </w:rPr>
              <w:t>其生活、工作、就医等。</w:t>
            </w:r>
          </w:p>
        </w:tc>
        <w:tc>
          <w:tcPr>
            <w:tcW w:w="4092" w:type="dxa"/>
            <w:vAlign w:val="top"/>
          </w:tcPr>
          <w:p>
            <w:pPr>
              <w:spacing w:line="370" w:lineRule="auto"/>
              <w:rPr>
                <w:rFonts w:ascii="Arial"/>
                <w:sz w:val="21"/>
              </w:rPr>
            </w:pPr>
            <w:r/>
          </w:p>
          <w:p>
            <w:pPr>
              <w:pStyle w:val="TableText"/>
              <w:ind w:left="116"/>
              <w:spacing w:before="78" w:line="218" w:lineRule="auto"/>
              <w:rPr/>
            </w:pPr>
            <w:r>
              <w:rPr/>
              <w:t>通报批评，给予警告。</w:t>
            </w:r>
          </w:p>
        </w:tc>
      </w:tr>
      <w:tr>
        <w:trPr>
          <w:trHeight w:val="1171" w:hRule="atLeast"/>
        </w:trPr>
        <w:tc>
          <w:tcPr>
            <w:tcW w:w="2144" w:type="dxa"/>
            <w:vAlign w:val="top"/>
          </w:tcPr>
          <w:p>
            <w:pPr>
              <w:spacing w:line="274" w:lineRule="auto"/>
              <w:rPr>
                <w:rFonts w:ascii="Arial"/>
                <w:sz w:val="21"/>
              </w:rPr>
            </w:pPr>
            <w:r/>
          </w:p>
          <w:p>
            <w:pPr>
              <w:pStyle w:val="TableText"/>
              <w:ind w:left="828"/>
              <w:spacing w:before="78" w:line="220" w:lineRule="auto"/>
              <w:rPr/>
            </w:pPr>
            <w:r>
              <w:rPr>
                <w:b/>
                <w:bCs/>
                <w:spacing w:val="-6"/>
              </w:rPr>
              <w:t>严重</w:t>
            </w:r>
          </w:p>
        </w:tc>
        <w:tc>
          <w:tcPr>
            <w:tcW w:w="7454" w:type="dxa"/>
            <w:vAlign w:val="top"/>
          </w:tcPr>
          <w:p>
            <w:pPr>
              <w:pStyle w:val="TableText"/>
              <w:ind w:left="111" w:right="112" w:firstLine="9"/>
              <w:spacing w:before="137" w:line="347" w:lineRule="auto"/>
              <w:rPr/>
            </w:pPr>
            <w:r>
              <w:rPr/>
              <w:t>公开艾滋病病毒感染者、艾滋病病人或者其家属的信息，严重影响个</w:t>
            </w:r>
            <w:r>
              <w:rPr>
                <w:spacing w:val="9"/>
              </w:rPr>
              <w:t xml:space="preserve"> </w:t>
            </w:r>
            <w:r>
              <w:rPr>
                <w:spacing w:val="-1"/>
              </w:rPr>
              <w:t>人声誉、生活、工作、就医等。</w:t>
            </w:r>
          </w:p>
        </w:tc>
        <w:tc>
          <w:tcPr>
            <w:tcW w:w="4092" w:type="dxa"/>
            <w:vAlign w:val="top"/>
          </w:tcPr>
          <w:p>
            <w:pPr>
              <w:pStyle w:val="TableText"/>
              <w:ind w:left="116" w:right="114"/>
              <w:spacing w:before="136" w:line="341" w:lineRule="auto"/>
              <w:rPr/>
            </w:pPr>
            <w:r>
              <w:rPr/>
              <w:t>由原发证部门吊销有关机构或者责任</w:t>
            </w:r>
            <w:r>
              <w:rPr>
                <w:spacing w:val="9"/>
              </w:rPr>
              <w:t xml:space="preserve"> </w:t>
            </w:r>
            <w:r>
              <w:rPr/>
              <w:t>人员的执业许可证件。</w:t>
            </w:r>
          </w:p>
        </w:tc>
      </w:tr>
    </w:tbl>
    <w:p>
      <w:pPr>
        <w:ind w:left="29" w:right="142" w:firstLine="649"/>
        <w:spacing w:before="97" w:line="267" w:lineRule="auto"/>
        <w:rPr>
          <w:rFonts w:ascii="FangSong" w:hAnsi="FangSong" w:eastAsia="FangSong" w:cs="FangSong"/>
          <w:sz w:val="30"/>
          <w:szCs w:val="30"/>
        </w:rPr>
      </w:pPr>
      <w:r>
        <w:rPr>
          <w:rFonts w:ascii="FangSong" w:hAnsi="FangSong" w:eastAsia="FangSong" w:cs="FangSong"/>
          <w:sz w:val="30"/>
          <w:szCs w:val="30"/>
          <w:b/>
          <w:bCs/>
          <w:spacing w:val="21"/>
        </w:rPr>
        <w:t>第五十八条提供、使用未经出入境检验检疫机构检疫的进口人体血液、血浆</w:t>
      </w:r>
      <w:r>
        <w:rPr>
          <w:rFonts w:ascii="FangSong" w:hAnsi="FangSong" w:eastAsia="FangSong" w:cs="FangSong"/>
          <w:sz w:val="30"/>
          <w:szCs w:val="30"/>
          <w:b/>
          <w:bCs/>
          <w:spacing w:val="20"/>
        </w:rPr>
        <w:t>、组织、器官、细</w:t>
      </w:r>
      <w:r>
        <w:rPr>
          <w:rFonts w:ascii="FangSong" w:hAnsi="FangSong" w:eastAsia="FangSong" w:cs="FangSong"/>
          <w:sz w:val="30"/>
          <w:szCs w:val="30"/>
        </w:rPr>
        <w:t xml:space="preserve"> </w:t>
      </w:r>
      <w:r>
        <w:rPr>
          <w:rFonts w:ascii="FangSong" w:hAnsi="FangSong" w:eastAsia="FangSong" w:cs="FangSong"/>
          <w:sz w:val="30"/>
          <w:szCs w:val="30"/>
          <w:b/>
          <w:bCs/>
          <w:spacing w:val="16"/>
        </w:rPr>
        <w:t>胞、骨髓等</w:t>
      </w:r>
    </w:p>
    <w:p>
      <w:pPr>
        <w:ind w:left="675"/>
        <w:spacing w:line="222" w:lineRule="auto"/>
        <w:rPr>
          <w:rFonts w:ascii="FangSong" w:hAnsi="FangSong" w:eastAsia="FangSong" w:cs="FangSong"/>
          <w:sz w:val="30"/>
          <w:szCs w:val="30"/>
        </w:rPr>
      </w:pPr>
      <w:r>
        <w:rPr>
          <w:rFonts w:ascii="FangSong" w:hAnsi="FangSong" w:eastAsia="FangSong" w:cs="FangSong"/>
          <w:sz w:val="30"/>
          <w:szCs w:val="30"/>
        </w:rPr>
        <w:t>法律依据：</w:t>
      </w:r>
    </w:p>
    <w:p>
      <w:pPr>
        <w:spacing w:line="222" w:lineRule="auto"/>
        <w:sectPr>
          <w:footerReference w:type="default" r:id="rId133"/>
          <w:pgSz w:w="16830" w:h="11900"/>
          <w:pgMar w:top="1011" w:right="1309" w:bottom="1124" w:left="1414" w:header="0" w:footer="754" w:gutter="0"/>
        </w:sectPr>
        <w:rPr>
          <w:rFonts w:ascii="FangSong" w:hAnsi="FangSong" w:eastAsia="FangSong" w:cs="FangSong"/>
          <w:sz w:val="30"/>
          <w:szCs w:val="30"/>
        </w:rPr>
      </w:pPr>
    </w:p>
    <w:p>
      <w:pPr>
        <w:pStyle w:val="BodyText"/>
        <w:spacing w:line="272" w:lineRule="auto"/>
        <w:rPr/>
      </w:pPr>
      <w:r/>
    </w:p>
    <w:p>
      <w:pPr>
        <w:pStyle w:val="BodyText"/>
        <w:spacing w:line="272" w:lineRule="auto"/>
        <w:rPr/>
      </w:pPr>
      <w:r/>
    </w:p>
    <w:p>
      <w:pPr>
        <w:pStyle w:val="BodyText"/>
        <w:spacing w:line="273" w:lineRule="auto"/>
        <w:rPr/>
      </w:pPr>
      <w:r/>
    </w:p>
    <w:p>
      <w:pPr>
        <w:ind w:left="25" w:firstLine="639"/>
        <w:spacing w:before="91" w:line="289" w:lineRule="auto"/>
        <w:jc w:val="both"/>
        <w:rPr>
          <w:rFonts w:ascii="FangSong" w:hAnsi="FangSong" w:eastAsia="FangSong" w:cs="FangSong"/>
          <w:sz w:val="28"/>
          <w:szCs w:val="28"/>
        </w:rPr>
      </w:pPr>
      <w:r>
        <w:rPr>
          <w:rFonts w:ascii="FangSong" w:hAnsi="FangSong" w:eastAsia="FangSong" w:cs="FangSong"/>
          <w:sz w:val="28"/>
          <w:szCs w:val="28"/>
          <w:spacing w:val="35"/>
        </w:rPr>
        <w:t>《艾滋病防治条例》第五十九条第一款</w:t>
      </w:r>
      <w:r>
        <w:rPr>
          <w:rFonts w:ascii="FangSong" w:hAnsi="FangSong" w:eastAsia="FangSong" w:cs="FangSong"/>
          <w:sz w:val="28"/>
          <w:szCs w:val="28"/>
          <w:spacing w:val="35"/>
        </w:rPr>
        <w:t xml:space="preserve">  </w:t>
      </w:r>
      <w:r>
        <w:rPr>
          <w:rFonts w:ascii="FangSong" w:hAnsi="FangSong" w:eastAsia="FangSong" w:cs="FangSong"/>
          <w:sz w:val="28"/>
          <w:szCs w:val="28"/>
          <w:spacing w:val="35"/>
        </w:rPr>
        <w:t>对不符合本条例第三十七条第二款规定进出口的人体血</w:t>
      </w:r>
      <w:r>
        <w:rPr>
          <w:rFonts w:ascii="FangSong" w:hAnsi="FangSong" w:eastAsia="FangSong" w:cs="FangSong"/>
          <w:sz w:val="28"/>
          <w:szCs w:val="28"/>
        </w:rPr>
        <w:t xml:space="preserve">  </w:t>
      </w:r>
      <w:r>
        <w:rPr>
          <w:rFonts w:ascii="FangSong" w:hAnsi="FangSong" w:eastAsia="FangSong" w:cs="FangSong"/>
          <w:sz w:val="28"/>
          <w:szCs w:val="28"/>
          <w:spacing w:val="37"/>
        </w:rPr>
        <w:t>液、血浆、组织、器官、细胞、骨髓等，进出口口岸出入境检验检疫机构应当禁止出入境或者监督销</w:t>
      </w:r>
      <w:r>
        <w:rPr>
          <w:rFonts w:ascii="FangSong" w:hAnsi="FangSong" w:eastAsia="FangSong" w:cs="FangSong"/>
          <w:sz w:val="28"/>
          <w:szCs w:val="28"/>
          <w:spacing w:val="1"/>
        </w:rPr>
        <w:t xml:space="preserve"> </w:t>
      </w:r>
      <w:r>
        <w:rPr>
          <w:rFonts w:ascii="FangSong" w:hAnsi="FangSong" w:eastAsia="FangSong" w:cs="FangSong"/>
          <w:sz w:val="28"/>
          <w:szCs w:val="28"/>
          <w:spacing w:val="32"/>
        </w:rPr>
        <w:t>毁。提供、使用未经出入境检验检疫机构检疫的进口人体血液、血浆、组织、器官、细胞、骨髓等的，</w:t>
      </w:r>
      <w:r>
        <w:rPr>
          <w:rFonts w:ascii="FangSong" w:hAnsi="FangSong" w:eastAsia="FangSong" w:cs="FangSong"/>
          <w:sz w:val="28"/>
          <w:szCs w:val="28"/>
          <w:spacing w:val="18"/>
        </w:rPr>
        <w:t xml:space="preserve"> </w:t>
      </w:r>
      <w:r>
        <w:rPr>
          <w:rFonts w:ascii="FangSong" w:hAnsi="FangSong" w:eastAsia="FangSong" w:cs="FangSong"/>
          <w:sz w:val="28"/>
          <w:szCs w:val="28"/>
          <w:spacing w:val="51"/>
        </w:rPr>
        <w:t>由县级以上人民政府卫生主管部门没收违法物品以及违法所得</w:t>
      </w:r>
      <w:r>
        <w:rPr>
          <w:rFonts w:ascii="FangSong" w:hAnsi="FangSong" w:eastAsia="FangSong" w:cs="FangSong"/>
          <w:sz w:val="28"/>
          <w:szCs w:val="28"/>
          <w:spacing w:val="50"/>
        </w:rPr>
        <w:t>，并处违法物品货值金额3倍以上5</w:t>
      </w:r>
      <w:r>
        <w:rPr>
          <w:rFonts w:ascii="FangSong" w:hAnsi="FangSong" w:eastAsia="FangSong" w:cs="FangSong"/>
          <w:sz w:val="28"/>
          <w:szCs w:val="28"/>
        </w:rPr>
        <w:t xml:space="preserve">  </w:t>
      </w:r>
      <w:r>
        <w:rPr>
          <w:rFonts w:ascii="FangSong" w:hAnsi="FangSong" w:eastAsia="FangSong" w:cs="FangSong"/>
          <w:sz w:val="28"/>
          <w:szCs w:val="28"/>
          <w:spacing w:val="36"/>
        </w:rPr>
        <w:t>倍以下的罚款；对负有责任的主管人员和其他直接责任人员由其所在单位或者上级主管部门依法给予</w:t>
      </w:r>
      <w:r>
        <w:rPr>
          <w:rFonts w:ascii="FangSong" w:hAnsi="FangSong" w:eastAsia="FangSong" w:cs="FangSong"/>
          <w:sz w:val="28"/>
          <w:szCs w:val="28"/>
          <w:spacing w:val="8"/>
        </w:rPr>
        <w:t xml:space="preserve">  </w:t>
      </w:r>
      <w:r>
        <w:rPr>
          <w:rFonts w:ascii="FangSong" w:hAnsi="FangSong" w:eastAsia="FangSong" w:cs="FangSong"/>
          <w:sz w:val="28"/>
          <w:szCs w:val="28"/>
          <w:spacing w:val="23"/>
        </w:rPr>
        <w:t>处分。</w:t>
      </w:r>
    </w:p>
    <w:p>
      <w:pPr>
        <w:ind w:left="6338"/>
        <w:spacing w:before="1" w:line="220" w:lineRule="auto"/>
        <w:rPr>
          <w:rFonts w:ascii="SimHei" w:hAnsi="SimHei" w:eastAsia="SimHei" w:cs="SimHei"/>
          <w:sz w:val="28"/>
          <w:szCs w:val="28"/>
        </w:rPr>
      </w:pPr>
      <w:r>
        <w:rPr>
          <w:rFonts w:ascii="SimHei" w:hAnsi="SimHei" w:eastAsia="SimHei" w:cs="SimHei"/>
          <w:sz w:val="28"/>
          <w:szCs w:val="28"/>
          <w:b/>
          <w:bCs/>
          <w:spacing w:val="-6"/>
        </w:rPr>
        <w:t>裁量标准</w:t>
      </w:r>
    </w:p>
    <w:p>
      <w:pPr>
        <w:pStyle w:val="BodyText"/>
        <w:spacing w:before="184" w:line="3960" w:lineRule="exact"/>
        <w:rPr/>
      </w:pPr>
      <w:r>
        <w:rPr>
          <w:position w:val="-79"/>
        </w:rPr>
        <w:pict>
          <v:group id="_x0000_s6" style="mso-position-vertical-relative:line;mso-position-horizontal-relative:char;width:689.3pt;height:198pt;" filled="false" stroked="false" coordsize="13785,3960" coordorigin="0,0">
            <v:shape id="_x0000_s8" style="position:absolute;left:0;top:0;width:13770;height:3960;" filled="false" strokecolor="#000000" strokeweight="0.50pt" coordsize="13770,3960" coordorigin="0,0" path="m5,5l5,664m5,5l1924,5m1924,5l1924,664m5,664l1924,664m1924,5l1924,664m1924,5l7194,5m7194,5l7194,664m1924,664l7194,664m7194,5l7194,664m7194,5l13764,5m13764,5l13764,664m7194,664l13764,664m5,664l5,1745m5,664l1924,664m1924,664l1924,1745m5,1745l1924,1745m1924,664l1924,1745m1924,664l7194,664m7194,664l7194,1745m1924,1745l7194,1745m7194,664l7194,1745m7194,664l13764,664m13764,664l13764,1745m7194,1745l13764,1745m5,1745l5,2855m5,1745l1924,1745m1924,1745l1924,2855m5,2855l1924,2855m1924,1745l1924,2855m1924,1745l7194,1745m7194,1745l7194,2855m1924,2855l7194,2855m7194,1745l7194,2855m7194,1745l13764,1745m13764,1745l13764,2855m7194,2855l13764,2855m5,2855l5,3954m5,2855l1924,2855m1924,2855l1924,3954m5,3954l1924,3954m1924,2855l1924,3954m1924,2855l7194,2855m7194,2855l7194,3954m1924,3954l7194,3954m7194,2855l7194,3954m7194,2855l13764,2855m13764,2855l13764,3954m7194,3954l13764,3954e">
              <v:stroke joinstyle="miter" miterlimit="10"/>
            </v:shape>
            <v:shape id="_x0000_s10" style="position:absolute;left:2024;top:80;width:11780;height:3617;" filled="false" stroked="false" type="#_x0000_t202">
              <v:fill on="false"/>
              <v:stroke on="false"/>
              <v:path/>
              <v:imagedata o:title=""/>
              <o:lock v:ext="edit" aspectratio="false"/>
              <v:textbox inset="0mm,0mm,0mm,0mm">
                <w:txbxContent>
                  <w:p>
                    <w:pPr>
                      <w:ind w:left="7893"/>
                      <w:spacing w:before="19" w:line="218" w:lineRule="auto"/>
                      <w:rPr>
                        <w:rFonts w:ascii="SimSun" w:hAnsi="SimSun" w:eastAsia="SimSun" w:cs="SimSun"/>
                        <w:sz w:val="27"/>
                        <w:szCs w:val="27"/>
                      </w:rPr>
                    </w:pPr>
                    <w:r>
                      <w:rPr>
                        <w:rFonts w:ascii="SimSun" w:hAnsi="SimSun" w:eastAsia="SimSun" w:cs="SimSun"/>
                        <w:sz w:val="27"/>
                        <w:szCs w:val="27"/>
                        <w:b/>
                        <w:bCs/>
                        <w:spacing w:val="-6"/>
                      </w:rPr>
                      <w:t>裁量幅度</w:t>
                    </w:r>
                  </w:p>
                  <w:p>
                    <w:pPr>
                      <w:spacing w:line="266" w:lineRule="auto"/>
                      <w:rPr>
                        <w:rFonts w:ascii="Arial"/>
                        <w:sz w:val="21"/>
                      </w:rPr>
                    </w:pPr>
                    <w:r/>
                  </w:p>
                  <w:p>
                    <w:pPr>
                      <w:ind w:right="4"/>
                      <w:spacing w:before="88" w:line="164" w:lineRule="auto"/>
                      <w:jc w:val="right"/>
                      <w:rPr>
                        <w:rFonts w:ascii="SimSun" w:hAnsi="SimSun" w:eastAsia="SimSun" w:cs="SimSun"/>
                        <w:sz w:val="27"/>
                        <w:szCs w:val="27"/>
                      </w:rPr>
                    </w:pPr>
                    <w:r>
                      <w:rPr>
                        <w:rFonts w:ascii="SimSun" w:hAnsi="SimSun" w:eastAsia="SimSun" w:cs="SimSun"/>
                        <w:sz w:val="27"/>
                        <w:szCs w:val="27"/>
                        <w:spacing w:val="-15"/>
                      </w:rPr>
                      <w:t>没收违法物品以及违法所得，并处违法物品货值金额3倍罚</w:t>
                    </w:r>
                  </w:p>
                  <w:p>
                    <w:pPr>
                      <w:ind w:left="20"/>
                      <w:spacing w:line="216" w:lineRule="exact"/>
                      <w:rPr>
                        <w:rFonts w:ascii="SimSun" w:hAnsi="SimSun" w:eastAsia="SimSun" w:cs="SimSun"/>
                        <w:sz w:val="27"/>
                        <w:szCs w:val="27"/>
                      </w:rPr>
                    </w:pPr>
                    <w:r>
                      <w:rPr>
                        <w:rFonts w:ascii="SimSun" w:hAnsi="SimSun" w:eastAsia="SimSun" w:cs="SimSun"/>
                        <w:sz w:val="27"/>
                        <w:szCs w:val="27"/>
                        <w:spacing w:val="-1"/>
                        <w:position w:val="-1"/>
                      </w:rPr>
                      <w:t>违法物品货值金额不足1万元。</w:t>
                    </w:r>
                  </w:p>
                  <w:p>
                    <w:pPr>
                      <w:ind w:left="5269"/>
                      <w:spacing w:before="1" w:line="204" w:lineRule="auto"/>
                      <w:rPr>
                        <w:rFonts w:ascii="SimSun" w:hAnsi="SimSun" w:eastAsia="SimSun" w:cs="SimSun"/>
                        <w:sz w:val="27"/>
                        <w:szCs w:val="27"/>
                      </w:rPr>
                    </w:pPr>
                    <w:r>
                      <w:rPr>
                        <w:rFonts w:ascii="SimSun" w:hAnsi="SimSun" w:eastAsia="SimSun" w:cs="SimSun"/>
                        <w:sz w:val="27"/>
                        <w:szCs w:val="27"/>
                        <w:color w:val="405060"/>
                        <w:spacing w:val="-2"/>
                      </w:rPr>
                      <w:t>款。</w:t>
                    </w:r>
                  </w:p>
                  <w:p>
                    <w:pPr>
                      <w:spacing w:line="254" w:lineRule="auto"/>
                      <w:rPr>
                        <w:rFonts w:ascii="Arial"/>
                        <w:sz w:val="21"/>
                      </w:rPr>
                    </w:pPr>
                    <w:r/>
                  </w:p>
                  <w:p>
                    <w:pPr>
                      <w:ind w:right="4"/>
                      <w:spacing w:before="88" w:line="219" w:lineRule="auto"/>
                      <w:jc w:val="right"/>
                      <w:rPr>
                        <w:rFonts w:ascii="SimSun" w:hAnsi="SimSun" w:eastAsia="SimSun" w:cs="SimSun"/>
                        <w:sz w:val="27"/>
                        <w:szCs w:val="27"/>
                      </w:rPr>
                    </w:pPr>
                    <w:r>
                      <w:rPr>
                        <w:rFonts w:ascii="SimSun" w:hAnsi="SimSun" w:eastAsia="SimSun" w:cs="SimSun"/>
                        <w:sz w:val="27"/>
                        <w:szCs w:val="27"/>
                        <w:spacing w:val="-15"/>
                      </w:rPr>
                      <w:t>没收违法物品以及违法所得，并处违法物品货值金额4倍罚</w:t>
                    </w:r>
                  </w:p>
                  <w:p>
                    <w:pPr>
                      <w:ind w:left="5269"/>
                      <w:spacing w:before="113" w:line="221" w:lineRule="auto"/>
                      <w:rPr>
                        <w:rFonts w:ascii="SimSun" w:hAnsi="SimSun" w:eastAsia="SimSun" w:cs="SimSun"/>
                        <w:sz w:val="27"/>
                        <w:szCs w:val="27"/>
                      </w:rPr>
                    </w:pPr>
                    <w:r>
                      <w:rPr>
                        <w:rFonts w:ascii="SimSun" w:hAnsi="SimSun" w:eastAsia="SimSun" w:cs="SimSun"/>
                        <w:sz w:val="27"/>
                        <w:szCs w:val="27"/>
                        <w:color w:val="405060"/>
                        <w:spacing w:val="-2"/>
                      </w:rPr>
                      <w:t>款。</w:t>
                    </w:r>
                  </w:p>
                  <w:p>
                    <w:pPr>
                      <w:spacing w:line="255" w:lineRule="auto"/>
                      <w:rPr>
                        <w:rFonts w:ascii="Arial"/>
                        <w:sz w:val="21"/>
                      </w:rPr>
                    </w:pPr>
                    <w:r/>
                  </w:p>
                  <w:p>
                    <w:pPr>
                      <w:ind w:right="4"/>
                      <w:spacing w:before="88" w:line="167" w:lineRule="auto"/>
                      <w:jc w:val="right"/>
                      <w:rPr>
                        <w:rFonts w:ascii="SimSun" w:hAnsi="SimSun" w:eastAsia="SimSun" w:cs="SimSun"/>
                        <w:sz w:val="27"/>
                        <w:szCs w:val="27"/>
                      </w:rPr>
                    </w:pPr>
                    <w:r>
                      <w:rPr>
                        <w:rFonts w:ascii="SimSun" w:hAnsi="SimSun" w:eastAsia="SimSun" w:cs="SimSun"/>
                        <w:sz w:val="27"/>
                        <w:szCs w:val="27"/>
                        <w:spacing w:val="-15"/>
                      </w:rPr>
                      <w:t>没收违法物品以及违法所得，并处违法物品货值金额5倍罚</w:t>
                    </w:r>
                  </w:p>
                  <w:p>
                    <w:pPr>
                      <w:ind w:left="20"/>
                      <w:spacing w:line="216" w:lineRule="exact"/>
                      <w:rPr>
                        <w:rFonts w:ascii="SimSun" w:hAnsi="SimSun" w:eastAsia="SimSun" w:cs="SimSun"/>
                        <w:sz w:val="27"/>
                        <w:szCs w:val="27"/>
                      </w:rPr>
                    </w:pPr>
                    <w:r>
                      <w:rPr>
                        <w:rFonts w:ascii="SimSun" w:hAnsi="SimSun" w:eastAsia="SimSun" w:cs="SimSun"/>
                        <w:sz w:val="27"/>
                        <w:szCs w:val="27"/>
                        <w:spacing w:val="-1"/>
                        <w:position w:val="-1"/>
                      </w:rPr>
                      <w:t>违法物品货值金额超过2万元。</w:t>
                    </w:r>
                  </w:p>
                  <w:p>
                    <w:pPr>
                      <w:ind w:left="5269"/>
                      <w:spacing w:before="1" w:line="201" w:lineRule="auto"/>
                      <w:rPr>
                        <w:rFonts w:ascii="SimSun" w:hAnsi="SimSun" w:eastAsia="SimSun" w:cs="SimSun"/>
                        <w:sz w:val="27"/>
                        <w:szCs w:val="27"/>
                      </w:rPr>
                    </w:pPr>
                    <w:r>
                      <w:rPr>
                        <w:rFonts w:ascii="SimSun" w:hAnsi="SimSun" w:eastAsia="SimSun" w:cs="SimSun"/>
                        <w:sz w:val="27"/>
                        <w:szCs w:val="27"/>
                        <w:color w:val="404050"/>
                        <w:spacing w:val="-2"/>
                      </w:rPr>
                      <w:t>款。</w:t>
                    </w:r>
                  </w:p>
                </w:txbxContent>
              </v:textbox>
            </v:shape>
            <v:shape id="_x0000_s12" style="position:absolute;left:2024;top:2154;width:4906;height:310;" filled="false" stroked="false" type="#_x0000_t202">
              <v:fill on="false"/>
              <v:stroke on="false"/>
              <v:path/>
              <v:imagedata o:title=""/>
              <o:lock v:ext="edit" aspectratio="false"/>
              <v:textbox inset="0mm,0mm,0mm,0mm">
                <w:txbxContent>
                  <w:p>
                    <w:pPr>
                      <w:ind w:left="20"/>
                      <w:spacing w:before="19" w:line="219" w:lineRule="auto"/>
                      <w:rPr>
                        <w:rFonts w:ascii="SimSun" w:hAnsi="SimSun" w:eastAsia="SimSun" w:cs="SimSun"/>
                        <w:sz w:val="27"/>
                        <w:szCs w:val="27"/>
                      </w:rPr>
                    </w:pPr>
                    <w:r>
                      <w:rPr>
                        <w:rFonts w:ascii="SimSun" w:hAnsi="SimSun" w:eastAsia="SimSun" w:cs="SimSun"/>
                        <w:sz w:val="27"/>
                        <w:szCs w:val="27"/>
                      </w:rPr>
                      <w:t>违法物品货值金额1万元以上2万元以下。</w:t>
                    </w:r>
                  </w:p>
                </w:txbxContent>
              </v:textbox>
            </v:shape>
            <v:shape id="_x0000_s14" style="position:absolute;left:408;top:72;width:1110;height:1199;"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27"/>
                        <w:szCs w:val="27"/>
                      </w:rPr>
                    </w:pPr>
                    <w:r>
                      <w:rPr>
                        <w:rFonts w:ascii="SimSun" w:hAnsi="SimSun" w:eastAsia="SimSun" w:cs="SimSun"/>
                        <w:sz w:val="27"/>
                        <w:szCs w:val="27"/>
                        <w:b/>
                        <w:bCs/>
                        <w:spacing w:val="-5"/>
                      </w:rPr>
                      <w:t>违法程度</w:t>
                    </w:r>
                  </w:p>
                  <w:p>
                    <w:pPr>
                      <w:spacing w:line="476" w:lineRule="auto"/>
                      <w:rPr>
                        <w:rFonts w:ascii="Arial"/>
                        <w:sz w:val="21"/>
                      </w:rPr>
                    </w:pPr>
                    <w:r/>
                  </w:p>
                  <w:p>
                    <w:pPr>
                      <w:ind w:left="290"/>
                      <w:spacing w:before="88" w:line="219" w:lineRule="auto"/>
                      <w:rPr>
                        <w:rFonts w:ascii="SimSun" w:hAnsi="SimSun" w:eastAsia="SimSun" w:cs="SimSun"/>
                        <w:sz w:val="27"/>
                        <w:szCs w:val="27"/>
                      </w:rPr>
                    </w:pPr>
                    <w:r>
                      <w:rPr>
                        <w:rFonts w:ascii="SimSun" w:hAnsi="SimSun" w:eastAsia="SimSun" w:cs="SimSun"/>
                        <w:sz w:val="27"/>
                        <w:szCs w:val="27"/>
                        <w:b/>
                        <w:bCs/>
                        <w:spacing w:val="-6"/>
                      </w:rPr>
                      <w:t>较轻</w:t>
                    </w:r>
                  </w:p>
                </w:txbxContent>
              </v:textbox>
            </v:shape>
            <v:shape id="_x0000_s16" style="position:absolute;left:3978;top:72;width:1109;height:310;"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27"/>
                        <w:szCs w:val="27"/>
                      </w:rPr>
                    </w:pPr>
                    <w:r>
                      <w:rPr>
                        <w:rFonts w:ascii="SimSun" w:hAnsi="SimSun" w:eastAsia="SimSun" w:cs="SimSun"/>
                        <w:sz w:val="27"/>
                        <w:szCs w:val="27"/>
                        <w:b/>
                        <w:bCs/>
                        <w:spacing w:val="-6"/>
                      </w:rPr>
                      <w:t>情节后果</w:t>
                    </w:r>
                  </w:p>
                </w:txbxContent>
              </v:textbox>
            </v:shape>
            <v:shape id="_x0000_s18" style="position:absolute;left:678;top:3153;width:569;height:310;"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27"/>
                        <w:szCs w:val="27"/>
                      </w:rPr>
                    </w:pPr>
                    <w:r>
                      <w:rPr>
                        <w:rFonts w:ascii="SimSun" w:hAnsi="SimSun" w:eastAsia="SimSun" w:cs="SimSun"/>
                        <w:sz w:val="27"/>
                        <w:szCs w:val="27"/>
                        <w:b/>
                        <w:bCs/>
                        <w:spacing w:val="-6"/>
                      </w:rPr>
                      <w:t>严重</w:t>
                    </w:r>
                  </w:p>
                </w:txbxContent>
              </v:textbox>
            </v:shape>
            <v:shape id="_x0000_s20" style="position:absolute;left:678;top:2064;width:565;height:310;" filled="false" stroked="false" type="#_x0000_t202">
              <v:fill on="false"/>
              <v:stroke on="false"/>
              <v:path/>
              <v:imagedata o:title=""/>
              <o:lock v:ext="edit" aspectratio="false"/>
              <v:textbox inset="0mm,0mm,0mm,0mm">
                <w:txbxContent>
                  <w:p>
                    <w:pPr>
                      <w:ind w:left="20"/>
                      <w:spacing w:before="19" w:line="221" w:lineRule="auto"/>
                      <w:rPr>
                        <w:rFonts w:ascii="SimSun" w:hAnsi="SimSun" w:eastAsia="SimSun" w:cs="SimSun"/>
                        <w:sz w:val="27"/>
                        <w:szCs w:val="27"/>
                      </w:rPr>
                    </w:pPr>
                    <w:r>
                      <w:rPr>
                        <w:rFonts w:ascii="SimSun" w:hAnsi="SimSun" w:eastAsia="SimSun" w:cs="SimSun"/>
                        <w:sz w:val="27"/>
                        <w:szCs w:val="27"/>
                        <w:b/>
                        <w:bCs/>
                        <w:spacing w:val="-11"/>
                      </w:rPr>
                      <w:t>一般</w:t>
                    </w:r>
                  </w:p>
                </w:txbxContent>
              </v:textbox>
            </v:shape>
          </v:group>
        </w:pict>
      </w:r>
    </w:p>
    <w:p>
      <w:pPr>
        <w:spacing w:line="3960" w:lineRule="exact"/>
        <w:sectPr>
          <w:footerReference w:type="default" r:id="rId134"/>
          <w:pgSz w:w="16830" w:h="11900"/>
          <w:pgMar w:top="1011" w:right="1319" w:bottom="1109" w:left="1425" w:header="0" w:footer="797" w:gutter="0"/>
        </w:sectPr>
        <w:rPr/>
      </w:pPr>
    </w:p>
    <w:p>
      <w:pPr>
        <w:pStyle w:val="BodyText"/>
        <w:spacing w:line="265" w:lineRule="auto"/>
        <w:rPr/>
      </w:pPr>
      <w:r/>
    </w:p>
    <w:p>
      <w:pPr>
        <w:pStyle w:val="BodyText"/>
        <w:spacing w:line="265" w:lineRule="auto"/>
        <w:rPr/>
      </w:pPr>
      <w:r/>
    </w:p>
    <w:p>
      <w:pPr>
        <w:pStyle w:val="BodyText"/>
        <w:spacing w:line="266" w:lineRule="auto"/>
        <w:rPr/>
      </w:pPr>
      <w:r/>
    </w:p>
    <w:p>
      <w:pPr>
        <w:ind w:left="34" w:right="419" w:firstLine="660"/>
        <w:spacing w:before="98" w:line="270" w:lineRule="auto"/>
        <w:jc w:val="both"/>
        <w:rPr>
          <w:rFonts w:ascii="FangSong" w:hAnsi="FangSong" w:eastAsia="FangSong" w:cs="FangSong"/>
          <w:sz w:val="30"/>
          <w:szCs w:val="30"/>
        </w:rPr>
      </w:pPr>
      <w:bookmarkStart w:name="bookmark797" w:id="100"/>
      <w:bookmarkEnd w:id="100"/>
      <w:r>
        <w:rPr>
          <w:rFonts w:ascii="FangSong" w:hAnsi="FangSong" w:eastAsia="FangSong" w:cs="FangSong"/>
          <w:sz w:val="30"/>
          <w:szCs w:val="30"/>
          <w:spacing w:val="25"/>
        </w:rPr>
        <w:t>第五十九条公共场所的经营者未查验服务人员的健康合格证明或者允许未取得健康合格证明</w:t>
      </w:r>
      <w:r>
        <w:rPr>
          <w:rFonts w:ascii="FangSong" w:hAnsi="FangSong" w:eastAsia="FangSong" w:cs="FangSong"/>
          <w:sz w:val="30"/>
          <w:szCs w:val="30"/>
        </w:rPr>
        <w:t xml:space="preserve">  </w:t>
      </w:r>
      <w:r>
        <w:rPr>
          <w:rFonts w:ascii="FangSong" w:hAnsi="FangSong" w:eastAsia="FangSong" w:cs="FangSong"/>
          <w:sz w:val="30"/>
          <w:szCs w:val="30"/>
          <w:spacing w:val="21"/>
        </w:rPr>
        <w:t>的人员从事服务工作，省、自治区、直辖市人民政府确定的公共场所的经营者未在公共场</w:t>
      </w:r>
      <w:r>
        <w:rPr>
          <w:rFonts w:ascii="FangSong" w:hAnsi="FangSong" w:eastAsia="FangSong" w:cs="FangSong"/>
          <w:sz w:val="30"/>
          <w:szCs w:val="30"/>
          <w:spacing w:val="20"/>
        </w:rPr>
        <w:t>所内放置</w:t>
      </w:r>
      <w:r>
        <w:rPr>
          <w:rFonts w:ascii="FangSong" w:hAnsi="FangSong" w:eastAsia="FangSong" w:cs="FangSong"/>
          <w:sz w:val="30"/>
          <w:szCs w:val="30"/>
        </w:rPr>
        <w:t xml:space="preserve"> </w:t>
      </w:r>
      <w:r>
        <w:rPr>
          <w:rFonts w:ascii="FangSong" w:hAnsi="FangSong" w:eastAsia="FangSong" w:cs="FangSong"/>
          <w:sz w:val="30"/>
          <w:szCs w:val="30"/>
          <w:spacing w:val="19"/>
        </w:rPr>
        <w:t>安全套或者设置安全套发售设施</w:t>
      </w:r>
    </w:p>
    <w:p>
      <w:pPr>
        <w:ind w:left="695"/>
        <w:spacing w:before="3" w:line="222" w:lineRule="auto"/>
        <w:rPr>
          <w:rFonts w:ascii="FangSong" w:hAnsi="FangSong" w:eastAsia="FangSong" w:cs="FangSong"/>
          <w:sz w:val="30"/>
          <w:szCs w:val="30"/>
        </w:rPr>
      </w:pPr>
      <w:r>
        <w:rPr>
          <w:rFonts w:ascii="FangSong" w:hAnsi="FangSong" w:eastAsia="FangSong" w:cs="FangSong"/>
          <w:sz w:val="30"/>
          <w:szCs w:val="30"/>
          <w:spacing w:val="3"/>
        </w:rPr>
        <w:t>法律依据：</w:t>
      </w:r>
    </w:p>
    <w:p>
      <w:pPr>
        <w:ind w:left="34" w:firstLine="660"/>
        <w:spacing w:before="77" w:line="264" w:lineRule="auto"/>
        <w:rPr>
          <w:rFonts w:ascii="FangSong" w:hAnsi="FangSong" w:eastAsia="FangSong" w:cs="FangSong"/>
          <w:sz w:val="30"/>
          <w:szCs w:val="30"/>
        </w:rPr>
      </w:pPr>
      <w:r>
        <w:rPr>
          <w:rFonts w:ascii="FangSong" w:hAnsi="FangSong" w:eastAsia="FangSong" w:cs="FangSong"/>
          <w:sz w:val="30"/>
          <w:szCs w:val="30"/>
          <w:spacing w:val="16"/>
        </w:rPr>
        <w:t>《艾滋病防治条例》第六十一条</w:t>
      </w:r>
      <w:r>
        <w:rPr>
          <w:rFonts w:ascii="FangSong" w:hAnsi="FangSong" w:eastAsia="FangSong" w:cs="FangSong"/>
          <w:sz w:val="30"/>
          <w:szCs w:val="30"/>
          <w:spacing w:val="16"/>
        </w:rPr>
        <w:t xml:space="preserve">  </w:t>
      </w:r>
      <w:r>
        <w:rPr>
          <w:rFonts w:ascii="FangSong" w:hAnsi="FangSong" w:eastAsia="FangSong" w:cs="FangSong"/>
          <w:sz w:val="30"/>
          <w:szCs w:val="30"/>
          <w:spacing w:val="16"/>
        </w:rPr>
        <w:t>公共场所的经营者未查验服务人员的健康合格证明或者允许未</w:t>
      </w:r>
      <w:r>
        <w:rPr>
          <w:rFonts w:ascii="FangSong" w:hAnsi="FangSong" w:eastAsia="FangSong" w:cs="FangSong"/>
          <w:sz w:val="30"/>
          <w:szCs w:val="30"/>
        </w:rPr>
        <w:t xml:space="preserve">  </w:t>
      </w:r>
      <w:r>
        <w:rPr>
          <w:rFonts w:ascii="FangSong" w:hAnsi="FangSong" w:eastAsia="FangSong" w:cs="FangSong"/>
          <w:sz w:val="30"/>
          <w:szCs w:val="30"/>
          <w:spacing w:val="16"/>
        </w:rPr>
        <w:t>取得健康合格证明的人员从事服务工作，省、自治区、直辖市人民政府确定的公共场所的经营者未在</w:t>
      </w:r>
      <w:r>
        <w:rPr>
          <w:rFonts w:ascii="FangSong" w:hAnsi="FangSong" w:eastAsia="FangSong" w:cs="FangSong"/>
          <w:sz w:val="30"/>
          <w:szCs w:val="30"/>
          <w:spacing w:val="2"/>
        </w:rPr>
        <w:t xml:space="preserve">   </w:t>
      </w:r>
      <w:r>
        <w:rPr>
          <w:rFonts w:ascii="FangSong" w:hAnsi="FangSong" w:eastAsia="FangSong" w:cs="FangSong"/>
          <w:sz w:val="30"/>
          <w:szCs w:val="30"/>
          <w:spacing w:val="16"/>
        </w:rPr>
        <w:t>公共场所内放置安全套或者设置安全套发售设施的，由县级以上人民政府卫生主管部门责令限期改</w:t>
      </w:r>
      <w:r>
        <w:rPr>
          <w:rFonts w:ascii="FangSong" w:hAnsi="FangSong" w:eastAsia="FangSong" w:cs="FangSong"/>
          <w:sz w:val="30"/>
          <w:szCs w:val="30"/>
          <w:spacing w:val="15"/>
        </w:rPr>
        <w:t>正，</w:t>
      </w:r>
      <w:r>
        <w:rPr>
          <w:rFonts w:ascii="FangSong" w:hAnsi="FangSong" w:eastAsia="FangSong" w:cs="FangSong"/>
          <w:sz w:val="30"/>
          <w:szCs w:val="30"/>
        </w:rPr>
        <w:t xml:space="preserve"> </w:t>
      </w:r>
      <w:r>
        <w:rPr>
          <w:rFonts w:ascii="FangSong" w:hAnsi="FangSong" w:eastAsia="FangSong" w:cs="FangSong"/>
          <w:sz w:val="30"/>
          <w:szCs w:val="30"/>
          <w:spacing w:val="24"/>
        </w:rPr>
        <w:t>给予警告，可以并处500元以上5000元以下的罚款；逾期不改正的，责令停业整顿；情节严重的，</w:t>
      </w:r>
    </w:p>
    <w:p>
      <w:pPr>
        <w:ind w:left="34"/>
        <w:spacing w:before="3" w:line="222" w:lineRule="auto"/>
        <w:rPr>
          <w:rFonts w:ascii="FangSong" w:hAnsi="FangSong" w:eastAsia="FangSong" w:cs="FangSong"/>
          <w:sz w:val="30"/>
          <w:szCs w:val="30"/>
        </w:rPr>
      </w:pPr>
      <w:r>
        <w:rPr>
          <w:rFonts w:ascii="FangSong" w:hAnsi="FangSong" w:eastAsia="FangSong" w:cs="FangSong"/>
          <w:sz w:val="30"/>
          <w:szCs w:val="30"/>
          <w:spacing w:val="16"/>
        </w:rPr>
        <w:t>由原发证部门依法吊销其执业许可证件。</w:t>
      </w:r>
    </w:p>
    <w:p>
      <w:pPr>
        <w:ind w:left="6268"/>
        <w:spacing w:before="96"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90" w:lineRule="exact"/>
        <w:rPr/>
      </w:pPr>
      <w:r/>
    </w:p>
    <w:tbl>
      <w:tblPr>
        <w:tblStyle w:val="TableNormal"/>
        <w:tblW w:w="1362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83"/>
        <w:gridCol w:w="7574"/>
        <w:gridCol w:w="3972"/>
      </w:tblGrid>
      <w:tr>
        <w:trPr>
          <w:trHeight w:val="643" w:hRule="atLeast"/>
        </w:trPr>
        <w:tc>
          <w:tcPr>
            <w:tcW w:w="2083" w:type="dxa"/>
            <w:vAlign w:val="top"/>
          </w:tcPr>
          <w:p>
            <w:pPr>
              <w:pStyle w:val="TableText"/>
              <w:ind w:left="538"/>
              <w:spacing w:before="82" w:line="220" w:lineRule="auto"/>
              <w:rPr>
                <w:sz w:val="25"/>
                <w:szCs w:val="25"/>
              </w:rPr>
            </w:pPr>
            <w:r>
              <w:rPr>
                <w:sz w:val="25"/>
                <w:szCs w:val="25"/>
                <w:b/>
                <w:bCs/>
                <w:spacing w:val="-5"/>
              </w:rPr>
              <w:t>违法程度</w:t>
            </w:r>
          </w:p>
        </w:tc>
        <w:tc>
          <w:tcPr>
            <w:tcW w:w="7574" w:type="dxa"/>
            <w:vAlign w:val="top"/>
          </w:tcPr>
          <w:p>
            <w:pPr>
              <w:pStyle w:val="TableText"/>
              <w:ind w:left="3285"/>
              <w:spacing w:before="82" w:line="220" w:lineRule="auto"/>
              <w:rPr>
                <w:sz w:val="25"/>
                <w:szCs w:val="25"/>
              </w:rPr>
            </w:pPr>
            <w:r>
              <w:rPr>
                <w:sz w:val="25"/>
                <w:szCs w:val="25"/>
                <w:b/>
                <w:bCs/>
                <w:spacing w:val="-5"/>
              </w:rPr>
              <w:t>情节后果</w:t>
            </w:r>
          </w:p>
        </w:tc>
        <w:tc>
          <w:tcPr>
            <w:tcW w:w="3972" w:type="dxa"/>
            <w:vAlign w:val="top"/>
          </w:tcPr>
          <w:p>
            <w:pPr>
              <w:pStyle w:val="TableText"/>
              <w:ind w:left="1481"/>
              <w:spacing w:before="79" w:line="218" w:lineRule="auto"/>
              <w:rPr>
                <w:sz w:val="25"/>
                <w:szCs w:val="25"/>
              </w:rPr>
            </w:pPr>
            <w:r>
              <w:rPr>
                <w:sz w:val="25"/>
                <w:szCs w:val="25"/>
                <w:b/>
                <w:bCs/>
                <w:spacing w:val="-5"/>
              </w:rPr>
              <w:t>裁量幅度</w:t>
            </w:r>
          </w:p>
        </w:tc>
      </w:tr>
      <w:tr>
        <w:trPr>
          <w:trHeight w:val="2836" w:hRule="atLeast"/>
        </w:trPr>
        <w:tc>
          <w:tcPr>
            <w:tcW w:w="2083"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788"/>
              <w:spacing w:before="81" w:line="219" w:lineRule="auto"/>
              <w:rPr>
                <w:sz w:val="25"/>
                <w:szCs w:val="25"/>
              </w:rPr>
            </w:pPr>
            <w:r>
              <w:rPr>
                <w:sz w:val="25"/>
                <w:szCs w:val="25"/>
                <w:b/>
                <w:bCs/>
                <w:spacing w:val="-6"/>
              </w:rPr>
              <w:t>较轻</w:t>
            </w:r>
          </w:p>
        </w:tc>
        <w:tc>
          <w:tcPr>
            <w:tcW w:w="7574" w:type="dxa"/>
            <w:vAlign w:val="top"/>
          </w:tcPr>
          <w:p>
            <w:pPr>
              <w:pStyle w:val="TableText"/>
              <w:ind w:left="35" w:right="23" w:firstLine="180"/>
              <w:spacing w:before="88" w:line="326" w:lineRule="auto"/>
              <w:rPr>
                <w:sz w:val="25"/>
                <w:szCs w:val="25"/>
              </w:rPr>
            </w:pPr>
            <w:r>
              <w:rPr>
                <w:sz w:val="25"/>
                <w:szCs w:val="25"/>
                <w:b/>
                <w:bCs/>
                <w:spacing w:val="-2"/>
              </w:rPr>
              <w:t>首次发现违法行为。(1)公共场所的经营</w:t>
            </w:r>
            <w:r>
              <w:rPr>
                <w:sz w:val="25"/>
                <w:szCs w:val="25"/>
                <w:b/>
                <w:bCs/>
                <w:spacing w:val="-3"/>
              </w:rPr>
              <w:t>者未查验服务人员1至3人</w:t>
            </w:r>
            <w:r>
              <w:rPr>
                <w:sz w:val="25"/>
                <w:szCs w:val="25"/>
              </w:rPr>
              <w:t xml:space="preserve">   </w:t>
            </w:r>
            <w:r>
              <w:rPr>
                <w:sz w:val="25"/>
                <w:szCs w:val="25"/>
                <w:b/>
                <w:bCs/>
                <w:spacing w:val="-3"/>
              </w:rPr>
              <w:t>的健康合格证明或者允许未取得健康合格证明的人员1至3人从事服务</w:t>
            </w:r>
            <w:r>
              <w:rPr>
                <w:sz w:val="25"/>
                <w:szCs w:val="25"/>
                <w:spacing w:val="15"/>
              </w:rPr>
              <w:t xml:space="preserve"> </w:t>
            </w:r>
            <w:r>
              <w:rPr>
                <w:sz w:val="25"/>
                <w:szCs w:val="25"/>
                <w:b/>
                <w:bCs/>
                <w:spacing w:val="1"/>
              </w:rPr>
              <w:t>工作；(2)公共场所的经营者未查验服务人员4人以</w:t>
            </w:r>
            <w:r>
              <w:rPr>
                <w:sz w:val="25"/>
                <w:szCs w:val="25"/>
                <w:b/>
                <w:bCs/>
              </w:rPr>
              <w:t>上的健康合格证</w:t>
            </w:r>
            <w:r>
              <w:rPr>
                <w:sz w:val="25"/>
                <w:szCs w:val="25"/>
              </w:rPr>
              <w:t xml:space="preserve">  </w:t>
            </w:r>
            <w:r>
              <w:rPr>
                <w:sz w:val="25"/>
                <w:szCs w:val="25"/>
                <w:b/>
                <w:bCs/>
                <w:spacing w:val="3"/>
              </w:rPr>
              <w:t>明或者允许未取得健康合格证明的人员4人以上从事</w:t>
            </w:r>
            <w:r>
              <w:rPr>
                <w:sz w:val="25"/>
                <w:szCs w:val="25"/>
                <w:b/>
                <w:bCs/>
                <w:spacing w:val="2"/>
              </w:rPr>
              <w:t>服务工作；(3)</w:t>
            </w:r>
          </w:p>
          <w:p>
            <w:pPr>
              <w:pStyle w:val="TableText"/>
              <w:ind w:left="155"/>
              <w:spacing w:before="4" w:line="219" w:lineRule="auto"/>
              <w:rPr>
                <w:sz w:val="25"/>
                <w:szCs w:val="25"/>
              </w:rPr>
            </w:pPr>
            <w:r>
              <w:rPr>
                <w:sz w:val="25"/>
                <w:szCs w:val="25"/>
                <w:b/>
                <w:bCs/>
                <w:color w:val="402020"/>
                <w:spacing w:val="-3"/>
              </w:rPr>
              <w:t>未放置安全套或者设置安全套发售设施，时间不足1个月；(4</w:t>
            </w:r>
            <w:r>
              <w:rPr>
                <w:sz w:val="25"/>
                <w:szCs w:val="25"/>
                <w:b/>
                <w:bCs/>
                <w:color w:val="402020"/>
                <w:spacing w:val="-4"/>
              </w:rPr>
              <w:t>)未放</w:t>
            </w:r>
          </w:p>
          <w:p>
            <w:pPr>
              <w:pStyle w:val="TableText"/>
              <w:ind w:left="125"/>
              <w:spacing w:before="143" w:line="219" w:lineRule="auto"/>
              <w:rPr>
                <w:sz w:val="25"/>
                <w:szCs w:val="25"/>
              </w:rPr>
            </w:pPr>
            <w:r>
              <w:rPr>
                <w:sz w:val="25"/>
                <w:szCs w:val="25"/>
                <w:b/>
                <w:bCs/>
                <w:spacing w:val="-3"/>
              </w:rPr>
              <w:t>置安全套或者设置安全套发售设施，时间在1个月以上。</w:t>
            </w:r>
          </w:p>
        </w:tc>
        <w:tc>
          <w:tcPr>
            <w:tcW w:w="3972" w:type="dxa"/>
            <w:vAlign w:val="top"/>
          </w:tcPr>
          <w:p>
            <w:pPr>
              <w:spacing w:line="243" w:lineRule="auto"/>
              <w:rPr>
                <w:rFonts w:ascii="Arial"/>
                <w:sz w:val="21"/>
              </w:rPr>
            </w:pPr>
            <w:r/>
          </w:p>
          <w:p>
            <w:pPr>
              <w:pStyle w:val="TableText"/>
              <w:ind w:left="231"/>
              <w:spacing w:before="82" w:line="218" w:lineRule="auto"/>
              <w:rPr>
                <w:sz w:val="25"/>
                <w:szCs w:val="25"/>
              </w:rPr>
            </w:pPr>
            <w:r>
              <w:rPr>
                <w:sz w:val="25"/>
                <w:szCs w:val="25"/>
                <w:b/>
                <w:bCs/>
                <w:spacing w:val="-4"/>
              </w:rPr>
              <w:t>给予警告，(1)处500元以上2500</w:t>
            </w:r>
          </w:p>
          <w:p>
            <w:pPr>
              <w:pStyle w:val="TableText"/>
              <w:ind w:left="171"/>
              <w:spacing w:before="147" w:line="220" w:lineRule="auto"/>
              <w:rPr>
                <w:sz w:val="25"/>
                <w:szCs w:val="25"/>
              </w:rPr>
            </w:pPr>
            <w:r>
              <w:rPr>
                <w:sz w:val="25"/>
                <w:szCs w:val="25"/>
                <w:b/>
                <w:bCs/>
                <w:spacing w:val="-4"/>
              </w:rPr>
              <w:t>元以下的罚款；(2)处2500元以上</w:t>
            </w:r>
          </w:p>
          <w:p>
            <w:pPr>
              <w:pStyle w:val="TableText"/>
              <w:ind w:left="231"/>
              <w:spacing w:before="152" w:line="220" w:lineRule="auto"/>
              <w:rPr>
                <w:sz w:val="25"/>
                <w:szCs w:val="25"/>
              </w:rPr>
            </w:pPr>
            <w:r>
              <w:rPr>
                <w:sz w:val="25"/>
                <w:szCs w:val="25"/>
                <w:b/>
                <w:bCs/>
                <w:spacing w:val="-4"/>
              </w:rPr>
              <w:t>5000元以下的罚款；(3)处500元</w:t>
            </w:r>
          </w:p>
          <w:p>
            <w:pPr>
              <w:pStyle w:val="TableText"/>
              <w:ind w:left="291"/>
              <w:spacing w:before="122" w:line="220" w:lineRule="auto"/>
              <w:rPr>
                <w:sz w:val="25"/>
                <w:szCs w:val="25"/>
              </w:rPr>
            </w:pPr>
            <w:r>
              <w:rPr>
                <w:sz w:val="25"/>
                <w:szCs w:val="25"/>
                <w:b/>
                <w:bCs/>
                <w:spacing w:val="-3"/>
              </w:rPr>
              <w:t>以上2500元以下的罚款；(4)处</w:t>
            </w:r>
          </w:p>
          <w:p>
            <w:pPr>
              <w:pStyle w:val="TableText"/>
              <w:ind w:left="91"/>
              <w:spacing w:before="142" w:line="220" w:lineRule="auto"/>
              <w:rPr>
                <w:sz w:val="25"/>
                <w:szCs w:val="25"/>
              </w:rPr>
            </w:pPr>
            <w:r>
              <w:rPr>
                <w:sz w:val="25"/>
                <w:szCs w:val="25"/>
                <w:b/>
                <w:bCs/>
                <w:spacing w:val="-4"/>
              </w:rPr>
              <w:t>2500元以上5000元以下的罚款。</w:t>
            </w:r>
          </w:p>
        </w:tc>
      </w:tr>
    </w:tbl>
    <w:p>
      <w:pPr>
        <w:pStyle w:val="BodyText"/>
        <w:rPr/>
      </w:pPr>
      <w:r/>
    </w:p>
    <w:p>
      <w:pPr>
        <w:sectPr>
          <w:footerReference w:type="default" r:id="rId135"/>
          <w:pgSz w:w="16830" w:h="11900"/>
          <w:pgMar w:top="1011" w:right="1170" w:bottom="1124" w:left="1405" w:header="0" w:footer="754" w:gutter="0"/>
        </w:sectPr>
        <w:rPr/>
      </w:pPr>
    </w:p>
    <w:p>
      <w:pPr>
        <w:spacing w:before="20"/>
        <w:rPr/>
      </w:pPr>
      <w:r/>
    </w:p>
    <w:p>
      <w:pPr>
        <w:spacing w:before="20"/>
        <w:rPr/>
      </w:pPr>
      <w:r/>
    </w:p>
    <w:p>
      <w:pPr>
        <w:spacing w:before="19"/>
        <w:rPr/>
      </w:pPr>
      <w:r/>
    </w:p>
    <w:tbl>
      <w:tblPr>
        <w:tblStyle w:val="TableNormal"/>
        <w:tblW w:w="136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93"/>
        <w:gridCol w:w="7555"/>
        <w:gridCol w:w="3992"/>
      </w:tblGrid>
      <w:tr>
        <w:trPr>
          <w:trHeight w:val="621" w:hRule="atLeast"/>
        </w:trPr>
        <w:tc>
          <w:tcPr>
            <w:tcW w:w="2093" w:type="dxa"/>
            <w:vAlign w:val="top"/>
          </w:tcPr>
          <w:p>
            <w:pPr>
              <w:pStyle w:val="TableText"/>
              <w:ind w:left="798"/>
              <w:spacing w:before="72" w:line="221" w:lineRule="auto"/>
              <w:outlineLvl w:val="1"/>
              <w:rPr/>
            </w:pPr>
            <w:bookmarkStart w:name="bookmark798" w:id="101"/>
            <w:bookmarkEnd w:id="101"/>
            <w:bookmarkStart w:name="bookmark186" w:id="102"/>
            <w:bookmarkEnd w:id="102"/>
            <w:r>
              <w:rPr>
                <w:b/>
                <w:bCs/>
                <w:spacing w:val="-10"/>
              </w:rPr>
              <w:t>一般</w:t>
            </w:r>
          </w:p>
        </w:tc>
        <w:tc>
          <w:tcPr>
            <w:tcW w:w="7555" w:type="dxa"/>
            <w:vAlign w:val="top"/>
          </w:tcPr>
          <w:p>
            <w:pPr>
              <w:pStyle w:val="TableText"/>
              <w:ind w:left="111"/>
              <w:spacing w:before="73" w:line="219" w:lineRule="auto"/>
              <w:rPr/>
            </w:pPr>
            <w:r>
              <w:rPr/>
              <w:t>责令限期改正后，逾期不改正。</w:t>
            </w:r>
          </w:p>
        </w:tc>
        <w:tc>
          <w:tcPr>
            <w:tcW w:w="3992" w:type="dxa"/>
            <w:vAlign w:val="top"/>
          </w:tcPr>
          <w:p>
            <w:pPr>
              <w:pStyle w:val="TableText"/>
              <w:ind w:left="126"/>
              <w:spacing w:before="73" w:line="219" w:lineRule="auto"/>
              <w:rPr/>
            </w:pPr>
            <w:r>
              <w:rPr/>
              <w:t>责令停业整顿。</w:t>
            </w:r>
          </w:p>
        </w:tc>
      </w:tr>
      <w:tr>
        <w:trPr>
          <w:trHeight w:val="1089" w:hRule="atLeast"/>
        </w:trPr>
        <w:tc>
          <w:tcPr>
            <w:tcW w:w="2093" w:type="dxa"/>
            <w:vAlign w:val="top"/>
          </w:tcPr>
          <w:p>
            <w:pPr>
              <w:spacing w:line="350" w:lineRule="auto"/>
              <w:rPr>
                <w:rFonts w:ascii="Arial"/>
                <w:sz w:val="21"/>
              </w:rPr>
            </w:pPr>
            <w:r/>
          </w:p>
          <w:p>
            <w:pPr>
              <w:pStyle w:val="TableText"/>
              <w:ind w:left="798"/>
              <w:spacing w:before="78" w:line="220" w:lineRule="auto"/>
              <w:rPr/>
            </w:pPr>
            <w:r>
              <w:rPr>
                <w:b/>
                <w:bCs/>
                <w:spacing w:val="-6"/>
              </w:rPr>
              <w:t>严重</w:t>
            </w:r>
          </w:p>
        </w:tc>
        <w:tc>
          <w:tcPr>
            <w:tcW w:w="7555" w:type="dxa"/>
            <w:vAlign w:val="top"/>
          </w:tcPr>
          <w:p>
            <w:pPr>
              <w:spacing w:line="352" w:lineRule="auto"/>
              <w:rPr>
                <w:rFonts w:ascii="Arial"/>
                <w:sz w:val="21"/>
              </w:rPr>
            </w:pPr>
            <w:r/>
          </w:p>
          <w:p>
            <w:pPr>
              <w:pStyle w:val="TableText"/>
              <w:ind w:left="111"/>
              <w:spacing w:before="78" w:line="219" w:lineRule="auto"/>
              <w:rPr/>
            </w:pPr>
            <w:r>
              <w:rPr/>
              <w:t>责令停业整顿后，再次发现该违法行为。</w:t>
            </w:r>
          </w:p>
        </w:tc>
        <w:tc>
          <w:tcPr>
            <w:tcW w:w="3992" w:type="dxa"/>
            <w:vAlign w:val="top"/>
          </w:tcPr>
          <w:p>
            <w:pPr>
              <w:pStyle w:val="TableText"/>
              <w:ind w:left="157"/>
              <w:spacing w:before="112" w:line="219" w:lineRule="auto"/>
              <w:rPr/>
            </w:pPr>
            <w:r>
              <w:rPr/>
              <w:t>由原发证部门依法吊销其执业许可</w:t>
            </w:r>
          </w:p>
          <w:p>
            <w:pPr>
              <w:pStyle w:val="TableText"/>
              <w:ind w:left="126"/>
              <w:spacing w:before="167" w:line="219" w:lineRule="auto"/>
              <w:rPr/>
            </w:pPr>
            <w:r>
              <w:rPr>
                <w:color w:val="405050"/>
              </w:rPr>
              <w:t>证件。</w:t>
            </w:r>
          </w:p>
        </w:tc>
      </w:tr>
    </w:tbl>
    <w:p>
      <w:pPr>
        <w:pStyle w:val="BodyText"/>
        <w:spacing w:line="440" w:lineRule="auto"/>
        <w:rPr/>
      </w:pPr>
      <w:r/>
    </w:p>
    <w:p>
      <w:pPr>
        <w:ind w:left="829"/>
        <w:spacing w:before="98" w:line="222" w:lineRule="auto"/>
        <w:rPr>
          <w:rFonts w:ascii="FangSong" w:hAnsi="FangSong" w:eastAsia="FangSong" w:cs="FangSong"/>
          <w:sz w:val="30"/>
          <w:szCs w:val="30"/>
        </w:rPr>
      </w:pPr>
      <w:r>
        <w:rPr>
          <w:rFonts w:ascii="FangSong" w:hAnsi="FangSong" w:eastAsia="FangSong" w:cs="FangSong"/>
          <w:sz w:val="30"/>
          <w:szCs w:val="30"/>
          <w:b/>
          <w:bCs/>
          <w:spacing w:val="28"/>
        </w:rPr>
        <w:t>(七)《血吸虫病防治条例》</w:t>
      </w:r>
    </w:p>
    <w:p>
      <w:pPr>
        <w:ind w:left="49" w:right="128" w:firstLine="659"/>
        <w:spacing w:before="81" w:line="269" w:lineRule="auto"/>
        <w:jc w:val="both"/>
        <w:rPr>
          <w:rFonts w:ascii="FangSong" w:hAnsi="FangSong" w:eastAsia="FangSong" w:cs="FangSong"/>
          <w:sz w:val="30"/>
          <w:szCs w:val="30"/>
        </w:rPr>
      </w:pPr>
      <w:r>
        <w:rPr>
          <w:rFonts w:ascii="FangSong" w:hAnsi="FangSong" w:eastAsia="FangSong" w:cs="FangSong"/>
          <w:sz w:val="30"/>
          <w:szCs w:val="30"/>
          <w:b/>
          <w:bCs/>
          <w:spacing w:val="20"/>
        </w:rPr>
        <w:t>第六十条建设单位在血吸虫病防治地区兴建水利、交通、旅游、能源等大型建设项目，未事先</w:t>
      </w:r>
      <w:r>
        <w:rPr>
          <w:rFonts w:ascii="FangSong" w:hAnsi="FangSong" w:eastAsia="FangSong" w:cs="FangSong"/>
          <w:sz w:val="30"/>
          <w:szCs w:val="30"/>
          <w:spacing w:val="16"/>
        </w:rPr>
        <w:t xml:space="preserve"> </w:t>
      </w:r>
      <w:r>
        <w:rPr>
          <w:rFonts w:ascii="FangSong" w:hAnsi="FangSong" w:eastAsia="FangSong" w:cs="FangSong"/>
          <w:sz w:val="30"/>
          <w:szCs w:val="30"/>
          <w:b/>
          <w:bCs/>
          <w:spacing w:val="18"/>
        </w:rPr>
        <w:t>提请省级以上疾病预防控制机构进行卫生调查，或者未根据疾病预防控制机</w:t>
      </w:r>
      <w:r>
        <w:rPr>
          <w:rFonts w:ascii="FangSong" w:hAnsi="FangSong" w:eastAsia="FangSong" w:cs="FangSong"/>
          <w:sz w:val="30"/>
          <w:szCs w:val="30"/>
          <w:b/>
          <w:bCs/>
          <w:spacing w:val="17"/>
        </w:rPr>
        <w:t>构的意见，采取必要的</w:t>
      </w:r>
      <w:r>
        <w:rPr>
          <w:rFonts w:ascii="FangSong" w:hAnsi="FangSong" w:eastAsia="FangSong" w:cs="FangSong"/>
          <w:sz w:val="30"/>
          <w:szCs w:val="30"/>
        </w:rPr>
        <w:t xml:space="preserve">  </w:t>
      </w:r>
      <w:r>
        <w:rPr>
          <w:rFonts w:ascii="FangSong" w:hAnsi="FangSong" w:eastAsia="FangSong" w:cs="FangSong"/>
          <w:sz w:val="30"/>
          <w:szCs w:val="30"/>
          <w:b/>
          <w:bCs/>
          <w:spacing w:val="12"/>
        </w:rPr>
        <w:t>血吸虫病预防、控制措施的。</w:t>
      </w:r>
    </w:p>
    <w:p>
      <w:pPr>
        <w:ind w:left="695"/>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45" w:firstLine="619"/>
        <w:spacing w:before="96" w:line="265" w:lineRule="auto"/>
        <w:jc w:val="both"/>
        <w:rPr>
          <w:rFonts w:ascii="FangSong" w:hAnsi="FangSong" w:eastAsia="FangSong" w:cs="FangSong"/>
          <w:sz w:val="30"/>
          <w:szCs w:val="30"/>
        </w:rPr>
      </w:pPr>
      <w:r>
        <w:rPr>
          <w:rFonts w:ascii="FangSong" w:hAnsi="FangSong" w:eastAsia="FangSong" w:cs="FangSong"/>
          <w:sz w:val="30"/>
          <w:szCs w:val="30"/>
          <w:spacing w:val="20"/>
        </w:rPr>
        <w:t>《血吸虫病防治条例》第五十条</w:t>
      </w:r>
      <w:r>
        <w:rPr>
          <w:rFonts w:ascii="FangSong" w:hAnsi="FangSong" w:eastAsia="FangSong" w:cs="FangSong"/>
          <w:sz w:val="30"/>
          <w:szCs w:val="30"/>
          <w:spacing w:val="20"/>
        </w:rPr>
        <w:t xml:space="preserve">   </w:t>
      </w:r>
      <w:r>
        <w:rPr>
          <w:rFonts w:ascii="FangSong" w:hAnsi="FangSong" w:eastAsia="FangSong" w:cs="FangSong"/>
          <w:sz w:val="30"/>
          <w:szCs w:val="30"/>
          <w:spacing w:val="20"/>
        </w:rPr>
        <w:t>建设单位在血吸虫病防治地区兴建水利、交通、旅游、能源</w:t>
      </w:r>
      <w:r>
        <w:rPr>
          <w:rFonts w:ascii="FangSong" w:hAnsi="FangSong" w:eastAsia="FangSong" w:cs="FangSong"/>
          <w:sz w:val="30"/>
          <w:szCs w:val="30"/>
          <w:spacing w:val="3"/>
        </w:rPr>
        <w:t xml:space="preserve"> </w:t>
      </w:r>
      <w:r>
        <w:rPr>
          <w:rFonts w:ascii="FangSong" w:hAnsi="FangSong" w:eastAsia="FangSong" w:cs="FangSong"/>
          <w:sz w:val="30"/>
          <w:szCs w:val="30"/>
          <w:spacing w:val="17"/>
        </w:rPr>
        <w:t>等大型建设项目，未事先提请省级以上疾病预防控制机构进行卫生调查，或者未根据疾病预防控制机</w:t>
      </w:r>
      <w:r>
        <w:rPr>
          <w:rFonts w:ascii="FangSong" w:hAnsi="FangSong" w:eastAsia="FangSong" w:cs="FangSong"/>
          <w:sz w:val="30"/>
          <w:szCs w:val="30"/>
        </w:rPr>
        <w:t xml:space="preserve"> </w:t>
      </w:r>
      <w:r>
        <w:rPr>
          <w:rFonts w:ascii="FangSong" w:hAnsi="FangSong" w:eastAsia="FangSong" w:cs="FangSong"/>
          <w:sz w:val="30"/>
          <w:szCs w:val="30"/>
          <w:spacing w:val="12"/>
        </w:rPr>
        <w:t>构的意见，采取必要的血吸虫病预防、控制措施的，由县级以上人民政府卫生主管部门责令限期改正，</w:t>
      </w:r>
      <w:r>
        <w:rPr>
          <w:rFonts w:ascii="FangSong" w:hAnsi="FangSong" w:eastAsia="FangSong" w:cs="FangSong"/>
          <w:sz w:val="30"/>
          <w:szCs w:val="30"/>
          <w:spacing w:val="18"/>
        </w:rPr>
        <w:t xml:space="preserve"> </w:t>
      </w:r>
      <w:r>
        <w:rPr>
          <w:rFonts w:ascii="FangSong" w:hAnsi="FangSong" w:eastAsia="FangSong" w:cs="FangSong"/>
          <w:sz w:val="30"/>
          <w:szCs w:val="30"/>
          <w:spacing w:val="29"/>
        </w:rPr>
        <w:t>给予警告，处5000元以上3万元以下的罚款；逾期不改正的，处3万元以上10万元</w:t>
      </w:r>
      <w:r>
        <w:rPr>
          <w:rFonts w:ascii="FangSong" w:hAnsi="FangSong" w:eastAsia="FangSong" w:cs="FangSong"/>
          <w:sz w:val="30"/>
          <w:szCs w:val="30"/>
          <w:spacing w:val="28"/>
        </w:rPr>
        <w:t>以下的罚款，并</w:t>
      </w:r>
      <w:r>
        <w:rPr>
          <w:rFonts w:ascii="FangSong" w:hAnsi="FangSong" w:eastAsia="FangSong" w:cs="FangSong"/>
          <w:sz w:val="30"/>
          <w:szCs w:val="30"/>
        </w:rPr>
        <w:t xml:space="preserve">  </w:t>
      </w:r>
      <w:r>
        <w:rPr>
          <w:rFonts w:ascii="FangSong" w:hAnsi="FangSong" w:eastAsia="FangSong" w:cs="FangSong"/>
          <w:sz w:val="30"/>
          <w:szCs w:val="30"/>
          <w:spacing w:val="12"/>
        </w:rPr>
        <w:t>可以提请有关人民政府依据职责权限，责令停建、关闭；造成血吸虫病疫情扩散或者其他严重后果</w:t>
      </w:r>
      <w:r>
        <w:rPr>
          <w:rFonts w:ascii="FangSong" w:hAnsi="FangSong" w:eastAsia="FangSong" w:cs="FangSong"/>
          <w:sz w:val="30"/>
          <w:szCs w:val="30"/>
          <w:spacing w:val="11"/>
        </w:rPr>
        <w:t>的，</w:t>
      </w:r>
      <w:r>
        <w:rPr>
          <w:rFonts w:ascii="FangSong" w:hAnsi="FangSong" w:eastAsia="FangSong" w:cs="FangSong"/>
          <w:sz w:val="30"/>
          <w:szCs w:val="30"/>
        </w:rPr>
        <w:t xml:space="preserve"> </w:t>
      </w:r>
      <w:r>
        <w:rPr>
          <w:rFonts w:ascii="FangSong" w:hAnsi="FangSong" w:eastAsia="FangSong" w:cs="FangSong"/>
          <w:sz w:val="30"/>
          <w:szCs w:val="30"/>
          <w:spacing w:val="17"/>
        </w:rPr>
        <w:t>对负有责任的主管人员和其他直接责任人员依法给予处分。</w:t>
      </w:r>
    </w:p>
    <w:p>
      <w:pPr>
        <w:ind w:left="6419"/>
        <w:spacing w:before="34"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136"/>
          <w:pgSz w:w="16830" w:h="11900"/>
          <w:pgMar w:top="1011" w:right="1320" w:bottom="1079" w:left="1405" w:header="0" w:footer="808" w:gutter="0"/>
        </w:sectPr>
        <w:rPr>
          <w:rFonts w:ascii="SimHei" w:hAnsi="SimHei" w:eastAsia="SimHei" w:cs="SimHei"/>
          <w:sz w:val="30"/>
          <w:szCs w:val="30"/>
        </w:rPr>
      </w:pPr>
    </w:p>
    <w:p>
      <w:pPr>
        <w:spacing w:before="23"/>
        <w:rPr/>
      </w:pPr>
      <w:r/>
    </w:p>
    <w:p>
      <w:pPr>
        <w:spacing w:before="23"/>
        <w:rPr/>
      </w:pPr>
      <w:r/>
    </w:p>
    <w:p>
      <w:pPr>
        <w:spacing w:before="23"/>
        <w:rPr/>
      </w:pPr>
      <w:r/>
    </w:p>
    <w:tbl>
      <w:tblPr>
        <w:tblStyle w:val="TableNormal"/>
        <w:tblW w:w="139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93"/>
        <w:gridCol w:w="7185"/>
        <w:gridCol w:w="4831"/>
      </w:tblGrid>
      <w:tr>
        <w:trPr>
          <w:trHeight w:val="843" w:hRule="atLeast"/>
        </w:trPr>
        <w:tc>
          <w:tcPr>
            <w:tcW w:w="1893" w:type="dxa"/>
            <w:vAlign w:val="top"/>
          </w:tcPr>
          <w:p>
            <w:pPr>
              <w:pStyle w:val="TableText"/>
              <w:ind w:left="458"/>
              <w:spacing w:before="302" w:line="220" w:lineRule="auto"/>
              <w:rPr/>
            </w:pPr>
            <w:r>
              <w:rPr>
                <w:b/>
                <w:bCs/>
                <w:spacing w:val="-5"/>
              </w:rPr>
              <w:t>违法程度</w:t>
            </w:r>
          </w:p>
        </w:tc>
        <w:tc>
          <w:tcPr>
            <w:tcW w:w="7185" w:type="dxa"/>
            <w:vAlign w:val="top"/>
          </w:tcPr>
          <w:p>
            <w:pPr>
              <w:pStyle w:val="TableText"/>
              <w:ind w:left="3005"/>
              <w:spacing w:before="182" w:line="220" w:lineRule="auto"/>
              <w:rPr/>
            </w:pPr>
            <w:r>
              <w:rPr>
                <w:b/>
                <w:bCs/>
                <w:spacing w:val="-11"/>
              </w:rPr>
              <w:t>情</w:t>
            </w:r>
            <w:r>
              <w:rPr>
                <w:spacing w:val="-37"/>
              </w:rPr>
              <w:t xml:space="preserve"> </w:t>
            </w:r>
            <w:r>
              <w:rPr>
                <w:b/>
                <w:bCs/>
                <w:spacing w:val="-11"/>
              </w:rPr>
              <w:t>节</w:t>
            </w:r>
            <w:r>
              <w:rPr>
                <w:spacing w:val="-36"/>
              </w:rPr>
              <w:t xml:space="preserve"> </w:t>
            </w:r>
            <w:r>
              <w:rPr>
                <w:b/>
                <w:bCs/>
                <w:spacing w:val="-11"/>
              </w:rPr>
              <w:t>后</w:t>
            </w:r>
            <w:r>
              <w:rPr>
                <w:spacing w:val="-33"/>
              </w:rPr>
              <w:t xml:space="preserve"> </w:t>
            </w:r>
            <w:r>
              <w:rPr>
                <w:b/>
                <w:bCs/>
                <w:spacing w:val="-11"/>
              </w:rPr>
              <w:t>果</w:t>
            </w:r>
          </w:p>
        </w:tc>
        <w:tc>
          <w:tcPr>
            <w:tcW w:w="4831" w:type="dxa"/>
            <w:vAlign w:val="top"/>
          </w:tcPr>
          <w:p>
            <w:pPr>
              <w:pStyle w:val="TableText"/>
              <w:ind w:left="1830"/>
              <w:spacing w:before="17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527" w:hRule="atLeast"/>
        </w:trPr>
        <w:tc>
          <w:tcPr>
            <w:tcW w:w="1893" w:type="dxa"/>
            <w:vAlign w:val="top"/>
          </w:tcPr>
          <w:p>
            <w:pPr>
              <w:spacing w:line="284" w:lineRule="auto"/>
              <w:rPr>
                <w:rFonts w:ascii="Arial"/>
                <w:sz w:val="21"/>
              </w:rPr>
            </w:pPr>
            <w:r/>
          </w:p>
          <w:p>
            <w:pPr>
              <w:spacing w:line="284" w:lineRule="auto"/>
              <w:rPr>
                <w:rFonts w:ascii="Arial"/>
                <w:sz w:val="21"/>
              </w:rPr>
            </w:pPr>
            <w:r/>
          </w:p>
          <w:p>
            <w:pPr>
              <w:pStyle w:val="TableText"/>
              <w:ind w:left="698"/>
              <w:spacing w:before="78" w:line="221" w:lineRule="auto"/>
              <w:rPr/>
            </w:pPr>
            <w:r>
              <w:rPr>
                <w:b/>
                <w:bCs/>
                <w:spacing w:val="-10"/>
              </w:rPr>
              <w:t>一般</w:t>
            </w:r>
          </w:p>
        </w:tc>
        <w:tc>
          <w:tcPr>
            <w:tcW w:w="7185" w:type="dxa"/>
            <w:vAlign w:val="top"/>
          </w:tcPr>
          <w:p>
            <w:pPr>
              <w:pStyle w:val="TableText"/>
              <w:ind w:left="101" w:right="92" w:firstLine="239"/>
              <w:spacing w:before="100" w:line="325" w:lineRule="auto"/>
              <w:rPr/>
            </w:pPr>
            <w:r>
              <w:rPr>
                <w:spacing w:val="2"/>
              </w:rPr>
              <w:t>(1)未事先提请省级以上疾病预防控制机构进</w:t>
            </w:r>
            <w:r>
              <w:rPr>
                <w:spacing w:val="1"/>
              </w:rPr>
              <w:t>行卫生调查；(2)</w:t>
            </w:r>
            <w:r>
              <w:rPr/>
              <w:t xml:space="preserve">  </w:t>
            </w:r>
            <w:r>
              <w:rPr>
                <w:spacing w:val="1"/>
              </w:rPr>
              <w:t>未根据疾病预防控制机构的意见，采取必要</w:t>
            </w:r>
            <w:r>
              <w:rPr/>
              <w:t>的血吸虫病预防、控制</w:t>
            </w:r>
          </w:p>
          <w:p>
            <w:pPr>
              <w:pStyle w:val="TableText"/>
              <w:ind w:left="112"/>
              <w:spacing w:before="27" w:line="220" w:lineRule="auto"/>
              <w:rPr/>
            </w:pPr>
            <w:r>
              <w:rPr>
                <w:color w:val="404040"/>
              </w:rPr>
              <w:t>措施。</w:t>
            </w:r>
          </w:p>
        </w:tc>
        <w:tc>
          <w:tcPr>
            <w:tcW w:w="4831" w:type="dxa"/>
            <w:vAlign w:val="top"/>
          </w:tcPr>
          <w:p>
            <w:pPr>
              <w:pStyle w:val="TableText"/>
              <w:ind w:left="306"/>
              <w:spacing w:before="109" w:line="218" w:lineRule="auto"/>
              <w:rPr/>
            </w:pPr>
            <w:r>
              <w:rPr/>
              <w:t>(1)给予警告，处1万元以上3万元以下的</w:t>
            </w:r>
          </w:p>
          <w:p>
            <w:pPr>
              <w:pStyle w:val="TableText"/>
              <w:ind w:left="126" w:right="359" w:firstLine="239"/>
              <w:spacing w:before="136" w:line="343" w:lineRule="auto"/>
              <w:rPr/>
            </w:pPr>
            <w:r>
              <w:rPr/>
              <w:t>罚款；(2)给予警告，处5000元以上1万</w:t>
            </w:r>
            <w:r>
              <w:rPr>
                <w:spacing w:val="14"/>
              </w:rPr>
              <w:t xml:space="preserve"> </w:t>
            </w:r>
            <w:r>
              <w:rPr/>
              <w:t>元以下的罚款。</w:t>
            </w:r>
          </w:p>
        </w:tc>
      </w:tr>
      <w:tr>
        <w:trPr>
          <w:trHeight w:val="3289" w:hRule="atLeast"/>
        </w:trPr>
        <w:tc>
          <w:tcPr>
            <w:tcW w:w="1893" w:type="dxa"/>
            <w:vAlign w:val="top"/>
          </w:tcPr>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698"/>
              <w:spacing w:before="78" w:line="220" w:lineRule="auto"/>
              <w:rPr/>
            </w:pPr>
            <w:r>
              <w:rPr>
                <w:b/>
                <w:bCs/>
                <w:spacing w:val="-6"/>
              </w:rPr>
              <w:t>严重</w:t>
            </w:r>
          </w:p>
        </w:tc>
        <w:tc>
          <w:tcPr>
            <w:tcW w:w="7185" w:type="dxa"/>
            <w:vAlign w:val="top"/>
          </w:tcPr>
          <w:p>
            <w:pPr>
              <w:spacing w:line="336" w:lineRule="auto"/>
              <w:rPr>
                <w:rFonts w:ascii="Arial"/>
                <w:sz w:val="21"/>
              </w:rPr>
            </w:pPr>
            <w:r/>
          </w:p>
          <w:p>
            <w:pPr>
              <w:spacing w:line="337" w:lineRule="auto"/>
              <w:rPr>
                <w:rFonts w:ascii="Arial"/>
                <w:sz w:val="21"/>
              </w:rPr>
            </w:pPr>
            <w:r/>
          </w:p>
          <w:p>
            <w:pPr>
              <w:pStyle w:val="TableText"/>
              <w:ind w:left="132" w:right="160" w:firstLine="29"/>
              <w:spacing w:before="78" w:line="345" w:lineRule="auto"/>
              <w:jc w:val="both"/>
              <w:rPr/>
            </w:pPr>
            <w:r>
              <w:rPr/>
              <w:t>责令限期改正后，逾期不改正。(1)未事先提请省级以上疾病预防</w:t>
            </w:r>
            <w:r>
              <w:rPr>
                <w:spacing w:val="11"/>
              </w:rPr>
              <w:t xml:space="preserve"> </w:t>
            </w:r>
            <w:r>
              <w:rPr>
                <w:spacing w:val="1"/>
              </w:rPr>
              <w:t>控制机构进行卫生调查；(2)未根据疾病预</w:t>
            </w:r>
            <w:r>
              <w:rPr/>
              <w:t>防控制机构的意见，采 </w:t>
            </w:r>
            <w:r>
              <w:rPr>
                <w:spacing w:val="1"/>
              </w:rPr>
              <w:t>取必要的血吸虫病预防、控制措施；(3)造成血吸虫病疫情扩散或</w:t>
            </w:r>
            <w:r>
              <w:rPr>
                <w:spacing w:val="9"/>
              </w:rPr>
              <w:t xml:space="preserve"> </w:t>
            </w:r>
            <w:r>
              <w:rPr>
                <w:spacing w:val="-1"/>
              </w:rPr>
              <w:t>者其他严重后果。</w:t>
            </w:r>
          </w:p>
        </w:tc>
        <w:tc>
          <w:tcPr>
            <w:tcW w:w="4831" w:type="dxa"/>
            <w:vAlign w:val="top"/>
          </w:tcPr>
          <w:p>
            <w:pPr>
              <w:pStyle w:val="TableText"/>
              <w:ind w:left="246"/>
              <w:spacing w:before="95" w:line="219" w:lineRule="auto"/>
              <w:rPr/>
            </w:pPr>
            <w:r>
              <w:rPr/>
              <w:t>(1)处6万元以上10万元以下的罚款，并</w:t>
            </w:r>
          </w:p>
          <w:p>
            <w:pPr>
              <w:pStyle w:val="TableText"/>
              <w:ind w:left="126" w:right="122"/>
              <w:spacing w:before="155" w:line="338" w:lineRule="auto"/>
              <w:rPr/>
            </w:pPr>
            <w:r>
              <w:rPr/>
              <w:t>可以提请有关人民政府依据职责权限，责令</w:t>
            </w:r>
            <w:r>
              <w:rPr>
                <w:spacing w:val="10"/>
              </w:rPr>
              <w:t xml:space="preserve"> </w:t>
            </w:r>
            <w:r>
              <w:rPr/>
              <w:t>停建、关闭；(2)处3万元以上6万元以下</w:t>
            </w:r>
          </w:p>
          <w:p>
            <w:pPr>
              <w:pStyle w:val="TableText"/>
              <w:ind w:left="126" w:right="118"/>
              <w:spacing w:before="1" w:line="346" w:lineRule="auto"/>
              <w:rPr/>
            </w:pPr>
            <w:r>
              <w:rPr/>
              <w:t>的罚款，并可以提请有关人民政府依据职责</w:t>
            </w:r>
            <w:r>
              <w:rPr>
                <w:spacing w:val="14"/>
              </w:rPr>
              <w:t xml:space="preserve"> </w:t>
            </w:r>
            <w:r>
              <w:rPr>
                <w:spacing w:val="-1"/>
              </w:rPr>
              <w:t>权限，责令停建、关闭；(3)处6万元以上</w:t>
            </w:r>
          </w:p>
          <w:p>
            <w:pPr>
              <w:pStyle w:val="TableText"/>
              <w:ind w:left="136" w:right="123" w:hanging="10"/>
              <w:spacing w:line="324" w:lineRule="auto"/>
              <w:rPr/>
            </w:pPr>
            <w:r>
              <w:rPr/>
              <w:t>10万元以下的罚款，并可以提请有关人民政</w:t>
            </w:r>
            <w:r>
              <w:rPr>
                <w:spacing w:val="9"/>
              </w:rPr>
              <w:t xml:space="preserve"> </w:t>
            </w:r>
            <w:r>
              <w:rPr/>
              <w:t>府依据职责权限，责令停建、关闭。</w:t>
            </w:r>
          </w:p>
        </w:tc>
      </w:tr>
    </w:tbl>
    <w:p>
      <w:pPr>
        <w:ind w:left="19" w:right="16" w:firstLine="670"/>
        <w:spacing w:before="88" w:line="264" w:lineRule="auto"/>
        <w:rPr>
          <w:rFonts w:ascii="FangSong" w:hAnsi="FangSong" w:eastAsia="FangSong" w:cs="FangSong"/>
          <w:sz w:val="30"/>
          <w:szCs w:val="30"/>
        </w:rPr>
      </w:pPr>
      <w:r>
        <w:rPr>
          <w:rFonts w:ascii="FangSong" w:hAnsi="FangSong" w:eastAsia="FangSong" w:cs="FangSong"/>
          <w:sz w:val="30"/>
          <w:szCs w:val="30"/>
          <w:b/>
          <w:bCs/>
          <w:spacing w:val="21"/>
        </w:rPr>
        <w:t>第六十一条单位未依照本条例的规定对因生产、工作必</w:t>
      </w:r>
      <w:r>
        <w:rPr>
          <w:rFonts w:ascii="FangSong" w:hAnsi="FangSong" w:eastAsia="FangSong" w:cs="FangSong"/>
          <w:sz w:val="30"/>
          <w:szCs w:val="30"/>
          <w:b/>
          <w:bCs/>
          <w:spacing w:val="20"/>
        </w:rPr>
        <w:t>须接触疫水的人员采取防护措施，或者</w:t>
      </w:r>
      <w:r>
        <w:rPr>
          <w:rFonts w:ascii="FangSong" w:hAnsi="FangSong" w:eastAsia="FangSong" w:cs="FangSong"/>
          <w:sz w:val="30"/>
          <w:szCs w:val="30"/>
        </w:rPr>
        <w:t xml:space="preserve"> </w:t>
      </w:r>
      <w:r>
        <w:rPr>
          <w:rFonts w:ascii="FangSong" w:hAnsi="FangSong" w:eastAsia="FangSong" w:cs="FangSong"/>
          <w:sz w:val="30"/>
          <w:szCs w:val="30"/>
          <w:b/>
          <w:bCs/>
          <w:spacing w:val="16"/>
        </w:rPr>
        <w:t>未定期组织进行血吸虫病的专项体检的</w:t>
      </w:r>
    </w:p>
    <w:p>
      <w:pPr>
        <w:ind w:left="664"/>
        <w:spacing w:before="37"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34" w:firstLine="599"/>
        <w:spacing w:before="95" w:line="282" w:lineRule="auto"/>
        <w:rPr>
          <w:rFonts w:ascii="FangSong" w:hAnsi="FangSong" w:eastAsia="FangSong" w:cs="FangSong"/>
          <w:sz w:val="30"/>
          <w:szCs w:val="30"/>
        </w:rPr>
      </w:pPr>
      <w:r>
        <w:rPr>
          <w:rFonts w:ascii="FangSong" w:hAnsi="FangSong" w:eastAsia="FangSong" w:cs="FangSong"/>
          <w:sz w:val="30"/>
          <w:szCs w:val="30"/>
          <w:spacing w:val="24"/>
        </w:rPr>
        <w:t>《血吸虫病防治条例》第五十二条第(一)项</w:t>
      </w:r>
      <w:r>
        <w:rPr>
          <w:rFonts w:ascii="FangSong" w:hAnsi="FangSong" w:eastAsia="FangSong" w:cs="FangSong"/>
          <w:sz w:val="30"/>
          <w:szCs w:val="30"/>
          <w:spacing w:val="24"/>
        </w:rPr>
        <w:t xml:space="preserve">  </w:t>
      </w:r>
      <w:r>
        <w:rPr>
          <w:rFonts w:ascii="FangSong" w:hAnsi="FangSong" w:eastAsia="FangSong" w:cs="FangSong"/>
          <w:sz w:val="30"/>
          <w:szCs w:val="30"/>
          <w:spacing w:val="24"/>
        </w:rPr>
        <w:t>违反本条例规定，有下列情形之一的，由县级以</w:t>
      </w:r>
      <w:r>
        <w:rPr>
          <w:rFonts w:ascii="FangSong" w:hAnsi="FangSong" w:eastAsia="FangSong" w:cs="FangSong"/>
          <w:sz w:val="30"/>
          <w:szCs w:val="30"/>
          <w:spacing w:val="12"/>
        </w:rPr>
        <w:t xml:space="preserve"> </w:t>
      </w:r>
      <w:r>
        <w:rPr>
          <w:rFonts w:ascii="FangSong" w:hAnsi="FangSong" w:eastAsia="FangSong" w:cs="FangSong"/>
          <w:sz w:val="30"/>
          <w:szCs w:val="30"/>
          <w:spacing w:val="17"/>
        </w:rPr>
        <w:t>上人民政府卫生、农业或者兽医、水利、林业主管部门依据</w:t>
      </w:r>
      <w:r>
        <w:rPr>
          <w:rFonts w:ascii="FangSong" w:hAnsi="FangSong" w:eastAsia="FangSong" w:cs="FangSong"/>
          <w:sz w:val="30"/>
          <w:szCs w:val="30"/>
          <w:spacing w:val="16"/>
        </w:rPr>
        <w:t>各自职责责令改正，给予警告，对单位处</w:t>
      </w:r>
    </w:p>
    <w:p>
      <w:pPr>
        <w:spacing w:line="282" w:lineRule="auto"/>
        <w:sectPr>
          <w:footerReference w:type="default" r:id="rId137"/>
          <w:pgSz w:w="16830" w:h="11900"/>
          <w:pgMar w:top="1011" w:right="1424" w:bottom="1105" w:left="1425" w:header="0" w:footer="763" w:gutter="0"/>
        </w:sectPr>
        <w:rPr>
          <w:rFonts w:ascii="FangSong" w:hAnsi="FangSong" w:eastAsia="FangSong" w:cs="FangSong"/>
          <w:sz w:val="30"/>
          <w:szCs w:val="30"/>
        </w:rPr>
      </w:pPr>
    </w:p>
    <w:p>
      <w:pPr>
        <w:pStyle w:val="BodyText"/>
        <w:spacing w:line="267" w:lineRule="auto"/>
        <w:rPr/>
      </w:pPr>
      <w:r/>
    </w:p>
    <w:p>
      <w:pPr>
        <w:pStyle w:val="BodyText"/>
        <w:spacing w:line="267" w:lineRule="auto"/>
        <w:rPr/>
      </w:pPr>
      <w:r/>
    </w:p>
    <w:p>
      <w:pPr>
        <w:pStyle w:val="BodyText"/>
        <w:spacing w:line="267" w:lineRule="auto"/>
        <w:rPr/>
      </w:pPr>
      <w:r/>
    </w:p>
    <w:p>
      <w:pPr>
        <w:spacing w:before="97" w:line="273" w:lineRule="auto"/>
        <w:jc w:val="both"/>
        <w:rPr>
          <w:rFonts w:ascii="FangSong" w:hAnsi="FangSong" w:eastAsia="FangSong" w:cs="FangSong"/>
          <w:sz w:val="30"/>
          <w:szCs w:val="30"/>
        </w:rPr>
      </w:pPr>
      <w:r>
        <w:rPr>
          <w:rFonts w:ascii="FangSong" w:hAnsi="FangSong" w:eastAsia="FangSong" w:cs="FangSong"/>
          <w:sz w:val="30"/>
          <w:szCs w:val="30"/>
          <w:spacing w:val="28"/>
        </w:rPr>
        <w:t>1000元以上1万元以下的罚款，对个人处</w:t>
      </w:r>
      <w:r>
        <w:rPr>
          <w:rFonts w:ascii="FangSong" w:hAnsi="FangSong" w:eastAsia="FangSong" w:cs="FangSong"/>
          <w:sz w:val="30"/>
          <w:szCs w:val="30"/>
          <w:spacing w:val="27"/>
        </w:rPr>
        <w:t>50元以上500元以下的罚款，并没收用于违法活动的工具</w:t>
      </w:r>
      <w:r>
        <w:rPr>
          <w:rFonts w:ascii="FangSong" w:hAnsi="FangSong" w:eastAsia="FangSong" w:cs="FangSong"/>
          <w:sz w:val="30"/>
          <w:szCs w:val="30"/>
        </w:rPr>
        <w:t xml:space="preserve"> </w:t>
      </w:r>
      <w:r>
        <w:rPr>
          <w:rFonts w:ascii="FangSong" w:hAnsi="FangSong" w:eastAsia="FangSong" w:cs="FangSong"/>
          <w:sz w:val="30"/>
          <w:szCs w:val="30"/>
          <w:spacing w:val="17"/>
        </w:rPr>
        <w:t>和物品；造成血吸虫病疫情扩散或者其他严重后果的，对负有责任的主管人员和其他直接责任人员依</w:t>
      </w:r>
      <w:r>
        <w:rPr>
          <w:rFonts w:ascii="FangSong" w:hAnsi="FangSong" w:eastAsia="FangSong" w:cs="FangSong"/>
          <w:sz w:val="30"/>
          <w:szCs w:val="30"/>
          <w:spacing w:val="12"/>
        </w:rPr>
        <w:t xml:space="preserve"> </w:t>
      </w:r>
      <w:r>
        <w:rPr>
          <w:rFonts w:ascii="FangSong" w:hAnsi="FangSong" w:eastAsia="FangSong" w:cs="FangSong"/>
          <w:sz w:val="30"/>
          <w:szCs w:val="30"/>
          <w:spacing w:val="8"/>
        </w:rPr>
        <w:t>法给予处分：</w:t>
      </w:r>
    </w:p>
    <w:p>
      <w:pPr>
        <w:ind w:right="26" w:firstLine="780"/>
        <w:spacing w:line="259" w:lineRule="auto"/>
        <w:rPr>
          <w:rFonts w:ascii="FangSong" w:hAnsi="FangSong" w:eastAsia="FangSong" w:cs="FangSong"/>
          <w:sz w:val="30"/>
          <w:szCs w:val="30"/>
        </w:rPr>
      </w:pPr>
      <w:r>
        <w:rPr>
          <w:rFonts w:ascii="FangSong" w:hAnsi="FangSong" w:eastAsia="FangSong" w:cs="FangSong"/>
          <w:sz w:val="30"/>
          <w:szCs w:val="30"/>
          <w:spacing w:val="20"/>
        </w:rPr>
        <w:t>(一)单位未依照本条例的规定对因生产、工作必须接触疫水的人员采取防护措施，或者未定期</w:t>
      </w:r>
      <w:r>
        <w:rPr>
          <w:rFonts w:ascii="FangSong" w:hAnsi="FangSong" w:eastAsia="FangSong" w:cs="FangSong"/>
          <w:sz w:val="30"/>
          <w:szCs w:val="30"/>
          <w:spacing w:val="13"/>
        </w:rPr>
        <w:t xml:space="preserve"> </w:t>
      </w:r>
      <w:r>
        <w:rPr>
          <w:rFonts w:ascii="FangSong" w:hAnsi="FangSong" w:eastAsia="FangSong" w:cs="FangSong"/>
          <w:sz w:val="30"/>
          <w:szCs w:val="30"/>
          <w:spacing w:val="14"/>
        </w:rPr>
        <w:t>组织进行血吸虫病的专项体检的；</w:t>
      </w:r>
    </w:p>
    <w:p>
      <w:pPr>
        <w:ind w:left="6414"/>
        <w:spacing w:before="1" w:line="207"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709" w:type="dxa"/>
        <w:tblInd w:w="18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44"/>
        <w:gridCol w:w="6805"/>
        <w:gridCol w:w="1588"/>
        <w:gridCol w:w="3972"/>
      </w:tblGrid>
      <w:tr>
        <w:trPr>
          <w:trHeight w:val="484" w:hRule="atLeast"/>
        </w:trPr>
        <w:tc>
          <w:tcPr>
            <w:tcW w:w="1344" w:type="dxa"/>
            <w:vAlign w:val="top"/>
          </w:tcPr>
          <w:p>
            <w:pPr>
              <w:pStyle w:val="TableText"/>
              <w:ind w:left="168"/>
              <w:spacing w:before="122" w:line="220" w:lineRule="auto"/>
              <w:rPr>
                <w:sz w:val="25"/>
                <w:szCs w:val="25"/>
              </w:rPr>
            </w:pPr>
            <w:r>
              <w:rPr>
                <w:sz w:val="25"/>
                <w:szCs w:val="25"/>
                <w:b/>
                <w:bCs/>
                <w:spacing w:val="-5"/>
              </w:rPr>
              <w:t>违法程度</w:t>
            </w:r>
          </w:p>
        </w:tc>
        <w:tc>
          <w:tcPr>
            <w:tcW w:w="8393" w:type="dxa"/>
            <w:vAlign w:val="top"/>
            <w:gridSpan w:val="2"/>
          </w:tcPr>
          <w:p>
            <w:pPr>
              <w:pStyle w:val="TableText"/>
              <w:ind w:left="3624"/>
              <w:spacing w:before="122" w:line="220" w:lineRule="auto"/>
              <w:rPr>
                <w:sz w:val="25"/>
                <w:szCs w:val="25"/>
              </w:rPr>
            </w:pPr>
            <w:r>
              <w:rPr>
                <w:sz w:val="25"/>
                <w:szCs w:val="25"/>
                <w:b/>
                <w:bCs/>
                <w:spacing w:val="-5"/>
              </w:rPr>
              <w:t>情节后果</w:t>
            </w:r>
          </w:p>
        </w:tc>
        <w:tc>
          <w:tcPr>
            <w:tcW w:w="3972" w:type="dxa"/>
            <w:vAlign w:val="top"/>
          </w:tcPr>
          <w:p>
            <w:pPr>
              <w:pStyle w:val="TableText"/>
              <w:ind w:left="1411"/>
              <w:spacing w:before="119" w:line="218" w:lineRule="auto"/>
              <w:rPr>
                <w:sz w:val="25"/>
                <w:szCs w:val="25"/>
              </w:rPr>
            </w:pPr>
            <w:r>
              <w:rPr>
                <w:sz w:val="25"/>
                <w:szCs w:val="25"/>
                <w:b/>
                <w:bCs/>
                <w:spacing w:val="-5"/>
              </w:rPr>
              <w:t>裁量幅度</w:t>
            </w:r>
          </w:p>
        </w:tc>
      </w:tr>
      <w:tr>
        <w:trPr>
          <w:trHeight w:val="868" w:hRule="atLeast"/>
        </w:trPr>
        <w:tc>
          <w:tcPr>
            <w:tcW w:w="1344" w:type="dxa"/>
            <w:vAlign w:val="top"/>
            <w:vMerge w:val="restart"/>
            <w:tcBorders>
              <w:bottom w:val="nil"/>
            </w:tcBorders>
          </w:tcPr>
          <w:p>
            <w:pPr>
              <w:spacing w:line="336" w:lineRule="auto"/>
              <w:rPr>
                <w:rFonts w:ascii="Arial"/>
                <w:sz w:val="21"/>
              </w:rPr>
            </w:pPr>
            <w:r/>
          </w:p>
          <w:p>
            <w:pPr>
              <w:spacing w:line="336" w:lineRule="auto"/>
              <w:rPr>
                <w:rFonts w:ascii="Arial"/>
                <w:sz w:val="21"/>
              </w:rPr>
            </w:pPr>
            <w:r/>
          </w:p>
          <w:p>
            <w:pPr>
              <w:pStyle w:val="TableText"/>
              <w:ind w:left="418"/>
              <w:spacing w:before="81" w:line="219" w:lineRule="auto"/>
              <w:rPr>
                <w:sz w:val="25"/>
                <w:szCs w:val="25"/>
              </w:rPr>
            </w:pPr>
            <w:r>
              <w:rPr>
                <w:sz w:val="25"/>
                <w:szCs w:val="25"/>
                <w:b/>
                <w:bCs/>
                <w:spacing w:val="-6"/>
              </w:rPr>
              <w:t>较轻</w:t>
            </w:r>
          </w:p>
        </w:tc>
        <w:tc>
          <w:tcPr>
            <w:tcW w:w="6805" w:type="dxa"/>
            <w:vAlign w:val="top"/>
            <w:vMerge w:val="restart"/>
            <w:tcBorders>
              <w:bottom w:val="nil"/>
            </w:tcBorders>
          </w:tcPr>
          <w:p>
            <w:pPr>
              <w:spacing w:line="286" w:lineRule="auto"/>
              <w:rPr>
                <w:rFonts w:ascii="Arial"/>
                <w:sz w:val="21"/>
              </w:rPr>
            </w:pPr>
            <w:r/>
          </w:p>
          <w:p>
            <w:pPr>
              <w:pStyle w:val="TableText"/>
              <w:ind w:left="79" w:right="12" w:hanging="59"/>
              <w:spacing w:before="81" w:line="313" w:lineRule="auto"/>
              <w:rPr>
                <w:sz w:val="25"/>
                <w:szCs w:val="25"/>
              </w:rPr>
            </w:pPr>
            <w:r>
              <w:rPr>
                <w:sz w:val="25"/>
                <w:szCs w:val="25"/>
              </w:rPr>
              <w:t>未规定对因生产、工作必须接触疫水的人员采取防护措施或者</w:t>
            </w:r>
            <w:r>
              <w:rPr>
                <w:sz w:val="25"/>
                <w:szCs w:val="25"/>
                <w:spacing w:val="10"/>
              </w:rPr>
              <w:t xml:space="preserve"> </w:t>
            </w:r>
            <w:r>
              <w:rPr>
                <w:sz w:val="25"/>
                <w:szCs w:val="25"/>
              </w:rPr>
              <w:t>未定期组织进行血吸虫病的专项体检，涉及人次在6人次以下</w:t>
            </w:r>
          </w:p>
          <w:p>
            <w:pPr>
              <w:pStyle w:val="TableText"/>
              <w:ind w:left="111"/>
              <w:spacing w:before="28" w:line="222" w:lineRule="auto"/>
              <w:rPr>
                <w:sz w:val="25"/>
                <w:szCs w:val="25"/>
              </w:rPr>
            </w:pPr>
            <w:r>
              <w:rPr>
                <w:sz w:val="25"/>
                <w:szCs w:val="25"/>
                <w:color w:val="405050"/>
              </w:rPr>
              <w:t>的</w:t>
            </w:r>
          </w:p>
        </w:tc>
        <w:tc>
          <w:tcPr>
            <w:tcW w:w="1588" w:type="dxa"/>
            <w:vAlign w:val="top"/>
          </w:tcPr>
          <w:p>
            <w:pPr>
              <w:pStyle w:val="TableText"/>
              <w:ind w:left="95"/>
              <w:spacing w:before="311" w:line="219" w:lineRule="auto"/>
              <w:rPr>
                <w:sz w:val="25"/>
                <w:szCs w:val="25"/>
              </w:rPr>
            </w:pPr>
            <w:r>
              <w:rPr>
                <w:sz w:val="25"/>
                <w:szCs w:val="25"/>
                <w:spacing w:val="-2"/>
              </w:rPr>
              <w:t>对个人</w:t>
            </w:r>
          </w:p>
        </w:tc>
        <w:tc>
          <w:tcPr>
            <w:tcW w:w="3972" w:type="dxa"/>
            <w:vAlign w:val="top"/>
          </w:tcPr>
          <w:p>
            <w:pPr>
              <w:pStyle w:val="TableText"/>
              <w:ind w:left="97" w:right="239"/>
              <w:spacing w:before="118" w:line="273" w:lineRule="auto"/>
              <w:rPr>
                <w:sz w:val="25"/>
                <w:szCs w:val="25"/>
              </w:rPr>
            </w:pPr>
            <w:r>
              <w:rPr>
                <w:sz w:val="25"/>
                <w:szCs w:val="25"/>
                <w:spacing w:val="-1"/>
              </w:rPr>
              <w:t>警告，罚款50元以上185元以下，</w:t>
            </w:r>
            <w:r>
              <w:rPr>
                <w:sz w:val="25"/>
                <w:szCs w:val="25"/>
                <w:spacing w:val="15"/>
              </w:rPr>
              <w:t xml:space="preserve"> </w:t>
            </w:r>
            <w:r>
              <w:rPr>
                <w:sz w:val="25"/>
                <w:szCs w:val="25"/>
                <w:spacing w:val="1"/>
              </w:rPr>
              <w:t>没收用于违法活动的工具和物品</w:t>
            </w:r>
          </w:p>
        </w:tc>
      </w:tr>
      <w:tr>
        <w:trPr>
          <w:trHeight w:val="878" w:hRule="atLeast"/>
        </w:trPr>
        <w:tc>
          <w:tcPr>
            <w:tcW w:w="1344" w:type="dxa"/>
            <w:vAlign w:val="top"/>
            <w:vMerge w:val="continue"/>
            <w:tcBorders>
              <w:top w:val="nil"/>
            </w:tcBorders>
          </w:tcPr>
          <w:p>
            <w:pPr>
              <w:rPr>
                <w:rFonts w:ascii="Arial"/>
                <w:sz w:val="21"/>
              </w:rPr>
            </w:pPr>
            <w:r/>
          </w:p>
        </w:tc>
        <w:tc>
          <w:tcPr>
            <w:tcW w:w="6805" w:type="dxa"/>
            <w:vAlign w:val="top"/>
            <w:vMerge w:val="continue"/>
            <w:tcBorders>
              <w:top w:val="nil"/>
            </w:tcBorders>
          </w:tcPr>
          <w:p>
            <w:pPr>
              <w:rPr>
                <w:rFonts w:ascii="Arial"/>
                <w:sz w:val="21"/>
              </w:rPr>
            </w:pPr>
            <w:r/>
          </w:p>
        </w:tc>
        <w:tc>
          <w:tcPr>
            <w:tcW w:w="1588" w:type="dxa"/>
            <w:vAlign w:val="top"/>
          </w:tcPr>
          <w:p>
            <w:pPr>
              <w:pStyle w:val="TableText"/>
              <w:ind w:left="99"/>
              <w:spacing w:before="320" w:line="220" w:lineRule="auto"/>
              <w:rPr>
                <w:sz w:val="25"/>
                <w:szCs w:val="25"/>
              </w:rPr>
            </w:pPr>
            <w:r>
              <w:rPr>
                <w:sz w:val="25"/>
                <w:szCs w:val="25"/>
                <w:b/>
                <w:bCs/>
                <w:spacing w:val="-5"/>
              </w:rPr>
              <w:t>对单位</w:t>
            </w:r>
          </w:p>
        </w:tc>
        <w:tc>
          <w:tcPr>
            <w:tcW w:w="3972" w:type="dxa"/>
            <w:vAlign w:val="top"/>
          </w:tcPr>
          <w:p>
            <w:pPr>
              <w:pStyle w:val="TableText"/>
              <w:ind w:left="97"/>
              <w:spacing w:before="131" w:line="272" w:lineRule="auto"/>
              <w:rPr>
                <w:sz w:val="25"/>
                <w:szCs w:val="25"/>
              </w:rPr>
            </w:pPr>
            <w:r>
              <w:rPr>
                <w:sz w:val="25"/>
                <w:szCs w:val="25"/>
                <w:spacing w:val="-7"/>
              </w:rPr>
              <w:t>警告，罚款1000元以上3700元以下，</w:t>
            </w:r>
            <w:r>
              <w:rPr>
                <w:sz w:val="25"/>
                <w:szCs w:val="25"/>
                <w:spacing w:val="3"/>
              </w:rPr>
              <w:t xml:space="preserve"> </w:t>
            </w:r>
            <w:r>
              <w:rPr>
                <w:sz w:val="25"/>
                <w:szCs w:val="25"/>
                <w:spacing w:val="-6"/>
              </w:rPr>
              <w:t>没收用于违法活动的工具和物品</w:t>
            </w:r>
          </w:p>
        </w:tc>
      </w:tr>
      <w:tr>
        <w:trPr>
          <w:trHeight w:val="1398" w:hRule="atLeast"/>
        </w:trPr>
        <w:tc>
          <w:tcPr>
            <w:tcW w:w="1344"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418"/>
              <w:spacing w:before="82" w:line="221" w:lineRule="auto"/>
              <w:rPr>
                <w:sz w:val="25"/>
                <w:szCs w:val="25"/>
              </w:rPr>
            </w:pPr>
            <w:r>
              <w:rPr>
                <w:sz w:val="25"/>
                <w:szCs w:val="25"/>
                <w:b/>
                <w:bCs/>
                <w:spacing w:val="-10"/>
              </w:rPr>
              <w:t>一般</w:t>
            </w:r>
          </w:p>
        </w:tc>
        <w:tc>
          <w:tcPr>
            <w:tcW w:w="6805" w:type="dxa"/>
            <w:vAlign w:val="top"/>
            <w:vMerge w:val="restart"/>
            <w:tcBorders>
              <w:bottom w:val="nil"/>
            </w:tcBorders>
          </w:tcPr>
          <w:p>
            <w:pPr>
              <w:spacing w:line="319" w:lineRule="auto"/>
              <w:rPr>
                <w:rFonts w:ascii="Arial"/>
                <w:sz w:val="21"/>
              </w:rPr>
            </w:pPr>
            <w:r/>
          </w:p>
          <w:p>
            <w:pPr>
              <w:spacing w:line="319" w:lineRule="auto"/>
              <w:rPr>
                <w:rFonts w:ascii="Arial"/>
                <w:sz w:val="21"/>
              </w:rPr>
            </w:pPr>
            <w:r/>
          </w:p>
          <w:p>
            <w:pPr>
              <w:spacing w:line="319" w:lineRule="auto"/>
              <w:rPr>
                <w:rFonts w:ascii="Arial"/>
                <w:sz w:val="21"/>
              </w:rPr>
            </w:pPr>
            <w:r/>
          </w:p>
          <w:p>
            <w:pPr>
              <w:pStyle w:val="TableText"/>
              <w:ind w:left="79" w:right="12" w:hanging="59"/>
              <w:spacing w:before="82" w:line="319" w:lineRule="auto"/>
              <w:jc w:val="both"/>
              <w:rPr>
                <w:sz w:val="25"/>
                <w:szCs w:val="25"/>
              </w:rPr>
            </w:pPr>
            <w:r>
              <w:rPr>
                <w:sz w:val="25"/>
                <w:szCs w:val="25"/>
              </w:rPr>
              <w:t>未规定对因生产、工作必须接触疫水的人员采取防护措施或者</w:t>
            </w:r>
            <w:r>
              <w:rPr>
                <w:sz w:val="25"/>
                <w:szCs w:val="25"/>
                <w:spacing w:val="10"/>
              </w:rPr>
              <w:t xml:space="preserve"> </w:t>
            </w:r>
            <w:r>
              <w:rPr>
                <w:sz w:val="25"/>
                <w:szCs w:val="25"/>
                <w:spacing w:val="-1"/>
              </w:rPr>
              <w:t>未定期组织进行血吸虫病的专项体检，涉及人次在6人次以上</w:t>
            </w:r>
            <w:r>
              <w:rPr>
                <w:sz w:val="25"/>
                <w:szCs w:val="25"/>
                <w:spacing w:val="12"/>
              </w:rPr>
              <w:t xml:space="preserve"> </w:t>
            </w:r>
            <w:r>
              <w:rPr>
                <w:sz w:val="25"/>
                <w:szCs w:val="25"/>
                <w:spacing w:val="8"/>
              </w:rPr>
              <w:t>11人次以下的</w:t>
            </w:r>
          </w:p>
        </w:tc>
        <w:tc>
          <w:tcPr>
            <w:tcW w:w="1588" w:type="dxa"/>
            <w:vAlign w:val="top"/>
          </w:tcPr>
          <w:p>
            <w:pPr>
              <w:spacing w:line="250" w:lineRule="auto"/>
              <w:rPr>
                <w:rFonts w:ascii="Arial"/>
                <w:sz w:val="21"/>
              </w:rPr>
            </w:pPr>
            <w:r/>
          </w:p>
          <w:p>
            <w:pPr>
              <w:spacing w:line="251" w:lineRule="auto"/>
              <w:rPr>
                <w:rFonts w:ascii="Arial"/>
                <w:sz w:val="21"/>
              </w:rPr>
            </w:pPr>
            <w:r/>
          </w:p>
          <w:p>
            <w:pPr>
              <w:pStyle w:val="TableText"/>
              <w:ind w:left="95"/>
              <w:spacing w:before="81" w:line="219" w:lineRule="auto"/>
              <w:rPr>
                <w:sz w:val="25"/>
                <w:szCs w:val="25"/>
              </w:rPr>
            </w:pPr>
            <w:r>
              <w:rPr>
                <w:sz w:val="25"/>
                <w:szCs w:val="25"/>
                <w:spacing w:val="-2"/>
              </w:rPr>
              <w:t>对个人</w:t>
            </w:r>
          </w:p>
        </w:tc>
        <w:tc>
          <w:tcPr>
            <w:tcW w:w="3972" w:type="dxa"/>
            <w:vAlign w:val="top"/>
          </w:tcPr>
          <w:p>
            <w:pPr>
              <w:spacing w:line="338" w:lineRule="auto"/>
              <w:rPr>
                <w:rFonts w:ascii="Arial"/>
                <w:sz w:val="21"/>
              </w:rPr>
            </w:pPr>
            <w:r/>
          </w:p>
          <w:p>
            <w:pPr>
              <w:pStyle w:val="TableText"/>
              <w:ind w:left="97" w:right="88" w:firstLine="29"/>
              <w:spacing w:before="82" w:line="336" w:lineRule="auto"/>
              <w:rPr>
                <w:sz w:val="25"/>
                <w:szCs w:val="25"/>
              </w:rPr>
            </w:pPr>
            <w:r>
              <w:rPr>
                <w:sz w:val="25"/>
                <w:szCs w:val="25"/>
                <w:spacing w:val="-1"/>
              </w:rPr>
              <w:t>警告，罚款185元以上365元以下，</w:t>
            </w:r>
            <w:r>
              <w:rPr>
                <w:sz w:val="25"/>
                <w:szCs w:val="25"/>
                <w:spacing w:val="12"/>
              </w:rPr>
              <w:t xml:space="preserve"> </w:t>
            </w:r>
            <w:r>
              <w:rPr>
                <w:sz w:val="25"/>
                <w:szCs w:val="25"/>
                <w:spacing w:val="1"/>
              </w:rPr>
              <w:t>没收用于违法活动的工具和物品</w:t>
            </w:r>
          </w:p>
        </w:tc>
      </w:tr>
      <w:tr>
        <w:trPr>
          <w:trHeight w:val="1642" w:hRule="atLeast"/>
        </w:trPr>
        <w:tc>
          <w:tcPr>
            <w:tcW w:w="1344" w:type="dxa"/>
            <w:vAlign w:val="top"/>
            <w:vMerge w:val="continue"/>
            <w:tcBorders>
              <w:top w:val="nil"/>
            </w:tcBorders>
          </w:tcPr>
          <w:p>
            <w:pPr>
              <w:rPr>
                <w:rFonts w:ascii="Arial"/>
                <w:sz w:val="21"/>
              </w:rPr>
            </w:pPr>
            <w:r/>
          </w:p>
        </w:tc>
        <w:tc>
          <w:tcPr>
            <w:tcW w:w="6805" w:type="dxa"/>
            <w:vAlign w:val="top"/>
            <w:vMerge w:val="continue"/>
            <w:tcBorders>
              <w:top w:val="nil"/>
            </w:tcBorders>
          </w:tcPr>
          <w:p>
            <w:pPr>
              <w:rPr>
                <w:rFonts w:ascii="Arial"/>
                <w:sz w:val="21"/>
              </w:rPr>
            </w:pPr>
            <w:r/>
          </w:p>
        </w:tc>
        <w:tc>
          <w:tcPr>
            <w:tcW w:w="1588" w:type="dxa"/>
            <w:vAlign w:val="top"/>
          </w:tcPr>
          <w:p>
            <w:pPr>
              <w:spacing w:line="309" w:lineRule="auto"/>
              <w:rPr>
                <w:rFonts w:ascii="Arial"/>
                <w:sz w:val="21"/>
              </w:rPr>
            </w:pPr>
            <w:r/>
          </w:p>
          <w:p>
            <w:pPr>
              <w:spacing w:line="310" w:lineRule="auto"/>
              <w:rPr>
                <w:rFonts w:ascii="Arial"/>
                <w:sz w:val="21"/>
              </w:rPr>
            </w:pPr>
            <w:r/>
          </w:p>
          <w:p>
            <w:pPr>
              <w:pStyle w:val="TableText"/>
              <w:ind w:left="99"/>
              <w:spacing w:before="81" w:line="220" w:lineRule="auto"/>
              <w:rPr>
                <w:sz w:val="25"/>
                <w:szCs w:val="25"/>
              </w:rPr>
            </w:pPr>
            <w:r>
              <w:rPr>
                <w:sz w:val="25"/>
                <w:szCs w:val="25"/>
                <w:b/>
                <w:bCs/>
                <w:spacing w:val="-5"/>
              </w:rPr>
              <w:t>对单位</w:t>
            </w:r>
          </w:p>
        </w:tc>
        <w:tc>
          <w:tcPr>
            <w:tcW w:w="3972" w:type="dxa"/>
            <w:vAlign w:val="top"/>
          </w:tcPr>
          <w:p>
            <w:pPr>
              <w:spacing w:line="460" w:lineRule="auto"/>
              <w:rPr>
                <w:rFonts w:ascii="Arial"/>
                <w:sz w:val="21"/>
              </w:rPr>
            </w:pPr>
            <w:r/>
          </w:p>
          <w:p>
            <w:pPr>
              <w:pStyle w:val="TableText"/>
              <w:ind w:left="97"/>
              <w:spacing w:before="82" w:line="321" w:lineRule="auto"/>
              <w:rPr>
                <w:sz w:val="25"/>
                <w:szCs w:val="25"/>
              </w:rPr>
            </w:pPr>
            <w:r>
              <w:rPr>
                <w:sz w:val="25"/>
                <w:szCs w:val="25"/>
                <w:spacing w:val="-7"/>
              </w:rPr>
              <w:t>警告，罚款3700元以上7300元以下，</w:t>
            </w:r>
            <w:r>
              <w:rPr>
                <w:sz w:val="25"/>
                <w:szCs w:val="25"/>
                <w:spacing w:val="3"/>
              </w:rPr>
              <w:t xml:space="preserve"> </w:t>
            </w:r>
            <w:r>
              <w:rPr>
                <w:sz w:val="25"/>
                <w:szCs w:val="25"/>
                <w:spacing w:val="-6"/>
              </w:rPr>
              <w:t>没收用于违法活动的工具和物品</w:t>
            </w:r>
          </w:p>
        </w:tc>
      </w:tr>
    </w:tbl>
    <w:p>
      <w:pPr>
        <w:pStyle w:val="BodyText"/>
        <w:rPr/>
      </w:pPr>
      <w:r/>
    </w:p>
    <w:p>
      <w:pPr>
        <w:sectPr>
          <w:footerReference w:type="default" r:id="rId138"/>
          <w:pgSz w:w="16830" w:h="11900"/>
          <w:pgMar w:top="1011" w:right="1428" w:bottom="1107" w:left="1439" w:header="0" w:footer="774" w:gutter="0"/>
        </w:sectPr>
        <w:rPr/>
      </w:pPr>
    </w:p>
    <w:p>
      <w:pPr>
        <w:spacing w:before="13"/>
        <w:rPr/>
      </w:pPr>
      <w:r/>
    </w:p>
    <w:p>
      <w:pPr>
        <w:spacing w:before="13"/>
        <w:rPr/>
      </w:pPr>
      <w:r/>
    </w:p>
    <w:p>
      <w:pPr>
        <w:spacing w:before="13"/>
        <w:rPr/>
      </w:pPr>
      <w:r/>
    </w:p>
    <w:tbl>
      <w:tblPr>
        <w:tblStyle w:val="TableNormal"/>
        <w:tblW w:w="13719" w:type="dxa"/>
        <w:tblInd w:w="16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54"/>
        <w:gridCol w:w="6825"/>
        <w:gridCol w:w="1578"/>
        <w:gridCol w:w="3962"/>
      </w:tblGrid>
      <w:tr>
        <w:trPr>
          <w:trHeight w:val="870" w:hRule="atLeast"/>
        </w:trPr>
        <w:tc>
          <w:tcPr>
            <w:tcW w:w="1354" w:type="dxa"/>
            <w:vAlign w:val="top"/>
            <w:vMerge w:val="restart"/>
            <w:tcBorders>
              <w:bottom w:val="nil"/>
            </w:tcBorders>
          </w:tcPr>
          <w:p>
            <w:pPr>
              <w:spacing w:line="346" w:lineRule="auto"/>
              <w:rPr>
                <w:rFonts w:ascii="Arial"/>
                <w:sz w:val="21"/>
              </w:rPr>
            </w:pPr>
            <w:r/>
          </w:p>
          <w:p>
            <w:pPr>
              <w:spacing w:line="346" w:lineRule="auto"/>
              <w:rPr>
                <w:rFonts w:ascii="Arial"/>
                <w:sz w:val="21"/>
              </w:rPr>
            </w:pPr>
            <w:r/>
          </w:p>
          <w:p>
            <w:pPr>
              <w:pStyle w:val="TableText"/>
              <w:ind w:left="438"/>
              <w:spacing w:before="78" w:line="221" w:lineRule="auto"/>
              <w:rPr/>
            </w:pPr>
            <w:bookmarkStart w:name="bookmark799" w:id="103"/>
            <w:bookmarkEnd w:id="103"/>
            <w:r>
              <w:rPr>
                <w:b/>
                <w:bCs/>
                <w:spacing w:val="-5"/>
              </w:rPr>
              <w:t>较重</w:t>
            </w:r>
          </w:p>
        </w:tc>
        <w:tc>
          <w:tcPr>
            <w:tcW w:w="6825" w:type="dxa"/>
            <w:vAlign w:val="top"/>
            <w:vMerge w:val="restart"/>
            <w:tcBorders>
              <w:bottom w:val="nil"/>
            </w:tcBorders>
          </w:tcPr>
          <w:p>
            <w:pPr>
              <w:spacing w:line="303" w:lineRule="auto"/>
              <w:rPr>
                <w:rFonts w:ascii="Arial"/>
                <w:sz w:val="21"/>
              </w:rPr>
            </w:pPr>
            <w:r/>
          </w:p>
          <w:p>
            <w:pPr>
              <w:pStyle w:val="TableText"/>
              <w:ind w:left="110" w:right="114" w:firstLine="49"/>
              <w:spacing w:before="78" w:line="344" w:lineRule="auto"/>
              <w:jc w:val="both"/>
              <w:rPr/>
            </w:pPr>
            <w:r>
              <w:rPr/>
              <w:t>未规定对因生产、工作必须接触疫水的人员采取防护措施或者</w:t>
            </w:r>
            <w:r>
              <w:rPr>
                <w:spacing w:val="10"/>
              </w:rPr>
              <w:t xml:space="preserve"> </w:t>
            </w:r>
            <w:r>
              <w:rPr>
                <w:spacing w:val="4"/>
              </w:rPr>
              <w:t>未定期组织进行血吸虫病的专项体检，涉及人次在11</w:t>
            </w:r>
            <w:r>
              <w:rPr>
                <w:spacing w:val="3"/>
              </w:rPr>
              <w:t>人以上，</w:t>
            </w:r>
            <w:r>
              <w:rPr/>
              <w:t xml:space="preserve"> </w:t>
            </w:r>
            <w:r>
              <w:rPr>
                <w:spacing w:val="1"/>
              </w:rPr>
              <w:t>或造成血吸虫病疫情扩散的</w:t>
            </w:r>
          </w:p>
        </w:tc>
        <w:tc>
          <w:tcPr>
            <w:tcW w:w="1578" w:type="dxa"/>
            <w:vAlign w:val="top"/>
          </w:tcPr>
          <w:p>
            <w:pPr>
              <w:spacing w:line="245" w:lineRule="auto"/>
              <w:rPr>
                <w:rFonts w:ascii="Arial"/>
                <w:sz w:val="21"/>
              </w:rPr>
            </w:pPr>
            <w:r/>
          </w:p>
          <w:p>
            <w:pPr>
              <w:pStyle w:val="TableText"/>
              <w:ind w:left="96"/>
              <w:spacing w:before="78" w:line="219" w:lineRule="auto"/>
              <w:rPr/>
            </w:pPr>
            <w:r>
              <w:rPr>
                <w:spacing w:val="-2"/>
              </w:rPr>
              <w:t>对个人</w:t>
            </w:r>
          </w:p>
        </w:tc>
        <w:tc>
          <w:tcPr>
            <w:tcW w:w="3962" w:type="dxa"/>
            <w:vAlign w:val="top"/>
          </w:tcPr>
          <w:p>
            <w:pPr>
              <w:pStyle w:val="TableText"/>
              <w:ind w:left="148" w:right="114" w:firstLine="90"/>
              <w:spacing w:before="152" w:line="272" w:lineRule="auto"/>
              <w:rPr/>
            </w:pPr>
            <w:r>
              <w:rPr>
                <w:spacing w:val="-1"/>
              </w:rPr>
              <w:t>警告，罚款365元以上500元以下，</w:t>
            </w:r>
            <w:r>
              <w:rPr>
                <w:spacing w:val="16"/>
              </w:rPr>
              <w:t xml:space="preserve"> </w:t>
            </w:r>
            <w:r>
              <w:rPr>
                <w:spacing w:val="1"/>
              </w:rPr>
              <w:t>没收用于违法活动的工具和物品</w:t>
            </w:r>
          </w:p>
        </w:tc>
      </w:tr>
      <w:tr>
        <w:trPr>
          <w:trHeight w:val="890" w:hRule="atLeast"/>
        </w:trPr>
        <w:tc>
          <w:tcPr>
            <w:tcW w:w="1354" w:type="dxa"/>
            <w:vAlign w:val="top"/>
            <w:vMerge w:val="continue"/>
            <w:tcBorders>
              <w:top w:val="nil"/>
            </w:tcBorders>
          </w:tcPr>
          <w:p>
            <w:pPr>
              <w:rPr>
                <w:rFonts w:ascii="Arial"/>
                <w:sz w:val="21"/>
              </w:rPr>
            </w:pPr>
            <w:r/>
          </w:p>
        </w:tc>
        <w:tc>
          <w:tcPr>
            <w:tcW w:w="6825" w:type="dxa"/>
            <w:vAlign w:val="top"/>
            <w:vMerge w:val="continue"/>
            <w:tcBorders>
              <w:top w:val="nil"/>
            </w:tcBorders>
          </w:tcPr>
          <w:p>
            <w:pPr>
              <w:rPr>
                <w:rFonts w:ascii="Arial"/>
                <w:sz w:val="21"/>
              </w:rPr>
            </w:pPr>
            <w:r/>
          </w:p>
        </w:tc>
        <w:tc>
          <w:tcPr>
            <w:tcW w:w="1578" w:type="dxa"/>
            <w:vAlign w:val="top"/>
          </w:tcPr>
          <w:p>
            <w:pPr>
              <w:spacing w:line="315" w:lineRule="auto"/>
              <w:rPr>
                <w:rFonts w:ascii="Arial"/>
                <w:sz w:val="21"/>
              </w:rPr>
            </w:pPr>
            <w:r/>
          </w:p>
          <w:p>
            <w:pPr>
              <w:pStyle w:val="TableText"/>
              <w:ind w:left="96"/>
              <w:spacing w:before="78" w:line="220" w:lineRule="auto"/>
              <w:rPr/>
            </w:pPr>
            <w:r>
              <w:rPr>
                <w:spacing w:val="-2"/>
              </w:rPr>
              <w:t>对单位</w:t>
            </w:r>
          </w:p>
        </w:tc>
        <w:tc>
          <w:tcPr>
            <w:tcW w:w="3962" w:type="dxa"/>
            <w:vAlign w:val="top"/>
          </w:tcPr>
          <w:p>
            <w:pPr>
              <w:pStyle w:val="TableText"/>
              <w:ind w:left="57" w:right="29" w:firstLine="180"/>
              <w:spacing w:before="172" w:line="272" w:lineRule="auto"/>
              <w:rPr/>
            </w:pPr>
            <w:r>
              <w:rPr>
                <w:spacing w:val="1"/>
              </w:rPr>
              <w:t>警告，罚款7300元以上10000元以</w:t>
            </w:r>
            <w:r>
              <w:rPr/>
              <w:t xml:space="preserve">  </w:t>
            </w:r>
            <w:r>
              <w:rPr>
                <w:spacing w:val="1"/>
              </w:rPr>
              <w:t>下，没收用于违法活动的工具和物品</w:t>
            </w:r>
          </w:p>
        </w:tc>
      </w:tr>
    </w:tbl>
    <w:p>
      <w:pPr>
        <w:ind w:left="654"/>
        <w:spacing w:before="128" w:line="222" w:lineRule="auto"/>
        <w:rPr>
          <w:rFonts w:ascii="FangSong" w:hAnsi="FangSong" w:eastAsia="FangSong" w:cs="FangSong"/>
          <w:sz w:val="30"/>
          <w:szCs w:val="30"/>
        </w:rPr>
      </w:pPr>
      <w:r>
        <w:rPr>
          <w:rFonts w:ascii="FangSong" w:hAnsi="FangSong" w:eastAsia="FangSong" w:cs="FangSong"/>
          <w:sz w:val="30"/>
          <w:szCs w:val="30"/>
          <w:b/>
          <w:bCs/>
          <w:spacing w:val="23"/>
        </w:rPr>
        <w:t>第六十二条对政府有关部门采取的预防、控制</w:t>
      </w:r>
      <w:r>
        <w:rPr>
          <w:rFonts w:ascii="FangSong" w:hAnsi="FangSong" w:eastAsia="FangSong" w:cs="FangSong"/>
          <w:sz w:val="30"/>
          <w:szCs w:val="30"/>
          <w:b/>
          <w:bCs/>
          <w:spacing w:val="22"/>
        </w:rPr>
        <w:t>措施不予配合的</w:t>
      </w:r>
    </w:p>
    <w:p>
      <w:pPr>
        <w:ind w:left="649"/>
        <w:spacing w:before="75"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firstLine="640"/>
        <w:spacing w:before="102" w:line="271" w:lineRule="auto"/>
        <w:jc w:val="both"/>
        <w:rPr>
          <w:rFonts w:ascii="FangSong" w:hAnsi="FangSong" w:eastAsia="FangSong" w:cs="FangSong"/>
          <w:sz w:val="30"/>
          <w:szCs w:val="30"/>
        </w:rPr>
      </w:pPr>
      <w:r>
        <w:rPr>
          <w:rFonts w:ascii="FangSong" w:hAnsi="FangSong" w:eastAsia="FangSong" w:cs="FangSong"/>
          <w:sz w:val="30"/>
          <w:szCs w:val="30"/>
          <w:spacing w:val="27"/>
        </w:rPr>
        <w:t>《血吸虫病防治条例》第五十二条第(二)项</w:t>
      </w:r>
      <w:r>
        <w:rPr>
          <w:rFonts w:ascii="FangSong" w:hAnsi="FangSong" w:eastAsia="FangSong" w:cs="FangSong"/>
          <w:sz w:val="30"/>
          <w:szCs w:val="30"/>
          <w:spacing w:val="27"/>
        </w:rPr>
        <w:t xml:space="preserve">   </w:t>
      </w:r>
      <w:r>
        <w:rPr>
          <w:rFonts w:ascii="FangSong" w:hAnsi="FangSong" w:eastAsia="FangSong" w:cs="FangSong"/>
          <w:sz w:val="30"/>
          <w:szCs w:val="30"/>
          <w:spacing w:val="26"/>
        </w:rPr>
        <w:t>违反本条例规定，有下列情形之一的，由县级</w:t>
      </w:r>
      <w:r>
        <w:rPr>
          <w:rFonts w:ascii="FangSong" w:hAnsi="FangSong" w:eastAsia="FangSong" w:cs="FangSong"/>
          <w:sz w:val="30"/>
          <w:szCs w:val="30"/>
        </w:rPr>
        <w:t xml:space="preserve"> </w:t>
      </w:r>
      <w:r>
        <w:rPr>
          <w:rFonts w:ascii="FangSong" w:hAnsi="FangSong" w:eastAsia="FangSong" w:cs="FangSong"/>
          <w:sz w:val="30"/>
          <w:szCs w:val="30"/>
          <w:spacing w:val="17"/>
        </w:rPr>
        <w:t>以上人民政府卫生、农业或者兽医、水利、林业主管</w:t>
      </w:r>
      <w:r>
        <w:rPr>
          <w:rFonts w:ascii="FangSong" w:hAnsi="FangSong" w:eastAsia="FangSong" w:cs="FangSong"/>
          <w:sz w:val="30"/>
          <w:szCs w:val="30"/>
          <w:spacing w:val="16"/>
        </w:rPr>
        <w:t>部门依据各自职责责令改正，给予警告，对单位</w:t>
      </w:r>
      <w:r>
        <w:rPr>
          <w:rFonts w:ascii="FangSong" w:hAnsi="FangSong" w:eastAsia="FangSong" w:cs="FangSong"/>
          <w:sz w:val="30"/>
          <w:szCs w:val="30"/>
        </w:rPr>
        <w:t xml:space="preserve"> </w:t>
      </w:r>
      <w:r>
        <w:rPr>
          <w:rFonts w:ascii="FangSong" w:hAnsi="FangSong" w:eastAsia="FangSong" w:cs="FangSong"/>
          <w:sz w:val="30"/>
          <w:szCs w:val="30"/>
          <w:spacing w:val="28"/>
        </w:rPr>
        <w:t>处1000元以上1万元以下的罚款，对个人处50元以上500元以下的罚款，并没收用于违法活动的工</w:t>
      </w:r>
      <w:r>
        <w:rPr>
          <w:rFonts w:ascii="FangSong" w:hAnsi="FangSong" w:eastAsia="FangSong" w:cs="FangSong"/>
          <w:sz w:val="30"/>
          <w:szCs w:val="30"/>
          <w:spacing w:val="12"/>
        </w:rPr>
        <w:t xml:space="preserve"> </w:t>
      </w:r>
      <w:r>
        <w:rPr>
          <w:rFonts w:ascii="FangSong" w:hAnsi="FangSong" w:eastAsia="FangSong" w:cs="FangSong"/>
          <w:sz w:val="30"/>
          <w:szCs w:val="30"/>
          <w:spacing w:val="16"/>
        </w:rPr>
        <w:t>具和物品；造成血吸虫病疫情扩散或者其他严重后果的，对负有责任的主管人员和其</w:t>
      </w:r>
      <w:r>
        <w:rPr>
          <w:rFonts w:ascii="FangSong" w:hAnsi="FangSong" w:eastAsia="FangSong" w:cs="FangSong"/>
          <w:sz w:val="30"/>
          <w:szCs w:val="30"/>
          <w:spacing w:val="15"/>
        </w:rPr>
        <w:t>他直接责任人员</w:t>
      </w:r>
      <w:r>
        <w:rPr>
          <w:rFonts w:ascii="FangSong" w:hAnsi="FangSong" w:eastAsia="FangSong" w:cs="FangSong"/>
          <w:sz w:val="30"/>
          <w:szCs w:val="30"/>
        </w:rPr>
        <w:t xml:space="preserve"> </w:t>
      </w:r>
      <w:r>
        <w:rPr>
          <w:rFonts w:ascii="FangSong" w:hAnsi="FangSong" w:eastAsia="FangSong" w:cs="FangSong"/>
          <w:sz w:val="30"/>
          <w:szCs w:val="30"/>
          <w:spacing w:val="-3"/>
        </w:rPr>
        <w:t>依法给予处分：</w:t>
      </w:r>
    </w:p>
    <w:p>
      <w:pPr>
        <w:ind w:left="780"/>
        <w:spacing w:before="2" w:line="222" w:lineRule="auto"/>
        <w:rPr>
          <w:rFonts w:ascii="FangSong" w:hAnsi="FangSong" w:eastAsia="FangSong" w:cs="FangSong"/>
          <w:sz w:val="30"/>
          <w:szCs w:val="30"/>
        </w:rPr>
      </w:pPr>
      <w:r>
        <w:rPr>
          <w:rFonts w:ascii="FangSong" w:hAnsi="FangSong" w:eastAsia="FangSong" w:cs="FangSong"/>
          <w:sz w:val="30"/>
          <w:szCs w:val="30"/>
          <w:spacing w:val="22"/>
        </w:rPr>
        <w:t>(二)对政府有关部门采取的预防、控制措施不予配合的；</w:t>
      </w:r>
    </w:p>
    <w:p>
      <w:pPr>
        <w:ind w:left="6414"/>
        <w:spacing w:before="40"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3" w:lineRule="auto"/>
        <w:rPr>
          <w:rFonts w:ascii="Arial"/>
          <w:sz w:val="2"/>
        </w:rPr>
      </w:pPr>
      <w:r>
        <w:rPr>
          <w:rFonts w:ascii="Arial"/>
          <w:sz w:val="2"/>
        </w:rPr>
      </w:r>
    </w:p>
    <w:tbl>
      <w:tblPr>
        <w:tblStyle w:val="TableNormal"/>
        <w:tblW w:w="13790" w:type="dxa"/>
        <w:tblInd w:w="7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4"/>
        <w:gridCol w:w="5556"/>
        <w:gridCol w:w="979"/>
        <w:gridCol w:w="5801"/>
      </w:tblGrid>
      <w:tr>
        <w:trPr>
          <w:trHeight w:val="433" w:hRule="atLeast"/>
        </w:trPr>
        <w:tc>
          <w:tcPr>
            <w:tcW w:w="1454" w:type="dxa"/>
            <w:vAlign w:val="top"/>
          </w:tcPr>
          <w:p>
            <w:pPr>
              <w:pStyle w:val="TableText"/>
              <w:ind w:left="218"/>
              <w:spacing w:before="92" w:line="220" w:lineRule="auto"/>
              <w:rPr>
                <w:sz w:val="25"/>
                <w:szCs w:val="25"/>
              </w:rPr>
            </w:pPr>
            <w:r>
              <w:rPr>
                <w:sz w:val="25"/>
                <w:szCs w:val="25"/>
                <w:b/>
                <w:bCs/>
                <w:spacing w:val="-5"/>
              </w:rPr>
              <w:t>违法程度</w:t>
            </w:r>
          </w:p>
        </w:tc>
        <w:tc>
          <w:tcPr>
            <w:tcW w:w="6535" w:type="dxa"/>
            <w:vAlign w:val="top"/>
            <w:gridSpan w:val="2"/>
          </w:tcPr>
          <w:p>
            <w:pPr>
              <w:pStyle w:val="TableText"/>
              <w:ind w:left="2704"/>
              <w:spacing w:before="92" w:line="220" w:lineRule="auto"/>
              <w:rPr>
                <w:sz w:val="25"/>
                <w:szCs w:val="25"/>
              </w:rPr>
            </w:pPr>
            <w:r>
              <w:rPr>
                <w:sz w:val="25"/>
                <w:szCs w:val="25"/>
                <w:b/>
                <w:bCs/>
                <w:spacing w:val="-5"/>
              </w:rPr>
              <w:t>情节后果</w:t>
            </w:r>
          </w:p>
        </w:tc>
        <w:tc>
          <w:tcPr>
            <w:tcW w:w="5801" w:type="dxa"/>
            <w:vAlign w:val="top"/>
          </w:tcPr>
          <w:p>
            <w:pPr>
              <w:pStyle w:val="TableText"/>
              <w:ind w:left="2399"/>
              <w:spacing w:before="89" w:line="218" w:lineRule="auto"/>
              <w:rPr>
                <w:sz w:val="25"/>
                <w:szCs w:val="25"/>
              </w:rPr>
            </w:pPr>
            <w:r>
              <w:rPr>
                <w:sz w:val="25"/>
                <w:szCs w:val="25"/>
                <w:b/>
                <w:bCs/>
                <w:spacing w:val="-5"/>
              </w:rPr>
              <w:t>裁量幅度</w:t>
            </w:r>
          </w:p>
        </w:tc>
      </w:tr>
      <w:tr>
        <w:trPr>
          <w:trHeight w:val="866" w:hRule="atLeast"/>
        </w:trPr>
        <w:tc>
          <w:tcPr>
            <w:tcW w:w="1454" w:type="dxa"/>
            <w:vAlign w:val="top"/>
            <w:vMerge w:val="restart"/>
            <w:tcBorders>
              <w:bottom w:val="nil"/>
            </w:tcBorders>
          </w:tcPr>
          <w:p>
            <w:pPr>
              <w:spacing w:line="336" w:lineRule="auto"/>
              <w:rPr>
                <w:rFonts w:ascii="Arial"/>
                <w:sz w:val="21"/>
              </w:rPr>
            </w:pPr>
            <w:r/>
          </w:p>
          <w:p>
            <w:pPr>
              <w:spacing w:line="337" w:lineRule="auto"/>
              <w:rPr>
                <w:rFonts w:ascii="Arial"/>
                <w:sz w:val="21"/>
              </w:rPr>
            </w:pPr>
            <w:r/>
          </w:p>
          <w:p>
            <w:pPr>
              <w:pStyle w:val="TableText"/>
              <w:ind w:left="468"/>
              <w:spacing w:before="81" w:line="219" w:lineRule="auto"/>
              <w:rPr>
                <w:sz w:val="25"/>
                <w:szCs w:val="25"/>
              </w:rPr>
            </w:pPr>
            <w:r>
              <w:rPr>
                <w:sz w:val="25"/>
                <w:szCs w:val="25"/>
                <w:b/>
                <w:bCs/>
                <w:spacing w:val="-6"/>
              </w:rPr>
              <w:t>较轻</w:t>
            </w:r>
          </w:p>
        </w:tc>
        <w:tc>
          <w:tcPr>
            <w:tcW w:w="5556"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pStyle w:val="TableText"/>
              <w:ind w:left="120"/>
              <w:spacing w:before="81" w:line="335" w:lineRule="auto"/>
              <w:rPr>
                <w:sz w:val="25"/>
                <w:szCs w:val="25"/>
              </w:rPr>
            </w:pPr>
            <w:r>
              <w:rPr>
                <w:sz w:val="25"/>
                <w:szCs w:val="25"/>
                <w:spacing w:val="-4"/>
              </w:rPr>
              <w:t>对政府有关部门采取的预防、控制措施不予配合，</w:t>
            </w:r>
            <w:r>
              <w:rPr>
                <w:sz w:val="25"/>
                <w:szCs w:val="25"/>
                <w:spacing w:val="11"/>
              </w:rPr>
              <w:t xml:space="preserve"> </w:t>
            </w:r>
            <w:r>
              <w:rPr>
                <w:sz w:val="25"/>
                <w:szCs w:val="25"/>
              </w:rPr>
              <w:t>已及时改正的</w:t>
            </w:r>
          </w:p>
        </w:tc>
        <w:tc>
          <w:tcPr>
            <w:tcW w:w="979" w:type="dxa"/>
            <w:vAlign w:val="top"/>
          </w:tcPr>
          <w:p>
            <w:pPr>
              <w:spacing w:line="279" w:lineRule="auto"/>
              <w:rPr>
                <w:rFonts w:ascii="Arial"/>
                <w:sz w:val="21"/>
              </w:rPr>
            </w:pPr>
            <w:r/>
          </w:p>
          <w:p>
            <w:pPr>
              <w:pStyle w:val="TableText"/>
              <w:ind w:left="105"/>
              <w:spacing w:before="81" w:line="219" w:lineRule="auto"/>
              <w:rPr>
                <w:sz w:val="25"/>
                <w:szCs w:val="25"/>
              </w:rPr>
            </w:pPr>
            <w:r>
              <w:rPr>
                <w:sz w:val="25"/>
                <w:szCs w:val="25"/>
                <w:spacing w:val="-2"/>
              </w:rPr>
              <w:t>对个人</w:t>
            </w:r>
          </w:p>
        </w:tc>
        <w:tc>
          <w:tcPr>
            <w:tcW w:w="5801" w:type="dxa"/>
            <w:vAlign w:val="top"/>
          </w:tcPr>
          <w:p>
            <w:pPr>
              <w:pStyle w:val="TableText"/>
              <w:ind w:left="125" w:right="67" w:hanging="49"/>
              <w:spacing w:before="149" w:line="261" w:lineRule="auto"/>
              <w:rPr>
                <w:sz w:val="25"/>
                <w:szCs w:val="25"/>
              </w:rPr>
            </w:pPr>
            <w:r>
              <w:rPr>
                <w:sz w:val="25"/>
                <w:szCs w:val="25"/>
                <w:spacing w:val="1"/>
              </w:rPr>
              <w:t>警告，罚款50元以上185元以下，没收用于</w:t>
            </w:r>
            <w:r>
              <w:rPr>
                <w:sz w:val="25"/>
                <w:szCs w:val="25"/>
              </w:rPr>
              <w:t>违法活动 </w:t>
            </w:r>
            <w:r>
              <w:rPr>
                <w:sz w:val="25"/>
                <w:szCs w:val="25"/>
                <w:spacing w:val="4"/>
              </w:rPr>
              <w:t>的工具和物品</w:t>
            </w:r>
          </w:p>
        </w:tc>
      </w:tr>
      <w:tr>
        <w:trPr>
          <w:trHeight w:val="881" w:hRule="atLeast"/>
        </w:trPr>
        <w:tc>
          <w:tcPr>
            <w:tcW w:w="1454" w:type="dxa"/>
            <w:vAlign w:val="top"/>
            <w:vMerge w:val="continue"/>
            <w:tcBorders>
              <w:top w:val="nil"/>
            </w:tcBorders>
          </w:tcPr>
          <w:p>
            <w:pPr>
              <w:rPr>
                <w:rFonts w:ascii="Arial"/>
                <w:sz w:val="21"/>
              </w:rPr>
            </w:pPr>
            <w:r/>
          </w:p>
        </w:tc>
        <w:tc>
          <w:tcPr>
            <w:tcW w:w="5556" w:type="dxa"/>
            <w:vAlign w:val="top"/>
            <w:vMerge w:val="continue"/>
            <w:tcBorders>
              <w:top w:val="nil"/>
            </w:tcBorders>
          </w:tcPr>
          <w:p>
            <w:pPr>
              <w:rPr>
                <w:rFonts w:ascii="Arial"/>
                <w:sz w:val="21"/>
              </w:rPr>
            </w:pPr>
            <w:r/>
          </w:p>
        </w:tc>
        <w:tc>
          <w:tcPr>
            <w:tcW w:w="979" w:type="dxa"/>
            <w:vAlign w:val="top"/>
          </w:tcPr>
          <w:p>
            <w:pPr>
              <w:spacing w:line="300" w:lineRule="auto"/>
              <w:rPr>
                <w:rFonts w:ascii="Arial"/>
                <w:sz w:val="21"/>
              </w:rPr>
            </w:pPr>
            <w:r/>
          </w:p>
          <w:p>
            <w:pPr>
              <w:pStyle w:val="TableText"/>
              <w:ind w:left="108"/>
              <w:spacing w:before="81" w:line="220" w:lineRule="auto"/>
              <w:rPr>
                <w:sz w:val="25"/>
                <w:szCs w:val="25"/>
              </w:rPr>
            </w:pPr>
            <w:r>
              <w:rPr>
                <w:sz w:val="25"/>
                <w:szCs w:val="25"/>
                <w:b/>
                <w:bCs/>
                <w:spacing w:val="-5"/>
              </w:rPr>
              <w:t>对单位</w:t>
            </w:r>
          </w:p>
        </w:tc>
        <w:tc>
          <w:tcPr>
            <w:tcW w:w="5801" w:type="dxa"/>
            <w:vAlign w:val="top"/>
          </w:tcPr>
          <w:p>
            <w:pPr>
              <w:pStyle w:val="TableText"/>
              <w:ind w:left="116" w:right="136" w:firstLine="30"/>
              <w:spacing w:before="174" w:line="257" w:lineRule="auto"/>
              <w:rPr>
                <w:sz w:val="25"/>
                <w:szCs w:val="25"/>
              </w:rPr>
            </w:pPr>
            <w:r>
              <w:rPr>
                <w:sz w:val="25"/>
                <w:szCs w:val="25"/>
              </w:rPr>
              <w:t>警告，罚款1000元以上3700元以下，没收用于违法</w:t>
            </w:r>
            <w:r>
              <w:rPr>
                <w:sz w:val="25"/>
                <w:szCs w:val="25"/>
                <w:spacing w:val="7"/>
              </w:rPr>
              <w:t xml:space="preserve"> </w:t>
            </w:r>
            <w:r>
              <w:rPr>
                <w:sz w:val="25"/>
                <w:szCs w:val="25"/>
                <w:spacing w:val="3"/>
              </w:rPr>
              <w:t>活动的工具和物品</w:t>
            </w:r>
          </w:p>
        </w:tc>
      </w:tr>
    </w:tbl>
    <w:p>
      <w:pPr>
        <w:pStyle w:val="BodyText"/>
        <w:rPr/>
      </w:pPr>
      <w:r/>
    </w:p>
    <w:p>
      <w:pPr>
        <w:sectPr>
          <w:footerReference w:type="default" r:id="rId139"/>
          <w:pgSz w:w="16830" w:h="11900"/>
          <w:pgMar w:top="1011" w:right="1457" w:bottom="1108" w:left="1439" w:header="0" w:footer="775" w:gutter="0"/>
        </w:sectPr>
        <w:rPr/>
      </w:pPr>
    </w:p>
    <w:p>
      <w:pPr>
        <w:spacing w:before="20"/>
        <w:rPr/>
      </w:pPr>
      <w:r/>
    </w:p>
    <w:p>
      <w:pPr>
        <w:spacing w:before="20"/>
        <w:rPr/>
      </w:pPr>
      <w:r/>
    </w:p>
    <w:p>
      <w:pPr>
        <w:spacing w:before="19"/>
        <w:rPr/>
      </w:pPr>
      <w:r/>
    </w:p>
    <w:tbl>
      <w:tblPr>
        <w:tblStyle w:val="TableNormal"/>
        <w:tblW w:w="13790" w:type="dxa"/>
        <w:tblInd w:w="8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74"/>
        <w:gridCol w:w="5526"/>
        <w:gridCol w:w="989"/>
        <w:gridCol w:w="5801"/>
      </w:tblGrid>
      <w:tr>
        <w:trPr>
          <w:trHeight w:val="873" w:hRule="atLeast"/>
        </w:trPr>
        <w:tc>
          <w:tcPr>
            <w:tcW w:w="1474" w:type="dxa"/>
            <w:vAlign w:val="top"/>
            <w:vMerge w:val="restart"/>
            <w:tcBorders>
              <w:bottom w:val="nil"/>
            </w:tcBorders>
          </w:tcPr>
          <w:p>
            <w:pPr>
              <w:spacing w:line="340" w:lineRule="auto"/>
              <w:rPr>
                <w:rFonts w:ascii="Arial"/>
                <w:sz w:val="21"/>
              </w:rPr>
            </w:pPr>
            <w:r/>
          </w:p>
          <w:p>
            <w:pPr>
              <w:spacing w:line="340" w:lineRule="auto"/>
              <w:rPr>
                <w:rFonts w:ascii="Arial"/>
                <w:sz w:val="21"/>
              </w:rPr>
            </w:pPr>
            <w:r/>
          </w:p>
          <w:p>
            <w:pPr>
              <w:pStyle w:val="TableText"/>
              <w:ind w:left="488"/>
              <w:spacing w:before="78" w:line="221" w:lineRule="auto"/>
              <w:rPr/>
            </w:pPr>
            <w:bookmarkStart w:name="bookmark800" w:id="104"/>
            <w:bookmarkEnd w:id="104"/>
            <w:r>
              <w:rPr>
                <w:b/>
                <w:bCs/>
                <w:spacing w:val="-10"/>
              </w:rPr>
              <w:t>一般</w:t>
            </w:r>
          </w:p>
        </w:tc>
        <w:tc>
          <w:tcPr>
            <w:tcW w:w="5526"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pStyle w:val="TableText"/>
              <w:ind w:left="100" w:right="134"/>
              <w:spacing w:before="78" w:line="349" w:lineRule="auto"/>
              <w:rPr/>
            </w:pPr>
            <w:r>
              <w:rPr/>
              <w:t>对政府有关部门采取的预防、控制措施不予配合， </w:t>
            </w:r>
            <w:r>
              <w:rPr>
                <w:spacing w:val="3"/>
              </w:rPr>
              <w:t>逾期改正的</w:t>
            </w:r>
          </w:p>
        </w:tc>
        <w:tc>
          <w:tcPr>
            <w:tcW w:w="989" w:type="dxa"/>
            <w:vAlign w:val="top"/>
          </w:tcPr>
          <w:p>
            <w:pPr>
              <w:spacing w:line="245" w:lineRule="auto"/>
              <w:rPr>
                <w:rFonts w:ascii="Arial"/>
                <w:sz w:val="21"/>
              </w:rPr>
            </w:pPr>
            <w:r/>
          </w:p>
          <w:p>
            <w:pPr>
              <w:pStyle w:val="TableText"/>
              <w:ind w:left="125"/>
              <w:spacing w:before="78" w:line="219" w:lineRule="auto"/>
              <w:rPr/>
            </w:pPr>
            <w:r>
              <w:rPr>
                <w:spacing w:val="-2"/>
              </w:rPr>
              <w:t>对个人</w:t>
            </w:r>
          </w:p>
        </w:tc>
        <w:tc>
          <w:tcPr>
            <w:tcW w:w="5801" w:type="dxa"/>
            <w:vAlign w:val="top"/>
          </w:tcPr>
          <w:p>
            <w:pPr>
              <w:pStyle w:val="TableText"/>
              <w:ind w:left="116" w:right="385"/>
              <w:spacing w:before="132" w:line="281" w:lineRule="auto"/>
              <w:rPr/>
            </w:pPr>
            <w:r>
              <w:rPr/>
              <w:t>警告，罚款185元以上365元以下，没收用于违法活</w:t>
            </w:r>
            <w:r>
              <w:rPr>
                <w:spacing w:val="8"/>
              </w:rPr>
              <w:t xml:space="preserve"> </w:t>
            </w:r>
            <w:r>
              <w:rPr>
                <w:spacing w:val="3"/>
              </w:rPr>
              <w:t>动的工具和物品</w:t>
            </w:r>
          </w:p>
        </w:tc>
      </w:tr>
      <w:tr>
        <w:trPr>
          <w:trHeight w:val="877" w:hRule="atLeast"/>
        </w:trPr>
        <w:tc>
          <w:tcPr>
            <w:tcW w:w="1474" w:type="dxa"/>
            <w:vAlign w:val="top"/>
            <w:vMerge w:val="continue"/>
            <w:tcBorders>
              <w:top w:val="nil"/>
            </w:tcBorders>
          </w:tcPr>
          <w:p>
            <w:pPr>
              <w:rPr>
                <w:rFonts w:ascii="Arial"/>
                <w:sz w:val="21"/>
              </w:rPr>
            </w:pPr>
            <w:r/>
          </w:p>
        </w:tc>
        <w:tc>
          <w:tcPr>
            <w:tcW w:w="5526" w:type="dxa"/>
            <w:vAlign w:val="top"/>
            <w:vMerge w:val="continue"/>
            <w:tcBorders>
              <w:top w:val="nil"/>
            </w:tcBorders>
          </w:tcPr>
          <w:p>
            <w:pPr>
              <w:rPr>
                <w:rFonts w:ascii="Arial"/>
                <w:sz w:val="21"/>
              </w:rPr>
            </w:pPr>
            <w:r/>
          </w:p>
        </w:tc>
        <w:tc>
          <w:tcPr>
            <w:tcW w:w="989" w:type="dxa"/>
            <w:vAlign w:val="top"/>
          </w:tcPr>
          <w:p>
            <w:pPr>
              <w:spacing w:line="243" w:lineRule="auto"/>
              <w:rPr>
                <w:rFonts w:ascii="Arial"/>
                <w:sz w:val="21"/>
              </w:rPr>
            </w:pPr>
            <w:r/>
          </w:p>
          <w:p>
            <w:pPr>
              <w:pStyle w:val="TableText"/>
              <w:ind w:left="125"/>
              <w:spacing w:before="78" w:line="220" w:lineRule="auto"/>
              <w:rPr/>
            </w:pPr>
            <w:r>
              <w:rPr>
                <w:spacing w:val="-2"/>
              </w:rPr>
              <w:t>对单位</w:t>
            </w:r>
          </w:p>
        </w:tc>
        <w:tc>
          <w:tcPr>
            <w:tcW w:w="5801" w:type="dxa"/>
            <w:vAlign w:val="top"/>
          </w:tcPr>
          <w:p>
            <w:pPr>
              <w:pStyle w:val="TableText"/>
              <w:ind w:left="116" w:right="386"/>
              <w:spacing w:before="139" w:line="280" w:lineRule="auto"/>
              <w:rPr/>
            </w:pPr>
            <w:r>
              <w:rPr/>
              <w:t>警告，罚款3700元以上7300元以下，没收用于违法</w:t>
            </w:r>
            <w:r>
              <w:rPr>
                <w:spacing w:val="7"/>
              </w:rPr>
              <w:t xml:space="preserve"> </w:t>
            </w:r>
            <w:r>
              <w:rPr>
                <w:spacing w:val="3"/>
              </w:rPr>
              <w:t>活动的工具和物品</w:t>
            </w:r>
          </w:p>
        </w:tc>
      </w:tr>
      <w:tr>
        <w:trPr>
          <w:trHeight w:val="868" w:hRule="atLeast"/>
        </w:trPr>
        <w:tc>
          <w:tcPr>
            <w:tcW w:w="1474" w:type="dxa"/>
            <w:vAlign w:val="top"/>
            <w:vMerge w:val="restart"/>
            <w:tcBorders>
              <w:bottom w:val="nil"/>
            </w:tcBorders>
          </w:tcPr>
          <w:p>
            <w:pPr>
              <w:spacing w:line="341" w:lineRule="auto"/>
              <w:rPr>
                <w:rFonts w:ascii="Arial"/>
                <w:sz w:val="21"/>
              </w:rPr>
            </w:pPr>
            <w:r/>
          </w:p>
          <w:p>
            <w:pPr>
              <w:spacing w:line="341" w:lineRule="auto"/>
              <w:rPr>
                <w:rFonts w:ascii="Arial"/>
                <w:sz w:val="21"/>
              </w:rPr>
            </w:pPr>
            <w:r/>
          </w:p>
          <w:p>
            <w:pPr>
              <w:pStyle w:val="TableText"/>
              <w:ind w:left="488"/>
              <w:spacing w:before="78" w:line="221" w:lineRule="auto"/>
              <w:rPr/>
            </w:pPr>
            <w:r>
              <w:rPr>
                <w:b/>
                <w:bCs/>
                <w:spacing w:val="-5"/>
              </w:rPr>
              <w:t>较重</w:t>
            </w:r>
          </w:p>
        </w:tc>
        <w:tc>
          <w:tcPr>
            <w:tcW w:w="552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pStyle w:val="TableText"/>
              <w:ind w:left="100" w:right="134"/>
              <w:spacing w:before="78" w:line="349" w:lineRule="auto"/>
              <w:rPr/>
            </w:pPr>
            <w:r>
              <w:rPr/>
              <w:t>对政府有关部门采取的预防、控制措施不予配合， </w:t>
            </w:r>
            <w:r>
              <w:rPr>
                <w:spacing w:val="1"/>
              </w:rPr>
              <w:t>拒不改正或造成血吸虫病疫情扩散的</w:t>
            </w:r>
          </w:p>
        </w:tc>
        <w:tc>
          <w:tcPr>
            <w:tcW w:w="989" w:type="dxa"/>
            <w:vAlign w:val="top"/>
          </w:tcPr>
          <w:p>
            <w:pPr>
              <w:spacing w:line="245" w:lineRule="auto"/>
              <w:rPr>
                <w:rFonts w:ascii="Arial"/>
                <w:sz w:val="21"/>
              </w:rPr>
            </w:pPr>
            <w:r/>
          </w:p>
          <w:p>
            <w:pPr>
              <w:pStyle w:val="TableText"/>
              <w:ind w:left="125"/>
              <w:spacing w:before="78" w:line="219" w:lineRule="auto"/>
              <w:rPr/>
            </w:pPr>
            <w:r>
              <w:rPr>
                <w:spacing w:val="-2"/>
              </w:rPr>
              <w:t>对个人</w:t>
            </w:r>
          </w:p>
        </w:tc>
        <w:tc>
          <w:tcPr>
            <w:tcW w:w="5801" w:type="dxa"/>
            <w:vAlign w:val="top"/>
          </w:tcPr>
          <w:p>
            <w:pPr>
              <w:pStyle w:val="TableText"/>
              <w:ind w:left="116" w:right="385"/>
              <w:spacing w:before="153" w:line="271" w:lineRule="auto"/>
              <w:rPr/>
            </w:pPr>
            <w:r>
              <w:rPr/>
              <w:t>警告，罚款365元以上500元以下，没收用于违法活</w:t>
            </w:r>
            <w:r>
              <w:rPr>
                <w:spacing w:val="8"/>
              </w:rPr>
              <w:t xml:space="preserve"> </w:t>
            </w:r>
            <w:r>
              <w:rPr>
                <w:spacing w:val="3"/>
              </w:rPr>
              <w:t>动的工具和物品</w:t>
            </w:r>
          </w:p>
        </w:tc>
      </w:tr>
      <w:tr>
        <w:trPr>
          <w:trHeight w:val="882" w:hRule="atLeast"/>
        </w:trPr>
        <w:tc>
          <w:tcPr>
            <w:tcW w:w="1474" w:type="dxa"/>
            <w:vAlign w:val="top"/>
            <w:vMerge w:val="continue"/>
            <w:tcBorders>
              <w:top w:val="nil"/>
            </w:tcBorders>
          </w:tcPr>
          <w:p>
            <w:pPr>
              <w:rPr>
                <w:rFonts w:ascii="Arial"/>
                <w:sz w:val="21"/>
              </w:rPr>
            </w:pPr>
            <w:r/>
          </w:p>
        </w:tc>
        <w:tc>
          <w:tcPr>
            <w:tcW w:w="5526" w:type="dxa"/>
            <w:vAlign w:val="top"/>
            <w:vMerge w:val="continue"/>
            <w:tcBorders>
              <w:top w:val="nil"/>
            </w:tcBorders>
          </w:tcPr>
          <w:p>
            <w:pPr>
              <w:rPr>
                <w:rFonts w:ascii="Arial"/>
                <w:sz w:val="21"/>
              </w:rPr>
            </w:pPr>
            <w:r/>
          </w:p>
        </w:tc>
        <w:tc>
          <w:tcPr>
            <w:tcW w:w="989" w:type="dxa"/>
            <w:vAlign w:val="top"/>
          </w:tcPr>
          <w:p>
            <w:pPr>
              <w:spacing w:line="297" w:lineRule="auto"/>
              <w:rPr>
                <w:rFonts w:ascii="Arial"/>
                <w:sz w:val="21"/>
              </w:rPr>
            </w:pPr>
            <w:r/>
          </w:p>
          <w:p>
            <w:pPr>
              <w:pStyle w:val="TableText"/>
              <w:ind w:left="125"/>
              <w:spacing w:before="78" w:line="220" w:lineRule="auto"/>
              <w:rPr/>
            </w:pPr>
            <w:r>
              <w:rPr>
                <w:spacing w:val="-2"/>
              </w:rPr>
              <w:t>对单位</w:t>
            </w:r>
          </w:p>
        </w:tc>
        <w:tc>
          <w:tcPr>
            <w:tcW w:w="5801" w:type="dxa"/>
            <w:vAlign w:val="top"/>
          </w:tcPr>
          <w:p>
            <w:pPr>
              <w:pStyle w:val="TableText"/>
              <w:ind w:left="116" w:right="266"/>
              <w:spacing w:before="164" w:line="272" w:lineRule="auto"/>
              <w:rPr/>
            </w:pPr>
            <w:r>
              <w:rPr/>
              <w:t>警告，罚款7300元以上10000元以下，没收用于违法</w:t>
            </w:r>
            <w:r>
              <w:rPr>
                <w:spacing w:val="7"/>
              </w:rPr>
              <w:t xml:space="preserve"> </w:t>
            </w:r>
            <w:r>
              <w:rPr>
                <w:spacing w:val="3"/>
              </w:rPr>
              <w:t>活动的工具和物品</w:t>
            </w:r>
          </w:p>
        </w:tc>
      </w:tr>
    </w:tbl>
    <w:p>
      <w:pPr>
        <w:ind w:left="664"/>
        <w:spacing w:before="107" w:line="221" w:lineRule="auto"/>
        <w:rPr>
          <w:rFonts w:ascii="FangSong" w:hAnsi="FangSong" w:eastAsia="FangSong" w:cs="FangSong"/>
          <w:sz w:val="30"/>
          <w:szCs w:val="30"/>
        </w:rPr>
      </w:pPr>
      <w:r>
        <w:rPr>
          <w:rFonts w:ascii="FangSong" w:hAnsi="FangSong" w:eastAsia="FangSong" w:cs="FangSong"/>
          <w:sz w:val="30"/>
          <w:szCs w:val="30"/>
          <w:b/>
          <w:bCs/>
          <w:spacing w:val="23"/>
        </w:rPr>
        <w:t>第六十三条使用国家明令禁止使用的药物杀灭钉螺的</w:t>
      </w:r>
    </w:p>
    <w:p>
      <w:pPr>
        <w:ind w:left="659"/>
        <w:spacing w:before="68"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firstLine="649"/>
        <w:spacing w:before="101" w:line="265" w:lineRule="auto"/>
        <w:jc w:val="both"/>
        <w:rPr>
          <w:rFonts w:ascii="FangSong" w:hAnsi="FangSong" w:eastAsia="FangSong" w:cs="FangSong"/>
          <w:sz w:val="30"/>
          <w:szCs w:val="30"/>
        </w:rPr>
      </w:pPr>
      <w:r>
        <w:rPr>
          <w:rFonts w:ascii="FangSong" w:hAnsi="FangSong" w:eastAsia="FangSong" w:cs="FangSong"/>
          <w:sz w:val="30"/>
          <w:szCs w:val="30"/>
          <w:spacing w:val="26"/>
        </w:rPr>
        <w:t>《血吸虫病防治条例》第五十二条第(三)项</w:t>
      </w:r>
      <w:r>
        <w:rPr>
          <w:rFonts w:ascii="FangSong" w:hAnsi="FangSong" w:eastAsia="FangSong" w:cs="FangSong"/>
          <w:sz w:val="30"/>
          <w:szCs w:val="30"/>
          <w:spacing w:val="26"/>
        </w:rPr>
        <w:t xml:space="preserve">   </w:t>
      </w:r>
      <w:r>
        <w:rPr>
          <w:rFonts w:ascii="FangSong" w:hAnsi="FangSong" w:eastAsia="FangSong" w:cs="FangSong"/>
          <w:sz w:val="30"/>
          <w:szCs w:val="30"/>
          <w:spacing w:val="26"/>
        </w:rPr>
        <w:t>违反本条例规定，有下列情形之一的，由县级</w:t>
      </w:r>
      <w:r>
        <w:rPr>
          <w:rFonts w:ascii="FangSong" w:hAnsi="FangSong" w:eastAsia="FangSong" w:cs="FangSong"/>
          <w:sz w:val="30"/>
          <w:szCs w:val="30"/>
          <w:spacing w:val="13"/>
        </w:rPr>
        <w:t xml:space="preserve"> </w:t>
      </w:r>
      <w:r>
        <w:rPr>
          <w:rFonts w:ascii="FangSong" w:hAnsi="FangSong" w:eastAsia="FangSong" w:cs="FangSong"/>
          <w:sz w:val="30"/>
          <w:szCs w:val="30"/>
          <w:spacing w:val="17"/>
        </w:rPr>
        <w:t>以上人民政府卫生、农业或者兽医、水利、林业主管</w:t>
      </w:r>
      <w:r>
        <w:rPr>
          <w:rFonts w:ascii="FangSong" w:hAnsi="FangSong" w:eastAsia="FangSong" w:cs="FangSong"/>
          <w:sz w:val="30"/>
          <w:szCs w:val="30"/>
          <w:spacing w:val="16"/>
        </w:rPr>
        <w:t>部门依据各自职责责令改正，给予警告，对单位</w:t>
      </w:r>
      <w:r>
        <w:rPr>
          <w:rFonts w:ascii="FangSong" w:hAnsi="FangSong" w:eastAsia="FangSong" w:cs="FangSong"/>
          <w:sz w:val="30"/>
          <w:szCs w:val="30"/>
        </w:rPr>
        <w:t xml:space="preserve"> </w:t>
      </w:r>
      <w:r>
        <w:rPr>
          <w:rFonts w:ascii="FangSong" w:hAnsi="FangSong" w:eastAsia="FangSong" w:cs="FangSong"/>
          <w:sz w:val="30"/>
          <w:szCs w:val="30"/>
          <w:spacing w:val="28"/>
        </w:rPr>
        <w:t>处1000元以上1万元以下的罚款，对个人处50元以上500元以下的罚款，并没收用于违法活动的工</w:t>
      </w:r>
      <w:r>
        <w:rPr>
          <w:rFonts w:ascii="FangSong" w:hAnsi="FangSong" w:eastAsia="FangSong" w:cs="FangSong"/>
          <w:sz w:val="30"/>
          <w:szCs w:val="30"/>
          <w:spacing w:val="12"/>
        </w:rPr>
        <w:t xml:space="preserve"> </w:t>
      </w:r>
      <w:r>
        <w:rPr>
          <w:rFonts w:ascii="FangSong" w:hAnsi="FangSong" w:eastAsia="FangSong" w:cs="FangSong"/>
          <w:sz w:val="30"/>
          <w:szCs w:val="30"/>
          <w:spacing w:val="16"/>
        </w:rPr>
        <w:t>具和物品；造成血吸虫病疫情扩散或者其他严重后果的，对负有责任的主管人员和其他直接责任人员</w:t>
      </w:r>
      <w:r>
        <w:rPr>
          <w:rFonts w:ascii="FangSong" w:hAnsi="FangSong" w:eastAsia="FangSong" w:cs="FangSong"/>
          <w:sz w:val="30"/>
          <w:szCs w:val="30"/>
          <w:spacing w:val="13"/>
        </w:rPr>
        <w:t xml:space="preserve"> </w:t>
      </w:r>
      <w:r>
        <w:rPr>
          <w:rFonts w:ascii="FangSong" w:hAnsi="FangSong" w:eastAsia="FangSong" w:cs="FangSong"/>
          <w:sz w:val="30"/>
          <w:szCs w:val="30"/>
          <w:spacing w:val="7"/>
        </w:rPr>
        <w:t>依法给予处分：</w:t>
      </w:r>
    </w:p>
    <w:p>
      <w:pPr>
        <w:ind w:left="799"/>
        <w:spacing w:before="31" w:line="221" w:lineRule="auto"/>
        <w:rPr>
          <w:rFonts w:ascii="FangSong" w:hAnsi="FangSong" w:eastAsia="FangSong" w:cs="FangSong"/>
          <w:sz w:val="30"/>
          <w:szCs w:val="30"/>
        </w:rPr>
      </w:pPr>
      <w:r>
        <w:rPr>
          <w:rFonts w:ascii="FangSong" w:hAnsi="FangSong" w:eastAsia="FangSong" w:cs="FangSong"/>
          <w:sz w:val="30"/>
          <w:szCs w:val="30"/>
          <w:spacing w:val="23"/>
        </w:rPr>
        <w:t>(三)使用国家明令禁止使用的药物杀灭钉螺的；</w:t>
      </w:r>
    </w:p>
    <w:p>
      <w:pPr>
        <w:spacing w:line="221" w:lineRule="auto"/>
        <w:sectPr>
          <w:footerReference w:type="default" r:id="rId140"/>
          <w:pgSz w:w="16830" w:h="11900"/>
          <w:pgMar w:top="1011" w:right="1467" w:bottom="1107" w:left="1430" w:header="0" w:footer="774" w:gutter="0"/>
        </w:sectPr>
        <w:rPr>
          <w:rFonts w:ascii="FangSong" w:hAnsi="FangSong" w:eastAsia="FangSong" w:cs="FangSong"/>
          <w:sz w:val="30"/>
          <w:szCs w:val="30"/>
        </w:rPr>
      </w:pPr>
    </w:p>
    <w:p>
      <w:pPr>
        <w:pStyle w:val="BodyText"/>
        <w:spacing w:line="259" w:lineRule="auto"/>
        <w:rPr/>
      </w:pPr>
      <w:r/>
    </w:p>
    <w:p>
      <w:pPr>
        <w:pStyle w:val="BodyText"/>
        <w:spacing w:line="259" w:lineRule="auto"/>
        <w:rPr/>
      </w:pPr>
      <w:r/>
    </w:p>
    <w:p>
      <w:pPr>
        <w:pStyle w:val="BodyText"/>
        <w:spacing w:line="260" w:lineRule="auto"/>
        <w:rPr/>
      </w:pPr>
      <w:r/>
    </w:p>
    <w:p>
      <w:pPr>
        <w:ind w:left="6394"/>
        <w:spacing w:before="104" w:line="188" w:lineRule="auto"/>
        <w:rPr>
          <w:rFonts w:ascii="SimSun" w:hAnsi="SimSun" w:eastAsia="SimSun" w:cs="SimSun"/>
          <w:sz w:val="32"/>
          <w:szCs w:val="32"/>
        </w:rPr>
      </w:pPr>
      <w:bookmarkStart w:name="bookmark801" w:id="105"/>
      <w:bookmarkEnd w:id="105"/>
      <w:r>
        <w:rPr>
          <w:rFonts w:ascii="SimSun" w:hAnsi="SimSun" w:eastAsia="SimSun" w:cs="SimSun"/>
          <w:sz w:val="32"/>
          <w:szCs w:val="32"/>
          <w:b/>
          <w:bCs/>
          <w:spacing w:val="-6"/>
        </w:rPr>
        <w:t>裁量标准</w:t>
      </w:r>
    </w:p>
    <w:tbl>
      <w:tblPr>
        <w:tblStyle w:val="TableNormal"/>
        <w:tblW w:w="13819" w:type="dxa"/>
        <w:tblInd w:w="4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94"/>
        <w:gridCol w:w="6235"/>
        <w:gridCol w:w="1548"/>
        <w:gridCol w:w="4542"/>
      </w:tblGrid>
      <w:tr>
        <w:trPr>
          <w:trHeight w:val="574" w:hRule="atLeast"/>
        </w:trPr>
        <w:tc>
          <w:tcPr>
            <w:tcW w:w="1494" w:type="dxa"/>
            <w:vAlign w:val="top"/>
          </w:tcPr>
          <w:p>
            <w:pPr>
              <w:pStyle w:val="TableText"/>
              <w:ind w:left="158"/>
              <w:spacing w:before="17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7783" w:type="dxa"/>
            <w:vAlign w:val="top"/>
            <w:gridSpan w:val="2"/>
          </w:tcPr>
          <w:p>
            <w:pPr>
              <w:pStyle w:val="TableText"/>
              <w:ind w:left="3324"/>
              <w:spacing w:before="172" w:line="220" w:lineRule="auto"/>
              <w:rPr/>
            </w:pPr>
            <w:r>
              <w:rPr>
                <w:b/>
                <w:bCs/>
                <w:spacing w:val="-5"/>
              </w:rPr>
              <w:t>情节后果</w:t>
            </w:r>
          </w:p>
        </w:tc>
        <w:tc>
          <w:tcPr>
            <w:tcW w:w="4542" w:type="dxa"/>
            <w:vAlign w:val="top"/>
          </w:tcPr>
          <w:p>
            <w:pPr>
              <w:pStyle w:val="TableText"/>
              <w:ind w:left="1791"/>
              <w:spacing w:before="169" w:line="218" w:lineRule="auto"/>
              <w:rPr/>
            </w:pPr>
            <w:r>
              <w:rPr>
                <w:b/>
                <w:bCs/>
                <w:spacing w:val="-5"/>
              </w:rPr>
              <w:t>裁量幅度</w:t>
            </w:r>
          </w:p>
        </w:tc>
      </w:tr>
      <w:tr>
        <w:trPr>
          <w:trHeight w:val="869" w:hRule="atLeast"/>
        </w:trPr>
        <w:tc>
          <w:tcPr>
            <w:tcW w:w="1494" w:type="dxa"/>
            <w:vAlign w:val="top"/>
            <w:vMerge w:val="restart"/>
            <w:tcBorders>
              <w:bottom w:val="nil"/>
            </w:tcBorders>
          </w:tcPr>
          <w:p>
            <w:pPr>
              <w:spacing w:line="337" w:lineRule="auto"/>
              <w:rPr>
                <w:rFonts w:ascii="Arial"/>
                <w:sz w:val="21"/>
              </w:rPr>
            </w:pPr>
            <w:r/>
          </w:p>
          <w:p>
            <w:pPr>
              <w:spacing w:line="338" w:lineRule="auto"/>
              <w:rPr>
                <w:rFonts w:ascii="Arial"/>
                <w:sz w:val="21"/>
              </w:rPr>
            </w:pPr>
            <w:r/>
          </w:p>
          <w:p>
            <w:pPr>
              <w:pStyle w:val="TableText"/>
              <w:ind w:left="498"/>
              <w:spacing w:before="78" w:line="219" w:lineRule="auto"/>
              <w:rPr/>
            </w:pPr>
            <w:r>
              <w:rPr>
                <w:b/>
                <w:bCs/>
                <w:spacing w:val="-5"/>
              </w:rPr>
              <w:t>较轻</w:t>
            </w:r>
          </w:p>
        </w:tc>
        <w:tc>
          <w:tcPr>
            <w:tcW w:w="6235" w:type="dxa"/>
            <w:vAlign w:val="top"/>
            <w:vMerge w:val="restart"/>
            <w:tcBorders>
              <w:bottom w:val="nil"/>
            </w:tcBorders>
          </w:tcPr>
          <w:p>
            <w:pPr>
              <w:spacing w:line="259" w:lineRule="auto"/>
              <w:rPr>
                <w:rFonts w:ascii="Arial"/>
                <w:sz w:val="21"/>
              </w:rPr>
            </w:pPr>
            <w:r/>
          </w:p>
          <w:p>
            <w:pPr>
              <w:spacing w:line="260" w:lineRule="auto"/>
              <w:rPr>
                <w:rFonts w:ascii="Arial"/>
                <w:sz w:val="21"/>
              </w:rPr>
            </w:pPr>
            <w:r/>
          </w:p>
          <w:p>
            <w:pPr>
              <w:pStyle w:val="TableText"/>
              <w:ind w:left="100" w:right="109"/>
              <w:spacing w:before="78" w:line="341" w:lineRule="auto"/>
              <w:rPr/>
            </w:pPr>
            <w:r>
              <w:rPr/>
              <w:t>用国家明令禁止使用的药物杀灭钉螺，首次使用且已及时</w:t>
            </w:r>
            <w:r>
              <w:rPr>
                <w:spacing w:val="13"/>
              </w:rPr>
              <w:t xml:space="preserve"> </w:t>
            </w:r>
            <w:r>
              <w:rPr>
                <w:spacing w:val="6"/>
              </w:rPr>
              <w:t>改正的</w:t>
            </w:r>
          </w:p>
        </w:tc>
        <w:tc>
          <w:tcPr>
            <w:tcW w:w="1548" w:type="dxa"/>
            <w:vAlign w:val="top"/>
          </w:tcPr>
          <w:p>
            <w:pPr>
              <w:spacing w:line="281" w:lineRule="auto"/>
              <w:rPr>
                <w:rFonts w:ascii="Arial"/>
                <w:sz w:val="21"/>
              </w:rPr>
            </w:pPr>
            <w:r/>
          </w:p>
          <w:p>
            <w:pPr>
              <w:pStyle w:val="TableText"/>
              <w:ind w:left="95"/>
              <w:spacing w:before="78" w:line="219" w:lineRule="auto"/>
              <w:rPr/>
            </w:pPr>
            <w:r>
              <w:rPr>
                <w:spacing w:val="-2"/>
              </w:rPr>
              <w:t>对个人</w:t>
            </w:r>
          </w:p>
        </w:tc>
        <w:tc>
          <w:tcPr>
            <w:tcW w:w="4542" w:type="dxa"/>
            <w:vAlign w:val="top"/>
          </w:tcPr>
          <w:p>
            <w:pPr>
              <w:pStyle w:val="TableText"/>
              <w:ind w:left="137" w:right="135" w:firstLine="29"/>
              <w:spacing w:before="159" w:line="269" w:lineRule="auto"/>
              <w:rPr/>
            </w:pPr>
            <w:r>
              <w:rPr>
                <w:spacing w:val="1"/>
              </w:rPr>
              <w:t>警告，罚款50元以上185元以下，没收用</w:t>
            </w:r>
            <w:r>
              <w:rPr>
                <w:spacing w:val="7"/>
              </w:rPr>
              <w:t xml:space="preserve"> </w:t>
            </w:r>
            <w:r>
              <w:rPr>
                <w:spacing w:val="2"/>
              </w:rPr>
              <w:t>于违法活动的工具和物品</w:t>
            </w:r>
          </w:p>
        </w:tc>
      </w:tr>
      <w:tr>
        <w:trPr>
          <w:trHeight w:val="878" w:hRule="atLeast"/>
        </w:trPr>
        <w:tc>
          <w:tcPr>
            <w:tcW w:w="1494" w:type="dxa"/>
            <w:vAlign w:val="top"/>
            <w:vMerge w:val="continue"/>
            <w:tcBorders>
              <w:top w:val="nil"/>
            </w:tcBorders>
          </w:tcPr>
          <w:p>
            <w:pPr>
              <w:rPr>
                <w:rFonts w:ascii="Arial"/>
                <w:sz w:val="21"/>
              </w:rPr>
            </w:pPr>
            <w:r/>
          </w:p>
        </w:tc>
        <w:tc>
          <w:tcPr>
            <w:tcW w:w="6235" w:type="dxa"/>
            <w:vAlign w:val="top"/>
            <w:vMerge w:val="continue"/>
            <w:tcBorders>
              <w:top w:val="nil"/>
            </w:tcBorders>
          </w:tcPr>
          <w:p>
            <w:pPr>
              <w:rPr>
                <w:rFonts w:ascii="Arial"/>
                <w:sz w:val="21"/>
              </w:rPr>
            </w:pPr>
            <w:r/>
          </w:p>
        </w:tc>
        <w:tc>
          <w:tcPr>
            <w:tcW w:w="1548" w:type="dxa"/>
            <w:vAlign w:val="top"/>
          </w:tcPr>
          <w:p>
            <w:pPr>
              <w:spacing w:line="312" w:lineRule="auto"/>
              <w:rPr>
                <w:rFonts w:ascii="Arial"/>
                <w:sz w:val="21"/>
              </w:rPr>
            </w:pPr>
            <w:r/>
          </w:p>
          <w:p>
            <w:pPr>
              <w:pStyle w:val="TableText"/>
              <w:ind w:left="95"/>
              <w:spacing w:before="78" w:line="220" w:lineRule="auto"/>
              <w:rPr/>
            </w:pPr>
            <w:r>
              <w:rPr>
                <w:color w:val="505040"/>
                <w:spacing w:val="-2"/>
              </w:rPr>
              <w:t>对单位</w:t>
            </w:r>
          </w:p>
        </w:tc>
        <w:tc>
          <w:tcPr>
            <w:tcW w:w="4542" w:type="dxa"/>
            <w:vAlign w:val="top"/>
          </w:tcPr>
          <w:p>
            <w:pPr>
              <w:pStyle w:val="TableText"/>
              <w:ind w:left="137" w:right="212" w:firstLine="90"/>
              <w:spacing w:before="160" w:line="272" w:lineRule="auto"/>
              <w:rPr/>
            </w:pPr>
            <w:r>
              <w:rPr/>
              <w:t>警告，罚款1000元以上3700元以下，没</w:t>
            </w:r>
            <w:r>
              <w:rPr>
                <w:spacing w:val="10"/>
              </w:rPr>
              <w:t xml:space="preserve"> </w:t>
            </w:r>
            <w:r>
              <w:rPr>
                <w:spacing w:val="1"/>
              </w:rPr>
              <w:t>收用于违法活动的工具和物品</w:t>
            </w:r>
          </w:p>
        </w:tc>
      </w:tr>
      <w:tr>
        <w:trPr>
          <w:trHeight w:val="908" w:hRule="atLeast"/>
        </w:trPr>
        <w:tc>
          <w:tcPr>
            <w:tcW w:w="1494" w:type="dxa"/>
            <w:vAlign w:val="top"/>
            <w:vMerge w:val="restart"/>
            <w:tcBorders>
              <w:bottom w:val="nil"/>
            </w:tcBorders>
          </w:tcPr>
          <w:p>
            <w:pPr>
              <w:spacing w:line="349" w:lineRule="auto"/>
              <w:rPr>
                <w:rFonts w:ascii="Arial"/>
                <w:sz w:val="21"/>
              </w:rPr>
            </w:pPr>
            <w:r/>
          </w:p>
          <w:p>
            <w:pPr>
              <w:spacing w:line="350" w:lineRule="auto"/>
              <w:rPr>
                <w:rFonts w:ascii="Arial"/>
                <w:sz w:val="21"/>
              </w:rPr>
            </w:pPr>
            <w:r/>
          </w:p>
          <w:p>
            <w:pPr>
              <w:pStyle w:val="TableText"/>
              <w:ind w:left="498"/>
              <w:spacing w:before="78" w:line="221" w:lineRule="auto"/>
              <w:rPr/>
            </w:pPr>
            <w:r>
              <w:rPr>
                <w:b/>
                <w:bCs/>
                <w:spacing w:val="-10"/>
              </w:rPr>
              <w:t>一般</w:t>
            </w:r>
          </w:p>
        </w:tc>
        <w:tc>
          <w:tcPr>
            <w:tcW w:w="6235"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pStyle w:val="TableText"/>
              <w:ind w:left="100" w:right="110"/>
              <w:spacing w:before="78" w:line="357" w:lineRule="auto"/>
              <w:rPr/>
            </w:pPr>
            <w:r>
              <w:rPr/>
              <w:t>使用国家明令禁止使用的药物杀灭钉螺，再次使用或未及</w:t>
            </w:r>
            <w:r>
              <w:rPr>
                <w:spacing w:val="12"/>
              </w:rPr>
              <w:t xml:space="preserve"> </w:t>
            </w:r>
            <w:r>
              <w:rPr>
                <w:spacing w:val="4"/>
              </w:rPr>
              <w:t>时改正的</w:t>
            </w:r>
          </w:p>
        </w:tc>
        <w:tc>
          <w:tcPr>
            <w:tcW w:w="1548" w:type="dxa"/>
            <w:vAlign w:val="top"/>
          </w:tcPr>
          <w:p>
            <w:pPr>
              <w:spacing w:line="264" w:lineRule="auto"/>
              <w:rPr>
                <w:rFonts w:ascii="Arial"/>
                <w:sz w:val="21"/>
              </w:rPr>
            </w:pPr>
            <w:r/>
          </w:p>
          <w:p>
            <w:pPr>
              <w:pStyle w:val="TableText"/>
              <w:ind w:left="95"/>
              <w:spacing w:before="78" w:line="219" w:lineRule="auto"/>
              <w:rPr/>
            </w:pPr>
            <w:r>
              <w:rPr>
                <w:spacing w:val="-2"/>
              </w:rPr>
              <w:t>对个人</w:t>
            </w:r>
          </w:p>
        </w:tc>
        <w:tc>
          <w:tcPr>
            <w:tcW w:w="4542" w:type="dxa"/>
            <w:vAlign w:val="top"/>
          </w:tcPr>
          <w:p>
            <w:pPr>
              <w:pStyle w:val="TableText"/>
              <w:ind w:left="117" w:right="214" w:firstLine="110"/>
              <w:spacing w:before="172" w:line="279" w:lineRule="auto"/>
              <w:rPr/>
            </w:pPr>
            <w:r>
              <w:rPr/>
              <w:t>警告，罚款185元以上365元以下，没收</w:t>
            </w:r>
            <w:r>
              <w:rPr>
                <w:spacing w:val="8"/>
              </w:rPr>
              <w:t xml:space="preserve"> </w:t>
            </w:r>
            <w:r>
              <w:rPr>
                <w:spacing w:val="2"/>
              </w:rPr>
              <w:t>用于违法活动的工具和物品</w:t>
            </w:r>
          </w:p>
        </w:tc>
      </w:tr>
      <w:tr>
        <w:trPr>
          <w:trHeight w:val="879" w:hRule="atLeast"/>
        </w:trPr>
        <w:tc>
          <w:tcPr>
            <w:tcW w:w="1494" w:type="dxa"/>
            <w:vAlign w:val="top"/>
            <w:vMerge w:val="continue"/>
            <w:tcBorders>
              <w:top w:val="nil"/>
            </w:tcBorders>
          </w:tcPr>
          <w:p>
            <w:pPr>
              <w:rPr>
                <w:rFonts w:ascii="Arial"/>
                <w:sz w:val="21"/>
              </w:rPr>
            </w:pPr>
            <w:r/>
          </w:p>
        </w:tc>
        <w:tc>
          <w:tcPr>
            <w:tcW w:w="6235" w:type="dxa"/>
            <w:vAlign w:val="top"/>
            <w:vMerge w:val="continue"/>
            <w:tcBorders>
              <w:top w:val="nil"/>
            </w:tcBorders>
          </w:tcPr>
          <w:p>
            <w:pPr>
              <w:rPr>
                <w:rFonts w:ascii="Arial"/>
                <w:sz w:val="21"/>
              </w:rPr>
            </w:pPr>
            <w:r/>
          </w:p>
        </w:tc>
        <w:tc>
          <w:tcPr>
            <w:tcW w:w="1548" w:type="dxa"/>
            <w:vAlign w:val="top"/>
          </w:tcPr>
          <w:p>
            <w:pPr>
              <w:spacing w:line="247" w:lineRule="auto"/>
              <w:rPr>
                <w:rFonts w:ascii="Arial"/>
                <w:sz w:val="21"/>
              </w:rPr>
            </w:pPr>
            <w:r/>
          </w:p>
          <w:p>
            <w:pPr>
              <w:pStyle w:val="TableText"/>
              <w:ind w:left="95"/>
              <w:spacing w:before="78" w:line="220" w:lineRule="auto"/>
              <w:rPr/>
            </w:pPr>
            <w:r>
              <w:rPr>
                <w:spacing w:val="-2"/>
              </w:rPr>
              <w:t>对单位</w:t>
            </w:r>
          </w:p>
        </w:tc>
        <w:tc>
          <w:tcPr>
            <w:tcW w:w="4542" w:type="dxa"/>
            <w:vAlign w:val="top"/>
          </w:tcPr>
          <w:p>
            <w:pPr>
              <w:pStyle w:val="TableText"/>
              <w:ind w:left="137" w:right="212" w:firstLine="90"/>
              <w:spacing w:before="143" w:line="279" w:lineRule="auto"/>
              <w:rPr/>
            </w:pPr>
            <w:r>
              <w:rPr/>
              <w:t>警告，罚款3700元以上7300元以下，没</w:t>
            </w:r>
            <w:r>
              <w:rPr>
                <w:spacing w:val="10"/>
              </w:rPr>
              <w:t xml:space="preserve"> </w:t>
            </w:r>
            <w:r>
              <w:rPr>
                <w:spacing w:val="1"/>
              </w:rPr>
              <w:t>收用于违法活动的工具和物品</w:t>
            </w:r>
          </w:p>
        </w:tc>
      </w:tr>
      <w:tr>
        <w:trPr>
          <w:trHeight w:val="869" w:hRule="atLeast"/>
        </w:trPr>
        <w:tc>
          <w:tcPr>
            <w:tcW w:w="1494" w:type="dxa"/>
            <w:vAlign w:val="top"/>
            <w:vMerge w:val="restart"/>
            <w:tcBorders>
              <w:bottom w:val="nil"/>
            </w:tcBorders>
          </w:tcPr>
          <w:p>
            <w:pPr>
              <w:spacing w:line="342" w:lineRule="auto"/>
              <w:rPr>
                <w:rFonts w:ascii="Arial"/>
                <w:sz w:val="21"/>
              </w:rPr>
            </w:pPr>
            <w:r/>
          </w:p>
          <w:p>
            <w:pPr>
              <w:spacing w:line="342" w:lineRule="auto"/>
              <w:rPr>
                <w:rFonts w:ascii="Arial"/>
                <w:sz w:val="21"/>
              </w:rPr>
            </w:pPr>
            <w:r/>
          </w:p>
          <w:p>
            <w:pPr>
              <w:pStyle w:val="TableText"/>
              <w:ind w:left="498"/>
              <w:spacing w:before="78" w:line="221" w:lineRule="auto"/>
              <w:rPr/>
            </w:pPr>
            <w:r>
              <w:rPr>
                <w:b/>
                <w:bCs/>
                <w:spacing w:val="-5"/>
              </w:rPr>
              <w:t>较重</w:t>
            </w:r>
          </w:p>
        </w:tc>
        <w:tc>
          <w:tcPr>
            <w:tcW w:w="6235"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pStyle w:val="TableText"/>
              <w:ind w:left="100" w:right="110"/>
              <w:spacing w:before="78" w:line="349" w:lineRule="auto"/>
              <w:rPr/>
            </w:pPr>
            <w:r>
              <w:rPr/>
              <w:t>使用国家明令禁止使用的药物杀灭钉螺，多次使用或拒不</w:t>
            </w:r>
            <w:r>
              <w:rPr>
                <w:spacing w:val="12"/>
              </w:rPr>
              <w:t xml:space="preserve"> </w:t>
            </w:r>
            <w:r>
              <w:rPr>
                <w:spacing w:val="1"/>
              </w:rPr>
              <w:t>改正或造成血吸虫病疫情扩散的</w:t>
            </w:r>
          </w:p>
        </w:tc>
        <w:tc>
          <w:tcPr>
            <w:tcW w:w="1548" w:type="dxa"/>
            <w:vAlign w:val="top"/>
          </w:tcPr>
          <w:p>
            <w:pPr>
              <w:spacing w:line="247" w:lineRule="auto"/>
              <w:rPr>
                <w:rFonts w:ascii="Arial"/>
                <w:sz w:val="21"/>
              </w:rPr>
            </w:pPr>
            <w:r/>
          </w:p>
          <w:p>
            <w:pPr>
              <w:pStyle w:val="TableText"/>
              <w:ind w:left="95"/>
              <w:spacing w:before="78" w:line="219" w:lineRule="auto"/>
              <w:rPr/>
            </w:pPr>
            <w:r>
              <w:rPr>
                <w:spacing w:val="-2"/>
              </w:rPr>
              <w:t>对个人</w:t>
            </w:r>
          </w:p>
        </w:tc>
        <w:tc>
          <w:tcPr>
            <w:tcW w:w="4542" w:type="dxa"/>
            <w:vAlign w:val="top"/>
          </w:tcPr>
          <w:p>
            <w:pPr>
              <w:pStyle w:val="TableText"/>
              <w:ind w:left="117" w:right="214" w:firstLine="110"/>
              <w:spacing w:before="143" w:line="275" w:lineRule="auto"/>
              <w:rPr/>
            </w:pPr>
            <w:r>
              <w:rPr/>
              <w:t>警告，罚款365元以上500元以下，没收</w:t>
            </w:r>
            <w:r>
              <w:rPr>
                <w:spacing w:val="8"/>
              </w:rPr>
              <w:t xml:space="preserve"> </w:t>
            </w:r>
            <w:r>
              <w:rPr>
                <w:spacing w:val="2"/>
              </w:rPr>
              <w:t>用于违法活动的工具和物品</w:t>
            </w:r>
          </w:p>
        </w:tc>
      </w:tr>
      <w:tr>
        <w:trPr>
          <w:trHeight w:val="883" w:hRule="atLeast"/>
        </w:trPr>
        <w:tc>
          <w:tcPr>
            <w:tcW w:w="1494" w:type="dxa"/>
            <w:vAlign w:val="top"/>
            <w:vMerge w:val="continue"/>
            <w:tcBorders>
              <w:top w:val="nil"/>
            </w:tcBorders>
          </w:tcPr>
          <w:p>
            <w:pPr>
              <w:rPr>
                <w:rFonts w:ascii="Arial"/>
                <w:sz w:val="21"/>
              </w:rPr>
            </w:pPr>
            <w:r/>
          </w:p>
        </w:tc>
        <w:tc>
          <w:tcPr>
            <w:tcW w:w="6235" w:type="dxa"/>
            <w:vAlign w:val="top"/>
            <w:vMerge w:val="continue"/>
            <w:tcBorders>
              <w:top w:val="nil"/>
            </w:tcBorders>
          </w:tcPr>
          <w:p>
            <w:pPr>
              <w:rPr>
                <w:rFonts w:ascii="Arial"/>
                <w:sz w:val="21"/>
              </w:rPr>
            </w:pPr>
            <w:r/>
          </w:p>
        </w:tc>
        <w:tc>
          <w:tcPr>
            <w:tcW w:w="1548" w:type="dxa"/>
            <w:vAlign w:val="top"/>
          </w:tcPr>
          <w:p>
            <w:pPr>
              <w:spacing w:line="249" w:lineRule="auto"/>
              <w:rPr>
                <w:rFonts w:ascii="Arial"/>
                <w:sz w:val="21"/>
              </w:rPr>
            </w:pPr>
            <w:r/>
          </w:p>
          <w:p>
            <w:pPr>
              <w:pStyle w:val="TableText"/>
              <w:ind w:left="95"/>
              <w:spacing w:before="78" w:line="220" w:lineRule="auto"/>
              <w:rPr/>
            </w:pPr>
            <w:r>
              <w:rPr>
                <w:color w:val="505040"/>
                <w:spacing w:val="-2"/>
              </w:rPr>
              <w:t>对单位</w:t>
            </w:r>
          </w:p>
        </w:tc>
        <w:tc>
          <w:tcPr>
            <w:tcW w:w="4542" w:type="dxa"/>
            <w:vAlign w:val="top"/>
          </w:tcPr>
          <w:p>
            <w:pPr>
              <w:pStyle w:val="TableText"/>
              <w:ind w:left="137" w:right="152" w:firstLine="29"/>
              <w:spacing w:before="145" w:line="280" w:lineRule="auto"/>
              <w:rPr/>
            </w:pPr>
            <w:r>
              <w:rPr/>
              <w:t>警告，罚款7300元以上10000元以下，没</w:t>
            </w:r>
            <w:r>
              <w:rPr>
                <w:spacing w:val="10"/>
              </w:rPr>
              <w:t xml:space="preserve"> </w:t>
            </w:r>
            <w:r>
              <w:rPr>
                <w:spacing w:val="1"/>
              </w:rPr>
              <w:t>收用于违法活动的工具和物品</w:t>
            </w:r>
          </w:p>
        </w:tc>
      </w:tr>
    </w:tbl>
    <w:p>
      <w:pPr>
        <w:ind w:left="654"/>
        <w:spacing w:before="81" w:line="219" w:lineRule="auto"/>
        <w:rPr>
          <w:rFonts w:ascii="SimSun" w:hAnsi="SimSun" w:eastAsia="SimSun" w:cs="SimSun"/>
          <w:sz w:val="32"/>
          <w:szCs w:val="32"/>
        </w:rPr>
      </w:pPr>
      <w:r>
        <w:rPr>
          <w:rFonts w:ascii="SimSun" w:hAnsi="SimSun" w:eastAsia="SimSun" w:cs="SimSun"/>
          <w:sz w:val="32"/>
          <w:szCs w:val="32"/>
          <w:b/>
          <w:bCs/>
          <w:spacing w:val="-3"/>
        </w:rPr>
        <w:t>第六十四条未依照本条例规定开展血吸虫病防治工作的</w:t>
      </w:r>
    </w:p>
    <w:p>
      <w:pPr>
        <w:ind w:firstLine="649"/>
        <w:spacing w:before="69" w:line="272" w:lineRule="auto"/>
        <w:jc w:val="both"/>
        <w:rPr>
          <w:rFonts w:ascii="FangSong" w:hAnsi="FangSong" w:eastAsia="FangSong" w:cs="FangSong"/>
          <w:sz w:val="30"/>
          <w:szCs w:val="30"/>
        </w:rPr>
      </w:pPr>
      <w:r>
        <w:rPr>
          <w:rFonts w:ascii="FangSong" w:hAnsi="FangSong" w:eastAsia="FangSong" w:cs="FangSong"/>
          <w:sz w:val="30"/>
          <w:szCs w:val="30"/>
          <w:spacing w:val="16"/>
        </w:rPr>
        <w:t>法律依据：血吸虫病防治条例》第四十九条第一项</w:t>
      </w:r>
      <w:r>
        <w:rPr>
          <w:rFonts w:ascii="FangSong" w:hAnsi="FangSong" w:eastAsia="FangSong" w:cs="FangSong"/>
          <w:sz w:val="30"/>
          <w:szCs w:val="30"/>
          <w:spacing w:val="16"/>
        </w:rPr>
        <w:t xml:space="preserve">  </w:t>
      </w:r>
      <w:r>
        <w:rPr>
          <w:rFonts w:ascii="FangSong" w:hAnsi="FangSong" w:eastAsia="FangSong" w:cs="FangSong"/>
          <w:sz w:val="30"/>
          <w:szCs w:val="30"/>
          <w:spacing w:val="16"/>
        </w:rPr>
        <w:t>医疗机构、疾病预防</w:t>
      </w:r>
      <w:r>
        <w:rPr>
          <w:rFonts w:ascii="FangSong" w:hAnsi="FangSong" w:eastAsia="FangSong" w:cs="FangSong"/>
          <w:sz w:val="30"/>
          <w:szCs w:val="30"/>
          <w:spacing w:val="15"/>
        </w:rPr>
        <w:t>控制机构、动物防疫监</w:t>
      </w:r>
      <w:r>
        <w:rPr>
          <w:rFonts w:ascii="FangSong" w:hAnsi="FangSong" w:eastAsia="FangSong" w:cs="FangSong"/>
          <w:sz w:val="30"/>
          <w:szCs w:val="30"/>
        </w:rPr>
        <w:t xml:space="preserve"> </w:t>
      </w:r>
      <w:r>
        <w:rPr>
          <w:rFonts w:ascii="FangSong" w:hAnsi="FangSong" w:eastAsia="FangSong" w:cs="FangSong"/>
          <w:sz w:val="30"/>
          <w:szCs w:val="30"/>
          <w:spacing w:val="18"/>
        </w:rPr>
        <w:t>督机构或者植物检疫机构违反本条例规定，有下列情形之一的，由县级以上人民政府卫生主管部门、</w:t>
      </w:r>
      <w:r>
        <w:rPr>
          <w:rFonts w:ascii="FangSong" w:hAnsi="FangSong" w:eastAsia="FangSong" w:cs="FangSong"/>
          <w:sz w:val="30"/>
          <w:szCs w:val="30"/>
          <w:spacing w:val="7"/>
        </w:rPr>
        <w:t xml:space="preserve"> </w:t>
      </w:r>
      <w:r>
        <w:rPr>
          <w:rFonts w:ascii="FangSong" w:hAnsi="FangSong" w:eastAsia="FangSong" w:cs="FangSong"/>
          <w:sz w:val="30"/>
          <w:szCs w:val="30"/>
          <w:spacing w:val="16"/>
        </w:rPr>
        <w:t>农业或者兽医主管部门依据各自职责责令限期改正，通报批评，给予警告；逾期不改正，造成血吸虫</w:t>
      </w:r>
    </w:p>
    <w:p>
      <w:pPr>
        <w:spacing w:line="272" w:lineRule="auto"/>
        <w:sectPr>
          <w:footerReference w:type="default" r:id="rId141"/>
          <w:pgSz w:w="16830" w:h="11900"/>
          <w:pgMar w:top="1011" w:right="1369" w:bottom="1124" w:left="1460" w:header="0" w:footer="782" w:gutter="0"/>
        </w:sectPr>
        <w:rPr>
          <w:rFonts w:ascii="FangSong" w:hAnsi="FangSong" w:eastAsia="FangSong" w:cs="FangSong"/>
          <w:sz w:val="30"/>
          <w:szCs w:val="30"/>
        </w:rPr>
      </w:pPr>
    </w:p>
    <w:p>
      <w:pPr>
        <w:pStyle w:val="BodyText"/>
        <w:spacing w:line="257" w:lineRule="auto"/>
        <w:rPr/>
      </w:pPr>
      <w:r/>
    </w:p>
    <w:p>
      <w:pPr>
        <w:pStyle w:val="BodyText"/>
        <w:spacing w:line="258" w:lineRule="auto"/>
        <w:rPr/>
      </w:pPr>
      <w:r/>
    </w:p>
    <w:p>
      <w:pPr>
        <w:pStyle w:val="BodyText"/>
        <w:spacing w:line="258" w:lineRule="auto"/>
        <w:rPr/>
      </w:pPr>
      <w:r/>
    </w:p>
    <w:p>
      <w:pPr>
        <w:ind w:left="35"/>
        <w:spacing w:before="98" w:line="221" w:lineRule="auto"/>
        <w:outlineLvl w:val="1"/>
        <w:rPr>
          <w:rFonts w:ascii="FangSong" w:hAnsi="FangSong" w:eastAsia="FangSong" w:cs="FangSong"/>
          <w:sz w:val="30"/>
          <w:szCs w:val="30"/>
        </w:rPr>
      </w:pPr>
      <w:bookmarkStart w:name="bookmark802" w:id="106"/>
      <w:bookmarkEnd w:id="106"/>
      <w:bookmarkStart w:name="bookmark186" w:id="107"/>
      <w:bookmarkEnd w:id="107"/>
      <w:r>
        <w:rPr>
          <w:rFonts w:ascii="FangSong" w:hAnsi="FangSong" w:eastAsia="FangSong" w:cs="FangSong"/>
          <w:sz w:val="30"/>
          <w:szCs w:val="30"/>
          <w:spacing w:val="12"/>
        </w:rPr>
        <w:t>病传播、流行或者其他严重后果的，对负有责任的主管人员和其他直接责任人员依法给予降级、撤职、</w:t>
      </w:r>
    </w:p>
    <w:p>
      <w:pPr>
        <w:ind w:left="35" w:right="117"/>
        <w:spacing w:before="81" w:line="264" w:lineRule="auto"/>
        <w:rPr>
          <w:rFonts w:ascii="FangSong" w:hAnsi="FangSong" w:eastAsia="FangSong" w:cs="FangSong"/>
          <w:sz w:val="30"/>
          <w:szCs w:val="30"/>
        </w:rPr>
      </w:pPr>
      <w:r>
        <w:rPr>
          <w:rFonts w:ascii="FangSong" w:hAnsi="FangSong" w:eastAsia="FangSong" w:cs="FangSong"/>
          <w:sz w:val="30"/>
          <w:szCs w:val="30"/>
          <w:spacing w:val="17"/>
        </w:rPr>
        <w:t>开除的处分，并可以依法吊销有关责任人员的执业证书；负有责任的主管人员和其他直接责任人员构</w:t>
      </w:r>
      <w:r>
        <w:rPr>
          <w:rFonts w:ascii="FangSong" w:hAnsi="FangSong" w:eastAsia="FangSong" w:cs="FangSong"/>
          <w:sz w:val="30"/>
          <w:szCs w:val="30"/>
          <w:spacing w:val="3"/>
        </w:rPr>
        <w:t xml:space="preserve"> </w:t>
      </w:r>
      <w:r>
        <w:rPr>
          <w:rFonts w:ascii="FangSong" w:hAnsi="FangSong" w:eastAsia="FangSong" w:cs="FangSong"/>
          <w:sz w:val="30"/>
          <w:szCs w:val="30"/>
          <w:spacing w:val="17"/>
        </w:rPr>
        <w:t>成犯罪的，依法追究刑事责任：</w:t>
      </w:r>
      <w:r>
        <w:rPr>
          <w:rFonts w:ascii="FangSong" w:hAnsi="FangSong" w:eastAsia="FangSong" w:cs="FangSong"/>
          <w:sz w:val="30"/>
          <w:szCs w:val="30"/>
          <w:spacing w:val="17"/>
        </w:rPr>
        <w:t xml:space="preserve">  </w:t>
      </w:r>
      <w:r>
        <w:rPr>
          <w:rFonts w:ascii="FangSong" w:hAnsi="FangSong" w:eastAsia="FangSong" w:cs="FangSong"/>
          <w:sz w:val="30"/>
          <w:szCs w:val="30"/>
          <w:spacing w:val="17"/>
        </w:rPr>
        <w:t>(一)未依照本条例规定开展血吸虫病防治工作。</w:t>
      </w:r>
    </w:p>
    <w:p>
      <w:pPr>
        <w:ind w:left="6419"/>
        <w:spacing w:before="1" w:line="220"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10" w:lineRule="exact"/>
        <w:rPr/>
      </w:pPr>
      <w:r/>
    </w:p>
    <w:tbl>
      <w:tblPr>
        <w:tblStyle w:val="TableNormal"/>
        <w:tblW w:w="139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73"/>
        <w:gridCol w:w="7275"/>
        <w:gridCol w:w="3892"/>
      </w:tblGrid>
      <w:tr>
        <w:trPr>
          <w:trHeight w:val="632" w:hRule="atLeast"/>
        </w:trPr>
        <w:tc>
          <w:tcPr>
            <w:tcW w:w="2773" w:type="dxa"/>
            <w:vAlign w:val="top"/>
          </w:tcPr>
          <w:p>
            <w:pPr>
              <w:pStyle w:val="TableText"/>
              <w:ind w:left="798"/>
              <w:spacing w:before="8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275" w:type="dxa"/>
            <w:vAlign w:val="top"/>
          </w:tcPr>
          <w:p>
            <w:pPr>
              <w:pStyle w:val="TableText"/>
              <w:ind w:left="3085"/>
              <w:spacing w:before="82" w:line="220" w:lineRule="auto"/>
              <w:rPr/>
            </w:pPr>
            <w:r>
              <w:rPr>
                <w:b/>
                <w:bCs/>
                <w:spacing w:val="-5"/>
              </w:rPr>
              <w:t>情节后果</w:t>
            </w:r>
          </w:p>
        </w:tc>
        <w:tc>
          <w:tcPr>
            <w:tcW w:w="3892" w:type="dxa"/>
            <w:vAlign w:val="top"/>
          </w:tcPr>
          <w:p>
            <w:pPr>
              <w:pStyle w:val="TableText"/>
              <w:ind w:left="1400"/>
              <w:spacing w:before="8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57" w:hRule="atLeast"/>
        </w:trPr>
        <w:tc>
          <w:tcPr>
            <w:tcW w:w="2773" w:type="dxa"/>
            <w:vAlign w:val="top"/>
          </w:tcPr>
          <w:p>
            <w:pPr>
              <w:pStyle w:val="TableText"/>
              <w:ind w:left="1138"/>
              <w:spacing w:before="110" w:line="221" w:lineRule="auto"/>
              <w:rPr/>
            </w:pPr>
            <w:r>
              <w:rPr>
                <w:b/>
                <w:bCs/>
                <w:spacing w:val="-10"/>
              </w:rPr>
              <w:t>一般</w:t>
            </w:r>
          </w:p>
        </w:tc>
        <w:tc>
          <w:tcPr>
            <w:tcW w:w="7275" w:type="dxa"/>
            <w:vAlign w:val="top"/>
          </w:tcPr>
          <w:p>
            <w:pPr>
              <w:pStyle w:val="TableText"/>
              <w:ind w:left="102"/>
              <w:spacing w:before="102" w:line="219" w:lineRule="auto"/>
              <w:rPr/>
            </w:pPr>
            <w:r>
              <w:rPr>
                <w:spacing w:val="-1"/>
              </w:rPr>
              <w:t>首次发现违法行为，未造成后果。</w:t>
            </w:r>
          </w:p>
        </w:tc>
        <w:tc>
          <w:tcPr>
            <w:tcW w:w="3892" w:type="dxa"/>
            <w:vAlign w:val="top"/>
          </w:tcPr>
          <w:p>
            <w:pPr>
              <w:pStyle w:val="TableText"/>
              <w:ind w:left="127"/>
              <w:spacing w:before="100" w:line="218" w:lineRule="auto"/>
              <w:rPr/>
            </w:pPr>
            <w:r>
              <w:rPr>
                <w:spacing w:val="1"/>
              </w:rPr>
              <w:t>通报批评，给予警告</w:t>
            </w:r>
          </w:p>
        </w:tc>
      </w:tr>
      <w:tr>
        <w:trPr>
          <w:trHeight w:val="1140" w:hRule="atLeast"/>
        </w:trPr>
        <w:tc>
          <w:tcPr>
            <w:tcW w:w="2773" w:type="dxa"/>
            <w:vAlign w:val="top"/>
          </w:tcPr>
          <w:p>
            <w:pPr>
              <w:spacing w:line="263" w:lineRule="auto"/>
              <w:rPr>
                <w:rFonts w:ascii="Arial"/>
                <w:sz w:val="21"/>
              </w:rPr>
            </w:pPr>
            <w:r/>
          </w:p>
          <w:p>
            <w:pPr>
              <w:pStyle w:val="TableText"/>
              <w:ind w:left="1138"/>
              <w:spacing w:before="78" w:line="220" w:lineRule="auto"/>
              <w:rPr/>
            </w:pPr>
            <w:r>
              <w:rPr>
                <w:b/>
                <w:bCs/>
                <w:spacing w:val="-6"/>
              </w:rPr>
              <w:t>严重</w:t>
            </w:r>
          </w:p>
        </w:tc>
        <w:tc>
          <w:tcPr>
            <w:tcW w:w="7275" w:type="dxa"/>
            <w:vAlign w:val="top"/>
          </w:tcPr>
          <w:p>
            <w:pPr>
              <w:pStyle w:val="TableText"/>
              <w:ind w:left="102" w:right="193"/>
              <w:spacing w:before="135" w:line="342" w:lineRule="auto"/>
              <w:rPr/>
            </w:pPr>
            <w:r>
              <w:rPr/>
              <w:t>责令限期改正后，逾期不改正，造成血吸虫病传播、流行或者其他</w:t>
            </w:r>
            <w:r>
              <w:rPr>
                <w:spacing w:val="8"/>
              </w:rPr>
              <w:t xml:space="preserve"> </w:t>
            </w:r>
            <w:r>
              <w:rPr>
                <w:spacing w:val="-1"/>
              </w:rPr>
              <w:t>严重后果。</w:t>
            </w:r>
          </w:p>
        </w:tc>
        <w:tc>
          <w:tcPr>
            <w:tcW w:w="3892" w:type="dxa"/>
            <w:vAlign w:val="top"/>
          </w:tcPr>
          <w:p>
            <w:pPr>
              <w:pStyle w:val="TableText"/>
              <w:ind w:left="127" w:right="124" w:firstLine="19"/>
              <w:spacing w:before="145" w:line="340" w:lineRule="auto"/>
              <w:rPr/>
            </w:pPr>
            <w:r>
              <w:rPr/>
              <w:t>并可以依法吊销有关责任人员的执</w:t>
            </w:r>
            <w:r>
              <w:rPr>
                <w:spacing w:val="9"/>
              </w:rPr>
              <w:t xml:space="preserve"> </w:t>
            </w:r>
            <w:r>
              <w:rPr/>
              <w:t>业证书。</w:t>
            </w:r>
          </w:p>
        </w:tc>
      </w:tr>
    </w:tbl>
    <w:p>
      <w:pPr>
        <w:ind w:left="699"/>
        <w:spacing w:before="117" w:line="220" w:lineRule="auto"/>
        <w:rPr>
          <w:rFonts w:ascii="FangSong" w:hAnsi="FangSong" w:eastAsia="FangSong" w:cs="FangSong"/>
          <w:sz w:val="30"/>
          <w:szCs w:val="30"/>
        </w:rPr>
      </w:pPr>
      <w:r>
        <w:rPr>
          <w:rFonts w:ascii="FangSong" w:hAnsi="FangSong" w:eastAsia="FangSong" w:cs="FangSong"/>
          <w:sz w:val="30"/>
          <w:szCs w:val="30"/>
          <w:b/>
          <w:bCs/>
          <w:spacing w:val="22"/>
        </w:rPr>
        <w:t>第六十五条未定期对其工作人员进行血吸虫病防治知识、技</w:t>
      </w:r>
      <w:r>
        <w:rPr>
          <w:rFonts w:ascii="FangSong" w:hAnsi="FangSong" w:eastAsia="FangSong" w:cs="FangSong"/>
          <w:sz w:val="30"/>
          <w:szCs w:val="30"/>
          <w:b/>
          <w:bCs/>
          <w:spacing w:val="21"/>
        </w:rPr>
        <w:t>能培训和考核</w:t>
      </w:r>
    </w:p>
    <w:p>
      <w:pPr>
        <w:ind w:left="35" w:firstLine="649"/>
        <w:spacing w:before="73" w:line="271" w:lineRule="auto"/>
        <w:jc w:val="both"/>
        <w:rPr>
          <w:rFonts w:ascii="FangSong" w:hAnsi="FangSong" w:eastAsia="FangSong" w:cs="FangSong"/>
          <w:sz w:val="30"/>
          <w:szCs w:val="30"/>
        </w:rPr>
      </w:pPr>
      <w:r>
        <w:rPr>
          <w:rFonts w:ascii="FangSong" w:hAnsi="FangSong" w:eastAsia="FangSong" w:cs="FangSong"/>
          <w:sz w:val="30"/>
          <w:szCs w:val="30"/>
          <w:spacing w:val="16"/>
        </w:rPr>
        <w:t>法律依据：《血吸虫病防治条例》第四十九条第二项</w:t>
      </w:r>
      <w:r>
        <w:rPr>
          <w:rFonts w:ascii="FangSong" w:hAnsi="FangSong" w:eastAsia="FangSong" w:cs="FangSong"/>
          <w:sz w:val="30"/>
          <w:szCs w:val="30"/>
          <w:spacing w:val="16"/>
        </w:rPr>
        <w:t xml:space="preserve">  </w:t>
      </w:r>
      <w:r>
        <w:rPr>
          <w:rFonts w:ascii="FangSong" w:hAnsi="FangSong" w:eastAsia="FangSong" w:cs="FangSong"/>
          <w:sz w:val="30"/>
          <w:szCs w:val="30"/>
          <w:spacing w:val="16"/>
        </w:rPr>
        <w:t>医疗机构、疾病预防控制机构、动物防疫</w:t>
      </w:r>
      <w:r>
        <w:rPr>
          <w:rFonts w:ascii="FangSong" w:hAnsi="FangSong" w:eastAsia="FangSong" w:cs="FangSong"/>
          <w:sz w:val="30"/>
          <w:szCs w:val="30"/>
        </w:rPr>
        <w:t xml:space="preserve">  </w:t>
      </w:r>
      <w:r>
        <w:rPr>
          <w:rFonts w:ascii="FangSong" w:hAnsi="FangSong" w:eastAsia="FangSong" w:cs="FangSong"/>
          <w:sz w:val="30"/>
          <w:szCs w:val="30"/>
          <w:spacing w:val="12"/>
        </w:rPr>
        <w:t>监督机构或者植物检疫机构违反本条例规定，有下列情形之一的，由县级以上</w:t>
      </w:r>
      <w:r>
        <w:rPr>
          <w:rFonts w:ascii="FangSong" w:hAnsi="FangSong" w:eastAsia="FangSong" w:cs="FangSong"/>
          <w:sz w:val="30"/>
          <w:szCs w:val="30"/>
          <w:spacing w:val="11"/>
        </w:rPr>
        <w:t>人民政府卫生主管部门、</w:t>
      </w:r>
      <w:r>
        <w:rPr>
          <w:rFonts w:ascii="FangSong" w:hAnsi="FangSong" w:eastAsia="FangSong" w:cs="FangSong"/>
          <w:sz w:val="30"/>
          <w:szCs w:val="30"/>
        </w:rPr>
        <w:t xml:space="preserve"> </w:t>
      </w:r>
      <w:r>
        <w:rPr>
          <w:rFonts w:ascii="FangSong" w:hAnsi="FangSong" w:eastAsia="FangSong" w:cs="FangSong"/>
          <w:sz w:val="30"/>
          <w:szCs w:val="30"/>
          <w:spacing w:val="17"/>
        </w:rPr>
        <w:t>农业或者兽医主管部门依据各自职责责令限期改正，通报</w:t>
      </w:r>
      <w:r>
        <w:rPr>
          <w:rFonts w:ascii="FangSong" w:hAnsi="FangSong" w:eastAsia="FangSong" w:cs="FangSong"/>
          <w:sz w:val="30"/>
          <w:szCs w:val="30"/>
          <w:spacing w:val="16"/>
        </w:rPr>
        <w:t>批评，给予警告；逾期不改正，造成血吸虫</w:t>
      </w:r>
      <w:r>
        <w:rPr>
          <w:rFonts w:ascii="FangSong" w:hAnsi="FangSong" w:eastAsia="FangSong" w:cs="FangSong"/>
          <w:sz w:val="30"/>
          <w:szCs w:val="30"/>
        </w:rPr>
        <w:t xml:space="preserve">  </w:t>
      </w:r>
      <w:r>
        <w:rPr>
          <w:rFonts w:ascii="FangSong" w:hAnsi="FangSong" w:eastAsia="FangSong" w:cs="FangSong"/>
          <w:sz w:val="30"/>
          <w:szCs w:val="30"/>
          <w:spacing w:val="12"/>
        </w:rPr>
        <w:t>病传播、流行或者其他严重后果的，对负有责任的主管人员和其他直接责任人员依法给予降级、撤职、</w:t>
      </w:r>
      <w:r>
        <w:rPr>
          <w:rFonts w:ascii="FangSong" w:hAnsi="FangSong" w:eastAsia="FangSong" w:cs="FangSong"/>
          <w:sz w:val="30"/>
          <w:szCs w:val="30"/>
          <w:spacing w:val="8"/>
        </w:rPr>
        <w:t xml:space="preserve"> </w:t>
      </w:r>
      <w:r>
        <w:rPr>
          <w:rFonts w:ascii="FangSong" w:hAnsi="FangSong" w:eastAsia="FangSong" w:cs="FangSong"/>
          <w:sz w:val="30"/>
          <w:szCs w:val="30"/>
          <w:spacing w:val="17"/>
        </w:rPr>
        <w:t>开除的处分，并可以依法吊销有关责任人员的执业证书；负有责任的主管人员和其他直接责任人员构</w:t>
      </w:r>
      <w:r>
        <w:rPr>
          <w:rFonts w:ascii="FangSong" w:hAnsi="FangSong" w:eastAsia="FangSong" w:cs="FangSong"/>
          <w:sz w:val="30"/>
          <w:szCs w:val="30"/>
          <w:spacing w:val="3"/>
        </w:rPr>
        <w:t xml:space="preserve"> </w:t>
      </w:r>
      <w:r>
        <w:rPr>
          <w:rFonts w:ascii="FangSong" w:hAnsi="FangSong" w:eastAsia="FangSong" w:cs="FangSong"/>
          <w:sz w:val="30"/>
          <w:szCs w:val="30"/>
          <w:spacing w:val="19"/>
        </w:rPr>
        <w:t>成犯罪的，依法追究刑事责任：(二)未定期对其工作人员进行血吸虫病防治知识、技能培训和考核。</w:t>
      </w:r>
    </w:p>
    <w:p>
      <w:pPr>
        <w:spacing w:line="271" w:lineRule="auto"/>
        <w:sectPr>
          <w:footerReference w:type="default" r:id="rId142"/>
          <w:pgSz w:w="16830" w:h="11900"/>
          <w:pgMar w:top="1011" w:right="1309" w:bottom="1107" w:left="1414" w:header="0" w:footer="774" w:gutter="0"/>
        </w:sectPr>
        <w:rPr>
          <w:rFonts w:ascii="FangSong" w:hAnsi="FangSong" w:eastAsia="FangSong" w:cs="FangSong"/>
          <w:sz w:val="30"/>
          <w:szCs w:val="30"/>
        </w:rPr>
      </w:pPr>
    </w:p>
    <w:p>
      <w:pPr>
        <w:pStyle w:val="BodyText"/>
        <w:spacing w:line="250" w:lineRule="auto"/>
        <w:rPr/>
      </w:pPr>
      <w:r/>
    </w:p>
    <w:p>
      <w:pPr>
        <w:pStyle w:val="BodyText"/>
        <w:spacing w:line="250" w:lineRule="auto"/>
        <w:rPr/>
      </w:pPr>
      <w:r/>
    </w:p>
    <w:p>
      <w:pPr>
        <w:pStyle w:val="BodyText"/>
        <w:spacing w:line="251" w:lineRule="auto"/>
        <w:rPr/>
      </w:pPr>
      <w:r/>
    </w:p>
    <w:p>
      <w:pPr>
        <w:ind w:left="6309"/>
        <w:spacing w:before="98" w:line="221" w:lineRule="auto"/>
        <w:outlineLvl w:val="1"/>
        <w:rPr>
          <w:rFonts w:ascii="SimHei" w:hAnsi="SimHei" w:eastAsia="SimHei" w:cs="SimHei"/>
          <w:sz w:val="30"/>
          <w:szCs w:val="30"/>
        </w:rPr>
      </w:pPr>
      <w:bookmarkStart w:name="bookmark803" w:id="108"/>
      <w:bookmarkEnd w:id="108"/>
      <w:bookmarkStart w:name="bookmark186" w:id="109"/>
      <w:bookmarkEnd w:id="109"/>
      <w:r>
        <w:rPr>
          <w:rFonts w:ascii="SimHei" w:hAnsi="SimHei" w:eastAsia="SimHei" w:cs="SimHei"/>
          <w:sz w:val="30"/>
          <w:szCs w:val="30"/>
          <w:b/>
          <w:bCs/>
          <w:spacing w:val="-15"/>
        </w:rPr>
        <w:t>裁量标准</w:t>
      </w:r>
    </w:p>
    <w:p>
      <w:pPr>
        <w:spacing w:line="190" w:lineRule="exact"/>
        <w:rPr/>
      </w:pPr>
      <w:r/>
    </w:p>
    <w:tbl>
      <w:tblPr>
        <w:tblStyle w:val="TableNormal"/>
        <w:tblW w:w="137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53"/>
        <w:gridCol w:w="6265"/>
        <w:gridCol w:w="4751"/>
      </w:tblGrid>
      <w:tr>
        <w:trPr>
          <w:trHeight w:val="662" w:hRule="atLeast"/>
        </w:trPr>
        <w:tc>
          <w:tcPr>
            <w:tcW w:w="2753" w:type="dxa"/>
            <w:vAlign w:val="top"/>
          </w:tcPr>
          <w:p>
            <w:pPr>
              <w:pStyle w:val="TableText"/>
              <w:ind w:left="788"/>
              <w:spacing w:before="21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6265" w:type="dxa"/>
            <w:vAlign w:val="top"/>
          </w:tcPr>
          <w:p>
            <w:pPr>
              <w:pStyle w:val="TableText"/>
              <w:ind w:left="2575"/>
              <w:spacing w:before="212" w:line="220" w:lineRule="auto"/>
              <w:rPr/>
            </w:pPr>
            <w:r>
              <w:rPr>
                <w:b/>
                <w:bCs/>
                <w:spacing w:val="-5"/>
              </w:rPr>
              <w:t>情节后果</w:t>
            </w:r>
          </w:p>
        </w:tc>
        <w:tc>
          <w:tcPr>
            <w:tcW w:w="4751" w:type="dxa"/>
            <w:vAlign w:val="top"/>
          </w:tcPr>
          <w:p>
            <w:pPr>
              <w:pStyle w:val="TableText"/>
              <w:ind w:left="1790"/>
              <w:spacing w:before="20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48" w:hRule="atLeast"/>
        </w:trPr>
        <w:tc>
          <w:tcPr>
            <w:tcW w:w="2753" w:type="dxa"/>
            <w:vAlign w:val="top"/>
          </w:tcPr>
          <w:p>
            <w:pPr>
              <w:pStyle w:val="TableText"/>
              <w:ind w:left="1128"/>
              <w:spacing w:before="100" w:line="221" w:lineRule="auto"/>
              <w:rPr/>
            </w:pPr>
            <w:r>
              <w:rPr>
                <w:b/>
                <w:bCs/>
                <w:spacing w:val="-10"/>
              </w:rPr>
              <w:t>一般</w:t>
            </w:r>
          </w:p>
        </w:tc>
        <w:tc>
          <w:tcPr>
            <w:tcW w:w="6265" w:type="dxa"/>
            <w:vAlign w:val="top"/>
          </w:tcPr>
          <w:p>
            <w:pPr>
              <w:pStyle w:val="TableText"/>
              <w:ind w:left="112"/>
              <w:spacing w:before="103" w:line="219" w:lineRule="auto"/>
              <w:rPr/>
            </w:pPr>
            <w:r>
              <w:rPr>
                <w:spacing w:val="-1"/>
              </w:rPr>
              <w:t>首次发现违法行为，未造成后果。</w:t>
            </w:r>
          </w:p>
        </w:tc>
        <w:tc>
          <w:tcPr>
            <w:tcW w:w="4751" w:type="dxa"/>
            <w:vAlign w:val="top"/>
          </w:tcPr>
          <w:p>
            <w:pPr>
              <w:pStyle w:val="TableText"/>
              <w:ind w:left="97"/>
              <w:spacing w:before="100" w:line="218" w:lineRule="auto"/>
              <w:rPr/>
            </w:pPr>
            <w:r>
              <w:rPr>
                <w:spacing w:val="-1"/>
              </w:rPr>
              <w:t>通报批评，给予警告。</w:t>
            </w:r>
          </w:p>
        </w:tc>
      </w:tr>
      <w:tr>
        <w:trPr>
          <w:trHeight w:val="1160" w:hRule="atLeast"/>
        </w:trPr>
        <w:tc>
          <w:tcPr>
            <w:tcW w:w="2753" w:type="dxa"/>
            <w:vAlign w:val="top"/>
          </w:tcPr>
          <w:p>
            <w:pPr>
              <w:spacing w:line="272" w:lineRule="auto"/>
              <w:rPr>
                <w:rFonts w:ascii="Arial"/>
                <w:sz w:val="21"/>
              </w:rPr>
            </w:pPr>
            <w:r/>
          </w:p>
          <w:p>
            <w:pPr>
              <w:pStyle w:val="TableText"/>
              <w:ind w:left="1128"/>
              <w:spacing w:before="78" w:line="220" w:lineRule="auto"/>
              <w:rPr/>
            </w:pPr>
            <w:r>
              <w:rPr>
                <w:b/>
                <w:bCs/>
                <w:spacing w:val="-6"/>
              </w:rPr>
              <w:t>严重</w:t>
            </w:r>
          </w:p>
        </w:tc>
        <w:tc>
          <w:tcPr>
            <w:tcW w:w="6265" w:type="dxa"/>
            <w:vAlign w:val="top"/>
          </w:tcPr>
          <w:p>
            <w:pPr>
              <w:pStyle w:val="TableText"/>
              <w:ind w:left="112" w:right="130"/>
              <w:spacing w:before="123" w:line="350" w:lineRule="auto"/>
              <w:rPr/>
            </w:pPr>
            <w:r>
              <w:rPr/>
              <w:t>责令限期改正后，逾期不改正，造成血吸虫病传播、流行</w:t>
            </w:r>
            <w:r>
              <w:rPr>
                <w:spacing w:val="10"/>
              </w:rPr>
              <w:t xml:space="preserve"> </w:t>
            </w:r>
            <w:r>
              <w:rPr>
                <w:spacing w:val="-1"/>
              </w:rPr>
              <w:t>或者其他严重后果。</w:t>
            </w:r>
          </w:p>
        </w:tc>
        <w:tc>
          <w:tcPr>
            <w:tcW w:w="4751" w:type="dxa"/>
            <w:vAlign w:val="top"/>
          </w:tcPr>
          <w:p>
            <w:pPr>
              <w:spacing w:line="273" w:lineRule="auto"/>
              <w:rPr>
                <w:rFonts w:ascii="Arial"/>
                <w:sz w:val="21"/>
              </w:rPr>
            </w:pPr>
            <w:r/>
          </w:p>
          <w:p>
            <w:pPr>
              <w:pStyle w:val="TableText"/>
              <w:ind w:left="146"/>
              <w:spacing w:before="78" w:line="219" w:lineRule="auto"/>
              <w:rPr/>
            </w:pPr>
            <w:r>
              <w:rPr>
                <w:spacing w:val="-1"/>
              </w:rPr>
              <w:t>并可以依法吊销有关责任人员的执业证书。</w:t>
            </w:r>
          </w:p>
        </w:tc>
      </w:tr>
    </w:tbl>
    <w:p>
      <w:pPr>
        <w:pStyle w:val="BodyText"/>
        <w:spacing w:line="456" w:lineRule="auto"/>
        <w:rPr/>
      </w:pPr>
      <w:r/>
    </w:p>
    <w:p>
      <w:pPr>
        <w:ind w:left="68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第六十六条发现急性血吸虫病疫情或者接到急性血吸虫病暴发、流行报告时，未及时采取措施</w:t>
      </w:r>
    </w:p>
    <w:p>
      <w:pPr>
        <w:ind w:left="14" w:firstLine="670"/>
        <w:spacing w:before="91" w:line="271" w:lineRule="auto"/>
        <w:jc w:val="both"/>
        <w:rPr>
          <w:rFonts w:ascii="FangSong" w:hAnsi="FangSong" w:eastAsia="FangSong" w:cs="FangSong"/>
          <w:sz w:val="30"/>
          <w:szCs w:val="30"/>
        </w:rPr>
      </w:pPr>
      <w:r>
        <w:rPr>
          <w:rFonts w:ascii="FangSong" w:hAnsi="FangSong" w:eastAsia="FangSong" w:cs="FangSong"/>
          <w:sz w:val="30"/>
          <w:szCs w:val="30"/>
          <w:spacing w:val="16"/>
        </w:rPr>
        <w:t>法律依据：血吸虫病防治条例》第四十九条第三项</w:t>
      </w:r>
      <w:r>
        <w:rPr>
          <w:rFonts w:ascii="FangSong" w:hAnsi="FangSong" w:eastAsia="FangSong" w:cs="FangSong"/>
          <w:sz w:val="30"/>
          <w:szCs w:val="30"/>
          <w:spacing w:val="16"/>
        </w:rPr>
        <w:t xml:space="preserve">  </w:t>
      </w:r>
      <w:r>
        <w:rPr>
          <w:rFonts w:ascii="FangSong" w:hAnsi="FangSong" w:eastAsia="FangSong" w:cs="FangSong"/>
          <w:sz w:val="30"/>
          <w:szCs w:val="30"/>
          <w:spacing w:val="16"/>
        </w:rPr>
        <w:t>医疗机构、疾病预防</w:t>
      </w:r>
      <w:r>
        <w:rPr>
          <w:rFonts w:ascii="FangSong" w:hAnsi="FangSong" w:eastAsia="FangSong" w:cs="FangSong"/>
          <w:sz w:val="30"/>
          <w:szCs w:val="30"/>
          <w:spacing w:val="15"/>
        </w:rPr>
        <w:t>控制机构、动物防疫监</w:t>
      </w:r>
      <w:r>
        <w:rPr>
          <w:rFonts w:ascii="FangSong" w:hAnsi="FangSong" w:eastAsia="FangSong" w:cs="FangSong"/>
          <w:sz w:val="30"/>
          <w:szCs w:val="30"/>
        </w:rPr>
        <w:t xml:space="preserve"> </w:t>
      </w:r>
      <w:r>
        <w:rPr>
          <w:rFonts w:ascii="FangSong" w:hAnsi="FangSong" w:eastAsia="FangSong" w:cs="FangSong"/>
          <w:sz w:val="30"/>
          <w:szCs w:val="30"/>
          <w:spacing w:val="19"/>
        </w:rPr>
        <w:t>督机构或者植物检疫机构违反本条例规定，有下列情形之一的，由县级以上人民政府</w:t>
      </w:r>
      <w:r>
        <w:rPr>
          <w:rFonts w:ascii="FangSong" w:hAnsi="FangSong" w:eastAsia="FangSong" w:cs="FangSong"/>
          <w:sz w:val="30"/>
          <w:szCs w:val="30"/>
          <w:spacing w:val="18"/>
        </w:rPr>
        <w:t>卫生主管部门、</w:t>
      </w:r>
      <w:r>
        <w:rPr>
          <w:rFonts w:ascii="FangSong" w:hAnsi="FangSong" w:eastAsia="FangSong" w:cs="FangSong"/>
          <w:sz w:val="30"/>
          <w:szCs w:val="30"/>
        </w:rPr>
        <w:t xml:space="preserve"> </w:t>
      </w:r>
      <w:r>
        <w:rPr>
          <w:rFonts w:ascii="FangSong" w:hAnsi="FangSong" w:eastAsia="FangSong" w:cs="FangSong"/>
          <w:sz w:val="30"/>
          <w:szCs w:val="30"/>
          <w:spacing w:val="17"/>
        </w:rPr>
        <w:t>农业或者兽医主管部门依据各自职责责令限期改正，通报批评，给予警告；逾期</w:t>
      </w:r>
      <w:r>
        <w:rPr>
          <w:rFonts w:ascii="FangSong" w:hAnsi="FangSong" w:eastAsia="FangSong" w:cs="FangSong"/>
          <w:sz w:val="30"/>
          <w:szCs w:val="30"/>
          <w:spacing w:val="16"/>
        </w:rPr>
        <w:t>不改正，造成血吸虫</w:t>
      </w:r>
      <w:r>
        <w:rPr>
          <w:rFonts w:ascii="FangSong" w:hAnsi="FangSong" w:eastAsia="FangSong" w:cs="FangSong"/>
          <w:sz w:val="30"/>
          <w:szCs w:val="30"/>
        </w:rPr>
        <w:t xml:space="preserve"> </w:t>
      </w:r>
      <w:r>
        <w:rPr>
          <w:rFonts w:ascii="FangSong" w:hAnsi="FangSong" w:eastAsia="FangSong" w:cs="FangSong"/>
          <w:sz w:val="30"/>
          <w:szCs w:val="30"/>
          <w:spacing w:val="13"/>
        </w:rPr>
        <w:t>病传播、流行或者其他严重后果的，对负有</w:t>
      </w:r>
      <w:r>
        <w:rPr>
          <w:rFonts w:ascii="FangSong" w:hAnsi="FangSong" w:eastAsia="FangSong" w:cs="FangSong"/>
          <w:sz w:val="30"/>
          <w:szCs w:val="30"/>
          <w:spacing w:val="12"/>
        </w:rPr>
        <w:t>责任的主管人员和其他直接责任人员依法给予降级、撤职、</w:t>
      </w:r>
      <w:r>
        <w:rPr>
          <w:rFonts w:ascii="FangSong" w:hAnsi="FangSong" w:eastAsia="FangSong" w:cs="FangSong"/>
          <w:sz w:val="30"/>
          <w:szCs w:val="30"/>
        </w:rPr>
        <w:t xml:space="preserve"> </w:t>
      </w:r>
      <w:r>
        <w:rPr>
          <w:rFonts w:ascii="FangSong" w:hAnsi="FangSong" w:eastAsia="FangSong" w:cs="FangSong"/>
          <w:sz w:val="30"/>
          <w:szCs w:val="30"/>
          <w:spacing w:val="17"/>
        </w:rPr>
        <w:t>开除的处分，并可以依法吊销有关责任人员的执业证书；负有责任的主管人员和其他直</w:t>
      </w:r>
      <w:r>
        <w:rPr>
          <w:rFonts w:ascii="FangSong" w:hAnsi="FangSong" w:eastAsia="FangSong" w:cs="FangSong"/>
          <w:sz w:val="30"/>
          <w:szCs w:val="30"/>
          <w:spacing w:val="16"/>
        </w:rPr>
        <w:t>接责任人员构</w:t>
      </w:r>
      <w:r>
        <w:rPr>
          <w:rFonts w:ascii="FangSong" w:hAnsi="FangSong" w:eastAsia="FangSong" w:cs="FangSong"/>
          <w:sz w:val="30"/>
          <w:szCs w:val="30"/>
        </w:rPr>
        <w:t xml:space="preserve"> </w:t>
      </w:r>
      <w:r>
        <w:rPr>
          <w:rFonts w:ascii="FangSong" w:hAnsi="FangSong" w:eastAsia="FangSong" w:cs="FangSong"/>
          <w:sz w:val="30"/>
          <w:szCs w:val="30"/>
          <w:spacing w:val="23"/>
        </w:rPr>
        <w:t>成犯罪的，依法追究刑事责任：(三)发现急性血吸虫病疫情或者接到急</w:t>
      </w:r>
      <w:r>
        <w:rPr>
          <w:rFonts w:ascii="FangSong" w:hAnsi="FangSong" w:eastAsia="FangSong" w:cs="FangSong"/>
          <w:sz w:val="30"/>
          <w:szCs w:val="30"/>
          <w:spacing w:val="22"/>
        </w:rPr>
        <w:t>性血吸虫病暴发、流行报告</w:t>
      </w:r>
      <w:r>
        <w:rPr>
          <w:rFonts w:ascii="FangSong" w:hAnsi="FangSong" w:eastAsia="FangSong" w:cs="FangSong"/>
          <w:sz w:val="30"/>
          <w:szCs w:val="30"/>
        </w:rPr>
        <w:t xml:space="preserve">  </w:t>
      </w:r>
      <w:r>
        <w:rPr>
          <w:rFonts w:ascii="FangSong" w:hAnsi="FangSong" w:eastAsia="FangSong" w:cs="FangSong"/>
          <w:sz w:val="30"/>
          <w:szCs w:val="30"/>
          <w:spacing w:val="13"/>
        </w:rPr>
        <w:t>时，未及时采取措施。</w:t>
      </w:r>
    </w:p>
    <w:p>
      <w:pPr>
        <w:spacing w:line="271" w:lineRule="auto"/>
        <w:sectPr>
          <w:footerReference w:type="default" r:id="rId143"/>
          <w:pgSz w:w="16830" w:h="11900"/>
          <w:pgMar w:top="1011" w:right="1329" w:bottom="1123" w:left="1425" w:header="0" w:footer="808" w:gutter="0"/>
        </w:sectPr>
        <w:rPr>
          <w:rFonts w:ascii="FangSong" w:hAnsi="FangSong" w:eastAsia="FangSong" w:cs="FangSong"/>
          <w:sz w:val="30"/>
          <w:szCs w:val="30"/>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ind w:left="6309"/>
        <w:spacing w:before="95" w:line="221" w:lineRule="auto"/>
        <w:outlineLvl w:val="1"/>
        <w:rPr>
          <w:rFonts w:ascii="SimHei" w:hAnsi="SimHei" w:eastAsia="SimHei" w:cs="SimHei"/>
          <w:sz w:val="29"/>
          <w:szCs w:val="29"/>
        </w:rPr>
      </w:pPr>
      <w:bookmarkStart w:name="bookmark804" w:id="110"/>
      <w:bookmarkEnd w:id="110"/>
      <w:bookmarkStart w:name="bookmark186" w:id="111"/>
      <w:bookmarkEnd w:id="111"/>
      <w:r>
        <w:rPr>
          <w:rFonts w:ascii="SimHei" w:hAnsi="SimHei" w:eastAsia="SimHei" w:cs="SimHei"/>
          <w:sz w:val="29"/>
          <w:szCs w:val="29"/>
          <w:b/>
          <w:bCs/>
          <w:spacing w:val="-6"/>
        </w:rPr>
        <w:t>裁量标准</w:t>
      </w:r>
    </w:p>
    <w:p>
      <w:pPr>
        <w:spacing w:line="162" w:lineRule="exact"/>
        <w:rPr/>
      </w:pPr>
      <w:r/>
    </w:p>
    <w:tbl>
      <w:tblPr>
        <w:tblStyle w:val="TableNormal"/>
        <w:tblW w:w="137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94"/>
        <w:gridCol w:w="7384"/>
        <w:gridCol w:w="4852"/>
      </w:tblGrid>
      <w:tr>
        <w:trPr>
          <w:trHeight w:val="652" w:hRule="atLeast"/>
        </w:trPr>
        <w:tc>
          <w:tcPr>
            <w:tcW w:w="1494" w:type="dxa"/>
            <w:vAlign w:val="top"/>
          </w:tcPr>
          <w:p>
            <w:pPr>
              <w:pStyle w:val="TableText"/>
              <w:ind w:left="258"/>
              <w:spacing w:before="72" w:line="220" w:lineRule="auto"/>
              <w:rPr/>
            </w:pPr>
            <w:r>
              <w:rPr>
                <w:b/>
                <w:bCs/>
                <w:spacing w:val="-5"/>
              </w:rPr>
              <w:t>违法程度</w:t>
            </w:r>
          </w:p>
        </w:tc>
        <w:tc>
          <w:tcPr>
            <w:tcW w:w="7384" w:type="dxa"/>
            <w:vAlign w:val="top"/>
          </w:tcPr>
          <w:p>
            <w:pPr>
              <w:pStyle w:val="TableText"/>
              <w:ind w:left="3124"/>
              <w:spacing w:before="92" w:line="220" w:lineRule="auto"/>
              <w:rPr/>
            </w:pPr>
            <w:r>
              <w:rPr>
                <w:b/>
                <w:bCs/>
                <w:spacing w:val="-5"/>
              </w:rPr>
              <w:t>情节后果</w:t>
            </w:r>
          </w:p>
        </w:tc>
        <w:tc>
          <w:tcPr>
            <w:tcW w:w="4852" w:type="dxa"/>
            <w:vAlign w:val="top"/>
          </w:tcPr>
          <w:p>
            <w:pPr>
              <w:pStyle w:val="TableText"/>
              <w:ind w:left="1940"/>
              <w:spacing w:before="99" w:line="218" w:lineRule="auto"/>
              <w:rPr/>
            </w:pPr>
            <w:r>
              <w:rPr>
                <w:b/>
                <w:bCs/>
                <w:spacing w:val="-5"/>
              </w:rPr>
              <w:t>裁量幅度</w:t>
            </w:r>
          </w:p>
        </w:tc>
      </w:tr>
      <w:tr>
        <w:trPr>
          <w:trHeight w:val="657" w:hRule="atLeast"/>
        </w:trPr>
        <w:tc>
          <w:tcPr>
            <w:tcW w:w="1494" w:type="dxa"/>
            <w:vAlign w:val="top"/>
          </w:tcPr>
          <w:p>
            <w:pPr>
              <w:pStyle w:val="TableText"/>
              <w:ind w:left="498"/>
              <w:spacing w:before="90" w:line="221" w:lineRule="auto"/>
              <w:rPr/>
            </w:pPr>
            <w:r>
              <w:rPr>
                <w:b/>
                <w:bCs/>
                <w:spacing w:val="-10"/>
              </w:rPr>
              <w:t>一般</w:t>
            </w:r>
          </w:p>
        </w:tc>
        <w:tc>
          <w:tcPr>
            <w:tcW w:w="7384" w:type="dxa"/>
            <w:vAlign w:val="top"/>
          </w:tcPr>
          <w:p>
            <w:pPr>
              <w:pStyle w:val="TableText"/>
              <w:ind w:left="130"/>
              <w:spacing w:before="92" w:line="219" w:lineRule="auto"/>
              <w:rPr/>
            </w:pPr>
            <w:r>
              <w:rPr/>
              <w:t>首次发现违法行为，未造成后果。</w:t>
            </w:r>
          </w:p>
        </w:tc>
        <w:tc>
          <w:tcPr>
            <w:tcW w:w="4852" w:type="dxa"/>
            <w:vAlign w:val="top"/>
          </w:tcPr>
          <w:p>
            <w:pPr>
              <w:pStyle w:val="TableText"/>
              <w:ind w:left="127"/>
              <w:spacing w:before="90" w:line="218" w:lineRule="auto"/>
              <w:rPr/>
            </w:pPr>
            <w:r>
              <w:rPr>
                <w:spacing w:val="-1"/>
              </w:rPr>
              <w:t>通报批评，给予警告。</w:t>
            </w:r>
          </w:p>
        </w:tc>
      </w:tr>
      <w:tr>
        <w:trPr>
          <w:trHeight w:val="1130" w:hRule="atLeast"/>
        </w:trPr>
        <w:tc>
          <w:tcPr>
            <w:tcW w:w="1494" w:type="dxa"/>
            <w:vAlign w:val="top"/>
          </w:tcPr>
          <w:p>
            <w:pPr>
              <w:spacing w:line="253" w:lineRule="auto"/>
              <w:rPr>
                <w:rFonts w:ascii="Arial"/>
                <w:sz w:val="21"/>
              </w:rPr>
            </w:pPr>
            <w:r/>
          </w:p>
          <w:p>
            <w:pPr>
              <w:pStyle w:val="TableText"/>
              <w:ind w:left="498"/>
              <w:spacing w:before="78" w:line="220" w:lineRule="auto"/>
              <w:rPr/>
            </w:pPr>
            <w:r>
              <w:rPr>
                <w:b/>
                <w:bCs/>
                <w:spacing w:val="-6"/>
              </w:rPr>
              <w:t>严重</w:t>
            </w:r>
          </w:p>
        </w:tc>
        <w:tc>
          <w:tcPr>
            <w:tcW w:w="7384" w:type="dxa"/>
            <w:vAlign w:val="top"/>
          </w:tcPr>
          <w:p>
            <w:pPr>
              <w:pStyle w:val="TableText"/>
              <w:ind w:left="130" w:right="42" w:hanging="9"/>
              <w:spacing w:before="114" w:line="350" w:lineRule="auto"/>
              <w:rPr/>
            </w:pPr>
            <w:r>
              <w:rPr/>
              <w:t>责令限期改正后，逾期不改正，造成血吸虫病传播、流行或者其他严</w:t>
            </w:r>
            <w:r>
              <w:rPr>
                <w:spacing w:val="9"/>
              </w:rPr>
              <w:t xml:space="preserve"> </w:t>
            </w:r>
            <w:r>
              <w:rPr/>
              <w:t>重后果。</w:t>
            </w:r>
          </w:p>
        </w:tc>
        <w:tc>
          <w:tcPr>
            <w:tcW w:w="4852" w:type="dxa"/>
            <w:vAlign w:val="top"/>
          </w:tcPr>
          <w:p>
            <w:pPr>
              <w:spacing w:line="254" w:lineRule="auto"/>
              <w:rPr>
                <w:rFonts w:ascii="Arial"/>
                <w:sz w:val="21"/>
              </w:rPr>
            </w:pPr>
            <w:r/>
          </w:p>
          <w:p>
            <w:pPr>
              <w:pStyle w:val="TableText"/>
              <w:ind w:left="197"/>
              <w:spacing w:before="78" w:line="219" w:lineRule="auto"/>
              <w:rPr/>
            </w:pPr>
            <w:r>
              <w:rPr>
                <w:spacing w:val="-1"/>
              </w:rPr>
              <w:t>并可以依法吊销有关责任人员的执业证书。</w:t>
            </w:r>
          </w:p>
        </w:tc>
      </w:tr>
    </w:tbl>
    <w:p>
      <w:pPr>
        <w:pStyle w:val="BodyText"/>
        <w:spacing w:line="457" w:lineRule="auto"/>
        <w:rPr/>
      </w:pPr>
      <w:r/>
    </w:p>
    <w:p>
      <w:pPr>
        <w:ind w:left="29" w:right="138" w:firstLine="780"/>
        <w:spacing w:before="94" w:line="284" w:lineRule="auto"/>
        <w:rPr>
          <w:rFonts w:ascii="KaiTi" w:hAnsi="KaiTi" w:eastAsia="KaiTi" w:cs="KaiTi"/>
          <w:sz w:val="29"/>
          <w:szCs w:val="29"/>
        </w:rPr>
      </w:pPr>
      <w:r>
        <w:rPr>
          <w:rFonts w:ascii="KaiTi" w:hAnsi="KaiTi" w:eastAsia="KaiTi" w:cs="KaiTi"/>
          <w:sz w:val="29"/>
          <w:szCs w:val="29"/>
          <w:b/>
          <w:bCs/>
          <w:spacing w:val="31"/>
        </w:rPr>
        <w:t>(八)《医疗废物管理条例》、《医疗卫生机构医疗废物管理办法》及《医疗废物管理行政处</w:t>
      </w:r>
      <w:r>
        <w:rPr>
          <w:rFonts w:ascii="KaiTi" w:hAnsi="KaiTi" w:eastAsia="KaiTi" w:cs="KaiTi"/>
          <w:sz w:val="29"/>
          <w:szCs w:val="29"/>
          <w:spacing w:val="8"/>
        </w:rPr>
        <w:t xml:space="preserve"> </w:t>
      </w:r>
      <w:r>
        <w:rPr>
          <w:rFonts w:ascii="KaiTi" w:hAnsi="KaiTi" w:eastAsia="KaiTi" w:cs="KaiTi"/>
          <w:sz w:val="29"/>
          <w:szCs w:val="29"/>
          <w:b/>
          <w:bCs/>
          <w:spacing w:val="28"/>
        </w:rPr>
        <w:t>罚办法》</w:t>
      </w:r>
    </w:p>
    <w:p>
      <w:pPr>
        <w:ind w:left="29" w:right="114" w:firstLine="660"/>
        <w:spacing w:line="276" w:lineRule="auto"/>
        <w:rPr>
          <w:rFonts w:ascii="FangSong" w:hAnsi="FangSong" w:eastAsia="FangSong" w:cs="FangSong"/>
          <w:sz w:val="29"/>
          <w:szCs w:val="29"/>
        </w:rPr>
      </w:pPr>
      <w:r>
        <w:rPr>
          <w:rFonts w:ascii="FangSong" w:hAnsi="FangSong" w:eastAsia="FangSong" w:cs="FangSong"/>
          <w:sz w:val="29"/>
          <w:szCs w:val="29"/>
          <w:b/>
          <w:bCs/>
          <w:spacing w:val="35"/>
        </w:rPr>
        <w:t>第六十七条医疗卫生机构未建立、健全医疗废物管理制度，或者未设置监</w:t>
      </w:r>
      <w:r>
        <w:rPr>
          <w:rFonts w:ascii="FangSong" w:hAnsi="FangSong" w:eastAsia="FangSong" w:cs="FangSong"/>
          <w:sz w:val="29"/>
          <w:szCs w:val="29"/>
          <w:b/>
          <w:bCs/>
          <w:spacing w:val="34"/>
        </w:rPr>
        <w:t>控部门或者专(兼</w:t>
      </w:r>
      <w:r>
        <w:rPr>
          <w:rFonts w:ascii="FangSong" w:hAnsi="FangSong" w:eastAsia="FangSong" w:cs="FangSong"/>
          <w:sz w:val="29"/>
          <w:szCs w:val="29"/>
          <w:spacing w:val="34"/>
        </w:rPr>
        <w:t>)</w:t>
      </w:r>
      <w:r>
        <w:rPr>
          <w:rFonts w:ascii="FangSong" w:hAnsi="FangSong" w:eastAsia="FangSong" w:cs="FangSong"/>
          <w:sz w:val="29"/>
          <w:szCs w:val="29"/>
        </w:rPr>
        <w:t xml:space="preserve"> </w:t>
      </w:r>
      <w:r>
        <w:rPr>
          <w:rFonts w:ascii="FangSong" w:hAnsi="FangSong" w:eastAsia="FangSong" w:cs="FangSong"/>
          <w:sz w:val="29"/>
          <w:szCs w:val="29"/>
          <w:b/>
          <w:bCs/>
          <w:spacing w:val="19"/>
        </w:rPr>
        <w:t>职人员的</w:t>
      </w:r>
    </w:p>
    <w:p>
      <w:pPr>
        <w:ind w:left="685"/>
        <w:spacing w:line="222" w:lineRule="auto"/>
        <w:rPr>
          <w:rFonts w:ascii="FangSong" w:hAnsi="FangSong" w:eastAsia="FangSong" w:cs="FangSong"/>
          <w:sz w:val="29"/>
          <w:szCs w:val="29"/>
        </w:rPr>
      </w:pPr>
      <w:r>
        <w:rPr>
          <w:rFonts w:ascii="FangSong" w:hAnsi="FangSong" w:eastAsia="FangSong" w:cs="FangSong"/>
          <w:sz w:val="29"/>
          <w:szCs w:val="29"/>
          <w:spacing w:val="6"/>
        </w:rPr>
        <w:t>法律依据：</w:t>
      </w:r>
    </w:p>
    <w:p>
      <w:pPr>
        <w:ind w:left="25" w:firstLine="635"/>
        <w:spacing w:before="118" w:line="280" w:lineRule="auto"/>
        <w:jc w:val="both"/>
        <w:rPr>
          <w:rFonts w:ascii="FangSong" w:hAnsi="FangSong" w:eastAsia="FangSong" w:cs="FangSong"/>
          <w:sz w:val="29"/>
          <w:szCs w:val="29"/>
        </w:rPr>
      </w:pPr>
      <w:r>
        <w:rPr>
          <w:rFonts w:ascii="FangSong" w:hAnsi="FangSong" w:eastAsia="FangSong" w:cs="FangSong"/>
          <w:sz w:val="29"/>
          <w:szCs w:val="29"/>
          <w:spacing w:val="33"/>
        </w:rPr>
        <w:t>《医疗废物管理条例》第四十五条第(</w:t>
      </w:r>
      <w:r>
        <w:rPr>
          <w:rFonts w:ascii="FangSong" w:hAnsi="FangSong" w:eastAsia="FangSong" w:cs="FangSong"/>
          <w:sz w:val="29"/>
          <w:szCs w:val="29"/>
          <w:spacing w:val="-60"/>
        </w:rPr>
        <w:t xml:space="preserve"> </w:t>
      </w:r>
      <w:r>
        <w:rPr>
          <w:rFonts w:ascii="FangSong" w:hAnsi="FangSong" w:eastAsia="FangSong" w:cs="FangSong"/>
          <w:sz w:val="29"/>
          <w:szCs w:val="29"/>
          <w:spacing w:val="33"/>
        </w:rPr>
        <w:t>一</w:t>
      </w:r>
      <w:r>
        <w:rPr>
          <w:rFonts w:ascii="FangSong" w:hAnsi="FangSong" w:eastAsia="FangSong" w:cs="FangSong"/>
          <w:sz w:val="29"/>
          <w:szCs w:val="29"/>
          <w:spacing w:val="-86"/>
        </w:rPr>
        <w:t xml:space="preserve"> </w:t>
      </w:r>
      <w:r>
        <w:rPr>
          <w:rFonts w:ascii="FangSong" w:hAnsi="FangSong" w:eastAsia="FangSong" w:cs="FangSong"/>
          <w:sz w:val="29"/>
          <w:szCs w:val="29"/>
          <w:spacing w:val="33"/>
        </w:rPr>
        <w:t>)项</w:t>
      </w:r>
      <w:r>
        <w:rPr>
          <w:rFonts w:ascii="FangSong" w:hAnsi="FangSong" w:eastAsia="FangSong" w:cs="FangSong"/>
          <w:sz w:val="29"/>
          <w:szCs w:val="29"/>
          <w:spacing w:val="33"/>
        </w:rPr>
        <w:t xml:space="preserve">   </w:t>
      </w:r>
      <w:r>
        <w:rPr>
          <w:rFonts w:ascii="FangSong" w:hAnsi="FangSong" w:eastAsia="FangSong" w:cs="FangSong"/>
          <w:sz w:val="29"/>
          <w:szCs w:val="29"/>
          <w:spacing w:val="33"/>
        </w:rPr>
        <w:t>医疗卫生</w:t>
      </w:r>
      <w:r>
        <w:rPr>
          <w:rFonts w:ascii="FangSong" w:hAnsi="FangSong" w:eastAsia="FangSong" w:cs="FangSong"/>
          <w:sz w:val="29"/>
          <w:szCs w:val="29"/>
          <w:spacing w:val="32"/>
        </w:rPr>
        <w:t>机构、医疗废物集中处置单位违反本</w:t>
      </w:r>
      <w:r>
        <w:rPr>
          <w:rFonts w:ascii="FangSong" w:hAnsi="FangSong" w:eastAsia="FangSong" w:cs="FangSong"/>
          <w:sz w:val="29"/>
          <w:szCs w:val="29"/>
        </w:rPr>
        <w:t xml:space="preserve"> </w:t>
      </w:r>
      <w:r>
        <w:rPr>
          <w:rFonts w:ascii="FangSong" w:hAnsi="FangSong" w:eastAsia="FangSong" w:cs="FangSong"/>
          <w:sz w:val="29"/>
          <w:szCs w:val="29"/>
          <w:spacing w:val="25"/>
        </w:rPr>
        <w:t>条例规定，有下列情形之一</w:t>
      </w:r>
      <w:r>
        <w:rPr>
          <w:rFonts w:ascii="FangSong" w:hAnsi="FangSong" w:eastAsia="FangSong" w:cs="FangSong"/>
          <w:sz w:val="29"/>
          <w:szCs w:val="29"/>
          <w:spacing w:val="-81"/>
        </w:rPr>
        <w:t xml:space="preserve"> </w:t>
      </w:r>
      <w:r>
        <w:rPr>
          <w:rFonts w:ascii="FangSong" w:hAnsi="FangSong" w:eastAsia="FangSong" w:cs="FangSong"/>
          <w:sz w:val="29"/>
          <w:szCs w:val="29"/>
          <w:spacing w:val="25"/>
        </w:rPr>
        <w:t>的，由县级以上地方人民政府卫生行政主管部门或者</w:t>
      </w:r>
      <w:r>
        <w:rPr>
          <w:rFonts w:ascii="FangSong" w:hAnsi="FangSong" w:eastAsia="FangSong" w:cs="FangSong"/>
          <w:sz w:val="29"/>
          <w:szCs w:val="29"/>
          <w:spacing w:val="24"/>
        </w:rPr>
        <w:t>环境保护行政主管部</w:t>
      </w:r>
      <w:r>
        <w:rPr>
          <w:rFonts w:ascii="FangSong" w:hAnsi="FangSong" w:eastAsia="FangSong" w:cs="FangSong"/>
          <w:sz w:val="29"/>
          <w:szCs w:val="29"/>
        </w:rPr>
        <w:t xml:space="preserve"> </w:t>
      </w:r>
      <w:r>
        <w:rPr>
          <w:rFonts w:ascii="FangSong" w:hAnsi="FangSong" w:eastAsia="FangSong" w:cs="FangSong"/>
          <w:sz w:val="29"/>
          <w:szCs w:val="29"/>
          <w:spacing w:val="32"/>
        </w:rPr>
        <w:t>门按照各自的职责责令限期改正，给予警告；逾期不改正的，处2000元以上5000元以下的罚款：</w:t>
      </w:r>
    </w:p>
    <w:p>
      <w:pPr>
        <w:ind w:left="805"/>
        <w:spacing w:line="220" w:lineRule="auto"/>
        <w:rPr>
          <w:rFonts w:ascii="FangSong" w:hAnsi="FangSong" w:eastAsia="FangSong" w:cs="FangSong"/>
          <w:sz w:val="29"/>
          <w:szCs w:val="29"/>
        </w:rPr>
      </w:pPr>
      <w:r>
        <w:rPr>
          <w:rFonts w:ascii="FangSong" w:hAnsi="FangSong" w:eastAsia="FangSong" w:cs="FangSong"/>
          <w:sz w:val="29"/>
          <w:szCs w:val="29"/>
          <w:spacing w:val="38"/>
        </w:rPr>
        <w:t>(</w:t>
      </w:r>
      <w:r>
        <w:rPr>
          <w:rFonts w:ascii="FangSong" w:hAnsi="FangSong" w:eastAsia="FangSong" w:cs="FangSong"/>
          <w:sz w:val="29"/>
          <w:szCs w:val="29"/>
          <w:spacing w:val="-75"/>
        </w:rPr>
        <w:t xml:space="preserve"> </w:t>
      </w:r>
      <w:r>
        <w:rPr>
          <w:rFonts w:ascii="FangSong" w:hAnsi="FangSong" w:eastAsia="FangSong" w:cs="FangSong"/>
          <w:sz w:val="29"/>
          <w:szCs w:val="29"/>
          <w:spacing w:val="38"/>
        </w:rPr>
        <w:t>一)未建立、健全医疗废物管理制度，或者未设置监控部门或者专(兼)职人员的；</w:t>
      </w:r>
    </w:p>
    <w:p>
      <w:pPr>
        <w:spacing w:line="220" w:lineRule="auto"/>
        <w:sectPr>
          <w:footerReference w:type="default" r:id="rId144"/>
          <w:pgSz w:w="16830" w:h="11900"/>
          <w:pgMar w:top="1011" w:right="1461" w:bottom="1114" w:left="1414" w:header="0" w:footer="772" w:gutter="0"/>
        </w:sectPr>
        <w:rPr>
          <w:rFonts w:ascii="FangSong" w:hAnsi="FangSong" w:eastAsia="FangSong" w:cs="FangSong"/>
          <w:sz w:val="29"/>
          <w:szCs w:val="29"/>
        </w:rPr>
      </w:pP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ind w:left="6379"/>
        <w:spacing w:before="94" w:line="221" w:lineRule="auto"/>
        <w:rPr>
          <w:rFonts w:ascii="SimHei" w:hAnsi="SimHei" w:eastAsia="SimHei" w:cs="SimHei"/>
          <w:sz w:val="29"/>
          <w:szCs w:val="29"/>
        </w:rPr>
      </w:pPr>
      <w:bookmarkStart w:name="bookmark805" w:id="112"/>
      <w:bookmarkEnd w:id="112"/>
      <w:r>
        <w:rPr>
          <w:rFonts w:ascii="SimHei" w:hAnsi="SimHei" w:eastAsia="SimHei" w:cs="SimHei"/>
          <w:sz w:val="29"/>
          <w:szCs w:val="29"/>
          <w:b/>
          <w:bCs/>
          <w:spacing w:val="-6"/>
        </w:rPr>
        <w:t>裁量标准</w:t>
      </w:r>
    </w:p>
    <w:p>
      <w:pPr>
        <w:spacing w:line="192" w:lineRule="exact"/>
        <w:rPr/>
      </w:pPr>
      <w:r/>
    </w:p>
    <w:tbl>
      <w:tblPr>
        <w:tblStyle w:val="TableNormal"/>
        <w:tblW w:w="139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43"/>
        <w:gridCol w:w="6905"/>
        <w:gridCol w:w="4752"/>
      </w:tblGrid>
      <w:tr>
        <w:trPr>
          <w:trHeight w:val="863" w:hRule="atLeast"/>
        </w:trPr>
        <w:tc>
          <w:tcPr>
            <w:tcW w:w="2243" w:type="dxa"/>
            <w:vAlign w:val="top"/>
          </w:tcPr>
          <w:p>
            <w:pPr>
              <w:pStyle w:val="TableText"/>
              <w:ind w:left="598"/>
              <w:spacing w:before="192" w:line="220" w:lineRule="auto"/>
              <w:rPr>
                <w:sz w:val="26"/>
                <w:szCs w:val="26"/>
              </w:rPr>
            </w:pPr>
            <w:r>
              <w:rPr>
                <w:sz w:val="26"/>
                <w:szCs w:val="26"/>
                <w:b/>
                <w:bCs/>
                <w:spacing w:val="-5"/>
              </w:rPr>
              <w:t>违法程度</w:t>
            </w:r>
          </w:p>
        </w:tc>
        <w:tc>
          <w:tcPr>
            <w:tcW w:w="6905" w:type="dxa"/>
            <w:vAlign w:val="top"/>
          </w:tcPr>
          <w:p>
            <w:pPr>
              <w:pStyle w:val="TableText"/>
              <w:ind w:left="2925"/>
              <w:spacing w:before="302" w:line="220" w:lineRule="auto"/>
              <w:rPr>
                <w:sz w:val="26"/>
                <w:szCs w:val="26"/>
              </w:rPr>
            </w:pPr>
            <w:r>
              <w:rPr>
                <w:sz w:val="26"/>
                <w:szCs w:val="26"/>
                <w:b/>
                <w:bCs/>
                <w:spacing w:val="-5"/>
              </w:rPr>
              <w:t>情节后果</w:t>
            </w:r>
          </w:p>
        </w:tc>
        <w:tc>
          <w:tcPr>
            <w:tcW w:w="4752" w:type="dxa"/>
            <w:vAlign w:val="top"/>
          </w:tcPr>
          <w:p>
            <w:pPr>
              <w:pStyle w:val="TableText"/>
              <w:ind w:left="1820"/>
              <w:spacing w:before="189" w:line="218" w:lineRule="auto"/>
              <w:rPr>
                <w:sz w:val="26"/>
                <w:szCs w:val="26"/>
              </w:rPr>
            </w:pPr>
            <w:r>
              <w:rPr>
                <w:sz w:val="26"/>
                <w:szCs w:val="26"/>
                <w:b/>
                <w:bCs/>
                <w:spacing w:val="-5"/>
              </w:rPr>
              <w:t>裁量幅度</w:t>
            </w:r>
          </w:p>
        </w:tc>
      </w:tr>
      <w:tr>
        <w:trPr>
          <w:trHeight w:val="768" w:hRule="atLeast"/>
        </w:trPr>
        <w:tc>
          <w:tcPr>
            <w:tcW w:w="2243" w:type="dxa"/>
            <w:vAlign w:val="top"/>
          </w:tcPr>
          <w:p>
            <w:pPr>
              <w:pStyle w:val="TableText"/>
              <w:ind w:left="858"/>
              <w:spacing w:before="139" w:line="219" w:lineRule="auto"/>
              <w:rPr>
                <w:sz w:val="26"/>
                <w:szCs w:val="26"/>
              </w:rPr>
            </w:pPr>
            <w:r>
              <w:rPr>
                <w:sz w:val="26"/>
                <w:szCs w:val="26"/>
                <w:b/>
                <w:bCs/>
                <w:spacing w:val="-6"/>
              </w:rPr>
              <w:t>较轻</w:t>
            </w:r>
          </w:p>
        </w:tc>
        <w:tc>
          <w:tcPr>
            <w:tcW w:w="6905" w:type="dxa"/>
            <w:vAlign w:val="top"/>
          </w:tcPr>
          <w:p>
            <w:pPr>
              <w:pStyle w:val="TableText"/>
              <w:ind w:left="121"/>
              <w:spacing w:before="152" w:line="219" w:lineRule="auto"/>
              <w:rPr>
                <w:sz w:val="26"/>
                <w:szCs w:val="26"/>
              </w:rPr>
            </w:pPr>
            <w:r>
              <w:rPr>
                <w:sz w:val="26"/>
                <w:szCs w:val="26"/>
              </w:rPr>
              <w:t>首次发现违法行为。</w:t>
            </w:r>
          </w:p>
        </w:tc>
        <w:tc>
          <w:tcPr>
            <w:tcW w:w="4752" w:type="dxa"/>
            <w:vAlign w:val="top"/>
          </w:tcPr>
          <w:p>
            <w:pPr>
              <w:pStyle w:val="TableText"/>
              <w:ind w:left="107"/>
              <w:spacing w:before="150" w:line="218" w:lineRule="auto"/>
              <w:rPr>
                <w:sz w:val="26"/>
                <w:szCs w:val="26"/>
              </w:rPr>
            </w:pPr>
            <w:r>
              <w:rPr>
                <w:sz w:val="26"/>
                <w:szCs w:val="26"/>
              </w:rPr>
              <w:t>给予警告。</w:t>
            </w:r>
          </w:p>
        </w:tc>
      </w:tr>
      <w:tr>
        <w:trPr>
          <w:trHeight w:val="2648" w:hRule="atLeast"/>
        </w:trPr>
        <w:tc>
          <w:tcPr>
            <w:tcW w:w="2243" w:type="dxa"/>
            <w:vAlign w:val="top"/>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858"/>
              <w:spacing w:before="84" w:line="221" w:lineRule="auto"/>
              <w:rPr>
                <w:sz w:val="26"/>
                <w:szCs w:val="26"/>
              </w:rPr>
            </w:pPr>
            <w:r>
              <w:rPr>
                <w:sz w:val="26"/>
                <w:szCs w:val="26"/>
                <w:b/>
                <w:bCs/>
                <w:spacing w:val="-10"/>
              </w:rPr>
              <w:t>一般</w:t>
            </w:r>
          </w:p>
        </w:tc>
        <w:tc>
          <w:tcPr>
            <w:tcW w:w="6905" w:type="dxa"/>
            <w:vAlign w:val="top"/>
          </w:tcPr>
          <w:p>
            <w:pPr>
              <w:spacing w:line="339" w:lineRule="auto"/>
              <w:rPr>
                <w:rFonts w:ascii="Arial"/>
                <w:sz w:val="21"/>
              </w:rPr>
            </w:pPr>
            <w:r/>
          </w:p>
          <w:p>
            <w:pPr>
              <w:pStyle w:val="TableText"/>
              <w:ind w:left="12"/>
              <w:spacing w:before="84" w:line="318" w:lineRule="auto"/>
              <w:rPr>
                <w:sz w:val="26"/>
                <w:szCs w:val="26"/>
              </w:rPr>
            </w:pPr>
            <w:r>
              <w:rPr>
                <w:sz w:val="26"/>
                <w:szCs w:val="26"/>
                <w:spacing w:val="-1"/>
              </w:rPr>
              <w:t>责令限期改正后，逾期不改正。(1)建立医疗废物管理制度但</w:t>
            </w:r>
            <w:r>
              <w:rPr>
                <w:sz w:val="26"/>
                <w:szCs w:val="26"/>
                <w:spacing w:val="16"/>
              </w:rPr>
              <w:t xml:space="preserve"> </w:t>
            </w:r>
            <w:r>
              <w:rPr>
                <w:sz w:val="26"/>
                <w:szCs w:val="26"/>
              </w:rPr>
              <w:t>制度不健全；(2)未建立医疗废物管理制</w:t>
            </w:r>
            <w:r>
              <w:rPr>
                <w:sz w:val="26"/>
                <w:szCs w:val="26"/>
                <w:spacing w:val="-1"/>
              </w:rPr>
              <w:t>度，或未设置监控部</w:t>
            </w:r>
            <w:r>
              <w:rPr>
                <w:sz w:val="26"/>
                <w:szCs w:val="26"/>
              </w:rPr>
              <w:t xml:space="preserve"> </w:t>
            </w:r>
            <w:r>
              <w:rPr>
                <w:sz w:val="26"/>
                <w:szCs w:val="26"/>
                <w:spacing w:val="4"/>
              </w:rPr>
              <w:t>门或者专(兼)职人员；(3)未建立医疗废物管理制度，且未</w:t>
            </w:r>
            <w:r>
              <w:rPr>
                <w:sz w:val="26"/>
                <w:szCs w:val="26"/>
              </w:rPr>
              <w:t xml:space="preserve">  </w:t>
            </w:r>
            <w:r>
              <w:rPr>
                <w:sz w:val="26"/>
                <w:szCs w:val="26"/>
                <w:spacing w:val="6"/>
              </w:rPr>
              <w:t>设置监控部门或者专(兼)职人员。</w:t>
            </w:r>
          </w:p>
        </w:tc>
        <w:tc>
          <w:tcPr>
            <w:tcW w:w="4752" w:type="dxa"/>
            <w:vAlign w:val="top"/>
          </w:tcPr>
          <w:p>
            <w:pPr>
              <w:spacing w:line="278" w:lineRule="auto"/>
              <w:rPr>
                <w:rFonts w:ascii="Arial"/>
                <w:sz w:val="21"/>
              </w:rPr>
            </w:pPr>
            <w:r/>
          </w:p>
          <w:p>
            <w:pPr>
              <w:spacing w:line="279" w:lineRule="auto"/>
              <w:rPr>
                <w:rFonts w:ascii="Arial"/>
                <w:sz w:val="21"/>
              </w:rPr>
            </w:pPr>
            <w:r/>
          </w:p>
          <w:p>
            <w:pPr>
              <w:pStyle w:val="TableText"/>
              <w:ind w:left="107" w:right="48" w:firstLine="110"/>
              <w:spacing w:before="84" w:line="316" w:lineRule="auto"/>
              <w:rPr>
                <w:sz w:val="26"/>
                <w:szCs w:val="26"/>
              </w:rPr>
            </w:pPr>
            <w:r>
              <w:rPr>
                <w:sz w:val="26"/>
                <w:szCs w:val="26"/>
                <w:spacing w:val="2"/>
              </w:rPr>
              <w:t>(1)处2000元以上2900元以下罚款。(2)</w:t>
            </w:r>
            <w:r>
              <w:rPr>
                <w:sz w:val="26"/>
                <w:szCs w:val="26"/>
                <w:spacing w:val="7"/>
              </w:rPr>
              <w:t xml:space="preserve"> </w:t>
            </w:r>
            <w:r>
              <w:rPr>
                <w:sz w:val="26"/>
                <w:szCs w:val="26"/>
              </w:rPr>
              <w:t>处2900元以上4100元以下罚款。(3)处</w:t>
            </w:r>
          </w:p>
          <w:p>
            <w:pPr>
              <w:pStyle w:val="TableText"/>
              <w:ind w:left="97"/>
              <w:spacing w:line="220" w:lineRule="auto"/>
              <w:rPr>
                <w:sz w:val="26"/>
                <w:szCs w:val="26"/>
              </w:rPr>
            </w:pPr>
            <w:r>
              <w:rPr>
                <w:sz w:val="26"/>
                <w:szCs w:val="26"/>
                <w:spacing w:val="-1"/>
              </w:rPr>
              <w:t>4100元以上5000元以下罚款。</w:t>
            </w:r>
          </w:p>
        </w:tc>
      </w:tr>
    </w:tbl>
    <w:p>
      <w:pPr>
        <w:ind w:left="39" w:right="13" w:firstLine="659"/>
        <w:spacing w:before="98" w:line="282" w:lineRule="auto"/>
        <w:rPr>
          <w:rFonts w:ascii="FangSong" w:hAnsi="FangSong" w:eastAsia="FangSong" w:cs="FangSong"/>
          <w:sz w:val="29"/>
          <w:szCs w:val="29"/>
        </w:rPr>
      </w:pPr>
      <w:r>
        <w:rPr>
          <w:rFonts w:ascii="FangSong" w:hAnsi="FangSong" w:eastAsia="FangSong" w:cs="FangSong"/>
          <w:sz w:val="29"/>
          <w:szCs w:val="29"/>
          <w:b/>
          <w:bCs/>
          <w:spacing w:val="30"/>
        </w:rPr>
        <w:t>第六十八条医疗卫生机构未对有关人员进行相关法律和专业技术、安全防护以及紧急处理等知</w:t>
      </w:r>
      <w:r>
        <w:rPr>
          <w:rFonts w:ascii="FangSong" w:hAnsi="FangSong" w:eastAsia="FangSong" w:cs="FangSong"/>
          <w:sz w:val="29"/>
          <w:szCs w:val="29"/>
          <w:spacing w:val="14"/>
        </w:rPr>
        <w:t xml:space="preserve"> </w:t>
      </w:r>
      <w:r>
        <w:rPr>
          <w:rFonts w:ascii="FangSong" w:hAnsi="FangSong" w:eastAsia="FangSong" w:cs="FangSong"/>
          <w:sz w:val="29"/>
          <w:szCs w:val="29"/>
          <w:b/>
          <w:bCs/>
          <w:spacing w:val="20"/>
        </w:rPr>
        <w:t>识的培训的</w:t>
      </w:r>
    </w:p>
    <w:p>
      <w:pPr>
        <w:ind w:left="685"/>
        <w:spacing w:line="222" w:lineRule="auto"/>
        <w:rPr>
          <w:rFonts w:ascii="FangSong" w:hAnsi="FangSong" w:eastAsia="FangSong" w:cs="FangSong"/>
          <w:sz w:val="29"/>
          <w:szCs w:val="29"/>
        </w:rPr>
      </w:pPr>
      <w:r>
        <w:rPr>
          <w:rFonts w:ascii="FangSong" w:hAnsi="FangSong" w:eastAsia="FangSong" w:cs="FangSong"/>
          <w:sz w:val="29"/>
          <w:szCs w:val="29"/>
          <w:spacing w:val="6"/>
        </w:rPr>
        <w:t>法律依据：</w:t>
      </w:r>
    </w:p>
    <w:p>
      <w:pPr>
        <w:ind w:left="35" w:firstLine="634"/>
        <w:spacing w:before="96" w:line="275" w:lineRule="auto"/>
        <w:jc w:val="both"/>
        <w:rPr>
          <w:rFonts w:ascii="FangSong" w:hAnsi="FangSong" w:eastAsia="FangSong" w:cs="FangSong"/>
          <w:sz w:val="29"/>
          <w:szCs w:val="29"/>
        </w:rPr>
      </w:pPr>
      <w:r>
        <w:rPr>
          <w:rFonts w:ascii="FangSong" w:hAnsi="FangSong" w:eastAsia="FangSong" w:cs="FangSong"/>
          <w:sz w:val="29"/>
          <w:szCs w:val="29"/>
          <w:spacing w:val="36"/>
        </w:rPr>
        <w:t>《医疗废物管理条例》第四十五条第(二)项</w:t>
      </w:r>
      <w:r>
        <w:rPr>
          <w:rFonts w:ascii="FangSong" w:hAnsi="FangSong" w:eastAsia="FangSong" w:cs="FangSong"/>
          <w:sz w:val="29"/>
          <w:szCs w:val="29"/>
          <w:spacing w:val="36"/>
        </w:rPr>
        <w:t xml:space="preserve">   </w:t>
      </w:r>
      <w:r>
        <w:rPr>
          <w:rFonts w:ascii="FangSong" w:hAnsi="FangSong" w:eastAsia="FangSong" w:cs="FangSong"/>
          <w:sz w:val="29"/>
          <w:szCs w:val="29"/>
          <w:spacing w:val="36"/>
        </w:rPr>
        <w:t>医疗卫生机构、医疗废物集中处置单位违反本</w:t>
      </w:r>
      <w:r>
        <w:rPr>
          <w:rFonts w:ascii="FangSong" w:hAnsi="FangSong" w:eastAsia="FangSong" w:cs="FangSong"/>
          <w:sz w:val="29"/>
          <w:szCs w:val="29"/>
          <w:spacing w:val="8"/>
        </w:rPr>
        <w:t xml:space="preserve"> </w:t>
      </w:r>
      <w:r>
        <w:rPr>
          <w:rFonts w:ascii="FangSong" w:hAnsi="FangSong" w:eastAsia="FangSong" w:cs="FangSong"/>
          <w:sz w:val="29"/>
          <w:szCs w:val="29"/>
          <w:spacing w:val="26"/>
        </w:rPr>
        <w:t>条例规定，有下列情形之一的，由县级以上地方人民政府卫生行政主管部门或者环境保护行政主管部</w:t>
      </w:r>
      <w:r>
        <w:rPr>
          <w:rFonts w:ascii="FangSong" w:hAnsi="FangSong" w:eastAsia="FangSong" w:cs="FangSong"/>
          <w:sz w:val="29"/>
          <w:szCs w:val="29"/>
          <w:spacing w:val="1"/>
        </w:rPr>
        <w:t xml:space="preserve"> </w:t>
      </w:r>
      <w:r>
        <w:rPr>
          <w:rFonts w:ascii="FangSong" w:hAnsi="FangSong" w:eastAsia="FangSong" w:cs="FangSong"/>
          <w:sz w:val="29"/>
          <w:szCs w:val="29"/>
          <w:spacing w:val="32"/>
        </w:rPr>
        <w:t>门按照各自的职责责令限期改正，给予警告；逾期不改正的，处2000元以上5000元以下的罚款：</w:t>
      </w:r>
    </w:p>
    <w:p>
      <w:pPr>
        <w:spacing w:line="275" w:lineRule="auto"/>
        <w:sectPr>
          <w:footerReference w:type="default" r:id="rId145"/>
          <w:pgSz w:w="16830" w:h="11900"/>
          <w:pgMar w:top="1011" w:right="1442" w:bottom="1123" w:left="1414" w:header="0" w:footer="808" w:gutter="0"/>
        </w:sectPr>
        <w:rPr>
          <w:rFonts w:ascii="FangSong" w:hAnsi="FangSong" w:eastAsia="FangSong" w:cs="FangSong"/>
          <w:sz w:val="29"/>
          <w:szCs w:val="29"/>
        </w:rPr>
      </w:pPr>
    </w:p>
    <w:p>
      <w:pPr>
        <w:pStyle w:val="BodyText"/>
        <w:spacing w:line="254" w:lineRule="auto"/>
        <w:rPr/>
      </w:pPr>
      <w:r/>
    </w:p>
    <w:p>
      <w:pPr>
        <w:pStyle w:val="BodyText"/>
        <w:spacing w:line="255" w:lineRule="auto"/>
        <w:rPr/>
      </w:pPr>
      <w:r/>
    </w:p>
    <w:p>
      <w:pPr>
        <w:pStyle w:val="BodyText"/>
        <w:spacing w:line="255" w:lineRule="auto"/>
        <w:rPr/>
      </w:pPr>
      <w:r/>
    </w:p>
    <w:p>
      <w:pPr>
        <w:ind w:left="6358" w:right="898" w:hanging="5524"/>
        <w:spacing w:before="98" w:line="288" w:lineRule="auto"/>
        <w:rPr>
          <w:rFonts w:ascii="SimHei" w:hAnsi="SimHei" w:eastAsia="SimHei" w:cs="SimHei"/>
          <w:sz w:val="30"/>
          <w:szCs w:val="30"/>
        </w:rPr>
      </w:pPr>
      <w:r>
        <w:rPr>
          <w:rFonts w:ascii="FangSong" w:hAnsi="FangSong" w:eastAsia="FangSong" w:cs="FangSong"/>
          <w:sz w:val="30"/>
          <w:szCs w:val="30"/>
          <w:spacing w:val="21"/>
        </w:rPr>
        <w:t>(二)未对有关人员进行相关法律和专业技术、安全防护以及紧急处理等知识的培训的；</w:t>
      </w:r>
      <w:r>
        <w:rPr>
          <w:rFonts w:ascii="FangSong" w:hAnsi="FangSong" w:eastAsia="FangSong" w:cs="FangSong"/>
          <w:sz w:val="30"/>
          <w:szCs w:val="30"/>
          <w:spacing w:val="10"/>
        </w:rPr>
        <w:t xml:space="preserve"> </w:t>
      </w:r>
      <w:bookmarkStart w:name="bookmark806" w:id="113"/>
      <w:bookmarkEnd w:id="113"/>
      <w:r>
        <w:rPr>
          <w:rFonts w:ascii="SimHei" w:hAnsi="SimHei" w:eastAsia="SimHei" w:cs="SimHei"/>
          <w:sz w:val="30"/>
          <w:szCs w:val="30"/>
          <w:b/>
          <w:bCs/>
          <w:spacing w:val="-17"/>
        </w:rPr>
        <w:t>裁量标准</w:t>
      </w:r>
    </w:p>
    <w:p>
      <w:pPr>
        <w:spacing w:line="60" w:lineRule="exact"/>
        <w:rPr/>
      </w:pPr>
      <w:r/>
    </w:p>
    <w:tbl>
      <w:tblPr>
        <w:tblStyle w:val="TableNormal"/>
        <w:tblW w:w="138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73"/>
        <w:gridCol w:w="7225"/>
        <w:gridCol w:w="4621"/>
      </w:tblGrid>
      <w:tr>
        <w:trPr>
          <w:trHeight w:val="823" w:hRule="atLeast"/>
        </w:trPr>
        <w:tc>
          <w:tcPr>
            <w:tcW w:w="1973" w:type="dxa"/>
            <w:vAlign w:val="top"/>
          </w:tcPr>
          <w:p>
            <w:pPr>
              <w:pStyle w:val="TableText"/>
              <w:ind w:left="478"/>
              <w:spacing w:before="162" w:line="220" w:lineRule="auto"/>
              <w:rPr>
                <w:sz w:val="25"/>
                <w:szCs w:val="25"/>
              </w:rPr>
            </w:pPr>
            <w:r>
              <w:rPr>
                <w:sz w:val="25"/>
                <w:szCs w:val="25"/>
                <w:b/>
                <w:bCs/>
                <w:spacing w:val="-5"/>
              </w:rPr>
              <w:t>违法程度</w:t>
            </w:r>
          </w:p>
        </w:tc>
        <w:tc>
          <w:tcPr>
            <w:tcW w:w="7225" w:type="dxa"/>
            <w:vAlign w:val="top"/>
          </w:tcPr>
          <w:p>
            <w:pPr>
              <w:pStyle w:val="TableText"/>
              <w:ind w:left="3105"/>
              <w:spacing w:before="162" w:line="220" w:lineRule="auto"/>
              <w:rPr>
                <w:sz w:val="25"/>
                <w:szCs w:val="25"/>
              </w:rPr>
            </w:pPr>
            <w:r>
              <w:rPr>
                <w:sz w:val="25"/>
                <w:szCs w:val="25"/>
                <w:b/>
                <w:bCs/>
                <w:spacing w:val="-5"/>
              </w:rPr>
              <w:t>情节后果</w:t>
            </w:r>
          </w:p>
        </w:tc>
        <w:tc>
          <w:tcPr>
            <w:tcW w:w="4621" w:type="dxa"/>
            <w:vAlign w:val="top"/>
          </w:tcPr>
          <w:p>
            <w:pPr>
              <w:pStyle w:val="TableText"/>
              <w:ind w:left="1740"/>
              <w:spacing w:before="169" w:line="218" w:lineRule="auto"/>
              <w:rPr>
                <w:sz w:val="25"/>
                <w:szCs w:val="25"/>
              </w:rPr>
            </w:pPr>
            <w:r>
              <w:rPr>
                <w:sz w:val="25"/>
                <w:szCs w:val="25"/>
                <w:b/>
                <w:bCs/>
                <w:spacing w:val="-5"/>
              </w:rPr>
              <w:t>裁量幅度</w:t>
            </w:r>
          </w:p>
        </w:tc>
      </w:tr>
      <w:tr>
        <w:trPr>
          <w:trHeight w:val="798" w:hRule="atLeast"/>
        </w:trPr>
        <w:tc>
          <w:tcPr>
            <w:tcW w:w="1973" w:type="dxa"/>
            <w:vAlign w:val="top"/>
          </w:tcPr>
          <w:p>
            <w:pPr>
              <w:pStyle w:val="TableText"/>
              <w:ind w:left="728"/>
              <w:spacing w:before="158" w:line="219" w:lineRule="auto"/>
              <w:rPr>
                <w:sz w:val="25"/>
                <w:szCs w:val="25"/>
              </w:rPr>
            </w:pPr>
            <w:r>
              <w:rPr>
                <w:sz w:val="25"/>
                <w:szCs w:val="25"/>
                <w:b/>
                <w:bCs/>
                <w:spacing w:val="-6"/>
              </w:rPr>
              <w:t>较轻</w:t>
            </w:r>
          </w:p>
        </w:tc>
        <w:tc>
          <w:tcPr>
            <w:tcW w:w="7225" w:type="dxa"/>
            <w:vAlign w:val="top"/>
          </w:tcPr>
          <w:p>
            <w:pPr>
              <w:pStyle w:val="TableText"/>
              <w:ind w:left="111"/>
              <w:spacing w:before="172" w:line="219" w:lineRule="auto"/>
              <w:rPr>
                <w:sz w:val="25"/>
                <w:szCs w:val="25"/>
              </w:rPr>
            </w:pPr>
            <w:r>
              <w:rPr>
                <w:sz w:val="25"/>
                <w:szCs w:val="25"/>
                <w:spacing w:val="-1"/>
              </w:rPr>
              <w:t>首次发现违法行为。</w:t>
            </w:r>
          </w:p>
        </w:tc>
        <w:tc>
          <w:tcPr>
            <w:tcW w:w="4621" w:type="dxa"/>
            <w:vAlign w:val="top"/>
          </w:tcPr>
          <w:p>
            <w:pPr>
              <w:pStyle w:val="TableText"/>
              <w:ind w:left="107"/>
              <w:spacing w:before="160" w:line="218" w:lineRule="auto"/>
              <w:rPr>
                <w:sz w:val="25"/>
                <w:szCs w:val="25"/>
              </w:rPr>
            </w:pPr>
            <w:r>
              <w:rPr>
                <w:sz w:val="25"/>
                <w:szCs w:val="25"/>
                <w:spacing w:val="-1"/>
              </w:rPr>
              <w:t>给予警告。</w:t>
            </w:r>
          </w:p>
        </w:tc>
      </w:tr>
      <w:tr>
        <w:trPr>
          <w:trHeight w:val="2868" w:hRule="atLeast"/>
        </w:trPr>
        <w:tc>
          <w:tcPr>
            <w:tcW w:w="1973" w:type="dxa"/>
            <w:vAlign w:val="top"/>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728"/>
              <w:spacing w:before="81" w:line="221" w:lineRule="auto"/>
              <w:rPr>
                <w:sz w:val="25"/>
                <w:szCs w:val="25"/>
              </w:rPr>
            </w:pPr>
            <w:r>
              <w:rPr>
                <w:sz w:val="25"/>
                <w:szCs w:val="25"/>
                <w:b/>
                <w:bCs/>
                <w:spacing w:val="-10"/>
              </w:rPr>
              <w:t>一般</w:t>
            </w:r>
          </w:p>
        </w:tc>
        <w:tc>
          <w:tcPr>
            <w:tcW w:w="7225" w:type="dxa"/>
            <w:vAlign w:val="top"/>
          </w:tcPr>
          <w:p>
            <w:pPr>
              <w:pStyle w:val="TableText"/>
              <w:ind w:left="41"/>
              <w:spacing w:before="112" w:line="219" w:lineRule="auto"/>
              <w:rPr>
                <w:sz w:val="25"/>
                <w:szCs w:val="25"/>
              </w:rPr>
            </w:pPr>
            <w:r>
              <w:rPr>
                <w:sz w:val="25"/>
                <w:szCs w:val="25"/>
              </w:rPr>
              <w:t>责令限期改正后，逾期不改正。(1)未对有关人员进行相关法律和</w:t>
            </w:r>
          </w:p>
          <w:p>
            <w:pPr>
              <w:pStyle w:val="TableText"/>
              <w:ind w:left="41"/>
              <w:spacing w:before="135" w:line="219" w:lineRule="auto"/>
              <w:rPr>
                <w:sz w:val="25"/>
                <w:szCs w:val="25"/>
              </w:rPr>
            </w:pPr>
            <w:r>
              <w:rPr>
                <w:sz w:val="25"/>
                <w:szCs w:val="25"/>
                <w:spacing w:val="-1"/>
              </w:rPr>
              <w:t>专业技术、安全防护以及紧急处理等知识的培训，涉及人数在3人</w:t>
            </w:r>
          </w:p>
          <w:p>
            <w:pPr>
              <w:pStyle w:val="TableText"/>
              <w:ind w:left="41"/>
              <w:spacing w:before="143" w:line="219" w:lineRule="auto"/>
              <w:rPr>
                <w:sz w:val="25"/>
                <w:szCs w:val="25"/>
              </w:rPr>
            </w:pPr>
            <w:r>
              <w:rPr>
                <w:sz w:val="25"/>
                <w:szCs w:val="25"/>
              </w:rPr>
              <w:t>以下；(2)未对有关人员进行相关法律和专业技术、安全防护以及</w:t>
            </w:r>
          </w:p>
          <w:p>
            <w:pPr>
              <w:pStyle w:val="TableText"/>
              <w:ind w:left="231"/>
              <w:spacing w:before="163" w:line="219" w:lineRule="auto"/>
              <w:rPr>
                <w:sz w:val="25"/>
                <w:szCs w:val="25"/>
              </w:rPr>
            </w:pPr>
            <w:r>
              <w:rPr>
                <w:sz w:val="25"/>
                <w:szCs w:val="25"/>
              </w:rPr>
              <w:t>紧急处理等知识的培训，涉及人数在3人以上10人以下；(3)未</w:t>
            </w:r>
          </w:p>
          <w:p>
            <w:pPr>
              <w:pStyle w:val="TableText"/>
              <w:ind w:left="90" w:hanging="79"/>
              <w:spacing w:before="134" w:line="334" w:lineRule="auto"/>
              <w:rPr>
                <w:sz w:val="25"/>
                <w:szCs w:val="25"/>
              </w:rPr>
            </w:pPr>
            <w:r>
              <w:rPr>
                <w:sz w:val="25"/>
                <w:szCs w:val="25"/>
                <w:spacing w:val="-2"/>
              </w:rPr>
              <w:t>对有关人员进行相关法律和专业技术、安全防护以及紧急处理等知</w:t>
            </w:r>
            <w:r>
              <w:rPr>
                <w:sz w:val="25"/>
                <w:szCs w:val="25"/>
                <w:spacing w:val="10"/>
              </w:rPr>
              <w:t xml:space="preserve"> </w:t>
            </w:r>
            <w:r>
              <w:rPr>
                <w:sz w:val="25"/>
                <w:szCs w:val="25"/>
                <w:spacing w:val="-1"/>
              </w:rPr>
              <w:t>识的培训，涉及人数在10人以上。</w:t>
            </w:r>
          </w:p>
        </w:tc>
        <w:tc>
          <w:tcPr>
            <w:tcW w:w="4621" w:type="dxa"/>
            <w:vAlign w:val="top"/>
          </w:tcPr>
          <w:p>
            <w:pPr>
              <w:spacing w:line="344" w:lineRule="auto"/>
              <w:rPr>
                <w:rFonts w:ascii="Arial"/>
                <w:sz w:val="21"/>
              </w:rPr>
            </w:pPr>
            <w:r/>
          </w:p>
          <w:p>
            <w:pPr>
              <w:spacing w:line="345" w:lineRule="auto"/>
              <w:rPr>
                <w:rFonts w:ascii="Arial"/>
                <w:sz w:val="21"/>
              </w:rPr>
            </w:pPr>
            <w:r/>
          </w:p>
          <w:p>
            <w:pPr>
              <w:pStyle w:val="TableText"/>
              <w:ind w:left="96" w:right="59" w:firstLine="149"/>
              <w:spacing w:before="81" w:line="325" w:lineRule="auto"/>
              <w:rPr>
                <w:sz w:val="25"/>
                <w:szCs w:val="25"/>
              </w:rPr>
            </w:pPr>
            <w:r>
              <w:rPr>
                <w:sz w:val="25"/>
                <w:szCs w:val="25"/>
                <w:spacing w:val="2"/>
              </w:rPr>
              <w:t>(1)处2000元以上2900元以下罚款。(2)</w:t>
            </w:r>
            <w:r>
              <w:rPr>
                <w:sz w:val="25"/>
                <w:szCs w:val="25"/>
                <w:spacing w:val="5"/>
              </w:rPr>
              <w:t xml:space="preserve"> </w:t>
            </w:r>
            <w:r>
              <w:rPr>
                <w:sz w:val="25"/>
                <w:szCs w:val="25"/>
              </w:rPr>
              <w:t>处2900元以上4100元以下罚款。(3)处</w:t>
            </w:r>
          </w:p>
          <w:p>
            <w:pPr>
              <w:pStyle w:val="TableText"/>
              <w:ind w:left="96"/>
              <w:spacing w:line="220" w:lineRule="auto"/>
              <w:rPr>
                <w:sz w:val="25"/>
                <w:szCs w:val="25"/>
              </w:rPr>
            </w:pPr>
            <w:r>
              <w:rPr>
                <w:sz w:val="25"/>
                <w:szCs w:val="25"/>
                <w:spacing w:val="-1"/>
              </w:rPr>
              <w:t>4100元以上5000元以下罚款。</w:t>
            </w:r>
          </w:p>
        </w:tc>
      </w:tr>
    </w:tbl>
    <w:p>
      <w:pPr>
        <w:ind w:left="29" w:right="166" w:firstLine="660"/>
        <w:spacing w:before="81" w:line="263" w:lineRule="auto"/>
        <w:rPr>
          <w:rFonts w:ascii="FangSong" w:hAnsi="FangSong" w:eastAsia="FangSong" w:cs="FangSong"/>
          <w:sz w:val="30"/>
          <w:szCs w:val="30"/>
        </w:rPr>
      </w:pPr>
      <w:r>
        <w:rPr>
          <w:rFonts w:ascii="SimSun" w:hAnsi="SimSun" w:eastAsia="SimSun" w:cs="SimSun"/>
          <w:sz w:val="32"/>
          <w:szCs w:val="32"/>
          <w:b/>
          <w:bCs/>
          <w:spacing w:val="-4"/>
        </w:rPr>
        <w:t>第六十九条医疗卫生机构、医疗废物集中处置单位未对从事医疗废物收集、运送、贮存、处置</w:t>
      </w:r>
      <w:r>
        <w:rPr>
          <w:rFonts w:ascii="SimSun" w:hAnsi="SimSun" w:eastAsia="SimSun" w:cs="SimSun"/>
          <w:sz w:val="32"/>
          <w:szCs w:val="32"/>
          <w:spacing w:val="12"/>
        </w:rPr>
        <w:t xml:space="preserve"> </w:t>
      </w:r>
      <w:r>
        <w:rPr>
          <w:rFonts w:ascii="FangSong" w:hAnsi="FangSong" w:eastAsia="FangSong" w:cs="FangSong"/>
          <w:sz w:val="30"/>
          <w:szCs w:val="30"/>
          <w:b/>
          <w:bCs/>
          <w:spacing w:val="16"/>
        </w:rPr>
        <w:t>等工作的人员和管理人员采取职业卫生防护措施的</w:t>
      </w:r>
    </w:p>
    <w:p>
      <w:pPr>
        <w:ind w:left="675"/>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firstLine="629"/>
        <w:spacing w:before="98" w:line="265" w:lineRule="auto"/>
        <w:jc w:val="both"/>
        <w:rPr>
          <w:rFonts w:ascii="FangSong" w:hAnsi="FangSong" w:eastAsia="FangSong" w:cs="FangSong"/>
          <w:sz w:val="30"/>
          <w:szCs w:val="30"/>
        </w:rPr>
      </w:pPr>
      <w:r>
        <w:rPr>
          <w:rFonts w:ascii="FangSong" w:hAnsi="FangSong" w:eastAsia="FangSong" w:cs="FangSong"/>
          <w:sz w:val="30"/>
          <w:szCs w:val="30"/>
          <w:spacing w:val="27"/>
        </w:rPr>
        <w:t>《医疗废物管理条例》第四十五条第(三)项</w:t>
      </w:r>
      <w:r>
        <w:rPr>
          <w:rFonts w:ascii="FangSong" w:hAnsi="FangSong" w:eastAsia="FangSong" w:cs="FangSong"/>
          <w:sz w:val="30"/>
          <w:szCs w:val="30"/>
          <w:spacing w:val="27"/>
        </w:rPr>
        <w:t xml:space="preserve">   </w:t>
      </w:r>
      <w:r>
        <w:rPr>
          <w:rFonts w:ascii="FangSong" w:hAnsi="FangSong" w:eastAsia="FangSong" w:cs="FangSong"/>
          <w:sz w:val="30"/>
          <w:szCs w:val="30"/>
          <w:spacing w:val="27"/>
        </w:rPr>
        <w:t>医疗卫生机构、医疗废物集中处置单</w:t>
      </w:r>
      <w:r>
        <w:rPr>
          <w:rFonts w:ascii="FangSong" w:hAnsi="FangSong" w:eastAsia="FangSong" w:cs="FangSong"/>
          <w:sz w:val="30"/>
          <w:szCs w:val="30"/>
          <w:spacing w:val="26"/>
        </w:rPr>
        <w:t>位违反本</w:t>
      </w:r>
      <w:r>
        <w:rPr>
          <w:rFonts w:ascii="FangSong" w:hAnsi="FangSong" w:eastAsia="FangSong" w:cs="FangSong"/>
          <w:sz w:val="30"/>
          <w:szCs w:val="30"/>
        </w:rPr>
        <w:t xml:space="preserve"> </w:t>
      </w:r>
      <w:r>
        <w:rPr>
          <w:rFonts w:ascii="FangSong" w:hAnsi="FangSong" w:eastAsia="FangSong" w:cs="FangSong"/>
          <w:sz w:val="30"/>
          <w:szCs w:val="30"/>
          <w:spacing w:val="16"/>
        </w:rPr>
        <w:t>条例规定，有下列情形之一的，由县级以上地方人民政府卫生行政主管部门或者环境保护行政主管部</w:t>
      </w:r>
      <w:r>
        <w:rPr>
          <w:rFonts w:ascii="FangSong" w:hAnsi="FangSong" w:eastAsia="FangSong" w:cs="FangSong"/>
          <w:sz w:val="30"/>
          <w:szCs w:val="30"/>
          <w:spacing w:val="1"/>
        </w:rPr>
        <w:t xml:space="preserve"> </w:t>
      </w:r>
      <w:r>
        <w:rPr>
          <w:rFonts w:ascii="FangSong" w:hAnsi="FangSong" w:eastAsia="FangSong" w:cs="FangSong"/>
          <w:sz w:val="30"/>
          <w:szCs w:val="30"/>
          <w:spacing w:val="23"/>
        </w:rPr>
        <w:t>门按照各自的职责责令限期改正，给予警告；逾期不改正的，处2000元以上5000元以下的罚款：</w:t>
      </w:r>
    </w:p>
    <w:p>
      <w:pPr>
        <w:spacing w:line="265" w:lineRule="auto"/>
        <w:sectPr>
          <w:footerReference w:type="default" r:id="rId146"/>
          <w:pgSz w:w="16830" w:h="11900"/>
          <w:pgMar w:top="1011" w:right="1441" w:bottom="1127" w:left="1425" w:header="0" w:footer="794" w:gutter="0"/>
        </w:sectPr>
        <w:rPr>
          <w:rFonts w:ascii="FangSong" w:hAnsi="FangSong" w:eastAsia="FangSong" w:cs="FangSong"/>
          <w:sz w:val="30"/>
          <w:szCs w:val="30"/>
        </w:rPr>
      </w:pPr>
    </w:p>
    <w:p>
      <w:pPr>
        <w:pStyle w:val="BodyText"/>
        <w:spacing w:line="254" w:lineRule="auto"/>
        <w:rPr/>
      </w:pPr>
      <w:r/>
    </w:p>
    <w:p>
      <w:pPr>
        <w:pStyle w:val="BodyText"/>
        <w:spacing w:line="254" w:lineRule="auto"/>
        <w:rPr/>
      </w:pPr>
      <w:r/>
    </w:p>
    <w:p>
      <w:pPr>
        <w:pStyle w:val="BodyText"/>
        <w:spacing w:line="254" w:lineRule="auto"/>
        <w:rPr/>
      </w:pPr>
      <w:r/>
    </w:p>
    <w:p>
      <w:pPr>
        <w:ind w:left="25" w:right="20" w:firstLine="790"/>
        <w:spacing w:before="97" w:line="311" w:lineRule="auto"/>
        <w:rPr>
          <w:rFonts w:ascii="FangSong" w:hAnsi="FangSong" w:eastAsia="FangSong" w:cs="FangSong"/>
          <w:sz w:val="24"/>
          <w:szCs w:val="24"/>
        </w:rPr>
      </w:pPr>
      <w:r>
        <w:rPr>
          <w:rFonts w:ascii="FangSong" w:hAnsi="FangSong" w:eastAsia="FangSong" w:cs="FangSong"/>
          <w:sz w:val="30"/>
          <w:szCs w:val="30"/>
          <w:spacing w:val="20"/>
        </w:rPr>
        <w:t>(三)未对从事医疗废物收集、运送、贮存、处置等工作的人员和管理人员采取职业卫生</w:t>
      </w:r>
      <w:r>
        <w:rPr>
          <w:rFonts w:ascii="FangSong" w:hAnsi="FangSong" w:eastAsia="FangSong" w:cs="FangSong"/>
          <w:sz w:val="30"/>
          <w:szCs w:val="30"/>
          <w:spacing w:val="19"/>
        </w:rPr>
        <w:t>防护措</w:t>
      </w:r>
      <w:r>
        <w:rPr>
          <w:rFonts w:ascii="FangSong" w:hAnsi="FangSong" w:eastAsia="FangSong" w:cs="FangSong"/>
          <w:sz w:val="30"/>
          <w:szCs w:val="30"/>
        </w:rPr>
        <w:t xml:space="preserve"> </w:t>
      </w:r>
      <w:r>
        <w:rPr>
          <w:rFonts w:ascii="FangSong" w:hAnsi="FangSong" w:eastAsia="FangSong" w:cs="FangSong"/>
          <w:sz w:val="24"/>
          <w:szCs w:val="24"/>
          <w:spacing w:val="-16"/>
        </w:rPr>
        <w:t>施</w:t>
      </w:r>
      <w:r>
        <w:rPr>
          <w:rFonts w:ascii="FangSong" w:hAnsi="FangSong" w:eastAsia="FangSong" w:cs="FangSong"/>
          <w:sz w:val="24"/>
          <w:szCs w:val="24"/>
          <w:spacing w:val="5"/>
        </w:rPr>
        <w:t xml:space="preserve"> </w:t>
      </w:r>
      <w:r>
        <w:rPr>
          <w:rFonts w:ascii="FangSong" w:hAnsi="FangSong" w:eastAsia="FangSong" w:cs="FangSong"/>
          <w:sz w:val="24"/>
          <w:szCs w:val="24"/>
          <w:spacing w:val="-16"/>
        </w:rPr>
        <w:t>的</w:t>
      </w:r>
      <w:r>
        <w:rPr>
          <w:rFonts w:ascii="FangSong" w:hAnsi="FangSong" w:eastAsia="FangSong" w:cs="FangSong"/>
          <w:sz w:val="24"/>
          <w:szCs w:val="24"/>
          <w:spacing w:val="-26"/>
        </w:rPr>
        <w:t xml:space="preserve"> </w:t>
      </w:r>
      <w:r>
        <w:rPr>
          <w:rFonts w:ascii="FangSong" w:hAnsi="FangSong" w:eastAsia="FangSong" w:cs="FangSong"/>
          <w:sz w:val="24"/>
          <w:szCs w:val="24"/>
          <w:spacing w:val="-16"/>
        </w:rPr>
        <w:t>；</w:t>
      </w:r>
    </w:p>
    <w:p>
      <w:pPr>
        <w:ind w:left="6409"/>
        <w:spacing w:before="1" w:line="220" w:lineRule="auto"/>
        <w:rPr>
          <w:rFonts w:ascii="SimHei" w:hAnsi="SimHei" w:eastAsia="SimHei" w:cs="SimHei"/>
          <w:sz w:val="30"/>
          <w:szCs w:val="30"/>
        </w:rPr>
      </w:pPr>
      <w:bookmarkStart w:name="bookmark807" w:id="114"/>
      <w:bookmarkEnd w:id="114"/>
      <w:r>
        <w:rPr>
          <w:rFonts w:ascii="SimHei" w:hAnsi="SimHei" w:eastAsia="SimHei" w:cs="SimHei"/>
          <w:sz w:val="30"/>
          <w:szCs w:val="30"/>
          <w:b/>
          <w:bCs/>
          <w:spacing w:val="-21"/>
        </w:rPr>
        <w:t>裁量标准</w:t>
      </w:r>
    </w:p>
    <w:p>
      <w:pPr>
        <w:spacing w:line="170" w:lineRule="exact"/>
        <w:rPr/>
      </w:pPr>
      <w:r/>
    </w:p>
    <w:tbl>
      <w:tblPr>
        <w:tblStyle w:val="TableNormal"/>
        <w:tblW w:w="139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4"/>
        <w:gridCol w:w="8074"/>
        <w:gridCol w:w="4392"/>
      </w:tblGrid>
      <w:tr>
        <w:trPr>
          <w:trHeight w:val="833" w:hRule="atLeast"/>
        </w:trPr>
        <w:tc>
          <w:tcPr>
            <w:tcW w:w="1454" w:type="dxa"/>
            <w:vAlign w:val="top"/>
          </w:tcPr>
          <w:p>
            <w:pPr>
              <w:pStyle w:val="TableText"/>
              <w:ind w:left="218"/>
              <w:spacing w:before="172" w:line="220" w:lineRule="auto"/>
              <w:rPr>
                <w:sz w:val="25"/>
                <w:szCs w:val="25"/>
              </w:rPr>
            </w:pPr>
            <w:r>
              <w:rPr>
                <w:sz w:val="25"/>
                <w:szCs w:val="25"/>
                <w:b/>
                <w:bCs/>
                <w:spacing w:val="-5"/>
              </w:rPr>
              <w:t>违法程度</w:t>
            </w:r>
          </w:p>
        </w:tc>
        <w:tc>
          <w:tcPr>
            <w:tcW w:w="8074" w:type="dxa"/>
            <w:vAlign w:val="top"/>
          </w:tcPr>
          <w:p>
            <w:pPr>
              <w:pStyle w:val="TableText"/>
              <w:ind w:left="3534"/>
              <w:spacing w:before="192" w:line="220" w:lineRule="auto"/>
              <w:rPr>
                <w:sz w:val="25"/>
                <w:szCs w:val="25"/>
              </w:rPr>
            </w:pPr>
            <w:r>
              <w:rPr>
                <w:sz w:val="25"/>
                <w:szCs w:val="25"/>
                <w:b/>
                <w:bCs/>
                <w:spacing w:val="-5"/>
              </w:rPr>
              <w:t>情节后果</w:t>
            </w:r>
          </w:p>
        </w:tc>
        <w:tc>
          <w:tcPr>
            <w:tcW w:w="4392" w:type="dxa"/>
            <w:vAlign w:val="top"/>
          </w:tcPr>
          <w:p>
            <w:pPr>
              <w:pStyle w:val="TableText"/>
              <w:ind w:left="1690"/>
              <w:spacing w:before="169" w:line="218" w:lineRule="auto"/>
              <w:rPr>
                <w:sz w:val="25"/>
                <w:szCs w:val="25"/>
              </w:rPr>
            </w:pPr>
            <w:r>
              <w:rPr>
                <w:sz w:val="25"/>
                <w:szCs w:val="25"/>
                <w:b/>
                <w:bCs/>
                <w:spacing w:val="-5"/>
              </w:rPr>
              <w:t>裁量幅度</w:t>
            </w:r>
          </w:p>
        </w:tc>
      </w:tr>
      <w:tr>
        <w:trPr>
          <w:trHeight w:val="658" w:hRule="atLeast"/>
        </w:trPr>
        <w:tc>
          <w:tcPr>
            <w:tcW w:w="1454" w:type="dxa"/>
            <w:vAlign w:val="top"/>
          </w:tcPr>
          <w:p>
            <w:pPr>
              <w:pStyle w:val="TableText"/>
              <w:ind w:left="468"/>
              <w:spacing w:before="88" w:line="219" w:lineRule="auto"/>
              <w:rPr>
                <w:sz w:val="25"/>
                <w:szCs w:val="25"/>
              </w:rPr>
            </w:pPr>
            <w:r>
              <w:rPr>
                <w:sz w:val="25"/>
                <w:szCs w:val="25"/>
                <w:b/>
                <w:bCs/>
                <w:spacing w:val="-6"/>
              </w:rPr>
              <w:t>较轻</w:t>
            </w:r>
          </w:p>
        </w:tc>
        <w:tc>
          <w:tcPr>
            <w:tcW w:w="8074" w:type="dxa"/>
            <w:vAlign w:val="top"/>
          </w:tcPr>
          <w:p>
            <w:pPr>
              <w:pStyle w:val="TableText"/>
              <w:ind w:left="111"/>
              <w:spacing w:before="102" w:line="219" w:lineRule="auto"/>
              <w:rPr>
                <w:sz w:val="25"/>
                <w:szCs w:val="25"/>
              </w:rPr>
            </w:pPr>
            <w:r>
              <w:rPr>
                <w:sz w:val="25"/>
                <w:szCs w:val="25"/>
                <w:spacing w:val="-1"/>
              </w:rPr>
              <w:t>首次发现违法行为。</w:t>
            </w:r>
          </w:p>
        </w:tc>
        <w:tc>
          <w:tcPr>
            <w:tcW w:w="4392" w:type="dxa"/>
            <w:vAlign w:val="top"/>
          </w:tcPr>
          <w:p>
            <w:pPr>
              <w:pStyle w:val="TableText"/>
              <w:ind w:left="97"/>
              <w:spacing w:before="100" w:line="218" w:lineRule="auto"/>
              <w:rPr>
                <w:sz w:val="25"/>
                <w:szCs w:val="25"/>
              </w:rPr>
            </w:pPr>
            <w:r>
              <w:rPr>
                <w:sz w:val="25"/>
                <w:szCs w:val="25"/>
                <w:spacing w:val="-1"/>
              </w:rPr>
              <w:t>给予警告。</w:t>
            </w:r>
          </w:p>
        </w:tc>
      </w:tr>
      <w:tr>
        <w:trPr>
          <w:trHeight w:val="2829" w:hRule="atLeast"/>
        </w:trPr>
        <w:tc>
          <w:tcPr>
            <w:tcW w:w="1454" w:type="dxa"/>
            <w:vAlign w:val="top"/>
          </w:tcPr>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468"/>
              <w:spacing w:before="81" w:line="221" w:lineRule="auto"/>
              <w:rPr>
                <w:sz w:val="25"/>
                <w:szCs w:val="25"/>
              </w:rPr>
            </w:pPr>
            <w:r>
              <w:rPr>
                <w:sz w:val="25"/>
                <w:szCs w:val="25"/>
                <w:b/>
                <w:bCs/>
                <w:spacing w:val="-10"/>
              </w:rPr>
              <w:t>一般</w:t>
            </w:r>
          </w:p>
        </w:tc>
        <w:tc>
          <w:tcPr>
            <w:tcW w:w="8074" w:type="dxa"/>
            <w:vAlign w:val="top"/>
          </w:tcPr>
          <w:p>
            <w:pPr>
              <w:pStyle w:val="TableText"/>
              <w:ind w:left="91" w:firstLine="19"/>
              <w:spacing w:before="95" w:line="324" w:lineRule="auto"/>
              <w:rPr>
                <w:sz w:val="25"/>
                <w:szCs w:val="25"/>
              </w:rPr>
            </w:pPr>
            <w:r>
              <w:rPr>
                <w:sz w:val="25"/>
                <w:szCs w:val="25"/>
                <w:spacing w:val="-5"/>
              </w:rPr>
              <w:t>责令限期改正后，逾期不改正。(1)未对从事医疗废物收集、运送、</w:t>
            </w:r>
            <w:r>
              <w:rPr>
                <w:sz w:val="25"/>
                <w:szCs w:val="25"/>
                <w:spacing w:val="-6"/>
              </w:rPr>
              <w:t>贮存、</w:t>
            </w:r>
            <w:r>
              <w:rPr>
                <w:sz w:val="25"/>
                <w:szCs w:val="25"/>
              </w:rPr>
              <w:t xml:space="preserve"> </w:t>
            </w:r>
            <w:r>
              <w:rPr>
                <w:sz w:val="25"/>
                <w:szCs w:val="25"/>
                <w:spacing w:val="-3"/>
              </w:rPr>
              <w:t>处置等工作的人员和管理人员采取职业卫生防护措施，涉及人数在2</w:t>
            </w:r>
            <w:r>
              <w:rPr>
                <w:sz w:val="25"/>
                <w:szCs w:val="25"/>
                <w:spacing w:val="-4"/>
              </w:rPr>
              <w:t>人以</w:t>
            </w:r>
            <w:r>
              <w:rPr>
                <w:sz w:val="25"/>
                <w:szCs w:val="25"/>
              </w:rPr>
              <w:t xml:space="preserve">  </w:t>
            </w:r>
            <w:r>
              <w:rPr>
                <w:sz w:val="25"/>
                <w:szCs w:val="25"/>
                <w:spacing w:val="-3"/>
              </w:rPr>
              <w:t>下；(2)未对从事医疗废物收集、运送、贮</w:t>
            </w:r>
            <w:r>
              <w:rPr>
                <w:sz w:val="25"/>
                <w:szCs w:val="25"/>
                <w:spacing w:val="-4"/>
              </w:rPr>
              <w:t>存、处置等工作的人员和管理</w:t>
            </w:r>
            <w:r>
              <w:rPr>
                <w:sz w:val="25"/>
                <w:szCs w:val="25"/>
              </w:rPr>
              <w:t xml:space="preserve">  </w:t>
            </w:r>
            <w:r>
              <w:rPr>
                <w:sz w:val="25"/>
                <w:szCs w:val="25"/>
                <w:spacing w:val="1"/>
              </w:rPr>
              <w:t>人员采取职业卫生防护措施，涉及人数在2人</w:t>
            </w:r>
            <w:r>
              <w:rPr>
                <w:sz w:val="25"/>
                <w:szCs w:val="25"/>
              </w:rPr>
              <w:t>以上5人以下；(3)未对从   </w:t>
            </w:r>
            <w:r>
              <w:rPr>
                <w:sz w:val="25"/>
                <w:szCs w:val="25"/>
                <w:spacing w:val="-12"/>
              </w:rPr>
              <w:t>事医疗废物收集、运送、贮存、处置等工作的人员和管理人员采取职业卫生</w:t>
            </w:r>
            <w:r>
              <w:rPr>
                <w:sz w:val="25"/>
                <w:szCs w:val="25"/>
                <w:spacing w:val="5"/>
              </w:rPr>
              <w:t xml:space="preserve">  </w:t>
            </w:r>
            <w:r>
              <w:rPr>
                <w:sz w:val="25"/>
                <w:szCs w:val="25"/>
                <w:spacing w:val="-2"/>
              </w:rPr>
              <w:t>防护措施，涉及人数在5人以上。</w:t>
            </w:r>
          </w:p>
        </w:tc>
        <w:tc>
          <w:tcPr>
            <w:tcW w:w="4392" w:type="dxa"/>
            <w:vAlign w:val="top"/>
          </w:tcPr>
          <w:p>
            <w:pPr>
              <w:spacing w:line="334" w:lineRule="auto"/>
              <w:rPr>
                <w:rFonts w:ascii="Arial"/>
                <w:sz w:val="21"/>
              </w:rPr>
            </w:pPr>
            <w:r/>
          </w:p>
          <w:p>
            <w:pPr>
              <w:spacing w:line="335" w:lineRule="auto"/>
              <w:rPr>
                <w:rFonts w:ascii="Arial"/>
                <w:sz w:val="21"/>
              </w:rPr>
            </w:pPr>
            <w:r/>
          </w:p>
          <w:p>
            <w:pPr>
              <w:pStyle w:val="TableText"/>
              <w:ind w:left="317"/>
              <w:spacing w:before="82" w:line="220" w:lineRule="auto"/>
              <w:rPr>
                <w:sz w:val="25"/>
                <w:szCs w:val="25"/>
              </w:rPr>
            </w:pPr>
            <w:r>
              <w:rPr>
                <w:sz w:val="25"/>
                <w:szCs w:val="25"/>
              </w:rPr>
              <w:t>(1)处2000元以上2900元以下罚款。</w:t>
            </w:r>
          </w:p>
          <w:p>
            <w:pPr>
              <w:pStyle w:val="TableText"/>
              <w:ind w:left="317"/>
              <w:spacing w:before="152" w:line="220" w:lineRule="auto"/>
              <w:rPr>
                <w:sz w:val="25"/>
                <w:szCs w:val="25"/>
              </w:rPr>
            </w:pPr>
            <w:r>
              <w:rPr>
                <w:sz w:val="25"/>
                <w:szCs w:val="25"/>
              </w:rPr>
              <w:t>(2)处2900元以上4100元以下罚款。</w:t>
            </w:r>
          </w:p>
          <w:p>
            <w:pPr>
              <w:pStyle w:val="TableText"/>
              <w:ind w:left="317"/>
              <w:spacing w:before="122" w:line="220" w:lineRule="auto"/>
              <w:rPr>
                <w:sz w:val="25"/>
                <w:szCs w:val="25"/>
              </w:rPr>
            </w:pPr>
            <w:r>
              <w:rPr>
                <w:sz w:val="25"/>
                <w:szCs w:val="25"/>
              </w:rPr>
              <w:t>(3)处4100元以上5000元以下罚款。</w:t>
            </w:r>
          </w:p>
        </w:tc>
      </w:tr>
    </w:tbl>
    <w:p>
      <w:pPr>
        <w:ind w:left="689"/>
        <w:spacing w:before="126" w:line="219" w:lineRule="auto"/>
        <w:rPr>
          <w:rFonts w:ascii="FangSong" w:hAnsi="FangSong" w:eastAsia="FangSong" w:cs="FangSong"/>
          <w:sz w:val="30"/>
          <w:szCs w:val="30"/>
        </w:rPr>
      </w:pPr>
      <w:r>
        <w:rPr>
          <w:rFonts w:ascii="FangSong" w:hAnsi="FangSong" w:eastAsia="FangSong" w:cs="FangSong"/>
          <w:sz w:val="30"/>
          <w:szCs w:val="30"/>
          <w:b/>
          <w:bCs/>
          <w:spacing w:val="22"/>
        </w:rPr>
        <w:t>第七十条医疗卫生机构未对医疗废物进行登记或者未保存登记资料的</w:t>
      </w:r>
    </w:p>
    <w:p>
      <w:pPr>
        <w:ind w:left="685"/>
        <w:spacing w:before="63"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firstLine="640"/>
        <w:spacing w:before="94" w:line="272" w:lineRule="auto"/>
        <w:jc w:val="both"/>
        <w:rPr>
          <w:rFonts w:ascii="FangSong" w:hAnsi="FangSong" w:eastAsia="FangSong" w:cs="FangSong"/>
          <w:sz w:val="30"/>
          <w:szCs w:val="30"/>
        </w:rPr>
      </w:pPr>
      <w:r>
        <w:rPr>
          <w:rFonts w:ascii="FangSong" w:hAnsi="FangSong" w:eastAsia="FangSong" w:cs="FangSong"/>
          <w:sz w:val="30"/>
          <w:szCs w:val="30"/>
          <w:spacing w:val="27"/>
        </w:rPr>
        <w:t>《医疗废物管理条例》第四十五条第(四)项</w:t>
      </w:r>
      <w:r>
        <w:rPr>
          <w:rFonts w:ascii="FangSong" w:hAnsi="FangSong" w:eastAsia="FangSong" w:cs="FangSong"/>
          <w:sz w:val="30"/>
          <w:szCs w:val="30"/>
          <w:spacing w:val="27"/>
        </w:rPr>
        <w:t xml:space="preserve">   </w:t>
      </w:r>
      <w:r>
        <w:rPr>
          <w:rFonts w:ascii="FangSong" w:hAnsi="FangSong" w:eastAsia="FangSong" w:cs="FangSong"/>
          <w:sz w:val="30"/>
          <w:szCs w:val="30"/>
          <w:spacing w:val="27"/>
        </w:rPr>
        <w:t>医疗卫生机构、医疗废物集中处置单</w:t>
      </w:r>
      <w:r>
        <w:rPr>
          <w:rFonts w:ascii="FangSong" w:hAnsi="FangSong" w:eastAsia="FangSong" w:cs="FangSong"/>
          <w:sz w:val="30"/>
          <w:szCs w:val="30"/>
          <w:spacing w:val="26"/>
        </w:rPr>
        <w:t>位违反本</w:t>
      </w:r>
      <w:r>
        <w:rPr>
          <w:rFonts w:ascii="FangSong" w:hAnsi="FangSong" w:eastAsia="FangSong" w:cs="FangSong"/>
          <w:sz w:val="30"/>
          <w:szCs w:val="30"/>
        </w:rPr>
        <w:t xml:space="preserve"> </w:t>
      </w:r>
      <w:r>
        <w:rPr>
          <w:rFonts w:ascii="FangSong" w:hAnsi="FangSong" w:eastAsia="FangSong" w:cs="FangSong"/>
          <w:sz w:val="30"/>
          <w:szCs w:val="30"/>
          <w:spacing w:val="16"/>
        </w:rPr>
        <w:t>条例规定，有下列情形之一的，由县级以上地方人民政府卫生行政主管部门或者环境保护行政主管部</w:t>
      </w:r>
      <w:r>
        <w:rPr>
          <w:rFonts w:ascii="FangSong" w:hAnsi="FangSong" w:eastAsia="FangSong" w:cs="FangSong"/>
          <w:sz w:val="30"/>
          <w:szCs w:val="30"/>
          <w:spacing w:val="12"/>
        </w:rPr>
        <w:t xml:space="preserve"> </w:t>
      </w:r>
      <w:r>
        <w:rPr>
          <w:rFonts w:ascii="FangSong" w:hAnsi="FangSong" w:eastAsia="FangSong" w:cs="FangSong"/>
          <w:sz w:val="30"/>
          <w:szCs w:val="30"/>
          <w:spacing w:val="23"/>
        </w:rPr>
        <w:t>门按照各自的职责责令限期改正，给予警告；逾期不改正的，处2000元以上5000元以下的罚款：</w:t>
      </w:r>
    </w:p>
    <w:p>
      <w:pPr>
        <w:spacing w:line="272" w:lineRule="auto"/>
        <w:sectPr>
          <w:footerReference w:type="default" r:id="rId147"/>
          <w:pgSz w:w="16830" w:h="11900"/>
          <w:pgMar w:top="1011" w:right="1441" w:bottom="1125" w:left="1414" w:header="0" w:footer="783" w:gutter="0"/>
        </w:sectPr>
        <w:rPr>
          <w:rFonts w:ascii="FangSong" w:hAnsi="FangSong" w:eastAsia="FangSong" w:cs="FangSong"/>
          <w:sz w:val="30"/>
          <w:szCs w:val="30"/>
        </w:rPr>
      </w:pPr>
    </w:p>
    <w:p>
      <w:pPr>
        <w:pStyle w:val="BodyText"/>
        <w:spacing w:line="257" w:lineRule="auto"/>
        <w:rPr/>
      </w:pPr>
      <w:r/>
    </w:p>
    <w:p>
      <w:pPr>
        <w:pStyle w:val="BodyText"/>
        <w:spacing w:line="257" w:lineRule="auto"/>
        <w:rPr/>
      </w:pPr>
      <w:r/>
    </w:p>
    <w:p>
      <w:pPr>
        <w:pStyle w:val="BodyText"/>
        <w:spacing w:line="258" w:lineRule="auto"/>
        <w:rPr/>
      </w:pPr>
      <w:r/>
    </w:p>
    <w:p>
      <w:pPr>
        <w:ind w:left="174"/>
        <w:spacing w:before="97" w:line="219" w:lineRule="auto"/>
        <w:rPr>
          <w:rFonts w:ascii="FangSong" w:hAnsi="FangSong" w:eastAsia="FangSong" w:cs="FangSong"/>
          <w:sz w:val="30"/>
          <w:szCs w:val="30"/>
        </w:rPr>
      </w:pPr>
      <w:r>
        <w:rPr>
          <w:rFonts w:ascii="FangSong" w:hAnsi="FangSong" w:eastAsia="FangSong" w:cs="FangSong"/>
          <w:sz w:val="30"/>
          <w:szCs w:val="30"/>
          <w:spacing w:val="22"/>
        </w:rPr>
        <w:t>(四)未对医疗废物进行登记或者未保存登记资料的；</w:t>
      </w:r>
    </w:p>
    <w:p>
      <w:pPr>
        <w:ind w:left="6229"/>
        <w:spacing w:before="93" w:line="221" w:lineRule="auto"/>
        <w:rPr>
          <w:rFonts w:ascii="SimHei" w:hAnsi="SimHei" w:eastAsia="SimHei" w:cs="SimHei"/>
          <w:sz w:val="30"/>
          <w:szCs w:val="30"/>
        </w:rPr>
      </w:pPr>
      <w:r>
        <w:rPr>
          <w:rFonts w:ascii="SimHei" w:hAnsi="SimHei" w:eastAsia="SimHei" w:cs="SimHei"/>
          <w:sz w:val="30"/>
          <w:szCs w:val="30"/>
          <w:b/>
          <w:bCs/>
          <w:spacing w:val="21"/>
        </w:rPr>
        <w:t>裁量标准</w:t>
      </w:r>
    </w:p>
    <w:p>
      <w:pPr>
        <w:spacing w:line="180" w:lineRule="exact"/>
        <w:rPr/>
      </w:pPr>
      <w:r/>
    </w:p>
    <w:tbl>
      <w:tblPr>
        <w:tblStyle w:val="TableNormal"/>
        <w:tblW w:w="137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63"/>
        <w:gridCol w:w="7115"/>
        <w:gridCol w:w="4731"/>
      </w:tblGrid>
      <w:tr>
        <w:trPr>
          <w:trHeight w:val="842" w:hRule="atLeast"/>
        </w:trPr>
        <w:tc>
          <w:tcPr>
            <w:tcW w:w="1863" w:type="dxa"/>
            <w:vAlign w:val="top"/>
          </w:tcPr>
          <w:p>
            <w:pPr>
              <w:pStyle w:val="TableText"/>
              <w:ind w:left="269"/>
              <w:spacing w:before="164" w:line="220" w:lineRule="auto"/>
              <w:rPr>
                <w:sz w:val="33"/>
                <w:szCs w:val="33"/>
              </w:rPr>
            </w:pPr>
            <w:bookmarkStart w:name="bookmark808" w:id="115"/>
            <w:bookmarkEnd w:id="115"/>
            <w:r>
              <w:rPr>
                <w:sz w:val="33"/>
                <w:szCs w:val="33"/>
                <w:b/>
                <w:bCs/>
                <w:spacing w:val="-1"/>
              </w:rPr>
              <w:t>违法程度</w:t>
            </w:r>
          </w:p>
        </w:tc>
        <w:tc>
          <w:tcPr>
            <w:tcW w:w="7115" w:type="dxa"/>
            <w:vAlign w:val="top"/>
          </w:tcPr>
          <w:p>
            <w:pPr>
              <w:pStyle w:val="TableText"/>
              <w:ind w:left="2896"/>
              <w:spacing w:before="164" w:line="220" w:lineRule="auto"/>
              <w:rPr>
                <w:sz w:val="33"/>
                <w:szCs w:val="33"/>
              </w:rPr>
            </w:pPr>
            <w:r>
              <w:rPr>
                <w:sz w:val="33"/>
                <w:szCs w:val="33"/>
                <w:b/>
                <w:bCs/>
                <w:spacing w:val="-1"/>
              </w:rPr>
              <w:t>情节后果</w:t>
            </w:r>
          </w:p>
        </w:tc>
        <w:tc>
          <w:tcPr>
            <w:tcW w:w="4731" w:type="dxa"/>
            <w:vAlign w:val="top"/>
          </w:tcPr>
          <w:p>
            <w:pPr>
              <w:pStyle w:val="TableText"/>
              <w:ind w:left="1741"/>
              <w:spacing w:before="160" w:line="218" w:lineRule="auto"/>
              <w:rPr>
                <w:sz w:val="33"/>
                <w:szCs w:val="33"/>
              </w:rPr>
            </w:pPr>
            <w:r>
              <w:rPr>
                <w:sz w:val="33"/>
                <w:szCs w:val="33"/>
                <w:b/>
                <w:bCs/>
                <w:spacing w:val="-1"/>
              </w:rPr>
              <w:t>裁量幅度</w:t>
            </w:r>
          </w:p>
        </w:tc>
      </w:tr>
      <w:tr>
        <w:trPr>
          <w:trHeight w:val="648" w:hRule="atLeast"/>
        </w:trPr>
        <w:tc>
          <w:tcPr>
            <w:tcW w:w="1863" w:type="dxa"/>
            <w:vAlign w:val="top"/>
          </w:tcPr>
          <w:p>
            <w:pPr>
              <w:pStyle w:val="TableText"/>
              <w:ind w:left="678"/>
              <w:spacing w:before="79" w:line="219" w:lineRule="auto"/>
              <w:rPr>
                <w:sz w:val="25"/>
                <w:szCs w:val="25"/>
              </w:rPr>
            </w:pPr>
            <w:r>
              <w:rPr>
                <w:sz w:val="25"/>
                <w:szCs w:val="25"/>
                <w:b/>
                <w:bCs/>
                <w:spacing w:val="-6"/>
              </w:rPr>
              <w:t>较轻</w:t>
            </w:r>
          </w:p>
        </w:tc>
        <w:tc>
          <w:tcPr>
            <w:tcW w:w="7115" w:type="dxa"/>
            <w:vAlign w:val="top"/>
          </w:tcPr>
          <w:p>
            <w:pPr>
              <w:pStyle w:val="TableText"/>
              <w:ind w:left="131"/>
              <w:spacing w:before="83" w:line="219" w:lineRule="auto"/>
              <w:rPr>
                <w:sz w:val="25"/>
                <w:szCs w:val="25"/>
              </w:rPr>
            </w:pPr>
            <w:r>
              <w:rPr>
                <w:sz w:val="25"/>
                <w:szCs w:val="25"/>
                <w:spacing w:val="-1"/>
              </w:rPr>
              <w:t>首次发现违法行为。</w:t>
            </w:r>
          </w:p>
        </w:tc>
        <w:tc>
          <w:tcPr>
            <w:tcW w:w="4731" w:type="dxa"/>
            <w:vAlign w:val="top"/>
          </w:tcPr>
          <w:p>
            <w:pPr>
              <w:pStyle w:val="TableText"/>
              <w:ind w:left="116"/>
              <w:spacing w:before="81" w:line="218" w:lineRule="auto"/>
              <w:rPr>
                <w:sz w:val="25"/>
                <w:szCs w:val="25"/>
              </w:rPr>
            </w:pPr>
            <w:r>
              <w:rPr>
                <w:sz w:val="25"/>
                <w:szCs w:val="25"/>
                <w:spacing w:val="-1"/>
              </w:rPr>
              <w:t>给予警告。</w:t>
            </w:r>
          </w:p>
        </w:tc>
      </w:tr>
      <w:tr>
        <w:trPr>
          <w:trHeight w:val="1759" w:hRule="atLeast"/>
        </w:trPr>
        <w:tc>
          <w:tcPr>
            <w:tcW w:w="1863" w:type="dxa"/>
            <w:vAlign w:val="top"/>
          </w:tcPr>
          <w:p>
            <w:pPr>
              <w:spacing w:line="338" w:lineRule="auto"/>
              <w:rPr>
                <w:rFonts w:ascii="Arial"/>
                <w:sz w:val="21"/>
              </w:rPr>
            </w:pPr>
            <w:r/>
          </w:p>
          <w:p>
            <w:pPr>
              <w:spacing w:line="339" w:lineRule="auto"/>
              <w:rPr>
                <w:rFonts w:ascii="Arial"/>
                <w:sz w:val="21"/>
              </w:rPr>
            </w:pPr>
            <w:r/>
          </w:p>
          <w:p>
            <w:pPr>
              <w:pStyle w:val="TableText"/>
              <w:ind w:left="678"/>
              <w:spacing w:before="81" w:line="221" w:lineRule="auto"/>
              <w:rPr>
                <w:sz w:val="25"/>
                <w:szCs w:val="25"/>
              </w:rPr>
            </w:pPr>
            <w:r>
              <w:rPr>
                <w:sz w:val="25"/>
                <w:szCs w:val="25"/>
                <w:b/>
                <w:bCs/>
                <w:spacing w:val="-10"/>
              </w:rPr>
              <w:t>一般</w:t>
            </w:r>
          </w:p>
        </w:tc>
        <w:tc>
          <w:tcPr>
            <w:tcW w:w="7115" w:type="dxa"/>
            <w:vAlign w:val="top"/>
          </w:tcPr>
          <w:p>
            <w:pPr>
              <w:pStyle w:val="TableText"/>
              <w:ind w:left="111" w:right="111"/>
              <w:spacing w:before="203" w:line="330" w:lineRule="auto"/>
              <w:jc w:val="both"/>
              <w:rPr>
                <w:sz w:val="25"/>
                <w:szCs w:val="25"/>
              </w:rPr>
            </w:pPr>
            <w:r>
              <w:rPr>
                <w:sz w:val="25"/>
                <w:szCs w:val="25"/>
              </w:rPr>
              <w:t>责令限期改正后，逾期不改正。(1)医疗废物登记记录不规范或</w:t>
            </w:r>
            <w:r>
              <w:rPr>
                <w:sz w:val="25"/>
                <w:szCs w:val="25"/>
                <w:spacing w:val="5"/>
              </w:rPr>
              <w:t xml:space="preserve"> </w:t>
            </w:r>
            <w:r>
              <w:rPr>
                <w:sz w:val="25"/>
                <w:szCs w:val="25"/>
                <w:spacing w:val="-1"/>
              </w:rPr>
              <w:t>者保存登记资料不全；(2)未对医疗废物进行登记或者未保存登</w:t>
            </w:r>
            <w:r>
              <w:rPr>
                <w:sz w:val="25"/>
                <w:szCs w:val="25"/>
                <w:spacing w:val="16"/>
              </w:rPr>
              <w:t xml:space="preserve"> </w:t>
            </w:r>
            <w:r>
              <w:rPr>
                <w:sz w:val="25"/>
                <w:szCs w:val="25"/>
              </w:rPr>
              <w:t>记资料；(3)对医疗废物，虚假登记或伪造保存登记资料。</w:t>
            </w:r>
          </w:p>
        </w:tc>
        <w:tc>
          <w:tcPr>
            <w:tcW w:w="4731" w:type="dxa"/>
            <w:vAlign w:val="top"/>
          </w:tcPr>
          <w:p>
            <w:pPr>
              <w:pStyle w:val="TableText"/>
              <w:ind w:left="137" w:right="169" w:firstLine="109"/>
              <w:spacing w:before="224" w:line="313" w:lineRule="auto"/>
              <w:rPr>
                <w:sz w:val="25"/>
                <w:szCs w:val="25"/>
              </w:rPr>
            </w:pPr>
            <w:r>
              <w:rPr>
                <w:sz w:val="25"/>
                <w:szCs w:val="25"/>
                <w:spacing w:val="2"/>
              </w:rPr>
              <w:t>(1)处2000元以上2900元以下罚款。(2)</w:t>
            </w:r>
            <w:r>
              <w:rPr>
                <w:sz w:val="25"/>
                <w:szCs w:val="25"/>
                <w:spacing w:val="5"/>
              </w:rPr>
              <w:t xml:space="preserve"> </w:t>
            </w:r>
            <w:r>
              <w:rPr>
                <w:sz w:val="25"/>
                <w:szCs w:val="25"/>
              </w:rPr>
              <w:t>处2900元以上4100元以下罚款。(3)处</w:t>
            </w:r>
          </w:p>
          <w:p>
            <w:pPr>
              <w:pStyle w:val="TableText"/>
              <w:ind w:left="96"/>
              <w:spacing w:before="23" w:line="220" w:lineRule="auto"/>
              <w:rPr>
                <w:sz w:val="25"/>
                <w:szCs w:val="25"/>
              </w:rPr>
            </w:pPr>
            <w:r>
              <w:rPr>
                <w:sz w:val="25"/>
                <w:szCs w:val="25"/>
                <w:spacing w:val="-1"/>
              </w:rPr>
              <w:t>4100元以上5000元以下罚款。</w:t>
            </w:r>
          </w:p>
        </w:tc>
      </w:tr>
    </w:tbl>
    <w:p>
      <w:pPr>
        <w:ind w:left="29" w:right="321" w:firstLine="639"/>
        <w:spacing w:before="107" w:line="267" w:lineRule="auto"/>
        <w:rPr>
          <w:rFonts w:ascii="FangSong" w:hAnsi="FangSong" w:eastAsia="FangSong" w:cs="FangSong"/>
          <w:sz w:val="30"/>
          <w:szCs w:val="30"/>
        </w:rPr>
      </w:pPr>
      <w:r>
        <w:rPr>
          <w:rFonts w:ascii="FangSong" w:hAnsi="FangSong" w:eastAsia="FangSong" w:cs="FangSong"/>
          <w:sz w:val="30"/>
          <w:szCs w:val="30"/>
          <w:b/>
          <w:bCs/>
          <w:spacing w:val="21"/>
        </w:rPr>
        <w:t>第七十一条医疗卫生机构对使用后的医疗废物运送工具或者运送车辆未在指定地点及时进行</w:t>
      </w:r>
      <w:r>
        <w:rPr>
          <w:rFonts w:ascii="FangSong" w:hAnsi="FangSong" w:eastAsia="FangSong" w:cs="FangSong"/>
          <w:sz w:val="30"/>
          <w:szCs w:val="30"/>
          <w:spacing w:val="5"/>
        </w:rPr>
        <w:t xml:space="preserve"> </w:t>
      </w:r>
      <w:r>
        <w:rPr>
          <w:rFonts w:ascii="FangSong" w:hAnsi="FangSong" w:eastAsia="FangSong" w:cs="FangSong"/>
          <w:sz w:val="30"/>
          <w:szCs w:val="30"/>
          <w:b/>
          <w:bCs/>
          <w:spacing w:val="13"/>
        </w:rPr>
        <w:t>消毒和清洁的</w:t>
      </w:r>
    </w:p>
    <w:p>
      <w:pPr>
        <w:ind w:left="675"/>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firstLine="629"/>
        <w:spacing w:before="98" w:line="265" w:lineRule="auto"/>
        <w:jc w:val="both"/>
        <w:rPr>
          <w:rFonts w:ascii="FangSong" w:hAnsi="FangSong" w:eastAsia="FangSong" w:cs="FangSong"/>
          <w:sz w:val="30"/>
          <w:szCs w:val="30"/>
        </w:rPr>
      </w:pPr>
      <w:r>
        <w:rPr>
          <w:rFonts w:ascii="FangSong" w:hAnsi="FangSong" w:eastAsia="FangSong" w:cs="FangSong"/>
          <w:sz w:val="30"/>
          <w:szCs w:val="30"/>
          <w:spacing w:val="27"/>
        </w:rPr>
        <w:t>《医疗废物管理条例》第四十五条第(五)项</w:t>
      </w:r>
      <w:r>
        <w:rPr>
          <w:rFonts w:ascii="FangSong" w:hAnsi="FangSong" w:eastAsia="FangSong" w:cs="FangSong"/>
          <w:sz w:val="30"/>
          <w:szCs w:val="30"/>
          <w:spacing w:val="27"/>
        </w:rPr>
        <w:t xml:space="preserve">   </w:t>
      </w:r>
      <w:r>
        <w:rPr>
          <w:rFonts w:ascii="FangSong" w:hAnsi="FangSong" w:eastAsia="FangSong" w:cs="FangSong"/>
          <w:sz w:val="30"/>
          <w:szCs w:val="30"/>
          <w:spacing w:val="27"/>
        </w:rPr>
        <w:t>医疗卫生机构、医疗废物集中处置单</w:t>
      </w:r>
      <w:r>
        <w:rPr>
          <w:rFonts w:ascii="FangSong" w:hAnsi="FangSong" w:eastAsia="FangSong" w:cs="FangSong"/>
          <w:sz w:val="30"/>
          <w:szCs w:val="30"/>
          <w:spacing w:val="26"/>
        </w:rPr>
        <w:t>位违反本</w:t>
      </w:r>
      <w:r>
        <w:rPr>
          <w:rFonts w:ascii="FangSong" w:hAnsi="FangSong" w:eastAsia="FangSong" w:cs="FangSong"/>
          <w:sz w:val="30"/>
          <w:szCs w:val="30"/>
        </w:rPr>
        <w:t xml:space="preserve"> </w:t>
      </w:r>
      <w:r>
        <w:rPr>
          <w:rFonts w:ascii="FangSong" w:hAnsi="FangSong" w:eastAsia="FangSong" w:cs="FangSong"/>
          <w:sz w:val="30"/>
          <w:szCs w:val="30"/>
          <w:spacing w:val="16"/>
        </w:rPr>
        <w:t>条例规定，有下列情形之一的，由县级以上地方人民政府卫生行政主管部门或者环境保护行政主管部</w:t>
      </w:r>
      <w:r>
        <w:rPr>
          <w:rFonts w:ascii="FangSong" w:hAnsi="FangSong" w:eastAsia="FangSong" w:cs="FangSong"/>
          <w:sz w:val="30"/>
          <w:szCs w:val="30"/>
          <w:spacing w:val="1"/>
        </w:rPr>
        <w:t xml:space="preserve"> </w:t>
      </w:r>
      <w:r>
        <w:rPr>
          <w:rFonts w:ascii="FangSong" w:hAnsi="FangSong" w:eastAsia="FangSong" w:cs="FangSong"/>
          <w:sz w:val="30"/>
          <w:szCs w:val="30"/>
          <w:spacing w:val="23"/>
        </w:rPr>
        <w:t>门按照各自的职责责令限期改正，给予警告；逾期不改正的，处2000元以上5000元以下的罚款：</w:t>
      </w:r>
    </w:p>
    <w:p>
      <w:pPr>
        <w:ind w:left="815"/>
        <w:spacing w:before="5" w:line="219" w:lineRule="auto"/>
        <w:rPr>
          <w:rFonts w:ascii="FangSong" w:hAnsi="FangSong" w:eastAsia="FangSong" w:cs="FangSong"/>
          <w:sz w:val="30"/>
          <w:szCs w:val="30"/>
        </w:rPr>
      </w:pPr>
      <w:r>
        <w:rPr>
          <w:rFonts w:ascii="FangSong" w:hAnsi="FangSong" w:eastAsia="FangSong" w:cs="FangSong"/>
          <w:sz w:val="30"/>
          <w:szCs w:val="30"/>
          <w:spacing w:val="22"/>
        </w:rPr>
        <w:t>(五)对使用后的医疗废物运送工具或者运送车辆未在指定地点及</w:t>
      </w:r>
      <w:r>
        <w:rPr>
          <w:rFonts w:ascii="FangSong" w:hAnsi="FangSong" w:eastAsia="FangSong" w:cs="FangSong"/>
          <w:sz w:val="30"/>
          <w:szCs w:val="30"/>
          <w:spacing w:val="21"/>
        </w:rPr>
        <w:t>时进行消毒和清洁的；</w:t>
      </w:r>
    </w:p>
    <w:p>
      <w:pPr>
        <w:spacing w:line="219" w:lineRule="auto"/>
        <w:sectPr>
          <w:footerReference w:type="default" r:id="rId148"/>
          <w:pgSz w:w="16830" w:h="11900"/>
          <w:pgMar w:top="1011" w:right="1441" w:bottom="1123" w:left="1425" w:header="0" w:footer="808" w:gutter="0"/>
        </w:sectPr>
        <w:rPr>
          <w:rFonts w:ascii="FangSong" w:hAnsi="FangSong" w:eastAsia="FangSong" w:cs="FangSong"/>
          <w:sz w:val="30"/>
          <w:szCs w:val="30"/>
        </w:rPr>
      </w:pPr>
    </w:p>
    <w:p>
      <w:pPr>
        <w:pStyle w:val="BodyText"/>
        <w:spacing w:line="250" w:lineRule="auto"/>
        <w:rPr/>
      </w:pPr>
      <w:r/>
    </w:p>
    <w:p>
      <w:pPr>
        <w:pStyle w:val="BodyText"/>
        <w:spacing w:line="250" w:lineRule="auto"/>
        <w:rPr/>
      </w:pPr>
      <w:r/>
    </w:p>
    <w:p>
      <w:pPr>
        <w:pStyle w:val="BodyText"/>
        <w:spacing w:line="251" w:lineRule="auto"/>
        <w:rPr/>
      </w:pPr>
      <w:r/>
    </w:p>
    <w:p>
      <w:pPr>
        <w:ind w:left="6349"/>
        <w:spacing w:before="98" w:line="221" w:lineRule="auto"/>
        <w:rPr>
          <w:rFonts w:ascii="SimHei" w:hAnsi="SimHei" w:eastAsia="SimHei" w:cs="SimHei"/>
          <w:sz w:val="30"/>
          <w:szCs w:val="30"/>
        </w:rPr>
      </w:pPr>
      <w:bookmarkStart w:name="bookmark809" w:id="116"/>
      <w:bookmarkEnd w:id="116"/>
      <w:r>
        <w:rPr>
          <w:rFonts w:ascii="SimHei" w:hAnsi="SimHei" w:eastAsia="SimHei" w:cs="SimHei"/>
          <w:sz w:val="30"/>
          <w:szCs w:val="30"/>
          <w:b/>
          <w:bCs/>
          <w:spacing w:val="-17"/>
        </w:rPr>
        <w:t>裁量标准</w:t>
      </w:r>
    </w:p>
    <w:p>
      <w:pPr>
        <w:spacing w:line="190" w:lineRule="exact"/>
        <w:rPr/>
      </w:pPr>
      <w:r/>
    </w:p>
    <w:tbl>
      <w:tblPr>
        <w:tblStyle w:val="TableNormal"/>
        <w:tblW w:w="138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74"/>
        <w:gridCol w:w="7394"/>
        <w:gridCol w:w="4851"/>
      </w:tblGrid>
      <w:tr>
        <w:trPr>
          <w:trHeight w:val="852" w:hRule="atLeast"/>
        </w:trPr>
        <w:tc>
          <w:tcPr>
            <w:tcW w:w="1574" w:type="dxa"/>
            <w:vAlign w:val="top"/>
          </w:tcPr>
          <w:p>
            <w:pPr>
              <w:pStyle w:val="TableText"/>
              <w:ind w:left="278"/>
              <w:spacing w:before="182" w:line="220" w:lineRule="auto"/>
              <w:rPr>
                <w:sz w:val="25"/>
                <w:szCs w:val="25"/>
              </w:rPr>
            </w:pPr>
            <w:r>
              <w:rPr>
                <w:sz w:val="25"/>
                <w:szCs w:val="25"/>
                <w:b/>
                <w:bCs/>
                <w:spacing w:val="-5"/>
              </w:rPr>
              <w:t>违法程度</w:t>
            </w:r>
          </w:p>
        </w:tc>
        <w:tc>
          <w:tcPr>
            <w:tcW w:w="7394" w:type="dxa"/>
            <w:vAlign w:val="top"/>
          </w:tcPr>
          <w:p>
            <w:pPr>
              <w:pStyle w:val="TableText"/>
              <w:ind w:left="3194"/>
              <w:spacing w:before="302" w:line="220" w:lineRule="auto"/>
              <w:rPr>
                <w:sz w:val="25"/>
                <w:szCs w:val="25"/>
              </w:rPr>
            </w:pPr>
            <w:r>
              <w:rPr>
                <w:sz w:val="25"/>
                <w:szCs w:val="25"/>
                <w:b/>
                <w:bCs/>
                <w:spacing w:val="-5"/>
              </w:rPr>
              <w:t>情节后果</w:t>
            </w:r>
          </w:p>
        </w:tc>
        <w:tc>
          <w:tcPr>
            <w:tcW w:w="4851" w:type="dxa"/>
            <w:vAlign w:val="top"/>
          </w:tcPr>
          <w:p>
            <w:pPr>
              <w:pStyle w:val="TableText"/>
              <w:ind w:left="1870"/>
              <w:spacing w:before="189" w:line="218" w:lineRule="auto"/>
              <w:rPr>
                <w:sz w:val="25"/>
                <w:szCs w:val="25"/>
              </w:rPr>
            </w:pPr>
            <w:r>
              <w:rPr>
                <w:sz w:val="25"/>
                <w:szCs w:val="25"/>
                <w:b/>
                <w:bCs/>
                <w:spacing w:val="-5"/>
              </w:rPr>
              <w:t>裁量幅度</w:t>
            </w:r>
          </w:p>
        </w:tc>
      </w:tr>
      <w:tr>
        <w:trPr>
          <w:trHeight w:val="768" w:hRule="atLeast"/>
        </w:trPr>
        <w:tc>
          <w:tcPr>
            <w:tcW w:w="1574" w:type="dxa"/>
            <w:vAlign w:val="top"/>
          </w:tcPr>
          <w:p>
            <w:pPr>
              <w:pStyle w:val="TableText"/>
              <w:ind w:left="528"/>
              <w:spacing w:before="149" w:line="219" w:lineRule="auto"/>
              <w:rPr>
                <w:sz w:val="25"/>
                <w:szCs w:val="25"/>
              </w:rPr>
            </w:pPr>
            <w:r>
              <w:rPr>
                <w:sz w:val="25"/>
                <w:szCs w:val="25"/>
                <w:b/>
                <w:bCs/>
                <w:spacing w:val="-6"/>
              </w:rPr>
              <w:t>较轻</w:t>
            </w:r>
          </w:p>
        </w:tc>
        <w:tc>
          <w:tcPr>
            <w:tcW w:w="7394" w:type="dxa"/>
            <w:vAlign w:val="top"/>
          </w:tcPr>
          <w:p>
            <w:pPr>
              <w:pStyle w:val="TableText"/>
              <w:ind w:left="130"/>
              <w:spacing w:before="143" w:line="219" w:lineRule="auto"/>
              <w:rPr>
                <w:sz w:val="25"/>
                <w:szCs w:val="25"/>
              </w:rPr>
            </w:pPr>
            <w:r>
              <w:rPr>
                <w:sz w:val="25"/>
                <w:szCs w:val="25"/>
                <w:spacing w:val="-1"/>
              </w:rPr>
              <w:t>首次发现违法行为。</w:t>
            </w:r>
          </w:p>
        </w:tc>
        <w:tc>
          <w:tcPr>
            <w:tcW w:w="4851" w:type="dxa"/>
            <w:vAlign w:val="top"/>
          </w:tcPr>
          <w:p>
            <w:pPr>
              <w:pStyle w:val="TableText"/>
              <w:ind w:left="106"/>
              <w:spacing w:before="151" w:line="218" w:lineRule="auto"/>
              <w:rPr>
                <w:sz w:val="25"/>
                <w:szCs w:val="25"/>
              </w:rPr>
            </w:pPr>
            <w:r>
              <w:rPr>
                <w:sz w:val="25"/>
                <w:szCs w:val="25"/>
                <w:spacing w:val="-1"/>
              </w:rPr>
              <w:t>给予警告。</w:t>
            </w:r>
          </w:p>
        </w:tc>
      </w:tr>
      <w:tr>
        <w:trPr>
          <w:trHeight w:val="1890" w:hRule="atLeast"/>
        </w:trPr>
        <w:tc>
          <w:tcPr>
            <w:tcW w:w="1574" w:type="dxa"/>
            <w:vAlign w:val="top"/>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528"/>
              <w:spacing w:before="81" w:line="221" w:lineRule="auto"/>
              <w:rPr>
                <w:sz w:val="25"/>
                <w:szCs w:val="25"/>
              </w:rPr>
            </w:pPr>
            <w:r>
              <w:rPr>
                <w:sz w:val="25"/>
                <w:szCs w:val="25"/>
                <w:b/>
                <w:bCs/>
                <w:spacing w:val="-10"/>
              </w:rPr>
              <w:t>一般</w:t>
            </w:r>
          </w:p>
        </w:tc>
        <w:tc>
          <w:tcPr>
            <w:tcW w:w="7394" w:type="dxa"/>
            <w:vAlign w:val="top"/>
          </w:tcPr>
          <w:p>
            <w:pPr>
              <w:pStyle w:val="TableText"/>
              <w:ind w:left="129" w:right="112" w:hanging="9"/>
              <w:spacing w:before="292" w:line="335" w:lineRule="auto"/>
              <w:jc w:val="both"/>
              <w:rPr>
                <w:sz w:val="25"/>
                <w:szCs w:val="25"/>
              </w:rPr>
            </w:pPr>
            <w:r>
              <w:rPr>
                <w:sz w:val="25"/>
                <w:szCs w:val="25"/>
                <w:spacing w:val="1"/>
              </w:rPr>
              <w:t>责令限期改正后，逾期不改正。(1)在指定地点之外</w:t>
            </w:r>
            <w:r>
              <w:rPr>
                <w:sz w:val="25"/>
                <w:szCs w:val="25"/>
              </w:rPr>
              <w:t>的地点消毒和 </w:t>
            </w:r>
            <w:r>
              <w:rPr>
                <w:sz w:val="25"/>
                <w:szCs w:val="25"/>
                <w:spacing w:val="2"/>
              </w:rPr>
              <w:t>清洁；(2)未及时消毒和清洁；(3)该行为曾被行政处罚或造成危</w:t>
            </w:r>
            <w:r>
              <w:rPr>
                <w:sz w:val="25"/>
                <w:szCs w:val="25"/>
                <w:spacing w:val="9"/>
              </w:rPr>
              <w:t xml:space="preserve"> </w:t>
            </w:r>
            <w:r>
              <w:rPr>
                <w:sz w:val="25"/>
                <w:szCs w:val="25"/>
                <w:spacing w:val="-1"/>
              </w:rPr>
              <w:t>害后果。</w:t>
            </w:r>
          </w:p>
        </w:tc>
        <w:tc>
          <w:tcPr>
            <w:tcW w:w="4851" w:type="dxa"/>
            <w:vAlign w:val="top"/>
          </w:tcPr>
          <w:p>
            <w:pPr>
              <w:pStyle w:val="TableText"/>
              <w:ind w:left="126" w:right="81" w:firstLine="119"/>
              <w:spacing w:before="295" w:line="323" w:lineRule="auto"/>
              <w:rPr>
                <w:sz w:val="25"/>
                <w:szCs w:val="25"/>
              </w:rPr>
            </w:pPr>
            <w:r>
              <w:rPr>
                <w:sz w:val="25"/>
                <w:szCs w:val="25"/>
                <w:spacing w:val="2"/>
              </w:rPr>
              <w:t>(1)处2000元以上2900元以下罚款。(2)  </w:t>
            </w:r>
            <w:r>
              <w:rPr>
                <w:sz w:val="25"/>
                <w:szCs w:val="25"/>
              </w:rPr>
              <w:t>处2900元以上4100元以下罚款。(3)处4100</w:t>
            </w:r>
            <w:r>
              <w:rPr>
                <w:sz w:val="25"/>
                <w:szCs w:val="25"/>
                <w:spacing w:val="6"/>
              </w:rPr>
              <w:t xml:space="preserve"> </w:t>
            </w:r>
            <w:r>
              <w:rPr>
                <w:sz w:val="25"/>
                <w:szCs w:val="25"/>
                <w:spacing w:val="-1"/>
              </w:rPr>
              <w:t>元以上5000元以下罚款。</w:t>
            </w:r>
          </w:p>
        </w:tc>
      </w:tr>
    </w:tbl>
    <w:p>
      <w:pPr>
        <w:ind w:left="29" w:right="297" w:firstLine="659"/>
        <w:spacing w:before="98" w:line="285" w:lineRule="auto"/>
        <w:rPr>
          <w:rFonts w:ascii="FangSong" w:hAnsi="FangSong" w:eastAsia="FangSong" w:cs="FangSong"/>
          <w:sz w:val="30"/>
          <w:szCs w:val="30"/>
        </w:rPr>
      </w:pPr>
      <w:r>
        <w:rPr>
          <w:rFonts w:ascii="FangSong" w:hAnsi="FangSong" w:eastAsia="FangSong" w:cs="FangSong"/>
          <w:sz w:val="30"/>
          <w:szCs w:val="30"/>
          <w:b/>
          <w:bCs/>
          <w:spacing w:val="21"/>
        </w:rPr>
        <w:t>第七十二条自行建有医疗废物处置设施的医疗卫生机构未定期对医疗废物处置设施的卫生学</w:t>
      </w:r>
      <w:r>
        <w:rPr>
          <w:rFonts w:ascii="FangSong" w:hAnsi="FangSong" w:eastAsia="FangSong" w:cs="FangSong"/>
          <w:sz w:val="30"/>
          <w:szCs w:val="30"/>
          <w:spacing w:val="11"/>
        </w:rPr>
        <w:t xml:space="preserve"> </w:t>
      </w:r>
      <w:r>
        <w:rPr>
          <w:rFonts w:ascii="FangSong" w:hAnsi="FangSong" w:eastAsia="FangSong" w:cs="FangSong"/>
          <w:sz w:val="30"/>
          <w:szCs w:val="30"/>
          <w:b/>
          <w:bCs/>
          <w:spacing w:val="17"/>
        </w:rPr>
        <w:t>效果进行检测、评价，或者未将检测、评价效果存</w:t>
      </w:r>
      <w:r>
        <w:rPr>
          <w:rFonts w:ascii="FangSong" w:hAnsi="FangSong" w:eastAsia="FangSong" w:cs="FangSong"/>
          <w:sz w:val="30"/>
          <w:szCs w:val="30"/>
          <w:b/>
          <w:bCs/>
          <w:spacing w:val="16"/>
        </w:rPr>
        <w:t>档、报告的</w:t>
      </w:r>
    </w:p>
    <w:p>
      <w:pPr>
        <w:ind w:left="675"/>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right="1" w:firstLine="629"/>
        <w:spacing w:before="68" w:line="264" w:lineRule="auto"/>
        <w:jc w:val="both"/>
        <w:rPr>
          <w:rFonts w:ascii="FangSong" w:hAnsi="FangSong" w:eastAsia="FangSong" w:cs="FangSong"/>
          <w:sz w:val="30"/>
          <w:szCs w:val="30"/>
        </w:rPr>
      </w:pPr>
      <w:r>
        <w:rPr>
          <w:rFonts w:ascii="FangSong" w:hAnsi="FangSong" w:eastAsia="FangSong" w:cs="FangSong"/>
          <w:sz w:val="30"/>
          <w:szCs w:val="30"/>
          <w:spacing w:val="27"/>
        </w:rPr>
        <w:t>《医疗废物管理条例》第四十五条第(七)项</w:t>
      </w:r>
      <w:r>
        <w:rPr>
          <w:rFonts w:ascii="FangSong" w:hAnsi="FangSong" w:eastAsia="FangSong" w:cs="FangSong"/>
          <w:sz w:val="30"/>
          <w:szCs w:val="30"/>
          <w:spacing w:val="27"/>
        </w:rPr>
        <w:t xml:space="preserve">   </w:t>
      </w:r>
      <w:r>
        <w:rPr>
          <w:rFonts w:ascii="FangSong" w:hAnsi="FangSong" w:eastAsia="FangSong" w:cs="FangSong"/>
          <w:sz w:val="30"/>
          <w:szCs w:val="30"/>
          <w:spacing w:val="27"/>
        </w:rPr>
        <w:t>医疗卫生机构、医疗废物集中处置单</w:t>
      </w:r>
      <w:r>
        <w:rPr>
          <w:rFonts w:ascii="FangSong" w:hAnsi="FangSong" w:eastAsia="FangSong" w:cs="FangSong"/>
          <w:sz w:val="30"/>
          <w:szCs w:val="30"/>
          <w:spacing w:val="26"/>
        </w:rPr>
        <w:t>位违反本</w:t>
      </w:r>
      <w:r>
        <w:rPr>
          <w:rFonts w:ascii="FangSong" w:hAnsi="FangSong" w:eastAsia="FangSong" w:cs="FangSong"/>
          <w:sz w:val="30"/>
          <w:szCs w:val="30"/>
        </w:rPr>
        <w:t xml:space="preserve"> </w:t>
      </w:r>
      <w:r>
        <w:rPr>
          <w:rFonts w:ascii="FangSong" w:hAnsi="FangSong" w:eastAsia="FangSong" w:cs="FangSong"/>
          <w:sz w:val="30"/>
          <w:szCs w:val="30"/>
          <w:spacing w:val="16"/>
        </w:rPr>
        <w:t>条例规定，有下列情形之一的，由县级以上地方人民政府卫生行政主管部门或者环境保护行政主管部</w:t>
      </w:r>
      <w:r>
        <w:rPr>
          <w:rFonts w:ascii="FangSong" w:hAnsi="FangSong" w:eastAsia="FangSong" w:cs="FangSong"/>
          <w:sz w:val="30"/>
          <w:szCs w:val="30"/>
          <w:spacing w:val="1"/>
        </w:rPr>
        <w:t xml:space="preserve"> </w:t>
      </w:r>
      <w:r>
        <w:rPr>
          <w:rFonts w:ascii="FangSong" w:hAnsi="FangSong" w:eastAsia="FangSong" w:cs="FangSong"/>
          <w:sz w:val="30"/>
          <w:szCs w:val="30"/>
          <w:spacing w:val="23"/>
        </w:rPr>
        <w:t>门按照各自的职责责令限期改正，给予警告；逾期不改正的，处2000元以上5000元以下的罚款：</w:t>
      </w:r>
    </w:p>
    <w:p>
      <w:pPr>
        <w:ind w:left="25" w:firstLine="159"/>
        <w:spacing w:before="1" w:line="263" w:lineRule="auto"/>
        <w:rPr>
          <w:rFonts w:ascii="FangSong" w:hAnsi="FangSong" w:eastAsia="FangSong" w:cs="FangSong"/>
          <w:sz w:val="30"/>
          <w:szCs w:val="30"/>
        </w:rPr>
      </w:pPr>
      <w:r>
        <w:rPr>
          <w:rFonts w:ascii="FangSong" w:hAnsi="FangSong" w:eastAsia="FangSong" w:cs="FangSong"/>
          <w:sz w:val="30"/>
          <w:szCs w:val="30"/>
          <w:spacing w:val="20"/>
        </w:rPr>
        <w:t>(七)未定期对医疗废物处置设施的环境污染防治和卫生学效果进行检测、评价，或者未将检测、评</w:t>
      </w:r>
      <w:r>
        <w:rPr>
          <w:rFonts w:ascii="FangSong" w:hAnsi="FangSong" w:eastAsia="FangSong" w:cs="FangSong"/>
          <w:sz w:val="30"/>
          <w:szCs w:val="30"/>
        </w:rPr>
        <w:t xml:space="preserve"> </w:t>
      </w:r>
      <w:r>
        <w:rPr>
          <w:rFonts w:ascii="FangSong" w:hAnsi="FangSong" w:eastAsia="FangSong" w:cs="FangSong"/>
          <w:sz w:val="30"/>
          <w:szCs w:val="30"/>
          <w:spacing w:val="12"/>
        </w:rPr>
        <w:t>价效果存档、报告的。</w:t>
      </w:r>
    </w:p>
    <w:p>
      <w:pPr>
        <w:spacing w:line="263" w:lineRule="auto"/>
        <w:sectPr>
          <w:footerReference w:type="default" r:id="rId149"/>
          <w:pgSz w:w="16830" w:h="11900"/>
          <w:pgMar w:top="1011" w:right="1439" w:bottom="1089" w:left="1425" w:header="0" w:footer="819" w:gutter="0"/>
        </w:sectPr>
        <w:rPr>
          <w:rFonts w:ascii="FangSong" w:hAnsi="FangSong" w:eastAsia="FangSong" w:cs="FangSong"/>
          <w:sz w:val="30"/>
          <w:szCs w:val="30"/>
        </w:rPr>
      </w:pPr>
    </w:p>
    <w:p>
      <w:pPr>
        <w:pStyle w:val="BodyText"/>
        <w:spacing w:line="260" w:lineRule="auto"/>
        <w:rPr/>
      </w:pPr>
      <w:r/>
    </w:p>
    <w:p>
      <w:pPr>
        <w:pStyle w:val="BodyText"/>
        <w:spacing w:line="260" w:lineRule="auto"/>
        <w:rPr/>
      </w:pPr>
      <w:r/>
    </w:p>
    <w:p>
      <w:pPr>
        <w:pStyle w:val="BodyText"/>
        <w:spacing w:line="261" w:lineRule="auto"/>
        <w:rPr/>
      </w:pPr>
      <w:r/>
    </w:p>
    <w:p>
      <w:pPr>
        <w:ind w:left="6349"/>
        <w:spacing w:before="98" w:line="221" w:lineRule="auto"/>
        <w:rPr>
          <w:rFonts w:ascii="SimHei" w:hAnsi="SimHei" w:eastAsia="SimHei" w:cs="SimHei"/>
          <w:sz w:val="30"/>
          <w:szCs w:val="30"/>
        </w:rPr>
      </w:pPr>
      <w:bookmarkStart w:name="bookmark810" w:id="117"/>
      <w:bookmarkEnd w:id="117"/>
      <w:r>
        <w:rPr>
          <w:rFonts w:ascii="SimHei" w:hAnsi="SimHei" w:eastAsia="SimHei" w:cs="SimHei"/>
          <w:sz w:val="30"/>
          <w:szCs w:val="30"/>
          <w:b/>
          <w:bCs/>
          <w:spacing w:val="-17"/>
        </w:rPr>
        <w:t>裁量标准</w:t>
      </w:r>
    </w:p>
    <w:p>
      <w:pPr>
        <w:spacing w:line="160" w:lineRule="exact"/>
        <w:rPr/>
      </w:pPr>
      <w:r/>
    </w:p>
    <w:tbl>
      <w:tblPr>
        <w:tblStyle w:val="TableNormal"/>
        <w:tblW w:w="138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94"/>
        <w:gridCol w:w="7944"/>
        <w:gridCol w:w="4381"/>
      </w:tblGrid>
      <w:tr>
        <w:trPr>
          <w:trHeight w:val="853" w:hRule="atLeast"/>
        </w:trPr>
        <w:tc>
          <w:tcPr>
            <w:tcW w:w="1494" w:type="dxa"/>
            <w:vAlign w:val="top"/>
          </w:tcPr>
          <w:p>
            <w:pPr>
              <w:pStyle w:val="TableText"/>
              <w:ind w:left="258"/>
              <w:spacing w:before="312" w:line="220" w:lineRule="auto"/>
              <w:rPr/>
            </w:pPr>
            <w:r>
              <w:rPr>
                <w:b/>
                <w:bCs/>
                <w:spacing w:val="-5"/>
              </w:rPr>
              <w:t>违法程度</w:t>
            </w:r>
          </w:p>
        </w:tc>
        <w:tc>
          <w:tcPr>
            <w:tcW w:w="7944" w:type="dxa"/>
            <w:vAlign w:val="top"/>
          </w:tcPr>
          <w:p>
            <w:pPr>
              <w:pStyle w:val="TableText"/>
              <w:ind w:left="3484"/>
              <w:spacing w:before="312" w:line="220" w:lineRule="auto"/>
              <w:rPr/>
            </w:pPr>
            <w:r>
              <w:rPr>
                <w:b/>
                <w:bCs/>
                <w:spacing w:val="-5"/>
              </w:rPr>
              <w:t>情节后果</w:t>
            </w:r>
          </w:p>
        </w:tc>
        <w:tc>
          <w:tcPr>
            <w:tcW w:w="4381" w:type="dxa"/>
            <w:vAlign w:val="top"/>
          </w:tcPr>
          <w:p>
            <w:pPr>
              <w:pStyle w:val="TableText"/>
              <w:ind w:left="1710"/>
              <w:spacing w:before="309" w:line="218" w:lineRule="auto"/>
              <w:rPr/>
            </w:pPr>
            <w:r>
              <w:rPr>
                <w:b/>
                <w:bCs/>
                <w:spacing w:val="-5"/>
              </w:rPr>
              <w:t>裁量幅度</w:t>
            </w:r>
          </w:p>
        </w:tc>
      </w:tr>
      <w:tr>
        <w:trPr>
          <w:trHeight w:val="798" w:hRule="atLeast"/>
        </w:trPr>
        <w:tc>
          <w:tcPr>
            <w:tcW w:w="1494" w:type="dxa"/>
            <w:vAlign w:val="top"/>
          </w:tcPr>
          <w:p>
            <w:pPr>
              <w:pStyle w:val="TableText"/>
              <w:ind w:left="498"/>
              <w:spacing w:before="158" w:line="219" w:lineRule="auto"/>
              <w:rPr/>
            </w:pPr>
            <w:r>
              <w:rPr>
                <w:b/>
                <w:bCs/>
                <w:spacing w:val="-5"/>
              </w:rPr>
              <w:t>较轻</w:t>
            </w:r>
          </w:p>
        </w:tc>
        <w:tc>
          <w:tcPr>
            <w:tcW w:w="7944" w:type="dxa"/>
            <w:vAlign w:val="top"/>
          </w:tcPr>
          <w:p>
            <w:pPr>
              <w:pStyle w:val="TableText"/>
              <w:ind w:left="120"/>
              <w:spacing w:before="181" w:line="219" w:lineRule="auto"/>
              <w:rPr/>
            </w:pPr>
            <w:r>
              <w:rPr/>
              <w:t>首次发现违法行为。</w:t>
            </w:r>
          </w:p>
        </w:tc>
        <w:tc>
          <w:tcPr>
            <w:tcW w:w="4381" w:type="dxa"/>
            <w:vAlign w:val="top"/>
          </w:tcPr>
          <w:p>
            <w:pPr>
              <w:pStyle w:val="TableText"/>
              <w:ind w:left="116"/>
              <w:spacing w:before="189" w:line="218" w:lineRule="auto"/>
              <w:rPr/>
            </w:pPr>
            <w:r>
              <w:rPr/>
              <w:t>给予警告。</w:t>
            </w:r>
          </w:p>
        </w:tc>
      </w:tr>
      <w:tr>
        <w:trPr>
          <w:trHeight w:val="2409" w:hRule="atLeast"/>
        </w:trPr>
        <w:tc>
          <w:tcPr>
            <w:tcW w:w="1494" w:type="dxa"/>
            <w:vAlign w:val="top"/>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498"/>
              <w:spacing w:before="78" w:line="221" w:lineRule="auto"/>
              <w:rPr/>
            </w:pPr>
            <w:r>
              <w:rPr>
                <w:b/>
                <w:bCs/>
                <w:spacing w:val="-10"/>
              </w:rPr>
              <w:t>一般</w:t>
            </w:r>
          </w:p>
        </w:tc>
        <w:tc>
          <w:tcPr>
            <w:tcW w:w="7944" w:type="dxa"/>
            <w:vAlign w:val="top"/>
          </w:tcPr>
          <w:p>
            <w:pPr>
              <w:pStyle w:val="TableText"/>
              <w:ind w:left="60" w:right="20" w:firstLine="119"/>
              <w:spacing w:before="123" w:line="335" w:lineRule="auto"/>
              <w:rPr/>
            </w:pPr>
            <w:r>
              <w:rPr/>
              <w:t>责令限期改正后，逾期不改正。(1)已对医疗废物处置设施的环境污染防</w:t>
            </w:r>
            <w:r>
              <w:rPr>
                <w:spacing w:val="5"/>
              </w:rPr>
              <w:t xml:space="preserve">  </w:t>
            </w:r>
            <w:r>
              <w:rPr>
                <w:spacing w:val="1"/>
              </w:rPr>
              <w:t>治和卫生学效果进行检测、评价，但未将检测、评价效果存档、报告；(2)</w:t>
            </w:r>
            <w:r>
              <w:rPr>
                <w:spacing w:val="17"/>
              </w:rPr>
              <w:t xml:space="preserve"> </w:t>
            </w:r>
            <w:r>
              <w:rPr>
                <w:spacing w:val="1"/>
              </w:rPr>
              <w:t>未对医疗废物处置设施的环境污染防治和卫生学效果进行检测、评价；(3)</w:t>
            </w:r>
          </w:p>
          <w:p>
            <w:pPr>
              <w:pStyle w:val="TableText"/>
              <w:ind w:left="119" w:hanging="59"/>
              <w:spacing w:before="10" w:line="328" w:lineRule="auto"/>
              <w:rPr/>
            </w:pPr>
            <w:r>
              <w:rPr>
                <w:spacing w:val="-2"/>
              </w:rPr>
              <w:t>未定期对医疗废物处置设施的环境污染防治和卫生学效果进行检测、评价，</w:t>
            </w:r>
            <w:r>
              <w:rPr>
                <w:spacing w:val="18"/>
              </w:rPr>
              <w:t xml:space="preserve"> </w:t>
            </w:r>
            <w:r>
              <w:rPr>
                <w:spacing w:val="-2"/>
              </w:rPr>
              <w:t>发生危害后果。</w:t>
            </w:r>
          </w:p>
        </w:tc>
        <w:tc>
          <w:tcPr>
            <w:tcW w:w="4381" w:type="dxa"/>
            <w:vAlign w:val="top"/>
          </w:tcPr>
          <w:p>
            <w:pPr>
              <w:spacing w:line="473" w:lineRule="auto"/>
              <w:rPr>
                <w:rFonts w:ascii="Arial"/>
                <w:sz w:val="21"/>
              </w:rPr>
            </w:pPr>
            <w:r/>
          </w:p>
          <w:p>
            <w:pPr>
              <w:pStyle w:val="TableText"/>
              <w:ind w:left="386"/>
              <w:spacing w:before="78" w:line="220" w:lineRule="auto"/>
              <w:rPr/>
            </w:pPr>
            <w:r>
              <w:rPr/>
              <w:t>(1)处2000元以上2900元以下罚款。</w:t>
            </w:r>
          </w:p>
          <w:p>
            <w:pPr>
              <w:pStyle w:val="TableText"/>
              <w:ind w:left="386"/>
              <w:spacing w:before="154" w:line="220" w:lineRule="auto"/>
              <w:rPr/>
            </w:pPr>
            <w:r>
              <w:rPr/>
              <w:t>(2)处2900元以上4100元以下罚款。</w:t>
            </w:r>
          </w:p>
          <w:p>
            <w:pPr>
              <w:pStyle w:val="TableText"/>
              <w:ind w:left="386"/>
              <w:spacing w:before="163" w:line="220" w:lineRule="auto"/>
              <w:rPr/>
            </w:pPr>
            <w:r>
              <w:rPr/>
              <w:t>(3)处4100元以上5000元以下罚款。</w:t>
            </w:r>
          </w:p>
        </w:tc>
      </w:tr>
    </w:tbl>
    <w:p>
      <w:pPr>
        <w:pStyle w:val="BodyText"/>
        <w:spacing w:line="456" w:lineRule="auto"/>
        <w:rPr/>
      </w:pPr>
      <w:r/>
    </w:p>
    <w:p>
      <w:pPr>
        <w:ind w:left="689"/>
        <w:spacing w:before="97" w:line="219" w:lineRule="auto"/>
        <w:rPr>
          <w:rFonts w:ascii="FangSong" w:hAnsi="FangSong" w:eastAsia="FangSong" w:cs="FangSong"/>
          <w:sz w:val="30"/>
          <w:szCs w:val="30"/>
        </w:rPr>
      </w:pPr>
      <w:r>
        <w:rPr>
          <w:rFonts w:ascii="FangSong" w:hAnsi="FangSong" w:eastAsia="FangSong" w:cs="FangSong"/>
          <w:sz w:val="30"/>
          <w:szCs w:val="30"/>
          <w:b/>
          <w:bCs/>
          <w:spacing w:val="21"/>
        </w:rPr>
        <w:t>第七十三条医疗卫生机构医疗废物暂时贮存地点、设施或者设备不符合卫生要求的</w:t>
      </w:r>
    </w:p>
    <w:p>
      <w:pPr>
        <w:ind w:left="675"/>
        <w:spacing w:before="112"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34" w:firstLine="619"/>
        <w:spacing w:before="63" w:line="266" w:lineRule="auto"/>
        <w:jc w:val="both"/>
        <w:rPr>
          <w:rFonts w:ascii="FangSong" w:hAnsi="FangSong" w:eastAsia="FangSong" w:cs="FangSong"/>
          <w:sz w:val="30"/>
          <w:szCs w:val="30"/>
        </w:rPr>
      </w:pPr>
      <w:r>
        <w:rPr>
          <w:rFonts w:ascii="FangSong" w:hAnsi="FangSong" w:eastAsia="FangSong" w:cs="FangSong"/>
          <w:sz w:val="30"/>
          <w:szCs w:val="30"/>
          <w:spacing w:val="27"/>
        </w:rPr>
        <w:t>《医疗废物管理条例》第四十六条第(一)项</w:t>
      </w:r>
      <w:r>
        <w:rPr>
          <w:rFonts w:ascii="FangSong" w:hAnsi="FangSong" w:eastAsia="FangSong" w:cs="FangSong"/>
          <w:sz w:val="30"/>
          <w:szCs w:val="30"/>
          <w:spacing w:val="27"/>
        </w:rPr>
        <w:t xml:space="preserve">   </w:t>
      </w:r>
      <w:r>
        <w:rPr>
          <w:rFonts w:ascii="FangSong" w:hAnsi="FangSong" w:eastAsia="FangSong" w:cs="FangSong"/>
          <w:sz w:val="30"/>
          <w:szCs w:val="30"/>
          <w:spacing w:val="27"/>
        </w:rPr>
        <w:t>医疗卫生机构、医疗废物集中处置单</w:t>
      </w:r>
      <w:r>
        <w:rPr>
          <w:rFonts w:ascii="FangSong" w:hAnsi="FangSong" w:eastAsia="FangSong" w:cs="FangSong"/>
          <w:sz w:val="30"/>
          <w:szCs w:val="30"/>
          <w:spacing w:val="26"/>
        </w:rPr>
        <w:t>位违反本</w:t>
      </w:r>
      <w:r>
        <w:rPr>
          <w:rFonts w:ascii="FangSong" w:hAnsi="FangSong" w:eastAsia="FangSong" w:cs="FangSong"/>
          <w:sz w:val="30"/>
          <w:szCs w:val="30"/>
        </w:rPr>
        <w:t xml:space="preserve"> </w:t>
      </w:r>
      <w:r>
        <w:rPr>
          <w:rFonts w:ascii="FangSong" w:hAnsi="FangSong" w:eastAsia="FangSong" w:cs="FangSong"/>
          <w:sz w:val="30"/>
          <w:szCs w:val="30"/>
          <w:spacing w:val="16"/>
        </w:rPr>
        <w:t>条例规定，有下列情形之一的，由县级以上地方人民政府卫生行政主管部门或者环境保护行政主管部</w:t>
      </w:r>
      <w:r>
        <w:rPr>
          <w:rFonts w:ascii="FangSong" w:hAnsi="FangSong" w:eastAsia="FangSong" w:cs="FangSong"/>
          <w:sz w:val="30"/>
          <w:szCs w:val="30"/>
          <w:spacing w:val="12"/>
        </w:rPr>
        <w:t xml:space="preserve"> </w:t>
      </w:r>
      <w:r>
        <w:rPr>
          <w:rFonts w:ascii="FangSong" w:hAnsi="FangSong" w:eastAsia="FangSong" w:cs="FangSong"/>
          <w:sz w:val="30"/>
          <w:szCs w:val="30"/>
          <w:spacing w:val="22"/>
        </w:rPr>
        <w:t>门按照各自的职责责令限期改正，给予警告，可以并处5000元以下的罚款；逾期不改正的，处5000</w:t>
      </w:r>
      <w:r>
        <w:rPr>
          <w:rFonts w:ascii="FangSong" w:hAnsi="FangSong" w:eastAsia="FangSong" w:cs="FangSong"/>
          <w:sz w:val="30"/>
          <w:szCs w:val="30"/>
          <w:spacing w:val="11"/>
        </w:rPr>
        <w:t xml:space="preserve"> </w:t>
      </w:r>
      <w:r>
        <w:rPr>
          <w:rFonts w:ascii="FangSong" w:hAnsi="FangSong" w:eastAsia="FangSong" w:cs="FangSong"/>
          <w:sz w:val="30"/>
          <w:szCs w:val="30"/>
          <w:spacing w:val="24"/>
        </w:rPr>
        <w:t>元以上3万元以下的罚款：</w:t>
      </w:r>
    </w:p>
    <w:p>
      <w:pPr>
        <w:ind w:left="815"/>
        <w:spacing w:before="62" w:line="219" w:lineRule="auto"/>
        <w:rPr>
          <w:rFonts w:ascii="FangSong" w:hAnsi="FangSong" w:eastAsia="FangSong" w:cs="FangSong"/>
          <w:sz w:val="30"/>
          <w:szCs w:val="30"/>
        </w:rPr>
      </w:pPr>
      <w:r>
        <w:rPr>
          <w:rFonts w:ascii="FangSong" w:hAnsi="FangSong" w:eastAsia="FangSong" w:cs="FangSong"/>
          <w:sz w:val="30"/>
          <w:szCs w:val="30"/>
          <w:spacing w:val="23"/>
        </w:rPr>
        <w:t>(一)贮存设施或者设备不符合环境保护、卫生要求的；</w:t>
      </w:r>
    </w:p>
    <w:p>
      <w:pPr>
        <w:spacing w:line="219" w:lineRule="auto"/>
        <w:sectPr>
          <w:footerReference w:type="default" r:id="rId150"/>
          <w:pgSz w:w="16830" w:h="11900"/>
          <w:pgMar w:top="1011" w:right="1423" w:bottom="1114" w:left="1425" w:header="0" w:footer="772" w:gutter="0"/>
        </w:sectPr>
        <w:rPr>
          <w:rFonts w:ascii="FangSong" w:hAnsi="FangSong" w:eastAsia="FangSong" w:cs="FangSong"/>
          <w:sz w:val="30"/>
          <w:szCs w:val="30"/>
        </w:rPr>
      </w:pPr>
    </w:p>
    <w:p>
      <w:pPr>
        <w:pStyle w:val="BodyText"/>
        <w:spacing w:line="264" w:lineRule="auto"/>
        <w:rPr/>
      </w:pPr>
      <w:r/>
    </w:p>
    <w:p>
      <w:pPr>
        <w:pStyle w:val="BodyText"/>
        <w:spacing w:line="264" w:lineRule="auto"/>
        <w:rPr/>
      </w:pPr>
      <w:r/>
    </w:p>
    <w:p>
      <w:pPr>
        <w:pStyle w:val="BodyText"/>
        <w:spacing w:line="265" w:lineRule="auto"/>
        <w:rPr/>
      </w:pPr>
      <w:r/>
    </w:p>
    <w:p>
      <w:pPr>
        <w:ind w:left="35" w:right="98" w:firstLine="629"/>
        <w:spacing w:before="97" w:line="269" w:lineRule="auto"/>
        <w:rPr>
          <w:rFonts w:ascii="FangSong" w:hAnsi="FangSong" w:eastAsia="FangSong" w:cs="FangSong"/>
          <w:sz w:val="30"/>
          <w:szCs w:val="30"/>
        </w:rPr>
      </w:pPr>
      <w:r>
        <w:rPr>
          <w:rFonts w:ascii="FangSong" w:hAnsi="FangSong" w:eastAsia="FangSong" w:cs="FangSong"/>
          <w:sz w:val="30"/>
          <w:szCs w:val="30"/>
          <w:spacing w:val="16"/>
        </w:rPr>
        <w:t>《医疗废物管理条例》第十七条第一款、第二款、第三款</w:t>
      </w:r>
      <w:r>
        <w:rPr>
          <w:rFonts w:ascii="FangSong" w:hAnsi="FangSong" w:eastAsia="FangSong" w:cs="FangSong"/>
          <w:sz w:val="30"/>
          <w:szCs w:val="30"/>
          <w:spacing w:val="16"/>
        </w:rPr>
        <w:t xml:space="preserve">  </w:t>
      </w:r>
      <w:r>
        <w:rPr>
          <w:rFonts w:ascii="FangSong" w:hAnsi="FangSong" w:eastAsia="FangSong" w:cs="FangSong"/>
          <w:sz w:val="30"/>
          <w:szCs w:val="30"/>
          <w:spacing w:val="16"/>
        </w:rPr>
        <w:t>医疗卫生机构应当建立医疗废物的暂</w:t>
      </w:r>
      <w:r>
        <w:rPr>
          <w:rFonts w:ascii="FangSong" w:hAnsi="FangSong" w:eastAsia="FangSong" w:cs="FangSong"/>
          <w:sz w:val="30"/>
          <w:szCs w:val="30"/>
          <w:spacing w:val="13"/>
        </w:rPr>
        <w:t xml:space="preserve"> </w:t>
      </w:r>
      <w:r>
        <w:rPr>
          <w:rFonts w:ascii="FangSong" w:hAnsi="FangSong" w:eastAsia="FangSong" w:cs="FangSong"/>
          <w:sz w:val="30"/>
          <w:szCs w:val="30"/>
          <w:spacing w:val="23"/>
        </w:rPr>
        <w:t>时贮存设施、设备，不得露天存放医疗废物；医疗</w:t>
      </w:r>
      <w:r>
        <w:rPr>
          <w:rFonts w:ascii="FangSong" w:hAnsi="FangSong" w:eastAsia="FangSong" w:cs="FangSong"/>
          <w:sz w:val="30"/>
          <w:szCs w:val="30"/>
          <w:spacing w:val="22"/>
        </w:rPr>
        <w:t>废物暂时贮存的时间不得超过2天。</w:t>
      </w:r>
    </w:p>
    <w:p>
      <w:pPr>
        <w:ind w:left="35"/>
        <w:spacing w:before="2" w:line="271" w:lineRule="auto"/>
        <w:rPr>
          <w:rFonts w:ascii="FangSong" w:hAnsi="FangSong" w:eastAsia="FangSong" w:cs="FangSong"/>
          <w:sz w:val="30"/>
          <w:szCs w:val="30"/>
        </w:rPr>
      </w:pPr>
      <w:r>
        <w:rPr>
          <w:rFonts w:ascii="FangSong" w:hAnsi="FangSong" w:eastAsia="FangSong" w:cs="FangSong"/>
          <w:sz w:val="30"/>
          <w:szCs w:val="30"/>
          <w:spacing w:val="12"/>
        </w:rPr>
        <w:t>医疗废物的暂时贮存设施、设备，应当远离医疗区、食品加工区和人员活动区</w:t>
      </w:r>
      <w:r>
        <w:rPr>
          <w:rFonts w:ascii="FangSong" w:hAnsi="FangSong" w:eastAsia="FangSong" w:cs="FangSong"/>
          <w:sz w:val="30"/>
          <w:szCs w:val="30"/>
          <w:spacing w:val="11"/>
        </w:rPr>
        <w:t>以及生活垃圾存放场所，</w:t>
      </w:r>
      <w:r>
        <w:rPr>
          <w:rFonts w:ascii="FangSong" w:hAnsi="FangSong" w:eastAsia="FangSong" w:cs="FangSong"/>
          <w:sz w:val="30"/>
          <w:szCs w:val="30"/>
        </w:rPr>
        <w:t xml:space="preserve"> </w:t>
      </w:r>
      <w:r>
        <w:rPr>
          <w:rFonts w:ascii="FangSong" w:hAnsi="FangSong" w:eastAsia="FangSong" w:cs="FangSong"/>
          <w:sz w:val="30"/>
          <w:szCs w:val="30"/>
          <w:spacing w:val="19"/>
        </w:rPr>
        <w:t>并设置明显的警示标识和防渗漏、防鼠、防蚊蝇、</w:t>
      </w:r>
      <w:r>
        <w:rPr>
          <w:rFonts w:ascii="FangSong" w:hAnsi="FangSong" w:eastAsia="FangSong" w:cs="FangSong"/>
          <w:sz w:val="30"/>
          <w:szCs w:val="30"/>
          <w:spacing w:val="18"/>
        </w:rPr>
        <w:t>防嶂螂、防盗以及预防儿童接触等安全措施。</w:t>
      </w:r>
    </w:p>
    <w:p>
      <w:pPr>
        <w:ind w:left="685"/>
        <w:spacing w:line="219" w:lineRule="auto"/>
        <w:rPr>
          <w:rFonts w:ascii="FangSong" w:hAnsi="FangSong" w:eastAsia="FangSong" w:cs="FangSong"/>
          <w:sz w:val="30"/>
          <w:szCs w:val="30"/>
        </w:rPr>
      </w:pPr>
      <w:r>
        <w:rPr>
          <w:rFonts w:ascii="FangSong" w:hAnsi="FangSong" w:eastAsia="FangSong" w:cs="FangSong"/>
          <w:sz w:val="30"/>
          <w:szCs w:val="30"/>
          <w:spacing w:val="18"/>
        </w:rPr>
        <w:t>医疗废物的暂时贮存设施、设备应当定期消毒</w:t>
      </w:r>
      <w:r>
        <w:rPr>
          <w:rFonts w:ascii="FangSong" w:hAnsi="FangSong" w:eastAsia="FangSong" w:cs="FangSong"/>
          <w:sz w:val="30"/>
          <w:szCs w:val="30"/>
          <w:spacing w:val="17"/>
        </w:rPr>
        <w:t>和清洁。</w:t>
      </w:r>
    </w:p>
    <w:p>
      <w:pPr>
        <w:ind w:left="6429"/>
        <w:spacing w:before="84"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50" w:lineRule="exact"/>
        <w:rPr/>
      </w:pPr>
      <w:r/>
    </w:p>
    <w:tbl>
      <w:tblPr>
        <w:tblStyle w:val="TableNormal"/>
        <w:tblW w:w="139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04"/>
        <w:gridCol w:w="7744"/>
        <w:gridCol w:w="4702"/>
      </w:tblGrid>
      <w:tr>
        <w:trPr>
          <w:trHeight w:val="663" w:hRule="atLeast"/>
        </w:trPr>
        <w:tc>
          <w:tcPr>
            <w:tcW w:w="1504" w:type="dxa"/>
            <w:vAlign w:val="top"/>
          </w:tcPr>
          <w:p>
            <w:pPr>
              <w:pStyle w:val="TableText"/>
              <w:ind w:left="168"/>
              <w:spacing w:before="9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7744" w:type="dxa"/>
            <w:vAlign w:val="top"/>
          </w:tcPr>
          <w:p>
            <w:pPr>
              <w:pStyle w:val="TableText"/>
              <w:ind w:left="3314"/>
              <w:spacing w:before="102" w:line="220" w:lineRule="auto"/>
              <w:rPr/>
            </w:pPr>
            <w:r>
              <w:rPr>
                <w:b/>
                <w:bCs/>
                <w:spacing w:val="-5"/>
              </w:rPr>
              <w:t>情节后果</w:t>
            </w:r>
          </w:p>
        </w:tc>
        <w:tc>
          <w:tcPr>
            <w:tcW w:w="4702" w:type="dxa"/>
            <w:vAlign w:val="top"/>
          </w:tcPr>
          <w:p>
            <w:pPr>
              <w:pStyle w:val="TableText"/>
              <w:ind w:left="1790"/>
              <w:spacing w:before="9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778" w:hRule="atLeast"/>
        </w:trPr>
        <w:tc>
          <w:tcPr>
            <w:tcW w:w="1504" w:type="dxa"/>
            <w:vAlign w:val="top"/>
          </w:tcPr>
          <w:p>
            <w:pPr>
              <w:pStyle w:val="TableText"/>
              <w:ind w:left="508"/>
              <w:spacing w:before="148" w:line="219" w:lineRule="auto"/>
              <w:rPr/>
            </w:pPr>
            <w:r>
              <w:rPr>
                <w:b/>
                <w:bCs/>
                <w:spacing w:val="-5"/>
              </w:rPr>
              <w:t>较轻</w:t>
            </w:r>
          </w:p>
        </w:tc>
        <w:tc>
          <w:tcPr>
            <w:tcW w:w="7744" w:type="dxa"/>
            <w:vAlign w:val="top"/>
          </w:tcPr>
          <w:p>
            <w:pPr>
              <w:pStyle w:val="TableText"/>
              <w:ind w:left="101"/>
              <w:spacing w:before="151" w:line="219" w:lineRule="auto"/>
              <w:rPr/>
            </w:pPr>
            <w:r>
              <w:rPr/>
              <w:t>首次发现违法行为。</w:t>
            </w:r>
          </w:p>
        </w:tc>
        <w:tc>
          <w:tcPr>
            <w:tcW w:w="4702" w:type="dxa"/>
            <w:vAlign w:val="top"/>
          </w:tcPr>
          <w:p>
            <w:pPr>
              <w:pStyle w:val="TableText"/>
              <w:ind w:left="117"/>
              <w:spacing w:before="159" w:line="218" w:lineRule="auto"/>
              <w:rPr/>
            </w:pPr>
            <w:r>
              <w:rPr/>
              <w:t>给予警告，可以并处5000元以下的罚款。</w:t>
            </w:r>
          </w:p>
        </w:tc>
      </w:tr>
      <w:tr>
        <w:trPr>
          <w:trHeight w:val="1088" w:hRule="atLeast"/>
        </w:trPr>
        <w:tc>
          <w:tcPr>
            <w:tcW w:w="1504" w:type="dxa"/>
            <w:vAlign w:val="top"/>
            <w:vMerge w:val="restart"/>
            <w:tcBorders>
              <w:bottom w:val="nil"/>
            </w:tcBorders>
          </w:tcPr>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pStyle w:val="TableText"/>
              <w:ind w:left="508"/>
              <w:spacing w:before="78" w:line="221" w:lineRule="auto"/>
              <w:rPr/>
            </w:pPr>
            <w:r>
              <w:rPr>
                <w:b/>
                <w:bCs/>
                <w:spacing w:val="-10"/>
              </w:rPr>
              <w:t>一般</w:t>
            </w:r>
          </w:p>
        </w:tc>
        <w:tc>
          <w:tcPr>
            <w:tcW w:w="7744" w:type="dxa"/>
            <w:vAlign w:val="top"/>
          </w:tcPr>
          <w:p>
            <w:pPr>
              <w:pStyle w:val="TableText"/>
              <w:ind w:left="101"/>
              <w:spacing w:before="82" w:line="219" w:lineRule="auto"/>
              <w:rPr/>
            </w:pPr>
            <w:r>
              <w:rPr>
                <w:spacing w:val="-1"/>
              </w:rPr>
              <w:t>责令限期改正后，逾期不改正。</w:t>
            </w:r>
          </w:p>
          <w:p>
            <w:pPr>
              <w:pStyle w:val="TableText"/>
              <w:ind w:left="101"/>
              <w:spacing w:before="165" w:line="219" w:lineRule="auto"/>
              <w:rPr/>
            </w:pPr>
            <w:r>
              <w:rPr>
                <w:spacing w:val="8"/>
              </w:rPr>
              <w:t>违反本条例第十七条第一款规定；</w:t>
            </w:r>
          </w:p>
        </w:tc>
        <w:tc>
          <w:tcPr>
            <w:tcW w:w="4702" w:type="dxa"/>
            <w:vAlign w:val="top"/>
          </w:tcPr>
          <w:p>
            <w:pPr>
              <w:pStyle w:val="TableText"/>
              <w:ind w:left="117"/>
              <w:spacing w:before="304" w:line="220" w:lineRule="auto"/>
              <w:rPr/>
            </w:pPr>
            <w:r>
              <w:rPr>
                <w:spacing w:val="7"/>
              </w:rPr>
              <w:t>处5000元以上1万元以下的罚款；</w:t>
            </w:r>
          </w:p>
        </w:tc>
      </w:tr>
      <w:tr>
        <w:trPr>
          <w:trHeight w:val="1078" w:hRule="atLeast"/>
        </w:trPr>
        <w:tc>
          <w:tcPr>
            <w:tcW w:w="1504" w:type="dxa"/>
            <w:vAlign w:val="top"/>
            <w:vMerge w:val="continue"/>
            <w:tcBorders>
              <w:top w:val="nil"/>
              <w:bottom w:val="nil"/>
            </w:tcBorders>
          </w:tcPr>
          <w:p>
            <w:pPr>
              <w:rPr>
                <w:rFonts w:ascii="Arial"/>
                <w:sz w:val="21"/>
              </w:rPr>
            </w:pPr>
            <w:r/>
          </w:p>
        </w:tc>
        <w:tc>
          <w:tcPr>
            <w:tcW w:w="7744" w:type="dxa"/>
            <w:vAlign w:val="top"/>
          </w:tcPr>
          <w:p>
            <w:pPr>
              <w:pStyle w:val="TableText"/>
              <w:ind w:left="104"/>
              <w:spacing w:before="90" w:line="219" w:lineRule="auto"/>
              <w:rPr/>
            </w:pPr>
            <w:r>
              <w:rPr>
                <w:b/>
                <w:bCs/>
                <w:spacing w:val="-3"/>
              </w:rPr>
              <w:t>责令限期改正后，逾期不改正。</w:t>
            </w:r>
          </w:p>
          <w:p>
            <w:pPr>
              <w:pStyle w:val="TableText"/>
              <w:ind w:left="104"/>
              <w:spacing w:before="145" w:line="219" w:lineRule="auto"/>
              <w:rPr/>
            </w:pPr>
            <w:r>
              <w:rPr>
                <w:b/>
                <w:bCs/>
                <w:spacing w:val="3"/>
              </w:rPr>
              <w:t>违反本条例第十七条第一款和第二款规定；</w:t>
            </w:r>
          </w:p>
        </w:tc>
        <w:tc>
          <w:tcPr>
            <w:tcW w:w="4702" w:type="dxa"/>
            <w:vAlign w:val="top"/>
          </w:tcPr>
          <w:p>
            <w:pPr>
              <w:spacing w:line="266" w:lineRule="auto"/>
              <w:rPr>
                <w:rFonts w:ascii="Arial"/>
                <w:sz w:val="21"/>
              </w:rPr>
            </w:pPr>
            <w:r/>
          </w:p>
          <w:p>
            <w:pPr>
              <w:pStyle w:val="TableText"/>
              <w:ind w:left="117"/>
              <w:spacing w:before="78" w:line="220" w:lineRule="auto"/>
              <w:rPr/>
            </w:pPr>
            <w:r>
              <w:rPr>
                <w:spacing w:val="8"/>
              </w:rPr>
              <w:t>处1万元以上2万元以下的罚款；</w:t>
            </w:r>
          </w:p>
        </w:tc>
      </w:tr>
      <w:tr>
        <w:trPr>
          <w:trHeight w:val="1092" w:hRule="atLeast"/>
        </w:trPr>
        <w:tc>
          <w:tcPr>
            <w:tcW w:w="1504" w:type="dxa"/>
            <w:vAlign w:val="top"/>
            <w:vMerge w:val="continue"/>
            <w:tcBorders>
              <w:top w:val="nil"/>
            </w:tcBorders>
          </w:tcPr>
          <w:p>
            <w:pPr>
              <w:rPr>
                <w:rFonts w:ascii="Arial"/>
                <w:sz w:val="21"/>
              </w:rPr>
            </w:pPr>
            <w:r/>
          </w:p>
        </w:tc>
        <w:tc>
          <w:tcPr>
            <w:tcW w:w="7744" w:type="dxa"/>
            <w:vAlign w:val="top"/>
          </w:tcPr>
          <w:p>
            <w:pPr>
              <w:pStyle w:val="TableText"/>
              <w:ind w:left="104"/>
              <w:spacing w:before="92" w:line="219" w:lineRule="auto"/>
              <w:rPr/>
            </w:pPr>
            <w:r>
              <w:rPr>
                <w:b/>
                <w:bCs/>
                <w:spacing w:val="-3"/>
              </w:rPr>
              <w:t>责令限期改正后，逾期不改正。</w:t>
            </w:r>
          </w:p>
          <w:p>
            <w:pPr>
              <w:pStyle w:val="TableText"/>
              <w:ind w:left="104"/>
              <w:spacing w:before="165" w:line="219" w:lineRule="auto"/>
              <w:rPr/>
            </w:pPr>
            <w:r>
              <w:rPr>
                <w:b/>
                <w:bCs/>
                <w:spacing w:val="-3"/>
              </w:rPr>
              <w:t>违反本条例第十七条第一款、第二款和第三款规定。</w:t>
            </w:r>
          </w:p>
        </w:tc>
        <w:tc>
          <w:tcPr>
            <w:tcW w:w="4702" w:type="dxa"/>
            <w:vAlign w:val="top"/>
          </w:tcPr>
          <w:p>
            <w:pPr>
              <w:pStyle w:val="TableText"/>
              <w:ind w:left="117"/>
              <w:spacing w:before="318" w:line="220" w:lineRule="auto"/>
              <w:rPr/>
            </w:pPr>
            <w:r>
              <w:rPr/>
              <w:t>处2万元以上3万元以下的罚款。</w:t>
            </w:r>
          </w:p>
        </w:tc>
      </w:tr>
    </w:tbl>
    <w:p>
      <w:pPr>
        <w:pStyle w:val="BodyText"/>
        <w:rPr/>
      </w:pPr>
      <w:r/>
    </w:p>
    <w:p>
      <w:pPr>
        <w:sectPr>
          <w:footerReference w:type="default" r:id="rId151"/>
          <w:pgSz w:w="16830" w:h="11900"/>
          <w:pgMar w:top="1011" w:right="1349" w:bottom="1123" w:left="1414" w:header="0" w:footer="808" w:gutter="0"/>
        </w:sectPr>
        <w:rPr/>
      </w:pPr>
    </w:p>
    <w:p>
      <w:pPr>
        <w:pStyle w:val="BodyText"/>
        <w:spacing w:line="263" w:lineRule="auto"/>
        <w:rPr/>
      </w:pPr>
      <w:r/>
    </w:p>
    <w:p>
      <w:pPr>
        <w:pStyle w:val="BodyText"/>
        <w:spacing w:line="263" w:lineRule="auto"/>
        <w:rPr/>
      </w:pPr>
      <w:r/>
    </w:p>
    <w:p>
      <w:pPr>
        <w:pStyle w:val="BodyText"/>
        <w:spacing w:line="263" w:lineRule="auto"/>
        <w:rPr/>
      </w:pPr>
      <w:r/>
    </w:p>
    <w:p>
      <w:pPr>
        <w:ind w:left="679"/>
        <w:spacing w:before="97" w:line="221" w:lineRule="auto"/>
        <w:rPr>
          <w:rFonts w:ascii="FangSong" w:hAnsi="FangSong" w:eastAsia="FangSong" w:cs="FangSong"/>
          <w:sz w:val="30"/>
          <w:szCs w:val="30"/>
        </w:rPr>
      </w:pPr>
      <w:bookmarkStart w:name="bookmark811" w:id="118"/>
      <w:bookmarkEnd w:id="118"/>
      <w:r>
        <w:rPr>
          <w:rFonts w:ascii="FangSong" w:hAnsi="FangSong" w:eastAsia="FangSong" w:cs="FangSong"/>
          <w:sz w:val="30"/>
          <w:szCs w:val="30"/>
          <w:b/>
          <w:bCs/>
          <w:spacing w:val="21"/>
        </w:rPr>
        <w:t>第七十四条医疗卫生机构未将医疗废物按照类别分置于专用包装物或者容器的</w:t>
      </w:r>
    </w:p>
    <w:p>
      <w:pPr>
        <w:ind w:left="675"/>
        <w:spacing w:before="88"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firstLine="629"/>
        <w:spacing w:before="74" w:line="271" w:lineRule="auto"/>
        <w:jc w:val="both"/>
        <w:rPr>
          <w:rFonts w:ascii="FangSong" w:hAnsi="FangSong" w:eastAsia="FangSong" w:cs="FangSong"/>
          <w:sz w:val="30"/>
          <w:szCs w:val="30"/>
        </w:rPr>
      </w:pPr>
      <w:r>
        <w:rPr>
          <w:rFonts w:ascii="FangSong" w:hAnsi="FangSong" w:eastAsia="FangSong" w:cs="FangSong"/>
          <w:sz w:val="30"/>
          <w:szCs w:val="30"/>
          <w:spacing w:val="27"/>
        </w:rPr>
        <w:t>《医疗废物管理条例》第四十六条第(二)项</w:t>
      </w:r>
      <w:r>
        <w:rPr>
          <w:rFonts w:ascii="FangSong" w:hAnsi="FangSong" w:eastAsia="FangSong" w:cs="FangSong"/>
          <w:sz w:val="30"/>
          <w:szCs w:val="30"/>
          <w:spacing w:val="27"/>
        </w:rPr>
        <w:t xml:space="preserve">   </w:t>
      </w:r>
      <w:r>
        <w:rPr>
          <w:rFonts w:ascii="FangSong" w:hAnsi="FangSong" w:eastAsia="FangSong" w:cs="FangSong"/>
          <w:sz w:val="30"/>
          <w:szCs w:val="30"/>
          <w:spacing w:val="27"/>
        </w:rPr>
        <w:t>医疗卫生机构、医疗废物集中处置单</w:t>
      </w:r>
      <w:r>
        <w:rPr>
          <w:rFonts w:ascii="FangSong" w:hAnsi="FangSong" w:eastAsia="FangSong" w:cs="FangSong"/>
          <w:sz w:val="30"/>
          <w:szCs w:val="30"/>
          <w:spacing w:val="26"/>
        </w:rPr>
        <w:t>位违反本</w:t>
      </w:r>
      <w:r>
        <w:rPr>
          <w:rFonts w:ascii="FangSong" w:hAnsi="FangSong" w:eastAsia="FangSong" w:cs="FangSong"/>
          <w:sz w:val="30"/>
          <w:szCs w:val="30"/>
        </w:rPr>
        <w:t xml:space="preserve"> </w:t>
      </w:r>
      <w:r>
        <w:rPr>
          <w:rFonts w:ascii="FangSong" w:hAnsi="FangSong" w:eastAsia="FangSong" w:cs="FangSong"/>
          <w:sz w:val="30"/>
          <w:szCs w:val="30"/>
          <w:spacing w:val="17"/>
        </w:rPr>
        <w:t>条例规定，有下列情形之一的，由县级以上地方</w:t>
      </w:r>
      <w:r>
        <w:rPr>
          <w:rFonts w:ascii="FangSong" w:hAnsi="FangSong" w:eastAsia="FangSong" w:cs="FangSong"/>
          <w:sz w:val="30"/>
          <w:szCs w:val="30"/>
          <w:spacing w:val="16"/>
        </w:rPr>
        <w:t>人民政府卫生行政主管部门或者环境保护行政主管部</w:t>
      </w:r>
      <w:r>
        <w:rPr>
          <w:rFonts w:ascii="FangSong" w:hAnsi="FangSong" w:eastAsia="FangSong" w:cs="FangSong"/>
          <w:sz w:val="30"/>
          <w:szCs w:val="30"/>
        </w:rPr>
        <w:t xml:space="preserve"> </w:t>
      </w:r>
      <w:r>
        <w:rPr>
          <w:rFonts w:ascii="FangSong" w:hAnsi="FangSong" w:eastAsia="FangSong" w:cs="FangSong"/>
          <w:sz w:val="30"/>
          <w:szCs w:val="30"/>
          <w:spacing w:val="22"/>
        </w:rPr>
        <w:t>门按照各自的职责责令限期改正，给予警告，可以并处5000元以下的罚款；逾期不改正的，处5000</w:t>
      </w:r>
      <w:r>
        <w:rPr>
          <w:rFonts w:ascii="FangSong" w:hAnsi="FangSong" w:eastAsia="FangSong" w:cs="FangSong"/>
          <w:sz w:val="30"/>
          <w:szCs w:val="30"/>
          <w:spacing w:val="1"/>
        </w:rPr>
        <w:t xml:space="preserve"> </w:t>
      </w:r>
      <w:r>
        <w:rPr>
          <w:rFonts w:ascii="FangSong" w:hAnsi="FangSong" w:eastAsia="FangSong" w:cs="FangSong"/>
          <w:sz w:val="30"/>
          <w:szCs w:val="30"/>
          <w:spacing w:val="24"/>
        </w:rPr>
        <w:t>元以上3万元以下的罚款：</w:t>
      </w:r>
    </w:p>
    <w:p>
      <w:pPr>
        <w:ind w:left="804"/>
        <w:spacing w:before="1" w:line="220" w:lineRule="auto"/>
        <w:rPr>
          <w:rFonts w:ascii="FangSong" w:hAnsi="FangSong" w:eastAsia="FangSong" w:cs="FangSong"/>
          <w:sz w:val="30"/>
          <w:szCs w:val="30"/>
        </w:rPr>
      </w:pPr>
      <w:r>
        <w:rPr>
          <w:rFonts w:ascii="FangSong" w:hAnsi="FangSong" w:eastAsia="FangSong" w:cs="FangSong"/>
          <w:sz w:val="30"/>
          <w:szCs w:val="30"/>
          <w:spacing w:val="24"/>
        </w:rPr>
        <w:t>(二)未将医疗废物按照类别分置于专用包装物或者容器的。</w:t>
      </w:r>
    </w:p>
    <w:p>
      <w:pPr>
        <w:ind w:left="25" w:right="48" w:firstLine="629"/>
        <w:spacing w:before="80" w:line="264" w:lineRule="auto"/>
        <w:rPr>
          <w:rFonts w:ascii="FangSong" w:hAnsi="FangSong" w:eastAsia="FangSong" w:cs="FangSong"/>
          <w:sz w:val="30"/>
          <w:szCs w:val="30"/>
        </w:rPr>
      </w:pPr>
      <w:r>
        <w:rPr>
          <w:rFonts w:ascii="FangSong" w:hAnsi="FangSong" w:eastAsia="FangSong" w:cs="FangSong"/>
          <w:sz w:val="30"/>
          <w:szCs w:val="30"/>
          <w:spacing w:val="19"/>
        </w:rPr>
        <w:t>《医疗废物管理条例》第十六条第一款</w:t>
      </w:r>
      <w:r>
        <w:rPr>
          <w:rFonts w:ascii="FangSong" w:hAnsi="FangSong" w:eastAsia="FangSong" w:cs="FangSong"/>
          <w:sz w:val="30"/>
          <w:szCs w:val="30"/>
          <w:spacing w:val="19"/>
        </w:rPr>
        <w:t xml:space="preserve">   </w:t>
      </w:r>
      <w:r>
        <w:rPr>
          <w:rFonts w:ascii="FangSong" w:hAnsi="FangSong" w:eastAsia="FangSong" w:cs="FangSong"/>
          <w:sz w:val="30"/>
          <w:szCs w:val="30"/>
          <w:spacing w:val="19"/>
        </w:rPr>
        <w:t>医疗卫生机构应当及时收集本单位</w:t>
      </w:r>
      <w:r>
        <w:rPr>
          <w:rFonts w:ascii="FangSong" w:hAnsi="FangSong" w:eastAsia="FangSong" w:cs="FangSong"/>
          <w:sz w:val="30"/>
          <w:szCs w:val="30"/>
          <w:spacing w:val="18"/>
        </w:rPr>
        <w:t>产生的医疗废物，</w:t>
      </w:r>
      <w:r>
        <w:rPr>
          <w:rFonts w:ascii="FangSong" w:hAnsi="FangSong" w:eastAsia="FangSong" w:cs="FangSong"/>
          <w:sz w:val="30"/>
          <w:szCs w:val="30"/>
        </w:rPr>
        <w:t xml:space="preserve"> </w:t>
      </w:r>
      <w:r>
        <w:rPr>
          <w:rFonts w:ascii="FangSong" w:hAnsi="FangSong" w:eastAsia="FangSong" w:cs="FangSong"/>
          <w:sz w:val="30"/>
          <w:szCs w:val="30"/>
          <w:spacing w:val="18"/>
        </w:rPr>
        <w:t>并按照类别分置于防渗漏、防锐器穿透的专用包装物或者密闭的容器内。</w:t>
      </w:r>
    </w:p>
    <w:p>
      <w:pPr>
        <w:ind w:left="6409"/>
        <w:spacing w:before="1"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90" w:lineRule="exact"/>
        <w:rPr/>
      </w:pPr>
      <w:r/>
    </w:p>
    <w:tbl>
      <w:tblPr>
        <w:tblStyle w:val="TableNormal"/>
        <w:tblW w:w="139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73"/>
        <w:gridCol w:w="7275"/>
        <w:gridCol w:w="4661"/>
      </w:tblGrid>
      <w:tr>
        <w:trPr>
          <w:trHeight w:val="832" w:hRule="atLeast"/>
        </w:trPr>
        <w:tc>
          <w:tcPr>
            <w:tcW w:w="1973" w:type="dxa"/>
            <w:vAlign w:val="top"/>
          </w:tcPr>
          <w:p>
            <w:pPr>
              <w:pStyle w:val="TableText"/>
              <w:ind w:left="478"/>
              <w:spacing w:before="172" w:line="220" w:lineRule="auto"/>
              <w:rPr>
                <w:sz w:val="25"/>
                <w:szCs w:val="25"/>
              </w:rPr>
            </w:pPr>
            <w:r>
              <w:rPr>
                <w:sz w:val="25"/>
                <w:szCs w:val="25"/>
                <w:b/>
                <w:bCs/>
                <w:spacing w:val="-5"/>
              </w:rPr>
              <w:t>违法程度</w:t>
            </w:r>
          </w:p>
        </w:tc>
        <w:tc>
          <w:tcPr>
            <w:tcW w:w="7275" w:type="dxa"/>
            <w:vAlign w:val="top"/>
          </w:tcPr>
          <w:p>
            <w:pPr>
              <w:pStyle w:val="TableText"/>
              <w:ind w:left="3055"/>
              <w:spacing w:before="172" w:line="220" w:lineRule="auto"/>
              <w:rPr>
                <w:sz w:val="25"/>
                <w:szCs w:val="25"/>
              </w:rPr>
            </w:pPr>
            <w:r>
              <w:rPr>
                <w:sz w:val="25"/>
                <w:szCs w:val="25"/>
                <w:b/>
                <w:bCs/>
                <w:spacing w:val="-5"/>
              </w:rPr>
              <w:t>情节后果</w:t>
            </w:r>
          </w:p>
        </w:tc>
        <w:tc>
          <w:tcPr>
            <w:tcW w:w="4661" w:type="dxa"/>
            <w:vAlign w:val="top"/>
          </w:tcPr>
          <w:p>
            <w:pPr>
              <w:pStyle w:val="TableText"/>
              <w:ind w:left="1770"/>
              <w:spacing w:before="169" w:line="218" w:lineRule="auto"/>
              <w:rPr>
                <w:sz w:val="25"/>
                <w:szCs w:val="25"/>
              </w:rPr>
            </w:pPr>
            <w:r>
              <w:rPr>
                <w:sz w:val="25"/>
                <w:szCs w:val="25"/>
                <w:b/>
                <w:bCs/>
                <w:spacing w:val="-5"/>
              </w:rPr>
              <w:t>裁量幅度</w:t>
            </w:r>
          </w:p>
        </w:tc>
      </w:tr>
      <w:tr>
        <w:trPr>
          <w:trHeight w:val="768" w:hRule="atLeast"/>
        </w:trPr>
        <w:tc>
          <w:tcPr>
            <w:tcW w:w="1973" w:type="dxa"/>
            <w:vAlign w:val="top"/>
          </w:tcPr>
          <w:p>
            <w:pPr>
              <w:pStyle w:val="TableText"/>
              <w:ind w:left="728"/>
              <w:spacing w:before="149" w:line="219" w:lineRule="auto"/>
              <w:rPr>
                <w:sz w:val="25"/>
                <w:szCs w:val="25"/>
              </w:rPr>
            </w:pPr>
            <w:r>
              <w:rPr>
                <w:sz w:val="25"/>
                <w:szCs w:val="25"/>
                <w:b/>
                <w:bCs/>
                <w:spacing w:val="-6"/>
              </w:rPr>
              <w:t>较轻</w:t>
            </w:r>
          </w:p>
        </w:tc>
        <w:tc>
          <w:tcPr>
            <w:tcW w:w="7275" w:type="dxa"/>
            <w:vAlign w:val="top"/>
          </w:tcPr>
          <w:p>
            <w:pPr>
              <w:pStyle w:val="TableText"/>
              <w:ind w:left="102"/>
              <w:spacing w:before="153" w:line="219" w:lineRule="auto"/>
              <w:rPr>
                <w:sz w:val="25"/>
                <w:szCs w:val="25"/>
              </w:rPr>
            </w:pPr>
            <w:r>
              <w:rPr>
                <w:sz w:val="25"/>
                <w:szCs w:val="25"/>
              </w:rPr>
              <w:t>首次发现违法行为。</w:t>
            </w:r>
          </w:p>
        </w:tc>
        <w:tc>
          <w:tcPr>
            <w:tcW w:w="4661" w:type="dxa"/>
            <w:vAlign w:val="top"/>
          </w:tcPr>
          <w:p>
            <w:pPr>
              <w:pStyle w:val="TableText"/>
              <w:ind w:left="107"/>
              <w:spacing w:before="151" w:line="218" w:lineRule="auto"/>
              <w:rPr>
                <w:sz w:val="25"/>
                <w:szCs w:val="25"/>
              </w:rPr>
            </w:pPr>
            <w:r>
              <w:rPr>
                <w:sz w:val="25"/>
                <w:szCs w:val="25"/>
                <w:spacing w:val="-1"/>
              </w:rPr>
              <w:t>给予警告，可以并处5000元以下的罚款。</w:t>
            </w:r>
          </w:p>
        </w:tc>
      </w:tr>
      <w:tr>
        <w:trPr>
          <w:trHeight w:val="2019" w:hRule="atLeast"/>
        </w:trPr>
        <w:tc>
          <w:tcPr>
            <w:tcW w:w="1973" w:type="dxa"/>
            <w:vAlign w:val="top"/>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728"/>
              <w:spacing w:before="82" w:line="221" w:lineRule="auto"/>
              <w:rPr>
                <w:sz w:val="25"/>
                <w:szCs w:val="25"/>
              </w:rPr>
            </w:pPr>
            <w:r>
              <w:rPr>
                <w:sz w:val="25"/>
                <w:szCs w:val="25"/>
                <w:b/>
                <w:bCs/>
                <w:spacing w:val="-10"/>
              </w:rPr>
              <w:t>一般</w:t>
            </w:r>
          </w:p>
        </w:tc>
        <w:tc>
          <w:tcPr>
            <w:tcW w:w="7275" w:type="dxa"/>
            <w:vAlign w:val="top"/>
          </w:tcPr>
          <w:p>
            <w:pPr>
              <w:spacing w:line="249" w:lineRule="auto"/>
              <w:rPr>
                <w:rFonts w:ascii="Arial"/>
                <w:sz w:val="21"/>
              </w:rPr>
            </w:pPr>
            <w:r/>
          </w:p>
          <w:p>
            <w:pPr>
              <w:spacing w:line="250" w:lineRule="auto"/>
              <w:rPr>
                <w:rFonts w:ascii="Arial"/>
                <w:sz w:val="21"/>
              </w:rPr>
            </w:pPr>
            <w:r/>
          </w:p>
          <w:p>
            <w:pPr>
              <w:pStyle w:val="TableText"/>
              <w:ind w:left="102"/>
              <w:spacing w:before="81" w:line="219" w:lineRule="auto"/>
              <w:rPr>
                <w:sz w:val="25"/>
                <w:szCs w:val="25"/>
              </w:rPr>
            </w:pPr>
            <w:r>
              <w:rPr>
                <w:sz w:val="25"/>
                <w:szCs w:val="25"/>
              </w:rPr>
              <w:t>责令限期改正后，逾期不改正。</w:t>
            </w:r>
          </w:p>
          <w:p>
            <w:pPr>
              <w:pStyle w:val="TableText"/>
              <w:ind w:left="102"/>
              <w:spacing w:before="155" w:line="219" w:lineRule="auto"/>
              <w:rPr>
                <w:sz w:val="25"/>
                <w:szCs w:val="25"/>
              </w:rPr>
            </w:pPr>
            <w:r>
              <w:rPr>
                <w:sz w:val="25"/>
                <w:szCs w:val="25"/>
                <w:spacing w:val="4"/>
              </w:rPr>
              <w:t>有1至3处医疗废物未按照类别分置于专用包装物或者容器；</w:t>
            </w:r>
          </w:p>
        </w:tc>
        <w:tc>
          <w:tcPr>
            <w:tcW w:w="4661" w:type="dxa"/>
            <w:vAlign w:val="top"/>
          </w:tcPr>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07"/>
              <w:spacing w:before="82" w:line="220" w:lineRule="auto"/>
              <w:rPr>
                <w:sz w:val="25"/>
                <w:szCs w:val="25"/>
              </w:rPr>
            </w:pPr>
            <w:r>
              <w:rPr>
                <w:sz w:val="25"/>
                <w:szCs w:val="25"/>
                <w:spacing w:val="7"/>
              </w:rPr>
              <w:t>处5000元以上1万元以下的罚款；</w:t>
            </w:r>
          </w:p>
        </w:tc>
      </w:tr>
    </w:tbl>
    <w:p>
      <w:pPr>
        <w:pStyle w:val="BodyText"/>
        <w:rPr/>
      </w:pPr>
      <w:r/>
    </w:p>
    <w:p>
      <w:pPr>
        <w:sectPr>
          <w:footerReference w:type="default" r:id="rId152"/>
          <w:pgSz w:w="16830" w:h="11900"/>
          <w:pgMar w:top="1011" w:right="1441" w:bottom="1089" w:left="1425" w:header="0" w:footer="818" w:gutter="0"/>
        </w:sectPr>
        <w:rPr/>
      </w:pPr>
    </w:p>
    <w:p>
      <w:pPr>
        <w:spacing w:before="20"/>
        <w:rPr/>
      </w:pPr>
      <w:r/>
    </w:p>
    <w:p>
      <w:pPr>
        <w:spacing w:before="20"/>
        <w:rPr/>
      </w:pPr>
      <w:r/>
    </w:p>
    <w:p>
      <w:pPr>
        <w:spacing w:before="19"/>
        <w:rPr/>
      </w:pPr>
      <w:r/>
    </w:p>
    <w:tbl>
      <w:tblPr>
        <w:tblStyle w:val="TableNormal"/>
        <w:tblW w:w="139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74"/>
        <w:gridCol w:w="7285"/>
        <w:gridCol w:w="4671"/>
      </w:tblGrid>
      <w:tr>
        <w:trPr>
          <w:trHeight w:val="1070" w:hRule="atLeast"/>
        </w:trPr>
        <w:tc>
          <w:tcPr>
            <w:tcW w:w="1974" w:type="dxa"/>
            <w:vAlign w:val="top"/>
            <w:vMerge w:val="restart"/>
            <w:tcBorders>
              <w:bottom w:val="nil"/>
            </w:tcBorders>
          </w:tcPr>
          <w:p>
            <w:pPr>
              <w:rPr>
                <w:rFonts w:ascii="Arial"/>
                <w:sz w:val="21"/>
              </w:rPr>
            </w:pPr>
            <w:r/>
          </w:p>
        </w:tc>
        <w:tc>
          <w:tcPr>
            <w:tcW w:w="7285" w:type="dxa"/>
            <w:vAlign w:val="top"/>
          </w:tcPr>
          <w:p>
            <w:pPr>
              <w:pStyle w:val="TableText"/>
              <w:ind w:left="111"/>
              <w:spacing w:before="93" w:line="219" w:lineRule="auto"/>
              <w:rPr/>
            </w:pPr>
            <w:r>
              <w:rPr>
                <w:spacing w:val="-1"/>
              </w:rPr>
              <w:t>责令限期改正后，逾期不改正。</w:t>
            </w:r>
          </w:p>
          <w:p>
            <w:pPr>
              <w:pStyle w:val="TableText"/>
              <w:ind w:left="111"/>
              <w:spacing w:before="157" w:line="219" w:lineRule="auto"/>
              <w:rPr/>
            </w:pPr>
            <w:r>
              <w:rPr>
                <w:spacing w:val="4"/>
              </w:rPr>
              <w:t>有4至6处医疗废物未按照类别分置于专用包装物或者容器；</w:t>
            </w:r>
          </w:p>
        </w:tc>
        <w:tc>
          <w:tcPr>
            <w:tcW w:w="4671" w:type="dxa"/>
            <w:vAlign w:val="top"/>
          </w:tcPr>
          <w:p>
            <w:pPr>
              <w:pStyle w:val="TableText"/>
              <w:ind w:left="106"/>
              <w:spacing w:before="305" w:line="220" w:lineRule="auto"/>
              <w:rPr/>
            </w:pPr>
            <w:r>
              <w:rPr>
                <w:spacing w:val="8"/>
              </w:rPr>
              <w:t>处1万元以上2万元以下的罚款；</w:t>
            </w:r>
          </w:p>
        </w:tc>
      </w:tr>
      <w:tr>
        <w:trPr>
          <w:trHeight w:val="1099" w:hRule="atLeast"/>
        </w:trPr>
        <w:tc>
          <w:tcPr>
            <w:tcW w:w="1974" w:type="dxa"/>
            <w:vAlign w:val="top"/>
            <w:vMerge w:val="continue"/>
            <w:tcBorders>
              <w:top w:val="nil"/>
            </w:tcBorders>
          </w:tcPr>
          <w:p>
            <w:pPr>
              <w:rPr>
                <w:rFonts w:ascii="Arial"/>
                <w:sz w:val="21"/>
              </w:rPr>
            </w:pPr>
            <w:r/>
          </w:p>
        </w:tc>
        <w:tc>
          <w:tcPr>
            <w:tcW w:w="7285" w:type="dxa"/>
            <w:vAlign w:val="top"/>
          </w:tcPr>
          <w:p>
            <w:pPr>
              <w:pStyle w:val="TableText"/>
              <w:ind w:left="111"/>
              <w:spacing w:before="103" w:line="219" w:lineRule="auto"/>
              <w:rPr/>
            </w:pPr>
            <w:r>
              <w:rPr>
                <w:spacing w:val="-1"/>
              </w:rPr>
              <w:t>责令限期改正后，逾期不改正。</w:t>
            </w:r>
          </w:p>
          <w:p>
            <w:pPr>
              <w:pStyle w:val="TableText"/>
              <w:ind w:left="111"/>
              <w:spacing w:before="166" w:line="219" w:lineRule="auto"/>
              <w:rPr/>
            </w:pPr>
            <w:r>
              <w:rPr/>
              <w:t>有7处以上医疗废物未按照类别分置于专用包装物或者容器。</w:t>
            </w:r>
          </w:p>
        </w:tc>
        <w:tc>
          <w:tcPr>
            <w:tcW w:w="4671" w:type="dxa"/>
            <w:vAlign w:val="top"/>
          </w:tcPr>
          <w:p>
            <w:pPr>
              <w:spacing w:line="246" w:lineRule="auto"/>
              <w:rPr>
                <w:rFonts w:ascii="Arial"/>
                <w:sz w:val="21"/>
              </w:rPr>
            </w:pPr>
            <w:r/>
          </w:p>
          <w:p>
            <w:pPr>
              <w:pStyle w:val="TableText"/>
              <w:ind w:left="106"/>
              <w:spacing w:before="78" w:line="220" w:lineRule="auto"/>
              <w:rPr/>
            </w:pPr>
            <w:r>
              <w:rPr/>
              <w:t>处2万元以上3万元以下的罚款。</w:t>
            </w:r>
          </w:p>
        </w:tc>
      </w:tr>
    </w:tbl>
    <w:p>
      <w:pPr>
        <w:pStyle w:val="BodyText"/>
        <w:spacing w:line="436" w:lineRule="auto"/>
        <w:rPr/>
      </w:pPr>
      <w:r/>
    </w:p>
    <w:p>
      <w:pPr>
        <w:ind w:left="39" w:right="384" w:firstLine="639"/>
        <w:spacing w:before="98" w:line="270" w:lineRule="auto"/>
        <w:rPr>
          <w:rFonts w:ascii="FangSong" w:hAnsi="FangSong" w:eastAsia="FangSong" w:cs="FangSong"/>
          <w:sz w:val="30"/>
          <w:szCs w:val="30"/>
        </w:rPr>
      </w:pPr>
      <w:r>
        <w:rPr>
          <w:rFonts w:ascii="FangSong" w:hAnsi="FangSong" w:eastAsia="FangSong" w:cs="FangSong"/>
          <w:sz w:val="30"/>
          <w:szCs w:val="30"/>
          <w:b/>
          <w:bCs/>
          <w:spacing w:val="21"/>
        </w:rPr>
        <w:t>第七十五条医疗卫生机构未使用符合标准的专用车辆运送医疗废物或者使用运送医疗废物的</w:t>
      </w:r>
      <w:r>
        <w:rPr>
          <w:rFonts w:ascii="FangSong" w:hAnsi="FangSong" w:eastAsia="FangSong" w:cs="FangSong"/>
          <w:sz w:val="30"/>
          <w:szCs w:val="30"/>
          <w:spacing w:val="4"/>
        </w:rPr>
        <w:t xml:space="preserve"> </w:t>
      </w:r>
      <w:bookmarkStart w:name="bookmark812" w:id="119"/>
      <w:bookmarkEnd w:id="119"/>
      <w:r>
        <w:rPr>
          <w:rFonts w:ascii="FangSong" w:hAnsi="FangSong" w:eastAsia="FangSong" w:cs="FangSong"/>
          <w:sz w:val="30"/>
          <w:szCs w:val="30"/>
          <w:b/>
          <w:bCs/>
          <w:spacing w:val="14"/>
        </w:rPr>
        <w:t>车辆运送其他物品的</w:t>
      </w:r>
    </w:p>
    <w:p>
      <w:pPr>
        <w:ind w:left="685"/>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35" w:right="61" w:firstLine="629"/>
        <w:spacing w:before="98" w:line="270" w:lineRule="auto"/>
        <w:jc w:val="both"/>
        <w:rPr>
          <w:rFonts w:ascii="FangSong" w:hAnsi="FangSong" w:eastAsia="FangSong" w:cs="FangSong"/>
          <w:sz w:val="30"/>
          <w:szCs w:val="30"/>
        </w:rPr>
      </w:pPr>
      <w:r>
        <w:rPr>
          <w:rFonts w:ascii="FangSong" w:hAnsi="FangSong" w:eastAsia="FangSong" w:cs="FangSong"/>
          <w:sz w:val="30"/>
          <w:szCs w:val="30"/>
          <w:spacing w:val="27"/>
        </w:rPr>
        <w:t>《医疗废物管理条例》第四十六条第(三)项</w:t>
      </w:r>
      <w:r>
        <w:rPr>
          <w:rFonts w:ascii="FangSong" w:hAnsi="FangSong" w:eastAsia="FangSong" w:cs="FangSong"/>
          <w:sz w:val="30"/>
          <w:szCs w:val="30"/>
          <w:spacing w:val="27"/>
        </w:rPr>
        <w:t xml:space="preserve">   </w:t>
      </w:r>
      <w:r>
        <w:rPr>
          <w:rFonts w:ascii="FangSong" w:hAnsi="FangSong" w:eastAsia="FangSong" w:cs="FangSong"/>
          <w:sz w:val="30"/>
          <w:szCs w:val="30"/>
          <w:spacing w:val="27"/>
        </w:rPr>
        <w:t>医疗卫生机构、医疗废物集中处置单</w:t>
      </w:r>
      <w:r>
        <w:rPr>
          <w:rFonts w:ascii="FangSong" w:hAnsi="FangSong" w:eastAsia="FangSong" w:cs="FangSong"/>
          <w:sz w:val="30"/>
          <w:szCs w:val="30"/>
          <w:spacing w:val="26"/>
        </w:rPr>
        <w:t>位违反本</w:t>
      </w:r>
      <w:r>
        <w:rPr>
          <w:rFonts w:ascii="FangSong" w:hAnsi="FangSong" w:eastAsia="FangSong" w:cs="FangSong"/>
          <w:sz w:val="30"/>
          <w:szCs w:val="30"/>
        </w:rPr>
        <w:t xml:space="preserve"> </w:t>
      </w:r>
      <w:r>
        <w:rPr>
          <w:rFonts w:ascii="FangSong" w:hAnsi="FangSong" w:eastAsia="FangSong" w:cs="FangSong"/>
          <w:sz w:val="30"/>
          <w:szCs w:val="30"/>
          <w:spacing w:val="17"/>
        </w:rPr>
        <w:t>条例规定，有下列情形之一的，由县级以上地方</w:t>
      </w:r>
      <w:r>
        <w:rPr>
          <w:rFonts w:ascii="FangSong" w:hAnsi="FangSong" w:eastAsia="FangSong" w:cs="FangSong"/>
          <w:sz w:val="30"/>
          <w:szCs w:val="30"/>
          <w:spacing w:val="16"/>
        </w:rPr>
        <w:t>人民政府卫生行政主管部门或者环境保护行政主管部</w:t>
      </w:r>
      <w:r>
        <w:rPr>
          <w:rFonts w:ascii="FangSong" w:hAnsi="FangSong" w:eastAsia="FangSong" w:cs="FangSong"/>
          <w:sz w:val="30"/>
          <w:szCs w:val="30"/>
        </w:rPr>
        <w:t xml:space="preserve"> </w:t>
      </w:r>
      <w:r>
        <w:rPr>
          <w:rFonts w:ascii="FangSong" w:hAnsi="FangSong" w:eastAsia="FangSong" w:cs="FangSong"/>
          <w:sz w:val="30"/>
          <w:szCs w:val="30"/>
          <w:spacing w:val="22"/>
        </w:rPr>
        <w:t>门按照各自的职责责令限期改正，给予警告，可以并处5000元以下的罚款；逾期不改正的，处5000</w:t>
      </w:r>
      <w:r>
        <w:rPr>
          <w:rFonts w:ascii="FangSong" w:hAnsi="FangSong" w:eastAsia="FangSong" w:cs="FangSong"/>
          <w:sz w:val="30"/>
          <w:szCs w:val="30"/>
          <w:spacing w:val="1"/>
        </w:rPr>
        <w:t xml:space="preserve"> </w:t>
      </w:r>
      <w:r>
        <w:rPr>
          <w:rFonts w:ascii="FangSong" w:hAnsi="FangSong" w:eastAsia="FangSong" w:cs="FangSong"/>
          <w:sz w:val="30"/>
          <w:szCs w:val="30"/>
          <w:spacing w:val="24"/>
        </w:rPr>
        <w:t>元以上3万元以下的罚款：</w:t>
      </w:r>
    </w:p>
    <w:p>
      <w:pPr>
        <w:ind w:left="35" w:firstLine="790"/>
        <w:spacing w:before="2" w:line="270" w:lineRule="auto"/>
        <w:jc w:val="both"/>
        <w:rPr>
          <w:rFonts w:ascii="FangSong" w:hAnsi="FangSong" w:eastAsia="FangSong" w:cs="FangSong"/>
          <w:sz w:val="30"/>
          <w:szCs w:val="30"/>
        </w:rPr>
      </w:pPr>
      <w:r>
        <w:rPr>
          <w:rFonts w:ascii="FangSong" w:hAnsi="FangSong" w:eastAsia="FangSong" w:cs="FangSong"/>
          <w:sz w:val="30"/>
          <w:szCs w:val="30"/>
          <w:spacing w:val="22"/>
        </w:rPr>
        <w:t>(三)未使用符合标准的专用车辆运送医疗废物或者使用运</w:t>
      </w:r>
      <w:r>
        <w:rPr>
          <w:rFonts w:ascii="FangSong" w:hAnsi="FangSong" w:eastAsia="FangSong" w:cs="FangSong"/>
          <w:sz w:val="30"/>
          <w:szCs w:val="30"/>
          <w:spacing w:val="21"/>
        </w:rPr>
        <w:t>送医疗废物的车辆运送其他物品的；</w:t>
      </w:r>
      <w:r>
        <w:rPr>
          <w:rFonts w:ascii="FangSong" w:hAnsi="FangSong" w:eastAsia="FangSong" w:cs="FangSong"/>
          <w:sz w:val="30"/>
          <w:szCs w:val="30"/>
        </w:rPr>
        <w:t xml:space="preserve"> </w:t>
      </w:r>
      <w:r>
        <w:rPr>
          <w:rFonts w:ascii="FangSong" w:hAnsi="FangSong" w:eastAsia="FangSong" w:cs="FangSong"/>
          <w:sz w:val="30"/>
          <w:szCs w:val="30"/>
          <w:spacing w:val="20"/>
        </w:rPr>
        <w:t>《医疗废物管理条例》第十八条</w:t>
      </w:r>
      <w:r>
        <w:rPr>
          <w:rFonts w:ascii="FangSong" w:hAnsi="FangSong" w:eastAsia="FangSong" w:cs="FangSong"/>
          <w:sz w:val="30"/>
          <w:szCs w:val="30"/>
          <w:spacing w:val="20"/>
        </w:rPr>
        <w:t xml:space="preserve">   </w:t>
      </w:r>
      <w:r>
        <w:rPr>
          <w:rFonts w:ascii="FangSong" w:hAnsi="FangSong" w:eastAsia="FangSong" w:cs="FangSong"/>
          <w:sz w:val="30"/>
          <w:szCs w:val="30"/>
          <w:spacing w:val="20"/>
        </w:rPr>
        <w:t>医疗卫生机构应当使用防渗漏、防</w:t>
      </w:r>
      <w:r>
        <w:rPr>
          <w:rFonts w:ascii="FangSong" w:hAnsi="FangSong" w:eastAsia="FangSong" w:cs="FangSong"/>
          <w:sz w:val="30"/>
          <w:szCs w:val="30"/>
          <w:spacing w:val="19"/>
        </w:rPr>
        <w:t>遗撒的专用运送工具，按照本</w:t>
      </w:r>
      <w:r>
        <w:rPr>
          <w:rFonts w:ascii="FangSong" w:hAnsi="FangSong" w:eastAsia="FangSong" w:cs="FangSong"/>
          <w:sz w:val="30"/>
          <w:szCs w:val="30"/>
        </w:rPr>
        <w:t xml:space="preserve"> </w:t>
      </w:r>
      <w:r>
        <w:rPr>
          <w:rFonts w:ascii="FangSong" w:hAnsi="FangSong" w:eastAsia="FangSong" w:cs="FangSong"/>
          <w:sz w:val="30"/>
          <w:szCs w:val="30"/>
          <w:spacing w:val="18"/>
        </w:rPr>
        <w:t>单位确定的内部医疗废物运送时间、路线，将医疗废物收集、运送至暂时贮存地点。</w:t>
      </w:r>
    </w:p>
    <w:p>
      <w:pPr>
        <w:ind w:left="35"/>
        <w:spacing w:before="2" w:line="219" w:lineRule="auto"/>
        <w:rPr>
          <w:rFonts w:ascii="FangSong" w:hAnsi="FangSong" w:eastAsia="FangSong" w:cs="FangSong"/>
          <w:sz w:val="30"/>
          <w:szCs w:val="30"/>
        </w:rPr>
      </w:pPr>
      <w:r>
        <w:rPr>
          <w:rFonts w:ascii="FangSong" w:hAnsi="FangSong" w:eastAsia="FangSong" w:cs="FangSong"/>
          <w:sz w:val="30"/>
          <w:szCs w:val="30"/>
          <w:spacing w:val="18"/>
        </w:rPr>
        <w:t>运送工具使用后应当在医疗卫生机构内指定</w:t>
      </w:r>
      <w:r>
        <w:rPr>
          <w:rFonts w:ascii="FangSong" w:hAnsi="FangSong" w:eastAsia="FangSong" w:cs="FangSong"/>
          <w:sz w:val="30"/>
          <w:szCs w:val="30"/>
          <w:spacing w:val="17"/>
        </w:rPr>
        <w:t>的地点及时消毒和清洁。</w:t>
      </w:r>
    </w:p>
    <w:p>
      <w:pPr>
        <w:ind w:left="6359"/>
        <w:spacing w:before="64"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153"/>
          <w:pgSz w:w="16830" w:h="11900"/>
          <w:pgMar w:top="1011" w:right="1379" w:bottom="1117" w:left="1414" w:header="0" w:footer="784" w:gutter="0"/>
        </w:sectPr>
        <w:rPr>
          <w:rFonts w:ascii="SimHei" w:hAnsi="SimHei" w:eastAsia="SimHei" w:cs="SimHei"/>
          <w:sz w:val="30"/>
          <w:szCs w:val="30"/>
        </w:rPr>
      </w:pPr>
    </w:p>
    <w:p>
      <w:pPr>
        <w:spacing w:before="23"/>
        <w:rPr/>
      </w:pPr>
      <w:r/>
    </w:p>
    <w:p>
      <w:pPr>
        <w:spacing w:before="23"/>
        <w:rPr/>
      </w:pPr>
      <w:r/>
    </w:p>
    <w:p>
      <w:pPr>
        <w:spacing w:before="23"/>
        <w:rPr/>
      </w:pPr>
      <w:r/>
    </w:p>
    <w:tbl>
      <w:tblPr>
        <w:tblStyle w:val="TableNormal"/>
        <w:tblW w:w="137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24"/>
        <w:gridCol w:w="7554"/>
        <w:gridCol w:w="4511"/>
      </w:tblGrid>
      <w:tr>
        <w:trPr>
          <w:trHeight w:val="824" w:hRule="atLeast"/>
        </w:trPr>
        <w:tc>
          <w:tcPr>
            <w:tcW w:w="1724" w:type="dxa"/>
            <w:vAlign w:val="top"/>
          </w:tcPr>
          <w:p>
            <w:pPr>
              <w:pStyle w:val="TableText"/>
              <w:ind w:left="278"/>
              <w:spacing w:before="172" w:line="220" w:lineRule="auto"/>
              <w:rPr/>
            </w:pPr>
            <w:bookmarkStart w:name="bookmark813" w:id="120"/>
            <w:bookmarkEnd w:id="120"/>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554" w:type="dxa"/>
            <w:vAlign w:val="top"/>
          </w:tcPr>
          <w:p>
            <w:pPr>
              <w:pStyle w:val="TableText"/>
              <w:ind w:left="3204"/>
              <w:spacing w:before="172" w:line="220" w:lineRule="auto"/>
              <w:rPr/>
            </w:pPr>
            <w:r>
              <w:rPr>
                <w:b/>
                <w:bCs/>
                <w:spacing w:val="-5"/>
              </w:rPr>
              <w:t>情节后果</w:t>
            </w:r>
          </w:p>
        </w:tc>
        <w:tc>
          <w:tcPr>
            <w:tcW w:w="4511" w:type="dxa"/>
            <w:vAlign w:val="top"/>
          </w:tcPr>
          <w:p>
            <w:pPr>
              <w:pStyle w:val="TableText"/>
              <w:ind w:left="1700"/>
              <w:spacing w:before="17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759" w:hRule="atLeast"/>
        </w:trPr>
        <w:tc>
          <w:tcPr>
            <w:tcW w:w="1724" w:type="dxa"/>
            <w:vAlign w:val="top"/>
          </w:tcPr>
          <w:p>
            <w:pPr>
              <w:pStyle w:val="TableText"/>
              <w:ind w:left="618"/>
              <w:spacing w:before="147" w:line="219" w:lineRule="auto"/>
              <w:rPr/>
            </w:pPr>
            <w:r>
              <w:rPr>
                <w:b/>
                <w:bCs/>
                <w:spacing w:val="-5"/>
              </w:rPr>
              <w:t>较轻</w:t>
            </w:r>
          </w:p>
        </w:tc>
        <w:tc>
          <w:tcPr>
            <w:tcW w:w="7554" w:type="dxa"/>
            <w:vAlign w:val="top"/>
          </w:tcPr>
          <w:p>
            <w:pPr>
              <w:pStyle w:val="TableText"/>
              <w:ind w:left="121"/>
              <w:spacing w:before="138" w:line="218" w:lineRule="auto"/>
              <w:rPr/>
            </w:pPr>
            <w:r>
              <w:rPr/>
              <w:t>给予警告，可以并处5000元以下的罚款。</w:t>
            </w:r>
          </w:p>
        </w:tc>
        <w:tc>
          <w:tcPr>
            <w:tcW w:w="4511" w:type="dxa"/>
            <w:vAlign w:val="top"/>
          </w:tcPr>
          <w:p>
            <w:pPr>
              <w:pStyle w:val="TableText"/>
              <w:ind w:left="107"/>
              <w:spacing w:before="148" w:line="218" w:lineRule="auto"/>
              <w:rPr/>
            </w:pPr>
            <w:r>
              <w:rPr/>
              <w:t>给予警告，可以并处5000元以下的罚款。</w:t>
            </w:r>
          </w:p>
        </w:tc>
      </w:tr>
      <w:tr>
        <w:trPr>
          <w:trHeight w:val="1538" w:hRule="atLeast"/>
        </w:trPr>
        <w:tc>
          <w:tcPr>
            <w:tcW w:w="1724"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618"/>
              <w:spacing w:before="78" w:line="221" w:lineRule="auto"/>
              <w:rPr/>
            </w:pPr>
            <w:r>
              <w:rPr>
                <w:b/>
                <w:bCs/>
                <w:spacing w:val="-10"/>
              </w:rPr>
              <w:t>一般</w:t>
            </w:r>
          </w:p>
        </w:tc>
        <w:tc>
          <w:tcPr>
            <w:tcW w:w="7554" w:type="dxa"/>
            <w:vAlign w:val="top"/>
          </w:tcPr>
          <w:p>
            <w:pPr>
              <w:pStyle w:val="TableText"/>
              <w:ind w:left="121"/>
              <w:spacing w:before="90" w:line="219" w:lineRule="auto"/>
              <w:rPr/>
            </w:pPr>
            <w:r>
              <w:rPr>
                <w:spacing w:val="-1"/>
              </w:rPr>
              <w:t>责令限期改正后，逾期不改正。</w:t>
            </w:r>
          </w:p>
          <w:p>
            <w:pPr>
              <w:pStyle w:val="TableText"/>
              <w:ind w:left="121" w:right="202" w:firstLine="9"/>
              <w:spacing w:before="135" w:line="364" w:lineRule="auto"/>
              <w:rPr/>
            </w:pPr>
            <w:r>
              <w:rPr/>
              <w:t>未使用符合标准的专用车辆运送医疗废物或者使用运送医疗废物的车</w:t>
            </w:r>
            <w:r>
              <w:rPr>
                <w:spacing w:val="9"/>
              </w:rPr>
              <w:t xml:space="preserve"> </w:t>
            </w:r>
            <w:r>
              <w:rPr>
                <w:spacing w:val="7"/>
              </w:rPr>
              <w:t>辆运送其他物品，时间不足1个月；</w:t>
            </w:r>
          </w:p>
        </w:tc>
        <w:tc>
          <w:tcPr>
            <w:tcW w:w="4511" w:type="dxa"/>
            <w:vAlign w:val="top"/>
          </w:tcPr>
          <w:p>
            <w:pPr>
              <w:spacing w:line="285" w:lineRule="auto"/>
              <w:rPr>
                <w:rFonts w:ascii="Arial"/>
                <w:sz w:val="21"/>
              </w:rPr>
            </w:pPr>
            <w:r/>
          </w:p>
          <w:p>
            <w:pPr>
              <w:spacing w:line="286" w:lineRule="auto"/>
              <w:rPr>
                <w:rFonts w:ascii="Arial"/>
                <w:sz w:val="21"/>
              </w:rPr>
            </w:pPr>
            <w:r/>
          </w:p>
          <w:p>
            <w:pPr>
              <w:pStyle w:val="TableText"/>
              <w:ind w:left="107"/>
              <w:spacing w:before="78" w:line="220" w:lineRule="auto"/>
              <w:rPr/>
            </w:pPr>
            <w:r>
              <w:rPr>
                <w:spacing w:val="7"/>
              </w:rPr>
              <w:t>处5000元以上1万元以下的罚款；</w:t>
            </w:r>
          </w:p>
        </w:tc>
      </w:tr>
      <w:tr>
        <w:trPr>
          <w:trHeight w:val="1517" w:hRule="atLeast"/>
        </w:trPr>
        <w:tc>
          <w:tcPr>
            <w:tcW w:w="1724" w:type="dxa"/>
            <w:vAlign w:val="top"/>
            <w:vMerge w:val="continue"/>
            <w:tcBorders>
              <w:top w:val="nil"/>
              <w:bottom w:val="nil"/>
            </w:tcBorders>
          </w:tcPr>
          <w:p>
            <w:pPr>
              <w:rPr>
                <w:rFonts w:ascii="Arial"/>
                <w:sz w:val="21"/>
              </w:rPr>
            </w:pPr>
            <w:r/>
          </w:p>
        </w:tc>
        <w:tc>
          <w:tcPr>
            <w:tcW w:w="7554" w:type="dxa"/>
            <w:vAlign w:val="top"/>
          </w:tcPr>
          <w:p>
            <w:pPr>
              <w:pStyle w:val="TableText"/>
              <w:ind w:left="124"/>
              <w:spacing w:before="78" w:line="219" w:lineRule="auto"/>
              <w:rPr/>
            </w:pPr>
            <w:r>
              <w:rPr>
                <w:b/>
                <w:bCs/>
                <w:spacing w:val="-3"/>
              </w:rPr>
              <w:t>责令限期改正后，逾期不改正。</w:t>
            </w:r>
          </w:p>
          <w:p>
            <w:pPr>
              <w:pStyle w:val="TableText"/>
              <w:ind w:left="124" w:right="232"/>
              <w:spacing w:before="167" w:line="325" w:lineRule="auto"/>
              <w:rPr/>
            </w:pPr>
            <w:r>
              <w:rPr>
                <w:b/>
                <w:bCs/>
                <w:spacing w:val="-3"/>
              </w:rPr>
              <w:t>未使用符合标准的专用车辆运送医疗废物或者使用运送医疗废物的车</w:t>
            </w:r>
            <w:r>
              <w:rPr/>
              <w:t xml:space="preserve"> </w:t>
            </w:r>
            <w:r>
              <w:rPr>
                <w:b/>
                <w:bCs/>
                <w:spacing w:val="4"/>
              </w:rPr>
              <w:t>辆运送其他物品，时间在1至3个月；</w:t>
            </w:r>
          </w:p>
        </w:tc>
        <w:tc>
          <w:tcPr>
            <w:tcW w:w="4511" w:type="dxa"/>
            <w:vAlign w:val="top"/>
          </w:tcPr>
          <w:p>
            <w:pPr>
              <w:spacing w:line="281" w:lineRule="auto"/>
              <w:rPr>
                <w:rFonts w:ascii="Arial"/>
                <w:sz w:val="21"/>
              </w:rPr>
            </w:pPr>
            <w:r/>
          </w:p>
          <w:p>
            <w:pPr>
              <w:spacing w:line="282" w:lineRule="auto"/>
              <w:rPr>
                <w:rFonts w:ascii="Arial"/>
                <w:sz w:val="21"/>
              </w:rPr>
            </w:pPr>
            <w:r/>
          </w:p>
          <w:p>
            <w:pPr>
              <w:pStyle w:val="TableText"/>
              <w:ind w:left="107"/>
              <w:spacing w:before="78" w:line="220" w:lineRule="auto"/>
              <w:rPr/>
            </w:pPr>
            <w:r>
              <w:rPr>
                <w:spacing w:val="8"/>
              </w:rPr>
              <w:t>处1万元以上2万元以下的罚款；</w:t>
            </w:r>
          </w:p>
        </w:tc>
      </w:tr>
      <w:tr>
        <w:trPr>
          <w:trHeight w:val="1542" w:hRule="atLeast"/>
        </w:trPr>
        <w:tc>
          <w:tcPr>
            <w:tcW w:w="1724" w:type="dxa"/>
            <w:vAlign w:val="top"/>
            <w:vMerge w:val="continue"/>
            <w:tcBorders>
              <w:top w:val="nil"/>
            </w:tcBorders>
          </w:tcPr>
          <w:p>
            <w:pPr>
              <w:rPr>
                <w:rFonts w:ascii="Arial"/>
                <w:sz w:val="21"/>
              </w:rPr>
            </w:pPr>
            <w:r/>
          </w:p>
        </w:tc>
        <w:tc>
          <w:tcPr>
            <w:tcW w:w="7554" w:type="dxa"/>
            <w:vAlign w:val="top"/>
          </w:tcPr>
          <w:p>
            <w:pPr>
              <w:pStyle w:val="TableText"/>
              <w:ind w:left="124"/>
              <w:spacing w:before="101" w:line="219" w:lineRule="auto"/>
              <w:rPr/>
            </w:pPr>
            <w:r>
              <w:rPr>
                <w:b/>
                <w:bCs/>
                <w:spacing w:val="-3"/>
              </w:rPr>
              <w:t>责令限期改正后，逾期不改正。</w:t>
            </w:r>
          </w:p>
          <w:p>
            <w:pPr>
              <w:pStyle w:val="TableText"/>
              <w:ind w:left="124" w:right="222" w:firstLine="9"/>
              <w:spacing w:before="136" w:line="356" w:lineRule="auto"/>
              <w:rPr/>
            </w:pPr>
            <w:r>
              <w:rPr>
                <w:b/>
                <w:bCs/>
                <w:spacing w:val="-3"/>
              </w:rPr>
              <w:t>未使用符合标准的专用车辆运送医疗废物或者使用运送医疗废物的车</w:t>
            </w:r>
            <w:r>
              <w:rPr/>
              <w:t xml:space="preserve"> </w:t>
            </w:r>
            <w:r>
              <w:rPr>
                <w:b/>
                <w:bCs/>
                <w:spacing w:val="-3"/>
              </w:rPr>
              <w:t>辆运送其他物品，时间超过3个月。</w:t>
            </w:r>
          </w:p>
        </w:tc>
        <w:tc>
          <w:tcPr>
            <w:tcW w:w="4511" w:type="dxa"/>
            <w:vAlign w:val="top"/>
          </w:tcPr>
          <w:p>
            <w:pPr>
              <w:spacing w:line="288" w:lineRule="auto"/>
              <w:rPr>
                <w:rFonts w:ascii="Arial"/>
                <w:sz w:val="21"/>
              </w:rPr>
            </w:pPr>
            <w:r/>
          </w:p>
          <w:p>
            <w:pPr>
              <w:spacing w:line="288" w:lineRule="auto"/>
              <w:rPr>
                <w:rFonts w:ascii="Arial"/>
                <w:sz w:val="21"/>
              </w:rPr>
            </w:pPr>
            <w:r/>
          </w:p>
          <w:p>
            <w:pPr>
              <w:pStyle w:val="TableText"/>
              <w:ind w:left="107"/>
              <w:spacing w:before="78" w:line="220" w:lineRule="auto"/>
              <w:rPr/>
            </w:pPr>
            <w:r>
              <w:rPr/>
              <w:t>处2万元以上3万元以下的罚款。</w:t>
            </w:r>
          </w:p>
        </w:tc>
      </w:tr>
    </w:tbl>
    <w:p>
      <w:pPr>
        <w:pStyle w:val="BodyText"/>
        <w:spacing w:line="385" w:lineRule="auto"/>
        <w:rPr/>
      </w:pPr>
      <w:r/>
    </w:p>
    <w:p>
      <w:pPr>
        <w:ind w:left="29" w:firstLine="659"/>
        <w:spacing w:before="104" w:line="259" w:lineRule="auto"/>
        <w:rPr>
          <w:rFonts w:ascii="KaiTi" w:hAnsi="KaiTi" w:eastAsia="KaiTi" w:cs="KaiTi"/>
          <w:sz w:val="32"/>
          <w:szCs w:val="32"/>
        </w:rPr>
      </w:pPr>
      <w:r>
        <w:rPr>
          <w:rFonts w:ascii="KaiTi" w:hAnsi="KaiTi" w:eastAsia="KaiTi" w:cs="KaiTi"/>
          <w:sz w:val="32"/>
          <w:szCs w:val="32"/>
          <w:b/>
          <w:bCs/>
          <w:spacing w:val="-3"/>
        </w:rPr>
        <w:t>第七十六条</w:t>
      </w:r>
      <w:r>
        <w:rPr>
          <w:rFonts w:ascii="KaiTi" w:hAnsi="KaiTi" w:eastAsia="KaiTi" w:cs="KaiTi"/>
          <w:sz w:val="32"/>
          <w:szCs w:val="32"/>
          <w:spacing w:val="-3"/>
        </w:rPr>
        <w:t xml:space="preserve">  </w:t>
      </w:r>
      <w:r>
        <w:rPr>
          <w:rFonts w:ascii="KaiTi" w:hAnsi="KaiTi" w:eastAsia="KaiTi" w:cs="KaiTi"/>
          <w:sz w:val="32"/>
          <w:szCs w:val="32"/>
          <w:b/>
          <w:bCs/>
          <w:spacing w:val="-3"/>
        </w:rPr>
        <w:t>在医疗卫生机构内运送过程中丢弃医疗废物，在非贮存地</w:t>
      </w:r>
      <w:r>
        <w:rPr>
          <w:rFonts w:ascii="KaiTi" w:hAnsi="KaiTi" w:eastAsia="KaiTi" w:cs="KaiTi"/>
          <w:sz w:val="32"/>
          <w:szCs w:val="32"/>
          <w:b/>
          <w:bCs/>
          <w:spacing w:val="-4"/>
        </w:rPr>
        <w:t>点倾倒、堆放医疗废物</w:t>
      </w:r>
      <w:r>
        <w:rPr>
          <w:rFonts w:ascii="KaiTi" w:hAnsi="KaiTi" w:eastAsia="KaiTi" w:cs="KaiTi"/>
          <w:sz w:val="32"/>
          <w:szCs w:val="32"/>
        </w:rPr>
        <w:t xml:space="preserve"> </w:t>
      </w:r>
      <w:r>
        <w:rPr>
          <w:rFonts w:ascii="KaiTi" w:hAnsi="KaiTi" w:eastAsia="KaiTi" w:cs="KaiTi"/>
          <w:sz w:val="32"/>
          <w:szCs w:val="32"/>
          <w:b/>
          <w:bCs/>
          <w:spacing w:val="-5"/>
        </w:rPr>
        <w:t>或者将医疗废物混入其他废物和生活垃圾的</w:t>
      </w:r>
    </w:p>
    <w:p>
      <w:pPr>
        <w:ind w:left="685"/>
        <w:spacing w:before="34"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spacing w:line="222" w:lineRule="auto"/>
        <w:sectPr>
          <w:footerReference w:type="default" r:id="rId154"/>
          <w:pgSz w:w="16830" w:h="11900"/>
          <w:pgMar w:top="1011" w:right="1605" w:bottom="1103" w:left="1414" w:header="0" w:footer="814" w:gutter="0"/>
        </w:sectPr>
        <w:rPr>
          <w:rFonts w:ascii="FangSong" w:hAnsi="FangSong" w:eastAsia="FangSong" w:cs="FangSong"/>
          <w:sz w:val="27"/>
          <w:szCs w:val="27"/>
        </w:rPr>
      </w:pPr>
    </w:p>
    <w:p>
      <w:pPr>
        <w:pStyle w:val="BodyText"/>
        <w:spacing w:line="258" w:lineRule="auto"/>
        <w:rPr/>
      </w:pPr>
      <w:r/>
    </w:p>
    <w:p>
      <w:pPr>
        <w:pStyle w:val="BodyText"/>
        <w:spacing w:line="259" w:lineRule="auto"/>
        <w:rPr/>
      </w:pPr>
      <w:r/>
    </w:p>
    <w:p>
      <w:pPr>
        <w:pStyle w:val="BodyText"/>
        <w:spacing w:line="259" w:lineRule="auto"/>
        <w:rPr/>
      </w:pPr>
      <w:r/>
    </w:p>
    <w:p>
      <w:pPr>
        <w:ind w:right="13" w:firstLine="640"/>
        <w:spacing w:before="98" w:line="265" w:lineRule="auto"/>
        <w:jc w:val="both"/>
        <w:rPr>
          <w:rFonts w:ascii="FangSong" w:hAnsi="FangSong" w:eastAsia="FangSong" w:cs="FangSong"/>
          <w:sz w:val="30"/>
          <w:szCs w:val="30"/>
        </w:rPr>
      </w:pPr>
      <w:r>
        <w:rPr>
          <w:rFonts w:ascii="FangSong" w:hAnsi="FangSong" w:eastAsia="FangSong" w:cs="FangSong"/>
          <w:sz w:val="30"/>
          <w:szCs w:val="30"/>
          <w:spacing w:val="27"/>
        </w:rPr>
        <w:t>《医疗废物管理条例》第四十七条第(一)项</w:t>
      </w:r>
      <w:r>
        <w:rPr>
          <w:rFonts w:ascii="FangSong" w:hAnsi="FangSong" w:eastAsia="FangSong" w:cs="FangSong"/>
          <w:sz w:val="30"/>
          <w:szCs w:val="30"/>
          <w:spacing w:val="27"/>
        </w:rPr>
        <w:t xml:space="preserve">   </w:t>
      </w:r>
      <w:r>
        <w:rPr>
          <w:rFonts w:ascii="FangSong" w:hAnsi="FangSong" w:eastAsia="FangSong" w:cs="FangSong"/>
          <w:sz w:val="30"/>
          <w:szCs w:val="30"/>
          <w:spacing w:val="27"/>
        </w:rPr>
        <w:t>医疗卫生机构、医疗废物集中处置单位有下列</w:t>
      </w:r>
      <w:r>
        <w:rPr>
          <w:rFonts w:ascii="FangSong" w:hAnsi="FangSong" w:eastAsia="FangSong" w:cs="FangSong"/>
          <w:sz w:val="30"/>
          <w:szCs w:val="30"/>
          <w:spacing w:val="1"/>
        </w:rPr>
        <w:t xml:space="preserve"> </w:t>
      </w:r>
      <w:r>
        <w:rPr>
          <w:rFonts w:ascii="FangSong" w:hAnsi="FangSong" w:eastAsia="FangSong" w:cs="FangSong"/>
          <w:sz w:val="30"/>
          <w:szCs w:val="30"/>
          <w:spacing w:val="16"/>
        </w:rPr>
        <w:t>情形之一的，由县级以上地方人民政府卫生行政主管部门或者环境保护行政主管部门按照各自的职责</w:t>
      </w:r>
      <w:r>
        <w:rPr>
          <w:rFonts w:ascii="FangSong" w:hAnsi="FangSong" w:eastAsia="FangSong" w:cs="FangSong"/>
          <w:sz w:val="30"/>
          <w:szCs w:val="30"/>
          <w:spacing w:val="11"/>
        </w:rPr>
        <w:t xml:space="preserve"> </w:t>
      </w:r>
      <w:r>
        <w:rPr>
          <w:rFonts w:ascii="FangSong" w:hAnsi="FangSong" w:eastAsia="FangSong" w:cs="FangSong"/>
          <w:sz w:val="30"/>
          <w:szCs w:val="30"/>
          <w:spacing w:val="33"/>
        </w:rPr>
        <w:t>责令限期改正，给予警告，并处5000元以上1万元以下的罚款；逾期不改正的，处1</w:t>
      </w:r>
      <w:r>
        <w:rPr>
          <w:rFonts w:ascii="FangSong" w:hAnsi="FangSong" w:eastAsia="FangSong" w:cs="FangSong"/>
          <w:sz w:val="30"/>
          <w:szCs w:val="30"/>
          <w:spacing w:val="32"/>
        </w:rPr>
        <w:t>万元以上3万</w:t>
      </w:r>
      <w:r>
        <w:rPr>
          <w:rFonts w:ascii="FangSong" w:hAnsi="FangSong" w:eastAsia="FangSong" w:cs="FangSong"/>
          <w:sz w:val="30"/>
          <w:szCs w:val="30"/>
        </w:rPr>
        <w:t xml:space="preserve"> </w:t>
      </w:r>
      <w:r>
        <w:rPr>
          <w:rFonts w:ascii="FangSong" w:hAnsi="FangSong" w:eastAsia="FangSong" w:cs="FangSong"/>
          <w:sz w:val="30"/>
          <w:szCs w:val="30"/>
          <w:spacing w:val="17"/>
        </w:rPr>
        <w:t>元以下的罚款；造成传染病传播或者环境污染事故的，由原发证</w:t>
      </w:r>
      <w:r>
        <w:rPr>
          <w:rFonts w:ascii="FangSong" w:hAnsi="FangSong" w:eastAsia="FangSong" w:cs="FangSong"/>
          <w:sz w:val="30"/>
          <w:szCs w:val="30"/>
          <w:spacing w:val="16"/>
        </w:rPr>
        <w:t>部门暂扣或者吊销执业许可证件或者</w:t>
      </w:r>
      <w:r>
        <w:rPr>
          <w:rFonts w:ascii="FangSong" w:hAnsi="FangSong" w:eastAsia="FangSong" w:cs="FangSong"/>
          <w:sz w:val="30"/>
          <w:szCs w:val="30"/>
        </w:rPr>
        <w:t xml:space="preserve"> </w:t>
      </w:r>
      <w:r>
        <w:rPr>
          <w:rFonts w:ascii="FangSong" w:hAnsi="FangSong" w:eastAsia="FangSong" w:cs="FangSong"/>
          <w:sz w:val="30"/>
          <w:szCs w:val="30"/>
          <w:spacing w:val="16"/>
        </w:rPr>
        <w:t>经营许可证件；构成犯罪的，依法追究刑事责任：</w:t>
      </w:r>
    </w:p>
    <w:p>
      <w:pPr>
        <w:ind w:right="36" w:firstLine="790"/>
        <w:spacing w:before="42" w:line="266" w:lineRule="auto"/>
        <w:rPr>
          <w:rFonts w:ascii="FangSong" w:hAnsi="FangSong" w:eastAsia="FangSong" w:cs="FangSong"/>
          <w:sz w:val="30"/>
          <w:szCs w:val="30"/>
        </w:rPr>
      </w:pPr>
      <w:r>
        <w:rPr>
          <w:rFonts w:ascii="FangSong" w:hAnsi="FangSong" w:eastAsia="FangSong" w:cs="FangSong"/>
          <w:sz w:val="30"/>
          <w:szCs w:val="30"/>
          <w:spacing w:val="20"/>
        </w:rPr>
        <w:t>(一)在运送过程中丢弃医疗废物，在非贮存地点倾倒、堆放医疗废物或者将医疗废物混入其他</w:t>
      </w:r>
      <w:r>
        <w:rPr>
          <w:rFonts w:ascii="FangSong" w:hAnsi="FangSong" w:eastAsia="FangSong" w:cs="FangSong"/>
          <w:sz w:val="30"/>
          <w:szCs w:val="30"/>
        </w:rPr>
        <w:t xml:space="preserve"> </w:t>
      </w:r>
      <w:r>
        <w:rPr>
          <w:rFonts w:ascii="FangSong" w:hAnsi="FangSong" w:eastAsia="FangSong" w:cs="FangSong"/>
          <w:sz w:val="30"/>
          <w:szCs w:val="30"/>
          <w:spacing w:val="8"/>
        </w:rPr>
        <w:t>废物和生活垃圾的；</w:t>
      </w:r>
    </w:p>
    <w:p>
      <w:pPr>
        <w:ind w:firstLine="640"/>
        <w:spacing w:before="12" w:line="272" w:lineRule="auto"/>
        <w:rPr>
          <w:rFonts w:ascii="FangSong" w:hAnsi="FangSong" w:eastAsia="FangSong" w:cs="FangSong"/>
          <w:sz w:val="30"/>
          <w:szCs w:val="30"/>
        </w:rPr>
      </w:pPr>
      <w:r>
        <w:rPr>
          <w:rFonts w:ascii="FangSong" w:hAnsi="FangSong" w:eastAsia="FangSong" w:cs="FangSong"/>
          <w:sz w:val="30"/>
          <w:szCs w:val="30"/>
          <w:spacing w:val="20"/>
        </w:rPr>
        <w:t>《医疗废物管理条例》第十四条第二款</w:t>
      </w:r>
      <w:r>
        <w:rPr>
          <w:rFonts w:ascii="FangSong" w:hAnsi="FangSong" w:eastAsia="FangSong" w:cs="FangSong"/>
          <w:sz w:val="30"/>
          <w:szCs w:val="30"/>
          <w:spacing w:val="20"/>
        </w:rPr>
        <w:t xml:space="preserve">   </w:t>
      </w:r>
      <w:r>
        <w:rPr>
          <w:rFonts w:ascii="FangSong" w:hAnsi="FangSong" w:eastAsia="FangSong" w:cs="FangSong"/>
          <w:sz w:val="30"/>
          <w:szCs w:val="30"/>
          <w:spacing w:val="20"/>
        </w:rPr>
        <w:t>禁止在运送过程中丢弃医疗废物；禁止在非贮存地点</w:t>
      </w:r>
      <w:r>
        <w:rPr>
          <w:rFonts w:ascii="FangSong" w:hAnsi="FangSong" w:eastAsia="FangSong" w:cs="FangSong"/>
          <w:sz w:val="30"/>
          <w:szCs w:val="30"/>
          <w:spacing w:val="16"/>
        </w:rPr>
        <w:t xml:space="preserve"> </w:t>
      </w:r>
      <w:r>
        <w:rPr>
          <w:rFonts w:ascii="FangSong" w:hAnsi="FangSong" w:eastAsia="FangSong" w:cs="FangSong"/>
          <w:sz w:val="30"/>
          <w:szCs w:val="30"/>
          <w:spacing w:val="17"/>
        </w:rPr>
        <w:t>倾倒、堆放医疗废物或者将医疗废物混入其他废物和生活垃圾。</w:t>
      </w:r>
    </w:p>
    <w:p>
      <w:pPr>
        <w:ind w:right="55"/>
        <w:spacing w:before="1" w:line="270" w:lineRule="auto"/>
        <w:jc w:val="both"/>
        <w:rPr>
          <w:rFonts w:ascii="FangSong" w:hAnsi="FangSong" w:eastAsia="FangSong" w:cs="FangSong"/>
          <w:sz w:val="30"/>
          <w:szCs w:val="30"/>
        </w:rPr>
      </w:pPr>
      <w:r>
        <w:rPr>
          <w:rFonts w:ascii="FangSong" w:hAnsi="FangSong" w:eastAsia="FangSong" w:cs="FangSong"/>
          <w:sz w:val="30"/>
          <w:szCs w:val="30"/>
          <w:spacing w:val="24"/>
        </w:rPr>
        <w:t>医疗废物管理行政处罚办法》第七条第一项医疗</w:t>
      </w:r>
      <w:r>
        <w:rPr>
          <w:rFonts w:ascii="FangSong" w:hAnsi="FangSong" w:eastAsia="FangSong" w:cs="FangSong"/>
          <w:sz w:val="30"/>
          <w:szCs w:val="30"/>
          <w:spacing w:val="23"/>
        </w:rPr>
        <w:t>卫生机构有《条例》第四十七条规定的下列情形之</w:t>
      </w:r>
      <w:r>
        <w:rPr>
          <w:rFonts w:ascii="FangSong" w:hAnsi="FangSong" w:eastAsia="FangSong" w:cs="FangSong"/>
          <w:sz w:val="30"/>
          <w:szCs w:val="30"/>
        </w:rPr>
        <w:t xml:space="preserve"> </w:t>
      </w:r>
      <w:r>
        <w:rPr>
          <w:rFonts w:ascii="FangSong" w:hAnsi="FangSong" w:eastAsia="FangSong" w:cs="FangSong"/>
          <w:sz w:val="30"/>
          <w:szCs w:val="30"/>
          <w:spacing w:val="26"/>
        </w:rPr>
        <w:t>一的，由县级以上地方人民政府卫生行政主管部门责令限期改正，给予警告，</w:t>
      </w:r>
      <w:r>
        <w:rPr>
          <w:rFonts w:ascii="FangSong" w:hAnsi="FangSong" w:eastAsia="FangSong" w:cs="FangSong"/>
          <w:sz w:val="30"/>
          <w:szCs w:val="30"/>
          <w:spacing w:val="25"/>
        </w:rPr>
        <w:t>并处5000元以上1万</w:t>
      </w:r>
      <w:r>
        <w:rPr>
          <w:rFonts w:ascii="FangSong" w:hAnsi="FangSong" w:eastAsia="FangSong" w:cs="FangSong"/>
          <w:sz w:val="30"/>
          <w:szCs w:val="30"/>
        </w:rPr>
        <w:t xml:space="preserve"> </w:t>
      </w:r>
      <w:r>
        <w:rPr>
          <w:rFonts w:ascii="FangSong" w:hAnsi="FangSong" w:eastAsia="FangSong" w:cs="FangSong"/>
          <w:sz w:val="30"/>
          <w:szCs w:val="30"/>
          <w:spacing w:val="21"/>
        </w:rPr>
        <w:t>元以下的罚款；逾期不改正的，处1万元以上3万元以下的罚款：</w:t>
      </w:r>
    </w:p>
    <w:p>
      <w:pPr>
        <w:ind w:right="35" w:firstLine="670"/>
        <w:spacing w:before="1" w:line="266" w:lineRule="auto"/>
        <w:rPr>
          <w:rFonts w:ascii="FangSong" w:hAnsi="FangSong" w:eastAsia="FangSong" w:cs="FangSong"/>
          <w:sz w:val="30"/>
          <w:szCs w:val="30"/>
        </w:rPr>
      </w:pPr>
      <w:r>
        <w:rPr>
          <w:rFonts w:ascii="FangSong" w:hAnsi="FangSong" w:eastAsia="FangSong" w:cs="FangSong"/>
          <w:sz w:val="30"/>
          <w:szCs w:val="30"/>
          <w:spacing w:val="21"/>
        </w:rPr>
        <w:t>(</w:t>
      </w:r>
      <w:r>
        <w:rPr>
          <w:rFonts w:ascii="FangSong" w:hAnsi="FangSong" w:eastAsia="FangSong" w:cs="FangSong"/>
          <w:sz w:val="30"/>
          <w:szCs w:val="30"/>
          <w:spacing w:val="-85"/>
        </w:rPr>
        <w:t xml:space="preserve"> </w:t>
      </w:r>
      <w:r>
        <w:rPr>
          <w:rFonts w:ascii="FangSong" w:hAnsi="FangSong" w:eastAsia="FangSong" w:cs="FangSong"/>
          <w:sz w:val="30"/>
          <w:szCs w:val="30"/>
          <w:spacing w:val="21"/>
        </w:rPr>
        <w:t>一)</w:t>
      </w:r>
      <w:r>
        <w:rPr>
          <w:rFonts w:ascii="FangSong" w:hAnsi="FangSong" w:eastAsia="FangSong" w:cs="FangSong"/>
          <w:sz w:val="30"/>
          <w:szCs w:val="30"/>
          <w:spacing w:val="21"/>
        </w:rPr>
        <w:t xml:space="preserve">  </w:t>
      </w:r>
      <w:r>
        <w:rPr>
          <w:rFonts w:ascii="FangSong" w:hAnsi="FangSong" w:eastAsia="FangSong" w:cs="FangSong"/>
          <w:sz w:val="30"/>
          <w:szCs w:val="30"/>
          <w:spacing w:val="21"/>
        </w:rPr>
        <w:t>在医疗卫生机构内运送过程中丢弃医疗废物，在非贮存地点倾倒、堆放</w:t>
      </w:r>
      <w:r>
        <w:rPr>
          <w:rFonts w:ascii="FangSong" w:hAnsi="FangSong" w:eastAsia="FangSong" w:cs="FangSong"/>
          <w:sz w:val="30"/>
          <w:szCs w:val="30"/>
          <w:spacing w:val="20"/>
        </w:rPr>
        <w:t>医疗废物或者将</w:t>
      </w:r>
      <w:r>
        <w:rPr>
          <w:rFonts w:ascii="FangSong" w:hAnsi="FangSong" w:eastAsia="FangSong" w:cs="FangSong"/>
          <w:sz w:val="30"/>
          <w:szCs w:val="30"/>
        </w:rPr>
        <w:t xml:space="preserve"> </w:t>
      </w:r>
      <w:r>
        <w:rPr>
          <w:rFonts w:ascii="FangSong" w:hAnsi="FangSong" w:eastAsia="FangSong" w:cs="FangSong"/>
          <w:sz w:val="30"/>
          <w:szCs w:val="30"/>
          <w:spacing w:val="12"/>
        </w:rPr>
        <w:t>医疗废物混入其他废物和生活垃圾的；</w:t>
      </w:r>
    </w:p>
    <w:p>
      <w:pPr>
        <w:pStyle w:val="BodyText"/>
        <w:spacing w:line="263" w:lineRule="auto"/>
        <w:rPr/>
      </w:pPr>
      <w: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6340"/>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9"/>
        </w:rPr>
        <w:t>—</w:t>
      </w:r>
      <w:r>
        <w:rPr>
          <w:rFonts w:ascii="Times New Roman" w:hAnsi="Times New Roman" w:eastAsia="Times New Roman" w:cs="Times New Roman"/>
          <w:sz w:val="37"/>
          <w:szCs w:val="37"/>
          <w:spacing w:val="-54"/>
        </w:rPr>
        <w:t xml:space="preserve"> </w:t>
      </w:r>
      <w:r>
        <w:rPr>
          <w:rFonts w:ascii="Times New Roman" w:hAnsi="Times New Roman" w:eastAsia="Times New Roman" w:cs="Times New Roman"/>
          <w:sz w:val="37"/>
          <w:szCs w:val="37"/>
          <w:spacing w:val="-19"/>
        </w:rPr>
        <w:t>165—</w:t>
      </w:r>
    </w:p>
    <w:p>
      <w:pPr>
        <w:spacing w:line="188" w:lineRule="auto"/>
        <w:sectPr>
          <w:footerReference w:type="default" r:id="rId24"/>
          <w:pgSz w:w="16830" w:h="11900"/>
          <w:pgMar w:top="1011" w:right="1422" w:bottom="400" w:left="1439" w:header="0" w:footer="0" w:gutter="0"/>
        </w:sectPr>
        <w:rPr>
          <w:rFonts w:ascii="Times New Roman" w:hAnsi="Times New Roman" w:eastAsia="Times New Roman" w:cs="Times New Roman"/>
          <w:sz w:val="37"/>
          <w:szCs w:val="37"/>
        </w:rPr>
      </w:pPr>
    </w:p>
    <w:p>
      <w:pPr>
        <w:pStyle w:val="BodyText"/>
        <w:spacing w:line="250" w:lineRule="auto"/>
        <w:rPr/>
      </w:pPr>
      <w:r/>
    </w:p>
    <w:p>
      <w:pPr>
        <w:pStyle w:val="BodyText"/>
        <w:spacing w:line="250" w:lineRule="auto"/>
        <w:rPr/>
      </w:pPr>
      <w:r/>
    </w:p>
    <w:p>
      <w:pPr>
        <w:pStyle w:val="BodyText"/>
        <w:spacing w:line="251" w:lineRule="auto"/>
        <w:rPr/>
      </w:pPr>
      <w:r/>
    </w:p>
    <w:p>
      <w:pPr>
        <w:ind w:left="6319"/>
        <w:spacing w:before="98" w:line="221" w:lineRule="auto"/>
        <w:outlineLvl w:val="1"/>
        <w:rPr>
          <w:rFonts w:ascii="SimHei" w:hAnsi="SimHei" w:eastAsia="SimHei" w:cs="SimHei"/>
          <w:sz w:val="30"/>
          <w:szCs w:val="30"/>
        </w:rPr>
      </w:pPr>
      <w:bookmarkStart w:name="bookmark814" w:id="121"/>
      <w:bookmarkEnd w:id="121"/>
      <w:bookmarkStart w:name="bookmark186" w:id="122"/>
      <w:bookmarkEnd w:id="122"/>
      <w:r>
        <w:rPr>
          <w:rFonts w:ascii="SimHei" w:hAnsi="SimHei" w:eastAsia="SimHei" w:cs="SimHei"/>
          <w:sz w:val="30"/>
          <w:szCs w:val="30"/>
          <w:b/>
          <w:bCs/>
          <w:spacing w:val="-17"/>
        </w:rPr>
        <w:t>裁量标准</w:t>
      </w:r>
    </w:p>
    <w:p>
      <w:pPr>
        <w:spacing w:line="210" w:lineRule="exact"/>
        <w:rPr/>
      </w:pPr>
      <w:r/>
    </w:p>
    <w:tbl>
      <w:tblPr>
        <w:tblStyle w:val="TableNormal"/>
        <w:tblW w:w="137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74"/>
        <w:gridCol w:w="6675"/>
        <w:gridCol w:w="5181"/>
      </w:tblGrid>
      <w:tr>
        <w:trPr>
          <w:trHeight w:val="842" w:hRule="atLeast"/>
        </w:trPr>
        <w:tc>
          <w:tcPr>
            <w:tcW w:w="1874" w:type="dxa"/>
            <w:vAlign w:val="top"/>
          </w:tcPr>
          <w:p>
            <w:pPr>
              <w:pStyle w:val="TableText"/>
              <w:ind w:left="348"/>
              <w:spacing w:before="17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6675" w:type="dxa"/>
            <w:vAlign w:val="top"/>
          </w:tcPr>
          <w:p>
            <w:pPr>
              <w:pStyle w:val="TableText"/>
              <w:ind w:left="2764"/>
              <w:spacing w:before="192" w:line="220" w:lineRule="auto"/>
              <w:rPr/>
            </w:pPr>
            <w:r>
              <w:rPr>
                <w:b/>
                <w:bCs/>
                <w:spacing w:val="-5"/>
              </w:rPr>
              <w:t>情节后果</w:t>
            </w:r>
          </w:p>
        </w:tc>
        <w:tc>
          <w:tcPr>
            <w:tcW w:w="5181" w:type="dxa"/>
            <w:vAlign w:val="top"/>
          </w:tcPr>
          <w:p>
            <w:pPr>
              <w:pStyle w:val="TableText"/>
              <w:ind w:left="2009"/>
              <w:spacing w:before="18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28" w:hRule="atLeast"/>
        </w:trPr>
        <w:tc>
          <w:tcPr>
            <w:tcW w:w="1874" w:type="dxa"/>
            <w:vAlign w:val="top"/>
          </w:tcPr>
          <w:p>
            <w:pPr>
              <w:pStyle w:val="TableText"/>
              <w:ind w:left="688"/>
              <w:spacing w:before="79" w:line="219" w:lineRule="auto"/>
              <w:rPr/>
            </w:pPr>
            <w:r>
              <w:rPr>
                <w:b/>
                <w:bCs/>
                <w:spacing w:val="-6"/>
              </w:rPr>
              <w:t>轻微</w:t>
            </w:r>
          </w:p>
        </w:tc>
        <w:tc>
          <w:tcPr>
            <w:tcW w:w="6675" w:type="dxa"/>
            <w:vAlign w:val="top"/>
          </w:tcPr>
          <w:p>
            <w:pPr>
              <w:pStyle w:val="TableText"/>
              <w:ind w:left="121"/>
              <w:spacing w:before="103" w:line="219" w:lineRule="auto"/>
              <w:rPr/>
            </w:pPr>
            <w:r>
              <w:rPr>
                <w:spacing w:val="-1"/>
              </w:rPr>
              <w:t>首次发现违法行为，未造成后果。</w:t>
            </w:r>
          </w:p>
        </w:tc>
        <w:tc>
          <w:tcPr>
            <w:tcW w:w="5181" w:type="dxa"/>
            <w:vAlign w:val="top"/>
          </w:tcPr>
          <w:p>
            <w:pPr>
              <w:pStyle w:val="TableText"/>
              <w:ind w:left="185"/>
              <w:spacing w:before="80" w:line="218" w:lineRule="auto"/>
              <w:rPr/>
            </w:pPr>
            <w:r>
              <w:rPr/>
              <w:t>给予警告，并处5000元以上1万元以下的罚款。</w:t>
            </w:r>
          </w:p>
        </w:tc>
      </w:tr>
      <w:tr>
        <w:trPr>
          <w:trHeight w:val="648" w:hRule="atLeast"/>
        </w:trPr>
        <w:tc>
          <w:tcPr>
            <w:tcW w:w="1874" w:type="dxa"/>
            <w:vAlign w:val="top"/>
          </w:tcPr>
          <w:p>
            <w:pPr>
              <w:pStyle w:val="TableText"/>
              <w:ind w:left="688"/>
              <w:spacing w:before="102" w:line="221" w:lineRule="auto"/>
              <w:rPr/>
            </w:pPr>
            <w:r>
              <w:rPr>
                <w:b/>
                <w:bCs/>
                <w:spacing w:val="-10"/>
              </w:rPr>
              <w:t>一般</w:t>
            </w:r>
          </w:p>
        </w:tc>
        <w:tc>
          <w:tcPr>
            <w:tcW w:w="6675" w:type="dxa"/>
            <w:vAlign w:val="top"/>
          </w:tcPr>
          <w:p>
            <w:pPr>
              <w:pStyle w:val="TableText"/>
              <w:ind w:left="121"/>
              <w:spacing w:before="103" w:line="219" w:lineRule="auto"/>
              <w:rPr/>
            </w:pPr>
            <w:r>
              <w:rPr>
                <w:spacing w:val="-1"/>
              </w:rPr>
              <w:t>责令限期改正后，逾期不改正。</w:t>
            </w:r>
          </w:p>
        </w:tc>
        <w:tc>
          <w:tcPr>
            <w:tcW w:w="5181" w:type="dxa"/>
            <w:vAlign w:val="top"/>
          </w:tcPr>
          <w:p>
            <w:pPr>
              <w:pStyle w:val="TableText"/>
              <w:ind w:left="126"/>
              <w:spacing w:before="105" w:line="220" w:lineRule="auto"/>
              <w:rPr/>
            </w:pPr>
            <w:r>
              <w:rPr/>
              <w:t>处1万元以上2万元以下的罚款。</w:t>
            </w:r>
          </w:p>
        </w:tc>
      </w:tr>
      <w:tr>
        <w:trPr>
          <w:trHeight w:val="1092" w:hRule="atLeast"/>
        </w:trPr>
        <w:tc>
          <w:tcPr>
            <w:tcW w:w="1874" w:type="dxa"/>
            <w:vAlign w:val="top"/>
          </w:tcPr>
          <w:p>
            <w:pPr>
              <w:pStyle w:val="TableText"/>
              <w:ind w:left="688"/>
              <w:spacing w:before="304" w:line="220" w:lineRule="auto"/>
              <w:rPr/>
            </w:pPr>
            <w:r>
              <w:rPr>
                <w:b/>
                <w:bCs/>
                <w:spacing w:val="-6"/>
              </w:rPr>
              <w:t>严重</w:t>
            </w:r>
          </w:p>
        </w:tc>
        <w:tc>
          <w:tcPr>
            <w:tcW w:w="6675" w:type="dxa"/>
            <w:vAlign w:val="top"/>
          </w:tcPr>
          <w:p>
            <w:pPr>
              <w:pStyle w:val="TableText"/>
              <w:ind w:left="121"/>
              <w:spacing w:before="305" w:line="219" w:lineRule="auto"/>
              <w:rPr/>
            </w:pPr>
            <w:r>
              <w:rPr>
                <w:spacing w:val="-1"/>
              </w:rPr>
              <w:t>造成传染病传播。</w:t>
            </w:r>
          </w:p>
        </w:tc>
        <w:tc>
          <w:tcPr>
            <w:tcW w:w="5181" w:type="dxa"/>
            <w:vAlign w:val="top"/>
          </w:tcPr>
          <w:p>
            <w:pPr>
              <w:pStyle w:val="TableText"/>
              <w:ind w:left="126" w:right="4" w:firstLine="59"/>
              <w:spacing w:before="87" w:line="340" w:lineRule="auto"/>
              <w:rPr/>
            </w:pPr>
            <w:r>
              <w:rPr>
                <w:spacing w:val="1"/>
              </w:rPr>
              <w:t>处2万元以上3万元以下的罚款，由原发证部门</w:t>
            </w:r>
            <w:r>
              <w:rPr>
                <w:spacing w:val="2"/>
              </w:rPr>
              <w:t xml:space="preserve">  </w:t>
            </w:r>
            <w:r>
              <w:rPr/>
              <w:t>暂扣或者吊销执业许可证件或者经营许可证件。</w:t>
            </w:r>
          </w:p>
        </w:tc>
      </w:tr>
    </w:tbl>
    <w:p>
      <w:pPr>
        <w:ind w:left="25" w:right="86" w:firstLine="654"/>
        <w:spacing w:before="87" w:line="265" w:lineRule="auto"/>
        <w:rPr>
          <w:rFonts w:ascii="FangSong" w:hAnsi="FangSong" w:eastAsia="FangSong" w:cs="FangSong"/>
          <w:sz w:val="30"/>
          <w:szCs w:val="30"/>
        </w:rPr>
      </w:pPr>
      <w:r>
        <w:rPr>
          <w:rFonts w:ascii="FangSong" w:hAnsi="FangSong" w:eastAsia="FangSong" w:cs="FangSong"/>
          <w:sz w:val="30"/>
          <w:szCs w:val="30"/>
          <w:b/>
          <w:bCs/>
          <w:spacing w:val="21"/>
        </w:rPr>
        <w:t>第七十七条医疗卫生机构未按照医疗废物管</w:t>
      </w:r>
      <w:r>
        <w:rPr>
          <w:rFonts w:ascii="FangSong" w:hAnsi="FangSong" w:eastAsia="FangSong" w:cs="FangSong"/>
          <w:sz w:val="30"/>
          <w:szCs w:val="30"/>
          <w:b/>
          <w:bCs/>
          <w:spacing w:val="20"/>
        </w:rPr>
        <w:t>理条例的规定对污水、传染病病人或者疑似传染病</w:t>
      </w:r>
      <w:r>
        <w:rPr>
          <w:rFonts w:ascii="FangSong" w:hAnsi="FangSong" w:eastAsia="FangSong" w:cs="FangSong"/>
          <w:sz w:val="30"/>
          <w:szCs w:val="30"/>
        </w:rPr>
        <w:t xml:space="preserve"> </w:t>
      </w:r>
      <w:r>
        <w:rPr>
          <w:rFonts w:ascii="FangSong" w:hAnsi="FangSong" w:eastAsia="FangSong" w:cs="FangSong"/>
          <w:sz w:val="30"/>
          <w:szCs w:val="30"/>
          <w:spacing w:val="18"/>
        </w:rPr>
        <w:t>病</w:t>
      </w:r>
      <w:r>
        <w:rPr>
          <w:rFonts w:ascii="FangSong" w:hAnsi="FangSong" w:eastAsia="FangSong" w:cs="FangSong"/>
          <w:sz w:val="30"/>
          <w:szCs w:val="30"/>
          <w:b/>
          <w:bCs/>
          <w:spacing w:val="18"/>
        </w:rPr>
        <w:t>人的排泄物，进行严格消毒，或者未达到国家规定的排放标准，排入</w:t>
      </w:r>
      <w:r>
        <w:rPr>
          <w:rFonts w:ascii="FangSong" w:hAnsi="FangSong" w:eastAsia="FangSong" w:cs="FangSong"/>
          <w:sz w:val="30"/>
          <w:szCs w:val="30"/>
          <w:b/>
          <w:bCs/>
          <w:spacing w:val="17"/>
        </w:rPr>
        <w:t>污水处理系统的</w:t>
      </w:r>
    </w:p>
    <w:p>
      <w:pPr>
        <w:ind w:left="685"/>
        <w:spacing w:before="6"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right="36" w:firstLine="640"/>
        <w:spacing w:before="108" w:line="268" w:lineRule="auto"/>
        <w:jc w:val="both"/>
        <w:rPr>
          <w:rFonts w:ascii="FangSong" w:hAnsi="FangSong" w:eastAsia="FangSong" w:cs="FangSong"/>
          <w:sz w:val="30"/>
          <w:szCs w:val="30"/>
        </w:rPr>
      </w:pPr>
      <w:r>
        <w:rPr>
          <w:rFonts w:ascii="FangSong" w:hAnsi="FangSong" w:eastAsia="FangSong" w:cs="FangSong"/>
          <w:sz w:val="30"/>
          <w:szCs w:val="30"/>
          <w:spacing w:val="28"/>
        </w:rPr>
        <w:t>《医疗废物管理条例》第四十七条第(五)项</w:t>
      </w:r>
      <w:r>
        <w:rPr>
          <w:rFonts w:ascii="FangSong" w:hAnsi="FangSong" w:eastAsia="FangSong" w:cs="FangSong"/>
          <w:sz w:val="30"/>
          <w:szCs w:val="30"/>
          <w:spacing w:val="28"/>
        </w:rPr>
        <w:t xml:space="preserve"> </w:t>
      </w:r>
      <w:r>
        <w:rPr>
          <w:rFonts w:ascii="FangSong" w:hAnsi="FangSong" w:eastAsia="FangSong" w:cs="FangSong"/>
          <w:sz w:val="30"/>
          <w:szCs w:val="30"/>
          <w:spacing w:val="27"/>
        </w:rPr>
        <w:t xml:space="preserve">  </w:t>
      </w:r>
      <w:r>
        <w:rPr>
          <w:rFonts w:ascii="FangSong" w:hAnsi="FangSong" w:eastAsia="FangSong" w:cs="FangSong"/>
          <w:sz w:val="30"/>
          <w:szCs w:val="30"/>
          <w:spacing w:val="27"/>
        </w:rPr>
        <w:t>医疗卫生机构、医疗废物集中处置单位有下列</w:t>
      </w:r>
      <w:r>
        <w:rPr>
          <w:rFonts w:ascii="FangSong" w:hAnsi="FangSong" w:eastAsia="FangSong" w:cs="FangSong"/>
          <w:sz w:val="30"/>
          <w:szCs w:val="30"/>
        </w:rPr>
        <w:t xml:space="preserve"> </w:t>
      </w:r>
      <w:r>
        <w:rPr>
          <w:rFonts w:ascii="FangSong" w:hAnsi="FangSong" w:eastAsia="FangSong" w:cs="FangSong"/>
          <w:sz w:val="30"/>
          <w:szCs w:val="30"/>
          <w:spacing w:val="16"/>
        </w:rPr>
        <w:t>情形之一的，由县级以上地方人民政府卫生行政主管部门或者环境保护行政主管部门按照各自的职责</w:t>
      </w:r>
      <w:r>
        <w:rPr>
          <w:rFonts w:ascii="FangSong" w:hAnsi="FangSong" w:eastAsia="FangSong" w:cs="FangSong"/>
          <w:sz w:val="30"/>
          <w:szCs w:val="30"/>
          <w:spacing w:val="2"/>
        </w:rPr>
        <w:t xml:space="preserve"> </w:t>
      </w:r>
      <w:r>
        <w:rPr>
          <w:rFonts w:ascii="FangSong" w:hAnsi="FangSong" w:eastAsia="FangSong" w:cs="FangSong"/>
          <w:sz w:val="30"/>
          <w:szCs w:val="30"/>
          <w:spacing w:val="33"/>
        </w:rPr>
        <w:t>责令限期改正，给予警告，并处5000元以上1万元以下的罚款；</w:t>
      </w:r>
      <w:r>
        <w:rPr>
          <w:rFonts w:ascii="FangSong" w:hAnsi="FangSong" w:eastAsia="FangSong" w:cs="FangSong"/>
          <w:sz w:val="30"/>
          <w:szCs w:val="30"/>
          <w:spacing w:val="32"/>
        </w:rPr>
        <w:t>逾期不改正的，处1万元以上3万</w:t>
      </w:r>
      <w:r>
        <w:rPr>
          <w:rFonts w:ascii="FangSong" w:hAnsi="FangSong" w:eastAsia="FangSong" w:cs="FangSong"/>
          <w:sz w:val="30"/>
          <w:szCs w:val="30"/>
        </w:rPr>
        <w:t xml:space="preserve"> </w:t>
      </w:r>
      <w:r>
        <w:rPr>
          <w:rFonts w:ascii="FangSong" w:hAnsi="FangSong" w:eastAsia="FangSong" w:cs="FangSong"/>
          <w:sz w:val="30"/>
          <w:szCs w:val="30"/>
          <w:spacing w:val="16"/>
        </w:rPr>
        <w:t>元以下的罚款；造成传染病传播或者环境污染事故的，由原发证部门暂扣或者吊销执业许可证件或者</w:t>
      </w:r>
      <w:r>
        <w:rPr>
          <w:rFonts w:ascii="FangSong" w:hAnsi="FangSong" w:eastAsia="FangSong" w:cs="FangSong"/>
          <w:sz w:val="30"/>
          <w:szCs w:val="30"/>
          <w:spacing w:val="18"/>
        </w:rPr>
        <w:t xml:space="preserve"> </w:t>
      </w:r>
      <w:r>
        <w:rPr>
          <w:rFonts w:ascii="FangSong" w:hAnsi="FangSong" w:eastAsia="FangSong" w:cs="FangSong"/>
          <w:sz w:val="30"/>
          <w:szCs w:val="30"/>
          <w:spacing w:val="16"/>
        </w:rPr>
        <w:t>经营许可证件；构成犯罪的，依法追究刑事</w:t>
      </w:r>
      <w:r>
        <w:rPr>
          <w:rFonts w:ascii="FangSong" w:hAnsi="FangSong" w:eastAsia="FangSong" w:cs="FangSong"/>
          <w:sz w:val="30"/>
          <w:szCs w:val="30"/>
          <w:spacing w:val="15"/>
        </w:rPr>
        <w:t>责任：</w:t>
      </w:r>
    </w:p>
    <w:p>
      <w:pPr>
        <w:ind w:left="25" w:firstLine="790"/>
        <w:spacing w:before="2" w:line="279" w:lineRule="auto"/>
        <w:rPr>
          <w:rFonts w:ascii="FangSong" w:hAnsi="FangSong" w:eastAsia="FangSong" w:cs="FangSong"/>
          <w:sz w:val="30"/>
          <w:szCs w:val="30"/>
        </w:rPr>
      </w:pPr>
      <w:r>
        <w:rPr>
          <w:rFonts w:ascii="FangSong" w:hAnsi="FangSong" w:eastAsia="FangSong" w:cs="FangSong"/>
          <w:sz w:val="30"/>
          <w:szCs w:val="30"/>
          <w:spacing w:val="22"/>
        </w:rPr>
        <w:t>(五)未按照本条例的规定对污水、传染病病人或者疑似传染病病人的排泄物，进行</w:t>
      </w:r>
      <w:r>
        <w:rPr>
          <w:rFonts w:ascii="FangSong" w:hAnsi="FangSong" w:eastAsia="FangSong" w:cs="FangSong"/>
          <w:sz w:val="30"/>
          <w:szCs w:val="30"/>
          <w:spacing w:val="21"/>
        </w:rPr>
        <w:t>严格消毒，</w:t>
      </w:r>
      <w:r>
        <w:rPr>
          <w:rFonts w:ascii="FangSong" w:hAnsi="FangSong" w:eastAsia="FangSong" w:cs="FangSong"/>
          <w:sz w:val="30"/>
          <w:szCs w:val="30"/>
        </w:rPr>
        <w:t xml:space="preserve"> </w:t>
      </w:r>
      <w:r>
        <w:rPr>
          <w:rFonts w:ascii="FangSong" w:hAnsi="FangSong" w:eastAsia="FangSong" w:cs="FangSong"/>
          <w:sz w:val="30"/>
          <w:szCs w:val="30"/>
          <w:spacing w:val="16"/>
        </w:rPr>
        <w:t>或者未达到国家规定的排放标准，排入污水处理系统的；</w:t>
      </w:r>
    </w:p>
    <w:p>
      <w:pPr>
        <w:spacing w:line="279" w:lineRule="auto"/>
        <w:sectPr>
          <w:footerReference w:type="default" r:id="rId155"/>
          <w:pgSz w:w="16830" w:h="11900"/>
          <w:pgMar w:top="1011" w:right="1379" w:bottom="1114" w:left="1414" w:header="0" w:footer="772" w:gutter="0"/>
        </w:sectPr>
        <w:rPr>
          <w:rFonts w:ascii="FangSong" w:hAnsi="FangSong" w:eastAsia="FangSong" w:cs="FangSong"/>
          <w:sz w:val="30"/>
          <w:szCs w:val="30"/>
        </w:rPr>
      </w:pPr>
    </w:p>
    <w:p>
      <w:pPr>
        <w:pStyle w:val="BodyText"/>
        <w:spacing w:line="254" w:lineRule="auto"/>
        <w:rPr/>
      </w:pPr>
      <w:r/>
    </w:p>
    <w:p>
      <w:pPr>
        <w:pStyle w:val="BodyText"/>
        <w:spacing w:line="254" w:lineRule="auto"/>
        <w:rPr/>
      </w:pPr>
      <w:r/>
    </w:p>
    <w:p>
      <w:pPr>
        <w:pStyle w:val="BodyText"/>
        <w:spacing w:line="255" w:lineRule="auto"/>
        <w:rPr/>
      </w:pPr>
      <w:r/>
    </w:p>
    <w:p>
      <w:pPr>
        <w:ind w:left="45" w:right="54" w:firstLine="649"/>
        <w:spacing w:before="97" w:line="267" w:lineRule="auto"/>
        <w:rPr>
          <w:rFonts w:ascii="SimSun" w:hAnsi="SimSun" w:eastAsia="SimSun" w:cs="SimSun"/>
          <w:sz w:val="31"/>
          <w:szCs w:val="31"/>
        </w:rPr>
      </w:pPr>
      <w:r>
        <w:rPr>
          <w:rFonts w:ascii="FangSong" w:hAnsi="FangSong" w:eastAsia="FangSong" w:cs="FangSong"/>
          <w:sz w:val="30"/>
          <w:szCs w:val="30"/>
          <w:spacing w:val="19"/>
        </w:rPr>
        <w:t>《医疗废物管理条例》第二十条</w:t>
      </w:r>
      <w:r>
        <w:rPr>
          <w:rFonts w:ascii="FangSong" w:hAnsi="FangSong" w:eastAsia="FangSong" w:cs="FangSong"/>
          <w:sz w:val="30"/>
          <w:szCs w:val="30"/>
          <w:spacing w:val="19"/>
        </w:rPr>
        <w:t xml:space="preserve">   </w:t>
      </w:r>
      <w:r>
        <w:rPr>
          <w:rFonts w:ascii="FangSong" w:hAnsi="FangSong" w:eastAsia="FangSong" w:cs="FangSong"/>
          <w:sz w:val="30"/>
          <w:szCs w:val="30"/>
          <w:spacing w:val="19"/>
        </w:rPr>
        <w:t>医疗卫生机构</w:t>
      </w:r>
      <w:r>
        <w:rPr>
          <w:rFonts w:ascii="FangSong" w:hAnsi="FangSong" w:eastAsia="FangSong" w:cs="FangSong"/>
          <w:sz w:val="30"/>
          <w:szCs w:val="30"/>
          <w:spacing w:val="18"/>
        </w:rPr>
        <w:t>产生的污水、传染病病人或者疑似传染病病人</w:t>
      </w:r>
      <w:r>
        <w:rPr>
          <w:rFonts w:ascii="FangSong" w:hAnsi="FangSong" w:eastAsia="FangSong" w:cs="FangSong"/>
          <w:sz w:val="30"/>
          <w:szCs w:val="30"/>
        </w:rPr>
        <w:t xml:space="preserve"> </w:t>
      </w:r>
      <w:r>
        <w:rPr>
          <w:rFonts w:ascii="SimSun" w:hAnsi="SimSun" w:eastAsia="SimSun" w:cs="SimSun"/>
          <w:sz w:val="31"/>
          <w:szCs w:val="31"/>
        </w:rPr>
        <w:t>的排泄物，应当按照国家规定严格消毒；达到国家规定的排放标准后，方可排入</w:t>
      </w:r>
      <w:r>
        <w:rPr>
          <w:rFonts w:ascii="SimSun" w:hAnsi="SimSun" w:eastAsia="SimSun" w:cs="SimSun"/>
          <w:sz w:val="31"/>
          <w:szCs w:val="31"/>
          <w:spacing w:val="-1"/>
        </w:rPr>
        <w:t>污水处理系统。</w:t>
      </w:r>
    </w:p>
    <w:p>
      <w:pPr>
        <w:ind w:left="6329"/>
        <w:spacing w:line="220" w:lineRule="auto"/>
        <w:outlineLvl w:val="1"/>
        <w:rPr>
          <w:rFonts w:ascii="SimSun" w:hAnsi="SimSun" w:eastAsia="SimSun" w:cs="SimSun"/>
          <w:sz w:val="31"/>
          <w:szCs w:val="31"/>
        </w:rPr>
      </w:pPr>
      <w:bookmarkStart w:name="bookmark815" w:id="123"/>
      <w:bookmarkEnd w:id="123"/>
      <w:bookmarkStart w:name="bookmark186" w:id="124"/>
      <w:bookmarkEnd w:id="124"/>
      <w:r>
        <w:rPr>
          <w:rFonts w:ascii="SimSun" w:hAnsi="SimSun" w:eastAsia="SimSun" w:cs="SimSun"/>
          <w:sz w:val="31"/>
          <w:szCs w:val="31"/>
          <w:b/>
          <w:bCs/>
          <w:spacing w:val="-6"/>
        </w:rPr>
        <w:t>裁量标准</w:t>
      </w:r>
    </w:p>
    <w:p>
      <w:pPr>
        <w:spacing w:line="186" w:lineRule="exact"/>
        <w:rPr/>
      </w:pPr>
      <w:r/>
    </w:p>
    <w:tbl>
      <w:tblPr>
        <w:tblStyle w:val="TableNormal"/>
        <w:tblW w:w="137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63"/>
        <w:gridCol w:w="5686"/>
        <w:gridCol w:w="5301"/>
      </w:tblGrid>
      <w:tr>
        <w:trPr>
          <w:trHeight w:val="842" w:hRule="atLeast"/>
        </w:trPr>
        <w:tc>
          <w:tcPr>
            <w:tcW w:w="2763" w:type="dxa"/>
            <w:vAlign w:val="top"/>
          </w:tcPr>
          <w:p>
            <w:pPr>
              <w:pStyle w:val="TableText"/>
              <w:ind w:left="798"/>
              <w:spacing w:before="18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5686" w:type="dxa"/>
            <w:vAlign w:val="top"/>
          </w:tcPr>
          <w:p>
            <w:pPr>
              <w:pStyle w:val="TableText"/>
              <w:ind w:left="2295"/>
              <w:spacing w:before="182" w:line="220" w:lineRule="auto"/>
              <w:rPr/>
            </w:pPr>
            <w:r>
              <w:rPr>
                <w:b/>
                <w:bCs/>
                <w:spacing w:val="-5"/>
              </w:rPr>
              <w:t>情节后果</w:t>
            </w:r>
          </w:p>
        </w:tc>
        <w:tc>
          <w:tcPr>
            <w:tcW w:w="5301" w:type="dxa"/>
            <w:vAlign w:val="top"/>
          </w:tcPr>
          <w:p>
            <w:pPr>
              <w:pStyle w:val="TableText"/>
              <w:ind w:left="2069"/>
              <w:spacing w:before="17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28" w:hRule="atLeast"/>
        </w:trPr>
        <w:tc>
          <w:tcPr>
            <w:tcW w:w="2763" w:type="dxa"/>
            <w:vAlign w:val="top"/>
          </w:tcPr>
          <w:p>
            <w:pPr>
              <w:pStyle w:val="TableText"/>
              <w:ind w:left="1138"/>
              <w:spacing w:before="79" w:line="219" w:lineRule="auto"/>
              <w:rPr/>
            </w:pPr>
            <w:r>
              <w:rPr>
                <w:b/>
                <w:bCs/>
                <w:spacing w:val="-6"/>
              </w:rPr>
              <w:t>轻微</w:t>
            </w:r>
          </w:p>
        </w:tc>
        <w:tc>
          <w:tcPr>
            <w:tcW w:w="5686" w:type="dxa"/>
            <w:vAlign w:val="top"/>
          </w:tcPr>
          <w:p>
            <w:pPr>
              <w:pStyle w:val="TableText"/>
              <w:ind w:left="122"/>
              <w:spacing w:before="83" w:line="219" w:lineRule="auto"/>
              <w:rPr/>
            </w:pPr>
            <w:r>
              <w:rPr>
                <w:spacing w:val="-1"/>
              </w:rPr>
              <w:t>首次发现违法行为，未造成后果。</w:t>
            </w:r>
          </w:p>
        </w:tc>
        <w:tc>
          <w:tcPr>
            <w:tcW w:w="5301" w:type="dxa"/>
            <w:vAlign w:val="top"/>
          </w:tcPr>
          <w:p>
            <w:pPr>
              <w:pStyle w:val="TableText"/>
              <w:ind w:left="246"/>
              <w:spacing w:before="80" w:line="218" w:lineRule="auto"/>
              <w:rPr/>
            </w:pPr>
            <w:r>
              <w:rPr/>
              <w:t>给予警告，并处5000元以上1万元以下的罚</w:t>
            </w:r>
            <w:r>
              <w:rPr>
                <w:spacing w:val="-1"/>
              </w:rPr>
              <w:t>款。</w:t>
            </w:r>
          </w:p>
        </w:tc>
      </w:tr>
      <w:tr>
        <w:trPr>
          <w:trHeight w:val="658" w:hRule="atLeast"/>
        </w:trPr>
        <w:tc>
          <w:tcPr>
            <w:tcW w:w="2763" w:type="dxa"/>
            <w:vAlign w:val="top"/>
          </w:tcPr>
          <w:p>
            <w:pPr>
              <w:pStyle w:val="TableText"/>
              <w:ind w:left="1138"/>
              <w:spacing w:before="102" w:line="221" w:lineRule="auto"/>
              <w:rPr/>
            </w:pPr>
            <w:r>
              <w:rPr>
                <w:b/>
                <w:bCs/>
                <w:spacing w:val="-10"/>
              </w:rPr>
              <w:t>一般</w:t>
            </w:r>
          </w:p>
        </w:tc>
        <w:tc>
          <w:tcPr>
            <w:tcW w:w="5686" w:type="dxa"/>
            <w:vAlign w:val="top"/>
          </w:tcPr>
          <w:p>
            <w:pPr>
              <w:pStyle w:val="TableText"/>
              <w:ind w:left="122"/>
              <w:spacing w:before="103" w:line="219" w:lineRule="auto"/>
              <w:rPr/>
            </w:pPr>
            <w:r>
              <w:rPr>
                <w:spacing w:val="-1"/>
              </w:rPr>
              <w:t>责令限期改正后，逾期不改正。</w:t>
            </w:r>
          </w:p>
        </w:tc>
        <w:tc>
          <w:tcPr>
            <w:tcW w:w="5301" w:type="dxa"/>
            <w:vAlign w:val="top"/>
          </w:tcPr>
          <w:p>
            <w:pPr>
              <w:pStyle w:val="TableText"/>
              <w:ind w:left="126"/>
              <w:spacing w:before="105" w:line="220" w:lineRule="auto"/>
              <w:rPr/>
            </w:pPr>
            <w:r>
              <w:rPr/>
              <w:t>处1万元以上2万元以下的罚款。</w:t>
            </w:r>
          </w:p>
        </w:tc>
      </w:tr>
      <w:tr>
        <w:trPr>
          <w:trHeight w:val="1102" w:hRule="atLeast"/>
        </w:trPr>
        <w:tc>
          <w:tcPr>
            <w:tcW w:w="2763" w:type="dxa"/>
            <w:vAlign w:val="top"/>
          </w:tcPr>
          <w:p>
            <w:pPr>
              <w:spacing w:line="254" w:lineRule="auto"/>
              <w:rPr>
                <w:rFonts w:ascii="Arial"/>
                <w:sz w:val="21"/>
              </w:rPr>
            </w:pPr>
            <w:r/>
          </w:p>
          <w:p>
            <w:pPr>
              <w:pStyle w:val="TableText"/>
              <w:ind w:left="1138"/>
              <w:spacing w:before="78" w:line="220" w:lineRule="auto"/>
              <w:rPr/>
            </w:pPr>
            <w:r>
              <w:rPr>
                <w:b/>
                <w:bCs/>
                <w:spacing w:val="-6"/>
              </w:rPr>
              <w:t>严重</w:t>
            </w:r>
          </w:p>
        </w:tc>
        <w:tc>
          <w:tcPr>
            <w:tcW w:w="5686" w:type="dxa"/>
            <w:vAlign w:val="top"/>
          </w:tcPr>
          <w:p>
            <w:pPr>
              <w:spacing w:line="255" w:lineRule="auto"/>
              <w:rPr>
                <w:rFonts w:ascii="Arial"/>
                <w:sz w:val="21"/>
              </w:rPr>
            </w:pPr>
            <w:r/>
          </w:p>
          <w:p>
            <w:pPr>
              <w:pStyle w:val="TableText"/>
              <w:ind w:left="122"/>
              <w:spacing w:before="78" w:line="219" w:lineRule="auto"/>
              <w:rPr/>
            </w:pPr>
            <w:r>
              <w:rPr>
                <w:spacing w:val="-1"/>
              </w:rPr>
              <w:t>造成传染病传播。</w:t>
            </w:r>
          </w:p>
        </w:tc>
        <w:tc>
          <w:tcPr>
            <w:tcW w:w="5301" w:type="dxa"/>
            <w:vAlign w:val="top"/>
          </w:tcPr>
          <w:p>
            <w:pPr>
              <w:pStyle w:val="TableText"/>
              <w:ind w:left="186" w:right="64" w:firstLine="60"/>
              <w:spacing w:before="117" w:line="340" w:lineRule="auto"/>
              <w:rPr/>
            </w:pPr>
            <w:r>
              <w:rPr>
                <w:spacing w:val="1"/>
              </w:rPr>
              <w:t>处2万元以上3万元以下的罚款，由原发证部门</w:t>
            </w:r>
            <w:r>
              <w:rPr>
                <w:spacing w:val="2"/>
              </w:rPr>
              <w:t xml:space="preserve">  </w:t>
            </w:r>
            <w:r>
              <w:rPr/>
              <w:t>暂扣或者吊销执业许可证件或者经营许可证</w:t>
            </w:r>
            <w:r>
              <w:rPr>
                <w:spacing w:val="-1"/>
              </w:rPr>
              <w:t>件。</w:t>
            </w:r>
          </w:p>
        </w:tc>
      </w:tr>
    </w:tbl>
    <w:p>
      <w:pPr>
        <w:ind w:left="29" w:right="45" w:firstLine="660"/>
        <w:spacing w:before="77" w:line="282" w:lineRule="auto"/>
        <w:rPr>
          <w:rFonts w:ascii="FangSong" w:hAnsi="FangSong" w:eastAsia="FangSong" w:cs="FangSong"/>
          <w:sz w:val="30"/>
          <w:szCs w:val="30"/>
        </w:rPr>
      </w:pPr>
      <w:r>
        <w:rPr>
          <w:rFonts w:ascii="FangSong" w:hAnsi="FangSong" w:eastAsia="FangSong" w:cs="FangSong"/>
          <w:sz w:val="30"/>
          <w:szCs w:val="30"/>
          <w:b/>
          <w:bCs/>
          <w:spacing w:val="20"/>
        </w:rPr>
        <w:t>第七十八条医疗卫生机构、医疗废物集中处置单位对收治的传染病病人或者疑似传染病病人产</w:t>
      </w:r>
      <w:r>
        <w:rPr>
          <w:rFonts w:ascii="FangSong" w:hAnsi="FangSong" w:eastAsia="FangSong" w:cs="FangSong"/>
          <w:sz w:val="30"/>
          <w:szCs w:val="30"/>
          <w:spacing w:val="13"/>
        </w:rPr>
        <w:t xml:space="preserve"> </w:t>
      </w:r>
      <w:r>
        <w:rPr>
          <w:rFonts w:ascii="FangSong" w:hAnsi="FangSong" w:eastAsia="FangSong" w:cs="FangSong"/>
          <w:sz w:val="30"/>
          <w:szCs w:val="30"/>
          <w:b/>
          <w:bCs/>
          <w:spacing w:val="16"/>
        </w:rPr>
        <w:t>生的生活垃圾，未按照医疗废物进行管理和处置的</w:t>
      </w:r>
    </w:p>
    <w:p>
      <w:pPr>
        <w:ind w:left="685"/>
        <w:spacing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25" w:firstLine="640"/>
        <w:spacing w:before="105" w:line="270" w:lineRule="auto"/>
        <w:jc w:val="both"/>
        <w:rPr>
          <w:rFonts w:ascii="FangSong" w:hAnsi="FangSong" w:eastAsia="FangSong" w:cs="FangSong"/>
          <w:sz w:val="30"/>
          <w:szCs w:val="30"/>
        </w:rPr>
      </w:pPr>
      <w:r>
        <w:rPr>
          <w:rFonts w:ascii="FangSong" w:hAnsi="FangSong" w:eastAsia="FangSong" w:cs="FangSong"/>
          <w:sz w:val="30"/>
          <w:szCs w:val="30"/>
          <w:spacing w:val="28"/>
        </w:rPr>
        <w:t>《医疗废物管理条例》第四十七条第(六)项</w:t>
      </w:r>
      <w:r>
        <w:rPr>
          <w:rFonts w:ascii="FangSong" w:hAnsi="FangSong" w:eastAsia="FangSong" w:cs="FangSong"/>
          <w:sz w:val="30"/>
          <w:szCs w:val="30"/>
          <w:spacing w:val="28"/>
        </w:rPr>
        <w:t xml:space="preserve"> </w:t>
      </w:r>
      <w:r>
        <w:rPr>
          <w:rFonts w:ascii="FangSong" w:hAnsi="FangSong" w:eastAsia="FangSong" w:cs="FangSong"/>
          <w:sz w:val="30"/>
          <w:szCs w:val="30"/>
          <w:spacing w:val="27"/>
        </w:rPr>
        <w:t xml:space="preserve">  </w:t>
      </w:r>
      <w:r>
        <w:rPr>
          <w:rFonts w:ascii="FangSong" w:hAnsi="FangSong" w:eastAsia="FangSong" w:cs="FangSong"/>
          <w:sz w:val="30"/>
          <w:szCs w:val="30"/>
          <w:spacing w:val="27"/>
        </w:rPr>
        <w:t>医疗卫生机构、医疗废物集中处置单位有下列</w:t>
      </w:r>
      <w:r>
        <w:rPr>
          <w:rFonts w:ascii="FangSong" w:hAnsi="FangSong" w:eastAsia="FangSong" w:cs="FangSong"/>
          <w:sz w:val="30"/>
          <w:szCs w:val="30"/>
        </w:rPr>
        <w:t xml:space="preserve"> </w:t>
      </w:r>
      <w:r>
        <w:rPr>
          <w:rFonts w:ascii="FangSong" w:hAnsi="FangSong" w:eastAsia="FangSong" w:cs="FangSong"/>
          <w:sz w:val="30"/>
          <w:szCs w:val="30"/>
          <w:spacing w:val="17"/>
        </w:rPr>
        <w:t>情形之一的，由县级以上地方人民政府卫生行政主</w:t>
      </w:r>
      <w:r>
        <w:rPr>
          <w:rFonts w:ascii="FangSong" w:hAnsi="FangSong" w:eastAsia="FangSong" w:cs="FangSong"/>
          <w:sz w:val="30"/>
          <w:szCs w:val="30"/>
          <w:spacing w:val="16"/>
        </w:rPr>
        <w:t>管部门或者环境保护行政主管部门按照各自的职责</w:t>
      </w:r>
      <w:r>
        <w:rPr>
          <w:rFonts w:ascii="FangSong" w:hAnsi="FangSong" w:eastAsia="FangSong" w:cs="FangSong"/>
          <w:sz w:val="30"/>
          <w:szCs w:val="30"/>
        </w:rPr>
        <w:t xml:space="preserve"> </w:t>
      </w:r>
      <w:r>
        <w:rPr>
          <w:rFonts w:ascii="FangSong" w:hAnsi="FangSong" w:eastAsia="FangSong" w:cs="FangSong"/>
          <w:sz w:val="30"/>
          <w:szCs w:val="30"/>
          <w:spacing w:val="33"/>
        </w:rPr>
        <w:t>责令限期改正，给予警告，并处5000元以上1万元以下的罚款；</w:t>
      </w:r>
      <w:r>
        <w:rPr>
          <w:rFonts w:ascii="FangSong" w:hAnsi="FangSong" w:eastAsia="FangSong" w:cs="FangSong"/>
          <w:sz w:val="30"/>
          <w:szCs w:val="30"/>
          <w:spacing w:val="32"/>
        </w:rPr>
        <w:t>逾期不改正的，处1万元以上3万</w:t>
      </w:r>
    </w:p>
    <w:p>
      <w:pPr>
        <w:spacing w:line="270" w:lineRule="auto"/>
        <w:sectPr>
          <w:footerReference w:type="default" r:id="rId156"/>
          <w:pgSz w:w="16830" w:h="11900"/>
          <w:pgMar w:top="1011" w:right="1416" w:bottom="1124" w:left="1414" w:header="0" w:footer="809" w:gutter="0"/>
        </w:sectPr>
        <w:rPr>
          <w:rFonts w:ascii="FangSong" w:hAnsi="FangSong" w:eastAsia="FangSong" w:cs="FangSong"/>
          <w:sz w:val="30"/>
          <w:szCs w:val="30"/>
        </w:rPr>
      </w:pPr>
    </w:p>
    <w:p>
      <w:pPr>
        <w:pStyle w:val="BodyText"/>
        <w:spacing w:line="257" w:lineRule="auto"/>
        <w:rPr/>
      </w:pPr>
      <w:r/>
    </w:p>
    <w:p>
      <w:pPr>
        <w:pStyle w:val="BodyText"/>
        <w:spacing w:line="258" w:lineRule="auto"/>
        <w:rPr/>
      </w:pPr>
      <w:r/>
    </w:p>
    <w:p>
      <w:pPr>
        <w:pStyle w:val="BodyText"/>
        <w:spacing w:line="258" w:lineRule="auto"/>
        <w:rPr/>
      </w:pPr>
      <w:r/>
    </w:p>
    <w:p>
      <w:pPr>
        <w:ind w:left="45" w:right="126"/>
        <w:spacing w:before="98" w:line="280" w:lineRule="auto"/>
        <w:rPr>
          <w:rFonts w:ascii="FangSong" w:hAnsi="FangSong" w:eastAsia="FangSong" w:cs="FangSong"/>
          <w:sz w:val="30"/>
          <w:szCs w:val="30"/>
        </w:rPr>
      </w:pPr>
      <w:r>
        <w:rPr>
          <w:rFonts w:ascii="FangSong" w:hAnsi="FangSong" w:eastAsia="FangSong" w:cs="FangSong"/>
          <w:sz w:val="30"/>
          <w:szCs w:val="30"/>
          <w:spacing w:val="17"/>
        </w:rPr>
        <w:t>元以下的罚款；造成传染病传播或者环境污染事故的，由原发证</w:t>
      </w:r>
      <w:r>
        <w:rPr>
          <w:rFonts w:ascii="FangSong" w:hAnsi="FangSong" w:eastAsia="FangSong" w:cs="FangSong"/>
          <w:sz w:val="30"/>
          <w:szCs w:val="30"/>
          <w:spacing w:val="16"/>
        </w:rPr>
        <w:t>部门暂扣或者吊销执业许可证件或者</w:t>
      </w:r>
      <w:r>
        <w:rPr>
          <w:rFonts w:ascii="FangSong" w:hAnsi="FangSong" w:eastAsia="FangSong" w:cs="FangSong"/>
          <w:sz w:val="30"/>
          <w:szCs w:val="30"/>
        </w:rPr>
        <w:t xml:space="preserve"> </w:t>
      </w:r>
      <w:r>
        <w:rPr>
          <w:rFonts w:ascii="FangSong" w:hAnsi="FangSong" w:eastAsia="FangSong" w:cs="FangSong"/>
          <w:sz w:val="30"/>
          <w:szCs w:val="30"/>
          <w:spacing w:val="16"/>
        </w:rPr>
        <w:t>经营许可证件；构成犯罪的，依法追究刑事责任：</w:t>
      </w:r>
    </w:p>
    <w:p>
      <w:pPr>
        <w:ind w:left="55" w:right="128" w:firstLine="779"/>
        <w:spacing w:before="2" w:line="246" w:lineRule="auto"/>
        <w:rPr>
          <w:rFonts w:ascii="SimSun" w:hAnsi="SimSun" w:eastAsia="SimSun" w:cs="SimSun"/>
          <w:sz w:val="33"/>
          <w:szCs w:val="33"/>
        </w:rPr>
      </w:pPr>
      <w:r>
        <w:rPr>
          <w:rFonts w:ascii="FangSong" w:hAnsi="FangSong" w:eastAsia="FangSong" w:cs="FangSong"/>
          <w:sz w:val="30"/>
          <w:szCs w:val="30"/>
          <w:spacing w:val="20"/>
        </w:rPr>
        <w:t>(六)对收治的传染病病人或者疑似传染病病人产生的生活垃圾，未按照医疗废物进行管理和处</w:t>
      </w:r>
      <w:r>
        <w:rPr>
          <w:rFonts w:ascii="FangSong" w:hAnsi="FangSong" w:eastAsia="FangSong" w:cs="FangSong"/>
          <w:sz w:val="30"/>
          <w:szCs w:val="30"/>
        </w:rPr>
        <w:t xml:space="preserve"> </w:t>
      </w:r>
      <w:r>
        <w:rPr>
          <w:rFonts w:ascii="SimSun" w:hAnsi="SimSun" w:eastAsia="SimSun" w:cs="SimSun"/>
          <w:sz w:val="33"/>
          <w:szCs w:val="33"/>
          <w:spacing w:val="-2"/>
        </w:rPr>
        <w:t>置的。</w:t>
      </w:r>
    </w:p>
    <w:p>
      <w:pPr>
        <w:ind w:left="6389"/>
        <w:spacing w:line="220" w:lineRule="auto"/>
        <w:outlineLvl w:val="1"/>
        <w:rPr>
          <w:rFonts w:ascii="SimSun" w:hAnsi="SimSun" w:eastAsia="SimSun" w:cs="SimSun"/>
          <w:sz w:val="33"/>
          <w:szCs w:val="33"/>
        </w:rPr>
      </w:pPr>
      <w:bookmarkStart w:name="bookmark816" w:id="125"/>
      <w:bookmarkEnd w:id="125"/>
      <w:bookmarkStart w:name="bookmark186" w:id="126"/>
      <w:bookmarkEnd w:id="126"/>
      <w:r>
        <w:rPr>
          <w:rFonts w:ascii="SimSun" w:hAnsi="SimSun" w:eastAsia="SimSun" w:cs="SimSun"/>
          <w:sz w:val="33"/>
          <w:szCs w:val="33"/>
          <w:b/>
          <w:bCs/>
          <w:spacing w:val="-2"/>
        </w:rPr>
        <w:t>裁量标准</w:t>
      </w:r>
    </w:p>
    <w:p>
      <w:pPr>
        <w:spacing w:line="171" w:lineRule="exact"/>
        <w:rPr/>
      </w:pPr>
      <w:r/>
    </w:p>
    <w:tbl>
      <w:tblPr>
        <w:tblStyle w:val="TableNormal"/>
        <w:tblW w:w="138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73"/>
        <w:gridCol w:w="5506"/>
        <w:gridCol w:w="5581"/>
      </w:tblGrid>
      <w:tr>
        <w:trPr>
          <w:trHeight w:val="832" w:hRule="atLeast"/>
        </w:trPr>
        <w:tc>
          <w:tcPr>
            <w:tcW w:w="2773" w:type="dxa"/>
            <w:vAlign w:val="top"/>
          </w:tcPr>
          <w:p>
            <w:pPr>
              <w:pStyle w:val="TableText"/>
              <w:ind w:left="878"/>
              <w:spacing w:before="182" w:line="220" w:lineRule="auto"/>
              <w:rPr>
                <w:sz w:val="25"/>
                <w:szCs w:val="25"/>
              </w:rPr>
            </w:pPr>
            <w:r>
              <w:rPr>
                <w:sz w:val="25"/>
                <w:szCs w:val="25"/>
                <w:b/>
                <w:bCs/>
                <w:spacing w:val="-5"/>
              </w:rPr>
              <w:t>违法程度</w:t>
            </w:r>
          </w:p>
        </w:tc>
        <w:tc>
          <w:tcPr>
            <w:tcW w:w="5506" w:type="dxa"/>
            <w:vAlign w:val="top"/>
          </w:tcPr>
          <w:p>
            <w:pPr>
              <w:pStyle w:val="TableText"/>
              <w:ind w:left="2195"/>
              <w:spacing w:before="172" w:line="220" w:lineRule="auto"/>
              <w:rPr>
                <w:sz w:val="25"/>
                <w:szCs w:val="25"/>
              </w:rPr>
            </w:pPr>
            <w:r>
              <w:rPr>
                <w:sz w:val="25"/>
                <w:szCs w:val="25"/>
                <w:b/>
                <w:bCs/>
                <w:spacing w:val="-5"/>
              </w:rPr>
              <w:t>情节后果</w:t>
            </w:r>
          </w:p>
        </w:tc>
        <w:tc>
          <w:tcPr>
            <w:tcW w:w="5581" w:type="dxa"/>
            <w:vAlign w:val="top"/>
          </w:tcPr>
          <w:p>
            <w:pPr>
              <w:pStyle w:val="TableText"/>
              <w:ind w:left="2209"/>
              <w:spacing w:before="179" w:line="218" w:lineRule="auto"/>
              <w:rPr>
                <w:sz w:val="25"/>
                <w:szCs w:val="25"/>
              </w:rPr>
            </w:pPr>
            <w:r>
              <w:rPr>
                <w:sz w:val="25"/>
                <w:szCs w:val="25"/>
                <w:b/>
                <w:bCs/>
                <w:spacing w:val="-5"/>
              </w:rPr>
              <w:t>裁量幅度</w:t>
            </w:r>
          </w:p>
        </w:tc>
      </w:tr>
      <w:tr>
        <w:trPr>
          <w:trHeight w:val="628" w:hRule="atLeast"/>
        </w:trPr>
        <w:tc>
          <w:tcPr>
            <w:tcW w:w="2773" w:type="dxa"/>
            <w:vAlign w:val="top"/>
          </w:tcPr>
          <w:p>
            <w:pPr>
              <w:pStyle w:val="TableText"/>
              <w:ind w:left="1128"/>
              <w:spacing w:before="89" w:line="219" w:lineRule="auto"/>
              <w:rPr>
                <w:sz w:val="25"/>
                <w:szCs w:val="25"/>
              </w:rPr>
            </w:pPr>
            <w:r>
              <w:rPr>
                <w:sz w:val="25"/>
                <w:szCs w:val="25"/>
                <w:b/>
                <w:bCs/>
                <w:spacing w:val="-6"/>
              </w:rPr>
              <w:t>轻微</w:t>
            </w:r>
          </w:p>
        </w:tc>
        <w:tc>
          <w:tcPr>
            <w:tcW w:w="5506" w:type="dxa"/>
            <w:vAlign w:val="top"/>
          </w:tcPr>
          <w:p>
            <w:pPr>
              <w:pStyle w:val="TableText"/>
              <w:ind w:left="132"/>
              <w:spacing w:before="93" w:line="219" w:lineRule="auto"/>
              <w:rPr>
                <w:sz w:val="25"/>
                <w:szCs w:val="25"/>
              </w:rPr>
            </w:pPr>
            <w:r>
              <w:rPr>
                <w:sz w:val="25"/>
                <w:szCs w:val="25"/>
              </w:rPr>
              <w:t>次发现违法行为，未造成后果。</w:t>
            </w:r>
          </w:p>
        </w:tc>
        <w:tc>
          <w:tcPr>
            <w:tcW w:w="5581" w:type="dxa"/>
            <w:vAlign w:val="top"/>
          </w:tcPr>
          <w:p>
            <w:pPr>
              <w:pStyle w:val="TableText"/>
              <w:ind w:left="116"/>
              <w:spacing w:before="91" w:line="218" w:lineRule="auto"/>
              <w:rPr>
                <w:sz w:val="25"/>
                <w:szCs w:val="25"/>
              </w:rPr>
            </w:pPr>
            <w:r>
              <w:rPr>
                <w:sz w:val="25"/>
                <w:szCs w:val="25"/>
              </w:rPr>
              <w:t>给予警告，并处5000元以上1万元以下的罚款。</w:t>
            </w:r>
          </w:p>
        </w:tc>
      </w:tr>
      <w:tr>
        <w:trPr>
          <w:trHeight w:val="778" w:hRule="atLeast"/>
        </w:trPr>
        <w:tc>
          <w:tcPr>
            <w:tcW w:w="2773" w:type="dxa"/>
            <w:vAlign w:val="top"/>
          </w:tcPr>
          <w:p>
            <w:pPr>
              <w:pStyle w:val="TableText"/>
              <w:ind w:left="1128"/>
              <w:spacing w:before="163" w:line="221" w:lineRule="auto"/>
              <w:rPr>
                <w:sz w:val="25"/>
                <w:szCs w:val="25"/>
              </w:rPr>
            </w:pPr>
            <w:r>
              <w:rPr>
                <w:sz w:val="25"/>
                <w:szCs w:val="25"/>
                <w:b/>
                <w:bCs/>
                <w:spacing w:val="-10"/>
              </w:rPr>
              <w:t>一般</w:t>
            </w:r>
          </w:p>
        </w:tc>
        <w:tc>
          <w:tcPr>
            <w:tcW w:w="5506" w:type="dxa"/>
            <w:vAlign w:val="top"/>
          </w:tcPr>
          <w:p>
            <w:pPr>
              <w:pStyle w:val="TableText"/>
              <w:ind w:left="132"/>
              <w:spacing w:before="173" w:line="219" w:lineRule="auto"/>
              <w:rPr>
                <w:sz w:val="25"/>
                <w:szCs w:val="25"/>
              </w:rPr>
            </w:pPr>
            <w:r>
              <w:rPr>
                <w:sz w:val="25"/>
                <w:szCs w:val="25"/>
              </w:rPr>
              <w:t>责令限期改正后，逾期不改正。</w:t>
            </w:r>
          </w:p>
        </w:tc>
        <w:tc>
          <w:tcPr>
            <w:tcW w:w="5581" w:type="dxa"/>
            <w:vAlign w:val="top"/>
          </w:tcPr>
          <w:p>
            <w:pPr>
              <w:pStyle w:val="TableText"/>
              <w:ind w:left="116"/>
              <w:spacing w:before="176" w:line="220" w:lineRule="auto"/>
              <w:rPr>
                <w:sz w:val="25"/>
                <w:szCs w:val="25"/>
              </w:rPr>
            </w:pPr>
            <w:r>
              <w:rPr>
                <w:sz w:val="25"/>
                <w:szCs w:val="25"/>
                <w:spacing w:val="-1"/>
              </w:rPr>
              <w:t>处1万元以上2万元以下的罚款。</w:t>
            </w:r>
          </w:p>
        </w:tc>
      </w:tr>
      <w:tr>
        <w:trPr>
          <w:trHeight w:val="1081" w:hRule="atLeast"/>
        </w:trPr>
        <w:tc>
          <w:tcPr>
            <w:tcW w:w="2773" w:type="dxa"/>
            <w:vAlign w:val="top"/>
          </w:tcPr>
          <w:p>
            <w:pPr>
              <w:pStyle w:val="TableText"/>
              <w:ind w:left="1128"/>
              <w:spacing w:before="314" w:line="220" w:lineRule="auto"/>
              <w:rPr>
                <w:sz w:val="25"/>
                <w:szCs w:val="25"/>
              </w:rPr>
            </w:pPr>
            <w:r>
              <w:rPr>
                <w:sz w:val="25"/>
                <w:szCs w:val="25"/>
                <w:b/>
                <w:bCs/>
                <w:spacing w:val="-6"/>
              </w:rPr>
              <w:t>严重</w:t>
            </w:r>
          </w:p>
        </w:tc>
        <w:tc>
          <w:tcPr>
            <w:tcW w:w="5506" w:type="dxa"/>
            <w:vAlign w:val="top"/>
          </w:tcPr>
          <w:p>
            <w:pPr>
              <w:spacing w:line="252" w:lineRule="auto"/>
              <w:rPr>
                <w:rFonts w:ascii="Arial"/>
                <w:sz w:val="21"/>
              </w:rPr>
            </w:pPr>
            <w:r/>
          </w:p>
          <w:p>
            <w:pPr>
              <w:pStyle w:val="TableText"/>
              <w:ind w:left="132"/>
              <w:spacing w:before="82" w:line="219" w:lineRule="auto"/>
              <w:rPr>
                <w:sz w:val="25"/>
                <w:szCs w:val="25"/>
              </w:rPr>
            </w:pPr>
            <w:r>
              <w:rPr>
                <w:sz w:val="25"/>
                <w:szCs w:val="25"/>
              </w:rPr>
              <w:t>造成传染病传播。</w:t>
            </w:r>
          </w:p>
        </w:tc>
        <w:tc>
          <w:tcPr>
            <w:tcW w:w="5581" w:type="dxa"/>
            <w:vAlign w:val="top"/>
          </w:tcPr>
          <w:p>
            <w:pPr>
              <w:pStyle w:val="TableText"/>
              <w:ind w:left="116" w:right="183" w:firstLine="10"/>
              <w:spacing w:before="116" w:line="327" w:lineRule="auto"/>
              <w:rPr>
                <w:sz w:val="25"/>
                <w:szCs w:val="25"/>
              </w:rPr>
            </w:pPr>
            <w:r>
              <w:rPr>
                <w:sz w:val="25"/>
                <w:szCs w:val="25"/>
              </w:rPr>
              <w:t>处2万元以上3万元以下的罚款，由原发证部门暂</w:t>
            </w:r>
            <w:r>
              <w:rPr>
                <w:sz w:val="25"/>
                <w:szCs w:val="25"/>
                <w:spacing w:val="10"/>
              </w:rPr>
              <w:t xml:space="preserve"> </w:t>
            </w:r>
            <w:r>
              <w:rPr>
                <w:sz w:val="25"/>
                <w:szCs w:val="25"/>
                <w:spacing w:val="-1"/>
              </w:rPr>
              <w:t>扣或者吊销执业许可证件或者经营许可证件。</w:t>
            </w:r>
          </w:p>
        </w:tc>
      </w:tr>
    </w:tbl>
    <w:p>
      <w:pPr>
        <w:ind w:left="49" w:right="96" w:firstLine="660"/>
        <w:spacing w:before="92" w:line="270" w:lineRule="auto"/>
        <w:rPr>
          <w:rFonts w:ascii="FangSong" w:hAnsi="FangSong" w:eastAsia="FangSong" w:cs="FangSong"/>
          <w:sz w:val="30"/>
          <w:szCs w:val="30"/>
        </w:rPr>
      </w:pPr>
      <w:r>
        <w:rPr>
          <w:rFonts w:ascii="SimSun" w:hAnsi="SimSun" w:eastAsia="SimSun" w:cs="SimSun"/>
          <w:sz w:val="33"/>
          <w:szCs w:val="33"/>
          <w:b/>
          <w:bCs/>
          <w:spacing w:val="-9"/>
        </w:rPr>
        <w:t>第七十九条医疗卫生机构发生医疗废物流失、泄漏、扩散时，未采取紧急处理措</w:t>
      </w:r>
      <w:r>
        <w:rPr>
          <w:rFonts w:ascii="SimSun" w:hAnsi="SimSun" w:eastAsia="SimSun" w:cs="SimSun"/>
          <w:sz w:val="33"/>
          <w:szCs w:val="33"/>
          <w:b/>
          <w:bCs/>
          <w:spacing w:val="-10"/>
        </w:rPr>
        <w:t>施，或者未及</w:t>
      </w:r>
      <w:r>
        <w:rPr>
          <w:rFonts w:ascii="SimSun" w:hAnsi="SimSun" w:eastAsia="SimSun" w:cs="SimSun"/>
          <w:sz w:val="33"/>
          <w:szCs w:val="33"/>
        </w:rPr>
        <w:t xml:space="preserve"> </w:t>
      </w:r>
      <w:r>
        <w:rPr>
          <w:rFonts w:ascii="FangSong" w:hAnsi="FangSong" w:eastAsia="FangSong" w:cs="FangSong"/>
          <w:sz w:val="30"/>
          <w:szCs w:val="30"/>
          <w:b/>
          <w:bCs/>
          <w:spacing w:val="16"/>
        </w:rPr>
        <w:t>时向卫生行政主管部门报告的</w:t>
      </w:r>
    </w:p>
    <w:p>
      <w:pPr>
        <w:ind w:left="705"/>
        <w:spacing w:before="1"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45" w:firstLine="630"/>
        <w:spacing w:before="112" w:line="259" w:lineRule="auto"/>
        <w:rPr>
          <w:rFonts w:ascii="FangSong" w:hAnsi="FangSong" w:eastAsia="FangSong" w:cs="FangSong"/>
          <w:sz w:val="30"/>
          <w:szCs w:val="30"/>
        </w:rPr>
      </w:pPr>
      <w:r>
        <w:rPr>
          <w:rFonts w:ascii="FangSong" w:hAnsi="FangSong" w:eastAsia="FangSong" w:cs="FangSong"/>
          <w:sz w:val="30"/>
          <w:szCs w:val="30"/>
          <w:spacing w:val="15"/>
        </w:rPr>
        <w:t>《医疗废物管理条例》第四十九条</w:t>
      </w:r>
      <w:r>
        <w:rPr>
          <w:rFonts w:ascii="FangSong" w:hAnsi="FangSong" w:eastAsia="FangSong" w:cs="FangSong"/>
          <w:sz w:val="30"/>
          <w:szCs w:val="30"/>
          <w:spacing w:val="15"/>
        </w:rPr>
        <w:t xml:space="preserve">   </w:t>
      </w:r>
      <w:r>
        <w:rPr>
          <w:rFonts w:ascii="FangSong" w:hAnsi="FangSong" w:eastAsia="FangSong" w:cs="FangSong"/>
          <w:sz w:val="30"/>
          <w:szCs w:val="30"/>
          <w:spacing w:val="15"/>
        </w:rPr>
        <w:t>医疗卫生机构、医疗废物集中处置单位发生医疗废物流失、</w:t>
      </w:r>
      <w:r>
        <w:rPr>
          <w:rFonts w:ascii="FangSong" w:hAnsi="FangSong" w:eastAsia="FangSong" w:cs="FangSong"/>
          <w:sz w:val="30"/>
          <w:szCs w:val="30"/>
          <w:spacing w:val="18"/>
        </w:rPr>
        <w:t xml:space="preserve"> </w:t>
      </w:r>
      <w:r>
        <w:rPr>
          <w:rFonts w:ascii="FangSong" w:hAnsi="FangSong" w:eastAsia="FangSong" w:cs="FangSong"/>
          <w:sz w:val="30"/>
          <w:szCs w:val="30"/>
          <w:spacing w:val="16"/>
        </w:rPr>
        <w:t>泄漏、扩散时，未采取紧急处理措施，或者未及时向卫生行政主管部门和环境保护行政主</w:t>
      </w:r>
      <w:r>
        <w:rPr>
          <w:rFonts w:ascii="FangSong" w:hAnsi="FangSong" w:eastAsia="FangSong" w:cs="FangSong"/>
          <w:sz w:val="30"/>
          <w:szCs w:val="30"/>
          <w:spacing w:val="15"/>
        </w:rPr>
        <w:t>管部门报告</w:t>
      </w:r>
    </w:p>
    <w:p>
      <w:pPr>
        <w:spacing w:line="259" w:lineRule="auto"/>
        <w:sectPr>
          <w:footerReference w:type="default" r:id="rId157"/>
          <w:pgSz w:w="16830" w:h="11900"/>
          <w:pgMar w:top="1011" w:right="1330" w:bottom="1123" w:left="1394" w:header="0" w:footer="808" w:gutter="0"/>
        </w:sectPr>
        <w:rPr>
          <w:rFonts w:ascii="FangSong" w:hAnsi="FangSong" w:eastAsia="FangSong" w:cs="FangSong"/>
          <w:sz w:val="30"/>
          <w:szCs w:val="30"/>
        </w:rPr>
      </w:pPr>
    </w:p>
    <w:p>
      <w:pPr>
        <w:pStyle w:val="BodyText"/>
        <w:spacing w:line="264" w:lineRule="auto"/>
        <w:rPr/>
      </w:pPr>
      <w:r/>
    </w:p>
    <w:p>
      <w:pPr>
        <w:pStyle w:val="BodyText"/>
        <w:spacing w:line="264" w:lineRule="auto"/>
        <w:rPr/>
      </w:pPr>
      <w:r/>
    </w:p>
    <w:p>
      <w:pPr>
        <w:pStyle w:val="BodyText"/>
        <w:spacing w:line="265" w:lineRule="auto"/>
        <w:rPr/>
      </w:pPr>
      <w:r/>
    </w:p>
    <w:p>
      <w:pPr>
        <w:spacing w:before="97" w:line="221" w:lineRule="auto"/>
        <w:outlineLvl w:val="1"/>
        <w:jc w:val="right"/>
        <w:rPr>
          <w:rFonts w:ascii="FangSong" w:hAnsi="FangSong" w:eastAsia="FangSong" w:cs="FangSong"/>
          <w:sz w:val="30"/>
          <w:szCs w:val="30"/>
        </w:rPr>
      </w:pPr>
      <w:bookmarkStart w:name="bookmark186" w:id="127"/>
      <w:bookmarkEnd w:id="127"/>
      <w:r>
        <w:rPr>
          <w:rFonts w:ascii="FangSong" w:hAnsi="FangSong" w:eastAsia="FangSong" w:cs="FangSong"/>
          <w:sz w:val="30"/>
          <w:szCs w:val="30"/>
          <w:spacing w:val="16"/>
        </w:rPr>
        <w:t>的，由县级以上地方人民政府卫生行政主管部门或者环</w:t>
      </w:r>
      <w:r>
        <w:rPr>
          <w:rFonts w:ascii="FangSong" w:hAnsi="FangSong" w:eastAsia="FangSong" w:cs="FangSong"/>
          <w:sz w:val="30"/>
          <w:szCs w:val="30"/>
          <w:spacing w:val="15"/>
        </w:rPr>
        <w:t>境保护行政主管部门按照各自的职责责令改正，</w:t>
      </w:r>
    </w:p>
    <w:p>
      <w:pPr>
        <w:ind w:left="45" w:right="280"/>
        <w:spacing w:before="80" w:line="271" w:lineRule="auto"/>
        <w:rPr>
          <w:rFonts w:ascii="FangSong" w:hAnsi="FangSong" w:eastAsia="FangSong" w:cs="FangSong"/>
          <w:sz w:val="30"/>
          <w:szCs w:val="30"/>
        </w:rPr>
      </w:pPr>
      <w:r>
        <w:rPr>
          <w:rFonts w:ascii="FangSong" w:hAnsi="FangSong" w:eastAsia="FangSong" w:cs="FangSong"/>
          <w:sz w:val="30"/>
          <w:szCs w:val="30"/>
          <w:spacing w:val="23"/>
        </w:rPr>
        <w:t>给予警告，并处1万元以上3万元以下的罚款；造成传染病传播或者环境污染事故的，由原发证部门</w:t>
      </w:r>
      <w:r>
        <w:rPr>
          <w:rFonts w:ascii="FangSong" w:hAnsi="FangSong" w:eastAsia="FangSong" w:cs="FangSong"/>
          <w:sz w:val="30"/>
          <w:szCs w:val="30"/>
          <w:spacing w:val="7"/>
        </w:rPr>
        <w:t xml:space="preserve"> </w:t>
      </w:r>
      <w:r>
        <w:rPr>
          <w:rFonts w:ascii="FangSong" w:hAnsi="FangSong" w:eastAsia="FangSong" w:cs="FangSong"/>
          <w:sz w:val="30"/>
          <w:szCs w:val="30"/>
          <w:spacing w:val="18"/>
        </w:rPr>
        <w:t>暂扣或者吊销执业许可证件或者经营许可证件；构成犯罪的，依法追究刑事责任。</w:t>
      </w:r>
    </w:p>
    <w:p>
      <w:pPr>
        <w:ind w:left="45" w:right="180" w:firstLine="630"/>
        <w:spacing w:before="1" w:line="268" w:lineRule="auto"/>
        <w:jc w:val="both"/>
        <w:rPr>
          <w:rFonts w:ascii="FangSong" w:hAnsi="FangSong" w:eastAsia="FangSong" w:cs="FangSong"/>
          <w:sz w:val="30"/>
          <w:szCs w:val="30"/>
        </w:rPr>
      </w:pPr>
      <w:r>
        <w:rPr>
          <w:rFonts w:ascii="FangSong" w:hAnsi="FangSong" w:eastAsia="FangSong" w:cs="FangSong"/>
          <w:sz w:val="30"/>
          <w:szCs w:val="30"/>
          <w:spacing w:val="17"/>
        </w:rPr>
        <w:t>《医疗废物管理行政处罚办法》第十一条：有《条例》第四十九条</w:t>
      </w:r>
      <w:r>
        <w:rPr>
          <w:rFonts w:ascii="FangSong" w:hAnsi="FangSong" w:eastAsia="FangSong" w:cs="FangSong"/>
          <w:sz w:val="30"/>
          <w:szCs w:val="30"/>
          <w:spacing w:val="16"/>
        </w:rPr>
        <w:t>规定的情形，医疗卫生机构发</w:t>
      </w:r>
      <w:r>
        <w:rPr>
          <w:rFonts w:ascii="FangSong" w:hAnsi="FangSong" w:eastAsia="FangSong" w:cs="FangSong"/>
          <w:sz w:val="30"/>
          <w:szCs w:val="30"/>
        </w:rPr>
        <w:t xml:space="preserve"> </w:t>
      </w:r>
      <w:r>
        <w:rPr>
          <w:rFonts w:ascii="FangSong" w:hAnsi="FangSong" w:eastAsia="FangSong" w:cs="FangSong"/>
          <w:sz w:val="30"/>
          <w:szCs w:val="30"/>
          <w:spacing w:val="16"/>
        </w:rPr>
        <w:t>生医疗废物流失、泄露、扩散时，未采取紧急处理措施，或者未及时向卫生行政主管部门报告的，由</w:t>
      </w:r>
      <w:r>
        <w:rPr>
          <w:rFonts w:ascii="FangSong" w:hAnsi="FangSong" w:eastAsia="FangSong" w:cs="FangSong"/>
          <w:sz w:val="30"/>
          <w:szCs w:val="30"/>
          <w:spacing w:val="10"/>
        </w:rPr>
        <w:t xml:space="preserve"> </w:t>
      </w:r>
      <w:r>
        <w:rPr>
          <w:rFonts w:ascii="FangSong" w:hAnsi="FangSong" w:eastAsia="FangSong" w:cs="FangSong"/>
          <w:sz w:val="30"/>
          <w:szCs w:val="30"/>
          <w:spacing w:val="25"/>
        </w:rPr>
        <w:t>县级以上地方人民政府卫生行政主管部门责令改正，给予警告，并处1万元以上3万元以下的罚款。</w:t>
      </w:r>
    </w:p>
    <w:p>
      <w:pPr>
        <w:ind w:left="6309"/>
        <w:spacing w:before="1" w:line="220" w:lineRule="auto"/>
        <w:rPr>
          <w:rFonts w:ascii="SimHei" w:hAnsi="SimHei" w:eastAsia="SimHei" w:cs="SimHei"/>
          <w:sz w:val="30"/>
          <w:szCs w:val="30"/>
        </w:rPr>
      </w:pPr>
      <w:r>
        <w:rPr>
          <w:rFonts w:ascii="SimHei" w:hAnsi="SimHei" w:eastAsia="SimHei" w:cs="SimHei"/>
          <w:sz w:val="30"/>
          <w:szCs w:val="30"/>
          <w:b/>
          <w:bCs/>
          <w:spacing w:val="-15"/>
        </w:rPr>
        <w:t>裁量标准</w:t>
      </w:r>
    </w:p>
    <w:p>
      <w:pPr>
        <w:spacing w:line="170" w:lineRule="exact"/>
        <w:rPr/>
      </w:pPr>
      <w:r/>
    </w:p>
    <w:tbl>
      <w:tblPr>
        <w:tblStyle w:val="TableNormal"/>
        <w:tblW w:w="137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63"/>
        <w:gridCol w:w="7435"/>
        <w:gridCol w:w="4242"/>
      </w:tblGrid>
      <w:tr>
        <w:trPr>
          <w:trHeight w:val="843" w:hRule="atLeast"/>
        </w:trPr>
        <w:tc>
          <w:tcPr>
            <w:tcW w:w="2063" w:type="dxa"/>
            <w:vAlign w:val="top"/>
          </w:tcPr>
          <w:p>
            <w:pPr>
              <w:pStyle w:val="TableText"/>
              <w:ind w:left="548"/>
              <w:spacing w:before="182" w:line="220" w:lineRule="auto"/>
              <w:rPr/>
            </w:pPr>
            <w:r>
              <w:rPr>
                <w:b/>
                <w:bCs/>
                <w:spacing w:val="-5"/>
              </w:rPr>
              <w:t>违法程度</w:t>
            </w:r>
          </w:p>
        </w:tc>
        <w:tc>
          <w:tcPr>
            <w:tcW w:w="7435" w:type="dxa"/>
            <w:vAlign w:val="top"/>
          </w:tcPr>
          <w:p>
            <w:pPr>
              <w:pStyle w:val="TableText"/>
              <w:ind w:left="3235"/>
              <w:spacing w:before="182" w:line="220" w:lineRule="auto"/>
              <w:rPr/>
            </w:pPr>
            <w:r>
              <w:rPr>
                <w:b/>
                <w:bCs/>
                <w:spacing w:val="-5"/>
              </w:rPr>
              <w:t>情节后果</w:t>
            </w:r>
          </w:p>
        </w:tc>
        <w:tc>
          <w:tcPr>
            <w:tcW w:w="4242" w:type="dxa"/>
            <w:vAlign w:val="top"/>
          </w:tcPr>
          <w:p>
            <w:pPr>
              <w:pStyle w:val="TableText"/>
              <w:ind w:left="1540"/>
              <w:spacing w:before="17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098" w:hRule="atLeast"/>
        </w:trPr>
        <w:tc>
          <w:tcPr>
            <w:tcW w:w="2063" w:type="dxa"/>
            <w:vAlign w:val="top"/>
          </w:tcPr>
          <w:p>
            <w:pPr>
              <w:pStyle w:val="TableText"/>
              <w:ind w:left="788"/>
              <w:spacing w:before="298" w:line="219" w:lineRule="auto"/>
              <w:rPr/>
            </w:pPr>
            <w:r>
              <w:rPr>
                <w:b/>
                <w:bCs/>
                <w:spacing w:val="-5"/>
              </w:rPr>
              <w:t>较轻</w:t>
            </w:r>
          </w:p>
        </w:tc>
        <w:tc>
          <w:tcPr>
            <w:tcW w:w="7435" w:type="dxa"/>
            <w:vAlign w:val="top"/>
          </w:tcPr>
          <w:p>
            <w:pPr>
              <w:pStyle w:val="TableText"/>
              <w:ind w:left="111"/>
              <w:spacing w:before="79" w:line="218" w:lineRule="auto"/>
              <w:rPr/>
            </w:pPr>
            <w:r>
              <w:rPr/>
              <w:t>发生医疗废物流失、泄漏、扩散时，未及时向卫生行政主管部门报告</w:t>
            </w:r>
          </w:p>
          <w:p>
            <w:pPr>
              <w:pStyle w:val="TableText"/>
              <w:ind w:left="102"/>
              <w:spacing w:before="182" w:line="222" w:lineRule="auto"/>
              <w:rPr/>
            </w:pPr>
            <w:r>
              <w:rPr>
                <w:color w:val="507070"/>
              </w:rPr>
              <w:t>的</w:t>
            </w:r>
          </w:p>
        </w:tc>
        <w:tc>
          <w:tcPr>
            <w:tcW w:w="4242" w:type="dxa"/>
            <w:vAlign w:val="top"/>
          </w:tcPr>
          <w:p>
            <w:pPr>
              <w:pStyle w:val="TableText"/>
              <w:ind w:left="196"/>
              <w:spacing w:before="79" w:line="218" w:lineRule="auto"/>
              <w:rPr/>
            </w:pPr>
            <w:r>
              <w:rPr/>
              <w:t>警告，处罚10000元以上16000元以下</w:t>
            </w:r>
          </w:p>
          <w:p>
            <w:pPr>
              <w:pStyle w:val="TableText"/>
              <w:ind w:left="127"/>
              <w:spacing w:before="169" w:line="221" w:lineRule="auto"/>
              <w:rPr/>
            </w:pPr>
            <w:r>
              <w:rPr>
                <w:color w:val="606060"/>
                <w:spacing w:val="5"/>
              </w:rPr>
              <w:t>罚款</w:t>
            </w:r>
          </w:p>
        </w:tc>
      </w:tr>
      <w:tr>
        <w:trPr>
          <w:trHeight w:val="1087" w:hRule="atLeast"/>
        </w:trPr>
        <w:tc>
          <w:tcPr>
            <w:tcW w:w="2063" w:type="dxa"/>
            <w:vAlign w:val="top"/>
          </w:tcPr>
          <w:p>
            <w:pPr>
              <w:pStyle w:val="TableText"/>
              <w:ind w:left="788"/>
              <w:spacing w:before="301" w:line="221" w:lineRule="auto"/>
              <w:rPr/>
            </w:pPr>
            <w:r>
              <w:rPr>
                <w:b/>
                <w:bCs/>
                <w:spacing w:val="-10"/>
              </w:rPr>
              <w:t>一般</w:t>
            </w:r>
          </w:p>
        </w:tc>
        <w:tc>
          <w:tcPr>
            <w:tcW w:w="7435" w:type="dxa"/>
            <w:vAlign w:val="top"/>
          </w:tcPr>
          <w:p>
            <w:pPr>
              <w:pStyle w:val="TableText"/>
              <w:ind w:left="111" w:right="101"/>
              <w:spacing w:before="83" w:line="339" w:lineRule="auto"/>
              <w:rPr/>
            </w:pPr>
            <w:r>
              <w:rPr/>
              <w:t>发生医疗废物流失、泄漏、扩散时，未采取紧急处理措施或未向卫生</w:t>
            </w:r>
            <w:r>
              <w:rPr>
                <w:spacing w:val="10"/>
              </w:rPr>
              <w:t xml:space="preserve"> </w:t>
            </w:r>
            <w:r>
              <w:rPr>
                <w:spacing w:val="2"/>
              </w:rPr>
              <w:t>行政主管部门报告的</w:t>
            </w:r>
          </w:p>
        </w:tc>
        <w:tc>
          <w:tcPr>
            <w:tcW w:w="4242" w:type="dxa"/>
            <w:vAlign w:val="top"/>
          </w:tcPr>
          <w:p>
            <w:pPr>
              <w:spacing w:line="242" w:lineRule="auto"/>
              <w:rPr>
                <w:rFonts w:ascii="Arial"/>
                <w:sz w:val="21"/>
              </w:rPr>
            </w:pPr>
            <w:r/>
          </w:p>
          <w:p>
            <w:pPr>
              <w:pStyle w:val="TableText"/>
              <w:ind w:left="196"/>
              <w:spacing w:before="78" w:line="218" w:lineRule="auto"/>
              <w:rPr/>
            </w:pPr>
            <w:r>
              <w:rPr/>
              <w:t>警告，罚款16000元以上24000元以下</w:t>
            </w:r>
          </w:p>
        </w:tc>
      </w:tr>
      <w:tr>
        <w:trPr>
          <w:trHeight w:val="1751" w:hRule="atLeast"/>
        </w:trPr>
        <w:tc>
          <w:tcPr>
            <w:tcW w:w="2063" w:type="dxa"/>
            <w:vAlign w:val="top"/>
          </w:tcPr>
          <w:p>
            <w:pPr>
              <w:spacing w:line="342" w:lineRule="auto"/>
              <w:rPr>
                <w:rFonts w:ascii="Arial"/>
                <w:sz w:val="21"/>
              </w:rPr>
            </w:pPr>
            <w:r/>
          </w:p>
          <w:p>
            <w:pPr>
              <w:spacing w:line="342" w:lineRule="auto"/>
              <w:rPr>
                <w:rFonts w:ascii="Arial"/>
                <w:sz w:val="21"/>
              </w:rPr>
            </w:pPr>
            <w:r/>
          </w:p>
          <w:p>
            <w:pPr>
              <w:pStyle w:val="TableText"/>
              <w:ind w:left="788"/>
              <w:spacing w:before="78" w:line="221" w:lineRule="auto"/>
              <w:rPr/>
            </w:pPr>
            <w:r>
              <w:rPr>
                <w:b/>
                <w:bCs/>
                <w:spacing w:val="-5"/>
              </w:rPr>
              <w:t>较重</w:t>
            </w:r>
          </w:p>
        </w:tc>
        <w:tc>
          <w:tcPr>
            <w:tcW w:w="7435" w:type="dxa"/>
            <w:vAlign w:val="top"/>
          </w:tcPr>
          <w:p>
            <w:pPr>
              <w:spacing w:line="346" w:lineRule="auto"/>
              <w:rPr>
                <w:rFonts w:ascii="Arial"/>
                <w:sz w:val="21"/>
              </w:rPr>
            </w:pPr>
            <w:r/>
          </w:p>
          <w:p>
            <w:pPr>
              <w:pStyle w:val="TableText"/>
              <w:ind w:left="131" w:right="101" w:hanging="20"/>
              <w:spacing w:before="78" w:line="354" w:lineRule="auto"/>
              <w:rPr/>
            </w:pPr>
            <w:r>
              <w:rPr/>
              <w:t>发生医疗废物流失、泄漏、扩散时，未采取紧急处理措施或者未向卫</w:t>
            </w:r>
            <w:r>
              <w:rPr>
                <w:spacing w:val="10"/>
              </w:rPr>
              <w:t xml:space="preserve"> </w:t>
            </w:r>
            <w:r>
              <w:rPr>
                <w:spacing w:val="1"/>
              </w:rPr>
              <w:t>生行政主管部门报告的，造成后果的</w:t>
            </w:r>
          </w:p>
        </w:tc>
        <w:tc>
          <w:tcPr>
            <w:tcW w:w="4242" w:type="dxa"/>
            <w:vAlign w:val="top"/>
          </w:tcPr>
          <w:p>
            <w:pPr>
              <w:spacing w:line="341" w:lineRule="auto"/>
              <w:rPr>
                <w:rFonts w:ascii="Arial"/>
                <w:sz w:val="21"/>
              </w:rPr>
            </w:pPr>
            <w:r/>
          </w:p>
          <w:p>
            <w:pPr>
              <w:spacing w:line="341" w:lineRule="auto"/>
              <w:rPr>
                <w:rFonts w:ascii="Arial"/>
                <w:sz w:val="21"/>
              </w:rPr>
            </w:pPr>
            <w:r/>
          </w:p>
          <w:p>
            <w:pPr>
              <w:pStyle w:val="TableText"/>
              <w:ind w:left="196"/>
              <w:spacing w:before="78" w:line="218" w:lineRule="auto"/>
              <w:rPr/>
            </w:pPr>
            <w:r>
              <w:rPr/>
              <w:t>警告，罚款24000元以上30000元以下</w:t>
            </w:r>
          </w:p>
        </w:tc>
      </w:tr>
    </w:tbl>
    <w:p>
      <w:pPr>
        <w:pStyle w:val="BodyText"/>
        <w:rPr/>
      </w:pPr>
      <w:r/>
    </w:p>
    <w:p>
      <w:pPr>
        <w:sectPr>
          <w:footerReference w:type="default" r:id="rId158"/>
          <w:pgSz w:w="16830" w:h="11900"/>
          <w:pgMar w:top="1011" w:right="1169" w:bottom="1135" w:left="1414" w:header="0" w:footer="793" w:gutter="0"/>
        </w:sectPr>
        <w:rPr/>
      </w:pPr>
    </w:p>
    <w:p>
      <w:pPr>
        <w:spacing w:before="17"/>
        <w:rPr/>
      </w:pPr>
      <w:r/>
    </w:p>
    <w:p>
      <w:pPr>
        <w:spacing w:before="16"/>
        <w:rPr/>
      </w:pPr>
      <w:r/>
    </w:p>
    <w:p>
      <w:pPr>
        <w:spacing w:before="16"/>
        <w:rPr/>
      </w:pPr>
      <w:r/>
    </w:p>
    <w:tbl>
      <w:tblPr>
        <w:tblStyle w:val="TableNormal"/>
        <w:tblW w:w="137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53"/>
        <w:gridCol w:w="7445"/>
        <w:gridCol w:w="4242"/>
      </w:tblGrid>
      <w:tr>
        <w:trPr>
          <w:trHeight w:val="653" w:hRule="atLeast"/>
        </w:trPr>
        <w:tc>
          <w:tcPr>
            <w:tcW w:w="2053"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TableText"/>
              <w:ind w:left="788"/>
              <w:spacing w:before="78" w:line="220" w:lineRule="auto"/>
              <w:outlineLvl w:val="1"/>
              <w:rPr/>
            </w:pPr>
            <w:bookmarkStart w:name="bookmark817" w:id="128"/>
            <w:bookmarkEnd w:id="128"/>
            <w:bookmarkStart w:name="bookmark186" w:id="129"/>
            <w:bookmarkEnd w:id="129"/>
            <w:r>
              <w:rPr>
                <w:b/>
                <w:bCs/>
                <w:spacing w:val="-6"/>
              </w:rPr>
              <w:t>严重</w:t>
            </w:r>
          </w:p>
        </w:tc>
        <w:tc>
          <w:tcPr>
            <w:tcW w:w="7445" w:type="dxa"/>
            <w:vAlign w:val="top"/>
          </w:tcPr>
          <w:p>
            <w:pPr>
              <w:pStyle w:val="TableText"/>
              <w:ind w:left="92"/>
              <w:spacing w:before="93" w:line="219" w:lineRule="auto"/>
              <w:rPr/>
            </w:pPr>
            <w:r>
              <w:rPr>
                <w:spacing w:val="1"/>
              </w:rPr>
              <w:t>造成丙类传染病流行的</w:t>
            </w:r>
          </w:p>
        </w:tc>
        <w:tc>
          <w:tcPr>
            <w:tcW w:w="4242" w:type="dxa"/>
            <w:vAlign w:val="top"/>
          </w:tcPr>
          <w:p>
            <w:pPr>
              <w:pStyle w:val="TableText"/>
              <w:ind w:left="196"/>
              <w:spacing w:before="85" w:line="219" w:lineRule="auto"/>
              <w:rPr/>
            </w:pPr>
            <w:r>
              <w:rPr/>
              <w:t>暂扣执业许可证1个月以上3个月以下</w:t>
            </w:r>
          </w:p>
        </w:tc>
      </w:tr>
      <w:tr>
        <w:trPr>
          <w:trHeight w:val="1086" w:hRule="atLeast"/>
        </w:trPr>
        <w:tc>
          <w:tcPr>
            <w:tcW w:w="2053" w:type="dxa"/>
            <w:vAlign w:val="top"/>
            <w:vMerge w:val="continue"/>
            <w:tcBorders>
              <w:top w:val="nil"/>
              <w:bottom w:val="nil"/>
            </w:tcBorders>
          </w:tcPr>
          <w:p>
            <w:pPr>
              <w:rPr>
                <w:rFonts w:ascii="Arial"/>
                <w:sz w:val="21"/>
              </w:rPr>
            </w:pPr>
            <w:r/>
          </w:p>
        </w:tc>
        <w:tc>
          <w:tcPr>
            <w:tcW w:w="7445" w:type="dxa"/>
            <w:vAlign w:val="top"/>
          </w:tcPr>
          <w:p>
            <w:pPr>
              <w:pStyle w:val="TableText"/>
              <w:ind w:left="92" w:right="23"/>
              <w:spacing w:before="90" w:line="335" w:lineRule="auto"/>
              <w:rPr/>
            </w:pPr>
            <w:r>
              <w:rPr>
                <w:spacing w:val="4"/>
              </w:rPr>
              <w:t>造成其它乙类传染病和伤寒副伤寒、痢疾、梅毒、淋病、乙型肝</w:t>
            </w:r>
            <w:r>
              <w:rPr>
                <w:spacing w:val="3"/>
              </w:rPr>
              <w:t>炎、</w:t>
            </w:r>
            <w:r>
              <w:rPr/>
              <w:t xml:space="preserve"> </w:t>
            </w:r>
            <w:r>
              <w:rPr>
                <w:spacing w:val="2"/>
              </w:rPr>
              <w:t>白喉、疟疾的流行的</w:t>
            </w:r>
          </w:p>
        </w:tc>
        <w:tc>
          <w:tcPr>
            <w:tcW w:w="4242" w:type="dxa"/>
            <w:vAlign w:val="top"/>
          </w:tcPr>
          <w:p>
            <w:pPr>
              <w:pStyle w:val="TableText"/>
              <w:ind w:left="196"/>
              <w:spacing w:before="312" w:line="219" w:lineRule="auto"/>
              <w:rPr/>
            </w:pPr>
            <w:r>
              <w:rPr/>
              <w:t>暂扣执业许可证3个月以上6个月以下</w:t>
            </w:r>
          </w:p>
        </w:tc>
      </w:tr>
      <w:tr>
        <w:trPr>
          <w:trHeight w:val="1061" w:hRule="atLeast"/>
        </w:trPr>
        <w:tc>
          <w:tcPr>
            <w:tcW w:w="2053" w:type="dxa"/>
            <w:vAlign w:val="top"/>
            <w:vMerge w:val="continue"/>
            <w:tcBorders>
              <w:top w:val="nil"/>
            </w:tcBorders>
          </w:tcPr>
          <w:p>
            <w:pPr>
              <w:rPr>
                <w:rFonts w:ascii="Arial"/>
                <w:sz w:val="21"/>
              </w:rPr>
            </w:pPr>
            <w:r/>
          </w:p>
        </w:tc>
        <w:tc>
          <w:tcPr>
            <w:tcW w:w="7445" w:type="dxa"/>
            <w:vAlign w:val="top"/>
          </w:tcPr>
          <w:p>
            <w:pPr>
              <w:pStyle w:val="TableText"/>
              <w:ind w:left="92"/>
              <w:spacing w:before="94" w:line="325" w:lineRule="auto"/>
              <w:rPr/>
            </w:pPr>
            <w:r>
              <w:rPr>
                <w:spacing w:val="-3"/>
              </w:rPr>
              <w:t>造成甲类传染病、传染性非典型肺炎和乙类传染病中艾滋</w:t>
            </w:r>
            <w:r>
              <w:rPr>
                <w:spacing w:val="-4"/>
              </w:rPr>
              <w:t>病、肺炭疽、</w:t>
            </w:r>
            <w:r>
              <w:rPr/>
              <w:t xml:space="preserve"> </w:t>
            </w:r>
            <w:r>
              <w:rPr>
                <w:spacing w:val="-3"/>
              </w:rPr>
              <w:t>脊髓灰质炎流行的或者环境污染事故</w:t>
            </w:r>
          </w:p>
        </w:tc>
        <w:tc>
          <w:tcPr>
            <w:tcW w:w="4242" w:type="dxa"/>
            <w:vAlign w:val="top"/>
          </w:tcPr>
          <w:p>
            <w:pPr>
              <w:pStyle w:val="TableText"/>
              <w:ind w:left="126"/>
              <w:spacing w:before="296" w:line="219" w:lineRule="auto"/>
              <w:rPr/>
            </w:pPr>
            <w:r>
              <w:rPr>
                <w:spacing w:val="1"/>
              </w:rPr>
              <w:t>吊销执业许可证</w:t>
            </w:r>
          </w:p>
        </w:tc>
      </w:tr>
    </w:tbl>
    <w:p>
      <w:pPr>
        <w:ind w:left="29" w:right="95" w:firstLine="639"/>
        <w:spacing w:before="107" w:line="264" w:lineRule="auto"/>
        <w:rPr>
          <w:rFonts w:ascii="FangSong" w:hAnsi="FangSong" w:eastAsia="FangSong" w:cs="FangSong"/>
          <w:sz w:val="30"/>
          <w:szCs w:val="30"/>
        </w:rPr>
      </w:pPr>
      <w:r>
        <w:rPr>
          <w:rFonts w:ascii="FangSong" w:hAnsi="FangSong" w:eastAsia="FangSong" w:cs="FangSong"/>
          <w:sz w:val="30"/>
          <w:szCs w:val="30"/>
          <w:b/>
          <w:bCs/>
          <w:spacing w:val="19"/>
        </w:rPr>
        <w:t>第八十条对医疗卫生机构，无正当理由，阻碍卫生行政主管部门或者环境保护行</w:t>
      </w:r>
      <w:r>
        <w:rPr>
          <w:rFonts w:ascii="FangSong" w:hAnsi="FangSong" w:eastAsia="FangSong" w:cs="FangSong"/>
          <w:sz w:val="30"/>
          <w:szCs w:val="30"/>
          <w:b/>
          <w:bCs/>
          <w:spacing w:val="18"/>
        </w:rPr>
        <w:t>政主管部</w:t>
      </w:r>
      <w:r>
        <w:rPr>
          <w:rFonts w:ascii="FangSong" w:hAnsi="FangSong" w:eastAsia="FangSong" w:cs="FangSong"/>
          <w:sz w:val="30"/>
          <w:szCs w:val="30"/>
          <w:spacing w:val="18"/>
        </w:rPr>
        <w:t>门</w:t>
      </w:r>
      <w:r>
        <w:rPr>
          <w:rFonts w:ascii="FangSong" w:hAnsi="FangSong" w:eastAsia="FangSong" w:cs="FangSong"/>
          <w:sz w:val="30"/>
          <w:szCs w:val="30"/>
          <w:spacing w:val="-37"/>
        </w:rPr>
        <w:t xml:space="preserve"> </w:t>
      </w:r>
      <w:r>
        <w:rPr>
          <w:rFonts w:ascii="FangSong" w:hAnsi="FangSong" w:eastAsia="FangSong" w:cs="FangSong"/>
          <w:sz w:val="30"/>
          <w:szCs w:val="30"/>
          <w:spacing w:val="18"/>
        </w:rPr>
        <w:t>执</w:t>
      </w:r>
      <w:r>
        <w:rPr>
          <w:rFonts w:ascii="FangSong" w:hAnsi="FangSong" w:eastAsia="FangSong" w:cs="FangSong"/>
          <w:sz w:val="30"/>
          <w:szCs w:val="30"/>
        </w:rPr>
        <w:t xml:space="preserve"> </w:t>
      </w:r>
      <w:r>
        <w:rPr>
          <w:rFonts w:ascii="FangSong" w:hAnsi="FangSong" w:eastAsia="FangSong" w:cs="FangSong"/>
          <w:sz w:val="30"/>
          <w:szCs w:val="30"/>
          <w:b/>
          <w:bCs/>
          <w:spacing w:val="17"/>
        </w:rPr>
        <w:t>法人员执行职务，拒绝执法人员进入现场，或者不配合执法部门的检查、监测、调查取证的</w:t>
      </w:r>
    </w:p>
    <w:p>
      <w:pPr>
        <w:ind w:left="675"/>
        <w:spacing w:before="1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right="104" w:firstLine="659"/>
        <w:spacing w:before="90" w:line="271" w:lineRule="auto"/>
        <w:jc w:val="both"/>
        <w:rPr>
          <w:rFonts w:ascii="FangSong" w:hAnsi="FangSong" w:eastAsia="FangSong" w:cs="FangSong"/>
          <w:sz w:val="30"/>
          <w:szCs w:val="30"/>
        </w:rPr>
      </w:pPr>
      <w:r>
        <w:rPr>
          <w:rFonts w:ascii="FangSong" w:hAnsi="FangSong" w:eastAsia="FangSong" w:cs="FangSong"/>
          <w:sz w:val="30"/>
          <w:szCs w:val="30"/>
          <w:spacing w:val="19"/>
        </w:rPr>
        <w:t>《医疗废物管理条例》第五十条</w:t>
      </w:r>
      <w:r>
        <w:rPr>
          <w:rFonts w:ascii="FangSong" w:hAnsi="FangSong" w:eastAsia="FangSong" w:cs="FangSong"/>
          <w:sz w:val="30"/>
          <w:szCs w:val="30"/>
          <w:spacing w:val="19"/>
        </w:rPr>
        <w:t xml:space="preserve">   </w:t>
      </w:r>
      <w:r>
        <w:rPr>
          <w:rFonts w:ascii="FangSong" w:hAnsi="FangSong" w:eastAsia="FangSong" w:cs="FangSong"/>
          <w:sz w:val="30"/>
          <w:szCs w:val="30"/>
          <w:spacing w:val="19"/>
        </w:rPr>
        <w:t>医疗卫生机构、医疗废物集中处置单位，</w:t>
      </w:r>
      <w:r>
        <w:rPr>
          <w:rFonts w:ascii="FangSong" w:hAnsi="FangSong" w:eastAsia="FangSong" w:cs="FangSong"/>
          <w:sz w:val="30"/>
          <w:szCs w:val="30"/>
          <w:spacing w:val="18"/>
        </w:rPr>
        <w:t>无正当理由，阻碍</w:t>
      </w:r>
      <w:r>
        <w:rPr>
          <w:rFonts w:ascii="FangSong" w:hAnsi="FangSong" w:eastAsia="FangSong" w:cs="FangSong"/>
          <w:sz w:val="30"/>
          <w:szCs w:val="30"/>
        </w:rPr>
        <w:t xml:space="preserve"> </w:t>
      </w:r>
      <w:r>
        <w:rPr>
          <w:rFonts w:ascii="FangSong" w:hAnsi="FangSong" w:eastAsia="FangSong" w:cs="FangSong"/>
          <w:sz w:val="30"/>
          <w:szCs w:val="30"/>
          <w:spacing w:val="16"/>
        </w:rPr>
        <w:t>卫生行政主管部门或者环境保护行政主管部门执法人员执行职务，拒绝执法人员进入现场，或者不配</w:t>
      </w:r>
      <w:r>
        <w:rPr>
          <w:rFonts w:ascii="FangSong" w:hAnsi="FangSong" w:eastAsia="FangSong" w:cs="FangSong"/>
          <w:sz w:val="30"/>
          <w:szCs w:val="30"/>
          <w:spacing w:val="16"/>
        </w:rPr>
        <w:t xml:space="preserve"> </w:t>
      </w:r>
      <w:r>
        <w:rPr>
          <w:rFonts w:ascii="FangSong" w:hAnsi="FangSong" w:eastAsia="FangSong" w:cs="FangSong"/>
          <w:sz w:val="30"/>
          <w:szCs w:val="30"/>
          <w:spacing w:val="16"/>
        </w:rPr>
        <w:t>合执法部门的检查、监测、调查取证的，由县级以上地方人民政府卫生行政主管部门或者环境保护行</w:t>
      </w:r>
      <w:r>
        <w:rPr>
          <w:rFonts w:ascii="FangSong" w:hAnsi="FangSong" w:eastAsia="FangSong" w:cs="FangSong"/>
          <w:sz w:val="30"/>
          <w:szCs w:val="30"/>
          <w:spacing w:val="15"/>
        </w:rPr>
        <w:t xml:space="preserve"> </w:t>
      </w:r>
      <w:r>
        <w:rPr>
          <w:rFonts w:ascii="FangSong" w:hAnsi="FangSong" w:eastAsia="FangSong" w:cs="FangSong"/>
          <w:sz w:val="30"/>
          <w:szCs w:val="30"/>
          <w:spacing w:val="16"/>
        </w:rPr>
        <w:t>政主管部门按照各自的职责责令改正，给予警告；拒不改正的，由原发证部门暂扣或者吊销执业许可</w:t>
      </w:r>
      <w:r>
        <w:rPr>
          <w:rFonts w:ascii="FangSong" w:hAnsi="FangSong" w:eastAsia="FangSong" w:cs="FangSong"/>
          <w:sz w:val="30"/>
          <w:szCs w:val="30"/>
          <w:spacing w:val="17"/>
        </w:rPr>
        <w:t xml:space="preserve"> </w:t>
      </w:r>
      <w:r>
        <w:rPr>
          <w:rFonts w:ascii="FangSong" w:hAnsi="FangSong" w:eastAsia="FangSong" w:cs="FangSong"/>
          <w:sz w:val="30"/>
          <w:szCs w:val="30"/>
          <w:spacing w:val="20"/>
        </w:rPr>
        <w:t>证件或者经营许可证件；触犯《中华人民共和国治安管理处罚条例》,构成违反治安管理行为的，由</w:t>
      </w:r>
      <w:r>
        <w:rPr>
          <w:rFonts w:ascii="FangSong" w:hAnsi="FangSong" w:eastAsia="FangSong" w:cs="FangSong"/>
          <w:sz w:val="30"/>
          <w:szCs w:val="30"/>
          <w:spacing w:val="14"/>
        </w:rPr>
        <w:t xml:space="preserve"> </w:t>
      </w:r>
      <w:r>
        <w:rPr>
          <w:rFonts w:ascii="FangSong" w:hAnsi="FangSong" w:eastAsia="FangSong" w:cs="FangSong"/>
          <w:sz w:val="30"/>
          <w:szCs w:val="30"/>
          <w:spacing w:val="17"/>
        </w:rPr>
        <w:t>公安机关依法予以处罚；构成犯罪的，依法追究刑事责任。</w:t>
      </w:r>
    </w:p>
    <w:p>
      <w:pPr>
        <w:ind w:left="25" w:firstLine="619"/>
        <w:spacing w:before="11" w:line="271" w:lineRule="auto"/>
        <w:rPr>
          <w:rFonts w:ascii="FangSong" w:hAnsi="FangSong" w:eastAsia="FangSong" w:cs="FangSong"/>
          <w:sz w:val="30"/>
          <w:szCs w:val="30"/>
        </w:rPr>
      </w:pPr>
      <w:r>
        <w:rPr>
          <w:rFonts w:ascii="FangSong" w:hAnsi="FangSong" w:eastAsia="FangSong" w:cs="FangSong"/>
          <w:sz w:val="30"/>
          <w:szCs w:val="30"/>
          <w:spacing w:val="12"/>
        </w:rPr>
        <w:t>《医疗废物管理条例》第四十一条</w:t>
      </w:r>
      <w:r>
        <w:rPr>
          <w:rFonts w:ascii="FangSong" w:hAnsi="FangSong" w:eastAsia="FangSong" w:cs="FangSong"/>
          <w:sz w:val="30"/>
          <w:szCs w:val="30"/>
          <w:spacing w:val="12"/>
        </w:rPr>
        <w:t xml:space="preserve">  </w:t>
      </w:r>
      <w:r>
        <w:rPr>
          <w:rFonts w:ascii="FangSong" w:hAnsi="FangSong" w:eastAsia="FangSong" w:cs="FangSong"/>
          <w:sz w:val="30"/>
          <w:szCs w:val="30"/>
          <w:spacing w:val="12"/>
        </w:rPr>
        <w:t>医疗卫生机构和医疗废物集中处置单位，对有关部门的检查、</w:t>
      </w:r>
      <w:r>
        <w:rPr>
          <w:rFonts w:ascii="FangSong" w:hAnsi="FangSong" w:eastAsia="FangSong" w:cs="FangSong"/>
          <w:sz w:val="30"/>
          <w:szCs w:val="30"/>
          <w:spacing w:val="1"/>
        </w:rPr>
        <w:t xml:space="preserve"> </w:t>
      </w:r>
      <w:r>
        <w:rPr>
          <w:rFonts w:ascii="FangSong" w:hAnsi="FangSong" w:eastAsia="FangSong" w:cs="FangSong"/>
          <w:sz w:val="30"/>
          <w:szCs w:val="30"/>
          <w:spacing w:val="17"/>
        </w:rPr>
        <w:t>监测、调查取证，应当予以配合，不得拒绝和阻碍，不得提供虚假材料。</w:t>
      </w:r>
    </w:p>
    <w:p>
      <w:pPr>
        <w:spacing w:line="271" w:lineRule="auto"/>
        <w:sectPr>
          <w:footerReference w:type="default" r:id="rId159"/>
          <w:pgSz w:w="16830" w:h="11900"/>
          <w:pgMar w:top="1011" w:right="1329" w:bottom="1118" w:left="1425" w:header="0" w:footer="785" w:gutter="0"/>
        </w:sectPr>
        <w:rPr>
          <w:rFonts w:ascii="FangSong" w:hAnsi="FangSong" w:eastAsia="FangSong" w:cs="FangSong"/>
          <w:sz w:val="30"/>
          <w:szCs w:val="30"/>
        </w:rPr>
      </w:pPr>
    </w:p>
    <w:p>
      <w:pPr>
        <w:pStyle w:val="BodyText"/>
        <w:spacing w:line="254" w:lineRule="auto"/>
        <w:rPr/>
      </w:pPr>
      <w:r/>
    </w:p>
    <w:p>
      <w:pPr>
        <w:pStyle w:val="BodyText"/>
        <w:spacing w:line="255" w:lineRule="auto"/>
        <w:rPr/>
      </w:pPr>
      <w:r/>
    </w:p>
    <w:p>
      <w:pPr>
        <w:pStyle w:val="BodyText"/>
        <w:spacing w:line="255" w:lineRule="auto"/>
        <w:rPr/>
      </w:pPr>
      <w:r/>
    </w:p>
    <w:p>
      <w:pPr>
        <w:ind w:left="6249"/>
        <w:spacing w:before="94" w:line="221" w:lineRule="auto"/>
        <w:outlineLvl w:val="1"/>
        <w:rPr>
          <w:rFonts w:ascii="SimHei" w:hAnsi="SimHei" w:eastAsia="SimHei" w:cs="SimHei"/>
          <w:sz w:val="29"/>
          <w:szCs w:val="29"/>
        </w:rPr>
      </w:pPr>
      <w:bookmarkStart w:name="bookmark818" w:id="130"/>
      <w:bookmarkEnd w:id="130"/>
      <w:bookmarkStart w:name="bookmark186" w:id="131"/>
      <w:bookmarkEnd w:id="131"/>
      <w:r>
        <w:rPr>
          <w:rFonts w:ascii="SimHei" w:hAnsi="SimHei" w:eastAsia="SimHei" w:cs="SimHei"/>
          <w:sz w:val="29"/>
          <w:szCs w:val="29"/>
          <w:b/>
          <w:bCs/>
          <w:spacing w:val="-10"/>
        </w:rPr>
        <w:t>裁量标准</w:t>
      </w:r>
    </w:p>
    <w:p>
      <w:pPr>
        <w:spacing w:line="212" w:lineRule="exact"/>
        <w:rPr/>
      </w:pPr>
      <w:r/>
    </w:p>
    <w:tbl>
      <w:tblPr>
        <w:tblStyle w:val="TableNormal"/>
        <w:tblW w:w="135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4"/>
        <w:gridCol w:w="8094"/>
        <w:gridCol w:w="3692"/>
      </w:tblGrid>
      <w:tr>
        <w:trPr>
          <w:trHeight w:val="832" w:hRule="atLeast"/>
        </w:trPr>
        <w:tc>
          <w:tcPr>
            <w:tcW w:w="1804" w:type="dxa"/>
            <w:vAlign w:val="top"/>
          </w:tcPr>
          <w:p>
            <w:pPr>
              <w:pStyle w:val="TableText"/>
              <w:ind w:left="418"/>
              <w:spacing w:before="182" w:line="220" w:lineRule="auto"/>
              <w:rPr/>
            </w:pPr>
            <w:r>
              <w:rPr>
                <w:b/>
                <w:bCs/>
                <w:spacing w:val="-5"/>
              </w:rPr>
              <w:t>违法程度</w:t>
            </w:r>
          </w:p>
        </w:tc>
        <w:tc>
          <w:tcPr>
            <w:tcW w:w="8094" w:type="dxa"/>
            <w:vAlign w:val="top"/>
          </w:tcPr>
          <w:p>
            <w:pPr>
              <w:pStyle w:val="TableText"/>
              <w:ind w:left="3484"/>
              <w:spacing w:before="182" w:line="220" w:lineRule="auto"/>
              <w:rPr/>
            </w:pPr>
            <w:r>
              <w:rPr>
                <w:b/>
                <w:bCs/>
                <w:spacing w:val="-5"/>
              </w:rPr>
              <w:t>情节后果</w:t>
            </w:r>
          </w:p>
        </w:tc>
        <w:tc>
          <w:tcPr>
            <w:tcW w:w="3692" w:type="dxa"/>
            <w:vAlign w:val="top"/>
          </w:tcPr>
          <w:p>
            <w:pPr>
              <w:pStyle w:val="TableText"/>
              <w:ind w:left="1300"/>
              <w:spacing w:before="17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086" w:hRule="atLeast"/>
        </w:trPr>
        <w:tc>
          <w:tcPr>
            <w:tcW w:w="1804" w:type="dxa"/>
            <w:vAlign w:val="top"/>
            <w:vMerge w:val="restart"/>
            <w:tcBorders>
              <w:bottom w:val="nil"/>
            </w:tcBorders>
          </w:tcPr>
          <w:p>
            <w:pPr>
              <w:pStyle w:val="TableText"/>
              <w:ind w:left="658"/>
              <w:spacing w:before="310" w:line="221" w:lineRule="auto"/>
              <w:rPr/>
            </w:pPr>
            <w:r>
              <w:rPr>
                <w:b/>
                <w:bCs/>
                <w:spacing w:val="-10"/>
              </w:rPr>
              <w:t>一般</w:t>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658"/>
              <w:spacing w:before="78" w:line="220" w:lineRule="auto"/>
              <w:rPr/>
            </w:pPr>
            <w:r>
              <w:rPr>
                <w:b/>
                <w:bCs/>
                <w:spacing w:val="-6"/>
              </w:rPr>
              <w:t>严重</w:t>
            </w:r>
          </w:p>
        </w:tc>
        <w:tc>
          <w:tcPr>
            <w:tcW w:w="8094" w:type="dxa"/>
            <w:vAlign w:val="top"/>
          </w:tcPr>
          <w:p>
            <w:pPr>
              <w:pStyle w:val="TableText"/>
              <w:ind w:left="140" w:right="11"/>
              <w:spacing w:before="102" w:line="341" w:lineRule="auto"/>
              <w:rPr/>
            </w:pPr>
            <w:r>
              <w:rPr/>
              <w:t>医疗卫生机构无正当理由，阻碍卫生行政主管部门执法人员执行职务，拒绝</w:t>
            </w:r>
            <w:r>
              <w:rPr>
                <w:spacing w:val="10"/>
              </w:rPr>
              <w:t xml:space="preserve"> </w:t>
            </w:r>
            <w:r>
              <w:rPr/>
              <w:t>执法人员进入现场，或者不配合执法部门的检查、监测、调查取</w:t>
            </w:r>
            <w:r>
              <w:rPr>
                <w:spacing w:val="-1"/>
              </w:rPr>
              <w:t>证。</w:t>
            </w:r>
          </w:p>
        </w:tc>
        <w:tc>
          <w:tcPr>
            <w:tcW w:w="3692" w:type="dxa"/>
            <w:vAlign w:val="top"/>
          </w:tcPr>
          <w:p>
            <w:pPr>
              <w:pStyle w:val="TableText"/>
              <w:ind w:left="136"/>
              <w:spacing w:before="310" w:line="218" w:lineRule="auto"/>
              <w:rPr/>
            </w:pPr>
            <w:r>
              <w:rPr/>
              <w:t>给予警告。</w:t>
            </w:r>
          </w:p>
        </w:tc>
      </w:tr>
      <w:tr>
        <w:trPr>
          <w:trHeight w:val="1081" w:hRule="atLeast"/>
        </w:trPr>
        <w:tc>
          <w:tcPr>
            <w:tcW w:w="1804" w:type="dxa"/>
            <w:vAlign w:val="top"/>
            <w:vMerge w:val="continue"/>
            <w:tcBorders>
              <w:top w:val="nil"/>
            </w:tcBorders>
          </w:tcPr>
          <w:p>
            <w:pPr>
              <w:rPr>
                <w:rFonts w:ascii="Arial"/>
                <w:sz w:val="21"/>
              </w:rPr>
            </w:pPr>
            <w:r/>
          </w:p>
        </w:tc>
        <w:tc>
          <w:tcPr>
            <w:tcW w:w="8094" w:type="dxa"/>
            <w:vAlign w:val="top"/>
          </w:tcPr>
          <w:p>
            <w:pPr>
              <w:spacing w:line="341" w:lineRule="auto"/>
              <w:rPr>
                <w:rFonts w:ascii="Arial"/>
                <w:sz w:val="21"/>
              </w:rPr>
            </w:pPr>
            <w:r/>
          </w:p>
          <w:p>
            <w:pPr>
              <w:pStyle w:val="TableText"/>
              <w:ind w:left="144"/>
              <w:spacing w:before="78" w:line="219" w:lineRule="auto"/>
              <w:rPr/>
            </w:pPr>
            <w:r>
              <w:rPr>
                <w:b/>
                <w:bCs/>
                <w:spacing w:val="-2"/>
              </w:rPr>
              <w:t>责令改正后，拒不改正</w:t>
            </w:r>
          </w:p>
        </w:tc>
        <w:tc>
          <w:tcPr>
            <w:tcW w:w="3692" w:type="dxa"/>
            <w:vAlign w:val="top"/>
          </w:tcPr>
          <w:p>
            <w:pPr>
              <w:pStyle w:val="TableText"/>
              <w:ind w:left="136" w:right="146" w:firstLine="30"/>
              <w:spacing w:before="116" w:line="333" w:lineRule="auto"/>
              <w:rPr/>
            </w:pPr>
            <w:r>
              <w:rPr/>
              <w:t>由原发证部门暂扣或者吊销执业</w:t>
            </w:r>
            <w:r>
              <w:rPr>
                <w:spacing w:val="7"/>
              </w:rPr>
              <w:t xml:space="preserve"> </w:t>
            </w:r>
            <w:r>
              <w:rPr/>
              <w:t>许可证件或者经营许可证件。</w:t>
            </w:r>
          </w:p>
        </w:tc>
      </w:tr>
    </w:tbl>
    <w:p>
      <w:pPr>
        <w:ind w:right="11"/>
        <w:spacing w:before="97" w:line="221" w:lineRule="auto"/>
        <w:jc w:val="right"/>
        <w:rPr>
          <w:rFonts w:ascii="FangSong" w:hAnsi="FangSong" w:eastAsia="FangSong" w:cs="FangSong"/>
          <w:sz w:val="29"/>
          <w:szCs w:val="29"/>
        </w:rPr>
      </w:pPr>
      <w:r>
        <w:rPr>
          <w:rFonts w:ascii="FangSong" w:hAnsi="FangSong" w:eastAsia="FangSong" w:cs="FangSong"/>
          <w:sz w:val="29"/>
          <w:szCs w:val="29"/>
          <w:b/>
          <w:bCs/>
          <w:spacing w:val="30"/>
        </w:rPr>
        <w:t>第八十一条不具备集中处置医疗废物条件的农村，医疗卫生机构未按照规定要求处置医疗废物</w:t>
      </w:r>
    </w:p>
    <w:p>
      <w:pPr>
        <w:ind w:left="34"/>
        <w:spacing w:before="88" w:line="227" w:lineRule="auto"/>
        <w:rPr>
          <w:rFonts w:ascii="FangSong" w:hAnsi="FangSong" w:eastAsia="FangSong" w:cs="FangSong"/>
          <w:sz w:val="33"/>
          <w:szCs w:val="33"/>
        </w:rPr>
      </w:pPr>
      <w:r>
        <w:rPr>
          <w:rFonts w:ascii="FangSong" w:hAnsi="FangSong" w:eastAsia="FangSong" w:cs="FangSong"/>
          <w:sz w:val="33"/>
          <w:szCs w:val="33"/>
        </w:rPr>
        <w:t>的</w:t>
      </w:r>
    </w:p>
    <w:p>
      <w:pPr>
        <w:ind w:left="695"/>
        <w:spacing w:before="86" w:line="222" w:lineRule="auto"/>
        <w:rPr>
          <w:rFonts w:ascii="FangSong" w:hAnsi="FangSong" w:eastAsia="FangSong" w:cs="FangSong"/>
          <w:sz w:val="29"/>
          <w:szCs w:val="29"/>
        </w:rPr>
      </w:pPr>
      <w:r>
        <w:rPr>
          <w:rFonts w:ascii="FangSong" w:hAnsi="FangSong" w:eastAsia="FangSong" w:cs="FangSong"/>
          <w:sz w:val="29"/>
          <w:szCs w:val="29"/>
          <w:spacing w:val="11"/>
        </w:rPr>
        <w:t>法律依据：</w:t>
      </w:r>
    </w:p>
    <w:p>
      <w:pPr>
        <w:ind w:left="34" w:firstLine="635"/>
        <w:spacing w:before="60" w:line="281" w:lineRule="auto"/>
        <w:jc w:val="both"/>
        <w:rPr>
          <w:rFonts w:ascii="FangSong" w:hAnsi="FangSong" w:eastAsia="FangSong" w:cs="FangSong"/>
          <w:sz w:val="29"/>
          <w:szCs w:val="29"/>
        </w:rPr>
      </w:pPr>
      <w:r>
        <w:rPr>
          <w:rFonts w:ascii="FangSong" w:hAnsi="FangSong" w:eastAsia="FangSong" w:cs="FangSong"/>
          <w:sz w:val="29"/>
          <w:szCs w:val="29"/>
          <w:spacing w:val="29"/>
        </w:rPr>
        <w:t>《医疗废物管理条例》第五十一条</w:t>
      </w:r>
      <w:r>
        <w:rPr>
          <w:rFonts w:ascii="FangSong" w:hAnsi="FangSong" w:eastAsia="FangSong" w:cs="FangSong"/>
          <w:sz w:val="29"/>
          <w:szCs w:val="29"/>
          <w:spacing w:val="29"/>
        </w:rPr>
        <w:t xml:space="preserve">   </w:t>
      </w:r>
      <w:r>
        <w:rPr>
          <w:rFonts w:ascii="FangSong" w:hAnsi="FangSong" w:eastAsia="FangSong" w:cs="FangSong"/>
          <w:sz w:val="29"/>
          <w:szCs w:val="29"/>
          <w:spacing w:val="29"/>
        </w:rPr>
        <w:t>不具备集中处置医疗废物条件的农村，医疗卫生机构未按</w:t>
      </w:r>
      <w:r>
        <w:rPr>
          <w:rFonts w:ascii="FangSong" w:hAnsi="FangSong" w:eastAsia="FangSong" w:cs="FangSong"/>
          <w:sz w:val="29"/>
          <w:szCs w:val="29"/>
          <w:spacing w:val="14"/>
        </w:rPr>
        <w:t xml:space="preserve"> </w:t>
      </w:r>
      <w:r>
        <w:rPr>
          <w:rFonts w:ascii="FangSong" w:hAnsi="FangSong" w:eastAsia="FangSong" w:cs="FangSong"/>
          <w:sz w:val="29"/>
          <w:szCs w:val="29"/>
          <w:spacing w:val="27"/>
        </w:rPr>
        <w:t>照本条例的要求处置医疗废物的，由县级人民政府卫生行政主管部门或者环</w:t>
      </w:r>
      <w:r>
        <w:rPr>
          <w:rFonts w:ascii="FangSong" w:hAnsi="FangSong" w:eastAsia="FangSong" w:cs="FangSong"/>
          <w:sz w:val="29"/>
          <w:szCs w:val="29"/>
          <w:spacing w:val="26"/>
        </w:rPr>
        <w:t>境保护行政主管部门按照</w:t>
      </w:r>
      <w:r>
        <w:rPr>
          <w:rFonts w:ascii="FangSong" w:hAnsi="FangSong" w:eastAsia="FangSong" w:cs="FangSong"/>
          <w:sz w:val="29"/>
          <w:szCs w:val="29"/>
        </w:rPr>
        <w:t xml:space="preserve"> </w:t>
      </w:r>
      <w:r>
        <w:rPr>
          <w:rFonts w:ascii="FangSong" w:hAnsi="FangSong" w:eastAsia="FangSong" w:cs="FangSong"/>
          <w:sz w:val="29"/>
          <w:szCs w:val="29"/>
          <w:spacing w:val="31"/>
        </w:rPr>
        <w:t>各自的职责责令限期改正，给予警告；逾期不改正的，处1000元以上5000元以下的罚款；造成传染</w:t>
      </w:r>
      <w:r>
        <w:rPr>
          <w:rFonts w:ascii="FangSong" w:hAnsi="FangSong" w:eastAsia="FangSong" w:cs="FangSong"/>
          <w:sz w:val="29"/>
          <w:szCs w:val="29"/>
          <w:spacing w:val="1"/>
        </w:rPr>
        <w:t xml:space="preserve"> </w:t>
      </w:r>
      <w:r>
        <w:rPr>
          <w:rFonts w:ascii="FangSong" w:hAnsi="FangSong" w:eastAsia="FangSong" w:cs="FangSong"/>
          <w:sz w:val="29"/>
          <w:szCs w:val="29"/>
          <w:spacing w:val="27"/>
        </w:rPr>
        <w:t>病传播或者环境污染事故的，由原发证部门暂扣或者吊销执业许可证</w:t>
      </w:r>
      <w:r>
        <w:rPr>
          <w:rFonts w:ascii="FangSong" w:hAnsi="FangSong" w:eastAsia="FangSong" w:cs="FangSong"/>
          <w:sz w:val="29"/>
          <w:szCs w:val="29"/>
          <w:spacing w:val="26"/>
        </w:rPr>
        <w:t>件；构成犯罪的，依法追究刑事</w:t>
      </w:r>
      <w:r>
        <w:rPr>
          <w:rFonts w:ascii="FangSong" w:hAnsi="FangSong" w:eastAsia="FangSong" w:cs="FangSong"/>
          <w:sz w:val="29"/>
          <w:szCs w:val="29"/>
        </w:rPr>
        <w:t xml:space="preserve"> </w:t>
      </w:r>
      <w:r>
        <w:rPr>
          <w:rFonts w:ascii="FangSong" w:hAnsi="FangSong" w:eastAsia="FangSong" w:cs="FangSong"/>
          <w:sz w:val="29"/>
          <w:szCs w:val="29"/>
          <w:spacing w:val="8"/>
        </w:rPr>
        <w:t>责任。</w:t>
      </w:r>
    </w:p>
    <w:p>
      <w:pPr>
        <w:spacing w:line="281" w:lineRule="auto"/>
        <w:sectPr>
          <w:footerReference w:type="default" r:id="rId160"/>
          <w:pgSz w:w="16830" w:h="11900"/>
          <w:pgMar w:top="1011" w:right="1451" w:bottom="1108" w:left="1405" w:header="0" w:footer="775" w:gutter="0"/>
        </w:sectPr>
        <w:rPr>
          <w:rFonts w:ascii="FangSong" w:hAnsi="FangSong" w:eastAsia="FangSong" w:cs="FangSong"/>
          <w:sz w:val="29"/>
          <w:szCs w:val="29"/>
        </w:rPr>
      </w:pPr>
    </w:p>
    <w:p>
      <w:pPr>
        <w:pStyle w:val="BodyText"/>
        <w:spacing w:line="273" w:lineRule="auto"/>
        <w:rPr/>
      </w:pPr>
      <w:r/>
    </w:p>
    <w:p>
      <w:pPr>
        <w:pStyle w:val="BodyText"/>
        <w:spacing w:line="273" w:lineRule="auto"/>
        <w:rPr/>
      </w:pPr>
      <w:r/>
    </w:p>
    <w:p>
      <w:pPr>
        <w:pStyle w:val="BodyText"/>
        <w:spacing w:line="274" w:lineRule="auto"/>
        <w:rPr/>
      </w:pPr>
      <w:r/>
    </w:p>
    <w:p>
      <w:pPr>
        <w:ind w:left="6528"/>
        <w:spacing w:before="88" w:line="221" w:lineRule="auto"/>
        <w:outlineLvl w:val="1"/>
        <w:rPr>
          <w:rFonts w:ascii="SimHei" w:hAnsi="SimHei" w:eastAsia="SimHei" w:cs="SimHei"/>
          <w:sz w:val="27"/>
          <w:szCs w:val="27"/>
        </w:rPr>
      </w:pPr>
      <w:bookmarkStart w:name="bookmark819" w:id="132"/>
      <w:bookmarkEnd w:id="132"/>
      <w:bookmarkStart w:name="bookmark186" w:id="133"/>
      <w:bookmarkEnd w:id="133"/>
      <w:r>
        <w:rPr>
          <w:rFonts w:ascii="SimHei" w:hAnsi="SimHei" w:eastAsia="SimHei" w:cs="SimHei"/>
          <w:sz w:val="27"/>
          <w:szCs w:val="27"/>
          <w:b/>
          <w:bCs/>
          <w:spacing w:val="8"/>
        </w:rPr>
        <w:t>裁量标准</w:t>
      </w:r>
    </w:p>
    <w:p>
      <w:pPr>
        <w:spacing w:line="186" w:lineRule="exact"/>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93"/>
        <w:gridCol w:w="5386"/>
        <w:gridCol w:w="5381"/>
      </w:tblGrid>
      <w:tr>
        <w:trPr>
          <w:trHeight w:val="823" w:hRule="atLeast"/>
        </w:trPr>
        <w:tc>
          <w:tcPr>
            <w:tcW w:w="3393" w:type="dxa"/>
            <w:vAlign w:val="top"/>
          </w:tcPr>
          <w:p>
            <w:pPr>
              <w:pStyle w:val="TableText"/>
              <w:ind w:left="1108"/>
              <w:spacing w:before="18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5386" w:type="dxa"/>
            <w:vAlign w:val="top"/>
          </w:tcPr>
          <w:p>
            <w:pPr>
              <w:pStyle w:val="TableText"/>
              <w:ind w:left="2115"/>
              <w:spacing w:before="182" w:line="220" w:lineRule="auto"/>
              <w:rPr/>
            </w:pPr>
            <w:r>
              <w:rPr>
                <w:b/>
                <w:bCs/>
                <w:spacing w:val="-5"/>
              </w:rPr>
              <w:t>情节后果</w:t>
            </w:r>
          </w:p>
        </w:tc>
        <w:tc>
          <w:tcPr>
            <w:tcW w:w="5381" w:type="dxa"/>
            <w:vAlign w:val="top"/>
          </w:tcPr>
          <w:p>
            <w:pPr>
              <w:pStyle w:val="TableText"/>
              <w:ind w:left="2119"/>
              <w:spacing w:before="289" w:line="218" w:lineRule="auto"/>
              <w:rPr/>
            </w:pPr>
            <w:r>
              <w:rPr>
                <w:b/>
                <w:bCs/>
                <w:spacing w:val="-5"/>
              </w:rPr>
              <w:t>裁量幅度</w:t>
            </w:r>
          </w:p>
        </w:tc>
      </w:tr>
      <w:tr>
        <w:trPr>
          <w:trHeight w:val="1248" w:hRule="atLeast"/>
        </w:trPr>
        <w:tc>
          <w:tcPr>
            <w:tcW w:w="3393" w:type="dxa"/>
            <w:vAlign w:val="top"/>
          </w:tcPr>
          <w:p>
            <w:pPr>
              <w:spacing w:line="308" w:lineRule="auto"/>
              <w:rPr>
                <w:rFonts w:ascii="Arial"/>
                <w:sz w:val="21"/>
              </w:rPr>
            </w:pPr>
            <w:r/>
          </w:p>
          <w:p>
            <w:pPr>
              <w:pStyle w:val="TableText"/>
              <w:ind w:left="1448"/>
              <w:spacing w:before="78" w:line="219" w:lineRule="auto"/>
              <w:rPr/>
            </w:pPr>
            <w:r>
              <w:rPr>
                <w:b/>
                <w:bCs/>
                <w:spacing w:val="-5"/>
              </w:rPr>
              <w:t>较轻</w:t>
            </w:r>
          </w:p>
        </w:tc>
        <w:tc>
          <w:tcPr>
            <w:tcW w:w="5386" w:type="dxa"/>
            <w:vAlign w:val="top"/>
          </w:tcPr>
          <w:p>
            <w:pPr>
              <w:spacing w:line="431" w:lineRule="auto"/>
              <w:rPr>
                <w:rFonts w:ascii="Arial"/>
                <w:sz w:val="21"/>
              </w:rPr>
            </w:pPr>
            <w:r/>
          </w:p>
          <w:p>
            <w:pPr>
              <w:pStyle w:val="TableText"/>
              <w:ind w:left="101"/>
              <w:spacing w:before="78" w:line="219" w:lineRule="auto"/>
              <w:rPr/>
            </w:pPr>
            <w:r>
              <w:rPr/>
              <w:t>首次发现违法行为，未造成后果。</w:t>
            </w:r>
          </w:p>
        </w:tc>
        <w:tc>
          <w:tcPr>
            <w:tcW w:w="5381" w:type="dxa"/>
            <w:vAlign w:val="top"/>
          </w:tcPr>
          <w:p>
            <w:pPr>
              <w:spacing w:line="429" w:lineRule="auto"/>
              <w:rPr>
                <w:rFonts w:ascii="Arial"/>
                <w:sz w:val="21"/>
              </w:rPr>
            </w:pPr>
            <w:r/>
          </w:p>
          <w:p>
            <w:pPr>
              <w:pStyle w:val="TableText"/>
              <w:ind w:left="105"/>
              <w:spacing w:before="78" w:line="218" w:lineRule="auto"/>
              <w:rPr/>
            </w:pPr>
            <w:r>
              <w:rPr/>
              <w:t>给予警告。</w:t>
            </w:r>
          </w:p>
        </w:tc>
      </w:tr>
      <w:tr>
        <w:trPr>
          <w:trHeight w:val="1836" w:hRule="atLeast"/>
        </w:trPr>
        <w:tc>
          <w:tcPr>
            <w:tcW w:w="3393" w:type="dxa"/>
            <w:vAlign w:val="top"/>
          </w:tcPr>
          <w:p>
            <w:pPr>
              <w:spacing w:line="359" w:lineRule="auto"/>
              <w:rPr>
                <w:rFonts w:ascii="Arial"/>
                <w:sz w:val="21"/>
              </w:rPr>
            </w:pPr>
            <w:r/>
          </w:p>
          <w:p>
            <w:pPr>
              <w:spacing w:line="360" w:lineRule="auto"/>
              <w:rPr>
                <w:rFonts w:ascii="Arial"/>
                <w:sz w:val="21"/>
              </w:rPr>
            </w:pPr>
            <w:r/>
          </w:p>
          <w:p>
            <w:pPr>
              <w:pStyle w:val="TableText"/>
              <w:ind w:left="1448"/>
              <w:spacing w:before="78" w:line="221" w:lineRule="auto"/>
              <w:rPr/>
            </w:pPr>
            <w:r>
              <w:rPr>
                <w:b/>
                <w:bCs/>
                <w:spacing w:val="-10"/>
              </w:rPr>
              <w:t>一般</w:t>
            </w:r>
          </w:p>
        </w:tc>
        <w:tc>
          <w:tcPr>
            <w:tcW w:w="5386" w:type="dxa"/>
            <w:vAlign w:val="top"/>
          </w:tcPr>
          <w:p>
            <w:pPr>
              <w:spacing w:line="359" w:lineRule="auto"/>
              <w:rPr>
                <w:rFonts w:ascii="Arial"/>
                <w:sz w:val="21"/>
              </w:rPr>
            </w:pPr>
            <w:r/>
          </w:p>
          <w:p>
            <w:pPr>
              <w:spacing w:line="360" w:lineRule="auto"/>
              <w:rPr>
                <w:rFonts w:ascii="Arial"/>
                <w:sz w:val="21"/>
              </w:rPr>
            </w:pPr>
            <w:r/>
          </w:p>
          <w:p>
            <w:pPr>
              <w:pStyle w:val="TableText"/>
              <w:ind w:left="101"/>
              <w:spacing w:before="79" w:line="219" w:lineRule="auto"/>
              <w:rPr/>
            </w:pPr>
            <w:r>
              <w:rPr/>
              <w:t>责令限期改正后，逾期不改正。</w:t>
            </w:r>
          </w:p>
        </w:tc>
        <w:tc>
          <w:tcPr>
            <w:tcW w:w="5381" w:type="dxa"/>
            <w:vAlign w:val="top"/>
          </w:tcPr>
          <w:p>
            <w:pPr>
              <w:spacing w:line="359" w:lineRule="auto"/>
              <w:rPr>
                <w:rFonts w:ascii="Arial"/>
                <w:sz w:val="21"/>
              </w:rPr>
            </w:pPr>
            <w:r/>
          </w:p>
          <w:p>
            <w:pPr>
              <w:spacing w:line="360" w:lineRule="auto"/>
              <w:rPr>
                <w:rFonts w:ascii="Arial"/>
                <w:sz w:val="21"/>
              </w:rPr>
            </w:pPr>
            <w:r/>
          </w:p>
          <w:p>
            <w:pPr>
              <w:pStyle w:val="TableText"/>
              <w:ind w:left="105"/>
              <w:spacing w:before="78" w:line="218" w:lineRule="auto"/>
              <w:rPr/>
            </w:pPr>
            <w:r>
              <w:rPr/>
              <w:t>给予警告，处1000元以上5000元以下的罚</w:t>
            </w:r>
            <w:r>
              <w:rPr>
                <w:spacing w:val="-1"/>
              </w:rPr>
              <w:t>款。</w:t>
            </w:r>
          </w:p>
        </w:tc>
      </w:tr>
      <w:tr>
        <w:trPr>
          <w:trHeight w:val="1422" w:hRule="atLeast"/>
        </w:trPr>
        <w:tc>
          <w:tcPr>
            <w:tcW w:w="3393" w:type="dxa"/>
            <w:vAlign w:val="top"/>
          </w:tcPr>
          <w:p>
            <w:pPr>
              <w:spacing w:line="257" w:lineRule="auto"/>
              <w:rPr>
                <w:rFonts w:ascii="Arial"/>
                <w:sz w:val="21"/>
              </w:rPr>
            </w:pPr>
            <w:r/>
          </w:p>
          <w:p>
            <w:pPr>
              <w:spacing w:line="257" w:lineRule="auto"/>
              <w:rPr>
                <w:rFonts w:ascii="Arial"/>
                <w:sz w:val="21"/>
              </w:rPr>
            </w:pPr>
            <w:r/>
          </w:p>
          <w:p>
            <w:pPr>
              <w:pStyle w:val="TableText"/>
              <w:ind w:left="1448"/>
              <w:spacing w:before="78" w:line="220" w:lineRule="auto"/>
              <w:rPr/>
            </w:pPr>
            <w:r>
              <w:rPr>
                <w:b/>
                <w:bCs/>
                <w:spacing w:val="-6"/>
              </w:rPr>
              <w:t>严重</w:t>
            </w:r>
          </w:p>
        </w:tc>
        <w:tc>
          <w:tcPr>
            <w:tcW w:w="5386" w:type="dxa"/>
            <w:vAlign w:val="top"/>
          </w:tcPr>
          <w:p>
            <w:pPr>
              <w:spacing w:line="257" w:lineRule="auto"/>
              <w:rPr>
                <w:rFonts w:ascii="Arial"/>
                <w:sz w:val="21"/>
              </w:rPr>
            </w:pPr>
            <w:r/>
          </w:p>
          <w:p>
            <w:pPr>
              <w:spacing w:line="258" w:lineRule="auto"/>
              <w:rPr>
                <w:rFonts w:ascii="Arial"/>
                <w:sz w:val="21"/>
              </w:rPr>
            </w:pPr>
            <w:r/>
          </w:p>
          <w:p>
            <w:pPr>
              <w:pStyle w:val="TableText"/>
              <w:ind w:left="101"/>
              <w:spacing w:before="78" w:line="219" w:lineRule="auto"/>
              <w:rPr/>
            </w:pPr>
            <w:r>
              <w:rPr/>
              <w:t>造成传染病传播。</w:t>
            </w:r>
          </w:p>
        </w:tc>
        <w:tc>
          <w:tcPr>
            <w:tcW w:w="5381" w:type="dxa"/>
            <w:vAlign w:val="top"/>
          </w:tcPr>
          <w:p>
            <w:pPr>
              <w:spacing w:line="258" w:lineRule="auto"/>
              <w:rPr>
                <w:rFonts w:ascii="Arial"/>
                <w:sz w:val="21"/>
              </w:rPr>
            </w:pPr>
            <w:r/>
          </w:p>
          <w:p>
            <w:pPr>
              <w:spacing w:line="258" w:lineRule="auto"/>
              <w:rPr>
                <w:rFonts w:ascii="Arial"/>
                <w:sz w:val="21"/>
              </w:rPr>
            </w:pPr>
            <w:r/>
          </w:p>
          <w:p>
            <w:pPr>
              <w:pStyle w:val="TableText"/>
              <w:ind w:left="105"/>
              <w:spacing w:before="78" w:line="219" w:lineRule="auto"/>
              <w:rPr/>
            </w:pPr>
            <w:r>
              <w:rPr/>
              <w:t>由原发证部门暂扣或者吊销执业许可证件。</w:t>
            </w:r>
          </w:p>
        </w:tc>
      </w:tr>
    </w:tbl>
    <w:p>
      <w:pPr>
        <w:ind w:left="899"/>
        <w:spacing w:before="104" w:line="219" w:lineRule="auto"/>
        <w:rPr>
          <w:rFonts w:ascii="SimSun" w:hAnsi="SimSun" w:eastAsia="SimSun" w:cs="SimSun"/>
          <w:sz w:val="34"/>
          <w:szCs w:val="34"/>
        </w:rPr>
      </w:pPr>
      <w:r>
        <w:rPr>
          <w:rFonts w:ascii="SimSun" w:hAnsi="SimSun" w:eastAsia="SimSun" w:cs="SimSun"/>
          <w:sz w:val="34"/>
          <w:szCs w:val="34"/>
          <w:b/>
          <w:bCs/>
          <w:spacing w:val="-5"/>
        </w:rPr>
        <w:t>(九)《消毒管理办法》</w:t>
      </w:r>
    </w:p>
    <w:p>
      <w:pPr>
        <w:ind w:left="139" w:right="100" w:firstLine="649"/>
        <w:spacing w:before="9" w:line="273" w:lineRule="auto"/>
        <w:rPr>
          <w:rFonts w:ascii="FangSong" w:hAnsi="FangSong" w:eastAsia="FangSong" w:cs="FangSong"/>
          <w:sz w:val="31"/>
          <w:szCs w:val="31"/>
        </w:rPr>
      </w:pPr>
      <w:r>
        <w:rPr>
          <w:rFonts w:ascii="FangSong" w:hAnsi="FangSong" w:eastAsia="FangSong" w:cs="FangSong"/>
          <w:sz w:val="31"/>
          <w:szCs w:val="31"/>
          <w:b/>
          <w:bCs/>
          <w:spacing w:val="11"/>
        </w:rPr>
        <w:t>第八十二条医疗卫生机构未建立消毒管理组织、制定消毒</w:t>
      </w:r>
      <w:r>
        <w:rPr>
          <w:rFonts w:ascii="FangSong" w:hAnsi="FangSong" w:eastAsia="FangSong" w:cs="FangSong"/>
          <w:sz w:val="31"/>
          <w:szCs w:val="31"/>
          <w:b/>
          <w:bCs/>
          <w:spacing w:val="10"/>
        </w:rPr>
        <w:t>管理制度、执行国家有关规范、标准</w:t>
      </w:r>
      <w:r>
        <w:rPr>
          <w:rFonts w:ascii="FangSong" w:hAnsi="FangSong" w:eastAsia="FangSong" w:cs="FangSong"/>
          <w:sz w:val="31"/>
          <w:szCs w:val="31"/>
        </w:rPr>
        <w:t xml:space="preserve"> </w:t>
      </w:r>
      <w:r>
        <w:rPr>
          <w:rFonts w:ascii="FangSong" w:hAnsi="FangSong" w:eastAsia="FangSong" w:cs="FangSong"/>
          <w:sz w:val="31"/>
          <w:szCs w:val="31"/>
          <w:b/>
          <w:bCs/>
          <w:spacing w:val="7"/>
        </w:rPr>
        <w:t>和规定，未定期开展消毒与灭菌效果检测工作的</w:t>
      </w:r>
    </w:p>
    <w:p>
      <w:pPr>
        <w:ind w:left="785"/>
        <w:spacing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spacing w:line="222" w:lineRule="auto"/>
        <w:sectPr>
          <w:footerReference w:type="default" r:id="rId161"/>
          <w:pgSz w:w="16830" w:h="11900"/>
          <w:pgMar w:top="1011" w:right="1344" w:bottom="1108" w:left="1314" w:header="0" w:footer="775" w:gutter="0"/>
        </w:sectPr>
        <w:rPr>
          <w:rFonts w:ascii="FangSong" w:hAnsi="FangSong" w:eastAsia="FangSong" w:cs="FangSong"/>
          <w:sz w:val="27"/>
          <w:szCs w:val="27"/>
        </w:rPr>
      </w:pPr>
    </w:p>
    <w:p>
      <w:pPr>
        <w:pStyle w:val="BodyText"/>
        <w:spacing w:line="264" w:lineRule="auto"/>
        <w:rPr/>
      </w:pPr>
      <w:r/>
    </w:p>
    <w:p>
      <w:pPr>
        <w:pStyle w:val="BodyText"/>
        <w:spacing w:line="264" w:lineRule="auto"/>
        <w:rPr/>
      </w:pPr>
      <w:r/>
    </w:p>
    <w:p>
      <w:pPr>
        <w:pStyle w:val="BodyText"/>
        <w:spacing w:line="264" w:lineRule="auto"/>
        <w:rPr/>
      </w:pPr>
      <w:r/>
    </w:p>
    <w:p>
      <w:pPr>
        <w:ind w:left="45" w:firstLine="629"/>
        <w:spacing w:before="98" w:line="271" w:lineRule="auto"/>
        <w:jc w:val="both"/>
        <w:rPr>
          <w:rFonts w:ascii="FangSong" w:hAnsi="FangSong" w:eastAsia="FangSong" w:cs="FangSong"/>
          <w:sz w:val="30"/>
          <w:szCs w:val="30"/>
        </w:rPr>
      </w:pPr>
      <w:bookmarkStart w:name="bookmark820" w:id="134"/>
      <w:bookmarkEnd w:id="134"/>
      <w:r>
        <w:rPr>
          <w:rFonts w:ascii="FangSong" w:hAnsi="FangSong" w:eastAsia="FangSong" w:cs="FangSong"/>
          <w:sz w:val="30"/>
          <w:szCs w:val="30"/>
          <w:spacing w:val="18"/>
        </w:rPr>
        <w:t>《消毒管理办法》第四十一条</w:t>
      </w:r>
      <w:r>
        <w:rPr>
          <w:rFonts w:ascii="FangSong" w:hAnsi="FangSong" w:eastAsia="FangSong" w:cs="FangSong"/>
          <w:sz w:val="30"/>
          <w:szCs w:val="30"/>
          <w:spacing w:val="18"/>
        </w:rPr>
        <w:t xml:space="preserve">  </w:t>
      </w:r>
      <w:r>
        <w:rPr>
          <w:rFonts w:ascii="FangSong" w:hAnsi="FangSong" w:eastAsia="FangSong" w:cs="FangSong"/>
          <w:sz w:val="30"/>
          <w:szCs w:val="30"/>
          <w:spacing w:val="18"/>
        </w:rPr>
        <w:t>医疗卫生机构违反本办法第四、五、六、七、八、九条规定的，</w:t>
      </w:r>
      <w:r>
        <w:rPr>
          <w:rFonts w:ascii="FangSong" w:hAnsi="FangSong" w:eastAsia="FangSong" w:cs="FangSong"/>
          <w:sz w:val="30"/>
          <w:szCs w:val="30"/>
          <w:spacing w:val="15"/>
        </w:rPr>
        <w:t xml:space="preserve"> </w:t>
      </w:r>
      <w:r>
        <w:rPr>
          <w:rFonts w:ascii="FangSong" w:hAnsi="FangSong" w:eastAsia="FangSong" w:cs="FangSong"/>
          <w:sz w:val="30"/>
          <w:szCs w:val="30"/>
          <w:spacing w:val="18"/>
        </w:rPr>
        <w:t>由县级以上地方卫生计生行政部门责令限期改正，可以处5000元以下罚款；造</w:t>
      </w:r>
      <w:r>
        <w:rPr>
          <w:rFonts w:ascii="FangSong" w:hAnsi="FangSong" w:eastAsia="FangSong" w:cs="FangSong"/>
          <w:sz w:val="30"/>
          <w:szCs w:val="30"/>
          <w:spacing w:val="17"/>
        </w:rPr>
        <w:t>成感染性疾病暴发的，</w:t>
      </w:r>
      <w:r>
        <w:rPr>
          <w:rFonts w:ascii="FangSong" w:hAnsi="FangSong" w:eastAsia="FangSong" w:cs="FangSong"/>
          <w:sz w:val="30"/>
          <w:szCs w:val="30"/>
        </w:rPr>
        <w:t xml:space="preserve"> </w:t>
      </w:r>
      <w:r>
        <w:rPr>
          <w:rFonts w:ascii="FangSong" w:hAnsi="FangSong" w:eastAsia="FangSong" w:cs="FangSong"/>
          <w:sz w:val="30"/>
          <w:szCs w:val="30"/>
          <w:spacing w:val="28"/>
        </w:rPr>
        <w:t>可以处5000元以上20000元以下罚款。</w:t>
      </w:r>
    </w:p>
    <w:p>
      <w:pPr>
        <w:ind w:left="45" w:right="67" w:firstLine="640"/>
        <w:spacing w:before="2" w:line="269" w:lineRule="auto"/>
        <w:rPr>
          <w:rFonts w:ascii="FangSong" w:hAnsi="FangSong" w:eastAsia="FangSong" w:cs="FangSong"/>
          <w:sz w:val="30"/>
          <w:szCs w:val="30"/>
        </w:rPr>
      </w:pPr>
      <w:r>
        <w:rPr>
          <w:rFonts w:ascii="FangSong" w:hAnsi="FangSong" w:eastAsia="FangSong" w:cs="FangSong"/>
          <w:sz w:val="30"/>
          <w:szCs w:val="30"/>
          <w:spacing w:val="17"/>
        </w:rPr>
        <w:t>《消毒管理办法》第四条</w:t>
      </w:r>
      <w:r>
        <w:rPr>
          <w:rFonts w:ascii="FangSong" w:hAnsi="FangSong" w:eastAsia="FangSong" w:cs="FangSong"/>
          <w:sz w:val="30"/>
          <w:szCs w:val="30"/>
          <w:spacing w:val="17"/>
        </w:rPr>
        <w:t xml:space="preserve">  </w:t>
      </w:r>
      <w:r>
        <w:rPr>
          <w:rFonts w:ascii="FangSong" w:hAnsi="FangSong" w:eastAsia="FangSong" w:cs="FangSong"/>
          <w:sz w:val="30"/>
          <w:szCs w:val="30"/>
          <w:spacing w:val="17"/>
        </w:rPr>
        <w:t>医疗卫生机构应当建立</w:t>
      </w:r>
      <w:r>
        <w:rPr>
          <w:rFonts w:ascii="FangSong" w:hAnsi="FangSong" w:eastAsia="FangSong" w:cs="FangSong"/>
          <w:sz w:val="30"/>
          <w:szCs w:val="30"/>
          <w:spacing w:val="16"/>
        </w:rPr>
        <w:t>消毒管理组织，制定消毒管理制度，执行国家</w:t>
      </w:r>
      <w:r>
        <w:rPr>
          <w:rFonts w:ascii="FangSong" w:hAnsi="FangSong" w:eastAsia="FangSong" w:cs="FangSong"/>
          <w:sz w:val="30"/>
          <w:szCs w:val="30"/>
        </w:rPr>
        <w:t xml:space="preserve"> </w:t>
      </w:r>
      <w:r>
        <w:rPr>
          <w:rFonts w:ascii="FangSong" w:hAnsi="FangSong" w:eastAsia="FangSong" w:cs="FangSong"/>
          <w:sz w:val="30"/>
          <w:szCs w:val="30"/>
          <w:spacing w:val="19"/>
        </w:rPr>
        <w:t>有关规范、标准和规定，定期开展消毒与灭菌效果</w:t>
      </w:r>
      <w:r>
        <w:rPr>
          <w:rFonts w:ascii="FangSong" w:hAnsi="FangSong" w:eastAsia="FangSong" w:cs="FangSong"/>
          <w:sz w:val="30"/>
          <w:szCs w:val="30"/>
          <w:spacing w:val="18"/>
        </w:rPr>
        <w:t>检测工作。</w:t>
      </w:r>
    </w:p>
    <w:p>
      <w:pPr>
        <w:ind w:left="6379"/>
        <w:spacing w:before="10" w:line="221" w:lineRule="auto"/>
        <w:rPr>
          <w:rFonts w:ascii="SimHei" w:hAnsi="SimHei" w:eastAsia="SimHei" w:cs="SimHei"/>
          <w:sz w:val="30"/>
          <w:szCs w:val="30"/>
        </w:rPr>
      </w:pPr>
      <w:r>
        <w:rPr>
          <w:rFonts w:ascii="SimHei" w:hAnsi="SimHei" w:eastAsia="SimHei" w:cs="SimHei"/>
          <w:sz w:val="30"/>
          <w:szCs w:val="30"/>
          <w:b/>
          <w:bCs/>
          <w:spacing w:val="18"/>
        </w:rPr>
        <w:t>裁量标准</w:t>
      </w:r>
    </w:p>
    <w:p>
      <w:pPr>
        <w:spacing w:line="150" w:lineRule="exact"/>
        <w:rPr/>
      </w:pPr>
      <w:r/>
    </w:p>
    <w:tbl>
      <w:tblPr>
        <w:tblStyle w:val="TableNormal"/>
        <w:tblW w:w="140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13"/>
        <w:gridCol w:w="7375"/>
        <w:gridCol w:w="4532"/>
      </w:tblGrid>
      <w:tr>
        <w:trPr>
          <w:trHeight w:val="843" w:hRule="atLeast"/>
        </w:trPr>
        <w:tc>
          <w:tcPr>
            <w:tcW w:w="2113" w:type="dxa"/>
            <w:vAlign w:val="top"/>
          </w:tcPr>
          <w:p>
            <w:pPr>
              <w:pStyle w:val="TableText"/>
              <w:ind w:left="389"/>
              <w:spacing w:before="264" w:line="220" w:lineRule="auto"/>
              <w:rPr>
                <w:sz w:val="33"/>
                <w:szCs w:val="33"/>
              </w:rPr>
            </w:pPr>
            <w:r>
              <w:rPr>
                <w:sz w:val="33"/>
                <w:szCs w:val="33"/>
                <w:b/>
                <w:bCs/>
                <w:spacing w:val="-1"/>
              </w:rPr>
              <w:t>违法程度</w:t>
            </w:r>
          </w:p>
        </w:tc>
        <w:tc>
          <w:tcPr>
            <w:tcW w:w="7375" w:type="dxa"/>
            <w:vAlign w:val="top"/>
          </w:tcPr>
          <w:p>
            <w:pPr>
              <w:pStyle w:val="TableText"/>
              <w:ind w:left="3026"/>
              <w:spacing w:before="264" w:line="220" w:lineRule="auto"/>
              <w:rPr>
                <w:sz w:val="33"/>
                <w:szCs w:val="33"/>
              </w:rPr>
            </w:pPr>
            <w:r>
              <w:rPr>
                <w:sz w:val="33"/>
                <w:szCs w:val="33"/>
                <w:b/>
                <w:bCs/>
                <w:spacing w:val="-1"/>
              </w:rPr>
              <w:t>情节后果</w:t>
            </w:r>
          </w:p>
        </w:tc>
        <w:tc>
          <w:tcPr>
            <w:tcW w:w="4532" w:type="dxa"/>
            <w:vAlign w:val="top"/>
          </w:tcPr>
          <w:p>
            <w:pPr>
              <w:pStyle w:val="TableText"/>
              <w:ind w:left="1601"/>
              <w:spacing w:before="260" w:line="218" w:lineRule="auto"/>
              <w:rPr>
                <w:sz w:val="33"/>
                <w:szCs w:val="33"/>
              </w:rPr>
            </w:pPr>
            <w:r>
              <w:rPr>
                <w:sz w:val="33"/>
                <w:szCs w:val="33"/>
                <w:b/>
                <w:bCs/>
                <w:spacing w:val="-1"/>
              </w:rPr>
              <w:t>裁量幅度</w:t>
            </w:r>
          </w:p>
        </w:tc>
      </w:tr>
      <w:tr>
        <w:trPr>
          <w:trHeight w:val="1845" w:hRule="atLeast"/>
        </w:trPr>
        <w:tc>
          <w:tcPr>
            <w:tcW w:w="14020" w:type="dxa"/>
            <w:vAlign w:val="top"/>
            <w:gridSpan w:val="3"/>
          </w:tcPr>
          <w:p>
            <w:pPr>
              <w:pStyle w:val="TableText"/>
              <w:ind w:left="2328"/>
              <w:spacing w:before="298" w:line="219" w:lineRule="auto"/>
              <w:rPr>
                <w:sz w:val="25"/>
                <w:szCs w:val="25"/>
              </w:rPr>
            </w:pPr>
            <w:r>
              <w:rPr>
                <w:sz w:val="25"/>
                <w:szCs w:val="25"/>
                <w:b/>
                <w:bCs/>
                <w:spacing w:val="-2"/>
              </w:rPr>
              <w:t>(1)未建立消毒管理组织；(2)未制定消毒管理制度；(3)未执</w:t>
            </w:r>
            <w:r>
              <w:rPr>
                <w:sz w:val="25"/>
                <w:szCs w:val="25"/>
                <w:spacing w:val="-2"/>
              </w:rPr>
              <w:t xml:space="preserve">  </w:t>
            </w:r>
            <w:r>
              <w:rPr>
                <w:sz w:val="25"/>
                <w:szCs w:val="25"/>
                <w:b/>
                <w:bCs/>
                <w:spacing w:val="-2"/>
              </w:rPr>
              <w:t>有(1)或(2)的</w:t>
            </w:r>
            <w:r>
              <w:rPr>
                <w:sz w:val="25"/>
                <w:szCs w:val="25"/>
                <w:b/>
                <w:bCs/>
                <w:spacing w:val="-3"/>
              </w:rPr>
              <w:t>情节，处1000元以下罚</w:t>
            </w:r>
          </w:p>
          <w:p>
            <w:pPr>
              <w:pStyle w:val="TableText"/>
              <w:spacing w:before="105" w:line="225" w:lineRule="auto"/>
              <w:jc w:val="right"/>
              <w:rPr>
                <w:sz w:val="25"/>
                <w:szCs w:val="25"/>
              </w:rPr>
            </w:pPr>
            <w:r>
              <w:rPr>
                <w:sz w:val="25"/>
                <w:szCs w:val="25"/>
                <w:b/>
                <w:bCs/>
                <w:spacing w:val="1"/>
              </w:rPr>
              <w:t>一般</w:t>
            </w:r>
            <w:r>
              <w:rPr>
                <w:sz w:val="25"/>
                <w:szCs w:val="25"/>
                <w:spacing w:val="1"/>
              </w:rPr>
              <w:t xml:space="preserve">      </w:t>
            </w:r>
            <w:r>
              <w:rPr>
                <w:sz w:val="25"/>
                <w:szCs w:val="25"/>
                <w:b/>
                <w:bCs/>
                <w:spacing w:val="1"/>
              </w:rPr>
              <w:t>行国家有关规范、标准和规定；(4)未定期开展消毒与灭菌效果检</w:t>
            </w:r>
            <w:r>
              <w:rPr>
                <w:sz w:val="25"/>
                <w:szCs w:val="25"/>
                <w:spacing w:val="11"/>
              </w:rPr>
              <w:t xml:space="preserve">  </w:t>
            </w:r>
            <w:r>
              <w:rPr>
                <w:sz w:val="25"/>
                <w:szCs w:val="25"/>
                <w:b/>
                <w:bCs/>
                <w:spacing w:val="1"/>
              </w:rPr>
              <w:t>款；(3)处</w:t>
            </w:r>
            <w:r>
              <w:rPr>
                <w:sz w:val="25"/>
                <w:szCs w:val="25"/>
                <w:b/>
                <w:bCs/>
              </w:rPr>
              <w:t>3000元以上5000元以下罚款；</w:t>
            </w:r>
          </w:p>
          <w:p>
            <w:pPr>
              <w:pStyle w:val="TableText"/>
              <w:spacing w:before="124" w:line="220" w:lineRule="auto"/>
              <w:jc w:val="right"/>
              <w:rPr>
                <w:sz w:val="25"/>
                <w:szCs w:val="25"/>
              </w:rPr>
            </w:pPr>
            <w:r>
              <w:rPr>
                <w:sz w:val="25"/>
                <w:szCs w:val="25"/>
                <w:b/>
                <w:bCs/>
              </w:rPr>
              <w:t>测工作。</w:t>
            </w:r>
            <w:r>
              <w:rPr>
                <w:sz w:val="25"/>
                <w:szCs w:val="25"/>
              </w:rPr>
              <w:t xml:space="preserve">                                                       </w:t>
            </w:r>
            <w:r>
              <w:rPr>
                <w:sz w:val="25"/>
                <w:szCs w:val="25"/>
                <w:b/>
                <w:bCs/>
              </w:rPr>
              <w:t>(4)处2000元以上3000元以下罚款。</w:t>
            </w:r>
          </w:p>
        </w:tc>
      </w:tr>
      <w:tr>
        <w:trPr>
          <w:trHeight w:val="1551" w:hRule="atLeast"/>
        </w:trPr>
        <w:tc>
          <w:tcPr>
            <w:tcW w:w="2113" w:type="dxa"/>
            <w:vAlign w:val="top"/>
          </w:tcPr>
          <w:p>
            <w:pPr>
              <w:spacing w:line="292" w:lineRule="auto"/>
              <w:rPr>
                <w:rFonts w:ascii="Arial"/>
                <w:sz w:val="21"/>
              </w:rPr>
            </w:pPr>
            <w:r/>
          </w:p>
          <w:p>
            <w:pPr>
              <w:spacing w:line="293" w:lineRule="auto"/>
              <w:rPr>
                <w:rFonts w:ascii="Arial"/>
                <w:sz w:val="21"/>
              </w:rPr>
            </w:pPr>
            <w:r/>
          </w:p>
          <w:p>
            <w:pPr>
              <w:pStyle w:val="TableText"/>
              <w:ind w:left="808"/>
              <w:spacing w:before="78" w:line="221" w:lineRule="auto"/>
              <w:rPr/>
            </w:pPr>
            <w:r>
              <w:rPr>
                <w:b/>
                <w:bCs/>
                <w:spacing w:val="-5"/>
              </w:rPr>
              <w:t>较重</w:t>
            </w:r>
          </w:p>
        </w:tc>
        <w:tc>
          <w:tcPr>
            <w:tcW w:w="7375" w:type="dxa"/>
            <w:vAlign w:val="top"/>
          </w:tcPr>
          <w:p>
            <w:pPr>
              <w:spacing w:line="262" w:lineRule="auto"/>
              <w:rPr>
                <w:rFonts w:ascii="Arial"/>
                <w:sz w:val="21"/>
              </w:rPr>
            </w:pPr>
            <w:r/>
          </w:p>
          <w:p>
            <w:pPr>
              <w:pStyle w:val="TableText"/>
              <w:ind w:left="241"/>
              <w:spacing w:before="82" w:line="219" w:lineRule="auto"/>
              <w:rPr>
                <w:sz w:val="25"/>
                <w:szCs w:val="25"/>
              </w:rPr>
            </w:pPr>
            <w:r>
              <w:rPr>
                <w:sz w:val="25"/>
                <w:szCs w:val="25"/>
              </w:rPr>
              <w:t>(1)造成感染性疾病暴发，病例数5例以下；(2)造成感染性疾病</w:t>
            </w:r>
          </w:p>
          <w:p>
            <w:pPr>
              <w:pStyle w:val="TableText"/>
              <w:ind w:left="2431"/>
              <w:spacing w:before="133" w:line="219" w:lineRule="auto"/>
              <w:rPr>
                <w:sz w:val="25"/>
                <w:szCs w:val="25"/>
              </w:rPr>
            </w:pPr>
            <w:r>
              <w:rPr>
                <w:sz w:val="25"/>
                <w:szCs w:val="25"/>
              </w:rPr>
              <w:t>暴发，病例数超过5例。</w:t>
            </w:r>
          </w:p>
        </w:tc>
        <w:tc>
          <w:tcPr>
            <w:tcW w:w="4532" w:type="dxa"/>
            <w:vAlign w:val="top"/>
          </w:tcPr>
          <w:p>
            <w:pPr>
              <w:spacing w:line="265" w:lineRule="auto"/>
              <w:rPr>
                <w:rFonts w:ascii="Arial"/>
                <w:sz w:val="21"/>
              </w:rPr>
            </w:pPr>
            <w:r/>
          </w:p>
          <w:p>
            <w:pPr>
              <w:pStyle w:val="TableText"/>
              <w:ind w:left="256"/>
              <w:spacing w:before="81" w:line="220" w:lineRule="auto"/>
              <w:rPr>
                <w:sz w:val="25"/>
                <w:szCs w:val="25"/>
              </w:rPr>
            </w:pPr>
            <w:r>
              <w:rPr>
                <w:sz w:val="25"/>
                <w:szCs w:val="25"/>
                <w:spacing w:val="5"/>
              </w:rPr>
              <w:t>(1)处5000元以上10000元以下罚款；</w:t>
            </w:r>
          </w:p>
          <w:p>
            <w:pPr>
              <w:pStyle w:val="TableText"/>
              <w:ind w:left="256"/>
              <w:spacing w:before="132" w:line="220" w:lineRule="auto"/>
              <w:rPr>
                <w:sz w:val="25"/>
                <w:szCs w:val="25"/>
              </w:rPr>
            </w:pPr>
            <w:r>
              <w:rPr>
                <w:sz w:val="25"/>
                <w:szCs w:val="25"/>
              </w:rPr>
              <w:t>(2)处10000元以上20000元以下罚款。</w:t>
            </w:r>
          </w:p>
        </w:tc>
      </w:tr>
    </w:tbl>
    <w:p>
      <w:pPr>
        <w:ind w:left="49" w:right="70" w:firstLine="639"/>
        <w:spacing w:before="135" w:line="260" w:lineRule="auto"/>
        <w:rPr>
          <w:rFonts w:ascii="FangSong" w:hAnsi="FangSong" w:eastAsia="FangSong" w:cs="FangSong"/>
          <w:sz w:val="30"/>
          <w:szCs w:val="30"/>
        </w:rPr>
      </w:pPr>
      <w:r>
        <w:rPr>
          <w:rFonts w:ascii="FangSong" w:hAnsi="FangSong" w:eastAsia="FangSong" w:cs="FangSong"/>
          <w:sz w:val="30"/>
          <w:szCs w:val="30"/>
          <w:b/>
          <w:bCs/>
          <w:spacing w:val="21"/>
        </w:rPr>
        <w:t>第八十三条医疗卫生机构工作人员未接受消毒技术培训、掌握消毒知识，并且未按规定严格执</w:t>
      </w:r>
      <w:r>
        <w:rPr>
          <w:rFonts w:ascii="FangSong" w:hAnsi="FangSong" w:eastAsia="FangSong" w:cs="FangSong"/>
          <w:sz w:val="30"/>
          <w:szCs w:val="30"/>
          <w:spacing w:val="14"/>
        </w:rPr>
        <w:t xml:space="preserve"> </w:t>
      </w:r>
      <w:r>
        <w:rPr>
          <w:rFonts w:ascii="FangSong" w:hAnsi="FangSong" w:eastAsia="FangSong" w:cs="FangSong"/>
          <w:sz w:val="30"/>
          <w:szCs w:val="30"/>
          <w:b/>
          <w:bCs/>
          <w:spacing w:val="13"/>
        </w:rPr>
        <w:t>行消毒隔离制度的</w:t>
      </w:r>
    </w:p>
    <w:p>
      <w:pPr>
        <w:spacing w:line="260" w:lineRule="auto"/>
        <w:sectPr>
          <w:footerReference w:type="default" r:id="rId162"/>
          <w:pgSz w:w="16830" w:h="11900"/>
          <w:pgMar w:top="1011" w:right="1359" w:bottom="1108" w:left="1405" w:header="0" w:footer="775" w:gutter="0"/>
        </w:sectPr>
        <w:rPr>
          <w:rFonts w:ascii="FangSong" w:hAnsi="FangSong" w:eastAsia="FangSong" w:cs="FangSong"/>
          <w:sz w:val="30"/>
          <w:szCs w:val="30"/>
        </w:rPr>
      </w:pPr>
    </w:p>
    <w:p>
      <w:pPr>
        <w:pStyle w:val="BodyText"/>
        <w:spacing w:line="266" w:lineRule="auto"/>
        <w:rPr/>
      </w:pPr>
      <w:r/>
    </w:p>
    <w:p>
      <w:pPr>
        <w:pStyle w:val="BodyText"/>
        <w:spacing w:line="266" w:lineRule="auto"/>
        <w:rPr/>
      </w:pPr>
      <w:r/>
    </w:p>
    <w:p>
      <w:pPr>
        <w:pStyle w:val="BodyText"/>
        <w:spacing w:line="267" w:lineRule="auto"/>
        <w:rPr/>
      </w:pPr>
      <w:r/>
    </w:p>
    <w:p>
      <w:pPr>
        <w:ind w:left="675"/>
        <w:spacing w:before="94" w:line="222" w:lineRule="auto"/>
        <w:rPr>
          <w:rFonts w:ascii="FangSong" w:hAnsi="FangSong" w:eastAsia="FangSong" w:cs="FangSong"/>
          <w:sz w:val="29"/>
          <w:szCs w:val="29"/>
        </w:rPr>
      </w:pPr>
      <w:r>
        <w:rPr>
          <w:rFonts w:ascii="FangSong" w:hAnsi="FangSong" w:eastAsia="FangSong" w:cs="FangSong"/>
          <w:sz w:val="29"/>
          <w:szCs w:val="29"/>
          <w:spacing w:val="13"/>
        </w:rPr>
        <w:t>法律依据：</w:t>
      </w:r>
    </w:p>
    <w:p>
      <w:pPr>
        <w:ind w:left="35" w:firstLine="624"/>
        <w:spacing w:before="87" w:line="280" w:lineRule="auto"/>
        <w:jc w:val="both"/>
        <w:rPr>
          <w:rFonts w:ascii="FangSong" w:hAnsi="FangSong" w:eastAsia="FangSong" w:cs="FangSong"/>
          <w:sz w:val="29"/>
          <w:szCs w:val="29"/>
        </w:rPr>
      </w:pPr>
      <w:r>
        <w:rPr>
          <w:rFonts w:ascii="FangSong" w:hAnsi="FangSong" w:eastAsia="FangSong" w:cs="FangSong"/>
          <w:sz w:val="29"/>
          <w:szCs w:val="29"/>
          <w:spacing w:val="28"/>
        </w:rPr>
        <w:t>《消毒管理办法》第四十一条</w:t>
      </w:r>
      <w:r>
        <w:rPr>
          <w:rFonts w:ascii="FangSong" w:hAnsi="FangSong" w:eastAsia="FangSong" w:cs="FangSong"/>
          <w:sz w:val="29"/>
          <w:szCs w:val="29"/>
          <w:spacing w:val="28"/>
        </w:rPr>
        <w:t xml:space="preserve">  </w:t>
      </w:r>
      <w:r>
        <w:rPr>
          <w:rFonts w:ascii="FangSong" w:hAnsi="FangSong" w:eastAsia="FangSong" w:cs="FangSong"/>
          <w:sz w:val="29"/>
          <w:szCs w:val="29"/>
          <w:spacing w:val="28"/>
        </w:rPr>
        <w:t>医疗卫生机构违反本办法第</w:t>
      </w:r>
      <w:r>
        <w:rPr>
          <w:rFonts w:ascii="FangSong" w:hAnsi="FangSong" w:eastAsia="FangSong" w:cs="FangSong"/>
          <w:sz w:val="29"/>
          <w:szCs w:val="29"/>
          <w:spacing w:val="27"/>
        </w:rPr>
        <w:t>四、五、六、七、八、九条规定的，</w:t>
      </w:r>
      <w:r>
        <w:rPr>
          <w:rFonts w:ascii="FangSong" w:hAnsi="FangSong" w:eastAsia="FangSong" w:cs="FangSong"/>
          <w:sz w:val="29"/>
          <w:szCs w:val="29"/>
        </w:rPr>
        <w:t xml:space="preserve"> </w:t>
      </w:r>
      <w:r>
        <w:rPr>
          <w:rFonts w:ascii="FangSong" w:hAnsi="FangSong" w:eastAsia="FangSong" w:cs="FangSong"/>
          <w:sz w:val="29"/>
          <w:szCs w:val="29"/>
          <w:spacing w:val="28"/>
        </w:rPr>
        <w:t>由县级以上地方卫生计生行政部门责令限期改正，可以处5000元以下</w:t>
      </w:r>
      <w:r>
        <w:rPr>
          <w:rFonts w:ascii="FangSong" w:hAnsi="FangSong" w:eastAsia="FangSong" w:cs="FangSong"/>
          <w:sz w:val="29"/>
          <w:szCs w:val="29"/>
          <w:spacing w:val="27"/>
        </w:rPr>
        <w:t>罚款；造成感染性疾病暴发的，</w:t>
      </w:r>
      <w:r>
        <w:rPr>
          <w:rFonts w:ascii="FangSong" w:hAnsi="FangSong" w:eastAsia="FangSong" w:cs="FangSong"/>
          <w:sz w:val="29"/>
          <w:szCs w:val="29"/>
        </w:rPr>
        <w:t xml:space="preserve"> </w:t>
      </w:r>
      <w:r>
        <w:rPr>
          <w:rFonts w:ascii="FangSong" w:hAnsi="FangSong" w:eastAsia="FangSong" w:cs="FangSong"/>
          <w:sz w:val="29"/>
          <w:szCs w:val="29"/>
          <w:spacing w:val="34"/>
        </w:rPr>
        <w:t>可以处5000元以上20000元以下罚款。</w:t>
      </w:r>
    </w:p>
    <w:p>
      <w:pPr>
        <w:ind w:left="35" w:right="192" w:firstLine="424"/>
        <w:spacing w:before="2" w:line="276" w:lineRule="auto"/>
        <w:rPr>
          <w:rFonts w:ascii="FangSong" w:hAnsi="FangSong" w:eastAsia="FangSong" w:cs="FangSong"/>
          <w:sz w:val="29"/>
          <w:szCs w:val="29"/>
        </w:rPr>
      </w:pPr>
      <w:r>
        <w:rPr>
          <w:rFonts w:ascii="FangSong" w:hAnsi="FangSong" w:eastAsia="FangSong" w:cs="FangSong"/>
          <w:sz w:val="29"/>
          <w:szCs w:val="29"/>
          <w:spacing w:val="29"/>
        </w:rPr>
        <w:t>《消毒管理办法》第五条</w:t>
      </w:r>
      <w:r>
        <w:rPr>
          <w:rFonts w:ascii="FangSong" w:hAnsi="FangSong" w:eastAsia="FangSong" w:cs="FangSong"/>
          <w:sz w:val="29"/>
          <w:szCs w:val="29"/>
          <w:spacing w:val="29"/>
        </w:rPr>
        <w:t xml:space="preserve">  </w:t>
      </w:r>
      <w:r>
        <w:rPr>
          <w:rFonts w:ascii="FangSong" w:hAnsi="FangSong" w:eastAsia="FangSong" w:cs="FangSong"/>
          <w:sz w:val="29"/>
          <w:szCs w:val="29"/>
          <w:spacing w:val="29"/>
        </w:rPr>
        <w:t>医疗卫生机构工作人员应当接受消毒技术培</w:t>
      </w:r>
      <w:r>
        <w:rPr>
          <w:rFonts w:ascii="FangSong" w:hAnsi="FangSong" w:eastAsia="FangSong" w:cs="FangSong"/>
          <w:sz w:val="29"/>
          <w:szCs w:val="29"/>
          <w:spacing w:val="28"/>
        </w:rPr>
        <w:t>训、掌握消毒知识，并按</w:t>
      </w:r>
      <w:r>
        <w:rPr>
          <w:rFonts w:ascii="FangSong" w:hAnsi="FangSong" w:eastAsia="FangSong" w:cs="FangSong"/>
          <w:sz w:val="29"/>
          <w:szCs w:val="29"/>
        </w:rPr>
        <w:t xml:space="preserve"> </w:t>
      </w:r>
      <w:r>
        <w:rPr>
          <w:rFonts w:ascii="FangSong" w:hAnsi="FangSong" w:eastAsia="FangSong" w:cs="FangSong"/>
          <w:sz w:val="29"/>
          <w:szCs w:val="29"/>
          <w:spacing w:val="24"/>
        </w:rPr>
        <w:t>规定严格执行消毒隔离制度。</w:t>
      </w:r>
    </w:p>
    <w:p>
      <w:pPr>
        <w:ind w:left="6479"/>
        <w:spacing w:before="1" w:line="220" w:lineRule="auto"/>
        <w:rPr>
          <w:rFonts w:ascii="SimHei" w:hAnsi="SimHei" w:eastAsia="SimHei" w:cs="SimHei"/>
          <w:sz w:val="29"/>
          <w:szCs w:val="29"/>
        </w:rPr>
      </w:pPr>
      <w:r>
        <w:rPr>
          <w:rFonts w:ascii="SimHei" w:hAnsi="SimHei" w:eastAsia="SimHei" w:cs="SimHei"/>
          <w:sz w:val="29"/>
          <w:szCs w:val="29"/>
          <w:b/>
          <w:bCs/>
          <w:spacing w:val="-10"/>
        </w:rPr>
        <w:t>裁量标准</w:t>
      </w:r>
    </w:p>
    <w:p>
      <w:pPr>
        <w:spacing w:line="182" w:lineRule="exact"/>
        <w:rPr/>
      </w:pPr>
      <w:r/>
    </w:p>
    <w:tbl>
      <w:tblPr>
        <w:tblStyle w:val="TableNormal"/>
        <w:tblW w:w="1402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74"/>
        <w:gridCol w:w="7364"/>
        <w:gridCol w:w="5091"/>
      </w:tblGrid>
      <w:tr>
        <w:trPr>
          <w:trHeight w:val="842" w:hRule="atLeast"/>
        </w:trPr>
        <w:tc>
          <w:tcPr>
            <w:tcW w:w="1574" w:type="dxa"/>
            <w:vAlign w:val="top"/>
          </w:tcPr>
          <w:p>
            <w:pPr>
              <w:pStyle w:val="TableText"/>
              <w:ind w:left="258"/>
              <w:spacing w:before="292" w:line="220" w:lineRule="auto"/>
              <w:rPr>
                <w:sz w:val="26"/>
                <w:szCs w:val="26"/>
              </w:rPr>
            </w:pPr>
            <w:r>
              <w:rPr>
                <w:sz w:val="26"/>
                <w:szCs w:val="26"/>
                <w:b/>
                <w:bCs/>
                <w:spacing w:val="-5"/>
              </w:rPr>
              <w:t>违法程度</w:t>
            </w:r>
          </w:p>
        </w:tc>
        <w:tc>
          <w:tcPr>
            <w:tcW w:w="7364" w:type="dxa"/>
            <w:vAlign w:val="top"/>
          </w:tcPr>
          <w:p>
            <w:pPr>
              <w:pStyle w:val="TableText"/>
              <w:ind w:left="3114"/>
              <w:spacing w:before="292" w:line="220" w:lineRule="auto"/>
              <w:rPr>
                <w:sz w:val="26"/>
                <w:szCs w:val="26"/>
              </w:rPr>
            </w:pPr>
            <w:r>
              <w:rPr>
                <w:sz w:val="26"/>
                <w:szCs w:val="26"/>
                <w:b/>
                <w:bCs/>
                <w:spacing w:val="-5"/>
              </w:rPr>
              <w:t>情节后果</w:t>
            </w:r>
          </w:p>
        </w:tc>
        <w:tc>
          <w:tcPr>
            <w:tcW w:w="5091" w:type="dxa"/>
            <w:vAlign w:val="top"/>
          </w:tcPr>
          <w:p>
            <w:pPr>
              <w:pStyle w:val="TableText"/>
              <w:ind w:left="2020"/>
              <w:spacing w:before="289" w:line="218" w:lineRule="auto"/>
              <w:rPr>
                <w:sz w:val="26"/>
                <w:szCs w:val="26"/>
              </w:rPr>
            </w:pPr>
            <w:r>
              <w:rPr>
                <w:sz w:val="26"/>
                <w:szCs w:val="26"/>
                <w:b/>
                <w:bCs/>
                <w:spacing w:val="-5"/>
              </w:rPr>
              <w:t>裁量幅度</w:t>
            </w:r>
          </w:p>
        </w:tc>
      </w:tr>
      <w:tr>
        <w:trPr>
          <w:trHeight w:val="1845" w:hRule="atLeast"/>
        </w:trPr>
        <w:tc>
          <w:tcPr>
            <w:tcW w:w="1574" w:type="dxa"/>
            <w:vAlign w:val="top"/>
          </w:tcPr>
          <w:p>
            <w:pPr>
              <w:spacing w:line="356" w:lineRule="auto"/>
              <w:rPr>
                <w:rFonts w:ascii="Arial"/>
                <w:sz w:val="21"/>
              </w:rPr>
            </w:pPr>
            <w:r/>
          </w:p>
          <w:p>
            <w:pPr>
              <w:spacing w:line="356" w:lineRule="auto"/>
              <w:rPr>
                <w:rFonts w:ascii="Arial"/>
                <w:sz w:val="21"/>
              </w:rPr>
            </w:pPr>
            <w:r/>
          </w:p>
          <w:p>
            <w:pPr>
              <w:pStyle w:val="TableText"/>
              <w:ind w:left="518"/>
              <w:spacing w:before="85" w:line="221" w:lineRule="auto"/>
              <w:rPr>
                <w:sz w:val="26"/>
                <w:szCs w:val="26"/>
              </w:rPr>
            </w:pPr>
            <w:r>
              <w:rPr>
                <w:sz w:val="26"/>
                <w:szCs w:val="26"/>
                <w:b/>
                <w:bCs/>
                <w:spacing w:val="-10"/>
              </w:rPr>
              <w:t>一般</w:t>
            </w:r>
          </w:p>
        </w:tc>
        <w:tc>
          <w:tcPr>
            <w:tcW w:w="7364" w:type="dxa"/>
            <w:vAlign w:val="top"/>
          </w:tcPr>
          <w:p>
            <w:pPr>
              <w:spacing w:line="385" w:lineRule="auto"/>
              <w:rPr>
                <w:rFonts w:ascii="Arial"/>
                <w:sz w:val="21"/>
              </w:rPr>
            </w:pPr>
            <w:r/>
          </w:p>
          <w:p>
            <w:pPr>
              <w:pStyle w:val="TableText"/>
              <w:ind w:left="111" w:firstLine="109"/>
              <w:spacing w:before="85" w:line="329" w:lineRule="auto"/>
              <w:rPr>
                <w:sz w:val="26"/>
                <w:szCs w:val="26"/>
              </w:rPr>
            </w:pPr>
            <w:r>
              <w:rPr>
                <w:sz w:val="26"/>
                <w:szCs w:val="26"/>
                <w:spacing w:val="-5"/>
              </w:rPr>
              <w:t>(1)未接受消毒技术培训、掌握消毒知识；(2)未按规定严格执行</w:t>
            </w:r>
            <w:r>
              <w:rPr>
                <w:sz w:val="26"/>
                <w:szCs w:val="26"/>
                <w:spacing w:val="7"/>
              </w:rPr>
              <w:t xml:space="preserve"> </w:t>
            </w:r>
            <w:r>
              <w:rPr>
                <w:sz w:val="26"/>
                <w:szCs w:val="26"/>
                <w:spacing w:val="-1"/>
              </w:rPr>
              <w:t>消毒隔离制度。</w:t>
            </w:r>
          </w:p>
        </w:tc>
        <w:tc>
          <w:tcPr>
            <w:tcW w:w="5091" w:type="dxa"/>
            <w:vAlign w:val="top"/>
          </w:tcPr>
          <w:p>
            <w:pPr>
              <w:spacing w:line="387" w:lineRule="auto"/>
              <w:rPr>
                <w:rFonts w:ascii="Arial"/>
                <w:sz w:val="21"/>
              </w:rPr>
            </w:pPr>
            <w:r/>
          </w:p>
          <w:p>
            <w:pPr>
              <w:pStyle w:val="TableText"/>
              <w:ind w:left="97" w:right="277" w:firstLine="230"/>
              <w:spacing w:before="85" w:line="322" w:lineRule="auto"/>
              <w:rPr>
                <w:sz w:val="26"/>
                <w:szCs w:val="26"/>
              </w:rPr>
            </w:pPr>
            <w:r>
              <w:rPr>
                <w:sz w:val="26"/>
                <w:szCs w:val="26"/>
                <w:spacing w:val="2"/>
              </w:rPr>
              <w:t>(1)处1000元以上3000元以下罚款；(2)</w:t>
            </w:r>
            <w:r>
              <w:rPr>
                <w:sz w:val="26"/>
                <w:szCs w:val="26"/>
                <w:spacing w:val="7"/>
              </w:rPr>
              <w:t xml:space="preserve"> </w:t>
            </w:r>
            <w:r>
              <w:rPr>
                <w:sz w:val="26"/>
                <w:szCs w:val="26"/>
              </w:rPr>
              <w:t>3000元以上5000元以下罚款。</w:t>
            </w:r>
          </w:p>
        </w:tc>
      </w:tr>
      <w:tr>
        <w:trPr>
          <w:trHeight w:val="1202" w:hRule="atLeast"/>
        </w:trPr>
        <w:tc>
          <w:tcPr>
            <w:tcW w:w="1574" w:type="dxa"/>
            <w:vAlign w:val="top"/>
          </w:tcPr>
          <w:p>
            <w:pPr>
              <w:spacing w:line="292" w:lineRule="auto"/>
              <w:rPr>
                <w:rFonts w:ascii="Arial"/>
                <w:sz w:val="21"/>
              </w:rPr>
            </w:pPr>
            <w:r/>
          </w:p>
          <w:p>
            <w:pPr>
              <w:pStyle w:val="TableText"/>
              <w:ind w:left="518"/>
              <w:spacing w:before="84" w:line="221" w:lineRule="auto"/>
              <w:rPr>
                <w:sz w:val="26"/>
                <w:szCs w:val="26"/>
              </w:rPr>
            </w:pPr>
            <w:r>
              <w:rPr>
                <w:sz w:val="26"/>
                <w:szCs w:val="26"/>
                <w:b/>
                <w:bCs/>
                <w:spacing w:val="-6"/>
              </w:rPr>
              <w:t>较重</w:t>
            </w:r>
          </w:p>
        </w:tc>
        <w:tc>
          <w:tcPr>
            <w:tcW w:w="7364" w:type="dxa"/>
            <w:vAlign w:val="top"/>
          </w:tcPr>
          <w:p>
            <w:pPr>
              <w:pStyle w:val="TableText"/>
              <w:ind w:left="120" w:firstLine="99"/>
              <w:spacing w:before="157" w:line="314" w:lineRule="auto"/>
              <w:rPr>
                <w:sz w:val="26"/>
                <w:szCs w:val="26"/>
              </w:rPr>
            </w:pPr>
            <w:r>
              <w:rPr>
                <w:sz w:val="26"/>
                <w:szCs w:val="26"/>
                <w:spacing w:val="-1"/>
              </w:rPr>
              <w:t>(1)造成感染性疾病暴发，病例数5例以下；(2)造成感染性疾病</w:t>
            </w:r>
            <w:r>
              <w:rPr>
                <w:sz w:val="26"/>
                <w:szCs w:val="26"/>
                <w:spacing w:val="13"/>
              </w:rPr>
              <w:t xml:space="preserve"> </w:t>
            </w:r>
            <w:r>
              <w:rPr>
                <w:sz w:val="26"/>
                <w:szCs w:val="26"/>
                <w:spacing w:val="-1"/>
              </w:rPr>
              <w:t>暴发，病例数超过5例。</w:t>
            </w:r>
          </w:p>
        </w:tc>
        <w:tc>
          <w:tcPr>
            <w:tcW w:w="5091" w:type="dxa"/>
            <w:vAlign w:val="top"/>
          </w:tcPr>
          <w:p>
            <w:pPr>
              <w:pStyle w:val="TableText"/>
              <w:ind w:left="267"/>
              <w:spacing w:before="159" w:line="220" w:lineRule="auto"/>
              <w:rPr>
                <w:sz w:val="26"/>
                <w:szCs w:val="26"/>
              </w:rPr>
            </w:pPr>
            <w:r>
              <w:rPr>
                <w:sz w:val="26"/>
                <w:szCs w:val="26"/>
                <w:spacing w:val="2"/>
              </w:rPr>
              <w:t>(1)处5000元以上10000元以下罚款；(2)</w:t>
            </w:r>
          </w:p>
          <w:p>
            <w:pPr>
              <w:pStyle w:val="TableText"/>
              <w:ind w:left="657"/>
              <w:spacing w:before="130" w:line="220" w:lineRule="auto"/>
              <w:rPr>
                <w:sz w:val="26"/>
                <w:szCs w:val="26"/>
              </w:rPr>
            </w:pPr>
            <w:r>
              <w:rPr>
                <w:sz w:val="26"/>
                <w:szCs w:val="26"/>
              </w:rPr>
              <w:t>处10000元以上20000元以下罚款。</w:t>
            </w:r>
          </w:p>
        </w:tc>
      </w:tr>
    </w:tbl>
    <w:p>
      <w:pPr>
        <w:pStyle w:val="BodyText"/>
        <w:rPr/>
      </w:pPr>
      <w:r/>
    </w:p>
    <w:p>
      <w:pPr>
        <w:sectPr>
          <w:footerReference w:type="default" r:id="rId163"/>
          <w:pgSz w:w="16830" w:h="11900"/>
          <w:pgMar w:top="1011" w:right="1344" w:bottom="1098" w:left="1414" w:header="0" w:footer="765" w:gutter="0"/>
        </w:sectPr>
        <w:rPr/>
      </w:pPr>
    </w:p>
    <w:p>
      <w:pPr>
        <w:pStyle w:val="BodyText"/>
        <w:spacing w:line="261" w:lineRule="auto"/>
        <w:rPr/>
      </w:pPr>
      <w:r/>
    </w:p>
    <w:p>
      <w:pPr>
        <w:pStyle w:val="BodyText"/>
        <w:spacing w:line="262" w:lineRule="auto"/>
        <w:rPr/>
      </w:pPr>
      <w:r/>
    </w:p>
    <w:p>
      <w:pPr>
        <w:pStyle w:val="BodyText"/>
        <w:spacing w:line="262" w:lineRule="auto"/>
        <w:rPr/>
      </w:pPr>
      <w:r/>
    </w:p>
    <w:p>
      <w:pPr>
        <w:ind w:left="14" w:right="150" w:firstLine="660"/>
        <w:spacing w:before="97" w:line="273" w:lineRule="auto"/>
        <w:jc w:val="both"/>
        <w:rPr>
          <w:rFonts w:ascii="FangSong" w:hAnsi="FangSong" w:eastAsia="FangSong" w:cs="FangSong"/>
          <w:sz w:val="30"/>
          <w:szCs w:val="30"/>
        </w:rPr>
      </w:pPr>
      <w:bookmarkStart w:name="bookmark821" w:id="135"/>
      <w:bookmarkEnd w:id="135"/>
      <w:r>
        <w:rPr>
          <w:rFonts w:ascii="FangSong" w:hAnsi="FangSong" w:eastAsia="FangSong" w:cs="FangSong"/>
          <w:sz w:val="30"/>
          <w:szCs w:val="30"/>
          <w:spacing w:val="23"/>
        </w:rPr>
        <w:t>第八十四条医疗卫生机构使用的进入人体组织或无菌器官的医疗用品未达到灭菌要求，各种注</w:t>
      </w:r>
      <w:r>
        <w:rPr>
          <w:rFonts w:ascii="FangSong" w:hAnsi="FangSong" w:eastAsia="FangSong" w:cs="FangSong"/>
          <w:sz w:val="30"/>
          <w:szCs w:val="30"/>
          <w:spacing w:val="5"/>
        </w:rPr>
        <w:t xml:space="preserve"> </w:t>
      </w:r>
      <w:r>
        <w:rPr>
          <w:rFonts w:ascii="FangSong" w:hAnsi="FangSong" w:eastAsia="FangSong" w:cs="FangSong"/>
          <w:sz w:val="30"/>
          <w:szCs w:val="30"/>
          <w:spacing w:val="20"/>
        </w:rPr>
        <w:t>射、穿刺、采血器具未一人一用一灭菌的，或接触皮肤、粘膜的器械和用品未达到消毒要求的，或</w:t>
      </w:r>
      <w:r>
        <w:rPr>
          <w:rFonts w:ascii="FangSong" w:hAnsi="FangSong" w:eastAsia="FangSong" w:cs="FangSong"/>
          <w:sz w:val="30"/>
          <w:szCs w:val="30"/>
          <w:spacing w:val="8"/>
        </w:rPr>
        <w:t xml:space="preserve">  </w:t>
      </w:r>
      <w:r>
        <w:rPr>
          <w:rFonts w:ascii="FangSong" w:hAnsi="FangSong" w:eastAsia="FangSong" w:cs="FangSong"/>
          <w:sz w:val="30"/>
          <w:szCs w:val="30"/>
          <w:spacing w:val="20"/>
        </w:rPr>
        <w:t>医疗卫生机构使用的一次性使用医疗用品用后未及时进行无害化处理的</w:t>
      </w:r>
    </w:p>
    <w:p>
      <w:pPr>
        <w:ind w:left="675"/>
        <w:spacing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14" w:firstLine="640"/>
        <w:spacing w:before="76" w:line="269" w:lineRule="auto"/>
        <w:jc w:val="both"/>
        <w:rPr>
          <w:rFonts w:ascii="FangSong" w:hAnsi="FangSong" w:eastAsia="FangSong" w:cs="FangSong"/>
          <w:sz w:val="30"/>
          <w:szCs w:val="30"/>
        </w:rPr>
      </w:pPr>
      <w:r>
        <w:rPr>
          <w:rFonts w:ascii="FangSong" w:hAnsi="FangSong" w:eastAsia="FangSong" w:cs="FangSong"/>
          <w:sz w:val="30"/>
          <w:szCs w:val="30"/>
          <w:spacing w:val="18"/>
        </w:rPr>
        <w:t>《消毒管理办法》第四十一条</w:t>
      </w:r>
      <w:r>
        <w:rPr>
          <w:rFonts w:ascii="FangSong" w:hAnsi="FangSong" w:eastAsia="FangSong" w:cs="FangSong"/>
          <w:sz w:val="30"/>
          <w:szCs w:val="30"/>
          <w:spacing w:val="18"/>
        </w:rPr>
        <w:t xml:space="preserve">  </w:t>
      </w:r>
      <w:r>
        <w:rPr>
          <w:rFonts w:ascii="FangSong" w:hAnsi="FangSong" w:eastAsia="FangSong" w:cs="FangSong"/>
          <w:sz w:val="30"/>
          <w:szCs w:val="30"/>
          <w:spacing w:val="18"/>
        </w:rPr>
        <w:t>医疗卫生机构违反本办法第四、五、六、七、八、九条规定的，</w:t>
      </w:r>
      <w:r>
        <w:rPr>
          <w:rFonts w:ascii="FangSong" w:hAnsi="FangSong" w:eastAsia="FangSong" w:cs="FangSong"/>
          <w:sz w:val="30"/>
          <w:szCs w:val="30"/>
          <w:spacing w:val="5"/>
        </w:rPr>
        <w:t xml:space="preserve"> </w:t>
      </w:r>
      <w:r>
        <w:rPr>
          <w:rFonts w:ascii="FangSong" w:hAnsi="FangSong" w:eastAsia="FangSong" w:cs="FangSong"/>
          <w:sz w:val="30"/>
          <w:szCs w:val="30"/>
          <w:spacing w:val="19"/>
        </w:rPr>
        <w:t>由县级以上地方卫生计生行政部门责令限期改正，可以处5000元</w:t>
      </w:r>
      <w:r>
        <w:rPr>
          <w:rFonts w:ascii="FangSong" w:hAnsi="FangSong" w:eastAsia="FangSong" w:cs="FangSong"/>
          <w:sz w:val="30"/>
          <w:szCs w:val="30"/>
          <w:spacing w:val="18"/>
        </w:rPr>
        <w:t>以下罚款；造成感染性疾病暴发的，</w:t>
      </w:r>
      <w:r>
        <w:rPr>
          <w:rFonts w:ascii="FangSong" w:hAnsi="FangSong" w:eastAsia="FangSong" w:cs="FangSong"/>
          <w:sz w:val="30"/>
          <w:szCs w:val="30"/>
        </w:rPr>
        <w:t xml:space="preserve"> </w:t>
      </w:r>
      <w:r>
        <w:rPr>
          <w:rFonts w:ascii="FangSong" w:hAnsi="FangSong" w:eastAsia="FangSong" w:cs="FangSong"/>
          <w:sz w:val="30"/>
          <w:szCs w:val="30"/>
          <w:spacing w:val="27"/>
        </w:rPr>
        <w:t>可以处5000元以上20000元以下罚款。</w:t>
      </w:r>
    </w:p>
    <w:p>
      <w:pPr>
        <w:ind w:left="14" w:right="107" w:firstLine="630"/>
        <w:spacing w:before="1" w:line="270" w:lineRule="auto"/>
        <w:jc w:val="both"/>
        <w:rPr>
          <w:rFonts w:ascii="FangSong" w:hAnsi="FangSong" w:eastAsia="FangSong" w:cs="FangSong"/>
          <w:sz w:val="30"/>
          <w:szCs w:val="30"/>
        </w:rPr>
      </w:pPr>
      <w:r>
        <w:rPr>
          <w:rFonts w:ascii="FangSong" w:hAnsi="FangSong" w:eastAsia="FangSong" w:cs="FangSong"/>
          <w:sz w:val="30"/>
          <w:szCs w:val="30"/>
          <w:spacing w:val="15"/>
        </w:rPr>
        <w:t>《消毒管理办法》第六条</w:t>
      </w:r>
      <w:r>
        <w:rPr>
          <w:rFonts w:ascii="FangSong" w:hAnsi="FangSong" w:eastAsia="FangSong" w:cs="FangSong"/>
          <w:sz w:val="30"/>
          <w:szCs w:val="30"/>
          <w:spacing w:val="55"/>
        </w:rPr>
        <w:t xml:space="preserve">  </w:t>
      </w:r>
      <w:r>
        <w:rPr>
          <w:rFonts w:ascii="FangSong" w:hAnsi="FangSong" w:eastAsia="FangSong" w:cs="FangSong"/>
          <w:sz w:val="30"/>
          <w:szCs w:val="30"/>
          <w:spacing w:val="15"/>
        </w:rPr>
        <w:t>医疗卫生机构使用的进入人体组织或无菌器官的医疗用品必</w:t>
      </w:r>
      <w:r>
        <w:rPr>
          <w:rFonts w:ascii="FangSong" w:hAnsi="FangSong" w:eastAsia="FangSong" w:cs="FangSong"/>
          <w:sz w:val="30"/>
          <w:szCs w:val="30"/>
          <w:spacing w:val="14"/>
        </w:rPr>
        <w:t>须达到灭</w:t>
      </w:r>
      <w:r>
        <w:rPr>
          <w:rFonts w:ascii="FangSong" w:hAnsi="FangSong" w:eastAsia="FangSong" w:cs="FangSong"/>
          <w:sz w:val="30"/>
          <w:szCs w:val="30"/>
        </w:rPr>
        <w:t xml:space="preserve"> </w:t>
      </w:r>
      <w:r>
        <w:rPr>
          <w:rFonts w:ascii="FangSong" w:hAnsi="FangSong" w:eastAsia="FangSong" w:cs="FangSong"/>
          <w:sz w:val="30"/>
          <w:szCs w:val="30"/>
          <w:spacing w:val="17"/>
        </w:rPr>
        <w:t>菌要求。各种注射、穿刺、采血器具应当一人一用一灭菌。凡接触皮肤、粘膜的器械和用品必须达到</w:t>
      </w:r>
      <w:r>
        <w:rPr>
          <w:rFonts w:ascii="FangSong" w:hAnsi="FangSong" w:eastAsia="FangSong" w:cs="FangSong"/>
          <w:sz w:val="30"/>
          <w:szCs w:val="30"/>
        </w:rPr>
        <w:t xml:space="preserve"> </w:t>
      </w:r>
      <w:r>
        <w:rPr>
          <w:rFonts w:ascii="FangSong" w:hAnsi="FangSong" w:eastAsia="FangSong" w:cs="FangSong"/>
          <w:sz w:val="30"/>
          <w:szCs w:val="30"/>
          <w:spacing w:val="6"/>
        </w:rPr>
        <w:t>消毒要求。</w:t>
      </w:r>
    </w:p>
    <w:p>
      <w:pPr>
        <w:ind w:left="675"/>
        <w:spacing w:line="220" w:lineRule="auto"/>
        <w:rPr>
          <w:rFonts w:ascii="FangSong" w:hAnsi="FangSong" w:eastAsia="FangSong" w:cs="FangSong"/>
          <w:sz w:val="30"/>
          <w:szCs w:val="30"/>
        </w:rPr>
      </w:pPr>
      <w:r>
        <w:rPr>
          <w:rFonts w:ascii="FangSong" w:hAnsi="FangSong" w:eastAsia="FangSong" w:cs="FangSong"/>
          <w:sz w:val="30"/>
          <w:szCs w:val="30"/>
          <w:spacing w:val="17"/>
        </w:rPr>
        <w:t>医疗卫生机构使用的一次性使用医疗用品用后应当及时进行无</w:t>
      </w:r>
      <w:r>
        <w:rPr>
          <w:rFonts w:ascii="FangSong" w:hAnsi="FangSong" w:eastAsia="FangSong" w:cs="FangSong"/>
          <w:sz w:val="30"/>
          <w:szCs w:val="30"/>
          <w:spacing w:val="16"/>
        </w:rPr>
        <w:t>害化处理。</w:t>
      </w:r>
    </w:p>
    <w:p>
      <w:pPr>
        <w:ind w:left="6298"/>
        <w:spacing w:before="91"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60" w:lineRule="exact"/>
        <w:rPr/>
      </w:pPr>
      <w:r/>
    </w:p>
    <w:tbl>
      <w:tblPr>
        <w:tblStyle w:val="TableNormal"/>
        <w:tblW w:w="137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63"/>
        <w:gridCol w:w="4426"/>
        <w:gridCol w:w="2208"/>
        <w:gridCol w:w="4352"/>
      </w:tblGrid>
      <w:tr>
        <w:trPr>
          <w:trHeight w:val="842" w:hRule="atLeast"/>
        </w:trPr>
        <w:tc>
          <w:tcPr>
            <w:tcW w:w="2763" w:type="dxa"/>
            <w:vAlign w:val="top"/>
          </w:tcPr>
          <w:p>
            <w:pPr>
              <w:pStyle w:val="TableText"/>
              <w:ind w:left="878"/>
              <w:spacing w:before="182" w:line="220" w:lineRule="auto"/>
              <w:rPr>
                <w:sz w:val="25"/>
                <w:szCs w:val="25"/>
              </w:rPr>
            </w:pPr>
            <w:r>
              <w:rPr>
                <w:sz w:val="25"/>
                <w:szCs w:val="25"/>
                <w:b/>
                <w:bCs/>
                <w:spacing w:val="-5"/>
              </w:rPr>
              <w:t>违法程度</w:t>
            </w:r>
          </w:p>
        </w:tc>
        <w:tc>
          <w:tcPr>
            <w:tcW w:w="4426" w:type="dxa"/>
            <w:vAlign w:val="top"/>
          </w:tcPr>
          <w:p>
            <w:pPr>
              <w:pStyle w:val="TableText"/>
              <w:ind w:left="1635"/>
              <w:spacing w:before="182" w:line="220" w:lineRule="auto"/>
              <w:rPr>
                <w:sz w:val="25"/>
                <w:szCs w:val="25"/>
              </w:rPr>
            </w:pPr>
            <w:r>
              <w:rPr>
                <w:sz w:val="25"/>
                <w:szCs w:val="25"/>
                <w:b/>
                <w:bCs/>
                <w:spacing w:val="-5"/>
              </w:rPr>
              <w:t>情节后果</w:t>
            </w:r>
          </w:p>
        </w:tc>
        <w:tc>
          <w:tcPr>
            <w:tcW w:w="6560" w:type="dxa"/>
            <w:vAlign w:val="top"/>
            <w:gridSpan w:val="2"/>
          </w:tcPr>
          <w:p>
            <w:pPr>
              <w:pStyle w:val="TableText"/>
              <w:ind w:left="2719"/>
              <w:spacing w:before="179" w:line="218" w:lineRule="auto"/>
              <w:rPr>
                <w:sz w:val="25"/>
                <w:szCs w:val="25"/>
              </w:rPr>
            </w:pPr>
            <w:r>
              <w:rPr>
                <w:sz w:val="25"/>
                <w:szCs w:val="25"/>
                <w:b/>
                <w:bCs/>
                <w:spacing w:val="-5"/>
              </w:rPr>
              <w:t>裁量幅度</w:t>
            </w:r>
          </w:p>
        </w:tc>
      </w:tr>
      <w:tr>
        <w:trPr>
          <w:trHeight w:val="1948" w:hRule="atLeast"/>
        </w:trPr>
        <w:tc>
          <w:tcPr>
            <w:tcW w:w="2763"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128"/>
              <w:spacing w:before="81" w:line="221" w:lineRule="auto"/>
              <w:rPr>
                <w:sz w:val="25"/>
                <w:szCs w:val="25"/>
              </w:rPr>
            </w:pPr>
            <w:r>
              <w:rPr>
                <w:sz w:val="25"/>
                <w:szCs w:val="25"/>
                <w:b/>
                <w:bCs/>
                <w:spacing w:val="-10"/>
              </w:rPr>
              <w:t>一般</w:t>
            </w:r>
          </w:p>
        </w:tc>
        <w:tc>
          <w:tcPr>
            <w:tcW w:w="6634" w:type="dxa"/>
            <w:vAlign w:val="top"/>
            <w:gridSpan w:val="2"/>
          </w:tcPr>
          <w:p>
            <w:pPr>
              <w:pStyle w:val="TableText"/>
              <w:ind w:left="125" w:right="10"/>
              <w:spacing w:before="88" w:line="268" w:lineRule="auto"/>
              <w:rPr>
                <w:sz w:val="25"/>
                <w:szCs w:val="25"/>
              </w:rPr>
            </w:pPr>
            <w:r>
              <w:rPr>
                <w:sz w:val="25"/>
                <w:szCs w:val="25"/>
                <w:b/>
                <w:bCs/>
                <w:spacing w:val="-3"/>
              </w:rPr>
              <w:t>(1)使用的进入人体组织或无菌器官的医疗用品未达到灭菌</w:t>
            </w:r>
            <w:r>
              <w:rPr>
                <w:sz w:val="25"/>
                <w:szCs w:val="25"/>
                <w:spacing w:val="6"/>
              </w:rPr>
              <w:t xml:space="preserve">  </w:t>
            </w:r>
            <w:r>
              <w:rPr>
                <w:sz w:val="25"/>
                <w:szCs w:val="25"/>
                <w:b/>
                <w:bCs/>
                <w:spacing w:val="1"/>
              </w:rPr>
              <w:t>要求；(2)各种注射、穿刺、采血器具未一人一用一灭菌；</w:t>
            </w:r>
          </w:p>
          <w:p>
            <w:pPr>
              <w:pStyle w:val="TableText"/>
              <w:ind w:left="244" w:right="130" w:hanging="59"/>
              <w:spacing w:before="153" w:line="269" w:lineRule="auto"/>
              <w:rPr>
                <w:sz w:val="25"/>
                <w:szCs w:val="25"/>
              </w:rPr>
            </w:pPr>
            <w:r>
              <w:rPr>
                <w:sz w:val="25"/>
                <w:szCs w:val="25"/>
                <w:b/>
                <w:bCs/>
                <w:spacing w:val="-1"/>
              </w:rPr>
              <w:t>(3)凡接触皮肤、粘膜的器械和用品未达到消毒要求；(4)</w:t>
            </w:r>
            <w:r>
              <w:rPr>
                <w:sz w:val="25"/>
                <w:szCs w:val="25"/>
                <w:spacing w:val="1"/>
              </w:rPr>
              <w:t xml:space="preserve"> </w:t>
            </w:r>
            <w:r>
              <w:rPr>
                <w:sz w:val="25"/>
                <w:szCs w:val="25"/>
                <w:b/>
                <w:bCs/>
                <w:spacing w:val="-3"/>
              </w:rPr>
              <w:t>使用的一次性使用医疗用品用后未及时进行无害化处理。</w:t>
            </w:r>
          </w:p>
        </w:tc>
        <w:tc>
          <w:tcPr>
            <w:tcW w:w="4352" w:type="dxa"/>
            <w:vAlign w:val="top"/>
          </w:tcPr>
          <w:p>
            <w:pPr>
              <w:pStyle w:val="TableText"/>
              <w:ind w:left="227" w:right="109" w:firstLine="70"/>
              <w:spacing w:before="303" w:line="334" w:lineRule="auto"/>
              <w:jc w:val="both"/>
              <w:rPr>
                <w:sz w:val="25"/>
                <w:szCs w:val="25"/>
              </w:rPr>
            </w:pPr>
            <w:r>
              <w:rPr>
                <w:sz w:val="25"/>
                <w:szCs w:val="25"/>
              </w:rPr>
              <w:t>有(1)或(2)的情形，处3000元以上</w:t>
            </w:r>
            <w:r>
              <w:rPr>
                <w:sz w:val="25"/>
                <w:szCs w:val="25"/>
                <w:spacing w:val="4"/>
              </w:rPr>
              <w:t xml:space="preserve">  </w:t>
            </w:r>
            <w:r>
              <w:rPr>
                <w:sz w:val="25"/>
                <w:szCs w:val="25"/>
                <w:spacing w:val="4"/>
              </w:rPr>
              <w:t>5000元以下罚款；有(3)或(4)的情</w:t>
            </w:r>
            <w:r>
              <w:rPr>
                <w:sz w:val="25"/>
                <w:szCs w:val="25"/>
              </w:rPr>
              <w:t xml:space="preserve">  </w:t>
            </w:r>
            <w:r>
              <w:rPr>
                <w:sz w:val="25"/>
                <w:szCs w:val="25"/>
              </w:rPr>
              <w:t>形，处2000元以上3000元以下罚款。</w:t>
            </w:r>
          </w:p>
        </w:tc>
      </w:tr>
    </w:tbl>
    <w:p>
      <w:pPr>
        <w:pStyle w:val="BodyText"/>
        <w:rPr/>
      </w:pPr>
      <w:r/>
    </w:p>
    <w:p>
      <w:pPr>
        <w:sectPr>
          <w:footerReference w:type="default" r:id="rId164"/>
          <w:pgSz w:w="16830" w:h="11900"/>
          <w:pgMar w:top="1011" w:right="1330" w:bottom="1115" w:left="1425" w:header="0" w:footer="773" w:gutter="0"/>
        </w:sectPr>
        <w:rPr/>
      </w:pPr>
    </w:p>
    <w:p>
      <w:pPr>
        <w:spacing w:before="12"/>
        <w:rPr/>
      </w:pPr>
      <w:r/>
    </w:p>
    <w:p>
      <w:pPr>
        <w:spacing w:before="11"/>
        <w:rPr/>
      </w:pPr>
      <w:r/>
    </w:p>
    <w:p>
      <w:pPr>
        <w:spacing w:before="11"/>
        <w:rPr/>
      </w:pPr>
      <w:r/>
    </w:p>
    <w:tbl>
      <w:tblPr>
        <w:tblStyle w:val="TableNormal"/>
        <w:tblW w:w="1380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13"/>
        <w:gridCol w:w="6626"/>
        <w:gridCol w:w="4363"/>
      </w:tblGrid>
      <w:tr>
        <w:trPr>
          <w:trHeight w:val="3440" w:hRule="atLeast"/>
        </w:trPr>
        <w:tc>
          <w:tcPr>
            <w:tcW w:w="2813" w:type="dxa"/>
            <w:vAlign w:val="top"/>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188"/>
              <w:spacing w:before="75" w:line="224" w:lineRule="auto"/>
              <w:outlineLvl w:val="1"/>
              <w:rPr>
                <w:rFonts w:ascii="FangSong" w:hAnsi="FangSong" w:eastAsia="FangSong" w:cs="FangSong"/>
                <w:sz w:val="23"/>
                <w:szCs w:val="23"/>
              </w:rPr>
            </w:pPr>
            <w:bookmarkStart w:name="bookmark822" w:id="136"/>
            <w:bookmarkEnd w:id="136"/>
            <w:bookmarkStart w:name="bookmark186" w:id="137"/>
            <w:bookmarkEnd w:id="137"/>
            <w:r>
              <w:rPr>
                <w:rFonts w:ascii="FangSong" w:hAnsi="FangSong" w:eastAsia="FangSong" w:cs="FangSong"/>
                <w:sz w:val="23"/>
                <w:szCs w:val="23"/>
                <w:b/>
                <w:bCs/>
                <w:spacing w:val="4"/>
              </w:rPr>
              <w:t>严重</w:t>
            </w:r>
          </w:p>
        </w:tc>
        <w:tc>
          <w:tcPr>
            <w:tcW w:w="6626"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131" w:right="104" w:firstLine="90"/>
              <w:spacing w:before="75" w:line="337" w:lineRule="auto"/>
              <w:rPr>
                <w:rFonts w:ascii="FangSong" w:hAnsi="FangSong" w:eastAsia="FangSong" w:cs="FangSong"/>
                <w:sz w:val="23"/>
                <w:szCs w:val="23"/>
              </w:rPr>
            </w:pPr>
            <w:r>
              <w:rPr>
                <w:rFonts w:ascii="FangSong" w:hAnsi="FangSong" w:eastAsia="FangSong" w:cs="FangSong"/>
                <w:sz w:val="23"/>
                <w:szCs w:val="23"/>
                <w:spacing w:val="23"/>
              </w:rPr>
              <w:t>(1)造成感染性疾病暴发，病例数5例以下；(2)造成感染</w:t>
            </w:r>
            <w:r>
              <w:rPr>
                <w:rFonts w:ascii="FangSong" w:hAnsi="FangSong" w:eastAsia="FangSong" w:cs="FangSong"/>
                <w:sz w:val="23"/>
                <w:szCs w:val="23"/>
                <w:spacing w:val="14"/>
              </w:rPr>
              <w:t xml:space="preserve"> </w:t>
            </w:r>
            <w:r>
              <w:rPr>
                <w:rFonts w:ascii="FangSong" w:hAnsi="FangSong" w:eastAsia="FangSong" w:cs="FangSong"/>
                <w:sz w:val="23"/>
                <w:szCs w:val="23"/>
                <w:spacing w:val="14"/>
              </w:rPr>
              <w:t>性疾病暴发，病例数超过5例。</w:t>
            </w:r>
          </w:p>
        </w:tc>
        <w:tc>
          <w:tcPr>
            <w:tcW w:w="4363" w:type="dxa"/>
            <w:vAlign w:val="top"/>
            <w:tcBorders>
              <w:right w:val="single" w:color="000000" w:sz="4" w:space="0"/>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right="14"/>
              <w:spacing w:before="75" w:line="222" w:lineRule="auto"/>
              <w:jc w:val="right"/>
              <w:rPr>
                <w:rFonts w:ascii="FangSong" w:hAnsi="FangSong" w:eastAsia="FangSong" w:cs="FangSong"/>
                <w:sz w:val="23"/>
                <w:szCs w:val="23"/>
              </w:rPr>
            </w:pPr>
            <w:r>
              <w:rPr>
                <w:rFonts w:ascii="FangSong" w:hAnsi="FangSong" w:eastAsia="FangSong" w:cs="FangSong"/>
                <w:sz w:val="23"/>
                <w:szCs w:val="23"/>
                <w:spacing w:val="19"/>
              </w:rPr>
              <w:t>(1)处5000元以上10000元以下罚款；</w:t>
            </w:r>
          </w:p>
          <w:p>
            <w:pPr>
              <w:ind w:right="14"/>
              <w:spacing w:before="143" w:line="222" w:lineRule="auto"/>
              <w:jc w:val="right"/>
              <w:rPr>
                <w:rFonts w:ascii="FangSong" w:hAnsi="FangSong" w:eastAsia="FangSong" w:cs="FangSong"/>
                <w:sz w:val="23"/>
                <w:szCs w:val="23"/>
              </w:rPr>
            </w:pPr>
            <w:r>
              <w:rPr>
                <w:rFonts w:ascii="FangSong" w:hAnsi="FangSong" w:eastAsia="FangSong" w:cs="FangSong"/>
                <w:sz w:val="23"/>
                <w:szCs w:val="23"/>
                <w:spacing w:val="14"/>
              </w:rPr>
              <w:t>(2)处10000元以上20000元以</w:t>
            </w:r>
            <w:r>
              <w:rPr>
                <w:rFonts w:ascii="FangSong" w:hAnsi="FangSong" w:eastAsia="FangSong" w:cs="FangSong"/>
                <w:sz w:val="23"/>
                <w:szCs w:val="23"/>
                <w:spacing w:val="13"/>
              </w:rPr>
              <w:t>下罚款。</w:t>
            </w:r>
          </w:p>
        </w:tc>
      </w:tr>
    </w:tbl>
    <w:p>
      <w:pPr>
        <w:ind w:left="734"/>
        <w:spacing w:before="102" w:line="220" w:lineRule="auto"/>
        <w:rPr>
          <w:rFonts w:ascii="FangSong" w:hAnsi="FangSong" w:eastAsia="FangSong" w:cs="FangSong"/>
          <w:sz w:val="29"/>
          <w:szCs w:val="29"/>
        </w:rPr>
      </w:pPr>
      <w:r>
        <w:rPr>
          <w:rFonts w:ascii="FangSong" w:hAnsi="FangSong" w:eastAsia="FangSong" w:cs="FangSong"/>
          <w:sz w:val="29"/>
          <w:szCs w:val="29"/>
          <w:b/>
          <w:bCs/>
          <w:spacing w:val="32"/>
        </w:rPr>
        <w:t>第八十五条医疗卫生机构购进消毒产品未建立</w:t>
      </w:r>
      <w:r>
        <w:rPr>
          <w:rFonts w:ascii="FangSong" w:hAnsi="FangSong" w:eastAsia="FangSong" w:cs="FangSong"/>
          <w:sz w:val="29"/>
          <w:szCs w:val="29"/>
          <w:b/>
          <w:bCs/>
          <w:spacing w:val="31"/>
        </w:rPr>
        <w:t>并执行进货检查验收制度</w:t>
      </w:r>
    </w:p>
    <w:p>
      <w:pPr>
        <w:ind w:left="500"/>
        <w:spacing w:before="92" w:line="222" w:lineRule="auto"/>
        <w:rPr>
          <w:rFonts w:ascii="FangSong" w:hAnsi="FangSong" w:eastAsia="FangSong" w:cs="FangSong"/>
          <w:sz w:val="29"/>
          <w:szCs w:val="29"/>
        </w:rPr>
      </w:pPr>
      <w:r>
        <w:rPr>
          <w:rFonts w:ascii="FangSong" w:hAnsi="FangSong" w:eastAsia="FangSong" w:cs="FangSong"/>
          <w:sz w:val="29"/>
          <w:szCs w:val="29"/>
          <w:spacing w:val="10"/>
        </w:rPr>
        <w:t>法律依据：</w:t>
      </w:r>
    </w:p>
    <w:p>
      <w:pPr>
        <w:ind w:left="79" w:firstLine="405"/>
        <w:spacing w:before="100" w:line="273" w:lineRule="auto"/>
        <w:jc w:val="both"/>
        <w:rPr>
          <w:rFonts w:ascii="FangSong" w:hAnsi="FangSong" w:eastAsia="FangSong" w:cs="FangSong"/>
          <w:sz w:val="29"/>
          <w:szCs w:val="29"/>
        </w:rPr>
      </w:pPr>
      <w:r>
        <w:rPr>
          <w:rFonts w:ascii="FangSong" w:hAnsi="FangSong" w:eastAsia="FangSong" w:cs="FangSong"/>
          <w:sz w:val="29"/>
          <w:szCs w:val="29"/>
          <w:spacing w:val="26"/>
        </w:rPr>
        <w:t>《消毒管理办法》第四十</w:t>
      </w:r>
      <w:r>
        <w:rPr>
          <w:rFonts w:ascii="FangSong" w:hAnsi="FangSong" w:eastAsia="FangSong" w:cs="FangSong"/>
          <w:sz w:val="29"/>
          <w:szCs w:val="29"/>
          <w:spacing w:val="-65"/>
        </w:rPr>
        <w:t xml:space="preserve"> </w:t>
      </w:r>
      <w:r>
        <w:rPr>
          <w:rFonts w:ascii="FangSong" w:hAnsi="FangSong" w:eastAsia="FangSong" w:cs="FangSong"/>
          <w:sz w:val="29"/>
          <w:szCs w:val="29"/>
          <w:spacing w:val="26"/>
        </w:rPr>
        <w:t>一条</w:t>
      </w:r>
      <w:r>
        <w:rPr>
          <w:rFonts w:ascii="FangSong" w:hAnsi="FangSong" w:eastAsia="FangSong" w:cs="FangSong"/>
          <w:sz w:val="29"/>
          <w:szCs w:val="29"/>
          <w:spacing w:val="26"/>
        </w:rPr>
        <w:t xml:space="preserve">  </w:t>
      </w:r>
      <w:r>
        <w:rPr>
          <w:rFonts w:ascii="FangSong" w:hAnsi="FangSong" w:eastAsia="FangSong" w:cs="FangSong"/>
          <w:sz w:val="29"/>
          <w:szCs w:val="29"/>
          <w:spacing w:val="26"/>
        </w:rPr>
        <w:t>医疗卫生机构违反本办法第四、五、六、七、八、九条规定的，</w:t>
      </w:r>
      <w:r>
        <w:rPr>
          <w:rFonts w:ascii="FangSong" w:hAnsi="FangSong" w:eastAsia="FangSong" w:cs="FangSong"/>
          <w:sz w:val="29"/>
          <w:szCs w:val="29"/>
        </w:rPr>
        <w:t xml:space="preserve">  </w:t>
      </w:r>
      <w:r>
        <w:rPr>
          <w:rFonts w:ascii="FangSong" w:hAnsi="FangSong" w:eastAsia="FangSong" w:cs="FangSong"/>
          <w:sz w:val="29"/>
          <w:szCs w:val="29"/>
          <w:spacing w:val="28"/>
        </w:rPr>
        <w:t>由县级以上地方卫生计生行政部门责令限期改正，可以处5000元以下</w:t>
      </w:r>
      <w:r>
        <w:rPr>
          <w:rFonts w:ascii="FangSong" w:hAnsi="FangSong" w:eastAsia="FangSong" w:cs="FangSong"/>
          <w:sz w:val="29"/>
          <w:szCs w:val="29"/>
          <w:spacing w:val="27"/>
        </w:rPr>
        <w:t>罚款；造成感染性疾病暴发的，</w:t>
      </w:r>
      <w:r>
        <w:rPr>
          <w:rFonts w:ascii="FangSong" w:hAnsi="FangSong" w:eastAsia="FangSong" w:cs="FangSong"/>
          <w:sz w:val="29"/>
          <w:szCs w:val="29"/>
        </w:rPr>
        <w:t xml:space="preserve"> </w:t>
      </w:r>
      <w:r>
        <w:rPr>
          <w:rFonts w:ascii="FangSong" w:hAnsi="FangSong" w:eastAsia="FangSong" w:cs="FangSong"/>
          <w:sz w:val="29"/>
          <w:szCs w:val="29"/>
          <w:spacing w:val="35"/>
        </w:rPr>
        <w:t>可以处5000元以上20000元以下罚款。</w:t>
      </w:r>
    </w:p>
    <w:p>
      <w:pPr>
        <w:ind w:left="484"/>
        <w:spacing w:line="220" w:lineRule="auto"/>
        <w:rPr>
          <w:rFonts w:ascii="FangSong" w:hAnsi="FangSong" w:eastAsia="FangSong" w:cs="FangSong"/>
          <w:sz w:val="29"/>
          <w:szCs w:val="29"/>
        </w:rPr>
      </w:pPr>
      <w:r>
        <w:rPr>
          <w:rFonts w:ascii="FangSong" w:hAnsi="FangSong" w:eastAsia="FangSong" w:cs="FangSong"/>
          <w:sz w:val="29"/>
          <w:szCs w:val="29"/>
          <w:spacing w:val="28"/>
        </w:rPr>
        <w:t>《消毒管理办法》第七条</w:t>
      </w:r>
      <w:r>
        <w:rPr>
          <w:rFonts w:ascii="FangSong" w:hAnsi="FangSong" w:eastAsia="FangSong" w:cs="FangSong"/>
          <w:sz w:val="29"/>
          <w:szCs w:val="29"/>
          <w:spacing w:val="28"/>
        </w:rPr>
        <w:t xml:space="preserve">  </w:t>
      </w:r>
      <w:r>
        <w:rPr>
          <w:rFonts w:ascii="FangSong" w:hAnsi="FangSong" w:eastAsia="FangSong" w:cs="FangSong"/>
          <w:sz w:val="29"/>
          <w:szCs w:val="29"/>
          <w:spacing w:val="28"/>
        </w:rPr>
        <w:t>医疗卫生机构购进消毒产品必须建立并执行</w:t>
      </w:r>
      <w:r>
        <w:rPr>
          <w:rFonts w:ascii="FangSong" w:hAnsi="FangSong" w:eastAsia="FangSong" w:cs="FangSong"/>
          <w:sz w:val="29"/>
          <w:szCs w:val="29"/>
          <w:spacing w:val="27"/>
        </w:rPr>
        <w:t>进货检查验收制度。</w:t>
      </w:r>
    </w:p>
    <w:p>
      <w:pPr>
        <w:ind w:left="6394"/>
        <w:spacing w:before="83" w:line="221" w:lineRule="auto"/>
        <w:rPr>
          <w:rFonts w:ascii="SimHei" w:hAnsi="SimHei" w:eastAsia="SimHei" w:cs="SimHei"/>
          <w:sz w:val="29"/>
          <w:szCs w:val="29"/>
        </w:rPr>
      </w:pPr>
      <w:r>
        <w:rPr>
          <w:rFonts w:ascii="SimHei" w:hAnsi="SimHei" w:eastAsia="SimHei" w:cs="SimHei"/>
          <w:sz w:val="29"/>
          <w:szCs w:val="29"/>
          <w:b/>
          <w:bCs/>
          <w:spacing w:val="-10"/>
        </w:rPr>
        <w:t>裁量标准</w:t>
      </w:r>
    </w:p>
    <w:p>
      <w:pPr>
        <w:spacing w:line="192" w:lineRule="exact"/>
        <w:rPr/>
      </w:pPr>
      <w:r/>
    </w:p>
    <w:tbl>
      <w:tblPr>
        <w:tblStyle w:val="TableNormal"/>
        <w:tblW w:w="13819" w:type="dxa"/>
        <w:tblInd w:w="4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63"/>
        <w:gridCol w:w="6855"/>
        <w:gridCol w:w="4201"/>
      </w:tblGrid>
      <w:tr>
        <w:trPr>
          <w:trHeight w:val="830" w:hRule="atLeast"/>
        </w:trPr>
        <w:tc>
          <w:tcPr>
            <w:tcW w:w="2763" w:type="dxa"/>
            <w:vAlign w:val="top"/>
          </w:tcPr>
          <w:p>
            <w:pPr>
              <w:pStyle w:val="TableText"/>
              <w:ind w:left="809"/>
              <w:spacing w:before="273" w:line="220" w:lineRule="auto"/>
              <w:rPr>
                <w:sz w:val="29"/>
                <w:szCs w:val="29"/>
              </w:rPr>
            </w:pPr>
            <w:r>
              <w:rPr>
                <w:sz w:val="29"/>
                <w:szCs w:val="29"/>
                <w:b/>
                <w:bCs/>
                <w:spacing w:val="-1"/>
              </w:rPr>
              <w:t>违法程度</w:t>
            </w:r>
          </w:p>
        </w:tc>
        <w:tc>
          <w:tcPr>
            <w:tcW w:w="6855" w:type="dxa"/>
            <w:vAlign w:val="top"/>
          </w:tcPr>
          <w:p>
            <w:pPr>
              <w:pStyle w:val="TableText"/>
              <w:ind w:left="2856"/>
              <w:spacing w:before="273" w:line="220" w:lineRule="auto"/>
              <w:rPr>
                <w:sz w:val="29"/>
                <w:szCs w:val="29"/>
              </w:rPr>
            </w:pPr>
            <w:r>
              <w:rPr>
                <w:sz w:val="29"/>
                <w:szCs w:val="29"/>
                <w:b/>
                <w:bCs/>
                <w:spacing w:val="-1"/>
              </w:rPr>
              <w:t>情节后果</w:t>
            </w:r>
          </w:p>
        </w:tc>
        <w:tc>
          <w:tcPr>
            <w:tcW w:w="4201" w:type="dxa"/>
            <w:vAlign w:val="top"/>
          </w:tcPr>
          <w:p>
            <w:pPr>
              <w:pStyle w:val="TableText"/>
              <w:ind w:left="1541"/>
              <w:spacing w:before="270" w:line="218" w:lineRule="auto"/>
              <w:rPr>
                <w:sz w:val="29"/>
                <w:szCs w:val="29"/>
              </w:rPr>
            </w:pPr>
            <w:r>
              <w:rPr>
                <w:sz w:val="29"/>
                <w:szCs w:val="29"/>
                <w:b/>
                <w:bCs/>
                <w:spacing w:val="-1"/>
              </w:rPr>
              <w:t>裁量幅度</w:t>
            </w:r>
          </w:p>
        </w:tc>
      </w:tr>
    </w:tbl>
    <w:p>
      <w:pPr>
        <w:pStyle w:val="BodyText"/>
        <w:rPr/>
      </w:pPr>
      <w:r/>
    </w:p>
    <w:p>
      <w:pPr>
        <w:sectPr>
          <w:footerReference w:type="default" r:id="rId165"/>
          <w:pgSz w:w="16830" w:h="11900"/>
          <w:pgMar w:top="1011" w:right="1334" w:bottom="1108" w:left="1380" w:header="0" w:footer="775" w:gutter="0"/>
        </w:sectPr>
        <w:rPr/>
      </w:pPr>
    </w:p>
    <w:p>
      <w:pPr>
        <w:spacing w:before="20"/>
        <w:rPr/>
      </w:pPr>
      <w:r/>
    </w:p>
    <w:p>
      <w:pPr>
        <w:spacing w:before="20"/>
        <w:rPr/>
      </w:pPr>
      <w:r/>
    </w:p>
    <w:p>
      <w:pPr>
        <w:spacing w:before="19"/>
        <w:rPr/>
      </w:pPr>
      <w:r/>
    </w:p>
    <w:tbl>
      <w:tblPr>
        <w:tblStyle w:val="TableNormal"/>
        <w:tblW w:w="138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63"/>
        <w:gridCol w:w="6865"/>
        <w:gridCol w:w="4182"/>
      </w:tblGrid>
      <w:tr>
        <w:trPr>
          <w:trHeight w:val="1461" w:hRule="atLeast"/>
        </w:trPr>
        <w:tc>
          <w:tcPr>
            <w:tcW w:w="2763" w:type="dxa"/>
            <w:vAlign w:val="top"/>
          </w:tcPr>
          <w:p>
            <w:pPr>
              <w:spacing w:line="265" w:lineRule="auto"/>
              <w:rPr>
                <w:rFonts w:ascii="Arial"/>
                <w:sz w:val="21"/>
              </w:rPr>
            </w:pPr>
            <w:r/>
          </w:p>
          <w:p>
            <w:pPr>
              <w:spacing w:line="266" w:lineRule="auto"/>
              <w:rPr>
                <w:rFonts w:ascii="Arial"/>
                <w:sz w:val="21"/>
              </w:rPr>
            </w:pPr>
            <w:r/>
          </w:p>
          <w:p>
            <w:pPr>
              <w:pStyle w:val="TableText"/>
              <w:ind w:left="1138"/>
              <w:spacing w:before="78" w:line="221" w:lineRule="auto"/>
              <w:outlineLvl w:val="1"/>
              <w:rPr/>
            </w:pPr>
            <w:bookmarkStart w:name="bookmark823" w:id="138"/>
            <w:bookmarkEnd w:id="138"/>
            <w:bookmarkStart w:name="bookmark186" w:id="139"/>
            <w:bookmarkEnd w:id="139"/>
            <w:r>
              <w:rPr>
                <w:b/>
                <w:bCs/>
                <w:spacing w:val="-10"/>
              </w:rPr>
              <w:t>一般</w:t>
            </w:r>
          </w:p>
        </w:tc>
        <w:tc>
          <w:tcPr>
            <w:tcW w:w="6865" w:type="dxa"/>
            <w:vAlign w:val="top"/>
          </w:tcPr>
          <w:p>
            <w:pPr>
              <w:spacing w:line="266" w:lineRule="auto"/>
              <w:rPr>
                <w:rFonts w:ascii="Arial"/>
                <w:sz w:val="21"/>
              </w:rPr>
            </w:pPr>
            <w:r/>
          </w:p>
          <w:p>
            <w:pPr>
              <w:spacing w:line="266" w:lineRule="auto"/>
              <w:rPr>
                <w:rFonts w:ascii="Arial"/>
                <w:sz w:val="21"/>
              </w:rPr>
            </w:pPr>
            <w:r/>
          </w:p>
          <w:p>
            <w:pPr>
              <w:pStyle w:val="TableText"/>
              <w:ind w:left="112"/>
              <w:spacing w:before="78" w:line="219" w:lineRule="auto"/>
              <w:rPr/>
            </w:pPr>
            <w:r>
              <w:rPr/>
              <w:t>购进消毒产品未建立并执行进货检查验收制</w:t>
            </w:r>
            <w:r>
              <w:rPr>
                <w:spacing w:val="-1"/>
              </w:rPr>
              <w:t>度。</w:t>
            </w:r>
          </w:p>
        </w:tc>
        <w:tc>
          <w:tcPr>
            <w:tcW w:w="4182" w:type="dxa"/>
            <w:vAlign w:val="top"/>
          </w:tcPr>
          <w:p>
            <w:pPr>
              <w:spacing w:line="267" w:lineRule="auto"/>
              <w:rPr>
                <w:rFonts w:ascii="Arial"/>
                <w:sz w:val="21"/>
              </w:rPr>
            </w:pPr>
            <w:r/>
          </w:p>
          <w:p>
            <w:pPr>
              <w:spacing w:line="267" w:lineRule="auto"/>
              <w:rPr>
                <w:rFonts w:ascii="Arial"/>
                <w:sz w:val="21"/>
              </w:rPr>
            </w:pPr>
            <w:r/>
          </w:p>
          <w:p>
            <w:pPr>
              <w:pStyle w:val="TableText"/>
              <w:ind w:left="127"/>
              <w:spacing w:before="78" w:line="220" w:lineRule="auto"/>
              <w:rPr/>
            </w:pPr>
            <w:r>
              <w:rPr/>
              <w:t>处1000元以下罚款。</w:t>
            </w:r>
          </w:p>
        </w:tc>
      </w:tr>
      <w:tr>
        <w:trPr>
          <w:trHeight w:val="2988" w:hRule="atLeast"/>
        </w:trPr>
        <w:tc>
          <w:tcPr>
            <w:tcW w:w="2763"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138"/>
              <w:spacing w:before="78" w:line="220" w:lineRule="auto"/>
              <w:rPr/>
            </w:pPr>
            <w:r>
              <w:rPr>
                <w:b/>
                <w:bCs/>
                <w:spacing w:val="-6"/>
              </w:rPr>
              <w:t>严重</w:t>
            </w:r>
          </w:p>
        </w:tc>
        <w:tc>
          <w:tcPr>
            <w:tcW w:w="6865" w:type="dxa"/>
            <w:vAlign w:val="top"/>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12" w:right="493" w:firstLine="119"/>
              <w:spacing w:before="78" w:line="340" w:lineRule="auto"/>
              <w:rPr/>
            </w:pPr>
            <w:r>
              <w:rPr/>
              <w:t>(1)造成感染性疾病暴发，病例数5例以下；(2)造成感染性</w:t>
            </w:r>
            <w:r>
              <w:rPr>
                <w:spacing w:val="8"/>
              </w:rPr>
              <w:t xml:space="preserve"> </w:t>
            </w:r>
            <w:r>
              <w:rPr/>
              <w:t>疾病暴发，病例数超过5例。</w:t>
            </w:r>
          </w:p>
        </w:tc>
        <w:tc>
          <w:tcPr>
            <w:tcW w:w="4182" w:type="dxa"/>
            <w:vAlign w:val="top"/>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spacing w:before="78" w:line="220" w:lineRule="auto"/>
              <w:jc w:val="right"/>
              <w:rPr/>
            </w:pPr>
            <w:r>
              <w:rPr>
                <w:spacing w:val="5"/>
              </w:rPr>
              <w:t>(1)处5000元以上10000元以下罚款；</w:t>
            </w:r>
          </w:p>
          <w:p>
            <w:pPr>
              <w:pStyle w:val="TableText"/>
              <w:ind w:left="1856" w:right="426" w:hanging="1619"/>
              <w:spacing w:before="153" w:line="280" w:lineRule="auto"/>
              <w:rPr/>
            </w:pPr>
            <w:r>
              <w:rPr>
                <w:spacing w:val="1"/>
              </w:rPr>
              <w:t>(2)处10000元以上20000元以下罚</w:t>
            </w:r>
            <w:r>
              <w:rPr>
                <w:spacing w:val="6"/>
              </w:rPr>
              <w:t xml:space="preserve"> </w:t>
            </w:r>
            <w:r>
              <w:rPr/>
              <w:t>款。</w:t>
            </w:r>
          </w:p>
        </w:tc>
      </w:tr>
    </w:tbl>
    <w:p>
      <w:pPr>
        <w:ind w:left="39" w:right="84" w:firstLine="660"/>
        <w:spacing w:before="113" w:line="269" w:lineRule="auto"/>
        <w:jc w:val="both"/>
        <w:rPr>
          <w:rFonts w:ascii="FangSong" w:hAnsi="FangSong" w:eastAsia="FangSong" w:cs="FangSong"/>
          <w:sz w:val="30"/>
          <w:szCs w:val="30"/>
        </w:rPr>
      </w:pPr>
      <w:r>
        <w:rPr>
          <w:rFonts w:ascii="SimSun" w:hAnsi="SimSun" w:eastAsia="SimSun" w:cs="SimSun"/>
          <w:sz w:val="32"/>
          <w:szCs w:val="32"/>
          <w:b/>
          <w:bCs/>
        </w:rPr>
        <w:t>第八十六条医疗卫生机构的环境、物品不符合国家有关规范、标准和规定，排放废弃的污水、</w:t>
      </w:r>
      <w:r>
        <w:rPr>
          <w:rFonts w:ascii="SimSun" w:hAnsi="SimSun" w:eastAsia="SimSun" w:cs="SimSun"/>
          <w:sz w:val="32"/>
          <w:szCs w:val="32"/>
          <w:spacing w:val="11"/>
        </w:rPr>
        <w:t xml:space="preserve"> </w:t>
      </w:r>
      <w:r>
        <w:rPr>
          <w:rFonts w:ascii="FangSong" w:hAnsi="FangSong" w:eastAsia="FangSong" w:cs="FangSong"/>
          <w:sz w:val="30"/>
          <w:szCs w:val="30"/>
          <w:b/>
          <w:bCs/>
          <w:spacing w:val="17"/>
        </w:rPr>
        <w:t>污物未按照国家有关规定进行无害化处理，运送传染病病人及其污染物品的车辆、工具未随时进行</w:t>
      </w:r>
      <w:r>
        <w:rPr>
          <w:rFonts w:ascii="FangSong" w:hAnsi="FangSong" w:eastAsia="FangSong" w:cs="FangSong"/>
          <w:sz w:val="30"/>
          <w:szCs w:val="30"/>
          <w:spacing w:val="2"/>
        </w:rPr>
        <w:t xml:space="preserve">  </w:t>
      </w:r>
      <w:r>
        <w:rPr>
          <w:rFonts w:ascii="FangSong" w:hAnsi="FangSong" w:eastAsia="FangSong" w:cs="FangSong"/>
          <w:sz w:val="30"/>
          <w:szCs w:val="30"/>
          <w:b/>
          <w:bCs/>
          <w:spacing w:val="15"/>
        </w:rPr>
        <w:t>消毒处理的</w:t>
      </w:r>
    </w:p>
    <w:p>
      <w:pPr>
        <w:ind w:left="675"/>
        <w:spacing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35" w:firstLine="619"/>
        <w:spacing w:before="103" w:line="272" w:lineRule="auto"/>
        <w:jc w:val="both"/>
        <w:rPr>
          <w:rFonts w:ascii="FangSong" w:hAnsi="FangSong" w:eastAsia="FangSong" w:cs="FangSong"/>
          <w:sz w:val="30"/>
          <w:szCs w:val="30"/>
        </w:rPr>
      </w:pPr>
      <w:r>
        <w:rPr>
          <w:rFonts w:ascii="FangSong" w:hAnsi="FangSong" w:eastAsia="FangSong" w:cs="FangSong"/>
          <w:sz w:val="30"/>
          <w:szCs w:val="30"/>
          <w:spacing w:val="18"/>
        </w:rPr>
        <w:t>《消毒管理办法》第四十一条</w:t>
      </w:r>
      <w:r>
        <w:rPr>
          <w:rFonts w:ascii="FangSong" w:hAnsi="FangSong" w:eastAsia="FangSong" w:cs="FangSong"/>
          <w:sz w:val="30"/>
          <w:szCs w:val="30"/>
          <w:spacing w:val="18"/>
        </w:rPr>
        <w:t xml:space="preserve">  </w:t>
      </w:r>
      <w:r>
        <w:rPr>
          <w:rFonts w:ascii="FangSong" w:hAnsi="FangSong" w:eastAsia="FangSong" w:cs="FangSong"/>
          <w:sz w:val="30"/>
          <w:szCs w:val="30"/>
          <w:spacing w:val="18"/>
        </w:rPr>
        <w:t>医疗卫生机构违反本办法第四、五、六、七、八、九</w:t>
      </w:r>
      <w:r>
        <w:rPr>
          <w:rFonts w:ascii="FangSong" w:hAnsi="FangSong" w:eastAsia="FangSong" w:cs="FangSong"/>
          <w:sz w:val="30"/>
          <w:szCs w:val="30"/>
          <w:spacing w:val="17"/>
        </w:rPr>
        <w:t>条规定的，</w:t>
      </w:r>
      <w:r>
        <w:rPr>
          <w:rFonts w:ascii="FangSong" w:hAnsi="FangSong" w:eastAsia="FangSong" w:cs="FangSong"/>
          <w:sz w:val="30"/>
          <w:szCs w:val="30"/>
        </w:rPr>
        <w:t xml:space="preserve"> </w:t>
      </w:r>
      <w:r>
        <w:rPr>
          <w:rFonts w:ascii="FangSong" w:hAnsi="FangSong" w:eastAsia="FangSong" w:cs="FangSong"/>
          <w:sz w:val="30"/>
          <w:szCs w:val="30"/>
          <w:spacing w:val="18"/>
        </w:rPr>
        <w:t>由县级以上地方卫生计生行政部门责令限期改正，可以处5000元以下罚款；造</w:t>
      </w:r>
      <w:r>
        <w:rPr>
          <w:rFonts w:ascii="FangSong" w:hAnsi="FangSong" w:eastAsia="FangSong" w:cs="FangSong"/>
          <w:sz w:val="30"/>
          <w:szCs w:val="30"/>
          <w:spacing w:val="17"/>
        </w:rPr>
        <w:t>成感染性疾病暴发的，</w:t>
      </w:r>
      <w:r>
        <w:rPr>
          <w:rFonts w:ascii="FangSong" w:hAnsi="FangSong" w:eastAsia="FangSong" w:cs="FangSong"/>
          <w:sz w:val="30"/>
          <w:szCs w:val="30"/>
        </w:rPr>
        <w:t xml:space="preserve"> </w:t>
      </w:r>
      <w:r>
        <w:rPr>
          <w:rFonts w:ascii="FangSong" w:hAnsi="FangSong" w:eastAsia="FangSong" w:cs="FangSong"/>
          <w:sz w:val="30"/>
          <w:szCs w:val="30"/>
          <w:spacing w:val="26"/>
        </w:rPr>
        <w:t>可以处5000元以上20000元以下罚款。</w:t>
      </w:r>
    </w:p>
    <w:p>
      <w:pPr>
        <w:spacing w:line="272" w:lineRule="auto"/>
        <w:sectPr>
          <w:footerReference w:type="default" r:id="rId166"/>
          <w:pgSz w:w="16830" w:h="11900"/>
          <w:pgMar w:top="1011" w:right="1360" w:bottom="1115" w:left="1414" w:header="0" w:footer="773" w:gutter="0"/>
        </w:sectPr>
        <w:rPr>
          <w:rFonts w:ascii="FangSong" w:hAnsi="FangSong" w:eastAsia="FangSong" w:cs="FangSong"/>
          <w:sz w:val="30"/>
          <w:szCs w:val="30"/>
        </w:rPr>
      </w:pPr>
    </w:p>
    <w:p>
      <w:pPr>
        <w:pStyle w:val="BodyText"/>
        <w:spacing w:line="261" w:lineRule="auto"/>
        <w:rPr/>
      </w:pPr>
      <w:r/>
    </w:p>
    <w:p>
      <w:pPr>
        <w:pStyle w:val="BodyText"/>
        <w:spacing w:line="261" w:lineRule="auto"/>
        <w:rPr/>
      </w:pPr>
      <w:r/>
    </w:p>
    <w:p>
      <w:pPr>
        <w:pStyle w:val="BodyText"/>
        <w:spacing w:line="261" w:lineRule="auto"/>
        <w:rPr/>
      </w:pPr>
      <w:r/>
    </w:p>
    <w:p>
      <w:pPr>
        <w:ind w:left="665"/>
        <w:spacing w:before="97" w:line="221" w:lineRule="auto"/>
        <w:outlineLvl w:val="1"/>
        <w:rPr>
          <w:rFonts w:ascii="FangSong" w:hAnsi="FangSong" w:eastAsia="FangSong" w:cs="FangSong"/>
          <w:sz w:val="30"/>
          <w:szCs w:val="30"/>
        </w:rPr>
      </w:pPr>
      <w:bookmarkStart w:name="bookmark824" w:id="140"/>
      <w:bookmarkEnd w:id="140"/>
      <w:bookmarkStart w:name="bookmark186" w:id="141"/>
      <w:bookmarkEnd w:id="141"/>
      <w:r>
        <w:rPr>
          <w:rFonts w:ascii="FangSong" w:hAnsi="FangSong" w:eastAsia="FangSong" w:cs="FangSong"/>
          <w:sz w:val="30"/>
          <w:szCs w:val="30"/>
          <w:spacing w:val="16"/>
        </w:rPr>
        <w:t>《消毒管理办法》第八条</w:t>
      </w:r>
      <w:r>
        <w:rPr>
          <w:rFonts w:ascii="FangSong" w:hAnsi="FangSong" w:eastAsia="FangSong" w:cs="FangSong"/>
          <w:sz w:val="30"/>
          <w:szCs w:val="30"/>
          <w:spacing w:val="16"/>
        </w:rPr>
        <w:t xml:space="preserve">  </w:t>
      </w:r>
      <w:r>
        <w:rPr>
          <w:rFonts w:ascii="FangSong" w:hAnsi="FangSong" w:eastAsia="FangSong" w:cs="FangSong"/>
          <w:sz w:val="30"/>
          <w:szCs w:val="30"/>
          <w:spacing w:val="16"/>
        </w:rPr>
        <w:t>医疗卫生机构的环境、物品应当符合国家有关规范、标准和规定。排</w:t>
      </w:r>
    </w:p>
    <w:p>
      <w:pPr>
        <w:ind w:left="35"/>
        <w:spacing w:before="80" w:line="272" w:lineRule="auto"/>
        <w:rPr>
          <w:rFonts w:ascii="FangSong" w:hAnsi="FangSong" w:eastAsia="FangSong" w:cs="FangSong"/>
          <w:sz w:val="30"/>
          <w:szCs w:val="30"/>
        </w:rPr>
      </w:pPr>
      <w:r>
        <w:rPr>
          <w:rFonts w:ascii="FangSong" w:hAnsi="FangSong" w:eastAsia="FangSong" w:cs="FangSong"/>
          <w:sz w:val="30"/>
          <w:szCs w:val="30"/>
          <w:spacing w:val="19"/>
        </w:rPr>
        <w:t>放废弃的污水、污物应当按照国家有关规定进行无害化处理。</w:t>
      </w:r>
      <w:r>
        <w:rPr>
          <w:rFonts w:ascii="FangSong" w:hAnsi="FangSong" w:eastAsia="FangSong" w:cs="FangSong"/>
          <w:sz w:val="30"/>
          <w:szCs w:val="30"/>
          <w:spacing w:val="18"/>
        </w:rPr>
        <w:t>运送传染病病人及其污染物品的车辆、</w:t>
      </w:r>
      <w:r>
        <w:rPr>
          <w:rFonts w:ascii="FangSong" w:hAnsi="FangSong" w:eastAsia="FangSong" w:cs="FangSong"/>
          <w:sz w:val="30"/>
          <w:szCs w:val="30"/>
        </w:rPr>
        <w:t xml:space="preserve"> </w:t>
      </w:r>
      <w:r>
        <w:rPr>
          <w:rFonts w:ascii="FangSong" w:hAnsi="FangSong" w:eastAsia="FangSong" w:cs="FangSong"/>
          <w:sz w:val="30"/>
          <w:szCs w:val="30"/>
          <w:spacing w:val="13"/>
        </w:rPr>
        <w:t>工具必须随时进行消毒处理。</w:t>
      </w:r>
    </w:p>
    <w:p>
      <w:pPr>
        <w:ind w:left="6379"/>
        <w:spacing w:before="4"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70" w:lineRule="exact"/>
        <w:rPr/>
      </w:pPr>
      <w:r/>
    </w:p>
    <w:tbl>
      <w:tblPr>
        <w:tblStyle w:val="TableNormal"/>
        <w:tblW w:w="13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54"/>
        <w:gridCol w:w="7704"/>
        <w:gridCol w:w="4112"/>
      </w:tblGrid>
      <w:tr>
        <w:trPr>
          <w:trHeight w:val="823" w:hRule="atLeast"/>
        </w:trPr>
        <w:tc>
          <w:tcPr>
            <w:tcW w:w="2054" w:type="dxa"/>
            <w:vAlign w:val="top"/>
          </w:tcPr>
          <w:p>
            <w:pPr>
              <w:pStyle w:val="TableText"/>
              <w:ind w:left="538"/>
              <w:spacing w:before="172" w:line="220" w:lineRule="auto"/>
              <w:rPr/>
            </w:pPr>
            <w:r>
              <w:rPr>
                <w:b/>
                <w:bCs/>
                <w:spacing w:val="-5"/>
              </w:rPr>
              <w:t>违法程度</w:t>
            </w:r>
          </w:p>
        </w:tc>
        <w:tc>
          <w:tcPr>
            <w:tcW w:w="7704" w:type="dxa"/>
            <w:vAlign w:val="top"/>
          </w:tcPr>
          <w:p>
            <w:pPr>
              <w:pStyle w:val="TableText"/>
              <w:ind w:left="3284"/>
              <w:spacing w:before="172" w:line="220" w:lineRule="auto"/>
              <w:rPr/>
            </w:pPr>
            <w:r>
              <w:rPr>
                <w:b/>
                <w:bCs/>
                <w:spacing w:val="-5"/>
              </w:rPr>
              <w:t>情节后果</w:t>
            </w:r>
          </w:p>
        </w:tc>
        <w:tc>
          <w:tcPr>
            <w:tcW w:w="4112" w:type="dxa"/>
            <w:vAlign w:val="top"/>
          </w:tcPr>
          <w:p>
            <w:pPr>
              <w:pStyle w:val="TableText"/>
              <w:ind w:left="1480"/>
              <w:spacing w:before="16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769" w:hRule="atLeast"/>
        </w:trPr>
        <w:tc>
          <w:tcPr>
            <w:tcW w:w="2054"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778"/>
              <w:spacing w:before="78" w:line="221" w:lineRule="auto"/>
              <w:rPr/>
            </w:pPr>
            <w:r>
              <w:rPr>
                <w:b/>
                <w:bCs/>
                <w:spacing w:val="-10"/>
              </w:rPr>
              <w:t>一般</w:t>
            </w:r>
          </w:p>
        </w:tc>
        <w:tc>
          <w:tcPr>
            <w:tcW w:w="7704" w:type="dxa"/>
            <w:vAlign w:val="top"/>
          </w:tcPr>
          <w:p>
            <w:pPr>
              <w:pStyle w:val="TableText"/>
              <w:ind w:left="101"/>
              <w:spacing w:before="170" w:line="219" w:lineRule="auto"/>
              <w:rPr/>
            </w:pPr>
            <w:r>
              <w:rPr>
                <w:spacing w:val="4"/>
              </w:rPr>
              <w:t>医疗卫生机构的环境、物品不符合国家有关规范、标准和规定；</w:t>
            </w:r>
          </w:p>
        </w:tc>
        <w:tc>
          <w:tcPr>
            <w:tcW w:w="4112" w:type="dxa"/>
            <w:vAlign w:val="top"/>
            <w:vMerge w:val="restart"/>
            <w:tcBorders>
              <w:bottom w:val="nil"/>
            </w:tcBorders>
          </w:tcPr>
          <w:p>
            <w:pPr>
              <w:spacing w:line="272" w:lineRule="auto"/>
              <w:rPr>
                <w:rFonts w:ascii="Arial"/>
                <w:sz w:val="21"/>
              </w:rPr>
            </w:pPr>
            <w:r/>
          </w:p>
          <w:p>
            <w:pPr>
              <w:pStyle w:val="TableText"/>
              <w:ind w:left="107"/>
              <w:spacing w:before="78" w:line="220" w:lineRule="auto"/>
              <w:rPr/>
            </w:pPr>
            <w:r>
              <w:rPr/>
              <w:t>有(1)或(2)的情形，可以处3000</w:t>
            </w:r>
          </w:p>
          <w:p>
            <w:pPr>
              <w:pStyle w:val="TableText"/>
              <w:ind w:left="687"/>
              <w:spacing w:before="154" w:line="220" w:lineRule="auto"/>
              <w:rPr/>
            </w:pPr>
            <w:r>
              <w:rPr>
                <w:spacing w:val="9"/>
              </w:rPr>
              <w:t>元以上5000元以下罚款；</w:t>
            </w:r>
          </w:p>
        </w:tc>
      </w:tr>
      <w:tr>
        <w:trPr>
          <w:trHeight w:val="798" w:hRule="atLeast"/>
        </w:trPr>
        <w:tc>
          <w:tcPr>
            <w:tcW w:w="2054" w:type="dxa"/>
            <w:vAlign w:val="top"/>
            <w:vMerge w:val="continue"/>
            <w:tcBorders>
              <w:top w:val="nil"/>
              <w:bottom w:val="nil"/>
            </w:tcBorders>
          </w:tcPr>
          <w:p>
            <w:pPr>
              <w:rPr>
                <w:rFonts w:ascii="Arial"/>
                <w:sz w:val="21"/>
              </w:rPr>
            </w:pPr>
            <w:r/>
          </w:p>
        </w:tc>
        <w:tc>
          <w:tcPr>
            <w:tcW w:w="7704" w:type="dxa"/>
            <w:vAlign w:val="top"/>
          </w:tcPr>
          <w:p>
            <w:pPr>
              <w:pStyle w:val="TableText"/>
              <w:ind w:left="101"/>
              <w:spacing w:before="172" w:line="219" w:lineRule="auto"/>
              <w:rPr/>
            </w:pPr>
            <w:r>
              <w:rPr>
                <w:spacing w:val="4"/>
              </w:rPr>
              <w:t>排放废弃的污水、污物未按照国家有关规定进行无害化处理；</w:t>
            </w:r>
          </w:p>
        </w:tc>
        <w:tc>
          <w:tcPr>
            <w:tcW w:w="4112" w:type="dxa"/>
            <w:vAlign w:val="top"/>
            <w:vMerge w:val="continue"/>
            <w:tcBorders>
              <w:top w:val="nil"/>
            </w:tcBorders>
          </w:tcPr>
          <w:p>
            <w:pPr>
              <w:rPr>
                <w:rFonts w:ascii="Arial"/>
                <w:sz w:val="21"/>
              </w:rPr>
            </w:pPr>
            <w:r/>
          </w:p>
        </w:tc>
      </w:tr>
      <w:tr>
        <w:trPr>
          <w:trHeight w:val="768" w:hRule="atLeast"/>
        </w:trPr>
        <w:tc>
          <w:tcPr>
            <w:tcW w:w="2054" w:type="dxa"/>
            <w:vAlign w:val="top"/>
            <w:vMerge w:val="continue"/>
            <w:tcBorders>
              <w:top w:val="nil"/>
            </w:tcBorders>
          </w:tcPr>
          <w:p>
            <w:pPr>
              <w:rPr>
                <w:rFonts w:ascii="Arial"/>
                <w:sz w:val="21"/>
              </w:rPr>
            </w:pPr>
            <w:r/>
          </w:p>
        </w:tc>
        <w:tc>
          <w:tcPr>
            <w:tcW w:w="7704" w:type="dxa"/>
            <w:vAlign w:val="top"/>
          </w:tcPr>
          <w:p>
            <w:pPr>
              <w:pStyle w:val="TableText"/>
              <w:ind w:left="101"/>
              <w:spacing w:before="143" w:line="219" w:lineRule="auto"/>
              <w:rPr/>
            </w:pPr>
            <w:r>
              <w:rPr/>
              <w:t>运送传染病病人及其污染物品的车辆、工具未随时进行消毒处理。</w:t>
            </w:r>
          </w:p>
        </w:tc>
        <w:tc>
          <w:tcPr>
            <w:tcW w:w="4112" w:type="dxa"/>
            <w:vAlign w:val="top"/>
          </w:tcPr>
          <w:p>
            <w:pPr>
              <w:pStyle w:val="TableText"/>
              <w:ind w:left="97"/>
              <w:spacing w:before="145" w:line="220" w:lineRule="auto"/>
              <w:rPr/>
            </w:pPr>
            <w:r>
              <w:rPr>
                <w:spacing w:val="-1"/>
              </w:rPr>
              <w:t>处2000元以上3000元以下罚款。</w:t>
            </w:r>
          </w:p>
        </w:tc>
      </w:tr>
      <w:tr>
        <w:trPr>
          <w:trHeight w:val="769" w:hRule="atLeast"/>
        </w:trPr>
        <w:tc>
          <w:tcPr>
            <w:tcW w:w="2054" w:type="dxa"/>
            <w:vAlign w:val="top"/>
            <w:vMerge w:val="restart"/>
            <w:tcBorders>
              <w:bottom w:val="nil"/>
            </w:tcBorders>
          </w:tcPr>
          <w:p>
            <w:pPr>
              <w:spacing w:line="291" w:lineRule="auto"/>
              <w:rPr>
                <w:rFonts w:ascii="Arial"/>
                <w:sz w:val="21"/>
              </w:rPr>
            </w:pPr>
            <w:r/>
          </w:p>
          <w:p>
            <w:pPr>
              <w:spacing w:line="291" w:lineRule="auto"/>
              <w:rPr>
                <w:rFonts w:ascii="Arial"/>
                <w:sz w:val="21"/>
              </w:rPr>
            </w:pPr>
            <w:r/>
          </w:p>
          <w:p>
            <w:pPr>
              <w:pStyle w:val="TableText"/>
              <w:ind w:left="778"/>
              <w:spacing w:before="78" w:line="220" w:lineRule="auto"/>
              <w:rPr/>
            </w:pPr>
            <w:r>
              <w:rPr>
                <w:b/>
                <w:bCs/>
                <w:spacing w:val="-6"/>
              </w:rPr>
              <w:t>严重</w:t>
            </w:r>
          </w:p>
        </w:tc>
        <w:tc>
          <w:tcPr>
            <w:tcW w:w="7704" w:type="dxa"/>
            <w:vAlign w:val="top"/>
          </w:tcPr>
          <w:p>
            <w:pPr>
              <w:pStyle w:val="TableText"/>
              <w:ind w:left="101"/>
              <w:spacing w:before="155" w:line="219" w:lineRule="auto"/>
              <w:rPr/>
            </w:pPr>
            <w:r>
              <w:rPr>
                <w:spacing w:val="6"/>
              </w:rPr>
              <w:t>造成感染性疾病暴发，病例数5例以下；</w:t>
            </w:r>
          </w:p>
        </w:tc>
        <w:tc>
          <w:tcPr>
            <w:tcW w:w="4112" w:type="dxa"/>
            <w:vAlign w:val="top"/>
          </w:tcPr>
          <w:p>
            <w:pPr>
              <w:pStyle w:val="TableText"/>
              <w:ind w:left="97"/>
              <w:spacing w:before="157" w:line="220" w:lineRule="auto"/>
              <w:rPr/>
            </w:pPr>
            <w:r>
              <w:rPr>
                <w:spacing w:val="6"/>
              </w:rPr>
              <w:t>处5000元以上10000元以下罚款；</w:t>
            </w:r>
          </w:p>
        </w:tc>
      </w:tr>
      <w:tr>
        <w:trPr>
          <w:trHeight w:val="773" w:hRule="atLeast"/>
        </w:trPr>
        <w:tc>
          <w:tcPr>
            <w:tcW w:w="2054" w:type="dxa"/>
            <w:vAlign w:val="top"/>
            <w:vMerge w:val="continue"/>
            <w:tcBorders>
              <w:top w:val="nil"/>
            </w:tcBorders>
          </w:tcPr>
          <w:p>
            <w:pPr>
              <w:rPr>
                <w:rFonts w:ascii="Arial"/>
                <w:sz w:val="21"/>
              </w:rPr>
            </w:pPr>
            <w:r/>
          </w:p>
        </w:tc>
        <w:tc>
          <w:tcPr>
            <w:tcW w:w="7704" w:type="dxa"/>
            <w:vAlign w:val="top"/>
          </w:tcPr>
          <w:p>
            <w:pPr>
              <w:pStyle w:val="TableText"/>
              <w:ind w:left="101"/>
              <w:spacing w:before="156" w:line="219" w:lineRule="auto"/>
              <w:rPr/>
            </w:pPr>
            <w:r>
              <w:rPr>
                <w:spacing w:val="-1"/>
              </w:rPr>
              <w:t>造成感染性疾病暴发，病例数超过5例。</w:t>
            </w:r>
          </w:p>
        </w:tc>
        <w:tc>
          <w:tcPr>
            <w:tcW w:w="4112" w:type="dxa"/>
            <w:vAlign w:val="top"/>
          </w:tcPr>
          <w:p>
            <w:pPr>
              <w:pStyle w:val="TableText"/>
              <w:ind w:left="97"/>
              <w:spacing w:before="158" w:line="220" w:lineRule="auto"/>
              <w:rPr/>
            </w:pPr>
            <w:r>
              <w:rPr/>
              <w:t>处10000元以上20000元以下罚款。</w:t>
            </w:r>
          </w:p>
        </w:tc>
      </w:tr>
    </w:tbl>
    <w:p>
      <w:pPr>
        <w:ind w:left="39" w:right="134" w:firstLine="649"/>
        <w:spacing w:before="91" w:line="275" w:lineRule="auto"/>
        <w:rPr>
          <w:rFonts w:ascii="KaiTi" w:hAnsi="KaiTi" w:eastAsia="KaiTi" w:cs="KaiTi"/>
          <w:sz w:val="30"/>
          <w:szCs w:val="30"/>
        </w:rPr>
      </w:pPr>
      <w:r>
        <w:rPr>
          <w:rFonts w:ascii="KaiTi" w:hAnsi="KaiTi" w:eastAsia="KaiTi" w:cs="KaiTi"/>
          <w:sz w:val="30"/>
          <w:szCs w:val="30"/>
          <w:b/>
          <w:bCs/>
          <w:spacing w:val="20"/>
        </w:rPr>
        <w:t>第八十七条医疗卫生机构发生感染性疾病暴发、流</w:t>
      </w:r>
      <w:r>
        <w:rPr>
          <w:rFonts w:ascii="KaiTi" w:hAnsi="KaiTi" w:eastAsia="KaiTi" w:cs="KaiTi"/>
          <w:sz w:val="30"/>
          <w:szCs w:val="30"/>
          <w:b/>
          <w:bCs/>
          <w:spacing w:val="19"/>
        </w:rPr>
        <w:t>行时，未及时报告当地卫生计生行政部门，</w:t>
      </w:r>
      <w:r>
        <w:rPr>
          <w:rFonts w:ascii="KaiTi" w:hAnsi="KaiTi" w:eastAsia="KaiTi" w:cs="KaiTi"/>
          <w:sz w:val="30"/>
          <w:szCs w:val="30"/>
        </w:rPr>
        <w:t xml:space="preserve"> </w:t>
      </w:r>
      <w:r>
        <w:rPr>
          <w:rFonts w:ascii="KaiTi" w:hAnsi="KaiTi" w:eastAsia="KaiTi" w:cs="KaiTi"/>
          <w:sz w:val="30"/>
          <w:szCs w:val="30"/>
          <w:b/>
          <w:bCs/>
          <w:spacing w:val="15"/>
        </w:rPr>
        <w:t>并采取有效消毒措施的</w:t>
      </w:r>
    </w:p>
    <w:p>
      <w:pPr>
        <w:ind w:left="654"/>
        <w:spacing w:before="1"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spacing w:line="222" w:lineRule="auto"/>
        <w:sectPr>
          <w:footerReference w:type="default" r:id="rId167"/>
          <w:pgSz w:w="16830" w:h="11900"/>
          <w:pgMar w:top="1011" w:right="1359" w:bottom="1118" w:left="1414" w:header="0" w:footer="785" w:gutter="0"/>
        </w:sectPr>
        <w:rPr>
          <w:rFonts w:ascii="FangSong" w:hAnsi="FangSong" w:eastAsia="FangSong" w:cs="FangSong"/>
          <w:sz w:val="30"/>
          <w:szCs w:val="30"/>
        </w:rPr>
      </w:pPr>
    </w:p>
    <w:p>
      <w:pPr>
        <w:pStyle w:val="BodyText"/>
        <w:spacing w:line="260" w:lineRule="auto"/>
        <w:rPr/>
      </w:pPr>
      <w:r/>
    </w:p>
    <w:p>
      <w:pPr>
        <w:pStyle w:val="BodyText"/>
        <w:spacing w:line="260" w:lineRule="auto"/>
        <w:rPr/>
      </w:pPr>
      <w:r/>
    </w:p>
    <w:p>
      <w:pPr>
        <w:pStyle w:val="BodyText"/>
        <w:spacing w:line="261" w:lineRule="auto"/>
        <w:rPr/>
      </w:pPr>
      <w:r/>
    </w:p>
    <w:p>
      <w:pPr>
        <w:spacing w:before="100" w:line="222" w:lineRule="auto"/>
        <w:outlineLvl w:val="1"/>
        <w:jc w:val="right"/>
        <w:rPr>
          <w:rFonts w:ascii="FangSong" w:hAnsi="FangSong" w:eastAsia="FangSong" w:cs="FangSong"/>
          <w:sz w:val="31"/>
          <w:szCs w:val="31"/>
        </w:rPr>
      </w:pPr>
      <w:bookmarkStart w:name="bookmark825" w:id="142"/>
      <w:bookmarkEnd w:id="142"/>
      <w:bookmarkStart w:name="bookmark186" w:id="143"/>
      <w:bookmarkEnd w:id="143"/>
      <w:r>
        <w:rPr>
          <w:rFonts w:ascii="FangSong" w:hAnsi="FangSong" w:eastAsia="FangSong" w:cs="FangSong"/>
          <w:sz w:val="31"/>
          <w:szCs w:val="31"/>
          <w:spacing w:val="9"/>
        </w:rPr>
        <w:t>《消毒管理办法》第四十一条</w:t>
      </w:r>
      <w:r>
        <w:rPr>
          <w:rFonts w:ascii="FangSong" w:hAnsi="FangSong" w:eastAsia="FangSong" w:cs="FangSong"/>
          <w:sz w:val="31"/>
          <w:szCs w:val="31"/>
          <w:spacing w:val="155"/>
        </w:rPr>
        <w:t xml:space="preserve"> </w:t>
      </w:r>
      <w:r>
        <w:rPr>
          <w:rFonts w:ascii="FangSong" w:hAnsi="FangSong" w:eastAsia="FangSong" w:cs="FangSong"/>
          <w:sz w:val="31"/>
          <w:szCs w:val="31"/>
          <w:spacing w:val="9"/>
        </w:rPr>
        <w:t>医疗卫生机构违反本办法第四、五、六、七、八、九条规定的，</w:t>
      </w:r>
    </w:p>
    <w:p>
      <w:pPr>
        <w:ind w:left="14"/>
        <w:spacing w:before="65" w:line="262" w:lineRule="auto"/>
        <w:rPr>
          <w:rFonts w:ascii="FangSong" w:hAnsi="FangSong" w:eastAsia="FangSong" w:cs="FangSong"/>
          <w:sz w:val="31"/>
          <w:szCs w:val="31"/>
        </w:rPr>
      </w:pPr>
      <w:r>
        <w:rPr>
          <w:rFonts w:ascii="FangSong" w:hAnsi="FangSong" w:eastAsia="FangSong" w:cs="FangSong"/>
          <w:sz w:val="31"/>
          <w:szCs w:val="31"/>
          <w:spacing w:val="8"/>
        </w:rPr>
        <w:t>由县级以上地方卫生计生行政部门责令限期改正，可以处5000元以下罚款；造成感染性疾病暴发的，</w:t>
      </w:r>
      <w:r>
        <w:rPr>
          <w:rFonts w:ascii="FangSong" w:hAnsi="FangSong" w:eastAsia="FangSong" w:cs="FangSong"/>
          <w:sz w:val="31"/>
          <w:szCs w:val="31"/>
          <w:spacing w:val="15"/>
        </w:rPr>
        <w:t xml:space="preserve"> </w:t>
      </w:r>
      <w:r>
        <w:rPr>
          <w:rFonts w:ascii="FangSong" w:hAnsi="FangSong" w:eastAsia="FangSong" w:cs="FangSong"/>
          <w:sz w:val="31"/>
          <w:szCs w:val="31"/>
          <w:spacing w:val="18"/>
        </w:rPr>
        <w:t>可以处5000元以上20000元以下罚款。</w:t>
      </w:r>
    </w:p>
    <w:p>
      <w:pPr>
        <w:ind w:left="14" w:right="69" w:firstLine="635"/>
        <w:spacing w:before="3" w:line="261" w:lineRule="auto"/>
        <w:rPr>
          <w:rFonts w:ascii="FangSong" w:hAnsi="FangSong" w:eastAsia="FangSong" w:cs="FangSong"/>
          <w:sz w:val="31"/>
          <w:szCs w:val="31"/>
        </w:rPr>
      </w:pPr>
      <w:r>
        <w:rPr>
          <w:rFonts w:ascii="FangSong" w:hAnsi="FangSong" w:eastAsia="FangSong" w:cs="FangSong"/>
          <w:sz w:val="31"/>
          <w:szCs w:val="31"/>
          <w:spacing w:val="7"/>
        </w:rPr>
        <w:t>《消毒管理办法》第九条</w:t>
      </w:r>
      <w:r>
        <w:rPr>
          <w:rFonts w:ascii="FangSong" w:hAnsi="FangSong" w:eastAsia="FangSong" w:cs="FangSong"/>
          <w:sz w:val="31"/>
          <w:szCs w:val="31"/>
          <w:spacing w:val="7"/>
        </w:rPr>
        <w:t xml:space="preserve">  </w:t>
      </w:r>
      <w:r>
        <w:rPr>
          <w:rFonts w:ascii="FangSong" w:hAnsi="FangSong" w:eastAsia="FangSong" w:cs="FangSong"/>
          <w:sz w:val="31"/>
          <w:szCs w:val="31"/>
          <w:spacing w:val="7"/>
        </w:rPr>
        <w:t>医疗卫生机构发生感染性疾病暴发、流行时，应当及时报告当地</w:t>
      </w:r>
      <w:r>
        <w:rPr>
          <w:rFonts w:ascii="FangSong" w:hAnsi="FangSong" w:eastAsia="FangSong" w:cs="FangSong"/>
          <w:sz w:val="31"/>
          <w:szCs w:val="31"/>
          <w:spacing w:val="6"/>
        </w:rPr>
        <w:t>卫生</w:t>
      </w:r>
      <w:r>
        <w:rPr>
          <w:rFonts w:ascii="FangSong" w:hAnsi="FangSong" w:eastAsia="FangSong" w:cs="FangSong"/>
          <w:sz w:val="31"/>
          <w:szCs w:val="31"/>
        </w:rPr>
        <w:t xml:space="preserve"> </w:t>
      </w:r>
      <w:r>
        <w:rPr>
          <w:rFonts w:ascii="FangSong" w:hAnsi="FangSong" w:eastAsia="FangSong" w:cs="FangSong"/>
          <w:sz w:val="31"/>
          <w:szCs w:val="31"/>
          <w:spacing w:val="6"/>
        </w:rPr>
        <w:t>计生行政部门，并采取有效消毒措施。</w:t>
      </w:r>
    </w:p>
    <w:p>
      <w:pPr>
        <w:ind w:left="6168"/>
        <w:spacing w:before="2"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8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94"/>
        <w:gridCol w:w="7584"/>
        <w:gridCol w:w="4432"/>
      </w:tblGrid>
      <w:tr>
        <w:trPr>
          <w:trHeight w:val="853" w:hRule="atLeast"/>
        </w:trPr>
        <w:tc>
          <w:tcPr>
            <w:tcW w:w="1794" w:type="dxa"/>
            <w:vAlign w:val="top"/>
          </w:tcPr>
          <w:p>
            <w:pPr>
              <w:pStyle w:val="TableText"/>
              <w:ind w:left="318"/>
              <w:spacing w:before="312" w:line="220" w:lineRule="auto"/>
              <w:rPr/>
            </w:pPr>
            <w:r>
              <w:rPr>
                <w:b/>
                <w:bCs/>
                <w:spacing w:val="46"/>
              </w:rPr>
              <w:t>违法程度</w:t>
            </w:r>
          </w:p>
        </w:tc>
        <w:tc>
          <w:tcPr>
            <w:tcW w:w="7584" w:type="dxa"/>
            <w:vAlign w:val="top"/>
          </w:tcPr>
          <w:p>
            <w:pPr>
              <w:pStyle w:val="TableText"/>
              <w:ind w:left="3224"/>
              <w:spacing w:before="312" w:line="220" w:lineRule="auto"/>
              <w:rPr/>
            </w:pPr>
            <w:r>
              <w:rPr>
                <w:b/>
                <w:bCs/>
                <w:spacing w:val="-5"/>
              </w:rPr>
              <w:t>情节后果</w:t>
            </w:r>
          </w:p>
        </w:tc>
        <w:tc>
          <w:tcPr>
            <w:tcW w:w="4432" w:type="dxa"/>
            <w:vAlign w:val="top"/>
          </w:tcPr>
          <w:p>
            <w:pPr>
              <w:pStyle w:val="TableText"/>
              <w:ind w:left="1660"/>
              <w:spacing w:before="309" w:line="218" w:lineRule="auto"/>
              <w:rPr/>
            </w:pPr>
            <w:r>
              <w:rPr>
                <w:b/>
                <w:bCs/>
                <w:spacing w:val="-5"/>
              </w:rPr>
              <w:t>裁量幅度</w:t>
            </w:r>
          </w:p>
        </w:tc>
      </w:tr>
      <w:tr>
        <w:trPr>
          <w:trHeight w:val="1087" w:hRule="atLeast"/>
        </w:trPr>
        <w:tc>
          <w:tcPr>
            <w:tcW w:w="1794" w:type="dxa"/>
            <w:vAlign w:val="top"/>
            <w:vMerge w:val="restart"/>
            <w:tcBorders>
              <w:bottom w:val="nil"/>
            </w:tcBorders>
          </w:tcPr>
          <w:p>
            <w:pPr>
              <w:spacing w:line="333" w:lineRule="auto"/>
              <w:rPr>
                <w:rFonts w:ascii="Arial"/>
                <w:sz w:val="21"/>
              </w:rPr>
            </w:pPr>
            <w:r/>
          </w:p>
          <w:p>
            <w:pPr>
              <w:spacing w:line="334" w:lineRule="auto"/>
              <w:rPr>
                <w:rFonts w:ascii="Arial"/>
                <w:sz w:val="21"/>
              </w:rPr>
            </w:pPr>
            <w:r/>
          </w:p>
          <w:p>
            <w:pPr>
              <w:pStyle w:val="TableText"/>
              <w:ind w:left="648"/>
              <w:spacing w:before="78" w:line="221" w:lineRule="auto"/>
              <w:rPr/>
            </w:pPr>
            <w:r>
              <w:rPr>
                <w:b/>
                <w:bCs/>
                <w:spacing w:val="-10"/>
              </w:rPr>
              <w:t>一般</w:t>
            </w:r>
          </w:p>
        </w:tc>
        <w:tc>
          <w:tcPr>
            <w:tcW w:w="7584" w:type="dxa"/>
            <w:vAlign w:val="top"/>
          </w:tcPr>
          <w:p>
            <w:pPr>
              <w:pStyle w:val="TableText"/>
              <w:ind w:left="80"/>
              <w:spacing w:before="99" w:line="218" w:lineRule="auto"/>
              <w:rPr/>
            </w:pPr>
            <w:r>
              <w:rPr/>
              <w:t>医疗卫生机构发生感染性疾病暴发、流行时，未及时报告当地卫生行政</w:t>
            </w:r>
          </w:p>
          <w:p>
            <w:pPr>
              <w:pStyle w:val="TableText"/>
              <w:ind w:left="80"/>
              <w:spacing w:before="158" w:line="219" w:lineRule="auto"/>
              <w:rPr/>
            </w:pPr>
            <w:r>
              <w:rPr>
                <w:color w:val="404040"/>
                <w:spacing w:val="-17"/>
              </w:rPr>
              <w:t>部</w:t>
            </w:r>
            <w:r>
              <w:rPr>
                <w:color w:val="404040"/>
                <w:spacing w:val="11"/>
              </w:rPr>
              <w:t xml:space="preserve"> </w:t>
            </w:r>
            <w:r>
              <w:rPr>
                <w:color w:val="404040"/>
                <w:spacing w:val="-17"/>
              </w:rPr>
              <w:t>门</w:t>
            </w:r>
            <w:r>
              <w:rPr>
                <w:color w:val="404040"/>
                <w:spacing w:val="-25"/>
              </w:rPr>
              <w:t xml:space="preserve"> </w:t>
            </w:r>
            <w:r>
              <w:rPr>
                <w:color w:val="404040"/>
                <w:spacing w:val="-17"/>
              </w:rPr>
              <w:t>；</w:t>
            </w:r>
          </w:p>
        </w:tc>
        <w:tc>
          <w:tcPr>
            <w:tcW w:w="4432" w:type="dxa"/>
            <w:vAlign w:val="top"/>
          </w:tcPr>
          <w:p>
            <w:pPr>
              <w:spacing w:line="253" w:lineRule="auto"/>
              <w:rPr>
                <w:rFonts w:ascii="Arial"/>
                <w:sz w:val="21"/>
              </w:rPr>
            </w:pPr>
            <w:r/>
          </w:p>
          <w:p>
            <w:pPr>
              <w:pStyle w:val="TableText"/>
              <w:ind w:left="106"/>
              <w:spacing w:before="78" w:line="220" w:lineRule="auto"/>
              <w:rPr/>
            </w:pPr>
            <w:r>
              <w:rPr>
                <w:spacing w:val="6"/>
              </w:rPr>
              <w:t>处2000元以上3000元以下罚款；</w:t>
            </w:r>
          </w:p>
        </w:tc>
      </w:tr>
      <w:tr>
        <w:trPr>
          <w:trHeight w:val="628" w:hRule="atLeast"/>
        </w:trPr>
        <w:tc>
          <w:tcPr>
            <w:tcW w:w="1794" w:type="dxa"/>
            <w:vAlign w:val="top"/>
            <w:vMerge w:val="continue"/>
            <w:tcBorders>
              <w:top w:val="nil"/>
            </w:tcBorders>
          </w:tcPr>
          <w:p>
            <w:pPr>
              <w:rPr>
                <w:rFonts w:ascii="Arial"/>
                <w:sz w:val="21"/>
              </w:rPr>
            </w:pPr>
            <w:r/>
          </w:p>
        </w:tc>
        <w:tc>
          <w:tcPr>
            <w:tcW w:w="7584" w:type="dxa"/>
            <w:vAlign w:val="top"/>
          </w:tcPr>
          <w:p>
            <w:pPr>
              <w:pStyle w:val="TableText"/>
              <w:ind w:left="84"/>
              <w:spacing w:before="79" w:line="219" w:lineRule="auto"/>
              <w:rPr/>
            </w:pPr>
            <w:r>
              <w:rPr>
                <w:b/>
                <w:bCs/>
                <w:spacing w:val="-3"/>
              </w:rPr>
              <w:t>医疗卫生机构发生感染性疾病暴发、流行时，未采取有效消毒措施。</w:t>
            </w:r>
          </w:p>
        </w:tc>
        <w:tc>
          <w:tcPr>
            <w:tcW w:w="4432" w:type="dxa"/>
            <w:vAlign w:val="top"/>
          </w:tcPr>
          <w:p>
            <w:pPr>
              <w:pStyle w:val="TableText"/>
              <w:ind w:left="106"/>
              <w:spacing w:before="85" w:line="220" w:lineRule="auto"/>
              <w:rPr/>
            </w:pPr>
            <w:r>
              <w:rPr>
                <w:spacing w:val="-1"/>
              </w:rPr>
              <w:t>处3000元以上5000元以下罚款。</w:t>
            </w:r>
          </w:p>
        </w:tc>
      </w:tr>
      <w:tr>
        <w:trPr>
          <w:trHeight w:val="798" w:hRule="atLeast"/>
        </w:trPr>
        <w:tc>
          <w:tcPr>
            <w:tcW w:w="1794" w:type="dxa"/>
            <w:vAlign w:val="top"/>
            <w:vMerge w:val="restart"/>
            <w:tcBorders>
              <w:bottom w:val="nil"/>
            </w:tcBorders>
          </w:tcPr>
          <w:p>
            <w:pPr>
              <w:spacing w:line="296" w:lineRule="auto"/>
              <w:rPr>
                <w:rFonts w:ascii="Arial"/>
                <w:sz w:val="21"/>
              </w:rPr>
            </w:pPr>
            <w:r/>
          </w:p>
          <w:p>
            <w:pPr>
              <w:spacing w:line="296" w:lineRule="auto"/>
              <w:rPr>
                <w:rFonts w:ascii="Arial"/>
                <w:sz w:val="21"/>
              </w:rPr>
            </w:pPr>
            <w:r/>
          </w:p>
          <w:p>
            <w:pPr>
              <w:pStyle w:val="TableText"/>
              <w:ind w:left="648"/>
              <w:spacing w:before="78" w:line="220" w:lineRule="auto"/>
              <w:rPr/>
            </w:pPr>
            <w:r>
              <w:rPr>
                <w:b/>
                <w:bCs/>
                <w:spacing w:val="-6"/>
              </w:rPr>
              <w:t>严重</w:t>
            </w:r>
          </w:p>
        </w:tc>
        <w:tc>
          <w:tcPr>
            <w:tcW w:w="7584" w:type="dxa"/>
            <w:vAlign w:val="top"/>
          </w:tcPr>
          <w:p>
            <w:pPr>
              <w:pStyle w:val="TableText"/>
              <w:ind w:left="80"/>
              <w:spacing w:before="185" w:line="219" w:lineRule="auto"/>
              <w:rPr/>
            </w:pPr>
            <w:r>
              <w:rPr>
                <w:spacing w:val="6"/>
              </w:rPr>
              <w:t>造成感染性疾病暴发，病例数5例以下；</w:t>
            </w:r>
          </w:p>
        </w:tc>
        <w:tc>
          <w:tcPr>
            <w:tcW w:w="4432" w:type="dxa"/>
            <w:vAlign w:val="top"/>
          </w:tcPr>
          <w:p>
            <w:pPr>
              <w:pStyle w:val="TableText"/>
              <w:ind w:left="106"/>
              <w:spacing w:before="187" w:line="220" w:lineRule="auto"/>
              <w:rPr/>
            </w:pPr>
            <w:r>
              <w:rPr>
                <w:spacing w:val="6"/>
              </w:rPr>
              <w:t>处5000元以上10000元以下罚款；</w:t>
            </w:r>
          </w:p>
        </w:tc>
      </w:tr>
      <w:tr>
        <w:trPr>
          <w:trHeight w:val="763" w:hRule="atLeast"/>
        </w:trPr>
        <w:tc>
          <w:tcPr>
            <w:tcW w:w="1794" w:type="dxa"/>
            <w:vAlign w:val="top"/>
            <w:vMerge w:val="continue"/>
            <w:tcBorders>
              <w:top w:val="nil"/>
            </w:tcBorders>
          </w:tcPr>
          <w:p>
            <w:pPr>
              <w:rPr>
                <w:rFonts w:ascii="Arial"/>
                <w:sz w:val="21"/>
              </w:rPr>
            </w:pPr>
            <w:r/>
          </w:p>
        </w:tc>
        <w:tc>
          <w:tcPr>
            <w:tcW w:w="7584" w:type="dxa"/>
            <w:vAlign w:val="top"/>
          </w:tcPr>
          <w:p>
            <w:pPr>
              <w:pStyle w:val="TableText"/>
              <w:ind w:left="84"/>
              <w:spacing w:before="163" w:line="219" w:lineRule="auto"/>
              <w:rPr/>
            </w:pPr>
            <w:r>
              <w:rPr>
                <w:b/>
                <w:bCs/>
                <w:spacing w:val="-3"/>
              </w:rPr>
              <w:t>造成感染性疾病暴发，病例数超过5例。</w:t>
            </w:r>
          </w:p>
        </w:tc>
        <w:tc>
          <w:tcPr>
            <w:tcW w:w="4432" w:type="dxa"/>
            <w:vAlign w:val="top"/>
          </w:tcPr>
          <w:p>
            <w:pPr>
              <w:pStyle w:val="TableText"/>
              <w:ind w:left="106"/>
              <w:spacing w:before="169" w:line="220" w:lineRule="auto"/>
              <w:rPr/>
            </w:pPr>
            <w:r>
              <w:rPr/>
              <w:t>处10000元以上20000元以下罚款。</w:t>
            </w:r>
          </w:p>
        </w:tc>
      </w:tr>
    </w:tbl>
    <w:p>
      <w:pPr>
        <w:pStyle w:val="BodyText"/>
        <w:spacing w:line="436" w:lineRule="auto"/>
        <w:rPr/>
      </w:pPr>
      <w:r/>
    </w:p>
    <w:p>
      <w:pPr>
        <w:ind w:left="19" w:right="79" w:firstLine="660"/>
        <w:spacing w:before="101" w:line="264" w:lineRule="auto"/>
        <w:rPr>
          <w:rFonts w:ascii="FangSong" w:hAnsi="FangSong" w:eastAsia="FangSong" w:cs="FangSong"/>
          <w:sz w:val="31"/>
          <w:szCs w:val="31"/>
        </w:rPr>
      </w:pPr>
      <w:r>
        <w:rPr>
          <w:rFonts w:ascii="FangSong" w:hAnsi="FangSong" w:eastAsia="FangSong" w:cs="FangSong"/>
          <w:sz w:val="31"/>
          <w:szCs w:val="31"/>
          <w:b/>
          <w:bCs/>
          <w:spacing w:val="18"/>
        </w:rPr>
        <w:t>第八十八条消毒产品的命名、标签(含说明书)不符合卫生部的有关规定的，或消毒产品的标</w:t>
      </w:r>
      <w:r>
        <w:rPr>
          <w:rFonts w:ascii="FangSong" w:hAnsi="FangSong" w:eastAsia="FangSong" w:cs="FangSong"/>
          <w:sz w:val="31"/>
          <w:szCs w:val="31"/>
          <w:spacing w:val="8"/>
        </w:rPr>
        <w:t xml:space="preserve"> </w:t>
      </w:r>
      <w:r>
        <w:rPr>
          <w:rFonts w:ascii="FangSong" w:hAnsi="FangSong" w:eastAsia="FangSong" w:cs="FangSong"/>
          <w:sz w:val="31"/>
          <w:szCs w:val="31"/>
          <w:b/>
          <w:bCs/>
          <w:spacing w:val="17"/>
        </w:rPr>
        <w:t>签(含说明书)和宣传内容不真实，出现或暗示对疾病的治疗效果的</w:t>
      </w:r>
    </w:p>
    <w:p>
      <w:pPr>
        <w:spacing w:line="264" w:lineRule="auto"/>
        <w:sectPr>
          <w:footerReference w:type="default" r:id="rId168"/>
          <w:pgSz w:w="16830" w:h="11900"/>
          <w:pgMar w:top="1011" w:right="1364" w:bottom="1118" w:left="1425" w:header="0" w:footer="785" w:gutter="0"/>
        </w:sectPr>
        <w:rPr>
          <w:rFonts w:ascii="FangSong" w:hAnsi="FangSong" w:eastAsia="FangSong" w:cs="FangSong"/>
          <w:sz w:val="31"/>
          <w:szCs w:val="31"/>
        </w:rPr>
      </w:pPr>
    </w:p>
    <w:p>
      <w:pPr>
        <w:pStyle w:val="BodyText"/>
        <w:spacing w:line="262" w:lineRule="auto"/>
        <w:rPr/>
      </w:pPr>
      <w:r/>
    </w:p>
    <w:p>
      <w:pPr>
        <w:pStyle w:val="BodyText"/>
        <w:spacing w:line="262" w:lineRule="auto"/>
        <w:rPr/>
      </w:pPr>
      <w:r/>
    </w:p>
    <w:p>
      <w:pPr>
        <w:pStyle w:val="BodyText"/>
        <w:spacing w:line="262" w:lineRule="auto"/>
        <w:rPr/>
      </w:pPr>
      <w:r/>
    </w:p>
    <w:p>
      <w:pPr>
        <w:ind w:left="675"/>
        <w:spacing w:before="98" w:line="222" w:lineRule="auto"/>
        <w:outlineLvl w:val="1"/>
        <w:rPr>
          <w:rFonts w:ascii="FangSong" w:hAnsi="FangSong" w:eastAsia="FangSong" w:cs="FangSong"/>
          <w:sz w:val="30"/>
          <w:szCs w:val="30"/>
        </w:rPr>
      </w:pPr>
      <w:bookmarkStart w:name="bookmark826" w:id="144"/>
      <w:bookmarkEnd w:id="144"/>
      <w:bookmarkStart w:name="bookmark186" w:id="145"/>
      <w:bookmarkEnd w:id="145"/>
      <w:r>
        <w:rPr>
          <w:rFonts w:ascii="FangSong" w:hAnsi="FangSong" w:eastAsia="FangSong" w:cs="FangSong"/>
          <w:sz w:val="30"/>
          <w:szCs w:val="30"/>
        </w:rPr>
        <w:t>法律依据：</w:t>
      </w:r>
    </w:p>
    <w:p>
      <w:pPr>
        <w:ind w:left="35" w:right="4" w:firstLine="619"/>
        <w:spacing w:before="85" w:line="273" w:lineRule="auto"/>
        <w:jc w:val="both"/>
        <w:rPr>
          <w:rFonts w:ascii="FangSong" w:hAnsi="FangSong" w:eastAsia="FangSong" w:cs="FangSong"/>
          <w:sz w:val="30"/>
          <w:szCs w:val="30"/>
        </w:rPr>
      </w:pPr>
      <w:r>
        <w:rPr>
          <w:rFonts w:ascii="FangSong" w:hAnsi="FangSong" w:eastAsia="FangSong" w:cs="FangSong"/>
          <w:sz w:val="30"/>
          <w:szCs w:val="30"/>
          <w:spacing w:val="17"/>
        </w:rPr>
        <w:t>《消毒管理办法》第四十三条</w:t>
      </w:r>
      <w:r>
        <w:rPr>
          <w:rFonts w:ascii="FangSong" w:hAnsi="FangSong" w:eastAsia="FangSong" w:cs="FangSong"/>
          <w:sz w:val="30"/>
          <w:szCs w:val="30"/>
          <w:spacing w:val="17"/>
        </w:rPr>
        <w:t xml:space="preserve">  </w:t>
      </w:r>
      <w:r>
        <w:rPr>
          <w:rFonts w:ascii="FangSong" w:hAnsi="FangSong" w:eastAsia="FangSong" w:cs="FangSong"/>
          <w:sz w:val="30"/>
          <w:szCs w:val="30"/>
          <w:spacing w:val="17"/>
        </w:rPr>
        <w:t>消毒产品生产经营单位违反本办法第三十一条、第三十二条</w:t>
      </w:r>
      <w:r>
        <w:rPr>
          <w:rFonts w:ascii="FangSong" w:hAnsi="FangSong" w:eastAsia="FangSong" w:cs="FangSong"/>
          <w:sz w:val="30"/>
          <w:szCs w:val="30"/>
          <w:spacing w:val="16"/>
        </w:rPr>
        <w:t>规定</w:t>
      </w:r>
      <w:r>
        <w:rPr>
          <w:rFonts w:ascii="FangSong" w:hAnsi="FangSong" w:eastAsia="FangSong" w:cs="FangSong"/>
          <w:sz w:val="30"/>
          <w:szCs w:val="30"/>
        </w:rPr>
        <w:t xml:space="preserve"> </w:t>
      </w:r>
      <w:r>
        <w:rPr>
          <w:rFonts w:ascii="FangSong" w:hAnsi="FangSong" w:eastAsia="FangSong" w:cs="FangSong"/>
          <w:sz w:val="30"/>
          <w:szCs w:val="30"/>
          <w:spacing w:val="22"/>
        </w:rPr>
        <w:t>的，由县级以上地方卫生计生行政部门责令其限期改正，可以处5000</w:t>
      </w:r>
      <w:r>
        <w:rPr>
          <w:rFonts w:ascii="FangSong" w:hAnsi="FangSong" w:eastAsia="FangSong" w:cs="FangSong"/>
          <w:sz w:val="30"/>
          <w:szCs w:val="30"/>
          <w:spacing w:val="21"/>
        </w:rPr>
        <w:t>元以下罚款；造成感染性疾病</w:t>
      </w:r>
      <w:r>
        <w:rPr>
          <w:rFonts w:ascii="FangSong" w:hAnsi="FangSong" w:eastAsia="FangSong" w:cs="FangSong"/>
          <w:sz w:val="30"/>
          <w:szCs w:val="30"/>
        </w:rPr>
        <w:t xml:space="preserve"> </w:t>
      </w:r>
      <w:r>
        <w:rPr>
          <w:rFonts w:ascii="FangSong" w:hAnsi="FangSong" w:eastAsia="FangSong" w:cs="FangSong"/>
          <w:sz w:val="30"/>
          <w:szCs w:val="30"/>
          <w:spacing w:val="25"/>
        </w:rPr>
        <w:t>暴发的，可以处5000元以上20000元以下的罚款。</w:t>
      </w:r>
    </w:p>
    <w:p>
      <w:pPr>
        <w:ind w:left="35" w:right="35" w:firstLine="629"/>
        <w:spacing w:line="271" w:lineRule="auto"/>
        <w:rPr>
          <w:rFonts w:ascii="FangSong" w:hAnsi="FangSong" w:eastAsia="FangSong" w:cs="FangSong"/>
          <w:sz w:val="30"/>
          <w:szCs w:val="30"/>
        </w:rPr>
      </w:pPr>
      <w:r>
        <w:rPr>
          <w:rFonts w:ascii="FangSong" w:hAnsi="FangSong" w:eastAsia="FangSong" w:cs="FangSong"/>
          <w:sz w:val="30"/>
          <w:szCs w:val="30"/>
          <w:spacing w:val="23"/>
        </w:rPr>
        <w:t>《消毒管理办法》第三十一条</w:t>
      </w:r>
      <w:r>
        <w:rPr>
          <w:rFonts w:ascii="FangSong" w:hAnsi="FangSong" w:eastAsia="FangSong" w:cs="FangSong"/>
          <w:sz w:val="30"/>
          <w:szCs w:val="30"/>
          <w:spacing w:val="23"/>
        </w:rPr>
        <w:t xml:space="preserve">  </w:t>
      </w:r>
      <w:r>
        <w:rPr>
          <w:rFonts w:ascii="FangSong" w:hAnsi="FangSong" w:eastAsia="FangSong" w:cs="FangSong"/>
          <w:sz w:val="30"/>
          <w:szCs w:val="30"/>
          <w:spacing w:val="23"/>
        </w:rPr>
        <w:t>消毒产品的命名、标签(含说明书)应当符合国家卫生计生委的</w:t>
      </w:r>
      <w:r>
        <w:rPr>
          <w:rFonts w:ascii="FangSong" w:hAnsi="FangSong" w:eastAsia="FangSong" w:cs="FangSong"/>
          <w:sz w:val="30"/>
          <w:szCs w:val="30"/>
        </w:rPr>
        <w:t xml:space="preserve"> </w:t>
      </w:r>
      <w:r>
        <w:rPr>
          <w:rFonts w:ascii="FangSong" w:hAnsi="FangSong" w:eastAsia="FangSong" w:cs="FangSong"/>
          <w:sz w:val="30"/>
          <w:szCs w:val="30"/>
          <w:spacing w:val="5"/>
        </w:rPr>
        <w:t>有关规定。</w:t>
      </w:r>
    </w:p>
    <w:p>
      <w:pPr>
        <w:ind w:left="675"/>
        <w:spacing w:line="221" w:lineRule="auto"/>
        <w:rPr>
          <w:rFonts w:ascii="FangSong" w:hAnsi="FangSong" w:eastAsia="FangSong" w:cs="FangSong"/>
          <w:sz w:val="30"/>
          <w:szCs w:val="30"/>
        </w:rPr>
      </w:pPr>
      <w:r>
        <w:rPr>
          <w:rFonts w:ascii="FangSong" w:hAnsi="FangSong" w:eastAsia="FangSong" w:cs="FangSong"/>
          <w:sz w:val="30"/>
          <w:szCs w:val="30"/>
          <w:spacing w:val="26"/>
        </w:rPr>
        <w:t>消毒产品的标签(含说明书)和宣传内容必须真实，不得出现或暗示对疾病的</w:t>
      </w:r>
      <w:r>
        <w:rPr>
          <w:rFonts w:ascii="FangSong" w:hAnsi="FangSong" w:eastAsia="FangSong" w:cs="FangSong"/>
          <w:sz w:val="30"/>
          <w:szCs w:val="30"/>
          <w:spacing w:val="25"/>
        </w:rPr>
        <w:t>治疗效果。</w:t>
      </w:r>
    </w:p>
    <w:p>
      <w:pPr>
        <w:ind w:left="6709"/>
        <w:spacing w:before="70"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94"/>
        <w:gridCol w:w="7655"/>
        <w:gridCol w:w="4731"/>
      </w:tblGrid>
      <w:tr>
        <w:trPr>
          <w:trHeight w:val="833" w:hRule="atLeast"/>
        </w:trPr>
        <w:tc>
          <w:tcPr>
            <w:tcW w:w="1594" w:type="dxa"/>
            <w:vAlign w:val="top"/>
          </w:tcPr>
          <w:p>
            <w:pPr>
              <w:pStyle w:val="TableText"/>
              <w:ind w:left="208"/>
              <w:spacing w:before="30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7655" w:type="dxa"/>
            <w:vAlign w:val="top"/>
          </w:tcPr>
          <w:p>
            <w:pPr>
              <w:pStyle w:val="TableText"/>
              <w:ind w:left="3264"/>
              <w:spacing w:before="302" w:line="220" w:lineRule="auto"/>
              <w:rPr/>
            </w:pPr>
            <w:r>
              <w:rPr>
                <w:b/>
                <w:bCs/>
                <w:spacing w:val="-5"/>
              </w:rPr>
              <w:t>情节后果</w:t>
            </w:r>
          </w:p>
        </w:tc>
        <w:tc>
          <w:tcPr>
            <w:tcW w:w="4731" w:type="dxa"/>
            <w:vAlign w:val="top"/>
          </w:tcPr>
          <w:p>
            <w:pPr>
              <w:pStyle w:val="TableText"/>
              <w:ind w:left="1799"/>
              <w:spacing w:before="29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88" w:hRule="atLeast"/>
        </w:trPr>
        <w:tc>
          <w:tcPr>
            <w:tcW w:w="1594" w:type="dxa"/>
            <w:vAlign w:val="top"/>
            <w:vMerge w:val="restart"/>
            <w:tcBorders>
              <w:bottom w:val="nil"/>
            </w:tcBorders>
          </w:tcPr>
          <w:p>
            <w:pPr>
              <w:spacing w:line="353" w:lineRule="auto"/>
              <w:rPr>
                <w:rFonts w:ascii="Arial"/>
                <w:sz w:val="21"/>
              </w:rPr>
            </w:pPr>
            <w:r/>
          </w:p>
          <w:p>
            <w:pPr>
              <w:spacing w:line="354" w:lineRule="auto"/>
              <w:rPr>
                <w:rFonts w:ascii="Arial"/>
                <w:sz w:val="21"/>
              </w:rPr>
            </w:pPr>
            <w:r/>
          </w:p>
          <w:p>
            <w:pPr>
              <w:pStyle w:val="TableText"/>
              <w:ind w:left="548"/>
              <w:spacing w:before="78" w:line="221" w:lineRule="auto"/>
              <w:rPr/>
            </w:pPr>
            <w:r>
              <w:rPr>
                <w:b/>
                <w:bCs/>
                <w:spacing w:val="-10"/>
              </w:rPr>
              <w:t>一般</w:t>
            </w:r>
          </w:p>
        </w:tc>
        <w:tc>
          <w:tcPr>
            <w:tcW w:w="7655" w:type="dxa"/>
            <w:vAlign w:val="top"/>
          </w:tcPr>
          <w:p>
            <w:pPr>
              <w:pStyle w:val="TableText"/>
              <w:spacing w:before="270" w:line="219" w:lineRule="auto"/>
              <w:jc w:val="right"/>
              <w:rPr/>
            </w:pPr>
            <w:r>
              <w:rPr>
                <w:spacing w:val="3"/>
              </w:rPr>
              <w:t>消毒产品的命名、标签(含说明书)不符合国家卫生计生委的有关规定；</w:t>
            </w:r>
          </w:p>
        </w:tc>
        <w:tc>
          <w:tcPr>
            <w:tcW w:w="4731" w:type="dxa"/>
            <w:vAlign w:val="top"/>
          </w:tcPr>
          <w:p>
            <w:pPr>
              <w:pStyle w:val="TableText"/>
              <w:ind w:left="116"/>
              <w:spacing w:before="282" w:line="220" w:lineRule="auto"/>
              <w:rPr/>
            </w:pPr>
            <w:r>
              <w:rPr>
                <w:spacing w:val="6"/>
              </w:rPr>
              <w:t>处1000元以上2000元以下罚款；</w:t>
            </w:r>
          </w:p>
        </w:tc>
      </w:tr>
      <w:tr>
        <w:trPr>
          <w:trHeight w:val="1117" w:hRule="atLeast"/>
        </w:trPr>
        <w:tc>
          <w:tcPr>
            <w:tcW w:w="1594" w:type="dxa"/>
            <w:vAlign w:val="top"/>
            <w:vMerge w:val="continue"/>
            <w:tcBorders>
              <w:top w:val="nil"/>
            </w:tcBorders>
          </w:tcPr>
          <w:p>
            <w:pPr>
              <w:rPr>
                <w:rFonts w:ascii="Arial"/>
                <w:sz w:val="21"/>
              </w:rPr>
            </w:pPr>
            <w:r/>
          </w:p>
        </w:tc>
        <w:tc>
          <w:tcPr>
            <w:tcW w:w="7655" w:type="dxa"/>
            <w:vAlign w:val="top"/>
          </w:tcPr>
          <w:p>
            <w:pPr>
              <w:pStyle w:val="TableText"/>
              <w:ind w:left="104" w:right="328"/>
              <w:spacing w:before="249" w:line="330" w:lineRule="auto"/>
              <w:rPr/>
            </w:pPr>
            <w:r>
              <w:rPr>
                <w:b/>
                <w:bCs/>
                <w:spacing w:val="-2"/>
              </w:rPr>
              <w:t>消毒产品的标签(含说明书)和宣传内容不真实，出现或</w:t>
            </w:r>
            <w:r>
              <w:rPr>
                <w:b/>
                <w:bCs/>
                <w:spacing w:val="-3"/>
              </w:rPr>
              <w:t>暗示对疾病的</w:t>
            </w:r>
            <w:r>
              <w:rPr/>
              <w:t xml:space="preserve"> </w:t>
            </w:r>
            <w:r>
              <w:rPr>
                <w:b/>
                <w:bCs/>
                <w:spacing w:val="-4"/>
              </w:rPr>
              <w:t>治疗效果。</w:t>
            </w:r>
          </w:p>
        </w:tc>
        <w:tc>
          <w:tcPr>
            <w:tcW w:w="4731" w:type="dxa"/>
            <w:vAlign w:val="top"/>
          </w:tcPr>
          <w:p>
            <w:pPr>
              <w:spacing w:line="364" w:lineRule="auto"/>
              <w:rPr>
                <w:rFonts w:ascii="Arial"/>
                <w:sz w:val="21"/>
              </w:rPr>
            </w:pPr>
            <w:r/>
          </w:p>
          <w:p>
            <w:pPr>
              <w:pStyle w:val="TableText"/>
              <w:ind w:left="116"/>
              <w:spacing w:before="78" w:line="220" w:lineRule="auto"/>
              <w:rPr/>
            </w:pPr>
            <w:r>
              <w:rPr>
                <w:spacing w:val="-1"/>
              </w:rPr>
              <w:t>处2000元以上3000元以下罚款。</w:t>
            </w:r>
          </w:p>
        </w:tc>
      </w:tr>
      <w:tr>
        <w:trPr>
          <w:trHeight w:val="778" w:hRule="atLeast"/>
        </w:trPr>
        <w:tc>
          <w:tcPr>
            <w:tcW w:w="1594" w:type="dxa"/>
            <w:vAlign w:val="top"/>
            <w:vMerge w:val="restart"/>
            <w:tcBorders>
              <w:bottom w:val="nil"/>
            </w:tcBorders>
          </w:tcPr>
          <w:p>
            <w:pPr>
              <w:spacing w:line="286" w:lineRule="auto"/>
              <w:rPr>
                <w:rFonts w:ascii="Arial"/>
                <w:sz w:val="21"/>
              </w:rPr>
            </w:pPr>
            <w:r/>
          </w:p>
          <w:p>
            <w:pPr>
              <w:spacing w:line="286" w:lineRule="auto"/>
              <w:rPr>
                <w:rFonts w:ascii="Arial"/>
                <w:sz w:val="21"/>
              </w:rPr>
            </w:pPr>
            <w:r/>
          </w:p>
          <w:p>
            <w:pPr>
              <w:pStyle w:val="TableText"/>
              <w:ind w:left="548"/>
              <w:spacing w:before="78" w:line="220" w:lineRule="auto"/>
              <w:rPr/>
            </w:pPr>
            <w:r>
              <w:rPr>
                <w:b/>
                <w:bCs/>
                <w:spacing w:val="-6"/>
              </w:rPr>
              <w:t>严重</w:t>
            </w:r>
          </w:p>
        </w:tc>
        <w:tc>
          <w:tcPr>
            <w:tcW w:w="7655" w:type="dxa"/>
            <w:vAlign w:val="top"/>
          </w:tcPr>
          <w:p>
            <w:pPr>
              <w:pStyle w:val="TableText"/>
              <w:ind w:left="100"/>
              <w:spacing w:before="275" w:line="219" w:lineRule="auto"/>
              <w:rPr/>
            </w:pPr>
            <w:r>
              <w:rPr>
                <w:spacing w:val="6"/>
              </w:rPr>
              <w:t>造成感染性疾病暴发，病例数5例以下；</w:t>
            </w:r>
          </w:p>
        </w:tc>
        <w:tc>
          <w:tcPr>
            <w:tcW w:w="4731" w:type="dxa"/>
            <w:vAlign w:val="top"/>
          </w:tcPr>
          <w:p>
            <w:pPr>
              <w:pStyle w:val="TableText"/>
              <w:ind w:left="116"/>
              <w:spacing w:before="277" w:line="220" w:lineRule="auto"/>
              <w:rPr/>
            </w:pPr>
            <w:r>
              <w:rPr>
                <w:spacing w:val="6"/>
              </w:rPr>
              <w:t>处5000元以上10000元以下罚款；</w:t>
            </w:r>
          </w:p>
        </w:tc>
      </w:tr>
      <w:tr>
        <w:trPr>
          <w:trHeight w:val="753" w:hRule="atLeast"/>
        </w:trPr>
        <w:tc>
          <w:tcPr>
            <w:tcW w:w="1594" w:type="dxa"/>
            <w:vAlign w:val="top"/>
            <w:vMerge w:val="continue"/>
            <w:tcBorders>
              <w:top w:val="nil"/>
            </w:tcBorders>
          </w:tcPr>
          <w:p>
            <w:pPr>
              <w:rPr>
                <w:rFonts w:ascii="Arial"/>
                <w:sz w:val="21"/>
              </w:rPr>
            </w:pPr>
            <w:r/>
          </w:p>
        </w:tc>
        <w:tc>
          <w:tcPr>
            <w:tcW w:w="7655" w:type="dxa"/>
            <w:vAlign w:val="top"/>
          </w:tcPr>
          <w:p>
            <w:pPr>
              <w:pStyle w:val="TableText"/>
              <w:ind w:left="104"/>
              <w:spacing w:before="313" w:line="219" w:lineRule="auto"/>
              <w:rPr/>
            </w:pPr>
            <w:r>
              <w:rPr>
                <w:b/>
                <w:bCs/>
                <w:spacing w:val="-3"/>
              </w:rPr>
              <w:t>造成感染性疾病暴发，病例数超过5例。</w:t>
            </w:r>
          </w:p>
        </w:tc>
        <w:tc>
          <w:tcPr>
            <w:tcW w:w="4731" w:type="dxa"/>
            <w:vAlign w:val="top"/>
          </w:tcPr>
          <w:p>
            <w:pPr>
              <w:spacing w:line="250" w:lineRule="auto"/>
              <w:rPr>
                <w:rFonts w:ascii="Arial"/>
                <w:sz w:val="21"/>
              </w:rPr>
            </w:pPr>
            <w:r/>
          </w:p>
          <w:p>
            <w:pPr>
              <w:pStyle w:val="TableText"/>
              <w:ind w:left="116"/>
              <w:spacing w:before="78" w:line="220" w:lineRule="auto"/>
              <w:rPr/>
            </w:pPr>
            <w:r>
              <w:rPr/>
              <w:t>处10000元以上20000元以下罚款。</w:t>
            </w:r>
          </w:p>
        </w:tc>
      </w:tr>
    </w:tbl>
    <w:p>
      <w:pPr>
        <w:ind w:left="679"/>
        <w:spacing w:before="128" w:line="222" w:lineRule="auto"/>
        <w:rPr>
          <w:rFonts w:ascii="FangSong" w:hAnsi="FangSong" w:eastAsia="FangSong" w:cs="FangSong"/>
          <w:sz w:val="30"/>
          <w:szCs w:val="30"/>
        </w:rPr>
      </w:pPr>
      <w:r>
        <w:rPr>
          <w:rFonts w:ascii="FangSong" w:hAnsi="FangSong" w:eastAsia="FangSong" w:cs="FangSong"/>
          <w:sz w:val="30"/>
          <w:szCs w:val="30"/>
          <w:b/>
          <w:bCs/>
          <w:spacing w:val="24"/>
        </w:rPr>
        <w:t>第八十九条生产经营禁止生产经营的消毒产品的</w:t>
      </w:r>
    </w:p>
    <w:p>
      <w:pPr>
        <w:spacing w:line="222" w:lineRule="auto"/>
        <w:sectPr>
          <w:footerReference w:type="default" r:id="rId169"/>
          <w:pgSz w:w="16830" w:h="11900"/>
          <w:pgMar w:top="1011" w:right="1425" w:bottom="1117" w:left="1414" w:header="0" w:footer="784" w:gutter="0"/>
        </w:sectPr>
        <w:rPr>
          <w:rFonts w:ascii="FangSong" w:hAnsi="FangSong" w:eastAsia="FangSong" w:cs="FangSong"/>
          <w:sz w:val="30"/>
          <w:szCs w:val="30"/>
        </w:rPr>
      </w:pPr>
    </w:p>
    <w:p>
      <w:pPr>
        <w:pStyle w:val="BodyText"/>
        <w:spacing w:line="272" w:lineRule="auto"/>
        <w:rPr/>
      </w:pPr>
      <w:r/>
    </w:p>
    <w:p>
      <w:pPr>
        <w:pStyle w:val="BodyText"/>
        <w:spacing w:line="272" w:lineRule="auto"/>
        <w:rPr/>
      </w:pPr>
      <w:r/>
    </w:p>
    <w:p>
      <w:pPr>
        <w:pStyle w:val="BodyText"/>
        <w:spacing w:line="272" w:lineRule="auto"/>
        <w:rPr/>
      </w:pPr>
      <w:r/>
    </w:p>
    <w:p>
      <w:pPr>
        <w:ind w:left="665"/>
        <w:spacing w:before="97"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35" w:right="573" w:firstLine="609"/>
        <w:spacing w:before="57" w:line="272" w:lineRule="auto"/>
        <w:jc w:val="both"/>
        <w:rPr>
          <w:rFonts w:ascii="FangSong" w:hAnsi="FangSong" w:eastAsia="FangSong" w:cs="FangSong"/>
          <w:sz w:val="30"/>
          <w:szCs w:val="30"/>
        </w:rPr>
      </w:pPr>
      <w:r>
        <w:rPr>
          <w:rFonts w:ascii="FangSong" w:hAnsi="FangSong" w:eastAsia="FangSong" w:cs="FangSong"/>
          <w:sz w:val="30"/>
          <w:szCs w:val="30"/>
          <w:spacing w:val="17"/>
        </w:rPr>
        <w:t>《消毒管理办法》第四十三条</w:t>
      </w:r>
      <w:r>
        <w:rPr>
          <w:rFonts w:ascii="FangSong" w:hAnsi="FangSong" w:eastAsia="FangSong" w:cs="FangSong"/>
          <w:sz w:val="30"/>
          <w:szCs w:val="30"/>
          <w:spacing w:val="17"/>
        </w:rPr>
        <w:t xml:space="preserve">  </w:t>
      </w:r>
      <w:r>
        <w:rPr>
          <w:rFonts w:ascii="FangSong" w:hAnsi="FangSong" w:eastAsia="FangSong" w:cs="FangSong"/>
          <w:sz w:val="30"/>
          <w:szCs w:val="30"/>
          <w:spacing w:val="17"/>
        </w:rPr>
        <w:t>消毒产品生产经营单位违反本办法第三十一条、第三十二条规定</w:t>
      </w:r>
      <w:r>
        <w:rPr>
          <w:rFonts w:ascii="FangSong" w:hAnsi="FangSong" w:eastAsia="FangSong" w:cs="FangSong"/>
          <w:sz w:val="30"/>
          <w:szCs w:val="30"/>
        </w:rPr>
        <w:t xml:space="preserve"> </w:t>
      </w:r>
      <w:r>
        <w:rPr>
          <w:rFonts w:ascii="FangSong" w:hAnsi="FangSong" w:eastAsia="FangSong" w:cs="FangSong"/>
          <w:sz w:val="30"/>
          <w:szCs w:val="30"/>
          <w:spacing w:val="22"/>
        </w:rPr>
        <w:t>的，由县级以上地方卫生计生行政部门责令其限期改正，可以处5000元以下罚款；造成感染性疾病</w:t>
      </w:r>
      <w:r>
        <w:rPr>
          <w:rFonts w:ascii="FangSong" w:hAnsi="FangSong" w:eastAsia="FangSong" w:cs="FangSong"/>
          <w:sz w:val="30"/>
          <w:szCs w:val="30"/>
          <w:spacing w:val="7"/>
        </w:rPr>
        <w:t xml:space="preserve"> </w:t>
      </w:r>
      <w:r>
        <w:rPr>
          <w:rFonts w:ascii="FangSong" w:hAnsi="FangSong" w:eastAsia="FangSong" w:cs="FangSong"/>
          <w:sz w:val="30"/>
          <w:szCs w:val="30"/>
          <w:spacing w:val="26"/>
        </w:rPr>
        <w:t>暴发的，可以处5000元以上20000元以下的罚款。</w:t>
      </w:r>
    </w:p>
    <w:p>
      <w:pPr>
        <w:ind w:left="644"/>
        <w:spacing w:before="13" w:line="222" w:lineRule="auto"/>
        <w:rPr>
          <w:rFonts w:ascii="FangSong" w:hAnsi="FangSong" w:eastAsia="FangSong" w:cs="FangSong"/>
          <w:sz w:val="30"/>
          <w:szCs w:val="30"/>
        </w:rPr>
      </w:pPr>
      <w:r>
        <w:rPr>
          <w:rFonts w:ascii="FangSong" w:hAnsi="FangSong" w:eastAsia="FangSong" w:cs="FangSong"/>
          <w:sz w:val="30"/>
          <w:szCs w:val="30"/>
          <w:spacing w:val="16"/>
        </w:rPr>
        <w:t>《消毒管理办法》第三十二条</w:t>
      </w:r>
      <w:r>
        <w:rPr>
          <w:rFonts w:ascii="FangSong" w:hAnsi="FangSong" w:eastAsia="FangSong" w:cs="FangSong"/>
          <w:sz w:val="30"/>
          <w:szCs w:val="30"/>
          <w:spacing w:val="16"/>
        </w:rPr>
        <w:t xml:space="preserve">  </w:t>
      </w:r>
      <w:r>
        <w:rPr>
          <w:rFonts w:ascii="FangSong" w:hAnsi="FangSong" w:eastAsia="FangSong" w:cs="FangSong"/>
          <w:sz w:val="30"/>
          <w:szCs w:val="30"/>
          <w:spacing w:val="16"/>
        </w:rPr>
        <w:t>禁止生产经营下列消毒产品：</w:t>
      </w:r>
    </w:p>
    <w:p>
      <w:pPr>
        <w:ind w:left="794"/>
        <w:spacing w:before="69" w:line="222" w:lineRule="auto"/>
        <w:rPr>
          <w:rFonts w:ascii="FangSong" w:hAnsi="FangSong" w:eastAsia="FangSong" w:cs="FangSong"/>
          <w:sz w:val="30"/>
          <w:szCs w:val="30"/>
        </w:rPr>
      </w:pPr>
      <w:r>
        <w:rPr>
          <w:rFonts w:ascii="FangSong" w:hAnsi="FangSong" w:eastAsia="FangSong" w:cs="FangSong"/>
          <w:sz w:val="30"/>
          <w:szCs w:val="30"/>
          <w:spacing w:val="23"/>
        </w:rPr>
        <w:t>(一)无生产企业卫生许可证或新消毒产品卫生</w:t>
      </w:r>
      <w:r>
        <w:rPr>
          <w:rFonts w:ascii="FangSong" w:hAnsi="FangSong" w:eastAsia="FangSong" w:cs="FangSong"/>
          <w:sz w:val="30"/>
          <w:szCs w:val="30"/>
          <w:spacing w:val="22"/>
        </w:rPr>
        <w:t>许可批准文件的；</w:t>
      </w:r>
    </w:p>
    <w:p>
      <w:pPr>
        <w:ind w:left="794"/>
        <w:spacing w:before="78" w:line="221" w:lineRule="auto"/>
        <w:rPr>
          <w:rFonts w:ascii="FangSong" w:hAnsi="FangSong" w:eastAsia="FangSong" w:cs="FangSong"/>
          <w:sz w:val="30"/>
          <w:szCs w:val="30"/>
        </w:rPr>
      </w:pPr>
      <w:r>
        <w:rPr>
          <w:rFonts w:ascii="FangSong" w:hAnsi="FangSong" w:eastAsia="FangSong" w:cs="FangSong"/>
          <w:sz w:val="30"/>
          <w:szCs w:val="30"/>
          <w:spacing w:val="23"/>
        </w:rPr>
        <w:t>(二)产品卫生安全评价不合格或产品卫生质量不符合要求的。</w:t>
      </w:r>
    </w:p>
    <w:p>
      <w:pPr>
        <w:ind w:left="6719"/>
        <w:spacing w:before="52" w:line="208"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5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54"/>
        <w:gridCol w:w="7185"/>
        <w:gridCol w:w="5701"/>
      </w:tblGrid>
      <w:tr>
        <w:trPr>
          <w:trHeight w:val="843" w:hRule="atLeast"/>
        </w:trPr>
        <w:tc>
          <w:tcPr>
            <w:tcW w:w="1654" w:type="dxa"/>
            <w:vAlign w:val="top"/>
          </w:tcPr>
          <w:p>
            <w:pPr>
              <w:pStyle w:val="TableText"/>
              <w:ind w:left="318"/>
              <w:spacing w:before="302" w:line="220" w:lineRule="auto"/>
              <w:rPr>
                <w:sz w:val="25"/>
                <w:szCs w:val="25"/>
              </w:rPr>
            </w:pPr>
            <w:r>
              <w:rPr>
                <w:sz w:val="25"/>
                <w:szCs w:val="25"/>
                <w:b/>
                <w:bCs/>
                <w:spacing w:val="-5"/>
              </w:rPr>
              <w:t>违法程度</w:t>
            </w:r>
          </w:p>
        </w:tc>
        <w:tc>
          <w:tcPr>
            <w:tcW w:w="7185" w:type="dxa"/>
            <w:vAlign w:val="top"/>
          </w:tcPr>
          <w:p>
            <w:pPr>
              <w:pStyle w:val="TableText"/>
              <w:ind w:left="3024"/>
              <w:spacing w:before="302" w:line="220" w:lineRule="auto"/>
              <w:rPr>
                <w:sz w:val="25"/>
                <w:szCs w:val="25"/>
              </w:rPr>
            </w:pPr>
            <w:r>
              <w:rPr>
                <w:sz w:val="25"/>
                <w:szCs w:val="25"/>
                <w:b/>
                <w:bCs/>
                <w:spacing w:val="-5"/>
              </w:rPr>
              <w:t>情节后果</w:t>
            </w:r>
          </w:p>
        </w:tc>
        <w:tc>
          <w:tcPr>
            <w:tcW w:w="5701" w:type="dxa"/>
            <w:vAlign w:val="top"/>
          </w:tcPr>
          <w:p>
            <w:pPr>
              <w:pStyle w:val="TableText"/>
              <w:ind w:left="2289"/>
              <w:spacing w:before="299" w:line="218" w:lineRule="auto"/>
              <w:rPr>
                <w:sz w:val="25"/>
                <w:szCs w:val="25"/>
              </w:rPr>
            </w:pPr>
            <w:r>
              <w:rPr>
                <w:sz w:val="25"/>
                <w:szCs w:val="25"/>
                <w:b/>
                <w:bCs/>
                <w:spacing w:val="-5"/>
              </w:rPr>
              <w:t>裁量幅度</w:t>
            </w:r>
          </w:p>
        </w:tc>
      </w:tr>
      <w:tr>
        <w:trPr>
          <w:trHeight w:val="2265" w:hRule="atLeast"/>
        </w:trPr>
        <w:tc>
          <w:tcPr>
            <w:tcW w:w="1654" w:type="dxa"/>
            <w:vAlign w:val="top"/>
          </w:tcPr>
          <w:p>
            <w:pPr>
              <w:spacing w:line="307" w:lineRule="auto"/>
              <w:rPr>
                <w:rFonts w:ascii="Arial"/>
                <w:sz w:val="21"/>
              </w:rPr>
            </w:pPr>
            <w:r/>
          </w:p>
          <w:p>
            <w:pPr>
              <w:spacing w:line="308" w:lineRule="auto"/>
              <w:rPr>
                <w:rFonts w:ascii="Arial"/>
                <w:sz w:val="21"/>
              </w:rPr>
            </w:pPr>
            <w:r/>
          </w:p>
          <w:p>
            <w:pPr>
              <w:spacing w:line="308" w:lineRule="auto"/>
              <w:rPr>
                <w:rFonts w:ascii="Arial"/>
                <w:sz w:val="21"/>
              </w:rPr>
            </w:pPr>
            <w:r/>
          </w:p>
          <w:p>
            <w:pPr>
              <w:pStyle w:val="TableText"/>
              <w:ind w:left="568"/>
              <w:spacing w:before="81" w:line="221" w:lineRule="auto"/>
              <w:rPr>
                <w:sz w:val="25"/>
                <w:szCs w:val="25"/>
              </w:rPr>
            </w:pPr>
            <w:r>
              <w:rPr>
                <w:sz w:val="25"/>
                <w:szCs w:val="25"/>
                <w:b/>
                <w:bCs/>
                <w:spacing w:val="-10"/>
              </w:rPr>
              <w:t>一般</w:t>
            </w:r>
          </w:p>
        </w:tc>
        <w:tc>
          <w:tcPr>
            <w:tcW w:w="7185"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10"/>
              <w:spacing w:before="81" w:line="219" w:lineRule="auto"/>
              <w:rPr>
                <w:sz w:val="25"/>
                <w:szCs w:val="25"/>
              </w:rPr>
            </w:pPr>
            <w:r>
              <w:rPr>
                <w:sz w:val="25"/>
                <w:szCs w:val="25"/>
                <w:spacing w:val="4"/>
              </w:rPr>
              <w:t>(1)无生产企业卫生许可证或新消毒产品卫生许可批准文件；</w:t>
            </w:r>
          </w:p>
          <w:p>
            <w:pPr>
              <w:pStyle w:val="TableText"/>
              <w:ind w:left="210"/>
              <w:spacing w:before="121" w:line="218" w:lineRule="auto"/>
              <w:rPr>
                <w:sz w:val="25"/>
                <w:szCs w:val="25"/>
              </w:rPr>
            </w:pPr>
            <w:r>
              <w:rPr>
                <w:sz w:val="25"/>
                <w:szCs w:val="25"/>
              </w:rPr>
              <w:t>(2)产品卫生安全评价不合格或产品卫生质量不符合要</w:t>
            </w:r>
            <w:r>
              <w:rPr>
                <w:sz w:val="25"/>
                <w:szCs w:val="25"/>
                <w:spacing w:val="-1"/>
              </w:rPr>
              <w:t>求。</w:t>
            </w:r>
          </w:p>
        </w:tc>
        <w:tc>
          <w:tcPr>
            <w:tcW w:w="5701"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05"/>
              <w:spacing w:before="82" w:line="220" w:lineRule="auto"/>
              <w:rPr>
                <w:sz w:val="25"/>
                <w:szCs w:val="25"/>
              </w:rPr>
            </w:pPr>
            <w:r>
              <w:rPr>
                <w:sz w:val="25"/>
                <w:szCs w:val="25"/>
                <w:spacing w:val="6"/>
              </w:rPr>
              <w:t>(1)处4000元以上5000元以下罚款；</w:t>
            </w:r>
          </w:p>
          <w:p>
            <w:pPr>
              <w:pStyle w:val="TableText"/>
              <w:ind w:left="205"/>
              <w:spacing w:before="142" w:line="220" w:lineRule="auto"/>
              <w:rPr>
                <w:sz w:val="25"/>
                <w:szCs w:val="25"/>
              </w:rPr>
            </w:pPr>
            <w:r>
              <w:rPr>
                <w:sz w:val="25"/>
                <w:szCs w:val="25"/>
              </w:rPr>
              <w:t>(2)可以处3000元以上4000元以下罚款。</w:t>
            </w:r>
          </w:p>
        </w:tc>
      </w:tr>
      <w:tr>
        <w:trPr>
          <w:trHeight w:val="1542" w:hRule="atLeast"/>
        </w:trPr>
        <w:tc>
          <w:tcPr>
            <w:tcW w:w="1654" w:type="dxa"/>
            <w:vAlign w:val="top"/>
          </w:tcPr>
          <w:p>
            <w:pPr>
              <w:spacing w:line="286" w:lineRule="auto"/>
              <w:rPr>
                <w:rFonts w:ascii="Arial"/>
                <w:sz w:val="21"/>
              </w:rPr>
            </w:pPr>
            <w:r/>
          </w:p>
          <w:p>
            <w:pPr>
              <w:spacing w:line="286" w:lineRule="auto"/>
              <w:rPr>
                <w:rFonts w:ascii="Arial"/>
                <w:sz w:val="21"/>
              </w:rPr>
            </w:pPr>
            <w:r/>
          </w:p>
          <w:p>
            <w:pPr>
              <w:pStyle w:val="TableText"/>
              <w:ind w:left="568"/>
              <w:spacing w:before="81" w:line="221" w:lineRule="auto"/>
              <w:rPr>
                <w:sz w:val="25"/>
                <w:szCs w:val="25"/>
              </w:rPr>
            </w:pPr>
            <w:r>
              <w:rPr>
                <w:sz w:val="25"/>
                <w:szCs w:val="25"/>
                <w:b/>
                <w:bCs/>
                <w:spacing w:val="-6"/>
              </w:rPr>
              <w:t>较重</w:t>
            </w:r>
          </w:p>
        </w:tc>
        <w:tc>
          <w:tcPr>
            <w:tcW w:w="7185" w:type="dxa"/>
            <w:vAlign w:val="top"/>
          </w:tcPr>
          <w:p>
            <w:pPr>
              <w:spacing w:line="402" w:lineRule="auto"/>
              <w:rPr>
                <w:rFonts w:ascii="Arial"/>
                <w:sz w:val="21"/>
              </w:rPr>
            </w:pPr>
            <w:r/>
          </w:p>
          <w:p>
            <w:pPr>
              <w:pStyle w:val="TableText"/>
              <w:ind w:left="210"/>
              <w:spacing w:before="81" w:line="219" w:lineRule="auto"/>
              <w:rPr>
                <w:sz w:val="25"/>
                <w:szCs w:val="25"/>
              </w:rPr>
            </w:pPr>
            <w:r>
              <w:rPr>
                <w:sz w:val="25"/>
                <w:szCs w:val="25"/>
                <w:spacing w:val="5"/>
              </w:rPr>
              <w:t>(1)造成感染性疾病暴发，病例数5例以下；</w:t>
            </w:r>
          </w:p>
          <w:p>
            <w:pPr>
              <w:pStyle w:val="TableText"/>
              <w:ind w:left="210"/>
              <w:spacing w:before="163" w:line="219" w:lineRule="auto"/>
              <w:rPr>
                <w:sz w:val="25"/>
                <w:szCs w:val="25"/>
              </w:rPr>
            </w:pPr>
            <w:r>
              <w:rPr>
                <w:sz w:val="25"/>
                <w:szCs w:val="25"/>
              </w:rPr>
              <w:t>(2)造成感染性疾病暴发，病例数超过5例。</w:t>
            </w:r>
          </w:p>
        </w:tc>
        <w:tc>
          <w:tcPr>
            <w:tcW w:w="5701" w:type="dxa"/>
            <w:vAlign w:val="top"/>
          </w:tcPr>
          <w:p>
            <w:pPr>
              <w:spacing w:line="394" w:lineRule="auto"/>
              <w:rPr>
                <w:rFonts w:ascii="Arial"/>
                <w:sz w:val="21"/>
              </w:rPr>
            </w:pPr>
            <w:r/>
          </w:p>
          <w:p>
            <w:pPr>
              <w:pStyle w:val="TableText"/>
              <w:ind w:left="205"/>
              <w:spacing w:before="81" w:line="220" w:lineRule="auto"/>
              <w:rPr>
                <w:sz w:val="25"/>
                <w:szCs w:val="25"/>
              </w:rPr>
            </w:pPr>
            <w:r>
              <w:rPr>
                <w:sz w:val="25"/>
                <w:szCs w:val="25"/>
                <w:spacing w:val="5"/>
              </w:rPr>
              <w:t>(1)处5000元以上10000元以下罚款；</w:t>
            </w:r>
          </w:p>
          <w:p>
            <w:pPr>
              <w:pStyle w:val="TableText"/>
              <w:ind w:left="205"/>
              <w:spacing w:before="142" w:line="220" w:lineRule="auto"/>
              <w:rPr>
                <w:sz w:val="25"/>
                <w:szCs w:val="25"/>
              </w:rPr>
            </w:pPr>
            <w:r>
              <w:rPr>
                <w:sz w:val="25"/>
                <w:szCs w:val="25"/>
              </w:rPr>
              <w:t>(2)处10000元以上20000元以下罚款。</w:t>
            </w:r>
          </w:p>
        </w:tc>
      </w:tr>
    </w:tbl>
    <w:p>
      <w:pPr>
        <w:pStyle w:val="BodyText"/>
        <w:rPr/>
      </w:pPr>
      <w:r/>
    </w:p>
    <w:p>
      <w:pPr>
        <w:sectPr>
          <w:footerReference w:type="default" r:id="rId170"/>
          <w:pgSz w:w="16830" w:h="11900"/>
          <w:pgMar w:top="1011" w:right="864" w:bottom="1124" w:left="1414" w:header="0" w:footer="782" w:gutter="0"/>
        </w:sectPr>
        <w:rPr/>
      </w:pPr>
    </w:p>
    <w:p>
      <w:pPr>
        <w:pStyle w:val="BodyText"/>
        <w:spacing w:line="256" w:lineRule="auto"/>
        <w:rPr/>
      </w:pPr>
      <w:r/>
    </w:p>
    <w:p>
      <w:pPr>
        <w:pStyle w:val="BodyText"/>
        <w:spacing w:line="256" w:lineRule="auto"/>
        <w:rPr/>
      </w:pPr>
      <w:r/>
    </w:p>
    <w:p>
      <w:pPr>
        <w:pStyle w:val="BodyText"/>
        <w:spacing w:line="257" w:lineRule="auto"/>
        <w:rPr/>
      </w:pPr>
      <w:r/>
    </w:p>
    <w:p>
      <w:pPr>
        <w:ind w:left="679"/>
        <w:spacing w:before="97" w:line="221" w:lineRule="auto"/>
        <w:outlineLvl w:val="1"/>
        <w:rPr>
          <w:rFonts w:ascii="FangSong" w:hAnsi="FangSong" w:eastAsia="FangSong" w:cs="FangSong"/>
          <w:sz w:val="30"/>
          <w:szCs w:val="30"/>
        </w:rPr>
      </w:pPr>
      <w:bookmarkStart w:name="bookmark827" w:id="146"/>
      <w:bookmarkEnd w:id="146"/>
      <w:bookmarkStart w:name="bookmark186" w:id="147"/>
      <w:bookmarkEnd w:id="147"/>
      <w:r>
        <w:rPr>
          <w:rFonts w:ascii="FangSong" w:hAnsi="FangSong" w:eastAsia="FangSong" w:cs="FangSong"/>
          <w:sz w:val="30"/>
          <w:szCs w:val="30"/>
          <w:b/>
          <w:bCs/>
          <w:spacing w:val="24"/>
        </w:rPr>
        <w:t>第九十条消毒后的物品未达到卫生标准和要求的</w:t>
      </w:r>
    </w:p>
    <w:p>
      <w:pPr>
        <w:ind w:left="675"/>
        <w:spacing w:before="68"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right="5" w:firstLine="619"/>
        <w:spacing w:before="96" w:line="273" w:lineRule="auto"/>
        <w:rPr>
          <w:rFonts w:ascii="FangSong" w:hAnsi="FangSong" w:eastAsia="FangSong" w:cs="FangSong"/>
          <w:sz w:val="30"/>
          <w:szCs w:val="30"/>
        </w:rPr>
      </w:pPr>
      <w:r>
        <w:rPr>
          <w:rFonts w:ascii="FangSong" w:hAnsi="FangSong" w:eastAsia="FangSong" w:cs="FangSong"/>
          <w:sz w:val="30"/>
          <w:szCs w:val="30"/>
          <w:spacing w:val="14"/>
        </w:rPr>
        <w:t>《消毒管理办法》第四十四条</w:t>
      </w:r>
      <w:r>
        <w:rPr>
          <w:rFonts w:ascii="FangSong" w:hAnsi="FangSong" w:eastAsia="FangSong" w:cs="FangSong"/>
          <w:sz w:val="30"/>
          <w:szCs w:val="30"/>
          <w:spacing w:val="67"/>
        </w:rPr>
        <w:t xml:space="preserve">  </w:t>
      </w:r>
      <w:r>
        <w:rPr>
          <w:rFonts w:ascii="FangSong" w:hAnsi="FangSong" w:eastAsia="FangSong" w:cs="FangSong"/>
          <w:sz w:val="30"/>
          <w:szCs w:val="30"/>
          <w:spacing w:val="14"/>
        </w:rPr>
        <w:t>消毒服务机构违反本办法规定，有下列情形之一的，由县级以上</w:t>
      </w:r>
      <w:r>
        <w:rPr>
          <w:rFonts w:ascii="FangSong" w:hAnsi="FangSong" w:eastAsia="FangSong" w:cs="FangSong"/>
          <w:sz w:val="30"/>
          <w:szCs w:val="30"/>
        </w:rPr>
        <w:t xml:space="preserve"> </w:t>
      </w:r>
      <w:r>
        <w:rPr>
          <w:rFonts w:ascii="FangSong" w:hAnsi="FangSong" w:eastAsia="FangSong" w:cs="FangSong"/>
          <w:sz w:val="30"/>
          <w:szCs w:val="30"/>
          <w:spacing w:val="23"/>
        </w:rPr>
        <w:t>卫生行政部门责令其限期改正，可以处5000元以下的罚款；造成感染性疾病发生的，可以处5000</w:t>
      </w:r>
      <w:r>
        <w:rPr>
          <w:rFonts w:ascii="FangSong" w:hAnsi="FangSong" w:eastAsia="FangSong" w:cs="FangSong"/>
          <w:sz w:val="30"/>
          <w:szCs w:val="30"/>
          <w:spacing w:val="9"/>
        </w:rPr>
        <w:t xml:space="preserve">  </w:t>
      </w:r>
      <w:r>
        <w:rPr>
          <w:rFonts w:ascii="FangSong" w:hAnsi="FangSong" w:eastAsia="FangSong" w:cs="FangSong"/>
          <w:sz w:val="30"/>
          <w:szCs w:val="30"/>
          <w:spacing w:val="21"/>
        </w:rPr>
        <w:t>元以上20000元以下的罚款：消毒后的物品未达到卫生标准和</w:t>
      </w:r>
      <w:r>
        <w:rPr>
          <w:rFonts w:ascii="FangSong" w:hAnsi="FangSong" w:eastAsia="FangSong" w:cs="FangSong"/>
          <w:sz w:val="30"/>
          <w:szCs w:val="30"/>
          <w:spacing w:val="20"/>
        </w:rPr>
        <w:t>要求。</w:t>
      </w:r>
    </w:p>
    <w:p>
      <w:pPr>
        <w:ind w:left="6719"/>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53"/>
        <w:gridCol w:w="4437"/>
        <w:gridCol w:w="6760"/>
      </w:tblGrid>
      <w:tr>
        <w:trPr>
          <w:trHeight w:val="742" w:hRule="atLeast"/>
        </w:trPr>
        <w:tc>
          <w:tcPr>
            <w:tcW w:w="2753" w:type="dxa"/>
            <w:vAlign w:val="top"/>
          </w:tcPr>
          <w:p>
            <w:pPr>
              <w:pStyle w:val="TableText"/>
              <w:ind w:left="868"/>
              <w:spacing w:before="252" w:line="220" w:lineRule="auto"/>
              <w:rPr>
                <w:sz w:val="25"/>
                <w:szCs w:val="25"/>
              </w:rPr>
            </w:pPr>
            <w:r>
              <w:rPr>
                <w:sz w:val="25"/>
                <w:szCs w:val="25"/>
                <w:b/>
                <w:bCs/>
                <w:spacing w:val="-5"/>
              </w:rPr>
              <w:t>违法程度</w:t>
            </w:r>
          </w:p>
        </w:tc>
        <w:tc>
          <w:tcPr>
            <w:tcW w:w="4437" w:type="dxa"/>
            <w:vAlign w:val="top"/>
          </w:tcPr>
          <w:p>
            <w:pPr>
              <w:pStyle w:val="TableText"/>
              <w:ind w:left="1715"/>
              <w:spacing w:before="252" w:line="220" w:lineRule="auto"/>
              <w:rPr>
                <w:sz w:val="25"/>
                <w:szCs w:val="25"/>
              </w:rPr>
            </w:pPr>
            <w:r>
              <w:rPr>
                <w:sz w:val="25"/>
                <w:szCs w:val="25"/>
                <w:b/>
                <w:bCs/>
                <w:spacing w:val="-5"/>
              </w:rPr>
              <w:t>情节后果</w:t>
            </w:r>
          </w:p>
        </w:tc>
        <w:tc>
          <w:tcPr>
            <w:tcW w:w="6760" w:type="dxa"/>
            <w:vAlign w:val="top"/>
          </w:tcPr>
          <w:p>
            <w:pPr>
              <w:pStyle w:val="TableText"/>
              <w:ind w:left="2808"/>
              <w:spacing w:before="249" w:line="218" w:lineRule="auto"/>
              <w:rPr>
                <w:sz w:val="25"/>
                <w:szCs w:val="25"/>
              </w:rPr>
            </w:pPr>
            <w:r>
              <w:rPr>
                <w:sz w:val="25"/>
                <w:szCs w:val="25"/>
                <w:b/>
                <w:bCs/>
                <w:spacing w:val="-5"/>
              </w:rPr>
              <w:t>裁量幅度</w:t>
            </w:r>
          </w:p>
        </w:tc>
      </w:tr>
      <w:tr>
        <w:trPr>
          <w:trHeight w:val="787" w:hRule="atLeast"/>
        </w:trPr>
        <w:tc>
          <w:tcPr>
            <w:tcW w:w="2753" w:type="dxa"/>
            <w:vAlign w:val="top"/>
          </w:tcPr>
          <w:p>
            <w:pPr>
              <w:pStyle w:val="TableText"/>
              <w:ind w:left="1118"/>
              <w:spacing w:before="321" w:line="221" w:lineRule="auto"/>
              <w:rPr>
                <w:sz w:val="25"/>
                <w:szCs w:val="25"/>
              </w:rPr>
            </w:pPr>
            <w:r>
              <w:rPr>
                <w:sz w:val="25"/>
                <w:szCs w:val="25"/>
                <w:b/>
                <w:bCs/>
                <w:spacing w:val="-10"/>
              </w:rPr>
              <w:t>一般</w:t>
            </w:r>
          </w:p>
        </w:tc>
        <w:tc>
          <w:tcPr>
            <w:tcW w:w="4437" w:type="dxa"/>
            <w:vAlign w:val="top"/>
          </w:tcPr>
          <w:p>
            <w:pPr>
              <w:spacing w:line="250" w:lineRule="auto"/>
              <w:rPr>
                <w:rFonts w:ascii="Arial"/>
                <w:sz w:val="21"/>
              </w:rPr>
            </w:pPr>
            <w:r/>
          </w:p>
          <w:p>
            <w:pPr>
              <w:pStyle w:val="TableText"/>
              <w:ind w:left="141"/>
              <w:spacing w:before="81" w:line="219" w:lineRule="auto"/>
              <w:rPr>
                <w:sz w:val="25"/>
                <w:szCs w:val="25"/>
              </w:rPr>
            </w:pPr>
            <w:r>
              <w:rPr>
                <w:sz w:val="25"/>
                <w:szCs w:val="25"/>
              </w:rPr>
              <w:t>消毒后的物品未达到卫生标准和要求。</w:t>
            </w:r>
          </w:p>
        </w:tc>
        <w:tc>
          <w:tcPr>
            <w:tcW w:w="6760" w:type="dxa"/>
            <w:vAlign w:val="top"/>
          </w:tcPr>
          <w:p>
            <w:pPr>
              <w:spacing w:line="261" w:lineRule="auto"/>
              <w:rPr>
                <w:rFonts w:ascii="Arial"/>
                <w:sz w:val="21"/>
              </w:rPr>
            </w:pPr>
            <w:r/>
          </w:p>
          <w:p>
            <w:pPr>
              <w:pStyle w:val="TableText"/>
              <w:ind w:left="105"/>
              <w:spacing w:before="81" w:line="220" w:lineRule="auto"/>
              <w:rPr>
                <w:sz w:val="25"/>
                <w:szCs w:val="25"/>
              </w:rPr>
            </w:pPr>
            <w:r>
              <w:rPr>
                <w:sz w:val="25"/>
                <w:szCs w:val="25"/>
              </w:rPr>
              <w:t>处3000元以上4000元以下罚款。</w:t>
            </w:r>
          </w:p>
        </w:tc>
      </w:tr>
      <w:tr>
        <w:trPr>
          <w:trHeight w:val="768" w:hRule="atLeast"/>
        </w:trPr>
        <w:tc>
          <w:tcPr>
            <w:tcW w:w="2753" w:type="dxa"/>
            <w:vAlign w:val="top"/>
            <w:vMerge w:val="restart"/>
            <w:tcBorders>
              <w:bottom w:val="nil"/>
            </w:tcBorders>
          </w:tcPr>
          <w:p>
            <w:pPr>
              <w:spacing w:line="284" w:lineRule="auto"/>
              <w:rPr>
                <w:rFonts w:ascii="Arial"/>
                <w:sz w:val="21"/>
              </w:rPr>
            </w:pPr>
            <w:r/>
          </w:p>
          <w:p>
            <w:pPr>
              <w:spacing w:line="284" w:lineRule="auto"/>
              <w:rPr>
                <w:rFonts w:ascii="Arial"/>
                <w:sz w:val="21"/>
              </w:rPr>
            </w:pPr>
            <w:r/>
          </w:p>
          <w:p>
            <w:pPr>
              <w:pStyle w:val="TableText"/>
              <w:ind w:left="1118"/>
              <w:spacing w:before="81" w:line="220" w:lineRule="auto"/>
              <w:rPr>
                <w:sz w:val="25"/>
                <w:szCs w:val="25"/>
              </w:rPr>
            </w:pPr>
            <w:r>
              <w:rPr>
                <w:sz w:val="25"/>
                <w:szCs w:val="25"/>
                <w:b/>
                <w:bCs/>
                <w:spacing w:val="-6"/>
              </w:rPr>
              <w:t>严重</w:t>
            </w:r>
          </w:p>
        </w:tc>
        <w:tc>
          <w:tcPr>
            <w:tcW w:w="4437" w:type="dxa"/>
            <w:vAlign w:val="top"/>
          </w:tcPr>
          <w:p>
            <w:pPr>
              <w:spacing w:line="241" w:lineRule="auto"/>
              <w:rPr>
                <w:rFonts w:ascii="Arial"/>
                <w:sz w:val="21"/>
              </w:rPr>
            </w:pPr>
            <w:r/>
          </w:p>
          <w:p>
            <w:pPr>
              <w:pStyle w:val="TableText"/>
              <w:spacing w:before="82" w:line="219" w:lineRule="auto"/>
              <w:jc w:val="right"/>
              <w:rPr>
                <w:sz w:val="25"/>
                <w:szCs w:val="25"/>
              </w:rPr>
            </w:pPr>
            <w:r>
              <w:rPr>
                <w:sz w:val="25"/>
                <w:szCs w:val="25"/>
                <w:spacing w:val="1"/>
              </w:rPr>
              <w:t>造成感染性疾病暴发，病例数5例以下；</w:t>
            </w:r>
          </w:p>
        </w:tc>
        <w:tc>
          <w:tcPr>
            <w:tcW w:w="6760" w:type="dxa"/>
            <w:vAlign w:val="top"/>
          </w:tcPr>
          <w:p>
            <w:pPr>
              <w:spacing w:line="244" w:lineRule="auto"/>
              <w:rPr>
                <w:rFonts w:ascii="Arial"/>
                <w:sz w:val="21"/>
              </w:rPr>
            </w:pPr>
            <w:r/>
          </w:p>
          <w:p>
            <w:pPr>
              <w:pStyle w:val="TableText"/>
              <w:ind w:left="105"/>
              <w:spacing w:before="81" w:line="220" w:lineRule="auto"/>
              <w:rPr>
                <w:sz w:val="25"/>
                <w:szCs w:val="25"/>
              </w:rPr>
            </w:pPr>
            <w:r>
              <w:rPr>
                <w:sz w:val="25"/>
                <w:szCs w:val="25"/>
                <w:spacing w:val="6"/>
              </w:rPr>
              <w:t>处5000元以上10000元以下罚款；</w:t>
            </w:r>
          </w:p>
        </w:tc>
      </w:tr>
      <w:tr>
        <w:trPr>
          <w:trHeight w:val="772" w:hRule="atLeast"/>
        </w:trPr>
        <w:tc>
          <w:tcPr>
            <w:tcW w:w="2753" w:type="dxa"/>
            <w:vAlign w:val="top"/>
            <w:vMerge w:val="continue"/>
            <w:tcBorders>
              <w:top w:val="nil"/>
            </w:tcBorders>
          </w:tcPr>
          <w:p>
            <w:pPr>
              <w:rPr>
                <w:rFonts w:ascii="Arial"/>
                <w:sz w:val="21"/>
              </w:rPr>
            </w:pPr>
            <w:r/>
          </w:p>
        </w:tc>
        <w:tc>
          <w:tcPr>
            <w:tcW w:w="4437" w:type="dxa"/>
            <w:vAlign w:val="top"/>
          </w:tcPr>
          <w:p>
            <w:pPr>
              <w:rPr>
                <w:rFonts w:ascii="Arial"/>
                <w:sz w:val="21"/>
              </w:rPr>
            </w:pPr>
            <w:r/>
          </w:p>
          <w:p>
            <w:pPr>
              <w:pStyle w:val="TableText"/>
              <w:spacing w:before="81" w:line="219" w:lineRule="auto"/>
              <w:jc w:val="right"/>
              <w:rPr>
                <w:sz w:val="25"/>
                <w:szCs w:val="25"/>
              </w:rPr>
            </w:pPr>
            <w:r>
              <w:rPr>
                <w:sz w:val="25"/>
                <w:szCs w:val="25"/>
                <w:b/>
                <w:bCs/>
                <w:spacing w:val="-5"/>
              </w:rPr>
              <w:t>造成感染性疾病暴发，病例数超过5例。</w:t>
            </w:r>
          </w:p>
        </w:tc>
        <w:tc>
          <w:tcPr>
            <w:tcW w:w="6760" w:type="dxa"/>
            <w:vAlign w:val="top"/>
          </w:tcPr>
          <w:p>
            <w:pPr>
              <w:spacing w:line="246" w:lineRule="auto"/>
              <w:rPr>
                <w:rFonts w:ascii="Arial"/>
                <w:sz w:val="21"/>
              </w:rPr>
            </w:pPr>
            <w:r/>
          </w:p>
          <w:p>
            <w:pPr>
              <w:pStyle w:val="TableText"/>
              <w:ind w:left="105"/>
              <w:spacing w:before="81" w:line="220" w:lineRule="auto"/>
              <w:rPr>
                <w:sz w:val="25"/>
                <w:szCs w:val="25"/>
              </w:rPr>
            </w:pPr>
            <w:r>
              <w:rPr>
                <w:sz w:val="25"/>
                <w:szCs w:val="25"/>
              </w:rPr>
              <w:t>处10000元以上20000元以下罚款。</w:t>
            </w:r>
          </w:p>
        </w:tc>
      </w:tr>
    </w:tbl>
    <w:p>
      <w:pPr>
        <w:ind w:left="794"/>
        <w:spacing w:before="128" w:line="224" w:lineRule="auto"/>
        <w:rPr>
          <w:rFonts w:ascii="KaiTi" w:hAnsi="KaiTi" w:eastAsia="KaiTi" w:cs="KaiTi"/>
          <w:sz w:val="30"/>
          <w:szCs w:val="30"/>
        </w:rPr>
      </w:pPr>
      <w:r>
        <w:rPr>
          <w:rFonts w:ascii="KaiTi" w:hAnsi="KaiTi" w:eastAsia="KaiTi" w:cs="KaiTi"/>
          <w:sz w:val="30"/>
          <w:szCs w:val="30"/>
          <w:spacing w:val="3"/>
        </w:rPr>
        <w:t>(</w:t>
      </w:r>
      <w:r>
        <w:rPr>
          <w:rFonts w:ascii="KaiTi" w:hAnsi="KaiTi" w:eastAsia="KaiTi" w:cs="KaiTi"/>
          <w:sz w:val="30"/>
          <w:szCs w:val="30"/>
          <w:spacing w:val="-67"/>
        </w:rPr>
        <w:t xml:space="preserve"> </w:t>
      </w:r>
      <w:r>
        <w:rPr>
          <w:rFonts w:ascii="KaiTi" w:hAnsi="KaiTi" w:eastAsia="KaiTi" w:cs="KaiTi"/>
          <w:sz w:val="30"/>
          <w:szCs w:val="30"/>
          <w:b/>
          <w:bCs/>
          <w:spacing w:val="3"/>
        </w:rPr>
        <w:t>十</w:t>
      </w:r>
      <w:r>
        <w:rPr>
          <w:rFonts w:ascii="KaiTi" w:hAnsi="KaiTi" w:eastAsia="KaiTi" w:cs="KaiTi"/>
          <w:sz w:val="30"/>
          <w:szCs w:val="30"/>
          <w:spacing w:val="3"/>
        </w:rPr>
        <w:t xml:space="preserve"> </w:t>
      </w:r>
      <w:r>
        <w:rPr>
          <w:rFonts w:ascii="KaiTi" w:hAnsi="KaiTi" w:eastAsia="KaiTi" w:cs="KaiTi"/>
          <w:sz w:val="30"/>
          <w:szCs w:val="30"/>
          <w:b/>
          <w:bCs/>
          <w:spacing w:val="3"/>
        </w:rPr>
        <w:t>)</w:t>
      </w:r>
      <w:r>
        <w:rPr>
          <w:rFonts w:ascii="KaiTi" w:hAnsi="KaiTi" w:eastAsia="KaiTi" w:cs="KaiTi"/>
          <w:sz w:val="30"/>
          <w:szCs w:val="30"/>
          <w:spacing w:val="18"/>
        </w:rPr>
        <w:t xml:space="preserve">  </w:t>
      </w:r>
      <w:r>
        <w:rPr>
          <w:rFonts w:ascii="KaiTi" w:hAnsi="KaiTi" w:eastAsia="KaiTi" w:cs="KaiTi"/>
          <w:sz w:val="30"/>
          <w:szCs w:val="30"/>
          <w:b/>
          <w:bCs/>
          <w:spacing w:val="3"/>
        </w:rPr>
        <w:t>《突发公共卫生事件应急条例》</w:t>
      </w:r>
    </w:p>
    <w:p>
      <w:pPr>
        <w:ind w:left="675" w:right="1259" w:firstLine="4"/>
        <w:spacing w:before="304" w:line="252" w:lineRule="auto"/>
        <w:rPr>
          <w:rFonts w:ascii="FangSong" w:hAnsi="FangSong" w:eastAsia="FangSong" w:cs="FangSong"/>
          <w:sz w:val="30"/>
          <w:szCs w:val="30"/>
        </w:rPr>
      </w:pPr>
      <w:r>
        <w:rPr>
          <w:rFonts w:ascii="FangSong" w:hAnsi="FangSong" w:eastAsia="FangSong" w:cs="FangSong"/>
          <w:sz w:val="30"/>
          <w:szCs w:val="30"/>
          <w:b/>
          <w:bCs/>
          <w:spacing w:val="22"/>
        </w:rPr>
        <w:t>第九十一条医疗卫生机构未依照本条例的规定履行报告职责</w:t>
      </w:r>
      <w:r>
        <w:rPr>
          <w:rFonts w:ascii="FangSong" w:hAnsi="FangSong" w:eastAsia="FangSong" w:cs="FangSong"/>
          <w:sz w:val="30"/>
          <w:szCs w:val="30"/>
          <w:b/>
          <w:bCs/>
          <w:spacing w:val="21"/>
        </w:rPr>
        <w:t>，隐瞒、缓报或者谎报的</w:t>
      </w:r>
      <w:r>
        <w:rPr>
          <w:rFonts w:ascii="FangSong" w:hAnsi="FangSong" w:eastAsia="FangSong" w:cs="FangSong"/>
          <w:sz w:val="30"/>
          <w:szCs w:val="30"/>
        </w:rPr>
        <w:t xml:space="preserve"> </w:t>
      </w:r>
      <w:r>
        <w:rPr>
          <w:rFonts w:ascii="FangSong" w:hAnsi="FangSong" w:eastAsia="FangSong" w:cs="FangSong"/>
          <w:sz w:val="30"/>
          <w:szCs w:val="30"/>
          <w:spacing w:val="-2"/>
        </w:rPr>
        <w:t>法律依据：</w:t>
      </w:r>
    </w:p>
    <w:p>
      <w:pPr>
        <w:ind w:left="25" w:right="25" w:firstLine="619"/>
        <w:spacing w:before="68" w:line="284" w:lineRule="auto"/>
        <w:rPr>
          <w:rFonts w:ascii="FangSong" w:hAnsi="FangSong" w:eastAsia="FangSong" w:cs="FangSong"/>
          <w:sz w:val="30"/>
          <w:szCs w:val="30"/>
        </w:rPr>
      </w:pPr>
      <w:r>
        <w:rPr>
          <w:rFonts w:ascii="FangSong" w:hAnsi="FangSong" w:eastAsia="FangSong" w:cs="FangSong"/>
          <w:sz w:val="30"/>
          <w:szCs w:val="30"/>
          <w:spacing w:val="26"/>
        </w:rPr>
        <w:t>《突发公共卫生事件应急条例》第五十条第(一)项</w:t>
      </w:r>
      <w:r>
        <w:rPr>
          <w:rFonts w:ascii="FangSong" w:hAnsi="FangSong" w:eastAsia="FangSong" w:cs="FangSong"/>
          <w:sz w:val="30"/>
          <w:szCs w:val="30"/>
          <w:spacing w:val="26"/>
        </w:rPr>
        <w:t xml:space="preserve">   </w:t>
      </w:r>
      <w:r>
        <w:rPr>
          <w:rFonts w:ascii="FangSong" w:hAnsi="FangSong" w:eastAsia="FangSong" w:cs="FangSong"/>
          <w:sz w:val="30"/>
          <w:szCs w:val="30"/>
          <w:spacing w:val="26"/>
        </w:rPr>
        <w:t>医疗卫生机构有下列行为的，由卫生行</w:t>
      </w:r>
      <w:r>
        <w:rPr>
          <w:rFonts w:ascii="FangSong" w:hAnsi="FangSong" w:eastAsia="FangSong" w:cs="FangSong"/>
          <w:sz w:val="30"/>
          <w:szCs w:val="30"/>
          <w:spacing w:val="2"/>
        </w:rPr>
        <w:t xml:space="preserve"> </w:t>
      </w:r>
      <w:r>
        <w:rPr>
          <w:rFonts w:ascii="FangSong" w:hAnsi="FangSong" w:eastAsia="FangSong" w:cs="FangSong"/>
          <w:sz w:val="30"/>
          <w:szCs w:val="30"/>
          <w:spacing w:val="20"/>
        </w:rPr>
        <w:t>政主管部门责令改正、通报批评、给予警告；情节</w:t>
      </w:r>
      <w:r>
        <w:rPr>
          <w:rFonts w:ascii="FangSong" w:hAnsi="FangSong" w:eastAsia="FangSong" w:cs="FangSong"/>
          <w:sz w:val="30"/>
          <w:szCs w:val="30"/>
          <w:spacing w:val="19"/>
        </w:rPr>
        <w:t>严重的，吊销《医疗机构执业许可证》;对主要负</w:t>
      </w:r>
    </w:p>
    <w:p>
      <w:pPr>
        <w:spacing w:line="284" w:lineRule="auto"/>
        <w:sectPr>
          <w:footerReference w:type="default" r:id="rId171"/>
          <w:pgSz w:w="16830" w:h="11900"/>
          <w:pgMar w:top="1011" w:right="1455" w:bottom="1097" w:left="1414" w:header="0" w:footer="764" w:gutter="0"/>
        </w:sectPr>
        <w:rPr>
          <w:rFonts w:ascii="FangSong" w:hAnsi="FangSong" w:eastAsia="FangSong" w:cs="FangSong"/>
          <w:sz w:val="30"/>
          <w:szCs w:val="30"/>
        </w:rPr>
      </w:pPr>
    </w:p>
    <w:p>
      <w:pPr>
        <w:pStyle w:val="BodyText"/>
        <w:spacing w:line="257" w:lineRule="auto"/>
        <w:rPr/>
      </w:pPr>
      <w:r/>
    </w:p>
    <w:p>
      <w:pPr>
        <w:pStyle w:val="BodyText"/>
        <w:spacing w:line="257" w:lineRule="auto"/>
        <w:rPr/>
      </w:pPr>
      <w:r/>
    </w:p>
    <w:p>
      <w:pPr>
        <w:pStyle w:val="BodyText"/>
        <w:spacing w:line="257" w:lineRule="auto"/>
        <w:rPr/>
      </w:pPr>
      <w:r/>
    </w:p>
    <w:p>
      <w:pPr>
        <w:spacing w:before="101" w:line="222" w:lineRule="auto"/>
        <w:outlineLvl w:val="1"/>
        <w:jc w:val="right"/>
        <w:rPr>
          <w:rFonts w:ascii="FangSong" w:hAnsi="FangSong" w:eastAsia="FangSong" w:cs="FangSong"/>
          <w:sz w:val="31"/>
          <w:szCs w:val="31"/>
        </w:rPr>
      </w:pPr>
      <w:bookmarkStart w:name="bookmark828" w:id="148"/>
      <w:bookmarkEnd w:id="148"/>
      <w:bookmarkStart w:name="bookmark186" w:id="149"/>
      <w:bookmarkEnd w:id="149"/>
      <w:r>
        <w:rPr>
          <w:rFonts w:ascii="FangSong" w:hAnsi="FangSong" w:eastAsia="FangSong" w:cs="FangSong"/>
          <w:sz w:val="31"/>
          <w:szCs w:val="31"/>
          <w:spacing w:val="2"/>
        </w:rPr>
        <w:t>责人、负有责任的主管人员和其他直接责任人员依法给予降级或者撤职的纪律处分；造成传染病传播、</w:t>
      </w:r>
    </w:p>
    <w:p>
      <w:pPr>
        <w:ind w:left="15"/>
        <w:spacing w:before="66" w:line="221" w:lineRule="auto"/>
        <w:rPr>
          <w:rFonts w:ascii="FangSong" w:hAnsi="FangSong" w:eastAsia="FangSong" w:cs="FangSong"/>
          <w:sz w:val="31"/>
          <w:szCs w:val="31"/>
        </w:rPr>
      </w:pPr>
      <w:r>
        <w:rPr>
          <w:rFonts w:ascii="FangSong" w:hAnsi="FangSong" w:eastAsia="FangSong" w:cs="FangSong"/>
          <w:sz w:val="31"/>
          <w:szCs w:val="31"/>
          <w:spacing w:val="8"/>
        </w:rPr>
        <w:t>流行或者对社会公众健康造成其他严重危害后果，构成</w:t>
      </w:r>
      <w:r>
        <w:rPr>
          <w:rFonts w:ascii="FangSong" w:hAnsi="FangSong" w:eastAsia="FangSong" w:cs="FangSong"/>
          <w:sz w:val="31"/>
          <w:szCs w:val="31"/>
          <w:spacing w:val="7"/>
        </w:rPr>
        <w:t>犯罪的，依法追究刑事责任：</w:t>
      </w:r>
    </w:p>
    <w:p>
      <w:pPr>
        <w:ind w:left="774"/>
        <w:spacing w:before="58" w:line="221" w:lineRule="auto"/>
        <w:rPr>
          <w:rFonts w:ascii="FangSong" w:hAnsi="FangSong" w:eastAsia="FangSong" w:cs="FangSong"/>
          <w:sz w:val="31"/>
          <w:szCs w:val="31"/>
        </w:rPr>
      </w:pPr>
      <w:r>
        <w:rPr>
          <w:rFonts w:ascii="FangSong" w:hAnsi="FangSong" w:eastAsia="FangSong" w:cs="FangSong"/>
          <w:sz w:val="31"/>
          <w:szCs w:val="31"/>
          <w:spacing w:val="13"/>
        </w:rPr>
        <w:t>(一)未依照本条例的规定履行报告职责，隐瞒、缓报</w:t>
      </w:r>
      <w:r>
        <w:rPr>
          <w:rFonts w:ascii="FangSong" w:hAnsi="FangSong" w:eastAsia="FangSong" w:cs="FangSong"/>
          <w:sz w:val="31"/>
          <w:szCs w:val="31"/>
          <w:spacing w:val="12"/>
        </w:rPr>
        <w:t>或者谎报的；</w:t>
      </w:r>
    </w:p>
    <w:p>
      <w:pPr>
        <w:ind w:left="15" w:right="119" w:firstLine="704"/>
        <w:spacing w:before="80" w:line="262" w:lineRule="auto"/>
        <w:rPr>
          <w:rFonts w:ascii="FangSong" w:hAnsi="FangSong" w:eastAsia="FangSong" w:cs="FangSong"/>
          <w:sz w:val="31"/>
          <w:szCs w:val="31"/>
        </w:rPr>
      </w:pPr>
      <w:r>
        <w:rPr>
          <w:rFonts w:ascii="FangSong" w:hAnsi="FangSong" w:eastAsia="FangSong" w:cs="FangSong"/>
          <w:sz w:val="31"/>
          <w:szCs w:val="31"/>
          <w:spacing w:val="8"/>
        </w:rPr>
        <w:t>《突发公共卫生事件应急条例》第二十一条</w:t>
      </w:r>
      <w:r>
        <w:rPr>
          <w:rFonts w:ascii="FangSong" w:hAnsi="FangSong" w:eastAsia="FangSong" w:cs="FangSong"/>
          <w:sz w:val="31"/>
          <w:szCs w:val="31"/>
          <w:spacing w:val="8"/>
        </w:rPr>
        <w:t xml:space="preserve">   </w:t>
      </w:r>
      <w:r>
        <w:rPr>
          <w:rFonts w:ascii="FangSong" w:hAnsi="FangSong" w:eastAsia="FangSong" w:cs="FangSong"/>
          <w:sz w:val="31"/>
          <w:szCs w:val="31"/>
          <w:spacing w:val="8"/>
        </w:rPr>
        <w:t>任何单位和个人对突发事件，不得隐瞒、缓报、</w:t>
      </w:r>
      <w:r>
        <w:rPr>
          <w:rFonts w:ascii="FangSong" w:hAnsi="FangSong" w:eastAsia="FangSong" w:cs="FangSong"/>
          <w:sz w:val="31"/>
          <w:szCs w:val="31"/>
          <w:spacing w:val="10"/>
        </w:rPr>
        <w:t xml:space="preserve"> </w:t>
      </w:r>
      <w:r>
        <w:rPr>
          <w:rFonts w:ascii="FangSong" w:hAnsi="FangSong" w:eastAsia="FangSong" w:cs="FangSong"/>
          <w:sz w:val="31"/>
          <w:szCs w:val="31"/>
          <w:spacing w:val="4"/>
        </w:rPr>
        <w:t>谎报或者授意他人隐瞒、缓报、谎报。</w:t>
      </w:r>
    </w:p>
    <w:p>
      <w:pPr>
        <w:ind w:left="6689"/>
        <w:spacing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504"/>
        <w:gridCol w:w="4592"/>
      </w:tblGrid>
      <w:tr>
        <w:trPr>
          <w:trHeight w:val="582" w:hRule="atLeast"/>
        </w:trPr>
        <w:tc>
          <w:tcPr>
            <w:tcW w:w="1784" w:type="dxa"/>
            <w:vAlign w:val="top"/>
          </w:tcPr>
          <w:p>
            <w:pPr>
              <w:pStyle w:val="TableText"/>
              <w:ind w:left="388"/>
              <w:spacing w:before="172" w:line="220" w:lineRule="auto"/>
              <w:rPr>
                <w:sz w:val="25"/>
                <w:szCs w:val="25"/>
              </w:rPr>
            </w:pPr>
            <w:r>
              <w:rPr>
                <w:sz w:val="25"/>
                <w:szCs w:val="25"/>
                <w:b/>
                <w:bCs/>
                <w:spacing w:val="-5"/>
              </w:rPr>
              <w:t>违法程度</w:t>
            </w:r>
          </w:p>
        </w:tc>
        <w:tc>
          <w:tcPr>
            <w:tcW w:w="7504" w:type="dxa"/>
            <w:vAlign w:val="top"/>
          </w:tcPr>
          <w:p>
            <w:pPr>
              <w:pStyle w:val="TableText"/>
              <w:ind w:left="3194"/>
              <w:spacing w:before="172" w:line="220" w:lineRule="auto"/>
              <w:rPr>
                <w:sz w:val="25"/>
                <w:szCs w:val="25"/>
              </w:rPr>
            </w:pPr>
            <w:r>
              <w:rPr>
                <w:sz w:val="25"/>
                <w:szCs w:val="25"/>
                <w:b/>
                <w:bCs/>
                <w:spacing w:val="-5"/>
              </w:rPr>
              <w:t>情节后果</w:t>
            </w:r>
          </w:p>
        </w:tc>
        <w:tc>
          <w:tcPr>
            <w:tcW w:w="4592" w:type="dxa"/>
            <w:vAlign w:val="top"/>
          </w:tcPr>
          <w:p>
            <w:pPr>
              <w:pStyle w:val="TableText"/>
              <w:ind w:left="1740"/>
              <w:spacing w:before="169" w:line="218" w:lineRule="auto"/>
              <w:rPr>
                <w:sz w:val="25"/>
                <w:szCs w:val="25"/>
              </w:rPr>
            </w:pPr>
            <w:r>
              <w:rPr>
                <w:sz w:val="25"/>
                <w:szCs w:val="25"/>
                <w:b/>
                <w:bCs/>
                <w:spacing w:val="-5"/>
              </w:rPr>
              <w:t>裁量幅度</w:t>
            </w:r>
          </w:p>
        </w:tc>
      </w:tr>
      <w:tr>
        <w:trPr>
          <w:trHeight w:val="457" w:hRule="atLeast"/>
        </w:trPr>
        <w:tc>
          <w:tcPr>
            <w:tcW w:w="1784" w:type="dxa"/>
            <w:vAlign w:val="top"/>
          </w:tcPr>
          <w:p>
            <w:pPr>
              <w:pStyle w:val="TableText"/>
              <w:ind w:left="638"/>
              <w:spacing w:before="111" w:line="221" w:lineRule="auto"/>
              <w:rPr>
                <w:sz w:val="25"/>
                <w:szCs w:val="25"/>
              </w:rPr>
            </w:pPr>
            <w:r>
              <w:rPr>
                <w:sz w:val="25"/>
                <w:szCs w:val="25"/>
                <w:b/>
                <w:bCs/>
                <w:spacing w:val="-10"/>
              </w:rPr>
              <w:t>一般</w:t>
            </w:r>
          </w:p>
        </w:tc>
        <w:tc>
          <w:tcPr>
            <w:tcW w:w="7504" w:type="dxa"/>
            <w:vAlign w:val="top"/>
          </w:tcPr>
          <w:p>
            <w:pPr>
              <w:pStyle w:val="TableText"/>
              <w:ind w:left="111"/>
              <w:spacing w:before="111" w:line="218" w:lineRule="auto"/>
              <w:rPr>
                <w:sz w:val="25"/>
                <w:szCs w:val="25"/>
              </w:rPr>
            </w:pPr>
            <w:r>
              <w:rPr>
                <w:sz w:val="25"/>
                <w:szCs w:val="25"/>
              </w:rPr>
              <w:t>未按规定履行报告职责，隐瞒、缓报或者谎报的</w:t>
            </w:r>
          </w:p>
        </w:tc>
        <w:tc>
          <w:tcPr>
            <w:tcW w:w="4592" w:type="dxa"/>
            <w:vAlign w:val="top"/>
          </w:tcPr>
          <w:p>
            <w:pPr>
              <w:pStyle w:val="TableText"/>
              <w:ind w:left="137"/>
              <w:spacing w:before="111" w:line="218" w:lineRule="auto"/>
              <w:rPr>
                <w:sz w:val="25"/>
                <w:szCs w:val="25"/>
              </w:rPr>
            </w:pPr>
            <w:r>
              <w:rPr>
                <w:sz w:val="25"/>
                <w:szCs w:val="25"/>
                <w:spacing w:val="2"/>
              </w:rPr>
              <w:t>通报批评、警告</w:t>
            </w:r>
          </w:p>
        </w:tc>
      </w:tr>
      <w:tr>
        <w:trPr>
          <w:trHeight w:val="880" w:hRule="atLeast"/>
        </w:trPr>
        <w:tc>
          <w:tcPr>
            <w:tcW w:w="1784" w:type="dxa"/>
            <w:vAlign w:val="top"/>
          </w:tcPr>
          <w:p>
            <w:pPr>
              <w:rPr>
                <w:rFonts w:ascii="Arial"/>
                <w:sz w:val="21"/>
              </w:rPr>
            </w:pPr>
            <w:r/>
          </w:p>
          <w:p>
            <w:pPr>
              <w:pStyle w:val="TableText"/>
              <w:ind w:left="638"/>
              <w:spacing w:before="81" w:line="220" w:lineRule="auto"/>
              <w:rPr>
                <w:sz w:val="25"/>
                <w:szCs w:val="25"/>
              </w:rPr>
            </w:pPr>
            <w:r>
              <w:rPr>
                <w:sz w:val="25"/>
                <w:szCs w:val="25"/>
                <w:b/>
                <w:bCs/>
                <w:spacing w:val="-6"/>
              </w:rPr>
              <w:t>严重</w:t>
            </w:r>
          </w:p>
        </w:tc>
        <w:tc>
          <w:tcPr>
            <w:tcW w:w="7504" w:type="dxa"/>
            <w:vAlign w:val="top"/>
          </w:tcPr>
          <w:p>
            <w:pPr>
              <w:pStyle w:val="TableText"/>
              <w:ind w:left="111" w:firstLine="9"/>
              <w:spacing w:before="163" w:line="261" w:lineRule="auto"/>
              <w:rPr>
                <w:sz w:val="25"/>
                <w:szCs w:val="25"/>
              </w:rPr>
            </w:pPr>
            <w:r>
              <w:rPr>
                <w:sz w:val="25"/>
                <w:szCs w:val="25"/>
                <w:spacing w:val="-4"/>
              </w:rPr>
              <w:t>未依法履行报告职责，隐瞒、缓报或者谎报造成</w:t>
            </w:r>
            <w:r>
              <w:rPr>
                <w:sz w:val="25"/>
                <w:szCs w:val="25"/>
                <w:spacing w:val="-5"/>
              </w:rPr>
              <w:t>传染病传播、流行或</w:t>
            </w:r>
            <w:r>
              <w:rPr>
                <w:sz w:val="25"/>
                <w:szCs w:val="25"/>
              </w:rPr>
              <w:t xml:space="preserve"> </w:t>
            </w:r>
            <w:r>
              <w:rPr>
                <w:sz w:val="25"/>
                <w:szCs w:val="25"/>
              </w:rPr>
              <w:t>者对社会公众健康造成其他严重危害后果的</w:t>
            </w:r>
          </w:p>
        </w:tc>
        <w:tc>
          <w:tcPr>
            <w:tcW w:w="4592" w:type="dxa"/>
            <w:vAlign w:val="top"/>
          </w:tcPr>
          <w:p>
            <w:pPr>
              <w:spacing w:line="241" w:lineRule="auto"/>
              <w:rPr>
                <w:rFonts w:ascii="Arial"/>
                <w:sz w:val="21"/>
              </w:rPr>
            </w:pPr>
            <w:r/>
          </w:p>
          <w:p>
            <w:pPr>
              <w:pStyle w:val="TableText"/>
              <w:ind w:left="137"/>
              <w:spacing w:before="82" w:line="219" w:lineRule="auto"/>
              <w:rPr>
                <w:sz w:val="25"/>
                <w:szCs w:val="25"/>
              </w:rPr>
            </w:pPr>
            <w:r>
              <w:rPr>
                <w:sz w:val="25"/>
                <w:szCs w:val="25"/>
              </w:rPr>
              <w:t>吊销医疗机构执业许可证</w:t>
            </w:r>
          </w:p>
        </w:tc>
      </w:tr>
    </w:tbl>
    <w:p>
      <w:pPr>
        <w:ind w:left="669"/>
        <w:spacing w:before="98" w:line="222" w:lineRule="auto"/>
        <w:rPr>
          <w:rFonts w:ascii="FangSong" w:hAnsi="FangSong" w:eastAsia="FangSong" w:cs="FangSong"/>
          <w:sz w:val="31"/>
          <w:szCs w:val="31"/>
        </w:rPr>
      </w:pPr>
      <w:r>
        <w:rPr>
          <w:rFonts w:ascii="FangSong" w:hAnsi="FangSong" w:eastAsia="FangSong" w:cs="FangSong"/>
          <w:sz w:val="31"/>
          <w:szCs w:val="31"/>
          <w:b/>
          <w:bCs/>
          <w:spacing w:val="12"/>
        </w:rPr>
        <w:t>第九十二条医疗卫生机构未依照本条例的规定及时采取控制措施的</w:t>
      </w:r>
    </w:p>
    <w:p>
      <w:pPr>
        <w:ind w:left="665"/>
        <w:spacing w:before="103"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15" w:firstLine="604"/>
        <w:spacing w:before="65" w:line="262" w:lineRule="auto"/>
        <w:jc w:val="both"/>
        <w:rPr>
          <w:rFonts w:ascii="FangSong" w:hAnsi="FangSong" w:eastAsia="FangSong" w:cs="FangSong"/>
          <w:sz w:val="31"/>
          <w:szCs w:val="31"/>
        </w:rPr>
      </w:pPr>
      <w:r>
        <w:rPr>
          <w:rFonts w:ascii="FangSong" w:hAnsi="FangSong" w:eastAsia="FangSong" w:cs="FangSong"/>
          <w:sz w:val="31"/>
          <w:szCs w:val="31"/>
          <w:spacing w:val="17"/>
        </w:rPr>
        <w:t>《突发公共卫生事件应急条例》第五十条第(二)项</w:t>
      </w:r>
      <w:r>
        <w:rPr>
          <w:rFonts w:ascii="FangSong" w:hAnsi="FangSong" w:eastAsia="FangSong" w:cs="FangSong"/>
          <w:sz w:val="31"/>
          <w:szCs w:val="31"/>
          <w:spacing w:val="17"/>
        </w:rPr>
        <w:t xml:space="preserve">   </w:t>
      </w:r>
      <w:r>
        <w:rPr>
          <w:rFonts w:ascii="FangSong" w:hAnsi="FangSong" w:eastAsia="FangSong" w:cs="FangSong"/>
          <w:sz w:val="31"/>
          <w:szCs w:val="31"/>
          <w:spacing w:val="17"/>
        </w:rPr>
        <w:t>医疗卫生机构</w:t>
      </w:r>
      <w:r>
        <w:rPr>
          <w:rFonts w:ascii="FangSong" w:hAnsi="FangSong" w:eastAsia="FangSong" w:cs="FangSong"/>
          <w:sz w:val="31"/>
          <w:szCs w:val="31"/>
          <w:spacing w:val="16"/>
        </w:rPr>
        <w:t>有下列行为的，由卫生行</w:t>
      </w:r>
      <w:r>
        <w:rPr>
          <w:rFonts w:ascii="FangSong" w:hAnsi="FangSong" w:eastAsia="FangSong" w:cs="FangSong"/>
          <w:sz w:val="31"/>
          <w:szCs w:val="31"/>
        </w:rPr>
        <w:t xml:space="preserve">  </w:t>
      </w:r>
      <w:r>
        <w:rPr>
          <w:rFonts w:ascii="FangSong" w:hAnsi="FangSong" w:eastAsia="FangSong" w:cs="FangSong"/>
          <w:sz w:val="31"/>
          <w:szCs w:val="31"/>
          <w:spacing w:val="10"/>
        </w:rPr>
        <w:t>政主管部门责令改正、通报批评、给予警告；情节严重的，吊销《医疗机构执业许可证》;对主要负</w:t>
      </w:r>
      <w:r>
        <w:rPr>
          <w:rFonts w:ascii="FangSong" w:hAnsi="FangSong" w:eastAsia="FangSong" w:cs="FangSong"/>
          <w:sz w:val="31"/>
          <w:szCs w:val="31"/>
          <w:spacing w:val="5"/>
        </w:rPr>
        <w:t xml:space="preserve"> </w:t>
      </w:r>
      <w:r>
        <w:rPr>
          <w:rFonts w:ascii="FangSong" w:hAnsi="FangSong" w:eastAsia="FangSong" w:cs="FangSong"/>
          <w:sz w:val="31"/>
          <w:szCs w:val="31"/>
          <w:spacing w:val="2"/>
        </w:rPr>
        <w:t>责人、负有责任的主管人员和其他直接责任人员依法给予降级或者撤职的纪律处分；造成传染病传播、</w:t>
      </w:r>
      <w:r>
        <w:rPr>
          <w:rFonts w:ascii="FangSong" w:hAnsi="FangSong" w:eastAsia="FangSong" w:cs="FangSong"/>
          <w:sz w:val="31"/>
          <w:szCs w:val="31"/>
          <w:spacing w:val="3"/>
        </w:rPr>
        <w:t xml:space="preserve"> </w:t>
      </w:r>
      <w:r>
        <w:rPr>
          <w:rFonts w:ascii="FangSong" w:hAnsi="FangSong" w:eastAsia="FangSong" w:cs="FangSong"/>
          <w:sz w:val="31"/>
          <w:szCs w:val="31"/>
          <w:spacing w:val="8"/>
        </w:rPr>
        <w:t>流行或者对社会公众健康造成其他严重危害后果，构成</w:t>
      </w:r>
      <w:r>
        <w:rPr>
          <w:rFonts w:ascii="FangSong" w:hAnsi="FangSong" w:eastAsia="FangSong" w:cs="FangSong"/>
          <w:sz w:val="31"/>
          <w:szCs w:val="31"/>
          <w:spacing w:val="7"/>
        </w:rPr>
        <w:t>犯罪的，依法追究刑事责任：</w:t>
      </w:r>
    </w:p>
    <w:p>
      <w:pPr>
        <w:ind w:left="774"/>
        <w:spacing w:before="9" w:line="222" w:lineRule="auto"/>
        <w:rPr>
          <w:rFonts w:ascii="FangSong" w:hAnsi="FangSong" w:eastAsia="FangSong" w:cs="FangSong"/>
          <w:sz w:val="31"/>
          <w:szCs w:val="31"/>
        </w:rPr>
      </w:pPr>
      <w:r>
        <w:rPr>
          <w:rFonts w:ascii="FangSong" w:hAnsi="FangSong" w:eastAsia="FangSong" w:cs="FangSong"/>
          <w:sz w:val="31"/>
          <w:szCs w:val="31"/>
          <w:spacing w:val="13"/>
        </w:rPr>
        <w:t>(二)未依照本条例的规定及时采取控制措施的；</w:t>
      </w:r>
    </w:p>
    <w:p>
      <w:pPr>
        <w:spacing w:line="222" w:lineRule="auto"/>
        <w:sectPr>
          <w:footerReference w:type="default" r:id="rId172"/>
          <w:pgSz w:w="16830" w:h="11900"/>
          <w:pgMar w:top="1011" w:right="1335" w:bottom="1107" w:left="1434" w:header="0" w:footer="774" w:gutter="0"/>
        </w:sectPr>
        <w:rPr>
          <w:rFonts w:ascii="FangSong" w:hAnsi="FangSong" w:eastAsia="FangSong" w:cs="FangSong"/>
          <w:sz w:val="31"/>
          <w:szCs w:val="31"/>
        </w:rPr>
      </w:pPr>
    </w:p>
    <w:p>
      <w:pPr>
        <w:pStyle w:val="BodyText"/>
        <w:spacing w:line="261" w:lineRule="auto"/>
        <w:rPr/>
      </w:pPr>
      <w:r/>
    </w:p>
    <w:p>
      <w:pPr>
        <w:pStyle w:val="BodyText"/>
        <w:spacing w:line="261" w:lineRule="auto"/>
        <w:rPr/>
      </w:pPr>
      <w:r/>
    </w:p>
    <w:p>
      <w:pPr>
        <w:pStyle w:val="BodyText"/>
        <w:spacing w:line="261" w:lineRule="auto"/>
        <w:rPr/>
      </w:pPr>
      <w:r/>
    </w:p>
    <w:p>
      <w:pPr>
        <w:ind w:left="654"/>
        <w:spacing w:before="97" w:line="221" w:lineRule="auto"/>
        <w:outlineLvl w:val="1"/>
        <w:rPr>
          <w:rFonts w:ascii="FangSong" w:hAnsi="FangSong" w:eastAsia="FangSong" w:cs="FangSong"/>
          <w:sz w:val="30"/>
          <w:szCs w:val="30"/>
        </w:rPr>
      </w:pPr>
      <w:bookmarkStart w:name="bookmark829" w:id="150"/>
      <w:bookmarkEnd w:id="150"/>
      <w:bookmarkStart w:name="bookmark186" w:id="151"/>
      <w:bookmarkEnd w:id="151"/>
      <w:r>
        <w:rPr>
          <w:rFonts w:ascii="FangSong" w:hAnsi="FangSong" w:eastAsia="FangSong" w:cs="FangSong"/>
          <w:sz w:val="30"/>
          <w:szCs w:val="30"/>
          <w:spacing w:val="17"/>
        </w:rPr>
        <w:t>《突发公共卫生事件应急条例》第二十二条</w:t>
      </w:r>
      <w:r>
        <w:rPr>
          <w:rFonts w:ascii="FangSong" w:hAnsi="FangSong" w:eastAsia="FangSong" w:cs="FangSong"/>
          <w:sz w:val="30"/>
          <w:szCs w:val="30"/>
          <w:spacing w:val="17"/>
        </w:rPr>
        <w:t xml:space="preserve"> </w:t>
      </w:r>
      <w:r>
        <w:rPr>
          <w:rFonts w:ascii="FangSong" w:hAnsi="FangSong" w:eastAsia="FangSong" w:cs="FangSong"/>
          <w:sz w:val="30"/>
          <w:szCs w:val="30"/>
          <w:spacing w:val="16"/>
        </w:rPr>
        <w:t xml:space="preserve"> </w:t>
      </w:r>
      <w:r>
        <w:rPr>
          <w:rFonts w:ascii="FangSong" w:hAnsi="FangSong" w:eastAsia="FangSong" w:cs="FangSong"/>
          <w:sz w:val="30"/>
          <w:szCs w:val="30"/>
          <w:spacing w:val="16"/>
        </w:rPr>
        <w:t>接到报告的地方人民政府、卫生行政主管部门依照</w:t>
      </w:r>
    </w:p>
    <w:p>
      <w:pPr>
        <w:ind w:left="45" w:right="127"/>
        <w:spacing w:before="69" w:line="268" w:lineRule="auto"/>
        <w:rPr>
          <w:rFonts w:ascii="FangSong" w:hAnsi="FangSong" w:eastAsia="FangSong" w:cs="FangSong"/>
          <w:sz w:val="30"/>
          <w:szCs w:val="30"/>
        </w:rPr>
      </w:pPr>
      <w:r>
        <w:rPr>
          <w:rFonts w:ascii="FangSong" w:hAnsi="FangSong" w:eastAsia="FangSong" w:cs="FangSong"/>
          <w:sz w:val="30"/>
          <w:szCs w:val="30"/>
          <w:spacing w:val="16"/>
        </w:rPr>
        <w:t>本条例规定报告的同时，应当立即组织力量对报告事项调查核实、确证，采取必要的控制措施，并及</w:t>
      </w:r>
      <w:r>
        <w:rPr>
          <w:rFonts w:ascii="FangSong" w:hAnsi="FangSong" w:eastAsia="FangSong" w:cs="FangSong"/>
          <w:sz w:val="30"/>
          <w:szCs w:val="30"/>
          <w:spacing w:val="7"/>
        </w:rPr>
        <w:t xml:space="preserve"> </w:t>
      </w:r>
      <w:r>
        <w:rPr>
          <w:rFonts w:ascii="FangSong" w:hAnsi="FangSong" w:eastAsia="FangSong" w:cs="FangSong"/>
          <w:sz w:val="30"/>
          <w:szCs w:val="30"/>
          <w:spacing w:val="7"/>
        </w:rPr>
        <w:t>时报告调查情况。</w:t>
      </w:r>
    </w:p>
    <w:p>
      <w:pPr>
        <w:ind w:left="6729"/>
        <w:spacing w:before="21"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33"/>
        <w:gridCol w:w="9173"/>
        <w:gridCol w:w="2863"/>
      </w:tblGrid>
      <w:tr>
        <w:trPr>
          <w:trHeight w:val="832" w:hRule="atLeast"/>
        </w:trPr>
        <w:tc>
          <w:tcPr>
            <w:tcW w:w="1933" w:type="dxa"/>
            <w:vAlign w:val="top"/>
          </w:tcPr>
          <w:p>
            <w:pPr>
              <w:pStyle w:val="TableText"/>
              <w:ind w:left="478"/>
              <w:spacing w:before="302" w:line="220" w:lineRule="auto"/>
              <w:rPr/>
            </w:pPr>
            <w:r>
              <w:rPr>
                <w:b/>
                <w:bCs/>
                <w:spacing w:val="-5"/>
              </w:rPr>
              <w:t>违法程度</w:t>
            </w:r>
          </w:p>
        </w:tc>
        <w:tc>
          <w:tcPr>
            <w:tcW w:w="9173" w:type="dxa"/>
            <w:vAlign w:val="top"/>
          </w:tcPr>
          <w:p>
            <w:pPr>
              <w:pStyle w:val="TableText"/>
              <w:ind w:left="4025"/>
              <w:spacing w:before="302" w:line="220" w:lineRule="auto"/>
              <w:rPr/>
            </w:pPr>
            <w:r>
              <w:rPr>
                <w:b/>
                <w:bCs/>
                <w:spacing w:val="-5"/>
              </w:rPr>
              <w:t>情节后果</w:t>
            </w:r>
          </w:p>
        </w:tc>
        <w:tc>
          <w:tcPr>
            <w:tcW w:w="2863" w:type="dxa"/>
            <w:vAlign w:val="top"/>
          </w:tcPr>
          <w:p>
            <w:pPr>
              <w:pStyle w:val="TableText"/>
              <w:ind w:left="852"/>
              <w:spacing w:before="29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777" w:hRule="atLeast"/>
        </w:trPr>
        <w:tc>
          <w:tcPr>
            <w:tcW w:w="1933" w:type="dxa"/>
            <w:vAlign w:val="top"/>
          </w:tcPr>
          <w:p>
            <w:pPr>
              <w:pStyle w:val="TableText"/>
              <w:ind w:left="718"/>
              <w:spacing w:before="270" w:line="221" w:lineRule="auto"/>
              <w:rPr/>
            </w:pPr>
            <w:r>
              <w:rPr>
                <w:b/>
                <w:bCs/>
                <w:spacing w:val="-10"/>
              </w:rPr>
              <w:t>一般</w:t>
            </w:r>
          </w:p>
        </w:tc>
        <w:tc>
          <w:tcPr>
            <w:tcW w:w="9173" w:type="dxa"/>
            <w:vAlign w:val="top"/>
          </w:tcPr>
          <w:p>
            <w:pPr>
              <w:spacing w:line="241" w:lineRule="auto"/>
              <w:rPr>
                <w:rFonts w:ascii="Arial"/>
                <w:sz w:val="21"/>
              </w:rPr>
            </w:pPr>
            <w:r/>
          </w:p>
          <w:p>
            <w:pPr>
              <w:pStyle w:val="TableText"/>
              <w:ind w:left="101"/>
              <w:spacing w:before="78" w:line="219" w:lineRule="auto"/>
              <w:rPr/>
            </w:pPr>
            <w:r>
              <w:rPr/>
              <w:t>未及时采取控制措施，尚未造成不良社会后</w:t>
            </w:r>
            <w:r>
              <w:rPr>
                <w:spacing w:val="-1"/>
              </w:rPr>
              <w:t>果。</w:t>
            </w:r>
          </w:p>
        </w:tc>
        <w:tc>
          <w:tcPr>
            <w:tcW w:w="2863" w:type="dxa"/>
            <w:vAlign w:val="top"/>
          </w:tcPr>
          <w:p>
            <w:pPr>
              <w:spacing w:line="241" w:lineRule="auto"/>
              <w:rPr>
                <w:rFonts w:ascii="Arial"/>
                <w:sz w:val="21"/>
              </w:rPr>
            </w:pPr>
            <w:r/>
          </w:p>
          <w:p>
            <w:pPr>
              <w:pStyle w:val="TableText"/>
              <w:ind w:left="128"/>
              <w:spacing w:before="78" w:line="218" w:lineRule="auto"/>
              <w:rPr/>
            </w:pPr>
            <w:r>
              <w:rPr>
                <w:spacing w:val="2"/>
              </w:rPr>
              <w:t>通报批评、警告</w:t>
            </w:r>
          </w:p>
        </w:tc>
      </w:tr>
      <w:tr>
        <w:trPr>
          <w:trHeight w:val="1140" w:hRule="atLeast"/>
        </w:trPr>
        <w:tc>
          <w:tcPr>
            <w:tcW w:w="1933" w:type="dxa"/>
            <w:vAlign w:val="top"/>
          </w:tcPr>
          <w:p>
            <w:pPr>
              <w:spacing w:line="372" w:lineRule="auto"/>
              <w:rPr>
                <w:rFonts w:ascii="Arial"/>
                <w:sz w:val="21"/>
              </w:rPr>
            </w:pPr>
            <w:r/>
          </w:p>
          <w:p>
            <w:pPr>
              <w:pStyle w:val="TableText"/>
              <w:ind w:left="718"/>
              <w:spacing w:before="78" w:line="220" w:lineRule="auto"/>
              <w:rPr/>
            </w:pPr>
            <w:r>
              <w:rPr>
                <w:b/>
                <w:bCs/>
                <w:spacing w:val="-6"/>
              </w:rPr>
              <w:t>严重</w:t>
            </w:r>
          </w:p>
        </w:tc>
        <w:tc>
          <w:tcPr>
            <w:tcW w:w="9173" w:type="dxa"/>
            <w:vAlign w:val="top"/>
          </w:tcPr>
          <w:p>
            <w:pPr>
              <w:pStyle w:val="TableText"/>
              <w:ind w:left="101" w:right="143" w:firstLine="20"/>
              <w:spacing w:before="285" w:line="325" w:lineRule="auto"/>
              <w:rPr/>
            </w:pPr>
            <w:r>
              <w:rPr/>
              <w:t>未及时采取控制措施造成传染病传播、流行或者对社会公众健康造成其他严重危害后</w:t>
            </w:r>
            <w:r>
              <w:rPr>
                <w:spacing w:val="16"/>
              </w:rPr>
              <w:t xml:space="preserve"> </w:t>
            </w:r>
            <w:r>
              <w:rPr>
                <w:spacing w:val="9"/>
              </w:rPr>
              <w:t>果的</w:t>
            </w:r>
          </w:p>
        </w:tc>
        <w:tc>
          <w:tcPr>
            <w:tcW w:w="2863" w:type="dxa"/>
            <w:vAlign w:val="top"/>
          </w:tcPr>
          <w:p>
            <w:pPr>
              <w:spacing w:line="374" w:lineRule="auto"/>
              <w:rPr>
                <w:rFonts w:ascii="Arial"/>
                <w:sz w:val="21"/>
              </w:rPr>
            </w:pPr>
            <w:r/>
          </w:p>
          <w:p>
            <w:pPr>
              <w:pStyle w:val="TableText"/>
              <w:ind w:left="109"/>
              <w:spacing w:before="78" w:line="219" w:lineRule="auto"/>
              <w:rPr/>
            </w:pPr>
            <w:r>
              <w:rPr/>
              <w:t>吊销医疗机构执业许可证</w:t>
            </w:r>
          </w:p>
        </w:tc>
      </w:tr>
    </w:tbl>
    <w:p>
      <w:pPr>
        <w:ind w:left="699"/>
        <w:spacing w:before="98" w:line="221" w:lineRule="auto"/>
        <w:rPr>
          <w:rFonts w:ascii="FangSong" w:hAnsi="FangSong" w:eastAsia="FangSong" w:cs="FangSong"/>
          <w:sz w:val="30"/>
          <w:szCs w:val="30"/>
        </w:rPr>
      </w:pPr>
      <w:r>
        <w:rPr>
          <w:rFonts w:ascii="FangSong" w:hAnsi="FangSong" w:eastAsia="FangSong" w:cs="FangSong"/>
          <w:sz w:val="30"/>
          <w:szCs w:val="30"/>
          <w:b/>
          <w:bCs/>
          <w:spacing w:val="22"/>
        </w:rPr>
        <w:t>第九十三条医疗卫生机构未依照本条例的规定履行突发事件监测职责的</w:t>
      </w:r>
    </w:p>
    <w:p>
      <w:pPr>
        <w:ind w:left="684"/>
        <w:spacing w:before="88"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45" w:firstLine="609"/>
        <w:spacing w:before="85" w:line="271" w:lineRule="auto"/>
        <w:jc w:val="both"/>
        <w:rPr>
          <w:rFonts w:ascii="FangSong" w:hAnsi="FangSong" w:eastAsia="FangSong" w:cs="FangSong"/>
          <w:sz w:val="30"/>
          <w:szCs w:val="30"/>
        </w:rPr>
      </w:pPr>
      <w:r>
        <w:rPr>
          <w:rFonts w:ascii="FangSong" w:hAnsi="FangSong" w:eastAsia="FangSong" w:cs="FangSong"/>
          <w:sz w:val="30"/>
          <w:szCs w:val="30"/>
          <w:spacing w:val="27"/>
        </w:rPr>
        <w:t>《突发公共卫生事件应急条例》第五十条第(三)项</w:t>
      </w:r>
      <w:r>
        <w:rPr>
          <w:rFonts w:ascii="FangSong" w:hAnsi="FangSong" w:eastAsia="FangSong" w:cs="FangSong"/>
          <w:sz w:val="30"/>
          <w:szCs w:val="30"/>
          <w:spacing w:val="10"/>
        </w:rPr>
        <w:t xml:space="preserve">   </w:t>
      </w:r>
      <w:r>
        <w:rPr>
          <w:rFonts w:ascii="FangSong" w:hAnsi="FangSong" w:eastAsia="FangSong" w:cs="FangSong"/>
          <w:sz w:val="30"/>
          <w:szCs w:val="30"/>
          <w:spacing w:val="27"/>
        </w:rPr>
        <w:t>医疗卫生机构有下列行为的，由卫生行</w:t>
      </w:r>
      <w:r>
        <w:rPr>
          <w:rFonts w:ascii="FangSong" w:hAnsi="FangSong" w:eastAsia="FangSong" w:cs="FangSong"/>
          <w:sz w:val="30"/>
          <w:szCs w:val="30"/>
        </w:rPr>
        <w:t xml:space="preserve">  </w:t>
      </w:r>
      <w:r>
        <w:rPr>
          <w:rFonts w:ascii="FangSong" w:hAnsi="FangSong" w:eastAsia="FangSong" w:cs="FangSong"/>
          <w:sz w:val="30"/>
          <w:szCs w:val="30"/>
          <w:spacing w:val="19"/>
        </w:rPr>
        <w:t>政主管部门责令改正、通报批评、给予警告；情节严重的，吊销《医疗机构执业许可证》;对主要负</w:t>
      </w:r>
      <w:r>
        <w:rPr>
          <w:rFonts w:ascii="FangSong" w:hAnsi="FangSong" w:eastAsia="FangSong" w:cs="FangSong"/>
          <w:sz w:val="30"/>
          <w:szCs w:val="30"/>
          <w:spacing w:val="1"/>
        </w:rPr>
        <w:t xml:space="preserve">  </w:t>
      </w:r>
      <w:r>
        <w:rPr>
          <w:rFonts w:ascii="FangSong" w:hAnsi="FangSong" w:eastAsia="FangSong" w:cs="FangSong"/>
          <w:sz w:val="30"/>
          <w:szCs w:val="30"/>
          <w:spacing w:val="12"/>
        </w:rPr>
        <w:t>责人、负有责任的主管人员和其他直接责任人员依法给予降级或者撤职的纪律处分；造成传染病传</w:t>
      </w:r>
      <w:r>
        <w:rPr>
          <w:rFonts w:ascii="FangSong" w:hAnsi="FangSong" w:eastAsia="FangSong" w:cs="FangSong"/>
          <w:sz w:val="30"/>
          <w:szCs w:val="30"/>
          <w:spacing w:val="11"/>
        </w:rPr>
        <w:t>播、</w:t>
      </w:r>
      <w:r>
        <w:rPr>
          <w:rFonts w:ascii="FangSong" w:hAnsi="FangSong" w:eastAsia="FangSong" w:cs="FangSong"/>
          <w:sz w:val="30"/>
          <w:szCs w:val="30"/>
        </w:rPr>
        <w:t xml:space="preserve"> </w:t>
      </w:r>
      <w:r>
        <w:rPr>
          <w:rFonts w:ascii="FangSong" w:hAnsi="FangSong" w:eastAsia="FangSong" w:cs="FangSong"/>
          <w:sz w:val="30"/>
          <w:szCs w:val="30"/>
          <w:spacing w:val="18"/>
        </w:rPr>
        <w:t>流行或者对社会公众健康造成其他严重危害</w:t>
      </w:r>
      <w:r>
        <w:rPr>
          <w:rFonts w:ascii="FangSong" w:hAnsi="FangSong" w:eastAsia="FangSong" w:cs="FangSong"/>
          <w:sz w:val="30"/>
          <w:szCs w:val="30"/>
          <w:spacing w:val="17"/>
        </w:rPr>
        <w:t>后果，构成犯罪的，依法追究刑事责任：</w:t>
      </w:r>
    </w:p>
    <w:p>
      <w:pPr>
        <w:ind w:left="804"/>
        <w:spacing w:before="1" w:line="220" w:lineRule="auto"/>
        <w:rPr>
          <w:rFonts w:ascii="FangSong" w:hAnsi="FangSong" w:eastAsia="FangSong" w:cs="FangSong"/>
          <w:sz w:val="30"/>
          <w:szCs w:val="30"/>
        </w:rPr>
      </w:pPr>
      <w:r>
        <w:rPr>
          <w:rFonts w:ascii="FangSong" w:hAnsi="FangSong" w:eastAsia="FangSong" w:cs="FangSong"/>
          <w:sz w:val="30"/>
          <w:szCs w:val="30"/>
          <w:spacing w:val="23"/>
        </w:rPr>
        <w:t>(三)未依照本条例的规定履行突发事件监测</w:t>
      </w:r>
      <w:r>
        <w:rPr>
          <w:rFonts w:ascii="FangSong" w:hAnsi="FangSong" w:eastAsia="FangSong" w:cs="FangSong"/>
          <w:sz w:val="30"/>
          <w:szCs w:val="30"/>
          <w:spacing w:val="22"/>
        </w:rPr>
        <w:t>职责的；</w:t>
      </w:r>
    </w:p>
    <w:p>
      <w:pPr>
        <w:ind w:left="6729"/>
        <w:spacing w:before="79"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173"/>
          <w:pgSz w:w="16830" w:h="11900"/>
          <w:pgMar w:top="1011" w:right="1340" w:bottom="1097" w:left="1405" w:header="0" w:footer="764" w:gutter="0"/>
        </w:sectPr>
        <w:rPr>
          <w:rFonts w:ascii="SimHei" w:hAnsi="SimHei" w:eastAsia="SimHei" w:cs="SimHei"/>
          <w:sz w:val="30"/>
          <w:szCs w:val="30"/>
        </w:rPr>
      </w:pPr>
    </w:p>
    <w:p>
      <w:pPr>
        <w:spacing w:before="20"/>
        <w:rPr/>
      </w:pPr>
      <w:r/>
    </w:p>
    <w:p>
      <w:pPr>
        <w:spacing w:before="20"/>
        <w:rPr/>
      </w:pPr>
      <w:r/>
    </w:p>
    <w:p>
      <w:pPr>
        <w:spacing w:before="19"/>
        <w:rPr/>
      </w:pPr>
      <w:r/>
    </w:p>
    <w:tbl>
      <w:tblPr>
        <w:tblStyle w:val="TableNormal"/>
        <w:tblW w:w="138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3"/>
        <w:gridCol w:w="7554"/>
        <w:gridCol w:w="4532"/>
      </w:tblGrid>
      <w:tr>
        <w:trPr>
          <w:trHeight w:val="552" w:hRule="atLeast"/>
        </w:trPr>
        <w:tc>
          <w:tcPr>
            <w:tcW w:w="1803" w:type="dxa"/>
            <w:vAlign w:val="top"/>
          </w:tcPr>
          <w:p>
            <w:pPr>
              <w:pStyle w:val="TableText"/>
              <w:ind w:left="398"/>
              <w:spacing w:before="152" w:line="220" w:lineRule="auto"/>
              <w:rPr>
                <w:sz w:val="25"/>
                <w:szCs w:val="25"/>
              </w:rPr>
            </w:pPr>
            <w:bookmarkStart w:name="bookmark830" w:id="152"/>
            <w:bookmarkEnd w:id="152"/>
            <w:r>
              <w:rPr>
                <w:sz w:val="25"/>
                <w:szCs w:val="25"/>
                <w:b/>
                <w:bCs/>
                <w:spacing w:val="-5"/>
              </w:rPr>
              <w:t>违法程度</w:t>
            </w:r>
          </w:p>
        </w:tc>
        <w:tc>
          <w:tcPr>
            <w:tcW w:w="7554" w:type="dxa"/>
            <w:vAlign w:val="top"/>
          </w:tcPr>
          <w:p>
            <w:pPr>
              <w:pStyle w:val="TableText"/>
              <w:ind w:left="3225"/>
              <w:spacing w:before="152" w:line="220" w:lineRule="auto"/>
              <w:rPr>
                <w:sz w:val="25"/>
                <w:szCs w:val="25"/>
              </w:rPr>
            </w:pPr>
            <w:r>
              <w:rPr>
                <w:sz w:val="25"/>
                <w:szCs w:val="25"/>
                <w:b/>
                <w:bCs/>
                <w:spacing w:val="-5"/>
              </w:rPr>
              <w:t>情节后果</w:t>
            </w:r>
          </w:p>
        </w:tc>
        <w:tc>
          <w:tcPr>
            <w:tcW w:w="4532" w:type="dxa"/>
            <w:vAlign w:val="top"/>
          </w:tcPr>
          <w:p>
            <w:pPr>
              <w:pStyle w:val="TableText"/>
              <w:ind w:left="1711"/>
              <w:spacing w:before="149" w:line="218" w:lineRule="auto"/>
              <w:rPr>
                <w:sz w:val="25"/>
                <w:szCs w:val="25"/>
              </w:rPr>
            </w:pPr>
            <w:r>
              <w:rPr>
                <w:sz w:val="25"/>
                <w:szCs w:val="25"/>
                <w:b/>
                <w:bCs/>
                <w:spacing w:val="-5"/>
              </w:rPr>
              <w:t>裁量幅度</w:t>
            </w:r>
          </w:p>
        </w:tc>
      </w:tr>
      <w:tr>
        <w:trPr>
          <w:trHeight w:val="447" w:hRule="atLeast"/>
        </w:trPr>
        <w:tc>
          <w:tcPr>
            <w:tcW w:w="1803" w:type="dxa"/>
            <w:vAlign w:val="top"/>
          </w:tcPr>
          <w:p>
            <w:pPr>
              <w:pStyle w:val="TableText"/>
              <w:ind w:left="648"/>
              <w:spacing w:before="151" w:line="211" w:lineRule="auto"/>
              <w:rPr>
                <w:sz w:val="25"/>
                <w:szCs w:val="25"/>
              </w:rPr>
            </w:pPr>
            <w:r>
              <w:rPr>
                <w:sz w:val="25"/>
                <w:szCs w:val="25"/>
                <w:b/>
                <w:bCs/>
                <w:spacing w:val="-10"/>
              </w:rPr>
              <w:t>一般</w:t>
            </w:r>
          </w:p>
        </w:tc>
        <w:tc>
          <w:tcPr>
            <w:tcW w:w="7554" w:type="dxa"/>
            <w:vAlign w:val="top"/>
          </w:tcPr>
          <w:p>
            <w:pPr>
              <w:pStyle w:val="TableText"/>
              <w:ind w:left="111"/>
              <w:spacing w:before="152" w:line="210" w:lineRule="auto"/>
              <w:rPr>
                <w:sz w:val="25"/>
                <w:szCs w:val="25"/>
              </w:rPr>
            </w:pPr>
            <w:r>
              <w:rPr>
                <w:sz w:val="25"/>
                <w:szCs w:val="25"/>
                <w:spacing w:val="1"/>
              </w:rPr>
              <w:t>未按规定履行突发事件监测职责的</w:t>
            </w:r>
          </w:p>
        </w:tc>
        <w:tc>
          <w:tcPr>
            <w:tcW w:w="4532" w:type="dxa"/>
            <w:vAlign w:val="top"/>
          </w:tcPr>
          <w:p>
            <w:pPr>
              <w:pStyle w:val="TableText"/>
              <w:ind w:left="127"/>
              <w:spacing w:before="151" w:line="211" w:lineRule="auto"/>
              <w:rPr>
                <w:sz w:val="25"/>
                <w:szCs w:val="25"/>
              </w:rPr>
            </w:pPr>
            <w:r>
              <w:rPr>
                <w:sz w:val="25"/>
                <w:szCs w:val="25"/>
                <w:spacing w:val="2"/>
              </w:rPr>
              <w:t>通报批评、警告</w:t>
            </w:r>
          </w:p>
        </w:tc>
      </w:tr>
      <w:tr>
        <w:trPr>
          <w:trHeight w:val="860" w:hRule="atLeast"/>
        </w:trPr>
        <w:tc>
          <w:tcPr>
            <w:tcW w:w="1803" w:type="dxa"/>
            <w:vAlign w:val="top"/>
          </w:tcPr>
          <w:p>
            <w:pPr>
              <w:spacing w:line="280" w:lineRule="auto"/>
              <w:rPr>
                <w:rFonts w:ascii="Arial"/>
                <w:sz w:val="21"/>
              </w:rPr>
            </w:pPr>
            <w:r/>
          </w:p>
          <w:p>
            <w:pPr>
              <w:pStyle w:val="TableText"/>
              <w:ind w:left="648"/>
              <w:spacing w:before="81" w:line="220" w:lineRule="auto"/>
              <w:rPr>
                <w:sz w:val="25"/>
                <w:szCs w:val="25"/>
              </w:rPr>
            </w:pPr>
            <w:r>
              <w:rPr>
                <w:sz w:val="25"/>
                <w:szCs w:val="25"/>
                <w:b/>
                <w:bCs/>
                <w:spacing w:val="-6"/>
              </w:rPr>
              <w:t>严重</w:t>
            </w:r>
          </w:p>
        </w:tc>
        <w:tc>
          <w:tcPr>
            <w:tcW w:w="7554" w:type="dxa"/>
            <w:vAlign w:val="top"/>
          </w:tcPr>
          <w:p>
            <w:pPr>
              <w:pStyle w:val="TableText"/>
              <w:ind w:left="111" w:firstLine="9"/>
              <w:spacing w:before="153" w:line="257" w:lineRule="auto"/>
              <w:rPr>
                <w:sz w:val="25"/>
                <w:szCs w:val="25"/>
              </w:rPr>
            </w:pPr>
            <w:r>
              <w:rPr>
                <w:sz w:val="25"/>
                <w:szCs w:val="25"/>
                <w:spacing w:val="-11"/>
              </w:rPr>
              <w:t>未依照条例规定履行突发事件监测职责造成传染病传播、流行或者对社</w:t>
            </w:r>
            <w:r>
              <w:rPr>
                <w:sz w:val="25"/>
                <w:szCs w:val="25"/>
                <w:spacing w:val="12"/>
              </w:rPr>
              <w:t xml:space="preserve"> </w:t>
            </w:r>
            <w:r>
              <w:rPr>
                <w:sz w:val="25"/>
                <w:szCs w:val="25"/>
              </w:rPr>
              <w:t>会公众健康造成其他严重危害后果的</w:t>
            </w:r>
          </w:p>
        </w:tc>
        <w:tc>
          <w:tcPr>
            <w:tcW w:w="4532" w:type="dxa"/>
            <w:vAlign w:val="top"/>
          </w:tcPr>
          <w:p>
            <w:pPr>
              <w:spacing w:line="301" w:lineRule="auto"/>
              <w:rPr>
                <w:rFonts w:ascii="Arial"/>
                <w:sz w:val="21"/>
              </w:rPr>
            </w:pPr>
            <w:r/>
          </w:p>
          <w:p>
            <w:pPr>
              <w:pStyle w:val="TableText"/>
              <w:ind w:left="127"/>
              <w:spacing w:before="81" w:line="219" w:lineRule="auto"/>
              <w:rPr>
                <w:sz w:val="25"/>
                <w:szCs w:val="25"/>
              </w:rPr>
            </w:pPr>
            <w:r>
              <w:rPr>
                <w:sz w:val="25"/>
                <w:szCs w:val="25"/>
              </w:rPr>
              <w:t>吊销医疗机构执业许可证</w:t>
            </w:r>
          </w:p>
        </w:tc>
      </w:tr>
    </w:tbl>
    <w:p>
      <w:pPr>
        <w:ind w:left="669"/>
        <w:spacing w:before="111" w:line="222" w:lineRule="auto"/>
        <w:rPr>
          <w:rFonts w:ascii="FangSong" w:hAnsi="FangSong" w:eastAsia="FangSong" w:cs="FangSong"/>
          <w:sz w:val="31"/>
          <w:szCs w:val="31"/>
        </w:rPr>
      </w:pPr>
      <w:r>
        <w:rPr>
          <w:rFonts w:ascii="FangSong" w:hAnsi="FangSong" w:eastAsia="FangSong" w:cs="FangSong"/>
          <w:sz w:val="31"/>
          <w:szCs w:val="31"/>
          <w:b/>
          <w:bCs/>
          <w:spacing w:val="14"/>
        </w:rPr>
        <w:t>第九十四条医疗卫生机构拒绝接诊病人的</w:t>
      </w:r>
    </w:p>
    <w:p>
      <w:pPr>
        <w:ind w:left="664"/>
        <w:spacing w:before="120"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25" w:firstLine="624"/>
        <w:spacing w:before="42" w:line="267" w:lineRule="auto"/>
        <w:jc w:val="both"/>
        <w:rPr>
          <w:rFonts w:ascii="FangSong" w:hAnsi="FangSong" w:eastAsia="FangSong" w:cs="FangSong"/>
          <w:sz w:val="31"/>
          <w:szCs w:val="31"/>
        </w:rPr>
      </w:pPr>
      <w:r>
        <w:rPr>
          <w:rFonts w:ascii="FangSong" w:hAnsi="FangSong" w:eastAsia="FangSong" w:cs="FangSong"/>
          <w:sz w:val="31"/>
          <w:szCs w:val="31"/>
          <w:spacing w:val="17"/>
        </w:rPr>
        <w:t>《突发公共卫生事件应急条例》第五十条第(四)</w:t>
      </w:r>
      <w:r>
        <w:rPr>
          <w:rFonts w:ascii="FangSong" w:hAnsi="FangSong" w:eastAsia="FangSong" w:cs="FangSong"/>
          <w:sz w:val="31"/>
          <w:szCs w:val="31"/>
          <w:spacing w:val="16"/>
        </w:rPr>
        <w:t>项</w:t>
      </w:r>
      <w:r>
        <w:rPr>
          <w:rFonts w:ascii="FangSong" w:hAnsi="FangSong" w:eastAsia="FangSong" w:cs="FangSong"/>
          <w:sz w:val="31"/>
          <w:szCs w:val="31"/>
          <w:spacing w:val="16"/>
        </w:rPr>
        <w:t xml:space="preserve">   </w:t>
      </w:r>
      <w:r>
        <w:rPr>
          <w:rFonts w:ascii="FangSong" w:hAnsi="FangSong" w:eastAsia="FangSong" w:cs="FangSong"/>
          <w:sz w:val="31"/>
          <w:szCs w:val="31"/>
          <w:spacing w:val="16"/>
        </w:rPr>
        <w:t>医疗卫生机构有下列行为的，由卫生行</w:t>
      </w:r>
      <w:r>
        <w:rPr>
          <w:rFonts w:ascii="FangSong" w:hAnsi="FangSong" w:eastAsia="FangSong" w:cs="FangSong"/>
          <w:sz w:val="31"/>
          <w:szCs w:val="31"/>
        </w:rPr>
        <w:t xml:space="preserve">  </w:t>
      </w:r>
      <w:r>
        <w:rPr>
          <w:rFonts w:ascii="FangSong" w:hAnsi="FangSong" w:eastAsia="FangSong" w:cs="FangSong"/>
          <w:sz w:val="31"/>
          <w:szCs w:val="31"/>
          <w:spacing w:val="10"/>
        </w:rPr>
        <w:t>政主管部门责令改正、通报批评、给予警告；情节严重的，吊销《</w:t>
      </w:r>
      <w:r>
        <w:rPr>
          <w:rFonts w:ascii="FangSong" w:hAnsi="FangSong" w:eastAsia="FangSong" w:cs="FangSong"/>
          <w:sz w:val="31"/>
          <w:szCs w:val="31"/>
          <w:spacing w:val="9"/>
        </w:rPr>
        <w:t>医疗机构执业许可证》;对主要负</w:t>
      </w:r>
      <w:r>
        <w:rPr>
          <w:rFonts w:ascii="FangSong" w:hAnsi="FangSong" w:eastAsia="FangSong" w:cs="FangSong"/>
          <w:sz w:val="31"/>
          <w:szCs w:val="31"/>
        </w:rPr>
        <w:t xml:space="preserve">  </w:t>
      </w:r>
      <w:r>
        <w:rPr>
          <w:rFonts w:ascii="FangSong" w:hAnsi="FangSong" w:eastAsia="FangSong" w:cs="FangSong"/>
          <w:sz w:val="31"/>
          <w:szCs w:val="31"/>
          <w:spacing w:val="2"/>
        </w:rPr>
        <w:t>责人、负有责任的主管人员和其他直接责任人员依法给予降级或者撤职的纪律处分；造成传染病传播、</w:t>
      </w:r>
      <w:r>
        <w:rPr>
          <w:rFonts w:ascii="FangSong" w:hAnsi="FangSong" w:eastAsia="FangSong" w:cs="FangSong"/>
          <w:sz w:val="31"/>
          <w:szCs w:val="31"/>
          <w:spacing w:val="14"/>
        </w:rPr>
        <w:t xml:space="preserve"> </w:t>
      </w:r>
      <w:r>
        <w:rPr>
          <w:rFonts w:ascii="FangSong" w:hAnsi="FangSong" w:eastAsia="FangSong" w:cs="FangSong"/>
          <w:sz w:val="31"/>
          <w:szCs w:val="31"/>
          <w:spacing w:val="8"/>
        </w:rPr>
        <w:t>流行或者对社会公众健康造成其他严重危害后果，构成犯罪的，依法追究刑事</w:t>
      </w:r>
      <w:r>
        <w:rPr>
          <w:rFonts w:ascii="FangSong" w:hAnsi="FangSong" w:eastAsia="FangSong" w:cs="FangSong"/>
          <w:sz w:val="31"/>
          <w:szCs w:val="31"/>
          <w:spacing w:val="7"/>
        </w:rPr>
        <w:t>责任：</w:t>
      </w:r>
    </w:p>
    <w:p>
      <w:pPr>
        <w:ind w:left="794"/>
        <w:spacing w:line="222" w:lineRule="auto"/>
        <w:rPr>
          <w:rFonts w:ascii="FangSong" w:hAnsi="FangSong" w:eastAsia="FangSong" w:cs="FangSong"/>
          <w:sz w:val="31"/>
          <w:szCs w:val="31"/>
        </w:rPr>
      </w:pPr>
      <w:r>
        <w:rPr>
          <w:rFonts w:ascii="FangSong" w:hAnsi="FangSong" w:eastAsia="FangSong" w:cs="FangSong"/>
          <w:sz w:val="31"/>
          <w:szCs w:val="31"/>
          <w:spacing w:val="19"/>
        </w:rPr>
        <w:t>(四)拒绝接诊病人的；</w:t>
      </w:r>
    </w:p>
    <w:p>
      <w:pPr>
        <w:ind w:left="6699"/>
        <w:spacing w:before="64" w:line="208"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719" w:type="dxa"/>
        <w:tblInd w:w="17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33"/>
        <w:gridCol w:w="7534"/>
        <w:gridCol w:w="4152"/>
      </w:tblGrid>
      <w:tr>
        <w:trPr>
          <w:trHeight w:val="572" w:hRule="atLeast"/>
        </w:trPr>
        <w:tc>
          <w:tcPr>
            <w:tcW w:w="2033" w:type="dxa"/>
            <w:vAlign w:val="top"/>
          </w:tcPr>
          <w:p>
            <w:pPr>
              <w:pStyle w:val="TableText"/>
              <w:ind w:left="508"/>
              <w:spacing w:before="162" w:line="220" w:lineRule="auto"/>
              <w:rPr>
                <w:sz w:val="25"/>
                <w:szCs w:val="25"/>
              </w:rPr>
            </w:pPr>
            <w:r>
              <w:rPr>
                <w:sz w:val="25"/>
                <w:szCs w:val="25"/>
                <w:b/>
                <w:bCs/>
                <w:spacing w:val="-5"/>
              </w:rPr>
              <w:t>违法程度</w:t>
            </w:r>
          </w:p>
        </w:tc>
        <w:tc>
          <w:tcPr>
            <w:tcW w:w="7534" w:type="dxa"/>
            <w:vAlign w:val="top"/>
          </w:tcPr>
          <w:p>
            <w:pPr>
              <w:pStyle w:val="TableText"/>
              <w:ind w:left="3195"/>
              <w:spacing w:before="162" w:line="220" w:lineRule="auto"/>
              <w:rPr>
                <w:sz w:val="25"/>
                <w:szCs w:val="25"/>
              </w:rPr>
            </w:pPr>
            <w:r>
              <w:rPr>
                <w:sz w:val="25"/>
                <w:szCs w:val="25"/>
                <w:b/>
                <w:bCs/>
                <w:spacing w:val="-5"/>
              </w:rPr>
              <w:t>情节后果</w:t>
            </w:r>
          </w:p>
        </w:tc>
        <w:tc>
          <w:tcPr>
            <w:tcW w:w="4152" w:type="dxa"/>
            <w:vAlign w:val="top"/>
          </w:tcPr>
          <w:p>
            <w:pPr>
              <w:pStyle w:val="TableText"/>
              <w:ind w:left="1521"/>
              <w:spacing w:before="159" w:line="218" w:lineRule="auto"/>
              <w:rPr>
                <w:sz w:val="25"/>
                <w:szCs w:val="25"/>
              </w:rPr>
            </w:pPr>
            <w:r>
              <w:rPr>
                <w:sz w:val="25"/>
                <w:szCs w:val="25"/>
                <w:b/>
                <w:bCs/>
                <w:spacing w:val="-5"/>
              </w:rPr>
              <w:t>裁量幅度</w:t>
            </w:r>
          </w:p>
        </w:tc>
      </w:tr>
      <w:tr>
        <w:trPr>
          <w:trHeight w:val="428" w:hRule="atLeast"/>
        </w:trPr>
        <w:tc>
          <w:tcPr>
            <w:tcW w:w="2033" w:type="dxa"/>
            <w:vAlign w:val="top"/>
          </w:tcPr>
          <w:p>
            <w:pPr>
              <w:pStyle w:val="TableText"/>
              <w:ind w:left="758"/>
              <w:spacing w:before="91" w:line="221" w:lineRule="auto"/>
              <w:rPr>
                <w:sz w:val="25"/>
                <w:szCs w:val="25"/>
              </w:rPr>
            </w:pPr>
            <w:r>
              <w:rPr>
                <w:sz w:val="25"/>
                <w:szCs w:val="25"/>
                <w:b/>
                <w:bCs/>
                <w:spacing w:val="-10"/>
              </w:rPr>
              <w:t>一般</w:t>
            </w:r>
          </w:p>
        </w:tc>
        <w:tc>
          <w:tcPr>
            <w:tcW w:w="7534" w:type="dxa"/>
            <w:vAlign w:val="top"/>
          </w:tcPr>
          <w:p>
            <w:pPr>
              <w:pStyle w:val="TableText"/>
              <w:ind w:left="92"/>
              <w:spacing w:before="94" w:line="220" w:lineRule="auto"/>
              <w:rPr>
                <w:sz w:val="25"/>
                <w:szCs w:val="25"/>
              </w:rPr>
            </w:pPr>
            <w:r>
              <w:rPr>
                <w:sz w:val="25"/>
                <w:szCs w:val="25"/>
                <w:spacing w:val="2"/>
              </w:rPr>
              <w:t>拒绝接诊病人的</w:t>
            </w:r>
          </w:p>
        </w:tc>
        <w:tc>
          <w:tcPr>
            <w:tcW w:w="4152" w:type="dxa"/>
            <w:vAlign w:val="top"/>
          </w:tcPr>
          <w:p>
            <w:pPr>
              <w:pStyle w:val="TableText"/>
              <w:ind w:left="137"/>
              <w:spacing w:before="91" w:line="218" w:lineRule="auto"/>
              <w:rPr>
                <w:sz w:val="25"/>
                <w:szCs w:val="25"/>
              </w:rPr>
            </w:pPr>
            <w:r>
              <w:rPr>
                <w:sz w:val="25"/>
                <w:szCs w:val="25"/>
                <w:spacing w:val="2"/>
              </w:rPr>
              <w:t>通报批评、警告</w:t>
            </w:r>
          </w:p>
        </w:tc>
      </w:tr>
      <w:tr>
        <w:trPr>
          <w:trHeight w:val="870" w:hRule="atLeast"/>
        </w:trPr>
        <w:tc>
          <w:tcPr>
            <w:tcW w:w="2033" w:type="dxa"/>
            <w:vAlign w:val="top"/>
          </w:tcPr>
          <w:p>
            <w:pPr>
              <w:pStyle w:val="TableText"/>
              <w:ind w:left="758"/>
              <w:spacing w:before="312" w:line="220" w:lineRule="auto"/>
              <w:rPr>
                <w:sz w:val="25"/>
                <w:szCs w:val="25"/>
              </w:rPr>
            </w:pPr>
            <w:r>
              <w:rPr>
                <w:sz w:val="25"/>
                <w:szCs w:val="25"/>
                <w:b/>
                <w:bCs/>
                <w:spacing w:val="-6"/>
              </w:rPr>
              <w:t>严重</w:t>
            </w:r>
          </w:p>
        </w:tc>
        <w:tc>
          <w:tcPr>
            <w:tcW w:w="7534" w:type="dxa"/>
            <w:vAlign w:val="top"/>
          </w:tcPr>
          <w:p>
            <w:pPr>
              <w:pStyle w:val="TableText"/>
              <w:ind w:left="92"/>
              <w:spacing w:before="144" w:line="264" w:lineRule="auto"/>
              <w:rPr>
                <w:sz w:val="25"/>
                <w:szCs w:val="25"/>
              </w:rPr>
            </w:pPr>
            <w:r>
              <w:rPr>
                <w:sz w:val="25"/>
                <w:szCs w:val="25"/>
                <w:spacing w:val="-10"/>
              </w:rPr>
              <w:t>拒绝接诊病人造成传染病传播、流行或者对社会</w:t>
            </w:r>
            <w:r>
              <w:rPr>
                <w:sz w:val="25"/>
                <w:szCs w:val="25"/>
                <w:spacing w:val="-11"/>
              </w:rPr>
              <w:t>公众健康造成其他严重</w:t>
            </w:r>
            <w:r>
              <w:rPr>
                <w:sz w:val="25"/>
                <w:szCs w:val="25"/>
              </w:rPr>
              <w:t xml:space="preserve"> </w:t>
            </w:r>
            <w:r>
              <w:rPr>
                <w:sz w:val="25"/>
                <w:szCs w:val="25"/>
                <w:spacing w:val="3"/>
              </w:rPr>
              <w:t>危害后果的</w:t>
            </w:r>
          </w:p>
        </w:tc>
        <w:tc>
          <w:tcPr>
            <w:tcW w:w="4152" w:type="dxa"/>
            <w:vAlign w:val="top"/>
          </w:tcPr>
          <w:p>
            <w:pPr>
              <w:pStyle w:val="TableText"/>
              <w:ind w:left="137"/>
              <w:spacing w:before="313" w:line="219" w:lineRule="auto"/>
              <w:rPr>
                <w:sz w:val="25"/>
                <w:szCs w:val="25"/>
              </w:rPr>
            </w:pPr>
            <w:r>
              <w:rPr>
                <w:sz w:val="25"/>
                <w:szCs w:val="25"/>
              </w:rPr>
              <w:t>吊销《医疗机构执业许可证》</w:t>
            </w:r>
          </w:p>
        </w:tc>
      </w:tr>
    </w:tbl>
    <w:p>
      <w:pPr>
        <w:ind w:left="669"/>
        <w:spacing w:before="112" w:line="222" w:lineRule="auto"/>
        <w:rPr>
          <w:rFonts w:ascii="FangSong" w:hAnsi="FangSong" w:eastAsia="FangSong" w:cs="FangSong"/>
          <w:sz w:val="31"/>
          <w:szCs w:val="31"/>
        </w:rPr>
      </w:pPr>
      <w:r>
        <w:rPr>
          <w:rFonts w:ascii="FangSong" w:hAnsi="FangSong" w:eastAsia="FangSong" w:cs="FangSong"/>
          <w:sz w:val="31"/>
          <w:szCs w:val="31"/>
          <w:b/>
          <w:bCs/>
          <w:spacing w:val="12"/>
        </w:rPr>
        <w:t>第九十五条医疗卫生机构拒不服从突发事件应急处理指挥部调度的</w:t>
      </w:r>
    </w:p>
    <w:p>
      <w:pPr>
        <w:ind w:left="664"/>
        <w:spacing w:before="90"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spacing w:line="222" w:lineRule="auto"/>
        <w:sectPr>
          <w:footerReference w:type="default" r:id="rId174"/>
          <w:pgSz w:w="16830" w:h="11900"/>
          <w:pgMar w:top="1011" w:right="1324" w:bottom="1127" w:left="1425" w:header="0" w:footer="794" w:gutter="0"/>
        </w:sectPr>
        <w:rPr>
          <w:rFonts w:ascii="FangSong" w:hAnsi="FangSong" w:eastAsia="FangSong" w:cs="FangSong"/>
          <w:sz w:val="27"/>
          <w:szCs w:val="27"/>
        </w:rPr>
      </w:pPr>
    </w:p>
    <w:p>
      <w:pPr>
        <w:pStyle w:val="BodyText"/>
        <w:spacing w:line="257" w:lineRule="auto"/>
        <w:rPr/>
      </w:pPr>
      <w:r/>
    </w:p>
    <w:p>
      <w:pPr>
        <w:pStyle w:val="BodyText"/>
        <w:spacing w:line="258" w:lineRule="auto"/>
        <w:rPr/>
      </w:pPr>
      <w:r/>
    </w:p>
    <w:p>
      <w:pPr>
        <w:pStyle w:val="BodyText"/>
        <w:spacing w:line="258" w:lineRule="auto"/>
        <w:rPr/>
      </w:pPr>
      <w:r/>
    </w:p>
    <w:p>
      <w:pPr>
        <w:ind w:left="15" w:firstLine="629"/>
        <w:spacing w:before="97" w:line="271" w:lineRule="auto"/>
        <w:jc w:val="both"/>
        <w:rPr>
          <w:rFonts w:ascii="FangSong" w:hAnsi="FangSong" w:eastAsia="FangSong" w:cs="FangSong"/>
          <w:sz w:val="30"/>
          <w:szCs w:val="30"/>
        </w:rPr>
      </w:pPr>
      <w:bookmarkStart w:name="bookmark831" w:id="153"/>
      <w:bookmarkEnd w:id="153"/>
      <w:r>
        <w:rPr>
          <w:rFonts w:ascii="FangSong" w:hAnsi="FangSong" w:eastAsia="FangSong" w:cs="FangSong"/>
          <w:sz w:val="30"/>
          <w:szCs w:val="30"/>
          <w:spacing w:val="27"/>
        </w:rPr>
        <w:t>《突发公共卫生事件应急条例》第五十条第(五)项</w:t>
      </w:r>
      <w:r>
        <w:rPr>
          <w:rFonts w:ascii="FangSong" w:hAnsi="FangSong" w:eastAsia="FangSong" w:cs="FangSong"/>
          <w:sz w:val="30"/>
          <w:szCs w:val="30"/>
          <w:spacing w:val="13"/>
        </w:rPr>
        <w:t xml:space="preserve">   </w:t>
      </w:r>
      <w:r>
        <w:rPr>
          <w:rFonts w:ascii="FangSong" w:hAnsi="FangSong" w:eastAsia="FangSong" w:cs="FangSong"/>
          <w:sz w:val="30"/>
          <w:szCs w:val="30"/>
          <w:spacing w:val="27"/>
        </w:rPr>
        <w:t>医疗卫生机构有</w:t>
      </w:r>
      <w:r>
        <w:rPr>
          <w:rFonts w:ascii="FangSong" w:hAnsi="FangSong" w:eastAsia="FangSong" w:cs="FangSong"/>
          <w:sz w:val="30"/>
          <w:szCs w:val="30"/>
          <w:spacing w:val="26"/>
        </w:rPr>
        <w:t>下列行为的，由卫生行</w:t>
      </w:r>
      <w:r>
        <w:rPr>
          <w:rFonts w:ascii="FangSong" w:hAnsi="FangSong" w:eastAsia="FangSong" w:cs="FangSong"/>
          <w:sz w:val="30"/>
          <w:szCs w:val="30"/>
        </w:rPr>
        <w:t xml:space="preserve">  </w:t>
      </w:r>
      <w:r>
        <w:rPr>
          <w:rFonts w:ascii="FangSong" w:hAnsi="FangSong" w:eastAsia="FangSong" w:cs="FangSong"/>
          <w:sz w:val="30"/>
          <w:szCs w:val="30"/>
          <w:spacing w:val="20"/>
        </w:rPr>
        <w:t>政主管部门责令改正、通报批评、给予警告；情节严重的，吊销《医疗机构执业许可证》;对主要负</w:t>
      </w:r>
      <w:r>
        <w:rPr>
          <w:rFonts w:ascii="FangSong" w:hAnsi="FangSong" w:eastAsia="FangSong" w:cs="FangSong"/>
          <w:sz w:val="30"/>
          <w:szCs w:val="30"/>
        </w:rPr>
        <w:t xml:space="preserve"> </w:t>
      </w:r>
      <w:r>
        <w:rPr>
          <w:rFonts w:ascii="FangSong" w:hAnsi="FangSong" w:eastAsia="FangSong" w:cs="FangSong"/>
          <w:sz w:val="30"/>
          <w:szCs w:val="30"/>
          <w:spacing w:val="12"/>
        </w:rPr>
        <w:t>责人、负有责任的主管人员和其他直接责任人员依法给予降级或者撤职的纪律处分；造成传染病传</w:t>
      </w:r>
      <w:r>
        <w:rPr>
          <w:rFonts w:ascii="FangSong" w:hAnsi="FangSong" w:eastAsia="FangSong" w:cs="FangSong"/>
          <w:sz w:val="30"/>
          <w:szCs w:val="30"/>
          <w:spacing w:val="11"/>
        </w:rPr>
        <w:t>播、</w:t>
      </w:r>
      <w:r>
        <w:rPr>
          <w:rFonts w:ascii="FangSong" w:hAnsi="FangSong" w:eastAsia="FangSong" w:cs="FangSong"/>
          <w:sz w:val="30"/>
          <w:szCs w:val="30"/>
        </w:rPr>
        <w:t xml:space="preserve"> </w:t>
      </w:r>
      <w:r>
        <w:rPr>
          <w:rFonts w:ascii="FangSong" w:hAnsi="FangSong" w:eastAsia="FangSong" w:cs="FangSong"/>
          <w:sz w:val="30"/>
          <w:szCs w:val="30"/>
          <w:spacing w:val="18"/>
        </w:rPr>
        <w:t>流行或者对社会公众健康造成其他严重危害</w:t>
      </w:r>
      <w:r>
        <w:rPr>
          <w:rFonts w:ascii="FangSong" w:hAnsi="FangSong" w:eastAsia="FangSong" w:cs="FangSong"/>
          <w:sz w:val="30"/>
          <w:szCs w:val="30"/>
          <w:spacing w:val="17"/>
        </w:rPr>
        <w:t>后果，构成犯罪的，依法追究刑事责任：</w:t>
      </w:r>
    </w:p>
    <w:p>
      <w:pPr>
        <w:ind w:left="795"/>
        <w:spacing w:before="1" w:line="222" w:lineRule="auto"/>
        <w:rPr>
          <w:rFonts w:ascii="FangSong" w:hAnsi="FangSong" w:eastAsia="FangSong" w:cs="FangSong"/>
          <w:sz w:val="30"/>
          <w:szCs w:val="30"/>
        </w:rPr>
      </w:pPr>
      <w:r>
        <w:rPr>
          <w:rFonts w:ascii="FangSong" w:hAnsi="FangSong" w:eastAsia="FangSong" w:cs="FangSong"/>
          <w:sz w:val="30"/>
          <w:szCs w:val="30"/>
          <w:spacing w:val="23"/>
        </w:rPr>
        <w:t>(五)拒不服从突发事件应急处理指挥部调度的。</w:t>
      </w:r>
    </w:p>
    <w:p>
      <w:pPr>
        <w:ind w:left="6699"/>
        <w:spacing w:before="77"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44"/>
        <w:gridCol w:w="7934"/>
        <w:gridCol w:w="3792"/>
      </w:tblGrid>
      <w:tr>
        <w:trPr>
          <w:trHeight w:val="582" w:hRule="atLeast"/>
        </w:trPr>
        <w:tc>
          <w:tcPr>
            <w:tcW w:w="2144" w:type="dxa"/>
            <w:vAlign w:val="top"/>
          </w:tcPr>
          <w:p>
            <w:pPr>
              <w:pStyle w:val="TableText"/>
              <w:ind w:left="568"/>
              <w:spacing w:before="172" w:line="220" w:lineRule="auto"/>
              <w:rPr>
                <w:sz w:val="25"/>
                <w:szCs w:val="25"/>
              </w:rPr>
            </w:pPr>
            <w:r>
              <w:rPr>
                <w:sz w:val="25"/>
                <w:szCs w:val="25"/>
                <w:b/>
                <w:bCs/>
                <w:spacing w:val="-5"/>
              </w:rPr>
              <w:t>违法程度</w:t>
            </w:r>
          </w:p>
        </w:tc>
        <w:tc>
          <w:tcPr>
            <w:tcW w:w="7934" w:type="dxa"/>
            <w:vAlign w:val="top"/>
          </w:tcPr>
          <w:p>
            <w:pPr>
              <w:pStyle w:val="TableText"/>
              <w:ind w:left="3404"/>
              <w:spacing w:before="172" w:line="220" w:lineRule="auto"/>
              <w:rPr>
                <w:sz w:val="25"/>
                <w:szCs w:val="25"/>
              </w:rPr>
            </w:pPr>
            <w:r>
              <w:rPr>
                <w:sz w:val="25"/>
                <w:szCs w:val="25"/>
                <w:b/>
                <w:bCs/>
                <w:spacing w:val="-5"/>
              </w:rPr>
              <w:t>情节后果</w:t>
            </w:r>
          </w:p>
        </w:tc>
        <w:tc>
          <w:tcPr>
            <w:tcW w:w="3792" w:type="dxa"/>
            <w:vAlign w:val="top"/>
          </w:tcPr>
          <w:p>
            <w:pPr>
              <w:pStyle w:val="TableText"/>
              <w:ind w:left="1350"/>
              <w:spacing w:before="169" w:line="218" w:lineRule="auto"/>
              <w:rPr>
                <w:sz w:val="25"/>
                <w:szCs w:val="25"/>
              </w:rPr>
            </w:pPr>
            <w:r>
              <w:rPr>
                <w:sz w:val="25"/>
                <w:szCs w:val="25"/>
                <w:b/>
                <w:bCs/>
                <w:spacing w:val="-5"/>
              </w:rPr>
              <w:t>裁量幅度</w:t>
            </w:r>
          </w:p>
        </w:tc>
      </w:tr>
      <w:tr>
        <w:trPr>
          <w:trHeight w:val="627" w:hRule="atLeast"/>
        </w:trPr>
        <w:tc>
          <w:tcPr>
            <w:tcW w:w="2144" w:type="dxa"/>
            <w:vAlign w:val="top"/>
          </w:tcPr>
          <w:p>
            <w:pPr>
              <w:pStyle w:val="TableText"/>
              <w:ind w:left="818"/>
              <w:spacing w:before="241" w:line="221" w:lineRule="auto"/>
              <w:rPr>
                <w:sz w:val="25"/>
                <w:szCs w:val="25"/>
              </w:rPr>
            </w:pPr>
            <w:r>
              <w:rPr>
                <w:sz w:val="25"/>
                <w:szCs w:val="25"/>
                <w:b/>
                <w:bCs/>
                <w:spacing w:val="-10"/>
              </w:rPr>
              <w:t>一般</w:t>
            </w:r>
          </w:p>
        </w:tc>
        <w:tc>
          <w:tcPr>
            <w:tcW w:w="7934" w:type="dxa"/>
            <w:vAlign w:val="top"/>
          </w:tcPr>
          <w:p>
            <w:pPr>
              <w:pStyle w:val="TableText"/>
              <w:ind w:left="101"/>
              <w:spacing w:before="243" w:line="219" w:lineRule="auto"/>
              <w:rPr>
                <w:sz w:val="25"/>
                <w:szCs w:val="25"/>
              </w:rPr>
            </w:pPr>
            <w:r>
              <w:rPr>
                <w:sz w:val="25"/>
                <w:szCs w:val="25"/>
                <w:spacing w:val="1"/>
              </w:rPr>
              <w:t>拒不服从突发事件应急处理指挥部调度的</w:t>
            </w:r>
          </w:p>
        </w:tc>
        <w:tc>
          <w:tcPr>
            <w:tcW w:w="3792" w:type="dxa"/>
            <w:vAlign w:val="top"/>
          </w:tcPr>
          <w:p>
            <w:pPr>
              <w:pStyle w:val="TableText"/>
              <w:ind w:left="127"/>
              <w:spacing w:before="241" w:line="218" w:lineRule="auto"/>
              <w:rPr>
                <w:sz w:val="25"/>
                <w:szCs w:val="25"/>
              </w:rPr>
            </w:pPr>
            <w:r>
              <w:rPr>
                <w:sz w:val="25"/>
                <w:szCs w:val="25"/>
                <w:spacing w:val="2"/>
              </w:rPr>
              <w:t>通报批评、警告</w:t>
            </w:r>
          </w:p>
        </w:tc>
      </w:tr>
      <w:tr>
        <w:trPr>
          <w:trHeight w:val="890" w:hRule="atLeast"/>
        </w:trPr>
        <w:tc>
          <w:tcPr>
            <w:tcW w:w="2144" w:type="dxa"/>
            <w:vAlign w:val="top"/>
          </w:tcPr>
          <w:p>
            <w:pPr>
              <w:spacing w:line="300" w:lineRule="auto"/>
              <w:rPr>
                <w:rFonts w:ascii="Arial"/>
                <w:sz w:val="21"/>
              </w:rPr>
            </w:pPr>
            <w:r/>
          </w:p>
          <w:p>
            <w:pPr>
              <w:pStyle w:val="TableText"/>
              <w:ind w:left="818"/>
              <w:spacing w:before="81" w:line="220" w:lineRule="auto"/>
              <w:rPr>
                <w:sz w:val="25"/>
                <w:szCs w:val="25"/>
              </w:rPr>
            </w:pPr>
            <w:r>
              <w:rPr>
                <w:sz w:val="25"/>
                <w:szCs w:val="25"/>
                <w:b/>
                <w:bCs/>
                <w:spacing w:val="-6"/>
              </w:rPr>
              <w:t>严重</w:t>
            </w:r>
          </w:p>
        </w:tc>
        <w:tc>
          <w:tcPr>
            <w:tcW w:w="7934" w:type="dxa"/>
            <w:vAlign w:val="top"/>
          </w:tcPr>
          <w:p>
            <w:pPr>
              <w:pStyle w:val="TableText"/>
              <w:ind w:left="101"/>
              <w:spacing w:before="175" w:line="260" w:lineRule="auto"/>
              <w:rPr>
                <w:sz w:val="25"/>
                <w:szCs w:val="25"/>
              </w:rPr>
            </w:pPr>
            <w:r>
              <w:rPr>
                <w:sz w:val="25"/>
                <w:szCs w:val="25"/>
                <w:spacing w:val="-6"/>
              </w:rPr>
              <w:t>拒不服从突发事件应急处理指挥部调度造成传染病传播、流行或者对社会</w:t>
            </w:r>
            <w:r>
              <w:rPr>
                <w:sz w:val="25"/>
                <w:szCs w:val="25"/>
                <w:spacing w:val="13"/>
              </w:rPr>
              <w:t xml:space="preserve"> </w:t>
            </w:r>
            <w:r>
              <w:rPr>
                <w:sz w:val="25"/>
                <w:szCs w:val="25"/>
                <w:spacing w:val="1"/>
              </w:rPr>
              <w:t>公众健康造成其他严重危害后果的</w:t>
            </w:r>
          </w:p>
        </w:tc>
        <w:tc>
          <w:tcPr>
            <w:tcW w:w="3792" w:type="dxa"/>
            <w:vAlign w:val="top"/>
          </w:tcPr>
          <w:p>
            <w:pPr>
              <w:spacing w:line="321" w:lineRule="auto"/>
              <w:rPr>
                <w:rFonts w:ascii="Arial"/>
                <w:sz w:val="21"/>
              </w:rPr>
            </w:pPr>
            <w:r/>
          </w:p>
          <w:p>
            <w:pPr>
              <w:pStyle w:val="TableText"/>
              <w:ind w:left="127"/>
              <w:spacing w:before="81" w:line="219" w:lineRule="auto"/>
              <w:rPr>
                <w:sz w:val="25"/>
                <w:szCs w:val="25"/>
              </w:rPr>
            </w:pPr>
            <w:r>
              <w:rPr>
                <w:sz w:val="25"/>
                <w:szCs w:val="25"/>
              </w:rPr>
              <w:t>吊销医疗机构执业许可证</w:t>
            </w:r>
          </w:p>
        </w:tc>
      </w:tr>
    </w:tbl>
    <w:p>
      <w:pPr>
        <w:ind w:left="799"/>
        <w:spacing w:before="106" w:line="223" w:lineRule="auto"/>
        <w:rPr>
          <w:rFonts w:ascii="KaiTi" w:hAnsi="KaiTi" w:eastAsia="KaiTi" w:cs="KaiTi"/>
          <w:sz w:val="30"/>
          <w:szCs w:val="30"/>
        </w:rPr>
      </w:pPr>
      <w:r>
        <w:rPr>
          <w:rFonts w:ascii="KaiTi" w:hAnsi="KaiTi" w:eastAsia="KaiTi" w:cs="KaiTi"/>
          <w:sz w:val="30"/>
          <w:szCs w:val="30"/>
          <w:b/>
          <w:bCs/>
          <w:spacing w:val="7"/>
        </w:rPr>
        <w:t>(</w:t>
      </w:r>
      <w:r>
        <w:rPr>
          <w:rFonts w:ascii="KaiTi" w:hAnsi="KaiTi" w:eastAsia="KaiTi" w:cs="KaiTi"/>
          <w:sz w:val="30"/>
          <w:szCs w:val="30"/>
          <w:spacing w:val="-46"/>
        </w:rPr>
        <w:t xml:space="preserve"> </w:t>
      </w:r>
      <w:r>
        <w:rPr>
          <w:rFonts w:ascii="KaiTi" w:hAnsi="KaiTi" w:eastAsia="KaiTi" w:cs="KaiTi"/>
          <w:sz w:val="30"/>
          <w:szCs w:val="30"/>
          <w:b/>
          <w:bCs/>
          <w:spacing w:val="7"/>
        </w:rPr>
        <w:t>十</w:t>
      </w:r>
      <w:r>
        <w:rPr>
          <w:rFonts w:ascii="KaiTi" w:hAnsi="KaiTi" w:eastAsia="KaiTi" w:cs="KaiTi"/>
          <w:sz w:val="30"/>
          <w:szCs w:val="30"/>
          <w:spacing w:val="-56"/>
        </w:rPr>
        <w:t xml:space="preserve"> </w:t>
      </w:r>
      <w:r>
        <w:rPr>
          <w:rFonts w:ascii="KaiTi" w:hAnsi="KaiTi" w:eastAsia="KaiTi" w:cs="KaiTi"/>
          <w:sz w:val="30"/>
          <w:szCs w:val="30"/>
          <w:b/>
          <w:bCs/>
          <w:spacing w:val="7"/>
        </w:rPr>
        <w:t>一</w:t>
      </w:r>
      <w:r>
        <w:rPr>
          <w:rFonts w:ascii="KaiTi" w:hAnsi="KaiTi" w:eastAsia="KaiTi" w:cs="KaiTi"/>
          <w:sz w:val="30"/>
          <w:szCs w:val="30"/>
          <w:spacing w:val="-66"/>
        </w:rPr>
        <w:t xml:space="preserve"> </w:t>
      </w:r>
      <w:r>
        <w:rPr>
          <w:rFonts w:ascii="KaiTi" w:hAnsi="KaiTi" w:eastAsia="KaiTi" w:cs="KaiTi"/>
          <w:sz w:val="30"/>
          <w:szCs w:val="30"/>
          <w:b/>
          <w:bCs/>
          <w:spacing w:val="7"/>
        </w:rPr>
        <w:t>)</w:t>
      </w:r>
      <w:r>
        <w:rPr>
          <w:rFonts w:ascii="KaiTi" w:hAnsi="KaiTi" w:eastAsia="KaiTi" w:cs="KaiTi"/>
          <w:sz w:val="30"/>
          <w:szCs w:val="30"/>
          <w:spacing w:val="7"/>
        </w:rPr>
        <w:t xml:space="preserve">  </w:t>
      </w:r>
      <w:r>
        <w:rPr>
          <w:rFonts w:ascii="KaiTi" w:hAnsi="KaiTi" w:eastAsia="KaiTi" w:cs="KaiTi"/>
          <w:sz w:val="30"/>
          <w:szCs w:val="30"/>
          <w:b/>
          <w:bCs/>
          <w:spacing w:val="7"/>
        </w:rPr>
        <w:t>《突发公共卫生事件与传染病疫情监测信息报告管理办法》</w:t>
      </w:r>
    </w:p>
    <w:p>
      <w:pPr>
        <w:pStyle w:val="BodyText"/>
        <w:spacing w:line="241" w:lineRule="auto"/>
        <w:rPr/>
      </w:pPr>
      <w:r/>
    </w:p>
    <w:p>
      <w:pPr>
        <w:ind w:left="639"/>
        <w:spacing w:before="97" w:line="221" w:lineRule="auto"/>
        <w:rPr>
          <w:rFonts w:ascii="FangSong" w:hAnsi="FangSong" w:eastAsia="FangSong" w:cs="FangSong"/>
          <w:sz w:val="30"/>
          <w:szCs w:val="30"/>
        </w:rPr>
      </w:pPr>
      <w:r>
        <w:rPr>
          <w:rFonts w:ascii="FangSong" w:hAnsi="FangSong" w:eastAsia="FangSong" w:cs="FangSong"/>
          <w:sz w:val="30"/>
          <w:szCs w:val="30"/>
          <w:b/>
          <w:bCs/>
          <w:spacing w:val="17"/>
        </w:rPr>
        <w:t>第九十六条</w:t>
      </w:r>
      <w:r>
        <w:rPr>
          <w:rFonts w:ascii="FangSong" w:hAnsi="FangSong" w:eastAsia="FangSong" w:cs="FangSong"/>
          <w:sz w:val="30"/>
          <w:szCs w:val="30"/>
          <w:spacing w:val="17"/>
        </w:rPr>
        <w:t xml:space="preserve">  </w:t>
      </w:r>
      <w:r>
        <w:rPr>
          <w:rFonts w:ascii="FangSong" w:hAnsi="FangSong" w:eastAsia="FangSong" w:cs="FangSong"/>
          <w:sz w:val="30"/>
          <w:szCs w:val="30"/>
          <w:b/>
          <w:bCs/>
          <w:spacing w:val="17"/>
        </w:rPr>
        <w:t>执行职务的医疗卫生人员瞒报、缓报</w:t>
      </w:r>
      <w:r>
        <w:rPr>
          <w:rFonts w:ascii="FangSong" w:hAnsi="FangSong" w:eastAsia="FangSong" w:cs="FangSong"/>
          <w:sz w:val="30"/>
          <w:szCs w:val="30"/>
          <w:b/>
          <w:bCs/>
          <w:spacing w:val="16"/>
        </w:rPr>
        <w:t>、谎报传染病疫情的</w:t>
      </w:r>
    </w:p>
    <w:p>
      <w:pPr>
        <w:ind w:left="634"/>
        <w:spacing w:before="68"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5" w:right="108" w:firstLine="469"/>
        <w:spacing w:before="77" w:line="272" w:lineRule="auto"/>
        <w:jc w:val="both"/>
        <w:rPr>
          <w:rFonts w:ascii="FangSong" w:hAnsi="FangSong" w:eastAsia="FangSong" w:cs="FangSong"/>
          <w:sz w:val="30"/>
          <w:szCs w:val="30"/>
        </w:rPr>
      </w:pPr>
      <w:r>
        <w:rPr>
          <w:rFonts w:ascii="FangSong" w:hAnsi="FangSong" w:eastAsia="FangSong" w:cs="FangSong"/>
          <w:sz w:val="30"/>
          <w:szCs w:val="30"/>
          <w:spacing w:val="16"/>
        </w:rPr>
        <w:t>《突发公共卫生事件与传染病疫情监测信息报告管理办法》第四十条第一款</w:t>
      </w:r>
      <w:r>
        <w:rPr>
          <w:rFonts w:ascii="FangSong" w:hAnsi="FangSong" w:eastAsia="FangSong" w:cs="FangSong"/>
          <w:sz w:val="30"/>
          <w:szCs w:val="30"/>
          <w:spacing w:val="16"/>
        </w:rPr>
        <w:t xml:space="preserve">   </w:t>
      </w:r>
      <w:r>
        <w:rPr>
          <w:rFonts w:ascii="FangSong" w:hAnsi="FangSong" w:eastAsia="FangSong" w:cs="FangSong"/>
          <w:sz w:val="30"/>
          <w:szCs w:val="30"/>
          <w:spacing w:val="16"/>
        </w:rPr>
        <w:t>执行职务的医疗卫</w:t>
      </w:r>
      <w:r>
        <w:rPr>
          <w:rFonts w:ascii="FangSong" w:hAnsi="FangSong" w:eastAsia="FangSong" w:cs="FangSong"/>
          <w:sz w:val="30"/>
          <w:szCs w:val="30"/>
          <w:spacing w:val="6"/>
        </w:rPr>
        <w:t xml:space="preserve"> </w:t>
      </w:r>
      <w:r>
        <w:rPr>
          <w:rFonts w:ascii="FangSong" w:hAnsi="FangSong" w:eastAsia="FangSong" w:cs="FangSong"/>
          <w:sz w:val="30"/>
          <w:szCs w:val="30"/>
          <w:spacing w:val="16"/>
        </w:rPr>
        <w:t>生人员瞒报、缓报、谎报传染病疫情的，由县级以上卫生行政部门给予警告，情节严重的，责令暂停</w:t>
      </w:r>
      <w:r>
        <w:rPr>
          <w:rFonts w:ascii="FangSong" w:hAnsi="FangSong" w:eastAsia="FangSong" w:cs="FangSong"/>
          <w:sz w:val="30"/>
          <w:szCs w:val="30"/>
          <w:spacing w:val="5"/>
        </w:rPr>
        <w:t xml:space="preserve"> </w:t>
      </w:r>
      <w:r>
        <w:rPr>
          <w:rFonts w:ascii="FangSong" w:hAnsi="FangSong" w:eastAsia="FangSong" w:cs="FangSong"/>
          <w:sz w:val="30"/>
          <w:szCs w:val="30"/>
          <w:spacing w:val="16"/>
        </w:rPr>
        <w:t>六个月以上一年以下执业活动，或者吊销其执业证书。</w:t>
      </w:r>
    </w:p>
    <w:p>
      <w:pPr>
        <w:ind w:left="6699"/>
        <w:spacing w:before="11"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175"/>
          <w:pgSz w:w="16830" w:h="11900"/>
          <w:pgMar w:top="1011" w:right="1340" w:bottom="1107" w:left="1434" w:header="0" w:footer="774" w:gutter="0"/>
        </w:sectPr>
        <w:rPr>
          <w:rFonts w:ascii="SimHei" w:hAnsi="SimHei" w:eastAsia="SimHei" w:cs="SimHei"/>
          <w:sz w:val="30"/>
          <w:szCs w:val="30"/>
        </w:rPr>
      </w:pPr>
    </w:p>
    <w:p>
      <w:pPr>
        <w:spacing w:before="17"/>
        <w:rPr/>
      </w:pPr>
      <w:r/>
    </w:p>
    <w:p>
      <w:pPr>
        <w:spacing w:before="16"/>
        <w:rPr/>
      </w:pPr>
      <w:r/>
    </w:p>
    <w:p>
      <w:pPr>
        <w:spacing w:before="16"/>
        <w:rPr/>
      </w:pPr>
      <w:r/>
    </w:p>
    <w:tbl>
      <w:tblPr>
        <w:tblStyle w:val="TableNormal"/>
        <w:tblW w:w="138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54"/>
        <w:gridCol w:w="7355"/>
        <w:gridCol w:w="4971"/>
      </w:tblGrid>
      <w:tr>
        <w:trPr>
          <w:trHeight w:val="494" w:hRule="atLeast"/>
        </w:trPr>
        <w:tc>
          <w:tcPr>
            <w:tcW w:w="1554" w:type="dxa"/>
            <w:vAlign w:val="top"/>
          </w:tcPr>
          <w:p>
            <w:pPr>
              <w:pStyle w:val="TableText"/>
              <w:ind w:left="268"/>
              <w:spacing w:before="122" w:line="220" w:lineRule="auto"/>
              <w:rPr>
                <w:sz w:val="25"/>
                <w:szCs w:val="25"/>
              </w:rPr>
            </w:pPr>
            <w:bookmarkStart w:name="bookmark832" w:id="154"/>
            <w:bookmarkEnd w:id="154"/>
            <w:r>
              <w:rPr>
                <w:sz w:val="25"/>
                <w:szCs w:val="25"/>
                <w:b/>
                <w:bCs/>
                <w:spacing w:val="-5"/>
              </w:rPr>
              <w:t>违法程度</w:t>
            </w:r>
          </w:p>
        </w:tc>
        <w:tc>
          <w:tcPr>
            <w:tcW w:w="7355" w:type="dxa"/>
            <w:vAlign w:val="top"/>
          </w:tcPr>
          <w:p>
            <w:pPr>
              <w:pStyle w:val="TableText"/>
              <w:ind w:left="3174"/>
              <w:spacing w:before="122" w:line="220" w:lineRule="auto"/>
              <w:rPr>
                <w:sz w:val="25"/>
                <w:szCs w:val="25"/>
              </w:rPr>
            </w:pPr>
            <w:r>
              <w:rPr>
                <w:sz w:val="25"/>
                <w:szCs w:val="25"/>
                <w:b/>
                <w:bCs/>
                <w:spacing w:val="-5"/>
              </w:rPr>
              <w:t>情节后果</w:t>
            </w:r>
          </w:p>
        </w:tc>
        <w:tc>
          <w:tcPr>
            <w:tcW w:w="4971" w:type="dxa"/>
            <w:vAlign w:val="top"/>
          </w:tcPr>
          <w:p>
            <w:pPr>
              <w:pStyle w:val="TableText"/>
              <w:ind w:left="1919"/>
              <w:spacing w:before="119" w:line="218" w:lineRule="auto"/>
              <w:rPr>
                <w:sz w:val="25"/>
                <w:szCs w:val="25"/>
              </w:rPr>
            </w:pPr>
            <w:r>
              <w:rPr>
                <w:sz w:val="25"/>
                <w:szCs w:val="25"/>
                <w:b/>
                <w:bCs/>
                <w:spacing w:val="-5"/>
              </w:rPr>
              <w:t>裁量幅度</w:t>
            </w:r>
          </w:p>
        </w:tc>
      </w:tr>
      <w:tr>
        <w:trPr>
          <w:trHeight w:val="877" w:hRule="atLeast"/>
        </w:trPr>
        <w:tc>
          <w:tcPr>
            <w:tcW w:w="1554" w:type="dxa"/>
            <w:vAlign w:val="top"/>
          </w:tcPr>
          <w:p>
            <w:pPr>
              <w:pStyle w:val="TableText"/>
              <w:ind w:left="518"/>
              <w:spacing w:before="321" w:line="221" w:lineRule="auto"/>
              <w:rPr>
                <w:sz w:val="25"/>
                <w:szCs w:val="25"/>
              </w:rPr>
            </w:pPr>
            <w:r>
              <w:rPr>
                <w:sz w:val="25"/>
                <w:szCs w:val="25"/>
                <w:b/>
                <w:bCs/>
                <w:spacing w:val="-6"/>
              </w:rPr>
              <w:t>较重</w:t>
            </w:r>
          </w:p>
        </w:tc>
        <w:tc>
          <w:tcPr>
            <w:tcW w:w="7355" w:type="dxa"/>
            <w:vAlign w:val="top"/>
          </w:tcPr>
          <w:p>
            <w:pPr>
              <w:pStyle w:val="TableText"/>
              <w:ind w:left="111" w:right="37" w:hanging="70"/>
              <w:spacing w:before="149" w:line="265" w:lineRule="auto"/>
              <w:rPr>
                <w:sz w:val="25"/>
                <w:szCs w:val="25"/>
              </w:rPr>
            </w:pPr>
            <w:r>
              <w:rPr>
                <w:sz w:val="25"/>
                <w:szCs w:val="25"/>
              </w:rPr>
              <w:t>瞒报、缓报、谎报传染病疫情，造成突发公共卫生事件(IV级)和丙</w:t>
            </w:r>
            <w:r>
              <w:rPr>
                <w:sz w:val="25"/>
                <w:szCs w:val="25"/>
                <w:spacing w:val="15"/>
              </w:rPr>
              <w:t xml:space="preserve"> </w:t>
            </w:r>
            <w:r>
              <w:rPr>
                <w:sz w:val="25"/>
                <w:szCs w:val="25"/>
                <w:spacing w:val="2"/>
              </w:rPr>
              <w:t>类传染病传播流行的</w:t>
            </w:r>
          </w:p>
        </w:tc>
        <w:tc>
          <w:tcPr>
            <w:tcW w:w="4971" w:type="dxa"/>
            <w:vAlign w:val="top"/>
          </w:tcPr>
          <w:p>
            <w:pPr>
              <w:pStyle w:val="TableText"/>
              <w:ind w:left="115"/>
              <w:spacing w:before="319" w:line="219" w:lineRule="auto"/>
              <w:rPr>
                <w:sz w:val="25"/>
                <w:szCs w:val="25"/>
              </w:rPr>
            </w:pPr>
            <w:r>
              <w:rPr>
                <w:sz w:val="25"/>
                <w:szCs w:val="25"/>
              </w:rPr>
              <w:t>责令暂停6个月以上9个月以下执业活动</w:t>
            </w:r>
          </w:p>
        </w:tc>
      </w:tr>
      <w:tr>
        <w:trPr>
          <w:trHeight w:val="887" w:hRule="atLeast"/>
        </w:trPr>
        <w:tc>
          <w:tcPr>
            <w:tcW w:w="1554" w:type="dxa"/>
            <w:vAlign w:val="top"/>
          </w:tcPr>
          <w:p>
            <w:pPr>
              <w:pStyle w:val="TableText"/>
              <w:ind w:left="518"/>
              <w:spacing w:before="321" w:line="220" w:lineRule="auto"/>
              <w:rPr>
                <w:sz w:val="25"/>
                <w:szCs w:val="25"/>
              </w:rPr>
            </w:pPr>
            <w:r>
              <w:rPr>
                <w:sz w:val="25"/>
                <w:szCs w:val="25"/>
                <w:b/>
                <w:bCs/>
                <w:spacing w:val="-6"/>
              </w:rPr>
              <w:t>严重</w:t>
            </w:r>
          </w:p>
        </w:tc>
        <w:tc>
          <w:tcPr>
            <w:tcW w:w="7355" w:type="dxa"/>
            <w:vAlign w:val="top"/>
          </w:tcPr>
          <w:p>
            <w:pPr>
              <w:pStyle w:val="TableText"/>
              <w:ind w:left="111" w:right="35" w:hanging="70"/>
              <w:spacing w:before="143" w:line="271" w:lineRule="auto"/>
              <w:rPr>
                <w:sz w:val="25"/>
                <w:szCs w:val="25"/>
              </w:rPr>
            </w:pPr>
            <w:r>
              <w:rPr>
                <w:sz w:val="25"/>
                <w:szCs w:val="25"/>
              </w:rPr>
              <w:t>瞒报、缓报、谎报传染病疫情，造成突发公共卫生事件(Ⅲ级)和乙</w:t>
            </w:r>
            <w:r>
              <w:rPr>
                <w:sz w:val="25"/>
                <w:szCs w:val="25"/>
                <w:spacing w:val="17"/>
              </w:rPr>
              <w:t xml:space="preserve"> </w:t>
            </w:r>
            <w:r>
              <w:rPr>
                <w:sz w:val="25"/>
                <w:szCs w:val="25"/>
                <w:spacing w:val="2"/>
              </w:rPr>
              <w:t>类传染病传播流行的</w:t>
            </w:r>
          </w:p>
        </w:tc>
        <w:tc>
          <w:tcPr>
            <w:tcW w:w="4971" w:type="dxa"/>
            <w:vAlign w:val="top"/>
          </w:tcPr>
          <w:p>
            <w:pPr>
              <w:rPr>
                <w:rFonts w:ascii="Arial"/>
                <w:sz w:val="21"/>
              </w:rPr>
            </w:pPr>
            <w:r/>
          </w:p>
          <w:p>
            <w:pPr>
              <w:pStyle w:val="TableText"/>
              <w:ind w:left="115"/>
              <w:spacing w:before="81" w:line="219" w:lineRule="auto"/>
              <w:rPr>
                <w:sz w:val="25"/>
                <w:szCs w:val="25"/>
              </w:rPr>
            </w:pPr>
            <w:r>
              <w:rPr>
                <w:sz w:val="25"/>
                <w:szCs w:val="25"/>
                <w:spacing w:val="1"/>
              </w:rPr>
              <w:t>责令暂停9个月以上12个月以下执业活动</w:t>
            </w:r>
          </w:p>
        </w:tc>
      </w:tr>
      <w:tr>
        <w:trPr>
          <w:trHeight w:val="872" w:hRule="atLeast"/>
        </w:trPr>
        <w:tc>
          <w:tcPr>
            <w:tcW w:w="1554" w:type="dxa"/>
            <w:vAlign w:val="top"/>
          </w:tcPr>
          <w:p>
            <w:pPr>
              <w:pStyle w:val="TableText"/>
              <w:ind w:left="268"/>
              <w:spacing w:before="313" w:line="219" w:lineRule="auto"/>
              <w:rPr>
                <w:sz w:val="25"/>
                <w:szCs w:val="25"/>
              </w:rPr>
            </w:pPr>
            <w:r>
              <w:rPr>
                <w:sz w:val="25"/>
                <w:szCs w:val="25"/>
                <w:b/>
                <w:bCs/>
                <w:spacing w:val="-5"/>
              </w:rPr>
              <w:t>特别严重</w:t>
            </w:r>
          </w:p>
        </w:tc>
        <w:tc>
          <w:tcPr>
            <w:tcW w:w="7355" w:type="dxa"/>
            <w:vAlign w:val="top"/>
          </w:tcPr>
          <w:p>
            <w:pPr>
              <w:pStyle w:val="TableText"/>
              <w:ind w:left="130" w:hanging="119"/>
              <w:spacing w:before="147" w:line="264" w:lineRule="auto"/>
              <w:rPr>
                <w:sz w:val="25"/>
                <w:szCs w:val="25"/>
              </w:rPr>
            </w:pPr>
            <w:r>
              <w:rPr>
                <w:sz w:val="25"/>
                <w:szCs w:val="25"/>
                <w:spacing w:val="-1"/>
              </w:rPr>
              <w:t>瞒报、缓报、谎报传染病疫情，造成突发公</w:t>
            </w:r>
            <w:r>
              <w:rPr>
                <w:sz w:val="25"/>
                <w:szCs w:val="25"/>
                <w:spacing w:val="-2"/>
              </w:rPr>
              <w:t>共卫生事件(Ⅱ、I级)和</w:t>
            </w:r>
            <w:r>
              <w:rPr>
                <w:sz w:val="25"/>
                <w:szCs w:val="25"/>
              </w:rPr>
              <w:t xml:space="preserve"> </w:t>
            </w:r>
            <w:r>
              <w:rPr>
                <w:sz w:val="25"/>
                <w:szCs w:val="25"/>
                <w:spacing w:val="1"/>
              </w:rPr>
              <w:t>甲类传染病传播流行的</w:t>
            </w:r>
          </w:p>
        </w:tc>
        <w:tc>
          <w:tcPr>
            <w:tcW w:w="4971" w:type="dxa"/>
            <w:vAlign w:val="top"/>
          </w:tcPr>
          <w:p>
            <w:pPr>
              <w:pStyle w:val="TableText"/>
              <w:ind w:left="115"/>
              <w:spacing w:before="315" w:line="219" w:lineRule="auto"/>
              <w:rPr>
                <w:sz w:val="25"/>
                <w:szCs w:val="25"/>
              </w:rPr>
            </w:pPr>
            <w:r>
              <w:rPr>
                <w:sz w:val="25"/>
                <w:szCs w:val="25"/>
                <w:spacing w:val="2"/>
              </w:rPr>
              <w:t>吊销执业证书</w:t>
            </w:r>
          </w:p>
        </w:tc>
      </w:tr>
    </w:tbl>
    <w:p>
      <w:pPr>
        <w:ind w:left="669"/>
        <w:spacing w:before="127" w:line="221" w:lineRule="auto"/>
        <w:rPr>
          <w:rFonts w:ascii="FangSong" w:hAnsi="FangSong" w:eastAsia="FangSong" w:cs="FangSong"/>
          <w:sz w:val="30"/>
          <w:szCs w:val="30"/>
        </w:rPr>
      </w:pPr>
      <w:r>
        <w:rPr>
          <w:rFonts w:ascii="FangSong" w:hAnsi="FangSong" w:eastAsia="FangSong" w:cs="FangSong"/>
          <w:sz w:val="30"/>
          <w:szCs w:val="30"/>
          <w:b/>
          <w:bCs/>
          <w:spacing w:val="21"/>
        </w:rPr>
        <w:t>第九十七条个体或私营医疗保健机构瞒报、缓报、谎报传染病疫情或突发公共卫生事件的</w:t>
      </w:r>
    </w:p>
    <w:p>
      <w:pPr>
        <w:ind w:left="654"/>
        <w:spacing w:before="78"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5" w:firstLine="630"/>
        <w:spacing w:before="87" w:line="267" w:lineRule="auto"/>
        <w:jc w:val="both"/>
        <w:rPr>
          <w:rFonts w:ascii="FangSong" w:hAnsi="FangSong" w:eastAsia="FangSong" w:cs="FangSong"/>
          <w:sz w:val="30"/>
          <w:szCs w:val="30"/>
        </w:rPr>
      </w:pPr>
      <w:r>
        <w:rPr>
          <w:rFonts w:ascii="FangSong" w:hAnsi="FangSong" w:eastAsia="FangSong" w:cs="FangSong"/>
          <w:sz w:val="30"/>
          <w:szCs w:val="30"/>
          <w:spacing w:val="20"/>
        </w:rPr>
        <w:t>《突发公共卫生事件与传染病疫情监测信息报告</w:t>
      </w:r>
      <w:r>
        <w:rPr>
          <w:rFonts w:ascii="FangSong" w:hAnsi="FangSong" w:eastAsia="FangSong" w:cs="FangSong"/>
          <w:sz w:val="30"/>
          <w:szCs w:val="30"/>
          <w:spacing w:val="19"/>
        </w:rPr>
        <w:t>管理办法》第四十一条</w:t>
      </w:r>
      <w:r>
        <w:rPr>
          <w:rFonts w:ascii="FangSong" w:hAnsi="FangSong" w:eastAsia="FangSong" w:cs="FangSong"/>
          <w:sz w:val="30"/>
          <w:szCs w:val="30"/>
          <w:spacing w:val="5"/>
        </w:rPr>
        <w:t xml:space="preserve">   </w:t>
      </w:r>
      <w:r>
        <w:rPr>
          <w:rFonts w:ascii="FangSong" w:hAnsi="FangSong" w:eastAsia="FangSong" w:cs="FangSong"/>
          <w:sz w:val="30"/>
          <w:szCs w:val="30"/>
          <w:spacing w:val="19"/>
        </w:rPr>
        <w:t>个体或私营医疗保健</w:t>
      </w:r>
      <w:r>
        <w:rPr>
          <w:rFonts w:ascii="FangSong" w:hAnsi="FangSong" w:eastAsia="FangSong" w:cs="FangSong"/>
          <w:sz w:val="30"/>
          <w:szCs w:val="30"/>
          <w:spacing w:val="1"/>
        </w:rPr>
        <w:t xml:space="preserve">  </w:t>
      </w:r>
      <w:r>
        <w:rPr>
          <w:rFonts w:ascii="FangSong" w:hAnsi="FangSong" w:eastAsia="FangSong" w:cs="FangSong"/>
          <w:sz w:val="30"/>
          <w:szCs w:val="30"/>
          <w:spacing w:val="18"/>
        </w:rPr>
        <w:t>机构瞒报、缓报、谎报传染病疫情或突发公共卫生事件的，由县级以上卫生行政部门责令限期改正，</w:t>
      </w:r>
      <w:r>
        <w:rPr>
          <w:rFonts w:ascii="FangSong" w:hAnsi="FangSong" w:eastAsia="FangSong" w:cs="FangSong"/>
          <w:sz w:val="30"/>
          <w:szCs w:val="30"/>
          <w:spacing w:val="16"/>
        </w:rPr>
        <w:t xml:space="preserve"> </w:t>
      </w:r>
      <w:r>
        <w:rPr>
          <w:rFonts w:ascii="FangSong" w:hAnsi="FangSong" w:eastAsia="FangSong" w:cs="FangSong"/>
          <w:sz w:val="30"/>
          <w:szCs w:val="30"/>
          <w:spacing w:val="24"/>
        </w:rPr>
        <w:t>可以处100元以上500元以下罚款；对造成突发公共卫生事件和</w:t>
      </w:r>
      <w:r>
        <w:rPr>
          <w:rFonts w:ascii="FangSong" w:hAnsi="FangSong" w:eastAsia="FangSong" w:cs="FangSong"/>
          <w:sz w:val="30"/>
          <w:szCs w:val="30"/>
          <w:spacing w:val="23"/>
        </w:rPr>
        <w:t>传染病传播流行的，责令停业整改，</w:t>
      </w:r>
      <w:r>
        <w:rPr>
          <w:rFonts w:ascii="FangSong" w:hAnsi="FangSong" w:eastAsia="FangSong" w:cs="FangSong"/>
          <w:sz w:val="30"/>
          <w:szCs w:val="30"/>
        </w:rPr>
        <w:t xml:space="preserve"> </w:t>
      </w:r>
      <w:r>
        <w:rPr>
          <w:rFonts w:ascii="FangSong" w:hAnsi="FangSong" w:eastAsia="FangSong" w:cs="FangSong"/>
          <w:sz w:val="30"/>
          <w:szCs w:val="30"/>
          <w:spacing w:val="25"/>
        </w:rPr>
        <w:t>并可以处200元以上2000元以下罚款，触犯刑律</w:t>
      </w:r>
      <w:r>
        <w:rPr>
          <w:rFonts w:ascii="FangSong" w:hAnsi="FangSong" w:eastAsia="FangSong" w:cs="FangSong"/>
          <w:sz w:val="30"/>
          <w:szCs w:val="30"/>
          <w:spacing w:val="24"/>
        </w:rPr>
        <w:t>的，对其经营者、主管人员和直接责任人移交司法</w:t>
      </w:r>
      <w:r>
        <w:rPr>
          <w:rFonts w:ascii="FangSong" w:hAnsi="FangSong" w:eastAsia="FangSong" w:cs="FangSong"/>
          <w:sz w:val="30"/>
          <w:szCs w:val="30"/>
        </w:rPr>
        <w:t xml:space="preserve">  </w:t>
      </w:r>
      <w:r>
        <w:rPr>
          <w:rFonts w:ascii="FangSong" w:hAnsi="FangSong" w:eastAsia="FangSong" w:cs="FangSong"/>
          <w:sz w:val="30"/>
          <w:szCs w:val="30"/>
          <w:spacing w:val="12"/>
        </w:rPr>
        <w:t>机关追究刑事责任。</w:t>
      </w:r>
    </w:p>
    <w:p>
      <w:pPr>
        <w:ind w:left="6689"/>
        <w:spacing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14"/>
        <w:gridCol w:w="7734"/>
        <w:gridCol w:w="4252"/>
      </w:tblGrid>
      <w:tr>
        <w:trPr>
          <w:trHeight w:val="442" w:hRule="atLeast"/>
        </w:trPr>
        <w:tc>
          <w:tcPr>
            <w:tcW w:w="1814" w:type="dxa"/>
            <w:vAlign w:val="top"/>
          </w:tcPr>
          <w:p>
            <w:pPr>
              <w:pStyle w:val="TableText"/>
              <w:ind w:left="378"/>
              <w:spacing w:before="92" w:line="220" w:lineRule="auto"/>
              <w:rPr>
                <w:sz w:val="26"/>
                <w:szCs w:val="26"/>
              </w:rPr>
            </w:pPr>
            <w:r>
              <w:rPr>
                <w:sz w:val="26"/>
                <w:szCs w:val="26"/>
                <w:b/>
                <w:bCs/>
                <w:spacing w:val="-5"/>
              </w:rPr>
              <w:t>违法程度</w:t>
            </w:r>
          </w:p>
        </w:tc>
        <w:tc>
          <w:tcPr>
            <w:tcW w:w="7734" w:type="dxa"/>
            <w:vAlign w:val="top"/>
          </w:tcPr>
          <w:p>
            <w:pPr>
              <w:pStyle w:val="TableText"/>
              <w:ind w:left="3294"/>
              <w:spacing w:before="92" w:line="220" w:lineRule="auto"/>
              <w:rPr>
                <w:sz w:val="26"/>
                <w:szCs w:val="26"/>
              </w:rPr>
            </w:pPr>
            <w:r>
              <w:rPr>
                <w:sz w:val="26"/>
                <w:szCs w:val="26"/>
                <w:b/>
                <w:bCs/>
                <w:spacing w:val="-5"/>
              </w:rPr>
              <w:t>情节后果</w:t>
            </w:r>
          </w:p>
        </w:tc>
        <w:tc>
          <w:tcPr>
            <w:tcW w:w="4252" w:type="dxa"/>
            <w:vAlign w:val="top"/>
          </w:tcPr>
          <w:p>
            <w:pPr>
              <w:pStyle w:val="TableText"/>
              <w:ind w:left="1550"/>
              <w:spacing w:before="89" w:line="218" w:lineRule="auto"/>
              <w:rPr>
                <w:sz w:val="26"/>
                <w:szCs w:val="26"/>
              </w:rPr>
            </w:pPr>
            <w:r>
              <w:rPr>
                <w:sz w:val="26"/>
                <w:szCs w:val="26"/>
                <w:b/>
                <w:bCs/>
                <w:spacing w:val="-5"/>
              </w:rPr>
              <w:t>裁量幅度</w:t>
            </w:r>
          </w:p>
        </w:tc>
      </w:tr>
      <w:tr>
        <w:trPr>
          <w:trHeight w:val="496" w:hRule="atLeast"/>
        </w:trPr>
        <w:tc>
          <w:tcPr>
            <w:tcW w:w="1814" w:type="dxa"/>
            <w:vAlign w:val="top"/>
            <w:vMerge w:val="restart"/>
            <w:tcBorders>
              <w:bottom w:val="nil"/>
            </w:tcBorders>
          </w:tcPr>
          <w:p>
            <w:pPr>
              <w:spacing w:line="263" w:lineRule="auto"/>
              <w:rPr>
                <w:rFonts w:ascii="Arial"/>
                <w:sz w:val="21"/>
              </w:rPr>
            </w:pPr>
            <w:r/>
          </w:p>
          <w:p>
            <w:pPr>
              <w:pStyle w:val="TableText"/>
              <w:ind w:left="638"/>
              <w:spacing w:before="85" w:line="219" w:lineRule="auto"/>
              <w:rPr>
                <w:sz w:val="26"/>
                <w:szCs w:val="26"/>
              </w:rPr>
            </w:pPr>
            <w:r>
              <w:rPr>
                <w:sz w:val="26"/>
                <w:szCs w:val="26"/>
                <w:b/>
                <w:bCs/>
                <w:spacing w:val="-6"/>
              </w:rPr>
              <w:t>较轻</w:t>
            </w:r>
          </w:p>
        </w:tc>
        <w:tc>
          <w:tcPr>
            <w:tcW w:w="7734" w:type="dxa"/>
            <w:vAlign w:val="top"/>
          </w:tcPr>
          <w:p>
            <w:pPr>
              <w:pStyle w:val="TableText"/>
              <w:ind w:left="120"/>
              <w:spacing w:before="183" w:line="215" w:lineRule="auto"/>
              <w:rPr>
                <w:sz w:val="26"/>
                <w:szCs w:val="26"/>
              </w:rPr>
            </w:pPr>
            <w:r>
              <w:rPr>
                <w:sz w:val="26"/>
                <w:szCs w:val="26"/>
                <w:spacing w:val="2"/>
              </w:rPr>
              <w:t>瞒报、缓报、谎报丙类传染病疫情或突发公共卫生事件(</w:t>
            </w:r>
            <w:r>
              <w:rPr>
                <w:sz w:val="26"/>
                <w:szCs w:val="26"/>
              </w:rPr>
              <w:t>IV</w:t>
            </w:r>
            <w:r>
              <w:rPr>
                <w:sz w:val="26"/>
                <w:szCs w:val="26"/>
                <w:spacing w:val="2"/>
              </w:rPr>
              <w:t>级)</w:t>
            </w:r>
          </w:p>
        </w:tc>
        <w:tc>
          <w:tcPr>
            <w:tcW w:w="4252" w:type="dxa"/>
            <w:vAlign w:val="top"/>
          </w:tcPr>
          <w:p>
            <w:pPr>
              <w:pStyle w:val="TableText"/>
              <w:ind w:left="107"/>
              <w:spacing w:before="184" w:line="214" w:lineRule="auto"/>
              <w:rPr>
                <w:sz w:val="26"/>
                <w:szCs w:val="26"/>
              </w:rPr>
            </w:pPr>
            <w:r>
              <w:rPr>
                <w:sz w:val="26"/>
                <w:szCs w:val="26"/>
                <w:spacing w:val="1"/>
              </w:rPr>
              <w:t>罚款100元以上220元以下</w:t>
            </w:r>
          </w:p>
        </w:tc>
      </w:tr>
      <w:tr>
        <w:trPr>
          <w:trHeight w:val="451" w:hRule="atLeast"/>
        </w:trPr>
        <w:tc>
          <w:tcPr>
            <w:tcW w:w="1814" w:type="dxa"/>
            <w:vAlign w:val="top"/>
            <w:vMerge w:val="continue"/>
            <w:tcBorders>
              <w:top w:val="nil"/>
            </w:tcBorders>
          </w:tcPr>
          <w:p>
            <w:pPr>
              <w:rPr>
                <w:rFonts w:ascii="Arial"/>
                <w:sz w:val="21"/>
              </w:rPr>
            </w:pPr>
            <w:r/>
          </w:p>
        </w:tc>
        <w:tc>
          <w:tcPr>
            <w:tcW w:w="7734" w:type="dxa"/>
            <w:vAlign w:val="top"/>
          </w:tcPr>
          <w:p>
            <w:pPr>
              <w:pStyle w:val="TableText"/>
              <w:ind w:left="124"/>
              <w:spacing w:before="183" w:line="183" w:lineRule="auto"/>
              <w:rPr>
                <w:sz w:val="26"/>
                <w:szCs w:val="26"/>
              </w:rPr>
            </w:pPr>
            <w:r>
              <w:rPr>
                <w:sz w:val="26"/>
                <w:szCs w:val="26"/>
                <w:b/>
                <w:bCs/>
                <w:spacing w:val="-3"/>
              </w:rPr>
              <w:t>对造成突发公共卫生事件(IV级)和丙类传染病传</w:t>
            </w:r>
            <w:r>
              <w:rPr>
                <w:sz w:val="26"/>
                <w:szCs w:val="26"/>
                <w:b/>
                <w:bCs/>
                <w:spacing w:val="-4"/>
              </w:rPr>
              <w:t>播流行</w:t>
            </w:r>
          </w:p>
        </w:tc>
        <w:tc>
          <w:tcPr>
            <w:tcW w:w="4252" w:type="dxa"/>
            <w:vAlign w:val="top"/>
          </w:tcPr>
          <w:p>
            <w:pPr>
              <w:pStyle w:val="TableText"/>
              <w:ind w:left="107"/>
              <w:spacing w:before="188" w:line="179" w:lineRule="auto"/>
              <w:rPr>
                <w:sz w:val="26"/>
                <w:szCs w:val="26"/>
              </w:rPr>
            </w:pPr>
            <w:r>
              <w:rPr>
                <w:sz w:val="26"/>
                <w:szCs w:val="26"/>
                <w:spacing w:val="1"/>
              </w:rPr>
              <w:t>罚款200元以上740元以下</w:t>
            </w:r>
          </w:p>
        </w:tc>
      </w:tr>
    </w:tbl>
    <w:p>
      <w:pPr>
        <w:pStyle w:val="BodyText"/>
        <w:rPr/>
      </w:pPr>
      <w:r/>
    </w:p>
    <w:p>
      <w:pPr>
        <w:sectPr>
          <w:footerReference w:type="default" r:id="rId176"/>
          <w:pgSz w:w="16830" w:h="11900"/>
          <w:pgMar w:top="1011" w:right="1380" w:bottom="1128" w:left="1434" w:header="0" w:footer="795" w:gutter="0"/>
        </w:sectPr>
        <w:rPr/>
      </w:pPr>
    </w:p>
    <w:p>
      <w:pPr>
        <w:spacing w:before="17"/>
        <w:rPr/>
      </w:pPr>
      <w:r/>
    </w:p>
    <w:p>
      <w:pPr>
        <w:spacing w:before="16"/>
        <w:rPr/>
      </w:pPr>
      <w:r/>
    </w:p>
    <w:p>
      <w:pPr>
        <w:spacing w:before="16"/>
        <w:rPr/>
      </w:pPr>
      <w:r/>
    </w:p>
    <w:tbl>
      <w:tblPr>
        <w:tblStyle w:val="TableNormal"/>
        <w:tblW w:w="138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14"/>
        <w:gridCol w:w="7704"/>
        <w:gridCol w:w="4282"/>
      </w:tblGrid>
      <w:tr>
        <w:trPr>
          <w:trHeight w:val="552" w:hRule="atLeast"/>
        </w:trPr>
        <w:tc>
          <w:tcPr>
            <w:tcW w:w="1814" w:type="dxa"/>
            <w:vAlign w:val="top"/>
            <w:vMerge w:val="restart"/>
            <w:tcBorders>
              <w:bottom w:val="nil"/>
            </w:tcBorders>
          </w:tcPr>
          <w:p>
            <w:pPr>
              <w:spacing w:line="309" w:lineRule="auto"/>
              <w:rPr>
                <w:rFonts w:ascii="Arial"/>
                <w:sz w:val="21"/>
              </w:rPr>
            </w:pPr>
            <w:r/>
          </w:p>
          <w:p>
            <w:pPr>
              <w:pStyle w:val="TableText"/>
              <w:ind w:left="648"/>
              <w:spacing w:before="82" w:line="221" w:lineRule="auto"/>
              <w:rPr>
                <w:sz w:val="25"/>
                <w:szCs w:val="25"/>
              </w:rPr>
            </w:pPr>
            <w:bookmarkStart w:name="bookmark833" w:id="155"/>
            <w:bookmarkEnd w:id="155"/>
            <w:r>
              <w:rPr>
                <w:sz w:val="25"/>
                <w:szCs w:val="25"/>
                <w:b/>
                <w:bCs/>
                <w:spacing w:val="-10"/>
              </w:rPr>
              <w:t>一般</w:t>
            </w:r>
          </w:p>
        </w:tc>
        <w:tc>
          <w:tcPr>
            <w:tcW w:w="7704" w:type="dxa"/>
            <w:vAlign w:val="top"/>
          </w:tcPr>
          <w:p>
            <w:pPr>
              <w:pStyle w:val="TableText"/>
              <w:ind w:left="100"/>
              <w:spacing w:before="203" w:line="219" w:lineRule="auto"/>
              <w:rPr>
                <w:sz w:val="25"/>
                <w:szCs w:val="25"/>
              </w:rPr>
            </w:pPr>
            <w:r>
              <w:rPr>
                <w:sz w:val="25"/>
                <w:szCs w:val="25"/>
                <w:spacing w:val="2"/>
              </w:rPr>
              <w:t>瞒报、缓报、谎报乙类传染病疫情或突发公共卫生事件(</w:t>
            </w:r>
            <w:r>
              <w:rPr>
                <w:sz w:val="25"/>
                <w:szCs w:val="25"/>
                <w:spacing w:val="1"/>
              </w:rPr>
              <w:t>Ⅲ级)</w:t>
            </w:r>
          </w:p>
        </w:tc>
        <w:tc>
          <w:tcPr>
            <w:tcW w:w="4282" w:type="dxa"/>
            <w:vAlign w:val="top"/>
          </w:tcPr>
          <w:p>
            <w:pPr>
              <w:pStyle w:val="TableText"/>
              <w:ind w:left="137"/>
              <w:spacing w:before="206" w:line="220" w:lineRule="auto"/>
              <w:rPr>
                <w:sz w:val="25"/>
                <w:szCs w:val="25"/>
              </w:rPr>
            </w:pPr>
            <w:r>
              <w:rPr>
                <w:sz w:val="25"/>
                <w:szCs w:val="25"/>
                <w:spacing w:val="1"/>
              </w:rPr>
              <w:t>罚款220元以上380元以下</w:t>
            </w:r>
          </w:p>
        </w:tc>
      </w:tr>
      <w:tr>
        <w:trPr>
          <w:trHeight w:val="458" w:hRule="atLeast"/>
        </w:trPr>
        <w:tc>
          <w:tcPr>
            <w:tcW w:w="1814" w:type="dxa"/>
            <w:vAlign w:val="top"/>
            <w:vMerge w:val="continue"/>
            <w:tcBorders>
              <w:top w:val="nil"/>
            </w:tcBorders>
          </w:tcPr>
          <w:p>
            <w:pPr>
              <w:rPr>
                <w:rFonts w:ascii="Arial"/>
                <w:sz w:val="21"/>
              </w:rPr>
            </w:pPr>
            <w:r/>
          </w:p>
        </w:tc>
        <w:tc>
          <w:tcPr>
            <w:tcW w:w="7704" w:type="dxa"/>
            <w:vAlign w:val="top"/>
          </w:tcPr>
          <w:p>
            <w:pPr>
              <w:pStyle w:val="TableText"/>
              <w:ind w:left="100"/>
              <w:spacing w:before="162" w:line="211" w:lineRule="auto"/>
              <w:rPr>
                <w:sz w:val="25"/>
                <w:szCs w:val="25"/>
              </w:rPr>
            </w:pPr>
            <w:r>
              <w:rPr>
                <w:sz w:val="25"/>
                <w:szCs w:val="25"/>
              </w:rPr>
              <w:t>对造成突发公共卫生事件(Ⅲ级)和乙类传染病传播流行</w:t>
            </w:r>
          </w:p>
        </w:tc>
        <w:tc>
          <w:tcPr>
            <w:tcW w:w="4282" w:type="dxa"/>
            <w:vAlign w:val="top"/>
          </w:tcPr>
          <w:p>
            <w:pPr>
              <w:pStyle w:val="TableText"/>
              <w:ind w:left="137"/>
              <w:spacing w:before="163" w:line="210" w:lineRule="auto"/>
              <w:rPr>
                <w:sz w:val="25"/>
                <w:szCs w:val="25"/>
              </w:rPr>
            </w:pPr>
            <w:r>
              <w:rPr>
                <w:sz w:val="25"/>
                <w:szCs w:val="25"/>
                <w:spacing w:val="1"/>
              </w:rPr>
              <w:t>罚款740元以上1460元以下</w:t>
            </w:r>
          </w:p>
        </w:tc>
      </w:tr>
      <w:tr>
        <w:trPr>
          <w:trHeight w:val="438" w:hRule="atLeast"/>
        </w:trPr>
        <w:tc>
          <w:tcPr>
            <w:tcW w:w="1814" w:type="dxa"/>
            <w:vAlign w:val="top"/>
            <w:vMerge w:val="restart"/>
            <w:tcBorders>
              <w:bottom w:val="nil"/>
            </w:tcBorders>
          </w:tcPr>
          <w:p>
            <w:pPr>
              <w:spacing w:line="292" w:lineRule="auto"/>
              <w:rPr>
                <w:rFonts w:ascii="Arial"/>
                <w:sz w:val="21"/>
              </w:rPr>
            </w:pPr>
            <w:r/>
          </w:p>
          <w:p>
            <w:pPr>
              <w:pStyle w:val="TableText"/>
              <w:ind w:left="648"/>
              <w:spacing w:before="81" w:line="221" w:lineRule="auto"/>
              <w:rPr>
                <w:sz w:val="25"/>
                <w:szCs w:val="25"/>
              </w:rPr>
            </w:pPr>
            <w:r>
              <w:rPr>
                <w:sz w:val="25"/>
                <w:szCs w:val="25"/>
                <w:b/>
                <w:bCs/>
                <w:spacing w:val="-6"/>
              </w:rPr>
              <w:t>较重</w:t>
            </w:r>
          </w:p>
        </w:tc>
        <w:tc>
          <w:tcPr>
            <w:tcW w:w="7704" w:type="dxa"/>
            <w:vAlign w:val="top"/>
          </w:tcPr>
          <w:p>
            <w:pPr>
              <w:pStyle w:val="TableText"/>
              <w:ind w:left="100"/>
              <w:spacing w:before="103" w:line="219" w:lineRule="auto"/>
              <w:rPr>
                <w:sz w:val="25"/>
                <w:szCs w:val="25"/>
              </w:rPr>
            </w:pPr>
            <w:r>
              <w:rPr>
                <w:sz w:val="25"/>
                <w:szCs w:val="25"/>
                <w:spacing w:val="2"/>
              </w:rPr>
              <w:t>瞒报、缓报、谎报甲类传染病疫情或突发公共卫生事件(Ⅱ、I</w:t>
            </w:r>
            <w:r>
              <w:rPr>
                <w:sz w:val="25"/>
                <w:szCs w:val="25"/>
                <w:spacing w:val="1"/>
              </w:rPr>
              <w:t>级)</w:t>
            </w:r>
          </w:p>
        </w:tc>
        <w:tc>
          <w:tcPr>
            <w:tcW w:w="4282" w:type="dxa"/>
            <w:vAlign w:val="top"/>
          </w:tcPr>
          <w:p>
            <w:pPr>
              <w:pStyle w:val="TableText"/>
              <w:ind w:left="137"/>
              <w:spacing w:before="106" w:line="220" w:lineRule="auto"/>
              <w:rPr>
                <w:sz w:val="25"/>
                <w:szCs w:val="25"/>
              </w:rPr>
            </w:pPr>
            <w:r>
              <w:rPr>
                <w:sz w:val="25"/>
                <w:szCs w:val="25"/>
                <w:spacing w:val="1"/>
              </w:rPr>
              <w:t>罚款380元以上500元以下</w:t>
            </w:r>
          </w:p>
        </w:tc>
      </w:tr>
      <w:tr>
        <w:trPr>
          <w:trHeight w:val="532" w:hRule="atLeast"/>
        </w:trPr>
        <w:tc>
          <w:tcPr>
            <w:tcW w:w="1814" w:type="dxa"/>
            <w:vAlign w:val="top"/>
            <w:vMerge w:val="continue"/>
            <w:tcBorders>
              <w:top w:val="nil"/>
            </w:tcBorders>
          </w:tcPr>
          <w:p>
            <w:pPr>
              <w:rPr>
                <w:rFonts w:ascii="Arial"/>
                <w:sz w:val="21"/>
              </w:rPr>
            </w:pPr>
            <w:r/>
          </w:p>
        </w:tc>
        <w:tc>
          <w:tcPr>
            <w:tcW w:w="7704" w:type="dxa"/>
            <w:vAlign w:val="top"/>
          </w:tcPr>
          <w:p>
            <w:pPr>
              <w:pStyle w:val="TableText"/>
              <w:ind w:left="100"/>
              <w:spacing w:before="205" w:line="219" w:lineRule="auto"/>
              <w:rPr>
                <w:sz w:val="25"/>
                <w:szCs w:val="25"/>
              </w:rPr>
            </w:pPr>
            <w:r>
              <w:rPr>
                <w:sz w:val="25"/>
                <w:szCs w:val="25"/>
              </w:rPr>
              <w:t>对造成突发公共卫生事件(Ⅱ、I级)和甲类传染病传播流行</w:t>
            </w:r>
          </w:p>
        </w:tc>
        <w:tc>
          <w:tcPr>
            <w:tcW w:w="4282" w:type="dxa"/>
            <w:vAlign w:val="top"/>
          </w:tcPr>
          <w:p>
            <w:pPr>
              <w:pStyle w:val="TableText"/>
              <w:ind w:left="137"/>
              <w:spacing w:before="208" w:line="220" w:lineRule="auto"/>
              <w:rPr>
                <w:sz w:val="25"/>
                <w:szCs w:val="25"/>
              </w:rPr>
            </w:pPr>
            <w:r>
              <w:rPr>
                <w:sz w:val="25"/>
                <w:szCs w:val="25"/>
                <w:spacing w:val="1"/>
              </w:rPr>
              <w:t>罚款1460元以上2000元以下</w:t>
            </w:r>
          </w:p>
        </w:tc>
      </w:tr>
    </w:tbl>
    <w:p>
      <w:pPr>
        <w:ind w:left="659"/>
        <w:spacing w:before="108" w:line="224" w:lineRule="auto"/>
        <w:rPr>
          <w:rFonts w:ascii="KaiTi" w:hAnsi="KaiTi" w:eastAsia="KaiTi" w:cs="KaiTi"/>
          <w:sz w:val="31"/>
          <w:szCs w:val="31"/>
        </w:rPr>
      </w:pPr>
      <w:r>
        <w:rPr>
          <w:rFonts w:ascii="KaiTi" w:hAnsi="KaiTi" w:eastAsia="KaiTi" w:cs="KaiTi"/>
          <w:sz w:val="31"/>
          <w:szCs w:val="31"/>
          <w:b/>
          <w:bCs/>
          <w:spacing w:val="13"/>
        </w:rPr>
        <w:t>第九十八条医疗机构未建立传染病疫情报告制度</w:t>
      </w:r>
    </w:p>
    <w:p>
      <w:pPr>
        <w:ind w:left="654"/>
        <w:spacing w:before="80" w:line="222" w:lineRule="auto"/>
        <w:rPr>
          <w:rFonts w:ascii="FangSong" w:hAnsi="FangSong" w:eastAsia="FangSong" w:cs="FangSong"/>
          <w:sz w:val="31"/>
          <w:szCs w:val="31"/>
        </w:rPr>
      </w:pPr>
      <w:r>
        <w:rPr>
          <w:rFonts w:ascii="FangSong" w:hAnsi="FangSong" w:eastAsia="FangSong" w:cs="FangSong"/>
          <w:sz w:val="31"/>
          <w:szCs w:val="31"/>
          <w:spacing w:val="2"/>
        </w:rPr>
        <w:t>法律依据</w:t>
      </w:r>
    </w:p>
    <w:p>
      <w:pPr>
        <w:ind w:left="15" w:firstLine="624"/>
        <w:spacing w:before="44" w:line="262" w:lineRule="auto"/>
        <w:rPr>
          <w:rFonts w:ascii="FangSong" w:hAnsi="FangSong" w:eastAsia="FangSong" w:cs="FangSong"/>
          <w:sz w:val="31"/>
          <w:szCs w:val="31"/>
        </w:rPr>
      </w:pPr>
      <w:r>
        <w:rPr>
          <w:rFonts w:ascii="FangSong" w:hAnsi="FangSong" w:eastAsia="FangSong" w:cs="FangSong"/>
          <w:sz w:val="31"/>
          <w:szCs w:val="31"/>
          <w:spacing w:val="14"/>
        </w:rPr>
        <w:t>《突发公共卫生事件与传染病疫情监测信息报告管理办法》第三十八条第(一)项</w:t>
      </w:r>
      <w:r>
        <w:rPr>
          <w:rFonts w:ascii="FangSong" w:hAnsi="FangSong" w:eastAsia="FangSong" w:cs="FangSong"/>
          <w:sz w:val="31"/>
          <w:szCs w:val="31"/>
          <w:spacing w:val="13"/>
        </w:rPr>
        <w:t xml:space="preserve">  </w:t>
      </w:r>
      <w:r>
        <w:rPr>
          <w:rFonts w:ascii="FangSong" w:hAnsi="FangSong" w:eastAsia="FangSong" w:cs="FangSong"/>
          <w:sz w:val="31"/>
          <w:szCs w:val="31"/>
          <w:spacing w:val="13"/>
        </w:rPr>
        <w:t>医疗机构有</w:t>
      </w:r>
      <w:r>
        <w:rPr>
          <w:rFonts w:ascii="FangSong" w:hAnsi="FangSong" w:eastAsia="FangSong" w:cs="FangSong"/>
          <w:sz w:val="31"/>
          <w:szCs w:val="31"/>
        </w:rPr>
        <w:t xml:space="preserve"> </w:t>
      </w:r>
      <w:r>
        <w:rPr>
          <w:rFonts w:ascii="FangSong" w:hAnsi="FangSong" w:eastAsia="FangSong" w:cs="FangSong"/>
          <w:sz w:val="31"/>
          <w:szCs w:val="31"/>
          <w:spacing w:val="7"/>
        </w:rPr>
        <w:t>下列行为之一的，由县级以上地方卫生行政部门责令改正、</w:t>
      </w:r>
      <w:r>
        <w:rPr>
          <w:rFonts w:ascii="FangSong" w:hAnsi="FangSong" w:eastAsia="FangSong" w:cs="FangSong"/>
          <w:sz w:val="31"/>
          <w:szCs w:val="31"/>
          <w:spacing w:val="6"/>
        </w:rPr>
        <w:t>通报批评、给予警告；情节严重的，会同</w:t>
      </w:r>
      <w:r>
        <w:rPr>
          <w:rFonts w:ascii="FangSong" w:hAnsi="FangSong" w:eastAsia="FangSong" w:cs="FangSong"/>
          <w:sz w:val="31"/>
          <w:szCs w:val="31"/>
        </w:rPr>
        <w:t xml:space="preserve"> </w:t>
      </w:r>
      <w:r>
        <w:rPr>
          <w:rFonts w:ascii="FangSong" w:hAnsi="FangSong" w:eastAsia="FangSong" w:cs="FangSong"/>
          <w:sz w:val="31"/>
          <w:szCs w:val="31"/>
          <w:spacing w:val="7"/>
        </w:rPr>
        <w:t>有关部门对主要负责人、负有责任的主管人员和其他责任人</w:t>
      </w:r>
      <w:r>
        <w:rPr>
          <w:rFonts w:ascii="FangSong" w:hAnsi="FangSong" w:eastAsia="FangSong" w:cs="FangSong"/>
          <w:sz w:val="31"/>
          <w:szCs w:val="31"/>
          <w:spacing w:val="6"/>
        </w:rPr>
        <w:t>员依法给予降级、撤职的行政处分；造成</w:t>
      </w:r>
      <w:r>
        <w:rPr>
          <w:rFonts w:ascii="FangSong" w:hAnsi="FangSong" w:eastAsia="FangSong" w:cs="FangSong"/>
          <w:sz w:val="31"/>
          <w:szCs w:val="31"/>
        </w:rPr>
        <w:t xml:space="preserve"> </w:t>
      </w:r>
      <w:r>
        <w:rPr>
          <w:rFonts w:ascii="FangSong" w:hAnsi="FangSong" w:eastAsia="FangSong" w:cs="FangSong"/>
          <w:sz w:val="31"/>
          <w:szCs w:val="31"/>
          <w:spacing w:val="2"/>
        </w:rPr>
        <w:t>传染病传播、流行或者对社会公众健康造成其他严重危害后果，构成犯罪的，依据刑法</w:t>
      </w:r>
      <w:r>
        <w:rPr>
          <w:rFonts w:ascii="FangSong" w:hAnsi="FangSong" w:eastAsia="FangSong" w:cs="FangSong"/>
          <w:sz w:val="31"/>
          <w:szCs w:val="31"/>
          <w:spacing w:val="1"/>
        </w:rPr>
        <w:t>追究刑事责任：</w:t>
      </w:r>
    </w:p>
    <w:p>
      <w:pPr>
        <w:ind w:left="795"/>
        <w:spacing w:before="2" w:line="221" w:lineRule="auto"/>
        <w:rPr>
          <w:rFonts w:ascii="FangSong" w:hAnsi="FangSong" w:eastAsia="FangSong" w:cs="FangSong"/>
          <w:sz w:val="31"/>
          <w:szCs w:val="31"/>
        </w:rPr>
      </w:pPr>
      <w:r>
        <w:rPr>
          <w:rFonts w:ascii="FangSong" w:hAnsi="FangSong" w:eastAsia="FangSong" w:cs="FangSong"/>
          <w:sz w:val="31"/>
          <w:szCs w:val="31"/>
          <w:spacing w:val="14"/>
        </w:rPr>
        <w:t>(一)未建立传染病疫情报告制度的；</w:t>
      </w:r>
    </w:p>
    <w:p>
      <w:pPr>
        <w:ind w:left="6699"/>
        <w:spacing w:before="67"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7" w:lineRule="auto"/>
        <w:rPr>
          <w:rFonts w:ascii="Arial"/>
          <w:sz w:val="2"/>
        </w:rPr>
      </w:pPr>
      <w:r>
        <w:rPr>
          <w:rFonts w:ascii="Arial"/>
          <w:sz w:val="2"/>
        </w:rPr>
      </w:r>
    </w:p>
    <w:tbl>
      <w:tblPr>
        <w:tblStyle w:val="TableNormal"/>
        <w:tblW w:w="137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23"/>
        <w:gridCol w:w="7704"/>
        <w:gridCol w:w="4262"/>
      </w:tblGrid>
      <w:tr>
        <w:trPr>
          <w:trHeight w:val="629" w:hRule="atLeast"/>
        </w:trPr>
        <w:tc>
          <w:tcPr>
            <w:tcW w:w="1823" w:type="dxa"/>
            <w:vAlign w:val="top"/>
          </w:tcPr>
          <w:p>
            <w:pPr>
              <w:pStyle w:val="TableText"/>
              <w:ind w:left="388"/>
              <w:spacing w:before="192" w:line="220" w:lineRule="auto"/>
              <w:rPr>
                <w:sz w:val="26"/>
                <w:szCs w:val="26"/>
              </w:rPr>
            </w:pPr>
            <w:r>
              <w:rPr>
                <w:sz w:val="26"/>
                <w:szCs w:val="26"/>
                <w:b/>
                <w:bCs/>
                <w:spacing w:val="-5"/>
              </w:rPr>
              <w:t>违法程度</w:t>
            </w:r>
          </w:p>
        </w:tc>
        <w:tc>
          <w:tcPr>
            <w:tcW w:w="7704" w:type="dxa"/>
            <w:vAlign w:val="top"/>
          </w:tcPr>
          <w:p>
            <w:pPr>
              <w:pStyle w:val="TableText"/>
              <w:ind w:left="3295"/>
              <w:spacing w:before="192" w:line="220" w:lineRule="auto"/>
              <w:rPr>
                <w:sz w:val="26"/>
                <w:szCs w:val="26"/>
              </w:rPr>
            </w:pPr>
            <w:r>
              <w:rPr>
                <w:sz w:val="26"/>
                <w:szCs w:val="26"/>
                <w:b/>
                <w:bCs/>
                <w:spacing w:val="-5"/>
              </w:rPr>
              <w:t>情节后果</w:t>
            </w:r>
          </w:p>
        </w:tc>
        <w:tc>
          <w:tcPr>
            <w:tcW w:w="4262" w:type="dxa"/>
            <w:vAlign w:val="top"/>
          </w:tcPr>
          <w:p>
            <w:pPr>
              <w:pStyle w:val="TableText"/>
              <w:ind w:left="1571"/>
              <w:spacing w:before="189" w:line="218" w:lineRule="auto"/>
              <w:rPr>
                <w:sz w:val="26"/>
                <w:szCs w:val="26"/>
              </w:rPr>
            </w:pPr>
            <w:r>
              <w:rPr>
                <w:sz w:val="26"/>
                <w:szCs w:val="26"/>
                <w:b/>
                <w:bCs/>
                <w:spacing w:val="-5"/>
              </w:rPr>
              <w:t>裁量幅度</w:t>
            </w:r>
          </w:p>
        </w:tc>
      </w:tr>
      <w:tr>
        <w:trPr>
          <w:trHeight w:val="440" w:hRule="atLeast"/>
        </w:trPr>
        <w:tc>
          <w:tcPr>
            <w:tcW w:w="1823" w:type="dxa"/>
            <w:vAlign w:val="top"/>
          </w:tcPr>
          <w:p>
            <w:pPr>
              <w:pStyle w:val="TableText"/>
              <w:ind w:left="648"/>
              <w:spacing w:before="94" w:line="221" w:lineRule="auto"/>
              <w:rPr>
                <w:sz w:val="26"/>
                <w:szCs w:val="26"/>
              </w:rPr>
            </w:pPr>
            <w:r>
              <w:rPr>
                <w:sz w:val="26"/>
                <w:szCs w:val="26"/>
                <w:b/>
                <w:bCs/>
                <w:spacing w:val="-10"/>
              </w:rPr>
              <w:t>一般</w:t>
            </w:r>
          </w:p>
        </w:tc>
        <w:tc>
          <w:tcPr>
            <w:tcW w:w="7704" w:type="dxa"/>
            <w:vAlign w:val="top"/>
          </w:tcPr>
          <w:p>
            <w:pPr>
              <w:pStyle w:val="TableText"/>
              <w:ind w:left="115"/>
              <w:spacing w:before="161" w:line="191" w:lineRule="auto"/>
              <w:rPr>
                <w:sz w:val="26"/>
                <w:szCs w:val="26"/>
              </w:rPr>
            </w:pPr>
            <w:r>
              <w:rPr>
                <w:sz w:val="26"/>
                <w:szCs w:val="26"/>
                <w:b/>
                <w:bCs/>
                <w:spacing w:val="-3"/>
              </w:rPr>
              <w:t>医疗机构未建立传染病疫情报告制度</w:t>
            </w:r>
          </w:p>
        </w:tc>
        <w:tc>
          <w:tcPr>
            <w:tcW w:w="4262" w:type="dxa"/>
            <w:vAlign w:val="top"/>
          </w:tcPr>
          <w:p>
            <w:pPr>
              <w:pStyle w:val="TableText"/>
              <w:ind w:left="121"/>
              <w:spacing w:before="161" w:line="191" w:lineRule="auto"/>
              <w:rPr>
                <w:sz w:val="26"/>
                <w:szCs w:val="26"/>
              </w:rPr>
            </w:pPr>
            <w:r>
              <w:rPr>
                <w:sz w:val="26"/>
                <w:szCs w:val="26"/>
                <w:b/>
                <w:bCs/>
                <w:spacing w:val="-2"/>
              </w:rPr>
              <w:t>通报批评、警告</w:t>
            </w:r>
          </w:p>
        </w:tc>
      </w:tr>
    </w:tbl>
    <w:p>
      <w:pPr>
        <w:pStyle w:val="BodyText"/>
        <w:spacing w:line="453" w:lineRule="auto"/>
        <w:rPr/>
      </w:pPr>
      <w:r/>
    </w:p>
    <w:p>
      <w:pPr>
        <w:ind w:left="659"/>
        <w:spacing w:before="101" w:line="220" w:lineRule="auto"/>
        <w:rPr>
          <w:rFonts w:ascii="FangSong" w:hAnsi="FangSong" w:eastAsia="FangSong" w:cs="FangSong"/>
          <w:sz w:val="31"/>
          <w:szCs w:val="31"/>
        </w:rPr>
      </w:pPr>
      <w:r>
        <w:rPr>
          <w:rFonts w:ascii="FangSong" w:hAnsi="FangSong" w:eastAsia="FangSong" w:cs="FangSong"/>
          <w:sz w:val="31"/>
          <w:szCs w:val="31"/>
          <w:b/>
          <w:bCs/>
          <w:spacing w:val="12"/>
        </w:rPr>
        <w:t>第九十九条医疗机构未指定相关部门和人员负责传染病疫情报告管理工作</w:t>
      </w:r>
    </w:p>
    <w:p>
      <w:pPr>
        <w:ind w:left="654"/>
        <w:spacing w:before="68"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spacing w:line="222" w:lineRule="auto"/>
        <w:sectPr>
          <w:footerReference w:type="default" r:id="rId177"/>
          <w:pgSz w:w="16830" w:h="11900"/>
          <w:pgMar w:top="1011" w:right="1345" w:bottom="1107" w:left="1434" w:header="0" w:footer="774" w:gutter="0"/>
        </w:sectPr>
        <w:rPr>
          <w:rFonts w:ascii="FangSong" w:hAnsi="FangSong" w:eastAsia="FangSong" w:cs="FangSong"/>
          <w:sz w:val="27"/>
          <w:szCs w:val="27"/>
        </w:rPr>
      </w:pPr>
    </w:p>
    <w:p>
      <w:pPr>
        <w:pStyle w:val="BodyText"/>
        <w:spacing w:line="269" w:lineRule="auto"/>
        <w:rPr/>
      </w:pPr>
      <w:r/>
    </w:p>
    <w:p>
      <w:pPr>
        <w:pStyle w:val="BodyText"/>
        <w:spacing w:line="269" w:lineRule="auto"/>
        <w:rPr/>
      </w:pPr>
      <w:r/>
    </w:p>
    <w:p>
      <w:pPr>
        <w:pStyle w:val="BodyText"/>
        <w:spacing w:line="269" w:lineRule="auto"/>
        <w:rPr/>
      </w:pPr>
      <w:r/>
    </w:p>
    <w:p>
      <w:pPr>
        <w:ind w:left="715" w:firstLine="630"/>
        <w:spacing w:before="97" w:line="270" w:lineRule="auto"/>
        <w:jc w:val="both"/>
        <w:rPr>
          <w:rFonts w:ascii="FangSong" w:hAnsi="FangSong" w:eastAsia="FangSong" w:cs="FangSong"/>
          <w:sz w:val="30"/>
          <w:szCs w:val="30"/>
        </w:rPr>
      </w:pPr>
      <w:bookmarkStart w:name="bookmark834" w:id="156"/>
      <w:bookmarkEnd w:id="156"/>
      <w:r>
        <w:rPr>
          <w:rFonts w:ascii="FangSong" w:hAnsi="FangSong" w:eastAsia="FangSong" w:cs="FangSong"/>
          <w:sz w:val="30"/>
          <w:szCs w:val="30"/>
          <w:spacing w:val="23"/>
        </w:rPr>
        <w:t>《突发公共卫生事件与传染病疫情监测信息报告管理办法》第三十八条第(二)项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医疗机构有</w:t>
      </w:r>
      <w:r>
        <w:rPr>
          <w:rFonts w:ascii="FangSong" w:hAnsi="FangSong" w:eastAsia="FangSong" w:cs="FangSong"/>
          <w:sz w:val="30"/>
          <w:szCs w:val="30"/>
        </w:rPr>
        <w:t xml:space="preserve"> </w:t>
      </w:r>
      <w:r>
        <w:rPr>
          <w:rFonts w:ascii="FangSong" w:hAnsi="FangSong" w:eastAsia="FangSong" w:cs="FangSong"/>
          <w:sz w:val="30"/>
          <w:szCs w:val="30"/>
          <w:spacing w:val="16"/>
        </w:rPr>
        <w:t>下列行为之一的，由县级以上地方卫生行政部门责令改正、通报批评、给予警告；情节严重的，会同</w:t>
      </w:r>
      <w:r>
        <w:rPr>
          <w:rFonts w:ascii="FangSong" w:hAnsi="FangSong" w:eastAsia="FangSong" w:cs="FangSong"/>
          <w:sz w:val="30"/>
          <w:szCs w:val="30"/>
          <w:spacing w:val="15"/>
        </w:rPr>
        <w:t xml:space="preserve"> </w:t>
      </w:r>
      <w:r>
        <w:rPr>
          <w:rFonts w:ascii="FangSong" w:hAnsi="FangSong" w:eastAsia="FangSong" w:cs="FangSong"/>
          <w:sz w:val="30"/>
          <w:szCs w:val="30"/>
          <w:spacing w:val="17"/>
        </w:rPr>
        <w:t>有关部门对主要负责人、负有责任的主管人员和其他责任人员依法给予降级、撤</w:t>
      </w:r>
      <w:r>
        <w:rPr>
          <w:rFonts w:ascii="FangSong" w:hAnsi="FangSong" w:eastAsia="FangSong" w:cs="FangSong"/>
          <w:sz w:val="30"/>
          <w:szCs w:val="30"/>
          <w:spacing w:val="16"/>
        </w:rPr>
        <w:t>职的行政处分；造成</w:t>
      </w:r>
      <w:r>
        <w:rPr>
          <w:rFonts w:ascii="FangSong" w:hAnsi="FangSong" w:eastAsia="FangSong" w:cs="FangSong"/>
          <w:sz w:val="30"/>
          <w:szCs w:val="30"/>
        </w:rPr>
        <w:t xml:space="preserve"> </w:t>
      </w:r>
      <w:r>
        <w:rPr>
          <w:rFonts w:ascii="FangSong" w:hAnsi="FangSong" w:eastAsia="FangSong" w:cs="FangSong"/>
          <w:sz w:val="30"/>
          <w:szCs w:val="30"/>
          <w:spacing w:val="12"/>
        </w:rPr>
        <w:t>传染病传播、流行或者对社会公众健康造成其他严重危害后果，构成犯罪的，依据刑法追究刑事责</w:t>
      </w:r>
      <w:r>
        <w:rPr>
          <w:rFonts w:ascii="FangSong" w:hAnsi="FangSong" w:eastAsia="FangSong" w:cs="FangSong"/>
          <w:sz w:val="30"/>
          <w:szCs w:val="30"/>
          <w:spacing w:val="11"/>
        </w:rPr>
        <w:t>任：</w:t>
      </w:r>
    </w:p>
    <w:p>
      <w:pPr>
        <w:ind w:left="1495"/>
        <w:spacing w:line="220" w:lineRule="auto"/>
        <w:rPr>
          <w:rFonts w:ascii="FangSong" w:hAnsi="FangSong" w:eastAsia="FangSong" w:cs="FangSong"/>
          <w:sz w:val="30"/>
          <w:szCs w:val="30"/>
        </w:rPr>
      </w:pPr>
      <w:r>
        <w:rPr>
          <w:rFonts w:ascii="FangSong" w:hAnsi="FangSong" w:eastAsia="FangSong" w:cs="FangSong"/>
          <w:sz w:val="30"/>
          <w:szCs w:val="30"/>
          <w:spacing w:val="23"/>
        </w:rPr>
        <w:t>(二)未指定相关部门和人员负责传染病疫情报告管理工作的。</w:t>
      </w:r>
    </w:p>
    <w:p>
      <w:pPr>
        <w:ind w:left="7409"/>
        <w:spacing w:before="5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34" w:lineRule="auto"/>
        <w:rPr>
          <w:rFonts w:ascii="Arial"/>
          <w:sz w:val="2"/>
        </w:rPr>
      </w:pPr>
      <w:r>
        <w:rPr>
          <w:rFonts w:ascii="Arial"/>
          <w:sz w:val="2"/>
        </w:rPr>
      </w:r>
    </w:p>
    <w:tbl>
      <w:tblPr>
        <w:tblStyle w:val="TableNormal"/>
        <w:tblW w:w="14079" w:type="dxa"/>
        <w:tblInd w:w="4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03"/>
        <w:gridCol w:w="7724"/>
        <w:gridCol w:w="4252"/>
      </w:tblGrid>
      <w:tr>
        <w:trPr>
          <w:trHeight w:val="560" w:hRule="atLeast"/>
        </w:trPr>
        <w:tc>
          <w:tcPr>
            <w:tcW w:w="2103" w:type="dxa"/>
            <w:vAlign w:val="top"/>
          </w:tcPr>
          <w:p>
            <w:pPr>
              <w:pStyle w:val="TableText"/>
              <w:ind w:left="528"/>
              <w:spacing w:before="152" w:line="220" w:lineRule="auto"/>
              <w:rPr>
                <w:sz w:val="26"/>
                <w:szCs w:val="26"/>
              </w:rPr>
            </w:pPr>
            <w:r>
              <w:rPr>
                <w:sz w:val="26"/>
                <w:szCs w:val="26"/>
                <w:b/>
                <w:bCs/>
                <w:spacing w:val="-5"/>
              </w:rPr>
              <w:t>违法程度</w:t>
            </w:r>
          </w:p>
        </w:tc>
        <w:tc>
          <w:tcPr>
            <w:tcW w:w="7724" w:type="dxa"/>
            <w:vAlign w:val="top"/>
          </w:tcPr>
          <w:p>
            <w:pPr>
              <w:pStyle w:val="TableText"/>
              <w:ind w:left="3335"/>
              <w:spacing w:before="152" w:line="220" w:lineRule="auto"/>
              <w:rPr>
                <w:sz w:val="26"/>
                <w:szCs w:val="26"/>
              </w:rPr>
            </w:pPr>
            <w:r>
              <w:rPr>
                <w:sz w:val="26"/>
                <w:szCs w:val="26"/>
                <w:b/>
                <w:bCs/>
                <w:spacing w:val="-5"/>
              </w:rPr>
              <w:t>情节后果</w:t>
            </w:r>
          </w:p>
        </w:tc>
        <w:tc>
          <w:tcPr>
            <w:tcW w:w="4252" w:type="dxa"/>
            <w:vAlign w:val="top"/>
          </w:tcPr>
          <w:p>
            <w:pPr>
              <w:pStyle w:val="TableText"/>
              <w:ind w:left="1601"/>
              <w:spacing w:before="149" w:line="218" w:lineRule="auto"/>
              <w:rPr>
                <w:sz w:val="26"/>
                <w:szCs w:val="26"/>
              </w:rPr>
            </w:pPr>
            <w:r>
              <w:rPr>
                <w:sz w:val="26"/>
                <w:szCs w:val="26"/>
                <w:b/>
                <w:bCs/>
                <w:spacing w:val="-5"/>
              </w:rPr>
              <w:t>裁量幅度</w:t>
            </w:r>
          </w:p>
        </w:tc>
      </w:tr>
      <w:tr>
        <w:trPr>
          <w:trHeight w:val="510" w:hRule="atLeast"/>
        </w:trPr>
        <w:tc>
          <w:tcPr>
            <w:tcW w:w="2103" w:type="dxa"/>
            <w:vAlign w:val="top"/>
          </w:tcPr>
          <w:p>
            <w:pPr>
              <w:pStyle w:val="TableText"/>
              <w:ind w:left="788"/>
              <w:spacing w:before="194" w:line="217" w:lineRule="auto"/>
              <w:rPr>
                <w:sz w:val="26"/>
                <w:szCs w:val="26"/>
              </w:rPr>
            </w:pPr>
            <w:r>
              <w:rPr>
                <w:sz w:val="26"/>
                <w:szCs w:val="26"/>
                <w:b/>
                <w:bCs/>
                <w:spacing w:val="-10"/>
              </w:rPr>
              <w:t>一般</w:t>
            </w:r>
          </w:p>
        </w:tc>
        <w:tc>
          <w:tcPr>
            <w:tcW w:w="7724" w:type="dxa"/>
            <w:vAlign w:val="top"/>
          </w:tcPr>
          <w:p>
            <w:pPr>
              <w:pStyle w:val="TableText"/>
              <w:ind w:left="345"/>
              <w:spacing w:before="189" w:line="218" w:lineRule="auto"/>
              <w:rPr>
                <w:sz w:val="26"/>
                <w:szCs w:val="26"/>
              </w:rPr>
            </w:pPr>
            <w:r>
              <w:rPr>
                <w:sz w:val="26"/>
                <w:szCs w:val="26"/>
                <w:b/>
                <w:bCs/>
                <w:spacing w:val="-3"/>
              </w:rPr>
              <w:t>医疗机构未指定相关部门和人员负责传染病疫情报告管理工作</w:t>
            </w:r>
          </w:p>
        </w:tc>
        <w:tc>
          <w:tcPr>
            <w:tcW w:w="4252" w:type="dxa"/>
            <w:vAlign w:val="top"/>
          </w:tcPr>
          <w:p>
            <w:pPr>
              <w:pStyle w:val="TableText"/>
              <w:ind w:left="601"/>
              <w:spacing w:before="189" w:line="218" w:lineRule="auto"/>
              <w:rPr>
                <w:sz w:val="26"/>
                <w:szCs w:val="26"/>
              </w:rPr>
            </w:pPr>
            <w:r>
              <w:rPr>
                <w:sz w:val="26"/>
                <w:szCs w:val="26"/>
                <w:b/>
                <w:bCs/>
                <w:spacing w:val="-2"/>
              </w:rPr>
              <w:t>通报批评、警告</w:t>
            </w:r>
          </w:p>
        </w:tc>
      </w:tr>
    </w:tbl>
    <w:p>
      <w:pPr>
        <w:ind w:left="1369"/>
        <w:spacing w:before="125" w:line="223" w:lineRule="auto"/>
        <w:rPr>
          <w:rFonts w:ascii="KaiTi" w:hAnsi="KaiTi" w:eastAsia="KaiTi" w:cs="KaiTi"/>
          <w:sz w:val="30"/>
          <w:szCs w:val="30"/>
        </w:rPr>
      </w:pPr>
      <w:r>
        <w:rPr>
          <w:rFonts w:ascii="KaiTi" w:hAnsi="KaiTi" w:eastAsia="KaiTi" w:cs="KaiTi"/>
          <w:sz w:val="30"/>
          <w:szCs w:val="30"/>
          <w:b/>
          <w:bCs/>
          <w:spacing w:val="22"/>
        </w:rPr>
        <w:t>第一百条医疗机构瞒报、缓报、谎报发现的传染病病人、病原携带者、疑似病人的</w:t>
      </w:r>
    </w:p>
    <w:p>
      <w:pPr>
        <w:ind w:left="1375"/>
        <w:spacing w:before="77" w:line="222" w:lineRule="auto"/>
        <w:rPr>
          <w:rFonts w:ascii="FangSong" w:hAnsi="FangSong" w:eastAsia="FangSong" w:cs="FangSong"/>
          <w:sz w:val="30"/>
          <w:szCs w:val="30"/>
        </w:rPr>
      </w:pPr>
      <w:r>
        <w:rPr>
          <w:rFonts w:ascii="FangSong" w:hAnsi="FangSong" w:eastAsia="FangSong" w:cs="FangSong"/>
          <w:sz w:val="30"/>
          <w:szCs w:val="30"/>
          <w:spacing w:val="3"/>
        </w:rPr>
        <w:t>法律依据：</w:t>
      </w:r>
    </w:p>
    <w:p>
      <w:pPr>
        <w:ind w:left="715" w:firstLine="630"/>
        <w:spacing w:before="79" w:line="264" w:lineRule="auto"/>
        <w:jc w:val="both"/>
        <w:rPr>
          <w:rFonts w:ascii="FangSong" w:hAnsi="FangSong" w:eastAsia="FangSong" w:cs="FangSong"/>
          <w:sz w:val="30"/>
          <w:szCs w:val="30"/>
        </w:rPr>
      </w:pPr>
      <w:r>
        <w:rPr>
          <w:rFonts w:ascii="FangSong" w:hAnsi="FangSong" w:eastAsia="FangSong" w:cs="FangSong"/>
          <w:sz w:val="30"/>
          <w:szCs w:val="30"/>
          <w:spacing w:val="23"/>
        </w:rPr>
        <w:t>《突发公共卫生事件与传染病疫情监测信息报告管理办法》第三十八条第(三)</w:t>
      </w:r>
      <w:r>
        <w:rPr>
          <w:rFonts w:ascii="FangSong" w:hAnsi="FangSong" w:eastAsia="FangSong" w:cs="FangSong"/>
          <w:sz w:val="30"/>
          <w:szCs w:val="30"/>
          <w:spacing w:val="22"/>
        </w:rPr>
        <w:t>项“医疗机构有</w:t>
      </w:r>
      <w:r>
        <w:rPr>
          <w:rFonts w:ascii="FangSong" w:hAnsi="FangSong" w:eastAsia="FangSong" w:cs="FangSong"/>
          <w:sz w:val="30"/>
          <w:szCs w:val="30"/>
        </w:rPr>
        <w:t xml:space="preserve">  </w:t>
      </w:r>
      <w:r>
        <w:rPr>
          <w:rFonts w:ascii="FangSong" w:hAnsi="FangSong" w:eastAsia="FangSong" w:cs="FangSong"/>
          <w:sz w:val="30"/>
          <w:szCs w:val="30"/>
          <w:spacing w:val="17"/>
        </w:rPr>
        <w:t>下列行为之一的，由县级以上地方卫生行政部门责令改正、通报批评、给予警告</w:t>
      </w:r>
      <w:r>
        <w:rPr>
          <w:rFonts w:ascii="FangSong" w:hAnsi="FangSong" w:eastAsia="FangSong" w:cs="FangSong"/>
          <w:sz w:val="30"/>
          <w:szCs w:val="30"/>
          <w:spacing w:val="16"/>
        </w:rPr>
        <w:t>；情节严重的，会同</w:t>
      </w:r>
      <w:r>
        <w:rPr>
          <w:rFonts w:ascii="FangSong" w:hAnsi="FangSong" w:eastAsia="FangSong" w:cs="FangSong"/>
          <w:sz w:val="30"/>
          <w:szCs w:val="30"/>
        </w:rPr>
        <w:t xml:space="preserve"> </w:t>
      </w:r>
      <w:r>
        <w:rPr>
          <w:rFonts w:ascii="FangSong" w:hAnsi="FangSong" w:eastAsia="FangSong" w:cs="FangSong"/>
          <w:sz w:val="30"/>
          <w:szCs w:val="30"/>
          <w:spacing w:val="16"/>
        </w:rPr>
        <w:t>有关部门对主要负责人、负有责任的主管人员和其他责任人员依法给予降级、撤职的行政处分；造成</w:t>
      </w:r>
      <w:r>
        <w:rPr>
          <w:rFonts w:ascii="FangSong" w:hAnsi="FangSong" w:eastAsia="FangSong" w:cs="FangSong"/>
          <w:sz w:val="30"/>
          <w:szCs w:val="30"/>
          <w:spacing w:val="15"/>
        </w:rPr>
        <w:t xml:space="preserve"> </w:t>
      </w:r>
      <w:r>
        <w:rPr>
          <w:rFonts w:ascii="FangSong" w:hAnsi="FangSong" w:eastAsia="FangSong" w:cs="FangSong"/>
          <w:sz w:val="30"/>
          <w:szCs w:val="30"/>
          <w:spacing w:val="12"/>
        </w:rPr>
        <w:t>传染病传播、流行或者对社会公众健康造成其他严重危害后果，构成犯罪的，依据刑法追究刑事责</w:t>
      </w:r>
      <w:r>
        <w:rPr>
          <w:rFonts w:ascii="FangSong" w:hAnsi="FangSong" w:eastAsia="FangSong" w:cs="FangSong"/>
          <w:sz w:val="30"/>
          <w:szCs w:val="30"/>
          <w:spacing w:val="11"/>
        </w:rPr>
        <w:t>任：</w:t>
      </w:r>
    </w:p>
    <w:p>
      <w:pPr>
        <w:ind w:left="895"/>
        <w:spacing w:line="220" w:lineRule="auto"/>
        <w:rPr>
          <w:rFonts w:ascii="FangSong" w:hAnsi="FangSong" w:eastAsia="FangSong" w:cs="FangSong"/>
          <w:sz w:val="30"/>
          <w:szCs w:val="30"/>
        </w:rPr>
      </w:pPr>
      <w:r>
        <w:rPr>
          <w:rFonts w:ascii="FangSong" w:hAnsi="FangSong" w:eastAsia="FangSong" w:cs="FangSong"/>
          <w:sz w:val="30"/>
          <w:szCs w:val="30"/>
          <w:spacing w:val="28"/>
        </w:rPr>
        <w:t>(三)瞒报、缓报、谎报发现的传染病病人、病原携带者、疑似病人的</w:t>
      </w:r>
      <w:r>
        <w:rPr>
          <w:rFonts w:ascii="FangSong" w:hAnsi="FangSong" w:eastAsia="FangSong" w:cs="FangSong"/>
          <w:sz w:val="30"/>
          <w:szCs w:val="30"/>
          <w:spacing w:val="27"/>
        </w:rPr>
        <w:t>。”</w:t>
      </w:r>
    </w:p>
    <w:p>
      <w:pPr>
        <w:ind w:left="7409"/>
        <w:spacing w:before="102"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before="19"/>
        <w:rPr/>
      </w:pPr>
      <w:r/>
    </w:p>
    <w:tbl>
      <w:tblPr>
        <w:tblStyle w:val="TableNormal"/>
        <w:tblW w:w="141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93"/>
        <w:gridCol w:w="6265"/>
        <w:gridCol w:w="4672"/>
      </w:tblGrid>
      <w:tr>
        <w:trPr>
          <w:trHeight w:val="620" w:hRule="atLeast"/>
        </w:trPr>
        <w:tc>
          <w:tcPr>
            <w:tcW w:w="3193" w:type="dxa"/>
            <w:vAlign w:val="top"/>
          </w:tcPr>
          <w:p>
            <w:pPr>
              <w:pStyle w:val="TableText"/>
              <w:ind w:left="1009"/>
              <w:spacing w:before="173" w:line="220" w:lineRule="auto"/>
              <w:rPr>
                <w:sz w:val="29"/>
                <w:szCs w:val="29"/>
              </w:rPr>
            </w:pPr>
            <w:r>
              <w:rPr>
                <w:sz w:val="29"/>
                <w:szCs w:val="29"/>
                <w:b/>
                <w:bCs/>
                <w:spacing w:val="-1"/>
              </w:rPr>
              <w:t>违法程度</w:t>
            </w:r>
          </w:p>
        </w:tc>
        <w:tc>
          <w:tcPr>
            <w:tcW w:w="6265" w:type="dxa"/>
            <w:vAlign w:val="top"/>
          </w:tcPr>
          <w:p>
            <w:pPr>
              <w:pStyle w:val="TableText"/>
              <w:ind w:left="2566"/>
              <w:spacing w:before="173" w:line="220" w:lineRule="auto"/>
              <w:rPr>
                <w:sz w:val="29"/>
                <w:szCs w:val="29"/>
              </w:rPr>
            </w:pPr>
            <w:r>
              <w:rPr>
                <w:sz w:val="29"/>
                <w:szCs w:val="29"/>
                <w:b/>
                <w:bCs/>
                <w:spacing w:val="-1"/>
              </w:rPr>
              <w:t>情节后果</w:t>
            </w:r>
          </w:p>
        </w:tc>
        <w:tc>
          <w:tcPr>
            <w:tcW w:w="4672" w:type="dxa"/>
            <w:vAlign w:val="top"/>
          </w:tcPr>
          <w:p>
            <w:pPr>
              <w:pStyle w:val="TableText"/>
              <w:ind w:left="1771"/>
              <w:spacing w:before="170" w:line="218" w:lineRule="auto"/>
              <w:rPr>
                <w:sz w:val="29"/>
                <w:szCs w:val="29"/>
              </w:rPr>
            </w:pPr>
            <w:r>
              <w:rPr>
                <w:sz w:val="29"/>
                <w:szCs w:val="29"/>
                <w:b/>
                <w:bCs/>
                <w:spacing w:val="-1"/>
              </w:rPr>
              <w:t>裁量幅度</w:t>
            </w:r>
          </w:p>
        </w:tc>
      </w:tr>
    </w:tbl>
    <w:p>
      <w:pPr>
        <w:pStyle w:val="BodyText"/>
        <w:rPr/>
      </w:pPr>
      <w:r/>
    </w:p>
    <w:p>
      <w:pPr>
        <w:sectPr>
          <w:footerReference w:type="default" r:id="rId178"/>
          <w:pgSz w:w="16830" w:h="11900"/>
          <w:pgMar w:top="1011" w:right="1350" w:bottom="1115" w:left="724" w:header="0" w:footer="773" w:gutter="0"/>
        </w:sectPr>
        <w:rPr/>
      </w:pPr>
    </w:p>
    <w:p>
      <w:pPr>
        <w:spacing w:before="20"/>
        <w:rPr/>
      </w:pPr>
      <w:r/>
    </w:p>
    <w:p>
      <w:pPr>
        <w:spacing w:before="20"/>
        <w:rPr/>
      </w:pPr>
      <w:r/>
    </w:p>
    <w:p>
      <w:pPr>
        <w:spacing w:before="19"/>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203"/>
        <w:gridCol w:w="6285"/>
        <w:gridCol w:w="4672"/>
      </w:tblGrid>
      <w:tr>
        <w:trPr>
          <w:trHeight w:val="1130" w:hRule="atLeast"/>
        </w:trPr>
        <w:tc>
          <w:tcPr>
            <w:tcW w:w="3203" w:type="dxa"/>
            <w:vAlign w:val="top"/>
          </w:tcPr>
          <w:p>
            <w:pPr>
              <w:spacing w:line="372" w:lineRule="auto"/>
              <w:rPr>
                <w:rFonts w:ascii="Arial"/>
                <w:sz w:val="21"/>
              </w:rPr>
            </w:pPr>
            <w:r/>
          </w:p>
          <w:p>
            <w:pPr>
              <w:pStyle w:val="TableText"/>
              <w:ind w:left="1348"/>
              <w:spacing w:before="78" w:line="221" w:lineRule="auto"/>
              <w:outlineLvl w:val="1"/>
              <w:rPr/>
            </w:pPr>
            <w:bookmarkStart w:name="bookmark835" w:id="157"/>
            <w:bookmarkEnd w:id="157"/>
            <w:bookmarkStart w:name="bookmark186" w:id="158"/>
            <w:bookmarkEnd w:id="158"/>
            <w:bookmarkStart w:name="bookmark79" w:id="159"/>
            <w:bookmarkEnd w:id="159"/>
            <w:r>
              <w:rPr>
                <w:b/>
                <w:bCs/>
                <w:spacing w:val="-10"/>
              </w:rPr>
              <w:t>一般</w:t>
            </w:r>
          </w:p>
        </w:tc>
        <w:tc>
          <w:tcPr>
            <w:tcW w:w="6285" w:type="dxa"/>
            <w:vAlign w:val="top"/>
          </w:tcPr>
          <w:p>
            <w:pPr>
              <w:pStyle w:val="TableText"/>
              <w:ind w:left="112" w:right="130" w:firstLine="20"/>
              <w:spacing w:before="163" w:line="350" w:lineRule="auto"/>
              <w:rPr/>
            </w:pPr>
            <w:r>
              <w:rPr/>
              <w:t>医疗机构瞒报、缓报、谎报发现的传染病病人、病原携带</w:t>
            </w:r>
            <w:r>
              <w:rPr>
                <w:spacing w:val="11"/>
              </w:rPr>
              <w:t xml:space="preserve"> </w:t>
            </w:r>
            <w:r>
              <w:rPr>
                <w:spacing w:val="2"/>
              </w:rPr>
              <w:t>者、疑似病人的</w:t>
            </w:r>
          </w:p>
        </w:tc>
        <w:tc>
          <w:tcPr>
            <w:tcW w:w="4672" w:type="dxa"/>
            <w:vAlign w:val="top"/>
          </w:tcPr>
          <w:p>
            <w:pPr>
              <w:spacing w:line="370" w:lineRule="auto"/>
              <w:rPr>
                <w:rFonts w:ascii="Arial"/>
                <w:sz w:val="21"/>
              </w:rPr>
            </w:pPr>
            <w:r/>
          </w:p>
          <w:p>
            <w:pPr>
              <w:pStyle w:val="TableText"/>
              <w:ind w:left="130"/>
              <w:spacing w:before="78" w:line="218" w:lineRule="auto"/>
              <w:rPr/>
            </w:pPr>
            <w:r>
              <w:rPr>
                <w:b/>
                <w:bCs/>
              </w:rPr>
              <w:t>通报批评、</w:t>
            </w:r>
            <w:r>
              <w:rPr/>
              <w:t>警告</w:t>
            </w:r>
          </w:p>
        </w:tc>
      </w:tr>
    </w:tbl>
    <w:p>
      <w:pPr>
        <w:pStyle w:val="BodyText"/>
        <w:spacing w:line="322" w:lineRule="auto"/>
        <w:rPr/>
      </w:pPr>
      <w:r/>
    </w:p>
    <w:p>
      <w:pPr>
        <w:pStyle w:val="BodyText"/>
        <w:spacing w:line="323" w:lineRule="auto"/>
        <w:rPr/>
      </w:pPr>
      <w:r/>
    </w:p>
    <w:p>
      <w:pPr>
        <w:ind w:left="137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第一百零一条疾病预防控制机构瞒报、缓报、谎报发现的传染病病人、病原携带者、疑似</w:t>
      </w:r>
      <w:r>
        <w:rPr>
          <w:rFonts w:ascii="FangSong" w:hAnsi="FangSong" w:eastAsia="FangSong" w:cs="FangSong"/>
          <w:sz w:val="30"/>
          <w:szCs w:val="30"/>
          <w:b/>
          <w:bCs/>
          <w:spacing w:val="20"/>
        </w:rPr>
        <w:t>病人</w:t>
      </w:r>
    </w:p>
    <w:p>
      <w:pPr>
        <w:ind w:left="725"/>
        <w:spacing w:before="126" w:line="227" w:lineRule="auto"/>
        <w:rPr>
          <w:rFonts w:ascii="FangSong" w:hAnsi="FangSong" w:eastAsia="FangSong" w:cs="FangSong"/>
          <w:sz w:val="30"/>
          <w:szCs w:val="30"/>
        </w:rPr>
      </w:pPr>
      <w:r>
        <w:rPr>
          <w:rFonts w:ascii="FangSong" w:hAnsi="FangSong" w:eastAsia="FangSong" w:cs="FangSong"/>
          <w:sz w:val="30"/>
          <w:szCs w:val="30"/>
        </w:rPr>
        <w:t>的</w:t>
      </w:r>
    </w:p>
    <w:p>
      <w:pPr>
        <w:ind w:left="1375"/>
        <w:spacing w:before="45" w:line="222" w:lineRule="auto"/>
        <w:rPr>
          <w:rFonts w:ascii="FangSong" w:hAnsi="FangSong" w:eastAsia="FangSong" w:cs="FangSong"/>
          <w:sz w:val="30"/>
          <w:szCs w:val="30"/>
        </w:rPr>
      </w:pPr>
      <w:r>
        <w:rPr>
          <w:rFonts w:ascii="FangSong" w:hAnsi="FangSong" w:eastAsia="FangSong" w:cs="FangSong"/>
          <w:sz w:val="30"/>
          <w:szCs w:val="30"/>
          <w:spacing w:val="3"/>
        </w:rPr>
        <w:t>法律依据：</w:t>
      </w:r>
    </w:p>
    <w:p>
      <w:pPr>
        <w:ind w:left="725" w:firstLine="640"/>
        <w:spacing w:before="280" w:line="270" w:lineRule="auto"/>
        <w:jc w:val="both"/>
        <w:rPr>
          <w:rFonts w:ascii="FangSong" w:hAnsi="FangSong" w:eastAsia="FangSong" w:cs="FangSong"/>
          <w:sz w:val="30"/>
          <w:szCs w:val="30"/>
        </w:rPr>
      </w:pPr>
      <w:r>
        <w:rPr>
          <w:rFonts w:ascii="FangSong" w:hAnsi="FangSong" w:eastAsia="FangSong" w:cs="FangSong"/>
          <w:sz w:val="30"/>
          <w:szCs w:val="30"/>
          <w:spacing w:val="24"/>
        </w:rPr>
        <w:t>《突发公共卫生事件与传染病疫情监测信息报告管理办法》第三十九条第(一)项“疾病预防控</w:t>
      </w:r>
      <w:r>
        <w:rPr>
          <w:rFonts w:ascii="FangSong" w:hAnsi="FangSong" w:eastAsia="FangSong" w:cs="FangSong"/>
          <w:sz w:val="30"/>
          <w:szCs w:val="30"/>
        </w:rPr>
        <w:t xml:space="preserve"> </w:t>
      </w:r>
      <w:r>
        <w:rPr>
          <w:rFonts w:ascii="FangSong" w:hAnsi="FangSong" w:eastAsia="FangSong" w:cs="FangSong"/>
          <w:sz w:val="30"/>
          <w:szCs w:val="30"/>
          <w:spacing w:val="15"/>
        </w:rPr>
        <w:t>制机构有下列行为之一的，由县级以上地方卫生行政部门责令改正、通报批评、给予警告；对主要负</w:t>
      </w:r>
      <w:r>
        <w:rPr>
          <w:rFonts w:ascii="FangSong" w:hAnsi="FangSong" w:eastAsia="FangSong" w:cs="FangSong"/>
          <w:sz w:val="30"/>
          <w:szCs w:val="30"/>
          <w:spacing w:val="9"/>
        </w:rPr>
        <w:t xml:space="preserve">  </w:t>
      </w:r>
      <w:r>
        <w:rPr>
          <w:rFonts w:ascii="FangSong" w:hAnsi="FangSong" w:eastAsia="FangSong" w:cs="FangSong"/>
          <w:sz w:val="30"/>
          <w:szCs w:val="30"/>
          <w:spacing w:val="16"/>
        </w:rPr>
        <w:t>责人、负有责任的主管人员和其他责任人员依法给予降级、撤职的</w:t>
      </w:r>
      <w:r>
        <w:rPr>
          <w:rFonts w:ascii="FangSong" w:hAnsi="FangSong" w:eastAsia="FangSong" w:cs="FangSong"/>
          <w:sz w:val="30"/>
          <w:szCs w:val="30"/>
          <w:spacing w:val="15"/>
        </w:rPr>
        <w:t>行政处分；造成传染病传播、流行</w:t>
      </w:r>
      <w:r>
        <w:rPr>
          <w:rFonts w:ascii="FangSong" w:hAnsi="FangSong" w:eastAsia="FangSong" w:cs="FangSong"/>
          <w:sz w:val="30"/>
          <w:szCs w:val="30"/>
        </w:rPr>
        <w:t xml:space="preserve"> </w:t>
      </w:r>
      <w:r>
        <w:rPr>
          <w:rFonts w:ascii="FangSong" w:hAnsi="FangSong" w:eastAsia="FangSong" w:cs="FangSong"/>
          <w:sz w:val="30"/>
          <w:szCs w:val="30"/>
          <w:spacing w:val="15"/>
        </w:rPr>
        <w:t>或者对社会公众健康造成其他严重危害后果，构成犯罪的，依法追究刑事责任：</w:t>
      </w:r>
      <w:r>
        <w:rPr>
          <w:rFonts w:ascii="FangSong" w:hAnsi="FangSong" w:eastAsia="FangSong" w:cs="FangSong"/>
          <w:sz w:val="30"/>
          <w:szCs w:val="30"/>
          <w:spacing w:val="14"/>
        </w:rPr>
        <w:t xml:space="preserve">  </w:t>
      </w:r>
      <w:r>
        <w:rPr>
          <w:rFonts w:ascii="FangSong" w:hAnsi="FangSong" w:eastAsia="FangSong" w:cs="FangSong"/>
          <w:sz w:val="30"/>
          <w:szCs w:val="30"/>
          <w:spacing w:val="14"/>
        </w:rPr>
        <w:t>(</w:t>
      </w:r>
      <w:r>
        <w:rPr>
          <w:rFonts w:ascii="FangSong" w:hAnsi="FangSong" w:eastAsia="FangSong" w:cs="FangSong"/>
          <w:sz w:val="30"/>
          <w:szCs w:val="30"/>
          <w:spacing w:val="-74"/>
        </w:rPr>
        <w:t xml:space="preserve"> </w:t>
      </w:r>
      <w:r>
        <w:rPr>
          <w:rFonts w:ascii="FangSong" w:hAnsi="FangSong" w:eastAsia="FangSong" w:cs="FangSong"/>
          <w:sz w:val="30"/>
          <w:szCs w:val="30"/>
          <w:spacing w:val="14"/>
        </w:rPr>
        <w:t>一</w:t>
      </w:r>
      <w:r>
        <w:rPr>
          <w:rFonts w:ascii="FangSong" w:hAnsi="FangSong" w:eastAsia="FangSong" w:cs="FangSong"/>
          <w:sz w:val="30"/>
          <w:szCs w:val="30"/>
          <w:spacing w:val="-87"/>
        </w:rPr>
        <w:t xml:space="preserve"> </w:t>
      </w:r>
      <w:r>
        <w:rPr>
          <w:rFonts w:ascii="FangSong" w:hAnsi="FangSong" w:eastAsia="FangSong" w:cs="FangSong"/>
          <w:sz w:val="30"/>
          <w:szCs w:val="30"/>
          <w:spacing w:val="14"/>
        </w:rPr>
        <w:t>)瞒报、缓报、</w:t>
      </w:r>
      <w:r>
        <w:rPr>
          <w:rFonts w:ascii="FangSong" w:hAnsi="FangSong" w:eastAsia="FangSong" w:cs="FangSong"/>
          <w:sz w:val="30"/>
          <w:szCs w:val="30"/>
        </w:rPr>
        <w:t xml:space="preserve"> </w:t>
      </w:r>
      <w:r>
        <w:rPr>
          <w:rFonts w:ascii="FangSong" w:hAnsi="FangSong" w:eastAsia="FangSong" w:cs="FangSong"/>
          <w:sz w:val="30"/>
          <w:szCs w:val="30"/>
          <w:spacing w:val="26"/>
        </w:rPr>
        <w:t>谎报发现的传染病病人、病原携带者、疑似病人的”</w:t>
      </w:r>
    </w:p>
    <w:p>
      <w:pPr>
        <w:ind w:left="7129"/>
        <w:spacing w:before="210" w:line="221" w:lineRule="auto"/>
        <w:rPr>
          <w:rFonts w:ascii="SimHei" w:hAnsi="SimHei" w:eastAsia="SimHei" w:cs="SimHei"/>
          <w:sz w:val="30"/>
          <w:szCs w:val="30"/>
        </w:rPr>
      </w:pPr>
      <w:r>
        <w:rPr>
          <w:rFonts w:ascii="SimHei" w:hAnsi="SimHei" w:eastAsia="SimHei" w:cs="SimHei"/>
          <w:sz w:val="30"/>
          <w:szCs w:val="30"/>
          <w:b/>
          <w:bCs/>
          <w:spacing w:val="-15"/>
        </w:rPr>
        <w:t>裁量标准</w:t>
      </w:r>
    </w:p>
    <w:p>
      <w:pPr>
        <w:spacing w:before="138"/>
        <w:rPr/>
      </w:pPr>
      <w:r/>
    </w:p>
    <w:tbl>
      <w:tblPr>
        <w:tblStyle w:val="TableNormal"/>
        <w:tblW w:w="13810" w:type="dxa"/>
        <w:tblInd w:w="88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34"/>
        <w:gridCol w:w="7724"/>
        <w:gridCol w:w="4252"/>
      </w:tblGrid>
      <w:tr>
        <w:trPr>
          <w:trHeight w:val="631" w:hRule="atLeast"/>
        </w:trPr>
        <w:tc>
          <w:tcPr>
            <w:tcW w:w="1834" w:type="dxa"/>
            <w:vAlign w:val="top"/>
          </w:tcPr>
          <w:p>
            <w:pPr>
              <w:pStyle w:val="TableText"/>
              <w:ind w:left="408"/>
              <w:spacing w:before="192" w:line="220" w:lineRule="auto"/>
              <w:rPr>
                <w:sz w:val="25"/>
                <w:szCs w:val="25"/>
              </w:rPr>
            </w:pPr>
            <w:r>
              <w:rPr>
                <w:sz w:val="25"/>
                <w:szCs w:val="25"/>
                <w:b/>
                <w:bCs/>
                <w:spacing w:val="-5"/>
              </w:rPr>
              <w:t>违法程度</w:t>
            </w:r>
          </w:p>
        </w:tc>
        <w:tc>
          <w:tcPr>
            <w:tcW w:w="7724" w:type="dxa"/>
            <w:vAlign w:val="top"/>
          </w:tcPr>
          <w:p>
            <w:pPr>
              <w:pStyle w:val="TableText"/>
              <w:ind w:left="3284"/>
              <w:spacing w:before="192" w:line="220" w:lineRule="auto"/>
              <w:rPr>
                <w:sz w:val="25"/>
                <w:szCs w:val="25"/>
              </w:rPr>
            </w:pPr>
            <w:r>
              <w:rPr>
                <w:sz w:val="25"/>
                <w:szCs w:val="25"/>
                <w:b/>
                <w:bCs/>
                <w:spacing w:val="-5"/>
              </w:rPr>
              <w:t>情节后果</w:t>
            </w:r>
          </w:p>
        </w:tc>
        <w:tc>
          <w:tcPr>
            <w:tcW w:w="4252" w:type="dxa"/>
            <w:vAlign w:val="top"/>
          </w:tcPr>
          <w:p>
            <w:pPr>
              <w:pStyle w:val="TableText"/>
              <w:ind w:left="1550"/>
              <w:spacing w:before="189" w:line="218" w:lineRule="auto"/>
              <w:rPr>
                <w:sz w:val="25"/>
                <w:szCs w:val="25"/>
              </w:rPr>
            </w:pPr>
            <w:r>
              <w:rPr>
                <w:sz w:val="25"/>
                <w:szCs w:val="25"/>
                <w:b/>
                <w:bCs/>
                <w:spacing w:val="-5"/>
              </w:rPr>
              <w:t>裁量幅度</w:t>
            </w:r>
          </w:p>
        </w:tc>
      </w:tr>
      <w:tr>
        <w:trPr>
          <w:trHeight w:val="1158" w:hRule="atLeast"/>
        </w:trPr>
        <w:tc>
          <w:tcPr>
            <w:tcW w:w="1834" w:type="dxa"/>
            <w:vAlign w:val="top"/>
          </w:tcPr>
          <w:p>
            <w:pPr>
              <w:spacing w:line="378" w:lineRule="auto"/>
              <w:rPr>
                <w:rFonts w:ascii="Arial"/>
                <w:sz w:val="21"/>
              </w:rPr>
            </w:pPr>
            <w:r/>
          </w:p>
          <w:p>
            <w:pPr>
              <w:pStyle w:val="TableText"/>
              <w:ind w:left="658"/>
              <w:spacing w:before="81" w:line="221" w:lineRule="auto"/>
              <w:rPr>
                <w:sz w:val="25"/>
                <w:szCs w:val="25"/>
              </w:rPr>
            </w:pPr>
            <w:r>
              <w:rPr>
                <w:sz w:val="25"/>
                <w:szCs w:val="25"/>
                <w:b/>
                <w:bCs/>
                <w:spacing w:val="-10"/>
              </w:rPr>
              <w:t>一般</w:t>
            </w:r>
          </w:p>
        </w:tc>
        <w:tc>
          <w:tcPr>
            <w:tcW w:w="7724" w:type="dxa"/>
            <w:vAlign w:val="top"/>
          </w:tcPr>
          <w:p>
            <w:pPr>
              <w:spacing w:line="375" w:lineRule="auto"/>
              <w:rPr>
                <w:rFonts w:ascii="Arial"/>
                <w:sz w:val="21"/>
              </w:rPr>
            </w:pPr>
            <w:r/>
          </w:p>
          <w:p>
            <w:pPr>
              <w:pStyle w:val="TableText"/>
              <w:ind w:left="104"/>
              <w:spacing w:before="81" w:line="219" w:lineRule="auto"/>
              <w:rPr>
                <w:sz w:val="25"/>
                <w:szCs w:val="25"/>
              </w:rPr>
            </w:pPr>
            <w:r>
              <w:rPr>
                <w:sz w:val="25"/>
                <w:szCs w:val="25"/>
                <w:b/>
                <w:bCs/>
                <w:spacing w:val="-2"/>
              </w:rPr>
              <w:t>瞒报、缓报、谎报发现的传染病病人、病原携带者</w:t>
            </w:r>
            <w:r>
              <w:rPr>
                <w:sz w:val="25"/>
                <w:szCs w:val="25"/>
                <w:b/>
                <w:bCs/>
                <w:spacing w:val="-3"/>
              </w:rPr>
              <w:t>、疑似病人的</w:t>
            </w:r>
          </w:p>
        </w:tc>
        <w:tc>
          <w:tcPr>
            <w:tcW w:w="4252" w:type="dxa"/>
            <w:vAlign w:val="top"/>
          </w:tcPr>
          <w:p>
            <w:pPr>
              <w:spacing w:line="375" w:lineRule="auto"/>
              <w:rPr>
                <w:rFonts w:ascii="Arial"/>
                <w:sz w:val="21"/>
              </w:rPr>
            </w:pPr>
            <w:r/>
          </w:p>
          <w:p>
            <w:pPr>
              <w:pStyle w:val="TableText"/>
              <w:ind w:left="100"/>
              <w:spacing w:before="81" w:line="218" w:lineRule="auto"/>
              <w:rPr>
                <w:sz w:val="25"/>
                <w:szCs w:val="25"/>
              </w:rPr>
            </w:pPr>
            <w:r>
              <w:rPr>
                <w:sz w:val="25"/>
                <w:szCs w:val="25"/>
                <w:b/>
                <w:bCs/>
                <w:spacing w:val="-2"/>
              </w:rPr>
              <w:t>通报批评、警告</w:t>
            </w:r>
          </w:p>
        </w:tc>
      </w:tr>
    </w:tbl>
    <w:p>
      <w:pPr>
        <w:pStyle w:val="BodyText"/>
        <w:rPr/>
      </w:pPr>
      <w:r/>
    </w:p>
    <w:p>
      <w:pPr>
        <w:sectPr>
          <w:footerReference w:type="default" r:id="rId179"/>
          <w:pgSz w:w="16830" w:h="11900"/>
          <w:pgMar w:top="1011" w:right="1360" w:bottom="1115" w:left="724" w:header="0" w:footer="773" w:gutter="0"/>
        </w:sectPr>
        <w:rPr/>
      </w:pPr>
    </w:p>
    <w:p>
      <w:pPr>
        <w:pStyle w:val="BodyText"/>
        <w:spacing w:line="259" w:lineRule="auto"/>
        <w:rPr/>
      </w:pPr>
      <w:r/>
    </w:p>
    <w:p>
      <w:pPr>
        <w:pStyle w:val="BodyText"/>
        <w:spacing w:line="259" w:lineRule="auto"/>
        <w:rPr/>
      </w:pPr>
      <w:r/>
    </w:p>
    <w:p>
      <w:pPr>
        <w:pStyle w:val="BodyText"/>
        <w:spacing w:line="260" w:lineRule="auto"/>
        <w:rPr/>
      </w:pPr>
      <w:r/>
    </w:p>
    <w:p>
      <w:pPr>
        <w:ind w:left="689"/>
        <w:spacing w:before="97" w:line="220" w:lineRule="auto"/>
        <w:rPr>
          <w:rFonts w:ascii="FangSong" w:hAnsi="FangSong" w:eastAsia="FangSong" w:cs="FangSong"/>
          <w:sz w:val="30"/>
          <w:szCs w:val="30"/>
        </w:rPr>
      </w:pPr>
      <w:bookmarkStart w:name="bookmark836" w:id="160"/>
      <w:bookmarkEnd w:id="160"/>
      <w:r>
        <w:rPr>
          <w:rFonts w:ascii="FangSong" w:hAnsi="FangSong" w:eastAsia="FangSong" w:cs="FangSong"/>
          <w:sz w:val="30"/>
          <w:szCs w:val="30"/>
          <w:b/>
          <w:bCs/>
          <w:spacing w:val="17"/>
        </w:rPr>
        <w:t>第一百零二条</w:t>
      </w:r>
      <w:r>
        <w:rPr>
          <w:rFonts w:ascii="FangSong" w:hAnsi="FangSong" w:eastAsia="FangSong" w:cs="FangSong"/>
          <w:sz w:val="30"/>
          <w:szCs w:val="30"/>
          <w:spacing w:val="17"/>
        </w:rPr>
        <w:t xml:space="preserve">  </w:t>
      </w:r>
      <w:r>
        <w:rPr>
          <w:rFonts w:ascii="FangSong" w:hAnsi="FangSong" w:eastAsia="FangSong" w:cs="FangSong"/>
          <w:sz w:val="30"/>
          <w:szCs w:val="30"/>
          <w:b/>
          <w:bCs/>
          <w:spacing w:val="17"/>
        </w:rPr>
        <w:t>疾病预防控制机构未按规定建立专门的流行病学调查</w:t>
      </w:r>
      <w:r>
        <w:rPr>
          <w:rFonts w:ascii="FangSong" w:hAnsi="FangSong" w:eastAsia="FangSong" w:cs="FangSong"/>
          <w:sz w:val="30"/>
          <w:szCs w:val="30"/>
          <w:b/>
          <w:bCs/>
          <w:spacing w:val="16"/>
        </w:rPr>
        <w:t>队伍，进行传染病疫情的</w:t>
      </w:r>
    </w:p>
    <w:p>
      <w:pPr>
        <w:ind w:left="39"/>
        <w:spacing w:before="102" w:line="220" w:lineRule="auto"/>
        <w:rPr>
          <w:rFonts w:ascii="FangSong" w:hAnsi="FangSong" w:eastAsia="FangSong" w:cs="FangSong"/>
          <w:sz w:val="30"/>
          <w:szCs w:val="30"/>
        </w:rPr>
      </w:pPr>
      <w:r>
        <w:rPr>
          <w:rFonts w:ascii="FangSong" w:hAnsi="FangSong" w:eastAsia="FangSong" w:cs="FangSong"/>
          <w:sz w:val="30"/>
          <w:szCs w:val="30"/>
          <w:b/>
          <w:bCs/>
          <w:spacing w:val="17"/>
        </w:rPr>
        <w:t>流行病学调查工作</w:t>
      </w:r>
    </w:p>
    <w:p>
      <w:pPr>
        <w:ind w:left="685"/>
        <w:spacing w:before="80"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34" w:hanging="10"/>
        <w:spacing w:before="70" w:line="270" w:lineRule="auto"/>
        <w:jc w:val="both"/>
        <w:rPr>
          <w:rFonts w:ascii="FangSong" w:hAnsi="FangSong" w:eastAsia="FangSong" w:cs="FangSong"/>
          <w:sz w:val="30"/>
          <w:szCs w:val="30"/>
        </w:rPr>
      </w:pPr>
      <w:r>
        <w:rPr>
          <w:rFonts w:ascii="FangSong" w:hAnsi="FangSong" w:eastAsia="FangSong" w:cs="FangSong"/>
          <w:sz w:val="30"/>
          <w:szCs w:val="30"/>
          <w:spacing w:val="24"/>
        </w:rPr>
        <w:t>《突发公共卫生事件与传染病疫情监测信息报告管理办法》第三十九条第(二)项“</w:t>
      </w:r>
      <w:r>
        <w:rPr>
          <w:rFonts w:ascii="FangSong" w:hAnsi="FangSong" w:eastAsia="FangSong" w:cs="FangSong"/>
          <w:sz w:val="30"/>
          <w:szCs w:val="30"/>
          <w:spacing w:val="23"/>
        </w:rPr>
        <w:t>疾病预防控制机</w:t>
      </w:r>
      <w:r>
        <w:rPr>
          <w:rFonts w:ascii="FangSong" w:hAnsi="FangSong" w:eastAsia="FangSong" w:cs="FangSong"/>
          <w:sz w:val="30"/>
          <w:szCs w:val="30"/>
        </w:rPr>
        <w:t xml:space="preserve"> </w:t>
      </w:r>
      <w:r>
        <w:rPr>
          <w:rFonts w:ascii="FangSong" w:hAnsi="FangSong" w:eastAsia="FangSong" w:cs="FangSong"/>
          <w:sz w:val="30"/>
          <w:szCs w:val="30"/>
          <w:spacing w:val="13"/>
        </w:rPr>
        <w:t>构有下列行为之一的，由县级以上地方卫生行政部门责令改正、通</w:t>
      </w:r>
      <w:r>
        <w:rPr>
          <w:rFonts w:ascii="FangSong" w:hAnsi="FangSong" w:eastAsia="FangSong" w:cs="FangSong"/>
          <w:sz w:val="30"/>
          <w:szCs w:val="30"/>
          <w:spacing w:val="12"/>
        </w:rPr>
        <w:t>报批评、给予警告；对主要负责人、</w:t>
      </w:r>
      <w:r>
        <w:rPr>
          <w:rFonts w:ascii="FangSong" w:hAnsi="FangSong" w:eastAsia="FangSong" w:cs="FangSong"/>
          <w:sz w:val="30"/>
          <w:szCs w:val="30"/>
        </w:rPr>
        <w:t xml:space="preserve"> </w:t>
      </w:r>
      <w:r>
        <w:rPr>
          <w:rFonts w:ascii="FangSong" w:hAnsi="FangSong" w:eastAsia="FangSong" w:cs="FangSong"/>
          <w:sz w:val="30"/>
          <w:szCs w:val="30"/>
          <w:spacing w:val="16"/>
        </w:rPr>
        <w:t>负有责任的主管人员和其他责任人员依法给予</w:t>
      </w:r>
      <w:r>
        <w:rPr>
          <w:rFonts w:ascii="FangSong" w:hAnsi="FangSong" w:eastAsia="FangSong" w:cs="FangSong"/>
          <w:sz w:val="30"/>
          <w:szCs w:val="30"/>
          <w:spacing w:val="15"/>
        </w:rPr>
        <w:t>降级、撤职的行政处分；造成传染病传播、流行或者对</w:t>
      </w:r>
      <w:r>
        <w:rPr>
          <w:rFonts w:ascii="FangSong" w:hAnsi="FangSong" w:eastAsia="FangSong" w:cs="FangSong"/>
          <w:sz w:val="30"/>
          <w:szCs w:val="30"/>
        </w:rPr>
        <w:t xml:space="preserve">  </w:t>
      </w:r>
      <w:r>
        <w:rPr>
          <w:rFonts w:ascii="FangSong" w:hAnsi="FangSong" w:eastAsia="FangSong" w:cs="FangSong"/>
          <w:sz w:val="30"/>
          <w:szCs w:val="30"/>
          <w:spacing w:val="24"/>
        </w:rPr>
        <w:t>社会公众健康造成其他严重危害后果，构成犯罪的，依法追究刑事责任：(二)未</w:t>
      </w:r>
      <w:r>
        <w:rPr>
          <w:rFonts w:ascii="FangSong" w:hAnsi="FangSong" w:eastAsia="FangSong" w:cs="FangSong"/>
          <w:sz w:val="30"/>
          <w:szCs w:val="30"/>
          <w:spacing w:val="23"/>
        </w:rPr>
        <w:t>按规定建立专门的</w:t>
      </w:r>
      <w:r>
        <w:rPr>
          <w:rFonts w:ascii="FangSong" w:hAnsi="FangSong" w:eastAsia="FangSong" w:cs="FangSong"/>
          <w:sz w:val="30"/>
          <w:szCs w:val="30"/>
        </w:rPr>
        <w:t xml:space="preserve"> </w:t>
      </w:r>
      <w:r>
        <w:rPr>
          <w:rFonts w:ascii="FangSong" w:hAnsi="FangSong" w:eastAsia="FangSong" w:cs="FangSong"/>
          <w:sz w:val="30"/>
          <w:szCs w:val="30"/>
          <w:spacing w:val="25"/>
        </w:rPr>
        <w:t>流行病学调查队伍，进行传染病疫情的流行病学调查工</w:t>
      </w:r>
      <w:r>
        <w:rPr>
          <w:rFonts w:ascii="FangSong" w:hAnsi="FangSong" w:eastAsia="FangSong" w:cs="FangSong"/>
          <w:sz w:val="30"/>
          <w:szCs w:val="30"/>
          <w:spacing w:val="24"/>
        </w:rPr>
        <w:t>作；”</w:t>
      </w:r>
    </w:p>
    <w:p>
      <w:pPr>
        <w:ind w:left="6429"/>
        <w:spacing w:before="10" w:line="221" w:lineRule="auto"/>
        <w:rPr>
          <w:rFonts w:ascii="SimHei" w:hAnsi="SimHei" w:eastAsia="SimHei" w:cs="SimHei"/>
          <w:sz w:val="30"/>
          <w:szCs w:val="30"/>
        </w:rPr>
      </w:pPr>
      <w:r>
        <w:rPr>
          <w:rFonts w:ascii="SimHei" w:hAnsi="SimHei" w:eastAsia="SimHei" w:cs="SimHei"/>
          <w:sz w:val="30"/>
          <w:szCs w:val="30"/>
          <w:b/>
          <w:bCs/>
          <w:spacing w:val="-17"/>
        </w:rPr>
        <w:t>裁量标准</w:t>
      </w:r>
    </w:p>
    <w:p>
      <w:pPr>
        <w:ind w:left="689"/>
        <w:spacing w:before="267" w:line="219" w:lineRule="auto"/>
        <w:rPr>
          <w:rFonts w:ascii="FangSong" w:hAnsi="FangSong" w:eastAsia="FangSong" w:cs="FangSong"/>
          <w:sz w:val="30"/>
          <w:szCs w:val="30"/>
        </w:rPr>
      </w:pPr>
      <w:r>
        <w:rPr>
          <w:rFonts w:ascii="FangSong" w:hAnsi="FangSong" w:eastAsia="FangSong" w:cs="FangSong"/>
          <w:sz w:val="30"/>
          <w:szCs w:val="30"/>
          <w:b/>
          <w:bCs/>
          <w:spacing w:val="17"/>
        </w:rPr>
        <w:t>第一百零三条</w:t>
      </w:r>
      <w:r>
        <w:rPr>
          <w:rFonts w:ascii="FangSong" w:hAnsi="FangSong" w:eastAsia="FangSong" w:cs="FangSong"/>
          <w:sz w:val="30"/>
          <w:szCs w:val="30"/>
          <w:spacing w:val="8"/>
        </w:rPr>
        <w:t xml:space="preserve">  </w:t>
      </w:r>
      <w:r>
        <w:rPr>
          <w:rFonts w:ascii="FangSong" w:hAnsi="FangSong" w:eastAsia="FangSong" w:cs="FangSong"/>
          <w:sz w:val="30"/>
          <w:szCs w:val="30"/>
          <w:b/>
          <w:bCs/>
          <w:spacing w:val="17"/>
        </w:rPr>
        <w:t>疾病预防控制机构在接到传染病疫情报告后，未按规定派人进行现场</w:t>
      </w:r>
      <w:r>
        <w:rPr>
          <w:rFonts w:ascii="FangSong" w:hAnsi="FangSong" w:eastAsia="FangSong" w:cs="FangSong"/>
          <w:sz w:val="30"/>
          <w:szCs w:val="30"/>
          <w:b/>
          <w:bCs/>
          <w:spacing w:val="16"/>
        </w:rPr>
        <w:t>调查的</w:t>
      </w:r>
    </w:p>
    <w:p>
      <w:pPr>
        <w:ind w:left="685"/>
        <w:spacing w:before="83"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spacing w:line="114" w:lineRule="exact"/>
        <w:rPr/>
      </w:pPr>
      <w:r/>
    </w:p>
    <w:tbl>
      <w:tblPr>
        <w:tblStyle w:val="TableNormal"/>
        <w:tblW w:w="138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34"/>
        <w:gridCol w:w="7714"/>
        <w:gridCol w:w="4262"/>
      </w:tblGrid>
      <w:tr>
        <w:trPr>
          <w:trHeight w:val="631" w:hRule="atLeast"/>
        </w:trPr>
        <w:tc>
          <w:tcPr>
            <w:tcW w:w="1834" w:type="dxa"/>
            <w:vAlign w:val="top"/>
          </w:tcPr>
          <w:p>
            <w:pPr>
              <w:pStyle w:val="TableText"/>
              <w:ind w:left="408"/>
              <w:spacing w:before="192" w:line="220" w:lineRule="auto"/>
              <w:rPr>
                <w:sz w:val="25"/>
                <w:szCs w:val="25"/>
              </w:rPr>
            </w:pPr>
            <w:r>
              <w:rPr>
                <w:sz w:val="25"/>
                <w:szCs w:val="25"/>
                <w:b/>
                <w:bCs/>
                <w:spacing w:val="-5"/>
              </w:rPr>
              <w:t>违法程度</w:t>
            </w:r>
          </w:p>
        </w:tc>
        <w:tc>
          <w:tcPr>
            <w:tcW w:w="7714" w:type="dxa"/>
            <w:vAlign w:val="top"/>
          </w:tcPr>
          <w:p>
            <w:pPr>
              <w:pStyle w:val="TableText"/>
              <w:ind w:left="3354"/>
              <w:spacing w:before="192" w:line="220" w:lineRule="auto"/>
              <w:rPr>
                <w:sz w:val="25"/>
                <w:szCs w:val="25"/>
              </w:rPr>
            </w:pPr>
            <w:r>
              <w:rPr>
                <w:sz w:val="25"/>
                <w:szCs w:val="25"/>
                <w:b/>
                <w:bCs/>
                <w:spacing w:val="-5"/>
              </w:rPr>
              <w:t>情节后果</w:t>
            </w:r>
          </w:p>
        </w:tc>
        <w:tc>
          <w:tcPr>
            <w:tcW w:w="4262" w:type="dxa"/>
            <w:vAlign w:val="top"/>
          </w:tcPr>
          <w:p>
            <w:pPr>
              <w:pStyle w:val="TableText"/>
              <w:ind w:left="1560"/>
              <w:spacing w:before="189" w:line="218" w:lineRule="auto"/>
              <w:rPr>
                <w:sz w:val="25"/>
                <w:szCs w:val="25"/>
              </w:rPr>
            </w:pPr>
            <w:r>
              <w:rPr>
                <w:sz w:val="25"/>
                <w:szCs w:val="25"/>
                <w:b/>
                <w:bCs/>
                <w:spacing w:val="-5"/>
              </w:rPr>
              <w:t>裁量幅度</w:t>
            </w:r>
          </w:p>
        </w:tc>
      </w:tr>
      <w:tr>
        <w:trPr>
          <w:trHeight w:val="1089" w:hRule="atLeast"/>
        </w:trPr>
        <w:tc>
          <w:tcPr>
            <w:tcW w:w="1834" w:type="dxa"/>
            <w:vAlign w:val="top"/>
          </w:tcPr>
          <w:p>
            <w:pPr>
              <w:spacing w:line="338" w:lineRule="auto"/>
              <w:rPr>
                <w:rFonts w:ascii="Arial"/>
                <w:sz w:val="21"/>
              </w:rPr>
            </w:pPr>
            <w:r/>
          </w:p>
          <w:p>
            <w:pPr>
              <w:pStyle w:val="TableText"/>
              <w:ind w:left="658"/>
              <w:spacing w:before="82" w:line="221" w:lineRule="auto"/>
              <w:rPr>
                <w:sz w:val="25"/>
                <w:szCs w:val="25"/>
              </w:rPr>
            </w:pPr>
            <w:r>
              <w:rPr>
                <w:sz w:val="25"/>
                <w:szCs w:val="25"/>
                <w:b/>
                <w:bCs/>
                <w:spacing w:val="-10"/>
              </w:rPr>
              <w:t>一般</w:t>
            </w:r>
          </w:p>
        </w:tc>
        <w:tc>
          <w:tcPr>
            <w:tcW w:w="7714" w:type="dxa"/>
            <w:vAlign w:val="top"/>
          </w:tcPr>
          <w:p>
            <w:pPr>
              <w:pStyle w:val="TableText"/>
              <w:ind w:left="113" w:hanging="99"/>
              <w:spacing w:before="168" w:line="336" w:lineRule="auto"/>
              <w:rPr>
                <w:sz w:val="25"/>
                <w:szCs w:val="25"/>
              </w:rPr>
            </w:pPr>
            <w:r>
              <w:rPr>
                <w:sz w:val="25"/>
                <w:szCs w:val="25"/>
                <w:b/>
                <w:bCs/>
                <w:spacing w:val="-5"/>
              </w:rPr>
              <w:t>未按规定建立专门的流行病学调查队伍，进行传染病疫情的流行病学调</w:t>
            </w:r>
            <w:r>
              <w:rPr>
                <w:sz w:val="25"/>
                <w:szCs w:val="25"/>
                <w:spacing w:val="11"/>
              </w:rPr>
              <w:t xml:space="preserve"> </w:t>
            </w:r>
            <w:r>
              <w:rPr>
                <w:sz w:val="25"/>
                <w:szCs w:val="25"/>
                <w:b/>
                <w:bCs/>
              </w:rPr>
              <w:t>查工作</w:t>
            </w:r>
          </w:p>
        </w:tc>
        <w:tc>
          <w:tcPr>
            <w:tcW w:w="4262" w:type="dxa"/>
            <w:vAlign w:val="top"/>
          </w:tcPr>
          <w:p>
            <w:pPr>
              <w:spacing w:line="335" w:lineRule="auto"/>
              <w:rPr>
                <w:rFonts w:ascii="Arial"/>
                <w:sz w:val="21"/>
              </w:rPr>
            </w:pPr>
            <w:r/>
          </w:p>
          <w:p>
            <w:pPr>
              <w:pStyle w:val="TableText"/>
              <w:ind w:left="110"/>
              <w:spacing w:before="81" w:line="218" w:lineRule="auto"/>
              <w:rPr>
                <w:sz w:val="25"/>
                <w:szCs w:val="25"/>
              </w:rPr>
            </w:pPr>
            <w:r>
              <w:rPr>
                <w:sz w:val="25"/>
                <w:szCs w:val="25"/>
                <w:b/>
                <w:bCs/>
                <w:spacing w:val="-2"/>
              </w:rPr>
              <w:t>通报批评、警告</w:t>
            </w:r>
          </w:p>
        </w:tc>
      </w:tr>
    </w:tbl>
    <w:p>
      <w:pPr>
        <w:ind w:left="35" w:right="150" w:firstLine="629"/>
        <w:spacing w:before="106" w:line="264" w:lineRule="auto"/>
        <w:jc w:val="both"/>
        <w:rPr>
          <w:rFonts w:ascii="FangSong" w:hAnsi="FangSong" w:eastAsia="FangSong" w:cs="FangSong"/>
          <w:sz w:val="30"/>
          <w:szCs w:val="30"/>
        </w:rPr>
      </w:pPr>
      <w:r>
        <w:rPr>
          <w:rFonts w:ascii="FangSong" w:hAnsi="FangSong" w:eastAsia="FangSong" w:cs="FangSong"/>
          <w:sz w:val="30"/>
          <w:szCs w:val="30"/>
          <w:spacing w:val="24"/>
        </w:rPr>
        <w:t>《突发公共卫生事件与传染病疫情监测信息报告管理</w:t>
      </w:r>
      <w:r>
        <w:rPr>
          <w:rFonts w:ascii="FangSong" w:hAnsi="FangSong" w:eastAsia="FangSong" w:cs="FangSong"/>
          <w:sz w:val="30"/>
          <w:szCs w:val="30"/>
          <w:spacing w:val="23"/>
        </w:rPr>
        <w:t>办法》第三十九条第(三)项“疾病预防控</w:t>
      </w:r>
      <w:r>
        <w:rPr>
          <w:rFonts w:ascii="FangSong" w:hAnsi="FangSong" w:eastAsia="FangSong" w:cs="FangSong"/>
          <w:sz w:val="30"/>
          <w:szCs w:val="30"/>
        </w:rPr>
        <w:t xml:space="preserve"> </w:t>
      </w:r>
      <w:r>
        <w:rPr>
          <w:rFonts w:ascii="FangSong" w:hAnsi="FangSong" w:eastAsia="FangSong" w:cs="FangSong"/>
          <w:sz w:val="30"/>
          <w:szCs w:val="30"/>
          <w:spacing w:val="15"/>
        </w:rPr>
        <w:t>制机构有下列行为之一的，由县级以上地方卫生行政部门责令改正、通报批评、给予警告；对主要负</w:t>
      </w:r>
      <w:r>
        <w:rPr>
          <w:rFonts w:ascii="FangSong" w:hAnsi="FangSong" w:eastAsia="FangSong" w:cs="FangSong"/>
          <w:sz w:val="30"/>
          <w:szCs w:val="30"/>
          <w:spacing w:val="8"/>
        </w:rPr>
        <w:t xml:space="preserve"> </w:t>
      </w:r>
      <w:r>
        <w:rPr>
          <w:rFonts w:ascii="FangSong" w:hAnsi="FangSong" w:eastAsia="FangSong" w:cs="FangSong"/>
          <w:sz w:val="30"/>
          <w:szCs w:val="30"/>
          <w:spacing w:val="16"/>
        </w:rPr>
        <w:t>责人、负有责任的主管人员和其他责任人员依</w:t>
      </w:r>
      <w:r>
        <w:rPr>
          <w:rFonts w:ascii="FangSong" w:hAnsi="FangSong" w:eastAsia="FangSong" w:cs="FangSong"/>
          <w:sz w:val="30"/>
          <w:szCs w:val="30"/>
          <w:spacing w:val="15"/>
        </w:rPr>
        <w:t>法给予降级、撤职的行政处分；造成传染病传播、流行</w:t>
      </w:r>
    </w:p>
    <w:p>
      <w:pPr>
        <w:spacing w:line="264" w:lineRule="auto"/>
        <w:sectPr>
          <w:footerReference w:type="default" r:id="rId180"/>
          <w:pgSz w:w="16830" w:h="11900"/>
          <w:pgMar w:top="1011" w:right="1309" w:bottom="1125" w:left="1414" w:header="0" w:footer="783" w:gutter="0"/>
        </w:sectPr>
        <w:rPr>
          <w:rFonts w:ascii="FangSong" w:hAnsi="FangSong" w:eastAsia="FangSong" w:cs="FangSong"/>
          <w:sz w:val="30"/>
          <w:szCs w:val="30"/>
        </w:rPr>
      </w:pPr>
    </w:p>
    <w:p>
      <w:pPr>
        <w:pStyle w:val="BodyText"/>
        <w:spacing w:line="264" w:lineRule="auto"/>
        <w:rPr/>
      </w:pPr>
      <w:r/>
    </w:p>
    <w:p>
      <w:pPr>
        <w:pStyle w:val="BodyText"/>
        <w:spacing w:line="264" w:lineRule="auto"/>
        <w:rPr/>
      </w:pPr>
      <w:r/>
    </w:p>
    <w:p>
      <w:pPr>
        <w:pStyle w:val="BodyText"/>
        <w:spacing w:line="264" w:lineRule="auto"/>
        <w:rPr/>
      </w:pPr>
      <w:r/>
    </w:p>
    <w:p>
      <w:pPr>
        <w:ind w:left="65" w:right="236"/>
        <w:spacing w:before="97" w:line="266" w:lineRule="auto"/>
        <w:rPr>
          <w:rFonts w:ascii="FangSong" w:hAnsi="FangSong" w:eastAsia="FangSong" w:cs="FangSong"/>
          <w:sz w:val="30"/>
          <w:szCs w:val="30"/>
        </w:rPr>
      </w:pPr>
      <w:r>
        <w:rPr>
          <w:rFonts w:ascii="FangSong" w:hAnsi="FangSong" w:eastAsia="FangSong" w:cs="FangSong"/>
          <w:sz w:val="30"/>
          <w:szCs w:val="30"/>
          <w:spacing w:val="23"/>
        </w:rPr>
        <w:t>或者对社会公众健康造成其他严重危害后果，构成犯罪的，依法追究刑事责任：(三)在接到传染病</w:t>
      </w:r>
      <w:r>
        <w:rPr>
          <w:rFonts w:ascii="FangSong" w:hAnsi="FangSong" w:eastAsia="FangSong" w:cs="FangSong"/>
          <w:sz w:val="30"/>
          <w:szCs w:val="30"/>
          <w:spacing w:val="15"/>
        </w:rPr>
        <w:t xml:space="preserve"> </w:t>
      </w:r>
      <w:r>
        <w:rPr>
          <w:rFonts w:ascii="FangSong" w:hAnsi="FangSong" w:eastAsia="FangSong" w:cs="FangSong"/>
          <w:sz w:val="30"/>
          <w:szCs w:val="30"/>
          <w:spacing w:val="26"/>
        </w:rPr>
        <w:t>疫情报告后，未按规定派人进行现场调查的；”</w:t>
      </w:r>
    </w:p>
    <w:p>
      <w:pPr>
        <w:ind w:left="6199"/>
        <w:spacing w:before="14" w:line="221" w:lineRule="auto"/>
        <w:rPr>
          <w:rFonts w:ascii="SimHei" w:hAnsi="SimHei" w:eastAsia="SimHei" w:cs="SimHei"/>
          <w:sz w:val="30"/>
          <w:szCs w:val="30"/>
        </w:rPr>
      </w:pPr>
      <w:bookmarkStart w:name="bookmark837" w:id="161"/>
      <w:bookmarkEnd w:id="161"/>
      <w:r>
        <w:rPr>
          <w:rFonts w:ascii="SimHei" w:hAnsi="SimHei" w:eastAsia="SimHei" w:cs="SimHei"/>
          <w:sz w:val="30"/>
          <w:szCs w:val="30"/>
          <w:b/>
          <w:bCs/>
          <w:spacing w:val="-17"/>
        </w:rPr>
        <w:t>裁量标准</w:t>
      </w:r>
    </w:p>
    <w:p>
      <w:pPr>
        <w:spacing w:before="44"/>
        <w:rPr/>
      </w:pPr>
      <w:r/>
    </w:p>
    <w:p>
      <w:pPr>
        <w:spacing w:before="43"/>
        <w:rPr/>
      </w:pPr>
      <w:r/>
    </w:p>
    <w:tbl>
      <w:tblPr>
        <w:tblStyle w:val="TableNormal"/>
        <w:tblW w:w="13799" w:type="dxa"/>
        <w:tblInd w:w="4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33"/>
        <w:gridCol w:w="7714"/>
        <w:gridCol w:w="4252"/>
      </w:tblGrid>
      <w:tr>
        <w:trPr>
          <w:trHeight w:val="631" w:hRule="atLeast"/>
        </w:trPr>
        <w:tc>
          <w:tcPr>
            <w:tcW w:w="1833" w:type="dxa"/>
            <w:vAlign w:val="top"/>
          </w:tcPr>
          <w:p>
            <w:pPr>
              <w:pStyle w:val="TableText"/>
              <w:ind w:left="408"/>
              <w:spacing w:before="192" w:line="220" w:lineRule="auto"/>
              <w:rPr>
                <w:sz w:val="25"/>
                <w:szCs w:val="25"/>
              </w:rPr>
            </w:pPr>
            <w:r>
              <w:rPr>
                <w:sz w:val="25"/>
                <w:szCs w:val="25"/>
                <w:b/>
                <w:bCs/>
                <w:spacing w:val="-5"/>
              </w:rPr>
              <w:t>违法程度</w:t>
            </w:r>
          </w:p>
        </w:tc>
        <w:tc>
          <w:tcPr>
            <w:tcW w:w="7714" w:type="dxa"/>
            <w:vAlign w:val="top"/>
          </w:tcPr>
          <w:p>
            <w:pPr>
              <w:pStyle w:val="TableText"/>
              <w:ind w:left="3285"/>
              <w:spacing w:before="192" w:line="220" w:lineRule="auto"/>
              <w:rPr>
                <w:sz w:val="25"/>
                <w:szCs w:val="25"/>
              </w:rPr>
            </w:pPr>
            <w:r>
              <w:rPr>
                <w:sz w:val="25"/>
                <w:szCs w:val="25"/>
                <w:b/>
                <w:bCs/>
                <w:spacing w:val="-5"/>
              </w:rPr>
              <w:t>情节后果</w:t>
            </w:r>
          </w:p>
        </w:tc>
        <w:tc>
          <w:tcPr>
            <w:tcW w:w="4252" w:type="dxa"/>
            <w:vAlign w:val="top"/>
          </w:tcPr>
          <w:p>
            <w:pPr>
              <w:pStyle w:val="TableText"/>
              <w:ind w:left="1561"/>
              <w:spacing w:before="189" w:line="218" w:lineRule="auto"/>
              <w:rPr>
                <w:sz w:val="25"/>
                <w:szCs w:val="25"/>
              </w:rPr>
            </w:pPr>
            <w:r>
              <w:rPr>
                <w:sz w:val="25"/>
                <w:szCs w:val="25"/>
                <w:b/>
                <w:bCs/>
                <w:spacing w:val="-5"/>
              </w:rPr>
              <w:t>裁量幅度</w:t>
            </w:r>
          </w:p>
        </w:tc>
      </w:tr>
      <w:tr>
        <w:trPr>
          <w:trHeight w:val="1128" w:hRule="atLeast"/>
        </w:trPr>
        <w:tc>
          <w:tcPr>
            <w:tcW w:w="1833" w:type="dxa"/>
            <w:vAlign w:val="top"/>
          </w:tcPr>
          <w:p>
            <w:pPr>
              <w:spacing w:line="358" w:lineRule="auto"/>
              <w:rPr>
                <w:rFonts w:ascii="Arial"/>
                <w:sz w:val="21"/>
              </w:rPr>
            </w:pPr>
            <w:r/>
          </w:p>
          <w:p>
            <w:pPr>
              <w:pStyle w:val="TableText"/>
              <w:ind w:left="658"/>
              <w:spacing w:before="81" w:line="221" w:lineRule="auto"/>
              <w:rPr>
                <w:sz w:val="25"/>
                <w:szCs w:val="25"/>
              </w:rPr>
            </w:pPr>
            <w:r>
              <w:rPr>
                <w:sz w:val="25"/>
                <w:szCs w:val="25"/>
                <w:b/>
                <w:bCs/>
                <w:spacing w:val="-10"/>
              </w:rPr>
              <w:t>一般</w:t>
            </w:r>
          </w:p>
        </w:tc>
        <w:tc>
          <w:tcPr>
            <w:tcW w:w="7714" w:type="dxa"/>
            <w:vAlign w:val="top"/>
          </w:tcPr>
          <w:p>
            <w:pPr>
              <w:spacing w:line="355" w:lineRule="auto"/>
              <w:rPr>
                <w:rFonts w:ascii="Arial"/>
                <w:sz w:val="21"/>
              </w:rPr>
            </w:pPr>
            <w:r/>
          </w:p>
          <w:p>
            <w:pPr>
              <w:pStyle w:val="TableText"/>
              <w:ind w:left="115"/>
              <w:spacing w:before="81" w:line="218" w:lineRule="auto"/>
              <w:rPr>
                <w:sz w:val="25"/>
                <w:szCs w:val="25"/>
              </w:rPr>
            </w:pPr>
            <w:r>
              <w:rPr>
                <w:sz w:val="25"/>
                <w:szCs w:val="25"/>
                <w:b/>
                <w:bCs/>
                <w:spacing w:val="-2"/>
              </w:rPr>
              <w:t>在接到传染病疫情报告后，未按规定派人进行</w:t>
            </w:r>
            <w:r>
              <w:rPr>
                <w:sz w:val="25"/>
                <w:szCs w:val="25"/>
                <w:b/>
                <w:bCs/>
                <w:spacing w:val="-3"/>
              </w:rPr>
              <w:t>现场调查的</w:t>
            </w:r>
          </w:p>
        </w:tc>
        <w:tc>
          <w:tcPr>
            <w:tcW w:w="4252" w:type="dxa"/>
            <w:vAlign w:val="top"/>
          </w:tcPr>
          <w:p>
            <w:pPr>
              <w:spacing w:line="355" w:lineRule="auto"/>
              <w:rPr>
                <w:rFonts w:ascii="Arial"/>
                <w:sz w:val="21"/>
              </w:rPr>
            </w:pPr>
            <w:r/>
          </w:p>
          <w:p>
            <w:pPr>
              <w:pStyle w:val="TableText"/>
              <w:ind w:left="121"/>
              <w:spacing w:before="81" w:line="218" w:lineRule="auto"/>
              <w:rPr>
                <w:sz w:val="25"/>
                <w:szCs w:val="25"/>
              </w:rPr>
            </w:pPr>
            <w:r>
              <w:rPr>
                <w:sz w:val="25"/>
                <w:szCs w:val="25"/>
                <w:b/>
                <w:bCs/>
                <w:spacing w:val="-2"/>
              </w:rPr>
              <w:t>通报批评、警告</w:t>
            </w:r>
          </w:p>
        </w:tc>
      </w:tr>
    </w:tbl>
    <w:p>
      <w:pPr>
        <w:ind w:left="719"/>
        <w:spacing w:before="137" w:line="220" w:lineRule="auto"/>
        <w:rPr>
          <w:rFonts w:ascii="FangSong" w:hAnsi="FangSong" w:eastAsia="FangSong" w:cs="FangSong"/>
          <w:sz w:val="30"/>
          <w:szCs w:val="30"/>
        </w:rPr>
      </w:pPr>
      <w:r>
        <w:rPr>
          <w:rFonts w:ascii="FangSong" w:hAnsi="FangSong" w:eastAsia="FangSong" w:cs="FangSong"/>
          <w:sz w:val="30"/>
          <w:szCs w:val="30"/>
          <w:b/>
          <w:bCs/>
          <w:spacing w:val="21"/>
        </w:rPr>
        <w:t>第一百零四条疾病预防控制机构未按规定上报疫情或报告突发公共卫生事件的</w:t>
      </w:r>
    </w:p>
    <w:p>
      <w:pPr>
        <w:ind w:left="715"/>
        <w:spacing w:before="81" w:line="222" w:lineRule="auto"/>
        <w:rPr>
          <w:rFonts w:ascii="FangSong" w:hAnsi="FangSong" w:eastAsia="FangSong" w:cs="FangSong"/>
          <w:sz w:val="30"/>
          <w:szCs w:val="30"/>
        </w:rPr>
      </w:pPr>
      <w:r>
        <w:rPr>
          <w:rFonts w:ascii="FangSong" w:hAnsi="FangSong" w:eastAsia="FangSong" w:cs="FangSong"/>
          <w:sz w:val="30"/>
          <w:szCs w:val="30"/>
          <w:spacing w:val="3"/>
        </w:rPr>
        <w:t>法律依据：</w:t>
      </w:r>
    </w:p>
    <w:p>
      <w:pPr>
        <w:ind w:left="65" w:right="227" w:firstLine="619"/>
        <w:spacing w:before="79" w:line="265" w:lineRule="auto"/>
        <w:jc w:val="both"/>
        <w:rPr>
          <w:rFonts w:ascii="FangSong" w:hAnsi="FangSong" w:eastAsia="FangSong" w:cs="FangSong"/>
          <w:sz w:val="30"/>
          <w:szCs w:val="30"/>
        </w:rPr>
      </w:pPr>
      <w:r>
        <w:rPr>
          <w:rFonts w:ascii="FangSong" w:hAnsi="FangSong" w:eastAsia="FangSong" w:cs="FangSong"/>
          <w:sz w:val="30"/>
          <w:szCs w:val="30"/>
          <w:spacing w:val="24"/>
        </w:rPr>
        <w:t>《突发公共卫生事件与传染病疫情监测信息报告管理办法》第三十九条第(</w:t>
      </w:r>
      <w:r>
        <w:rPr>
          <w:rFonts w:ascii="FangSong" w:hAnsi="FangSong" w:eastAsia="FangSong" w:cs="FangSong"/>
          <w:sz w:val="30"/>
          <w:szCs w:val="30"/>
          <w:spacing w:val="23"/>
        </w:rPr>
        <w:t>四)项“疾病预防控</w:t>
      </w:r>
      <w:r>
        <w:rPr>
          <w:rFonts w:ascii="FangSong" w:hAnsi="FangSong" w:eastAsia="FangSong" w:cs="FangSong"/>
          <w:sz w:val="30"/>
          <w:szCs w:val="30"/>
        </w:rPr>
        <w:t xml:space="preserve"> </w:t>
      </w:r>
      <w:r>
        <w:rPr>
          <w:rFonts w:ascii="FangSong" w:hAnsi="FangSong" w:eastAsia="FangSong" w:cs="FangSong"/>
          <w:sz w:val="30"/>
          <w:szCs w:val="30"/>
          <w:spacing w:val="15"/>
        </w:rPr>
        <w:t>制机构有下列行为之一的，由县级以上地方卫生行政部门责令改正、通报批评、给予警告；对主要负</w:t>
      </w:r>
      <w:r>
        <w:rPr>
          <w:rFonts w:ascii="FangSong" w:hAnsi="FangSong" w:eastAsia="FangSong" w:cs="FangSong"/>
          <w:sz w:val="30"/>
          <w:szCs w:val="30"/>
          <w:spacing w:val="18"/>
        </w:rPr>
        <w:t xml:space="preserve"> </w:t>
      </w:r>
      <w:r>
        <w:rPr>
          <w:rFonts w:ascii="FangSong" w:hAnsi="FangSong" w:eastAsia="FangSong" w:cs="FangSong"/>
          <w:sz w:val="30"/>
          <w:szCs w:val="30"/>
          <w:spacing w:val="16"/>
        </w:rPr>
        <w:t>责人、负有责任的主管人员和其他责任人员依法给予降级、撤职的</w:t>
      </w:r>
      <w:r>
        <w:rPr>
          <w:rFonts w:ascii="FangSong" w:hAnsi="FangSong" w:eastAsia="FangSong" w:cs="FangSong"/>
          <w:sz w:val="30"/>
          <w:szCs w:val="30"/>
          <w:spacing w:val="15"/>
        </w:rPr>
        <w:t>行政处分；造成传染病传播、流行</w:t>
      </w:r>
      <w:r>
        <w:rPr>
          <w:rFonts w:ascii="FangSong" w:hAnsi="FangSong" w:eastAsia="FangSong" w:cs="FangSong"/>
          <w:sz w:val="30"/>
          <w:szCs w:val="30"/>
        </w:rPr>
        <w:t xml:space="preserve"> </w:t>
      </w:r>
      <w:r>
        <w:rPr>
          <w:rFonts w:ascii="FangSong" w:hAnsi="FangSong" w:eastAsia="FangSong" w:cs="FangSong"/>
          <w:sz w:val="30"/>
          <w:szCs w:val="30"/>
          <w:spacing w:val="24"/>
        </w:rPr>
        <w:t>或者对社会公众健康造成其他严重危害后果，构成犯罪</w:t>
      </w:r>
      <w:r>
        <w:rPr>
          <w:rFonts w:ascii="FangSong" w:hAnsi="FangSong" w:eastAsia="FangSong" w:cs="FangSong"/>
          <w:sz w:val="30"/>
          <w:szCs w:val="30"/>
          <w:spacing w:val="23"/>
        </w:rPr>
        <w:t>的，依法追究刑事责任：(四)未按规定上报</w:t>
      </w:r>
      <w:r>
        <w:rPr>
          <w:rFonts w:ascii="FangSong" w:hAnsi="FangSong" w:eastAsia="FangSong" w:cs="FangSong"/>
          <w:sz w:val="30"/>
          <w:szCs w:val="30"/>
        </w:rPr>
        <w:t xml:space="preserve"> </w:t>
      </w:r>
      <w:r>
        <w:rPr>
          <w:rFonts w:ascii="FangSong" w:hAnsi="FangSong" w:eastAsia="FangSong" w:cs="FangSong"/>
          <w:sz w:val="30"/>
          <w:szCs w:val="30"/>
          <w:spacing w:val="28"/>
        </w:rPr>
        <w:t>疫情或报告突发公共卫生事件的”</w:t>
      </w:r>
    </w:p>
    <w:p>
      <w:pPr>
        <w:ind w:left="6769"/>
        <w:spacing w:before="22"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before="39"/>
        <w:rPr/>
      </w:pPr>
      <w:r/>
    </w:p>
    <w:p>
      <w:pPr>
        <w:spacing w:before="38"/>
        <w:rPr/>
      </w:pPr>
      <w:r/>
    </w:p>
    <w:tbl>
      <w:tblPr>
        <w:tblStyle w:val="TableNormal"/>
        <w:tblW w:w="138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53"/>
        <w:gridCol w:w="6605"/>
        <w:gridCol w:w="5361"/>
      </w:tblGrid>
      <w:tr>
        <w:trPr>
          <w:trHeight w:val="629" w:hRule="atLeast"/>
        </w:trPr>
        <w:tc>
          <w:tcPr>
            <w:tcW w:w="1853" w:type="dxa"/>
            <w:vAlign w:val="top"/>
          </w:tcPr>
          <w:p>
            <w:pPr>
              <w:pStyle w:val="TableText"/>
              <w:ind w:left="349"/>
              <w:spacing w:before="173" w:line="220" w:lineRule="auto"/>
              <w:rPr>
                <w:sz w:val="29"/>
                <w:szCs w:val="29"/>
              </w:rPr>
            </w:pPr>
            <w:r>
              <w:rPr>
                <w:sz w:val="29"/>
                <w:szCs w:val="29"/>
                <w:b/>
                <w:bCs/>
                <w:spacing w:val="-1"/>
              </w:rPr>
              <w:t>违法程度</w:t>
            </w:r>
          </w:p>
        </w:tc>
        <w:tc>
          <w:tcPr>
            <w:tcW w:w="6605" w:type="dxa"/>
            <w:vAlign w:val="top"/>
          </w:tcPr>
          <w:p>
            <w:pPr>
              <w:pStyle w:val="TableText"/>
              <w:ind w:left="2726"/>
              <w:spacing w:before="173" w:line="220" w:lineRule="auto"/>
              <w:rPr>
                <w:sz w:val="29"/>
                <w:szCs w:val="29"/>
              </w:rPr>
            </w:pPr>
            <w:r>
              <w:rPr>
                <w:sz w:val="29"/>
                <w:szCs w:val="29"/>
                <w:b/>
                <w:bCs/>
                <w:spacing w:val="-1"/>
              </w:rPr>
              <w:t>情节后果</w:t>
            </w:r>
          </w:p>
        </w:tc>
        <w:tc>
          <w:tcPr>
            <w:tcW w:w="5361" w:type="dxa"/>
            <w:vAlign w:val="top"/>
          </w:tcPr>
          <w:p>
            <w:pPr>
              <w:pStyle w:val="TableText"/>
              <w:ind w:left="2121"/>
              <w:spacing w:before="170" w:line="218" w:lineRule="auto"/>
              <w:rPr>
                <w:sz w:val="29"/>
                <w:szCs w:val="29"/>
              </w:rPr>
            </w:pPr>
            <w:r>
              <w:rPr>
                <w:sz w:val="29"/>
                <w:szCs w:val="29"/>
                <w:b/>
                <w:bCs/>
                <w:spacing w:val="-1"/>
              </w:rPr>
              <w:t>裁量幅度</w:t>
            </w:r>
          </w:p>
        </w:tc>
      </w:tr>
    </w:tbl>
    <w:p>
      <w:pPr>
        <w:pStyle w:val="BodyText"/>
        <w:rPr/>
      </w:pPr>
      <w:r/>
    </w:p>
    <w:p>
      <w:pPr>
        <w:sectPr>
          <w:footerReference w:type="default" r:id="rId181"/>
          <w:pgSz w:w="16830" w:h="11900"/>
          <w:pgMar w:top="1011" w:right="1215" w:bottom="1131" w:left="1384" w:header="0" w:footer="807" w:gutter="0"/>
        </w:sectPr>
        <w:rPr/>
      </w:pPr>
    </w:p>
    <w:p>
      <w:pPr>
        <w:spacing w:before="17"/>
        <w:rPr/>
      </w:pPr>
      <w:r/>
    </w:p>
    <w:p>
      <w:pPr>
        <w:spacing w:before="16"/>
        <w:rPr/>
      </w:pPr>
      <w:r/>
    </w:p>
    <w:p>
      <w:pPr>
        <w:spacing w:before="16"/>
        <w:rPr/>
      </w:pPr>
      <w:r/>
    </w:p>
    <w:tbl>
      <w:tblPr>
        <w:tblStyle w:val="TableNormal"/>
        <w:tblW w:w="138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34"/>
        <w:gridCol w:w="6625"/>
        <w:gridCol w:w="5351"/>
      </w:tblGrid>
      <w:tr>
        <w:trPr>
          <w:trHeight w:val="1140" w:hRule="atLeast"/>
        </w:trPr>
        <w:tc>
          <w:tcPr>
            <w:tcW w:w="1834" w:type="dxa"/>
            <w:vAlign w:val="top"/>
          </w:tcPr>
          <w:p>
            <w:pPr>
              <w:spacing w:line="372" w:lineRule="auto"/>
              <w:rPr>
                <w:rFonts w:ascii="Arial"/>
                <w:sz w:val="21"/>
              </w:rPr>
            </w:pPr>
            <w:r/>
          </w:p>
          <w:p>
            <w:pPr>
              <w:pStyle w:val="TableText"/>
              <w:ind w:left="678"/>
              <w:spacing w:before="78" w:line="221" w:lineRule="auto"/>
              <w:rPr/>
            </w:pPr>
            <w:r>
              <w:rPr>
                <w:b/>
                <w:bCs/>
                <w:spacing w:val="-10"/>
              </w:rPr>
              <w:t>一般</w:t>
            </w:r>
          </w:p>
        </w:tc>
        <w:tc>
          <w:tcPr>
            <w:tcW w:w="6625" w:type="dxa"/>
            <w:vAlign w:val="top"/>
          </w:tcPr>
          <w:p>
            <w:pPr>
              <w:spacing w:line="372" w:lineRule="auto"/>
              <w:rPr>
                <w:rFonts w:ascii="Arial"/>
                <w:sz w:val="21"/>
              </w:rPr>
            </w:pPr>
            <w:r/>
          </w:p>
          <w:p>
            <w:pPr>
              <w:pStyle w:val="TableText"/>
              <w:ind w:left="121"/>
              <w:spacing w:before="78" w:line="218" w:lineRule="auto"/>
              <w:rPr/>
            </w:pPr>
            <w:r>
              <w:rPr/>
              <w:t>未按规定上报疫情或报告突发公共卫生事件的</w:t>
            </w:r>
          </w:p>
        </w:tc>
        <w:tc>
          <w:tcPr>
            <w:tcW w:w="5351" w:type="dxa"/>
            <w:vAlign w:val="top"/>
          </w:tcPr>
          <w:p>
            <w:pPr>
              <w:spacing w:line="372" w:lineRule="auto"/>
              <w:rPr>
                <w:rFonts w:ascii="Arial"/>
                <w:sz w:val="21"/>
              </w:rPr>
            </w:pPr>
            <w:r/>
          </w:p>
          <w:p>
            <w:pPr>
              <w:pStyle w:val="TableText"/>
              <w:ind w:left="116"/>
              <w:spacing w:before="78" w:line="218" w:lineRule="auto"/>
              <w:rPr/>
            </w:pPr>
            <w:r>
              <w:rPr>
                <w:spacing w:val="2"/>
              </w:rPr>
              <w:t>通报批评、警告</w:t>
            </w:r>
          </w:p>
        </w:tc>
      </w:tr>
    </w:tbl>
    <w:p>
      <w:pPr>
        <w:ind w:left="709"/>
        <w:spacing w:before="97" w:line="220" w:lineRule="auto"/>
        <w:outlineLvl w:val="1"/>
        <w:rPr>
          <w:rFonts w:ascii="FangSong" w:hAnsi="FangSong" w:eastAsia="FangSong" w:cs="FangSong"/>
          <w:sz w:val="31"/>
          <w:szCs w:val="31"/>
        </w:rPr>
      </w:pPr>
      <w:bookmarkStart w:name="bookmark838" w:id="162"/>
      <w:bookmarkEnd w:id="162"/>
      <w:bookmarkStart w:name="bookmark186" w:id="163"/>
      <w:bookmarkEnd w:id="163"/>
      <w:r>
        <w:rPr>
          <w:rFonts w:ascii="FangSong" w:hAnsi="FangSong" w:eastAsia="FangSong" w:cs="FangSong"/>
          <w:sz w:val="31"/>
          <w:szCs w:val="31"/>
          <w:b/>
          <w:bCs/>
          <w:spacing w:val="12"/>
        </w:rPr>
        <w:t>第一百零五条执行职务的医疗卫生人员瞒报、缓报、谎报传染病</w:t>
      </w:r>
      <w:r>
        <w:rPr>
          <w:rFonts w:ascii="FangSong" w:hAnsi="FangSong" w:eastAsia="FangSong" w:cs="FangSong"/>
          <w:sz w:val="31"/>
          <w:szCs w:val="31"/>
          <w:b/>
          <w:bCs/>
          <w:spacing w:val="11"/>
        </w:rPr>
        <w:t>疫情的</w:t>
      </w:r>
    </w:p>
    <w:p>
      <w:pPr>
        <w:ind w:left="685"/>
        <w:spacing w:before="99" w:line="222" w:lineRule="auto"/>
        <w:rPr>
          <w:rFonts w:ascii="FangSong" w:hAnsi="FangSong" w:eastAsia="FangSong" w:cs="FangSong"/>
          <w:sz w:val="31"/>
          <w:szCs w:val="31"/>
        </w:rPr>
      </w:pPr>
      <w:r>
        <w:rPr>
          <w:rFonts w:ascii="FangSong" w:hAnsi="FangSong" w:eastAsia="FangSong" w:cs="FangSong"/>
          <w:sz w:val="31"/>
          <w:szCs w:val="31"/>
          <w:spacing w:val="-6"/>
        </w:rPr>
        <w:t>法律依据：</w:t>
      </w:r>
    </w:p>
    <w:p>
      <w:pPr>
        <w:ind w:left="55" w:firstLine="614"/>
        <w:spacing w:before="44" w:line="264" w:lineRule="auto"/>
        <w:jc w:val="both"/>
        <w:rPr>
          <w:rFonts w:ascii="FangSong" w:hAnsi="FangSong" w:eastAsia="FangSong" w:cs="FangSong"/>
          <w:sz w:val="31"/>
          <w:szCs w:val="31"/>
        </w:rPr>
      </w:pPr>
      <w:r>
        <w:rPr>
          <w:rFonts w:ascii="FangSong" w:hAnsi="FangSong" w:eastAsia="FangSong" w:cs="FangSong"/>
          <w:sz w:val="31"/>
          <w:szCs w:val="31"/>
          <w:spacing w:val="7"/>
        </w:rPr>
        <w:t>《突发公共卫生事件与传染病疫情监测信息报告管理办法》第</w:t>
      </w:r>
      <w:r>
        <w:rPr>
          <w:rFonts w:ascii="FangSong" w:hAnsi="FangSong" w:eastAsia="FangSong" w:cs="FangSong"/>
          <w:sz w:val="31"/>
          <w:szCs w:val="31"/>
          <w:spacing w:val="6"/>
        </w:rPr>
        <w:t>四十条第一款</w:t>
      </w:r>
      <w:r>
        <w:rPr>
          <w:rFonts w:ascii="FangSong" w:hAnsi="FangSong" w:eastAsia="FangSong" w:cs="FangSong"/>
          <w:sz w:val="31"/>
          <w:szCs w:val="31"/>
          <w:spacing w:val="6"/>
        </w:rPr>
        <w:t xml:space="preserve">  </w:t>
      </w:r>
      <w:r>
        <w:rPr>
          <w:rFonts w:ascii="FangSong" w:hAnsi="FangSong" w:eastAsia="FangSong" w:cs="FangSong"/>
          <w:sz w:val="31"/>
          <w:szCs w:val="31"/>
          <w:spacing w:val="6"/>
        </w:rPr>
        <w:t>执行职务的医疗卫</w:t>
      </w:r>
      <w:r>
        <w:rPr>
          <w:rFonts w:ascii="FangSong" w:hAnsi="FangSong" w:eastAsia="FangSong" w:cs="FangSong"/>
          <w:sz w:val="31"/>
          <w:szCs w:val="31"/>
        </w:rPr>
        <w:t xml:space="preserve"> </w:t>
      </w:r>
      <w:r>
        <w:rPr>
          <w:rFonts w:ascii="FangSong" w:hAnsi="FangSong" w:eastAsia="FangSong" w:cs="FangSong"/>
          <w:sz w:val="31"/>
          <w:szCs w:val="31"/>
          <w:spacing w:val="6"/>
        </w:rPr>
        <w:t>生人员瞒报、缓报、谎报传染病疫情的，由县级以上卫生行政部门给予警告，情节严重的，责令暂停</w:t>
      </w:r>
      <w:r>
        <w:rPr>
          <w:rFonts w:ascii="FangSong" w:hAnsi="FangSong" w:eastAsia="FangSong" w:cs="FangSong"/>
          <w:sz w:val="31"/>
          <w:szCs w:val="31"/>
          <w:spacing w:val="16"/>
        </w:rPr>
        <w:t xml:space="preserve"> </w:t>
      </w:r>
      <w:r>
        <w:rPr>
          <w:rFonts w:ascii="FangSong" w:hAnsi="FangSong" w:eastAsia="FangSong" w:cs="FangSong"/>
          <w:sz w:val="31"/>
          <w:szCs w:val="31"/>
          <w:spacing w:val="7"/>
        </w:rPr>
        <w:t>六个月以上一年以下执业活动，或者吊销其执业证书。</w:t>
      </w:r>
    </w:p>
    <w:p>
      <w:pPr>
        <w:ind w:left="6739"/>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84"/>
        <w:gridCol w:w="7265"/>
        <w:gridCol w:w="5211"/>
      </w:tblGrid>
      <w:tr>
        <w:trPr>
          <w:trHeight w:val="912" w:hRule="atLeast"/>
        </w:trPr>
        <w:tc>
          <w:tcPr>
            <w:tcW w:w="1484" w:type="dxa"/>
            <w:vAlign w:val="top"/>
          </w:tcPr>
          <w:p>
            <w:pPr>
              <w:spacing w:line="262" w:lineRule="auto"/>
              <w:rPr>
                <w:rFonts w:ascii="Arial"/>
                <w:sz w:val="21"/>
              </w:rPr>
            </w:pPr>
            <w:r/>
          </w:p>
          <w:p>
            <w:pPr>
              <w:pStyle w:val="TableText"/>
              <w:ind w:left="258"/>
              <w:spacing w:before="78" w:line="220" w:lineRule="auto"/>
              <w:rPr/>
            </w:pPr>
            <w:r>
              <w:rPr>
                <w:b/>
                <w:bCs/>
                <w:spacing w:val="-5"/>
              </w:rPr>
              <w:t>违法程度</w:t>
            </w:r>
          </w:p>
        </w:tc>
        <w:tc>
          <w:tcPr>
            <w:tcW w:w="7265" w:type="dxa"/>
            <w:vAlign w:val="top"/>
          </w:tcPr>
          <w:p>
            <w:pPr>
              <w:spacing w:line="262" w:lineRule="auto"/>
              <w:rPr>
                <w:rFonts w:ascii="Arial"/>
                <w:sz w:val="21"/>
              </w:rPr>
            </w:pPr>
            <w:r/>
          </w:p>
          <w:p>
            <w:pPr>
              <w:pStyle w:val="TableText"/>
              <w:ind w:left="3074"/>
              <w:spacing w:before="78" w:line="220" w:lineRule="auto"/>
              <w:rPr/>
            </w:pPr>
            <w:r>
              <w:rPr>
                <w:b/>
                <w:bCs/>
                <w:spacing w:val="-5"/>
              </w:rPr>
              <w:t>情节后果</w:t>
            </w:r>
          </w:p>
        </w:tc>
        <w:tc>
          <w:tcPr>
            <w:tcW w:w="5211" w:type="dxa"/>
            <w:vAlign w:val="top"/>
          </w:tcPr>
          <w:p>
            <w:pPr>
              <w:spacing w:line="259" w:lineRule="auto"/>
              <w:rPr>
                <w:rFonts w:ascii="Arial"/>
                <w:sz w:val="21"/>
              </w:rPr>
            </w:pPr>
            <w:r/>
          </w:p>
          <w:p>
            <w:pPr>
              <w:pStyle w:val="TableText"/>
              <w:ind w:left="2029"/>
              <w:spacing w:before="78" w:line="218" w:lineRule="auto"/>
              <w:rPr/>
            </w:pPr>
            <w:r>
              <w:rPr>
                <w:b/>
                <w:bCs/>
                <w:spacing w:val="-5"/>
              </w:rPr>
              <w:t>裁量幅度</w:t>
            </w:r>
          </w:p>
        </w:tc>
      </w:tr>
      <w:tr>
        <w:trPr>
          <w:trHeight w:val="778" w:hRule="atLeast"/>
        </w:trPr>
        <w:tc>
          <w:tcPr>
            <w:tcW w:w="1484" w:type="dxa"/>
            <w:vAlign w:val="top"/>
          </w:tcPr>
          <w:p>
            <w:pPr>
              <w:pStyle w:val="TableText"/>
              <w:ind w:left="498"/>
              <w:spacing w:before="270" w:line="221" w:lineRule="auto"/>
              <w:rPr/>
            </w:pPr>
            <w:r>
              <w:rPr>
                <w:b/>
                <w:bCs/>
                <w:spacing w:val="-10"/>
              </w:rPr>
              <w:t>一般</w:t>
            </w:r>
          </w:p>
        </w:tc>
        <w:tc>
          <w:tcPr>
            <w:tcW w:w="7265" w:type="dxa"/>
            <w:vAlign w:val="top"/>
          </w:tcPr>
          <w:p>
            <w:pPr>
              <w:pStyle w:val="TableText"/>
              <w:ind w:left="101"/>
              <w:spacing w:before="271" w:line="219" w:lineRule="auto"/>
              <w:rPr/>
            </w:pPr>
            <w:r>
              <w:rPr/>
              <w:t>瞒报、缓报、谎报传染病疫情，尚未造成不良社会后果。</w:t>
            </w:r>
          </w:p>
        </w:tc>
        <w:tc>
          <w:tcPr>
            <w:tcW w:w="5211" w:type="dxa"/>
            <w:vAlign w:val="top"/>
          </w:tcPr>
          <w:p>
            <w:pPr>
              <w:pStyle w:val="TableText"/>
              <w:ind w:left="96"/>
              <w:spacing w:before="270" w:line="218" w:lineRule="auto"/>
              <w:rPr/>
            </w:pPr>
            <w:r>
              <w:rPr/>
              <w:t>给予警告。</w:t>
            </w:r>
          </w:p>
        </w:tc>
      </w:tr>
      <w:tr>
        <w:trPr>
          <w:trHeight w:val="748" w:hRule="atLeast"/>
        </w:trPr>
        <w:tc>
          <w:tcPr>
            <w:tcW w:w="1484"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498"/>
              <w:spacing w:before="78" w:line="220" w:lineRule="auto"/>
              <w:rPr/>
            </w:pPr>
            <w:r>
              <w:rPr>
                <w:b/>
                <w:bCs/>
                <w:spacing w:val="-6"/>
              </w:rPr>
              <w:t>严重</w:t>
            </w:r>
          </w:p>
        </w:tc>
        <w:tc>
          <w:tcPr>
            <w:tcW w:w="7265" w:type="dxa"/>
            <w:vAlign w:val="top"/>
          </w:tcPr>
          <w:p>
            <w:pPr>
              <w:pStyle w:val="TableText"/>
              <w:ind w:left="101"/>
              <w:spacing w:before="263" w:line="219" w:lineRule="auto"/>
              <w:rPr/>
            </w:pPr>
            <w:r>
              <w:rPr>
                <w:spacing w:val="5"/>
              </w:rPr>
              <w:t>瞒报、缓报、谎报传染病疫情，造成丙类传染病传播；</w:t>
            </w:r>
          </w:p>
        </w:tc>
        <w:tc>
          <w:tcPr>
            <w:tcW w:w="5211" w:type="dxa"/>
            <w:vAlign w:val="top"/>
          </w:tcPr>
          <w:p>
            <w:pPr>
              <w:pStyle w:val="TableText"/>
              <w:ind w:left="96"/>
              <w:spacing w:before="263" w:line="219" w:lineRule="auto"/>
              <w:rPr/>
            </w:pPr>
            <w:r>
              <w:rPr>
                <w:spacing w:val="6"/>
              </w:rPr>
              <w:t>责令暂停六个月以上九个月以下执业活动；</w:t>
            </w:r>
          </w:p>
        </w:tc>
      </w:tr>
      <w:tr>
        <w:trPr>
          <w:trHeight w:val="778" w:hRule="atLeast"/>
        </w:trPr>
        <w:tc>
          <w:tcPr>
            <w:tcW w:w="1484" w:type="dxa"/>
            <w:vAlign w:val="top"/>
            <w:vMerge w:val="continue"/>
            <w:tcBorders>
              <w:top w:val="nil"/>
              <w:bottom w:val="nil"/>
            </w:tcBorders>
          </w:tcPr>
          <w:p>
            <w:pPr>
              <w:rPr>
                <w:rFonts w:ascii="Arial"/>
                <w:sz w:val="21"/>
              </w:rPr>
            </w:pPr>
            <w:r/>
          </w:p>
        </w:tc>
        <w:tc>
          <w:tcPr>
            <w:tcW w:w="7265" w:type="dxa"/>
            <w:vAlign w:val="top"/>
          </w:tcPr>
          <w:p>
            <w:pPr>
              <w:pStyle w:val="TableText"/>
              <w:ind w:left="104"/>
              <w:spacing w:before="271" w:line="219" w:lineRule="auto"/>
              <w:rPr/>
            </w:pPr>
            <w:r>
              <w:rPr>
                <w:b/>
                <w:bCs/>
                <w:spacing w:val="2"/>
              </w:rPr>
              <w:t>瞒报、缓报、谎报传染病疫情，造成乙类传染病传播；</w:t>
            </w:r>
          </w:p>
        </w:tc>
        <w:tc>
          <w:tcPr>
            <w:tcW w:w="5211" w:type="dxa"/>
            <w:vAlign w:val="top"/>
          </w:tcPr>
          <w:p>
            <w:pPr>
              <w:pStyle w:val="TableText"/>
              <w:ind w:left="96"/>
              <w:spacing w:before="275" w:line="219" w:lineRule="auto"/>
              <w:rPr/>
            </w:pPr>
            <w:r>
              <w:rPr>
                <w:spacing w:val="6"/>
              </w:rPr>
              <w:t>责令暂停九个月以上十二个月以下执业活动；</w:t>
            </w:r>
          </w:p>
        </w:tc>
      </w:tr>
      <w:tr>
        <w:trPr>
          <w:trHeight w:val="783" w:hRule="atLeast"/>
        </w:trPr>
        <w:tc>
          <w:tcPr>
            <w:tcW w:w="1484" w:type="dxa"/>
            <w:vAlign w:val="top"/>
            <w:vMerge w:val="continue"/>
            <w:tcBorders>
              <w:top w:val="nil"/>
            </w:tcBorders>
          </w:tcPr>
          <w:p>
            <w:pPr>
              <w:rPr>
                <w:rFonts w:ascii="Arial"/>
                <w:sz w:val="21"/>
              </w:rPr>
            </w:pPr>
            <w:r/>
          </w:p>
        </w:tc>
        <w:tc>
          <w:tcPr>
            <w:tcW w:w="7265" w:type="dxa"/>
            <w:vAlign w:val="top"/>
          </w:tcPr>
          <w:p>
            <w:pPr>
              <w:spacing w:line="254" w:lineRule="auto"/>
              <w:rPr>
                <w:rFonts w:ascii="Arial"/>
                <w:sz w:val="21"/>
              </w:rPr>
            </w:pPr>
            <w:r/>
          </w:p>
          <w:p>
            <w:pPr>
              <w:pStyle w:val="TableText"/>
              <w:ind w:left="104"/>
              <w:spacing w:before="78" w:line="219" w:lineRule="auto"/>
              <w:rPr/>
            </w:pPr>
            <w:r>
              <w:rPr>
                <w:b/>
                <w:bCs/>
                <w:spacing w:val="-3"/>
              </w:rPr>
              <w:t>瞒报、缓报、谎报传染病疫情，造成甲类传染病传播。</w:t>
            </w:r>
          </w:p>
        </w:tc>
        <w:tc>
          <w:tcPr>
            <w:tcW w:w="5211" w:type="dxa"/>
            <w:vAlign w:val="top"/>
          </w:tcPr>
          <w:p>
            <w:pPr>
              <w:spacing w:line="257" w:lineRule="auto"/>
              <w:rPr>
                <w:rFonts w:ascii="Arial"/>
                <w:sz w:val="21"/>
              </w:rPr>
            </w:pPr>
            <w:r/>
          </w:p>
          <w:p>
            <w:pPr>
              <w:pStyle w:val="TableText"/>
              <w:ind w:left="96"/>
              <w:spacing w:before="78" w:line="219" w:lineRule="auto"/>
              <w:rPr/>
            </w:pPr>
            <w:r>
              <w:rPr/>
              <w:t>吊销执业证书。</w:t>
            </w:r>
          </w:p>
        </w:tc>
      </w:tr>
    </w:tbl>
    <w:p>
      <w:pPr>
        <w:pStyle w:val="BodyText"/>
        <w:rPr/>
      </w:pPr>
      <w:r/>
    </w:p>
    <w:p>
      <w:pPr>
        <w:sectPr>
          <w:footerReference w:type="default" r:id="rId182"/>
          <w:pgSz w:w="16830" w:h="11900"/>
          <w:pgMar w:top="1011" w:right="1458" w:bottom="1118" w:left="1394" w:header="0" w:footer="785" w:gutter="0"/>
        </w:sectPr>
        <w:rPr/>
      </w:pPr>
    </w:p>
    <w:p>
      <w:pPr>
        <w:pStyle w:val="BodyText"/>
        <w:spacing w:line="267" w:lineRule="auto"/>
        <w:rPr/>
      </w:pPr>
      <w:r/>
    </w:p>
    <w:p>
      <w:pPr>
        <w:pStyle w:val="BodyText"/>
        <w:spacing w:line="267" w:lineRule="auto"/>
        <w:rPr/>
      </w:pPr>
      <w:r/>
    </w:p>
    <w:p>
      <w:pPr>
        <w:pStyle w:val="BodyText"/>
        <w:spacing w:line="267" w:lineRule="auto"/>
        <w:rPr/>
      </w:pPr>
      <w:r/>
    </w:p>
    <w:p>
      <w:pPr>
        <w:ind w:left="689"/>
        <w:spacing w:before="94" w:line="220" w:lineRule="auto"/>
        <w:outlineLvl w:val="1"/>
        <w:rPr>
          <w:rFonts w:ascii="FangSong" w:hAnsi="FangSong" w:eastAsia="FangSong" w:cs="FangSong"/>
          <w:sz w:val="29"/>
          <w:szCs w:val="29"/>
        </w:rPr>
      </w:pPr>
      <w:bookmarkStart w:name="bookmark839" w:id="164"/>
      <w:bookmarkEnd w:id="164"/>
      <w:bookmarkStart w:name="bookmark186" w:id="165"/>
      <w:bookmarkEnd w:id="165"/>
      <w:r>
        <w:rPr>
          <w:rFonts w:ascii="FangSong" w:hAnsi="FangSong" w:eastAsia="FangSong" w:cs="FangSong"/>
          <w:sz w:val="29"/>
          <w:szCs w:val="29"/>
          <w:b/>
          <w:bCs/>
          <w:spacing w:val="31"/>
        </w:rPr>
        <w:t>第一百零六条个体或私营医疗保健机构瞒报、缓报、谎报传染病疫情或突发公共卫生事件的</w:t>
      </w:r>
    </w:p>
    <w:p>
      <w:pPr>
        <w:ind w:left="684"/>
        <w:spacing w:before="102" w:line="222" w:lineRule="auto"/>
        <w:rPr>
          <w:rFonts w:ascii="FangSong" w:hAnsi="FangSong" w:eastAsia="FangSong" w:cs="FangSong"/>
          <w:sz w:val="29"/>
          <w:szCs w:val="29"/>
        </w:rPr>
      </w:pPr>
      <w:r>
        <w:rPr>
          <w:rFonts w:ascii="FangSong" w:hAnsi="FangSong" w:eastAsia="FangSong" w:cs="FangSong"/>
          <w:sz w:val="29"/>
          <w:szCs w:val="29"/>
          <w:spacing w:val="9"/>
        </w:rPr>
        <w:t>法律依据：</w:t>
      </w:r>
    </w:p>
    <w:p>
      <w:pPr>
        <w:ind w:left="34" w:right="6" w:firstLine="635"/>
        <w:spacing w:before="86" w:line="278" w:lineRule="auto"/>
        <w:jc w:val="both"/>
        <w:rPr>
          <w:rFonts w:ascii="FangSong" w:hAnsi="FangSong" w:eastAsia="FangSong" w:cs="FangSong"/>
          <w:sz w:val="29"/>
          <w:szCs w:val="29"/>
        </w:rPr>
      </w:pPr>
      <w:r>
        <w:rPr>
          <w:rFonts w:ascii="FangSong" w:hAnsi="FangSong" w:eastAsia="FangSong" w:cs="FangSong"/>
          <w:sz w:val="29"/>
          <w:szCs w:val="29"/>
          <w:spacing w:val="27"/>
        </w:rPr>
        <w:t>《突发公共卫生事件与传染病疫情监测信息报告管理办法》第四十一条</w:t>
      </w:r>
      <w:r>
        <w:rPr>
          <w:rFonts w:ascii="FangSong" w:hAnsi="FangSong" w:eastAsia="FangSong" w:cs="FangSong"/>
          <w:sz w:val="29"/>
          <w:szCs w:val="29"/>
          <w:spacing w:val="160"/>
        </w:rPr>
        <w:t xml:space="preserve"> </w:t>
      </w:r>
      <w:r>
        <w:rPr>
          <w:rFonts w:ascii="FangSong" w:hAnsi="FangSong" w:eastAsia="FangSong" w:cs="FangSong"/>
          <w:sz w:val="29"/>
          <w:szCs w:val="29"/>
          <w:spacing w:val="27"/>
        </w:rPr>
        <w:t>个体或私营医疗保健机</w:t>
      </w:r>
      <w:r>
        <w:rPr>
          <w:rFonts w:ascii="FangSong" w:hAnsi="FangSong" w:eastAsia="FangSong" w:cs="FangSong"/>
          <w:sz w:val="29"/>
          <w:szCs w:val="29"/>
        </w:rPr>
        <w:t xml:space="preserve"> </w:t>
      </w:r>
      <w:r>
        <w:rPr>
          <w:rFonts w:ascii="FangSong" w:hAnsi="FangSong" w:eastAsia="FangSong" w:cs="FangSong"/>
          <w:sz w:val="29"/>
          <w:szCs w:val="29"/>
          <w:spacing w:val="26"/>
        </w:rPr>
        <w:t>构瞒报、缓报、谎报传染病疫情或突发公共卫生事件的，由县级以上卫生行政部门责令限期改正，可</w:t>
      </w:r>
      <w:r>
        <w:rPr>
          <w:rFonts w:ascii="FangSong" w:hAnsi="FangSong" w:eastAsia="FangSong" w:cs="FangSong"/>
          <w:sz w:val="29"/>
          <w:szCs w:val="29"/>
          <w:spacing w:val="6"/>
        </w:rPr>
        <w:t xml:space="preserve"> </w:t>
      </w:r>
      <w:r>
        <w:rPr>
          <w:rFonts w:ascii="FangSong" w:hAnsi="FangSong" w:eastAsia="FangSong" w:cs="FangSong"/>
          <w:sz w:val="29"/>
          <w:szCs w:val="29"/>
          <w:spacing w:val="31"/>
        </w:rPr>
        <w:t>以处100元以上500元以下罚款；对造成突发公共卫生事件和传染病传播流行的，责令停业整改，并</w:t>
      </w:r>
      <w:r>
        <w:rPr>
          <w:rFonts w:ascii="FangSong" w:hAnsi="FangSong" w:eastAsia="FangSong" w:cs="FangSong"/>
          <w:sz w:val="29"/>
          <w:szCs w:val="29"/>
          <w:spacing w:val="11"/>
        </w:rPr>
        <w:t xml:space="preserve"> </w:t>
      </w:r>
      <w:r>
        <w:rPr>
          <w:rFonts w:ascii="FangSong" w:hAnsi="FangSong" w:eastAsia="FangSong" w:cs="FangSong"/>
          <w:sz w:val="29"/>
          <w:szCs w:val="29"/>
          <w:spacing w:val="35"/>
        </w:rPr>
        <w:t>可以处200元以上2000元以下罚款，触犯刑律的，对其经营者、主管人员和直接责任人移交司法机</w:t>
      </w:r>
      <w:r>
        <w:rPr>
          <w:rFonts w:ascii="FangSong" w:hAnsi="FangSong" w:eastAsia="FangSong" w:cs="FangSong"/>
          <w:sz w:val="29"/>
          <w:szCs w:val="29"/>
          <w:spacing w:val="1"/>
        </w:rPr>
        <w:t xml:space="preserve"> </w:t>
      </w:r>
      <w:r>
        <w:rPr>
          <w:rFonts w:ascii="FangSong" w:hAnsi="FangSong" w:eastAsia="FangSong" w:cs="FangSong"/>
          <w:sz w:val="29"/>
          <w:szCs w:val="29"/>
          <w:spacing w:val="20"/>
        </w:rPr>
        <w:t>关追究刑事责任。</w:t>
      </w:r>
    </w:p>
    <w:p>
      <w:pPr>
        <w:ind w:left="6729"/>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83"/>
        <w:gridCol w:w="5775"/>
        <w:gridCol w:w="5411"/>
      </w:tblGrid>
      <w:tr>
        <w:trPr>
          <w:trHeight w:val="852" w:hRule="atLeast"/>
        </w:trPr>
        <w:tc>
          <w:tcPr>
            <w:tcW w:w="2783" w:type="dxa"/>
            <w:vAlign w:val="top"/>
          </w:tcPr>
          <w:p>
            <w:pPr>
              <w:pStyle w:val="TableText"/>
              <w:ind w:left="888"/>
              <w:spacing w:before="302" w:line="220" w:lineRule="auto"/>
              <w:rPr>
                <w:sz w:val="25"/>
                <w:szCs w:val="25"/>
              </w:rPr>
            </w:pPr>
            <w:r>
              <w:rPr>
                <w:sz w:val="25"/>
                <w:szCs w:val="25"/>
                <w:b/>
                <w:bCs/>
                <w:spacing w:val="-5"/>
              </w:rPr>
              <w:t>违法程度</w:t>
            </w:r>
          </w:p>
        </w:tc>
        <w:tc>
          <w:tcPr>
            <w:tcW w:w="5775" w:type="dxa"/>
            <w:vAlign w:val="top"/>
          </w:tcPr>
          <w:p>
            <w:pPr>
              <w:pStyle w:val="TableText"/>
              <w:ind w:left="2315"/>
              <w:spacing w:before="302" w:line="220" w:lineRule="auto"/>
              <w:rPr>
                <w:sz w:val="25"/>
                <w:szCs w:val="25"/>
              </w:rPr>
            </w:pPr>
            <w:r>
              <w:rPr>
                <w:sz w:val="25"/>
                <w:szCs w:val="25"/>
                <w:b/>
                <w:bCs/>
                <w:spacing w:val="-5"/>
              </w:rPr>
              <w:t>情节后果</w:t>
            </w:r>
          </w:p>
        </w:tc>
        <w:tc>
          <w:tcPr>
            <w:tcW w:w="5411" w:type="dxa"/>
            <w:vAlign w:val="top"/>
          </w:tcPr>
          <w:p>
            <w:pPr>
              <w:pStyle w:val="TableText"/>
              <w:ind w:left="2130"/>
              <w:spacing w:before="299" w:line="218" w:lineRule="auto"/>
              <w:rPr>
                <w:sz w:val="25"/>
                <w:szCs w:val="25"/>
              </w:rPr>
            </w:pPr>
            <w:r>
              <w:rPr>
                <w:sz w:val="25"/>
                <w:szCs w:val="25"/>
                <w:b/>
                <w:bCs/>
                <w:spacing w:val="-5"/>
              </w:rPr>
              <w:t>裁量幅度</w:t>
            </w:r>
          </w:p>
        </w:tc>
      </w:tr>
      <w:tr>
        <w:trPr>
          <w:trHeight w:val="1146" w:hRule="atLeast"/>
        </w:trPr>
        <w:tc>
          <w:tcPr>
            <w:tcW w:w="2783" w:type="dxa"/>
            <w:vAlign w:val="top"/>
          </w:tcPr>
          <w:p>
            <w:pPr>
              <w:spacing w:line="367" w:lineRule="auto"/>
              <w:rPr>
                <w:rFonts w:ascii="Arial"/>
                <w:sz w:val="21"/>
              </w:rPr>
            </w:pPr>
            <w:r/>
          </w:p>
          <w:p>
            <w:pPr>
              <w:pStyle w:val="TableText"/>
              <w:ind w:left="1138"/>
              <w:spacing w:before="81" w:line="221" w:lineRule="auto"/>
              <w:rPr>
                <w:sz w:val="25"/>
                <w:szCs w:val="25"/>
              </w:rPr>
            </w:pPr>
            <w:r>
              <w:rPr>
                <w:sz w:val="25"/>
                <w:szCs w:val="25"/>
                <w:b/>
                <w:bCs/>
                <w:spacing w:val="-10"/>
              </w:rPr>
              <w:t>一般</w:t>
            </w:r>
          </w:p>
        </w:tc>
        <w:tc>
          <w:tcPr>
            <w:tcW w:w="5775" w:type="dxa"/>
            <w:vAlign w:val="top"/>
          </w:tcPr>
          <w:p>
            <w:pPr>
              <w:pStyle w:val="TableText"/>
              <w:ind w:left="121"/>
              <w:spacing w:before="272" w:line="319" w:lineRule="auto"/>
              <w:rPr>
                <w:sz w:val="25"/>
                <w:szCs w:val="25"/>
              </w:rPr>
            </w:pPr>
            <w:r>
              <w:rPr>
                <w:sz w:val="25"/>
                <w:szCs w:val="25"/>
                <w:spacing w:val="-5"/>
              </w:rPr>
              <w:t>瞒报、缓报、谎报传染病疫情或突发公共卫生事件，</w:t>
            </w:r>
            <w:r>
              <w:rPr>
                <w:sz w:val="25"/>
                <w:szCs w:val="25"/>
                <w:spacing w:val="7"/>
              </w:rPr>
              <w:t xml:space="preserve"> </w:t>
            </w:r>
            <w:r>
              <w:rPr>
                <w:sz w:val="25"/>
                <w:szCs w:val="25"/>
                <w:spacing w:val="-4"/>
              </w:rPr>
              <w:t>尚未造成不良社会后果。</w:t>
            </w:r>
          </w:p>
        </w:tc>
        <w:tc>
          <w:tcPr>
            <w:tcW w:w="5411" w:type="dxa"/>
            <w:vAlign w:val="top"/>
          </w:tcPr>
          <w:p>
            <w:pPr>
              <w:spacing w:line="370" w:lineRule="auto"/>
              <w:rPr>
                <w:rFonts w:ascii="Arial"/>
                <w:sz w:val="21"/>
              </w:rPr>
            </w:pPr>
            <w:r/>
          </w:p>
          <w:p>
            <w:pPr>
              <w:pStyle w:val="TableText"/>
              <w:ind w:left="116"/>
              <w:spacing w:before="81" w:line="220" w:lineRule="auto"/>
              <w:rPr>
                <w:sz w:val="25"/>
                <w:szCs w:val="25"/>
              </w:rPr>
            </w:pPr>
            <w:r>
              <w:rPr>
                <w:sz w:val="25"/>
                <w:szCs w:val="25"/>
              </w:rPr>
              <w:t>处100元以上500元以下罚款。</w:t>
            </w:r>
          </w:p>
        </w:tc>
      </w:tr>
      <w:tr>
        <w:trPr>
          <w:trHeight w:val="1142" w:hRule="atLeast"/>
        </w:trPr>
        <w:tc>
          <w:tcPr>
            <w:tcW w:w="2783" w:type="dxa"/>
            <w:vAlign w:val="top"/>
          </w:tcPr>
          <w:p>
            <w:pPr>
              <w:spacing w:line="370" w:lineRule="auto"/>
              <w:rPr>
                <w:rFonts w:ascii="Arial"/>
                <w:sz w:val="21"/>
              </w:rPr>
            </w:pPr>
            <w:r/>
          </w:p>
          <w:p>
            <w:pPr>
              <w:pStyle w:val="TableText"/>
              <w:ind w:left="1138"/>
              <w:spacing w:before="82" w:line="220" w:lineRule="auto"/>
              <w:rPr>
                <w:sz w:val="25"/>
                <w:szCs w:val="25"/>
              </w:rPr>
            </w:pPr>
            <w:r>
              <w:rPr>
                <w:sz w:val="25"/>
                <w:szCs w:val="25"/>
                <w:b/>
                <w:bCs/>
                <w:spacing w:val="-6"/>
              </w:rPr>
              <w:t>严重</w:t>
            </w:r>
          </w:p>
        </w:tc>
        <w:tc>
          <w:tcPr>
            <w:tcW w:w="5775" w:type="dxa"/>
            <w:vAlign w:val="top"/>
          </w:tcPr>
          <w:p>
            <w:pPr>
              <w:pStyle w:val="TableText"/>
              <w:ind w:left="121"/>
              <w:spacing w:before="286" w:line="312" w:lineRule="auto"/>
              <w:rPr>
                <w:sz w:val="25"/>
                <w:szCs w:val="25"/>
              </w:rPr>
            </w:pPr>
            <w:r>
              <w:rPr>
                <w:sz w:val="25"/>
                <w:szCs w:val="25"/>
                <w:spacing w:val="-5"/>
              </w:rPr>
              <w:t>瞒报、缓报、谎报传染病疫情或突发公共卫生事件，</w:t>
            </w:r>
            <w:r>
              <w:rPr>
                <w:sz w:val="25"/>
                <w:szCs w:val="25"/>
                <w:spacing w:val="7"/>
              </w:rPr>
              <w:t xml:space="preserve"> </w:t>
            </w:r>
            <w:r>
              <w:rPr>
                <w:sz w:val="25"/>
                <w:szCs w:val="25"/>
                <w:spacing w:val="-5"/>
              </w:rPr>
              <w:t>造成突发公共卫生事件和传染病传播流行。</w:t>
            </w:r>
          </w:p>
        </w:tc>
        <w:tc>
          <w:tcPr>
            <w:tcW w:w="5411" w:type="dxa"/>
            <w:vAlign w:val="top"/>
          </w:tcPr>
          <w:p>
            <w:pPr>
              <w:spacing w:line="372" w:lineRule="auto"/>
              <w:rPr>
                <w:rFonts w:ascii="Arial"/>
                <w:sz w:val="21"/>
              </w:rPr>
            </w:pPr>
            <w:r/>
          </w:p>
          <w:p>
            <w:pPr>
              <w:pStyle w:val="TableText"/>
              <w:ind w:left="116"/>
              <w:spacing w:before="81" w:line="219" w:lineRule="auto"/>
              <w:rPr>
                <w:sz w:val="25"/>
                <w:szCs w:val="25"/>
              </w:rPr>
            </w:pPr>
            <w:r>
              <w:rPr>
                <w:sz w:val="25"/>
                <w:szCs w:val="25"/>
              </w:rPr>
              <w:t>责令停业整改，处200元以上2000元以下罚</w:t>
            </w:r>
            <w:r>
              <w:rPr>
                <w:sz w:val="25"/>
                <w:szCs w:val="25"/>
                <w:spacing w:val="-1"/>
              </w:rPr>
              <w:t>款。</w:t>
            </w:r>
          </w:p>
        </w:tc>
      </w:tr>
    </w:tbl>
    <w:p>
      <w:pPr>
        <w:pStyle w:val="BodyText"/>
        <w:rPr/>
      </w:pPr>
      <w:r/>
    </w:p>
    <w:p>
      <w:pPr>
        <w:sectPr>
          <w:footerReference w:type="default" r:id="rId183"/>
          <w:pgSz w:w="16830" w:h="11900"/>
          <w:pgMar w:top="1011" w:right="1445" w:bottom="1118" w:left="1405" w:header="0" w:footer="785" w:gutter="0"/>
        </w:sectPr>
        <w:rPr/>
      </w:pPr>
    </w:p>
    <w:p>
      <w:pPr>
        <w:pStyle w:val="BodyText"/>
        <w:spacing w:line="258" w:lineRule="auto"/>
        <w:rPr/>
      </w:pPr>
      <w:r/>
    </w:p>
    <w:p>
      <w:pPr>
        <w:pStyle w:val="BodyText"/>
        <w:spacing w:line="259" w:lineRule="auto"/>
        <w:rPr/>
      </w:pPr>
      <w:r/>
    </w:p>
    <w:p>
      <w:pPr>
        <w:pStyle w:val="BodyText"/>
        <w:spacing w:line="259" w:lineRule="auto"/>
        <w:rPr/>
      </w:pPr>
      <w:r/>
    </w:p>
    <w:p>
      <w:pPr>
        <w:ind w:left="789"/>
        <w:spacing w:before="98" w:line="223" w:lineRule="auto"/>
        <w:rPr>
          <w:rFonts w:ascii="KaiTi" w:hAnsi="KaiTi" w:eastAsia="KaiTi" w:cs="KaiTi"/>
          <w:sz w:val="30"/>
          <w:szCs w:val="30"/>
        </w:rPr>
      </w:pPr>
      <w:bookmarkStart w:name="bookmark840" w:id="166"/>
      <w:bookmarkEnd w:id="166"/>
      <w:r>
        <w:rPr>
          <w:rFonts w:ascii="KaiTi" w:hAnsi="KaiTi" w:eastAsia="KaiTi" w:cs="KaiTi"/>
          <w:sz w:val="30"/>
          <w:szCs w:val="30"/>
          <w:b/>
          <w:bCs/>
          <w:spacing w:val="25"/>
        </w:rPr>
        <w:t>(十二)《病原微生物实验室生物安全管理条例》</w:t>
      </w:r>
    </w:p>
    <w:p>
      <w:pPr>
        <w:pStyle w:val="BodyText"/>
        <w:spacing w:line="249" w:lineRule="auto"/>
        <w:rPr/>
      </w:pPr>
      <w:r/>
    </w:p>
    <w:p>
      <w:pPr>
        <w:ind w:left="19" w:right="126" w:firstLine="660"/>
        <w:spacing w:before="98" w:line="281" w:lineRule="auto"/>
        <w:rPr>
          <w:rFonts w:ascii="KaiTi" w:hAnsi="KaiTi" w:eastAsia="KaiTi" w:cs="KaiTi"/>
          <w:sz w:val="30"/>
          <w:szCs w:val="30"/>
        </w:rPr>
      </w:pPr>
      <w:r>
        <w:rPr>
          <w:rFonts w:ascii="KaiTi" w:hAnsi="KaiTi" w:eastAsia="KaiTi" w:cs="KaiTi"/>
          <w:sz w:val="30"/>
          <w:szCs w:val="30"/>
          <w:b/>
          <w:bCs/>
          <w:spacing w:val="21"/>
        </w:rPr>
        <w:t>第一百零七条三级、四级实验室未经批准从</w:t>
      </w:r>
      <w:r>
        <w:rPr>
          <w:rFonts w:ascii="KaiTi" w:hAnsi="KaiTi" w:eastAsia="KaiTi" w:cs="KaiTi"/>
          <w:sz w:val="30"/>
          <w:szCs w:val="30"/>
          <w:b/>
          <w:bCs/>
          <w:spacing w:val="20"/>
        </w:rPr>
        <w:t>事病原微生物目录规定的应当在三级、四级实验室</w:t>
      </w:r>
      <w:r>
        <w:rPr>
          <w:rFonts w:ascii="KaiTi" w:hAnsi="KaiTi" w:eastAsia="KaiTi" w:cs="KaiTi"/>
          <w:sz w:val="30"/>
          <w:szCs w:val="30"/>
        </w:rPr>
        <w:t xml:space="preserve"> </w:t>
      </w:r>
      <w:r>
        <w:rPr>
          <w:rFonts w:ascii="KaiTi" w:hAnsi="KaiTi" w:eastAsia="KaiTi" w:cs="KaiTi"/>
          <w:sz w:val="30"/>
          <w:szCs w:val="30"/>
          <w:b/>
          <w:bCs/>
          <w:spacing w:val="17"/>
        </w:rPr>
        <w:t>进行的高致病性病原微生物实验活动或者疑似高致病性病原微生物实验活动</w:t>
      </w:r>
    </w:p>
    <w:p>
      <w:pPr>
        <w:ind w:left="675"/>
        <w:spacing w:before="4"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14" w:firstLine="630"/>
        <w:spacing w:before="67" w:line="271" w:lineRule="auto"/>
        <w:jc w:val="both"/>
        <w:rPr>
          <w:rFonts w:ascii="FangSong" w:hAnsi="FangSong" w:eastAsia="FangSong" w:cs="FangSong"/>
          <w:sz w:val="30"/>
          <w:szCs w:val="30"/>
        </w:rPr>
      </w:pPr>
      <w:r>
        <w:rPr>
          <w:rFonts w:ascii="FangSong" w:hAnsi="FangSong" w:eastAsia="FangSong" w:cs="FangSong"/>
          <w:sz w:val="30"/>
          <w:szCs w:val="30"/>
          <w:spacing w:val="16"/>
        </w:rPr>
        <w:t>《病原微生物实验室生物安全管理条例》第五十六条</w:t>
      </w:r>
      <w:r>
        <w:rPr>
          <w:rFonts w:ascii="FangSong" w:hAnsi="FangSong" w:eastAsia="FangSong" w:cs="FangSong"/>
          <w:sz w:val="30"/>
          <w:szCs w:val="30"/>
          <w:spacing w:val="16"/>
        </w:rPr>
        <w:t xml:space="preserve">  </w:t>
      </w:r>
      <w:r>
        <w:rPr>
          <w:rFonts w:ascii="FangSong" w:hAnsi="FangSong" w:eastAsia="FangSong" w:cs="FangSong"/>
          <w:sz w:val="30"/>
          <w:szCs w:val="30"/>
          <w:spacing w:val="16"/>
        </w:rPr>
        <w:t>三级、四级实验室未经批准从事病原微生</w:t>
      </w:r>
      <w:r>
        <w:rPr>
          <w:rFonts w:ascii="FangSong" w:hAnsi="FangSong" w:eastAsia="FangSong" w:cs="FangSong"/>
          <w:sz w:val="30"/>
          <w:szCs w:val="30"/>
          <w:spacing w:val="15"/>
        </w:rPr>
        <w:t xml:space="preserve"> </w:t>
      </w:r>
      <w:r>
        <w:rPr>
          <w:rFonts w:ascii="FangSong" w:hAnsi="FangSong" w:eastAsia="FangSong" w:cs="FangSong"/>
          <w:sz w:val="30"/>
          <w:szCs w:val="30"/>
          <w:spacing w:val="16"/>
        </w:rPr>
        <w:t>物目录规定的应当在三级、四级实验室进行的高致病性病原微生物实验活动或者疑似高致病性病原微</w:t>
      </w:r>
      <w:r>
        <w:rPr>
          <w:rFonts w:ascii="FangSong" w:hAnsi="FangSong" w:eastAsia="FangSong" w:cs="FangSong"/>
          <w:sz w:val="30"/>
          <w:szCs w:val="30"/>
          <w:spacing w:val="9"/>
        </w:rPr>
        <w:t xml:space="preserve">  </w:t>
      </w:r>
      <w:r>
        <w:rPr>
          <w:rFonts w:ascii="FangSong" w:hAnsi="FangSong" w:eastAsia="FangSong" w:cs="FangSong"/>
          <w:sz w:val="30"/>
          <w:szCs w:val="30"/>
          <w:spacing w:val="17"/>
        </w:rPr>
        <w:t>生物实验活动的，由县级以上地方人民政府卫生主管部门、兽医主管部门依照各</w:t>
      </w:r>
      <w:r>
        <w:rPr>
          <w:rFonts w:ascii="FangSong" w:hAnsi="FangSong" w:eastAsia="FangSong" w:cs="FangSong"/>
          <w:sz w:val="30"/>
          <w:szCs w:val="30"/>
          <w:spacing w:val="16"/>
        </w:rPr>
        <w:t>自职责，责令停止有</w:t>
      </w:r>
      <w:r>
        <w:rPr>
          <w:rFonts w:ascii="FangSong" w:hAnsi="FangSong" w:eastAsia="FangSong" w:cs="FangSong"/>
          <w:sz w:val="30"/>
          <w:szCs w:val="30"/>
        </w:rPr>
        <w:t xml:space="preserve"> </w:t>
      </w:r>
      <w:r>
        <w:rPr>
          <w:rFonts w:ascii="FangSong" w:hAnsi="FangSong" w:eastAsia="FangSong" w:cs="FangSong"/>
          <w:sz w:val="30"/>
          <w:szCs w:val="30"/>
          <w:spacing w:val="13"/>
        </w:rPr>
        <w:t>关活动，监督其将用于实验活动的病原微生</w:t>
      </w:r>
      <w:r>
        <w:rPr>
          <w:rFonts w:ascii="FangSong" w:hAnsi="FangSong" w:eastAsia="FangSong" w:cs="FangSong"/>
          <w:sz w:val="30"/>
          <w:szCs w:val="30"/>
          <w:spacing w:val="12"/>
        </w:rPr>
        <w:t>物销毁或者送交保藏机构，并给予警告；造成传染病传播、</w:t>
      </w:r>
      <w:r>
        <w:rPr>
          <w:rFonts w:ascii="FangSong" w:hAnsi="FangSong" w:eastAsia="FangSong" w:cs="FangSong"/>
          <w:sz w:val="30"/>
          <w:szCs w:val="30"/>
        </w:rPr>
        <w:t xml:space="preserve"> </w:t>
      </w:r>
      <w:r>
        <w:rPr>
          <w:rFonts w:ascii="FangSong" w:hAnsi="FangSong" w:eastAsia="FangSong" w:cs="FangSong"/>
          <w:sz w:val="30"/>
          <w:szCs w:val="30"/>
          <w:spacing w:val="17"/>
        </w:rPr>
        <w:t>流行或者其他严重后果的，由实验室的设立单位对主要负责人、直接负责的主管人员和其他直接责任</w:t>
      </w:r>
      <w:r>
        <w:rPr>
          <w:rFonts w:ascii="FangSong" w:hAnsi="FangSong" w:eastAsia="FangSong" w:cs="FangSong"/>
          <w:sz w:val="30"/>
          <w:szCs w:val="30"/>
          <w:spacing w:val="4"/>
        </w:rPr>
        <w:t xml:space="preserve"> </w:t>
      </w:r>
      <w:r>
        <w:rPr>
          <w:rFonts w:ascii="FangSong" w:hAnsi="FangSong" w:eastAsia="FangSong" w:cs="FangSong"/>
          <w:sz w:val="30"/>
          <w:szCs w:val="30"/>
          <w:spacing w:val="18"/>
        </w:rPr>
        <w:t>人员，依法给予撤职、开除的处分；构成犯罪的</w:t>
      </w:r>
      <w:r>
        <w:rPr>
          <w:rFonts w:ascii="FangSong" w:hAnsi="FangSong" w:eastAsia="FangSong" w:cs="FangSong"/>
          <w:sz w:val="30"/>
          <w:szCs w:val="30"/>
          <w:spacing w:val="17"/>
        </w:rPr>
        <w:t>，依法追究刑事责任。</w:t>
      </w:r>
    </w:p>
    <w:p>
      <w:pPr>
        <w:ind w:left="6709"/>
        <w:spacing w:before="15" w:line="200" w:lineRule="auto"/>
        <w:rPr>
          <w:rFonts w:ascii="SimSun" w:hAnsi="SimSun" w:eastAsia="SimSun" w:cs="SimSun"/>
          <w:sz w:val="31"/>
          <w:szCs w:val="31"/>
        </w:rPr>
      </w:pPr>
      <w:r>
        <w:rPr>
          <w:rFonts w:ascii="SimSun" w:hAnsi="SimSun" w:eastAsia="SimSun" w:cs="SimSun"/>
          <w:sz w:val="31"/>
          <w:szCs w:val="31"/>
          <w:b/>
          <w:bCs/>
          <w:spacing w:val="-6"/>
        </w:rPr>
        <w:t>裁量标准</w:t>
      </w:r>
    </w:p>
    <w:tbl>
      <w:tblPr>
        <w:tblStyle w:val="TableNormal"/>
        <w:tblW w:w="13952"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04"/>
        <w:gridCol w:w="5476"/>
        <w:gridCol w:w="6772"/>
      </w:tblGrid>
      <w:tr>
        <w:trPr>
          <w:trHeight w:val="832" w:hRule="atLeast"/>
        </w:trPr>
        <w:tc>
          <w:tcPr>
            <w:tcW w:w="1704" w:type="dxa"/>
            <w:vAlign w:val="top"/>
          </w:tcPr>
          <w:p>
            <w:pPr>
              <w:pStyle w:val="TableText"/>
              <w:ind w:left="348"/>
              <w:spacing w:before="292" w:line="220" w:lineRule="auto"/>
              <w:rPr>
                <w:sz w:val="25"/>
                <w:szCs w:val="25"/>
              </w:rPr>
            </w:pPr>
            <w:r>
              <w:rPr>
                <w:sz w:val="25"/>
                <w:szCs w:val="25"/>
                <w:b/>
                <w:bCs/>
                <w:spacing w:val="-5"/>
              </w:rPr>
              <w:t>违法程度</w:t>
            </w:r>
          </w:p>
        </w:tc>
        <w:tc>
          <w:tcPr>
            <w:tcW w:w="5476" w:type="dxa"/>
            <w:vAlign w:val="top"/>
          </w:tcPr>
          <w:p>
            <w:pPr>
              <w:pStyle w:val="TableText"/>
              <w:ind w:left="2234"/>
              <w:spacing w:before="292" w:line="220" w:lineRule="auto"/>
              <w:rPr>
                <w:sz w:val="25"/>
                <w:szCs w:val="25"/>
              </w:rPr>
            </w:pPr>
            <w:r>
              <w:rPr>
                <w:sz w:val="25"/>
                <w:szCs w:val="25"/>
                <w:b/>
                <w:bCs/>
                <w:spacing w:val="-5"/>
              </w:rPr>
              <w:t>情节后果</w:t>
            </w:r>
          </w:p>
        </w:tc>
        <w:tc>
          <w:tcPr>
            <w:tcW w:w="6772" w:type="dxa"/>
            <w:vAlign w:val="top"/>
          </w:tcPr>
          <w:p>
            <w:pPr>
              <w:pStyle w:val="TableText"/>
              <w:ind w:left="2878"/>
              <w:spacing w:before="289" w:line="218" w:lineRule="auto"/>
              <w:rPr>
                <w:sz w:val="25"/>
                <w:szCs w:val="25"/>
              </w:rPr>
            </w:pPr>
            <w:r>
              <w:rPr>
                <w:sz w:val="25"/>
                <w:szCs w:val="25"/>
                <w:b/>
                <w:bCs/>
                <w:spacing w:val="-5"/>
              </w:rPr>
              <w:t>裁量幅度</w:t>
            </w:r>
          </w:p>
        </w:tc>
      </w:tr>
      <w:tr>
        <w:trPr>
          <w:trHeight w:val="1758" w:hRule="atLeast"/>
        </w:trPr>
        <w:tc>
          <w:tcPr>
            <w:tcW w:w="1704" w:type="dxa"/>
            <w:vAlign w:val="top"/>
          </w:tcPr>
          <w:p>
            <w:pPr>
              <w:spacing w:line="337" w:lineRule="auto"/>
              <w:rPr>
                <w:rFonts w:ascii="Arial"/>
                <w:sz w:val="21"/>
              </w:rPr>
            </w:pPr>
            <w:r/>
          </w:p>
          <w:p>
            <w:pPr>
              <w:spacing w:line="338" w:lineRule="auto"/>
              <w:rPr>
                <w:rFonts w:ascii="Arial"/>
                <w:sz w:val="21"/>
              </w:rPr>
            </w:pPr>
            <w:r/>
          </w:p>
          <w:p>
            <w:pPr>
              <w:pStyle w:val="TableText"/>
              <w:ind w:left="598"/>
              <w:spacing w:before="81" w:line="221" w:lineRule="auto"/>
              <w:rPr>
                <w:sz w:val="25"/>
                <w:szCs w:val="25"/>
              </w:rPr>
            </w:pPr>
            <w:r>
              <w:rPr>
                <w:sz w:val="25"/>
                <w:szCs w:val="25"/>
                <w:b/>
                <w:bCs/>
                <w:spacing w:val="-10"/>
              </w:rPr>
              <w:t>一般</w:t>
            </w:r>
          </w:p>
        </w:tc>
        <w:tc>
          <w:tcPr>
            <w:tcW w:w="5476" w:type="dxa"/>
            <w:vAlign w:val="top"/>
          </w:tcPr>
          <w:p>
            <w:pPr>
              <w:pStyle w:val="TableText"/>
              <w:ind w:left="14"/>
              <w:spacing w:before="150" w:line="295" w:lineRule="auto"/>
              <w:rPr>
                <w:sz w:val="25"/>
                <w:szCs w:val="25"/>
              </w:rPr>
            </w:pPr>
            <w:r>
              <w:rPr>
                <w:sz w:val="25"/>
                <w:szCs w:val="25"/>
                <w:b/>
                <w:bCs/>
                <w:spacing w:val="-6"/>
              </w:rPr>
              <w:t>三级、四级实验室未经批准从事病原微生物目录规</w:t>
            </w:r>
            <w:r>
              <w:rPr>
                <w:sz w:val="25"/>
                <w:szCs w:val="25"/>
                <w:spacing w:val="14"/>
              </w:rPr>
              <w:t xml:space="preserve"> </w:t>
            </w:r>
            <w:r>
              <w:rPr>
                <w:sz w:val="25"/>
                <w:szCs w:val="25"/>
                <w:b/>
                <w:bCs/>
                <w:spacing w:val="-5"/>
              </w:rPr>
              <w:t>定的应当在三级、四级实验室进行的高致病性病原</w:t>
            </w:r>
            <w:r>
              <w:rPr>
                <w:sz w:val="25"/>
                <w:szCs w:val="25"/>
                <w:spacing w:val="2"/>
              </w:rPr>
              <w:t xml:space="preserve"> </w:t>
            </w:r>
            <w:r>
              <w:rPr>
                <w:sz w:val="25"/>
                <w:szCs w:val="25"/>
                <w:b/>
                <w:bCs/>
              </w:rPr>
              <w:t>微生物实验活动或者疑似高致病性病原微生物实</w:t>
            </w:r>
            <w:r>
              <w:rPr>
                <w:sz w:val="25"/>
                <w:szCs w:val="25"/>
                <w:spacing w:val="6"/>
              </w:rPr>
              <w:t xml:space="preserve">  </w:t>
            </w:r>
            <w:r>
              <w:rPr>
                <w:sz w:val="25"/>
                <w:szCs w:val="25"/>
                <w:b/>
                <w:bCs/>
                <w:spacing w:val="16"/>
              </w:rPr>
              <w:t>验活动。</w:t>
            </w:r>
          </w:p>
        </w:tc>
        <w:tc>
          <w:tcPr>
            <w:tcW w:w="6772" w:type="dxa"/>
            <w:vAlign w:val="top"/>
          </w:tcPr>
          <w:p>
            <w:pPr>
              <w:spacing w:line="251" w:lineRule="auto"/>
              <w:rPr>
                <w:rFonts w:ascii="Arial"/>
                <w:sz w:val="21"/>
              </w:rPr>
            </w:pPr>
            <w:r/>
          </w:p>
          <w:p>
            <w:pPr>
              <w:spacing w:line="252" w:lineRule="auto"/>
              <w:rPr>
                <w:rFonts w:ascii="Arial"/>
                <w:sz w:val="21"/>
              </w:rPr>
            </w:pPr>
            <w:r/>
          </w:p>
          <w:p>
            <w:pPr>
              <w:pStyle w:val="TableText"/>
              <w:ind w:left="107" w:hanging="89"/>
              <w:spacing w:before="81" w:line="326" w:lineRule="auto"/>
              <w:rPr>
                <w:sz w:val="25"/>
                <w:szCs w:val="25"/>
              </w:rPr>
            </w:pPr>
            <w:r>
              <w:rPr>
                <w:sz w:val="25"/>
                <w:szCs w:val="25"/>
                <w:b/>
                <w:bCs/>
                <w:spacing w:val="-3"/>
              </w:rPr>
              <w:t>责令停止有关活动，监督其将用于实验活动的病原微生物销毁</w:t>
            </w:r>
            <w:r>
              <w:rPr>
                <w:sz w:val="25"/>
                <w:szCs w:val="25"/>
                <w:spacing w:val="2"/>
              </w:rPr>
              <w:t xml:space="preserve"> </w:t>
            </w:r>
            <w:r>
              <w:rPr>
                <w:sz w:val="25"/>
                <w:szCs w:val="25"/>
                <w:b/>
                <w:bCs/>
                <w:spacing w:val="-4"/>
              </w:rPr>
              <w:t>或者送交保藏机构，并给予警告。</w:t>
            </w:r>
          </w:p>
        </w:tc>
      </w:tr>
    </w:tbl>
    <w:p>
      <w:pPr>
        <w:ind w:left="679"/>
        <w:spacing w:before="103" w:line="219" w:lineRule="auto"/>
        <w:rPr>
          <w:rFonts w:ascii="SimSun" w:hAnsi="SimSun" w:eastAsia="SimSun" w:cs="SimSun"/>
          <w:sz w:val="31"/>
          <w:szCs w:val="31"/>
        </w:rPr>
      </w:pPr>
      <w:r>
        <w:rPr>
          <w:rFonts w:ascii="SimSun" w:hAnsi="SimSun" w:eastAsia="SimSun" w:cs="SimSun"/>
          <w:sz w:val="31"/>
          <w:szCs w:val="31"/>
          <w:b/>
          <w:bCs/>
          <w:spacing w:val="-3"/>
        </w:rPr>
        <w:t>第一百零八条在不符合相应生物安全要求的实验室从事病原微生物相关实验活动的</w:t>
      </w:r>
    </w:p>
    <w:p>
      <w:pPr>
        <w:spacing w:line="219" w:lineRule="auto"/>
        <w:sectPr>
          <w:footerReference w:type="default" r:id="rId184"/>
          <w:pgSz w:w="16830" w:h="11900"/>
          <w:pgMar w:top="1011" w:right="1329" w:bottom="1098" w:left="1425" w:header="0" w:footer="765" w:gutter="0"/>
        </w:sectPr>
        <w:rPr>
          <w:rFonts w:ascii="SimSun" w:hAnsi="SimSun" w:eastAsia="SimSun" w:cs="SimSun"/>
          <w:sz w:val="31"/>
          <w:szCs w:val="31"/>
        </w:rPr>
      </w:pPr>
    </w:p>
    <w:p>
      <w:pPr>
        <w:pStyle w:val="BodyText"/>
        <w:spacing w:line="265" w:lineRule="auto"/>
        <w:rPr/>
      </w:pPr>
      <w:r/>
    </w:p>
    <w:p>
      <w:pPr>
        <w:pStyle w:val="BodyText"/>
        <w:spacing w:line="265" w:lineRule="auto"/>
        <w:rPr/>
      </w:pPr>
      <w:r/>
    </w:p>
    <w:p>
      <w:pPr>
        <w:pStyle w:val="BodyText"/>
        <w:spacing w:line="265" w:lineRule="auto"/>
        <w:rPr/>
      </w:pPr>
      <w:r/>
    </w:p>
    <w:p>
      <w:pPr>
        <w:ind w:left="695"/>
        <w:spacing w:before="87"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45" w:firstLine="619"/>
        <w:spacing w:before="88" w:line="274" w:lineRule="auto"/>
        <w:jc w:val="both"/>
        <w:rPr>
          <w:rFonts w:ascii="FangSong" w:hAnsi="FangSong" w:eastAsia="FangSong" w:cs="FangSong"/>
          <w:sz w:val="30"/>
          <w:szCs w:val="30"/>
        </w:rPr>
      </w:pPr>
      <w:r>
        <w:rPr>
          <w:rFonts w:ascii="FangSong" w:hAnsi="FangSong" w:eastAsia="FangSong" w:cs="FangSong"/>
          <w:sz w:val="30"/>
          <w:szCs w:val="30"/>
          <w:spacing w:val="20"/>
        </w:rPr>
        <w:t>《病原微生物实验室生物安全管理条例》第五十</w:t>
      </w:r>
      <w:r>
        <w:rPr>
          <w:rFonts w:ascii="FangSong" w:hAnsi="FangSong" w:eastAsia="FangSong" w:cs="FangSong"/>
          <w:sz w:val="30"/>
          <w:szCs w:val="30"/>
          <w:spacing w:val="19"/>
        </w:rPr>
        <w:t>九条</w:t>
      </w:r>
      <w:r>
        <w:rPr>
          <w:rFonts w:ascii="FangSong" w:hAnsi="FangSong" w:eastAsia="FangSong" w:cs="FangSong"/>
          <w:sz w:val="30"/>
          <w:szCs w:val="30"/>
          <w:spacing w:val="19"/>
        </w:rPr>
        <w:t xml:space="preserve">   </w:t>
      </w:r>
      <w:r>
        <w:rPr>
          <w:rFonts w:ascii="FangSong" w:hAnsi="FangSong" w:eastAsia="FangSong" w:cs="FangSong"/>
          <w:sz w:val="30"/>
          <w:szCs w:val="30"/>
          <w:spacing w:val="19"/>
        </w:rPr>
        <w:t>违反本条例规定，在不符合相应生物安</w:t>
      </w:r>
      <w:r>
        <w:rPr>
          <w:rFonts w:ascii="FangSong" w:hAnsi="FangSong" w:eastAsia="FangSong" w:cs="FangSong"/>
          <w:sz w:val="30"/>
          <w:szCs w:val="30"/>
        </w:rPr>
        <w:t xml:space="preserve">  </w:t>
      </w:r>
      <w:r>
        <w:rPr>
          <w:rFonts w:ascii="FangSong" w:hAnsi="FangSong" w:eastAsia="FangSong" w:cs="FangSong"/>
          <w:sz w:val="30"/>
          <w:szCs w:val="30"/>
          <w:spacing w:val="17"/>
        </w:rPr>
        <w:t>全要求的实验室从事病原微生物相关实验活动的，由县级以上地方人民政府卫生主管</w:t>
      </w:r>
      <w:r>
        <w:rPr>
          <w:rFonts w:ascii="FangSong" w:hAnsi="FangSong" w:eastAsia="FangSong" w:cs="FangSong"/>
          <w:sz w:val="30"/>
          <w:szCs w:val="30"/>
          <w:spacing w:val="16"/>
        </w:rPr>
        <w:t>部门、兽医主管</w:t>
      </w:r>
      <w:r>
        <w:rPr>
          <w:rFonts w:ascii="FangSong" w:hAnsi="FangSong" w:eastAsia="FangSong" w:cs="FangSong"/>
          <w:sz w:val="30"/>
          <w:szCs w:val="30"/>
        </w:rPr>
        <w:t xml:space="preserve"> </w:t>
      </w:r>
      <w:r>
        <w:rPr>
          <w:rFonts w:ascii="FangSong" w:hAnsi="FangSong" w:eastAsia="FangSong" w:cs="FangSong"/>
          <w:sz w:val="30"/>
          <w:szCs w:val="30"/>
          <w:spacing w:val="12"/>
        </w:rPr>
        <w:t>部门依照各自职责，责令停止有关活动，监督其将用于实验活动的病原微生物销毁或者送交保藏机</w:t>
      </w:r>
      <w:r>
        <w:rPr>
          <w:rFonts w:ascii="FangSong" w:hAnsi="FangSong" w:eastAsia="FangSong" w:cs="FangSong"/>
          <w:sz w:val="30"/>
          <w:szCs w:val="30"/>
          <w:spacing w:val="11"/>
        </w:rPr>
        <w:t>构，</w:t>
      </w:r>
      <w:r>
        <w:rPr>
          <w:rFonts w:ascii="FangSong" w:hAnsi="FangSong" w:eastAsia="FangSong" w:cs="FangSong"/>
          <w:sz w:val="30"/>
          <w:szCs w:val="30"/>
        </w:rPr>
        <w:t xml:space="preserve"> </w:t>
      </w:r>
      <w:r>
        <w:rPr>
          <w:rFonts w:ascii="FangSong" w:hAnsi="FangSong" w:eastAsia="FangSong" w:cs="FangSong"/>
          <w:sz w:val="30"/>
          <w:szCs w:val="30"/>
          <w:spacing w:val="17"/>
        </w:rPr>
        <w:t>并给予警告；造成传染病传播、流行或者其他严重后</w:t>
      </w:r>
      <w:r>
        <w:rPr>
          <w:rFonts w:ascii="FangSong" w:hAnsi="FangSong" w:eastAsia="FangSong" w:cs="FangSong"/>
          <w:sz w:val="30"/>
          <w:szCs w:val="30"/>
          <w:spacing w:val="16"/>
        </w:rPr>
        <w:t>果的，由实验室的设立单位对主要负责人、直接</w:t>
      </w:r>
      <w:r>
        <w:rPr>
          <w:rFonts w:ascii="FangSong" w:hAnsi="FangSong" w:eastAsia="FangSong" w:cs="FangSong"/>
          <w:sz w:val="30"/>
          <w:szCs w:val="30"/>
        </w:rPr>
        <w:t xml:space="preserve">  </w:t>
      </w:r>
      <w:r>
        <w:rPr>
          <w:rFonts w:ascii="FangSong" w:hAnsi="FangSong" w:eastAsia="FangSong" w:cs="FangSong"/>
          <w:sz w:val="30"/>
          <w:szCs w:val="30"/>
          <w:spacing w:val="13"/>
        </w:rPr>
        <w:t>负责的主管人员和其他直接责任人员，依法</w:t>
      </w:r>
      <w:r>
        <w:rPr>
          <w:rFonts w:ascii="FangSong" w:hAnsi="FangSong" w:eastAsia="FangSong" w:cs="FangSong"/>
          <w:sz w:val="30"/>
          <w:szCs w:val="30"/>
          <w:spacing w:val="12"/>
        </w:rPr>
        <w:t>给予撤职、开除的处分；构成犯罪的，依法追究刑事责任。</w:t>
      </w:r>
    </w:p>
    <w:p>
      <w:pPr>
        <w:ind w:left="6739"/>
        <w:spacing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82"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64"/>
        <w:gridCol w:w="5746"/>
        <w:gridCol w:w="6772"/>
      </w:tblGrid>
      <w:tr>
        <w:trPr>
          <w:trHeight w:val="831" w:hRule="atLeast"/>
        </w:trPr>
        <w:tc>
          <w:tcPr>
            <w:tcW w:w="1464" w:type="dxa"/>
            <w:vAlign w:val="top"/>
          </w:tcPr>
          <w:p>
            <w:pPr>
              <w:pStyle w:val="TableText"/>
              <w:ind w:left="228"/>
              <w:spacing w:before="292" w:line="220" w:lineRule="auto"/>
              <w:rPr>
                <w:sz w:val="25"/>
                <w:szCs w:val="25"/>
              </w:rPr>
            </w:pPr>
            <w:r>
              <w:rPr>
                <w:sz w:val="25"/>
                <w:szCs w:val="25"/>
                <w:b/>
                <w:bCs/>
                <w:spacing w:val="-5"/>
              </w:rPr>
              <w:t>违法程度</w:t>
            </w:r>
          </w:p>
        </w:tc>
        <w:tc>
          <w:tcPr>
            <w:tcW w:w="5746" w:type="dxa"/>
            <w:vAlign w:val="top"/>
          </w:tcPr>
          <w:p>
            <w:pPr>
              <w:pStyle w:val="TableText"/>
              <w:ind w:left="2364"/>
              <w:spacing w:before="292" w:line="220" w:lineRule="auto"/>
              <w:rPr>
                <w:sz w:val="25"/>
                <w:szCs w:val="25"/>
              </w:rPr>
            </w:pPr>
            <w:r>
              <w:rPr>
                <w:sz w:val="25"/>
                <w:szCs w:val="25"/>
                <w:b/>
                <w:bCs/>
                <w:spacing w:val="-5"/>
              </w:rPr>
              <w:t>情节后果</w:t>
            </w:r>
          </w:p>
        </w:tc>
        <w:tc>
          <w:tcPr>
            <w:tcW w:w="6772" w:type="dxa"/>
            <w:vAlign w:val="top"/>
          </w:tcPr>
          <w:p>
            <w:pPr>
              <w:pStyle w:val="TableText"/>
              <w:ind w:left="2878"/>
              <w:spacing w:before="289" w:line="218" w:lineRule="auto"/>
              <w:rPr>
                <w:sz w:val="25"/>
                <w:szCs w:val="25"/>
              </w:rPr>
            </w:pPr>
            <w:r>
              <w:rPr>
                <w:sz w:val="25"/>
                <w:szCs w:val="25"/>
                <w:b/>
                <w:bCs/>
                <w:spacing w:val="-5"/>
              </w:rPr>
              <w:t>裁量幅度</w:t>
            </w:r>
          </w:p>
        </w:tc>
      </w:tr>
      <w:tr>
        <w:trPr>
          <w:trHeight w:val="1139" w:hRule="atLeast"/>
        </w:trPr>
        <w:tc>
          <w:tcPr>
            <w:tcW w:w="1464" w:type="dxa"/>
            <w:vAlign w:val="top"/>
          </w:tcPr>
          <w:p>
            <w:pPr>
              <w:spacing w:line="368" w:lineRule="auto"/>
              <w:rPr>
                <w:rFonts w:ascii="Arial"/>
                <w:sz w:val="21"/>
              </w:rPr>
            </w:pPr>
            <w:r/>
          </w:p>
          <w:p>
            <w:pPr>
              <w:pStyle w:val="TableText"/>
              <w:ind w:left="478"/>
              <w:spacing w:before="81" w:line="221" w:lineRule="auto"/>
              <w:rPr>
                <w:sz w:val="25"/>
                <w:szCs w:val="25"/>
              </w:rPr>
            </w:pPr>
            <w:r>
              <w:rPr>
                <w:sz w:val="25"/>
                <w:szCs w:val="25"/>
                <w:b/>
                <w:bCs/>
                <w:spacing w:val="-10"/>
              </w:rPr>
              <w:t>一般</w:t>
            </w:r>
          </w:p>
        </w:tc>
        <w:tc>
          <w:tcPr>
            <w:tcW w:w="5746" w:type="dxa"/>
            <w:vAlign w:val="top"/>
          </w:tcPr>
          <w:p>
            <w:pPr>
              <w:pStyle w:val="TableText"/>
              <w:ind w:left="113" w:hanging="99"/>
              <w:spacing w:before="289" w:line="310" w:lineRule="auto"/>
              <w:rPr>
                <w:sz w:val="25"/>
                <w:szCs w:val="25"/>
              </w:rPr>
            </w:pPr>
            <w:r>
              <w:rPr>
                <w:sz w:val="25"/>
                <w:szCs w:val="25"/>
                <w:b/>
                <w:bCs/>
                <w:spacing w:val="-4"/>
              </w:rPr>
              <w:t>在不符合相应生物安全要求的实验室从事病原微生物</w:t>
            </w:r>
            <w:r>
              <w:rPr>
                <w:sz w:val="25"/>
                <w:szCs w:val="25"/>
                <w:spacing w:val="2"/>
              </w:rPr>
              <w:t xml:space="preserve"> </w:t>
            </w:r>
            <w:r>
              <w:rPr>
                <w:sz w:val="25"/>
                <w:szCs w:val="25"/>
                <w:b/>
                <w:bCs/>
                <w:spacing w:val="-2"/>
              </w:rPr>
              <w:t>相关实验活动的</w:t>
            </w:r>
          </w:p>
        </w:tc>
        <w:tc>
          <w:tcPr>
            <w:tcW w:w="6772" w:type="dxa"/>
            <w:vAlign w:val="top"/>
          </w:tcPr>
          <w:p>
            <w:pPr>
              <w:pStyle w:val="TableText"/>
              <w:ind w:left="117" w:hanging="99"/>
              <w:spacing w:before="289" w:line="310" w:lineRule="auto"/>
              <w:rPr>
                <w:sz w:val="25"/>
                <w:szCs w:val="25"/>
              </w:rPr>
            </w:pPr>
            <w:r>
              <w:rPr>
                <w:sz w:val="25"/>
                <w:szCs w:val="25"/>
                <w:b/>
                <w:bCs/>
                <w:spacing w:val="-3"/>
              </w:rPr>
              <w:t>责令停止有关活动，监督其将用于实验活动的病原微生物销毁</w:t>
            </w:r>
            <w:r>
              <w:rPr>
                <w:sz w:val="25"/>
                <w:szCs w:val="25"/>
                <w:spacing w:val="2"/>
              </w:rPr>
              <w:t xml:space="preserve"> </w:t>
            </w:r>
            <w:r>
              <w:rPr>
                <w:sz w:val="25"/>
                <w:szCs w:val="25"/>
                <w:b/>
                <w:bCs/>
                <w:spacing w:val="-4"/>
              </w:rPr>
              <w:t>或者送交保藏机构，并给予警告。</w:t>
            </w:r>
          </w:p>
        </w:tc>
      </w:tr>
    </w:tbl>
    <w:p>
      <w:pPr>
        <w:pStyle w:val="BodyText"/>
        <w:spacing w:line="454" w:lineRule="auto"/>
        <w:rPr/>
      </w:pPr>
      <w:r/>
    </w:p>
    <w:p>
      <w:pPr>
        <w:ind w:left="49" w:right="405" w:firstLine="649"/>
        <w:spacing w:before="97" w:line="279" w:lineRule="auto"/>
        <w:rPr>
          <w:rFonts w:ascii="FangSong" w:hAnsi="FangSong" w:eastAsia="FangSong" w:cs="FangSong"/>
          <w:sz w:val="30"/>
          <w:szCs w:val="30"/>
        </w:rPr>
      </w:pPr>
      <w:r>
        <w:rPr>
          <w:rFonts w:ascii="FangSong" w:hAnsi="FangSong" w:eastAsia="FangSong" w:cs="FangSong"/>
          <w:sz w:val="30"/>
          <w:szCs w:val="30"/>
          <w:b/>
          <w:bCs/>
          <w:spacing w:val="22"/>
        </w:rPr>
        <w:t>第一百零九条未依照规定在明显位置标示国务院卫生主管部门和兽医主管部</w:t>
      </w:r>
      <w:r>
        <w:rPr>
          <w:rFonts w:ascii="FangSong" w:hAnsi="FangSong" w:eastAsia="FangSong" w:cs="FangSong"/>
          <w:sz w:val="30"/>
          <w:szCs w:val="30"/>
          <w:b/>
          <w:bCs/>
          <w:spacing w:val="21"/>
        </w:rPr>
        <w:t>门规定的生物危</w:t>
      </w:r>
      <w:r>
        <w:rPr>
          <w:rFonts w:ascii="FangSong" w:hAnsi="FangSong" w:eastAsia="FangSong" w:cs="FangSong"/>
          <w:sz w:val="30"/>
          <w:szCs w:val="30"/>
        </w:rPr>
        <w:t xml:space="preserve"> </w:t>
      </w:r>
      <w:r>
        <w:rPr>
          <w:rFonts w:ascii="FangSong" w:hAnsi="FangSong" w:eastAsia="FangSong" w:cs="FangSong"/>
          <w:sz w:val="30"/>
          <w:szCs w:val="30"/>
          <w:b/>
          <w:bCs/>
          <w:spacing w:val="12"/>
        </w:rPr>
        <w:t>险标识和生物安全实验室级别标志的；</w:t>
      </w:r>
    </w:p>
    <w:p>
      <w:pPr>
        <w:ind w:left="695"/>
        <w:spacing w:before="3"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45" w:right="123" w:firstLine="619"/>
        <w:spacing w:before="84" w:line="278" w:lineRule="auto"/>
        <w:rPr>
          <w:rFonts w:ascii="FangSong" w:hAnsi="FangSong" w:eastAsia="FangSong" w:cs="FangSong"/>
          <w:sz w:val="30"/>
          <w:szCs w:val="30"/>
        </w:rPr>
      </w:pPr>
      <w:r>
        <w:rPr>
          <w:rFonts w:ascii="FangSong" w:hAnsi="FangSong" w:eastAsia="FangSong" w:cs="FangSong"/>
          <w:sz w:val="30"/>
          <w:szCs w:val="30"/>
          <w:spacing w:val="24"/>
        </w:rPr>
        <w:t>《病原微生物实验室生物安全管理条例》第</w:t>
      </w:r>
      <w:r>
        <w:rPr>
          <w:rFonts w:ascii="FangSong" w:hAnsi="FangSong" w:eastAsia="FangSong" w:cs="FangSong"/>
          <w:sz w:val="30"/>
          <w:szCs w:val="30"/>
          <w:spacing w:val="23"/>
        </w:rPr>
        <w:t>六十条第(一)项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实验室有下列行为之一的，由县</w:t>
      </w:r>
      <w:r>
        <w:rPr>
          <w:rFonts w:ascii="FangSong" w:hAnsi="FangSong" w:eastAsia="FangSong" w:cs="FangSong"/>
          <w:sz w:val="30"/>
          <w:szCs w:val="30"/>
        </w:rPr>
        <w:t xml:space="preserve"> </w:t>
      </w:r>
      <w:r>
        <w:rPr>
          <w:rFonts w:ascii="FangSong" w:hAnsi="FangSong" w:eastAsia="FangSong" w:cs="FangSong"/>
          <w:sz w:val="30"/>
          <w:szCs w:val="30"/>
          <w:spacing w:val="17"/>
        </w:rPr>
        <w:t>级以上地方人民政府卫生主管部门、兽医主管部门依照各自职责，责令</w:t>
      </w:r>
      <w:r>
        <w:rPr>
          <w:rFonts w:ascii="FangSong" w:hAnsi="FangSong" w:eastAsia="FangSong" w:cs="FangSong"/>
          <w:sz w:val="30"/>
          <w:szCs w:val="30"/>
          <w:spacing w:val="16"/>
        </w:rPr>
        <w:t>限期改正，给予警告；逾期不</w:t>
      </w:r>
    </w:p>
    <w:p>
      <w:pPr>
        <w:spacing w:line="278" w:lineRule="auto"/>
        <w:sectPr>
          <w:footerReference w:type="default" r:id="rId185"/>
          <w:pgSz w:w="16830" w:h="11900"/>
          <w:pgMar w:top="1011" w:right="1329" w:bottom="1118" w:left="1394" w:header="0" w:footer="785" w:gutter="0"/>
        </w:sectPr>
        <w:rPr>
          <w:rFonts w:ascii="FangSong" w:hAnsi="FangSong" w:eastAsia="FangSong" w:cs="FangSong"/>
          <w:sz w:val="30"/>
          <w:szCs w:val="30"/>
        </w:rPr>
      </w:pPr>
    </w:p>
    <w:p>
      <w:pPr>
        <w:pStyle w:val="BodyText"/>
        <w:spacing w:line="260" w:lineRule="auto"/>
        <w:rPr/>
      </w:pPr>
      <w:r/>
    </w:p>
    <w:p>
      <w:pPr>
        <w:pStyle w:val="BodyText"/>
        <w:spacing w:line="261" w:lineRule="auto"/>
        <w:rPr/>
      </w:pPr>
      <w:r/>
    </w:p>
    <w:p>
      <w:pPr>
        <w:pStyle w:val="BodyText"/>
        <w:spacing w:line="261" w:lineRule="auto"/>
        <w:rPr/>
      </w:pPr>
      <w:r/>
    </w:p>
    <w:p>
      <w:pPr>
        <w:ind w:left="55" w:right="38"/>
        <w:spacing w:before="98" w:line="258" w:lineRule="auto"/>
        <w:rPr>
          <w:rFonts w:ascii="FangSong" w:hAnsi="FangSong" w:eastAsia="FangSong" w:cs="FangSong"/>
          <w:sz w:val="30"/>
          <w:szCs w:val="30"/>
        </w:rPr>
      </w:pPr>
      <w:bookmarkStart w:name="bookmark841" w:id="167"/>
      <w:bookmarkEnd w:id="167"/>
      <w:r>
        <w:rPr>
          <w:rFonts w:ascii="FangSong" w:hAnsi="FangSong" w:eastAsia="FangSong" w:cs="FangSong"/>
          <w:sz w:val="30"/>
          <w:szCs w:val="30"/>
          <w:spacing w:val="16"/>
        </w:rPr>
        <w:t>改正的，由实验室的设立单位对主要负责人、直接负责的主管人员和其他直接责任人</w:t>
      </w:r>
      <w:r>
        <w:rPr>
          <w:rFonts w:ascii="FangSong" w:hAnsi="FangSong" w:eastAsia="FangSong" w:cs="FangSong"/>
          <w:sz w:val="30"/>
          <w:szCs w:val="30"/>
          <w:spacing w:val="15"/>
        </w:rPr>
        <w:t>员，依法给予撤</w:t>
      </w:r>
      <w:r>
        <w:rPr>
          <w:rFonts w:ascii="FangSong" w:hAnsi="FangSong" w:eastAsia="FangSong" w:cs="FangSong"/>
          <w:sz w:val="30"/>
          <w:szCs w:val="30"/>
        </w:rPr>
        <w:t xml:space="preserve"> </w:t>
      </w:r>
      <w:r>
        <w:rPr>
          <w:rFonts w:ascii="FangSong" w:hAnsi="FangSong" w:eastAsia="FangSong" w:cs="FangSong"/>
          <w:sz w:val="30"/>
          <w:szCs w:val="30"/>
          <w:spacing w:val="16"/>
        </w:rPr>
        <w:t>职、开除的处分；有许可证件的，并由原发证部门吊销有关许可证件：</w:t>
      </w:r>
    </w:p>
    <w:p>
      <w:pPr>
        <w:ind w:left="55" w:right="32" w:firstLine="759"/>
        <w:spacing w:before="39" w:line="272" w:lineRule="auto"/>
        <w:rPr>
          <w:rFonts w:ascii="FangSong" w:hAnsi="FangSong" w:eastAsia="FangSong" w:cs="FangSong"/>
          <w:sz w:val="30"/>
          <w:szCs w:val="30"/>
        </w:rPr>
      </w:pPr>
      <w:r>
        <w:rPr>
          <w:rFonts w:ascii="FangSong" w:hAnsi="FangSong" w:eastAsia="FangSong" w:cs="FangSong"/>
          <w:sz w:val="30"/>
          <w:szCs w:val="30"/>
          <w:spacing w:val="20"/>
        </w:rPr>
        <w:t>(一)未依照规定在明显位置标示国务院卫生主管部门和兽医主管部门规定的生物危险标识和生</w:t>
      </w:r>
      <w:r>
        <w:rPr>
          <w:rFonts w:ascii="FangSong" w:hAnsi="FangSong" w:eastAsia="FangSong" w:cs="FangSong"/>
          <w:sz w:val="30"/>
          <w:szCs w:val="30"/>
          <w:spacing w:val="3"/>
        </w:rPr>
        <w:t xml:space="preserve"> </w:t>
      </w:r>
      <w:r>
        <w:rPr>
          <w:rFonts w:ascii="FangSong" w:hAnsi="FangSong" w:eastAsia="FangSong" w:cs="FangSong"/>
          <w:sz w:val="30"/>
          <w:szCs w:val="30"/>
          <w:spacing w:val="10"/>
        </w:rPr>
        <w:t>物安全实验室级别标志的；</w:t>
      </w:r>
    </w:p>
    <w:p>
      <w:pPr>
        <w:ind w:left="6739"/>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44"/>
        <w:gridCol w:w="7435"/>
        <w:gridCol w:w="5001"/>
      </w:tblGrid>
      <w:tr>
        <w:trPr>
          <w:trHeight w:val="831" w:hRule="atLeast"/>
        </w:trPr>
        <w:tc>
          <w:tcPr>
            <w:tcW w:w="1544" w:type="dxa"/>
            <w:vAlign w:val="top"/>
          </w:tcPr>
          <w:p>
            <w:pPr>
              <w:pStyle w:val="TableText"/>
              <w:ind w:left="268"/>
              <w:spacing w:before="292" w:line="220" w:lineRule="auto"/>
              <w:rPr>
                <w:sz w:val="25"/>
                <w:szCs w:val="25"/>
              </w:rPr>
            </w:pPr>
            <w:r>
              <w:rPr>
                <w:sz w:val="25"/>
                <w:szCs w:val="25"/>
                <w:b/>
                <w:bCs/>
                <w:spacing w:val="-5"/>
              </w:rPr>
              <w:t>违法程度</w:t>
            </w:r>
          </w:p>
        </w:tc>
        <w:tc>
          <w:tcPr>
            <w:tcW w:w="7435" w:type="dxa"/>
            <w:vAlign w:val="top"/>
          </w:tcPr>
          <w:p>
            <w:pPr>
              <w:pStyle w:val="TableText"/>
              <w:ind w:left="3144"/>
              <w:spacing w:before="292" w:line="220" w:lineRule="auto"/>
              <w:rPr>
                <w:sz w:val="25"/>
                <w:szCs w:val="25"/>
              </w:rPr>
            </w:pPr>
            <w:r>
              <w:rPr>
                <w:sz w:val="25"/>
                <w:szCs w:val="25"/>
                <w:b/>
                <w:bCs/>
                <w:spacing w:val="-5"/>
              </w:rPr>
              <w:t>情节后果</w:t>
            </w:r>
          </w:p>
        </w:tc>
        <w:tc>
          <w:tcPr>
            <w:tcW w:w="5001" w:type="dxa"/>
            <w:vAlign w:val="top"/>
          </w:tcPr>
          <w:p>
            <w:pPr>
              <w:pStyle w:val="TableText"/>
              <w:ind w:left="1949"/>
              <w:spacing w:before="289" w:line="218" w:lineRule="auto"/>
              <w:rPr>
                <w:sz w:val="25"/>
                <w:szCs w:val="25"/>
              </w:rPr>
            </w:pPr>
            <w:r>
              <w:rPr>
                <w:sz w:val="25"/>
                <w:szCs w:val="25"/>
                <w:b/>
                <w:bCs/>
                <w:spacing w:val="-5"/>
              </w:rPr>
              <w:t>裁量幅度</w:t>
            </w:r>
          </w:p>
        </w:tc>
      </w:tr>
      <w:tr>
        <w:trPr>
          <w:trHeight w:val="588" w:hRule="atLeast"/>
        </w:trPr>
        <w:tc>
          <w:tcPr>
            <w:tcW w:w="1544" w:type="dxa"/>
            <w:vAlign w:val="top"/>
          </w:tcPr>
          <w:p>
            <w:pPr>
              <w:pStyle w:val="TableText"/>
              <w:ind w:left="518"/>
              <w:spacing w:before="172" w:line="221" w:lineRule="auto"/>
              <w:rPr>
                <w:sz w:val="25"/>
                <w:szCs w:val="25"/>
              </w:rPr>
            </w:pPr>
            <w:r>
              <w:rPr>
                <w:sz w:val="25"/>
                <w:szCs w:val="25"/>
                <w:b/>
                <w:bCs/>
                <w:spacing w:val="-10"/>
              </w:rPr>
              <w:t>一般</w:t>
            </w:r>
          </w:p>
        </w:tc>
        <w:tc>
          <w:tcPr>
            <w:tcW w:w="7435" w:type="dxa"/>
            <w:vAlign w:val="top"/>
          </w:tcPr>
          <w:p>
            <w:pPr>
              <w:pStyle w:val="TableText"/>
              <w:ind w:left="101"/>
              <w:spacing w:before="174" w:line="219" w:lineRule="auto"/>
              <w:rPr>
                <w:sz w:val="25"/>
                <w:szCs w:val="25"/>
              </w:rPr>
            </w:pPr>
            <w:r>
              <w:rPr>
                <w:sz w:val="25"/>
                <w:szCs w:val="25"/>
              </w:rPr>
              <w:t>首次发现违法行为。</w:t>
            </w:r>
          </w:p>
        </w:tc>
        <w:tc>
          <w:tcPr>
            <w:tcW w:w="5001" w:type="dxa"/>
            <w:vAlign w:val="top"/>
          </w:tcPr>
          <w:p>
            <w:pPr>
              <w:pStyle w:val="TableText"/>
              <w:ind w:left="116"/>
              <w:spacing w:before="172" w:line="218" w:lineRule="auto"/>
              <w:rPr>
                <w:sz w:val="25"/>
                <w:szCs w:val="25"/>
              </w:rPr>
            </w:pPr>
            <w:r>
              <w:rPr>
                <w:sz w:val="25"/>
                <w:szCs w:val="25"/>
                <w:spacing w:val="-1"/>
              </w:rPr>
              <w:t>给予警告。</w:t>
            </w:r>
          </w:p>
        </w:tc>
      </w:tr>
      <w:tr>
        <w:trPr>
          <w:trHeight w:val="891" w:hRule="atLeast"/>
        </w:trPr>
        <w:tc>
          <w:tcPr>
            <w:tcW w:w="1544" w:type="dxa"/>
            <w:vAlign w:val="top"/>
          </w:tcPr>
          <w:p>
            <w:pPr>
              <w:spacing w:line="243" w:lineRule="auto"/>
              <w:rPr>
                <w:rFonts w:ascii="Arial"/>
                <w:sz w:val="21"/>
              </w:rPr>
            </w:pPr>
            <w:r/>
          </w:p>
          <w:p>
            <w:pPr>
              <w:pStyle w:val="TableText"/>
              <w:ind w:left="518"/>
              <w:spacing w:before="81" w:line="221" w:lineRule="auto"/>
              <w:rPr>
                <w:sz w:val="25"/>
                <w:szCs w:val="25"/>
              </w:rPr>
            </w:pPr>
            <w:r>
              <w:rPr>
                <w:sz w:val="25"/>
                <w:szCs w:val="25"/>
                <w:b/>
                <w:bCs/>
                <w:spacing w:val="-6"/>
              </w:rPr>
              <w:t>较重</w:t>
            </w:r>
          </w:p>
        </w:tc>
        <w:tc>
          <w:tcPr>
            <w:tcW w:w="7435" w:type="dxa"/>
            <w:vAlign w:val="top"/>
          </w:tcPr>
          <w:p>
            <w:pPr>
              <w:spacing w:line="301" w:lineRule="auto"/>
              <w:rPr>
                <w:rFonts w:ascii="Arial"/>
                <w:sz w:val="21"/>
              </w:rPr>
            </w:pPr>
            <w:r/>
          </w:p>
          <w:p>
            <w:pPr>
              <w:pStyle w:val="TableText"/>
              <w:ind w:left="101"/>
              <w:spacing w:before="81" w:line="219" w:lineRule="auto"/>
              <w:rPr>
                <w:sz w:val="25"/>
                <w:szCs w:val="25"/>
              </w:rPr>
            </w:pPr>
            <w:r>
              <w:rPr>
                <w:sz w:val="25"/>
                <w:szCs w:val="25"/>
              </w:rPr>
              <w:t>责令限期改正后，逾期不改正。</w:t>
            </w:r>
          </w:p>
        </w:tc>
        <w:tc>
          <w:tcPr>
            <w:tcW w:w="5001" w:type="dxa"/>
            <w:vAlign w:val="top"/>
          </w:tcPr>
          <w:p>
            <w:pPr>
              <w:pStyle w:val="TableText"/>
              <w:spacing w:before="186" w:line="219" w:lineRule="auto"/>
              <w:jc w:val="right"/>
              <w:rPr>
                <w:sz w:val="25"/>
                <w:szCs w:val="25"/>
              </w:rPr>
            </w:pPr>
            <w:r>
              <w:rPr>
                <w:sz w:val="25"/>
                <w:szCs w:val="25"/>
                <w:spacing w:val="-8"/>
              </w:rPr>
              <w:t>有许可证件的，并由原发证部门吊销有关许可</w:t>
            </w:r>
          </w:p>
          <w:p>
            <w:pPr>
              <w:pStyle w:val="TableText"/>
              <w:ind w:left="116"/>
              <w:spacing w:before="132" w:line="196" w:lineRule="auto"/>
              <w:rPr>
                <w:sz w:val="25"/>
                <w:szCs w:val="25"/>
              </w:rPr>
            </w:pPr>
            <w:r>
              <w:rPr>
                <w:sz w:val="25"/>
                <w:szCs w:val="25"/>
                <w:color w:val="404040"/>
                <w:spacing w:val="-2"/>
              </w:rPr>
              <w:t>证件。</w:t>
            </w:r>
          </w:p>
        </w:tc>
      </w:tr>
    </w:tbl>
    <w:p>
      <w:pPr>
        <w:pStyle w:val="BodyText"/>
        <w:spacing w:line="437" w:lineRule="auto"/>
        <w:rPr/>
      </w:pPr>
      <w:r/>
    </w:p>
    <w:p>
      <w:pPr>
        <w:ind w:left="709"/>
        <w:spacing w:before="97" w:line="220" w:lineRule="auto"/>
        <w:rPr>
          <w:rFonts w:ascii="FangSong" w:hAnsi="FangSong" w:eastAsia="FangSong" w:cs="FangSong"/>
          <w:sz w:val="30"/>
          <w:szCs w:val="30"/>
        </w:rPr>
      </w:pPr>
      <w:r>
        <w:rPr>
          <w:rFonts w:ascii="FangSong" w:hAnsi="FangSong" w:eastAsia="FangSong" w:cs="FangSong"/>
          <w:sz w:val="30"/>
          <w:szCs w:val="30"/>
          <w:b/>
          <w:bCs/>
          <w:spacing w:val="23"/>
        </w:rPr>
        <w:t>第一百一十条未向原批准部门报告实验活动结果以及工作</w:t>
      </w:r>
      <w:r>
        <w:rPr>
          <w:rFonts w:ascii="FangSong" w:hAnsi="FangSong" w:eastAsia="FangSong" w:cs="FangSong"/>
          <w:sz w:val="30"/>
          <w:szCs w:val="30"/>
          <w:b/>
          <w:bCs/>
          <w:spacing w:val="22"/>
        </w:rPr>
        <w:t>情况的</w:t>
      </w:r>
    </w:p>
    <w:p>
      <w:pPr>
        <w:ind w:left="685"/>
        <w:spacing w:before="14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55" w:firstLine="609"/>
        <w:spacing w:before="39" w:line="270" w:lineRule="auto"/>
        <w:jc w:val="both"/>
        <w:rPr>
          <w:rFonts w:ascii="FangSong" w:hAnsi="FangSong" w:eastAsia="FangSong" w:cs="FangSong"/>
          <w:sz w:val="30"/>
          <w:szCs w:val="30"/>
        </w:rPr>
      </w:pPr>
      <w:r>
        <w:rPr>
          <w:rFonts w:ascii="FangSong" w:hAnsi="FangSong" w:eastAsia="FangSong" w:cs="FangSong"/>
          <w:sz w:val="30"/>
          <w:szCs w:val="30"/>
          <w:spacing w:val="24"/>
        </w:rPr>
        <w:t>《病原微生物实验室生物安全管理条例》第六十条第(二)项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实</w:t>
      </w:r>
      <w:r>
        <w:rPr>
          <w:rFonts w:ascii="FangSong" w:hAnsi="FangSong" w:eastAsia="FangSong" w:cs="FangSong"/>
          <w:sz w:val="30"/>
          <w:szCs w:val="30"/>
          <w:spacing w:val="23"/>
        </w:rPr>
        <w:t>验室有下列行为之一的，由县</w:t>
      </w:r>
      <w:r>
        <w:rPr>
          <w:rFonts w:ascii="FangSong" w:hAnsi="FangSong" w:eastAsia="FangSong" w:cs="FangSong"/>
          <w:sz w:val="30"/>
          <w:szCs w:val="30"/>
        </w:rPr>
        <w:t xml:space="preserve"> </w:t>
      </w:r>
      <w:r>
        <w:rPr>
          <w:rFonts w:ascii="FangSong" w:hAnsi="FangSong" w:eastAsia="FangSong" w:cs="FangSong"/>
          <w:sz w:val="30"/>
          <w:szCs w:val="30"/>
          <w:spacing w:val="17"/>
        </w:rPr>
        <w:t>级以上地方人民政府卫生主管部门、兽医主管部门依照各自职责，责令</w:t>
      </w:r>
      <w:r>
        <w:rPr>
          <w:rFonts w:ascii="FangSong" w:hAnsi="FangSong" w:eastAsia="FangSong" w:cs="FangSong"/>
          <w:sz w:val="30"/>
          <w:szCs w:val="30"/>
          <w:spacing w:val="16"/>
        </w:rPr>
        <w:t>限期改正，给予警告；逾期不</w:t>
      </w:r>
      <w:r>
        <w:rPr>
          <w:rFonts w:ascii="FangSong" w:hAnsi="FangSong" w:eastAsia="FangSong" w:cs="FangSong"/>
          <w:sz w:val="30"/>
          <w:szCs w:val="30"/>
        </w:rPr>
        <w:t xml:space="preserve"> </w:t>
      </w:r>
      <w:r>
        <w:rPr>
          <w:rFonts w:ascii="FangSong" w:hAnsi="FangSong" w:eastAsia="FangSong" w:cs="FangSong"/>
          <w:sz w:val="30"/>
          <w:szCs w:val="30"/>
          <w:spacing w:val="16"/>
        </w:rPr>
        <w:t>改正的，由实验室的设立单位对主要负责人、直接负责的主管人员和其他直接责任人</w:t>
      </w:r>
      <w:r>
        <w:rPr>
          <w:rFonts w:ascii="FangSong" w:hAnsi="FangSong" w:eastAsia="FangSong" w:cs="FangSong"/>
          <w:sz w:val="30"/>
          <w:szCs w:val="30"/>
          <w:spacing w:val="15"/>
        </w:rPr>
        <w:t>员，依法给予撤</w:t>
      </w:r>
      <w:r>
        <w:rPr>
          <w:rFonts w:ascii="FangSong" w:hAnsi="FangSong" w:eastAsia="FangSong" w:cs="FangSong"/>
          <w:sz w:val="30"/>
          <w:szCs w:val="30"/>
        </w:rPr>
        <w:t xml:space="preserve"> </w:t>
      </w:r>
      <w:r>
        <w:rPr>
          <w:rFonts w:ascii="FangSong" w:hAnsi="FangSong" w:eastAsia="FangSong" w:cs="FangSong"/>
          <w:sz w:val="30"/>
          <w:szCs w:val="30"/>
          <w:spacing w:val="16"/>
        </w:rPr>
        <w:t>职、开除的处分；有许可证件的，并由原发证部门吊销有关许可证件：</w:t>
      </w:r>
    </w:p>
    <w:p>
      <w:pPr>
        <w:ind w:left="815"/>
        <w:spacing w:before="1" w:line="220" w:lineRule="auto"/>
        <w:rPr>
          <w:rFonts w:ascii="FangSong" w:hAnsi="FangSong" w:eastAsia="FangSong" w:cs="FangSong"/>
          <w:sz w:val="30"/>
          <w:szCs w:val="30"/>
        </w:rPr>
      </w:pPr>
      <w:r>
        <w:rPr>
          <w:rFonts w:ascii="FangSong" w:hAnsi="FangSong" w:eastAsia="FangSong" w:cs="FangSong"/>
          <w:sz w:val="30"/>
          <w:szCs w:val="30"/>
          <w:spacing w:val="22"/>
        </w:rPr>
        <w:t>(二)未向原批准部门报告实验活动结果以及工作情况的；</w:t>
      </w:r>
    </w:p>
    <w:p>
      <w:pPr>
        <w:spacing w:line="220" w:lineRule="auto"/>
        <w:sectPr>
          <w:footerReference w:type="default" r:id="rId186"/>
          <w:pgSz w:w="16830" w:h="11900"/>
          <w:pgMar w:top="1011" w:right="1443" w:bottom="1098" w:left="1394" w:header="0" w:footer="765" w:gutter="0"/>
        </w:sectPr>
        <w:rPr>
          <w:rFonts w:ascii="FangSong" w:hAnsi="FangSong" w:eastAsia="FangSong" w:cs="FangSong"/>
          <w:sz w:val="30"/>
          <w:szCs w:val="30"/>
        </w:rPr>
      </w:pPr>
    </w:p>
    <w:p>
      <w:pPr>
        <w:pStyle w:val="BodyText"/>
        <w:spacing w:line="263" w:lineRule="auto"/>
        <w:rPr/>
      </w:pPr>
      <w:r/>
    </w:p>
    <w:p>
      <w:pPr>
        <w:pStyle w:val="BodyText"/>
        <w:spacing w:line="263" w:lineRule="auto"/>
        <w:rPr/>
      </w:pPr>
      <w:r/>
    </w:p>
    <w:p>
      <w:pPr>
        <w:pStyle w:val="BodyText"/>
        <w:spacing w:line="264" w:lineRule="auto"/>
        <w:rPr/>
      </w:pPr>
      <w:r/>
    </w:p>
    <w:p>
      <w:pPr>
        <w:ind w:left="6719"/>
        <w:spacing w:before="91" w:line="220" w:lineRule="auto"/>
        <w:rPr>
          <w:rFonts w:ascii="SimSun" w:hAnsi="SimSun" w:eastAsia="SimSun" w:cs="SimSun"/>
          <w:sz w:val="28"/>
          <w:szCs w:val="28"/>
        </w:rPr>
      </w:pPr>
      <w:bookmarkStart w:name="bookmark842" w:id="168"/>
      <w:bookmarkEnd w:id="168"/>
      <w:r>
        <w:rPr>
          <w:rFonts w:ascii="SimSun" w:hAnsi="SimSun" w:eastAsia="SimSun" w:cs="SimSun"/>
          <w:sz w:val="28"/>
          <w:szCs w:val="28"/>
          <w:b/>
          <w:bCs/>
          <w:spacing w:val="-6"/>
        </w:rPr>
        <w:t>裁量标准</w:t>
      </w:r>
    </w:p>
    <w:p>
      <w:pPr>
        <w:spacing w:line="31" w:lineRule="auto"/>
        <w:rPr>
          <w:rFonts w:ascii="Arial"/>
          <w:sz w:val="2"/>
        </w:rPr>
      </w:pPr>
      <w:r>
        <w:rPr>
          <w:rFonts w:ascii="Arial"/>
          <w:sz w:val="2"/>
        </w:rPr>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74"/>
        <w:gridCol w:w="6425"/>
        <w:gridCol w:w="5981"/>
      </w:tblGrid>
      <w:tr>
        <w:trPr>
          <w:trHeight w:val="831" w:hRule="atLeast"/>
        </w:trPr>
        <w:tc>
          <w:tcPr>
            <w:tcW w:w="1574" w:type="dxa"/>
            <w:vAlign w:val="top"/>
          </w:tcPr>
          <w:p>
            <w:pPr>
              <w:pStyle w:val="TableText"/>
              <w:ind w:left="278"/>
              <w:spacing w:before="292" w:line="220" w:lineRule="auto"/>
              <w:rPr>
                <w:sz w:val="25"/>
                <w:szCs w:val="25"/>
              </w:rPr>
            </w:pPr>
            <w:r>
              <w:rPr>
                <w:sz w:val="25"/>
                <w:szCs w:val="25"/>
                <w:b/>
                <w:bCs/>
                <w:spacing w:val="-5"/>
              </w:rPr>
              <w:t>违法程度</w:t>
            </w:r>
          </w:p>
        </w:tc>
        <w:tc>
          <w:tcPr>
            <w:tcW w:w="6425" w:type="dxa"/>
            <w:vAlign w:val="top"/>
          </w:tcPr>
          <w:p>
            <w:pPr>
              <w:pStyle w:val="TableText"/>
              <w:ind w:left="2654"/>
              <w:spacing w:before="292" w:line="220" w:lineRule="auto"/>
              <w:rPr>
                <w:sz w:val="25"/>
                <w:szCs w:val="25"/>
              </w:rPr>
            </w:pPr>
            <w:r>
              <w:rPr>
                <w:sz w:val="25"/>
                <w:szCs w:val="25"/>
                <w:b/>
                <w:bCs/>
                <w:spacing w:val="-5"/>
              </w:rPr>
              <w:t>情节后果</w:t>
            </w:r>
          </w:p>
        </w:tc>
        <w:tc>
          <w:tcPr>
            <w:tcW w:w="5981" w:type="dxa"/>
            <w:vAlign w:val="top"/>
          </w:tcPr>
          <w:p>
            <w:pPr>
              <w:pStyle w:val="TableText"/>
              <w:ind w:left="2419"/>
              <w:spacing w:before="289" w:line="218" w:lineRule="auto"/>
              <w:rPr>
                <w:sz w:val="25"/>
                <w:szCs w:val="25"/>
              </w:rPr>
            </w:pPr>
            <w:r>
              <w:rPr>
                <w:sz w:val="25"/>
                <w:szCs w:val="25"/>
                <w:b/>
                <w:bCs/>
                <w:spacing w:val="-5"/>
              </w:rPr>
              <w:t>裁量幅度</w:t>
            </w:r>
          </w:p>
        </w:tc>
      </w:tr>
      <w:tr>
        <w:trPr>
          <w:trHeight w:val="747" w:hRule="atLeast"/>
        </w:trPr>
        <w:tc>
          <w:tcPr>
            <w:tcW w:w="1574" w:type="dxa"/>
            <w:vAlign w:val="top"/>
          </w:tcPr>
          <w:p>
            <w:pPr>
              <w:pStyle w:val="TableText"/>
              <w:ind w:left="528"/>
              <w:spacing w:before="252" w:line="221" w:lineRule="auto"/>
              <w:rPr>
                <w:sz w:val="25"/>
                <w:szCs w:val="25"/>
              </w:rPr>
            </w:pPr>
            <w:r>
              <w:rPr>
                <w:sz w:val="25"/>
                <w:szCs w:val="25"/>
                <w:b/>
                <w:bCs/>
                <w:spacing w:val="-10"/>
              </w:rPr>
              <w:t>一般</w:t>
            </w:r>
          </w:p>
        </w:tc>
        <w:tc>
          <w:tcPr>
            <w:tcW w:w="6425" w:type="dxa"/>
            <w:vAlign w:val="top"/>
          </w:tcPr>
          <w:p>
            <w:pPr>
              <w:pStyle w:val="TableText"/>
              <w:ind w:left="100"/>
              <w:spacing w:before="254" w:line="219" w:lineRule="auto"/>
              <w:rPr>
                <w:sz w:val="25"/>
                <w:szCs w:val="25"/>
              </w:rPr>
            </w:pPr>
            <w:r>
              <w:rPr>
                <w:sz w:val="25"/>
                <w:szCs w:val="25"/>
              </w:rPr>
              <w:t>首次发现违法行为。</w:t>
            </w:r>
          </w:p>
        </w:tc>
        <w:tc>
          <w:tcPr>
            <w:tcW w:w="5981" w:type="dxa"/>
            <w:vAlign w:val="top"/>
          </w:tcPr>
          <w:p>
            <w:pPr>
              <w:pStyle w:val="TableText"/>
              <w:ind w:left="115"/>
              <w:spacing w:before="252" w:line="218" w:lineRule="auto"/>
              <w:rPr>
                <w:sz w:val="25"/>
                <w:szCs w:val="25"/>
              </w:rPr>
            </w:pPr>
            <w:r>
              <w:rPr>
                <w:sz w:val="25"/>
                <w:szCs w:val="25"/>
                <w:spacing w:val="1"/>
              </w:rPr>
              <w:t>给予警告。</w:t>
            </w:r>
          </w:p>
        </w:tc>
      </w:tr>
      <w:tr>
        <w:trPr>
          <w:trHeight w:val="772" w:hRule="atLeast"/>
        </w:trPr>
        <w:tc>
          <w:tcPr>
            <w:tcW w:w="1574" w:type="dxa"/>
            <w:vAlign w:val="top"/>
          </w:tcPr>
          <w:p>
            <w:pPr>
              <w:pStyle w:val="TableText"/>
              <w:ind w:left="528"/>
              <w:spacing w:before="267" w:line="221" w:lineRule="auto"/>
              <w:rPr>
                <w:sz w:val="25"/>
                <w:szCs w:val="25"/>
              </w:rPr>
            </w:pPr>
            <w:r>
              <w:rPr>
                <w:sz w:val="25"/>
                <w:szCs w:val="25"/>
                <w:b/>
                <w:bCs/>
                <w:spacing w:val="-6"/>
              </w:rPr>
              <w:t>较重</w:t>
            </w:r>
          </w:p>
        </w:tc>
        <w:tc>
          <w:tcPr>
            <w:tcW w:w="6425" w:type="dxa"/>
            <w:vAlign w:val="top"/>
          </w:tcPr>
          <w:p>
            <w:pPr>
              <w:pStyle w:val="TableText"/>
              <w:ind w:left="100"/>
              <w:spacing w:before="265" w:line="219" w:lineRule="auto"/>
              <w:rPr>
                <w:sz w:val="25"/>
                <w:szCs w:val="25"/>
              </w:rPr>
            </w:pPr>
            <w:r>
              <w:rPr>
                <w:sz w:val="25"/>
                <w:szCs w:val="25"/>
              </w:rPr>
              <w:t>责令限期改正后，逾期不改正。</w:t>
            </w:r>
          </w:p>
        </w:tc>
        <w:tc>
          <w:tcPr>
            <w:tcW w:w="5981" w:type="dxa"/>
            <w:vAlign w:val="top"/>
          </w:tcPr>
          <w:p>
            <w:pPr>
              <w:pStyle w:val="TableText"/>
              <w:ind w:left="115"/>
              <w:spacing w:before="267" w:line="219" w:lineRule="auto"/>
              <w:rPr>
                <w:sz w:val="25"/>
                <w:szCs w:val="25"/>
              </w:rPr>
            </w:pPr>
            <w:r>
              <w:rPr>
                <w:sz w:val="25"/>
                <w:szCs w:val="25"/>
              </w:rPr>
              <w:t>有许可证件的，并由原发证部门吊销有关许可证件。</w:t>
            </w:r>
          </w:p>
        </w:tc>
      </w:tr>
    </w:tbl>
    <w:p>
      <w:pPr>
        <w:pStyle w:val="BodyText"/>
        <w:spacing w:line="434" w:lineRule="auto"/>
        <w:rPr/>
      </w:pPr>
      <w:r/>
    </w:p>
    <w:p>
      <w:pPr>
        <w:ind w:left="19" w:right="199" w:firstLine="659"/>
        <w:spacing w:before="97" w:line="278" w:lineRule="auto"/>
        <w:rPr>
          <w:rFonts w:ascii="FangSong" w:hAnsi="FangSong" w:eastAsia="FangSong" w:cs="FangSong"/>
          <w:sz w:val="30"/>
          <w:szCs w:val="30"/>
        </w:rPr>
      </w:pPr>
      <w:r>
        <w:rPr>
          <w:rFonts w:ascii="FangSong" w:hAnsi="FangSong" w:eastAsia="FangSong" w:cs="FangSong"/>
          <w:sz w:val="30"/>
          <w:szCs w:val="30"/>
          <w:b/>
          <w:bCs/>
          <w:spacing w:val="16"/>
        </w:rPr>
        <w:t>第一百一十一条</w:t>
      </w:r>
      <w:r>
        <w:rPr>
          <w:rFonts w:ascii="FangSong" w:hAnsi="FangSong" w:eastAsia="FangSong" w:cs="FangSong"/>
          <w:sz w:val="30"/>
          <w:szCs w:val="30"/>
          <w:spacing w:val="16"/>
        </w:rPr>
        <w:t xml:space="preserve">  </w:t>
      </w:r>
      <w:r>
        <w:rPr>
          <w:rFonts w:ascii="FangSong" w:hAnsi="FangSong" w:eastAsia="FangSong" w:cs="FangSong"/>
          <w:sz w:val="30"/>
          <w:szCs w:val="30"/>
          <w:b/>
          <w:bCs/>
          <w:spacing w:val="16"/>
        </w:rPr>
        <w:t>未依照规定采集病原微生物样本，或者对所采集样本的来源、采集过程和方</w:t>
      </w:r>
      <w:r>
        <w:rPr>
          <w:rFonts w:ascii="FangSong" w:hAnsi="FangSong" w:eastAsia="FangSong" w:cs="FangSong"/>
          <w:sz w:val="30"/>
          <w:szCs w:val="30"/>
          <w:spacing w:val="12"/>
        </w:rPr>
        <w:t xml:space="preserve"> </w:t>
      </w:r>
      <w:r>
        <w:rPr>
          <w:rFonts w:ascii="FangSong" w:hAnsi="FangSong" w:eastAsia="FangSong" w:cs="FangSong"/>
          <w:sz w:val="30"/>
          <w:szCs w:val="30"/>
          <w:b/>
          <w:bCs/>
          <w:spacing w:val="15"/>
        </w:rPr>
        <w:t>法等未作详细记录的</w:t>
      </w:r>
    </w:p>
    <w:p>
      <w:pPr>
        <w:ind w:left="675"/>
        <w:spacing w:before="6" w:line="222" w:lineRule="auto"/>
        <w:rPr>
          <w:rFonts w:ascii="FangSong" w:hAnsi="FangSong" w:eastAsia="FangSong" w:cs="FangSong"/>
          <w:sz w:val="26"/>
          <w:szCs w:val="26"/>
        </w:rPr>
      </w:pPr>
      <w:r>
        <w:rPr>
          <w:rFonts w:ascii="FangSong" w:hAnsi="FangSong" w:eastAsia="FangSong" w:cs="FangSong"/>
          <w:sz w:val="26"/>
          <w:szCs w:val="26"/>
          <w:spacing w:val="32"/>
        </w:rPr>
        <w:t>法律依据</w:t>
      </w:r>
      <w:r>
        <w:rPr>
          <w:rFonts w:ascii="FangSong" w:hAnsi="FangSong" w:eastAsia="FangSong" w:cs="FangSong"/>
          <w:sz w:val="26"/>
          <w:szCs w:val="26"/>
          <w:spacing w:val="-63"/>
        </w:rPr>
        <w:t xml:space="preserve"> </w:t>
      </w:r>
      <w:r>
        <w:rPr>
          <w:rFonts w:ascii="FangSong" w:hAnsi="FangSong" w:eastAsia="FangSong" w:cs="FangSong"/>
          <w:sz w:val="26"/>
          <w:szCs w:val="26"/>
          <w:spacing w:val="32"/>
        </w:rPr>
        <w:t>：</w:t>
      </w:r>
    </w:p>
    <w:p>
      <w:pPr>
        <w:ind w:left="15" w:right="39" w:firstLine="640"/>
        <w:spacing w:before="88" w:line="270" w:lineRule="auto"/>
        <w:jc w:val="both"/>
        <w:rPr>
          <w:rFonts w:ascii="FangSong" w:hAnsi="FangSong" w:eastAsia="FangSong" w:cs="FangSong"/>
          <w:sz w:val="30"/>
          <w:szCs w:val="30"/>
        </w:rPr>
      </w:pPr>
      <w:r>
        <w:rPr>
          <w:rFonts w:ascii="FangSong" w:hAnsi="FangSong" w:eastAsia="FangSong" w:cs="FangSong"/>
          <w:sz w:val="30"/>
          <w:szCs w:val="30"/>
          <w:spacing w:val="27"/>
        </w:rPr>
        <w:t>《病原微生物实验室生物安全管理条例》第六十条第(三)</w:t>
      </w:r>
      <w:r>
        <w:rPr>
          <w:rFonts w:ascii="FangSong" w:hAnsi="FangSong" w:eastAsia="FangSong" w:cs="FangSong"/>
          <w:sz w:val="30"/>
          <w:szCs w:val="30"/>
          <w:spacing w:val="26"/>
        </w:rPr>
        <w:t>项</w:t>
      </w:r>
      <w:r>
        <w:rPr>
          <w:rFonts w:ascii="FangSong" w:hAnsi="FangSong" w:eastAsia="FangSong" w:cs="FangSong"/>
          <w:sz w:val="30"/>
          <w:szCs w:val="30"/>
          <w:spacing w:val="26"/>
        </w:rPr>
        <w:t xml:space="preserve">   </w:t>
      </w:r>
      <w:r>
        <w:rPr>
          <w:rFonts w:ascii="FangSong" w:hAnsi="FangSong" w:eastAsia="FangSong" w:cs="FangSong"/>
          <w:sz w:val="30"/>
          <w:szCs w:val="30"/>
          <w:spacing w:val="26"/>
        </w:rPr>
        <w:t>实验室有下列行为之一的，由</w:t>
      </w:r>
      <w:r>
        <w:rPr>
          <w:rFonts w:ascii="FangSong" w:hAnsi="FangSong" w:eastAsia="FangSong" w:cs="FangSong"/>
          <w:sz w:val="30"/>
          <w:szCs w:val="30"/>
        </w:rPr>
        <w:t xml:space="preserve"> </w:t>
      </w:r>
      <w:r>
        <w:rPr>
          <w:rFonts w:ascii="FangSong" w:hAnsi="FangSong" w:eastAsia="FangSong" w:cs="FangSong"/>
          <w:sz w:val="30"/>
          <w:szCs w:val="30"/>
          <w:spacing w:val="17"/>
        </w:rPr>
        <w:t>县级以上地方人民政府卫生主管部门、兽医</w:t>
      </w:r>
      <w:r>
        <w:rPr>
          <w:rFonts w:ascii="FangSong" w:hAnsi="FangSong" w:eastAsia="FangSong" w:cs="FangSong"/>
          <w:sz w:val="30"/>
          <w:szCs w:val="30"/>
          <w:spacing w:val="16"/>
        </w:rPr>
        <w:t>主管部门依照各自职责，责令限期改正，给予警告；逾期</w:t>
      </w:r>
      <w:r>
        <w:rPr>
          <w:rFonts w:ascii="FangSong" w:hAnsi="FangSong" w:eastAsia="FangSong" w:cs="FangSong"/>
          <w:sz w:val="30"/>
          <w:szCs w:val="30"/>
        </w:rPr>
        <w:t xml:space="preserve"> </w:t>
      </w:r>
      <w:r>
        <w:rPr>
          <w:rFonts w:ascii="FangSong" w:hAnsi="FangSong" w:eastAsia="FangSong" w:cs="FangSong"/>
          <w:sz w:val="30"/>
          <w:szCs w:val="30"/>
          <w:spacing w:val="17"/>
        </w:rPr>
        <w:t>不改正的，由实验室的设立单位对主要负责</w:t>
      </w:r>
      <w:r>
        <w:rPr>
          <w:rFonts w:ascii="FangSong" w:hAnsi="FangSong" w:eastAsia="FangSong" w:cs="FangSong"/>
          <w:sz w:val="30"/>
          <w:szCs w:val="30"/>
          <w:spacing w:val="16"/>
        </w:rPr>
        <w:t>人、直接负责的主管人员和其他直接责任人员，依法给予</w:t>
      </w:r>
      <w:r>
        <w:rPr>
          <w:rFonts w:ascii="FangSong" w:hAnsi="FangSong" w:eastAsia="FangSong" w:cs="FangSong"/>
          <w:sz w:val="30"/>
          <w:szCs w:val="30"/>
        </w:rPr>
        <w:t xml:space="preserve"> </w:t>
      </w:r>
      <w:r>
        <w:rPr>
          <w:rFonts w:ascii="FangSong" w:hAnsi="FangSong" w:eastAsia="FangSong" w:cs="FangSong"/>
          <w:sz w:val="30"/>
          <w:szCs w:val="30"/>
          <w:spacing w:val="17"/>
        </w:rPr>
        <w:t>撤职、开除的处分；有许可证件的，并由原发证部门吊销有</w:t>
      </w:r>
      <w:r>
        <w:rPr>
          <w:rFonts w:ascii="FangSong" w:hAnsi="FangSong" w:eastAsia="FangSong" w:cs="FangSong"/>
          <w:sz w:val="30"/>
          <w:szCs w:val="30"/>
          <w:spacing w:val="16"/>
        </w:rPr>
        <w:t>关许可证件：</w:t>
      </w:r>
    </w:p>
    <w:p>
      <w:pPr>
        <w:ind w:left="15" w:right="13" w:firstLine="790"/>
        <w:spacing w:before="21" w:line="296" w:lineRule="auto"/>
        <w:rPr>
          <w:rFonts w:ascii="FangSong" w:hAnsi="FangSong" w:eastAsia="FangSong" w:cs="FangSong"/>
          <w:sz w:val="26"/>
          <w:szCs w:val="26"/>
        </w:rPr>
      </w:pPr>
      <w:r>
        <w:rPr>
          <w:rFonts w:ascii="FangSong" w:hAnsi="FangSong" w:eastAsia="FangSong" w:cs="FangSong"/>
          <w:sz w:val="30"/>
          <w:szCs w:val="30"/>
          <w:spacing w:val="21"/>
        </w:rPr>
        <w:t>(三)未依照规定采集病原微生物样本，或者对所采集样本的来源、</w:t>
      </w:r>
      <w:r>
        <w:rPr>
          <w:rFonts w:ascii="FangSong" w:hAnsi="FangSong" w:eastAsia="FangSong" w:cs="FangSong"/>
          <w:sz w:val="30"/>
          <w:szCs w:val="30"/>
          <w:spacing w:val="20"/>
        </w:rPr>
        <w:t>采集过程和方法等未作详细</w:t>
      </w:r>
      <w:r>
        <w:rPr>
          <w:rFonts w:ascii="FangSong" w:hAnsi="FangSong" w:eastAsia="FangSong" w:cs="FangSong"/>
          <w:sz w:val="30"/>
          <w:szCs w:val="30"/>
        </w:rPr>
        <w:t xml:space="preserve"> </w:t>
      </w:r>
      <w:r>
        <w:rPr>
          <w:rFonts w:ascii="FangSong" w:hAnsi="FangSong" w:eastAsia="FangSong" w:cs="FangSong"/>
          <w:sz w:val="26"/>
          <w:szCs w:val="26"/>
          <w:spacing w:val="-19"/>
        </w:rPr>
        <w:t>记</w:t>
      </w:r>
      <w:r>
        <w:rPr>
          <w:rFonts w:ascii="FangSong" w:hAnsi="FangSong" w:eastAsia="FangSong" w:cs="FangSong"/>
          <w:sz w:val="26"/>
          <w:szCs w:val="26"/>
          <w:spacing w:val="-32"/>
        </w:rPr>
        <w:t xml:space="preserve"> </w:t>
      </w:r>
      <w:r>
        <w:rPr>
          <w:rFonts w:ascii="FangSong" w:hAnsi="FangSong" w:eastAsia="FangSong" w:cs="FangSong"/>
          <w:sz w:val="26"/>
          <w:szCs w:val="26"/>
          <w:spacing w:val="-19"/>
        </w:rPr>
        <w:t>录</w:t>
      </w:r>
      <w:r>
        <w:rPr>
          <w:rFonts w:ascii="FangSong" w:hAnsi="FangSong" w:eastAsia="FangSong" w:cs="FangSong"/>
          <w:sz w:val="26"/>
          <w:szCs w:val="26"/>
          <w:spacing w:val="-27"/>
        </w:rPr>
        <w:t xml:space="preserve"> </w:t>
      </w:r>
      <w:r>
        <w:rPr>
          <w:rFonts w:ascii="FangSong" w:hAnsi="FangSong" w:eastAsia="FangSong" w:cs="FangSong"/>
          <w:sz w:val="26"/>
          <w:szCs w:val="26"/>
          <w:spacing w:val="-19"/>
        </w:rPr>
        <w:t>的</w:t>
      </w:r>
      <w:r>
        <w:rPr>
          <w:rFonts w:ascii="FangSong" w:hAnsi="FangSong" w:eastAsia="FangSong" w:cs="FangSong"/>
          <w:sz w:val="26"/>
          <w:szCs w:val="26"/>
          <w:spacing w:val="-59"/>
        </w:rPr>
        <w:t xml:space="preserve"> </w:t>
      </w:r>
      <w:r>
        <w:rPr>
          <w:rFonts w:ascii="FangSong" w:hAnsi="FangSong" w:eastAsia="FangSong" w:cs="FangSong"/>
          <w:sz w:val="26"/>
          <w:szCs w:val="26"/>
          <w:spacing w:val="-19"/>
        </w:rPr>
        <w:t>；</w:t>
      </w:r>
    </w:p>
    <w:p>
      <w:pPr>
        <w:spacing w:line="296" w:lineRule="auto"/>
        <w:sectPr>
          <w:footerReference w:type="default" r:id="rId187"/>
          <w:pgSz w:w="16830" w:h="11900"/>
          <w:pgMar w:top="1011" w:right="1425" w:bottom="1118" w:left="1414" w:header="0" w:footer="785" w:gutter="0"/>
        </w:sectPr>
        <w:rPr>
          <w:rFonts w:ascii="FangSong" w:hAnsi="FangSong" w:eastAsia="FangSong" w:cs="FangSong"/>
          <w:sz w:val="26"/>
          <w:szCs w:val="26"/>
        </w:rPr>
      </w:pPr>
    </w:p>
    <w:p>
      <w:pPr>
        <w:pStyle w:val="BodyText"/>
        <w:spacing w:line="262" w:lineRule="auto"/>
        <w:rPr/>
      </w:pPr>
      <w:r/>
    </w:p>
    <w:p>
      <w:pPr>
        <w:pStyle w:val="BodyText"/>
        <w:spacing w:line="263" w:lineRule="auto"/>
        <w:rPr/>
      </w:pPr>
      <w:r/>
    </w:p>
    <w:p>
      <w:pPr>
        <w:pStyle w:val="BodyText"/>
        <w:spacing w:line="263" w:lineRule="auto"/>
        <w:rPr/>
      </w:pPr>
      <w:r/>
    </w:p>
    <w:p>
      <w:pPr>
        <w:ind w:left="6739"/>
        <w:spacing w:before="94" w:line="214" w:lineRule="auto"/>
        <w:rPr>
          <w:rFonts w:ascii="SimSun" w:hAnsi="SimSun" w:eastAsia="SimSun" w:cs="SimSun"/>
          <w:sz w:val="29"/>
          <w:szCs w:val="29"/>
        </w:rPr>
      </w:pPr>
      <w:bookmarkStart w:name="bookmark843" w:id="169"/>
      <w:bookmarkEnd w:id="169"/>
      <w:r>
        <w:rPr>
          <w:rFonts w:ascii="SimSun" w:hAnsi="SimSun" w:eastAsia="SimSun" w:cs="SimSun"/>
          <w:sz w:val="29"/>
          <w:szCs w:val="29"/>
          <w:b/>
          <w:bCs/>
          <w:spacing w:val="-6"/>
        </w:rPr>
        <w:t>裁量标准</w:t>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74"/>
        <w:gridCol w:w="6315"/>
        <w:gridCol w:w="6091"/>
      </w:tblGrid>
      <w:tr>
        <w:trPr>
          <w:trHeight w:val="831" w:hRule="atLeast"/>
        </w:trPr>
        <w:tc>
          <w:tcPr>
            <w:tcW w:w="1574" w:type="dxa"/>
            <w:vAlign w:val="top"/>
          </w:tcPr>
          <w:p>
            <w:pPr>
              <w:pStyle w:val="TableText"/>
              <w:ind w:left="278"/>
              <w:spacing w:before="292" w:line="220" w:lineRule="auto"/>
              <w:rPr>
                <w:sz w:val="25"/>
                <w:szCs w:val="25"/>
              </w:rPr>
            </w:pPr>
            <w:r>
              <w:rPr>
                <w:sz w:val="25"/>
                <w:szCs w:val="25"/>
                <w:b/>
                <w:bCs/>
                <w:spacing w:val="-5"/>
              </w:rPr>
              <w:t>违法程度</w:t>
            </w:r>
          </w:p>
        </w:tc>
        <w:tc>
          <w:tcPr>
            <w:tcW w:w="6315" w:type="dxa"/>
            <w:vAlign w:val="top"/>
          </w:tcPr>
          <w:p>
            <w:pPr>
              <w:pStyle w:val="TableText"/>
              <w:ind w:left="2584"/>
              <w:spacing w:before="292" w:line="220" w:lineRule="auto"/>
              <w:rPr>
                <w:sz w:val="25"/>
                <w:szCs w:val="25"/>
              </w:rPr>
            </w:pPr>
            <w:r>
              <w:rPr>
                <w:sz w:val="25"/>
                <w:szCs w:val="25"/>
                <w:b/>
                <w:bCs/>
                <w:spacing w:val="-5"/>
              </w:rPr>
              <w:t>情节后果</w:t>
            </w:r>
          </w:p>
        </w:tc>
        <w:tc>
          <w:tcPr>
            <w:tcW w:w="6091" w:type="dxa"/>
            <w:vAlign w:val="top"/>
          </w:tcPr>
          <w:p>
            <w:pPr>
              <w:pStyle w:val="TableText"/>
              <w:ind w:left="2499"/>
              <w:spacing w:before="289" w:line="218" w:lineRule="auto"/>
              <w:rPr>
                <w:sz w:val="25"/>
                <w:szCs w:val="25"/>
              </w:rPr>
            </w:pPr>
            <w:r>
              <w:rPr>
                <w:sz w:val="25"/>
                <w:szCs w:val="25"/>
                <w:b/>
                <w:bCs/>
                <w:spacing w:val="-5"/>
              </w:rPr>
              <w:t>裁量幅度</w:t>
            </w:r>
          </w:p>
        </w:tc>
      </w:tr>
      <w:tr>
        <w:trPr>
          <w:trHeight w:val="657" w:hRule="atLeast"/>
        </w:trPr>
        <w:tc>
          <w:tcPr>
            <w:tcW w:w="1574" w:type="dxa"/>
            <w:vAlign w:val="top"/>
          </w:tcPr>
          <w:p>
            <w:pPr>
              <w:pStyle w:val="TableText"/>
              <w:ind w:left="528"/>
              <w:spacing w:before="212" w:line="221" w:lineRule="auto"/>
              <w:rPr>
                <w:sz w:val="25"/>
                <w:szCs w:val="25"/>
              </w:rPr>
            </w:pPr>
            <w:r>
              <w:rPr>
                <w:sz w:val="25"/>
                <w:szCs w:val="25"/>
                <w:b/>
                <w:bCs/>
                <w:spacing w:val="-10"/>
              </w:rPr>
              <w:t>一般</w:t>
            </w:r>
          </w:p>
        </w:tc>
        <w:tc>
          <w:tcPr>
            <w:tcW w:w="6315" w:type="dxa"/>
            <w:vAlign w:val="top"/>
          </w:tcPr>
          <w:p>
            <w:pPr>
              <w:pStyle w:val="TableText"/>
              <w:ind w:left="111"/>
              <w:spacing w:before="214" w:line="219" w:lineRule="auto"/>
              <w:rPr>
                <w:sz w:val="25"/>
                <w:szCs w:val="25"/>
              </w:rPr>
            </w:pPr>
            <w:r>
              <w:rPr>
                <w:sz w:val="25"/>
                <w:szCs w:val="25"/>
                <w:spacing w:val="-1"/>
              </w:rPr>
              <w:t>首次发现违法行为。</w:t>
            </w:r>
          </w:p>
        </w:tc>
        <w:tc>
          <w:tcPr>
            <w:tcW w:w="6091" w:type="dxa"/>
            <w:vAlign w:val="top"/>
          </w:tcPr>
          <w:p>
            <w:pPr>
              <w:pStyle w:val="TableText"/>
              <w:ind w:left="136"/>
              <w:spacing w:before="212" w:line="218" w:lineRule="auto"/>
              <w:rPr>
                <w:sz w:val="25"/>
                <w:szCs w:val="25"/>
              </w:rPr>
            </w:pPr>
            <w:r>
              <w:rPr>
                <w:sz w:val="25"/>
                <w:szCs w:val="25"/>
              </w:rPr>
              <w:t>给予警告。</w:t>
            </w:r>
          </w:p>
        </w:tc>
      </w:tr>
      <w:tr>
        <w:trPr>
          <w:trHeight w:val="751" w:hRule="atLeast"/>
        </w:trPr>
        <w:tc>
          <w:tcPr>
            <w:tcW w:w="1574" w:type="dxa"/>
            <w:vAlign w:val="top"/>
          </w:tcPr>
          <w:p>
            <w:pPr>
              <w:pStyle w:val="TableText"/>
              <w:ind w:left="528"/>
              <w:spacing w:before="257" w:line="221" w:lineRule="auto"/>
              <w:rPr>
                <w:sz w:val="25"/>
                <w:szCs w:val="25"/>
              </w:rPr>
            </w:pPr>
            <w:r>
              <w:rPr>
                <w:sz w:val="25"/>
                <w:szCs w:val="25"/>
                <w:b/>
                <w:bCs/>
                <w:spacing w:val="-6"/>
              </w:rPr>
              <w:t>较重</w:t>
            </w:r>
          </w:p>
        </w:tc>
        <w:tc>
          <w:tcPr>
            <w:tcW w:w="6315" w:type="dxa"/>
            <w:vAlign w:val="top"/>
          </w:tcPr>
          <w:p>
            <w:pPr>
              <w:pStyle w:val="TableText"/>
              <w:ind w:left="111"/>
              <w:spacing w:before="305" w:line="219" w:lineRule="auto"/>
              <w:rPr>
                <w:sz w:val="25"/>
                <w:szCs w:val="25"/>
              </w:rPr>
            </w:pPr>
            <w:r>
              <w:rPr>
                <w:sz w:val="25"/>
                <w:szCs w:val="25"/>
                <w:spacing w:val="-1"/>
              </w:rPr>
              <w:t>责令限期改正后，逾期不改正。</w:t>
            </w:r>
          </w:p>
        </w:tc>
        <w:tc>
          <w:tcPr>
            <w:tcW w:w="6091" w:type="dxa"/>
            <w:vAlign w:val="top"/>
          </w:tcPr>
          <w:p>
            <w:pPr>
              <w:pStyle w:val="TableText"/>
              <w:ind w:left="136"/>
              <w:spacing w:before="307" w:line="219" w:lineRule="auto"/>
              <w:rPr>
                <w:sz w:val="25"/>
                <w:szCs w:val="25"/>
              </w:rPr>
            </w:pPr>
            <w:r>
              <w:rPr>
                <w:sz w:val="25"/>
                <w:szCs w:val="25"/>
              </w:rPr>
              <w:t>有许可证件的，并由原发证部门吊销有关许可证件。</w:t>
            </w:r>
          </w:p>
        </w:tc>
      </w:tr>
    </w:tbl>
    <w:p>
      <w:pPr>
        <w:pStyle w:val="BodyText"/>
        <w:spacing w:line="456" w:lineRule="auto"/>
        <w:rPr/>
      </w:pPr>
      <w:r/>
    </w:p>
    <w:p>
      <w:pPr>
        <w:ind w:left="59" w:right="162" w:firstLine="649"/>
        <w:spacing w:before="98" w:line="267" w:lineRule="auto"/>
        <w:rPr>
          <w:rFonts w:ascii="FangSong" w:hAnsi="FangSong" w:eastAsia="FangSong" w:cs="FangSong"/>
          <w:sz w:val="30"/>
          <w:szCs w:val="30"/>
        </w:rPr>
      </w:pPr>
      <w:r>
        <w:rPr>
          <w:rFonts w:ascii="FangSong" w:hAnsi="FangSong" w:eastAsia="FangSong" w:cs="FangSong"/>
          <w:sz w:val="30"/>
          <w:szCs w:val="30"/>
          <w:b/>
          <w:bCs/>
          <w:spacing w:val="17"/>
        </w:rPr>
        <w:t>第一百一十二条</w:t>
      </w:r>
      <w:r>
        <w:rPr>
          <w:rFonts w:ascii="FangSong" w:hAnsi="FangSong" w:eastAsia="FangSong" w:cs="FangSong"/>
          <w:sz w:val="30"/>
          <w:szCs w:val="30"/>
          <w:spacing w:val="17"/>
        </w:rPr>
        <w:t xml:space="preserve">  </w:t>
      </w:r>
      <w:r>
        <w:rPr>
          <w:rFonts w:ascii="FangSong" w:hAnsi="FangSong" w:eastAsia="FangSong" w:cs="FangSong"/>
          <w:sz w:val="30"/>
          <w:szCs w:val="30"/>
          <w:b/>
          <w:bCs/>
          <w:spacing w:val="17"/>
        </w:rPr>
        <w:t>新建、改建或者扩建一</w:t>
      </w:r>
      <w:r>
        <w:rPr>
          <w:rFonts w:ascii="FangSong" w:hAnsi="FangSong" w:eastAsia="FangSong" w:cs="FangSong"/>
          <w:sz w:val="30"/>
          <w:szCs w:val="30"/>
          <w:b/>
          <w:bCs/>
          <w:spacing w:val="16"/>
        </w:rPr>
        <w:t>级、二级实验室未向设区的市级人民政府卫生主管部</w:t>
      </w:r>
      <w:r>
        <w:rPr>
          <w:rFonts w:ascii="FangSong" w:hAnsi="FangSong" w:eastAsia="FangSong" w:cs="FangSong"/>
          <w:sz w:val="30"/>
          <w:szCs w:val="30"/>
        </w:rPr>
        <w:t xml:space="preserve"> </w:t>
      </w:r>
      <w:r>
        <w:rPr>
          <w:rFonts w:ascii="FangSong" w:hAnsi="FangSong" w:eastAsia="FangSong" w:cs="FangSong"/>
          <w:sz w:val="30"/>
          <w:szCs w:val="30"/>
          <w:b/>
          <w:bCs/>
          <w:spacing w:val="14"/>
        </w:rPr>
        <w:t>门或者兽医主管部门备案的</w:t>
      </w:r>
    </w:p>
    <w:p>
      <w:pPr>
        <w:ind w:left="695"/>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55" w:right="10" w:firstLine="619"/>
        <w:spacing w:before="79" w:line="270" w:lineRule="auto"/>
        <w:jc w:val="both"/>
        <w:rPr>
          <w:rFonts w:ascii="FangSong" w:hAnsi="FangSong" w:eastAsia="FangSong" w:cs="FangSong"/>
          <w:sz w:val="30"/>
          <w:szCs w:val="30"/>
        </w:rPr>
      </w:pPr>
      <w:r>
        <w:rPr>
          <w:rFonts w:ascii="FangSong" w:hAnsi="FangSong" w:eastAsia="FangSong" w:cs="FangSong"/>
          <w:sz w:val="30"/>
          <w:szCs w:val="30"/>
          <w:spacing w:val="27"/>
        </w:rPr>
        <w:t>《病原微生物实验室生物安全管理条例》第六十条第(四)</w:t>
      </w:r>
      <w:r>
        <w:rPr>
          <w:rFonts w:ascii="FangSong" w:hAnsi="FangSong" w:eastAsia="FangSong" w:cs="FangSong"/>
          <w:sz w:val="30"/>
          <w:szCs w:val="30"/>
          <w:spacing w:val="26"/>
        </w:rPr>
        <w:t>项</w:t>
      </w:r>
      <w:r>
        <w:rPr>
          <w:rFonts w:ascii="FangSong" w:hAnsi="FangSong" w:eastAsia="FangSong" w:cs="FangSong"/>
          <w:sz w:val="30"/>
          <w:szCs w:val="30"/>
          <w:spacing w:val="26"/>
        </w:rPr>
        <w:t xml:space="preserve">   </w:t>
      </w:r>
      <w:r>
        <w:rPr>
          <w:rFonts w:ascii="FangSong" w:hAnsi="FangSong" w:eastAsia="FangSong" w:cs="FangSong"/>
          <w:sz w:val="30"/>
          <w:szCs w:val="30"/>
          <w:spacing w:val="26"/>
        </w:rPr>
        <w:t>实验室有下列行为之一的，由</w:t>
      </w:r>
      <w:r>
        <w:rPr>
          <w:rFonts w:ascii="FangSong" w:hAnsi="FangSong" w:eastAsia="FangSong" w:cs="FangSong"/>
          <w:sz w:val="30"/>
          <w:szCs w:val="30"/>
        </w:rPr>
        <w:t xml:space="preserve"> </w:t>
      </w:r>
      <w:r>
        <w:rPr>
          <w:rFonts w:ascii="FangSong" w:hAnsi="FangSong" w:eastAsia="FangSong" w:cs="FangSong"/>
          <w:sz w:val="30"/>
          <w:szCs w:val="30"/>
          <w:spacing w:val="17"/>
        </w:rPr>
        <w:t>县级以上地方人民政府卫生主管部门、兽医</w:t>
      </w:r>
      <w:r>
        <w:rPr>
          <w:rFonts w:ascii="FangSong" w:hAnsi="FangSong" w:eastAsia="FangSong" w:cs="FangSong"/>
          <w:sz w:val="30"/>
          <w:szCs w:val="30"/>
          <w:spacing w:val="16"/>
        </w:rPr>
        <w:t>主管部门依照各自职责，责令限期改正，给予警告；逾期</w:t>
      </w:r>
      <w:r>
        <w:rPr>
          <w:rFonts w:ascii="FangSong" w:hAnsi="FangSong" w:eastAsia="FangSong" w:cs="FangSong"/>
          <w:sz w:val="30"/>
          <w:szCs w:val="30"/>
        </w:rPr>
        <w:t xml:space="preserve"> </w:t>
      </w:r>
      <w:r>
        <w:rPr>
          <w:rFonts w:ascii="FangSong" w:hAnsi="FangSong" w:eastAsia="FangSong" w:cs="FangSong"/>
          <w:sz w:val="30"/>
          <w:szCs w:val="30"/>
          <w:spacing w:val="17"/>
        </w:rPr>
        <w:t>不改正的，由实验室的设立单位对主要负责</w:t>
      </w:r>
      <w:r>
        <w:rPr>
          <w:rFonts w:ascii="FangSong" w:hAnsi="FangSong" w:eastAsia="FangSong" w:cs="FangSong"/>
          <w:sz w:val="30"/>
          <w:szCs w:val="30"/>
          <w:spacing w:val="16"/>
        </w:rPr>
        <w:t>人、直接负责的主管人员和其他直接责任人员，依法给予</w:t>
      </w:r>
      <w:r>
        <w:rPr>
          <w:rFonts w:ascii="FangSong" w:hAnsi="FangSong" w:eastAsia="FangSong" w:cs="FangSong"/>
          <w:sz w:val="30"/>
          <w:szCs w:val="30"/>
        </w:rPr>
        <w:t xml:space="preserve"> </w:t>
      </w:r>
      <w:r>
        <w:rPr>
          <w:rFonts w:ascii="FangSong" w:hAnsi="FangSong" w:eastAsia="FangSong" w:cs="FangSong"/>
          <w:sz w:val="30"/>
          <w:szCs w:val="30"/>
          <w:spacing w:val="17"/>
        </w:rPr>
        <w:t>撤职、开除的处分；有许可证件的，并由原发证部门吊销有</w:t>
      </w:r>
      <w:r>
        <w:rPr>
          <w:rFonts w:ascii="FangSong" w:hAnsi="FangSong" w:eastAsia="FangSong" w:cs="FangSong"/>
          <w:sz w:val="30"/>
          <w:szCs w:val="30"/>
          <w:spacing w:val="16"/>
        </w:rPr>
        <w:t>关许可证件：</w:t>
      </w:r>
    </w:p>
    <w:p>
      <w:pPr>
        <w:ind w:left="55" w:right="18" w:firstLine="769"/>
        <w:spacing w:before="23" w:line="265" w:lineRule="auto"/>
        <w:rPr>
          <w:rFonts w:ascii="FangSong" w:hAnsi="FangSong" w:eastAsia="FangSong" w:cs="FangSong"/>
          <w:sz w:val="30"/>
          <w:szCs w:val="30"/>
        </w:rPr>
      </w:pPr>
      <w:r>
        <w:rPr>
          <w:rFonts w:ascii="FangSong" w:hAnsi="FangSong" w:eastAsia="FangSong" w:cs="FangSong"/>
          <w:sz w:val="30"/>
          <w:szCs w:val="30"/>
          <w:spacing w:val="20"/>
        </w:rPr>
        <w:t>(四)新建、改建或者扩建一级、二级实验室未向设区的市级人民政府卫生主管部门或者兽医主</w:t>
      </w:r>
      <w:r>
        <w:rPr>
          <w:rFonts w:ascii="FangSong" w:hAnsi="FangSong" w:eastAsia="FangSong" w:cs="FangSong"/>
          <w:sz w:val="30"/>
          <w:szCs w:val="30"/>
          <w:spacing w:val="5"/>
        </w:rPr>
        <w:t xml:space="preserve"> </w:t>
      </w:r>
      <w:r>
        <w:rPr>
          <w:rFonts w:ascii="FangSong" w:hAnsi="FangSong" w:eastAsia="FangSong" w:cs="FangSong"/>
          <w:sz w:val="30"/>
          <w:szCs w:val="30"/>
          <w:spacing w:val="4"/>
        </w:rPr>
        <w:t>管部门备案的；</w:t>
      </w:r>
    </w:p>
    <w:p>
      <w:pPr>
        <w:pStyle w:val="BodyText"/>
        <w:spacing w:line="274" w:lineRule="auto"/>
        <w:rPr/>
      </w:pPr>
      <w:r/>
    </w:p>
    <w:p>
      <w:pPr>
        <w:pStyle w:val="BodyText"/>
        <w:spacing w:line="274" w:lineRule="auto"/>
        <w:rPr/>
      </w:pPr>
      <w:r/>
    </w:p>
    <w:p>
      <w:pPr>
        <w:pStyle w:val="BodyText"/>
        <w:spacing w:line="274" w:lineRule="auto"/>
        <w:rPr/>
      </w:pPr>
      <w:r/>
    </w:p>
    <w:p>
      <w:pPr>
        <w:pStyle w:val="BodyText"/>
        <w:spacing w:line="274" w:lineRule="auto"/>
        <w:rPr/>
      </w:pPr>
      <w:r/>
    </w:p>
    <w:p>
      <w:pPr>
        <w:pStyle w:val="BodyText"/>
        <w:spacing w:line="274" w:lineRule="auto"/>
        <w:rPr/>
      </w:pPr>
      <w:r/>
    </w:p>
    <w:p>
      <w:pPr>
        <w:pStyle w:val="BodyText"/>
        <w:spacing w:line="274" w:lineRule="auto"/>
        <w:rPr/>
      </w:pPr>
      <w:r/>
    </w:p>
    <w:p>
      <w:pPr>
        <w:ind w:left="6395"/>
        <w:spacing w:before="110" w:line="188"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2"/>
        </w:rPr>
        <w:t>—199—</w:t>
      </w:r>
    </w:p>
    <w:p>
      <w:pPr>
        <w:spacing w:line="188" w:lineRule="auto"/>
        <w:sectPr>
          <w:footerReference w:type="default" r:id="rId24"/>
          <w:pgSz w:w="16830" w:h="11900"/>
          <w:pgMar w:top="1011" w:right="1445" w:bottom="400" w:left="1394" w:header="0" w:footer="0" w:gutter="0"/>
        </w:sectPr>
        <w:rPr>
          <w:rFonts w:ascii="Times New Roman" w:hAnsi="Times New Roman" w:eastAsia="Times New Roman" w:cs="Times New Roman"/>
          <w:sz w:val="38"/>
          <w:szCs w:val="38"/>
        </w:rPr>
      </w:pPr>
    </w:p>
    <w:p>
      <w:pPr>
        <w:pStyle w:val="BodyText"/>
        <w:spacing w:line="263" w:lineRule="auto"/>
        <w:rPr/>
      </w:pPr>
      <w:r/>
    </w:p>
    <w:p>
      <w:pPr>
        <w:pStyle w:val="BodyText"/>
        <w:spacing w:line="263" w:lineRule="auto"/>
        <w:rPr/>
      </w:pPr>
      <w:r/>
    </w:p>
    <w:p>
      <w:pPr>
        <w:pStyle w:val="BodyText"/>
        <w:spacing w:line="264" w:lineRule="auto"/>
        <w:rPr/>
      </w:pPr>
      <w:r/>
    </w:p>
    <w:p>
      <w:pPr>
        <w:ind w:left="6719"/>
        <w:spacing w:before="91" w:line="220" w:lineRule="auto"/>
        <w:rPr>
          <w:rFonts w:ascii="SimSun" w:hAnsi="SimSun" w:eastAsia="SimSun" w:cs="SimSun"/>
          <w:sz w:val="28"/>
          <w:szCs w:val="28"/>
        </w:rPr>
      </w:pPr>
      <w:bookmarkStart w:name="bookmark844" w:id="170"/>
      <w:bookmarkEnd w:id="170"/>
      <w:r>
        <w:rPr>
          <w:rFonts w:ascii="SimSun" w:hAnsi="SimSun" w:eastAsia="SimSun" w:cs="SimSun"/>
          <w:sz w:val="28"/>
          <w:szCs w:val="28"/>
          <w:b/>
          <w:bCs/>
          <w:spacing w:val="-6"/>
        </w:rPr>
        <w:t>裁量标准</w:t>
      </w:r>
    </w:p>
    <w:p>
      <w:pPr>
        <w:spacing w:line="31" w:lineRule="auto"/>
        <w:rPr>
          <w:rFonts w:ascii="Arial"/>
          <w:sz w:val="2"/>
        </w:rPr>
      </w:pPr>
      <w:r>
        <w:rPr>
          <w:rFonts w:ascii="Arial"/>
          <w:sz w:val="2"/>
        </w:rPr>
      </w:r>
    </w:p>
    <w:tbl>
      <w:tblPr>
        <w:tblStyle w:val="TableNormal"/>
        <w:tblW w:w="139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794"/>
        <w:gridCol w:w="4712"/>
      </w:tblGrid>
      <w:tr>
        <w:trPr>
          <w:trHeight w:val="831" w:hRule="atLeast"/>
        </w:trPr>
        <w:tc>
          <w:tcPr>
            <w:tcW w:w="1434" w:type="dxa"/>
            <w:vAlign w:val="top"/>
          </w:tcPr>
          <w:p>
            <w:pPr>
              <w:pStyle w:val="TableText"/>
              <w:ind w:left="208"/>
              <w:spacing w:before="292" w:line="220" w:lineRule="auto"/>
              <w:rPr>
                <w:sz w:val="25"/>
                <w:szCs w:val="25"/>
              </w:rPr>
            </w:pPr>
            <w:r>
              <w:rPr>
                <w:sz w:val="25"/>
                <w:szCs w:val="25"/>
                <w:b/>
                <w:bCs/>
                <w:spacing w:val="-5"/>
              </w:rPr>
              <w:t>违法程度</w:t>
            </w:r>
          </w:p>
        </w:tc>
        <w:tc>
          <w:tcPr>
            <w:tcW w:w="7794" w:type="dxa"/>
            <w:vAlign w:val="top"/>
          </w:tcPr>
          <w:p>
            <w:pPr>
              <w:pStyle w:val="TableText"/>
              <w:ind w:left="3324"/>
              <w:spacing w:before="292" w:line="220" w:lineRule="auto"/>
              <w:rPr>
                <w:sz w:val="25"/>
                <w:szCs w:val="25"/>
              </w:rPr>
            </w:pPr>
            <w:r>
              <w:rPr>
                <w:sz w:val="25"/>
                <w:szCs w:val="25"/>
                <w:b/>
                <w:bCs/>
                <w:spacing w:val="-5"/>
              </w:rPr>
              <w:t>情节后果</w:t>
            </w:r>
          </w:p>
        </w:tc>
        <w:tc>
          <w:tcPr>
            <w:tcW w:w="4712" w:type="dxa"/>
            <w:vAlign w:val="top"/>
          </w:tcPr>
          <w:p>
            <w:pPr>
              <w:pStyle w:val="TableText"/>
              <w:ind w:left="1790"/>
              <w:spacing w:before="289" w:line="218" w:lineRule="auto"/>
              <w:rPr>
                <w:sz w:val="25"/>
                <w:szCs w:val="25"/>
              </w:rPr>
            </w:pPr>
            <w:r>
              <w:rPr>
                <w:sz w:val="25"/>
                <w:szCs w:val="25"/>
                <w:b/>
                <w:bCs/>
                <w:spacing w:val="-5"/>
              </w:rPr>
              <w:t>裁量幅度</w:t>
            </w:r>
          </w:p>
        </w:tc>
      </w:tr>
      <w:tr>
        <w:trPr>
          <w:trHeight w:val="607" w:hRule="atLeast"/>
        </w:trPr>
        <w:tc>
          <w:tcPr>
            <w:tcW w:w="1434" w:type="dxa"/>
            <w:vAlign w:val="top"/>
          </w:tcPr>
          <w:p>
            <w:pPr>
              <w:pStyle w:val="TableText"/>
              <w:ind w:left="458"/>
              <w:spacing w:before="242" w:line="221" w:lineRule="auto"/>
              <w:rPr>
                <w:sz w:val="25"/>
                <w:szCs w:val="25"/>
              </w:rPr>
            </w:pPr>
            <w:r>
              <w:rPr>
                <w:sz w:val="25"/>
                <w:szCs w:val="25"/>
                <w:b/>
                <w:bCs/>
                <w:spacing w:val="-10"/>
              </w:rPr>
              <w:t>一般</w:t>
            </w:r>
          </w:p>
        </w:tc>
        <w:tc>
          <w:tcPr>
            <w:tcW w:w="7794" w:type="dxa"/>
            <w:vAlign w:val="top"/>
          </w:tcPr>
          <w:p>
            <w:pPr>
              <w:pStyle w:val="TableText"/>
              <w:ind w:left="120"/>
              <w:spacing w:before="244" w:line="219" w:lineRule="auto"/>
              <w:rPr>
                <w:sz w:val="25"/>
                <w:szCs w:val="25"/>
              </w:rPr>
            </w:pPr>
            <w:r>
              <w:rPr>
                <w:sz w:val="25"/>
                <w:szCs w:val="25"/>
              </w:rPr>
              <w:t>首次发现违法行为。</w:t>
            </w:r>
          </w:p>
        </w:tc>
        <w:tc>
          <w:tcPr>
            <w:tcW w:w="4712" w:type="dxa"/>
            <w:vAlign w:val="top"/>
          </w:tcPr>
          <w:p>
            <w:pPr>
              <w:pStyle w:val="TableText"/>
              <w:ind w:left="97"/>
              <w:spacing w:before="242" w:line="218" w:lineRule="auto"/>
              <w:rPr>
                <w:sz w:val="25"/>
                <w:szCs w:val="25"/>
              </w:rPr>
            </w:pPr>
            <w:r>
              <w:rPr>
                <w:sz w:val="25"/>
                <w:szCs w:val="25"/>
                <w:spacing w:val="1"/>
              </w:rPr>
              <w:t>给予警告。</w:t>
            </w:r>
          </w:p>
        </w:tc>
      </w:tr>
      <w:tr>
        <w:trPr>
          <w:trHeight w:val="891" w:hRule="atLeast"/>
        </w:trPr>
        <w:tc>
          <w:tcPr>
            <w:tcW w:w="1434" w:type="dxa"/>
            <w:vAlign w:val="top"/>
          </w:tcPr>
          <w:p>
            <w:pPr>
              <w:spacing w:line="313" w:lineRule="auto"/>
              <w:rPr>
                <w:rFonts w:ascii="Arial"/>
                <w:sz w:val="21"/>
              </w:rPr>
            </w:pPr>
            <w:r/>
          </w:p>
          <w:p>
            <w:pPr>
              <w:pStyle w:val="TableText"/>
              <w:ind w:left="458"/>
              <w:spacing w:before="82" w:line="221" w:lineRule="auto"/>
              <w:rPr>
                <w:sz w:val="25"/>
                <w:szCs w:val="25"/>
              </w:rPr>
            </w:pPr>
            <w:r>
              <w:rPr>
                <w:sz w:val="25"/>
                <w:szCs w:val="25"/>
                <w:b/>
                <w:bCs/>
                <w:spacing w:val="-6"/>
              </w:rPr>
              <w:t>较重</w:t>
            </w:r>
          </w:p>
        </w:tc>
        <w:tc>
          <w:tcPr>
            <w:tcW w:w="7794" w:type="dxa"/>
            <w:vAlign w:val="top"/>
          </w:tcPr>
          <w:p>
            <w:pPr>
              <w:spacing w:line="312" w:lineRule="auto"/>
              <w:rPr>
                <w:rFonts w:ascii="Arial"/>
                <w:sz w:val="21"/>
              </w:rPr>
            </w:pPr>
            <w:r/>
          </w:p>
          <w:p>
            <w:pPr>
              <w:pStyle w:val="TableText"/>
              <w:ind w:left="120"/>
              <w:spacing w:before="81" w:line="219" w:lineRule="auto"/>
              <w:rPr>
                <w:sz w:val="25"/>
                <w:szCs w:val="25"/>
              </w:rPr>
            </w:pPr>
            <w:r>
              <w:rPr>
                <w:sz w:val="25"/>
                <w:szCs w:val="25"/>
              </w:rPr>
              <w:t>责令限期改正后，逾期不改正。</w:t>
            </w:r>
          </w:p>
        </w:tc>
        <w:tc>
          <w:tcPr>
            <w:tcW w:w="4712" w:type="dxa"/>
            <w:vAlign w:val="top"/>
          </w:tcPr>
          <w:p>
            <w:pPr>
              <w:pStyle w:val="TableText"/>
              <w:ind w:left="97" w:firstLine="9"/>
              <w:spacing w:before="176" w:line="260" w:lineRule="auto"/>
              <w:rPr>
                <w:sz w:val="25"/>
                <w:szCs w:val="25"/>
              </w:rPr>
            </w:pPr>
            <w:r>
              <w:rPr>
                <w:sz w:val="25"/>
                <w:szCs w:val="25"/>
                <w:spacing w:val="-9"/>
              </w:rPr>
              <w:t>有许可证件的，并由原发证部门吊销有关许</w:t>
            </w:r>
            <w:r>
              <w:rPr>
                <w:sz w:val="25"/>
                <w:szCs w:val="25"/>
                <w:spacing w:val="15"/>
              </w:rPr>
              <w:t xml:space="preserve"> </w:t>
            </w:r>
            <w:r>
              <w:rPr>
                <w:sz w:val="25"/>
                <w:szCs w:val="25"/>
                <w:spacing w:val="1"/>
              </w:rPr>
              <w:t>可证件。</w:t>
            </w:r>
          </w:p>
        </w:tc>
      </w:tr>
    </w:tbl>
    <w:p>
      <w:pPr>
        <w:pStyle w:val="BodyText"/>
        <w:spacing w:line="450" w:lineRule="auto"/>
        <w:rPr/>
      </w:pPr>
      <w:r/>
    </w:p>
    <w:p>
      <w:pPr>
        <w:ind w:left="29" w:firstLine="649"/>
        <w:spacing w:before="97" w:line="281" w:lineRule="auto"/>
        <w:rPr>
          <w:rFonts w:ascii="KaiTi" w:hAnsi="KaiTi" w:eastAsia="KaiTi" w:cs="KaiTi"/>
          <w:sz w:val="30"/>
          <w:szCs w:val="30"/>
        </w:rPr>
      </w:pPr>
      <w:r>
        <w:rPr>
          <w:rFonts w:ascii="KaiTi" w:hAnsi="KaiTi" w:eastAsia="KaiTi" w:cs="KaiTi"/>
          <w:sz w:val="30"/>
          <w:szCs w:val="30"/>
          <w:b/>
          <w:bCs/>
          <w:spacing w:val="16"/>
        </w:rPr>
        <w:t>第一百一十三条</w:t>
      </w:r>
      <w:r>
        <w:rPr>
          <w:rFonts w:ascii="KaiTi" w:hAnsi="KaiTi" w:eastAsia="KaiTi" w:cs="KaiTi"/>
          <w:sz w:val="30"/>
          <w:szCs w:val="30"/>
          <w:spacing w:val="16"/>
        </w:rPr>
        <w:t xml:space="preserve">  </w:t>
      </w:r>
      <w:r>
        <w:rPr>
          <w:rFonts w:ascii="KaiTi" w:hAnsi="KaiTi" w:eastAsia="KaiTi" w:cs="KaiTi"/>
          <w:sz w:val="30"/>
          <w:szCs w:val="30"/>
          <w:b/>
          <w:bCs/>
          <w:spacing w:val="16"/>
        </w:rPr>
        <w:t>未依照规定定期对工作人员进行培训，</w:t>
      </w:r>
      <w:r>
        <w:rPr>
          <w:rFonts w:ascii="KaiTi" w:hAnsi="KaiTi" w:eastAsia="KaiTi" w:cs="KaiTi"/>
          <w:sz w:val="30"/>
          <w:szCs w:val="30"/>
          <w:b/>
          <w:bCs/>
          <w:spacing w:val="15"/>
        </w:rPr>
        <w:t>或者工作人员考核不合格允许其上岗，</w:t>
      </w:r>
      <w:r>
        <w:rPr>
          <w:rFonts w:ascii="KaiTi" w:hAnsi="KaiTi" w:eastAsia="KaiTi" w:cs="KaiTi"/>
          <w:sz w:val="30"/>
          <w:szCs w:val="30"/>
        </w:rPr>
        <w:t xml:space="preserve"> </w:t>
      </w:r>
      <w:r>
        <w:rPr>
          <w:rFonts w:ascii="KaiTi" w:hAnsi="KaiTi" w:eastAsia="KaiTi" w:cs="KaiTi"/>
          <w:sz w:val="30"/>
          <w:szCs w:val="30"/>
          <w:b/>
          <w:bCs/>
          <w:spacing w:val="16"/>
        </w:rPr>
        <w:t>或者批准未采取防护措施的人员进入实验室的</w:t>
      </w:r>
    </w:p>
    <w:p>
      <w:pPr>
        <w:ind w:left="675"/>
        <w:spacing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25" w:right="118" w:firstLine="630"/>
        <w:spacing w:before="86" w:line="270" w:lineRule="auto"/>
        <w:jc w:val="both"/>
        <w:rPr>
          <w:rFonts w:ascii="FangSong" w:hAnsi="FangSong" w:eastAsia="FangSong" w:cs="FangSong"/>
          <w:sz w:val="30"/>
          <w:szCs w:val="30"/>
        </w:rPr>
      </w:pPr>
      <w:r>
        <w:rPr>
          <w:rFonts w:ascii="FangSong" w:hAnsi="FangSong" w:eastAsia="FangSong" w:cs="FangSong"/>
          <w:sz w:val="30"/>
          <w:szCs w:val="30"/>
          <w:spacing w:val="31"/>
        </w:rPr>
        <w:t>《病原微生物实验室生物安全管理条例》第六十条第(五)项实验室有下列行为之一的，由县</w:t>
      </w:r>
      <w:r>
        <w:rPr>
          <w:rFonts w:ascii="FangSong" w:hAnsi="FangSong" w:eastAsia="FangSong" w:cs="FangSong"/>
          <w:sz w:val="30"/>
          <w:szCs w:val="30"/>
          <w:spacing w:val="7"/>
        </w:rPr>
        <w:t xml:space="preserve"> </w:t>
      </w:r>
      <w:r>
        <w:rPr>
          <w:rFonts w:ascii="FangSong" w:hAnsi="FangSong" w:eastAsia="FangSong" w:cs="FangSong"/>
          <w:sz w:val="30"/>
          <w:szCs w:val="30"/>
          <w:spacing w:val="17"/>
        </w:rPr>
        <w:t>级以上地方人民政府卫生主管部门、兽医主管部门依照各自职责，责令</w:t>
      </w:r>
      <w:r>
        <w:rPr>
          <w:rFonts w:ascii="FangSong" w:hAnsi="FangSong" w:eastAsia="FangSong" w:cs="FangSong"/>
          <w:sz w:val="30"/>
          <w:szCs w:val="30"/>
          <w:spacing w:val="16"/>
        </w:rPr>
        <w:t>限期改正，给予警告；逾期不</w:t>
      </w:r>
      <w:r>
        <w:rPr>
          <w:rFonts w:ascii="FangSong" w:hAnsi="FangSong" w:eastAsia="FangSong" w:cs="FangSong"/>
          <w:sz w:val="30"/>
          <w:szCs w:val="30"/>
        </w:rPr>
        <w:t xml:space="preserve"> </w:t>
      </w:r>
      <w:r>
        <w:rPr>
          <w:rFonts w:ascii="FangSong" w:hAnsi="FangSong" w:eastAsia="FangSong" w:cs="FangSong"/>
          <w:sz w:val="30"/>
          <w:szCs w:val="30"/>
          <w:spacing w:val="17"/>
        </w:rPr>
        <w:t>改正的，由实验室的设立单位对主要负责人、直接负</w:t>
      </w:r>
      <w:r>
        <w:rPr>
          <w:rFonts w:ascii="FangSong" w:hAnsi="FangSong" w:eastAsia="FangSong" w:cs="FangSong"/>
          <w:sz w:val="30"/>
          <w:szCs w:val="30"/>
          <w:spacing w:val="16"/>
        </w:rPr>
        <w:t>责的主管人员和其他直接责任人员，依法给予撤</w:t>
      </w:r>
      <w:r>
        <w:rPr>
          <w:rFonts w:ascii="FangSong" w:hAnsi="FangSong" w:eastAsia="FangSong" w:cs="FangSong"/>
          <w:sz w:val="30"/>
          <w:szCs w:val="30"/>
        </w:rPr>
        <w:t xml:space="preserve"> </w:t>
      </w:r>
      <w:r>
        <w:rPr>
          <w:rFonts w:ascii="FangSong" w:hAnsi="FangSong" w:eastAsia="FangSong" w:cs="FangSong"/>
          <w:sz w:val="30"/>
          <w:szCs w:val="30"/>
          <w:spacing w:val="16"/>
        </w:rPr>
        <w:t>职、开除的处分；有许可证件的，并由原发证部门吊销有关许可证件：</w:t>
      </w:r>
    </w:p>
    <w:p>
      <w:pPr>
        <w:ind w:left="25" w:right="125" w:firstLine="769"/>
        <w:spacing w:before="11" w:line="274" w:lineRule="auto"/>
        <w:rPr>
          <w:rFonts w:ascii="FangSong" w:hAnsi="FangSong" w:eastAsia="FangSong" w:cs="FangSong"/>
          <w:sz w:val="30"/>
          <w:szCs w:val="30"/>
        </w:rPr>
      </w:pPr>
      <w:r>
        <w:rPr>
          <w:rFonts w:ascii="FangSong" w:hAnsi="FangSong" w:eastAsia="FangSong" w:cs="FangSong"/>
          <w:sz w:val="30"/>
          <w:szCs w:val="30"/>
          <w:spacing w:val="21"/>
        </w:rPr>
        <w:t>(五)未依照规定定期对工作人员进行培训</w:t>
      </w:r>
      <w:r>
        <w:rPr>
          <w:rFonts w:ascii="FangSong" w:hAnsi="FangSong" w:eastAsia="FangSong" w:cs="FangSong"/>
          <w:sz w:val="30"/>
          <w:szCs w:val="30"/>
          <w:spacing w:val="20"/>
        </w:rPr>
        <w:t>，或者工作人员考核不合格允许其上岗，或者批准未</w:t>
      </w:r>
      <w:r>
        <w:rPr>
          <w:rFonts w:ascii="FangSong" w:hAnsi="FangSong" w:eastAsia="FangSong" w:cs="FangSong"/>
          <w:sz w:val="30"/>
          <w:szCs w:val="30"/>
        </w:rPr>
        <w:t xml:space="preserve"> </w:t>
      </w:r>
      <w:r>
        <w:rPr>
          <w:rFonts w:ascii="FangSong" w:hAnsi="FangSong" w:eastAsia="FangSong" w:cs="FangSong"/>
          <w:sz w:val="30"/>
          <w:szCs w:val="30"/>
          <w:spacing w:val="13"/>
        </w:rPr>
        <w:t>采取防护措施的人员进入实验室的；</w:t>
      </w:r>
    </w:p>
    <w:p>
      <w:pPr>
        <w:spacing w:line="274" w:lineRule="auto"/>
        <w:sectPr>
          <w:footerReference w:type="default" r:id="rId188"/>
          <w:pgSz w:w="16830" w:h="11900"/>
          <w:pgMar w:top="1011" w:right="1334" w:bottom="1114" w:left="1414" w:header="0" w:footer="772" w:gutter="0"/>
        </w:sectPr>
        <w:rPr>
          <w:rFonts w:ascii="FangSong" w:hAnsi="FangSong" w:eastAsia="FangSong" w:cs="FangSong"/>
          <w:sz w:val="30"/>
          <w:szCs w:val="30"/>
        </w:rPr>
      </w:pPr>
    </w:p>
    <w:p>
      <w:pPr>
        <w:pStyle w:val="BodyText"/>
        <w:spacing w:line="262" w:lineRule="auto"/>
        <w:rPr/>
      </w:pPr>
      <w:r/>
    </w:p>
    <w:p>
      <w:pPr>
        <w:pStyle w:val="BodyText"/>
        <w:spacing w:line="263" w:lineRule="auto"/>
        <w:rPr/>
      </w:pPr>
      <w:r/>
    </w:p>
    <w:p>
      <w:pPr>
        <w:pStyle w:val="BodyText"/>
        <w:spacing w:line="263" w:lineRule="auto"/>
        <w:rPr/>
      </w:pPr>
      <w:r/>
    </w:p>
    <w:p>
      <w:pPr>
        <w:ind w:left="6719"/>
        <w:spacing w:before="94" w:line="214" w:lineRule="auto"/>
        <w:rPr>
          <w:rFonts w:ascii="SimSun" w:hAnsi="SimSun" w:eastAsia="SimSun" w:cs="SimSun"/>
          <w:sz w:val="29"/>
          <w:szCs w:val="29"/>
        </w:rPr>
      </w:pPr>
      <w:bookmarkStart w:name="bookmark845" w:id="171"/>
      <w:bookmarkEnd w:id="171"/>
      <w:r>
        <w:rPr>
          <w:rFonts w:ascii="SimSun" w:hAnsi="SimSun" w:eastAsia="SimSun" w:cs="SimSun"/>
          <w:sz w:val="29"/>
          <w:szCs w:val="29"/>
          <w:b/>
          <w:bCs/>
          <w:spacing w:val="-6"/>
        </w:rPr>
        <w:t>裁量标准</w:t>
      </w:r>
    </w:p>
    <w:tbl>
      <w:tblPr>
        <w:tblStyle w:val="TableNormal"/>
        <w:tblW w:w="139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63"/>
        <w:gridCol w:w="5656"/>
        <w:gridCol w:w="6271"/>
      </w:tblGrid>
      <w:tr>
        <w:trPr>
          <w:trHeight w:val="821" w:hRule="atLeast"/>
        </w:trPr>
        <w:tc>
          <w:tcPr>
            <w:tcW w:w="2063" w:type="dxa"/>
            <w:vAlign w:val="top"/>
          </w:tcPr>
          <w:p>
            <w:pPr>
              <w:pStyle w:val="TableText"/>
              <w:ind w:left="528"/>
              <w:spacing w:before="292" w:line="220" w:lineRule="auto"/>
              <w:rPr>
                <w:sz w:val="25"/>
                <w:szCs w:val="25"/>
              </w:rPr>
            </w:pPr>
            <w:r>
              <w:rPr>
                <w:sz w:val="25"/>
                <w:szCs w:val="25"/>
                <w:b/>
                <w:bCs/>
                <w:spacing w:val="-5"/>
              </w:rPr>
              <w:t>违法程度</w:t>
            </w:r>
          </w:p>
        </w:tc>
        <w:tc>
          <w:tcPr>
            <w:tcW w:w="5656" w:type="dxa"/>
            <w:vAlign w:val="top"/>
          </w:tcPr>
          <w:p>
            <w:pPr>
              <w:pStyle w:val="TableText"/>
              <w:ind w:left="2255"/>
              <w:spacing w:before="292" w:line="220" w:lineRule="auto"/>
              <w:rPr>
                <w:sz w:val="25"/>
                <w:szCs w:val="25"/>
              </w:rPr>
            </w:pPr>
            <w:r>
              <w:rPr>
                <w:sz w:val="25"/>
                <w:szCs w:val="25"/>
                <w:b/>
                <w:bCs/>
                <w:spacing w:val="-5"/>
              </w:rPr>
              <w:t>情节后果</w:t>
            </w:r>
          </w:p>
        </w:tc>
        <w:tc>
          <w:tcPr>
            <w:tcW w:w="6271" w:type="dxa"/>
            <w:vAlign w:val="top"/>
          </w:tcPr>
          <w:p>
            <w:pPr>
              <w:pStyle w:val="TableText"/>
              <w:ind w:left="2569"/>
              <w:spacing w:before="289" w:line="218" w:lineRule="auto"/>
              <w:rPr>
                <w:sz w:val="25"/>
                <w:szCs w:val="25"/>
              </w:rPr>
            </w:pPr>
            <w:r>
              <w:rPr>
                <w:sz w:val="25"/>
                <w:szCs w:val="25"/>
                <w:b/>
                <w:bCs/>
                <w:spacing w:val="-5"/>
              </w:rPr>
              <w:t>裁量幅度</w:t>
            </w:r>
          </w:p>
        </w:tc>
      </w:tr>
      <w:tr>
        <w:trPr>
          <w:trHeight w:val="856" w:hRule="atLeast"/>
        </w:trPr>
        <w:tc>
          <w:tcPr>
            <w:tcW w:w="2063" w:type="dxa"/>
            <w:vAlign w:val="top"/>
          </w:tcPr>
          <w:p>
            <w:pPr>
              <w:pStyle w:val="TableText"/>
              <w:ind w:left="778"/>
              <w:spacing w:before="312" w:line="221" w:lineRule="auto"/>
              <w:rPr>
                <w:sz w:val="25"/>
                <w:szCs w:val="25"/>
              </w:rPr>
            </w:pPr>
            <w:r>
              <w:rPr>
                <w:sz w:val="25"/>
                <w:szCs w:val="25"/>
                <w:b/>
                <w:bCs/>
                <w:spacing w:val="-10"/>
              </w:rPr>
              <w:t>一般</w:t>
            </w:r>
          </w:p>
        </w:tc>
        <w:tc>
          <w:tcPr>
            <w:tcW w:w="5656" w:type="dxa"/>
            <w:vAlign w:val="top"/>
          </w:tcPr>
          <w:p>
            <w:pPr>
              <w:pStyle w:val="TableText"/>
              <w:ind w:left="111"/>
              <w:spacing w:before="314" w:line="219" w:lineRule="auto"/>
              <w:rPr>
                <w:sz w:val="25"/>
                <w:szCs w:val="25"/>
              </w:rPr>
            </w:pPr>
            <w:r>
              <w:rPr>
                <w:sz w:val="25"/>
                <w:szCs w:val="25"/>
                <w:spacing w:val="-1"/>
              </w:rPr>
              <w:t>首次发现违法行为。</w:t>
            </w:r>
          </w:p>
        </w:tc>
        <w:tc>
          <w:tcPr>
            <w:tcW w:w="6271" w:type="dxa"/>
            <w:vAlign w:val="top"/>
          </w:tcPr>
          <w:p>
            <w:pPr>
              <w:pStyle w:val="TableText"/>
              <w:ind w:left="96"/>
              <w:spacing w:before="312" w:line="218" w:lineRule="auto"/>
              <w:rPr>
                <w:sz w:val="25"/>
                <w:szCs w:val="25"/>
              </w:rPr>
            </w:pPr>
            <w:r>
              <w:rPr>
                <w:sz w:val="25"/>
                <w:szCs w:val="25"/>
              </w:rPr>
              <w:t>给予警告。</w:t>
            </w:r>
          </w:p>
        </w:tc>
      </w:tr>
      <w:tr>
        <w:trPr>
          <w:trHeight w:val="782" w:hRule="atLeast"/>
        </w:trPr>
        <w:tc>
          <w:tcPr>
            <w:tcW w:w="2063" w:type="dxa"/>
            <w:vAlign w:val="top"/>
          </w:tcPr>
          <w:p>
            <w:pPr>
              <w:spacing w:line="245" w:lineRule="auto"/>
              <w:rPr>
                <w:rFonts w:ascii="Arial"/>
                <w:sz w:val="21"/>
              </w:rPr>
            </w:pPr>
            <w:r/>
          </w:p>
          <w:p>
            <w:pPr>
              <w:pStyle w:val="TableText"/>
              <w:ind w:left="778"/>
              <w:spacing w:before="81" w:line="221" w:lineRule="auto"/>
              <w:rPr>
                <w:sz w:val="25"/>
                <w:szCs w:val="25"/>
              </w:rPr>
            </w:pPr>
            <w:r>
              <w:rPr>
                <w:sz w:val="25"/>
                <w:szCs w:val="25"/>
                <w:b/>
                <w:bCs/>
                <w:spacing w:val="-6"/>
              </w:rPr>
              <w:t>较重</w:t>
            </w:r>
          </w:p>
        </w:tc>
        <w:tc>
          <w:tcPr>
            <w:tcW w:w="5656" w:type="dxa"/>
            <w:vAlign w:val="top"/>
          </w:tcPr>
          <w:p>
            <w:pPr>
              <w:spacing w:line="243" w:lineRule="auto"/>
              <w:rPr>
                <w:rFonts w:ascii="Arial"/>
                <w:sz w:val="21"/>
              </w:rPr>
            </w:pPr>
            <w:r/>
          </w:p>
          <w:p>
            <w:pPr>
              <w:pStyle w:val="TableText"/>
              <w:ind w:left="111"/>
              <w:spacing w:before="82" w:line="219" w:lineRule="auto"/>
              <w:rPr>
                <w:sz w:val="25"/>
                <w:szCs w:val="25"/>
              </w:rPr>
            </w:pPr>
            <w:r>
              <w:rPr>
                <w:sz w:val="25"/>
                <w:szCs w:val="25"/>
                <w:spacing w:val="-1"/>
              </w:rPr>
              <w:t>责令限期改正后，逾期不改正。</w:t>
            </w:r>
          </w:p>
        </w:tc>
        <w:tc>
          <w:tcPr>
            <w:tcW w:w="6271" w:type="dxa"/>
            <w:vAlign w:val="top"/>
          </w:tcPr>
          <w:p>
            <w:pPr>
              <w:spacing w:line="245" w:lineRule="auto"/>
              <w:rPr>
                <w:rFonts w:ascii="Arial"/>
                <w:sz w:val="21"/>
              </w:rPr>
            </w:pPr>
            <w:r/>
          </w:p>
          <w:p>
            <w:pPr>
              <w:pStyle w:val="TableText"/>
              <w:ind w:left="96"/>
              <w:spacing w:before="81" w:line="219" w:lineRule="auto"/>
              <w:rPr>
                <w:sz w:val="25"/>
                <w:szCs w:val="25"/>
              </w:rPr>
            </w:pPr>
            <w:r>
              <w:rPr>
                <w:sz w:val="25"/>
                <w:szCs w:val="25"/>
              </w:rPr>
              <w:t>有许可证件的，并由原发证部门吊销有关许可证件。</w:t>
            </w:r>
          </w:p>
        </w:tc>
      </w:tr>
    </w:tbl>
    <w:p>
      <w:pPr>
        <w:pStyle w:val="BodyText"/>
        <w:spacing w:line="443" w:lineRule="auto"/>
        <w:rPr/>
      </w:pPr>
      <w:r/>
    </w:p>
    <w:p>
      <w:pPr>
        <w:ind w:left="689"/>
        <w:spacing w:before="101" w:line="220" w:lineRule="auto"/>
        <w:rPr>
          <w:rFonts w:ascii="FangSong" w:hAnsi="FangSong" w:eastAsia="FangSong" w:cs="FangSong"/>
          <w:sz w:val="31"/>
          <w:szCs w:val="31"/>
        </w:rPr>
      </w:pPr>
      <w:r>
        <w:rPr>
          <w:rFonts w:ascii="FangSong" w:hAnsi="FangSong" w:eastAsia="FangSong" w:cs="FangSong"/>
          <w:sz w:val="31"/>
          <w:szCs w:val="31"/>
          <w:b/>
          <w:bCs/>
          <w:spacing w:val="11"/>
        </w:rPr>
        <w:t>第一百一十四条实验室工作人员未遵守实验室生物安全技术规范和操作规程的</w:t>
      </w:r>
    </w:p>
    <w:p>
      <w:pPr>
        <w:ind w:left="685"/>
        <w:spacing w:before="137"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35" w:right="26" w:firstLine="604"/>
        <w:spacing w:before="41" w:line="262" w:lineRule="auto"/>
        <w:jc w:val="both"/>
        <w:rPr>
          <w:rFonts w:ascii="FangSong" w:hAnsi="FangSong" w:eastAsia="FangSong" w:cs="FangSong"/>
          <w:sz w:val="31"/>
          <w:szCs w:val="31"/>
        </w:rPr>
      </w:pPr>
      <w:r>
        <w:rPr>
          <w:rFonts w:ascii="FangSong" w:hAnsi="FangSong" w:eastAsia="FangSong" w:cs="FangSong"/>
          <w:sz w:val="31"/>
          <w:szCs w:val="31"/>
          <w:spacing w:val="14"/>
        </w:rPr>
        <w:t>《病原微生物实验室生物安全管理条例》第六十条第(六)项</w:t>
      </w:r>
      <w:r>
        <w:rPr>
          <w:rFonts w:ascii="FangSong" w:hAnsi="FangSong" w:eastAsia="FangSong" w:cs="FangSong"/>
          <w:sz w:val="31"/>
          <w:szCs w:val="31"/>
          <w:spacing w:val="14"/>
        </w:rPr>
        <w:t xml:space="preserve">  </w:t>
      </w:r>
      <w:r>
        <w:rPr>
          <w:rFonts w:ascii="FangSong" w:hAnsi="FangSong" w:eastAsia="FangSong" w:cs="FangSong"/>
          <w:sz w:val="31"/>
          <w:szCs w:val="31"/>
          <w:spacing w:val="14"/>
        </w:rPr>
        <w:t>实验室有下列行为之一的，由县</w:t>
      </w:r>
      <w:r>
        <w:rPr>
          <w:rFonts w:ascii="FangSong" w:hAnsi="FangSong" w:eastAsia="FangSong" w:cs="FangSong"/>
          <w:sz w:val="31"/>
          <w:szCs w:val="31"/>
          <w:spacing w:val="12"/>
        </w:rPr>
        <w:t xml:space="preserve"> </w:t>
      </w:r>
      <w:r>
        <w:rPr>
          <w:rFonts w:ascii="FangSong" w:hAnsi="FangSong" w:eastAsia="FangSong" w:cs="FangSong"/>
          <w:sz w:val="31"/>
          <w:szCs w:val="31"/>
          <w:spacing w:val="7"/>
        </w:rPr>
        <w:t>级以上地方人民政府卫生主管部门、兽医主管部门依照各自职责，责令限期</w:t>
      </w:r>
      <w:r>
        <w:rPr>
          <w:rFonts w:ascii="FangSong" w:hAnsi="FangSong" w:eastAsia="FangSong" w:cs="FangSong"/>
          <w:sz w:val="31"/>
          <w:szCs w:val="31"/>
          <w:spacing w:val="6"/>
        </w:rPr>
        <w:t>改正，给予警告；逾期不</w:t>
      </w:r>
      <w:r>
        <w:rPr>
          <w:rFonts w:ascii="FangSong" w:hAnsi="FangSong" w:eastAsia="FangSong" w:cs="FangSong"/>
          <w:sz w:val="31"/>
          <w:szCs w:val="31"/>
        </w:rPr>
        <w:t xml:space="preserve"> </w:t>
      </w:r>
      <w:r>
        <w:rPr>
          <w:rFonts w:ascii="FangSong" w:hAnsi="FangSong" w:eastAsia="FangSong" w:cs="FangSong"/>
          <w:sz w:val="31"/>
          <w:szCs w:val="31"/>
          <w:spacing w:val="7"/>
        </w:rPr>
        <w:t>改正的，由实验室的设立单位对主要负责人、直接负责</w:t>
      </w:r>
      <w:r>
        <w:rPr>
          <w:rFonts w:ascii="FangSong" w:hAnsi="FangSong" w:eastAsia="FangSong" w:cs="FangSong"/>
          <w:sz w:val="31"/>
          <w:szCs w:val="31"/>
          <w:spacing w:val="6"/>
        </w:rPr>
        <w:t>的主管人员和其他直接责任人员，依法给予撤</w:t>
      </w:r>
      <w:r>
        <w:rPr>
          <w:rFonts w:ascii="FangSong" w:hAnsi="FangSong" w:eastAsia="FangSong" w:cs="FangSong"/>
          <w:sz w:val="31"/>
          <w:szCs w:val="31"/>
        </w:rPr>
        <w:t xml:space="preserve"> </w:t>
      </w:r>
      <w:r>
        <w:rPr>
          <w:rFonts w:ascii="FangSong" w:hAnsi="FangSong" w:eastAsia="FangSong" w:cs="FangSong"/>
          <w:sz w:val="31"/>
          <w:szCs w:val="31"/>
          <w:spacing w:val="7"/>
        </w:rPr>
        <w:t>职、开除的处分；有许可证件的，并由原发证部门吊销有关许</w:t>
      </w:r>
      <w:r>
        <w:rPr>
          <w:rFonts w:ascii="FangSong" w:hAnsi="FangSong" w:eastAsia="FangSong" w:cs="FangSong"/>
          <w:sz w:val="31"/>
          <w:szCs w:val="31"/>
          <w:spacing w:val="6"/>
        </w:rPr>
        <w:t>可证件：</w:t>
      </w:r>
    </w:p>
    <w:p>
      <w:pPr>
        <w:ind w:left="815"/>
        <w:spacing w:before="11" w:line="220" w:lineRule="auto"/>
        <w:rPr>
          <w:rFonts w:ascii="FangSong" w:hAnsi="FangSong" w:eastAsia="FangSong" w:cs="FangSong"/>
          <w:sz w:val="31"/>
          <w:szCs w:val="31"/>
        </w:rPr>
      </w:pPr>
      <w:r>
        <w:rPr>
          <w:rFonts w:ascii="FangSong" w:hAnsi="FangSong" w:eastAsia="FangSong" w:cs="FangSong"/>
          <w:sz w:val="31"/>
          <w:szCs w:val="31"/>
          <w:spacing w:val="12"/>
        </w:rPr>
        <w:t>(六)实验室工作人员未遵守实验室生物安全技术规范和操作规程的；</w:t>
      </w:r>
    </w:p>
    <w:p>
      <w:pPr>
        <w:spacing w:line="220" w:lineRule="auto"/>
        <w:sectPr>
          <w:footerReference w:type="default" r:id="rId189"/>
          <w:pgSz w:w="16830" w:h="11900"/>
          <w:pgMar w:top="1011" w:right="1414" w:bottom="1117" w:left="1414" w:header="0" w:footer="784" w:gutter="0"/>
        </w:sectPr>
        <w:rPr>
          <w:rFonts w:ascii="FangSong" w:hAnsi="FangSong" w:eastAsia="FangSong" w:cs="FangSong"/>
          <w:sz w:val="31"/>
          <w:szCs w:val="31"/>
        </w:rPr>
      </w:pPr>
    </w:p>
    <w:p>
      <w:pPr>
        <w:pStyle w:val="BodyText"/>
        <w:spacing w:line="262" w:lineRule="auto"/>
        <w:rPr/>
      </w:pPr>
      <w:r/>
    </w:p>
    <w:p>
      <w:pPr>
        <w:pStyle w:val="BodyText"/>
        <w:spacing w:line="263" w:lineRule="auto"/>
        <w:rPr/>
      </w:pPr>
      <w:r/>
    </w:p>
    <w:p>
      <w:pPr>
        <w:pStyle w:val="BodyText"/>
        <w:spacing w:line="263" w:lineRule="auto"/>
        <w:rPr/>
      </w:pPr>
      <w:r/>
    </w:p>
    <w:p>
      <w:pPr>
        <w:ind w:left="6719"/>
        <w:spacing w:before="94" w:line="214" w:lineRule="auto"/>
        <w:rPr>
          <w:rFonts w:ascii="SimSun" w:hAnsi="SimSun" w:eastAsia="SimSun" w:cs="SimSun"/>
          <w:sz w:val="29"/>
          <w:szCs w:val="29"/>
        </w:rPr>
      </w:pPr>
      <w:bookmarkStart w:name="bookmark846" w:id="172"/>
      <w:bookmarkEnd w:id="172"/>
      <w:r>
        <w:rPr>
          <w:rFonts w:ascii="SimSun" w:hAnsi="SimSun" w:eastAsia="SimSun" w:cs="SimSun"/>
          <w:sz w:val="29"/>
          <w:szCs w:val="29"/>
          <w:b/>
          <w:bCs/>
          <w:spacing w:val="-6"/>
        </w:rPr>
        <w:t>裁量标准</w:t>
      </w:r>
    </w:p>
    <w:tbl>
      <w:tblPr>
        <w:tblStyle w:val="TableNormal"/>
        <w:tblW w:w="139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64"/>
        <w:gridCol w:w="5815"/>
        <w:gridCol w:w="6780"/>
      </w:tblGrid>
      <w:tr>
        <w:trPr>
          <w:trHeight w:val="831" w:hRule="atLeast"/>
        </w:trPr>
        <w:tc>
          <w:tcPr>
            <w:tcW w:w="1364" w:type="dxa"/>
            <w:vAlign w:val="top"/>
          </w:tcPr>
          <w:p>
            <w:pPr>
              <w:pStyle w:val="TableText"/>
              <w:ind w:left="178"/>
              <w:spacing w:before="292" w:line="220" w:lineRule="auto"/>
              <w:rPr>
                <w:sz w:val="25"/>
                <w:szCs w:val="25"/>
              </w:rPr>
            </w:pPr>
            <w:r>
              <w:rPr>
                <w:sz w:val="25"/>
                <w:szCs w:val="25"/>
                <w:b/>
                <w:bCs/>
                <w:spacing w:val="-5"/>
              </w:rPr>
              <w:t>违法程度</w:t>
            </w:r>
          </w:p>
        </w:tc>
        <w:tc>
          <w:tcPr>
            <w:tcW w:w="5815" w:type="dxa"/>
            <w:vAlign w:val="top"/>
          </w:tcPr>
          <w:p>
            <w:pPr>
              <w:pStyle w:val="TableText"/>
              <w:ind w:left="2334"/>
              <w:spacing w:before="292" w:line="220" w:lineRule="auto"/>
              <w:rPr>
                <w:sz w:val="25"/>
                <w:szCs w:val="25"/>
              </w:rPr>
            </w:pPr>
            <w:r>
              <w:rPr>
                <w:sz w:val="25"/>
                <w:szCs w:val="25"/>
                <w:b/>
                <w:bCs/>
                <w:spacing w:val="-5"/>
              </w:rPr>
              <w:t>情节后果</w:t>
            </w:r>
          </w:p>
        </w:tc>
        <w:tc>
          <w:tcPr>
            <w:tcW w:w="6780" w:type="dxa"/>
            <w:vAlign w:val="top"/>
          </w:tcPr>
          <w:p>
            <w:pPr>
              <w:pStyle w:val="TableText"/>
              <w:ind w:left="2859"/>
              <w:spacing w:before="289" w:line="218" w:lineRule="auto"/>
              <w:rPr>
                <w:sz w:val="25"/>
                <w:szCs w:val="25"/>
              </w:rPr>
            </w:pPr>
            <w:r>
              <w:rPr>
                <w:sz w:val="25"/>
                <w:szCs w:val="25"/>
                <w:b/>
                <w:bCs/>
                <w:spacing w:val="-5"/>
              </w:rPr>
              <w:t>裁量幅度</w:t>
            </w:r>
          </w:p>
        </w:tc>
      </w:tr>
      <w:tr>
        <w:trPr>
          <w:trHeight w:val="856" w:hRule="atLeast"/>
        </w:trPr>
        <w:tc>
          <w:tcPr>
            <w:tcW w:w="1364" w:type="dxa"/>
            <w:vAlign w:val="top"/>
          </w:tcPr>
          <w:p>
            <w:pPr>
              <w:pStyle w:val="TableText"/>
              <w:ind w:left="428"/>
              <w:spacing w:before="312" w:line="221" w:lineRule="auto"/>
              <w:rPr>
                <w:sz w:val="25"/>
                <w:szCs w:val="25"/>
              </w:rPr>
            </w:pPr>
            <w:r>
              <w:rPr>
                <w:sz w:val="25"/>
                <w:szCs w:val="25"/>
                <w:b/>
                <w:bCs/>
                <w:spacing w:val="-10"/>
              </w:rPr>
              <w:t>一般</w:t>
            </w:r>
          </w:p>
        </w:tc>
        <w:tc>
          <w:tcPr>
            <w:tcW w:w="5815" w:type="dxa"/>
            <w:vAlign w:val="top"/>
          </w:tcPr>
          <w:p>
            <w:pPr>
              <w:spacing w:line="281" w:lineRule="auto"/>
              <w:rPr>
                <w:rFonts w:ascii="Arial"/>
                <w:sz w:val="21"/>
              </w:rPr>
            </w:pPr>
            <w:r/>
          </w:p>
          <w:p>
            <w:pPr>
              <w:pStyle w:val="TableText"/>
              <w:ind w:left="111"/>
              <w:spacing w:before="81" w:line="219" w:lineRule="auto"/>
              <w:rPr>
                <w:sz w:val="25"/>
                <w:szCs w:val="25"/>
              </w:rPr>
            </w:pPr>
            <w:r>
              <w:rPr>
                <w:sz w:val="25"/>
                <w:szCs w:val="25"/>
              </w:rPr>
              <w:t>首次发现违法行为。</w:t>
            </w:r>
          </w:p>
        </w:tc>
        <w:tc>
          <w:tcPr>
            <w:tcW w:w="6780" w:type="dxa"/>
            <w:vAlign w:val="top"/>
          </w:tcPr>
          <w:p>
            <w:pPr>
              <w:spacing w:line="279" w:lineRule="auto"/>
              <w:rPr>
                <w:rFonts w:ascii="Arial"/>
                <w:sz w:val="21"/>
              </w:rPr>
            </w:pPr>
            <w:r/>
          </w:p>
          <w:p>
            <w:pPr>
              <w:pStyle w:val="TableText"/>
              <w:ind w:left="126"/>
              <w:spacing w:before="81" w:line="218" w:lineRule="auto"/>
              <w:rPr>
                <w:sz w:val="25"/>
                <w:szCs w:val="25"/>
              </w:rPr>
            </w:pPr>
            <w:r>
              <w:rPr>
                <w:sz w:val="25"/>
                <w:szCs w:val="25"/>
                <w:spacing w:val="-1"/>
              </w:rPr>
              <w:t>给予警告。</w:t>
            </w:r>
          </w:p>
        </w:tc>
      </w:tr>
      <w:tr>
        <w:trPr>
          <w:trHeight w:val="752" w:hRule="atLeast"/>
        </w:trPr>
        <w:tc>
          <w:tcPr>
            <w:tcW w:w="1364" w:type="dxa"/>
            <w:vAlign w:val="top"/>
          </w:tcPr>
          <w:p>
            <w:pPr>
              <w:pStyle w:val="TableText"/>
              <w:ind w:left="428"/>
              <w:spacing w:before="318" w:line="221" w:lineRule="auto"/>
              <w:rPr>
                <w:sz w:val="25"/>
                <w:szCs w:val="25"/>
              </w:rPr>
            </w:pPr>
            <w:r>
              <w:rPr>
                <w:sz w:val="25"/>
                <w:szCs w:val="25"/>
                <w:b/>
                <w:bCs/>
                <w:spacing w:val="-6"/>
              </w:rPr>
              <w:t>较重</w:t>
            </w:r>
          </w:p>
        </w:tc>
        <w:tc>
          <w:tcPr>
            <w:tcW w:w="5815" w:type="dxa"/>
            <w:vAlign w:val="top"/>
          </w:tcPr>
          <w:p>
            <w:pPr>
              <w:pStyle w:val="TableText"/>
              <w:ind w:left="111"/>
              <w:spacing w:before="316" w:line="219" w:lineRule="auto"/>
              <w:rPr>
                <w:sz w:val="25"/>
                <w:szCs w:val="25"/>
              </w:rPr>
            </w:pPr>
            <w:r>
              <w:rPr>
                <w:sz w:val="25"/>
                <w:szCs w:val="25"/>
              </w:rPr>
              <w:t>责令限期改正后，逾期不改正。</w:t>
            </w:r>
          </w:p>
        </w:tc>
        <w:tc>
          <w:tcPr>
            <w:tcW w:w="6780" w:type="dxa"/>
            <w:vAlign w:val="top"/>
          </w:tcPr>
          <w:p>
            <w:pPr>
              <w:pStyle w:val="TableText"/>
              <w:ind w:left="126"/>
              <w:spacing w:before="318" w:line="219" w:lineRule="auto"/>
              <w:rPr>
                <w:sz w:val="25"/>
                <w:szCs w:val="25"/>
              </w:rPr>
            </w:pPr>
            <w:r>
              <w:rPr>
                <w:sz w:val="25"/>
                <w:szCs w:val="25"/>
                <w:spacing w:val="-1"/>
              </w:rPr>
              <w:t>有许可证件的，并由原发证部门吊销有关许可证件。</w:t>
            </w:r>
          </w:p>
        </w:tc>
      </w:tr>
    </w:tbl>
    <w:p>
      <w:pPr>
        <w:pStyle w:val="BodyText"/>
        <w:spacing w:line="443" w:lineRule="auto"/>
        <w:rPr/>
      </w:pPr>
      <w:r/>
    </w:p>
    <w:p>
      <w:pPr>
        <w:ind w:left="679"/>
        <w:spacing w:before="100" w:line="219" w:lineRule="auto"/>
        <w:rPr>
          <w:rFonts w:ascii="FangSong" w:hAnsi="FangSong" w:eastAsia="FangSong" w:cs="FangSong"/>
          <w:sz w:val="31"/>
          <w:szCs w:val="31"/>
        </w:rPr>
      </w:pPr>
      <w:r>
        <w:rPr>
          <w:rFonts w:ascii="FangSong" w:hAnsi="FangSong" w:eastAsia="FangSong" w:cs="FangSong"/>
          <w:sz w:val="31"/>
          <w:szCs w:val="31"/>
          <w:b/>
          <w:bCs/>
          <w:spacing w:val="6"/>
        </w:rPr>
        <w:t>第一百一十五条</w:t>
      </w:r>
      <w:r>
        <w:rPr>
          <w:rFonts w:ascii="FangSong" w:hAnsi="FangSong" w:eastAsia="FangSong" w:cs="FangSong"/>
          <w:sz w:val="31"/>
          <w:szCs w:val="31"/>
          <w:spacing w:val="6"/>
        </w:rPr>
        <w:t xml:space="preserve">  </w:t>
      </w:r>
      <w:r>
        <w:rPr>
          <w:rFonts w:ascii="FangSong" w:hAnsi="FangSong" w:eastAsia="FangSong" w:cs="FangSong"/>
          <w:sz w:val="31"/>
          <w:szCs w:val="31"/>
          <w:b/>
          <w:bCs/>
          <w:spacing w:val="6"/>
        </w:rPr>
        <w:t>未依照规定建立或者保存实验档案的</w:t>
      </w:r>
    </w:p>
    <w:p>
      <w:pPr>
        <w:ind w:left="675"/>
        <w:spacing w:before="130"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ind w:left="35" w:firstLine="604"/>
        <w:spacing w:before="51" w:line="262" w:lineRule="auto"/>
        <w:jc w:val="both"/>
        <w:rPr>
          <w:rFonts w:ascii="FangSong" w:hAnsi="FangSong" w:eastAsia="FangSong" w:cs="FangSong"/>
          <w:sz w:val="31"/>
          <w:szCs w:val="31"/>
        </w:rPr>
      </w:pPr>
      <w:r>
        <w:rPr>
          <w:rFonts w:ascii="FangSong" w:hAnsi="FangSong" w:eastAsia="FangSong" w:cs="FangSong"/>
          <w:sz w:val="31"/>
          <w:szCs w:val="31"/>
          <w:spacing w:val="14"/>
        </w:rPr>
        <w:t>《病原微生物实验室生物安全管理条例》第六十条第(七)项</w:t>
      </w:r>
      <w:r>
        <w:rPr>
          <w:rFonts w:ascii="FangSong" w:hAnsi="FangSong" w:eastAsia="FangSong" w:cs="FangSong"/>
          <w:sz w:val="31"/>
          <w:szCs w:val="31"/>
          <w:spacing w:val="14"/>
        </w:rPr>
        <w:t xml:space="preserve">  </w:t>
      </w:r>
      <w:r>
        <w:rPr>
          <w:rFonts w:ascii="FangSong" w:hAnsi="FangSong" w:eastAsia="FangSong" w:cs="FangSong"/>
          <w:sz w:val="31"/>
          <w:szCs w:val="31"/>
          <w:spacing w:val="14"/>
        </w:rPr>
        <w:t>实验室有下列行为之一的，由县</w:t>
      </w:r>
      <w:r>
        <w:rPr>
          <w:rFonts w:ascii="FangSong" w:hAnsi="FangSong" w:eastAsia="FangSong" w:cs="FangSong"/>
          <w:sz w:val="31"/>
          <w:szCs w:val="31"/>
          <w:spacing w:val="12"/>
        </w:rPr>
        <w:t xml:space="preserve"> </w:t>
      </w:r>
      <w:r>
        <w:rPr>
          <w:rFonts w:ascii="FangSong" w:hAnsi="FangSong" w:eastAsia="FangSong" w:cs="FangSong"/>
          <w:sz w:val="31"/>
          <w:szCs w:val="31"/>
          <w:spacing w:val="7"/>
        </w:rPr>
        <w:t>级以上地方人民政府卫生主管部门、兽医主管部门依照各自职责，责令限期</w:t>
      </w:r>
      <w:r>
        <w:rPr>
          <w:rFonts w:ascii="FangSong" w:hAnsi="FangSong" w:eastAsia="FangSong" w:cs="FangSong"/>
          <w:sz w:val="31"/>
          <w:szCs w:val="31"/>
          <w:spacing w:val="6"/>
        </w:rPr>
        <w:t>改正，给予警告；逾期不</w:t>
      </w:r>
      <w:r>
        <w:rPr>
          <w:rFonts w:ascii="FangSong" w:hAnsi="FangSong" w:eastAsia="FangSong" w:cs="FangSong"/>
          <w:sz w:val="31"/>
          <w:szCs w:val="31"/>
        </w:rPr>
        <w:t xml:space="preserve"> </w:t>
      </w:r>
      <w:r>
        <w:rPr>
          <w:rFonts w:ascii="FangSong" w:hAnsi="FangSong" w:eastAsia="FangSong" w:cs="FangSong"/>
          <w:sz w:val="31"/>
          <w:szCs w:val="31"/>
          <w:spacing w:val="7"/>
        </w:rPr>
        <w:t>改正的，由实验室的设立单位对主要负责人、直接负责</w:t>
      </w:r>
      <w:r>
        <w:rPr>
          <w:rFonts w:ascii="FangSong" w:hAnsi="FangSong" w:eastAsia="FangSong" w:cs="FangSong"/>
          <w:sz w:val="31"/>
          <w:szCs w:val="31"/>
          <w:spacing w:val="6"/>
        </w:rPr>
        <w:t>的主管人员和其他直接责任人员，依法给予撤</w:t>
      </w:r>
      <w:r>
        <w:rPr>
          <w:rFonts w:ascii="FangSong" w:hAnsi="FangSong" w:eastAsia="FangSong" w:cs="FangSong"/>
          <w:sz w:val="31"/>
          <w:szCs w:val="31"/>
        </w:rPr>
        <w:t xml:space="preserve"> </w:t>
      </w:r>
      <w:r>
        <w:rPr>
          <w:rFonts w:ascii="FangSong" w:hAnsi="FangSong" w:eastAsia="FangSong" w:cs="FangSong"/>
          <w:sz w:val="31"/>
          <w:szCs w:val="31"/>
          <w:spacing w:val="7"/>
        </w:rPr>
        <w:t>职、开除的处分；有许可证件的，并由原发证部门吊销有关许</w:t>
      </w:r>
      <w:r>
        <w:rPr>
          <w:rFonts w:ascii="FangSong" w:hAnsi="FangSong" w:eastAsia="FangSong" w:cs="FangSong"/>
          <w:sz w:val="31"/>
          <w:szCs w:val="31"/>
          <w:spacing w:val="6"/>
        </w:rPr>
        <w:t>可证件：</w:t>
      </w:r>
    </w:p>
    <w:p>
      <w:pPr>
        <w:ind w:left="815"/>
        <w:spacing w:before="20" w:line="219" w:lineRule="auto"/>
        <w:rPr>
          <w:rFonts w:ascii="FangSong" w:hAnsi="FangSong" w:eastAsia="FangSong" w:cs="FangSong"/>
          <w:sz w:val="31"/>
          <w:szCs w:val="31"/>
        </w:rPr>
      </w:pPr>
      <w:r>
        <w:rPr>
          <w:rFonts w:ascii="FangSong" w:hAnsi="FangSong" w:eastAsia="FangSong" w:cs="FangSong"/>
          <w:sz w:val="31"/>
          <w:szCs w:val="31"/>
          <w:spacing w:val="13"/>
        </w:rPr>
        <w:t>(七)未依照规定建立或者保存实验档案的；</w:t>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6" w:lineRule="auto"/>
        <w:rPr/>
      </w:pPr>
      <w:r/>
    </w:p>
    <w:p>
      <w:pPr>
        <w:pStyle w:val="BodyText"/>
        <w:spacing w:line="266" w:lineRule="auto"/>
        <w:rPr/>
      </w:pPr>
      <w:r/>
    </w:p>
    <w:p>
      <w:pPr>
        <w:ind w:left="6365"/>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—202—</w:t>
      </w:r>
    </w:p>
    <w:p>
      <w:pPr>
        <w:spacing w:line="188" w:lineRule="auto"/>
        <w:sectPr>
          <w:footerReference w:type="default" r:id="rId24"/>
          <w:pgSz w:w="16830" w:h="11900"/>
          <w:pgMar w:top="1011" w:right="1441" w:bottom="400" w:left="1414" w:header="0" w:footer="0" w:gutter="0"/>
        </w:sectPr>
        <w:rPr>
          <w:rFonts w:ascii="Times New Roman" w:hAnsi="Times New Roman" w:eastAsia="Times New Roman" w:cs="Times New Roman"/>
          <w:sz w:val="37"/>
          <w:szCs w:val="37"/>
        </w:rPr>
      </w:pPr>
    </w:p>
    <w:p>
      <w:pPr>
        <w:pStyle w:val="BodyText"/>
        <w:spacing w:line="260" w:lineRule="auto"/>
        <w:rPr/>
      </w:pPr>
      <w:r/>
    </w:p>
    <w:p>
      <w:pPr>
        <w:pStyle w:val="BodyText"/>
        <w:spacing w:line="260" w:lineRule="auto"/>
        <w:rPr/>
      </w:pPr>
      <w:r/>
    </w:p>
    <w:p>
      <w:pPr>
        <w:pStyle w:val="BodyText"/>
        <w:spacing w:line="261" w:lineRule="auto"/>
        <w:rPr/>
      </w:pPr>
      <w:r/>
    </w:p>
    <w:p>
      <w:pPr>
        <w:ind w:left="6739"/>
        <w:spacing w:before="91" w:line="220" w:lineRule="auto"/>
        <w:rPr>
          <w:rFonts w:ascii="SimSun" w:hAnsi="SimSun" w:eastAsia="SimSun" w:cs="SimSun"/>
          <w:sz w:val="28"/>
          <w:szCs w:val="28"/>
        </w:rPr>
      </w:pPr>
      <w:bookmarkStart w:name="bookmark847" w:id="173"/>
      <w:bookmarkEnd w:id="173"/>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4"/>
        <w:gridCol w:w="3397"/>
        <w:gridCol w:w="8619"/>
      </w:tblGrid>
      <w:tr>
        <w:trPr>
          <w:trHeight w:val="831" w:hRule="atLeast"/>
        </w:trPr>
        <w:tc>
          <w:tcPr>
            <w:tcW w:w="1944" w:type="dxa"/>
            <w:vAlign w:val="top"/>
          </w:tcPr>
          <w:p>
            <w:pPr>
              <w:pStyle w:val="TableText"/>
              <w:ind w:left="468"/>
              <w:spacing w:before="292" w:line="220" w:lineRule="auto"/>
              <w:rPr>
                <w:sz w:val="25"/>
                <w:szCs w:val="25"/>
              </w:rPr>
            </w:pPr>
            <w:r>
              <w:rPr>
                <w:sz w:val="25"/>
                <w:szCs w:val="25"/>
                <w:b/>
                <w:bCs/>
                <w:spacing w:val="-5"/>
              </w:rPr>
              <w:t>违法程度</w:t>
            </w:r>
          </w:p>
        </w:tc>
        <w:tc>
          <w:tcPr>
            <w:tcW w:w="3397" w:type="dxa"/>
            <w:vAlign w:val="top"/>
          </w:tcPr>
          <w:p>
            <w:pPr>
              <w:pStyle w:val="TableText"/>
              <w:ind w:left="1194"/>
              <w:spacing w:before="292" w:line="220" w:lineRule="auto"/>
              <w:rPr>
                <w:sz w:val="25"/>
                <w:szCs w:val="25"/>
              </w:rPr>
            </w:pPr>
            <w:r>
              <w:rPr>
                <w:sz w:val="25"/>
                <w:szCs w:val="25"/>
                <w:b/>
                <w:bCs/>
                <w:spacing w:val="-5"/>
              </w:rPr>
              <w:t>情节后果</w:t>
            </w:r>
          </w:p>
        </w:tc>
        <w:tc>
          <w:tcPr>
            <w:tcW w:w="8619" w:type="dxa"/>
            <w:vAlign w:val="top"/>
          </w:tcPr>
          <w:p>
            <w:pPr>
              <w:pStyle w:val="TableText"/>
              <w:ind w:left="3747"/>
              <w:spacing w:before="289" w:line="218" w:lineRule="auto"/>
              <w:rPr>
                <w:sz w:val="25"/>
                <w:szCs w:val="25"/>
              </w:rPr>
            </w:pPr>
            <w:r>
              <w:rPr>
                <w:sz w:val="25"/>
                <w:szCs w:val="25"/>
                <w:b/>
                <w:bCs/>
                <w:spacing w:val="-5"/>
              </w:rPr>
              <w:t>裁量幅度</w:t>
            </w:r>
          </w:p>
        </w:tc>
      </w:tr>
      <w:tr>
        <w:trPr>
          <w:trHeight w:val="777" w:hRule="atLeast"/>
        </w:trPr>
        <w:tc>
          <w:tcPr>
            <w:tcW w:w="1944" w:type="dxa"/>
            <w:vAlign w:val="top"/>
          </w:tcPr>
          <w:p>
            <w:pPr>
              <w:pStyle w:val="TableText"/>
              <w:ind w:left="718"/>
              <w:spacing w:before="272" w:line="221" w:lineRule="auto"/>
              <w:rPr>
                <w:sz w:val="25"/>
                <w:szCs w:val="25"/>
              </w:rPr>
            </w:pPr>
            <w:r>
              <w:rPr>
                <w:sz w:val="25"/>
                <w:szCs w:val="25"/>
                <w:b/>
                <w:bCs/>
                <w:spacing w:val="-10"/>
              </w:rPr>
              <w:t>一般</w:t>
            </w:r>
          </w:p>
        </w:tc>
        <w:tc>
          <w:tcPr>
            <w:tcW w:w="3397" w:type="dxa"/>
            <w:vAlign w:val="top"/>
          </w:tcPr>
          <w:p>
            <w:pPr>
              <w:spacing w:line="251" w:lineRule="auto"/>
              <w:rPr>
                <w:rFonts w:ascii="Arial"/>
                <w:sz w:val="21"/>
              </w:rPr>
            </w:pPr>
            <w:r/>
          </w:p>
          <w:p>
            <w:pPr>
              <w:pStyle w:val="TableText"/>
              <w:ind w:left="141"/>
              <w:spacing w:before="81" w:line="219" w:lineRule="auto"/>
              <w:rPr>
                <w:sz w:val="25"/>
                <w:szCs w:val="25"/>
              </w:rPr>
            </w:pPr>
            <w:r>
              <w:rPr>
                <w:sz w:val="25"/>
                <w:szCs w:val="25"/>
                <w:spacing w:val="-1"/>
              </w:rPr>
              <w:t>首次发现违法行为。</w:t>
            </w:r>
          </w:p>
        </w:tc>
        <w:tc>
          <w:tcPr>
            <w:tcW w:w="8619" w:type="dxa"/>
            <w:vAlign w:val="top"/>
          </w:tcPr>
          <w:p>
            <w:pPr>
              <w:pStyle w:val="TableText"/>
              <w:ind w:left="114"/>
              <w:spacing w:before="322" w:line="218" w:lineRule="auto"/>
              <w:rPr>
                <w:sz w:val="25"/>
                <w:szCs w:val="25"/>
              </w:rPr>
            </w:pPr>
            <w:r>
              <w:rPr>
                <w:sz w:val="25"/>
                <w:szCs w:val="25"/>
                <w:spacing w:val="1"/>
              </w:rPr>
              <w:t>给予警告。</w:t>
            </w:r>
          </w:p>
        </w:tc>
      </w:tr>
      <w:tr>
        <w:trPr>
          <w:trHeight w:val="772" w:hRule="atLeast"/>
        </w:trPr>
        <w:tc>
          <w:tcPr>
            <w:tcW w:w="1944" w:type="dxa"/>
            <w:vAlign w:val="top"/>
          </w:tcPr>
          <w:p>
            <w:pPr>
              <w:pStyle w:val="TableText"/>
              <w:ind w:left="718"/>
              <w:spacing w:before="317" w:line="221" w:lineRule="auto"/>
              <w:rPr>
                <w:sz w:val="25"/>
                <w:szCs w:val="25"/>
              </w:rPr>
            </w:pPr>
            <w:r>
              <w:rPr>
                <w:sz w:val="25"/>
                <w:szCs w:val="25"/>
                <w:b/>
                <w:bCs/>
                <w:spacing w:val="-6"/>
              </w:rPr>
              <w:t>较重</w:t>
            </w:r>
          </w:p>
        </w:tc>
        <w:tc>
          <w:tcPr>
            <w:tcW w:w="3397" w:type="dxa"/>
            <w:vAlign w:val="top"/>
          </w:tcPr>
          <w:p>
            <w:pPr>
              <w:spacing w:line="252" w:lineRule="auto"/>
              <w:rPr>
                <w:rFonts w:ascii="Arial"/>
                <w:sz w:val="21"/>
              </w:rPr>
            </w:pPr>
            <w:r/>
          </w:p>
          <w:p>
            <w:pPr>
              <w:pStyle w:val="TableText"/>
              <w:spacing w:before="82" w:line="219" w:lineRule="auto"/>
              <w:jc w:val="right"/>
              <w:rPr>
                <w:sz w:val="25"/>
                <w:szCs w:val="25"/>
              </w:rPr>
            </w:pPr>
            <w:r>
              <w:rPr>
                <w:sz w:val="25"/>
                <w:szCs w:val="25"/>
                <w:spacing w:val="-9"/>
              </w:rPr>
              <w:t>责令限期改正后，逾期不改正。</w:t>
            </w:r>
          </w:p>
        </w:tc>
        <w:tc>
          <w:tcPr>
            <w:tcW w:w="8619" w:type="dxa"/>
            <w:vAlign w:val="top"/>
          </w:tcPr>
          <w:p>
            <w:pPr>
              <w:spacing w:line="254" w:lineRule="auto"/>
              <w:rPr>
                <w:rFonts w:ascii="Arial"/>
                <w:sz w:val="21"/>
              </w:rPr>
            </w:pPr>
            <w:r/>
          </w:p>
          <w:p>
            <w:pPr>
              <w:pStyle w:val="TableText"/>
              <w:ind w:left="114"/>
              <w:spacing w:before="81" w:line="219" w:lineRule="auto"/>
              <w:rPr>
                <w:sz w:val="25"/>
                <w:szCs w:val="25"/>
              </w:rPr>
            </w:pPr>
            <w:r>
              <w:rPr>
                <w:sz w:val="25"/>
                <w:szCs w:val="25"/>
              </w:rPr>
              <w:t>有许可证件的，并由原发证部门吊销有关许可证件。</w:t>
            </w:r>
          </w:p>
        </w:tc>
      </w:tr>
    </w:tbl>
    <w:p>
      <w:pPr>
        <w:pStyle w:val="BodyText"/>
        <w:spacing w:line="466" w:lineRule="auto"/>
        <w:rPr/>
      </w:pPr>
      <w:r/>
    </w:p>
    <w:p>
      <w:pPr>
        <w:ind w:left="709"/>
        <w:spacing w:before="98" w:line="220" w:lineRule="auto"/>
        <w:rPr>
          <w:rFonts w:ascii="FangSong" w:hAnsi="FangSong" w:eastAsia="FangSong" w:cs="FangSong"/>
          <w:sz w:val="30"/>
          <w:szCs w:val="30"/>
        </w:rPr>
      </w:pPr>
      <w:r>
        <w:rPr>
          <w:rFonts w:ascii="FangSong" w:hAnsi="FangSong" w:eastAsia="FangSong" w:cs="FangSong"/>
          <w:sz w:val="30"/>
          <w:szCs w:val="30"/>
          <w:b/>
          <w:bCs/>
          <w:spacing w:val="16"/>
        </w:rPr>
        <w:t>第一百一十六条</w:t>
      </w:r>
      <w:r>
        <w:rPr>
          <w:rFonts w:ascii="FangSong" w:hAnsi="FangSong" w:eastAsia="FangSong" w:cs="FangSong"/>
          <w:sz w:val="30"/>
          <w:szCs w:val="30"/>
          <w:spacing w:val="16"/>
        </w:rPr>
        <w:t xml:space="preserve">  </w:t>
      </w:r>
      <w:r>
        <w:rPr>
          <w:rFonts w:ascii="FangSong" w:hAnsi="FangSong" w:eastAsia="FangSong" w:cs="FangSong"/>
          <w:sz w:val="30"/>
          <w:szCs w:val="30"/>
          <w:b/>
          <w:bCs/>
          <w:spacing w:val="16"/>
        </w:rPr>
        <w:t>未依照规定制定实验室感染应急处置预案并备案的</w:t>
      </w:r>
    </w:p>
    <w:p>
      <w:pPr>
        <w:ind w:left="685"/>
        <w:spacing w:before="11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55" w:firstLine="609"/>
        <w:spacing w:before="49" w:line="270" w:lineRule="auto"/>
        <w:jc w:val="both"/>
        <w:rPr>
          <w:rFonts w:ascii="FangSong" w:hAnsi="FangSong" w:eastAsia="FangSong" w:cs="FangSong"/>
          <w:sz w:val="30"/>
          <w:szCs w:val="30"/>
        </w:rPr>
      </w:pPr>
      <w:r>
        <w:rPr>
          <w:rFonts w:ascii="FangSong" w:hAnsi="FangSong" w:eastAsia="FangSong" w:cs="FangSong"/>
          <w:sz w:val="30"/>
          <w:szCs w:val="30"/>
          <w:spacing w:val="24"/>
        </w:rPr>
        <w:t>《病原微生物实验室生物安全管理条例》第六十条第(八)项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实</w:t>
      </w:r>
      <w:r>
        <w:rPr>
          <w:rFonts w:ascii="FangSong" w:hAnsi="FangSong" w:eastAsia="FangSong" w:cs="FangSong"/>
          <w:sz w:val="30"/>
          <w:szCs w:val="30"/>
          <w:spacing w:val="23"/>
        </w:rPr>
        <w:t>验室有下列行为之一的，由县</w:t>
      </w:r>
      <w:r>
        <w:rPr>
          <w:rFonts w:ascii="FangSong" w:hAnsi="FangSong" w:eastAsia="FangSong" w:cs="FangSong"/>
          <w:sz w:val="30"/>
          <w:szCs w:val="30"/>
        </w:rPr>
        <w:t xml:space="preserve"> </w:t>
      </w:r>
      <w:r>
        <w:rPr>
          <w:rFonts w:ascii="FangSong" w:hAnsi="FangSong" w:eastAsia="FangSong" w:cs="FangSong"/>
          <w:sz w:val="30"/>
          <w:szCs w:val="30"/>
          <w:spacing w:val="17"/>
        </w:rPr>
        <w:t>级以上地方人民政府卫生主管部门、兽医主管部门依照各自职责，责令</w:t>
      </w:r>
      <w:r>
        <w:rPr>
          <w:rFonts w:ascii="FangSong" w:hAnsi="FangSong" w:eastAsia="FangSong" w:cs="FangSong"/>
          <w:sz w:val="30"/>
          <w:szCs w:val="30"/>
          <w:spacing w:val="16"/>
        </w:rPr>
        <w:t>限期改正，给予警告；逾期不</w:t>
      </w:r>
      <w:r>
        <w:rPr>
          <w:rFonts w:ascii="FangSong" w:hAnsi="FangSong" w:eastAsia="FangSong" w:cs="FangSong"/>
          <w:sz w:val="30"/>
          <w:szCs w:val="30"/>
        </w:rPr>
        <w:t xml:space="preserve"> </w:t>
      </w:r>
      <w:r>
        <w:rPr>
          <w:rFonts w:ascii="FangSong" w:hAnsi="FangSong" w:eastAsia="FangSong" w:cs="FangSong"/>
          <w:sz w:val="30"/>
          <w:szCs w:val="30"/>
          <w:spacing w:val="17"/>
        </w:rPr>
        <w:t>改正的，由实验室的设立单位对主要负责人、直接负</w:t>
      </w:r>
      <w:r>
        <w:rPr>
          <w:rFonts w:ascii="FangSong" w:hAnsi="FangSong" w:eastAsia="FangSong" w:cs="FangSong"/>
          <w:sz w:val="30"/>
          <w:szCs w:val="30"/>
          <w:spacing w:val="16"/>
        </w:rPr>
        <w:t>责的主管人员和其他直接责任人员，依法给予撤</w:t>
      </w:r>
      <w:r>
        <w:rPr>
          <w:rFonts w:ascii="FangSong" w:hAnsi="FangSong" w:eastAsia="FangSong" w:cs="FangSong"/>
          <w:sz w:val="30"/>
          <w:szCs w:val="30"/>
        </w:rPr>
        <w:t xml:space="preserve"> </w:t>
      </w:r>
      <w:r>
        <w:rPr>
          <w:rFonts w:ascii="FangSong" w:hAnsi="FangSong" w:eastAsia="FangSong" w:cs="FangSong"/>
          <w:sz w:val="30"/>
          <w:szCs w:val="30"/>
          <w:spacing w:val="16"/>
        </w:rPr>
        <w:t>职、开除的处分；有许可证件的，并由原发证部门吊销有关许可证件：</w:t>
      </w:r>
    </w:p>
    <w:p>
      <w:pPr>
        <w:ind w:left="815"/>
        <w:spacing w:before="10" w:line="220" w:lineRule="auto"/>
        <w:rPr>
          <w:rFonts w:ascii="FangSong" w:hAnsi="FangSong" w:eastAsia="FangSong" w:cs="FangSong"/>
          <w:sz w:val="30"/>
          <w:szCs w:val="30"/>
        </w:rPr>
      </w:pPr>
      <w:r>
        <w:rPr>
          <w:rFonts w:ascii="FangSong" w:hAnsi="FangSong" w:eastAsia="FangSong" w:cs="FangSong"/>
          <w:sz w:val="30"/>
          <w:szCs w:val="30"/>
          <w:spacing w:val="23"/>
        </w:rPr>
        <w:t>(八)未依照规定制定实验室生物安全事件应急处置预案并备案的。</w:t>
      </w:r>
    </w:p>
    <w:p>
      <w:pPr>
        <w:spacing w:line="220" w:lineRule="auto"/>
        <w:sectPr>
          <w:footerReference w:type="default" r:id="rId190"/>
          <w:pgSz w:w="16830" w:h="11900"/>
          <w:pgMar w:top="1011" w:right="1443" w:bottom="1107" w:left="1394" w:header="0" w:footer="774" w:gutter="0"/>
        </w:sectPr>
        <w:rPr>
          <w:rFonts w:ascii="FangSong" w:hAnsi="FangSong" w:eastAsia="FangSong" w:cs="FangSong"/>
          <w:sz w:val="30"/>
          <w:szCs w:val="30"/>
        </w:rPr>
      </w:pPr>
    </w:p>
    <w:p>
      <w:pPr>
        <w:pStyle w:val="BodyText"/>
        <w:spacing w:line="260" w:lineRule="auto"/>
        <w:rPr/>
      </w:pPr>
      <w:r/>
    </w:p>
    <w:p>
      <w:pPr>
        <w:pStyle w:val="BodyText"/>
        <w:spacing w:line="260" w:lineRule="auto"/>
        <w:rPr/>
      </w:pPr>
      <w:r/>
    </w:p>
    <w:p>
      <w:pPr>
        <w:pStyle w:val="BodyText"/>
        <w:spacing w:line="261" w:lineRule="auto"/>
        <w:rPr/>
      </w:pPr>
      <w:r/>
    </w:p>
    <w:p>
      <w:pPr>
        <w:ind w:left="6719"/>
        <w:spacing w:before="91" w:line="220" w:lineRule="auto"/>
        <w:rPr>
          <w:rFonts w:ascii="SimSun" w:hAnsi="SimSun" w:eastAsia="SimSun" w:cs="SimSun"/>
          <w:sz w:val="28"/>
          <w:szCs w:val="28"/>
        </w:rPr>
      </w:pPr>
      <w:bookmarkStart w:name="bookmark848" w:id="174"/>
      <w:bookmarkEnd w:id="174"/>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54"/>
        <w:gridCol w:w="6335"/>
        <w:gridCol w:w="5651"/>
      </w:tblGrid>
      <w:tr>
        <w:trPr>
          <w:trHeight w:val="831" w:hRule="atLeast"/>
        </w:trPr>
        <w:tc>
          <w:tcPr>
            <w:tcW w:w="1954" w:type="dxa"/>
            <w:vAlign w:val="top"/>
          </w:tcPr>
          <w:p>
            <w:pPr>
              <w:pStyle w:val="TableText"/>
              <w:ind w:left="468"/>
              <w:spacing w:before="292" w:line="220" w:lineRule="auto"/>
              <w:rPr>
                <w:sz w:val="25"/>
                <w:szCs w:val="25"/>
              </w:rPr>
            </w:pPr>
            <w:r>
              <w:rPr>
                <w:sz w:val="25"/>
                <w:szCs w:val="25"/>
                <w:b/>
                <w:bCs/>
                <w:spacing w:val="-5"/>
              </w:rPr>
              <w:t>违法程度</w:t>
            </w:r>
          </w:p>
        </w:tc>
        <w:tc>
          <w:tcPr>
            <w:tcW w:w="6335" w:type="dxa"/>
            <w:vAlign w:val="top"/>
          </w:tcPr>
          <w:p>
            <w:pPr>
              <w:pStyle w:val="TableText"/>
              <w:ind w:left="2594"/>
              <w:spacing w:before="292" w:line="220" w:lineRule="auto"/>
              <w:rPr>
                <w:sz w:val="25"/>
                <w:szCs w:val="25"/>
              </w:rPr>
            </w:pPr>
            <w:r>
              <w:rPr>
                <w:sz w:val="25"/>
                <w:szCs w:val="25"/>
                <w:b/>
                <w:bCs/>
                <w:spacing w:val="-5"/>
              </w:rPr>
              <w:t>情节后果</w:t>
            </w:r>
          </w:p>
        </w:tc>
        <w:tc>
          <w:tcPr>
            <w:tcW w:w="5651" w:type="dxa"/>
            <w:vAlign w:val="top"/>
          </w:tcPr>
          <w:p>
            <w:pPr>
              <w:pStyle w:val="TableText"/>
              <w:ind w:left="2319"/>
              <w:spacing w:before="289" w:line="218" w:lineRule="auto"/>
              <w:rPr>
                <w:sz w:val="25"/>
                <w:szCs w:val="25"/>
              </w:rPr>
            </w:pPr>
            <w:r>
              <w:rPr>
                <w:sz w:val="25"/>
                <w:szCs w:val="25"/>
                <w:b/>
                <w:bCs/>
                <w:spacing w:val="-5"/>
              </w:rPr>
              <w:t>裁量幅度</w:t>
            </w:r>
          </w:p>
        </w:tc>
      </w:tr>
      <w:tr>
        <w:trPr>
          <w:trHeight w:val="777" w:hRule="atLeast"/>
        </w:trPr>
        <w:tc>
          <w:tcPr>
            <w:tcW w:w="1954" w:type="dxa"/>
            <w:vAlign w:val="top"/>
          </w:tcPr>
          <w:p>
            <w:pPr>
              <w:pStyle w:val="TableText"/>
              <w:ind w:left="718"/>
              <w:spacing w:before="322" w:line="221" w:lineRule="auto"/>
              <w:rPr>
                <w:sz w:val="25"/>
                <w:szCs w:val="25"/>
              </w:rPr>
            </w:pPr>
            <w:r>
              <w:rPr>
                <w:sz w:val="25"/>
                <w:szCs w:val="25"/>
                <w:b/>
                <w:bCs/>
                <w:spacing w:val="-10"/>
              </w:rPr>
              <w:t>一般</w:t>
            </w:r>
          </w:p>
        </w:tc>
        <w:tc>
          <w:tcPr>
            <w:tcW w:w="6335" w:type="dxa"/>
            <w:vAlign w:val="top"/>
          </w:tcPr>
          <w:p>
            <w:pPr>
              <w:spacing w:line="251" w:lineRule="auto"/>
              <w:rPr>
                <w:rFonts w:ascii="Arial"/>
                <w:sz w:val="21"/>
              </w:rPr>
            </w:pPr>
            <w:r/>
          </w:p>
          <w:p>
            <w:pPr>
              <w:pStyle w:val="TableText"/>
              <w:ind w:left="121"/>
              <w:spacing w:before="81" w:line="219" w:lineRule="auto"/>
              <w:rPr>
                <w:sz w:val="25"/>
                <w:szCs w:val="25"/>
              </w:rPr>
            </w:pPr>
            <w:r>
              <w:rPr>
                <w:sz w:val="25"/>
                <w:szCs w:val="25"/>
              </w:rPr>
              <w:t>首次发现违法行为。</w:t>
            </w:r>
          </w:p>
        </w:tc>
        <w:tc>
          <w:tcPr>
            <w:tcW w:w="5651" w:type="dxa"/>
            <w:vAlign w:val="top"/>
          </w:tcPr>
          <w:p>
            <w:pPr>
              <w:spacing w:line="249" w:lineRule="auto"/>
              <w:rPr>
                <w:rFonts w:ascii="Arial"/>
                <w:sz w:val="21"/>
              </w:rPr>
            </w:pPr>
            <w:r/>
          </w:p>
          <w:p>
            <w:pPr>
              <w:pStyle w:val="TableText"/>
              <w:ind w:left="116"/>
              <w:spacing w:before="81" w:line="218" w:lineRule="auto"/>
              <w:rPr>
                <w:sz w:val="25"/>
                <w:szCs w:val="25"/>
              </w:rPr>
            </w:pPr>
            <w:r>
              <w:rPr>
                <w:sz w:val="25"/>
                <w:szCs w:val="25"/>
                <w:spacing w:val="-1"/>
              </w:rPr>
              <w:t>给予警告。</w:t>
            </w:r>
          </w:p>
        </w:tc>
      </w:tr>
      <w:tr>
        <w:trPr>
          <w:trHeight w:val="772" w:hRule="atLeast"/>
        </w:trPr>
        <w:tc>
          <w:tcPr>
            <w:tcW w:w="1954" w:type="dxa"/>
            <w:vAlign w:val="top"/>
          </w:tcPr>
          <w:p>
            <w:pPr>
              <w:pStyle w:val="TableText"/>
              <w:ind w:left="718"/>
              <w:spacing w:before="317" w:line="221" w:lineRule="auto"/>
              <w:rPr>
                <w:sz w:val="25"/>
                <w:szCs w:val="25"/>
              </w:rPr>
            </w:pPr>
            <w:r>
              <w:rPr>
                <w:sz w:val="25"/>
                <w:szCs w:val="25"/>
                <w:b/>
                <w:bCs/>
                <w:spacing w:val="-6"/>
              </w:rPr>
              <w:t>较重</w:t>
            </w:r>
          </w:p>
        </w:tc>
        <w:tc>
          <w:tcPr>
            <w:tcW w:w="6335" w:type="dxa"/>
            <w:vAlign w:val="top"/>
          </w:tcPr>
          <w:p>
            <w:pPr>
              <w:spacing w:line="252" w:lineRule="auto"/>
              <w:rPr>
                <w:rFonts w:ascii="Arial"/>
                <w:sz w:val="21"/>
              </w:rPr>
            </w:pPr>
            <w:r/>
          </w:p>
          <w:p>
            <w:pPr>
              <w:pStyle w:val="TableText"/>
              <w:ind w:left="121"/>
              <w:spacing w:before="82" w:line="219" w:lineRule="auto"/>
              <w:rPr>
                <w:sz w:val="25"/>
                <w:szCs w:val="25"/>
              </w:rPr>
            </w:pPr>
            <w:r>
              <w:rPr>
                <w:sz w:val="25"/>
                <w:szCs w:val="25"/>
              </w:rPr>
              <w:t>责令限期改正后，逾期不改正。</w:t>
            </w:r>
          </w:p>
        </w:tc>
        <w:tc>
          <w:tcPr>
            <w:tcW w:w="5651" w:type="dxa"/>
            <w:vAlign w:val="top"/>
          </w:tcPr>
          <w:p>
            <w:pPr>
              <w:spacing w:line="254" w:lineRule="auto"/>
              <w:rPr>
                <w:rFonts w:ascii="Arial"/>
                <w:sz w:val="21"/>
              </w:rPr>
            </w:pPr>
            <w:r/>
          </w:p>
          <w:p>
            <w:pPr>
              <w:pStyle w:val="TableText"/>
              <w:spacing w:before="81" w:line="219" w:lineRule="auto"/>
              <w:jc w:val="right"/>
              <w:rPr>
                <w:sz w:val="25"/>
                <w:szCs w:val="25"/>
              </w:rPr>
            </w:pPr>
            <w:r>
              <w:rPr>
                <w:sz w:val="25"/>
                <w:szCs w:val="25"/>
                <w:spacing w:val="-5"/>
              </w:rPr>
              <w:t>有许可证件的，并由原发证部门吊销有关许可证</w:t>
            </w:r>
            <w:r>
              <w:rPr>
                <w:sz w:val="25"/>
                <w:szCs w:val="25"/>
                <w:spacing w:val="-6"/>
              </w:rPr>
              <w:t>件。</w:t>
            </w:r>
          </w:p>
        </w:tc>
      </w:tr>
    </w:tbl>
    <w:p>
      <w:pPr>
        <w:ind w:left="29" w:right="149" w:firstLine="660"/>
        <w:spacing w:before="128" w:line="264" w:lineRule="auto"/>
        <w:rPr>
          <w:rFonts w:ascii="KaiTi" w:hAnsi="KaiTi" w:eastAsia="KaiTi" w:cs="KaiTi"/>
          <w:sz w:val="30"/>
          <w:szCs w:val="30"/>
        </w:rPr>
      </w:pPr>
      <w:r>
        <w:rPr>
          <w:rFonts w:ascii="KaiTi" w:hAnsi="KaiTi" w:eastAsia="KaiTi" w:cs="KaiTi"/>
          <w:sz w:val="30"/>
          <w:szCs w:val="30"/>
          <w:b/>
          <w:bCs/>
          <w:spacing w:val="17"/>
        </w:rPr>
        <w:t>第一百一十七条</w:t>
      </w:r>
      <w:r>
        <w:rPr>
          <w:rFonts w:ascii="KaiTi" w:hAnsi="KaiTi" w:eastAsia="KaiTi" w:cs="KaiTi"/>
          <w:sz w:val="30"/>
          <w:szCs w:val="30"/>
          <w:spacing w:val="17"/>
        </w:rPr>
        <w:t xml:space="preserve">  </w:t>
      </w:r>
      <w:r>
        <w:rPr>
          <w:rFonts w:ascii="KaiTi" w:hAnsi="KaiTi" w:eastAsia="KaiTi" w:cs="KaiTi"/>
          <w:sz w:val="30"/>
          <w:szCs w:val="30"/>
          <w:b/>
          <w:bCs/>
          <w:spacing w:val="17"/>
        </w:rPr>
        <w:t>经依法批准从事高致病性病原微生物相关实验活动的实验室的设</w:t>
      </w:r>
      <w:r>
        <w:rPr>
          <w:rFonts w:ascii="KaiTi" w:hAnsi="KaiTi" w:eastAsia="KaiTi" w:cs="KaiTi"/>
          <w:sz w:val="30"/>
          <w:szCs w:val="30"/>
          <w:b/>
          <w:bCs/>
          <w:spacing w:val="16"/>
        </w:rPr>
        <w:t>立单位未建</w:t>
      </w:r>
      <w:r>
        <w:rPr>
          <w:rFonts w:ascii="KaiTi" w:hAnsi="KaiTi" w:eastAsia="KaiTi" w:cs="KaiTi"/>
          <w:sz w:val="30"/>
          <w:szCs w:val="30"/>
        </w:rPr>
        <w:t xml:space="preserve"> </w:t>
      </w:r>
      <w:r>
        <w:rPr>
          <w:rFonts w:ascii="KaiTi" w:hAnsi="KaiTi" w:eastAsia="KaiTi" w:cs="KaiTi"/>
          <w:sz w:val="30"/>
          <w:szCs w:val="30"/>
          <w:b/>
          <w:bCs/>
          <w:spacing w:val="16"/>
        </w:rPr>
        <w:t>立健全安全保卫制度，或者未采取安全保卫措施的</w:t>
      </w:r>
    </w:p>
    <w:p>
      <w:pPr>
        <w:ind w:left="675"/>
        <w:spacing w:before="37"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25" w:firstLine="619"/>
        <w:spacing w:before="87" w:line="271" w:lineRule="auto"/>
        <w:jc w:val="both"/>
        <w:rPr>
          <w:rFonts w:ascii="FangSong" w:hAnsi="FangSong" w:eastAsia="FangSong" w:cs="FangSong"/>
          <w:sz w:val="30"/>
          <w:szCs w:val="30"/>
        </w:rPr>
      </w:pPr>
      <w:r>
        <w:rPr>
          <w:rFonts w:ascii="FangSong" w:hAnsi="FangSong" w:eastAsia="FangSong" w:cs="FangSong"/>
          <w:sz w:val="30"/>
          <w:szCs w:val="30"/>
          <w:spacing w:val="17"/>
        </w:rPr>
        <w:t>《病原微生物实验室生物安全管理条例》第六</w:t>
      </w:r>
      <w:r>
        <w:rPr>
          <w:rFonts w:ascii="FangSong" w:hAnsi="FangSong" w:eastAsia="FangSong" w:cs="FangSong"/>
          <w:sz w:val="30"/>
          <w:szCs w:val="30"/>
          <w:spacing w:val="16"/>
        </w:rPr>
        <w:t>十一条</w:t>
      </w:r>
      <w:r>
        <w:rPr>
          <w:rFonts w:ascii="FangSong" w:hAnsi="FangSong" w:eastAsia="FangSong" w:cs="FangSong"/>
          <w:sz w:val="30"/>
          <w:szCs w:val="30"/>
          <w:spacing w:val="16"/>
        </w:rPr>
        <w:t xml:space="preserve">  </w:t>
      </w:r>
      <w:r>
        <w:rPr>
          <w:rFonts w:ascii="FangSong" w:hAnsi="FangSong" w:eastAsia="FangSong" w:cs="FangSong"/>
          <w:sz w:val="30"/>
          <w:szCs w:val="30"/>
          <w:spacing w:val="16"/>
        </w:rPr>
        <w:t>从事高致病性病原微生物相关实验活动的</w:t>
      </w:r>
      <w:r>
        <w:rPr>
          <w:rFonts w:ascii="FangSong" w:hAnsi="FangSong" w:eastAsia="FangSong" w:cs="FangSong"/>
          <w:sz w:val="30"/>
          <w:szCs w:val="30"/>
        </w:rPr>
        <w:t xml:space="preserve"> </w:t>
      </w:r>
      <w:r>
        <w:rPr>
          <w:rFonts w:ascii="FangSong" w:hAnsi="FangSong" w:eastAsia="FangSong" w:cs="FangSong"/>
          <w:sz w:val="30"/>
          <w:szCs w:val="30"/>
          <w:spacing w:val="17"/>
        </w:rPr>
        <w:t>实验室的设立单位未建立健全安全保卫制度，</w:t>
      </w:r>
      <w:r>
        <w:rPr>
          <w:rFonts w:ascii="FangSong" w:hAnsi="FangSong" w:eastAsia="FangSong" w:cs="FangSong"/>
          <w:sz w:val="30"/>
          <w:szCs w:val="30"/>
          <w:spacing w:val="16"/>
        </w:rPr>
        <w:t>或者未采取安全保卫措施的，由县级以上地方人民政府</w:t>
      </w:r>
      <w:r>
        <w:rPr>
          <w:rFonts w:ascii="FangSong" w:hAnsi="FangSong" w:eastAsia="FangSong" w:cs="FangSong"/>
          <w:sz w:val="30"/>
          <w:szCs w:val="30"/>
        </w:rPr>
        <w:t xml:space="preserve"> </w:t>
      </w:r>
      <w:r>
        <w:rPr>
          <w:rFonts w:ascii="FangSong" w:hAnsi="FangSong" w:eastAsia="FangSong" w:cs="FangSong"/>
          <w:sz w:val="30"/>
          <w:szCs w:val="30"/>
          <w:spacing w:val="16"/>
        </w:rPr>
        <w:t>卫生主管部门、兽医主管部门依照各自职责，责令限期改正；逾期不改正，导致高致病性病原微生物</w:t>
      </w:r>
      <w:r>
        <w:rPr>
          <w:rFonts w:ascii="FangSong" w:hAnsi="FangSong" w:eastAsia="FangSong" w:cs="FangSong"/>
          <w:sz w:val="30"/>
          <w:szCs w:val="30"/>
          <w:spacing w:val="16"/>
        </w:rPr>
        <w:t xml:space="preserve"> </w:t>
      </w:r>
      <w:r>
        <w:rPr>
          <w:rFonts w:ascii="FangSong" w:hAnsi="FangSong" w:eastAsia="FangSong" w:cs="FangSong"/>
          <w:sz w:val="30"/>
          <w:szCs w:val="30"/>
          <w:spacing w:val="27"/>
        </w:rPr>
        <w:t>菌(毒)种、样本被盗、被抢或者造成其他严重后果的，责令停止该项实</w:t>
      </w:r>
      <w:r>
        <w:rPr>
          <w:rFonts w:ascii="FangSong" w:hAnsi="FangSong" w:eastAsia="FangSong" w:cs="FangSong"/>
          <w:sz w:val="30"/>
          <w:szCs w:val="30"/>
          <w:spacing w:val="26"/>
        </w:rPr>
        <w:t>验活动，该实验室2年内不</w:t>
      </w:r>
      <w:r>
        <w:rPr>
          <w:rFonts w:ascii="FangSong" w:hAnsi="FangSong" w:eastAsia="FangSong" w:cs="FangSong"/>
          <w:sz w:val="30"/>
          <w:szCs w:val="30"/>
        </w:rPr>
        <w:t xml:space="preserve"> </w:t>
      </w:r>
      <w:r>
        <w:rPr>
          <w:rFonts w:ascii="FangSong" w:hAnsi="FangSong" w:eastAsia="FangSong" w:cs="FangSong"/>
          <w:sz w:val="30"/>
          <w:szCs w:val="30"/>
          <w:spacing w:val="17"/>
        </w:rPr>
        <w:t>得申请从事高致病性病原微生物实验活动；造成传染病传播、流行的，该实验室设立单位的主管部门</w:t>
      </w:r>
      <w:r>
        <w:rPr>
          <w:rFonts w:ascii="FangSong" w:hAnsi="FangSong" w:eastAsia="FangSong" w:cs="FangSong"/>
          <w:sz w:val="30"/>
          <w:szCs w:val="30"/>
          <w:spacing w:val="1"/>
        </w:rPr>
        <w:t xml:space="preserve"> </w:t>
      </w:r>
      <w:r>
        <w:rPr>
          <w:rFonts w:ascii="FangSong" w:hAnsi="FangSong" w:eastAsia="FangSong" w:cs="FangSong"/>
          <w:sz w:val="30"/>
          <w:szCs w:val="30"/>
          <w:spacing w:val="16"/>
        </w:rPr>
        <w:t>还应当对该实验室的设立单位的直接负责的主管人员和其他直接责任人员，依法给予降级、撤职、开</w:t>
      </w:r>
      <w:r>
        <w:rPr>
          <w:rFonts w:ascii="FangSong" w:hAnsi="FangSong" w:eastAsia="FangSong" w:cs="FangSong"/>
          <w:sz w:val="30"/>
          <w:szCs w:val="30"/>
          <w:spacing w:val="17"/>
        </w:rPr>
        <w:t xml:space="preserve"> </w:t>
      </w:r>
      <w:r>
        <w:rPr>
          <w:rFonts w:ascii="FangSong" w:hAnsi="FangSong" w:eastAsia="FangSong" w:cs="FangSong"/>
          <w:sz w:val="30"/>
          <w:szCs w:val="30"/>
          <w:spacing w:val="15"/>
        </w:rPr>
        <w:t>除的处分；构成犯罪的，依法追究刑事责任。</w:t>
      </w:r>
    </w:p>
    <w:p>
      <w:pPr>
        <w:spacing w:line="271" w:lineRule="auto"/>
        <w:sectPr>
          <w:footerReference w:type="default" r:id="rId191"/>
          <w:pgSz w:w="16830" w:h="11900"/>
          <w:pgMar w:top="1011" w:right="1439" w:bottom="1114" w:left="1414" w:header="0" w:footer="772" w:gutter="0"/>
        </w:sectPr>
        <w:rPr>
          <w:rFonts w:ascii="FangSong" w:hAnsi="FangSong" w:eastAsia="FangSong" w:cs="FangSong"/>
          <w:sz w:val="30"/>
          <w:szCs w:val="30"/>
        </w:rPr>
      </w:pPr>
    </w:p>
    <w:p>
      <w:pPr>
        <w:pStyle w:val="BodyText"/>
        <w:spacing w:line="252" w:lineRule="auto"/>
        <w:rPr/>
      </w:pPr>
      <w:r/>
    </w:p>
    <w:p>
      <w:pPr>
        <w:pStyle w:val="BodyText"/>
        <w:spacing w:line="253" w:lineRule="auto"/>
        <w:rPr/>
      </w:pPr>
      <w:r/>
    </w:p>
    <w:p>
      <w:pPr>
        <w:pStyle w:val="BodyText"/>
        <w:spacing w:line="253" w:lineRule="auto"/>
        <w:rPr/>
      </w:pPr>
      <w:r/>
    </w:p>
    <w:p>
      <w:pPr>
        <w:ind w:left="6709"/>
        <w:spacing w:before="104" w:line="194" w:lineRule="auto"/>
        <w:rPr>
          <w:rFonts w:ascii="SimSun" w:hAnsi="SimSun" w:eastAsia="SimSun" w:cs="SimSun"/>
          <w:sz w:val="32"/>
          <w:szCs w:val="32"/>
        </w:rPr>
      </w:pPr>
      <w:bookmarkStart w:name="bookmark849" w:id="175"/>
      <w:bookmarkEnd w:id="175"/>
      <w:r>
        <w:rPr>
          <w:rFonts w:ascii="SimSun" w:hAnsi="SimSun" w:eastAsia="SimSun" w:cs="SimSun"/>
          <w:sz w:val="32"/>
          <w:szCs w:val="32"/>
          <w:b/>
          <w:bCs/>
          <w:spacing w:val="-6"/>
        </w:rPr>
        <w:t>裁量标准</w:t>
      </w:r>
    </w:p>
    <w:tbl>
      <w:tblPr>
        <w:tblStyle w:val="TableNormal"/>
        <w:tblW w:w="13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54"/>
        <w:gridCol w:w="8704"/>
        <w:gridCol w:w="3612"/>
      </w:tblGrid>
      <w:tr>
        <w:trPr>
          <w:trHeight w:val="862" w:hRule="atLeast"/>
        </w:trPr>
        <w:tc>
          <w:tcPr>
            <w:tcW w:w="1554" w:type="dxa"/>
            <w:vAlign w:val="top"/>
          </w:tcPr>
          <w:p>
            <w:pPr>
              <w:pStyle w:val="TableText"/>
              <w:ind w:left="268"/>
              <w:spacing w:before="312" w:line="220" w:lineRule="auto"/>
              <w:rPr>
                <w:sz w:val="25"/>
                <w:szCs w:val="25"/>
              </w:rPr>
            </w:pPr>
            <w:r>
              <w:rPr>
                <w:sz w:val="25"/>
                <w:szCs w:val="25"/>
                <w:b/>
                <w:bCs/>
                <w:spacing w:val="-5"/>
              </w:rPr>
              <w:t>违法程度</w:t>
            </w:r>
          </w:p>
        </w:tc>
        <w:tc>
          <w:tcPr>
            <w:tcW w:w="8704" w:type="dxa"/>
            <w:vAlign w:val="top"/>
          </w:tcPr>
          <w:p>
            <w:pPr>
              <w:pStyle w:val="TableText"/>
              <w:ind w:left="3774"/>
              <w:spacing w:before="312" w:line="220" w:lineRule="auto"/>
              <w:rPr>
                <w:sz w:val="25"/>
                <w:szCs w:val="25"/>
              </w:rPr>
            </w:pPr>
            <w:r>
              <w:rPr>
                <w:sz w:val="25"/>
                <w:szCs w:val="25"/>
                <w:b/>
                <w:bCs/>
                <w:spacing w:val="-5"/>
              </w:rPr>
              <w:t>情节后果</w:t>
            </w:r>
          </w:p>
        </w:tc>
        <w:tc>
          <w:tcPr>
            <w:tcW w:w="3612" w:type="dxa"/>
            <w:vAlign w:val="top"/>
          </w:tcPr>
          <w:p>
            <w:pPr>
              <w:pStyle w:val="TableText"/>
              <w:ind w:left="1300"/>
              <w:spacing w:before="309" w:line="218" w:lineRule="auto"/>
              <w:rPr>
                <w:sz w:val="25"/>
                <w:szCs w:val="25"/>
              </w:rPr>
            </w:pPr>
            <w:r>
              <w:rPr>
                <w:sz w:val="25"/>
                <w:szCs w:val="25"/>
                <w:b/>
                <w:bCs/>
                <w:spacing w:val="-5"/>
              </w:rPr>
              <w:t>裁量幅度</w:t>
            </w:r>
          </w:p>
        </w:tc>
      </w:tr>
      <w:tr>
        <w:trPr>
          <w:trHeight w:val="548" w:hRule="atLeast"/>
        </w:trPr>
        <w:tc>
          <w:tcPr>
            <w:tcW w:w="1554" w:type="dxa"/>
            <w:vAlign w:val="top"/>
          </w:tcPr>
          <w:p>
            <w:pPr>
              <w:pStyle w:val="TableText"/>
              <w:ind w:left="518"/>
              <w:spacing w:before="151" w:line="221" w:lineRule="auto"/>
              <w:rPr>
                <w:sz w:val="25"/>
                <w:szCs w:val="25"/>
              </w:rPr>
            </w:pPr>
            <w:r>
              <w:rPr>
                <w:sz w:val="25"/>
                <w:szCs w:val="25"/>
                <w:b/>
                <w:bCs/>
                <w:spacing w:val="-10"/>
              </w:rPr>
              <w:t>一般</w:t>
            </w:r>
          </w:p>
        </w:tc>
        <w:tc>
          <w:tcPr>
            <w:tcW w:w="8704" w:type="dxa"/>
            <w:vAlign w:val="top"/>
          </w:tcPr>
          <w:p>
            <w:pPr>
              <w:pStyle w:val="TableText"/>
              <w:ind w:left="91"/>
              <w:spacing w:before="153" w:line="219" w:lineRule="auto"/>
              <w:rPr>
                <w:sz w:val="25"/>
                <w:szCs w:val="25"/>
              </w:rPr>
            </w:pPr>
            <w:r>
              <w:rPr>
                <w:sz w:val="25"/>
                <w:szCs w:val="25"/>
              </w:rPr>
              <w:t>首次发现违法行为，未造成后果。</w:t>
            </w:r>
          </w:p>
        </w:tc>
        <w:tc>
          <w:tcPr>
            <w:tcW w:w="3612" w:type="dxa"/>
            <w:vAlign w:val="top"/>
          </w:tcPr>
          <w:p>
            <w:pPr>
              <w:pStyle w:val="TableText"/>
              <w:spacing w:before="151" w:line="219" w:lineRule="auto"/>
              <w:jc w:val="right"/>
              <w:rPr>
                <w:sz w:val="25"/>
                <w:szCs w:val="25"/>
              </w:rPr>
            </w:pPr>
            <w:r>
              <w:rPr>
                <w:sz w:val="25"/>
                <w:szCs w:val="25"/>
                <w:spacing w:val="-1"/>
              </w:rPr>
              <w:t>不予行政处罚，责令限期改正。</w:t>
            </w:r>
          </w:p>
        </w:tc>
      </w:tr>
      <w:tr>
        <w:trPr>
          <w:trHeight w:val="1310" w:hRule="atLeast"/>
        </w:trPr>
        <w:tc>
          <w:tcPr>
            <w:tcW w:w="1554" w:type="dxa"/>
            <w:vAlign w:val="top"/>
          </w:tcPr>
          <w:p>
            <w:pPr>
              <w:spacing w:line="451" w:lineRule="auto"/>
              <w:rPr>
                <w:rFonts w:ascii="Arial"/>
                <w:sz w:val="21"/>
              </w:rPr>
            </w:pPr>
            <w:r/>
          </w:p>
          <w:p>
            <w:pPr>
              <w:pStyle w:val="TableText"/>
              <w:ind w:left="518"/>
              <w:spacing w:before="81" w:line="221" w:lineRule="auto"/>
              <w:rPr>
                <w:sz w:val="25"/>
                <w:szCs w:val="25"/>
              </w:rPr>
            </w:pPr>
            <w:r>
              <w:rPr>
                <w:sz w:val="25"/>
                <w:szCs w:val="25"/>
                <w:b/>
                <w:bCs/>
                <w:spacing w:val="-6"/>
              </w:rPr>
              <w:t>较重</w:t>
            </w:r>
          </w:p>
        </w:tc>
        <w:tc>
          <w:tcPr>
            <w:tcW w:w="8704" w:type="dxa"/>
            <w:vAlign w:val="top"/>
          </w:tcPr>
          <w:p>
            <w:pPr>
              <w:spacing w:line="280" w:lineRule="auto"/>
              <w:rPr>
                <w:rFonts w:ascii="Arial"/>
                <w:sz w:val="21"/>
              </w:rPr>
            </w:pPr>
            <w:r/>
          </w:p>
          <w:p>
            <w:pPr>
              <w:pStyle w:val="TableText"/>
              <w:ind w:left="91" w:firstLine="39"/>
              <w:spacing w:before="81" w:line="328" w:lineRule="auto"/>
              <w:rPr>
                <w:sz w:val="25"/>
                <w:szCs w:val="25"/>
              </w:rPr>
            </w:pPr>
            <w:r>
              <w:rPr>
                <w:sz w:val="25"/>
                <w:szCs w:val="25"/>
                <w:spacing w:val="-5"/>
              </w:rPr>
              <w:t>责令限期改正后，逾期不改正，导致高致病性病原微生物菌(毒</w:t>
            </w:r>
            <w:r>
              <w:rPr>
                <w:sz w:val="25"/>
                <w:szCs w:val="25"/>
                <w:spacing w:val="-6"/>
              </w:rPr>
              <w:t>)种、样本被盗、</w:t>
            </w:r>
            <w:r>
              <w:rPr>
                <w:sz w:val="25"/>
                <w:szCs w:val="25"/>
              </w:rPr>
              <w:t xml:space="preserve"> </w:t>
            </w:r>
            <w:r>
              <w:rPr>
                <w:sz w:val="25"/>
                <w:szCs w:val="25"/>
                <w:spacing w:val="-4"/>
              </w:rPr>
              <w:t>被抢或者造成其他严重后果。</w:t>
            </w:r>
          </w:p>
        </w:tc>
        <w:tc>
          <w:tcPr>
            <w:tcW w:w="3612" w:type="dxa"/>
            <w:vAlign w:val="top"/>
          </w:tcPr>
          <w:p>
            <w:pPr>
              <w:pStyle w:val="TableText"/>
              <w:ind w:left="106" w:right="44" w:hanging="59"/>
              <w:spacing w:before="146" w:line="284" w:lineRule="auto"/>
              <w:jc w:val="both"/>
              <w:rPr>
                <w:sz w:val="25"/>
                <w:szCs w:val="25"/>
              </w:rPr>
            </w:pPr>
            <w:r>
              <w:rPr>
                <w:sz w:val="25"/>
                <w:szCs w:val="25"/>
              </w:rPr>
              <w:t>责令停止该项实验活动，该实验</w:t>
            </w:r>
            <w:r>
              <w:rPr>
                <w:sz w:val="25"/>
                <w:szCs w:val="25"/>
                <w:spacing w:val="9"/>
              </w:rPr>
              <w:t xml:space="preserve"> </w:t>
            </w:r>
            <w:r>
              <w:rPr>
                <w:sz w:val="25"/>
                <w:szCs w:val="25"/>
                <w:spacing w:val="1"/>
              </w:rPr>
              <w:t>室2年内不得申请从事高致病性</w:t>
            </w:r>
            <w:r>
              <w:rPr>
                <w:sz w:val="25"/>
                <w:szCs w:val="25"/>
              </w:rPr>
              <w:t xml:space="preserve"> </w:t>
            </w:r>
            <w:r>
              <w:rPr>
                <w:sz w:val="25"/>
                <w:szCs w:val="25"/>
                <w:spacing w:val="-1"/>
              </w:rPr>
              <w:t>病原微生物实验活动。</w:t>
            </w:r>
          </w:p>
        </w:tc>
      </w:tr>
    </w:tbl>
    <w:p>
      <w:pPr>
        <w:ind w:left="689"/>
        <w:spacing w:before="91" w:line="219" w:lineRule="auto"/>
        <w:rPr>
          <w:rFonts w:ascii="SimSun" w:hAnsi="SimSun" w:eastAsia="SimSun" w:cs="SimSun"/>
          <w:sz w:val="32"/>
          <w:szCs w:val="32"/>
        </w:rPr>
      </w:pPr>
      <w:r>
        <w:rPr>
          <w:rFonts w:ascii="SimSun" w:hAnsi="SimSun" w:eastAsia="SimSun" w:cs="SimSun"/>
          <w:sz w:val="32"/>
          <w:szCs w:val="32"/>
          <w:b/>
          <w:bCs/>
          <w:spacing w:val="-4"/>
        </w:rPr>
        <w:t>第一百一十八条</w:t>
      </w:r>
      <w:r>
        <w:rPr>
          <w:rFonts w:ascii="SimSun" w:hAnsi="SimSun" w:eastAsia="SimSun" w:cs="SimSun"/>
          <w:sz w:val="32"/>
          <w:szCs w:val="32"/>
          <w:spacing w:val="-4"/>
        </w:rPr>
        <w:t xml:space="preserve"> </w:t>
      </w:r>
      <w:r>
        <w:rPr>
          <w:rFonts w:ascii="SimSun" w:hAnsi="SimSun" w:eastAsia="SimSun" w:cs="SimSun"/>
          <w:sz w:val="32"/>
          <w:szCs w:val="32"/>
          <w:b/>
          <w:bCs/>
          <w:spacing w:val="-4"/>
        </w:rPr>
        <w:t>未经批准运输高致病性病原微生物菌(毒)种或者样本，或者承运单位经批</w:t>
      </w:r>
    </w:p>
    <w:p>
      <w:pPr>
        <w:ind w:left="15"/>
        <w:spacing w:before="95" w:line="219" w:lineRule="auto"/>
        <w:rPr>
          <w:rFonts w:ascii="FangSong" w:hAnsi="FangSong" w:eastAsia="FangSong" w:cs="FangSong"/>
          <w:sz w:val="30"/>
          <w:szCs w:val="30"/>
        </w:rPr>
      </w:pPr>
      <w:r>
        <w:rPr>
          <w:rFonts w:ascii="FangSong" w:hAnsi="FangSong" w:eastAsia="FangSong" w:cs="FangSong"/>
          <w:sz w:val="30"/>
          <w:szCs w:val="30"/>
          <w:spacing w:val="30"/>
        </w:rPr>
        <w:t>准</w:t>
      </w:r>
      <w:r>
        <w:rPr>
          <w:rFonts w:ascii="FangSong" w:hAnsi="FangSong" w:eastAsia="FangSong" w:cs="FangSong"/>
          <w:sz w:val="30"/>
          <w:szCs w:val="30"/>
          <w:b/>
          <w:bCs/>
          <w:spacing w:val="30"/>
        </w:rPr>
        <w:t>运输高致病性病原微生物菌(毒)种或者样本未履行保护义务，导</w:t>
      </w:r>
      <w:r>
        <w:rPr>
          <w:rFonts w:ascii="FangSong" w:hAnsi="FangSong" w:eastAsia="FangSong" w:cs="FangSong"/>
          <w:sz w:val="30"/>
          <w:szCs w:val="30"/>
          <w:b/>
          <w:bCs/>
          <w:spacing w:val="29"/>
        </w:rPr>
        <w:t>致高致病性病原微生物菌(毒)</w:t>
      </w:r>
    </w:p>
    <w:p>
      <w:pPr>
        <w:ind w:left="19"/>
        <w:spacing w:before="104" w:line="219" w:lineRule="auto"/>
        <w:rPr>
          <w:rFonts w:ascii="FangSong" w:hAnsi="FangSong" w:eastAsia="FangSong" w:cs="FangSong"/>
          <w:sz w:val="30"/>
          <w:szCs w:val="30"/>
        </w:rPr>
      </w:pPr>
      <w:r>
        <w:rPr>
          <w:rFonts w:ascii="FangSong" w:hAnsi="FangSong" w:eastAsia="FangSong" w:cs="FangSong"/>
          <w:sz w:val="30"/>
          <w:szCs w:val="30"/>
          <w:b/>
          <w:bCs/>
          <w:spacing w:val="16"/>
        </w:rPr>
        <w:t>种或者样本被盗、被抢、丢失、泄漏的</w:t>
      </w:r>
    </w:p>
    <w:p>
      <w:pPr>
        <w:ind w:left="675"/>
        <w:spacing w:before="112"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15" w:firstLine="640"/>
        <w:spacing w:before="61" w:line="271" w:lineRule="auto"/>
        <w:rPr>
          <w:rFonts w:ascii="FangSong" w:hAnsi="FangSong" w:eastAsia="FangSong" w:cs="FangSong"/>
          <w:sz w:val="30"/>
          <w:szCs w:val="30"/>
        </w:rPr>
      </w:pPr>
      <w:r>
        <w:rPr>
          <w:rFonts w:ascii="FangSong" w:hAnsi="FangSong" w:eastAsia="FangSong" w:cs="FangSong"/>
          <w:sz w:val="30"/>
          <w:szCs w:val="30"/>
          <w:spacing w:val="18"/>
        </w:rPr>
        <w:t>《病原微生物实验室生物安全管理条例》第六十二条</w:t>
      </w:r>
      <w:r>
        <w:rPr>
          <w:rFonts w:ascii="FangSong" w:hAnsi="FangSong" w:eastAsia="FangSong" w:cs="FangSong"/>
          <w:sz w:val="30"/>
          <w:szCs w:val="30"/>
          <w:spacing w:val="18"/>
        </w:rPr>
        <w:t xml:space="preserve">   </w:t>
      </w:r>
      <w:r>
        <w:rPr>
          <w:rFonts w:ascii="FangSong" w:hAnsi="FangSong" w:eastAsia="FangSong" w:cs="FangSong"/>
          <w:sz w:val="30"/>
          <w:szCs w:val="30"/>
          <w:spacing w:val="18"/>
        </w:rPr>
        <w:t>未经批准运输高致病性病原微生物菌(毒)</w:t>
      </w:r>
      <w:r>
        <w:rPr>
          <w:rFonts w:ascii="FangSong" w:hAnsi="FangSong" w:eastAsia="FangSong" w:cs="FangSong"/>
          <w:sz w:val="30"/>
          <w:szCs w:val="30"/>
          <w:spacing w:val="5"/>
        </w:rPr>
        <w:t xml:space="preserve"> </w:t>
      </w:r>
      <w:r>
        <w:rPr>
          <w:rFonts w:ascii="FangSong" w:hAnsi="FangSong" w:eastAsia="FangSong" w:cs="FangSong"/>
          <w:sz w:val="30"/>
          <w:szCs w:val="30"/>
          <w:spacing w:val="24"/>
        </w:rPr>
        <w:t>种或者样本，或者承运单位经批准运输高致</w:t>
      </w:r>
      <w:r>
        <w:rPr>
          <w:rFonts w:ascii="FangSong" w:hAnsi="FangSong" w:eastAsia="FangSong" w:cs="FangSong"/>
          <w:sz w:val="30"/>
          <w:szCs w:val="30"/>
          <w:spacing w:val="23"/>
        </w:rPr>
        <w:t>病性病原微生物菌(毒)种或者样本未履行保护义务，导</w:t>
      </w:r>
      <w:r>
        <w:rPr>
          <w:rFonts w:ascii="FangSong" w:hAnsi="FangSong" w:eastAsia="FangSong" w:cs="FangSong"/>
          <w:sz w:val="30"/>
          <w:szCs w:val="30"/>
        </w:rPr>
        <w:t xml:space="preserve">  </w:t>
      </w:r>
      <w:r>
        <w:rPr>
          <w:rFonts w:ascii="FangSong" w:hAnsi="FangSong" w:eastAsia="FangSong" w:cs="FangSong"/>
          <w:sz w:val="30"/>
          <w:szCs w:val="30"/>
          <w:spacing w:val="23"/>
        </w:rPr>
        <w:t>致高致病性病原微生物菌(毒)种或者样本被盗、被抢、丢失、泄漏的，由县级以上地方人民政府卫</w:t>
      </w:r>
      <w:r>
        <w:rPr>
          <w:rFonts w:ascii="FangSong" w:hAnsi="FangSong" w:eastAsia="FangSong" w:cs="FangSong"/>
          <w:sz w:val="30"/>
          <w:szCs w:val="30"/>
          <w:spacing w:val="8"/>
        </w:rPr>
        <w:t xml:space="preserve">  </w:t>
      </w:r>
      <w:r>
        <w:rPr>
          <w:rFonts w:ascii="FangSong" w:hAnsi="FangSong" w:eastAsia="FangSong" w:cs="FangSong"/>
          <w:sz w:val="30"/>
          <w:szCs w:val="30"/>
          <w:spacing w:val="19"/>
        </w:rPr>
        <w:t>生主管部门、兽医主管部门依照各自职责，责令采取措施，消除隐患，给予警告；造</w:t>
      </w:r>
      <w:r>
        <w:rPr>
          <w:rFonts w:ascii="FangSong" w:hAnsi="FangSong" w:eastAsia="FangSong" w:cs="FangSong"/>
          <w:sz w:val="30"/>
          <w:szCs w:val="30"/>
          <w:spacing w:val="18"/>
        </w:rPr>
        <w:t>成传染病传播、</w:t>
      </w:r>
    </w:p>
    <w:p>
      <w:pPr>
        <w:ind w:left="15" w:right="243"/>
        <w:spacing w:line="272" w:lineRule="auto"/>
        <w:rPr>
          <w:rFonts w:ascii="FangSong" w:hAnsi="FangSong" w:eastAsia="FangSong" w:cs="FangSong"/>
          <w:sz w:val="30"/>
          <w:szCs w:val="30"/>
        </w:rPr>
      </w:pPr>
      <w:r>
        <w:rPr>
          <w:rFonts w:ascii="FangSong" w:hAnsi="FangSong" w:eastAsia="FangSong" w:cs="FangSong"/>
          <w:sz w:val="30"/>
          <w:szCs w:val="30"/>
          <w:spacing w:val="17"/>
        </w:rPr>
        <w:t>流行或者其他严重后果的，由托运单位和承运单位的主管部门对主要负责人、直接负责的主管人员和</w:t>
      </w:r>
      <w:r>
        <w:rPr>
          <w:rFonts w:ascii="FangSong" w:hAnsi="FangSong" w:eastAsia="FangSong" w:cs="FangSong"/>
          <w:sz w:val="30"/>
          <w:szCs w:val="30"/>
          <w:spacing w:val="13"/>
        </w:rPr>
        <w:t xml:space="preserve"> </w:t>
      </w:r>
      <w:r>
        <w:rPr>
          <w:rFonts w:ascii="FangSong" w:hAnsi="FangSong" w:eastAsia="FangSong" w:cs="FangSong"/>
          <w:sz w:val="30"/>
          <w:szCs w:val="30"/>
          <w:spacing w:val="18"/>
        </w:rPr>
        <w:t>其他直接责任人员，依法给予撤职、开除的处分；构成犯罪的，依法追究刑事责任。</w:t>
      </w:r>
    </w:p>
    <w:p>
      <w:pPr>
        <w:spacing w:line="272" w:lineRule="auto"/>
        <w:sectPr>
          <w:footerReference w:type="default" r:id="rId192"/>
          <w:pgSz w:w="16830" w:h="11900"/>
          <w:pgMar w:top="1011" w:right="1193" w:bottom="1134" w:left="1414" w:header="0" w:footer="792" w:gutter="0"/>
        </w:sectPr>
        <w:rPr>
          <w:rFonts w:ascii="FangSong" w:hAnsi="FangSong" w:eastAsia="FangSong" w:cs="FangSong"/>
          <w:sz w:val="30"/>
          <w:szCs w:val="30"/>
        </w:rPr>
      </w:pPr>
    </w:p>
    <w:p>
      <w:pPr>
        <w:pStyle w:val="BodyText"/>
        <w:spacing w:line="262" w:lineRule="auto"/>
        <w:rPr/>
      </w:pPr>
      <w:r/>
    </w:p>
    <w:p>
      <w:pPr>
        <w:pStyle w:val="BodyText"/>
        <w:spacing w:line="263" w:lineRule="auto"/>
        <w:rPr/>
      </w:pPr>
      <w:r/>
    </w:p>
    <w:p>
      <w:pPr>
        <w:pStyle w:val="BodyText"/>
        <w:spacing w:line="263" w:lineRule="auto"/>
        <w:rPr/>
      </w:pPr>
      <w:r/>
    </w:p>
    <w:p>
      <w:pPr>
        <w:ind w:left="6729"/>
        <w:spacing w:before="94"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84"/>
        <w:gridCol w:w="10182"/>
        <w:gridCol w:w="2803"/>
      </w:tblGrid>
      <w:tr>
        <w:trPr>
          <w:trHeight w:val="892" w:hRule="atLeast"/>
        </w:trPr>
        <w:tc>
          <w:tcPr>
            <w:tcW w:w="984" w:type="dxa"/>
            <w:vAlign w:val="top"/>
          </w:tcPr>
          <w:p>
            <w:pPr>
              <w:pStyle w:val="TableText"/>
              <w:ind w:left="238"/>
              <w:spacing w:before="99" w:line="225" w:lineRule="auto"/>
              <w:rPr>
                <w:sz w:val="25"/>
                <w:szCs w:val="25"/>
              </w:rPr>
            </w:pPr>
            <w:r>
              <w:rPr>
                <w:sz w:val="25"/>
                <w:szCs w:val="25"/>
                <w:b/>
                <w:bCs/>
                <w:spacing w:val="-6"/>
              </w:rPr>
              <w:t>违法</w:t>
            </w:r>
          </w:p>
          <w:p>
            <w:pPr>
              <w:pStyle w:val="TableText"/>
              <w:ind w:left="238"/>
              <w:spacing w:before="138" w:line="220" w:lineRule="auto"/>
              <w:rPr>
                <w:sz w:val="25"/>
                <w:szCs w:val="25"/>
              </w:rPr>
            </w:pPr>
            <w:r>
              <w:rPr>
                <w:sz w:val="25"/>
                <w:szCs w:val="25"/>
                <w:b/>
                <w:bCs/>
                <w:spacing w:val="-5"/>
              </w:rPr>
              <w:t>程度</w:t>
            </w:r>
          </w:p>
        </w:tc>
        <w:tc>
          <w:tcPr>
            <w:tcW w:w="10182" w:type="dxa"/>
            <w:vAlign w:val="top"/>
          </w:tcPr>
          <w:p>
            <w:pPr>
              <w:pStyle w:val="TableText"/>
              <w:ind w:left="4584"/>
              <w:spacing w:before="322" w:line="220" w:lineRule="auto"/>
              <w:rPr>
                <w:sz w:val="25"/>
                <w:szCs w:val="25"/>
              </w:rPr>
            </w:pPr>
            <w:r>
              <w:rPr>
                <w:sz w:val="25"/>
                <w:szCs w:val="25"/>
                <w:b/>
                <w:bCs/>
                <w:spacing w:val="-5"/>
              </w:rPr>
              <w:t>情节后果</w:t>
            </w:r>
          </w:p>
        </w:tc>
        <w:tc>
          <w:tcPr>
            <w:tcW w:w="2803" w:type="dxa"/>
            <w:vAlign w:val="top"/>
          </w:tcPr>
          <w:p>
            <w:pPr>
              <w:pStyle w:val="TableText"/>
              <w:ind w:left="832"/>
              <w:spacing w:before="319" w:line="218" w:lineRule="auto"/>
              <w:rPr>
                <w:sz w:val="25"/>
                <w:szCs w:val="25"/>
              </w:rPr>
            </w:pPr>
            <w:r>
              <w:rPr>
                <w:sz w:val="25"/>
                <w:szCs w:val="25"/>
                <w:b/>
                <w:bCs/>
                <w:spacing w:val="-5"/>
              </w:rPr>
              <w:t>裁量幅度</w:t>
            </w:r>
          </w:p>
        </w:tc>
      </w:tr>
      <w:tr>
        <w:trPr>
          <w:trHeight w:val="2637" w:hRule="atLeast"/>
        </w:trPr>
        <w:tc>
          <w:tcPr>
            <w:tcW w:w="984" w:type="dxa"/>
            <w:vAlign w:val="top"/>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238"/>
              <w:spacing w:before="82" w:line="221" w:lineRule="auto"/>
              <w:rPr>
                <w:sz w:val="25"/>
                <w:szCs w:val="25"/>
              </w:rPr>
            </w:pPr>
            <w:r>
              <w:rPr>
                <w:sz w:val="25"/>
                <w:szCs w:val="25"/>
                <w:b/>
                <w:bCs/>
                <w:spacing w:val="-10"/>
              </w:rPr>
              <w:t>一般</w:t>
            </w:r>
          </w:p>
        </w:tc>
        <w:tc>
          <w:tcPr>
            <w:tcW w:w="10182" w:type="dxa"/>
            <w:vAlign w:val="top"/>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TableText"/>
              <w:ind w:left="14"/>
              <w:spacing w:before="81" w:line="330" w:lineRule="auto"/>
              <w:jc w:val="both"/>
              <w:rPr>
                <w:sz w:val="25"/>
                <w:szCs w:val="25"/>
              </w:rPr>
            </w:pPr>
            <w:r>
              <w:rPr>
                <w:sz w:val="25"/>
                <w:szCs w:val="25"/>
                <w:b/>
                <w:bCs/>
                <w:spacing w:val="-7"/>
              </w:rPr>
              <w:t>未经批准运输高致病性病原微生物菌(毒)种或者样本，或者承</w:t>
            </w:r>
            <w:r>
              <w:rPr>
                <w:sz w:val="25"/>
                <w:szCs w:val="25"/>
                <w:b/>
                <w:bCs/>
                <w:spacing w:val="-8"/>
              </w:rPr>
              <w:t>运单位经批准运输高致病性病原</w:t>
            </w:r>
            <w:r>
              <w:rPr>
                <w:sz w:val="25"/>
                <w:szCs w:val="25"/>
              </w:rPr>
              <w:t xml:space="preserve">  </w:t>
            </w:r>
            <w:r>
              <w:rPr>
                <w:sz w:val="25"/>
                <w:szCs w:val="25"/>
                <w:b/>
                <w:bCs/>
                <w:spacing w:val="-5"/>
              </w:rPr>
              <w:t>微生物菌(毒)种或者样本未履行保护义务，导致高致病性病原微生物菌(毒)种或者样本被盗、</w:t>
            </w:r>
            <w:r>
              <w:rPr>
                <w:sz w:val="25"/>
                <w:szCs w:val="25"/>
                <w:spacing w:val="8"/>
              </w:rPr>
              <w:t xml:space="preserve"> </w:t>
            </w:r>
            <w:r>
              <w:rPr>
                <w:sz w:val="25"/>
                <w:szCs w:val="25"/>
                <w:b/>
                <w:bCs/>
                <w:spacing w:val="2"/>
              </w:rPr>
              <w:t>被抢、丢失、泄漏。</w:t>
            </w:r>
          </w:p>
        </w:tc>
        <w:tc>
          <w:tcPr>
            <w:tcW w:w="2803" w:type="dxa"/>
            <w:vAlign w:val="top"/>
          </w:tcPr>
          <w:p>
            <w:pPr>
              <w:spacing w:line="313" w:lineRule="auto"/>
              <w:rPr>
                <w:rFonts w:ascii="Arial"/>
                <w:sz w:val="21"/>
              </w:rPr>
            </w:pPr>
            <w:r/>
          </w:p>
          <w:p>
            <w:pPr>
              <w:spacing w:line="314" w:lineRule="auto"/>
              <w:rPr>
                <w:rFonts w:ascii="Arial"/>
                <w:sz w:val="21"/>
              </w:rPr>
            </w:pPr>
            <w:r/>
          </w:p>
          <w:p>
            <w:pPr>
              <w:spacing w:line="314" w:lineRule="auto"/>
              <w:rPr>
                <w:rFonts w:ascii="Arial"/>
                <w:sz w:val="21"/>
              </w:rPr>
            </w:pPr>
            <w:r/>
          </w:p>
          <w:p>
            <w:pPr>
              <w:pStyle w:val="TableText"/>
              <w:ind w:left="122" w:right="162"/>
              <w:spacing w:before="81" w:line="333" w:lineRule="auto"/>
              <w:rPr>
                <w:sz w:val="25"/>
                <w:szCs w:val="25"/>
              </w:rPr>
            </w:pPr>
            <w:r>
              <w:rPr>
                <w:sz w:val="25"/>
                <w:szCs w:val="25"/>
                <w:b/>
                <w:bCs/>
                <w:spacing w:val="-2"/>
              </w:rPr>
              <w:t>责令采取措施，消除隐</w:t>
            </w:r>
            <w:r>
              <w:rPr>
                <w:sz w:val="25"/>
                <w:szCs w:val="25"/>
              </w:rPr>
              <w:t xml:space="preserve"> </w:t>
            </w:r>
            <w:r>
              <w:rPr>
                <w:sz w:val="25"/>
                <w:szCs w:val="25"/>
                <w:b/>
                <w:bCs/>
                <w:spacing w:val="-3"/>
              </w:rPr>
              <w:t>患，给予警告。</w:t>
            </w:r>
          </w:p>
        </w:tc>
      </w:tr>
    </w:tbl>
    <w:p>
      <w:pPr>
        <w:pStyle w:val="BodyText"/>
        <w:spacing w:line="445" w:lineRule="auto"/>
        <w:rPr/>
      </w:pPr>
      <w:r/>
    </w:p>
    <w:p>
      <w:pPr>
        <w:ind w:right="8"/>
        <w:spacing w:before="97" w:line="220" w:lineRule="auto"/>
        <w:jc w:val="right"/>
        <w:rPr>
          <w:rFonts w:ascii="KaiTi" w:hAnsi="KaiTi" w:eastAsia="KaiTi" w:cs="KaiTi"/>
          <w:sz w:val="30"/>
          <w:szCs w:val="30"/>
        </w:rPr>
      </w:pPr>
      <w:r>
        <w:rPr>
          <w:rFonts w:ascii="KaiTi" w:hAnsi="KaiTi" w:eastAsia="KaiTi" w:cs="KaiTi"/>
          <w:sz w:val="30"/>
          <w:szCs w:val="30"/>
          <w:spacing w:val="26"/>
        </w:rPr>
        <w:t>第一百一十九条</w:t>
      </w:r>
      <w:r>
        <w:rPr>
          <w:rFonts w:ascii="KaiTi" w:hAnsi="KaiTi" w:eastAsia="KaiTi" w:cs="KaiTi"/>
          <w:sz w:val="30"/>
          <w:szCs w:val="30"/>
          <w:spacing w:val="26"/>
        </w:rPr>
        <w:t xml:space="preserve">  </w:t>
      </w:r>
      <w:r>
        <w:rPr>
          <w:rFonts w:ascii="KaiTi" w:hAnsi="KaiTi" w:eastAsia="KaiTi" w:cs="KaiTi"/>
          <w:sz w:val="30"/>
          <w:szCs w:val="30"/>
          <w:spacing w:val="26"/>
        </w:rPr>
        <w:t>实验室在相关实验活动结束后，未依照规定及时将病原微生物菌(毒)种和</w:t>
      </w:r>
    </w:p>
    <w:p>
      <w:pPr>
        <w:ind w:left="49"/>
        <w:spacing w:before="112" w:line="223" w:lineRule="auto"/>
        <w:rPr>
          <w:rFonts w:ascii="KaiTi" w:hAnsi="KaiTi" w:eastAsia="KaiTi" w:cs="KaiTi"/>
          <w:sz w:val="30"/>
          <w:szCs w:val="30"/>
        </w:rPr>
      </w:pPr>
      <w:r>
        <w:rPr>
          <w:rFonts w:ascii="KaiTi" w:hAnsi="KaiTi" w:eastAsia="KaiTi" w:cs="KaiTi"/>
          <w:sz w:val="30"/>
          <w:szCs w:val="30"/>
          <w:b/>
          <w:bCs/>
          <w:spacing w:val="16"/>
        </w:rPr>
        <w:t>样本就地销毁或者送交保藏机构保管的</w:t>
      </w:r>
    </w:p>
    <w:p>
      <w:pPr>
        <w:ind w:left="684"/>
        <w:spacing w:before="66"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45" w:firstLine="609"/>
        <w:spacing w:before="94" w:line="270" w:lineRule="auto"/>
        <w:jc w:val="both"/>
        <w:rPr>
          <w:rFonts w:ascii="FangSong" w:hAnsi="FangSong" w:eastAsia="FangSong" w:cs="FangSong"/>
          <w:sz w:val="30"/>
          <w:szCs w:val="30"/>
        </w:rPr>
      </w:pPr>
      <w:r>
        <w:rPr>
          <w:rFonts w:ascii="FangSong" w:hAnsi="FangSong" w:eastAsia="FangSong" w:cs="FangSong"/>
          <w:sz w:val="30"/>
          <w:szCs w:val="30"/>
          <w:spacing w:val="26"/>
        </w:rPr>
        <w:t>《病原微生物实验室生物安全管理条例》第六十三条第(一)项</w:t>
      </w:r>
      <w:r>
        <w:rPr>
          <w:rFonts w:ascii="FangSong" w:hAnsi="FangSong" w:eastAsia="FangSong" w:cs="FangSong"/>
          <w:sz w:val="30"/>
          <w:szCs w:val="30"/>
          <w:spacing w:val="26"/>
        </w:rPr>
        <w:t xml:space="preserve">   </w:t>
      </w:r>
      <w:r>
        <w:rPr>
          <w:rFonts w:ascii="FangSong" w:hAnsi="FangSong" w:eastAsia="FangSong" w:cs="FangSong"/>
          <w:sz w:val="30"/>
          <w:szCs w:val="30"/>
          <w:spacing w:val="26"/>
        </w:rPr>
        <w:t>有下列行为之一的，由实验</w:t>
      </w:r>
      <w:r>
        <w:rPr>
          <w:rFonts w:ascii="FangSong" w:hAnsi="FangSong" w:eastAsia="FangSong" w:cs="FangSong"/>
          <w:sz w:val="30"/>
          <w:szCs w:val="30"/>
          <w:spacing w:val="9"/>
        </w:rPr>
        <w:t xml:space="preserve"> </w:t>
      </w:r>
      <w:r>
        <w:rPr>
          <w:rFonts w:ascii="FangSong" w:hAnsi="FangSong" w:eastAsia="FangSong" w:cs="FangSong"/>
          <w:sz w:val="30"/>
          <w:szCs w:val="30"/>
          <w:spacing w:val="17"/>
        </w:rPr>
        <w:t>室所在地的设区的市级以上地方人民政府卫生主管部门、兽医主管部门依照</w:t>
      </w:r>
      <w:r>
        <w:rPr>
          <w:rFonts w:ascii="FangSong" w:hAnsi="FangSong" w:eastAsia="FangSong" w:cs="FangSong"/>
          <w:sz w:val="30"/>
          <w:szCs w:val="30"/>
          <w:spacing w:val="16"/>
        </w:rPr>
        <w:t>各自职责，责令有关单位</w:t>
      </w:r>
      <w:r>
        <w:rPr>
          <w:rFonts w:ascii="FangSong" w:hAnsi="FangSong" w:eastAsia="FangSong" w:cs="FangSong"/>
          <w:sz w:val="30"/>
          <w:szCs w:val="30"/>
        </w:rPr>
        <w:t xml:space="preserve"> </w:t>
      </w:r>
      <w:r>
        <w:rPr>
          <w:rFonts w:ascii="FangSong" w:hAnsi="FangSong" w:eastAsia="FangSong" w:cs="FangSong"/>
          <w:sz w:val="30"/>
          <w:szCs w:val="30"/>
          <w:spacing w:val="16"/>
        </w:rPr>
        <w:t>立即停止违法活动，监督其将病原微生物销毁或者送交保藏机构；造成传染病传播、流行或者其他严</w:t>
      </w:r>
      <w:r>
        <w:rPr>
          <w:rFonts w:ascii="FangSong" w:hAnsi="FangSong" w:eastAsia="FangSong" w:cs="FangSong"/>
          <w:sz w:val="30"/>
          <w:szCs w:val="30"/>
          <w:spacing w:val="16"/>
        </w:rPr>
        <w:t xml:space="preserve"> </w:t>
      </w:r>
      <w:r>
        <w:rPr>
          <w:rFonts w:ascii="FangSong" w:hAnsi="FangSong" w:eastAsia="FangSong" w:cs="FangSong"/>
          <w:sz w:val="30"/>
          <w:szCs w:val="30"/>
          <w:spacing w:val="17"/>
        </w:rPr>
        <w:t>重后果的，由其所在单位或者其上级主管部门对主要负责人、直接负责的主</w:t>
      </w:r>
      <w:r>
        <w:rPr>
          <w:rFonts w:ascii="FangSong" w:hAnsi="FangSong" w:eastAsia="FangSong" w:cs="FangSong"/>
          <w:sz w:val="30"/>
          <w:szCs w:val="30"/>
          <w:spacing w:val="16"/>
        </w:rPr>
        <w:t>管人员和其他直接责任人</w:t>
      </w:r>
    </w:p>
    <w:p>
      <w:pPr>
        <w:spacing w:line="270" w:lineRule="auto"/>
        <w:sectPr>
          <w:footerReference w:type="default" r:id="rId193"/>
          <w:pgSz w:w="16830" w:h="11900"/>
          <w:pgMar w:top="1011" w:right="1441" w:bottom="1123" w:left="1405" w:header="0" w:footer="808" w:gutter="0"/>
        </w:sectPr>
        <w:rPr>
          <w:rFonts w:ascii="FangSong" w:hAnsi="FangSong" w:eastAsia="FangSong" w:cs="FangSong"/>
          <w:sz w:val="30"/>
          <w:szCs w:val="30"/>
        </w:rPr>
      </w:pPr>
    </w:p>
    <w:p>
      <w:pPr>
        <w:pStyle w:val="BodyText"/>
        <w:spacing w:line="264" w:lineRule="auto"/>
        <w:rPr/>
      </w:pPr>
      <w:r/>
    </w:p>
    <w:p>
      <w:pPr>
        <w:pStyle w:val="BodyText"/>
        <w:spacing w:line="264" w:lineRule="auto"/>
        <w:rPr/>
      </w:pPr>
      <w:r/>
    </w:p>
    <w:p>
      <w:pPr>
        <w:pStyle w:val="BodyText"/>
        <w:spacing w:line="265" w:lineRule="auto"/>
        <w:rPr/>
      </w:pPr>
      <w:r/>
    </w:p>
    <w:p>
      <w:pPr>
        <w:ind w:left="14" w:firstLine="40"/>
        <w:spacing w:before="97" w:line="264" w:lineRule="auto"/>
        <w:rPr>
          <w:rFonts w:ascii="FangSong" w:hAnsi="FangSong" w:eastAsia="FangSong" w:cs="FangSong"/>
          <w:sz w:val="30"/>
          <w:szCs w:val="30"/>
        </w:rPr>
      </w:pPr>
      <w:bookmarkStart w:name="bookmark850" w:id="176"/>
      <w:bookmarkEnd w:id="176"/>
      <w:r>
        <w:rPr>
          <w:rFonts w:ascii="FangSong" w:hAnsi="FangSong" w:eastAsia="FangSong" w:cs="FangSong"/>
          <w:sz w:val="30"/>
          <w:szCs w:val="30"/>
          <w:spacing w:val="18"/>
        </w:rPr>
        <w:t>员，依法给予撤职、开除的处分；有许可证件</w:t>
      </w:r>
      <w:r>
        <w:rPr>
          <w:rFonts w:ascii="FangSong" w:hAnsi="FangSong" w:eastAsia="FangSong" w:cs="FangSong"/>
          <w:sz w:val="30"/>
          <w:szCs w:val="30"/>
          <w:spacing w:val="17"/>
        </w:rPr>
        <w:t>的，并由原发证部门吊销有关许可证件；构成犯罪的，</w:t>
      </w:r>
      <w:r>
        <w:rPr>
          <w:rFonts w:ascii="FangSong" w:hAnsi="FangSong" w:eastAsia="FangSong" w:cs="FangSong"/>
          <w:sz w:val="30"/>
          <w:szCs w:val="30"/>
        </w:rPr>
        <w:t xml:space="preserve"> </w:t>
      </w:r>
      <w:r>
        <w:rPr>
          <w:rFonts w:ascii="FangSong" w:hAnsi="FangSong" w:eastAsia="FangSong" w:cs="FangSong"/>
          <w:sz w:val="30"/>
          <w:szCs w:val="30"/>
          <w:spacing w:val="11"/>
        </w:rPr>
        <w:t>依法追究刑事责任：</w:t>
      </w:r>
    </w:p>
    <w:p>
      <w:pPr>
        <w:ind w:left="14" w:right="61" w:firstLine="780"/>
        <w:spacing w:before="3" w:line="274" w:lineRule="auto"/>
        <w:rPr>
          <w:rFonts w:ascii="FangSong" w:hAnsi="FangSong" w:eastAsia="FangSong" w:cs="FangSong"/>
          <w:sz w:val="30"/>
          <w:szCs w:val="30"/>
        </w:rPr>
      </w:pPr>
      <w:r>
        <w:rPr>
          <w:rFonts w:ascii="FangSong" w:hAnsi="FangSong" w:eastAsia="FangSong" w:cs="FangSong"/>
          <w:sz w:val="30"/>
          <w:szCs w:val="30"/>
          <w:spacing w:val="28"/>
        </w:rPr>
        <w:t>(一)实验室在相关实验活动结束后，未依照规定及时将病原微生物菌(毒</w:t>
      </w:r>
      <w:r>
        <w:rPr>
          <w:rFonts w:ascii="FangSong" w:hAnsi="FangSong" w:eastAsia="FangSong" w:cs="FangSong"/>
          <w:sz w:val="30"/>
          <w:szCs w:val="30"/>
          <w:spacing w:val="27"/>
        </w:rPr>
        <w:t>)种和样本就地销毁</w:t>
      </w:r>
      <w:r>
        <w:rPr>
          <w:rFonts w:ascii="FangSong" w:hAnsi="FangSong" w:eastAsia="FangSong" w:cs="FangSong"/>
          <w:sz w:val="30"/>
          <w:szCs w:val="30"/>
        </w:rPr>
        <w:t xml:space="preserve"> </w:t>
      </w:r>
      <w:r>
        <w:rPr>
          <w:rFonts w:ascii="FangSong" w:hAnsi="FangSong" w:eastAsia="FangSong" w:cs="FangSong"/>
          <w:sz w:val="30"/>
          <w:szCs w:val="30"/>
          <w:spacing w:val="13"/>
        </w:rPr>
        <w:t>或者送交保藏机构保管的；</w:t>
      </w:r>
    </w:p>
    <w:p>
      <w:pPr>
        <w:ind w:left="6709"/>
        <w:spacing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83"/>
        <w:gridCol w:w="5796"/>
        <w:gridCol w:w="6670"/>
      </w:tblGrid>
      <w:tr>
        <w:trPr>
          <w:trHeight w:val="853" w:hRule="atLeast"/>
        </w:trPr>
        <w:tc>
          <w:tcPr>
            <w:tcW w:w="1383" w:type="dxa"/>
            <w:vAlign w:val="top"/>
          </w:tcPr>
          <w:p>
            <w:pPr>
              <w:pStyle w:val="TableText"/>
              <w:ind w:left="188"/>
              <w:spacing w:before="302" w:line="220" w:lineRule="auto"/>
              <w:rPr>
                <w:sz w:val="25"/>
                <w:szCs w:val="25"/>
              </w:rPr>
            </w:pPr>
            <w:r>
              <w:rPr>
                <w:sz w:val="25"/>
                <w:szCs w:val="25"/>
                <w:b/>
                <w:bCs/>
                <w:spacing w:val="-5"/>
              </w:rPr>
              <w:t>违法程度</w:t>
            </w:r>
          </w:p>
        </w:tc>
        <w:tc>
          <w:tcPr>
            <w:tcW w:w="5796" w:type="dxa"/>
            <w:vAlign w:val="top"/>
          </w:tcPr>
          <w:p>
            <w:pPr>
              <w:pStyle w:val="TableText"/>
              <w:ind w:left="2395"/>
              <w:spacing w:before="302" w:line="220" w:lineRule="auto"/>
              <w:rPr>
                <w:sz w:val="25"/>
                <w:szCs w:val="25"/>
              </w:rPr>
            </w:pPr>
            <w:r>
              <w:rPr>
                <w:sz w:val="25"/>
                <w:szCs w:val="25"/>
                <w:b/>
                <w:bCs/>
                <w:spacing w:val="-5"/>
              </w:rPr>
              <w:t>情节后果</w:t>
            </w:r>
          </w:p>
        </w:tc>
        <w:tc>
          <w:tcPr>
            <w:tcW w:w="6670" w:type="dxa"/>
            <w:vAlign w:val="top"/>
          </w:tcPr>
          <w:p>
            <w:pPr>
              <w:pStyle w:val="TableText"/>
              <w:ind w:left="2779"/>
              <w:spacing w:before="299" w:line="218" w:lineRule="auto"/>
              <w:rPr>
                <w:sz w:val="25"/>
                <w:szCs w:val="25"/>
              </w:rPr>
            </w:pPr>
            <w:r>
              <w:rPr>
                <w:sz w:val="25"/>
                <w:szCs w:val="25"/>
                <w:b/>
                <w:bCs/>
                <w:spacing w:val="-5"/>
              </w:rPr>
              <w:t>裁量幅度</w:t>
            </w:r>
          </w:p>
        </w:tc>
      </w:tr>
      <w:tr>
        <w:trPr>
          <w:trHeight w:val="1576" w:hRule="atLeast"/>
        </w:trPr>
        <w:tc>
          <w:tcPr>
            <w:tcW w:w="1383" w:type="dxa"/>
            <w:vAlign w:val="top"/>
          </w:tcPr>
          <w:p>
            <w:pPr>
              <w:spacing w:line="292" w:lineRule="auto"/>
              <w:rPr>
                <w:rFonts w:ascii="Arial"/>
                <w:sz w:val="21"/>
              </w:rPr>
            </w:pPr>
            <w:r/>
          </w:p>
          <w:p>
            <w:pPr>
              <w:spacing w:line="293" w:lineRule="auto"/>
              <w:rPr>
                <w:rFonts w:ascii="Arial"/>
                <w:sz w:val="21"/>
              </w:rPr>
            </w:pPr>
            <w:r/>
          </w:p>
          <w:p>
            <w:pPr>
              <w:pStyle w:val="TableText"/>
              <w:ind w:left="438"/>
              <w:spacing w:before="81" w:line="221" w:lineRule="auto"/>
              <w:rPr>
                <w:sz w:val="25"/>
                <w:szCs w:val="25"/>
              </w:rPr>
            </w:pPr>
            <w:r>
              <w:rPr>
                <w:sz w:val="25"/>
                <w:szCs w:val="25"/>
                <w:b/>
                <w:bCs/>
                <w:spacing w:val="-10"/>
              </w:rPr>
              <w:t>一般</w:t>
            </w:r>
          </w:p>
        </w:tc>
        <w:tc>
          <w:tcPr>
            <w:tcW w:w="5796" w:type="dxa"/>
            <w:vAlign w:val="top"/>
          </w:tcPr>
          <w:p>
            <w:pPr>
              <w:pStyle w:val="TableText"/>
              <w:ind w:left="141" w:right="6" w:hanging="130"/>
              <w:spacing w:before="271" w:line="314" w:lineRule="auto"/>
              <w:rPr>
                <w:sz w:val="25"/>
                <w:szCs w:val="25"/>
              </w:rPr>
            </w:pPr>
            <w:r>
              <w:rPr>
                <w:sz w:val="25"/>
                <w:szCs w:val="25"/>
              </w:rPr>
              <w:t>实验室在相关实验活动结束后，未依照规定及时将病</w:t>
            </w:r>
            <w:r>
              <w:rPr>
                <w:sz w:val="25"/>
                <w:szCs w:val="25"/>
                <w:spacing w:val="16"/>
              </w:rPr>
              <w:t xml:space="preserve"> </w:t>
            </w:r>
            <w:r>
              <w:rPr>
                <w:sz w:val="25"/>
                <w:szCs w:val="25"/>
              </w:rPr>
              <w:t>原微生物菌(毒)种和样本就地销毁或者送交保藏机</w:t>
            </w:r>
          </w:p>
          <w:p>
            <w:pPr>
              <w:pStyle w:val="TableText"/>
              <w:ind w:left="111"/>
              <w:spacing w:line="219" w:lineRule="auto"/>
              <w:rPr>
                <w:sz w:val="25"/>
                <w:szCs w:val="25"/>
              </w:rPr>
            </w:pPr>
            <w:r>
              <w:rPr>
                <w:sz w:val="25"/>
                <w:szCs w:val="25"/>
                <w:spacing w:val="-1"/>
              </w:rPr>
              <w:t>构保管。</w:t>
            </w:r>
          </w:p>
        </w:tc>
        <w:tc>
          <w:tcPr>
            <w:tcW w:w="6670" w:type="dxa"/>
            <w:vAlign w:val="top"/>
          </w:tcPr>
          <w:p>
            <w:pPr>
              <w:pStyle w:val="TableText"/>
              <w:ind w:left="116" w:firstLine="9"/>
              <w:spacing w:before="270" w:line="319" w:lineRule="auto"/>
              <w:jc w:val="both"/>
              <w:rPr>
                <w:sz w:val="25"/>
                <w:szCs w:val="25"/>
              </w:rPr>
            </w:pPr>
            <w:r>
              <w:rPr>
                <w:sz w:val="25"/>
                <w:szCs w:val="25"/>
              </w:rPr>
              <w:t>由实验室所在地的设区的市级以上地方人民政府卫生主管部</w:t>
            </w:r>
            <w:r>
              <w:rPr>
                <w:sz w:val="25"/>
                <w:szCs w:val="25"/>
                <w:spacing w:val="6"/>
              </w:rPr>
              <w:t xml:space="preserve"> </w:t>
            </w:r>
            <w:r>
              <w:rPr>
                <w:sz w:val="25"/>
                <w:szCs w:val="25"/>
                <w:spacing w:val="-8"/>
              </w:rPr>
              <w:t>门责令有关单位立即停止违法活动，监督其将病原微生物销毁</w:t>
            </w:r>
            <w:r>
              <w:rPr>
                <w:sz w:val="25"/>
                <w:szCs w:val="25"/>
                <w:spacing w:val="8"/>
              </w:rPr>
              <w:t xml:space="preserve"> </w:t>
            </w:r>
            <w:r>
              <w:rPr>
                <w:sz w:val="25"/>
                <w:szCs w:val="25"/>
              </w:rPr>
              <w:t>或者送交保藏机构。</w:t>
            </w:r>
          </w:p>
        </w:tc>
      </w:tr>
      <w:tr>
        <w:trPr>
          <w:trHeight w:val="1321" w:hRule="atLeast"/>
        </w:trPr>
        <w:tc>
          <w:tcPr>
            <w:tcW w:w="1383" w:type="dxa"/>
            <w:vAlign w:val="top"/>
          </w:tcPr>
          <w:p>
            <w:pPr>
              <w:spacing w:line="459" w:lineRule="auto"/>
              <w:rPr>
                <w:rFonts w:ascii="Arial"/>
                <w:sz w:val="21"/>
              </w:rPr>
            </w:pPr>
            <w:r/>
          </w:p>
          <w:p>
            <w:pPr>
              <w:pStyle w:val="TableText"/>
              <w:ind w:left="438"/>
              <w:spacing w:before="81" w:line="220" w:lineRule="auto"/>
              <w:rPr>
                <w:sz w:val="25"/>
                <w:szCs w:val="25"/>
              </w:rPr>
            </w:pPr>
            <w:r>
              <w:rPr>
                <w:sz w:val="25"/>
                <w:szCs w:val="25"/>
                <w:b/>
                <w:bCs/>
                <w:spacing w:val="-6"/>
              </w:rPr>
              <w:t>严重</w:t>
            </w:r>
          </w:p>
        </w:tc>
        <w:tc>
          <w:tcPr>
            <w:tcW w:w="5796" w:type="dxa"/>
            <w:vAlign w:val="top"/>
          </w:tcPr>
          <w:p>
            <w:pPr>
              <w:pStyle w:val="TableText"/>
              <w:ind w:left="11"/>
              <w:spacing w:before="134" w:line="219" w:lineRule="auto"/>
              <w:rPr>
                <w:sz w:val="25"/>
                <w:szCs w:val="25"/>
              </w:rPr>
            </w:pPr>
            <w:r>
              <w:rPr>
                <w:sz w:val="25"/>
                <w:szCs w:val="25"/>
              </w:rPr>
              <w:t>实验室在相关实验活动结束后，未依照规定及时将病</w:t>
            </w:r>
          </w:p>
          <w:p>
            <w:pPr>
              <w:pStyle w:val="TableText"/>
              <w:ind w:left="142"/>
              <w:spacing w:before="153" w:line="219" w:lineRule="auto"/>
              <w:rPr>
                <w:sz w:val="25"/>
                <w:szCs w:val="25"/>
              </w:rPr>
            </w:pPr>
            <w:r>
              <w:rPr>
                <w:sz w:val="25"/>
                <w:szCs w:val="25"/>
              </w:rPr>
              <w:t>原微生物菌(毒)种和样本就地销毁或者送交保藏机</w:t>
            </w:r>
          </w:p>
          <w:p>
            <w:pPr>
              <w:pStyle w:val="TableText"/>
              <w:spacing w:before="143" w:line="211" w:lineRule="auto"/>
              <w:jc w:val="right"/>
              <w:rPr>
                <w:sz w:val="25"/>
                <w:szCs w:val="25"/>
              </w:rPr>
            </w:pPr>
            <w:r>
              <w:rPr>
                <w:sz w:val="25"/>
                <w:szCs w:val="25"/>
                <w:spacing w:val="-2"/>
              </w:rPr>
              <w:t>构保管，造成传染病传播、流行或者其他严重后果。</w:t>
            </w:r>
          </w:p>
        </w:tc>
        <w:tc>
          <w:tcPr>
            <w:tcW w:w="6670" w:type="dxa"/>
            <w:vAlign w:val="top"/>
          </w:tcPr>
          <w:p>
            <w:pPr>
              <w:spacing w:line="462" w:lineRule="auto"/>
              <w:rPr>
                <w:rFonts w:ascii="Arial"/>
                <w:sz w:val="21"/>
              </w:rPr>
            </w:pPr>
            <w:r/>
          </w:p>
          <w:p>
            <w:pPr>
              <w:pStyle w:val="TableText"/>
              <w:ind w:left="125"/>
              <w:spacing w:before="81" w:line="219" w:lineRule="auto"/>
              <w:rPr>
                <w:sz w:val="25"/>
                <w:szCs w:val="25"/>
              </w:rPr>
            </w:pPr>
            <w:r>
              <w:rPr>
                <w:sz w:val="25"/>
                <w:szCs w:val="25"/>
              </w:rPr>
              <w:t>有许可证件的，吊销有关许可证件</w:t>
            </w:r>
          </w:p>
        </w:tc>
      </w:tr>
    </w:tbl>
    <w:p>
      <w:pPr>
        <w:pStyle w:val="BodyText"/>
        <w:spacing w:line="416" w:lineRule="auto"/>
        <w:rPr/>
      </w:pPr>
      <w:r/>
    </w:p>
    <w:p>
      <w:pPr>
        <w:ind w:left="19" w:right="216" w:firstLine="670"/>
        <w:spacing w:before="98" w:line="276" w:lineRule="auto"/>
        <w:rPr>
          <w:rFonts w:ascii="FangSong" w:hAnsi="FangSong" w:eastAsia="FangSong" w:cs="FangSong"/>
          <w:sz w:val="30"/>
          <w:szCs w:val="30"/>
        </w:rPr>
      </w:pPr>
      <w:r>
        <w:rPr>
          <w:rFonts w:ascii="FangSong" w:hAnsi="FangSong" w:eastAsia="FangSong" w:cs="FangSong"/>
          <w:sz w:val="30"/>
          <w:szCs w:val="30"/>
          <w:b/>
          <w:bCs/>
          <w:spacing w:val="17"/>
        </w:rPr>
        <w:t>第一百二十条</w:t>
      </w:r>
      <w:r>
        <w:rPr>
          <w:rFonts w:ascii="FangSong" w:hAnsi="FangSong" w:eastAsia="FangSong" w:cs="FangSong"/>
          <w:sz w:val="30"/>
          <w:szCs w:val="30"/>
          <w:spacing w:val="17"/>
        </w:rPr>
        <w:t xml:space="preserve">  </w:t>
      </w:r>
      <w:r>
        <w:rPr>
          <w:rFonts w:ascii="FangSong" w:hAnsi="FangSong" w:eastAsia="FangSong" w:cs="FangSong"/>
          <w:sz w:val="30"/>
          <w:szCs w:val="30"/>
          <w:b/>
          <w:bCs/>
          <w:spacing w:val="17"/>
        </w:rPr>
        <w:t>实验室使用新技术、新方法</w:t>
      </w:r>
      <w:r>
        <w:rPr>
          <w:rFonts w:ascii="FangSong" w:hAnsi="FangSong" w:eastAsia="FangSong" w:cs="FangSong"/>
          <w:sz w:val="30"/>
          <w:szCs w:val="30"/>
          <w:b/>
          <w:bCs/>
          <w:spacing w:val="16"/>
        </w:rPr>
        <w:t>从事高致病性病原微生物相关实验活动未经国家病</w:t>
      </w:r>
      <w:r>
        <w:rPr>
          <w:rFonts w:ascii="FangSong" w:hAnsi="FangSong" w:eastAsia="FangSong" w:cs="FangSong"/>
          <w:sz w:val="30"/>
          <w:szCs w:val="30"/>
        </w:rPr>
        <w:t xml:space="preserve"> </w:t>
      </w:r>
      <w:r>
        <w:rPr>
          <w:rFonts w:ascii="FangSong" w:hAnsi="FangSong" w:eastAsia="FangSong" w:cs="FangSong"/>
          <w:sz w:val="30"/>
          <w:szCs w:val="30"/>
          <w:b/>
          <w:bCs/>
          <w:spacing w:val="16"/>
        </w:rPr>
        <w:t>原微生物实验室生物安全专家委员会论证的</w:t>
      </w:r>
    </w:p>
    <w:p>
      <w:pPr>
        <w:ind w:left="664"/>
        <w:spacing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spacing w:line="222" w:lineRule="auto"/>
        <w:sectPr>
          <w:footerReference w:type="default" r:id="rId194"/>
          <w:pgSz w:w="16830" w:h="11900"/>
          <w:pgMar w:top="1011" w:right="1380" w:bottom="1128" w:left="1425" w:header="0" w:footer="795" w:gutter="0"/>
        </w:sectPr>
        <w:rPr>
          <w:rFonts w:ascii="FangSong" w:hAnsi="FangSong" w:eastAsia="FangSong" w:cs="FangSong"/>
          <w:sz w:val="27"/>
          <w:szCs w:val="27"/>
        </w:rPr>
      </w:pPr>
    </w:p>
    <w:p>
      <w:pPr>
        <w:pStyle w:val="BodyText"/>
        <w:spacing w:line="263" w:lineRule="auto"/>
        <w:rPr/>
      </w:pPr>
      <w:r/>
    </w:p>
    <w:p>
      <w:pPr>
        <w:pStyle w:val="BodyText"/>
        <w:spacing w:line="263" w:lineRule="auto"/>
        <w:rPr/>
      </w:pPr>
      <w:r/>
    </w:p>
    <w:p>
      <w:pPr>
        <w:pStyle w:val="BodyText"/>
        <w:spacing w:line="263" w:lineRule="auto"/>
        <w:rPr/>
      </w:pPr>
      <w:r/>
    </w:p>
    <w:p>
      <w:pPr>
        <w:ind w:left="25" w:firstLine="630"/>
        <w:spacing w:before="98" w:line="270" w:lineRule="auto"/>
        <w:jc w:val="both"/>
        <w:rPr>
          <w:rFonts w:ascii="FangSong" w:hAnsi="FangSong" w:eastAsia="FangSong" w:cs="FangSong"/>
          <w:sz w:val="30"/>
          <w:szCs w:val="30"/>
        </w:rPr>
      </w:pPr>
      <w:r>
        <w:rPr>
          <w:rFonts w:ascii="FangSong" w:hAnsi="FangSong" w:eastAsia="FangSong" w:cs="FangSong"/>
          <w:sz w:val="30"/>
          <w:szCs w:val="30"/>
          <w:spacing w:val="23"/>
        </w:rPr>
        <w:t>《病原微生物实验室生物安全管理条例》第六十三条第(二)项</w:t>
      </w:r>
      <w:r>
        <w:rPr>
          <w:rFonts w:ascii="FangSong" w:hAnsi="FangSong" w:eastAsia="FangSong" w:cs="FangSong"/>
          <w:sz w:val="30"/>
          <w:szCs w:val="30"/>
          <w:spacing w:val="23"/>
        </w:rPr>
        <w:t xml:space="preserve">  </w:t>
      </w:r>
      <w:r>
        <w:rPr>
          <w:rFonts w:ascii="FangSong" w:hAnsi="FangSong" w:eastAsia="FangSong" w:cs="FangSong"/>
          <w:sz w:val="30"/>
          <w:szCs w:val="30"/>
          <w:spacing w:val="23"/>
        </w:rPr>
        <w:t>有下列行为之一的，由实验室</w:t>
      </w:r>
      <w:r>
        <w:rPr>
          <w:rFonts w:ascii="FangSong" w:hAnsi="FangSong" w:eastAsia="FangSong" w:cs="FangSong"/>
          <w:sz w:val="30"/>
          <w:szCs w:val="30"/>
          <w:spacing w:val="18"/>
        </w:rPr>
        <w:t xml:space="preserve"> </w:t>
      </w:r>
      <w:r>
        <w:rPr>
          <w:rFonts w:ascii="FangSong" w:hAnsi="FangSong" w:eastAsia="FangSong" w:cs="FangSong"/>
          <w:sz w:val="30"/>
          <w:szCs w:val="30"/>
          <w:spacing w:val="17"/>
        </w:rPr>
        <w:t>所在地的设区的市级以上地方人民政府卫生主管部门、兽医主管</w:t>
      </w:r>
      <w:r>
        <w:rPr>
          <w:rFonts w:ascii="FangSong" w:hAnsi="FangSong" w:eastAsia="FangSong" w:cs="FangSong"/>
          <w:sz w:val="30"/>
          <w:szCs w:val="30"/>
          <w:spacing w:val="16"/>
        </w:rPr>
        <w:t>部门依照各自职责，责令有关单位立</w:t>
      </w:r>
      <w:r>
        <w:rPr>
          <w:rFonts w:ascii="FangSong" w:hAnsi="FangSong" w:eastAsia="FangSong" w:cs="FangSong"/>
          <w:sz w:val="30"/>
          <w:szCs w:val="30"/>
        </w:rPr>
        <w:t xml:space="preserve"> </w:t>
      </w:r>
      <w:r>
        <w:rPr>
          <w:rFonts w:ascii="FangSong" w:hAnsi="FangSong" w:eastAsia="FangSong" w:cs="FangSong"/>
          <w:sz w:val="30"/>
          <w:szCs w:val="30"/>
          <w:spacing w:val="16"/>
        </w:rPr>
        <w:t>即停止违法活动，监督其将病原微生物销毁或者送交保藏机构；造成传染病传播、流行或者其他严重</w:t>
      </w:r>
      <w:r>
        <w:rPr>
          <w:rFonts w:ascii="FangSong" w:hAnsi="FangSong" w:eastAsia="FangSong" w:cs="FangSong"/>
          <w:sz w:val="30"/>
          <w:szCs w:val="30"/>
          <w:spacing w:val="6"/>
        </w:rPr>
        <w:t xml:space="preserve">  </w:t>
      </w:r>
      <w:r>
        <w:rPr>
          <w:rFonts w:ascii="FangSong" w:hAnsi="FangSong" w:eastAsia="FangSong" w:cs="FangSong"/>
          <w:sz w:val="30"/>
          <w:szCs w:val="30"/>
          <w:spacing w:val="12"/>
        </w:rPr>
        <w:t>后果的，由其所在单位或者其上级主管部门对主要负责人、直接负责的主管人员和其他直接责任人员，</w:t>
      </w:r>
      <w:r>
        <w:rPr>
          <w:rFonts w:ascii="FangSong" w:hAnsi="FangSong" w:eastAsia="FangSong" w:cs="FangSong"/>
          <w:sz w:val="30"/>
          <w:szCs w:val="30"/>
          <w:spacing w:val="18"/>
        </w:rPr>
        <w:t xml:space="preserve"> </w:t>
      </w:r>
      <w:r>
        <w:rPr>
          <w:rFonts w:ascii="FangSong" w:hAnsi="FangSong" w:eastAsia="FangSong" w:cs="FangSong"/>
          <w:sz w:val="30"/>
          <w:szCs w:val="30"/>
          <w:spacing w:val="17"/>
        </w:rPr>
        <w:t>依法给予撤职、开除的处分；有许可证件的，并由原发</w:t>
      </w:r>
      <w:r>
        <w:rPr>
          <w:rFonts w:ascii="FangSong" w:hAnsi="FangSong" w:eastAsia="FangSong" w:cs="FangSong"/>
          <w:sz w:val="30"/>
          <w:szCs w:val="30"/>
          <w:spacing w:val="16"/>
        </w:rPr>
        <w:t>证部门吊销有关许可证件；构成犯罪的，依法</w:t>
      </w:r>
      <w:r>
        <w:rPr>
          <w:rFonts w:ascii="FangSong" w:hAnsi="FangSong" w:eastAsia="FangSong" w:cs="FangSong"/>
          <w:sz w:val="30"/>
          <w:szCs w:val="30"/>
        </w:rPr>
        <w:t xml:space="preserve">  </w:t>
      </w:r>
      <w:r>
        <w:rPr>
          <w:rFonts w:ascii="FangSong" w:hAnsi="FangSong" w:eastAsia="FangSong" w:cs="FangSong"/>
          <w:sz w:val="30"/>
          <w:szCs w:val="30"/>
          <w:spacing w:val="8"/>
        </w:rPr>
        <w:t>追究刑事责任：</w:t>
      </w:r>
    </w:p>
    <w:p>
      <w:pPr>
        <w:ind w:left="25" w:right="123" w:firstLine="780"/>
        <w:spacing w:before="1" w:line="274" w:lineRule="auto"/>
        <w:rPr>
          <w:rFonts w:ascii="FangSong" w:hAnsi="FangSong" w:eastAsia="FangSong" w:cs="FangSong"/>
          <w:sz w:val="30"/>
          <w:szCs w:val="30"/>
        </w:rPr>
      </w:pPr>
      <w:r>
        <w:rPr>
          <w:rFonts w:ascii="FangSong" w:hAnsi="FangSong" w:eastAsia="FangSong" w:cs="FangSong"/>
          <w:sz w:val="30"/>
          <w:szCs w:val="30"/>
          <w:spacing w:val="20"/>
        </w:rPr>
        <w:t>(二)实验室使用新技术、新方法从事高致病性病原微生物相关实验活动未经国家病原微生物实</w:t>
      </w:r>
      <w:r>
        <w:rPr>
          <w:rFonts w:ascii="FangSong" w:hAnsi="FangSong" w:eastAsia="FangSong" w:cs="FangSong"/>
          <w:sz w:val="30"/>
          <w:szCs w:val="30"/>
          <w:spacing w:val="15"/>
        </w:rPr>
        <w:t xml:space="preserve"> </w:t>
      </w:r>
      <w:r>
        <w:rPr>
          <w:rFonts w:ascii="FangSong" w:hAnsi="FangSong" w:eastAsia="FangSong" w:cs="FangSong"/>
          <w:sz w:val="30"/>
          <w:szCs w:val="30"/>
          <w:spacing w:val="14"/>
        </w:rPr>
        <w:t>验室生物安全专家委员会论证的；</w:t>
      </w:r>
    </w:p>
    <w:p>
      <w:pPr>
        <w:ind w:left="6719"/>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44"/>
        <w:gridCol w:w="7414"/>
        <w:gridCol w:w="4901"/>
      </w:tblGrid>
      <w:tr>
        <w:trPr>
          <w:trHeight w:val="823" w:hRule="atLeast"/>
        </w:trPr>
        <w:tc>
          <w:tcPr>
            <w:tcW w:w="1644" w:type="dxa"/>
            <w:vAlign w:val="top"/>
          </w:tcPr>
          <w:p>
            <w:pPr>
              <w:pStyle w:val="TableText"/>
              <w:ind w:left="318"/>
              <w:spacing w:before="292" w:line="220" w:lineRule="auto"/>
              <w:rPr>
                <w:sz w:val="25"/>
                <w:szCs w:val="25"/>
              </w:rPr>
            </w:pPr>
            <w:r>
              <w:rPr>
                <w:sz w:val="25"/>
                <w:szCs w:val="25"/>
                <w:b/>
                <w:bCs/>
                <w:spacing w:val="-5"/>
              </w:rPr>
              <w:t>违法程度</w:t>
            </w:r>
          </w:p>
        </w:tc>
        <w:tc>
          <w:tcPr>
            <w:tcW w:w="7414" w:type="dxa"/>
            <w:vAlign w:val="top"/>
          </w:tcPr>
          <w:p>
            <w:pPr>
              <w:pStyle w:val="TableText"/>
              <w:ind w:left="3134"/>
              <w:spacing w:before="292" w:line="220" w:lineRule="auto"/>
              <w:rPr>
                <w:sz w:val="25"/>
                <w:szCs w:val="25"/>
              </w:rPr>
            </w:pPr>
            <w:r>
              <w:rPr>
                <w:sz w:val="25"/>
                <w:szCs w:val="25"/>
                <w:b/>
                <w:bCs/>
                <w:spacing w:val="-5"/>
              </w:rPr>
              <w:t>情节后果</w:t>
            </w:r>
          </w:p>
        </w:tc>
        <w:tc>
          <w:tcPr>
            <w:tcW w:w="4901" w:type="dxa"/>
            <w:vAlign w:val="top"/>
          </w:tcPr>
          <w:p>
            <w:pPr>
              <w:pStyle w:val="TableText"/>
              <w:ind w:left="1950"/>
              <w:spacing w:before="289" w:line="218" w:lineRule="auto"/>
              <w:rPr>
                <w:sz w:val="25"/>
                <w:szCs w:val="25"/>
              </w:rPr>
            </w:pPr>
            <w:r>
              <w:rPr>
                <w:sz w:val="25"/>
                <w:szCs w:val="25"/>
                <w:b/>
                <w:bCs/>
                <w:spacing w:val="-5"/>
              </w:rPr>
              <w:t>裁量幅度</w:t>
            </w:r>
          </w:p>
        </w:tc>
      </w:tr>
      <w:tr>
        <w:trPr>
          <w:trHeight w:val="1755" w:hRule="atLeast"/>
        </w:trPr>
        <w:tc>
          <w:tcPr>
            <w:tcW w:w="1644" w:type="dxa"/>
            <w:vAlign w:val="top"/>
          </w:tcPr>
          <w:p>
            <w:pPr>
              <w:spacing w:line="337" w:lineRule="auto"/>
              <w:rPr>
                <w:rFonts w:ascii="Arial"/>
                <w:sz w:val="21"/>
              </w:rPr>
            </w:pPr>
            <w:r/>
          </w:p>
          <w:p>
            <w:pPr>
              <w:spacing w:line="337" w:lineRule="auto"/>
              <w:rPr>
                <w:rFonts w:ascii="Arial"/>
                <w:sz w:val="21"/>
              </w:rPr>
            </w:pPr>
            <w:r/>
          </w:p>
          <w:p>
            <w:pPr>
              <w:pStyle w:val="TableText"/>
              <w:ind w:left="568"/>
              <w:spacing w:before="82" w:line="221" w:lineRule="auto"/>
              <w:rPr>
                <w:sz w:val="25"/>
                <w:szCs w:val="25"/>
              </w:rPr>
            </w:pPr>
            <w:r>
              <w:rPr>
                <w:sz w:val="25"/>
                <w:szCs w:val="25"/>
                <w:b/>
                <w:bCs/>
                <w:spacing w:val="-10"/>
              </w:rPr>
              <w:t>一般</w:t>
            </w:r>
          </w:p>
        </w:tc>
        <w:tc>
          <w:tcPr>
            <w:tcW w:w="7414" w:type="dxa"/>
            <w:vAlign w:val="top"/>
          </w:tcPr>
          <w:p>
            <w:pPr>
              <w:spacing w:line="248" w:lineRule="auto"/>
              <w:rPr>
                <w:rFonts w:ascii="Arial"/>
                <w:sz w:val="21"/>
              </w:rPr>
            </w:pPr>
            <w:r/>
          </w:p>
          <w:p>
            <w:pPr>
              <w:spacing w:line="249" w:lineRule="auto"/>
              <w:rPr>
                <w:rFonts w:ascii="Arial"/>
                <w:sz w:val="21"/>
              </w:rPr>
            </w:pPr>
            <w:r/>
          </w:p>
          <w:p>
            <w:pPr>
              <w:pStyle w:val="TableText"/>
              <w:ind w:left="100"/>
              <w:spacing w:before="82" w:line="326" w:lineRule="auto"/>
              <w:rPr>
                <w:sz w:val="25"/>
                <w:szCs w:val="25"/>
              </w:rPr>
            </w:pPr>
            <w:r>
              <w:rPr>
                <w:sz w:val="25"/>
                <w:szCs w:val="25"/>
                <w:spacing w:val="-7"/>
              </w:rPr>
              <w:t>实验室使用新技术、新方法从事高致病性病原微生物相关实验活动未</w:t>
            </w:r>
            <w:r>
              <w:rPr>
                <w:sz w:val="25"/>
                <w:szCs w:val="25"/>
                <w:spacing w:val="12"/>
              </w:rPr>
              <w:t xml:space="preserve"> </w:t>
            </w:r>
            <w:r>
              <w:rPr>
                <w:sz w:val="25"/>
                <w:szCs w:val="25"/>
              </w:rPr>
              <w:t>经国家病原微生物实验室生物安全专家委员会</w:t>
            </w:r>
            <w:r>
              <w:rPr>
                <w:sz w:val="25"/>
                <w:szCs w:val="25"/>
                <w:spacing w:val="-1"/>
              </w:rPr>
              <w:t>论证。</w:t>
            </w:r>
          </w:p>
        </w:tc>
        <w:tc>
          <w:tcPr>
            <w:tcW w:w="4901" w:type="dxa"/>
            <w:vAlign w:val="top"/>
          </w:tcPr>
          <w:p>
            <w:pPr>
              <w:pStyle w:val="TableText"/>
              <w:ind w:left="17" w:firstLine="49"/>
              <w:spacing w:before="141" w:line="296" w:lineRule="auto"/>
              <w:jc w:val="both"/>
              <w:rPr>
                <w:sz w:val="25"/>
                <w:szCs w:val="25"/>
              </w:rPr>
            </w:pPr>
            <w:r>
              <w:rPr>
                <w:sz w:val="25"/>
                <w:szCs w:val="25"/>
              </w:rPr>
              <w:t>由实验室所在地的设区的市级以上地方人民</w:t>
            </w:r>
            <w:r>
              <w:rPr>
                <w:sz w:val="25"/>
                <w:szCs w:val="25"/>
                <w:spacing w:val="8"/>
              </w:rPr>
              <w:t xml:space="preserve"> </w:t>
            </w:r>
            <w:r>
              <w:rPr>
                <w:sz w:val="25"/>
                <w:szCs w:val="25"/>
                <w:spacing w:val="1"/>
              </w:rPr>
              <w:t>政府卫生主管部门责令有关单位立即停止违</w:t>
            </w:r>
            <w:r>
              <w:rPr>
                <w:sz w:val="25"/>
                <w:szCs w:val="25"/>
                <w:spacing w:val="16"/>
              </w:rPr>
              <w:t xml:space="preserve"> </w:t>
            </w:r>
            <w:r>
              <w:rPr>
                <w:sz w:val="25"/>
                <w:szCs w:val="25"/>
                <w:spacing w:val="-7"/>
              </w:rPr>
              <w:t>法活动，监督其将病原微生物销毁或者送交保</w:t>
            </w:r>
            <w:r>
              <w:rPr>
                <w:sz w:val="25"/>
                <w:szCs w:val="25"/>
                <w:spacing w:val="12"/>
              </w:rPr>
              <w:t xml:space="preserve"> </w:t>
            </w:r>
            <w:r>
              <w:rPr>
                <w:sz w:val="25"/>
                <w:szCs w:val="25"/>
                <w:spacing w:val="23"/>
              </w:rPr>
              <w:t>藏机构。</w:t>
            </w:r>
          </w:p>
        </w:tc>
      </w:tr>
      <w:tr>
        <w:trPr>
          <w:trHeight w:val="1342" w:hRule="atLeast"/>
        </w:trPr>
        <w:tc>
          <w:tcPr>
            <w:tcW w:w="1644" w:type="dxa"/>
            <w:vAlign w:val="top"/>
          </w:tcPr>
          <w:p>
            <w:pPr>
              <w:spacing w:line="470" w:lineRule="auto"/>
              <w:rPr>
                <w:rFonts w:ascii="Arial"/>
                <w:sz w:val="21"/>
              </w:rPr>
            </w:pPr>
            <w:r/>
          </w:p>
          <w:p>
            <w:pPr>
              <w:pStyle w:val="TableText"/>
              <w:ind w:left="568"/>
              <w:spacing w:before="81" w:line="220" w:lineRule="auto"/>
              <w:rPr>
                <w:sz w:val="25"/>
                <w:szCs w:val="25"/>
              </w:rPr>
            </w:pPr>
            <w:r>
              <w:rPr>
                <w:sz w:val="25"/>
                <w:szCs w:val="25"/>
                <w:b/>
                <w:bCs/>
                <w:spacing w:val="-6"/>
              </w:rPr>
              <w:t>严重</w:t>
            </w:r>
          </w:p>
        </w:tc>
        <w:tc>
          <w:tcPr>
            <w:tcW w:w="7414" w:type="dxa"/>
            <w:vAlign w:val="top"/>
          </w:tcPr>
          <w:p>
            <w:pPr>
              <w:pStyle w:val="TableText"/>
              <w:ind w:left="100" w:firstLine="10"/>
              <w:spacing w:before="166" w:line="287" w:lineRule="auto"/>
              <w:jc w:val="both"/>
              <w:rPr>
                <w:sz w:val="25"/>
                <w:szCs w:val="25"/>
              </w:rPr>
            </w:pPr>
            <w:r>
              <w:rPr>
                <w:sz w:val="25"/>
                <w:szCs w:val="25"/>
                <w:spacing w:val="-7"/>
              </w:rPr>
              <w:t>实验室使用新技术、新方法从事高致病性病原微生物相关实验活动未</w:t>
            </w:r>
            <w:r>
              <w:rPr>
                <w:sz w:val="25"/>
                <w:szCs w:val="25"/>
                <w:spacing w:val="1"/>
              </w:rPr>
              <w:t xml:space="preserve"> </w:t>
            </w:r>
            <w:r>
              <w:rPr>
                <w:sz w:val="25"/>
                <w:szCs w:val="25"/>
              </w:rPr>
              <w:t>经国家病原微生物实验室生物安全专家委员会论证，造成传染病传</w:t>
            </w:r>
            <w:r>
              <w:rPr>
                <w:sz w:val="25"/>
                <w:szCs w:val="25"/>
                <w:spacing w:val="2"/>
              </w:rPr>
              <w:t xml:space="preserve"> </w:t>
            </w:r>
            <w:r>
              <w:rPr>
                <w:sz w:val="25"/>
                <w:szCs w:val="25"/>
              </w:rPr>
              <w:t>播、流行或者其他严重后果。</w:t>
            </w:r>
          </w:p>
        </w:tc>
        <w:tc>
          <w:tcPr>
            <w:tcW w:w="4901" w:type="dxa"/>
            <w:vAlign w:val="top"/>
          </w:tcPr>
          <w:p>
            <w:pPr>
              <w:spacing w:line="473" w:lineRule="auto"/>
              <w:rPr>
                <w:rFonts w:ascii="Arial"/>
                <w:sz w:val="21"/>
              </w:rPr>
            </w:pPr>
            <w:r/>
          </w:p>
          <w:p>
            <w:pPr>
              <w:pStyle w:val="TableText"/>
              <w:ind w:left="117"/>
              <w:spacing w:before="81" w:line="219" w:lineRule="auto"/>
              <w:rPr>
                <w:sz w:val="25"/>
                <w:szCs w:val="25"/>
              </w:rPr>
            </w:pPr>
            <w:r>
              <w:rPr>
                <w:sz w:val="25"/>
                <w:szCs w:val="25"/>
              </w:rPr>
              <w:t>有许可证件的，吊销有关许可证件</w:t>
            </w:r>
          </w:p>
        </w:tc>
      </w:tr>
    </w:tbl>
    <w:p>
      <w:pPr>
        <w:pStyle w:val="BodyText"/>
        <w:rPr/>
      </w:pPr>
      <w:r/>
    </w:p>
    <w:p>
      <w:pPr>
        <w:sectPr>
          <w:footerReference w:type="default" r:id="rId195"/>
          <w:pgSz w:w="16830" w:h="11900"/>
          <w:pgMar w:top="1011" w:right="1330" w:bottom="1113" w:left="1414" w:header="0" w:footer="798" w:gutter="0"/>
        </w:sectPr>
        <w:rPr/>
      </w:pP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19" w:right="265" w:firstLine="659"/>
        <w:spacing w:before="98" w:line="270" w:lineRule="auto"/>
        <w:rPr>
          <w:rFonts w:ascii="FangSong" w:hAnsi="FangSong" w:eastAsia="FangSong" w:cs="FangSong"/>
          <w:sz w:val="30"/>
          <w:szCs w:val="30"/>
        </w:rPr>
      </w:pPr>
      <w:bookmarkStart w:name="bookmark851" w:id="177"/>
      <w:bookmarkEnd w:id="177"/>
      <w:r>
        <w:rPr>
          <w:rFonts w:ascii="FangSong" w:hAnsi="FangSong" w:eastAsia="FangSong" w:cs="FangSong"/>
          <w:sz w:val="30"/>
          <w:szCs w:val="30"/>
          <w:b/>
          <w:bCs/>
          <w:spacing w:val="17"/>
        </w:rPr>
        <w:t>第一百二十一条</w:t>
      </w:r>
      <w:r>
        <w:rPr>
          <w:rFonts w:ascii="FangSong" w:hAnsi="FangSong" w:eastAsia="FangSong" w:cs="FangSong"/>
          <w:sz w:val="30"/>
          <w:szCs w:val="30"/>
          <w:spacing w:val="16"/>
        </w:rPr>
        <w:t xml:space="preserve">  </w:t>
      </w:r>
      <w:r>
        <w:rPr>
          <w:rFonts w:ascii="FangSong" w:hAnsi="FangSong" w:eastAsia="FangSong" w:cs="FangSong"/>
          <w:sz w:val="30"/>
          <w:szCs w:val="30"/>
          <w:b/>
          <w:bCs/>
          <w:spacing w:val="17"/>
        </w:rPr>
        <w:t>未经批准擅自从事在我国尚未发现或者已经宣布消灭的病原微生物相关实验</w:t>
      </w:r>
      <w:r>
        <w:rPr>
          <w:rFonts w:ascii="FangSong" w:hAnsi="FangSong" w:eastAsia="FangSong" w:cs="FangSong"/>
          <w:sz w:val="30"/>
          <w:szCs w:val="30"/>
          <w:spacing w:val="1"/>
        </w:rPr>
        <w:t xml:space="preserve"> </w:t>
      </w:r>
      <w:r>
        <w:rPr>
          <w:rFonts w:ascii="FangSong" w:hAnsi="FangSong" w:eastAsia="FangSong" w:cs="FangSong"/>
          <w:sz w:val="30"/>
          <w:szCs w:val="30"/>
          <w:b/>
          <w:bCs/>
          <w:spacing w:val="7"/>
        </w:rPr>
        <w:t>活动的</w:t>
      </w:r>
    </w:p>
    <w:p>
      <w:pPr>
        <w:ind w:left="675"/>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5" w:firstLine="649"/>
        <w:spacing w:before="81" w:line="266" w:lineRule="auto"/>
        <w:jc w:val="both"/>
        <w:rPr>
          <w:rFonts w:ascii="FangSong" w:hAnsi="FangSong" w:eastAsia="FangSong" w:cs="FangSong"/>
          <w:sz w:val="30"/>
          <w:szCs w:val="30"/>
        </w:rPr>
      </w:pPr>
      <w:r>
        <w:rPr>
          <w:rFonts w:ascii="FangSong" w:hAnsi="FangSong" w:eastAsia="FangSong" w:cs="FangSong"/>
          <w:sz w:val="30"/>
          <w:szCs w:val="30"/>
          <w:spacing w:val="23"/>
        </w:rPr>
        <w:t>《病原微生物实验室生物安全管理条例》第六十三条第(三)项</w:t>
      </w:r>
      <w:r>
        <w:rPr>
          <w:rFonts w:ascii="FangSong" w:hAnsi="FangSong" w:eastAsia="FangSong" w:cs="FangSong"/>
          <w:sz w:val="30"/>
          <w:szCs w:val="30"/>
          <w:spacing w:val="23"/>
        </w:rPr>
        <w:t xml:space="preserve">  </w:t>
      </w:r>
      <w:r>
        <w:rPr>
          <w:rFonts w:ascii="FangSong" w:hAnsi="FangSong" w:eastAsia="FangSong" w:cs="FangSong"/>
          <w:sz w:val="30"/>
          <w:szCs w:val="30"/>
          <w:spacing w:val="23"/>
        </w:rPr>
        <w:t>有下列行为之一的，由实验室</w:t>
      </w:r>
      <w:r>
        <w:rPr>
          <w:rFonts w:ascii="FangSong" w:hAnsi="FangSong" w:eastAsia="FangSong" w:cs="FangSong"/>
          <w:sz w:val="30"/>
          <w:szCs w:val="30"/>
          <w:spacing w:val="8"/>
        </w:rPr>
        <w:t xml:space="preserve"> </w:t>
      </w:r>
      <w:r>
        <w:rPr>
          <w:rFonts w:ascii="FangSong" w:hAnsi="FangSong" w:eastAsia="FangSong" w:cs="FangSong"/>
          <w:sz w:val="30"/>
          <w:szCs w:val="30"/>
          <w:spacing w:val="17"/>
        </w:rPr>
        <w:t>所在地的设区的市级以上地方人民政府卫生主管部门、兽医主管部门依照各自职责，责</w:t>
      </w:r>
      <w:r>
        <w:rPr>
          <w:rFonts w:ascii="FangSong" w:hAnsi="FangSong" w:eastAsia="FangSong" w:cs="FangSong"/>
          <w:sz w:val="30"/>
          <w:szCs w:val="30"/>
          <w:spacing w:val="16"/>
        </w:rPr>
        <w:t>令有关单位立</w:t>
      </w:r>
      <w:r>
        <w:rPr>
          <w:rFonts w:ascii="FangSong" w:hAnsi="FangSong" w:eastAsia="FangSong" w:cs="FangSong"/>
          <w:sz w:val="30"/>
          <w:szCs w:val="30"/>
        </w:rPr>
        <w:t xml:space="preserve"> </w:t>
      </w:r>
      <w:r>
        <w:rPr>
          <w:rFonts w:ascii="FangSong" w:hAnsi="FangSong" w:eastAsia="FangSong" w:cs="FangSong"/>
          <w:sz w:val="30"/>
          <w:szCs w:val="30"/>
          <w:spacing w:val="16"/>
        </w:rPr>
        <w:t>即停止违法活动，监督其将病原微生物销毁或者送交保藏机构；造成传染病传播、流行或者其他严重</w:t>
      </w:r>
      <w:r>
        <w:rPr>
          <w:rFonts w:ascii="FangSong" w:hAnsi="FangSong" w:eastAsia="FangSong" w:cs="FangSong"/>
          <w:sz w:val="30"/>
          <w:szCs w:val="30"/>
          <w:spacing w:val="6"/>
        </w:rPr>
        <w:t xml:space="preserve">  </w:t>
      </w:r>
      <w:r>
        <w:rPr>
          <w:rFonts w:ascii="FangSong" w:hAnsi="FangSong" w:eastAsia="FangSong" w:cs="FangSong"/>
          <w:sz w:val="30"/>
          <w:szCs w:val="30"/>
          <w:spacing w:val="13"/>
        </w:rPr>
        <w:t>后果的，由其所在单位或者其上级主管部门对主要负责人、直接</w:t>
      </w:r>
      <w:r>
        <w:rPr>
          <w:rFonts w:ascii="FangSong" w:hAnsi="FangSong" w:eastAsia="FangSong" w:cs="FangSong"/>
          <w:sz w:val="30"/>
          <w:szCs w:val="30"/>
          <w:spacing w:val="12"/>
        </w:rPr>
        <w:t>负责的主管人员和其他直接责任人员，</w:t>
      </w:r>
      <w:r>
        <w:rPr>
          <w:rFonts w:ascii="FangSong" w:hAnsi="FangSong" w:eastAsia="FangSong" w:cs="FangSong"/>
          <w:sz w:val="30"/>
          <w:szCs w:val="30"/>
        </w:rPr>
        <w:t xml:space="preserve"> </w:t>
      </w:r>
      <w:r>
        <w:rPr>
          <w:rFonts w:ascii="FangSong" w:hAnsi="FangSong" w:eastAsia="FangSong" w:cs="FangSong"/>
          <w:sz w:val="30"/>
          <w:szCs w:val="30"/>
          <w:spacing w:val="17"/>
        </w:rPr>
        <w:t>依法给予撤职、开除的处分；有许可证件的，并由原发证部门吊销有关许可证件</w:t>
      </w:r>
      <w:r>
        <w:rPr>
          <w:rFonts w:ascii="FangSong" w:hAnsi="FangSong" w:eastAsia="FangSong" w:cs="FangSong"/>
          <w:sz w:val="30"/>
          <w:szCs w:val="30"/>
          <w:spacing w:val="16"/>
        </w:rPr>
        <w:t>；构成犯罪的，依法</w:t>
      </w:r>
      <w:r>
        <w:rPr>
          <w:rFonts w:ascii="FangSong" w:hAnsi="FangSong" w:eastAsia="FangSong" w:cs="FangSong"/>
          <w:sz w:val="30"/>
          <w:szCs w:val="30"/>
        </w:rPr>
        <w:t xml:space="preserve"> </w:t>
      </w:r>
      <w:r>
        <w:rPr>
          <w:rFonts w:ascii="FangSong" w:hAnsi="FangSong" w:eastAsia="FangSong" w:cs="FangSong"/>
          <w:sz w:val="30"/>
          <w:szCs w:val="30"/>
          <w:spacing w:val="7"/>
        </w:rPr>
        <w:t>追究刑事责任：</w:t>
      </w:r>
    </w:p>
    <w:p>
      <w:pPr>
        <w:ind w:left="794"/>
        <w:spacing w:before="39" w:line="219" w:lineRule="auto"/>
        <w:rPr>
          <w:rFonts w:ascii="FangSong" w:hAnsi="FangSong" w:eastAsia="FangSong" w:cs="FangSong"/>
          <w:sz w:val="30"/>
          <w:szCs w:val="30"/>
        </w:rPr>
      </w:pPr>
      <w:r>
        <w:rPr>
          <w:rFonts w:ascii="FangSong" w:hAnsi="FangSong" w:eastAsia="FangSong" w:cs="FangSong"/>
          <w:sz w:val="30"/>
          <w:szCs w:val="30"/>
          <w:spacing w:val="22"/>
        </w:rPr>
        <w:t>(三)未经批准擅自从事在我国尚未发现或者已经宣布消灭的病原微生物相关实验活动的；</w:t>
      </w:r>
    </w:p>
    <w:p>
      <w:pPr>
        <w:ind w:left="6719"/>
        <w:spacing w:before="76"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7" w:lineRule="auto"/>
        <w:rPr>
          <w:rFonts w:ascii="Arial"/>
          <w:sz w:val="2"/>
        </w:rPr>
      </w:pPr>
      <w:r>
        <w:rPr>
          <w:rFonts w:ascii="Arial"/>
          <w:sz w:val="2"/>
        </w:rPr>
      </w:r>
    </w:p>
    <w:tbl>
      <w:tblPr>
        <w:tblStyle w:val="TableNormal"/>
        <w:tblW w:w="139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74"/>
        <w:gridCol w:w="6965"/>
        <w:gridCol w:w="5511"/>
      </w:tblGrid>
      <w:tr>
        <w:trPr>
          <w:trHeight w:val="831" w:hRule="atLeast"/>
        </w:trPr>
        <w:tc>
          <w:tcPr>
            <w:tcW w:w="1474" w:type="dxa"/>
            <w:vAlign w:val="top"/>
          </w:tcPr>
          <w:p>
            <w:pPr>
              <w:pStyle w:val="TableText"/>
              <w:ind w:left="228"/>
              <w:spacing w:before="292" w:line="220" w:lineRule="auto"/>
              <w:rPr>
                <w:sz w:val="25"/>
                <w:szCs w:val="25"/>
              </w:rPr>
            </w:pPr>
            <w:r>
              <w:rPr>
                <w:sz w:val="25"/>
                <w:szCs w:val="25"/>
                <w:b/>
                <w:bCs/>
                <w:spacing w:val="-5"/>
              </w:rPr>
              <w:t>违法程度</w:t>
            </w:r>
          </w:p>
        </w:tc>
        <w:tc>
          <w:tcPr>
            <w:tcW w:w="6965" w:type="dxa"/>
            <w:vAlign w:val="top"/>
          </w:tcPr>
          <w:p>
            <w:pPr>
              <w:pStyle w:val="TableText"/>
              <w:ind w:left="2974"/>
              <w:spacing w:before="292" w:line="220" w:lineRule="auto"/>
              <w:rPr>
                <w:sz w:val="25"/>
                <w:szCs w:val="25"/>
              </w:rPr>
            </w:pPr>
            <w:r>
              <w:rPr>
                <w:sz w:val="25"/>
                <w:szCs w:val="25"/>
                <w:b/>
                <w:bCs/>
                <w:spacing w:val="-5"/>
              </w:rPr>
              <w:t>情节后果</w:t>
            </w:r>
          </w:p>
        </w:tc>
        <w:tc>
          <w:tcPr>
            <w:tcW w:w="5511" w:type="dxa"/>
            <w:vAlign w:val="top"/>
          </w:tcPr>
          <w:p>
            <w:pPr>
              <w:pStyle w:val="TableText"/>
              <w:ind w:left="2249"/>
              <w:spacing w:before="289" w:line="218" w:lineRule="auto"/>
              <w:rPr>
                <w:sz w:val="25"/>
                <w:szCs w:val="25"/>
              </w:rPr>
            </w:pPr>
            <w:r>
              <w:rPr>
                <w:sz w:val="25"/>
                <w:szCs w:val="25"/>
                <w:b/>
                <w:bCs/>
                <w:spacing w:val="-5"/>
              </w:rPr>
              <w:t>裁量幅度</w:t>
            </w:r>
          </w:p>
        </w:tc>
      </w:tr>
      <w:tr>
        <w:trPr>
          <w:trHeight w:val="1308" w:hRule="atLeast"/>
        </w:trPr>
        <w:tc>
          <w:tcPr>
            <w:tcW w:w="1474" w:type="dxa"/>
            <w:vAlign w:val="top"/>
          </w:tcPr>
          <w:p>
            <w:pPr>
              <w:spacing w:line="448" w:lineRule="auto"/>
              <w:rPr>
                <w:rFonts w:ascii="Arial"/>
                <w:sz w:val="21"/>
              </w:rPr>
            </w:pPr>
            <w:r/>
          </w:p>
          <w:p>
            <w:pPr>
              <w:pStyle w:val="TableText"/>
              <w:ind w:left="478"/>
              <w:spacing w:before="81" w:line="221" w:lineRule="auto"/>
              <w:rPr>
                <w:sz w:val="25"/>
                <w:szCs w:val="25"/>
              </w:rPr>
            </w:pPr>
            <w:r>
              <w:rPr>
                <w:sz w:val="25"/>
                <w:szCs w:val="25"/>
                <w:b/>
                <w:bCs/>
                <w:spacing w:val="-10"/>
              </w:rPr>
              <w:t>一般</w:t>
            </w:r>
          </w:p>
        </w:tc>
        <w:tc>
          <w:tcPr>
            <w:tcW w:w="6965" w:type="dxa"/>
            <w:vAlign w:val="top"/>
          </w:tcPr>
          <w:p>
            <w:pPr>
              <w:spacing w:line="275" w:lineRule="auto"/>
              <w:rPr>
                <w:rFonts w:ascii="Arial"/>
                <w:sz w:val="21"/>
              </w:rPr>
            </w:pPr>
            <w:r/>
          </w:p>
          <w:p>
            <w:pPr>
              <w:pStyle w:val="TableText"/>
              <w:ind w:left="93" w:hanging="79"/>
              <w:spacing w:before="81" w:line="329" w:lineRule="auto"/>
              <w:rPr>
                <w:sz w:val="25"/>
                <w:szCs w:val="25"/>
              </w:rPr>
            </w:pPr>
            <w:r>
              <w:rPr>
                <w:sz w:val="25"/>
                <w:szCs w:val="25"/>
                <w:b/>
                <w:bCs/>
                <w:spacing w:val="-5"/>
              </w:rPr>
              <w:t>未经批准擅自从事在我国尚未发现或者已经宣布消灭的病原微生</w:t>
            </w:r>
            <w:r>
              <w:rPr>
                <w:sz w:val="25"/>
                <w:szCs w:val="25"/>
                <w:spacing w:val="5"/>
              </w:rPr>
              <w:t xml:space="preserve"> </w:t>
            </w:r>
            <w:r>
              <w:rPr>
                <w:sz w:val="25"/>
                <w:szCs w:val="25"/>
                <w:b/>
                <w:bCs/>
                <w:spacing w:val="-5"/>
              </w:rPr>
              <w:t>物相关实验活动。</w:t>
            </w:r>
          </w:p>
        </w:tc>
        <w:tc>
          <w:tcPr>
            <w:tcW w:w="5511" w:type="dxa"/>
            <w:vAlign w:val="top"/>
          </w:tcPr>
          <w:p>
            <w:pPr>
              <w:pStyle w:val="TableText"/>
              <w:ind w:left="19"/>
              <w:spacing w:before="140" w:line="285" w:lineRule="auto"/>
              <w:jc w:val="both"/>
              <w:rPr>
                <w:sz w:val="25"/>
                <w:szCs w:val="25"/>
              </w:rPr>
            </w:pPr>
            <w:r>
              <w:rPr>
                <w:sz w:val="25"/>
                <w:szCs w:val="25"/>
                <w:b/>
                <w:bCs/>
                <w:spacing w:val="-4"/>
              </w:rPr>
              <w:t>由实验室所在地的设区的市级以上地方人民政府卫</w:t>
            </w:r>
            <w:r>
              <w:rPr>
                <w:sz w:val="25"/>
                <w:szCs w:val="25"/>
                <w:spacing w:val="7"/>
              </w:rPr>
              <w:t xml:space="preserve"> </w:t>
            </w:r>
            <w:r>
              <w:rPr>
                <w:sz w:val="25"/>
                <w:szCs w:val="25"/>
                <w:b/>
                <w:bCs/>
                <w:spacing w:val="-4"/>
              </w:rPr>
              <w:t>生主管部门责令有关单位立即停止违法活动，监督</w:t>
            </w:r>
            <w:r>
              <w:rPr>
                <w:sz w:val="25"/>
                <w:szCs w:val="25"/>
                <w:spacing w:val="10"/>
              </w:rPr>
              <w:t xml:space="preserve"> </w:t>
            </w:r>
            <w:r>
              <w:rPr>
                <w:sz w:val="25"/>
                <w:szCs w:val="25"/>
                <w:b/>
                <w:bCs/>
              </w:rPr>
              <w:t>其将病原微生物销毁或者送交保藏机构。</w:t>
            </w:r>
          </w:p>
        </w:tc>
      </w:tr>
    </w:tbl>
    <w:p>
      <w:pPr>
        <w:pStyle w:val="BodyText"/>
        <w:rPr/>
      </w:pPr>
      <w:r/>
    </w:p>
    <w:p>
      <w:pPr>
        <w:sectPr>
          <w:footerReference w:type="default" r:id="rId196"/>
          <w:pgSz w:w="16830" w:h="11900"/>
          <w:pgMar w:top="1011" w:right="1330" w:bottom="1135" w:left="1414" w:header="0" w:footer="793" w:gutter="0"/>
        </w:sectPr>
        <w:rPr/>
      </w:pPr>
    </w:p>
    <w:p>
      <w:pPr>
        <w:spacing w:before="20"/>
        <w:rPr/>
      </w:pPr>
      <w:r/>
    </w:p>
    <w:p>
      <w:pPr>
        <w:spacing w:before="20"/>
        <w:rPr/>
      </w:pPr>
      <w:r/>
    </w:p>
    <w:p>
      <w:pPr>
        <w:spacing w:before="19"/>
        <w:rPr/>
      </w:pPr>
      <w:r/>
    </w:p>
    <w:tbl>
      <w:tblPr>
        <w:tblStyle w:val="TableNormal"/>
        <w:tblW w:w="139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84"/>
        <w:gridCol w:w="6955"/>
        <w:gridCol w:w="5511"/>
      </w:tblGrid>
      <w:tr>
        <w:trPr>
          <w:trHeight w:val="1130" w:hRule="atLeast"/>
        </w:trPr>
        <w:tc>
          <w:tcPr>
            <w:tcW w:w="1484" w:type="dxa"/>
            <w:vAlign w:val="top"/>
          </w:tcPr>
          <w:p>
            <w:pPr>
              <w:spacing w:line="371" w:lineRule="auto"/>
              <w:rPr>
                <w:rFonts w:ascii="Arial"/>
                <w:sz w:val="21"/>
              </w:rPr>
            </w:pPr>
            <w:r/>
          </w:p>
          <w:p>
            <w:pPr>
              <w:pStyle w:val="TableText"/>
              <w:ind w:left="458"/>
              <w:spacing w:before="78" w:line="220" w:lineRule="auto"/>
              <w:outlineLvl w:val="1"/>
              <w:rPr/>
            </w:pPr>
            <w:bookmarkStart w:name="bookmark852" w:id="178"/>
            <w:bookmarkEnd w:id="178"/>
            <w:bookmarkStart w:name="bookmark186" w:id="179"/>
            <w:bookmarkEnd w:id="179"/>
            <w:r>
              <w:rPr>
                <w:b/>
                <w:bCs/>
                <w:spacing w:val="-6"/>
              </w:rPr>
              <w:t>严重</w:t>
            </w:r>
          </w:p>
        </w:tc>
        <w:tc>
          <w:tcPr>
            <w:tcW w:w="6955" w:type="dxa"/>
            <w:vAlign w:val="top"/>
          </w:tcPr>
          <w:p>
            <w:pPr>
              <w:pStyle w:val="TableText"/>
              <w:ind w:left="291" w:right="102" w:hanging="180"/>
              <w:spacing w:before="243" w:line="337" w:lineRule="auto"/>
              <w:rPr/>
            </w:pPr>
            <w:r>
              <w:rPr/>
              <w:t>未经批准擅自从事在我国尚未发现或者已经宣布消灭的病原微生</w:t>
            </w:r>
            <w:r>
              <w:rPr>
                <w:spacing w:val="10"/>
              </w:rPr>
              <w:t xml:space="preserve"> </w:t>
            </w:r>
            <w:r>
              <w:rPr/>
              <w:t>物相关实验活动，造成传染病传播、流行或者其他严重后果。</w:t>
            </w:r>
          </w:p>
        </w:tc>
        <w:tc>
          <w:tcPr>
            <w:tcW w:w="5511" w:type="dxa"/>
            <w:vAlign w:val="top"/>
          </w:tcPr>
          <w:p>
            <w:pPr>
              <w:spacing w:line="374" w:lineRule="auto"/>
              <w:rPr>
                <w:rFonts w:ascii="Arial"/>
                <w:sz w:val="21"/>
              </w:rPr>
            </w:pPr>
            <w:r/>
          </w:p>
          <w:p>
            <w:pPr>
              <w:pStyle w:val="TableText"/>
              <w:ind w:left="105"/>
              <w:spacing w:before="78" w:line="219" w:lineRule="auto"/>
              <w:rPr/>
            </w:pPr>
            <w:r>
              <w:rPr/>
              <w:t>有许可证件的，吊销有关许可证件</w:t>
            </w:r>
          </w:p>
        </w:tc>
      </w:tr>
    </w:tbl>
    <w:p>
      <w:pPr>
        <w:pStyle w:val="BodyText"/>
        <w:spacing w:line="447" w:lineRule="auto"/>
        <w:rPr/>
      </w:pPr>
      <w:r/>
    </w:p>
    <w:p>
      <w:pPr>
        <w:ind w:left="19" w:right="279" w:firstLine="659"/>
        <w:spacing w:before="97" w:line="272" w:lineRule="auto"/>
        <w:rPr>
          <w:rFonts w:ascii="FangSong" w:hAnsi="FangSong" w:eastAsia="FangSong" w:cs="FangSong"/>
          <w:sz w:val="30"/>
          <w:szCs w:val="30"/>
        </w:rPr>
      </w:pPr>
      <w:r>
        <w:rPr>
          <w:rFonts w:ascii="FangSong" w:hAnsi="FangSong" w:eastAsia="FangSong" w:cs="FangSong"/>
          <w:sz w:val="30"/>
          <w:szCs w:val="30"/>
          <w:b/>
          <w:bCs/>
          <w:spacing w:val="17"/>
        </w:rPr>
        <w:t>第一百二十二条</w:t>
      </w:r>
      <w:r>
        <w:rPr>
          <w:rFonts w:ascii="FangSong" w:hAnsi="FangSong" w:eastAsia="FangSong" w:cs="FangSong"/>
          <w:sz w:val="30"/>
          <w:szCs w:val="30"/>
          <w:spacing w:val="17"/>
        </w:rPr>
        <w:t xml:space="preserve">  </w:t>
      </w:r>
      <w:r>
        <w:rPr>
          <w:rFonts w:ascii="FangSong" w:hAnsi="FangSong" w:eastAsia="FangSong" w:cs="FangSong"/>
          <w:sz w:val="30"/>
          <w:szCs w:val="30"/>
          <w:b/>
          <w:bCs/>
          <w:spacing w:val="17"/>
        </w:rPr>
        <w:t>在未经指定的专业实验室从事在我国尚未</w:t>
      </w:r>
      <w:r>
        <w:rPr>
          <w:rFonts w:ascii="FangSong" w:hAnsi="FangSong" w:eastAsia="FangSong" w:cs="FangSong"/>
          <w:sz w:val="30"/>
          <w:szCs w:val="30"/>
          <w:b/>
          <w:bCs/>
          <w:spacing w:val="16"/>
        </w:rPr>
        <w:t>发现或者已经宣布消灭的病原微生</w:t>
      </w:r>
      <w:r>
        <w:rPr>
          <w:rFonts w:ascii="FangSong" w:hAnsi="FangSong" w:eastAsia="FangSong" w:cs="FangSong"/>
          <w:sz w:val="30"/>
          <w:szCs w:val="30"/>
        </w:rPr>
        <w:t xml:space="preserve"> </w:t>
      </w:r>
      <w:r>
        <w:rPr>
          <w:rFonts w:ascii="FangSong" w:hAnsi="FangSong" w:eastAsia="FangSong" w:cs="FangSong"/>
          <w:sz w:val="30"/>
          <w:szCs w:val="30"/>
          <w:b/>
          <w:bCs/>
          <w:spacing w:val="11"/>
        </w:rPr>
        <w:t>物相关实验活动的</w:t>
      </w:r>
    </w:p>
    <w:p>
      <w:pPr>
        <w:ind w:left="665"/>
        <w:spacing w:before="24"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5" w:firstLine="640"/>
        <w:spacing w:before="43" w:line="272" w:lineRule="auto"/>
        <w:jc w:val="both"/>
        <w:rPr>
          <w:rFonts w:ascii="FangSong" w:hAnsi="FangSong" w:eastAsia="FangSong" w:cs="FangSong"/>
          <w:sz w:val="30"/>
          <w:szCs w:val="30"/>
        </w:rPr>
      </w:pPr>
      <w:r>
        <w:rPr>
          <w:rFonts w:ascii="FangSong" w:hAnsi="FangSong" w:eastAsia="FangSong" w:cs="FangSong"/>
          <w:sz w:val="30"/>
          <w:szCs w:val="30"/>
          <w:spacing w:val="23"/>
        </w:rPr>
        <w:t>《病原微生物实验室生物安全管理条例》第六十三条第(四)项</w:t>
      </w:r>
      <w:r>
        <w:rPr>
          <w:rFonts w:ascii="FangSong" w:hAnsi="FangSong" w:eastAsia="FangSong" w:cs="FangSong"/>
          <w:sz w:val="30"/>
          <w:szCs w:val="30"/>
          <w:spacing w:val="23"/>
        </w:rPr>
        <w:t xml:space="preserve">  </w:t>
      </w:r>
      <w:r>
        <w:rPr>
          <w:rFonts w:ascii="FangSong" w:hAnsi="FangSong" w:eastAsia="FangSong" w:cs="FangSong"/>
          <w:sz w:val="30"/>
          <w:szCs w:val="30"/>
          <w:spacing w:val="23"/>
        </w:rPr>
        <w:t>有下列行为之一的，由实验室</w:t>
      </w:r>
      <w:r>
        <w:rPr>
          <w:rFonts w:ascii="FangSong" w:hAnsi="FangSong" w:eastAsia="FangSong" w:cs="FangSong"/>
          <w:sz w:val="30"/>
          <w:szCs w:val="30"/>
          <w:spacing w:val="18"/>
        </w:rPr>
        <w:t xml:space="preserve"> </w:t>
      </w:r>
      <w:r>
        <w:rPr>
          <w:rFonts w:ascii="FangSong" w:hAnsi="FangSong" w:eastAsia="FangSong" w:cs="FangSong"/>
          <w:sz w:val="30"/>
          <w:szCs w:val="30"/>
          <w:spacing w:val="17"/>
        </w:rPr>
        <w:t>所在地的设区的市级以上地方人民政府卫生主管部门、兽医主管部门依照各自职责，责</w:t>
      </w:r>
      <w:r>
        <w:rPr>
          <w:rFonts w:ascii="FangSong" w:hAnsi="FangSong" w:eastAsia="FangSong" w:cs="FangSong"/>
          <w:sz w:val="30"/>
          <w:szCs w:val="30"/>
          <w:spacing w:val="16"/>
        </w:rPr>
        <w:t>令有关单位立</w:t>
      </w:r>
      <w:r>
        <w:rPr>
          <w:rFonts w:ascii="FangSong" w:hAnsi="FangSong" w:eastAsia="FangSong" w:cs="FangSong"/>
          <w:sz w:val="30"/>
          <w:szCs w:val="30"/>
        </w:rPr>
        <w:t xml:space="preserve"> </w:t>
      </w:r>
      <w:r>
        <w:rPr>
          <w:rFonts w:ascii="FangSong" w:hAnsi="FangSong" w:eastAsia="FangSong" w:cs="FangSong"/>
          <w:sz w:val="30"/>
          <w:szCs w:val="30"/>
          <w:spacing w:val="16"/>
        </w:rPr>
        <w:t>即停止违法活动，监督其将病原微生物销毁或者送交保藏机构；造成传染病传播、流行或者其他严重</w:t>
      </w:r>
      <w:r>
        <w:rPr>
          <w:rFonts w:ascii="FangSong" w:hAnsi="FangSong" w:eastAsia="FangSong" w:cs="FangSong"/>
          <w:sz w:val="30"/>
          <w:szCs w:val="30"/>
          <w:spacing w:val="6"/>
        </w:rPr>
        <w:t xml:space="preserve">  </w:t>
      </w:r>
      <w:r>
        <w:rPr>
          <w:rFonts w:ascii="FangSong" w:hAnsi="FangSong" w:eastAsia="FangSong" w:cs="FangSong"/>
          <w:sz w:val="30"/>
          <w:szCs w:val="30"/>
          <w:spacing w:val="13"/>
        </w:rPr>
        <w:t>后果的，由其所在单位或者其上级主管部门对主要负责人、直接</w:t>
      </w:r>
      <w:r>
        <w:rPr>
          <w:rFonts w:ascii="FangSong" w:hAnsi="FangSong" w:eastAsia="FangSong" w:cs="FangSong"/>
          <w:sz w:val="30"/>
          <w:szCs w:val="30"/>
          <w:spacing w:val="12"/>
        </w:rPr>
        <w:t>负责的主管人员和其他直接责任人员，</w:t>
      </w:r>
      <w:r>
        <w:rPr>
          <w:rFonts w:ascii="FangSong" w:hAnsi="FangSong" w:eastAsia="FangSong" w:cs="FangSong"/>
          <w:sz w:val="30"/>
          <w:szCs w:val="30"/>
        </w:rPr>
        <w:t xml:space="preserve"> </w:t>
      </w:r>
      <w:r>
        <w:rPr>
          <w:rFonts w:ascii="FangSong" w:hAnsi="FangSong" w:eastAsia="FangSong" w:cs="FangSong"/>
          <w:sz w:val="30"/>
          <w:szCs w:val="30"/>
          <w:spacing w:val="17"/>
        </w:rPr>
        <w:t>依法给予撤职、开除的处分；有许可证件的，并由原发证部门吊销有关许可证件</w:t>
      </w:r>
      <w:r>
        <w:rPr>
          <w:rFonts w:ascii="FangSong" w:hAnsi="FangSong" w:eastAsia="FangSong" w:cs="FangSong"/>
          <w:sz w:val="30"/>
          <w:szCs w:val="30"/>
          <w:spacing w:val="16"/>
        </w:rPr>
        <w:t>；构成犯罪的，依法</w:t>
      </w:r>
      <w:r>
        <w:rPr>
          <w:rFonts w:ascii="FangSong" w:hAnsi="FangSong" w:eastAsia="FangSong" w:cs="FangSong"/>
          <w:sz w:val="30"/>
          <w:szCs w:val="30"/>
        </w:rPr>
        <w:t xml:space="preserve"> </w:t>
      </w:r>
      <w:r>
        <w:rPr>
          <w:rFonts w:ascii="FangSong" w:hAnsi="FangSong" w:eastAsia="FangSong" w:cs="FangSong"/>
          <w:sz w:val="30"/>
          <w:szCs w:val="30"/>
          <w:spacing w:val="8"/>
        </w:rPr>
        <w:t>追究刑事责任：</w:t>
      </w:r>
    </w:p>
    <w:p>
      <w:pPr>
        <w:ind w:left="15" w:right="127" w:firstLine="779"/>
        <w:spacing w:before="10" w:line="286" w:lineRule="auto"/>
        <w:rPr>
          <w:rFonts w:ascii="FangSong" w:hAnsi="FangSong" w:eastAsia="FangSong" w:cs="FangSong"/>
          <w:sz w:val="25"/>
          <w:szCs w:val="25"/>
        </w:rPr>
      </w:pPr>
      <w:r>
        <w:rPr>
          <w:rFonts w:ascii="FangSong" w:hAnsi="FangSong" w:eastAsia="FangSong" w:cs="FangSong"/>
          <w:sz w:val="30"/>
          <w:szCs w:val="30"/>
          <w:spacing w:val="21"/>
        </w:rPr>
        <w:t>(四)在未经指定的专业实验室从事在我国尚未</w:t>
      </w:r>
      <w:r>
        <w:rPr>
          <w:rFonts w:ascii="FangSong" w:hAnsi="FangSong" w:eastAsia="FangSong" w:cs="FangSong"/>
          <w:sz w:val="30"/>
          <w:szCs w:val="30"/>
          <w:spacing w:val="20"/>
        </w:rPr>
        <w:t>发现或者已经宣布消灭的病原微生物相关实验活</w:t>
      </w:r>
      <w:r>
        <w:rPr>
          <w:rFonts w:ascii="FangSong" w:hAnsi="FangSong" w:eastAsia="FangSong" w:cs="FangSong"/>
          <w:sz w:val="30"/>
          <w:szCs w:val="30"/>
        </w:rPr>
        <w:t xml:space="preserve"> </w:t>
      </w:r>
      <w:r>
        <w:rPr>
          <w:rFonts w:ascii="FangSong" w:hAnsi="FangSong" w:eastAsia="FangSong" w:cs="FangSong"/>
          <w:sz w:val="25"/>
          <w:szCs w:val="25"/>
          <w:spacing w:val="-15"/>
        </w:rPr>
        <w:t>动</w:t>
      </w:r>
      <w:r>
        <w:rPr>
          <w:rFonts w:ascii="FangSong" w:hAnsi="FangSong" w:eastAsia="FangSong" w:cs="FangSong"/>
          <w:sz w:val="25"/>
          <w:szCs w:val="25"/>
          <w:spacing w:val="-15"/>
        </w:rPr>
        <w:t xml:space="preserve"> </w:t>
      </w:r>
      <w:r>
        <w:rPr>
          <w:rFonts w:ascii="FangSong" w:hAnsi="FangSong" w:eastAsia="FangSong" w:cs="FangSong"/>
          <w:sz w:val="25"/>
          <w:szCs w:val="25"/>
          <w:spacing w:val="-15"/>
        </w:rPr>
        <w:t>的</w:t>
      </w:r>
      <w:r>
        <w:rPr>
          <w:rFonts w:ascii="FangSong" w:hAnsi="FangSong" w:eastAsia="FangSong" w:cs="FangSong"/>
          <w:sz w:val="25"/>
          <w:szCs w:val="25"/>
          <w:spacing w:val="-41"/>
        </w:rPr>
        <w:t xml:space="preserve"> </w:t>
      </w:r>
      <w:r>
        <w:rPr>
          <w:rFonts w:ascii="FangSong" w:hAnsi="FangSong" w:eastAsia="FangSong" w:cs="FangSong"/>
          <w:sz w:val="25"/>
          <w:szCs w:val="25"/>
          <w:spacing w:val="-15"/>
        </w:rPr>
        <w:t>；</w:t>
      </w:r>
    </w:p>
    <w:p>
      <w:pPr>
        <w:ind w:left="6719"/>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34" w:lineRule="auto"/>
        <w:rPr>
          <w:rFonts w:ascii="Arial"/>
          <w:sz w:val="2"/>
        </w:rPr>
      </w:pPr>
      <w:r>
        <w:rPr>
          <w:rFonts w:ascii="Arial"/>
          <w:sz w:val="2"/>
        </w:rPr>
      </w:r>
    </w:p>
    <w:tbl>
      <w:tblPr>
        <w:tblStyle w:val="TableNormal"/>
        <w:tblW w:w="140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84"/>
        <w:gridCol w:w="7735"/>
        <w:gridCol w:w="5301"/>
      </w:tblGrid>
      <w:tr>
        <w:trPr>
          <w:trHeight w:val="870" w:hRule="atLeast"/>
        </w:trPr>
        <w:tc>
          <w:tcPr>
            <w:tcW w:w="984" w:type="dxa"/>
            <w:vAlign w:val="top"/>
          </w:tcPr>
          <w:p>
            <w:pPr>
              <w:pStyle w:val="TableText"/>
              <w:ind w:left="199"/>
              <w:spacing w:before="81" w:line="225" w:lineRule="auto"/>
              <w:rPr>
                <w:sz w:val="29"/>
                <w:szCs w:val="29"/>
              </w:rPr>
            </w:pPr>
            <w:r>
              <w:rPr>
                <w:sz w:val="29"/>
                <w:szCs w:val="29"/>
                <w:b/>
                <w:bCs/>
                <w:spacing w:val="-6"/>
              </w:rPr>
              <w:t>违法</w:t>
            </w:r>
          </w:p>
          <w:p>
            <w:pPr>
              <w:pStyle w:val="TableText"/>
              <w:ind w:left="199"/>
              <w:spacing w:before="118" w:line="195" w:lineRule="auto"/>
              <w:rPr>
                <w:sz w:val="29"/>
                <w:szCs w:val="29"/>
              </w:rPr>
            </w:pPr>
            <w:r>
              <w:rPr>
                <w:sz w:val="29"/>
                <w:szCs w:val="29"/>
                <w:b/>
                <w:bCs/>
                <w:spacing w:val="-6"/>
              </w:rPr>
              <w:t>程度</w:t>
            </w:r>
          </w:p>
        </w:tc>
        <w:tc>
          <w:tcPr>
            <w:tcW w:w="7735" w:type="dxa"/>
            <w:vAlign w:val="top"/>
          </w:tcPr>
          <w:p>
            <w:pPr>
              <w:pStyle w:val="TableText"/>
              <w:ind w:left="3295"/>
              <w:spacing w:before="293" w:line="220" w:lineRule="auto"/>
              <w:rPr>
                <w:sz w:val="29"/>
                <w:szCs w:val="29"/>
              </w:rPr>
            </w:pPr>
            <w:r>
              <w:rPr>
                <w:sz w:val="29"/>
                <w:szCs w:val="29"/>
                <w:b/>
                <w:bCs/>
                <w:spacing w:val="-1"/>
              </w:rPr>
              <w:t>情节后果</w:t>
            </w:r>
          </w:p>
        </w:tc>
        <w:tc>
          <w:tcPr>
            <w:tcW w:w="5301" w:type="dxa"/>
            <w:vAlign w:val="top"/>
          </w:tcPr>
          <w:p>
            <w:pPr>
              <w:pStyle w:val="TableText"/>
              <w:ind w:left="2090"/>
              <w:spacing w:before="290" w:line="218" w:lineRule="auto"/>
              <w:rPr>
                <w:sz w:val="29"/>
                <w:szCs w:val="29"/>
              </w:rPr>
            </w:pPr>
            <w:r>
              <w:rPr>
                <w:sz w:val="29"/>
                <w:szCs w:val="29"/>
                <w:b/>
                <w:bCs/>
                <w:spacing w:val="-1"/>
              </w:rPr>
              <w:t>裁量幅度</w:t>
            </w:r>
          </w:p>
        </w:tc>
      </w:tr>
    </w:tbl>
    <w:p>
      <w:pPr>
        <w:pStyle w:val="BodyText"/>
        <w:rPr/>
      </w:pPr>
      <w:r/>
    </w:p>
    <w:p>
      <w:pPr>
        <w:sectPr>
          <w:footerReference w:type="default" r:id="rId197"/>
          <w:pgSz w:w="16830" w:h="11900"/>
          <w:pgMar w:top="1011" w:right="1330" w:bottom="1117" w:left="1414" w:header="0" w:footer="784" w:gutter="0"/>
        </w:sectPr>
        <w:rPr/>
      </w:pPr>
    </w:p>
    <w:p>
      <w:pPr>
        <w:spacing w:before="20"/>
        <w:rPr/>
      </w:pPr>
      <w:r/>
    </w:p>
    <w:p>
      <w:pPr>
        <w:spacing w:before="20"/>
        <w:rPr/>
      </w:pPr>
      <w:r/>
    </w:p>
    <w:p>
      <w:pPr>
        <w:spacing w:before="19"/>
        <w:rPr/>
      </w:pPr>
      <w:r/>
    </w:p>
    <w:tbl>
      <w:tblPr>
        <w:tblStyle w:val="TableNormal"/>
        <w:tblW w:w="140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74"/>
        <w:gridCol w:w="7755"/>
        <w:gridCol w:w="5291"/>
      </w:tblGrid>
      <w:tr>
        <w:trPr>
          <w:trHeight w:val="1459" w:hRule="atLeast"/>
        </w:trPr>
        <w:tc>
          <w:tcPr>
            <w:tcW w:w="974" w:type="dxa"/>
            <w:vAlign w:val="top"/>
          </w:tcPr>
          <w:p>
            <w:pPr>
              <w:spacing w:line="265" w:lineRule="auto"/>
              <w:rPr>
                <w:rFonts w:ascii="Arial"/>
                <w:sz w:val="21"/>
              </w:rPr>
            </w:pPr>
            <w:r/>
          </w:p>
          <w:p>
            <w:pPr>
              <w:spacing w:line="266" w:lineRule="auto"/>
              <w:rPr>
                <w:rFonts w:ascii="Arial"/>
                <w:sz w:val="21"/>
              </w:rPr>
            </w:pPr>
            <w:r/>
          </w:p>
          <w:p>
            <w:pPr>
              <w:pStyle w:val="TableText"/>
              <w:ind w:left="238"/>
              <w:spacing w:before="78" w:line="221" w:lineRule="auto"/>
              <w:rPr/>
            </w:pPr>
            <w:bookmarkStart w:name="bookmark853" w:id="180"/>
            <w:bookmarkEnd w:id="180"/>
            <w:r>
              <w:rPr>
                <w:b/>
                <w:bCs/>
                <w:spacing w:val="-10"/>
              </w:rPr>
              <w:t>一般</w:t>
            </w:r>
          </w:p>
        </w:tc>
        <w:tc>
          <w:tcPr>
            <w:tcW w:w="7755" w:type="dxa"/>
            <w:vAlign w:val="top"/>
          </w:tcPr>
          <w:p>
            <w:pPr>
              <w:spacing w:line="333" w:lineRule="auto"/>
              <w:rPr>
                <w:rFonts w:ascii="Arial"/>
                <w:sz w:val="21"/>
              </w:rPr>
            </w:pPr>
            <w:r/>
          </w:p>
          <w:p>
            <w:pPr>
              <w:pStyle w:val="TableText"/>
              <w:ind w:left="120" w:right="174" w:hanging="9"/>
              <w:spacing w:before="78" w:line="349" w:lineRule="auto"/>
              <w:rPr/>
            </w:pPr>
            <w:r>
              <w:rPr/>
              <w:t>在未经指定的专业实验室从事在我国尚未发现或者已经宣布消灭的病原</w:t>
            </w:r>
            <w:r>
              <w:rPr>
                <w:spacing w:val="18"/>
              </w:rPr>
              <w:t xml:space="preserve"> </w:t>
            </w:r>
            <w:r>
              <w:rPr>
                <w:spacing w:val="-1"/>
              </w:rPr>
              <w:t>微生物相关实验活动。</w:t>
            </w:r>
          </w:p>
        </w:tc>
        <w:tc>
          <w:tcPr>
            <w:tcW w:w="5291" w:type="dxa"/>
            <w:vAlign w:val="top"/>
          </w:tcPr>
          <w:p>
            <w:pPr>
              <w:pStyle w:val="TableText"/>
              <w:ind w:left="116" w:right="114"/>
              <w:spacing w:before="193" w:line="322" w:lineRule="auto"/>
              <w:jc w:val="both"/>
              <w:rPr/>
            </w:pPr>
            <w:r>
              <w:rPr/>
              <w:t>由实验室所在地的设区的市级以上地方人民政府</w:t>
            </w:r>
            <w:r>
              <w:rPr>
                <w:spacing w:val="9"/>
              </w:rPr>
              <w:t xml:space="preserve"> </w:t>
            </w:r>
            <w:r>
              <w:rPr/>
              <w:t>卫生主管部门责令有关单位立即停止违法活动， </w:t>
            </w:r>
            <w:r>
              <w:rPr/>
              <w:t>监督其将病原微生物销毁或者送交保藏机构。</w:t>
            </w:r>
          </w:p>
        </w:tc>
      </w:tr>
      <w:tr>
        <w:trPr>
          <w:trHeight w:val="1230" w:hRule="atLeast"/>
        </w:trPr>
        <w:tc>
          <w:tcPr>
            <w:tcW w:w="974" w:type="dxa"/>
            <w:vAlign w:val="top"/>
          </w:tcPr>
          <w:p>
            <w:pPr>
              <w:spacing w:line="422" w:lineRule="auto"/>
              <w:rPr>
                <w:rFonts w:ascii="Arial"/>
                <w:sz w:val="21"/>
              </w:rPr>
            </w:pPr>
            <w:r/>
          </w:p>
          <w:p>
            <w:pPr>
              <w:pStyle w:val="TableText"/>
              <w:ind w:left="238"/>
              <w:spacing w:before="78" w:line="220" w:lineRule="auto"/>
              <w:rPr/>
            </w:pPr>
            <w:r>
              <w:rPr>
                <w:b/>
                <w:bCs/>
                <w:spacing w:val="-6"/>
              </w:rPr>
              <w:t>严重</w:t>
            </w:r>
          </w:p>
        </w:tc>
        <w:tc>
          <w:tcPr>
            <w:tcW w:w="7755" w:type="dxa"/>
            <w:vAlign w:val="top"/>
          </w:tcPr>
          <w:p>
            <w:pPr>
              <w:spacing w:line="245" w:lineRule="auto"/>
              <w:rPr>
                <w:rFonts w:ascii="Arial"/>
                <w:sz w:val="21"/>
              </w:rPr>
            </w:pPr>
            <w:r/>
          </w:p>
          <w:p>
            <w:pPr>
              <w:pStyle w:val="TableText"/>
              <w:ind w:left="120" w:right="174" w:hanging="9"/>
              <w:spacing w:before="78" w:line="340" w:lineRule="auto"/>
              <w:rPr/>
            </w:pPr>
            <w:r>
              <w:rPr/>
              <w:t>在未经指定的专业实验室从事在我国尚未发现或者已经宣布消灭的病原</w:t>
            </w:r>
            <w:r>
              <w:rPr>
                <w:spacing w:val="18"/>
              </w:rPr>
              <w:t xml:space="preserve"> </w:t>
            </w:r>
            <w:r>
              <w:rPr/>
              <w:t>微生物相关实验活动，造成传染病传播、流行或者其他严重后果。</w:t>
            </w:r>
          </w:p>
        </w:tc>
        <w:tc>
          <w:tcPr>
            <w:tcW w:w="5291" w:type="dxa"/>
            <w:vAlign w:val="top"/>
          </w:tcPr>
          <w:p>
            <w:pPr>
              <w:spacing w:line="425" w:lineRule="auto"/>
              <w:rPr>
                <w:rFonts w:ascii="Arial"/>
                <w:sz w:val="21"/>
              </w:rPr>
            </w:pPr>
            <w:r/>
          </w:p>
          <w:p>
            <w:pPr>
              <w:pStyle w:val="TableText"/>
              <w:ind w:left="116"/>
              <w:spacing w:before="78" w:line="219" w:lineRule="auto"/>
              <w:rPr/>
            </w:pPr>
            <w:r>
              <w:rPr/>
              <w:t>有许可证件的，吊销有关许可证件</w:t>
            </w:r>
          </w:p>
        </w:tc>
      </w:tr>
    </w:tbl>
    <w:p>
      <w:pPr>
        <w:pStyle w:val="BodyText"/>
        <w:spacing w:line="424" w:lineRule="auto"/>
        <w:rPr/>
      </w:pPr>
      <w:r/>
    </w:p>
    <w:p>
      <w:pPr>
        <w:ind w:left="19" w:right="220" w:firstLine="659"/>
        <w:spacing w:before="97" w:line="274" w:lineRule="auto"/>
        <w:rPr>
          <w:rFonts w:ascii="FangSong" w:hAnsi="FangSong" w:eastAsia="FangSong" w:cs="FangSong"/>
          <w:sz w:val="30"/>
          <w:szCs w:val="30"/>
        </w:rPr>
      </w:pPr>
      <w:r>
        <w:rPr>
          <w:rFonts w:ascii="FangSong" w:hAnsi="FangSong" w:eastAsia="FangSong" w:cs="FangSong"/>
          <w:sz w:val="30"/>
          <w:szCs w:val="30"/>
          <w:b/>
          <w:bCs/>
          <w:spacing w:val="17"/>
        </w:rPr>
        <w:t>第一百二十三条</w:t>
      </w:r>
      <w:r>
        <w:rPr>
          <w:rFonts w:ascii="FangSong" w:hAnsi="FangSong" w:eastAsia="FangSong" w:cs="FangSong"/>
          <w:sz w:val="30"/>
          <w:szCs w:val="30"/>
          <w:spacing w:val="17"/>
        </w:rPr>
        <w:t xml:space="preserve">  </w:t>
      </w:r>
      <w:r>
        <w:rPr>
          <w:rFonts w:ascii="FangSong" w:hAnsi="FangSong" w:eastAsia="FangSong" w:cs="FangSong"/>
          <w:sz w:val="30"/>
          <w:szCs w:val="30"/>
          <w:b/>
          <w:bCs/>
          <w:spacing w:val="17"/>
        </w:rPr>
        <w:t>在同一个实验室的同一个独立安全区域内同时从</w:t>
      </w:r>
      <w:r>
        <w:rPr>
          <w:rFonts w:ascii="FangSong" w:hAnsi="FangSong" w:eastAsia="FangSong" w:cs="FangSong"/>
          <w:sz w:val="30"/>
          <w:szCs w:val="30"/>
          <w:b/>
          <w:bCs/>
          <w:spacing w:val="16"/>
        </w:rPr>
        <w:t>事两种或者两种以上高致病</w:t>
      </w:r>
      <w:r>
        <w:rPr>
          <w:rFonts w:ascii="FangSong" w:hAnsi="FangSong" w:eastAsia="FangSong" w:cs="FangSong"/>
          <w:sz w:val="30"/>
          <w:szCs w:val="30"/>
        </w:rPr>
        <w:t xml:space="preserve"> </w:t>
      </w:r>
      <w:r>
        <w:rPr>
          <w:rFonts w:ascii="FangSong" w:hAnsi="FangSong" w:eastAsia="FangSong" w:cs="FangSong"/>
          <w:sz w:val="30"/>
          <w:szCs w:val="30"/>
          <w:b/>
          <w:bCs/>
          <w:spacing w:val="16"/>
        </w:rPr>
        <w:t>性病原微生物的相关实验活动的</w:t>
      </w:r>
    </w:p>
    <w:p>
      <w:pPr>
        <w:ind w:left="675"/>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5" w:right="25" w:firstLine="649"/>
        <w:spacing w:before="91" w:line="269" w:lineRule="auto"/>
        <w:jc w:val="both"/>
        <w:rPr>
          <w:rFonts w:ascii="FangSong" w:hAnsi="FangSong" w:eastAsia="FangSong" w:cs="FangSong"/>
          <w:sz w:val="30"/>
          <w:szCs w:val="30"/>
        </w:rPr>
      </w:pPr>
      <w:r>
        <w:rPr>
          <w:rFonts w:ascii="FangSong" w:hAnsi="FangSong" w:eastAsia="FangSong" w:cs="FangSong"/>
          <w:sz w:val="30"/>
          <w:szCs w:val="30"/>
          <w:spacing w:val="26"/>
        </w:rPr>
        <w:t>《病原微生物实验室生物安全管理条例》第六十三条第(五)项</w:t>
      </w:r>
      <w:r>
        <w:rPr>
          <w:rFonts w:ascii="FangSong" w:hAnsi="FangSong" w:eastAsia="FangSong" w:cs="FangSong"/>
          <w:sz w:val="30"/>
          <w:szCs w:val="30"/>
          <w:spacing w:val="26"/>
        </w:rPr>
        <w:t xml:space="preserve">   </w:t>
      </w:r>
      <w:r>
        <w:rPr>
          <w:rFonts w:ascii="FangSong" w:hAnsi="FangSong" w:eastAsia="FangSong" w:cs="FangSong"/>
          <w:sz w:val="30"/>
          <w:szCs w:val="30"/>
          <w:spacing w:val="26"/>
        </w:rPr>
        <w:t>有下列行为之一的，由实验</w:t>
      </w:r>
      <w:r>
        <w:rPr>
          <w:rFonts w:ascii="FangSong" w:hAnsi="FangSong" w:eastAsia="FangSong" w:cs="FangSong"/>
          <w:sz w:val="30"/>
          <w:szCs w:val="30"/>
        </w:rPr>
        <w:t xml:space="preserve"> </w:t>
      </w:r>
      <w:r>
        <w:rPr>
          <w:rFonts w:ascii="FangSong" w:hAnsi="FangSong" w:eastAsia="FangSong" w:cs="FangSong"/>
          <w:sz w:val="30"/>
          <w:szCs w:val="30"/>
          <w:spacing w:val="17"/>
        </w:rPr>
        <w:t>室所在地的设区的市级以上地方人民政府卫生主管部门、兽医主管部门依照</w:t>
      </w:r>
      <w:r>
        <w:rPr>
          <w:rFonts w:ascii="FangSong" w:hAnsi="FangSong" w:eastAsia="FangSong" w:cs="FangSong"/>
          <w:sz w:val="30"/>
          <w:szCs w:val="30"/>
          <w:spacing w:val="16"/>
        </w:rPr>
        <w:t>各自职责，责令有关单位</w:t>
      </w:r>
      <w:r>
        <w:rPr>
          <w:rFonts w:ascii="FangSong" w:hAnsi="FangSong" w:eastAsia="FangSong" w:cs="FangSong"/>
          <w:sz w:val="30"/>
          <w:szCs w:val="30"/>
        </w:rPr>
        <w:t xml:space="preserve"> </w:t>
      </w:r>
      <w:r>
        <w:rPr>
          <w:rFonts w:ascii="FangSong" w:hAnsi="FangSong" w:eastAsia="FangSong" w:cs="FangSong"/>
          <w:sz w:val="30"/>
          <w:szCs w:val="30"/>
          <w:spacing w:val="17"/>
        </w:rPr>
        <w:t>立即停止违法活动，监督其将病原微生物销毁或者送交保藏</w:t>
      </w:r>
      <w:r>
        <w:rPr>
          <w:rFonts w:ascii="FangSong" w:hAnsi="FangSong" w:eastAsia="FangSong" w:cs="FangSong"/>
          <w:sz w:val="30"/>
          <w:szCs w:val="30"/>
          <w:spacing w:val="16"/>
        </w:rPr>
        <w:t>机构；造成传染病传播、流行或者其他严</w:t>
      </w:r>
      <w:r>
        <w:rPr>
          <w:rFonts w:ascii="FangSong" w:hAnsi="FangSong" w:eastAsia="FangSong" w:cs="FangSong"/>
          <w:sz w:val="30"/>
          <w:szCs w:val="30"/>
        </w:rPr>
        <w:t xml:space="preserve"> </w:t>
      </w:r>
      <w:r>
        <w:rPr>
          <w:rFonts w:ascii="FangSong" w:hAnsi="FangSong" w:eastAsia="FangSong" w:cs="FangSong"/>
          <w:sz w:val="30"/>
          <w:szCs w:val="30"/>
          <w:spacing w:val="17"/>
        </w:rPr>
        <w:t>重后果的，由其所在单位或者其上级主管部门对主要负责人、直接负责的主</w:t>
      </w:r>
      <w:r>
        <w:rPr>
          <w:rFonts w:ascii="FangSong" w:hAnsi="FangSong" w:eastAsia="FangSong" w:cs="FangSong"/>
          <w:sz w:val="30"/>
          <w:szCs w:val="30"/>
          <w:spacing w:val="16"/>
        </w:rPr>
        <w:t>管人员和其他直接责任人</w:t>
      </w:r>
      <w:r>
        <w:rPr>
          <w:rFonts w:ascii="FangSong" w:hAnsi="FangSong" w:eastAsia="FangSong" w:cs="FangSong"/>
          <w:sz w:val="30"/>
          <w:szCs w:val="30"/>
        </w:rPr>
        <w:t xml:space="preserve"> </w:t>
      </w:r>
      <w:r>
        <w:rPr>
          <w:rFonts w:ascii="FangSong" w:hAnsi="FangSong" w:eastAsia="FangSong" w:cs="FangSong"/>
          <w:sz w:val="30"/>
          <w:szCs w:val="30"/>
          <w:spacing w:val="18"/>
        </w:rPr>
        <w:t>员，依法给予撤职、开除的处分；有许可证件的，并由原发证部门吊销有关许可证件；构成</w:t>
      </w:r>
      <w:r>
        <w:rPr>
          <w:rFonts w:ascii="FangSong" w:hAnsi="FangSong" w:eastAsia="FangSong" w:cs="FangSong"/>
          <w:sz w:val="30"/>
          <w:szCs w:val="30"/>
          <w:spacing w:val="17"/>
        </w:rPr>
        <w:t>犯罪的，</w:t>
      </w:r>
      <w:r>
        <w:rPr>
          <w:rFonts w:ascii="FangSong" w:hAnsi="FangSong" w:eastAsia="FangSong" w:cs="FangSong"/>
          <w:sz w:val="30"/>
          <w:szCs w:val="30"/>
        </w:rPr>
        <w:t xml:space="preserve"> </w:t>
      </w:r>
      <w:r>
        <w:rPr>
          <w:rFonts w:ascii="FangSong" w:hAnsi="FangSong" w:eastAsia="FangSong" w:cs="FangSong"/>
          <w:sz w:val="30"/>
          <w:szCs w:val="30"/>
          <w:spacing w:val="10"/>
        </w:rPr>
        <w:t>依法追究刑事责任：</w:t>
      </w:r>
    </w:p>
    <w:p>
      <w:pPr>
        <w:ind w:left="15" w:right="73" w:firstLine="790"/>
        <w:spacing w:before="3" w:line="285" w:lineRule="auto"/>
        <w:rPr>
          <w:rFonts w:ascii="FangSong" w:hAnsi="FangSong" w:eastAsia="FangSong" w:cs="FangSong"/>
          <w:sz w:val="30"/>
          <w:szCs w:val="30"/>
        </w:rPr>
      </w:pPr>
      <w:r>
        <w:rPr>
          <w:rFonts w:ascii="FangSong" w:hAnsi="FangSong" w:eastAsia="FangSong" w:cs="FangSong"/>
          <w:sz w:val="30"/>
          <w:szCs w:val="30"/>
          <w:spacing w:val="20"/>
        </w:rPr>
        <w:t>(五)在同一个实验室的同一个独立安全区域内同时从事两种或者两种以上高致病性病原微生物</w:t>
      </w:r>
      <w:r>
        <w:rPr>
          <w:rFonts w:ascii="FangSong" w:hAnsi="FangSong" w:eastAsia="FangSong" w:cs="FangSong"/>
          <w:sz w:val="30"/>
          <w:szCs w:val="30"/>
          <w:spacing w:val="10"/>
        </w:rPr>
        <w:t xml:space="preserve"> </w:t>
      </w:r>
      <w:r>
        <w:rPr>
          <w:rFonts w:ascii="FangSong" w:hAnsi="FangSong" w:eastAsia="FangSong" w:cs="FangSong"/>
          <w:sz w:val="30"/>
          <w:szCs w:val="30"/>
          <w:spacing w:val="7"/>
        </w:rPr>
        <w:t>的相关实验活动的。</w:t>
      </w:r>
    </w:p>
    <w:p>
      <w:pPr>
        <w:spacing w:line="285" w:lineRule="auto"/>
        <w:sectPr>
          <w:footerReference w:type="default" r:id="rId198"/>
          <w:pgSz w:w="16830" w:h="11900"/>
          <w:pgMar w:top="1011" w:right="1384" w:bottom="1113" w:left="1414" w:header="0" w:footer="779" w:gutter="0"/>
        </w:sectPr>
        <w:rPr>
          <w:rFonts w:ascii="FangSong" w:hAnsi="FangSong" w:eastAsia="FangSong" w:cs="FangSong"/>
          <w:sz w:val="30"/>
          <w:szCs w:val="30"/>
        </w:rPr>
      </w:pPr>
    </w:p>
    <w:p>
      <w:pPr>
        <w:pStyle w:val="BodyText"/>
        <w:spacing w:line="260" w:lineRule="auto"/>
        <w:rPr/>
      </w:pPr>
      <w:r/>
    </w:p>
    <w:p>
      <w:pPr>
        <w:pStyle w:val="BodyText"/>
        <w:spacing w:line="260" w:lineRule="auto"/>
        <w:rPr/>
      </w:pPr>
      <w:r/>
    </w:p>
    <w:p>
      <w:pPr>
        <w:pStyle w:val="BodyText"/>
        <w:spacing w:line="261" w:lineRule="auto"/>
        <w:rPr/>
      </w:pPr>
      <w:r/>
    </w:p>
    <w:p>
      <w:pPr>
        <w:ind w:left="6709"/>
        <w:spacing w:before="91" w:line="220" w:lineRule="auto"/>
        <w:outlineLvl w:val="1"/>
        <w:rPr>
          <w:rFonts w:ascii="SimSun" w:hAnsi="SimSun" w:eastAsia="SimSun" w:cs="SimSun"/>
          <w:sz w:val="28"/>
          <w:szCs w:val="28"/>
        </w:rPr>
      </w:pPr>
      <w:bookmarkStart w:name="bookmark854" w:id="181"/>
      <w:bookmarkEnd w:id="181"/>
      <w:bookmarkStart w:name="bookmark186" w:id="182"/>
      <w:bookmarkEnd w:id="182"/>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82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24"/>
        <w:gridCol w:w="7864"/>
        <w:gridCol w:w="4941"/>
      </w:tblGrid>
      <w:tr>
        <w:trPr>
          <w:trHeight w:val="903" w:hRule="atLeast"/>
        </w:trPr>
        <w:tc>
          <w:tcPr>
            <w:tcW w:w="1024" w:type="dxa"/>
            <w:vAlign w:val="top"/>
          </w:tcPr>
          <w:p>
            <w:pPr>
              <w:pStyle w:val="TableText"/>
              <w:ind w:left="258"/>
              <w:spacing w:before="109" w:line="225" w:lineRule="auto"/>
              <w:rPr>
                <w:sz w:val="25"/>
                <w:szCs w:val="25"/>
              </w:rPr>
            </w:pPr>
            <w:r>
              <w:rPr>
                <w:sz w:val="25"/>
                <w:szCs w:val="25"/>
                <w:b/>
                <w:bCs/>
                <w:spacing w:val="-6"/>
              </w:rPr>
              <w:t>违法</w:t>
            </w:r>
          </w:p>
          <w:p>
            <w:pPr>
              <w:pStyle w:val="TableText"/>
              <w:ind w:left="258"/>
              <w:spacing w:before="138" w:line="220" w:lineRule="auto"/>
              <w:rPr>
                <w:sz w:val="25"/>
                <w:szCs w:val="25"/>
              </w:rPr>
            </w:pPr>
            <w:r>
              <w:rPr>
                <w:sz w:val="25"/>
                <w:szCs w:val="25"/>
                <w:b/>
                <w:bCs/>
                <w:spacing w:val="-5"/>
              </w:rPr>
              <w:t>程度</w:t>
            </w:r>
          </w:p>
        </w:tc>
        <w:tc>
          <w:tcPr>
            <w:tcW w:w="7864" w:type="dxa"/>
            <w:vAlign w:val="top"/>
          </w:tcPr>
          <w:p>
            <w:pPr>
              <w:spacing w:line="249" w:lineRule="auto"/>
              <w:rPr>
                <w:rFonts w:ascii="Arial"/>
                <w:sz w:val="21"/>
              </w:rPr>
            </w:pPr>
            <w:r/>
          </w:p>
          <w:p>
            <w:pPr>
              <w:pStyle w:val="TableText"/>
              <w:ind w:left="3364"/>
              <w:spacing w:before="81" w:line="220" w:lineRule="auto"/>
              <w:rPr>
                <w:sz w:val="25"/>
                <w:szCs w:val="25"/>
              </w:rPr>
            </w:pPr>
            <w:r>
              <w:rPr>
                <w:sz w:val="25"/>
                <w:szCs w:val="25"/>
                <w:b/>
                <w:bCs/>
                <w:spacing w:val="-5"/>
              </w:rPr>
              <w:t>情节后果</w:t>
            </w:r>
          </w:p>
        </w:tc>
        <w:tc>
          <w:tcPr>
            <w:tcW w:w="4941" w:type="dxa"/>
            <w:vAlign w:val="top"/>
          </w:tcPr>
          <w:p>
            <w:pPr>
              <w:spacing w:line="246" w:lineRule="auto"/>
              <w:rPr>
                <w:rFonts w:ascii="Arial"/>
                <w:sz w:val="21"/>
              </w:rPr>
            </w:pPr>
            <w:r/>
          </w:p>
          <w:p>
            <w:pPr>
              <w:pStyle w:val="TableText"/>
              <w:ind w:left="1970"/>
              <w:spacing w:before="82" w:line="218" w:lineRule="auto"/>
              <w:rPr>
                <w:sz w:val="25"/>
                <w:szCs w:val="25"/>
              </w:rPr>
            </w:pPr>
            <w:r>
              <w:rPr>
                <w:sz w:val="25"/>
                <w:szCs w:val="25"/>
                <w:b/>
                <w:bCs/>
                <w:spacing w:val="-5"/>
              </w:rPr>
              <w:t>裁量幅度</w:t>
            </w:r>
          </w:p>
        </w:tc>
      </w:tr>
      <w:tr>
        <w:trPr>
          <w:trHeight w:val="1766" w:hRule="atLeast"/>
        </w:trPr>
        <w:tc>
          <w:tcPr>
            <w:tcW w:w="1024" w:type="dxa"/>
            <w:vAlign w:val="top"/>
          </w:tcPr>
          <w:p>
            <w:pPr>
              <w:spacing w:line="337" w:lineRule="auto"/>
              <w:rPr>
                <w:rFonts w:ascii="Arial"/>
                <w:sz w:val="21"/>
              </w:rPr>
            </w:pPr>
            <w:r/>
          </w:p>
          <w:p>
            <w:pPr>
              <w:spacing w:line="337" w:lineRule="auto"/>
              <w:rPr>
                <w:rFonts w:ascii="Arial"/>
                <w:sz w:val="21"/>
              </w:rPr>
            </w:pPr>
            <w:r/>
          </w:p>
          <w:p>
            <w:pPr>
              <w:pStyle w:val="TableText"/>
              <w:ind w:left="258"/>
              <w:spacing w:before="82" w:line="221" w:lineRule="auto"/>
              <w:rPr>
                <w:sz w:val="25"/>
                <w:szCs w:val="25"/>
              </w:rPr>
            </w:pPr>
            <w:r>
              <w:rPr>
                <w:sz w:val="25"/>
                <w:szCs w:val="25"/>
                <w:b/>
                <w:bCs/>
                <w:spacing w:val="-10"/>
              </w:rPr>
              <w:t>一般</w:t>
            </w:r>
          </w:p>
        </w:tc>
        <w:tc>
          <w:tcPr>
            <w:tcW w:w="7864" w:type="dxa"/>
            <w:vAlign w:val="top"/>
          </w:tcPr>
          <w:p>
            <w:pPr>
              <w:spacing w:line="248" w:lineRule="auto"/>
              <w:rPr>
                <w:rFonts w:ascii="Arial"/>
                <w:sz w:val="21"/>
              </w:rPr>
            </w:pPr>
            <w:r/>
          </w:p>
          <w:p>
            <w:pPr>
              <w:spacing w:line="249" w:lineRule="auto"/>
              <w:rPr>
                <w:rFonts w:ascii="Arial"/>
                <w:sz w:val="21"/>
              </w:rPr>
            </w:pPr>
            <w:r/>
          </w:p>
          <w:p>
            <w:pPr>
              <w:pStyle w:val="TableText"/>
              <w:ind w:left="100" w:right="11"/>
              <w:spacing w:before="82" w:line="327" w:lineRule="auto"/>
              <w:rPr>
                <w:sz w:val="25"/>
                <w:szCs w:val="25"/>
              </w:rPr>
            </w:pPr>
            <w:r>
              <w:rPr>
                <w:sz w:val="25"/>
                <w:szCs w:val="25"/>
              </w:rPr>
              <w:t>在同一个实验室的同一个独立安全区域内同时从</w:t>
            </w:r>
            <w:r>
              <w:rPr>
                <w:sz w:val="25"/>
                <w:szCs w:val="25"/>
                <w:spacing w:val="-1"/>
              </w:rPr>
              <w:t>事两种或者两种以上高</w:t>
            </w:r>
            <w:r>
              <w:rPr>
                <w:sz w:val="25"/>
                <w:szCs w:val="25"/>
              </w:rPr>
              <w:t xml:space="preserve"> </w:t>
            </w:r>
            <w:r>
              <w:rPr>
                <w:sz w:val="25"/>
                <w:szCs w:val="25"/>
              </w:rPr>
              <w:t>致病性病原微生物的相关实验活动。</w:t>
            </w:r>
          </w:p>
        </w:tc>
        <w:tc>
          <w:tcPr>
            <w:tcW w:w="4941" w:type="dxa"/>
            <w:vAlign w:val="top"/>
          </w:tcPr>
          <w:p>
            <w:pPr>
              <w:pStyle w:val="TableText"/>
              <w:ind w:left="16" w:firstLine="69"/>
              <w:spacing w:before="141" w:line="298" w:lineRule="auto"/>
              <w:jc w:val="both"/>
              <w:rPr>
                <w:sz w:val="25"/>
                <w:szCs w:val="25"/>
              </w:rPr>
            </w:pPr>
            <w:r>
              <w:rPr>
                <w:sz w:val="25"/>
                <w:szCs w:val="25"/>
              </w:rPr>
              <w:t>由实验室所在地的设区的市级以上地方人民</w:t>
            </w:r>
            <w:r>
              <w:rPr>
                <w:sz w:val="25"/>
                <w:szCs w:val="25"/>
                <w:spacing w:val="8"/>
              </w:rPr>
              <w:t xml:space="preserve"> </w:t>
            </w:r>
            <w:r>
              <w:rPr>
                <w:sz w:val="25"/>
                <w:szCs w:val="25"/>
                <w:spacing w:val="2"/>
              </w:rPr>
              <w:t>政府卫生主管部门责令有关单位立即停止违</w:t>
            </w:r>
            <w:r>
              <w:rPr>
                <w:sz w:val="25"/>
                <w:szCs w:val="25"/>
                <w:spacing w:val="8"/>
              </w:rPr>
              <w:t xml:space="preserve">  </w:t>
            </w:r>
            <w:r>
              <w:rPr>
                <w:sz w:val="25"/>
                <w:szCs w:val="25"/>
                <w:spacing w:val="-5"/>
              </w:rPr>
              <w:t>法活动，监督其将病原微生物销毁或者送交保</w:t>
            </w:r>
            <w:r>
              <w:rPr>
                <w:sz w:val="25"/>
                <w:szCs w:val="25"/>
                <w:spacing w:val="13"/>
              </w:rPr>
              <w:t xml:space="preserve"> </w:t>
            </w:r>
            <w:r>
              <w:rPr>
                <w:sz w:val="25"/>
                <w:szCs w:val="25"/>
                <w:spacing w:val="18"/>
              </w:rPr>
              <w:t>藏机构。</w:t>
            </w:r>
          </w:p>
        </w:tc>
      </w:tr>
      <w:tr>
        <w:trPr>
          <w:trHeight w:val="1551" w:hRule="atLeast"/>
        </w:trPr>
        <w:tc>
          <w:tcPr>
            <w:tcW w:w="1024" w:type="dxa"/>
            <w:vAlign w:val="top"/>
          </w:tcPr>
          <w:p>
            <w:pPr>
              <w:spacing w:line="284" w:lineRule="auto"/>
              <w:rPr>
                <w:rFonts w:ascii="Arial"/>
                <w:sz w:val="21"/>
              </w:rPr>
            </w:pPr>
            <w:r/>
          </w:p>
          <w:p>
            <w:pPr>
              <w:spacing w:line="284" w:lineRule="auto"/>
              <w:rPr>
                <w:rFonts w:ascii="Arial"/>
                <w:sz w:val="21"/>
              </w:rPr>
            </w:pPr>
            <w:r/>
          </w:p>
          <w:p>
            <w:pPr>
              <w:pStyle w:val="TableText"/>
              <w:ind w:left="258"/>
              <w:spacing w:before="82" w:line="220" w:lineRule="auto"/>
              <w:rPr>
                <w:sz w:val="25"/>
                <w:szCs w:val="25"/>
              </w:rPr>
            </w:pPr>
            <w:r>
              <w:rPr>
                <w:sz w:val="25"/>
                <w:szCs w:val="25"/>
                <w:b/>
                <w:bCs/>
                <w:spacing w:val="-6"/>
              </w:rPr>
              <w:t>严重</w:t>
            </w:r>
          </w:p>
        </w:tc>
        <w:tc>
          <w:tcPr>
            <w:tcW w:w="7864" w:type="dxa"/>
            <w:vAlign w:val="top"/>
          </w:tcPr>
          <w:p>
            <w:pPr>
              <w:pStyle w:val="TableText"/>
              <w:ind w:left="100"/>
              <w:spacing w:before="257" w:line="316" w:lineRule="auto"/>
              <w:jc w:val="both"/>
              <w:rPr>
                <w:sz w:val="25"/>
                <w:szCs w:val="25"/>
              </w:rPr>
            </w:pPr>
            <w:r>
              <w:rPr>
                <w:sz w:val="25"/>
                <w:szCs w:val="25"/>
                <w:spacing w:val="-1"/>
              </w:rPr>
              <w:t>在同一个实验室的同一个独立安全区域内同时从事两种或者两种以上高</w:t>
            </w:r>
            <w:r>
              <w:rPr>
                <w:sz w:val="25"/>
                <w:szCs w:val="25"/>
                <w:spacing w:val="12"/>
              </w:rPr>
              <w:t xml:space="preserve"> </w:t>
            </w:r>
            <w:r>
              <w:rPr>
                <w:sz w:val="25"/>
                <w:szCs w:val="25"/>
                <w:spacing w:val="-8"/>
              </w:rPr>
              <w:t>致病性病原微生物的相关实验活动，造成传染病传播、流行或者其他严重</w:t>
            </w:r>
            <w:r>
              <w:rPr>
                <w:sz w:val="25"/>
                <w:szCs w:val="25"/>
                <w:spacing w:val="8"/>
              </w:rPr>
              <w:t xml:space="preserve"> </w:t>
            </w:r>
            <w:r>
              <w:rPr>
                <w:sz w:val="25"/>
                <w:szCs w:val="25"/>
                <w:spacing w:val="1"/>
              </w:rPr>
              <w:t>后果。</w:t>
            </w:r>
          </w:p>
        </w:tc>
        <w:tc>
          <w:tcPr>
            <w:tcW w:w="4941" w:type="dxa"/>
            <w:vAlign w:val="top"/>
          </w:tcPr>
          <w:p>
            <w:pPr>
              <w:spacing w:line="403" w:lineRule="auto"/>
              <w:rPr>
                <w:rFonts w:ascii="Arial"/>
                <w:sz w:val="21"/>
              </w:rPr>
            </w:pPr>
            <w:r/>
          </w:p>
          <w:p>
            <w:pPr>
              <w:pStyle w:val="TableText"/>
              <w:ind w:left="105" w:hanging="89"/>
              <w:spacing w:before="81" w:line="334" w:lineRule="auto"/>
              <w:rPr>
                <w:sz w:val="25"/>
                <w:szCs w:val="25"/>
              </w:rPr>
            </w:pPr>
            <w:r>
              <w:rPr>
                <w:sz w:val="25"/>
                <w:szCs w:val="25"/>
                <w:spacing w:val="-5"/>
              </w:rPr>
              <w:t>有许可证件的，并由原发证部门吊销有关许可</w:t>
            </w:r>
            <w:r>
              <w:rPr>
                <w:sz w:val="25"/>
                <w:szCs w:val="25"/>
                <w:spacing w:val="13"/>
              </w:rPr>
              <w:t xml:space="preserve"> </w:t>
            </w:r>
            <w:r>
              <w:rPr>
                <w:sz w:val="25"/>
                <w:szCs w:val="25"/>
                <w:spacing w:val="-2"/>
              </w:rPr>
              <w:t>证件。</w:t>
            </w:r>
          </w:p>
        </w:tc>
      </w:tr>
    </w:tbl>
    <w:p>
      <w:pPr>
        <w:pStyle w:val="BodyText"/>
        <w:spacing w:line="437" w:lineRule="auto"/>
        <w:rPr/>
      </w:pPr>
      <w:r/>
    </w:p>
    <w:p>
      <w:pPr>
        <w:ind w:left="669"/>
        <w:spacing w:before="97" w:line="220" w:lineRule="auto"/>
        <w:rPr>
          <w:rFonts w:ascii="FangSong" w:hAnsi="FangSong" w:eastAsia="FangSong" w:cs="FangSong"/>
          <w:sz w:val="30"/>
          <w:szCs w:val="30"/>
        </w:rPr>
      </w:pPr>
      <w:r>
        <w:rPr>
          <w:rFonts w:ascii="FangSong" w:hAnsi="FangSong" w:eastAsia="FangSong" w:cs="FangSong"/>
          <w:sz w:val="30"/>
          <w:szCs w:val="30"/>
          <w:b/>
          <w:bCs/>
          <w:spacing w:val="17"/>
        </w:rPr>
        <w:t>第一百二十四条</w:t>
      </w:r>
      <w:r>
        <w:rPr>
          <w:rFonts w:ascii="FangSong" w:hAnsi="FangSong" w:eastAsia="FangSong" w:cs="FangSong"/>
          <w:sz w:val="30"/>
          <w:szCs w:val="30"/>
          <w:spacing w:val="17"/>
        </w:rPr>
        <w:t xml:space="preserve">  </w:t>
      </w:r>
      <w:r>
        <w:rPr>
          <w:rFonts w:ascii="FangSong" w:hAnsi="FangSong" w:eastAsia="FangSong" w:cs="FangSong"/>
          <w:sz w:val="30"/>
          <w:szCs w:val="30"/>
          <w:b/>
          <w:bCs/>
          <w:spacing w:val="17"/>
        </w:rPr>
        <w:t>实验室工作人员出现该实验室从事</w:t>
      </w:r>
      <w:r>
        <w:rPr>
          <w:rFonts w:ascii="FangSong" w:hAnsi="FangSong" w:eastAsia="FangSong" w:cs="FangSong"/>
          <w:sz w:val="30"/>
          <w:szCs w:val="30"/>
          <w:b/>
          <w:bCs/>
          <w:spacing w:val="16"/>
        </w:rPr>
        <w:t>的病原微生物相关实验活动有关的感染临</w:t>
      </w:r>
    </w:p>
    <w:p>
      <w:pPr>
        <w:ind w:left="25"/>
        <w:spacing w:before="86" w:line="220" w:lineRule="auto"/>
        <w:rPr>
          <w:rFonts w:ascii="FangSong" w:hAnsi="FangSong" w:eastAsia="FangSong" w:cs="FangSong"/>
          <w:sz w:val="30"/>
          <w:szCs w:val="30"/>
        </w:rPr>
      </w:pPr>
      <w:r>
        <w:rPr>
          <w:rFonts w:ascii="FangSong" w:hAnsi="FangSong" w:eastAsia="FangSong" w:cs="FangSong"/>
          <w:sz w:val="30"/>
          <w:szCs w:val="30"/>
          <w:spacing w:val="20"/>
        </w:rPr>
        <w:t>床症状或者体征，以及实验室发生高致病性病原微生物泄漏时，实验室负责人、实验室工作人员、</w:t>
      </w:r>
    </w:p>
    <w:p>
      <w:pPr>
        <w:ind w:left="29"/>
        <w:spacing w:before="79" w:line="222" w:lineRule="auto"/>
        <w:rPr>
          <w:rFonts w:ascii="FangSong" w:hAnsi="FangSong" w:eastAsia="FangSong" w:cs="FangSong"/>
          <w:sz w:val="30"/>
          <w:szCs w:val="30"/>
        </w:rPr>
      </w:pPr>
      <w:r>
        <w:rPr>
          <w:rFonts w:ascii="FangSong" w:hAnsi="FangSong" w:eastAsia="FangSong" w:cs="FangSong"/>
          <w:sz w:val="30"/>
          <w:szCs w:val="30"/>
          <w:b/>
          <w:bCs/>
          <w:spacing w:val="17"/>
        </w:rPr>
        <w:t>负责实验室感染控制的专门机构或者人员未依照规定报告的，或者未依照规定采取控制措施的</w:t>
      </w:r>
    </w:p>
    <w:p>
      <w:pPr>
        <w:ind w:left="644"/>
        <w:spacing w:before="86"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firstLine="629"/>
        <w:spacing w:before="93" w:line="271" w:lineRule="auto"/>
        <w:jc w:val="both"/>
        <w:rPr>
          <w:rFonts w:ascii="FangSong" w:hAnsi="FangSong" w:eastAsia="FangSong" w:cs="FangSong"/>
          <w:sz w:val="30"/>
          <w:szCs w:val="30"/>
        </w:rPr>
      </w:pPr>
      <w:r>
        <w:rPr>
          <w:rFonts w:ascii="FangSong" w:hAnsi="FangSong" w:eastAsia="FangSong" w:cs="FangSong"/>
          <w:sz w:val="30"/>
          <w:szCs w:val="30"/>
          <w:spacing w:val="14"/>
        </w:rPr>
        <w:t>《病原微生物实验室生物安全管理条例》第六十五条</w:t>
      </w:r>
      <w:r>
        <w:rPr>
          <w:rFonts w:ascii="FangSong" w:hAnsi="FangSong" w:eastAsia="FangSong" w:cs="FangSong"/>
          <w:sz w:val="30"/>
          <w:szCs w:val="30"/>
          <w:spacing w:val="60"/>
        </w:rPr>
        <w:t xml:space="preserve">  </w:t>
      </w:r>
      <w:r>
        <w:rPr>
          <w:rFonts w:ascii="FangSong" w:hAnsi="FangSong" w:eastAsia="FangSong" w:cs="FangSong"/>
          <w:sz w:val="30"/>
          <w:szCs w:val="30"/>
          <w:spacing w:val="14"/>
        </w:rPr>
        <w:t>实验室工作人员出现该实验室从事</w:t>
      </w:r>
      <w:r>
        <w:rPr>
          <w:rFonts w:ascii="FangSong" w:hAnsi="FangSong" w:eastAsia="FangSong" w:cs="FangSong"/>
          <w:sz w:val="30"/>
          <w:szCs w:val="30"/>
          <w:spacing w:val="13"/>
        </w:rPr>
        <w:t>的病原</w:t>
      </w:r>
      <w:r>
        <w:rPr>
          <w:rFonts w:ascii="FangSong" w:hAnsi="FangSong" w:eastAsia="FangSong" w:cs="FangSong"/>
          <w:sz w:val="30"/>
          <w:szCs w:val="30"/>
        </w:rPr>
        <w:t xml:space="preserve"> </w:t>
      </w:r>
      <w:r>
        <w:rPr>
          <w:rFonts w:ascii="FangSong" w:hAnsi="FangSong" w:eastAsia="FangSong" w:cs="FangSong"/>
          <w:sz w:val="30"/>
          <w:szCs w:val="30"/>
          <w:spacing w:val="17"/>
        </w:rPr>
        <w:t>微生物相关实验活动有关的感染临床症状或者体征，以及实验室发生高致</w:t>
      </w:r>
      <w:r>
        <w:rPr>
          <w:rFonts w:ascii="FangSong" w:hAnsi="FangSong" w:eastAsia="FangSong" w:cs="FangSong"/>
          <w:sz w:val="30"/>
          <w:szCs w:val="30"/>
          <w:spacing w:val="16"/>
        </w:rPr>
        <w:t>病性病原微生物泄漏时，实</w:t>
      </w:r>
      <w:r>
        <w:rPr>
          <w:rFonts w:ascii="FangSong" w:hAnsi="FangSong" w:eastAsia="FangSong" w:cs="FangSong"/>
          <w:sz w:val="30"/>
          <w:szCs w:val="30"/>
        </w:rPr>
        <w:t xml:space="preserve"> </w:t>
      </w:r>
      <w:r>
        <w:rPr>
          <w:rFonts w:ascii="FangSong" w:hAnsi="FangSong" w:eastAsia="FangSong" w:cs="FangSong"/>
          <w:sz w:val="30"/>
          <w:szCs w:val="30"/>
          <w:spacing w:val="17"/>
        </w:rPr>
        <w:t>验室负责人、实验室工作人员、负责实验室感染控制的专门</w:t>
      </w:r>
      <w:r>
        <w:rPr>
          <w:rFonts w:ascii="FangSong" w:hAnsi="FangSong" w:eastAsia="FangSong" w:cs="FangSong"/>
          <w:sz w:val="30"/>
          <w:szCs w:val="30"/>
          <w:spacing w:val="16"/>
        </w:rPr>
        <w:t>机构或者人员未依照规定报告，或者未依</w:t>
      </w:r>
    </w:p>
    <w:p>
      <w:pPr>
        <w:spacing w:line="271" w:lineRule="auto"/>
        <w:sectPr>
          <w:footerReference w:type="default" r:id="rId199"/>
          <w:pgSz w:w="16830" w:h="11900"/>
          <w:pgMar w:top="1011" w:right="1442" w:bottom="1110" w:left="1425" w:header="0" w:footer="767" w:gutter="0"/>
        </w:sectPr>
        <w:rPr>
          <w:rFonts w:ascii="FangSong" w:hAnsi="FangSong" w:eastAsia="FangSong" w:cs="FangSong"/>
          <w:sz w:val="30"/>
          <w:szCs w:val="30"/>
        </w:rPr>
      </w:pPr>
    </w:p>
    <w:p>
      <w:pPr>
        <w:pStyle w:val="BodyText"/>
        <w:spacing w:line="265" w:lineRule="auto"/>
        <w:rPr/>
      </w:pPr>
      <w:r/>
    </w:p>
    <w:p>
      <w:pPr>
        <w:pStyle w:val="BodyText"/>
        <w:spacing w:line="265" w:lineRule="auto"/>
        <w:rPr/>
      </w:pPr>
      <w:r/>
    </w:p>
    <w:p>
      <w:pPr>
        <w:pStyle w:val="BodyText"/>
        <w:spacing w:line="265" w:lineRule="auto"/>
        <w:rPr/>
      </w:pPr>
      <w:r/>
    </w:p>
    <w:p>
      <w:pPr>
        <w:ind w:left="35"/>
        <w:spacing w:before="98" w:line="269" w:lineRule="auto"/>
        <w:jc w:val="both"/>
        <w:rPr>
          <w:rFonts w:ascii="FangSong" w:hAnsi="FangSong" w:eastAsia="FangSong" w:cs="FangSong"/>
          <w:sz w:val="30"/>
          <w:szCs w:val="30"/>
        </w:rPr>
      </w:pPr>
      <w:r>
        <w:rPr>
          <w:rFonts w:ascii="FangSong" w:hAnsi="FangSong" w:eastAsia="FangSong" w:cs="FangSong"/>
          <w:sz w:val="30"/>
          <w:szCs w:val="30"/>
          <w:spacing w:val="17"/>
        </w:rPr>
        <w:t>照规定采取控制措施的，由县级以上地方人民政府卫生主管部门、兽医主管</w:t>
      </w:r>
      <w:r>
        <w:rPr>
          <w:rFonts w:ascii="FangSong" w:hAnsi="FangSong" w:eastAsia="FangSong" w:cs="FangSong"/>
          <w:sz w:val="30"/>
          <w:szCs w:val="30"/>
          <w:spacing w:val="16"/>
        </w:rPr>
        <w:t>部门依照各自职责，责令</w:t>
      </w:r>
      <w:r>
        <w:rPr>
          <w:rFonts w:ascii="FangSong" w:hAnsi="FangSong" w:eastAsia="FangSong" w:cs="FangSong"/>
          <w:sz w:val="30"/>
          <w:szCs w:val="30"/>
        </w:rPr>
        <w:t xml:space="preserve"> </w:t>
      </w:r>
      <w:r>
        <w:rPr>
          <w:rFonts w:ascii="FangSong" w:hAnsi="FangSong" w:eastAsia="FangSong" w:cs="FangSong"/>
          <w:sz w:val="30"/>
          <w:szCs w:val="30"/>
          <w:spacing w:val="16"/>
        </w:rPr>
        <w:t>限期改正，给予警告；造成传染病传播、流行或者其他严重后果的，由其设立单位对实验室主要负责</w:t>
      </w:r>
      <w:r>
        <w:rPr>
          <w:rFonts w:ascii="FangSong" w:hAnsi="FangSong" w:eastAsia="FangSong" w:cs="FangSong"/>
          <w:sz w:val="30"/>
          <w:szCs w:val="30"/>
          <w:spacing w:val="1"/>
        </w:rPr>
        <w:t xml:space="preserve"> </w:t>
      </w:r>
      <w:r>
        <w:rPr>
          <w:rFonts w:ascii="FangSong" w:hAnsi="FangSong" w:eastAsia="FangSong" w:cs="FangSong"/>
          <w:sz w:val="30"/>
          <w:szCs w:val="30"/>
          <w:spacing w:val="17"/>
        </w:rPr>
        <w:t>人、直接负责的主管人员和其他直接责任人员，依法给予撤职</w:t>
      </w:r>
      <w:r>
        <w:rPr>
          <w:rFonts w:ascii="FangSong" w:hAnsi="FangSong" w:eastAsia="FangSong" w:cs="FangSong"/>
          <w:sz w:val="30"/>
          <w:szCs w:val="30"/>
          <w:spacing w:val="16"/>
        </w:rPr>
        <w:t>、开除的处分；有许可证件的，并由原</w:t>
      </w:r>
      <w:r>
        <w:rPr>
          <w:rFonts w:ascii="FangSong" w:hAnsi="FangSong" w:eastAsia="FangSong" w:cs="FangSong"/>
          <w:sz w:val="30"/>
          <w:szCs w:val="30"/>
        </w:rPr>
        <w:t xml:space="preserve"> </w:t>
      </w:r>
      <w:r>
        <w:rPr>
          <w:rFonts w:ascii="FangSong" w:hAnsi="FangSong" w:eastAsia="FangSong" w:cs="FangSong"/>
          <w:sz w:val="30"/>
          <w:szCs w:val="30"/>
          <w:spacing w:val="17"/>
        </w:rPr>
        <w:t>发证部门吊销有关许可证件；构成犯罪的，依法追究刑事责任。</w:t>
      </w:r>
    </w:p>
    <w:p>
      <w:pPr>
        <w:ind w:left="6719"/>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9793"/>
        <w:gridCol w:w="2713"/>
      </w:tblGrid>
      <w:tr>
        <w:trPr>
          <w:trHeight w:val="833" w:hRule="atLeast"/>
        </w:trPr>
        <w:tc>
          <w:tcPr>
            <w:tcW w:w="1434" w:type="dxa"/>
            <w:vAlign w:val="top"/>
          </w:tcPr>
          <w:p>
            <w:pPr>
              <w:pStyle w:val="TableText"/>
              <w:ind w:left="128"/>
              <w:spacing w:before="30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9793" w:type="dxa"/>
            <w:vAlign w:val="top"/>
          </w:tcPr>
          <w:p>
            <w:pPr>
              <w:pStyle w:val="TableText"/>
              <w:ind w:left="4324"/>
              <w:spacing w:before="302" w:line="220" w:lineRule="auto"/>
              <w:rPr/>
            </w:pPr>
            <w:r>
              <w:rPr>
                <w:b/>
                <w:bCs/>
                <w:spacing w:val="-5"/>
              </w:rPr>
              <w:t>情节后果</w:t>
            </w:r>
          </w:p>
        </w:tc>
        <w:tc>
          <w:tcPr>
            <w:tcW w:w="2713" w:type="dxa"/>
            <w:vAlign w:val="top"/>
          </w:tcPr>
          <w:p>
            <w:pPr>
              <w:pStyle w:val="TableText"/>
              <w:ind w:left="871"/>
              <w:spacing w:before="299" w:line="218" w:lineRule="auto"/>
              <w:rPr/>
            </w:pPr>
            <w:r>
              <w:rPr>
                <w:b/>
                <w:bCs/>
                <w:spacing w:val="-5"/>
              </w:rPr>
              <w:t>裁量幅度</w:t>
            </w:r>
          </w:p>
        </w:tc>
      </w:tr>
      <w:tr>
        <w:trPr>
          <w:trHeight w:val="1586" w:hRule="atLeast"/>
        </w:trPr>
        <w:tc>
          <w:tcPr>
            <w:tcW w:w="1434" w:type="dxa"/>
            <w:vAlign w:val="top"/>
          </w:tcPr>
          <w:p>
            <w:pPr>
              <w:spacing w:line="299" w:lineRule="auto"/>
              <w:rPr>
                <w:rFonts w:ascii="Arial"/>
                <w:sz w:val="21"/>
              </w:rPr>
            </w:pPr>
            <w:r/>
          </w:p>
          <w:p>
            <w:pPr>
              <w:spacing w:line="299" w:lineRule="auto"/>
              <w:rPr>
                <w:rFonts w:ascii="Arial"/>
                <w:sz w:val="21"/>
              </w:rPr>
            </w:pPr>
            <w:r/>
          </w:p>
          <w:p>
            <w:pPr>
              <w:pStyle w:val="TableText"/>
              <w:ind w:left="468"/>
              <w:spacing w:before="78" w:line="221" w:lineRule="auto"/>
              <w:rPr/>
            </w:pPr>
            <w:r>
              <w:rPr>
                <w:b/>
                <w:bCs/>
                <w:spacing w:val="-10"/>
              </w:rPr>
              <w:t>一般</w:t>
            </w:r>
          </w:p>
        </w:tc>
        <w:tc>
          <w:tcPr>
            <w:tcW w:w="9793" w:type="dxa"/>
            <w:vAlign w:val="top"/>
          </w:tcPr>
          <w:p>
            <w:pPr>
              <w:pStyle w:val="TableText"/>
              <w:ind w:left="111"/>
              <w:spacing w:before="282" w:line="219" w:lineRule="auto"/>
              <w:rPr/>
            </w:pPr>
            <w:r>
              <w:rPr/>
              <w:t>实验室工作人员出现该实验室从事的病原微生物相关实验活动有关的感染临床症状或者体</w:t>
            </w:r>
          </w:p>
          <w:p>
            <w:pPr>
              <w:pStyle w:val="TableText"/>
              <w:ind w:left="111" w:right="80" w:hanging="20"/>
              <w:spacing w:before="164" w:line="325" w:lineRule="auto"/>
              <w:rPr/>
            </w:pPr>
            <w:r>
              <w:rPr/>
              <w:t>征，以及实验室发生高致病性病原微生物泄漏时，实验室负责人、实验室工作人员、负责实</w:t>
            </w:r>
            <w:r>
              <w:rPr>
                <w:spacing w:val="10"/>
              </w:rPr>
              <w:t xml:space="preserve"> </w:t>
            </w:r>
            <w:r>
              <w:rPr/>
              <w:t>验室感染控制的专门机构或者人员未依照规定报告，或者未依照规定采取控制措</w:t>
            </w:r>
            <w:r>
              <w:rPr>
                <w:spacing w:val="-1"/>
              </w:rPr>
              <w:t>施。</w:t>
            </w:r>
          </w:p>
        </w:tc>
        <w:tc>
          <w:tcPr>
            <w:tcW w:w="2713" w:type="dxa"/>
            <w:vAlign w:val="top"/>
          </w:tcPr>
          <w:p>
            <w:pPr>
              <w:spacing w:line="299" w:lineRule="auto"/>
              <w:rPr>
                <w:rFonts w:ascii="Arial"/>
                <w:sz w:val="21"/>
              </w:rPr>
            </w:pPr>
            <w:r/>
          </w:p>
          <w:p>
            <w:pPr>
              <w:spacing w:line="299" w:lineRule="auto"/>
              <w:rPr>
                <w:rFonts w:ascii="Arial"/>
                <w:sz w:val="21"/>
              </w:rPr>
            </w:pPr>
            <w:r/>
          </w:p>
          <w:p>
            <w:pPr>
              <w:pStyle w:val="TableText"/>
              <w:ind w:left="98"/>
              <w:spacing w:before="78" w:line="218" w:lineRule="auto"/>
              <w:rPr/>
            </w:pPr>
            <w:r>
              <w:rPr/>
              <w:t>给予警告。</w:t>
            </w:r>
          </w:p>
        </w:tc>
      </w:tr>
      <w:tr>
        <w:trPr>
          <w:trHeight w:val="1791" w:hRule="atLeast"/>
        </w:trPr>
        <w:tc>
          <w:tcPr>
            <w:tcW w:w="1434" w:type="dxa"/>
            <w:vAlign w:val="top"/>
          </w:tcPr>
          <w:p>
            <w:pPr>
              <w:spacing w:line="350" w:lineRule="auto"/>
              <w:rPr>
                <w:rFonts w:ascii="Arial"/>
                <w:sz w:val="21"/>
              </w:rPr>
            </w:pPr>
            <w:r/>
          </w:p>
          <w:p>
            <w:pPr>
              <w:spacing w:line="350" w:lineRule="auto"/>
              <w:rPr>
                <w:rFonts w:ascii="Arial"/>
                <w:sz w:val="21"/>
              </w:rPr>
            </w:pPr>
            <w:r/>
          </w:p>
          <w:p>
            <w:pPr>
              <w:pStyle w:val="TableText"/>
              <w:ind w:left="468"/>
              <w:spacing w:before="78" w:line="220" w:lineRule="auto"/>
              <w:rPr/>
            </w:pPr>
            <w:r>
              <w:rPr>
                <w:b/>
                <w:bCs/>
                <w:spacing w:val="-6"/>
              </w:rPr>
              <w:t>严重</w:t>
            </w:r>
          </w:p>
        </w:tc>
        <w:tc>
          <w:tcPr>
            <w:tcW w:w="9793" w:type="dxa"/>
            <w:vAlign w:val="top"/>
          </w:tcPr>
          <w:p>
            <w:pPr>
              <w:pStyle w:val="TableText"/>
              <w:ind w:left="111"/>
              <w:spacing w:before="156" w:line="219" w:lineRule="auto"/>
              <w:rPr/>
            </w:pPr>
            <w:r>
              <w:rPr/>
              <w:t>实验室工作人员出现该实验室从事的病原微生物相关实验活动有关的感染临床症状或者体</w:t>
            </w:r>
          </w:p>
          <w:p>
            <w:pPr>
              <w:pStyle w:val="TableText"/>
              <w:ind w:left="111" w:right="60" w:hanging="20"/>
              <w:spacing w:before="154" w:line="304" w:lineRule="auto"/>
              <w:rPr/>
            </w:pPr>
            <w:r>
              <w:rPr/>
              <w:t>征，以及实验室发生高致病性病原微生物泄漏时，实验室负责人、实验室工作人员、负责实</w:t>
            </w:r>
            <w:r>
              <w:rPr>
                <w:spacing w:val="10"/>
              </w:rPr>
              <w:t xml:space="preserve"> </w:t>
            </w:r>
            <w:r>
              <w:rPr/>
              <w:t>验室感染控制的专门机构或者人员未依照规定报告，或者未依照规定采取控制措施，造成传</w:t>
            </w:r>
            <w:r>
              <w:rPr>
                <w:spacing w:val="10"/>
              </w:rPr>
              <w:t xml:space="preserve"> </w:t>
            </w:r>
            <w:r>
              <w:rPr/>
              <w:t>染病传播、流行或者其他严重后果。</w:t>
            </w:r>
          </w:p>
        </w:tc>
        <w:tc>
          <w:tcPr>
            <w:tcW w:w="2713" w:type="dxa"/>
            <w:vAlign w:val="top"/>
          </w:tcPr>
          <w:p>
            <w:pPr>
              <w:spacing w:line="295" w:lineRule="auto"/>
              <w:rPr>
                <w:rFonts w:ascii="Arial"/>
                <w:sz w:val="21"/>
              </w:rPr>
            </w:pPr>
            <w:r/>
          </w:p>
          <w:p>
            <w:pPr>
              <w:pStyle w:val="TableText"/>
              <w:ind w:left="98" w:right="135" w:firstLine="49"/>
              <w:spacing w:before="78" w:line="340" w:lineRule="auto"/>
              <w:jc w:val="both"/>
              <w:rPr/>
            </w:pPr>
            <w:r>
              <w:rPr>
                <w:spacing w:val="1"/>
              </w:rPr>
              <w:t>有许可证件的，并由原</w:t>
            </w:r>
            <w:r>
              <w:rPr>
                <w:spacing w:val="8"/>
              </w:rPr>
              <w:t xml:space="preserve"> </w:t>
            </w:r>
            <w:r>
              <w:rPr>
                <w:spacing w:val="6"/>
              </w:rPr>
              <w:t>发证部门吊销有关许可</w:t>
            </w:r>
            <w:r>
              <w:rPr/>
              <w:t xml:space="preserve"> </w:t>
            </w:r>
            <w:r>
              <w:rPr/>
              <w:t>证件。</w:t>
            </w:r>
          </w:p>
        </w:tc>
      </w:tr>
    </w:tbl>
    <w:p>
      <w:pPr>
        <w:pStyle w:val="BodyText"/>
        <w:spacing w:line="438" w:lineRule="auto"/>
        <w:rPr/>
      </w:pPr>
      <w:r/>
    </w:p>
    <w:p>
      <w:pPr>
        <w:ind w:left="39" w:right="183" w:firstLine="649"/>
        <w:spacing w:before="97" w:line="263" w:lineRule="auto"/>
        <w:rPr>
          <w:rFonts w:ascii="FangSong" w:hAnsi="FangSong" w:eastAsia="FangSong" w:cs="FangSong"/>
          <w:sz w:val="30"/>
          <w:szCs w:val="30"/>
        </w:rPr>
      </w:pPr>
      <w:r>
        <w:rPr>
          <w:rFonts w:ascii="FangSong" w:hAnsi="FangSong" w:eastAsia="FangSong" w:cs="FangSong"/>
          <w:sz w:val="30"/>
          <w:szCs w:val="30"/>
          <w:b/>
          <w:bCs/>
          <w:spacing w:val="16"/>
        </w:rPr>
        <w:t>第一百二十五条</w:t>
      </w:r>
      <w:r>
        <w:rPr>
          <w:rFonts w:ascii="FangSong" w:hAnsi="FangSong" w:eastAsia="FangSong" w:cs="FangSong"/>
          <w:sz w:val="30"/>
          <w:szCs w:val="30"/>
          <w:spacing w:val="16"/>
        </w:rPr>
        <w:t xml:space="preserve">  </w:t>
      </w:r>
      <w:r>
        <w:rPr>
          <w:rFonts w:ascii="FangSong" w:hAnsi="FangSong" w:eastAsia="FangSong" w:cs="FangSong"/>
          <w:sz w:val="30"/>
          <w:szCs w:val="30"/>
          <w:b/>
          <w:bCs/>
          <w:spacing w:val="16"/>
        </w:rPr>
        <w:t>拒绝接受卫生主管部门依法开展有关高致病性病原微生物扩散的调查取证、</w:t>
      </w:r>
      <w:r>
        <w:rPr>
          <w:rFonts w:ascii="FangSong" w:hAnsi="FangSong" w:eastAsia="FangSong" w:cs="FangSong"/>
          <w:sz w:val="30"/>
          <w:szCs w:val="30"/>
          <w:spacing w:val="2"/>
        </w:rPr>
        <w:t xml:space="preserve"> </w:t>
      </w:r>
      <w:r>
        <w:rPr>
          <w:rFonts w:ascii="FangSong" w:hAnsi="FangSong" w:eastAsia="FangSong" w:cs="FangSong"/>
          <w:sz w:val="30"/>
          <w:szCs w:val="30"/>
          <w:b/>
          <w:bCs/>
          <w:spacing w:val="17"/>
        </w:rPr>
        <w:t>采集样品等活动或者依照本条例规定采取有关预防、控制措施的</w:t>
      </w:r>
    </w:p>
    <w:p>
      <w:pPr>
        <w:ind w:left="675"/>
        <w:spacing w:before="12" w:line="222" w:lineRule="auto"/>
        <w:rPr>
          <w:rFonts w:ascii="FangSong" w:hAnsi="FangSong" w:eastAsia="FangSong" w:cs="FangSong"/>
          <w:sz w:val="30"/>
          <w:szCs w:val="30"/>
        </w:rPr>
      </w:pPr>
      <w:r>
        <w:rPr>
          <w:rFonts w:ascii="FangSong" w:hAnsi="FangSong" w:eastAsia="FangSong" w:cs="FangSong"/>
          <w:sz w:val="30"/>
          <w:szCs w:val="30"/>
        </w:rPr>
        <w:t>法律依据：</w:t>
      </w:r>
    </w:p>
    <w:p>
      <w:pPr>
        <w:spacing w:line="222" w:lineRule="auto"/>
        <w:sectPr>
          <w:footerReference w:type="default" r:id="rId200"/>
          <w:pgSz w:w="16830" w:h="11900"/>
          <w:pgMar w:top="1011" w:right="1441" w:bottom="1107" w:left="1414" w:header="0" w:footer="774" w:gutter="0"/>
        </w:sectPr>
        <w:rPr>
          <w:rFonts w:ascii="FangSong" w:hAnsi="FangSong" w:eastAsia="FangSong" w:cs="FangSong"/>
          <w:sz w:val="30"/>
          <w:szCs w:val="30"/>
        </w:rPr>
      </w:pPr>
    </w:p>
    <w:p>
      <w:pPr>
        <w:pStyle w:val="BodyText"/>
        <w:spacing w:line="264" w:lineRule="auto"/>
        <w:rPr/>
      </w:pPr>
      <w:r/>
    </w:p>
    <w:p>
      <w:pPr>
        <w:pStyle w:val="BodyText"/>
        <w:spacing w:line="264" w:lineRule="auto"/>
        <w:rPr/>
      </w:pPr>
      <w:r/>
    </w:p>
    <w:p>
      <w:pPr>
        <w:pStyle w:val="BodyText"/>
        <w:spacing w:line="265" w:lineRule="auto"/>
        <w:rPr/>
      </w:pPr>
      <w:r/>
    </w:p>
    <w:p>
      <w:pPr>
        <w:ind w:left="45" w:firstLine="640"/>
        <w:spacing w:before="97" w:line="270" w:lineRule="auto"/>
        <w:rPr>
          <w:rFonts w:ascii="FangSong" w:hAnsi="FangSong" w:eastAsia="FangSong" w:cs="FangSong"/>
          <w:sz w:val="30"/>
          <w:szCs w:val="30"/>
        </w:rPr>
      </w:pPr>
      <w:bookmarkStart w:name="bookmark855" w:id="183"/>
      <w:bookmarkEnd w:id="183"/>
      <w:r>
        <w:rPr>
          <w:rFonts w:ascii="FangSong" w:hAnsi="FangSong" w:eastAsia="FangSong" w:cs="FangSong"/>
          <w:sz w:val="30"/>
          <w:szCs w:val="30"/>
          <w:spacing w:val="17"/>
        </w:rPr>
        <w:t>《病原微生物实验室生物安全管理条例》第六十六</w:t>
      </w:r>
      <w:r>
        <w:rPr>
          <w:rFonts w:ascii="FangSong" w:hAnsi="FangSong" w:eastAsia="FangSong" w:cs="FangSong"/>
          <w:sz w:val="30"/>
          <w:szCs w:val="30"/>
          <w:spacing w:val="16"/>
        </w:rPr>
        <w:t>条</w:t>
      </w:r>
      <w:r>
        <w:rPr>
          <w:rFonts w:ascii="FangSong" w:hAnsi="FangSong" w:eastAsia="FangSong" w:cs="FangSong"/>
          <w:sz w:val="30"/>
          <w:szCs w:val="30"/>
          <w:spacing w:val="16"/>
        </w:rPr>
        <w:t xml:space="preserve">  </w:t>
      </w:r>
      <w:r>
        <w:rPr>
          <w:rFonts w:ascii="FangSong" w:hAnsi="FangSong" w:eastAsia="FangSong" w:cs="FangSong"/>
          <w:sz w:val="30"/>
          <w:szCs w:val="30"/>
          <w:spacing w:val="16"/>
        </w:rPr>
        <w:t>拒绝接受卫生主管部门、兽医主管部门依</w:t>
      </w:r>
      <w:r>
        <w:rPr>
          <w:rFonts w:ascii="FangSong" w:hAnsi="FangSong" w:eastAsia="FangSong" w:cs="FangSong"/>
          <w:sz w:val="30"/>
          <w:szCs w:val="30"/>
        </w:rPr>
        <w:t xml:space="preserve">  </w:t>
      </w:r>
      <w:r>
        <w:rPr>
          <w:rFonts w:ascii="FangSong" w:hAnsi="FangSong" w:eastAsia="FangSong" w:cs="FangSong"/>
          <w:sz w:val="30"/>
          <w:szCs w:val="30"/>
          <w:spacing w:val="16"/>
        </w:rPr>
        <w:t>法开展有关高致病性病原微生物扩散的调查取证、采集样品等活动或者依照本条例规定采取有关预</w:t>
      </w:r>
      <w:r>
        <w:rPr>
          <w:rFonts w:ascii="FangSong" w:hAnsi="FangSong" w:eastAsia="FangSong" w:cs="FangSong"/>
          <w:sz w:val="30"/>
          <w:szCs w:val="30"/>
          <w:spacing w:val="15"/>
        </w:rPr>
        <w:t>防、</w:t>
      </w:r>
      <w:r>
        <w:rPr>
          <w:rFonts w:ascii="FangSong" w:hAnsi="FangSong" w:eastAsia="FangSong" w:cs="FangSong"/>
          <w:sz w:val="30"/>
          <w:szCs w:val="30"/>
        </w:rPr>
        <w:t xml:space="preserve"> </w:t>
      </w:r>
      <w:r>
        <w:rPr>
          <w:rFonts w:ascii="FangSong" w:hAnsi="FangSong" w:eastAsia="FangSong" w:cs="FangSong"/>
          <w:sz w:val="30"/>
          <w:szCs w:val="30"/>
          <w:spacing w:val="12"/>
        </w:rPr>
        <w:t>控制措施的，由县级以上人民政府卫生主管部门、兽医主管部门依照各自职责，责令改正，给予警告；</w:t>
      </w:r>
      <w:r>
        <w:rPr>
          <w:rFonts w:ascii="FangSong" w:hAnsi="FangSong" w:eastAsia="FangSong" w:cs="FangSong"/>
          <w:sz w:val="30"/>
          <w:szCs w:val="30"/>
          <w:spacing w:val="4"/>
        </w:rPr>
        <w:t xml:space="preserve">  </w:t>
      </w:r>
      <w:r>
        <w:rPr>
          <w:rFonts w:ascii="FangSong" w:hAnsi="FangSong" w:eastAsia="FangSong" w:cs="FangSong"/>
          <w:sz w:val="30"/>
          <w:szCs w:val="30"/>
          <w:spacing w:val="17"/>
        </w:rPr>
        <w:t>造成传染病传播、流行以及其他严重后果的，由实验室</w:t>
      </w:r>
      <w:r>
        <w:rPr>
          <w:rFonts w:ascii="FangSong" w:hAnsi="FangSong" w:eastAsia="FangSong" w:cs="FangSong"/>
          <w:sz w:val="30"/>
          <w:szCs w:val="30"/>
          <w:spacing w:val="16"/>
        </w:rPr>
        <w:t>的设立单位对实验室主要负责人、直接负责的</w:t>
      </w:r>
      <w:r>
        <w:rPr>
          <w:rFonts w:ascii="FangSong" w:hAnsi="FangSong" w:eastAsia="FangSong" w:cs="FangSong"/>
          <w:sz w:val="30"/>
          <w:szCs w:val="30"/>
        </w:rPr>
        <w:t xml:space="preserve">   </w:t>
      </w:r>
      <w:r>
        <w:rPr>
          <w:rFonts w:ascii="FangSong" w:hAnsi="FangSong" w:eastAsia="FangSong" w:cs="FangSong"/>
          <w:sz w:val="30"/>
          <w:szCs w:val="30"/>
          <w:spacing w:val="17"/>
        </w:rPr>
        <w:t>主管人员和其他直接责任人员，依法给予降级、撤职、开</w:t>
      </w:r>
      <w:r>
        <w:rPr>
          <w:rFonts w:ascii="FangSong" w:hAnsi="FangSong" w:eastAsia="FangSong" w:cs="FangSong"/>
          <w:sz w:val="30"/>
          <w:szCs w:val="30"/>
          <w:spacing w:val="16"/>
        </w:rPr>
        <w:t>除的处分；有许可证件的，并由原发证部门</w:t>
      </w:r>
      <w:r>
        <w:rPr>
          <w:rFonts w:ascii="FangSong" w:hAnsi="FangSong" w:eastAsia="FangSong" w:cs="FangSong"/>
          <w:sz w:val="30"/>
          <w:szCs w:val="30"/>
        </w:rPr>
        <w:t xml:space="preserve">   </w:t>
      </w:r>
      <w:r>
        <w:rPr>
          <w:rFonts w:ascii="FangSong" w:hAnsi="FangSong" w:eastAsia="FangSong" w:cs="FangSong"/>
          <w:sz w:val="30"/>
          <w:szCs w:val="30"/>
          <w:spacing w:val="16"/>
        </w:rPr>
        <w:t>吊销有关许可证件；构成犯罪的，依法追究</w:t>
      </w:r>
      <w:r>
        <w:rPr>
          <w:rFonts w:ascii="FangSong" w:hAnsi="FangSong" w:eastAsia="FangSong" w:cs="FangSong"/>
          <w:sz w:val="30"/>
          <w:szCs w:val="30"/>
          <w:spacing w:val="15"/>
        </w:rPr>
        <w:t>刑事责任。</w:t>
      </w:r>
    </w:p>
    <w:p>
      <w:pPr>
        <w:ind w:left="6739"/>
        <w:spacing w:line="193" w:lineRule="auto"/>
        <w:rPr>
          <w:rFonts w:ascii="SimSun" w:hAnsi="SimSun" w:eastAsia="SimSun" w:cs="SimSun"/>
          <w:sz w:val="32"/>
          <w:szCs w:val="32"/>
        </w:rPr>
      </w:pPr>
      <w:r>
        <w:rPr>
          <w:rFonts w:ascii="SimSun" w:hAnsi="SimSun" w:eastAsia="SimSun" w:cs="SimSun"/>
          <w:sz w:val="32"/>
          <w:szCs w:val="32"/>
          <w:b/>
          <w:bCs/>
          <w:spacing w:val="-6"/>
        </w:rPr>
        <w:t>裁量标准</w:t>
      </w:r>
    </w:p>
    <w:tbl>
      <w:tblPr>
        <w:tblStyle w:val="TableNormal"/>
        <w:tblW w:w="139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84"/>
        <w:gridCol w:w="10992"/>
        <w:gridCol w:w="1994"/>
      </w:tblGrid>
      <w:tr>
        <w:trPr>
          <w:trHeight w:val="883" w:hRule="atLeast"/>
        </w:trPr>
        <w:tc>
          <w:tcPr>
            <w:tcW w:w="984" w:type="dxa"/>
            <w:vAlign w:val="top"/>
          </w:tcPr>
          <w:p>
            <w:pPr>
              <w:pStyle w:val="TableText"/>
              <w:ind w:left="248"/>
              <w:spacing w:before="88" w:line="225" w:lineRule="auto"/>
              <w:rPr/>
            </w:pPr>
            <w:r>
              <w:rPr>
                <w:b/>
                <w:bCs/>
                <w:spacing w:val="-5"/>
              </w:rPr>
              <w:t>违法</w:t>
            </w:r>
          </w:p>
          <w:p>
            <w:pPr>
              <w:pStyle w:val="TableText"/>
              <w:ind w:left="248"/>
              <w:spacing w:before="160" w:line="220" w:lineRule="auto"/>
              <w:rPr/>
            </w:pPr>
            <w:r>
              <w:rPr>
                <w:b/>
                <w:bCs/>
                <w:spacing w:val="-5"/>
              </w:rPr>
              <w:t>程度</w:t>
            </w:r>
          </w:p>
        </w:tc>
        <w:tc>
          <w:tcPr>
            <w:tcW w:w="10992" w:type="dxa"/>
            <w:vAlign w:val="top"/>
          </w:tcPr>
          <w:p>
            <w:pPr>
              <w:spacing w:line="242" w:lineRule="auto"/>
              <w:rPr>
                <w:rFonts w:ascii="Arial"/>
                <w:sz w:val="21"/>
              </w:rPr>
            </w:pPr>
            <w:r/>
          </w:p>
          <w:p>
            <w:pPr>
              <w:pStyle w:val="TableText"/>
              <w:ind w:left="5014"/>
              <w:spacing w:before="78" w:line="220" w:lineRule="auto"/>
              <w:rPr/>
            </w:pPr>
            <w:r>
              <w:rPr>
                <w:b/>
                <w:bCs/>
                <w:spacing w:val="-5"/>
              </w:rPr>
              <w:t>情节后果</w:t>
            </w:r>
          </w:p>
        </w:tc>
        <w:tc>
          <w:tcPr>
            <w:tcW w:w="1994" w:type="dxa"/>
            <w:vAlign w:val="top"/>
          </w:tcPr>
          <w:p>
            <w:pPr>
              <w:pStyle w:val="TableText"/>
              <w:ind w:left="432"/>
              <w:spacing w:before="31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087" w:hRule="atLeast"/>
        </w:trPr>
        <w:tc>
          <w:tcPr>
            <w:tcW w:w="984" w:type="dxa"/>
            <w:vAlign w:val="top"/>
          </w:tcPr>
          <w:p>
            <w:pPr>
              <w:spacing w:line="349" w:lineRule="auto"/>
              <w:rPr>
                <w:rFonts w:ascii="Arial"/>
                <w:sz w:val="21"/>
              </w:rPr>
            </w:pPr>
            <w:r/>
          </w:p>
          <w:p>
            <w:pPr>
              <w:pStyle w:val="TableText"/>
              <w:ind w:left="248"/>
              <w:spacing w:before="78" w:line="221" w:lineRule="auto"/>
              <w:rPr/>
            </w:pPr>
            <w:r>
              <w:rPr>
                <w:b/>
                <w:bCs/>
                <w:spacing w:val="-10"/>
              </w:rPr>
              <w:t>一般</w:t>
            </w:r>
          </w:p>
        </w:tc>
        <w:tc>
          <w:tcPr>
            <w:tcW w:w="10992" w:type="dxa"/>
            <w:vAlign w:val="top"/>
          </w:tcPr>
          <w:p>
            <w:pPr>
              <w:pStyle w:val="TableText"/>
              <w:ind w:left="100" w:right="99" w:hanging="9"/>
              <w:spacing w:before="250" w:line="318" w:lineRule="auto"/>
              <w:rPr/>
            </w:pPr>
            <w:r>
              <w:rPr/>
              <w:t>拒绝接受卫生主管部门、兽医主管部门依法开展有关高致病性病原微生物扩散的</w:t>
            </w:r>
            <w:r>
              <w:rPr>
                <w:spacing w:val="-1"/>
              </w:rPr>
              <w:t>调查取证、采集样品等</w:t>
            </w:r>
            <w:r>
              <w:rPr/>
              <w:t xml:space="preserve"> </w:t>
            </w:r>
            <w:r>
              <w:rPr/>
              <w:t>活动或者依照本条例规定采取有关预防、控制措</w:t>
            </w:r>
            <w:r>
              <w:rPr>
                <w:spacing w:val="-1"/>
              </w:rPr>
              <w:t>施。</w:t>
            </w:r>
          </w:p>
        </w:tc>
        <w:tc>
          <w:tcPr>
            <w:tcW w:w="1994" w:type="dxa"/>
            <w:vAlign w:val="top"/>
          </w:tcPr>
          <w:p>
            <w:pPr>
              <w:spacing w:line="349" w:lineRule="auto"/>
              <w:rPr>
                <w:rFonts w:ascii="Arial"/>
                <w:sz w:val="21"/>
              </w:rPr>
            </w:pPr>
            <w:r/>
          </w:p>
          <w:p>
            <w:pPr>
              <w:pStyle w:val="TableText"/>
              <w:ind w:left="89"/>
              <w:spacing w:before="78" w:line="218" w:lineRule="auto"/>
              <w:rPr/>
            </w:pPr>
            <w:r>
              <w:rPr/>
              <w:t>给予警告。</w:t>
            </w:r>
          </w:p>
        </w:tc>
      </w:tr>
      <w:tr>
        <w:trPr>
          <w:trHeight w:val="1760" w:hRule="atLeast"/>
        </w:trPr>
        <w:tc>
          <w:tcPr>
            <w:tcW w:w="984" w:type="dxa"/>
            <w:vAlign w:val="top"/>
          </w:tcPr>
          <w:p>
            <w:pPr>
              <w:spacing w:line="340" w:lineRule="auto"/>
              <w:rPr>
                <w:rFonts w:ascii="Arial"/>
                <w:sz w:val="21"/>
              </w:rPr>
            </w:pPr>
            <w:r/>
          </w:p>
          <w:p>
            <w:pPr>
              <w:spacing w:line="340" w:lineRule="auto"/>
              <w:rPr>
                <w:rFonts w:ascii="Arial"/>
                <w:sz w:val="21"/>
              </w:rPr>
            </w:pPr>
            <w:r/>
          </w:p>
          <w:p>
            <w:pPr>
              <w:pStyle w:val="TableText"/>
              <w:ind w:left="248"/>
              <w:spacing w:before="78" w:line="220" w:lineRule="auto"/>
              <w:rPr/>
            </w:pPr>
            <w:r>
              <w:rPr>
                <w:b/>
                <w:bCs/>
                <w:spacing w:val="-6"/>
              </w:rPr>
              <w:t>严重</w:t>
            </w:r>
          </w:p>
        </w:tc>
        <w:tc>
          <w:tcPr>
            <w:tcW w:w="10992" w:type="dxa"/>
            <w:vAlign w:val="top"/>
          </w:tcPr>
          <w:p>
            <w:pPr>
              <w:spacing w:line="256" w:lineRule="auto"/>
              <w:rPr>
                <w:rFonts w:ascii="Arial"/>
                <w:sz w:val="21"/>
              </w:rPr>
            </w:pPr>
            <w:r/>
          </w:p>
          <w:p>
            <w:pPr>
              <w:spacing w:line="256" w:lineRule="auto"/>
              <w:rPr>
                <w:rFonts w:ascii="Arial"/>
                <w:sz w:val="21"/>
              </w:rPr>
            </w:pPr>
            <w:r/>
          </w:p>
          <w:p>
            <w:pPr>
              <w:pStyle w:val="TableText"/>
              <w:ind w:left="100" w:right="99" w:hanging="9"/>
              <w:spacing w:before="78" w:line="348" w:lineRule="auto"/>
              <w:rPr/>
            </w:pPr>
            <w:r>
              <w:rPr/>
              <w:t>拒绝接受卫生主管部门、兽医主管部门依法开展有关高致病性病原微生物扩散的</w:t>
            </w:r>
            <w:r>
              <w:rPr>
                <w:spacing w:val="-1"/>
              </w:rPr>
              <w:t>调查取证、采集样品等</w:t>
            </w:r>
            <w:r>
              <w:rPr/>
              <w:t xml:space="preserve"> </w:t>
            </w:r>
            <w:r>
              <w:rPr/>
              <w:t>活动或者依照本条例规定采取有关预防、控制措施，造成传染病传播、流行以及其他严重后果。</w:t>
            </w:r>
          </w:p>
        </w:tc>
        <w:tc>
          <w:tcPr>
            <w:tcW w:w="1994" w:type="dxa"/>
            <w:vAlign w:val="top"/>
          </w:tcPr>
          <w:p>
            <w:pPr>
              <w:pStyle w:val="TableText"/>
              <w:ind w:left="118" w:right="157" w:hanging="29"/>
              <w:spacing w:before="156" w:line="340" w:lineRule="auto"/>
              <w:jc w:val="both"/>
              <w:rPr/>
            </w:pPr>
            <w:r>
              <w:rPr/>
              <w:t>有许可证件的， </w:t>
            </w:r>
            <w:r>
              <w:rPr>
                <w:spacing w:val="3"/>
              </w:rPr>
              <w:t>并由原发证部门</w:t>
            </w:r>
            <w:r>
              <w:rPr>
                <w:spacing w:val="5"/>
              </w:rPr>
              <w:t xml:space="preserve"> </w:t>
            </w:r>
            <w:r>
              <w:rPr>
                <w:spacing w:val="2"/>
              </w:rPr>
              <w:t>吊销有关许可证</w:t>
            </w:r>
          </w:p>
          <w:p>
            <w:pPr>
              <w:pStyle w:val="TableText"/>
              <w:ind w:left="89"/>
              <w:spacing w:before="2" w:line="204" w:lineRule="auto"/>
              <w:rPr/>
            </w:pPr>
            <w:r>
              <w:rPr>
                <w:color w:val="606060"/>
              </w:rPr>
              <w:t>件。</w:t>
            </w:r>
          </w:p>
        </w:tc>
      </w:tr>
    </w:tbl>
    <w:p>
      <w:pPr>
        <w:ind w:left="49" w:right="578" w:firstLine="660"/>
        <w:spacing w:before="101" w:line="260" w:lineRule="auto"/>
        <w:rPr>
          <w:rFonts w:ascii="FangSong" w:hAnsi="FangSong" w:eastAsia="FangSong" w:cs="FangSong"/>
          <w:sz w:val="30"/>
          <w:szCs w:val="30"/>
        </w:rPr>
      </w:pPr>
      <w:r>
        <w:rPr>
          <w:rFonts w:ascii="SimSun" w:hAnsi="SimSun" w:eastAsia="SimSun" w:cs="SimSun"/>
          <w:sz w:val="32"/>
          <w:szCs w:val="32"/>
          <w:b/>
          <w:bCs/>
          <w:spacing w:val="-3"/>
        </w:rPr>
        <w:t>第一百二十六条</w:t>
      </w:r>
      <w:r>
        <w:rPr>
          <w:rFonts w:ascii="SimSun" w:hAnsi="SimSun" w:eastAsia="SimSun" w:cs="SimSun"/>
          <w:sz w:val="32"/>
          <w:szCs w:val="32"/>
          <w:spacing w:val="-3"/>
        </w:rPr>
        <w:t xml:space="preserve"> </w:t>
      </w:r>
      <w:r>
        <w:rPr>
          <w:rFonts w:ascii="SimSun" w:hAnsi="SimSun" w:eastAsia="SimSun" w:cs="SimSun"/>
          <w:sz w:val="32"/>
          <w:szCs w:val="32"/>
          <w:b/>
          <w:bCs/>
          <w:spacing w:val="-3"/>
        </w:rPr>
        <w:t>发生病原微生物被盗、被抢、丢失、泄露，承运单位、胡送人、保藏机构和</w:t>
      </w:r>
      <w:r>
        <w:rPr>
          <w:rFonts w:ascii="SimSun" w:hAnsi="SimSun" w:eastAsia="SimSun" w:cs="SimSun"/>
          <w:sz w:val="32"/>
          <w:szCs w:val="32"/>
          <w:spacing w:val="4"/>
        </w:rPr>
        <w:t xml:space="preserve"> </w:t>
      </w:r>
      <w:r>
        <w:rPr>
          <w:rFonts w:ascii="FangSong" w:hAnsi="FangSong" w:eastAsia="FangSong" w:cs="FangSong"/>
          <w:sz w:val="30"/>
          <w:szCs w:val="30"/>
          <w:b/>
          <w:bCs/>
          <w:spacing w:val="15"/>
        </w:rPr>
        <w:t>实验室的设立单位未依照本条例规定报告的</w:t>
      </w:r>
    </w:p>
    <w:p>
      <w:pPr>
        <w:ind w:left="695"/>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spacing w:line="222" w:lineRule="auto"/>
        <w:sectPr>
          <w:footerReference w:type="default" r:id="rId201"/>
          <w:pgSz w:w="16830" w:h="11900"/>
          <w:pgMar w:top="1011" w:right="1170" w:bottom="1110" w:left="1394" w:header="0" w:footer="794" w:gutter="0"/>
        </w:sectPr>
        <w:rPr>
          <w:rFonts w:ascii="FangSong" w:hAnsi="FangSong" w:eastAsia="FangSong" w:cs="FangSong"/>
          <w:sz w:val="30"/>
          <w:szCs w:val="30"/>
        </w:rPr>
      </w:pPr>
    </w:p>
    <w:p>
      <w:pPr>
        <w:pStyle w:val="BodyText"/>
        <w:spacing w:line="253" w:lineRule="auto"/>
        <w:rPr/>
      </w:pPr>
      <w:r/>
    </w:p>
    <w:p>
      <w:pPr>
        <w:pStyle w:val="BodyText"/>
        <w:spacing w:line="253" w:lineRule="auto"/>
        <w:rPr/>
      </w:pPr>
      <w:r/>
    </w:p>
    <w:p>
      <w:pPr>
        <w:pStyle w:val="BodyText"/>
        <w:spacing w:line="253" w:lineRule="auto"/>
        <w:rPr/>
      </w:pPr>
      <w:r/>
    </w:p>
    <w:p>
      <w:pPr>
        <w:ind w:left="14" w:firstLine="645"/>
        <w:spacing w:before="100" w:line="263" w:lineRule="auto"/>
        <w:jc w:val="both"/>
        <w:rPr>
          <w:rFonts w:ascii="FangSong" w:hAnsi="FangSong" w:eastAsia="FangSong" w:cs="FangSong"/>
          <w:sz w:val="31"/>
          <w:szCs w:val="31"/>
        </w:rPr>
      </w:pPr>
      <w:bookmarkStart w:name="bookmark856" w:id="184"/>
      <w:bookmarkEnd w:id="184"/>
      <w:r>
        <w:rPr>
          <w:rFonts w:ascii="FangSong" w:hAnsi="FangSong" w:eastAsia="FangSong" w:cs="FangSong"/>
          <w:sz w:val="31"/>
          <w:szCs w:val="31"/>
          <w:spacing w:val="10"/>
        </w:rPr>
        <w:t>《病原微生物实验室生物安全管理条例》第六</w:t>
      </w:r>
      <w:r>
        <w:rPr>
          <w:rFonts w:ascii="FangSong" w:hAnsi="FangSong" w:eastAsia="FangSong" w:cs="FangSong"/>
          <w:sz w:val="31"/>
          <w:szCs w:val="31"/>
          <w:spacing w:val="9"/>
        </w:rPr>
        <w:t>十七条发生病原微生物被盗、被抢、丢失、泄漏，</w:t>
      </w:r>
      <w:r>
        <w:rPr>
          <w:rFonts w:ascii="FangSong" w:hAnsi="FangSong" w:eastAsia="FangSong" w:cs="FangSong"/>
          <w:sz w:val="31"/>
          <w:szCs w:val="31"/>
        </w:rPr>
        <w:t xml:space="preserve"> </w:t>
      </w:r>
      <w:r>
        <w:rPr>
          <w:rFonts w:ascii="FangSong" w:hAnsi="FangSong" w:eastAsia="FangSong" w:cs="FangSong"/>
          <w:sz w:val="31"/>
          <w:szCs w:val="31"/>
          <w:spacing w:val="7"/>
        </w:rPr>
        <w:t>承运单位、护送人、保藏机构和实验室的设立单位未依照本条例的规定报告的，</w:t>
      </w:r>
      <w:r>
        <w:rPr>
          <w:rFonts w:ascii="FangSong" w:hAnsi="FangSong" w:eastAsia="FangSong" w:cs="FangSong"/>
          <w:sz w:val="31"/>
          <w:szCs w:val="31"/>
          <w:spacing w:val="6"/>
        </w:rPr>
        <w:t>由所在地的县级人民</w:t>
      </w:r>
      <w:r>
        <w:rPr>
          <w:rFonts w:ascii="FangSong" w:hAnsi="FangSong" w:eastAsia="FangSong" w:cs="FangSong"/>
          <w:sz w:val="31"/>
          <w:szCs w:val="31"/>
        </w:rPr>
        <w:t xml:space="preserve"> </w:t>
      </w:r>
      <w:r>
        <w:rPr>
          <w:rFonts w:ascii="FangSong" w:hAnsi="FangSong" w:eastAsia="FangSong" w:cs="FangSong"/>
          <w:sz w:val="31"/>
          <w:szCs w:val="31"/>
          <w:spacing w:val="7"/>
        </w:rPr>
        <w:t>政府卫生主管部门或者兽医主管部门给予警告；造成传</w:t>
      </w:r>
      <w:r>
        <w:rPr>
          <w:rFonts w:ascii="FangSong" w:hAnsi="FangSong" w:eastAsia="FangSong" w:cs="FangSong"/>
          <w:sz w:val="31"/>
          <w:szCs w:val="31"/>
          <w:spacing w:val="6"/>
        </w:rPr>
        <w:t>染病传播、流行或者其他严重后果的，由实验</w:t>
      </w:r>
      <w:r>
        <w:rPr>
          <w:rFonts w:ascii="FangSong" w:hAnsi="FangSong" w:eastAsia="FangSong" w:cs="FangSong"/>
          <w:sz w:val="31"/>
          <w:szCs w:val="31"/>
        </w:rPr>
        <w:t xml:space="preserve">  </w:t>
      </w:r>
      <w:r>
        <w:rPr>
          <w:rFonts w:ascii="FangSong" w:hAnsi="FangSong" w:eastAsia="FangSong" w:cs="FangSong"/>
          <w:sz w:val="31"/>
          <w:szCs w:val="31"/>
          <w:spacing w:val="7"/>
        </w:rPr>
        <w:t>室的设立单位或者承运单位、保藏机构的上级主管部门对主要负责人</w:t>
      </w:r>
      <w:r>
        <w:rPr>
          <w:rFonts w:ascii="FangSong" w:hAnsi="FangSong" w:eastAsia="FangSong" w:cs="FangSong"/>
          <w:sz w:val="31"/>
          <w:szCs w:val="31"/>
          <w:spacing w:val="6"/>
        </w:rPr>
        <w:t>、直接负责的主管人员和其他直</w:t>
      </w:r>
      <w:r>
        <w:rPr>
          <w:rFonts w:ascii="FangSong" w:hAnsi="FangSong" w:eastAsia="FangSong" w:cs="FangSong"/>
          <w:sz w:val="31"/>
          <w:szCs w:val="31"/>
        </w:rPr>
        <w:t xml:space="preserve"> </w:t>
      </w:r>
      <w:r>
        <w:rPr>
          <w:rFonts w:ascii="FangSong" w:hAnsi="FangSong" w:eastAsia="FangSong" w:cs="FangSong"/>
          <w:sz w:val="31"/>
          <w:szCs w:val="31"/>
          <w:spacing w:val="8"/>
        </w:rPr>
        <w:t>接责任人员，依法给予撤职、开除的处分；构成犯罪的，依</w:t>
      </w:r>
      <w:r>
        <w:rPr>
          <w:rFonts w:ascii="FangSong" w:hAnsi="FangSong" w:eastAsia="FangSong" w:cs="FangSong"/>
          <w:sz w:val="31"/>
          <w:szCs w:val="31"/>
          <w:spacing w:val="7"/>
        </w:rPr>
        <w:t>法追究刑事责任。</w:t>
      </w:r>
    </w:p>
    <w:p>
      <w:pPr>
        <w:ind w:left="6709"/>
        <w:spacing w:before="4"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24"/>
        <w:gridCol w:w="7904"/>
        <w:gridCol w:w="4352"/>
      </w:tblGrid>
      <w:tr>
        <w:trPr>
          <w:trHeight w:val="521" w:hRule="atLeast"/>
        </w:trPr>
        <w:tc>
          <w:tcPr>
            <w:tcW w:w="1624" w:type="dxa"/>
            <w:vAlign w:val="top"/>
          </w:tcPr>
          <w:p>
            <w:pPr>
              <w:pStyle w:val="TableText"/>
              <w:ind w:left="288"/>
              <w:spacing w:before="132" w:line="220" w:lineRule="auto"/>
              <w:rPr>
                <w:sz w:val="26"/>
                <w:szCs w:val="26"/>
              </w:rPr>
            </w:pPr>
            <w:r>
              <w:rPr>
                <w:sz w:val="26"/>
                <w:szCs w:val="26"/>
                <w:b/>
                <w:bCs/>
                <w:spacing w:val="-5"/>
              </w:rPr>
              <w:t>违法程度</w:t>
            </w:r>
          </w:p>
        </w:tc>
        <w:tc>
          <w:tcPr>
            <w:tcW w:w="7904" w:type="dxa"/>
            <w:vAlign w:val="top"/>
          </w:tcPr>
          <w:p>
            <w:pPr>
              <w:pStyle w:val="TableText"/>
              <w:ind w:left="3424"/>
              <w:spacing w:before="132" w:line="220" w:lineRule="auto"/>
              <w:rPr>
                <w:sz w:val="26"/>
                <w:szCs w:val="26"/>
              </w:rPr>
            </w:pPr>
            <w:r>
              <w:rPr>
                <w:sz w:val="26"/>
                <w:szCs w:val="26"/>
                <w:b/>
                <w:bCs/>
                <w:spacing w:val="-5"/>
              </w:rPr>
              <w:t>情节后果</w:t>
            </w:r>
          </w:p>
        </w:tc>
        <w:tc>
          <w:tcPr>
            <w:tcW w:w="4352" w:type="dxa"/>
            <w:vAlign w:val="top"/>
          </w:tcPr>
          <w:p>
            <w:pPr>
              <w:pStyle w:val="TableText"/>
              <w:ind w:left="1610"/>
              <w:spacing w:before="129" w:line="218" w:lineRule="auto"/>
              <w:rPr>
                <w:sz w:val="26"/>
                <w:szCs w:val="26"/>
              </w:rPr>
            </w:pPr>
            <w:r>
              <w:rPr>
                <w:sz w:val="26"/>
                <w:szCs w:val="26"/>
                <w:b/>
                <w:bCs/>
                <w:spacing w:val="-5"/>
              </w:rPr>
              <w:t>裁量幅度</w:t>
            </w:r>
          </w:p>
        </w:tc>
      </w:tr>
      <w:tr>
        <w:trPr>
          <w:trHeight w:val="889" w:hRule="atLeast"/>
        </w:trPr>
        <w:tc>
          <w:tcPr>
            <w:tcW w:w="1624" w:type="dxa"/>
            <w:vAlign w:val="top"/>
          </w:tcPr>
          <w:p>
            <w:pPr>
              <w:pStyle w:val="TableText"/>
              <w:ind w:left="548"/>
              <w:spacing w:before="322" w:line="221" w:lineRule="auto"/>
              <w:rPr>
                <w:sz w:val="26"/>
                <w:szCs w:val="26"/>
              </w:rPr>
            </w:pPr>
            <w:r>
              <w:rPr>
                <w:sz w:val="26"/>
                <w:szCs w:val="26"/>
                <w:b/>
                <w:bCs/>
                <w:spacing w:val="-10"/>
              </w:rPr>
              <w:t>一般</w:t>
            </w:r>
          </w:p>
        </w:tc>
        <w:tc>
          <w:tcPr>
            <w:tcW w:w="7904" w:type="dxa"/>
            <w:vAlign w:val="top"/>
          </w:tcPr>
          <w:p>
            <w:pPr>
              <w:pStyle w:val="TableText"/>
              <w:ind w:left="124" w:hanging="110"/>
              <w:spacing w:before="160" w:line="255" w:lineRule="auto"/>
              <w:rPr>
                <w:sz w:val="26"/>
                <w:szCs w:val="26"/>
              </w:rPr>
            </w:pPr>
            <w:r>
              <w:rPr>
                <w:sz w:val="26"/>
                <w:szCs w:val="26"/>
                <w:b/>
                <w:bCs/>
                <w:spacing w:val="-17"/>
              </w:rPr>
              <w:t>发生病原微生物被盗、被抢、丢失、泄漏，承运单位、护送人、保藏机构</w:t>
            </w:r>
            <w:r>
              <w:rPr>
                <w:sz w:val="26"/>
                <w:szCs w:val="26"/>
                <w:spacing w:val="15"/>
              </w:rPr>
              <w:t xml:space="preserve"> </w:t>
            </w:r>
            <w:r>
              <w:rPr>
                <w:sz w:val="26"/>
                <w:szCs w:val="26"/>
                <w:b/>
                <w:bCs/>
                <w:spacing w:val="-3"/>
              </w:rPr>
              <w:t>和实验室的设立单位未依照本条例的规定报告的</w:t>
            </w:r>
          </w:p>
        </w:tc>
        <w:tc>
          <w:tcPr>
            <w:tcW w:w="4352" w:type="dxa"/>
            <w:vAlign w:val="top"/>
          </w:tcPr>
          <w:p>
            <w:pPr>
              <w:pStyle w:val="TableText"/>
              <w:ind w:left="110"/>
              <w:spacing w:before="318" w:line="218" w:lineRule="auto"/>
              <w:rPr>
                <w:sz w:val="26"/>
                <w:szCs w:val="26"/>
              </w:rPr>
            </w:pPr>
            <w:r>
              <w:rPr>
                <w:sz w:val="26"/>
                <w:szCs w:val="26"/>
                <w:b/>
                <w:bCs/>
                <w:color w:val="505050"/>
                <w:spacing w:val="2"/>
              </w:rPr>
              <w:t>警告</w:t>
            </w:r>
          </w:p>
        </w:tc>
      </w:tr>
    </w:tbl>
    <w:p>
      <w:pPr>
        <w:ind w:left="19" w:right="247" w:firstLine="660"/>
        <w:spacing w:before="104" w:line="262" w:lineRule="auto"/>
        <w:rPr>
          <w:rFonts w:ascii="FangSong" w:hAnsi="FangSong" w:eastAsia="FangSong" w:cs="FangSong"/>
          <w:sz w:val="31"/>
          <w:szCs w:val="31"/>
        </w:rPr>
      </w:pPr>
      <w:r>
        <w:rPr>
          <w:rFonts w:ascii="FangSong" w:hAnsi="FangSong" w:eastAsia="FangSong" w:cs="FangSong"/>
          <w:sz w:val="31"/>
          <w:szCs w:val="31"/>
          <w:b/>
          <w:bCs/>
          <w:spacing w:val="15"/>
        </w:rPr>
        <w:t>第一百二十七条</w:t>
      </w:r>
      <w:r>
        <w:rPr>
          <w:rFonts w:ascii="FangSong" w:hAnsi="FangSong" w:eastAsia="FangSong" w:cs="FangSong"/>
          <w:sz w:val="31"/>
          <w:szCs w:val="31"/>
          <w:spacing w:val="15"/>
        </w:rPr>
        <w:t xml:space="preserve">  </w:t>
      </w:r>
      <w:r>
        <w:rPr>
          <w:rFonts w:ascii="FangSong" w:hAnsi="FangSong" w:eastAsia="FangSong" w:cs="FangSong"/>
          <w:sz w:val="31"/>
          <w:szCs w:val="31"/>
          <w:b/>
          <w:bCs/>
          <w:spacing w:val="15"/>
        </w:rPr>
        <w:t>保藏机构未依照规定储存实验室送交的菌(毒)种和样</w:t>
      </w:r>
      <w:r>
        <w:rPr>
          <w:rFonts w:ascii="FangSong" w:hAnsi="FangSong" w:eastAsia="FangSong" w:cs="FangSong"/>
          <w:sz w:val="31"/>
          <w:szCs w:val="31"/>
          <w:b/>
          <w:bCs/>
          <w:spacing w:val="14"/>
        </w:rPr>
        <w:t>本，或者未依照规定</w:t>
      </w:r>
      <w:r>
        <w:rPr>
          <w:rFonts w:ascii="FangSong" w:hAnsi="FangSong" w:eastAsia="FangSong" w:cs="FangSong"/>
          <w:sz w:val="31"/>
          <w:szCs w:val="31"/>
        </w:rPr>
        <w:t xml:space="preserve"> </w:t>
      </w:r>
      <w:r>
        <w:rPr>
          <w:rFonts w:ascii="FangSong" w:hAnsi="FangSong" w:eastAsia="FangSong" w:cs="FangSong"/>
          <w:sz w:val="31"/>
          <w:szCs w:val="31"/>
          <w:b/>
          <w:bCs/>
          <w:spacing w:val="35"/>
        </w:rPr>
        <w:t>提供菌(毒)种和样本的</w:t>
      </w:r>
    </w:p>
    <w:p>
      <w:pPr>
        <w:ind w:left="664"/>
        <w:spacing w:before="40"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ind w:left="14" w:right="115" w:firstLine="625"/>
        <w:spacing w:before="62" w:line="263" w:lineRule="auto"/>
        <w:jc w:val="both"/>
        <w:rPr>
          <w:rFonts w:ascii="FangSong" w:hAnsi="FangSong" w:eastAsia="FangSong" w:cs="FangSong"/>
          <w:sz w:val="31"/>
          <w:szCs w:val="31"/>
        </w:rPr>
      </w:pPr>
      <w:r>
        <w:rPr>
          <w:rFonts w:ascii="FangSong" w:hAnsi="FangSong" w:eastAsia="FangSong" w:cs="FangSong"/>
          <w:sz w:val="31"/>
          <w:szCs w:val="31"/>
          <w:spacing w:val="7"/>
        </w:rPr>
        <w:t>《病原微生物实验室生物安全管理条例》第六十八条</w:t>
      </w:r>
      <w:r>
        <w:rPr>
          <w:rFonts w:ascii="FangSong" w:hAnsi="FangSong" w:eastAsia="FangSong" w:cs="FangSong"/>
          <w:sz w:val="31"/>
          <w:szCs w:val="31"/>
          <w:spacing w:val="7"/>
        </w:rPr>
        <w:t xml:space="preserve">  </w:t>
      </w:r>
      <w:r>
        <w:rPr>
          <w:rFonts w:ascii="FangSong" w:hAnsi="FangSong" w:eastAsia="FangSong" w:cs="FangSong"/>
          <w:sz w:val="31"/>
          <w:szCs w:val="31"/>
          <w:spacing w:val="7"/>
        </w:rPr>
        <w:t>保藏</w:t>
      </w:r>
      <w:r>
        <w:rPr>
          <w:rFonts w:ascii="FangSong" w:hAnsi="FangSong" w:eastAsia="FangSong" w:cs="FangSong"/>
          <w:sz w:val="31"/>
          <w:szCs w:val="31"/>
          <w:spacing w:val="6"/>
        </w:rPr>
        <w:t>机构未依照规定储存实验室送交的菌</w:t>
      </w:r>
      <w:r>
        <w:rPr>
          <w:rFonts w:ascii="FangSong" w:hAnsi="FangSong" w:eastAsia="FangSong" w:cs="FangSong"/>
          <w:sz w:val="31"/>
          <w:szCs w:val="31"/>
        </w:rPr>
        <w:t xml:space="preserve"> </w:t>
      </w:r>
      <w:r>
        <w:rPr>
          <w:rFonts w:ascii="FangSong" w:hAnsi="FangSong" w:eastAsia="FangSong" w:cs="FangSong"/>
          <w:sz w:val="31"/>
          <w:szCs w:val="31"/>
          <w:spacing w:val="21"/>
        </w:rPr>
        <w:t>(毒)种和样本，或者未依照规定提供菌(毒)种和样本的，由其</w:t>
      </w:r>
      <w:r>
        <w:rPr>
          <w:rFonts w:ascii="FangSong" w:hAnsi="FangSong" w:eastAsia="FangSong" w:cs="FangSong"/>
          <w:sz w:val="31"/>
          <w:szCs w:val="31"/>
          <w:spacing w:val="20"/>
        </w:rPr>
        <w:t>指定部门责令限期改正，收回违法</w:t>
      </w:r>
      <w:r>
        <w:rPr>
          <w:rFonts w:ascii="FangSong" w:hAnsi="FangSong" w:eastAsia="FangSong" w:cs="FangSong"/>
          <w:sz w:val="31"/>
          <w:szCs w:val="31"/>
        </w:rPr>
        <w:t xml:space="preserve"> </w:t>
      </w:r>
      <w:r>
        <w:rPr>
          <w:rFonts w:ascii="FangSong" w:hAnsi="FangSong" w:eastAsia="FangSong" w:cs="FangSong"/>
          <w:sz w:val="31"/>
          <w:szCs w:val="31"/>
          <w:spacing w:val="14"/>
        </w:rPr>
        <w:t>提供的菌(毒)种和样本，并给予警告；造成传染病传播、流行或者其他严重后果的，由其所在单位</w:t>
      </w:r>
      <w:r>
        <w:rPr>
          <w:rFonts w:ascii="FangSong" w:hAnsi="FangSong" w:eastAsia="FangSong" w:cs="FangSong"/>
          <w:sz w:val="31"/>
          <w:szCs w:val="31"/>
          <w:spacing w:val="2"/>
        </w:rPr>
        <w:t xml:space="preserve"> </w:t>
      </w:r>
      <w:r>
        <w:rPr>
          <w:rFonts w:ascii="FangSong" w:hAnsi="FangSong" w:eastAsia="FangSong" w:cs="FangSong"/>
          <w:sz w:val="31"/>
          <w:szCs w:val="31"/>
          <w:spacing w:val="7"/>
        </w:rPr>
        <w:t>或者其上级主管部门对主要负责人、直接负责的主管人员和其他直</w:t>
      </w:r>
      <w:r>
        <w:rPr>
          <w:rFonts w:ascii="FangSong" w:hAnsi="FangSong" w:eastAsia="FangSong" w:cs="FangSong"/>
          <w:sz w:val="31"/>
          <w:szCs w:val="31"/>
          <w:spacing w:val="6"/>
        </w:rPr>
        <w:t>接责任人员，依法给予撤职、开除</w:t>
      </w:r>
      <w:r>
        <w:rPr>
          <w:rFonts w:ascii="FangSong" w:hAnsi="FangSong" w:eastAsia="FangSong" w:cs="FangSong"/>
          <w:sz w:val="31"/>
          <w:szCs w:val="31"/>
        </w:rPr>
        <w:t xml:space="preserve"> </w:t>
      </w:r>
      <w:r>
        <w:rPr>
          <w:rFonts w:ascii="FangSong" w:hAnsi="FangSong" w:eastAsia="FangSong" w:cs="FangSong"/>
          <w:sz w:val="31"/>
          <w:szCs w:val="31"/>
          <w:spacing w:val="4"/>
        </w:rPr>
        <w:t>的处分；构成犯罪的，依法追究刑事责任。</w:t>
      </w:r>
    </w:p>
    <w:p>
      <w:pPr>
        <w:spacing w:line="263" w:lineRule="auto"/>
        <w:sectPr>
          <w:footerReference w:type="default" r:id="rId202"/>
          <w:pgSz w:w="16830" w:h="11900"/>
          <w:pgMar w:top="1011" w:right="1325" w:bottom="1107" w:left="1425" w:header="0" w:footer="774" w:gutter="0"/>
        </w:sectPr>
        <w:rPr>
          <w:rFonts w:ascii="FangSong" w:hAnsi="FangSong" w:eastAsia="FangSong" w:cs="FangSong"/>
          <w:sz w:val="31"/>
          <w:szCs w:val="31"/>
        </w:rPr>
      </w:pPr>
    </w:p>
    <w:p>
      <w:pPr>
        <w:pStyle w:val="BodyText"/>
        <w:spacing w:line="262" w:lineRule="auto"/>
        <w:rPr/>
      </w:pPr>
      <w:r/>
    </w:p>
    <w:p>
      <w:pPr>
        <w:pStyle w:val="BodyText"/>
        <w:spacing w:line="263" w:lineRule="auto"/>
        <w:rPr/>
      </w:pPr>
      <w:r/>
    </w:p>
    <w:p>
      <w:pPr>
        <w:pStyle w:val="BodyText"/>
        <w:spacing w:line="263" w:lineRule="auto"/>
        <w:rPr/>
      </w:pPr>
      <w:r/>
    </w:p>
    <w:p>
      <w:pPr>
        <w:ind w:left="6729"/>
        <w:spacing w:before="94" w:line="214" w:lineRule="auto"/>
        <w:rPr>
          <w:rFonts w:ascii="SimSun" w:hAnsi="SimSun" w:eastAsia="SimSun" w:cs="SimSun"/>
          <w:sz w:val="29"/>
          <w:szCs w:val="29"/>
        </w:rPr>
      </w:pPr>
      <w:bookmarkStart w:name="bookmark857" w:id="185"/>
      <w:bookmarkEnd w:id="185"/>
      <w:r>
        <w:rPr>
          <w:rFonts w:ascii="SimSun" w:hAnsi="SimSun" w:eastAsia="SimSun" w:cs="SimSun"/>
          <w:sz w:val="29"/>
          <w:szCs w:val="29"/>
          <w:b/>
          <w:bCs/>
          <w:spacing w:val="-6"/>
        </w:rPr>
        <w:t>裁量标准</w:t>
      </w:r>
    </w:p>
    <w:tbl>
      <w:tblPr>
        <w:tblStyle w:val="TableNormal"/>
        <w:tblW w:w="13870" w:type="dxa"/>
        <w:tblInd w:w="3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94"/>
        <w:gridCol w:w="7834"/>
        <w:gridCol w:w="4342"/>
      </w:tblGrid>
      <w:tr>
        <w:trPr>
          <w:trHeight w:val="551" w:hRule="atLeast"/>
        </w:trPr>
        <w:tc>
          <w:tcPr>
            <w:tcW w:w="1694" w:type="dxa"/>
            <w:vAlign w:val="top"/>
          </w:tcPr>
          <w:p>
            <w:pPr>
              <w:pStyle w:val="TableText"/>
              <w:ind w:left="318"/>
              <w:spacing w:before="152" w:line="220" w:lineRule="auto"/>
              <w:rPr>
                <w:sz w:val="26"/>
                <w:szCs w:val="26"/>
              </w:rPr>
            </w:pPr>
            <w:r>
              <w:rPr>
                <w:sz w:val="26"/>
                <w:szCs w:val="26"/>
                <w:b/>
                <w:bCs/>
                <w:spacing w:val="-5"/>
              </w:rPr>
              <w:t>违法程度</w:t>
            </w:r>
          </w:p>
        </w:tc>
        <w:tc>
          <w:tcPr>
            <w:tcW w:w="7834" w:type="dxa"/>
            <w:vAlign w:val="top"/>
          </w:tcPr>
          <w:p>
            <w:pPr>
              <w:pStyle w:val="TableText"/>
              <w:ind w:left="3394"/>
              <w:spacing w:before="152" w:line="220" w:lineRule="auto"/>
              <w:rPr>
                <w:sz w:val="26"/>
                <w:szCs w:val="26"/>
              </w:rPr>
            </w:pPr>
            <w:r>
              <w:rPr>
                <w:sz w:val="26"/>
                <w:szCs w:val="26"/>
                <w:b/>
                <w:bCs/>
                <w:spacing w:val="-5"/>
              </w:rPr>
              <w:t>情节后果</w:t>
            </w:r>
          </w:p>
        </w:tc>
        <w:tc>
          <w:tcPr>
            <w:tcW w:w="4342" w:type="dxa"/>
            <w:vAlign w:val="top"/>
          </w:tcPr>
          <w:p>
            <w:pPr>
              <w:pStyle w:val="TableText"/>
              <w:ind w:left="1600"/>
              <w:spacing w:before="149" w:line="218" w:lineRule="auto"/>
              <w:rPr>
                <w:sz w:val="26"/>
                <w:szCs w:val="26"/>
              </w:rPr>
            </w:pPr>
            <w:r>
              <w:rPr>
                <w:sz w:val="26"/>
                <w:szCs w:val="26"/>
                <w:b/>
                <w:bCs/>
                <w:spacing w:val="-5"/>
              </w:rPr>
              <w:t>裁量幅度</w:t>
            </w:r>
          </w:p>
        </w:tc>
      </w:tr>
      <w:tr>
        <w:trPr>
          <w:trHeight w:val="858" w:hRule="atLeast"/>
        </w:trPr>
        <w:tc>
          <w:tcPr>
            <w:tcW w:w="1694" w:type="dxa"/>
            <w:vAlign w:val="top"/>
          </w:tcPr>
          <w:p>
            <w:pPr>
              <w:spacing w:line="276" w:lineRule="auto"/>
              <w:rPr>
                <w:rFonts w:ascii="Arial"/>
                <w:sz w:val="21"/>
              </w:rPr>
            </w:pPr>
            <w:r/>
          </w:p>
          <w:p>
            <w:pPr>
              <w:pStyle w:val="TableText"/>
              <w:ind w:left="578"/>
              <w:spacing w:before="84" w:line="221" w:lineRule="auto"/>
              <w:rPr>
                <w:sz w:val="26"/>
                <w:szCs w:val="26"/>
              </w:rPr>
            </w:pPr>
            <w:r>
              <w:rPr>
                <w:sz w:val="26"/>
                <w:szCs w:val="26"/>
                <w:b/>
                <w:bCs/>
                <w:spacing w:val="-10"/>
              </w:rPr>
              <w:t>一般</w:t>
            </w:r>
          </w:p>
        </w:tc>
        <w:tc>
          <w:tcPr>
            <w:tcW w:w="7834" w:type="dxa"/>
            <w:vAlign w:val="top"/>
          </w:tcPr>
          <w:p>
            <w:pPr>
              <w:pStyle w:val="TableText"/>
              <w:ind w:left="123" w:hanging="109"/>
              <w:spacing w:before="141" w:line="251" w:lineRule="auto"/>
              <w:rPr>
                <w:sz w:val="26"/>
                <w:szCs w:val="26"/>
              </w:rPr>
            </w:pPr>
            <w:r>
              <w:rPr>
                <w:sz w:val="26"/>
                <w:szCs w:val="26"/>
                <w:b/>
                <w:bCs/>
                <w:spacing w:val="-11"/>
              </w:rPr>
              <w:t>保藏机构未依照规定储存实验室送交的菌(毒)种和样本，或者未依照规</w:t>
            </w:r>
            <w:r>
              <w:rPr>
                <w:sz w:val="26"/>
                <w:szCs w:val="26"/>
                <w:spacing w:val="12"/>
              </w:rPr>
              <w:t xml:space="preserve"> </w:t>
            </w:r>
            <w:r>
              <w:rPr>
                <w:sz w:val="26"/>
                <w:szCs w:val="26"/>
                <w:b/>
                <w:bCs/>
                <w:spacing w:val="-2"/>
              </w:rPr>
              <w:t>定提供菌(毒)种和样本的</w:t>
            </w:r>
          </w:p>
        </w:tc>
        <w:tc>
          <w:tcPr>
            <w:tcW w:w="4342" w:type="dxa"/>
            <w:vAlign w:val="top"/>
          </w:tcPr>
          <w:p>
            <w:pPr>
              <w:pStyle w:val="TableText"/>
              <w:ind w:left="110" w:firstLine="9"/>
              <w:spacing w:before="141" w:line="251" w:lineRule="auto"/>
              <w:rPr>
                <w:sz w:val="26"/>
                <w:szCs w:val="26"/>
              </w:rPr>
            </w:pPr>
            <w:r>
              <w:rPr>
                <w:sz w:val="26"/>
                <w:szCs w:val="26"/>
                <w:b/>
                <w:bCs/>
                <w:spacing w:val="-15"/>
              </w:rPr>
              <w:t>责令限期改正，收回违法提供的菌(毒)</w:t>
            </w:r>
            <w:r>
              <w:rPr>
                <w:sz w:val="26"/>
                <w:szCs w:val="26"/>
                <w:spacing w:val="11"/>
              </w:rPr>
              <w:t xml:space="preserve"> </w:t>
            </w:r>
            <w:r>
              <w:rPr>
                <w:sz w:val="26"/>
                <w:szCs w:val="26"/>
                <w:b/>
                <w:bCs/>
                <w:spacing w:val="-5"/>
              </w:rPr>
              <w:t>种和样本，并给予警告</w:t>
            </w:r>
          </w:p>
        </w:tc>
      </w:tr>
    </w:tbl>
    <w:p>
      <w:pPr>
        <w:ind w:left="809"/>
        <w:spacing w:before="105" w:line="223" w:lineRule="auto"/>
        <w:rPr>
          <w:rFonts w:ascii="KaiTi" w:hAnsi="KaiTi" w:eastAsia="KaiTi" w:cs="KaiTi"/>
          <w:sz w:val="31"/>
          <w:szCs w:val="31"/>
        </w:rPr>
      </w:pPr>
      <w:r>
        <w:rPr>
          <w:rFonts w:ascii="KaiTi" w:hAnsi="KaiTi" w:eastAsia="KaiTi" w:cs="KaiTi"/>
          <w:sz w:val="31"/>
          <w:szCs w:val="31"/>
          <w:b/>
          <w:bCs/>
          <w:spacing w:val="20"/>
        </w:rPr>
        <w:t>(十三)《性病防治管理办法》</w:t>
      </w:r>
    </w:p>
    <w:p>
      <w:pPr>
        <w:pStyle w:val="BodyText"/>
        <w:spacing w:line="244" w:lineRule="auto"/>
        <w:rPr/>
      </w:pPr>
      <w:r/>
    </w:p>
    <w:p>
      <w:pPr>
        <w:ind w:left="699"/>
        <w:spacing w:before="101" w:line="220" w:lineRule="auto"/>
        <w:rPr>
          <w:rFonts w:ascii="FangSong" w:hAnsi="FangSong" w:eastAsia="FangSong" w:cs="FangSong"/>
          <w:sz w:val="31"/>
          <w:szCs w:val="31"/>
        </w:rPr>
      </w:pPr>
      <w:r>
        <w:rPr>
          <w:rFonts w:ascii="FangSong" w:hAnsi="FangSong" w:eastAsia="FangSong" w:cs="FangSong"/>
          <w:sz w:val="31"/>
          <w:szCs w:val="31"/>
          <w:b/>
          <w:bCs/>
          <w:spacing w:val="7"/>
        </w:rPr>
        <w:t>第一百二十八条</w:t>
      </w:r>
      <w:r>
        <w:rPr>
          <w:rFonts w:ascii="FangSong" w:hAnsi="FangSong" w:eastAsia="FangSong" w:cs="FangSong"/>
          <w:sz w:val="31"/>
          <w:szCs w:val="31"/>
          <w:spacing w:val="151"/>
        </w:rPr>
        <w:t xml:space="preserve"> </w:t>
      </w:r>
      <w:r>
        <w:rPr>
          <w:rFonts w:ascii="FangSong" w:hAnsi="FangSong" w:eastAsia="FangSong" w:cs="FangSong"/>
          <w:sz w:val="31"/>
          <w:szCs w:val="31"/>
          <w:b/>
          <w:bCs/>
          <w:spacing w:val="7"/>
        </w:rPr>
        <w:t>医疗机构提供性病诊疗服务时违反诊疗</w:t>
      </w:r>
      <w:r>
        <w:rPr>
          <w:rFonts w:ascii="FangSong" w:hAnsi="FangSong" w:eastAsia="FangSong" w:cs="FangSong"/>
          <w:sz w:val="31"/>
          <w:szCs w:val="31"/>
          <w:b/>
          <w:bCs/>
          <w:spacing w:val="6"/>
        </w:rPr>
        <w:t>规范的</w:t>
      </w:r>
    </w:p>
    <w:p>
      <w:pPr>
        <w:ind w:left="684"/>
        <w:spacing w:before="107"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45" w:right="18" w:firstLine="614"/>
        <w:spacing w:before="83" w:line="222" w:lineRule="auto"/>
        <w:rPr>
          <w:rFonts w:ascii="SimSun" w:hAnsi="SimSun" w:eastAsia="SimSun" w:cs="SimSun"/>
          <w:sz w:val="32"/>
          <w:szCs w:val="32"/>
        </w:rPr>
      </w:pPr>
      <w:r>
        <w:rPr>
          <w:rFonts w:ascii="FangSong" w:hAnsi="FangSong" w:eastAsia="FangSong" w:cs="FangSong"/>
          <w:sz w:val="31"/>
          <w:szCs w:val="31"/>
          <w:spacing w:val="11"/>
        </w:rPr>
        <w:t>《性病防治管理办法》第四十九条</w:t>
      </w:r>
      <w:r>
        <w:rPr>
          <w:rFonts w:ascii="FangSong" w:hAnsi="FangSong" w:eastAsia="FangSong" w:cs="FangSong"/>
          <w:sz w:val="31"/>
          <w:szCs w:val="31"/>
          <w:spacing w:val="75"/>
        </w:rPr>
        <w:t xml:space="preserve">  </w:t>
      </w:r>
      <w:r>
        <w:rPr>
          <w:rFonts w:ascii="FangSong" w:hAnsi="FangSong" w:eastAsia="FangSong" w:cs="FangSong"/>
          <w:sz w:val="31"/>
          <w:szCs w:val="31"/>
          <w:spacing w:val="11"/>
        </w:rPr>
        <w:t>医疗机构提供性病诊疗服务时违反诊疗规范的，由县级以</w:t>
      </w:r>
      <w:r>
        <w:rPr>
          <w:rFonts w:ascii="FangSong" w:hAnsi="FangSong" w:eastAsia="FangSong" w:cs="FangSong"/>
          <w:sz w:val="31"/>
          <w:szCs w:val="31"/>
        </w:rPr>
        <w:t xml:space="preserve"> </w:t>
      </w:r>
      <w:r>
        <w:rPr>
          <w:rFonts w:ascii="SimSun" w:hAnsi="SimSun" w:eastAsia="SimSun" w:cs="SimSun"/>
          <w:sz w:val="32"/>
          <w:szCs w:val="32"/>
        </w:rPr>
        <w:t>上卫生行政部门责令限期改正，给予警告；逾期不改的，可以根据情节轻重处以三万元以下罚</w:t>
      </w:r>
      <w:r>
        <w:rPr>
          <w:rFonts w:ascii="SimSun" w:hAnsi="SimSun" w:eastAsia="SimSun" w:cs="SimSun"/>
          <w:sz w:val="32"/>
          <w:szCs w:val="32"/>
          <w:spacing w:val="-1"/>
        </w:rPr>
        <w:t>款。</w:t>
      </w:r>
    </w:p>
    <w:tbl>
      <w:tblPr>
        <w:tblStyle w:val="TableNormal"/>
        <w:tblW w:w="139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84"/>
        <w:gridCol w:w="9113"/>
        <w:gridCol w:w="3172"/>
      </w:tblGrid>
      <w:tr>
        <w:trPr>
          <w:trHeight w:val="831" w:hRule="atLeast"/>
        </w:trPr>
        <w:tc>
          <w:tcPr>
            <w:tcW w:w="1684" w:type="dxa"/>
            <w:vAlign w:val="top"/>
          </w:tcPr>
          <w:p>
            <w:pPr>
              <w:pStyle w:val="TableText"/>
              <w:ind w:left="338"/>
              <w:spacing w:before="292" w:line="220" w:lineRule="auto"/>
              <w:rPr>
                <w:sz w:val="25"/>
                <w:szCs w:val="25"/>
              </w:rPr>
            </w:pPr>
            <w:r>
              <w:rPr>
                <w:sz w:val="25"/>
                <w:szCs w:val="25"/>
                <w:b/>
                <w:bCs/>
                <w:spacing w:val="-5"/>
              </w:rPr>
              <w:t>违法程度</w:t>
            </w:r>
          </w:p>
        </w:tc>
        <w:tc>
          <w:tcPr>
            <w:tcW w:w="9113" w:type="dxa"/>
            <w:vAlign w:val="top"/>
          </w:tcPr>
          <w:p>
            <w:pPr>
              <w:pStyle w:val="TableText"/>
              <w:ind w:left="3994"/>
              <w:spacing w:before="292" w:line="220" w:lineRule="auto"/>
              <w:rPr>
                <w:sz w:val="25"/>
                <w:szCs w:val="25"/>
              </w:rPr>
            </w:pPr>
            <w:r>
              <w:rPr>
                <w:sz w:val="25"/>
                <w:szCs w:val="25"/>
                <w:b/>
                <w:bCs/>
                <w:spacing w:val="-5"/>
              </w:rPr>
              <w:t>情节后果</w:t>
            </w:r>
          </w:p>
        </w:tc>
        <w:tc>
          <w:tcPr>
            <w:tcW w:w="3172" w:type="dxa"/>
            <w:vAlign w:val="top"/>
          </w:tcPr>
          <w:p>
            <w:pPr>
              <w:pStyle w:val="TableText"/>
              <w:ind w:left="1031"/>
              <w:spacing w:before="289" w:line="218" w:lineRule="auto"/>
              <w:rPr>
                <w:sz w:val="25"/>
                <w:szCs w:val="25"/>
              </w:rPr>
            </w:pPr>
            <w:r>
              <w:rPr>
                <w:sz w:val="25"/>
                <w:szCs w:val="25"/>
                <w:b/>
                <w:bCs/>
                <w:spacing w:val="-5"/>
              </w:rPr>
              <w:t>裁量幅度</w:t>
            </w:r>
          </w:p>
        </w:tc>
      </w:tr>
      <w:tr>
        <w:trPr>
          <w:trHeight w:val="777" w:hRule="atLeast"/>
        </w:trPr>
        <w:tc>
          <w:tcPr>
            <w:tcW w:w="1684" w:type="dxa"/>
            <w:vAlign w:val="top"/>
          </w:tcPr>
          <w:p>
            <w:pPr>
              <w:spacing w:line="248" w:lineRule="auto"/>
              <w:rPr>
                <w:rFonts w:ascii="Arial"/>
                <w:sz w:val="21"/>
              </w:rPr>
            </w:pPr>
            <w:r/>
          </w:p>
          <w:p>
            <w:pPr>
              <w:pStyle w:val="TableText"/>
              <w:ind w:left="588"/>
              <w:spacing w:before="81" w:line="219" w:lineRule="auto"/>
              <w:rPr>
                <w:sz w:val="25"/>
                <w:szCs w:val="25"/>
              </w:rPr>
            </w:pPr>
            <w:r>
              <w:rPr>
                <w:sz w:val="25"/>
                <w:szCs w:val="25"/>
                <w:b/>
                <w:bCs/>
                <w:spacing w:val="-6"/>
              </w:rPr>
              <w:t>较轻</w:t>
            </w:r>
          </w:p>
        </w:tc>
        <w:tc>
          <w:tcPr>
            <w:tcW w:w="9113" w:type="dxa"/>
            <w:vAlign w:val="top"/>
          </w:tcPr>
          <w:p>
            <w:pPr>
              <w:spacing w:line="251" w:lineRule="auto"/>
              <w:rPr>
                <w:rFonts w:ascii="Arial"/>
                <w:sz w:val="21"/>
              </w:rPr>
            </w:pPr>
            <w:r/>
          </w:p>
          <w:p>
            <w:pPr>
              <w:pStyle w:val="TableText"/>
              <w:ind w:left="121"/>
              <w:spacing w:before="81" w:line="219" w:lineRule="auto"/>
              <w:rPr>
                <w:sz w:val="25"/>
                <w:szCs w:val="25"/>
              </w:rPr>
            </w:pPr>
            <w:r>
              <w:rPr>
                <w:sz w:val="25"/>
                <w:szCs w:val="25"/>
              </w:rPr>
              <w:t>首次发现违法行为。</w:t>
            </w:r>
          </w:p>
        </w:tc>
        <w:tc>
          <w:tcPr>
            <w:tcW w:w="3172" w:type="dxa"/>
            <w:vAlign w:val="top"/>
          </w:tcPr>
          <w:p>
            <w:pPr>
              <w:spacing w:line="249" w:lineRule="auto"/>
              <w:rPr>
                <w:rFonts w:ascii="Arial"/>
                <w:sz w:val="21"/>
              </w:rPr>
            </w:pPr>
            <w:r/>
          </w:p>
          <w:p>
            <w:pPr>
              <w:pStyle w:val="TableText"/>
              <w:ind w:left="117"/>
              <w:spacing w:before="81" w:line="218" w:lineRule="auto"/>
              <w:rPr>
                <w:sz w:val="25"/>
                <w:szCs w:val="25"/>
              </w:rPr>
            </w:pPr>
            <w:r>
              <w:rPr>
                <w:sz w:val="25"/>
                <w:szCs w:val="25"/>
                <w:spacing w:val="-1"/>
              </w:rPr>
              <w:t>给予警告。</w:t>
            </w:r>
          </w:p>
        </w:tc>
      </w:tr>
      <w:tr>
        <w:trPr>
          <w:trHeight w:val="1141" w:hRule="atLeast"/>
        </w:trPr>
        <w:tc>
          <w:tcPr>
            <w:tcW w:w="1684" w:type="dxa"/>
            <w:vAlign w:val="top"/>
          </w:tcPr>
          <w:p>
            <w:pPr>
              <w:spacing w:line="371" w:lineRule="auto"/>
              <w:rPr>
                <w:rFonts w:ascii="Arial"/>
                <w:sz w:val="21"/>
              </w:rPr>
            </w:pPr>
            <w:r/>
          </w:p>
          <w:p>
            <w:pPr>
              <w:pStyle w:val="TableText"/>
              <w:ind w:left="588"/>
              <w:spacing w:before="81" w:line="221" w:lineRule="auto"/>
              <w:rPr>
                <w:sz w:val="25"/>
                <w:szCs w:val="25"/>
              </w:rPr>
            </w:pPr>
            <w:r>
              <w:rPr>
                <w:sz w:val="25"/>
                <w:szCs w:val="25"/>
                <w:b/>
                <w:bCs/>
                <w:spacing w:val="-10"/>
              </w:rPr>
              <w:t>一般</w:t>
            </w:r>
          </w:p>
        </w:tc>
        <w:tc>
          <w:tcPr>
            <w:tcW w:w="9113" w:type="dxa"/>
            <w:vAlign w:val="top"/>
          </w:tcPr>
          <w:p>
            <w:pPr>
              <w:pStyle w:val="TableText"/>
              <w:ind w:left="121"/>
              <w:spacing w:before="304" w:line="305" w:lineRule="auto"/>
              <w:rPr>
                <w:sz w:val="25"/>
                <w:szCs w:val="25"/>
              </w:rPr>
            </w:pPr>
            <w:r>
              <w:rPr>
                <w:sz w:val="25"/>
                <w:szCs w:val="25"/>
                <w:spacing w:val="-7"/>
              </w:rPr>
              <w:t>责令限期改正后，逾期不改，医疗机构对就诊患者一至三人</w:t>
            </w:r>
            <w:r>
              <w:rPr>
                <w:sz w:val="25"/>
                <w:szCs w:val="25"/>
                <w:spacing w:val="-8"/>
              </w:rPr>
              <w:t>提供性病诊疗服务时违反</w:t>
            </w:r>
            <w:r>
              <w:rPr>
                <w:sz w:val="25"/>
                <w:szCs w:val="25"/>
              </w:rPr>
              <w:t xml:space="preserve"> </w:t>
            </w:r>
            <w:r>
              <w:rPr>
                <w:sz w:val="25"/>
                <w:szCs w:val="25"/>
              </w:rPr>
              <w:t>诊疗规范。</w:t>
            </w:r>
          </w:p>
        </w:tc>
        <w:tc>
          <w:tcPr>
            <w:tcW w:w="3172" w:type="dxa"/>
            <w:vAlign w:val="top"/>
          </w:tcPr>
          <w:p>
            <w:pPr>
              <w:pStyle w:val="TableText"/>
              <w:ind w:left="117" w:right="21"/>
              <w:spacing w:before="304" w:line="305" w:lineRule="auto"/>
              <w:rPr>
                <w:sz w:val="25"/>
                <w:szCs w:val="25"/>
              </w:rPr>
            </w:pPr>
            <w:r>
              <w:rPr>
                <w:sz w:val="25"/>
                <w:szCs w:val="25"/>
                <w:spacing w:val="1"/>
              </w:rPr>
              <w:t>给予警告，处一万五千元以</w:t>
            </w:r>
            <w:r>
              <w:rPr>
                <w:sz w:val="25"/>
                <w:szCs w:val="25"/>
                <w:spacing w:val="9"/>
              </w:rPr>
              <w:t xml:space="preserve"> </w:t>
            </w:r>
            <w:r>
              <w:rPr>
                <w:sz w:val="25"/>
                <w:szCs w:val="25"/>
                <w:spacing w:val="-1"/>
              </w:rPr>
              <w:t>下罚款。</w:t>
            </w:r>
          </w:p>
        </w:tc>
      </w:tr>
    </w:tbl>
    <w:p>
      <w:pPr>
        <w:pStyle w:val="BodyText"/>
        <w:rPr/>
      </w:pPr>
      <w:r/>
    </w:p>
    <w:p>
      <w:pPr>
        <w:sectPr>
          <w:footerReference w:type="default" r:id="rId203"/>
          <w:pgSz w:w="16830" w:h="11900"/>
          <w:pgMar w:top="1011" w:right="1445" w:bottom="1107" w:left="1405" w:header="0" w:footer="774" w:gutter="0"/>
        </w:sectPr>
        <w:rPr/>
      </w:pPr>
    </w:p>
    <w:p>
      <w:pPr>
        <w:spacing w:before="20"/>
        <w:rPr/>
      </w:pPr>
      <w:r/>
    </w:p>
    <w:p>
      <w:pPr>
        <w:spacing w:before="20"/>
        <w:rPr/>
      </w:pPr>
      <w:r/>
    </w:p>
    <w:p>
      <w:pPr>
        <w:spacing w:before="19"/>
        <w:rPr/>
      </w:pPr>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14"/>
        <w:gridCol w:w="9093"/>
        <w:gridCol w:w="3173"/>
      </w:tblGrid>
      <w:tr>
        <w:trPr>
          <w:trHeight w:val="1130" w:hRule="atLeast"/>
        </w:trPr>
        <w:tc>
          <w:tcPr>
            <w:tcW w:w="1714" w:type="dxa"/>
            <w:vAlign w:val="top"/>
          </w:tcPr>
          <w:p>
            <w:pPr>
              <w:spacing w:line="374" w:lineRule="auto"/>
              <w:rPr>
                <w:rFonts w:ascii="Arial"/>
                <w:sz w:val="21"/>
              </w:rPr>
            </w:pPr>
            <w:r/>
          </w:p>
          <w:p>
            <w:pPr>
              <w:pStyle w:val="TableText"/>
              <w:ind w:left="618"/>
              <w:spacing w:before="78" w:line="221" w:lineRule="auto"/>
              <w:rPr/>
            </w:pPr>
            <w:r>
              <w:rPr>
                <w:b/>
                <w:bCs/>
                <w:spacing w:val="-5"/>
              </w:rPr>
              <w:t>较重</w:t>
            </w:r>
          </w:p>
        </w:tc>
        <w:tc>
          <w:tcPr>
            <w:tcW w:w="9093" w:type="dxa"/>
            <w:vAlign w:val="top"/>
          </w:tcPr>
          <w:p>
            <w:pPr>
              <w:pStyle w:val="TableText"/>
              <w:ind w:left="80" w:right="83" w:firstLine="29"/>
              <w:spacing w:before="254" w:line="333" w:lineRule="auto"/>
              <w:rPr/>
            </w:pPr>
            <w:r>
              <w:rPr/>
              <w:t>责令限期改正后，逾期不改，医疗机构对就诊患者四人以上提供性病诊疗服务时违反</w:t>
            </w:r>
            <w:r>
              <w:rPr>
                <w:spacing w:val="7"/>
              </w:rPr>
              <w:t xml:space="preserve"> </w:t>
            </w:r>
            <w:r>
              <w:rPr>
                <w:spacing w:val="-1"/>
              </w:rPr>
              <w:t>诊疗规范。</w:t>
            </w:r>
          </w:p>
        </w:tc>
        <w:tc>
          <w:tcPr>
            <w:tcW w:w="3173" w:type="dxa"/>
            <w:vAlign w:val="top"/>
          </w:tcPr>
          <w:p>
            <w:pPr>
              <w:pStyle w:val="TableText"/>
              <w:ind w:left="107" w:right="143" w:firstLine="9"/>
              <w:spacing w:before="254" w:line="333" w:lineRule="auto"/>
              <w:rPr/>
            </w:pPr>
            <w:r>
              <w:rPr>
                <w:spacing w:val="1"/>
              </w:rPr>
              <w:t>给予警告，处一万五千元以</w:t>
            </w:r>
            <w:r>
              <w:rPr>
                <w:spacing w:val="8"/>
              </w:rPr>
              <w:t xml:space="preserve"> </w:t>
            </w:r>
            <w:r>
              <w:rPr/>
              <w:t>上三万元以下罚款。</w:t>
            </w:r>
          </w:p>
        </w:tc>
      </w:tr>
    </w:tbl>
    <w:p>
      <w:pPr>
        <w:ind w:left="809"/>
        <w:spacing w:before="105" w:line="223" w:lineRule="auto"/>
        <w:rPr>
          <w:rFonts w:ascii="KaiTi" w:hAnsi="KaiTi" w:eastAsia="KaiTi" w:cs="KaiTi"/>
          <w:sz w:val="31"/>
          <w:szCs w:val="31"/>
        </w:rPr>
      </w:pPr>
      <w:bookmarkStart w:name="bookmark858" w:id="186"/>
      <w:bookmarkEnd w:id="186"/>
      <w:r>
        <w:rPr>
          <w:rFonts w:ascii="KaiTi" w:hAnsi="KaiTi" w:eastAsia="KaiTi" w:cs="KaiTi"/>
          <w:sz w:val="31"/>
          <w:szCs w:val="31"/>
          <w:b/>
          <w:bCs/>
          <w:spacing w:val="19"/>
        </w:rPr>
        <w:t>(十四)《结核病防治管理办法》</w:t>
      </w:r>
    </w:p>
    <w:p>
      <w:pPr>
        <w:ind w:left="39" w:right="34" w:firstLine="649"/>
        <w:spacing w:before="40" w:line="284" w:lineRule="auto"/>
        <w:rPr>
          <w:rFonts w:ascii="KaiTi" w:hAnsi="KaiTi" w:eastAsia="KaiTi" w:cs="KaiTi"/>
          <w:sz w:val="31"/>
          <w:szCs w:val="31"/>
        </w:rPr>
      </w:pPr>
      <w:r>
        <w:rPr>
          <w:rFonts w:ascii="KaiTi" w:hAnsi="KaiTi" w:eastAsia="KaiTi" w:cs="KaiTi"/>
          <w:sz w:val="31"/>
          <w:szCs w:val="31"/>
          <w:b/>
          <w:bCs/>
          <w:spacing w:val="10"/>
        </w:rPr>
        <w:t>第一百二十九条疾病预防控制机构未依法履行肺结核疫情监测、报告职责，或者隐瞒、谎报、</w:t>
      </w:r>
      <w:r>
        <w:rPr>
          <w:rFonts w:ascii="KaiTi" w:hAnsi="KaiTi" w:eastAsia="KaiTi" w:cs="KaiTi"/>
          <w:sz w:val="31"/>
          <w:szCs w:val="31"/>
          <w:spacing w:val="11"/>
        </w:rPr>
        <w:t xml:space="preserve"> </w:t>
      </w:r>
      <w:r>
        <w:rPr>
          <w:rFonts w:ascii="KaiTi" w:hAnsi="KaiTi" w:eastAsia="KaiTi" w:cs="KaiTi"/>
          <w:sz w:val="31"/>
          <w:szCs w:val="31"/>
          <w:b/>
          <w:bCs/>
          <w:spacing w:val="2"/>
        </w:rPr>
        <w:t>缓报肺结核疫情的</w:t>
      </w:r>
    </w:p>
    <w:p>
      <w:pPr>
        <w:ind w:left="684"/>
        <w:spacing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34" w:right="34" w:firstLine="614"/>
        <w:spacing w:before="43" w:line="268" w:lineRule="auto"/>
        <w:jc w:val="both"/>
        <w:rPr>
          <w:rFonts w:ascii="FangSong" w:hAnsi="FangSong" w:eastAsia="FangSong" w:cs="FangSong"/>
          <w:sz w:val="31"/>
          <w:szCs w:val="31"/>
        </w:rPr>
      </w:pPr>
      <w:r>
        <w:rPr>
          <w:rFonts w:ascii="FangSong" w:hAnsi="FangSong" w:eastAsia="FangSong" w:cs="FangSong"/>
          <w:sz w:val="31"/>
          <w:szCs w:val="31"/>
          <w:spacing w:val="17"/>
        </w:rPr>
        <w:t>《结核病防治管理办法》第三十五条第(一)项</w:t>
      </w:r>
      <w:r>
        <w:rPr>
          <w:rFonts w:ascii="FangSong" w:hAnsi="FangSong" w:eastAsia="FangSong" w:cs="FangSong"/>
          <w:sz w:val="31"/>
          <w:szCs w:val="31"/>
          <w:spacing w:val="17"/>
        </w:rPr>
        <w:t xml:space="preserve">   </w:t>
      </w:r>
      <w:r>
        <w:rPr>
          <w:rFonts w:ascii="FangSong" w:hAnsi="FangSong" w:eastAsia="FangSong" w:cs="FangSong"/>
          <w:sz w:val="31"/>
          <w:szCs w:val="31"/>
          <w:spacing w:val="17"/>
        </w:rPr>
        <w:t>疾病预防控制机构违反本办法规定，有下列</w:t>
      </w:r>
      <w:r>
        <w:rPr>
          <w:rFonts w:ascii="FangSong" w:hAnsi="FangSong" w:eastAsia="FangSong" w:cs="FangSong"/>
          <w:sz w:val="31"/>
          <w:szCs w:val="31"/>
          <w:spacing w:val="13"/>
        </w:rPr>
        <w:t xml:space="preserve"> </w:t>
      </w:r>
      <w:r>
        <w:rPr>
          <w:rFonts w:ascii="FangSong" w:hAnsi="FangSong" w:eastAsia="FangSong" w:cs="FangSong"/>
          <w:sz w:val="31"/>
          <w:szCs w:val="31"/>
          <w:spacing w:val="6"/>
        </w:rPr>
        <w:t>情形之一的，由县级以上卫生行政部门责令限期改正，通报批评，给予警告；对负有责任的主管人员</w:t>
      </w:r>
      <w:r>
        <w:rPr>
          <w:rFonts w:ascii="FangSong" w:hAnsi="FangSong" w:eastAsia="FangSong" w:cs="FangSong"/>
          <w:sz w:val="31"/>
          <w:szCs w:val="31"/>
          <w:spacing w:val="15"/>
        </w:rPr>
        <w:t xml:space="preserve"> </w:t>
      </w:r>
      <w:r>
        <w:rPr>
          <w:rFonts w:ascii="FangSong" w:hAnsi="FangSong" w:eastAsia="FangSong" w:cs="FangSong"/>
          <w:sz w:val="31"/>
          <w:szCs w:val="31"/>
          <w:spacing w:val="7"/>
        </w:rPr>
        <w:t>和其他直接责任人员，依法给予处分；构成犯罪的，依法追究刑事责任：</w:t>
      </w:r>
    </w:p>
    <w:p>
      <w:pPr>
        <w:ind w:left="804"/>
        <w:spacing w:before="1" w:line="220" w:lineRule="auto"/>
        <w:rPr>
          <w:rFonts w:ascii="FangSong" w:hAnsi="FangSong" w:eastAsia="FangSong" w:cs="FangSong"/>
          <w:sz w:val="31"/>
          <w:szCs w:val="31"/>
        </w:rPr>
      </w:pPr>
      <w:r>
        <w:rPr>
          <w:rFonts w:ascii="FangSong" w:hAnsi="FangSong" w:eastAsia="FangSong" w:cs="FangSong"/>
          <w:sz w:val="31"/>
          <w:szCs w:val="31"/>
          <w:spacing w:val="12"/>
        </w:rPr>
        <w:t>(一)未依法履行肺结核疫情监测、报告职责，或者隐瞒、谎报、缓报肺结核疫情的；</w:t>
      </w:r>
    </w:p>
    <w:p>
      <w:pPr>
        <w:ind w:left="6729"/>
        <w:spacing w:before="60"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19" w:type="dxa"/>
        <w:tblInd w:w="7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73"/>
        <w:gridCol w:w="7844"/>
        <w:gridCol w:w="3902"/>
      </w:tblGrid>
      <w:tr>
        <w:trPr>
          <w:trHeight w:val="561" w:hRule="atLeast"/>
        </w:trPr>
        <w:tc>
          <w:tcPr>
            <w:tcW w:w="2073" w:type="dxa"/>
            <w:vAlign w:val="top"/>
          </w:tcPr>
          <w:p>
            <w:pPr>
              <w:pStyle w:val="TableText"/>
              <w:ind w:left="508"/>
              <w:spacing w:before="152" w:line="220" w:lineRule="auto"/>
              <w:rPr>
                <w:sz w:val="26"/>
                <w:szCs w:val="26"/>
              </w:rPr>
            </w:pPr>
            <w:r>
              <w:rPr>
                <w:sz w:val="26"/>
                <w:szCs w:val="26"/>
                <w:b/>
                <w:bCs/>
                <w:spacing w:val="-5"/>
              </w:rPr>
              <w:t>违法程度</w:t>
            </w:r>
          </w:p>
        </w:tc>
        <w:tc>
          <w:tcPr>
            <w:tcW w:w="7844" w:type="dxa"/>
            <w:vAlign w:val="top"/>
          </w:tcPr>
          <w:p>
            <w:pPr>
              <w:pStyle w:val="TableText"/>
              <w:ind w:left="3395"/>
              <w:spacing w:before="152" w:line="220" w:lineRule="auto"/>
              <w:rPr>
                <w:sz w:val="26"/>
                <w:szCs w:val="26"/>
              </w:rPr>
            </w:pPr>
            <w:r>
              <w:rPr>
                <w:sz w:val="26"/>
                <w:szCs w:val="26"/>
                <w:b/>
                <w:bCs/>
                <w:spacing w:val="-5"/>
              </w:rPr>
              <w:t>情节后果</w:t>
            </w:r>
          </w:p>
        </w:tc>
        <w:tc>
          <w:tcPr>
            <w:tcW w:w="3902" w:type="dxa"/>
            <w:vAlign w:val="top"/>
          </w:tcPr>
          <w:p>
            <w:pPr>
              <w:pStyle w:val="TableText"/>
              <w:ind w:left="1381"/>
              <w:spacing w:before="149" w:line="218" w:lineRule="auto"/>
              <w:rPr>
                <w:sz w:val="26"/>
                <w:szCs w:val="26"/>
              </w:rPr>
            </w:pPr>
            <w:r>
              <w:rPr>
                <w:sz w:val="26"/>
                <w:szCs w:val="26"/>
                <w:b/>
                <w:bCs/>
                <w:spacing w:val="-5"/>
              </w:rPr>
              <w:t>裁量幅度</w:t>
            </w:r>
          </w:p>
        </w:tc>
      </w:tr>
      <w:tr>
        <w:trPr>
          <w:trHeight w:val="879" w:hRule="atLeast"/>
        </w:trPr>
        <w:tc>
          <w:tcPr>
            <w:tcW w:w="2073" w:type="dxa"/>
            <w:vAlign w:val="top"/>
          </w:tcPr>
          <w:p>
            <w:pPr>
              <w:pStyle w:val="TableText"/>
              <w:ind w:left="768"/>
              <w:spacing w:before="312" w:line="221" w:lineRule="auto"/>
              <w:rPr>
                <w:sz w:val="26"/>
                <w:szCs w:val="26"/>
              </w:rPr>
            </w:pPr>
            <w:r>
              <w:rPr>
                <w:sz w:val="26"/>
                <w:szCs w:val="26"/>
                <w:b/>
                <w:bCs/>
                <w:spacing w:val="-10"/>
              </w:rPr>
              <w:t>一般</w:t>
            </w:r>
          </w:p>
        </w:tc>
        <w:tc>
          <w:tcPr>
            <w:tcW w:w="7844" w:type="dxa"/>
            <w:vAlign w:val="top"/>
          </w:tcPr>
          <w:p>
            <w:pPr>
              <w:pStyle w:val="TableText"/>
              <w:spacing w:before="128" w:line="218" w:lineRule="auto"/>
              <w:jc w:val="right"/>
              <w:rPr>
                <w:sz w:val="26"/>
                <w:szCs w:val="26"/>
              </w:rPr>
            </w:pPr>
            <w:r>
              <w:rPr>
                <w:sz w:val="26"/>
                <w:szCs w:val="26"/>
                <w:b/>
                <w:bCs/>
                <w:spacing w:val="-20"/>
              </w:rPr>
              <w:t>未依法履行</w:t>
            </w:r>
            <w:r>
              <w:rPr>
                <w:sz w:val="26"/>
                <w:szCs w:val="26"/>
                <w:b/>
                <w:bCs/>
                <w:spacing w:val="-19"/>
              </w:rPr>
              <w:t>肺结核疫情监测、报告职责，或者隐瞒、谎报、缓报肺结核</w:t>
            </w:r>
            <w:r>
              <w:rPr>
                <w:sz w:val="26"/>
                <w:szCs w:val="26"/>
                <w:b/>
                <w:bCs/>
                <w:spacing w:val="-14"/>
              </w:rPr>
              <w:t>疫</w:t>
            </w:r>
          </w:p>
          <w:p>
            <w:pPr>
              <w:pStyle w:val="TableText"/>
              <w:ind w:left="95"/>
              <w:spacing w:before="146" w:line="204" w:lineRule="auto"/>
              <w:rPr>
                <w:sz w:val="26"/>
                <w:szCs w:val="26"/>
              </w:rPr>
            </w:pPr>
            <w:r>
              <w:rPr>
                <w:sz w:val="26"/>
                <w:szCs w:val="26"/>
                <w:b/>
                <w:bCs/>
                <w:color w:val="505040"/>
                <w:spacing w:val="3"/>
              </w:rPr>
              <w:t>情的</w:t>
            </w:r>
          </w:p>
        </w:tc>
        <w:tc>
          <w:tcPr>
            <w:tcW w:w="3902" w:type="dxa"/>
            <w:vAlign w:val="top"/>
          </w:tcPr>
          <w:p>
            <w:pPr>
              <w:pStyle w:val="TableText"/>
              <w:ind w:left="111"/>
              <w:spacing w:before="308" w:line="218" w:lineRule="auto"/>
              <w:rPr>
                <w:sz w:val="26"/>
                <w:szCs w:val="26"/>
              </w:rPr>
            </w:pPr>
            <w:r>
              <w:rPr>
                <w:sz w:val="26"/>
                <w:szCs w:val="26"/>
                <w:b/>
                <w:bCs/>
                <w:spacing w:val="-2"/>
              </w:rPr>
              <w:t>通报批评，给予警告</w:t>
            </w:r>
          </w:p>
        </w:tc>
      </w:tr>
    </w:tbl>
    <w:p>
      <w:pPr>
        <w:ind w:left="689"/>
        <w:spacing w:before="77" w:line="220" w:lineRule="auto"/>
        <w:rPr>
          <w:rFonts w:ascii="FangSong" w:hAnsi="FangSong" w:eastAsia="FangSong" w:cs="FangSong"/>
          <w:sz w:val="31"/>
          <w:szCs w:val="31"/>
        </w:rPr>
      </w:pPr>
      <w:r>
        <w:rPr>
          <w:rFonts w:ascii="FangSong" w:hAnsi="FangSong" w:eastAsia="FangSong" w:cs="FangSong"/>
          <w:sz w:val="31"/>
          <w:szCs w:val="31"/>
          <w:b/>
          <w:bCs/>
          <w:spacing w:val="7"/>
        </w:rPr>
        <w:t>第一百三十条</w:t>
      </w:r>
      <w:r>
        <w:rPr>
          <w:rFonts w:ascii="FangSong" w:hAnsi="FangSong" w:eastAsia="FangSong" w:cs="FangSong"/>
          <w:sz w:val="31"/>
          <w:szCs w:val="31"/>
          <w:spacing w:val="7"/>
        </w:rPr>
        <w:t xml:space="preserve">  </w:t>
      </w:r>
      <w:r>
        <w:rPr>
          <w:rFonts w:ascii="FangSong" w:hAnsi="FangSong" w:eastAsia="FangSong" w:cs="FangSong"/>
          <w:sz w:val="31"/>
          <w:szCs w:val="31"/>
          <w:b/>
          <w:bCs/>
          <w:spacing w:val="7"/>
        </w:rPr>
        <w:t>疾病预防控制机构发现肺结核疫情时，未依据职责及时采取措施的</w:t>
      </w:r>
    </w:p>
    <w:p>
      <w:pPr>
        <w:ind w:left="684"/>
        <w:spacing w:before="108"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spacing w:line="222" w:lineRule="auto"/>
        <w:sectPr>
          <w:footerReference w:type="default" r:id="rId204"/>
          <w:pgSz w:w="16830" w:h="11900"/>
          <w:pgMar w:top="1011" w:right="1434" w:bottom="1098" w:left="1405" w:header="0" w:footer="765" w:gutter="0"/>
        </w:sectPr>
        <w:rPr>
          <w:rFonts w:ascii="FangSong" w:hAnsi="FangSong" w:eastAsia="FangSong" w:cs="FangSong"/>
          <w:sz w:val="27"/>
          <w:szCs w:val="27"/>
        </w:rPr>
      </w:pPr>
    </w:p>
    <w:p>
      <w:pPr>
        <w:pStyle w:val="BodyText"/>
        <w:spacing w:line="266" w:lineRule="auto"/>
        <w:rPr/>
      </w:pPr>
      <w:r/>
    </w:p>
    <w:p>
      <w:pPr>
        <w:pStyle w:val="BodyText"/>
        <w:spacing w:line="266" w:lineRule="auto"/>
        <w:rPr/>
      </w:pPr>
      <w:r/>
    </w:p>
    <w:p>
      <w:pPr>
        <w:pStyle w:val="BodyText"/>
        <w:spacing w:line="267" w:lineRule="auto"/>
        <w:rPr/>
      </w:pPr>
      <w:r/>
    </w:p>
    <w:p>
      <w:pPr>
        <w:ind w:right="30" w:firstLine="614"/>
        <w:spacing w:before="101" w:line="257" w:lineRule="auto"/>
        <w:jc w:val="both"/>
        <w:rPr>
          <w:rFonts w:ascii="FangSong" w:hAnsi="FangSong" w:eastAsia="FangSong" w:cs="FangSong"/>
          <w:sz w:val="31"/>
          <w:szCs w:val="31"/>
        </w:rPr>
      </w:pPr>
      <w:bookmarkStart w:name="bookmark859" w:id="187"/>
      <w:bookmarkEnd w:id="187"/>
      <w:r>
        <w:rPr>
          <w:rFonts w:ascii="FangSong" w:hAnsi="FangSong" w:eastAsia="FangSong" w:cs="FangSong"/>
          <w:sz w:val="31"/>
          <w:szCs w:val="31"/>
          <w:spacing w:val="13"/>
        </w:rPr>
        <w:t>《结核病防治管理办法》第三十五条第(二)项</w:t>
      </w:r>
      <w:r>
        <w:rPr>
          <w:rFonts w:ascii="FangSong" w:hAnsi="FangSong" w:eastAsia="FangSong" w:cs="FangSong"/>
          <w:sz w:val="31"/>
          <w:szCs w:val="31"/>
          <w:spacing w:val="13"/>
        </w:rPr>
        <w:t xml:space="preserve">  </w:t>
      </w:r>
      <w:r>
        <w:rPr>
          <w:rFonts w:ascii="FangSong" w:hAnsi="FangSong" w:eastAsia="FangSong" w:cs="FangSong"/>
          <w:sz w:val="31"/>
          <w:szCs w:val="31"/>
          <w:spacing w:val="13"/>
        </w:rPr>
        <w:t>疾病预防控制机构违反本办法规</w:t>
      </w:r>
      <w:r>
        <w:rPr>
          <w:rFonts w:ascii="FangSong" w:hAnsi="FangSong" w:eastAsia="FangSong" w:cs="FangSong"/>
          <w:sz w:val="31"/>
          <w:szCs w:val="31"/>
          <w:spacing w:val="12"/>
        </w:rPr>
        <w:t>定，有下列情</w:t>
      </w:r>
      <w:r>
        <w:rPr>
          <w:rFonts w:ascii="FangSong" w:hAnsi="FangSong" w:eastAsia="FangSong" w:cs="FangSong"/>
          <w:sz w:val="31"/>
          <w:szCs w:val="31"/>
        </w:rPr>
        <w:t xml:space="preserve"> </w:t>
      </w:r>
      <w:r>
        <w:rPr>
          <w:rFonts w:ascii="FangSong" w:hAnsi="FangSong" w:eastAsia="FangSong" w:cs="FangSong"/>
          <w:sz w:val="31"/>
          <w:szCs w:val="31"/>
          <w:spacing w:val="7"/>
        </w:rPr>
        <w:t>形之一的，由县级以上卫生行政部门责令限期改正，通报批评，给予警告；对负有责任的主管人员和</w:t>
      </w:r>
      <w:r>
        <w:rPr>
          <w:rFonts w:ascii="FangSong" w:hAnsi="FangSong" w:eastAsia="FangSong" w:cs="FangSong"/>
          <w:sz w:val="31"/>
          <w:szCs w:val="31"/>
          <w:spacing w:val="5"/>
        </w:rPr>
        <w:t xml:space="preserve"> </w:t>
      </w:r>
      <w:r>
        <w:rPr>
          <w:rFonts w:ascii="FangSong" w:hAnsi="FangSong" w:eastAsia="FangSong" w:cs="FangSong"/>
          <w:sz w:val="31"/>
          <w:szCs w:val="31"/>
          <w:spacing w:val="7"/>
        </w:rPr>
        <w:t>其他直接责任人员，依法给予处分；构成犯罪的，依法追究刑事</w:t>
      </w:r>
      <w:r>
        <w:rPr>
          <w:rFonts w:ascii="FangSong" w:hAnsi="FangSong" w:eastAsia="FangSong" w:cs="FangSong"/>
          <w:sz w:val="31"/>
          <w:szCs w:val="31"/>
          <w:spacing w:val="6"/>
        </w:rPr>
        <w:t>责任：</w:t>
      </w:r>
    </w:p>
    <w:p>
      <w:pPr>
        <w:ind w:left="769"/>
        <w:spacing w:before="29" w:line="222" w:lineRule="auto"/>
        <w:rPr>
          <w:rFonts w:ascii="FangSong" w:hAnsi="FangSong" w:eastAsia="FangSong" w:cs="FangSong"/>
          <w:sz w:val="31"/>
          <w:szCs w:val="31"/>
        </w:rPr>
      </w:pPr>
      <w:r>
        <w:rPr>
          <w:rFonts w:ascii="FangSong" w:hAnsi="FangSong" w:eastAsia="FangSong" w:cs="FangSong"/>
          <w:sz w:val="31"/>
          <w:szCs w:val="31"/>
          <w:spacing w:val="13"/>
        </w:rPr>
        <w:t>(二)发现肺结核疫情时，未依据职责及时采取措施的；</w:t>
      </w:r>
    </w:p>
    <w:p>
      <w:pPr>
        <w:ind w:left="6684"/>
        <w:spacing w:before="35"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10" w:type="dxa"/>
        <w:tblInd w:w="4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74"/>
        <w:gridCol w:w="7834"/>
        <w:gridCol w:w="3902"/>
      </w:tblGrid>
      <w:tr>
        <w:trPr>
          <w:trHeight w:val="441" w:hRule="atLeast"/>
        </w:trPr>
        <w:tc>
          <w:tcPr>
            <w:tcW w:w="2074" w:type="dxa"/>
            <w:vAlign w:val="top"/>
          </w:tcPr>
          <w:p>
            <w:pPr>
              <w:pStyle w:val="TableText"/>
              <w:ind w:left="508"/>
              <w:spacing w:before="92" w:line="220" w:lineRule="auto"/>
              <w:rPr>
                <w:sz w:val="26"/>
                <w:szCs w:val="26"/>
              </w:rPr>
            </w:pPr>
            <w:r>
              <w:rPr>
                <w:sz w:val="26"/>
                <w:szCs w:val="26"/>
                <w:b/>
                <w:bCs/>
                <w:spacing w:val="-5"/>
              </w:rPr>
              <w:t>违法程度</w:t>
            </w:r>
          </w:p>
        </w:tc>
        <w:tc>
          <w:tcPr>
            <w:tcW w:w="7834" w:type="dxa"/>
            <w:vAlign w:val="top"/>
          </w:tcPr>
          <w:p>
            <w:pPr>
              <w:pStyle w:val="TableText"/>
              <w:ind w:left="3614"/>
              <w:spacing w:before="92" w:line="220" w:lineRule="auto"/>
              <w:rPr>
                <w:sz w:val="26"/>
                <w:szCs w:val="26"/>
              </w:rPr>
            </w:pPr>
            <w:r>
              <w:rPr>
                <w:sz w:val="26"/>
                <w:szCs w:val="26"/>
                <w:b/>
                <w:bCs/>
                <w:spacing w:val="-5"/>
              </w:rPr>
              <w:t>情节后果</w:t>
            </w:r>
          </w:p>
        </w:tc>
        <w:tc>
          <w:tcPr>
            <w:tcW w:w="3902" w:type="dxa"/>
            <w:vAlign w:val="top"/>
          </w:tcPr>
          <w:p>
            <w:pPr>
              <w:pStyle w:val="TableText"/>
              <w:ind w:left="1400"/>
              <w:spacing w:before="89" w:line="218" w:lineRule="auto"/>
              <w:rPr>
                <w:sz w:val="26"/>
                <w:szCs w:val="26"/>
              </w:rPr>
            </w:pPr>
            <w:r>
              <w:rPr>
                <w:sz w:val="26"/>
                <w:szCs w:val="26"/>
                <w:b/>
                <w:bCs/>
                <w:spacing w:val="-5"/>
              </w:rPr>
              <w:t>裁量幅度</w:t>
            </w:r>
          </w:p>
        </w:tc>
      </w:tr>
      <w:tr>
        <w:trPr>
          <w:trHeight w:val="659" w:hRule="atLeast"/>
        </w:trPr>
        <w:tc>
          <w:tcPr>
            <w:tcW w:w="2074" w:type="dxa"/>
            <w:vAlign w:val="top"/>
          </w:tcPr>
          <w:p>
            <w:pPr>
              <w:pStyle w:val="TableText"/>
              <w:ind w:left="768"/>
              <w:spacing w:before="202" w:line="221" w:lineRule="auto"/>
              <w:rPr>
                <w:sz w:val="26"/>
                <w:szCs w:val="26"/>
              </w:rPr>
            </w:pPr>
            <w:r>
              <w:rPr>
                <w:sz w:val="26"/>
                <w:szCs w:val="26"/>
                <w:b/>
                <w:bCs/>
                <w:spacing w:val="-10"/>
              </w:rPr>
              <w:t>一般</w:t>
            </w:r>
          </w:p>
        </w:tc>
        <w:tc>
          <w:tcPr>
            <w:tcW w:w="7834" w:type="dxa"/>
            <w:vAlign w:val="top"/>
          </w:tcPr>
          <w:p>
            <w:pPr>
              <w:pStyle w:val="TableText"/>
              <w:ind w:left="84"/>
              <w:spacing w:before="269" w:line="219" w:lineRule="auto"/>
              <w:rPr>
                <w:sz w:val="26"/>
                <w:szCs w:val="26"/>
              </w:rPr>
            </w:pPr>
            <w:r>
              <w:rPr>
                <w:sz w:val="26"/>
                <w:szCs w:val="26"/>
                <w:b/>
                <w:bCs/>
                <w:spacing w:val="-3"/>
              </w:rPr>
              <w:t>发现肺结核疫情时，未依据职责及时采取措施的</w:t>
            </w:r>
          </w:p>
        </w:tc>
        <w:tc>
          <w:tcPr>
            <w:tcW w:w="3902" w:type="dxa"/>
            <w:vAlign w:val="top"/>
          </w:tcPr>
          <w:p>
            <w:pPr>
              <w:pStyle w:val="TableText"/>
              <w:ind w:left="100"/>
              <w:spacing w:before="268" w:line="218" w:lineRule="auto"/>
              <w:rPr>
                <w:sz w:val="26"/>
                <w:szCs w:val="26"/>
              </w:rPr>
            </w:pPr>
            <w:r>
              <w:rPr>
                <w:sz w:val="26"/>
                <w:szCs w:val="26"/>
                <w:b/>
                <w:bCs/>
                <w:spacing w:val="-2"/>
              </w:rPr>
              <w:t>通报批评，给予警告</w:t>
            </w:r>
          </w:p>
        </w:tc>
      </w:tr>
    </w:tbl>
    <w:p>
      <w:pPr>
        <w:ind w:left="4" w:right="195" w:firstLine="649"/>
        <w:spacing w:before="137" w:line="261" w:lineRule="auto"/>
        <w:rPr>
          <w:rFonts w:ascii="FangSong" w:hAnsi="FangSong" w:eastAsia="FangSong" w:cs="FangSong"/>
          <w:sz w:val="31"/>
          <w:szCs w:val="31"/>
        </w:rPr>
      </w:pPr>
      <w:r>
        <w:rPr>
          <w:rFonts w:ascii="FangSong" w:hAnsi="FangSong" w:eastAsia="FangSong" w:cs="FangSong"/>
          <w:sz w:val="31"/>
          <w:szCs w:val="31"/>
          <w:b/>
          <w:bCs/>
          <w:spacing w:val="7"/>
        </w:rPr>
        <w:t>第一百三十一条</w:t>
      </w:r>
      <w:r>
        <w:rPr>
          <w:rFonts w:ascii="FangSong" w:hAnsi="FangSong" w:eastAsia="FangSong" w:cs="FangSong"/>
          <w:sz w:val="31"/>
          <w:szCs w:val="31"/>
          <w:spacing w:val="7"/>
        </w:rPr>
        <w:t xml:space="preserve">  </w:t>
      </w:r>
      <w:r>
        <w:rPr>
          <w:rFonts w:ascii="FangSong" w:hAnsi="FangSong" w:eastAsia="FangSong" w:cs="FangSong"/>
          <w:sz w:val="31"/>
          <w:szCs w:val="31"/>
          <w:b/>
          <w:bCs/>
          <w:spacing w:val="7"/>
        </w:rPr>
        <w:t>疾病预防控制机构故意泄露涉及肺结核患者、疑似肺结核患者、密切接触者</w:t>
      </w:r>
      <w:r>
        <w:rPr>
          <w:rFonts w:ascii="FangSong" w:hAnsi="FangSong" w:eastAsia="FangSong" w:cs="FangSong"/>
          <w:sz w:val="31"/>
          <w:szCs w:val="31"/>
        </w:rPr>
        <w:t xml:space="preserve"> </w:t>
      </w:r>
      <w:r>
        <w:rPr>
          <w:rFonts w:ascii="FangSong" w:hAnsi="FangSong" w:eastAsia="FangSong" w:cs="FangSong"/>
          <w:sz w:val="31"/>
          <w:szCs w:val="31"/>
          <w:b/>
          <w:bCs/>
          <w:spacing w:val="3"/>
        </w:rPr>
        <w:t>个人隐私的有关信息、资料</w:t>
      </w:r>
    </w:p>
    <w:p>
      <w:pPr>
        <w:ind w:left="639"/>
        <w:spacing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right="30" w:firstLine="614"/>
        <w:spacing w:before="87" w:line="262" w:lineRule="auto"/>
        <w:jc w:val="both"/>
        <w:rPr>
          <w:rFonts w:ascii="FangSong" w:hAnsi="FangSong" w:eastAsia="FangSong" w:cs="FangSong"/>
          <w:sz w:val="31"/>
          <w:szCs w:val="31"/>
        </w:rPr>
      </w:pPr>
      <w:r>
        <w:rPr>
          <w:rFonts w:ascii="FangSong" w:hAnsi="FangSong" w:eastAsia="FangSong" w:cs="FangSong"/>
          <w:sz w:val="31"/>
          <w:szCs w:val="31"/>
          <w:spacing w:val="17"/>
        </w:rPr>
        <w:t>《结核病防治管理办法》第三十五条第(三)</w:t>
      </w:r>
      <w:r>
        <w:rPr>
          <w:rFonts w:ascii="FangSong" w:hAnsi="FangSong" w:eastAsia="FangSong" w:cs="FangSong"/>
          <w:sz w:val="31"/>
          <w:szCs w:val="31"/>
          <w:spacing w:val="16"/>
        </w:rPr>
        <w:t>项</w:t>
      </w:r>
      <w:r>
        <w:rPr>
          <w:rFonts w:ascii="FangSong" w:hAnsi="FangSong" w:eastAsia="FangSong" w:cs="FangSong"/>
          <w:sz w:val="31"/>
          <w:szCs w:val="31"/>
          <w:spacing w:val="16"/>
        </w:rPr>
        <w:t xml:space="preserve">   </w:t>
      </w:r>
      <w:r>
        <w:rPr>
          <w:rFonts w:ascii="FangSong" w:hAnsi="FangSong" w:eastAsia="FangSong" w:cs="FangSong"/>
          <w:sz w:val="31"/>
          <w:szCs w:val="31"/>
          <w:spacing w:val="16"/>
        </w:rPr>
        <w:t>病预防控制机构违反本办法规定，有下列情</w:t>
      </w:r>
      <w:r>
        <w:rPr>
          <w:rFonts w:ascii="FangSong" w:hAnsi="FangSong" w:eastAsia="FangSong" w:cs="FangSong"/>
          <w:sz w:val="31"/>
          <w:szCs w:val="31"/>
        </w:rPr>
        <w:t xml:space="preserve"> </w:t>
      </w:r>
      <w:r>
        <w:rPr>
          <w:rFonts w:ascii="FangSong" w:hAnsi="FangSong" w:eastAsia="FangSong" w:cs="FangSong"/>
          <w:sz w:val="31"/>
          <w:szCs w:val="31"/>
          <w:spacing w:val="7"/>
        </w:rPr>
        <w:t>形之一的，由县级以上卫生行政部门责令限期改正，通报批评，给予警告；对负有责任的主管人员和</w:t>
      </w:r>
      <w:r>
        <w:rPr>
          <w:rFonts w:ascii="FangSong" w:hAnsi="FangSong" w:eastAsia="FangSong" w:cs="FangSong"/>
          <w:sz w:val="31"/>
          <w:szCs w:val="31"/>
          <w:spacing w:val="5"/>
        </w:rPr>
        <w:t xml:space="preserve"> </w:t>
      </w:r>
      <w:r>
        <w:rPr>
          <w:rFonts w:ascii="FangSong" w:hAnsi="FangSong" w:eastAsia="FangSong" w:cs="FangSong"/>
          <w:sz w:val="31"/>
          <w:szCs w:val="31"/>
          <w:spacing w:val="7"/>
        </w:rPr>
        <w:t>其他直接责任人员，依法给予处分；构成犯罪的，依法追究刑事</w:t>
      </w:r>
      <w:r>
        <w:rPr>
          <w:rFonts w:ascii="FangSong" w:hAnsi="FangSong" w:eastAsia="FangSong" w:cs="FangSong"/>
          <w:sz w:val="31"/>
          <w:szCs w:val="31"/>
          <w:spacing w:val="6"/>
        </w:rPr>
        <w:t>责任：</w:t>
      </w:r>
    </w:p>
    <w:p>
      <w:pPr>
        <w:spacing w:before="25" w:line="220" w:lineRule="auto"/>
        <w:jc w:val="right"/>
        <w:rPr>
          <w:rFonts w:ascii="FangSong" w:hAnsi="FangSong" w:eastAsia="FangSong" w:cs="FangSong"/>
          <w:sz w:val="31"/>
          <w:szCs w:val="31"/>
        </w:rPr>
      </w:pPr>
      <w:r>
        <w:rPr>
          <w:rFonts w:ascii="FangSong" w:hAnsi="FangSong" w:eastAsia="FangSong" w:cs="FangSong"/>
          <w:sz w:val="31"/>
          <w:szCs w:val="31"/>
          <w:spacing w:val="12"/>
        </w:rPr>
        <w:t>(三)故意泄露涉及肺结核患者、疑似肺结核患者、密切接触者个人隐私的有关信息、资料的；</w:t>
      </w:r>
    </w:p>
    <w:p>
      <w:pPr>
        <w:spacing w:line="220" w:lineRule="auto"/>
        <w:sectPr>
          <w:footerReference w:type="default" r:id="rId205"/>
          <w:pgSz w:w="16830" w:h="11900"/>
          <w:pgMar w:top="1011" w:right="1395" w:bottom="1107" w:left="1450" w:header="0" w:footer="774" w:gutter="0"/>
        </w:sectPr>
        <w:rPr>
          <w:rFonts w:ascii="FangSong" w:hAnsi="FangSong" w:eastAsia="FangSong" w:cs="FangSong"/>
          <w:sz w:val="31"/>
          <w:szCs w:val="31"/>
        </w:rPr>
      </w:pPr>
    </w:p>
    <w:p>
      <w:pPr>
        <w:pStyle w:val="BodyText"/>
        <w:spacing w:line="260" w:lineRule="auto"/>
        <w:rPr/>
      </w:pPr>
      <w:r/>
    </w:p>
    <w:p>
      <w:pPr>
        <w:pStyle w:val="BodyText"/>
        <w:spacing w:line="260" w:lineRule="auto"/>
        <w:rPr/>
      </w:pPr>
      <w:r/>
    </w:p>
    <w:p>
      <w:pPr>
        <w:pStyle w:val="BodyText"/>
        <w:spacing w:line="261" w:lineRule="auto"/>
        <w:rPr/>
      </w:pPr>
      <w:r/>
    </w:p>
    <w:p>
      <w:pPr>
        <w:ind w:left="6684"/>
        <w:spacing w:before="91" w:line="220" w:lineRule="auto"/>
        <w:rPr>
          <w:rFonts w:ascii="SimSun" w:hAnsi="SimSun" w:eastAsia="SimSun" w:cs="SimSun"/>
          <w:sz w:val="28"/>
          <w:szCs w:val="28"/>
        </w:rPr>
      </w:pPr>
      <w:bookmarkStart w:name="bookmark860" w:id="188"/>
      <w:bookmarkEnd w:id="188"/>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810" w:type="dxa"/>
        <w:tblInd w:w="4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54"/>
        <w:gridCol w:w="7844"/>
        <w:gridCol w:w="3912"/>
      </w:tblGrid>
      <w:tr>
        <w:trPr>
          <w:trHeight w:val="561" w:hRule="atLeast"/>
        </w:trPr>
        <w:tc>
          <w:tcPr>
            <w:tcW w:w="2054" w:type="dxa"/>
            <w:vAlign w:val="top"/>
          </w:tcPr>
          <w:p>
            <w:pPr>
              <w:pStyle w:val="TableText"/>
              <w:ind w:left="498"/>
              <w:spacing w:before="152" w:line="220" w:lineRule="auto"/>
              <w:rPr>
                <w:sz w:val="26"/>
                <w:szCs w:val="26"/>
              </w:rPr>
            </w:pPr>
            <w:r>
              <w:rPr>
                <w:sz w:val="26"/>
                <w:szCs w:val="26"/>
                <w:b/>
                <w:bCs/>
                <w:spacing w:val="-5"/>
              </w:rPr>
              <w:t>违法程度</w:t>
            </w:r>
          </w:p>
        </w:tc>
        <w:tc>
          <w:tcPr>
            <w:tcW w:w="7844" w:type="dxa"/>
            <w:vAlign w:val="top"/>
          </w:tcPr>
          <w:p>
            <w:pPr>
              <w:pStyle w:val="TableText"/>
              <w:ind w:left="3394"/>
              <w:spacing w:before="152" w:line="220" w:lineRule="auto"/>
              <w:rPr>
                <w:sz w:val="26"/>
                <w:szCs w:val="26"/>
              </w:rPr>
            </w:pPr>
            <w:r>
              <w:rPr>
                <w:sz w:val="26"/>
                <w:szCs w:val="26"/>
                <w:b/>
                <w:bCs/>
                <w:spacing w:val="-5"/>
              </w:rPr>
              <w:t>情节后果</w:t>
            </w:r>
          </w:p>
        </w:tc>
        <w:tc>
          <w:tcPr>
            <w:tcW w:w="3912" w:type="dxa"/>
            <w:vAlign w:val="top"/>
          </w:tcPr>
          <w:p>
            <w:pPr>
              <w:pStyle w:val="TableText"/>
              <w:ind w:left="1410"/>
              <w:spacing w:before="149" w:line="218" w:lineRule="auto"/>
              <w:rPr>
                <w:sz w:val="26"/>
                <w:szCs w:val="26"/>
              </w:rPr>
            </w:pPr>
            <w:r>
              <w:rPr>
                <w:sz w:val="26"/>
                <w:szCs w:val="26"/>
                <w:b/>
                <w:bCs/>
                <w:spacing w:val="-5"/>
              </w:rPr>
              <w:t>裁量幅度</w:t>
            </w:r>
          </w:p>
        </w:tc>
      </w:tr>
      <w:tr>
        <w:trPr>
          <w:trHeight w:val="879" w:hRule="atLeast"/>
        </w:trPr>
        <w:tc>
          <w:tcPr>
            <w:tcW w:w="2054" w:type="dxa"/>
            <w:vAlign w:val="top"/>
          </w:tcPr>
          <w:p>
            <w:pPr>
              <w:pStyle w:val="TableText"/>
              <w:ind w:left="758"/>
              <w:spacing w:before="312" w:line="221" w:lineRule="auto"/>
              <w:rPr>
                <w:sz w:val="26"/>
                <w:szCs w:val="26"/>
              </w:rPr>
            </w:pPr>
            <w:r>
              <w:rPr>
                <w:sz w:val="26"/>
                <w:szCs w:val="26"/>
                <w:b/>
                <w:bCs/>
                <w:spacing w:val="-10"/>
              </w:rPr>
              <w:t>一般</w:t>
            </w:r>
          </w:p>
        </w:tc>
        <w:tc>
          <w:tcPr>
            <w:tcW w:w="7844" w:type="dxa"/>
            <w:vAlign w:val="top"/>
          </w:tcPr>
          <w:p>
            <w:pPr>
              <w:pStyle w:val="TableText"/>
              <w:ind w:left="84" w:hanging="70"/>
              <w:spacing w:before="139" w:line="259" w:lineRule="auto"/>
              <w:rPr>
                <w:sz w:val="26"/>
                <w:szCs w:val="26"/>
              </w:rPr>
            </w:pPr>
            <w:r>
              <w:rPr>
                <w:sz w:val="26"/>
                <w:szCs w:val="26"/>
                <w:b/>
                <w:bCs/>
                <w:spacing w:val="-19"/>
              </w:rPr>
              <w:t>故意泄露涉及</w:t>
            </w:r>
            <w:r>
              <w:rPr>
                <w:sz w:val="26"/>
                <w:szCs w:val="26"/>
                <w:b/>
                <w:bCs/>
                <w:spacing w:val="-18"/>
              </w:rPr>
              <w:t>肺结核患者、疑似肺结核患者</w:t>
            </w:r>
            <w:r>
              <w:rPr>
                <w:sz w:val="26"/>
                <w:szCs w:val="26"/>
                <w:b/>
                <w:bCs/>
                <w:spacing w:val="-19"/>
              </w:rPr>
              <w:t>、密切接触者个人隐私的有</w:t>
            </w:r>
            <w:r>
              <w:rPr>
                <w:sz w:val="26"/>
                <w:szCs w:val="26"/>
                <w:b/>
                <w:bCs/>
                <w:spacing w:val="-13"/>
              </w:rPr>
              <w:t>关</w:t>
            </w:r>
            <w:r>
              <w:rPr>
                <w:sz w:val="26"/>
                <w:szCs w:val="26"/>
              </w:rPr>
              <w:t xml:space="preserve"> </w:t>
            </w:r>
            <w:r>
              <w:rPr>
                <w:sz w:val="26"/>
                <w:szCs w:val="26"/>
                <w:b/>
                <w:bCs/>
                <w:spacing w:val="-1"/>
              </w:rPr>
              <w:t>信息、资料的</w:t>
            </w:r>
          </w:p>
        </w:tc>
        <w:tc>
          <w:tcPr>
            <w:tcW w:w="3912" w:type="dxa"/>
            <w:vAlign w:val="top"/>
          </w:tcPr>
          <w:p>
            <w:pPr>
              <w:spacing w:line="282" w:lineRule="auto"/>
              <w:rPr>
                <w:rFonts w:ascii="Arial"/>
                <w:sz w:val="21"/>
              </w:rPr>
            </w:pPr>
            <w:r/>
          </w:p>
          <w:p>
            <w:pPr>
              <w:pStyle w:val="TableText"/>
              <w:ind w:left="110"/>
              <w:spacing w:before="85" w:line="218" w:lineRule="auto"/>
              <w:rPr>
                <w:sz w:val="26"/>
                <w:szCs w:val="26"/>
              </w:rPr>
            </w:pPr>
            <w:r>
              <w:rPr>
                <w:sz w:val="26"/>
                <w:szCs w:val="26"/>
                <w:b/>
                <w:bCs/>
                <w:spacing w:val="-2"/>
              </w:rPr>
              <w:t>通报批评，警告</w:t>
            </w:r>
          </w:p>
        </w:tc>
      </w:tr>
    </w:tbl>
    <w:p>
      <w:pPr>
        <w:ind w:left="619" w:right="1147"/>
        <w:spacing w:before="125" w:line="264" w:lineRule="auto"/>
        <w:rPr>
          <w:rFonts w:ascii="FangSong" w:hAnsi="FangSong" w:eastAsia="FangSong" w:cs="FangSong"/>
          <w:sz w:val="30"/>
          <w:szCs w:val="30"/>
        </w:rPr>
      </w:pPr>
      <w:r>
        <w:rPr>
          <w:rFonts w:ascii="FangSong" w:hAnsi="FangSong" w:eastAsia="FangSong" w:cs="FangSong"/>
          <w:sz w:val="30"/>
          <w:szCs w:val="30"/>
          <w:spacing w:val="17"/>
        </w:rPr>
        <w:t>第</w:t>
      </w:r>
      <w:r>
        <w:rPr>
          <w:rFonts w:ascii="FangSong" w:hAnsi="FangSong" w:eastAsia="FangSong" w:cs="FangSong"/>
          <w:sz w:val="30"/>
          <w:szCs w:val="30"/>
          <w:b/>
          <w:bCs/>
          <w:spacing w:val="17"/>
        </w:rPr>
        <w:t>一百三十二条</w:t>
      </w:r>
      <w:r>
        <w:rPr>
          <w:rFonts w:ascii="FangSong" w:hAnsi="FangSong" w:eastAsia="FangSong" w:cs="FangSong"/>
          <w:sz w:val="30"/>
          <w:szCs w:val="30"/>
          <w:spacing w:val="17"/>
        </w:rPr>
        <w:t xml:space="preserve">  </w:t>
      </w:r>
      <w:r>
        <w:rPr>
          <w:rFonts w:ascii="FangSong" w:hAnsi="FangSong" w:eastAsia="FangSong" w:cs="FangSong"/>
          <w:sz w:val="30"/>
          <w:szCs w:val="30"/>
          <w:b/>
          <w:bCs/>
          <w:spacing w:val="17"/>
        </w:rPr>
        <w:t>疾病预防控制机构未履行对辖区实验室质量控制、培训等防治职责的</w:t>
      </w:r>
      <w:r>
        <w:rPr>
          <w:rFonts w:ascii="FangSong" w:hAnsi="FangSong" w:eastAsia="FangSong" w:cs="FangSong"/>
          <w:sz w:val="30"/>
          <w:szCs w:val="30"/>
          <w:spacing w:val="7"/>
        </w:rPr>
        <w:t xml:space="preserve"> </w:t>
      </w:r>
      <w:r>
        <w:rPr>
          <w:rFonts w:ascii="FangSong" w:hAnsi="FangSong" w:eastAsia="FangSong" w:cs="FangSong"/>
          <w:sz w:val="30"/>
          <w:szCs w:val="30"/>
          <w:spacing w:val="2"/>
        </w:rPr>
        <w:t>法律依据：</w:t>
      </w:r>
    </w:p>
    <w:p>
      <w:pPr>
        <w:ind w:firstLine="629"/>
        <w:spacing w:before="3" w:line="276" w:lineRule="auto"/>
        <w:jc w:val="both"/>
        <w:rPr>
          <w:rFonts w:ascii="FangSong" w:hAnsi="FangSong" w:eastAsia="FangSong" w:cs="FangSong"/>
          <w:sz w:val="30"/>
          <w:szCs w:val="30"/>
        </w:rPr>
      </w:pPr>
      <w:r>
        <w:rPr>
          <w:rFonts w:ascii="FangSong" w:hAnsi="FangSong" w:eastAsia="FangSong" w:cs="FangSong"/>
          <w:sz w:val="30"/>
          <w:szCs w:val="30"/>
          <w:spacing w:val="25"/>
        </w:rPr>
        <w:t>《结核病防治管理办法》第三十五条第(四)项</w:t>
      </w:r>
      <w:r>
        <w:rPr>
          <w:rFonts w:ascii="FangSong" w:hAnsi="FangSong" w:eastAsia="FangSong" w:cs="FangSong"/>
          <w:sz w:val="30"/>
          <w:szCs w:val="30"/>
          <w:spacing w:val="25"/>
        </w:rPr>
        <w:t xml:space="preserve">   </w:t>
      </w:r>
      <w:r>
        <w:rPr>
          <w:rFonts w:ascii="FangSong" w:hAnsi="FangSong" w:eastAsia="FangSong" w:cs="FangSong"/>
          <w:sz w:val="30"/>
          <w:szCs w:val="30"/>
          <w:spacing w:val="25"/>
        </w:rPr>
        <w:t>病预防控制机构违反本办法规定，有下列情</w:t>
      </w:r>
      <w:r>
        <w:rPr>
          <w:rFonts w:ascii="FangSong" w:hAnsi="FangSong" w:eastAsia="FangSong" w:cs="FangSong"/>
          <w:sz w:val="30"/>
          <w:szCs w:val="30"/>
          <w:spacing w:val="12"/>
        </w:rPr>
        <w:t xml:space="preserve"> </w:t>
      </w:r>
      <w:r>
        <w:rPr>
          <w:rFonts w:ascii="FangSong" w:hAnsi="FangSong" w:eastAsia="FangSong" w:cs="FangSong"/>
          <w:sz w:val="30"/>
          <w:szCs w:val="30"/>
          <w:spacing w:val="17"/>
        </w:rPr>
        <w:t>形之一的，由县级以上卫生行政部门责令限期改正，通报批评，给予警告；对负有责任的主管人员和</w:t>
      </w:r>
      <w:r>
        <w:rPr>
          <w:rFonts w:ascii="FangSong" w:hAnsi="FangSong" w:eastAsia="FangSong" w:cs="FangSong"/>
          <w:sz w:val="30"/>
          <w:szCs w:val="30"/>
          <w:spacing w:val="3"/>
        </w:rPr>
        <w:t xml:space="preserve"> </w:t>
      </w:r>
      <w:r>
        <w:rPr>
          <w:rFonts w:ascii="FangSong" w:hAnsi="FangSong" w:eastAsia="FangSong" w:cs="FangSong"/>
          <w:sz w:val="30"/>
          <w:szCs w:val="30"/>
          <w:spacing w:val="17"/>
        </w:rPr>
        <w:t>其他直接责任人员，依法给予处分；构成犯罪的，依法追究刑事责任：</w:t>
      </w:r>
    </w:p>
    <w:p>
      <w:pPr>
        <w:ind w:left="769"/>
        <w:spacing w:before="1" w:line="220" w:lineRule="auto"/>
        <w:rPr>
          <w:rFonts w:ascii="FangSong" w:hAnsi="FangSong" w:eastAsia="FangSong" w:cs="FangSong"/>
          <w:sz w:val="30"/>
          <w:szCs w:val="30"/>
        </w:rPr>
      </w:pPr>
      <w:r>
        <w:rPr>
          <w:rFonts w:ascii="FangSong" w:hAnsi="FangSong" w:eastAsia="FangSong" w:cs="FangSong"/>
          <w:sz w:val="30"/>
          <w:szCs w:val="30"/>
          <w:spacing w:val="24"/>
        </w:rPr>
        <w:t>(四)未履行对辖区实验室质量控制、培训等</w:t>
      </w:r>
      <w:r>
        <w:rPr>
          <w:rFonts w:ascii="FangSong" w:hAnsi="FangSong" w:eastAsia="FangSong" w:cs="FangSong"/>
          <w:sz w:val="30"/>
          <w:szCs w:val="30"/>
          <w:spacing w:val="23"/>
        </w:rPr>
        <w:t>防治职责的。</w:t>
      </w:r>
    </w:p>
    <w:p>
      <w:pPr>
        <w:ind w:left="6684"/>
        <w:spacing w:before="6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810" w:type="dxa"/>
        <w:tblInd w:w="4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74"/>
        <w:gridCol w:w="7834"/>
        <w:gridCol w:w="3902"/>
      </w:tblGrid>
      <w:tr>
        <w:trPr>
          <w:trHeight w:val="550" w:hRule="atLeast"/>
        </w:trPr>
        <w:tc>
          <w:tcPr>
            <w:tcW w:w="2074" w:type="dxa"/>
            <w:vAlign w:val="top"/>
          </w:tcPr>
          <w:p>
            <w:pPr>
              <w:pStyle w:val="TableText"/>
              <w:ind w:left="508"/>
              <w:spacing w:before="152" w:line="220" w:lineRule="auto"/>
              <w:rPr>
                <w:sz w:val="26"/>
                <w:szCs w:val="26"/>
              </w:rPr>
            </w:pPr>
            <w:r>
              <w:rPr>
                <w:sz w:val="26"/>
                <w:szCs w:val="26"/>
                <w:b/>
                <w:bCs/>
                <w:spacing w:val="-5"/>
              </w:rPr>
              <w:t>违法程度</w:t>
            </w:r>
          </w:p>
        </w:tc>
        <w:tc>
          <w:tcPr>
            <w:tcW w:w="7834" w:type="dxa"/>
            <w:vAlign w:val="top"/>
          </w:tcPr>
          <w:p>
            <w:pPr>
              <w:pStyle w:val="TableText"/>
              <w:ind w:left="3614"/>
              <w:spacing w:before="152" w:line="220" w:lineRule="auto"/>
              <w:rPr>
                <w:sz w:val="26"/>
                <w:szCs w:val="26"/>
              </w:rPr>
            </w:pPr>
            <w:r>
              <w:rPr>
                <w:sz w:val="26"/>
                <w:szCs w:val="26"/>
                <w:b/>
                <w:bCs/>
                <w:spacing w:val="-5"/>
              </w:rPr>
              <w:t>情节后果</w:t>
            </w:r>
          </w:p>
        </w:tc>
        <w:tc>
          <w:tcPr>
            <w:tcW w:w="3902" w:type="dxa"/>
            <w:vAlign w:val="top"/>
          </w:tcPr>
          <w:p>
            <w:pPr>
              <w:pStyle w:val="TableText"/>
              <w:ind w:left="1400"/>
              <w:spacing w:before="149" w:line="218" w:lineRule="auto"/>
              <w:rPr>
                <w:sz w:val="26"/>
                <w:szCs w:val="26"/>
              </w:rPr>
            </w:pPr>
            <w:r>
              <w:rPr>
                <w:sz w:val="26"/>
                <w:szCs w:val="26"/>
                <w:b/>
                <w:bCs/>
                <w:spacing w:val="-5"/>
              </w:rPr>
              <w:t>裁量幅度</w:t>
            </w:r>
          </w:p>
        </w:tc>
      </w:tr>
      <w:tr>
        <w:trPr>
          <w:trHeight w:val="669" w:hRule="atLeast"/>
        </w:trPr>
        <w:tc>
          <w:tcPr>
            <w:tcW w:w="2074" w:type="dxa"/>
            <w:vAlign w:val="top"/>
          </w:tcPr>
          <w:p>
            <w:pPr>
              <w:pStyle w:val="TableText"/>
              <w:ind w:left="768"/>
              <w:spacing w:before="263" w:line="221" w:lineRule="auto"/>
              <w:rPr>
                <w:sz w:val="26"/>
                <w:szCs w:val="26"/>
              </w:rPr>
            </w:pPr>
            <w:r>
              <w:rPr>
                <w:sz w:val="26"/>
                <w:szCs w:val="26"/>
                <w:b/>
                <w:bCs/>
                <w:spacing w:val="-10"/>
              </w:rPr>
              <w:t>一般</w:t>
            </w:r>
          </w:p>
        </w:tc>
        <w:tc>
          <w:tcPr>
            <w:tcW w:w="7834" w:type="dxa"/>
            <w:vAlign w:val="top"/>
          </w:tcPr>
          <w:p>
            <w:pPr>
              <w:pStyle w:val="TableText"/>
              <w:ind w:left="84"/>
              <w:spacing w:before="260" w:line="219" w:lineRule="auto"/>
              <w:rPr>
                <w:sz w:val="26"/>
                <w:szCs w:val="26"/>
              </w:rPr>
            </w:pPr>
            <w:r>
              <w:rPr>
                <w:sz w:val="26"/>
                <w:szCs w:val="26"/>
                <w:b/>
                <w:bCs/>
                <w:spacing w:val="-3"/>
              </w:rPr>
              <w:t>未履行对辖区实验室质量控制、培训等防治职责的</w:t>
            </w:r>
          </w:p>
        </w:tc>
        <w:tc>
          <w:tcPr>
            <w:tcW w:w="3902" w:type="dxa"/>
            <w:vAlign w:val="top"/>
          </w:tcPr>
          <w:p>
            <w:pPr>
              <w:pStyle w:val="TableText"/>
              <w:ind w:left="110"/>
              <w:spacing w:before="269" w:line="218" w:lineRule="auto"/>
              <w:rPr>
                <w:sz w:val="26"/>
                <w:szCs w:val="26"/>
              </w:rPr>
            </w:pPr>
            <w:r>
              <w:rPr>
                <w:sz w:val="26"/>
                <w:szCs w:val="26"/>
                <w:b/>
                <w:bCs/>
                <w:spacing w:val="-2"/>
              </w:rPr>
              <w:t>通报批评，给予警告</w:t>
            </w:r>
          </w:p>
        </w:tc>
      </w:tr>
    </w:tbl>
    <w:p>
      <w:pPr>
        <w:pStyle w:val="BodyText"/>
        <w:spacing w:line="447" w:lineRule="auto"/>
        <w:rPr/>
      </w:pPr>
      <w:r/>
    </w:p>
    <w:p>
      <w:pPr>
        <w:ind w:left="624"/>
        <w:spacing w:before="97" w:line="220" w:lineRule="auto"/>
        <w:rPr>
          <w:rFonts w:ascii="FangSong" w:hAnsi="FangSong" w:eastAsia="FangSong" w:cs="FangSong"/>
          <w:sz w:val="30"/>
          <w:szCs w:val="30"/>
        </w:rPr>
      </w:pPr>
      <w:r>
        <w:rPr>
          <w:rFonts w:ascii="FangSong" w:hAnsi="FangSong" w:eastAsia="FangSong" w:cs="FangSong"/>
          <w:sz w:val="30"/>
          <w:szCs w:val="30"/>
          <w:b/>
          <w:bCs/>
          <w:spacing w:val="17"/>
        </w:rPr>
        <w:t>第一百三十三条</w:t>
      </w:r>
      <w:r>
        <w:rPr>
          <w:rFonts w:ascii="FangSong" w:hAnsi="FangSong" w:eastAsia="FangSong" w:cs="FangSong"/>
          <w:sz w:val="30"/>
          <w:szCs w:val="30"/>
          <w:spacing w:val="17"/>
        </w:rPr>
        <w:t xml:space="preserve">  </w:t>
      </w:r>
      <w:r>
        <w:rPr>
          <w:rFonts w:ascii="FangSong" w:hAnsi="FangSong" w:eastAsia="FangSong" w:cs="FangSong"/>
          <w:sz w:val="30"/>
          <w:szCs w:val="30"/>
          <w:b/>
          <w:bCs/>
          <w:spacing w:val="17"/>
        </w:rPr>
        <w:t>未按照规定报告肺结核疫情，或者隐瞒、谎报、缓报肺结核疫情的</w:t>
      </w:r>
    </w:p>
    <w:p>
      <w:pPr>
        <w:ind w:left="619"/>
        <w:spacing w:before="7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spacing w:line="222" w:lineRule="auto"/>
        <w:sectPr>
          <w:footerReference w:type="default" r:id="rId206"/>
          <w:pgSz w:w="16830" w:h="11900"/>
          <w:pgMar w:top="1011" w:right="1427" w:bottom="1108" w:left="1450" w:header="0" w:footer="775" w:gutter="0"/>
        </w:sectPr>
        <w:rPr>
          <w:rFonts w:ascii="FangSong" w:hAnsi="FangSong" w:eastAsia="FangSong" w:cs="FangSong"/>
          <w:sz w:val="30"/>
          <w:szCs w:val="30"/>
        </w:rPr>
      </w:pPr>
    </w:p>
    <w:p>
      <w:pPr>
        <w:pStyle w:val="BodyText"/>
        <w:spacing w:line="262" w:lineRule="auto"/>
        <w:rPr/>
      </w:pPr>
      <w:r/>
    </w:p>
    <w:p>
      <w:pPr>
        <w:pStyle w:val="BodyText"/>
        <w:spacing w:line="262" w:lineRule="auto"/>
        <w:rPr/>
      </w:pPr>
      <w:r/>
    </w:p>
    <w:p>
      <w:pPr>
        <w:pStyle w:val="BodyText"/>
        <w:spacing w:line="262" w:lineRule="auto"/>
        <w:rPr/>
      </w:pPr>
      <w:r/>
    </w:p>
    <w:p>
      <w:pPr>
        <w:ind w:left="629"/>
        <w:spacing w:before="98" w:line="222" w:lineRule="auto"/>
        <w:outlineLvl w:val="1"/>
        <w:rPr>
          <w:rFonts w:ascii="FangSong" w:hAnsi="FangSong" w:eastAsia="FangSong" w:cs="FangSong"/>
          <w:sz w:val="30"/>
          <w:szCs w:val="30"/>
        </w:rPr>
      </w:pPr>
      <w:bookmarkStart w:name="bookmark861" w:id="189"/>
      <w:bookmarkEnd w:id="189"/>
      <w:bookmarkStart w:name="bookmark111" w:id="190"/>
      <w:bookmarkEnd w:id="190"/>
      <w:bookmarkStart w:name="bookmark112" w:id="191"/>
      <w:bookmarkEnd w:id="191"/>
      <w:bookmarkStart w:name="bookmark186" w:id="192"/>
      <w:bookmarkEnd w:id="192"/>
      <w:r>
        <w:rPr>
          <w:rFonts w:ascii="FangSong" w:hAnsi="FangSong" w:eastAsia="FangSong" w:cs="FangSong"/>
          <w:sz w:val="30"/>
          <w:szCs w:val="30"/>
          <w:spacing w:val="28"/>
        </w:rPr>
        <w:t>《结核病防治管理办法》第三十六条第(一)项</w:t>
      </w:r>
      <w:r>
        <w:rPr>
          <w:rFonts w:ascii="FangSong" w:hAnsi="FangSong" w:eastAsia="FangSong" w:cs="FangSong"/>
          <w:sz w:val="30"/>
          <w:szCs w:val="30"/>
          <w:spacing w:val="6"/>
        </w:rPr>
        <w:t xml:space="preserve">   </w:t>
      </w:r>
      <w:r>
        <w:rPr>
          <w:rFonts w:ascii="FangSong" w:hAnsi="FangSong" w:eastAsia="FangSong" w:cs="FangSong"/>
          <w:sz w:val="30"/>
          <w:szCs w:val="30"/>
          <w:spacing w:val="28"/>
        </w:rPr>
        <w:t>医疗机构违反本办法</w:t>
      </w:r>
      <w:r>
        <w:rPr>
          <w:rFonts w:ascii="FangSong" w:hAnsi="FangSong" w:eastAsia="FangSong" w:cs="FangSong"/>
          <w:sz w:val="30"/>
          <w:szCs w:val="30"/>
          <w:spacing w:val="27"/>
        </w:rPr>
        <w:t>规定，有下列情形之一</w:t>
      </w:r>
    </w:p>
    <w:p>
      <w:pPr>
        <w:ind w:right="122"/>
        <w:spacing w:before="58" w:line="260" w:lineRule="auto"/>
        <w:jc w:val="both"/>
        <w:rPr>
          <w:rFonts w:ascii="FangSong" w:hAnsi="FangSong" w:eastAsia="FangSong" w:cs="FangSong"/>
          <w:sz w:val="30"/>
          <w:szCs w:val="30"/>
        </w:rPr>
      </w:pPr>
      <w:r>
        <w:rPr>
          <w:rFonts w:ascii="FangSong" w:hAnsi="FangSong" w:eastAsia="FangSong" w:cs="FangSong"/>
          <w:sz w:val="30"/>
          <w:szCs w:val="30"/>
          <w:spacing w:val="17"/>
        </w:rPr>
        <w:t>的，由县级以上卫生行政部门责令改正，通报批评</w:t>
      </w:r>
      <w:r>
        <w:rPr>
          <w:rFonts w:ascii="FangSong" w:hAnsi="FangSong" w:eastAsia="FangSong" w:cs="FangSong"/>
          <w:sz w:val="30"/>
          <w:szCs w:val="30"/>
          <w:spacing w:val="16"/>
        </w:rPr>
        <w:t>，给予警告；造成肺结核传播、流行或者其他严重</w:t>
      </w:r>
      <w:r>
        <w:rPr>
          <w:rFonts w:ascii="FangSong" w:hAnsi="FangSong" w:eastAsia="FangSong" w:cs="FangSong"/>
          <w:sz w:val="30"/>
          <w:szCs w:val="30"/>
        </w:rPr>
        <w:t xml:space="preserve"> </w:t>
      </w:r>
      <w:r>
        <w:rPr>
          <w:rFonts w:ascii="FangSong" w:hAnsi="FangSong" w:eastAsia="FangSong" w:cs="FangSong"/>
          <w:sz w:val="30"/>
          <w:szCs w:val="30"/>
          <w:spacing w:val="17"/>
        </w:rPr>
        <w:t>后果的，对负有责任的主管人员和其他直接责任</w:t>
      </w:r>
      <w:r>
        <w:rPr>
          <w:rFonts w:ascii="FangSong" w:hAnsi="FangSong" w:eastAsia="FangSong" w:cs="FangSong"/>
          <w:sz w:val="30"/>
          <w:szCs w:val="30"/>
          <w:spacing w:val="16"/>
        </w:rPr>
        <w:t>人员，依法给予处分；构成犯罪的，依法追究刑事责</w:t>
      </w:r>
      <w:r>
        <w:rPr>
          <w:rFonts w:ascii="FangSong" w:hAnsi="FangSong" w:eastAsia="FangSong" w:cs="FangSong"/>
          <w:sz w:val="30"/>
          <w:szCs w:val="30"/>
        </w:rPr>
        <w:t xml:space="preserve"> </w:t>
      </w:r>
      <w:r>
        <w:rPr>
          <w:rFonts w:ascii="FangSong" w:hAnsi="FangSong" w:eastAsia="FangSong" w:cs="FangSong"/>
          <w:sz w:val="30"/>
          <w:szCs w:val="30"/>
          <w:spacing w:val="-11"/>
        </w:rPr>
        <w:t>任：</w:t>
      </w:r>
    </w:p>
    <w:p>
      <w:pPr>
        <w:ind w:left="779"/>
        <w:spacing w:before="63" w:line="222" w:lineRule="auto"/>
        <w:rPr>
          <w:rFonts w:ascii="FangSong" w:hAnsi="FangSong" w:eastAsia="FangSong" w:cs="FangSong"/>
          <w:sz w:val="30"/>
          <w:szCs w:val="30"/>
        </w:rPr>
      </w:pPr>
      <w:r>
        <w:rPr>
          <w:rFonts w:ascii="FangSong" w:hAnsi="FangSong" w:eastAsia="FangSong" w:cs="FangSong"/>
          <w:sz w:val="30"/>
          <w:szCs w:val="30"/>
          <w:spacing w:val="22"/>
        </w:rPr>
        <w:t>(一)未按照规定报告肺结核疫情，或者隐瞒、谎报、缓报肺结核疫情的；</w:t>
      </w:r>
    </w:p>
    <w:p>
      <w:pPr>
        <w:ind w:left="6704"/>
        <w:spacing w:before="73" w:line="200" w:lineRule="auto"/>
        <w:rPr>
          <w:rFonts w:ascii="SimHei" w:hAnsi="SimHei" w:eastAsia="SimHei" w:cs="SimHei"/>
          <w:sz w:val="30"/>
          <w:szCs w:val="30"/>
        </w:rPr>
      </w:pPr>
      <w:r>
        <w:rPr>
          <w:rFonts w:ascii="SimHei" w:hAnsi="SimHei" w:eastAsia="SimHei" w:cs="SimHei"/>
          <w:sz w:val="30"/>
          <w:szCs w:val="30"/>
          <w:b/>
          <w:bCs/>
          <w:spacing w:val="-17"/>
        </w:rPr>
        <w:t>裁量标准</w:t>
      </w:r>
    </w:p>
    <w:p>
      <w:pPr>
        <w:ind w:firstLine="39"/>
        <w:spacing w:line="1269" w:lineRule="exact"/>
        <w:rPr/>
      </w:pPr>
      <w:r>
        <w:rPr>
          <w:position w:val="-25"/>
        </w:rPr>
        <w:pict>
          <v:group id="_x0000_s22" style="mso-position-vertical-relative:line;mso-position-horizontal-relative:char;width:694.05pt;height:63.5pt;" filled="false" stroked="false" coordsize="13880,1270" coordorigin="0,0">
            <v:shape id="_x0000_s24" style="position:absolute;left:0;top:0;width:13880;height:1270;" filled="false" stroked="false" type="#_x0000_t75">
              <v:imagedata o:title="" r:id="rId208"/>
            </v:shape>
            <v:shape id="_x0000_s26" style="position:absolute;left:-20;top:-20;width:13920;height:1310;" filled="false" stroked="false" type="#_x0000_t202">
              <v:fill on="false"/>
              <v:stroke on="false"/>
              <v:path/>
              <v:imagedata o:title=""/>
              <o:lock v:ext="edit" aspectratio="false"/>
              <v:textbox inset="0mm,0mm,0mm,0mm">
                <w:txbxContent>
                  <w:p>
                    <w:pPr>
                      <w:ind w:left="524"/>
                      <w:spacing w:before="205" w:line="223" w:lineRule="auto"/>
                      <w:rPr>
                        <w:rFonts w:ascii="SimHei" w:hAnsi="SimHei" w:eastAsia="SimHei" w:cs="SimHei"/>
                        <w:sz w:val="30"/>
                        <w:szCs w:val="30"/>
                      </w:rPr>
                    </w:pPr>
                    <w:r>
                      <w:rPr>
                        <w:rFonts w:ascii="SimHei" w:hAnsi="SimHei" w:eastAsia="SimHei" w:cs="SimHei"/>
                        <w:sz w:val="30"/>
                        <w:szCs w:val="30"/>
                        <w:b/>
                        <w:bCs/>
                        <w:spacing w:val="-10"/>
                      </w:rPr>
                      <w:t>违法程度</w:t>
                    </w:r>
                    <w:r>
                      <w:rPr>
                        <w:rFonts w:ascii="SimHei" w:hAnsi="SimHei" w:eastAsia="SimHei" w:cs="SimHei"/>
                        <w:sz w:val="30"/>
                        <w:szCs w:val="30"/>
                        <w:spacing w:val="2"/>
                      </w:rPr>
                      <w:t xml:space="preserve">                           </w:t>
                    </w:r>
                    <w:r>
                      <w:rPr>
                        <w:rFonts w:ascii="SimHei" w:hAnsi="SimHei" w:eastAsia="SimHei" w:cs="SimHei"/>
                        <w:sz w:val="30"/>
                        <w:szCs w:val="30"/>
                        <w:b/>
                        <w:bCs/>
                        <w:spacing w:val="-10"/>
                      </w:rPr>
                      <w:t>情节后果</w:t>
                    </w:r>
                    <w:r>
                      <w:rPr>
                        <w:rFonts w:ascii="SimHei" w:hAnsi="SimHei" w:eastAsia="SimHei" w:cs="SimHei"/>
                        <w:sz w:val="30"/>
                        <w:szCs w:val="30"/>
                        <w:spacing w:val="-10"/>
                      </w:rPr>
                      <w:t xml:space="preserve">                               </w:t>
                    </w:r>
                    <w:r>
                      <w:rPr>
                        <w:rFonts w:ascii="SimHei" w:hAnsi="SimHei" w:eastAsia="SimHei" w:cs="SimHei"/>
                        <w:sz w:val="30"/>
                        <w:szCs w:val="30"/>
                        <w:b/>
                        <w:bCs/>
                        <w:spacing w:val="-10"/>
                      </w:rPr>
                      <w:t>裁量幅度</w:t>
                    </w:r>
                  </w:p>
                  <w:p>
                    <w:pPr>
                      <w:ind w:left="853"/>
                      <w:spacing w:before="298" w:line="231" w:lineRule="auto"/>
                      <w:rPr>
                        <w:rFonts w:ascii="FangSong" w:hAnsi="FangSong" w:eastAsia="FangSong" w:cs="FangSong"/>
                        <w:sz w:val="24"/>
                        <w:szCs w:val="24"/>
                      </w:rPr>
                    </w:pPr>
                    <w:r>
                      <w:rPr>
                        <w:rFonts w:ascii="FangSong" w:hAnsi="FangSong" w:eastAsia="FangSong" w:cs="FangSong"/>
                        <w:sz w:val="24"/>
                        <w:szCs w:val="24"/>
                        <w:b/>
                        <w:bCs/>
                        <w:spacing w:val="-1"/>
                        <w:position w:val="1"/>
                      </w:rPr>
                      <w:t>一般</w:t>
                    </w:r>
                    <w:r>
                      <w:rPr>
                        <w:rFonts w:ascii="FangSong" w:hAnsi="FangSong" w:eastAsia="FangSong" w:cs="FangSong"/>
                        <w:sz w:val="24"/>
                        <w:szCs w:val="24"/>
                        <w:spacing w:val="-1"/>
                        <w:position w:val="1"/>
                      </w:rPr>
                      <w:t xml:space="preserve">       </w:t>
                    </w:r>
                    <w:r>
                      <w:rPr>
                        <w:rFonts w:ascii="FangSong" w:hAnsi="FangSong" w:eastAsia="FangSong" w:cs="FangSong"/>
                        <w:sz w:val="24"/>
                        <w:szCs w:val="24"/>
                        <w:spacing w:val="-1"/>
                      </w:rPr>
                      <w:t>未按照规定报告肺结核疫情，或者隐瞒、谎报、缓报肺结核疫情的</w:t>
                    </w:r>
                    <w:r>
                      <w:rPr>
                        <w:rFonts w:ascii="FangSong" w:hAnsi="FangSong" w:eastAsia="FangSong" w:cs="FangSong"/>
                        <w:sz w:val="24"/>
                        <w:szCs w:val="24"/>
                        <w:spacing w:val="-1"/>
                      </w:rPr>
                      <w:t xml:space="preserve">        </w:t>
                    </w:r>
                    <w:r>
                      <w:rPr>
                        <w:rFonts w:ascii="FangSong" w:hAnsi="FangSong" w:eastAsia="FangSong" w:cs="FangSong"/>
                        <w:sz w:val="24"/>
                        <w:szCs w:val="24"/>
                        <w:spacing w:val="-1"/>
                      </w:rPr>
                      <w:t>通报批评，警告</w:t>
                    </w:r>
                  </w:p>
                </w:txbxContent>
              </v:textbox>
            </v:shape>
          </v:group>
        </w:pict>
      </w:r>
    </w:p>
    <w:p>
      <w:pPr>
        <w:pStyle w:val="BodyText"/>
        <w:spacing w:line="429" w:lineRule="auto"/>
        <w:rPr/>
      </w:pPr>
      <w:r/>
    </w:p>
    <w:p>
      <w:pPr>
        <w:ind w:left="674"/>
        <w:spacing w:before="98" w:line="219" w:lineRule="auto"/>
        <w:rPr>
          <w:rFonts w:ascii="FangSong" w:hAnsi="FangSong" w:eastAsia="FangSong" w:cs="FangSong"/>
          <w:sz w:val="30"/>
          <w:szCs w:val="30"/>
        </w:rPr>
      </w:pPr>
      <w:r>
        <w:rPr>
          <w:rFonts w:ascii="FangSong" w:hAnsi="FangSong" w:eastAsia="FangSong" w:cs="FangSong"/>
          <w:sz w:val="30"/>
          <w:szCs w:val="30"/>
          <w:b/>
          <w:bCs/>
          <w:spacing w:val="17"/>
        </w:rPr>
        <w:t>第一百三十四条</w:t>
      </w:r>
      <w:r>
        <w:rPr>
          <w:rFonts w:ascii="FangSong" w:hAnsi="FangSong" w:eastAsia="FangSong" w:cs="FangSong"/>
          <w:sz w:val="30"/>
          <w:szCs w:val="30"/>
          <w:spacing w:val="17"/>
        </w:rPr>
        <w:t xml:space="preserve">  </w:t>
      </w:r>
      <w:r>
        <w:rPr>
          <w:rFonts w:ascii="FangSong" w:hAnsi="FangSong" w:eastAsia="FangSong" w:cs="FangSong"/>
          <w:sz w:val="30"/>
          <w:szCs w:val="30"/>
          <w:b/>
          <w:bCs/>
          <w:spacing w:val="17"/>
        </w:rPr>
        <w:t>非结核病定点医疗机构发现确诊或者疑似肺结核患者</w:t>
      </w:r>
      <w:r>
        <w:rPr>
          <w:rFonts w:ascii="FangSong" w:hAnsi="FangSong" w:eastAsia="FangSong" w:cs="FangSong"/>
          <w:sz w:val="30"/>
          <w:szCs w:val="30"/>
          <w:b/>
          <w:bCs/>
          <w:spacing w:val="16"/>
        </w:rPr>
        <w:t>，未按照规定进行转诊</w:t>
      </w:r>
    </w:p>
    <w:p>
      <w:pPr>
        <w:spacing w:before="101" w:line="227" w:lineRule="auto"/>
        <w:rPr>
          <w:rFonts w:ascii="FangSong" w:hAnsi="FangSong" w:eastAsia="FangSong" w:cs="FangSong"/>
          <w:sz w:val="30"/>
          <w:szCs w:val="30"/>
        </w:rPr>
      </w:pPr>
      <w:r>
        <w:rPr>
          <w:rFonts w:ascii="FangSong" w:hAnsi="FangSong" w:eastAsia="FangSong" w:cs="FangSong"/>
          <w:sz w:val="30"/>
          <w:szCs w:val="30"/>
        </w:rPr>
        <w:t>的</w:t>
      </w:r>
    </w:p>
    <w:p>
      <w:pPr>
        <w:ind w:left="659"/>
        <w:spacing w:before="95" w:line="222" w:lineRule="auto"/>
        <w:rPr>
          <w:rFonts w:ascii="FangSong" w:hAnsi="FangSong" w:eastAsia="FangSong" w:cs="FangSong"/>
          <w:sz w:val="30"/>
          <w:szCs w:val="30"/>
        </w:rPr>
      </w:pPr>
      <w:r>
        <w:rPr>
          <w:rFonts w:ascii="FangSong" w:hAnsi="FangSong" w:eastAsia="FangSong" w:cs="FangSong"/>
          <w:sz w:val="30"/>
          <w:szCs w:val="30"/>
        </w:rPr>
        <w:t>法律依据：</w:t>
      </w:r>
    </w:p>
    <w:p>
      <w:pPr>
        <w:ind w:firstLine="629"/>
        <w:spacing w:before="71" w:line="263" w:lineRule="auto"/>
        <w:jc w:val="both"/>
        <w:rPr>
          <w:rFonts w:ascii="FangSong" w:hAnsi="FangSong" w:eastAsia="FangSong" w:cs="FangSong"/>
          <w:sz w:val="30"/>
          <w:szCs w:val="30"/>
        </w:rPr>
      </w:pPr>
      <w:r>
        <w:rPr>
          <w:rFonts w:ascii="FangSong" w:hAnsi="FangSong" w:eastAsia="FangSong" w:cs="FangSong"/>
          <w:sz w:val="30"/>
          <w:szCs w:val="30"/>
          <w:spacing w:val="17"/>
        </w:rPr>
        <w:t>《结核病防治管理办法》第三十六条第(二)项</w:t>
      </w:r>
      <w:r>
        <w:rPr>
          <w:rFonts w:ascii="FangSong" w:hAnsi="FangSong" w:eastAsia="FangSong" w:cs="FangSong"/>
          <w:sz w:val="30"/>
          <w:szCs w:val="30"/>
          <w:spacing w:val="60"/>
        </w:rPr>
        <w:t xml:space="preserve">  </w:t>
      </w:r>
      <w:r>
        <w:rPr>
          <w:rFonts w:ascii="FangSong" w:hAnsi="FangSong" w:eastAsia="FangSong" w:cs="FangSong"/>
          <w:sz w:val="30"/>
          <w:szCs w:val="30"/>
          <w:spacing w:val="17"/>
        </w:rPr>
        <w:t>医疗机构违</w:t>
      </w:r>
      <w:r>
        <w:rPr>
          <w:rFonts w:ascii="FangSong" w:hAnsi="FangSong" w:eastAsia="FangSong" w:cs="FangSong"/>
          <w:sz w:val="30"/>
          <w:szCs w:val="30"/>
          <w:spacing w:val="16"/>
        </w:rPr>
        <w:t>反本办法规定，有下列情形之一的，</w:t>
      </w:r>
      <w:r>
        <w:rPr>
          <w:rFonts w:ascii="FangSong" w:hAnsi="FangSong" w:eastAsia="FangSong" w:cs="FangSong"/>
          <w:sz w:val="30"/>
          <w:szCs w:val="30"/>
        </w:rPr>
        <w:t xml:space="preserve"> </w:t>
      </w:r>
      <w:r>
        <w:rPr>
          <w:rFonts w:ascii="FangSong" w:hAnsi="FangSong" w:eastAsia="FangSong" w:cs="FangSong"/>
          <w:sz w:val="30"/>
          <w:szCs w:val="30"/>
          <w:spacing w:val="16"/>
        </w:rPr>
        <w:t>由县级以上卫生行政部门责令改正，通报批评，给予警告；造成肺结核传播、流行或者其他严重后果</w:t>
      </w:r>
      <w:r>
        <w:rPr>
          <w:rFonts w:ascii="FangSong" w:hAnsi="FangSong" w:eastAsia="FangSong" w:cs="FangSong"/>
          <w:sz w:val="30"/>
          <w:szCs w:val="30"/>
          <w:spacing w:val="17"/>
        </w:rPr>
        <w:t xml:space="preserve"> </w:t>
      </w:r>
      <w:r>
        <w:rPr>
          <w:rFonts w:ascii="FangSong" w:hAnsi="FangSong" w:eastAsia="FangSong" w:cs="FangSong"/>
          <w:sz w:val="30"/>
          <w:szCs w:val="30"/>
          <w:spacing w:val="18"/>
        </w:rPr>
        <w:t>的，对负有责任的主管人员和其他直接责任人员</w:t>
      </w:r>
      <w:r>
        <w:rPr>
          <w:rFonts w:ascii="FangSong" w:hAnsi="FangSong" w:eastAsia="FangSong" w:cs="FangSong"/>
          <w:sz w:val="30"/>
          <w:szCs w:val="30"/>
          <w:spacing w:val="17"/>
        </w:rPr>
        <w:t>，依法给予处分；构成犯罪的，依法追究刑事责任：</w:t>
      </w:r>
    </w:p>
    <w:p>
      <w:pPr>
        <w:ind w:left="779"/>
        <w:spacing w:before="1" w:line="218" w:lineRule="auto"/>
        <w:rPr>
          <w:rFonts w:ascii="FangSong" w:hAnsi="FangSong" w:eastAsia="FangSong" w:cs="FangSong"/>
          <w:sz w:val="30"/>
          <w:szCs w:val="30"/>
        </w:rPr>
      </w:pPr>
      <w:r>
        <w:rPr>
          <w:rFonts w:ascii="FangSong" w:hAnsi="FangSong" w:eastAsia="FangSong" w:cs="FangSong"/>
          <w:sz w:val="30"/>
          <w:szCs w:val="30"/>
          <w:spacing w:val="22"/>
        </w:rPr>
        <w:t>(二)非结核病定点医疗机构发现确诊或者疑似肺结核患者，未按照规定进行转诊的；</w:t>
      </w:r>
    </w:p>
    <w:p>
      <w:pPr>
        <w:ind w:left="6704"/>
        <w:spacing w:before="106"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207"/>
          <w:pgSz w:w="16830" w:h="11900"/>
          <w:pgMar w:top="1011" w:right="1350" w:bottom="1107" w:left="1430" w:header="0" w:footer="774" w:gutter="0"/>
        </w:sectPr>
        <w:rPr>
          <w:rFonts w:ascii="SimHei" w:hAnsi="SimHei" w:eastAsia="SimHei" w:cs="SimHei"/>
          <w:sz w:val="30"/>
          <w:szCs w:val="30"/>
        </w:rPr>
      </w:pPr>
    </w:p>
    <w:p>
      <w:pPr>
        <w:spacing w:before="13"/>
        <w:rPr/>
      </w:pPr>
      <w:r/>
    </w:p>
    <w:p>
      <w:pPr>
        <w:spacing w:before="13"/>
        <w:rPr/>
      </w:pPr>
      <w:r/>
    </w:p>
    <w:p>
      <w:pPr>
        <w:spacing w:before="13"/>
        <w:rPr/>
      </w:pPr>
      <w:r/>
    </w:p>
    <w:tbl>
      <w:tblPr>
        <w:tblStyle w:val="TableNormal"/>
        <w:tblW w:w="13819" w:type="dxa"/>
        <w:tblInd w:w="6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43"/>
        <w:gridCol w:w="7844"/>
        <w:gridCol w:w="3932"/>
      </w:tblGrid>
      <w:tr>
        <w:trPr>
          <w:trHeight w:val="581" w:hRule="atLeast"/>
        </w:trPr>
        <w:tc>
          <w:tcPr>
            <w:tcW w:w="2043" w:type="dxa"/>
            <w:vAlign w:val="top"/>
          </w:tcPr>
          <w:p>
            <w:pPr>
              <w:pStyle w:val="TableText"/>
              <w:ind w:left="498"/>
              <w:spacing w:before="162" w:line="220" w:lineRule="auto"/>
              <w:rPr>
                <w:sz w:val="26"/>
                <w:szCs w:val="26"/>
              </w:rPr>
            </w:pPr>
            <w:bookmarkStart w:name="bookmark862" w:id="193"/>
            <w:bookmarkEnd w:id="193"/>
            <w:r>
              <w:rPr>
                <w:sz w:val="26"/>
                <w:szCs w:val="26"/>
                <w:b/>
                <w:bCs/>
                <w:spacing w:val="-5"/>
              </w:rPr>
              <w:t>违法程度</w:t>
            </w:r>
          </w:p>
        </w:tc>
        <w:tc>
          <w:tcPr>
            <w:tcW w:w="7844" w:type="dxa"/>
            <w:vAlign w:val="top"/>
          </w:tcPr>
          <w:p>
            <w:pPr>
              <w:pStyle w:val="TableText"/>
              <w:ind w:left="3395"/>
              <w:spacing w:before="162" w:line="220" w:lineRule="auto"/>
              <w:rPr>
                <w:sz w:val="26"/>
                <w:szCs w:val="26"/>
              </w:rPr>
            </w:pPr>
            <w:r>
              <w:rPr>
                <w:sz w:val="26"/>
                <w:szCs w:val="26"/>
                <w:b/>
                <w:bCs/>
                <w:spacing w:val="-5"/>
              </w:rPr>
              <w:t>情节后果</w:t>
            </w:r>
          </w:p>
        </w:tc>
        <w:tc>
          <w:tcPr>
            <w:tcW w:w="3932" w:type="dxa"/>
            <w:vAlign w:val="top"/>
          </w:tcPr>
          <w:p>
            <w:pPr>
              <w:pStyle w:val="TableText"/>
              <w:ind w:left="1411"/>
              <w:spacing w:before="159" w:line="218" w:lineRule="auto"/>
              <w:rPr>
                <w:sz w:val="26"/>
                <w:szCs w:val="26"/>
              </w:rPr>
            </w:pPr>
            <w:r>
              <w:rPr>
                <w:sz w:val="26"/>
                <w:szCs w:val="26"/>
                <w:b/>
                <w:bCs/>
                <w:spacing w:val="-5"/>
              </w:rPr>
              <w:t>裁量幅度</w:t>
            </w:r>
          </w:p>
        </w:tc>
      </w:tr>
      <w:tr>
        <w:trPr>
          <w:trHeight w:val="859" w:hRule="atLeast"/>
        </w:trPr>
        <w:tc>
          <w:tcPr>
            <w:tcW w:w="2043" w:type="dxa"/>
            <w:vAlign w:val="top"/>
          </w:tcPr>
          <w:p>
            <w:pPr>
              <w:pStyle w:val="TableText"/>
              <w:ind w:left="758"/>
              <w:spacing w:before="302" w:line="221" w:lineRule="auto"/>
              <w:rPr>
                <w:sz w:val="26"/>
                <w:szCs w:val="26"/>
              </w:rPr>
            </w:pPr>
            <w:r>
              <w:rPr>
                <w:sz w:val="26"/>
                <w:szCs w:val="26"/>
                <w:b/>
                <w:bCs/>
                <w:spacing w:val="-10"/>
              </w:rPr>
              <w:t>一般</w:t>
            </w:r>
          </w:p>
        </w:tc>
        <w:tc>
          <w:tcPr>
            <w:tcW w:w="7844" w:type="dxa"/>
            <w:vAlign w:val="top"/>
          </w:tcPr>
          <w:p>
            <w:pPr>
              <w:pStyle w:val="TableText"/>
              <w:spacing w:before="139" w:line="219" w:lineRule="auto"/>
              <w:jc w:val="right"/>
              <w:rPr>
                <w:sz w:val="26"/>
                <w:szCs w:val="26"/>
              </w:rPr>
            </w:pPr>
            <w:r>
              <w:rPr>
                <w:sz w:val="26"/>
                <w:szCs w:val="26"/>
                <w:b/>
                <w:bCs/>
                <w:spacing w:val="-20"/>
              </w:rPr>
              <w:t>非结核病定点医</w:t>
            </w:r>
            <w:r>
              <w:rPr>
                <w:sz w:val="26"/>
                <w:szCs w:val="26"/>
                <w:b/>
                <w:bCs/>
                <w:spacing w:val="-19"/>
              </w:rPr>
              <w:t>疗机构发现确诊或者疑似肺结核患者，未按照规定进行</w:t>
            </w:r>
            <w:r>
              <w:rPr>
                <w:sz w:val="26"/>
                <w:szCs w:val="26"/>
                <w:b/>
                <w:bCs/>
                <w:spacing w:val="-12"/>
              </w:rPr>
              <w:t>转</w:t>
            </w:r>
          </w:p>
          <w:p>
            <w:pPr>
              <w:pStyle w:val="TableText"/>
              <w:ind w:left="105"/>
              <w:spacing w:before="126" w:line="195" w:lineRule="auto"/>
              <w:rPr>
                <w:sz w:val="26"/>
                <w:szCs w:val="26"/>
              </w:rPr>
            </w:pPr>
            <w:r>
              <w:rPr>
                <w:sz w:val="26"/>
                <w:szCs w:val="26"/>
                <w:b/>
                <w:bCs/>
                <w:color w:val="404040"/>
                <w:spacing w:val="3"/>
              </w:rPr>
              <w:t>诊的</w:t>
            </w:r>
          </w:p>
        </w:tc>
        <w:tc>
          <w:tcPr>
            <w:tcW w:w="3932" w:type="dxa"/>
            <w:vAlign w:val="top"/>
          </w:tcPr>
          <w:p>
            <w:pPr>
              <w:spacing w:line="272" w:lineRule="auto"/>
              <w:rPr>
                <w:rFonts w:ascii="Arial"/>
                <w:sz w:val="21"/>
              </w:rPr>
            </w:pPr>
            <w:r/>
          </w:p>
          <w:p>
            <w:pPr>
              <w:pStyle w:val="TableText"/>
              <w:ind w:left="121"/>
              <w:spacing w:before="85" w:line="218" w:lineRule="auto"/>
              <w:rPr>
                <w:sz w:val="26"/>
                <w:szCs w:val="26"/>
              </w:rPr>
            </w:pPr>
            <w:r>
              <w:rPr>
                <w:sz w:val="26"/>
                <w:szCs w:val="26"/>
                <w:b/>
                <w:bCs/>
                <w:spacing w:val="-2"/>
              </w:rPr>
              <w:t>通报批评，警告</w:t>
            </w:r>
          </w:p>
        </w:tc>
      </w:tr>
    </w:tbl>
    <w:p>
      <w:pPr>
        <w:pStyle w:val="BodyText"/>
        <w:spacing w:line="466" w:lineRule="auto"/>
        <w:rPr/>
      </w:pPr>
      <w:r/>
    </w:p>
    <w:p>
      <w:pPr>
        <w:ind w:left="644"/>
        <w:spacing w:before="98" w:line="220" w:lineRule="auto"/>
        <w:rPr>
          <w:rFonts w:ascii="FangSong" w:hAnsi="FangSong" w:eastAsia="FangSong" w:cs="FangSong"/>
          <w:sz w:val="30"/>
          <w:szCs w:val="30"/>
        </w:rPr>
      </w:pPr>
      <w:r>
        <w:rPr>
          <w:rFonts w:ascii="FangSong" w:hAnsi="FangSong" w:eastAsia="FangSong" w:cs="FangSong"/>
          <w:sz w:val="30"/>
          <w:szCs w:val="30"/>
          <w:b/>
          <w:bCs/>
          <w:spacing w:val="17"/>
        </w:rPr>
        <w:t>第一百三十五条</w:t>
      </w:r>
      <w:r>
        <w:rPr>
          <w:rFonts w:ascii="FangSong" w:hAnsi="FangSong" w:eastAsia="FangSong" w:cs="FangSong"/>
          <w:sz w:val="30"/>
          <w:szCs w:val="30"/>
          <w:spacing w:val="17"/>
        </w:rPr>
        <w:t xml:space="preserve">  </w:t>
      </w:r>
      <w:r>
        <w:rPr>
          <w:rFonts w:ascii="FangSong" w:hAnsi="FangSong" w:eastAsia="FangSong" w:cs="FangSong"/>
          <w:sz w:val="30"/>
          <w:szCs w:val="30"/>
          <w:b/>
          <w:bCs/>
          <w:spacing w:val="17"/>
        </w:rPr>
        <w:t>结核病定点医疗机构未按照规定对</w:t>
      </w:r>
      <w:r>
        <w:rPr>
          <w:rFonts w:ascii="FangSong" w:hAnsi="FangSong" w:eastAsia="FangSong" w:cs="FangSong"/>
          <w:sz w:val="30"/>
          <w:szCs w:val="30"/>
          <w:b/>
          <w:bCs/>
          <w:spacing w:val="16"/>
        </w:rPr>
        <w:t>肺结核患者或者疑似肺结核患者诊断治疗</w:t>
      </w:r>
    </w:p>
    <w:p>
      <w:pPr>
        <w:ind w:left="4"/>
        <w:spacing w:before="107" w:line="223" w:lineRule="auto"/>
        <w:rPr>
          <w:rFonts w:ascii="FangSong" w:hAnsi="FangSong" w:eastAsia="FangSong" w:cs="FangSong"/>
          <w:sz w:val="30"/>
          <w:szCs w:val="30"/>
        </w:rPr>
      </w:pPr>
      <w:r>
        <w:rPr>
          <w:rFonts w:ascii="FangSong" w:hAnsi="FangSong" w:eastAsia="FangSong" w:cs="FangSong"/>
          <w:sz w:val="30"/>
          <w:szCs w:val="30"/>
          <w:b/>
          <w:bCs/>
          <w:spacing w:val="14"/>
        </w:rPr>
        <w:t>的，或者拒绝接诊的</w:t>
      </w:r>
    </w:p>
    <w:p>
      <w:pPr>
        <w:ind w:left="640"/>
        <w:spacing w:before="81"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firstLine="640"/>
        <w:spacing w:before="69" w:line="266" w:lineRule="auto"/>
        <w:jc w:val="both"/>
        <w:rPr>
          <w:rFonts w:ascii="FangSong" w:hAnsi="FangSong" w:eastAsia="FangSong" w:cs="FangSong"/>
          <w:sz w:val="30"/>
          <w:szCs w:val="30"/>
        </w:rPr>
      </w:pPr>
      <w:r>
        <w:rPr>
          <w:rFonts w:ascii="FangSong" w:hAnsi="FangSong" w:eastAsia="FangSong" w:cs="FangSong"/>
          <w:sz w:val="30"/>
          <w:szCs w:val="30"/>
          <w:spacing w:val="22"/>
        </w:rPr>
        <w:t>《结核病防治管理办法》第三十六条第(三)项</w:t>
      </w:r>
      <w:r>
        <w:rPr>
          <w:rFonts w:ascii="FangSong" w:hAnsi="FangSong" w:eastAsia="FangSong" w:cs="FangSong"/>
          <w:sz w:val="30"/>
          <w:szCs w:val="30"/>
          <w:spacing w:val="22"/>
        </w:rPr>
        <w:t xml:space="preserve">   </w:t>
      </w:r>
      <w:r>
        <w:rPr>
          <w:rFonts w:ascii="FangSong" w:hAnsi="FangSong" w:eastAsia="FangSong" w:cs="FangSong"/>
          <w:sz w:val="30"/>
          <w:szCs w:val="30"/>
          <w:spacing w:val="22"/>
        </w:rPr>
        <w:t>疗机构违反本办法规定</w:t>
      </w:r>
      <w:r>
        <w:rPr>
          <w:rFonts w:ascii="FangSong" w:hAnsi="FangSong" w:eastAsia="FangSong" w:cs="FangSong"/>
          <w:sz w:val="30"/>
          <w:szCs w:val="30"/>
          <w:spacing w:val="21"/>
        </w:rPr>
        <w:t>，有下列情形之一的，</w:t>
      </w:r>
      <w:r>
        <w:rPr>
          <w:rFonts w:ascii="FangSong" w:hAnsi="FangSong" w:eastAsia="FangSong" w:cs="FangSong"/>
          <w:sz w:val="30"/>
          <w:szCs w:val="30"/>
        </w:rPr>
        <w:t xml:space="preserve"> </w:t>
      </w:r>
      <w:r>
        <w:rPr>
          <w:rFonts w:ascii="FangSong" w:hAnsi="FangSong" w:eastAsia="FangSong" w:cs="FangSong"/>
          <w:sz w:val="30"/>
          <w:szCs w:val="30"/>
          <w:spacing w:val="16"/>
        </w:rPr>
        <w:t>由县级以上卫生行政部门责令改正，通报批评，给予警告；造成肺结核</w:t>
      </w:r>
      <w:r>
        <w:rPr>
          <w:rFonts w:ascii="FangSong" w:hAnsi="FangSong" w:eastAsia="FangSong" w:cs="FangSong"/>
          <w:sz w:val="30"/>
          <w:szCs w:val="30"/>
          <w:spacing w:val="15"/>
        </w:rPr>
        <w:t>传播、流行或者其他严重后果</w:t>
      </w:r>
      <w:r>
        <w:rPr>
          <w:rFonts w:ascii="FangSong" w:hAnsi="FangSong" w:eastAsia="FangSong" w:cs="FangSong"/>
          <w:sz w:val="30"/>
          <w:szCs w:val="30"/>
        </w:rPr>
        <w:t xml:space="preserve">  </w:t>
      </w:r>
      <w:r>
        <w:rPr>
          <w:rFonts w:ascii="FangSong" w:hAnsi="FangSong" w:eastAsia="FangSong" w:cs="FangSong"/>
          <w:sz w:val="30"/>
          <w:szCs w:val="30"/>
          <w:spacing w:val="18"/>
        </w:rPr>
        <w:t>的，对负有责任的主管人员和其他直接责任人员，依法给予处分；构</w:t>
      </w:r>
      <w:r>
        <w:rPr>
          <w:rFonts w:ascii="FangSong" w:hAnsi="FangSong" w:eastAsia="FangSong" w:cs="FangSong"/>
          <w:sz w:val="30"/>
          <w:szCs w:val="30"/>
          <w:spacing w:val="17"/>
        </w:rPr>
        <w:t>成犯罪的，依法追究刑事责任：</w:t>
      </w:r>
    </w:p>
    <w:p>
      <w:pPr>
        <w:ind w:right="131" w:firstLine="780"/>
        <w:spacing w:before="2" w:line="243" w:lineRule="auto"/>
        <w:rPr>
          <w:rFonts w:ascii="FangSong" w:hAnsi="FangSong" w:eastAsia="FangSong" w:cs="FangSong"/>
          <w:sz w:val="36"/>
          <w:szCs w:val="36"/>
        </w:rPr>
      </w:pPr>
      <w:r>
        <w:rPr>
          <w:rFonts w:ascii="FangSong" w:hAnsi="FangSong" w:eastAsia="FangSong" w:cs="FangSong"/>
          <w:sz w:val="30"/>
          <w:szCs w:val="30"/>
          <w:spacing w:val="20"/>
        </w:rPr>
        <w:t>(三)结核病定点医疗机构未按照规定对肺结核患者或者疑似肺结核患者诊断治疗的，或</w:t>
      </w:r>
      <w:r>
        <w:rPr>
          <w:rFonts w:ascii="FangSong" w:hAnsi="FangSong" w:eastAsia="FangSong" w:cs="FangSong"/>
          <w:sz w:val="30"/>
          <w:szCs w:val="30"/>
          <w:spacing w:val="19"/>
        </w:rPr>
        <w:t>拒绝接</w:t>
      </w:r>
      <w:r>
        <w:rPr>
          <w:rFonts w:ascii="FangSong" w:hAnsi="FangSong" w:eastAsia="FangSong" w:cs="FangSong"/>
          <w:sz w:val="30"/>
          <w:szCs w:val="30"/>
        </w:rPr>
        <w:t xml:space="preserve"> </w:t>
      </w:r>
      <w:r>
        <w:rPr>
          <w:rFonts w:ascii="FangSong" w:hAnsi="FangSong" w:eastAsia="FangSong" w:cs="FangSong"/>
          <w:sz w:val="36"/>
          <w:szCs w:val="36"/>
          <w:spacing w:val="-18"/>
        </w:rPr>
        <w:t>诊。</w:t>
      </w:r>
    </w:p>
    <w:p>
      <w:pPr>
        <w:ind w:left="6694"/>
        <w:spacing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19" w:type="dxa"/>
        <w:tblInd w:w="6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43"/>
        <w:gridCol w:w="7844"/>
        <w:gridCol w:w="3932"/>
      </w:tblGrid>
      <w:tr>
        <w:trPr>
          <w:trHeight w:val="561" w:hRule="atLeast"/>
        </w:trPr>
        <w:tc>
          <w:tcPr>
            <w:tcW w:w="2043" w:type="dxa"/>
            <w:vAlign w:val="top"/>
          </w:tcPr>
          <w:p>
            <w:pPr>
              <w:pStyle w:val="TableText"/>
              <w:ind w:left="498"/>
              <w:spacing w:before="152" w:line="220" w:lineRule="auto"/>
              <w:rPr>
                <w:sz w:val="26"/>
                <w:szCs w:val="26"/>
              </w:rPr>
            </w:pPr>
            <w:r>
              <w:rPr>
                <w:sz w:val="26"/>
                <w:szCs w:val="26"/>
                <w:b/>
                <w:bCs/>
                <w:spacing w:val="-5"/>
              </w:rPr>
              <w:t>违法程度</w:t>
            </w:r>
          </w:p>
        </w:tc>
        <w:tc>
          <w:tcPr>
            <w:tcW w:w="7844" w:type="dxa"/>
            <w:vAlign w:val="top"/>
          </w:tcPr>
          <w:p>
            <w:pPr>
              <w:pStyle w:val="TableText"/>
              <w:ind w:left="3635"/>
              <w:spacing w:before="152" w:line="220" w:lineRule="auto"/>
              <w:rPr>
                <w:sz w:val="26"/>
                <w:szCs w:val="26"/>
              </w:rPr>
            </w:pPr>
            <w:r>
              <w:rPr>
                <w:sz w:val="26"/>
                <w:szCs w:val="26"/>
                <w:b/>
                <w:bCs/>
                <w:spacing w:val="-5"/>
              </w:rPr>
              <w:t>情节后果</w:t>
            </w:r>
          </w:p>
        </w:tc>
        <w:tc>
          <w:tcPr>
            <w:tcW w:w="3932" w:type="dxa"/>
            <w:vAlign w:val="top"/>
          </w:tcPr>
          <w:p>
            <w:pPr>
              <w:pStyle w:val="TableText"/>
              <w:ind w:left="1421"/>
              <w:spacing w:before="149" w:line="218" w:lineRule="auto"/>
              <w:rPr>
                <w:sz w:val="26"/>
                <w:szCs w:val="26"/>
              </w:rPr>
            </w:pPr>
            <w:r>
              <w:rPr>
                <w:sz w:val="26"/>
                <w:szCs w:val="26"/>
                <w:b/>
                <w:bCs/>
                <w:spacing w:val="-5"/>
              </w:rPr>
              <w:t>裁量幅度</w:t>
            </w:r>
          </w:p>
        </w:tc>
      </w:tr>
      <w:tr>
        <w:trPr>
          <w:trHeight w:val="879" w:hRule="atLeast"/>
        </w:trPr>
        <w:tc>
          <w:tcPr>
            <w:tcW w:w="2043" w:type="dxa"/>
            <w:vAlign w:val="top"/>
          </w:tcPr>
          <w:p>
            <w:pPr>
              <w:pStyle w:val="TableText"/>
              <w:ind w:left="758"/>
              <w:spacing w:before="312" w:line="221" w:lineRule="auto"/>
              <w:rPr>
                <w:sz w:val="26"/>
                <w:szCs w:val="26"/>
              </w:rPr>
            </w:pPr>
            <w:r>
              <w:rPr>
                <w:sz w:val="26"/>
                <w:szCs w:val="26"/>
                <w:b/>
                <w:bCs/>
                <w:spacing w:val="-10"/>
              </w:rPr>
              <w:t>一般</w:t>
            </w:r>
          </w:p>
        </w:tc>
        <w:tc>
          <w:tcPr>
            <w:tcW w:w="7844" w:type="dxa"/>
            <w:vAlign w:val="top"/>
          </w:tcPr>
          <w:p>
            <w:pPr>
              <w:pStyle w:val="TableText"/>
              <w:ind w:left="105"/>
              <w:spacing w:before="139" w:line="259" w:lineRule="auto"/>
              <w:rPr>
                <w:sz w:val="26"/>
                <w:szCs w:val="26"/>
              </w:rPr>
            </w:pPr>
            <w:r>
              <w:rPr>
                <w:sz w:val="26"/>
                <w:szCs w:val="26"/>
                <w:b/>
                <w:bCs/>
                <w:spacing w:val="-15"/>
              </w:rPr>
              <w:t>结核</w:t>
            </w:r>
            <w:r>
              <w:rPr>
                <w:sz w:val="26"/>
                <w:szCs w:val="26"/>
                <w:b/>
                <w:bCs/>
                <w:spacing w:val="-14"/>
              </w:rPr>
              <w:t>病定点医疗机构未按照规定对肺结核患者或者疑似肺结核患者诊</w:t>
            </w:r>
            <w:r>
              <w:rPr>
                <w:sz w:val="26"/>
                <w:szCs w:val="26"/>
                <w:b/>
                <w:bCs/>
                <w:spacing w:val="-12"/>
              </w:rPr>
              <w:t>断</w:t>
            </w:r>
            <w:r>
              <w:rPr>
                <w:sz w:val="26"/>
                <w:szCs w:val="26"/>
                <w:spacing w:val="16"/>
              </w:rPr>
              <w:t xml:space="preserve"> </w:t>
            </w:r>
            <w:r>
              <w:rPr>
                <w:sz w:val="26"/>
                <w:szCs w:val="26"/>
                <w:b/>
                <w:bCs/>
                <w:spacing w:val="-3"/>
              </w:rPr>
              <w:t>治疗的，或拒绝接诊</w:t>
            </w:r>
          </w:p>
        </w:tc>
        <w:tc>
          <w:tcPr>
            <w:tcW w:w="3932" w:type="dxa"/>
            <w:vAlign w:val="top"/>
          </w:tcPr>
          <w:p>
            <w:pPr>
              <w:spacing w:line="282" w:lineRule="auto"/>
              <w:rPr>
                <w:rFonts w:ascii="Arial"/>
                <w:sz w:val="21"/>
              </w:rPr>
            </w:pPr>
            <w:r/>
          </w:p>
          <w:p>
            <w:pPr>
              <w:pStyle w:val="TableText"/>
              <w:ind w:left="131"/>
              <w:spacing w:before="84" w:line="218" w:lineRule="auto"/>
              <w:rPr>
                <w:sz w:val="26"/>
                <w:szCs w:val="26"/>
              </w:rPr>
            </w:pPr>
            <w:r>
              <w:rPr>
                <w:sz w:val="26"/>
                <w:szCs w:val="26"/>
                <w:b/>
                <w:bCs/>
                <w:spacing w:val="-2"/>
              </w:rPr>
              <w:t>通报批评，警告</w:t>
            </w:r>
          </w:p>
        </w:tc>
      </w:tr>
    </w:tbl>
    <w:p>
      <w:pPr>
        <w:ind w:left="4" w:right="282" w:firstLine="640"/>
        <w:spacing w:before="127" w:line="253" w:lineRule="auto"/>
        <w:rPr>
          <w:rFonts w:ascii="FangSong" w:hAnsi="FangSong" w:eastAsia="FangSong" w:cs="FangSong"/>
          <w:sz w:val="30"/>
          <w:szCs w:val="30"/>
        </w:rPr>
      </w:pPr>
      <w:r>
        <w:rPr>
          <w:rFonts w:ascii="FangSong" w:hAnsi="FangSong" w:eastAsia="FangSong" w:cs="FangSong"/>
          <w:sz w:val="30"/>
          <w:szCs w:val="30"/>
          <w:b/>
          <w:bCs/>
          <w:spacing w:val="25"/>
        </w:rPr>
        <w:t>第一百三十六条医疗机构未按照有关规定严格执行隔离消毒制度，对结核菌污染的</w:t>
      </w:r>
      <w:r>
        <w:rPr>
          <w:rFonts w:ascii="FangSong" w:hAnsi="FangSong" w:eastAsia="FangSong" w:cs="FangSong"/>
          <w:sz w:val="30"/>
          <w:szCs w:val="30"/>
          <w:b/>
          <w:bCs/>
          <w:spacing w:val="24"/>
        </w:rPr>
        <w:t>痰液、污</w:t>
      </w:r>
      <w:r>
        <w:rPr>
          <w:rFonts w:ascii="FangSong" w:hAnsi="FangSong" w:eastAsia="FangSong" w:cs="FangSong"/>
          <w:sz w:val="30"/>
          <w:szCs w:val="30"/>
        </w:rPr>
        <w:t xml:space="preserve"> </w:t>
      </w:r>
      <w:r>
        <w:rPr>
          <w:rFonts w:ascii="FangSong" w:hAnsi="FangSong" w:eastAsia="FangSong" w:cs="FangSong"/>
          <w:sz w:val="30"/>
          <w:szCs w:val="30"/>
          <w:b/>
          <w:bCs/>
          <w:spacing w:val="14"/>
        </w:rPr>
        <w:t>物和污水未进行卫生处理的</w:t>
      </w:r>
    </w:p>
    <w:p>
      <w:pPr>
        <w:spacing w:line="253" w:lineRule="auto"/>
        <w:sectPr>
          <w:footerReference w:type="default" r:id="rId209"/>
          <w:pgSz w:w="16830" w:h="11900"/>
          <w:pgMar w:top="1011" w:right="1340" w:bottom="1096" w:left="1439" w:header="0" w:footer="772" w:gutter="0"/>
        </w:sectPr>
        <w:rPr>
          <w:rFonts w:ascii="FangSong" w:hAnsi="FangSong" w:eastAsia="FangSong" w:cs="FangSong"/>
          <w:sz w:val="30"/>
          <w:szCs w:val="30"/>
        </w:rPr>
      </w:pPr>
    </w:p>
    <w:p>
      <w:pPr>
        <w:pStyle w:val="BodyText"/>
        <w:spacing w:line="252" w:lineRule="auto"/>
        <w:rPr/>
      </w:pPr>
      <w:r/>
    </w:p>
    <w:p>
      <w:pPr>
        <w:pStyle w:val="BodyText"/>
        <w:spacing w:line="252" w:lineRule="auto"/>
        <w:rPr/>
      </w:pPr>
      <w:r/>
    </w:p>
    <w:p>
      <w:pPr>
        <w:pStyle w:val="BodyText"/>
        <w:spacing w:line="252" w:lineRule="auto"/>
        <w:rPr/>
      </w:pPr>
      <w:r/>
    </w:p>
    <w:p>
      <w:pPr>
        <w:ind w:left="659"/>
        <w:spacing w:before="98" w:line="222" w:lineRule="auto"/>
        <w:rPr>
          <w:rFonts w:ascii="FangSong" w:hAnsi="FangSong" w:eastAsia="FangSong" w:cs="FangSong"/>
          <w:sz w:val="30"/>
          <w:szCs w:val="30"/>
        </w:rPr>
      </w:pPr>
      <w:bookmarkStart w:name="bookmark863" w:id="194"/>
      <w:bookmarkEnd w:id="194"/>
      <w:r>
        <w:rPr>
          <w:rFonts w:ascii="FangSong" w:hAnsi="FangSong" w:eastAsia="FangSong" w:cs="FangSong"/>
          <w:sz w:val="30"/>
          <w:szCs w:val="30"/>
          <w:spacing w:val="-2"/>
        </w:rPr>
        <w:t>法律依据：</w:t>
      </w:r>
    </w:p>
    <w:p>
      <w:pPr>
        <w:ind w:firstLine="629"/>
        <w:spacing w:before="99" w:line="264" w:lineRule="auto"/>
        <w:jc w:val="both"/>
        <w:rPr>
          <w:rFonts w:ascii="FangSong" w:hAnsi="FangSong" w:eastAsia="FangSong" w:cs="FangSong"/>
          <w:sz w:val="30"/>
          <w:szCs w:val="30"/>
        </w:rPr>
      </w:pPr>
      <w:r>
        <w:rPr>
          <w:rFonts w:ascii="FangSong" w:hAnsi="FangSong" w:eastAsia="FangSong" w:cs="FangSong"/>
          <w:sz w:val="30"/>
          <w:szCs w:val="30"/>
          <w:spacing w:val="16"/>
        </w:rPr>
        <w:t>《结核病防治管理办法》第三十六条第(四)项</w:t>
      </w:r>
      <w:r>
        <w:rPr>
          <w:rFonts w:ascii="FangSong" w:hAnsi="FangSong" w:eastAsia="FangSong" w:cs="FangSong"/>
          <w:sz w:val="30"/>
          <w:szCs w:val="30"/>
          <w:spacing w:val="68"/>
        </w:rPr>
        <w:t xml:space="preserve">  </w:t>
      </w:r>
      <w:r>
        <w:rPr>
          <w:rFonts w:ascii="FangSong" w:hAnsi="FangSong" w:eastAsia="FangSong" w:cs="FangSong"/>
          <w:sz w:val="30"/>
          <w:szCs w:val="30"/>
          <w:spacing w:val="16"/>
        </w:rPr>
        <w:t>医疗机构违反本办法规定，有下列情形之一的，</w:t>
      </w:r>
      <w:r>
        <w:rPr>
          <w:rFonts w:ascii="FangSong" w:hAnsi="FangSong" w:eastAsia="FangSong" w:cs="FangSong"/>
          <w:sz w:val="30"/>
          <w:szCs w:val="30"/>
        </w:rPr>
        <w:t xml:space="preserve"> </w:t>
      </w:r>
      <w:r>
        <w:rPr>
          <w:rFonts w:ascii="FangSong" w:hAnsi="FangSong" w:eastAsia="FangSong" w:cs="FangSong"/>
          <w:sz w:val="30"/>
          <w:szCs w:val="30"/>
          <w:spacing w:val="16"/>
        </w:rPr>
        <w:t>由县级以上卫生行政部门责令改正，通报批评，给予警告；造成肺结核传播、流行或者其他严重后果</w:t>
      </w:r>
      <w:r>
        <w:rPr>
          <w:rFonts w:ascii="FangSong" w:hAnsi="FangSong" w:eastAsia="FangSong" w:cs="FangSong"/>
          <w:sz w:val="30"/>
          <w:szCs w:val="30"/>
          <w:spacing w:val="7"/>
        </w:rPr>
        <w:t xml:space="preserve"> </w:t>
      </w:r>
      <w:r>
        <w:rPr>
          <w:rFonts w:ascii="FangSong" w:hAnsi="FangSong" w:eastAsia="FangSong" w:cs="FangSong"/>
          <w:sz w:val="30"/>
          <w:szCs w:val="30"/>
          <w:spacing w:val="18"/>
        </w:rPr>
        <w:t>的，对负有责任的主管人员和其他直接责任人员</w:t>
      </w:r>
      <w:r>
        <w:rPr>
          <w:rFonts w:ascii="FangSong" w:hAnsi="FangSong" w:eastAsia="FangSong" w:cs="FangSong"/>
          <w:sz w:val="30"/>
          <w:szCs w:val="30"/>
          <w:spacing w:val="17"/>
        </w:rPr>
        <w:t>，依法给予处分；构成犯罪的，依法追究刑事责任：</w:t>
      </w:r>
    </w:p>
    <w:p>
      <w:pPr>
        <w:ind w:right="88" w:firstLine="779"/>
        <w:spacing w:before="1" w:line="280" w:lineRule="auto"/>
        <w:rPr>
          <w:rFonts w:ascii="FangSong" w:hAnsi="FangSong" w:eastAsia="FangSong" w:cs="FangSong"/>
          <w:sz w:val="30"/>
          <w:szCs w:val="30"/>
        </w:rPr>
      </w:pPr>
      <w:r>
        <w:rPr>
          <w:rFonts w:ascii="FangSong" w:hAnsi="FangSong" w:eastAsia="FangSong" w:cs="FangSong"/>
          <w:sz w:val="30"/>
          <w:szCs w:val="30"/>
          <w:spacing w:val="21"/>
        </w:rPr>
        <w:t>(四)未按照有关规定严格执行隔离消毒制度，对结核菌污染的痰液</w:t>
      </w:r>
      <w:r>
        <w:rPr>
          <w:rFonts w:ascii="FangSong" w:hAnsi="FangSong" w:eastAsia="FangSong" w:cs="FangSong"/>
          <w:sz w:val="30"/>
          <w:szCs w:val="30"/>
          <w:spacing w:val="20"/>
        </w:rPr>
        <w:t>、污物和污水未进行卫生处</w:t>
      </w:r>
      <w:r>
        <w:rPr>
          <w:rFonts w:ascii="FangSong" w:hAnsi="FangSong" w:eastAsia="FangSong" w:cs="FangSong"/>
          <w:sz w:val="30"/>
          <w:szCs w:val="30"/>
        </w:rPr>
        <w:t xml:space="preserve"> </w:t>
      </w:r>
      <w:r>
        <w:rPr>
          <w:rFonts w:ascii="FangSong" w:hAnsi="FangSong" w:eastAsia="FangSong" w:cs="FangSong"/>
          <w:sz w:val="30"/>
          <w:szCs w:val="30"/>
          <w:spacing w:val="-8"/>
        </w:rPr>
        <w:t>理。</w:t>
      </w:r>
    </w:p>
    <w:p>
      <w:pPr>
        <w:ind w:left="6704"/>
        <w:spacing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19" w:type="dxa"/>
        <w:tblInd w:w="7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63"/>
        <w:gridCol w:w="7824"/>
        <w:gridCol w:w="3932"/>
      </w:tblGrid>
      <w:tr>
        <w:trPr>
          <w:trHeight w:val="551" w:hRule="atLeast"/>
        </w:trPr>
        <w:tc>
          <w:tcPr>
            <w:tcW w:w="2063" w:type="dxa"/>
            <w:vAlign w:val="top"/>
          </w:tcPr>
          <w:p>
            <w:pPr>
              <w:pStyle w:val="TableText"/>
              <w:ind w:left="508"/>
              <w:spacing w:before="152" w:line="220" w:lineRule="auto"/>
              <w:rPr>
                <w:sz w:val="26"/>
                <w:szCs w:val="26"/>
              </w:rPr>
            </w:pPr>
            <w:r>
              <w:rPr>
                <w:sz w:val="26"/>
                <w:szCs w:val="26"/>
                <w:b/>
                <w:bCs/>
                <w:spacing w:val="-5"/>
              </w:rPr>
              <w:t>违法程度</w:t>
            </w:r>
          </w:p>
        </w:tc>
        <w:tc>
          <w:tcPr>
            <w:tcW w:w="7824" w:type="dxa"/>
            <w:vAlign w:val="top"/>
          </w:tcPr>
          <w:p>
            <w:pPr>
              <w:pStyle w:val="TableText"/>
              <w:ind w:left="3385"/>
              <w:spacing w:before="152" w:line="220" w:lineRule="auto"/>
              <w:rPr>
                <w:sz w:val="26"/>
                <w:szCs w:val="26"/>
              </w:rPr>
            </w:pPr>
            <w:r>
              <w:rPr>
                <w:sz w:val="26"/>
                <w:szCs w:val="26"/>
                <w:b/>
                <w:bCs/>
                <w:spacing w:val="-5"/>
              </w:rPr>
              <w:t>情节后果</w:t>
            </w:r>
          </w:p>
        </w:tc>
        <w:tc>
          <w:tcPr>
            <w:tcW w:w="3932" w:type="dxa"/>
            <w:vAlign w:val="top"/>
          </w:tcPr>
          <w:p>
            <w:pPr>
              <w:pStyle w:val="TableText"/>
              <w:ind w:left="1411"/>
              <w:spacing w:before="149" w:line="218" w:lineRule="auto"/>
              <w:rPr>
                <w:sz w:val="26"/>
                <w:szCs w:val="26"/>
              </w:rPr>
            </w:pPr>
            <w:r>
              <w:rPr>
                <w:sz w:val="26"/>
                <w:szCs w:val="26"/>
                <w:b/>
                <w:bCs/>
                <w:spacing w:val="-5"/>
              </w:rPr>
              <w:t>裁量幅度</w:t>
            </w:r>
          </w:p>
        </w:tc>
      </w:tr>
      <w:tr>
        <w:trPr>
          <w:trHeight w:val="879" w:hRule="atLeast"/>
        </w:trPr>
        <w:tc>
          <w:tcPr>
            <w:tcW w:w="2063" w:type="dxa"/>
            <w:vAlign w:val="top"/>
          </w:tcPr>
          <w:p>
            <w:pPr>
              <w:spacing w:line="296" w:lineRule="auto"/>
              <w:rPr>
                <w:rFonts w:ascii="Arial"/>
                <w:sz w:val="21"/>
              </w:rPr>
            </w:pPr>
            <w:r/>
          </w:p>
          <w:p>
            <w:pPr>
              <w:pStyle w:val="TableText"/>
              <w:ind w:left="768"/>
              <w:spacing w:before="84" w:line="221" w:lineRule="auto"/>
              <w:rPr>
                <w:sz w:val="26"/>
                <w:szCs w:val="26"/>
              </w:rPr>
            </w:pPr>
            <w:r>
              <w:rPr>
                <w:sz w:val="26"/>
                <w:szCs w:val="26"/>
                <w:b/>
                <w:bCs/>
                <w:spacing w:val="-10"/>
              </w:rPr>
              <w:t>一般</w:t>
            </w:r>
          </w:p>
        </w:tc>
        <w:tc>
          <w:tcPr>
            <w:tcW w:w="7824" w:type="dxa"/>
            <w:vAlign w:val="top"/>
          </w:tcPr>
          <w:p>
            <w:pPr>
              <w:pStyle w:val="TableText"/>
              <w:ind w:left="95" w:hanging="80"/>
              <w:spacing w:before="162" w:line="251" w:lineRule="auto"/>
              <w:rPr>
                <w:sz w:val="26"/>
                <w:szCs w:val="26"/>
              </w:rPr>
            </w:pPr>
            <w:r>
              <w:rPr>
                <w:sz w:val="26"/>
                <w:szCs w:val="26"/>
                <w:b/>
                <w:bCs/>
                <w:spacing w:val="-20"/>
              </w:rPr>
              <w:t>未按照有关规</w:t>
            </w:r>
            <w:r>
              <w:rPr>
                <w:sz w:val="26"/>
                <w:szCs w:val="26"/>
                <w:b/>
                <w:bCs/>
                <w:spacing w:val="-19"/>
              </w:rPr>
              <w:t>定严格执行隔离消毒制度，对结核菌污染的痰液、污物</w:t>
            </w:r>
            <w:r>
              <w:rPr>
                <w:sz w:val="26"/>
                <w:szCs w:val="26"/>
                <w:b/>
                <w:bCs/>
                <w:spacing w:val="-20"/>
              </w:rPr>
              <w:t>和</w:t>
            </w:r>
            <w:r>
              <w:rPr>
                <w:sz w:val="26"/>
                <w:szCs w:val="26"/>
                <w:b/>
                <w:bCs/>
                <w:spacing w:val="-14"/>
              </w:rPr>
              <w:t>污</w:t>
            </w:r>
            <w:r>
              <w:rPr>
                <w:sz w:val="26"/>
                <w:szCs w:val="26"/>
              </w:rPr>
              <w:t xml:space="preserve"> </w:t>
            </w:r>
            <w:r>
              <w:rPr>
                <w:sz w:val="26"/>
                <w:szCs w:val="26"/>
                <w:b/>
                <w:bCs/>
                <w:spacing w:val="-5"/>
              </w:rPr>
              <w:t>水未进行卫生处理</w:t>
            </w:r>
          </w:p>
        </w:tc>
        <w:tc>
          <w:tcPr>
            <w:tcW w:w="3932" w:type="dxa"/>
            <w:vAlign w:val="top"/>
          </w:tcPr>
          <w:p>
            <w:pPr>
              <w:spacing w:line="292" w:lineRule="auto"/>
              <w:rPr>
                <w:rFonts w:ascii="Arial"/>
                <w:sz w:val="21"/>
              </w:rPr>
            </w:pPr>
            <w:r/>
          </w:p>
          <w:p>
            <w:pPr>
              <w:pStyle w:val="TableText"/>
              <w:ind w:left="121"/>
              <w:spacing w:before="84" w:line="218" w:lineRule="auto"/>
              <w:rPr>
                <w:sz w:val="26"/>
                <w:szCs w:val="26"/>
              </w:rPr>
            </w:pPr>
            <w:r>
              <w:rPr>
                <w:sz w:val="26"/>
                <w:szCs w:val="26"/>
                <w:b/>
                <w:bCs/>
                <w:spacing w:val="-2"/>
              </w:rPr>
              <w:t>通报批评，警告</w:t>
            </w:r>
          </w:p>
        </w:tc>
      </w:tr>
    </w:tbl>
    <w:p>
      <w:pPr>
        <w:ind w:left="4" w:right="254" w:firstLine="659"/>
        <w:spacing w:before="105" w:line="271" w:lineRule="auto"/>
        <w:rPr>
          <w:rFonts w:ascii="FangSong" w:hAnsi="FangSong" w:eastAsia="FangSong" w:cs="FangSong"/>
          <w:sz w:val="30"/>
          <w:szCs w:val="30"/>
        </w:rPr>
      </w:pPr>
      <w:r>
        <w:rPr>
          <w:rFonts w:ascii="FangSong" w:hAnsi="FangSong" w:eastAsia="FangSong" w:cs="FangSong"/>
          <w:sz w:val="30"/>
          <w:szCs w:val="30"/>
          <w:b/>
          <w:bCs/>
          <w:spacing w:val="17"/>
        </w:rPr>
        <w:t>一百三十七条</w:t>
      </w:r>
      <w:r>
        <w:rPr>
          <w:rFonts w:ascii="FangSong" w:hAnsi="FangSong" w:eastAsia="FangSong" w:cs="FangSong"/>
          <w:sz w:val="30"/>
          <w:szCs w:val="30"/>
          <w:spacing w:val="17"/>
        </w:rPr>
        <w:t xml:space="preserve">  </w:t>
      </w:r>
      <w:r>
        <w:rPr>
          <w:rFonts w:ascii="FangSong" w:hAnsi="FangSong" w:eastAsia="FangSong" w:cs="FangSong"/>
          <w:sz w:val="30"/>
          <w:szCs w:val="30"/>
          <w:b/>
          <w:bCs/>
          <w:spacing w:val="17"/>
        </w:rPr>
        <w:t>医疗机构故意泄露涉及肺结核</w:t>
      </w:r>
      <w:r>
        <w:rPr>
          <w:rFonts w:ascii="FangSong" w:hAnsi="FangSong" w:eastAsia="FangSong" w:cs="FangSong"/>
          <w:sz w:val="30"/>
          <w:szCs w:val="30"/>
          <w:b/>
          <w:bCs/>
          <w:spacing w:val="16"/>
        </w:rPr>
        <w:t>患者、疑似肺结核患者、密切接触者个人隐私的</w:t>
      </w:r>
      <w:r>
        <w:rPr>
          <w:rFonts w:ascii="FangSong" w:hAnsi="FangSong" w:eastAsia="FangSong" w:cs="FangSong"/>
          <w:sz w:val="30"/>
          <w:szCs w:val="30"/>
        </w:rPr>
        <w:t xml:space="preserve"> </w:t>
      </w:r>
      <w:r>
        <w:rPr>
          <w:rFonts w:ascii="FangSong" w:hAnsi="FangSong" w:eastAsia="FangSong" w:cs="FangSong"/>
          <w:sz w:val="30"/>
          <w:szCs w:val="30"/>
          <w:b/>
          <w:bCs/>
          <w:spacing w:val="11"/>
        </w:rPr>
        <w:t>有关信息和资料的</w:t>
      </w:r>
    </w:p>
    <w:p>
      <w:pPr>
        <w:ind w:left="659"/>
        <w:spacing w:before="28"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right="74" w:firstLine="629"/>
        <w:spacing w:before="59" w:line="270" w:lineRule="auto"/>
        <w:jc w:val="both"/>
        <w:rPr>
          <w:rFonts w:ascii="FangSong" w:hAnsi="FangSong" w:eastAsia="FangSong" w:cs="FangSong"/>
          <w:sz w:val="30"/>
          <w:szCs w:val="30"/>
        </w:rPr>
      </w:pPr>
      <w:r>
        <w:rPr>
          <w:rFonts w:ascii="FangSong" w:hAnsi="FangSong" w:eastAsia="FangSong" w:cs="FangSong"/>
          <w:sz w:val="30"/>
          <w:szCs w:val="30"/>
          <w:spacing w:val="17"/>
        </w:rPr>
        <w:t>《结核病防治管理办法》第三十六条</w:t>
      </w:r>
      <w:r>
        <w:rPr>
          <w:rFonts w:ascii="FangSong" w:hAnsi="FangSong" w:eastAsia="FangSong" w:cs="FangSong"/>
          <w:sz w:val="30"/>
          <w:szCs w:val="30"/>
          <w:spacing w:val="17"/>
        </w:rPr>
        <w:t xml:space="preserve">  </w:t>
      </w:r>
      <w:r>
        <w:rPr>
          <w:rFonts w:ascii="FangSong" w:hAnsi="FangSong" w:eastAsia="FangSong" w:cs="FangSong"/>
          <w:sz w:val="30"/>
          <w:szCs w:val="30"/>
          <w:spacing w:val="17"/>
        </w:rPr>
        <w:t>医疗机构违反本办法规定，有下列情形之一的，由县级以</w:t>
      </w:r>
      <w:r>
        <w:rPr>
          <w:rFonts w:ascii="FangSong" w:hAnsi="FangSong" w:eastAsia="FangSong" w:cs="FangSong"/>
          <w:sz w:val="30"/>
          <w:szCs w:val="30"/>
          <w:spacing w:val="3"/>
        </w:rPr>
        <w:t xml:space="preserve"> </w:t>
      </w:r>
      <w:r>
        <w:rPr>
          <w:rFonts w:ascii="FangSong" w:hAnsi="FangSong" w:eastAsia="FangSong" w:cs="FangSong"/>
          <w:sz w:val="30"/>
          <w:szCs w:val="30"/>
          <w:spacing w:val="16"/>
        </w:rPr>
        <w:t>上卫生行政部门责令改正，通报批评，给予警告；造成肺结核传播、流行或者其他严重后果的，对负</w:t>
      </w:r>
      <w:r>
        <w:rPr>
          <w:rFonts w:ascii="FangSong" w:hAnsi="FangSong" w:eastAsia="FangSong" w:cs="FangSong"/>
          <w:sz w:val="30"/>
          <w:szCs w:val="30"/>
          <w:spacing w:val="4"/>
        </w:rPr>
        <w:t xml:space="preserve"> </w:t>
      </w:r>
      <w:r>
        <w:rPr>
          <w:rFonts w:ascii="FangSong" w:hAnsi="FangSong" w:eastAsia="FangSong" w:cs="FangSong"/>
          <w:sz w:val="30"/>
          <w:szCs w:val="30"/>
          <w:spacing w:val="18"/>
        </w:rPr>
        <w:t>有责任的主管人员和其他直接责任人员，依法给予处分；构成犯</w:t>
      </w:r>
      <w:r>
        <w:rPr>
          <w:rFonts w:ascii="FangSong" w:hAnsi="FangSong" w:eastAsia="FangSong" w:cs="FangSong"/>
          <w:sz w:val="30"/>
          <w:szCs w:val="30"/>
          <w:spacing w:val="17"/>
        </w:rPr>
        <w:t>罪的，依法追究刑事责任：</w:t>
      </w:r>
    </w:p>
    <w:p>
      <w:pPr>
        <w:ind w:left="6423" w:right="349" w:hanging="5644"/>
        <w:spacing w:before="1" w:line="393" w:lineRule="auto"/>
        <w:rPr>
          <w:rFonts w:ascii="SimHei" w:hAnsi="SimHei" w:eastAsia="SimHei" w:cs="SimHei"/>
          <w:sz w:val="30"/>
          <w:szCs w:val="30"/>
        </w:rPr>
      </w:pPr>
      <w:r>
        <w:rPr>
          <w:rFonts w:ascii="FangSong" w:hAnsi="FangSong" w:eastAsia="FangSong" w:cs="FangSong"/>
          <w:sz w:val="30"/>
          <w:szCs w:val="30"/>
          <w:spacing w:val="22"/>
        </w:rPr>
        <w:t>(五)故意泄露涉及肺结核患者、疑似肺结核患者、密切接触者个人隐私的有关信息和资料。</w:t>
      </w:r>
      <w:r>
        <w:rPr>
          <w:rFonts w:ascii="FangSong" w:hAnsi="FangSong" w:eastAsia="FangSong" w:cs="FangSong"/>
          <w:sz w:val="30"/>
          <w:szCs w:val="30"/>
          <w:spacing w:val="7"/>
        </w:rPr>
        <w:t xml:space="preserve"> </w:t>
      </w:r>
      <w:r>
        <w:rPr>
          <w:rFonts w:ascii="SimHei" w:hAnsi="SimHei" w:eastAsia="SimHei" w:cs="SimHei"/>
          <w:sz w:val="30"/>
          <w:szCs w:val="30"/>
          <w:b/>
          <w:bCs/>
          <w:spacing w:val="-17"/>
        </w:rPr>
        <w:t>裁量标准</w:t>
      </w:r>
    </w:p>
    <w:p>
      <w:pPr>
        <w:spacing w:line="393" w:lineRule="auto"/>
        <w:sectPr>
          <w:footerReference w:type="default" r:id="rId210"/>
          <w:pgSz w:w="16830" w:h="11900"/>
          <w:pgMar w:top="1011" w:right="1360" w:bottom="1103" w:left="1430" w:header="0" w:footer="769" w:gutter="0"/>
        </w:sectPr>
        <w:rPr>
          <w:rFonts w:ascii="SimHei" w:hAnsi="SimHei" w:eastAsia="SimHei" w:cs="SimHei"/>
          <w:sz w:val="30"/>
          <w:szCs w:val="30"/>
        </w:rPr>
      </w:pPr>
    </w:p>
    <w:p>
      <w:pPr>
        <w:spacing w:before="20"/>
        <w:rPr/>
      </w:pPr>
      <w:r/>
    </w:p>
    <w:p>
      <w:pPr>
        <w:spacing w:before="20"/>
        <w:rPr/>
      </w:pPr>
      <w:r/>
    </w:p>
    <w:p>
      <w:pPr>
        <w:spacing w:before="19"/>
        <w:rPr/>
      </w:pPr>
      <w:r/>
    </w:p>
    <w:tbl>
      <w:tblPr>
        <w:tblStyle w:val="TableNormal"/>
        <w:tblW w:w="13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84"/>
        <w:gridCol w:w="9293"/>
        <w:gridCol w:w="2893"/>
      </w:tblGrid>
      <w:tr>
        <w:trPr>
          <w:trHeight w:val="630" w:hRule="atLeast"/>
        </w:trPr>
        <w:tc>
          <w:tcPr>
            <w:tcW w:w="1684" w:type="dxa"/>
            <w:vAlign w:val="top"/>
          </w:tcPr>
          <w:p>
            <w:pPr>
              <w:pStyle w:val="TableText"/>
              <w:ind w:left="258"/>
              <w:spacing w:before="72" w:line="220" w:lineRule="auto"/>
              <w:rPr/>
            </w:pPr>
            <w:bookmarkStart w:name="bookmark864" w:id="195"/>
            <w:bookmarkEnd w:id="195"/>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9293" w:type="dxa"/>
            <w:vAlign w:val="top"/>
          </w:tcPr>
          <w:p>
            <w:pPr>
              <w:pStyle w:val="TableText"/>
              <w:ind w:left="4164"/>
              <w:spacing w:before="82" w:line="220" w:lineRule="auto"/>
              <w:rPr/>
            </w:pPr>
            <w:r>
              <w:rPr>
                <w:b/>
                <w:bCs/>
                <w:spacing w:val="-5"/>
              </w:rPr>
              <w:t>情节后果</w:t>
            </w:r>
          </w:p>
        </w:tc>
        <w:tc>
          <w:tcPr>
            <w:tcW w:w="2893" w:type="dxa"/>
            <w:vAlign w:val="top"/>
          </w:tcPr>
          <w:p>
            <w:pPr>
              <w:pStyle w:val="TableText"/>
              <w:ind w:left="871"/>
              <w:spacing w:before="89" w:line="218" w:lineRule="auto"/>
              <w:rPr/>
            </w:pPr>
            <w:r>
              <w:rPr>
                <w:b/>
                <w:bCs/>
                <w:spacing w:val="-5"/>
              </w:rPr>
              <w:t>裁量幅度</w:t>
            </w:r>
          </w:p>
        </w:tc>
      </w:tr>
      <w:tr>
        <w:trPr>
          <w:trHeight w:val="849" w:hRule="atLeast"/>
        </w:trPr>
        <w:tc>
          <w:tcPr>
            <w:tcW w:w="1684" w:type="dxa"/>
            <w:vAlign w:val="top"/>
          </w:tcPr>
          <w:p>
            <w:pPr>
              <w:pStyle w:val="TableText"/>
              <w:ind w:left="598"/>
              <w:spacing w:before="212" w:line="221" w:lineRule="auto"/>
              <w:rPr/>
            </w:pPr>
            <w:r>
              <w:rPr>
                <w:b/>
                <w:bCs/>
                <w:spacing w:val="-10"/>
              </w:rPr>
              <w:t>一般</w:t>
            </w:r>
          </w:p>
        </w:tc>
        <w:tc>
          <w:tcPr>
            <w:tcW w:w="9293" w:type="dxa"/>
            <w:vAlign w:val="top"/>
          </w:tcPr>
          <w:p>
            <w:pPr>
              <w:pStyle w:val="TableText"/>
              <w:ind w:left="144"/>
              <w:spacing w:before="211" w:line="219" w:lineRule="auto"/>
              <w:rPr/>
            </w:pPr>
            <w:r>
              <w:rPr>
                <w:b/>
                <w:bCs/>
                <w:spacing w:val="-3"/>
              </w:rPr>
              <w:t>故意泄露涉及肺结核患者、疑似肺结核患者、密切接触者个人隐私的有关信息和资料。</w:t>
            </w:r>
          </w:p>
        </w:tc>
        <w:tc>
          <w:tcPr>
            <w:tcW w:w="2893" w:type="dxa"/>
            <w:vAlign w:val="top"/>
          </w:tcPr>
          <w:p>
            <w:pPr>
              <w:pStyle w:val="TableText"/>
              <w:ind w:left="101"/>
              <w:spacing w:before="209" w:line="218" w:lineRule="auto"/>
              <w:rPr/>
            </w:pPr>
            <w:r>
              <w:rPr>
                <w:b/>
                <w:bCs/>
                <w:spacing w:val="-4"/>
              </w:rPr>
              <w:t>通报批评，给予警告。</w:t>
            </w:r>
          </w:p>
        </w:tc>
      </w:tr>
    </w:tbl>
    <w:p>
      <w:pPr>
        <w:pStyle w:val="BodyText"/>
        <w:spacing w:line="339" w:lineRule="auto"/>
        <w:rPr/>
      </w:pPr>
      <w:r/>
    </w:p>
    <w:p>
      <w:pPr>
        <w:pStyle w:val="BodyText"/>
        <w:spacing w:line="340" w:lineRule="auto"/>
        <w:rPr/>
      </w:pPr>
      <w:r/>
    </w:p>
    <w:p>
      <w:pPr>
        <w:ind w:left="679"/>
        <w:spacing w:before="98" w:line="219" w:lineRule="auto"/>
        <w:rPr>
          <w:rFonts w:ascii="SimSun" w:hAnsi="SimSun" w:eastAsia="SimSun" w:cs="SimSun"/>
          <w:sz w:val="30"/>
          <w:szCs w:val="30"/>
        </w:rPr>
      </w:pPr>
      <w:r>
        <w:rPr>
          <w:rFonts w:ascii="SimSun" w:hAnsi="SimSun" w:eastAsia="SimSun" w:cs="SimSun"/>
          <w:sz w:val="30"/>
          <w:szCs w:val="30"/>
          <w:b/>
          <w:bCs/>
          <w:spacing w:val="17"/>
        </w:rPr>
        <w:t>第一百三十八条</w:t>
      </w:r>
      <w:r>
        <w:rPr>
          <w:rFonts w:ascii="SimSun" w:hAnsi="SimSun" w:eastAsia="SimSun" w:cs="SimSun"/>
          <w:sz w:val="30"/>
          <w:szCs w:val="30"/>
          <w:spacing w:val="3"/>
        </w:rPr>
        <w:t xml:space="preserve">  </w:t>
      </w:r>
      <w:r>
        <w:rPr>
          <w:rFonts w:ascii="SimSun" w:hAnsi="SimSun" w:eastAsia="SimSun" w:cs="SimSun"/>
          <w:sz w:val="30"/>
          <w:szCs w:val="30"/>
          <w:b/>
          <w:bCs/>
          <w:spacing w:val="17"/>
        </w:rPr>
        <w:t>基层医疗卫生机构未履行对辖区内肺结核患者居</w:t>
      </w:r>
      <w:r>
        <w:rPr>
          <w:rFonts w:ascii="SimSun" w:hAnsi="SimSun" w:eastAsia="SimSun" w:cs="SimSun"/>
          <w:sz w:val="30"/>
          <w:szCs w:val="30"/>
          <w:b/>
          <w:bCs/>
          <w:spacing w:val="16"/>
        </w:rPr>
        <w:t>家治疗期间的督导管理职责</w:t>
      </w:r>
    </w:p>
    <w:p>
      <w:pPr>
        <w:ind w:left="35"/>
        <w:spacing w:before="115" w:line="222" w:lineRule="auto"/>
        <w:rPr>
          <w:rFonts w:ascii="SimSun" w:hAnsi="SimSun" w:eastAsia="SimSun" w:cs="SimSun"/>
          <w:sz w:val="30"/>
          <w:szCs w:val="30"/>
        </w:rPr>
      </w:pPr>
      <w:r>
        <w:rPr>
          <w:rFonts w:ascii="SimSun" w:hAnsi="SimSun" w:eastAsia="SimSun" w:cs="SimSun"/>
          <w:sz w:val="30"/>
          <w:szCs w:val="30"/>
        </w:rPr>
        <w:t>的</w:t>
      </w:r>
    </w:p>
    <w:p>
      <w:pPr>
        <w:ind w:left="675"/>
        <w:spacing w:before="52" w:line="222" w:lineRule="auto"/>
        <w:rPr>
          <w:rFonts w:ascii="FangSong" w:hAnsi="FangSong" w:eastAsia="FangSong" w:cs="FangSong"/>
          <w:sz w:val="30"/>
          <w:szCs w:val="30"/>
        </w:rPr>
      </w:pPr>
      <w:r>
        <w:rPr>
          <w:rFonts w:ascii="FangSong" w:hAnsi="FangSong" w:eastAsia="FangSong" w:cs="FangSong"/>
          <w:sz w:val="30"/>
          <w:szCs w:val="30"/>
          <w:spacing w:val="4"/>
        </w:rPr>
        <w:t>法律依据：</w:t>
      </w:r>
    </w:p>
    <w:p>
      <w:pPr>
        <w:ind w:left="35" w:firstLine="629"/>
        <w:spacing w:before="78" w:line="267" w:lineRule="auto"/>
        <w:rPr>
          <w:rFonts w:ascii="FangSong" w:hAnsi="FangSong" w:eastAsia="FangSong" w:cs="FangSong"/>
          <w:sz w:val="30"/>
          <w:szCs w:val="30"/>
        </w:rPr>
      </w:pPr>
      <w:r>
        <w:rPr>
          <w:rFonts w:ascii="FangSong" w:hAnsi="FangSong" w:eastAsia="FangSong" w:cs="FangSong"/>
          <w:sz w:val="30"/>
          <w:szCs w:val="30"/>
          <w:spacing w:val="18"/>
        </w:rPr>
        <w:t>《结核病防治管理办法》第三十七条</w:t>
      </w:r>
      <w:r>
        <w:rPr>
          <w:rFonts w:ascii="FangSong" w:hAnsi="FangSong" w:eastAsia="FangSong" w:cs="FangSong"/>
          <w:sz w:val="30"/>
          <w:szCs w:val="30"/>
          <w:spacing w:val="18"/>
        </w:rPr>
        <w:t xml:space="preserve">  </w:t>
      </w:r>
      <w:r>
        <w:rPr>
          <w:rFonts w:ascii="FangSong" w:hAnsi="FangSong" w:eastAsia="FangSong" w:cs="FangSong"/>
          <w:sz w:val="30"/>
          <w:szCs w:val="30"/>
          <w:spacing w:val="18"/>
        </w:rPr>
        <w:t>基层医疗卫生机构违反本办法规定，有下列情形之一的，</w:t>
      </w:r>
      <w:r>
        <w:rPr>
          <w:rFonts w:ascii="FangSong" w:hAnsi="FangSong" w:eastAsia="FangSong" w:cs="FangSong"/>
          <w:sz w:val="30"/>
          <w:szCs w:val="30"/>
          <w:spacing w:val="4"/>
        </w:rPr>
        <w:t xml:space="preserve"> </w:t>
      </w:r>
      <w:r>
        <w:rPr>
          <w:rFonts w:ascii="FangSong" w:hAnsi="FangSong" w:eastAsia="FangSong" w:cs="FangSong"/>
          <w:sz w:val="30"/>
          <w:szCs w:val="30"/>
          <w:spacing w:val="13"/>
        </w:rPr>
        <w:t>由县级卫生行政部门责令改正，给予警告：</w:t>
      </w:r>
    </w:p>
    <w:p>
      <w:pPr>
        <w:ind w:left="815"/>
        <w:spacing w:before="1" w:line="220" w:lineRule="auto"/>
        <w:rPr>
          <w:rFonts w:ascii="FangSong" w:hAnsi="FangSong" w:eastAsia="FangSong" w:cs="FangSong"/>
          <w:sz w:val="30"/>
          <w:szCs w:val="30"/>
        </w:rPr>
      </w:pPr>
      <w:r>
        <w:rPr>
          <w:rFonts w:ascii="FangSong" w:hAnsi="FangSong" w:eastAsia="FangSong" w:cs="FangSong"/>
          <w:sz w:val="30"/>
          <w:szCs w:val="30"/>
          <w:spacing w:val="22"/>
        </w:rPr>
        <w:t>(一)未履行对辖区内肺结核患者居家治疗期间的督导管理职责的。</w:t>
      </w:r>
    </w:p>
    <w:p>
      <w:pPr>
        <w:ind w:left="6439"/>
        <w:spacing w:before="71"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7" w:lineRule="auto"/>
        <w:rPr>
          <w:rFonts w:ascii="Arial"/>
          <w:sz w:val="2"/>
        </w:rPr>
      </w:pPr>
      <w:r>
        <w:rPr>
          <w:rFonts w:ascii="Arial"/>
          <w:sz w:val="2"/>
        </w:rPr>
      </w:r>
    </w:p>
    <w:tbl>
      <w:tblPr>
        <w:tblStyle w:val="TableNormal"/>
        <w:tblW w:w="13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73"/>
        <w:gridCol w:w="6905"/>
        <w:gridCol w:w="4192"/>
      </w:tblGrid>
      <w:tr>
        <w:trPr>
          <w:trHeight w:val="660" w:hRule="atLeast"/>
        </w:trPr>
        <w:tc>
          <w:tcPr>
            <w:tcW w:w="2773" w:type="dxa"/>
            <w:vAlign w:val="top"/>
          </w:tcPr>
          <w:p>
            <w:pPr>
              <w:pStyle w:val="TableText"/>
              <w:ind w:left="878"/>
              <w:spacing w:before="82" w:line="220" w:lineRule="auto"/>
              <w:rPr>
                <w:sz w:val="25"/>
                <w:szCs w:val="25"/>
              </w:rPr>
            </w:pPr>
            <w:r>
              <w:rPr>
                <w:sz w:val="25"/>
                <w:szCs w:val="25"/>
                <w:b/>
                <w:bCs/>
                <w:spacing w:val="-5"/>
              </w:rPr>
              <w:t>违法程度</w:t>
            </w:r>
          </w:p>
        </w:tc>
        <w:tc>
          <w:tcPr>
            <w:tcW w:w="6905" w:type="dxa"/>
            <w:vAlign w:val="top"/>
          </w:tcPr>
          <w:p>
            <w:pPr>
              <w:pStyle w:val="TableText"/>
              <w:ind w:left="2905"/>
              <w:spacing w:before="82" w:line="220" w:lineRule="auto"/>
              <w:rPr>
                <w:sz w:val="25"/>
                <w:szCs w:val="25"/>
              </w:rPr>
            </w:pPr>
            <w:r>
              <w:rPr>
                <w:sz w:val="25"/>
                <w:szCs w:val="25"/>
                <w:b/>
                <w:bCs/>
                <w:spacing w:val="-5"/>
              </w:rPr>
              <w:t>情节后果</w:t>
            </w:r>
          </w:p>
        </w:tc>
        <w:tc>
          <w:tcPr>
            <w:tcW w:w="4192" w:type="dxa"/>
            <w:vAlign w:val="top"/>
          </w:tcPr>
          <w:p>
            <w:pPr>
              <w:pStyle w:val="TableText"/>
              <w:ind w:left="1540"/>
              <w:spacing w:before="89" w:line="218" w:lineRule="auto"/>
              <w:rPr>
                <w:sz w:val="25"/>
                <w:szCs w:val="25"/>
              </w:rPr>
            </w:pPr>
            <w:r>
              <w:rPr>
                <w:sz w:val="25"/>
                <w:szCs w:val="25"/>
                <w:b/>
                <w:bCs/>
                <w:spacing w:val="-5"/>
              </w:rPr>
              <w:t>裁量幅度</w:t>
            </w:r>
          </w:p>
        </w:tc>
      </w:tr>
      <w:tr>
        <w:trPr>
          <w:trHeight w:val="750" w:hRule="atLeast"/>
        </w:trPr>
        <w:tc>
          <w:tcPr>
            <w:tcW w:w="2773" w:type="dxa"/>
            <w:vAlign w:val="top"/>
          </w:tcPr>
          <w:p>
            <w:pPr>
              <w:pStyle w:val="TableText"/>
              <w:ind w:left="1128"/>
              <w:spacing w:before="143" w:line="221" w:lineRule="auto"/>
              <w:rPr>
                <w:sz w:val="25"/>
                <w:szCs w:val="25"/>
              </w:rPr>
            </w:pPr>
            <w:r>
              <w:rPr>
                <w:sz w:val="25"/>
                <w:szCs w:val="25"/>
                <w:b/>
                <w:bCs/>
                <w:spacing w:val="-10"/>
              </w:rPr>
              <w:t>一般</w:t>
            </w:r>
          </w:p>
        </w:tc>
        <w:tc>
          <w:tcPr>
            <w:tcW w:w="6905" w:type="dxa"/>
            <w:vAlign w:val="top"/>
          </w:tcPr>
          <w:p>
            <w:pPr>
              <w:pStyle w:val="TableText"/>
              <w:ind w:left="115"/>
              <w:spacing w:before="140" w:line="219" w:lineRule="auto"/>
              <w:rPr>
                <w:sz w:val="25"/>
                <w:szCs w:val="25"/>
              </w:rPr>
            </w:pPr>
            <w:r>
              <w:rPr>
                <w:sz w:val="25"/>
                <w:szCs w:val="25"/>
                <w:b/>
                <w:bCs/>
                <w:spacing w:val="-3"/>
              </w:rPr>
              <w:t>未履行对辖区内肺结核患者居家治疗期间的督导管理职责。</w:t>
            </w:r>
          </w:p>
        </w:tc>
        <w:tc>
          <w:tcPr>
            <w:tcW w:w="4192" w:type="dxa"/>
            <w:vAlign w:val="top"/>
          </w:tcPr>
          <w:p>
            <w:pPr>
              <w:pStyle w:val="TableText"/>
              <w:ind w:left="130"/>
              <w:spacing w:before="159" w:line="218" w:lineRule="auto"/>
              <w:rPr>
                <w:sz w:val="25"/>
                <w:szCs w:val="25"/>
              </w:rPr>
            </w:pPr>
            <w:r>
              <w:rPr>
                <w:sz w:val="25"/>
                <w:szCs w:val="25"/>
                <w:b/>
                <w:bCs/>
                <w:spacing w:val="-3"/>
              </w:rPr>
              <w:t>给予警告。</w:t>
            </w:r>
          </w:p>
        </w:tc>
      </w:tr>
    </w:tbl>
    <w:p>
      <w:pPr>
        <w:pStyle w:val="BodyText"/>
        <w:spacing w:line="336" w:lineRule="auto"/>
        <w:rPr/>
      </w:pPr>
      <w:r/>
    </w:p>
    <w:p>
      <w:pPr>
        <w:pStyle w:val="BodyText"/>
        <w:spacing w:line="337" w:lineRule="auto"/>
        <w:rPr/>
      </w:pPr>
      <w:r/>
    </w:p>
    <w:p>
      <w:pPr>
        <w:ind w:left="39" w:right="242" w:firstLine="639"/>
        <w:spacing w:before="98" w:line="269" w:lineRule="auto"/>
        <w:rPr>
          <w:rFonts w:ascii="FangSong" w:hAnsi="FangSong" w:eastAsia="FangSong" w:cs="FangSong"/>
          <w:sz w:val="30"/>
          <w:szCs w:val="30"/>
        </w:rPr>
      </w:pPr>
      <w:r>
        <w:rPr>
          <w:rFonts w:ascii="FangSong" w:hAnsi="FangSong" w:eastAsia="FangSong" w:cs="FangSong"/>
          <w:sz w:val="30"/>
          <w:szCs w:val="30"/>
          <w:b/>
          <w:bCs/>
          <w:spacing w:val="17"/>
        </w:rPr>
        <w:t>第一百三十九条</w:t>
      </w:r>
      <w:r>
        <w:rPr>
          <w:rFonts w:ascii="FangSong" w:hAnsi="FangSong" w:eastAsia="FangSong" w:cs="FangSong"/>
          <w:sz w:val="30"/>
          <w:szCs w:val="30"/>
          <w:spacing w:val="8"/>
        </w:rPr>
        <w:t xml:space="preserve">  </w:t>
      </w:r>
      <w:r>
        <w:rPr>
          <w:rFonts w:ascii="FangSong" w:hAnsi="FangSong" w:eastAsia="FangSong" w:cs="FangSong"/>
          <w:sz w:val="30"/>
          <w:szCs w:val="30"/>
          <w:b/>
          <w:bCs/>
          <w:spacing w:val="17"/>
        </w:rPr>
        <w:t>基层医疗卫生机构未按照规定转诊、追踪肺结核患者或者疑似肺结核患者及</w:t>
      </w:r>
      <w:r>
        <w:rPr>
          <w:rFonts w:ascii="FangSong" w:hAnsi="FangSong" w:eastAsia="FangSong" w:cs="FangSong"/>
          <w:sz w:val="30"/>
          <w:szCs w:val="30"/>
        </w:rPr>
        <w:t xml:space="preserve"> </w:t>
      </w:r>
      <w:r>
        <w:rPr>
          <w:rFonts w:ascii="FangSong" w:hAnsi="FangSong" w:eastAsia="FangSong" w:cs="FangSong"/>
          <w:sz w:val="30"/>
          <w:szCs w:val="30"/>
          <w:b/>
          <w:bCs/>
          <w:spacing w:val="15"/>
        </w:rPr>
        <w:t>有可疑症状的密切接触者的</w:t>
      </w:r>
    </w:p>
    <w:p>
      <w:pPr>
        <w:spacing w:line="269" w:lineRule="auto"/>
        <w:sectPr>
          <w:footerReference w:type="default" r:id="rId211"/>
          <w:pgSz w:w="16830" w:h="11900"/>
          <w:pgMar w:top="1011" w:right="1370" w:bottom="1127" w:left="1414" w:header="0" w:footer="794" w:gutter="0"/>
        </w:sectPr>
        <w:rPr>
          <w:rFonts w:ascii="FangSong" w:hAnsi="FangSong" w:eastAsia="FangSong" w:cs="FangSong"/>
          <w:sz w:val="30"/>
          <w:szCs w:val="30"/>
        </w:rPr>
      </w:pPr>
    </w:p>
    <w:p>
      <w:pPr>
        <w:pStyle w:val="BodyText"/>
        <w:spacing w:line="252" w:lineRule="auto"/>
        <w:rPr/>
      </w:pPr>
      <w:r/>
    </w:p>
    <w:p>
      <w:pPr>
        <w:pStyle w:val="BodyText"/>
        <w:spacing w:line="252" w:lineRule="auto"/>
        <w:rPr/>
      </w:pPr>
      <w:r/>
    </w:p>
    <w:p>
      <w:pPr>
        <w:pStyle w:val="BodyText"/>
        <w:spacing w:line="252" w:lineRule="auto"/>
        <w:rPr/>
      </w:pPr>
      <w:r/>
    </w:p>
    <w:p>
      <w:pPr>
        <w:ind w:left="675"/>
        <w:spacing w:before="98" w:line="222" w:lineRule="auto"/>
        <w:rPr>
          <w:rFonts w:ascii="FangSong" w:hAnsi="FangSong" w:eastAsia="FangSong" w:cs="FangSong"/>
          <w:sz w:val="30"/>
          <w:szCs w:val="30"/>
        </w:rPr>
      </w:pPr>
      <w:bookmarkStart w:name="bookmark865" w:id="196"/>
      <w:bookmarkEnd w:id="196"/>
      <w:r>
        <w:rPr>
          <w:rFonts w:ascii="FangSong" w:hAnsi="FangSong" w:eastAsia="FangSong" w:cs="FangSong"/>
          <w:sz w:val="30"/>
          <w:szCs w:val="30"/>
          <w:spacing w:val="-2"/>
        </w:rPr>
        <w:t>法律依据：</w:t>
      </w:r>
    </w:p>
    <w:p>
      <w:pPr>
        <w:ind w:left="35" w:firstLine="609"/>
        <w:spacing w:before="98" w:line="269" w:lineRule="auto"/>
        <w:rPr>
          <w:rFonts w:ascii="FangSong" w:hAnsi="FangSong" w:eastAsia="FangSong" w:cs="FangSong"/>
          <w:sz w:val="30"/>
          <w:szCs w:val="30"/>
        </w:rPr>
      </w:pPr>
      <w:r>
        <w:rPr>
          <w:rFonts w:ascii="FangSong" w:hAnsi="FangSong" w:eastAsia="FangSong" w:cs="FangSong"/>
          <w:sz w:val="30"/>
          <w:szCs w:val="30"/>
          <w:spacing w:val="18"/>
        </w:rPr>
        <w:t>《结核病防治管理办法》第三十七条</w:t>
      </w:r>
      <w:r>
        <w:rPr>
          <w:rFonts w:ascii="FangSong" w:hAnsi="FangSong" w:eastAsia="FangSong" w:cs="FangSong"/>
          <w:sz w:val="30"/>
          <w:szCs w:val="30"/>
          <w:spacing w:val="18"/>
        </w:rPr>
        <w:t xml:space="preserve">  </w:t>
      </w:r>
      <w:r>
        <w:rPr>
          <w:rFonts w:ascii="FangSong" w:hAnsi="FangSong" w:eastAsia="FangSong" w:cs="FangSong"/>
          <w:sz w:val="30"/>
          <w:szCs w:val="30"/>
          <w:spacing w:val="18"/>
        </w:rPr>
        <w:t>基层医疗卫生机构违反本办法规定，有下列情形之一的，</w:t>
      </w:r>
      <w:r>
        <w:rPr>
          <w:rFonts w:ascii="FangSong" w:hAnsi="FangSong" w:eastAsia="FangSong" w:cs="FangSong"/>
          <w:sz w:val="30"/>
          <w:szCs w:val="30"/>
          <w:spacing w:val="5"/>
        </w:rPr>
        <w:t xml:space="preserve"> </w:t>
      </w:r>
      <w:r>
        <w:rPr>
          <w:rFonts w:ascii="FangSong" w:hAnsi="FangSong" w:eastAsia="FangSong" w:cs="FangSong"/>
          <w:sz w:val="30"/>
          <w:szCs w:val="30"/>
          <w:spacing w:val="13"/>
        </w:rPr>
        <w:t>由县级卫生行政部门责令改正，给予警告：</w:t>
      </w:r>
    </w:p>
    <w:p>
      <w:pPr>
        <w:ind w:left="794"/>
        <w:spacing w:before="1" w:line="218" w:lineRule="auto"/>
        <w:rPr>
          <w:rFonts w:ascii="FangSong" w:hAnsi="FangSong" w:eastAsia="FangSong" w:cs="FangSong"/>
          <w:sz w:val="30"/>
          <w:szCs w:val="30"/>
        </w:rPr>
      </w:pPr>
      <w:r>
        <w:rPr>
          <w:rFonts w:ascii="FangSong" w:hAnsi="FangSong" w:eastAsia="FangSong" w:cs="FangSong"/>
          <w:sz w:val="30"/>
          <w:szCs w:val="30"/>
          <w:spacing w:val="22"/>
        </w:rPr>
        <w:t>(二)未按照规定转诊、追踪肺结核患者或者疑似肺结核患者及有可疑症状的密切接触者。</w:t>
      </w:r>
    </w:p>
    <w:p>
      <w:pPr>
        <w:ind w:left="6429"/>
        <w:spacing w:before="99"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63"/>
        <w:gridCol w:w="8064"/>
        <w:gridCol w:w="3163"/>
      </w:tblGrid>
      <w:tr>
        <w:trPr>
          <w:trHeight w:val="631" w:hRule="atLeast"/>
        </w:trPr>
        <w:tc>
          <w:tcPr>
            <w:tcW w:w="2763" w:type="dxa"/>
            <w:vAlign w:val="top"/>
          </w:tcPr>
          <w:p>
            <w:pPr>
              <w:pStyle w:val="TableText"/>
              <w:ind w:left="878"/>
              <w:spacing w:before="92" w:line="220" w:lineRule="auto"/>
              <w:rPr>
                <w:sz w:val="25"/>
                <w:szCs w:val="25"/>
              </w:rPr>
            </w:pPr>
            <w:r>
              <w:rPr>
                <w:sz w:val="25"/>
                <w:szCs w:val="25"/>
                <w:b/>
                <w:bCs/>
                <w:spacing w:val="-5"/>
              </w:rPr>
              <w:t>违法程度</w:t>
            </w:r>
          </w:p>
        </w:tc>
        <w:tc>
          <w:tcPr>
            <w:tcW w:w="8064" w:type="dxa"/>
            <w:vAlign w:val="top"/>
          </w:tcPr>
          <w:p>
            <w:pPr>
              <w:pStyle w:val="TableText"/>
              <w:ind w:left="3525"/>
              <w:spacing w:before="92" w:line="220" w:lineRule="auto"/>
              <w:rPr>
                <w:sz w:val="25"/>
                <w:szCs w:val="25"/>
              </w:rPr>
            </w:pPr>
            <w:r>
              <w:rPr>
                <w:sz w:val="25"/>
                <w:szCs w:val="25"/>
                <w:b/>
                <w:bCs/>
                <w:spacing w:val="-5"/>
              </w:rPr>
              <w:t>情节后果</w:t>
            </w:r>
          </w:p>
        </w:tc>
        <w:tc>
          <w:tcPr>
            <w:tcW w:w="3163" w:type="dxa"/>
            <w:vAlign w:val="top"/>
          </w:tcPr>
          <w:p>
            <w:pPr>
              <w:pStyle w:val="TableText"/>
              <w:ind w:left="1011"/>
              <w:spacing w:before="89" w:line="218" w:lineRule="auto"/>
              <w:rPr>
                <w:sz w:val="25"/>
                <w:szCs w:val="25"/>
              </w:rPr>
            </w:pPr>
            <w:r>
              <w:rPr>
                <w:sz w:val="25"/>
                <w:szCs w:val="25"/>
                <w:b/>
                <w:bCs/>
                <w:spacing w:val="-5"/>
              </w:rPr>
              <w:t>裁量幅度</w:t>
            </w:r>
          </w:p>
        </w:tc>
      </w:tr>
      <w:tr>
        <w:trPr>
          <w:trHeight w:val="1148" w:hRule="atLeast"/>
        </w:trPr>
        <w:tc>
          <w:tcPr>
            <w:tcW w:w="2763" w:type="dxa"/>
            <w:vAlign w:val="top"/>
          </w:tcPr>
          <w:p>
            <w:pPr>
              <w:spacing w:line="368" w:lineRule="auto"/>
              <w:rPr>
                <w:rFonts w:ascii="Arial"/>
                <w:sz w:val="21"/>
              </w:rPr>
            </w:pPr>
            <w:r/>
          </w:p>
          <w:p>
            <w:pPr>
              <w:pStyle w:val="TableText"/>
              <w:ind w:left="1128"/>
              <w:spacing w:before="81" w:line="221" w:lineRule="auto"/>
              <w:rPr>
                <w:sz w:val="25"/>
                <w:szCs w:val="25"/>
              </w:rPr>
            </w:pPr>
            <w:r>
              <w:rPr>
                <w:sz w:val="25"/>
                <w:szCs w:val="25"/>
                <w:b/>
                <w:bCs/>
                <w:spacing w:val="-10"/>
              </w:rPr>
              <w:t>一般</w:t>
            </w:r>
          </w:p>
        </w:tc>
        <w:tc>
          <w:tcPr>
            <w:tcW w:w="8064" w:type="dxa"/>
            <w:vAlign w:val="top"/>
          </w:tcPr>
          <w:p>
            <w:pPr>
              <w:pStyle w:val="TableText"/>
              <w:ind w:left="115" w:hanging="100"/>
              <w:spacing w:before="149" w:line="337" w:lineRule="auto"/>
              <w:rPr>
                <w:sz w:val="25"/>
                <w:szCs w:val="25"/>
              </w:rPr>
            </w:pPr>
            <w:r>
              <w:rPr>
                <w:sz w:val="25"/>
                <w:szCs w:val="25"/>
                <w:b/>
                <w:bCs/>
                <w:spacing w:val="-9"/>
              </w:rPr>
              <w:t>按照规定转诊、追踪肺结核患者或者疑似肺结核患者及有可疑症状的</w:t>
            </w:r>
            <w:r>
              <w:rPr>
                <w:sz w:val="25"/>
                <w:szCs w:val="25"/>
                <w:b/>
                <w:bCs/>
                <w:spacing w:val="-10"/>
              </w:rPr>
              <w:t>密切接</w:t>
            </w:r>
            <w:r>
              <w:rPr>
                <w:sz w:val="25"/>
                <w:szCs w:val="25"/>
              </w:rPr>
              <w:t xml:space="preserve"> </w:t>
            </w:r>
            <w:r>
              <w:rPr>
                <w:sz w:val="25"/>
                <w:szCs w:val="25"/>
                <w:b/>
                <w:bCs/>
                <w:spacing w:val="-6"/>
              </w:rPr>
              <w:t>触者。</w:t>
            </w:r>
          </w:p>
        </w:tc>
        <w:tc>
          <w:tcPr>
            <w:tcW w:w="3163" w:type="dxa"/>
            <w:vAlign w:val="top"/>
          </w:tcPr>
          <w:p>
            <w:pPr>
              <w:spacing w:line="365" w:lineRule="auto"/>
              <w:rPr>
                <w:rFonts w:ascii="Arial"/>
                <w:sz w:val="21"/>
              </w:rPr>
            </w:pPr>
            <w:r/>
          </w:p>
          <w:p>
            <w:pPr>
              <w:pStyle w:val="TableText"/>
              <w:ind w:left="121"/>
              <w:spacing w:before="81" w:line="218" w:lineRule="auto"/>
              <w:rPr>
                <w:sz w:val="25"/>
                <w:szCs w:val="25"/>
              </w:rPr>
            </w:pPr>
            <w:r>
              <w:rPr>
                <w:sz w:val="25"/>
                <w:szCs w:val="25"/>
                <w:b/>
                <w:bCs/>
                <w:spacing w:val="-3"/>
              </w:rPr>
              <w:t>给予警告。</w:t>
            </w:r>
          </w:p>
        </w:tc>
      </w:tr>
    </w:tbl>
    <w:p>
      <w:pPr>
        <w:ind w:left="799"/>
        <w:spacing w:before="125" w:line="223" w:lineRule="auto"/>
        <w:rPr>
          <w:rFonts w:ascii="KaiTi" w:hAnsi="KaiTi" w:eastAsia="KaiTi" w:cs="KaiTi"/>
          <w:sz w:val="30"/>
          <w:szCs w:val="30"/>
        </w:rPr>
      </w:pPr>
      <w:r>
        <w:rPr>
          <w:rFonts w:ascii="KaiTi" w:hAnsi="KaiTi" w:eastAsia="KaiTi" w:cs="KaiTi"/>
          <w:sz w:val="30"/>
          <w:szCs w:val="30"/>
          <w:b/>
          <w:bCs/>
          <w:spacing w:val="28"/>
        </w:rPr>
        <w:t>(十五)《医院感染管理办法》</w:t>
      </w:r>
    </w:p>
    <w:p>
      <w:pPr>
        <w:ind w:left="675"/>
        <w:spacing w:before="69" w:line="220" w:lineRule="auto"/>
        <w:rPr>
          <w:rFonts w:ascii="FangSong" w:hAnsi="FangSong" w:eastAsia="FangSong" w:cs="FangSong"/>
          <w:sz w:val="30"/>
          <w:szCs w:val="30"/>
        </w:rPr>
      </w:pPr>
      <w:r>
        <w:rPr>
          <w:rFonts w:ascii="FangSong" w:hAnsi="FangSong" w:eastAsia="FangSong" w:cs="FangSong"/>
          <w:sz w:val="30"/>
          <w:szCs w:val="30"/>
          <w:spacing w:val="16"/>
        </w:rPr>
        <w:t>第</w:t>
      </w:r>
      <w:r>
        <w:rPr>
          <w:rFonts w:ascii="FangSong" w:hAnsi="FangSong" w:eastAsia="FangSong" w:cs="FangSong"/>
          <w:sz w:val="30"/>
          <w:szCs w:val="30"/>
          <w:spacing w:val="-67"/>
        </w:rPr>
        <w:t xml:space="preserve"> </w:t>
      </w:r>
      <w:r>
        <w:rPr>
          <w:rFonts w:ascii="FangSong" w:hAnsi="FangSong" w:eastAsia="FangSong" w:cs="FangSong"/>
          <w:sz w:val="30"/>
          <w:szCs w:val="30"/>
          <w:spacing w:val="16"/>
        </w:rPr>
        <w:t>一</w:t>
      </w:r>
      <w:r>
        <w:rPr>
          <w:rFonts w:ascii="FangSong" w:hAnsi="FangSong" w:eastAsia="FangSong" w:cs="FangSong"/>
          <w:sz w:val="30"/>
          <w:szCs w:val="30"/>
          <w:b/>
          <w:bCs/>
          <w:spacing w:val="16"/>
        </w:rPr>
        <w:t>百四十条</w:t>
      </w:r>
      <w:r>
        <w:rPr>
          <w:rFonts w:ascii="FangSong" w:hAnsi="FangSong" w:eastAsia="FangSong" w:cs="FangSong"/>
          <w:sz w:val="30"/>
          <w:szCs w:val="30"/>
          <w:spacing w:val="147"/>
        </w:rPr>
        <w:t xml:space="preserve"> </w:t>
      </w:r>
      <w:r>
        <w:rPr>
          <w:rFonts w:ascii="FangSong" w:hAnsi="FangSong" w:eastAsia="FangSong" w:cs="FangSong"/>
          <w:sz w:val="30"/>
          <w:szCs w:val="30"/>
          <w:b/>
          <w:bCs/>
          <w:spacing w:val="16"/>
        </w:rPr>
        <w:t>医疗机构未建立或者未落实医院感染管理的规章制度、工作规范</w:t>
      </w:r>
    </w:p>
    <w:p>
      <w:pPr>
        <w:ind w:left="675"/>
        <w:spacing w:before="13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35" w:right="59" w:firstLine="609"/>
        <w:spacing w:before="35" w:line="271" w:lineRule="auto"/>
        <w:jc w:val="both"/>
        <w:rPr>
          <w:rFonts w:ascii="FangSong" w:hAnsi="FangSong" w:eastAsia="FangSong" w:cs="FangSong"/>
          <w:sz w:val="30"/>
          <w:szCs w:val="30"/>
        </w:rPr>
      </w:pPr>
      <w:r>
        <w:rPr>
          <w:rFonts w:ascii="FangSong" w:hAnsi="FangSong" w:eastAsia="FangSong" w:cs="FangSong"/>
          <w:sz w:val="30"/>
          <w:szCs w:val="30"/>
          <w:spacing w:val="27"/>
        </w:rPr>
        <w:t>《医院感染管理办法》第三十三条第(一)项</w:t>
      </w:r>
      <w:r>
        <w:rPr>
          <w:rFonts w:ascii="FangSong" w:hAnsi="FangSong" w:eastAsia="FangSong" w:cs="FangSong"/>
          <w:sz w:val="30"/>
          <w:szCs w:val="30"/>
          <w:spacing w:val="27"/>
        </w:rPr>
        <w:t xml:space="preserve">   </w:t>
      </w:r>
      <w:r>
        <w:rPr>
          <w:rFonts w:ascii="FangSong" w:hAnsi="FangSong" w:eastAsia="FangSong" w:cs="FangSong"/>
          <w:sz w:val="30"/>
          <w:szCs w:val="30"/>
          <w:spacing w:val="27"/>
        </w:rPr>
        <w:t>医疗机</w:t>
      </w:r>
      <w:r>
        <w:rPr>
          <w:rFonts w:ascii="FangSong" w:hAnsi="FangSong" w:eastAsia="FangSong" w:cs="FangSong"/>
          <w:sz w:val="30"/>
          <w:szCs w:val="30"/>
          <w:spacing w:val="26"/>
        </w:rPr>
        <w:t>构违反本办法，有下列行为之一的，由</w:t>
      </w:r>
      <w:r>
        <w:rPr>
          <w:rFonts w:ascii="FangSong" w:hAnsi="FangSong" w:eastAsia="FangSong" w:cs="FangSong"/>
          <w:sz w:val="30"/>
          <w:szCs w:val="30"/>
        </w:rPr>
        <w:t xml:space="preserve"> </w:t>
      </w:r>
      <w:r>
        <w:rPr>
          <w:rFonts w:ascii="FangSong" w:hAnsi="FangSong" w:eastAsia="FangSong" w:cs="FangSong"/>
          <w:sz w:val="30"/>
          <w:szCs w:val="30"/>
          <w:spacing w:val="17"/>
        </w:rPr>
        <w:t>县级以上地方人民政府卫生行政部门责令改正，逾期不改的</w:t>
      </w:r>
      <w:r>
        <w:rPr>
          <w:rFonts w:ascii="FangSong" w:hAnsi="FangSong" w:eastAsia="FangSong" w:cs="FangSong"/>
          <w:sz w:val="30"/>
          <w:szCs w:val="30"/>
          <w:spacing w:val="16"/>
        </w:rPr>
        <w:t>，给予警告并通报批评；情节严重的，对</w:t>
      </w:r>
      <w:r>
        <w:rPr>
          <w:rFonts w:ascii="FangSong" w:hAnsi="FangSong" w:eastAsia="FangSong" w:cs="FangSong"/>
          <w:sz w:val="30"/>
          <w:szCs w:val="30"/>
        </w:rPr>
        <w:t xml:space="preserve"> </w:t>
      </w:r>
      <w:r>
        <w:rPr>
          <w:rFonts w:ascii="FangSong" w:hAnsi="FangSong" w:eastAsia="FangSong" w:cs="FangSong"/>
          <w:sz w:val="30"/>
          <w:szCs w:val="30"/>
          <w:spacing w:val="15"/>
        </w:rPr>
        <w:t>主要负责人和直接责任人给予降级或者撤职的行政处分：</w:t>
      </w:r>
    </w:p>
    <w:p>
      <w:pPr>
        <w:ind w:left="794"/>
        <w:spacing w:line="220" w:lineRule="auto"/>
        <w:rPr>
          <w:rFonts w:ascii="FangSong" w:hAnsi="FangSong" w:eastAsia="FangSong" w:cs="FangSong"/>
          <w:sz w:val="30"/>
          <w:szCs w:val="30"/>
        </w:rPr>
      </w:pPr>
      <w:r>
        <w:rPr>
          <w:rFonts w:ascii="FangSong" w:hAnsi="FangSong" w:eastAsia="FangSong" w:cs="FangSong"/>
          <w:sz w:val="30"/>
          <w:szCs w:val="30"/>
          <w:spacing w:val="22"/>
        </w:rPr>
        <w:t>(一)未建立或者未落实医院感染管理的规章制度、工作规范；</w:t>
      </w:r>
    </w:p>
    <w:p>
      <w:pPr>
        <w:ind w:left="6439"/>
        <w:spacing w:before="281"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212"/>
          <w:pgSz w:w="16830" w:h="11900"/>
          <w:pgMar w:top="1011" w:right="1389" w:bottom="1103" w:left="1414" w:header="0" w:footer="769" w:gutter="0"/>
        </w:sectPr>
        <w:rPr>
          <w:rFonts w:ascii="SimHei" w:hAnsi="SimHei" w:eastAsia="SimHei" w:cs="SimHei"/>
          <w:sz w:val="30"/>
          <w:szCs w:val="30"/>
        </w:rPr>
      </w:pPr>
    </w:p>
    <w:p>
      <w:pPr>
        <w:spacing w:before="20"/>
        <w:rPr/>
      </w:pPr>
      <w:r/>
    </w:p>
    <w:p>
      <w:pPr>
        <w:spacing w:before="20"/>
        <w:rPr/>
      </w:pPr>
      <w:r/>
    </w:p>
    <w:p>
      <w:pPr>
        <w:spacing w:before="19"/>
        <w:rPr/>
      </w:pPr>
      <w:r/>
    </w:p>
    <w:tbl>
      <w:tblPr>
        <w:tblStyle w:val="TableNormal"/>
        <w:tblW w:w="139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63"/>
        <w:gridCol w:w="5655"/>
        <w:gridCol w:w="5541"/>
      </w:tblGrid>
      <w:tr>
        <w:trPr>
          <w:trHeight w:val="642" w:hRule="atLeast"/>
        </w:trPr>
        <w:tc>
          <w:tcPr>
            <w:tcW w:w="2763" w:type="dxa"/>
            <w:vAlign w:val="top"/>
          </w:tcPr>
          <w:p>
            <w:pPr>
              <w:pStyle w:val="TableText"/>
              <w:ind w:left="878"/>
              <w:spacing w:before="82" w:line="220" w:lineRule="auto"/>
              <w:rPr>
                <w:sz w:val="25"/>
                <w:szCs w:val="25"/>
              </w:rPr>
            </w:pPr>
            <w:bookmarkStart w:name="bookmark866" w:id="197"/>
            <w:bookmarkEnd w:id="197"/>
            <w:r>
              <w:rPr>
                <w:sz w:val="25"/>
                <w:szCs w:val="25"/>
                <w:b/>
                <w:bCs/>
                <w:spacing w:val="-5"/>
              </w:rPr>
              <w:t>违法程度</w:t>
            </w:r>
          </w:p>
        </w:tc>
        <w:tc>
          <w:tcPr>
            <w:tcW w:w="5655" w:type="dxa"/>
            <w:vAlign w:val="top"/>
          </w:tcPr>
          <w:p>
            <w:pPr>
              <w:pStyle w:val="TableText"/>
              <w:ind w:left="2255"/>
              <w:spacing w:before="92" w:line="220" w:lineRule="auto"/>
              <w:rPr>
                <w:sz w:val="25"/>
                <w:szCs w:val="25"/>
              </w:rPr>
            </w:pPr>
            <w:r>
              <w:rPr>
                <w:sz w:val="25"/>
                <w:szCs w:val="25"/>
                <w:b/>
                <w:bCs/>
                <w:spacing w:val="-5"/>
              </w:rPr>
              <w:t>情节后果</w:t>
            </w:r>
          </w:p>
        </w:tc>
        <w:tc>
          <w:tcPr>
            <w:tcW w:w="5541" w:type="dxa"/>
            <w:vAlign w:val="top"/>
          </w:tcPr>
          <w:p>
            <w:pPr>
              <w:pStyle w:val="TableText"/>
              <w:ind w:left="2270"/>
              <w:spacing w:before="89" w:line="218" w:lineRule="auto"/>
              <w:rPr>
                <w:sz w:val="25"/>
                <w:szCs w:val="25"/>
              </w:rPr>
            </w:pPr>
            <w:r>
              <w:rPr>
                <w:sz w:val="25"/>
                <w:szCs w:val="25"/>
                <w:b/>
                <w:bCs/>
                <w:spacing w:val="-5"/>
              </w:rPr>
              <w:t>裁量幅度</w:t>
            </w:r>
          </w:p>
        </w:tc>
      </w:tr>
      <w:tr>
        <w:trPr>
          <w:trHeight w:val="656" w:hRule="atLeast"/>
        </w:trPr>
        <w:tc>
          <w:tcPr>
            <w:tcW w:w="2763" w:type="dxa"/>
            <w:vAlign w:val="top"/>
          </w:tcPr>
          <w:p>
            <w:pPr>
              <w:pStyle w:val="TableText"/>
              <w:ind w:left="1128"/>
              <w:spacing w:before="109" w:line="219" w:lineRule="auto"/>
              <w:rPr>
                <w:sz w:val="25"/>
                <w:szCs w:val="25"/>
              </w:rPr>
            </w:pPr>
            <w:r>
              <w:rPr>
                <w:sz w:val="25"/>
                <w:szCs w:val="25"/>
                <w:b/>
                <w:bCs/>
                <w:spacing w:val="-6"/>
              </w:rPr>
              <w:t>较轻</w:t>
            </w:r>
          </w:p>
        </w:tc>
        <w:tc>
          <w:tcPr>
            <w:tcW w:w="5655" w:type="dxa"/>
            <w:vAlign w:val="top"/>
          </w:tcPr>
          <w:p>
            <w:pPr>
              <w:pStyle w:val="TableText"/>
              <w:ind w:left="112"/>
              <w:spacing w:before="113" w:line="219" w:lineRule="auto"/>
              <w:rPr>
                <w:sz w:val="25"/>
                <w:szCs w:val="25"/>
              </w:rPr>
            </w:pPr>
            <w:r>
              <w:rPr>
                <w:sz w:val="25"/>
                <w:szCs w:val="25"/>
                <w:spacing w:val="-1"/>
              </w:rPr>
              <w:t>首次发现违法行为。</w:t>
            </w:r>
          </w:p>
        </w:tc>
        <w:tc>
          <w:tcPr>
            <w:tcW w:w="5541" w:type="dxa"/>
            <w:vAlign w:val="top"/>
          </w:tcPr>
          <w:p>
            <w:pPr>
              <w:pStyle w:val="TableText"/>
              <w:ind w:left="1327"/>
              <w:spacing w:before="111" w:line="219" w:lineRule="auto"/>
              <w:rPr>
                <w:sz w:val="25"/>
                <w:szCs w:val="25"/>
              </w:rPr>
            </w:pPr>
            <w:r>
              <w:rPr>
                <w:sz w:val="25"/>
                <w:szCs w:val="25"/>
                <w:spacing w:val="-1"/>
              </w:rPr>
              <w:t>不予行政处罚，责令改正。</w:t>
            </w:r>
          </w:p>
        </w:tc>
      </w:tr>
      <w:tr>
        <w:trPr>
          <w:trHeight w:val="642" w:hRule="atLeast"/>
        </w:trPr>
        <w:tc>
          <w:tcPr>
            <w:tcW w:w="2763" w:type="dxa"/>
            <w:vAlign w:val="top"/>
          </w:tcPr>
          <w:p>
            <w:pPr>
              <w:pStyle w:val="TableText"/>
              <w:ind w:left="1128"/>
              <w:spacing w:before="105" w:line="221" w:lineRule="auto"/>
              <w:rPr>
                <w:sz w:val="25"/>
                <w:szCs w:val="25"/>
              </w:rPr>
            </w:pPr>
            <w:r>
              <w:rPr>
                <w:sz w:val="25"/>
                <w:szCs w:val="25"/>
                <w:b/>
                <w:bCs/>
                <w:spacing w:val="-10"/>
              </w:rPr>
              <w:t>一般</w:t>
            </w:r>
          </w:p>
        </w:tc>
        <w:tc>
          <w:tcPr>
            <w:tcW w:w="5655" w:type="dxa"/>
            <w:vAlign w:val="top"/>
          </w:tcPr>
          <w:p>
            <w:pPr>
              <w:pStyle w:val="TableText"/>
              <w:ind w:left="112"/>
              <w:spacing w:before="95" w:line="219" w:lineRule="auto"/>
              <w:rPr>
                <w:sz w:val="25"/>
                <w:szCs w:val="25"/>
              </w:rPr>
            </w:pPr>
            <w:r>
              <w:rPr>
                <w:sz w:val="25"/>
                <w:szCs w:val="25"/>
                <w:spacing w:val="-1"/>
              </w:rPr>
              <w:t>责令改正后，逾期不改。</w:t>
            </w:r>
          </w:p>
        </w:tc>
        <w:tc>
          <w:tcPr>
            <w:tcW w:w="5541" w:type="dxa"/>
            <w:vAlign w:val="top"/>
          </w:tcPr>
          <w:p>
            <w:pPr>
              <w:pStyle w:val="TableText"/>
              <w:ind w:left="1577"/>
              <w:spacing w:before="95" w:line="218" w:lineRule="auto"/>
              <w:rPr>
                <w:sz w:val="25"/>
                <w:szCs w:val="25"/>
              </w:rPr>
            </w:pPr>
            <w:r>
              <w:rPr>
                <w:sz w:val="25"/>
                <w:szCs w:val="25"/>
                <w:spacing w:val="-1"/>
              </w:rPr>
              <w:t>给予警告并通报批评。</w:t>
            </w:r>
          </w:p>
        </w:tc>
      </w:tr>
    </w:tbl>
    <w:p>
      <w:pPr>
        <w:pStyle w:val="BodyText"/>
        <w:spacing w:line="332" w:lineRule="auto"/>
        <w:rPr/>
      </w:pPr>
      <w:r/>
    </w:p>
    <w:p>
      <w:pPr>
        <w:pStyle w:val="BodyText"/>
        <w:spacing w:line="332" w:lineRule="auto"/>
        <w:rPr/>
      </w:pPr>
      <w:r/>
    </w:p>
    <w:p>
      <w:pPr>
        <w:ind w:left="49" w:firstLine="640"/>
        <w:spacing w:before="98" w:line="277" w:lineRule="auto"/>
        <w:rPr>
          <w:rFonts w:ascii="FangSong" w:hAnsi="FangSong" w:eastAsia="FangSong" w:cs="FangSong"/>
          <w:sz w:val="30"/>
          <w:szCs w:val="30"/>
        </w:rPr>
      </w:pPr>
      <w:r>
        <w:rPr>
          <w:rFonts w:ascii="FangSong" w:hAnsi="FangSong" w:eastAsia="FangSong" w:cs="FangSong"/>
          <w:sz w:val="30"/>
          <w:szCs w:val="30"/>
          <w:b/>
          <w:bCs/>
          <w:spacing w:val="28"/>
        </w:rPr>
        <w:t>第一百四十一条医疗机构未设立医院感染管理部门、分管部门以及指定专(兼)职人员负责医</w:t>
      </w:r>
      <w:r>
        <w:rPr>
          <w:rFonts w:ascii="FangSong" w:hAnsi="FangSong" w:eastAsia="FangSong" w:cs="FangSong"/>
          <w:sz w:val="30"/>
          <w:szCs w:val="30"/>
          <w:spacing w:val="3"/>
        </w:rPr>
        <w:t xml:space="preserve"> </w:t>
      </w:r>
      <w:r>
        <w:rPr>
          <w:rFonts w:ascii="FangSong" w:hAnsi="FangSong" w:eastAsia="FangSong" w:cs="FangSong"/>
          <w:sz w:val="30"/>
          <w:szCs w:val="30"/>
          <w:b/>
          <w:bCs/>
          <w:spacing w:val="14"/>
        </w:rPr>
        <w:t>院感染预防与控制工作</w:t>
      </w:r>
    </w:p>
    <w:p>
      <w:pPr>
        <w:ind w:left="675"/>
        <w:spacing w:before="17"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45" w:firstLine="599"/>
        <w:spacing w:before="102" w:line="265" w:lineRule="auto"/>
        <w:jc w:val="both"/>
        <w:rPr>
          <w:rFonts w:ascii="FangSong" w:hAnsi="FangSong" w:eastAsia="FangSong" w:cs="FangSong"/>
          <w:sz w:val="30"/>
          <w:szCs w:val="30"/>
        </w:rPr>
      </w:pPr>
      <w:r>
        <w:rPr>
          <w:rFonts w:ascii="FangSong" w:hAnsi="FangSong" w:eastAsia="FangSong" w:cs="FangSong"/>
          <w:sz w:val="30"/>
          <w:szCs w:val="30"/>
          <w:spacing w:val="22"/>
        </w:rPr>
        <w:t>《医院感染管理办法》第三十三条第(二)项</w:t>
      </w:r>
      <w:r>
        <w:rPr>
          <w:rFonts w:ascii="FangSong" w:hAnsi="FangSong" w:eastAsia="FangSong" w:cs="FangSong"/>
          <w:sz w:val="30"/>
          <w:szCs w:val="30"/>
          <w:spacing w:val="58"/>
        </w:rPr>
        <w:t xml:space="preserve">  </w:t>
      </w:r>
      <w:r>
        <w:rPr>
          <w:rFonts w:ascii="FangSong" w:hAnsi="FangSong" w:eastAsia="FangSong" w:cs="FangSong"/>
          <w:sz w:val="30"/>
          <w:szCs w:val="30"/>
          <w:spacing w:val="22"/>
        </w:rPr>
        <w:t>医疗机构违反本办法，有下列行为之一的，由县</w:t>
      </w:r>
      <w:r>
        <w:rPr>
          <w:rFonts w:ascii="FangSong" w:hAnsi="FangSong" w:eastAsia="FangSong" w:cs="FangSong"/>
          <w:sz w:val="30"/>
          <w:szCs w:val="30"/>
        </w:rPr>
        <w:t xml:space="preserve"> </w:t>
      </w:r>
      <w:r>
        <w:rPr>
          <w:rFonts w:ascii="FangSong" w:hAnsi="FangSong" w:eastAsia="FangSong" w:cs="FangSong"/>
          <w:sz w:val="30"/>
          <w:szCs w:val="30"/>
          <w:spacing w:val="17"/>
        </w:rPr>
        <w:t>级以上地方人民政府卫生行政部门责令改正，</w:t>
      </w:r>
      <w:r>
        <w:rPr>
          <w:rFonts w:ascii="FangSong" w:hAnsi="FangSong" w:eastAsia="FangSong" w:cs="FangSong"/>
          <w:sz w:val="30"/>
          <w:szCs w:val="30"/>
          <w:spacing w:val="16"/>
        </w:rPr>
        <w:t>逾期不改的，给予警告并通报批评；情节严重的，对主</w:t>
      </w:r>
      <w:r>
        <w:rPr>
          <w:rFonts w:ascii="FangSong" w:hAnsi="FangSong" w:eastAsia="FangSong" w:cs="FangSong"/>
          <w:sz w:val="30"/>
          <w:szCs w:val="30"/>
        </w:rPr>
        <w:t xml:space="preserve"> </w:t>
      </w:r>
      <w:r>
        <w:rPr>
          <w:rFonts w:ascii="FangSong" w:hAnsi="FangSong" w:eastAsia="FangSong" w:cs="FangSong"/>
          <w:sz w:val="30"/>
          <w:szCs w:val="30"/>
          <w:spacing w:val="15"/>
        </w:rPr>
        <w:t>要负责人和直接责任人给予降级或者撤职的行政处分：</w:t>
      </w:r>
    </w:p>
    <w:p>
      <w:pPr>
        <w:ind w:left="15" w:right="5" w:firstLine="790"/>
        <w:spacing w:before="18" w:line="262" w:lineRule="auto"/>
        <w:rPr>
          <w:rFonts w:ascii="FangSong" w:hAnsi="FangSong" w:eastAsia="FangSong" w:cs="FangSong"/>
          <w:sz w:val="30"/>
          <w:szCs w:val="30"/>
        </w:rPr>
      </w:pPr>
      <w:r>
        <w:rPr>
          <w:rFonts w:ascii="FangSong" w:hAnsi="FangSong" w:eastAsia="FangSong" w:cs="FangSong"/>
          <w:sz w:val="30"/>
          <w:szCs w:val="30"/>
          <w:spacing w:val="28"/>
        </w:rPr>
        <w:t>(二)未设立医院感染管理部门、分管部门以及指定专(</w:t>
      </w:r>
      <w:r>
        <w:rPr>
          <w:rFonts w:ascii="FangSong" w:hAnsi="FangSong" w:eastAsia="FangSong" w:cs="FangSong"/>
          <w:sz w:val="30"/>
          <w:szCs w:val="30"/>
          <w:spacing w:val="27"/>
        </w:rPr>
        <w:t>兼)职人员负责医院感染预防与控制工</w:t>
      </w:r>
      <w:r>
        <w:rPr>
          <w:rFonts w:ascii="FangSong" w:hAnsi="FangSong" w:eastAsia="FangSong" w:cs="FangSong"/>
          <w:sz w:val="30"/>
          <w:szCs w:val="30"/>
        </w:rPr>
        <w:t xml:space="preserve"> </w:t>
      </w:r>
      <w:r>
        <w:rPr>
          <w:rFonts w:ascii="FangSong" w:hAnsi="FangSong" w:eastAsia="FangSong" w:cs="FangSong"/>
          <w:sz w:val="30"/>
          <w:szCs w:val="30"/>
          <w:spacing w:val="-13"/>
        </w:rPr>
        <w:t>作</w:t>
      </w:r>
      <w:r>
        <w:rPr>
          <w:rFonts w:ascii="FangSong" w:hAnsi="FangSong" w:eastAsia="FangSong" w:cs="FangSong"/>
          <w:sz w:val="30"/>
          <w:szCs w:val="30"/>
          <w:spacing w:val="-80"/>
        </w:rPr>
        <w:t xml:space="preserve"> </w:t>
      </w:r>
      <w:r>
        <w:rPr>
          <w:rFonts w:ascii="FangSong" w:hAnsi="FangSong" w:eastAsia="FangSong" w:cs="FangSong"/>
          <w:sz w:val="30"/>
          <w:szCs w:val="30"/>
          <w:spacing w:val="-13"/>
        </w:rPr>
        <w:t>；</w:t>
      </w:r>
    </w:p>
    <w:p>
      <w:pPr>
        <w:ind w:left="6439"/>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53"/>
        <w:gridCol w:w="5246"/>
        <w:gridCol w:w="5910"/>
      </w:tblGrid>
      <w:tr>
        <w:trPr>
          <w:trHeight w:val="829" w:hRule="atLeast"/>
        </w:trPr>
        <w:tc>
          <w:tcPr>
            <w:tcW w:w="2753" w:type="dxa"/>
            <w:vAlign w:val="top"/>
          </w:tcPr>
          <w:p>
            <w:pPr>
              <w:pStyle w:val="TableText"/>
              <w:ind w:left="848"/>
              <w:spacing w:before="292" w:line="220" w:lineRule="auto"/>
              <w:rPr>
                <w:sz w:val="26"/>
                <w:szCs w:val="26"/>
              </w:rPr>
            </w:pPr>
            <w:r>
              <w:rPr>
                <w:sz w:val="26"/>
                <w:szCs w:val="26"/>
                <w:b/>
                <w:bCs/>
                <w:spacing w:val="-5"/>
              </w:rPr>
              <w:t>违法程度</w:t>
            </w:r>
          </w:p>
        </w:tc>
        <w:tc>
          <w:tcPr>
            <w:tcW w:w="5246" w:type="dxa"/>
            <w:vAlign w:val="top"/>
          </w:tcPr>
          <w:p>
            <w:pPr>
              <w:pStyle w:val="TableText"/>
              <w:ind w:left="2065"/>
              <w:spacing w:before="292" w:line="220" w:lineRule="auto"/>
              <w:rPr>
                <w:sz w:val="26"/>
                <w:szCs w:val="26"/>
              </w:rPr>
            </w:pPr>
            <w:r>
              <w:rPr>
                <w:sz w:val="26"/>
                <w:szCs w:val="26"/>
                <w:b/>
                <w:bCs/>
                <w:spacing w:val="-5"/>
              </w:rPr>
              <w:t>情节后果</w:t>
            </w:r>
          </w:p>
        </w:tc>
        <w:tc>
          <w:tcPr>
            <w:tcW w:w="5910" w:type="dxa"/>
            <w:vAlign w:val="top"/>
          </w:tcPr>
          <w:p>
            <w:pPr>
              <w:pStyle w:val="TableText"/>
              <w:ind w:left="2389"/>
              <w:spacing w:before="289" w:line="218" w:lineRule="auto"/>
              <w:rPr>
                <w:sz w:val="26"/>
                <w:szCs w:val="26"/>
              </w:rPr>
            </w:pPr>
            <w:r>
              <w:rPr>
                <w:sz w:val="26"/>
                <w:szCs w:val="26"/>
                <w:b/>
                <w:bCs/>
                <w:spacing w:val="-5"/>
              </w:rPr>
              <w:t>裁量幅度</w:t>
            </w:r>
          </w:p>
        </w:tc>
      </w:tr>
      <w:tr>
        <w:trPr>
          <w:trHeight w:val="650" w:hRule="atLeast"/>
        </w:trPr>
        <w:tc>
          <w:tcPr>
            <w:tcW w:w="2753" w:type="dxa"/>
            <w:vAlign w:val="top"/>
          </w:tcPr>
          <w:p>
            <w:pPr>
              <w:pStyle w:val="TableText"/>
              <w:ind w:left="1108"/>
              <w:spacing w:before="123" w:line="219" w:lineRule="auto"/>
              <w:rPr>
                <w:sz w:val="26"/>
                <w:szCs w:val="26"/>
              </w:rPr>
            </w:pPr>
            <w:r>
              <w:rPr>
                <w:sz w:val="26"/>
                <w:szCs w:val="26"/>
                <w:b/>
                <w:bCs/>
                <w:spacing w:val="-6"/>
              </w:rPr>
              <w:t>较轻</w:t>
            </w:r>
          </w:p>
        </w:tc>
        <w:tc>
          <w:tcPr>
            <w:tcW w:w="5246" w:type="dxa"/>
            <w:vAlign w:val="top"/>
          </w:tcPr>
          <w:p>
            <w:pPr>
              <w:pStyle w:val="TableText"/>
              <w:ind w:left="145"/>
              <w:spacing w:before="123" w:line="219" w:lineRule="auto"/>
              <w:rPr>
                <w:sz w:val="26"/>
                <w:szCs w:val="26"/>
              </w:rPr>
            </w:pPr>
            <w:r>
              <w:rPr>
                <w:sz w:val="26"/>
                <w:szCs w:val="26"/>
                <w:b/>
                <w:bCs/>
                <w:spacing w:val="-4"/>
              </w:rPr>
              <w:t>首次发现违法行为。</w:t>
            </w:r>
          </w:p>
        </w:tc>
        <w:tc>
          <w:tcPr>
            <w:tcW w:w="5910" w:type="dxa"/>
            <w:vAlign w:val="top"/>
          </w:tcPr>
          <w:p>
            <w:pPr>
              <w:pStyle w:val="TableText"/>
              <w:ind w:left="139"/>
              <w:spacing w:before="131" w:line="219" w:lineRule="auto"/>
              <w:rPr>
                <w:sz w:val="26"/>
                <w:szCs w:val="26"/>
              </w:rPr>
            </w:pPr>
            <w:r>
              <w:rPr>
                <w:sz w:val="26"/>
                <w:szCs w:val="26"/>
                <w:b/>
                <w:bCs/>
                <w:spacing w:val="-4"/>
              </w:rPr>
              <w:t>不予行政处罚，责令改正。</w:t>
            </w:r>
          </w:p>
        </w:tc>
      </w:tr>
    </w:tbl>
    <w:p>
      <w:pPr>
        <w:pStyle w:val="BodyText"/>
        <w:rPr/>
      </w:pPr>
      <w:r/>
    </w:p>
    <w:p>
      <w:pPr>
        <w:sectPr>
          <w:footerReference w:type="default" r:id="rId213"/>
          <w:pgSz w:w="16830" w:h="11900"/>
          <w:pgMar w:top="1011" w:right="1443" w:bottom="1117" w:left="1414" w:header="0" w:footer="756" w:gutter="0"/>
        </w:sectPr>
        <w:rPr/>
      </w:pPr>
    </w:p>
    <w:p>
      <w:pPr>
        <w:spacing w:before="20"/>
        <w:rPr/>
      </w:pPr>
      <w:r/>
    </w:p>
    <w:p>
      <w:pPr>
        <w:spacing w:before="20"/>
        <w:rPr/>
      </w:pPr>
      <w:r/>
    </w:p>
    <w:p>
      <w:pPr>
        <w:spacing w:before="19"/>
        <w:rPr/>
      </w:pPr>
      <w:r/>
    </w:p>
    <w:tbl>
      <w:tblPr>
        <w:tblStyle w:val="TableNormal"/>
        <w:tblW w:w="139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83"/>
        <w:gridCol w:w="5246"/>
        <w:gridCol w:w="5891"/>
      </w:tblGrid>
      <w:tr>
        <w:trPr>
          <w:trHeight w:val="629" w:hRule="atLeast"/>
        </w:trPr>
        <w:tc>
          <w:tcPr>
            <w:tcW w:w="2783" w:type="dxa"/>
            <w:vAlign w:val="top"/>
          </w:tcPr>
          <w:p>
            <w:pPr>
              <w:pStyle w:val="TableText"/>
              <w:ind w:left="1168"/>
              <w:spacing w:before="102" w:line="221" w:lineRule="auto"/>
              <w:rPr/>
            </w:pPr>
            <w:r>
              <w:rPr>
                <w:b/>
                <w:bCs/>
                <w:spacing w:val="-10"/>
              </w:rPr>
              <w:t>一般</w:t>
            </w:r>
          </w:p>
        </w:tc>
        <w:tc>
          <w:tcPr>
            <w:tcW w:w="5246" w:type="dxa"/>
            <w:vAlign w:val="top"/>
          </w:tcPr>
          <w:p>
            <w:pPr>
              <w:pStyle w:val="TableText"/>
              <w:ind w:left="142"/>
              <w:spacing w:before="103" w:line="219" w:lineRule="auto"/>
              <w:rPr/>
            </w:pPr>
            <w:r>
              <w:rPr/>
              <w:t>责令改正后，逾期不改。</w:t>
            </w:r>
          </w:p>
        </w:tc>
        <w:tc>
          <w:tcPr>
            <w:tcW w:w="5891" w:type="dxa"/>
            <w:vAlign w:val="top"/>
          </w:tcPr>
          <w:p>
            <w:pPr>
              <w:pStyle w:val="TableText"/>
              <w:ind w:left="105"/>
              <w:spacing w:before="92" w:line="218" w:lineRule="auto"/>
              <w:rPr/>
            </w:pPr>
            <w:r>
              <w:rPr/>
              <w:t>给予警告并通报批评。</w:t>
            </w:r>
          </w:p>
        </w:tc>
      </w:tr>
    </w:tbl>
    <w:p>
      <w:pPr>
        <w:pStyle w:val="BodyText"/>
        <w:spacing w:line="316" w:lineRule="auto"/>
        <w:rPr/>
      </w:pPr>
      <w:r/>
    </w:p>
    <w:p>
      <w:pPr>
        <w:pStyle w:val="BodyText"/>
        <w:spacing w:line="316" w:lineRule="auto"/>
        <w:rPr/>
      </w:pPr>
      <w:r/>
    </w:p>
    <w:p>
      <w:pPr>
        <w:ind w:left="679"/>
        <w:spacing w:before="101" w:line="220" w:lineRule="auto"/>
        <w:rPr>
          <w:rFonts w:ascii="FangSong" w:hAnsi="FangSong" w:eastAsia="FangSong" w:cs="FangSong"/>
          <w:sz w:val="31"/>
          <w:szCs w:val="31"/>
        </w:rPr>
      </w:pPr>
      <w:bookmarkStart w:name="bookmark867" w:id="198"/>
      <w:bookmarkEnd w:id="198"/>
      <w:r>
        <w:rPr>
          <w:rFonts w:ascii="FangSong" w:hAnsi="FangSong" w:eastAsia="FangSong" w:cs="FangSong"/>
          <w:sz w:val="31"/>
          <w:szCs w:val="31"/>
          <w:b/>
          <w:bCs/>
          <w:spacing w:val="7"/>
        </w:rPr>
        <w:t>第一百四十二条</w:t>
      </w:r>
      <w:r>
        <w:rPr>
          <w:rFonts w:ascii="FangSong" w:hAnsi="FangSong" w:eastAsia="FangSong" w:cs="FangSong"/>
          <w:sz w:val="31"/>
          <w:szCs w:val="31"/>
          <w:spacing w:val="12"/>
        </w:rPr>
        <w:t xml:space="preserve">  </w:t>
      </w:r>
      <w:r>
        <w:rPr>
          <w:rFonts w:ascii="FangSong" w:hAnsi="FangSong" w:eastAsia="FangSong" w:cs="FangSong"/>
          <w:sz w:val="31"/>
          <w:szCs w:val="31"/>
          <w:b/>
          <w:bCs/>
          <w:spacing w:val="7"/>
        </w:rPr>
        <w:t>医疗机构违反医疗器械、器具的消毒工作技术规范</w:t>
      </w:r>
    </w:p>
    <w:p>
      <w:pPr>
        <w:ind w:left="675"/>
        <w:spacing w:before="127"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55" w:firstLine="614"/>
        <w:spacing w:before="74" w:line="262" w:lineRule="auto"/>
        <w:jc w:val="both"/>
        <w:rPr>
          <w:rFonts w:ascii="FangSong" w:hAnsi="FangSong" w:eastAsia="FangSong" w:cs="FangSong"/>
          <w:sz w:val="31"/>
          <w:szCs w:val="31"/>
        </w:rPr>
      </w:pPr>
      <w:r>
        <w:rPr>
          <w:rFonts w:ascii="FangSong" w:hAnsi="FangSong" w:eastAsia="FangSong" w:cs="FangSong"/>
          <w:sz w:val="31"/>
          <w:szCs w:val="31"/>
          <w:spacing w:val="17"/>
        </w:rPr>
        <w:t>《医院感染管理办法》第三十三条第(三)项</w:t>
      </w:r>
      <w:r>
        <w:rPr>
          <w:rFonts w:ascii="FangSong" w:hAnsi="FangSong" w:eastAsia="FangSong" w:cs="FangSong"/>
          <w:sz w:val="31"/>
          <w:szCs w:val="31"/>
          <w:spacing w:val="17"/>
        </w:rPr>
        <w:t xml:space="preserve">   </w:t>
      </w:r>
      <w:r>
        <w:rPr>
          <w:rFonts w:ascii="FangSong" w:hAnsi="FangSong" w:eastAsia="FangSong" w:cs="FangSong"/>
          <w:sz w:val="31"/>
          <w:szCs w:val="31"/>
          <w:spacing w:val="17"/>
        </w:rPr>
        <w:t>医疗机构违反本办法，有下列行为之一的，由</w:t>
      </w:r>
      <w:r>
        <w:rPr>
          <w:rFonts w:ascii="FangSong" w:hAnsi="FangSong" w:eastAsia="FangSong" w:cs="FangSong"/>
          <w:sz w:val="31"/>
          <w:szCs w:val="31"/>
          <w:spacing w:val="4"/>
        </w:rPr>
        <w:t xml:space="preserve"> </w:t>
      </w:r>
      <w:r>
        <w:rPr>
          <w:rFonts w:ascii="FangSong" w:hAnsi="FangSong" w:eastAsia="FangSong" w:cs="FangSong"/>
          <w:sz w:val="31"/>
          <w:szCs w:val="31"/>
          <w:spacing w:val="7"/>
        </w:rPr>
        <w:t>县级以上地方人民政府卫生行政部门责令改正，逾期不改的，给予警告并通报批评</w:t>
      </w:r>
      <w:r>
        <w:rPr>
          <w:rFonts w:ascii="FangSong" w:hAnsi="FangSong" w:eastAsia="FangSong" w:cs="FangSong"/>
          <w:sz w:val="31"/>
          <w:szCs w:val="31"/>
          <w:spacing w:val="6"/>
        </w:rPr>
        <w:t>；情节严重的，对</w:t>
      </w:r>
      <w:r>
        <w:rPr>
          <w:rFonts w:ascii="FangSong" w:hAnsi="FangSong" w:eastAsia="FangSong" w:cs="FangSong"/>
          <w:sz w:val="31"/>
          <w:szCs w:val="31"/>
        </w:rPr>
        <w:t xml:space="preserve"> </w:t>
      </w:r>
      <w:r>
        <w:rPr>
          <w:rFonts w:ascii="FangSong" w:hAnsi="FangSong" w:eastAsia="FangSong" w:cs="FangSong"/>
          <w:sz w:val="31"/>
          <w:szCs w:val="31"/>
          <w:spacing w:val="6"/>
        </w:rPr>
        <w:t>主要负责人和直接责任人给予降级或者撤职的行政处分：</w:t>
      </w:r>
    </w:p>
    <w:p>
      <w:pPr>
        <w:ind w:left="925"/>
        <w:spacing w:before="18" w:line="220" w:lineRule="auto"/>
        <w:rPr>
          <w:rFonts w:ascii="FangSong" w:hAnsi="FangSong" w:eastAsia="FangSong" w:cs="FangSong"/>
          <w:sz w:val="31"/>
          <w:szCs w:val="31"/>
        </w:rPr>
      </w:pPr>
      <w:r>
        <w:rPr>
          <w:rFonts w:ascii="FangSong" w:hAnsi="FangSong" w:eastAsia="FangSong" w:cs="FangSong"/>
          <w:sz w:val="31"/>
          <w:szCs w:val="31"/>
          <w:spacing w:val="13"/>
        </w:rPr>
        <w:t>(三)违反对医疗器械、器具的消毒工作技术规范；</w:t>
      </w:r>
    </w:p>
    <w:p>
      <w:pPr>
        <w:ind w:left="6459"/>
        <w:spacing w:before="4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3" w:lineRule="auto"/>
        <w:rPr>
          <w:rFonts w:ascii="Arial"/>
          <w:sz w:val="2"/>
        </w:rPr>
      </w:pPr>
      <w:r>
        <w:rPr>
          <w:rFonts w:ascii="Arial"/>
          <w:sz w:val="2"/>
        </w:rPr>
      </w:r>
    </w:p>
    <w:tbl>
      <w:tblPr>
        <w:tblStyle w:val="TableNormal"/>
        <w:tblW w:w="13920"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14"/>
        <w:gridCol w:w="6485"/>
        <w:gridCol w:w="5821"/>
      </w:tblGrid>
      <w:tr>
        <w:trPr>
          <w:trHeight w:val="831" w:hRule="atLeast"/>
        </w:trPr>
        <w:tc>
          <w:tcPr>
            <w:tcW w:w="1614" w:type="dxa"/>
            <w:vAlign w:val="top"/>
          </w:tcPr>
          <w:p>
            <w:pPr>
              <w:pStyle w:val="TableText"/>
              <w:ind w:left="228"/>
              <w:spacing w:before="182" w:line="220" w:lineRule="auto"/>
              <w:rPr/>
            </w:pPr>
            <w:r>
              <w:rPr>
                <w:b/>
                <w:bCs/>
                <w:spacing w:val="46"/>
              </w:rPr>
              <w:t>违法程度</w:t>
            </w:r>
          </w:p>
        </w:tc>
        <w:tc>
          <w:tcPr>
            <w:tcW w:w="6485" w:type="dxa"/>
            <w:vAlign w:val="top"/>
          </w:tcPr>
          <w:p>
            <w:pPr>
              <w:pStyle w:val="TableText"/>
              <w:ind w:left="2664"/>
              <w:spacing w:before="182" w:line="220" w:lineRule="auto"/>
              <w:rPr/>
            </w:pPr>
            <w:r>
              <w:rPr>
                <w:b/>
                <w:bCs/>
                <w:spacing w:val="47"/>
              </w:rPr>
              <w:t>情节后果</w:t>
            </w:r>
          </w:p>
        </w:tc>
        <w:tc>
          <w:tcPr>
            <w:tcW w:w="5821" w:type="dxa"/>
            <w:vAlign w:val="top"/>
          </w:tcPr>
          <w:p>
            <w:pPr>
              <w:pStyle w:val="TableText"/>
              <w:ind w:left="2339"/>
              <w:spacing w:before="29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766" w:hRule="atLeast"/>
        </w:trPr>
        <w:tc>
          <w:tcPr>
            <w:tcW w:w="1614" w:type="dxa"/>
            <w:vAlign w:val="top"/>
          </w:tcPr>
          <w:p>
            <w:pPr>
              <w:pStyle w:val="TableText"/>
              <w:ind w:left="558"/>
              <w:spacing w:before="170" w:line="219" w:lineRule="auto"/>
              <w:rPr/>
            </w:pPr>
            <w:r>
              <w:rPr>
                <w:b/>
                <w:bCs/>
                <w:spacing w:val="-5"/>
              </w:rPr>
              <w:t>较轻</w:t>
            </w:r>
          </w:p>
        </w:tc>
        <w:tc>
          <w:tcPr>
            <w:tcW w:w="6485" w:type="dxa"/>
            <w:vAlign w:val="top"/>
          </w:tcPr>
          <w:p>
            <w:pPr>
              <w:pStyle w:val="TableText"/>
              <w:ind w:left="91"/>
              <w:spacing w:before="164" w:line="219" w:lineRule="auto"/>
              <w:rPr/>
            </w:pPr>
            <w:r>
              <w:rPr/>
              <w:t>首次发现违法行为。</w:t>
            </w:r>
          </w:p>
        </w:tc>
        <w:tc>
          <w:tcPr>
            <w:tcW w:w="5821" w:type="dxa"/>
            <w:vAlign w:val="top"/>
          </w:tcPr>
          <w:p>
            <w:pPr>
              <w:pStyle w:val="TableText"/>
              <w:ind w:left="116"/>
              <w:spacing w:before="182" w:line="219" w:lineRule="auto"/>
              <w:rPr/>
            </w:pPr>
            <w:r>
              <w:rPr>
                <w:spacing w:val="-1"/>
              </w:rPr>
              <w:t>不予行政处罚，责令改正。</w:t>
            </w:r>
          </w:p>
        </w:tc>
      </w:tr>
      <w:tr>
        <w:trPr>
          <w:trHeight w:val="662" w:hRule="atLeast"/>
        </w:trPr>
        <w:tc>
          <w:tcPr>
            <w:tcW w:w="1614" w:type="dxa"/>
            <w:vAlign w:val="top"/>
          </w:tcPr>
          <w:p>
            <w:pPr>
              <w:pStyle w:val="TableText"/>
              <w:ind w:left="558"/>
              <w:spacing w:before="135" w:line="221" w:lineRule="auto"/>
              <w:rPr/>
            </w:pPr>
            <w:r>
              <w:rPr>
                <w:b/>
                <w:bCs/>
                <w:spacing w:val="-10"/>
              </w:rPr>
              <w:t>一般</w:t>
            </w:r>
          </w:p>
        </w:tc>
        <w:tc>
          <w:tcPr>
            <w:tcW w:w="6485" w:type="dxa"/>
            <w:vAlign w:val="top"/>
          </w:tcPr>
          <w:p>
            <w:pPr>
              <w:pStyle w:val="TableText"/>
              <w:ind w:left="91"/>
              <w:spacing w:before="126" w:line="219" w:lineRule="auto"/>
              <w:rPr/>
            </w:pPr>
            <w:r>
              <w:rPr/>
              <w:t>责令改正后，逾期不改。</w:t>
            </w:r>
          </w:p>
        </w:tc>
        <w:tc>
          <w:tcPr>
            <w:tcW w:w="5821" w:type="dxa"/>
            <w:vAlign w:val="top"/>
          </w:tcPr>
          <w:p>
            <w:pPr>
              <w:pStyle w:val="TableText"/>
              <w:ind w:left="116"/>
              <w:spacing w:before="115" w:line="218" w:lineRule="auto"/>
              <w:rPr/>
            </w:pPr>
            <w:r>
              <w:rPr>
                <w:spacing w:val="-1"/>
              </w:rPr>
              <w:t>给予警告并通报批评。</w:t>
            </w:r>
          </w:p>
        </w:tc>
      </w:tr>
    </w:tbl>
    <w:p>
      <w:pPr>
        <w:pStyle w:val="BodyText"/>
        <w:spacing w:line="443" w:lineRule="auto"/>
        <w:rPr/>
      </w:pPr>
      <w:r/>
    </w:p>
    <w:p>
      <w:pPr>
        <w:ind w:left="679"/>
        <w:spacing w:before="101" w:line="220" w:lineRule="auto"/>
        <w:rPr>
          <w:rFonts w:ascii="FangSong" w:hAnsi="FangSong" w:eastAsia="FangSong" w:cs="FangSong"/>
          <w:sz w:val="31"/>
          <w:szCs w:val="31"/>
        </w:rPr>
      </w:pPr>
      <w:r>
        <w:rPr>
          <w:rFonts w:ascii="FangSong" w:hAnsi="FangSong" w:eastAsia="FangSong" w:cs="FangSong"/>
          <w:sz w:val="31"/>
          <w:szCs w:val="31"/>
          <w:b/>
          <w:bCs/>
          <w:spacing w:val="9"/>
        </w:rPr>
        <w:t>第一百四十三条</w:t>
      </w:r>
      <w:r>
        <w:rPr>
          <w:rFonts w:ascii="FangSong" w:hAnsi="FangSong" w:eastAsia="FangSong" w:cs="FangSong"/>
          <w:sz w:val="31"/>
          <w:szCs w:val="31"/>
          <w:spacing w:val="121"/>
        </w:rPr>
        <w:t xml:space="preserve"> </w:t>
      </w:r>
      <w:r>
        <w:rPr>
          <w:rFonts w:ascii="FangSong" w:hAnsi="FangSong" w:eastAsia="FangSong" w:cs="FangSong"/>
          <w:sz w:val="31"/>
          <w:szCs w:val="31"/>
          <w:b/>
          <w:bCs/>
          <w:spacing w:val="9"/>
        </w:rPr>
        <w:t>医疗机构违反无菌操作技术规</w:t>
      </w:r>
      <w:r>
        <w:rPr>
          <w:rFonts w:ascii="FangSong" w:hAnsi="FangSong" w:eastAsia="FangSong" w:cs="FangSong"/>
          <w:sz w:val="31"/>
          <w:szCs w:val="31"/>
          <w:b/>
          <w:bCs/>
          <w:spacing w:val="8"/>
        </w:rPr>
        <w:t>范和隔离技术规范</w:t>
      </w:r>
    </w:p>
    <w:p>
      <w:pPr>
        <w:ind w:left="675"/>
        <w:spacing w:before="98"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spacing w:line="222" w:lineRule="auto"/>
        <w:sectPr>
          <w:footerReference w:type="default" r:id="rId214"/>
          <w:pgSz w:w="16830" w:h="11900"/>
          <w:pgMar w:top="1011" w:right="1438" w:bottom="1117" w:left="1394" w:header="0" w:footer="784" w:gutter="0"/>
        </w:sectPr>
        <w:rPr>
          <w:rFonts w:ascii="FangSong" w:hAnsi="FangSong" w:eastAsia="FangSong" w:cs="FangSong"/>
          <w:sz w:val="27"/>
          <w:szCs w:val="27"/>
        </w:rPr>
      </w:pPr>
    </w:p>
    <w:p>
      <w:pPr>
        <w:pStyle w:val="BodyText"/>
        <w:spacing w:line="261" w:lineRule="auto"/>
        <w:rPr/>
      </w:pPr>
      <w:r/>
    </w:p>
    <w:p>
      <w:pPr>
        <w:pStyle w:val="BodyText"/>
        <w:spacing w:line="262" w:lineRule="auto"/>
        <w:rPr/>
      </w:pPr>
      <w:r/>
    </w:p>
    <w:p>
      <w:pPr>
        <w:pStyle w:val="BodyText"/>
        <w:spacing w:line="262" w:lineRule="auto"/>
        <w:rPr/>
      </w:pPr>
      <w:r/>
    </w:p>
    <w:p>
      <w:pPr>
        <w:ind w:left="35" w:firstLine="609"/>
        <w:spacing w:before="98" w:line="266" w:lineRule="auto"/>
        <w:jc w:val="both"/>
        <w:rPr>
          <w:rFonts w:ascii="FangSong" w:hAnsi="FangSong" w:eastAsia="FangSong" w:cs="FangSong"/>
          <w:sz w:val="30"/>
          <w:szCs w:val="30"/>
        </w:rPr>
      </w:pPr>
      <w:bookmarkStart w:name="bookmark868" w:id="199"/>
      <w:bookmarkEnd w:id="199"/>
      <w:r>
        <w:rPr>
          <w:rFonts w:ascii="FangSong" w:hAnsi="FangSong" w:eastAsia="FangSong" w:cs="FangSong"/>
          <w:sz w:val="30"/>
          <w:szCs w:val="30"/>
          <w:spacing w:val="24"/>
        </w:rPr>
        <w:t>《医院感染管理办法》第三十三条第(四)</w:t>
      </w:r>
      <w:r>
        <w:rPr>
          <w:rFonts w:ascii="FangSong" w:hAnsi="FangSong" w:eastAsia="FangSong" w:cs="FangSong"/>
          <w:sz w:val="30"/>
          <w:szCs w:val="30"/>
          <w:spacing w:val="23"/>
        </w:rPr>
        <w:t>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医疗机构违反本办法，有下列行为之一的，由县</w:t>
      </w:r>
      <w:r>
        <w:rPr>
          <w:rFonts w:ascii="FangSong" w:hAnsi="FangSong" w:eastAsia="FangSong" w:cs="FangSong"/>
          <w:sz w:val="30"/>
          <w:szCs w:val="30"/>
        </w:rPr>
        <w:t xml:space="preserve"> </w:t>
      </w:r>
      <w:r>
        <w:rPr>
          <w:rFonts w:ascii="FangSong" w:hAnsi="FangSong" w:eastAsia="FangSong" w:cs="FangSong"/>
          <w:sz w:val="30"/>
          <w:szCs w:val="30"/>
          <w:spacing w:val="17"/>
        </w:rPr>
        <w:t>级以上地方人民政府卫生行政部门责令改正，</w:t>
      </w:r>
      <w:r>
        <w:rPr>
          <w:rFonts w:ascii="FangSong" w:hAnsi="FangSong" w:eastAsia="FangSong" w:cs="FangSong"/>
          <w:sz w:val="30"/>
          <w:szCs w:val="30"/>
          <w:spacing w:val="16"/>
        </w:rPr>
        <w:t>逾期不改的，给予警告并通报批评；情节严重的，对主</w:t>
      </w:r>
      <w:r>
        <w:rPr>
          <w:rFonts w:ascii="FangSong" w:hAnsi="FangSong" w:eastAsia="FangSong" w:cs="FangSong"/>
          <w:sz w:val="30"/>
          <w:szCs w:val="30"/>
        </w:rPr>
        <w:t xml:space="preserve"> </w:t>
      </w:r>
      <w:r>
        <w:rPr>
          <w:rFonts w:ascii="FangSong" w:hAnsi="FangSong" w:eastAsia="FangSong" w:cs="FangSong"/>
          <w:sz w:val="30"/>
          <w:szCs w:val="30"/>
          <w:spacing w:val="15"/>
        </w:rPr>
        <w:t>要负责人和直接责任人给予降级或者撤职的行政处分：</w:t>
      </w:r>
    </w:p>
    <w:p>
      <w:pPr>
        <w:ind w:left="794"/>
        <w:spacing w:line="220" w:lineRule="auto"/>
        <w:rPr>
          <w:rFonts w:ascii="FangSong" w:hAnsi="FangSong" w:eastAsia="FangSong" w:cs="FangSong"/>
          <w:sz w:val="30"/>
          <w:szCs w:val="30"/>
        </w:rPr>
      </w:pPr>
      <w:r>
        <w:rPr>
          <w:rFonts w:ascii="FangSong" w:hAnsi="FangSong" w:eastAsia="FangSong" w:cs="FangSong"/>
          <w:sz w:val="30"/>
          <w:szCs w:val="30"/>
          <w:spacing w:val="22"/>
        </w:rPr>
        <w:t>(四)违反无菌操作技术规范和隔离技术规范；</w:t>
      </w:r>
    </w:p>
    <w:p>
      <w:pPr>
        <w:ind w:left="6439"/>
        <w:spacing w:before="9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74"/>
        <w:gridCol w:w="7435"/>
        <w:gridCol w:w="5011"/>
      </w:tblGrid>
      <w:tr>
        <w:trPr>
          <w:trHeight w:val="831" w:hRule="atLeast"/>
        </w:trPr>
        <w:tc>
          <w:tcPr>
            <w:tcW w:w="1474" w:type="dxa"/>
            <w:vAlign w:val="top"/>
          </w:tcPr>
          <w:p>
            <w:pPr>
              <w:pStyle w:val="TableText"/>
              <w:ind w:left="228"/>
              <w:spacing w:before="292" w:line="220" w:lineRule="auto"/>
              <w:rPr>
                <w:sz w:val="25"/>
                <w:szCs w:val="25"/>
              </w:rPr>
            </w:pPr>
            <w:r>
              <w:rPr>
                <w:sz w:val="25"/>
                <w:szCs w:val="25"/>
                <w:b/>
                <w:bCs/>
                <w:spacing w:val="-5"/>
              </w:rPr>
              <w:t>违法程度</w:t>
            </w:r>
          </w:p>
        </w:tc>
        <w:tc>
          <w:tcPr>
            <w:tcW w:w="7435" w:type="dxa"/>
            <w:vAlign w:val="top"/>
          </w:tcPr>
          <w:p>
            <w:pPr>
              <w:pStyle w:val="TableText"/>
              <w:ind w:left="3124"/>
              <w:spacing w:before="172" w:line="220" w:lineRule="auto"/>
              <w:rPr>
                <w:sz w:val="25"/>
                <w:szCs w:val="25"/>
              </w:rPr>
            </w:pPr>
            <w:r>
              <w:rPr>
                <w:sz w:val="25"/>
                <w:szCs w:val="25"/>
                <w:b/>
                <w:bCs/>
                <w:spacing w:val="-5"/>
              </w:rPr>
              <w:t>情节后果</w:t>
            </w:r>
          </w:p>
        </w:tc>
        <w:tc>
          <w:tcPr>
            <w:tcW w:w="5011" w:type="dxa"/>
            <w:vAlign w:val="top"/>
          </w:tcPr>
          <w:p>
            <w:pPr>
              <w:pStyle w:val="TableText"/>
              <w:ind w:left="1939"/>
              <w:spacing w:before="169" w:line="218" w:lineRule="auto"/>
              <w:rPr>
                <w:sz w:val="25"/>
                <w:szCs w:val="25"/>
              </w:rPr>
            </w:pPr>
            <w:r>
              <w:rPr>
                <w:sz w:val="25"/>
                <w:szCs w:val="25"/>
                <w:b/>
                <w:bCs/>
                <w:spacing w:val="-5"/>
              </w:rPr>
              <w:t>裁量幅度</w:t>
            </w:r>
          </w:p>
        </w:tc>
      </w:tr>
      <w:tr>
        <w:trPr>
          <w:trHeight w:val="777" w:hRule="atLeast"/>
        </w:trPr>
        <w:tc>
          <w:tcPr>
            <w:tcW w:w="1474" w:type="dxa"/>
            <w:vAlign w:val="top"/>
          </w:tcPr>
          <w:p>
            <w:pPr>
              <w:pStyle w:val="TableText"/>
              <w:ind w:left="478"/>
              <w:spacing w:before="160" w:line="219" w:lineRule="auto"/>
              <w:rPr>
                <w:sz w:val="25"/>
                <w:szCs w:val="25"/>
              </w:rPr>
            </w:pPr>
            <w:r>
              <w:rPr>
                <w:sz w:val="25"/>
                <w:szCs w:val="25"/>
                <w:b/>
                <w:bCs/>
                <w:spacing w:val="-6"/>
              </w:rPr>
              <w:t>较轻</w:t>
            </w:r>
          </w:p>
        </w:tc>
        <w:tc>
          <w:tcPr>
            <w:tcW w:w="7435" w:type="dxa"/>
            <w:vAlign w:val="top"/>
          </w:tcPr>
          <w:p>
            <w:pPr>
              <w:pStyle w:val="TableText"/>
              <w:ind w:left="100"/>
              <w:spacing w:before="164" w:line="219" w:lineRule="auto"/>
              <w:rPr>
                <w:sz w:val="25"/>
                <w:szCs w:val="25"/>
              </w:rPr>
            </w:pPr>
            <w:r>
              <w:rPr>
                <w:sz w:val="25"/>
                <w:szCs w:val="25"/>
              </w:rPr>
              <w:t>首次发现违法行为。</w:t>
            </w:r>
          </w:p>
        </w:tc>
        <w:tc>
          <w:tcPr>
            <w:tcW w:w="5011" w:type="dxa"/>
            <w:vAlign w:val="top"/>
          </w:tcPr>
          <w:p>
            <w:pPr>
              <w:pStyle w:val="TableText"/>
              <w:ind w:left="96"/>
              <w:spacing w:before="162" w:line="219" w:lineRule="auto"/>
              <w:rPr>
                <w:sz w:val="25"/>
                <w:szCs w:val="25"/>
              </w:rPr>
            </w:pPr>
            <w:r>
              <w:rPr>
                <w:sz w:val="25"/>
                <w:szCs w:val="25"/>
              </w:rPr>
              <w:t>不予行政处罚，责令改正。</w:t>
            </w:r>
          </w:p>
        </w:tc>
      </w:tr>
      <w:tr>
        <w:trPr>
          <w:trHeight w:val="662" w:hRule="atLeast"/>
        </w:trPr>
        <w:tc>
          <w:tcPr>
            <w:tcW w:w="1474" w:type="dxa"/>
            <w:vAlign w:val="top"/>
          </w:tcPr>
          <w:p>
            <w:pPr>
              <w:pStyle w:val="TableText"/>
              <w:ind w:left="478"/>
              <w:spacing w:before="135" w:line="221" w:lineRule="auto"/>
              <w:rPr>
                <w:sz w:val="25"/>
                <w:szCs w:val="25"/>
              </w:rPr>
            </w:pPr>
            <w:r>
              <w:rPr>
                <w:sz w:val="25"/>
                <w:szCs w:val="25"/>
                <w:b/>
                <w:bCs/>
                <w:spacing w:val="-10"/>
              </w:rPr>
              <w:t>一般</w:t>
            </w:r>
          </w:p>
        </w:tc>
        <w:tc>
          <w:tcPr>
            <w:tcW w:w="7435" w:type="dxa"/>
            <w:vAlign w:val="top"/>
          </w:tcPr>
          <w:p>
            <w:pPr>
              <w:pStyle w:val="TableText"/>
              <w:ind w:left="101"/>
              <w:spacing w:before="135" w:line="219" w:lineRule="auto"/>
              <w:rPr>
                <w:sz w:val="25"/>
                <w:szCs w:val="25"/>
              </w:rPr>
            </w:pPr>
            <w:r>
              <w:rPr>
                <w:sz w:val="25"/>
                <w:szCs w:val="25"/>
              </w:rPr>
              <w:t>责令改正后，逾期不改。</w:t>
            </w:r>
          </w:p>
        </w:tc>
        <w:tc>
          <w:tcPr>
            <w:tcW w:w="5011" w:type="dxa"/>
            <w:vAlign w:val="top"/>
          </w:tcPr>
          <w:p>
            <w:pPr>
              <w:pStyle w:val="TableText"/>
              <w:ind w:left="96"/>
              <w:spacing w:before="135" w:line="218" w:lineRule="auto"/>
              <w:rPr>
                <w:sz w:val="25"/>
                <w:szCs w:val="25"/>
              </w:rPr>
            </w:pPr>
            <w:r>
              <w:rPr>
                <w:sz w:val="25"/>
                <w:szCs w:val="25"/>
              </w:rPr>
              <w:t>给予警告并通报批评。</w:t>
            </w:r>
          </w:p>
        </w:tc>
      </w:tr>
    </w:tbl>
    <w:p>
      <w:pPr>
        <w:pStyle w:val="BodyText"/>
        <w:spacing w:line="317" w:lineRule="auto"/>
        <w:rPr/>
      </w:pPr>
      <w:r/>
    </w:p>
    <w:p>
      <w:pPr>
        <w:pStyle w:val="BodyText"/>
        <w:spacing w:line="318" w:lineRule="auto"/>
        <w:rPr/>
      </w:pPr>
      <w:r/>
    </w:p>
    <w:p>
      <w:pPr>
        <w:ind w:left="689"/>
        <w:spacing w:before="98" w:line="220" w:lineRule="auto"/>
        <w:rPr>
          <w:rFonts w:ascii="FangSong" w:hAnsi="FangSong" w:eastAsia="FangSong" w:cs="FangSong"/>
          <w:sz w:val="30"/>
          <w:szCs w:val="30"/>
        </w:rPr>
      </w:pPr>
      <w:r>
        <w:rPr>
          <w:rFonts w:ascii="FangSong" w:hAnsi="FangSong" w:eastAsia="FangSong" w:cs="FangSong"/>
          <w:sz w:val="30"/>
          <w:szCs w:val="30"/>
          <w:b/>
          <w:bCs/>
          <w:spacing w:val="17"/>
        </w:rPr>
        <w:t>第一百四十四条</w:t>
      </w:r>
      <w:r>
        <w:rPr>
          <w:rFonts w:ascii="FangSong" w:hAnsi="FangSong" w:eastAsia="FangSong" w:cs="FangSong"/>
          <w:sz w:val="30"/>
          <w:szCs w:val="30"/>
          <w:spacing w:val="11"/>
        </w:rPr>
        <w:t xml:space="preserve">  </w:t>
      </w:r>
      <w:r>
        <w:rPr>
          <w:rFonts w:ascii="FangSong" w:hAnsi="FangSong" w:eastAsia="FangSong" w:cs="FangSong"/>
          <w:sz w:val="30"/>
          <w:szCs w:val="30"/>
          <w:b/>
          <w:bCs/>
          <w:spacing w:val="17"/>
        </w:rPr>
        <w:t>医疗机构未对消毒药械和一次性医疗器械、器具的相关证明进行审核</w:t>
      </w:r>
    </w:p>
    <w:p>
      <w:pPr>
        <w:ind w:left="654"/>
        <w:spacing w:before="8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35" w:firstLine="609"/>
        <w:spacing w:before="94" w:line="271" w:lineRule="auto"/>
        <w:jc w:val="both"/>
        <w:rPr>
          <w:rFonts w:ascii="FangSong" w:hAnsi="FangSong" w:eastAsia="FangSong" w:cs="FangSong"/>
          <w:sz w:val="30"/>
          <w:szCs w:val="30"/>
        </w:rPr>
      </w:pPr>
      <w:r>
        <w:rPr>
          <w:rFonts w:ascii="FangSong" w:hAnsi="FangSong" w:eastAsia="FangSong" w:cs="FangSong"/>
          <w:sz w:val="30"/>
          <w:szCs w:val="30"/>
          <w:spacing w:val="24"/>
        </w:rPr>
        <w:t>《医院感染管理办法》第三十三条第(五)</w:t>
      </w:r>
      <w:r>
        <w:rPr>
          <w:rFonts w:ascii="FangSong" w:hAnsi="FangSong" w:eastAsia="FangSong" w:cs="FangSong"/>
          <w:sz w:val="30"/>
          <w:szCs w:val="30"/>
          <w:spacing w:val="23"/>
        </w:rPr>
        <w:t>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医疗机构违反本办法，有下列行为之一的，由县</w:t>
      </w:r>
      <w:r>
        <w:rPr>
          <w:rFonts w:ascii="FangSong" w:hAnsi="FangSong" w:eastAsia="FangSong" w:cs="FangSong"/>
          <w:sz w:val="30"/>
          <w:szCs w:val="30"/>
        </w:rPr>
        <w:t xml:space="preserve"> </w:t>
      </w:r>
      <w:r>
        <w:rPr>
          <w:rFonts w:ascii="FangSong" w:hAnsi="FangSong" w:eastAsia="FangSong" w:cs="FangSong"/>
          <w:sz w:val="30"/>
          <w:szCs w:val="30"/>
          <w:spacing w:val="17"/>
        </w:rPr>
        <w:t>级以上地方人民政府卫生行政部门责令改正，</w:t>
      </w:r>
      <w:r>
        <w:rPr>
          <w:rFonts w:ascii="FangSong" w:hAnsi="FangSong" w:eastAsia="FangSong" w:cs="FangSong"/>
          <w:sz w:val="30"/>
          <w:szCs w:val="30"/>
          <w:spacing w:val="16"/>
        </w:rPr>
        <w:t>逾期不改的，给予警告并通报批评；情节严重的，对主</w:t>
      </w:r>
      <w:r>
        <w:rPr>
          <w:rFonts w:ascii="FangSong" w:hAnsi="FangSong" w:eastAsia="FangSong" w:cs="FangSong"/>
          <w:sz w:val="30"/>
          <w:szCs w:val="30"/>
        </w:rPr>
        <w:t xml:space="preserve"> </w:t>
      </w:r>
      <w:r>
        <w:rPr>
          <w:rFonts w:ascii="FangSong" w:hAnsi="FangSong" w:eastAsia="FangSong" w:cs="FangSong"/>
          <w:sz w:val="30"/>
          <w:szCs w:val="30"/>
          <w:spacing w:val="15"/>
        </w:rPr>
        <w:t>要负责人和直接责任人给予降级或者撤职的行政处分：</w:t>
      </w:r>
    </w:p>
    <w:p>
      <w:pPr>
        <w:ind w:left="794"/>
        <w:spacing w:line="220" w:lineRule="auto"/>
        <w:rPr>
          <w:rFonts w:ascii="FangSong" w:hAnsi="FangSong" w:eastAsia="FangSong" w:cs="FangSong"/>
          <w:sz w:val="30"/>
          <w:szCs w:val="30"/>
        </w:rPr>
      </w:pPr>
      <w:r>
        <w:rPr>
          <w:rFonts w:ascii="FangSong" w:hAnsi="FangSong" w:eastAsia="FangSong" w:cs="FangSong"/>
          <w:sz w:val="30"/>
          <w:szCs w:val="30"/>
          <w:spacing w:val="22"/>
        </w:rPr>
        <w:t>(五)未对消毒药械和一次性医疗器械、器具的相关证明进行审</w:t>
      </w:r>
      <w:r>
        <w:rPr>
          <w:rFonts w:ascii="FangSong" w:hAnsi="FangSong" w:eastAsia="FangSong" w:cs="FangSong"/>
          <w:sz w:val="30"/>
          <w:szCs w:val="30"/>
          <w:spacing w:val="21"/>
        </w:rPr>
        <w:t>核；</w:t>
      </w:r>
    </w:p>
    <w:p>
      <w:pPr>
        <w:spacing w:line="220" w:lineRule="auto"/>
        <w:sectPr>
          <w:footerReference w:type="default" r:id="rId215"/>
          <w:pgSz w:w="16830" w:h="11900"/>
          <w:pgMar w:top="1011" w:right="1454" w:bottom="1125" w:left="1414" w:header="0" w:footer="783" w:gutter="0"/>
        </w:sectPr>
        <w:rPr>
          <w:rFonts w:ascii="FangSong" w:hAnsi="FangSong" w:eastAsia="FangSong" w:cs="FangSong"/>
          <w:sz w:val="30"/>
          <w:szCs w:val="30"/>
        </w:rPr>
      </w:pPr>
    </w:p>
    <w:p>
      <w:pPr>
        <w:pStyle w:val="BodyText"/>
        <w:spacing w:line="262" w:lineRule="auto"/>
        <w:rPr/>
      </w:pPr>
      <w:r/>
    </w:p>
    <w:p>
      <w:pPr>
        <w:pStyle w:val="BodyText"/>
        <w:spacing w:line="263" w:lineRule="auto"/>
        <w:rPr/>
      </w:pPr>
      <w:r/>
    </w:p>
    <w:p>
      <w:pPr>
        <w:pStyle w:val="BodyText"/>
        <w:spacing w:line="263" w:lineRule="auto"/>
        <w:rPr/>
      </w:pPr>
      <w:r/>
    </w:p>
    <w:p>
      <w:pPr>
        <w:ind w:left="6439"/>
        <w:spacing w:before="94"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63"/>
        <w:gridCol w:w="4816"/>
        <w:gridCol w:w="6380"/>
      </w:tblGrid>
      <w:tr>
        <w:trPr>
          <w:trHeight w:val="831" w:hRule="atLeast"/>
        </w:trPr>
        <w:tc>
          <w:tcPr>
            <w:tcW w:w="2763" w:type="dxa"/>
            <w:vAlign w:val="top"/>
          </w:tcPr>
          <w:p>
            <w:pPr>
              <w:pStyle w:val="TableText"/>
              <w:ind w:left="878"/>
              <w:spacing w:before="182" w:line="220" w:lineRule="auto"/>
              <w:rPr>
                <w:sz w:val="25"/>
                <w:szCs w:val="25"/>
              </w:rPr>
            </w:pPr>
            <w:r>
              <w:rPr>
                <w:sz w:val="25"/>
                <w:szCs w:val="25"/>
                <w:b/>
                <w:bCs/>
                <w:spacing w:val="-5"/>
              </w:rPr>
              <w:t>违法程度</w:t>
            </w:r>
          </w:p>
        </w:tc>
        <w:tc>
          <w:tcPr>
            <w:tcW w:w="4816" w:type="dxa"/>
            <w:vAlign w:val="top"/>
          </w:tcPr>
          <w:p>
            <w:pPr>
              <w:pStyle w:val="TableText"/>
              <w:ind w:left="1845"/>
              <w:spacing w:before="182" w:line="220" w:lineRule="auto"/>
              <w:rPr>
                <w:sz w:val="25"/>
                <w:szCs w:val="25"/>
              </w:rPr>
            </w:pPr>
            <w:r>
              <w:rPr>
                <w:sz w:val="25"/>
                <w:szCs w:val="25"/>
                <w:b/>
                <w:bCs/>
                <w:spacing w:val="-5"/>
              </w:rPr>
              <w:t>情节后果</w:t>
            </w:r>
          </w:p>
        </w:tc>
        <w:tc>
          <w:tcPr>
            <w:tcW w:w="6380" w:type="dxa"/>
            <w:vAlign w:val="top"/>
          </w:tcPr>
          <w:p>
            <w:pPr>
              <w:pStyle w:val="TableText"/>
              <w:ind w:left="2639"/>
              <w:spacing w:before="179" w:line="218" w:lineRule="auto"/>
              <w:rPr>
                <w:sz w:val="25"/>
                <w:szCs w:val="25"/>
              </w:rPr>
            </w:pPr>
            <w:r>
              <w:rPr>
                <w:sz w:val="25"/>
                <w:szCs w:val="25"/>
                <w:b/>
                <w:bCs/>
                <w:spacing w:val="-5"/>
              </w:rPr>
              <w:t>裁量幅度</w:t>
            </w:r>
          </w:p>
        </w:tc>
      </w:tr>
      <w:tr>
        <w:trPr>
          <w:trHeight w:val="637" w:hRule="atLeast"/>
        </w:trPr>
        <w:tc>
          <w:tcPr>
            <w:tcW w:w="2763" w:type="dxa"/>
            <w:vAlign w:val="top"/>
          </w:tcPr>
          <w:p>
            <w:pPr>
              <w:pStyle w:val="TableText"/>
              <w:ind w:left="1128"/>
              <w:spacing w:before="100" w:line="219" w:lineRule="auto"/>
              <w:rPr>
                <w:sz w:val="25"/>
                <w:szCs w:val="25"/>
              </w:rPr>
            </w:pPr>
            <w:r>
              <w:rPr>
                <w:sz w:val="25"/>
                <w:szCs w:val="25"/>
                <w:b/>
                <w:bCs/>
                <w:spacing w:val="-6"/>
              </w:rPr>
              <w:t>较轻</w:t>
            </w:r>
          </w:p>
        </w:tc>
        <w:tc>
          <w:tcPr>
            <w:tcW w:w="4816" w:type="dxa"/>
            <w:vAlign w:val="top"/>
          </w:tcPr>
          <w:p>
            <w:pPr>
              <w:pStyle w:val="TableText"/>
              <w:ind w:left="112"/>
              <w:spacing w:before="104" w:line="219" w:lineRule="auto"/>
              <w:rPr>
                <w:sz w:val="25"/>
                <w:szCs w:val="25"/>
              </w:rPr>
            </w:pPr>
            <w:r>
              <w:rPr>
                <w:sz w:val="25"/>
                <w:szCs w:val="25"/>
                <w:spacing w:val="-1"/>
              </w:rPr>
              <w:t>首次发现违法行为。</w:t>
            </w:r>
          </w:p>
        </w:tc>
        <w:tc>
          <w:tcPr>
            <w:tcW w:w="6380" w:type="dxa"/>
            <w:vAlign w:val="top"/>
          </w:tcPr>
          <w:p>
            <w:pPr>
              <w:pStyle w:val="TableText"/>
              <w:ind w:left="116"/>
              <w:spacing w:before="102" w:line="219" w:lineRule="auto"/>
              <w:rPr>
                <w:sz w:val="25"/>
                <w:szCs w:val="25"/>
              </w:rPr>
            </w:pPr>
            <w:r>
              <w:rPr>
                <w:sz w:val="25"/>
                <w:szCs w:val="25"/>
              </w:rPr>
              <w:t>不予行政处罚，责令改正。</w:t>
            </w:r>
          </w:p>
        </w:tc>
      </w:tr>
      <w:tr>
        <w:trPr>
          <w:trHeight w:val="671" w:hRule="atLeast"/>
        </w:trPr>
        <w:tc>
          <w:tcPr>
            <w:tcW w:w="2763" w:type="dxa"/>
            <w:vAlign w:val="top"/>
          </w:tcPr>
          <w:p>
            <w:pPr>
              <w:pStyle w:val="TableText"/>
              <w:ind w:left="1128"/>
              <w:spacing w:before="115" w:line="221" w:lineRule="auto"/>
              <w:rPr>
                <w:sz w:val="25"/>
                <w:szCs w:val="25"/>
              </w:rPr>
            </w:pPr>
            <w:r>
              <w:rPr>
                <w:sz w:val="25"/>
                <w:szCs w:val="25"/>
                <w:b/>
                <w:bCs/>
                <w:spacing w:val="-10"/>
              </w:rPr>
              <w:t>一般</w:t>
            </w:r>
          </w:p>
        </w:tc>
        <w:tc>
          <w:tcPr>
            <w:tcW w:w="4816" w:type="dxa"/>
            <w:vAlign w:val="top"/>
          </w:tcPr>
          <w:p>
            <w:pPr>
              <w:pStyle w:val="TableText"/>
              <w:ind w:left="112"/>
              <w:spacing w:before="115" w:line="219" w:lineRule="auto"/>
              <w:rPr>
                <w:sz w:val="25"/>
                <w:szCs w:val="25"/>
              </w:rPr>
            </w:pPr>
            <w:r>
              <w:rPr>
                <w:sz w:val="25"/>
                <w:szCs w:val="25"/>
                <w:spacing w:val="-1"/>
              </w:rPr>
              <w:t>责令改正后，逾期不改。</w:t>
            </w:r>
          </w:p>
        </w:tc>
        <w:tc>
          <w:tcPr>
            <w:tcW w:w="6380" w:type="dxa"/>
            <w:vAlign w:val="top"/>
          </w:tcPr>
          <w:p>
            <w:pPr>
              <w:pStyle w:val="TableText"/>
              <w:ind w:left="116"/>
              <w:spacing w:before="115" w:line="218" w:lineRule="auto"/>
              <w:rPr>
                <w:sz w:val="25"/>
                <w:szCs w:val="25"/>
              </w:rPr>
            </w:pPr>
            <w:r>
              <w:rPr>
                <w:sz w:val="25"/>
                <w:szCs w:val="25"/>
              </w:rPr>
              <w:t>给予警告并通报批评。</w:t>
            </w:r>
          </w:p>
        </w:tc>
      </w:tr>
    </w:tbl>
    <w:p>
      <w:pPr>
        <w:pStyle w:val="BodyText"/>
        <w:spacing w:line="322" w:lineRule="auto"/>
        <w:rPr/>
      </w:pPr>
      <w:r/>
    </w:p>
    <w:p>
      <w:pPr>
        <w:pStyle w:val="BodyText"/>
        <w:spacing w:line="323" w:lineRule="auto"/>
        <w:rPr/>
      </w:pPr>
      <w:r/>
    </w:p>
    <w:p>
      <w:pPr>
        <w:ind w:left="679"/>
        <w:spacing w:before="98" w:line="220" w:lineRule="auto"/>
        <w:rPr>
          <w:rFonts w:ascii="FangSong" w:hAnsi="FangSong" w:eastAsia="FangSong" w:cs="FangSong"/>
          <w:sz w:val="30"/>
          <w:szCs w:val="30"/>
        </w:rPr>
      </w:pPr>
      <w:r>
        <w:rPr>
          <w:rFonts w:ascii="FangSong" w:hAnsi="FangSong" w:eastAsia="FangSong" w:cs="FangSong"/>
          <w:sz w:val="30"/>
          <w:szCs w:val="30"/>
          <w:b/>
          <w:bCs/>
          <w:spacing w:val="19"/>
        </w:rPr>
        <w:t>第一百四十五条</w:t>
      </w:r>
      <w:r>
        <w:rPr>
          <w:rFonts w:ascii="FangSong" w:hAnsi="FangSong" w:eastAsia="FangSong" w:cs="FangSong"/>
          <w:sz w:val="30"/>
          <w:szCs w:val="30"/>
          <w:spacing w:val="129"/>
        </w:rPr>
        <w:t xml:space="preserve"> </w:t>
      </w:r>
      <w:r>
        <w:rPr>
          <w:rFonts w:ascii="FangSong" w:hAnsi="FangSong" w:eastAsia="FangSong" w:cs="FangSong"/>
          <w:sz w:val="30"/>
          <w:szCs w:val="30"/>
          <w:b/>
          <w:bCs/>
          <w:spacing w:val="19"/>
        </w:rPr>
        <w:t>医疗机构未对医务人员职业暴露提供职业卫生防护</w:t>
      </w:r>
    </w:p>
    <w:p>
      <w:pPr>
        <w:ind w:left="665"/>
        <w:spacing w:before="10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35" w:firstLine="609"/>
        <w:spacing w:before="67" w:line="269" w:lineRule="auto"/>
        <w:jc w:val="both"/>
        <w:rPr>
          <w:rFonts w:ascii="FangSong" w:hAnsi="FangSong" w:eastAsia="FangSong" w:cs="FangSong"/>
          <w:sz w:val="30"/>
          <w:szCs w:val="30"/>
        </w:rPr>
      </w:pPr>
      <w:r>
        <w:rPr>
          <w:rFonts w:ascii="FangSong" w:hAnsi="FangSong" w:eastAsia="FangSong" w:cs="FangSong"/>
          <w:sz w:val="30"/>
          <w:szCs w:val="30"/>
          <w:spacing w:val="24"/>
        </w:rPr>
        <w:t>《医院感染管理办法》第三十三条第(六)项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医疗机构违反本办</w:t>
      </w:r>
      <w:r>
        <w:rPr>
          <w:rFonts w:ascii="FangSong" w:hAnsi="FangSong" w:eastAsia="FangSong" w:cs="FangSong"/>
          <w:sz w:val="30"/>
          <w:szCs w:val="30"/>
          <w:spacing w:val="23"/>
        </w:rPr>
        <w:t>法，有下列行为之一的，由县</w:t>
      </w:r>
      <w:r>
        <w:rPr>
          <w:rFonts w:ascii="FangSong" w:hAnsi="FangSong" w:eastAsia="FangSong" w:cs="FangSong"/>
          <w:sz w:val="30"/>
          <w:szCs w:val="30"/>
        </w:rPr>
        <w:t xml:space="preserve"> </w:t>
      </w:r>
      <w:r>
        <w:rPr>
          <w:rFonts w:ascii="FangSong" w:hAnsi="FangSong" w:eastAsia="FangSong" w:cs="FangSong"/>
          <w:sz w:val="30"/>
          <w:szCs w:val="30"/>
          <w:spacing w:val="17"/>
        </w:rPr>
        <w:t>级以上地方人民政府卫生行政部门责令改正，逾期不改的，给予警告</w:t>
      </w:r>
      <w:r>
        <w:rPr>
          <w:rFonts w:ascii="FangSong" w:hAnsi="FangSong" w:eastAsia="FangSong" w:cs="FangSong"/>
          <w:sz w:val="30"/>
          <w:szCs w:val="30"/>
          <w:spacing w:val="16"/>
        </w:rPr>
        <w:t>并通报批评；情节严重的，对主</w:t>
      </w:r>
      <w:r>
        <w:rPr>
          <w:rFonts w:ascii="FangSong" w:hAnsi="FangSong" w:eastAsia="FangSong" w:cs="FangSong"/>
          <w:sz w:val="30"/>
          <w:szCs w:val="30"/>
        </w:rPr>
        <w:t xml:space="preserve"> </w:t>
      </w:r>
      <w:r>
        <w:rPr>
          <w:rFonts w:ascii="FangSong" w:hAnsi="FangSong" w:eastAsia="FangSong" w:cs="FangSong"/>
          <w:sz w:val="30"/>
          <w:szCs w:val="30"/>
          <w:spacing w:val="15"/>
        </w:rPr>
        <w:t>要负责人和直接责任人给予降级或者撤职的行政处分：</w:t>
      </w:r>
    </w:p>
    <w:p>
      <w:pPr>
        <w:ind w:left="815"/>
        <w:spacing w:line="222" w:lineRule="auto"/>
        <w:rPr>
          <w:rFonts w:ascii="FangSong" w:hAnsi="FangSong" w:eastAsia="FangSong" w:cs="FangSong"/>
          <w:sz w:val="30"/>
          <w:szCs w:val="30"/>
        </w:rPr>
      </w:pPr>
      <w:r>
        <w:rPr>
          <w:rFonts w:ascii="FangSong" w:hAnsi="FangSong" w:eastAsia="FangSong" w:cs="FangSong"/>
          <w:sz w:val="30"/>
          <w:szCs w:val="30"/>
          <w:spacing w:val="23"/>
        </w:rPr>
        <w:t>(六)未对医务人员职业暴露提供职业卫生防护。</w:t>
      </w:r>
    </w:p>
    <w:p>
      <w:pPr>
        <w:pStyle w:val="BodyText"/>
        <w:spacing w:line="306" w:lineRule="auto"/>
        <w:rPr/>
      </w:pPr>
      <w:r/>
    </w:p>
    <w:p>
      <w:pPr>
        <w:pStyle w:val="BodyText"/>
        <w:spacing w:line="306" w:lineRule="auto"/>
        <w:rPr/>
      </w:pPr>
      <w:r/>
    </w:p>
    <w:p>
      <w:pPr>
        <w:ind w:left="6439"/>
        <w:spacing w:before="98"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216"/>
          <w:pgSz w:w="16830" w:h="11900"/>
          <w:pgMar w:top="1011" w:right="1444" w:bottom="1107" w:left="1414" w:header="0" w:footer="774" w:gutter="0"/>
        </w:sectPr>
        <w:rPr>
          <w:rFonts w:ascii="SimHei" w:hAnsi="SimHei" w:eastAsia="SimHei" w:cs="SimHei"/>
          <w:sz w:val="30"/>
          <w:szCs w:val="30"/>
        </w:rPr>
      </w:pPr>
    </w:p>
    <w:p>
      <w:pPr>
        <w:spacing w:before="17"/>
        <w:rPr/>
      </w:pPr>
      <w:r/>
    </w:p>
    <w:p>
      <w:pPr>
        <w:spacing w:before="16"/>
        <w:rPr/>
      </w:pPr>
      <w:r/>
    </w:p>
    <w:p>
      <w:pPr>
        <w:spacing w:before="16"/>
        <w:rPr/>
      </w:pPr>
      <w:r/>
    </w:p>
    <w:tbl>
      <w:tblPr>
        <w:tblStyle w:val="TableNormal"/>
        <w:tblW w:w="13930"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763"/>
        <w:gridCol w:w="6315"/>
        <w:gridCol w:w="4852"/>
      </w:tblGrid>
      <w:tr>
        <w:trPr>
          <w:trHeight w:val="831" w:hRule="atLeast"/>
        </w:trPr>
        <w:tc>
          <w:tcPr>
            <w:tcW w:w="2763" w:type="dxa"/>
            <w:vAlign w:val="top"/>
          </w:tcPr>
          <w:p>
            <w:pPr>
              <w:pStyle w:val="TableText"/>
              <w:ind w:left="878"/>
              <w:spacing w:before="172" w:line="220" w:lineRule="auto"/>
              <w:rPr>
                <w:sz w:val="25"/>
                <w:szCs w:val="25"/>
              </w:rPr>
            </w:pPr>
            <w:r>
              <w:rPr>
                <w:sz w:val="25"/>
                <w:szCs w:val="25"/>
                <w:b/>
                <w:bCs/>
                <w:spacing w:val="-5"/>
              </w:rPr>
              <w:t>违法程度</w:t>
            </w:r>
          </w:p>
        </w:tc>
        <w:tc>
          <w:tcPr>
            <w:tcW w:w="6315" w:type="dxa"/>
            <w:vAlign w:val="top"/>
          </w:tcPr>
          <w:p>
            <w:pPr>
              <w:pStyle w:val="TableText"/>
              <w:ind w:left="2585"/>
              <w:spacing w:before="172" w:line="220" w:lineRule="auto"/>
              <w:rPr>
                <w:sz w:val="25"/>
                <w:szCs w:val="25"/>
              </w:rPr>
            </w:pPr>
            <w:r>
              <w:rPr>
                <w:sz w:val="25"/>
                <w:szCs w:val="25"/>
                <w:b/>
                <w:bCs/>
                <w:spacing w:val="-5"/>
              </w:rPr>
              <w:t>情节后果</w:t>
            </w:r>
          </w:p>
        </w:tc>
        <w:tc>
          <w:tcPr>
            <w:tcW w:w="4852" w:type="dxa"/>
            <w:vAlign w:val="top"/>
          </w:tcPr>
          <w:p>
            <w:pPr>
              <w:pStyle w:val="TableText"/>
              <w:ind w:left="1860"/>
              <w:spacing w:before="179" w:line="218" w:lineRule="auto"/>
              <w:rPr>
                <w:sz w:val="25"/>
                <w:szCs w:val="25"/>
              </w:rPr>
            </w:pPr>
            <w:r>
              <w:rPr>
                <w:sz w:val="25"/>
                <w:szCs w:val="25"/>
                <w:b/>
                <w:bCs/>
                <w:spacing w:val="-5"/>
              </w:rPr>
              <w:t>裁量幅度</w:t>
            </w:r>
          </w:p>
        </w:tc>
      </w:tr>
      <w:tr>
        <w:trPr>
          <w:trHeight w:val="647" w:hRule="atLeast"/>
        </w:trPr>
        <w:tc>
          <w:tcPr>
            <w:tcW w:w="2763" w:type="dxa"/>
            <w:vAlign w:val="top"/>
          </w:tcPr>
          <w:p>
            <w:pPr>
              <w:pStyle w:val="TableText"/>
              <w:ind w:left="1128"/>
              <w:spacing w:before="100" w:line="219" w:lineRule="auto"/>
              <w:rPr>
                <w:sz w:val="25"/>
                <w:szCs w:val="25"/>
              </w:rPr>
            </w:pPr>
            <w:r>
              <w:rPr>
                <w:sz w:val="25"/>
                <w:szCs w:val="25"/>
                <w:b/>
                <w:bCs/>
                <w:spacing w:val="-6"/>
              </w:rPr>
              <w:t>较轻</w:t>
            </w:r>
          </w:p>
        </w:tc>
        <w:tc>
          <w:tcPr>
            <w:tcW w:w="6315" w:type="dxa"/>
            <w:vAlign w:val="top"/>
          </w:tcPr>
          <w:p>
            <w:pPr>
              <w:pStyle w:val="TableText"/>
              <w:ind w:left="111"/>
              <w:spacing w:before="124" w:line="219" w:lineRule="auto"/>
              <w:rPr>
                <w:sz w:val="25"/>
                <w:szCs w:val="25"/>
              </w:rPr>
            </w:pPr>
            <w:r>
              <w:rPr>
                <w:sz w:val="25"/>
                <w:szCs w:val="25"/>
              </w:rPr>
              <w:t>首次发现违法行为。</w:t>
            </w:r>
          </w:p>
        </w:tc>
        <w:tc>
          <w:tcPr>
            <w:tcW w:w="4852" w:type="dxa"/>
            <w:vAlign w:val="top"/>
          </w:tcPr>
          <w:p>
            <w:pPr>
              <w:pStyle w:val="TableText"/>
              <w:ind w:left="107"/>
              <w:spacing w:before="112" w:line="219" w:lineRule="auto"/>
              <w:rPr>
                <w:sz w:val="25"/>
                <w:szCs w:val="25"/>
              </w:rPr>
            </w:pPr>
            <w:r>
              <w:rPr>
                <w:sz w:val="25"/>
                <w:szCs w:val="25"/>
                <w:spacing w:val="-1"/>
              </w:rPr>
              <w:t>不予行政处罚，责令改正。</w:t>
            </w:r>
          </w:p>
        </w:tc>
      </w:tr>
      <w:tr>
        <w:trPr>
          <w:trHeight w:val="651" w:hRule="atLeast"/>
        </w:trPr>
        <w:tc>
          <w:tcPr>
            <w:tcW w:w="2763" w:type="dxa"/>
            <w:vAlign w:val="top"/>
          </w:tcPr>
          <w:p>
            <w:pPr>
              <w:pStyle w:val="TableText"/>
              <w:ind w:left="1128"/>
              <w:spacing w:before="115" w:line="221" w:lineRule="auto"/>
              <w:rPr>
                <w:sz w:val="25"/>
                <w:szCs w:val="25"/>
              </w:rPr>
            </w:pPr>
            <w:r>
              <w:rPr>
                <w:sz w:val="25"/>
                <w:szCs w:val="25"/>
                <w:b/>
                <w:bCs/>
                <w:spacing w:val="-10"/>
              </w:rPr>
              <w:t>一般</w:t>
            </w:r>
          </w:p>
        </w:tc>
        <w:tc>
          <w:tcPr>
            <w:tcW w:w="6315" w:type="dxa"/>
            <w:vAlign w:val="top"/>
          </w:tcPr>
          <w:p>
            <w:pPr>
              <w:pStyle w:val="TableText"/>
              <w:ind w:left="111"/>
              <w:spacing w:before="105" w:line="219" w:lineRule="auto"/>
              <w:rPr>
                <w:sz w:val="25"/>
                <w:szCs w:val="25"/>
              </w:rPr>
            </w:pPr>
            <w:r>
              <w:rPr>
                <w:sz w:val="25"/>
                <w:szCs w:val="25"/>
              </w:rPr>
              <w:t>责令改正后，逾期不改。</w:t>
            </w:r>
          </w:p>
        </w:tc>
        <w:tc>
          <w:tcPr>
            <w:tcW w:w="4852" w:type="dxa"/>
            <w:vAlign w:val="top"/>
          </w:tcPr>
          <w:p>
            <w:pPr>
              <w:pStyle w:val="TableText"/>
              <w:ind w:left="107"/>
              <w:spacing w:before="95" w:line="218" w:lineRule="auto"/>
              <w:rPr>
                <w:sz w:val="25"/>
                <w:szCs w:val="25"/>
              </w:rPr>
            </w:pPr>
            <w:r>
              <w:rPr>
                <w:sz w:val="25"/>
                <w:szCs w:val="25"/>
                <w:spacing w:val="-1"/>
              </w:rPr>
              <w:t>给予警告并通报批评。</w:t>
            </w:r>
          </w:p>
        </w:tc>
      </w:tr>
    </w:tbl>
    <w:p>
      <w:pPr>
        <w:pStyle w:val="BodyText"/>
        <w:spacing w:line="327" w:lineRule="auto"/>
        <w:rPr/>
      </w:pPr>
      <w:r/>
    </w:p>
    <w:p>
      <w:pPr>
        <w:pStyle w:val="BodyText"/>
        <w:spacing w:line="328" w:lineRule="auto"/>
        <w:rPr/>
      </w:pPr>
      <w:r/>
    </w:p>
    <w:p>
      <w:pPr>
        <w:ind w:left="29" w:firstLine="670"/>
        <w:spacing w:before="98" w:line="253" w:lineRule="auto"/>
        <w:outlineLvl w:val="1"/>
        <w:rPr>
          <w:rFonts w:ascii="FangSong" w:hAnsi="FangSong" w:eastAsia="FangSong" w:cs="FangSong"/>
          <w:sz w:val="30"/>
          <w:szCs w:val="30"/>
        </w:rPr>
      </w:pPr>
      <w:bookmarkStart w:name="bookmark186" w:id="200"/>
      <w:bookmarkEnd w:id="200"/>
      <w:r>
        <w:rPr>
          <w:rFonts w:ascii="FangSong" w:hAnsi="FangSong" w:eastAsia="FangSong" w:cs="FangSong"/>
          <w:sz w:val="30"/>
          <w:szCs w:val="30"/>
          <w:b/>
          <w:bCs/>
          <w:spacing w:val="21"/>
        </w:rPr>
        <w:t>第一百四十六条未采取预防和控制措施或者发生医院感染未及时采取控制措施，造成医院感染</w:t>
      </w:r>
      <w:r>
        <w:rPr>
          <w:rFonts w:ascii="FangSong" w:hAnsi="FangSong" w:eastAsia="FangSong" w:cs="FangSong"/>
          <w:sz w:val="30"/>
          <w:szCs w:val="30"/>
        </w:rPr>
        <w:t xml:space="preserve"> </w:t>
      </w:r>
      <w:bookmarkStart w:name="bookmark186" w:id="201"/>
      <w:bookmarkEnd w:id="201"/>
      <w:r>
        <w:rPr>
          <w:rFonts w:ascii="FangSong" w:hAnsi="FangSong" w:eastAsia="FangSong" w:cs="FangSong"/>
          <w:sz w:val="30"/>
          <w:szCs w:val="30"/>
          <w:b/>
          <w:bCs/>
          <w:spacing w:val="15"/>
        </w:rPr>
        <w:t>暴发、传染病传播或者其他严重后果的</w:t>
      </w:r>
    </w:p>
    <w:p>
      <w:pPr>
        <w:ind w:left="665"/>
        <w:spacing w:before="85"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right="41" w:firstLine="619"/>
        <w:spacing w:before="59" w:line="265" w:lineRule="auto"/>
        <w:jc w:val="both"/>
        <w:rPr>
          <w:rFonts w:ascii="FangSong" w:hAnsi="FangSong" w:eastAsia="FangSong" w:cs="FangSong"/>
          <w:sz w:val="30"/>
          <w:szCs w:val="30"/>
        </w:rPr>
      </w:pPr>
      <w:r>
        <w:rPr>
          <w:rFonts w:ascii="FangSong" w:hAnsi="FangSong" w:eastAsia="FangSong" w:cs="FangSong"/>
          <w:sz w:val="30"/>
          <w:szCs w:val="30"/>
          <w:spacing w:val="16"/>
        </w:rPr>
        <w:t>《医院感染管理办法》第三十四条</w:t>
      </w:r>
      <w:r>
        <w:rPr>
          <w:rFonts w:ascii="FangSong" w:hAnsi="FangSong" w:eastAsia="FangSong" w:cs="FangSong"/>
          <w:sz w:val="30"/>
          <w:szCs w:val="30"/>
          <w:spacing w:val="16"/>
        </w:rPr>
        <w:t xml:space="preserve">  </w:t>
      </w:r>
      <w:r>
        <w:rPr>
          <w:rFonts w:ascii="FangSong" w:hAnsi="FangSong" w:eastAsia="FangSong" w:cs="FangSong"/>
          <w:sz w:val="30"/>
          <w:szCs w:val="30"/>
          <w:spacing w:val="16"/>
        </w:rPr>
        <w:t>医疗机构违反本办法规定，未采取预防和控制措施或者发生</w:t>
      </w:r>
      <w:r>
        <w:rPr>
          <w:rFonts w:ascii="FangSong" w:hAnsi="FangSong" w:eastAsia="FangSong" w:cs="FangSong"/>
          <w:sz w:val="30"/>
          <w:szCs w:val="30"/>
          <w:spacing w:val="15"/>
        </w:rPr>
        <w:t xml:space="preserve"> </w:t>
      </w:r>
      <w:r>
        <w:rPr>
          <w:rFonts w:ascii="FangSong" w:hAnsi="FangSong" w:eastAsia="FangSong" w:cs="FangSong"/>
          <w:sz w:val="30"/>
          <w:szCs w:val="30"/>
          <w:spacing w:val="16"/>
        </w:rPr>
        <w:t>医院感染未及时采取控制措施，造成医院感染暴发、传染病传播或者其他严重后果的，</w:t>
      </w:r>
      <w:r>
        <w:rPr>
          <w:rFonts w:ascii="FangSong" w:hAnsi="FangSong" w:eastAsia="FangSong" w:cs="FangSong"/>
          <w:sz w:val="30"/>
          <w:szCs w:val="30"/>
          <w:spacing w:val="15"/>
        </w:rPr>
        <w:t>对负有责任的</w:t>
      </w:r>
      <w:r>
        <w:rPr>
          <w:rFonts w:ascii="FangSong" w:hAnsi="FangSong" w:eastAsia="FangSong" w:cs="FangSong"/>
          <w:sz w:val="30"/>
          <w:szCs w:val="30"/>
        </w:rPr>
        <w:t xml:space="preserve"> </w:t>
      </w:r>
      <w:r>
        <w:rPr>
          <w:rFonts w:ascii="FangSong" w:hAnsi="FangSong" w:eastAsia="FangSong" w:cs="FangSong"/>
          <w:sz w:val="30"/>
          <w:szCs w:val="30"/>
          <w:spacing w:val="16"/>
        </w:rPr>
        <w:t>主管人员和直接责任人员给予降级、撤职、开除的行政处分；情节严重的，依照《传染病防</w:t>
      </w:r>
      <w:r>
        <w:rPr>
          <w:rFonts w:ascii="FangSong" w:hAnsi="FangSong" w:eastAsia="FangSong" w:cs="FangSong"/>
          <w:sz w:val="30"/>
          <w:szCs w:val="30"/>
          <w:spacing w:val="15"/>
        </w:rPr>
        <w:t>治法》第</w:t>
      </w:r>
      <w:r>
        <w:rPr>
          <w:rFonts w:ascii="FangSong" w:hAnsi="FangSong" w:eastAsia="FangSong" w:cs="FangSong"/>
          <w:sz w:val="30"/>
          <w:szCs w:val="30"/>
        </w:rPr>
        <w:t xml:space="preserve"> </w:t>
      </w:r>
      <w:r>
        <w:rPr>
          <w:rFonts w:ascii="FangSong" w:hAnsi="FangSong" w:eastAsia="FangSong" w:cs="FangSong"/>
          <w:sz w:val="30"/>
          <w:szCs w:val="30"/>
          <w:spacing w:val="18"/>
        </w:rPr>
        <w:t>六十九条规定，可以依法吊销有关责任人员的执业证书；构成犯罪的，依法追究刑事责任。</w:t>
      </w:r>
    </w:p>
    <w:p>
      <w:pPr>
        <w:ind w:left="6439"/>
        <w:spacing w:before="25"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64"/>
        <w:gridCol w:w="5945"/>
        <w:gridCol w:w="6231"/>
      </w:tblGrid>
      <w:tr>
        <w:trPr>
          <w:trHeight w:val="831" w:hRule="atLeast"/>
        </w:trPr>
        <w:tc>
          <w:tcPr>
            <w:tcW w:w="1764" w:type="dxa"/>
            <w:vAlign w:val="top"/>
          </w:tcPr>
          <w:p>
            <w:pPr>
              <w:pStyle w:val="TableText"/>
              <w:ind w:left="298"/>
              <w:spacing w:before="30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5945" w:type="dxa"/>
            <w:vAlign w:val="top"/>
          </w:tcPr>
          <w:p>
            <w:pPr>
              <w:pStyle w:val="TableText"/>
              <w:ind w:left="2484"/>
              <w:spacing w:before="302" w:line="220" w:lineRule="auto"/>
              <w:rPr/>
            </w:pPr>
            <w:r>
              <w:rPr>
                <w:b/>
                <w:bCs/>
                <w:spacing w:val="-5"/>
              </w:rPr>
              <w:t>情节后果</w:t>
            </w:r>
          </w:p>
        </w:tc>
        <w:tc>
          <w:tcPr>
            <w:tcW w:w="6231" w:type="dxa"/>
            <w:vAlign w:val="top"/>
          </w:tcPr>
          <w:p>
            <w:pPr>
              <w:pStyle w:val="TableText"/>
              <w:ind w:left="2629"/>
              <w:spacing w:before="299" w:line="218" w:lineRule="auto"/>
              <w:rPr/>
            </w:pPr>
            <w:r>
              <w:rPr>
                <w:b/>
                <w:bCs/>
                <w:spacing w:val="-5"/>
              </w:rPr>
              <w:t>裁量幅度</w:t>
            </w:r>
          </w:p>
        </w:tc>
      </w:tr>
      <w:tr>
        <w:trPr>
          <w:trHeight w:val="1089" w:hRule="atLeast"/>
        </w:trPr>
        <w:tc>
          <w:tcPr>
            <w:tcW w:w="1764" w:type="dxa"/>
            <w:vAlign w:val="top"/>
          </w:tcPr>
          <w:p>
            <w:pPr>
              <w:spacing w:line="351" w:lineRule="auto"/>
              <w:rPr>
                <w:rFonts w:ascii="Arial"/>
                <w:sz w:val="21"/>
              </w:rPr>
            </w:pPr>
            <w:r/>
          </w:p>
          <w:p>
            <w:pPr>
              <w:pStyle w:val="TableText"/>
              <w:ind w:left="638"/>
              <w:spacing w:before="78" w:line="220" w:lineRule="auto"/>
              <w:rPr/>
            </w:pPr>
            <w:r>
              <w:rPr>
                <w:b/>
                <w:bCs/>
                <w:spacing w:val="-6"/>
              </w:rPr>
              <w:t>严重</w:t>
            </w:r>
          </w:p>
        </w:tc>
        <w:tc>
          <w:tcPr>
            <w:tcW w:w="5945" w:type="dxa"/>
            <w:vAlign w:val="top"/>
          </w:tcPr>
          <w:p>
            <w:pPr>
              <w:spacing w:line="348" w:lineRule="auto"/>
              <w:rPr>
                <w:rFonts w:ascii="Arial"/>
                <w:sz w:val="21"/>
              </w:rPr>
            </w:pPr>
            <w:r/>
          </w:p>
          <w:p>
            <w:pPr>
              <w:pStyle w:val="TableText"/>
              <w:ind w:left="264"/>
              <w:spacing w:before="78" w:line="219" w:lineRule="auto"/>
              <w:rPr/>
            </w:pPr>
            <w:r>
              <w:rPr>
                <w:b/>
                <w:bCs/>
                <w:spacing w:val="-3"/>
              </w:rPr>
              <w:t>造成医院感染暴发、传染病传播或者其他严重后果。</w:t>
            </w:r>
          </w:p>
        </w:tc>
        <w:tc>
          <w:tcPr>
            <w:tcW w:w="6231" w:type="dxa"/>
            <w:vAlign w:val="top"/>
          </w:tcPr>
          <w:p>
            <w:pPr>
              <w:pStyle w:val="TableText"/>
              <w:ind w:left="138" w:right="122" w:hanging="29"/>
              <w:spacing w:before="118" w:line="333" w:lineRule="auto"/>
              <w:rPr/>
            </w:pPr>
            <w:r>
              <w:rPr>
                <w:b/>
                <w:bCs/>
                <w:spacing w:val="-3"/>
              </w:rPr>
              <w:t>依照《传染病防治法》第六十九条规定，可以依法吊销有</w:t>
            </w:r>
            <w:r>
              <w:rPr/>
              <w:t xml:space="preserve"> </w:t>
            </w:r>
            <w:r>
              <w:rPr>
                <w:b/>
                <w:bCs/>
                <w:spacing w:val="-4"/>
              </w:rPr>
              <w:t>关责任人员的执业证书。</w:t>
            </w:r>
          </w:p>
        </w:tc>
      </w:tr>
    </w:tbl>
    <w:p>
      <w:pPr>
        <w:pStyle w:val="BodyText"/>
        <w:rPr/>
      </w:pPr>
      <w:r/>
    </w:p>
    <w:p>
      <w:pPr>
        <w:sectPr>
          <w:footerReference w:type="default" r:id="rId217"/>
          <w:pgSz w:w="16830" w:h="11900"/>
          <w:pgMar w:top="1011" w:right="1424" w:bottom="1118" w:left="1414" w:header="0" w:footer="785" w:gutter="0"/>
        </w:sectPr>
        <w:rPr/>
      </w:pPr>
    </w:p>
    <w:p>
      <w:pPr>
        <w:pStyle w:val="BodyText"/>
        <w:spacing w:line="253" w:lineRule="auto"/>
        <w:rPr/>
      </w:pPr>
      <w:r/>
    </w:p>
    <w:p>
      <w:pPr>
        <w:pStyle w:val="BodyText"/>
        <w:spacing w:line="254" w:lineRule="auto"/>
        <w:rPr/>
      </w:pPr>
      <w:r/>
    </w:p>
    <w:p>
      <w:pPr>
        <w:pStyle w:val="BodyText"/>
        <w:spacing w:line="254" w:lineRule="auto"/>
        <w:rPr/>
      </w:pPr>
      <w:r/>
    </w:p>
    <w:p>
      <w:pPr>
        <w:pStyle w:val="BodyText"/>
        <w:spacing w:line="254" w:lineRule="auto"/>
        <w:rPr/>
      </w:pPr>
      <w:r/>
    </w:p>
    <w:p>
      <w:pPr>
        <w:ind w:left="349"/>
        <w:spacing w:before="97" w:line="223" w:lineRule="auto"/>
        <w:outlineLvl w:val="1"/>
        <w:rPr>
          <w:rFonts w:ascii="KaiTi" w:hAnsi="KaiTi" w:eastAsia="KaiTi" w:cs="KaiTi"/>
          <w:sz w:val="30"/>
          <w:szCs w:val="30"/>
        </w:rPr>
      </w:pPr>
      <w:bookmarkStart w:name="bookmark869" w:id="202"/>
      <w:bookmarkEnd w:id="202"/>
      <w:bookmarkStart w:name="bookmark186" w:id="203"/>
      <w:bookmarkEnd w:id="203"/>
      <w:r>
        <w:rPr>
          <w:rFonts w:ascii="KaiTi" w:hAnsi="KaiTi" w:eastAsia="KaiTi" w:cs="KaiTi"/>
          <w:sz w:val="30"/>
          <w:szCs w:val="30"/>
          <w:b/>
          <w:bCs/>
          <w:spacing w:val="25"/>
        </w:rPr>
        <w:t>(十六)《传染性非典型肺炎防治管理办法》</w:t>
      </w:r>
    </w:p>
    <w:p>
      <w:pPr>
        <w:pStyle w:val="BodyText"/>
        <w:spacing w:line="269" w:lineRule="auto"/>
        <w:rPr/>
      </w:pPr>
      <w:r/>
    </w:p>
    <w:p>
      <w:pPr>
        <w:pStyle w:val="BodyText"/>
        <w:spacing w:line="269" w:lineRule="auto"/>
        <w:rPr/>
      </w:pPr>
      <w:r/>
    </w:p>
    <w:p>
      <w:pPr>
        <w:ind w:left="689"/>
        <w:spacing w:before="97" w:line="220" w:lineRule="auto"/>
        <w:rPr>
          <w:rFonts w:ascii="FangSong" w:hAnsi="FangSong" w:eastAsia="FangSong" w:cs="FangSong"/>
          <w:sz w:val="30"/>
          <w:szCs w:val="30"/>
        </w:rPr>
      </w:pPr>
      <w:r>
        <w:rPr>
          <w:rFonts w:ascii="FangSong" w:hAnsi="FangSong" w:eastAsia="FangSong" w:cs="FangSong"/>
          <w:sz w:val="30"/>
          <w:szCs w:val="30"/>
          <w:b/>
          <w:bCs/>
          <w:spacing w:val="23"/>
        </w:rPr>
        <w:t>第一百四十七条未依法履行疫情报告职责，隐瞒、缓报或者谎报的</w:t>
      </w:r>
    </w:p>
    <w:p>
      <w:pPr>
        <w:ind w:left="684"/>
        <w:spacing w:before="12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right="94" w:firstLine="640"/>
        <w:spacing w:before="43" w:line="272" w:lineRule="auto"/>
        <w:jc w:val="both"/>
        <w:rPr>
          <w:rFonts w:ascii="FangSong" w:hAnsi="FangSong" w:eastAsia="FangSong" w:cs="FangSong"/>
          <w:sz w:val="30"/>
          <w:szCs w:val="30"/>
        </w:rPr>
      </w:pPr>
      <w:r>
        <w:rPr>
          <w:rFonts w:ascii="FangSong" w:hAnsi="FangSong" w:eastAsia="FangSong" w:cs="FangSong"/>
          <w:sz w:val="30"/>
          <w:szCs w:val="30"/>
          <w:spacing w:val="17"/>
        </w:rPr>
        <w:t>《传染性非典型肺炎防治管理办法》第三十七条</w:t>
      </w:r>
      <w:r>
        <w:rPr>
          <w:rFonts w:ascii="FangSong" w:hAnsi="FangSong" w:eastAsia="FangSong" w:cs="FangSong"/>
          <w:sz w:val="30"/>
          <w:szCs w:val="30"/>
          <w:spacing w:val="17"/>
        </w:rPr>
        <w:t xml:space="preserve">  </w:t>
      </w:r>
      <w:r>
        <w:rPr>
          <w:rFonts w:ascii="FangSong" w:hAnsi="FangSong" w:eastAsia="FangSong" w:cs="FangSong"/>
          <w:sz w:val="30"/>
          <w:szCs w:val="30"/>
          <w:spacing w:val="17"/>
        </w:rPr>
        <w:t>疾</w:t>
      </w:r>
      <w:r>
        <w:rPr>
          <w:rFonts w:ascii="FangSong" w:hAnsi="FangSong" w:eastAsia="FangSong" w:cs="FangSong"/>
          <w:sz w:val="30"/>
          <w:szCs w:val="30"/>
          <w:spacing w:val="16"/>
        </w:rPr>
        <w:t>病预防控制机构和医疗机构及其人员有下列</w:t>
      </w:r>
      <w:r>
        <w:rPr>
          <w:rFonts w:ascii="FangSong" w:hAnsi="FangSong" w:eastAsia="FangSong" w:cs="FangSong"/>
          <w:sz w:val="30"/>
          <w:szCs w:val="30"/>
        </w:rPr>
        <w:t xml:space="preserve"> </w:t>
      </w:r>
      <w:r>
        <w:rPr>
          <w:rFonts w:ascii="FangSong" w:hAnsi="FangSong" w:eastAsia="FangSong" w:cs="FangSong"/>
          <w:sz w:val="30"/>
          <w:szCs w:val="30"/>
          <w:spacing w:val="17"/>
        </w:rPr>
        <w:t>行为之一的，由县级以上卫生行政部门责令改正，通报批评，</w:t>
      </w:r>
      <w:r>
        <w:rPr>
          <w:rFonts w:ascii="FangSong" w:hAnsi="FangSong" w:eastAsia="FangSong" w:cs="FangSong"/>
          <w:sz w:val="30"/>
          <w:szCs w:val="30"/>
          <w:spacing w:val="16"/>
        </w:rPr>
        <w:t>给予警告；情节严重的，依法吊销医疗</w:t>
      </w:r>
      <w:r>
        <w:rPr>
          <w:rFonts w:ascii="FangSong" w:hAnsi="FangSong" w:eastAsia="FangSong" w:cs="FangSong"/>
          <w:sz w:val="30"/>
          <w:szCs w:val="30"/>
        </w:rPr>
        <w:t xml:space="preserve"> </w:t>
      </w:r>
      <w:r>
        <w:rPr>
          <w:rFonts w:ascii="FangSong" w:hAnsi="FangSong" w:eastAsia="FangSong" w:cs="FangSong"/>
          <w:sz w:val="30"/>
          <w:szCs w:val="30"/>
          <w:spacing w:val="19"/>
        </w:rPr>
        <w:t>机构执业许可证，并由有关部门对主要负责人给予降级或者撤职的行政处分；对有关医疗卫生人员，</w:t>
      </w:r>
      <w:r>
        <w:rPr>
          <w:rFonts w:ascii="FangSong" w:hAnsi="FangSong" w:eastAsia="FangSong" w:cs="FangSong"/>
          <w:sz w:val="30"/>
          <w:szCs w:val="30"/>
          <w:spacing w:val="3"/>
        </w:rPr>
        <w:t xml:space="preserve"> </w:t>
      </w:r>
      <w:r>
        <w:rPr>
          <w:rFonts w:ascii="FangSong" w:hAnsi="FangSong" w:eastAsia="FangSong" w:cs="FangSong"/>
          <w:sz w:val="30"/>
          <w:szCs w:val="30"/>
          <w:spacing w:val="17"/>
        </w:rPr>
        <w:t>由其所在单位或者上级机关给予纪律处分，并由县级以上</w:t>
      </w:r>
      <w:r>
        <w:rPr>
          <w:rFonts w:ascii="FangSong" w:hAnsi="FangSong" w:eastAsia="FangSong" w:cs="FangSong"/>
          <w:sz w:val="30"/>
          <w:szCs w:val="30"/>
          <w:spacing w:val="16"/>
        </w:rPr>
        <w:t>卫生行政部门依法吊销执业证书；造成传染</w:t>
      </w:r>
      <w:r>
        <w:rPr>
          <w:rFonts w:ascii="FangSong" w:hAnsi="FangSong" w:eastAsia="FangSong" w:cs="FangSong"/>
          <w:sz w:val="30"/>
          <w:szCs w:val="30"/>
        </w:rPr>
        <w:t xml:space="preserve"> </w:t>
      </w:r>
      <w:r>
        <w:rPr>
          <w:rFonts w:ascii="FangSong" w:hAnsi="FangSong" w:eastAsia="FangSong" w:cs="FangSong"/>
          <w:sz w:val="30"/>
          <w:szCs w:val="30"/>
          <w:spacing w:val="17"/>
        </w:rPr>
        <w:t>性非典型肺炎传播、流行或者对社会公众健康造成其他严重危害后果，构</w:t>
      </w:r>
      <w:r>
        <w:rPr>
          <w:rFonts w:ascii="FangSong" w:hAnsi="FangSong" w:eastAsia="FangSong" w:cs="FangSong"/>
          <w:sz w:val="30"/>
          <w:szCs w:val="30"/>
          <w:spacing w:val="16"/>
        </w:rPr>
        <w:t>成犯罪的，依法追究刑事责</w:t>
      </w:r>
      <w:r>
        <w:rPr>
          <w:rFonts w:ascii="FangSong" w:hAnsi="FangSong" w:eastAsia="FangSong" w:cs="FangSong"/>
          <w:sz w:val="30"/>
          <w:szCs w:val="30"/>
        </w:rPr>
        <w:t xml:space="preserve"> </w:t>
      </w:r>
      <w:r>
        <w:rPr>
          <w:rFonts w:ascii="FangSong" w:hAnsi="FangSong" w:eastAsia="FangSong" w:cs="FangSong"/>
          <w:sz w:val="30"/>
          <w:szCs w:val="30"/>
          <w:spacing w:val="-8"/>
        </w:rPr>
        <w:t>任：</w:t>
      </w:r>
    </w:p>
    <w:p>
      <w:pPr>
        <w:ind w:left="824"/>
        <w:spacing w:before="1" w:line="221" w:lineRule="auto"/>
        <w:rPr>
          <w:rFonts w:ascii="FangSong" w:hAnsi="FangSong" w:eastAsia="FangSong" w:cs="FangSong"/>
          <w:sz w:val="30"/>
          <w:szCs w:val="30"/>
        </w:rPr>
      </w:pPr>
      <w:r>
        <w:rPr>
          <w:rFonts w:ascii="FangSong" w:hAnsi="FangSong" w:eastAsia="FangSong" w:cs="FangSong"/>
          <w:sz w:val="30"/>
          <w:szCs w:val="30"/>
          <w:spacing w:val="23"/>
        </w:rPr>
        <w:t>(一)未依法履行疫情报告职责，隐瞒、缓报或者谎报。</w:t>
      </w:r>
    </w:p>
    <w:p>
      <w:pPr>
        <w:ind w:left="6439"/>
        <w:spacing w:before="233" w:line="201"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73"/>
        <w:gridCol w:w="7075"/>
        <w:gridCol w:w="5601"/>
      </w:tblGrid>
      <w:tr>
        <w:trPr>
          <w:trHeight w:val="622" w:hRule="atLeast"/>
        </w:trPr>
        <w:tc>
          <w:tcPr>
            <w:tcW w:w="1473" w:type="dxa"/>
            <w:vAlign w:val="top"/>
          </w:tcPr>
          <w:p>
            <w:pPr>
              <w:pStyle w:val="TableText"/>
              <w:ind w:left="148"/>
              <w:spacing w:before="9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7075" w:type="dxa"/>
            <w:vAlign w:val="top"/>
          </w:tcPr>
          <w:p>
            <w:pPr>
              <w:pStyle w:val="TableText"/>
              <w:ind w:left="2965"/>
              <w:spacing w:before="92" w:line="220" w:lineRule="auto"/>
              <w:rPr/>
            </w:pPr>
            <w:r>
              <w:rPr>
                <w:b/>
                <w:bCs/>
                <w:spacing w:val="-5"/>
              </w:rPr>
              <w:t>情节后果</w:t>
            </w:r>
          </w:p>
        </w:tc>
        <w:tc>
          <w:tcPr>
            <w:tcW w:w="5601" w:type="dxa"/>
            <w:vAlign w:val="top"/>
          </w:tcPr>
          <w:p>
            <w:pPr>
              <w:pStyle w:val="TableText"/>
              <w:ind w:left="2220"/>
              <w:spacing w:before="8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17" w:hRule="atLeast"/>
        </w:trPr>
        <w:tc>
          <w:tcPr>
            <w:tcW w:w="1473" w:type="dxa"/>
            <w:vAlign w:val="top"/>
          </w:tcPr>
          <w:p>
            <w:pPr>
              <w:pStyle w:val="TableText"/>
              <w:ind w:left="488"/>
              <w:spacing w:before="90" w:line="221" w:lineRule="auto"/>
              <w:rPr/>
            </w:pPr>
            <w:r>
              <w:rPr>
                <w:b/>
                <w:bCs/>
                <w:spacing w:val="-10"/>
              </w:rPr>
              <w:t>一般</w:t>
            </w:r>
          </w:p>
        </w:tc>
        <w:tc>
          <w:tcPr>
            <w:tcW w:w="7075" w:type="dxa"/>
            <w:vAlign w:val="top"/>
          </w:tcPr>
          <w:p>
            <w:pPr>
              <w:pStyle w:val="TableText"/>
              <w:ind w:left="111"/>
              <w:spacing w:before="90" w:line="218" w:lineRule="auto"/>
              <w:rPr/>
            </w:pPr>
            <w:r>
              <w:rPr/>
              <w:t>未依法履行疫情报告职责，隐瞒、缓报或者谎</w:t>
            </w:r>
            <w:r>
              <w:rPr>
                <w:spacing w:val="-1"/>
              </w:rPr>
              <w:t>报。</w:t>
            </w:r>
          </w:p>
        </w:tc>
        <w:tc>
          <w:tcPr>
            <w:tcW w:w="5601" w:type="dxa"/>
            <w:vAlign w:val="top"/>
          </w:tcPr>
          <w:p>
            <w:pPr>
              <w:pStyle w:val="TableText"/>
              <w:ind w:left="107"/>
              <w:spacing w:before="90" w:line="218" w:lineRule="auto"/>
              <w:rPr/>
            </w:pPr>
            <w:r>
              <w:rPr>
                <w:spacing w:val="-1"/>
              </w:rPr>
              <w:t>通报批评，给予警告。</w:t>
            </w:r>
          </w:p>
        </w:tc>
      </w:tr>
      <w:tr>
        <w:trPr>
          <w:trHeight w:val="991" w:hRule="atLeast"/>
        </w:trPr>
        <w:tc>
          <w:tcPr>
            <w:tcW w:w="1473" w:type="dxa"/>
            <w:vAlign w:val="top"/>
          </w:tcPr>
          <w:p>
            <w:pPr>
              <w:spacing w:line="303" w:lineRule="auto"/>
              <w:rPr>
                <w:rFonts w:ascii="Arial"/>
                <w:sz w:val="21"/>
              </w:rPr>
            </w:pPr>
            <w:r/>
          </w:p>
          <w:p>
            <w:pPr>
              <w:pStyle w:val="TableText"/>
              <w:ind w:left="488"/>
              <w:spacing w:before="78" w:line="220" w:lineRule="auto"/>
              <w:rPr/>
            </w:pPr>
            <w:r>
              <w:rPr>
                <w:b/>
                <w:bCs/>
                <w:spacing w:val="-6"/>
              </w:rPr>
              <w:t>严重</w:t>
            </w:r>
          </w:p>
        </w:tc>
        <w:tc>
          <w:tcPr>
            <w:tcW w:w="7075" w:type="dxa"/>
            <w:vAlign w:val="top"/>
          </w:tcPr>
          <w:p>
            <w:pPr>
              <w:pStyle w:val="TableText"/>
              <w:ind w:left="111" w:firstLine="10"/>
              <w:spacing w:before="85" w:line="325" w:lineRule="auto"/>
              <w:rPr/>
            </w:pPr>
            <w:r>
              <w:rPr>
                <w:spacing w:val="-1"/>
              </w:rPr>
              <w:t>未依法履行疫情报告职责，隐瞒、缓报或者谎报，造成传染性非典</w:t>
            </w:r>
            <w:r>
              <w:rPr>
                <w:spacing w:val="10"/>
              </w:rPr>
              <w:t xml:space="preserve"> </w:t>
            </w:r>
            <w:r>
              <w:rPr/>
              <w:t>型肺炎传播、流行或者对社会公众健康造成其他严重</w:t>
            </w:r>
            <w:r>
              <w:rPr>
                <w:spacing w:val="-1"/>
              </w:rPr>
              <w:t>危害后果。</w:t>
            </w:r>
          </w:p>
        </w:tc>
        <w:tc>
          <w:tcPr>
            <w:tcW w:w="5601" w:type="dxa"/>
            <w:vAlign w:val="top"/>
          </w:tcPr>
          <w:p>
            <w:pPr>
              <w:pStyle w:val="TableText"/>
              <w:ind w:left="96" w:firstLine="59"/>
              <w:spacing w:before="84" w:line="325" w:lineRule="auto"/>
              <w:rPr/>
            </w:pPr>
            <w:r>
              <w:rPr>
                <w:spacing w:val="-1"/>
              </w:rPr>
              <w:t>依法吊销医疗机构执业许可证，对有关医疗卫生人</w:t>
            </w:r>
            <w:r>
              <w:rPr>
                <w:spacing w:val="3"/>
              </w:rPr>
              <w:t xml:space="preserve">  </w:t>
            </w:r>
            <w:r>
              <w:rPr>
                <w:spacing w:val="-1"/>
              </w:rPr>
              <w:t>员，并由县级以上卫生行政部门依法吊销执</w:t>
            </w:r>
            <w:r>
              <w:rPr>
                <w:spacing w:val="-2"/>
              </w:rPr>
              <w:t>业证书。</w:t>
            </w:r>
          </w:p>
        </w:tc>
      </w:tr>
    </w:tbl>
    <w:p>
      <w:pPr>
        <w:pStyle w:val="BodyText"/>
        <w:rPr/>
      </w:pPr>
      <w:r/>
    </w:p>
    <w:p>
      <w:pPr>
        <w:sectPr>
          <w:footerReference w:type="default" r:id="rId218"/>
          <w:pgSz w:w="16830" w:h="11900"/>
          <w:pgMar w:top="1011" w:right="1264" w:bottom="1130" w:left="1405" w:header="0" w:footer="806" w:gutter="0"/>
        </w:sectPr>
        <w:rPr/>
      </w:pPr>
    </w:p>
    <w:p>
      <w:pPr>
        <w:pStyle w:val="BodyText"/>
        <w:spacing w:line="266" w:lineRule="auto"/>
        <w:rPr/>
      </w:pPr>
      <w:r/>
    </w:p>
    <w:p>
      <w:pPr>
        <w:pStyle w:val="BodyText"/>
        <w:spacing w:line="266" w:lineRule="auto"/>
        <w:rPr/>
      </w:pPr>
      <w:r/>
    </w:p>
    <w:p>
      <w:pPr>
        <w:pStyle w:val="BodyText"/>
        <w:spacing w:line="266" w:lineRule="auto"/>
        <w:rPr/>
      </w:pPr>
      <w:r/>
    </w:p>
    <w:p>
      <w:pPr>
        <w:ind w:left="699"/>
        <w:spacing w:before="97" w:line="220" w:lineRule="auto"/>
        <w:outlineLvl w:val="1"/>
        <w:rPr>
          <w:rFonts w:ascii="FangSong" w:hAnsi="FangSong" w:eastAsia="FangSong" w:cs="FangSong"/>
          <w:sz w:val="30"/>
          <w:szCs w:val="30"/>
        </w:rPr>
      </w:pPr>
      <w:bookmarkStart w:name="bookmark870" w:id="204"/>
      <w:bookmarkEnd w:id="204"/>
      <w:bookmarkStart w:name="bookmark186" w:id="205"/>
      <w:bookmarkEnd w:id="205"/>
      <w:r>
        <w:rPr>
          <w:rFonts w:ascii="FangSong" w:hAnsi="FangSong" w:eastAsia="FangSong" w:cs="FangSong"/>
          <w:sz w:val="30"/>
          <w:szCs w:val="30"/>
          <w:b/>
          <w:bCs/>
          <w:spacing w:val="24"/>
        </w:rPr>
        <w:t>第一百四十八条拒绝服从卫生行政部门调遣的</w:t>
      </w:r>
    </w:p>
    <w:p>
      <w:pPr>
        <w:ind w:left="695"/>
        <w:spacing w:before="109"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34" w:firstLine="630"/>
        <w:spacing w:before="60" w:line="272" w:lineRule="auto"/>
        <w:jc w:val="both"/>
        <w:rPr>
          <w:rFonts w:ascii="FangSong" w:hAnsi="FangSong" w:eastAsia="FangSong" w:cs="FangSong"/>
          <w:sz w:val="30"/>
          <w:szCs w:val="30"/>
        </w:rPr>
      </w:pPr>
      <w:r>
        <w:rPr>
          <w:rFonts w:ascii="FangSong" w:hAnsi="FangSong" w:eastAsia="FangSong" w:cs="FangSong"/>
          <w:sz w:val="30"/>
          <w:szCs w:val="30"/>
          <w:spacing w:val="17"/>
        </w:rPr>
        <w:t>《传染性非典型肺炎防治管理办法》第三十七条</w:t>
      </w:r>
      <w:r>
        <w:rPr>
          <w:rFonts w:ascii="FangSong" w:hAnsi="FangSong" w:eastAsia="FangSong" w:cs="FangSong"/>
          <w:sz w:val="30"/>
          <w:szCs w:val="30"/>
          <w:spacing w:val="17"/>
        </w:rPr>
        <w:t xml:space="preserve">  </w:t>
      </w:r>
      <w:r>
        <w:rPr>
          <w:rFonts w:ascii="FangSong" w:hAnsi="FangSong" w:eastAsia="FangSong" w:cs="FangSong"/>
          <w:sz w:val="30"/>
          <w:szCs w:val="30"/>
          <w:spacing w:val="17"/>
        </w:rPr>
        <w:t>疾病预防控制机构和医疗</w:t>
      </w:r>
      <w:r>
        <w:rPr>
          <w:rFonts w:ascii="FangSong" w:hAnsi="FangSong" w:eastAsia="FangSong" w:cs="FangSong"/>
          <w:sz w:val="30"/>
          <w:szCs w:val="30"/>
          <w:spacing w:val="16"/>
        </w:rPr>
        <w:t>机构及其人员有下列</w:t>
      </w:r>
      <w:r>
        <w:rPr>
          <w:rFonts w:ascii="FangSong" w:hAnsi="FangSong" w:eastAsia="FangSong" w:cs="FangSong"/>
          <w:sz w:val="30"/>
          <w:szCs w:val="30"/>
        </w:rPr>
        <w:t xml:space="preserve"> </w:t>
      </w:r>
      <w:r>
        <w:rPr>
          <w:rFonts w:ascii="FangSong" w:hAnsi="FangSong" w:eastAsia="FangSong" w:cs="FangSong"/>
          <w:sz w:val="30"/>
          <w:szCs w:val="30"/>
          <w:spacing w:val="17"/>
        </w:rPr>
        <w:t>行为之一的，由县级以上卫生行政部门责令改正，通报批评，</w:t>
      </w:r>
      <w:r>
        <w:rPr>
          <w:rFonts w:ascii="FangSong" w:hAnsi="FangSong" w:eastAsia="FangSong" w:cs="FangSong"/>
          <w:sz w:val="30"/>
          <w:szCs w:val="30"/>
          <w:spacing w:val="16"/>
        </w:rPr>
        <w:t>给予警告；情节严重的，依法吊销医疗</w:t>
      </w:r>
      <w:r>
        <w:rPr>
          <w:rFonts w:ascii="FangSong" w:hAnsi="FangSong" w:eastAsia="FangSong" w:cs="FangSong"/>
          <w:sz w:val="30"/>
          <w:szCs w:val="30"/>
        </w:rPr>
        <w:t xml:space="preserve"> </w:t>
      </w:r>
      <w:r>
        <w:rPr>
          <w:rFonts w:ascii="FangSong" w:hAnsi="FangSong" w:eastAsia="FangSong" w:cs="FangSong"/>
          <w:sz w:val="30"/>
          <w:szCs w:val="30"/>
          <w:spacing w:val="19"/>
        </w:rPr>
        <w:t>机构执业许可证，并由有关部门对主要负责人给予降级或者撤</w:t>
      </w:r>
      <w:r>
        <w:rPr>
          <w:rFonts w:ascii="FangSong" w:hAnsi="FangSong" w:eastAsia="FangSong" w:cs="FangSong"/>
          <w:sz w:val="30"/>
          <w:szCs w:val="30"/>
          <w:spacing w:val="18"/>
        </w:rPr>
        <w:t>职的行政处分；对有关医疗卫生人员，</w:t>
      </w:r>
      <w:r>
        <w:rPr>
          <w:rFonts w:ascii="FangSong" w:hAnsi="FangSong" w:eastAsia="FangSong" w:cs="FangSong"/>
          <w:sz w:val="30"/>
          <w:szCs w:val="30"/>
        </w:rPr>
        <w:t xml:space="preserve"> </w:t>
      </w:r>
      <w:r>
        <w:rPr>
          <w:rFonts w:ascii="FangSong" w:hAnsi="FangSong" w:eastAsia="FangSong" w:cs="FangSong"/>
          <w:sz w:val="30"/>
          <w:szCs w:val="30"/>
          <w:spacing w:val="17"/>
        </w:rPr>
        <w:t>由其所在单位或者上级机关给予纪律处分，并由县级以上</w:t>
      </w:r>
      <w:r>
        <w:rPr>
          <w:rFonts w:ascii="FangSong" w:hAnsi="FangSong" w:eastAsia="FangSong" w:cs="FangSong"/>
          <w:sz w:val="30"/>
          <w:szCs w:val="30"/>
          <w:spacing w:val="16"/>
        </w:rPr>
        <w:t>卫生行政部门依法吊销执业证书；造成传染</w:t>
      </w:r>
      <w:r>
        <w:rPr>
          <w:rFonts w:ascii="FangSong" w:hAnsi="FangSong" w:eastAsia="FangSong" w:cs="FangSong"/>
          <w:sz w:val="30"/>
          <w:szCs w:val="30"/>
        </w:rPr>
        <w:t xml:space="preserve"> </w:t>
      </w:r>
      <w:r>
        <w:rPr>
          <w:rFonts w:ascii="FangSong" w:hAnsi="FangSong" w:eastAsia="FangSong" w:cs="FangSong"/>
          <w:sz w:val="30"/>
          <w:szCs w:val="30"/>
          <w:spacing w:val="16"/>
        </w:rPr>
        <w:t>性非典型肺炎传播、流行或者对社会公众健康造成其他严重危害后果，构成犯罪的，依法追究刑事责</w:t>
      </w:r>
      <w:r>
        <w:rPr>
          <w:rFonts w:ascii="FangSong" w:hAnsi="FangSong" w:eastAsia="FangSong" w:cs="FangSong"/>
          <w:sz w:val="30"/>
          <w:szCs w:val="30"/>
          <w:spacing w:val="11"/>
        </w:rPr>
        <w:t xml:space="preserve"> </w:t>
      </w:r>
      <w:r>
        <w:rPr>
          <w:rFonts w:ascii="FangSong" w:hAnsi="FangSong" w:eastAsia="FangSong" w:cs="FangSong"/>
          <w:sz w:val="30"/>
          <w:szCs w:val="30"/>
          <w:spacing w:val="-5"/>
        </w:rPr>
        <w:t>任：</w:t>
      </w:r>
    </w:p>
    <w:p>
      <w:pPr>
        <w:ind w:left="804"/>
        <w:spacing w:line="221" w:lineRule="auto"/>
        <w:rPr>
          <w:rFonts w:ascii="FangSong" w:hAnsi="FangSong" w:eastAsia="FangSong" w:cs="FangSong"/>
          <w:sz w:val="30"/>
          <w:szCs w:val="30"/>
        </w:rPr>
      </w:pPr>
      <w:r>
        <w:rPr>
          <w:rFonts w:ascii="FangSong" w:hAnsi="FangSong" w:eastAsia="FangSong" w:cs="FangSong"/>
          <w:sz w:val="30"/>
          <w:szCs w:val="30"/>
          <w:spacing w:val="25"/>
        </w:rPr>
        <w:t>(二)拒绝服从卫生行政部门调遣。</w:t>
      </w:r>
    </w:p>
    <w:p>
      <w:pPr>
        <w:ind w:left="6439"/>
        <w:spacing w:before="273"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73"/>
        <w:gridCol w:w="7994"/>
        <w:gridCol w:w="3742"/>
      </w:tblGrid>
      <w:tr>
        <w:trPr>
          <w:trHeight w:val="663" w:hRule="atLeast"/>
        </w:trPr>
        <w:tc>
          <w:tcPr>
            <w:tcW w:w="2173" w:type="dxa"/>
            <w:vAlign w:val="top"/>
          </w:tcPr>
          <w:p>
            <w:pPr>
              <w:pStyle w:val="TableText"/>
              <w:ind w:left="598"/>
              <w:spacing w:before="102" w:line="220" w:lineRule="auto"/>
              <w:rPr/>
            </w:pPr>
            <w:r>
              <w:rPr>
                <w:b/>
                <w:bCs/>
                <w:spacing w:val="-5"/>
              </w:rPr>
              <w:t>违法程度</w:t>
            </w:r>
          </w:p>
        </w:tc>
        <w:tc>
          <w:tcPr>
            <w:tcW w:w="7994" w:type="dxa"/>
            <w:vAlign w:val="top"/>
          </w:tcPr>
          <w:p>
            <w:pPr>
              <w:pStyle w:val="TableText"/>
              <w:ind w:left="3515"/>
              <w:spacing w:before="102" w:line="220" w:lineRule="auto"/>
              <w:rPr/>
            </w:pPr>
            <w:r>
              <w:rPr>
                <w:b/>
                <w:bCs/>
                <w:spacing w:val="-5"/>
              </w:rPr>
              <w:t>情节后果</w:t>
            </w:r>
          </w:p>
        </w:tc>
        <w:tc>
          <w:tcPr>
            <w:tcW w:w="3742" w:type="dxa"/>
            <w:vAlign w:val="top"/>
          </w:tcPr>
          <w:p>
            <w:pPr>
              <w:pStyle w:val="TableText"/>
              <w:ind w:left="1391"/>
              <w:spacing w:before="99" w:line="218" w:lineRule="auto"/>
              <w:rPr/>
            </w:pPr>
            <w:r>
              <w:rPr>
                <w:b/>
                <w:bCs/>
                <w:spacing w:val="-5"/>
              </w:rPr>
              <w:t>裁量幅度</w:t>
            </w:r>
          </w:p>
        </w:tc>
      </w:tr>
      <w:tr>
        <w:trPr>
          <w:trHeight w:val="628" w:hRule="atLeast"/>
        </w:trPr>
        <w:tc>
          <w:tcPr>
            <w:tcW w:w="2173" w:type="dxa"/>
            <w:vAlign w:val="top"/>
          </w:tcPr>
          <w:p>
            <w:pPr>
              <w:pStyle w:val="TableText"/>
              <w:ind w:left="838"/>
              <w:spacing w:before="109" w:line="221" w:lineRule="auto"/>
              <w:rPr/>
            </w:pPr>
            <w:r>
              <w:rPr>
                <w:b/>
                <w:bCs/>
                <w:spacing w:val="-10"/>
              </w:rPr>
              <w:t>一般</w:t>
            </w:r>
          </w:p>
        </w:tc>
        <w:tc>
          <w:tcPr>
            <w:tcW w:w="7994" w:type="dxa"/>
            <w:vAlign w:val="top"/>
          </w:tcPr>
          <w:p>
            <w:pPr>
              <w:pStyle w:val="TableText"/>
              <w:ind w:left="92"/>
              <w:spacing w:before="102" w:line="219" w:lineRule="auto"/>
              <w:rPr/>
            </w:pPr>
            <w:r>
              <w:rPr>
                <w:spacing w:val="-1"/>
              </w:rPr>
              <w:t>拒绝服从卫生行政部门调遣。</w:t>
            </w:r>
          </w:p>
        </w:tc>
        <w:tc>
          <w:tcPr>
            <w:tcW w:w="3742" w:type="dxa"/>
            <w:vAlign w:val="top"/>
          </w:tcPr>
          <w:p>
            <w:pPr>
              <w:pStyle w:val="TableText"/>
              <w:ind w:left="107"/>
              <w:spacing w:before="99" w:line="218" w:lineRule="auto"/>
              <w:rPr/>
            </w:pPr>
            <w:r>
              <w:rPr/>
              <w:t>通报批评，给予警告。</w:t>
            </w:r>
          </w:p>
        </w:tc>
      </w:tr>
      <w:tr>
        <w:trPr>
          <w:trHeight w:val="1529" w:hRule="atLeast"/>
        </w:trPr>
        <w:tc>
          <w:tcPr>
            <w:tcW w:w="2173" w:type="dxa"/>
            <w:vAlign w:val="top"/>
          </w:tcPr>
          <w:p>
            <w:pPr>
              <w:spacing w:line="284" w:lineRule="auto"/>
              <w:rPr>
                <w:rFonts w:ascii="Arial"/>
                <w:sz w:val="21"/>
              </w:rPr>
            </w:pPr>
            <w:r/>
          </w:p>
          <w:p>
            <w:pPr>
              <w:spacing w:line="285" w:lineRule="auto"/>
              <w:rPr>
                <w:rFonts w:ascii="Arial"/>
                <w:sz w:val="21"/>
              </w:rPr>
            </w:pPr>
            <w:r/>
          </w:p>
          <w:p>
            <w:pPr>
              <w:pStyle w:val="TableText"/>
              <w:ind w:left="838"/>
              <w:spacing w:before="78" w:line="220" w:lineRule="auto"/>
              <w:rPr/>
            </w:pPr>
            <w:r>
              <w:rPr>
                <w:b/>
                <w:bCs/>
                <w:spacing w:val="-6"/>
              </w:rPr>
              <w:t>严重</w:t>
            </w:r>
          </w:p>
        </w:tc>
        <w:tc>
          <w:tcPr>
            <w:tcW w:w="7994" w:type="dxa"/>
            <w:vAlign w:val="top"/>
          </w:tcPr>
          <w:p>
            <w:pPr>
              <w:pStyle w:val="TableText"/>
              <w:ind w:left="121" w:right="138" w:firstLine="29"/>
              <w:spacing w:before="113" w:line="351" w:lineRule="auto"/>
              <w:jc w:val="both"/>
              <w:rPr/>
            </w:pPr>
            <w:r>
              <w:rPr/>
              <w:t>拒绝服从卫生行政部门调遣，严重妨碍传染性非典型肺炎治疗或流行病学</w:t>
            </w:r>
            <w:r>
              <w:rPr>
                <w:spacing w:val="12"/>
              </w:rPr>
              <w:t xml:space="preserve"> </w:t>
            </w:r>
            <w:r>
              <w:rPr>
                <w:spacing w:val="1"/>
              </w:rPr>
              <w:t>调查等相关防治工作的开展；造成传染性非典型肺炎传播、流行或者对社</w:t>
            </w:r>
            <w:r>
              <w:rPr>
                <w:spacing w:val="7"/>
              </w:rPr>
              <w:t xml:space="preserve"> </w:t>
            </w:r>
            <w:r>
              <w:rPr>
                <w:spacing w:val="-1"/>
              </w:rPr>
              <w:t>会公众健康造成其他严重危害后果。</w:t>
            </w:r>
          </w:p>
        </w:tc>
        <w:tc>
          <w:tcPr>
            <w:tcW w:w="3742" w:type="dxa"/>
            <w:vAlign w:val="top"/>
          </w:tcPr>
          <w:p>
            <w:pPr>
              <w:pStyle w:val="TableText"/>
              <w:ind w:left="68" w:right="4"/>
              <w:spacing w:before="131" w:line="340" w:lineRule="auto"/>
              <w:jc w:val="both"/>
              <w:rPr/>
            </w:pPr>
            <w:r>
              <w:rPr/>
              <w:t>依法吊销医疗机构执业许可证，对</w:t>
            </w:r>
            <w:r>
              <w:rPr>
                <w:spacing w:val="9"/>
              </w:rPr>
              <w:t xml:space="preserve"> </w:t>
            </w:r>
            <w:r>
              <w:rPr/>
              <w:t>有关医疗卫生人员，并由县级以上</w:t>
            </w:r>
            <w:r>
              <w:rPr>
                <w:spacing w:val="9"/>
              </w:rPr>
              <w:t xml:space="preserve"> </w:t>
            </w:r>
            <w:r>
              <w:rPr>
                <w:spacing w:val="3"/>
              </w:rPr>
              <w:t>卫生行政部门依法吊销执业证书。</w:t>
            </w:r>
          </w:p>
        </w:tc>
      </w:tr>
    </w:tbl>
    <w:p>
      <w:pPr>
        <w:pStyle w:val="BodyText"/>
        <w:rPr/>
      </w:pPr>
      <w:r/>
    </w:p>
    <w:p>
      <w:pPr>
        <w:sectPr>
          <w:footerReference w:type="default" r:id="rId219"/>
          <w:pgSz w:w="16830" w:h="11900"/>
          <w:pgMar w:top="1011" w:right="1369" w:bottom="1117" w:left="1405" w:header="0" w:footer="784" w:gutter="0"/>
        </w:sectPr>
        <w:rPr/>
      </w:pPr>
    </w:p>
    <w:p>
      <w:pPr>
        <w:pStyle w:val="BodyText"/>
        <w:spacing w:line="259" w:lineRule="auto"/>
        <w:rPr/>
      </w:pPr>
      <w:r/>
    </w:p>
    <w:p>
      <w:pPr>
        <w:pStyle w:val="BodyText"/>
        <w:spacing w:line="259" w:lineRule="auto"/>
        <w:rPr/>
      </w:pPr>
      <w:r/>
    </w:p>
    <w:p>
      <w:pPr>
        <w:pStyle w:val="BodyText"/>
        <w:spacing w:line="260" w:lineRule="auto"/>
        <w:rPr/>
      </w:pPr>
      <w:r/>
    </w:p>
    <w:p>
      <w:pPr>
        <w:ind w:left="689"/>
        <w:spacing w:before="97" w:line="220" w:lineRule="auto"/>
        <w:outlineLvl w:val="1"/>
        <w:rPr>
          <w:rFonts w:ascii="FangSong" w:hAnsi="FangSong" w:eastAsia="FangSong" w:cs="FangSong"/>
          <w:sz w:val="30"/>
          <w:szCs w:val="30"/>
        </w:rPr>
      </w:pPr>
      <w:bookmarkStart w:name="bookmark871" w:id="206"/>
      <w:bookmarkEnd w:id="206"/>
      <w:bookmarkStart w:name="bookmark186" w:id="207"/>
      <w:bookmarkEnd w:id="207"/>
      <w:r>
        <w:rPr>
          <w:rFonts w:ascii="FangSong" w:hAnsi="FangSong" w:eastAsia="FangSong" w:cs="FangSong"/>
          <w:sz w:val="30"/>
          <w:szCs w:val="30"/>
          <w:b/>
          <w:bCs/>
          <w:spacing w:val="16"/>
        </w:rPr>
        <w:t>第一百四十九条</w:t>
      </w:r>
      <w:r>
        <w:rPr>
          <w:rFonts w:ascii="FangSong" w:hAnsi="FangSong" w:eastAsia="FangSong" w:cs="FangSong"/>
          <w:sz w:val="30"/>
          <w:szCs w:val="30"/>
          <w:spacing w:val="16"/>
        </w:rPr>
        <w:t xml:space="preserve">  </w:t>
      </w:r>
      <w:r>
        <w:rPr>
          <w:rFonts w:ascii="FangSong" w:hAnsi="FangSong" w:eastAsia="FangSong" w:cs="FangSong"/>
          <w:sz w:val="30"/>
          <w:szCs w:val="30"/>
          <w:b/>
          <w:bCs/>
          <w:spacing w:val="16"/>
        </w:rPr>
        <w:t>未按照规定及时采取预防控制措施的</w:t>
      </w:r>
    </w:p>
    <w:p>
      <w:pPr>
        <w:ind w:left="675"/>
        <w:spacing w:before="100" w:line="222" w:lineRule="auto"/>
        <w:rPr>
          <w:rFonts w:ascii="FangSong" w:hAnsi="FangSong" w:eastAsia="FangSong" w:cs="FangSong"/>
          <w:sz w:val="30"/>
          <w:szCs w:val="30"/>
        </w:rPr>
      </w:pPr>
      <w:r>
        <w:rPr>
          <w:rFonts w:ascii="FangSong" w:hAnsi="FangSong" w:eastAsia="FangSong" w:cs="FangSong"/>
          <w:sz w:val="30"/>
          <w:szCs w:val="30"/>
        </w:rPr>
        <w:t>法律依据：</w:t>
      </w:r>
    </w:p>
    <w:p>
      <w:pPr>
        <w:ind w:left="15" w:firstLine="640"/>
        <w:spacing w:before="65" w:line="271" w:lineRule="auto"/>
        <w:jc w:val="both"/>
        <w:rPr>
          <w:rFonts w:ascii="FangSong" w:hAnsi="FangSong" w:eastAsia="FangSong" w:cs="FangSong"/>
          <w:sz w:val="30"/>
          <w:szCs w:val="30"/>
        </w:rPr>
      </w:pPr>
      <w:r>
        <w:rPr>
          <w:rFonts w:ascii="FangSong" w:hAnsi="FangSong" w:eastAsia="FangSong" w:cs="FangSong"/>
          <w:sz w:val="30"/>
          <w:szCs w:val="30"/>
          <w:spacing w:val="17"/>
        </w:rPr>
        <w:t>《传染性非典型肺炎防治管理办法》第三十七条</w:t>
      </w:r>
      <w:r>
        <w:rPr>
          <w:rFonts w:ascii="FangSong" w:hAnsi="FangSong" w:eastAsia="FangSong" w:cs="FangSong"/>
          <w:sz w:val="30"/>
          <w:szCs w:val="30"/>
          <w:spacing w:val="17"/>
        </w:rPr>
        <w:t xml:space="preserve">  </w:t>
      </w:r>
      <w:r>
        <w:rPr>
          <w:rFonts w:ascii="FangSong" w:hAnsi="FangSong" w:eastAsia="FangSong" w:cs="FangSong"/>
          <w:sz w:val="30"/>
          <w:szCs w:val="30"/>
          <w:spacing w:val="17"/>
        </w:rPr>
        <w:t>疾</w:t>
      </w:r>
      <w:r>
        <w:rPr>
          <w:rFonts w:ascii="FangSong" w:hAnsi="FangSong" w:eastAsia="FangSong" w:cs="FangSong"/>
          <w:sz w:val="30"/>
          <w:szCs w:val="30"/>
          <w:spacing w:val="16"/>
        </w:rPr>
        <w:t>病预防控制机构和医疗机构及其人员有下列</w:t>
      </w:r>
      <w:r>
        <w:rPr>
          <w:rFonts w:ascii="FangSong" w:hAnsi="FangSong" w:eastAsia="FangSong" w:cs="FangSong"/>
          <w:sz w:val="30"/>
          <w:szCs w:val="30"/>
        </w:rPr>
        <w:t xml:space="preserve"> </w:t>
      </w:r>
      <w:r>
        <w:rPr>
          <w:rFonts w:ascii="FangSong" w:hAnsi="FangSong" w:eastAsia="FangSong" w:cs="FangSong"/>
          <w:sz w:val="30"/>
          <w:szCs w:val="30"/>
          <w:spacing w:val="17"/>
        </w:rPr>
        <w:t>行为之一的，由县级以上卫生行政部门责令改正，通报批评，</w:t>
      </w:r>
      <w:r>
        <w:rPr>
          <w:rFonts w:ascii="FangSong" w:hAnsi="FangSong" w:eastAsia="FangSong" w:cs="FangSong"/>
          <w:sz w:val="30"/>
          <w:szCs w:val="30"/>
          <w:spacing w:val="16"/>
        </w:rPr>
        <w:t>给予警告；情节严重的，依法吊销医疗</w:t>
      </w:r>
      <w:r>
        <w:rPr>
          <w:rFonts w:ascii="FangSong" w:hAnsi="FangSong" w:eastAsia="FangSong" w:cs="FangSong"/>
          <w:sz w:val="30"/>
          <w:szCs w:val="30"/>
        </w:rPr>
        <w:t xml:space="preserve"> </w:t>
      </w:r>
      <w:r>
        <w:rPr>
          <w:rFonts w:ascii="FangSong" w:hAnsi="FangSong" w:eastAsia="FangSong" w:cs="FangSong"/>
          <w:sz w:val="30"/>
          <w:szCs w:val="30"/>
          <w:spacing w:val="19"/>
        </w:rPr>
        <w:t>机构执业许可证，并由有关部门对主要负责人给予降级或者撤职的行政处分；对有</w:t>
      </w:r>
      <w:r>
        <w:rPr>
          <w:rFonts w:ascii="FangSong" w:hAnsi="FangSong" w:eastAsia="FangSong" w:cs="FangSong"/>
          <w:sz w:val="30"/>
          <w:szCs w:val="30"/>
          <w:spacing w:val="18"/>
        </w:rPr>
        <w:t>关医疗卫生人员，</w:t>
      </w:r>
      <w:r>
        <w:rPr>
          <w:rFonts w:ascii="FangSong" w:hAnsi="FangSong" w:eastAsia="FangSong" w:cs="FangSong"/>
          <w:sz w:val="30"/>
          <w:szCs w:val="30"/>
        </w:rPr>
        <w:t xml:space="preserve"> </w:t>
      </w:r>
      <w:r>
        <w:rPr>
          <w:rFonts w:ascii="FangSong" w:hAnsi="FangSong" w:eastAsia="FangSong" w:cs="FangSong"/>
          <w:sz w:val="30"/>
          <w:szCs w:val="30"/>
          <w:spacing w:val="17"/>
        </w:rPr>
        <w:t>由其所在单位或者上级机关给予纪律处分，并由县级以上</w:t>
      </w:r>
      <w:r>
        <w:rPr>
          <w:rFonts w:ascii="FangSong" w:hAnsi="FangSong" w:eastAsia="FangSong" w:cs="FangSong"/>
          <w:sz w:val="30"/>
          <w:szCs w:val="30"/>
          <w:spacing w:val="16"/>
        </w:rPr>
        <w:t>卫生行政部门依法吊销执业证书；造成传染</w:t>
      </w:r>
      <w:r>
        <w:rPr>
          <w:rFonts w:ascii="FangSong" w:hAnsi="FangSong" w:eastAsia="FangSong" w:cs="FangSong"/>
          <w:sz w:val="30"/>
          <w:szCs w:val="30"/>
        </w:rPr>
        <w:t xml:space="preserve"> </w:t>
      </w:r>
      <w:r>
        <w:rPr>
          <w:rFonts w:ascii="FangSong" w:hAnsi="FangSong" w:eastAsia="FangSong" w:cs="FangSong"/>
          <w:sz w:val="30"/>
          <w:szCs w:val="30"/>
          <w:spacing w:val="16"/>
        </w:rPr>
        <w:t>性非典型肺炎传播、流行或者对社会公众健康造成其他严重危害后果，构成犯罪的，依法追究刑事责</w:t>
      </w:r>
      <w:r>
        <w:rPr>
          <w:rFonts w:ascii="FangSong" w:hAnsi="FangSong" w:eastAsia="FangSong" w:cs="FangSong"/>
          <w:sz w:val="30"/>
          <w:szCs w:val="30"/>
          <w:spacing w:val="2"/>
        </w:rPr>
        <w:t xml:space="preserve"> </w:t>
      </w:r>
      <w:r>
        <w:rPr>
          <w:rFonts w:ascii="FangSong" w:hAnsi="FangSong" w:eastAsia="FangSong" w:cs="FangSong"/>
          <w:sz w:val="30"/>
          <w:szCs w:val="30"/>
          <w:spacing w:val="-11"/>
        </w:rPr>
        <w:t>任：</w:t>
      </w:r>
    </w:p>
    <w:p>
      <w:pPr>
        <w:ind w:left="585"/>
        <w:spacing w:line="221" w:lineRule="auto"/>
        <w:rPr>
          <w:rFonts w:ascii="FangSong" w:hAnsi="FangSong" w:eastAsia="FangSong" w:cs="FangSong"/>
          <w:sz w:val="30"/>
          <w:szCs w:val="30"/>
        </w:rPr>
      </w:pPr>
      <w:r>
        <w:rPr>
          <w:rFonts w:ascii="FangSong" w:hAnsi="FangSong" w:eastAsia="FangSong" w:cs="FangSong"/>
          <w:sz w:val="30"/>
          <w:szCs w:val="30"/>
          <w:spacing w:val="29"/>
        </w:rPr>
        <w:t>(</w:t>
      </w:r>
      <w:r>
        <w:rPr>
          <w:rFonts w:ascii="FangSong" w:hAnsi="FangSong" w:eastAsia="FangSong" w:cs="FangSong"/>
          <w:sz w:val="30"/>
          <w:szCs w:val="30"/>
          <w:spacing w:val="-73"/>
        </w:rPr>
        <w:t xml:space="preserve"> </w:t>
      </w:r>
      <w:r>
        <w:rPr>
          <w:rFonts w:ascii="FangSong" w:hAnsi="FangSong" w:eastAsia="FangSong" w:cs="FangSong"/>
          <w:sz w:val="30"/>
          <w:szCs w:val="30"/>
          <w:spacing w:val="29"/>
        </w:rPr>
        <w:t>一)未按照规定及时采取预防控制措施。</w:t>
      </w:r>
    </w:p>
    <w:p>
      <w:pPr>
        <w:ind w:left="6439"/>
        <w:spacing w:before="290"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6" w:lineRule="auto"/>
        <w:rPr>
          <w:rFonts w:ascii="Arial"/>
          <w:sz w:val="2"/>
        </w:rPr>
      </w:pPr>
      <w:r>
        <w:rPr>
          <w:rFonts w:ascii="Arial"/>
          <w:sz w:val="2"/>
        </w:rPr>
      </w:r>
    </w:p>
    <w:tbl>
      <w:tblPr>
        <w:tblStyle w:val="TableNormal"/>
        <w:tblW w:w="139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04"/>
        <w:gridCol w:w="8034"/>
        <w:gridCol w:w="4321"/>
      </w:tblGrid>
      <w:tr>
        <w:trPr>
          <w:trHeight w:val="632" w:hRule="atLeast"/>
        </w:trPr>
        <w:tc>
          <w:tcPr>
            <w:tcW w:w="1604" w:type="dxa"/>
            <w:vAlign w:val="top"/>
          </w:tcPr>
          <w:p>
            <w:pPr>
              <w:pStyle w:val="TableText"/>
              <w:ind w:left="218"/>
              <w:spacing w:before="7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8034" w:type="dxa"/>
            <w:vAlign w:val="top"/>
          </w:tcPr>
          <w:p>
            <w:pPr>
              <w:pStyle w:val="TableText"/>
              <w:ind w:left="3454"/>
              <w:spacing w:before="92" w:line="220" w:lineRule="auto"/>
              <w:rPr/>
            </w:pPr>
            <w:r>
              <w:rPr>
                <w:b/>
                <w:bCs/>
                <w:spacing w:val="-5"/>
              </w:rPr>
              <w:t>情节后果</w:t>
            </w:r>
          </w:p>
        </w:tc>
        <w:tc>
          <w:tcPr>
            <w:tcW w:w="4321" w:type="dxa"/>
            <w:vAlign w:val="top"/>
          </w:tcPr>
          <w:p>
            <w:pPr>
              <w:pStyle w:val="TableText"/>
              <w:ind w:left="1580"/>
              <w:spacing w:before="7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787" w:hRule="atLeast"/>
        </w:trPr>
        <w:tc>
          <w:tcPr>
            <w:tcW w:w="1604" w:type="dxa"/>
            <w:vAlign w:val="top"/>
          </w:tcPr>
          <w:p>
            <w:pPr>
              <w:pStyle w:val="TableText"/>
              <w:ind w:left="558"/>
              <w:spacing w:before="170" w:line="221" w:lineRule="auto"/>
              <w:rPr/>
            </w:pPr>
            <w:r>
              <w:rPr>
                <w:b/>
                <w:bCs/>
                <w:spacing w:val="-10"/>
              </w:rPr>
              <w:t>一般</w:t>
            </w:r>
          </w:p>
        </w:tc>
        <w:tc>
          <w:tcPr>
            <w:tcW w:w="8034" w:type="dxa"/>
            <w:vAlign w:val="top"/>
          </w:tcPr>
          <w:p>
            <w:pPr>
              <w:pStyle w:val="TableText"/>
              <w:ind w:left="121"/>
              <w:spacing w:before="171" w:line="219" w:lineRule="auto"/>
              <w:rPr/>
            </w:pPr>
            <w:r>
              <w:rPr/>
              <w:t>未按照规定及时采取预防控制措施。</w:t>
            </w:r>
          </w:p>
        </w:tc>
        <w:tc>
          <w:tcPr>
            <w:tcW w:w="4321" w:type="dxa"/>
            <w:vAlign w:val="top"/>
          </w:tcPr>
          <w:p>
            <w:pPr>
              <w:pStyle w:val="TableText"/>
              <w:ind w:left="117"/>
              <w:spacing w:before="170" w:line="218" w:lineRule="auto"/>
              <w:rPr/>
            </w:pPr>
            <w:r>
              <w:rPr>
                <w:spacing w:val="-1"/>
              </w:rPr>
              <w:t>通报批评，给予警告。</w:t>
            </w:r>
          </w:p>
        </w:tc>
      </w:tr>
      <w:tr>
        <w:trPr>
          <w:trHeight w:val="1510" w:hRule="atLeast"/>
        </w:trPr>
        <w:tc>
          <w:tcPr>
            <w:tcW w:w="1604" w:type="dxa"/>
            <w:vAlign w:val="top"/>
          </w:tcPr>
          <w:p>
            <w:pPr>
              <w:spacing w:line="280" w:lineRule="auto"/>
              <w:rPr>
                <w:rFonts w:ascii="Arial"/>
                <w:sz w:val="21"/>
              </w:rPr>
            </w:pPr>
            <w:r/>
          </w:p>
          <w:p>
            <w:pPr>
              <w:spacing w:line="281" w:lineRule="auto"/>
              <w:rPr>
                <w:rFonts w:ascii="Arial"/>
                <w:sz w:val="21"/>
              </w:rPr>
            </w:pPr>
            <w:r/>
          </w:p>
          <w:p>
            <w:pPr>
              <w:pStyle w:val="TableText"/>
              <w:ind w:left="558"/>
              <w:spacing w:before="78" w:line="220" w:lineRule="auto"/>
              <w:rPr/>
            </w:pPr>
            <w:r>
              <w:rPr>
                <w:b/>
                <w:bCs/>
                <w:spacing w:val="-6"/>
              </w:rPr>
              <w:t>严重</w:t>
            </w:r>
          </w:p>
        </w:tc>
        <w:tc>
          <w:tcPr>
            <w:tcW w:w="8034" w:type="dxa"/>
            <w:vAlign w:val="top"/>
          </w:tcPr>
          <w:p>
            <w:pPr>
              <w:spacing w:line="255" w:lineRule="auto"/>
              <w:rPr>
                <w:rFonts w:ascii="Arial"/>
                <w:sz w:val="21"/>
              </w:rPr>
            </w:pPr>
            <w:r/>
          </w:p>
          <w:p>
            <w:pPr>
              <w:pStyle w:val="TableText"/>
              <w:ind w:left="121"/>
              <w:spacing w:before="78" w:line="348" w:lineRule="auto"/>
              <w:rPr/>
            </w:pPr>
            <w:r>
              <w:rPr>
                <w:spacing w:val="-1"/>
              </w:rPr>
              <w:t>未按照规定及时采取预防控制措施，造成传染性非典型肺炎传播、流行或者</w:t>
            </w:r>
            <w:r>
              <w:rPr>
                <w:spacing w:val="14"/>
              </w:rPr>
              <w:t xml:space="preserve"> </w:t>
            </w:r>
            <w:r>
              <w:rPr>
                <w:spacing w:val="-1"/>
              </w:rPr>
              <w:t>对社会公众健康造成其他严重危害后果。</w:t>
            </w:r>
          </w:p>
        </w:tc>
        <w:tc>
          <w:tcPr>
            <w:tcW w:w="4321" w:type="dxa"/>
            <w:vAlign w:val="top"/>
          </w:tcPr>
          <w:p>
            <w:pPr>
              <w:pStyle w:val="TableText"/>
              <w:ind w:left="117" w:right="102"/>
              <w:spacing w:before="106" w:line="347" w:lineRule="auto"/>
              <w:jc w:val="both"/>
              <w:rPr/>
            </w:pPr>
            <w:r>
              <w:rPr/>
              <w:t>依法吊销医疗机构执业许可证，对有关</w:t>
            </w:r>
            <w:r>
              <w:rPr>
                <w:spacing w:val="10"/>
              </w:rPr>
              <w:t xml:space="preserve"> </w:t>
            </w:r>
            <w:r>
              <w:rPr/>
              <w:t>医疗卫生人员，并由县级以上卫生行政</w:t>
            </w:r>
            <w:r>
              <w:rPr>
                <w:spacing w:val="9"/>
              </w:rPr>
              <w:t xml:space="preserve"> </w:t>
            </w:r>
            <w:r>
              <w:rPr>
                <w:spacing w:val="1"/>
              </w:rPr>
              <w:t>部门依法吊销执业证书。</w:t>
            </w:r>
          </w:p>
        </w:tc>
      </w:tr>
    </w:tbl>
    <w:p>
      <w:pPr>
        <w:pStyle w:val="BodyText"/>
        <w:rPr/>
      </w:pPr>
      <w:r/>
    </w:p>
    <w:p>
      <w:pPr>
        <w:sectPr>
          <w:footerReference w:type="default" r:id="rId220"/>
          <w:pgSz w:w="16830" w:h="11900"/>
          <w:pgMar w:top="1011" w:right="1370" w:bottom="1097" w:left="1414" w:header="0" w:footer="764" w:gutter="0"/>
        </w:sectPr>
        <w:rPr/>
      </w:pPr>
    </w:p>
    <w:p>
      <w:pPr>
        <w:pStyle w:val="BodyText"/>
        <w:spacing w:line="259" w:lineRule="auto"/>
        <w:rPr/>
      </w:pPr>
      <w:r/>
    </w:p>
    <w:p>
      <w:pPr>
        <w:pStyle w:val="BodyText"/>
        <w:spacing w:line="259" w:lineRule="auto"/>
        <w:rPr/>
      </w:pPr>
      <w:r/>
    </w:p>
    <w:p>
      <w:pPr>
        <w:pStyle w:val="BodyText"/>
        <w:spacing w:line="260" w:lineRule="auto"/>
        <w:rPr/>
      </w:pPr>
      <w:r/>
    </w:p>
    <w:p>
      <w:pPr>
        <w:ind w:left="689"/>
        <w:spacing w:before="97" w:line="220" w:lineRule="auto"/>
        <w:outlineLvl w:val="1"/>
        <w:rPr>
          <w:rFonts w:ascii="FangSong" w:hAnsi="FangSong" w:eastAsia="FangSong" w:cs="FangSong"/>
          <w:sz w:val="30"/>
          <w:szCs w:val="30"/>
        </w:rPr>
      </w:pPr>
      <w:bookmarkStart w:name="bookmark872" w:id="208"/>
      <w:bookmarkEnd w:id="208"/>
      <w:bookmarkStart w:name="bookmark186" w:id="209"/>
      <w:bookmarkEnd w:id="209"/>
      <w:r>
        <w:rPr>
          <w:rFonts w:ascii="FangSong" w:hAnsi="FangSong" w:eastAsia="FangSong" w:cs="FangSong"/>
          <w:sz w:val="30"/>
          <w:szCs w:val="30"/>
          <w:b/>
          <w:bCs/>
          <w:spacing w:val="15"/>
        </w:rPr>
        <w:t>第一百五十条</w:t>
      </w:r>
      <w:r>
        <w:rPr>
          <w:rFonts w:ascii="FangSong" w:hAnsi="FangSong" w:eastAsia="FangSong" w:cs="FangSong"/>
          <w:sz w:val="30"/>
          <w:szCs w:val="30"/>
          <w:spacing w:val="15"/>
        </w:rPr>
        <w:t xml:space="preserve">  </w:t>
      </w:r>
      <w:r>
        <w:rPr>
          <w:rFonts w:ascii="FangSong" w:hAnsi="FangSong" w:eastAsia="FangSong" w:cs="FangSong"/>
          <w:sz w:val="30"/>
          <w:szCs w:val="30"/>
          <w:b/>
          <w:bCs/>
          <w:spacing w:val="15"/>
        </w:rPr>
        <w:t>拒绝接诊病人或者疑似病人的</w:t>
      </w:r>
    </w:p>
    <w:p>
      <w:pPr>
        <w:ind w:left="675"/>
        <w:spacing w:before="129"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15" w:firstLine="640"/>
        <w:spacing w:before="84" w:line="270" w:lineRule="auto"/>
        <w:jc w:val="both"/>
        <w:rPr>
          <w:rFonts w:ascii="FangSong" w:hAnsi="FangSong" w:eastAsia="FangSong" w:cs="FangSong"/>
          <w:sz w:val="30"/>
          <w:szCs w:val="30"/>
        </w:rPr>
      </w:pPr>
      <w:r>
        <w:rPr>
          <w:rFonts w:ascii="FangSong" w:hAnsi="FangSong" w:eastAsia="FangSong" w:cs="FangSong"/>
          <w:sz w:val="30"/>
          <w:szCs w:val="30"/>
          <w:spacing w:val="17"/>
        </w:rPr>
        <w:t>《传染性非典型肺炎防治管理办法》第三十七条</w:t>
      </w:r>
      <w:r>
        <w:rPr>
          <w:rFonts w:ascii="FangSong" w:hAnsi="FangSong" w:eastAsia="FangSong" w:cs="FangSong"/>
          <w:sz w:val="30"/>
          <w:szCs w:val="30"/>
          <w:spacing w:val="17"/>
        </w:rPr>
        <w:t xml:space="preserve">  </w:t>
      </w:r>
      <w:r>
        <w:rPr>
          <w:rFonts w:ascii="FangSong" w:hAnsi="FangSong" w:eastAsia="FangSong" w:cs="FangSong"/>
          <w:sz w:val="30"/>
          <w:szCs w:val="30"/>
          <w:spacing w:val="17"/>
        </w:rPr>
        <w:t>疾</w:t>
      </w:r>
      <w:r>
        <w:rPr>
          <w:rFonts w:ascii="FangSong" w:hAnsi="FangSong" w:eastAsia="FangSong" w:cs="FangSong"/>
          <w:sz w:val="30"/>
          <w:szCs w:val="30"/>
          <w:spacing w:val="16"/>
        </w:rPr>
        <w:t>病预防控制机构和医疗机构及其人员有下列</w:t>
      </w:r>
      <w:r>
        <w:rPr>
          <w:rFonts w:ascii="FangSong" w:hAnsi="FangSong" w:eastAsia="FangSong" w:cs="FangSong"/>
          <w:sz w:val="30"/>
          <w:szCs w:val="30"/>
        </w:rPr>
        <w:t xml:space="preserve"> </w:t>
      </w:r>
      <w:r>
        <w:rPr>
          <w:rFonts w:ascii="FangSong" w:hAnsi="FangSong" w:eastAsia="FangSong" w:cs="FangSong"/>
          <w:sz w:val="30"/>
          <w:szCs w:val="30"/>
          <w:spacing w:val="17"/>
        </w:rPr>
        <w:t>行为之一的，由县级以上卫生行政部门责令改正，通报批评，</w:t>
      </w:r>
      <w:r>
        <w:rPr>
          <w:rFonts w:ascii="FangSong" w:hAnsi="FangSong" w:eastAsia="FangSong" w:cs="FangSong"/>
          <w:sz w:val="30"/>
          <w:szCs w:val="30"/>
          <w:spacing w:val="16"/>
        </w:rPr>
        <w:t>给予警告；情节严重的，依法吊销医疗</w:t>
      </w:r>
      <w:r>
        <w:rPr>
          <w:rFonts w:ascii="FangSong" w:hAnsi="FangSong" w:eastAsia="FangSong" w:cs="FangSong"/>
          <w:sz w:val="30"/>
          <w:szCs w:val="30"/>
        </w:rPr>
        <w:t xml:space="preserve"> </w:t>
      </w:r>
      <w:r>
        <w:rPr>
          <w:rFonts w:ascii="FangSong" w:hAnsi="FangSong" w:eastAsia="FangSong" w:cs="FangSong"/>
          <w:sz w:val="30"/>
          <w:szCs w:val="30"/>
          <w:spacing w:val="19"/>
        </w:rPr>
        <w:t>机构执业许可证，并由有关部门对主要负责人给予降级或者撤职的行政处分；对有</w:t>
      </w:r>
      <w:r>
        <w:rPr>
          <w:rFonts w:ascii="FangSong" w:hAnsi="FangSong" w:eastAsia="FangSong" w:cs="FangSong"/>
          <w:sz w:val="30"/>
          <w:szCs w:val="30"/>
          <w:spacing w:val="18"/>
        </w:rPr>
        <w:t>关医疗卫生人员，</w:t>
      </w:r>
      <w:r>
        <w:rPr>
          <w:rFonts w:ascii="FangSong" w:hAnsi="FangSong" w:eastAsia="FangSong" w:cs="FangSong"/>
          <w:sz w:val="30"/>
          <w:szCs w:val="30"/>
        </w:rPr>
        <w:t xml:space="preserve"> </w:t>
      </w:r>
      <w:r>
        <w:rPr>
          <w:rFonts w:ascii="FangSong" w:hAnsi="FangSong" w:eastAsia="FangSong" w:cs="FangSong"/>
          <w:sz w:val="30"/>
          <w:szCs w:val="30"/>
          <w:spacing w:val="17"/>
        </w:rPr>
        <w:t>由其所在单位或者上级机关给予纪律处分，并由县级以上</w:t>
      </w:r>
      <w:r>
        <w:rPr>
          <w:rFonts w:ascii="FangSong" w:hAnsi="FangSong" w:eastAsia="FangSong" w:cs="FangSong"/>
          <w:sz w:val="30"/>
          <w:szCs w:val="30"/>
          <w:spacing w:val="16"/>
        </w:rPr>
        <w:t>卫生行政部门依法吊销执业证书；造成传染</w:t>
      </w:r>
      <w:r>
        <w:rPr>
          <w:rFonts w:ascii="FangSong" w:hAnsi="FangSong" w:eastAsia="FangSong" w:cs="FangSong"/>
          <w:sz w:val="30"/>
          <w:szCs w:val="30"/>
        </w:rPr>
        <w:t xml:space="preserve"> </w:t>
      </w:r>
      <w:r>
        <w:rPr>
          <w:rFonts w:ascii="FangSong" w:hAnsi="FangSong" w:eastAsia="FangSong" w:cs="FangSong"/>
          <w:sz w:val="30"/>
          <w:szCs w:val="30"/>
          <w:spacing w:val="16"/>
        </w:rPr>
        <w:t>性非典型肺炎传播、流行或者对社会公众健康造成其他严重危害后果，构成犯罪的，依法追究刑事责</w:t>
      </w:r>
      <w:r>
        <w:rPr>
          <w:rFonts w:ascii="FangSong" w:hAnsi="FangSong" w:eastAsia="FangSong" w:cs="FangSong"/>
          <w:sz w:val="30"/>
          <w:szCs w:val="30"/>
          <w:spacing w:val="2"/>
        </w:rPr>
        <w:t xml:space="preserve"> </w:t>
      </w:r>
      <w:r>
        <w:rPr>
          <w:rFonts w:ascii="FangSong" w:hAnsi="FangSong" w:eastAsia="FangSong" w:cs="FangSong"/>
          <w:sz w:val="30"/>
          <w:szCs w:val="30"/>
          <w:spacing w:val="-5"/>
        </w:rPr>
        <w:t>任：</w:t>
      </w:r>
    </w:p>
    <w:p>
      <w:pPr>
        <w:ind w:left="794"/>
        <w:spacing w:line="223" w:lineRule="auto"/>
        <w:rPr>
          <w:rFonts w:ascii="FangSong" w:hAnsi="FangSong" w:eastAsia="FangSong" w:cs="FangSong"/>
          <w:sz w:val="30"/>
          <w:szCs w:val="30"/>
        </w:rPr>
      </w:pPr>
      <w:r>
        <w:rPr>
          <w:rFonts w:ascii="FangSong" w:hAnsi="FangSong" w:eastAsia="FangSong" w:cs="FangSong"/>
          <w:sz w:val="30"/>
          <w:szCs w:val="30"/>
          <w:spacing w:val="25"/>
        </w:rPr>
        <w:t>(四)拒绝接诊病人或者疑似病人。</w:t>
      </w:r>
    </w:p>
    <w:p>
      <w:pPr>
        <w:ind w:left="6439"/>
        <w:spacing w:before="255"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64"/>
        <w:gridCol w:w="7774"/>
        <w:gridCol w:w="4621"/>
      </w:tblGrid>
      <w:tr>
        <w:trPr>
          <w:trHeight w:val="663" w:hRule="atLeast"/>
        </w:trPr>
        <w:tc>
          <w:tcPr>
            <w:tcW w:w="1564" w:type="dxa"/>
            <w:vAlign w:val="top"/>
          </w:tcPr>
          <w:p>
            <w:pPr>
              <w:pStyle w:val="TableText"/>
              <w:ind w:left="278"/>
              <w:spacing w:before="102" w:line="220" w:lineRule="auto"/>
              <w:rPr>
                <w:sz w:val="25"/>
                <w:szCs w:val="25"/>
              </w:rPr>
            </w:pPr>
            <w:r>
              <w:rPr>
                <w:sz w:val="25"/>
                <w:szCs w:val="25"/>
                <w:b/>
                <w:bCs/>
                <w:spacing w:val="-5"/>
              </w:rPr>
              <w:t>违法程度</w:t>
            </w:r>
          </w:p>
        </w:tc>
        <w:tc>
          <w:tcPr>
            <w:tcW w:w="7774" w:type="dxa"/>
            <w:vAlign w:val="top"/>
          </w:tcPr>
          <w:p>
            <w:pPr>
              <w:pStyle w:val="TableText"/>
              <w:ind w:left="3324"/>
              <w:spacing w:before="112" w:line="220" w:lineRule="auto"/>
              <w:rPr>
                <w:sz w:val="25"/>
                <w:szCs w:val="25"/>
              </w:rPr>
            </w:pPr>
            <w:r>
              <w:rPr>
                <w:sz w:val="25"/>
                <w:szCs w:val="25"/>
                <w:b/>
                <w:bCs/>
                <w:spacing w:val="-5"/>
              </w:rPr>
              <w:t>情节后果</w:t>
            </w:r>
          </w:p>
        </w:tc>
        <w:tc>
          <w:tcPr>
            <w:tcW w:w="4621" w:type="dxa"/>
            <w:vAlign w:val="top"/>
          </w:tcPr>
          <w:p>
            <w:pPr>
              <w:pStyle w:val="TableText"/>
              <w:ind w:left="1810"/>
              <w:spacing w:before="99" w:line="218" w:lineRule="auto"/>
              <w:rPr>
                <w:sz w:val="25"/>
                <w:szCs w:val="25"/>
              </w:rPr>
            </w:pPr>
            <w:r>
              <w:rPr>
                <w:sz w:val="25"/>
                <w:szCs w:val="25"/>
                <w:b/>
                <w:bCs/>
                <w:spacing w:val="-5"/>
              </w:rPr>
              <w:t>裁量幅度</w:t>
            </w:r>
          </w:p>
        </w:tc>
      </w:tr>
      <w:tr>
        <w:trPr>
          <w:trHeight w:val="638" w:hRule="atLeast"/>
        </w:trPr>
        <w:tc>
          <w:tcPr>
            <w:tcW w:w="1564" w:type="dxa"/>
            <w:vAlign w:val="top"/>
          </w:tcPr>
          <w:p>
            <w:pPr>
              <w:pStyle w:val="TableText"/>
              <w:ind w:left="528"/>
              <w:spacing w:before="110" w:line="221" w:lineRule="auto"/>
              <w:rPr>
                <w:sz w:val="25"/>
                <w:szCs w:val="25"/>
              </w:rPr>
            </w:pPr>
            <w:r>
              <w:rPr>
                <w:sz w:val="25"/>
                <w:szCs w:val="25"/>
                <w:b/>
                <w:bCs/>
                <w:spacing w:val="-10"/>
              </w:rPr>
              <w:t>一般</w:t>
            </w:r>
          </w:p>
        </w:tc>
        <w:tc>
          <w:tcPr>
            <w:tcW w:w="7774" w:type="dxa"/>
            <w:vAlign w:val="top"/>
          </w:tcPr>
          <w:p>
            <w:pPr>
              <w:pStyle w:val="TableText"/>
              <w:ind w:left="110"/>
              <w:spacing w:before="113" w:line="220" w:lineRule="auto"/>
              <w:rPr>
                <w:sz w:val="25"/>
                <w:szCs w:val="25"/>
              </w:rPr>
            </w:pPr>
            <w:r>
              <w:rPr>
                <w:sz w:val="25"/>
                <w:szCs w:val="25"/>
              </w:rPr>
              <w:t>拒绝接诊病人或者疑似病人。</w:t>
            </w:r>
          </w:p>
        </w:tc>
        <w:tc>
          <w:tcPr>
            <w:tcW w:w="4621" w:type="dxa"/>
            <w:vAlign w:val="top"/>
          </w:tcPr>
          <w:p>
            <w:pPr>
              <w:pStyle w:val="TableText"/>
              <w:ind w:left="116"/>
              <w:spacing w:before="110" w:line="218" w:lineRule="auto"/>
              <w:rPr>
                <w:sz w:val="25"/>
                <w:szCs w:val="25"/>
              </w:rPr>
            </w:pPr>
            <w:r>
              <w:rPr>
                <w:sz w:val="25"/>
                <w:szCs w:val="25"/>
                <w:spacing w:val="-1"/>
              </w:rPr>
              <w:t>通报批评，给予警告。</w:t>
            </w:r>
          </w:p>
        </w:tc>
      </w:tr>
      <w:tr>
        <w:trPr>
          <w:trHeight w:val="1529" w:hRule="atLeast"/>
        </w:trPr>
        <w:tc>
          <w:tcPr>
            <w:tcW w:w="1564" w:type="dxa"/>
            <w:vAlign w:val="top"/>
          </w:tcPr>
          <w:p>
            <w:pPr>
              <w:spacing w:line="278" w:lineRule="auto"/>
              <w:rPr>
                <w:rFonts w:ascii="Arial"/>
                <w:sz w:val="21"/>
              </w:rPr>
            </w:pPr>
            <w:r/>
          </w:p>
          <w:p>
            <w:pPr>
              <w:spacing w:line="278" w:lineRule="auto"/>
              <w:rPr>
                <w:rFonts w:ascii="Arial"/>
                <w:sz w:val="21"/>
              </w:rPr>
            </w:pPr>
            <w:r/>
          </w:p>
          <w:p>
            <w:pPr>
              <w:pStyle w:val="TableText"/>
              <w:ind w:left="528"/>
              <w:spacing w:before="82" w:line="220" w:lineRule="auto"/>
              <w:rPr>
                <w:sz w:val="25"/>
                <w:szCs w:val="25"/>
              </w:rPr>
            </w:pPr>
            <w:r>
              <w:rPr>
                <w:sz w:val="25"/>
                <w:szCs w:val="25"/>
                <w:b/>
                <w:bCs/>
                <w:spacing w:val="-6"/>
              </w:rPr>
              <w:t>严重</w:t>
            </w:r>
          </w:p>
        </w:tc>
        <w:tc>
          <w:tcPr>
            <w:tcW w:w="7774" w:type="dxa"/>
            <w:vAlign w:val="top"/>
          </w:tcPr>
          <w:p>
            <w:pPr>
              <w:spacing w:line="269" w:lineRule="auto"/>
              <w:rPr>
                <w:rFonts w:ascii="Arial"/>
                <w:sz w:val="21"/>
              </w:rPr>
            </w:pPr>
            <w:r/>
          </w:p>
          <w:p>
            <w:pPr>
              <w:pStyle w:val="TableText"/>
              <w:ind w:left="110"/>
              <w:spacing w:before="81" w:line="327" w:lineRule="auto"/>
              <w:rPr>
                <w:sz w:val="25"/>
                <w:szCs w:val="25"/>
              </w:rPr>
            </w:pPr>
            <w:r>
              <w:rPr>
                <w:sz w:val="25"/>
                <w:szCs w:val="25"/>
                <w:spacing w:val="-3"/>
              </w:rPr>
              <w:t>拒绝接诊病人或者疑似病人，造成传染性非典型肺炎传播、</w:t>
            </w:r>
            <w:r>
              <w:rPr>
                <w:sz w:val="25"/>
                <w:szCs w:val="25"/>
                <w:spacing w:val="-4"/>
              </w:rPr>
              <w:t>流行或者对</w:t>
            </w:r>
            <w:r>
              <w:rPr>
                <w:sz w:val="25"/>
                <w:szCs w:val="25"/>
              </w:rPr>
              <w:t xml:space="preserve"> </w:t>
            </w:r>
            <w:r>
              <w:rPr>
                <w:sz w:val="25"/>
                <w:szCs w:val="25"/>
              </w:rPr>
              <w:t>社会公众健康造成其他严重危害后果。</w:t>
            </w:r>
          </w:p>
        </w:tc>
        <w:tc>
          <w:tcPr>
            <w:tcW w:w="4621" w:type="dxa"/>
            <w:vAlign w:val="top"/>
          </w:tcPr>
          <w:p>
            <w:pPr>
              <w:pStyle w:val="TableText"/>
              <w:ind w:left="57" w:right="25"/>
              <w:spacing w:before="133" w:line="326" w:lineRule="auto"/>
              <w:jc w:val="both"/>
              <w:rPr>
                <w:sz w:val="25"/>
                <w:szCs w:val="25"/>
              </w:rPr>
            </w:pPr>
            <w:r>
              <w:rPr>
                <w:sz w:val="25"/>
                <w:szCs w:val="25"/>
              </w:rPr>
              <w:t>依法吊销医疗机构执业许可证，对有关医</w:t>
            </w:r>
            <w:r>
              <w:rPr>
                <w:sz w:val="25"/>
                <w:szCs w:val="25"/>
                <w:spacing w:val="14"/>
              </w:rPr>
              <w:t xml:space="preserve"> </w:t>
            </w:r>
            <w:r>
              <w:rPr>
                <w:sz w:val="25"/>
                <w:szCs w:val="25"/>
                <w:spacing w:val="1"/>
              </w:rPr>
              <w:t>疗卫生人员，并由县级以上卫生行政部门</w:t>
            </w:r>
            <w:r>
              <w:rPr>
                <w:sz w:val="25"/>
                <w:szCs w:val="25"/>
                <w:spacing w:val="9"/>
              </w:rPr>
              <w:t xml:space="preserve"> </w:t>
            </w:r>
            <w:r>
              <w:rPr>
                <w:sz w:val="25"/>
                <w:szCs w:val="25"/>
                <w:spacing w:val="6"/>
              </w:rPr>
              <w:t>依法吊销执业证书。</w:t>
            </w:r>
          </w:p>
        </w:tc>
      </w:tr>
    </w:tbl>
    <w:p>
      <w:pPr>
        <w:pStyle w:val="BodyText"/>
        <w:rPr/>
      </w:pPr>
      <w:r/>
    </w:p>
    <w:p>
      <w:pPr>
        <w:sectPr>
          <w:footerReference w:type="default" r:id="rId221"/>
          <w:pgSz w:w="16830" w:h="11900"/>
          <w:pgMar w:top="1011" w:right="1370" w:bottom="1097" w:left="1414" w:header="0" w:footer="764" w:gutter="0"/>
        </w:sectPr>
        <w:rPr/>
      </w:pPr>
    </w:p>
    <w:p>
      <w:pPr>
        <w:pStyle w:val="BodyText"/>
        <w:spacing w:line="259" w:lineRule="auto"/>
        <w:rPr/>
      </w:pPr>
      <w:r/>
    </w:p>
    <w:p>
      <w:pPr>
        <w:pStyle w:val="BodyText"/>
        <w:spacing w:line="259" w:lineRule="auto"/>
        <w:rPr/>
      </w:pPr>
      <w:r/>
    </w:p>
    <w:p>
      <w:pPr>
        <w:pStyle w:val="BodyText"/>
        <w:spacing w:line="260" w:lineRule="auto"/>
        <w:rPr/>
      </w:pPr>
      <w:r/>
    </w:p>
    <w:p>
      <w:pPr>
        <w:ind w:left="699"/>
        <w:spacing w:before="97" w:line="220" w:lineRule="auto"/>
        <w:outlineLvl w:val="1"/>
        <w:rPr>
          <w:rFonts w:ascii="FangSong" w:hAnsi="FangSong" w:eastAsia="FangSong" w:cs="FangSong"/>
          <w:sz w:val="30"/>
          <w:szCs w:val="30"/>
        </w:rPr>
      </w:pPr>
      <w:bookmarkStart w:name="bookmark873" w:id="210"/>
      <w:bookmarkEnd w:id="210"/>
      <w:bookmarkStart w:name="bookmark186" w:id="211"/>
      <w:bookmarkEnd w:id="211"/>
      <w:r>
        <w:rPr>
          <w:rFonts w:ascii="FangSong" w:hAnsi="FangSong" w:eastAsia="FangSong" w:cs="FangSong"/>
          <w:sz w:val="30"/>
          <w:szCs w:val="30"/>
          <w:b/>
          <w:bCs/>
          <w:spacing w:val="15"/>
        </w:rPr>
        <w:t>第一百五十一条</w:t>
      </w:r>
      <w:r>
        <w:rPr>
          <w:rFonts w:ascii="FangSong" w:hAnsi="FangSong" w:eastAsia="FangSong" w:cs="FangSong"/>
          <w:sz w:val="30"/>
          <w:szCs w:val="30"/>
          <w:spacing w:val="15"/>
        </w:rPr>
        <w:t xml:space="preserve">  </w:t>
      </w:r>
      <w:r>
        <w:rPr>
          <w:rFonts w:ascii="FangSong" w:hAnsi="FangSong" w:eastAsia="FangSong" w:cs="FangSong"/>
          <w:sz w:val="30"/>
          <w:szCs w:val="30"/>
          <w:b/>
          <w:bCs/>
          <w:spacing w:val="15"/>
        </w:rPr>
        <w:t>未按照规定履行监测职责的</w:t>
      </w:r>
    </w:p>
    <w:p>
      <w:pPr>
        <w:ind w:left="684"/>
        <w:spacing w:before="129"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25" w:firstLine="640"/>
        <w:spacing w:before="78" w:line="266" w:lineRule="auto"/>
        <w:jc w:val="both"/>
        <w:rPr>
          <w:rFonts w:ascii="FangSong" w:hAnsi="FangSong" w:eastAsia="FangSong" w:cs="FangSong"/>
          <w:sz w:val="30"/>
          <w:szCs w:val="30"/>
        </w:rPr>
      </w:pPr>
      <w:r>
        <w:rPr>
          <w:rFonts w:ascii="FangSong" w:hAnsi="FangSong" w:eastAsia="FangSong" w:cs="FangSong"/>
          <w:sz w:val="30"/>
          <w:szCs w:val="30"/>
          <w:spacing w:val="17"/>
        </w:rPr>
        <w:t>《传染性非典型肺炎防治管理办法》第三十七条</w:t>
      </w:r>
      <w:r>
        <w:rPr>
          <w:rFonts w:ascii="FangSong" w:hAnsi="FangSong" w:eastAsia="FangSong" w:cs="FangSong"/>
          <w:sz w:val="30"/>
          <w:szCs w:val="30"/>
          <w:spacing w:val="17"/>
        </w:rPr>
        <w:t xml:space="preserve">  </w:t>
      </w:r>
      <w:r>
        <w:rPr>
          <w:rFonts w:ascii="FangSong" w:hAnsi="FangSong" w:eastAsia="FangSong" w:cs="FangSong"/>
          <w:sz w:val="30"/>
          <w:szCs w:val="30"/>
          <w:spacing w:val="17"/>
        </w:rPr>
        <w:t>疾</w:t>
      </w:r>
      <w:r>
        <w:rPr>
          <w:rFonts w:ascii="FangSong" w:hAnsi="FangSong" w:eastAsia="FangSong" w:cs="FangSong"/>
          <w:sz w:val="30"/>
          <w:szCs w:val="30"/>
          <w:spacing w:val="16"/>
        </w:rPr>
        <w:t>病预防控制机构和医疗机构及其人员有下列</w:t>
      </w:r>
      <w:r>
        <w:rPr>
          <w:rFonts w:ascii="FangSong" w:hAnsi="FangSong" w:eastAsia="FangSong" w:cs="FangSong"/>
          <w:sz w:val="30"/>
          <w:szCs w:val="30"/>
        </w:rPr>
        <w:t xml:space="preserve"> </w:t>
      </w:r>
      <w:r>
        <w:rPr>
          <w:rFonts w:ascii="FangSong" w:hAnsi="FangSong" w:eastAsia="FangSong" w:cs="FangSong"/>
          <w:sz w:val="30"/>
          <w:szCs w:val="30"/>
          <w:spacing w:val="17"/>
        </w:rPr>
        <w:t>行为之一的，由县级以上卫生行政部门责令改正，通报批评，</w:t>
      </w:r>
      <w:r>
        <w:rPr>
          <w:rFonts w:ascii="FangSong" w:hAnsi="FangSong" w:eastAsia="FangSong" w:cs="FangSong"/>
          <w:sz w:val="30"/>
          <w:szCs w:val="30"/>
          <w:spacing w:val="16"/>
        </w:rPr>
        <w:t>给予警告；情节严重的，依法吊销医疗</w:t>
      </w:r>
      <w:r>
        <w:rPr>
          <w:rFonts w:ascii="FangSong" w:hAnsi="FangSong" w:eastAsia="FangSong" w:cs="FangSong"/>
          <w:sz w:val="30"/>
          <w:szCs w:val="30"/>
        </w:rPr>
        <w:t xml:space="preserve"> </w:t>
      </w:r>
      <w:r>
        <w:rPr>
          <w:rFonts w:ascii="FangSong" w:hAnsi="FangSong" w:eastAsia="FangSong" w:cs="FangSong"/>
          <w:sz w:val="30"/>
          <w:szCs w:val="30"/>
          <w:spacing w:val="19"/>
        </w:rPr>
        <w:t>机构执业许可证，并由有关部门对主要负责人给予降级或者撤职的行政处分；对有</w:t>
      </w:r>
      <w:r>
        <w:rPr>
          <w:rFonts w:ascii="FangSong" w:hAnsi="FangSong" w:eastAsia="FangSong" w:cs="FangSong"/>
          <w:sz w:val="30"/>
          <w:szCs w:val="30"/>
          <w:spacing w:val="18"/>
        </w:rPr>
        <w:t>关医疗卫生人员，</w:t>
      </w:r>
      <w:r>
        <w:rPr>
          <w:rFonts w:ascii="FangSong" w:hAnsi="FangSong" w:eastAsia="FangSong" w:cs="FangSong"/>
          <w:sz w:val="30"/>
          <w:szCs w:val="30"/>
        </w:rPr>
        <w:t xml:space="preserve"> </w:t>
      </w:r>
      <w:r>
        <w:rPr>
          <w:rFonts w:ascii="FangSong" w:hAnsi="FangSong" w:eastAsia="FangSong" w:cs="FangSong"/>
          <w:sz w:val="30"/>
          <w:szCs w:val="30"/>
          <w:spacing w:val="17"/>
        </w:rPr>
        <w:t>由其所在单位或者上级机关给予纪律处分，并由县级以上</w:t>
      </w:r>
      <w:r>
        <w:rPr>
          <w:rFonts w:ascii="FangSong" w:hAnsi="FangSong" w:eastAsia="FangSong" w:cs="FangSong"/>
          <w:sz w:val="30"/>
          <w:szCs w:val="30"/>
          <w:spacing w:val="16"/>
        </w:rPr>
        <w:t>卫生行政部门依法吊销执业证书；造成传染</w:t>
      </w:r>
      <w:r>
        <w:rPr>
          <w:rFonts w:ascii="FangSong" w:hAnsi="FangSong" w:eastAsia="FangSong" w:cs="FangSong"/>
          <w:sz w:val="30"/>
          <w:szCs w:val="30"/>
        </w:rPr>
        <w:t xml:space="preserve"> </w:t>
      </w:r>
      <w:r>
        <w:rPr>
          <w:rFonts w:ascii="FangSong" w:hAnsi="FangSong" w:eastAsia="FangSong" w:cs="FangSong"/>
          <w:sz w:val="30"/>
          <w:szCs w:val="30"/>
          <w:spacing w:val="16"/>
        </w:rPr>
        <w:t>性非典型肺炎传播、流行或者对社会公众健康造成其他严重危害后果，构成犯罪的，依法追究刑事责</w:t>
      </w:r>
      <w:r>
        <w:rPr>
          <w:rFonts w:ascii="FangSong" w:hAnsi="FangSong" w:eastAsia="FangSong" w:cs="FangSong"/>
          <w:sz w:val="30"/>
          <w:szCs w:val="30"/>
          <w:spacing w:val="2"/>
        </w:rPr>
        <w:t xml:space="preserve"> </w:t>
      </w:r>
      <w:r>
        <w:rPr>
          <w:rFonts w:ascii="FangSong" w:hAnsi="FangSong" w:eastAsia="FangSong" w:cs="FangSong"/>
          <w:sz w:val="30"/>
          <w:szCs w:val="30"/>
          <w:spacing w:val="-11"/>
        </w:rPr>
        <w:t>任：</w:t>
      </w:r>
    </w:p>
    <w:p>
      <w:pPr>
        <w:ind w:left="584"/>
        <w:spacing w:before="41" w:line="221" w:lineRule="auto"/>
        <w:rPr>
          <w:rFonts w:ascii="FangSong" w:hAnsi="FangSong" w:eastAsia="FangSong" w:cs="FangSong"/>
          <w:sz w:val="30"/>
          <w:szCs w:val="30"/>
        </w:rPr>
      </w:pPr>
      <w:r>
        <w:rPr>
          <w:rFonts w:ascii="FangSong" w:hAnsi="FangSong" w:eastAsia="FangSong" w:cs="FangSong"/>
          <w:sz w:val="30"/>
          <w:szCs w:val="30"/>
          <w:spacing w:val="36"/>
        </w:rPr>
        <w:t>(二)未按照规定履行监测职责。</w:t>
      </w:r>
    </w:p>
    <w:p>
      <w:pPr>
        <w:ind w:left="6449"/>
        <w:spacing w:before="292"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93"/>
        <w:gridCol w:w="5856"/>
        <w:gridCol w:w="6420"/>
      </w:tblGrid>
      <w:tr>
        <w:trPr>
          <w:trHeight w:val="632" w:hRule="atLeast"/>
        </w:trPr>
        <w:tc>
          <w:tcPr>
            <w:tcW w:w="1693" w:type="dxa"/>
            <w:vAlign w:val="top"/>
          </w:tcPr>
          <w:p>
            <w:pPr>
              <w:pStyle w:val="TableText"/>
              <w:ind w:left="358"/>
              <w:spacing w:before="82" w:line="220" w:lineRule="auto"/>
              <w:rPr/>
            </w:pPr>
            <w:r>
              <w:rPr>
                <w:b/>
                <w:bCs/>
                <w:spacing w:val="-5"/>
              </w:rPr>
              <w:t>违法程度</w:t>
            </w:r>
          </w:p>
        </w:tc>
        <w:tc>
          <w:tcPr>
            <w:tcW w:w="5856" w:type="dxa"/>
            <w:vAlign w:val="top"/>
          </w:tcPr>
          <w:p>
            <w:pPr>
              <w:pStyle w:val="TableText"/>
              <w:ind w:left="2445"/>
              <w:spacing w:before="92" w:line="220" w:lineRule="auto"/>
              <w:rPr/>
            </w:pPr>
            <w:r>
              <w:rPr>
                <w:b/>
                <w:bCs/>
                <w:spacing w:val="-5"/>
              </w:rPr>
              <w:t>情节后果</w:t>
            </w:r>
          </w:p>
        </w:tc>
        <w:tc>
          <w:tcPr>
            <w:tcW w:w="6420" w:type="dxa"/>
            <w:vAlign w:val="top"/>
          </w:tcPr>
          <w:p>
            <w:pPr>
              <w:pStyle w:val="TableText"/>
              <w:ind w:left="2659"/>
              <w:spacing w:before="79" w:line="218" w:lineRule="auto"/>
              <w:rPr/>
            </w:pPr>
            <w:r>
              <w:rPr>
                <w:b/>
                <w:bCs/>
                <w:spacing w:val="-5"/>
              </w:rPr>
              <w:t>裁量幅度</w:t>
            </w:r>
          </w:p>
        </w:tc>
      </w:tr>
      <w:tr>
        <w:trPr>
          <w:trHeight w:val="637" w:hRule="atLeast"/>
        </w:trPr>
        <w:tc>
          <w:tcPr>
            <w:tcW w:w="1693" w:type="dxa"/>
            <w:vAlign w:val="top"/>
          </w:tcPr>
          <w:p>
            <w:pPr>
              <w:pStyle w:val="TableText"/>
              <w:ind w:left="598"/>
              <w:spacing w:before="110" w:line="221" w:lineRule="auto"/>
              <w:rPr/>
            </w:pPr>
            <w:r>
              <w:rPr>
                <w:b/>
                <w:bCs/>
                <w:spacing w:val="-10"/>
              </w:rPr>
              <w:t>一般</w:t>
            </w:r>
          </w:p>
        </w:tc>
        <w:tc>
          <w:tcPr>
            <w:tcW w:w="5856" w:type="dxa"/>
            <w:vAlign w:val="top"/>
          </w:tcPr>
          <w:p>
            <w:pPr>
              <w:pStyle w:val="TableText"/>
              <w:ind w:left="121"/>
              <w:spacing w:before="112" w:line="219" w:lineRule="auto"/>
              <w:rPr/>
            </w:pPr>
            <w:r>
              <w:rPr>
                <w:spacing w:val="-1"/>
              </w:rPr>
              <w:t>未按照规定履行监测职责。</w:t>
            </w:r>
          </w:p>
        </w:tc>
        <w:tc>
          <w:tcPr>
            <w:tcW w:w="6420" w:type="dxa"/>
            <w:vAlign w:val="top"/>
          </w:tcPr>
          <w:p>
            <w:pPr>
              <w:pStyle w:val="TableText"/>
              <w:ind w:left="135"/>
              <w:spacing w:before="110" w:line="218" w:lineRule="auto"/>
              <w:rPr/>
            </w:pPr>
            <w:r>
              <w:rPr>
                <w:spacing w:val="-1"/>
              </w:rPr>
              <w:t>通报批评，给予警告。</w:t>
            </w:r>
          </w:p>
        </w:tc>
      </w:tr>
      <w:tr>
        <w:trPr>
          <w:trHeight w:val="1090" w:hRule="atLeast"/>
        </w:trPr>
        <w:tc>
          <w:tcPr>
            <w:tcW w:w="1693" w:type="dxa"/>
            <w:vAlign w:val="top"/>
          </w:tcPr>
          <w:p>
            <w:pPr>
              <w:spacing w:line="352" w:lineRule="auto"/>
              <w:rPr>
                <w:rFonts w:ascii="Arial"/>
                <w:sz w:val="21"/>
              </w:rPr>
            </w:pPr>
            <w:r/>
          </w:p>
          <w:p>
            <w:pPr>
              <w:pStyle w:val="TableText"/>
              <w:ind w:left="598"/>
              <w:spacing w:before="78" w:line="220" w:lineRule="auto"/>
              <w:rPr/>
            </w:pPr>
            <w:r>
              <w:rPr>
                <w:b/>
                <w:bCs/>
                <w:spacing w:val="-6"/>
              </w:rPr>
              <w:t>严重</w:t>
            </w:r>
          </w:p>
        </w:tc>
        <w:tc>
          <w:tcPr>
            <w:tcW w:w="5856" w:type="dxa"/>
            <w:vAlign w:val="top"/>
          </w:tcPr>
          <w:p>
            <w:pPr>
              <w:pStyle w:val="TableText"/>
              <w:ind w:left="101" w:firstLine="59"/>
              <w:spacing w:before="135" w:line="340" w:lineRule="auto"/>
              <w:rPr/>
            </w:pPr>
            <w:r>
              <w:rPr/>
              <w:t>未按照规定履行监测职责，造成传染性非典</w:t>
            </w:r>
            <w:r>
              <w:rPr>
                <w:spacing w:val="-1"/>
              </w:rPr>
              <w:t>型肺炎传</w:t>
            </w:r>
            <w:r>
              <w:rPr/>
              <w:t xml:space="preserve">  </w:t>
            </w:r>
            <w:r>
              <w:rPr>
                <w:spacing w:val="-1"/>
              </w:rPr>
              <w:t>播、流行或者对社会公众健康造成其他严重危害后果。</w:t>
            </w:r>
          </w:p>
        </w:tc>
        <w:tc>
          <w:tcPr>
            <w:tcW w:w="6420" w:type="dxa"/>
            <w:vAlign w:val="top"/>
          </w:tcPr>
          <w:p>
            <w:pPr>
              <w:pStyle w:val="TableText"/>
              <w:ind w:left="135" w:right="25" w:hanging="20"/>
              <w:spacing w:before="133" w:line="356" w:lineRule="auto"/>
              <w:rPr/>
            </w:pPr>
            <w:r>
              <w:rPr>
                <w:spacing w:val="1"/>
              </w:rPr>
              <w:t>依法吊销医疗机构执业许可证，对有关医疗卫生人员，并由 </w:t>
            </w:r>
            <w:r>
              <w:rPr/>
              <w:t>县级以上卫生行政部门依法吊销执业证书。</w:t>
            </w:r>
          </w:p>
        </w:tc>
      </w:tr>
    </w:tbl>
    <w:p>
      <w:pPr>
        <w:pStyle w:val="BodyText"/>
        <w:rPr/>
      </w:pPr>
      <w:r/>
    </w:p>
    <w:p>
      <w:pPr>
        <w:sectPr>
          <w:footerReference w:type="default" r:id="rId222"/>
          <w:pgSz w:w="16830" w:h="11900"/>
          <w:pgMar w:top="1011" w:right="1370" w:bottom="1097" w:left="1405" w:header="0" w:footer="764" w:gutter="0"/>
        </w:sectPr>
        <w:rPr/>
      </w:pPr>
    </w:p>
    <w:p>
      <w:pPr>
        <w:pStyle w:val="BodyText"/>
        <w:spacing w:line="261" w:lineRule="auto"/>
        <w:rPr/>
      </w:pPr>
      <w:r/>
    </w:p>
    <w:p>
      <w:pPr>
        <w:pStyle w:val="BodyText"/>
        <w:spacing w:line="262" w:lineRule="auto"/>
        <w:rPr/>
      </w:pPr>
      <w:r/>
    </w:p>
    <w:p>
      <w:pPr>
        <w:pStyle w:val="BodyText"/>
        <w:spacing w:line="262" w:lineRule="auto"/>
        <w:rPr/>
      </w:pPr>
      <w:r/>
    </w:p>
    <w:p>
      <w:pPr>
        <w:ind w:left="669"/>
        <w:spacing w:before="100" w:line="220" w:lineRule="auto"/>
        <w:outlineLvl w:val="1"/>
        <w:rPr>
          <w:rFonts w:ascii="FangSong" w:hAnsi="FangSong" w:eastAsia="FangSong" w:cs="FangSong"/>
          <w:sz w:val="31"/>
          <w:szCs w:val="31"/>
        </w:rPr>
      </w:pPr>
      <w:bookmarkStart w:name="bookmark874" w:id="212"/>
      <w:bookmarkEnd w:id="212"/>
      <w:bookmarkStart w:name="bookmark133" w:id="213"/>
      <w:bookmarkEnd w:id="213"/>
      <w:bookmarkStart w:name="bookmark186" w:id="214"/>
      <w:bookmarkEnd w:id="214"/>
      <w:r>
        <w:rPr>
          <w:rFonts w:ascii="FangSong" w:hAnsi="FangSong" w:eastAsia="FangSong" w:cs="FangSong"/>
          <w:sz w:val="31"/>
          <w:szCs w:val="31"/>
          <w:b/>
          <w:bCs/>
          <w:spacing w:val="7"/>
        </w:rPr>
        <w:t>第一百五十二条</w:t>
      </w:r>
      <w:r>
        <w:rPr>
          <w:rFonts w:ascii="FangSong" w:hAnsi="FangSong" w:eastAsia="FangSong" w:cs="FangSong"/>
          <w:sz w:val="31"/>
          <w:szCs w:val="31"/>
          <w:spacing w:val="7"/>
        </w:rPr>
        <w:t xml:space="preserve">  </w:t>
      </w:r>
      <w:r>
        <w:rPr>
          <w:rFonts w:ascii="FangSong" w:hAnsi="FangSong" w:eastAsia="FangSong" w:cs="FangSong"/>
          <w:sz w:val="31"/>
          <w:szCs w:val="31"/>
          <w:b/>
          <w:bCs/>
          <w:spacing w:val="7"/>
        </w:rPr>
        <w:t>对传染性非典型肺炎病原体污染的污水、污物、粪便不按规定进行消毒处理</w:t>
      </w:r>
    </w:p>
    <w:p>
      <w:pPr>
        <w:ind w:left="14"/>
        <w:spacing w:before="75" w:line="227" w:lineRule="auto"/>
        <w:rPr>
          <w:rFonts w:ascii="FangSong" w:hAnsi="FangSong" w:eastAsia="FangSong" w:cs="FangSong"/>
          <w:sz w:val="31"/>
          <w:szCs w:val="31"/>
        </w:rPr>
      </w:pPr>
      <w:r>
        <w:rPr>
          <w:rFonts w:ascii="FangSong" w:hAnsi="FangSong" w:eastAsia="FangSong" w:cs="FangSong"/>
          <w:sz w:val="31"/>
          <w:szCs w:val="31"/>
        </w:rPr>
        <w:t>的</w:t>
      </w:r>
    </w:p>
    <w:p>
      <w:pPr>
        <w:ind w:left="675"/>
        <w:spacing w:before="91"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14" w:firstLine="625"/>
        <w:spacing w:before="90" w:line="268" w:lineRule="auto"/>
        <w:jc w:val="both"/>
        <w:rPr>
          <w:rFonts w:ascii="FangSong" w:hAnsi="FangSong" w:eastAsia="FangSong" w:cs="FangSong"/>
          <w:sz w:val="27"/>
          <w:szCs w:val="27"/>
        </w:rPr>
      </w:pPr>
      <w:r>
        <w:rPr>
          <w:rFonts w:ascii="FangSong" w:hAnsi="FangSong" w:eastAsia="FangSong" w:cs="FangSong"/>
          <w:sz w:val="31"/>
          <w:szCs w:val="31"/>
          <w:spacing w:val="7"/>
        </w:rPr>
        <w:t>《传染性非典型肺炎防治管理办法》第三十八条</w:t>
      </w:r>
      <w:r>
        <w:rPr>
          <w:rFonts w:ascii="FangSong" w:hAnsi="FangSong" w:eastAsia="FangSong" w:cs="FangSong"/>
          <w:sz w:val="31"/>
          <w:szCs w:val="31"/>
          <w:spacing w:val="7"/>
        </w:rPr>
        <w:t xml:space="preserve">  </w:t>
      </w:r>
      <w:r>
        <w:rPr>
          <w:rFonts w:ascii="FangSong" w:hAnsi="FangSong" w:eastAsia="FangSong" w:cs="FangSong"/>
          <w:sz w:val="31"/>
          <w:szCs w:val="31"/>
          <w:spacing w:val="7"/>
        </w:rPr>
        <w:t>有关单位和人员有下列行为之一的，由县级以</w:t>
      </w:r>
      <w:r>
        <w:rPr>
          <w:rFonts w:ascii="FangSong" w:hAnsi="FangSong" w:eastAsia="FangSong" w:cs="FangSong"/>
          <w:sz w:val="31"/>
          <w:szCs w:val="31"/>
          <w:spacing w:val="9"/>
        </w:rPr>
        <w:t xml:space="preserve"> </w:t>
      </w:r>
      <w:r>
        <w:rPr>
          <w:rFonts w:ascii="FangSong" w:hAnsi="FangSong" w:eastAsia="FangSong" w:cs="FangSong"/>
          <w:sz w:val="31"/>
          <w:szCs w:val="31"/>
          <w:spacing w:val="7"/>
        </w:rPr>
        <w:t>上卫生行政部门责令改正，可以处五千元以下罚款，情节</w:t>
      </w:r>
      <w:r>
        <w:rPr>
          <w:rFonts w:ascii="FangSong" w:hAnsi="FangSong" w:eastAsia="FangSong" w:cs="FangSong"/>
          <w:sz w:val="31"/>
          <w:szCs w:val="31"/>
          <w:spacing w:val="6"/>
        </w:rPr>
        <w:t>较严重的，可以处五千元以上两万元以下的</w:t>
      </w:r>
      <w:r>
        <w:rPr>
          <w:rFonts w:ascii="FangSong" w:hAnsi="FangSong" w:eastAsia="FangSong" w:cs="FangSong"/>
          <w:sz w:val="31"/>
          <w:szCs w:val="31"/>
        </w:rPr>
        <w:t xml:space="preserve"> </w:t>
      </w:r>
      <w:r>
        <w:rPr>
          <w:rFonts w:ascii="FangSong" w:hAnsi="FangSong" w:eastAsia="FangSong" w:cs="FangSong"/>
          <w:sz w:val="31"/>
          <w:szCs w:val="31"/>
          <w:spacing w:val="7"/>
        </w:rPr>
        <w:t>罚款；对主管人员和直接责任人员，由所在单位或有关部门给予行政处分；构成犯罪的，依法追究刑</w:t>
      </w:r>
      <w:r>
        <w:rPr>
          <w:rFonts w:ascii="FangSong" w:hAnsi="FangSong" w:eastAsia="FangSong" w:cs="FangSong"/>
          <w:sz w:val="31"/>
          <w:szCs w:val="31"/>
          <w:spacing w:val="7"/>
        </w:rPr>
        <w:t xml:space="preserve"> </w:t>
      </w:r>
      <w:r>
        <w:rPr>
          <w:rFonts w:ascii="FangSong" w:hAnsi="FangSong" w:eastAsia="FangSong" w:cs="FangSong"/>
          <w:sz w:val="27"/>
          <w:szCs w:val="27"/>
          <w:spacing w:val="26"/>
        </w:rPr>
        <w:t>事责任：</w:t>
      </w:r>
    </w:p>
    <w:p>
      <w:pPr>
        <w:ind w:left="784"/>
        <w:spacing w:line="220" w:lineRule="auto"/>
        <w:rPr>
          <w:rFonts w:ascii="FangSong" w:hAnsi="FangSong" w:eastAsia="FangSong" w:cs="FangSong"/>
          <w:sz w:val="31"/>
          <w:szCs w:val="31"/>
        </w:rPr>
      </w:pPr>
      <w:r>
        <w:rPr>
          <w:rFonts w:ascii="FangSong" w:hAnsi="FangSong" w:eastAsia="FangSong" w:cs="FangSong"/>
          <w:sz w:val="31"/>
          <w:szCs w:val="31"/>
          <w:spacing w:val="14"/>
        </w:rPr>
        <w:t>(一)对传染性非典型肺炎病原体污染的污水、污物</w:t>
      </w:r>
      <w:r>
        <w:rPr>
          <w:rFonts w:ascii="FangSong" w:hAnsi="FangSong" w:eastAsia="FangSong" w:cs="FangSong"/>
          <w:sz w:val="31"/>
          <w:szCs w:val="31"/>
          <w:spacing w:val="13"/>
        </w:rPr>
        <w:t>、粪便不按规定进行消毒处理。</w:t>
      </w:r>
    </w:p>
    <w:p>
      <w:pPr>
        <w:ind w:left="6419"/>
        <w:spacing w:before="262"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94"/>
        <w:gridCol w:w="10602"/>
        <w:gridCol w:w="2313"/>
      </w:tblGrid>
      <w:tr>
        <w:trPr>
          <w:trHeight w:val="1101" w:hRule="atLeast"/>
        </w:trPr>
        <w:tc>
          <w:tcPr>
            <w:tcW w:w="994" w:type="dxa"/>
            <w:vAlign w:val="top"/>
          </w:tcPr>
          <w:p>
            <w:pPr>
              <w:pStyle w:val="TableText"/>
              <w:ind w:left="238"/>
              <w:spacing w:before="79" w:line="225" w:lineRule="auto"/>
              <w:rPr>
                <w:sz w:val="25"/>
                <w:szCs w:val="25"/>
              </w:rPr>
            </w:pPr>
            <w:r>
              <w:rPr>
                <w:sz w:val="25"/>
                <w:szCs w:val="25"/>
                <w:b/>
                <w:bCs/>
                <w:spacing w:val="-6"/>
              </w:rPr>
              <w:t>违法</w:t>
            </w:r>
          </w:p>
          <w:p>
            <w:pPr>
              <w:pStyle w:val="TableText"/>
              <w:ind w:left="238"/>
              <w:spacing w:before="138" w:line="220" w:lineRule="auto"/>
              <w:rPr>
                <w:sz w:val="25"/>
                <w:szCs w:val="25"/>
              </w:rPr>
            </w:pPr>
            <w:r>
              <w:rPr>
                <w:sz w:val="25"/>
                <w:szCs w:val="25"/>
                <w:b/>
                <w:bCs/>
                <w:spacing w:val="-5"/>
              </w:rPr>
              <w:t>程度</w:t>
            </w:r>
          </w:p>
        </w:tc>
        <w:tc>
          <w:tcPr>
            <w:tcW w:w="10602" w:type="dxa"/>
            <w:vAlign w:val="top"/>
          </w:tcPr>
          <w:p>
            <w:pPr>
              <w:spacing w:line="349" w:lineRule="auto"/>
              <w:rPr>
                <w:rFonts w:ascii="Arial"/>
                <w:sz w:val="21"/>
              </w:rPr>
            </w:pPr>
            <w:r/>
          </w:p>
          <w:p>
            <w:pPr>
              <w:pStyle w:val="TableText"/>
              <w:ind w:left="4794"/>
              <w:spacing w:before="81" w:line="220" w:lineRule="auto"/>
              <w:rPr>
                <w:sz w:val="25"/>
                <w:szCs w:val="25"/>
              </w:rPr>
            </w:pPr>
            <w:r>
              <w:rPr>
                <w:sz w:val="25"/>
                <w:szCs w:val="25"/>
                <w:b/>
                <w:bCs/>
                <w:spacing w:val="-5"/>
              </w:rPr>
              <w:t>情节后果</w:t>
            </w:r>
          </w:p>
        </w:tc>
        <w:tc>
          <w:tcPr>
            <w:tcW w:w="2313" w:type="dxa"/>
            <w:vAlign w:val="top"/>
          </w:tcPr>
          <w:p>
            <w:pPr>
              <w:spacing w:line="346" w:lineRule="auto"/>
              <w:rPr>
                <w:rFonts w:ascii="Arial"/>
                <w:sz w:val="21"/>
              </w:rPr>
            </w:pPr>
            <w:r/>
          </w:p>
          <w:p>
            <w:pPr>
              <w:pStyle w:val="TableText"/>
              <w:ind w:left="652"/>
              <w:spacing w:before="81" w:line="218" w:lineRule="auto"/>
              <w:rPr>
                <w:sz w:val="25"/>
                <w:szCs w:val="25"/>
              </w:rPr>
            </w:pPr>
            <w:r>
              <w:rPr>
                <w:sz w:val="25"/>
                <w:szCs w:val="25"/>
                <w:b/>
                <w:bCs/>
                <w:spacing w:val="-5"/>
              </w:rPr>
              <w:t>裁量幅度</w:t>
            </w:r>
          </w:p>
        </w:tc>
      </w:tr>
      <w:tr>
        <w:trPr>
          <w:trHeight w:val="1076" w:hRule="atLeast"/>
        </w:trPr>
        <w:tc>
          <w:tcPr>
            <w:tcW w:w="994" w:type="dxa"/>
            <w:vAlign w:val="top"/>
          </w:tcPr>
          <w:p>
            <w:pPr>
              <w:pStyle w:val="TableText"/>
              <w:ind w:left="238"/>
              <w:spacing w:before="312" w:line="221" w:lineRule="auto"/>
              <w:rPr>
                <w:sz w:val="25"/>
                <w:szCs w:val="25"/>
              </w:rPr>
            </w:pPr>
            <w:r>
              <w:rPr>
                <w:sz w:val="25"/>
                <w:szCs w:val="25"/>
                <w:b/>
                <w:bCs/>
                <w:spacing w:val="-10"/>
              </w:rPr>
              <w:t>一般</w:t>
            </w:r>
          </w:p>
        </w:tc>
        <w:tc>
          <w:tcPr>
            <w:tcW w:w="10602" w:type="dxa"/>
            <w:vAlign w:val="top"/>
          </w:tcPr>
          <w:p>
            <w:pPr>
              <w:pStyle w:val="TableText"/>
              <w:ind w:left="99" w:hanging="89"/>
              <w:spacing w:before="112" w:line="312" w:lineRule="auto"/>
              <w:rPr>
                <w:sz w:val="25"/>
                <w:szCs w:val="25"/>
              </w:rPr>
            </w:pPr>
            <w:r>
              <w:rPr>
                <w:sz w:val="25"/>
                <w:szCs w:val="25"/>
                <w:spacing w:val="-4"/>
              </w:rPr>
              <w:t>对传染性非典型肺炎病原体污染的污水、污物、粪便不按规定进行消毒处理，未造成传染性非典型</w:t>
            </w:r>
            <w:r>
              <w:rPr>
                <w:sz w:val="25"/>
                <w:szCs w:val="25"/>
                <w:spacing w:val="2"/>
              </w:rPr>
              <w:t xml:space="preserve"> </w:t>
            </w:r>
            <w:r>
              <w:rPr>
                <w:sz w:val="25"/>
                <w:szCs w:val="25"/>
                <w:spacing w:val="-2"/>
              </w:rPr>
              <w:t>肺炎传播。</w:t>
            </w:r>
          </w:p>
        </w:tc>
        <w:tc>
          <w:tcPr>
            <w:tcW w:w="2313" w:type="dxa"/>
            <w:vAlign w:val="top"/>
          </w:tcPr>
          <w:p>
            <w:pPr>
              <w:pStyle w:val="TableText"/>
              <w:ind w:left="118" w:right="137" w:firstLine="30"/>
              <w:spacing w:before="114" w:line="314" w:lineRule="auto"/>
              <w:rPr>
                <w:sz w:val="25"/>
                <w:szCs w:val="25"/>
              </w:rPr>
            </w:pPr>
            <w:r>
              <w:rPr>
                <w:sz w:val="25"/>
                <w:szCs w:val="25"/>
                <w:spacing w:val="2"/>
              </w:rPr>
              <w:t>可以处五千元以下</w:t>
            </w:r>
            <w:r>
              <w:rPr>
                <w:sz w:val="25"/>
                <w:szCs w:val="25"/>
              </w:rPr>
              <w:t xml:space="preserve"> </w:t>
            </w:r>
            <w:r>
              <w:rPr>
                <w:sz w:val="25"/>
                <w:szCs w:val="25"/>
                <w:spacing w:val="-2"/>
              </w:rPr>
              <w:t>罚款。</w:t>
            </w:r>
          </w:p>
        </w:tc>
      </w:tr>
      <w:tr>
        <w:trPr>
          <w:trHeight w:val="1082" w:hRule="atLeast"/>
        </w:trPr>
        <w:tc>
          <w:tcPr>
            <w:tcW w:w="994" w:type="dxa"/>
            <w:vAlign w:val="top"/>
          </w:tcPr>
          <w:p>
            <w:pPr>
              <w:spacing w:line="342" w:lineRule="auto"/>
              <w:rPr>
                <w:rFonts w:ascii="Arial"/>
                <w:sz w:val="21"/>
              </w:rPr>
            </w:pPr>
            <w:r/>
          </w:p>
          <w:p>
            <w:pPr>
              <w:pStyle w:val="TableText"/>
              <w:ind w:left="238"/>
              <w:spacing w:before="81" w:line="220" w:lineRule="auto"/>
              <w:rPr>
                <w:sz w:val="25"/>
                <w:szCs w:val="25"/>
              </w:rPr>
            </w:pPr>
            <w:r>
              <w:rPr>
                <w:sz w:val="25"/>
                <w:szCs w:val="25"/>
                <w:b/>
                <w:bCs/>
                <w:spacing w:val="-6"/>
              </w:rPr>
              <w:t>严重</w:t>
            </w:r>
          </w:p>
        </w:tc>
        <w:tc>
          <w:tcPr>
            <w:tcW w:w="10602" w:type="dxa"/>
            <w:vAlign w:val="top"/>
          </w:tcPr>
          <w:p>
            <w:pPr>
              <w:pStyle w:val="TableText"/>
              <w:ind w:left="109" w:hanging="99"/>
              <w:spacing w:before="107" w:line="334" w:lineRule="auto"/>
              <w:rPr>
                <w:sz w:val="25"/>
                <w:szCs w:val="25"/>
              </w:rPr>
            </w:pPr>
            <w:r>
              <w:rPr>
                <w:sz w:val="25"/>
                <w:szCs w:val="25"/>
                <w:spacing w:val="-4"/>
              </w:rPr>
              <w:t>对传染性非典型肺炎病原体污染的污水、污物、粪便不按规定进行消毒处理，造成传染性非典型肺</w:t>
            </w:r>
            <w:r>
              <w:rPr>
                <w:sz w:val="25"/>
                <w:szCs w:val="25"/>
                <w:spacing w:val="2"/>
              </w:rPr>
              <w:t xml:space="preserve"> </w:t>
            </w:r>
            <w:r>
              <w:rPr>
                <w:sz w:val="25"/>
                <w:szCs w:val="25"/>
                <w:spacing w:val="-1"/>
              </w:rPr>
              <w:t>炎传播、暴发、流行。</w:t>
            </w:r>
          </w:p>
        </w:tc>
        <w:tc>
          <w:tcPr>
            <w:tcW w:w="2313" w:type="dxa"/>
            <w:vAlign w:val="top"/>
          </w:tcPr>
          <w:p>
            <w:pPr>
              <w:pStyle w:val="TableText"/>
              <w:ind w:left="88" w:firstLine="59"/>
              <w:spacing w:before="110" w:line="349" w:lineRule="auto"/>
              <w:rPr>
                <w:sz w:val="25"/>
                <w:szCs w:val="25"/>
              </w:rPr>
            </w:pPr>
            <w:r>
              <w:rPr>
                <w:sz w:val="25"/>
                <w:szCs w:val="25"/>
                <w:spacing w:val="-3"/>
              </w:rPr>
              <w:t>可以处五千元以上</w:t>
            </w:r>
            <w:r>
              <w:rPr>
                <w:sz w:val="25"/>
                <w:szCs w:val="25"/>
                <w:spacing w:val="2"/>
              </w:rPr>
              <w:t xml:space="preserve">  </w:t>
            </w:r>
            <w:r>
              <w:rPr>
                <w:sz w:val="25"/>
                <w:szCs w:val="25"/>
                <w:spacing w:val="-4"/>
              </w:rPr>
              <w:t>两万元以下的罚款。</w:t>
            </w:r>
          </w:p>
        </w:tc>
      </w:tr>
    </w:tbl>
    <w:p>
      <w:pPr>
        <w:pStyle w:val="BodyText"/>
        <w:rPr/>
      </w:pPr>
      <w:r/>
    </w:p>
    <w:p>
      <w:pPr>
        <w:sectPr>
          <w:footerReference w:type="default" r:id="rId223"/>
          <w:pgSz w:w="16830" w:h="11900"/>
          <w:pgMar w:top="1011" w:right="1433" w:bottom="1114" w:left="1425" w:header="0" w:footer="772" w:gutter="0"/>
        </w:sectPr>
        <w:rPr/>
      </w:pPr>
    </w:p>
    <w:p>
      <w:pPr>
        <w:pStyle w:val="BodyText"/>
        <w:spacing w:line="258" w:lineRule="auto"/>
        <w:rPr/>
      </w:pPr>
      <w:r/>
    </w:p>
    <w:p>
      <w:pPr>
        <w:pStyle w:val="BodyText"/>
        <w:spacing w:line="258" w:lineRule="auto"/>
        <w:rPr/>
      </w:pPr>
      <w:r/>
    </w:p>
    <w:p>
      <w:pPr>
        <w:pStyle w:val="BodyText"/>
        <w:spacing w:line="259" w:lineRule="auto"/>
        <w:rPr/>
      </w:pPr>
      <w:r/>
    </w:p>
    <w:p>
      <w:pPr>
        <w:ind w:left="689"/>
        <w:spacing w:before="101" w:line="220" w:lineRule="auto"/>
        <w:outlineLvl w:val="1"/>
        <w:rPr>
          <w:rFonts w:ascii="FangSong" w:hAnsi="FangSong" w:eastAsia="FangSong" w:cs="FangSong"/>
          <w:sz w:val="31"/>
          <w:szCs w:val="31"/>
        </w:rPr>
      </w:pPr>
      <w:bookmarkStart w:name="bookmark875" w:id="215"/>
      <w:bookmarkEnd w:id="215"/>
      <w:bookmarkStart w:name="bookmark186" w:id="216"/>
      <w:bookmarkEnd w:id="216"/>
      <w:r>
        <w:rPr>
          <w:rFonts w:ascii="FangSong" w:hAnsi="FangSong" w:eastAsia="FangSong" w:cs="FangSong"/>
          <w:sz w:val="31"/>
          <w:szCs w:val="31"/>
          <w:b/>
          <w:bCs/>
          <w:spacing w:val="10"/>
        </w:rPr>
        <w:t>第一百五十三条造成传染性非典型肺炎的医源性感染、医院内感染、实验室感染或者致病性微</w:t>
      </w:r>
    </w:p>
    <w:p>
      <w:pPr>
        <w:ind w:left="39"/>
        <w:spacing w:before="71" w:line="221" w:lineRule="auto"/>
        <w:rPr>
          <w:rFonts w:ascii="FangSong" w:hAnsi="FangSong" w:eastAsia="FangSong" w:cs="FangSong"/>
          <w:sz w:val="31"/>
          <w:szCs w:val="31"/>
        </w:rPr>
      </w:pPr>
      <w:r>
        <w:rPr>
          <w:rFonts w:ascii="FangSong" w:hAnsi="FangSong" w:eastAsia="FangSong" w:cs="FangSong"/>
          <w:sz w:val="31"/>
          <w:szCs w:val="31"/>
          <w:b/>
          <w:bCs/>
          <w:spacing w:val="3"/>
        </w:rPr>
        <w:t>生物扩散的</w:t>
      </w:r>
    </w:p>
    <w:p>
      <w:pPr>
        <w:ind w:left="685"/>
        <w:spacing w:before="105"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35" w:right="48" w:firstLine="624"/>
        <w:spacing w:before="100" w:line="267" w:lineRule="auto"/>
        <w:jc w:val="both"/>
        <w:rPr>
          <w:rFonts w:ascii="FangSong" w:hAnsi="FangSong" w:eastAsia="FangSong" w:cs="FangSong"/>
          <w:sz w:val="27"/>
          <w:szCs w:val="27"/>
        </w:rPr>
      </w:pPr>
      <w:r>
        <w:rPr>
          <w:rFonts w:ascii="FangSong" w:hAnsi="FangSong" w:eastAsia="FangSong" w:cs="FangSong"/>
          <w:sz w:val="31"/>
          <w:szCs w:val="31"/>
          <w:spacing w:val="7"/>
        </w:rPr>
        <w:t>《传染性非典型肺炎防治管理办法》第三十八条</w:t>
      </w:r>
      <w:r>
        <w:rPr>
          <w:rFonts w:ascii="FangSong" w:hAnsi="FangSong" w:eastAsia="FangSong" w:cs="FangSong"/>
          <w:sz w:val="31"/>
          <w:szCs w:val="31"/>
          <w:spacing w:val="7"/>
        </w:rPr>
        <w:t xml:space="preserve">  </w:t>
      </w:r>
      <w:r>
        <w:rPr>
          <w:rFonts w:ascii="FangSong" w:hAnsi="FangSong" w:eastAsia="FangSong" w:cs="FangSong"/>
          <w:sz w:val="31"/>
          <w:szCs w:val="31"/>
          <w:spacing w:val="7"/>
        </w:rPr>
        <w:t>有关单位和人员有下列行为之一的，由县级以</w:t>
      </w:r>
      <w:r>
        <w:rPr>
          <w:rFonts w:ascii="FangSong" w:hAnsi="FangSong" w:eastAsia="FangSong" w:cs="FangSong"/>
          <w:sz w:val="31"/>
          <w:szCs w:val="31"/>
        </w:rPr>
        <w:t xml:space="preserve"> </w:t>
      </w:r>
      <w:r>
        <w:rPr>
          <w:rFonts w:ascii="FangSong" w:hAnsi="FangSong" w:eastAsia="FangSong" w:cs="FangSong"/>
          <w:sz w:val="31"/>
          <w:szCs w:val="31"/>
          <w:spacing w:val="7"/>
        </w:rPr>
        <w:t>上卫生行政部门责令改正，可以处五千元以下罚款，情节较严重的，可以处五千</w:t>
      </w:r>
      <w:r>
        <w:rPr>
          <w:rFonts w:ascii="FangSong" w:hAnsi="FangSong" w:eastAsia="FangSong" w:cs="FangSong"/>
          <w:sz w:val="31"/>
          <w:szCs w:val="31"/>
          <w:spacing w:val="6"/>
        </w:rPr>
        <w:t>元以上两万元以下的</w:t>
      </w:r>
      <w:r>
        <w:rPr>
          <w:rFonts w:ascii="FangSong" w:hAnsi="FangSong" w:eastAsia="FangSong" w:cs="FangSong"/>
          <w:sz w:val="31"/>
          <w:szCs w:val="31"/>
        </w:rPr>
        <w:t xml:space="preserve"> </w:t>
      </w:r>
      <w:r>
        <w:rPr>
          <w:rFonts w:ascii="FangSong" w:hAnsi="FangSong" w:eastAsia="FangSong" w:cs="FangSong"/>
          <w:sz w:val="31"/>
          <w:szCs w:val="31"/>
          <w:spacing w:val="7"/>
        </w:rPr>
        <w:t>罚款；对主管人员和直接责任人员，由所在单位或有关部门给予行政处分；构成犯罪的，依法</w:t>
      </w:r>
      <w:r>
        <w:rPr>
          <w:rFonts w:ascii="FangSong" w:hAnsi="FangSong" w:eastAsia="FangSong" w:cs="FangSong"/>
          <w:sz w:val="31"/>
          <w:szCs w:val="31"/>
          <w:spacing w:val="6"/>
        </w:rPr>
        <w:t>追究刑</w:t>
      </w:r>
      <w:r>
        <w:rPr>
          <w:rFonts w:ascii="FangSong" w:hAnsi="FangSong" w:eastAsia="FangSong" w:cs="FangSong"/>
          <w:sz w:val="31"/>
          <w:szCs w:val="31"/>
        </w:rPr>
        <w:t xml:space="preserve"> </w:t>
      </w:r>
      <w:r>
        <w:rPr>
          <w:rFonts w:ascii="FangSong" w:hAnsi="FangSong" w:eastAsia="FangSong" w:cs="FangSong"/>
          <w:sz w:val="27"/>
          <w:szCs w:val="27"/>
          <w:spacing w:val="23"/>
        </w:rPr>
        <w:t>事责任：</w:t>
      </w:r>
    </w:p>
    <w:p>
      <w:pPr>
        <w:spacing w:before="6" w:line="220" w:lineRule="auto"/>
        <w:jc w:val="right"/>
        <w:rPr>
          <w:rFonts w:ascii="FangSong" w:hAnsi="FangSong" w:eastAsia="FangSong" w:cs="FangSong"/>
          <w:sz w:val="31"/>
          <w:szCs w:val="31"/>
        </w:rPr>
      </w:pPr>
      <w:r>
        <w:rPr>
          <w:rFonts w:ascii="FangSong" w:hAnsi="FangSong" w:eastAsia="FangSong" w:cs="FangSong"/>
          <w:sz w:val="31"/>
          <w:szCs w:val="31"/>
          <w:spacing w:val="13"/>
        </w:rPr>
        <w:t>(二)造成传染性非典型肺炎的医源性感染</w:t>
      </w:r>
      <w:r>
        <w:rPr>
          <w:rFonts w:ascii="FangSong" w:hAnsi="FangSong" w:eastAsia="FangSong" w:cs="FangSong"/>
          <w:sz w:val="31"/>
          <w:szCs w:val="31"/>
          <w:spacing w:val="12"/>
        </w:rPr>
        <w:t>、医院内感染、实验室感染或者致病性微生物扩散。</w:t>
      </w:r>
    </w:p>
    <w:p>
      <w:pPr>
        <w:ind w:left="6429"/>
        <w:spacing w:before="272"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14"/>
        <w:gridCol w:w="9153"/>
        <w:gridCol w:w="3213"/>
      </w:tblGrid>
      <w:tr>
        <w:trPr>
          <w:trHeight w:val="633" w:hRule="atLeast"/>
        </w:trPr>
        <w:tc>
          <w:tcPr>
            <w:tcW w:w="1614" w:type="dxa"/>
            <w:vAlign w:val="top"/>
          </w:tcPr>
          <w:p>
            <w:pPr>
              <w:pStyle w:val="TableText"/>
              <w:ind w:left="318"/>
              <w:spacing w:before="202" w:line="220" w:lineRule="auto"/>
              <w:rPr/>
            </w:pPr>
            <w:r>
              <w:rPr>
                <w:b/>
                <w:bCs/>
                <w:spacing w:val="-5"/>
              </w:rPr>
              <w:t>违法程度</w:t>
            </w:r>
          </w:p>
        </w:tc>
        <w:tc>
          <w:tcPr>
            <w:tcW w:w="9153" w:type="dxa"/>
            <w:vAlign w:val="top"/>
          </w:tcPr>
          <w:p>
            <w:pPr>
              <w:pStyle w:val="TableText"/>
              <w:ind w:left="4094"/>
              <w:spacing w:before="202" w:line="220" w:lineRule="auto"/>
              <w:rPr/>
            </w:pPr>
            <w:r>
              <w:rPr>
                <w:b/>
                <w:bCs/>
                <w:spacing w:val="-5"/>
              </w:rPr>
              <w:t>情节后果</w:t>
            </w:r>
          </w:p>
        </w:tc>
        <w:tc>
          <w:tcPr>
            <w:tcW w:w="3213" w:type="dxa"/>
            <w:vAlign w:val="top"/>
          </w:tcPr>
          <w:p>
            <w:pPr>
              <w:pStyle w:val="TableText"/>
              <w:ind w:left="1051"/>
              <w:spacing w:before="199" w:line="218" w:lineRule="auto"/>
              <w:rPr/>
            </w:pPr>
            <w:r>
              <w:rPr>
                <w:b/>
                <w:bCs/>
                <w:spacing w:val="-5"/>
              </w:rPr>
              <w:t>裁量幅度</w:t>
            </w:r>
          </w:p>
        </w:tc>
      </w:tr>
      <w:tr>
        <w:trPr>
          <w:trHeight w:val="1107" w:hRule="atLeast"/>
        </w:trPr>
        <w:tc>
          <w:tcPr>
            <w:tcW w:w="1614" w:type="dxa"/>
            <w:vAlign w:val="top"/>
          </w:tcPr>
          <w:p>
            <w:pPr>
              <w:spacing w:line="359" w:lineRule="auto"/>
              <w:rPr>
                <w:rFonts w:ascii="Arial"/>
                <w:sz w:val="21"/>
              </w:rPr>
            </w:pPr>
            <w:r/>
          </w:p>
          <w:p>
            <w:pPr>
              <w:pStyle w:val="TableText"/>
              <w:ind w:left="558"/>
              <w:spacing w:before="78" w:line="221" w:lineRule="auto"/>
              <w:rPr/>
            </w:pPr>
            <w:r>
              <w:rPr>
                <w:b/>
                <w:bCs/>
                <w:spacing w:val="-10"/>
              </w:rPr>
              <w:t>一般</w:t>
            </w:r>
          </w:p>
        </w:tc>
        <w:tc>
          <w:tcPr>
            <w:tcW w:w="9153" w:type="dxa"/>
            <w:vAlign w:val="top"/>
          </w:tcPr>
          <w:p>
            <w:pPr>
              <w:pStyle w:val="TableText"/>
              <w:ind w:left="130"/>
              <w:spacing w:before="150" w:line="219" w:lineRule="auto"/>
              <w:rPr/>
            </w:pPr>
            <w:r>
              <w:rPr/>
              <w:t>造成传染性非典型肺炎的医源性感染、医院内感染、实验室感</w:t>
            </w:r>
            <w:r>
              <w:rPr>
                <w:spacing w:val="-1"/>
              </w:rPr>
              <w:t>染，感染人数在一至三</w:t>
            </w:r>
          </w:p>
          <w:p>
            <w:pPr>
              <w:pStyle w:val="TableText"/>
              <w:ind w:left="91"/>
              <w:spacing w:before="128" w:line="221" w:lineRule="auto"/>
              <w:rPr/>
            </w:pPr>
            <w:r>
              <w:rPr>
                <w:color w:val="506060"/>
              </w:rPr>
              <w:t>例。</w:t>
            </w:r>
          </w:p>
        </w:tc>
        <w:tc>
          <w:tcPr>
            <w:tcW w:w="3213" w:type="dxa"/>
            <w:vAlign w:val="top"/>
          </w:tcPr>
          <w:p>
            <w:pPr>
              <w:spacing w:line="362" w:lineRule="auto"/>
              <w:rPr>
                <w:rFonts w:ascii="Arial"/>
                <w:sz w:val="21"/>
              </w:rPr>
            </w:pPr>
            <w:r/>
          </w:p>
          <w:p>
            <w:pPr>
              <w:pStyle w:val="TableText"/>
              <w:ind w:left="128"/>
              <w:spacing w:before="78" w:line="220" w:lineRule="auto"/>
              <w:rPr/>
            </w:pPr>
            <w:r>
              <w:rPr>
                <w:spacing w:val="-1"/>
              </w:rPr>
              <w:t>可以处五千元以下罚款。</w:t>
            </w:r>
          </w:p>
        </w:tc>
      </w:tr>
      <w:tr>
        <w:trPr>
          <w:trHeight w:val="1087" w:hRule="atLeast"/>
        </w:trPr>
        <w:tc>
          <w:tcPr>
            <w:tcW w:w="1614" w:type="dxa"/>
            <w:vAlign w:val="top"/>
            <w:vMerge w:val="restart"/>
            <w:tcBorders>
              <w:bottom w:val="nil"/>
            </w:tcBorders>
          </w:tcPr>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558"/>
              <w:spacing w:before="78" w:line="220" w:lineRule="auto"/>
              <w:rPr/>
            </w:pPr>
            <w:r>
              <w:rPr>
                <w:b/>
                <w:bCs/>
                <w:spacing w:val="-6"/>
              </w:rPr>
              <w:t>严重</w:t>
            </w:r>
          </w:p>
        </w:tc>
        <w:tc>
          <w:tcPr>
            <w:tcW w:w="9153" w:type="dxa"/>
            <w:vAlign w:val="top"/>
          </w:tcPr>
          <w:p>
            <w:pPr>
              <w:pStyle w:val="TableText"/>
              <w:ind w:left="130"/>
              <w:spacing w:before="103" w:line="219" w:lineRule="auto"/>
              <w:rPr/>
            </w:pPr>
            <w:r>
              <w:rPr/>
              <w:t>造成传染性非典型肺炎的医源性感染、医院内感染、实验室感</w:t>
            </w:r>
            <w:r>
              <w:rPr>
                <w:spacing w:val="-1"/>
              </w:rPr>
              <w:t>染，感染人数在四至六</w:t>
            </w:r>
          </w:p>
          <w:p>
            <w:pPr>
              <w:pStyle w:val="TableText"/>
              <w:ind w:left="80"/>
              <w:spacing w:before="158" w:line="221" w:lineRule="auto"/>
              <w:rPr/>
            </w:pPr>
            <w:r>
              <w:rPr>
                <w:color w:val="506060"/>
              </w:rPr>
              <w:t>例。</w:t>
            </w:r>
          </w:p>
        </w:tc>
        <w:tc>
          <w:tcPr>
            <w:tcW w:w="3213" w:type="dxa"/>
            <w:vAlign w:val="top"/>
          </w:tcPr>
          <w:p>
            <w:pPr>
              <w:pStyle w:val="TableText"/>
              <w:ind w:left="128" w:right="163" w:firstLine="9"/>
              <w:spacing w:before="106" w:line="357" w:lineRule="auto"/>
              <w:rPr/>
            </w:pPr>
            <w:r>
              <w:rPr>
                <w:spacing w:val="1"/>
              </w:rPr>
              <w:t>可以处五千元以上一万元以</w:t>
            </w:r>
            <w:r>
              <w:rPr>
                <w:spacing w:val="8"/>
              </w:rPr>
              <w:t xml:space="preserve"> </w:t>
            </w:r>
            <w:r>
              <w:rPr/>
              <w:t>下的罚款。</w:t>
            </w:r>
          </w:p>
        </w:tc>
      </w:tr>
      <w:tr>
        <w:trPr>
          <w:trHeight w:val="1082" w:hRule="atLeast"/>
        </w:trPr>
        <w:tc>
          <w:tcPr>
            <w:tcW w:w="1614" w:type="dxa"/>
            <w:vAlign w:val="top"/>
            <w:vMerge w:val="continue"/>
            <w:tcBorders>
              <w:top w:val="nil"/>
            </w:tcBorders>
          </w:tcPr>
          <w:p>
            <w:pPr>
              <w:rPr>
                <w:rFonts w:ascii="Arial"/>
                <w:sz w:val="21"/>
              </w:rPr>
            </w:pPr>
            <w:r/>
          </w:p>
        </w:tc>
        <w:tc>
          <w:tcPr>
            <w:tcW w:w="9153" w:type="dxa"/>
            <w:vAlign w:val="top"/>
          </w:tcPr>
          <w:p>
            <w:pPr>
              <w:pStyle w:val="TableText"/>
              <w:ind w:left="94" w:right="113" w:firstLine="39"/>
              <w:spacing w:before="103" w:line="348" w:lineRule="auto"/>
              <w:rPr/>
            </w:pPr>
            <w:r>
              <w:rPr>
                <w:b/>
                <w:bCs/>
                <w:spacing w:val="-2"/>
              </w:rPr>
              <w:t>造成传染性非典型肺炎的医源性感染、医院内感染、实验室感染，感染</w:t>
            </w:r>
            <w:r>
              <w:rPr>
                <w:b/>
                <w:bCs/>
                <w:spacing w:val="-3"/>
              </w:rPr>
              <w:t>人数在七例以</w:t>
            </w:r>
            <w:r>
              <w:rPr/>
              <w:t xml:space="preserve"> </w:t>
            </w:r>
            <w:r>
              <w:rPr>
                <w:b/>
                <w:bCs/>
                <w:spacing w:val="-3"/>
              </w:rPr>
              <w:t>上，或致病性微生物扩散造成传染性非典型肺炎暴发、流行。</w:t>
            </w:r>
          </w:p>
        </w:tc>
        <w:tc>
          <w:tcPr>
            <w:tcW w:w="3213" w:type="dxa"/>
            <w:vAlign w:val="top"/>
          </w:tcPr>
          <w:p>
            <w:pPr>
              <w:pStyle w:val="TableText"/>
              <w:ind w:left="128" w:right="163" w:firstLine="9"/>
              <w:spacing w:before="109" w:line="357" w:lineRule="auto"/>
              <w:rPr/>
            </w:pPr>
            <w:r>
              <w:rPr>
                <w:spacing w:val="1"/>
              </w:rPr>
              <w:t>可以处一万元以上二万元以</w:t>
            </w:r>
            <w:r>
              <w:rPr>
                <w:spacing w:val="8"/>
              </w:rPr>
              <w:t xml:space="preserve"> </w:t>
            </w:r>
            <w:r>
              <w:rPr/>
              <w:t>下的罚款。</w:t>
            </w:r>
          </w:p>
        </w:tc>
      </w:tr>
    </w:tbl>
    <w:p>
      <w:pPr>
        <w:pStyle w:val="BodyText"/>
        <w:rPr/>
      </w:pPr>
      <w:r/>
    </w:p>
    <w:p>
      <w:pPr>
        <w:sectPr>
          <w:footerReference w:type="default" r:id="rId224"/>
          <w:pgSz w:w="16830" w:h="11900"/>
          <w:pgMar w:top="1011" w:right="1385" w:bottom="1117" w:left="1414" w:header="0" w:footer="784" w:gutter="0"/>
        </w:sectPr>
        <w:rPr/>
      </w:pPr>
    </w:p>
    <w:p>
      <w:pPr>
        <w:pStyle w:val="BodyText"/>
        <w:spacing w:line="256" w:lineRule="auto"/>
        <w:rPr/>
      </w:pPr>
      <w:r/>
    </w:p>
    <w:p>
      <w:pPr>
        <w:pStyle w:val="BodyText"/>
        <w:spacing w:line="256" w:lineRule="auto"/>
        <w:rPr/>
      </w:pPr>
      <w:r/>
    </w:p>
    <w:p>
      <w:pPr>
        <w:pStyle w:val="BodyText"/>
        <w:spacing w:line="256" w:lineRule="auto"/>
        <w:rPr/>
      </w:pPr>
      <w:r/>
    </w:p>
    <w:p>
      <w:pPr>
        <w:ind w:left="699"/>
        <w:spacing w:before="101" w:line="220" w:lineRule="auto"/>
        <w:outlineLvl w:val="1"/>
        <w:rPr>
          <w:rFonts w:ascii="KaiTi" w:hAnsi="KaiTi" w:eastAsia="KaiTi" w:cs="KaiTi"/>
          <w:sz w:val="31"/>
          <w:szCs w:val="31"/>
        </w:rPr>
      </w:pPr>
      <w:bookmarkStart w:name="bookmark876" w:id="217"/>
      <w:bookmarkEnd w:id="217"/>
      <w:bookmarkStart w:name="bookmark186" w:id="218"/>
      <w:bookmarkEnd w:id="218"/>
      <w:r>
        <w:rPr>
          <w:rFonts w:ascii="KaiTi" w:hAnsi="KaiTi" w:eastAsia="KaiTi" w:cs="KaiTi"/>
          <w:sz w:val="31"/>
          <w:szCs w:val="31"/>
          <w:b/>
          <w:bCs/>
          <w:spacing w:val="11"/>
        </w:rPr>
        <w:t>第一百五十四条生产、经营、使用消毒产品、隔离防护用品等不符合规</w:t>
      </w:r>
      <w:r>
        <w:rPr>
          <w:rFonts w:ascii="KaiTi" w:hAnsi="KaiTi" w:eastAsia="KaiTi" w:cs="KaiTi"/>
          <w:sz w:val="31"/>
          <w:szCs w:val="31"/>
          <w:b/>
          <w:bCs/>
          <w:spacing w:val="10"/>
        </w:rPr>
        <w:t>定与标准，可能造成传</w:t>
      </w:r>
    </w:p>
    <w:p>
      <w:pPr>
        <w:ind w:left="39"/>
        <w:spacing w:before="89" w:line="225" w:lineRule="auto"/>
        <w:rPr>
          <w:rFonts w:ascii="KaiTi" w:hAnsi="KaiTi" w:eastAsia="KaiTi" w:cs="KaiTi"/>
          <w:sz w:val="31"/>
          <w:szCs w:val="31"/>
        </w:rPr>
      </w:pPr>
      <w:r>
        <w:rPr>
          <w:rFonts w:ascii="KaiTi" w:hAnsi="KaiTi" w:eastAsia="KaiTi" w:cs="KaiTi"/>
          <w:sz w:val="31"/>
          <w:szCs w:val="31"/>
          <w:b/>
          <w:bCs/>
          <w:spacing w:val="6"/>
        </w:rPr>
        <w:t>染病的传播、扩散或者造成传染病的传播、扩散的</w:t>
      </w:r>
    </w:p>
    <w:p>
      <w:pPr>
        <w:ind w:left="695"/>
        <w:spacing w:before="106"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34" w:right="118" w:firstLine="645"/>
        <w:spacing w:before="71" w:line="268" w:lineRule="auto"/>
        <w:jc w:val="both"/>
        <w:rPr>
          <w:rFonts w:ascii="FangSong" w:hAnsi="FangSong" w:eastAsia="FangSong" w:cs="FangSong"/>
          <w:sz w:val="27"/>
          <w:szCs w:val="27"/>
        </w:rPr>
      </w:pPr>
      <w:r>
        <w:rPr>
          <w:rFonts w:ascii="FangSong" w:hAnsi="FangSong" w:eastAsia="FangSong" w:cs="FangSong"/>
          <w:sz w:val="31"/>
          <w:szCs w:val="31"/>
          <w:spacing w:val="7"/>
        </w:rPr>
        <w:t>《传染性非典型肺炎防治管理办法》第三十八条</w:t>
      </w:r>
      <w:r>
        <w:rPr>
          <w:rFonts w:ascii="FangSong" w:hAnsi="FangSong" w:eastAsia="FangSong" w:cs="FangSong"/>
          <w:sz w:val="31"/>
          <w:szCs w:val="31"/>
          <w:spacing w:val="7"/>
        </w:rPr>
        <w:t xml:space="preserve"> </w:t>
      </w:r>
      <w:r>
        <w:rPr>
          <w:rFonts w:ascii="FangSong" w:hAnsi="FangSong" w:eastAsia="FangSong" w:cs="FangSong"/>
          <w:sz w:val="31"/>
          <w:szCs w:val="31"/>
          <w:spacing w:val="6"/>
        </w:rPr>
        <w:t xml:space="preserve"> </w:t>
      </w:r>
      <w:r>
        <w:rPr>
          <w:rFonts w:ascii="FangSong" w:hAnsi="FangSong" w:eastAsia="FangSong" w:cs="FangSong"/>
          <w:sz w:val="31"/>
          <w:szCs w:val="31"/>
          <w:spacing w:val="6"/>
        </w:rPr>
        <w:t>有关单位和人员有下列行为之一的，由县级以</w:t>
      </w:r>
      <w:r>
        <w:rPr>
          <w:rFonts w:ascii="FangSong" w:hAnsi="FangSong" w:eastAsia="FangSong" w:cs="FangSong"/>
          <w:sz w:val="31"/>
          <w:szCs w:val="31"/>
        </w:rPr>
        <w:t xml:space="preserve"> </w:t>
      </w:r>
      <w:r>
        <w:rPr>
          <w:rFonts w:ascii="FangSong" w:hAnsi="FangSong" w:eastAsia="FangSong" w:cs="FangSong"/>
          <w:sz w:val="31"/>
          <w:szCs w:val="31"/>
          <w:spacing w:val="7"/>
        </w:rPr>
        <w:t>上卫生行政部门责令改正，可以处五千元以下罚款，情节较严重的，可以处五千</w:t>
      </w:r>
      <w:r>
        <w:rPr>
          <w:rFonts w:ascii="FangSong" w:hAnsi="FangSong" w:eastAsia="FangSong" w:cs="FangSong"/>
          <w:sz w:val="31"/>
          <w:szCs w:val="31"/>
          <w:spacing w:val="6"/>
        </w:rPr>
        <w:t>元以上两万元以下的</w:t>
      </w:r>
      <w:r>
        <w:rPr>
          <w:rFonts w:ascii="FangSong" w:hAnsi="FangSong" w:eastAsia="FangSong" w:cs="FangSong"/>
          <w:sz w:val="31"/>
          <w:szCs w:val="31"/>
        </w:rPr>
        <w:t xml:space="preserve"> </w:t>
      </w:r>
      <w:r>
        <w:rPr>
          <w:rFonts w:ascii="FangSong" w:hAnsi="FangSong" w:eastAsia="FangSong" w:cs="FangSong"/>
          <w:sz w:val="31"/>
          <w:szCs w:val="31"/>
          <w:spacing w:val="7"/>
        </w:rPr>
        <w:t>罚款；对主管人员和直接责任人员，由所在单位或有关部门给予行政处分；构成犯罪的，依法</w:t>
      </w:r>
      <w:r>
        <w:rPr>
          <w:rFonts w:ascii="FangSong" w:hAnsi="FangSong" w:eastAsia="FangSong" w:cs="FangSong"/>
          <w:sz w:val="31"/>
          <w:szCs w:val="31"/>
          <w:spacing w:val="6"/>
        </w:rPr>
        <w:t>追究刑</w:t>
      </w:r>
      <w:r>
        <w:rPr>
          <w:rFonts w:ascii="FangSong" w:hAnsi="FangSong" w:eastAsia="FangSong" w:cs="FangSong"/>
          <w:sz w:val="31"/>
          <w:szCs w:val="31"/>
        </w:rPr>
        <w:t xml:space="preserve"> </w:t>
      </w:r>
      <w:r>
        <w:rPr>
          <w:rFonts w:ascii="FangSong" w:hAnsi="FangSong" w:eastAsia="FangSong" w:cs="FangSong"/>
          <w:sz w:val="27"/>
          <w:szCs w:val="27"/>
          <w:spacing w:val="26"/>
        </w:rPr>
        <w:t>事责任：</w:t>
      </w:r>
    </w:p>
    <w:p>
      <w:pPr>
        <w:ind w:left="34" w:firstLine="760"/>
        <w:spacing w:before="2" w:line="264" w:lineRule="auto"/>
        <w:rPr>
          <w:rFonts w:ascii="FangSong" w:hAnsi="FangSong" w:eastAsia="FangSong" w:cs="FangSong"/>
          <w:sz w:val="31"/>
          <w:szCs w:val="31"/>
        </w:rPr>
      </w:pPr>
      <w:r>
        <w:rPr>
          <w:rFonts w:ascii="FangSong" w:hAnsi="FangSong" w:eastAsia="FangSong" w:cs="FangSong"/>
          <w:sz w:val="31"/>
          <w:szCs w:val="31"/>
          <w:spacing w:val="7"/>
        </w:rPr>
        <w:t>(三)生产、经营、使用消毒产品、隔离防护用品等不符</w:t>
      </w:r>
      <w:r>
        <w:rPr>
          <w:rFonts w:ascii="FangSong" w:hAnsi="FangSong" w:eastAsia="FangSong" w:cs="FangSong"/>
          <w:sz w:val="31"/>
          <w:szCs w:val="31"/>
          <w:spacing w:val="6"/>
        </w:rPr>
        <w:t>合规定与标准，可能造成传染病的传播、</w:t>
      </w:r>
      <w:r>
        <w:rPr>
          <w:rFonts w:ascii="FangSong" w:hAnsi="FangSong" w:eastAsia="FangSong" w:cs="FangSong"/>
          <w:sz w:val="31"/>
          <w:szCs w:val="31"/>
        </w:rPr>
        <w:t xml:space="preserve"> </w:t>
      </w:r>
      <w:r>
        <w:rPr>
          <w:rFonts w:ascii="FangSong" w:hAnsi="FangSong" w:eastAsia="FangSong" w:cs="FangSong"/>
          <w:sz w:val="31"/>
          <w:szCs w:val="31"/>
          <w:spacing w:val="5"/>
        </w:rPr>
        <w:t>扩散或者造成传染病的传播、扩散。</w:t>
      </w:r>
    </w:p>
    <w:p>
      <w:pPr>
        <w:ind w:left="6439"/>
        <w:spacing w:before="213"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0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84"/>
        <w:gridCol w:w="9083"/>
        <w:gridCol w:w="3353"/>
      </w:tblGrid>
      <w:tr>
        <w:trPr>
          <w:trHeight w:val="632" w:hRule="atLeast"/>
        </w:trPr>
        <w:tc>
          <w:tcPr>
            <w:tcW w:w="1584" w:type="dxa"/>
            <w:vAlign w:val="top"/>
          </w:tcPr>
          <w:p>
            <w:pPr>
              <w:pStyle w:val="TableText"/>
              <w:ind w:left="308"/>
              <w:spacing w:before="92" w:line="220" w:lineRule="auto"/>
              <w:rPr/>
            </w:pPr>
            <w:r>
              <w:rPr>
                <w:b/>
                <w:bCs/>
                <w:spacing w:val="-5"/>
              </w:rPr>
              <w:t>违法程度</w:t>
            </w:r>
          </w:p>
        </w:tc>
        <w:tc>
          <w:tcPr>
            <w:tcW w:w="9083" w:type="dxa"/>
            <w:vAlign w:val="top"/>
          </w:tcPr>
          <w:p>
            <w:pPr>
              <w:pStyle w:val="TableText"/>
              <w:ind w:left="4054"/>
              <w:spacing w:before="92" w:line="220" w:lineRule="auto"/>
              <w:rPr/>
            </w:pPr>
            <w:r>
              <w:rPr>
                <w:b/>
                <w:bCs/>
                <w:spacing w:val="-5"/>
              </w:rPr>
              <w:t>情节后果</w:t>
            </w:r>
          </w:p>
        </w:tc>
        <w:tc>
          <w:tcPr>
            <w:tcW w:w="3353" w:type="dxa"/>
            <w:vAlign w:val="top"/>
          </w:tcPr>
          <w:p>
            <w:pPr>
              <w:pStyle w:val="TableText"/>
              <w:ind w:left="1091"/>
              <w:spacing w:before="8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146" w:hRule="atLeast"/>
        </w:trPr>
        <w:tc>
          <w:tcPr>
            <w:tcW w:w="1584" w:type="dxa"/>
            <w:vAlign w:val="top"/>
          </w:tcPr>
          <w:p>
            <w:pPr>
              <w:spacing w:line="380" w:lineRule="auto"/>
              <w:rPr>
                <w:rFonts w:ascii="Arial"/>
                <w:sz w:val="21"/>
              </w:rPr>
            </w:pPr>
            <w:r/>
          </w:p>
          <w:p>
            <w:pPr>
              <w:pStyle w:val="TableText"/>
              <w:ind w:left="548"/>
              <w:spacing w:before="78" w:line="221" w:lineRule="auto"/>
              <w:rPr/>
            </w:pPr>
            <w:r>
              <w:rPr>
                <w:b/>
                <w:bCs/>
                <w:spacing w:val="-10"/>
              </w:rPr>
              <w:t>一般</w:t>
            </w:r>
          </w:p>
        </w:tc>
        <w:tc>
          <w:tcPr>
            <w:tcW w:w="9083" w:type="dxa"/>
            <w:vAlign w:val="top"/>
          </w:tcPr>
          <w:p>
            <w:pPr>
              <w:pStyle w:val="TableText"/>
              <w:ind w:left="119" w:right="83" w:hanging="29"/>
              <w:spacing w:before="150" w:line="356" w:lineRule="auto"/>
              <w:rPr/>
            </w:pPr>
            <w:r>
              <w:rPr/>
              <w:t>生产、经营、使用消毒产品、隔离防护用品等不符合规定与标准，可能造成传染病的</w:t>
            </w:r>
            <w:r>
              <w:rPr>
                <w:spacing w:val="17"/>
              </w:rPr>
              <w:t xml:space="preserve"> </w:t>
            </w:r>
            <w:r>
              <w:rPr>
                <w:spacing w:val="-1"/>
              </w:rPr>
              <w:t>传播、扩散。</w:t>
            </w:r>
          </w:p>
        </w:tc>
        <w:tc>
          <w:tcPr>
            <w:tcW w:w="3353" w:type="dxa"/>
            <w:vAlign w:val="top"/>
          </w:tcPr>
          <w:p>
            <w:pPr>
              <w:spacing w:line="383" w:lineRule="auto"/>
              <w:rPr>
                <w:rFonts w:ascii="Arial"/>
                <w:sz w:val="21"/>
              </w:rPr>
            </w:pPr>
            <w:r/>
          </w:p>
          <w:p>
            <w:pPr>
              <w:pStyle w:val="TableText"/>
              <w:ind w:left="98"/>
              <w:spacing w:before="78" w:line="220" w:lineRule="auto"/>
              <w:rPr/>
            </w:pPr>
            <w:r>
              <w:rPr>
                <w:spacing w:val="-1"/>
              </w:rPr>
              <w:t>可以处五千元以下罚款。</w:t>
            </w:r>
          </w:p>
        </w:tc>
      </w:tr>
      <w:tr>
        <w:trPr>
          <w:trHeight w:val="1141" w:hRule="atLeast"/>
        </w:trPr>
        <w:tc>
          <w:tcPr>
            <w:tcW w:w="1584" w:type="dxa"/>
            <w:vAlign w:val="top"/>
          </w:tcPr>
          <w:p>
            <w:pPr>
              <w:spacing w:line="373" w:lineRule="auto"/>
              <w:rPr>
                <w:rFonts w:ascii="Arial"/>
                <w:sz w:val="21"/>
              </w:rPr>
            </w:pPr>
            <w:r/>
          </w:p>
          <w:p>
            <w:pPr>
              <w:pStyle w:val="TableText"/>
              <w:ind w:left="548"/>
              <w:spacing w:before="78" w:line="220" w:lineRule="auto"/>
              <w:rPr/>
            </w:pPr>
            <w:r>
              <w:rPr>
                <w:b/>
                <w:bCs/>
                <w:spacing w:val="-6"/>
              </w:rPr>
              <w:t>严重</w:t>
            </w:r>
          </w:p>
        </w:tc>
        <w:tc>
          <w:tcPr>
            <w:tcW w:w="9083" w:type="dxa"/>
            <w:vAlign w:val="top"/>
          </w:tcPr>
          <w:p>
            <w:pPr>
              <w:pStyle w:val="TableText"/>
              <w:ind w:left="99" w:hanging="88"/>
              <w:spacing w:before="145" w:line="341" w:lineRule="auto"/>
              <w:rPr/>
            </w:pPr>
            <w:r>
              <w:rPr>
                <w:spacing w:val="-2"/>
              </w:rPr>
              <w:t>生产、经营、使用消毒产品、隔离防护用品等不符合规定与标准，造成传染病的传播、</w:t>
            </w:r>
            <w:r>
              <w:rPr>
                <w:spacing w:val="16"/>
              </w:rPr>
              <w:t xml:space="preserve"> </w:t>
            </w:r>
            <w:r>
              <w:rPr>
                <w:spacing w:val="-2"/>
              </w:rPr>
              <w:t>扩散。</w:t>
            </w:r>
          </w:p>
        </w:tc>
        <w:tc>
          <w:tcPr>
            <w:tcW w:w="3353" w:type="dxa"/>
            <w:vAlign w:val="top"/>
          </w:tcPr>
          <w:p>
            <w:pPr>
              <w:pStyle w:val="TableText"/>
              <w:ind w:left="98" w:right="109"/>
              <w:spacing w:before="148" w:line="357" w:lineRule="auto"/>
              <w:rPr/>
            </w:pPr>
            <w:r>
              <w:rPr>
                <w:spacing w:val="1"/>
              </w:rPr>
              <w:t>可以处五千元以上二万元以下 </w:t>
            </w:r>
            <w:r>
              <w:rPr>
                <w:spacing w:val="-1"/>
              </w:rPr>
              <w:t>的罚款。</w:t>
            </w:r>
          </w:p>
        </w:tc>
      </w:tr>
    </w:tbl>
    <w:p>
      <w:pPr>
        <w:pStyle w:val="BodyText"/>
        <w:rPr/>
      </w:pPr>
      <w:r/>
    </w:p>
    <w:p>
      <w:pPr>
        <w:sectPr>
          <w:footerReference w:type="default" r:id="rId225"/>
          <w:pgSz w:w="16830" w:h="11900"/>
          <w:pgMar w:top="1011" w:right="1325" w:bottom="1125" w:left="1405" w:header="0" w:footer="783" w:gutter="0"/>
        </w:sectPr>
        <w:rPr/>
      </w:pPr>
    </w:p>
    <w:p>
      <w:pPr>
        <w:pStyle w:val="BodyText"/>
        <w:spacing w:line="258" w:lineRule="auto"/>
        <w:rPr/>
      </w:pPr>
      <w:r/>
    </w:p>
    <w:p>
      <w:pPr>
        <w:pStyle w:val="BodyText"/>
        <w:spacing w:line="258" w:lineRule="auto"/>
        <w:rPr/>
      </w:pPr>
      <w:r/>
    </w:p>
    <w:p>
      <w:pPr>
        <w:pStyle w:val="BodyText"/>
        <w:spacing w:line="258" w:lineRule="auto"/>
        <w:rPr/>
      </w:pPr>
      <w:r/>
    </w:p>
    <w:p>
      <w:pPr>
        <w:ind w:left="689"/>
        <w:spacing w:before="101" w:line="219" w:lineRule="auto"/>
        <w:outlineLvl w:val="1"/>
        <w:rPr>
          <w:rFonts w:ascii="FangSong" w:hAnsi="FangSong" w:eastAsia="FangSong" w:cs="FangSong"/>
          <w:sz w:val="31"/>
          <w:szCs w:val="31"/>
        </w:rPr>
      </w:pPr>
      <w:bookmarkStart w:name="bookmark877" w:id="219"/>
      <w:bookmarkEnd w:id="219"/>
      <w:bookmarkStart w:name="bookmark186" w:id="220"/>
      <w:bookmarkEnd w:id="220"/>
      <w:r>
        <w:rPr>
          <w:rFonts w:ascii="FangSong" w:hAnsi="FangSong" w:eastAsia="FangSong" w:cs="FangSong"/>
          <w:sz w:val="31"/>
          <w:szCs w:val="31"/>
          <w:b/>
          <w:bCs/>
          <w:spacing w:val="12"/>
        </w:rPr>
        <w:t>第一百五十五条拒绝、阻碍或者不配合现场</w:t>
      </w:r>
      <w:r>
        <w:rPr>
          <w:rFonts w:ascii="FangSong" w:hAnsi="FangSong" w:eastAsia="FangSong" w:cs="FangSong"/>
          <w:sz w:val="31"/>
          <w:szCs w:val="31"/>
          <w:b/>
          <w:bCs/>
          <w:spacing w:val="11"/>
        </w:rPr>
        <w:t>调查、资料收集、采样检验以及监督检查的</w:t>
      </w:r>
    </w:p>
    <w:p>
      <w:pPr>
        <w:ind w:left="695"/>
        <w:spacing w:before="120"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45" w:firstLine="614"/>
        <w:spacing w:before="70" w:line="267" w:lineRule="auto"/>
        <w:jc w:val="both"/>
        <w:rPr>
          <w:rFonts w:ascii="FangSong" w:hAnsi="FangSong" w:eastAsia="FangSong" w:cs="FangSong"/>
          <w:sz w:val="27"/>
          <w:szCs w:val="27"/>
        </w:rPr>
      </w:pPr>
      <w:r>
        <w:rPr>
          <w:rFonts w:ascii="FangSong" w:hAnsi="FangSong" w:eastAsia="FangSong" w:cs="FangSong"/>
          <w:sz w:val="31"/>
          <w:szCs w:val="31"/>
          <w:spacing w:val="7"/>
        </w:rPr>
        <w:t>《传染性非典型肺炎防治管理办法》第三十八条</w:t>
      </w:r>
      <w:r>
        <w:rPr>
          <w:rFonts w:ascii="FangSong" w:hAnsi="FangSong" w:eastAsia="FangSong" w:cs="FangSong"/>
          <w:sz w:val="31"/>
          <w:szCs w:val="31"/>
          <w:spacing w:val="7"/>
        </w:rPr>
        <w:t xml:space="preserve">  </w:t>
      </w:r>
      <w:r>
        <w:rPr>
          <w:rFonts w:ascii="FangSong" w:hAnsi="FangSong" w:eastAsia="FangSong" w:cs="FangSong"/>
          <w:sz w:val="31"/>
          <w:szCs w:val="31"/>
          <w:spacing w:val="7"/>
        </w:rPr>
        <w:t>有关单位和人员有下列行为之一的，由县级以</w:t>
      </w:r>
      <w:r>
        <w:rPr>
          <w:rFonts w:ascii="FangSong" w:hAnsi="FangSong" w:eastAsia="FangSong" w:cs="FangSong"/>
          <w:sz w:val="31"/>
          <w:szCs w:val="31"/>
        </w:rPr>
        <w:t xml:space="preserve"> </w:t>
      </w:r>
      <w:r>
        <w:rPr>
          <w:rFonts w:ascii="FangSong" w:hAnsi="FangSong" w:eastAsia="FangSong" w:cs="FangSong"/>
          <w:sz w:val="31"/>
          <w:szCs w:val="31"/>
          <w:spacing w:val="7"/>
        </w:rPr>
        <w:t>上卫生行政部门责令改正，可以处五千元以下罚款，情节</w:t>
      </w:r>
      <w:r>
        <w:rPr>
          <w:rFonts w:ascii="FangSong" w:hAnsi="FangSong" w:eastAsia="FangSong" w:cs="FangSong"/>
          <w:sz w:val="31"/>
          <w:szCs w:val="31"/>
          <w:spacing w:val="6"/>
        </w:rPr>
        <w:t>较严重的，可以处五千元以上两万元以下的</w:t>
      </w:r>
      <w:r>
        <w:rPr>
          <w:rFonts w:ascii="FangSong" w:hAnsi="FangSong" w:eastAsia="FangSong" w:cs="FangSong"/>
          <w:sz w:val="31"/>
          <w:szCs w:val="31"/>
        </w:rPr>
        <w:t xml:space="preserve"> </w:t>
      </w:r>
      <w:r>
        <w:rPr>
          <w:rFonts w:ascii="FangSong" w:hAnsi="FangSong" w:eastAsia="FangSong" w:cs="FangSong"/>
          <w:sz w:val="31"/>
          <w:szCs w:val="31"/>
          <w:spacing w:val="7"/>
        </w:rPr>
        <w:t>罚款；对主管人员和直接责任人员，由所在单位或有关部门给予行政处分；构成犯罪的，依法追究刑</w:t>
      </w:r>
      <w:r>
        <w:rPr>
          <w:rFonts w:ascii="FangSong" w:hAnsi="FangSong" w:eastAsia="FangSong" w:cs="FangSong"/>
          <w:sz w:val="31"/>
          <w:szCs w:val="31"/>
          <w:spacing w:val="7"/>
        </w:rPr>
        <w:t xml:space="preserve"> </w:t>
      </w:r>
      <w:r>
        <w:rPr>
          <w:rFonts w:ascii="FangSong" w:hAnsi="FangSong" w:eastAsia="FangSong" w:cs="FangSong"/>
          <w:sz w:val="27"/>
          <w:szCs w:val="27"/>
          <w:spacing w:val="26"/>
        </w:rPr>
        <w:t>事责任：</w:t>
      </w:r>
    </w:p>
    <w:p>
      <w:pPr>
        <w:ind w:left="804"/>
        <w:spacing w:before="16" w:line="219" w:lineRule="auto"/>
        <w:rPr>
          <w:rFonts w:ascii="FangSong" w:hAnsi="FangSong" w:eastAsia="FangSong" w:cs="FangSong"/>
          <w:sz w:val="31"/>
          <w:szCs w:val="31"/>
        </w:rPr>
      </w:pPr>
      <w:r>
        <w:rPr>
          <w:rFonts w:ascii="FangSong" w:hAnsi="FangSong" w:eastAsia="FangSong" w:cs="FangSong"/>
          <w:sz w:val="31"/>
          <w:szCs w:val="31"/>
          <w:spacing w:val="13"/>
        </w:rPr>
        <w:t>(四)拒绝、阻碍或者不配合现场调查、资料收集、采样检验以及监督检查。</w:t>
      </w:r>
    </w:p>
    <w:p>
      <w:pPr>
        <w:ind w:left="6439"/>
        <w:spacing w:before="275"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64"/>
        <w:gridCol w:w="8803"/>
        <w:gridCol w:w="3742"/>
      </w:tblGrid>
      <w:tr>
        <w:trPr>
          <w:trHeight w:val="662" w:hRule="atLeast"/>
        </w:trPr>
        <w:tc>
          <w:tcPr>
            <w:tcW w:w="1364" w:type="dxa"/>
            <w:vAlign w:val="top"/>
          </w:tcPr>
          <w:p>
            <w:pPr>
              <w:pStyle w:val="TableText"/>
              <w:ind w:left="98"/>
              <w:spacing w:before="9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8803" w:type="dxa"/>
            <w:vAlign w:val="top"/>
          </w:tcPr>
          <w:p>
            <w:pPr>
              <w:pStyle w:val="TableText"/>
              <w:ind w:left="3914"/>
              <w:spacing w:before="92" w:line="220" w:lineRule="auto"/>
              <w:rPr/>
            </w:pPr>
            <w:r>
              <w:rPr>
                <w:b/>
                <w:bCs/>
                <w:spacing w:val="-5"/>
              </w:rPr>
              <w:t>情节后果</w:t>
            </w:r>
          </w:p>
        </w:tc>
        <w:tc>
          <w:tcPr>
            <w:tcW w:w="3742" w:type="dxa"/>
            <w:vAlign w:val="top"/>
          </w:tcPr>
          <w:p>
            <w:pPr>
              <w:pStyle w:val="TableText"/>
              <w:ind w:left="1301"/>
              <w:spacing w:before="89" w:line="218" w:lineRule="auto"/>
              <w:rPr/>
            </w:pPr>
            <w:r>
              <w:rPr>
                <w:b/>
                <w:bCs/>
                <w:spacing w:val="-5"/>
              </w:rPr>
              <w:t>裁量幅度</w:t>
            </w:r>
          </w:p>
        </w:tc>
      </w:tr>
      <w:tr>
        <w:trPr>
          <w:trHeight w:val="1086" w:hRule="atLeast"/>
        </w:trPr>
        <w:tc>
          <w:tcPr>
            <w:tcW w:w="1364" w:type="dxa"/>
            <w:vAlign w:val="top"/>
          </w:tcPr>
          <w:p>
            <w:pPr>
              <w:spacing w:line="241" w:lineRule="auto"/>
              <w:rPr>
                <w:rFonts w:ascii="Arial"/>
                <w:sz w:val="21"/>
              </w:rPr>
            </w:pPr>
            <w:r/>
          </w:p>
          <w:p>
            <w:pPr>
              <w:pStyle w:val="TableText"/>
              <w:ind w:left="438"/>
              <w:spacing w:before="78" w:line="221" w:lineRule="auto"/>
              <w:rPr/>
            </w:pPr>
            <w:r>
              <w:rPr>
                <w:b/>
                <w:bCs/>
                <w:spacing w:val="-10"/>
              </w:rPr>
              <w:t>一般</w:t>
            </w:r>
          </w:p>
        </w:tc>
        <w:tc>
          <w:tcPr>
            <w:tcW w:w="8803" w:type="dxa"/>
            <w:vAlign w:val="top"/>
          </w:tcPr>
          <w:p>
            <w:pPr>
              <w:pStyle w:val="TableText"/>
              <w:ind w:left="119" w:right="65" w:hanging="49"/>
              <w:spacing w:before="90" w:line="356" w:lineRule="auto"/>
              <w:rPr/>
            </w:pPr>
            <w:r>
              <w:rPr/>
              <w:t>生产、经营、使用消毒产品、隔离防护用品等不符合规定与标准，可能造成传染病</w:t>
            </w:r>
            <w:r>
              <w:rPr>
                <w:spacing w:val="15"/>
              </w:rPr>
              <w:t xml:space="preserve"> </w:t>
            </w:r>
            <w:r>
              <w:rPr/>
              <w:t>的传播、扩散。</w:t>
            </w:r>
          </w:p>
        </w:tc>
        <w:tc>
          <w:tcPr>
            <w:tcW w:w="3742" w:type="dxa"/>
            <w:vAlign w:val="top"/>
          </w:tcPr>
          <w:p>
            <w:pPr>
              <w:spacing w:line="353" w:lineRule="auto"/>
              <w:rPr>
                <w:rFonts w:ascii="Arial"/>
                <w:sz w:val="21"/>
              </w:rPr>
            </w:pPr>
            <w:r/>
          </w:p>
          <w:p>
            <w:pPr>
              <w:pStyle w:val="TableText"/>
              <w:ind w:left="107"/>
              <w:spacing w:before="78" w:line="220" w:lineRule="auto"/>
              <w:rPr/>
            </w:pPr>
            <w:r>
              <w:rPr/>
              <w:t>可以处五千元以下罚款。</w:t>
            </w:r>
          </w:p>
        </w:tc>
      </w:tr>
      <w:tr>
        <w:trPr>
          <w:trHeight w:val="1081" w:hRule="atLeast"/>
        </w:trPr>
        <w:tc>
          <w:tcPr>
            <w:tcW w:w="1364" w:type="dxa"/>
            <w:vAlign w:val="top"/>
          </w:tcPr>
          <w:p>
            <w:pPr>
              <w:spacing w:line="244" w:lineRule="auto"/>
              <w:rPr>
                <w:rFonts w:ascii="Arial"/>
                <w:sz w:val="21"/>
              </w:rPr>
            </w:pPr>
            <w:r/>
          </w:p>
          <w:p>
            <w:pPr>
              <w:pStyle w:val="TableText"/>
              <w:ind w:left="438"/>
              <w:spacing w:before="78" w:line="220" w:lineRule="auto"/>
              <w:rPr/>
            </w:pPr>
            <w:r>
              <w:rPr>
                <w:b/>
                <w:bCs/>
                <w:spacing w:val="-6"/>
              </w:rPr>
              <w:t>严重</w:t>
            </w:r>
          </w:p>
        </w:tc>
        <w:tc>
          <w:tcPr>
            <w:tcW w:w="8803" w:type="dxa"/>
            <w:vAlign w:val="top"/>
          </w:tcPr>
          <w:p>
            <w:pPr>
              <w:pStyle w:val="TableText"/>
              <w:ind w:left="110" w:right="69" w:hanging="40"/>
              <w:spacing w:before="125" w:line="326" w:lineRule="auto"/>
              <w:rPr/>
            </w:pPr>
            <w:r>
              <w:rPr/>
              <w:t>生产、经营、使用消毒产品、隔离防护用品等不符合规定与标准，造成传染病的传</w:t>
            </w:r>
            <w:r>
              <w:rPr>
                <w:spacing w:val="11"/>
              </w:rPr>
              <w:t xml:space="preserve"> </w:t>
            </w:r>
            <w:r>
              <w:rPr>
                <w:spacing w:val="-1"/>
              </w:rPr>
              <w:t>播、扩散。</w:t>
            </w:r>
          </w:p>
        </w:tc>
        <w:tc>
          <w:tcPr>
            <w:tcW w:w="3742" w:type="dxa"/>
            <w:vAlign w:val="top"/>
          </w:tcPr>
          <w:p>
            <w:pPr>
              <w:pStyle w:val="TableText"/>
              <w:ind w:left="107" w:right="245"/>
              <w:spacing w:before="128" w:line="334" w:lineRule="auto"/>
              <w:rPr/>
            </w:pPr>
            <w:r>
              <w:rPr>
                <w:spacing w:val="1"/>
              </w:rPr>
              <w:t>可以处五千元以上二万元以下的</w:t>
            </w:r>
            <w:r>
              <w:rPr>
                <w:spacing w:val="3"/>
              </w:rPr>
              <w:t xml:space="preserve"> </w:t>
            </w:r>
            <w:r>
              <w:rPr/>
              <w:t>罚款。</w:t>
            </w:r>
          </w:p>
        </w:tc>
      </w:tr>
    </w:tbl>
    <w:p>
      <w:pPr>
        <w:pStyle w:val="BodyText"/>
        <w:rPr/>
      </w:pPr>
      <w:r/>
    </w:p>
    <w:p>
      <w:pPr>
        <w:sectPr>
          <w:footerReference w:type="default" r:id="rId226"/>
          <w:pgSz w:w="16830" w:h="11900"/>
          <w:pgMar w:top="1011" w:right="1423" w:bottom="1114" w:left="1405" w:header="0" w:footer="772" w:gutter="0"/>
        </w:sectPr>
        <w:rPr/>
      </w:pPr>
    </w:p>
    <w:p>
      <w:pPr>
        <w:pStyle w:val="BodyText"/>
        <w:spacing w:line="255" w:lineRule="auto"/>
        <w:rPr/>
      </w:pPr>
      <w:r/>
    </w:p>
    <w:p>
      <w:pPr>
        <w:pStyle w:val="BodyText"/>
        <w:spacing w:line="255" w:lineRule="auto"/>
        <w:rPr/>
      </w:pPr>
      <w:r/>
    </w:p>
    <w:p>
      <w:pPr>
        <w:pStyle w:val="BodyText"/>
        <w:spacing w:line="255" w:lineRule="auto"/>
        <w:rPr/>
      </w:pPr>
      <w:r/>
    </w:p>
    <w:p>
      <w:pPr>
        <w:ind w:left="659"/>
        <w:spacing w:before="101" w:line="220" w:lineRule="auto"/>
        <w:outlineLvl w:val="1"/>
        <w:rPr>
          <w:rFonts w:ascii="FangSong" w:hAnsi="FangSong" w:eastAsia="FangSong" w:cs="FangSong"/>
          <w:sz w:val="31"/>
          <w:szCs w:val="31"/>
        </w:rPr>
      </w:pPr>
      <w:bookmarkStart w:name="bookmark878" w:id="221"/>
      <w:bookmarkEnd w:id="221"/>
      <w:bookmarkStart w:name="bookmark186" w:id="222"/>
      <w:bookmarkEnd w:id="222"/>
      <w:r>
        <w:rPr>
          <w:rFonts w:ascii="FangSong" w:hAnsi="FangSong" w:eastAsia="FangSong" w:cs="FangSong"/>
          <w:sz w:val="31"/>
          <w:szCs w:val="31"/>
          <w:b/>
          <w:bCs/>
          <w:spacing w:val="12"/>
        </w:rPr>
        <w:t>第一百五十六条拒绝执行疾病预防控制机构提出的预防、控制措施的</w:t>
      </w:r>
    </w:p>
    <w:p>
      <w:pPr>
        <w:ind w:left="654"/>
        <w:spacing w:before="127"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35" w:firstLine="614"/>
        <w:spacing w:before="62" w:line="271" w:lineRule="auto"/>
        <w:jc w:val="both"/>
        <w:rPr>
          <w:rFonts w:ascii="FangSong" w:hAnsi="FangSong" w:eastAsia="FangSong" w:cs="FangSong"/>
          <w:sz w:val="27"/>
          <w:szCs w:val="27"/>
        </w:rPr>
      </w:pPr>
      <w:r>
        <w:rPr>
          <w:rFonts w:ascii="FangSong" w:hAnsi="FangSong" w:eastAsia="FangSong" w:cs="FangSong"/>
          <w:sz w:val="31"/>
          <w:szCs w:val="31"/>
          <w:spacing w:val="7"/>
        </w:rPr>
        <w:t>《传染性非典型肺炎防治管理办法》第三十八条</w:t>
      </w:r>
      <w:r>
        <w:rPr>
          <w:rFonts w:ascii="FangSong" w:hAnsi="FangSong" w:eastAsia="FangSong" w:cs="FangSong"/>
          <w:sz w:val="31"/>
          <w:szCs w:val="31"/>
          <w:spacing w:val="7"/>
        </w:rPr>
        <w:t xml:space="preserve">  </w:t>
      </w:r>
      <w:r>
        <w:rPr>
          <w:rFonts w:ascii="FangSong" w:hAnsi="FangSong" w:eastAsia="FangSong" w:cs="FangSong"/>
          <w:sz w:val="31"/>
          <w:szCs w:val="31"/>
          <w:spacing w:val="7"/>
        </w:rPr>
        <w:t>有关单位和人员有下列行为之一的，由县级以</w:t>
      </w:r>
      <w:r>
        <w:rPr>
          <w:rFonts w:ascii="FangSong" w:hAnsi="FangSong" w:eastAsia="FangSong" w:cs="FangSong"/>
          <w:sz w:val="31"/>
          <w:szCs w:val="31"/>
        </w:rPr>
        <w:t xml:space="preserve"> </w:t>
      </w:r>
      <w:r>
        <w:rPr>
          <w:rFonts w:ascii="FangSong" w:hAnsi="FangSong" w:eastAsia="FangSong" w:cs="FangSong"/>
          <w:sz w:val="31"/>
          <w:szCs w:val="31"/>
          <w:spacing w:val="7"/>
        </w:rPr>
        <w:t>上卫生行政部门责令改正，可以处五千元以下罚款，情节</w:t>
      </w:r>
      <w:r>
        <w:rPr>
          <w:rFonts w:ascii="FangSong" w:hAnsi="FangSong" w:eastAsia="FangSong" w:cs="FangSong"/>
          <w:sz w:val="31"/>
          <w:szCs w:val="31"/>
          <w:spacing w:val="6"/>
        </w:rPr>
        <w:t>较严重的，可以处五千元以上两万元以下的</w:t>
      </w:r>
      <w:r>
        <w:rPr>
          <w:rFonts w:ascii="FangSong" w:hAnsi="FangSong" w:eastAsia="FangSong" w:cs="FangSong"/>
          <w:sz w:val="31"/>
          <w:szCs w:val="31"/>
        </w:rPr>
        <w:t xml:space="preserve"> </w:t>
      </w:r>
      <w:r>
        <w:rPr>
          <w:rFonts w:ascii="FangSong" w:hAnsi="FangSong" w:eastAsia="FangSong" w:cs="FangSong"/>
          <w:sz w:val="31"/>
          <w:szCs w:val="31"/>
          <w:spacing w:val="7"/>
        </w:rPr>
        <w:t>罚款；对主管人员和直接责任人员，由所在单位或有关部门给予行政处分；构成犯罪的，依法追究刑</w:t>
      </w:r>
      <w:r>
        <w:rPr>
          <w:rFonts w:ascii="FangSong" w:hAnsi="FangSong" w:eastAsia="FangSong" w:cs="FangSong"/>
          <w:sz w:val="31"/>
          <w:szCs w:val="31"/>
          <w:spacing w:val="7"/>
        </w:rPr>
        <w:t xml:space="preserve"> </w:t>
      </w:r>
      <w:r>
        <w:rPr>
          <w:rFonts w:ascii="FangSong" w:hAnsi="FangSong" w:eastAsia="FangSong" w:cs="FangSong"/>
          <w:sz w:val="27"/>
          <w:szCs w:val="27"/>
          <w:spacing w:val="26"/>
        </w:rPr>
        <w:t>事责任：</w:t>
      </w:r>
    </w:p>
    <w:p>
      <w:pPr>
        <w:ind w:left="794"/>
        <w:spacing w:before="1" w:line="220" w:lineRule="auto"/>
        <w:rPr>
          <w:rFonts w:ascii="FangSong" w:hAnsi="FangSong" w:eastAsia="FangSong" w:cs="FangSong"/>
          <w:sz w:val="31"/>
          <w:szCs w:val="31"/>
        </w:rPr>
      </w:pPr>
      <w:r>
        <w:rPr>
          <w:rFonts w:ascii="FangSong" w:hAnsi="FangSong" w:eastAsia="FangSong" w:cs="FangSong"/>
          <w:sz w:val="31"/>
          <w:szCs w:val="31"/>
          <w:spacing w:val="14"/>
        </w:rPr>
        <w:t>(五)拒绝执行疾病预防控制机构提出的预防、控制措施。</w:t>
      </w:r>
    </w:p>
    <w:p>
      <w:pPr>
        <w:ind w:left="6429"/>
        <w:spacing w:before="279" w:line="208"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7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34"/>
        <w:gridCol w:w="7524"/>
        <w:gridCol w:w="4502"/>
      </w:tblGrid>
      <w:tr>
        <w:trPr>
          <w:trHeight w:val="652" w:hRule="atLeast"/>
        </w:trPr>
        <w:tc>
          <w:tcPr>
            <w:tcW w:w="1734" w:type="dxa"/>
            <w:vAlign w:val="top"/>
          </w:tcPr>
          <w:p>
            <w:pPr>
              <w:pStyle w:val="TableText"/>
              <w:ind w:left="378"/>
              <w:spacing w:before="212" w:line="220" w:lineRule="auto"/>
              <w:rPr/>
            </w:pPr>
            <w:r>
              <w:rPr>
                <w:b/>
                <w:bCs/>
                <w:spacing w:val="-5"/>
              </w:rPr>
              <w:t>违法程度</w:t>
            </w:r>
          </w:p>
        </w:tc>
        <w:tc>
          <w:tcPr>
            <w:tcW w:w="7524" w:type="dxa"/>
            <w:vAlign w:val="top"/>
          </w:tcPr>
          <w:p>
            <w:pPr>
              <w:pStyle w:val="TableText"/>
              <w:ind w:left="3194"/>
              <w:spacing w:before="212" w:line="220" w:lineRule="auto"/>
              <w:rPr/>
            </w:pPr>
            <w:r>
              <w:rPr>
                <w:b/>
                <w:bCs/>
                <w:spacing w:val="-5"/>
              </w:rPr>
              <w:t>情节后果</w:t>
            </w:r>
          </w:p>
        </w:tc>
        <w:tc>
          <w:tcPr>
            <w:tcW w:w="4502" w:type="dxa"/>
            <w:vAlign w:val="top"/>
          </w:tcPr>
          <w:p>
            <w:pPr>
              <w:pStyle w:val="TableText"/>
              <w:ind w:left="1700"/>
              <w:spacing w:before="209" w:line="218" w:lineRule="auto"/>
              <w:rPr/>
            </w:pPr>
            <w:r>
              <w:rPr>
                <w:b/>
                <w:bCs/>
                <w:spacing w:val="-5"/>
              </w:rPr>
              <w:t>裁量幅度</w:t>
            </w:r>
          </w:p>
        </w:tc>
      </w:tr>
      <w:tr>
        <w:trPr>
          <w:trHeight w:val="787" w:hRule="atLeast"/>
        </w:trPr>
        <w:tc>
          <w:tcPr>
            <w:tcW w:w="1734" w:type="dxa"/>
            <w:vAlign w:val="top"/>
          </w:tcPr>
          <w:p>
            <w:pPr>
              <w:pStyle w:val="TableText"/>
              <w:ind w:left="618"/>
              <w:spacing w:before="180" w:line="221" w:lineRule="auto"/>
              <w:rPr/>
            </w:pPr>
            <w:r>
              <w:rPr>
                <w:b/>
                <w:bCs/>
                <w:spacing w:val="-10"/>
              </w:rPr>
              <w:t>一般</w:t>
            </w:r>
          </w:p>
        </w:tc>
        <w:tc>
          <w:tcPr>
            <w:tcW w:w="7524" w:type="dxa"/>
            <w:vAlign w:val="top"/>
          </w:tcPr>
          <w:p>
            <w:pPr>
              <w:pStyle w:val="TableText"/>
              <w:ind w:left="121"/>
              <w:spacing w:before="181" w:line="219" w:lineRule="auto"/>
              <w:rPr/>
            </w:pPr>
            <w:r>
              <w:rPr/>
              <w:t>拒绝执行疾病预防控制机构提出的预防、控制措</w:t>
            </w:r>
            <w:r>
              <w:rPr>
                <w:spacing w:val="-1"/>
              </w:rPr>
              <w:t>施。</w:t>
            </w:r>
          </w:p>
        </w:tc>
        <w:tc>
          <w:tcPr>
            <w:tcW w:w="4502" w:type="dxa"/>
            <w:vAlign w:val="top"/>
          </w:tcPr>
          <w:p>
            <w:pPr>
              <w:pStyle w:val="TableText"/>
              <w:ind w:left="146"/>
              <w:spacing w:before="183" w:line="220" w:lineRule="auto"/>
              <w:rPr/>
            </w:pPr>
            <w:r>
              <w:rPr/>
              <w:t>可以处五千元以下罚款。</w:t>
            </w:r>
          </w:p>
        </w:tc>
      </w:tr>
      <w:tr>
        <w:trPr>
          <w:trHeight w:val="1120" w:hRule="atLeast"/>
        </w:trPr>
        <w:tc>
          <w:tcPr>
            <w:tcW w:w="1734" w:type="dxa"/>
            <w:vAlign w:val="top"/>
          </w:tcPr>
          <w:p>
            <w:pPr>
              <w:spacing w:line="263" w:lineRule="auto"/>
              <w:rPr>
                <w:rFonts w:ascii="Arial"/>
                <w:sz w:val="21"/>
              </w:rPr>
            </w:pPr>
            <w:r/>
          </w:p>
          <w:p>
            <w:pPr>
              <w:pStyle w:val="TableText"/>
              <w:ind w:left="618"/>
              <w:spacing w:before="78" w:line="220" w:lineRule="auto"/>
              <w:rPr/>
            </w:pPr>
            <w:r>
              <w:rPr>
                <w:b/>
                <w:bCs/>
                <w:spacing w:val="-6"/>
              </w:rPr>
              <w:t>严重</w:t>
            </w:r>
          </w:p>
        </w:tc>
        <w:tc>
          <w:tcPr>
            <w:tcW w:w="7524" w:type="dxa"/>
            <w:vAlign w:val="top"/>
          </w:tcPr>
          <w:p>
            <w:pPr>
              <w:pStyle w:val="TableText"/>
              <w:ind w:left="120" w:hanging="9"/>
              <w:spacing w:before="114" w:line="348" w:lineRule="auto"/>
              <w:rPr/>
            </w:pPr>
            <w:r>
              <w:rPr>
                <w:spacing w:val="-1"/>
              </w:rPr>
              <w:t>拒绝执行疾病预防控制机构提出的预防、控制措施，</w:t>
            </w:r>
            <w:r>
              <w:rPr>
                <w:spacing w:val="-2"/>
              </w:rPr>
              <w:t>造成传染性非典型</w:t>
            </w:r>
            <w:r>
              <w:rPr/>
              <w:t xml:space="preserve"> </w:t>
            </w:r>
            <w:r>
              <w:rPr>
                <w:spacing w:val="-1"/>
              </w:rPr>
              <w:t>肺炎的传播、扩散。</w:t>
            </w:r>
          </w:p>
        </w:tc>
        <w:tc>
          <w:tcPr>
            <w:tcW w:w="4502" w:type="dxa"/>
            <w:vAlign w:val="top"/>
          </w:tcPr>
          <w:p>
            <w:pPr>
              <w:spacing w:line="286" w:lineRule="auto"/>
              <w:rPr>
                <w:rFonts w:ascii="Arial"/>
                <w:sz w:val="21"/>
              </w:rPr>
            </w:pPr>
            <w:r/>
          </w:p>
          <w:p>
            <w:pPr>
              <w:pStyle w:val="TableText"/>
              <w:ind w:left="146"/>
              <w:spacing w:before="78" w:line="220" w:lineRule="auto"/>
              <w:rPr/>
            </w:pPr>
            <w:r>
              <w:rPr>
                <w:spacing w:val="-1"/>
              </w:rPr>
              <w:t>可以处五千元以上二万元以下的罚款。</w:t>
            </w:r>
          </w:p>
        </w:tc>
      </w:tr>
    </w:tbl>
    <w:p>
      <w:pPr>
        <w:pStyle w:val="BodyText"/>
        <w:spacing w:line="414" w:lineRule="auto"/>
        <w:rPr/>
      </w:pPr>
      <w:r/>
    </w:p>
    <w:p>
      <w:pPr>
        <w:ind w:left="659"/>
        <w:spacing w:before="100" w:line="220" w:lineRule="auto"/>
        <w:rPr>
          <w:rFonts w:ascii="FangSong" w:hAnsi="FangSong" w:eastAsia="FangSong" w:cs="FangSong"/>
          <w:sz w:val="31"/>
          <w:szCs w:val="31"/>
        </w:rPr>
      </w:pPr>
      <w:r>
        <w:rPr>
          <w:rFonts w:ascii="FangSong" w:hAnsi="FangSong" w:eastAsia="FangSong" w:cs="FangSong"/>
          <w:sz w:val="31"/>
          <w:szCs w:val="31"/>
          <w:b/>
          <w:bCs/>
          <w:spacing w:val="12"/>
        </w:rPr>
        <w:t>第一百五十七条病人或者疑似病人故意传播传染</w:t>
      </w:r>
      <w:r>
        <w:rPr>
          <w:rFonts w:ascii="FangSong" w:hAnsi="FangSong" w:eastAsia="FangSong" w:cs="FangSong"/>
          <w:sz w:val="31"/>
          <w:szCs w:val="31"/>
          <w:b/>
          <w:bCs/>
          <w:spacing w:val="11"/>
        </w:rPr>
        <w:t>性非典型肺炎，造成他人感染的</w:t>
      </w:r>
    </w:p>
    <w:p>
      <w:pPr>
        <w:ind w:left="654"/>
        <w:spacing w:before="118"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spacing w:line="222" w:lineRule="auto"/>
        <w:sectPr>
          <w:footerReference w:type="default" r:id="rId227"/>
          <w:pgSz w:w="16830" w:h="11900"/>
          <w:pgMar w:top="1011" w:right="1423" w:bottom="1115" w:left="1414" w:header="0" w:footer="773" w:gutter="0"/>
        </w:sectPr>
        <w:rPr>
          <w:rFonts w:ascii="FangSong" w:hAnsi="FangSong" w:eastAsia="FangSong" w:cs="FangSong"/>
          <w:sz w:val="27"/>
          <w:szCs w:val="27"/>
        </w:rPr>
      </w:pPr>
    </w:p>
    <w:p>
      <w:pPr>
        <w:pStyle w:val="BodyText"/>
        <w:spacing w:line="270" w:lineRule="auto"/>
        <w:rPr/>
      </w:pPr>
      <w:r/>
    </w:p>
    <w:p>
      <w:pPr>
        <w:pStyle w:val="BodyText"/>
        <w:spacing w:line="271" w:lineRule="auto"/>
        <w:rPr/>
      </w:pPr>
      <w:r/>
    </w:p>
    <w:p>
      <w:pPr>
        <w:pStyle w:val="BodyText"/>
        <w:spacing w:line="271" w:lineRule="auto"/>
        <w:rPr/>
      </w:pPr>
      <w:r/>
    </w:p>
    <w:p>
      <w:pPr>
        <w:spacing w:before="97" w:line="220" w:lineRule="auto"/>
        <w:outlineLvl w:val="1"/>
        <w:jc w:val="right"/>
        <w:rPr>
          <w:rFonts w:ascii="FangSong" w:hAnsi="FangSong" w:eastAsia="FangSong" w:cs="FangSong"/>
          <w:sz w:val="30"/>
          <w:szCs w:val="30"/>
        </w:rPr>
      </w:pPr>
      <w:bookmarkStart w:name="bookmark186" w:id="223"/>
      <w:bookmarkEnd w:id="223"/>
      <w:r>
        <w:rPr>
          <w:rFonts w:ascii="FangSong" w:hAnsi="FangSong" w:eastAsia="FangSong" w:cs="FangSong"/>
          <w:sz w:val="30"/>
          <w:szCs w:val="30"/>
          <w:spacing w:val="17"/>
        </w:rPr>
        <w:t>《传染性非典型肺炎防治管理办法》第三十八条</w:t>
      </w:r>
      <w:r>
        <w:rPr>
          <w:rFonts w:ascii="FangSong" w:hAnsi="FangSong" w:eastAsia="FangSong" w:cs="FangSong"/>
          <w:sz w:val="30"/>
          <w:szCs w:val="30"/>
          <w:spacing w:val="17"/>
        </w:rPr>
        <w:t xml:space="preserve">  </w:t>
      </w:r>
      <w:r>
        <w:rPr>
          <w:rFonts w:ascii="FangSong" w:hAnsi="FangSong" w:eastAsia="FangSong" w:cs="FangSong"/>
          <w:sz w:val="30"/>
          <w:szCs w:val="30"/>
          <w:spacing w:val="17"/>
        </w:rPr>
        <w:t>有关</w:t>
      </w:r>
      <w:r>
        <w:rPr>
          <w:rFonts w:ascii="FangSong" w:hAnsi="FangSong" w:eastAsia="FangSong" w:cs="FangSong"/>
          <w:sz w:val="30"/>
          <w:szCs w:val="30"/>
          <w:spacing w:val="16"/>
        </w:rPr>
        <w:t>单位和人员有下列行为之一的，由县级以</w:t>
      </w:r>
    </w:p>
    <w:p>
      <w:pPr>
        <w:ind w:left="55"/>
        <w:spacing w:before="85" w:line="264" w:lineRule="auto"/>
        <w:jc w:val="both"/>
        <w:rPr>
          <w:rFonts w:ascii="FangSong" w:hAnsi="FangSong" w:eastAsia="FangSong" w:cs="FangSong"/>
          <w:sz w:val="30"/>
          <w:szCs w:val="30"/>
        </w:rPr>
      </w:pPr>
      <w:r>
        <w:rPr>
          <w:rFonts w:ascii="FangSong" w:hAnsi="FangSong" w:eastAsia="FangSong" w:cs="FangSong"/>
          <w:sz w:val="30"/>
          <w:szCs w:val="30"/>
          <w:spacing w:val="17"/>
        </w:rPr>
        <w:t>上卫生行政部门责令改正，可以处五千元以下罚款，情</w:t>
      </w:r>
      <w:r>
        <w:rPr>
          <w:rFonts w:ascii="FangSong" w:hAnsi="FangSong" w:eastAsia="FangSong" w:cs="FangSong"/>
          <w:sz w:val="30"/>
          <w:szCs w:val="30"/>
          <w:spacing w:val="16"/>
        </w:rPr>
        <w:t>节较严重的，可以处五千元以上两万元以下的</w:t>
      </w:r>
      <w:r>
        <w:rPr>
          <w:rFonts w:ascii="FangSong" w:hAnsi="FangSong" w:eastAsia="FangSong" w:cs="FangSong"/>
          <w:sz w:val="30"/>
          <w:szCs w:val="30"/>
        </w:rPr>
        <w:t xml:space="preserve"> </w:t>
      </w:r>
      <w:r>
        <w:rPr>
          <w:rFonts w:ascii="FangSong" w:hAnsi="FangSong" w:eastAsia="FangSong" w:cs="FangSong"/>
          <w:sz w:val="30"/>
          <w:szCs w:val="30"/>
          <w:spacing w:val="17"/>
        </w:rPr>
        <w:t>罚款；对主管人员和直接责任人员，由所在单位或有关部门给予行</w:t>
      </w:r>
      <w:r>
        <w:rPr>
          <w:rFonts w:ascii="FangSong" w:hAnsi="FangSong" w:eastAsia="FangSong" w:cs="FangSong"/>
          <w:sz w:val="30"/>
          <w:szCs w:val="30"/>
          <w:spacing w:val="16"/>
        </w:rPr>
        <w:t>政处分；构成犯罪的，依法追究刑</w:t>
      </w:r>
      <w:r>
        <w:rPr>
          <w:rFonts w:ascii="FangSong" w:hAnsi="FangSong" w:eastAsia="FangSong" w:cs="FangSong"/>
          <w:sz w:val="30"/>
          <w:szCs w:val="30"/>
        </w:rPr>
        <w:t xml:space="preserve"> </w:t>
      </w:r>
      <w:r>
        <w:rPr>
          <w:rFonts w:ascii="FangSong" w:hAnsi="FangSong" w:eastAsia="FangSong" w:cs="FangSong"/>
          <w:sz w:val="30"/>
          <w:szCs w:val="30"/>
          <w:spacing w:val="-2"/>
        </w:rPr>
        <w:t>事责任：</w:t>
      </w:r>
    </w:p>
    <w:p>
      <w:pPr>
        <w:ind w:left="825"/>
        <w:spacing w:line="220" w:lineRule="auto"/>
        <w:rPr>
          <w:rFonts w:ascii="FangSong" w:hAnsi="FangSong" w:eastAsia="FangSong" w:cs="FangSong"/>
          <w:sz w:val="30"/>
          <w:szCs w:val="30"/>
        </w:rPr>
      </w:pPr>
      <w:r>
        <w:rPr>
          <w:rFonts w:ascii="FangSong" w:hAnsi="FangSong" w:eastAsia="FangSong" w:cs="FangSong"/>
          <w:sz w:val="30"/>
          <w:szCs w:val="30"/>
          <w:spacing w:val="23"/>
        </w:rPr>
        <w:t>(六)病人或者疑似病人故意传播传染性非典型肺炎，造成他人感染。</w:t>
      </w:r>
    </w:p>
    <w:p>
      <w:pPr>
        <w:ind w:left="6459"/>
        <w:spacing w:before="294" w:line="202"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9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14"/>
        <w:gridCol w:w="6905"/>
        <w:gridCol w:w="5351"/>
      </w:tblGrid>
      <w:tr>
        <w:trPr>
          <w:trHeight w:val="633" w:hRule="atLeast"/>
        </w:trPr>
        <w:tc>
          <w:tcPr>
            <w:tcW w:w="1714" w:type="dxa"/>
            <w:vAlign w:val="top"/>
          </w:tcPr>
          <w:p>
            <w:pPr>
              <w:pStyle w:val="TableText"/>
              <w:ind w:left="268"/>
              <w:spacing w:before="20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6905" w:type="dxa"/>
            <w:vAlign w:val="top"/>
          </w:tcPr>
          <w:p>
            <w:pPr>
              <w:pStyle w:val="TableText"/>
              <w:ind w:left="2964"/>
              <w:spacing w:before="202" w:line="220" w:lineRule="auto"/>
              <w:rPr/>
            </w:pPr>
            <w:r>
              <w:rPr>
                <w:b/>
                <w:bCs/>
                <w:spacing w:val="-5"/>
              </w:rPr>
              <w:t>情节后果</w:t>
            </w:r>
          </w:p>
        </w:tc>
        <w:tc>
          <w:tcPr>
            <w:tcW w:w="5351" w:type="dxa"/>
            <w:vAlign w:val="top"/>
          </w:tcPr>
          <w:p>
            <w:pPr>
              <w:pStyle w:val="TableText"/>
              <w:ind w:left="2119"/>
              <w:spacing w:before="199" w:line="218" w:lineRule="auto"/>
              <w:rPr/>
            </w:pPr>
            <w:r>
              <w:rPr>
                <w:b/>
                <w:bCs/>
                <w:spacing w:val="-5"/>
              </w:rPr>
              <w:t>裁量幅度</w:t>
            </w:r>
          </w:p>
        </w:tc>
      </w:tr>
      <w:tr>
        <w:trPr>
          <w:trHeight w:val="667" w:hRule="atLeast"/>
        </w:trPr>
        <w:tc>
          <w:tcPr>
            <w:tcW w:w="1714" w:type="dxa"/>
            <w:vAlign w:val="top"/>
          </w:tcPr>
          <w:p>
            <w:pPr>
              <w:pStyle w:val="TableText"/>
              <w:ind w:left="608"/>
              <w:spacing w:before="119" w:line="221" w:lineRule="auto"/>
              <w:rPr/>
            </w:pPr>
            <w:r>
              <w:rPr>
                <w:b/>
                <w:bCs/>
                <w:spacing w:val="-10"/>
              </w:rPr>
              <w:t>一般</w:t>
            </w:r>
          </w:p>
        </w:tc>
        <w:tc>
          <w:tcPr>
            <w:tcW w:w="6905" w:type="dxa"/>
            <w:vAlign w:val="top"/>
          </w:tcPr>
          <w:p>
            <w:pPr>
              <w:pStyle w:val="TableText"/>
              <w:ind w:left="141"/>
              <w:spacing w:before="130" w:line="219" w:lineRule="auto"/>
              <w:rPr/>
            </w:pPr>
            <w:r>
              <w:rPr/>
              <w:t>病人或者疑似病人故意传播传染性非典型肺炎，造成一人感染。</w:t>
            </w:r>
          </w:p>
        </w:tc>
        <w:tc>
          <w:tcPr>
            <w:tcW w:w="5351" w:type="dxa"/>
            <w:vAlign w:val="top"/>
          </w:tcPr>
          <w:p>
            <w:pPr>
              <w:pStyle w:val="TableText"/>
              <w:ind w:left="126"/>
              <w:spacing w:before="142" w:line="220" w:lineRule="auto"/>
              <w:rPr/>
            </w:pPr>
            <w:r>
              <w:rPr>
                <w:spacing w:val="-1"/>
              </w:rPr>
              <w:t>可以处五千元以下罚款。</w:t>
            </w:r>
          </w:p>
        </w:tc>
      </w:tr>
      <w:tr>
        <w:trPr>
          <w:trHeight w:val="638" w:hRule="atLeast"/>
        </w:trPr>
        <w:tc>
          <w:tcPr>
            <w:tcW w:w="1714" w:type="dxa"/>
            <w:vAlign w:val="top"/>
            <w:vMerge w:val="restart"/>
            <w:tcBorders>
              <w:bottom w:val="nil"/>
            </w:tcBorders>
          </w:tcPr>
          <w:p>
            <w:pPr>
              <w:spacing w:line="330" w:lineRule="auto"/>
              <w:rPr>
                <w:rFonts w:ascii="Arial"/>
                <w:sz w:val="21"/>
              </w:rPr>
            </w:pPr>
            <w:r/>
          </w:p>
          <w:p>
            <w:pPr>
              <w:spacing w:line="330" w:lineRule="auto"/>
              <w:rPr>
                <w:rFonts w:ascii="Arial"/>
                <w:sz w:val="21"/>
              </w:rPr>
            </w:pPr>
            <w:r/>
          </w:p>
          <w:p>
            <w:pPr>
              <w:pStyle w:val="TableText"/>
              <w:ind w:left="608"/>
              <w:spacing w:before="78" w:line="220" w:lineRule="auto"/>
              <w:rPr/>
            </w:pPr>
            <w:r>
              <w:rPr>
                <w:b/>
                <w:bCs/>
                <w:spacing w:val="-6"/>
              </w:rPr>
              <w:t>严重</w:t>
            </w:r>
          </w:p>
        </w:tc>
        <w:tc>
          <w:tcPr>
            <w:tcW w:w="6905" w:type="dxa"/>
            <w:vAlign w:val="top"/>
          </w:tcPr>
          <w:p>
            <w:pPr>
              <w:pStyle w:val="TableText"/>
              <w:spacing w:before="103" w:line="219" w:lineRule="auto"/>
              <w:jc w:val="right"/>
              <w:rPr/>
            </w:pPr>
            <w:r>
              <w:rPr>
                <w:spacing w:val="3"/>
              </w:rPr>
              <w:t>病人或者疑似病人故意传播传染性非典型肺炎，造成二人感染；</w:t>
            </w:r>
          </w:p>
        </w:tc>
        <w:tc>
          <w:tcPr>
            <w:tcW w:w="5351" w:type="dxa"/>
            <w:vAlign w:val="top"/>
          </w:tcPr>
          <w:p>
            <w:pPr>
              <w:pStyle w:val="TableText"/>
              <w:ind w:left="126"/>
              <w:spacing w:before="105" w:line="220" w:lineRule="auto"/>
              <w:rPr/>
            </w:pPr>
            <w:r>
              <w:rPr>
                <w:spacing w:val="7"/>
              </w:rPr>
              <w:t>可以处五千元以上一万元以下的罚款；</w:t>
            </w:r>
          </w:p>
        </w:tc>
      </w:tr>
      <w:tr>
        <w:trPr>
          <w:trHeight w:val="1061" w:hRule="atLeast"/>
        </w:trPr>
        <w:tc>
          <w:tcPr>
            <w:tcW w:w="1714" w:type="dxa"/>
            <w:vAlign w:val="top"/>
            <w:vMerge w:val="continue"/>
            <w:tcBorders>
              <w:top w:val="nil"/>
            </w:tcBorders>
          </w:tcPr>
          <w:p>
            <w:pPr>
              <w:rPr>
                <w:rFonts w:ascii="Arial"/>
                <w:sz w:val="21"/>
              </w:rPr>
            </w:pPr>
            <w:r/>
          </w:p>
        </w:tc>
        <w:tc>
          <w:tcPr>
            <w:tcW w:w="6905" w:type="dxa"/>
            <w:vAlign w:val="top"/>
          </w:tcPr>
          <w:p>
            <w:pPr>
              <w:pStyle w:val="TableText"/>
              <w:ind w:left="84"/>
              <w:spacing w:before="101" w:line="219" w:lineRule="auto"/>
              <w:rPr/>
            </w:pPr>
            <w:r>
              <w:rPr>
                <w:b/>
                <w:bCs/>
                <w:spacing w:val="-3"/>
              </w:rPr>
              <w:t>病人或者疑似病人故意传播传染性非典型肺炎，造成三人以上感</w:t>
            </w:r>
          </w:p>
          <w:p>
            <w:pPr>
              <w:pStyle w:val="TableText"/>
              <w:ind w:left="114"/>
              <w:spacing w:before="157" w:line="220" w:lineRule="auto"/>
              <w:rPr/>
            </w:pPr>
            <w:r>
              <w:rPr>
                <w:b/>
                <w:bCs/>
                <w:color w:val="608080"/>
                <w:spacing w:val="-5"/>
              </w:rPr>
              <w:t>染。</w:t>
            </w:r>
          </w:p>
        </w:tc>
        <w:tc>
          <w:tcPr>
            <w:tcW w:w="5351" w:type="dxa"/>
            <w:vAlign w:val="top"/>
          </w:tcPr>
          <w:p>
            <w:pPr>
              <w:spacing w:line="337" w:lineRule="auto"/>
              <w:rPr>
                <w:rFonts w:ascii="Arial"/>
                <w:sz w:val="21"/>
              </w:rPr>
            </w:pPr>
            <w:r/>
          </w:p>
          <w:p>
            <w:pPr>
              <w:pStyle w:val="TableText"/>
              <w:ind w:left="126"/>
              <w:spacing w:before="78" w:line="220" w:lineRule="auto"/>
              <w:rPr/>
            </w:pPr>
            <w:r>
              <w:rPr>
                <w:spacing w:val="-1"/>
              </w:rPr>
              <w:t>可以处一万元以上二万元以下的罚款。</w:t>
            </w:r>
          </w:p>
        </w:tc>
      </w:tr>
    </w:tbl>
    <w:p>
      <w:pPr>
        <w:pStyle w:val="BodyText"/>
        <w:rPr/>
      </w:pPr>
      <w:r/>
    </w:p>
    <w:p>
      <w:pPr>
        <w:sectPr>
          <w:footerReference w:type="default" r:id="rId228"/>
          <w:pgSz w:w="16830" w:h="11900"/>
          <w:pgMar w:top="1011" w:right="1445" w:bottom="1097" w:left="1394" w:header="0" w:footer="764" w:gutter="0"/>
        </w:sectPr>
        <w:rPr/>
      </w:pPr>
    </w:p>
    <w:p>
      <w:pPr>
        <w:pStyle w:val="BodyText"/>
        <w:spacing w:line="253" w:lineRule="auto"/>
        <w:rPr/>
      </w:pPr>
      <w:r/>
    </w:p>
    <w:p>
      <w:pPr>
        <w:pStyle w:val="BodyText"/>
        <w:spacing w:line="254" w:lineRule="auto"/>
        <w:rPr/>
      </w:pPr>
      <w:r/>
    </w:p>
    <w:p>
      <w:pPr>
        <w:pStyle w:val="BodyText"/>
        <w:spacing w:line="254" w:lineRule="auto"/>
        <w:rPr/>
      </w:pPr>
      <w:r/>
    </w:p>
    <w:p>
      <w:pPr>
        <w:ind w:left="199"/>
        <w:spacing w:before="101" w:line="219" w:lineRule="auto"/>
        <w:outlineLvl w:val="1"/>
        <w:rPr>
          <w:rFonts w:ascii="SimSun" w:hAnsi="SimSun" w:eastAsia="SimSun" w:cs="SimSun"/>
          <w:sz w:val="31"/>
          <w:szCs w:val="31"/>
        </w:rPr>
      </w:pPr>
      <w:bookmarkStart w:name="bookmark879" w:id="224"/>
      <w:bookmarkEnd w:id="224"/>
      <w:bookmarkStart w:name="bookmark186" w:id="225"/>
      <w:bookmarkEnd w:id="225"/>
      <w:r>
        <w:rPr>
          <w:rFonts w:ascii="SimSun" w:hAnsi="SimSun" w:eastAsia="SimSun" w:cs="SimSun"/>
          <w:sz w:val="31"/>
          <w:szCs w:val="31"/>
          <w:b/>
          <w:bCs/>
          <w:spacing w:val="15"/>
        </w:rPr>
        <w:t>(十八)《中华人民共和国生物安全法》</w:t>
      </w:r>
    </w:p>
    <w:p>
      <w:pPr>
        <w:pStyle w:val="BodyText"/>
        <w:spacing w:line="265" w:lineRule="auto"/>
        <w:rPr/>
      </w:pPr>
      <w:r/>
    </w:p>
    <w:p>
      <w:pPr>
        <w:pStyle w:val="BodyText"/>
        <w:spacing w:line="266" w:lineRule="auto"/>
        <w:rPr/>
      </w:pPr>
      <w:r/>
    </w:p>
    <w:p>
      <w:pPr>
        <w:ind w:left="49" w:right="236" w:firstLine="629"/>
        <w:spacing w:before="101" w:line="256" w:lineRule="auto"/>
        <w:rPr>
          <w:rFonts w:ascii="FangSong" w:hAnsi="FangSong" w:eastAsia="FangSong" w:cs="FangSong"/>
          <w:sz w:val="31"/>
          <w:szCs w:val="31"/>
        </w:rPr>
      </w:pPr>
      <w:r>
        <w:rPr>
          <w:rFonts w:ascii="FangSong" w:hAnsi="FangSong" w:eastAsia="FangSong" w:cs="FangSong"/>
          <w:sz w:val="31"/>
          <w:szCs w:val="31"/>
          <w:b/>
          <w:bCs/>
          <w:spacing w:val="8"/>
        </w:rPr>
        <w:t>第一百五十八条</w:t>
      </w:r>
      <w:r>
        <w:rPr>
          <w:rFonts w:ascii="FangSong" w:hAnsi="FangSong" w:eastAsia="FangSong" w:cs="FangSong"/>
          <w:sz w:val="31"/>
          <w:szCs w:val="31"/>
          <w:spacing w:val="131"/>
        </w:rPr>
        <w:t xml:space="preserve"> </w:t>
      </w:r>
      <w:r>
        <w:rPr>
          <w:rFonts w:ascii="FangSong" w:hAnsi="FangSong" w:eastAsia="FangSong" w:cs="FangSong"/>
          <w:sz w:val="31"/>
          <w:szCs w:val="31"/>
          <w:b/>
          <w:bCs/>
          <w:spacing w:val="8"/>
        </w:rPr>
        <w:t>医疗机构、专业机构或者其工作人员瞒报、谎报、缓报、漏报，授</w:t>
      </w:r>
      <w:r>
        <w:rPr>
          <w:rFonts w:ascii="FangSong" w:hAnsi="FangSong" w:eastAsia="FangSong" w:cs="FangSong"/>
          <w:sz w:val="31"/>
          <w:szCs w:val="31"/>
          <w:b/>
          <w:bCs/>
          <w:spacing w:val="7"/>
        </w:rPr>
        <w:t>意他人瞒</w:t>
      </w:r>
      <w:r>
        <w:rPr>
          <w:rFonts w:ascii="FangSong" w:hAnsi="FangSong" w:eastAsia="FangSong" w:cs="FangSong"/>
          <w:sz w:val="31"/>
          <w:szCs w:val="31"/>
        </w:rPr>
        <w:t xml:space="preserve"> </w:t>
      </w:r>
      <w:r>
        <w:rPr>
          <w:rFonts w:ascii="FangSong" w:hAnsi="FangSong" w:eastAsia="FangSong" w:cs="FangSong"/>
          <w:sz w:val="31"/>
          <w:szCs w:val="31"/>
          <w:b/>
          <w:bCs/>
          <w:spacing w:val="7"/>
        </w:rPr>
        <w:t>报、谎报、缓报，或者阻碍他人报告传染病、动植物疫病或者不明原因的聚集性疾病的</w:t>
      </w:r>
    </w:p>
    <w:p>
      <w:pPr>
        <w:ind w:left="675"/>
        <w:spacing w:before="47"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669"/>
        <w:spacing w:before="283" w:line="221" w:lineRule="auto"/>
        <w:rPr>
          <w:rFonts w:ascii="FangSong" w:hAnsi="FangSong" w:eastAsia="FangSong" w:cs="FangSong"/>
          <w:sz w:val="31"/>
          <w:szCs w:val="31"/>
        </w:rPr>
      </w:pPr>
      <w:r>
        <w:rPr>
          <w:rFonts w:ascii="FangSong" w:hAnsi="FangSong" w:eastAsia="FangSong" w:cs="FangSong"/>
          <w:sz w:val="31"/>
          <w:szCs w:val="31"/>
          <w:spacing w:val="9"/>
        </w:rPr>
        <w:t>《中华人民共和国生物安全法》第七十三条第一款</w:t>
      </w:r>
    </w:p>
    <w:p>
      <w:pPr>
        <w:ind w:left="45" w:firstLine="629"/>
        <w:spacing w:before="57" w:line="262" w:lineRule="auto"/>
        <w:rPr>
          <w:rFonts w:ascii="FangSong" w:hAnsi="FangSong" w:eastAsia="FangSong" w:cs="FangSong"/>
          <w:sz w:val="31"/>
          <w:szCs w:val="31"/>
        </w:rPr>
      </w:pPr>
      <w:r>
        <w:rPr>
          <w:rFonts w:ascii="FangSong" w:hAnsi="FangSong" w:eastAsia="FangSong" w:cs="FangSong"/>
          <w:sz w:val="31"/>
          <w:szCs w:val="31"/>
          <w:spacing w:val="8"/>
        </w:rPr>
        <w:t>违反本法规定，医疗机构、专业机构或者其工作人员瞒报、谎报、缓报、漏报，授意他人瞒报、</w:t>
      </w:r>
      <w:r>
        <w:rPr>
          <w:rFonts w:ascii="FangSong" w:hAnsi="FangSong" w:eastAsia="FangSong" w:cs="FangSong"/>
          <w:sz w:val="31"/>
          <w:szCs w:val="31"/>
          <w:spacing w:val="17"/>
        </w:rPr>
        <w:t xml:space="preserve"> </w:t>
      </w:r>
      <w:r>
        <w:rPr>
          <w:rFonts w:ascii="FangSong" w:hAnsi="FangSong" w:eastAsia="FangSong" w:cs="FangSong"/>
          <w:sz w:val="31"/>
          <w:szCs w:val="31"/>
          <w:spacing w:val="6"/>
        </w:rPr>
        <w:t>谎报、缓报，或者阻碍他人报告传染病、动植物疫病或者不明原因的聚集性疾病的，由县级以上人民</w:t>
      </w:r>
      <w:r>
        <w:rPr>
          <w:rFonts w:ascii="FangSong" w:hAnsi="FangSong" w:eastAsia="FangSong" w:cs="FangSong"/>
          <w:sz w:val="31"/>
          <w:szCs w:val="31"/>
          <w:spacing w:val="5"/>
        </w:rPr>
        <w:t xml:space="preserve"> </w:t>
      </w:r>
      <w:r>
        <w:rPr>
          <w:rFonts w:ascii="FangSong" w:hAnsi="FangSong" w:eastAsia="FangSong" w:cs="FangSong"/>
          <w:sz w:val="31"/>
          <w:szCs w:val="31"/>
          <w:spacing w:val="6"/>
        </w:rPr>
        <w:t>政府有关部门责令改正，给予警告；对法定代表人、主要负责人、直接负责的主管人员和其他直接责</w:t>
      </w:r>
      <w:r>
        <w:rPr>
          <w:rFonts w:ascii="FangSong" w:hAnsi="FangSong" w:eastAsia="FangSong" w:cs="FangSong"/>
          <w:sz w:val="31"/>
          <w:szCs w:val="31"/>
          <w:spacing w:val="3"/>
        </w:rPr>
        <w:t xml:space="preserve"> </w:t>
      </w:r>
      <w:r>
        <w:rPr>
          <w:rFonts w:ascii="FangSong" w:hAnsi="FangSong" w:eastAsia="FangSong" w:cs="FangSong"/>
          <w:sz w:val="31"/>
          <w:szCs w:val="31"/>
          <w:spacing w:val="9"/>
        </w:rPr>
        <w:t>任人员，依法给予处分，并可以依法暂停一定期限的执业活动直至</w:t>
      </w:r>
      <w:r>
        <w:rPr>
          <w:rFonts w:ascii="FangSong" w:hAnsi="FangSong" w:eastAsia="FangSong" w:cs="FangSong"/>
          <w:sz w:val="31"/>
          <w:szCs w:val="31"/>
          <w:spacing w:val="8"/>
        </w:rPr>
        <w:t>吊销相关执业证书。</w:t>
      </w:r>
    </w:p>
    <w:p>
      <w:pPr>
        <w:ind w:left="6449"/>
        <w:spacing w:before="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9" w:lineRule="auto"/>
        <w:rPr>
          <w:rFonts w:ascii="Arial"/>
          <w:sz w:val="2"/>
        </w:rPr>
      </w:pPr>
      <w:r>
        <w:rPr>
          <w:rFonts w:ascii="Arial"/>
          <w:sz w:val="2"/>
        </w:rPr>
      </w:r>
    </w:p>
    <w:tbl>
      <w:tblPr>
        <w:tblStyle w:val="TableNormal"/>
        <w:tblW w:w="139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44"/>
        <w:gridCol w:w="7655"/>
        <w:gridCol w:w="5451"/>
      </w:tblGrid>
      <w:tr>
        <w:trPr>
          <w:trHeight w:val="1082" w:hRule="atLeast"/>
        </w:trPr>
        <w:tc>
          <w:tcPr>
            <w:tcW w:w="844" w:type="dxa"/>
            <w:vAlign w:val="top"/>
          </w:tcPr>
          <w:p>
            <w:pPr>
              <w:pStyle w:val="TableText"/>
              <w:ind w:left="128"/>
              <w:spacing w:before="78" w:line="225" w:lineRule="auto"/>
              <w:rPr/>
            </w:pPr>
            <w:r>
              <w:rPr>
                <w:b/>
                <w:bCs/>
                <w:spacing w:val="-5"/>
              </w:rPr>
              <w:t>违法</w:t>
            </w:r>
          </w:p>
          <w:p>
            <w:pPr>
              <w:pStyle w:val="TableText"/>
              <w:ind w:left="118"/>
              <w:spacing w:before="160" w:line="220" w:lineRule="auto"/>
              <w:rPr/>
            </w:pPr>
            <w:r>
              <w:rPr>
                <w:b/>
                <w:bCs/>
                <w:spacing w:val="-5"/>
              </w:rPr>
              <w:t>程度</w:t>
            </w:r>
          </w:p>
        </w:tc>
        <w:tc>
          <w:tcPr>
            <w:tcW w:w="7655" w:type="dxa"/>
            <w:vAlign w:val="top"/>
          </w:tcPr>
          <w:p>
            <w:pPr>
              <w:spacing w:line="342" w:lineRule="auto"/>
              <w:rPr>
                <w:rFonts w:ascii="Arial"/>
                <w:sz w:val="21"/>
              </w:rPr>
            </w:pPr>
            <w:r/>
          </w:p>
          <w:p>
            <w:pPr>
              <w:pStyle w:val="TableText"/>
              <w:ind w:left="3254"/>
              <w:spacing w:before="78" w:line="220" w:lineRule="auto"/>
              <w:rPr/>
            </w:pPr>
            <w:r>
              <w:rPr>
                <w:b/>
                <w:bCs/>
                <w:spacing w:val="-5"/>
              </w:rPr>
              <w:t>情节后果</w:t>
            </w:r>
          </w:p>
        </w:tc>
        <w:tc>
          <w:tcPr>
            <w:tcW w:w="5451" w:type="dxa"/>
            <w:vAlign w:val="top"/>
          </w:tcPr>
          <w:p>
            <w:pPr>
              <w:spacing w:line="339" w:lineRule="auto"/>
              <w:rPr>
                <w:rFonts w:ascii="Arial"/>
                <w:sz w:val="21"/>
              </w:rPr>
            </w:pPr>
            <w:r/>
          </w:p>
          <w:p>
            <w:pPr>
              <w:pStyle w:val="TableText"/>
              <w:ind w:left="2239"/>
              <w:spacing w:before="78" w:line="218" w:lineRule="auto"/>
              <w:rPr/>
            </w:pPr>
            <w:r>
              <w:rPr>
                <w:b/>
                <w:bCs/>
                <w:spacing w:val="-5"/>
              </w:rPr>
              <w:t>裁量幅度</w:t>
            </w:r>
          </w:p>
        </w:tc>
      </w:tr>
      <w:tr>
        <w:trPr>
          <w:trHeight w:val="608" w:hRule="atLeast"/>
        </w:trPr>
        <w:tc>
          <w:tcPr>
            <w:tcW w:w="844" w:type="dxa"/>
            <w:vAlign w:val="top"/>
          </w:tcPr>
          <w:p>
            <w:pPr>
              <w:pStyle w:val="TableText"/>
              <w:ind w:left="88"/>
              <w:spacing w:before="90" w:line="221" w:lineRule="auto"/>
              <w:rPr/>
            </w:pPr>
            <w:r>
              <w:rPr>
                <w:b/>
                <w:bCs/>
                <w:spacing w:val="-10"/>
              </w:rPr>
              <w:t>一般</w:t>
            </w:r>
          </w:p>
        </w:tc>
        <w:tc>
          <w:tcPr>
            <w:tcW w:w="7655" w:type="dxa"/>
            <w:vAlign w:val="top"/>
          </w:tcPr>
          <w:p>
            <w:pPr>
              <w:pStyle w:val="TableText"/>
              <w:ind w:left="101"/>
              <w:spacing w:before="91" w:line="219" w:lineRule="auto"/>
              <w:rPr/>
            </w:pPr>
            <w:r>
              <w:rPr>
                <w:spacing w:val="-1"/>
              </w:rPr>
              <w:t>未造成传染病传播、流行等严重后果。</w:t>
            </w:r>
          </w:p>
        </w:tc>
        <w:tc>
          <w:tcPr>
            <w:tcW w:w="5451" w:type="dxa"/>
            <w:vAlign w:val="top"/>
          </w:tcPr>
          <w:p>
            <w:pPr>
              <w:pStyle w:val="TableText"/>
              <w:ind w:left="115"/>
              <w:spacing w:before="90" w:line="218" w:lineRule="auto"/>
              <w:rPr/>
            </w:pPr>
            <w:r>
              <w:rPr>
                <w:color w:val="405050"/>
                <w:spacing w:val="-1"/>
              </w:rPr>
              <w:t>警告。</w:t>
            </w:r>
          </w:p>
        </w:tc>
      </w:tr>
      <w:tr>
        <w:trPr>
          <w:trHeight w:val="1420" w:hRule="atLeast"/>
        </w:trPr>
        <w:tc>
          <w:tcPr>
            <w:tcW w:w="844" w:type="dxa"/>
            <w:vAlign w:val="top"/>
          </w:tcPr>
          <w:p>
            <w:pPr>
              <w:spacing w:line="255" w:lineRule="auto"/>
              <w:rPr>
                <w:rFonts w:ascii="Arial"/>
                <w:sz w:val="21"/>
              </w:rPr>
            </w:pPr>
            <w:r/>
          </w:p>
          <w:p>
            <w:pPr>
              <w:spacing w:line="256" w:lineRule="auto"/>
              <w:rPr>
                <w:rFonts w:ascii="Arial"/>
                <w:sz w:val="21"/>
              </w:rPr>
            </w:pPr>
            <w:r/>
          </w:p>
          <w:p>
            <w:pPr>
              <w:pStyle w:val="TableText"/>
              <w:ind w:left="88"/>
              <w:spacing w:before="78" w:line="220" w:lineRule="auto"/>
              <w:rPr/>
            </w:pPr>
            <w:r>
              <w:rPr>
                <w:b/>
                <w:bCs/>
                <w:spacing w:val="-6"/>
              </w:rPr>
              <w:t>严重</w:t>
            </w:r>
          </w:p>
        </w:tc>
        <w:tc>
          <w:tcPr>
            <w:tcW w:w="7655" w:type="dxa"/>
            <w:vAlign w:val="top"/>
          </w:tcPr>
          <w:p>
            <w:pPr>
              <w:spacing w:line="256" w:lineRule="auto"/>
              <w:rPr>
                <w:rFonts w:ascii="Arial"/>
                <w:sz w:val="21"/>
              </w:rPr>
            </w:pPr>
            <w:r/>
          </w:p>
          <w:p>
            <w:pPr>
              <w:spacing w:line="256" w:lineRule="auto"/>
              <w:rPr>
                <w:rFonts w:ascii="Arial"/>
                <w:sz w:val="21"/>
              </w:rPr>
            </w:pPr>
            <w:r/>
          </w:p>
          <w:p>
            <w:pPr>
              <w:pStyle w:val="TableText"/>
              <w:ind w:left="101"/>
              <w:spacing w:before="78" w:line="219" w:lineRule="auto"/>
              <w:rPr/>
            </w:pPr>
            <w:r>
              <w:rPr/>
              <w:t>造成传染病传播、流行等严重后果。</w:t>
            </w:r>
          </w:p>
        </w:tc>
        <w:tc>
          <w:tcPr>
            <w:tcW w:w="5451" w:type="dxa"/>
            <w:vAlign w:val="top"/>
          </w:tcPr>
          <w:p>
            <w:pPr>
              <w:pStyle w:val="TableText"/>
              <w:ind w:left="75" w:right="52"/>
              <w:spacing w:before="95" w:line="320" w:lineRule="auto"/>
              <w:jc w:val="both"/>
              <w:rPr/>
            </w:pPr>
            <w:r>
              <w:rPr>
                <w:spacing w:val="1"/>
              </w:rPr>
              <w:t>对法定代表人、主要负责人、直接负责的主管人员</w:t>
            </w:r>
            <w:r>
              <w:rPr>
                <w:spacing w:val="9"/>
              </w:rPr>
              <w:t xml:space="preserve"> </w:t>
            </w:r>
            <w:r>
              <w:rPr/>
              <w:t>和其他直接责任人员依法给予处分，并可以依法暂</w:t>
            </w:r>
            <w:r>
              <w:rPr>
                <w:spacing w:val="10"/>
              </w:rPr>
              <w:t xml:space="preserve"> </w:t>
            </w:r>
            <w:r>
              <w:rPr>
                <w:spacing w:val="2"/>
              </w:rPr>
              <w:t>停一定期限的执业活动直至吊销相关执业证书。</w:t>
            </w:r>
          </w:p>
        </w:tc>
      </w:tr>
    </w:tbl>
    <w:p>
      <w:pPr>
        <w:pStyle w:val="BodyText"/>
        <w:rPr/>
      </w:pPr>
      <w:r/>
    </w:p>
    <w:p>
      <w:pPr>
        <w:sectPr>
          <w:footerReference w:type="default" r:id="rId229"/>
          <w:pgSz w:w="16830" w:h="11900"/>
          <w:pgMar w:top="1011" w:right="1375" w:bottom="1120" w:left="1405" w:header="0" w:footer="777" w:gutter="0"/>
        </w:sectPr>
        <w:rPr/>
      </w:pPr>
    </w:p>
    <w:p>
      <w:pPr>
        <w:pStyle w:val="BodyText"/>
        <w:spacing w:line="286" w:lineRule="auto"/>
        <w:rPr/>
      </w:pPr>
      <w:r/>
    </w:p>
    <w:p>
      <w:pPr>
        <w:pStyle w:val="BodyText"/>
        <w:spacing w:line="287" w:lineRule="auto"/>
        <w:rPr/>
      </w:pPr>
      <w:r/>
    </w:p>
    <w:p>
      <w:pPr>
        <w:pStyle w:val="BodyText"/>
        <w:spacing w:line="287" w:lineRule="auto"/>
        <w:rPr/>
      </w:pPr>
      <w:r/>
    </w:p>
    <w:p>
      <w:pPr>
        <w:pStyle w:val="BodyText"/>
        <w:spacing w:line="287" w:lineRule="auto"/>
        <w:rPr/>
      </w:pPr>
      <w:r/>
    </w:p>
    <w:p>
      <w:pPr>
        <w:pStyle w:val="BodyText"/>
        <w:spacing w:line="287" w:lineRule="auto"/>
        <w:rPr/>
      </w:pPr>
      <w:r/>
    </w:p>
    <w:p>
      <w:pPr>
        <w:ind w:left="689"/>
        <w:spacing w:before="97" w:line="220" w:lineRule="auto"/>
        <w:rPr>
          <w:rFonts w:ascii="FangSong" w:hAnsi="FangSong" w:eastAsia="FangSong" w:cs="FangSong"/>
          <w:sz w:val="30"/>
          <w:szCs w:val="30"/>
        </w:rPr>
      </w:pPr>
      <w:bookmarkStart w:name="bookmark880" w:id="226"/>
      <w:bookmarkEnd w:id="226"/>
      <w:r>
        <w:rPr>
          <w:rFonts w:ascii="FangSong" w:hAnsi="FangSong" w:eastAsia="FangSong" w:cs="FangSong"/>
          <w:sz w:val="30"/>
          <w:szCs w:val="30"/>
          <w:b/>
          <w:bCs/>
          <w:spacing w:val="17"/>
        </w:rPr>
        <w:t>第一百五十九条</w:t>
      </w:r>
      <w:r>
        <w:rPr>
          <w:rFonts w:ascii="FangSong" w:hAnsi="FangSong" w:eastAsia="FangSong" w:cs="FangSong"/>
          <w:sz w:val="30"/>
          <w:szCs w:val="30"/>
          <w:spacing w:val="8"/>
        </w:rPr>
        <w:t xml:space="preserve">  </w:t>
      </w:r>
      <w:r>
        <w:rPr>
          <w:rFonts w:ascii="FangSong" w:hAnsi="FangSong" w:eastAsia="FangSong" w:cs="FangSong"/>
          <w:sz w:val="30"/>
          <w:szCs w:val="30"/>
          <w:b/>
          <w:bCs/>
          <w:spacing w:val="17"/>
        </w:rPr>
        <w:t>从事国家禁止的生物技术研究、开发与应用活</w:t>
      </w:r>
      <w:r>
        <w:rPr>
          <w:rFonts w:ascii="FangSong" w:hAnsi="FangSong" w:eastAsia="FangSong" w:cs="FangSong"/>
          <w:sz w:val="30"/>
          <w:szCs w:val="30"/>
          <w:b/>
          <w:bCs/>
          <w:spacing w:val="16"/>
        </w:rPr>
        <w:t>动的</w:t>
      </w:r>
    </w:p>
    <w:p>
      <w:pPr>
        <w:ind w:left="685"/>
        <w:spacing w:before="80"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675"/>
        <w:spacing w:before="66" w:line="221" w:lineRule="auto"/>
        <w:rPr>
          <w:rFonts w:ascii="FangSong" w:hAnsi="FangSong" w:eastAsia="FangSong" w:cs="FangSong"/>
          <w:sz w:val="30"/>
          <w:szCs w:val="30"/>
        </w:rPr>
      </w:pPr>
      <w:r>
        <w:rPr>
          <w:rFonts w:ascii="FangSong" w:hAnsi="FangSong" w:eastAsia="FangSong" w:cs="FangSong"/>
          <w:sz w:val="30"/>
          <w:szCs w:val="30"/>
          <w:spacing w:val="18"/>
        </w:rPr>
        <w:t>《中华人民共和国生物安全法》第七十四条</w:t>
      </w:r>
    </w:p>
    <w:p>
      <w:pPr>
        <w:ind w:left="45" w:firstLine="640"/>
        <w:spacing w:before="289" w:line="271" w:lineRule="auto"/>
        <w:jc w:val="both"/>
        <w:rPr>
          <w:rFonts w:ascii="FangSong" w:hAnsi="FangSong" w:eastAsia="FangSong" w:cs="FangSong"/>
          <w:sz w:val="30"/>
          <w:szCs w:val="30"/>
        </w:rPr>
      </w:pPr>
      <w:r>
        <w:rPr>
          <w:rFonts w:ascii="FangSong" w:hAnsi="FangSong" w:eastAsia="FangSong" w:cs="FangSong"/>
          <w:sz w:val="30"/>
          <w:szCs w:val="30"/>
          <w:spacing w:val="16"/>
        </w:rPr>
        <w:t>违反本法规定，从事国家禁止的生物技术研究、开发与应用活动的，由县级以上人民政府卫生健</w:t>
      </w:r>
      <w:r>
        <w:rPr>
          <w:rFonts w:ascii="FangSong" w:hAnsi="FangSong" w:eastAsia="FangSong" w:cs="FangSong"/>
          <w:sz w:val="30"/>
          <w:szCs w:val="30"/>
          <w:spacing w:val="16"/>
        </w:rPr>
        <w:t xml:space="preserve"> </w:t>
      </w:r>
      <w:r>
        <w:rPr>
          <w:rFonts w:ascii="FangSong" w:hAnsi="FangSong" w:eastAsia="FangSong" w:cs="FangSong"/>
          <w:sz w:val="30"/>
          <w:szCs w:val="30"/>
          <w:spacing w:val="17"/>
        </w:rPr>
        <w:t>康、科学技术、农业农村主管部门根据职责分工，责令停止违法行为，没收违法所得、技术资料和用</w:t>
      </w:r>
      <w:r>
        <w:rPr>
          <w:rFonts w:ascii="FangSong" w:hAnsi="FangSong" w:eastAsia="FangSong" w:cs="FangSong"/>
          <w:sz w:val="30"/>
          <w:szCs w:val="30"/>
          <w:spacing w:val="14"/>
        </w:rPr>
        <w:t xml:space="preserve"> </w:t>
      </w:r>
      <w:r>
        <w:rPr>
          <w:rFonts w:ascii="FangSong" w:hAnsi="FangSong" w:eastAsia="FangSong" w:cs="FangSong"/>
          <w:sz w:val="30"/>
          <w:szCs w:val="30"/>
          <w:spacing w:val="17"/>
        </w:rPr>
        <w:t>于违法行为的工具、设备、原材料等物品，处一百万元以上</w:t>
      </w:r>
      <w:r>
        <w:rPr>
          <w:rFonts w:ascii="FangSong" w:hAnsi="FangSong" w:eastAsia="FangSong" w:cs="FangSong"/>
          <w:sz w:val="30"/>
          <w:szCs w:val="30"/>
          <w:spacing w:val="16"/>
        </w:rPr>
        <w:t>一千万元以下的罚款，违法所得在一百万</w:t>
      </w:r>
      <w:r>
        <w:rPr>
          <w:rFonts w:ascii="FangSong" w:hAnsi="FangSong" w:eastAsia="FangSong" w:cs="FangSong"/>
          <w:sz w:val="30"/>
          <w:szCs w:val="30"/>
        </w:rPr>
        <w:t xml:space="preserve"> </w:t>
      </w:r>
      <w:r>
        <w:rPr>
          <w:rFonts w:ascii="FangSong" w:hAnsi="FangSong" w:eastAsia="FangSong" w:cs="FangSong"/>
          <w:sz w:val="30"/>
          <w:szCs w:val="30"/>
          <w:spacing w:val="17"/>
        </w:rPr>
        <w:t>元以上的，处违法所得十倍以上二十倍以下的罚款，并可以依法禁止一定期限内从事相应的生物技术</w:t>
      </w:r>
      <w:r>
        <w:rPr>
          <w:rFonts w:ascii="FangSong" w:hAnsi="FangSong" w:eastAsia="FangSong" w:cs="FangSong"/>
          <w:sz w:val="30"/>
          <w:szCs w:val="30"/>
        </w:rPr>
        <w:t xml:space="preserve"> </w:t>
      </w:r>
      <w:r>
        <w:rPr>
          <w:rFonts w:ascii="FangSong" w:hAnsi="FangSong" w:eastAsia="FangSong" w:cs="FangSong"/>
          <w:sz w:val="30"/>
          <w:szCs w:val="30"/>
          <w:spacing w:val="17"/>
        </w:rPr>
        <w:t>研究、开发与应用活动，吊销相关许可证件；对法定代表人</w:t>
      </w:r>
      <w:r>
        <w:rPr>
          <w:rFonts w:ascii="FangSong" w:hAnsi="FangSong" w:eastAsia="FangSong" w:cs="FangSong"/>
          <w:sz w:val="30"/>
          <w:szCs w:val="30"/>
          <w:spacing w:val="16"/>
        </w:rPr>
        <w:t>、主要负责人、直接负责的主管人员和其</w:t>
      </w:r>
      <w:r>
        <w:rPr>
          <w:rFonts w:ascii="FangSong" w:hAnsi="FangSong" w:eastAsia="FangSong" w:cs="FangSong"/>
          <w:sz w:val="30"/>
          <w:szCs w:val="30"/>
        </w:rPr>
        <w:t xml:space="preserve"> </w:t>
      </w:r>
      <w:r>
        <w:rPr>
          <w:rFonts w:ascii="FangSong" w:hAnsi="FangSong" w:eastAsia="FangSong" w:cs="FangSong"/>
          <w:sz w:val="30"/>
          <w:szCs w:val="30"/>
          <w:spacing w:val="17"/>
        </w:rPr>
        <w:t>他直接责任人员，依法给予处分，处十万元以上二十万元以下的罚款，十年直</w:t>
      </w:r>
      <w:r>
        <w:rPr>
          <w:rFonts w:ascii="FangSong" w:hAnsi="FangSong" w:eastAsia="FangSong" w:cs="FangSong"/>
          <w:sz w:val="30"/>
          <w:szCs w:val="30"/>
          <w:spacing w:val="16"/>
        </w:rPr>
        <w:t>至终身禁止从事相应的</w:t>
      </w:r>
      <w:r>
        <w:rPr>
          <w:rFonts w:ascii="FangSong" w:hAnsi="FangSong" w:eastAsia="FangSong" w:cs="FangSong"/>
          <w:sz w:val="30"/>
          <w:szCs w:val="30"/>
        </w:rPr>
        <w:t xml:space="preserve"> </w:t>
      </w:r>
      <w:r>
        <w:rPr>
          <w:rFonts w:ascii="FangSong" w:hAnsi="FangSong" w:eastAsia="FangSong" w:cs="FangSong"/>
          <w:sz w:val="30"/>
          <w:szCs w:val="30"/>
          <w:spacing w:val="17"/>
        </w:rPr>
        <w:t>生物技术研究、开发与应用活动，依法吊销相关执业证书。</w:t>
      </w:r>
    </w:p>
    <w:p>
      <w:pPr>
        <w:ind w:left="6459"/>
        <w:spacing w:before="177"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before="74"/>
        <w:rPr/>
      </w:pPr>
      <w:r/>
    </w:p>
    <w:p>
      <w:pPr>
        <w:spacing w:before="73"/>
        <w:rPr/>
      </w:pPr>
      <w:r/>
    </w:p>
    <w:tbl>
      <w:tblPr>
        <w:tblStyle w:val="TableNormal"/>
        <w:tblW w:w="139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74"/>
        <w:gridCol w:w="2169"/>
        <w:gridCol w:w="10797"/>
      </w:tblGrid>
      <w:tr>
        <w:trPr>
          <w:trHeight w:val="1060" w:hRule="atLeast"/>
        </w:trPr>
        <w:tc>
          <w:tcPr>
            <w:tcW w:w="974" w:type="dxa"/>
            <w:vAlign w:val="top"/>
          </w:tcPr>
          <w:p>
            <w:pPr>
              <w:pStyle w:val="TableText"/>
              <w:ind w:left="189"/>
              <w:spacing w:before="91" w:line="225" w:lineRule="auto"/>
              <w:rPr>
                <w:sz w:val="29"/>
                <w:szCs w:val="29"/>
              </w:rPr>
            </w:pPr>
            <w:r>
              <w:rPr>
                <w:sz w:val="29"/>
                <w:szCs w:val="29"/>
                <w:b/>
                <w:bCs/>
                <w:spacing w:val="-6"/>
              </w:rPr>
              <w:t>违法</w:t>
            </w:r>
          </w:p>
          <w:p>
            <w:pPr>
              <w:pStyle w:val="TableText"/>
              <w:ind w:left="189"/>
              <w:spacing w:before="88" w:line="220" w:lineRule="auto"/>
              <w:rPr>
                <w:sz w:val="29"/>
                <w:szCs w:val="29"/>
              </w:rPr>
            </w:pPr>
            <w:r>
              <w:rPr>
                <w:sz w:val="29"/>
                <w:szCs w:val="29"/>
                <w:b/>
                <w:bCs/>
                <w:spacing w:val="-6"/>
              </w:rPr>
              <w:t>程度</w:t>
            </w:r>
          </w:p>
        </w:tc>
        <w:tc>
          <w:tcPr>
            <w:tcW w:w="2169" w:type="dxa"/>
            <w:vAlign w:val="top"/>
          </w:tcPr>
          <w:p>
            <w:pPr>
              <w:spacing w:line="297" w:lineRule="auto"/>
              <w:rPr>
                <w:rFonts w:ascii="Arial"/>
                <w:sz w:val="21"/>
              </w:rPr>
            </w:pPr>
            <w:r/>
          </w:p>
          <w:p>
            <w:pPr>
              <w:pStyle w:val="TableText"/>
              <w:ind w:left="515"/>
              <w:spacing w:before="94" w:line="220" w:lineRule="auto"/>
              <w:rPr>
                <w:sz w:val="29"/>
                <w:szCs w:val="29"/>
              </w:rPr>
            </w:pPr>
            <w:r>
              <w:rPr>
                <w:sz w:val="29"/>
                <w:szCs w:val="29"/>
                <w:b/>
                <w:bCs/>
                <w:spacing w:val="-1"/>
              </w:rPr>
              <w:t>情节后果</w:t>
            </w:r>
          </w:p>
        </w:tc>
        <w:tc>
          <w:tcPr>
            <w:tcW w:w="10797" w:type="dxa"/>
            <w:vAlign w:val="top"/>
          </w:tcPr>
          <w:p>
            <w:pPr>
              <w:spacing w:line="294" w:lineRule="auto"/>
              <w:rPr>
                <w:rFonts w:ascii="Arial"/>
                <w:sz w:val="21"/>
              </w:rPr>
            </w:pPr>
            <w:r/>
          </w:p>
          <w:p>
            <w:pPr>
              <w:pStyle w:val="TableText"/>
              <w:ind w:left="4836"/>
              <w:spacing w:before="94" w:line="218" w:lineRule="auto"/>
              <w:rPr>
                <w:sz w:val="29"/>
                <w:szCs w:val="29"/>
              </w:rPr>
            </w:pPr>
            <w:r>
              <w:rPr>
                <w:sz w:val="29"/>
                <w:szCs w:val="29"/>
                <w:b/>
                <w:bCs/>
                <w:spacing w:val="-1"/>
              </w:rPr>
              <w:t>裁量幅度</w:t>
            </w:r>
          </w:p>
        </w:tc>
      </w:tr>
    </w:tbl>
    <w:p>
      <w:pPr>
        <w:pStyle w:val="BodyText"/>
        <w:rPr/>
      </w:pPr>
      <w:r/>
    </w:p>
    <w:p>
      <w:pPr>
        <w:sectPr>
          <w:footerReference w:type="default" r:id="rId230"/>
          <w:pgSz w:w="16830" w:h="11900"/>
          <w:pgMar w:top="1011" w:right="1426" w:bottom="1120" w:left="1394" w:header="0" w:footer="804" w:gutter="0"/>
        </w:sectPr>
        <w:rPr/>
      </w:pPr>
    </w:p>
    <w:p>
      <w:pPr>
        <w:spacing w:before="13"/>
        <w:rPr/>
      </w:pPr>
      <w:r/>
    </w:p>
    <w:p>
      <w:pPr>
        <w:spacing w:before="13"/>
        <w:rPr/>
      </w:pPr>
      <w:r/>
    </w:p>
    <w:p>
      <w:pPr>
        <w:spacing w:before="13"/>
        <w:rPr/>
      </w:pPr>
      <w:r/>
    </w:p>
    <w:tbl>
      <w:tblPr>
        <w:tblStyle w:val="TableNormal"/>
        <w:tblW w:w="139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84"/>
        <w:gridCol w:w="2179"/>
        <w:gridCol w:w="10777"/>
      </w:tblGrid>
      <w:tr>
        <w:trPr>
          <w:trHeight w:val="1980" w:hRule="atLeast"/>
        </w:trPr>
        <w:tc>
          <w:tcPr>
            <w:tcW w:w="984"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98"/>
              <w:spacing w:before="78" w:line="221" w:lineRule="auto"/>
              <w:rPr/>
            </w:pPr>
            <w:bookmarkStart w:name="bookmark881" w:id="227"/>
            <w:bookmarkEnd w:id="227"/>
            <w:r>
              <w:rPr>
                <w:b/>
                <w:bCs/>
                <w:spacing w:val="-10"/>
              </w:rPr>
              <w:t>一般</w:t>
            </w:r>
          </w:p>
        </w:tc>
        <w:tc>
          <w:tcPr>
            <w:tcW w:w="2179" w:type="dxa"/>
            <w:vAlign w:val="top"/>
          </w:tcPr>
          <w:p>
            <w:pPr>
              <w:spacing w:line="472" w:lineRule="auto"/>
              <w:rPr>
                <w:rFonts w:ascii="Arial"/>
                <w:sz w:val="21"/>
              </w:rPr>
            </w:pPr>
            <w:r/>
          </w:p>
          <w:p>
            <w:pPr>
              <w:pStyle w:val="TableText"/>
              <w:ind w:left="101" w:right="131"/>
              <w:spacing w:before="78" w:line="342" w:lineRule="auto"/>
              <w:rPr/>
            </w:pPr>
            <w:r>
              <w:rPr>
                <w:spacing w:val="2"/>
              </w:rPr>
              <w:t>违法所得不足一百</w:t>
            </w:r>
            <w:r>
              <w:rPr/>
              <w:t xml:space="preserve"> </w:t>
            </w:r>
            <w:r>
              <w:rPr/>
              <w:t>万元。</w:t>
            </w:r>
          </w:p>
        </w:tc>
        <w:tc>
          <w:tcPr>
            <w:tcW w:w="10777" w:type="dxa"/>
            <w:vAlign w:val="top"/>
          </w:tcPr>
          <w:p>
            <w:pPr>
              <w:pStyle w:val="TableText"/>
              <w:ind w:left="102" w:right="44"/>
              <w:spacing w:before="113" w:line="342" w:lineRule="auto"/>
              <w:jc w:val="both"/>
              <w:rPr/>
            </w:pPr>
            <w:r>
              <w:rPr>
                <w:spacing w:val="1"/>
              </w:rPr>
              <w:t>没收违法所得、技术资料和用于违法行为的工</w:t>
            </w:r>
            <w:r>
              <w:rPr/>
              <w:t>具、设备、原材料等物品，处一百万元以上一千万元以 </w:t>
            </w:r>
            <w:r>
              <w:rPr>
                <w:spacing w:val="1"/>
              </w:rPr>
              <w:t>下的罚款。对法定代表人、主要负责人、直接负责的主管人员和其他直接责任人员，依法给予处分，</w:t>
            </w:r>
            <w:r>
              <w:rPr>
                <w:spacing w:val="15"/>
              </w:rPr>
              <w:t xml:space="preserve"> </w:t>
            </w:r>
            <w:r>
              <w:rPr/>
              <w:t>处十万元以上十五万元以下的罚款，十年禁止从事相应的生物技术研究、开发与应用活动，依法吊销</w:t>
            </w:r>
            <w:r>
              <w:rPr>
                <w:spacing w:val="16"/>
              </w:rPr>
              <w:t xml:space="preserve"> </w:t>
            </w:r>
            <w:r>
              <w:rPr/>
              <w:t>相关执业证书。</w:t>
            </w:r>
          </w:p>
        </w:tc>
      </w:tr>
      <w:tr>
        <w:trPr>
          <w:trHeight w:val="2370" w:hRule="atLeast"/>
        </w:trPr>
        <w:tc>
          <w:tcPr>
            <w:tcW w:w="984"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98"/>
              <w:spacing w:before="78" w:line="220" w:lineRule="auto"/>
              <w:rPr/>
            </w:pPr>
            <w:r>
              <w:rPr>
                <w:b/>
                <w:bCs/>
                <w:spacing w:val="-6"/>
              </w:rPr>
              <w:t>严重</w:t>
            </w:r>
          </w:p>
        </w:tc>
        <w:tc>
          <w:tcPr>
            <w:tcW w:w="2179" w:type="dxa"/>
            <w:vAlign w:val="top"/>
          </w:tcPr>
          <w:p>
            <w:pPr>
              <w:spacing w:line="335" w:lineRule="auto"/>
              <w:rPr>
                <w:rFonts w:ascii="Arial"/>
                <w:sz w:val="21"/>
              </w:rPr>
            </w:pPr>
            <w:r/>
          </w:p>
          <w:p>
            <w:pPr>
              <w:spacing w:line="336" w:lineRule="auto"/>
              <w:rPr>
                <w:rFonts w:ascii="Arial"/>
                <w:sz w:val="21"/>
              </w:rPr>
            </w:pPr>
            <w:r/>
          </w:p>
          <w:p>
            <w:pPr>
              <w:pStyle w:val="TableText"/>
              <w:ind w:left="101" w:right="131"/>
              <w:spacing w:before="78" w:line="365" w:lineRule="auto"/>
              <w:rPr/>
            </w:pPr>
            <w:r>
              <w:rPr>
                <w:spacing w:val="2"/>
              </w:rPr>
              <w:t>违法所得超过一百</w:t>
            </w:r>
            <w:r>
              <w:rPr/>
              <w:t xml:space="preserve"> </w:t>
            </w:r>
            <w:r>
              <w:rPr/>
              <w:t>万元。</w:t>
            </w:r>
          </w:p>
        </w:tc>
        <w:tc>
          <w:tcPr>
            <w:tcW w:w="10777" w:type="dxa"/>
            <w:vAlign w:val="top"/>
          </w:tcPr>
          <w:p>
            <w:pPr>
              <w:pStyle w:val="TableText"/>
              <w:ind w:left="102" w:right="85"/>
              <w:spacing w:before="115" w:line="337" w:lineRule="auto"/>
              <w:jc w:val="both"/>
              <w:rPr/>
            </w:pPr>
            <w:r>
              <w:rPr/>
              <w:t>没收违法所得、技术资料和用于违法行为的工具、设备、原材料等物品，处违法所得十倍以上二十倍</w:t>
            </w:r>
            <w:r>
              <w:rPr>
                <w:spacing w:val="8"/>
              </w:rPr>
              <w:t xml:space="preserve"> </w:t>
            </w:r>
            <w:r>
              <w:rPr/>
              <w:t>以下的罚款，并可以依法禁止一定期限内从事相应的生物技术研究、开发与应用活动，吊销相关许可</w:t>
            </w:r>
            <w:r>
              <w:rPr>
                <w:spacing w:val="8"/>
              </w:rPr>
              <w:t xml:space="preserve"> </w:t>
            </w:r>
            <w:r>
              <w:rPr/>
              <w:t>证件；对法定代表人、主要负责人、直接负责的主管人员和其他直接责任人员，依法给予处分，处十</w:t>
            </w:r>
            <w:r>
              <w:rPr>
                <w:spacing w:val="10"/>
              </w:rPr>
              <w:t xml:space="preserve"> </w:t>
            </w:r>
            <w:r>
              <w:rPr/>
              <w:t>五万元以上二十万元以下的罚款，终生禁止从事相应的生物技术研究、开发与应用活动，依法吊销相</w:t>
            </w:r>
            <w:r>
              <w:rPr>
                <w:spacing w:val="18"/>
              </w:rPr>
              <w:t xml:space="preserve"> </w:t>
            </w:r>
            <w:r>
              <w:rPr>
                <w:spacing w:val="1"/>
              </w:rPr>
              <w:t>关执业证书。</w:t>
            </w:r>
          </w:p>
        </w:tc>
      </w:tr>
    </w:tbl>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689"/>
        <w:spacing w:before="101" w:line="220" w:lineRule="auto"/>
        <w:rPr>
          <w:rFonts w:ascii="FangSong" w:hAnsi="FangSong" w:eastAsia="FangSong" w:cs="FangSong"/>
          <w:sz w:val="31"/>
          <w:szCs w:val="31"/>
        </w:rPr>
      </w:pPr>
      <w:r>
        <w:rPr>
          <w:rFonts w:ascii="FangSong" w:hAnsi="FangSong" w:eastAsia="FangSong" w:cs="FangSong"/>
          <w:sz w:val="31"/>
          <w:szCs w:val="31"/>
          <w:b/>
          <w:bCs/>
          <w:spacing w:val="7"/>
        </w:rPr>
        <w:t>第一百六十条</w:t>
      </w:r>
      <w:r>
        <w:rPr>
          <w:rFonts w:ascii="FangSong" w:hAnsi="FangSong" w:eastAsia="FangSong" w:cs="FangSong"/>
          <w:sz w:val="31"/>
          <w:szCs w:val="31"/>
          <w:spacing w:val="5"/>
        </w:rPr>
        <w:t xml:space="preserve">  </w:t>
      </w:r>
      <w:r>
        <w:rPr>
          <w:rFonts w:ascii="FangSong" w:hAnsi="FangSong" w:eastAsia="FangSong" w:cs="FangSong"/>
          <w:sz w:val="31"/>
          <w:szCs w:val="31"/>
          <w:b/>
          <w:bCs/>
          <w:spacing w:val="7"/>
        </w:rPr>
        <w:t>从事生物技术研究、开发活动未遵守国家生物技术研究开发安全管理规范的</w:t>
      </w:r>
    </w:p>
    <w:p>
      <w:pPr>
        <w:ind w:left="685"/>
        <w:spacing w:before="137"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670"/>
        <w:spacing w:before="73" w:line="221" w:lineRule="auto"/>
        <w:rPr>
          <w:rFonts w:ascii="FangSong" w:hAnsi="FangSong" w:eastAsia="FangSong" w:cs="FangSong"/>
          <w:sz w:val="31"/>
          <w:szCs w:val="31"/>
        </w:rPr>
      </w:pPr>
      <w:r>
        <w:rPr>
          <w:rFonts w:ascii="FangSong" w:hAnsi="FangSong" w:eastAsia="FangSong" w:cs="FangSong"/>
          <w:sz w:val="31"/>
          <w:szCs w:val="31"/>
          <w:spacing w:val="8"/>
        </w:rPr>
        <w:t>《中华人民共和国生物安全法》第七十五条</w:t>
      </w:r>
    </w:p>
    <w:p>
      <w:pPr>
        <w:ind w:left="45" w:firstLine="640"/>
        <w:spacing w:before="69" w:line="273" w:lineRule="auto"/>
        <w:rPr>
          <w:rFonts w:ascii="FangSong" w:hAnsi="FangSong" w:eastAsia="FangSong" w:cs="FangSong"/>
          <w:sz w:val="31"/>
          <w:szCs w:val="31"/>
        </w:rPr>
      </w:pPr>
      <w:r>
        <w:rPr>
          <w:rFonts w:ascii="FangSong" w:hAnsi="FangSong" w:eastAsia="FangSong" w:cs="FangSong"/>
          <w:sz w:val="31"/>
          <w:szCs w:val="31"/>
          <w:spacing w:val="7"/>
        </w:rPr>
        <w:t>违反本法规定，从事生物技术研究、开发活动未遵守国家生物技术研究开发安全管理规范的，由</w:t>
      </w:r>
      <w:r>
        <w:rPr>
          <w:rFonts w:ascii="FangSong" w:hAnsi="FangSong" w:eastAsia="FangSong" w:cs="FangSong"/>
          <w:sz w:val="31"/>
          <w:szCs w:val="31"/>
          <w:spacing w:val="1"/>
        </w:rPr>
        <w:t xml:space="preserve"> </w:t>
      </w:r>
      <w:r>
        <w:rPr>
          <w:rFonts w:ascii="FangSong" w:hAnsi="FangSong" w:eastAsia="FangSong" w:cs="FangSong"/>
          <w:sz w:val="31"/>
          <w:szCs w:val="31"/>
          <w:spacing w:val="7"/>
        </w:rPr>
        <w:t>县级以上人民政府有关部门根据职责分工，责令改正，给予警告，</w:t>
      </w:r>
      <w:r>
        <w:rPr>
          <w:rFonts w:ascii="FangSong" w:hAnsi="FangSong" w:eastAsia="FangSong" w:cs="FangSong"/>
          <w:sz w:val="31"/>
          <w:szCs w:val="31"/>
          <w:spacing w:val="6"/>
        </w:rPr>
        <w:t>可以并处二万元以上二十万元以下</w:t>
      </w:r>
    </w:p>
    <w:p>
      <w:pPr>
        <w:spacing w:line="273" w:lineRule="auto"/>
        <w:sectPr>
          <w:footerReference w:type="default" r:id="rId231"/>
          <w:pgSz w:w="16830" w:h="11900"/>
          <w:pgMar w:top="1011" w:right="1433" w:bottom="1104" w:left="1394" w:header="0" w:footer="762" w:gutter="0"/>
        </w:sectPr>
        <w:rPr>
          <w:rFonts w:ascii="FangSong" w:hAnsi="FangSong" w:eastAsia="FangSong" w:cs="FangSong"/>
          <w:sz w:val="31"/>
          <w:szCs w:val="31"/>
        </w:rPr>
      </w:pPr>
    </w:p>
    <w:p>
      <w:pPr>
        <w:pStyle w:val="BodyText"/>
        <w:spacing w:line="246" w:lineRule="auto"/>
        <w:rPr/>
      </w:pPr>
      <w:r/>
    </w:p>
    <w:p>
      <w:pPr>
        <w:pStyle w:val="BodyText"/>
        <w:spacing w:line="246" w:lineRule="auto"/>
        <w:rPr/>
      </w:pPr>
      <w:r/>
    </w:p>
    <w:p>
      <w:pPr>
        <w:pStyle w:val="BodyText"/>
        <w:spacing w:line="247" w:lineRule="auto"/>
        <w:rPr/>
      </w:pPr>
      <w:r/>
    </w:p>
    <w:p>
      <w:pPr>
        <w:ind w:left="25"/>
        <w:spacing w:before="101" w:line="220" w:lineRule="auto"/>
        <w:outlineLvl w:val="1"/>
        <w:rPr>
          <w:rFonts w:ascii="FangSong" w:hAnsi="FangSong" w:eastAsia="FangSong" w:cs="FangSong"/>
          <w:sz w:val="31"/>
          <w:szCs w:val="31"/>
        </w:rPr>
      </w:pPr>
      <w:bookmarkStart w:name="bookmark882" w:id="228"/>
      <w:bookmarkEnd w:id="228"/>
      <w:bookmarkStart w:name="bookmark186" w:id="229"/>
      <w:bookmarkEnd w:id="229"/>
      <w:r>
        <w:rPr>
          <w:rFonts w:ascii="FangSong" w:hAnsi="FangSong" w:eastAsia="FangSong" w:cs="FangSong"/>
          <w:sz w:val="31"/>
          <w:szCs w:val="31"/>
          <w:spacing w:val="6"/>
        </w:rPr>
        <w:t>的罚款；拒不改正或者造成严重后果的，责令停止研究、开发活动，并处二十万元以上二百万元以下</w:t>
      </w:r>
    </w:p>
    <w:p>
      <w:pPr>
        <w:ind w:left="25"/>
        <w:spacing w:before="133" w:line="223" w:lineRule="auto"/>
        <w:rPr>
          <w:rFonts w:ascii="FangSong" w:hAnsi="FangSong" w:eastAsia="FangSong" w:cs="FangSong"/>
          <w:sz w:val="26"/>
          <w:szCs w:val="26"/>
        </w:rPr>
      </w:pPr>
      <w:r>
        <w:rPr>
          <w:rFonts w:ascii="FangSong" w:hAnsi="FangSong" w:eastAsia="FangSong" w:cs="FangSong"/>
          <w:sz w:val="26"/>
          <w:szCs w:val="26"/>
          <w:spacing w:val="23"/>
        </w:rPr>
        <w:t>的罚款</w:t>
      </w:r>
      <w:r>
        <w:rPr>
          <w:rFonts w:ascii="FangSong" w:hAnsi="FangSong" w:eastAsia="FangSong" w:cs="FangSong"/>
          <w:sz w:val="26"/>
          <w:szCs w:val="26"/>
          <w:spacing w:val="-68"/>
        </w:rPr>
        <w:t xml:space="preserve"> </w:t>
      </w:r>
      <w:r>
        <w:rPr>
          <w:rFonts w:ascii="FangSong" w:hAnsi="FangSong" w:eastAsia="FangSong" w:cs="FangSong"/>
          <w:sz w:val="26"/>
          <w:szCs w:val="26"/>
          <w:spacing w:val="23"/>
        </w:rPr>
        <w:t>。</w:t>
      </w:r>
    </w:p>
    <w:p>
      <w:pPr>
        <w:ind w:left="6449"/>
        <w:spacing w:before="84"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2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74"/>
        <w:gridCol w:w="6445"/>
        <w:gridCol w:w="6450"/>
      </w:tblGrid>
      <w:tr>
        <w:trPr>
          <w:trHeight w:val="653" w:hRule="atLeast"/>
        </w:trPr>
        <w:tc>
          <w:tcPr>
            <w:tcW w:w="1374" w:type="dxa"/>
            <w:vAlign w:val="top"/>
          </w:tcPr>
          <w:p>
            <w:pPr>
              <w:pStyle w:val="TableText"/>
              <w:ind w:left="98"/>
              <w:spacing w:before="8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6445" w:type="dxa"/>
            <w:vAlign w:val="top"/>
          </w:tcPr>
          <w:p>
            <w:pPr>
              <w:pStyle w:val="TableText"/>
              <w:ind w:left="2654"/>
              <w:spacing w:before="92" w:line="220" w:lineRule="auto"/>
              <w:rPr/>
            </w:pPr>
            <w:r>
              <w:rPr>
                <w:b/>
                <w:bCs/>
                <w:spacing w:val="-5"/>
              </w:rPr>
              <w:t>情节后果</w:t>
            </w:r>
          </w:p>
        </w:tc>
        <w:tc>
          <w:tcPr>
            <w:tcW w:w="6450" w:type="dxa"/>
            <w:vAlign w:val="top"/>
          </w:tcPr>
          <w:p>
            <w:pPr>
              <w:pStyle w:val="TableText"/>
              <w:ind w:left="2669"/>
              <w:spacing w:before="8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48" w:hRule="atLeast"/>
        </w:trPr>
        <w:tc>
          <w:tcPr>
            <w:tcW w:w="1374" w:type="dxa"/>
            <w:vAlign w:val="top"/>
          </w:tcPr>
          <w:p>
            <w:pPr>
              <w:pStyle w:val="TableText"/>
              <w:ind w:left="438"/>
              <w:spacing w:before="109" w:line="221" w:lineRule="auto"/>
              <w:rPr/>
            </w:pPr>
            <w:r>
              <w:rPr>
                <w:b/>
                <w:bCs/>
                <w:spacing w:val="-10"/>
              </w:rPr>
              <w:t>一般</w:t>
            </w:r>
          </w:p>
        </w:tc>
        <w:tc>
          <w:tcPr>
            <w:tcW w:w="6445" w:type="dxa"/>
            <w:vAlign w:val="top"/>
          </w:tcPr>
          <w:p>
            <w:pPr>
              <w:pStyle w:val="TableText"/>
              <w:ind w:left="130"/>
              <w:spacing w:before="132" w:line="219" w:lineRule="auto"/>
              <w:rPr/>
            </w:pPr>
            <w:r>
              <w:rPr>
                <w:spacing w:val="-1"/>
              </w:rPr>
              <w:t>首次发现违法行为，未造成后果。</w:t>
            </w:r>
          </w:p>
        </w:tc>
        <w:tc>
          <w:tcPr>
            <w:tcW w:w="6450" w:type="dxa"/>
            <w:vAlign w:val="top"/>
          </w:tcPr>
          <w:p>
            <w:pPr>
              <w:pStyle w:val="TableText"/>
              <w:ind w:left="105"/>
              <w:spacing w:before="109" w:line="218" w:lineRule="auto"/>
              <w:rPr/>
            </w:pPr>
            <w:r>
              <w:rPr/>
              <w:t>警告，可以并处二万元以上二十万元以下的罚</w:t>
            </w:r>
            <w:r>
              <w:rPr>
                <w:spacing w:val="-1"/>
              </w:rPr>
              <w:t>款。</w:t>
            </w:r>
          </w:p>
        </w:tc>
      </w:tr>
      <w:tr>
        <w:trPr>
          <w:trHeight w:val="1087" w:hRule="atLeast"/>
        </w:trPr>
        <w:tc>
          <w:tcPr>
            <w:tcW w:w="1374" w:type="dxa"/>
            <w:vAlign w:val="top"/>
            <w:vMerge w:val="restart"/>
            <w:tcBorders>
              <w:bottom w:val="nil"/>
            </w:tcBorders>
          </w:tcPr>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438"/>
              <w:spacing w:before="78" w:line="220" w:lineRule="auto"/>
              <w:rPr/>
            </w:pPr>
            <w:r>
              <w:rPr>
                <w:b/>
                <w:bCs/>
                <w:spacing w:val="-6"/>
              </w:rPr>
              <w:t>严重</w:t>
            </w:r>
          </w:p>
        </w:tc>
        <w:tc>
          <w:tcPr>
            <w:tcW w:w="6445" w:type="dxa"/>
            <w:vAlign w:val="top"/>
          </w:tcPr>
          <w:p>
            <w:pPr>
              <w:spacing w:line="352" w:lineRule="auto"/>
              <w:rPr>
                <w:rFonts w:ascii="Arial"/>
                <w:sz w:val="21"/>
              </w:rPr>
            </w:pPr>
            <w:r/>
          </w:p>
          <w:p>
            <w:pPr>
              <w:pStyle w:val="TableText"/>
              <w:ind w:left="130"/>
              <w:spacing w:before="78" w:line="219" w:lineRule="auto"/>
              <w:rPr/>
            </w:pPr>
            <w:r>
              <w:rPr>
                <w:spacing w:val="7"/>
              </w:rPr>
              <w:t>责令限期改正期限后，拒不改正；</w:t>
            </w:r>
          </w:p>
        </w:tc>
        <w:tc>
          <w:tcPr>
            <w:tcW w:w="6450" w:type="dxa"/>
            <w:vAlign w:val="top"/>
          </w:tcPr>
          <w:p>
            <w:pPr>
              <w:pStyle w:val="TableText"/>
              <w:ind w:left="105" w:right="68" w:firstLine="10"/>
              <w:spacing w:before="122" w:line="336" w:lineRule="auto"/>
              <w:rPr/>
            </w:pPr>
            <w:r>
              <w:rPr/>
              <w:t>责令停止研究、开发活动，并处二十万元以上一百万元以下</w:t>
            </w:r>
            <w:r>
              <w:rPr>
                <w:spacing w:val="14"/>
              </w:rPr>
              <w:t xml:space="preserve"> </w:t>
            </w:r>
            <w:r>
              <w:rPr>
                <w:spacing w:val="26"/>
              </w:rPr>
              <w:t>的罚款</w:t>
            </w:r>
            <w:r>
              <w:rPr>
                <w:spacing w:val="-49"/>
              </w:rPr>
              <w:t xml:space="preserve"> </w:t>
            </w:r>
            <w:r>
              <w:rPr>
                <w:spacing w:val="26"/>
              </w:rPr>
              <w:t>；</w:t>
            </w:r>
          </w:p>
        </w:tc>
      </w:tr>
      <w:tr>
        <w:trPr>
          <w:trHeight w:val="1082" w:hRule="atLeast"/>
        </w:trPr>
        <w:tc>
          <w:tcPr>
            <w:tcW w:w="1374" w:type="dxa"/>
            <w:vAlign w:val="top"/>
            <w:vMerge w:val="continue"/>
            <w:tcBorders>
              <w:top w:val="nil"/>
            </w:tcBorders>
          </w:tcPr>
          <w:p>
            <w:pPr>
              <w:rPr>
                <w:rFonts w:ascii="Arial"/>
                <w:sz w:val="21"/>
              </w:rPr>
            </w:pPr>
            <w:r/>
          </w:p>
        </w:tc>
        <w:tc>
          <w:tcPr>
            <w:tcW w:w="6445" w:type="dxa"/>
            <w:vAlign w:val="top"/>
          </w:tcPr>
          <w:p>
            <w:pPr>
              <w:spacing w:line="344" w:lineRule="auto"/>
              <w:rPr>
                <w:rFonts w:ascii="Arial"/>
                <w:sz w:val="21"/>
              </w:rPr>
            </w:pPr>
            <w:r/>
          </w:p>
          <w:p>
            <w:pPr>
              <w:pStyle w:val="TableText"/>
              <w:ind w:left="134"/>
              <w:spacing w:before="78" w:line="220" w:lineRule="auto"/>
              <w:rPr/>
            </w:pPr>
            <w:r>
              <w:rPr>
                <w:b/>
                <w:bCs/>
                <w:spacing w:val="-4"/>
              </w:rPr>
              <w:t>造成严重后果。</w:t>
            </w:r>
          </w:p>
        </w:tc>
        <w:tc>
          <w:tcPr>
            <w:tcW w:w="6450" w:type="dxa"/>
            <w:vAlign w:val="top"/>
          </w:tcPr>
          <w:p>
            <w:pPr>
              <w:pStyle w:val="TableText"/>
              <w:ind w:left="105" w:right="68" w:firstLine="10"/>
              <w:spacing w:before="115" w:line="351" w:lineRule="auto"/>
              <w:rPr/>
            </w:pPr>
            <w:r>
              <w:rPr/>
              <w:t>责令停止研究、开发活动，并处一百万元以上二百万元以下</w:t>
            </w:r>
            <w:r>
              <w:rPr>
                <w:spacing w:val="14"/>
              </w:rPr>
              <w:t xml:space="preserve"> </w:t>
            </w:r>
            <w:r>
              <w:rPr/>
              <w:t>的罚款。</w:t>
            </w:r>
          </w:p>
        </w:tc>
      </w:tr>
    </w:tbl>
    <w:p>
      <w:pPr>
        <w:pStyle w:val="BodyText"/>
        <w:spacing w:line="302" w:lineRule="auto"/>
        <w:rPr/>
      </w:pPr>
      <w:r/>
    </w:p>
    <w:p>
      <w:pPr>
        <w:pStyle w:val="BodyText"/>
        <w:spacing w:line="303" w:lineRule="auto"/>
        <w:rPr/>
      </w:pPr>
      <w:r/>
    </w:p>
    <w:p>
      <w:pPr>
        <w:ind w:left="29" w:right="472" w:firstLine="659"/>
        <w:spacing w:before="102" w:line="281" w:lineRule="auto"/>
        <w:rPr>
          <w:rFonts w:ascii="KaiTi" w:hAnsi="KaiTi" w:eastAsia="KaiTi" w:cs="KaiTi"/>
          <w:sz w:val="31"/>
          <w:szCs w:val="31"/>
        </w:rPr>
      </w:pPr>
      <w:r>
        <w:rPr>
          <w:rFonts w:ascii="KaiTi" w:hAnsi="KaiTi" w:eastAsia="KaiTi" w:cs="KaiTi"/>
          <w:sz w:val="31"/>
          <w:szCs w:val="31"/>
          <w:b/>
          <w:bCs/>
          <w:spacing w:val="7"/>
        </w:rPr>
        <w:t>第一百六十一条</w:t>
      </w:r>
      <w:r>
        <w:rPr>
          <w:rFonts w:ascii="KaiTi" w:hAnsi="KaiTi" w:eastAsia="KaiTi" w:cs="KaiTi"/>
          <w:sz w:val="31"/>
          <w:szCs w:val="31"/>
          <w:spacing w:val="7"/>
        </w:rPr>
        <w:t xml:space="preserve">  </w:t>
      </w:r>
      <w:r>
        <w:rPr>
          <w:rFonts w:ascii="KaiTi" w:hAnsi="KaiTi" w:eastAsia="KaiTi" w:cs="KaiTi"/>
          <w:sz w:val="31"/>
          <w:szCs w:val="31"/>
          <w:b/>
          <w:bCs/>
          <w:spacing w:val="7"/>
        </w:rPr>
        <w:t>从事病原微生物实验活动未在相应</w:t>
      </w:r>
      <w:r>
        <w:rPr>
          <w:rFonts w:ascii="KaiTi" w:hAnsi="KaiTi" w:eastAsia="KaiTi" w:cs="KaiTi"/>
          <w:sz w:val="31"/>
          <w:szCs w:val="31"/>
          <w:b/>
          <w:bCs/>
          <w:spacing w:val="6"/>
        </w:rPr>
        <w:t>等级的实验室进行，或者高等级病原微生</w:t>
      </w:r>
      <w:r>
        <w:rPr>
          <w:rFonts w:ascii="KaiTi" w:hAnsi="KaiTi" w:eastAsia="KaiTi" w:cs="KaiTi"/>
          <w:sz w:val="31"/>
          <w:szCs w:val="31"/>
        </w:rPr>
        <w:t xml:space="preserve"> </w:t>
      </w:r>
      <w:r>
        <w:rPr>
          <w:rFonts w:ascii="KaiTi" w:hAnsi="KaiTi" w:eastAsia="KaiTi" w:cs="KaiTi"/>
          <w:sz w:val="31"/>
          <w:szCs w:val="31"/>
          <w:b/>
          <w:bCs/>
          <w:spacing w:val="7"/>
        </w:rPr>
        <w:t>物实验室未经批准从事高致病性、疑似高致病性病原微生物实验活动的</w:t>
      </w:r>
    </w:p>
    <w:p>
      <w:pPr>
        <w:ind w:left="684"/>
        <w:spacing w:line="222" w:lineRule="auto"/>
        <w:rPr>
          <w:rFonts w:ascii="FangSong" w:hAnsi="FangSong" w:eastAsia="FangSong" w:cs="FangSong"/>
          <w:sz w:val="26"/>
          <w:szCs w:val="26"/>
        </w:rPr>
      </w:pPr>
      <w:r>
        <w:rPr>
          <w:rFonts w:ascii="FangSong" w:hAnsi="FangSong" w:eastAsia="FangSong" w:cs="FangSong"/>
          <w:sz w:val="26"/>
          <w:szCs w:val="26"/>
          <w:spacing w:val="34"/>
        </w:rPr>
        <w:t>法律依据</w:t>
      </w:r>
      <w:r>
        <w:rPr>
          <w:rFonts w:ascii="FangSong" w:hAnsi="FangSong" w:eastAsia="FangSong" w:cs="FangSong"/>
          <w:sz w:val="26"/>
          <w:szCs w:val="26"/>
          <w:spacing w:val="-63"/>
        </w:rPr>
        <w:t xml:space="preserve"> </w:t>
      </w:r>
      <w:r>
        <w:rPr>
          <w:rFonts w:ascii="FangSong" w:hAnsi="FangSong" w:eastAsia="FangSong" w:cs="FangSong"/>
          <w:sz w:val="26"/>
          <w:szCs w:val="26"/>
          <w:spacing w:val="34"/>
        </w:rPr>
        <w:t>：</w:t>
      </w:r>
    </w:p>
    <w:p>
      <w:pPr>
        <w:ind w:left="669"/>
        <w:spacing w:before="86" w:line="221" w:lineRule="auto"/>
        <w:rPr>
          <w:rFonts w:ascii="FangSong" w:hAnsi="FangSong" w:eastAsia="FangSong" w:cs="FangSong"/>
          <w:sz w:val="31"/>
          <w:szCs w:val="31"/>
        </w:rPr>
      </w:pPr>
      <w:r>
        <w:rPr>
          <w:rFonts w:ascii="FangSong" w:hAnsi="FangSong" w:eastAsia="FangSong" w:cs="FangSong"/>
          <w:sz w:val="31"/>
          <w:szCs w:val="31"/>
          <w:spacing w:val="8"/>
        </w:rPr>
        <w:t>《中华人民共和国生物安全法》第七十六条</w:t>
      </w:r>
    </w:p>
    <w:p>
      <w:pPr>
        <w:ind w:left="25" w:right="287" w:firstLine="659"/>
        <w:spacing w:before="75" w:line="269" w:lineRule="auto"/>
        <w:rPr>
          <w:rFonts w:ascii="FangSong" w:hAnsi="FangSong" w:eastAsia="FangSong" w:cs="FangSong"/>
          <w:sz w:val="31"/>
          <w:szCs w:val="31"/>
        </w:rPr>
      </w:pPr>
      <w:r>
        <w:rPr>
          <w:rFonts w:ascii="FangSong" w:hAnsi="FangSong" w:eastAsia="FangSong" w:cs="FangSong"/>
          <w:sz w:val="31"/>
          <w:szCs w:val="31"/>
          <w:spacing w:val="7"/>
        </w:rPr>
        <w:t>违反本法规定，从事病原微生物实验活动未在相应等级的实验室进行，或者高</w:t>
      </w:r>
      <w:r>
        <w:rPr>
          <w:rFonts w:ascii="FangSong" w:hAnsi="FangSong" w:eastAsia="FangSong" w:cs="FangSong"/>
          <w:sz w:val="31"/>
          <w:szCs w:val="31"/>
          <w:spacing w:val="6"/>
        </w:rPr>
        <w:t>等级病原微生物实</w:t>
      </w:r>
      <w:r>
        <w:rPr>
          <w:rFonts w:ascii="FangSong" w:hAnsi="FangSong" w:eastAsia="FangSong" w:cs="FangSong"/>
          <w:sz w:val="31"/>
          <w:szCs w:val="31"/>
        </w:rPr>
        <w:t xml:space="preserve"> </w:t>
      </w:r>
      <w:r>
        <w:rPr>
          <w:rFonts w:ascii="FangSong" w:hAnsi="FangSong" w:eastAsia="FangSong" w:cs="FangSong"/>
          <w:sz w:val="31"/>
          <w:szCs w:val="31"/>
          <w:spacing w:val="6"/>
        </w:rPr>
        <w:t>验室未经批准从事高致病性、疑似高致病性病原微生物实验活动的，由县级以上地方人民政府卫生健</w:t>
      </w:r>
    </w:p>
    <w:p>
      <w:pPr>
        <w:spacing w:line="269" w:lineRule="auto"/>
        <w:sectPr>
          <w:footerReference w:type="default" r:id="rId232"/>
          <w:pgSz w:w="16830" w:h="11900"/>
          <w:pgMar w:top="1011" w:right="1144" w:bottom="1123" w:left="1405" w:header="0" w:footer="789" w:gutter="0"/>
        </w:sectPr>
        <w:rPr>
          <w:rFonts w:ascii="FangSong" w:hAnsi="FangSong" w:eastAsia="FangSong" w:cs="FangSong"/>
          <w:sz w:val="31"/>
          <w:szCs w:val="31"/>
        </w:rPr>
      </w:pPr>
    </w:p>
    <w:p>
      <w:pPr>
        <w:pStyle w:val="BodyText"/>
        <w:spacing w:line="253" w:lineRule="auto"/>
        <w:rPr/>
      </w:pPr>
      <w:r/>
    </w:p>
    <w:p>
      <w:pPr>
        <w:pStyle w:val="BodyText"/>
        <w:spacing w:line="253" w:lineRule="auto"/>
        <w:rPr/>
      </w:pPr>
      <w:r/>
    </w:p>
    <w:p>
      <w:pPr>
        <w:pStyle w:val="BodyText"/>
        <w:spacing w:line="253" w:lineRule="auto"/>
        <w:rPr/>
      </w:pPr>
      <w:r/>
    </w:p>
    <w:p>
      <w:pPr>
        <w:ind w:left="34" w:right="44"/>
        <w:spacing w:before="101" w:line="263" w:lineRule="auto"/>
        <w:jc w:val="both"/>
        <w:rPr>
          <w:rFonts w:ascii="FangSong" w:hAnsi="FangSong" w:eastAsia="FangSong" w:cs="FangSong"/>
          <w:sz w:val="31"/>
          <w:szCs w:val="31"/>
        </w:rPr>
      </w:pPr>
      <w:bookmarkStart w:name="bookmark883" w:id="230"/>
      <w:bookmarkEnd w:id="230"/>
      <w:r>
        <w:rPr>
          <w:rFonts w:ascii="FangSong" w:hAnsi="FangSong" w:eastAsia="FangSong" w:cs="FangSong"/>
          <w:sz w:val="31"/>
          <w:szCs w:val="31"/>
          <w:spacing w:val="7"/>
        </w:rPr>
        <w:t>康、农业农村主管部门根据职责分工，责令停止违法行</w:t>
      </w:r>
      <w:r>
        <w:rPr>
          <w:rFonts w:ascii="FangSong" w:hAnsi="FangSong" w:eastAsia="FangSong" w:cs="FangSong"/>
          <w:sz w:val="31"/>
          <w:szCs w:val="31"/>
          <w:spacing w:val="6"/>
        </w:rPr>
        <w:t>为，监督其将用于实验活动的病原微生物销毁</w:t>
      </w:r>
      <w:r>
        <w:rPr>
          <w:rFonts w:ascii="FangSong" w:hAnsi="FangSong" w:eastAsia="FangSong" w:cs="FangSong"/>
          <w:sz w:val="31"/>
          <w:szCs w:val="31"/>
        </w:rPr>
        <w:t xml:space="preserve"> </w:t>
      </w:r>
      <w:r>
        <w:rPr>
          <w:rFonts w:ascii="FangSong" w:hAnsi="FangSong" w:eastAsia="FangSong" w:cs="FangSong"/>
          <w:sz w:val="31"/>
          <w:szCs w:val="31"/>
          <w:spacing w:val="7"/>
        </w:rPr>
        <w:t>或者送交保藏机构，给予警告；造成传染病传播、流行或者</w:t>
      </w:r>
      <w:r>
        <w:rPr>
          <w:rFonts w:ascii="FangSong" w:hAnsi="FangSong" w:eastAsia="FangSong" w:cs="FangSong"/>
          <w:sz w:val="31"/>
          <w:szCs w:val="31"/>
          <w:spacing w:val="6"/>
        </w:rPr>
        <w:t>其他严重后果的，对法定代表人、主要负</w:t>
      </w:r>
      <w:r>
        <w:rPr>
          <w:rFonts w:ascii="FangSong" w:hAnsi="FangSong" w:eastAsia="FangSong" w:cs="FangSong"/>
          <w:sz w:val="31"/>
          <w:szCs w:val="31"/>
        </w:rPr>
        <w:t xml:space="preserve"> </w:t>
      </w:r>
      <w:r>
        <w:rPr>
          <w:rFonts w:ascii="FangSong" w:hAnsi="FangSong" w:eastAsia="FangSong" w:cs="FangSong"/>
          <w:sz w:val="31"/>
          <w:szCs w:val="31"/>
          <w:spacing w:val="7"/>
        </w:rPr>
        <w:t>责人、直接负责的主管人员和其他直接责任人员依法给予撤职、开除处分。</w:t>
      </w:r>
    </w:p>
    <w:p>
      <w:pPr>
        <w:ind w:left="6449"/>
        <w:spacing w:before="17"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0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44"/>
        <w:gridCol w:w="6865"/>
        <w:gridCol w:w="6091"/>
      </w:tblGrid>
      <w:tr>
        <w:trPr>
          <w:trHeight w:val="1091" w:hRule="atLeast"/>
        </w:trPr>
        <w:tc>
          <w:tcPr>
            <w:tcW w:w="1044" w:type="dxa"/>
            <w:vAlign w:val="top"/>
          </w:tcPr>
          <w:p>
            <w:pPr>
              <w:pStyle w:val="TableText"/>
              <w:ind w:left="278"/>
              <w:spacing w:before="88" w:line="225" w:lineRule="auto"/>
              <w:rPr/>
            </w:pPr>
            <w:r>
              <w:rPr>
                <w:b/>
                <w:bCs/>
                <w:spacing w:val="-5"/>
              </w:rPr>
              <w:t>违法</w:t>
            </w:r>
          </w:p>
          <w:p>
            <w:pPr>
              <w:pStyle w:val="TableText"/>
              <w:ind w:left="278"/>
              <w:spacing w:before="150" w:line="220" w:lineRule="auto"/>
              <w:rPr/>
            </w:pPr>
            <w:r>
              <w:rPr>
                <w:b/>
                <w:bCs/>
                <w:spacing w:val="-5"/>
              </w:rPr>
              <w:t>程度</w:t>
            </w:r>
          </w:p>
        </w:tc>
        <w:tc>
          <w:tcPr>
            <w:tcW w:w="6865" w:type="dxa"/>
            <w:vAlign w:val="top"/>
          </w:tcPr>
          <w:p>
            <w:pPr>
              <w:spacing w:line="352" w:lineRule="auto"/>
              <w:rPr>
                <w:rFonts w:ascii="Arial"/>
                <w:sz w:val="21"/>
              </w:rPr>
            </w:pPr>
            <w:r/>
          </w:p>
          <w:p>
            <w:pPr>
              <w:pStyle w:val="TableText"/>
              <w:ind w:left="2944"/>
              <w:spacing w:before="78" w:line="220" w:lineRule="auto"/>
              <w:rPr/>
            </w:pPr>
            <w:r>
              <w:rPr>
                <w:b/>
                <w:bCs/>
                <w:spacing w:val="-5"/>
              </w:rPr>
              <w:t>情节后果</w:t>
            </w:r>
          </w:p>
        </w:tc>
        <w:tc>
          <w:tcPr>
            <w:tcW w:w="6091" w:type="dxa"/>
            <w:vAlign w:val="top"/>
          </w:tcPr>
          <w:p>
            <w:pPr>
              <w:spacing w:line="349" w:lineRule="auto"/>
              <w:rPr>
                <w:rFonts w:ascii="Arial"/>
                <w:sz w:val="21"/>
              </w:rPr>
            </w:pPr>
            <w:r/>
          </w:p>
          <w:p>
            <w:pPr>
              <w:pStyle w:val="TableText"/>
              <w:ind w:left="2459"/>
              <w:spacing w:before="78"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878" w:hRule="atLeast"/>
        </w:trPr>
        <w:tc>
          <w:tcPr>
            <w:tcW w:w="1044"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278"/>
              <w:spacing w:before="78" w:line="221" w:lineRule="auto"/>
              <w:rPr/>
            </w:pPr>
            <w:r>
              <w:rPr>
                <w:b/>
                <w:bCs/>
                <w:spacing w:val="-10"/>
              </w:rPr>
              <w:t>一般</w:t>
            </w:r>
          </w:p>
        </w:tc>
        <w:tc>
          <w:tcPr>
            <w:tcW w:w="6865" w:type="dxa"/>
            <w:vAlign w:val="top"/>
          </w:tcPr>
          <w:p>
            <w:pPr>
              <w:pStyle w:val="TableText"/>
              <w:ind w:left="64" w:right="57"/>
              <w:spacing w:before="278" w:line="344" w:lineRule="auto"/>
              <w:jc w:val="both"/>
              <w:rPr/>
            </w:pPr>
            <w:r>
              <w:rPr>
                <w:b/>
                <w:bCs/>
                <w:spacing w:val="-3"/>
              </w:rPr>
              <w:t>从事病原微生物实验活动未在相应等级的实验室进行，或者高等</w:t>
            </w:r>
            <w:r>
              <w:rPr/>
              <w:t xml:space="preserve"> </w:t>
            </w:r>
            <w:r>
              <w:rPr>
                <w:b/>
                <w:bCs/>
                <w:spacing w:val="-2"/>
              </w:rPr>
              <w:t>级病原微生物实验室未经批准从事高致病性、疑似高致病</w:t>
            </w:r>
            <w:r>
              <w:rPr>
                <w:b/>
                <w:bCs/>
                <w:spacing w:val="-3"/>
              </w:rPr>
              <w:t>性病原</w:t>
            </w:r>
            <w:r>
              <w:rPr/>
              <w:t xml:space="preserve"> </w:t>
            </w:r>
            <w:r>
              <w:rPr>
                <w:b/>
                <w:bCs/>
                <w:spacing w:val="2"/>
              </w:rPr>
              <w:t>微生物实验活动。</w:t>
            </w:r>
          </w:p>
        </w:tc>
        <w:tc>
          <w:tcPr>
            <w:tcW w:w="6091" w:type="dxa"/>
            <w:vAlign w:val="top"/>
          </w:tcPr>
          <w:p>
            <w:pPr>
              <w:spacing w:line="419" w:lineRule="auto"/>
              <w:rPr>
                <w:rFonts w:ascii="Arial"/>
                <w:sz w:val="21"/>
              </w:rPr>
            </w:pPr>
            <w:r/>
          </w:p>
          <w:p>
            <w:pPr>
              <w:pStyle w:val="TableText"/>
              <w:ind w:left="109" w:right="36" w:hanging="70"/>
              <w:spacing w:before="78" w:line="339" w:lineRule="auto"/>
              <w:rPr/>
            </w:pPr>
            <w:r>
              <w:rPr>
                <w:b/>
                <w:bCs/>
                <w:spacing w:val="-3"/>
              </w:rPr>
              <w:t>责令停止违法行为，监督其将用于实验活动的病原微生物</w:t>
            </w:r>
            <w:r>
              <w:rPr>
                <w:spacing w:val="16"/>
              </w:rPr>
              <w:t xml:space="preserve"> </w:t>
            </w:r>
            <w:r>
              <w:rPr>
                <w:b/>
                <w:bCs/>
                <w:spacing w:val="-3"/>
              </w:rPr>
              <w:t>销毁或者送交保藏机构，给予警告。</w:t>
            </w:r>
          </w:p>
        </w:tc>
      </w:tr>
    </w:tbl>
    <w:p>
      <w:pPr>
        <w:pStyle w:val="BodyText"/>
        <w:spacing w:line="311" w:lineRule="auto"/>
        <w:rPr/>
      </w:pPr>
      <w:r/>
    </w:p>
    <w:p>
      <w:pPr>
        <w:pStyle w:val="BodyText"/>
        <w:spacing w:line="311" w:lineRule="auto"/>
        <w:rPr/>
      </w:pPr>
      <w:r/>
    </w:p>
    <w:p>
      <w:pPr>
        <w:ind w:left="689"/>
        <w:spacing w:before="101" w:line="220" w:lineRule="auto"/>
        <w:rPr>
          <w:rFonts w:ascii="FangSong" w:hAnsi="FangSong" w:eastAsia="FangSong" w:cs="FangSong"/>
          <w:sz w:val="31"/>
          <w:szCs w:val="31"/>
        </w:rPr>
      </w:pPr>
      <w:r>
        <w:rPr>
          <w:rFonts w:ascii="FangSong" w:hAnsi="FangSong" w:eastAsia="FangSong" w:cs="FangSong"/>
          <w:sz w:val="31"/>
          <w:szCs w:val="31"/>
          <w:b/>
          <w:bCs/>
          <w:spacing w:val="7"/>
        </w:rPr>
        <w:t>第一百六十二条</w:t>
      </w:r>
      <w:r>
        <w:rPr>
          <w:rFonts w:ascii="FangSong" w:hAnsi="FangSong" w:eastAsia="FangSong" w:cs="FangSong"/>
          <w:sz w:val="31"/>
          <w:szCs w:val="31"/>
          <w:spacing w:val="5"/>
        </w:rPr>
        <w:t xml:space="preserve">  </w:t>
      </w:r>
      <w:r>
        <w:rPr>
          <w:rFonts w:ascii="FangSong" w:hAnsi="FangSong" w:eastAsia="FangSong" w:cs="FangSong"/>
          <w:sz w:val="31"/>
          <w:szCs w:val="31"/>
          <w:b/>
          <w:bCs/>
          <w:spacing w:val="7"/>
        </w:rPr>
        <w:t>个人设立病原微生物实验室或者从事病原微生物实验活动的</w:t>
      </w:r>
    </w:p>
    <w:p>
      <w:pPr>
        <w:ind w:left="684"/>
        <w:spacing w:before="97"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660"/>
        <w:spacing w:before="83" w:line="221" w:lineRule="auto"/>
        <w:rPr>
          <w:rFonts w:ascii="FangSong" w:hAnsi="FangSong" w:eastAsia="FangSong" w:cs="FangSong"/>
          <w:sz w:val="31"/>
          <w:szCs w:val="31"/>
        </w:rPr>
      </w:pPr>
      <w:r>
        <w:rPr>
          <w:rFonts w:ascii="FangSong" w:hAnsi="FangSong" w:eastAsia="FangSong" w:cs="FangSong"/>
          <w:sz w:val="31"/>
          <w:szCs w:val="31"/>
          <w:spacing w:val="8"/>
        </w:rPr>
        <w:t>《中华人民共和国生物安全法》第七十八条</w:t>
      </w:r>
    </w:p>
    <w:p>
      <w:pPr>
        <w:ind w:left="34" w:right="5" w:firstLine="649"/>
        <w:spacing w:before="80" w:line="255" w:lineRule="auto"/>
        <w:rPr>
          <w:rFonts w:ascii="FangSong" w:hAnsi="FangSong" w:eastAsia="FangSong" w:cs="FangSong"/>
          <w:sz w:val="31"/>
          <w:szCs w:val="31"/>
        </w:rPr>
      </w:pPr>
      <w:r>
        <w:rPr>
          <w:rFonts w:ascii="FangSong" w:hAnsi="FangSong" w:eastAsia="FangSong" w:cs="FangSong"/>
          <w:sz w:val="31"/>
          <w:szCs w:val="31"/>
          <w:spacing w:val="7"/>
        </w:rPr>
        <w:t>违反本法规定，有下列行为之一的，由县级以上人民政府有关部门根据职责分工，责令改正，没</w:t>
      </w:r>
      <w:r>
        <w:rPr>
          <w:rFonts w:ascii="FangSong" w:hAnsi="FangSong" w:eastAsia="FangSong" w:cs="FangSong"/>
          <w:sz w:val="31"/>
          <w:szCs w:val="31"/>
          <w:spacing w:val="4"/>
        </w:rPr>
        <w:t xml:space="preserve"> </w:t>
      </w:r>
      <w:r>
        <w:rPr>
          <w:rFonts w:ascii="FangSong" w:hAnsi="FangSong" w:eastAsia="FangSong" w:cs="FangSong"/>
          <w:sz w:val="31"/>
          <w:szCs w:val="31"/>
          <w:spacing w:val="6"/>
        </w:rPr>
        <w:t>收违法所得，给予警告，可以并处十万元以上一百万元以下的罚款：</w:t>
      </w:r>
    </w:p>
    <w:p>
      <w:pPr>
        <w:ind w:left="804"/>
        <w:spacing w:before="22" w:line="221" w:lineRule="auto"/>
        <w:rPr>
          <w:rFonts w:ascii="FangSong" w:hAnsi="FangSong" w:eastAsia="FangSong" w:cs="FangSong"/>
          <w:sz w:val="31"/>
          <w:szCs w:val="31"/>
        </w:rPr>
      </w:pPr>
      <w:r>
        <w:rPr>
          <w:rFonts w:ascii="FangSong" w:hAnsi="FangSong" w:eastAsia="FangSong" w:cs="FangSong"/>
          <w:sz w:val="31"/>
          <w:szCs w:val="31"/>
          <w:spacing w:val="13"/>
        </w:rPr>
        <w:t>(三)个人设立病原微生物实验室或者从事病原微生物实验活动。</w:t>
      </w:r>
    </w:p>
    <w:p>
      <w:pPr>
        <w:spacing w:line="221" w:lineRule="auto"/>
        <w:sectPr>
          <w:footerReference w:type="default" r:id="rId233"/>
          <w:pgSz w:w="16830" w:h="11900"/>
          <w:pgMar w:top="1011" w:right="1414" w:bottom="1104" w:left="1405" w:header="0" w:footer="762" w:gutter="0"/>
        </w:sectPr>
        <w:rPr>
          <w:rFonts w:ascii="FangSong" w:hAnsi="FangSong" w:eastAsia="FangSong" w:cs="FangSong"/>
          <w:sz w:val="31"/>
          <w:szCs w:val="31"/>
        </w:rPr>
      </w:pPr>
    </w:p>
    <w:p>
      <w:pPr>
        <w:pStyle w:val="BodyText"/>
        <w:spacing w:line="256" w:lineRule="auto"/>
        <w:rPr/>
      </w:pPr>
      <w:r/>
    </w:p>
    <w:p>
      <w:pPr>
        <w:pStyle w:val="BodyText"/>
        <w:spacing w:line="256" w:lineRule="auto"/>
        <w:rPr/>
      </w:pPr>
      <w:r/>
    </w:p>
    <w:p>
      <w:pPr>
        <w:pStyle w:val="BodyText"/>
        <w:spacing w:line="256" w:lineRule="auto"/>
        <w:rPr/>
      </w:pPr>
      <w:r/>
    </w:p>
    <w:p>
      <w:pPr>
        <w:ind w:left="6449"/>
        <w:spacing w:before="94" w:line="220" w:lineRule="auto"/>
        <w:outlineLvl w:val="1"/>
        <w:rPr>
          <w:rFonts w:ascii="SimSun" w:hAnsi="SimSun" w:eastAsia="SimSun" w:cs="SimSun"/>
          <w:sz w:val="29"/>
          <w:szCs w:val="29"/>
        </w:rPr>
      </w:pPr>
      <w:bookmarkStart w:name="bookmark884" w:id="231"/>
      <w:bookmarkEnd w:id="231"/>
      <w:bookmarkStart w:name="bookmark186" w:id="232"/>
      <w:bookmarkEnd w:id="232"/>
      <w:r>
        <w:rPr>
          <w:rFonts w:ascii="SimSun" w:hAnsi="SimSun" w:eastAsia="SimSun" w:cs="SimSun"/>
          <w:sz w:val="29"/>
          <w:szCs w:val="29"/>
          <w:b/>
          <w:bCs/>
          <w:spacing w:val="-6"/>
        </w:rPr>
        <w:t>裁量标准</w:t>
      </w:r>
    </w:p>
    <w:tbl>
      <w:tblPr>
        <w:tblStyle w:val="TableNormal"/>
        <w:tblW w:w="1419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4627"/>
        <w:gridCol w:w="8119"/>
      </w:tblGrid>
      <w:tr>
        <w:trPr>
          <w:trHeight w:val="653" w:hRule="atLeast"/>
        </w:trPr>
        <w:tc>
          <w:tcPr>
            <w:tcW w:w="1444" w:type="dxa"/>
            <w:vAlign w:val="top"/>
          </w:tcPr>
          <w:p>
            <w:pPr>
              <w:pStyle w:val="TableText"/>
              <w:ind w:left="138"/>
              <w:spacing w:before="9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4627" w:type="dxa"/>
            <w:vAlign w:val="top"/>
          </w:tcPr>
          <w:p>
            <w:pPr>
              <w:pStyle w:val="TableText"/>
              <w:ind w:left="1744"/>
              <w:spacing w:before="102" w:line="220" w:lineRule="auto"/>
              <w:rPr/>
            </w:pPr>
            <w:r>
              <w:rPr>
                <w:b/>
                <w:bCs/>
                <w:spacing w:val="-5"/>
              </w:rPr>
              <w:t>情节后果</w:t>
            </w:r>
          </w:p>
        </w:tc>
        <w:tc>
          <w:tcPr>
            <w:tcW w:w="8119" w:type="dxa"/>
            <w:vAlign w:val="top"/>
          </w:tcPr>
          <w:p>
            <w:pPr>
              <w:pStyle w:val="TableText"/>
              <w:ind w:left="3497"/>
              <w:spacing w:before="9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47" w:hRule="atLeast"/>
        </w:trPr>
        <w:tc>
          <w:tcPr>
            <w:tcW w:w="1444" w:type="dxa"/>
            <w:vAlign w:val="top"/>
          </w:tcPr>
          <w:p>
            <w:pPr>
              <w:pStyle w:val="TableText"/>
              <w:ind w:left="478"/>
              <w:spacing w:before="118" w:line="219" w:lineRule="auto"/>
              <w:rPr/>
            </w:pPr>
            <w:r>
              <w:rPr>
                <w:b/>
                <w:bCs/>
                <w:spacing w:val="-6"/>
              </w:rPr>
              <w:t>轻微</w:t>
            </w:r>
          </w:p>
        </w:tc>
        <w:tc>
          <w:tcPr>
            <w:tcW w:w="4627" w:type="dxa"/>
            <w:vAlign w:val="top"/>
          </w:tcPr>
          <w:p>
            <w:pPr>
              <w:pStyle w:val="TableText"/>
              <w:ind w:left="121"/>
              <w:spacing w:before="122" w:line="219" w:lineRule="auto"/>
              <w:rPr/>
            </w:pPr>
            <w:r>
              <w:rPr>
                <w:spacing w:val="-1"/>
              </w:rPr>
              <w:t>违法所得不足十万元。</w:t>
            </w:r>
          </w:p>
        </w:tc>
        <w:tc>
          <w:tcPr>
            <w:tcW w:w="8119" w:type="dxa"/>
            <w:vAlign w:val="top"/>
          </w:tcPr>
          <w:p>
            <w:pPr>
              <w:pStyle w:val="TableText"/>
              <w:ind w:left="114"/>
              <w:spacing w:before="119" w:line="218" w:lineRule="auto"/>
              <w:rPr/>
            </w:pPr>
            <w:r>
              <w:rPr/>
              <w:t>没收违法所得，给予警告，可以并处十万元以上三十万元以下的罚</w:t>
            </w:r>
            <w:r>
              <w:rPr>
                <w:spacing w:val="-1"/>
              </w:rPr>
              <w:t>款。</w:t>
            </w:r>
          </w:p>
        </w:tc>
      </w:tr>
      <w:tr>
        <w:trPr>
          <w:trHeight w:val="648" w:hRule="atLeast"/>
        </w:trPr>
        <w:tc>
          <w:tcPr>
            <w:tcW w:w="1444" w:type="dxa"/>
            <w:vAlign w:val="top"/>
          </w:tcPr>
          <w:p>
            <w:pPr>
              <w:pStyle w:val="TableText"/>
              <w:ind w:left="478"/>
              <w:spacing w:before="112" w:line="221" w:lineRule="auto"/>
              <w:rPr/>
            </w:pPr>
            <w:r>
              <w:rPr>
                <w:b/>
                <w:bCs/>
                <w:spacing w:val="-10"/>
              </w:rPr>
              <w:t>一般</w:t>
            </w:r>
          </w:p>
        </w:tc>
        <w:tc>
          <w:tcPr>
            <w:tcW w:w="4627" w:type="dxa"/>
            <w:vAlign w:val="top"/>
          </w:tcPr>
          <w:p>
            <w:pPr>
              <w:pStyle w:val="TableText"/>
              <w:ind w:left="121"/>
              <w:spacing w:before="115" w:line="219" w:lineRule="auto"/>
              <w:rPr/>
            </w:pPr>
            <w:r>
              <w:rPr/>
              <w:t>违法所得十万至五十万元。</w:t>
            </w:r>
          </w:p>
        </w:tc>
        <w:tc>
          <w:tcPr>
            <w:tcW w:w="8119" w:type="dxa"/>
            <w:vAlign w:val="top"/>
          </w:tcPr>
          <w:p>
            <w:pPr>
              <w:pStyle w:val="TableText"/>
              <w:ind w:left="114"/>
              <w:spacing w:before="112" w:line="218" w:lineRule="auto"/>
              <w:rPr/>
            </w:pPr>
            <w:r>
              <w:rPr/>
              <w:t>没收违法所得，给予警告，可以并处三十万元以上六十万元以下的罚</w:t>
            </w:r>
            <w:r>
              <w:rPr>
                <w:spacing w:val="-1"/>
              </w:rPr>
              <w:t>款。</w:t>
            </w:r>
          </w:p>
        </w:tc>
      </w:tr>
      <w:tr>
        <w:trPr>
          <w:trHeight w:val="742" w:hRule="atLeast"/>
        </w:trPr>
        <w:tc>
          <w:tcPr>
            <w:tcW w:w="1444" w:type="dxa"/>
            <w:vAlign w:val="top"/>
          </w:tcPr>
          <w:p>
            <w:pPr>
              <w:pStyle w:val="TableText"/>
              <w:ind w:left="478"/>
              <w:spacing w:before="154" w:line="220" w:lineRule="auto"/>
              <w:rPr/>
            </w:pPr>
            <w:r>
              <w:rPr>
                <w:b/>
                <w:bCs/>
                <w:spacing w:val="-6"/>
              </w:rPr>
              <w:t>严重</w:t>
            </w:r>
          </w:p>
        </w:tc>
        <w:tc>
          <w:tcPr>
            <w:tcW w:w="4627" w:type="dxa"/>
            <w:vAlign w:val="top"/>
          </w:tcPr>
          <w:p>
            <w:pPr>
              <w:pStyle w:val="TableText"/>
              <w:ind w:left="121"/>
              <w:spacing w:before="157" w:line="219" w:lineRule="auto"/>
              <w:rPr/>
            </w:pPr>
            <w:r>
              <w:rPr/>
              <w:t>违法所得超过五十万元。</w:t>
            </w:r>
          </w:p>
        </w:tc>
        <w:tc>
          <w:tcPr>
            <w:tcW w:w="8119" w:type="dxa"/>
            <w:vAlign w:val="top"/>
          </w:tcPr>
          <w:p>
            <w:pPr>
              <w:pStyle w:val="TableText"/>
              <w:ind w:left="114"/>
              <w:spacing w:before="164" w:line="218" w:lineRule="auto"/>
              <w:rPr/>
            </w:pPr>
            <w:r>
              <w:rPr/>
              <w:t>没收违法所得，给予警告，可以并处六十万元以上一百万元以下的罚款。</w:t>
            </w:r>
          </w:p>
        </w:tc>
      </w:tr>
    </w:tbl>
    <w:p>
      <w:pPr>
        <w:pStyle w:val="BodyText"/>
        <w:spacing w:line="337" w:lineRule="auto"/>
        <w:rPr/>
      </w:pPr>
      <w:r/>
    </w:p>
    <w:p>
      <w:pPr>
        <w:pStyle w:val="BodyText"/>
        <w:spacing w:line="338" w:lineRule="auto"/>
        <w:rPr/>
      </w:pPr>
      <w:r/>
    </w:p>
    <w:p>
      <w:pPr>
        <w:ind w:left="679"/>
        <w:spacing w:before="98" w:line="220" w:lineRule="auto"/>
        <w:rPr>
          <w:rFonts w:ascii="FangSong" w:hAnsi="FangSong" w:eastAsia="FangSong" w:cs="FangSong"/>
          <w:sz w:val="30"/>
          <w:szCs w:val="30"/>
        </w:rPr>
      </w:pPr>
      <w:r>
        <w:rPr>
          <w:rFonts w:ascii="FangSong" w:hAnsi="FangSong" w:eastAsia="FangSong" w:cs="FangSong"/>
          <w:sz w:val="30"/>
          <w:szCs w:val="30"/>
          <w:b/>
          <w:bCs/>
          <w:spacing w:val="17"/>
        </w:rPr>
        <w:t>第一百六十三条</w:t>
      </w:r>
      <w:r>
        <w:rPr>
          <w:rFonts w:ascii="FangSong" w:hAnsi="FangSong" w:eastAsia="FangSong" w:cs="FangSong"/>
          <w:sz w:val="30"/>
          <w:szCs w:val="30"/>
          <w:spacing w:val="8"/>
        </w:rPr>
        <w:t xml:space="preserve">  </w:t>
      </w:r>
      <w:r>
        <w:rPr>
          <w:rFonts w:ascii="FangSong" w:hAnsi="FangSong" w:eastAsia="FangSong" w:cs="FangSong"/>
          <w:sz w:val="30"/>
          <w:szCs w:val="30"/>
          <w:b/>
          <w:bCs/>
          <w:spacing w:val="17"/>
        </w:rPr>
        <w:t>未经实验室负责人批准进入</w:t>
      </w:r>
      <w:r>
        <w:rPr>
          <w:rFonts w:ascii="FangSong" w:hAnsi="FangSong" w:eastAsia="FangSong" w:cs="FangSong"/>
          <w:sz w:val="30"/>
          <w:szCs w:val="30"/>
          <w:b/>
          <w:bCs/>
          <w:spacing w:val="16"/>
        </w:rPr>
        <w:t>高等级病原微生物实验室的</w:t>
      </w:r>
    </w:p>
    <w:p>
      <w:pPr>
        <w:ind w:left="675"/>
        <w:spacing w:before="10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665"/>
        <w:spacing w:before="66" w:line="221" w:lineRule="auto"/>
        <w:rPr>
          <w:rFonts w:ascii="FangSong" w:hAnsi="FangSong" w:eastAsia="FangSong" w:cs="FangSong"/>
          <w:sz w:val="30"/>
          <w:szCs w:val="30"/>
        </w:rPr>
      </w:pPr>
      <w:r>
        <w:rPr>
          <w:rFonts w:ascii="FangSong" w:hAnsi="FangSong" w:eastAsia="FangSong" w:cs="FangSong"/>
          <w:sz w:val="30"/>
          <w:szCs w:val="30"/>
          <w:spacing w:val="18"/>
        </w:rPr>
        <w:t>《中华人民共和国生物安全法》第七十八条</w:t>
      </w:r>
    </w:p>
    <w:p>
      <w:pPr>
        <w:ind w:left="64" w:right="216" w:firstLine="610"/>
        <w:spacing w:before="90" w:line="270" w:lineRule="auto"/>
        <w:rPr>
          <w:rFonts w:ascii="FangSong" w:hAnsi="FangSong" w:eastAsia="FangSong" w:cs="FangSong"/>
          <w:sz w:val="30"/>
          <w:szCs w:val="30"/>
        </w:rPr>
      </w:pPr>
      <w:r>
        <w:rPr>
          <w:rFonts w:ascii="FangSong" w:hAnsi="FangSong" w:eastAsia="FangSong" w:cs="FangSong"/>
          <w:sz w:val="30"/>
          <w:szCs w:val="30"/>
          <w:spacing w:val="17"/>
        </w:rPr>
        <w:t>违反本法规定，有下列行为之一的，由县级以上人民政府有关部门根据职责分工，责令改正，没</w:t>
      </w:r>
      <w:r>
        <w:rPr>
          <w:rFonts w:ascii="FangSong" w:hAnsi="FangSong" w:eastAsia="FangSong" w:cs="FangSong"/>
          <w:sz w:val="30"/>
          <w:szCs w:val="30"/>
          <w:spacing w:val="3"/>
        </w:rPr>
        <w:t xml:space="preserve"> </w:t>
      </w:r>
      <w:r>
        <w:rPr>
          <w:rFonts w:ascii="FangSong" w:hAnsi="FangSong" w:eastAsia="FangSong" w:cs="FangSong"/>
          <w:sz w:val="30"/>
          <w:szCs w:val="30"/>
          <w:spacing w:val="17"/>
        </w:rPr>
        <w:t>收违法所得，给予警告，可以并处十万元</w:t>
      </w:r>
      <w:r>
        <w:rPr>
          <w:rFonts w:ascii="FangSong" w:hAnsi="FangSong" w:eastAsia="FangSong" w:cs="FangSong"/>
          <w:sz w:val="30"/>
          <w:szCs w:val="30"/>
          <w:spacing w:val="16"/>
        </w:rPr>
        <w:t>以上一百万元以下的罚款：</w:t>
      </w:r>
    </w:p>
    <w:p>
      <w:pPr>
        <w:ind w:left="824"/>
        <w:spacing w:before="3" w:line="221" w:lineRule="auto"/>
        <w:rPr>
          <w:rFonts w:ascii="FangSong" w:hAnsi="FangSong" w:eastAsia="FangSong" w:cs="FangSong"/>
          <w:sz w:val="30"/>
          <w:szCs w:val="30"/>
        </w:rPr>
      </w:pPr>
      <w:r>
        <w:rPr>
          <w:rFonts w:ascii="FangSong" w:hAnsi="FangSong" w:eastAsia="FangSong" w:cs="FangSong"/>
          <w:sz w:val="30"/>
          <w:szCs w:val="30"/>
          <w:spacing w:val="23"/>
        </w:rPr>
        <w:t>(四)未经实验室负责人批准进入高等级病原微生物实验室。</w:t>
      </w:r>
    </w:p>
    <w:p>
      <w:pPr>
        <w:ind w:left="6458"/>
        <w:spacing w:before="5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3" w:lineRule="auto"/>
        <w:rPr>
          <w:rFonts w:ascii="Arial"/>
          <w:sz w:val="2"/>
        </w:rPr>
      </w:pPr>
      <w:r>
        <w:rPr>
          <w:rFonts w:ascii="Arial"/>
          <w:sz w:val="2"/>
        </w:rPr>
      </w:r>
    </w:p>
    <w:tbl>
      <w:tblPr>
        <w:tblStyle w:val="TableNormal"/>
        <w:tblW w:w="139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34"/>
        <w:gridCol w:w="6435"/>
        <w:gridCol w:w="6490"/>
      </w:tblGrid>
      <w:tr>
        <w:trPr>
          <w:trHeight w:val="1060" w:hRule="atLeast"/>
        </w:trPr>
        <w:tc>
          <w:tcPr>
            <w:tcW w:w="1034" w:type="dxa"/>
            <w:vAlign w:val="top"/>
          </w:tcPr>
          <w:p>
            <w:pPr>
              <w:pStyle w:val="TableText"/>
              <w:ind w:left="219"/>
              <w:spacing w:before="71" w:line="225" w:lineRule="auto"/>
              <w:rPr>
                <w:sz w:val="29"/>
                <w:szCs w:val="29"/>
              </w:rPr>
            </w:pPr>
            <w:r>
              <w:rPr>
                <w:sz w:val="29"/>
                <w:szCs w:val="29"/>
                <w:b/>
                <w:bCs/>
                <w:spacing w:val="-6"/>
              </w:rPr>
              <w:t>违法</w:t>
            </w:r>
          </w:p>
          <w:p>
            <w:pPr>
              <w:pStyle w:val="TableText"/>
              <w:ind w:left="219"/>
              <w:spacing w:before="98" w:line="220" w:lineRule="auto"/>
              <w:rPr>
                <w:sz w:val="29"/>
                <w:szCs w:val="29"/>
              </w:rPr>
            </w:pPr>
            <w:r>
              <w:rPr>
                <w:sz w:val="29"/>
                <w:szCs w:val="29"/>
                <w:b/>
                <w:bCs/>
                <w:spacing w:val="-6"/>
              </w:rPr>
              <w:t>程度</w:t>
            </w:r>
          </w:p>
        </w:tc>
        <w:tc>
          <w:tcPr>
            <w:tcW w:w="6435" w:type="dxa"/>
            <w:vAlign w:val="top"/>
          </w:tcPr>
          <w:p>
            <w:pPr>
              <w:spacing w:line="297" w:lineRule="auto"/>
              <w:rPr>
                <w:rFonts w:ascii="Arial"/>
                <w:sz w:val="21"/>
              </w:rPr>
            </w:pPr>
            <w:r/>
          </w:p>
          <w:p>
            <w:pPr>
              <w:pStyle w:val="TableText"/>
              <w:ind w:left="2665"/>
              <w:spacing w:before="94" w:line="220" w:lineRule="auto"/>
              <w:rPr>
                <w:sz w:val="29"/>
                <w:szCs w:val="29"/>
              </w:rPr>
            </w:pPr>
            <w:r>
              <w:rPr>
                <w:sz w:val="29"/>
                <w:szCs w:val="29"/>
                <w:b/>
                <w:bCs/>
                <w:spacing w:val="-1"/>
              </w:rPr>
              <w:t>情节后果</w:t>
            </w:r>
          </w:p>
        </w:tc>
        <w:tc>
          <w:tcPr>
            <w:tcW w:w="6490" w:type="dxa"/>
            <w:vAlign w:val="top"/>
          </w:tcPr>
          <w:p>
            <w:pPr>
              <w:spacing w:line="294" w:lineRule="auto"/>
              <w:rPr>
                <w:rFonts w:ascii="Arial"/>
                <w:sz w:val="21"/>
              </w:rPr>
            </w:pPr>
            <w:r/>
          </w:p>
          <w:p>
            <w:pPr>
              <w:pStyle w:val="TableText"/>
              <w:ind w:left="2680"/>
              <w:spacing w:before="94" w:line="218" w:lineRule="auto"/>
              <w:rPr>
                <w:sz w:val="29"/>
                <w:szCs w:val="29"/>
              </w:rPr>
            </w:pPr>
            <w:r>
              <w:rPr>
                <w:sz w:val="29"/>
                <w:szCs w:val="29"/>
                <w:b/>
                <w:bCs/>
                <w:spacing w:val="-1"/>
              </w:rPr>
              <w:t>裁量幅度</w:t>
            </w:r>
          </w:p>
        </w:tc>
      </w:tr>
    </w:tbl>
    <w:p>
      <w:pPr>
        <w:pStyle w:val="BodyText"/>
        <w:rPr/>
      </w:pPr>
      <w:r/>
    </w:p>
    <w:p>
      <w:pPr>
        <w:sectPr>
          <w:footerReference w:type="default" r:id="rId234"/>
          <w:pgSz w:w="16830" w:h="11900"/>
          <w:pgMar w:top="1011" w:right="1215" w:bottom="1130" w:left="1405" w:header="0" w:footer="806" w:gutter="0"/>
        </w:sectPr>
        <w:rPr/>
      </w:pPr>
    </w:p>
    <w:p>
      <w:pPr>
        <w:spacing w:before="13"/>
        <w:rPr/>
      </w:pPr>
      <w:r/>
    </w:p>
    <w:p>
      <w:pPr>
        <w:spacing w:before="13"/>
        <w:rPr/>
      </w:pPr>
      <w:r/>
    </w:p>
    <w:p>
      <w:pPr>
        <w:spacing w:before="13"/>
        <w:rPr/>
      </w:pPr>
      <w:r/>
    </w:p>
    <w:tbl>
      <w:tblPr>
        <w:tblStyle w:val="TableNormal"/>
        <w:tblW w:w="139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44"/>
        <w:gridCol w:w="6426"/>
        <w:gridCol w:w="6500"/>
      </w:tblGrid>
      <w:tr>
        <w:trPr>
          <w:trHeight w:val="1091" w:hRule="atLeast"/>
        </w:trPr>
        <w:tc>
          <w:tcPr>
            <w:tcW w:w="1044" w:type="dxa"/>
            <w:vAlign w:val="top"/>
          </w:tcPr>
          <w:p>
            <w:pPr>
              <w:spacing w:line="351" w:lineRule="auto"/>
              <w:rPr>
                <w:rFonts w:ascii="Arial"/>
                <w:sz w:val="21"/>
              </w:rPr>
            </w:pPr>
            <w:r/>
          </w:p>
          <w:p>
            <w:pPr>
              <w:pStyle w:val="TableText"/>
              <w:ind w:left="278"/>
              <w:spacing w:before="78" w:line="219" w:lineRule="auto"/>
              <w:rPr/>
            </w:pPr>
            <w:bookmarkStart w:name="bookmark885" w:id="233"/>
            <w:bookmarkEnd w:id="233"/>
            <w:r>
              <w:rPr>
                <w:b/>
                <w:bCs/>
                <w:spacing w:val="-6"/>
              </w:rPr>
              <w:t>轻微</w:t>
            </w:r>
          </w:p>
        </w:tc>
        <w:tc>
          <w:tcPr>
            <w:tcW w:w="6426" w:type="dxa"/>
            <w:vAlign w:val="top"/>
          </w:tcPr>
          <w:p>
            <w:pPr>
              <w:pStyle w:val="TableText"/>
              <w:ind w:left="101" w:right="41" w:firstLine="19"/>
              <w:spacing w:before="113" w:line="341" w:lineRule="auto"/>
              <w:rPr/>
            </w:pPr>
            <w:r>
              <w:rPr/>
              <w:t>未经实验室负责人批准进入高等级病原微生物实验室，涉及</w:t>
            </w:r>
            <w:r>
              <w:rPr>
                <w:spacing w:val="12"/>
              </w:rPr>
              <w:t xml:space="preserve"> </w:t>
            </w:r>
            <w:r>
              <w:rPr/>
              <w:t>人数为一至三人。</w:t>
            </w:r>
          </w:p>
        </w:tc>
        <w:tc>
          <w:tcPr>
            <w:tcW w:w="6500" w:type="dxa"/>
            <w:vAlign w:val="top"/>
          </w:tcPr>
          <w:p>
            <w:pPr>
              <w:pStyle w:val="TableText"/>
              <w:ind w:left="135" w:right="93"/>
              <w:spacing w:before="123" w:line="336" w:lineRule="auto"/>
              <w:rPr/>
            </w:pPr>
            <w:r>
              <w:rPr>
                <w:spacing w:val="1"/>
              </w:rPr>
              <w:t>没收违法所得，给予警告，可以并处十万元以</w:t>
            </w:r>
            <w:r>
              <w:rPr/>
              <w:t>上三十万元以 </w:t>
            </w:r>
            <w:r>
              <w:rPr/>
              <w:t>下的罚款。</w:t>
            </w:r>
          </w:p>
        </w:tc>
      </w:tr>
      <w:tr>
        <w:trPr>
          <w:trHeight w:val="1086" w:hRule="atLeast"/>
        </w:trPr>
        <w:tc>
          <w:tcPr>
            <w:tcW w:w="1044" w:type="dxa"/>
            <w:vAlign w:val="top"/>
          </w:tcPr>
          <w:p>
            <w:pPr>
              <w:spacing w:line="351" w:lineRule="auto"/>
              <w:rPr>
                <w:rFonts w:ascii="Arial"/>
                <w:sz w:val="21"/>
              </w:rPr>
            </w:pPr>
            <w:r/>
          </w:p>
          <w:p>
            <w:pPr>
              <w:pStyle w:val="TableText"/>
              <w:ind w:left="278"/>
              <w:spacing w:before="78" w:line="221" w:lineRule="auto"/>
              <w:rPr/>
            </w:pPr>
            <w:r>
              <w:rPr>
                <w:b/>
                <w:bCs/>
                <w:spacing w:val="-10"/>
              </w:rPr>
              <w:t>一般</w:t>
            </w:r>
          </w:p>
        </w:tc>
        <w:tc>
          <w:tcPr>
            <w:tcW w:w="6426" w:type="dxa"/>
            <w:vAlign w:val="top"/>
          </w:tcPr>
          <w:p>
            <w:pPr>
              <w:pStyle w:val="TableText"/>
              <w:ind w:left="101" w:right="61"/>
              <w:spacing w:before="114" w:line="340" w:lineRule="auto"/>
              <w:rPr/>
            </w:pPr>
            <w:r>
              <w:rPr/>
              <w:t>未经实验室负责人批准进入高等级病原微生物实验室，涉及</w:t>
            </w:r>
            <w:r>
              <w:rPr>
                <w:spacing w:val="12"/>
              </w:rPr>
              <w:t xml:space="preserve"> </w:t>
            </w:r>
            <w:r>
              <w:rPr>
                <w:spacing w:val="-1"/>
              </w:rPr>
              <w:t>人数为四至六人。</w:t>
            </w:r>
          </w:p>
        </w:tc>
        <w:tc>
          <w:tcPr>
            <w:tcW w:w="6500" w:type="dxa"/>
            <w:vAlign w:val="top"/>
          </w:tcPr>
          <w:p>
            <w:pPr>
              <w:pStyle w:val="TableText"/>
              <w:ind w:left="135" w:right="104"/>
              <w:spacing w:before="111" w:line="352" w:lineRule="auto"/>
              <w:rPr/>
            </w:pPr>
            <w:r>
              <w:rPr/>
              <w:t>没收违法所得，给予警告，可以并处三十万元以上六十万元</w:t>
            </w:r>
            <w:r>
              <w:rPr>
                <w:spacing w:val="9"/>
              </w:rPr>
              <w:t xml:space="preserve"> </w:t>
            </w:r>
            <w:r>
              <w:rPr/>
              <w:t>以下的罚款。</w:t>
            </w:r>
          </w:p>
        </w:tc>
      </w:tr>
      <w:tr>
        <w:trPr>
          <w:trHeight w:val="1082" w:hRule="atLeast"/>
        </w:trPr>
        <w:tc>
          <w:tcPr>
            <w:tcW w:w="1044" w:type="dxa"/>
            <w:vAlign w:val="top"/>
          </w:tcPr>
          <w:p>
            <w:pPr>
              <w:spacing w:line="345" w:lineRule="auto"/>
              <w:rPr>
                <w:rFonts w:ascii="Arial"/>
                <w:sz w:val="21"/>
              </w:rPr>
            </w:pPr>
            <w:r/>
          </w:p>
          <w:p>
            <w:pPr>
              <w:pStyle w:val="TableText"/>
              <w:ind w:left="278"/>
              <w:spacing w:before="78" w:line="220" w:lineRule="auto"/>
              <w:rPr/>
            </w:pPr>
            <w:r>
              <w:rPr>
                <w:b/>
                <w:bCs/>
                <w:spacing w:val="-6"/>
              </w:rPr>
              <w:t>严重</w:t>
            </w:r>
          </w:p>
        </w:tc>
        <w:tc>
          <w:tcPr>
            <w:tcW w:w="6426" w:type="dxa"/>
            <w:vAlign w:val="top"/>
          </w:tcPr>
          <w:p>
            <w:pPr>
              <w:pStyle w:val="TableText"/>
              <w:ind w:left="101" w:right="51" w:firstLine="9"/>
              <w:spacing w:before="127" w:line="333" w:lineRule="auto"/>
              <w:rPr/>
            </w:pPr>
            <w:r>
              <w:rPr/>
              <w:t>未经实验室负责人批准进入高等级病原微生物实验室，涉及</w:t>
            </w:r>
            <w:r>
              <w:rPr>
                <w:spacing w:val="12"/>
              </w:rPr>
              <w:t xml:space="preserve"> </w:t>
            </w:r>
            <w:r>
              <w:rPr>
                <w:spacing w:val="-1"/>
              </w:rPr>
              <w:t>人数为超过六人。</w:t>
            </w:r>
          </w:p>
        </w:tc>
        <w:tc>
          <w:tcPr>
            <w:tcW w:w="6500" w:type="dxa"/>
            <w:vAlign w:val="top"/>
          </w:tcPr>
          <w:p>
            <w:pPr>
              <w:pStyle w:val="TableText"/>
              <w:ind w:left="134" w:right="124" w:hanging="19"/>
              <w:spacing w:before="116" w:line="359" w:lineRule="auto"/>
              <w:rPr/>
            </w:pPr>
            <w:r>
              <w:rPr/>
              <w:t>没收违法所得，给予警告，可以并处六十万元以上一百万元</w:t>
            </w:r>
            <w:r>
              <w:rPr>
                <w:spacing w:val="9"/>
              </w:rPr>
              <w:t xml:space="preserve"> </w:t>
            </w:r>
            <w:r>
              <w:rPr/>
              <w:t>以下的罚款。</w:t>
            </w:r>
          </w:p>
        </w:tc>
      </w:tr>
    </w:tbl>
    <w:p>
      <w:pPr>
        <w:pStyle w:val="BodyText"/>
        <w:spacing w:line="324" w:lineRule="auto"/>
        <w:rPr/>
      </w:pPr>
      <w:r/>
    </w:p>
    <w:p>
      <w:pPr>
        <w:pStyle w:val="BodyText"/>
        <w:spacing w:line="324" w:lineRule="auto"/>
        <w:rPr/>
      </w:pPr>
      <w:r/>
    </w:p>
    <w:p>
      <w:pPr>
        <w:ind w:left="219"/>
        <w:spacing w:before="101" w:line="219" w:lineRule="auto"/>
        <w:rPr>
          <w:rFonts w:ascii="SimSun" w:hAnsi="SimSun" w:eastAsia="SimSun" w:cs="SimSun"/>
          <w:sz w:val="31"/>
          <w:szCs w:val="31"/>
        </w:rPr>
      </w:pPr>
      <w:r>
        <w:rPr>
          <w:rFonts w:ascii="SimSun" w:hAnsi="SimSun" w:eastAsia="SimSun" w:cs="SimSun"/>
          <w:sz w:val="31"/>
          <w:szCs w:val="31"/>
          <w:b/>
          <w:bCs/>
          <w:spacing w:val="15"/>
        </w:rPr>
        <w:t>(十九)《国内交通卫生检疫条例》</w:t>
      </w:r>
    </w:p>
    <w:p>
      <w:pPr>
        <w:pStyle w:val="BodyText"/>
        <w:spacing w:line="260" w:lineRule="auto"/>
        <w:rPr/>
      </w:pPr>
      <w:r/>
    </w:p>
    <w:p>
      <w:pPr>
        <w:pStyle w:val="BodyText"/>
        <w:spacing w:line="261" w:lineRule="auto"/>
        <w:rPr/>
      </w:pPr>
      <w:r/>
    </w:p>
    <w:p>
      <w:pPr>
        <w:ind w:left="69" w:right="147" w:firstLine="629"/>
        <w:spacing w:before="101" w:line="279" w:lineRule="auto"/>
        <w:rPr>
          <w:rFonts w:ascii="FangSong" w:hAnsi="FangSong" w:eastAsia="FangSong" w:cs="FangSong"/>
          <w:sz w:val="31"/>
          <w:szCs w:val="31"/>
        </w:rPr>
      </w:pPr>
      <w:r>
        <w:rPr>
          <w:rFonts w:ascii="FangSong" w:hAnsi="FangSong" w:eastAsia="FangSong" w:cs="FangSong"/>
          <w:sz w:val="31"/>
          <w:szCs w:val="31"/>
          <w:b/>
          <w:bCs/>
          <w:spacing w:val="7"/>
        </w:rPr>
        <w:t>第一百六十四条</w:t>
      </w:r>
      <w:r>
        <w:rPr>
          <w:rFonts w:ascii="FangSong" w:hAnsi="FangSong" w:eastAsia="FangSong" w:cs="FangSong"/>
          <w:sz w:val="31"/>
          <w:szCs w:val="31"/>
          <w:spacing w:val="7"/>
        </w:rPr>
        <w:t xml:space="preserve">  </w:t>
      </w:r>
      <w:r>
        <w:rPr>
          <w:rFonts w:ascii="FangSong" w:hAnsi="FangSong" w:eastAsia="FangSong" w:cs="FangSong"/>
          <w:sz w:val="31"/>
          <w:szCs w:val="31"/>
          <w:b/>
          <w:bCs/>
          <w:spacing w:val="7"/>
        </w:rPr>
        <w:t>检疫传染病病人、病原携带者、疑似检疫传染病病人和与其密切接触者</w:t>
      </w:r>
      <w:r>
        <w:rPr>
          <w:rFonts w:ascii="FangSong" w:hAnsi="FangSong" w:eastAsia="FangSong" w:cs="FangSong"/>
          <w:sz w:val="31"/>
          <w:szCs w:val="31"/>
          <w:b/>
          <w:bCs/>
          <w:spacing w:val="6"/>
        </w:rPr>
        <w:t>隐瞒</w:t>
      </w:r>
      <w:r>
        <w:rPr>
          <w:rFonts w:ascii="FangSong" w:hAnsi="FangSong" w:eastAsia="FangSong" w:cs="FangSong"/>
          <w:sz w:val="31"/>
          <w:szCs w:val="31"/>
        </w:rPr>
        <w:t xml:space="preserve"> </w:t>
      </w:r>
      <w:r>
        <w:rPr>
          <w:rFonts w:ascii="FangSong" w:hAnsi="FangSong" w:eastAsia="FangSong" w:cs="FangSong"/>
          <w:sz w:val="31"/>
          <w:szCs w:val="31"/>
          <w:b/>
          <w:bCs/>
          <w:spacing w:val="6"/>
        </w:rPr>
        <w:t>真实情况、逃避交通卫生检疫的</w:t>
      </w:r>
    </w:p>
    <w:p>
      <w:pPr>
        <w:ind w:left="695"/>
        <w:spacing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670"/>
        <w:spacing w:before="92" w:line="220" w:lineRule="auto"/>
        <w:rPr>
          <w:rFonts w:ascii="FangSong" w:hAnsi="FangSong" w:eastAsia="FangSong" w:cs="FangSong"/>
          <w:sz w:val="31"/>
          <w:szCs w:val="31"/>
        </w:rPr>
      </w:pPr>
      <w:r>
        <w:rPr>
          <w:rFonts w:ascii="FangSong" w:hAnsi="FangSong" w:eastAsia="FangSong" w:cs="FangSong"/>
          <w:sz w:val="31"/>
          <w:szCs w:val="31"/>
          <w:spacing w:val="9"/>
        </w:rPr>
        <w:t>《国内交通卫生检疫条例》第十三条</w:t>
      </w:r>
    </w:p>
    <w:p>
      <w:pPr>
        <w:ind w:left="65" w:firstLine="629"/>
        <w:spacing w:before="60" w:line="262" w:lineRule="auto"/>
        <w:rPr>
          <w:rFonts w:ascii="FangSong" w:hAnsi="FangSong" w:eastAsia="FangSong" w:cs="FangSong"/>
          <w:sz w:val="31"/>
          <w:szCs w:val="31"/>
        </w:rPr>
      </w:pPr>
      <w:r>
        <w:rPr>
          <w:rFonts w:ascii="FangSong" w:hAnsi="FangSong" w:eastAsia="FangSong" w:cs="FangSong"/>
          <w:sz w:val="31"/>
          <w:szCs w:val="31"/>
          <w:spacing w:val="6"/>
        </w:rPr>
        <w:t>检疫传染病病人、病原携带者、疑似检疫传染病病人和与其密切接触者隐瞒真实情况、逃避交通</w:t>
      </w:r>
      <w:r>
        <w:rPr>
          <w:rFonts w:ascii="FangSong" w:hAnsi="FangSong" w:eastAsia="FangSong" w:cs="FangSong"/>
          <w:sz w:val="31"/>
          <w:szCs w:val="31"/>
          <w:spacing w:val="11"/>
        </w:rPr>
        <w:t xml:space="preserve"> </w:t>
      </w:r>
      <w:r>
        <w:rPr>
          <w:rFonts w:ascii="FangSong" w:hAnsi="FangSong" w:eastAsia="FangSong" w:cs="FangSong"/>
          <w:sz w:val="31"/>
          <w:szCs w:val="31"/>
          <w:spacing w:val="6"/>
        </w:rPr>
        <w:t>卫生检疫的，由县级以上地方人民政府卫生行政部门或者铁路、交通、民用航空行政主管部门的卫生</w:t>
      </w:r>
      <w:r>
        <w:rPr>
          <w:rFonts w:ascii="FangSong" w:hAnsi="FangSong" w:eastAsia="FangSong" w:cs="FangSong"/>
          <w:sz w:val="31"/>
          <w:szCs w:val="31"/>
          <w:spacing w:val="10"/>
        </w:rPr>
        <w:t xml:space="preserve"> </w:t>
      </w:r>
      <w:r>
        <w:rPr>
          <w:rFonts w:ascii="FangSong" w:hAnsi="FangSong" w:eastAsia="FangSong" w:cs="FangSong"/>
          <w:sz w:val="31"/>
          <w:szCs w:val="31"/>
          <w:spacing w:val="13"/>
        </w:rPr>
        <w:t>主管机构，根据各自的职责分工，责令限期改正，给予警告，可以并处1000元以</w:t>
      </w:r>
      <w:r>
        <w:rPr>
          <w:rFonts w:ascii="FangSong" w:hAnsi="FangSong" w:eastAsia="FangSong" w:cs="FangSong"/>
          <w:sz w:val="31"/>
          <w:szCs w:val="31"/>
          <w:spacing w:val="12"/>
        </w:rPr>
        <w:t>下的罚款；拒绝接</w:t>
      </w:r>
    </w:p>
    <w:p>
      <w:pPr>
        <w:spacing w:line="262" w:lineRule="auto"/>
        <w:sectPr>
          <w:footerReference w:type="default" r:id="rId235"/>
          <w:pgSz w:w="16830" w:h="11900"/>
          <w:pgMar w:top="1011" w:right="1454" w:bottom="1118" w:left="1394" w:header="0" w:footer="785" w:gutter="0"/>
        </w:sectPr>
        <w:rPr>
          <w:rFonts w:ascii="FangSong" w:hAnsi="FangSong" w:eastAsia="FangSong" w:cs="FangSong"/>
          <w:sz w:val="31"/>
          <w:szCs w:val="31"/>
        </w:rPr>
      </w:pPr>
    </w:p>
    <w:p>
      <w:pPr>
        <w:pStyle w:val="BodyText"/>
        <w:spacing w:line="253" w:lineRule="auto"/>
        <w:rPr/>
      </w:pPr>
      <w:r/>
    </w:p>
    <w:p>
      <w:pPr>
        <w:pStyle w:val="BodyText"/>
        <w:spacing w:line="253" w:lineRule="auto"/>
        <w:rPr/>
      </w:pPr>
      <w:r/>
    </w:p>
    <w:p>
      <w:pPr>
        <w:pStyle w:val="BodyText"/>
        <w:spacing w:line="253" w:lineRule="auto"/>
        <w:rPr/>
      </w:pPr>
      <w:r/>
    </w:p>
    <w:p>
      <w:pPr>
        <w:ind w:left="35"/>
        <w:spacing w:before="101" w:line="220" w:lineRule="auto"/>
        <w:outlineLvl w:val="1"/>
        <w:rPr>
          <w:rFonts w:ascii="FangSong" w:hAnsi="FangSong" w:eastAsia="FangSong" w:cs="FangSong"/>
          <w:sz w:val="31"/>
          <w:szCs w:val="31"/>
        </w:rPr>
      </w:pPr>
      <w:bookmarkStart w:name="bookmark886" w:id="234"/>
      <w:bookmarkEnd w:id="234"/>
      <w:bookmarkStart w:name="bookmark186" w:id="235"/>
      <w:bookmarkEnd w:id="235"/>
      <w:r>
        <w:rPr>
          <w:rFonts w:ascii="FangSong" w:hAnsi="FangSong" w:eastAsia="FangSong" w:cs="FangSong"/>
          <w:sz w:val="31"/>
          <w:szCs w:val="31"/>
          <w:spacing w:val="13"/>
        </w:rPr>
        <w:t>受查验和卫生处理的，给予警告，并处1000元以上5000元以下的罚</w:t>
      </w:r>
      <w:r>
        <w:rPr>
          <w:rFonts w:ascii="FangSong" w:hAnsi="FangSong" w:eastAsia="FangSong" w:cs="FangSong"/>
          <w:sz w:val="31"/>
          <w:szCs w:val="31"/>
          <w:spacing w:val="12"/>
        </w:rPr>
        <w:t>款；情节严重，引起检疫传染病</w:t>
      </w:r>
    </w:p>
    <w:p>
      <w:pPr>
        <w:ind w:left="35"/>
        <w:spacing w:before="74" w:line="222" w:lineRule="auto"/>
        <w:rPr>
          <w:rFonts w:ascii="FangSong" w:hAnsi="FangSong" w:eastAsia="FangSong" w:cs="FangSong"/>
          <w:sz w:val="31"/>
          <w:szCs w:val="31"/>
        </w:rPr>
      </w:pPr>
      <w:r>
        <w:rPr>
          <w:rFonts w:ascii="FangSong" w:hAnsi="FangSong" w:eastAsia="FangSong" w:cs="FangSong"/>
          <w:sz w:val="31"/>
          <w:szCs w:val="31"/>
          <w:spacing w:val="8"/>
        </w:rPr>
        <w:t>传播或者有传播严重危险，构成犯罪的，依法追究刑事</w:t>
      </w:r>
      <w:r>
        <w:rPr>
          <w:rFonts w:ascii="FangSong" w:hAnsi="FangSong" w:eastAsia="FangSong" w:cs="FangSong"/>
          <w:sz w:val="31"/>
          <w:szCs w:val="31"/>
          <w:spacing w:val="7"/>
        </w:rPr>
        <w:t>责任。</w:t>
      </w:r>
    </w:p>
    <w:p>
      <w:pPr>
        <w:ind w:left="6459"/>
        <w:spacing w:before="8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40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04"/>
        <w:gridCol w:w="7505"/>
        <w:gridCol w:w="5651"/>
      </w:tblGrid>
      <w:tr>
        <w:trPr>
          <w:trHeight w:val="1061" w:hRule="atLeast"/>
        </w:trPr>
        <w:tc>
          <w:tcPr>
            <w:tcW w:w="904" w:type="dxa"/>
            <w:vAlign w:val="top"/>
          </w:tcPr>
          <w:p>
            <w:pPr>
              <w:pStyle w:val="TableText"/>
              <w:ind w:left="148"/>
              <w:spacing w:before="79" w:line="225" w:lineRule="auto"/>
              <w:rPr/>
            </w:pPr>
            <w:r>
              <w:rPr>
                <w:b/>
                <w:bCs/>
                <w:spacing w:val="-5"/>
              </w:rPr>
              <w:t>违法</w:t>
            </w:r>
          </w:p>
          <w:p>
            <w:pPr>
              <w:pStyle w:val="TableText"/>
              <w:ind w:left="148"/>
              <w:spacing w:before="150" w:line="220" w:lineRule="auto"/>
              <w:rPr/>
            </w:pPr>
            <w:r>
              <w:rPr>
                <w:b/>
                <w:bCs/>
                <w:spacing w:val="-5"/>
              </w:rPr>
              <w:t>程度</w:t>
            </w:r>
          </w:p>
        </w:tc>
        <w:tc>
          <w:tcPr>
            <w:tcW w:w="7505" w:type="dxa"/>
            <w:vAlign w:val="top"/>
          </w:tcPr>
          <w:p>
            <w:pPr>
              <w:spacing w:line="332" w:lineRule="auto"/>
              <w:rPr>
                <w:rFonts w:ascii="Arial"/>
                <w:sz w:val="21"/>
              </w:rPr>
            </w:pPr>
            <w:r/>
          </w:p>
          <w:p>
            <w:pPr>
              <w:pStyle w:val="TableText"/>
              <w:ind w:left="3174"/>
              <w:spacing w:before="78" w:line="220" w:lineRule="auto"/>
              <w:rPr/>
            </w:pPr>
            <w:r>
              <w:rPr>
                <w:b/>
                <w:bCs/>
                <w:spacing w:val="-5"/>
              </w:rPr>
              <w:t>情节后果</w:t>
            </w:r>
          </w:p>
        </w:tc>
        <w:tc>
          <w:tcPr>
            <w:tcW w:w="5651" w:type="dxa"/>
            <w:vAlign w:val="top"/>
          </w:tcPr>
          <w:p>
            <w:pPr>
              <w:spacing w:line="329" w:lineRule="auto"/>
              <w:rPr>
                <w:rFonts w:ascii="Arial"/>
                <w:sz w:val="21"/>
              </w:rPr>
            </w:pPr>
            <w:r/>
          </w:p>
          <w:p>
            <w:pPr>
              <w:pStyle w:val="TableText"/>
              <w:ind w:left="2239"/>
              <w:spacing w:before="78"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68" w:hRule="atLeast"/>
        </w:trPr>
        <w:tc>
          <w:tcPr>
            <w:tcW w:w="904" w:type="dxa"/>
            <w:vAlign w:val="top"/>
          </w:tcPr>
          <w:p>
            <w:pPr>
              <w:pStyle w:val="TableText"/>
              <w:ind w:left="105"/>
              <w:spacing w:before="134" w:line="219" w:lineRule="auto"/>
              <w:rPr/>
            </w:pPr>
            <w:r>
              <w:rPr>
                <w:color w:val="405040"/>
                <w:spacing w:val="-3"/>
              </w:rPr>
              <w:t>轻微</w:t>
            </w:r>
          </w:p>
        </w:tc>
        <w:tc>
          <w:tcPr>
            <w:tcW w:w="7505" w:type="dxa"/>
            <w:vAlign w:val="top"/>
          </w:tcPr>
          <w:p>
            <w:pPr>
              <w:pStyle w:val="TableText"/>
              <w:ind w:left="101"/>
              <w:spacing w:before="134" w:line="219" w:lineRule="auto"/>
              <w:rPr/>
            </w:pPr>
            <w:r>
              <w:rPr>
                <w:spacing w:val="-1"/>
              </w:rPr>
              <w:t>隐瞒真实情况、逃避交通卫生检疫。</w:t>
            </w:r>
          </w:p>
        </w:tc>
        <w:tc>
          <w:tcPr>
            <w:tcW w:w="5651" w:type="dxa"/>
            <w:vAlign w:val="top"/>
          </w:tcPr>
          <w:p>
            <w:pPr>
              <w:pStyle w:val="TableText"/>
              <w:ind w:left="136"/>
              <w:spacing w:before="151" w:line="218" w:lineRule="auto"/>
              <w:rPr/>
            </w:pPr>
            <w:r>
              <w:rPr/>
              <w:t>给予警告，可以并处1000元以下的罚款。</w:t>
            </w:r>
          </w:p>
        </w:tc>
      </w:tr>
      <w:tr>
        <w:trPr>
          <w:trHeight w:val="638" w:hRule="atLeast"/>
        </w:trPr>
        <w:tc>
          <w:tcPr>
            <w:tcW w:w="904" w:type="dxa"/>
            <w:vAlign w:val="top"/>
          </w:tcPr>
          <w:p>
            <w:pPr>
              <w:pStyle w:val="TableText"/>
              <w:ind w:left="105"/>
              <w:spacing w:before="107" w:line="221" w:lineRule="auto"/>
              <w:rPr/>
            </w:pPr>
            <w:r>
              <w:rPr>
                <w:spacing w:val="5"/>
              </w:rPr>
              <w:t>一般</w:t>
            </w:r>
          </w:p>
        </w:tc>
        <w:tc>
          <w:tcPr>
            <w:tcW w:w="7505" w:type="dxa"/>
            <w:vAlign w:val="top"/>
          </w:tcPr>
          <w:p>
            <w:pPr>
              <w:pStyle w:val="TableText"/>
              <w:ind w:left="101"/>
              <w:spacing w:before="104" w:line="219" w:lineRule="auto"/>
              <w:rPr/>
            </w:pPr>
            <w:r>
              <w:rPr/>
              <w:t>拒绝接受查验和卫生处理，未造成传染病传播。</w:t>
            </w:r>
          </w:p>
        </w:tc>
        <w:tc>
          <w:tcPr>
            <w:tcW w:w="5651" w:type="dxa"/>
            <w:vAlign w:val="top"/>
          </w:tcPr>
          <w:p>
            <w:pPr>
              <w:pStyle w:val="TableText"/>
              <w:ind w:right="4"/>
              <w:spacing w:before="103" w:line="218" w:lineRule="auto"/>
              <w:jc w:val="right"/>
              <w:rPr/>
            </w:pPr>
            <w:r>
              <w:rPr/>
              <w:t>给予警告，可以并处1000元以上3000元以下的罚款。</w:t>
            </w:r>
          </w:p>
        </w:tc>
      </w:tr>
      <w:tr>
        <w:trPr>
          <w:trHeight w:val="703" w:hRule="atLeast"/>
        </w:trPr>
        <w:tc>
          <w:tcPr>
            <w:tcW w:w="904" w:type="dxa"/>
            <w:vAlign w:val="top"/>
          </w:tcPr>
          <w:p>
            <w:pPr>
              <w:pStyle w:val="TableText"/>
              <w:ind w:left="105"/>
              <w:spacing w:before="148" w:line="220" w:lineRule="auto"/>
              <w:rPr/>
            </w:pPr>
            <w:r>
              <w:rPr>
                <w:color w:val="404040"/>
                <w:spacing w:val="5"/>
              </w:rPr>
              <w:t>严重</w:t>
            </w:r>
          </w:p>
        </w:tc>
        <w:tc>
          <w:tcPr>
            <w:tcW w:w="7505" w:type="dxa"/>
            <w:vAlign w:val="top"/>
          </w:tcPr>
          <w:p>
            <w:pPr>
              <w:pStyle w:val="TableText"/>
              <w:spacing w:before="146" w:line="219" w:lineRule="auto"/>
              <w:jc w:val="right"/>
              <w:rPr/>
            </w:pPr>
            <w:r>
              <w:rPr>
                <w:spacing w:val="-2"/>
              </w:rPr>
              <w:t>拒绝接受查验和卫生处理，引起检疫传染病传播或者有传播严重危险。</w:t>
            </w:r>
          </w:p>
        </w:tc>
        <w:tc>
          <w:tcPr>
            <w:tcW w:w="5651" w:type="dxa"/>
            <w:vAlign w:val="top"/>
          </w:tcPr>
          <w:p>
            <w:pPr>
              <w:pStyle w:val="TableText"/>
              <w:ind w:right="4"/>
              <w:spacing w:before="135" w:line="218" w:lineRule="auto"/>
              <w:jc w:val="right"/>
              <w:rPr/>
            </w:pPr>
            <w:r>
              <w:rPr/>
              <w:t>给予警告，可以并处3000元以上5000元以下的罚款。</w:t>
            </w:r>
          </w:p>
        </w:tc>
      </w:tr>
    </w:tbl>
    <w:p>
      <w:pPr>
        <w:pStyle w:val="BodyText"/>
        <w:spacing w:line="316" w:lineRule="auto"/>
        <w:rPr/>
      </w:pPr>
      <w:r/>
    </w:p>
    <w:p>
      <w:pPr>
        <w:pStyle w:val="BodyText"/>
        <w:spacing w:line="316" w:lineRule="auto"/>
        <w:rPr/>
      </w:pPr>
      <w:r/>
    </w:p>
    <w:p>
      <w:pPr>
        <w:ind w:left="39" w:right="224" w:firstLine="649"/>
        <w:spacing w:before="101" w:line="270" w:lineRule="auto"/>
        <w:rPr>
          <w:rFonts w:ascii="KaiTi" w:hAnsi="KaiTi" w:eastAsia="KaiTi" w:cs="KaiTi"/>
          <w:sz w:val="31"/>
          <w:szCs w:val="31"/>
        </w:rPr>
      </w:pPr>
      <w:r>
        <w:rPr>
          <w:rFonts w:ascii="KaiTi" w:hAnsi="KaiTi" w:eastAsia="KaiTi" w:cs="KaiTi"/>
          <w:sz w:val="31"/>
          <w:szCs w:val="31"/>
          <w:b/>
          <w:bCs/>
          <w:spacing w:val="8"/>
        </w:rPr>
        <w:t>第一百六十五条</w:t>
      </w:r>
      <w:r>
        <w:rPr>
          <w:rFonts w:ascii="KaiTi" w:hAnsi="KaiTi" w:eastAsia="KaiTi" w:cs="KaiTi"/>
          <w:sz w:val="31"/>
          <w:szCs w:val="31"/>
          <w:spacing w:val="8"/>
        </w:rPr>
        <w:t xml:space="preserve">  </w:t>
      </w:r>
      <w:r>
        <w:rPr>
          <w:rFonts w:ascii="KaiTi" w:hAnsi="KaiTi" w:eastAsia="KaiTi" w:cs="KaiTi"/>
          <w:sz w:val="31"/>
          <w:szCs w:val="31"/>
          <w:b/>
          <w:bCs/>
          <w:spacing w:val="8"/>
        </w:rPr>
        <w:t>在非检疫传染病疫区的交通</w:t>
      </w:r>
      <w:r>
        <w:rPr>
          <w:rFonts w:ascii="KaiTi" w:hAnsi="KaiTi" w:eastAsia="KaiTi" w:cs="KaiTi"/>
          <w:sz w:val="31"/>
          <w:szCs w:val="31"/>
          <w:b/>
          <w:bCs/>
          <w:spacing w:val="7"/>
        </w:rPr>
        <w:t>工具上发现检疫传染病病人、病原携带者、疑似</w:t>
      </w:r>
      <w:r>
        <w:rPr>
          <w:rFonts w:ascii="KaiTi" w:hAnsi="KaiTi" w:eastAsia="KaiTi" w:cs="KaiTi"/>
          <w:sz w:val="31"/>
          <w:szCs w:val="31"/>
        </w:rPr>
        <w:t xml:space="preserve"> </w:t>
      </w:r>
      <w:r>
        <w:rPr>
          <w:rFonts w:ascii="KaiTi" w:hAnsi="KaiTi" w:eastAsia="KaiTi" w:cs="KaiTi"/>
          <w:sz w:val="31"/>
          <w:szCs w:val="31"/>
          <w:b/>
          <w:bCs/>
          <w:spacing w:val="7"/>
        </w:rPr>
        <w:t>检疫传染病病人时，交通工具负责人未依照本条例规定采取措施的</w:t>
      </w:r>
    </w:p>
    <w:p>
      <w:pPr>
        <w:ind w:left="685"/>
        <w:spacing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670"/>
        <w:spacing w:before="103" w:line="220" w:lineRule="auto"/>
        <w:rPr>
          <w:rFonts w:ascii="FangSong" w:hAnsi="FangSong" w:eastAsia="FangSong" w:cs="FangSong"/>
          <w:sz w:val="31"/>
          <w:szCs w:val="31"/>
        </w:rPr>
      </w:pPr>
      <w:r>
        <w:rPr>
          <w:rFonts w:ascii="FangSong" w:hAnsi="FangSong" w:eastAsia="FangSong" w:cs="FangSong"/>
          <w:sz w:val="31"/>
          <w:szCs w:val="31"/>
          <w:spacing w:val="9"/>
        </w:rPr>
        <w:t>《国内交通卫生检疫条例》第十四条</w:t>
      </w:r>
    </w:p>
    <w:p>
      <w:pPr>
        <w:ind w:left="35" w:right="19" w:firstLine="649"/>
        <w:spacing w:before="61" w:line="262" w:lineRule="auto"/>
        <w:rPr>
          <w:rFonts w:ascii="FangSong" w:hAnsi="FangSong" w:eastAsia="FangSong" w:cs="FangSong"/>
          <w:sz w:val="31"/>
          <w:szCs w:val="31"/>
        </w:rPr>
      </w:pPr>
      <w:r>
        <w:rPr>
          <w:rFonts w:ascii="FangSong" w:hAnsi="FangSong" w:eastAsia="FangSong" w:cs="FangSong"/>
          <w:sz w:val="31"/>
          <w:szCs w:val="31"/>
          <w:spacing w:val="8"/>
        </w:rPr>
        <w:t>在非检疫传染病疫区的交通工具上发现检疫传染病病人、病原携带者、疑似检疫传染病病人时，</w:t>
      </w:r>
      <w:r>
        <w:rPr>
          <w:rFonts w:ascii="FangSong" w:hAnsi="FangSong" w:eastAsia="FangSong" w:cs="FangSong"/>
          <w:sz w:val="31"/>
          <w:szCs w:val="31"/>
          <w:spacing w:val="8"/>
        </w:rPr>
        <w:t xml:space="preserve"> </w:t>
      </w:r>
      <w:r>
        <w:rPr>
          <w:rFonts w:ascii="FangSong" w:hAnsi="FangSong" w:eastAsia="FangSong" w:cs="FangSong"/>
          <w:sz w:val="31"/>
          <w:szCs w:val="31"/>
          <w:spacing w:val="7"/>
        </w:rPr>
        <w:t>交通工具负责人未依照本条例规定采取措施的，由县级以上地方人民政府卫生行政部门或者铁</w:t>
      </w:r>
      <w:r>
        <w:rPr>
          <w:rFonts w:ascii="FangSong" w:hAnsi="FangSong" w:eastAsia="FangSong" w:cs="FangSong"/>
          <w:sz w:val="31"/>
          <w:szCs w:val="31"/>
          <w:spacing w:val="6"/>
        </w:rPr>
        <w:t>路、交</w:t>
      </w:r>
      <w:r>
        <w:rPr>
          <w:rFonts w:ascii="FangSong" w:hAnsi="FangSong" w:eastAsia="FangSong" w:cs="FangSong"/>
          <w:sz w:val="31"/>
          <w:szCs w:val="31"/>
        </w:rPr>
        <w:t xml:space="preserve"> </w:t>
      </w:r>
      <w:r>
        <w:rPr>
          <w:rFonts w:ascii="FangSong" w:hAnsi="FangSong" w:eastAsia="FangSong" w:cs="FangSong"/>
          <w:sz w:val="31"/>
          <w:szCs w:val="31"/>
          <w:spacing w:val="14"/>
        </w:rPr>
        <w:t>通、民用航空行政主管部门的卫生主管机构，根据各自的职责，责令</w:t>
      </w:r>
      <w:r>
        <w:rPr>
          <w:rFonts w:ascii="FangSong" w:hAnsi="FangSong" w:eastAsia="FangSong" w:cs="FangSong"/>
          <w:sz w:val="31"/>
          <w:szCs w:val="31"/>
          <w:spacing w:val="13"/>
        </w:rPr>
        <w:t>改正，给予警告，并处1000元</w:t>
      </w:r>
    </w:p>
    <w:p>
      <w:pPr>
        <w:spacing w:line="262" w:lineRule="auto"/>
        <w:sectPr>
          <w:footerReference w:type="default" r:id="rId236"/>
          <w:pgSz w:w="16830" w:h="11900"/>
          <w:pgMar w:top="1011" w:right="1364" w:bottom="1113" w:left="1394" w:header="0" w:footer="798" w:gutter="0"/>
        </w:sectPr>
        <w:rPr>
          <w:rFonts w:ascii="FangSong" w:hAnsi="FangSong" w:eastAsia="FangSong" w:cs="FangSong"/>
          <w:sz w:val="31"/>
          <w:szCs w:val="31"/>
        </w:rPr>
      </w:pPr>
    </w:p>
    <w:p>
      <w:pPr>
        <w:pStyle w:val="BodyText"/>
        <w:spacing w:line="267" w:lineRule="auto"/>
        <w:rPr/>
      </w:pPr>
      <w:r/>
    </w:p>
    <w:p>
      <w:pPr>
        <w:pStyle w:val="BodyText"/>
        <w:spacing w:line="267" w:lineRule="auto"/>
        <w:rPr/>
      </w:pPr>
      <w:r/>
    </w:p>
    <w:p>
      <w:pPr>
        <w:pStyle w:val="BodyText"/>
        <w:spacing w:line="268" w:lineRule="auto"/>
        <w:rPr/>
      </w:pPr>
      <w:r/>
    </w:p>
    <w:p>
      <w:pPr>
        <w:spacing w:before="98" w:line="220" w:lineRule="auto"/>
        <w:outlineLvl w:val="1"/>
        <w:jc w:val="right"/>
        <w:rPr>
          <w:rFonts w:ascii="FangSong" w:hAnsi="FangSong" w:eastAsia="FangSong" w:cs="FangSong"/>
          <w:sz w:val="30"/>
          <w:szCs w:val="30"/>
        </w:rPr>
      </w:pPr>
      <w:bookmarkStart w:name="bookmark186" w:id="236"/>
      <w:bookmarkEnd w:id="236"/>
      <w:r>
        <w:rPr>
          <w:rFonts w:ascii="FangSong" w:hAnsi="FangSong" w:eastAsia="FangSong" w:cs="FangSong"/>
          <w:sz w:val="30"/>
          <w:szCs w:val="30"/>
          <w:spacing w:val="23"/>
        </w:rPr>
        <w:t>以上5000元以下的罚款；情节严重，引起检疫传染病传播或者有传播严重危险，构</w:t>
      </w:r>
      <w:r>
        <w:rPr>
          <w:rFonts w:ascii="FangSong" w:hAnsi="FangSong" w:eastAsia="FangSong" w:cs="FangSong"/>
          <w:sz w:val="30"/>
          <w:szCs w:val="30"/>
          <w:spacing w:val="22"/>
        </w:rPr>
        <w:t>成犯罪的，依法</w:t>
      </w:r>
    </w:p>
    <w:p>
      <w:pPr>
        <w:ind w:left="35"/>
        <w:spacing w:before="87" w:line="223" w:lineRule="auto"/>
        <w:rPr>
          <w:rFonts w:ascii="FangSong" w:hAnsi="FangSong" w:eastAsia="FangSong" w:cs="FangSong"/>
          <w:sz w:val="30"/>
          <w:szCs w:val="30"/>
        </w:rPr>
      </w:pPr>
      <w:r>
        <w:rPr>
          <w:rFonts w:ascii="FangSong" w:hAnsi="FangSong" w:eastAsia="FangSong" w:cs="FangSong"/>
          <w:sz w:val="30"/>
          <w:szCs w:val="30"/>
          <w:spacing w:val="11"/>
        </w:rPr>
        <w:t>追究刑事责任。</w:t>
      </w:r>
    </w:p>
    <w:p>
      <w:pPr>
        <w:ind w:left="6439"/>
        <w:spacing w:before="5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14"/>
        <w:gridCol w:w="7015"/>
        <w:gridCol w:w="6101"/>
      </w:tblGrid>
      <w:tr>
        <w:trPr>
          <w:trHeight w:val="1062" w:hRule="atLeast"/>
        </w:trPr>
        <w:tc>
          <w:tcPr>
            <w:tcW w:w="814" w:type="dxa"/>
            <w:vAlign w:val="top"/>
          </w:tcPr>
          <w:p>
            <w:pPr>
              <w:pStyle w:val="TableText"/>
              <w:ind w:left="158"/>
              <w:spacing w:before="79" w:line="225" w:lineRule="auto"/>
              <w:rPr/>
            </w:pPr>
            <w:r>
              <w:rPr>
                <w:b/>
                <w:bCs/>
                <w:spacing w:val="-5"/>
              </w:rPr>
              <w:t>违法</w:t>
            </w:r>
          </w:p>
          <w:p>
            <w:pPr>
              <w:pStyle w:val="TableText"/>
              <w:ind w:left="158"/>
              <w:spacing w:before="140" w:line="220" w:lineRule="auto"/>
              <w:rPr/>
            </w:pPr>
            <w:r>
              <w:rPr>
                <w:b/>
                <w:bCs/>
                <w:spacing w:val="-5"/>
              </w:rPr>
              <w:t>程度</w:t>
            </w:r>
          </w:p>
        </w:tc>
        <w:tc>
          <w:tcPr>
            <w:tcW w:w="7015" w:type="dxa"/>
            <w:vAlign w:val="top"/>
          </w:tcPr>
          <w:p>
            <w:pPr>
              <w:spacing w:line="332" w:lineRule="auto"/>
              <w:rPr>
                <w:rFonts w:ascii="Arial"/>
                <w:sz w:val="21"/>
              </w:rPr>
            </w:pPr>
            <w:r/>
          </w:p>
          <w:p>
            <w:pPr>
              <w:pStyle w:val="TableText"/>
              <w:ind w:left="2934"/>
              <w:spacing w:before="78" w:line="220" w:lineRule="auto"/>
              <w:rPr/>
            </w:pPr>
            <w:r>
              <w:rPr>
                <w:b/>
                <w:bCs/>
                <w:spacing w:val="-5"/>
              </w:rPr>
              <w:t>情节后果</w:t>
            </w:r>
          </w:p>
        </w:tc>
        <w:tc>
          <w:tcPr>
            <w:tcW w:w="6101" w:type="dxa"/>
            <w:vAlign w:val="top"/>
          </w:tcPr>
          <w:p>
            <w:pPr>
              <w:spacing w:line="329" w:lineRule="auto"/>
              <w:rPr>
                <w:rFonts w:ascii="Arial"/>
                <w:sz w:val="21"/>
              </w:rPr>
            </w:pPr>
            <w:r/>
          </w:p>
          <w:p>
            <w:pPr>
              <w:pStyle w:val="TableText"/>
              <w:ind w:left="2489"/>
              <w:spacing w:before="78"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768" w:hRule="atLeast"/>
        </w:trPr>
        <w:tc>
          <w:tcPr>
            <w:tcW w:w="814" w:type="dxa"/>
            <w:vAlign w:val="top"/>
          </w:tcPr>
          <w:p>
            <w:pPr>
              <w:pStyle w:val="TableText"/>
              <w:ind w:left="158"/>
              <w:spacing w:before="179" w:line="219" w:lineRule="auto"/>
              <w:rPr/>
            </w:pPr>
            <w:r>
              <w:rPr>
                <w:b/>
                <w:bCs/>
                <w:spacing w:val="-6"/>
              </w:rPr>
              <w:t>轻微</w:t>
            </w:r>
          </w:p>
        </w:tc>
        <w:tc>
          <w:tcPr>
            <w:tcW w:w="7015" w:type="dxa"/>
            <w:vAlign w:val="top"/>
          </w:tcPr>
          <w:p>
            <w:pPr>
              <w:pStyle w:val="TableText"/>
              <w:ind w:left="90"/>
              <w:spacing w:before="181" w:line="219" w:lineRule="auto"/>
              <w:rPr/>
            </w:pPr>
            <w:r>
              <w:rPr/>
              <w:t>违反本条例第八条五项内容中的其中一项。</w:t>
            </w:r>
          </w:p>
        </w:tc>
        <w:tc>
          <w:tcPr>
            <w:tcW w:w="6101" w:type="dxa"/>
            <w:vAlign w:val="top"/>
          </w:tcPr>
          <w:p>
            <w:pPr>
              <w:pStyle w:val="TableText"/>
              <w:ind w:left="115"/>
              <w:spacing w:before="190" w:line="218" w:lineRule="auto"/>
              <w:rPr/>
            </w:pPr>
            <w:r>
              <w:rPr/>
              <w:t>给予警告，并处1000元以上2000元以下罚</w:t>
            </w:r>
            <w:r>
              <w:rPr>
                <w:spacing w:val="-1"/>
              </w:rPr>
              <w:t>款。</w:t>
            </w:r>
          </w:p>
        </w:tc>
      </w:tr>
      <w:tr>
        <w:trPr>
          <w:trHeight w:val="777" w:hRule="atLeast"/>
        </w:trPr>
        <w:tc>
          <w:tcPr>
            <w:tcW w:w="814" w:type="dxa"/>
            <w:vAlign w:val="top"/>
          </w:tcPr>
          <w:p>
            <w:pPr>
              <w:pStyle w:val="TableText"/>
              <w:ind w:left="158"/>
              <w:spacing w:before="172" w:line="221" w:lineRule="auto"/>
              <w:rPr/>
            </w:pPr>
            <w:r>
              <w:rPr>
                <w:b/>
                <w:bCs/>
                <w:spacing w:val="-10"/>
              </w:rPr>
              <w:t>一般</w:t>
            </w:r>
          </w:p>
        </w:tc>
        <w:tc>
          <w:tcPr>
            <w:tcW w:w="7015" w:type="dxa"/>
            <w:vAlign w:val="top"/>
          </w:tcPr>
          <w:p>
            <w:pPr>
              <w:pStyle w:val="TableText"/>
              <w:ind w:left="90"/>
              <w:spacing w:before="173" w:line="219" w:lineRule="auto"/>
              <w:rPr/>
            </w:pPr>
            <w:r>
              <w:rPr/>
              <w:t>违反本条例第八条五项内容中的其中二项。</w:t>
            </w:r>
          </w:p>
        </w:tc>
        <w:tc>
          <w:tcPr>
            <w:tcW w:w="6101" w:type="dxa"/>
            <w:vAlign w:val="top"/>
          </w:tcPr>
          <w:p>
            <w:pPr>
              <w:pStyle w:val="TableText"/>
              <w:ind w:left="115"/>
              <w:spacing w:before="162" w:line="218" w:lineRule="auto"/>
              <w:rPr/>
            </w:pPr>
            <w:r>
              <w:rPr/>
              <w:t>给予警告，并处2000元以上3000元以下罚</w:t>
            </w:r>
            <w:r>
              <w:rPr>
                <w:spacing w:val="-1"/>
              </w:rPr>
              <w:t>款。</w:t>
            </w:r>
          </w:p>
        </w:tc>
      </w:tr>
      <w:tr>
        <w:trPr>
          <w:trHeight w:val="773" w:hRule="atLeast"/>
        </w:trPr>
        <w:tc>
          <w:tcPr>
            <w:tcW w:w="814" w:type="dxa"/>
            <w:vAlign w:val="top"/>
          </w:tcPr>
          <w:p>
            <w:pPr>
              <w:pStyle w:val="TableText"/>
              <w:ind w:left="158"/>
              <w:spacing w:before="275" w:line="220" w:lineRule="auto"/>
              <w:rPr/>
            </w:pPr>
            <w:r>
              <w:rPr>
                <w:b/>
                <w:bCs/>
                <w:spacing w:val="-6"/>
              </w:rPr>
              <w:t>严重</w:t>
            </w:r>
          </w:p>
        </w:tc>
        <w:tc>
          <w:tcPr>
            <w:tcW w:w="7015" w:type="dxa"/>
            <w:vAlign w:val="top"/>
          </w:tcPr>
          <w:p>
            <w:pPr>
              <w:pStyle w:val="TableText"/>
              <w:ind w:left="90"/>
              <w:spacing w:before="176" w:line="219" w:lineRule="auto"/>
              <w:rPr/>
            </w:pPr>
            <w:r>
              <w:rPr/>
              <w:t>违反本条例第八条五项内容中的其中三项以上。</w:t>
            </w:r>
          </w:p>
        </w:tc>
        <w:tc>
          <w:tcPr>
            <w:tcW w:w="6101" w:type="dxa"/>
            <w:vAlign w:val="top"/>
          </w:tcPr>
          <w:p>
            <w:pPr>
              <w:pStyle w:val="TableText"/>
              <w:ind w:left="115"/>
              <w:spacing w:before="175" w:line="218" w:lineRule="auto"/>
              <w:rPr/>
            </w:pPr>
            <w:r>
              <w:rPr/>
              <w:t>给予警告，并处3000元以上5000元以下罚</w:t>
            </w:r>
            <w:r>
              <w:rPr>
                <w:spacing w:val="-1"/>
              </w:rPr>
              <w:t>款。</w:t>
            </w:r>
          </w:p>
        </w:tc>
      </w:tr>
    </w:tbl>
    <w:p>
      <w:pPr>
        <w:pStyle w:val="BodyText"/>
        <w:rPr/>
      </w:pPr>
      <w:r/>
    </w:p>
    <w:p>
      <w:pPr>
        <w:sectPr>
          <w:footerReference w:type="default" r:id="rId237"/>
          <w:pgSz w:w="16830" w:h="11900"/>
          <w:pgMar w:top="1011" w:right="1450" w:bottom="1125" w:left="1414" w:header="0" w:footer="783" w:gutter="0"/>
        </w:sectPr>
        <w:rPr/>
      </w:pPr>
    </w:p>
    <w:p>
      <w:pPr>
        <w:pStyle w:val="BodyText"/>
        <w:spacing w:line="263" w:lineRule="auto"/>
        <w:rPr/>
      </w:pPr>
      <w:r/>
    </w:p>
    <w:p>
      <w:pPr>
        <w:pStyle w:val="BodyText"/>
        <w:spacing w:line="263" w:lineRule="auto"/>
        <w:rPr/>
      </w:pPr>
      <w:r/>
    </w:p>
    <w:p>
      <w:pPr>
        <w:pStyle w:val="BodyText"/>
        <w:spacing w:line="263" w:lineRule="auto"/>
        <w:rPr/>
      </w:pPr>
      <w:r/>
    </w:p>
    <w:p>
      <w:pPr>
        <w:ind w:left="6039"/>
        <w:spacing w:before="100" w:line="222" w:lineRule="auto"/>
        <w:rPr>
          <w:rFonts w:ascii="SimHei" w:hAnsi="SimHei" w:eastAsia="SimHei" w:cs="SimHei"/>
          <w:sz w:val="31"/>
          <w:szCs w:val="31"/>
        </w:rPr>
      </w:pPr>
      <w:bookmarkStart w:name="bookmark887" w:id="237"/>
      <w:bookmarkEnd w:id="237"/>
      <w:r>
        <w:rPr>
          <w:rFonts w:ascii="SimHei" w:hAnsi="SimHei" w:eastAsia="SimHei" w:cs="SimHei"/>
          <w:sz w:val="31"/>
          <w:szCs w:val="31"/>
          <w:b/>
          <w:bCs/>
          <w:spacing w:val="6"/>
        </w:rPr>
        <w:t>二、医疗卫生</w:t>
      </w:r>
    </w:p>
    <w:p>
      <w:pPr>
        <w:pStyle w:val="BodyText"/>
        <w:spacing w:line="282" w:lineRule="auto"/>
        <w:rPr/>
      </w:pPr>
      <w:r/>
    </w:p>
    <w:p>
      <w:pPr>
        <w:ind w:left="809"/>
        <w:spacing w:before="101" w:line="224" w:lineRule="auto"/>
        <w:rPr>
          <w:rFonts w:ascii="KaiTi" w:hAnsi="KaiTi" w:eastAsia="KaiTi" w:cs="KaiTi"/>
          <w:sz w:val="31"/>
          <w:szCs w:val="31"/>
        </w:rPr>
      </w:pPr>
      <w:r>
        <w:rPr>
          <w:rFonts w:ascii="KaiTi" w:hAnsi="KaiTi" w:eastAsia="KaiTi" w:cs="KaiTi"/>
          <w:sz w:val="31"/>
          <w:szCs w:val="31"/>
          <w:b/>
          <w:bCs/>
          <w:spacing w:val="15"/>
        </w:rPr>
        <w:t>(一)《中华人民共和国基本医疗卫生与健康促进法》</w:t>
      </w:r>
    </w:p>
    <w:p>
      <w:pPr>
        <w:ind w:left="689"/>
        <w:spacing w:before="322" w:line="220" w:lineRule="auto"/>
        <w:rPr>
          <w:rFonts w:ascii="FangSong" w:hAnsi="FangSong" w:eastAsia="FangSong" w:cs="FangSong"/>
          <w:sz w:val="31"/>
          <w:szCs w:val="31"/>
        </w:rPr>
      </w:pPr>
      <w:r>
        <w:rPr>
          <w:rFonts w:ascii="FangSong" w:hAnsi="FangSong" w:eastAsia="FangSong" w:cs="FangSong"/>
          <w:sz w:val="31"/>
          <w:szCs w:val="31"/>
          <w:b/>
          <w:bCs/>
          <w:spacing w:val="13"/>
        </w:rPr>
        <w:t>第一百六十六条未取得医疗机构执业许可证擅自执业的</w:t>
      </w:r>
    </w:p>
    <w:p>
      <w:pPr>
        <w:ind w:left="685"/>
        <w:spacing w:before="117" w:line="222" w:lineRule="auto"/>
        <w:rPr>
          <w:rFonts w:ascii="FangSong" w:hAnsi="FangSong" w:eastAsia="FangSong" w:cs="FangSong"/>
          <w:sz w:val="26"/>
          <w:szCs w:val="26"/>
        </w:rPr>
      </w:pPr>
      <w:r>
        <w:rPr>
          <w:rFonts w:ascii="FangSong" w:hAnsi="FangSong" w:eastAsia="FangSong" w:cs="FangSong"/>
          <w:sz w:val="26"/>
          <w:szCs w:val="26"/>
          <w:spacing w:val="34"/>
        </w:rPr>
        <w:t>法律依据</w:t>
      </w:r>
      <w:r>
        <w:rPr>
          <w:rFonts w:ascii="FangSong" w:hAnsi="FangSong" w:eastAsia="FangSong" w:cs="FangSong"/>
          <w:sz w:val="26"/>
          <w:szCs w:val="26"/>
          <w:spacing w:val="-64"/>
        </w:rPr>
        <w:t xml:space="preserve"> </w:t>
      </w:r>
      <w:r>
        <w:rPr>
          <w:rFonts w:ascii="FangSong" w:hAnsi="FangSong" w:eastAsia="FangSong" w:cs="FangSong"/>
          <w:sz w:val="26"/>
          <w:szCs w:val="26"/>
          <w:spacing w:val="34"/>
        </w:rPr>
        <w:t>：</w:t>
      </w:r>
    </w:p>
    <w:p>
      <w:pPr>
        <w:ind w:left="15" w:firstLine="635"/>
        <w:spacing w:before="100" w:line="271" w:lineRule="auto"/>
        <w:jc w:val="both"/>
        <w:rPr>
          <w:rFonts w:ascii="FangSong" w:hAnsi="FangSong" w:eastAsia="FangSong" w:cs="FangSong"/>
          <w:sz w:val="26"/>
          <w:szCs w:val="26"/>
        </w:rPr>
      </w:pPr>
      <w:r>
        <w:rPr>
          <w:rFonts w:ascii="FangSong" w:hAnsi="FangSong" w:eastAsia="FangSong" w:cs="FangSong"/>
          <w:sz w:val="31"/>
          <w:szCs w:val="31"/>
          <w:spacing w:val="7"/>
        </w:rPr>
        <w:t>《中华人民共和国基本医疗卫生与健康促进法》第九十九条第一款</w:t>
      </w:r>
      <w:r>
        <w:rPr>
          <w:rFonts w:ascii="FangSong" w:hAnsi="FangSong" w:eastAsia="FangSong" w:cs="FangSong"/>
          <w:sz w:val="31"/>
          <w:szCs w:val="31"/>
          <w:spacing w:val="7"/>
        </w:rPr>
        <w:t xml:space="preserve">  </w:t>
      </w:r>
      <w:r>
        <w:rPr>
          <w:rFonts w:ascii="FangSong" w:hAnsi="FangSong" w:eastAsia="FangSong" w:cs="FangSong"/>
          <w:sz w:val="31"/>
          <w:szCs w:val="31"/>
          <w:spacing w:val="7"/>
        </w:rPr>
        <w:t>违反本法规定，</w:t>
      </w:r>
      <w:r>
        <w:rPr>
          <w:rFonts w:ascii="FangSong" w:hAnsi="FangSong" w:eastAsia="FangSong" w:cs="FangSong"/>
          <w:sz w:val="31"/>
          <w:szCs w:val="31"/>
          <w:spacing w:val="6"/>
        </w:rPr>
        <w:t>未取得医疗</w:t>
      </w:r>
      <w:r>
        <w:rPr>
          <w:rFonts w:ascii="FangSong" w:hAnsi="FangSong" w:eastAsia="FangSong" w:cs="FangSong"/>
          <w:sz w:val="31"/>
          <w:szCs w:val="31"/>
        </w:rPr>
        <w:t xml:space="preserve"> </w:t>
      </w:r>
      <w:r>
        <w:rPr>
          <w:rFonts w:ascii="FangSong" w:hAnsi="FangSong" w:eastAsia="FangSong" w:cs="FangSong"/>
          <w:sz w:val="31"/>
          <w:szCs w:val="31"/>
          <w:spacing w:val="7"/>
        </w:rPr>
        <w:t>机构执业许可证擅自执业的，由县级以上人民政府卫生健</w:t>
      </w:r>
      <w:r>
        <w:rPr>
          <w:rFonts w:ascii="FangSong" w:hAnsi="FangSong" w:eastAsia="FangSong" w:cs="FangSong"/>
          <w:sz w:val="31"/>
          <w:szCs w:val="31"/>
          <w:spacing w:val="6"/>
        </w:rPr>
        <w:t>康主管部门责令停止执业活动，没收违法所</w:t>
      </w:r>
      <w:r>
        <w:rPr>
          <w:rFonts w:ascii="FangSong" w:hAnsi="FangSong" w:eastAsia="FangSong" w:cs="FangSong"/>
          <w:sz w:val="31"/>
          <w:szCs w:val="31"/>
        </w:rPr>
        <w:t xml:space="preserve"> </w:t>
      </w:r>
      <w:r>
        <w:rPr>
          <w:rFonts w:ascii="FangSong" w:hAnsi="FangSong" w:eastAsia="FangSong" w:cs="FangSong"/>
          <w:sz w:val="31"/>
          <w:szCs w:val="31"/>
          <w:spacing w:val="7"/>
        </w:rPr>
        <w:t>得和药品、医疗器械，并处违法所得五倍以上二十倍以下的罚款，违法所得不足一万元的，按一万元</w:t>
      </w:r>
      <w:r>
        <w:rPr>
          <w:rFonts w:ascii="FangSong" w:hAnsi="FangSong" w:eastAsia="FangSong" w:cs="FangSong"/>
          <w:sz w:val="31"/>
          <w:szCs w:val="31"/>
          <w:spacing w:val="7"/>
        </w:rPr>
        <w:t xml:space="preserve"> </w:t>
      </w:r>
      <w:r>
        <w:rPr>
          <w:rFonts w:ascii="FangSong" w:hAnsi="FangSong" w:eastAsia="FangSong" w:cs="FangSong"/>
          <w:sz w:val="26"/>
          <w:szCs w:val="26"/>
          <w:spacing w:val="7"/>
        </w:rPr>
        <w:t>计算</w:t>
      </w:r>
      <w:r>
        <w:rPr>
          <w:rFonts w:ascii="FangSong" w:hAnsi="FangSong" w:eastAsia="FangSong" w:cs="FangSong"/>
          <w:sz w:val="26"/>
          <w:szCs w:val="26"/>
          <w:spacing w:val="-18"/>
        </w:rPr>
        <w:t xml:space="preserve"> </w:t>
      </w:r>
      <w:r>
        <w:rPr>
          <w:rFonts w:ascii="FangSong" w:hAnsi="FangSong" w:eastAsia="FangSong" w:cs="FangSong"/>
          <w:sz w:val="26"/>
          <w:szCs w:val="26"/>
          <w:spacing w:val="7"/>
        </w:rPr>
        <w:t>。</w:t>
      </w:r>
    </w:p>
    <w:p>
      <w:pPr>
        <w:ind w:left="6429"/>
        <w:spacing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3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94"/>
        <w:gridCol w:w="6026"/>
        <w:gridCol w:w="6290"/>
      </w:tblGrid>
      <w:tr>
        <w:trPr>
          <w:trHeight w:val="1270" w:hRule="atLeast"/>
        </w:trPr>
        <w:tc>
          <w:tcPr>
            <w:tcW w:w="994" w:type="dxa"/>
            <w:vAlign w:val="top"/>
          </w:tcPr>
          <w:p>
            <w:pPr>
              <w:pStyle w:val="TableText"/>
              <w:ind w:left="248"/>
              <w:spacing w:before="189" w:line="225" w:lineRule="auto"/>
              <w:rPr/>
            </w:pPr>
            <w:r>
              <w:rPr>
                <w:b/>
                <w:bCs/>
                <w:spacing w:val="-5"/>
              </w:rPr>
              <w:t>违法</w:t>
            </w:r>
          </w:p>
          <w:p>
            <w:pPr>
              <w:pStyle w:val="TableText"/>
              <w:ind w:left="248"/>
              <w:spacing w:before="140" w:line="220" w:lineRule="auto"/>
              <w:rPr/>
            </w:pPr>
            <w:r>
              <w:rPr>
                <w:b/>
                <w:bCs/>
                <w:spacing w:val="-5"/>
              </w:rPr>
              <w:t>程度</w:t>
            </w:r>
          </w:p>
        </w:tc>
        <w:tc>
          <w:tcPr>
            <w:tcW w:w="6026" w:type="dxa"/>
            <w:vAlign w:val="top"/>
          </w:tcPr>
          <w:p>
            <w:pPr>
              <w:spacing w:line="441" w:lineRule="auto"/>
              <w:rPr>
                <w:rFonts w:ascii="Arial"/>
                <w:sz w:val="21"/>
              </w:rPr>
            </w:pPr>
            <w:r/>
          </w:p>
          <w:p>
            <w:pPr>
              <w:pStyle w:val="TableText"/>
              <w:ind w:left="2424"/>
              <w:spacing w:before="78" w:line="220" w:lineRule="auto"/>
              <w:rPr/>
            </w:pPr>
            <w:r>
              <w:rPr>
                <w:b/>
                <w:bCs/>
                <w:spacing w:val="-11"/>
              </w:rPr>
              <w:t>违</w:t>
            </w:r>
            <w:r>
              <w:rPr>
                <w:spacing w:val="-36"/>
              </w:rPr>
              <w:t xml:space="preserve"> </w:t>
            </w:r>
            <w:r>
              <w:rPr>
                <w:b/>
                <w:bCs/>
                <w:spacing w:val="-11"/>
              </w:rPr>
              <w:t>法</w:t>
            </w:r>
            <w:r>
              <w:rPr>
                <w:spacing w:val="-36"/>
              </w:rPr>
              <w:t xml:space="preserve"> </w:t>
            </w:r>
            <w:r>
              <w:rPr>
                <w:b/>
                <w:bCs/>
                <w:spacing w:val="-11"/>
              </w:rPr>
              <w:t>后</w:t>
            </w:r>
            <w:r>
              <w:rPr>
                <w:spacing w:val="-34"/>
              </w:rPr>
              <w:t xml:space="preserve"> </w:t>
            </w:r>
            <w:r>
              <w:rPr>
                <w:b/>
                <w:bCs/>
                <w:spacing w:val="-11"/>
              </w:rPr>
              <w:t>果</w:t>
            </w:r>
          </w:p>
        </w:tc>
        <w:tc>
          <w:tcPr>
            <w:tcW w:w="6290" w:type="dxa"/>
            <w:vAlign w:val="top"/>
          </w:tcPr>
          <w:p>
            <w:pPr>
              <w:spacing w:line="438" w:lineRule="auto"/>
              <w:rPr>
                <w:rFonts w:ascii="Arial"/>
                <w:sz w:val="21"/>
              </w:rPr>
            </w:pPr>
            <w:r/>
          </w:p>
          <w:p>
            <w:pPr>
              <w:pStyle w:val="TableText"/>
              <w:ind w:left="2568"/>
              <w:spacing w:before="78"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510" w:hRule="atLeast"/>
        </w:trPr>
        <w:tc>
          <w:tcPr>
            <w:tcW w:w="994" w:type="dxa"/>
            <w:vAlign w:val="top"/>
          </w:tcPr>
          <w:p>
            <w:pPr>
              <w:spacing w:line="280" w:lineRule="auto"/>
              <w:rPr>
                <w:rFonts w:ascii="Arial"/>
                <w:sz w:val="21"/>
              </w:rPr>
            </w:pPr>
            <w:r/>
          </w:p>
          <w:p>
            <w:pPr>
              <w:spacing w:line="281" w:lineRule="auto"/>
              <w:rPr>
                <w:rFonts w:ascii="Arial"/>
                <w:sz w:val="21"/>
              </w:rPr>
            </w:pPr>
            <w:r/>
          </w:p>
          <w:p>
            <w:pPr>
              <w:pStyle w:val="TableText"/>
              <w:ind w:left="248"/>
              <w:spacing w:before="78" w:line="221" w:lineRule="auto"/>
              <w:rPr/>
            </w:pPr>
            <w:r>
              <w:rPr>
                <w:b/>
                <w:bCs/>
                <w:spacing w:val="-10"/>
              </w:rPr>
              <w:t>一般</w:t>
            </w:r>
          </w:p>
        </w:tc>
        <w:tc>
          <w:tcPr>
            <w:tcW w:w="6026" w:type="dxa"/>
            <w:vAlign w:val="top"/>
          </w:tcPr>
          <w:p>
            <w:pPr>
              <w:spacing w:line="260" w:lineRule="auto"/>
              <w:rPr>
                <w:rFonts w:ascii="Arial"/>
                <w:sz w:val="21"/>
              </w:rPr>
            </w:pPr>
            <w:r/>
          </w:p>
          <w:p>
            <w:pPr>
              <w:pStyle w:val="TableText"/>
              <w:ind w:left="124" w:right="144"/>
              <w:spacing w:before="78" w:line="326" w:lineRule="auto"/>
              <w:rPr/>
            </w:pPr>
            <w:r>
              <w:rPr>
                <w:b/>
                <w:bCs/>
                <w:spacing w:val="-3"/>
              </w:rPr>
              <w:t>未取得医疗机构执业许可证擅自执业，违法所得</w:t>
            </w:r>
            <w:r>
              <w:rPr>
                <w:b/>
                <w:bCs/>
                <w:spacing w:val="-4"/>
              </w:rPr>
              <w:t>不足一</w:t>
            </w:r>
            <w:r>
              <w:rPr/>
              <w:t xml:space="preserve"> </w:t>
            </w:r>
            <w:r>
              <w:rPr>
                <w:b/>
                <w:bCs/>
                <w:spacing w:val="-4"/>
              </w:rPr>
              <w:t>万元，未造成患者人身损害。</w:t>
            </w:r>
          </w:p>
        </w:tc>
        <w:tc>
          <w:tcPr>
            <w:tcW w:w="6290" w:type="dxa"/>
            <w:vAlign w:val="top"/>
          </w:tcPr>
          <w:p>
            <w:pPr>
              <w:pStyle w:val="TableText"/>
              <w:ind w:left="118"/>
              <w:spacing w:before="120" w:line="219" w:lineRule="auto"/>
              <w:rPr/>
            </w:pPr>
            <w:r>
              <w:rPr>
                <w:b/>
                <w:bCs/>
                <w:spacing w:val="-3"/>
              </w:rPr>
              <w:t>由县级以上人民政府卫生健康主管部门责令停止执业活</w:t>
            </w:r>
          </w:p>
          <w:p>
            <w:pPr>
              <w:pStyle w:val="TableText"/>
              <w:ind w:left="118" w:right="146"/>
              <w:spacing w:before="157" w:line="326" w:lineRule="auto"/>
              <w:rPr/>
            </w:pPr>
            <w:r>
              <w:rPr>
                <w:b/>
                <w:bCs/>
                <w:spacing w:val="-2"/>
              </w:rPr>
              <w:t>动，没收违法所得和药品、医疗器械，处违法所得五倍以</w:t>
            </w:r>
            <w:r>
              <w:rPr/>
              <w:t xml:space="preserve"> </w:t>
            </w:r>
            <w:r>
              <w:rPr>
                <w:b/>
                <w:bCs/>
                <w:spacing w:val="-4"/>
              </w:rPr>
              <w:t>上十倍以下罚款。</w:t>
            </w:r>
          </w:p>
        </w:tc>
      </w:tr>
    </w:tbl>
    <w:p>
      <w:pPr>
        <w:pStyle w:val="BodyText"/>
        <w:rPr/>
      </w:pPr>
      <w:r/>
    </w:p>
    <w:p>
      <w:pPr>
        <w:sectPr>
          <w:footerReference w:type="default" r:id="rId238"/>
          <w:pgSz w:w="16830" w:h="11900"/>
          <w:pgMar w:top="1011" w:right="1443" w:bottom="1123" w:left="1414" w:header="0" w:footer="808" w:gutter="0"/>
        </w:sectPr>
        <w:rPr/>
      </w:pPr>
    </w:p>
    <w:p>
      <w:pPr>
        <w:spacing w:before="20"/>
        <w:rPr/>
      </w:pPr>
      <w:r/>
    </w:p>
    <w:p>
      <w:pPr>
        <w:spacing w:before="20"/>
        <w:rPr/>
      </w:pPr>
      <w:r/>
    </w:p>
    <w:p>
      <w:pPr>
        <w:spacing w:before="19"/>
        <w:rPr/>
      </w:pPr>
      <w:r/>
    </w:p>
    <w:tbl>
      <w:tblPr>
        <w:tblStyle w:val="TableNormal"/>
        <w:tblW w:w="13319"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04"/>
        <w:gridCol w:w="6015"/>
        <w:gridCol w:w="6300"/>
      </w:tblGrid>
      <w:tr>
        <w:trPr>
          <w:trHeight w:val="1510" w:hRule="atLeast"/>
        </w:trPr>
        <w:tc>
          <w:tcPr>
            <w:tcW w:w="1004" w:type="dxa"/>
            <w:vAlign w:val="top"/>
          </w:tcPr>
          <w:p>
            <w:pPr>
              <w:spacing w:line="281" w:lineRule="auto"/>
              <w:rPr>
                <w:rFonts w:ascii="Arial"/>
                <w:sz w:val="21"/>
              </w:rPr>
            </w:pPr>
            <w:r/>
          </w:p>
          <w:p>
            <w:pPr>
              <w:spacing w:line="282" w:lineRule="auto"/>
              <w:rPr>
                <w:rFonts w:ascii="Arial"/>
                <w:sz w:val="21"/>
              </w:rPr>
            </w:pPr>
            <w:r/>
          </w:p>
          <w:p>
            <w:pPr>
              <w:pStyle w:val="TableText"/>
              <w:ind w:left="258"/>
              <w:spacing w:before="78" w:line="221" w:lineRule="auto"/>
              <w:rPr/>
            </w:pPr>
            <w:bookmarkStart w:name="bookmark888" w:id="238"/>
            <w:bookmarkEnd w:id="238"/>
            <w:r>
              <w:rPr>
                <w:b/>
                <w:bCs/>
                <w:spacing w:val="-5"/>
              </w:rPr>
              <w:t>较重</w:t>
            </w:r>
          </w:p>
        </w:tc>
        <w:tc>
          <w:tcPr>
            <w:tcW w:w="6015" w:type="dxa"/>
            <w:vAlign w:val="top"/>
          </w:tcPr>
          <w:p>
            <w:pPr>
              <w:pStyle w:val="TableText"/>
              <w:ind w:left="130" w:right="123" w:hanging="19"/>
              <w:spacing w:before="314" w:line="364" w:lineRule="auto"/>
              <w:rPr/>
            </w:pPr>
            <w:r>
              <w:rPr/>
              <w:t>未取得医疗机构执业许可证擅自执业，违法所得一万元</w:t>
            </w:r>
            <w:r>
              <w:rPr>
                <w:spacing w:val="9"/>
              </w:rPr>
              <w:t xml:space="preserve"> </w:t>
            </w:r>
            <w:r>
              <w:rPr/>
              <w:t>以上五万元以下，未造成患者人身损害。</w:t>
            </w:r>
          </w:p>
        </w:tc>
        <w:tc>
          <w:tcPr>
            <w:tcW w:w="6300" w:type="dxa"/>
            <w:vAlign w:val="top"/>
          </w:tcPr>
          <w:p>
            <w:pPr>
              <w:pStyle w:val="TableText"/>
              <w:ind w:left="115"/>
              <w:spacing w:before="83" w:line="219" w:lineRule="auto"/>
              <w:rPr/>
            </w:pPr>
            <w:r>
              <w:rPr/>
              <w:t>由县级以上人民政府卫生健康主管部门责令停止执业活</w:t>
            </w:r>
          </w:p>
          <w:p>
            <w:pPr>
              <w:pStyle w:val="TableText"/>
              <w:ind w:left="115" w:right="152"/>
              <w:spacing w:before="167" w:line="349" w:lineRule="auto"/>
              <w:rPr/>
            </w:pPr>
            <w:r>
              <w:rPr>
                <w:spacing w:val="1"/>
              </w:rPr>
              <w:t>动，没收违法所得和药品、医疗器械，处违法</w:t>
            </w:r>
            <w:r>
              <w:rPr/>
              <w:t>所得十倍以 </w:t>
            </w:r>
            <w:r>
              <w:rPr/>
              <w:t>上十五倍以下罚款。</w:t>
            </w:r>
          </w:p>
        </w:tc>
      </w:tr>
      <w:tr>
        <w:trPr>
          <w:trHeight w:val="1509" w:hRule="atLeast"/>
        </w:trPr>
        <w:tc>
          <w:tcPr>
            <w:tcW w:w="1004" w:type="dxa"/>
            <w:vAlign w:val="top"/>
          </w:tcPr>
          <w:p>
            <w:pPr>
              <w:spacing w:line="280" w:lineRule="auto"/>
              <w:rPr>
                <w:rFonts w:ascii="Arial"/>
                <w:sz w:val="21"/>
              </w:rPr>
            </w:pPr>
            <w:r/>
          </w:p>
          <w:p>
            <w:pPr>
              <w:spacing w:line="280" w:lineRule="auto"/>
              <w:rPr>
                <w:rFonts w:ascii="Arial"/>
                <w:sz w:val="21"/>
              </w:rPr>
            </w:pPr>
            <w:r/>
          </w:p>
          <w:p>
            <w:pPr>
              <w:pStyle w:val="TableText"/>
              <w:ind w:left="258"/>
              <w:spacing w:before="78" w:line="220" w:lineRule="auto"/>
              <w:rPr/>
            </w:pPr>
            <w:r>
              <w:rPr>
                <w:b/>
                <w:bCs/>
                <w:spacing w:val="-6"/>
              </w:rPr>
              <w:t>严重</w:t>
            </w:r>
          </w:p>
        </w:tc>
        <w:tc>
          <w:tcPr>
            <w:tcW w:w="6015" w:type="dxa"/>
            <w:vAlign w:val="top"/>
          </w:tcPr>
          <w:p>
            <w:pPr>
              <w:pStyle w:val="TableText"/>
              <w:ind w:left="100" w:right="123" w:firstLine="130"/>
              <w:spacing w:before="113" w:line="344" w:lineRule="auto"/>
              <w:jc w:val="both"/>
              <w:rPr/>
            </w:pPr>
            <w:r>
              <w:rPr/>
              <w:t>(1)未取得医疗机构执业许可证擅自执业，违法所得超</w:t>
            </w:r>
            <w:r>
              <w:rPr>
                <w:spacing w:val="9"/>
              </w:rPr>
              <w:t xml:space="preserve"> </w:t>
            </w:r>
            <w:r>
              <w:rPr>
                <w:spacing w:val="1"/>
              </w:rPr>
              <w:t>过五万元，未造成患者人身损害；(2)未取得医疗机构</w:t>
            </w:r>
            <w:r>
              <w:rPr>
                <w:spacing w:val="5"/>
              </w:rPr>
              <w:t xml:space="preserve">  </w:t>
            </w:r>
            <w:r>
              <w:rPr/>
              <w:t>执业许可证擅自执业造成患者人身损害。</w:t>
            </w:r>
          </w:p>
        </w:tc>
        <w:tc>
          <w:tcPr>
            <w:tcW w:w="6300" w:type="dxa"/>
            <w:vAlign w:val="top"/>
          </w:tcPr>
          <w:p>
            <w:pPr>
              <w:pStyle w:val="TableText"/>
              <w:ind w:left="115" w:right="160"/>
              <w:spacing w:before="113" w:line="344" w:lineRule="auto"/>
              <w:jc w:val="both"/>
              <w:rPr/>
            </w:pPr>
            <w:r>
              <w:rPr/>
              <w:t>有以上情节之一的，由县级以上人民政府卫生健康主管部</w:t>
            </w:r>
            <w:r>
              <w:rPr>
                <w:spacing w:val="12"/>
              </w:rPr>
              <w:t xml:space="preserve"> </w:t>
            </w:r>
            <w:r>
              <w:rPr/>
              <w:t>门责令停止执业活动，没收违法所得和药品、医疗器械， </w:t>
            </w:r>
            <w:r>
              <w:rPr/>
              <w:t>处违法所得十五倍以上二十倍以下罚款。</w:t>
            </w:r>
          </w:p>
        </w:tc>
      </w:tr>
    </w:tbl>
    <w:p>
      <w:pPr>
        <w:pStyle w:val="BodyText"/>
        <w:spacing w:line="466" w:lineRule="auto"/>
        <w:rPr/>
      </w:pPr>
      <w:r/>
    </w:p>
    <w:p>
      <w:pPr>
        <w:ind w:left="69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第一百六十七条伪造、变造、买卖、出租、出借医疗机构执业许可证的</w:t>
      </w:r>
    </w:p>
    <w:p>
      <w:pPr>
        <w:ind w:left="675"/>
        <w:spacing w:before="110" w:line="222" w:lineRule="auto"/>
        <w:rPr>
          <w:rFonts w:ascii="FangSong" w:hAnsi="FangSong" w:eastAsia="FangSong" w:cs="FangSong"/>
          <w:sz w:val="30"/>
          <w:szCs w:val="30"/>
        </w:rPr>
      </w:pPr>
      <w:r>
        <w:rPr>
          <w:rFonts w:ascii="FangSong" w:hAnsi="FangSong" w:eastAsia="FangSong" w:cs="FangSong"/>
          <w:sz w:val="30"/>
          <w:szCs w:val="30"/>
          <w:spacing w:val="6"/>
        </w:rPr>
        <w:t>法律依据：</w:t>
      </w:r>
    </w:p>
    <w:p>
      <w:pPr>
        <w:ind w:left="34" w:firstLine="640"/>
        <w:spacing w:before="79" w:line="265" w:lineRule="auto"/>
        <w:jc w:val="both"/>
        <w:rPr>
          <w:rFonts w:ascii="FangSong" w:hAnsi="FangSong" w:eastAsia="FangSong" w:cs="FangSong"/>
          <w:sz w:val="30"/>
          <w:szCs w:val="30"/>
        </w:rPr>
      </w:pPr>
      <w:r>
        <w:rPr>
          <w:rFonts w:ascii="FangSong" w:hAnsi="FangSong" w:eastAsia="FangSong" w:cs="FangSong"/>
          <w:sz w:val="30"/>
          <w:szCs w:val="30"/>
          <w:spacing w:val="12"/>
        </w:rPr>
        <w:t>《中华人民共和国基本医疗卫生与健康促进法》第九十九条第二款</w:t>
      </w:r>
      <w:r>
        <w:rPr>
          <w:rFonts w:ascii="FangSong" w:hAnsi="FangSong" w:eastAsia="FangSong" w:cs="FangSong"/>
          <w:sz w:val="30"/>
          <w:szCs w:val="30"/>
          <w:spacing w:val="12"/>
        </w:rPr>
        <w:t xml:space="preserve">  </w:t>
      </w:r>
      <w:r>
        <w:rPr>
          <w:rFonts w:ascii="FangSong" w:hAnsi="FangSong" w:eastAsia="FangSong" w:cs="FangSong"/>
          <w:sz w:val="30"/>
          <w:szCs w:val="30"/>
          <w:spacing w:val="12"/>
        </w:rPr>
        <w:t>违反本法规定，伪造、变造、</w:t>
      </w:r>
      <w:r>
        <w:rPr>
          <w:rFonts w:ascii="FangSong" w:hAnsi="FangSong" w:eastAsia="FangSong" w:cs="FangSong"/>
          <w:sz w:val="30"/>
          <w:szCs w:val="30"/>
          <w:spacing w:val="11"/>
        </w:rPr>
        <w:t xml:space="preserve"> </w:t>
      </w:r>
      <w:r>
        <w:rPr>
          <w:rFonts w:ascii="FangSong" w:hAnsi="FangSong" w:eastAsia="FangSong" w:cs="FangSong"/>
          <w:sz w:val="30"/>
          <w:szCs w:val="30"/>
          <w:spacing w:val="16"/>
        </w:rPr>
        <w:t>买卖、出租、出借医疗机构执业许可证的，由县级以上人民政府卫生健康主管部门责令改正，没收违</w:t>
      </w:r>
      <w:r>
        <w:rPr>
          <w:rFonts w:ascii="FangSong" w:hAnsi="FangSong" w:eastAsia="FangSong" w:cs="FangSong"/>
          <w:sz w:val="30"/>
          <w:szCs w:val="30"/>
          <w:spacing w:val="8"/>
        </w:rPr>
        <w:t xml:space="preserve">  </w:t>
      </w:r>
      <w:r>
        <w:rPr>
          <w:rFonts w:ascii="FangSong" w:hAnsi="FangSong" w:eastAsia="FangSong" w:cs="FangSong"/>
          <w:sz w:val="30"/>
          <w:szCs w:val="30"/>
          <w:spacing w:val="17"/>
        </w:rPr>
        <w:t>法所得，并处违法所得五倍以上十五倍以下的罚款，违法所</w:t>
      </w:r>
      <w:r>
        <w:rPr>
          <w:rFonts w:ascii="FangSong" w:hAnsi="FangSong" w:eastAsia="FangSong" w:cs="FangSong"/>
          <w:sz w:val="30"/>
          <w:szCs w:val="30"/>
          <w:spacing w:val="16"/>
        </w:rPr>
        <w:t>得不足一万元的，按一万元计算；情节严</w:t>
      </w:r>
      <w:r>
        <w:rPr>
          <w:rFonts w:ascii="FangSong" w:hAnsi="FangSong" w:eastAsia="FangSong" w:cs="FangSong"/>
          <w:sz w:val="30"/>
          <w:szCs w:val="30"/>
        </w:rPr>
        <w:t xml:space="preserve">  </w:t>
      </w:r>
      <w:r>
        <w:rPr>
          <w:rFonts w:ascii="FangSong" w:hAnsi="FangSong" w:eastAsia="FangSong" w:cs="FangSong"/>
          <w:sz w:val="30"/>
          <w:szCs w:val="30"/>
          <w:spacing w:val="15"/>
        </w:rPr>
        <w:t>重的，吊销医疗机构执业许可证。</w:t>
      </w:r>
    </w:p>
    <w:p>
      <w:pPr>
        <w:ind w:left="6439"/>
        <w:spacing w:before="5"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3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94"/>
        <w:gridCol w:w="6025"/>
        <w:gridCol w:w="6300"/>
      </w:tblGrid>
      <w:tr>
        <w:trPr>
          <w:trHeight w:val="1060" w:hRule="atLeast"/>
        </w:trPr>
        <w:tc>
          <w:tcPr>
            <w:tcW w:w="994" w:type="dxa"/>
            <w:vAlign w:val="top"/>
          </w:tcPr>
          <w:p>
            <w:pPr>
              <w:pStyle w:val="TableText"/>
              <w:ind w:left="199"/>
              <w:spacing w:before="71" w:line="225" w:lineRule="auto"/>
              <w:rPr>
                <w:sz w:val="29"/>
                <w:szCs w:val="29"/>
              </w:rPr>
            </w:pPr>
            <w:r>
              <w:rPr>
                <w:sz w:val="29"/>
                <w:szCs w:val="29"/>
                <w:b/>
                <w:bCs/>
                <w:spacing w:val="-6"/>
              </w:rPr>
              <w:t>违法</w:t>
            </w:r>
          </w:p>
          <w:p>
            <w:pPr>
              <w:pStyle w:val="TableText"/>
              <w:ind w:left="199"/>
              <w:spacing w:before="88" w:line="220" w:lineRule="auto"/>
              <w:rPr>
                <w:sz w:val="29"/>
                <w:szCs w:val="29"/>
              </w:rPr>
            </w:pPr>
            <w:r>
              <w:rPr>
                <w:sz w:val="29"/>
                <w:szCs w:val="29"/>
                <w:b/>
                <w:bCs/>
                <w:spacing w:val="-6"/>
              </w:rPr>
              <w:t>程度</w:t>
            </w:r>
          </w:p>
        </w:tc>
        <w:tc>
          <w:tcPr>
            <w:tcW w:w="6025" w:type="dxa"/>
            <w:vAlign w:val="top"/>
          </w:tcPr>
          <w:p>
            <w:pPr>
              <w:spacing w:line="297" w:lineRule="auto"/>
              <w:rPr>
                <w:rFonts w:ascii="Arial"/>
                <w:sz w:val="21"/>
              </w:rPr>
            </w:pPr>
            <w:r/>
          </w:p>
          <w:p>
            <w:pPr>
              <w:pStyle w:val="TableText"/>
              <w:ind w:left="2435"/>
              <w:spacing w:before="94" w:line="220" w:lineRule="auto"/>
              <w:rPr>
                <w:sz w:val="29"/>
                <w:szCs w:val="29"/>
              </w:rPr>
            </w:pPr>
            <w:r>
              <w:rPr>
                <w:sz w:val="29"/>
                <w:szCs w:val="29"/>
                <w:b/>
                <w:bCs/>
                <w:spacing w:val="-1"/>
              </w:rPr>
              <w:t>违法后果</w:t>
            </w:r>
          </w:p>
        </w:tc>
        <w:tc>
          <w:tcPr>
            <w:tcW w:w="6300" w:type="dxa"/>
            <w:vAlign w:val="top"/>
          </w:tcPr>
          <w:p>
            <w:pPr>
              <w:spacing w:line="294" w:lineRule="auto"/>
              <w:rPr>
                <w:rFonts w:ascii="Arial"/>
                <w:sz w:val="21"/>
              </w:rPr>
            </w:pPr>
            <w:r/>
          </w:p>
          <w:p>
            <w:pPr>
              <w:pStyle w:val="TableText"/>
              <w:ind w:left="2610"/>
              <w:spacing w:before="94" w:line="218" w:lineRule="auto"/>
              <w:rPr>
                <w:sz w:val="29"/>
                <w:szCs w:val="29"/>
              </w:rPr>
            </w:pPr>
            <w:r>
              <w:rPr>
                <w:sz w:val="29"/>
                <w:szCs w:val="29"/>
                <w:b/>
                <w:bCs/>
                <w:spacing w:val="-1"/>
              </w:rPr>
              <w:t>裁量幅度</w:t>
            </w:r>
          </w:p>
        </w:tc>
      </w:tr>
    </w:tbl>
    <w:p>
      <w:pPr>
        <w:pStyle w:val="BodyText"/>
        <w:spacing w:line="249" w:lineRule="auto"/>
        <w:rPr/>
      </w:pPr>
      <w:r/>
    </w:p>
    <w:p>
      <w:pPr>
        <w:pStyle w:val="BodyText"/>
        <w:spacing w:line="249" w:lineRule="auto"/>
        <w:rPr/>
      </w:pPr>
      <w:r/>
    </w:p>
    <w:p>
      <w:pPr>
        <w:pStyle w:val="BodyText"/>
        <w:spacing w:line="249" w:lineRule="auto"/>
        <w:rPr/>
      </w:pPr>
      <w:r/>
    </w:p>
    <w:p>
      <w:pPr>
        <w:pStyle w:val="BodyText"/>
        <w:spacing w:line="249" w:lineRule="auto"/>
        <w:rPr/>
      </w:pPr>
      <w:r/>
    </w:p>
    <w:p>
      <w:pPr>
        <w:pStyle w:val="BodyText"/>
        <w:ind w:left="6354"/>
        <w:spacing w:before="61"/>
        <w:tabs>
          <w:tab w:val="left" w:pos="6664"/>
        </w:tabs>
        <w:rPr/>
      </w:pPr>
      <w:r>
        <w:rPr>
          <w:u w:val="single" w:color="auto"/>
        </w:rPr>
        <w:tab/>
      </w:r>
    </w:p>
    <w:p>
      <w:pPr>
        <w:ind w:left="6374"/>
        <w:spacing w:before="3" w:line="180" w:lineRule="auto"/>
        <w:rPr>
          <w:rFonts w:ascii="Times New Roman" w:hAnsi="Times New Roman" w:eastAsia="Times New Roman" w:cs="Times New Roman"/>
          <w:sz w:val="37"/>
          <w:szCs w:val="37"/>
        </w:rPr>
      </w:pPr>
      <w:r>
        <w:rPr>
          <w:rFonts w:ascii="SimSun" w:hAnsi="SimSun" w:eastAsia="SimSun" w:cs="SimSun"/>
          <w:sz w:val="37"/>
          <w:szCs w:val="37"/>
          <w:spacing w:val="-30"/>
        </w:rPr>
        <w:t>—</w:t>
      </w:r>
      <w:r>
        <w:rPr>
          <w:rFonts w:ascii="SimSun" w:hAnsi="SimSun" w:eastAsia="SimSun" w:cs="SimSun"/>
          <w:sz w:val="37"/>
          <w:szCs w:val="37"/>
          <w:spacing w:val="-62"/>
        </w:rPr>
        <w:t xml:space="preserve"> </w:t>
      </w:r>
      <w:r>
        <w:rPr>
          <w:rFonts w:ascii="Times New Roman" w:hAnsi="Times New Roman" w:eastAsia="Times New Roman" w:cs="Times New Roman"/>
          <w:sz w:val="37"/>
          <w:szCs w:val="37"/>
          <w:spacing w:val="-30"/>
        </w:rPr>
        <w:t>251—</w:t>
      </w:r>
    </w:p>
    <w:p>
      <w:pPr>
        <w:spacing w:line="180" w:lineRule="auto"/>
        <w:sectPr>
          <w:footerReference w:type="default" r:id="rId24"/>
          <w:pgSz w:w="16830" w:h="11900"/>
          <w:pgMar w:top="1011" w:right="1309" w:bottom="400" w:left="1405" w:header="0" w:footer="0" w:gutter="0"/>
        </w:sectPr>
        <w:rPr>
          <w:rFonts w:ascii="Times New Roman" w:hAnsi="Times New Roman" w:eastAsia="Times New Roman" w:cs="Times New Roman"/>
          <w:sz w:val="37"/>
          <w:szCs w:val="37"/>
        </w:rPr>
      </w:pPr>
    </w:p>
    <w:p>
      <w:pPr>
        <w:spacing w:before="17"/>
        <w:rPr/>
      </w:pPr>
      <w:r/>
    </w:p>
    <w:p>
      <w:pPr>
        <w:spacing w:before="16"/>
        <w:rPr/>
      </w:pPr>
      <w:r/>
    </w:p>
    <w:p>
      <w:pPr>
        <w:spacing w:before="16"/>
        <w:rPr/>
      </w:pPr>
      <w:r/>
    </w:p>
    <w:tbl>
      <w:tblPr>
        <w:tblStyle w:val="TableNormal"/>
        <w:tblW w:w="132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84"/>
        <w:gridCol w:w="6005"/>
        <w:gridCol w:w="6310"/>
      </w:tblGrid>
      <w:tr>
        <w:trPr>
          <w:trHeight w:val="1523" w:hRule="atLeast"/>
        </w:trPr>
        <w:tc>
          <w:tcPr>
            <w:tcW w:w="984" w:type="dxa"/>
            <w:vAlign w:val="top"/>
          </w:tcPr>
          <w:p>
            <w:pPr>
              <w:spacing w:line="282" w:lineRule="auto"/>
              <w:rPr>
                <w:rFonts w:ascii="Arial"/>
                <w:sz w:val="21"/>
              </w:rPr>
            </w:pPr>
            <w:r/>
          </w:p>
          <w:p>
            <w:pPr>
              <w:spacing w:line="282" w:lineRule="auto"/>
              <w:rPr>
                <w:rFonts w:ascii="Arial"/>
                <w:sz w:val="21"/>
              </w:rPr>
            </w:pPr>
            <w:r/>
          </w:p>
          <w:p>
            <w:pPr>
              <w:pStyle w:val="TableText"/>
              <w:ind w:left="244"/>
              <w:spacing w:before="78" w:line="221" w:lineRule="auto"/>
              <w:rPr/>
            </w:pPr>
            <w:r>
              <w:rPr>
                <w:spacing w:val="5"/>
              </w:rPr>
              <w:t>一般</w:t>
            </w:r>
          </w:p>
        </w:tc>
        <w:tc>
          <w:tcPr>
            <w:tcW w:w="6005" w:type="dxa"/>
            <w:vAlign w:val="top"/>
          </w:tcPr>
          <w:p>
            <w:pPr>
              <w:spacing w:line="255" w:lineRule="auto"/>
              <w:rPr>
                <w:rFonts w:ascii="Arial"/>
                <w:sz w:val="21"/>
              </w:rPr>
            </w:pPr>
            <w:r/>
          </w:p>
          <w:p>
            <w:pPr>
              <w:pStyle w:val="TableText"/>
              <w:ind w:left="119" w:hanging="69"/>
              <w:spacing w:before="78" w:line="333" w:lineRule="auto"/>
              <w:rPr/>
            </w:pPr>
            <w:r>
              <w:rPr>
                <w:spacing w:val="-3"/>
              </w:rPr>
              <w:t>伪造、变造、买卖、出租、出借医疗机构执业许可证的，</w:t>
            </w:r>
            <w:r>
              <w:rPr>
                <w:spacing w:val="18"/>
              </w:rPr>
              <w:t xml:space="preserve"> </w:t>
            </w:r>
            <w:r>
              <w:rPr>
                <w:spacing w:val="-1"/>
              </w:rPr>
              <w:t>首次发现且未造成严重后果的</w:t>
            </w:r>
          </w:p>
        </w:tc>
        <w:tc>
          <w:tcPr>
            <w:tcW w:w="6310" w:type="dxa"/>
            <w:vAlign w:val="top"/>
          </w:tcPr>
          <w:p>
            <w:pPr>
              <w:pStyle w:val="TableText"/>
              <w:ind w:left="125" w:right="143" w:firstLine="20"/>
              <w:spacing w:before="104" w:line="340" w:lineRule="auto"/>
              <w:jc w:val="both"/>
              <w:rPr/>
            </w:pPr>
            <w:r>
              <w:rPr/>
              <w:t>由县级以上人民政府卫生健康主管部门责令改正，没收违</w:t>
            </w:r>
            <w:r>
              <w:rPr>
                <w:spacing w:val="9"/>
              </w:rPr>
              <w:t xml:space="preserve"> </w:t>
            </w:r>
            <w:r>
              <w:rPr>
                <w:spacing w:val="1"/>
              </w:rPr>
              <w:t>法所得，并处违法所得五倍的罚款，违法所得不足一万元</w:t>
            </w:r>
            <w:r>
              <w:rPr>
                <w:spacing w:val="4"/>
              </w:rPr>
              <w:t xml:space="preserve"> </w:t>
            </w:r>
            <w:r>
              <w:rPr>
                <w:spacing w:val="1"/>
              </w:rPr>
              <w:t>的，按一万元计算</w:t>
            </w:r>
          </w:p>
        </w:tc>
      </w:tr>
      <w:tr>
        <w:trPr>
          <w:trHeight w:val="2396" w:hRule="atLeast"/>
        </w:trPr>
        <w:tc>
          <w:tcPr>
            <w:tcW w:w="984"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pStyle w:val="TableText"/>
              <w:ind w:left="244"/>
              <w:spacing w:before="78" w:line="221" w:lineRule="auto"/>
              <w:rPr/>
            </w:pPr>
            <w:r>
              <w:rPr>
                <w:color w:val="304040"/>
                <w:spacing w:val="5"/>
              </w:rPr>
              <w:t>较重</w:t>
            </w:r>
          </w:p>
        </w:tc>
        <w:tc>
          <w:tcPr>
            <w:tcW w:w="6005" w:type="dxa"/>
            <w:vAlign w:val="top"/>
          </w:tcPr>
          <w:p>
            <w:pPr>
              <w:pStyle w:val="TableText"/>
              <w:ind w:left="50" w:right="35"/>
              <w:spacing w:before="128" w:line="336" w:lineRule="auto"/>
              <w:jc w:val="both"/>
              <w:rPr/>
            </w:pPr>
            <w:r>
              <w:rPr/>
              <w:t>A、因伪造、变造、买卖、出租、出借医疗机构执</w:t>
            </w:r>
            <w:r>
              <w:rPr>
                <w:spacing w:val="-1"/>
              </w:rPr>
              <w:t>业许可</w:t>
            </w:r>
            <w:r>
              <w:rPr/>
              <w:t xml:space="preserve"> </w:t>
            </w:r>
            <w:r>
              <w:rPr>
                <w:spacing w:val="1"/>
              </w:rPr>
              <w:t>证曾受过卫生健康主管部门处罚的；B、买卖、出租、出</w:t>
            </w:r>
            <w:r>
              <w:rPr>
                <w:spacing w:val="3"/>
              </w:rPr>
              <w:t xml:space="preserve"> </w:t>
            </w:r>
            <w:r>
              <w:rPr/>
              <w:t>借医疗机构执业许可证给非卫生技术专业人员的；C、伪</w:t>
            </w:r>
            <w:r>
              <w:rPr>
                <w:spacing w:val="16"/>
              </w:rPr>
              <w:t xml:space="preserve"> </w:t>
            </w:r>
            <w:r>
              <w:rPr>
                <w:spacing w:val="2"/>
              </w:rPr>
              <w:t>造、变造、买卖、出租、出借医疗机构执业许可证，执 </w:t>
            </w:r>
            <w:r>
              <w:rPr>
                <w:spacing w:val="8"/>
              </w:rPr>
              <w:t>业时间在三个月以上的</w:t>
            </w:r>
          </w:p>
        </w:tc>
        <w:tc>
          <w:tcPr>
            <w:tcW w:w="6310" w:type="dxa"/>
            <w:vAlign w:val="top"/>
          </w:tcPr>
          <w:p>
            <w:pPr>
              <w:spacing w:line="470" w:lineRule="auto"/>
              <w:rPr>
                <w:rFonts w:ascii="Arial"/>
                <w:sz w:val="21"/>
              </w:rPr>
            </w:pPr>
            <w:r/>
          </w:p>
          <w:p>
            <w:pPr>
              <w:pStyle w:val="TableText"/>
              <w:ind w:left="125" w:right="143" w:firstLine="20"/>
              <w:spacing w:before="78" w:line="340" w:lineRule="auto"/>
              <w:jc w:val="both"/>
              <w:rPr/>
            </w:pPr>
            <w:r>
              <w:rPr/>
              <w:t>由县级以上人民政府卫生健康主管部门责令改正，没收违</w:t>
            </w:r>
            <w:r>
              <w:rPr>
                <w:spacing w:val="9"/>
              </w:rPr>
              <w:t xml:space="preserve"> </w:t>
            </w:r>
            <w:r>
              <w:rPr>
                <w:spacing w:val="1"/>
              </w:rPr>
              <w:t>法所得，并处违法所得</w:t>
            </w:r>
            <w:r>
              <w:rPr>
                <w:b/>
                <w:bCs/>
                <w:spacing w:val="1"/>
              </w:rPr>
              <w:t>五倍</w:t>
            </w:r>
            <w:r>
              <w:rPr>
                <w:spacing w:val="1"/>
              </w:rPr>
              <w:t>以上十倍以下的罚款，</w:t>
            </w:r>
            <w:r>
              <w:rPr/>
              <w:t>违法所 </w:t>
            </w:r>
            <w:r>
              <w:rPr/>
              <w:t>得不足一万元的，按一万元计算</w:t>
            </w:r>
          </w:p>
        </w:tc>
      </w:tr>
      <w:tr>
        <w:trPr>
          <w:trHeight w:val="1518" w:hRule="atLeast"/>
        </w:trPr>
        <w:tc>
          <w:tcPr>
            <w:tcW w:w="984" w:type="dxa"/>
            <w:vAlign w:val="top"/>
          </w:tcPr>
          <w:p>
            <w:pPr>
              <w:spacing w:line="282" w:lineRule="auto"/>
              <w:rPr>
                <w:rFonts w:ascii="Arial"/>
                <w:sz w:val="21"/>
              </w:rPr>
            </w:pPr>
            <w:r/>
          </w:p>
          <w:p>
            <w:pPr>
              <w:spacing w:line="283" w:lineRule="auto"/>
              <w:rPr>
                <w:rFonts w:ascii="Arial"/>
                <w:sz w:val="21"/>
              </w:rPr>
            </w:pPr>
            <w:r/>
          </w:p>
          <w:p>
            <w:pPr>
              <w:pStyle w:val="TableText"/>
              <w:ind w:left="244"/>
              <w:spacing w:before="78" w:line="220" w:lineRule="auto"/>
              <w:rPr/>
            </w:pPr>
            <w:r>
              <w:rPr>
                <w:spacing w:val="5"/>
              </w:rPr>
              <w:t>严重</w:t>
            </w:r>
          </w:p>
        </w:tc>
        <w:tc>
          <w:tcPr>
            <w:tcW w:w="6005" w:type="dxa"/>
            <w:vAlign w:val="top"/>
          </w:tcPr>
          <w:p>
            <w:pPr>
              <w:spacing w:line="282" w:lineRule="auto"/>
              <w:rPr>
                <w:rFonts w:ascii="Arial"/>
                <w:sz w:val="21"/>
              </w:rPr>
            </w:pPr>
            <w:r/>
          </w:p>
          <w:p>
            <w:pPr>
              <w:spacing w:line="283" w:lineRule="auto"/>
              <w:rPr>
                <w:rFonts w:ascii="Arial"/>
                <w:sz w:val="21"/>
              </w:rPr>
            </w:pPr>
            <w:r/>
          </w:p>
          <w:p>
            <w:pPr>
              <w:pStyle w:val="TableText"/>
              <w:ind w:left="100"/>
              <w:spacing w:before="78" w:line="220" w:lineRule="auto"/>
              <w:rPr/>
            </w:pPr>
            <w:r>
              <w:rPr>
                <w:spacing w:val="1"/>
              </w:rPr>
              <w:t>有上述两种及以上情形的</w:t>
            </w:r>
          </w:p>
        </w:tc>
        <w:tc>
          <w:tcPr>
            <w:tcW w:w="6310" w:type="dxa"/>
            <w:vAlign w:val="top"/>
          </w:tcPr>
          <w:p>
            <w:pPr>
              <w:pStyle w:val="TableText"/>
              <w:ind w:left="145" w:right="143"/>
              <w:spacing w:before="115" w:line="340" w:lineRule="auto"/>
              <w:jc w:val="both"/>
              <w:rPr/>
            </w:pPr>
            <w:r>
              <w:rPr/>
              <w:t>由县级以上人民政府卫生健康主管部门责令改正，没收违</w:t>
            </w:r>
            <w:r>
              <w:rPr>
                <w:spacing w:val="9"/>
              </w:rPr>
              <w:t xml:space="preserve"> </w:t>
            </w:r>
            <w:r>
              <w:rPr>
                <w:spacing w:val="-1"/>
              </w:rPr>
              <w:t>法所得，并处违法所得十倍以上十五倍以下的罚款，违法</w:t>
            </w:r>
            <w:r>
              <w:rPr>
                <w:spacing w:val="13"/>
              </w:rPr>
              <w:t xml:space="preserve"> </w:t>
            </w:r>
            <w:r>
              <w:rPr/>
              <w:t>所得不足一万元的，按一万元计算</w:t>
            </w:r>
          </w:p>
        </w:tc>
      </w:tr>
      <w:tr>
        <w:trPr>
          <w:trHeight w:val="1523" w:hRule="atLeast"/>
        </w:trPr>
        <w:tc>
          <w:tcPr>
            <w:tcW w:w="984" w:type="dxa"/>
            <w:vAlign w:val="top"/>
          </w:tcPr>
          <w:p>
            <w:pPr>
              <w:pStyle w:val="TableText"/>
              <w:ind w:left="124"/>
              <w:spacing w:before="318" w:line="219" w:lineRule="auto"/>
              <w:rPr/>
            </w:pPr>
            <w:r>
              <w:rPr>
                <w:color w:val="505040"/>
                <w:spacing w:val="-3"/>
              </w:rPr>
              <w:t>特别严</w:t>
            </w:r>
          </w:p>
          <w:p>
            <w:pPr>
              <w:pStyle w:val="TableText"/>
              <w:ind w:left="364"/>
              <w:spacing w:before="176" w:line="228" w:lineRule="auto"/>
              <w:rPr/>
            </w:pPr>
            <w:r>
              <w:rPr>
                <w:color w:val="605060"/>
              </w:rPr>
              <w:t>重</w:t>
            </w:r>
          </w:p>
        </w:tc>
        <w:tc>
          <w:tcPr>
            <w:tcW w:w="6005" w:type="dxa"/>
            <w:vAlign w:val="top"/>
          </w:tcPr>
          <w:p>
            <w:pPr>
              <w:pStyle w:val="TableText"/>
              <w:ind w:left="111" w:right="112"/>
              <w:spacing w:before="316" w:line="350" w:lineRule="auto"/>
              <w:rPr/>
            </w:pPr>
            <w:r>
              <w:rPr/>
              <w:t>伪造、变造、买卖、出租、出借医疗机构执业许可证情</w:t>
            </w:r>
            <w:r>
              <w:rPr>
                <w:spacing w:val="10"/>
              </w:rPr>
              <w:t xml:space="preserve"> </w:t>
            </w:r>
            <w:r>
              <w:rPr>
                <w:spacing w:val="4"/>
              </w:rPr>
              <w:t>节严重的</w:t>
            </w:r>
          </w:p>
        </w:tc>
        <w:tc>
          <w:tcPr>
            <w:tcW w:w="6310" w:type="dxa"/>
            <w:vAlign w:val="top"/>
          </w:tcPr>
          <w:p>
            <w:pPr>
              <w:pStyle w:val="TableText"/>
              <w:ind w:left="125" w:right="143" w:firstLine="20"/>
              <w:spacing w:before="115" w:line="340" w:lineRule="auto"/>
              <w:jc w:val="both"/>
              <w:rPr/>
            </w:pPr>
            <w:r>
              <w:rPr/>
              <w:t>由县级以上人民政府卫生健康主管部门责令改正，没收违</w:t>
            </w:r>
            <w:r>
              <w:rPr>
                <w:spacing w:val="9"/>
              </w:rPr>
              <w:t xml:space="preserve"> </w:t>
            </w:r>
            <w:r>
              <w:rPr>
                <w:spacing w:val="1"/>
              </w:rPr>
              <w:t>法所得，处违法所得十五倍的罚款，违法所得不足一万元</w:t>
            </w:r>
            <w:r>
              <w:rPr>
                <w:spacing w:val="4"/>
              </w:rPr>
              <w:t xml:space="preserve"> </w:t>
            </w:r>
            <w:r>
              <w:rPr/>
              <w:t>的，按一万元计算，并吊销医疗机构执业许可证</w:t>
            </w:r>
          </w:p>
        </w:tc>
      </w:tr>
    </w:tbl>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pStyle w:val="BodyText"/>
        <w:spacing w:line="267" w:lineRule="auto"/>
        <w:rPr/>
      </w:pPr>
      <w:r/>
    </w:p>
    <w:p>
      <w:pPr>
        <w:ind w:left="6354"/>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—252—</w:t>
      </w:r>
    </w:p>
    <w:p>
      <w:pPr>
        <w:spacing w:line="188" w:lineRule="auto"/>
        <w:sectPr>
          <w:pgSz w:w="16830" w:h="11900"/>
          <w:pgMar w:top="1011" w:right="2095" w:bottom="400" w:left="1425" w:header="0" w:footer="0" w:gutter="0"/>
        </w:sectPr>
        <w:rPr>
          <w:rFonts w:ascii="Times New Roman" w:hAnsi="Times New Roman" w:eastAsia="Times New Roman" w:cs="Times New Roman"/>
          <w:sz w:val="37"/>
          <w:szCs w:val="37"/>
        </w:rPr>
      </w:pPr>
    </w:p>
    <w:p>
      <w:pPr>
        <w:pStyle w:val="BodyText"/>
        <w:spacing w:line="259" w:lineRule="auto"/>
        <w:rPr/>
      </w:pPr>
      <w:r/>
    </w:p>
    <w:p>
      <w:pPr>
        <w:pStyle w:val="BodyText"/>
        <w:spacing w:line="260" w:lineRule="auto"/>
        <w:rPr/>
      </w:pPr>
      <w:r/>
    </w:p>
    <w:p>
      <w:pPr>
        <w:pStyle w:val="BodyText"/>
        <w:spacing w:line="260" w:lineRule="auto"/>
        <w:rPr/>
      </w:pPr>
      <w:r/>
    </w:p>
    <w:p>
      <w:pPr>
        <w:ind w:left="109" w:right="380" w:firstLine="679"/>
        <w:spacing w:before="98" w:line="282" w:lineRule="auto"/>
        <w:rPr>
          <w:rFonts w:ascii="FangSong" w:hAnsi="FangSong" w:eastAsia="FangSong" w:cs="FangSong"/>
          <w:sz w:val="30"/>
          <w:szCs w:val="30"/>
        </w:rPr>
      </w:pPr>
      <w:bookmarkStart w:name="bookmark889" w:id="239"/>
      <w:bookmarkEnd w:id="239"/>
      <w:r>
        <w:rPr>
          <w:rFonts w:ascii="FangSong" w:hAnsi="FangSong" w:eastAsia="FangSong" w:cs="FangSong"/>
          <w:sz w:val="30"/>
          <w:szCs w:val="30"/>
          <w:b/>
          <w:bCs/>
          <w:spacing w:val="22"/>
        </w:rPr>
        <w:t>第一百六十八条政府举办的医疗卫生机构与其他组</w:t>
      </w:r>
      <w:r>
        <w:rPr>
          <w:rFonts w:ascii="FangSong" w:hAnsi="FangSong" w:eastAsia="FangSong" w:cs="FangSong"/>
          <w:sz w:val="30"/>
          <w:szCs w:val="30"/>
          <w:b/>
          <w:bCs/>
          <w:spacing w:val="21"/>
        </w:rPr>
        <w:t>织投资设立非独立法人资格的医疗卫生机</w:t>
      </w:r>
      <w:r>
        <w:rPr>
          <w:rFonts w:ascii="FangSong" w:hAnsi="FangSong" w:eastAsia="FangSong" w:cs="FangSong"/>
          <w:sz w:val="30"/>
          <w:szCs w:val="30"/>
        </w:rPr>
        <w:t xml:space="preserve"> </w:t>
      </w:r>
      <w:r>
        <w:rPr>
          <w:rFonts w:ascii="FangSong" w:hAnsi="FangSong" w:eastAsia="FangSong" w:cs="FangSong"/>
          <w:sz w:val="30"/>
          <w:szCs w:val="30"/>
          <w:b/>
          <w:bCs/>
          <w:spacing w:val="7"/>
        </w:rPr>
        <w:t>构的</w:t>
      </w:r>
    </w:p>
    <w:p>
      <w:pPr>
        <w:ind w:left="744"/>
        <w:spacing w:line="222" w:lineRule="auto"/>
        <w:rPr>
          <w:rFonts w:ascii="FangSong" w:hAnsi="FangSong" w:eastAsia="FangSong" w:cs="FangSong"/>
          <w:sz w:val="30"/>
          <w:szCs w:val="30"/>
        </w:rPr>
      </w:pPr>
      <w:r>
        <w:rPr>
          <w:rFonts w:ascii="FangSong" w:hAnsi="FangSong" w:eastAsia="FangSong" w:cs="FangSong"/>
          <w:sz w:val="30"/>
          <w:szCs w:val="30"/>
          <w:spacing w:val="6"/>
        </w:rPr>
        <w:t>法律依据：</w:t>
      </w:r>
    </w:p>
    <w:p>
      <w:pPr>
        <w:ind w:left="104" w:right="114" w:firstLine="629"/>
        <w:spacing w:before="76" w:line="266" w:lineRule="auto"/>
        <w:jc w:val="both"/>
        <w:rPr>
          <w:rFonts w:ascii="FangSong" w:hAnsi="FangSong" w:eastAsia="FangSong" w:cs="FangSong"/>
          <w:sz w:val="30"/>
          <w:szCs w:val="30"/>
        </w:rPr>
      </w:pPr>
      <w:r>
        <w:rPr>
          <w:rFonts w:ascii="FangSong" w:hAnsi="FangSong" w:eastAsia="FangSong" w:cs="FangSong"/>
          <w:sz w:val="30"/>
          <w:szCs w:val="30"/>
          <w:spacing w:val="24"/>
        </w:rPr>
        <w:t>《中华人民共和国基本医疗卫生与健康促进法》</w:t>
      </w:r>
      <w:r>
        <w:rPr>
          <w:rFonts w:ascii="FangSong" w:hAnsi="FangSong" w:eastAsia="FangSong" w:cs="FangSong"/>
          <w:sz w:val="30"/>
          <w:szCs w:val="30"/>
          <w:spacing w:val="23"/>
        </w:rPr>
        <w:t>第一百条第(一)项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违反本法规定，有下列行</w:t>
      </w:r>
      <w:r>
        <w:rPr>
          <w:rFonts w:ascii="FangSong" w:hAnsi="FangSong" w:eastAsia="FangSong" w:cs="FangSong"/>
          <w:sz w:val="30"/>
          <w:szCs w:val="30"/>
        </w:rPr>
        <w:t xml:space="preserve"> </w:t>
      </w:r>
      <w:r>
        <w:rPr>
          <w:rFonts w:ascii="FangSong" w:hAnsi="FangSong" w:eastAsia="FangSong" w:cs="FangSong"/>
          <w:sz w:val="30"/>
          <w:szCs w:val="30"/>
          <w:spacing w:val="17"/>
        </w:rPr>
        <w:t>为之一的，由县级以上人民政府卫生健康主管部门责令改正，没收违法所得，</w:t>
      </w:r>
      <w:r>
        <w:rPr>
          <w:rFonts w:ascii="FangSong" w:hAnsi="FangSong" w:eastAsia="FangSong" w:cs="FangSong"/>
          <w:sz w:val="30"/>
          <w:szCs w:val="30"/>
          <w:spacing w:val="16"/>
        </w:rPr>
        <w:t>并处违法所得二倍以上</w:t>
      </w:r>
      <w:r>
        <w:rPr>
          <w:rFonts w:ascii="FangSong" w:hAnsi="FangSong" w:eastAsia="FangSong" w:cs="FangSong"/>
          <w:sz w:val="30"/>
          <w:szCs w:val="30"/>
        </w:rPr>
        <w:t xml:space="preserve"> </w:t>
      </w:r>
      <w:r>
        <w:rPr>
          <w:rFonts w:ascii="FangSong" w:hAnsi="FangSong" w:eastAsia="FangSong" w:cs="FangSong"/>
          <w:sz w:val="30"/>
          <w:szCs w:val="30"/>
          <w:spacing w:val="17"/>
        </w:rPr>
        <w:t>十倍以下的罚款，违法所得不足一万元的，按一万元计算；对直接负责的主</w:t>
      </w:r>
      <w:r>
        <w:rPr>
          <w:rFonts w:ascii="FangSong" w:hAnsi="FangSong" w:eastAsia="FangSong" w:cs="FangSong"/>
          <w:sz w:val="30"/>
          <w:szCs w:val="30"/>
          <w:spacing w:val="16"/>
        </w:rPr>
        <w:t>管人员和其他直接责任人</w:t>
      </w:r>
      <w:r>
        <w:rPr>
          <w:rFonts w:ascii="FangSong" w:hAnsi="FangSong" w:eastAsia="FangSong" w:cs="FangSong"/>
          <w:sz w:val="30"/>
          <w:szCs w:val="30"/>
        </w:rPr>
        <w:t xml:space="preserve"> </w:t>
      </w:r>
      <w:r>
        <w:rPr>
          <w:rFonts w:ascii="FangSong" w:hAnsi="FangSong" w:eastAsia="FangSong" w:cs="FangSong"/>
          <w:sz w:val="30"/>
          <w:szCs w:val="30"/>
          <w:spacing w:val="2"/>
        </w:rPr>
        <w:t>员依法给予处分：</w:t>
      </w:r>
    </w:p>
    <w:p>
      <w:pPr>
        <w:ind w:left="894"/>
        <w:spacing w:before="21" w:line="222" w:lineRule="auto"/>
        <w:rPr>
          <w:rFonts w:ascii="FangSong" w:hAnsi="FangSong" w:eastAsia="FangSong" w:cs="FangSong"/>
          <w:sz w:val="30"/>
          <w:szCs w:val="30"/>
        </w:rPr>
      </w:pPr>
      <w:r>
        <w:rPr>
          <w:rFonts w:ascii="FangSong" w:hAnsi="FangSong" w:eastAsia="FangSong" w:cs="FangSong"/>
          <w:sz w:val="30"/>
          <w:szCs w:val="30"/>
          <w:spacing w:val="22"/>
        </w:rPr>
        <w:t>(一)政府举办的医疗卫生机构与其他组织投资设立非独立法人资格的医疗卫生机构；</w:t>
      </w:r>
    </w:p>
    <w:p>
      <w:pPr>
        <w:pStyle w:val="BodyText"/>
        <w:spacing w:line="406" w:lineRule="auto"/>
        <w:rPr/>
      </w:pPr>
      <w:r/>
    </w:p>
    <w:p>
      <w:pPr>
        <w:ind w:left="6528"/>
        <w:spacing w:before="91"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3"/>
        <w:gridCol w:w="5616"/>
        <w:gridCol w:w="7120"/>
      </w:tblGrid>
      <w:tr>
        <w:trPr>
          <w:trHeight w:val="414" w:hRule="atLeast"/>
        </w:trPr>
        <w:tc>
          <w:tcPr>
            <w:tcW w:w="1413" w:type="dxa"/>
            <w:vAlign w:val="top"/>
          </w:tcPr>
          <w:p>
            <w:pPr>
              <w:pStyle w:val="TableText"/>
              <w:ind w:left="198"/>
              <w:spacing w:before="82" w:line="220" w:lineRule="auto"/>
              <w:rPr>
                <w:sz w:val="25"/>
                <w:szCs w:val="25"/>
              </w:rPr>
            </w:pPr>
            <w:r>
              <w:rPr>
                <w:sz w:val="25"/>
                <w:szCs w:val="25"/>
                <w:b/>
                <w:bCs/>
                <w:spacing w:val="-5"/>
              </w:rPr>
              <w:t>违法程度</w:t>
            </w:r>
          </w:p>
        </w:tc>
        <w:tc>
          <w:tcPr>
            <w:tcW w:w="5616" w:type="dxa"/>
            <w:vAlign w:val="top"/>
          </w:tcPr>
          <w:p>
            <w:pPr>
              <w:pStyle w:val="TableText"/>
              <w:ind w:left="2305"/>
              <w:spacing w:before="82" w:line="220" w:lineRule="auto"/>
              <w:rPr>
                <w:sz w:val="25"/>
                <w:szCs w:val="25"/>
              </w:rPr>
            </w:pPr>
            <w:r>
              <w:rPr>
                <w:sz w:val="25"/>
                <w:szCs w:val="25"/>
                <w:b/>
                <w:bCs/>
                <w:spacing w:val="-5"/>
              </w:rPr>
              <w:t>违法后果</w:t>
            </w:r>
          </w:p>
        </w:tc>
        <w:tc>
          <w:tcPr>
            <w:tcW w:w="7120" w:type="dxa"/>
            <w:vAlign w:val="top"/>
          </w:tcPr>
          <w:p>
            <w:pPr>
              <w:pStyle w:val="TableText"/>
              <w:ind w:left="3059"/>
              <w:spacing w:before="79" w:line="218" w:lineRule="auto"/>
              <w:rPr>
                <w:sz w:val="25"/>
                <w:szCs w:val="25"/>
              </w:rPr>
            </w:pPr>
            <w:r>
              <w:rPr>
                <w:sz w:val="25"/>
                <w:szCs w:val="25"/>
                <w:b/>
                <w:bCs/>
                <w:spacing w:val="-5"/>
              </w:rPr>
              <w:t>裁量幅度</w:t>
            </w:r>
          </w:p>
        </w:tc>
      </w:tr>
      <w:tr>
        <w:trPr>
          <w:trHeight w:val="1326" w:hRule="atLeast"/>
        </w:trPr>
        <w:tc>
          <w:tcPr>
            <w:tcW w:w="1413" w:type="dxa"/>
            <w:vAlign w:val="top"/>
          </w:tcPr>
          <w:p>
            <w:pPr>
              <w:spacing w:line="455" w:lineRule="auto"/>
              <w:rPr>
                <w:rFonts w:ascii="Arial"/>
                <w:sz w:val="21"/>
              </w:rPr>
            </w:pPr>
            <w:r/>
          </w:p>
          <w:p>
            <w:pPr>
              <w:pStyle w:val="TableText"/>
              <w:ind w:left="448"/>
              <w:spacing w:before="81" w:line="221" w:lineRule="auto"/>
              <w:rPr>
                <w:sz w:val="25"/>
                <w:szCs w:val="25"/>
              </w:rPr>
            </w:pPr>
            <w:r>
              <w:rPr>
                <w:sz w:val="25"/>
                <w:szCs w:val="25"/>
                <w:b/>
                <w:bCs/>
                <w:spacing w:val="-10"/>
              </w:rPr>
              <w:t>一般</w:t>
            </w:r>
          </w:p>
        </w:tc>
        <w:tc>
          <w:tcPr>
            <w:tcW w:w="5616" w:type="dxa"/>
            <w:vAlign w:val="top"/>
          </w:tcPr>
          <w:p>
            <w:pPr>
              <w:spacing w:line="286" w:lineRule="auto"/>
              <w:rPr>
                <w:rFonts w:ascii="Arial"/>
                <w:sz w:val="21"/>
              </w:rPr>
            </w:pPr>
            <w:r/>
          </w:p>
          <w:p>
            <w:pPr>
              <w:pStyle w:val="TableText"/>
              <w:ind w:left="121" w:right="40" w:hanging="70"/>
              <w:spacing w:before="81" w:line="327" w:lineRule="auto"/>
              <w:rPr>
                <w:sz w:val="25"/>
                <w:szCs w:val="25"/>
              </w:rPr>
            </w:pPr>
            <w:r>
              <w:rPr>
                <w:sz w:val="25"/>
                <w:szCs w:val="25"/>
              </w:rPr>
              <w:t>政府举办的医疗卫生机构与其他组织投资设立非独</w:t>
            </w:r>
            <w:r>
              <w:rPr>
                <w:sz w:val="25"/>
                <w:szCs w:val="25"/>
                <w:spacing w:val="12"/>
              </w:rPr>
              <w:t xml:space="preserve"> </w:t>
            </w:r>
            <w:r>
              <w:rPr>
                <w:sz w:val="25"/>
                <w:szCs w:val="25"/>
                <w:spacing w:val="1"/>
              </w:rPr>
              <w:t>立法人资格的医疗卫生机构，首次发现的</w:t>
            </w:r>
          </w:p>
        </w:tc>
        <w:tc>
          <w:tcPr>
            <w:tcW w:w="7120" w:type="dxa"/>
            <w:vAlign w:val="top"/>
          </w:tcPr>
          <w:p>
            <w:pPr>
              <w:pStyle w:val="TableText"/>
              <w:ind w:left="15"/>
              <w:spacing w:before="162" w:line="284" w:lineRule="auto"/>
              <w:jc w:val="both"/>
              <w:rPr>
                <w:sz w:val="25"/>
                <w:szCs w:val="25"/>
              </w:rPr>
            </w:pPr>
            <w:r>
              <w:rPr>
                <w:sz w:val="25"/>
                <w:szCs w:val="25"/>
                <w:spacing w:val="-6"/>
              </w:rPr>
              <w:t>由县级以上人民政府卫生健康主管部门责令改正，没收违法所得，</w:t>
            </w:r>
            <w:r>
              <w:rPr>
                <w:sz w:val="25"/>
                <w:szCs w:val="25"/>
                <w:spacing w:val="17"/>
              </w:rPr>
              <w:t xml:space="preserve"> </w:t>
            </w:r>
            <w:r>
              <w:rPr>
                <w:sz w:val="25"/>
                <w:szCs w:val="25"/>
                <w:spacing w:val="-6"/>
              </w:rPr>
              <w:t>并处违法所得二倍以上四倍以下的罚款，违法所得不足一万元的，</w:t>
            </w:r>
            <w:r>
              <w:rPr>
                <w:sz w:val="25"/>
                <w:szCs w:val="25"/>
                <w:spacing w:val="17"/>
              </w:rPr>
              <w:t xml:space="preserve"> </w:t>
            </w:r>
            <w:r>
              <w:rPr>
                <w:sz w:val="25"/>
                <w:szCs w:val="25"/>
                <w:spacing w:val="10"/>
              </w:rPr>
              <w:t>按一万元计算</w:t>
            </w:r>
          </w:p>
        </w:tc>
      </w:tr>
      <w:tr>
        <w:trPr>
          <w:trHeight w:val="1700" w:hRule="atLeast"/>
        </w:trPr>
        <w:tc>
          <w:tcPr>
            <w:tcW w:w="1413" w:type="dxa"/>
            <w:vAlign w:val="top"/>
          </w:tcPr>
          <w:p>
            <w:pPr>
              <w:spacing w:line="324" w:lineRule="auto"/>
              <w:rPr>
                <w:rFonts w:ascii="Arial"/>
                <w:sz w:val="21"/>
              </w:rPr>
            </w:pPr>
            <w:r/>
          </w:p>
          <w:p>
            <w:pPr>
              <w:spacing w:line="325" w:lineRule="auto"/>
              <w:rPr>
                <w:rFonts w:ascii="Arial"/>
                <w:sz w:val="21"/>
              </w:rPr>
            </w:pPr>
            <w:r/>
          </w:p>
          <w:p>
            <w:pPr>
              <w:pStyle w:val="TableText"/>
              <w:ind w:left="448"/>
              <w:spacing w:before="82" w:line="221" w:lineRule="auto"/>
              <w:rPr>
                <w:sz w:val="25"/>
                <w:szCs w:val="25"/>
              </w:rPr>
            </w:pPr>
            <w:r>
              <w:rPr>
                <w:sz w:val="25"/>
                <w:szCs w:val="25"/>
                <w:b/>
                <w:bCs/>
                <w:spacing w:val="-6"/>
              </w:rPr>
              <w:t>较重</w:t>
            </w:r>
          </w:p>
        </w:tc>
        <w:tc>
          <w:tcPr>
            <w:tcW w:w="5616" w:type="dxa"/>
            <w:vAlign w:val="top"/>
          </w:tcPr>
          <w:p>
            <w:pPr>
              <w:spacing w:line="262" w:lineRule="auto"/>
              <w:rPr>
                <w:rFonts w:ascii="Arial"/>
                <w:sz w:val="21"/>
              </w:rPr>
            </w:pPr>
            <w:r/>
          </w:p>
          <w:p>
            <w:pPr>
              <w:pStyle w:val="TableText"/>
              <w:ind w:left="51" w:right="40"/>
              <w:spacing w:before="81" w:line="331" w:lineRule="auto"/>
              <w:jc w:val="both"/>
              <w:rPr>
                <w:sz w:val="25"/>
                <w:szCs w:val="25"/>
              </w:rPr>
            </w:pPr>
            <w:r>
              <w:rPr>
                <w:sz w:val="25"/>
                <w:szCs w:val="25"/>
              </w:rPr>
              <w:t>政府举办的医疗卫生机构与其他组织投资设立非独</w:t>
            </w:r>
            <w:r>
              <w:rPr>
                <w:sz w:val="25"/>
                <w:szCs w:val="25"/>
                <w:spacing w:val="12"/>
              </w:rPr>
              <w:t xml:space="preserve"> </w:t>
            </w:r>
            <w:r>
              <w:rPr>
                <w:sz w:val="25"/>
                <w:szCs w:val="25"/>
              </w:rPr>
              <w:t>立法人资格的医疗卫生机构，经处罚再次发现有该</w:t>
            </w:r>
            <w:r>
              <w:rPr>
                <w:sz w:val="25"/>
                <w:szCs w:val="25"/>
                <w:spacing w:val="11"/>
              </w:rPr>
              <w:t xml:space="preserve"> </w:t>
            </w:r>
            <w:r>
              <w:rPr>
                <w:sz w:val="25"/>
                <w:szCs w:val="25"/>
                <w:spacing w:val="29"/>
              </w:rPr>
              <w:t>行为的</w:t>
            </w:r>
          </w:p>
        </w:tc>
        <w:tc>
          <w:tcPr>
            <w:tcW w:w="7120" w:type="dxa"/>
            <w:vAlign w:val="top"/>
          </w:tcPr>
          <w:p>
            <w:pPr>
              <w:spacing w:line="262" w:lineRule="auto"/>
              <w:rPr>
                <w:rFonts w:ascii="Arial"/>
                <w:sz w:val="21"/>
              </w:rPr>
            </w:pPr>
            <w:r/>
          </w:p>
          <w:p>
            <w:pPr>
              <w:pStyle w:val="TableText"/>
              <w:ind w:left="15"/>
              <w:spacing w:before="81" w:line="331" w:lineRule="auto"/>
              <w:jc w:val="both"/>
              <w:rPr>
                <w:sz w:val="25"/>
                <w:szCs w:val="25"/>
              </w:rPr>
            </w:pPr>
            <w:r>
              <w:rPr>
                <w:sz w:val="25"/>
                <w:szCs w:val="25"/>
                <w:spacing w:val="-6"/>
              </w:rPr>
              <w:t>由县级以上人民政府卫生健康主管部门责令改正，没收违法所得，</w:t>
            </w:r>
            <w:r>
              <w:rPr>
                <w:sz w:val="25"/>
                <w:szCs w:val="25"/>
                <w:spacing w:val="17"/>
              </w:rPr>
              <w:t xml:space="preserve"> </w:t>
            </w:r>
            <w:r>
              <w:rPr>
                <w:sz w:val="25"/>
                <w:szCs w:val="25"/>
                <w:spacing w:val="-6"/>
              </w:rPr>
              <w:t>并处违法所得五倍以上七倍以下的罚款，违法所得不足一万元的，</w:t>
            </w:r>
            <w:r>
              <w:rPr>
                <w:sz w:val="25"/>
                <w:szCs w:val="25"/>
                <w:spacing w:val="17"/>
              </w:rPr>
              <w:t xml:space="preserve"> </w:t>
            </w:r>
            <w:r>
              <w:rPr>
                <w:sz w:val="25"/>
                <w:szCs w:val="25"/>
                <w:spacing w:val="10"/>
              </w:rPr>
              <w:t>按一万元计算</w:t>
            </w:r>
          </w:p>
        </w:tc>
      </w:tr>
    </w:tbl>
    <w:p>
      <w:pPr>
        <w:pStyle w:val="BodyText"/>
        <w:rPr/>
      </w:pPr>
      <w:r/>
    </w:p>
    <w:p>
      <w:pPr>
        <w:sectPr>
          <w:footerReference w:type="default" r:id="rId239"/>
          <w:pgSz w:w="16830" w:h="11900"/>
          <w:pgMar w:top="1011" w:right="1344" w:bottom="1117" w:left="1325" w:header="0" w:footer="756" w:gutter="0"/>
        </w:sectPr>
        <w:rPr/>
      </w:pPr>
    </w:p>
    <w:p>
      <w:pPr>
        <w:spacing w:before="13"/>
        <w:rPr/>
      </w:pPr>
      <w:r/>
    </w:p>
    <w:p>
      <w:pPr>
        <w:spacing w:before="13"/>
        <w:rPr/>
      </w:pPr>
      <w:r/>
    </w:p>
    <w:p>
      <w:pPr>
        <w:spacing w:before="13"/>
        <w:rPr/>
      </w:pPr>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3"/>
        <w:gridCol w:w="5606"/>
        <w:gridCol w:w="7130"/>
      </w:tblGrid>
      <w:tr>
        <w:trPr>
          <w:trHeight w:val="1329" w:hRule="atLeast"/>
        </w:trPr>
        <w:tc>
          <w:tcPr>
            <w:tcW w:w="1423" w:type="dxa"/>
            <w:vAlign w:val="top"/>
          </w:tcPr>
          <w:p>
            <w:pPr>
              <w:spacing w:line="458" w:lineRule="auto"/>
              <w:rPr>
                <w:rFonts w:ascii="Arial"/>
                <w:sz w:val="21"/>
              </w:rPr>
            </w:pPr>
            <w:r/>
          </w:p>
          <w:p>
            <w:pPr>
              <w:pStyle w:val="TableText"/>
              <w:ind w:left="458"/>
              <w:spacing w:before="81" w:line="220" w:lineRule="auto"/>
              <w:outlineLvl w:val="1"/>
              <w:rPr>
                <w:sz w:val="25"/>
                <w:szCs w:val="25"/>
              </w:rPr>
            </w:pPr>
            <w:bookmarkStart w:name="bookmark890" w:id="240"/>
            <w:bookmarkEnd w:id="240"/>
            <w:bookmarkStart w:name="bookmark186" w:id="241"/>
            <w:bookmarkEnd w:id="241"/>
            <w:r>
              <w:rPr>
                <w:sz w:val="25"/>
                <w:szCs w:val="25"/>
                <w:b/>
                <w:bCs/>
                <w:spacing w:val="-6"/>
              </w:rPr>
              <w:t>严重</w:t>
            </w:r>
          </w:p>
        </w:tc>
        <w:tc>
          <w:tcPr>
            <w:tcW w:w="5606" w:type="dxa"/>
            <w:vAlign w:val="top"/>
          </w:tcPr>
          <w:p>
            <w:pPr>
              <w:spacing w:line="292" w:lineRule="auto"/>
              <w:rPr>
                <w:rFonts w:ascii="Arial"/>
                <w:sz w:val="21"/>
              </w:rPr>
            </w:pPr>
            <w:r/>
          </w:p>
          <w:p>
            <w:pPr>
              <w:pStyle w:val="TableText"/>
              <w:ind w:left="121"/>
              <w:spacing w:before="81" w:line="319" w:lineRule="auto"/>
              <w:rPr>
                <w:sz w:val="25"/>
                <w:szCs w:val="25"/>
              </w:rPr>
            </w:pPr>
            <w:r>
              <w:rPr>
                <w:sz w:val="25"/>
                <w:szCs w:val="25"/>
                <w:spacing w:val="-2"/>
              </w:rPr>
              <w:t>政府举办的医疗卫生机构与其他组织投资设立非独</w:t>
            </w:r>
            <w:r>
              <w:rPr>
                <w:sz w:val="25"/>
                <w:szCs w:val="25"/>
                <w:spacing w:val="17"/>
              </w:rPr>
              <w:t xml:space="preserve"> </w:t>
            </w:r>
            <w:r>
              <w:rPr>
                <w:sz w:val="25"/>
                <w:szCs w:val="25"/>
              </w:rPr>
              <w:t>立法人资格的医疗卫生机构，造成严重后果的</w:t>
            </w:r>
          </w:p>
        </w:tc>
        <w:tc>
          <w:tcPr>
            <w:tcW w:w="7130" w:type="dxa"/>
            <w:vAlign w:val="top"/>
          </w:tcPr>
          <w:p>
            <w:pPr>
              <w:pStyle w:val="TableText"/>
              <w:ind w:left="15"/>
              <w:spacing w:before="153" w:line="287" w:lineRule="auto"/>
              <w:jc w:val="both"/>
              <w:rPr>
                <w:sz w:val="25"/>
                <w:szCs w:val="25"/>
              </w:rPr>
            </w:pPr>
            <w:r>
              <w:rPr>
                <w:sz w:val="25"/>
                <w:szCs w:val="25"/>
                <w:spacing w:val="-5"/>
              </w:rPr>
              <w:t>由县级以上人民政府卫生健康主管部门责令改正，没收违法所</w:t>
            </w:r>
            <w:r>
              <w:rPr>
                <w:sz w:val="25"/>
                <w:szCs w:val="25"/>
                <w:spacing w:val="-6"/>
              </w:rPr>
              <w:t>得，</w:t>
            </w:r>
            <w:r>
              <w:rPr>
                <w:sz w:val="25"/>
                <w:szCs w:val="25"/>
              </w:rPr>
              <w:t xml:space="preserve"> </w:t>
            </w:r>
            <w:r>
              <w:rPr>
                <w:sz w:val="25"/>
                <w:szCs w:val="25"/>
                <w:spacing w:val="-5"/>
              </w:rPr>
              <w:t>并处违法所得八倍以上十倍以下的罚款，违法所得不足一万元</w:t>
            </w:r>
            <w:r>
              <w:rPr>
                <w:sz w:val="25"/>
                <w:szCs w:val="25"/>
                <w:spacing w:val="-6"/>
              </w:rPr>
              <w:t>的，</w:t>
            </w:r>
            <w:r>
              <w:rPr>
                <w:sz w:val="25"/>
                <w:szCs w:val="25"/>
              </w:rPr>
              <w:t xml:space="preserve"> </w:t>
            </w:r>
            <w:r>
              <w:rPr>
                <w:sz w:val="25"/>
                <w:szCs w:val="25"/>
                <w:spacing w:val="10"/>
              </w:rPr>
              <w:t>按一万元计算</w:t>
            </w:r>
          </w:p>
        </w:tc>
      </w:tr>
    </w:tbl>
    <w:p>
      <w:pPr>
        <w:pStyle w:val="BodyText"/>
        <w:spacing w:line="243" w:lineRule="auto"/>
        <w:rPr/>
      </w:pPr>
      <w:r/>
    </w:p>
    <w:p>
      <w:pPr>
        <w:pStyle w:val="BodyText"/>
        <w:spacing w:line="243" w:lineRule="auto"/>
        <w:rPr/>
      </w:pPr>
      <w:r/>
    </w:p>
    <w:p>
      <w:pPr>
        <w:ind w:left="77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第一百六十九条医疗卫生机构对外出租、承包医疗科室的</w:t>
      </w:r>
    </w:p>
    <w:p>
      <w:pPr>
        <w:ind w:left="744"/>
        <w:spacing w:before="110" w:line="222" w:lineRule="auto"/>
        <w:rPr>
          <w:rFonts w:ascii="FangSong" w:hAnsi="FangSong" w:eastAsia="FangSong" w:cs="FangSong"/>
          <w:sz w:val="30"/>
          <w:szCs w:val="30"/>
        </w:rPr>
      </w:pPr>
      <w:r>
        <w:rPr>
          <w:rFonts w:ascii="FangSong" w:hAnsi="FangSong" w:eastAsia="FangSong" w:cs="FangSong"/>
          <w:sz w:val="30"/>
          <w:szCs w:val="30"/>
          <w:spacing w:val="6"/>
        </w:rPr>
        <w:t>法律依据：</w:t>
      </w:r>
    </w:p>
    <w:p>
      <w:pPr>
        <w:ind w:left="124" w:right="113" w:firstLine="619"/>
        <w:spacing w:before="66" w:line="266" w:lineRule="auto"/>
        <w:jc w:val="both"/>
        <w:rPr>
          <w:rFonts w:ascii="FangSong" w:hAnsi="FangSong" w:eastAsia="FangSong" w:cs="FangSong"/>
          <w:sz w:val="30"/>
          <w:szCs w:val="30"/>
        </w:rPr>
      </w:pPr>
      <w:r>
        <w:rPr>
          <w:rFonts w:ascii="FangSong" w:hAnsi="FangSong" w:eastAsia="FangSong" w:cs="FangSong"/>
          <w:sz w:val="30"/>
          <w:szCs w:val="30"/>
          <w:spacing w:val="24"/>
        </w:rPr>
        <w:t>《中华人民共和国基本医疗卫生与健康促进法》</w:t>
      </w:r>
      <w:r>
        <w:rPr>
          <w:rFonts w:ascii="FangSong" w:hAnsi="FangSong" w:eastAsia="FangSong" w:cs="FangSong"/>
          <w:sz w:val="30"/>
          <w:szCs w:val="30"/>
          <w:spacing w:val="23"/>
        </w:rPr>
        <w:t>第一百条第(二)项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违反本法规定，有下列行</w:t>
      </w:r>
      <w:r>
        <w:rPr>
          <w:rFonts w:ascii="FangSong" w:hAnsi="FangSong" w:eastAsia="FangSong" w:cs="FangSong"/>
          <w:sz w:val="30"/>
          <w:szCs w:val="30"/>
        </w:rPr>
        <w:t xml:space="preserve"> </w:t>
      </w:r>
      <w:r>
        <w:rPr>
          <w:rFonts w:ascii="FangSong" w:hAnsi="FangSong" w:eastAsia="FangSong" w:cs="FangSong"/>
          <w:sz w:val="30"/>
          <w:szCs w:val="30"/>
          <w:spacing w:val="17"/>
        </w:rPr>
        <w:t>为之一的，由县级以上人民政府卫生健康主管部门责令</w:t>
      </w:r>
      <w:r>
        <w:rPr>
          <w:rFonts w:ascii="FangSong" w:hAnsi="FangSong" w:eastAsia="FangSong" w:cs="FangSong"/>
          <w:sz w:val="30"/>
          <w:szCs w:val="30"/>
          <w:spacing w:val="16"/>
        </w:rPr>
        <w:t>改正，没收违法所得，并处违法所得二倍以上</w:t>
      </w:r>
      <w:r>
        <w:rPr>
          <w:rFonts w:ascii="FangSong" w:hAnsi="FangSong" w:eastAsia="FangSong" w:cs="FangSong"/>
          <w:sz w:val="30"/>
          <w:szCs w:val="30"/>
        </w:rPr>
        <w:t xml:space="preserve"> </w:t>
      </w:r>
      <w:r>
        <w:rPr>
          <w:rFonts w:ascii="FangSong" w:hAnsi="FangSong" w:eastAsia="FangSong" w:cs="FangSong"/>
          <w:sz w:val="30"/>
          <w:szCs w:val="30"/>
          <w:spacing w:val="17"/>
        </w:rPr>
        <w:t>十倍以下的罚款，违法所得不足一万元的，按一万元</w:t>
      </w:r>
      <w:r>
        <w:rPr>
          <w:rFonts w:ascii="FangSong" w:hAnsi="FangSong" w:eastAsia="FangSong" w:cs="FangSong"/>
          <w:sz w:val="30"/>
          <w:szCs w:val="30"/>
          <w:spacing w:val="16"/>
        </w:rPr>
        <w:t>计算；对直接负责的主管人员和其他直接责任人</w:t>
      </w:r>
      <w:r>
        <w:rPr>
          <w:rFonts w:ascii="FangSong" w:hAnsi="FangSong" w:eastAsia="FangSong" w:cs="FangSong"/>
          <w:sz w:val="30"/>
          <w:szCs w:val="30"/>
        </w:rPr>
        <w:t xml:space="preserve"> </w:t>
      </w:r>
      <w:r>
        <w:rPr>
          <w:rFonts w:ascii="FangSong" w:hAnsi="FangSong" w:eastAsia="FangSong" w:cs="FangSong"/>
          <w:sz w:val="30"/>
          <w:szCs w:val="30"/>
          <w:spacing w:val="7"/>
        </w:rPr>
        <w:t>员依法给予处分：</w:t>
      </w:r>
    </w:p>
    <w:p>
      <w:pPr>
        <w:ind w:left="894"/>
        <w:spacing w:before="30" w:line="222" w:lineRule="auto"/>
        <w:rPr>
          <w:rFonts w:ascii="FangSong" w:hAnsi="FangSong" w:eastAsia="FangSong" w:cs="FangSong"/>
          <w:sz w:val="30"/>
          <w:szCs w:val="30"/>
        </w:rPr>
      </w:pPr>
      <w:r>
        <w:rPr>
          <w:rFonts w:ascii="FangSong" w:hAnsi="FangSong" w:eastAsia="FangSong" w:cs="FangSong"/>
          <w:sz w:val="30"/>
          <w:szCs w:val="30"/>
          <w:spacing w:val="24"/>
        </w:rPr>
        <w:t>(二)医疗卫生机构对外出租、承包医疗科室；</w:t>
      </w:r>
    </w:p>
    <w:p>
      <w:pPr>
        <w:pStyle w:val="BodyText"/>
        <w:spacing w:line="383" w:lineRule="auto"/>
        <w:rPr/>
      </w:pPr>
      <w:r/>
    </w:p>
    <w:p>
      <w:pPr>
        <w:ind w:left="6529"/>
        <w:spacing w:before="95"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3"/>
        <w:gridCol w:w="5586"/>
        <w:gridCol w:w="7140"/>
      </w:tblGrid>
      <w:tr>
        <w:trPr>
          <w:trHeight w:val="453" w:hRule="atLeast"/>
        </w:trPr>
        <w:tc>
          <w:tcPr>
            <w:tcW w:w="1433" w:type="dxa"/>
            <w:vAlign w:val="top"/>
          </w:tcPr>
          <w:p>
            <w:pPr>
              <w:pStyle w:val="TableText"/>
              <w:ind w:left="208"/>
              <w:spacing w:before="102" w:line="220" w:lineRule="auto"/>
              <w:rPr>
                <w:sz w:val="25"/>
                <w:szCs w:val="25"/>
              </w:rPr>
            </w:pPr>
            <w:r>
              <w:rPr>
                <w:sz w:val="25"/>
                <w:szCs w:val="25"/>
                <w:b/>
                <w:bCs/>
                <w:spacing w:val="-5"/>
              </w:rPr>
              <w:t>违法程度</w:t>
            </w:r>
          </w:p>
        </w:tc>
        <w:tc>
          <w:tcPr>
            <w:tcW w:w="5586" w:type="dxa"/>
            <w:vAlign w:val="top"/>
          </w:tcPr>
          <w:p>
            <w:pPr>
              <w:pStyle w:val="TableText"/>
              <w:ind w:left="2285"/>
              <w:spacing w:before="102" w:line="220" w:lineRule="auto"/>
              <w:rPr>
                <w:sz w:val="25"/>
                <w:szCs w:val="25"/>
              </w:rPr>
            </w:pPr>
            <w:r>
              <w:rPr>
                <w:sz w:val="25"/>
                <w:szCs w:val="25"/>
                <w:b/>
                <w:bCs/>
                <w:spacing w:val="-5"/>
              </w:rPr>
              <w:t>违法后果</w:t>
            </w:r>
          </w:p>
        </w:tc>
        <w:tc>
          <w:tcPr>
            <w:tcW w:w="7140" w:type="dxa"/>
            <w:vAlign w:val="top"/>
          </w:tcPr>
          <w:p>
            <w:pPr>
              <w:pStyle w:val="TableText"/>
              <w:ind w:left="3069"/>
              <w:spacing w:before="99" w:line="218" w:lineRule="auto"/>
              <w:rPr>
                <w:sz w:val="25"/>
                <w:szCs w:val="25"/>
              </w:rPr>
            </w:pPr>
            <w:r>
              <w:rPr>
                <w:sz w:val="25"/>
                <w:szCs w:val="25"/>
                <w:b/>
                <w:bCs/>
                <w:spacing w:val="-5"/>
              </w:rPr>
              <w:t>裁量幅度</w:t>
            </w:r>
          </w:p>
        </w:tc>
      </w:tr>
      <w:tr>
        <w:trPr>
          <w:trHeight w:val="1737" w:hRule="atLeast"/>
        </w:trPr>
        <w:tc>
          <w:tcPr>
            <w:tcW w:w="1433" w:type="dxa"/>
            <w:vAlign w:val="top"/>
          </w:tcPr>
          <w:p>
            <w:pPr>
              <w:spacing w:line="332" w:lineRule="auto"/>
              <w:rPr>
                <w:rFonts w:ascii="Arial"/>
                <w:sz w:val="21"/>
              </w:rPr>
            </w:pPr>
            <w:r/>
          </w:p>
          <w:p>
            <w:pPr>
              <w:spacing w:line="332" w:lineRule="auto"/>
              <w:rPr>
                <w:rFonts w:ascii="Arial"/>
                <w:sz w:val="21"/>
              </w:rPr>
            </w:pPr>
            <w:r/>
          </w:p>
          <w:p>
            <w:pPr>
              <w:pStyle w:val="TableText"/>
              <w:ind w:left="458"/>
              <w:spacing w:before="82" w:line="221" w:lineRule="auto"/>
              <w:rPr>
                <w:sz w:val="25"/>
                <w:szCs w:val="25"/>
              </w:rPr>
            </w:pPr>
            <w:r>
              <w:rPr>
                <w:sz w:val="25"/>
                <w:szCs w:val="25"/>
                <w:b/>
                <w:bCs/>
                <w:spacing w:val="-10"/>
              </w:rPr>
              <w:t>一般</w:t>
            </w:r>
          </w:p>
        </w:tc>
        <w:tc>
          <w:tcPr>
            <w:tcW w:w="5586" w:type="dxa"/>
            <w:vAlign w:val="top"/>
          </w:tcPr>
          <w:p>
            <w:pPr>
              <w:spacing w:line="246" w:lineRule="auto"/>
              <w:rPr>
                <w:rFonts w:ascii="Arial"/>
                <w:sz w:val="21"/>
              </w:rPr>
            </w:pPr>
            <w:r/>
          </w:p>
          <w:p>
            <w:pPr>
              <w:spacing w:line="246" w:lineRule="auto"/>
              <w:rPr>
                <w:rFonts w:ascii="Arial"/>
                <w:sz w:val="21"/>
              </w:rPr>
            </w:pPr>
            <w:r/>
          </w:p>
          <w:p>
            <w:pPr>
              <w:pStyle w:val="TableText"/>
              <w:ind w:left="35"/>
              <w:spacing w:before="82" w:line="219" w:lineRule="auto"/>
              <w:rPr>
                <w:sz w:val="25"/>
                <w:szCs w:val="25"/>
              </w:rPr>
            </w:pPr>
            <w:r>
              <w:rPr>
                <w:sz w:val="25"/>
                <w:szCs w:val="25"/>
                <w:b/>
                <w:bCs/>
                <w:spacing w:val="-3"/>
              </w:rPr>
              <w:t>医疗卫生机构对外出租、承包医疗科室，首次发现</w:t>
            </w:r>
          </w:p>
          <w:p>
            <w:pPr>
              <w:pStyle w:val="TableText"/>
              <w:ind w:left="115"/>
              <w:spacing w:before="148" w:line="222" w:lineRule="auto"/>
              <w:rPr>
                <w:sz w:val="25"/>
                <w:szCs w:val="25"/>
              </w:rPr>
            </w:pPr>
            <w:r>
              <w:rPr>
                <w:sz w:val="25"/>
                <w:szCs w:val="25"/>
                <w:b/>
                <w:bCs/>
                <w:color w:val="406060"/>
                <w:spacing w:val="-3"/>
              </w:rPr>
              <w:t>的</w:t>
            </w:r>
          </w:p>
        </w:tc>
        <w:tc>
          <w:tcPr>
            <w:tcW w:w="7140" w:type="dxa"/>
            <w:vAlign w:val="top"/>
          </w:tcPr>
          <w:p>
            <w:pPr>
              <w:spacing w:line="273" w:lineRule="auto"/>
              <w:rPr>
                <w:rFonts w:ascii="Arial"/>
                <w:sz w:val="21"/>
              </w:rPr>
            </w:pPr>
            <w:r/>
          </w:p>
          <w:p>
            <w:pPr>
              <w:pStyle w:val="TableText"/>
              <w:ind w:left="19"/>
              <w:spacing w:before="81" w:line="327" w:lineRule="auto"/>
              <w:jc w:val="both"/>
              <w:rPr>
                <w:sz w:val="25"/>
                <w:szCs w:val="25"/>
              </w:rPr>
            </w:pPr>
            <w:r>
              <w:rPr>
                <w:sz w:val="25"/>
                <w:szCs w:val="25"/>
                <w:b/>
                <w:bCs/>
                <w:spacing w:val="-8"/>
              </w:rPr>
              <w:t>由县级以上人民政府卫生健康主管部门责令改正，没收违法所得，</w:t>
            </w:r>
            <w:r>
              <w:rPr>
                <w:sz w:val="25"/>
                <w:szCs w:val="25"/>
                <w:spacing w:val="15"/>
              </w:rPr>
              <w:t xml:space="preserve"> </w:t>
            </w:r>
            <w:r>
              <w:rPr>
                <w:sz w:val="25"/>
                <w:szCs w:val="25"/>
                <w:b/>
                <w:bCs/>
                <w:spacing w:val="-8"/>
              </w:rPr>
              <w:t>并处违法所得二倍以上四倍以下的罚款，违法所得不足一万元的，</w:t>
            </w:r>
            <w:r>
              <w:rPr>
                <w:sz w:val="25"/>
                <w:szCs w:val="25"/>
                <w:spacing w:val="15"/>
              </w:rPr>
              <w:t xml:space="preserve"> </w:t>
            </w:r>
            <w:r>
              <w:rPr>
                <w:sz w:val="25"/>
                <w:szCs w:val="25"/>
                <w:b/>
                <w:bCs/>
                <w:spacing w:val="6"/>
              </w:rPr>
              <w:t>按一万元计算</w:t>
            </w:r>
          </w:p>
        </w:tc>
      </w:tr>
    </w:tbl>
    <w:p>
      <w:pPr>
        <w:pStyle w:val="BodyText"/>
        <w:spacing w:before="1"/>
        <w:rPr/>
      </w:pPr>
      <w:r/>
    </w:p>
    <w:p>
      <w:pPr>
        <w:sectPr>
          <w:footerReference w:type="default" r:id="rId240"/>
          <w:pgSz w:w="16830" w:h="11900"/>
          <w:pgMar w:top="1011" w:right="1335" w:bottom="1130" w:left="1325" w:header="0" w:footer="806" w:gutter="0"/>
        </w:sectPr>
        <w:rPr/>
      </w:pPr>
    </w:p>
    <w:p>
      <w:pPr>
        <w:spacing w:before="20"/>
        <w:rPr/>
      </w:pPr>
      <w:r/>
    </w:p>
    <w:p>
      <w:pPr>
        <w:spacing w:before="20"/>
        <w:rPr/>
      </w:pPr>
      <w:r/>
    </w:p>
    <w:p>
      <w:pPr>
        <w:spacing w:before="19"/>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5596"/>
        <w:gridCol w:w="7130"/>
      </w:tblGrid>
      <w:tr>
        <w:trPr>
          <w:trHeight w:val="1320" w:hRule="atLeast"/>
        </w:trPr>
        <w:tc>
          <w:tcPr>
            <w:tcW w:w="1444" w:type="dxa"/>
            <w:vAlign w:val="top"/>
          </w:tcPr>
          <w:p>
            <w:pPr>
              <w:spacing w:line="461" w:lineRule="auto"/>
              <w:rPr>
                <w:rFonts w:ascii="Arial"/>
                <w:sz w:val="21"/>
              </w:rPr>
            </w:pPr>
            <w:r/>
          </w:p>
          <w:p>
            <w:pPr>
              <w:pStyle w:val="TableText"/>
              <w:ind w:left="468"/>
              <w:spacing w:before="81" w:line="221" w:lineRule="auto"/>
              <w:rPr>
                <w:sz w:val="25"/>
                <w:szCs w:val="25"/>
              </w:rPr>
            </w:pPr>
            <w:bookmarkStart w:name="bookmark891" w:id="242"/>
            <w:bookmarkEnd w:id="242"/>
            <w:r>
              <w:rPr>
                <w:sz w:val="25"/>
                <w:szCs w:val="25"/>
                <w:b/>
                <w:bCs/>
                <w:spacing w:val="-6"/>
              </w:rPr>
              <w:t>较重</w:t>
            </w:r>
          </w:p>
        </w:tc>
        <w:tc>
          <w:tcPr>
            <w:tcW w:w="5596" w:type="dxa"/>
            <w:vAlign w:val="top"/>
          </w:tcPr>
          <w:p>
            <w:pPr>
              <w:spacing w:line="281" w:lineRule="auto"/>
              <w:rPr>
                <w:rFonts w:ascii="Arial"/>
                <w:sz w:val="21"/>
              </w:rPr>
            </w:pPr>
            <w:r/>
          </w:p>
          <w:p>
            <w:pPr>
              <w:pStyle w:val="TableText"/>
              <w:ind w:left="101" w:right="6"/>
              <w:spacing w:before="82" w:line="320" w:lineRule="auto"/>
              <w:rPr>
                <w:sz w:val="25"/>
                <w:szCs w:val="25"/>
              </w:rPr>
            </w:pPr>
            <w:r>
              <w:rPr>
                <w:sz w:val="25"/>
                <w:szCs w:val="25"/>
                <w:spacing w:val="-1"/>
              </w:rPr>
              <w:t>医疗卫生机构对外出租、承包医疗科室，经处罚再</w:t>
            </w:r>
            <w:r>
              <w:rPr>
                <w:sz w:val="25"/>
                <w:szCs w:val="25"/>
              </w:rPr>
              <w:t xml:space="preserve"> </w:t>
            </w:r>
            <w:r>
              <w:rPr>
                <w:sz w:val="25"/>
                <w:szCs w:val="25"/>
                <w:spacing w:val="2"/>
              </w:rPr>
              <w:t>次发现有该行为的</w:t>
            </w:r>
          </w:p>
        </w:tc>
        <w:tc>
          <w:tcPr>
            <w:tcW w:w="7130" w:type="dxa"/>
            <w:vAlign w:val="top"/>
          </w:tcPr>
          <w:p>
            <w:pPr>
              <w:pStyle w:val="TableText"/>
              <w:ind w:left="15"/>
              <w:spacing w:before="144" w:line="287" w:lineRule="auto"/>
              <w:jc w:val="both"/>
              <w:rPr>
                <w:sz w:val="25"/>
                <w:szCs w:val="25"/>
              </w:rPr>
            </w:pPr>
            <w:r>
              <w:rPr>
                <w:sz w:val="25"/>
                <w:szCs w:val="25"/>
                <w:spacing w:val="-5"/>
              </w:rPr>
              <w:t>由县级以上人民政府卫生健康主管部门责令改正，没收违法所</w:t>
            </w:r>
            <w:r>
              <w:rPr>
                <w:sz w:val="25"/>
                <w:szCs w:val="25"/>
                <w:spacing w:val="-6"/>
              </w:rPr>
              <w:t>得，</w:t>
            </w:r>
            <w:r>
              <w:rPr>
                <w:sz w:val="25"/>
                <w:szCs w:val="25"/>
              </w:rPr>
              <w:t xml:space="preserve"> </w:t>
            </w:r>
            <w:r>
              <w:rPr>
                <w:sz w:val="25"/>
                <w:szCs w:val="25"/>
                <w:spacing w:val="-5"/>
              </w:rPr>
              <w:t>并处违法所得五倍以上七倍以下的罚款，违法所得不足一万元</w:t>
            </w:r>
            <w:r>
              <w:rPr>
                <w:sz w:val="25"/>
                <w:szCs w:val="25"/>
                <w:spacing w:val="-6"/>
              </w:rPr>
              <w:t>的，</w:t>
            </w:r>
            <w:r>
              <w:rPr>
                <w:sz w:val="25"/>
                <w:szCs w:val="25"/>
              </w:rPr>
              <w:t xml:space="preserve"> </w:t>
            </w:r>
            <w:r>
              <w:rPr>
                <w:sz w:val="25"/>
                <w:szCs w:val="25"/>
                <w:spacing w:val="12"/>
              </w:rPr>
              <w:t>按一万元计算</w:t>
            </w:r>
          </w:p>
        </w:tc>
      </w:tr>
      <w:tr>
        <w:trPr>
          <w:trHeight w:val="1300" w:hRule="atLeast"/>
        </w:trPr>
        <w:tc>
          <w:tcPr>
            <w:tcW w:w="1444" w:type="dxa"/>
            <w:vAlign w:val="top"/>
          </w:tcPr>
          <w:p>
            <w:pPr>
              <w:spacing w:line="448" w:lineRule="auto"/>
              <w:rPr>
                <w:rFonts w:ascii="Arial"/>
                <w:sz w:val="21"/>
              </w:rPr>
            </w:pPr>
            <w:r/>
          </w:p>
          <w:p>
            <w:pPr>
              <w:pStyle w:val="TableText"/>
              <w:ind w:left="468"/>
              <w:spacing w:before="81" w:line="220" w:lineRule="auto"/>
              <w:rPr>
                <w:sz w:val="25"/>
                <w:szCs w:val="25"/>
              </w:rPr>
            </w:pPr>
            <w:r>
              <w:rPr>
                <w:sz w:val="25"/>
                <w:szCs w:val="25"/>
                <w:b/>
                <w:bCs/>
                <w:spacing w:val="-6"/>
              </w:rPr>
              <w:t>严重</w:t>
            </w:r>
          </w:p>
        </w:tc>
        <w:tc>
          <w:tcPr>
            <w:tcW w:w="5596" w:type="dxa"/>
            <w:vAlign w:val="top"/>
          </w:tcPr>
          <w:p>
            <w:pPr>
              <w:spacing w:line="290" w:lineRule="auto"/>
              <w:rPr>
                <w:rFonts w:ascii="Arial"/>
                <w:sz w:val="21"/>
              </w:rPr>
            </w:pPr>
            <w:r/>
          </w:p>
          <w:p>
            <w:pPr>
              <w:pStyle w:val="TableText"/>
              <w:ind w:left="101" w:right="6"/>
              <w:spacing w:before="81" w:line="329" w:lineRule="auto"/>
              <w:rPr>
                <w:sz w:val="25"/>
                <w:szCs w:val="25"/>
              </w:rPr>
            </w:pPr>
            <w:r>
              <w:rPr>
                <w:sz w:val="25"/>
                <w:szCs w:val="25"/>
                <w:spacing w:val="-1"/>
              </w:rPr>
              <w:t>医疗卫生机构对外出租、承包医疗科室，造成严重</w:t>
            </w:r>
            <w:r>
              <w:rPr>
                <w:sz w:val="25"/>
                <w:szCs w:val="25"/>
              </w:rPr>
              <w:t xml:space="preserve"> </w:t>
            </w:r>
            <w:r>
              <w:rPr>
                <w:sz w:val="25"/>
                <w:szCs w:val="25"/>
                <w:spacing w:val="6"/>
              </w:rPr>
              <w:t>后果的</w:t>
            </w:r>
          </w:p>
        </w:tc>
        <w:tc>
          <w:tcPr>
            <w:tcW w:w="7130" w:type="dxa"/>
            <w:vAlign w:val="top"/>
          </w:tcPr>
          <w:p>
            <w:pPr>
              <w:pStyle w:val="TableText"/>
              <w:ind w:left="15"/>
              <w:spacing w:before="164" w:line="277" w:lineRule="auto"/>
              <w:jc w:val="both"/>
              <w:rPr>
                <w:sz w:val="25"/>
                <w:szCs w:val="25"/>
              </w:rPr>
            </w:pPr>
            <w:r>
              <w:rPr>
                <w:sz w:val="25"/>
                <w:szCs w:val="25"/>
                <w:spacing w:val="-5"/>
              </w:rPr>
              <w:t>由县级以上人民政府卫生健康主管部门责令改正，没收违法所</w:t>
            </w:r>
            <w:r>
              <w:rPr>
                <w:sz w:val="25"/>
                <w:szCs w:val="25"/>
                <w:spacing w:val="-6"/>
              </w:rPr>
              <w:t>得，</w:t>
            </w:r>
            <w:r>
              <w:rPr>
                <w:sz w:val="25"/>
                <w:szCs w:val="25"/>
              </w:rPr>
              <w:t xml:space="preserve"> </w:t>
            </w:r>
            <w:r>
              <w:rPr>
                <w:sz w:val="25"/>
                <w:szCs w:val="25"/>
                <w:spacing w:val="-5"/>
              </w:rPr>
              <w:t>并处违法所得八倍以上十倍以下的罚款，违法所得不足一万元</w:t>
            </w:r>
            <w:r>
              <w:rPr>
                <w:sz w:val="25"/>
                <w:szCs w:val="25"/>
                <w:spacing w:val="-6"/>
              </w:rPr>
              <w:t>的，</w:t>
            </w:r>
            <w:r>
              <w:rPr>
                <w:sz w:val="25"/>
                <w:szCs w:val="25"/>
              </w:rPr>
              <w:t xml:space="preserve"> </w:t>
            </w:r>
            <w:r>
              <w:rPr>
                <w:sz w:val="25"/>
                <w:szCs w:val="25"/>
                <w:spacing w:val="12"/>
              </w:rPr>
              <w:t>按一万元计算</w:t>
            </w:r>
          </w:p>
        </w:tc>
      </w:tr>
    </w:tbl>
    <w:p>
      <w:pPr>
        <w:pStyle w:val="BodyText"/>
        <w:spacing w:line="253" w:lineRule="auto"/>
        <w:rPr/>
      </w:pPr>
      <w:r/>
    </w:p>
    <w:p>
      <w:pPr>
        <w:pStyle w:val="BodyText"/>
        <w:spacing w:line="253" w:lineRule="auto"/>
        <w:rPr/>
      </w:pPr>
      <w:r/>
    </w:p>
    <w:p>
      <w:pPr>
        <w:ind w:left="76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第一百七十条非营利性医疗卫生机构向出资人、举办者分配或者变相分配收益的</w:t>
      </w:r>
    </w:p>
    <w:p>
      <w:pPr>
        <w:ind w:left="924"/>
        <w:spacing w:before="80" w:line="222" w:lineRule="auto"/>
        <w:rPr>
          <w:rFonts w:ascii="FangSong" w:hAnsi="FangSong" w:eastAsia="FangSong" w:cs="FangSong"/>
          <w:sz w:val="30"/>
          <w:szCs w:val="30"/>
        </w:rPr>
      </w:pPr>
      <w:r>
        <w:rPr>
          <w:rFonts w:ascii="FangSong" w:hAnsi="FangSong" w:eastAsia="FangSong" w:cs="FangSong"/>
          <w:sz w:val="30"/>
          <w:szCs w:val="30"/>
        </w:rPr>
        <w:t>法律依据：</w:t>
      </w:r>
    </w:p>
    <w:p>
      <w:pPr>
        <w:ind w:left="115" w:right="133" w:firstLine="629"/>
        <w:spacing w:before="86" w:line="266" w:lineRule="auto"/>
        <w:jc w:val="both"/>
        <w:rPr>
          <w:rFonts w:ascii="FangSong" w:hAnsi="FangSong" w:eastAsia="FangSong" w:cs="FangSong"/>
          <w:sz w:val="30"/>
          <w:szCs w:val="30"/>
        </w:rPr>
      </w:pPr>
      <w:r>
        <w:rPr>
          <w:rFonts w:ascii="FangSong" w:hAnsi="FangSong" w:eastAsia="FangSong" w:cs="FangSong"/>
          <w:sz w:val="30"/>
          <w:szCs w:val="30"/>
          <w:spacing w:val="23"/>
        </w:rPr>
        <w:t>《中华人民共和国基本医疗卫生与健康促进法》第一百条第(三)项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违反本法规定，有下列行</w:t>
      </w:r>
      <w:r>
        <w:rPr>
          <w:rFonts w:ascii="FangSong" w:hAnsi="FangSong" w:eastAsia="FangSong" w:cs="FangSong"/>
          <w:sz w:val="30"/>
          <w:szCs w:val="30"/>
          <w:spacing w:val="11"/>
        </w:rPr>
        <w:t xml:space="preserve"> </w:t>
      </w:r>
      <w:r>
        <w:rPr>
          <w:rFonts w:ascii="FangSong" w:hAnsi="FangSong" w:eastAsia="FangSong" w:cs="FangSong"/>
          <w:sz w:val="30"/>
          <w:szCs w:val="30"/>
          <w:spacing w:val="17"/>
        </w:rPr>
        <w:t>为之一的，由县级以上人民政府卫生健康主管部门责令</w:t>
      </w:r>
      <w:r>
        <w:rPr>
          <w:rFonts w:ascii="FangSong" w:hAnsi="FangSong" w:eastAsia="FangSong" w:cs="FangSong"/>
          <w:sz w:val="30"/>
          <w:szCs w:val="30"/>
          <w:spacing w:val="16"/>
        </w:rPr>
        <w:t>改正，没收违法所得，并处违法所得二倍以上</w:t>
      </w:r>
      <w:r>
        <w:rPr>
          <w:rFonts w:ascii="FangSong" w:hAnsi="FangSong" w:eastAsia="FangSong" w:cs="FangSong"/>
          <w:sz w:val="30"/>
          <w:szCs w:val="30"/>
        </w:rPr>
        <w:t xml:space="preserve"> </w:t>
      </w:r>
      <w:r>
        <w:rPr>
          <w:rFonts w:ascii="FangSong" w:hAnsi="FangSong" w:eastAsia="FangSong" w:cs="FangSong"/>
          <w:sz w:val="30"/>
          <w:szCs w:val="30"/>
          <w:spacing w:val="17"/>
        </w:rPr>
        <w:t>十倍以下的罚款，违法所得不足一万元的，按一万元</w:t>
      </w:r>
      <w:r>
        <w:rPr>
          <w:rFonts w:ascii="FangSong" w:hAnsi="FangSong" w:eastAsia="FangSong" w:cs="FangSong"/>
          <w:sz w:val="30"/>
          <w:szCs w:val="30"/>
          <w:spacing w:val="16"/>
        </w:rPr>
        <w:t>计算；对直接负责的主管人员和其他直接责任人</w:t>
      </w:r>
      <w:r>
        <w:rPr>
          <w:rFonts w:ascii="FangSong" w:hAnsi="FangSong" w:eastAsia="FangSong" w:cs="FangSong"/>
          <w:sz w:val="30"/>
          <w:szCs w:val="30"/>
        </w:rPr>
        <w:t xml:space="preserve"> </w:t>
      </w:r>
      <w:r>
        <w:rPr>
          <w:rFonts w:ascii="FangSong" w:hAnsi="FangSong" w:eastAsia="FangSong" w:cs="FangSong"/>
          <w:sz w:val="30"/>
          <w:szCs w:val="30"/>
          <w:spacing w:val="6"/>
        </w:rPr>
        <w:t>员依法给予处分：</w:t>
      </w:r>
    </w:p>
    <w:p>
      <w:pPr>
        <w:ind w:left="874"/>
        <w:spacing w:line="220" w:lineRule="auto"/>
        <w:rPr>
          <w:rFonts w:ascii="FangSong" w:hAnsi="FangSong" w:eastAsia="FangSong" w:cs="FangSong"/>
          <w:sz w:val="30"/>
          <w:szCs w:val="30"/>
        </w:rPr>
      </w:pPr>
      <w:r>
        <w:rPr>
          <w:rFonts w:ascii="FangSong" w:hAnsi="FangSong" w:eastAsia="FangSong" w:cs="FangSong"/>
          <w:sz w:val="30"/>
          <w:szCs w:val="30"/>
          <w:spacing w:val="23"/>
        </w:rPr>
        <w:t>(三)非营利性医疗卫生机构向出资人举办者分配或者变相分配收益。</w:t>
      </w:r>
    </w:p>
    <w:p>
      <w:pPr>
        <w:pStyle w:val="BodyText"/>
        <w:spacing w:line="431" w:lineRule="auto"/>
        <w:rPr/>
      </w:pPr>
      <w:r/>
    </w:p>
    <w:p>
      <w:pPr>
        <w:ind w:left="6519"/>
        <w:spacing w:before="91"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5596"/>
        <w:gridCol w:w="7130"/>
      </w:tblGrid>
      <w:tr>
        <w:trPr>
          <w:trHeight w:val="959" w:hRule="atLeast"/>
        </w:trPr>
        <w:tc>
          <w:tcPr>
            <w:tcW w:w="1444" w:type="dxa"/>
            <w:vAlign w:val="top"/>
          </w:tcPr>
          <w:p>
            <w:pPr>
              <w:spacing w:line="247" w:lineRule="auto"/>
              <w:rPr>
                <w:rFonts w:ascii="Arial"/>
                <w:sz w:val="21"/>
              </w:rPr>
            </w:pPr>
            <w:r/>
          </w:p>
          <w:p>
            <w:pPr>
              <w:pStyle w:val="TableText"/>
              <w:ind w:left="139"/>
              <w:spacing w:before="95" w:line="220" w:lineRule="auto"/>
              <w:rPr>
                <w:sz w:val="29"/>
                <w:szCs w:val="29"/>
              </w:rPr>
            </w:pPr>
            <w:r>
              <w:rPr>
                <w:sz w:val="29"/>
                <w:szCs w:val="29"/>
                <w:b/>
                <w:bCs/>
                <w:spacing w:val="-1"/>
              </w:rPr>
              <w:t>违法程度</w:t>
            </w:r>
          </w:p>
        </w:tc>
        <w:tc>
          <w:tcPr>
            <w:tcW w:w="5596" w:type="dxa"/>
            <w:vAlign w:val="top"/>
          </w:tcPr>
          <w:p>
            <w:pPr>
              <w:spacing w:line="247" w:lineRule="auto"/>
              <w:rPr>
                <w:rFonts w:ascii="Arial"/>
                <w:sz w:val="21"/>
              </w:rPr>
            </w:pPr>
            <w:r/>
          </w:p>
          <w:p>
            <w:pPr>
              <w:pStyle w:val="TableText"/>
              <w:ind w:left="2225"/>
              <w:spacing w:before="95" w:line="220" w:lineRule="auto"/>
              <w:rPr>
                <w:sz w:val="29"/>
                <w:szCs w:val="29"/>
              </w:rPr>
            </w:pPr>
            <w:r>
              <w:rPr>
                <w:sz w:val="29"/>
                <w:szCs w:val="29"/>
                <w:b/>
                <w:bCs/>
                <w:spacing w:val="-1"/>
              </w:rPr>
              <w:t>违法后果</w:t>
            </w:r>
          </w:p>
        </w:tc>
        <w:tc>
          <w:tcPr>
            <w:tcW w:w="7130" w:type="dxa"/>
            <w:vAlign w:val="top"/>
          </w:tcPr>
          <w:p>
            <w:pPr>
              <w:spacing w:line="244" w:lineRule="auto"/>
              <w:rPr>
                <w:rFonts w:ascii="Arial"/>
                <w:sz w:val="21"/>
              </w:rPr>
            </w:pPr>
            <w:r/>
          </w:p>
          <w:p>
            <w:pPr>
              <w:pStyle w:val="TableText"/>
              <w:ind w:left="2999"/>
              <w:spacing w:before="94" w:line="218" w:lineRule="auto"/>
              <w:rPr>
                <w:sz w:val="29"/>
                <w:szCs w:val="29"/>
              </w:rPr>
            </w:pPr>
            <w:r>
              <w:rPr>
                <w:sz w:val="29"/>
                <w:szCs w:val="29"/>
                <w:b/>
                <w:bCs/>
                <w:spacing w:val="-1"/>
              </w:rPr>
              <w:t>裁量幅度</w:t>
            </w:r>
          </w:p>
        </w:tc>
      </w:tr>
    </w:tbl>
    <w:p>
      <w:pPr>
        <w:pStyle w:val="BodyText"/>
        <w:rPr/>
      </w:pPr>
      <w:r/>
    </w:p>
    <w:p>
      <w:pPr>
        <w:sectPr>
          <w:footerReference w:type="default" r:id="rId241"/>
          <w:pgSz w:w="16830" w:h="11900"/>
          <w:pgMar w:top="1011" w:right="1314" w:bottom="1130" w:left="1335" w:header="0" w:footer="806" w:gutter="0"/>
        </w:sectPr>
        <w:rPr/>
      </w:pPr>
    </w:p>
    <w:p>
      <w:pPr>
        <w:spacing w:before="17"/>
        <w:rPr/>
      </w:pPr>
      <w:r/>
    </w:p>
    <w:p>
      <w:pPr>
        <w:spacing w:before="16"/>
        <w:rPr/>
      </w:pPr>
      <w:r/>
    </w:p>
    <w:p>
      <w:pPr>
        <w:spacing w:before="16"/>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5596"/>
        <w:gridCol w:w="7130"/>
      </w:tblGrid>
      <w:tr>
        <w:trPr>
          <w:trHeight w:val="1311" w:hRule="atLeast"/>
        </w:trPr>
        <w:tc>
          <w:tcPr>
            <w:tcW w:w="1444" w:type="dxa"/>
            <w:vAlign w:val="top"/>
          </w:tcPr>
          <w:p>
            <w:pPr>
              <w:spacing w:line="461" w:lineRule="auto"/>
              <w:rPr>
                <w:rFonts w:ascii="Arial"/>
                <w:sz w:val="21"/>
              </w:rPr>
            </w:pPr>
            <w:r/>
          </w:p>
          <w:p>
            <w:pPr>
              <w:pStyle w:val="TableText"/>
              <w:ind w:left="478"/>
              <w:spacing w:before="79" w:line="221" w:lineRule="auto"/>
              <w:rPr/>
            </w:pPr>
            <w:bookmarkStart w:name="bookmark892" w:id="243"/>
            <w:bookmarkEnd w:id="243"/>
            <w:r>
              <w:rPr>
                <w:b/>
                <w:bCs/>
                <w:spacing w:val="-10"/>
              </w:rPr>
              <w:t>一般</w:t>
            </w:r>
          </w:p>
        </w:tc>
        <w:tc>
          <w:tcPr>
            <w:tcW w:w="5596" w:type="dxa"/>
            <w:vAlign w:val="top"/>
          </w:tcPr>
          <w:p>
            <w:pPr>
              <w:pStyle w:val="TableText"/>
              <w:ind w:left="121" w:right="173"/>
              <w:spacing w:before="133" w:line="349" w:lineRule="auto"/>
              <w:rPr/>
            </w:pPr>
            <w:r>
              <w:rPr/>
              <w:t>非营利性医疗卫生机构向出资人、举办者分配或者</w:t>
            </w:r>
            <w:r>
              <w:rPr>
                <w:spacing w:val="10"/>
              </w:rPr>
              <w:t xml:space="preserve"> </w:t>
            </w:r>
            <w:r>
              <w:rPr>
                <w:spacing w:val="1"/>
              </w:rPr>
              <w:t>变相分配收益，首次发现的</w:t>
            </w:r>
          </w:p>
        </w:tc>
        <w:tc>
          <w:tcPr>
            <w:tcW w:w="7130" w:type="dxa"/>
            <w:vAlign w:val="top"/>
          </w:tcPr>
          <w:p>
            <w:pPr>
              <w:pStyle w:val="TableText"/>
              <w:ind w:left="114" w:right="24" w:firstLine="20"/>
              <w:spacing w:before="134" w:line="299" w:lineRule="auto"/>
              <w:jc w:val="both"/>
              <w:rPr/>
            </w:pPr>
            <w:r>
              <w:rPr/>
              <w:t>由县级以上人民政府卫生健康主管部门责令改正，没收违法所</w:t>
            </w:r>
            <w:r>
              <w:rPr>
                <w:spacing w:val="-1"/>
              </w:rPr>
              <w:t>得，</w:t>
            </w:r>
            <w:r>
              <w:rPr/>
              <w:t xml:space="preserve"> </w:t>
            </w:r>
            <w:r>
              <w:rPr>
                <w:spacing w:val="1"/>
              </w:rPr>
              <w:t>并处违法所得二倍以上四倍以下的罚款，违</w:t>
            </w:r>
            <w:r>
              <w:rPr/>
              <w:t>法所得不足一万元的， </w:t>
            </w:r>
            <w:r>
              <w:rPr>
                <w:spacing w:val="1"/>
              </w:rPr>
              <w:t>按一万元计算</w:t>
            </w:r>
          </w:p>
        </w:tc>
      </w:tr>
      <w:tr>
        <w:trPr>
          <w:trHeight w:val="1327" w:hRule="atLeast"/>
        </w:trPr>
        <w:tc>
          <w:tcPr>
            <w:tcW w:w="1444" w:type="dxa"/>
            <w:vAlign w:val="top"/>
          </w:tcPr>
          <w:p>
            <w:pPr>
              <w:spacing w:line="472" w:lineRule="auto"/>
              <w:rPr>
                <w:rFonts w:ascii="Arial"/>
                <w:sz w:val="21"/>
              </w:rPr>
            </w:pPr>
            <w:r/>
          </w:p>
          <w:p>
            <w:pPr>
              <w:pStyle w:val="TableText"/>
              <w:ind w:left="478"/>
              <w:spacing w:before="78" w:line="221" w:lineRule="auto"/>
              <w:rPr/>
            </w:pPr>
            <w:r>
              <w:rPr>
                <w:b/>
                <w:bCs/>
                <w:spacing w:val="-5"/>
              </w:rPr>
              <w:t>较重</w:t>
            </w:r>
          </w:p>
        </w:tc>
        <w:tc>
          <w:tcPr>
            <w:tcW w:w="5596" w:type="dxa"/>
            <w:vAlign w:val="top"/>
          </w:tcPr>
          <w:p>
            <w:pPr>
              <w:spacing w:line="304" w:lineRule="auto"/>
              <w:rPr>
                <w:rFonts w:ascii="Arial"/>
                <w:sz w:val="21"/>
              </w:rPr>
            </w:pPr>
            <w:r/>
          </w:p>
          <w:p>
            <w:pPr>
              <w:pStyle w:val="TableText"/>
              <w:ind w:left="121" w:right="173"/>
              <w:spacing w:before="78" w:line="333" w:lineRule="auto"/>
              <w:rPr/>
            </w:pPr>
            <w:r>
              <w:rPr/>
              <w:t>非营利性医疗卫生机构向出资人、举办者分配或者</w:t>
            </w:r>
            <w:r>
              <w:rPr>
                <w:spacing w:val="10"/>
              </w:rPr>
              <w:t xml:space="preserve"> </w:t>
            </w:r>
            <w:r>
              <w:rPr/>
              <w:t>变相分配收益，经处罚再次发现有该行为的</w:t>
            </w:r>
          </w:p>
        </w:tc>
        <w:tc>
          <w:tcPr>
            <w:tcW w:w="7130" w:type="dxa"/>
            <w:vAlign w:val="top"/>
          </w:tcPr>
          <w:p>
            <w:pPr>
              <w:pStyle w:val="TableText"/>
              <w:ind w:left="114" w:right="24" w:firstLine="20"/>
              <w:spacing w:before="174" w:line="293" w:lineRule="auto"/>
              <w:jc w:val="both"/>
              <w:rPr/>
            </w:pPr>
            <w:r>
              <w:rPr/>
              <w:t>由县级以上人民政府卫生健康主管部门责令改正，没收违法所</w:t>
            </w:r>
            <w:r>
              <w:rPr>
                <w:spacing w:val="-1"/>
              </w:rPr>
              <w:t>得，</w:t>
            </w:r>
            <w:r>
              <w:rPr/>
              <w:t xml:space="preserve"> </w:t>
            </w:r>
            <w:r>
              <w:rPr>
                <w:spacing w:val="1"/>
              </w:rPr>
              <w:t>并处违法所得五倍以上七倍以下的罚款，违</w:t>
            </w:r>
            <w:r>
              <w:rPr/>
              <w:t>法所得不足一万元的， </w:t>
            </w:r>
            <w:r>
              <w:rPr>
                <w:spacing w:val="1"/>
              </w:rPr>
              <w:t>按一万元计算</w:t>
            </w:r>
          </w:p>
        </w:tc>
      </w:tr>
      <w:tr>
        <w:trPr>
          <w:trHeight w:val="1311" w:hRule="atLeast"/>
        </w:trPr>
        <w:tc>
          <w:tcPr>
            <w:tcW w:w="1444" w:type="dxa"/>
            <w:vAlign w:val="top"/>
          </w:tcPr>
          <w:p>
            <w:pPr>
              <w:spacing w:line="463" w:lineRule="auto"/>
              <w:rPr>
                <w:rFonts w:ascii="Arial"/>
                <w:sz w:val="21"/>
              </w:rPr>
            </w:pPr>
            <w:r/>
          </w:p>
          <w:p>
            <w:pPr>
              <w:pStyle w:val="TableText"/>
              <w:ind w:left="478"/>
              <w:spacing w:before="78" w:line="220" w:lineRule="auto"/>
              <w:rPr/>
            </w:pPr>
            <w:r>
              <w:rPr>
                <w:b/>
                <w:bCs/>
                <w:spacing w:val="-6"/>
              </w:rPr>
              <w:t>严重</w:t>
            </w:r>
          </w:p>
        </w:tc>
        <w:tc>
          <w:tcPr>
            <w:tcW w:w="5596" w:type="dxa"/>
            <w:vAlign w:val="top"/>
          </w:tcPr>
          <w:p>
            <w:pPr>
              <w:pStyle w:val="TableText"/>
              <w:ind w:left="121" w:right="173"/>
              <w:spacing w:before="145" w:line="349" w:lineRule="auto"/>
              <w:rPr/>
            </w:pPr>
            <w:r>
              <w:rPr/>
              <w:t>非营利性医疗卫生机构向出资人、举办者分配或者</w:t>
            </w:r>
            <w:r>
              <w:rPr>
                <w:spacing w:val="10"/>
              </w:rPr>
              <w:t xml:space="preserve"> </w:t>
            </w:r>
            <w:r>
              <w:rPr>
                <w:spacing w:val="1"/>
              </w:rPr>
              <w:t>变相分配收益，造成严重后果的</w:t>
            </w:r>
          </w:p>
        </w:tc>
        <w:tc>
          <w:tcPr>
            <w:tcW w:w="7130" w:type="dxa"/>
            <w:vAlign w:val="top"/>
          </w:tcPr>
          <w:p>
            <w:pPr>
              <w:pStyle w:val="TableText"/>
              <w:ind w:left="114" w:right="24" w:firstLine="20"/>
              <w:spacing w:before="154" w:line="294" w:lineRule="auto"/>
              <w:jc w:val="both"/>
              <w:rPr/>
            </w:pPr>
            <w:r>
              <w:rPr/>
              <w:t>由县级以上人民政府卫生健康主管部门责令改正，没收违法所</w:t>
            </w:r>
            <w:r>
              <w:rPr>
                <w:spacing w:val="-1"/>
              </w:rPr>
              <w:t>得，</w:t>
            </w:r>
            <w:r>
              <w:rPr/>
              <w:t xml:space="preserve"> </w:t>
            </w:r>
            <w:r>
              <w:rPr>
                <w:spacing w:val="1"/>
              </w:rPr>
              <w:t>并处违法所得八倍以上十倍以下的罚款，违</w:t>
            </w:r>
            <w:r>
              <w:rPr/>
              <w:t>法所得不足一万元的， </w:t>
            </w:r>
            <w:r>
              <w:rPr>
                <w:spacing w:val="1"/>
              </w:rPr>
              <w:t>按一万元计算</w:t>
            </w:r>
          </w:p>
        </w:tc>
      </w:tr>
    </w:tbl>
    <w:p>
      <w:pPr>
        <w:pStyle w:val="BodyText"/>
        <w:spacing w:line="456" w:lineRule="auto"/>
        <w:rPr/>
      </w:pPr>
      <w:r/>
    </w:p>
    <w:p>
      <w:pPr>
        <w:ind w:left="139" w:right="159" w:firstLine="649"/>
        <w:spacing w:before="97" w:line="273" w:lineRule="auto"/>
        <w:rPr>
          <w:rFonts w:ascii="FangSong" w:hAnsi="FangSong" w:eastAsia="FangSong" w:cs="FangSong"/>
          <w:sz w:val="30"/>
          <w:szCs w:val="30"/>
        </w:rPr>
      </w:pPr>
      <w:r>
        <w:rPr>
          <w:rFonts w:ascii="FangSong" w:hAnsi="FangSong" w:eastAsia="FangSong" w:cs="FangSong"/>
          <w:sz w:val="30"/>
          <w:szCs w:val="30"/>
          <w:b/>
          <w:bCs/>
          <w:spacing w:val="20"/>
        </w:rPr>
        <w:t>第一百七十一条医疗卫生机构等的医疗信息安全制</w:t>
      </w:r>
      <w:r>
        <w:rPr>
          <w:rFonts w:ascii="FangSong" w:hAnsi="FangSong" w:eastAsia="FangSong" w:cs="FangSong"/>
          <w:sz w:val="30"/>
          <w:szCs w:val="30"/>
          <w:b/>
          <w:bCs/>
          <w:spacing w:val="19"/>
        </w:rPr>
        <w:t>度、保障措施不健全，导致医疗信息泄露，</w:t>
      </w:r>
      <w:r>
        <w:rPr>
          <w:rFonts w:ascii="FangSong" w:hAnsi="FangSong" w:eastAsia="FangSong" w:cs="FangSong"/>
          <w:sz w:val="30"/>
          <w:szCs w:val="30"/>
        </w:rPr>
        <w:t xml:space="preserve"> </w:t>
      </w:r>
      <w:r>
        <w:rPr>
          <w:rFonts w:ascii="FangSong" w:hAnsi="FangSong" w:eastAsia="FangSong" w:cs="FangSong"/>
          <w:sz w:val="30"/>
          <w:szCs w:val="30"/>
          <w:b/>
          <w:bCs/>
          <w:spacing w:val="17"/>
        </w:rPr>
        <w:t>或者医疗质量管理和医疗技术管理制度、安全措施不健全的</w:t>
      </w:r>
    </w:p>
    <w:p>
      <w:pPr>
        <w:ind w:left="944"/>
        <w:spacing w:before="40"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135" w:right="4" w:firstLine="619"/>
        <w:spacing w:before="70" w:line="272" w:lineRule="auto"/>
        <w:jc w:val="both"/>
        <w:rPr>
          <w:rFonts w:ascii="FangSong" w:hAnsi="FangSong" w:eastAsia="FangSong" w:cs="FangSong"/>
          <w:sz w:val="30"/>
          <w:szCs w:val="30"/>
        </w:rPr>
      </w:pPr>
      <w:r>
        <w:rPr>
          <w:rFonts w:ascii="FangSong" w:hAnsi="FangSong" w:eastAsia="FangSong" w:cs="FangSong"/>
          <w:sz w:val="30"/>
          <w:szCs w:val="30"/>
          <w:spacing w:val="16"/>
        </w:rPr>
        <w:t>《中华人民共和国基本医疗卫生与健康促进法》第一百零一条</w:t>
      </w:r>
      <w:r>
        <w:rPr>
          <w:rFonts w:ascii="FangSong" w:hAnsi="FangSong" w:eastAsia="FangSong" w:cs="FangSong"/>
          <w:sz w:val="30"/>
          <w:szCs w:val="30"/>
          <w:spacing w:val="16"/>
        </w:rPr>
        <w:t xml:space="preserve">  </w:t>
      </w:r>
      <w:r>
        <w:rPr>
          <w:rFonts w:ascii="FangSong" w:hAnsi="FangSong" w:eastAsia="FangSong" w:cs="FangSong"/>
          <w:sz w:val="30"/>
          <w:szCs w:val="30"/>
          <w:spacing w:val="16"/>
        </w:rPr>
        <w:t>违反本法规定，医疗卫生机构等</w:t>
      </w:r>
      <w:r>
        <w:rPr>
          <w:rFonts w:ascii="FangSong" w:hAnsi="FangSong" w:eastAsia="FangSong" w:cs="FangSong"/>
          <w:sz w:val="30"/>
          <w:szCs w:val="30"/>
          <w:spacing w:val="9"/>
        </w:rPr>
        <w:t xml:space="preserve"> </w:t>
      </w:r>
      <w:r>
        <w:rPr>
          <w:rFonts w:ascii="FangSong" w:hAnsi="FangSong" w:eastAsia="FangSong" w:cs="FangSong"/>
          <w:sz w:val="30"/>
          <w:szCs w:val="30"/>
          <w:spacing w:val="12"/>
        </w:rPr>
        <w:t>的医疗信息安全制度、保障措施不健全，导致医疗信息泄露，或者医疗质量管理和医疗技术管理制度、</w:t>
      </w:r>
      <w:r>
        <w:rPr>
          <w:rFonts w:ascii="FangSong" w:hAnsi="FangSong" w:eastAsia="FangSong" w:cs="FangSong"/>
          <w:sz w:val="30"/>
          <w:szCs w:val="30"/>
        </w:rPr>
        <w:t xml:space="preserve"> </w:t>
      </w:r>
      <w:r>
        <w:rPr>
          <w:rFonts w:ascii="FangSong" w:hAnsi="FangSong" w:eastAsia="FangSong" w:cs="FangSong"/>
          <w:sz w:val="30"/>
          <w:szCs w:val="30"/>
          <w:spacing w:val="17"/>
        </w:rPr>
        <w:t>安全措施不健全的，由县级以上人民政府卫生健康等主管部门责令改正，给予</w:t>
      </w:r>
      <w:r>
        <w:rPr>
          <w:rFonts w:ascii="FangSong" w:hAnsi="FangSong" w:eastAsia="FangSong" w:cs="FangSong"/>
          <w:sz w:val="30"/>
          <w:szCs w:val="30"/>
          <w:spacing w:val="16"/>
        </w:rPr>
        <w:t>警告，并处一万元以上</w:t>
      </w:r>
      <w:r>
        <w:rPr>
          <w:rFonts w:ascii="FangSong" w:hAnsi="FangSong" w:eastAsia="FangSong" w:cs="FangSong"/>
          <w:sz w:val="30"/>
          <w:szCs w:val="30"/>
        </w:rPr>
        <w:t xml:space="preserve"> </w:t>
      </w:r>
      <w:r>
        <w:rPr>
          <w:rFonts w:ascii="FangSong" w:hAnsi="FangSong" w:eastAsia="FangSong" w:cs="FangSong"/>
          <w:sz w:val="30"/>
          <w:szCs w:val="30"/>
          <w:spacing w:val="16"/>
        </w:rPr>
        <w:t>五万元以下的罚款；情节严重的，可以责令停止相应执业活动，对直接负责的主管人员和其他直接责</w:t>
      </w:r>
      <w:r>
        <w:rPr>
          <w:rFonts w:ascii="FangSong" w:hAnsi="FangSong" w:eastAsia="FangSong" w:cs="FangSong"/>
          <w:sz w:val="30"/>
          <w:szCs w:val="30"/>
          <w:spacing w:val="11"/>
        </w:rPr>
        <w:t xml:space="preserve"> </w:t>
      </w:r>
      <w:r>
        <w:rPr>
          <w:rFonts w:ascii="FangSong" w:hAnsi="FangSong" w:eastAsia="FangSong" w:cs="FangSong"/>
          <w:sz w:val="30"/>
          <w:szCs w:val="30"/>
          <w:spacing w:val="13"/>
        </w:rPr>
        <w:t>任人员依法追究法律责任。</w:t>
      </w:r>
    </w:p>
    <w:p>
      <w:pPr>
        <w:spacing w:line="272" w:lineRule="auto"/>
        <w:sectPr>
          <w:footerReference w:type="default" r:id="rId242"/>
          <w:pgSz w:w="16830" w:h="11900"/>
          <w:pgMar w:top="1011" w:right="1335" w:bottom="1117" w:left="1314" w:header="0" w:footer="784" w:gutter="0"/>
        </w:sectPr>
        <w:rPr>
          <w:rFonts w:ascii="FangSong" w:hAnsi="FangSong" w:eastAsia="FangSong" w:cs="FangSong"/>
          <w:sz w:val="30"/>
          <w:szCs w:val="30"/>
        </w:rPr>
      </w:pPr>
    </w:p>
    <w:p>
      <w:pPr>
        <w:pStyle w:val="BodyText"/>
        <w:spacing w:line="256" w:lineRule="auto"/>
        <w:rPr/>
      </w:pPr>
      <w:r/>
    </w:p>
    <w:p>
      <w:pPr>
        <w:pStyle w:val="BodyText"/>
        <w:spacing w:line="256" w:lineRule="auto"/>
        <w:rPr/>
      </w:pPr>
      <w:r/>
    </w:p>
    <w:p>
      <w:pPr>
        <w:pStyle w:val="BodyText"/>
        <w:spacing w:line="256" w:lineRule="auto"/>
        <w:rPr/>
      </w:pPr>
      <w:r/>
    </w:p>
    <w:p>
      <w:pPr>
        <w:ind w:left="6529"/>
        <w:spacing w:before="94" w:line="220" w:lineRule="auto"/>
        <w:outlineLvl w:val="1"/>
        <w:rPr>
          <w:rFonts w:ascii="SimSun" w:hAnsi="SimSun" w:eastAsia="SimSun" w:cs="SimSun"/>
          <w:sz w:val="29"/>
          <w:szCs w:val="29"/>
        </w:rPr>
      </w:pPr>
      <w:bookmarkStart w:name="bookmark893" w:id="244"/>
      <w:bookmarkEnd w:id="244"/>
      <w:bookmarkStart w:name="bookmark186" w:id="245"/>
      <w:bookmarkEnd w:id="245"/>
      <w:r>
        <w:rPr>
          <w:rFonts w:ascii="SimSun" w:hAnsi="SimSun" w:eastAsia="SimSun" w:cs="SimSun"/>
          <w:sz w:val="29"/>
          <w:szCs w:val="29"/>
          <w:b/>
          <w:bCs/>
          <w:spacing w:val="-6"/>
        </w:rPr>
        <w:t>裁量标准</w:t>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6475"/>
        <w:gridCol w:w="6260"/>
      </w:tblGrid>
      <w:tr>
        <w:trPr>
          <w:trHeight w:val="444" w:hRule="atLeast"/>
        </w:trPr>
        <w:tc>
          <w:tcPr>
            <w:tcW w:w="1414" w:type="dxa"/>
            <w:vAlign w:val="top"/>
          </w:tcPr>
          <w:p>
            <w:pPr>
              <w:pStyle w:val="TableText"/>
              <w:ind w:left="198"/>
              <w:spacing w:before="102" w:line="220" w:lineRule="auto"/>
              <w:rPr>
                <w:sz w:val="25"/>
                <w:szCs w:val="25"/>
              </w:rPr>
            </w:pPr>
            <w:r>
              <w:rPr>
                <w:sz w:val="25"/>
                <w:szCs w:val="25"/>
                <w:b/>
                <w:bCs/>
                <w:spacing w:val="-5"/>
              </w:rPr>
              <w:t>违法程度</w:t>
            </w:r>
          </w:p>
        </w:tc>
        <w:tc>
          <w:tcPr>
            <w:tcW w:w="6475" w:type="dxa"/>
            <w:vAlign w:val="top"/>
          </w:tcPr>
          <w:p>
            <w:pPr>
              <w:pStyle w:val="TableText"/>
              <w:ind w:left="2734"/>
              <w:spacing w:before="102" w:line="220" w:lineRule="auto"/>
              <w:rPr>
                <w:sz w:val="25"/>
                <w:szCs w:val="25"/>
              </w:rPr>
            </w:pPr>
            <w:r>
              <w:rPr>
                <w:sz w:val="25"/>
                <w:szCs w:val="25"/>
                <w:b/>
                <w:bCs/>
                <w:spacing w:val="-5"/>
              </w:rPr>
              <w:t>违法后果</w:t>
            </w:r>
          </w:p>
        </w:tc>
        <w:tc>
          <w:tcPr>
            <w:tcW w:w="6260" w:type="dxa"/>
            <w:vAlign w:val="top"/>
          </w:tcPr>
          <w:p>
            <w:pPr>
              <w:pStyle w:val="TableText"/>
              <w:ind w:left="2629"/>
              <w:spacing w:before="99" w:line="218" w:lineRule="auto"/>
              <w:rPr>
                <w:sz w:val="25"/>
                <w:szCs w:val="25"/>
              </w:rPr>
            </w:pPr>
            <w:r>
              <w:rPr>
                <w:sz w:val="25"/>
                <w:szCs w:val="25"/>
                <w:b/>
                <w:bCs/>
                <w:spacing w:val="-5"/>
              </w:rPr>
              <w:t>裁量幅度</w:t>
            </w:r>
          </w:p>
        </w:tc>
      </w:tr>
      <w:tr>
        <w:trPr>
          <w:trHeight w:val="1307" w:hRule="atLeast"/>
        </w:trPr>
        <w:tc>
          <w:tcPr>
            <w:tcW w:w="1414" w:type="dxa"/>
            <w:vAlign w:val="top"/>
          </w:tcPr>
          <w:p>
            <w:pPr>
              <w:spacing w:line="445" w:lineRule="auto"/>
              <w:rPr>
                <w:rFonts w:ascii="Arial"/>
                <w:sz w:val="21"/>
              </w:rPr>
            </w:pPr>
            <w:r/>
          </w:p>
          <w:p>
            <w:pPr>
              <w:pStyle w:val="TableText"/>
              <w:ind w:left="448"/>
              <w:spacing w:before="81" w:line="221" w:lineRule="auto"/>
              <w:rPr>
                <w:sz w:val="25"/>
                <w:szCs w:val="25"/>
              </w:rPr>
            </w:pPr>
            <w:r>
              <w:rPr>
                <w:sz w:val="25"/>
                <w:szCs w:val="25"/>
                <w:b/>
                <w:bCs/>
                <w:spacing w:val="-10"/>
              </w:rPr>
              <w:t>一般</w:t>
            </w:r>
          </w:p>
        </w:tc>
        <w:tc>
          <w:tcPr>
            <w:tcW w:w="6475" w:type="dxa"/>
            <w:vAlign w:val="top"/>
          </w:tcPr>
          <w:p>
            <w:pPr>
              <w:pStyle w:val="TableText"/>
              <w:ind w:left="10"/>
              <w:spacing w:before="131" w:line="287" w:lineRule="auto"/>
              <w:jc w:val="both"/>
              <w:rPr>
                <w:sz w:val="25"/>
                <w:szCs w:val="25"/>
              </w:rPr>
            </w:pPr>
            <w:r>
              <w:rPr>
                <w:sz w:val="25"/>
                <w:szCs w:val="25"/>
                <w:spacing w:val="-6"/>
              </w:rPr>
              <w:t>医疗卫生机构等的医疗信息安全制度、保障措施不健全，导</w:t>
            </w:r>
            <w:r>
              <w:rPr>
                <w:sz w:val="25"/>
                <w:szCs w:val="25"/>
                <w:spacing w:val="14"/>
              </w:rPr>
              <w:t xml:space="preserve"> </w:t>
            </w:r>
            <w:r>
              <w:rPr>
                <w:sz w:val="25"/>
                <w:szCs w:val="25"/>
                <w:spacing w:val="-2"/>
              </w:rPr>
              <w:t>致医疗信息泄露，或者医疗质量管理和医疗技术管理制度、</w:t>
            </w:r>
            <w:r>
              <w:rPr>
                <w:sz w:val="25"/>
                <w:szCs w:val="25"/>
                <w:spacing w:val="5"/>
              </w:rPr>
              <w:t xml:space="preserve"> </w:t>
            </w:r>
            <w:r>
              <w:rPr>
                <w:sz w:val="25"/>
                <w:szCs w:val="25"/>
                <w:spacing w:val="4"/>
              </w:rPr>
              <w:t>安全措施不健全的，首次发现的</w:t>
            </w:r>
          </w:p>
        </w:tc>
        <w:tc>
          <w:tcPr>
            <w:tcW w:w="6260" w:type="dxa"/>
            <w:vAlign w:val="top"/>
          </w:tcPr>
          <w:p>
            <w:pPr>
              <w:pStyle w:val="TableText"/>
              <w:ind w:left="124" w:hanging="109"/>
              <w:spacing w:before="140" w:line="333" w:lineRule="auto"/>
              <w:rPr>
                <w:sz w:val="25"/>
                <w:szCs w:val="25"/>
              </w:rPr>
            </w:pPr>
            <w:r>
              <w:rPr>
                <w:sz w:val="25"/>
                <w:szCs w:val="25"/>
                <w:spacing w:val="-1"/>
              </w:rPr>
              <w:t>由县级以上人民政府卫生健康等主管部门责令改正，给予</w:t>
            </w:r>
            <w:r>
              <w:rPr>
                <w:sz w:val="25"/>
                <w:szCs w:val="25"/>
                <w:spacing w:val="8"/>
              </w:rPr>
              <w:t xml:space="preserve"> </w:t>
            </w:r>
            <w:r>
              <w:rPr>
                <w:sz w:val="25"/>
                <w:szCs w:val="25"/>
              </w:rPr>
              <w:t>警告，并处一万元以上三万元以下的罚款</w:t>
            </w:r>
          </w:p>
        </w:tc>
      </w:tr>
      <w:tr>
        <w:trPr>
          <w:trHeight w:val="1327" w:hRule="atLeast"/>
        </w:trPr>
        <w:tc>
          <w:tcPr>
            <w:tcW w:w="1414" w:type="dxa"/>
            <w:vAlign w:val="top"/>
          </w:tcPr>
          <w:p>
            <w:pPr>
              <w:spacing w:line="460" w:lineRule="auto"/>
              <w:rPr>
                <w:rFonts w:ascii="Arial"/>
                <w:sz w:val="21"/>
              </w:rPr>
            </w:pPr>
            <w:r/>
          </w:p>
          <w:p>
            <w:pPr>
              <w:pStyle w:val="TableText"/>
              <w:ind w:left="448"/>
              <w:spacing w:before="81" w:line="221" w:lineRule="auto"/>
              <w:rPr>
                <w:sz w:val="25"/>
                <w:szCs w:val="25"/>
              </w:rPr>
            </w:pPr>
            <w:r>
              <w:rPr>
                <w:sz w:val="25"/>
                <w:szCs w:val="25"/>
                <w:b/>
                <w:bCs/>
                <w:spacing w:val="-6"/>
              </w:rPr>
              <w:t>较重</w:t>
            </w:r>
          </w:p>
        </w:tc>
        <w:tc>
          <w:tcPr>
            <w:tcW w:w="6475" w:type="dxa"/>
            <w:vAlign w:val="top"/>
          </w:tcPr>
          <w:p>
            <w:pPr>
              <w:pStyle w:val="TableText"/>
              <w:ind w:left="10"/>
              <w:spacing w:before="153" w:line="335" w:lineRule="auto"/>
              <w:rPr>
                <w:sz w:val="25"/>
                <w:szCs w:val="25"/>
              </w:rPr>
            </w:pPr>
            <w:r>
              <w:rPr>
                <w:sz w:val="25"/>
                <w:szCs w:val="25"/>
                <w:spacing w:val="-6"/>
              </w:rPr>
              <w:t>医疗卫生机构等的医疗信息安全制度、保障措施不健全，导</w:t>
            </w:r>
            <w:r>
              <w:rPr>
                <w:sz w:val="25"/>
                <w:szCs w:val="25"/>
                <w:spacing w:val="14"/>
              </w:rPr>
              <w:t xml:space="preserve"> </w:t>
            </w:r>
            <w:r>
              <w:rPr>
                <w:sz w:val="25"/>
                <w:szCs w:val="25"/>
                <w:spacing w:val="-2"/>
              </w:rPr>
              <w:t>致医疗信息泄露，或者医疗质量管理和医疗技术管理制度、</w:t>
            </w:r>
          </w:p>
          <w:p>
            <w:pPr>
              <w:pStyle w:val="TableText"/>
              <w:ind w:left="140"/>
              <w:spacing w:before="3" w:line="187" w:lineRule="auto"/>
              <w:rPr>
                <w:sz w:val="25"/>
                <w:szCs w:val="25"/>
              </w:rPr>
            </w:pPr>
            <w:r>
              <w:rPr>
                <w:sz w:val="25"/>
                <w:szCs w:val="25"/>
              </w:rPr>
              <w:t>安全措施不健全的，经处罚再次发现有该行为的</w:t>
            </w:r>
          </w:p>
        </w:tc>
        <w:tc>
          <w:tcPr>
            <w:tcW w:w="6260" w:type="dxa"/>
            <w:vAlign w:val="top"/>
          </w:tcPr>
          <w:p>
            <w:pPr>
              <w:pStyle w:val="TableText"/>
              <w:ind w:left="124" w:hanging="109"/>
              <w:spacing w:before="153" w:line="333" w:lineRule="auto"/>
              <w:rPr>
                <w:sz w:val="25"/>
                <w:szCs w:val="25"/>
              </w:rPr>
            </w:pPr>
            <w:r>
              <w:rPr>
                <w:sz w:val="25"/>
                <w:szCs w:val="25"/>
                <w:spacing w:val="-1"/>
              </w:rPr>
              <w:t>由县级以上人民政府卫生健康等主管部门责令改正，给予</w:t>
            </w:r>
            <w:r>
              <w:rPr>
                <w:sz w:val="25"/>
                <w:szCs w:val="25"/>
                <w:spacing w:val="8"/>
              </w:rPr>
              <w:t xml:space="preserve"> </w:t>
            </w:r>
            <w:r>
              <w:rPr>
                <w:sz w:val="25"/>
                <w:szCs w:val="25"/>
              </w:rPr>
              <w:t>警告，并处三万元以上五万元以下的罚款</w:t>
            </w:r>
          </w:p>
        </w:tc>
      </w:tr>
      <w:tr>
        <w:trPr>
          <w:trHeight w:val="1322" w:hRule="atLeast"/>
        </w:trPr>
        <w:tc>
          <w:tcPr>
            <w:tcW w:w="1414" w:type="dxa"/>
            <w:vAlign w:val="top"/>
          </w:tcPr>
          <w:p>
            <w:pPr>
              <w:spacing w:line="460" w:lineRule="auto"/>
              <w:rPr>
                <w:rFonts w:ascii="Arial"/>
                <w:sz w:val="21"/>
              </w:rPr>
            </w:pPr>
            <w:r/>
          </w:p>
          <w:p>
            <w:pPr>
              <w:pStyle w:val="TableText"/>
              <w:ind w:left="448"/>
              <w:spacing w:before="81" w:line="220" w:lineRule="auto"/>
              <w:rPr>
                <w:sz w:val="25"/>
                <w:szCs w:val="25"/>
              </w:rPr>
            </w:pPr>
            <w:r>
              <w:rPr>
                <w:sz w:val="25"/>
                <w:szCs w:val="25"/>
                <w:b/>
                <w:bCs/>
                <w:spacing w:val="-6"/>
              </w:rPr>
              <w:t>严重</w:t>
            </w:r>
          </w:p>
        </w:tc>
        <w:tc>
          <w:tcPr>
            <w:tcW w:w="6475" w:type="dxa"/>
            <w:vAlign w:val="top"/>
          </w:tcPr>
          <w:p>
            <w:pPr>
              <w:pStyle w:val="TableText"/>
              <w:ind w:left="10"/>
              <w:spacing w:before="146" w:line="287" w:lineRule="auto"/>
              <w:jc w:val="both"/>
              <w:rPr>
                <w:sz w:val="25"/>
                <w:szCs w:val="25"/>
              </w:rPr>
            </w:pPr>
            <w:r>
              <w:rPr>
                <w:sz w:val="25"/>
                <w:szCs w:val="25"/>
                <w:spacing w:val="-6"/>
              </w:rPr>
              <w:t>医疗卫生机构等的医疗信息安全制度、保障措施不健全，导</w:t>
            </w:r>
            <w:r>
              <w:rPr>
                <w:sz w:val="25"/>
                <w:szCs w:val="25"/>
                <w:spacing w:val="14"/>
              </w:rPr>
              <w:t xml:space="preserve"> </w:t>
            </w:r>
            <w:r>
              <w:rPr>
                <w:sz w:val="25"/>
                <w:szCs w:val="25"/>
                <w:spacing w:val="-2"/>
              </w:rPr>
              <w:t>致医疗信息泄露，或者医疗质量管理和医疗技术管理制度、</w:t>
            </w:r>
            <w:r>
              <w:rPr>
                <w:sz w:val="25"/>
                <w:szCs w:val="25"/>
                <w:spacing w:val="5"/>
              </w:rPr>
              <w:t xml:space="preserve"> </w:t>
            </w:r>
            <w:r>
              <w:rPr>
                <w:sz w:val="25"/>
                <w:szCs w:val="25"/>
                <w:spacing w:val="5"/>
              </w:rPr>
              <w:t>安全措施不健全的，情节严重的</w:t>
            </w:r>
          </w:p>
        </w:tc>
        <w:tc>
          <w:tcPr>
            <w:tcW w:w="6260" w:type="dxa"/>
            <w:vAlign w:val="top"/>
          </w:tcPr>
          <w:p>
            <w:pPr>
              <w:pStyle w:val="TableText"/>
              <w:ind w:left="124" w:hanging="109"/>
              <w:spacing w:before="165" w:line="311" w:lineRule="auto"/>
              <w:rPr>
                <w:sz w:val="25"/>
                <w:szCs w:val="25"/>
              </w:rPr>
            </w:pPr>
            <w:r>
              <w:rPr>
                <w:sz w:val="25"/>
                <w:szCs w:val="25"/>
                <w:spacing w:val="-1"/>
              </w:rPr>
              <w:t>由县级以上人民政府卫生健康等主管部门责令改正，给予</w:t>
            </w:r>
            <w:r>
              <w:rPr>
                <w:sz w:val="25"/>
                <w:szCs w:val="25"/>
                <w:spacing w:val="8"/>
              </w:rPr>
              <w:t xml:space="preserve"> </w:t>
            </w:r>
            <w:r>
              <w:rPr>
                <w:sz w:val="25"/>
                <w:szCs w:val="25"/>
              </w:rPr>
              <w:t>警告，并处五万元的罚款，责令停止相应执业活动</w:t>
            </w:r>
          </w:p>
        </w:tc>
      </w:tr>
    </w:tbl>
    <w:p>
      <w:pPr>
        <w:pStyle w:val="BodyText"/>
        <w:spacing w:line="442" w:lineRule="auto"/>
        <w:rPr/>
      </w:pPr>
      <w:r/>
    </w:p>
    <w:p>
      <w:pPr>
        <w:ind w:left="889"/>
        <w:spacing w:before="101" w:line="223" w:lineRule="auto"/>
        <w:rPr>
          <w:rFonts w:ascii="KaiTi" w:hAnsi="KaiTi" w:eastAsia="KaiTi" w:cs="KaiTi"/>
          <w:sz w:val="31"/>
          <w:szCs w:val="31"/>
        </w:rPr>
      </w:pPr>
      <w:r>
        <w:rPr>
          <w:rFonts w:ascii="KaiTi" w:hAnsi="KaiTi" w:eastAsia="KaiTi" w:cs="KaiTi"/>
          <w:sz w:val="31"/>
          <w:szCs w:val="31"/>
          <w:b/>
          <w:bCs/>
          <w:spacing w:val="21"/>
        </w:rPr>
        <w:t>(二)《医疗机构管理条例》</w:t>
      </w:r>
    </w:p>
    <w:p>
      <w:pPr>
        <w:ind w:left="779"/>
        <w:spacing w:before="317" w:line="220" w:lineRule="auto"/>
        <w:rPr>
          <w:rFonts w:ascii="FangSong" w:hAnsi="FangSong" w:eastAsia="FangSong" w:cs="FangSong"/>
          <w:sz w:val="31"/>
          <w:szCs w:val="31"/>
        </w:rPr>
      </w:pPr>
      <w:r>
        <w:rPr>
          <w:rFonts w:ascii="FangSong" w:hAnsi="FangSong" w:eastAsia="FangSong" w:cs="FangSong"/>
          <w:sz w:val="31"/>
          <w:szCs w:val="31"/>
          <w:b/>
          <w:bCs/>
          <w:spacing w:val="15"/>
        </w:rPr>
        <w:t>第一百七十二条诊所未经备案执业的</w:t>
      </w:r>
    </w:p>
    <w:p>
      <w:pPr>
        <w:ind w:left="764"/>
        <w:spacing w:before="97"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144" w:right="29" w:firstLine="595"/>
        <w:spacing w:before="87" w:line="263" w:lineRule="auto"/>
        <w:jc w:val="both"/>
        <w:rPr>
          <w:rFonts w:ascii="FangSong" w:hAnsi="FangSong" w:eastAsia="FangSong" w:cs="FangSong"/>
          <w:sz w:val="31"/>
          <w:szCs w:val="31"/>
        </w:rPr>
      </w:pPr>
      <w:r>
        <w:rPr>
          <w:rFonts w:ascii="FangSong" w:hAnsi="FangSong" w:eastAsia="FangSong" w:cs="FangSong"/>
          <w:sz w:val="31"/>
          <w:szCs w:val="31"/>
          <w:spacing w:val="9"/>
        </w:rPr>
        <w:t>《医疗机构管理条例》第四十三条第二款</w:t>
      </w:r>
      <w:r>
        <w:rPr>
          <w:rFonts w:ascii="FangSong" w:hAnsi="FangSong" w:eastAsia="FangSong" w:cs="FangSong"/>
          <w:sz w:val="31"/>
          <w:szCs w:val="31"/>
          <w:spacing w:val="9"/>
        </w:rPr>
        <w:t xml:space="preserve">  </w:t>
      </w:r>
      <w:r>
        <w:rPr>
          <w:rFonts w:ascii="FangSong" w:hAnsi="FangSong" w:eastAsia="FangSong" w:cs="FangSong"/>
          <w:sz w:val="31"/>
          <w:szCs w:val="31"/>
          <w:spacing w:val="9"/>
        </w:rPr>
        <w:t>违反本条</w:t>
      </w:r>
      <w:r>
        <w:rPr>
          <w:rFonts w:ascii="FangSong" w:hAnsi="FangSong" w:eastAsia="FangSong" w:cs="FangSong"/>
          <w:sz w:val="31"/>
          <w:szCs w:val="31"/>
          <w:spacing w:val="8"/>
        </w:rPr>
        <w:t>例第二十三条规定，诊所未经备案执业的，</w:t>
      </w:r>
      <w:r>
        <w:rPr>
          <w:rFonts w:ascii="FangSong" w:hAnsi="FangSong" w:eastAsia="FangSong" w:cs="FangSong"/>
          <w:sz w:val="31"/>
          <w:szCs w:val="31"/>
        </w:rPr>
        <w:t xml:space="preserve"> </w:t>
      </w:r>
      <w:r>
        <w:rPr>
          <w:rFonts w:ascii="FangSong" w:hAnsi="FangSong" w:eastAsia="FangSong" w:cs="FangSong"/>
          <w:sz w:val="31"/>
          <w:szCs w:val="31"/>
          <w:spacing w:val="11"/>
        </w:rPr>
        <w:t>由县级以上人民政府卫生行政部门责令其改正，没收违法所得，并处3万元以下罚款；拒不改正的，</w:t>
      </w:r>
      <w:r>
        <w:rPr>
          <w:rFonts w:ascii="FangSong" w:hAnsi="FangSong" w:eastAsia="FangSong" w:cs="FangSong"/>
          <w:sz w:val="31"/>
          <w:szCs w:val="31"/>
          <w:spacing w:val="15"/>
        </w:rPr>
        <w:t xml:space="preserve"> </w:t>
      </w:r>
      <w:r>
        <w:rPr>
          <w:rFonts w:ascii="FangSong" w:hAnsi="FangSong" w:eastAsia="FangSong" w:cs="FangSong"/>
          <w:sz w:val="31"/>
          <w:szCs w:val="31"/>
        </w:rPr>
        <w:t>责令其停止执业活动。</w:t>
      </w:r>
    </w:p>
    <w:p>
      <w:pPr>
        <w:spacing w:line="263" w:lineRule="auto"/>
        <w:sectPr>
          <w:footerReference w:type="default" r:id="rId243"/>
          <w:pgSz w:w="16830" w:h="11900"/>
          <w:pgMar w:top="1011" w:right="1344" w:bottom="1118" w:left="1325" w:header="0" w:footer="757" w:gutter="0"/>
        </w:sectPr>
        <w:rPr>
          <w:rFonts w:ascii="FangSong" w:hAnsi="FangSong" w:eastAsia="FangSong" w:cs="FangSong"/>
          <w:sz w:val="31"/>
          <w:szCs w:val="31"/>
        </w:rPr>
      </w:pP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6529"/>
        <w:spacing w:before="94" w:line="220" w:lineRule="auto"/>
        <w:outlineLvl w:val="1"/>
        <w:rPr>
          <w:rFonts w:ascii="SimSun" w:hAnsi="SimSun" w:eastAsia="SimSun" w:cs="SimSun"/>
          <w:sz w:val="29"/>
          <w:szCs w:val="29"/>
        </w:rPr>
      </w:pPr>
      <w:bookmarkStart w:name="bookmark894" w:id="246"/>
      <w:bookmarkEnd w:id="246"/>
      <w:bookmarkStart w:name="bookmark186" w:id="247"/>
      <w:bookmarkEnd w:id="247"/>
      <w:r>
        <w:rPr>
          <w:rFonts w:ascii="SimSun" w:hAnsi="SimSun" w:eastAsia="SimSun" w:cs="SimSun"/>
          <w:sz w:val="29"/>
          <w:szCs w:val="29"/>
          <w:b/>
          <w:bCs/>
          <w:spacing w:val="-6"/>
        </w:rPr>
        <w:t>裁量标准</w:t>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3"/>
        <w:gridCol w:w="5596"/>
        <w:gridCol w:w="7120"/>
      </w:tblGrid>
      <w:tr>
        <w:trPr>
          <w:trHeight w:val="453" w:hRule="atLeast"/>
        </w:trPr>
        <w:tc>
          <w:tcPr>
            <w:tcW w:w="1433" w:type="dxa"/>
            <w:vAlign w:val="top"/>
          </w:tcPr>
          <w:p>
            <w:pPr>
              <w:pStyle w:val="TableText"/>
              <w:ind w:left="208"/>
              <w:spacing w:before="102" w:line="220" w:lineRule="auto"/>
              <w:rPr>
                <w:sz w:val="25"/>
                <w:szCs w:val="25"/>
              </w:rPr>
            </w:pPr>
            <w:r>
              <w:rPr>
                <w:sz w:val="25"/>
                <w:szCs w:val="25"/>
                <w:b/>
                <w:bCs/>
                <w:spacing w:val="-5"/>
              </w:rPr>
              <w:t>违法程度</w:t>
            </w:r>
          </w:p>
        </w:tc>
        <w:tc>
          <w:tcPr>
            <w:tcW w:w="5596" w:type="dxa"/>
            <w:vAlign w:val="top"/>
          </w:tcPr>
          <w:p>
            <w:pPr>
              <w:pStyle w:val="TableText"/>
              <w:ind w:left="2215"/>
              <w:spacing w:before="102" w:line="220" w:lineRule="auto"/>
              <w:rPr>
                <w:sz w:val="25"/>
                <w:szCs w:val="25"/>
              </w:rPr>
            </w:pPr>
            <w:r>
              <w:rPr>
                <w:sz w:val="25"/>
                <w:szCs w:val="25"/>
                <w:b/>
                <w:bCs/>
                <w:spacing w:val="-5"/>
              </w:rPr>
              <w:t>违法后果</w:t>
            </w:r>
          </w:p>
        </w:tc>
        <w:tc>
          <w:tcPr>
            <w:tcW w:w="7120" w:type="dxa"/>
            <w:vAlign w:val="top"/>
          </w:tcPr>
          <w:p>
            <w:pPr>
              <w:pStyle w:val="TableText"/>
              <w:ind w:left="3059"/>
              <w:spacing w:before="99" w:line="218" w:lineRule="auto"/>
              <w:rPr>
                <w:sz w:val="25"/>
                <w:szCs w:val="25"/>
              </w:rPr>
            </w:pPr>
            <w:r>
              <w:rPr>
                <w:sz w:val="25"/>
                <w:szCs w:val="25"/>
                <w:b/>
                <w:bCs/>
                <w:spacing w:val="-5"/>
              </w:rPr>
              <w:t>裁量幅度</w:t>
            </w:r>
          </w:p>
        </w:tc>
      </w:tr>
      <w:tr>
        <w:trPr>
          <w:trHeight w:val="877" w:hRule="atLeast"/>
        </w:trPr>
        <w:tc>
          <w:tcPr>
            <w:tcW w:w="1433" w:type="dxa"/>
            <w:vAlign w:val="top"/>
          </w:tcPr>
          <w:p>
            <w:pPr>
              <w:pStyle w:val="TableText"/>
              <w:ind w:left="458"/>
              <w:spacing w:before="320" w:line="221" w:lineRule="auto"/>
              <w:rPr>
                <w:sz w:val="25"/>
                <w:szCs w:val="25"/>
              </w:rPr>
            </w:pPr>
            <w:r>
              <w:rPr>
                <w:sz w:val="25"/>
                <w:szCs w:val="25"/>
                <w:b/>
                <w:bCs/>
                <w:spacing w:val="-10"/>
              </w:rPr>
              <w:t>一般</w:t>
            </w:r>
          </w:p>
        </w:tc>
        <w:tc>
          <w:tcPr>
            <w:tcW w:w="5596" w:type="dxa"/>
            <w:vAlign w:val="top"/>
          </w:tcPr>
          <w:p>
            <w:pPr>
              <w:pStyle w:val="TableText"/>
              <w:ind w:left="111"/>
              <w:spacing w:before="322" w:line="219" w:lineRule="auto"/>
              <w:rPr>
                <w:sz w:val="25"/>
                <w:szCs w:val="25"/>
              </w:rPr>
            </w:pPr>
            <w:r>
              <w:rPr>
                <w:sz w:val="25"/>
                <w:szCs w:val="25"/>
                <w:spacing w:val="1"/>
              </w:rPr>
              <w:t>诊所未经备案，首次发现的</w:t>
            </w:r>
          </w:p>
        </w:tc>
        <w:tc>
          <w:tcPr>
            <w:tcW w:w="7120" w:type="dxa"/>
            <w:vAlign w:val="top"/>
          </w:tcPr>
          <w:p>
            <w:pPr>
              <w:pStyle w:val="TableText"/>
              <w:ind w:left="104" w:hanging="89"/>
              <w:spacing w:before="141" w:line="268" w:lineRule="auto"/>
              <w:rPr>
                <w:sz w:val="25"/>
                <w:szCs w:val="25"/>
              </w:rPr>
            </w:pPr>
            <w:r>
              <w:rPr>
                <w:sz w:val="25"/>
                <w:szCs w:val="25"/>
                <w:spacing w:val="-6"/>
              </w:rPr>
              <w:t>由县级以上人民政府卫生行政部门责令其改正，没收违法所得，并</w:t>
            </w:r>
            <w:r>
              <w:rPr>
                <w:sz w:val="25"/>
                <w:szCs w:val="25"/>
                <w:spacing w:val="17"/>
              </w:rPr>
              <w:t xml:space="preserve"> </w:t>
            </w:r>
            <w:r>
              <w:rPr>
                <w:sz w:val="25"/>
                <w:szCs w:val="25"/>
              </w:rPr>
              <w:t>处1万元以下的罚款</w:t>
            </w:r>
          </w:p>
        </w:tc>
      </w:tr>
      <w:tr>
        <w:trPr>
          <w:trHeight w:val="877" w:hRule="atLeast"/>
        </w:trPr>
        <w:tc>
          <w:tcPr>
            <w:tcW w:w="1433" w:type="dxa"/>
            <w:vAlign w:val="top"/>
          </w:tcPr>
          <w:p>
            <w:pPr>
              <w:spacing w:line="242" w:lineRule="auto"/>
              <w:rPr>
                <w:rFonts w:ascii="Arial"/>
                <w:sz w:val="21"/>
              </w:rPr>
            </w:pPr>
            <w:r/>
          </w:p>
          <w:p>
            <w:pPr>
              <w:pStyle w:val="TableText"/>
              <w:ind w:left="458"/>
              <w:spacing w:before="81" w:line="221" w:lineRule="auto"/>
              <w:rPr>
                <w:sz w:val="25"/>
                <w:szCs w:val="25"/>
              </w:rPr>
            </w:pPr>
            <w:r>
              <w:rPr>
                <w:sz w:val="25"/>
                <w:szCs w:val="25"/>
                <w:b/>
                <w:bCs/>
                <w:spacing w:val="-6"/>
              </w:rPr>
              <w:t>较重</w:t>
            </w:r>
          </w:p>
        </w:tc>
        <w:tc>
          <w:tcPr>
            <w:tcW w:w="5596" w:type="dxa"/>
            <w:vAlign w:val="top"/>
          </w:tcPr>
          <w:p>
            <w:pPr>
              <w:spacing w:line="242" w:lineRule="auto"/>
              <w:rPr>
                <w:rFonts w:ascii="Arial"/>
                <w:sz w:val="21"/>
              </w:rPr>
            </w:pPr>
            <w:r/>
          </w:p>
          <w:p>
            <w:pPr>
              <w:pStyle w:val="TableText"/>
              <w:ind w:left="111"/>
              <w:spacing w:before="81" w:line="219" w:lineRule="auto"/>
              <w:rPr>
                <w:sz w:val="25"/>
                <w:szCs w:val="25"/>
              </w:rPr>
            </w:pPr>
            <w:r>
              <w:rPr>
                <w:sz w:val="25"/>
                <w:szCs w:val="25"/>
                <w:spacing w:val="1"/>
              </w:rPr>
              <w:t>诊所未经备案，经处罚再次发现有该行为的</w:t>
            </w:r>
          </w:p>
        </w:tc>
        <w:tc>
          <w:tcPr>
            <w:tcW w:w="7120" w:type="dxa"/>
            <w:vAlign w:val="top"/>
          </w:tcPr>
          <w:p>
            <w:pPr>
              <w:pStyle w:val="TableText"/>
              <w:ind w:left="114" w:hanging="99"/>
              <w:spacing w:before="143" w:line="267" w:lineRule="auto"/>
              <w:rPr>
                <w:sz w:val="25"/>
                <w:szCs w:val="25"/>
              </w:rPr>
            </w:pPr>
            <w:r>
              <w:rPr>
                <w:sz w:val="25"/>
                <w:szCs w:val="25"/>
                <w:spacing w:val="-6"/>
              </w:rPr>
              <w:t>由县级以上人民政府卫生行政部门责令其改正，没收违法所得，并</w:t>
            </w:r>
            <w:r>
              <w:rPr>
                <w:sz w:val="25"/>
                <w:szCs w:val="25"/>
                <w:spacing w:val="17"/>
              </w:rPr>
              <w:t xml:space="preserve"> </w:t>
            </w:r>
            <w:r>
              <w:rPr>
                <w:sz w:val="25"/>
                <w:szCs w:val="25"/>
              </w:rPr>
              <w:t>处1万元以上3万元以下的罚款</w:t>
            </w:r>
          </w:p>
        </w:tc>
      </w:tr>
      <w:tr>
        <w:trPr>
          <w:trHeight w:val="882" w:hRule="atLeast"/>
        </w:trPr>
        <w:tc>
          <w:tcPr>
            <w:tcW w:w="1433" w:type="dxa"/>
            <w:vAlign w:val="top"/>
          </w:tcPr>
          <w:p>
            <w:pPr>
              <w:spacing w:line="242"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5596" w:type="dxa"/>
            <w:vAlign w:val="top"/>
          </w:tcPr>
          <w:p>
            <w:pPr>
              <w:spacing w:line="245" w:lineRule="auto"/>
              <w:rPr>
                <w:rFonts w:ascii="Arial"/>
                <w:sz w:val="21"/>
              </w:rPr>
            </w:pPr>
            <w:r/>
          </w:p>
          <w:p>
            <w:pPr>
              <w:pStyle w:val="TableText"/>
              <w:ind w:left="111"/>
              <w:spacing w:before="81" w:line="219" w:lineRule="auto"/>
              <w:rPr>
                <w:sz w:val="25"/>
                <w:szCs w:val="25"/>
              </w:rPr>
            </w:pPr>
            <w:r>
              <w:rPr>
                <w:sz w:val="25"/>
                <w:szCs w:val="25"/>
                <w:spacing w:val="1"/>
              </w:rPr>
              <w:t>诊所未经备案，经处罚两次拒不改正的</w:t>
            </w:r>
          </w:p>
        </w:tc>
        <w:tc>
          <w:tcPr>
            <w:tcW w:w="7120" w:type="dxa"/>
            <w:vAlign w:val="top"/>
          </w:tcPr>
          <w:p>
            <w:pPr>
              <w:pStyle w:val="TableText"/>
              <w:ind w:left="104" w:hanging="89"/>
              <w:spacing w:before="146" w:line="268" w:lineRule="auto"/>
              <w:rPr>
                <w:sz w:val="25"/>
                <w:szCs w:val="25"/>
              </w:rPr>
            </w:pPr>
            <w:r>
              <w:rPr>
                <w:sz w:val="25"/>
                <w:szCs w:val="25"/>
                <w:spacing w:val="-6"/>
              </w:rPr>
              <w:t>由县级以上人民政府卫生行政部门责令其改正，没收违法所得，并</w:t>
            </w:r>
            <w:r>
              <w:rPr>
                <w:sz w:val="25"/>
                <w:szCs w:val="25"/>
                <w:spacing w:val="17"/>
              </w:rPr>
              <w:t xml:space="preserve"> </w:t>
            </w:r>
            <w:r>
              <w:rPr>
                <w:sz w:val="25"/>
                <w:szCs w:val="25"/>
              </w:rPr>
              <w:t>处3万元的罚款，责令其停止执业活动</w:t>
            </w:r>
          </w:p>
        </w:tc>
      </w:tr>
    </w:tbl>
    <w:p>
      <w:pPr>
        <w:pStyle w:val="BodyText"/>
        <w:spacing w:line="476" w:lineRule="auto"/>
        <w:rPr/>
      </w:pPr>
      <w:r/>
    </w:p>
    <w:p>
      <w:pPr>
        <w:ind w:left="76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第一百七十三条逾期不校验《医疗机构执业许可</w:t>
      </w:r>
      <w:r>
        <w:rPr>
          <w:rFonts w:ascii="FangSong" w:hAnsi="FangSong" w:eastAsia="FangSong" w:cs="FangSong"/>
          <w:sz w:val="30"/>
          <w:szCs w:val="30"/>
          <w:b/>
          <w:bCs/>
          <w:spacing w:val="21"/>
        </w:rPr>
        <w:t>证》仍从事诊疗活动的</w:t>
      </w:r>
    </w:p>
    <w:p>
      <w:pPr>
        <w:ind w:left="774"/>
        <w:spacing w:before="80"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144" w:right="24" w:firstLine="600"/>
        <w:spacing w:before="86" w:line="266" w:lineRule="auto"/>
        <w:jc w:val="both"/>
        <w:rPr>
          <w:rFonts w:ascii="FangSong" w:hAnsi="FangSong" w:eastAsia="FangSong" w:cs="FangSong"/>
          <w:sz w:val="30"/>
          <w:szCs w:val="30"/>
        </w:rPr>
      </w:pPr>
      <w:r>
        <w:rPr>
          <w:rFonts w:ascii="FangSong" w:hAnsi="FangSong" w:eastAsia="FangSong" w:cs="FangSong"/>
          <w:sz w:val="30"/>
          <w:szCs w:val="30"/>
          <w:spacing w:val="24"/>
        </w:rPr>
        <w:t>《医疗机构管理条例》第四十四条违反本条例第二十一条规定，逾期不校验《医疗机构执业许</w:t>
      </w:r>
      <w:r>
        <w:rPr>
          <w:rFonts w:ascii="FangSong" w:hAnsi="FangSong" w:eastAsia="FangSong" w:cs="FangSong"/>
          <w:sz w:val="30"/>
          <w:szCs w:val="30"/>
          <w:spacing w:val="8"/>
        </w:rPr>
        <w:t xml:space="preserve"> </w:t>
      </w:r>
      <w:r>
        <w:rPr>
          <w:rFonts w:ascii="FangSong" w:hAnsi="FangSong" w:eastAsia="FangSong" w:cs="FangSong"/>
          <w:sz w:val="30"/>
          <w:szCs w:val="30"/>
          <w:spacing w:val="12"/>
        </w:rPr>
        <w:t>可证》仍从事诊疗活动的，由县级以上人民政府卫生行</w:t>
      </w:r>
      <w:r>
        <w:rPr>
          <w:rFonts w:ascii="FangSong" w:hAnsi="FangSong" w:eastAsia="FangSong" w:cs="FangSong"/>
          <w:sz w:val="30"/>
          <w:szCs w:val="30"/>
          <w:spacing w:val="11"/>
        </w:rPr>
        <w:t>政部门责令其限期补办校验手续；拒不校验的，</w:t>
      </w:r>
      <w:r>
        <w:rPr>
          <w:rFonts w:ascii="FangSong" w:hAnsi="FangSong" w:eastAsia="FangSong" w:cs="FangSong"/>
          <w:sz w:val="30"/>
          <w:szCs w:val="30"/>
        </w:rPr>
        <w:t xml:space="preserve"> </w:t>
      </w:r>
      <w:r>
        <w:rPr>
          <w:rFonts w:ascii="FangSong" w:hAnsi="FangSong" w:eastAsia="FangSong" w:cs="FangSong"/>
          <w:sz w:val="30"/>
          <w:szCs w:val="30"/>
          <w:spacing w:val="13"/>
        </w:rPr>
        <w:t>吊销其《医疗机构执业许可证》。</w:t>
      </w:r>
    </w:p>
    <w:p>
      <w:pPr>
        <w:ind w:left="6528"/>
        <w:spacing w:before="15"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41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3"/>
        <w:gridCol w:w="5586"/>
        <w:gridCol w:w="7150"/>
      </w:tblGrid>
      <w:tr>
        <w:trPr>
          <w:trHeight w:val="899" w:hRule="atLeast"/>
        </w:trPr>
        <w:tc>
          <w:tcPr>
            <w:tcW w:w="1443" w:type="dxa"/>
            <w:vAlign w:val="top"/>
          </w:tcPr>
          <w:p>
            <w:pPr>
              <w:pStyle w:val="TableText"/>
              <w:ind w:left="129"/>
              <w:spacing w:before="313" w:line="220" w:lineRule="auto"/>
              <w:rPr>
                <w:sz w:val="29"/>
                <w:szCs w:val="29"/>
              </w:rPr>
            </w:pPr>
            <w:r>
              <w:rPr>
                <w:sz w:val="29"/>
                <w:szCs w:val="29"/>
                <w:b/>
                <w:bCs/>
                <w:spacing w:val="-1"/>
              </w:rPr>
              <w:t>违法程度</w:t>
            </w:r>
          </w:p>
        </w:tc>
        <w:tc>
          <w:tcPr>
            <w:tcW w:w="5586" w:type="dxa"/>
            <w:vAlign w:val="top"/>
          </w:tcPr>
          <w:p>
            <w:pPr>
              <w:pStyle w:val="TableText"/>
              <w:ind w:left="2215"/>
              <w:spacing w:before="313" w:line="220" w:lineRule="auto"/>
              <w:rPr>
                <w:sz w:val="29"/>
                <w:szCs w:val="29"/>
              </w:rPr>
            </w:pPr>
            <w:r>
              <w:rPr>
                <w:sz w:val="29"/>
                <w:szCs w:val="29"/>
                <w:b/>
                <w:bCs/>
                <w:spacing w:val="-1"/>
              </w:rPr>
              <w:t>违法后果</w:t>
            </w:r>
          </w:p>
        </w:tc>
        <w:tc>
          <w:tcPr>
            <w:tcW w:w="7150" w:type="dxa"/>
            <w:vAlign w:val="top"/>
          </w:tcPr>
          <w:p>
            <w:pPr>
              <w:pStyle w:val="TableText"/>
              <w:ind w:left="3000"/>
              <w:spacing w:before="310" w:line="218" w:lineRule="auto"/>
              <w:rPr>
                <w:sz w:val="29"/>
                <w:szCs w:val="29"/>
              </w:rPr>
            </w:pPr>
            <w:r>
              <w:rPr>
                <w:sz w:val="29"/>
                <w:szCs w:val="29"/>
                <w:b/>
                <w:bCs/>
                <w:spacing w:val="-1"/>
              </w:rPr>
              <w:t>裁量幅度</w:t>
            </w:r>
          </w:p>
        </w:tc>
      </w:tr>
    </w:tbl>
    <w:p>
      <w:pPr>
        <w:pStyle w:val="BodyText"/>
        <w:rPr/>
      </w:pPr>
      <w:r/>
    </w:p>
    <w:p>
      <w:pPr>
        <w:sectPr>
          <w:footerReference w:type="default" r:id="rId244"/>
          <w:pgSz w:w="16830" w:h="11900"/>
          <w:pgMar w:top="1011" w:right="1314" w:bottom="1140" w:left="1325" w:header="0" w:footer="816" w:gutter="0"/>
        </w:sectPr>
        <w:rPr/>
      </w:pPr>
    </w:p>
    <w:p>
      <w:pPr>
        <w:spacing w:before="13"/>
        <w:rPr/>
      </w:pPr>
      <w:r/>
    </w:p>
    <w:p>
      <w:pPr>
        <w:spacing w:before="13"/>
        <w:rPr/>
      </w:pPr>
      <w:r/>
    </w:p>
    <w:p>
      <w:pPr>
        <w:spacing w:before="13"/>
        <w:rPr/>
      </w:pPr>
      <w:r/>
    </w:p>
    <w:tbl>
      <w:tblPr>
        <w:tblStyle w:val="TableNormal"/>
        <w:tblW w:w="1417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3"/>
        <w:gridCol w:w="5586"/>
        <w:gridCol w:w="7150"/>
      </w:tblGrid>
      <w:tr>
        <w:trPr>
          <w:trHeight w:val="880" w:hRule="atLeast"/>
        </w:trPr>
        <w:tc>
          <w:tcPr>
            <w:tcW w:w="1443" w:type="dxa"/>
            <w:vAlign w:val="top"/>
          </w:tcPr>
          <w:p>
            <w:pPr>
              <w:pStyle w:val="TableText"/>
              <w:ind w:left="448"/>
              <w:spacing w:before="322" w:line="220" w:lineRule="auto"/>
              <w:outlineLvl w:val="1"/>
              <w:rPr>
                <w:sz w:val="25"/>
                <w:szCs w:val="25"/>
              </w:rPr>
            </w:pPr>
            <w:bookmarkStart w:name="bookmark895" w:id="248"/>
            <w:bookmarkEnd w:id="248"/>
            <w:bookmarkStart w:name="bookmark186" w:id="249"/>
            <w:bookmarkEnd w:id="249"/>
            <w:r>
              <w:rPr>
                <w:sz w:val="25"/>
                <w:szCs w:val="25"/>
                <w:b/>
                <w:bCs/>
                <w:spacing w:val="-6"/>
              </w:rPr>
              <w:t>严重</w:t>
            </w:r>
          </w:p>
        </w:tc>
        <w:tc>
          <w:tcPr>
            <w:tcW w:w="5586" w:type="dxa"/>
            <w:vAlign w:val="top"/>
          </w:tcPr>
          <w:p>
            <w:pPr>
              <w:pStyle w:val="TableText"/>
              <w:ind w:left="101"/>
              <w:spacing w:before="154" w:line="264" w:lineRule="auto"/>
              <w:rPr>
                <w:sz w:val="25"/>
                <w:szCs w:val="25"/>
              </w:rPr>
            </w:pPr>
            <w:r>
              <w:rPr>
                <w:sz w:val="25"/>
                <w:szCs w:val="25"/>
                <w:spacing w:val="-2"/>
              </w:rPr>
              <w:t>逾期不校验《医疗机构执业许可证》仍从事诊疗活</w:t>
            </w:r>
            <w:r>
              <w:rPr>
                <w:sz w:val="25"/>
                <w:szCs w:val="25"/>
                <w:spacing w:val="17"/>
              </w:rPr>
              <w:t xml:space="preserve"> </w:t>
            </w:r>
            <w:r>
              <w:rPr>
                <w:sz w:val="25"/>
                <w:szCs w:val="25"/>
              </w:rPr>
              <w:t>动，经责令限期补办仍不办理校验的</w:t>
            </w:r>
          </w:p>
        </w:tc>
        <w:tc>
          <w:tcPr>
            <w:tcW w:w="7150" w:type="dxa"/>
            <w:vAlign w:val="top"/>
          </w:tcPr>
          <w:p>
            <w:pPr>
              <w:pStyle w:val="TableText"/>
              <w:ind w:left="125"/>
              <w:spacing w:before="153" w:line="219" w:lineRule="auto"/>
              <w:rPr>
                <w:sz w:val="25"/>
                <w:szCs w:val="25"/>
              </w:rPr>
            </w:pPr>
            <w:r>
              <w:rPr>
                <w:sz w:val="25"/>
                <w:szCs w:val="25"/>
                <w:spacing w:val="-1"/>
              </w:rPr>
              <w:t>吊销其《医疗机构执业许可证》</w:t>
            </w:r>
          </w:p>
        </w:tc>
      </w:tr>
    </w:tbl>
    <w:p>
      <w:pPr>
        <w:pStyle w:val="BodyText"/>
        <w:spacing w:line="249" w:lineRule="auto"/>
        <w:rPr/>
      </w:pPr>
      <w:r/>
    </w:p>
    <w:p>
      <w:pPr>
        <w:pStyle w:val="BodyText"/>
        <w:spacing w:line="249" w:lineRule="auto"/>
        <w:rPr/>
      </w:pPr>
      <w:r/>
    </w:p>
    <w:p>
      <w:pPr>
        <w:ind w:left="789"/>
        <w:spacing w:before="97" w:line="224" w:lineRule="auto"/>
        <w:rPr>
          <w:rFonts w:ascii="KaiTi" w:hAnsi="KaiTi" w:eastAsia="KaiTi" w:cs="KaiTi"/>
          <w:sz w:val="30"/>
          <w:szCs w:val="30"/>
        </w:rPr>
      </w:pPr>
      <w:r>
        <w:rPr>
          <w:rFonts w:ascii="KaiTi" w:hAnsi="KaiTi" w:eastAsia="KaiTi" w:cs="KaiTi"/>
          <w:sz w:val="30"/>
          <w:szCs w:val="30"/>
          <w:b/>
          <w:bCs/>
          <w:spacing w:val="22"/>
        </w:rPr>
        <w:t>第一百七十四条医疗机构诊疗活动超出登记的诊疗科目范围的</w:t>
      </w:r>
    </w:p>
    <w:p>
      <w:pPr>
        <w:ind w:left="944"/>
        <w:spacing w:before="111"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124" w:right="114" w:firstLine="619"/>
        <w:spacing w:before="72" w:line="271" w:lineRule="auto"/>
        <w:jc w:val="both"/>
        <w:rPr>
          <w:rFonts w:ascii="FangSong" w:hAnsi="FangSong" w:eastAsia="FangSong" w:cs="FangSong"/>
          <w:sz w:val="30"/>
          <w:szCs w:val="30"/>
        </w:rPr>
      </w:pPr>
      <w:r>
        <w:rPr>
          <w:rFonts w:ascii="FangSong" w:hAnsi="FangSong" w:eastAsia="FangSong" w:cs="FangSong"/>
          <w:sz w:val="30"/>
          <w:szCs w:val="30"/>
          <w:spacing w:val="17"/>
        </w:rPr>
        <w:t>《医疗机构管理条例》第四十六条</w:t>
      </w:r>
      <w:r>
        <w:rPr>
          <w:rFonts w:ascii="FangSong" w:hAnsi="FangSong" w:eastAsia="FangSong" w:cs="FangSong"/>
          <w:sz w:val="30"/>
          <w:szCs w:val="30"/>
          <w:spacing w:val="17"/>
        </w:rPr>
        <w:t xml:space="preserve">  </w:t>
      </w:r>
      <w:r>
        <w:rPr>
          <w:rFonts w:ascii="FangSong" w:hAnsi="FangSong" w:eastAsia="FangSong" w:cs="FangSong"/>
          <w:sz w:val="30"/>
          <w:szCs w:val="30"/>
          <w:spacing w:val="17"/>
        </w:rPr>
        <w:t>违反本条例第二十六条规定，诊疗活动超出登记或者备案范</w:t>
      </w:r>
      <w:r>
        <w:rPr>
          <w:rFonts w:ascii="FangSong" w:hAnsi="FangSong" w:eastAsia="FangSong" w:cs="FangSong"/>
          <w:sz w:val="30"/>
          <w:szCs w:val="30"/>
          <w:spacing w:val="8"/>
        </w:rPr>
        <w:t xml:space="preserve"> </w:t>
      </w:r>
      <w:r>
        <w:rPr>
          <w:rFonts w:ascii="FangSong" w:hAnsi="FangSong" w:eastAsia="FangSong" w:cs="FangSong"/>
          <w:sz w:val="30"/>
          <w:szCs w:val="30"/>
          <w:spacing w:val="17"/>
        </w:rPr>
        <w:t>围的，由县级以上人民政府卫生行政部门予以警告、责令其改正，没收违法所得，并可以根据情节处</w:t>
      </w:r>
      <w:r>
        <w:rPr>
          <w:rFonts w:ascii="FangSong" w:hAnsi="FangSong" w:eastAsia="FangSong" w:cs="FangSong"/>
          <w:sz w:val="30"/>
          <w:szCs w:val="30"/>
          <w:spacing w:val="2"/>
        </w:rPr>
        <w:t xml:space="preserve"> </w:t>
      </w:r>
      <w:r>
        <w:rPr>
          <w:rFonts w:ascii="FangSong" w:hAnsi="FangSong" w:eastAsia="FangSong" w:cs="FangSong"/>
          <w:sz w:val="30"/>
          <w:szCs w:val="30"/>
          <w:spacing w:val="27"/>
        </w:rPr>
        <w:t>以1万元以上10万元以下的罚款；情节严重的，吊销其《医疗机构执业许可证》或者责令其停止执</w:t>
      </w:r>
      <w:r>
        <w:rPr>
          <w:rFonts w:ascii="FangSong" w:hAnsi="FangSong" w:eastAsia="FangSong" w:cs="FangSong"/>
          <w:sz w:val="30"/>
          <w:szCs w:val="30"/>
          <w:spacing w:val="15"/>
        </w:rPr>
        <w:t xml:space="preserve"> </w:t>
      </w:r>
      <w:r>
        <w:rPr>
          <w:rFonts w:ascii="FangSong" w:hAnsi="FangSong" w:eastAsia="FangSong" w:cs="FangSong"/>
          <w:sz w:val="30"/>
          <w:szCs w:val="30"/>
          <w:spacing w:val="7"/>
        </w:rPr>
        <w:t>业活动。</w:t>
      </w:r>
    </w:p>
    <w:p>
      <w:pPr>
        <w:ind w:left="6539"/>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2" w:lineRule="auto"/>
        <w:rPr>
          <w:rFonts w:ascii="Arial"/>
          <w:sz w:val="2"/>
        </w:rPr>
      </w:pPr>
      <w:r>
        <w:rPr>
          <w:rFonts w:ascii="Arial"/>
          <w:sz w:val="2"/>
        </w:r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5616"/>
        <w:gridCol w:w="7130"/>
      </w:tblGrid>
      <w:tr>
        <w:trPr>
          <w:trHeight w:val="443" w:hRule="atLeast"/>
        </w:trPr>
        <w:tc>
          <w:tcPr>
            <w:tcW w:w="1424" w:type="dxa"/>
            <w:vAlign w:val="top"/>
          </w:tcPr>
          <w:p>
            <w:pPr>
              <w:pStyle w:val="TableText"/>
              <w:ind w:left="208"/>
              <w:spacing w:before="102" w:line="220" w:lineRule="auto"/>
              <w:rPr>
                <w:sz w:val="25"/>
                <w:szCs w:val="25"/>
              </w:rPr>
            </w:pPr>
            <w:r>
              <w:rPr>
                <w:sz w:val="25"/>
                <w:szCs w:val="25"/>
                <w:b/>
                <w:bCs/>
                <w:spacing w:val="-5"/>
              </w:rPr>
              <w:t>违法程度</w:t>
            </w:r>
          </w:p>
        </w:tc>
        <w:tc>
          <w:tcPr>
            <w:tcW w:w="5616" w:type="dxa"/>
            <w:vAlign w:val="top"/>
          </w:tcPr>
          <w:p>
            <w:pPr>
              <w:pStyle w:val="TableText"/>
              <w:ind w:left="2304"/>
              <w:spacing w:before="102" w:line="220" w:lineRule="auto"/>
              <w:rPr>
                <w:sz w:val="25"/>
                <w:szCs w:val="25"/>
              </w:rPr>
            </w:pPr>
            <w:r>
              <w:rPr>
                <w:sz w:val="25"/>
                <w:szCs w:val="25"/>
                <w:b/>
                <w:bCs/>
                <w:spacing w:val="-5"/>
              </w:rPr>
              <w:t>违法后果</w:t>
            </w:r>
          </w:p>
        </w:tc>
        <w:tc>
          <w:tcPr>
            <w:tcW w:w="7130" w:type="dxa"/>
            <w:vAlign w:val="top"/>
          </w:tcPr>
          <w:p>
            <w:pPr>
              <w:pStyle w:val="TableText"/>
              <w:ind w:left="3058"/>
              <w:spacing w:before="99" w:line="218" w:lineRule="auto"/>
              <w:rPr>
                <w:sz w:val="25"/>
                <w:szCs w:val="25"/>
              </w:rPr>
            </w:pPr>
            <w:r>
              <w:rPr>
                <w:sz w:val="25"/>
                <w:szCs w:val="25"/>
                <w:b/>
                <w:bCs/>
                <w:spacing w:val="-5"/>
              </w:rPr>
              <w:t>裁量幅度</w:t>
            </w:r>
          </w:p>
        </w:tc>
      </w:tr>
      <w:tr>
        <w:trPr>
          <w:trHeight w:val="1645" w:hRule="atLeast"/>
        </w:trPr>
        <w:tc>
          <w:tcPr>
            <w:tcW w:w="1424" w:type="dxa"/>
            <w:vAlign w:val="top"/>
          </w:tcPr>
          <w:p>
            <w:pPr>
              <w:spacing w:line="307" w:lineRule="auto"/>
              <w:rPr>
                <w:rFonts w:ascii="Arial"/>
                <w:sz w:val="21"/>
              </w:rPr>
            </w:pPr>
            <w:r/>
          </w:p>
          <w:p>
            <w:pPr>
              <w:spacing w:line="308" w:lineRule="auto"/>
              <w:rPr>
                <w:rFonts w:ascii="Arial"/>
                <w:sz w:val="21"/>
              </w:rPr>
            </w:pPr>
            <w:r/>
          </w:p>
          <w:p>
            <w:pPr>
              <w:pStyle w:val="TableText"/>
              <w:ind w:left="458"/>
              <w:spacing w:before="81" w:line="221" w:lineRule="auto"/>
              <w:rPr>
                <w:sz w:val="25"/>
                <w:szCs w:val="25"/>
              </w:rPr>
            </w:pPr>
            <w:r>
              <w:rPr>
                <w:sz w:val="25"/>
                <w:szCs w:val="25"/>
                <w:b/>
                <w:bCs/>
                <w:spacing w:val="-10"/>
              </w:rPr>
              <w:t>一般</w:t>
            </w:r>
          </w:p>
        </w:tc>
        <w:tc>
          <w:tcPr>
            <w:tcW w:w="5616" w:type="dxa"/>
            <w:vAlign w:val="top"/>
          </w:tcPr>
          <w:p>
            <w:pPr>
              <w:pStyle w:val="TableText"/>
              <w:ind w:left="51" w:right="44"/>
              <w:spacing w:before="302" w:line="328" w:lineRule="auto"/>
              <w:jc w:val="both"/>
              <w:rPr>
                <w:sz w:val="25"/>
                <w:szCs w:val="25"/>
              </w:rPr>
            </w:pPr>
            <w:r>
              <w:rPr>
                <w:sz w:val="25"/>
                <w:szCs w:val="25"/>
              </w:rPr>
              <w:t>医疗机构诊疗活动超出登记或者备案范围的，无违</w:t>
            </w:r>
            <w:r>
              <w:rPr>
                <w:sz w:val="25"/>
                <w:szCs w:val="25"/>
                <w:spacing w:val="9"/>
              </w:rPr>
              <w:t xml:space="preserve"> </w:t>
            </w:r>
            <w:r>
              <w:rPr>
                <w:sz w:val="25"/>
                <w:szCs w:val="25"/>
                <w:spacing w:val="-1"/>
              </w:rPr>
              <w:t>法所得的、违法所得无法认定的或诊疗活动违法所</w:t>
            </w:r>
            <w:r>
              <w:rPr>
                <w:sz w:val="25"/>
                <w:szCs w:val="25"/>
                <w:spacing w:val="10"/>
              </w:rPr>
              <w:t xml:space="preserve"> </w:t>
            </w:r>
            <w:r>
              <w:rPr>
                <w:sz w:val="25"/>
                <w:szCs w:val="25"/>
                <w:spacing w:val="10"/>
              </w:rPr>
              <w:t>得在1万元以下的</w:t>
            </w:r>
          </w:p>
        </w:tc>
        <w:tc>
          <w:tcPr>
            <w:tcW w:w="7130" w:type="dxa"/>
            <w:vAlign w:val="top"/>
          </w:tcPr>
          <w:p>
            <w:pPr>
              <w:spacing w:line="437" w:lineRule="auto"/>
              <w:rPr>
                <w:rFonts w:ascii="Arial"/>
                <w:sz w:val="21"/>
              </w:rPr>
            </w:pPr>
            <w:r/>
          </w:p>
          <w:p>
            <w:pPr>
              <w:pStyle w:val="TableText"/>
              <w:ind w:left="104" w:hanging="89"/>
              <w:spacing w:before="81" w:line="328" w:lineRule="auto"/>
              <w:rPr>
                <w:sz w:val="25"/>
                <w:szCs w:val="25"/>
              </w:rPr>
            </w:pPr>
            <w:r>
              <w:rPr>
                <w:sz w:val="25"/>
                <w:szCs w:val="25"/>
                <w:spacing w:val="-5"/>
              </w:rPr>
              <w:t>由县级以上人民政府卫生行政部门予以警告、责令其改正，没</w:t>
            </w:r>
            <w:r>
              <w:rPr>
                <w:sz w:val="25"/>
                <w:szCs w:val="25"/>
                <w:spacing w:val="-6"/>
              </w:rPr>
              <w:t>收违</w:t>
            </w:r>
            <w:r>
              <w:rPr>
                <w:sz w:val="25"/>
                <w:szCs w:val="25"/>
              </w:rPr>
              <w:t xml:space="preserve"> </w:t>
            </w:r>
            <w:r>
              <w:rPr>
                <w:sz w:val="25"/>
                <w:szCs w:val="25"/>
              </w:rPr>
              <w:t>法所得，并可以根据情节处以1万元以上3万元以下的罚款</w:t>
            </w:r>
          </w:p>
        </w:tc>
      </w:tr>
      <w:tr>
        <w:trPr>
          <w:trHeight w:val="1271" w:hRule="atLeast"/>
        </w:trPr>
        <w:tc>
          <w:tcPr>
            <w:tcW w:w="1424" w:type="dxa"/>
            <w:vAlign w:val="top"/>
          </w:tcPr>
          <w:p>
            <w:pPr>
              <w:spacing w:line="433" w:lineRule="auto"/>
              <w:rPr>
                <w:rFonts w:ascii="Arial"/>
                <w:sz w:val="21"/>
              </w:rPr>
            </w:pPr>
            <w:r/>
          </w:p>
          <w:p>
            <w:pPr>
              <w:pStyle w:val="TableText"/>
              <w:ind w:left="458"/>
              <w:spacing w:before="81" w:line="221" w:lineRule="auto"/>
              <w:rPr>
                <w:sz w:val="25"/>
                <w:szCs w:val="25"/>
              </w:rPr>
            </w:pPr>
            <w:r>
              <w:rPr>
                <w:sz w:val="25"/>
                <w:szCs w:val="25"/>
                <w:b/>
                <w:bCs/>
                <w:spacing w:val="-6"/>
              </w:rPr>
              <w:t>较重</w:t>
            </w:r>
          </w:p>
        </w:tc>
        <w:tc>
          <w:tcPr>
            <w:tcW w:w="5616" w:type="dxa"/>
            <w:vAlign w:val="top"/>
          </w:tcPr>
          <w:p>
            <w:pPr>
              <w:spacing w:line="263" w:lineRule="auto"/>
              <w:rPr>
                <w:rFonts w:ascii="Arial"/>
                <w:sz w:val="21"/>
              </w:rPr>
            </w:pPr>
            <w:r/>
          </w:p>
          <w:p>
            <w:pPr>
              <w:pStyle w:val="TableText"/>
              <w:ind w:left="121" w:right="44" w:hanging="70"/>
              <w:spacing w:before="81" w:line="335" w:lineRule="auto"/>
              <w:rPr>
                <w:sz w:val="25"/>
                <w:szCs w:val="25"/>
              </w:rPr>
            </w:pPr>
            <w:r>
              <w:rPr>
                <w:sz w:val="25"/>
                <w:szCs w:val="25"/>
              </w:rPr>
              <w:t>医疗机构诊疗活动超出登记或者备案范围的诊疗活</w:t>
            </w:r>
            <w:r>
              <w:rPr>
                <w:sz w:val="25"/>
                <w:szCs w:val="25"/>
                <w:spacing w:val="8"/>
              </w:rPr>
              <w:t xml:space="preserve"> </w:t>
            </w:r>
            <w:r>
              <w:rPr>
                <w:sz w:val="25"/>
                <w:szCs w:val="25"/>
                <w:spacing w:val="1"/>
              </w:rPr>
              <w:t>动违法所得在1万元以上5万元以内的</w:t>
            </w:r>
          </w:p>
        </w:tc>
        <w:tc>
          <w:tcPr>
            <w:tcW w:w="7130" w:type="dxa"/>
            <w:vAlign w:val="top"/>
          </w:tcPr>
          <w:p>
            <w:pPr>
              <w:spacing w:line="273" w:lineRule="auto"/>
              <w:rPr>
                <w:rFonts w:ascii="Arial"/>
                <w:sz w:val="21"/>
              </w:rPr>
            </w:pPr>
            <w:r/>
          </w:p>
          <w:p>
            <w:pPr>
              <w:pStyle w:val="TableText"/>
              <w:ind w:left="104" w:hanging="89"/>
              <w:spacing w:before="81" w:line="328" w:lineRule="auto"/>
              <w:rPr>
                <w:sz w:val="25"/>
                <w:szCs w:val="25"/>
              </w:rPr>
            </w:pPr>
            <w:r>
              <w:rPr>
                <w:sz w:val="25"/>
                <w:szCs w:val="25"/>
                <w:spacing w:val="-5"/>
              </w:rPr>
              <w:t>由县级以上人民政府卫生行政部门予以警告、责令其改正，没</w:t>
            </w:r>
            <w:r>
              <w:rPr>
                <w:sz w:val="25"/>
                <w:szCs w:val="25"/>
                <w:spacing w:val="-6"/>
              </w:rPr>
              <w:t>收违</w:t>
            </w:r>
            <w:r>
              <w:rPr>
                <w:sz w:val="25"/>
                <w:szCs w:val="25"/>
              </w:rPr>
              <w:t xml:space="preserve"> </w:t>
            </w:r>
            <w:r>
              <w:rPr>
                <w:sz w:val="25"/>
                <w:szCs w:val="25"/>
              </w:rPr>
              <w:t>法所得，并可以根据情节处以3万元以上8万元以下的罚款</w:t>
            </w:r>
          </w:p>
        </w:tc>
      </w:tr>
    </w:tbl>
    <w:p>
      <w:pPr>
        <w:pStyle w:val="BodyText"/>
        <w:rPr/>
      </w:pPr>
      <w:r/>
    </w:p>
    <w:p>
      <w:pPr>
        <w:sectPr>
          <w:footerReference w:type="default" r:id="rId245"/>
          <w:pgSz w:w="16830" w:h="11900"/>
          <w:pgMar w:top="1011" w:right="1314" w:bottom="1118" w:left="1314" w:header="0" w:footer="785" w:gutter="0"/>
        </w:sectPr>
        <w:rPr/>
      </w:pPr>
    </w:p>
    <w:p>
      <w:pPr>
        <w:spacing w:before="20"/>
        <w:rPr/>
      </w:pPr>
      <w:r/>
    </w:p>
    <w:p>
      <w:pPr>
        <w:spacing w:before="20"/>
        <w:rPr/>
      </w:pPr>
      <w:r/>
    </w:p>
    <w:p>
      <w:pPr>
        <w:spacing w:before="19"/>
        <w:rPr/>
      </w:pPr>
      <w:r/>
    </w:p>
    <w:tbl>
      <w:tblPr>
        <w:tblStyle w:val="TableNormal"/>
        <w:tblW w:w="1415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3"/>
        <w:gridCol w:w="5586"/>
        <w:gridCol w:w="7140"/>
      </w:tblGrid>
      <w:tr>
        <w:trPr>
          <w:trHeight w:val="1759" w:hRule="atLeast"/>
        </w:trPr>
        <w:tc>
          <w:tcPr>
            <w:tcW w:w="1433" w:type="dxa"/>
            <w:vAlign w:val="top"/>
          </w:tcPr>
          <w:p>
            <w:pPr>
              <w:spacing w:line="338" w:lineRule="auto"/>
              <w:rPr>
                <w:rFonts w:ascii="Arial"/>
                <w:sz w:val="21"/>
              </w:rPr>
            </w:pPr>
            <w:r/>
          </w:p>
          <w:p>
            <w:pPr>
              <w:spacing w:line="339" w:lineRule="auto"/>
              <w:rPr>
                <w:rFonts w:ascii="Arial"/>
                <w:sz w:val="21"/>
              </w:rPr>
            </w:pPr>
            <w:r/>
          </w:p>
          <w:p>
            <w:pPr>
              <w:pStyle w:val="TableText"/>
              <w:ind w:left="458"/>
              <w:spacing w:before="81" w:line="220" w:lineRule="auto"/>
              <w:outlineLvl w:val="1"/>
              <w:rPr>
                <w:sz w:val="25"/>
                <w:szCs w:val="25"/>
              </w:rPr>
            </w:pPr>
            <w:bookmarkStart w:name="bookmark896" w:id="250"/>
            <w:bookmarkEnd w:id="250"/>
            <w:bookmarkStart w:name="bookmark186" w:id="251"/>
            <w:bookmarkEnd w:id="251"/>
            <w:r>
              <w:rPr>
                <w:sz w:val="25"/>
                <w:szCs w:val="25"/>
                <w:b/>
                <w:bCs/>
                <w:spacing w:val="-6"/>
              </w:rPr>
              <w:t>严重</w:t>
            </w:r>
          </w:p>
        </w:tc>
        <w:tc>
          <w:tcPr>
            <w:tcW w:w="5586" w:type="dxa"/>
            <w:vAlign w:val="top"/>
          </w:tcPr>
          <w:p>
            <w:pPr>
              <w:pStyle w:val="TableText"/>
              <w:ind w:left="111"/>
              <w:spacing w:before="146" w:line="220" w:lineRule="auto"/>
              <w:rPr>
                <w:sz w:val="25"/>
                <w:szCs w:val="25"/>
              </w:rPr>
            </w:pPr>
            <w:r>
              <w:rPr>
                <w:sz w:val="25"/>
                <w:szCs w:val="25"/>
                <w:spacing w:val="2"/>
              </w:rPr>
              <w:t>有下列情形之一的：</w:t>
            </w:r>
          </w:p>
          <w:p>
            <w:pPr>
              <w:pStyle w:val="TableText"/>
              <w:ind w:left="110" w:hanging="19"/>
              <w:spacing w:before="159" w:line="277" w:lineRule="auto"/>
              <w:rPr>
                <w:sz w:val="25"/>
                <w:szCs w:val="25"/>
              </w:rPr>
            </w:pPr>
            <w:r>
              <w:rPr>
                <w:sz w:val="25"/>
                <w:szCs w:val="25"/>
                <w:spacing w:val="-1"/>
              </w:rPr>
              <w:t>A.超出登记的诊疗科目范围的诊疗活动违法所得在</w:t>
            </w:r>
            <w:r>
              <w:rPr>
                <w:sz w:val="25"/>
                <w:szCs w:val="25"/>
                <w:spacing w:val="6"/>
              </w:rPr>
              <w:t xml:space="preserve"> </w:t>
            </w:r>
            <w:r>
              <w:rPr>
                <w:sz w:val="25"/>
                <w:szCs w:val="25"/>
                <w:spacing w:val="3"/>
              </w:rPr>
              <w:t>5万元以上的</w:t>
            </w:r>
          </w:p>
          <w:p>
            <w:pPr>
              <w:pStyle w:val="TableText"/>
              <w:ind w:left="111"/>
              <w:spacing w:before="151" w:line="180" w:lineRule="auto"/>
              <w:rPr>
                <w:sz w:val="25"/>
                <w:szCs w:val="25"/>
              </w:rPr>
            </w:pPr>
            <w:r>
              <w:rPr>
                <w:sz w:val="25"/>
                <w:szCs w:val="25"/>
                <w:spacing w:val="1"/>
              </w:rPr>
              <w:t>B.给患者造成伤害</w:t>
            </w:r>
          </w:p>
        </w:tc>
        <w:tc>
          <w:tcPr>
            <w:tcW w:w="7140" w:type="dxa"/>
            <w:vAlign w:val="top"/>
          </w:tcPr>
          <w:p>
            <w:pPr>
              <w:spacing w:line="254" w:lineRule="auto"/>
              <w:rPr>
                <w:rFonts w:ascii="Arial"/>
                <w:sz w:val="21"/>
              </w:rPr>
            </w:pPr>
            <w:r/>
          </w:p>
          <w:p>
            <w:pPr>
              <w:spacing w:line="255" w:lineRule="auto"/>
              <w:rPr>
                <w:rFonts w:ascii="Arial"/>
                <w:sz w:val="21"/>
              </w:rPr>
            </w:pPr>
            <w:r/>
          </w:p>
          <w:p>
            <w:pPr>
              <w:pStyle w:val="TableText"/>
              <w:ind w:left="124" w:hanging="109"/>
              <w:spacing w:before="81" w:line="328" w:lineRule="auto"/>
              <w:rPr>
                <w:sz w:val="25"/>
                <w:szCs w:val="25"/>
              </w:rPr>
            </w:pPr>
            <w:r>
              <w:rPr>
                <w:sz w:val="25"/>
                <w:szCs w:val="25"/>
                <w:spacing w:val="-5"/>
              </w:rPr>
              <w:t>由县级以上人民政府卫生行政部门予以警告、责令其改正，没收违</w:t>
            </w:r>
            <w:r>
              <w:rPr>
                <w:sz w:val="25"/>
                <w:szCs w:val="25"/>
                <w:spacing w:val="8"/>
              </w:rPr>
              <w:t xml:space="preserve"> </w:t>
            </w:r>
            <w:r>
              <w:rPr>
                <w:sz w:val="25"/>
                <w:szCs w:val="25"/>
                <w:spacing w:val="-1"/>
              </w:rPr>
              <w:t>法所得，并可以根据情节处以8万元以上10万元以下的罚款</w:t>
            </w:r>
          </w:p>
        </w:tc>
      </w:tr>
      <w:tr>
        <w:trPr>
          <w:trHeight w:val="1331" w:hRule="atLeast"/>
        </w:trPr>
        <w:tc>
          <w:tcPr>
            <w:tcW w:w="1433" w:type="dxa"/>
            <w:vAlign w:val="top"/>
          </w:tcPr>
          <w:p>
            <w:pPr>
              <w:spacing w:line="458" w:lineRule="auto"/>
              <w:rPr>
                <w:rFonts w:ascii="Arial"/>
                <w:sz w:val="21"/>
              </w:rPr>
            </w:pPr>
            <w:r/>
          </w:p>
          <w:p>
            <w:pPr>
              <w:pStyle w:val="TableText"/>
              <w:ind w:left="208"/>
              <w:spacing w:before="82" w:line="219" w:lineRule="auto"/>
              <w:rPr>
                <w:sz w:val="25"/>
                <w:szCs w:val="25"/>
              </w:rPr>
            </w:pPr>
            <w:r>
              <w:rPr>
                <w:sz w:val="25"/>
                <w:szCs w:val="25"/>
                <w:b/>
                <w:bCs/>
                <w:spacing w:val="-5"/>
              </w:rPr>
              <w:t>特别严重</w:t>
            </w:r>
          </w:p>
        </w:tc>
        <w:tc>
          <w:tcPr>
            <w:tcW w:w="5586" w:type="dxa"/>
            <w:vAlign w:val="top"/>
          </w:tcPr>
          <w:p>
            <w:pPr>
              <w:spacing w:line="463" w:lineRule="auto"/>
              <w:rPr>
                <w:rFonts w:ascii="Arial"/>
                <w:sz w:val="21"/>
              </w:rPr>
            </w:pPr>
            <w:r/>
          </w:p>
          <w:p>
            <w:pPr>
              <w:pStyle w:val="TableText"/>
              <w:ind w:left="111"/>
              <w:spacing w:before="81" w:line="220" w:lineRule="auto"/>
              <w:rPr>
                <w:sz w:val="25"/>
                <w:szCs w:val="25"/>
              </w:rPr>
            </w:pPr>
            <w:r>
              <w:rPr>
                <w:sz w:val="25"/>
                <w:szCs w:val="25"/>
                <w:spacing w:val="1"/>
              </w:rPr>
              <w:t>情节严重，造成患者死亡的</w:t>
            </w:r>
          </w:p>
        </w:tc>
        <w:tc>
          <w:tcPr>
            <w:tcW w:w="7140" w:type="dxa"/>
            <w:vAlign w:val="top"/>
          </w:tcPr>
          <w:p>
            <w:pPr>
              <w:pStyle w:val="TableText"/>
              <w:ind w:left="64" w:hanging="49"/>
              <w:spacing w:before="163" w:line="285" w:lineRule="auto"/>
              <w:jc w:val="both"/>
              <w:rPr>
                <w:sz w:val="25"/>
                <w:szCs w:val="25"/>
              </w:rPr>
            </w:pPr>
            <w:r>
              <w:rPr>
                <w:sz w:val="25"/>
                <w:szCs w:val="25"/>
                <w:spacing w:val="-5"/>
              </w:rPr>
              <w:t>由县级以上人民政府卫生行政部门予以警告、责令其改正，没收违</w:t>
            </w:r>
            <w:r>
              <w:rPr>
                <w:sz w:val="25"/>
                <w:szCs w:val="25"/>
                <w:spacing w:val="8"/>
              </w:rPr>
              <w:t xml:space="preserve"> </w:t>
            </w:r>
            <w:r>
              <w:rPr>
                <w:sz w:val="25"/>
                <w:szCs w:val="25"/>
              </w:rPr>
              <w:t>法所得，并可以根据情节处以10万元的罚款，吊销其《医疗机构</w:t>
            </w:r>
            <w:r>
              <w:rPr>
                <w:sz w:val="25"/>
                <w:szCs w:val="25"/>
                <w:spacing w:val="9"/>
              </w:rPr>
              <w:t xml:space="preserve"> </w:t>
            </w:r>
            <w:r>
              <w:rPr>
                <w:sz w:val="25"/>
                <w:szCs w:val="25"/>
                <w:spacing w:val="3"/>
              </w:rPr>
              <w:t>执业许可证》或者责令其停止执业活动</w:t>
            </w:r>
          </w:p>
        </w:tc>
      </w:tr>
    </w:tbl>
    <w:p>
      <w:pPr>
        <w:pStyle w:val="BodyText"/>
        <w:spacing w:line="466" w:lineRule="auto"/>
        <w:rPr/>
      </w:pPr>
      <w:r/>
    </w:p>
    <w:p>
      <w:pPr>
        <w:ind w:left="78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第一百七十五条中医医疗机构诊疗科目或者范围超出登记范围的</w:t>
      </w:r>
    </w:p>
    <w:p>
      <w:pPr>
        <w:ind w:left="785"/>
        <w:spacing w:before="90"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135" w:right="84" w:firstLine="609"/>
        <w:spacing w:before="87" w:line="260" w:lineRule="auto"/>
        <w:jc w:val="both"/>
        <w:rPr>
          <w:rFonts w:ascii="FangSong" w:hAnsi="FangSong" w:eastAsia="FangSong" w:cs="FangSong"/>
          <w:sz w:val="30"/>
          <w:szCs w:val="30"/>
        </w:rPr>
      </w:pPr>
      <w:r>
        <w:rPr>
          <w:rFonts w:ascii="FangSong" w:hAnsi="FangSong" w:eastAsia="FangSong" w:cs="FangSong"/>
          <w:sz w:val="30"/>
          <w:szCs w:val="30"/>
          <w:spacing w:val="17"/>
        </w:rPr>
        <w:t>《医疗机构管理条例》第四十六条</w:t>
      </w:r>
      <w:r>
        <w:rPr>
          <w:rFonts w:ascii="FangSong" w:hAnsi="FangSong" w:eastAsia="FangSong" w:cs="FangSong"/>
          <w:sz w:val="30"/>
          <w:szCs w:val="30"/>
          <w:spacing w:val="17"/>
        </w:rPr>
        <w:t xml:space="preserve">  </w:t>
      </w:r>
      <w:r>
        <w:rPr>
          <w:rFonts w:ascii="FangSong" w:hAnsi="FangSong" w:eastAsia="FangSong" w:cs="FangSong"/>
          <w:sz w:val="30"/>
          <w:szCs w:val="30"/>
          <w:spacing w:val="17"/>
        </w:rPr>
        <w:t>违反本条例第二十六条规定，诊疗活动超出登记或者备</w:t>
      </w:r>
      <w:r>
        <w:rPr>
          <w:rFonts w:ascii="FangSong" w:hAnsi="FangSong" w:eastAsia="FangSong" w:cs="FangSong"/>
          <w:sz w:val="30"/>
          <w:szCs w:val="30"/>
          <w:spacing w:val="16"/>
        </w:rPr>
        <w:t>案范</w:t>
      </w:r>
      <w:r>
        <w:rPr>
          <w:rFonts w:ascii="FangSong" w:hAnsi="FangSong" w:eastAsia="FangSong" w:cs="FangSong"/>
          <w:sz w:val="30"/>
          <w:szCs w:val="30"/>
        </w:rPr>
        <w:t xml:space="preserve"> </w:t>
      </w:r>
      <w:r>
        <w:rPr>
          <w:rFonts w:ascii="FangSong" w:hAnsi="FangSong" w:eastAsia="FangSong" w:cs="FangSong"/>
          <w:sz w:val="30"/>
          <w:szCs w:val="30"/>
          <w:spacing w:val="17"/>
        </w:rPr>
        <w:t>围的，由县级以上人民政府卫生行政部门予以警告、责令其改正，没收违法所得，并可以根据情节处</w:t>
      </w:r>
      <w:r>
        <w:rPr>
          <w:rFonts w:ascii="FangSong" w:hAnsi="FangSong" w:eastAsia="FangSong" w:cs="FangSong"/>
          <w:sz w:val="30"/>
          <w:szCs w:val="30"/>
          <w:spacing w:val="11"/>
        </w:rPr>
        <w:t xml:space="preserve"> </w:t>
      </w:r>
      <w:r>
        <w:rPr>
          <w:rFonts w:ascii="FangSong" w:hAnsi="FangSong" w:eastAsia="FangSong" w:cs="FangSong"/>
          <w:sz w:val="30"/>
          <w:szCs w:val="30"/>
          <w:spacing w:val="27"/>
        </w:rPr>
        <w:t>以1万元以上10万元以下的罚款；情节严重的，吊销其《医疗机构执业许可证》或者责</w:t>
      </w:r>
      <w:r>
        <w:rPr>
          <w:rFonts w:ascii="FangSong" w:hAnsi="FangSong" w:eastAsia="FangSong" w:cs="FangSong"/>
          <w:sz w:val="30"/>
          <w:szCs w:val="30"/>
          <w:spacing w:val="26"/>
        </w:rPr>
        <w:t>令其停止执</w:t>
      </w:r>
      <w:r>
        <w:rPr>
          <w:rFonts w:ascii="FangSong" w:hAnsi="FangSong" w:eastAsia="FangSong" w:cs="FangSong"/>
          <w:sz w:val="30"/>
          <w:szCs w:val="30"/>
        </w:rPr>
        <w:t xml:space="preserve"> </w:t>
      </w:r>
      <w:r>
        <w:rPr>
          <w:rFonts w:ascii="FangSong" w:hAnsi="FangSong" w:eastAsia="FangSong" w:cs="FangSong"/>
          <w:sz w:val="30"/>
          <w:szCs w:val="30"/>
          <w:spacing w:val="-1"/>
        </w:rPr>
        <w:t>业活动。</w:t>
      </w:r>
    </w:p>
    <w:p>
      <w:pPr>
        <w:ind w:left="6539"/>
        <w:spacing w:before="50"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4"/>
        <w:gridCol w:w="5586"/>
        <w:gridCol w:w="7130"/>
      </w:tblGrid>
      <w:tr>
        <w:trPr>
          <w:trHeight w:val="1440" w:hRule="atLeast"/>
        </w:trPr>
        <w:tc>
          <w:tcPr>
            <w:tcW w:w="1454" w:type="dxa"/>
            <w:vAlign w:val="top"/>
          </w:tcPr>
          <w:p>
            <w:pPr>
              <w:spacing w:line="243" w:lineRule="auto"/>
              <w:rPr>
                <w:rFonts w:ascii="Arial"/>
                <w:sz w:val="21"/>
              </w:rPr>
            </w:pPr>
            <w:r/>
          </w:p>
          <w:p>
            <w:pPr>
              <w:spacing w:line="243" w:lineRule="auto"/>
              <w:rPr>
                <w:rFonts w:ascii="Arial"/>
                <w:sz w:val="21"/>
              </w:rPr>
            </w:pPr>
            <w:r/>
          </w:p>
          <w:p>
            <w:pPr>
              <w:pStyle w:val="TableText"/>
              <w:ind w:left="149"/>
              <w:spacing w:before="94" w:line="220" w:lineRule="auto"/>
              <w:rPr>
                <w:sz w:val="29"/>
                <w:szCs w:val="29"/>
              </w:rPr>
            </w:pPr>
            <w:r>
              <w:rPr>
                <w:sz w:val="29"/>
                <w:szCs w:val="29"/>
                <w:b/>
                <w:bCs/>
                <w:spacing w:val="-1"/>
              </w:rPr>
              <w:t>违法程度</w:t>
            </w:r>
          </w:p>
        </w:tc>
        <w:tc>
          <w:tcPr>
            <w:tcW w:w="5586" w:type="dxa"/>
            <w:vAlign w:val="top"/>
          </w:tcPr>
          <w:p>
            <w:pPr>
              <w:spacing w:line="243" w:lineRule="auto"/>
              <w:rPr>
                <w:rFonts w:ascii="Arial"/>
                <w:sz w:val="21"/>
              </w:rPr>
            </w:pPr>
            <w:r/>
          </w:p>
          <w:p>
            <w:pPr>
              <w:spacing w:line="243" w:lineRule="auto"/>
              <w:rPr>
                <w:rFonts w:ascii="Arial"/>
                <w:sz w:val="21"/>
              </w:rPr>
            </w:pPr>
            <w:r/>
          </w:p>
          <w:p>
            <w:pPr>
              <w:pStyle w:val="TableText"/>
              <w:ind w:left="2215"/>
              <w:spacing w:before="94" w:line="220" w:lineRule="auto"/>
              <w:rPr>
                <w:sz w:val="29"/>
                <w:szCs w:val="29"/>
              </w:rPr>
            </w:pPr>
            <w:r>
              <w:rPr>
                <w:sz w:val="29"/>
                <w:szCs w:val="29"/>
                <w:b/>
                <w:bCs/>
                <w:spacing w:val="-1"/>
              </w:rPr>
              <w:t>违法后果</w:t>
            </w:r>
          </w:p>
        </w:tc>
        <w:tc>
          <w:tcPr>
            <w:tcW w:w="7130" w:type="dxa"/>
            <w:vAlign w:val="top"/>
          </w:tcPr>
          <w:p>
            <w:pPr>
              <w:spacing w:line="241" w:lineRule="auto"/>
              <w:rPr>
                <w:rFonts w:ascii="Arial"/>
                <w:sz w:val="21"/>
              </w:rPr>
            </w:pPr>
            <w:r/>
          </w:p>
          <w:p>
            <w:pPr>
              <w:spacing w:line="242" w:lineRule="auto"/>
              <w:rPr>
                <w:rFonts w:ascii="Arial"/>
                <w:sz w:val="21"/>
              </w:rPr>
            </w:pPr>
            <w:r/>
          </w:p>
          <w:p>
            <w:pPr>
              <w:pStyle w:val="TableText"/>
              <w:ind w:left="3009"/>
              <w:spacing w:before="94" w:line="218" w:lineRule="auto"/>
              <w:rPr>
                <w:sz w:val="29"/>
                <w:szCs w:val="29"/>
              </w:rPr>
            </w:pPr>
            <w:r>
              <w:rPr>
                <w:sz w:val="29"/>
                <w:szCs w:val="29"/>
                <w:b/>
                <w:bCs/>
                <w:spacing w:val="-1"/>
              </w:rPr>
              <w:t>裁量幅度</w:t>
            </w:r>
          </w:p>
        </w:tc>
      </w:tr>
    </w:tbl>
    <w:p>
      <w:pPr>
        <w:pStyle w:val="BodyText"/>
        <w:spacing w:line="248" w:lineRule="auto"/>
        <w:rPr/>
      </w:pPr>
      <w:r/>
    </w:p>
    <w:p>
      <w:pPr>
        <w:pStyle w:val="BodyText"/>
        <w:spacing w:line="249" w:lineRule="auto"/>
        <w:rPr/>
      </w:pPr>
      <w:r/>
    </w:p>
    <w:p>
      <w:pPr>
        <w:pStyle w:val="BodyText"/>
        <w:spacing w:line="249" w:lineRule="auto"/>
        <w:rPr/>
      </w:pPr>
      <w:r/>
    </w:p>
    <w:p>
      <w:pPr>
        <w:ind w:left="6465"/>
        <w:spacing w:before="103" w:line="188"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—260—</w:t>
      </w:r>
    </w:p>
    <w:p>
      <w:pPr>
        <w:spacing w:line="188" w:lineRule="auto"/>
        <w:sectPr>
          <w:footerReference w:type="default" r:id="rId24"/>
          <w:pgSz w:w="16830" w:h="11900"/>
          <w:pgMar w:top="1011" w:right="1335" w:bottom="400" w:left="1314" w:header="0" w:footer="0" w:gutter="0"/>
        </w:sectPr>
        <w:rPr>
          <w:rFonts w:ascii="Times New Roman" w:hAnsi="Times New Roman" w:eastAsia="Times New Roman" w:cs="Times New Roman"/>
          <w:sz w:val="36"/>
          <w:szCs w:val="36"/>
        </w:rPr>
      </w:pPr>
    </w:p>
    <w:p>
      <w:pPr>
        <w:spacing w:before="17"/>
        <w:rPr/>
      </w:pPr>
      <w:r/>
    </w:p>
    <w:p>
      <w:pPr>
        <w:spacing w:before="16"/>
        <w:rPr/>
      </w:pPr>
      <w:r/>
    </w:p>
    <w:p>
      <w:pPr>
        <w:spacing w:before="16"/>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3"/>
        <w:gridCol w:w="5616"/>
        <w:gridCol w:w="7120"/>
      </w:tblGrid>
      <w:tr>
        <w:trPr>
          <w:trHeight w:val="1332" w:hRule="atLeast"/>
        </w:trPr>
        <w:tc>
          <w:tcPr>
            <w:tcW w:w="1413" w:type="dxa"/>
            <w:vAlign w:val="top"/>
          </w:tcPr>
          <w:p>
            <w:pPr>
              <w:spacing w:line="459" w:lineRule="auto"/>
              <w:rPr>
                <w:rFonts w:ascii="Arial"/>
                <w:sz w:val="21"/>
              </w:rPr>
            </w:pPr>
            <w:r/>
          </w:p>
          <w:p>
            <w:pPr>
              <w:pStyle w:val="TableText"/>
              <w:ind w:left="448"/>
              <w:spacing w:before="81" w:line="221" w:lineRule="auto"/>
              <w:rPr>
                <w:sz w:val="25"/>
                <w:szCs w:val="25"/>
              </w:rPr>
            </w:pPr>
            <w:bookmarkStart w:name="bookmark897" w:id="252"/>
            <w:bookmarkEnd w:id="252"/>
            <w:r>
              <w:rPr>
                <w:sz w:val="25"/>
                <w:szCs w:val="25"/>
                <w:b/>
                <w:bCs/>
                <w:spacing w:val="-10"/>
              </w:rPr>
              <w:t>一般</w:t>
            </w:r>
          </w:p>
        </w:tc>
        <w:tc>
          <w:tcPr>
            <w:tcW w:w="5616" w:type="dxa"/>
            <w:vAlign w:val="top"/>
          </w:tcPr>
          <w:p>
            <w:pPr>
              <w:pStyle w:val="TableText"/>
              <w:ind w:left="101" w:firstLine="39"/>
              <w:spacing w:before="135" w:line="292" w:lineRule="auto"/>
              <w:jc w:val="both"/>
              <w:rPr>
                <w:sz w:val="25"/>
                <w:szCs w:val="25"/>
              </w:rPr>
            </w:pPr>
            <w:r>
              <w:rPr>
                <w:sz w:val="25"/>
                <w:szCs w:val="25"/>
                <w:spacing w:val="-2"/>
              </w:rPr>
              <w:t>中医医疗机构诊疗活动超出登记或者备案范围的，</w:t>
            </w:r>
            <w:r>
              <w:rPr>
                <w:sz w:val="25"/>
                <w:szCs w:val="25"/>
                <w:spacing w:val="7"/>
              </w:rPr>
              <w:t xml:space="preserve"> </w:t>
            </w:r>
            <w:r>
              <w:rPr>
                <w:sz w:val="25"/>
                <w:szCs w:val="25"/>
                <w:spacing w:val="-1"/>
              </w:rPr>
              <w:t>无违法所得的、违法所得无法认定的或诊疗活动违</w:t>
            </w:r>
            <w:r>
              <w:rPr>
                <w:sz w:val="25"/>
                <w:szCs w:val="25"/>
                <w:spacing w:val="1"/>
              </w:rPr>
              <w:t xml:space="preserve"> </w:t>
            </w:r>
            <w:r>
              <w:rPr>
                <w:sz w:val="25"/>
                <w:szCs w:val="25"/>
                <w:spacing w:val="1"/>
              </w:rPr>
              <w:t>法所得在1万元以下的</w:t>
            </w:r>
          </w:p>
        </w:tc>
        <w:tc>
          <w:tcPr>
            <w:tcW w:w="7120" w:type="dxa"/>
            <w:vAlign w:val="top"/>
          </w:tcPr>
          <w:p>
            <w:pPr>
              <w:spacing w:line="271" w:lineRule="auto"/>
              <w:rPr>
                <w:rFonts w:ascii="Arial"/>
                <w:sz w:val="21"/>
              </w:rPr>
            </w:pPr>
            <w:r/>
          </w:p>
          <w:p>
            <w:pPr>
              <w:pStyle w:val="TableText"/>
              <w:ind w:left="104" w:hanging="89"/>
              <w:spacing w:before="81" w:line="328" w:lineRule="auto"/>
              <w:rPr>
                <w:sz w:val="25"/>
                <w:szCs w:val="25"/>
              </w:rPr>
            </w:pPr>
            <w:r>
              <w:rPr>
                <w:sz w:val="25"/>
                <w:szCs w:val="25"/>
                <w:spacing w:val="-6"/>
              </w:rPr>
              <w:t>由县级以上人民政府卫生行政部门予以警告、责令其改正，没收违</w:t>
            </w:r>
            <w:r>
              <w:rPr>
                <w:sz w:val="25"/>
                <w:szCs w:val="25"/>
                <w:spacing w:val="17"/>
              </w:rPr>
              <w:t xml:space="preserve"> </w:t>
            </w:r>
            <w:r>
              <w:rPr>
                <w:sz w:val="25"/>
                <w:szCs w:val="25"/>
              </w:rPr>
              <w:t>法所得，并可以根据情节处以1万元以上3万元以下的罚款</w:t>
            </w:r>
          </w:p>
        </w:tc>
      </w:tr>
      <w:tr>
        <w:trPr>
          <w:trHeight w:val="868" w:hRule="atLeast"/>
        </w:trPr>
        <w:tc>
          <w:tcPr>
            <w:tcW w:w="1413" w:type="dxa"/>
            <w:vAlign w:val="top"/>
          </w:tcPr>
          <w:p>
            <w:pPr>
              <w:pStyle w:val="TableText"/>
              <w:ind w:left="448"/>
              <w:spacing w:before="313" w:line="221" w:lineRule="auto"/>
              <w:rPr>
                <w:sz w:val="25"/>
                <w:szCs w:val="25"/>
              </w:rPr>
            </w:pPr>
            <w:r>
              <w:rPr>
                <w:sz w:val="25"/>
                <w:szCs w:val="25"/>
                <w:b/>
                <w:bCs/>
                <w:spacing w:val="-6"/>
              </w:rPr>
              <w:t>较重</w:t>
            </w:r>
          </w:p>
        </w:tc>
        <w:tc>
          <w:tcPr>
            <w:tcW w:w="5616" w:type="dxa"/>
            <w:vAlign w:val="top"/>
          </w:tcPr>
          <w:p>
            <w:pPr>
              <w:pStyle w:val="TableText"/>
              <w:ind w:left="101"/>
              <w:spacing w:before="151" w:line="261" w:lineRule="auto"/>
              <w:rPr>
                <w:sz w:val="25"/>
                <w:szCs w:val="25"/>
              </w:rPr>
            </w:pPr>
            <w:r>
              <w:rPr>
                <w:sz w:val="25"/>
                <w:szCs w:val="25"/>
              </w:rPr>
              <w:t>中医医疗机构诊疗活动超出登记或者备案范围的诊</w:t>
            </w:r>
            <w:r>
              <w:rPr>
                <w:sz w:val="25"/>
                <w:szCs w:val="25"/>
                <w:spacing w:val="3"/>
              </w:rPr>
              <w:t xml:space="preserve"> </w:t>
            </w:r>
            <w:r>
              <w:rPr>
                <w:sz w:val="25"/>
                <w:szCs w:val="25"/>
              </w:rPr>
              <w:t>疗活动违法所得在1万元以上5万元以内的</w:t>
            </w:r>
          </w:p>
        </w:tc>
        <w:tc>
          <w:tcPr>
            <w:tcW w:w="7120" w:type="dxa"/>
            <w:vAlign w:val="top"/>
          </w:tcPr>
          <w:p>
            <w:pPr>
              <w:pStyle w:val="TableText"/>
              <w:ind w:left="104" w:hanging="89"/>
              <w:spacing w:before="140" w:line="265" w:lineRule="auto"/>
              <w:rPr>
                <w:sz w:val="25"/>
                <w:szCs w:val="25"/>
              </w:rPr>
            </w:pPr>
            <w:r>
              <w:rPr>
                <w:sz w:val="25"/>
                <w:szCs w:val="25"/>
                <w:spacing w:val="-6"/>
              </w:rPr>
              <w:t>由县级以上人民政府卫生行政部门予以警告、责令其改正，没收违</w:t>
            </w:r>
            <w:r>
              <w:rPr>
                <w:sz w:val="25"/>
                <w:szCs w:val="25"/>
                <w:spacing w:val="17"/>
              </w:rPr>
              <w:t xml:space="preserve"> </w:t>
            </w:r>
            <w:r>
              <w:rPr>
                <w:sz w:val="25"/>
                <w:szCs w:val="25"/>
              </w:rPr>
              <w:t>法所得，并可以根据情节处以3万元以上8万元以下的罚款</w:t>
            </w:r>
          </w:p>
        </w:tc>
      </w:tr>
      <w:tr>
        <w:trPr>
          <w:trHeight w:val="1747" w:hRule="atLeast"/>
        </w:trPr>
        <w:tc>
          <w:tcPr>
            <w:tcW w:w="1413" w:type="dxa"/>
            <w:vAlign w:val="top"/>
          </w:tcPr>
          <w:p>
            <w:pPr>
              <w:spacing w:line="333" w:lineRule="auto"/>
              <w:rPr>
                <w:rFonts w:ascii="Arial"/>
                <w:sz w:val="21"/>
              </w:rPr>
            </w:pPr>
            <w:r/>
          </w:p>
          <w:p>
            <w:pPr>
              <w:spacing w:line="334" w:lineRule="auto"/>
              <w:rPr>
                <w:rFonts w:ascii="Arial"/>
                <w:sz w:val="21"/>
              </w:rPr>
            </w:pPr>
            <w:r/>
          </w:p>
          <w:p>
            <w:pPr>
              <w:pStyle w:val="TableText"/>
              <w:ind w:left="448"/>
              <w:spacing w:before="81" w:line="220" w:lineRule="auto"/>
              <w:rPr>
                <w:sz w:val="25"/>
                <w:szCs w:val="25"/>
              </w:rPr>
            </w:pPr>
            <w:r>
              <w:rPr>
                <w:sz w:val="25"/>
                <w:szCs w:val="25"/>
                <w:b/>
                <w:bCs/>
                <w:spacing w:val="-6"/>
              </w:rPr>
              <w:t>严重</w:t>
            </w:r>
          </w:p>
        </w:tc>
        <w:tc>
          <w:tcPr>
            <w:tcW w:w="5616" w:type="dxa"/>
            <w:vAlign w:val="top"/>
          </w:tcPr>
          <w:p>
            <w:pPr>
              <w:pStyle w:val="TableText"/>
              <w:ind w:left="101"/>
              <w:spacing w:before="156" w:line="220" w:lineRule="auto"/>
              <w:rPr>
                <w:sz w:val="25"/>
                <w:szCs w:val="25"/>
              </w:rPr>
            </w:pPr>
            <w:r>
              <w:rPr>
                <w:sz w:val="25"/>
                <w:szCs w:val="25"/>
                <w:spacing w:val="2"/>
              </w:rPr>
              <w:t>有下列情形之一的：</w:t>
            </w:r>
          </w:p>
          <w:p>
            <w:pPr>
              <w:pStyle w:val="TableText"/>
              <w:ind w:left="101" w:right="6"/>
              <w:spacing w:before="150" w:line="273" w:lineRule="auto"/>
              <w:rPr>
                <w:sz w:val="25"/>
                <w:szCs w:val="25"/>
              </w:rPr>
            </w:pPr>
            <w:r>
              <w:rPr>
                <w:sz w:val="25"/>
                <w:szCs w:val="25"/>
              </w:rPr>
              <w:t>A.超出登记的诊疗科目范围的诊疗活动违</w:t>
            </w:r>
            <w:r>
              <w:rPr>
                <w:sz w:val="25"/>
                <w:szCs w:val="25"/>
                <w:spacing w:val="-1"/>
              </w:rPr>
              <w:t>法所得在</w:t>
            </w:r>
            <w:r>
              <w:rPr>
                <w:sz w:val="25"/>
                <w:szCs w:val="25"/>
              </w:rPr>
              <w:t xml:space="preserve"> </w:t>
            </w:r>
            <w:r>
              <w:rPr>
                <w:sz w:val="25"/>
                <w:szCs w:val="25"/>
                <w:spacing w:val="4"/>
              </w:rPr>
              <w:t>5万元以上的</w:t>
            </w:r>
          </w:p>
          <w:p>
            <w:pPr>
              <w:pStyle w:val="TableText"/>
              <w:ind w:left="101"/>
              <w:spacing w:before="120" w:line="201" w:lineRule="auto"/>
              <w:rPr>
                <w:sz w:val="25"/>
                <w:szCs w:val="25"/>
              </w:rPr>
            </w:pPr>
            <w:r>
              <w:rPr>
                <w:sz w:val="25"/>
                <w:szCs w:val="25"/>
                <w:spacing w:val="1"/>
              </w:rPr>
              <w:t>B.给患者造成伤害</w:t>
            </w:r>
          </w:p>
        </w:tc>
        <w:tc>
          <w:tcPr>
            <w:tcW w:w="7120" w:type="dxa"/>
            <w:vAlign w:val="top"/>
          </w:tcPr>
          <w:p>
            <w:pPr>
              <w:spacing w:line="254" w:lineRule="auto"/>
              <w:rPr>
                <w:rFonts w:ascii="Arial"/>
                <w:sz w:val="21"/>
              </w:rPr>
            </w:pPr>
            <w:r/>
          </w:p>
          <w:p>
            <w:pPr>
              <w:spacing w:line="254" w:lineRule="auto"/>
              <w:rPr>
                <w:rFonts w:ascii="Arial"/>
                <w:sz w:val="21"/>
              </w:rPr>
            </w:pPr>
            <w:r/>
          </w:p>
          <w:p>
            <w:pPr>
              <w:pStyle w:val="TableText"/>
              <w:ind w:left="104" w:hanging="89"/>
              <w:spacing w:before="81" w:line="321" w:lineRule="auto"/>
              <w:rPr>
                <w:sz w:val="25"/>
                <w:szCs w:val="25"/>
              </w:rPr>
            </w:pPr>
            <w:r>
              <w:rPr>
                <w:sz w:val="25"/>
                <w:szCs w:val="25"/>
                <w:spacing w:val="-6"/>
              </w:rPr>
              <w:t>由县级以上人民政府卫生行政部门予以警告、责令其改正，没收违</w:t>
            </w:r>
            <w:r>
              <w:rPr>
                <w:sz w:val="25"/>
                <w:szCs w:val="25"/>
                <w:spacing w:val="17"/>
              </w:rPr>
              <w:t xml:space="preserve"> </w:t>
            </w:r>
            <w:r>
              <w:rPr>
                <w:sz w:val="25"/>
                <w:szCs w:val="25"/>
                <w:spacing w:val="-1"/>
              </w:rPr>
              <w:t>法所得，并可以根据情节处以8万元以上10万元以下的罚款</w:t>
            </w:r>
          </w:p>
        </w:tc>
      </w:tr>
      <w:tr>
        <w:trPr>
          <w:trHeight w:val="1333" w:hRule="atLeast"/>
        </w:trPr>
        <w:tc>
          <w:tcPr>
            <w:tcW w:w="1413" w:type="dxa"/>
            <w:vAlign w:val="top"/>
          </w:tcPr>
          <w:p>
            <w:pPr>
              <w:spacing w:line="460" w:lineRule="auto"/>
              <w:rPr>
                <w:rFonts w:ascii="Arial"/>
                <w:sz w:val="21"/>
              </w:rPr>
            </w:pPr>
            <w:r/>
          </w:p>
          <w:p>
            <w:pPr>
              <w:pStyle w:val="TableText"/>
              <w:ind w:left="198"/>
              <w:spacing w:before="82" w:line="219" w:lineRule="auto"/>
              <w:rPr>
                <w:sz w:val="25"/>
                <w:szCs w:val="25"/>
              </w:rPr>
            </w:pPr>
            <w:r>
              <w:rPr>
                <w:sz w:val="25"/>
                <w:szCs w:val="25"/>
                <w:b/>
                <w:bCs/>
                <w:spacing w:val="-5"/>
              </w:rPr>
              <w:t>特别严重</w:t>
            </w:r>
          </w:p>
        </w:tc>
        <w:tc>
          <w:tcPr>
            <w:tcW w:w="5616" w:type="dxa"/>
            <w:vAlign w:val="top"/>
          </w:tcPr>
          <w:p>
            <w:pPr>
              <w:spacing w:line="464" w:lineRule="auto"/>
              <w:rPr>
                <w:rFonts w:ascii="Arial"/>
                <w:sz w:val="21"/>
              </w:rPr>
            </w:pPr>
            <w:r/>
          </w:p>
          <w:p>
            <w:pPr>
              <w:pStyle w:val="TableText"/>
              <w:ind w:left="101"/>
              <w:spacing w:before="82" w:line="220" w:lineRule="auto"/>
              <w:rPr>
                <w:sz w:val="25"/>
                <w:szCs w:val="25"/>
              </w:rPr>
            </w:pPr>
            <w:r>
              <w:rPr>
                <w:sz w:val="25"/>
                <w:szCs w:val="25"/>
                <w:spacing w:val="1"/>
              </w:rPr>
              <w:t>情节严重，造成患者死亡的</w:t>
            </w:r>
          </w:p>
        </w:tc>
        <w:tc>
          <w:tcPr>
            <w:tcW w:w="7120" w:type="dxa"/>
            <w:vAlign w:val="top"/>
          </w:tcPr>
          <w:p>
            <w:pPr>
              <w:pStyle w:val="TableText"/>
              <w:ind w:left="55" w:hanging="40"/>
              <w:spacing w:before="165" w:line="285" w:lineRule="auto"/>
              <w:jc w:val="both"/>
              <w:rPr>
                <w:sz w:val="25"/>
                <w:szCs w:val="25"/>
              </w:rPr>
            </w:pPr>
            <w:r>
              <w:rPr>
                <w:sz w:val="25"/>
                <w:szCs w:val="25"/>
                <w:spacing w:val="-6"/>
              </w:rPr>
              <w:t>由县级以上人民政府卫生行政部门予以警告、责令其改正，没收违</w:t>
            </w:r>
            <w:r>
              <w:rPr>
                <w:sz w:val="25"/>
                <w:szCs w:val="25"/>
                <w:spacing w:val="17"/>
              </w:rPr>
              <w:t xml:space="preserve"> </w:t>
            </w:r>
            <w:r>
              <w:rPr>
                <w:sz w:val="25"/>
                <w:szCs w:val="25"/>
              </w:rPr>
              <w:t>法所得，并可以根据情节处以10万元的罚款，吊销其《医疗机构</w:t>
            </w:r>
            <w:r>
              <w:rPr>
                <w:sz w:val="25"/>
                <w:szCs w:val="25"/>
                <w:spacing w:val="9"/>
              </w:rPr>
              <w:t xml:space="preserve"> </w:t>
            </w:r>
            <w:r>
              <w:rPr>
                <w:sz w:val="25"/>
                <w:szCs w:val="25"/>
                <w:spacing w:val="3"/>
              </w:rPr>
              <w:t>执业许可证》或者责令其停止执业活动</w:t>
            </w:r>
          </w:p>
        </w:tc>
      </w:tr>
    </w:tbl>
    <w:p>
      <w:pPr>
        <w:pStyle w:val="BodyText"/>
        <w:spacing w:line="476" w:lineRule="auto"/>
        <w:rPr/>
      </w:pPr>
      <w:r/>
    </w:p>
    <w:p>
      <w:pPr>
        <w:ind w:left="78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第一百七十六条使用非卫生技术人员从事医疗卫生技术工作的</w:t>
      </w:r>
    </w:p>
    <w:p>
      <w:pPr>
        <w:ind w:left="764"/>
        <w:spacing w:before="60" w:line="222" w:lineRule="auto"/>
        <w:rPr>
          <w:rFonts w:ascii="FangSong" w:hAnsi="FangSong" w:eastAsia="FangSong" w:cs="FangSong"/>
          <w:sz w:val="30"/>
          <w:szCs w:val="30"/>
        </w:rPr>
      </w:pPr>
      <w:r>
        <w:rPr>
          <w:rFonts w:ascii="FangSong" w:hAnsi="FangSong" w:eastAsia="FangSong" w:cs="FangSong"/>
          <w:sz w:val="30"/>
          <w:szCs w:val="30"/>
          <w:spacing w:val="30"/>
        </w:rPr>
        <w:t>法律依据：</w:t>
      </w:r>
    </w:p>
    <w:p>
      <w:pPr>
        <w:ind w:left="124" w:right="102" w:firstLine="619"/>
        <w:spacing w:before="107" w:line="271" w:lineRule="auto"/>
        <w:jc w:val="both"/>
        <w:rPr>
          <w:rFonts w:ascii="FangSong" w:hAnsi="FangSong" w:eastAsia="FangSong" w:cs="FangSong"/>
          <w:sz w:val="30"/>
          <w:szCs w:val="30"/>
        </w:rPr>
      </w:pPr>
      <w:r>
        <w:rPr>
          <w:rFonts w:ascii="FangSong" w:hAnsi="FangSong" w:eastAsia="FangSong" w:cs="FangSong"/>
          <w:sz w:val="30"/>
          <w:szCs w:val="30"/>
          <w:spacing w:val="17"/>
        </w:rPr>
        <w:t>《医疗机构管理条例》第四十七条</w:t>
      </w:r>
      <w:r>
        <w:rPr>
          <w:rFonts w:ascii="FangSong" w:hAnsi="FangSong" w:eastAsia="FangSong" w:cs="FangSong"/>
          <w:sz w:val="30"/>
          <w:szCs w:val="30"/>
          <w:spacing w:val="17"/>
        </w:rPr>
        <w:t xml:space="preserve">  </w:t>
      </w:r>
      <w:r>
        <w:rPr>
          <w:rFonts w:ascii="FangSong" w:hAnsi="FangSong" w:eastAsia="FangSong" w:cs="FangSong"/>
          <w:sz w:val="30"/>
          <w:szCs w:val="30"/>
          <w:spacing w:val="17"/>
        </w:rPr>
        <w:t>违反本条例第</w:t>
      </w:r>
      <w:r>
        <w:rPr>
          <w:rFonts w:ascii="FangSong" w:hAnsi="FangSong" w:eastAsia="FangSong" w:cs="FangSong"/>
          <w:sz w:val="30"/>
          <w:szCs w:val="30"/>
          <w:spacing w:val="16"/>
        </w:rPr>
        <w:t>二十七条规定，使用非卫生技术人员从事医疗</w:t>
      </w:r>
      <w:r>
        <w:rPr>
          <w:rFonts w:ascii="FangSong" w:hAnsi="FangSong" w:eastAsia="FangSong" w:cs="FangSong"/>
          <w:sz w:val="30"/>
          <w:szCs w:val="30"/>
        </w:rPr>
        <w:t xml:space="preserve"> </w:t>
      </w:r>
      <w:r>
        <w:rPr>
          <w:rFonts w:ascii="FangSong" w:hAnsi="FangSong" w:eastAsia="FangSong" w:cs="FangSong"/>
          <w:sz w:val="30"/>
          <w:szCs w:val="30"/>
          <w:spacing w:val="26"/>
        </w:rPr>
        <w:t>卫生技术工作的，由县级以上人民政府卫生行政部门责令其限期改正，并可以处以1万元以上10万</w:t>
      </w:r>
      <w:r>
        <w:rPr>
          <w:rFonts w:ascii="FangSong" w:hAnsi="FangSong" w:eastAsia="FangSong" w:cs="FangSong"/>
          <w:sz w:val="30"/>
          <w:szCs w:val="30"/>
          <w:spacing w:val="16"/>
        </w:rPr>
        <w:t xml:space="preserve"> </w:t>
      </w:r>
      <w:r>
        <w:rPr>
          <w:rFonts w:ascii="FangSong" w:hAnsi="FangSong" w:eastAsia="FangSong" w:cs="FangSong"/>
          <w:sz w:val="30"/>
          <w:szCs w:val="30"/>
          <w:spacing w:val="18"/>
        </w:rPr>
        <w:t>元以下的罚款；情节严重的，吊销其《医疗机构执业许可证》或者责令其停止执业</w:t>
      </w:r>
      <w:r>
        <w:rPr>
          <w:rFonts w:ascii="FangSong" w:hAnsi="FangSong" w:eastAsia="FangSong" w:cs="FangSong"/>
          <w:sz w:val="30"/>
          <w:szCs w:val="30"/>
          <w:spacing w:val="17"/>
        </w:rPr>
        <w:t>活动。</w:t>
      </w:r>
    </w:p>
    <w:p>
      <w:pPr>
        <w:spacing w:line="271" w:lineRule="auto"/>
        <w:sectPr>
          <w:footerReference w:type="default" r:id="rId246"/>
          <w:pgSz w:w="16830" w:h="11900"/>
          <w:pgMar w:top="1011" w:right="1344" w:bottom="1107" w:left="1325" w:header="0" w:footer="774" w:gutter="0"/>
        </w:sectPr>
        <w:rPr>
          <w:rFonts w:ascii="FangSong" w:hAnsi="FangSong" w:eastAsia="FangSong" w:cs="FangSong"/>
          <w:sz w:val="30"/>
          <w:szCs w:val="30"/>
        </w:rPr>
      </w:pPr>
    </w:p>
    <w:p>
      <w:pPr>
        <w:pStyle w:val="BodyText"/>
        <w:spacing w:line="256" w:lineRule="auto"/>
        <w:rPr/>
      </w:pPr>
      <w:r/>
    </w:p>
    <w:p>
      <w:pPr>
        <w:pStyle w:val="BodyText"/>
        <w:spacing w:line="256" w:lineRule="auto"/>
        <w:rPr/>
      </w:pPr>
      <w:r/>
    </w:p>
    <w:p>
      <w:pPr>
        <w:pStyle w:val="BodyText"/>
        <w:spacing w:line="256" w:lineRule="auto"/>
        <w:rPr/>
      </w:pPr>
      <w:r/>
    </w:p>
    <w:p>
      <w:pPr>
        <w:ind w:left="6549"/>
        <w:spacing w:before="94" w:line="220" w:lineRule="auto"/>
        <w:outlineLvl w:val="1"/>
        <w:rPr>
          <w:rFonts w:ascii="SimSun" w:hAnsi="SimSun" w:eastAsia="SimSun" w:cs="SimSun"/>
          <w:sz w:val="29"/>
          <w:szCs w:val="29"/>
        </w:rPr>
      </w:pPr>
      <w:bookmarkStart w:name="bookmark898" w:id="253"/>
      <w:bookmarkEnd w:id="253"/>
      <w:bookmarkStart w:name="bookmark186" w:id="254"/>
      <w:bookmarkEnd w:id="254"/>
      <w:r>
        <w:rPr>
          <w:rFonts w:ascii="SimSun" w:hAnsi="SimSun" w:eastAsia="SimSun" w:cs="SimSun"/>
          <w:sz w:val="29"/>
          <w:szCs w:val="29"/>
          <w:b/>
          <w:bCs/>
          <w:spacing w:val="-6"/>
        </w:rPr>
        <w:t>裁量标准</w:t>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4"/>
        <w:gridCol w:w="5586"/>
        <w:gridCol w:w="7130"/>
      </w:tblGrid>
      <w:tr>
        <w:trPr>
          <w:trHeight w:val="454" w:hRule="atLeast"/>
        </w:trPr>
        <w:tc>
          <w:tcPr>
            <w:tcW w:w="1454" w:type="dxa"/>
            <w:vAlign w:val="top"/>
          </w:tcPr>
          <w:p>
            <w:pPr>
              <w:pStyle w:val="TableText"/>
              <w:ind w:left="218"/>
              <w:spacing w:before="102" w:line="220" w:lineRule="auto"/>
              <w:rPr>
                <w:sz w:val="25"/>
                <w:szCs w:val="25"/>
              </w:rPr>
            </w:pPr>
            <w:r>
              <w:rPr>
                <w:sz w:val="25"/>
                <w:szCs w:val="25"/>
                <w:b/>
                <w:bCs/>
                <w:spacing w:val="-5"/>
              </w:rPr>
              <w:t>违法程度</w:t>
            </w:r>
          </w:p>
        </w:tc>
        <w:tc>
          <w:tcPr>
            <w:tcW w:w="5586" w:type="dxa"/>
            <w:vAlign w:val="top"/>
          </w:tcPr>
          <w:p>
            <w:pPr>
              <w:pStyle w:val="TableText"/>
              <w:ind w:left="2284"/>
              <w:spacing w:before="102" w:line="220" w:lineRule="auto"/>
              <w:rPr>
                <w:sz w:val="25"/>
                <w:szCs w:val="25"/>
              </w:rPr>
            </w:pPr>
            <w:r>
              <w:rPr>
                <w:sz w:val="25"/>
                <w:szCs w:val="25"/>
                <w:b/>
                <w:bCs/>
                <w:spacing w:val="-5"/>
              </w:rPr>
              <w:t>违法后果</w:t>
            </w:r>
          </w:p>
        </w:tc>
        <w:tc>
          <w:tcPr>
            <w:tcW w:w="7130" w:type="dxa"/>
            <w:vAlign w:val="top"/>
          </w:tcPr>
          <w:p>
            <w:pPr>
              <w:pStyle w:val="TableText"/>
              <w:ind w:left="2998"/>
              <w:spacing w:before="99" w:line="218" w:lineRule="auto"/>
              <w:rPr>
                <w:sz w:val="25"/>
                <w:szCs w:val="25"/>
              </w:rPr>
            </w:pPr>
            <w:r>
              <w:rPr>
                <w:sz w:val="25"/>
                <w:szCs w:val="25"/>
                <w:b/>
                <w:bCs/>
                <w:spacing w:val="-5"/>
              </w:rPr>
              <w:t>裁量幅度</w:t>
            </w:r>
          </w:p>
        </w:tc>
      </w:tr>
      <w:tr>
        <w:trPr>
          <w:trHeight w:val="877" w:hRule="atLeast"/>
        </w:trPr>
        <w:tc>
          <w:tcPr>
            <w:tcW w:w="1454" w:type="dxa"/>
            <w:vAlign w:val="top"/>
          </w:tcPr>
          <w:p>
            <w:pPr>
              <w:pStyle w:val="TableText"/>
              <w:ind w:left="468"/>
              <w:spacing w:before="319" w:line="221" w:lineRule="auto"/>
              <w:rPr>
                <w:sz w:val="25"/>
                <w:szCs w:val="25"/>
              </w:rPr>
            </w:pPr>
            <w:r>
              <w:rPr>
                <w:sz w:val="25"/>
                <w:szCs w:val="25"/>
                <w:b/>
                <w:bCs/>
                <w:spacing w:val="-10"/>
              </w:rPr>
              <w:t>一般</w:t>
            </w:r>
          </w:p>
        </w:tc>
        <w:tc>
          <w:tcPr>
            <w:tcW w:w="5586" w:type="dxa"/>
            <w:vAlign w:val="top"/>
          </w:tcPr>
          <w:p>
            <w:pPr>
              <w:pStyle w:val="TableText"/>
              <w:ind w:left="90"/>
              <w:spacing w:before="321" w:line="219" w:lineRule="auto"/>
              <w:rPr>
                <w:sz w:val="25"/>
                <w:szCs w:val="25"/>
              </w:rPr>
            </w:pPr>
            <w:r>
              <w:rPr>
                <w:sz w:val="25"/>
                <w:szCs w:val="25"/>
                <w:spacing w:val="1"/>
              </w:rPr>
              <w:t>使用1名非卫生技术人员从事医疗卫生技术工作的</w:t>
            </w:r>
          </w:p>
        </w:tc>
        <w:tc>
          <w:tcPr>
            <w:tcW w:w="7130" w:type="dxa"/>
            <w:vAlign w:val="top"/>
          </w:tcPr>
          <w:p>
            <w:pPr>
              <w:pStyle w:val="TableText"/>
              <w:ind w:left="104"/>
              <w:spacing w:before="139" w:line="219" w:lineRule="auto"/>
              <w:rPr>
                <w:sz w:val="25"/>
                <w:szCs w:val="25"/>
              </w:rPr>
            </w:pPr>
            <w:r>
              <w:rPr>
                <w:sz w:val="25"/>
                <w:szCs w:val="25"/>
              </w:rPr>
              <w:t>责令其立即改正，处以1万元以上2万元以下罚款</w:t>
            </w:r>
          </w:p>
        </w:tc>
      </w:tr>
      <w:tr>
        <w:trPr>
          <w:trHeight w:val="878" w:hRule="atLeast"/>
        </w:trPr>
        <w:tc>
          <w:tcPr>
            <w:tcW w:w="1454" w:type="dxa"/>
            <w:vAlign w:val="top"/>
          </w:tcPr>
          <w:p>
            <w:pPr>
              <w:spacing w:line="241" w:lineRule="auto"/>
              <w:rPr>
                <w:rFonts w:ascii="Arial"/>
                <w:sz w:val="21"/>
              </w:rPr>
            </w:pPr>
            <w:r/>
          </w:p>
          <w:p>
            <w:pPr>
              <w:pStyle w:val="TableText"/>
              <w:ind w:left="468"/>
              <w:spacing w:before="81" w:line="221" w:lineRule="auto"/>
              <w:rPr>
                <w:sz w:val="25"/>
                <w:szCs w:val="25"/>
              </w:rPr>
            </w:pPr>
            <w:r>
              <w:rPr>
                <w:sz w:val="25"/>
                <w:szCs w:val="25"/>
                <w:b/>
                <w:bCs/>
                <w:spacing w:val="-6"/>
              </w:rPr>
              <w:t>较重</w:t>
            </w:r>
          </w:p>
        </w:tc>
        <w:tc>
          <w:tcPr>
            <w:tcW w:w="5586" w:type="dxa"/>
            <w:vAlign w:val="top"/>
          </w:tcPr>
          <w:p>
            <w:pPr>
              <w:pStyle w:val="TableText"/>
              <w:ind w:left="100" w:right="153" w:firstLine="59"/>
              <w:spacing w:before="144" w:line="267" w:lineRule="auto"/>
              <w:rPr>
                <w:sz w:val="25"/>
                <w:szCs w:val="25"/>
              </w:rPr>
            </w:pPr>
            <w:r>
              <w:rPr>
                <w:sz w:val="25"/>
                <w:szCs w:val="25"/>
              </w:rPr>
              <w:t>使用2名或2名以上非卫生技术人员从事医疗卫生</w:t>
            </w:r>
            <w:r>
              <w:rPr>
                <w:sz w:val="25"/>
                <w:szCs w:val="25"/>
                <w:spacing w:val="10"/>
              </w:rPr>
              <w:t xml:space="preserve"> </w:t>
            </w:r>
            <w:r>
              <w:rPr>
                <w:sz w:val="25"/>
                <w:szCs w:val="25"/>
                <w:spacing w:val="3"/>
              </w:rPr>
              <w:t>技术工作的</w:t>
            </w:r>
          </w:p>
        </w:tc>
        <w:tc>
          <w:tcPr>
            <w:tcW w:w="7130" w:type="dxa"/>
            <w:vAlign w:val="top"/>
          </w:tcPr>
          <w:p>
            <w:pPr>
              <w:rPr>
                <w:rFonts w:ascii="Arial"/>
                <w:sz w:val="21"/>
              </w:rPr>
            </w:pPr>
            <w:r/>
          </w:p>
          <w:p>
            <w:pPr>
              <w:pStyle w:val="TableText"/>
              <w:ind w:left="104"/>
              <w:spacing w:before="81" w:line="219" w:lineRule="auto"/>
              <w:rPr>
                <w:sz w:val="25"/>
                <w:szCs w:val="25"/>
              </w:rPr>
            </w:pPr>
            <w:r>
              <w:rPr>
                <w:sz w:val="25"/>
                <w:szCs w:val="25"/>
              </w:rPr>
              <w:t>责令其立即改正，处以2万元以上8万元以下罚款</w:t>
            </w:r>
          </w:p>
        </w:tc>
      </w:tr>
      <w:tr>
        <w:trPr>
          <w:trHeight w:val="878" w:hRule="atLeast"/>
        </w:trPr>
        <w:tc>
          <w:tcPr>
            <w:tcW w:w="1454" w:type="dxa"/>
            <w:vAlign w:val="top"/>
          </w:tcPr>
          <w:p>
            <w:pPr>
              <w:rPr>
                <w:rFonts w:ascii="Arial"/>
                <w:sz w:val="21"/>
              </w:rPr>
            </w:pPr>
            <w:r/>
          </w:p>
          <w:p>
            <w:pPr>
              <w:pStyle w:val="TableText"/>
              <w:ind w:left="468"/>
              <w:spacing w:before="82" w:line="220" w:lineRule="auto"/>
              <w:rPr>
                <w:sz w:val="25"/>
                <w:szCs w:val="25"/>
              </w:rPr>
            </w:pPr>
            <w:r>
              <w:rPr>
                <w:sz w:val="25"/>
                <w:szCs w:val="25"/>
                <w:b/>
                <w:bCs/>
                <w:spacing w:val="-6"/>
              </w:rPr>
              <w:t>严重</w:t>
            </w:r>
          </w:p>
        </w:tc>
        <w:tc>
          <w:tcPr>
            <w:tcW w:w="5586" w:type="dxa"/>
            <w:vAlign w:val="top"/>
          </w:tcPr>
          <w:p>
            <w:pPr>
              <w:pStyle w:val="TableText"/>
              <w:ind w:left="100" w:right="19" w:hanging="70"/>
              <w:spacing w:before="136" w:line="270" w:lineRule="auto"/>
              <w:rPr>
                <w:sz w:val="25"/>
                <w:szCs w:val="25"/>
              </w:rPr>
            </w:pPr>
            <w:r>
              <w:rPr>
                <w:sz w:val="25"/>
                <w:szCs w:val="25"/>
                <w:spacing w:val="1"/>
              </w:rPr>
              <w:t>使用的非卫生技术人员从事医疗卫生技术工作给患</w:t>
            </w:r>
            <w:r>
              <w:rPr>
                <w:sz w:val="25"/>
                <w:szCs w:val="25"/>
                <w:spacing w:val="2"/>
              </w:rPr>
              <w:t xml:space="preserve"> </w:t>
            </w:r>
            <w:r>
              <w:rPr>
                <w:sz w:val="25"/>
                <w:szCs w:val="25"/>
                <w:spacing w:val="3"/>
              </w:rPr>
              <w:t>者造成伤害的</w:t>
            </w:r>
          </w:p>
        </w:tc>
        <w:tc>
          <w:tcPr>
            <w:tcW w:w="7130" w:type="dxa"/>
            <w:vAlign w:val="top"/>
          </w:tcPr>
          <w:p>
            <w:pPr>
              <w:spacing w:line="242" w:lineRule="auto"/>
              <w:rPr>
                <w:rFonts w:ascii="Arial"/>
                <w:sz w:val="21"/>
              </w:rPr>
            </w:pPr>
            <w:r/>
          </w:p>
          <w:p>
            <w:pPr>
              <w:pStyle w:val="TableText"/>
              <w:ind w:left="104"/>
              <w:spacing w:before="81" w:line="219" w:lineRule="auto"/>
              <w:rPr>
                <w:sz w:val="25"/>
                <w:szCs w:val="25"/>
              </w:rPr>
            </w:pPr>
            <w:r>
              <w:rPr>
                <w:sz w:val="25"/>
                <w:szCs w:val="25"/>
              </w:rPr>
              <w:t>责令其立即改正，处以8万元以上10万元以下罚款</w:t>
            </w:r>
          </w:p>
        </w:tc>
      </w:tr>
      <w:tr>
        <w:trPr>
          <w:trHeight w:val="873" w:hRule="atLeast"/>
        </w:trPr>
        <w:tc>
          <w:tcPr>
            <w:tcW w:w="1454" w:type="dxa"/>
            <w:vAlign w:val="top"/>
          </w:tcPr>
          <w:p>
            <w:pPr>
              <w:pStyle w:val="TableText"/>
              <w:ind w:left="218"/>
              <w:spacing w:before="314" w:line="219" w:lineRule="auto"/>
              <w:rPr>
                <w:sz w:val="25"/>
                <w:szCs w:val="25"/>
              </w:rPr>
            </w:pPr>
            <w:r>
              <w:rPr>
                <w:sz w:val="25"/>
                <w:szCs w:val="25"/>
                <w:b/>
                <w:bCs/>
                <w:spacing w:val="-5"/>
              </w:rPr>
              <w:t>特别严重</w:t>
            </w:r>
          </w:p>
        </w:tc>
        <w:tc>
          <w:tcPr>
            <w:tcW w:w="5586" w:type="dxa"/>
            <w:vAlign w:val="top"/>
          </w:tcPr>
          <w:p>
            <w:pPr>
              <w:pStyle w:val="TableText"/>
              <w:ind w:left="109" w:right="35" w:hanging="79"/>
              <w:spacing w:before="137" w:line="268" w:lineRule="auto"/>
              <w:rPr>
                <w:sz w:val="25"/>
                <w:szCs w:val="25"/>
              </w:rPr>
            </w:pPr>
            <w:r>
              <w:rPr>
                <w:sz w:val="25"/>
                <w:szCs w:val="25"/>
              </w:rPr>
              <w:t>使用非卫生技术人员从事医疗卫生技术工作的，造</w:t>
            </w:r>
            <w:r>
              <w:rPr>
                <w:sz w:val="25"/>
                <w:szCs w:val="25"/>
                <w:spacing w:val="8"/>
              </w:rPr>
              <w:t xml:space="preserve"> </w:t>
            </w:r>
            <w:r>
              <w:rPr>
                <w:sz w:val="25"/>
                <w:szCs w:val="25"/>
                <w:spacing w:val="3"/>
              </w:rPr>
              <w:t>成患者死亡的</w:t>
            </w:r>
          </w:p>
        </w:tc>
        <w:tc>
          <w:tcPr>
            <w:tcW w:w="7130" w:type="dxa"/>
            <w:vAlign w:val="top"/>
          </w:tcPr>
          <w:p>
            <w:pPr>
              <w:pStyle w:val="TableText"/>
              <w:ind w:left="104" w:firstLine="10"/>
              <w:spacing w:before="137" w:line="268" w:lineRule="auto"/>
              <w:rPr>
                <w:sz w:val="25"/>
                <w:szCs w:val="25"/>
              </w:rPr>
            </w:pPr>
            <w:r>
              <w:rPr>
                <w:sz w:val="25"/>
                <w:szCs w:val="25"/>
              </w:rPr>
              <w:t>责令其立即改正，处以10万元罚款，情节严重的，吊销其《医疗</w:t>
            </w:r>
            <w:r>
              <w:rPr>
                <w:sz w:val="25"/>
                <w:szCs w:val="25"/>
                <w:spacing w:val="4"/>
              </w:rPr>
              <w:t xml:space="preserve"> </w:t>
            </w:r>
            <w:r>
              <w:rPr>
                <w:sz w:val="25"/>
                <w:szCs w:val="25"/>
              </w:rPr>
              <w:t>机构执业许可证》或者责令其停止执业活动</w:t>
            </w:r>
          </w:p>
        </w:tc>
      </w:tr>
    </w:tbl>
    <w:p>
      <w:pPr>
        <w:pStyle w:val="BodyText"/>
        <w:spacing w:line="443" w:lineRule="auto"/>
        <w:rPr/>
      </w:pPr>
      <w:r/>
    </w:p>
    <w:p>
      <w:pPr>
        <w:ind w:left="799"/>
        <w:spacing w:before="101" w:line="220" w:lineRule="auto"/>
        <w:rPr>
          <w:rFonts w:ascii="FangSong" w:hAnsi="FangSong" w:eastAsia="FangSong" w:cs="FangSong"/>
          <w:sz w:val="31"/>
          <w:szCs w:val="31"/>
        </w:rPr>
      </w:pPr>
      <w:r>
        <w:rPr>
          <w:rFonts w:ascii="FangSong" w:hAnsi="FangSong" w:eastAsia="FangSong" w:cs="FangSong"/>
          <w:sz w:val="31"/>
          <w:szCs w:val="31"/>
          <w:b/>
          <w:bCs/>
          <w:spacing w:val="15"/>
        </w:rPr>
        <w:t>第一百七十七条出具虚假证明文件的</w:t>
      </w:r>
    </w:p>
    <w:p>
      <w:pPr>
        <w:ind w:left="784"/>
        <w:spacing w:before="78" w:line="222" w:lineRule="auto"/>
        <w:rPr>
          <w:rFonts w:ascii="FangSong" w:hAnsi="FangSong" w:eastAsia="FangSong" w:cs="FangSong"/>
          <w:sz w:val="31"/>
          <w:szCs w:val="31"/>
        </w:rPr>
      </w:pPr>
      <w:r>
        <w:rPr>
          <w:rFonts w:ascii="FangSong" w:hAnsi="FangSong" w:eastAsia="FangSong" w:cs="FangSong"/>
          <w:sz w:val="31"/>
          <w:szCs w:val="31"/>
          <w:spacing w:val="21"/>
        </w:rPr>
        <w:t>法律依据：</w:t>
      </w:r>
    </w:p>
    <w:p>
      <w:pPr>
        <w:ind w:left="145" w:right="10" w:firstLine="604"/>
        <w:spacing w:before="75" w:line="261" w:lineRule="auto"/>
        <w:jc w:val="both"/>
        <w:rPr>
          <w:rFonts w:ascii="FangSong" w:hAnsi="FangSong" w:eastAsia="FangSong" w:cs="FangSong"/>
          <w:sz w:val="31"/>
          <w:szCs w:val="31"/>
        </w:rPr>
      </w:pPr>
      <w:r>
        <w:rPr>
          <w:rFonts w:ascii="FangSong" w:hAnsi="FangSong" w:eastAsia="FangSong" w:cs="FangSong"/>
          <w:sz w:val="31"/>
          <w:szCs w:val="31"/>
          <w:spacing w:val="6"/>
        </w:rPr>
        <w:t>《医疗机构管理条例》第四十八条</w:t>
      </w:r>
      <w:r>
        <w:rPr>
          <w:rFonts w:ascii="FangSong" w:hAnsi="FangSong" w:eastAsia="FangSong" w:cs="FangSong"/>
          <w:sz w:val="31"/>
          <w:szCs w:val="31"/>
          <w:spacing w:val="45"/>
        </w:rPr>
        <w:t xml:space="preserve">  </w:t>
      </w:r>
      <w:r>
        <w:rPr>
          <w:rFonts w:ascii="FangSong" w:hAnsi="FangSong" w:eastAsia="FangSong" w:cs="FangSong"/>
          <w:sz w:val="31"/>
          <w:szCs w:val="31"/>
          <w:spacing w:val="6"/>
        </w:rPr>
        <w:t>违反本条例第三十一条规定，出具虚</w:t>
      </w:r>
      <w:r>
        <w:rPr>
          <w:rFonts w:ascii="FangSong" w:hAnsi="FangSong" w:eastAsia="FangSong" w:cs="FangSong"/>
          <w:sz w:val="31"/>
          <w:szCs w:val="31"/>
          <w:spacing w:val="5"/>
        </w:rPr>
        <w:t>假证明文件的，由县级</w:t>
      </w:r>
      <w:r>
        <w:rPr>
          <w:rFonts w:ascii="FangSong" w:hAnsi="FangSong" w:eastAsia="FangSong" w:cs="FangSong"/>
          <w:sz w:val="31"/>
          <w:szCs w:val="31"/>
        </w:rPr>
        <w:t xml:space="preserve"> </w:t>
      </w:r>
      <w:r>
        <w:rPr>
          <w:rFonts w:ascii="FangSong" w:hAnsi="FangSong" w:eastAsia="FangSong" w:cs="FangSong"/>
          <w:sz w:val="31"/>
          <w:szCs w:val="31"/>
          <w:spacing w:val="12"/>
        </w:rPr>
        <w:t>以上人民政府卫生行政部门予以警告；对造成危害后果的，可以处以1万元以上10万元以下的罚</w:t>
      </w:r>
      <w:r>
        <w:rPr>
          <w:rFonts w:ascii="FangSong" w:hAnsi="FangSong" w:eastAsia="FangSong" w:cs="FangSong"/>
          <w:sz w:val="31"/>
          <w:szCs w:val="31"/>
          <w:spacing w:val="11"/>
        </w:rPr>
        <w:t>款；</w:t>
      </w:r>
      <w:r>
        <w:rPr>
          <w:rFonts w:ascii="FangSong" w:hAnsi="FangSong" w:eastAsia="FangSong" w:cs="FangSong"/>
          <w:sz w:val="31"/>
          <w:szCs w:val="31"/>
        </w:rPr>
        <w:t xml:space="preserve"> </w:t>
      </w:r>
      <w:r>
        <w:rPr>
          <w:rFonts w:ascii="FangSong" w:hAnsi="FangSong" w:eastAsia="FangSong" w:cs="FangSong"/>
          <w:sz w:val="31"/>
          <w:szCs w:val="31"/>
          <w:spacing w:val="6"/>
        </w:rPr>
        <w:t>对直接责任人员由所在单位或者上级机关给予行政处分。</w:t>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ind w:left="6484"/>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8"/>
          <w:w w:val="98"/>
        </w:rPr>
        <w:t>—262—</w:t>
      </w:r>
    </w:p>
    <w:p>
      <w:pPr>
        <w:spacing w:line="188" w:lineRule="auto"/>
        <w:sectPr>
          <w:footerReference w:type="default" r:id="rId24"/>
          <w:pgSz w:w="16830" w:h="11900"/>
          <w:pgMar w:top="1011" w:right="1344" w:bottom="400" w:left="1305" w:header="0" w:footer="0" w:gutter="0"/>
        </w:sectPr>
        <w:rPr>
          <w:rFonts w:ascii="Times New Roman" w:hAnsi="Times New Roman" w:eastAsia="Times New Roman" w:cs="Times New Roman"/>
          <w:sz w:val="37"/>
          <w:szCs w:val="37"/>
        </w:rPr>
      </w:pPr>
    </w:p>
    <w:p>
      <w:pPr>
        <w:pStyle w:val="BodyText"/>
        <w:spacing w:line="263" w:lineRule="auto"/>
        <w:rPr/>
      </w:pPr>
      <w:r/>
    </w:p>
    <w:p>
      <w:pPr>
        <w:pStyle w:val="BodyText"/>
        <w:spacing w:line="263" w:lineRule="auto"/>
        <w:rPr/>
      </w:pPr>
      <w:r/>
    </w:p>
    <w:p>
      <w:pPr>
        <w:pStyle w:val="BodyText"/>
        <w:spacing w:line="264" w:lineRule="auto"/>
        <w:rPr/>
      </w:pPr>
      <w:r/>
    </w:p>
    <w:p>
      <w:pPr>
        <w:ind w:left="6528"/>
        <w:spacing w:before="91" w:line="209" w:lineRule="auto"/>
        <w:outlineLvl w:val="1"/>
        <w:rPr>
          <w:rFonts w:ascii="SimSun" w:hAnsi="SimSun" w:eastAsia="SimSun" w:cs="SimSun"/>
          <w:sz w:val="28"/>
          <w:szCs w:val="28"/>
        </w:rPr>
      </w:pPr>
      <w:bookmarkStart w:name="bookmark899" w:id="255"/>
      <w:bookmarkEnd w:id="255"/>
      <w:bookmarkStart w:name="bookmark186" w:id="256"/>
      <w:bookmarkEnd w:id="256"/>
      <w:r>
        <w:rPr>
          <w:rFonts w:ascii="SimSun" w:hAnsi="SimSun" w:eastAsia="SimSun" w:cs="SimSun"/>
          <w:sz w:val="28"/>
          <w:szCs w:val="28"/>
          <w:b/>
          <w:bCs/>
          <w:spacing w:val="-6"/>
        </w:rPr>
        <w:t>裁量标准</w:t>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6155"/>
        <w:gridCol w:w="6560"/>
      </w:tblGrid>
      <w:tr>
        <w:trPr>
          <w:trHeight w:val="454" w:hRule="atLeast"/>
        </w:trPr>
        <w:tc>
          <w:tcPr>
            <w:tcW w:w="1434" w:type="dxa"/>
            <w:vAlign w:val="top"/>
          </w:tcPr>
          <w:p>
            <w:pPr>
              <w:pStyle w:val="TableText"/>
              <w:ind w:left="208"/>
              <w:spacing w:before="102" w:line="220" w:lineRule="auto"/>
              <w:rPr>
                <w:sz w:val="25"/>
                <w:szCs w:val="25"/>
              </w:rPr>
            </w:pPr>
            <w:r>
              <w:rPr>
                <w:sz w:val="25"/>
                <w:szCs w:val="25"/>
                <w:b/>
                <w:bCs/>
                <w:spacing w:val="-5"/>
              </w:rPr>
              <w:t>违法程度</w:t>
            </w:r>
          </w:p>
        </w:tc>
        <w:tc>
          <w:tcPr>
            <w:tcW w:w="6155" w:type="dxa"/>
            <w:vAlign w:val="top"/>
          </w:tcPr>
          <w:p>
            <w:pPr>
              <w:pStyle w:val="TableText"/>
              <w:ind w:left="2504"/>
              <w:spacing w:before="102" w:line="220" w:lineRule="auto"/>
              <w:rPr>
                <w:sz w:val="25"/>
                <w:szCs w:val="25"/>
              </w:rPr>
            </w:pPr>
            <w:r>
              <w:rPr>
                <w:sz w:val="25"/>
                <w:szCs w:val="25"/>
                <w:b/>
                <w:bCs/>
                <w:spacing w:val="-5"/>
              </w:rPr>
              <w:t>违法后果</w:t>
            </w:r>
          </w:p>
        </w:tc>
        <w:tc>
          <w:tcPr>
            <w:tcW w:w="6560" w:type="dxa"/>
            <w:vAlign w:val="top"/>
          </w:tcPr>
          <w:p>
            <w:pPr>
              <w:pStyle w:val="TableText"/>
              <w:ind w:left="2719"/>
              <w:spacing w:before="99" w:line="218" w:lineRule="auto"/>
              <w:rPr>
                <w:sz w:val="25"/>
                <w:szCs w:val="25"/>
              </w:rPr>
            </w:pPr>
            <w:r>
              <w:rPr>
                <w:sz w:val="25"/>
                <w:szCs w:val="25"/>
                <w:b/>
                <w:bCs/>
                <w:spacing w:val="-5"/>
              </w:rPr>
              <w:t>裁量幅度</w:t>
            </w:r>
          </w:p>
        </w:tc>
      </w:tr>
      <w:tr>
        <w:trPr>
          <w:trHeight w:val="449" w:hRule="atLeast"/>
        </w:trPr>
        <w:tc>
          <w:tcPr>
            <w:tcW w:w="1434" w:type="dxa"/>
            <w:vAlign w:val="top"/>
          </w:tcPr>
          <w:p>
            <w:pPr>
              <w:pStyle w:val="TableText"/>
              <w:ind w:left="458"/>
              <w:spacing w:before="97" w:line="219" w:lineRule="auto"/>
              <w:rPr>
                <w:sz w:val="25"/>
                <w:szCs w:val="25"/>
              </w:rPr>
            </w:pPr>
            <w:r>
              <w:rPr>
                <w:sz w:val="25"/>
                <w:szCs w:val="25"/>
                <w:b/>
                <w:bCs/>
                <w:spacing w:val="-6"/>
              </w:rPr>
              <w:t>轻微</w:t>
            </w:r>
          </w:p>
        </w:tc>
        <w:tc>
          <w:tcPr>
            <w:tcW w:w="6155" w:type="dxa"/>
            <w:vAlign w:val="top"/>
          </w:tcPr>
          <w:p>
            <w:pPr>
              <w:pStyle w:val="TableText"/>
              <w:ind w:left="90"/>
              <w:spacing w:before="97" w:line="216" w:lineRule="auto"/>
              <w:rPr>
                <w:sz w:val="25"/>
                <w:szCs w:val="25"/>
              </w:rPr>
            </w:pPr>
            <w:r>
              <w:rPr>
                <w:sz w:val="25"/>
                <w:szCs w:val="25"/>
              </w:rPr>
              <w:t>出具虚假证明文件1份(次),未造成危害后果的</w:t>
            </w:r>
          </w:p>
        </w:tc>
        <w:tc>
          <w:tcPr>
            <w:tcW w:w="6560" w:type="dxa"/>
            <w:vAlign w:val="top"/>
          </w:tcPr>
          <w:p>
            <w:pPr>
              <w:pStyle w:val="TableText"/>
              <w:ind w:left="115"/>
              <w:spacing w:before="99" w:line="218" w:lineRule="auto"/>
              <w:rPr>
                <w:sz w:val="25"/>
                <w:szCs w:val="25"/>
              </w:rPr>
            </w:pPr>
            <w:r>
              <w:rPr>
                <w:sz w:val="25"/>
                <w:szCs w:val="25"/>
                <w:spacing w:val="4"/>
              </w:rPr>
              <w:t>给予警告</w:t>
            </w:r>
          </w:p>
        </w:tc>
      </w:tr>
      <w:tr>
        <w:trPr>
          <w:trHeight w:val="418" w:hRule="atLeast"/>
        </w:trPr>
        <w:tc>
          <w:tcPr>
            <w:tcW w:w="1434" w:type="dxa"/>
            <w:vAlign w:val="top"/>
          </w:tcPr>
          <w:p>
            <w:pPr>
              <w:pStyle w:val="TableText"/>
              <w:ind w:left="458"/>
              <w:spacing w:before="90" w:line="221" w:lineRule="auto"/>
              <w:rPr>
                <w:sz w:val="25"/>
                <w:szCs w:val="25"/>
              </w:rPr>
            </w:pPr>
            <w:r>
              <w:rPr>
                <w:sz w:val="25"/>
                <w:szCs w:val="25"/>
                <w:b/>
                <w:bCs/>
                <w:spacing w:val="-10"/>
              </w:rPr>
              <w:t>一般</w:t>
            </w:r>
          </w:p>
        </w:tc>
        <w:tc>
          <w:tcPr>
            <w:tcW w:w="6155" w:type="dxa"/>
            <w:vAlign w:val="top"/>
          </w:tcPr>
          <w:p>
            <w:pPr>
              <w:pStyle w:val="TableText"/>
              <w:ind w:left="90"/>
              <w:spacing w:before="90" w:line="219" w:lineRule="auto"/>
              <w:rPr>
                <w:sz w:val="25"/>
                <w:szCs w:val="25"/>
              </w:rPr>
            </w:pPr>
            <w:r>
              <w:rPr>
                <w:sz w:val="25"/>
                <w:szCs w:val="25"/>
                <w:spacing w:val="1"/>
              </w:rPr>
              <w:t>出具虚假证明文件2份(次)以上，未造成危害后果的</w:t>
            </w:r>
          </w:p>
        </w:tc>
        <w:tc>
          <w:tcPr>
            <w:tcW w:w="6560" w:type="dxa"/>
            <w:vAlign w:val="top"/>
          </w:tcPr>
          <w:p>
            <w:pPr>
              <w:pStyle w:val="TableText"/>
              <w:ind w:left="115"/>
              <w:spacing w:before="90" w:line="218" w:lineRule="auto"/>
              <w:rPr>
                <w:sz w:val="25"/>
                <w:szCs w:val="25"/>
              </w:rPr>
            </w:pPr>
            <w:r>
              <w:rPr>
                <w:sz w:val="25"/>
                <w:szCs w:val="25"/>
              </w:rPr>
              <w:t>给予警告，可以处以1万元以上3万元以下的罚款</w:t>
            </w:r>
          </w:p>
        </w:tc>
      </w:tr>
      <w:tr>
        <w:trPr>
          <w:trHeight w:val="1755" w:hRule="atLeast"/>
        </w:trPr>
        <w:tc>
          <w:tcPr>
            <w:tcW w:w="1434" w:type="dxa"/>
            <w:vAlign w:val="top"/>
          </w:tcPr>
          <w:p>
            <w:pPr>
              <w:spacing w:line="339" w:lineRule="auto"/>
              <w:rPr>
                <w:rFonts w:ascii="Arial"/>
                <w:sz w:val="21"/>
              </w:rPr>
            </w:pPr>
            <w:r/>
          </w:p>
          <w:p>
            <w:pPr>
              <w:spacing w:line="339" w:lineRule="auto"/>
              <w:rPr>
                <w:rFonts w:ascii="Arial"/>
                <w:sz w:val="21"/>
              </w:rPr>
            </w:pPr>
            <w:r/>
          </w:p>
          <w:p>
            <w:pPr>
              <w:pStyle w:val="TableText"/>
              <w:ind w:left="458"/>
              <w:spacing w:before="81" w:line="221" w:lineRule="auto"/>
              <w:rPr>
                <w:sz w:val="25"/>
                <w:szCs w:val="25"/>
              </w:rPr>
            </w:pPr>
            <w:r>
              <w:rPr>
                <w:sz w:val="25"/>
                <w:szCs w:val="25"/>
                <w:b/>
                <w:bCs/>
                <w:spacing w:val="-6"/>
              </w:rPr>
              <w:t>较重</w:t>
            </w:r>
          </w:p>
        </w:tc>
        <w:tc>
          <w:tcPr>
            <w:tcW w:w="6155" w:type="dxa"/>
            <w:vAlign w:val="top"/>
          </w:tcPr>
          <w:p>
            <w:pPr>
              <w:pStyle w:val="TableText"/>
              <w:ind w:left="90"/>
              <w:spacing w:before="162" w:line="219" w:lineRule="auto"/>
              <w:rPr>
                <w:sz w:val="25"/>
                <w:szCs w:val="25"/>
              </w:rPr>
            </w:pPr>
            <w:r>
              <w:rPr>
                <w:sz w:val="25"/>
                <w:szCs w:val="25"/>
                <w:spacing w:val="1"/>
              </w:rPr>
              <w:t>出具虚假证明文件，有下列情形之一的：</w:t>
            </w:r>
          </w:p>
          <w:p>
            <w:pPr>
              <w:pStyle w:val="TableText"/>
              <w:ind w:left="90"/>
              <w:spacing w:before="136" w:line="221" w:lineRule="auto"/>
              <w:rPr>
                <w:sz w:val="25"/>
                <w:szCs w:val="25"/>
              </w:rPr>
            </w:pPr>
            <w:r>
              <w:rPr>
                <w:sz w:val="25"/>
                <w:szCs w:val="25"/>
                <w:spacing w:val="2"/>
              </w:rPr>
              <w:t>A.造成延误诊治的</w:t>
            </w:r>
          </w:p>
          <w:p>
            <w:pPr>
              <w:pStyle w:val="TableText"/>
              <w:ind w:left="90"/>
              <w:spacing w:before="147" w:line="219" w:lineRule="auto"/>
              <w:rPr>
                <w:sz w:val="25"/>
                <w:szCs w:val="25"/>
              </w:rPr>
            </w:pPr>
            <w:r>
              <w:rPr>
                <w:sz w:val="25"/>
                <w:szCs w:val="25"/>
                <w:spacing w:val="1"/>
              </w:rPr>
              <w:t>B.给患者精神造成伤害的</w:t>
            </w:r>
          </w:p>
          <w:p>
            <w:pPr>
              <w:pStyle w:val="TableText"/>
              <w:ind w:left="90"/>
              <w:spacing w:before="125" w:line="207" w:lineRule="auto"/>
              <w:rPr>
                <w:sz w:val="25"/>
                <w:szCs w:val="25"/>
              </w:rPr>
            </w:pPr>
            <w:r>
              <w:rPr>
                <w:sz w:val="25"/>
                <w:szCs w:val="25"/>
                <w:spacing w:val="1"/>
              </w:rPr>
              <w:t>C.造成其他危害后果的</w:t>
            </w:r>
          </w:p>
        </w:tc>
        <w:tc>
          <w:tcPr>
            <w:tcW w:w="6560" w:type="dxa"/>
            <w:vAlign w:val="top"/>
          </w:tcPr>
          <w:p>
            <w:pPr>
              <w:spacing w:line="338" w:lineRule="auto"/>
              <w:rPr>
                <w:rFonts w:ascii="Arial"/>
                <w:sz w:val="21"/>
              </w:rPr>
            </w:pPr>
            <w:r/>
          </w:p>
          <w:p>
            <w:pPr>
              <w:spacing w:line="338" w:lineRule="auto"/>
              <w:rPr>
                <w:rFonts w:ascii="Arial"/>
                <w:sz w:val="21"/>
              </w:rPr>
            </w:pPr>
            <w:r/>
          </w:p>
          <w:p>
            <w:pPr>
              <w:pStyle w:val="TableText"/>
              <w:ind w:left="115"/>
              <w:spacing w:before="81" w:line="218" w:lineRule="auto"/>
              <w:rPr>
                <w:sz w:val="25"/>
                <w:szCs w:val="25"/>
              </w:rPr>
            </w:pPr>
            <w:r>
              <w:rPr>
                <w:sz w:val="25"/>
                <w:szCs w:val="25"/>
              </w:rPr>
              <w:t>给予警告，处以3万元以上10万元以下罚款</w:t>
            </w:r>
          </w:p>
        </w:tc>
      </w:tr>
      <w:tr>
        <w:trPr>
          <w:trHeight w:val="453" w:hRule="atLeast"/>
        </w:trPr>
        <w:tc>
          <w:tcPr>
            <w:tcW w:w="1434" w:type="dxa"/>
            <w:vAlign w:val="top"/>
          </w:tcPr>
          <w:p>
            <w:pPr>
              <w:pStyle w:val="TableText"/>
              <w:ind w:left="458"/>
              <w:spacing w:before="166" w:line="204" w:lineRule="auto"/>
              <w:rPr>
                <w:sz w:val="25"/>
                <w:szCs w:val="25"/>
              </w:rPr>
            </w:pPr>
            <w:r>
              <w:rPr>
                <w:sz w:val="25"/>
                <w:szCs w:val="25"/>
                <w:b/>
                <w:bCs/>
                <w:spacing w:val="-6"/>
              </w:rPr>
              <w:t>严重</w:t>
            </w:r>
          </w:p>
        </w:tc>
        <w:tc>
          <w:tcPr>
            <w:tcW w:w="6155" w:type="dxa"/>
            <w:vAlign w:val="top"/>
          </w:tcPr>
          <w:p>
            <w:pPr>
              <w:pStyle w:val="TableText"/>
              <w:ind w:left="90"/>
              <w:spacing w:before="158" w:line="210" w:lineRule="auto"/>
              <w:rPr>
                <w:sz w:val="25"/>
                <w:szCs w:val="25"/>
              </w:rPr>
            </w:pPr>
            <w:r>
              <w:rPr>
                <w:sz w:val="25"/>
                <w:szCs w:val="25"/>
              </w:rPr>
              <w:t>出具虚假证明文件，有上述两种及以上情形的</w:t>
            </w:r>
          </w:p>
        </w:tc>
        <w:tc>
          <w:tcPr>
            <w:tcW w:w="6560" w:type="dxa"/>
            <w:vAlign w:val="top"/>
          </w:tcPr>
          <w:p>
            <w:pPr>
              <w:pStyle w:val="TableText"/>
              <w:ind w:left="115"/>
              <w:spacing w:before="157" w:line="211" w:lineRule="auto"/>
              <w:rPr>
                <w:sz w:val="25"/>
                <w:szCs w:val="25"/>
              </w:rPr>
            </w:pPr>
            <w:r>
              <w:rPr>
                <w:sz w:val="25"/>
                <w:szCs w:val="25"/>
              </w:rPr>
              <w:t>给予警告，处以10万元罚款</w:t>
            </w:r>
          </w:p>
        </w:tc>
      </w:tr>
    </w:tbl>
    <w:p>
      <w:pPr>
        <w:pStyle w:val="BodyText"/>
        <w:spacing w:line="249" w:lineRule="auto"/>
        <w:rPr/>
      </w:pPr>
      <w:r/>
    </w:p>
    <w:p>
      <w:pPr>
        <w:pStyle w:val="BodyText"/>
        <w:spacing w:line="249" w:lineRule="auto"/>
        <w:rPr/>
      </w:pPr>
      <w:r/>
    </w:p>
    <w:p>
      <w:pPr>
        <w:ind w:left="889"/>
        <w:spacing w:before="97" w:line="224" w:lineRule="auto"/>
        <w:rPr>
          <w:rFonts w:ascii="KaiTi" w:hAnsi="KaiTi" w:eastAsia="KaiTi" w:cs="KaiTi"/>
          <w:sz w:val="30"/>
          <w:szCs w:val="30"/>
        </w:rPr>
      </w:pPr>
      <w:r>
        <w:rPr>
          <w:rFonts w:ascii="KaiTi" w:hAnsi="KaiTi" w:eastAsia="KaiTi" w:cs="KaiTi"/>
          <w:sz w:val="30"/>
          <w:szCs w:val="30"/>
          <w:b/>
          <w:bCs/>
          <w:spacing w:val="28"/>
        </w:rPr>
        <w:t>(三)《中华人民共和国医师法》</w:t>
      </w:r>
    </w:p>
    <w:p>
      <w:pPr>
        <w:ind w:left="779"/>
        <w:spacing w:before="304" w:line="220" w:lineRule="auto"/>
        <w:rPr>
          <w:rFonts w:ascii="FangSong" w:hAnsi="FangSong" w:eastAsia="FangSong" w:cs="FangSong"/>
          <w:sz w:val="30"/>
          <w:szCs w:val="30"/>
        </w:rPr>
      </w:pPr>
      <w:r>
        <w:rPr>
          <w:rFonts w:ascii="FangSong" w:hAnsi="FangSong" w:eastAsia="FangSong" w:cs="FangSong"/>
          <w:sz w:val="30"/>
          <w:szCs w:val="30"/>
          <w:b/>
          <w:bCs/>
          <w:spacing w:val="22"/>
        </w:rPr>
        <w:t>第一百七十八条伪造、变造、买卖、出租、出借医师执业证书的</w:t>
      </w:r>
    </w:p>
    <w:p>
      <w:pPr>
        <w:ind w:left="764"/>
        <w:spacing w:before="8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24" w:firstLine="619"/>
        <w:spacing w:before="88" w:line="271" w:lineRule="auto"/>
        <w:jc w:val="both"/>
        <w:rPr>
          <w:rFonts w:ascii="FangSong" w:hAnsi="FangSong" w:eastAsia="FangSong" w:cs="FangSong"/>
          <w:sz w:val="30"/>
          <w:szCs w:val="30"/>
        </w:rPr>
      </w:pPr>
      <w:r>
        <w:rPr>
          <w:rFonts w:ascii="FangSong" w:hAnsi="FangSong" w:eastAsia="FangSong" w:cs="FangSong"/>
          <w:sz w:val="30"/>
          <w:szCs w:val="30"/>
          <w:spacing w:val="12"/>
        </w:rPr>
        <w:t>《中华人民共和国医师法》第五十四条第三款</w:t>
      </w:r>
      <w:r>
        <w:rPr>
          <w:rFonts w:ascii="FangSong" w:hAnsi="FangSong" w:eastAsia="FangSong" w:cs="FangSong"/>
          <w:sz w:val="30"/>
          <w:szCs w:val="30"/>
          <w:spacing w:val="12"/>
        </w:rPr>
        <w:t xml:space="preserve">  </w:t>
      </w:r>
      <w:r>
        <w:rPr>
          <w:rFonts w:ascii="FangSong" w:hAnsi="FangSong" w:eastAsia="FangSong" w:cs="FangSong"/>
          <w:sz w:val="30"/>
          <w:szCs w:val="30"/>
          <w:spacing w:val="12"/>
        </w:rPr>
        <w:t>伪造、变造、买卖、出租、</w:t>
      </w:r>
      <w:r>
        <w:rPr>
          <w:rFonts w:ascii="FangSong" w:hAnsi="FangSong" w:eastAsia="FangSong" w:cs="FangSong"/>
          <w:sz w:val="30"/>
          <w:szCs w:val="30"/>
          <w:spacing w:val="11"/>
        </w:rPr>
        <w:t>出借医师执业证书的，</w:t>
      </w:r>
      <w:r>
        <w:rPr>
          <w:rFonts w:ascii="FangSong" w:hAnsi="FangSong" w:eastAsia="FangSong" w:cs="FangSong"/>
          <w:sz w:val="30"/>
          <w:szCs w:val="30"/>
        </w:rPr>
        <w:t xml:space="preserve"> </w:t>
      </w:r>
      <w:r>
        <w:rPr>
          <w:rFonts w:ascii="FangSong" w:hAnsi="FangSong" w:eastAsia="FangSong" w:cs="FangSong"/>
          <w:sz w:val="30"/>
          <w:szCs w:val="30"/>
          <w:spacing w:val="16"/>
        </w:rPr>
        <w:t>由县级以上人民政府卫生健康主管部门责令改正，没收违法所得，并处违法所得二倍以上五倍以下的</w:t>
      </w:r>
      <w:r>
        <w:rPr>
          <w:rFonts w:ascii="FangSong" w:hAnsi="FangSong" w:eastAsia="FangSong" w:cs="FangSong"/>
          <w:sz w:val="30"/>
          <w:szCs w:val="30"/>
          <w:spacing w:val="14"/>
        </w:rPr>
        <w:t xml:space="preserve"> </w:t>
      </w:r>
      <w:r>
        <w:rPr>
          <w:rFonts w:ascii="FangSong" w:hAnsi="FangSong" w:eastAsia="FangSong" w:cs="FangSong"/>
          <w:sz w:val="30"/>
          <w:szCs w:val="30"/>
          <w:spacing w:val="17"/>
        </w:rPr>
        <w:t>罚款，违法所得不足一万元的，按一万元计算；情节严重的，吊销医师执业证书。</w:t>
      </w:r>
    </w:p>
    <w:p>
      <w:pPr>
        <w:spacing w:line="271" w:lineRule="auto"/>
        <w:sectPr>
          <w:footerReference w:type="default" r:id="rId247"/>
          <w:pgSz w:w="16830" w:h="11900"/>
          <w:pgMar w:top="1011" w:right="1339" w:bottom="1117" w:left="1325" w:header="0" w:footer="784" w:gutter="0"/>
        </w:sectPr>
        <w:rPr>
          <w:rFonts w:ascii="FangSong" w:hAnsi="FangSong" w:eastAsia="FangSong" w:cs="FangSong"/>
          <w:sz w:val="30"/>
          <w:szCs w:val="30"/>
        </w:rPr>
      </w:pPr>
    </w:p>
    <w:p>
      <w:pPr>
        <w:pStyle w:val="BodyText"/>
        <w:spacing w:line="256" w:lineRule="auto"/>
        <w:rPr/>
      </w:pPr>
      <w:r/>
    </w:p>
    <w:p>
      <w:pPr>
        <w:pStyle w:val="BodyText"/>
        <w:spacing w:line="256" w:lineRule="auto"/>
        <w:rPr/>
      </w:pPr>
      <w:r/>
    </w:p>
    <w:p>
      <w:pPr>
        <w:pStyle w:val="BodyText"/>
        <w:spacing w:line="256" w:lineRule="auto"/>
        <w:rPr/>
      </w:pPr>
      <w:r/>
    </w:p>
    <w:p>
      <w:pPr>
        <w:ind w:left="6539"/>
        <w:spacing w:before="94" w:line="220" w:lineRule="auto"/>
        <w:outlineLvl w:val="1"/>
        <w:rPr>
          <w:rFonts w:ascii="SimSun" w:hAnsi="SimSun" w:eastAsia="SimSun" w:cs="SimSun"/>
          <w:sz w:val="29"/>
          <w:szCs w:val="29"/>
        </w:rPr>
      </w:pPr>
      <w:bookmarkStart w:name="bookmark900" w:id="257"/>
      <w:bookmarkEnd w:id="257"/>
      <w:bookmarkStart w:name="bookmark186" w:id="258"/>
      <w:bookmarkEnd w:id="258"/>
      <w:r>
        <w:rPr>
          <w:rFonts w:ascii="SimSun" w:hAnsi="SimSun" w:eastAsia="SimSun" w:cs="SimSun"/>
          <w:sz w:val="29"/>
          <w:szCs w:val="29"/>
          <w:b/>
          <w:bCs/>
          <w:spacing w:val="-6"/>
        </w:rPr>
        <w:t>裁量标准</w:t>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5596"/>
        <w:gridCol w:w="7120"/>
      </w:tblGrid>
      <w:tr>
        <w:trPr>
          <w:trHeight w:val="454" w:hRule="atLeast"/>
        </w:trPr>
        <w:tc>
          <w:tcPr>
            <w:tcW w:w="1444" w:type="dxa"/>
            <w:vAlign w:val="top"/>
          </w:tcPr>
          <w:p>
            <w:pPr>
              <w:pStyle w:val="TableText"/>
              <w:ind w:left="218"/>
              <w:spacing w:before="102" w:line="220" w:lineRule="auto"/>
              <w:rPr>
                <w:sz w:val="25"/>
                <w:szCs w:val="25"/>
              </w:rPr>
            </w:pPr>
            <w:r>
              <w:rPr>
                <w:sz w:val="25"/>
                <w:szCs w:val="25"/>
                <w:b/>
                <w:bCs/>
                <w:spacing w:val="-5"/>
              </w:rPr>
              <w:t>违法程度</w:t>
            </w:r>
          </w:p>
        </w:tc>
        <w:tc>
          <w:tcPr>
            <w:tcW w:w="5596" w:type="dxa"/>
            <w:vAlign w:val="top"/>
          </w:tcPr>
          <w:p>
            <w:pPr>
              <w:pStyle w:val="TableText"/>
              <w:ind w:left="2294"/>
              <w:spacing w:before="102" w:line="220" w:lineRule="auto"/>
              <w:rPr>
                <w:sz w:val="25"/>
                <w:szCs w:val="25"/>
              </w:rPr>
            </w:pPr>
            <w:r>
              <w:rPr>
                <w:sz w:val="25"/>
                <w:szCs w:val="25"/>
                <w:b/>
                <w:bCs/>
                <w:spacing w:val="-5"/>
              </w:rPr>
              <w:t>违法后果</w:t>
            </w:r>
          </w:p>
        </w:tc>
        <w:tc>
          <w:tcPr>
            <w:tcW w:w="7120" w:type="dxa"/>
            <w:vAlign w:val="top"/>
          </w:tcPr>
          <w:p>
            <w:pPr>
              <w:pStyle w:val="TableText"/>
              <w:ind w:left="3058"/>
              <w:spacing w:before="99" w:line="218" w:lineRule="auto"/>
              <w:rPr>
                <w:sz w:val="25"/>
                <w:szCs w:val="25"/>
              </w:rPr>
            </w:pPr>
            <w:r>
              <w:rPr>
                <w:sz w:val="25"/>
                <w:szCs w:val="25"/>
                <w:b/>
                <w:bCs/>
                <w:spacing w:val="-5"/>
              </w:rPr>
              <w:t>裁量幅度</w:t>
            </w:r>
          </w:p>
        </w:tc>
      </w:tr>
      <w:tr>
        <w:trPr>
          <w:trHeight w:val="868" w:hRule="atLeast"/>
        </w:trPr>
        <w:tc>
          <w:tcPr>
            <w:tcW w:w="1444" w:type="dxa"/>
            <w:vAlign w:val="top"/>
          </w:tcPr>
          <w:p>
            <w:pPr>
              <w:pStyle w:val="TableText"/>
              <w:ind w:left="468"/>
              <w:spacing w:before="309" w:line="221" w:lineRule="auto"/>
              <w:rPr>
                <w:sz w:val="25"/>
                <w:szCs w:val="25"/>
              </w:rPr>
            </w:pPr>
            <w:r>
              <w:rPr>
                <w:sz w:val="25"/>
                <w:szCs w:val="25"/>
                <w:b/>
                <w:bCs/>
                <w:spacing w:val="-10"/>
              </w:rPr>
              <w:t>一般</w:t>
            </w:r>
          </w:p>
        </w:tc>
        <w:tc>
          <w:tcPr>
            <w:tcW w:w="5596" w:type="dxa"/>
            <w:vAlign w:val="top"/>
          </w:tcPr>
          <w:p>
            <w:pPr>
              <w:pStyle w:val="TableText"/>
              <w:ind w:left="101"/>
              <w:spacing w:before="140" w:line="265" w:lineRule="auto"/>
              <w:rPr>
                <w:sz w:val="25"/>
                <w:szCs w:val="25"/>
              </w:rPr>
            </w:pPr>
            <w:r>
              <w:rPr>
                <w:sz w:val="25"/>
                <w:szCs w:val="25"/>
                <w:spacing w:val="-1"/>
              </w:rPr>
              <w:t>伪造、变造、买卖、出租、出借医师执业证书的，</w:t>
            </w:r>
            <w:r>
              <w:rPr>
                <w:sz w:val="25"/>
                <w:szCs w:val="25"/>
                <w:spacing w:val="5"/>
              </w:rPr>
              <w:t xml:space="preserve"> </w:t>
            </w:r>
            <w:r>
              <w:rPr>
                <w:sz w:val="25"/>
                <w:szCs w:val="25"/>
                <w:spacing w:val="3"/>
              </w:rPr>
              <w:t>首次发现的</w:t>
            </w:r>
          </w:p>
        </w:tc>
        <w:tc>
          <w:tcPr>
            <w:tcW w:w="7120" w:type="dxa"/>
            <w:vAlign w:val="top"/>
          </w:tcPr>
          <w:p>
            <w:pPr>
              <w:pStyle w:val="TableText"/>
              <w:ind w:left="15"/>
              <w:spacing w:before="140" w:line="265" w:lineRule="auto"/>
              <w:rPr>
                <w:sz w:val="25"/>
                <w:szCs w:val="25"/>
              </w:rPr>
            </w:pPr>
            <w:r>
              <w:rPr>
                <w:sz w:val="25"/>
                <w:szCs w:val="25"/>
                <w:spacing w:val="-6"/>
              </w:rPr>
              <w:t>由县级以上人民政府卫生健康主管部门责令改正，没收违法所得，</w:t>
            </w:r>
            <w:r>
              <w:rPr>
                <w:sz w:val="25"/>
                <w:szCs w:val="25"/>
                <w:spacing w:val="17"/>
              </w:rPr>
              <w:t xml:space="preserve"> </w:t>
            </w:r>
            <w:r>
              <w:rPr>
                <w:sz w:val="25"/>
                <w:szCs w:val="25"/>
                <w:spacing w:val="-9"/>
              </w:rPr>
              <w:t>并处违法所得二倍的罚款，违法所得不足一万元的，按一万元计算</w:t>
            </w:r>
          </w:p>
        </w:tc>
      </w:tr>
      <w:tr>
        <w:trPr>
          <w:trHeight w:val="1306" w:hRule="atLeast"/>
        </w:trPr>
        <w:tc>
          <w:tcPr>
            <w:tcW w:w="1444" w:type="dxa"/>
            <w:vAlign w:val="top"/>
          </w:tcPr>
          <w:p>
            <w:pPr>
              <w:spacing w:line="446" w:lineRule="auto"/>
              <w:rPr>
                <w:rFonts w:ascii="Arial"/>
                <w:sz w:val="21"/>
              </w:rPr>
            </w:pPr>
            <w:r/>
          </w:p>
          <w:p>
            <w:pPr>
              <w:pStyle w:val="TableText"/>
              <w:ind w:left="468"/>
              <w:spacing w:before="81" w:line="220" w:lineRule="auto"/>
              <w:rPr>
                <w:sz w:val="25"/>
                <w:szCs w:val="25"/>
              </w:rPr>
            </w:pPr>
            <w:r>
              <w:rPr>
                <w:sz w:val="25"/>
                <w:szCs w:val="25"/>
                <w:b/>
                <w:bCs/>
                <w:spacing w:val="-6"/>
              </w:rPr>
              <w:t>严重</w:t>
            </w:r>
          </w:p>
        </w:tc>
        <w:tc>
          <w:tcPr>
            <w:tcW w:w="5596" w:type="dxa"/>
            <w:vAlign w:val="top"/>
          </w:tcPr>
          <w:p>
            <w:pPr>
              <w:pStyle w:val="TableText"/>
              <w:ind w:left="101"/>
              <w:spacing w:before="142" w:line="320" w:lineRule="auto"/>
              <w:rPr>
                <w:sz w:val="25"/>
                <w:szCs w:val="25"/>
              </w:rPr>
            </w:pPr>
            <w:r>
              <w:rPr>
                <w:sz w:val="25"/>
                <w:szCs w:val="25"/>
                <w:spacing w:val="-1"/>
              </w:rPr>
              <w:t>伪造、变造、买卖、出租、出借医师执业证书的，</w:t>
            </w:r>
            <w:r>
              <w:rPr>
                <w:sz w:val="25"/>
                <w:szCs w:val="25"/>
                <w:spacing w:val="5"/>
              </w:rPr>
              <w:t xml:space="preserve"> </w:t>
            </w:r>
            <w:r>
              <w:rPr>
                <w:sz w:val="25"/>
                <w:szCs w:val="25"/>
              </w:rPr>
              <w:t>受过卫生健康主管部门处罚，再次发生的</w:t>
            </w:r>
          </w:p>
        </w:tc>
        <w:tc>
          <w:tcPr>
            <w:tcW w:w="7120" w:type="dxa"/>
            <w:vAlign w:val="top"/>
          </w:tcPr>
          <w:p>
            <w:pPr>
              <w:pStyle w:val="TableText"/>
              <w:ind w:left="15"/>
              <w:spacing w:before="142" w:line="284" w:lineRule="auto"/>
              <w:jc w:val="both"/>
              <w:rPr>
                <w:sz w:val="25"/>
                <w:szCs w:val="25"/>
              </w:rPr>
            </w:pPr>
            <w:r>
              <w:rPr>
                <w:sz w:val="25"/>
                <w:szCs w:val="25"/>
                <w:spacing w:val="-6"/>
              </w:rPr>
              <w:t>由县级以上人民政府卫生健康主管部门责令改正，没收违法所得，</w:t>
            </w:r>
            <w:r>
              <w:rPr>
                <w:sz w:val="25"/>
                <w:szCs w:val="25"/>
                <w:spacing w:val="17"/>
              </w:rPr>
              <w:t xml:space="preserve"> </w:t>
            </w:r>
            <w:r>
              <w:rPr>
                <w:sz w:val="25"/>
                <w:szCs w:val="25"/>
                <w:spacing w:val="-6"/>
              </w:rPr>
              <w:t>并处违法所得三倍以上五倍以下的罚款，违法所得不足一万元的，</w:t>
            </w:r>
            <w:r>
              <w:rPr>
                <w:sz w:val="25"/>
                <w:szCs w:val="25"/>
                <w:spacing w:val="17"/>
              </w:rPr>
              <w:t xml:space="preserve"> </w:t>
            </w:r>
            <w:r>
              <w:rPr>
                <w:sz w:val="25"/>
                <w:szCs w:val="25"/>
                <w:spacing w:val="15"/>
              </w:rPr>
              <w:t>按一万元计算</w:t>
            </w:r>
          </w:p>
        </w:tc>
      </w:tr>
      <w:tr>
        <w:trPr>
          <w:trHeight w:val="1332" w:hRule="atLeast"/>
        </w:trPr>
        <w:tc>
          <w:tcPr>
            <w:tcW w:w="1444" w:type="dxa"/>
            <w:vAlign w:val="top"/>
          </w:tcPr>
          <w:p>
            <w:pPr>
              <w:spacing w:line="459" w:lineRule="auto"/>
              <w:rPr>
                <w:rFonts w:ascii="Arial"/>
                <w:sz w:val="21"/>
              </w:rPr>
            </w:pPr>
            <w:r/>
          </w:p>
          <w:p>
            <w:pPr>
              <w:pStyle w:val="TableText"/>
              <w:ind w:left="218"/>
              <w:spacing w:before="82" w:line="219" w:lineRule="auto"/>
              <w:rPr>
                <w:sz w:val="25"/>
                <w:szCs w:val="25"/>
              </w:rPr>
            </w:pPr>
            <w:r>
              <w:rPr>
                <w:sz w:val="25"/>
                <w:szCs w:val="25"/>
                <w:b/>
                <w:bCs/>
                <w:spacing w:val="-5"/>
              </w:rPr>
              <w:t>特别严重</w:t>
            </w:r>
          </w:p>
        </w:tc>
        <w:tc>
          <w:tcPr>
            <w:tcW w:w="5596" w:type="dxa"/>
            <w:vAlign w:val="top"/>
          </w:tcPr>
          <w:p>
            <w:pPr>
              <w:pStyle w:val="TableText"/>
              <w:ind w:left="40" w:firstLine="59"/>
              <w:spacing w:before="156" w:line="287" w:lineRule="auto"/>
              <w:jc w:val="both"/>
              <w:rPr>
                <w:sz w:val="25"/>
                <w:szCs w:val="25"/>
              </w:rPr>
            </w:pPr>
            <w:r>
              <w:rPr>
                <w:sz w:val="25"/>
                <w:szCs w:val="25"/>
                <w:spacing w:val="-1"/>
              </w:rPr>
              <w:t>伪造、变造、买卖、出租、出借医师执业证书的，</w:t>
            </w:r>
            <w:r>
              <w:rPr>
                <w:sz w:val="25"/>
                <w:szCs w:val="25"/>
                <w:spacing w:val="6"/>
              </w:rPr>
              <w:t xml:space="preserve"> </w:t>
            </w:r>
            <w:r>
              <w:rPr>
                <w:sz w:val="25"/>
                <w:szCs w:val="25"/>
              </w:rPr>
              <w:t>受到两次卫生健康主管部门行政处罚再次发生的或 </w:t>
            </w:r>
            <w:r>
              <w:rPr>
                <w:sz w:val="25"/>
                <w:szCs w:val="25"/>
                <w:spacing w:val="6"/>
              </w:rPr>
              <w:t>情节严重造成患者死亡的</w:t>
            </w:r>
          </w:p>
        </w:tc>
        <w:tc>
          <w:tcPr>
            <w:tcW w:w="7120" w:type="dxa"/>
            <w:vAlign w:val="top"/>
          </w:tcPr>
          <w:p>
            <w:pPr>
              <w:pStyle w:val="TableText"/>
              <w:ind w:left="15"/>
              <w:spacing w:before="147" w:line="289" w:lineRule="auto"/>
              <w:jc w:val="both"/>
              <w:rPr>
                <w:sz w:val="25"/>
                <w:szCs w:val="25"/>
              </w:rPr>
            </w:pPr>
            <w:r>
              <w:rPr>
                <w:sz w:val="25"/>
                <w:szCs w:val="25"/>
                <w:spacing w:val="-6"/>
              </w:rPr>
              <w:t>由县级以上人民政府卫生健康主管部门责令改正，没收违法所得，</w:t>
            </w:r>
            <w:r>
              <w:rPr>
                <w:sz w:val="25"/>
                <w:szCs w:val="25"/>
                <w:spacing w:val="17"/>
              </w:rPr>
              <w:t xml:space="preserve"> </w:t>
            </w:r>
            <w:r>
              <w:rPr>
                <w:sz w:val="25"/>
                <w:szCs w:val="25"/>
                <w:spacing w:val="-14"/>
              </w:rPr>
              <w:t>并处违法所得五倍的罚款，违法所得不足一万元的，按一万元计算，</w:t>
            </w:r>
            <w:r>
              <w:rPr>
                <w:sz w:val="25"/>
                <w:szCs w:val="25"/>
                <w:spacing w:val="13"/>
              </w:rPr>
              <w:t xml:space="preserve"> </w:t>
            </w:r>
            <w:r>
              <w:rPr>
                <w:sz w:val="25"/>
                <w:szCs w:val="25"/>
                <w:spacing w:val="10"/>
              </w:rPr>
              <w:t>吊销医师执业证书</w:t>
            </w:r>
          </w:p>
        </w:tc>
      </w:tr>
    </w:tbl>
    <w:p>
      <w:pPr>
        <w:pStyle w:val="BodyText"/>
        <w:spacing w:line="476" w:lineRule="auto"/>
        <w:rPr/>
      </w:pPr>
      <w:r/>
    </w:p>
    <w:p>
      <w:pPr>
        <w:ind w:left="129" w:right="110" w:firstLine="670"/>
        <w:spacing w:before="97" w:line="273" w:lineRule="auto"/>
        <w:rPr>
          <w:rFonts w:ascii="FangSong" w:hAnsi="FangSong" w:eastAsia="FangSong" w:cs="FangSong"/>
          <w:sz w:val="30"/>
          <w:szCs w:val="30"/>
        </w:rPr>
      </w:pPr>
      <w:r>
        <w:rPr>
          <w:rFonts w:ascii="FangSong" w:hAnsi="FangSong" w:eastAsia="FangSong" w:cs="FangSong"/>
          <w:sz w:val="30"/>
          <w:szCs w:val="30"/>
          <w:b/>
          <w:bCs/>
          <w:spacing w:val="20"/>
        </w:rPr>
        <w:t>第一百七十九条医师在提供医疗卫生服务或者开展医学临床研究中，未按照规定履行告知义务</w:t>
      </w:r>
      <w:r>
        <w:rPr>
          <w:rFonts w:ascii="FangSong" w:hAnsi="FangSong" w:eastAsia="FangSong" w:cs="FangSong"/>
          <w:sz w:val="30"/>
          <w:szCs w:val="30"/>
          <w:spacing w:val="9"/>
        </w:rPr>
        <w:t xml:space="preserve"> </w:t>
      </w:r>
      <w:r>
        <w:rPr>
          <w:rFonts w:ascii="FangSong" w:hAnsi="FangSong" w:eastAsia="FangSong" w:cs="FangSong"/>
          <w:sz w:val="30"/>
          <w:szCs w:val="30"/>
          <w:b/>
          <w:bCs/>
          <w:spacing w:val="17"/>
        </w:rPr>
        <w:t>或者取得知情同意</w:t>
      </w:r>
    </w:p>
    <w:p>
      <w:pPr>
        <w:ind w:left="774"/>
        <w:spacing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124" w:right="104" w:firstLine="619"/>
        <w:spacing w:before="90" w:line="273" w:lineRule="auto"/>
        <w:jc w:val="both"/>
        <w:rPr>
          <w:rFonts w:ascii="FangSong" w:hAnsi="FangSong" w:eastAsia="FangSong" w:cs="FangSong"/>
          <w:sz w:val="30"/>
          <w:szCs w:val="30"/>
        </w:rPr>
      </w:pPr>
      <w:r>
        <w:rPr>
          <w:rFonts w:ascii="FangSong" w:hAnsi="FangSong" w:eastAsia="FangSong" w:cs="FangSong"/>
          <w:sz w:val="30"/>
          <w:szCs w:val="30"/>
          <w:spacing w:val="24"/>
        </w:rPr>
        <w:t>《中华人民共和国医师法》第五十五条第(一)项</w:t>
      </w:r>
      <w:r>
        <w:rPr>
          <w:rFonts w:ascii="FangSong" w:hAnsi="FangSong" w:eastAsia="FangSong" w:cs="FangSong"/>
          <w:sz w:val="30"/>
          <w:szCs w:val="30"/>
          <w:spacing w:val="24"/>
        </w:rPr>
        <w:t xml:space="preserve">  </w:t>
      </w:r>
      <w:r>
        <w:rPr>
          <w:rFonts w:ascii="FangSong" w:hAnsi="FangSong" w:eastAsia="FangSong" w:cs="FangSong"/>
          <w:sz w:val="30"/>
          <w:szCs w:val="30"/>
          <w:spacing w:val="24"/>
        </w:rPr>
        <w:t>违反本法规定，</w:t>
      </w:r>
      <w:r>
        <w:rPr>
          <w:rFonts w:ascii="FangSong" w:hAnsi="FangSong" w:eastAsia="FangSong" w:cs="FangSong"/>
          <w:sz w:val="30"/>
          <w:szCs w:val="30"/>
          <w:spacing w:val="23"/>
        </w:rPr>
        <w:t>医师在执业活动中有下列行</w:t>
      </w:r>
      <w:r>
        <w:rPr>
          <w:rFonts w:ascii="FangSong" w:hAnsi="FangSong" w:eastAsia="FangSong" w:cs="FangSong"/>
          <w:sz w:val="30"/>
          <w:szCs w:val="30"/>
        </w:rPr>
        <w:t xml:space="preserve"> </w:t>
      </w:r>
      <w:r>
        <w:rPr>
          <w:rFonts w:ascii="FangSong" w:hAnsi="FangSong" w:eastAsia="FangSong" w:cs="FangSong"/>
          <w:sz w:val="30"/>
          <w:szCs w:val="30"/>
          <w:spacing w:val="16"/>
        </w:rPr>
        <w:t>为之一的，由县级以上人民政府卫生健康主管部门责令改正，给予警告；情节严重的，责令</w:t>
      </w:r>
      <w:r>
        <w:rPr>
          <w:rFonts w:ascii="FangSong" w:hAnsi="FangSong" w:eastAsia="FangSong" w:cs="FangSong"/>
          <w:sz w:val="30"/>
          <w:szCs w:val="30"/>
          <w:spacing w:val="15"/>
        </w:rPr>
        <w:t>暂停六个</w:t>
      </w:r>
      <w:r>
        <w:rPr>
          <w:rFonts w:ascii="FangSong" w:hAnsi="FangSong" w:eastAsia="FangSong" w:cs="FangSong"/>
          <w:sz w:val="30"/>
          <w:szCs w:val="30"/>
        </w:rPr>
        <w:t xml:space="preserve"> </w:t>
      </w:r>
      <w:r>
        <w:rPr>
          <w:rFonts w:ascii="FangSong" w:hAnsi="FangSong" w:eastAsia="FangSong" w:cs="FangSong"/>
          <w:sz w:val="30"/>
          <w:szCs w:val="30"/>
          <w:spacing w:val="15"/>
        </w:rPr>
        <w:t>月以上一年以下执业活动直至吊销医师执业证书：</w:t>
      </w:r>
    </w:p>
    <w:p>
      <w:pPr>
        <w:ind w:left="905"/>
        <w:spacing w:before="31" w:line="219" w:lineRule="auto"/>
        <w:rPr>
          <w:rFonts w:ascii="FangSong" w:hAnsi="FangSong" w:eastAsia="FangSong" w:cs="FangSong"/>
          <w:sz w:val="30"/>
          <w:szCs w:val="30"/>
        </w:rPr>
      </w:pPr>
      <w:r>
        <w:rPr>
          <w:rFonts w:ascii="FangSong" w:hAnsi="FangSong" w:eastAsia="FangSong" w:cs="FangSong"/>
          <w:sz w:val="30"/>
          <w:szCs w:val="30"/>
          <w:spacing w:val="21"/>
        </w:rPr>
        <w:t>(一)在提供医疗卫生服务或者开展医学临床研究中，未按照规定履行告知义务或者取得知情同</w:t>
      </w:r>
    </w:p>
    <w:p>
      <w:pPr>
        <w:spacing w:line="219" w:lineRule="auto"/>
        <w:sectPr>
          <w:footerReference w:type="default" r:id="rId248"/>
          <w:pgSz w:w="16830" w:h="11900"/>
          <w:pgMar w:top="1011" w:right="1344" w:bottom="1117" w:left="1314" w:header="0" w:footer="784" w:gutter="0"/>
        </w:sectPr>
        <w:rPr>
          <w:rFonts w:ascii="FangSong" w:hAnsi="FangSong" w:eastAsia="FangSong" w:cs="FangSong"/>
          <w:sz w:val="30"/>
          <w:szCs w:val="30"/>
        </w:rPr>
      </w:pPr>
    </w:p>
    <w:p>
      <w:pPr>
        <w:pStyle w:val="BodyText"/>
        <w:spacing w:line="266" w:lineRule="auto"/>
        <w:rPr/>
      </w:pPr>
      <w:r/>
    </w:p>
    <w:p>
      <w:pPr>
        <w:pStyle w:val="BodyText"/>
        <w:spacing w:line="267" w:lineRule="auto"/>
        <w:rPr/>
      </w:pPr>
      <w:r/>
    </w:p>
    <w:p>
      <w:pPr>
        <w:pStyle w:val="BodyText"/>
        <w:spacing w:line="267" w:lineRule="auto"/>
        <w:rPr/>
      </w:pPr>
      <w:r/>
    </w:p>
    <w:p>
      <w:pPr>
        <w:ind w:left="104"/>
        <w:spacing w:before="104" w:line="222" w:lineRule="auto"/>
        <w:outlineLvl w:val="1"/>
        <w:rPr>
          <w:rFonts w:ascii="FangSong" w:hAnsi="FangSong" w:eastAsia="FangSong" w:cs="FangSong"/>
          <w:sz w:val="32"/>
          <w:szCs w:val="32"/>
        </w:rPr>
      </w:pPr>
      <w:bookmarkStart w:name="bookmark901" w:id="259"/>
      <w:bookmarkEnd w:id="259"/>
      <w:bookmarkStart w:name="bookmark186" w:id="260"/>
      <w:bookmarkEnd w:id="260"/>
      <w:r>
        <w:rPr>
          <w:rFonts w:ascii="FangSong" w:hAnsi="FangSong" w:eastAsia="FangSong" w:cs="FangSong"/>
          <w:sz w:val="32"/>
          <w:szCs w:val="32"/>
          <w:spacing w:val="-13"/>
        </w:rPr>
        <w:t>意；</w:t>
      </w:r>
    </w:p>
    <w:p>
      <w:pPr>
        <w:pStyle w:val="BodyText"/>
        <w:spacing w:line="369" w:lineRule="auto"/>
        <w:rPr/>
      </w:pPr>
      <w:r/>
    </w:p>
    <w:p>
      <w:pPr>
        <w:ind w:left="6519"/>
        <w:spacing w:before="91"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34" w:lineRule="auto"/>
        <w:rPr>
          <w:rFonts w:ascii="Arial"/>
          <w:sz w:val="2"/>
        </w:rPr>
      </w:pPr>
      <w:r>
        <w:rPr>
          <w:rFonts w:ascii="Arial"/>
          <w:sz w:val="2"/>
        </w:r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475"/>
        <w:gridCol w:w="5261"/>
      </w:tblGrid>
      <w:tr>
        <w:trPr>
          <w:trHeight w:val="424" w:hRule="atLeast"/>
        </w:trPr>
        <w:tc>
          <w:tcPr>
            <w:tcW w:w="1434" w:type="dxa"/>
            <w:vAlign w:val="top"/>
          </w:tcPr>
          <w:p>
            <w:pPr>
              <w:pStyle w:val="TableText"/>
              <w:ind w:left="208"/>
              <w:spacing w:before="92" w:line="220" w:lineRule="auto"/>
              <w:rPr>
                <w:sz w:val="25"/>
                <w:szCs w:val="25"/>
              </w:rPr>
            </w:pPr>
            <w:r>
              <w:rPr>
                <w:sz w:val="25"/>
                <w:szCs w:val="25"/>
                <w:b/>
                <w:bCs/>
                <w:spacing w:val="-5"/>
              </w:rPr>
              <w:t>违法程度</w:t>
            </w:r>
          </w:p>
        </w:tc>
        <w:tc>
          <w:tcPr>
            <w:tcW w:w="7475" w:type="dxa"/>
            <w:vAlign w:val="top"/>
          </w:tcPr>
          <w:p>
            <w:pPr>
              <w:pStyle w:val="TableText"/>
              <w:ind w:left="3234"/>
              <w:spacing w:before="92" w:line="220" w:lineRule="auto"/>
              <w:rPr>
                <w:sz w:val="25"/>
                <w:szCs w:val="25"/>
              </w:rPr>
            </w:pPr>
            <w:r>
              <w:rPr>
                <w:sz w:val="25"/>
                <w:szCs w:val="25"/>
                <w:b/>
                <w:bCs/>
                <w:spacing w:val="-5"/>
              </w:rPr>
              <w:t>违法后果</w:t>
            </w:r>
          </w:p>
        </w:tc>
        <w:tc>
          <w:tcPr>
            <w:tcW w:w="5261" w:type="dxa"/>
            <w:vAlign w:val="top"/>
          </w:tcPr>
          <w:p>
            <w:pPr>
              <w:pStyle w:val="TableText"/>
              <w:ind w:left="2059"/>
              <w:spacing w:before="89" w:line="218" w:lineRule="auto"/>
              <w:rPr>
                <w:sz w:val="25"/>
                <w:szCs w:val="25"/>
              </w:rPr>
            </w:pPr>
            <w:r>
              <w:rPr>
                <w:sz w:val="25"/>
                <w:szCs w:val="25"/>
                <w:b/>
                <w:bCs/>
                <w:spacing w:val="-5"/>
              </w:rPr>
              <w:t>裁量幅度</w:t>
            </w:r>
          </w:p>
        </w:tc>
      </w:tr>
      <w:tr>
        <w:trPr>
          <w:trHeight w:val="897" w:hRule="atLeast"/>
        </w:trPr>
        <w:tc>
          <w:tcPr>
            <w:tcW w:w="1434" w:type="dxa"/>
            <w:vAlign w:val="top"/>
          </w:tcPr>
          <w:p>
            <w:pPr>
              <w:spacing w:line="246" w:lineRule="auto"/>
              <w:rPr>
                <w:rFonts w:ascii="Arial"/>
                <w:sz w:val="21"/>
              </w:rPr>
            </w:pPr>
            <w:r/>
          </w:p>
          <w:p>
            <w:pPr>
              <w:pStyle w:val="TableText"/>
              <w:ind w:left="458"/>
              <w:spacing w:before="81" w:line="221" w:lineRule="auto"/>
              <w:rPr>
                <w:sz w:val="25"/>
                <w:szCs w:val="25"/>
              </w:rPr>
            </w:pPr>
            <w:r>
              <w:rPr>
                <w:sz w:val="25"/>
                <w:szCs w:val="25"/>
                <w:b/>
                <w:bCs/>
                <w:spacing w:val="-10"/>
              </w:rPr>
              <w:t>一般</w:t>
            </w:r>
          </w:p>
        </w:tc>
        <w:tc>
          <w:tcPr>
            <w:tcW w:w="7475" w:type="dxa"/>
            <w:vAlign w:val="top"/>
          </w:tcPr>
          <w:p>
            <w:pPr>
              <w:pStyle w:val="TableText"/>
              <w:ind w:left="110" w:hanging="99"/>
              <w:spacing w:before="169" w:line="265" w:lineRule="auto"/>
              <w:rPr>
                <w:sz w:val="25"/>
                <w:szCs w:val="25"/>
              </w:rPr>
            </w:pPr>
            <w:r>
              <w:rPr>
                <w:sz w:val="25"/>
                <w:szCs w:val="25"/>
                <w:spacing w:val="-2"/>
              </w:rPr>
              <w:t>医师在提供医疗卫生服务或者开展医学临床研究中，未按照规定履行</w:t>
            </w:r>
            <w:r>
              <w:rPr>
                <w:sz w:val="25"/>
                <w:szCs w:val="25"/>
                <w:spacing w:val="12"/>
              </w:rPr>
              <w:t xml:space="preserve"> </w:t>
            </w:r>
            <w:r>
              <w:rPr>
                <w:sz w:val="25"/>
                <w:szCs w:val="25"/>
              </w:rPr>
              <w:t>告知义务或者取得知情同意，首次发生且情节轻微的</w:t>
            </w:r>
          </w:p>
        </w:tc>
        <w:tc>
          <w:tcPr>
            <w:tcW w:w="5261" w:type="dxa"/>
            <w:vAlign w:val="top"/>
          </w:tcPr>
          <w:p>
            <w:pPr>
              <w:pStyle w:val="TableText"/>
              <w:ind w:left="95"/>
              <w:spacing w:before="159" w:line="218" w:lineRule="auto"/>
              <w:rPr>
                <w:sz w:val="25"/>
                <w:szCs w:val="25"/>
              </w:rPr>
            </w:pPr>
            <w:r>
              <w:rPr>
                <w:sz w:val="25"/>
                <w:szCs w:val="25"/>
                <w:spacing w:val="1"/>
              </w:rPr>
              <w:t>责令改正，给予警告</w:t>
            </w:r>
          </w:p>
        </w:tc>
      </w:tr>
      <w:tr>
        <w:trPr>
          <w:trHeight w:val="1306" w:hRule="atLeast"/>
        </w:trPr>
        <w:tc>
          <w:tcPr>
            <w:tcW w:w="1434" w:type="dxa"/>
            <w:vAlign w:val="top"/>
          </w:tcPr>
          <w:p>
            <w:pPr>
              <w:spacing w:line="447"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7475" w:type="dxa"/>
            <w:vAlign w:val="top"/>
          </w:tcPr>
          <w:p>
            <w:pPr>
              <w:pStyle w:val="TableText"/>
              <w:ind w:left="11"/>
              <w:spacing w:before="134" w:line="286" w:lineRule="auto"/>
              <w:jc w:val="both"/>
              <w:rPr>
                <w:sz w:val="25"/>
                <w:szCs w:val="25"/>
              </w:rPr>
            </w:pPr>
            <w:r>
              <w:rPr>
                <w:sz w:val="25"/>
                <w:szCs w:val="25"/>
                <w:spacing w:val="-2"/>
              </w:rPr>
              <w:t>医师在提供医疗卫生服务或者开展医学临床研究中，未按照规定履行</w:t>
            </w:r>
            <w:r>
              <w:rPr>
                <w:sz w:val="25"/>
                <w:szCs w:val="25"/>
                <w:spacing w:val="12"/>
              </w:rPr>
              <w:t xml:space="preserve"> </w:t>
            </w:r>
            <w:r>
              <w:rPr>
                <w:sz w:val="25"/>
                <w:szCs w:val="25"/>
                <w:spacing w:val="-2"/>
              </w:rPr>
              <w:t>告知义务或者取得知情同意，受到警告行政处罚，再次发生的</w:t>
            </w:r>
            <w:r>
              <w:rPr>
                <w:sz w:val="25"/>
                <w:szCs w:val="25"/>
                <w:spacing w:val="-3"/>
              </w:rPr>
              <w:t>，或首</w:t>
            </w:r>
            <w:r>
              <w:rPr>
                <w:sz w:val="25"/>
                <w:szCs w:val="25"/>
              </w:rPr>
              <w:t xml:space="preserve"> </w:t>
            </w:r>
            <w:r>
              <w:rPr>
                <w:sz w:val="25"/>
                <w:szCs w:val="25"/>
                <w:spacing w:val="12"/>
              </w:rPr>
              <w:t>次发生且情节较重的</w:t>
            </w:r>
          </w:p>
        </w:tc>
        <w:tc>
          <w:tcPr>
            <w:tcW w:w="5261" w:type="dxa"/>
            <w:vAlign w:val="top"/>
          </w:tcPr>
          <w:p>
            <w:pPr>
              <w:spacing w:line="279" w:lineRule="auto"/>
              <w:rPr>
                <w:rFonts w:ascii="Arial"/>
                <w:sz w:val="21"/>
              </w:rPr>
            </w:pPr>
            <w:r/>
          </w:p>
          <w:p>
            <w:pPr>
              <w:pStyle w:val="TableText"/>
              <w:ind w:left="95"/>
              <w:spacing w:before="82" w:line="219" w:lineRule="auto"/>
              <w:rPr>
                <w:sz w:val="25"/>
                <w:szCs w:val="25"/>
              </w:rPr>
            </w:pPr>
            <w:r>
              <w:rPr>
                <w:sz w:val="25"/>
                <w:szCs w:val="25"/>
                <w:spacing w:val="1"/>
              </w:rPr>
              <w:t>责令暂停六个月以上一年以下执业活动</w:t>
            </w:r>
          </w:p>
        </w:tc>
      </w:tr>
      <w:tr>
        <w:trPr>
          <w:trHeight w:val="873" w:hRule="atLeast"/>
        </w:trPr>
        <w:tc>
          <w:tcPr>
            <w:tcW w:w="1434" w:type="dxa"/>
            <w:vAlign w:val="top"/>
          </w:tcPr>
          <w:p>
            <w:pPr>
              <w:pStyle w:val="TableText"/>
              <w:ind w:left="208"/>
              <w:spacing w:before="314" w:line="219" w:lineRule="auto"/>
              <w:rPr>
                <w:sz w:val="25"/>
                <w:szCs w:val="25"/>
              </w:rPr>
            </w:pPr>
            <w:r>
              <w:rPr>
                <w:sz w:val="25"/>
                <w:szCs w:val="25"/>
                <w:b/>
                <w:bCs/>
                <w:spacing w:val="-5"/>
              </w:rPr>
              <w:t>特别严重</w:t>
            </w:r>
          </w:p>
        </w:tc>
        <w:tc>
          <w:tcPr>
            <w:tcW w:w="7475" w:type="dxa"/>
            <w:vAlign w:val="top"/>
          </w:tcPr>
          <w:p>
            <w:pPr>
              <w:pStyle w:val="TableText"/>
              <w:ind w:left="100" w:hanging="89"/>
              <w:spacing w:before="156" w:line="261" w:lineRule="auto"/>
              <w:rPr>
                <w:sz w:val="25"/>
                <w:szCs w:val="25"/>
              </w:rPr>
            </w:pPr>
            <w:r>
              <w:rPr>
                <w:sz w:val="25"/>
                <w:szCs w:val="25"/>
                <w:spacing w:val="-2"/>
              </w:rPr>
              <w:t>医师在提供医疗卫生服务或者开展医学临床研究中，未按照规定履行</w:t>
            </w:r>
            <w:r>
              <w:rPr>
                <w:sz w:val="25"/>
                <w:szCs w:val="25"/>
                <w:spacing w:val="12"/>
              </w:rPr>
              <w:t xml:space="preserve"> </w:t>
            </w:r>
            <w:r>
              <w:rPr>
                <w:sz w:val="25"/>
                <w:szCs w:val="25"/>
              </w:rPr>
              <w:t>告知义务或者取得知情同意，受到暂停执业行政处罚</w:t>
            </w:r>
            <w:r>
              <w:rPr>
                <w:sz w:val="25"/>
                <w:szCs w:val="25"/>
                <w:spacing w:val="-1"/>
              </w:rPr>
              <w:t>，再次发生的</w:t>
            </w:r>
          </w:p>
        </w:tc>
        <w:tc>
          <w:tcPr>
            <w:tcW w:w="5261" w:type="dxa"/>
            <w:vAlign w:val="top"/>
          </w:tcPr>
          <w:p>
            <w:pPr>
              <w:pStyle w:val="TableText"/>
              <w:ind w:left="95"/>
              <w:spacing w:before="156" w:line="219" w:lineRule="auto"/>
              <w:rPr>
                <w:sz w:val="25"/>
                <w:szCs w:val="25"/>
              </w:rPr>
            </w:pPr>
            <w:r>
              <w:rPr>
                <w:sz w:val="25"/>
                <w:szCs w:val="25"/>
                <w:spacing w:val="2"/>
              </w:rPr>
              <w:t>吊销医师执业证书</w:t>
            </w:r>
          </w:p>
        </w:tc>
      </w:tr>
    </w:tbl>
    <w:p>
      <w:pPr>
        <w:pStyle w:val="BodyText"/>
        <w:spacing w:line="451" w:lineRule="auto"/>
        <w:rPr/>
      </w:pPr>
      <w:r/>
    </w:p>
    <w:p>
      <w:pPr>
        <w:ind w:left="754" w:right="1053" w:firstLine="24"/>
        <w:spacing w:before="104" w:line="273" w:lineRule="auto"/>
        <w:rPr>
          <w:rFonts w:ascii="FangSong" w:hAnsi="FangSong" w:eastAsia="FangSong" w:cs="FangSong"/>
          <w:sz w:val="27"/>
          <w:szCs w:val="27"/>
        </w:rPr>
      </w:pPr>
      <w:r>
        <w:rPr>
          <w:rFonts w:ascii="FangSong" w:hAnsi="FangSong" w:eastAsia="FangSong" w:cs="FangSong"/>
          <w:sz w:val="32"/>
          <w:szCs w:val="32"/>
          <w:b/>
          <w:bCs/>
          <w:spacing w:val="2"/>
        </w:rPr>
        <w:t>第一百八十条医师对需要紧急救治的患者，拒绝急救处置，或者由于不负责</w:t>
      </w:r>
      <w:r>
        <w:rPr>
          <w:rFonts w:ascii="FangSong" w:hAnsi="FangSong" w:eastAsia="FangSong" w:cs="FangSong"/>
          <w:sz w:val="32"/>
          <w:szCs w:val="32"/>
          <w:b/>
          <w:bCs/>
          <w:spacing w:val="1"/>
        </w:rPr>
        <w:t>任</w:t>
      </w:r>
      <w:r>
        <w:rPr>
          <w:rFonts w:ascii="FangSong" w:hAnsi="FangSong" w:eastAsia="FangSong" w:cs="FangSong"/>
          <w:sz w:val="32"/>
          <w:szCs w:val="32"/>
          <w:spacing w:val="1"/>
        </w:rPr>
        <w:t>延误诊治</w:t>
      </w:r>
      <w:r>
        <w:rPr>
          <w:rFonts w:ascii="FangSong" w:hAnsi="FangSong" w:eastAsia="FangSong" w:cs="FangSong"/>
          <w:sz w:val="32"/>
          <w:szCs w:val="32"/>
        </w:rPr>
        <w:t xml:space="preserve"> </w:t>
      </w:r>
      <w:r>
        <w:rPr>
          <w:rFonts w:ascii="FangSong" w:hAnsi="FangSong" w:eastAsia="FangSong" w:cs="FangSong"/>
          <w:sz w:val="27"/>
          <w:szCs w:val="27"/>
          <w:spacing w:val="25"/>
        </w:rPr>
        <w:t>法律依据：</w:t>
      </w:r>
    </w:p>
    <w:p>
      <w:pPr>
        <w:ind w:left="104" w:right="118" w:firstLine="609"/>
        <w:spacing w:before="5" w:line="255" w:lineRule="auto"/>
        <w:jc w:val="both"/>
        <w:rPr>
          <w:rFonts w:ascii="FangSong" w:hAnsi="FangSong" w:eastAsia="FangSong" w:cs="FangSong"/>
          <w:sz w:val="32"/>
          <w:szCs w:val="32"/>
        </w:rPr>
      </w:pPr>
      <w:r>
        <w:rPr>
          <w:rFonts w:ascii="FangSong" w:hAnsi="FangSong" w:eastAsia="FangSong" w:cs="FangSong"/>
          <w:sz w:val="32"/>
          <w:szCs w:val="32"/>
          <w:spacing w:val="5"/>
        </w:rPr>
        <w:t>《中华人民共和国医师法》第五十五条第(二)项</w:t>
      </w:r>
      <w:r>
        <w:rPr>
          <w:rFonts w:ascii="FangSong" w:hAnsi="FangSong" w:eastAsia="FangSong" w:cs="FangSong"/>
          <w:sz w:val="32"/>
          <w:szCs w:val="32"/>
          <w:spacing w:val="5"/>
        </w:rPr>
        <w:t xml:space="preserve">  </w:t>
      </w:r>
      <w:r>
        <w:rPr>
          <w:rFonts w:ascii="FangSong" w:hAnsi="FangSong" w:eastAsia="FangSong" w:cs="FangSong"/>
          <w:sz w:val="32"/>
          <w:szCs w:val="32"/>
          <w:spacing w:val="5"/>
        </w:rPr>
        <w:t>违反本法规定，医师在执业活动中有下列行</w:t>
      </w:r>
      <w:r>
        <w:rPr>
          <w:rFonts w:ascii="FangSong" w:hAnsi="FangSong" w:eastAsia="FangSong" w:cs="FangSong"/>
          <w:sz w:val="32"/>
          <w:szCs w:val="32"/>
          <w:spacing w:val="10"/>
        </w:rPr>
        <w:t xml:space="preserve"> </w:t>
      </w:r>
      <w:r>
        <w:rPr>
          <w:rFonts w:ascii="FangSong" w:hAnsi="FangSong" w:eastAsia="FangSong" w:cs="FangSong"/>
          <w:sz w:val="32"/>
          <w:szCs w:val="32"/>
          <w:spacing w:val="-4"/>
        </w:rPr>
        <w:t>为之一的，由县级以上人民政府卫生健康主管部门责令改正，给予警告；情节严重的，责令暂</w:t>
      </w:r>
      <w:r>
        <w:rPr>
          <w:rFonts w:ascii="FangSong" w:hAnsi="FangSong" w:eastAsia="FangSong" w:cs="FangSong"/>
          <w:sz w:val="32"/>
          <w:szCs w:val="32"/>
          <w:spacing w:val="-5"/>
        </w:rPr>
        <w:t>停六个</w:t>
      </w:r>
      <w:r>
        <w:rPr>
          <w:rFonts w:ascii="FangSong" w:hAnsi="FangSong" w:eastAsia="FangSong" w:cs="FangSong"/>
          <w:sz w:val="32"/>
          <w:szCs w:val="32"/>
        </w:rPr>
        <w:t xml:space="preserve"> </w:t>
      </w:r>
      <w:r>
        <w:rPr>
          <w:rFonts w:ascii="FangSong" w:hAnsi="FangSong" w:eastAsia="FangSong" w:cs="FangSong"/>
          <w:sz w:val="32"/>
          <w:szCs w:val="32"/>
          <w:spacing w:val="-5"/>
        </w:rPr>
        <w:t>月以上一年以下执业活动直至吊销医师执业证书：</w:t>
      </w:r>
    </w:p>
    <w:p>
      <w:pPr>
        <w:ind w:left="874"/>
        <w:spacing w:before="34" w:line="222" w:lineRule="auto"/>
        <w:rPr>
          <w:rFonts w:ascii="FangSong" w:hAnsi="FangSong" w:eastAsia="FangSong" w:cs="FangSong"/>
          <w:sz w:val="32"/>
          <w:szCs w:val="32"/>
        </w:rPr>
      </w:pPr>
      <w:r>
        <w:rPr>
          <w:rFonts w:ascii="FangSong" w:hAnsi="FangSong" w:eastAsia="FangSong" w:cs="FangSong"/>
          <w:sz w:val="32"/>
          <w:szCs w:val="32"/>
          <w:spacing w:val="3"/>
        </w:rPr>
        <w:t>(二)对需要紧急救治的患者，拒绝急救处置，或者由于不负责任延误诊治；</w:t>
      </w:r>
    </w:p>
    <w:p>
      <w:pPr>
        <w:spacing w:line="222" w:lineRule="auto"/>
        <w:sectPr>
          <w:footerReference w:type="default" r:id="rId249"/>
          <w:pgSz w:w="16830" w:h="11900"/>
          <w:pgMar w:top="1011" w:right="1314" w:bottom="1083" w:left="1335" w:header="0" w:footer="794" w:gutter="0"/>
        </w:sectPr>
        <w:rPr>
          <w:rFonts w:ascii="FangSong" w:hAnsi="FangSong" w:eastAsia="FangSong" w:cs="FangSong"/>
          <w:sz w:val="32"/>
          <w:szCs w:val="32"/>
        </w:rPr>
      </w:pPr>
    </w:p>
    <w:p>
      <w:pPr>
        <w:pStyle w:val="BodyText"/>
        <w:spacing w:line="259" w:lineRule="auto"/>
        <w:rPr/>
      </w:pPr>
      <w:r/>
    </w:p>
    <w:p>
      <w:pPr>
        <w:pStyle w:val="BodyText"/>
        <w:spacing w:line="259" w:lineRule="auto"/>
        <w:rPr/>
      </w:pPr>
      <w:r/>
    </w:p>
    <w:p>
      <w:pPr>
        <w:pStyle w:val="BodyText"/>
        <w:spacing w:line="260" w:lineRule="auto"/>
        <w:rPr/>
      </w:pPr>
      <w:r/>
    </w:p>
    <w:p>
      <w:pPr>
        <w:ind w:left="6539"/>
        <w:spacing w:before="94" w:line="214" w:lineRule="auto"/>
        <w:outlineLvl w:val="1"/>
        <w:rPr>
          <w:rFonts w:ascii="SimSun" w:hAnsi="SimSun" w:eastAsia="SimSun" w:cs="SimSun"/>
          <w:sz w:val="29"/>
          <w:szCs w:val="29"/>
        </w:rPr>
      </w:pPr>
      <w:bookmarkStart w:name="bookmark902" w:id="261"/>
      <w:bookmarkEnd w:id="261"/>
      <w:bookmarkStart w:name="bookmark186" w:id="262"/>
      <w:bookmarkEnd w:id="262"/>
      <w:r>
        <w:rPr>
          <w:rFonts w:ascii="SimSun" w:hAnsi="SimSun" w:eastAsia="SimSun" w:cs="SimSun"/>
          <w:sz w:val="29"/>
          <w:szCs w:val="29"/>
          <w:b/>
          <w:bCs/>
          <w:spacing w:val="-6"/>
        </w:rPr>
        <w:t>裁量标准</w:t>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445"/>
        <w:gridCol w:w="5271"/>
      </w:tblGrid>
      <w:tr>
        <w:trPr>
          <w:trHeight w:val="444" w:hRule="atLeast"/>
        </w:trPr>
        <w:tc>
          <w:tcPr>
            <w:tcW w:w="1444" w:type="dxa"/>
            <w:vAlign w:val="top"/>
          </w:tcPr>
          <w:p>
            <w:pPr>
              <w:pStyle w:val="TableText"/>
              <w:ind w:left="218"/>
              <w:spacing w:before="102" w:line="220" w:lineRule="auto"/>
              <w:rPr>
                <w:sz w:val="25"/>
                <w:szCs w:val="25"/>
              </w:rPr>
            </w:pPr>
            <w:r>
              <w:rPr>
                <w:sz w:val="25"/>
                <w:szCs w:val="25"/>
                <w:b/>
                <w:bCs/>
                <w:spacing w:val="-5"/>
              </w:rPr>
              <w:t>违法程度</w:t>
            </w:r>
          </w:p>
        </w:tc>
        <w:tc>
          <w:tcPr>
            <w:tcW w:w="7445" w:type="dxa"/>
            <w:vAlign w:val="top"/>
          </w:tcPr>
          <w:p>
            <w:pPr>
              <w:pStyle w:val="TableText"/>
              <w:ind w:left="3214"/>
              <w:spacing w:before="102" w:line="220" w:lineRule="auto"/>
              <w:rPr>
                <w:sz w:val="25"/>
                <w:szCs w:val="25"/>
              </w:rPr>
            </w:pPr>
            <w:r>
              <w:rPr>
                <w:sz w:val="25"/>
                <w:szCs w:val="25"/>
                <w:b/>
                <w:bCs/>
                <w:spacing w:val="-5"/>
              </w:rPr>
              <w:t>违法后果</w:t>
            </w:r>
          </w:p>
        </w:tc>
        <w:tc>
          <w:tcPr>
            <w:tcW w:w="5271" w:type="dxa"/>
            <w:vAlign w:val="top"/>
          </w:tcPr>
          <w:p>
            <w:pPr>
              <w:pStyle w:val="TableText"/>
              <w:ind w:left="2069"/>
              <w:spacing w:before="99" w:line="218" w:lineRule="auto"/>
              <w:rPr>
                <w:sz w:val="25"/>
                <w:szCs w:val="25"/>
              </w:rPr>
            </w:pPr>
            <w:r>
              <w:rPr>
                <w:sz w:val="25"/>
                <w:szCs w:val="25"/>
                <w:b/>
                <w:bCs/>
                <w:spacing w:val="-5"/>
              </w:rPr>
              <w:t>裁量幅度</w:t>
            </w:r>
          </w:p>
        </w:tc>
      </w:tr>
      <w:tr>
        <w:trPr>
          <w:trHeight w:val="867" w:hRule="atLeast"/>
        </w:trPr>
        <w:tc>
          <w:tcPr>
            <w:tcW w:w="1444" w:type="dxa"/>
            <w:vAlign w:val="top"/>
          </w:tcPr>
          <w:p>
            <w:pPr>
              <w:pStyle w:val="TableText"/>
              <w:ind w:left="468"/>
              <w:spacing w:before="307" w:line="219" w:lineRule="auto"/>
              <w:rPr>
                <w:sz w:val="25"/>
                <w:szCs w:val="25"/>
              </w:rPr>
            </w:pPr>
            <w:r>
              <w:rPr>
                <w:sz w:val="25"/>
                <w:szCs w:val="25"/>
                <w:b/>
                <w:bCs/>
                <w:spacing w:val="-6"/>
              </w:rPr>
              <w:t>轻微</w:t>
            </w:r>
          </w:p>
        </w:tc>
        <w:tc>
          <w:tcPr>
            <w:tcW w:w="7445" w:type="dxa"/>
            <w:vAlign w:val="top"/>
          </w:tcPr>
          <w:p>
            <w:pPr>
              <w:pStyle w:val="TableText"/>
              <w:ind w:left="120" w:hanging="109"/>
              <w:spacing w:before="142" w:line="264" w:lineRule="auto"/>
              <w:rPr>
                <w:sz w:val="25"/>
                <w:szCs w:val="25"/>
              </w:rPr>
            </w:pPr>
            <w:r>
              <w:rPr>
                <w:sz w:val="25"/>
                <w:szCs w:val="25"/>
                <w:spacing w:val="-3"/>
              </w:rPr>
              <w:t>医师对需要紧急救治的患者，拒绝急救处置，或者由于不负责任延误</w:t>
            </w:r>
            <w:r>
              <w:rPr>
                <w:sz w:val="25"/>
                <w:szCs w:val="25"/>
                <w:spacing w:val="12"/>
              </w:rPr>
              <w:t xml:space="preserve"> </w:t>
            </w:r>
            <w:r>
              <w:rPr>
                <w:sz w:val="25"/>
                <w:szCs w:val="25"/>
                <w:spacing w:val="1"/>
              </w:rPr>
              <w:t>诊治，首次发生且情节轻微的</w:t>
            </w:r>
          </w:p>
        </w:tc>
        <w:tc>
          <w:tcPr>
            <w:tcW w:w="5271" w:type="dxa"/>
            <w:vAlign w:val="top"/>
          </w:tcPr>
          <w:p>
            <w:pPr>
              <w:pStyle w:val="TableText"/>
              <w:ind w:left="115"/>
              <w:spacing w:before="139" w:line="218" w:lineRule="auto"/>
              <w:rPr>
                <w:sz w:val="25"/>
                <w:szCs w:val="25"/>
              </w:rPr>
            </w:pPr>
            <w:r>
              <w:rPr>
                <w:sz w:val="25"/>
                <w:szCs w:val="25"/>
                <w:spacing w:val="1"/>
              </w:rPr>
              <w:t>责令改正，给予警告</w:t>
            </w:r>
          </w:p>
        </w:tc>
      </w:tr>
      <w:tr>
        <w:trPr>
          <w:trHeight w:val="877" w:hRule="atLeast"/>
        </w:trPr>
        <w:tc>
          <w:tcPr>
            <w:tcW w:w="1444" w:type="dxa"/>
            <w:vAlign w:val="top"/>
          </w:tcPr>
          <w:p>
            <w:pPr>
              <w:spacing w:line="299" w:lineRule="auto"/>
              <w:rPr>
                <w:rFonts w:ascii="Arial"/>
                <w:sz w:val="21"/>
              </w:rPr>
            </w:pPr>
            <w:r/>
          </w:p>
          <w:p>
            <w:pPr>
              <w:pStyle w:val="TableText"/>
              <w:ind w:left="468"/>
              <w:spacing w:before="81" w:line="221" w:lineRule="auto"/>
              <w:rPr>
                <w:sz w:val="25"/>
                <w:szCs w:val="25"/>
              </w:rPr>
            </w:pPr>
            <w:r>
              <w:rPr>
                <w:sz w:val="25"/>
                <w:szCs w:val="25"/>
                <w:b/>
                <w:bCs/>
                <w:spacing w:val="-10"/>
              </w:rPr>
              <w:t>一般</w:t>
            </w:r>
          </w:p>
        </w:tc>
        <w:tc>
          <w:tcPr>
            <w:tcW w:w="7445" w:type="dxa"/>
            <w:vAlign w:val="top"/>
          </w:tcPr>
          <w:p>
            <w:pPr>
              <w:pStyle w:val="TableText"/>
              <w:ind w:left="90" w:hanging="79"/>
              <w:spacing w:before="154" w:line="263" w:lineRule="auto"/>
              <w:rPr>
                <w:sz w:val="25"/>
                <w:szCs w:val="25"/>
              </w:rPr>
            </w:pPr>
            <w:r>
              <w:rPr>
                <w:sz w:val="25"/>
                <w:szCs w:val="25"/>
                <w:spacing w:val="-3"/>
              </w:rPr>
              <w:t>医师对需要紧急救治的患者，拒绝急救处置，或者由于不负责任延误</w:t>
            </w:r>
            <w:r>
              <w:rPr>
                <w:sz w:val="25"/>
                <w:szCs w:val="25"/>
                <w:spacing w:val="12"/>
              </w:rPr>
              <w:t xml:space="preserve"> </w:t>
            </w:r>
            <w:r>
              <w:rPr>
                <w:sz w:val="25"/>
                <w:szCs w:val="25"/>
              </w:rPr>
              <w:t>诊治，受到警告行政处罚，再次发生的，或首次发生且情节较重的</w:t>
            </w:r>
          </w:p>
        </w:tc>
        <w:tc>
          <w:tcPr>
            <w:tcW w:w="5271" w:type="dxa"/>
            <w:vAlign w:val="top"/>
          </w:tcPr>
          <w:p>
            <w:pPr>
              <w:pStyle w:val="TableText"/>
              <w:ind w:left="115"/>
              <w:spacing w:before="152" w:line="219" w:lineRule="auto"/>
              <w:rPr>
                <w:sz w:val="25"/>
                <w:szCs w:val="25"/>
              </w:rPr>
            </w:pPr>
            <w:r>
              <w:rPr>
                <w:sz w:val="25"/>
                <w:szCs w:val="25"/>
                <w:spacing w:val="1"/>
              </w:rPr>
              <w:t>责令暂停六个月以上一年以下执业活动</w:t>
            </w:r>
          </w:p>
        </w:tc>
      </w:tr>
      <w:tr>
        <w:trPr>
          <w:trHeight w:val="892" w:hRule="atLeast"/>
        </w:trPr>
        <w:tc>
          <w:tcPr>
            <w:tcW w:w="1444" w:type="dxa"/>
            <w:vAlign w:val="top"/>
          </w:tcPr>
          <w:p>
            <w:pPr>
              <w:spacing w:line="301" w:lineRule="auto"/>
              <w:rPr>
                <w:rFonts w:ascii="Arial"/>
                <w:sz w:val="21"/>
              </w:rPr>
            </w:pPr>
            <w:r/>
          </w:p>
          <w:p>
            <w:pPr>
              <w:pStyle w:val="TableText"/>
              <w:ind w:left="468"/>
              <w:spacing w:before="81" w:line="220" w:lineRule="auto"/>
              <w:rPr>
                <w:sz w:val="25"/>
                <w:szCs w:val="25"/>
              </w:rPr>
            </w:pPr>
            <w:r>
              <w:rPr>
                <w:sz w:val="25"/>
                <w:szCs w:val="25"/>
                <w:b/>
                <w:bCs/>
                <w:spacing w:val="-6"/>
              </w:rPr>
              <w:t>严重</w:t>
            </w:r>
          </w:p>
        </w:tc>
        <w:tc>
          <w:tcPr>
            <w:tcW w:w="7445" w:type="dxa"/>
            <w:vAlign w:val="top"/>
          </w:tcPr>
          <w:p>
            <w:pPr>
              <w:pStyle w:val="TableText"/>
              <w:ind w:left="100" w:hanging="89"/>
              <w:spacing w:before="167" w:line="264" w:lineRule="auto"/>
              <w:rPr>
                <w:sz w:val="25"/>
                <w:szCs w:val="25"/>
              </w:rPr>
            </w:pPr>
            <w:r>
              <w:rPr>
                <w:sz w:val="25"/>
                <w:szCs w:val="25"/>
                <w:spacing w:val="-3"/>
              </w:rPr>
              <w:t>医师对需要紧急救治的患者，拒绝急救处置，或者由于不负责任延误</w:t>
            </w:r>
            <w:r>
              <w:rPr>
                <w:sz w:val="25"/>
                <w:szCs w:val="25"/>
                <w:spacing w:val="12"/>
              </w:rPr>
              <w:t xml:space="preserve"> </w:t>
            </w:r>
            <w:r>
              <w:rPr>
                <w:sz w:val="25"/>
                <w:szCs w:val="25"/>
              </w:rPr>
              <w:t>诊治，受到暂停执业行政处罚，再次发生的</w:t>
            </w:r>
          </w:p>
        </w:tc>
        <w:tc>
          <w:tcPr>
            <w:tcW w:w="5271" w:type="dxa"/>
            <w:vAlign w:val="top"/>
          </w:tcPr>
          <w:p>
            <w:pPr>
              <w:pStyle w:val="TableText"/>
              <w:ind w:left="115"/>
              <w:spacing w:before="165" w:line="219" w:lineRule="auto"/>
              <w:rPr>
                <w:sz w:val="25"/>
                <w:szCs w:val="25"/>
              </w:rPr>
            </w:pPr>
            <w:r>
              <w:rPr>
                <w:sz w:val="25"/>
                <w:szCs w:val="25"/>
                <w:spacing w:val="2"/>
              </w:rPr>
              <w:t>吊销医师执业证书</w:t>
            </w:r>
          </w:p>
        </w:tc>
      </w:tr>
    </w:tbl>
    <w:p>
      <w:pPr>
        <w:pStyle w:val="BodyText"/>
        <w:spacing w:line="476" w:lineRule="auto"/>
        <w:rPr/>
      </w:pPr>
      <w:r/>
    </w:p>
    <w:p>
      <w:pPr>
        <w:ind w:left="139" w:right="110" w:firstLine="639"/>
        <w:spacing w:before="98" w:line="272" w:lineRule="auto"/>
        <w:rPr>
          <w:rFonts w:ascii="FangSong" w:hAnsi="FangSong" w:eastAsia="FangSong" w:cs="FangSong"/>
          <w:sz w:val="30"/>
          <w:szCs w:val="30"/>
        </w:rPr>
      </w:pPr>
      <w:r>
        <w:rPr>
          <w:rFonts w:ascii="FangSong" w:hAnsi="FangSong" w:eastAsia="FangSong" w:cs="FangSong"/>
          <w:sz w:val="30"/>
          <w:szCs w:val="30"/>
          <w:b/>
          <w:bCs/>
          <w:spacing w:val="21"/>
        </w:rPr>
        <w:t>第一百八十一条医师在遇有自然灾害、事故灾难、公共卫生事件和</w:t>
      </w:r>
      <w:r>
        <w:rPr>
          <w:rFonts w:ascii="FangSong" w:hAnsi="FangSong" w:eastAsia="FangSong" w:cs="FangSong"/>
          <w:sz w:val="30"/>
          <w:szCs w:val="30"/>
          <w:b/>
          <w:bCs/>
          <w:spacing w:val="20"/>
        </w:rPr>
        <w:t>社会安全事件等严重威胁人</w:t>
      </w:r>
      <w:r>
        <w:rPr>
          <w:rFonts w:ascii="FangSong" w:hAnsi="FangSong" w:eastAsia="FangSong" w:cs="FangSong"/>
          <w:sz w:val="30"/>
          <w:szCs w:val="30"/>
        </w:rPr>
        <w:t xml:space="preserve"> </w:t>
      </w:r>
      <w:r>
        <w:rPr>
          <w:rFonts w:ascii="FangSong" w:hAnsi="FangSong" w:eastAsia="FangSong" w:cs="FangSong"/>
          <w:sz w:val="30"/>
          <w:szCs w:val="30"/>
          <w:b/>
          <w:bCs/>
          <w:spacing w:val="15"/>
        </w:rPr>
        <w:t>民生命健康的突发事件时，不服从卫生健康主管部门调遣</w:t>
      </w:r>
    </w:p>
    <w:p>
      <w:pPr>
        <w:ind w:left="774"/>
        <w:spacing w:before="43"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135" w:right="104" w:firstLine="629"/>
        <w:spacing w:before="62" w:line="269" w:lineRule="auto"/>
        <w:jc w:val="both"/>
        <w:rPr>
          <w:rFonts w:ascii="FangSong" w:hAnsi="FangSong" w:eastAsia="FangSong" w:cs="FangSong"/>
          <w:sz w:val="30"/>
          <w:szCs w:val="30"/>
        </w:rPr>
      </w:pPr>
      <w:r>
        <w:rPr>
          <w:rFonts w:ascii="FangSong" w:hAnsi="FangSong" w:eastAsia="FangSong" w:cs="FangSong"/>
          <w:sz w:val="30"/>
          <w:szCs w:val="30"/>
          <w:spacing w:val="23"/>
        </w:rPr>
        <w:t>《中华人民共和国医师法》第五十五条第(三)项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违反本法规定，医师在执业活动中有下列行</w:t>
      </w:r>
      <w:r>
        <w:rPr>
          <w:rFonts w:ascii="FangSong" w:hAnsi="FangSong" w:eastAsia="FangSong" w:cs="FangSong"/>
          <w:sz w:val="30"/>
          <w:szCs w:val="30"/>
          <w:spacing w:val="11"/>
        </w:rPr>
        <w:t xml:space="preserve"> </w:t>
      </w:r>
      <w:r>
        <w:rPr>
          <w:rFonts w:ascii="FangSong" w:hAnsi="FangSong" w:eastAsia="FangSong" w:cs="FangSong"/>
          <w:sz w:val="30"/>
          <w:szCs w:val="30"/>
          <w:spacing w:val="16"/>
        </w:rPr>
        <w:t>为之一的，由县级以上人民政府卫生健康主管部门责令改正，给予警告；情节严重的，责令</w:t>
      </w:r>
      <w:r>
        <w:rPr>
          <w:rFonts w:ascii="FangSong" w:hAnsi="FangSong" w:eastAsia="FangSong" w:cs="FangSong"/>
          <w:sz w:val="30"/>
          <w:szCs w:val="30"/>
          <w:spacing w:val="15"/>
        </w:rPr>
        <w:t>暂停六个</w:t>
      </w:r>
      <w:r>
        <w:rPr>
          <w:rFonts w:ascii="FangSong" w:hAnsi="FangSong" w:eastAsia="FangSong" w:cs="FangSong"/>
          <w:sz w:val="30"/>
          <w:szCs w:val="30"/>
        </w:rPr>
        <w:t xml:space="preserve"> </w:t>
      </w:r>
      <w:r>
        <w:rPr>
          <w:rFonts w:ascii="FangSong" w:hAnsi="FangSong" w:eastAsia="FangSong" w:cs="FangSong"/>
          <w:sz w:val="30"/>
          <w:szCs w:val="30"/>
          <w:spacing w:val="15"/>
        </w:rPr>
        <w:t>月以上一年以下执业活动直至吊销医师执业证书：</w:t>
      </w:r>
    </w:p>
    <w:p>
      <w:pPr>
        <w:ind w:left="135" w:right="101" w:firstLine="759"/>
        <w:spacing w:before="1" w:line="284" w:lineRule="auto"/>
        <w:rPr>
          <w:rFonts w:ascii="FangSong" w:hAnsi="FangSong" w:eastAsia="FangSong" w:cs="FangSong"/>
          <w:sz w:val="30"/>
          <w:szCs w:val="30"/>
        </w:rPr>
      </w:pPr>
      <w:r>
        <w:rPr>
          <w:rFonts w:ascii="FangSong" w:hAnsi="FangSong" w:eastAsia="FangSong" w:cs="FangSong"/>
          <w:sz w:val="30"/>
          <w:szCs w:val="30"/>
          <w:spacing w:val="21"/>
        </w:rPr>
        <w:t>(三)遇有自然灾害、事故灾难、公共卫生事件和社会安全事件等严重威</w:t>
      </w:r>
      <w:r>
        <w:rPr>
          <w:rFonts w:ascii="FangSong" w:hAnsi="FangSong" w:eastAsia="FangSong" w:cs="FangSong"/>
          <w:sz w:val="30"/>
          <w:szCs w:val="30"/>
          <w:spacing w:val="20"/>
        </w:rPr>
        <w:t>胁人民生命健康的突发</w:t>
      </w:r>
      <w:r>
        <w:rPr>
          <w:rFonts w:ascii="FangSong" w:hAnsi="FangSong" w:eastAsia="FangSong" w:cs="FangSong"/>
          <w:sz w:val="30"/>
          <w:szCs w:val="30"/>
        </w:rPr>
        <w:t xml:space="preserve"> </w:t>
      </w:r>
      <w:r>
        <w:rPr>
          <w:rFonts w:ascii="FangSong" w:hAnsi="FangSong" w:eastAsia="FangSong" w:cs="FangSong"/>
          <w:sz w:val="30"/>
          <w:szCs w:val="30"/>
          <w:spacing w:val="14"/>
        </w:rPr>
        <w:t>事件时，不服从卫生健康主管部门调遣；</w:t>
      </w:r>
    </w:p>
    <w:p>
      <w:pPr>
        <w:spacing w:line="284" w:lineRule="auto"/>
        <w:sectPr>
          <w:footerReference w:type="default" r:id="rId250"/>
          <w:pgSz w:w="16830" w:h="11900"/>
          <w:pgMar w:top="1011" w:right="1344" w:bottom="1140" w:left="1314" w:header="0" w:footer="816" w:gutter="0"/>
        </w:sectPr>
        <w:rPr>
          <w:rFonts w:ascii="FangSong" w:hAnsi="FangSong" w:eastAsia="FangSong" w:cs="FangSong"/>
          <w:sz w:val="30"/>
          <w:szCs w:val="30"/>
        </w:rPr>
      </w:pPr>
    </w:p>
    <w:p>
      <w:pPr>
        <w:pStyle w:val="BodyText"/>
        <w:spacing w:line="256" w:lineRule="auto"/>
        <w:rPr/>
      </w:pPr>
      <w:r/>
    </w:p>
    <w:p>
      <w:pPr>
        <w:pStyle w:val="BodyText"/>
        <w:spacing w:line="256" w:lineRule="auto"/>
        <w:rPr/>
      </w:pPr>
      <w:r/>
    </w:p>
    <w:p>
      <w:pPr>
        <w:pStyle w:val="BodyText"/>
        <w:spacing w:line="256" w:lineRule="auto"/>
        <w:rPr/>
      </w:pPr>
      <w:r/>
    </w:p>
    <w:p>
      <w:pPr>
        <w:ind w:left="6539"/>
        <w:spacing w:before="94" w:line="220" w:lineRule="auto"/>
        <w:outlineLvl w:val="1"/>
        <w:rPr>
          <w:rFonts w:ascii="SimSun" w:hAnsi="SimSun" w:eastAsia="SimSun" w:cs="SimSun"/>
          <w:sz w:val="29"/>
          <w:szCs w:val="29"/>
        </w:rPr>
      </w:pPr>
      <w:bookmarkStart w:name="bookmark903" w:id="263"/>
      <w:bookmarkEnd w:id="263"/>
      <w:bookmarkStart w:name="bookmark186" w:id="264"/>
      <w:bookmarkEnd w:id="264"/>
      <w:r>
        <w:rPr>
          <w:rFonts w:ascii="SimSun" w:hAnsi="SimSun" w:eastAsia="SimSun" w:cs="SimSun"/>
          <w:sz w:val="29"/>
          <w:szCs w:val="29"/>
          <w:b/>
          <w:bCs/>
          <w:spacing w:val="-6"/>
        </w:rPr>
        <w:t>裁量标准</w:t>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904"/>
        <w:gridCol w:w="4842"/>
      </w:tblGrid>
      <w:tr>
        <w:trPr>
          <w:trHeight w:val="454" w:hRule="atLeast"/>
        </w:trPr>
        <w:tc>
          <w:tcPr>
            <w:tcW w:w="1424" w:type="dxa"/>
            <w:vAlign w:val="top"/>
          </w:tcPr>
          <w:p>
            <w:pPr>
              <w:pStyle w:val="TableText"/>
              <w:ind w:left="208"/>
              <w:spacing w:before="102" w:line="220" w:lineRule="auto"/>
              <w:rPr>
                <w:sz w:val="25"/>
                <w:szCs w:val="25"/>
              </w:rPr>
            </w:pPr>
            <w:r>
              <w:rPr>
                <w:sz w:val="25"/>
                <w:szCs w:val="25"/>
                <w:b/>
                <w:bCs/>
                <w:spacing w:val="-5"/>
              </w:rPr>
              <w:t>违法程度</w:t>
            </w:r>
          </w:p>
        </w:tc>
        <w:tc>
          <w:tcPr>
            <w:tcW w:w="7904" w:type="dxa"/>
            <w:vAlign w:val="top"/>
          </w:tcPr>
          <w:p>
            <w:pPr>
              <w:pStyle w:val="TableText"/>
              <w:ind w:left="3444"/>
              <w:spacing w:before="102" w:line="220" w:lineRule="auto"/>
              <w:rPr>
                <w:sz w:val="25"/>
                <w:szCs w:val="25"/>
              </w:rPr>
            </w:pPr>
            <w:r>
              <w:rPr>
                <w:sz w:val="25"/>
                <w:szCs w:val="25"/>
                <w:b/>
                <w:bCs/>
                <w:spacing w:val="-5"/>
              </w:rPr>
              <w:t>违法后果</w:t>
            </w:r>
          </w:p>
        </w:tc>
        <w:tc>
          <w:tcPr>
            <w:tcW w:w="4842" w:type="dxa"/>
            <w:vAlign w:val="top"/>
          </w:tcPr>
          <w:p>
            <w:pPr>
              <w:pStyle w:val="TableText"/>
              <w:ind w:left="1840"/>
              <w:spacing w:before="99" w:line="218" w:lineRule="auto"/>
              <w:rPr>
                <w:sz w:val="25"/>
                <w:szCs w:val="25"/>
              </w:rPr>
            </w:pPr>
            <w:r>
              <w:rPr>
                <w:sz w:val="25"/>
                <w:szCs w:val="25"/>
                <w:b/>
                <w:bCs/>
                <w:spacing w:val="-5"/>
              </w:rPr>
              <w:t>裁量幅度</w:t>
            </w:r>
          </w:p>
        </w:tc>
      </w:tr>
      <w:tr>
        <w:trPr>
          <w:trHeight w:val="1308" w:hRule="atLeast"/>
        </w:trPr>
        <w:tc>
          <w:tcPr>
            <w:tcW w:w="1424" w:type="dxa"/>
            <w:vAlign w:val="top"/>
          </w:tcPr>
          <w:p>
            <w:pPr>
              <w:spacing w:line="443" w:lineRule="auto"/>
              <w:rPr>
                <w:rFonts w:ascii="Arial"/>
                <w:sz w:val="21"/>
              </w:rPr>
            </w:pPr>
            <w:r/>
          </w:p>
          <w:p>
            <w:pPr>
              <w:pStyle w:val="TableText"/>
              <w:ind w:left="458"/>
              <w:spacing w:before="82" w:line="219" w:lineRule="auto"/>
              <w:rPr>
                <w:sz w:val="25"/>
                <w:szCs w:val="25"/>
              </w:rPr>
            </w:pPr>
            <w:r>
              <w:rPr>
                <w:sz w:val="25"/>
                <w:szCs w:val="25"/>
                <w:b/>
                <w:bCs/>
                <w:spacing w:val="-6"/>
              </w:rPr>
              <w:t>轻微</w:t>
            </w:r>
          </w:p>
        </w:tc>
        <w:tc>
          <w:tcPr>
            <w:tcW w:w="7904" w:type="dxa"/>
            <w:vAlign w:val="top"/>
          </w:tcPr>
          <w:p>
            <w:pPr>
              <w:pStyle w:val="TableText"/>
              <w:spacing w:before="139" w:line="219" w:lineRule="auto"/>
              <w:jc w:val="right"/>
              <w:rPr>
                <w:sz w:val="25"/>
                <w:szCs w:val="25"/>
              </w:rPr>
            </w:pPr>
            <w:r>
              <w:rPr>
                <w:sz w:val="25"/>
                <w:szCs w:val="25"/>
                <w:spacing w:val="-4"/>
              </w:rPr>
              <w:t>医师在遇有自然灾害、事故灾难、公共卫生事件和社会安全事件等严重威</w:t>
            </w:r>
          </w:p>
          <w:p>
            <w:pPr>
              <w:pStyle w:val="TableText"/>
              <w:ind w:left="139" w:hanging="129"/>
              <w:spacing w:before="154" w:line="261" w:lineRule="auto"/>
              <w:rPr>
                <w:sz w:val="25"/>
                <w:szCs w:val="25"/>
              </w:rPr>
            </w:pPr>
            <w:r>
              <w:rPr>
                <w:sz w:val="25"/>
                <w:szCs w:val="25"/>
                <w:spacing w:val="-4"/>
              </w:rPr>
              <w:t>胁人民生命健康的突发事件时，不服从卫生健康主管部门调遣，首次发生</w:t>
            </w:r>
            <w:r>
              <w:rPr>
                <w:sz w:val="25"/>
                <w:szCs w:val="25"/>
                <w:spacing w:val="10"/>
              </w:rPr>
              <w:t xml:space="preserve"> </w:t>
            </w:r>
            <w:r>
              <w:rPr>
                <w:sz w:val="25"/>
                <w:szCs w:val="25"/>
                <w:spacing w:val="2"/>
              </w:rPr>
              <w:t>且情节轻微的</w:t>
            </w:r>
          </w:p>
        </w:tc>
        <w:tc>
          <w:tcPr>
            <w:tcW w:w="4842" w:type="dxa"/>
            <w:vAlign w:val="top"/>
          </w:tcPr>
          <w:p>
            <w:pPr>
              <w:spacing w:line="276" w:lineRule="auto"/>
              <w:rPr>
                <w:rFonts w:ascii="Arial"/>
                <w:sz w:val="21"/>
              </w:rPr>
            </w:pPr>
            <w:r/>
          </w:p>
          <w:p>
            <w:pPr>
              <w:pStyle w:val="TableText"/>
              <w:ind w:left="117"/>
              <w:spacing w:before="81" w:line="218" w:lineRule="auto"/>
              <w:rPr>
                <w:sz w:val="25"/>
                <w:szCs w:val="25"/>
              </w:rPr>
            </w:pPr>
            <w:r>
              <w:rPr>
                <w:sz w:val="25"/>
                <w:szCs w:val="25"/>
              </w:rPr>
              <w:t>责令改正，给予警告。</w:t>
            </w:r>
          </w:p>
        </w:tc>
      </w:tr>
      <w:tr>
        <w:trPr>
          <w:trHeight w:val="1298" w:hRule="atLeast"/>
        </w:trPr>
        <w:tc>
          <w:tcPr>
            <w:tcW w:w="1424" w:type="dxa"/>
            <w:vAlign w:val="top"/>
          </w:tcPr>
          <w:p>
            <w:pPr>
              <w:spacing w:line="447" w:lineRule="auto"/>
              <w:rPr>
                <w:rFonts w:ascii="Arial"/>
                <w:sz w:val="21"/>
              </w:rPr>
            </w:pPr>
            <w:r/>
          </w:p>
          <w:p>
            <w:pPr>
              <w:pStyle w:val="TableText"/>
              <w:ind w:left="458"/>
              <w:spacing w:before="81" w:line="221" w:lineRule="auto"/>
              <w:rPr>
                <w:sz w:val="25"/>
                <w:szCs w:val="25"/>
              </w:rPr>
            </w:pPr>
            <w:r>
              <w:rPr>
                <w:sz w:val="25"/>
                <w:szCs w:val="25"/>
                <w:b/>
                <w:bCs/>
                <w:spacing w:val="-10"/>
              </w:rPr>
              <w:t>一般</w:t>
            </w:r>
          </w:p>
        </w:tc>
        <w:tc>
          <w:tcPr>
            <w:tcW w:w="7904" w:type="dxa"/>
            <w:vAlign w:val="top"/>
          </w:tcPr>
          <w:p>
            <w:pPr>
              <w:pStyle w:val="TableText"/>
              <w:ind w:left="10"/>
              <w:spacing w:before="162" w:line="277" w:lineRule="auto"/>
              <w:jc w:val="both"/>
              <w:rPr>
                <w:sz w:val="25"/>
                <w:szCs w:val="25"/>
              </w:rPr>
            </w:pPr>
            <w:r>
              <w:rPr>
                <w:sz w:val="25"/>
                <w:szCs w:val="25"/>
                <w:spacing w:val="-4"/>
              </w:rPr>
              <w:t>医师在遇有自然灾害、事故灾难、公共卫生事件和社会安全事件等严重威</w:t>
            </w:r>
            <w:r>
              <w:rPr>
                <w:sz w:val="25"/>
                <w:szCs w:val="25"/>
                <w:spacing w:val="5"/>
              </w:rPr>
              <w:t xml:space="preserve"> </w:t>
            </w:r>
            <w:r>
              <w:rPr>
                <w:sz w:val="25"/>
                <w:szCs w:val="25"/>
                <w:spacing w:val="-4"/>
              </w:rPr>
              <w:t>胁人民生命健康的突发事件时，不服从卫生健康主管部门调遣，受到警告</w:t>
            </w:r>
            <w:r>
              <w:rPr>
                <w:sz w:val="25"/>
                <w:szCs w:val="25"/>
                <w:spacing w:val="10"/>
              </w:rPr>
              <w:t xml:space="preserve"> </w:t>
            </w:r>
            <w:r>
              <w:rPr>
                <w:sz w:val="25"/>
                <w:szCs w:val="25"/>
                <w:spacing w:val="5"/>
              </w:rPr>
              <w:t>行政处罚，再次发生的，或首次发生且情节较重的</w:t>
            </w:r>
          </w:p>
        </w:tc>
        <w:tc>
          <w:tcPr>
            <w:tcW w:w="4842" w:type="dxa"/>
            <w:vAlign w:val="top"/>
          </w:tcPr>
          <w:p>
            <w:pPr>
              <w:spacing w:line="278" w:lineRule="auto"/>
              <w:rPr>
                <w:rFonts w:ascii="Arial"/>
                <w:sz w:val="21"/>
              </w:rPr>
            </w:pPr>
            <w:r/>
          </w:p>
          <w:p>
            <w:pPr>
              <w:pStyle w:val="TableText"/>
              <w:ind w:left="117"/>
              <w:spacing w:before="82" w:line="219" w:lineRule="auto"/>
              <w:rPr>
                <w:sz w:val="25"/>
                <w:szCs w:val="25"/>
              </w:rPr>
            </w:pPr>
            <w:r>
              <w:rPr>
                <w:sz w:val="25"/>
                <w:szCs w:val="25"/>
                <w:spacing w:val="1"/>
              </w:rPr>
              <w:t>责令暂停六个月以上一年以下执业活动</w:t>
            </w:r>
          </w:p>
        </w:tc>
      </w:tr>
      <w:tr>
        <w:trPr>
          <w:trHeight w:val="2660" w:hRule="atLeast"/>
        </w:trPr>
        <w:tc>
          <w:tcPr>
            <w:tcW w:w="1424" w:type="dxa"/>
            <w:vAlign w:val="top"/>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7904" w:type="dxa"/>
            <w:vAlign w:val="top"/>
          </w:tcPr>
          <w:p>
            <w:pPr>
              <w:pStyle w:val="TableText"/>
              <w:ind w:left="140" w:hanging="69"/>
              <w:spacing w:before="176" w:line="322" w:lineRule="auto"/>
              <w:jc w:val="both"/>
              <w:rPr>
                <w:sz w:val="25"/>
                <w:szCs w:val="25"/>
              </w:rPr>
            </w:pPr>
            <w:r>
              <w:rPr>
                <w:sz w:val="25"/>
                <w:szCs w:val="25"/>
              </w:rPr>
              <w:t>有下列情形之一的：A.医师在遇有自然灾害、事故灾难、公共卫生事件</w:t>
            </w:r>
            <w:r>
              <w:rPr>
                <w:sz w:val="25"/>
                <w:szCs w:val="25"/>
                <w:spacing w:val="1"/>
              </w:rPr>
              <w:t xml:space="preserve"> </w:t>
            </w:r>
            <w:r>
              <w:rPr>
                <w:sz w:val="25"/>
                <w:szCs w:val="25"/>
                <w:spacing w:val="-8"/>
              </w:rPr>
              <w:t>和社会安全事件等严重威胁人民生命健康的突发事件时，不服从卫生健康</w:t>
            </w:r>
            <w:r>
              <w:rPr>
                <w:sz w:val="25"/>
                <w:szCs w:val="25"/>
                <w:spacing w:val="8"/>
              </w:rPr>
              <w:t xml:space="preserve"> </w:t>
            </w:r>
            <w:r>
              <w:rPr>
                <w:sz w:val="25"/>
                <w:szCs w:val="25"/>
              </w:rPr>
              <w:t>主管部门调遣，受到暂停执业行政处罚，再次发生的</w:t>
            </w:r>
          </w:p>
          <w:p>
            <w:pPr>
              <w:pStyle w:val="TableText"/>
              <w:ind w:left="121"/>
              <w:spacing w:before="3" w:line="286" w:lineRule="auto"/>
              <w:jc w:val="both"/>
              <w:rPr>
                <w:sz w:val="25"/>
                <w:szCs w:val="25"/>
              </w:rPr>
            </w:pPr>
            <w:r>
              <w:rPr>
                <w:sz w:val="25"/>
                <w:szCs w:val="25"/>
                <w:spacing w:val="-7"/>
              </w:rPr>
              <w:t>B.医师在遇有自然灾害、事故灾难、公共卫生事件和社会安全事件等严重</w:t>
            </w:r>
            <w:r>
              <w:rPr>
                <w:sz w:val="25"/>
                <w:szCs w:val="25"/>
                <w:spacing w:val="2"/>
              </w:rPr>
              <w:t xml:space="preserve"> </w:t>
            </w:r>
            <w:r>
              <w:rPr>
                <w:sz w:val="25"/>
                <w:szCs w:val="25"/>
                <w:spacing w:val="-7"/>
              </w:rPr>
              <w:t>威胁人民生命健康的突发事件时，不服从卫生健康主管部门</w:t>
            </w:r>
            <w:r>
              <w:rPr>
                <w:sz w:val="25"/>
                <w:szCs w:val="25"/>
                <w:spacing w:val="-8"/>
              </w:rPr>
              <w:t>调遣，影响疾</w:t>
            </w:r>
            <w:r>
              <w:rPr>
                <w:sz w:val="25"/>
                <w:szCs w:val="25"/>
              </w:rPr>
              <w:t xml:space="preserve"> </w:t>
            </w:r>
            <w:r>
              <w:rPr>
                <w:sz w:val="25"/>
                <w:szCs w:val="25"/>
              </w:rPr>
              <w:t>病防控、救治工作，造成人员伤害、死亡或产生其他严重后果的</w:t>
            </w:r>
          </w:p>
        </w:tc>
        <w:tc>
          <w:tcPr>
            <w:tcW w:w="4842" w:type="dxa"/>
            <w:vAlign w:val="top"/>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pStyle w:val="TableText"/>
              <w:ind w:left="117"/>
              <w:spacing w:before="81" w:line="219" w:lineRule="auto"/>
              <w:rPr>
                <w:sz w:val="25"/>
                <w:szCs w:val="25"/>
              </w:rPr>
            </w:pPr>
            <w:r>
              <w:rPr>
                <w:sz w:val="25"/>
                <w:szCs w:val="25"/>
                <w:spacing w:val="2"/>
              </w:rPr>
              <w:t>吊销医师执业证书</w:t>
            </w:r>
          </w:p>
        </w:tc>
      </w:tr>
    </w:tbl>
    <w:p>
      <w:pPr>
        <w:pStyle w:val="BodyText"/>
        <w:spacing w:line="404" w:lineRule="auto"/>
        <w:rPr/>
      </w:pPr>
      <w:r/>
    </w:p>
    <w:p>
      <w:pPr>
        <w:ind w:left="789"/>
        <w:spacing w:before="100" w:line="220" w:lineRule="auto"/>
        <w:rPr>
          <w:rFonts w:ascii="FangSong" w:hAnsi="FangSong" w:eastAsia="FangSong" w:cs="FangSong"/>
          <w:sz w:val="31"/>
          <w:szCs w:val="31"/>
        </w:rPr>
      </w:pPr>
      <w:r>
        <w:rPr>
          <w:rFonts w:ascii="FangSong" w:hAnsi="FangSong" w:eastAsia="FangSong" w:cs="FangSong"/>
          <w:sz w:val="31"/>
          <w:szCs w:val="31"/>
          <w:b/>
          <w:bCs/>
          <w:spacing w:val="14"/>
        </w:rPr>
        <w:t>第一百八十二条医师未按照规定报告有关情形</w:t>
      </w:r>
    </w:p>
    <w:p>
      <w:pPr>
        <w:ind w:left="935"/>
        <w:spacing w:before="147"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759"/>
        <w:spacing w:before="92" w:line="219" w:lineRule="auto"/>
        <w:rPr>
          <w:rFonts w:ascii="FangSong" w:hAnsi="FangSong" w:eastAsia="FangSong" w:cs="FangSong"/>
          <w:sz w:val="31"/>
          <w:szCs w:val="31"/>
        </w:rPr>
      </w:pPr>
      <w:r>
        <w:rPr>
          <w:rFonts w:ascii="FangSong" w:hAnsi="FangSong" w:eastAsia="FangSong" w:cs="FangSong"/>
          <w:sz w:val="31"/>
          <w:szCs w:val="31"/>
          <w:spacing w:val="14"/>
        </w:rPr>
        <w:t>《中华人民共和国医师法》第五十五条第(四)项</w:t>
      </w:r>
      <w:r>
        <w:rPr>
          <w:rFonts w:ascii="FangSong" w:hAnsi="FangSong" w:eastAsia="FangSong" w:cs="FangSong"/>
          <w:sz w:val="31"/>
          <w:szCs w:val="31"/>
          <w:spacing w:val="14"/>
        </w:rPr>
        <w:t xml:space="preserve">  </w:t>
      </w:r>
      <w:r>
        <w:rPr>
          <w:rFonts w:ascii="FangSong" w:hAnsi="FangSong" w:eastAsia="FangSong" w:cs="FangSong"/>
          <w:sz w:val="31"/>
          <w:szCs w:val="31"/>
          <w:spacing w:val="14"/>
        </w:rPr>
        <w:t>违反本法规定，医师在执业活动中有下列行</w:t>
      </w:r>
    </w:p>
    <w:p>
      <w:pPr>
        <w:pStyle w:val="BodyText"/>
        <w:spacing w:line="288" w:lineRule="auto"/>
        <w:rPr/>
      </w:pPr>
      <w:r/>
    </w:p>
    <w:p>
      <w:pPr>
        <w:pStyle w:val="BodyText"/>
        <w:spacing w:line="289" w:lineRule="auto"/>
        <w:rPr/>
      </w:pPr>
      <w:r/>
    </w:p>
    <w:p>
      <w:pPr>
        <w:pStyle w:val="BodyText"/>
        <w:spacing w:line="289" w:lineRule="auto"/>
        <w:rPr/>
      </w:pPr>
      <w:r/>
    </w:p>
    <w:p>
      <w:pPr>
        <w:ind w:left="6465"/>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—267—</w:t>
      </w:r>
    </w:p>
    <w:p>
      <w:pPr>
        <w:spacing w:line="188" w:lineRule="auto"/>
        <w:sectPr>
          <w:footerReference w:type="default" r:id="rId24"/>
          <w:pgSz w:w="16830" w:h="11900"/>
          <w:pgMar w:top="1011" w:right="1335" w:bottom="400" w:left="1314" w:header="0" w:footer="0" w:gutter="0"/>
        </w:sectPr>
        <w:rPr>
          <w:rFonts w:ascii="Times New Roman" w:hAnsi="Times New Roman" w:eastAsia="Times New Roman" w:cs="Times New Roman"/>
          <w:sz w:val="37"/>
          <w:szCs w:val="37"/>
        </w:rPr>
      </w:pPr>
    </w:p>
    <w:p>
      <w:pPr>
        <w:pStyle w:val="BodyText"/>
        <w:spacing w:line="261" w:lineRule="auto"/>
        <w:rPr/>
      </w:pPr>
      <w:r/>
    </w:p>
    <w:p>
      <w:pPr>
        <w:pStyle w:val="BodyText"/>
        <w:spacing w:line="262" w:lineRule="auto"/>
        <w:rPr/>
      </w:pPr>
      <w:r/>
    </w:p>
    <w:p>
      <w:pPr>
        <w:pStyle w:val="BodyText"/>
        <w:spacing w:line="262" w:lineRule="auto"/>
        <w:rPr/>
      </w:pPr>
      <w:r/>
    </w:p>
    <w:p>
      <w:pPr>
        <w:ind w:left="135" w:right="146" w:firstLine="9"/>
        <w:spacing w:before="98" w:line="277" w:lineRule="auto"/>
        <w:rPr>
          <w:rFonts w:ascii="FangSong" w:hAnsi="FangSong" w:eastAsia="FangSong" w:cs="FangSong"/>
          <w:sz w:val="30"/>
          <w:szCs w:val="30"/>
        </w:rPr>
      </w:pPr>
      <w:r>
        <w:rPr>
          <w:rFonts w:ascii="FangSong" w:hAnsi="FangSong" w:eastAsia="FangSong" w:cs="FangSong"/>
          <w:sz w:val="30"/>
          <w:szCs w:val="30"/>
          <w:spacing w:val="16"/>
        </w:rPr>
        <w:t>为之一的，由县级以上人民政府卫生健康主管部门责令改正，给予警告；情节严重的，责令</w:t>
      </w:r>
      <w:r>
        <w:rPr>
          <w:rFonts w:ascii="FangSong" w:hAnsi="FangSong" w:eastAsia="FangSong" w:cs="FangSong"/>
          <w:sz w:val="30"/>
          <w:szCs w:val="30"/>
          <w:spacing w:val="15"/>
        </w:rPr>
        <w:t>暂停六个</w:t>
      </w:r>
      <w:r>
        <w:rPr>
          <w:rFonts w:ascii="FangSong" w:hAnsi="FangSong" w:eastAsia="FangSong" w:cs="FangSong"/>
          <w:sz w:val="30"/>
          <w:szCs w:val="30"/>
        </w:rPr>
        <w:t xml:space="preserve"> </w:t>
      </w:r>
      <w:r>
        <w:rPr>
          <w:rFonts w:ascii="FangSong" w:hAnsi="FangSong" w:eastAsia="FangSong" w:cs="FangSong"/>
          <w:sz w:val="30"/>
          <w:szCs w:val="30"/>
          <w:spacing w:val="15"/>
        </w:rPr>
        <w:t>月以上一年以下执业活动直至吊销医师执业证书：</w:t>
      </w:r>
    </w:p>
    <w:p>
      <w:pPr>
        <w:ind w:left="905"/>
        <w:spacing w:line="222" w:lineRule="auto"/>
        <w:rPr>
          <w:rFonts w:ascii="FangSong" w:hAnsi="FangSong" w:eastAsia="FangSong" w:cs="FangSong"/>
          <w:sz w:val="30"/>
          <w:szCs w:val="30"/>
        </w:rPr>
      </w:pPr>
      <w:r>
        <w:rPr>
          <w:rFonts w:ascii="FangSong" w:hAnsi="FangSong" w:eastAsia="FangSong" w:cs="FangSong"/>
          <w:sz w:val="30"/>
          <w:szCs w:val="30"/>
          <w:spacing w:val="24"/>
        </w:rPr>
        <w:t>(四)未按照规定报告有关情形；</w:t>
      </w:r>
    </w:p>
    <w:p>
      <w:pPr>
        <w:ind w:left="6539"/>
        <w:spacing w:before="37"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182"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8154"/>
        <w:gridCol w:w="4584"/>
      </w:tblGrid>
      <w:tr>
        <w:trPr>
          <w:trHeight w:val="1023" w:hRule="atLeast"/>
        </w:trPr>
        <w:tc>
          <w:tcPr>
            <w:tcW w:w="1444" w:type="dxa"/>
            <w:vAlign w:val="top"/>
          </w:tcPr>
          <w:p>
            <w:pPr>
              <w:spacing w:line="309" w:lineRule="auto"/>
              <w:rPr>
                <w:rFonts w:ascii="Arial"/>
                <w:sz w:val="21"/>
              </w:rPr>
            </w:pPr>
            <w:r/>
          </w:p>
          <w:p>
            <w:pPr>
              <w:pStyle w:val="TableText"/>
              <w:ind w:left="218"/>
              <w:spacing w:before="81" w:line="220" w:lineRule="auto"/>
              <w:rPr>
                <w:sz w:val="25"/>
                <w:szCs w:val="25"/>
              </w:rPr>
            </w:pPr>
            <w:r>
              <w:rPr>
                <w:sz w:val="25"/>
                <w:szCs w:val="25"/>
                <w:b/>
                <w:bCs/>
                <w:spacing w:val="-5"/>
              </w:rPr>
              <w:t>违法程度</w:t>
            </w:r>
          </w:p>
        </w:tc>
        <w:tc>
          <w:tcPr>
            <w:tcW w:w="8154" w:type="dxa"/>
            <w:vAlign w:val="top"/>
          </w:tcPr>
          <w:p>
            <w:pPr>
              <w:spacing w:line="309" w:lineRule="auto"/>
              <w:rPr>
                <w:rFonts w:ascii="Arial"/>
                <w:sz w:val="21"/>
              </w:rPr>
            </w:pPr>
            <w:r/>
          </w:p>
          <w:p>
            <w:pPr>
              <w:pStyle w:val="TableText"/>
              <w:ind w:left="3574"/>
              <w:spacing w:before="81" w:line="220" w:lineRule="auto"/>
              <w:rPr>
                <w:sz w:val="25"/>
                <w:szCs w:val="25"/>
              </w:rPr>
            </w:pPr>
            <w:r>
              <w:rPr>
                <w:sz w:val="25"/>
                <w:szCs w:val="25"/>
                <w:b/>
                <w:bCs/>
                <w:spacing w:val="-5"/>
              </w:rPr>
              <w:t>违法后果</w:t>
            </w:r>
          </w:p>
        </w:tc>
        <w:tc>
          <w:tcPr>
            <w:tcW w:w="4584" w:type="dxa"/>
            <w:vAlign w:val="top"/>
          </w:tcPr>
          <w:p>
            <w:pPr>
              <w:spacing w:line="306" w:lineRule="auto"/>
              <w:rPr>
                <w:rFonts w:ascii="Arial"/>
                <w:sz w:val="21"/>
              </w:rPr>
            </w:pPr>
            <w:r/>
          </w:p>
          <w:p>
            <w:pPr>
              <w:pStyle w:val="TableText"/>
              <w:ind w:left="1720"/>
              <w:spacing w:before="81" w:line="218" w:lineRule="auto"/>
              <w:rPr>
                <w:sz w:val="25"/>
                <w:szCs w:val="25"/>
              </w:rPr>
            </w:pPr>
            <w:r>
              <w:rPr>
                <w:sz w:val="25"/>
                <w:szCs w:val="25"/>
                <w:b/>
                <w:bCs/>
                <w:spacing w:val="-5"/>
              </w:rPr>
              <w:t>裁量幅度</w:t>
            </w:r>
          </w:p>
        </w:tc>
      </w:tr>
      <w:tr>
        <w:trPr>
          <w:trHeight w:val="1727" w:hRule="atLeast"/>
        </w:trPr>
        <w:tc>
          <w:tcPr>
            <w:tcW w:w="1444" w:type="dxa"/>
            <w:vAlign w:val="top"/>
          </w:tcPr>
          <w:p>
            <w:pPr>
              <w:spacing w:line="326" w:lineRule="auto"/>
              <w:rPr>
                <w:rFonts w:ascii="Arial"/>
                <w:sz w:val="21"/>
              </w:rPr>
            </w:pPr>
            <w:r/>
          </w:p>
          <w:p>
            <w:pPr>
              <w:spacing w:line="327" w:lineRule="auto"/>
              <w:rPr>
                <w:rFonts w:ascii="Arial"/>
                <w:sz w:val="21"/>
              </w:rPr>
            </w:pPr>
            <w:r/>
          </w:p>
          <w:p>
            <w:pPr>
              <w:pStyle w:val="TableText"/>
              <w:ind w:left="468"/>
              <w:spacing w:before="81" w:line="219" w:lineRule="auto"/>
              <w:rPr>
                <w:sz w:val="25"/>
                <w:szCs w:val="25"/>
              </w:rPr>
            </w:pPr>
            <w:r>
              <w:rPr>
                <w:sz w:val="25"/>
                <w:szCs w:val="25"/>
                <w:b/>
                <w:bCs/>
                <w:spacing w:val="-6"/>
              </w:rPr>
              <w:t>轻微</w:t>
            </w:r>
          </w:p>
        </w:tc>
        <w:tc>
          <w:tcPr>
            <w:tcW w:w="8154" w:type="dxa"/>
            <w:vAlign w:val="top"/>
          </w:tcPr>
          <w:p>
            <w:pPr>
              <w:pStyle w:val="TableText"/>
              <w:ind w:left="11"/>
              <w:spacing w:before="141" w:line="319" w:lineRule="auto"/>
              <w:rPr>
                <w:sz w:val="25"/>
                <w:szCs w:val="25"/>
              </w:rPr>
            </w:pPr>
            <w:r>
              <w:rPr>
                <w:sz w:val="25"/>
                <w:szCs w:val="25"/>
                <w:spacing w:val="-11"/>
              </w:rPr>
              <w:t>发现传染病、突发不明原因疾病或者异常健康事件，发生或者发现医疗事故，</w:t>
            </w:r>
            <w:r>
              <w:rPr>
                <w:sz w:val="25"/>
                <w:szCs w:val="25"/>
                <w:spacing w:val="6"/>
              </w:rPr>
              <w:t xml:space="preserve"> </w:t>
            </w:r>
            <w:r>
              <w:rPr>
                <w:sz w:val="25"/>
                <w:szCs w:val="25"/>
                <w:spacing w:val="-7"/>
              </w:rPr>
              <w:t>发现可能与药品、医疗器械有关的不良反应或者不良事件，发现假药或者劣</w:t>
            </w:r>
          </w:p>
          <w:p>
            <w:pPr>
              <w:pStyle w:val="TableText"/>
              <w:spacing w:before="4" w:line="218" w:lineRule="auto"/>
              <w:jc w:val="right"/>
              <w:rPr>
                <w:sz w:val="25"/>
                <w:szCs w:val="25"/>
              </w:rPr>
            </w:pPr>
            <w:r>
              <w:rPr>
                <w:sz w:val="25"/>
                <w:szCs w:val="25"/>
                <w:spacing w:val="-4"/>
              </w:rPr>
              <w:t>药，发现患者涉嫌伤害事件或者非正常死亡，医师不按照规定报告，首次发</w:t>
            </w:r>
          </w:p>
          <w:p>
            <w:pPr>
              <w:pStyle w:val="TableText"/>
              <w:ind w:left="101"/>
              <w:spacing w:before="138" w:line="202" w:lineRule="auto"/>
              <w:rPr>
                <w:sz w:val="25"/>
                <w:szCs w:val="25"/>
              </w:rPr>
            </w:pPr>
            <w:r>
              <w:rPr>
                <w:sz w:val="25"/>
                <w:szCs w:val="25"/>
                <w:color w:val="604050"/>
                <w:spacing w:val="9"/>
              </w:rPr>
              <w:t>现的</w:t>
            </w:r>
          </w:p>
        </w:tc>
        <w:tc>
          <w:tcPr>
            <w:tcW w:w="4584" w:type="dxa"/>
            <w:vAlign w:val="top"/>
          </w:tcPr>
          <w:p>
            <w:pPr>
              <w:spacing w:line="327" w:lineRule="auto"/>
              <w:rPr>
                <w:rFonts w:ascii="Arial"/>
                <w:sz w:val="21"/>
              </w:rPr>
            </w:pPr>
            <w:r/>
          </w:p>
          <w:p>
            <w:pPr>
              <w:spacing w:line="327" w:lineRule="auto"/>
              <w:rPr>
                <w:rFonts w:ascii="Arial"/>
                <w:sz w:val="21"/>
              </w:rPr>
            </w:pPr>
            <w:r/>
          </w:p>
          <w:p>
            <w:pPr>
              <w:pStyle w:val="TableText"/>
              <w:ind w:left="127"/>
              <w:spacing w:before="82" w:line="218" w:lineRule="auto"/>
              <w:rPr>
                <w:sz w:val="25"/>
                <w:szCs w:val="25"/>
              </w:rPr>
            </w:pPr>
            <w:r>
              <w:rPr>
                <w:sz w:val="25"/>
                <w:szCs w:val="25"/>
                <w:spacing w:val="1"/>
              </w:rPr>
              <w:t>责令改正，给予警告</w:t>
            </w:r>
          </w:p>
        </w:tc>
      </w:tr>
      <w:tr>
        <w:trPr>
          <w:trHeight w:val="1338" w:hRule="atLeast"/>
        </w:trPr>
        <w:tc>
          <w:tcPr>
            <w:tcW w:w="1444" w:type="dxa"/>
            <w:vAlign w:val="top"/>
          </w:tcPr>
          <w:p>
            <w:pPr>
              <w:spacing w:line="468" w:lineRule="auto"/>
              <w:rPr>
                <w:rFonts w:ascii="Arial"/>
                <w:sz w:val="21"/>
              </w:rPr>
            </w:pPr>
            <w:r/>
          </w:p>
          <w:p>
            <w:pPr>
              <w:pStyle w:val="TableText"/>
              <w:ind w:left="468"/>
              <w:spacing w:before="82" w:line="221" w:lineRule="auto"/>
              <w:rPr>
                <w:sz w:val="25"/>
                <w:szCs w:val="25"/>
              </w:rPr>
            </w:pPr>
            <w:r>
              <w:rPr>
                <w:sz w:val="25"/>
                <w:szCs w:val="25"/>
                <w:b/>
                <w:bCs/>
                <w:spacing w:val="-10"/>
              </w:rPr>
              <w:t>一般</w:t>
            </w:r>
          </w:p>
        </w:tc>
        <w:tc>
          <w:tcPr>
            <w:tcW w:w="8154" w:type="dxa"/>
            <w:vAlign w:val="top"/>
          </w:tcPr>
          <w:p>
            <w:pPr>
              <w:pStyle w:val="TableText"/>
              <w:ind w:left="11"/>
              <w:spacing w:before="166" w:line="286" w:lineRule="auto"/>
              <w:jc w:val="both"/>
              <w:rPr>
                <w:sz w:val="25"/>
                <w:szCs w:val="25"/>
              </w:rPr>
            </w:pPr>
            <w:r>
              <w:rPr>
                <w:sz w:val="25"/>
                <w:szCs w:val="25"/>
                <w:spacing w:val="-11"/>
              </w:rPr>
              <w:t>发现传染病、突发不明原因疾病或者异常健康事件，发生或者发现医疗事故，</w:t>
            </w:r>
            <w:r>
              <w:rPr>
                <w:sz w:val="25"/>
                <w:szCs w:val="25"/>
                <w:spacing w:val="6"/>
              </w:rPr>
              <w:t xml:space="preserve"> </w:t>
            </w:r>
            <w:r>
              <w:rPr>
                <w:sz w:val="25"/>
                <w:szCs w:val="25"/>
                <w:spacing w:val="-7"/>
              </w:rPr>
              <w:t>发现可能与药品、医疗器械有关的不良反应或者不良事件，发现假药或者劣</w:t>
            </w:r>
            <w:r>
              <w:rPr>
                <w:sz w:val="25"/>
                <w:szCs w:val="25"/>
                <w:spacing w:val="3"/>
              </w:rPr>
              <w:t xml:space="preserve">  </w:t>
            </w:r>
            <w:r>
              <w:rPr>
                <w:sz w:val="25"/>
                <w:szCs w:val="25"/>
              </w:rPr>
              <w:t>药，发现患者涉嫌伤害事件或者非正常死亡，医师多次不按规</w:t>
            </w:r>
            <w:r>
              <w:rPr>
                <w:sz w:val="25"/>
                <w:szCs w:val="25"/>
                <w:spacing w:val="-1"/>
              </w:rPr>
              <w:t>定报告的。</w:t>
            </w:r>
          </w:p>
        </w:tc>
        <w:tc>
          <w:tcPr>
            <w:tcW w:w="4584" w:type="dxa"/>
            <w:vAlign w:val="top"/>
          </w:tcPr>
          <w:p>
            <w:pPr>
              <w:spacing w:line="300" w:lineRule="auto"/>
              <w:rPr>
                <w:rFonts w:ascii="Arial"/>
                <w:sz w:val="21"/>
              </w:rPr>
            </w:pPr>
            <w:r/>
          </w:p>
          <w:p>
            <w:pPr>
              <w:pStyle w:val="TableText"/>
              <w:ind w:left="127"/>
              <w:spacing w:before="81" w:line="219" w:lineRule="auto"/>
              <w:rPr>
                <w:sz w:val="25"/>
                <w:szCs w:val="25"/>
              </w:rPr>
            </w:pPr>
            <w:r>
              <w:rPr>
                <w:sz w:val="25"/>
                <w:szCs w:val="25"/>
                <w:spacing w:val="1"/>
              </w:rPr>
              <w:t>责令暂停六个月执业活动</w:t>
            </w:r>
          </w:p>
        </w:tc>
      </w:tr>
      <w:tr>
        <w:trPr>
          <w:trHeight w:val="2251" w:hRule="atLeast"/>
        </w:trPr>
        <w:tc>
          <w:tcPr>
            <w:tcW w:w="1444" w:type="dxa"/>
            <w:vAlign w:val="top"/>
          </w:tcPr>
          <w:p>
            <w:pPr>
              <w:spacing w:line="306" w:lineRule="auto"/>
              <w:rPr>
                <w:rFonts w:ascii="Arial"/>
                <w:sz w:val="21"/>
              </w:rPr>
            </w:pPr>
            <w:r/>
          </w:p>
          <w:p>
            <w:pPr>
              <w:spacing w:line="307" w:lineRule="auto"/>
              <w:rPr>
                <w:rFonts w:ascii="Arial"/>
                <w:sz w:val="21"/>
              </w:rPr>
            </w:pPr>
            <w:r/>
          </w:p>
          <w:p>
            <w:pPr>
              <w:spacing w:line="307" w:lineRule="auto"/>
              <w:rPr>
                <w:rFonts w:ascii="Arial"/>
                <w:sz w:val="21"/>
              </w:rPr>
            </w:pPr>
            <w:r/>
          </w:p>
          <w:p>
            <w:pPr>
              <w:pStyle w:val="TableText"/>
              <w:ind w:left="468"/>
              <w:spacing w:before="81" w:line="221" w:lineRule="auto"/>
              <w:rPr>
                <w:sz w:val="25"/>
                <w:szCs w:val="25"/>
              </w:rPr>
            </w:pPr>
            <w:r>
              <w:rPr>
                <w:sz w:val="25"/>
                <w:szCs w:val="25"/>
                <w:b/>
                <w:bCs/>
                <w:spacing w:val="-6"/>
              </w:rPr>
              <w:t>较重</w:t>
            </w:r>
          </w:p>
        </w:tc>
        <w:tc>
          <w:tcPr>
            <w:tcW w:w="8154" w:type="dxa"/>
            <w:vAlign w:val="top"/>
          </w:tcPr>
          <w:p>
            <w:pPr>
              <w:pStyle w:val="TableText"/>
              <w:ind w:left="11"/>
              <w:spacing w:before="145" w:line="327" w:lineRule="auto"/>
              <w:rPr>
                <w:sz w:val="25"/>
                <w:szCs w:val="25"/>
              </w:rPr>
            </w:pPr>
            <w:r>
              <w:rPr>
                <w:sz w:val="25"/>
                <w:szCs w:val="25"/>
                <w:spacing w:val="-11"/>
              </w:rPr>
              <w:t>发现传染病、突发不明原因疾病或者异常健康事件，发生或者发现医疗事故，</w:t>
            </w:r>
            <w:r>
              <w:rPr>
                <w:sz w:val="25"/>
                <w:szCs w:val="25"/>
                <w:spacing w:val="6"/>
              </w:rPr>
              <w:t xml:space="preserve"> </w:t>
            </w:r>
            <w:r>
              <w:rPr>
                <w:sz w:val="25"/>
                <w:szCs w:val="25"/>
                <w:spacing w:val="-7"/>
              </w:rPr>
              <w:t>发现可能与药品、医疗器械有关的不良反应或者不良事件，发现假药或者劣</w:t>
            </w:r>
          </w:p>
          <w:p>
            <w:pPr>
              <w:pStyle w:val="TableText"/>
              <w:ind w:left="11"/>
              <w:spacing w:before="5" w:line="327" w:lineRule="auto"/>
              <w:rPr>
                <w:sz w:val="25"/>
                <w:szCs w:val="25"/>
              </w:rPr>
            </w:pPr>
            <w:r>
              <w:rPr>
                <w:sz w:val="25"/>
                <w:szCs w:val="25"/>
                <w:spacing w:val="-4"/>
              </w:rPr>
              <w:t>药，发现患者涉嫌伤害事件或者非正常死亡，医师不按照规定报告，影响到</w:t>
            </w:r>
            <w:r>
              <w:rPr>
                <w:sz w:val="25"/>
                <w:szCs w:val="25"/>
                <w:spacing w:val="12"/>
              </w:rPr>
              <w:t xml:space="preserve"> </w:t>
            </w:r>
            <w:r>
              <w:rPr>
                <w:sz w:val="25"/>
                <w:szCs w:val="25"/>
                <w:spacing w:val="-4"/>
              </w:rPr>
              <w:t>医疗事故处理和传染病防治等工作的正常开展，或影响事故、疫情等处理的</w:t>
            </w:r>
          </w:p>
        </w:tc>
        <w:tc>
          <w:tcPr>
            <w:tcW w:w="4584" w:type="dxa"/>
            <w:vAlign w:val="top"/>
          </w:tcPr>
          <w:p>
            <w:pPr>
              <w:spacing w:line="306" w:lineRule="auto"/>
              <w:rPr>
                <w:rFonts w:ascii="Arial"/>
                <w:sz w:val="21"/>
              </w:rPr>
            </w:pPr>
            <w:r/>
          </w:p>
          <w:p>
            <w:pPr>
              <w:spacing w:line="306" w:lineRule="auto"/>
              <w:rPr>
                <w:rFonts w:ascii="Arial"/>
                <w:sz w:val="21"/>
              </w:rPr>
            </w:pPr>
            <w:r/>
          </w:p>
          <w:p>
            <w:pPr>
              <w:spacing w:line="306" w:lineRule="auto"/>
              <w:rPr>
                <w:rFonts w:ascii="Arial"/>
                <w:sz w:val="21"/>
              </w:rPr>
            </w:pPr>
            <w:r/>
          </w:p>
          <w:p>
            <w:pPr>
              <w:pStyle w:val="TableText"/>
              <w:spacing w:before="82" w:line="219" w:lineRule="auto"/>
              <w:jc w:val="right"/>
              <w:rPr>
                <w:sz w:val="25"/>
                <w:szCs w:val="25"/>
              </w:rPr>
            </w:pPr>
            <w:r>
              <w:rPr>
                <w:sz w:val="25"/>
                <w:szCs w:val="25"/>
                <w:spacing w:val="-3"/>
              </w:rPr>
              <w:t>责令暂停六个月以上九个月以下执业活动</w:t>
            </w:r>
          </w:p>
        </w:tc>
      </w:tr>
    </w:tbl>
    <w:p>
      <w:pPr>
        <w:pStyle w:val="BodyText"/>
        <w:rPr/>
      </w:pPr>
      <w:r/>
    </w:p>
    <w:p>
      <w:pPr>
        <w:sectPr>
          <w:footerReference w:type="default" r:id="rId251"/>
          <w:pgSz w:w="16830" w:h="11900"/>
          <w:pgMar w:top="1011" w:right="1322" w:bottom="1117" w:left="1314" w:header="0" w:footer="784" w:gutter="0"/>
        </w:sectPr>
        <w:rPr/>
      </w:pPr>
    </w:p>
    <w:p>
      <w:pPr>
        <w:spacing w:before="20"/>
        <w:rPr/>
      </w:pPr>
      <w:r/>
    </w:p>
    <w:p>
      <w:pPr>
        <w:spacing w:before="20"/>
        <w:rPr/>
      </w:pPr>
      <w:r/>
    </w:p>
    <w:p>
      <w:pPr>
        <w:spacing w:before="19"/>
        <w:rPr/>
      </w:pPr>
      <w:r/>
    </w:p>
    <w:tbl>
      <w:tblPr>
        <w:tblStyle w:val="TableNormal"/>
        <w:tblW w:w="14159"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8174"/>
        <w:gridCol w:w="4561"/>
      </w:tblGrid>
      <w:tr>
        <w:trPr>
          <w:trHeight w:val="1331" w:hRule="atLeast"/>
        </w:trPr>
        <w:tc>
          <w:tcPr>
            <w:tcW w:w="1424" w:type="dxa"/>
            <w:vAlign w:val="top"/>
          </w:tcPr>
          <w:p>
            <w:pPr>
              <w:spacing w:line="471" w:lineRule="auto"/>
              <w:rPr>
                <w:rFonts w:ascii="Arial"/>
                <w:sz w:val="21"/>
              </w:rPr>
            </w:pPr>
            <w:r/>
          </w:p>
          <w:p>
            <w:pPr>
              <w:pStyle w:val="TableText"/>
              <w:ind w:left="468"/>
              <w:spacing w:before="78" w:line="220" w:lineRule="auto"/>
              <w:outlineLvl w:val="1"/>
              <w:rPr/>
            </w:pPr>
            <w:bookmarkStart w:name="bookmark904" w:id="265"/>
            <w:bookmarkEnd w:id="265"/>
            <w:bookmarkStart w:name="bookmark186" w:id="266"/>
            <w:bookmarkEnd w:id="266"/>
            <w:r>
              <w:rPr>
                <w:b/>
                <w:bCs/>
                <w:spacing w:val="-6"/>
              </w:rPr>
              <w:t>严重</w:t>
            </w:r>
          </w:p>
        </w:tc>
        <w:tc>
          <w:tcPr>
            <w:tcW w:w="8174" w:type="dxa"/>
            <w:vAlign w:val="top"/>
          </w:tcPr>
          <w:p>
            <w:pPr>
              <w:pStyle w:val="TableText"/>
              <w:spacing w:before="143" w:line="219" w:lineRule="auto"/>
              <w:jc w:val="right"/>
              <w:rPr/>
            </w:pPr>
            <w:r>
              <w:rPr>
                <w:spacing w:val="-2"/>
              </w:rPr>
              <w:t>发现传染病、突发不明原因疾病或者异常健康事件，发生或者发现医疗事故，</w:t>
            </w:r>
          </w:p>
          <w:p>
            <w:pPr>
              <w:pStyle w:val="TableText"/>
              <w:ind w:left="120"/>
              <w:spacing w:before="165" w:line="219" w:lineRule="auto"/>
              <w:rPr/>
            </w:pPr>
            <w:r>
              <w:rPr/>
              <w:t>发现可能与药品、医疗器械有关的不良反应或者不良事件，发现假药或者劣</w:t>
            </w:r>
          </w:p>
          <w:p>
            <w:pPr>
              <w:pStyle w:val="TableText"/>
              <w:ind w:left="240"/>
              <w:spacing w:before="165" w:line="213" w:lineRule="auto"/>
              <w:rPr/>
            </w:pPr>
            <w:r>
              <w:rPr/>
              <w:t>药，发现患者涉嫌伤害事件或者非正常死亡，医师故意隐报、瞒报、谎报</w:t>
            </w:r>
          </w:p>
        </w:tc>
        <w:tc>
          <w:tcPr>
            <w:tcW w:w="4561" w:type="dxa"/>
            <w:vAlign w:val="top"/>
          </w:tcPr>
          <w:p>
            <w:pPr>
              <w:spacing w:line="472" w:lineRule="auto"/>
              <w:rPr>
                <w:rFonts w:ascii="Arial"/>
                <w:sz w:val="21"/>
              </w:rPr>
            </w:pPr>
            <w:r/>
          </w:p>
          <w:p>
            <w:pPr>
              <w:pStyle w:val="TableText"/>
              <w:ind w:left="116"/>
              <w:spacing w:before="78" w:line="219" w:lineRule="auto"/>
              <w:rPr/>
            </w:pPr>
            <w:r>
              <w:rPr/>
              <w:t>责令暂停九个月以上一年以下执业活动</w:t>
            </w:r>
          </w:p>
        </w:tc>
      </w:tr>
      <w:tr>
        <w:trPr>
          <w:trHeight w:val="1769" w:hRule="atLeast"/>
        </w:trPr>
        <w:tc>
          <w:tcPr>
            <w:tcW w:w="1424" w:type="dxa"/>
            <w:vAlign w:val="top"/>
          </w:tcPr>
          <w:p>
            <w:pPr>
              <w:spacing w:line="344" w:lineRule="auto"/>
              <w:rPr>
                <w:rFonts w:ascii="Arial"/>
                <w:sz w:val="21"/>
              </w:rPr>
            </w:pPr>
            <w:r/>
          </w:p>
          <w:p>
            <w:pPr>
              <w:spacing w:line="344" w:lineRule="auto"/>
              <w:rPr>
                <w:rFonts w:ascii="Arial"/>
                <w:sz w:val="21"/>
              </w:rPr>
            </w:pPr>
            <w:r/>
          </w:p>
          <w:p>
            <w:pPr>
              <w:pStyle w:val="TableText"/>
              <w:ind w:left="228"/>
              <w:spacing w:before="78" w:line="219" w:lineRule="auto"/>
              <w:rPr/>
            </w:pPr>
            <w:r>
              <w:rPr>
                <w:b/>
                <w:bCs/>
                <w:spacing w:val="-5"/>
              </w:rPr>
              <w:t>特别严重</w:t>
            </w:r>
          </w:p>
        </w:tc>
        <w:tc>
          <w:tcPr>
            <w:tcW w:w="8174" w:type="dxa"/>
            <w:vAlign w:val="top"/>
          </w:tcPr>
          <w:p>
            <w:pPr>
              <w:pStyle w:val="TableText"/>
              <w:ind w:left="119" w:hanging="59"/>
              <w:spacing w:before="141" w:line="311" w:lineRule="auto"/>
              <w:jc w:val="both"/>
              <w:rPr/>
            </w:pPr>
            <w:r>
              <w:rPr>
                <w:spacing w:val="-2"/>
              </w:rPr>
              <w:t>发现传染病、突发不明原因疾病或者异常健康事件，发生或者发现医疗事故，</w:t>
            </w:r>
            <w:r>
              <w:rPr>
                <w:spacing w:val="10"/>
              </w:rPr>
              <w:t xml:space="preserve"> </w:t>
            </w:r>
            <w:r>
              <w:rPr>
                <w:spacing w:val="-1"/>
              </w:rPr>
              <w:t>发现可能与药品、医疗器械有关的不良反应或者不良事件，</w:t>
            </w:r>
            <w:r>
              <w:rPr>
                <w:spacing w:val="-2"/>
              </w:rPr>
              <w:t>发现假药或者劣</w:t>
            </w:r>
            <w:r>
              <w:rPr/>
              <w:t xml:space="preserve">  </w:t>
            </w:r>
            <w:r>
              <w:rPr>
                <w:spacing w:val="-1"/>
              </w:rPr>
              <w:t>药，发现患者涉嫌伤害事件或者非正常死亡</w:t>
            </w:r>
            <w:r>
              <w:rPr>
                <w:spacing w:val="-2"/>
              </w:rPr>
              <w:t>，因医师隐报、瞒报、谎报，造</w:t>
            </w:r>
            <w:r>
              <w:rPr/>
              <w:t xml:space="preserve">  </w:t>
            </w:r>
            <w:r>
              <w:rPr>
                <w:spacing w:val="-1"/>
              </w:rPr>
              <w:t>成传染病传播、暴发、流行，或者造成严重社会后果的</w:t>
            </w:r>
          </w:p>
        </w:tc>
        <w:tc>
          <w:tcPr>
            <w:tcW w:w="4561" w:type="dxa"/>
            <w:vAlign w:val="top"/>
          </w:tcPr>
          <w:p>
            <w:pPr>
              <w:spacing w:line="345" w:lineRule="auto"/>
              <w:rPr>
                <w:rFonts w:ascii="Arial"/>
                <w:sz w:val="21"/>
              </w:rPr>
            </w:pPr>
            <w:r/>
          </w:p>
          <w:p>
            <w:pPr>
              <w:spacing w:line="345" w:lineRule="auto"/>
              <w:rPr>
                <w:rFonts w:ascii="Arial"/>
                <w:sz w:val="21"/>
              </w:rPr>
            </w:pPr>
            <w:r/>
          </w:p>
          <w:p>
            <w:pPr>
              <w:pStyle w:val="TableText"/>
              <w:ind w:left="116"/>
              <w:spacing w:before="78" w:line="219" w:lineRule="auto"/>
              <w:rPr/>
            </w:pPr>
            <w:r>
              <w:rPr>
                <w:spacing w:val="1"/>
              </w:rPr>
              <w:t>吊销医师执业证书</w:t>
            </w:r>
          </w:p>
        </w:tc>
      </w:tr>
    </w:tbl>
    <w:p>
      <w:pPr>
        <w:pStyle w:val="BodyText"/>
        <w:spacing w:line="446" w:lineRule="auto"/>
        <w:rPr/>
      </w:pPr>
      <w:r/>
    </w:p>
    <w:p>
      <w:pPr>
        <w:ind w:left="80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第一百八十三条医师违反法律、法规、规章或者执业规范，造成医疗事故或者其他严重后果</w:t>
      </w:r>
    </w:p>
    <w:p>
      <w:pPr>
        <w:ind w:left="935"/>
        <w:spacing w:before="100"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145" w:right="103" w:firstLine="629"/>
        <w:spacing w:before="66" w:line="269" w:lineRule="auto"/>
        <w:jc w:val="both"/>
        <w:rPr>
          <w:rFonts w:ascii="FangSong" w:hAnsi="FangSong" w:eastAsia="FangSong" w:cs="FangSong"/>
          <w:sz w:val="30"/>
          <w:szCs w:val="30"/>
        </w:rPr>
      </w:pPr>
      <w:r>
        <w:rPr>
          <w:rFonts w:ascii="FangSong" w:hAnsi="FangSong" w:eastAsia="FangSong" w:cs="FangSong"/>
          <w:sz w:val="30"/>
          <w:szCs w:val="30"/>
          <w:spacing w:val="24"/>
        </w:rPr>
        <w:t>《中华人民共和国医师法》第五十五条第(五)</w:t>
      </w:r>
      <w:r>
        <w:rPr>
          <w:rFonts w:ascii="FangSong" w:hAnsi="FangSong" w:eastAsia="FangSong" w:cs="FangSong"/>
          <w:sz w:val="30"/>
          <w:szCs w:val="30"/>
          <w:spacing w:val="23"/>
        </w:rPr>
        <w:t>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违反本法规定，医师在执业活动中有下列行</w:t>
      </w:r>
      <w:r>
        <w:rPr>
          <w:rFonts w:ascii="FangSong" w:hAnsi="FangSong" w:eastAsia="FangSong" w:cs="FangSong"/>
          <w:sz w:val="30"/>
          <w:szCs w:val="30"/>
        </w:rPr>
        <w:t xml:space="preserve"> </w:t>
      </w:r>
      <w:r>
        <w:rPr>
          <w:rFonts w:ascii="FangSong" w:hAnsi="FangSong" w:eastAsia="FangSong" w:cs="FangSong"/>
          <w:sz w:val="30"/>
          <w:szCs w:val="30"/>
          <w:spacing w:val="16"/>
        </w:rPr>
        <w:t>为之一的，由县级以上人民政府卫生健康主管部门责令改正，给予警告；情节严重的，责令暂停六个</w:t>
      </w:r>
      <w:r>
        <w:rPr>
          <w:rFonts w:ascii="FangSong" w:hAnsi="FangSong" w:eastAsia="FangSong" w:cs="FangSong"/>
          <w:sz w:val="30"/>
          <w:szCs w:val="30"/>
          <w:spacing w:val="6"/>
        </w:rPr>
        <w:t xml:space="preserve"> </w:t>
      </w:r>
      <w:r>
        <w:rPr>
          <w:rFonts w:ascii="FangSong" w:hAnsi="FangSong" w:eastAsia="FangSong" w:cs="FangSong"/>
          <w:sz w:val="30"/>
          <w:szCs w:val="30"/>
          <w:spacing w:val="15"/>
        </w:rPr>
        <w:t>月以上一年以下执业活动直至吊销医师执业证书：</w:t>
      </w:r>
    </w:p>
    <w:p>
      <w:pPr>
        <w:ind w:left="265"/>
        <w:spacing w:line="221" w:lineRule="auto"/>
        <w:rPr>
          <w:rFonts w:ascii="FangSong" w:hAnsi="FangSong" w:eastAsia="FangSong" w:cs="FangSong"/>
          <w:sz w:val="30"/>
          <w:szCs w:val="30"/>
        </w:rPr>
      </w:pPr>
      <w:r>
        <w:rPr>
          <w:rFonts w:ascii="FangSong" w:hAnsi="FangSong" w:eastAsia="FangSong" w:cs="FangSong"/>
          <w:sz w:val="30"/>
          <w:szCs w:val="30"/>
          <w:spacing w:val="22"/>
        </w:rPr>
        <w:t>(五)违反法律、法规、规章或者执业规范，造成医疗事故或者其他严重后果。</w:t>
      </w:r>
    </w:p>
    <w:p>
      <w:pPr>
        <w:pStyle w:val="BodyText"/>
        <w:spacing w:line="425" w:lineRule="auto"/>
        <w:rPr/>
      </w:pPr>
      <w:r/>
    </w:p>
    <w:p>
      <w:pPr>
        <w:ind w:left="6548"/>
        <w:spacing w:before="9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38" w:lineRule="auto"/>
        <w:rPr>
          <w:rFonts w:ascii="Arial"/>
          <w:sz w:val="2"/>
        </w:rPr>
      </w:pPr>
      <w:r>
        <w:rPr>
          <w:rFonts w:ascii="Arial"/>
          <w:sz w:val="2"/>
        </w:rPr>
      </w:r>
    </w:p>
    <w:tbl>
      <w:tblPr>
        <w:tblStyle w:val="TableNormal"/>
        <w:tblW w:w="141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8294"/>
        <w:gridCol w:w="4441"/>
      </w:tblGrid>
      <w:tr>
        <w:trPr>
          <w:trHeight w:val="899" w:hRule="atLeast"/>
        </w:trPr>
        <w:tc>
          <w:tcPr>
            <w:tcW w:w="1444" w:type="dxa"/>
            <w:vAlign w:val="top"/>
          </w:tcPr>
          <w:p>
            <w:pPr>
              <w:pStyle w:val="TableText"/>
              <w:ind w:left="149"/>
              <w:spacing w:before="313" w:line="220" w:lineRule="auto"/>
              <w:rPr>
                <w:sz w:val="29"/>
                <w:szCs w:val="29"/>
              </w:rPr>
            </w:pPr>
            <w:r>
              <w:rPr>
                <w:sz w:val="29"/>
                <w:szCs w:val="29"/>
                <w:b/>
                <w:bCs/>
                <w:spacing w:val="-1"/>
              </w:rPr>
              <w:t>违法程度</w:t>
            </w:r>
          </w:p>
        </w:tc>
        <w:tc>
          <w:tcPr>
            <w:tcW w:w="8294" w:type="dxa"/>
            <w:vAlign w:val="top"/>
          </w:tcPr>
          <w:p>
            <w:pPr>
              <w:pStyle w:val="TableText"/>
              <w:ind w:left="3585"/>
              <w:spacing w:before="313" w:line="220" w:lineRule="auto"/>
              <w:rPr>
                <w:sz w:val="29"/>
                <w:szCs w:val="29"/>
              </w:rPr>
            </w:pPr>
            <w:r>
              <w:rPr>
                <w:sz w:val="29"/>
                <w:szCs w:val="29"/>
                <w:b/>
                <w:bCs/>
                <w:spacing w:val="-1"/>
              </w:rPr>
              <w:t>违法后果</w:t>
            </w:r>
          </w:p>
        </w:tc>
        <w:tc>
          <w:tcPr>
            <w:tcW w:w="4441" w:type="dxa"/>
            <w:vAlign w:val="top"/>
          </w:tcPr>
          <w:p>
            <w:pPr>
              <w:pStyle w:val="TableText"/>
              <w:ind w:left="1671"/>
              <w:spacing w:before="310" w:line="218" w:lineRule="auto"/>
              <w:rPr>
                <w:sz w:val="29"/>
                <w:szCs w:val="29"/>
              </w:rPr>
            </w:pPr>
            <w:r>
              <w:rPr>
                <w:sz w:val="29"/>
                <w:szCs w:val="29"/>
                <w:b/>
                <w:bCs/>
                <w:spacing w:val="-1"/>
              </w:rPr>
              <w:t>裁量幅度</w:t>
            </w:r>
          </w:p>
        </w:tc>
      </w:tr>
    </w:tbl>
    <w:p>
      <w:pPr>
        <w:pStyle w:val="BodyText"/>
        <w:rPr/>
      </w:pPr>
      <w:r/>
    </w:p>
    <w:p>
      <w:pPr>
        <w:sectPr>
          <w:footerReference w:type="default" r:id="rId252"/>
          <w:pgSz w:w="16830" w:h="11900"/>
          <w:pgMar w:top="1011" w:right="1335" w:bottom="1118" w:left="1305" w:header="0" w:footer="785" w:gutter="0"/>
        </w:sectPr>
        <w:rPr/>
      </w:pPr>
    </w:p>
    <w:p>
      <w:pPr>
        <w:spacing w:before="17"/>
        <w:rPr/>
      </w:pPr>
      <w:r/>
    </w:p>
    <w:p>
      <w:pPr>
        <w:spacing w:before="16"/>
        <w:rPr/>
      </w:pPr>
      <w:r/>
    </w:p>
    <w:p>
      <w:pPr>
        <w:spacing w:before="16"/>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8324"/>
        <w:gridCol w:w="4422"/>
      </w:tblGrid>
      <w:tr>
        <w:trPr>
          <w:trHeight w:val="1302" w:hRule="atLeast"/>
        </w:trPr>
        <w:tc>
          <w:tcPr>
            <w:tcW w:w="1424" w:type="dxa"/>
            <w:vAlign w:val="top"/>
          </w:tcPr>
          <w:p>
            <w:pPr>
              <w:spacing w:line="449" w:lineRule="auto"/>
              <w:rPr>
                <w:rFonts w:ascii="Arial"/>
                <w:sz w:val="21"/>
              </w:rPr>
            </w:pPr>
            <w:r/>
          </w:p>
          <w:p>
            <w:pPr>
              <w:pStyle w:val="TableText"/>
              <w:ind w:left="458"/>
              <w:spacing w:before="81" w:line="221" w:lineRule="auto"/>
              <w:rPr>
                <w:sz w:val="25"/>
                <w:szCs w:val="25"/>
              </w:rPr>
            </w:pPr>
            <w:bookmarkStart w:name="bookmark905" w:id="267"/>
            <w:bookmarkEnd w:id="267"/>
            <w:r>
              <w:rPr>
                <w:sz w:val="25"/>
                <w:szCs w:val="25"/>
                <w:b/>
                <w:bCs/>
                <w:spacing w:val="-10"/>
              </w:rPr>
              <w:t>一般</w:t>
            </w:r>
          </w:p>
        </w:tc>
        <w:tc>
          <w:tcPr>
            <w:tcW w:w="8324" w:type="dxa"/>
            <w:vAlign w:val="top"/>
          </w:tcPr>
          <w:p>
            <w:pPr>
              <w:pStyle w:val="TableText"/>
              <w:ind w:left="110"/>
              <w:spacing w:before="136" w:line="220" w:lineRule="auto"/>
              <w:rPr>
                <w:sz w:val="25"/>
                <w:szCs w:val="25"/>
              </w:rPr>
            </w:pPr>
            <w:r>
              <w:rPr>
                <w:sz w:val="25"/>
                <w:szCs w:val="25"/>
                <w:spacing w:val="2"/>
              </w:rPr>
              <w:t>有下列情形之一的：</w:t>
            </w:r>
          </w:p>
          <w:p>
            <w:pPr>
              <w:pStyle w:val="TableText"/>
              <w:ind w:left="110"/>
              <w:spacing w:before="149" w:line="219" w:lineRule="auto"/>
              <w:rPr>
                <w:sz w:val="25"/>
                <w:szCs w:val="25"/>
              </w:rPr>
            </w:pPr>
            <w:r>
              <w:rPr>
                <w:sz w:val="25"/>
                <w:szCs w:val="25"/>
              </w:rPr>
              <w:t>1.造成三、四级医疗事故由医疗机构负主要责任的有关执业医师</w:t>
            </w:r>
          </w:p>
          <w:p>
            <w:pPr>
              <w:pStyle w:val="TableText"/>
              <w:ind w:left="110"/>
              <w:spacing w:before="143" w:line="198" w:lineRule="auto"/>
              <w:rPr>
                <w:sz w:val="25"/>
                <w:szCs w:val="25"/>
              </w:rPr>
            </w:pPr>
            <w:r>
              <w:rPr>
                <w:sz w:val="25"/>
                <w:szCs w:val="25"/>
              </w:rPr>
              <w:t>2.造成一、二级医疗事故由医疗机构负次要责任的有关执业医师</w:t>
            </w:r>
          </w:p>
        </w:tc>
        <w:tc>
          <w:tcPr>
            <w:tcW w:w="4422" w:type="dxa"/>
            <w:vAlign w:val="top"/>
          </w:tcPr>
          <w:p>
            <w:pPr>
              <w:spacing w:line="270" w:lineRule="auto"/>
              <w:rPr>
                <w:rFonts w:ascii="Arial"/>
                <w:sz w:val="21"/>
              </w:rPr>
            </w:pPr>
            <w:r/>
          </w:p>
          <w:p>
            <w:pPr>
              <w:pStyle w:val="TableText"/>
              <w:ind w:left="116"/>
              <w:spacing w:before="81" w:line="218" w:lineRule="auto"/>
              <w:rPr>
                <w:sz w:val="25"/>
                <w:szCs w:val="25"/>
              </w:rPr>
            </w:pPr>
            <w:r>
              <w:rPr>
                <w:sz w:val="25"/>
                <w:szCs w:val="25"/>
                <w:spacing w:val="1"/>
              </w:rPr>
              <w:t>责令改正，给予警告</w:t>
            </w:r>
          </w:p>
        </w:tc>
      </w:tr>
      <w:tr>
        <w:trPr>
          <w:trHeight w:val="1757" w:hRule="atLeast"/>
        </w:trPr>
        <w:tc>
          <w:tcPr>
            <w:tcW w:w="1424" w:type="dxa"/>
            <w:vAlign w:val="top"/>
          </w:tcPr>
          <w:p>
            <w:pPr>
              <w:spacing w:line="338" w:lineRule="auto"/>
              <w:rPr>
                <w:rFonts w:ascii="Arial"/>
                <w:sz w:val="21"/>
              </w:rPr>
            </w:pPr>
            <w:r/>
          </w:p>
          <w:p>
            <w:pPr>
              <w:spacing w:line="339" w:lineRule="auto"/>
              <w:rPr>
                <w:rFonts w:ascii="Arial"/>
                <w:sz w:val="21"/>
              </w:rPr>
            </w:pPr>
            <w:r/>
          </w:p>
          <w:p>
            <w:pPr>
              <w:pStyle w:val="TableText"/>
              <w:ind w:left="458"/>
              <w:spacing w:before="81" w:line="221" w:lineRule="auto"/>
              <w:rPr>
                <w:sz w:val="25"/>
                <w:szCs w:val="25"/>
              </w:rPr>
            </w:pPr>
            <w:r>
              <w:rPr>
                <w:sz w:val="25"/>
                <w:szCs w:val="25"/>
                <w:b/>
                <w:bCs/>
                <w:spacing w:val="-6"/>
              </w:rPr>
              <w:t>较重</w:t>
            </w:r>
          </w:p>
        </w:tc>
        <w:tc>
          <w:tcPr>
            <w:tcW w:w="8324" w:type="dxa"/>
            <w:vAlign w:val="top"/>
          </w:tcPr>
          <w:p>
            <w:pPr>
              <w:pStyle w:val="TableText"/>
              <w:ind w:left="110"/>
              <w:spacing w:before="164" w:line="220" w:lineRule="auto"/>
              <w:rPr>
                <w:sz w:val="25"/>
                <w:szCs w:val="25"/>
              </w:rPr>
            </w:pPr>
            <w:r>
              <w:rPr>
                <w:sz w:val="25"/>
                <w:szCs w:val="25"/>
                <w:spacing w:val="2"/>
              </w:rPr>
              <w:t>有下列情形之一的：</w:t>
            </w:r>
          </w:p>
          <w:p>
            <w:pPr>
              <w:pStyle w:val="TableText"/>
              <w:ind w:left="110"/>
              <w:spacing w:before="139" w:line="219" w:lineRule="auto"/>
              <w:rPr>
                <w:sz w:val="25"/>
                <w:szCs w:val="25"/>
              </w:rPr>
            </w:pPr>
            <w:r>
              <w:rPr>
                <w:sz w:val="25"/>
                <w:szCs w:val="25"/>
              </w:rPr>
              <w:t>1.造成三、四级医疗事故由医疗机构负完全责任的有关执业医师</w:t>
            </w:r>
          </w:p>
          <w:p>
            <w:pPr>
              <w:pStyle w:val="TableText"/>
              <w:ind w:left="110"/>
              <w:spacing w:before="153" w:line="219" w:lineRule="auto"/>
              <w:rPr>
                <w:sz w:val="25"/>
                <w:szCs w:val="25"/>
              </w:rPr>
            </w:pPr>
            <w:r>
              <w:rPr>
                <w:sz w:val="25"/>
                <w:szCs w:val="25"/>
              </w:rPr>
              <w:t>2.造成一、二级医疗事故由医疗机构负主要责任的有关执业医师</w:t>
            </w:r>
          </w:p>
          <w:p>
            <w:pPr>
              <w:pStyle w:val="TableText"/>
              <w:ind w:left="110"/>
              <w:spacing w:before="135" w:line="194" w:lineRule="auto"/>
              <w:rPr>
                <w:sz w:val="25"/>
                <w:szCs w:val="25"/>
              </w:rPr>
            </w:pPr>
            <w:r>
              <w:rPr>
                <w:sz w:val="25"/>
                <w:szCs w:val="25"/>
                <w:spacing w:val="1"/>
              </w:rPr>
              <w:t>3.造成严重后果</w:t>
            </w:r>
          </w:p>
        </w:tc>
        <w:tc>
          <w:tcPr>
            <w:tcW w:w="4422" w:type="dxa"/>
            <w:vAlign w:val="top"/>
          </w:tcPr>
          <w:p>
            <w:pPr>
              <w:spacing w:line="259" w:lineRule="auto"/>
              <w:rPr>
                <w:rFonts w:ascii="Arial"/>
                <w:sz w:val="21"/>
              </w:rPr>
            </w:pPr>
            <w:r/>
          </w:p>
          <w:p>
            <w:pPr>
              <w:spacing w:line="259" w:lineRule="auto"/>
              <w:rPr>
                <w:rFonts w:ascii="Arial"/>
                <w:sz w:val="21"/>
              </w:rPr>
            </w:pPr>
            <w:r/>
          </w:p>
          <w:p>
            <w:pPr>
              <w:pStyle w:val="TableText"/>
              <w:ind w:left="116" w:right="35"/>
              <w:spacing w:before="81" w:line="321" w:lineRule="auto"/>
              <w:rPr>
                <w:sz w:val="25"/>
                <w:szCs w:val="25"/>
              </w:rPr>
            </w:pPr>
            <w:r>
              <w:rPr>
                <w:sz w:val="25"/>
                <w:szCs w:val="25"/>
              </w:rPr>
              <w:t>责令暂停六个月以上九个月以下执业活</w:t>
            </w:r>
            <w:r>
              <w:rPr>
                <w:sz w:val="25"/>
                <w:szCs w:val="25"/>
                <w:spacing w:val="8"/>
              </w:rPr>
              <w:t xml:space="preserve"> </w:t>
            </w:r>
            <w:r>
              <w:rPr>
                <w:sz w:val="25"/>
                <w:szCs w:val="25"/>
              </w:rPr>
              <w:t>动</w:t>
            </w:r>
          </w:p>
        </w:tc>
      </w:tr>
      <w:tr>
        <w:trPr>
          <w:trHeight w:val="1337" w:hRule="atLeast"/>
        </w:trPr>
        <w:tc>
          <w:tcPr>
            <w:tcW w:w="1424" w:type="dxa"/>
            <w:vAlign w:val="top"/>
          </w:tcPr>
          <w:p>
            <w:pPr>
              <w:spacing w:line="469"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8324" w:type="dxa"/>
            <w:vAlign w:val="top"/>
          </w:tcPr>
          <w:p>
            <w:pPr>
              <w:pStyle w:val="TableText"/>
              <w:ind w:left="110"/>
              <w:spacing w:before="167" w:line="220" w:lineRule="auto"/>
              <w:rPr>
                <w:sz w:val="25"/>
                <w:szCs w:val="25"/>
              </w:rPr>
            </w:pPr>
            <w:r>
              <w:rPr>
                <w:sz w:val="25"/>
                <w:szCs w:val="25"/>
                <w:spacing w:val="2"/>
              </w:rPr>
              <w:t>有下列情形之一的：</w:t>
            </w:r>
          </w:p>
          <w:p>
            <w:pPr>
              <w:pStyle w:val="TableText"/>
              <w:ind w:left="110"/>
              <w:spacing w:before="149" w:line="219" w:lineRule="auto"/>
              <w:rPr>
                <w:sz w:val="25"/>
                <w:szCs w:val="25"/>
              </w:rPr>
            </w:pPr>
            <w:r>
              <w:rPr>
                <w:sz w:val="25"/>
                <w:szCs w:val="25"/>
              </w:rPr>
              <w:t>1.造成一、二级医疗事故由医疗机构负完全责任的有关执业</w:t>
            </w:r>
            <w:r>
              <w:rPr>
                <w:sz w:val="25"/>
                <w:szCs w:val="25"/>
                <w:spacing w:val="-1"/>
              </w:rPr>
              <w:t>医师</w:t>
            </w:r>
          </w:p>
          <w:p>
            <w:pPr>
              <w:pStyle w:val="TableText"/>
              <w:ind w:left="110"/>
              <w:spacing w:before="146" w:line="199" w:lineRule="auto"/>
              <w:rPr>
                <w:sz w:val="25"/>
                <w:szCs w:val="25"/>
              </w:rPr>
            </w:pPr>
            <w:r>
              <w:rPr>
                <w:sz w:val="25"/>
                <w:szCs w:val="25"/>
                <w:spacing w:val="1"/>
              </w:rPr>
              <w:t>2.造成严重后果，情节严重的</w:t>
            </w:r>
          </w:p>
        </w:tc>
        <w:tc>
          <w:tcPr>
            <w:tcW w:w="4422" w:type="dxa"/>
            <w:vAlign w:val="top"/>
          </w:tcPr>
          <w:p>
            <w:pPr>
              <w:spacing w:line="470" w:lineRule="auto"/>
              <w:rPr>
                <w:rFonts w:ascii="Arial"/>
                <w:sz w:val="21"/>
              </w:rPr>
            </w:pPr>
            <w:r/>
          </w:p>
          <w:p>
            <w:pPr>
              <w:pStyle w:val="TableText"/>
              <w:ind w:left="116"/>
              <w:spacing w:before="81" w:line="219" w:lineRule="auto"/>
              <w:rPr>
                <w:sz w:val="25"/>
                <w:szCs w:val="25"/>
              </w:rPr>
            </w:pPr>
            <w:r>
              <w:rPr>
                <w:sz w:val="25"/>
                <w:szCs w:val="25"/>
                <w:spacing w:val="1"/>
              </w:rPr>
              <w:t>责令暂停九个月以上一年以下执业活动</w:t>
            </w:r>
          </w:p>
        </w:tc>
      </w:tr>
      <w:tr>
        <w:trPr>
          <w:trHeight w:val="534" w:hRule="atLeast"/>
        </w:trPr>
        <w:tc>
          <w:tcPr>
            <w:tcW w:w="1424" w:type="dxa"/>
            <w:vAlign w:val="top"/>
          </w:tcPr>
          <w:p>
            <w:pPr>
              <w:pStyle w:val="TableText"/>
              <w:ind w:left="208"/>
              <w:spacing w:before="195" w:line="219" w:lineRule="auto"/>
              <w:rPr>
                <w:sz w:val="25"/>
                <w:szCs w:val="25"/>
              </w:rPr>
            </w:pPr>
            <w:r>
              <w:rPr>
                <w:sz w:val="25"/>
                <w:szCs w:val="25"/>
                <w:b/>
                <w:bCs/>
                <w:spacing w:val="-5"/>
              </w:rPr>
              <w:t>特别严重</w:t>
            </w:r>
          </w:p>
        </w:tc>
        <w:tc>
          <w:tcPr>
            <w:tcW w:w="8324" w:type="dxa"/>
            <w:vAlign w:val="top"/>
          </w:tcPr>
          <w:p>
            <w:pPr>
              <w:pStyle w:val="TableText"/>
              <w:ind w:left="110"/>
              <w:spacing w:before="209" w:line="219" w:lineRule="auto"/>
              <w:rPr>
                <w:sz w:val="25"/>
                <w:szCs w:val="25"/>
              </w:rPr>
            </w:pPr>
            <w:r>
              <w:rPr>
                <w:sz w:val="25"/>
                <w:szCs w:val="25"/>
              </w:rPr>
              <w:t>1年内连续2次造成一、二级医疗事故并负完全责任的有关执业医师</w:t>
            </w:r>
          </w:p>
        </w:tc>
        <w:tc>
          <w:tcPr>
            <w:tcW w:w="4422" w:type="dxa"/>
            <w:vAlign w:val="top"/>
          </w:tcPr>
          <w:p>
            <w:pPr>
              <w:pStyle w:val="TableText"/>
              <w:ind w:left="116"/>
              <w:spacing w:before="197" w:line="219" w:lineRule="auto"/>
              <w:rPr>
                <w:sz w:val="25"/>
                <w:szCs w:val="25"/>
              </w:rPr>
            </w:pPr>
            <w:r>
              <w:rPr>
                <w:sz w:val="25"/>
                <w:szCs w:val="25"/>
                <w:spacing w:val="2"/>
              </w:rPr>
              <w:t>吊销医师执业证书</w:t>
            </w:r>
          </w:p>
        </w:tc>
      </w:tr>
    </w:tbl>
    <w:p>
      <w:pPr>
        <w:pStyle w:val="BodyText"/>
        <w:spacing w:line="424" w:lineRule="auto"/>
        <w:rPr/>
      </w:pPr>
      <w:r/>
    </w:p>
    <w:p>
      <w:pPr>
        <w:ind w:left="779"/>
        <w:spacing w:before="100" w:line="220" w:lineRule="auto"/>
        <w:rPr>
          <w:rFonts w:ascii="FangSong" w:hAnsi="FangSong" w:eastAsia="FangSong" w:cs="FangSong"/>
          <w:sz w:val="31"/>
          <w:szCs w:val="31"/>
        </w:rPr>
      </w:pPr>
      <w:r>
        <w:rPr>
          <w:rFonts w:ascii="FangSong" w:hAnsi="FangSong" w:eastAsia="FangSong" w:cs="FangSong"/>
          <w:sz w:val="31"/>
          <w:szCs w:val="31"/>
          <w:b/>
          <w:bCs/>
          <w:spacing w:val="15"/>
        </w:rPr>
        <w:t>第一百八十四条医师泄露患者隐私或者个人信息</w:t>
      </w:r>
    </w:p>
    <w:p>
      <w:pPr>
        <w:ind w:left="935"/>
        <w:spacing w:before="117"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135" w:right="20" w:firstLine="604"/>
        <w:spacing w:before="69" w:line="269" w:lineRule="auto"/>
        <w:jc w:val="both"/>
        <w:rPr>
          <w:rFonts w:ascii="FangSong" w:hAnsi="FangSong" w:eastAsia="FangSong" w:cs="FangSong"/>
          <w:sz w:val="31"/>
          <w:szCs w:val="31"/>
        </w:rPr>
      </w:pPr>
      <w:r>
        <w:rPr>
          <w:rFonts w:ascii="FangSong" w:hAnsi="FangSong" w:eastAsia="FangSong" w:cs="FangSong"/>
          <w:sz w:val="31"/>
          <w:szCs w:val="31"/>
          <w:spacing w:val="14"/>
        </w:rPr>
        <w:t>《中华人民共和国医师法》第五十六条第(一)项</w:t>
      </w:r>
      <w:r>
        <w:rPr>
          <w:rFonts w:ascii="FangSong" w:hAnsi="FangSong" w:eastAsia="FangSong" w:cs="FangSong"/>
          <w:sz w:val="31"/>
          <w:szCs w:val="31"/>
          <w:spacing w:val="14"/>
        </w:rPr>
        <w:t xml:space="preserve">  </w:t>
      </w:r>
      <w:r>
        <w:rPr>
          <w:rFonts w:ascii="FangSong" w:hAnsi="FangSong" w:eastAsia="FangSong" w:cs="FangSong"/>
          <w:sz w:val="31"/>
          <w:szCs w:val="31"/>
          <w:spacing w:val="14"/>
        </w:rPr>
        <w:t>违反本法规定，医师在执业活动中有下列行</w:t>
      </w:r>
      <w:r>
        <w:rPr>
          <w:rFonts w:ascii="FangSong" w:hAnsi="FangSong" w:eastAsia="FangSong" w:cs="FangSong"/>
          <w:sz w:val="31"/>
          <w:szCs w:val="31"/>
          <w:spacing w:val="13"/>
        </w:rPr>
        <w:t xml:space="preserve"> </w:t>
      </w:r>
      <w:r>
        <w:rPr>
          <w:rFonts w:ascii="FangSong" w:hAnsi="FangSong" w:eastAsia="FangSong" w:cs="FangSong"/>
          <w:sz w:val="31"/>
          <w:szCs w:val="31"/>
          <w:spacing w:val="7"/>
        </w:rPr>
        <w:t>为之一的，由县级以上人民政府卫生健康主管部门责令改正，给予警告</w:t>
      </w:r>
      <w:r>
        <w:rPr>
          <w:rFonts w:ascii="FangSong" w:hAnsi="FangSong" w:eastAsia="FangSong" w:cs="FangSong"/>
          <w:sz w:val="31"/>
          <w:szCs w:val="31"/>
          <w:spacing w:val="6"/>
        </w:rPr>
        <w:t>，没收违法所得，并处一万元</w:t>
      </w:r>
      <w:r>
        <w:rPr>
          <w:rFonts w:ascii="FangSong" w:hAnsi="FangSong" w:eastAsia="FangSong" w:cs="FangSong"/>
          <w:sz w:val="31"/>
          <w:szCs w:val="31"/>
        </w:rPr>
        <w:t xml:space="preserve"> </w:t>
      </w:r>
      <w:r>
        <w:rPr>
          <w:rFonts w:ascii="FangSong" w:hAnsi="FangSong" w:eastAsia="FangSong" w:cs="FangSong"/>
          <w:sz w:val="31"/>
          <w:szCs w:val="31"/>
          <w:spacing w:val="2"/>
        </w:rPr>
        <w:t>以上三万元以下的罚款；情节严重的，责令暂停六个月以上一年</w:t>
      </w:r>
      <w:r>
        <w:rPr>
          <w:rFonts w:ascii="FangSong" w:hAnsi="FangSong" w:eastAsia="FangSong" w:cs="FangSong"/>
          <w:sz w:val="31"/>
          <w:szCs w:val="31"/>
          <w:spacing w:val="1"/>
        </w:rPr>
        <w:t>以下执业活动直至吊销医师执业证书：</w:t>
      </w:r>
    </w:p>
    <w:p>
      <w:pPr>
        <w:ind w:left="894"/>
        <w:spacing w:before="1" w:line="221" w:lineRule="auto"/>
        <w:rPr>
          <w:rFonts w:ascii="FangSong" w:hAnsi="FangSong" w:eastAsia="FangSong" w:cs="FangSong"/>
          <w:sz w:val="31"/>
          <w:szCs w:val="31"/>
        </w:rPr>
      </w:pPr>
      <w:r>
        <w:rPr>
          <w:rFonts w:ascii="FangSong" w:hAnsi="FangSong" w:eastAsia="FangSong" w:cs="FangSong"/>
          <w:sz w:val="31"/>
          <w:szCs w:val="31"/>
          <w:spacing w:val="16"/>
        </w:rPr>
        <w:t>(一)泄露患者隐私或者个人信息；</w:t>
      </w:r>
    </w:p>
    <w:p>
      <w:pPr>
        <w:spacing w:line="221" w:lineRule="auto"/>
        <w:sectPr>
          <w:footerReference w:type="default" r:id="rId253"/>
          <w:pgSz w:w="16830" w:h="11900"/>
          <w:pgMar w:top="1011" w:right="1335" w:bottom="1118" w:left="1314" w:header="0" w:footer="785" w:gutter="0"/>
        </w:sectPr>
        <w:rPr>
          <w:rFonts w:ascii="FangSong" w:hAnsi="FangSong" w:eastAsia="FangSong" w:cs="FangSong"/>
          <w:sz w:val="31"/>
          <w:szCs w:val="31"/>
        </w:rPr>
      </w:pP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6539"/>
        <w:spacing w:before="94" w:line="220" w:lineRule="auto"/>
        <w:outlineLvl w:val="1"/>
        <w:rPr>
          <w:rFonts w:ascii="SimSun" w:hAnsi="SimSun" w:eastAsia="SimSun" w:cs="SimSun"/>
          <w:sz w:val="29"/>
          <w:szCs w:val="29"/>
        </w:rPr>
      </w:pPr>
      <w:bookmarkStart w:name="bookmark906" w:id="268"/>
      <w:bookmarkEnd w:id="268"/>
      <w:bookmarkStart w:name="bookmark186" w:id="269"/>
      <w:bookmarkEnd w:id="269"/>
      <w:r>
        <w:rPr>
          <w:rFonts w:ascii="SimSun" w:hAnsi="SimSun" w:eastAsia="SimSun" w:cs="SimSun"/>
          <w:sz w:val="29"/>
          <w:szCs w:val="29"/>
          <w:b/>
          <w:bCs/>
          <w:spacing w:val="-6"/>
        </w:rPr>
        <w:t>裁量标准</w:t>
      </w:r>
    </w:p>
    <w:tbl>
      <w:tblPr>
        <w:tblStyle w:val="TableNormal"/>
        <w:tblW w:w="14167"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035"/>
        <w:gridCol w:w="5708"/>
      </w:tblGrid>
      <w:tr>
        <w:trPr>
          <w:trHeight w:val="444" w:hRule="atLeast"/>
        </w:trPr>
        <w:tc>
          <w:tcPr>
            <w:tcW w:w="1424" w:type="dxa"/>
            <w:vAlign w:val="top"/>
          </w:tcPr>
          <w:p>
            <w:pPr>
              <w:pStyle w:val="TableText"/>
              <w:ind w:left="208"/>
              <w:spacing w:before="102" w:line="220" w:lineRule="auto"/>
              <w:rPr>
                <w:sz w:val="25"/>
                <w:szCs w:val="25"/>
              </w:rPr>
            </w:pPr>
            <w:r>
              <w:rPr>
                <w:sz w:val="25"/>
                <w:szCs w:val="25"/>
                <w:b/>
                <w:bCs/>
                <w:spacing w:val="-5"/>
              </w:rPr>
              <w:t>违法程度</w:t>
            </w:r>
          </w:p>
        </w:tc>
        <w:tc>
          <w:tcPr>
            <w:tcW w:w="7035" w:type="dxa"/>
            <w:vAlign w:val="top"/>
          </w:tcPr>
          <w:p>
            <w:pPr>
              <w:pStyle w:val="TableText"/>
              <w:ind w:left="3014"/>
              <w:spacing w:before="102" w:line="220" w:lineRule="auto"/>
              <w:rPr>
                <w:sz w:val="25"/>
                <w:szCs w:val="25"/>
              </w:rPr>
            </w:pPr>
            <w:r>
              <w:rPr>
                <w:sz w:val="25"/>
                <w:szCs w:val="25"/>
                <w:b/>
                <w:bCs/>
                <w:spacing w:val="-5"/>
              </w:rPr>
              <w:t>违法后果</w:t>
            </w:r>
          </w:p>
        </w:tc>
        <w:tc>
          <w:tcPr>
            <w:tcW w:w="5708" w:type="dxa"/>
            <w:vAlign w:val="top"/>
          </w:tcPr>
          <w:p>
            <w:pPr>
              <w:pStyle w:val="TableText"/>
              <w:ind w:left="2349"/>
              <w:spacing w:before="99" w:line="218" w:lineRule="auto"/>
              <w:rPr>
                <w:sz w:val="25"/>
                <w:szCs w:val="25"/>
              </w:rPr>
            </w:pPr>
            <w:r>
              <w:rPr>
                <w:sz w:val="25"/>
                <w:szCs w:val="25"/>
                <w:b/>
                <w:bCs/>
                <w:spacing w:val="-5"/>
              </w:rPr>
              <w:t>裁量幅度</w:t>
            </w:r>
          </w:p>
        </w:tc>
      </w:tr>
      <w:tr>
        <w:trPr>
          <w:trHeight w:val="878" w:hRule="atLeast"/>
        </w:trPr>
        <w:tc>
          <w:tcPr>
            <w:tcW w:w="1424" w:type="dxa"/>
            <w:vAlign w:val="top"/>
          </w:tcPr>
          <w:p>
            <w:pPr>
              <w:pStyle w:val="TableText"/>
              <w:ind w:left="458"/>
              <w:spacing w:before="319" w:line="221" w:lineRule="auto"/>
              <w:rPr>
                <w:sz w:val="25"/>
                <w:szCs w:val="25"/>
              </w:rPr>
            </w:pPr>
            <w:r>
              <w:rPr>
                <w:sz w:val="25"/>
                <w:szCs w:val="25"/>
                <w:b/>
                <w:bCs/>
                <w:spacing w:val="-10"/>
              </w:rPr>
              <w:t>一般</w:t>
            </w:r>
          </w:p>
        </w:tc>
        <w:tc>
          <w:tcPr>
            <w:tcW w:w="7035" w:type="dxa"/>
            <w:vAlign w:val="top"/>
          </w:tcPr>
          <w:p>
            <w:pPr>
              <w:pStyle w:val="TableText"/>
              <w:spacing w:before="141" w:line="219" w:lineRule="auto"/>
              <w:jc w:val="right"/>
              <w:rPr>
                <w:sz w:val="25"/>
                <w:szCs w:val="25"/>
              </w:rPr>
            </w:pPr>
            <w:r>
              <w:rPr>
                <w:sz w:val="25"/>
                <w:szCs w:val="25"/>
              </w:rPr>
              <w:t>医师在执业活动中非主观故意而导致泄露患者隐私或个人信息的</w:t>
            </w:r>
          </w:p>
        </w:tc>
        <w:tc>
          <w:tcPr>
            <w:tcW w:w="5708" w:type="dxa"/>
            <w:vAlign w:val="top"/>
          </w:tcPr>
          <w:p>
            <w:pPr>
              <w:pStyle w:val="TableText"/>
              <w:ind w:left="124" w:hanging="109"/>
              <w:spacing w:before="139" w:line="269" w:lineRule="auto"/>
              <w:rPr>
                <w:sz w:val="25"/>
                <w:szCs w:val="25"/>
              </w:rPr>
            </w:pPr>
            <w:r>
              <w:rPr>
                <w:sz w:val="25"/>
                <w:szCs w:val="25"/>
                <w:spacing w:val="-3"/>
              </w:rPr>
              <w:t>责令改正，给予警告，没收违法所得，并处一万元以</w:t>
            </w:r>
            <w:r>
              <w:rPr>
                <w:sz w:val="25"/>
                <w:szCs w:val="25"/>
              </w:rPr>
              <w:t xml:space="preserve"> </w:t>
            </w:r>
            <w:r>
              <w:rPr>
                <w:sz w:val="25"/>
                <w:szCs w:val="25"/>
              </w:rPr>
              <w:t>上两万元以下的罚款</w:t>
            </w:r>
          </w:p>
        </w:tc>
      </w:tr>
      <w:tr>
        <w:trPr>
          <w:trHeight w:val="868" w:hRule="atLeast"/>
        </w:trPr>
        <w:tc>
          <w:tcPr>
            <w:tcW w:w="1424" w:type="dxa"/>
            <w:vAlign w:val="top"/>
          </w:tcPr>
          <w:p>
            <w:pPr>
              <w:pStyle w:val="TableText"/>
              <w:ind w:left="458"/>
              <w:spacing w:before="313" w:line="221" w:lineRule="auto"/>
              <w:rPr>
                <w:sz w:val="25"/>
                <w:szCs w:val="25"/>
              </w:rPr>
            </w:pPr>
            <w:r>
              <w:rPr>
                <w:sz w:val="25"/>
                <w:szCs w:val="25"/>
                <w:b/>
                <w:bCs/>
                <w:spacing w:val="-6"/>
              </w:rPr>
              <w:t>较重</w:t>
            </w:r>
          </w:p>
        </w:tc>
        <w:tc>
          <w:tcPr>
            <w:tcW w:w="7035" w:type="dxa"/>
            <w:vAlign w:val="top"/>
          </w:tcPr>
          <w:p>
            <w:pPr>
              <w:pStyle w:val="TableText"/>
              <w:ind w:left="120" w:right="3" w:hanging="110"/>
              <w:spacing w:before="161" w:line="257" w:lineRule="auto"/>
              <w:rPr>
                <w:sz w:val="25"/>
                <w:szCs w:val="25"/>
              </w:rPr>
            </w:pPr>
            <w:r>
              <w:rPr>
                <w:sz w:val="25"/>
                <w:szCs w:val="25"/>
              </w:rPr>
              <w:t>医师在执业活动中，不以获取利益为目的故意泄露患者隐私或个</w:t>
            </w:r>
            <w:r>
              <w:rPr>
                <w:sz w:val="25"/>
                <w:szCs w:val="25"/>
                <w:spacing w:val="9"/>
              </w:rPr>
              <w:t xml:space="preserve"> </w:t>
            </w:r>
            <w:r>
              <w:rPr>
                <w:sz w:val="25"/>
                <w:szCs w:val="25"/>
                <w:spacing w:val="1"/>
              </w:rPr>
              <w:t>人信息，造成严重后果的</w:t>
            </w:r>
          </w:p>
        </w:tc>
        <w:tc>
          <w:tcPr>
            <w:tcW w:w="5708" w:type="dxa"/>
            <w:vAlign w:val="top"/>
          </w:tcPr>
          <w:p>
            <w:pPr>
              <w:pStyle w:val="TableText"/>
              <w:ind w:left="114" w:hanging="99"/>
              <w:spacing w:before="151" w:line="261" w:lineRule="auto"/>
              <w:rPr>
                <w:sz w:val="25"/>
                <w:szCs w:val="25"/>
              </w:rPr>
            </w:pPr>
            <w:r>
              <w:rPr>
                <w:sz w:val="25"/>
                <w:szCs w:val="25"/>
                <w:spacing w:val="-3"/>
              </w:rPr>
              <w:t>责令改正，给予警告，没收违法所得，并处两万元以</w:t>
            </w:r>
            <w:r>
              <w:rPr>
                <w:sz w:val="25"/>
                <w:szCs w:val="25"/>
              </w:rPr>
              <w:t xml:space="preserve"> </w:t>
            </w:r>
            <w:r>
              <w:rPr>
                <w:sz w:val="25"/>
                <w:szCs w:val="25"/>
              </w:rPr>
              <w:t>上三万元以下的罚款</w:t>
            </w:r>
          </w:p>
        </w:tc>
      </w:tr>
      <w:tr>
        <w:trPr>
          <w:trHeight w:val="877" w:hRule="atLeast"/>
        </w:trPr>
        <w:tc>
          <w:tcPr>
            <w:tcW w:w="1424" w:type="dxa"/>
            <w:vAlign w:val="top"/>
          </w:tcPr>
          <w:p>
            <w:pPr>
              <w:spacing w:line="299"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7035" w:type="dxa"/>
            <w:vAlign w:val="top"/>
          </w:tcPr>
          <w:p>
            <w:pPr>
              <w:pStyle w:val="TableText"/>
              <w:ind w:left="109" w:right="3" w:hanging="99"/>
              <w:spacing w:before="154" w:line="263" w:lineRule="auto"/>
              <w:rPr>
                <w:sz w:val="25"/>
                <w:szCs w:val="25"/>
              </w:rPr>
            </w:pPr>
            <w:r>
              <w:rPr>
                <w:sz w:val="25"/>
                <w:szCs w:val="25"/>
              </w:rPr>
              <w:t>医师在执业活动中，为获取利益为目的故意泄露患者隐私或个人</w:t>
            </w:r>
            <w:r>
              <w:rPr>
                <w:sz w:val="25"/>
                <w:szCs w:val="25"/>
                <w:spacing w:val="9"/>
              </w:rPr>
              <w:t xml:space="preserve"> </w:t>
            </w:r>
            <w:r>
              <w:rPr>
                <w:sz w:val="25"/>
                <w:szCs w:val="25"/>
                <w:spacing w:val="1"/>
              </w:rPr>
              <w:t>信息，造成严重后果的</w:t>
            </w:r>
          </w:p>
        </w:tc>
        <w:tc>
          <w:tcPr>
            <w:tcW w:w="5708" w:type="dxa"/>
            <w:vAlign w:val="top"/>
          </w:tcPr>
          <w:p>
            <w:pPr>
              <w:pStyle w:val="TableText"/>
              <w:ind w:left="134" w:hanging="119"/>
              <w:spacing w:before="152" w:line="264" w:lineRule="auto"/>
              <w:rPr>
                <w:sz w:val="25"/>
                <w:szCs w:val="25"/>
              </w:rPr>
            </w:pPr>
            <w:r>
              <w:rPr>
                <w:sz w:val="25"/>
                <w:szCs w:val="25"/>
                <w:spacing w:val="-3"/>
              </w:rPr>
              <w:t>责令改正，给予警告，没收违法所得，并处三万元的</w:t>
            </w:r>
            <w:r>
              <w:rPr>
                <w:sz w:val="25"/>
                <w:szCs w:val="25"/>
              </w:rPr>
              <w:t xml:space="preserve"> </w:t>
            </w:r>
            <w:r>
              <w:rPr>
                <w:sz w:val="25"/>
                <w:szCs w:val="25"/>
              </w:rPr>
              <w:t>罚款，责令暂停六个月以上一年以下执业活动</w:t>
            </w:r>
          </w:p>
        </w:tc>
      </w:tr>
      <w:tr>
        <w:trPr>
          <w:trHeight w:val="892" w:hRule="atLeast"/>
        </w:trPr>
        <w:tc>
          <w:tcPr>
            <w:tcW w:w="1424" w:type="dxa"/>
            <w:vAlign w:val="top"/>
          </w:tcPr>
          <w:p>
            <w:pPr>
              <w:spacing w:line="291" w:lineRule="auto"/>
              <w:rPr>
                <w:rFonts w:ascii="Arial"/>
                <w:sz w:val="21"/>
              </w:rPr>
            </w:pPr>
            <w:r/>
          </w:p>
          <w:p>
            <w:pPr>
              <w:pStyle w:val="TableText"/>
              <w:ind w:left="208"/>
              <w:spacing w:before="82" w:line="219" w:lineRule="auto"/>
              <w:rPr>
                <w:sz w:val="25"/>
                <w:szCs w:val="25"/>
              </w:rPr>
            </w:pPr>
            <w:r>
              <w:rPr>
                <w:sz w:val="25"/>
                <w:szCs w:val="25"/>
                <w:b/>
                <w:bCs/>
                <w:spacing w:val="-5"/>
              </w:rPr>
              <w:t>特别严重</w:t>
            </w:r>
          </w:p>
        </w:tc>
        <w:tc>
          <w:tcPr>
            <w:tcW w:w="7035" w:type="dxa"/>
            <w:vAlign w:val="top"/>
          </w:tcPr>
          <w:p>
            <w:pPr>
              <w:pStyle w:val="TableText"/>
              <w:ind w:left="129" w:hanging="119"/>
              <w:spacing w:before="158" w:line="267" w:lineRule="auto"/>
              <w:rPr>
                <w:sz w:val="25"/>
                <w:szCs w:val="25"/>
              </w:rPr>
            </w:pPr>
            <w:r>
              <w:rPr>
                <w:sz w:val="25"/>
                <w:szCs w:val="25"/>
              </w:rPr>
              <w:t>医师在执业活动中，故意泄露患者隐私，造成特别严重后果或恶</w:t>
            </w:r>
            <w:r>
              <w:rPr>
                <w:sz w:val="25"/>
                <w:szCs w:val="25"/>
                <w:spacing w:val="12"/>
              </w:rPr>
              <w:t xml:space="preserve"> </w:t>
            </w:r>
            <w:r>
              <w:rPr>
                <w:sz w:val="25"/>
                <w:szCs w:val="25"/>
                <w:spacing w:val="3"/>
              </w:rPr>
              <w:t>劣社会影响的</w:t>
            </w:r>
          </w:p>
        </w:tc>
        <w:tc>
          <w:tcPr>
            <w:tcW w:w="5708" w:type="dxa"/>
            <w:vAlign w:val="top"/>
          </w:tcPr>
          <w:p>
            <w:pPr>
              <w:pStyle w:val="TableText"/>
              <w:ind w:left="134" w:hanging="119"/>
              <w:spacing w:before="175" w:line="261" w:lineRule="auto"/>
              <w:rPr>
                <w:sz w:val="25"/>
                <w:szCs w:val="25"/>
              </w:rPr>
            </w:pPr>
            <w:r>
              <w:rPr>
                <w:sz w:val="25"/>
                <w:szCs w:val="25"/>
                <w:spacing w:val="-3"/>
              </w:rPr>
              <w:t>责令改正，给予警告，没收违法所得，并处三万元的</w:t>
            </w:r>
            <w:r>
              <w:rPr>
                <w:sz w:val="25"/>
                <w:szCs w:val="25"/>
              </w:rPr>
              <w:t xml:space="preserve"> </w:t>
            </w:r>
            <w:r>
              <w:rPr>
                <w:sz w:val="25"/>
                <w:szCs w:val="25"/>
                <w:spacing w:val="1"/>
              </w:rPr>
              <w:t>罚款，吊销医师执业证书</w:t>
            </w:r>
          </w:p>
        </w:tc>
      </w:tr>
    </w:tbl>
    <w:p>
      <w:pPr>
        <w:pStyle w:val="BodyText"/>
        <w:spacing w:line="475" w:lineRule="auto"/>
        <w:rPr/>
      </w:pPr>
      <w:r/>
    </w:p>
    <w:p>
      <w:pPr>
        <w:ind w:left="139" w:right="115" w:firstLine="649"/>
        <w:spacing w:before="98" w:line="266" w:lineRule="auto"/>
        <w:rPr>
          <w:rFonts w:ascii="FangSong" w:hAnsi="FangSong" w:eastAsia="FangSong" w:cs="FangSong"/>
          <w:sz w:val="30"/>
          <w:szCs w:val="30"/>
        </w:rPr>
      </w:pPr>
      <w:r>
        <w:rPr>
          <w:rFonts w:ascii="FangSong" w:hAnsi="FangSong" w:eastAsia="FangSong" w:cs="FangSong"/>
          <w:sz w:val="30"/>
          <w:szCs w:val="30"/>
          <w:b/>
          <w:bCs/>
          <w:spacing w:val="21"/>
        </w:rPr>
        <w:t>第一百八十五条医师出具虚假医学证明文件，或</w:t>
      </w:r>
      <w:r>
        <w:rPr>
          <w:rFonts w:ascii="FangSong" w:hAnsi="FangSong" w:eastAsia="FangSong" w:cs="FangSong"/>
          <w:sz w:val="30"/>
          <w:szCs w:val="30"/>
          <w:b/>
          <w:bCs/>
          <w:spacing w:val="20"/>
        </w:rPr>
        <w:t>者未经亲自诊查、调查，签署诊断、治疗、流</w:t>
      </w:r>
      <w:r>
        <w:rPr>
          <w:rFonts w:ascii="FangSong" w:hAnsi="FangSong" w:eastAsia="FangSong" w:cs="FangSong"/>
          <w:sz w:val="30"/>
          <w:szCs w:val="30"/>
        </w:rPr>
        <w:t xml:space="preserve"> </w:t>
      </w:r>
      <w:r>
        <w:rPr>
          <w:rFonts w:ascii="FangSong" w:hAnsi="FangSong" w:eastAsia="FangSong" w:cs="FangSong"/>
          <w:sz w:val="30"/>
          <w:szCs w:val="30"/>
          <w:b/>
          <w:bCs/>
          <w:spacing w:val="17"/>
        </w:rPr>
        <w:t>行病学等证明文件或者有关出生、死亡等证明文件</w:t>
      </w:r>
    </w:p>
    <w:p>
      <w:pPr>
        <w:ind w:left="935"/>
        <w:spacing w:before="23"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135" w:right="32" w:firstLine="629"/>
        <w:spacing w:before="112" w:line="266" w:lineRule="auto"/>
        <w:jc w:val="both"/>
        <w:rPr>
          <w:rFonts w:ascii="FangSong" w:hAnsi="FangSong" w:eastAsia="FangSong" w:cs="FangSong"/>
          <w:sz w:val="30"/>
          <w:szCs w:val="30"/>
        </w:rPr>
      </w:pPr>
      <w:r>
        <w:rPr>
          <w:rFonts w:ascii="FangSong" w:hAnsi="FangSong" w:eastAsia="FangSong" w:cs="FangSong"/>
          <w:sz w:val="30"/>
          <w:szCs w:val="30"/>
          <w:spacing w:val="23"/>
        </w:rPr>
        <w:t>《中华人民共和国医师法》第五十六条第(二)项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违反本法规定，医师在执业活动中有下列行</w:t>
      </w:r>
      <w:r>
        <w:rPr>
          <w:rFonts w:ascii="FangSong" w:hAnsi="FangSong" w:eastAsia="FangSong" w:cs="FangSong"/>
          <w:sz w:val="30"/>
          <w:szCs w:val="30"/>
          <w:spacing w:val="11"/>
        </w:rPr>
        <w:t xml:space="preserve"> </w:t>
      </w:r>
      <w:r>
        <w:rPr>
          <w:rFonts w:ascii="FangSong" w:hAnsi="FangSong" w:eastAsia="FangSong" w:cs="FangSong"/>
          <w:sz w:val="30"/>
          <w:szCs w:val="30"/>
          <w:spacing w:val="17"/>
        </w:rPr>
        <w:t>为之一的，由县级以上人民政府卫生健康主管部门责令改正，给予警</w:t>
      </w:r>
      <w:r>
        <w:rPr>
          <w:rFonts w:ascii="FangSong" w:hAnsi="FangSong" w:eastAsia="FangSong" w:cs="FangSong"/>
          <w:sz w:val="30"/>
          <w:szCs w:val="30"/>
          <w:spacing w:val="16"/>
        </w:rPr>
        <w:t>告，没收违法所得，并处一万元</w:t>
      </w:r>
      <w:r>
        <w:rPr>
          <w:rFonts w:ascii="FangSong" w:hAnsi="FangSong" w:eastAsia="FangSong" w:cs="FangSong"/>
          <w:sz w:val="30"/>
          <w:szCs w:val="30"/>
        </w:rPr>
        <w:t xml:space="preserve"> </w:t>
      </w:r>
      <w:r>
        <w:rPr>
          <w:rFonts w:ascii="FangSong" w:hAnsi="FangSong" w:eastAsia="FangSong" w:cs="FangSong"/>
          <w:sz w:val="30"/>
          <w:szCs w:val="30"/>
          <w:spacing w:val="11"/>
        </w:rPr>
        <w:t>以上三万元以下的罚款；情节严重的，责令暂停六个月以上一年以下执业活动直至吊销医师执业证书：</w:t>
      </w:r>
    </w:p>
    <w:p>
      <w:pPr>
        <w:spacing w:line="266" w:lineRule="auto"/>
        <w:sectPr>
          <w:footerReference w:type="default" r:id="rId254"/>
          <w:pgSz w:w="16830" w:h="11900"/>
          <w:pgMar w:top="1011" w:right="1337" w:bottom="1118" w:left="1314" w:header="0" w:footer="785" w:gutter="0"/>
        </w:sectPr>
        <w:rPr>
          <w:rFonts w:ascii="FangSong" w:hAnsi="FangSong" w:eastAsia="FangSong" w:cs="FangSong"/>
          <w:sz w:val="30"/>
          <w:szCs w:val="30"/>
        </w:rPr>
      </w:pPr>
    </w:p>
    <w:p>
      <w:pPr>
        <w:pStyle w:val="BodyText"/>
        <w:spacing w:line="263" w:lineRule="auto"/>
        <w:rPr/>
      </w:pPr>
      <w:r/>
    </w:p>
    <w:p>
      <w:pPr>
        <w:pStyle w:val="BodyText"/>
        <w:spacing w:line="263" w:lineRule="auto"/>
        <w:rPr/>
      </w:pPr>
      <w:r/>
    </w:p>
    <w:p>
      <w:pPr>
        <w:pStyle w:val="BodyText"/>
        <w:spacing w:line="264" w:lineRule="auto"/>
        <w:rPr/>
      </w:pPr>
      <w:r/>
    </w:p>
    <w:p>
      <w:pPr>
        <w:ind w:left="34" w:firstLine="790"/>
        <w:spacing w:before="101" w:line="265" w:lineRule="auto"/>
        <w:rPr>
          <w:rFonts w:ascii="FangSong" w:hAnsi="FangSong" w:eastAsia="FangSong" w:cs="FangSong"/>
          <w:sz w:val="31"/>
          <w:szCs w:val="31"/>
        </w:rPr>
      </w:pPr>
      <w:r>
        <w:rPr>
          <w:rFonts w:ascii="FangSong" w:hAnsi="FangSong" w:eastAsia="FangSong" w:cs="FangSong"/>
          <w:sz w:val="31"/>
          <w:szCs w:val="31"/>
          <w:spacing w:val="11"/>
        </w:rPr>
        <w:t>(二)出具虚假医学证明文件，或者未经亲自诊查、</w:t>
      </w:r>
      <w:r>
        <w:rPr>
          <w:rFonts w:ascii="FangSong" w:hAnsi="FangSong" w:eastAsia="FangSong" w:cs="FangSong"/>
          <w:sz w:val="31"/>
          <w:szCs w:val="31"/>
          <w:spacing w:val="10"/>
        </w:rPr>
        <w:t>调查，签署诊断、治疗、流行病学等证明文</w:t>
      </w:r>
      <w:r>
        <w:rPr>
          <w:rFonts w:ascii="FangSong" w:hAnsi="FangSong" w:eastAsia="FangSong" w:cs="FangSong"/>
          <w:sz w:val="31"/>
          <w:szCs w:val="31"/>
        </w:rPr>
        <w:t xml:space="preserve"> </w:t>
      </w:r>
      <w:r>
        <w:rPr>
          <w:rFonts w:ascii="FangSong" w:hAnsi="FangSong" w:eastAsia="FangSong" w:cs="FangSong"/>
          <w:sz w:val="31"/>
          <w:szCs w:val="31"/>
          <w:spacing w:val="4"/>
        </w:rPr>
        <w:t>件或者有关出生、死亡等证明文件；</w:t>
      </w:r>
    </w:p>
    <w:p>
      <w:pPr>
        <w:pStyle w:val="BodyText"/>
        <w:spacing w:line="315" w:lineRule="auto"/>
        <w:rPr/>
      </w:pPr>
      <w:r/>
    </w:p>
    <w:p>
      <w:pPr>
        <w:ind w:left="6439"/>
        <w:spacing w:before="94"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3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94"/>
        <w:gridCol w:w="6025"/>
        <w:gridCol w:w="6300"/>
      </w:tblGrid>
      <w:tr>
        <w:trPr>
          <w:trHeight w:val="1273" w:hRule="atLeast"/>
        </w:trPr>
        <w:tc>
          <w:tcPr>
            <w:tcW w:w="994" w:type="dxa"/>
            <w:vAlign w:val="top"/>
          </w:tcPr>
          <w:p>
            <w:pPr>
              <w:pStyle w:val="TableText"/>
              <w:ind w:left="248"/>
              <w:spacing w:before="188" w:line="225" w:lineRule="auto"/>
              <w:rPr/>
            </w:pPr>
            <w:r>
              <w:rPr>
                <w:b/>
                <w:bCs/>
                <w:spacing w:val="-5"/>
              </w:rPr>
              <w:t>违法</w:t>
            </w:r>
          </w:p>
          <w:p>
            <w:pPr>
              <w:pStyle w:val="TableText"/>
              <w:ind w:left="248"/>
              <w:spacing w:before="140" w:line="220" w:lineRule="auto"/>
              <w:rPr/>
            </w:pPr>
            <w:r>
              <w:rPr>
                <w:b/>
                <w:bCs/>
                <w:spacing w:val="-5"/>
              </w:rPr>
              <w:t>程度</w:t>
            </w:r>
          </w:p>
        </w:tc>
        <w:tc>
          <w:tcPr>
            <w:tcW w:w="6025" w:type="dxa"/>
            <w:vAlign w:val="top"/>
          </w:tcPr>
          <w:p>
            <w:pPr>
              <w:spacing w:line="441" w:lineRule="auto"/>
              <w:rPr>
                <w:rFonts w:ascii="Arial"/>
                <w:sz w:val="21"/>
              </w:rPr>
            </w:pPr>
            <w:r/>
          </w:p>
          <w:p>
            <w:pPr>
              <w:pStyle w:val="TableText"/>
              <w:ind w:left="2424"/>
              <w:spacing w:before="78" w:line="220" w:lineRule="auto"/>
              <w:rPr/>
            </w:pPr>
            <w:r>
              <w:rPr>
                <w:b/>
                <w:bCs/>
                <w:spacing w:val="-11"/>
              </w:rPr>
              <w:t>违</w:t>
            </w:r>
            <w:r>
              <w:rPr>
                <w:spacing w:val="-36"/>
              </w:rPr>
              <w:t xml:space="preserve"> </w:t>
            </w:r>
            <w:r>
              <w:rPr>
                <w:b/>
                <w:bCs/>
                <w:spacing w:val="-11"/>
              </w:rPr>
              <w:t>法</w:t>
            </w:r>
            <w:r>
              <w:rPr>
                <w:spacing w:val="-37"/>
              </w:rPr>
              <w:t xml:space="preserve"> </w:t>
            </w:r>
            <w:r>
              <w:rPr>
                <w:b/>
                <w:bCs/>
                <w:spacing w:val="-11"/>
              </w:rPr>
              <w:t>后</w:t>
            </w:r>
            <w:r>
              <w:rPr>
                <w:spacing w:val="-33"/>
              </w:rPr>
              <w:t xml:space="preserve"> </w:t>
            </w:r>
            <w:r>
              <w:rPr>
                <w:b/>
                <w:bCs/>
                <w:spacing w:val="-11"/>
              </w:rPr>
              <w:t>果</w:t>
            </w:r>
          </w:p>
        </w:tc>
        <w:tc>
          <w:tcPr>
            <w:tcW w:w="6300" w:type="dxa"/>
            <w:vAlign w:val="top"/>
          </w:tcPr>
          <w:p>
            <w:pPr>
              <w:spacing w:line="438" w:lineRule="auto"/>
              <w:rPr>
                <w:rFonts w:ascii="Arial"/>
                <w:sz w:val="21"/>
              </w:rPr>
            </w:pPr>
            <w:r/>
          </w:p>
          <w:p>
            <w:pPr>
              <w:pStyle w:val="TableText"/>
              <w:ind w:left="2569"/>
              <w:spacing w:before="78"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088" w:hRule="atLeast"/>
        </w:trPr>
        <w:tc>
          <w:tcPr>
            <w:tcW w:w="994" w:type="dxa"/>
            <w:vAlign w:val="top"/>
          </w:tcPr>
          <w:p>
            <w:pPr>
              <w:spacing w:line="353" w:lineRule="auto"/>
              <w:rPr>
                <w:rFonts w:ascii="Arial"/>
                <w:sz w:val="21"/>
              </w:rPr>
            </w:pPr>
            <w:r/>
          </w:p>
          <w:p>
            <w:pPr>
              <w:pStyle w:val="TableText"/>
              <w:ind w:left="244"/>
              <w:spacing w:before="78" w:line="221" w:lineRule="auto"/>
              <w:rPr/>
            </w:pPr>
            <w:r>
              <w:rPr>
                <w:spacing w:val="5"/>
              </w:rPr>
              <w:t>一般</w:t>
            </w:r>
          </w:p>
        </w:tc>
        <w:tc>
          <w:tcPr>
            <w:tcW w:w="6025" w:type="dxa"/>
            <w:vAlign w:val="top"/>
          </w:tcPr>
          <w:p>
            <w:pPr>
              <w:pStyle w:val="TableText"/>
              <w:ind w:left="121" w:right="239" w:firstLine="119"/>
              <w:spacing w:before="122" w:line="324" w:lineRule="auto"/>
              <w:rPr/>
            </w:pPr>
            <w:r>
              <w:rPr/>
              <w:t>签署一至二人(次)证明文件，没有造成医疗事故，医</w:t>
            </w:r>
            <w:r>
              <w:rPr>
                <w:spacing w:val="13"/>
              </w:rPr>
              <w:t xml:space="preserve"> </w:t>
            </w:r>
            <w:r>
              <w:rPr>
                <w:spacing w:val="-1"/>
              </w:rPr>
              <w:t>院感染或传染病传播等严重后果。</w:t>
            </w:r>
          </w:p>
        </w:tc>
        <w:tc>
          <w:tcPr>
            <w:tcW w:w="6300" w:type="dxa"/>
            <w:vAlign w:val="top"/>
          </w:tcPr>
          <w:p>
            <w:pPr>
              <w:pStyle w:val="TableText"/>
              <w:ind w:left="115" w:right="125" w:firstLine="29"/>
              <w:spacing w:before="119" w:line="329" w:lineRule="auto"/>
              <w:rPr/>
            </w:pPr>
            <w:r>
              <w:rPr/>
              <w:t>警告，没收违法所得，并处一万元以上一万五千元以下的</w:t>
            </w:r>
            <w:r>
              <w:rPr>
                <w:spacing w:val="17"/>
              </w:rPr>
              <w:t xml:space="preserve"> </w:t>
            </w:r>
            <w:r>
              <w:rPr/>
              <w:t>罚款。</w:t>
            </w:r>
          </w:p>
        </w:tc>
      </w:tr>
      <w:tr>
        <w:trPr>
          <w:trHeight w:val="1148" w:hRule="atLeast"/>
        </w:trPr>
        <w:tc>
          <w:tcPr>
            <w:tcW w:w="994" w:type="dxa"/>
            <w:vAlign w:val="top"/>
          </w:tcPr>
          <w:p>
            <w:pPr>
              <w:spacing w:line="267" w:lineRule="auto"/>
              <w:rPr>
                <w:rFonts w:ascii="Arial"/>
                <w:sz w:val="21"/>
              </w:rPr>
            </w:pPr>
            <w:r/>
          </w:p>
          <w:p>
            <w:pPr>
              <w:pStyle w:val="TableText"/>
              <w:ind w:left="244"/>
              <w:spacing w:before="78" w:line="221" w:lineRule="auto"/>
              <w:rPr/>
            </w:pPr>
            <w:r>
              <w:rPr>
                <w:spacing w:val="5"/>
              </w:rPr>
              <w:t>较重</w:t>
            </w:r>
          </w:p>
        </w:tc>
        <w:tc>
          <w:tcPr>
            <w:tcW w:w="6025" w:type="dxa"/>
            <w:vAlign w:val="top"/>
          </w:tcPr>
          <w:p>
            <w:pPr>
              <w:pStyle w:val="TableText"/>
              <w:ind w:left="141" w:right="239" w:firstLine="99"/>
              <w:spacing w:before="144" w:line="347" w:lineRule="auto"/>
              <w:rPr/>
            </w:pPr>
            <w:r>
              <w:rPr/>
              <w:t>签署三至五人(次)证明文件，没有造成医疗事故，医</w:t>
            </w:r>
            <w:r>
              <w:rPr>
                <w:spacing w:val="13"/>
              </w:rPr>
              <w:t xml:space="preserve"> </w:t>
            </w:r>
            <w:r>
              <w:rPr>
                <w:spacing w:val="-1"/>
              </w:rPr>
              <w:t>院感染或传染病传播等严重后果。</w:t>
            </w:r>
          </w:p>
        </w:tc>
        <w:tc>
          <w:tcPr>
            <w:tcW w:w="6300" w:type="dxa"/>
            <w:vAlign w:val="top"/>
          </w:tcPr>
          <w:p>
            <w:pPr>
              <w:pStyle w:val="TableText"/>
              <w:ind w:left="145"/>
              <w:spacing w:before="141" w:line="218" w:lineRule="auto"/>
              <w:rPr/>
            </w:pPr>
            <w:r>
              <w:rPr/>
              <w:t>警告，没收违法所得，并处一万五千元以上二万元以下的</w:t>
            </w:r>
          </w:p>
          <w:p>
            <w:pPr>
              <w:pStyle w:val="TableText"/>
              <w:ind w:left="115"/>
              <w:spacing w:before="170" w:line="221" w:lineRule="auto"/>
              <w:rPr/>
            </w:pPr>
            <w:r>
              <w:rPr>
                <w:color w:val="404050"/>
              </w:rPr>
              <w:t>罚款。</w:t>
            </w:r>
          </w:p>
        </w:tc>
      </w:tr>
      <w:tr>
        <w:trPr>
          <w:trHeight w:val="2381" w:hRule="atLeast"/>
        </w:trPr>
        <w:tc>
          <w:tcPr>
            <w:tcW w:w="994"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244"/>
              <w:spacing w:before="78" w:line="220" w:lineRule="auto"/>
              <w:rPr/>
            </w:pPr>
            <w:r>
              <w:rPr>
                <w:color w:val="405060"/>
                <w:spacing w:val="5"/>
              </w:rPr>
              <w:t>严重</w:t>
            </w:r>
          </w:p>
        </w:tc>
        <w:tc>
          <w:tcPr>
            <w:tcW w:w="6025" w:type="dxa"/>
            <w:vAlign w:val="top"/>
          </w:tcPr>
          <w:p>
            <w:pPr>
              <w:pStyle w:val="TableText"/>
              <w:ind w:left="121" w:right="117" w:firstLine="119"/>
              <w:spacing w:before="105" w:line="339" w:lineRule="auto"/>
              <w:jc w:val="both"/>
              <w:rPr/>
            </w:pPr>
            <w:r>
              <w:rPr/>
              <w:t>(1)签署六至十人(次)证明文件，没有造成医疗事</w:t>
            </w:r>
            <w:r>
              <w:rPr>
                <w:spacing w:val="-1"/>
              </w:rPr>
              <w:t>故，</w:t>
            </w:r>
            <w:r>
              <w:rPr/>
              <w:t xml:space="preserve"> </w:t>
            </w:r>
            <w:r>
              <w:rPr>
                <w:spacing w:val="3"/>
              </w:rPr>
              <w:t>医院感染或传染病传播等严重后果；(2)</w:t>
            </w:r>
            <w:r>
              <w:rPr>
                <w:spacing w:val="2"/>
              </w:rPr>
              <w:t>签署超过十人</w:t>
            </w:r>
            <w:r>
              <w:rPr/>
              <w:t xml:space="preserve"> </w:t>
            </w:r>
            <w:r>
              <w:rPr/>
              <w:t>(次)证明文件，没有造成医疗事故，医院感染或传染病</w:t>
            </w:r>
            <w:r>
              <w:rPr>
                <w:spacing w:val="15"/>
              </w:rPr>
              <w:t xml:space="preserve"> </w:t>
            </w:r>
            <w:r>
              <w:rPr>
                <w:spacing w:val="2"/>
              </w:rPr>
              <w:t>传播等严重后果；(3)造成医疗事故，医院感染或传染</w:t>
            </w:r>
            <w:r>
              <w:rPr>
                <w:spacing w:val="1"/>
              </w:rPr>
              <w:t xml:space="preserve"> </w:t>
            </w:r>
            <w:r>
              <w:rPr>
                <w:spacing w:val="1"/>
              </w:rPr>
              <w:t>病传播等严重后果</w:t>
            </w:r>
          </w:p>
        </w:tc>
        <w:tc>
          <w:tcPr>
            <w:tcW w:w="6300" w:type="dxa"/>
            <w:vAlign w:val="top"/>
          </w:tcPr>
          <w:p>
            <w:pPr>
              <w:spacing w:line="254" w:lineRule="auto"/>
              <w:rPr>
                <w:rFonts w:ascii="Arial"/>
                <w:sz w:val="21"/>
              </w:rPr>
            </w:pPr>
            <w:r/>
          </w:p>
          <w:p>
            <w:pPr>
              <w:pStyle w:val="TableText"/>
              <w:spacing w:before="78" w:line="218" w:lineRule="auto"/>
              <w:jc w:val="right"/>
              <w:rPr/>
            </w:pPr>
            <w:r>
              <w:rPr>
                <w:spacing w:val="-2"/>
              </w:rPr>
              <w:t>警告，没收违法所得，并处二万元以上三万元以下的罚款。</w:t>
            </w:r>
          </w:p>
          <w:p>
            <w:pPr>
              <w:pStyle w:val="TableText"/>
              <w:ind w:left="205" w:right="214" w:firstLine="179"/>
              <w:spacing w:before="157" w:line="325" w:lineRule="auto"/>
              <w:rPr/>
            </w:pPr>
            <w:r>
              <w:rPr/>
              <w:t>(1)责令暂停六个月以上九个月以下执业活动；(2)责</w:t>
            </w:r>
            <w:r>
              <w:rPr>
                <w:spacing w:val="7"/>
              </w:rPr>
              <w:t xml:space="preserve">  </w:t>
            </w:r>
            <w:r>
              <w:rPr>
                <w:spacing w:val="-1"/>
              </w:rPr>
              <w:t>令暂停九个月以上一年以下执业活动；(3)吊销医师执业</w:t>
            </w:r>
          </w:p>
          <w:p>
            <w:pPr>
              <w:pStyle w:val="TableText"/>
              <w:ind w:left="115"/>
              <w:spacing w:before="24" w:line="219" w:lineRule="auto"/>
              <w:rPr/>
            </w:pPr>
            <w:r>
              <w:rPr>
                <w:color w:val="405050"/>
              </w:rPr>
              <w:t>证书。</w:t>
            </w:r>
          </w:p>
        </w:tc>
      </w:tr>
    </w:tbl>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ind w:left="6374"/>
        <w:spacing w:before="61"/>
        <w:tabs>
          <w:tab w:val="left" w:pos="6675"/>
        </w:tabs>
        <w:rPr/>
      </w:pPr>
      <w:r>
        <w:rPr>
          <w:u w:val="single" w:color="auto"/>
        </w:rPr>
        <w:tab/>
      </w:r>
    </w:p>
    <w:p>
      <w:pPr>
        <w:ind w:left="6415"/>
        <w:spacing w:before="12" w:line="180" w:lineRule="auto"/>
        <w:rPr>
          <w:rFonts w:ascii="Times New Roman" w:hAnsi="Times New Roman" w:eastAsia="Times New Roman" w:cs="Times New Roman"/>
          <w:sz w:val="37"/>
          <w:szCs w:val="37"/>
        </w:rPr>
      </w:pPr>
      <w:r>
        <w:rPr>
          <w:rFonts w:ascii="SimSun" w:hAnsi="SimSun" w:eastAsia="SimSun" w:cs="SimSun"/>
          <w:sz w:val="37"/>
          <w:szCs w:val="37"/>
          <w:spacing w:val="-11"/>
          <w:w w:val="58"/>
        </w:rPr>
        <w:t>—</w:t>
      </w:r>
      <w:r>
        <w:rPr>
          <w:rFonts w:ascii="SimSun" w:hAnsi="SimSun" w:eastAsia="SimSun" w:cs="SimSun"/>
          <w:sz w:val="37"/>
          <w:szCs w:val="37"/>
          <w:spacing w:val="-25"/>
        </w:rPr>
        <w:t xml:space="preserve"> </w:t>
      </w:r>
      <w:r>
        <w:rPr>
          <w:rFonts w:ascii="Times New Roman" w:hAnsi="Times New Roman" w:eastAsia="Times New Roman" w:cs="Times New Roman"/>
          <w:sz w:val="37"/>
          <w:szCs w:val="37"/>
          <w:spacing w:val="-13"/>
          <w:w w:val="99"/>
        </w:rPr>
        <w:t>272—</w:t>
      </w:r>
    </w:p>
    <w:p>
      <w:pPr>
        <w:spacing w:line="180" w:lineRule="auto"/>
        <w:sectPr>
          <w:footerReference w:type="default" r:id="rId24"/>
          <w:pgSz w:w="16830" w:h="11900"/>
          <w:pgMar w:top="1011" w:right="1445" w:bottom="400" w:left="1405" w:header="0" w:footer="0" w:gutter="0"/>
        </w:sectPr>
        <w:rPr>
          <w:rFonts w:ascii="Times New Roman" w:hAnsi="Times New Roman" w:eastAsia="Times New Roman" w:cs="Times New Roman"/>
          <w:sz w:val="37"/>
          <w:szCs w:val="37"/>
        </w:rPr>
      </w:pPr>
    </w:p>
    <w:p>
      <w:pPr>
        <w:pStyle w:val="BodyText"/>
        <w:spacing w:line="259" w:lineRule="auto"/>
        <w:rPr/>
      </w:pPr>
      <w:r/>
    </w:p>
    <w:p>
      <w:pPr>
        <w:pStyle w:val="BodyText"/>
        <w:spacing w:line="259" w:lineRule="auto"/>
        <w:rPr/>
      </w:pPr>
      <w:r/>
    </w:p>
    <w:p>
      <w:pPr>
        <w:pStyle w:val="BodyText"/>
        <w:spacing w:line="259" w:lineRule="auto"/>
        <w:rPr/>
      </w:pPr>
      <w:r/>
    </w:p>
    <w:p>
      <w:pPr>
        <w:ind w:left="789"/>
        <w:spacing w:before="98" w:line="219" w:lineRule="auto"/>
        <w:outlineLvl w:val="1"/>
        <w:rPr>
          <w:rFonts w:ascii="FangSong" w:hAnsi="FangSong" w:eastAsia="FangSong" w:cs="FangSong"/>
          <w:sz w:val="30"/>
          <w:szCs w:val="30"/>
        </w:rPr>
      </w:pPr>
      <w:bookmarkStart w:name="bookmark907" w:id="270"/>
      <w:bookmarkEnd w:id="270"/>
      <w:bookmarkStart w:name="bookmark186" w:id="271"/>
      <w:bookmarkEnd w:id="271"/>
      <w:r>
        <w:rPr>
          <w:rFonts w:ascii="FangSong" w:hAnsi="FangSong" w:eastAsia="FangSong" w:cs="FangSong"/>
          <w:sz w:val="30"/>
          <w:szCs w:val="30"/>
          <w:b/>
          <w:bCs/>
          <w:spacing w:val="21"/>
        </w:rPr>
        <w:t>第一百八十六条医师在执业活动中隐匿、伪</w:t>
      </w:r>
      <w:r>
        <w:rPr>
          <w:rFonts w:ascii="FangSong" w:hAnsi="FangSong" w:eastAsia="FangSong" w:cs="FangSong"/>
          <w:sz w:val="30"/>
          <w:szCs w:val="30"/>
          <w:b/>
          <w:bCs/>
          <w:spacing w:val="20"/>
        </w:rPr>
        <w:t>造、篡改或者擅自销毁病历等医学文书及有关资料</w:t>
      </w:r>
    </w:p>
    <w:p>
      <w:pPr>
        <w:ind w:left="934"/>
        <w:spacing w:before="103" w:line="222" w:lineRule="auto"/>
        <w:rPr>
          <w:rFonts w:ascii="FangSong" w:hAnsi="FangSong" w:eastAsia="FangSong" w:cs="FangSong"/>
          <w:sz w:val="30"/>
          <w:szCs w:val="30"/>
        </w:rPr>
      </w:pPr>
      <w:r>
        <w:rPr>
          <w:rFonts w:ascii="FangSong" w:hAnsi="FangSong" w:eastAsia="FangSong" w:cs="FangSong"/>
          <w:sz w:val="30"/>
          <w:szCs w:val="30"/>
        </w:rPr>
        <w:t>法律依据：</w:t>
      </w:r>
    </w:p>
    <w:p>
      <w:pPr>
        <w:ind w:left="134" w:right="21" w:firstLine="599"/>
        <w:spacing w:before="84" w:line="271" w:lineRule="auto"/>
        <w:jc w:val="both"/>
        <w:rPr>
          <w:rFonts w:ascii="FangSong" w:hAnsi="FangSong" w:eastAsia="FangSong" w:cs="FangSong"/>
          <w:sz w:val="30"/>
          <w:szCs w:val="30"/>
        </w:rPr>
      </w:pPr>
      <w:r>
        <w:rPr>
          <w:rFonts w:ascii="FangSong" w:hAnsi="FangSong" w:eastAsia="FangSong" w:cs="FangSong"/>
          <w:sz w:val="30"/>
          <w:szCs w:val="30"/>
          <w:spacing w:val="24"/>
        </w:rPr>
        <w:t>《中华人民共和国医师法》第五十六条第(三</w:t>
      </w:r>
      <w:r>
        <w:rPr>
          <w:rFonts w:ascii="FangSong" w:hAnsi="FangSong" w:eastAsia="FangSong" w:cs="FangSong"/>
          <w:sz w:val="30"/>
          <w:szCs w:val="30"/>
          <w:spacing w:val="23"/>
        </w:rPr>
        <w:t>)项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违反本法规定，医师在执业活动中有下列行</w:t>
      </w:r>
      <w:r>
        <w:rPr>
          <w:rFonts w:ascii="FangSong" w:hAnsi="FangSong" w:eastAsia="FangSong" w:cs="FangSong"/>
          <w:sz w:val="30"/>
          <w:szCs w:val="30"/>
        </w:rPr>
        <w:t xml:space="preserve"> </w:t>
      </w:r>
      <w:r>
        <w:rPr>
          <w:rFonts w:ascii="FangSong" w:hAnsi="FangSong" w:eastAsia="FangSong" w:cs="FangSong"/>
          <w:sz w:val="30"/>
          <w:szCs w:val="30"/>
          <w:spacing w:val="17"/>
        </w:rPr>
        <w:t>为之一的，由县级以上人民政府卫生健康主管部门责令改正，给予警</w:t>
      </w:r>
      <w:r>
        <w:rPr>
          <w:rFonts w:ascii="FangSong" w:hAnsi="FangSong" w:eastAsia="FangSong" w:cs="FangSong"/>
          <w:sz w:val="30"/>
          <w:szCs w:val="30"/>
          <w:spacing w:val="16"/>
        </w:rPr>
        <w:t>告，没收违法所得，并处一万元</w:t>
      </w:r>
      <w:r>
        <w:rPr>
          <w:rFonts w:ascii="FangSong" w:hAnsi="FangSong" w:eastAsia="FangSong" w:cs="FangSong"/>
          <w:sz w:val="30"/>
          <w:szCs w:val="30"/>
        </w:rPr>
        <w:t xml:space="preserve"> </w:t>
      </w:r>
      <w:r>
        <w:rPr>
          <w:rFonts w:ascii="FangSong" w:hAnsi="FangSong" w:eastAsia="FangSong" w:cs="FangSong"/>
          <w:sz w:val="30"/>
          <w:szCs w:val="30"/>
          <w:spacing w:val="11"/>
        </w:rPr>
        <w:t>以上三万元以下的罚款；情节严重的，责令暂停六个月以上一年以下执业活动直至吊销医师执业证书：</w:t>
      </w:r>
    </w:p>
    <w:p>
      <w:pPr>
        <w:ind w:left="884"/>
        <w:spacing w:line="220" w:lineRule="auto"/>
        <w:rPr>
          <w:rFonts w:ascii="FangSong" w:hAnsi="FangSong" w:eastAsia="FangSong" w:cs="FangSong"/>
          <w:sz w:val="30"/>
          <w:szCs w:val="30"/>
        </w:rPr>
      </w:pPr>
      <w:r>
        <w:rPr>
          <w:rFonts w:ascii="FangSong" w:hAnsi="FangSong" w:eastAsia="FangSong" w:cs="FangSong"/>
          <w:sz w:val="30"/>
          <w:szCs w:val="30"/>
          <w:spacing w:val="23"/>
        </w:rPr>
        <w:t>(三)隐匿、伪造、篡改或者擅自销毁病历等医学文书及有关资</w:t>
      </w:r>
      <w:r>
        <w:rPr>
          <w:rFonts w:ascii="FangSong" w:hAnsi="FangSong" w:eastAsia="FangSong" w:cs="FangSong"/>
          <w:sz w:val="30"/>
          <w:szCs w:val="30"/>
          <w:spacing w:val="22"/>
        </w:rPr>
        <w:t>料；</w:t>
      </w:r>
    </w:p>
    <w:p>
      <w:pPr>
        <w:ind w:left="6528"/>
        <w:spacing w:before="5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34" w:lineRule="auto"/>
        <w:rPr>
          <w:rFonts w:ascii="Arial"/>
          <w:sz w:val="2"/>
        </w:rPr>
      </w:pPr>
      <w:r>
        <w:rPr>
          <w:rFonts w:ascii="Arial"/>
          <w:sz w:val="2"/>
        </w:rPr>
      </w:r>
    </w:p>
    <w:tbl>
      <w:tblPr>
        <w:tblStyle w:val="TableNormal"/>
        <w:tblW w:w="14157"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7045"/>
        <w:gridCol w:w="5698"/>
      </w:tblGrid>
      <w:tr>
        <w:trPr>
          <w:trHeight w:val="414" w:hRule="atLeast"/>
        </w:trPr>
        <w:tc>
          <w:tcPr>
            <w:tcW w:w="1414" w:type="dxa"/>
            <w:vAlign w:val="top"/>
          </w:tcPr>
          <w:p>
            <w:pPr>
              <w:pStyle w:val="TableText"/>
              <w:ind w:left="198"/>
              <w:spacing w:before="82" w:line="220" w:lineRule="auto"/>
              <w:rPr>
                <w:sz w:val="25"/>
                <w:szCs w:val="25"/>
              </w:rPr>
            </w:pPr>
            <w:r>
              <w:rPr>
                <w:sz w:val="25"/>
                <w:szCs w:val="25"/>
                <w:b/>
                <w:bCs/>
                <w:spacing w:val="-5"/>
              </w:rPr>
              <w:t>违法程度</w:t>
            </w:r>
          </w:p>
        </w:tc>
        <w:tc>
          <w:tcPr>
            <w:tcW w:w="7045" w:type="dxa"/>
            <w:vAlign w:val="top"/>
          </w:tcPr>
          <w:p>
            <w:pPr>
              <w:pStyle w:val="TableText"/>
              <w:ind w:left="3014"/>
              <w:spacing w:before="82" w:line="220" w:lineRule="auto"/>
              <w:rPr>
                <w:sz w:val="25"/>
                <w:szCs w:val="25"/>
              </w:rPr>
            </w:pPr>
            <w:r>
              <w:rPr>
                <w:sz w:val="25"/>
                <w:szCs w:val="25"/>
                <w:b/>
                <w:bCs/>
                <w:spacing w:val="-5"/>
              </w:rPr>
              <w:t>违法后果</w:t>
            </w:r>
          </w:p>
        </w:tc>
        <w:tc>
          <w:tcPr>
            <w:tcW w:w="5698" w:type="dxa"/>
            <w:vAlign w:val="top"/>
          </w:tcPr>
          <w:p>
            <w:pPr>
              <w:pStyle w:val="TableText"/>
              <w:ind w:left="2339"/>
              <w:spacing w:before="79" w:line="218" w:lineRule="auto"/>
              <w:rPr>
                <w:sz w:val="25"/>
                <w:szCs w:val="25"/>
              </w:rPr>
            </w:pPr>
            <w:r>
              <w:rPr>
                <w:sz w:val="25"/>
                <w:szCs w:val="25"/>
                <w:b/>
                <w:bCs/>
                <w:spacing w:val="-5"/>
              </w:rPr>
              <w:t>裁量幅度</w:t>
            </w:r>
          </w:p>
        </w:tc>
      </w:tr>
      <w:tr>
        <w:trPr>
          <w:trHeight w:val="907" w:hRule="atLeast"/>
        </w:trPr>
        <w:tc>
          <w:tcPr>
            <w:tcW w:w="1414" w:type="dxa"/>
            <w:vAlign w:val="top"/>
          </w:tcPr>
          <w:p>
            <w:pPr>
              <w:spacing w:line="246" w:lineRule="auto"/>
              <w:rPr>
                <w:rFonts w:ascii="Arial"/>
                <w:sz w:val="21"/>
              </w:rPr>
            </w:pPr>
            <w:r/>
          </w:p>
          <w:p>
            <w:pPr>
              <w:pStyle w:val="TableText"/>
              <w:ind w:left="448"/>
              <w:spacing w:before="81" w:line="221" w:lineRule="auto"/>
              <w:rPr>
                <w:sz w:val="25"/>
                <w:szCs w:val="25"/>
              </w:rPr>
            </w:pPr>
            <w:r>
              <w:rPr>
                <w:sz w:val="25"/>
                <w:szCs w:val="25"/>
                <w:b/>
                <w:bCs/>
                <w:spacing w:val="-10"/>
              </w:rPr>
              <w:t>一般</w:t>
            </w:r>
          </w:p>
        </w:tc>
        <w:tc>
          <w:tcPr>
            <w:tcW w:w="7045" w:type="dxa"/>
            <w:vAlign w:val="top"/>
          </w:tcPr>
          <w:p>
            <w:pPr>
              <w:pStyle w:val="TableText"/>
              <w:ind w:left="140" w:right="10" w:hanging="130"/>
              <w:spacing w:before="171" w:line="268" w:lineRule="auto"/>
              <w:rPr>
                <w:sz w:val="25"/>
                <w:szCs w:val="25"/>
              </w:rPr>
            </w:pPr>
            <w:r>
              <w:rPr>
                <w:sz w:val="25"/>
                <w:szCs w:val="25"/>
              </w:rPr>
              <w:t>医师在执业活动中隐匿、伪造、篡改或者擅自销毁病历等医学文</w:t>
            </w:r>
            <w:r>
              <w:rPr>
                <w:sz w:val="25"/>
                <w:szCs w:val="25"/>
                <w:spacing w:val="12"/>
              </w:rPr>
              <w:t xml:space="preserve"> </w:t>
            </w:r>
            <w:r>
              <w:rPr>
                <w:sz w:val="25"/>
                <w:szCs w:val="25"/>
                <w:spacing w:val="1"/>
              </w:rPr>
              <w:t>书及有关资料，首次发生且情节轻微的</w:t>
            </w:r>
          </w:p>
        </w:tc>
        <w:tc>
          <w:tcPr>
            <w:tcW w:w="5698" w:type="dxa"/>
            <w:vAlign w:val="top"/>
          </w:tcPr>
          <w:p>
            <w:pPr>
              <w:pStyle w:val="TableText"/>
              <w:ind w:left="114" w:hanging="99"/>
              <w:spacing w:before="160" w:line="272" w:lineRule="auto"/>
              <w:rPr>
                <w:sz w:val="25"/>
                <w:szCs w:val="25"/>
              </w:rPr>
            </w:pPr>
            <w:r>
              <w:rPr>
                <w:sz w:val="25"/>
                <w:szCs w:val="25"/>
                <w:spacing w:val="-4"/>
              </w:rPr>
              <w:t>责令改正，给予警告，没收违法所得，并处一万元以</w:t>
            </w:r>
            <w:r>
              <w:rPr>
                <w:sz w:val="25"/>
                <w:szCs w:val="25"/>
                <w:spacing w:val="13"/>
              </w:rPr>
              <w:t xml:space="preserve"> </w:t>
            </w:r>
            <w:r>
              <w:rPr>
                <w:sz w:val="25"/>
                <w:szCs w:val="25"/>
              </w:rPr>
              <w:t>上两万元以下的罚款</w:t>
            </w:r>
          </w:p>
        </w:tc>
      </w:tr>
      <w:tr>
        <w:trPr>
          <w:trHeight w:val="868" w:hRule="atLeast"/>
        </w:trPr>
        <w:tc>
          <w:tcPr>
            <w:tcW w:w="1414" w:type="dxa"/>
            <w:vAlign w:val="top"/>
          </w:tcPr>
          <w:p>
            <w:pPr>
              <w:pStyle w:val="TableText"/>
              <w:ind w:left="448"/>
              <w:spacing w:before="314" w:line="221" w:lineRule="auto"/>
              <w:rPr>
                <w:sz w:val="25"/>
                <w:szCs w:val="25"/>
              </w:rPr>
            </w:pPr>
            <w:r>
              <w:rPr>
                <w:sz w:val="25"/>
                <w:szCs w:val="25"/>
                <w:b/>
                <w:bCs/>
                <w:spacing w:val="-6"/>
              </w:rPr>
              <w:t>较重</w:t>
            </w:r>
          </w:p>
        </w:tc>
        <w:tc>
          <w:tcPr>
            <w:tcW w:w="7045" w:type="dxa"/>
            <w:vAlign w:val="top"/>
          </w:tcPr>
          <w:p>
            <w:pPr>
              <w:pStyle w:val="TableText"/>
              <w:ind w:left="140" w:right="10" w:hanging="130"/>
              <w:spacing w:before="134" w:line="267" w:lineRule="auto"/>
              <w:rPr>
                <w:sz w:val="25"/>
                <w:szCs w:val="25"/>
              </w:rPr>
            </w:pPr>
            <w:r>
              <w:rPr>
                <w:sz w:val="25"/>
                <w:szCs w:val="25"/>
              </w:rPr>
              <w:t>医师在执业活动中隐匿、伪造、篡改或者擅自销毁病历等医学文</w:t>
            </w:r>
            <w:r>
              <w:rPr>
                <w:sz w:val="25"/>
                <w:szCs w:val="25"/>
                <w:spacing w:val="12"/>
              </w:rPr>
              <w:t xml:space="preserve"> </w:t>
            </w:r>
            <w:r>
              <w:rPr>
                <w:sz w:val="25"/>
                <w:szCs w:val="25"/>
                <w:spacing w:val="1"/>
              </w:rPr>
              <w:t>书及有关资料，首次发生且情节较重的</w:t>
            </w:r>
          </w:p>
        </w:tc>
        <w:tc>
          <w:tcPr>
            <w:tcW w:w="5698" w:type="dxa"/>
            <w:vAlign w:val="top"/>
          </w:tcPr>
          <w:p>
            <w:pPr>
              <w:pStyle w:val="TableText"/>
              <w:ind w:left="124" w:hanging="109"/>
              <w:spacing w:before="132" w:line="268" w:lineRule="auto"/>
              <w:rPr>
                <w:sz w:val="25"/>
                <w:szCs w:val="25"/>
              </w:rPr>
            </w:pPr>
            <w:r>
              <w:rPr>
                <w:sz w:val="25"/>
                <w:szCs w:val="25"/>
                <w:spacing w:val="-4"/>
              </w:rPr>
              <w:t>责令改正，给予警告，没收违法所得，并处两万元以</w:t>
            </w:r>
            <w:r>
              <w:rPr>
                <w:sz w:val="25"/>
                <w:szCs w:val="25"/>
                <w:spacing w:val="13"/>
              </w:rPr>
              <w:t xml:space="preserve"> </w:t>
            </w:r>
            <w:r>
              <w:rPr>
                <w:sz w:val="25"/>
                <w:szCs w:val="25"/>
              </w:rPr>
              <w:t>上三万元以下的罚款</w:t>
            </w:r>
          </w:p>
        </w:tc>
      </w:tr>
      <w:tr>
        <w:trPr>
          <w:trHeight w:val="878" w:hRule="atLeast"/>
        </w:trPr>
        <w:tc>
          <w:tcPr>
            <w:tcW w:w="1414" w:type="dxa"/>
            <w:vAlign w:val="top"/>
          </w:tcPr>
          <w:p>
            <w:pPr>
              <w:rPr>
                <w:rFonts w:ascii="Arial"/>
                <w:sz w:val="21"/>
              </w:rPr>
            </w:pPr>
            <w:r/>
          </w:p>
          <w:p>
            <w:pPr>
              <w:pStyle w:val="TableText"/>
              <w:ind w:left="448"/>
              <w:spacing w:before="82" w:line="220" w:lineRule="auto"/>
              <w:rPr>
                <w:sz w:val="25"/>
                <w:szCs w:val="25"/>
              </w:rPr>
            </w:pPr>
            <w:r>
              <w:rPr>
                <w:sz w:val="25"/>
                <w:szCs w:val="25"/>
                <w:b/>
                <w:bCs/>
                <w:spacing w:val="-6"/>
              </w:rPr>
              <w:t>严重</w:t>
            </w:r>
          </w:p>
        </w:tc>
        <w:tc>
          <w:tcPr>
            <w:tcW w:w="7045" w:type="dxa"/>
            <w:vAlign w:val="top"/>
          </w:tcPr>
          <w:p>
            <w:pPr>
              <w:pStyle w:val="TableText"/>
              <w:ind w:left="140" w:right="10" w:hanging="130"/>
              <w:spacing w:before="136" w:line="270" w:lineRule="auto"/>
              <w:rPr>
                <w:sz w:val="25"/>
                <w:szCs w:val="25"/>
              </w:rPr>
            </w:pPr>
            <w:r>
              <w:rPr>
                <w:sz w:val="25"/>
                <w:szCs w:val="25"/>
              </w:rPr>
              <w:t>医师在执业活动中隐匿、伪造、篡改或者擅自销毁病历等医学文</w:t>
            </w:r>
            <w:r>
              <w:rPr>
                <w:sz w:val="25"/>
                <w:szCs w:val="25"/>
                <w:spacing w:val="12"/>
              </w:rPr>
              <w:t xml:space="preserve"> </w:t>
            </w:r>
            <w:r>
              <w:rPr>
                <w:sz w:val="25"/>
                <w:szCs w:val="25"/>
                <w:spacing w:val="1"/>
              </w:rPr>
              <w:t>书及有关资料，经处罚再次发现有该行为的</w:t>
            </w:r>
          </w:p>
        </w:tc>
        <w:tc>
          <w:tcPr>
            <w:tcW w:w="5698" w:type="dxa"/>
            <w:vAlign w:val="top"/>
          </w:tcPr>
          <w:p>
            <w:pPr>
              <w:pStyle w:val="TableText"/>
              <w:ind w:left="134" w:hanging="119"/>
              <w:spacing w:before="134" w:line="271" w:lineRule="auto"/>
              <w:rPr>
                <w:sz w:val="25"/>
                <w:szCs w:val="25"/>
              </w:rPr>
            </w:pPr>
            <w:r>
              <w:rPr>
                <w:sz w:val="25"/>
                <w:szCs w:val="25"/>
                <w:spacing w:val="-4"/>
              </w:rPr>
              <w:t>责令改正，给予警告，没收违法所得，并处三万元的</w:t>
            </w:r>
            <w:r>
              <w:rPr>
                <w:sz w:val="25"/>
                <w:szCs w:val="25"/>
                <w:spacing w:val="13"/>
              </w:rPr>
              <w:t xml:space="preserve"> </w:t>
            </w:r>
            <w:r>
              <w:rPr>
                <w:sz w:val="25"/>
                <w:szCs w:val="25"/>
              </w:rPr>
              <w:t>罚款，责令暂停六个月以上一年以下执业活动</w:t>
            </w:r>
          </w:p>
        </w:tc>
      </w:tr>
      <w:tr>
        <w:trPr>
          <w:trHeight w:val="873" w:hRule="atLeast"/>
        </w:trPr>
        <w:tc>
          <w:tcPr>
            <w:tcW w:w="1414" w:type="dxa"/>
            <w:vAlign w:val="top"/>
          </w:tcPr>
          <w:p>
            <w:pPr>
              <w:pStyle w:val="TableText"/>
              <w:ind w:left="198"/>
              <w:spacing w:before="314" w:line="219" w:lineRule="auto"/>
              <w:rPr>
                <w:sz w:val="25"/>
                <w:szCs w:val="25"/>
              </w:rPr>
            </w:pPr>
            <w:r>
              <w:rPr>
                <w:sz w:val="25"/>
                <w:szCs w:val="25"/>
                <w:b/>
                <w:bCs/>
                <w:spacing w:val="-5"/>
              </w:rPr>
              <w:t>特别严重</w:t>
            </w:r>
          </w:p>
        </w:tc>
        <w:tc>
          <w:tcPr>
            <w:tcW w:w="7045" w:type="dxa"/>
            <w:vAlign w:val="top"/>
          </w:tcPr>
          <w:p>
            <w:pPr>
              <w:pStyle w:val="TableText"/>
              <w:ind w:left="140" w:right="10" w:hanging="130"/>
              <w:spacing w:before="158" w:line="260" w:lineRule="auto"/>
              <w:rPr>
                <w:sz w:val="25"/>
                <w:szCs w:val="25"/>
              </w:rPr>
            </w:pPr>
            <w:r>
              <w:rPr>
                <w:sz w:val="25"/>
                <w:szCs w:val="25"/>
              </w:rPr>
              <w:t>医师在执业活动中隐匿、伪造、篡改或者擅自销毁病历等医学文</w:t>
            </w:r>
            <w:r>
              <w:rPr>
                <w:sz w:val="25"/>
                <w:szCs w:val="25"/>
                <w:spacing w:val="12"/>
              </w:rPr>
              <w:t xml:space="preserve"> </w:t>
            </w:r>
            <w:r>
              <w:rPr>
                <w:sz w:val="25"/>
                <w:szCs w:val="25"/>
              </w:rPr>
              <w:t>书及有关资料，造成特别严重后果或恶劣社会影响的</w:t>
            </w:r>
          </w:p>
        </w:tc>
        <w:tc>
          <w:tcPr>
            <w:tcW w:w="5698" w:type="dxa"/>
            <w:vAlign w:val="top"/>
          </w:tcPr>
          <w:p>
            <w:pPr>
              <w:pStyle w:val="TableText"/>
              <w:ind w:left="134" w:hanging="119"/>
              <w:spacing w:before="156" w:line="261" w:lineRule="auto"/>
              <w:rPr>
                <w:sz w:val="25"/>
                <w:szCs w:val="25"/>
              </w:rPr>
            </w:pPr>
            <w:r>
              <w:rPr>
                <w:sz w:val="25"/>
                <w:szCs w:val="25"/>
                <w:spacing w:val="-4"/>
              </w:rPr>
              <w:t>责令改正，给予警告，没收违法所得，并处三万元的</w:t>
            </w:r>
            <w:r>
              <w:rPr>
                <w:sz w:val="25"/>
                <w:szCs w:val="25"/>
                <w:spacing w:val="13"/>
              </w:rPr>
              <w:t xml:space="preserve"> </w:t>
            </w:r>
            <w:r>
              <w:rPr>
                <w:sz w:val="25"/>
                <w:szCs w:val="25"/>
                <w:spacing w:val="1"/>
              </w:rPr>
              <w:t>罚款，吊销医师执业证书</w:t>
            </w:r>
          </w:p>
        </w:tc>
      </w:tr>
    </w:tbl>
    <w:p>
      <w:pPr>
        <w:pStyle w:val="BodyText"/>
        <w:rPr/>
      </w:pPr>
      <w:r/>
    </w:p>
    <w:p>
      <w:pPr>
        <w:sectPr>
          <w:footerReference w:type="default" r:id="rId255"/>
          <w:pgSz w:w="16830" w:h="11900"/>
          <w:pgMar w:top="1011" w:right="1337" w:bottom="1131" w:left="1325" w:header="0" w:footer="807" w:gutter="0"/>
        </w:sectPr>
        <w:rPr/>
      </w:pPr>
    </w:p>
    <w:p>
      <w:pPr>
        <w:pStyle w:val="BodyText"/>
        <w:spacing w:line="259" w:lineRule="auto"/>
        <w:rPr/>
      </w:pPr>
      <w:r/>
    </w:p>
    <w:p>
      <w:pPr>
        <w:pStyle w:val="BodyText"/>
        <w:spacing w:line="259" w:lineRule="auto"/>
        <w:rPr/>
      </w:pPr>
      <w:r/>
    </w:p>
    <w:p>
      <w:pPr>
        <w:pStyle w:val="BodyText"/>
        <w:spacing w:line="259" w:lineRule="auto"/>
        <w:rPr/>
      </w:pPr>
      <w:r/>
    </w:p>
    <w:p>
      <w:pPr>
        <w:ind w:left="789"/>
        <w:spacing w:before="98" w:line="219" w:lineRule="auto"/>
        <w:outlineLvl w:val="1"/>
        <w:rPr>
          <w:rFonts w:ascii="FangSong" w:hAnsi="FangSong" w:eastAsia="FangSong" w:cs="FangSong"/>
          <w:sz w:val="30"/>
          <w:szCs w:val="30"/>
        </w:rPr>
      </w:pPr>
      <w:bookmarkStart w:name="bookmark908" w:id="272"/>
      <w:bookmarkEnd w:id="272"/>
      <w:bookmarkStart w:name="bookmark186" w:id="273"/>
      <w:bookmarkEnd w:id="273"/>
      <w:r>
        <w:rPr>
          <w:rFonts w:ascii="FangSong" w:hAnsi="FangSong" w:eastAsia="FangSong" w:cs="FangSong"/>
          <w:sz w:val="30"/>
          <w:szCs w:val="30"/>
          <w:b/>
          <w:bCs/>
          <w:spacing w:val="21"/>
        </w:rPr>
        <w:t>第一百八十七条医师在执业活动中未按照规定使用麻醉药品、医疗用毒性药品、精神药品、放</w:t>
      </w:r>
    </w:p>
    <w:p>
      <w:pPr>
        <w:ind w:left="149"/>
        <w:spacing w:before="94" w:line="220" w:lineRule="auto"/>
        <w:rPr>
          <w:rFonts w:ascii="FangSong" w:hAnsi="FangSong" w:eastAsia="FangSong" w:cs="FangSong"/>
          <w:sz w:val="30"/>
          <w:szCs w:val="30"/>
        </w:rPr>
      </w:pPr>
      <w:r>
        <w:rPr>
          <w:rFonts w:ascii="FangSong" w:hAnsi="FangSong" w:eastAsia="FangSong" w:cs="FangSong"/>
          <w:sz w:val="30"/>
          <w:szCs w:val="30"/>
          <w:b/>
          <w:bCs/>
          <w:spacing w:val="8"/>
        </w:rPr>
        <w:t>射性药品等</w:t>
      </w:r>
    </w:p>
    <w:p>
      <w:pPr>
        <w:ind w:left="785"/>
        <w:spacing w:before="129"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145" w:right="25" w:firstLine="599"/>
        <w:spacing w:before="71" w:line="271" w:lineRule="auto"/>
        <w:jc w:val="both"/>
        <w:rPr>
          <w:rFonts w:ascii="FangSong" w:hAnsi="FangSong" w:eastAsia="FangSong" w:cs="FangSong"/>
          <w:sz w:val="30"/>
          <w:szCs w:val="30"/>
        </w:rPr>
      </w:pPr>
      <w:r>
        <w:rPr>
          <w:rFonts w:ascii="FangSong" w:hAnsi="FangSong" w:eastAsia="FangSong" w:cs="FangSong"/>
          <w:sz w:val="30"/>
          <w:szCs w:val="30"/>
          <w:spacing w:val="24"/>
        </w:rPr>
        <w:t>《中华人民共和国医师法》第五十六条第(四</w:t>
      </w:r>
      <w:r>
        <w:rPr>
          <w:rFonts w:ascii="FangSong" w:hAnsi="FangSong" w:eastAsia="FangSong" w:cs="FangSong"/>
          <w:sz w:val="30"/>
          <w:szCs w:val="30"/>
          <w:spacing w:val="23"/>
        </w:rPr>
        <w:t>)项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违反本法规定，医师在执业活动中有下列行</w:t>
      </w:r>
      <w:r>
        <w:rPr>
          <w:rFonts w:ascii="FangSong" w:hAnsi="FangSong" w:eastAsia="FangSong" w:cs="FangSong"/>
          <w:sz w:val="30"/>
          <w:szCs w:val="30"/>
        </w:rPr>
        <w:t xml:space="preserve"> </w:t>
      </w:r>
      <w:r>
        <w:rPr>
          <w:rFonts w:ascii="FangSong" w:hAnsi="FangSong" w:eastAsia="FangSong" w:cs="FangSong"/>
          <w:sz w:val="30"/>
          <w:szCs w:val="30"/>
          <w:spacing w:val="17"/>
        </w:rPr>
        <w:t>为之一的，由县级以上人民政府卫生健康主管部门责令改正，给予警告，没收违法所得，并</w:t>
      </w:r>
      <w:r>
        <w:rPr>
          <w:rFonts w:ascii="FangSong" w:hAnsi="FangSong" w:eastAsia="FangSong" w:cs="FangSong"/>
          <w:sz w:val="30"/>
          <w:szCs w:val="30"/>
          <w:spacing w:val="16"/>
        </w:rPr>
        <w:t>处一万元</w:t>
      </w:r>
      <w:r>
        <w:rPr>
          <w:rFonts w:ascii="FangSong" w:hAnsi="FangSong" w:eastAsia="FangSong" w:cs="FangSong"/>
          <w:sz w:val="30"/>
          <w:szCs w:val="30"/>
        </w:rPr>
        <w:t xml:space="preserve"> </w:t>
      </w:r>
      <w:r>
        <w:rPr>
          <w:rFonts w:ascii="FangSong" w:hAnsi="FangSong" w:eastAsia="FangSong" w:cs="FangSong"/>
          <w:sz w:val="30"/>
          <w:szCs w:val="30"/>
          <w:spacing w:val="11"/>
        </w:rPr>
        <w:t>以上三万元以下的罚款；情节严重的，责令暂停六个月以上一年以下执业活动直至吊销医师执业证书：</w:t>
      </w:r>
    </w:p>
    <w:p>
      <w:pPr>
        <w:ind w:left="905"/>
        <w:spacing w:line="220" w:lineRule="auto"/>
        <w:rPr>
          <w:rFonts w:ascii="FangSong" w:hAnsi="FangSong" w:eastAsia="FangSong" w:cs="FangSong"/>
          <w:sz w:val="30"/>
          <w:szCs w:val="30"/>
        </w:rPr>
      </w:pPr>
      <w:r>
        <w:rPr>
          <w:rFonts w:ascii="FangSong" w:hAnsi="FangSong" w:eastAsia="FangSong" w:cs="FangSong"/>
          <w:sz w:val="30"/>
          <w:szCs w:val="30"/>
          <w:spacing w:val="22"/>
        </w:rPr>
        <w:t>(四)未按照规定使用麻醉药品、医疗用毒性药品、精神药品、放射性药品等；</w:t>
      </w:r>
    </w:p>
    <w:p>
      <w:pPr>
        <w:ind w:left="6539"/>
        <w:spacing w:before="54" w:line="220" w:lineRule="auto"/>
        <w:rPr>
          <w:rFonts w:ascii="SimSun" w:hAnsi="SimSun" w:eastAsia="SimSun" w:cs="SimSun"/>
          <w:sz w:val="29"/>
          <w:szCs w:val="29"/>
        </w:rPr>
      </w:pPr>
      <w:r>
        <w:rPr>
          <w:rFonts w:ascii="SimSun" w:hAnsi="SimSun" w:eastAsia="SimSun" w:cs="SimSun"/>
          <w:sz w:val="29"/>
          <w:szCs w:val="29"/>
          <w:b/>
          <w:bCs/>
          <w:spacing w:val="-6"/>
        </w:rPr>
        <w:t>裁量标准</w:t>
      </w:r>
    </w:p>
    <w:p>
      <w:pPr>
        <w:spacing w:line="15" w:lineRule="auto"/>
        <w:rPr>
          <w:rFonts w:ascii="Arial"/>
          <w:sz w:val="2"/>
        </w:rPr>
      </w:pPr>
      <w:r>
        <w:rPr>
          <w:rFonts w:ascii="Arial"/>
          <w:sz w:val="2"/>
        </w:rPr>
      </w:r>
    </w:p>
    <w:tbl>
      <w:tblPr>
        <w:tblStyle w:val="TableNormal"/>
        <w:tblW w:w="14161"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5616"/>
        <w:gridCol w:w="7121"/>
      </w:tblGrid>
      <w:tr>
        <w:trPr>
          <w:trHeight w:val="454" w:hRule="atLeast"/>
        </w:trPr>
        <w:tc>
          <w:tcPr>
            <w:tcW w:w="1424" w:type="dxa"/>
            <w:vAlign w:val="top"/>
          </w:tcPr>
          <w:p>
            <w:pPr>
              <w:pStyle w:val="TableText"/>
              <w:ind w:left="208"/>
              <w:spacing w:before="102" w:line="220" w:lineRule="auto"/>
              <w:rPr>
                <w:sz w:val="25"/>
                <w:szCs w:val="25"/>
              </w:rPr>
            </w:pPr>
            <w:r>
              <w:rPr>
                <w:sz w:val="25"/>
                <w:szCs w:val="25"/>
                <w:b/>
                <w:bCs/>
                <w:spacing w:val="-5"/>
              </w:rPr>
              <w:t>违法程度</w:t>
            </w:r>
          </w:p>
        </w:tc>
        <w:tc>
          <w:tcPr>
            <w:tcW w:w="5616" w:type="dxa"/>
            <w:vAlign w:val="top"/>
          </w:tcPr>
          <w:p>
            <w:pPr>
              <w:pStyle w:val="TableText"/>
              <w:ind w:left="2304"/>
              <w:spacing w:before="102" w:line="220" w:lineRule="auto"/>
              <w:rPr>
                <w:sz w:val="25"/>
                <w:szCs w:val="25"/>
              </w:rPr>
            </w:pPr>
            <w:r>
              <w:rPr>
                <w:sz w:val="25"/>
                <w:szCs w:val="25"/>
                <w:b/>
                <w:bCs/>
                <w:spacing w:val="-5"/>
              </w:rPr>
              <w:t>违法后果</w:t>
            </w:r>
          </w:p>
        </w:tc>
        <w:tc>
          <w:tcPr>
            <w:tcW w:w="7121" w:type="dxa"/>
            <w:vAlign w:val="top"/>
          </w:tcPr>
          <w:p>
            <w:pPr>
              <w:pStyle w:val="TableText"/>
              <w:ind w:left="3058"/>
              <w:spacing w:before="99" w:line="218" w:lineRule="auto"/>
              <w:rPr>
                <w:sz w:val="25"/>
                <w:szCs w:val="25"/>
              </w:rPr>
            </w:pPr>
            <w:r>
              <w:rPr>
                <w:sz w:val="25"/>
                <w:szCs w:val="25"/>
                <w:b/>
                <w:bCs/>
                <w:spacing w:val="-5"/>
              </w:rPr>
              <w:t>裁量幅度</w:t>
            </w:r>
          </w:p>
        </w:tc>
      </w:tr>
      <w:tr>
        <w:trPr>
          <w:trHeight w:val="788" w:hRule="atLeast"/>
        </w:trPr>
        <w:tc>
          <w:tcPr>
            <w:tcW w:w="1424" w:type="dxa"/>
            <w:vAlign w:val="top"/>
          </w:tcPr>
          <w:p>
            <w:pPr>
              <w:pStyle w:val="TableText"/>
              <w:ind w:left="458"/>
              <w:spacing w:before="269" w:line="221" w:lineRule="auto"/>
              <w:rPr>
                <w:sz w:val="25"/>
                <w:szCs w:val="25"/>
              </w:rPr>
            </w:pPr>
            <w:r>
              <w:rPr>
                <w:sz w:val="25"/>
                <w:szCs w:val="25"/>
                <w:b/>
                <w:bCs/>
                <w:spacing w:val="-10"/>
              </w:rPr>
              <w:t>一般</w:t>
            </w:r>
          </w:p>
        </w:tc>
        <w:tc>
          <w:tcPr>
            <w:tcW w:w="5616" w:type="dxa"/>
            <w:vAlign w:val="top"/>
          </w:tcPr>
          <w:p>
            <w:pPr>
              <w:pStyle w:val="TableText"/>
              <w:ind w:left="120" w:hanging="69"/>
              <w:spacing w:before="100" w:line="250" w:lineRule="auto"/>
              <w:rPr>
                <w:sz w:val="25"/>
                <w:szCs w:val="25"/>
              </w:rPr>
            </w:pPr>
            <w:r>
              <w:rPr>
                <w:sz w:val="25"/>
                <w:szCs w:val="25"/>
                <w:spacing w:val="2"/>
              </w:rPr>
              <w:t>医师不按照规定使用麻醉药品、医疗用毒性药品、</w:t>
            </w:r>
            <w:r>
              <w:rPr>
                <w:sz w:val="25"/>
                <w:szCs w:val="25"/>
                <w:spacing w:val="9"/>
              </w:rPr>
              <w:t xml:space="preserve"> </w:t>
            </w:r>
            <w:r>
              <w:rPr>
                <w:sz w:val="25"/>
                <w:szCs w:val="25"/>
                <w:spacing w:val="-3"/>
              </w:rPr>
              <w:t>精神药品和放射性药品2人次以下</w:t>
            </w:r>
          </w:p>
        </w:tc>
        <w:tc>
          <w:tcPr>
            <w:tcW w:w="7121" w:type="dxa"/>
            <w:vAlign w:val="top"/>
          </w:tcPr>
          <w:p>
            <w:pPr>
              <w:pStyle w:val="TableText"/>
              <w:ind w:left="104" w:hanging="89"/>
              <w:spacing w:before="109" w:line="247" w:lineRule="auto"/>
              <w:rPr>
                <w:sz w:val="25"/>
                <w:szCs w:val="25"/>
              </w:rPr>
            </w:pPr>
            <w:r>
              <w:rPr>
                <w:sz w:val="25"/>
                <w:szCs w:val="25"/>
                <w:spacing w:val="-6"/>
              </w:rPr>
              <w:t>责令改正，给予警告，没收违法所得，并处一万元以上两万元以下</w:t>
            </w:r>
            <w:r>
              <w:rPr>
                <w:sz w:val="25"/>
                <w:szCs w:val="25"/>
                <w:spacing w:val="18"/>
              </w:rPr>
              <w:t xml:space="preserve"> </w:t>
            </w:r>
            <w:r>
              <w:rPr>
                <w:sz w:val="25"/>
                <w:szCs w:val="25"/>
                <w:spacing w:val="3"/>
              </w:rPr>
              <w:t>的罚款</w:t>
            </w:r>
          </w:p>
        </w:tc>
      </w:tr>
      <w:tr>
        <w:trPr>
          <w:trHeight w:val="788" w:hRule="atLeast"/>
        </w:trPr>
        <w:tc>
          <w:tcPr>
            <w:tcW w:w="1424" w:type="dxa"/>
            <w:vAlign w:val="top"/>
          </w:tcPr>
          <w:p>
            <w:pPr>
              <w:pStyle w:val="TableText"/>
              <w:ind w:left="458"/>
              <w:spacing w:before="273" w:line="221" w:lineRule="auto"/>
              <w:rPr>
                <w:sz w:val="25"/>
                <w:szCs w:val="25"/>
              </w:rPr>
            </w:pPr>
            <w:r>
              <w:rPr>
                <w:sz w:val="25"/>
                <w:szCs w:val="25"/>
                <w:b/>
                <w:bCs/>
                <w:spacing w:val="-6"/>
              </w:rPr>
              <w:t>较重</w:t>
            </w:r>
          </w:p>
        </w:tc>
        <w:tc>
          <w:tcPr>
            <w:tcW w:w="5616" w:type="dxa"/>
            <w:vAlign w:val="top"/>
          </w:tcPr>
          <w:p>
            <w:pPr>
              <w:pStyle w:val="TableText"/>
              <w:ind w:left="120" w:hanging="69"/>
              <w:spacing w:before="122" w:line="242" w:lineRule="auto"/>
              <w:rPr>
                <w:sz w:val="25"/>
                <w:szCs w:val="25"/>
              </w:rPr>
            </w:pPr>
            <w:r>
              <w:rPr>
                <w:sz w:val="25"/>
                <w:szCs w:val="25"/>
                <w:spacing w:val="2"/>
              </w:rPr>
              <w:t>医师不按照规定使用麻醉药品、医疗用毒性药品、</w:t>
            </w:r>
            <w:r>
              <w:rPr>
                <w:sz w:val="25"/>
                <w:szCs w:val="25"/>
                <w:spacing w:val="9"/>
              </w:rPr>
              <w:t xml:space="preserve"> </w:t>
            </w:r>
            <w:r>
              <w:rPr>
                <w:sz w:val="25"/>
                <w:szCs w:val="25"/>
                <w:spacing w:val="-4"/>
              </w:rPr>
              <w:t>精神药品和放射性药品3人次以上</w:t>
            </w:r>
          </w:p>
        </w:tc>
        <w:tc>
          <w:tcPr>
            <w:tcW w:w="7121" w:type="dxa"/>
            <w:vAlign w:val="top"/>
          </w:tcPr>
          <w:p>
            <w:pPr>
              <w:pStyle w:val="TableText"/>
              <w:ind w:left="114" w:hanging="99"/>
              <w:spacing w:before="119" w:line="243" w:lineRule="auto"/>
              <w:rPr>
                <w:sz w:val="25"/>
                <w:szCs w:val="25"/>
              </w:rPr>
            </w:pPr>
            <w:r>
              <w:rPr>
                <w:sz w:val="25"/>
                <w:szCs w:val="25"/>
                <w:spacing w:val="-6"/>
              </w:rPr>
              <w:t>责令改正，给予警告，没收违法所得，并处两万元以上三万元以下</w:t>
            </w:r>
            <w:r>
              <w:rPr>
                <w:sz w:val="25"/>
                <w:szCs w:val="25"/>
                <w:spacing w:val="18"/>
              </w:rPr>
              <w:t xml:space="preserve"> </w:t>
            </w:r>
            <w:r>
              <w:rPr>
                <w:sz w:val="25"/>
                <w:szCs w:val="25"/>
                <w:spacing w:val="3"/>
              </w:rPr>
              <w:t>的罚款</w:t>
            </w:r>
          </w:p>
        </w:tc>
      </w:tr>
      <w:tr>
        <w:trPr>
          <w:trHeight w:val="1217" w:hRule="atLeast"/>
        </w:trPr>
        <w:tc>
          <w:tcPr>
            <w:tcW w:w="1424" w:type="dxa"/>
            <w:vAlign w:val="top"/>
          </w:tcPr>
          <w:p>
            <w:pPr>
              <w:spacing w:line="408"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5616" w:type="dxa"/>
            <w:vAlign w:val="top"/>
          </w:tcPr>
          <w:p>
            <w:pPr>
              <w:pStyle w:val="TableText"/>
              <w:ind w:left="110" w:hanging="59"/>
              <w:spacing w:before="126" w:line="266" w:lineRule="auto"/>
              <w:jc w:val="both"/>
              <w:rPr>
                <w:sz w:val="25"/>
                <w:szCs w:val="25"/>
              </w:rPr>
            </w:pPr>
            <w:r>
              <w:rPr>
                <w:sz w:val="25"/>
                <w:szCs w:val="25"/>
                <w:spacing w:val="2"/>
              </w:rPr>
              <w:t>医师不按照规定使用麻醉药品、医疗用毒性药品、</w:t>
            </w:r>
            <w:r>
              <w:rPr>
                <w:sz w:val="25"/>
                <w:szCs w:val="25"/>
                <w:spacing w:val="9"/>
              </w:rPr>
              <w:t xml:space="preserve"> </w:t>
            </w:r>
            <w:r>
              <w:rPr>
                <w:sz w:val="25"/>
                <w:szCs w:val="25"/>
                <w:spacing w:val="-4"/>
              </w:rPr>
              <w:t>精神药品和放射性药品3人次以上，且违法行为有</w:t>
            </w:r>
            <w:r>
              <w:rPr>
                <w:sz w:val="25"/>
                <w:szCs w:val="25"/>
                <w:spacing w:val="5"/>
              </w:rPr>
              <w:t xml:space="preserve">  </w:t>
            </w:r>
            <w:r>
              <w:rPr>
                <w:sz w:val="25"/>
                <w:szCs w:val="25"/>
                <w:spacing w:val="-3"/>
              </w:rPr>
              <w:t>连续或者继续状态3个月以上</w:t>
            </w:r>
          </w:p>
        </w:tc>
        <w:tc>
          <w:tcPr>
            <w:tcW w:w="7121" w:type="dxa"/>
            <w:vAlign w:val="top"/>
          </w:tcPr>
          <w:p>
            <w:pPr>
              <w:pStyle w:val="TableText"/>
              <w:ind w:left="104" w:hanging="89"/>
              <w:spacing w:before="322" w:line="299" w:lineRule="auto"/>
              <w:rPr>
                <w:sz w:val="25"/>
                <w:szCs w:val="25"/>
              </w:rPr>
            </w:pPr>
            <w:r>
              <w:rPr>
                <w:sz w:val="25"/>
                <w:szCs w:val="25"/>
                <w:spacing w:val="-6"/>
              </w:rPr>
              <w:t>责令改正，给予警告，没收违法所得，并处三万元的罚款，责令暂</w:t>
            </w:r>
            <w:r>
              <w:rPr>
                <w:sz w:val="25"/>
                <w:szCs w:val="25"/>
                <w:spacing w:val="18"/>
              </w:rPr>
              <w:t xml:space="preserve"> </w:t>
            </w:r>
            <w:r>
              <w:rPr>
                <w:sz w:val="25"/>
                <w:szCs w:val="25"/>
                <w:spacing w:val="1"/>
              </w:rPr>
              <w:t>停六个月以上一年以下执业活动</w:t>
            </w:r>
          </w:p>
        </w:tc>
      </w:tr>
      <w:tr>
        <w:trPr>
          <w:trHeight w:val="1192" w:hRule="atLeast"/>
        </w:trPr>
        <w:tc>
          <w:tcPr>
            <w:tcW w:w="1424" w:type="dxa"/>
            <w:vAlign w:val="top"/>
          </w:tcPr>
          <w:p>
            <w:pPr>
              <w:spacing w:line="391" w:lineRule="auto"/>
              <w:rPr>
                <w:rFonts w:ascii="Arial"/>
                <w:sz w:val="21"/>
              </w:rPr>
            </w:pPr>
            <w:r/>
          </w:p>
          <w:p>
            <w:pPr>
              <w:pStyle w:val="TableText"/>
              <w:ind w:left="208"/>
              <w:spacing w:before="81" w:line="219" w:lineRule="auto"/>
              <w:rPr>
                <w:sz w:val="25"/>
                <w:szCs w:val="25"/>
              </w:rPr>
            </w:pPr>
            <w:r>
              <w:rPr>
                <w:sz w:val="25"/>
                <w:szCs w:val="25"/>
                <w:b/>
                <w:bCs/>
                <w:spacing w:val="-5"/>
              </w:rPr>
              <w:t>特别严重</w:t>
            </w:r>
          </w:p>
        </w:tc>
        <w:tc>
          <w:tcPr>
            <w:tcW w:w="5616" w:type="dxa"/>
            <w:vAlign w:val="top"/>
          </w:tcPr>
          <w:p>
            <w:pPr>
              <w:pStyle w:val="TableText"/>
              <w:ind w:left="51"/>
              <w:spacing w:before="117" w:line="262" w:lineRule="auto"/>
              <w:jc w:val="both"/>
              <w:rPr>
                <w:sz w:val="25"/>
                <w:szCs w:val="25"/>
              </w:rPr>
            </w:pPr>
            <w:r>
              <w:rPr>
                <w:sz w:val="25"/>
                <w:szCs w:val="25"/>
                <w:spacing w:val="2"/>
              </w:rPr>
              <w:t>医师不按照规定使用麻醉药品、医疗用毒性药品、</w:t>
            </w:r>
            <w:r>
              <w:rPr>
                <w:sz w:val="25"/>
                <w:szCs w:val="25"/>
                <w:spacing w:val="9"/>
              </w:rPr>
              <w:t xml:space="preserve"> </w:t>
            </w:r>
            <w:r>
              <w:rPr>
                <w:sz w:val="25"/>
                <w:szCs w:val="25"/>
                <w:spacing w:val="-3"/>
              </w:rPr>
              <w:t>精神药品和放射性药品，给患者造成特别严重后果</w:t>
            </w:r>
            <w:r>
              <w:rPr>
                <w:sz w:val="25"/>
                <w:szCs w:val="25"/>
                <w:spacing w:val="5"/>
              </w:rPr>
              <w:t xml:space="preserve">  </w:t>
            </w:r>
            <w:r>
              <w:rPr>
                <w:sz w:val="25"/>
                <w:szCs w:val="25"/>
                <w:spacing w:val="7"/>
              </w:rPr>
              <w:t>或恶劣社会影响的</w:t>
            </w:r>
          </w:p>
        </w:tc>
        <w:tc>
          <w:tcPr>
            <w:tcW w:w="7121" w:type="dxa"/>
            <w:vAlign w:val="top"/>
          </w:tcPr>
          <w:p>
            <w:pPr>
              <w:pStyle w:val="TableText"/>
              <w:ind w:left="104" w:hanging="89"/>
              <w:spacing w:before="305" w:line="298" w:lineRule="auto"/>
              <w:rPr>
                <w:sz w:val="25"/>
                <w:szCs w:val="25"/>
              </w:rPr>
            </w:pPr>
            <w:r>
              <w:rPr>
                <w:sz w:val="25"/>
                <w:szCs w:val="25"/>
                <w:spacing w:val="-6"/>
              </w:rPr>
              <w:t>责令改正，给予警告，没收违法所得，并处三万元的罚款，吊销医</w:t>
            </w:r>
            <w:r>
              <w:rPr>
                <w:sz w:val="25"/>
                <w:szCs w:val="25"/>
                <w:spacing w:val="18"/>
              </w:rPr>
              <w:t xml:space="preserve"> </w:t>
            </w:r>
            <w:r>
              <w:rPr>
                <w:sz w:val="25"/>
                <w:szCs w:val="25"/>
                <w:spacing w:val="2"/>
              </w:rPr>
              <w:t>师执业证书</w:t>
            </w:r>
          </w:p>
        </w:tc>
      </w:tr>
    </w:tbl>
    <w:p>
      <w:pPr>
        <w:pStyle w:val="BodyText"/>
        <w:rPr/>
      </w:pPr>
      <w:r/>
    </w:p>
    <w:p>
      <w:pPr>
        <w:sectPr>
          <w:footerReference w:type="default" r:id="rId256"/>
          <w:pgSz w:w="16830" w:h="11900"/>
          <w:pgMar w:top="1011" w:right="1343" w:bottom="1131" w:left="1314" w:header="0" w:footer="807" w:gutter="0"/>
        </w:sectPr>
        <w:rPr/>
      </w:pPr>
    </w:p>
    <w:p>
      <w:pPr>
        <w:pStyle w:val="BodyText"/>
        <w:spacing w:line="257" w:lineRule="auto"/>
        <w:rPr/>
      </w:pPr>
      <w:r/>
    </w:p>
    <w:p>
      <w:pPr>
        <w:pStyle w:val="BodyText"/>
        <w:spacing w:line="257" w:lineRule="auto"/>
        <w:rPr/>
      </w:pPr>
      <w:r/>
    </w:p>
    <w:p>
      <w:pPr>
        <w:pStyle w:val="BodyText"/>
        <w:spacing w:line="258" w:lineRule="auto"/>
        <w:rPr/>
      </w:pPr>
      <w:r/>
    </w:p>
    <w:p>
      <w:pPr>
        <w:ind w:left="789"/>
        <w:spacing w:before="97" w:line="220" w:lineRule="auto"/>
        <w:outlineLvl w:val="1"/>
        <w:rPr>
          <w:rFonts w:ascii="KaiTi" w:hAnsi="KaiTi" w:eastAsia="KaiTi" w:cs="KaiTi"/>
          <w:sz w:val="30"/>
          <w:szCs w:val="30"/>
        </w:rPr>
      </w:pPr>
      <w:bookmarkStart w:name="bookmark909" w:id="274"/>
      <w:bookmarkEnd w:id="274"/>
      <w:bookmarkStart w:name="bookmark186" w:id="275"/>
      <w:bookmarkEnd w:id="275"/>
      <w:r>
        <w:rPr>
          <w:rFonts w:ascii="KaiTi" w:hAnsi="KaiTi" w:eastAsia="KaiTi" w:cs="KaiTi"/>
          <w:sz w:val="30"/>
          <w:szCs w:val="30"/>
          <w:b/>
          <w:bCs/>
          <w:spacing w:val="21"/>
        </w:rPr>
        <w:t>第一百八十八条医师在执业活动中利用职务之便，索要、</w:t>
      </w:r>
      <w:r>
        <w:rPr>
          <w:rFonts w:ascii="KaiTi" w:hAnsi="KaiTi" w:eastAsia="KaiTi" w:cs="KaiTi"/>
          <w:sz w:val="30"/>
          <w:szCs w:val="30"/>
          <w:b/>
          <w:bCs/>
          <w:spacing w:val="20"/>
        </w:rPr>
        <w:t>非法收受财物或者牟取其他不正当利</w:t>
      </w:r>
    </w:p>
    <w:p>
      <w:pPr>
        <w:ind w:left="119"/>
        <w:spacing w:before="102" w:line="220" w:lineRule="auto"/>
        <w:rPr>
          <w:rFonts w:ascii="KaiTi" w:hAnsi="KaiTi" w:eastAsia="KaiTi" w:cs="KaiTi"/>
          <w:sz w:val="30"/>
          <w:szCs w:val="30"/>
        </w:rPr>
      </w:pPr>
      <w:r>
        <w:rPr>
          <w:rFonts w:ascii="KaiTi" w:hAnsi="KaiTi" w:eastAsia="KaiTi" w:cs="KaiTi"/>
          <w:sz w:val="30"/>
          <w:szCs w:val="30"/>
          <w:b/>
          <w:bCs/>
          <w:spacing w:val="17"/>
        </w:rPr>
        <w:t>益，或者违反诊疗规范，对患者实施不必要的检查、治疗造成不良后果</w:t>
      </w:r>
    </w:p>
    <w:p>
      <w:pPr>
        <w:ind w:left="774"/>
        <w:spacing w:before="105"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114" w:right="26" w:firstLine="619"/>
        <w:spacing w:before="92" w:line="271" w:lineRule="auto"/>
        <w:jc w:val="both"/>
        <w:rPr>
          <w:rFonts w:ascii="FangSong" w:hAnsi="FangSong" w:eastAsia="FangSong" w:cs="FangSong"/>
          <w:sz w:val="30"/>
          <w:szCs w:val="30"/>
        </w:rPr>
      </w:pPr>
      <w:r>
        <w:rPr>
          <w:rFonts w:ascii="FangSong" w:hAnsi="FangSong" w:eastAsia="FangSong" w:cs="FangSong"/>
          <w:sz w:val="30"/>
          <w:szCs w:val="30"/>
          <w:spacing w:val="24"/>
        </w:rPr>
        <w:t>《中华人民共和国医师法》第五十六条第(五)项</w:t>
      </w:r>
      <w:r>
        <w:rPr>
          <w:rFonts w:ascii="FangSong" w:hAnsi="FangSong" w:eastAsia="FangSong" w:cs="FangSong"/>
          <w:sz w:val="30"/>
          <w:szCs w:val="30"/>
          <w:spacing w:val="24"/>
        </w:rPr>
        <w:t xml:space="preserve">  </w:t>
      </w:r>
      <w:r>
        <w:rPr>
          <w:rFonts w:ascii="FangSong" w:hAnsi="FangSong" w:eastAsia="FangSong" w:cs="FangSong"/>
          <w:sz w:val="30"/>
          <w:szCs w:val="30"/>
          <w:spacing w:val="24"/>
        </w:rPr>
        <w:t>违反本法规定，</w:t>
      </w:r>
      <w:r>
        <w:rPr>
          <w:rFonts w:ascii="FangSong" w:hAnsi="FangSong" w:eastAsia="FangSong" w:cs="FangSong"/>
          <w:sz w:val="30"/>
          <w:szCs w:val="30"/>
          <w:spacing w:val="23"/>
        </w:rPr>
        <w:t>医师在执业活动中有下列行</w:t>
      </w:r>
      <w:r>
        <w:rPr>
          <w:rFonts w:ascii="FangSong" w:hAnsi="FangSong" w:eastAsia="FangSong" w:cs="FangSong"/>
          <w:sz w:val="30"/>
          <w:szCs w:val="30"/>
        </w:rPr>
        <w:t xml:space="preserve"> </w:t>
      </w:r>
      <w:r>
        <w:rPr>
          <w:rFonts w:ascii="FangSong" w:hAnsi="FangSong" w:eastAsia="FangSong" w:cs="FangSong"/>
          <w:sz w:val="30"/>
          <w:szCs w:val="30"/>
          <w:spacing w:val="17"/>
        </w:rPr>
        <w:t>为之一的，由县级以上人民政府卫生健康主管部门责令改正，给予警告，没收违法所得，并</w:t>
      </w:r>
      <w:r>
        <w:rPr>
          <w:rFonts w:ascii="FangSong" w:hAnsi="FangSong" w:eastAsia="FangSong" w:cs="FangSong"/>
          <w:sz w:val="30"/>
          <w:szCs w:val="30"/>
          <w:spacing w:val="16"/>
        </w:rPr>
        <w:t>处一万元</w:t>
      </w:r>
      <w:r>
        <w:rPr>
          <w:rFonts w:ascii="FangSong" w:hAnsi="FangSong" w:eastAsia="FangSong" w:cs="FangSong"/>
          <w:sz w:val="30"/>
          <w:szCs w:val="30"/>
        </w:rPr>
        <w:t xml:space="preserve"> </w:t>
      </w:r>
      <w:r>
        <w:rPr>
          <w:rFonts w:ascii="FangSong" w:hAnsi="FangSong" w:eastAsia="FangSong" w:cs="FangSong"/>
          <w:sz w:val="30"/>
          <w:szCs w:val="30"/>
          <w:spacing w:val="12"/>
        </w:rPr>
        <w:t>以上三万元以下的罚款；情节严重的，责令暂停六个</w:t>
      </w:r>
      <w:r>
        <w:rPr>
          <w:rFonts w:ascii="FangSong" w:hAnsi="FangSong" w:eastAsia="FangSong" w:cs="FangSong"/>
          <w:sz w:val="30"/>
          <w:szCs w:val="30"/>
          <w:spacing w:val="11"/>
        </w:rPr>
        <w:t>月以上一年以下执业活动直至吊销医师执业证书：</w:t>
      </w:r>
    </w:p>
    <w:p>
      <w:pPr>
        <w:ind w:left="114" w:right="94" w:firstLine="769"/>
        <w:spacing w:before="3" w:line="267" w:lineRule="auto"/>
        <w:rPr>
          <w:rFonts w:ascii="FangSong" w:hAnsi="FangSong" w:eastAsia="FangSong" w:cs="FangSong"/>
          <w:sz w:val="30"/>
          <w:szCs w:val="30"/>
        </w:rPr>
      </w:pPr>
      <w:r>
        <w:rPr>
          <w:rFonts w:ascii="FangSong" w:hAnsi="FangSong" w:eastAsia="FangSong" w:cs="FangSong"/>
          <w:sz w:val="30"/>
          <w:szCs w:val="30"/>
          <w:spacing w:val="21"/>
        </w:rPr>
        <w:t>(五)利用职务之便，索要、非法收受财物或者牟取其他不正当利益，或者违反诊疗规范，</w:t>
      </w:r>
      <w:r>
        <w:rPr>
          <w:rFonts w:ascii="FangSong" w:hAnsi="FangSong" w:eastAsia="FangSong" w:cs="FangSong"/>
          <w:sz w:val="30"/>
          <w:szCs w:val="30"/>
          <w:spacing w:val="20"/>
        </w:rPr>
        <w:t>对患</w:t>
      </w:r>
      <w:r>
        <w:rPr>
          <w:rFonts w:ascii="FangSong" w:hAnsi="FangSong" w:eastAsia="FangSong" w:cs="FangSong"/>
          <w:sz w:val="30"/>
          <w:szCs w:val="30"/>
        </w:rPr>
        <w:t xml:space="preserve"> </w:t>
      </w:r>
      <w:r>
        <w:rPr>
          <w:rFonts w:ascii="FangSong" w:hAnsi="FangSong" w:eastAsia="FangSong" w:cs="FangSong"/>
          <w:sz w:val="30"/>
          <w:szCs w:val="30"/>
          <w:spacing w:val="15"/>
        </w:rPr>
        <w:t>者实施不必要的检查、治疗造成不良后果；</w:t>
      </w:r>
    </w:p>
    <w:p>
      <w:pPr>
        <w:ind w:left="6528"/>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6" w:lineRule="auto"/>
        <w:rPr>
          <w:rFonts w:ascii="Arial"/>
          <w:sz w:val="2"/>
        </w:rPr>
      </w:pPr>
      <w:r>
        <w:rPr>
          <w:rFonts w:ascii="Arial"/>
          <w:sz w:val="2"/>
        </w:rPr>
      </w:r>
    </w:p>
    <w:tbl>
      <w:tblPr>
        <w:tblStyle w:val="TableNormal"/>
        <w:tblW w:w="14151"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5616"/>
        <w:gridCol w:w="7121"/>
      </w:tblGrid>
      <w:tr>
        <w:trPr>
          <w:trHeight w:val="414" w:hRule="atLeast"/>
        </w:trPr>
        <w:tc>
          <w:tcPr>
            <w:tcW w:w="1414" w:type="dxa"/>
            <w:vAlign w:val="top"/>
          </w:tcPr>
          <w:p>
            <w:pPr>
              <w:pStyle w:val="TableText"/>
              <w:ind w:left="198"/>
              <w:spacing w:before="82" w:line="220" w:lineRule="auto"/>
              <w:rPr>
                <w:sz w:val="25"/>
                <w:szCs w:val="25"/>
              </w:rPr>
            </w:pPr>
            <w:r>
              <w:rPr>
                <w:sz w:val="25"/>
                <w:szCs w:val="25"/>
                <w:b/>
                <w:bCs/>
                <w:spacing w:val="-5"/>
              </w:rPr>
              <w:t>违法程度</w:t>
            </w:r>
          </w:p>
        </w:tc>
        <w:tc>
          <w:tcPr>
            <w:tcW w:w="5616" w:type="dxa"/>
            <w:vAlign w:val="top"/>
          </w:tcPr>
          <w:p>
            <w:pPr>
              <w:pStyle w:val="TableText"/>
              <w:ind w:left="2304"/>
              <w:spacing w:before="82" w:line="220" w:lineRule="auto"/>
              <w:rPr>
                <w:sz w:val="25"/>
                <w:szCs w:val="25"/>
              </w:rPr>
            </w:pPr>
            <w:r>
              <w:rPr>
                <w:sz w:val="25"/>
                <w:szCs w:val="25"/>
                <w:b/>
                <w:bCs/>
                <w:spacing w:val="-5"/>
              </w:rPr>
              <w:t>违法后果</w:t>
            </w:r>
          </w:p>
        </w:tc>
        <w:tc>
          <w:tcPr>
            <w:tcW w:w="7121" w:type="dxa"/>
            <w:vAlign w:val="top"/>
          </w:tcPr>
          <w:p>
            <w:pPr>
              <w:pStyle w:val="TableText"/>
              <w:ind w:left="3058"/>
              <w:spacing w:before="79" w:line="218" w:lineRule="auto"/>
              <w:rPr>
                <w:sz w:val="25"/>
                <w:szCs w:val="25"/>
              </w:rPr>
            </w:pPr>
            <w:r>
              <w:rPr>
                <w:sz w:val="25"/>
                <w:szCs w:val="25"/>
                <w:b/>
                <w:bCs/>
                <w:spacing w:val="-5"/>
              </w:rPr>
              <w:t>裁量幅度</w:t>
            </w:r>
          </w:p>
        </w:tc>
      </w:tr>
      <w:tr>
        <w:trPr>
          <w:trHeight w:val="898" w:hRule="atLeast"/>
        </w:trPr>
        <w:tc>
          <w:tcPr>
            <w:tcW w:w="1414" w:type="dxa"/>
            <w:vAlign w:val="top"/>
          </w:tcPr>
          <w:p>
            <w:pPr>
              <w:spacing w:line="246" w:lineRule="auto"/>
              <w:rPr>
                <w:rFonts w:ascii="Arial"/>
                <w:sz w:val="21"/>
              </w:rPr>
            </w:pPr>
            <w:r/>
          </w:p>
          <w:p>
            <w:pPr>
              <w:pStyle w:val="TableText"/>
              <w:ind w:left="448"/>
              <w:spacing w:before="81" w:line="221" w:lineRule="auto"/>
              <w:rPr>
                <w:sz w:val="25"/>
                <w:szCs w:val="25"/>
              </w:rPr>
            </w:pPr>
            <w:r>
              <w:rPr>
                <w:sz w:val="25"/>
                <w:szCs w:val="25"/>
                <w:b/>
                <w:bCs/>
                <w:spacing w:val="-10"/>
              </w:rPr>
              <w:t>一般</w:t>
            </w:r>
          </w:p>
        </w:tc>
        <w:tc>
          <w:tcPr>
            <w:tcW w:w="5616" w:type="dxa"/>
            <w:vAlign w:val="top"/>
          </w:tcPr>
          <w:p>
            <w:pPr>
              <w:pStyle w:val="TableText"/>
              <w:ind w:left="299" w:right="43" w:hanging="249"/>
              <w:spacing w:before="151" w:line="272" w:lineRule="auto"/>
              <w:rPr>
                <w:sz w:val="25"/>
                <w:szCs w:val="25"/>
              </w:rPr>
            </w:pPr>
            <w:r>
              <w:rPr>
                <w:sz w:val="25"/>
                <w:szCs w:val="25"/>
              </w:rPr>
              <w:t>医师利用职务之便，索取、非法收受患者财物或者</w:t>
            </w:r>
            <w:r>
              <w:rPr>
                <w:sz w:val="25"/>
                <w:szCs w:val="25"/>
                <w:spacing w:val="10"/>
              </w:rPr>
              <w:t xml:space="preserve"> </w:t>
            </w:r>
            <w:r>
              <w:rPr>
                <w:sz w:val="25"/>
                <w:szCs w:val="25"/>
              </w:rPr>
              <w:t>牟取其他不正当利益价值(货值)不足2000元的</w:t>
            </w:r>
          </w:p>
        </w:tc>
        <w:tc>
          <w:tcPr>
            <w:tcW w:w="7121" w:type="dxa"/>
            <w:vAlign w:val="top"/>
          </w:tcPr>
          <w:p>
            <w:pPr>
              <w:pStyle w:val="TableText"/>
              <w:ind w:left="113" w:hanging="99"/>
              <w:spacing w:before="159" w:line="269" w:lineRule="auto"/>
              <w:rPr>
                <w:sz w:val="25"/>
                <w:szCs w:val="25"/>
              </w:rPr>
            </w:pPr>
            <w:r>
              <w:rPr>
                <w:sz w:val="25"/>
                <w:szCs w:val="25"/>
                <w:spacing w:val="-5"/>
              </w:rPr>
              <w:t>责令改正，给予警告，没收违法所得，并处</w:t>
            </w:r>
            <w:r>
              <w:rPr>
                <w:sz w:val="25"/>
                <w:szCs w:val="25"/>
                <w:spacing w:val="-6"/>
              </w:rPr>
              <w:t>一万元以上两万元以下</w:t>
            </w:r>
            <w:r>
              <w:rPr>
                <w:sz w:val="25"/>
                <w:szCs w:val="25"/>
              </w:rPr>
              <w:t xml:space="preserve"> </w:t>
            </w:r>
            <w:r>
              <w:rPr>
                <w:sz w:val="25"/>
                <w:szCs w:val="25"/>
                <w:spacing w:val="3"/>
              </w:rPr>
              <w:t>的罚款</w:t>
            </w:r>
          </w:p>
        </w:tc>
      </w:tr>
      <w:tr>
        <w:trPr>
          <w:trHeight w:val="1296" w:hRule="atLeast"/>
        </w:trPr>
        <w:tc>
          <w:tcPr>
            <w:tcW w:w="1414" w:type="dxa"/>
            <w:vAlign w:val="top"/>
          </w:tcPr>
          <w:p>
            <w:pPr>
              <w:spacing w:line="449" w:lineRule="auto"/>
              <w:rPr>
                <w:rFonts w:ascii="Arial"/>
                <w:sz w:val="21"/>
              </w:rPr>
            </w:pPr>
            <w:r/>
          </w:p>
          <w:p>
            <w:pPr>
              <w:pStyle w:val="TableText"/>
              <w:ind w:left="448"/>
              <w:spacing w:before="81" w:line="221" w:lineRule="auto"/>
              <w:rPr>
                <w:sz w:val="25"/>
                <w:szCs w:val="25"/>
              </w:rPr>
            </w:pPr>
            <w:r>
              <w:rPr>
                <w:sz w:val="25"/>
                <w:szCs w:val="25"/>
                <w:b/>
                <w:bCs/>
                <w:spacing w:val="-6"/>
              </w:rPr>
              <w:t>较重</w:t>
            </w:r>
          </w:p>
        </w:tc>
        <w:tc>
          <w:tcPr>
            <w:tcW w:w="5616" w:type="dxa"/>
            <w:vAlign w:val="top"/>
          </w:tcPr>
          <w:p>
            <w:pPr>
              <w:pStyle w:val="TableText"/>
              <w:ind w:left="129" w:right="43" w:hanging="79"/>
              <w:spacing w:before="132" w:line="284" w:lineRule="auto"/>
              <w:rPr>
                <w:sz w:val="25"/>
                <w:szCs w:val="25"/>
              </w:rPr>
            </w:pPr>
            <w:r>
              <w:rPr>
                <w:sz w:val="25"/>
                <w:szCs w:val="25"/>
              </w:rPr>
              <w:t>医师利用职务之便，索取、非法收受患者财物或者</w:t>
            </w:r>
            <w:r>
              <w:rPr>
                <w:sz w:val="25"/>
                <w:szCs w:val="25"/>
                <w:spacing w:val="10"/>
              </w:rPr>
              <w:t xml:space="preserve"> </w:t>
            </w:r>
            <w:r>
              <w:rPr>
                <w:sz w:val="25"/>
                <w:szCs w:val="25"/>
                <w:spacing w:val="2"/>
              </w:rPr>
              <w:t>牟取其他不正当利益价值(货值)2000元以上5000</w:t>
            </w:r>
            <w:r>
              <w:rPr>
                <w:sz w:val="25"/>
                <w:szCs w:val="25"/>
              </w:rPr>
              <w:t xml:space="preserve">  </w:t>
            </w:r>
            <w:r>
              <w:rPr>
                <w:sz w:val="25"/>
                <w:szCs w:val="25"/>
                <w:spacing w:val="4"/>
              </w:rPr>
              <w:t>元以下的</w:t>
            </w:r>
          </w:p>
        </w:tc>
        <w:tc>
          <w:tcPr>
            <w:tcW w:w="7121" w:type="dxa"/>
            <w:vAlign w:val="top"/>
          </w:tcPr>
          <w:p>
            <w:pPr>
              <w:spacing w:line="269" w:lineRule="auto"/>
              <w:rPr>
                <w:rFonts w:ascii="Arial"/>
                <w:sz w:val="21"/>
              </w:rPr>
            </w:pPr>
            <w:r/>
          </w:p>
          <w:p>
            <w:pPr>
              <w:pStyle w:val="TableText"/>
              <w:ind w:left="113" w:hanging="99"/>
              <w:spacing w:before="81" w:line="330" w:lineRule="auto"/>
              <w:rPr>
                <w:sz w:val="25"/>
                <w:szCs w:val="25"/>
              </w:rPr>
            </w:pPr>
            <w:r>
              <w:rPr>
                <w:sz w:val="25"/>
                <w:szCs w:val="25"/>
                <w:spacing w:val="-5"/>
              </w:rPr>
              <w:t>责令改正，给予警告，没收违法所得，并处</w:t>
            </w:r>
            <w:r>
              <w:rPr>
                <w:sz w:val="25"/>
                <w:szCs w:val="25"/>
                <w:spacing w:val="-6"/>
              </w:rPr>
              <w:t>两万元以上三万元以下</w:t>
            </w:r>
            <w:r>
              <w:rPr>
                <w:sz w:val="25"/>
                <w:szCs w:val="25"/>
              </w:rPr>
              <w:t xml:space="preserve"> </w:t>
            </w:r>
            <w:r>
              <w:rPr>
                <w:sz w:val="25"/>
                <w:szCs w:val="25"/>
                <w:spacing w:val="3"/>
              </w:rPr>
              <w:t>的罚款</w:t>
            </w:r>
          </w:p>
        </w:tc>
      </w:tr>
      <w:tr>
        <w:trPr>
          <w:trHeight w:val="1332" w:hRule="atLeast"/>
        </w:trPr>
        <w:tc>
          <w:tcPr>
            <w:tcW w:w="1414" w:type="dxa"/>
            <w:vAlign w:val="top"/>
          </w:tcPr>
          <w:p>
            <w:pPr>
              <w:spacing w:line="460" w:lineRule="auto"/>
              <w:rPr>
                <w:rFonts w:ascii="Arial"/>
                <w:sz w:val="21"/>
              </w:rPr>
            </w:pPr>
            <w:r/>
          </w:p>
          <w:p>
            <w:pPr>
              <w:pStyle w:val="TableText"/>
              <w:ind w:left="448"/>
              <w:spacing w:before="81" w:line="220" w:lineRule="auto"/>
              <w:rPr>
                <w:sz w:val="25"/>
                <w:szCs w:val="25"/>
              </w:rPr>
            </w:pPr>
            <w:r>
              <w:rPr>
                <w:sz w:val="25"/>
                <w:szCs w:val="25"/>
                <w:b/>
                <w:bCs/>
                <w:spacing w:val="-6"/>
              </w:rPr>
              <w:t>严重</w:t>
            </w:r>
          </w:p>
        </w:tc>
        <w:tc>
          <w:tcPr>
            <w:tcW w:w="5616" w:type="dxa"/>
            <w:vAlign w:val="top"/>
          </w:tcPr>
          <w:p>
            <w:pPr>
              <w:pStyle w:val="TableText"/>
              <w:ind w:left="109" w:right="43" w:hanging="59"/>
              <w:spacing w:before="156" w:line="287" w:lineRule="auto"/>
              <w:jc w:val="both"/>
              <w:rPr>
                <w:sz w:val="25"/>
                <w:szCs w:val="25"/>
              </w:rPr>
            </w:pPr>
            <w:r>
              <w:rPr>
                <w:sz w:val="25"/>
                <w:szCs w:val="25"/>
              </w:rPr>
              <w:t>医师利用职务之便，索取、非法收受患者财物或者</w:t>
            </w:r>
            <w:r>
              <w:rPr>
                <w:sz w:val="25"/>
                <w:szCs w:val="25"/>
                <w:spacing w:val="10"/>
              </w:rPr>
              <w:t xml:space="preserve"> </w:t>
            </w:r>
            <w:r>
              <w:rPr>
                <w:sz w:val="25"/>
                <w:szCs w:val="25"/>
                <w:spacing w:val="-1"/>
              </w:rPr>
              <w:t>牟取其他不正当利益价值(货值)5000元以上10000</w:t>
            </w:r>
            <w:r>
              <w:rPr>
                <w:sz w:val="25"/>
                <w:szCs w:val="25"/>
                <w:spacing w:val="15"/>
              </w:rPr>
              <w:t xml:space="preserve"> </w:t>
            </w:r>
            <w:r>
              <w:rPr>
                <w:sz w:val="25"/>
                <w:szCs w:val="25"/>
                <w:spacing w:val="9"/>
              </w:rPr>
              <w:t>元以下的</w:t>
            </w:r>
          </w:p>
        </w:tc>
        <w:tc>
          <w:tcPr>
            <w:tcW w:w="7121" w:type="dxa"/>
            <w:vAlign w:val="top"/>
          </w:tcPr>
          <w:p>
            <w:pPr>
              <w:spacing w:line="301" w:lineRule="auto"/>
              <w:rPr>
                <w:rFonts w:ascii="Arial"/>
                <w:sz w:val="21"/>
              </w:rPr>
            </w:pPr>
            <w:r/>
          </w:p>
          <w:p>
            <w:pPr>
              <w:pStyle w:val="TableText"/>
              <w:ind w:left="93" w:hanging="79"/>
              <w:spacing w:before="81" w:line="336" w:lineRule="auto"/>
              <w:rPr>
                <w:sz w:val="25"/>
                <w:szCs w:val="25"/>
              </w:rPr>
            </w:pPr>
            <w:r>
              <w:rPr>
                <w:sz w:val="25"/>
                <w:szCs w:val="25"/>
                <w:spacing w:val="-5"/>
              </w:rPr>
              <w:t>责令改正，给予警告，没收违法所得，并处</w:t>
            </w:r>
            <w:r>
              <w:rPr>
                <w:sz w:val="25"/>
                <w:szCs w:val="25"/>
                <w:spacing w:val="-6"/>
              </w:rPr>
              <w:t>三万元的罚款，责令暂</w:t>
            </w:r>
            <w:r>
              <w:rPr>
                <w:sz w:val="25"/>
                <w:szCs w:val="25"/>
              </w:rPr>
              <w:t xml:space="preserve"> </w:t>
            </w:r>
            <w:r>
              <w:rPr>
                <w:sz w:val="25"/>
                <w:szCs w:val="25"/>
                <w:spacing w:val="1"/>
              </w:rPr>
              <w:t>停六个月以上一年以下执业活动</w:t>
            </w:r>
          </w:p>
        </w:tc>
      </w:tr>
    </w:tbl>
    <w:p>
      <w:pPr>
        <w:pStyle w:val="BodyText"/>
        <w:rPr/>
      </w:pPr>
      <w:r/>
    </w:p>
    <w:p>
      <w:pPr>
        <w:sectPr>
          <w:footerReference w:type="default" r:id="rId257"/>
          <w:pgSz w:w="16830" w:h="11900"/>
          <w:pgMar w:top="1011" w:right="1343" w:bottom="1118" w:left="1325" w:header="0" w:footer="757" w:gutter="0"/>
        </w:sectPr>
        <w:rPr/>
      </w:pPr>
    </w:p>
    <w:p>
      <w:pPr>
        <w:spacing w:before="17"/>
        <w:rPr/>
      </w:pPr>
      <w:r/>
    </w:p>
    <w:p>
      <w:pPr>
        <w:spacing w:before="16"/>
        <w:rPr/>
      </w:pPr>
      <w:r/>
    </w:p>
    <w:p>
      <w:pPr>
        <w:spacing w:before="16"/>
        <w:rPr/>
      </w:pPr>
      <w:r/>
    </w:p>
    <w:tbl>
      <w:tblPr>
        <w:tblStyle w:val="TableNormal"/>
        <w:tblW w:w="141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3"/>
        <w:gridCol w:w="5586"/>
        <w:gridCol w:w="7150"/>
      </w:tblGrid>
      <w:tr>
        <w:trPr>
          <w:trHeight w:val="870" w:hRule="atLeast"/>
        </w:trPr>
        <w:tc>
          <w:tcPr>
            <w:tcW w:w="1443" w:type="dxa"/>
            <w:vAlign w:val="top"/>
          </w:tcPr>
          <w:p>
            <w:pPr>
              <w:pStyle w:val="TableText"/>
              <w:ind w:left="218"/>
              <w:spacing w:before="311" w:line="219" w:lineRule="auto"/>
              <w:rPr>
                <w:sz w:val="25"/>
                <w:szCs w:val="25"/>
              </w:rPr>
            </w:pPr>
            <w:bookmarkStart w:name="bookmark910" w:id="276"/>
            <w:bookmarkEnd w:id="276"/>
            <w:r>
              <w:rPr>
                <w:sz w:val="25"/>
                <w:szCs w:val="25"/>
                <w:b/>
                <w:bCs/>
                <w:spacing w:val="-5"/>
              </w:rPr>
              <w:t>特别严重</w:t>
            </w:r>
          </w:p>
        </w:tc>
        <w:tc>
          <w:tcPr>
            <w:tcW w:w="5586" w:type="dxa"/>
            <w:vAlign w:val="top"/>
          </w:tcPr>
          <w:p>
            <w:pPr>
              <w:pStyle w:val="TableText"/>
              <w:ind w:left="100" w:hanging="9"/>
              <w:spacing w:before="144" w:line="264" w:lineRule="auto"/>
              <w:rPr>
                <w:sz w:val="25"/>
                <w:szCs w:val="25"/>
              </w:rPr>
            </w:pPr>
            <w:r>
              <w:rPr>
                <w:sz w:val="25"/>
                <w:szCs w:val="25"/>
                <w:spacing w:val="-1"/>
              </w:rPr>
              <w:t>利用职务之便，索取、非法收受患者财物或者牟取</w:t>
            </w:r>
            <w:r>
              <w:rPr>
                <w:sz w:val="25"/>
                <w:szCs w:val="25"/>
                <w:spacing w:val="5"/>
              </w:rPr>
              <w:t xml:space="preserve"> </w:t>
            </w:r>
            <w:r>
              <w:rPr>
                <w:sz w:val="25"/>
                <w:szCs w:val="25"/>
                <w:spacing w:val="1"/>
              </w:rPr>
              <w:t>其他不正当利益价值(货值)10000元</w:t>
            </w:r>
            <w:r>
              <w:rPr>
                <w:sz w:val="25"/>
                <w:szCs w:val="25"/>
              </w:rPr>
              <w:t>以上的</w:t>
            </w:r>
          </w:p>
        </w:tc>
        <w:tc>
          <w:tcPr>
            <w:tcW w:w="7150" w:type="dxa"/>
            <w:vAlign w:val="top"/>
          </w:tcPr>
          <w:p>
            <w:pPr>
              <w:pStyle w:val="TableText"/>
              <w:ind w:left="105"/>
              <w:spacing w:before="142" w:line="265" w:lineRule="auto"/>
              <w:rPr>
                <w:sz w:val="25"/>
                <w:szCs w:val="25"/>
              </w:rPr>
            </w:pPr>
            <w:r>
              <w:rPr>
                <w:sz w:val="25"/>
                <w:szCs w:val="25"/>
                <w:spacing w:val="-8"/>
              </w:rPr>
              <w:t>责令改正，给予警告，没收违法所得，并处三万元的罚款，吊销医</w:t>
            </w:r>
            <w:r>
              <w:rPr>
                <w:sz w:val="25"/>
                <w:szCs w:val="25"/>
                <w:spacing w:val="15"/>
              </w:rPr>
              <w:t xml:space="preserve"> </w:t>
            </w:r>
            <w:r>
              <w:rPr>
                <w:sz w:val="25"/>
                <w:szCs w:val="25"/>
                <w:spacing w:val="2"/>
              </w:rPr>
              <w:t>师执业证书</w:t>
            </w:r>
          </w:p>
        </w:tc>
      </w:tr>
    </w:tbl>
    <w:p>
      <w:pPr>
        <w:pStyle w:val="BodyText"/>
        <w:spacing w:line="257" w:lineRule="auto"/>
        <w:rPr/>
      </w:pPr>
      <w:r/>
    </w:p>
    <w:p>
      <w:pPr>
        <w:pStyle w:val="BodyText"/>
        <w:spacing w:line="258" w:lineRule="auto"/>
        <w:rPr/>
      </w:pPr>
      <w:r/>
    </w:p>
    <w:p>
      <w:pPr>
        <w:ind w:left="779"/>
        <w:spacing w:before="98" w:line="219" w:lineRule="auto"/>
        <w:rPr>
          <w:rFonts w:ascii="FangSong" w:hAnsi="FangSong" w:eastAsia="FangSong" w:cs="FangSong"/>
          <w:sz w:val="30"/>
          <w:szCs w:val="30"/>
        </w:rPr>
      </w:pPr>
      <w:r>
        <w:rPr>
          <w:rFonts w:ascii="FangSong" w:hAnsi="FangSong" w:eastAsia="FangSong" w:cs="FangSong"/>
          <w:sz w:val="30"/>
          <w:szCs w:val="30"/>
          <w:b/>
          <w:bCs/>
          <w:spacing w:val="23"/>
        </w:rPr>
        <w:t>第一百八十九条医师在执业活动中开展禁止类医疗技术临床应用</w:t>
      </w:r>
    </w:p>
    <w:p>
      <w:pPr>
        <w:ind w:left="934"/>
        <w:spacing w:before="101"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134" w:right="44" w:firstLine="599"/>
        <w:spacing w:before="69" w:line="272" w:lineRule="auto"/>
        <w:jc w:val="both"/>
        <w:rPr>
          <w:rFonts w:ascii="FangSong" w:hAnsi="FangSong" w:eastAsia="FangSong" w:cs="FangSong"/>
          <w:sz w:val="30"/>
          <w:szCs w:val="30"/>
        </w:rPr>
      </w:pPr>
      <w:r>
        <w:rPr>
          <w:rFonts w:ascii="FangSong" w:hAnsi="FangSong" w:eastAsia="FangSong" w:cs="FangSong"/>
          <w:sz w:val="30"/>
          <w:szCs w:val="30"/>
          <w:spacing w:val="24"/>
        </w:rPr>
        <w:t>《中华人民共和国医师法》第五十六条第(六</w:t>
      </w:r>
      <w:r>
        <w:rPr>
          <w:rFonts w:ascii="FangSong" w:hAnsi="FangSong" w:eastAsia="FangSong" w:cs="FangSong"/>
          <w:sz w:val="30"/>
          <w:szCs w:val="30"/>
          <w:spacing w:val="23"/>
        </w:rPr>
        <w:t>)项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违反本法规定，医师在执业活动中有下列行</w:t>
      </w:r>
      <w:r>
        <w:rPr>
          <w:rFonts w:ascii="FangSong" w:hAnsi="FangSong" w:eastAsia="FangSong" w:cs="FangSong"/>
          <w:sz w:val="30"/>
          <w:szCs w:val="30"/>
        </w:rPr>
        <w:t xml:space="preserve"> </w:t>
      </w:r>
      <w:r>
        <w:rPr>
          <w:rFonts w:ascii="FangSong" w:hAnsi="FangSong" w:eastAsia="FangSong" w:cs="FangSong"/>
          <w:sz w:val="30"/>
          <w:szCs w:val="30"/>
          <w:spacing w:val="17"/>
        </w:rPr>
        <w:t>为之一的，由县级以上人民政府卫生健康主管部门责令改正，给予警告，没收违法所得，并</w:t>
      </w:r>
      <w:r>
        <w:rPr>
          <w:rFonts w:ascii="FangSong" w:hAnsi="FangSong" w:eastAsia="FangSong" w:cs="FangSong"/>
          <w:sz w:val="30"/>
          <w:szCs w:val="30"/>
          <w:spacing w:val="16"/>
        </w:rPr>
        <w:t>处一万元</w:t>
      </w:r>
      <w:r>
        <w:rPr>
          <w:rFonts w:ascii="FangSong" w:hAnsi="FangSong" w:eastAsia="FangSong" w:cs="FangSong"/>
          <w:sz w:val="30"/>
          <w:szCs w:val="30"/>
        </w:rPr>
        <w:t xml:space="preserve"> </w:t>
      </w:r>
      <w:r>
        <w:rPr>
          <w:rFonts w:ascii="FangSong" w:hAnsi="FangSong" w:eastAsia="FangSong" w:cs="FangSong"/>
          <w:sz w:val="30"/>
          <w:szCs w:val="30"/>
          <w:spacing w:val="11"/>
        </w:rPr>
        <w:t>以上三万元以下的罚款；情节严重的，责令暂停六个月以上一年以下执业活动直至吊销医师执业证书：</w:t>
      </w:r>
    </w:p>
    <w:p>
      <w:pPr>
        <w:ind w:left="904"/>
        <w:spacing w:line="222" w:lineRule="auto"/>
        <w:rPr>
          <w:rFonts w:ascii="FangSong" w:hAnsi="FangSong" w:eastAsia="FangSong" w:cs="FangSong"/>
          <w:sz w:val="30"/>
          <w:szCs w:val="30"/>
        </w:rPr>
      </w:pPr>
      <w:r>
        <w:rPr>
          <w:rFonts w:ascii="FangSong" w:hAnsi="FangSong" w:eastAsia="FangSong" w:cs="FangSong"/>
          <w:sz w:val="30"/>
          <w:szCs w:val="30"/>
          <w:spacing w:val="25"/>
        </w:rPr>
        <w:t>(六)开展禁止类医疗技术临床应用。</w:t>
      </w:r>
    </w:p>
    <w:p>
      <w:pPr>
        <w:ind w:left="6528"/>
        <w:spacing w:before="68"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34" w:lineRule="auto"/>
        <w:rPr>
          <w:rFonts w:ascii="Arial"/>
          <w:sz w:val="2"/>
        </w:rPr>
      </w:pPr>
      <w:r>
        <w:rPr>
          <w:rFonts w:ascii="Arial"/>
          <w:sz w:val="2"/>
        </w:rPr>
      </w:r>
    </w:p>
    <w:tbl>
      <w:tblPr>
        <w:tblStyle w:val="TableNormal"/>
        <w:tblW w:w="1417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6725"/>
        <w:gridCol w:w="6015"/>
      </w:tblGrid>
      <w:tr>
        <w:trPr>
          <w:trHeight w:val="424" w:hRule="atLeast"/>
        </w:trPr>
        <w:tc>
          <w:tcPr>
            <w:tcW w:w="1434" w:type="dxa"/>
            <w:vAlign w:val="top"/>
          </w:tcPr>
          <w:p>
            <w:pPr>
              <w:pStyle w:val="TableText"/>
              <w:ind w:left="208"/>
              <w:spacing w:before="92" w:line="220" w:lineRule="auto"/>
              <w:rPr>
                <w:sz w:val="25"/>
                <w:szCs w:val="25"/>
              </w:rPr>
            </w:pPr>
            <w:r>
              <w:rPr>
                <w:sz w:val="25"/>
                <w:szCs w:val="25"/>
                <w:b/>
                <w:bCs/>
                <w:spacing w:val="-5"/>
              </w:rPr>
              <w:t>违法程度</w:t>
            </w:r>
          </w:p>
        </w:tc>
        <w:tc>
          <w:tcPr>
            <w:tcW w:w="6725" w:type="dxa"/>
            <w:vAlign w:val="top"/>
          </w:tcPr>
          <w:p>
            <w:pPr>
              <w:pStyle w:val="TableText"/>
              <w:ind w:left="2854"/>
              <w:spacing w:before="92" w:line="220" w:lineRule="auto"/>
              <w:rPr>
                <w:sz w:val="25"/>
                <w:szCs w:val="25"/>
              </w:rPr>
            </w:pPr>
            <w:r>
              <w:rPr>
                <w:sz w:val="25"/>
                <w:szCs w:val="25"/>
                <w:b/>
                <w:bCs/>
                <w:spacing w:val="-5"/>
              </w:rPr>
              <w:t>违法后果</w:t>
            </w:r>
          </w:p>
        </w:tc>
        <w:tc>
          <w:tcPr>
            <w:tcW w:w="6015" w:type="dxa"/>
            <w:vAlign w:val="top"/>
          </w:tcPr>
          <w:p>
            <w:pPr>
              <w:pStyle w:val="TableText"/>
              <w:ind w:left="2439"/>
              <w:spacing w:before="89" w:line="218" w:lineRule="auto"/>
              <w:rPr>
                <w:sz w:val="25"/>
                <w:szCs w:val="25"/>
              </w:rPr>
            </w:pPr>
            <w:r>
              <w:rPr>
                <w:sz w:val="25"/>
                <w:szCs w:val="25"/>
                <w:b/>
                <w:bCs/>
                <w:spacing w:val="-5"/>
              </w:rPr>
              <w:t>裁量幅度</w:t>
            </w:r>
          </w:p>
        </w:tc>
      </w:tr>
      <w:tr>
        <w:trPr>
          <w:trHeight w:val="877" w:hRule="atLeast"/>
        </w:trPr>
        <w:tc>
          <w:tcPr>
            <w:tcW w:w="1434" w:type="dxa"/>
            <w:vAlign w:val="top"/>
          </w:tcPr>
          <w:p>
            <w:pPr>
              <w:pStyle w:val="TableText"/>
              <w:ind w:left="458"/>
              <w:spacing w:before="319" w:line="221" w:lineRule="auto"/>
              <w:rPr>
                <w:sz w:val="25"/>
                <w:szCs w:val="25"/>
              </w:rPr>
            </w:pPr>
            <w:r>
              <w:rPr>
                <w:sz w:val="25"/>
                <w:szCs w:val="25"/>
                <w:b/>
                <w:bCs/>
                <w:spacing w:val="-10"/>
              </w:rPr>
              <w:t>一般</w:t>
            </w:r>
          </w:p>
        </w:tc>
        <w:tc>
          <w:tcPr>
            <w:tcW w:w="6725" w:type="dxa"/>
            <w:vAlign w:val="top"/>
          </w:tcPr>
          <w:p>
            <w:pPr>
              <w:pStyle w:val="TableText"/>
              <w:ind w:left="99" w:hanging="89"/>
              <w:spacing w:before="141" w:line="268" w:lineRule="auto"/>
              <w:rPr>
                <w:sz w:val="25"/>
                <w:szCs w:val="25"/>
              </w:rPr>
            </w:pPr>
            <w:r>
              <w:rPr>
                <w:sz w:val="25"/>
                <w:szCs w:val="25"/>
                <w:spacing w:val="-2"/>
              </w:rPr>
              <w:t>医师在执业活动中开展禁止类医疗技术临床应用，首次发生且</w:t>
            </w:r>
            <w:r>
              <w:rPr>
                <w:sz w:val="25"/>
                <w:szCs w:val="25"/>
                <w:spacing w:val="7"/>
              </w:rPr>
              <w:t xml:space="preserve"> </w:t>
            </w:r>
            <w:r>
              <w:rPr>
                <w:sz w:val="25"/>
                <w:szCs w:val="25"/>
                <w:spacing w:val="2"/>
              </w:rPr>
              <w:t>情节轻微的</w:t>
            </w:r>
          </w:p>
        </w:tc>
        <w:tc>
          <w:tcPr>
            <w:tcW w:w="6015" w:type="dxa"/>
            <w:vAlign w:val="top"/>
          </w:tcPr>
          <w:p>
            <w:pPr>
              <w:pStyle w:val="TableText"/>
              <w:ind w:left="135" w:right="8" w:firstLine="10"/>
              <w:spacing w:before="168" w:line="258" w:lineRule="auto"/>
              <w:rPr>
                <w:sz w:val="25"/>
                <w:szCs w:val="25"/>
              </w:rPr>
            </w:pPr>
            <w:r>
              <w:rPr>
                <w:sz w:val="25"/>
                <w:szCs w:val="25"/>
                <w:spacing w:val="-7"/>
              </w:rPr>
              <w:t>责令改正，给予警告，没收违法所得，并处一万元以上</w:t>
            </w:r>
            <w:r>
              <w:rPr>
                <w:sz w:val="25"/>
                <w:szCs w:val="25"/>
                <w:spacing w:val="17"/>
              </w:rPr>
              <w:t xml:space="preserve"> </w:t>
            </w:r>
            <w:r>
              <w:rPr>
                <w:sz w:val="25"/>
                <w:szCs w:val="25"/>
                <w:spacing w:val="1"/>
              </w:rPr>
              <w:t>两万元以下的罚款</w:t>
            </w:r>
          </w:p>
        </w:tc>
      </w:tr>
      <w:tr>
        <w:trPr>
          <w:trHeight w:val="898" w:hRule="atLeast"/>
        </w:trPr>
        <w:tc>
          <w:tcPr>
            <w:tcW w:w="1434" w:type="dxa"/>
            <w:vAlign w:val="top"/>
          </w:tcPr>
          <w:p>
            <w:pPr>
              <w:spacing w:line="251" w:lineRule="auto"/>
              <w:rPr>
                <w:rFonts w:ascii="Arial"/>
                <w:sz w:val="21"/>
              </w:rPr>
            </w:pPr>
            <w:r/>
          </w:p>
          <w:p>
            <w:pPr>
              <w:pStyle w:val="TableText"/>
              <w:ind w:left="458"/>
              <w:spacing w:before="81" w:line="221" w:lineRule="auto"/>
              <w:rPr>
                <w:sz w:val="25"/>
                <w:szCs w:val="25"/>
              </w:rPr>
            </w:pPr>
            <w:r>
              <w:rPr>
                <w:sz w:val="25"/>
                <w:szCs w:val="25"/>
                <w:b/>
                <w:bCs/>
                <w:spacing w:val="-6"/>
              </w:rPr>
              <w:t>较重</w:t>
            </w:r>
          </w:p>
        </w:tc>
        <w:tc>
          <w:tcPr>
            <w:tcW w:w="6725" w:type="dxa"/>
            <w:vAlign w:val="top"/>
          </w:tcPr>
          <w:p>
            <w:pPr>
              <w:spacing w:line="251" w:lineRule="auto"/>
              <w:rPr>
                <w:rFonts w:ascii="Arial"/>
                <w:sz w:val="21"/>
              </w:rPr>
            </w:pPr>
            <w:r/>
          </w:p>
          <w:p>
            <w:pPr>
              <w:pStyle w:val="TableText"/>
              <w:spacing w:before="81" w:line="219" w:lineRule="auto"/>
              <w:jc w:val="right"/>
              <w:rPr>
                <w:sz w:val="25"/>
                <w:szCs w:val="25"/>
              </w:rPr>
            </w:pPr>
            <w:r>
              <w:rPr>
                <w:sz w:val="25"/>
                <w:szCs w:val="25"/>
                <w:spacing w:val="-2"/>
              </w:rPr>
              <w:t>医师在执业活动中开展禁止类医疗技术临床应用，再次发生的</w:t>
            </w:r>
          </w:p>
        </w:tc>
        <w:tc>
          <w:tcPr>
            <w:tcW w:w="6015" w:type="dxa"/>
            <w:vAlign w:val="top"/>
          </w:tcPr>
          <w:p>
            <w:pPr>
              <w:pStyle w:val="TableText"/>
              <w:ind w:left="135" w:right="8" w:firstLine="10"/>
              <w:spacing w:before="151" w:line="272" w:lineRule="auto"/>
              <w:rPr>
                <w:sz w:val="25"/>
                <w:szCs w:val="25"/>
              </w:rPr>
            </w:pPr>
            <w:r>
              <w:rPr>
                <w:sz w:val="25"/>
                <w:szCs w:val="25"/>
                <w:spacing w:val="-7"/>
              </w:rPr>
              <w:t>责令改正，给予警告，没收违法所得，并处两万元以上</w:t>
            </w:r>
            <w:r>
              <w:rPr>
                <w:sz w:val="25"/>
                <w:szCs w:val="25"/>
                <w:spacing w:val="17"/>
              </w:rPr>
              <w:t xml:space="preserve"> </w:t>
            </w:r>
            <w:r>
              <w:rPr>
                <w:sz w:val="25"/>
                <w:szCs w:val="25"/>
                <w:spacing w:val="1"/>
              </w:rPr>
              <w:t>三万元以下的罚款</w:t>
            </w:r>
          </w:p>
        </w:tc>
      </w:tr>
      <w:tr>
        <w:trPr>
          <w:trHeight w:val="1331" w:hRule="atLeast"/>
        </w:trPr>
        <w:tc>
          <w:tcPr>
            <w:tcW w:w="1434" w:type="dxa"/>
            <w:vAlign w:val="top"/>
          </w:tcPr>
          <w:p>
            <w:pPr>
              <w:spacing w:line="459"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6725" w:type="dxa"/>
            <w:vAlign w:val="top"/>
          </w:tcPr>
          <w:p>
            <w:pPr>
              <w:spacing w:line="304" w:lineRule="auto"/>
              <w:rPr>
                <w:rFonts w:ascii="Arial"/>
                <w:sz w:val="21"/>
              </w:rPr>
            </w:pPr>
            <w:r/>
          </w:p>
          <w:p>
            <w:pPr>
              <w:pStyle w:val="TableText"/>
              <w:ind w:left="119" w:hanging="109"/>
              <w:spacing w:before="81" w:line="335" w:lineRule="auto"/>
              <w:rPr>
                <w:sz w:val="25"/>
                <w:szCs w:val="25"/>
              </w:rPr>
            </w:pPr>
            <w:r>
              <w:rPr>
                <w:sz w:val="25"/>
                <w:szCs w:val="25"/>
                <w:spacing w:val="-2"/>
              </w:rPr>
              <w:t>医师在执业活动中开展禁止类医疗技术临床应用，造成患者严</w:t>
            </w:r>
            <w:r>
              <w:rPr>
                <w:sz w:val="25"/>
                <w:szCs w:val="25"/>
                <w:spacing w:val="7"/>
              </w:rPr>
              <w:t xml:space="preserve"> </w:t>
            </w:r>
            <w:r>
              <w:rPr>
                <w:sz w:val="25"/>
                <w:szCs w:val="25"/>
                <w:spacing w:val="3"/>
              </w:rPr>
              <w:t>重后果的</w:t>
            </w:r>
          </w:p>
        </w:tc>
        <w:tc>
          <w:tcPr>
            <w:tcW w:w="6015" w:type="dxa"/>
            <w:vAlign w:val="top"/>
          </w:tcPr>
          <w:p>
            <w:pPr>
              <w:spacing w:line="311" w:lineRule="auto"/>
              <w:rPr>
                <w:rFonts w:ascii="Arial"/>
                <w:sz w:val="21"/>
              </w:rPr>
            </w:pPr>
            <w:r/>
          </w:p>
          <w:p>
            <w:pPr>
              <w:pStyle w:val="TableText"/>
              <w:ind w:left="125" w:firstLine="9"/>
              <w:spacing w:before="81" w:line="320" w:lineRule="auto"/>
              <w:rPr>
                <w:sz w:val="25"/>
                <w:szCs w:val="25"/>
              </w:rPr>
            </w:pPr>
            <w:r>
              <w:rPr>
                <w:sz w:val="25"/>
                <w:szCs w:val="25"/>
                <w:spacing w:val="-6"/>
              </w:rPr>
              <w:t>责令改正，给予警告，没收违法所得，并处三万元的罚</w:t>
            </w:r>
            <w:r>
              <w:rPr>
                <w:sz w:val="25"/>
                <w:szCs w:val="25"/>
                <w:spacing w:val="12"/>
              </w:rPr>
              <w:t xml:space="preserve"> </w:t>
            </w:r>
            <w:r>
              <w:rPr>
                <w:sz w:val="25"/>
                <w:szCs w:val="25"/>
              </w:rPr>
              <w:t>款，责令暂停六个月以上一年以下执业活动</w:t>
            </w:r>
          </w:p>
        </w:tc>
      </w:tr>
    </w:tbl>
    <w:p>
      <w:pPr>
        <w:pStyle w:val="BodyText"/>
        <w:spacing w:line="281" w:lineRule="auto"/>
        <w:rPr/>
      </w:pPr>
      <w:r/>
    </w:p>
    <w:p>
      <w:pPr>
        <w:pStyle w:val="BodyText"/>
        <w:spacing w:line="282" w:lineRule="auto"/>
        <w:rPr/>
      </w:pPr>
      <w:r/>
    </w:p>
    <w:p>
      <w:pPr>
        <w:pStyle w:val="BodyText"/>
        <w:spacing w:line="282" w:lineRule="auto"/>
        <w:rPr/>
      </w:pPr>
      <w:r/>
    </w:p>
    <w:p>
      <w:pPr>
        <w:ind w:left="6494"/>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w w:val="98"/>
        </w:rPr>
        <w:t>—276—</w:t>
      </w:r>
    </w:p>
    <w:p>
      <w:pPr>
        <w:spacing w:line="188" w:lineRule="auto"/>
        <w:sectPr>
          <w:footerReference w:type="default" r:id="rId24"/>
          <w:pgSz w:w="16830" w:h="11900"/>
          <w:pgMar w:top="1011" w:right="1314" w:bottom="400" w:left="1325" w:header="0" w:footer="0" w:gutter="0"/>
        </w:sectPr>
        <w:rPr>
          <w:rFonts w:ascii="Times New Roman" w:hAnsi="Times New Roman" w:eastAsia="Times New Roman" w:cs="Times New Roman"/>
          <w:sz w:val="37"/>
          <w:szCs w:val="37"/>
        </w:rPr>
      </w:pPr>
    </w:p>
    <w:p>
      <w:pPr>
        <w:spacing w:before="17"/>
        <w:rPr/>
      </w:pPr>
      <w:r/>
    </w:p>
    <w:p>
      <w:pPr>
        <w:spacing w:before="16"/>
        <w:rPr/>
      </w:pPr>
      <w:r/>
    </w:p>
    <w:p>
      <w:pPr>
        <w:spacing w:before="16"/>
        <w:rPr/>
      </w:pPr>
      <w:r/>
    </w:p>
    <w:tbl>
      <w:tblPr>
        <w:tblStyle w:val="TableNormal"/>
        <w:tblW w:w="14194"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6715"/>
        <w:gridCol w:w="6035"/>
      </w:tblGrid>
      <w:tr>
        <w:trPr>
          <w:trHeight w:val="870" w:hRule="atLeast"/>
        </w:trPr>
        <w:tc>
          <w:tcPr>
            <w:tcW w:w="1444" w:type="dxa"/>
            <w:vAlign w:val="top"/>
          </w:tcPr>
          <w:p>
            <w:pPr>
              <w:pStyle w:val="TableText"/>
              <w:ind w:left="218"/>
              <w:spacing w:before="311" w:line="219" w:lineRule="auto"/>
              <w:rPr>
                <w:sz w:val="25"/>
                <w:szCs w:val="25"/>
              </w:rPr>
            </w:pPr>
            <w:bookmarkStart w:name="bookmark911" w:id="277"/>
            <w:bookmarkEnd w:id="277"/>
            <w:r>
              <w:rPr>
                <w:sz w:val="25"/>
                <w:szCs w:val="25"/>
                <w:b/>
                <w:bCs/>
                <w:spacing w:val="-5"/>
              </w:rPr>
              <w:t>特别严重</w:t>
            </w:r>
          </w:p>
        </w:tc>
        <w:tc>
          <w:tcPr>
            <w:tcW w:w="6715" w:type="dxa"/>
            <w:vAlign w:val="top"/>
          </w:tcPr>
          <w:p>
            <w:pPr>
              <w:pStyle w:val="TableText"/>
              <w:spacing w:before="145" w:line="219" w:lineRule="auto"/>
              <w:jc w:val="right"/>
              <w:rPr>
                <w:sz w:val="25"/>
                <w:szCs w:val="25"/>
              </w:rPr>
            </w:pPr>
            <w:r>
              <w:rPr>
                <w:sz w:val="25"/>
                <w:szCs w:val="25"/>
                <w:spacing w:val="-5"/>
              </w:rPr>
              <w:t>医师在执业活动中开展禁止类医疗技术临床应用，造成患者死</w:t>
            </w:r>
          </w:p>
          <w:p>
            <w:pPr>
              <w:pStyle w:val="TableText"/>
              <w:ind w:left="80"/>
              <w:spacing w:before="156" w:line="193" w:lineRule="auto"/>
              <w:rPr>
                <w:sz w:val="25"/>
                <w:szCs w:val="25"/>
              </w:rPr>
            </w:pPr>
            <w:r>
              <w:rPr>
                <w:sz w:val="25"/>
                <w:szCs w:val="25"/>
                <w:color w:val="504050"/>
                <w:spacing w:val="9"/>
              </w:rPr>
              <w:t>亡的</w:t>
            </w:r>
          </w:p>
        </w:tc>
        <w:tc>
          <w:tcPr>
            <w:tcW w:w="6035" w:type="dxa"/>
            <w:vAlign w:val="top"/>
          </w:tcPr>
          <w:p>
            <w:pPr>
              <w:pStyle w:val="TableText"/>
              <w:ind w:left="135"/>
              <w:spacing w:before="142" w:line="265" w:lineRule="auto"/>
              <w:rPr>
                <w:sz w:val="25"/>
                <w:szCs w:val="25"/>
              </w:rPr>
            </w:pPr>
            <w:r>
              <w:rPr>
                <w:sz w:val="25"/>
                <w:szCs w:val="25"/>
                <w:spacing w:val="-5"/>
              </w:rPr>
              <w:t>责令改正，给予警告，没收违法所得，并处三万元的罚</w:t>
            </w:r>
            <w:r>
              <w:rPr>
                <w:sz w:val="25"/>
                <w:szCs w:val="25"/>
                <w:spacing w:val="8"/>
              </w:rPr>
              <w:t xml:space="preserve"> </w:t>
            </w:r>
            <w:r>
              <w:rPr>
                <w:sz w:val="25"/>
                <w:szCs w:val="25"/>
                <w:spacing w:val="1"/>
              </w:rPr>
              <w:t>款，吊销医师执业证书</w:t>
            </w:r>
          </w:p>
        </w:tc>
      </w:tr>
    </w:tbl>
    <w:p>
      <w:pPr>
        <w:pStyle w:val="BodyText"/>
        <w:spacing w:line="243" w:lineRule="auto"/>
        <w:rPr/>
      </w:pPr>
      <w:r/>
    </w:p>
    <w:p>
      <w:pPr>
        <w:pStyle w:val="BodyText"/>
        <w:spacing w:line="243" w:lineRule="auto"/>
        <w:rPr/>
      </w:pPr>
      <w:r/>
    </w:p>
    <w:p>
      <w:pPr>
        <w:ind w:left="79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第一百九十条医师未按照注册的执业地点、执业类别、执业范围执业的</w:t>
      </w:r>
    </w:p>
    <w:p>
      <w:pPr>
        <w:ind w:left="774"/>
        <w:spacing w:before="100" w:line="222" w:lineRule="auto"/>
        <w:rPr>
          <w:rFonts w:ascii="FangSong" w:hAnsi="FangSong" w:eastAsia="FangSong" w:cs="FangSong"/>
          <w:sz w:val="30"/>
          <w:szCs w:val="30"/>
        </w:rPr>
      </w:pPr>
      <w:r>
        <w:rPr>
          <w:rFonts w:ascii="FangSong" w:hAnsi="FangSong" w:eastAsia="FangSong" w:cs="FangSong"/>
          <w:sz w:val="30"/>
          <w:szCs w:val="30"/>
        </w:rPr>
        <w:t>法律依据：</w:t>
      </w:r>
    </w:p>
    <w:p>
      <w:pPr>
        <w:ind w:left="135" w:right="19" w:firstLine="619"/>
        <w:spacing w:before="79" w:line="265" w:lineRule="auto"/>
        <w:jc w:val="both"/>
        <w:rPr>
          <w:rFonts w:ascii="FangSong" w:hAnsi="FangSong" w:eastAsia="FangSong" w:cs="FangSong"/>
          <w:sz w:val="30"/>
          <w:szCs w:val="30"/>
        </w:rPr>
      </w:pPr>
      <w:r>
        <w:rPr>
          <w:rFonts w:ascii="FangSong" w:hAnsi="FangSong" w:eastAsia="FangSong" w:cs="FangSong"/>
          <w:sz w:val="30"/>
          <w:szCs w:val="30"/>
          <w:spacing w:val="12"/>
        </w:rPr>
        <w:t>《中华人民共和国医师法》第五十七条</w:t>
      </w:r>
      <w:r>
        <w:rPr>
          <w:rFonts w:ascii="FangSong" w:hAnsi="FangSong" w:eastAsia="FangSong" w:cs="FangSong"/>
          <w:sz w:val="30"/>
          <w:szCs w:val="30"/>
          <w:spacing w:val="12"/>
        </w:rPr>
        <w:t xml:space="preserve">  </w:t>
      </w:r>
      <w:r>
        <w:rPr>
          <w:rFonts w:ascii="FangSong" w:hAnsi="FangSong" w:eastAsia="FangSong" w:cs="FangSong"/>
          <w:sz w:val="30"/>
          <w:szCs w:val="30"/>
          <w:spacing w:val="12"/>
        </w:rPr>
        <w:t>违反本法规定，医师未按照注册的执业地点、执业类别、</w:t>
      </w:r>
      <w:r>
        <w:rPr>
          <w:rFonts w:ascii="FangSong" w:hAnsi="FangSong" w:eastAsia="FangSong" w:cs="FangSong"/>
          <w:sz w:val="30"/>
          <w:szCs w:val="30"/>
          <w:spacing w:val="11"/>
        </w:rPr>
        <w:t xml:space="preserve"> </w:t>
      </w:r>
      <w:r>
        <w:rPr>
          <w:rFonts w:ascii="FangSong" w:hAnsi="FangSong" w:eastAsia="FangSong" w:cs="FangSong"/>
          <w:sz w:val="30"/>
          <w:szCs w:val="30"/>
          <w:spacing w:val="19"/>
        </w:rPr>
        <w:t>执业范围执业的，由县级以上人民政府卫生健康主管部门或者中医药主管部门责令</w:t>
      </w:r>
      <w:r>
        <w:rPr>
          <w:rFonts w:ascii="FangSong" w:hAnsi="FangSong" w:eastAsia="FangSong" w:cs="FangSong"/>
          <w:sz w:val="30"/>
          <w:szCs w:val="30"/>
          <w:spacing w:val="18"/>
        </w:rPr>
        <w:t>改正，给予警告，</w:t>
      </w:r>
      <w:r>
        <w:rPr>
          <w:rFonts w:ascii="FangSong" w:hAnsi="FangSong" w:eastAsia="FangSong" w:cs="FangSong"/>
          <w:sz w:val="30"/>
          <w:szCs w:val="30"/>
        </w:rPr>
        <w:t xml:space="preserve"> </w:t>
      </w:r>
      <w:r>
        <w:rPr>
          <w:rFonts w:ascii="FangSong" w:hAnsi="FangSong" w:eastAsia="FangSong" w:cs="FangSong"/>
          <w:sz w:val="30"/>
          <w:szCs w:val="30"/>
          <w:spacing w:val="17"/>
        </w:rPr>
        <w:t>没收违法所得，并处一万元以上三万元以下的罚款；情</w:t>
      </w:r>
      <w:r>
        <w:rPr>
          <w:rFonts w:ascii="FangSong" w:hAnsi="FangSong" w:eastAsia="FangSong" w:cs="FangSong"/>
          <w:sz w:val="30"/>
          <w:szCs w:val="30"/>
          <w:spacing w:val="16"/>
        </w:rPr>
        <w:t>节严重的，责令暂停六个月以上一年以下执业</w:t>
      </w:r>
      <w:r>
        <w:rPr>
          <w:rFonts w:ascii="FangSong" w:hAnsi="FangSong" w:eastAsia="FangSong" w:cs="FangSong"/>
          <w:sz w:val="30"/>
          <w:szCs w:val="30"/>
        </w:rPr>
        <w:t xml:space="preserve">  </w:t>
      </w:r>
      <w:r>
        <w:rPr>
          <w:rFonts w:ascii="FangSong" w:hAnsi="FangSong" w:eastAsia="FangSong" w:cs="FangSong"/>
          <w:sz w:val="30"/>
          <w:szCs w:val="30"/>
          <w:spacing w:val="15"/>
        </w:rPr>
        <w:t>活动直至吊销医师执业证书。</w:t>
      </w:r>
    </w:p>
    <w:p>
      <w:pPr>
        <w:ind w:left="6539"/>
        <w:spacing w:before="1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42" w:lineRule="auto"/>
        <w:rPr>
          <w:rFonts w:ascii="Arial"/>
          <w:sz w:val="2"/>
        </w:rPr>
      </w:pPr>
      <w:r>
        <w:rPr>
          <w:rFonts w:ascii="Arial"/>
          <w:sz w:val="2"/>
        </w:rPr>
      </w:r>
    </w:p>
    <w:tbl>
      <w:tblPr>
        <w:tblStyle w:val="TableNormal"/>
        <w:tblW w:w="14161"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5596"/>
        <w:gridCol w:w="7121"/>
      </w:tblGrid>
      <w:tr>
        <w:trPr>
          <w:trHeight w:val="424" w:hRule="atLeast"/>
        </w:trPr>
        <w:tc>
          <w:tcPr>
            <w:tcW w:w="1444" w:type="dxa"/>
            <w:vAlign w:val="top"/>
          </w:tcPr>
          <w:p>
            <w:pPr>
              <w:pStyle w:val="TableText"/>
              <w:ind w:left="218"/>
              <w:spacing w:before="92" w:line="220" w:lineRule="auto"/>
              <w:rPr>
                <w:sz w:val="25"/>
                <w:szCs w:val="25"/>
              </w:rPr>
            </w:pPr>
            <w:r>
              <w:rPr>
                <w:sz w:val="25"/>
                <w:szCs w:val="25"/>
                <w:b/>
                <w:bCs/>
                <w:spacing w:val="-5"/>
              </w:rPr>
              <w:t>违法程度</w:t>
            </w:r>
          </w:p>
        </w:tc>
        <w:tc>
          <w:tcPr>
            <w:tcW w:w="5596" w:type="dxa"/>
            <w:vAlign w:val="top"/>
          </w:tcPr>
          <w:p>
            <w:pPr>
              <w:pStyle w:val="TableText"/>
              <w:ind w:left="2294"/>
              <w:spacing w:before="92" w:line="220" w:lineRule="auto"/>
              <w:rPr>
                <w:sz w:val="25"/>
                <w:szCs w:val="25"/>
              </w:rPr>
            </w:pPr>
            <w:r>
              <w:rPr>
                <w:sz w:val="25"/>
                <w:szCs w:val="25"/>
                <w:b/>
                <w:bCs/>
                <w:spacing w:val="-5"/>
              </w:rPr>
              <w:t>违法后果</w:t>
            </w:r>
          </w:p>
        </w:tc>
        <w:tc>
          <w:tcPr>
            <w:tcW w:w="7121" w:type="dxa"/>
            <w:vAlign w:val="top"/>
          </w:tcPr>
          <w:p>
            <w:pPr>
              <w:pStyle w:val="TableText"/>
              <w:ind w:left="3058"/>
              <w:spacing w:before="89" w:line="218" w:lineRule="auto"/>
              <w:rPr>
                <w:sz w:val="25"/>
                <w:szCs w:val="25"/>
              </w:rPr>
            </w:pPr>
            <w:r>
              <w:rPr>
                <w:sz w:val="25"/>
                <w:szCs w:val="25"/>
                <w:b/>
                <w:bCs/>
                <w:spacing w:val="-5"/>
              </w:rPr>
              <w:t>裁量幅度</w:t>
            </w:r>
          </w:p>
        </w:tc>
      </w:tr>
      <w:tr>
        <w:trPr>
          <w:trHeight w:val="877" w:hRule="atLeast"/>
        </w:trPr>
        <w:tc>
          <w:tcPr>
            <w:tcW w:w="1444" w:type="dxa"/>
            <w:vAlign w:val="top"/>
          </w:tcPr>
          <w:p>
            <w:pPr>
              <w:spacing w:line="286" w:lineRule="auto"/>
              <w:rPr>
                <w:rFonts w:ascii="Arial"/>
                <w:sz w:val="21"/>
              </w:rPr>
            </w:pPr>
            <w:r/>
          </w:p>
          <w:p>
            <w:pPr>
              <w:pStyle w:val="TableText"/>
              <w:ind w:left="468"/>
              <w:spacing w:before="81" w:line="221" w:lineRule="auto"/>
              <w:rPr>
                <w:sz w:val="25"/>
                <w:szCs w:val="25"/>
              </w:rPr>
            </w:pPr>
            <w:r>
              <w:rPr>
                <w:sz w:val="25"/>
                <w:szCs w:val="25"/>
                <w:b/>
                <w:bCs/>
                <w:spacing w:val="-10"/>
              </w:rPr>
              <w:t>一般</w:t>
            </w:r>
          </w:p>
        </w:tc>
        <w:tc>
          <w:tcPr>
            <w:tcW w:w="5596" w:type="dxa"/>
            <w:vAlign w:val="top"/>
          </w:tcPr>
          <w:p>
            <w:pPr>
              <w:pStyle w:val="TableText"/>
              <w:ind w:left="100" w:right="21" w:hanging="60"/>
              <w:spacing w:before="152" w:line="264" w:lineRule="auto"/>
              <w:rPr>
                <w:sz w:val="25"/>
                <w:szCs w:val="25"/>
              </w:rPr>
            </w:pPr>
            <w:r>
              <w:rPr>
                <w:sz w:val="25"/>
                <w:szCs w:val="25"/>
                <w:spacing w:val="1"/>
              </w:rPr>
              <w:t>医师未按照注册的执业地点、执业类别、执业范围</w:t>
            </w:r>
            <w:r>
              <w:rPr>
                <w:sz w:val="25"/>
                <w:szCs w:val="25"/>
              </w:rPr>
              <w:t xml:space="preserve"> </w:t>
            </w:r>
            <w:r>
              <w:rPr>
                <w:sz w:val="25"/>
                <w:szCs w:val="25"/>
                <w:spacing w:val="1"/>
              </w:rPr>
              <w:t>执业，首次发现且情节轻微的</w:t>
            </w:r>
          </w:p>
        </w:tc>
        <w:tc>
          <w:tcPr>
            <w:tcW w:w="7121" w:type="dxa"/>
            <w:vAlign w:val="top"/>
          </w:tcPr>
          <w:p>
            <w:pPr>
              <w:pStyle w:val="TableText"/>
              <w:ind w:left="124" w:hanging="109"/>
              <w:spacing w:before="160" w:line="261" w:lineRule="auto"/>
              <w:rPr>
                <w:sz w:val="25"/>
                <w:szCs w:val="25"/>
              </w:rPr>
            </w:pPr>
            <w:r>
              <w:rPr>
                <w:sz w:val="25"/>
                <w:szCs w:val="25"/>
                <w:spacing w:val="-6"/>
              </w:rPr>
              <w:t>责令改正，给予警告，没收违法所得，并处一万元以上两万元以下</w:t>
            </w:r>
            <w:r>
              <w:rPr>
                <w:sz w:val="25"/>
                <w:szCs w:val="25"/>
                <w:spacing w:val="18"/>
              </w:rPr>
              <w:t xml:space="preserve"> </w:t>
            </w:r>
            <w:r>
              <w:rPr>
                <w:sz w:val="25"/>
                <w:szCs w:val="25"/>
                <w:spacing w:val="3"/>
              </w:rPr>
              <w:t>的罚款</w:t>
            </w:r>
          </w:p>
        </w:tc>
      </w:tr>
      <w:tr>
        <w:trPr>
          <w:trHeight w:val="898" w:hRule="atLeast"/>
        </w:trPr>
        <w:tc>
          <w:tcPr>
            <w:tcW w:w="1444" w:type="dxa"/>
            <w:vAlign w:val="top"/>
          </w:tcPr>
          <w:p>
            <w:pPr>
              <w:spacing w:line="251" w:lineRule="auto"/>
              <w:rPr>
                <w:rFonts w:ascii="Arial"/>
                <w:sz w:val="21"/>
              </w:rPr>
            </w:pPr>
            <w:r/>
          </w:p>
          <w:p>
            <w:pPr>
              <w:pStyle w:val="TableText"/>
              <w:ind w:left="468"/>
              <w:spacing w:before="81" w:line="221" w:lineRule="auto"/>
              <w:rPr>
                <w:sz w:val="25"/>
                <w:szCs w:val="25"/>
              </w:rPr>
            </w:pPr>
            <w:r>
              <w:rPr>
                <w:sz w:val="25"/>
                <w:szCs w:val="25"/>
                <w:b/>
                <w:bCs/>
                <w:spacing w:val="-6"/>
              </w:rPr>
              <w:t>较重</w:t>
            </w:r>
          </w:p>
        </w:tc>
        <w:tc>
          <w:tcPr>
            <w:tcW w:w="5596" w:type="dxa"/>
            <w:vAlign w:val="top"/>
          </w:tcPr>
          <w:p>
            <w:pPr>
              <w:pStyle w:val="TableText"/>
              <w:ind w:left="100" w:right="21" w:hanging="60"/>
              <w:spacing w:before="164" w:line="267" w:lineRule="auto"/>
              <w:rPr>
                <w:sz w:val="25"/>
                <w:szCs w:val="25"/>
              </w:rPr>
            </w:pPr>
            <w:r>
              <w:rPr>
                <w:sz w:val="25"/>
                <w:szCs w:val="25"/>
                <w:spacing w:val="1"/>
              </w:rPr>
              <w:t>医师未按照注册的执业地点、执业类别、执业范围</w:t>
            </w:r>
            <w:r>
              <w:rPr>
                <w:sz w:val="25"/>
                <w:szCs w:val="25"/>
              </w:rPr>
              <w:t xml:space="preserve"> </w:t>
            </w:r>
            <w:r>
              <w:rPr>
                <w:sz w:val="25"/>
                <w:szCs w:val="25"/>
                <w:spacing w:val="2"/>
              </w:rPr>
              <w:t>执业，再次发生的</w:t>
            </w:r>
          </w:p>
        </w:tc>
        <w:tc>
          <w:tcPr>
            <w:tcW w:w="7121" w:type="dxa"/>
            <w:vAlign w:val="top"/>
          </w:tcPr>
          <w:p>
            <w:pPr>
              <w:pStyle w:val="TableText"/>
              <w:ind w:left="114" w:hanging="99"/>
              <w:spacing w:before="162" w:line="268" w:lineRule="auto"/>
              <w:rPr>
                <w:sz w:val="25"/>
                <w:szCs w:val="25"/>
              </w:rPr>
            </w:pPr>
            <w:r>
              <w:rPr>
                <w:sz w:val="25"/>
                <w:szCs w:val="25"/>
                <w:spacing w:val="-6"/>
              </w:rPr>
              <w:t>责令改正，给予警告，没收违法所得，并处两万元以上三万元以下</w:t>
            </w:r>
            <w:r>
              <w:rPr>
                <w:sz w:val="25"/>
                <w:szCs w:val="25"/>
                <w:spacing w:val="18"/>
              </w:rPr>
              <w:t xml:space="preserve"> </w:t>
            </w:r>
            <w:r>
              <w:rPr>
                <w:sz w:val="25"/>
                <w:szCs w:val="25"/>
                <w:spacing w:val="3"/>
              </w:rPr>
              <w:t>的罚款</w:t>
            </w:r>
          </w:p>
        </w:tc>
      </w:tr>
      <w:tr>
        <w:trPr>
          <w:trHeight w:val="1251" w:hRule="atLeast"/>
        </w:trPr>
        <w:tc>
          <w:tcPr>
            <w:tcW w:w="1444" w:type="dxa"/>
            <w:vAlign w:val="top"/>
          </w:tcPr>
          <w:p>
            <w:pPr>
              <w:spacing w:line="419" w:lineRule="auto"/>
              <w:rPr>
                <w:rFonts w:ascii="Arial"/>
                <w:sz w:val="21"/>
              </w:rPr>
            </w:pPr>
            <w:r/>
          </w:p>
          <w:p>
            <w:pPr>
              <w:pStyle w:val="TableText"/>
              <w:ind w:left="468"/>
              <w:spacing w:before="81" w:line="220" w:lineRule="auto"/>
              <w:rPr>
                <w:sz w:val="25"/>
                <w:szCs w:val="25"/>
              </w:rPr>
            </w:pPr>
            <w:r>
              <w:rPr>
                <w:sz w:val="25"/>
                <w:szCs w:val="25"/>
                <w:b/>
                <w:bCs/>
                <w:spacing w:val="-6"/>
              </w:rPr>
              <w:t>严重</w:t>
            </w:r>
          </w:p>
        </w:tc>
        <w:tc>
          <w:tcPr>
            <w:tcW w:w="5596" w:type="dxa"/>
            <w:vAlign w:val="top"/>
          </w:tcPr>
          <w:p>
            <w:pPr>
              <w:pStyle w:val="TableText"/>
              <w:ind w:left="110" w:right="21" w:hanging="70"/>
              <w:spacing w:before="144" w:line="320" w:lineRule="auto"/>
              <w:rPr>
                <w:sz w:val="25"/>
                <w:szCs w:val="25"/>
              </w:rPr>
            </w:pPr>
            <w:r>
              <w:rPr>
                <w:sz w:val="25"/>
                <w:szCs w:val="25"/>
                <w:spacing w:val="1"/>
              </w:rPr>
              <w:t>医师未按照注册的执业地点、执业类别、执业范围</w:t>
            </w:r>
            <w:r>
              <w:rPr>
                <w:sz w:val="25"/>
                <w:szCs w:val="25"/>
              </w:rPr>
              <w:t xml:space="preserve"> </w:t>
            </w:r>
            <w:r>
              <w:rPr>
                <w:sz w:val="25"/>
                <w:szCs w:val="25"/>
                <w:spacing w:val="1"/>
              </w:rPr>
              <w:t>执业，造成患者严重后果的</w:t>
            </w:r>
          </w:p>
        </w:tc>
        <w:tc>
          <w:tcPr>
            <w:tcW w:w="7121" w:type="dxa"/>
            <w:vAlign w:val="top"/>
          </w:tcPr>
          <w:p>
            <w:pPr>
              <w:pStyle w:val="TableText"/>
              <w:ind w:left="114" w:hanging="99"/>
              <w:spacing w:before="143" w:line="321" w:lineRule="auto"/>
              <w:rPr>
                <w:sz w:val="25"/>
                <w:szCs w:val="25"/>
              </w:rPr>
            </w:pPr>
            <w:r>
              <w:rPr>
                <w:sz w:val="25"/>
                <w:szCs w:val="25"/>
                <w:spacing w:val="-6"/>
              </w:rPr>
              <w:t>责令改正，给予警告，没收违法所得，并处三万元的罚款，责令暂</w:t>
            </w:r>
            <w:r>
              <w:rPr>
                <w:sz w:val="25"/>
                <w:szCs w:val="25"/>
                <w:spacing w:val="18"/>
              </w:rPr>
              <w:t xml:space="preserve"> </w:t>
            </w:r>
            <w:r>
              <w:rPr>
                <w:sz w:val="25"/>
                <w:szCs w:val="25"/>
                <w:spacing w:val="1"/>
              </w:rPr>
              <w:t>停六个月以上一年以下执业活动</w:t>
            </w:r>
          </w:p>
        </w:tc>
      </w:tr>
    </w:tbl>
    <w:p>
      <w:pPr>
        <w:pStyle w:val="BodyText"/>
        <w:rPr/>
      </w:pPr>
      <w:r/>
    </w:p>
    <w:p>
      <w:pPr>
        <w:sectPr>
          <w:footerReference w:type="default" r:id="rId258"/>
          <w:pgSz w:w="16830" w:h="11900"/>
          <w:pgMar w:top="1011" w:right="1300" w:bottom="1118" w:left="1314" w:header="0" w:footer="785" w:gutter="0"/>
        </w:sectPr>
        <w:rPr/>
      </w:pPr>
    </w:p>
    <w:p>
      <w:pPr>
        <w:spacing w:before="13"/>
        <w:rPr/>
      </w:pPr>
      <w:r/>
    </w:p>
    <w:p>
      <w:pPr>
        <w:spacing w:before="13"/>
        <w:rPr/>
      </w:pPr>
      <w:r/>
    </w:p>
    <w:p>
      <w:pPr>
        <w:spacing w:before="13"/>
        <w:rPr/>
      </w:pPr>
      <w:r/>
    </w:p>
    <w:tbl>
      <w:tblPr>
        <w:tblStyle w:val="TableNormal"/>
        <w:tblW w:w="141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3"/>
        <w:gridCol w:w="5586"/>
        <w:gridCol w:w="7150"/>
      </w:tblGrid>
      <w:tr>
        <w:trPr>
          <w:trHeight w:val="880" w:hRule="atLeast"/>
        </w:trPr>
        <w:tc>
          <w:tcPr>
            <w:tcW w:w="1443" w:type="dxa"/>
            <w:vAlign w:val="top"/>
          </w:tcPr>
          <w:p>
            <w:pPr>
              <w:pStyle w:val="TableText"/>
              <w:ind w:left="218"/>
              <w:spacing w:before="321" w:line="219" w:lineRule="auto"/>
              <w:rPr>
                <w:sz w:val="25"/>
                <w:szCs w:val="25"/>
              </w:rPr>
            </w:pPr>
            <w:bookmarkStart w:name="bookmark912" w:id="278"/>
            <w:bookmarkEnd w:id="278"/>
            <w:r>
              <w:rPr>
                <w:sz w:val="25"/>
                <w:szCs w:val="25"/>
                <w:b/>
                <w:bCs/>
                <w:spacing w:val="-5"/>
              </w:rPr>
              <w:t>特别严重</w:t>
            </w:r>
          </w:p>
        </w:tc>
        <w:tc>
          <w:tcPr>
            <w:tcW w:w="5586" w:type="dxa"/>
            <w:vAlign w:val="top"/>
          </w:tcPr>
          <w:p>
            <w:pPr>
              <w:pStyle w:val="TableText"/>
              <w:ind w:left="101"/>
              <w:spacing w:before="154" w:line="264" w:lineRule="auto"/>
              <w:rPr>
                <w:sz w:val="25"/>
                <w:szCs w:val="25"/>
              </w:rPr>
            </w:pPr>
            <w:r>
              <w:rPr>
                <w:sz w:val="25"/>
                <w:szCs w:val="25"/>
                <w:spacing w:val="-2"/>
              </w:rPr>
              <w:t>医师未按照注册的执业地点、执业类别、执业范围</w:t>
            </w:r>
            <w:r>
              <w:rPr>
                <w:sz w:val="25"/>
                <w:szCs w:val="25"/>
                <w:spacing w:val="17"/>
              </w:rPr>
              <w:t xml:space="preserve"> </w:t>
            </w:r>
            <w:r>
              <w:rPr>
                <w:sz w:val="25"/>
                <w:szCs w:val="25"/>
                <w:spacing w:val="1"/>
              </w:rPr>
              <w:t>执业，造成患者死亡的</w:t>
            </w:r>
          </w:p>
        </w:tc>
        <w:tc>
          <w:tcPr>
            <w:tcW w:w="7150" w:type="dxa"/>
            <w:vAlign w:val="top"/>
          </w:tcPr>
          <w:p>
            <w:pPr>
              <w:pStyle w:val="TableText"/>
              <w:ind w:left="105"/>
              <w:spacing w:before="152" w:line="265" w:lineRule="auto"/>
              <w:rPr>
                <w:sz w:val="25"/>
                <w:szCs w:val="25"/>
              </w:rPr>
            </w:pPr>
            <w:r>
              <w:rPr>
                <w:sz w:val="25"/>
                <w:szCs w:val="25"/>
                <w:spacing w:val="-8"/>
              </w:rPr>
              <w:t>责令改正，给予警告，没收违法所得，并处三万元的罚款，吊销医</w:t>
            </w:r>
            <w:r>
              <w:rPr>
                <w:sz w:val="25"/>
                <w:szCs w:val="25"/>
                <w:spacing w:val="15"/>
              </w:rPr>
              <w:t xml:space="preserve"> </w:t>
            </w:r>
            <w:r>
              <w:rPr>
                <w:sz w:val="25"/>
                <w:szCs w:val="25"/>
                <w:spacing w:val="2"/>
              </w:rPr>
              <w:t>师执业证书</w:t>
            </w:r>
          </w:p>
        </w:tc>
      </w:tr>
    </w:tbl>
    <w:p>
      <w:pPr>
        <w:pStyle w:val="BodyText"/>
        <w:spacing w:line="433" w:lineRule="auto"/>
        <w:rPr/>
      </w:pPr>
      <w:r/>
    </w:p>
    <w:p>
      <w:pPr>
        <w:ind w:left="769"/>
        <w:spacing w:before="100" w:line="219" w:lineRule="auto"/>
        <w:rPr>
          <w:rFonts w:ascii="FangSong" w:hAnsi="FangSong" w:eastAsia="FangSong" w:cs="FangSong"/>
          <w:sz w:val="31"/>
          <w:szCs w:val="31"/>
        </w:rPr>
      </w:pPr>
      <w:r>
        <w:rPr>
          <w:rFonts w:ascii="FangSong" w:hAnsi="FangSong" w:eastAsia="FangSong" w:cs="FangSong"/>
          <w:sz w:val="31"/>
          <w:szCs w:val="31"/>
          <w:b/>
          <w:bCs/>
          <w:spacing w:val="11"/>
        </w:rPr>
        <w:t>第一百九十一条医师在执业活动中严重违反医师职业道德、医学</w:t>
      </w:r>
      <w:r>
        <w:rPr>
          <w:rFonts w:ascii="FangSong" w:hAnsi="FangSong" w:eastAsia="FangSong" w:cs="FangSong"/>
          <w:sz w:val="31"/>
          <w:szCs w:val="31"/>
          <w:b/>
          <w:bCs/>
          <w:spacing w:val="10"/>
        </w:rPr>
        <w:t>伦理规范，造成恶劣社会影响</w:t>
      </w:r>
    </w:p>
    <w:p>
      <w:pPr>
        <w:ind w:left="114"/>
        <w:spacing w:before="127" w:line="227" w:lineRule="auto"/>
        <w:rPr>
          <w:rFonts w:ascii="FangSong" w:hAnsi="FangSong" w:eastAsia="FangSong" w:cs="FangSong"/>
          <w:sz w:val="31"/>
          <w:szCs w:val="31"/>
        </w:rPr>
      </w:pPr>
      <w:r>
        <w:rPr>
          <w:rFonts w:ascii="FangSong" w:hAnsi="FangSong" w:eastAsia="FangSong" w:cs="FangSong"/>
          <w:sz w:val="31"/>
          <w:szCs w:val="31"/>
        </w:rPr>
        <w:t>的</w:t>
      </w:r>
    </w:p>
    <w:p>
      <w:pPr>
        <w:ind w:left="764"/>
        <w:spacing w:before="71"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114" w:right="144" w:firstLine="614"/>
        <w:spacing w:before="64" w:line="264" w:lineRule="auto"/>
        <w:jc w:val="both"/>
        <w:rPr>
          <w:rFonts w:ascii="FangSong" w:hAnsi="FangSong" w:eastAsia="FangSong" w:cs="FangSong"/>
          <w:sz w:val="31"/>
          <w:szCs w:val="31"/>
        </w:rPr>
      </w:pPr>
      <w:r>
        <w:rPr>
          <w:rFonts w:ascii="FangSong" w:hAnsi="FangSong" w:eastAsia="FangSong" w:cs="FangSong"/>
          <w:sz w:val="31"/>
          <w:szCs w:val="31"/>
          <w:spacing w:val="7"/>
        </w:rPr>
        <w:t>《中华人民共和国医师法》第五十八条</w:t>
      </w:r>
      <w:r>
        <w:rPr>
          <w:rFonts w:ascii="FangSong" w:hAnsi="FangSong" w:eastAsia="FangSong" w:cs="FangSong"/>
          <w:sz w:val="31"/>
          <w:szCs w:val="31"/>
          <w:spacing w:val="7"/>
        </w:rPr>
        <w:t xml:space="preserve">  </w:t>
      </w:r>
      <w:r>
        <w:rPr>
          <w:rFonts w:ascii="FangSong" w:hAnsi="FangSong" w:eastAsia="FangSong" w:cs="FangSong"/>
          <w:sz w:val="31"/>
          <w:szCs w:val="31"/>
          <w:spacing w:val="7"/>
        </w:rPr>
        <w:t>严重违反医师职业道德、医学伦理规</w:t>
      </w:r>
      <w:r>
        <w:rPr>
          <w:rFonts w:ascii="FangSong" w:hAnsi="FangSong" w:eastAsia="FangSong" w:cs="FangSong"/>
          <w:sz w:val="31"/>
          <w:szCs w:val="31"/>
          <w:spacing w:val="6"/>
        </w:rPr>
        <w:t>范，造成恶劣社会</w:t>
      </w:r>
      <w:r>
        <w:rPr>
          <w:rFonts w:ascii="FangSong" w:hAnsi="FangSong" w:eastAsia="FangSong" w:cs="FangSong"/>
          <w:sz w:val="31"/>
          <w:szCs w:val="31"/>
        </w:rPr>
        <w:t xml:space="preserve"> </w:t>
      </w:r>
      <w:r>
        <w:rPr>
          <w:rFonts w:ascii="FangSong" w:hAnsi="FangSong" w:eastAsia="FangSong" w:cs="FangSong"/>
          <w:sz w:val="31"/>
          <w:szCs w:val="31"/>
          <w:spacing w:val="7"/>
        </w:rPr>
        <w:t>影响的，由省级以上人民政府卫生健康主管部门吊销医师</w:t>
      </w:r>
      <w:r>
        <w:rPr>
          <w:rFonts w:ascii="FangSong" w:hAnsi="FangSong" w:eastAsia="FangSong" w:cs="FangSong"/>
          <w:sz w:val="31"/>
          <w:szCs w:val="31"/>
          <w:spacing w:val="6"/>
        </w:rPr>
        <w:t>执业证书或者责令停止非法执业活动，五年</w:t>
      </w:r>
      <w:r>
        <w:rPr>
          <w:rFonts w:ascii="FangSong" w:hAnsi="FangSong" w:eastAsia="FangSong" w:cs="FangSong"/>
          <w:sz w:val="31"/>
          <w:szCs w:val="31"/>
        </w:rPr>
        <w:t xml:space="preserve"> </w:t>
      </w:r>
      <w:r>
        <w:rPr>
          <w:rFonts w:ascii="FangSong" w:hAnsi="FangSong" w:eastAsia="FangSong" w:cs="FangSong"/>
          <w:sz w:val="31"/>
          <w:szCs w:val="31"/>
          <w:spacing w:val="6"/>
        </w:rPr>
        <w:t>直至终身禁止从事医疗卫生服务或者医学临床研究。</w:t>
      </w:r>
    </w:p>
    <w:p>
      <w:pPr>
        <w:ind w:left="6528"/>
        <w:spacing w:before="1" w:line="208"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41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8573"/>
        <w:gridCol w:w="4172"/>
      </w:tblGrid>
      <w:tr>
        <w:trPr>
          <w:trHeight w:val="472" w:hRule="atLeast"/>
        </w:trPr>
        <w:tc>
          <w:tcPr>
            <w:tcW w:w="1424" w:type="dxa"/>
            <w:vAlign w:val="top"/>
          </w:tcPr>
          <w:p>
            <w:pPr>
              <w:pStyle w:val="TableText"/>
              <w:ind w:left="208"/>
              <w:spacing w:before="112" w:line="220" w:lineRule="auto"/>
              <w:rPr>
                <w:sz w:val="25"/>
                <w:szCs w:val="25"/>
              </w:rPr>
            </w:pPr>
            <w:r>
              <w:rPr>
                <w:sz w:val="25"/>
                <w:szCs w:val="25"/>
                <w:b/>
                <w:bCs/>
                <w:spacing w:val="-5"/>
              </w:rPr>
              <w:t>违法程度</w:t>
            </w:r>
          </w:p>
        </w:tc>
        <w:tc>
          <w:tcPr>
            <w:tcW w:w="8573" w:type="dxa"/>
            <w:vAlign w:val="top"/>
          </w:tcPr>
          <w:p>
            <w:pPr>
              <w:pStyle w:val="TableText"/>
              <w:ind w:left="3784"/>
              <w:spacing w:before="112" w:line="220" w:lineRule="auto"/>
              <w:rPr>
                <w:sz w:val="25"/>
                <w:szCs w:val="25"/>
              </w:rPr>
            </w:pPr>
            <w:r>
              <w:rPr>
                <w:sz w:val="25"/>
                <w:szCs w:val="25"/>
                <w:b/>
                <w:bCs/>
                <w:spacing w:val="-5"/>
              </w:rPr>
              <w:t>违法后果</w:t>
            </w:r>
          </w:p>
        </w:tc>
        <w:tc>
          <w:tcPr>
            <w:tcW w:w="4172" w:type="dxa"/>
            <w:vAlign w:val="top"/>
          </w:tcPr>
          <w:p>
            <w:pPr>
              <w:pStyle w:val="TableText"/>
              <w:ind w:left="1521"/>
              <w:spacing w:before="109" w:line="218" w:lineRule="auto"/>
              <w:rPr>
                <w:sz w:val="25"/>
                <w:szCs w:val="25"/>
              </w:rPr>
            </w:pPr>
            <w:r>
              <w:rPr>
                <w:sz w:val="25"/>
                <w:szCs w:val="25"/>
                <w:b/>
                <w:bCs/>
                <w:spacing w:val="-5"/>
              </w:rPr>
              <w:t>裁量幅度</w:t>
            </w:r>
          </w:p>
        </w:tc>
      </w:tr>
      <w:tr>
        <w:trPr>
          <w:trHeight w:val="447" w:hRule="atLeast"/>
        </w:trPr>
        <w:tc>
          <w:tcPr>
            <w:tcW w:w="1424" w:type="dxa"/>
            <w:vAlign w:val="top"/>
          </w:tcPr>
          <w:p>
            <w:pPr>
              <w:pStyle w:val="TableText"/>
              <w:ind w:left="458"/>
              <w:spacing w:before="160" w:line="204" w:lineRule="auto"/>
              <w:rPr>
                <w:sz w:val="25"/>
                <w:szCs w:val="25"/>
              </w:rPr>
            </w:pPr>
            <w:r>
              <w:rPr>
                <w:sz w:val="25"/>
                <w:szCs w:val="25"/>
                <w:b/>
                <w:bCs/>
                <w:spacing w:val="-6"/>
              </w:rPr>
              <w:t>严重</w:t>
            </w:r>
          </w:p>
        </w:tc>
        <w:tc>
          <w:tcPr>
            <w:tcW w:w="8573" w:type="dxa"/>
            <w:vAlign w:val="top"/>
          </w:tcPr>
          <w:p>
            <w:pPr>
              <w:pStyle w:val="TableText"/>
              <w:spacing w:before="162" w:line="203" w:lineRule="auto"/>
              <w:jc w:val="right"/>
              <w:rPr>
                <w:sz w:val="25"/>
                <w:szCs w:val="25"/>
              </w:rPr>
            </w:pPr>
            <w:r>
              <w:rPr>
                <w:sz w:val="25"/>
                <w:szCs w:val="25"/>
                <w:spacing w:val="-6"/>
              </w:rPr>
              <w:t>医师在执业活动中严重违反医师职业道德、医学伦理规范，造成恶劣社会影响的</w:t>
            </w:r>
          </w:p>
        </w:tc>
        <w:tc>
          <w:tcPr>
            <w:tcW w:w="4172" w:type="dxa"/>
            <w:vAlign w:val="top"/>
          </w:tcPr>
          <w:p>
            <w:pPr>
              <w:pStyle w:val="TableText"/>
              <w:ind w:left="148"/>
              <w:spacing w:before="152" w:line="210" w:lineRule="auto"/>
              <w:rPr>
                <w:sz w:val="25"/>
                <w:szCs w:val="25"/>
              </w:rPr>
            </w:pPr>
            <w:r>
              <w:rPr>
                <w:sz w:val="25"/>
                <w:szCs w:val="25"/>
                <w:spacing w:val="1"/>
              </w:rPr>
              <w:t>责令停止非法执业活动</w:t>
            </w:r>
          </w:p>
        </w:tc>
      </w:tr>
      <w:tr>
        <w:trPr>
          <w:trHeight w:val="870" w:hRule="atLeast"/>
        </w:trPr>
        <w:tc>
          <w:tcPr>
            <w:tcW w:w="1424" w:type="dxa"/>
            <w:vAlign w:val="top"/>
          </w:tcPr>
          <w:p>
            <w:pPr>
              <w:pStyle w:val="TableText"/>
              <w:ind w:left="208"/>
              <w:spacing w:before="312" w:line="219" w:lineRule="auto"/>
              <w:rPr>
                <w:sz w:val="25"/>
                <w:szCs w:val="25"/>
              </w:rPr>
            </w:pPr>
            <w:r>
              <w:rPr>
                <w:sz w:val="25"/>
                <w:szCs w:val="25"/>
                <w:b/>
                <w:bCs/>
                <w:spacing w:val="-5"/>
              </w:rPr>
              <w:t>特别严重</w:t>
            </w:r>
          </w:p>
        </w:tc>
        <w:tc>
          <w:tcPr>
            <w:tcW w:w="8573" w:type="dxa"/>
            <w:vAlign w:val="top"/>
          </w:tcPr>
          <w:p>
            <w:pPr>
              <w:pStyle w:val="TableText"/>
              <w:ind w:left="129" w:hanging="119"/>
              <w:spacing w:before="155" w:line="260" w:lineRule="auto"/>
              <w:rPr>
                <w:sz w:val="25"/>
                <w:szCs w:val="25"/>
              </w:rPr>
            </w:pPr>
            <w:r>
              <w:rPr>
                <w:sz w:val="25"/>
                <w:szCs w:val="25"/>
                <w:spacing w:val="-6"/>
              </w:rPr>
              <w:t>医师在执业活动中严重违反医师职业道德、医学伦理规范，造成患者死亡及恶劣</w:t>
            </w:r>
            <w:r>
              <w:rPr>
                <w:sz w:val="25"/>
                <w:szCs w:val="25"/>
                <w:spacing w:val="11"/>
              </w:rPr>
              <w:t xml:space="preserve"> </w:t>
            </w:r>
            <w:r>
              <w:rPr>
                <w:sz w:val="25"/>
                <w:szCs w:val="25"/>
                <w:spacing w:val="3"/>
              </w:rPr>
              <w:t>社会影响的</w:t>
            </w:r>
          </w:p>
        </w:tc>
        <w:tc>
          <w:tcPr>
            <w:tcW w:w="4172" w:type="dxa"/>
            <w:vAlign w:val="top"/>
          </w:tcPr>
          <w:p>
            <w:pPr>
              <w:pStyle w:val="TableText"/>
              <w:ind w:left="148"/>
              <w:spacing w:before="314" w:line="219" w:lineRule="auto"/>
              <w:rPr>
                <w:sz w:val="25"/>
                <w:szCs w:val="25"/>
              </w:rPr>
            </w:pPr>
            <w:r>
              <w:rPr>
                <w:sz w:val="25"/>
                <w:szCs w:val="25"/>
                <w:spacing w:val="2"/>
              </w:rPr>
              <w:t>吊销医师执业证书</w:t>
            </w:r>
          </w:p>
        </w:tc>
      </w:tr>
    </w:tbl>
    <w:p>
      <w:pPr>
        <w:pStyle w:val="BodyText"/>
        <w:spacing w:line="453" w:lineRule="auto"/>
        <w:rPr/>
      </w:pPr>
      <w:r/>
    </w:p>
    <w:p>
      <w:pPr>
        <w:ind w:left="769"/>
        <w:spacing w:before="102" w:line="220" w:lineRule="auto"/>
        <w:rPr>
          <w:rFonts w:ascii="FangSong" w:hAnsi="FangSong" w:eastAsia="FangSong" w:cs="FangSong"/>
          <w:sz w:val="31"/>
          <w:szCs w:val="31"/>
        </w:rPr>
      </w:pPr>
      <w:r>
        <w:rPr>
          <w:rFonts w:ascii="FangSong" w:hAnsi="FangSong" w:eastAsia="FangSong" w:cs="FangSong"/>
          <w:sz w:val="31"/>
          <w:szCs w:val="31"/>
          <w:b/>
          <w:bCs/>
          <w:spacing w:val="19"/>
        </w:rPr>
        <w:t>第一百九十二条非医师行医</w:t>
      </w:r>
    </w:p>
    <w:p>
      <w:pPr>
        <w:ind w:left="764"/>
        <w:spacing w:before="117"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729"/>
        <w:spacing w:before="74" w:line="221" w:lineRule="auto"/>
        <w:rPr>
          <w:rFonts w:ascii="FangSong" w:hAnsi="FangSong" w:eastAsia="FangSong" w:cs="FangSong"/>
          <w:sz w:val="31"/>
          <w:szCs w:val="31"/>
        </w:rPr>
      </w:pPr>
      <w:r>
        <w:rPr>
          <w:rFonts w:ascii="FangSong" w:hAnsi="FangSong" w:eastAsia="FangSong" w:cs="FangSong"/>
          <w:sz w:val="31"/>
          <w:szCs w:val="31"/>
          <w:spacing w:val="6"/>
        </w:rPr>
        <w:t>《中华人民共和国医师法》第五十九条</w:t>
      </w:r>
      <w:r>
        <w:rPr>
          <w:rFonts w:ascii="FangSong" w:hAnsi="FangSong" w:eastAsia="FangSong" w:cs="FangSong"/>
          <w:sz w:val="31"/>
          <w:szCs w:val="31"/>
          <w:spacing w:val="6"/>
        </w:rPr>
        <w:t xml:space="preserve">  </w:t>
      </w:r>
      <w:r>
        <w:rPr>
          <w:rFonts w:ascii="FangSong" w:hAnsi="FangSong" w:eastAsia="FangSong" w:cs="FangSong"/>
          <w:sz w:val="31"/>
          <w:szCs w:val="31"/>
          <w:spacing w:val="6"/>
        </w:rPr>
        <w:t>违反本法规定，非医师行医的，由县级以上人民政府卫</w:t>
      </w:r>
    </w:p>
    <w:p>
      <w:pPr>
        <w:spacing w:line="221" w:lineRule="auto"/>
        <w:sectPr>
          <w:footerReference w:type="default" r:id="rId259"/>
          <w:pgSz w:w="16830" w:h="11900"/>
          <w:pgMar w:top="1011" w:right="1314" w:bottom="1118" w:left="1325" w:header="0" w:footer="785" w:gutter="0"/>
        </w:sectPr>
        <w:rPr>
          <w:rFonts w:ascii="FangSong" w:hAnsi="FangSong" w:eastAsia="FangSong" w:cs="FangSong"/>
          <w:sz w:val="31"/>
          <w:szCs w:val="31"/>
        </w:rPr>
      </w:pPr>
    </w:p>
    <w:p>
      <w:pPr>
        <w:pStyle w:val="BodyText"/>
        <w:spacing w:line="250" w:lineRule="auto"/>
        <w:rPr/>
      </w:pPr>
      <w:r/>
    </w:p>
    <w:p>
      <w:pPr>
        <w:pStyle w:val="BodyText"/>
        <w:spacing w:line="250" w:lineRule="auto"/>
        <w:rPr/>
      </w:pPr>
      <w:r/>
    </w:p>
    <w:p>
      <w:pPr>
        <w:pStyle w:val="BodyText"/>
        <w:spacing w:line="251" w:lineRule="auto"/>
        <w:rPr/>
      </w:pPr>
      <w:r/>
    </w:p>
    <w:p>
      <w:pPr>
        <w:ind w:left="115" w:right="155"/>
        <w:spacing w:before="97" w:line="278" w:lineRule="auto"/>
        <w:rPr>
          <w:rFonts w:ascii="FangSong" w:hAnsi="FangSong" w:eastAsia="FangSong" w:cs="FangSong"/>
          <w:sz w:val="30"/>
          <w:szCs w:val="30"/>
        </w:rPr>
      </w:pPr>
      <w:bookmarkStart w:name="bookmark913" w:id="279"/>
      <w:bookmarkEnd w:id="279"/>
      <w:r>
        <w:rPr>
          <w:rFonts w:ascii="FangSong" w:hAnsi="FangSong" w:eastAsia="FangSong" w:cs="FangSong"/>
          <w:sz w:val="30"/>
          <w:szCs w:val="30"/>
          <w:spacing w:val="16"/>
        </w:rPr>
        <w:t>生健康主管部门责令停止非法执业活动，没收违法所得和药品、医疗器械，并处违法所得二倍以</w:t>
      </w:r>
      <w:r>
        <w:rPr>
          <w:rFonts w:ascii="FangSong" w:hAnsi="FangSong" w:eastAsia="FangSong" w:cs="FangSong"/>
          <w:sz w:val="30"/>
          <w:szCs w:val="30"/>
          <w:spacing w:val="15"/>
        </w:rPr>
        <w:t>上十</w:t>
      </w:r>
      <w:r>
        <w:rPr>
          <w:rFonts w:ascii="FangSong" w:hAnsi="FangSong" w:eastAsia="FangSong" w:cs="FangSong"/>
          <w:sz w:val="30"/>
          <w:szCs w:val="30"/>
        </w:rPr>
        <w:t xml:space="preserve"> </w:t>
      </w:r>
      <w:r>
        <w:rPr>
          <w:rFonts w:ascii="FangSong" w:hAnsi="FangSong" w:eastAsia="FangSong" w:cs="FangSong"/>
          <w:sz w:val="30"/>
          <w:szCs w:val="30"/>
          <w:spacing w:val="17"/>
        </w:rPr>
        <w:t>倍以下的罚款，违法所得不足一万元的，按一万元计算。</w:t>
      </w:r>
    </w:p>
    <w:p>
      <w:pPr>
        <w:ind w:left="6539"/>
        <w:spacing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16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5616"/>
        <w:gridCol w:w="7124"/>
      </w:tblGrid>
      <w:tr>
        <w:trPr>
          <w:trHeight w:val="414" w:hRule="atLeast"/>
        </w:trPr>
        <w:tc>
          <w:tcPr>
            <w:tcW w:w="1424" w:type="dxa"/>
            <w:vAlign w:val="top"/>
          </w:tcPr>
          <w:p>
            <w:pPr>
              <w:pStyle w:val="TableText"/>
              <w:ind w:left="208"/>
              <w:spacing w:before="82" w:line="220" w:lineRule="auto"/>
              <w:rPr>
                <w:sz w:val="25"/>
                <w:szCs w:val="25"/>
              </w:rPr>
            </w:pPr>
            <w:r>
              <w:rPr>
                <w:sz w:val="25"/>
                <w:szCs w:val="25"/>
                <w:b/>
                <w:bCs/>
                <w:spacing w:val="-5"/>
              </w:rPr>
              <w:t>违法程度</w:t>
            </w:r>
          </w:p>
        </w:tc>
        <w:tc>
          <w:tcPr>
            <w:tcW w:w="5616" w:type="dxa"/>
            <w:vAlign w:val="top"/>
          </w:tcPr>
          <w:p>
            <w:pPr>
              <w:pStyle w:val="TableText"/>
              <w:ind w:left="2304"/>
              <w:spacing w:before="82" w:line="220" w:lineRule="auto"/>
              <w:rPr>
                <w:sz w:val="25"/>
                <w:szCs w:val="25"/>
              </w:rPr>
            </w:pPr>
            <w:r>
              <w:rPr>
                <w:sz w:val="25"/>
                <w:szCs w:val="25"/>
                <w:b/>
                <w:bCs/>
                <w:spacing w:val="-5"/>
              </w:rPr>
              <w:t>违法后果</w:t>
            </w:r>
          </w:p>
        </w:tc>
        <w:tc>
          <w:tcPr>
            <w:tcW w:w="7124" w:type="dxa"/>
            <w:vAlign w:val="top"/>
          </w:tcPr>
          <w:p>
            <w:pPr>
              <w:pStyle w:val="TableText"/>
              <w:ind w:left="3058"/>
              <w:spacing w:before="79" w:line="218" w:lineRule="auto"/>
              <w:rPr>
                <w:sz w:val="25"/>
                <w:szCs w:val="25"/>
              </w:rPr>
            </w:pPr>
            <w:r>
              <w:rPr>
                <w:sz w:val="25"/>
                <w:szCs w:val="25"/>
                <w:b/>
                <w:bCs/>
                <w:spacing w:val="-5"/>
              </w:rPr>
              <w:t>裁量幅度</w:t>
            </w:r>
          </w:p>
        </w:tc>
      </w:tr>
      <w:tr>
        <w:trPr>
          <w:trHeight w:val="1337" w:hRule="atLeast"/>
        </w:trPr>
        <w:tc>
          <w:tcPr>
            <w:tcW w:w="1424" w:type="dxa"/>
            <w:vAlign w:val="top"/>
          </w:tcPr>
          <w:p>
            <w:pPr>
              <w:spacing w:line="465" w:lineRule="auto"/>
              <w:rPr>
                <w:rFonts w:ascii="Arial"/>
                <w:sz w:val="21"/>
              </w:rPr>
            </w:pPr>
            <w:r/>
          </w:p>
          <w:p>
            <w:pPr>
              <w:pStyle w:val="TableText"/>
              <w:ind w:left="458"/>
              <w:spacing w:before="81" w:line="221" w:lineRule="auto"/>
              <w:rPr>
                <w:sz w:val="25"/>
                <w:szCs w:val="25"/>
              </w:rPr>
            </w:pPr>
            <w:r>
              <w:rPr>
                <w:sz w:val="25"/>
                <w:szCs w:val="25"/>
                <w:b/>
                <w:bCs/>
                <w:spacing w:val="-10"/>
              </w:rPr>
              <w:t>一般</w:t>
            </w:r>
          </w:p>
        </w:tc>
        <w:tc>
          <w:tcPr>
            <w:tcW w:w="5616" w:type="dxa"/>
            <w:vAlign w:val="top"/>
          </w:tcPr>
          <w:p>
            <w:pPr>
              <w:spacing w:line="308" w:lineRule="auto"/>
              <w:rPr>
                <w:rFonts w:ascii="Arial"/>
                <w:sz w:val="21"/>
              </w:rPr>
            </w:pPr>
            <w:r/>
          </w:p>
          <w:p>
            <w:pPr>
              <w:pStyle w:val="TableText"/>
              <w:ind w:left="120" w:right="99" w:hanging="10"/>
              <w:spacing w:before="81" w:line="328" w:lineRule="auto"/>
              <w:rPr>
                <w:sz w:val="25"/>
                <w:szCs w:val="25"/>
              </w:rPr>
            </w:pPr>
            <w:r>
              <w:rPr>
                <w:sz w:val="25"/>
                <w:szCs w:val="25"/>
                <w:spacing w:val="1"/>
              </w:rPr>
              <w:t>非医师行医，执业三个月以下的且违法所得</w:t>
            </w:r>
            <w:r>
              <w:rPr>
                <w:sz w:val="25"/>
                <w:szCs w:val="25"/>
              </w:rPr>
              <w:t>不足1 </w:t>
            </w:r>
            <w:r>
              <w:rPr>
                <w:sz w:val="25"/>
                <w:szCs w:val="25"/>
                <w:spacing w:val="6"/>
              </w:rPr>
              <w:t>万元的</w:t>
            </w:r>
          </w:p>
        </w:tc>
        <w:tc>
          <w:tcPr>
            <w:tcW w:w="7124" w:type="dxa"/>
            <w:vAlign w:val="top"/>
          </w:tcPr>
          <w:p>
            <w:pPr>
              <w:pStyle w:val="TableText"/>
              <w:ind w:left="15"/>
              <w:spacing w:before="148" w:line="290" w:lineRule="auto"/>
              <w:jc w:val="both"/>
              <w:rPr>
                <w:sz w:val="25"/>
                <w:szCs w:val="25"/>
              </w:rPr>
            </w:pPr>
            <w:r>
              <w:rPr>
                <w:sz w:val="25"/>
                <w:szCs w:val="25"/>
                <w:spacing w:val="-5"/>
              </w:rPr>
              <w:t>由县级以上人民政府卫生健康主管部门责令停止</w:t>
            </w:r>
            <w:r>
              <w:rPr>
                <w:sz w:val="25"/>
                <w:szCs w:val="25"/>
                <w:spacing w:val="-6"/>
              </w:rPr>
              <w:t>非法执业活动，没</w:t>
            </w:r>
            <w:r>
              <w:rPr>
                <w:sz w:val="25"/>
                <w:szCs w:val="25"/>
              </w:rPr>
              <w:t xml:space="preserve"> </w:t>
            </w:r>
            <w:r>
              <w:rPr>
                <w:sz w:val="25"/>
                <w:szCs w:val="25"/>
                <w:spacing w:val="-5"/>
              </w:rPr>
              <w:t>收违法所得和药品、医疗器械，并处违法所</w:t>
            </w:r>
            <w:r>
              <w:rPr>
                <w:sz w:val="25"/>
                <w:szCs w:val="25"/>
                <w:spacing w:val="-6"/>
              </w:rPr>
              <w:t>得二倍的罚款，违法所</w:t>
            </w:r>
            <w:r>
              <w:rPr>
                <w:sz w:val="25"/>
                <w:szCs w:val="25"/>
              </w:rPr>
              <w:t xml:space="preserve"> </w:t>
            </w:r>
            <w:r>
              <w:rPr>
                <w:sz w:val="25"/>
                <w:szCs w:val="25"/>
                <w:spacing w:val="7"/>
              </w:rPr>
              <w:t>得不足一万元的，按一万元计算</w:t>
            </w:r>
          </w:p>
        </w:tc>
      </w:tr>
      <w:tr>
        <w:trPr>
          <w:trHeight w:val="1327" w:hRule="atLeast"/>
        </w:trPr>
        <w:tc>
          <w:tcPr>
            <w:tcW w:w="1424" w:type="dxa"/>
            <w:vAlign w:val="top"/>
          </w:tcPr>
          <w:p>
            <w:pPr>
              <w:spacing w:line="460" w:lineRule="auto"/>
              <w:rPr>
                <w:rFonts w:ascii="Arial"/>
                <w:sz w:val="21"/>
              </w:rPr>
            </w:pPr>
            <w:r/>
          </w:p>
          <w:p>
            <w:pPr>
              <w:pStyle w:val="TableText"/>
              <w:ind w:left="458"/>
              <w:spacing w:before="81" w:line="221" w:lineRule="auto"/>
              <w:rPr>
                <w:sz w:val="25"/>
                <w:szCs w:val="25"/>
              </w:rPr>
            </w:pPr>
            <w:r>
              <w:rPr>
                <w:sz w:val="25"/>
                <w:szCs w:val="25"/>
                <w:b/>
                <w:bCs/>
                <w:spacing w:val="-6"/>
              </w:rPr>
              <w:t>较重</w:t>
            </w:r>
          </w:p>
        </w:tc>
        <w:tc>
          <w:tcPr>
            <w:tcW w:w="5616" w:type="dxa"/>
            <w:vAlign w:val="top"/>
          </w:tcPr>
          <w:p>
            <w:pPr>
              <w:pStyle w:val="TableText"/>
              <w:ind w:left="120" w:right="133" w:hanging="10"/>
              <w:spacing w:before="154" w:line="324" w:lineRule="auto"/>
              <w:rPr>
                <w:sz w:val="25"/>
                <w:szCs w:val="25"/>
              </w:rPr>
            </w:pPr>
            <w:r>
              <w:rPr>
                <w:sz w:val="25"/>
                <w:szCs w:val="25"/>
                <w:spacing w:val="-1"/>
              </w:rPr>
              <w:t>非医师行医，执业三个月以上或者违法所得1万元</w:t>
            </w:r>
            <w:r>
              <w:rPr>
                <w:sz w:val="25"/>
                <w:szCs w:val="25"/>
                <w:spacing w:val="7"/>
              </w:rPr>
              <w:t xml:space="preserve"> </w:t>
            </w:r>
            <w:r>
              <w:rPr>
                <w:sz w:val="25"/>
                <w:szCs w:val="25"/>
                <w:spacing w:val="6"/>
              </w:rPr>
              <w:t>以上的</w:t>
            </w:r>
          </w:p>
        </w:tc>
        <w:tc>
          <w:tcPr>
            <w:tcW w:w="7124" w:type="dxa"/>
            <w:vAlign w:val="top"/>
          </w:tcPr>
          <w:p>
            <w:pPr>
              <w:pStyle w:val="TableText"/>
              <w:ind w:left="15"/>
              <w:spacing w:before="155" w:line="286" w:lineRule="auto"/>
              <w:jc w:val="both"/>
              <w:rPr>
                <w:sz w:val="25"/>
                <w:szCs w:val="25"/>
              </w:rPr>
            </w:pPr>
            <w:r>
              <w:rPr>
                <w:sz w:val="25"/>
                <w:szCs w:val="25"/>
                <w:spacing w:val="-6"/>
              </w:rPr>
              <w:t>由县级以上人民政府卫生健康主管部门责令停止非法执业活动，没</w:t>
            </w:r>
            <w:r>
              <w:rPr>
                <w:sz w:val="25"/>
                <w:szCs w:val="25"/>
                <w:spacing w:val="14"/>
              </w:rPr>
              <w:t xml:space="preserve"> </w:t>
            </w:r>
            <w:r>
              <w:rPr>
                <w:sz w:val="25"/>
                <w:szCs w:val="25"/>
                <w:spacing w:val="-5"/>
              </w:rPr>
              <w:t>收违法所得和药品、医疗器械，并处违法所得三</w:t>
            </w:r>
            <w:r>
              <w:rPr>
                <w:sz w:val="25"/>
                <w:szCs w:val="25"/>
                <w:spacing w:val="-6"/>
              </w:rPr>
              <w:t>倍以上七倍以下的</w:t>
            </w:r>
            <w:r>
              <w:rPr>
                <w:sz w:val="25"/>
                <w:szCs w:val="25"/>
              </w:rPr>
              <w:t xml:space="preserve"> </w:t>
            </w:r>
            <w:r>
              <w:rPr>
                <w:sz w:val="25"/>
                <w:szCs w:val="25"/>
                <w:spacing w:val="6"/>
              </w:rPr>
              <w:t>罚款，违法所得不足一万元的，按一万元计算</w:t>
            </w:r>
          </w:p>
        </w:tc>
      </w:tr>
      <w:tr>
        <w:trPr>
          <w:trHeight w:val="1302" w:hRule="atLeast"/>
        </w:trPr>
        <w:tc>
          <w:tcPr>
            <w:tcW w:w="1424" w:type="dxa"/>
            <w:vAlign w:val="top"/>
          </w:tcPr>
          <w:p>
            <w:pPr>
              <w:spacing w:line="450"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5616" w:type="dxa"/>
            <w:vAlign w:val="top"/>
          </w:tcPr>
          <w:p>
            <w:pPr>
              <w:spacing w:line="284" w:lineRule="auto"/>
              <w:rPr>
                <w:rFonts w:ascii="Arial"/>
                <w:sz w:val="21"/>
              </w:rPr>
            </w:pPr>
            <w:r/>
          </w:p>
          <w:p>
            <w:pPr>
              <w:pStyle w:val="TableText"/>
              <w:ind w:left="51"/>
              <w:spacing w:before="81" w:line="219" w:lineRule="auto"/>
              <w:rPr>
                <w:sz w:val="25"/>
                <w:szCs w:val="25"/>
              </w:rPr>
            </w:pPr>
            <w:r>
              <w:rPr>
                <w:sz w:val="25"/>
                <w:szCs w:val="25"/>
              </w:rPr>
              <w:t>因非医师行医曾受过卫生行政处罚的，仍不改正的</w:t>
            </w:r>
          </w:p>
        </w:tc>
        <w:tc>
          <w:tcPr>
            <w:tcW w:w="7124" w:type="dxa"/>
            <w:vAlign w:val="top"/>
          </w:tcPr>
          <w:p>
            <w:pPr>
              <w:pStyle w:val="TableText"/>
              <w:ind w:left="15"/>
              <w:spacing w:before="138" w:line="284" w:lineRule="auto"/>
              <w:jc w:val="both"/>
              <w:rPr>
                <w:sz w:val="25"/>
                <w:szCs w:val="25"/>
              </w:rPr>
            </w:pPr>
            <w:r>
              <w:rPr>
                <w:sz w:val="25"/>
                <w:szCs w:val="25"/>
                <w:spacing w:val="-6"/>
              </w:rPr>
              <w:t>由县级以上人民政府卫生健康主管部门责令停止非法执业活动，没</w:t>
            </w:r>
            <w:r>
              <w:rPr>
                <w:sz w:val="25"/>
                <w:szCs w:val="25"/>
                <w:spacing w:val="14"/>
              </w:rPr>
              <w:t xml:space="preserve"> </w:t>
            </w:r>
            <w:r>
              <w:rPr>
                <w:sz w:val="25"/>
                <w:szCs w:val="25"/>
                <w:spacing w:val="-5"/>
              </w:rPr>
              <w:t>收违法所得和药品、医疗器械，并处违法所得八</w:t>
            </w:r>
            <w:r>
              <w:rPr>
                <w:sz w:val="25"/>
                <w:szCs w:val="25"/>
                <w:spacing w:val="-6"/>
              </w:rPr>
              <w:t>倍以上十倍以下的</w:t>
            </w:r>
            <w:r>
              <w:rPr>
                <w:sz w:val="25"/>
                <w:szCs w:val="25"/>
              </w:rPr>
              <w:t xml:space="preserve"> </w:t>
            </w:r>
            <w:r>
              <w:rPr>
                <w:sz w:val="25"/>
                <w:szCs w:val="25"/>
                <w:spacing w:val="4"/>
              </w:rPr>
              <w:t>罚款，违法所得不足一万元的，按一万元计算</w:t>
            </w:r>
          </w:p>
        </w:tc>
      </w:tr>
    </w:tbl>
    <w:p>
      <w:pPr>
        <w:pStyle w:val="BodyText"/>
        <w:spacing w:line="476" w:lineRule="auto"/>
        <w:rPr/>
      </w:pPr>
      <w:r/>
    </w:p>
    <w:p>
      <w:pPr>
        <w:ind w:left="78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第一百九十三条医疗卫生机构未履行报告职责，造成严重后果的</w:t>
      </w:r>
    </w:p>
    <w:p>
      <w:pPr>
        <w:ind w:left="754"/>
        <w:spacing w:before="8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15" w:right="117" w:firstLine="629"/>
        <w:spacing w:before="88" w:line="278" w:lineRule="auto"/>
        <w:rPr>
          <w:rFonts w:ascii="FangSong" w:hAnsi="FangSong" w:eastAsia="FangSong" w:cs="FangSong"/>
          <w:sz w:val="30"/>
          <w:szCs w:val="30"/>
        </w:rPr>
      </w:pPr>
      <w:r>
        <w:rPr>
          <w:rFonts w:ascii="FangSong" w:hAnsi="FangSong" w:eastAsia="FangSong" w:cs="FangSong"/>
          <w:sz w:val="30"/>
          <w:szCs w:val="30"/>
          <w:spacing w:val="17"/>
        </w:rPr>
        <w:t>《中华人民共和国医师法》第六十一条</w:t>
      </w:r>
      <w:r>
        <w:rPr>
          <w:rFonts w:ascii="FangSong" w:hAnsi="FangSong" w:eastAsia="FangSong" w:cs="FangSong"/>
          <w:sz w:val="30"/>
          <w:szCs w:val="30"/>
          <w:spacing w:val="17"/>
        </w:rPr>
        <w:t xml:space="preserve">  </w:t>
      </w:r>
      <w:r>
        <w:rPr>
          <w:rFonts w:ascii="FangSong" w:hAnsi="FangSong" w:eastAsia="FangSong" w:cs="FangSong"/>
          <w:sz w:val="30"/>
          <w:szCs w:val="30"/>
          <w:spacing w:val="17"/>
        </w:rPr>
        <w:t>违反本</w:t>
      </w:r>
      <w:r>
        <w:rPr>
          <w:rFonts w:ascii="FangSong" w:hAnsi="FangSong" w:eastAsia="FangSong" w:cs="FangSong"/>
          <w:sz w:val="30"/>
          <w:szCs w:val="30"/>
          <w:spacing w:val="16"/>
        </w:rPr>
        <w:t>法规定，医疗卫生机构未履行报告职责，造成严</w:t>
      </w:r>
      <w:r>
        <w:rPr>
          <w:rFonts w:ascii="FangSong" w:hAnsi="FangSong" w:eastAsia="FangSong" w:cs="FangSong"/>
          <w:sz w:val="30"/>
          <w:szCs w:val="30"/>
        </w:rPr>
        <w:t xml:space="preserve"> </w:t>
      </w:r>
      <w:r>
        <w:rPr>
          <w:rFonts w:ascii="FangSong" w:hAnsi="FangSong" w:eastAsia="FangSong" w:cs="FangSong"/>
          <w:sz w:val="30"/>
          <w:szCs w:val="30"/>
          <w:spacing w:val="17"/>
        </w:rPr>
        <w:t>重后果的，由县级以上人民政府卫生健康主管部门给予警告，对</w:t>
      </w:r>
      <w:r>
        <w:rPr>
          <w:rFonts w:ascii="FangSong" w:hAnsi="FangSong" w:eastAsia="FangSong" w:cs="FangSong"/>
          <w:sz w:val="30"/>
          <w:szCs w:val="30"/>
          <w:spacing w:val="16"/>
        </w:rPr>
        <w:t>直接负责的主管人员和其他直接责任</w:t>
      </w:r>
    </w:p>
    <w:p>
      <w:pPr>
        <w:spacing w:line="278" w:lineRule="auto"/>
        <w:sectPr>
          <w:footerReference w:type="default" r:id="rId260"/>
          <w:pgSz w:w="16830" w:h="11900"/>
          <w:pgMar w:top="1011" w:right="1340" w:bottom="1118" w:left="1314" w:header="0" w:footer="757" w:gutter="0"/>
        </w:sectPr>
        <w:rPr>
          <w:rFonts w:ascii="FangSong" w:hAnsi="FangSong" w:eastAsia="FangSong" w:cs="FangSong"/>
          <w:sz w:val="30"/>
          <w:szCs w:val="30"/>
        </w:rPr>
      </w:pPr>
    </w:p>
    <w:p>
      <w:pPr>
        <w:pStyle w:val="BodyText"/>
        <w:spacing w:line="262" w:lineRule="auto"/>
        <w:rPr/>
      </w:pPr>
      <w:r/>
    </w:p>
    <w:p>
      <w:pPr>
        <w:pStyle w:val="BodyText"/>
        <w:spacing w:line="262" w:lineRule="auto"/>
        <w:rPr/>
      </w:pPr>
      <w:r/>
    </w:p>
    <w:p>
      <w:pPr>
        <w:pStyle w:val="BodyText"/>
        <w:spacing w:line="263" w:lineRule="auto"/>
        <w:rPr/>
      </w:pPr>
      <w:r/>
    </w:p>
    <w:p>
      <w:pPr>
        <w:ind w:left="124"/>
        <w:spacing w:before="97" w:line="223" w:lineRule="auto"/>
        <w:rPr>
          <w:rFonts w:ascii="FangSong" w:hAnsi="FangSong" w:eastAsia="FangSong" w:cs="FangSong"/>
          <w:sz w:val="30"/>
          <w:szCs w:val="30"/>
        </w:rPr>
      </w:pPr>
      <w:r>
        <w:rPr>
          <w:rFonts w:ascii="FangSong" w:hAnsi="FangSong" w:eastAsia="FangSong" w:cs="FangSong"/>
          <w:sz w:val="30"/>
          <w:szCs w:val="30"/>
          <w:spacing w:val="11"/>
        </w:rPr>
        <w:t>人员依法给予处分。</w:t>
      </w:r>
    </w:p>
    <w:p>
      <w:pPr>
        <w:ind w:left="6539"/>
        <w:spacing w:before="55" w:line="220" w:lineRule="auto"/>
        <w:rPr>
          <w:rFonts w:ascii="SimSun" w:hAnsi="SimSun" w:eastAsia="SimSun" w:cs="SimSun"/>
          <w:sz w:val="29"/>
          <w:szCs w:val="29"/>
        </w:rPr>
      </w:pPr>
      <w:bookmarkStart w:name="bookmark914" w:id="280"/>
      <w:bookmarkEnd w:id="280"/>
      <w:r>
        <w:rPr>
          <w:rFonts w:ascii="SimSun" w:hAnsi="SimSun" w:eastAsia="SimSun" w:cs="SimSun"/>
          <w:sz w:val="29"/>
          <w:szCs w:val="29"/>
          <w:b/>
          <w:bCs/>
          <w:spacing w:val="-6"/>
        </w:rPr>
        <w:t>裁量标准</w:t>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4"/>
        <w:gridCol w:w="8294"/>
        <w:gridCol w:w="4422"/>
      </w:tblGrid>
      <w:tr>
        <w:trPr>
          <w:trHeight w:val="451" w:hRule="atLeast"/>
        </w:trPr>
        <w:tc>
          <w:tcPr>
            <w:tcW w:w="1454" w:type="dxa"/>
            <w:vAlign w:val="top"/>
          </w:tcPr>
          <w:p>
            <w:pPr>
              <w:pStyle w:val="TableText"/>
              <w:ind w:left="218"/>
              <w:spacing w:before="102" w:line="220" w:lineRule="auto"/>
              <w:rPr>
                <w:sz w:val="25"/>
                <w:szCs w:val="25"/>
              </w:rPr>
            </w:pPr>
            <w:r>
              <w:rPr>
                <w:sz w:val="25"/>
                <w:szCs w:val="25"/>
                <w:b/>
                <w:bCs/>
                <w:spacing w:val="-5"/>
              </w:rPr>
              <w:t>违法程度</w:t>
            </w:r>
          </w:p>
        </w:tc>
        <w:tc>
          <w:tcPr>
            <w:tcW w:w="8294" w:type="dxa"/>
            <w:vAlign w:val="top"/>
          </w:tcPr>
          <w:p>
            <w:pPr>
              <w:pStyle w:val="TableText"/>
              <w:ind w:left="3644"/>
              <w:spacing w:before="102" w:line="220" w:lineRule="auto"/>
              <w:rPr>
                <w:sz w:val="25"/>
                <w:szCs w:val="25"/>
              </w:rPr>
            </w:pPr>
            <w:r>
              <w:rPr>
                <w:sz w:val="25"/>
                <w:szCs w:val="25"/>
                <w:b/>
                <w:bCs/>
                <w:spacing w:val="-5"/>
              </w:rPr>
              <w:t>违法后果</w:t>
            </w:r>
          </w:p>
        </w:tc>
        <w:tc>
          <w:tcPr>
            <w:tcW w:w="4422" w:type="dxa"/>
            <w:vAlign w:val="top"/>
          </w:tcPr>
          <w:p>
            <w:pPr>
              <w:pStyle w:val="TableText"/>
              <w:ind w:left="1650"/>
              <w:spacing w:before="99" w:line="218" w:lineRule="auto"/>
              <w:rPr>
                <w:sz w:val="25"/>
                <w:szCs w:val="25"/>
              </w:rPr>
            </w:pPr>
            <w:r>
              <w:rPr>
                <w:sz w:val="25"/>
                <w:szCs w:val="25"/>
                <w:b/>
                <w:bCs/>
                <w:spacing w:val="-5"/>
              </w:rPr>
              <w:t>裁量幅度</w:t>
            </w:r>
          </w:p>
        </w:tc>
      </w:tr>
      <w:tr>
        <w:trPr>
          <w:trHeight w:val="868" w:hRule="atLeast"/>
        </w:trPr>
        <w:tc>
          <w:tcPr>
            <w:tcW w:w="1454" w:type="dxa"/>
            <w:vAlign w:val="top"/>
          </w:tcPr>
          <w:p>
            <w:pPr>
              <w:spacing w:line="289" w:lineRule="auto"/>
              <w:rPr>
                <w:rFonts w:ascii="Arial"/>
                <w:sz w:val="21"/>
              </w:rPr>
            </w:pPr>
            <w:r/>
          </w:p>
          <w:p>
            <w:pPr>
              <w:pStyle w:val="TableText"/>
              <w:ind w:left="468"/>
              <w:spacing w:before="81" w:line="221" w:lineRule="auto"/>
              <w:rPr>
                <w:sz w:val="25"/>
                <w:szCs w:val="25"/>
              </w:rPr>
            </w:pPr>
            <w:r>
              <w:rPr>
                <w:sz w:val="25"/>
                <w:szCs w:val="25"/>
                <w:b/>
                <w:bCs/>
                <w:spacing w:val="-10"/>
              </w:rPr>
              <w:t>一般</w:t>
            </w:r>
          </w:p>
        </w:tc>
        <w:tc>
          <w:tcPr>
            <w:tcW w:w="8294" w:type="dxa"/>
            <w:vAlign w:val="top"/>
          </w:tcPr>
          <w:p>
            <w:pPr>
              <w:pStyle w:val="TableText"/>
              <w:spacing w:before="138" w:line="218" w:lineRule="auto"/>
              <w:jc w:val="right"/>
              <w:rPr>
                <w:sz w:val="25"/>
                <w:szCs w:val="25"/>
              </w:rPr>
            </w:pPr>
            <w:r>
              <w:rPr>
                <w:sz w:val="25"/>
                <w:szCs w:val="25"/>
                <w:b/>
                <w:bCs/>
                <w:spacing w:val="-9"/>
              </w:rPr>
              <w:t>医疗卫生机构未履行报告职责，未及时注销</w:t>
            </w:r>
            <w:r>
              <w:rPr>
                <w:sz w:val="25"/>
                <w:szCs w:val="25"/>
                <w:b/>
                <w:bCs/>
                <w:spacing w:val="-10"/>
              </w:rPr>
              <w:t>注册，废止医师执业证书造成严重</w:t>
            </w:r>
          </w:p>
          <w:p>
            <w:pPr>
              <w:pStyle w:val="TableText"/>
              <w:ind w:left="104"/>
              <w:spacing w:before="166" w:line="190" w:lineRule="auto"/>
              <w:rPr>
                <w:sz w:val="25"/>
                <w:szCs w:val="25"/>
              </w:rPr>
            </w:pPr>
            <w:r>
              <w:rPr>
                <w:sz w:val="25"/>
                <w:szCs w:val="25"/>
                <w:b/>
                <w:bCs/>
                <w:color w:val="404040"/>
                <w:spacing w:val="1"/>
              </w:rPr>
              <w:t>后果的</w:t>
            </w:r>
          </w:p>
        </w:tc>
        <w:tc>
          <w:tcPr>
            <w:tcW w:w="4422" w:type="dxa"/>
            <w:vAlign w:val="top"/>
          </w:tcPr>
          <w:p>
            <w:pPr>
              <w:pStyle w:val="TableText"/>
              <w:ind w:left="100"/>
              <w:spacing w:before="308" w:line="218" w:lineRule="auto"/>
              <w:rPr>
                <w:sz w:val="25"/>
                <w:szCs w:val="25"/>
              </w:rPr>
            </w:pPr>
            <w:r>
              <w:rPr>
                <w:sz w:val="25"/>
                <w:szCs w:val="25"/>
                <w:b/>
                <w:bCs/>
                <w:spacing w:val="-1"/>
              </w:rPr>
              <w:t>给予警告</w:t>
            </w:r>
          </w:p>
        </w:tc>
      </w:tr>
    </w:tbl>
    <w:p>
      <w:pPr>
        <w:pStyle w:val="BodyText"/>
        <w:spacing w:line="438" w:lineRule="auto"/>
        <w:rPr/>
      </w:pPr>
      <w:r/>
    </w:p>
    <w:p>
      <w:pPr>
        <w:ind w:left="899"/>
        <w:spacing w:before="98" w:line="224" w:lineRule="auto"/>
        <w:rPr>
          <w:rFonts w:ascii="KaiTi" w:hAnsi="KaiTi" w:eastAsia="KaiTi" w:cs="KaiTi"/>
          <w:sz w:val="30"/>
          <w:szCs w:val="30"/>
        </w:rPr>
      </w:pPr>
      <w:r>
        <w:rPr>
          <w:rFonts w:ascii="KaiTi" w:hAnsi="KaiTi" w:eastAsia="KaiTi" w:cs="KaiTi"/>
          <w:sz w:val="30"/>
          <w:szCs w:val="30"/>
          <w:b/>
          <w:bCs/>
          <w:spacing w:val="35"/>
        </w:rPr>
        <w:t>(四)《护士条例》</w:t>
      </w:r>
    </w:p>
    <w:p>
      <w:pPr>
        <w:pStyle w:val="BodyText"/>
        <w:spacing w:line="255" w:lineRule="auto"/>
        <w:rPr/>
      </w:pPr>
      <w:r/>
    </w:p>
    <w:p>
      <w:pPr>
        <w:ind w:left="799"/>
        <w:spacing w:before="97" w:line="220" w:lineRule="auto"/>
        <w:rPr>
          <w:rFonts w:ascii="FangSong" w:hAnsi="FangSong" w:eastAsia="FangSong" w:cs="FangSong"/>
          <w:sz w:val="30"/>
          <w:szCs w:val="30"/>
        </w:rPr>
      </w:pPr>
      <w:r>
        <w:rPr>
          <w:rFonts w:ascii="FangSong" w:hAnsi="FangSong" w:eastAsia="FangSong" w:cs="FangSong"/>
          <w:sz w:val="30"/>
          <w:szCs w:val="30"/>
          <w:b/>
          <w:bCs/>
          <w:spacing w:val="21"/>
        </w:rPr>
        <w:t>第一百九十四条护士的配备数量低于国务院卫生主管部门规定的护士配备标准的</w:t>
      </w:r>
    </w:p>
    <w:p>
      <w:pPr>
        <w:ind w:left="785"/>
        <w:spacing w:before="91"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124" w:right="112" w:firstLine="619"/>
        <w:spacing w:before="82" w:line="269" w:lineRule="auto"/>
        <w:jc w:val="both"/>
        <w:rPr>
          <w:rFonts w:ascii="FangSong" w:hAnsi="FangSong" w:eastAsia="FangSong" w:cs="FangSong"/>
          <w:sz w:val="30"/>
          <w:szCs w:val="30"/>
        </w:rPr>
      </w:pPr>
      <w:r>
        <w:rPr>
          <w:rFonts w:ascii="FangSong" w:hAnsi="FangSong" w:eastAsia="FangSong" w:cs="FangSong"/>
          <w:sz w:val="30"/>
          <w:szCs w:val="30"/>
          <w:spacing w:val="24"/>
        </w:rPr>
        <w:t>《护士条例》第二十八条第(一)项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医疗卫生机构有下列情形之一的</w:t>
      </w:r>
      <w:r>
        <w:rPr>
          <w:rFonts w:ascii="FangSong" w:hAnsi="FangSong" w:eastAsia="FangSong" w:cs="FangSong"/>
          <w:sz w:val="30"/>
          <w:szCs w:val="30"/>
          <w:spacing w:val="23"/>
        </w:rPr>
        <w:t>，由县级以上地方人民政</w:t>
      </w:r>
      <w:r>
        <w:rPr>
          <w:rFonts w:ascii="FangSong" w:hAnsi="FangSong" w:eastAsia="FangSong" w:cs="FangSong"/>
          <w:sz w:val="30"/>
          <w:szCs w:val="30"/>
        </w:rPr>
        <w:t xml:space="preserve"> </w:t>
      </w:r>
      <w:r>
        <w:rPr>
          <w:rFonts w:ascii="FangSong" w:hAnsi="FangSong" w:eastAsia="FangSong" w:cs="FangSong"/>
          <w:sz w:val="30"/>
          <w:szCs w:val="30"/>
          <w:spacing w:val="17"/>
        </w:rPr>
        <w:t>府卫生主管部门依据职责分工责令限期改正，给予警告；逾期不改正的，根据国务院</w:t>
      </w:r>
      <w:r>
        <w:rPr>
          <w:rFonts w:ascii="FangSong" w:hAnsi="FangSong" w:eastAsia="FangSong" w:cs="FangSong"/>
          <w:sz w:val="30"/>
          <w:szCs w:val="30"/>
          <w:spacing w:val="16"/>
        </w:rPr>
        <w:t>卫生主管部门规</w:t>
      </w:r>
      <w:r>
        <w:rPr>
          <w:rFonts w:ascii="FangSong" w:hAnsi="FangSong" w:eastAsia="FangSong" w:cs="FangSong"/>
          <w:sz w:val="30"/>
          <w:szCs w:val="30"/>
        </w:rPr>
        <w:t xml:space="preserve"> </w:t>
      </w:r>
      <w:r>
        <w:rPr>
          <w:rFonts w:ascii="FangSong" w:hAnsi="FangSong" w:eastAsia="FangSong" w:cs="FangSong"/>
          <w:sz w:val="30"/>
          <w:szCs w:val="30"/>
          <w:spacing w:val="28"/>
        </w:rPr>
        <w:t>定的护士配备标准和在医疗卫生机构合法执业的护士数量核减</w:t>
      </w:r>
      <w:r>
        <w:rPr>
          <w:rFonts w:ascii="FangSong" w:hAnsi="FangSong" w:eastAsia="FangSong" w:cs="FangSong"/>
          <w:sz w:val="30"/>
          <w:szCs w:val="30"/>
          <w:spacing w:val="27"/>
        </w:rPr>
        <w:t>其诊疗科目，或者暂停其6个月以上</w:t>
      </w:r>
      <w:r>
        <w:rPr>
          <w:rFonts w:ascii="FangSong" w:hAnsi="FangSong" w:eastAsia="FangSong" w:cs="FangSong"/>
          <w:sz w:val="30"/>
          <w:szCs w:val="30"/>
        </w:rPr>
        <w:t xml:space="preserve"> </w:t>
      </w:r>
      <w:r>
        <w:rPr>
          <w:rFonts w:ascii="SimSun" w:hAnsi="SimSun" w:eastAsia="SimSun" w:cs="SimSun"/>
          <w:sz w:val="30"/>
          <w:szCs w:val="30"/>
          <w:spacing w:val="15"/>
        </w:rPr>
        <w:t>1 </w:t>
      </w:r>
      <w:r>
        <w:rPr>
          <w:rFonts w:ascii="FangSong" w:hAnsi="FangSong" w:eastAsia="FangSong" w:cs="FangSong"/>
          <w:sz w:val="30"/>
          <w:szCs w:val="30"/>
          <w:spacing w:val="15"/>
        </w:rPr>
        <w:t>年以下执业活动；国家举办的医疗卫生机构有下列情形之一、情节严重的，还应当对负有责任的主</w:t>
      </w:r>
      <w:r>
        <w:rPr>
          <w:rFonts w:ascii="FangSong" w:hAnsi="FangSong" w:eastAsia="FangSong" w:cs="FangSong"/>
          <w:sz w:val="30"/>
          <w:szCs w:val="30"/>
          <w:spacing w:val="14"/>
        </w:rPr>
        <w:t xml:space="preserve"> </w:t>
      </w:r>
      <w:r>
        <w:rPr>
          <w:rFonts w:ascii="FangSong" w:hAnsi="FangSong" w:eastAsia="FangSong" w:cs="FangSong"/>
          <w:sz w:val="30"/>
          <w:szCs w:val="30"/>
          <w:spacing w:val="15"/>
        </w:rPr>
        <w:t>管人员和其他直接责任人员依法给予处分：</w:t>
      </w:r>
    </w:p>
    <w:p>
      <w:pPr>
        <w:ind w:left="894"/>
        <w:spacing w:before="1" w:line="221" w:lineRule="auto"/>
        <w:rPr>
          <w:rFonts w:ascii="FangSong" w:hAnsi="FangSong" w:eastAsia="FangSong" w:cs="FangSong"/>
          <w:sz w:val="30"/>
          <w:szCs w:val="30"/>
        </w:rPr>
      </w:pPr>
      <w:r>
        <w:rPr>
          <w:rFonts w:ascii="FangSong" w:hAnsi="FangSong" w:eastAsia="FangSong" w:cs="FangSong"/>
          <w:sz w:val="30"/>
          <w:szCs w:val="30"/>
          <w:spacing w:val="22"/>
        </w:rPr>
        <w:t>(一)违反本条例规定，护士的配备数量低于国务院卫生主管部门规定的护士配备标准的；</w:t>
      </w:r>
    </w:p>
    <w:p>
      <w:pPr>
        <w:ind w:left="6539"/>
        <w:spacing w:before="50"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8154"/>
        <w:gridCol w:w="4572"/>
      </w:tblGrid>
      <w:tr>
        <w:trPr>
          <w:trHeight w:val="450" w:hRule="atLeast"/>
        </w:trPr>
        <w:tc>
          <w:tcPr>
            <w:tcW w:w="1444" w:type="dxa"/>
            <w:vAlign w:val="top"/>
          </w:tcPr>
          <w:p>
            <w:pPr>
              <w:pStyle w:val="TableText"/>
              <w:ind w:left="198"/>
              <w:spacing w:before="102" w:line="220" w:lineRule="auto"/>
              <w:rPr>
                <w:sz w:val="26"/>
                <w:szCs w:val="26"/>
              </w:rPr>
            </w:pPr>
            <w:r>
              <w:rPr>
                <w:sz w:val="26"/>
                <w:szCs w:val="26"/>
                <w:b/>
                <w:bCs/>
                <w:spacing w:val="-5"/>
              </w:rPr>
              <w:t>违法程度</w:t>
            </w:r>
          </w:p>
        </w:tc>
        <w:tc>
          <w:tcPr>
            <w:tcW w:w="8154" w:type="dxa"/>
            <w:vAlign w:val="top"/>
          </w:tcPr>
          <w:p>
            <w:pPr>
              <w:pStyle w:val="TableText"/>
              <w:ind w:left="3514"/>
              <w:spacing w:before="102" w:line="220" w:lineRule="auto"/>
              <w:rPr>
                <w:sz w:val="26"/>
                <w:szCs w:val="26"/>
              </w:rPr>
            </w:pPr>
            <w:r>
              <w:rPr>
                <w:sz w:val="26"/>
                <w:szCs w:val="26"/>
                <w:b/>
                <w:bCs/>
                <w:spacing w:val="-5"/>
              </w:rPr>
              <w:t>违法后果</w:t>
            </w:r>
          </w:p>
        </w:tc>
        <w:tc>
          <w:tcPr>
            <w:tcW w:w="4572" w:type="dxa"/>
            <w:vAlign w:val="top"/>
          </w:tcPr>
          <w:p>
            <w:pPr>
              <w:pStyle w:val="TableText"/>
              <w:ind w:left="1720"/>
              <w:spacing w:before="99" w:line="218" w:lineRule="auto"/>
              <w:rPr>
                <w:sz w:val="26"/>
                <w:szCs w:val="26"/>
              </w:rPr>
            </w:pPr>
            <w:r>
              <w:rPr>
                <w:sz w:val="26"/>
                <w:szCs w:val="26"/>
                <w:b/>
                <w:bCs/>
                <w:spacing w:val="-5"/>
              </w:rPr>
              <w:t>裁量幅度</w:t>
            </w:r>
          </w:p>
        </w:tc>
      </w:tr>
      <w:tr>
        <w:trPr>
          <w:trHeight w:val="420" w:hRule="atLeast"/>
        </w:trPr>
        <w:tc>
          <w:tcPr>
            <w:tcW w:w="1444" w:type="dxa"/>
            <w:vAlign w:val="top"/>
          </w:tcPr>
          <w:p>
            <w:pPr>
              <w:pStyle w:val="TableText"/>
              <w:ind w:left="458"/>
              <w:spacing w:before="124" w:line="203" w:lineRule="auto"/>
              <w:rPr>
                <w:sz w:val="26"/>
                <w:szCs w:val="26"/>
              </w:rPr>
            </w:pPr>
            <w:r>
              <w:rPr>
                <w:sz w:val="26"/>
                <w:szCs w:val="26"/>
                <w:b/>
                <w:bCs/>
                <w:spacing w:val="-10"/>
              </w:rPr>
              <w:t>一般</w:t>
            </w:r>
          </w:p>
        </w:tc>
        <w:tc>
          <w:tcPr>
            <w:tcW w:w="8154" w:type="dxa"/>
            <w:vAlign w:val="top"/>
          </w:tcPr>
          <w:p>
            <w:pPr>
              <w:pStyle w:val="TableText"/>
              <w:ind w:left="114"/>
              <w:spacing w:before="141" w:line="191" w:lineRule="auto"/>
              <w:rPr>
                <w:sz w:val="26"/>
                <w:szCs w:val="26"/>
              </w:rPr>
            </w:pPr>
            <w:r>
              <w:rPr>
                <w:sz w:val="26"/>
                <w:szCs w:val="26"/>
                <w:b/>
                <w:bCs/>
                <w:spacing w:val="-2"/>
              </w:rPr>
              <w:t>护士的配备数量低于国务院卫生主管部门规</w:t>
            </w:r>
            <w:r>
              <w:rPr>
                <w:sz w:val="26"/>
                <w:szCs w:val="26"/>
                <w:b/>
                <w:bCs/>
                <w:spacing w:val="-3"/>
              </w:rPr>
              <w:t>定的护士配备标准的</w:t>
            </w:r>
          </w:p>
        </w:tc>
        <w:tc>
          <w:tcPr>
            <w:tcW w:w="4572" w:type="dxa"/>
            <w:vAlign w:val="top"/>
          </w:tcPr>
          <w:p>
            <w:pPr>
              <w:pStyle w:val="TableText"/>
              <w:ind w:left="130"/>
              <w:spacing w:before="139" w:line="192" w:lineRule="auto"/>
              <w:rPr>
                <w:sz w:val="26"/>
                <w:szCs w:val="26"/>
              </w:rPr>
            </w:pPr>
            <w:r>
              <w:rPr>
                <w:sz w:val="26"/>
                <w:szCs w:val="26"/>
                <w:b/>
                <w:bCs/>
                <w:spacing w:val="-2"/>
              </w:rPr>
              <w:t>责令限期改正，警告</w:t>
            </w:r>
          </w:p>
        </w:tc>
      </w:tr>
    </w:tbl>
    <w:p>
      <w:pPr>
        <w:pStyle w:val="BodyText"/>
        <w:rPr/>
      </w:pPr>
      <w:r/>
    </w:p>
    <w:p>
      <w:pPr>
        <w:sectPr>
          <w:footerReference w:type="default" r:id="rId261"/>
          <w:pgSz w:w="16830" w:h="11900"/>
          <w:pgMar w:top="1011" w:right="1335" w:bottom="1117" w:left="1314" w:header="0" w:footer="784" w:gutter="0"/>
        </w:sectPr>
        <w:rPr/>
      </w:pPr>
    </w:p>
    <w:p>
      <w:pPr>
        <w:spacing w:before="17"/>
        <w:rPr/>
      </w:pPr>
      <w:r/>
    </w:p>
    <w:p>
      <w:pPr>
        <w:spacing w:before="16"/>
        <w:rPr/>
      </w:pPr>
      <w:r/>
    </w:p>
    <w:p>
      <w:pPr>
        <w:spacing w:before="16"/>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8154"/>
        <w:gridCol w:w="4572"/>
      </w:tblGrid>
      <w:tr>
        <w:trPr>
          <w:trHeight w:val="870" w:hRule="atLeast"/>
        </w:trPr>
        <w:tc>
          <w:tcPr>
            <w:tcW w:w="1444" w:type="dxa"/>
            <w:vAlign w:val="top"/>
          </w:tcPr>
          <w:p>
            <w:pPr>
              <w:pStyle w:val="TableText"/>
              <w:ind w:left="468"/>
              <w:spacing w:before="315" w:line="221" w:lineRule="auto"/>
              <w:rPr>
                <w:sz w:val="25"/>
                <w:szCs w:val="25"/>
              </w:rPr>
            </w:pPr>
            <w:bookmarkStart w:name="bookmark915" w:id="281"/>
            <w:bookmarkEnd w:id="281"/>
            <w:r>
              <w:rPr>
                <w:sz w:val="25"/>
                <w:szCs w:val="25"/>
                <w:b/>
                <w:bCs/>
                <w:spacing w:val="-6"/>
              </w:rPr>
              <w:t>较重</w:t>
            </w:r>
          </w:p>
        </w:tc>
        <w:tc>
          <w:tcPr>
            <w:tcW w:w="8154" w:type="dxa"/>
            <w:vAlign w:val="top"/>
          </w:tcPr>
          <w:p>
            <w:pPr>
              <w:pStyle w:val="TableText"/>
              <w:ind w:left="101"/>
              <w:spacing w:before="144" w:line="264" w:lineRule="auto"/>
              <w:rPr>
                <w:sz w:val="25"/>
                <w:szCs w:val="25"/>
              </w:rPr>
            </w:pPr>
            <w:r>
              <w:rPr>
                <w:sz w:val="25"/>
                <w:szCs w:val="25"/>
                <w:spacing w:val="-6"/>
              </w:rPr>
              <w:t>护士的配备数量低于国务院卫生主管部门规定的护</w:t>
            </w:r>
            <w:r>
              <w:rPr>
                <w:sz w:val="25"/>
                <w:szCs w:val="25"/>
                <w:spacing w:val="-7"/>
              </w:rPr>
              <w:t>士配备标准，但超过标准</w:t>
            </w:r>
            <w:r>
              <w:rPr>
                <w:sz w:val="25"/>
                <w:szCs w:val="25"/>
              </w:rPr>
              <w:t xml:space="preserve"> </w:t>
            </w:r>
            <w:r>
              <w:rPr>
                <w:sz w:val="25"/>
                <w:szCs w:val="25"/>
              </w:rPr>
              <w:t>50%的，经责令限期改正，逾期不改正的</w:t>
            </w:r>
          </w:p>
        </w:tc>
        <w:tc>
          <w:tcPr>
            <w:tcW w:w="4572" w:type="dxa"/>
            <w:vAlign w:val="top"/>
          </w:tcPr>
          <w:p>
            <w:pPr>
              <w:spacing w:line="292" w:lineRule="auto"/>
              <w:rPr>
                <w:rFonts w:ascii="Arial"/>
                <w:sz w:val="21"/>
              </w:rPr>
            </w:pPr>
            <w:r/>
          </w:p>
          <w:p>
            <w:pPr>
              <w:pStyle w:val="TableText"/>
              <w:ind w:left="116"/>
              <w:spacing w:before="81" w:line="219" w:lineRule="auto"/>
              <w:rPr>
                <w:sz w:val="25"/>
                <w:szCs w:val="25"/>
              </w:rPr>
            </w:pPr>
            <w:r>
              <w:rPr>
                <w:sz w:val="25"/>
                <w:szCs w:val="25"/>
                <w:spacing w:val="1"/>
              </w:rPr>
              <w:t>暂停其6个月以上9个月以下执业活动</w:t>
            </w:r>
          </w:p>
        </w:tc>
      </w:tr>
      <w:tr>
        <w:trPr>
          <w:trHeight w:val="899" w:hRule="atLeast"/>
        </w:trPr>
        <w:tc>
          <w:tcPr>
            <w:tcW w:w="1444" w:type="dxa"/>
            <w:vAlign w:val="top"/>
          </w:tcPr>
          <w:p>
            <w:pPr>
              <w:spacing w:line="299" w:lineRule="auto"/>
              <w:rPr>
                <w:rFonts w:ascii="Arial"/>
                <w:sz w:val="21"/>
              </w:rPr>
            </w:pPr>
            <w:r/>
          </w:p>
          <w:p>
            <w:pPr>
              <w:pStyle w:val="TableText"/>
              <w:ind w:left="468"/>
              <w:spacing w:before="81" w:line="220" w:lineRule="auto"/>
              <w:rPr>
                <w:sz w:val="25"/>
                <w:szCs w:val="25"/>
              </w:rPr>
            </w:pPr>
            <w:r>
              <w:rPr>
                <w:sz w:val="25"/>
                <w:szCs w:val="25"/>
                <w:b/>
                <w:bCs/>
                <w:spacing w:val="-6"/>
              </w:rPr>
              <w:t>严重</w:t>
            </w:r>
          </w:p>
        </w:tc>
        <w:tc>
          <w:tcPr>
            <w:tcW w:w="8154" w:type="dxa"/>
            <w:vAlign w:val="top"/>
          </w:tcPr>
          <w:p>
            <w:pPr>
              <w:pStyle w:val="TableText"/>
              <w:ind w:left="101"/>
              <w:spacing w:before="165" w:line="267" w:lineRule="auto"/>
              <w:rPr>
                <w:sz w:val="25"/>
                <w:szCs w:val="25"/>
              </w:rPr>
            </w:pPr>
            <w:r>
              <w:rPr>
                <w:sz w:val="25"/>
                <w:szCs w:val="25"/>
                <w:spacing w:val="-3"/>
              </w:rPr>
              <w:t>护士的配备数量低于国务院卫生主管部门规定的护士配备标准50%的，经责</w:t>
            </w:r>
            <w:r>
              <w:rPr>
                <w:sz w:val="25"/>
                <w:szCs w:val="25"/>
                <w:spacing w:val="18"/>
              </w:rPr>
              <w:t xml:space="preserve"> </w:t>
            </w:r>
            <w:r>
              <w:rPr>
                <w:sz w:val="25"/>
                <w:szCs w:val="25"/>
                <w:spacing w:val="1"/>
              </w:rPr>
              <w:t>令限期改正，逾期不改正的</w:t>
            </w:r>
          </w:p>
        </w:tc>
        <w:tc>
          <w:tcPr>
            <w:tcW w:w="4572" w:type="dxa"/>
            <w:vAlign w:val="top"/>
          </w:tcPr>
          <w:p>
            <w:pPr>
              <w:spacing w:line="302" w:lineRule="auto"/>
              <w:rPr>
                <w:rFonts w:ascii="Arial"/>
                <w:sz w:val="21"/>
              </w:rPr>
            </w:pPr>
            <w:r/>
          </w:p>
          <w:p>
            <w:pPr>
              <w:pStyle w:val="TableText"/>
              <w:ind w:left="116"/>
              <w:spacing w:before="81" w:line="219" w:lineRule="auto"/>
              <w:rPr>
                <w:sz w:val="25"/>
                <w:szCs w:val="25"/>
              </w:rPr>
            </w:pPr>
            <w:r>
              <w:rPr>
                <w:sz w:val="25"/>
                <w:szCs w:val="25"/>
                <w:spacing w:val="1"/>
              </w:rPr>
              <w:t>暂停其9个月以上1年以下执业活动</w:t>
            </w:r>
          </w:p>
        </w:tc>
      </w:tr>
    </w:tbl>
    <w:p>
      <w:pPr>
        <w:pStyle w:val="BodyText"/>
        <w:spacing w:line="475" w:lineRule="auto"/>
        <w:rPr/>
      </w:pPr>
      <w:r/>
    </w:p>
    <w:p>
      <w:pPr>
        <w:ind w:left="129" w:right="116" w:firstLine="660"/>
        <w:spacing w:before="97" w:line="270" w:lineRule="auto"/>
        <w:rPr>
          <w:rFonts w:ascii="FangSong" w:hAnsi="FangSong" w:eastAsia="FangSong" w:cs="FangSong"/>
          <w:sz w:val="30"/>
          <w:szCs w:val="30"/>
        </w:rPr>
      </w:pPr>
      <w:r>
        <w:rPr>
          <w:rFonts w:ascii="FangSong" w:hAnsi="FangSong" w:eastAsia="FangSong" w:cs="FangSong"/>
          <w:sz w:val="30"/>
          <w:szCs w:val="30"/>
          <w:b/>
          <w:bCs/>
          <w:spacing w:val="21"/>
        </w:rPr>
        <w:t>第一百九十五条允许未取得护士执业证书的人员或者允</w:t>
      </w:r>
      <w:r>
        <w:rPr>
          <w:rFonts w:ascii="FangSong" w:hAnsi="FangSong" w:eastAsia="FangSong" w:cs="FangSong"/>
          <w:sz w:val="30"/>
          <w:szCs w:val="30"/>
          <w:b/>
          <w:bCs/>
          <w:spacing w:val="20"/>
        </w:rPr>
        <w:t>许未依照《护士条例》规定办理执业地</w:t>
      </w:r>
      <w:r>
        <w:rPr>
          <w:rFonts w:ascii="FangSong" w:hAnsi="FangSong" w:eastAsia="FangSong" w:cs="FangSong"/>
          <w:sz w:val="30"/>
          <w:szCs w:val="30"/>
        </w:rPr>
        <w:t xml:space="preserve"> </w:t>
      </w:r>
      <w:r>
        <w:rPr>
          <w:rFonts w:ascii="FangSong" w:hAnsi="FangSong" w:eastAsia="FangSong" w:cs="FangSong"/>
          <w:sz w:val="30"/>
          <w:szCs w:val="30"/>
          <w:b/>
          <w:bCs/>
          <w:spacing w:val="17"/>
        </w:rPr>
        <w:t>点变更手续、延续执业注册有效期的护士在本机构从事诊疗技术规范规定的护理活动的</w:t>
      </w:r>
    </w:p>
    <w:p>
      <w:pPr>
        <w:ind w:left="944"/>
        <w:spacing w:before="12" w:line="222" w:lineRule="auto"/>
        <w:rPr>
          <w:rFonts w:ascii="FangSong" w:hAnsi="FangSong" w:eastAsia="FangSong" w:cs="FangSong"/>
          <w:sz w:val="30"/>
          <w:szCs w:val="30"/>
        </w:rPr>
      </w:pPr>
      <w:r>
        <w:rPr>
          <w:rFonts w:ascii="FangSong" w:hAnsi="FangSong" w:eastAsia="FangSong" w:cs="FangSong"/>
          <w:sz w:val="30"/>
          <w:szCs w:val="30"/>
        </w:rPr>
        <w:t>法律依据：</w:t>
      </w:r>
    </w:p>
    <w:p>
      <w:pPr>
        <w:ind w:left="124" w:right="112" w:firstLine="630"/>
        <w:spacing w:before="67" w:line="271" w:lineRule="auto"/>
        <w:jc w:val="both"/>
        <w:rPr>
          <w:rFonts w:ascii="FangSong" w:hAnsi="FangSong" w:eastAsia="FangSong" w:cs="FangSong"/>
          <w:sz w:val="30"/>
          <w:szCs w:val="30"/>
        </w:rPr>
      </w:pPr>
      <w:r>
        <w:rPr>
          <w:rFonts w:ascii="FangSong" w:hAnsi="FangSong" w:eastAsia="FangSong" w:cs="FangSong"/>
          <w:sz w:val="30"/>
          <w:szCs w:val="30"/>
          <w:spacing w:val="24"/>
        </w:rPr>
        <w:t>《护士条例》第二十八条第(二)项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医疗卫生</w:t>
      </w:r>
      <w:r>
        <w:rPr>
          <w:rFonts w:ascii="FangSong" w:hAnsi="FangSong" w:eastAsia="FangSong" w:cs="FangSong"/>
          <w:sz w:val="30"/>
          <w:szCs w:val="30"/>
          <w:spacing w:val="23"/>
        </w:rPr>
        <w:t>机构有下列情形之一的，由县级以上地方人民政</w:t>
      </w:r>
      <w:r>
        <w:rPr>
          <w:rFonts w:ascii="FangSong" w:hAnsi="FangSong" w:eastAsia="FangSong" w:cs="FangSong"/>
          <w:sz w:val="30"/>
          <w:szCs w:val="30"/>
        </w:rPr>
        <w:t xml:space="preserve"> </w:t>
      </w:r>
      <w:r>
        <w:rPr>
          <w:rFonts w:ascii="FangSong" w:hAnsi="FangSong" w:eastAsia="FangSong" w:cs="FangSong"/>
          <w:sz w:val="30"/>
          <w:szCs w:val="30"/>
          <w:spacing w:val="17"/>
        </w:rPr>
        <w:t>府卫生主管部门依据职责分工责令限期改正，给予警告；逾期不改正的，根据国务院</w:t>
      </w:r>
      <w:r>
        <w:rPr>
          <w:rFonts w:ascii="FangSong" w:hAnsi="FangSong" w:eastAsia="FangSong" w:cs="FangSong"/>
          <w:sz w:val="30"/>
          <w:szCs w:val="30"/>
          <w:spacing w:val="16"/>
        </w:rPr>
        <w:t>卫生主管部门规</w:t>
      </w:r>
      <w:r>
        <w:rPr>
          <w:rFonts w:ascii="FangSong" w:hAnsi="FangSong" w:eastAsia="FangSong" w:cs="FangSong"/>
          <w:sz w:val="30"/>
          <w:szCs w:val="30"/>
        </w:rPr>
        <w:t xml:space="preserve"> </w:t>
      </w:r>
      <w:r>
        <w:rPr>
          <w:rFonts w:ascii="FangSong" w:hAnsi="FangSong" w:eastAsia="FangSong" w:cs="FangSong"/>
          <w:sz w:val="30"/>
          <w:szCs w:val="30"/>
          <w:spacing w:val="28"/>
        </w:rPr>
        <w:t>定的护士配备标准和在医疗卫生机构合法执业的护士数量核减</w:t>
      </w:r>
      <w:r>
        <w:rPr>
          <w:rFonts w:ascii="FangSong" w:hAnsi="FangSong" w:eastAsia="FangSong" w:cs="FangSong"/>
          <w:sz w:val="30"/>
          <w:szCs w:val="30"/>
          <w:spacing w:val="27"/>
        </w:rPr>
        <w:t>其诊疗科目，或者暂停其6个月以上</w:t>
      </w:r>
      <w:r>
        <w:rPr>
          <w:rFonts w:ascii="FangSong" w:hAnsi="FangSong" w:eastAsia="FangSong" w:cs="FangSong"/>
          <w:sz w:val="30"/>
          <w:szCs w:val="30"/>
        </w:rPr>
        <w:t xml:space="preserve"> </w:t>
      </w:r>
      <w:r>
        <w:rPr>
          <w:rFonts w:ascii="SimSun" w:hAnsi="SimSun" w:eastAsia="SimSun" w:cs="SimSun"/>
          <w:sz w:val="30"/>
          <w:szCs w:val="30"/>
          <w:spacing w:val="15"/>
        </w:rPr>
        <w:t>1 </w:t>
      </w:r>
      <w:r>
        <w:rPr>
          <w:rFonts w:ascii="FangSong" w:hAnsi="FangSong" w:eastAsia="FangSong" w:cs="FangSong"/>
          <w:sz w:val="30"/>
          <w:szCs w:val="30"/>
          <w:spacing w:val="15"/>
        </w:rPr>
        <w:t>年以下执业活动；国家举办的医疗卫生机构有下列情形之一、情节严重的，还应当对负有责任的主</w:t>
      </w:r>
      <w:r>
        <w:rPr>
          <w:rFonts w:ascii="FangSong" w:hAnsi="FangSong" w:eastAsia="FangSong" w:cs="FangSong"/>
          <w:sz w:val="30"/>
          <w:szCs w:val="30"/>
          <w:spacing w:val="3"/>
        </w:rPr>
        <w:t xml:space="preserve"> </w:t>
      </w:r>
      <w:r>
        <w:rPr>
          <w:rFonts w:ascii="FangSong" w:hAnsi="FangSong" w:eastAsia="FangSong" w:cs="FangSong"/>
          <w:sz w:val="30"/>
          <w:szCs w:val="30"/>
          <w:spacing w:val="15"/>
        </w:rPr>
        <w:t>管人员和其他直接责任人员依法给予处分：</w:t>
      </w:r>
    </w:p>
    <w:p>
      <w:pPr>
        <w:ind w:left="124" w:right="113" w:firstLine="769"/>
        <w:spacing w:before="10" w:line="261" w:lineRule="auto"/>
        <w:rPr>
          <w:rFonts w:ascii="FangSong" w:hAnsi="FangSong" w:eastAsia="FangSong" w:cs="FangSong"/>
          <w:sz w:val="30"/>
          <w:szCs w:val="30"/>
        </w:rPr>
      </w:pPr>
      <w:r>
        <w:rPr>
          <w:rFonts w:ascii="FangSong" w:hAnsi="FangSong" w:eastAsia="FangSong" w:cs="FangSong"/>
          <w:sz w:val="30"/>
          <w:szCs w:val="30"/>
          <w:spacing w:val="21"/>
        </w:rPr>
        <w:t>(二)允许未取得护士执业证书的人员或者允许未依照本条例规定办</w:t>
      </w:r>
      <w:r>
        <w:rPr>
          <w:rFonts w:ascii="FangSong" w:hAnsi="FangSong" w:eastAsia="FangSong" w:cs="FangSong"/>
          <w:sz w:val="30"/>
          <w:szCs w:val="30"/>
          <w:spacing w:val="20"/>
        </w:rPr>
        <w:t>理执业地点变更手续、延续</w:t>
      </w:r>
      <w:r>
        <w:rPr>
          <w:rFonts w:ascii="FangSong" w:hAnsi="FangSong" w:eastAsia="FangSong" w:cs="FangSong"/>
          <w:sz w:val="30"/>
          <w:szCs w:val="30"/>
        </w:rPr>
        <w:t xml:space="preserve"> </w:t>
      </w:r>
      <w:r>
        <w:rPr>
          <w:rFonts w:ascii="FangSong" w:hAnsi="FangSong" w:eastAsia="FangSong" w:cs="FangSong"/>
          <w:sz w:val="30"/>
          <w:szCs w:val="30"/>
          <w:spacing w:val="17"/>
        </w:rPr>
        <w:t>执业注册有效期的护士在本机构从事诊疗技术规范规定的护理活动的。</w:t>
      </w:r>
    </w:p>
    <w:p>
      <w:pPr>
        <w:ind w:left="6539"/>
        <w:spacing w:before="19"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2" w:lineRule="auto"/>
        <w:rPr>
          <w:rFonts w:ascii="Arial"/>
          <w:sz w:val="2"/>
        </w:rPr>
      </w:pPr>
      <w:r>
        <w:rPr>
          <w:rFonts w:ascii="Arial"/>
          <w:sz w:val="2"/>
        </w:rPr>
      </w:r>
    </w:p>
    <w:tbl>
      <w:tblPr>
        <w:tblStyle w:val="TableNormal"/>
        <w:tblW w:w="1415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9293"/>
        <w:gridCol w:w="3442"/>
      </w:tblGrid>
      <w:tr>
        <w:trPr>
          <w:trHeight w:val="840" w:hRule="atLeast"/>
        </w:trPr>
        <w:tc>
          <w:tcPr>
            <w:tcW w:w="1424" w:type="dxa"/>
            <w:vAlign w:val="top"/>
          </w:tcPr>
          <w:p>
            <w:pPr>
              <w:pStyle w:val="TableText"/>
              <w:ind w:left="139"/>
              <w:spacing w:before="283" w:line="220" w:lineRule="auto"/>
              <w:rPr>
                <w:sz w:val="29"/>
                <w:szCs w:val="29"/>
              </w:rPr>
            </w:pPr>
            <w:r>
              <w:rPr>
                <w:sz w:val="29"/>
                <w:szCs w:val="29"/>
                <w:b/>
                <w:bCs/>
                <w:spacing w:val="-1"/>
              </w:rPr>
              <w:t>违法程度</w:t>
            </w:r>
          </w:p>
        </w:tc>
        <w:tc>
          <w:tcPr>
            <w:tcW w:w="9293" w:type="dxa"/>
            <w:vAlign w:val="top"/>
          </w:tcPr>
          <w:p>
            <w:pPr>
              <w:pStyle w:val="TableText"/>
              <w:ind w:left="4095"/>
              <w:spacing w:before="283" w:line="220" w:lineRule="auto"/>
              <w:rPr>
                <w:sz w:val="29"/>
                <w:szCs w:val="29"/>
              </w:rPr>
            </w:pPr>
            <w:r>
              <w:rPr>
                <w:sz w:val="29"/>
                <w:szCs w:val="29"/>
                <w:b/>
                <w:bCs/>
                <w:spacing w:val="-1"/>
              </w:rPr>
              <w:t>违法后果</w:t>
            </w:r>
          </w:p>
        </w:tc>
        <w:tc>
          <w:tcPr>
            <w:tcW w:w="3442" w:type="dxa"/>
            <w:vAlign w:val="top"/>
          </w:tcPr>
          <w:p>
            <w:pPr>
              <w:pStyle w:val="TableText"/>
              <w:ind w:left="1162"/>
              <w:spacing w:before="280" w:line="218" w:lineRule="auto"/>
              <w:rPr>
                <w:sz w:val="29"/>
                <w:szCs w:val="29"/>
              </w:rPr>
            </w:pPr>
            <w:r>
              <w:rPr>
                <w:sz w:val="29"/>
                <w:szCs w:val="29"/>
                <w:b/>
                <w:bCs/>
                <w:spacing w:val="-1"/>
              </w:rPr>
              <w:t>裁量幅度</w:t>
            </w:r>
          </w:p>
        </w:tc>
      </w:tr>
    </w:tbl>
    <w:p>
      <w:pPr>
        <w:pStyle w:val="BodyText"/>
        <w:rPr/>
      </w:pPr>
      <w:r/>
    </w:p>
    <w:p>
      <w:pPr>
        <w:sectPr>
          <w:footerReference w:type="default" r:id="rId262"/>
          <w:pgSz w:w="16830" w:h="11900"/>
          <w:pgMar w:top="1011" w:right="1335" w:bottom="1130" w:left="1314" w:header="0" w:footer="806" w:gutter="0"/>
        </w:sectPr>
        <w:rPr/>
      </w:pPr>
    </w:p>
    <w:p>
      <w:pPr>
        <w:spacing w:before="20"/>
        <w:rPr/>
      </w:pPr>
      <w:r/>
    </w:p>
    <w:p>
      <w:pPr>
        <w:spacing w:before="20"/>
        <w:rPr/>
      </w:pPr>
      <w:r/>
    </w:p>
    <w:p>
      <w:pPr>
        <w:spacing w:before="19"/>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9303"/>
        <w:gridCol w:w="3413"/>
      </w:tblGrid>
      <w:tr>
        <w:trPr>
          <w:trHeight w:val="873" w:hRule="atLeast"/>
        </w:trPr>
        <w:tc>
          <w:tcPr>
            <w:tcW w:w="1444" w:type="dxa"/>
            <w:vAlign w:val="top"/>
          </w:tcPr>
          <w:p>
            <w:pPr>
              <w:spacing w:line="243" w:lineRule="auto"/>
              <w:rPr>
                <w:rFonts w:ascii="Arial"/>
                <w:sz w:val="21"/>
              </w:rPr>
            </w:pPr>
            <w:r/>
          </w:p>
          <w:p>
            <w:pPr>
              <w:pStyle w:val="TableText"/>
              <w:ind w:left="478"/>
              <w:spacing w:before="78" w:line="221" w:lineRule="auto"/>
              <w:rPr/>
            </w:pPr>
            <w:bookmarkStart w:name="bookmark916" w:id="282"/>
            <w:bookmarkEnd w:id="282"/>
            <w:r>
              <w:rPr>
                <w:b/>
                <w:bCs/>
                <w:spacing w:val="-10"/>
              </w:rPr>
              <w:t>一般</w:t>
            </w:r>
          </w:p>
        </w:tc>
        <w:tc>
          <w:tcPr>
            <w:tcW w:w="9303" w:type="dxa"/>
            <w:vAlign w:val="top"/>
          </w:tcPr>
          <w:p>
            <w:pPr>
              <w:pStyle w:val="TableText"/>
              <w:ind w:left="101" w:right="81" w:hanging="20"/>
              <w:spacing w:before="124" w:line="284" w:lineRule="auto"/>
              <w:rPr/>
            </w:pPr>
            <w:r>
              <w:rPr/>
              <w:t>允许未取得护士执业证书的人员或者允许未依照《护士条例》规定办理执业地点变更手</w:t>
            </w:r>
            <w:r>
              <w:rPr>
                <w:spacing w:val="9"/>
              </w:rPr>
              <w:t xml:space="preserve"> </w:t>
            </w:r>
            <w:r>
              <w:rPr/>
              <w:t>续、延续执业注册有效期的护士在本机构从事诊疗技术规范规定的护理活动的</w:t>
            </w:r>
          </w:p>
        </w:tc>
        <w:tc>
          <w:tcPr>
            <w:tcW w:w="3413" w:type="dxa"/>
            <w:vAlign w:val="top"/>
          </w:tcPr>
          <w:p>
            <w:pPr>
              <w:pStyle w:val="TableText"/>
              <w:ind w:left="108"/>
              <w:spacing w:before="132" w:line="218" w:lineRule="auto"/>
              <w:rPr/>
            </w:pPr>
            <w:r>
              <w:rPr>
                <w:spacing w:val="1"/>
              </w:rPr>
              <w:t>责令限期改正，警告</w:t>
            </w:r>
          </w:p>
        </w:tc>
      </w:tr>
      <w:tr>
        <w:trPr>
          <w:trHeight w:val="1326" w:hRule="atLeast"/>
        </w:trPr>
        <w:tc>
          <w:tcPr>
            <w:tcW w:w="1444" w:type="dxa"/>
            <w:vAlign w:val="top"/>
          </w:tcPr>
          <w:p>
            <w:pPr>
              <w:spacing w:line="470" w:lineRule="auto"/>
              <w:rPr>
                <w:rFonts w:ascii="Arial"/>
                <w:sz w:val="21"/>
              </w:rPr>
            </w:pPr>
            <w:r/>
          </w:p>
          <w:p>
            <w:pPr>
              <w:pStyle w:val="TableText"/>
              <w:ind w:left="478"/>
              <w:spacing w:before="78" w:line="221" w:lineRule="auto"/>
              <w:rPr/>
            </w:pPr>
            <w:r>
              <w:rPr>
                <w:b/>
                <w:bCs/>
                <w:spacing w:val="-5"/>
              </w:rPr>
              <w:t>较重</w:t>
            </w:r>
          </w:p>
        </w:tc>
        <w:tc>
          <w:tcPr>
            <w:tcW w:w="9303" w:type="dxa"/>
            <w:vAlign w:val="top"/>
          </w:tcPr>
          <w:p>
            <w:pPr>
              <w:pStyle w:val="TableText"/>
              <w:ind w:left="200" w:right="77" w:hanging="119"/>
              <w:spacing w:before="141" w:line="340" w:lineRule="auto"/>
              <w:rPr/>
            </w:pPr>
            <w:r>
              <w:rPr/>
              <w:t>允许未取得护士执业证书的人员或者允许未依照本条例规定办理执业地点变更手续、延</w:t>
            </w:r>
            <w:r>
              <w:rPr>
                <w:spacing w:val="13"/>
              </w:rPr>
              <w:t xml:space="preserve"> </w:t>
            </w:r>
            <w:r>
              <w:rPr/>
              <w:t>续执业注册有效期的护士在本机构从事诊疗技术规范规定的护理活动，经责令限期改</w:t>
            </w:r>
          </w:p>
          <w:p>
            <w:pPr>
              <w:pStyle w:val="TableText"/>
              <w:ind w:left="101"/>
              <w:spacing w:before="5" w:line="219" w:lineRule="auto"/>
              <w:rPr/>
            </w:pPr>
            <w:r>
              <w:rPr>
                <w:spacing w:val="2"/>
              </w:rPr>
              <w:t>正，逾期不改正的</w:t>
            </w:r>
          </w:p>
        </w:tc>
        <w:tc>
          <w:tcPr>
            <w:tcW w:w="3413" w:type="dxa"/>
            <w:vAlign w:val="top"/>
          </w:tcPr>
          <w:p>
            <w:pPr>
              <w:pStyle w:val="TableText"/>
              <w:ind w:left="108" w:right="63" w:firstLine="9"/>
              <w:spacing w:before="142" w:line="348" w:lineRule="auto"/>
              <w:rPr/>
            </w:pPr>
            <w:r>
              <w:rPr>
                <w:spacing w:val="48"/>
              </w:rPr>
              <w:t>暂停其6个月以上9个月以</w:t>
            </w:r>
            <w:r>
              <w:rPr>
                <w:spacing w:val="4"/>
              </w:rPr>
              <w:t xml:space="preserve"> </w:t>
            </w:r>
            <w:r>
              <w:rPr>
                <w:spacing w:val="3"/>
              </w:rPr>
              <w:t>下执业活动</w:t>
            </w:r>
          </w:p>
        </w:tc>
      </w:tr>
      <w:tr>
        <w:trPr>
          <w:trHeight w:val="1301" w:hRule="atLeast"/>
        </w:trPr>
        <w:tc>
          <w:tcPr>
            <w:tcW w:w="1444" w:type="dxa"/>
            <w:vAlign w:val="top"/>
          </w:tcPr>
          <w:p>
            <w:pPr>
              <w:spacing w:line="452" w:lineRule="auto"/>
              <w:rPr>
                <w:rFonts w:ascii="Arial"/>
                <w:sz w:val="21"/>
              </w:rPr>
            </w:pPr>
            <w:r/>
          </w:p>
          <w:p>
            <w:pPr>
              <w:pStyle w:val="TableText"/>
              <w:ind w:left="478"/>
              <w:spacing w:before="78" w:line="220" w:lineRule="auto"/>
              <w:rPr/>
            </w:pPr>
            <w:r>
              <w:rPr>
                <w:b/>
                <w:bCs/>
                <w:spacing w:val="-6"/>
              </w:rPr>
              <w:t>严重</w:t>
            </w:r>
          </w:p>
        </w:tc>
        <w:tc>
          <w:tcPr>
            <w:tcW w:w="9303" w:type="dxa"/>
            <w:vAlign w:val="top"/>
          </w:tcPr>
          <w:p>
            <w:pPr>
              <w:pStyle w:val="TableText"/>
              <w:ind w:left="200" w:right="77" w:hanging="119"/>
              <w:spacing w:before="144" w:line="339" w:lineRule="auto"/>
              <w:rPr/>
            </w:pPr>
            <w:r>
              <w:rPr/>
              <w:t>允许未取得护士执业证书的人员或者允许未依照本条例规定办理执业地点变更手续、延</w:t>
            </w:r>
            <w:r>
              <w:rPr>
                <w:spacing w:val="13"/>
              </w:rPr>
              <w:t xml:space="preserve"> </w:t>
            </w:r>
            <w:r>
              <w:rPr/>
              <w:t>续执业注册有效期的护士在本机构从事诊疗技术规范规定的护理活动，经责令限期改</w:t>
            </w:r>
          </w:p>
          <w:p>
            <w:pPr>
              <w:pStyle w:val="TableText"/>
              <w:ind w:left="101"/>
              <w:spacing w:line="204" w:lineRule="auto"/>
              <w:rPr/>
            </w:pPr>
            <w:r>
              <w:rPr/>
              <w:t>正，逾期不改正，造成严重医疗危害后果的</w:t>
            </w:r>
          </w:p>
        </w:tc>
        <w:tc>
          <w:tcPr>
            <w:tcW w:w="3413" w:type="dxa"/>
            <w:vAlign w:val="top"/>
          </w:tcPr>
          <w:p>
            <w:pPr>
              <w:pStyle w:val="TableText"/>
              <w:ind w:left="108" w:right="69" w:firstLine="9"/>
              <w:spacing w:before="144" w:line="341" w:lineRule="auto"/>
              <w:rPr/>
            </w:pPr>
            <w:r>
              <w:rPr>
                <w:spacing w:val="47"/>
              </w:rPr>
              <w:t>暂停其9个月以上1年以下</w:t>
            </w:r>
            <w:r>
              <w:rPr>
                <w:spacing w:val="10"/>
              </w:rPr>
              <w:t xml:space="preserve"> </w:t>
            </w:r>
            <w:r>
              <w:rPr>
                <w:spacing w:val="4"/>
              </w:rPr>
              <w:t>执业活动</w:t>
            </w:r>
          </w:p>
        </w:tc>
      </w:tr>
    </w:tbl>
    <w:p>
      <w:pPr>
        <w:pStyle w:val="BodyText"/>
        <w:spacing w:line="246" w:lineRule="auto"/>
        <w:rPr/>
      </w:pPr>
      <w:r/>
    </w:p>
    <w:p>
      <w:pPr>
        <w:pStyle w:val="BodyText"/>
        <w:spacing w:line="246" w:lineRule="auto"/>
        <w:rPr/>
      </w:pPr>
      <w:r/>
    </w:p>
    <w:p>
      <w:pPr>
        <w:ind w:left="785"/>
        <w:spacing w:before="101" w:line="219" w:lineRule="auto"/>
        <w:rPr>
          <w:rFonts w:ascii="FangSong" w:hAnsi="FangSong" w:eastAsia="FangSong" w:cs="FangSong"/>
          <w:sz w:val="31"/>
          <w:szCs w:val="31"/>
        </w:rPr>
      </w:pPr>
      <w:r>
        <w:rPr>
          <w:rFonts w:ascii="FangSong" w:hAnsi="FangSong" w:eastAsia="FangSong" w:cs="FangSong"/>
          <w:sz w:val="31"/>
          <w:szCs w:val="31"/>
          <w:spacing w:val="11"/>
        </w:rPr>
        <w:t>第</w:t>
      </w:r>
      <w:r>
        <w:rPr>
          <w:rFonts w:ascii="FangSong" w:hAnsi="FangSong" w:eastAsia="FangSong" w:cs="FangSong"/>
          <w:sz w:val="31"/>
          <w:szCs w:val="31"/>
          <w:b/>
          <w:bCs/>
          <w:spacing w:val="11"/>
        </w:rPr>
        <w:t>一百九十六条医疗卫生机构未制定、实施本机构护士在职培训计划或者未保证</w:t>
      </w:r>
      <w:r>
        <w:rPr>
          <w:rFonts w:ascii="FangSong" w:hAnsi="FangSong" w:eastAsia="FangSong" w:cs="FangSong"/>
          <w:sz w:val="31"/>
          <w:szCs w:val="31"/>
          <w:b/>
          <w:bCs/>
          <w:spacing w:val="10"/>
        </w:rPr>
        <w:t>护士接受培训</w:t>
      </w:r>
    </w:p>
    <w:p>
      <w:pPr>
        <w:ind w:left="124"/>
        <w:spacing w:before="77" w:line="227" w:lineRule="auto"/>
        <w:outlineLvl w:val="1"/>
        <w:rPr>
          <w:rFonts w:ascii="FangSong" w:hAnsi="FangSong" w:eastAsia="FangSong" w:cs="FangSong"/>
          <w:sz w:val="31"/>
          <w:szCs w:val="31"/>
        </w:rPr>
      </w:pPr>
      <w:bookmarkStart w:name="bookmark196" w:id="283"/>
      <w:bookmarkEnd w:id="283"/>
      <w:r>
        <w:rPr>
          <w:rFonts w:ascii="FangSong" w:hAnsi="FangSong" w:eastAsia="FangSong" w:cs="FangSong"/>
          <w:sz w:val="31"/>
          <w:szCs w:val="31"/>
        </w:rPr>
        <w:t>的</w:t>
      </w:r>
    </w:p>
    <w:p>
      <w:pPr>
        <w:ind w:left="944"/>
        <w:spacing w:before="91"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145" w:right="98" w:firstLine="614"/>
        <w:spacing w:before="84" w:line="261" w:lineRule="auto"/>
        <w:rPr>
          <w:rFonts w:ascii="FangSong" w:hAnsi="FangSong" w:eastAsia="FangSong" w:cs="FangSong"/>
          <w:sz w:val="31"/>
          <w:szCs w:val="31"/>
        </w:rPr>
      </w:pPr>
      <w:r>
        <w:rPr>
          <w:rFonts w:ascii="FangSong" w:hAnsi="FangSong" w:eastAsia="FangSong" w:cs="FangSong"/>
          <w:sz w:val="31"/>
          <w:szCs w:val="31"/>
          <w:spacing w:val="14"/>
        </w:rPr>
        <w:t>《护士条例》第三十条第(一)项</w:t>
      </w:r>
      <w:r>
        <w:rPr>
          <w:rFonts w:ascii="FangSong" w:hAnsi="FangSong" w:eastAsia="FangSong" w:cs="FangSong"/>
          <w:sz w:val="31"/>
          <w:szCs w:val="31"/>
          <w:spacing w:val="14"/>
        </w:rPr>
        <w:t xml:space="preserve">  </w:t>
      </w:r>
      <w:r>
        <w:rPr>
          <w:rFonts w:ascii="FangSong" w:hAnsi="FangSong" w:eastAsia="FangSong" w:cs="FangSong"/>
          <w:sz w:val="31"/>
          <w:szCs w:val="31"/>
          <w:spacing w:val="14"/>
        </w:rPr>
        <w:t>医疗卫生机构有下列情形之一的，由县级以上地方人民政府</w:t>
      </w:r>
      <w:r>
        <w:rPr>
          <w:rFonts w:ascii="FangSong" w:hAnsi="FangSong" w:eastAsia="FangSong" w:cs="FangSong"/>
          <w:sz w:val="31"/>
          <w:szCs w:val="31"/>
          <w:spacing w:val="8"/>
        </w:rPr>
        <w:t xml:space="preserve"> </w:t>
      </w:r>
      <w:r>
        <w:rPr>
          <w:rFonts w:ascii="FangSong" w:hAnsi="FangSong" w:eastAsia="FangSong" w:cs="FangSong"/>
          <w:sz w:val="31"/>
          <w:szCs w:val="31"/>
          <w:spacing w:val="6"/>
        </w:rPr>
        <w:t>卫生主管部门依据职责分工责令限期改正，给予警告：</w:t>
      </w:r>
    </w:p>
    <w:p>
      <w:pPr>
        <w:ind w:left="905"/>
        <w:spacing w:line="219" w:lineRule="auto"/>
        <w:rPr>
          <w:rFonts w:ascii="FangSong" w:hAnsi="FangSong" w:eastAsia="FangSong" w:cs="FangSong"/>
          <w:sz w:val="31"/>
          <w:szCs w:val="31"/>
        </w:rPr>
      </w:pPr>
      <w:r>
        <w:rPr>
          <w:rFonts w:ascii="FangSong" w:hAnsi="FangSong" w:eastAsia="FangSong" w:cs="FangSong"/>
          <w:sz w:val="31"/>
          <w:szCs w:val="31"/>
          <w:spacing w:val="12"/>
        </w:rPr>
        <w:t>(一)未制定、实施本机构护士在职培训计划或者未保证护士接受培训的；</w:t>
      </w:r>
    </w:p>
    <w:p>
      <w:pPr>
        <w:ind w:left="6539"/>
        <w:spacing w:before="65" w:line="209"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415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5596"/>
        <w:gridCol w:w="7139"/>
      </w:tblGrid>
      <w:tr>
        <w:trPr>
          <w:trHeight w:val="850" w:hRule="atLeast"/>
        </w:trPr>
        <w:tc>
          <w:tcPr>
            <w:tcW w:w="1424" w:type="dxa"/>
            <w:vAlign w:val="top"/>
          </w:tcPr>
          <w:p>
            <w:pPr>
              <w:pStyle w:val="TableText"/>
              <w:ind w:left="139"/>
              <w:spacing w:before="113" w:line="220" w:lineRule="auto"/>
              <w:rPr>
                <w:sz w:val="29"/>
                <w:szCs w:val="29"/>
              </w:rPr>
            </w:pPr>
            <w:r>
              <w:rPr>
                <w:sz w:val="29"/>
                <w:szCs w:val="29"/>
                <w:b/>
                <w:bCs/>
                <w:spacing w:val="-1"/>
              </w:rPr>
              <w:t>违法程度</w:t>
            </w:r>
          </w:p>
        </w:tc>
        <w:tc>
          <w:tcPr>
            <w:tcW w:w="5596" w:type="dxa"/>
            <w:vAlign w:val="top"/>
          </w:tcPr>
          <w:p>
            <w:pPr>
              <w:pStyle w:val="TableText"/>
              <w:ind w:left="2234"/>
              <w:spacing w:before="123" w:line="220" w:lineRule="auto"/>
              <w:rPr>
                <w:sz w:val="29"/>
                <w:szCs w:val="29"/>
              </w:rPr>
            </w:pPr>
            <w:r>
              <w:rPr>
                <w:sz w:val="29"/>
                <w:szCs w:val="29"/>
                <w:b/>
                <w:bCs/>
                <w:spacing w:val="-1"/>
              </w:rPr>
              <w:t>违法后果</w:t>
            </w:r>
          </w:p>
        </w:tc>
        <w:tc>
          <w:tcPr>
            <w:tcW w:w="7139" w:type="dxa"/>
            <w:vAlign w:val="top"/>
          </w:tcPr>
          <w:p>
            <w:pPr>
              <w:pStyle w:val="TableText"/>
              <w:ind w:left="3009"/>
              <w:spacing w:before="110" w:line="218" w:lineRule="auto"/>
              <w:rPr>
                <w:sz w:val="29"/>
                <w:szCs w:val="29"/>
              </w:rPr>
            </w:pPr>
            <w:r>
              <w:rPr>
                <w:sz w:val="29"/>
                <w:szCs w:val="29"/>
                <w:b/>
                <w:bCs/>
                <w:spacing w:val="-1"/>
              </w:rPr>
              <w:t>裁量幅度</w:t>
            </w:r>
          </w:p>
        </w:tc>
      </w:tr>
    </w:tbl>
    <w:p>
      <w:pPr>
        <w:pStyle w:val="BodyText"/>
        <w:rPr/>
      </w:pPr>
      <w:r/>
    </w:p>
    <w:p>
      <w:pPr>
        <w:sectPr>
          <w:footerReference w:type="default" r:id="rId263"/>
          <w:pgSz w:w="16830" w:h="11900"/>
          <w:pgMar w:top="1011" w:right="1335" w:bottom="1107" w:left="1314" w:header="0" w:footer="774" w:gutter="0"/>
        </w:sectPr>
        <w:rPr/>
      </w:pPr>
    </w:p>
    <w:p>
      <w:pPr>
        <w:spacing w:before="17"/>
        <w:rPr/>
      </w:pPr>
      <w:r/>
    </w:p>
    <w:p>
      <w:pPr>
        <w:spacing w:before="16"/>
        <w:rPr/>
      </w:pPr>
      <w:r/>
    </w:p>
    <w:p>
      <w:pPr>
        <w:spacing w:before="16"/>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5606"/>
        <w:gridCol w:w="7130"/>
      </w:tblGrid>
      <w:tr>
        <w:trPr>
          <w:trHeight w:val="870" w:hRule="atLeast"/>
        </w:trPr>
        <w:tc>
          <w:tcPr>
            <w:tcW w:w="1434" w:type="dxa"/>
            <w:vAlign w:val="top"/>
          </w:tcPr>
          <w:p>
            <w:pPr>
              <w:pStyle w:val="TableText"/>
              <w:ind w:left="468"/>
              <w:spacing w:before="313" w:line="221" w:lineRule="auto"/>
              <w:rPr>
                <w:sz w:val="25"/>
                <w:szCs w:val="25"/>
              </w:rPr>
            </w:pPr>
            <w:bookmarkStart w:name="bookmark917" w:id="284"/>
            <w:bookmarkEnd w:id="284"/>
            <w:r>
              <w:rPr>
                <w:sz w:val="25"/>
                <w:szCs w:val="25"/>
                <w:b/>
                <w:bCs/>
                <w:spacing w:val="-10"/>
              </w:rPr>
              <w:t>一般</w:t>
            </w:r>
          </w:p>
        </w:tc>
        <w:tc>
          <w:tcPr>
            <w:tcW w:w="5606" w:type="dxa"/>
            <w:vAlign w:val="top"/>
          </w:tcPr>
          <w:p>
            <w:pPr>
              <w:pStyle w:val="TableText"/>
              <w:ind w:left="120"/>
              <w:spacing w:before="144" w:line="264" w:lineRule="auto"/>
              <w:rPr>
                <w:sz w:val="25"/>
                <w:szCs w:val="25"/>
              </w:rPr>
            </w:pPr>
            <w:r>
              <w:rPr>
                <w:sz w:val="25"/>
                <w:szCs w:val="25"/>
                <w:spacing w:val="-2"/>
              </w:rPr>
              <w:t>医疗卫生机构未制定、实施本机构护士在职培训计</w:t>
            </w:r>
            <w:r>
              <w:rPr>
                <w:sz w:val="25"/>
                <w:szCs w:val="25"/>
                <w:spacing w:val="18"/>
              </w:rPr>
              <w:t xml:space="preserve"> </w:t>
            </w:r>
            <w:r>
              <w:rPr>
                <w:sz w:val="25"/>
                <w:szCs w:val="25"/>
                <w:spacing w:val="1"/>
              </w:rPr>
              <w:t>划或者未保证护士接受培训的</w:t>
            </w:r>
          </w:p>
        </w:tc>
        <w:tc>
          <w:tcPr>
            <w:tcW w:w="7130" w:type="dxa"/>
            <w:vAlign w:val="top"/>
          </w:tcPr>
          <w:p>
            <w:pPr>
              <w:pStyle w:val="TableText"/>
              <w:ind w:left="114"/>
              <w:spacing w:before="144" w:line="264" w:lineRule="auto"/>
              <w:rPr>
                <w:sz w:val="25"/>
                <w:szCs w:val="25"/>
              </w:rPr>
            </w:pPr>
            <w:r>
              <w:rPr>
                <w:sz w:val="25"/>
                <w:szCs w:val="25"/>
              </w:rPr>
              <w:t>由县级以上地方人民政府卫生主管部门依据职责分工责令限期改</w:t>
            </w:r>
            <w:r>
              <w:rPr>
                <w:sz w:val="25"/>
                <w:szCs w:val="25"/>
                <w:spacing w:val="4"/>
              </w:rPr>
              <w:t xml:space="preserve"> </w:t>
            </w:r>
            <w:r>
              <w:rPr>
                <w:sz w:val="25"/>
                <w:szCs w:val="25"/>
                <w:spacing w:val="2"/>
              </w:rPr>
              <w:t>正，给予警告</w:t>
            </w:r>
          </w:p>
        </w:tc>
      </w:tr>
    </w:tbl>
    <w:p>
      <w:pPr>
        <w:pStyle w:val="BodyText"/>
        <w:spacing w:line="463" w:lineRule="auto"/>
        <w:rPr/>
      </w:pPr>
      <w:r/>
    </w:p>
    <w:p>
      <w:pPr>
        <w:ind w:left="779"/>
        <w:spacing w:before="101" w:line="220" w:lineRule="auto"/>
        <w:rPr>
          <w:rFonts w:ascii="FangSong" w:hAnsi="FangSong" w:eastAsia="FangSong" w:cs="FangSong"/>
          <w:sz w:val="31"/>
          <w:szCs w:val="31"/>
        </w:rPr>
      </w:pPr>
      <w:r>
        <w:rPr>
          <w:rFonts w:ascii="FangSong" w:hAnsi="FangSong" w:eastAsia="FangSong" w:cs="FangSong"/>
          <w:sz w:val="31"/>
          <w:szCs w:val="31"/>
          <w:b/>
          <w:bCs/>
          <w:spacing w:val="12"/>
        </w:rPr>
        <w:t>第一百九十七条医疗卫生机构未依照本条例规定履行护士管理职责的</w:t>
      </w:r>
    </w:p>
    <w:p>
      <w:pPr>
        <w:ind w:left="935"/>
        <w:spacing w:before="97"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135" w:right="108" w:firstLine="604"/>
        <w:spacing w:before="97" w:line="267" w:lineRule="auto"/>
        <w:rPr>
          <w:rFonts w:ascii="FangSong" w:hAnsi="FangSong" w:eastAsia="FangSong" w:cs="FangSong"/>
          <w:sz w:val="31"/>
          <w:szCs w:val="31"/>
        </w:rPr>
      </w:pPr>
      <w:r>
        <w:rPr>
          <w:rFonts w:ascii="FangSong" w:hAnsi="FangSong" w:eastAsia="FangSong" w:cs="FangSong"/>
          <w:sz w:val="31"/>
          <w:szCs w:val="31"/>
          <w:spacing w:val="14"/>
        </w:rPr>
        <w:t>《护士条例》第三十条第(二)项</w:t>
      </w:r>
      <w:r>
        <w:rPr>
          <w:rFonts w:ascii="FangSong" w:hAnsi="FangSong" w:eastAsia="FangSong" w:cs="FangSong"/>
          <w:sz w:val="31"/>
          <w:szCs w:val="31"/>
          <w:spacing w:val="14"/>
        </w:rPr>
        <w:t xml:space="preserve">  </w:t>
      </w:r>
      <w:r>
        <w:rPr>
          <w:rFonts w:ascii="FangSong" w:hAnsi="FangSong" w:eastAsia="FangSong" w:cs="FangSong"/>
          <w:sz w:val="31"/>
          <w:szCs w:val="31"/>
          <w:spacing w:val="14"/>
        </w:rPr>
        <w:t>医疗卫生机构有下列情形之一的，由县级以上地方人民政府</w:t>
      </w:r>
      <w:r>
        <w:rPr>
          <w:rFonts w:ascii="FangSong" w:hAnsi="FangSong" w:eastAsia="FangSong" w:cs="FangSong"/>
          <w:sz w:val="31"/>
          <w:szCs w:val="31"/>
          <w:spacing w:val="18"/>
        </w:rPr>
        <w:t xml:space="preserve"> </w:t>
      </w:r>
      <w:r>
        <w:rPr>
          <w:rFonts w:ascii="FangSong" w:hAnsi="FangSong" w:eastAsia="FangSong" w:cs="FangSong"/>
          <w:sz w:val="31"/>
          <w:szCs w:val="31"/>
          <w:spacing w:val="5"/>
        </w:rPr>
        <w:t>卫生主管部门依据职责分工责令限期改正，给予警告：</w:t>
      </w:r>
    </w:p>
    <w:p>
      <w:pPr>
        <w:ind w:left="894"/>
        <w:spacing w:before="1" w:line="220" w:lineRule="auto"/>
        <w:rPr>
          <w:rFonts w:ascii="FangSong" w:hAnsi="FangSong" w:eastAsia="FangSong" w:cs="FangSong"/>
          <w:sz w:val="31"/>
          <w:szCs w:val="31"/>
        </w:rPr>
      </w:pPr>
      <w:r>
        <w:rPr>
          <w:rFonts w:ascii="FangSong" w:hAnsi="FangSong" w:eastAsia="FangSong" w:cs="FangSong"/>
          <w:sz w:val="31"/>
          <w:szCs w:val="31"/>
          <w:spacing w:val="14"/>
        </w:rPr>
        <w:t>(二)未依照《护士条例》规定履行护士管理职责的。</w:t>
      </w:r>
    </w:p>
    <w:p>
      <w:pPr>
        <w:ind w:left="6539"/>
        <w:spacing w:before="60"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5616"/>
        <w:gridCol w:w="7130"/>
      </w:tblGrid>
      <w:tr>
        <w:trPr>
          <w:trHeight w:val="411" w:hRule="atLeast"/>
        </w:trPr>
        <w:tc>
          <w:tcPr>
            <w:tcW w:w="1424" w:type="dxa"/>
            <w:vAlign w:val="top"/>
          </w:tcPr>
          <w:p>
            <w:pPr>
              <w:pStyle w:val="TableText"/>
              <w:ind w:left="188"/>
              <w:spacing w:before="82" w:line="220" w:lineRule="auto"/>
              <w:rPr>
                <w:sz w:val="26"/>
                <w:szCs w:val="26"/>
              </w:rPr>
            </w:pPr>
            <w:r>
              <w:rPr>
                <w:sz w:val="26"/>
                <w:szCs w:val="26"/>
                <w:b/>
                <w:bCs/>
                <w:spacing w:val="-5"/>
              </w:rPr>
              <w:t>违法程度</w:t>
            </w:r>
          </w:p>
        </w:tc>
        <w:tc>
          <w:tcPr>
            <w:tcW w:w="5616" w:type="dxa"/>
            <w:vAlign w:val="top"/>
          </w:tcPr>
          <w:p>
            <w:pPr>
              <w:pStyle w:val="TableText"/>
              <w:ind w:left="2284"/>
              <w:spacing w:before="82" w:line="220" w:lineRule="auto"/>
              <w:rPr>
                <w:sz w:val="26"/>
                <w:szCs w:val="26"/>
              </w:rPr>
            </w:pPr>
            <w:r>
              <w:rPr>
                <w:sz w:val="26"/>
                <w:szCs w:val="26"/>
                <w:b/>
                <w:bCs/>
                <w:spacing w:val="-5"/>
              </w:rPr>
              <w:t>违法后果</w:t>
            </w:r>
          </w:p>
        </w:tc>
        <w:tc>
          <w:tcPr>
            <w:tcW w:w="7130" w:type="dxa"/>
            <w:vAlign w:val="top"/>
          </w:tcPr>
          <w:p>
            <w:pPr>
              <w:pStyle w:val="TableText"/>
              <w:ind w:left="3038"/>
              <w:spacing w:before="79" w:line="218" w:lineRule="auto"/>
              <w:rPr>
                <w:sz w:val="26"/>
                <w:szCs w:val="26"/>
              </w:rPr>
            </w:pPr>
            <w:r>
              <w:rPr>
                <w:sz w:val="26"/>
                <w:szCs w:val="26"/>
                <w:b/>
                <w:bCs/>
                <w:spacing w:val="-5"/>
              </w:rPr>
              <w:t>裁量幅度</w:t>
            </w:r>
          </w:p>
        </w:tc>
      </w:tr>
      <w:tr>
        <w:trPr>
          <w:trHeight w:val="888" w:hRule="atLeast"/>
        </w:trPr>
        <w:tc>
          <w:tcPr>
            <w:tcW w:w="1424" w:type="dxa"/>
            <w:vAlign w:val="top"/>
          </w:tcPr>
          <w:p>
            <w:pPr>
              <w:spacing w:line="305" w:lineRule="auto"/>
              <w:rPr>
                <w:rFonts w:ascii="Arial"/>
                <w:sz w:val="21"/>
              </w:rPr>
            </w:pPr>
            <w:r/>
          </w:p>
          <w:p>
            <w:pPr>
              <w:pStyle w:val="TableText"/>
              <w:ind w:left="448"/>
              <w:spacing w:before="85" w:line="221" w:lineRule="auto"/>
              <w:rPr>
                <w:sz w:val="26"/>
                <w:szCs w:val="26"/>
              </w:rPr>
            </w:pPr>
            <w:r>
              <w:rPr>
                <w:sz w:val="26"/>
                <w:szCs w:val="26"/>
                <w:b/>
                <w:bCs/>
                <w:spacing w:val="-10"/>
              </w:rPr>
              <w:t>一般</w:t>
            </w:r>
          </w:p>
        </w:tc>
        <w:tc>
          <w:tcPr>
            <w:tcW w:w="5616" w:type="dxa"/>
            <w:vAlign w:val="top"/>
          </w:tcPr>
          <w:p>
            <w:pPr>
              <w:pStyle w:val="TableText"/>
              <w:spacing w:before="159" w:line="219" w:lineRule="auto"/>
              <w:jc w:val="right"/>
              <w:rPr>
                <w:sz w:val="26"/>
                <w:szCs w:val="26"/>
              </w:rPr>
            </w:pPr>
            <w:r>
              <w:rPr>
                <w:sz w:val="26"/>
                <w:szCs w:val="26"/>
                <w:b/>
                <w:bCs/>
                <w:spacing w:val="-9"/>
              </w:rPr>
              <w:t>医疗卫生机构未依照本条例规定履行护士管理职责</w:t>
            </w:r>
          </w:p>
          <w:p>
            <w:pPr>
              <w:pStyle w:val="TableText"/>
              <w:ind w:left="124"/>
              <w:spacing w:before="137" w:line="194" w:lineRule="auto"/>
              <w:rPr>
                <w:sz w:val="26"/>
                <w:szCs w:val="26"/>
              </w:rPr>
            </w:pPr>
            <w:r>
              <w:rPr>
                <w:sz w:val="26"/>
                <w:szCs w:val="26"/>
                <w:b/>
                <w:bCs/>
                <w:color w:val="606060"/>
                <w:spacing w:val="-3"/>
              </w:rPr>
              <w:t>的</w:t>
            </w:r>
          </w:p>
        </w:tc>
        <w:tc>
          <w:tcPr>
            <w:tcW w:w="7130" w:type="dxa"/>
            <w:vAlign w:val="top"/>
          </w:tcPr>
          <w:p>
            <w:pPr>
              <w:pStyle w:val="TableText"/>
              <w:ind w:left="108" w:hanging="90"/>
              <w:spacing w:before="159" w:line="255" w:lineRule="auto"/>
              <w:rPr>
                <w:sz w:val="26"/>
                <w:szCs w:val="26"/>
              </w:rPr>
            </w:pPr>
            <w:r>
              <w:rPr>
                <w:sz w:val="26"/>
                <w:szCs w:val="26"/>
                <w:b/>
                <w:bCs/>
                <w:spacing w:val="-9"/>
              </w:rPr>
              <w:t>由县级以上地方人民政府卫生主管部门依据职责分工</w:t>
            </w:r>
            <w:r>
              <w:rPr>
                <w:sz w:val="26"/>
                <w:szCs w:val="26"/>
                <w:b/>
                <w:bCs/>
                <w:spacing w:val="-10"/>
              </w:rPr>
              <w:t>责令限期改</w:t>
            </w:r>
            <w:r>
              <w:rPr>
                <w:sz w:val="26"/>
                <w:szCs w:val="26"/>
              </w:rPr>
              <w:t xml:space="preserve"> </w:t>
            </w:r>
            <w:r>
              <w:rPr>
                <w:sz w:val="26"/>
                <w:szCs w:val="26"/>
                <w:b/>
                <w:bCs/>
                <w:spacing w:val="-2"/>
              </w:rPr>
              <w:t>正，给予警告</w:t>
            </w:r>
          </w:p>
        </w:tc>
      </w:tr>
    </w:tbl>
    <w:p>
      <w:pPr>
        <w:pStyle w:val="BodyText"/>
        <w:spacing w:line="453" w:lineRule="auto"/>
        <w:rPr/>
      </w:pPr>
      <w:r/>
    </w:p>
    <w:p>
      <w:pPr>
        <w:ind w:left="779"/>
        <w:spacing w:before="102" w:line="220" w:lineRule="auto"/>
        <w:rPr>
          <w:rFonts w:ascii="FangSong" w:hAnsi="FangSong" w:eastAsia="FangSong" w:cs="FangSong"/>
          <w:sz w:val="31"/>
          <w:szCs w:val="31"/>
        </w:rPr>
      </w:pPr>
      <w:r>
        <w:rPr>
          <w:rFonts w:ascii="FangSong" w:hAnsi="FangSong" w:eastAsia="FangSong" w:cs="FangSong"/>
          <w:sz w:val="31"/>
          <w:szCs w:val="31"/>
          <w:b/>
          <w:bCs/>
          <w:spacing w:val="13"/>
        </w:rPr>
        <w:t>第一百九十八条护士发现患者病情危急未立</w:t>
      </w:r>
      <w:r>
        <w:rPr>
          <w:rFonts w:ascii="FangSong" w:hAnsi="FangSong" w:eastAsia="FangSong" w:cs="FangSong"/>
          <w:sz w:val="31"/>
          <w:szCs w:val="31"/>
          <w:b/>
          <w:bCs/>
          <w:spacing w:val="12"/>
        </w:rPr>
        <w:t>即通知医师的</w:t>
      </w:r>
    </w:p>
    <w:p>
      <w:pPr>
        <w:ind w:left="774"/>
        <w:spacing w:before="59" w:line="222" w:lineRule="auto"/>
        <w:rPr>
          <w:rFonts w:ascii="FangSong" w:hAnsi="FangSong" w:eastAsia="FangSong" w:cs="FangSong"/>
          <w:sz w:val="31"/>
          <w:szCs w:val="31"/>
        </w:rPr>
      </w:pPr>
      <w:r>
        <w:rPr>
          <w:rFonts w:ascii="FangSong" w:hAnsi="FangSong" w:eastAsia="FangSong" w:cs="FangSong"/>
          <w:sz w:val="31"/>
          <w:szCs w:val="31"/>
          <w:spacing w:val="21"/>
        </w:rPr>
        <w:t>法律依据：</w:t>
      </w:r>
    </w:p>
    <w:p>
      <w:pPr>
        <w:ind w:left="135" w:right="114" w:firstLine="604"/>
        <w:spacing w:before="69" w:line="264" w:lineRule="auto"/>
        <w:jc w:val="both"/>
        <w:rPr>
          <w:rFonts w:ascii="FangSong" w:hAnsi="FangSong" w:eastAsia="FangSong" w:cs="FangSong"/>
          <w:sz w:val="31"/>
          <w:szCs w:val="31"/>
        </w:rPr>
      </w:pPr>
      <w:r>
        <w:rPr>
          <w:rFonts w:ascii="FangSong" w:hAnsi="FangSong" w:eastAsia="FangSong" w:cs="FangSong"/>
          <w:sz w:val="31"/>
          <w:szCs w:val="31"/>
          <w:spacing w:val="14"/>
        </w:rPr>
        <w:t>《护士条例》第三十一条第一款第(一)项</w:t>
      </w:r>
      <w:r>
        <w:rPr>
          <w:rFonts w:ascii="FangSong" w:hAnsi="FangSong" w:eastAsia="FangSong" w:cs="FangSong"/>
          <w:sz w:val="31"/>
          <w:szCs w:val="31"/>
          <w:spacing w:val="14"/>
        </w:rPr>
        <w:t xml:space="preserve">  </w:t>
      </w:r>
      <w:r>
        <w:rPr>
          <w:rFonts w:ascii="FangSong" w:hAnsi="FangSong" w:eastAsia="FangSong" w:cs="FangSong"/>
          <w:sz w:val="31"/>
          <w:szCs w:val="31"/>
          <w:spacing w:val="14"/>
        </w:rPr>
        <w:t>护士在执业活动中有下列情形之一的，由县级以上</w:t>
      </w:r>
      <w:r>
        <w:rPr>
          <w:rFonts w:ascii="FangSong" w:hAnsi="FangSong" w:eastAsia="FangSong" w:cs="FangSong"/>
          <w:sz w:val="31"/>
          <w:szCs w:val="31"/>
          <w:spacing w:val="12"/>
        </w:rPr>
        <w:t xml:space="preserve"> </w:t>
      </w:r>
      <w:r>
        <w:rPr>
          <w:rFonts w:ascii="FangSong" w:hAnsi="FangSong" w:eastAsia="FangSong" w:cs="FangSong"/>
          <w:sz w:val="31"/>
          <w:szCs w:val="31"/>
          <w:spacing w:val="14"/>
        </w:rPr>
        <w:t>地方人民政府卫生主管部门依据职责分工责令改正，给予警告</w:t>
      </w:r>
      <w:r>
        <w:rPr>
          <w:rFonts w:ascii="FangSong" w:hAnsi="FangSong" w:eastAsia="FangSong" w:cs="FangSong"/>
          <w:sz w:val="31"/>
          <w:szCs w:val="31"/>
          <w:spacing w:val="13"/>
        </w:rPr>
        <w:t>；情节严重的，暂停其6个月以上1年</w:t>
      </w:r>
      <w:r>
        <w:rPr>
          <w:rFonts w:ascii="FangSong" w:hAnsi="FangSong" w:eastAsia="FangSong" w:cs="FangSong"/>
          <w:sz w:val="31"/>
          <w:szCs w:val="31"/>
        </w:rPr>
        <w:t xml:space="preserve"> </w:t>
      </w:r>
      <w:r>
        <w:rPr>
          <w:rFonts w:ascii="FangSong" w:hAnsi="FangSong" w:eastAsia="FangSong" w:cs="FangSong"/>
          <w:sz w:val="31"/>
          <w:szCs w:val="31"/>
          <w:spacing w:val="5"/>
        </w:rPr>
        <w:t>以下执业活动，直至由原发证部门吊销其护士执业证书：</w:t>
      </w:r>
    </w:p>
    <w:p>
      <w:pPr>
        <w:spacing w:line="264" w:lineRule="auto"/>
        <w:sectPr>
          <w:footerReference w:type="default" r:id="rId264"/>
          <w:pgSz w:w="16830" w:h="11900"/>
          <w:pgMar w:top="1011" w:right="1335" w:bottom="1107" w:left="1314" w:header="0" w:footer="774" w:gutter="0"/>
        </w:sectPr>
        <w:rPr>
          <w:rFonts w:ascii="FangSong" w:hAnsi="FangSong" w:eastAsia="FangSong" w:cs="FangSong"/>
          <w:sz w:val="31"/>
          <w:szCs w:val="31"/>
        </w:rPr>
      </w:pPr>
    </w:p>
    <w:p>
      <w:pPr>
        <w:pStyle w:val="BodyText"/>
        <w:spacing w:line="265" w:lineRule="auto"/>
        <w:rPr/>
      </w:pPr>
      <w:r/>
    </w:p>
    <w:p>
      <w:pPr>
        <w:pStyle w:val="BodyText"/>
        <w:spacing w:line="265" w:lineRule="auto"/>
        <w:rPr/>
      </w:pPr>
      <w:r/>
    </w:p>
    <w:p>
      <w:pPr>
        <w:pStyle w:val="BodyText"/>
        <w:spacing w:line="266" w:lineRule="auto"/>
        <w:rPr/>
      </w:pPr>
      <w:r/>
    </w:p>
    <w:p>
      <w:pPr>
        <w:ind w:left="894"/>
        <w:spacing w:before="97" w:line="222" w:lineRule="auto"/>
        <w:rPr>
          <w:rFonts w:ascii="FangSong" w:hAnsi="FangSong" w:eastAsia="FangSong" w:cs="FangSong"/>
          <w:sz w:val="30"/>
          <w:szCs w:val="30"/>
        </w:rPr>
      </w:pPr>
      <w:r>
        <w:rPr>
          <w:rFonts w:ascii="FangSong" w:hAnsi="FangSong" w:eastAsia="FangSong" w:cs="FangSong"/>
          <w:sz w:val="30"/>
          <w:szCs w:val="30"/>
          <w:spacing w:val="24"/>
        </w:rPr>
        <w:t>(一)发现患者病情危急未立即通知医师的；</w:t>
      </w:r>
    </w:p>
    <w:p>
      <w:pPr>
        <w:ind w:left="6539"/>
        <w:spacing w:before="47" w:line="220" w:lineRule="auto"/>
        <w:rPr>
          <w:rFonts w:ascii="SimSun" w:hAnsi="SimSun" w:eastAsia="SimSun" w:cs="SimSun"/>
          <w:sz w:val="29"/>
          <w:szCs w:val="29"/>
        </w:rPr>
      </w:pPr>
      <w:bookmarkStart w:name="bookmark918" w:id="285"/>
      <w:bookmarkEnd w:id="285"/>
      <w:r>
        <w:rPr>
          <w:rFonts w:ascii="SimSun" w:hAnsi="SimSun" w:eastAsia="SimSun" w:cs="SimSun"/>
          <w:sz w:val="29"/>
          <w:szCs w:val="29"/>
          <w:b/>
          <w:bCs/>
          <w:spacing w:val="-6"/>
        </w:rPr>
        <w:t>裁量标准</w:t>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8154"/>
        <w:gridCol w:w="4562"/>
      </w:tblGrid>
      <w:tr>
        <w:trPr>
          <w:trHeight w:val="453" w:hRule="atLeast"/>
        </w:trPr>
        <w:tc>
          <w:tcPr>
            <w:tcW w:w="1444" w:type="dxa"/>
            <w:vAlign w:val="top"/>
          </w:tcPr>
          <w:p>
            <w:pPr>
              <w:pStyle w:val="TableText"/>
              <w:ind w:left="218"/>
              <w:spacing w:before="102" w:line="220" w:lineRule="auto"/>
              <w:rPr>
                <w:sz w:val="25"/>
                <w:szCs w:val="25"/>
              </w:rPr>
            </w:pPr>
            <w:r>
              <w:rPr>
                <w:sz w:val="25"/>
                <w:szCs w:val="25"/>
                <w:b/>
                <w:bCs/>
                <w:spacing w:val="-5"/>
              </w:rPr>
              <w:t>违法程度</w:t>
            </w:r>
          </w:p>
        </w:tc>
        <w:tc>
          <w:tcPr>
            <w:tcW w:w="8154" w:type="dxa"/>
            <w:vAlign w:val="top"/>
          </w:tcPr>
          <w:p>
            <w:pPr>
              <w:pStyle w:val="TableText"/>
              <w:ind w:left="3504"/>
              <w:spacing w:before="102" w:line="220" w:lineRule="auto"/>
              <w:rPr>
                <w:sz w:val="25"/>
                <w:szCs w:val="25"/>
              </w:rPr>
            </w:pPr>
            <w:r>
              <w:rPr>
                <w:sz w:val="25"/>
                <w:szCs w:val="25"/>
                <w:b/>
                <w:bCs/>
                <w:spacing w:val="-5"/>
              </w:rPr>
              <w:t>违法后果</w:t>
            </w:r>
          </w:p>
        </w:tc>
        <w:tc>
          <w:tcPr>
            <w:tcW w:w="4562" w:type="dxa"/>
            <w:vAlign w:val="top"/>
          </w:tcPr>
          <w:p>
            <w:pPr>
              <w:pStyle w:val="TableText"/>
              <w:ind w:left="1710"/>
              <w:spacing w:before="99" w:line="218" w:lineRule="auto"/>
              <w:rPr>
                <w:sz w:val="25"/>
                <w:szCs w:val="25"/>
              </w:rPr>
            </w:pPr>
            <w:r>
              <w:rPr>
                <w:sz w:val="25"/>
                <w:szCs w:val="25"/>
                <w:b/>
                <w:bCs/>
                <w:spacing w:val="-5"/>
              </w:rPr>
              <w:t>裁量幅度</w:t>
            </w:r>
          </w:p>
        </w:tc>
      </w:tr>
      <w:tr>
        <w:trPr>
          <w:trHeight w:val="478" w:hRule="atLeast"/>
        </w:trPr>
        <w:tc>
          <w:tcPr>
            <w:tcW w:w="1444" w:type="dxa"/>
            <w:vAlign w:val="top"/>
          </w:tcPr>
          <w:p>
            <w:pPr>
              <w:pStyle w:val="TableText"/>
              <w:ind w:left="468"/>
              <w:spacing w:before="118" w:line="219" w:lineRule="auto"/>
              <w:rPr>
                <w:sz w:val="25"/>
                <w:szCs w:val="25"/>
              </w:rPr>
            </w:pPr>
            <w:r>
              <w:rPr>
                <w:sz w:val="25"/>
                <w:szCs w:val="25"/>
                <w:b/>
                <w:bCs/>
                <w:spacing w:val="-6"/>
              </w:rPr>
              <w:t>轻微</w:t>
            </w:r>
          </w:p>
        </w:tc>
        <w:tc>
          <w:tcPr>
            <w:tcW w:w="8154" w:type="dxa"/>
            <w:vAlign w:val="top"/>
          </w:tcPr>
          <w:p>
            <w:pPr>
              <w:pStyle w:val="TableText"/>
              <w:ind w:left="101"/>
              <w:spacing w:before="122" w:line="219" w:lineRule="auto"/>
              <w:rPr>
                <w:sz w:val="25"/>
                <w:szCs w:val="25"/>
              </w:rPr>
            </w:pPr>
            <w:r>
              <w:rPr>
                <w:sz w:val="25"/>
                <w:szCs w:val="25"/>
                <w:spacing w:val="1"/>
              </w:rPr>
              <w:t>护士发现患者病情危急未立即通知医师的</w:t>
            </w:r>
          </w:p>
        </w:tc>
        <w:tc>
          <w:tcPr>
            <w:tcW w:w="4562" w:type="dxa"/>
            <w:vAlign w:val="top"/>
          </w:tcPr>
          <w:p>
            <w:pPr>
              <w:pStyle w:val="TableText"/>
              <w:ind w:left="116"/>
              <w:spacing w:before="120" w:line="218" w:lineRule="auto"/>
              <w:rPr>
                <w:sz w:val="25"/>
                <w:szCs w:val="25"/>
              </w:rPr>
            </w:pPr>
            <w:r>
              <w:rPr>
                <w:sz w:val="25"/>
                <w:szCs w:val="25"/>
                <w:spacing w:val="2"/>
              </w:rPr>
              <w:t>责令改正，警告</w:t>
            </w:r>
          </w:p>
        </w:tc>
      </w:tr>
      <w:tr>
        <w:trPr>
          <w:trHeight w:val="448" w:hRule="atLeast"/>
        </w:trPr>
        <w:tc>
          <w:tcPr>
            <w:tcW w:w="1444" w:type="dxa"/>
            <w:vAlign w:val="top"/>
          </w:tcPr>
          <w:p>
            <w:pPr>
              <w:pStyle w:val="TableText"/>
              <w:ind w:left="468"/>
              <w:spacing w:before="152" w:line="211" w:lineRule="auto"/>
              <w:rPr>
                <w:sz w:val="25"/>
                <w:szCs w:val="25"/>
              </w:rPr>
            </w:pPr>
            <w:r>
              <w:rPr>
                <w:sz w:val="25"/>
                <w:szCs w:val="25"/>
                <w:b/>
                <w:bCs/>
                <w:spacing w:val="-10"/>
              </w:rPr>
              <w:t>一般</w:t>
            </w:r>
          </w:p>
        </w:tc>
        <w:tc>
          <w:tcPr>
            <w:tcW w:w="8154" w:type="dxa"/>
            <w:vAlign w:val="top"/>
          </w:tcPr>
          <w:p>
            <w:pPr>
              <w:pStyle w:val="TableText"/>
              <w:ind w:left="101"/>
              <w:spacing w:before="164" w:line="202" w:lineRule="auto"/>
              <w:rPr>
                <w:sz w:val="25"/>
                <w:szCs w:val="25"/>
              </w:rPr>
            </w:pPr>
            <w:r>
              <w:rPr>
                <w:sz w:val="25"/>
                <w:szCs w:val="25"/>
              </w:rPr>
              <w:t>护士发现患者病情危急未立即通知医师的，产生伤害后果的</w:t>
            </w:r>
          </w:p>
        </w:tc>
        <w:tc>
          <w:tcPr>
            <w:tcW w:w="4562" w:type="dxa"/>
            <w:vAlign w:val="top"/>
          </w:tcPr>
          <w:p>
            <w:pPr>
              <w:pStyle w:val="TableText"/>
              <w:ind w:left="116"/>
              <w:spacing w:before="164" w:line="202" w:lineRule="auto"/>
              <w:rPr>
                <w:sz w:val="25"/>
                <w:szCs w:val="25"/>
              </w:rPr>
            </w:pPr>
            <w:r>
              <w:rPr>
                <w:sz w:val="25"/>
                <w:szCs w:val="25"/>
                <w:spacing w:val="1"/>
              </w:rPr>
              <w:t>暂停其6个月以上9个月以下执业活动</w:t>
            </w:r>
          </w:p>
        </w:tc>
      </w:tr>
      <w:tr>
        <w:trPr>
          <w:trHeight w:val="448" w:hRule="atLeast"/>
        </w:trPr>
        <w:tc>
          <w:tcPr>
            <w:tcW w:w="1444" w:type="dxa"/>
            <w:vAlign w:val="top"/>
          </w:tcPr>
          <w:p>
            <w:pPr>
              <w:pStyle w:val="TableText"/>
              <w:ind w:left="468"/>
              <w:spacing w:before="153" w:line="210" w:lineRule="auto"/>
              <w:rPr>
                <w:sz w:val="25"/>
                <w:szCs w:val="25"/>
              </w:rPr>
            </w:pPr>
            <w:r>
              <w:rPr>
                <w:sz w:val="25"/>
                <w:szCs w:val="25"/>
                <w:b/>
                <w:bCs/>
                <w:spacing w:val="-6"/>
              </w:rPr>
              <w:t>严重</w:t>
            </w:r>
          </w:p>
        </w:tc>
        <w:tc>
          <w:tcPr>
            <w:tcW w:w="8154" w:type="dxa"/>
            <w:vAlign w:val="top"/>
          </w:tcPr>
          <w:p>
            <w:pPr>
              <w:pStyle w:val="TableText"/>
              <w:ind w:left="101"/>
              <w:spacing w:before="156" w:line="208" w:lineRule="auto"/>
              <w:rPr>
                <w:sz w:val="25"/>
                <w:szCs w:val="25"/>
              </w:rPr>
            </w:pPr>
            <w:r>
              <w:rPr>
                <w:sz w:val="25"/>
                <w:szCs w:val="25"/>
              </w:rPr>
              <w:t>护士发现患者病情危急未立即通知医师的，产生严重伤害后果的</w:t>
            </w:r>
          </w:p>
        </w:tc>
        <w:tc>
          <w:tcPr>
            <w:tcW w:w="4562" w:type="dxa"/>
            <w:vAlign w:val="top"/>
          </w:tcPr>
          <w:p>
            <w:pPr>
              <w:pStyle w:val="TableText"/>
              <w:ind w:left="116"/>
              <w:spacing w:before="106" w:line="219" w:lineRule="auto"/>
              <w:rPr>
                <w:sz w:val="25"/>
                <w:szCs w:val="25"/>
              </w:rPr>
            </w:pPr>
            <w:r>
              <w:rPr>
                <w:sz w:val="25"/>
                <w:szCs w:val="25"/>
                <w:spacing w:val="1"/>
              </w:rPr>
              <w:t>暂停其9个月以上1年以下执业活动</w:t>
            </w:r>
          </w:p>
        </w:tc>
      </w:tr>
      <w:tr>
        <w:trPr>
          <w:trHeight w:val="423" w:hRule="atLeast"/>
        </w:trPr>
        <w:tc>
          <w:tcPr>
            <w:tcW w:w="1444" w:type="dxa"/>
            <w:vAlign w:val="top"/>
          </w:tcPr>
          <w:p>
            <w:pPr>
              <w:pStyle w:val="TableText"/>
              <w:ind w:left="218"/>
              <w:spacing w:before="94" w:line="219" w:lineRule="auto"/>
              <w:rPr>
                <w:sz w:val="25"/>
                <w:szCs w:val="25"/>
              </w:rPr>
            </w:pPr>
            <w:r>
              <w:rPr>
                <w:sz w:val="25"/>
                <w:szCs w:val="25"/>
                <w:b/>
                <w:bCs/>
                <w:spacing w:val="-5"/>
              </w:rPr>
              <w:t>特别严重</w:t>
            </w:r>
          </w:p>
        </w:tc>
        <w:tc>
          <w:tcPr>
            <w:tcW w:w="8154" w:type="dxa"/>
            <w:vAlign w:val="top"/>
          </w:tcPr>
          <w:p>
            <w:pPr>
              <w:pStyle w:val="TableText"/>
              <w:ind w:left="101"/>
              <w:spacing w:before="147" w:line="196" w:lineRule="auto"/>
              <w:rPr>
                <w:sz w:val="25"/>
                <w:szCs w:val="25"/>
              </w:rPr>
            </w:pPr>
            <w:r>
              <w:rPr>
                <w:sz w:val="25"/>
                <w:szCs w:val="25"/>
              </w:rPr>
              <w:t>护士发现患者病情危急未立即通知医师的，造成患者死亡的</w:t>
            </w:r>
          </w:p>
        </w:tc>
        <w:tc>
          <w:tcPr>
            <w:tcW w:w="4562" w:type="dxa"/>
            <w:vAlign w:val="top"/>
          </w:tcPr>
          <w:p>
            <w:pPr>
              <w:pStyle w:val="TableText"/>
              <w:ind w:left="116"/>
              <w:spacing w:before="147" w:line="196" w:lineRule="auto"/>
              <w:rPr>
                <w:sz w:val="25"/>
                <w:szCs w:val="25"/>
              </w:rPr>
            </w:pPr>
            <w:r>
              <w:rPr>
                <w:sz w:val="25"/>
                <w:szCs w:val="25"/>
                <w:spacing w:val="1"/>
              </w:rPr>
              <w:t>原发证部门吊销其护士执业证书</w:t>
            </w:r>
          </w:p>
        </w:tc>
      </w:tr>
    </w:tbl>
    <w:p>
      <w:pPr>
        <w:pStyle w:val="BodyText"/>
        <w:spacing w:line="467" w:lineRule="auto"/>
        <w:rPr/>
      </w:pPr>
      <w:r/>
    </w:p>
    <w:p>
      <w:pPr>
        <w:ind w:left="139" w:right="102" w:firstLine="629"/>
        <w:spacing w:before="98" w:line="273" w:lineRule="auto"/>
        <w:rPr>
          <w:rFonts w:ascii="FangSong" w:hAnsi="FangSong" w:eastAsia="FangSong" w:cs="FangSong"/>
          <w:sz w:val="30"/>
          <w:szCs w:val="30"/>
        </w:rPr>
      </w:pPr>
      <w:r>
        <w:rPr>
          <w:rFonts w:ascii="FangSong" w:hAnsi="FangSong" w:eastAsia="FangSong" w:cs="FangSong"/>
          <w:sz w:val="30"/>
          <w:szCs w:val="30"/>
          <w:b/>
          <w:bCs/>
          <w:spacing w:val="21"/>
        </w:rPr>
        <w:t>第一百九十九条护士发现医嘱违反法律、法规、规章或者诊疗技术规范的规定，未依照本条例</w:t>
      </w:r>
      <w:r>
        <w:rPr>
          <w:rFonts w:ascii="FangSong" w:hAnsi="FangSong" w:eastAsia="FangSong" w:cs="FangSong"/>
          <w:sz w:val="30"/>
          <w:szCs w:val="30"/>
          <w:spacing w:val="7"/>
        </w:rPr>
        <w:t xml:space="preserve"> </w:t>
      </w:r>
      <w:r>
        <w:rPr>
          <w:rFonts w:ascii="FangSong" w:hAnsi="FangSong" w:eastAsia="FangSong" w:cs="FangSong"/>
          <w:sz w:val="30"/>
          <w:szCs w:val="30"/>
          <w:b/>
          <w:bCs/>
          <w:spacing w:val="15"/>
        </w:rPr>
        <w:t>第十七条的规定提出或者报告的</w:t>
      </w:r>
    </w:p>
    <w:p>
      <w:pPr>
        <w:ind w:left="765"/>
        <w:spacing w:line="222" w:lineRule="auto"/>
        <w:rPr>
          <w:rFonts w:ascii="FangSong" w:hAnsi="FangSong" w:eastAsia="FangSong" w:cs="FangSong"/>
          <w:sz w:val="30"/>
          <w:szCs w:val="30"/>
        </w:rPr>
      </w:pPr>
      <w:r>
        <w:rPr>
          <w:rFonts w:ascii="FangSong" w:hAnsi="FangSong" w:eastAsia="FangSong" w:cs="FangSong"/>
          <w:sz w:val="30"/>
          <w:szCs w:val="30"/>
          <w:spacing w:val="30"/>
        </w:rPr>
        <w:t>法律依据：</w:t>
      </w:r>
    </w:p>
    <w:p>
      <w:pPr>
        <w:ind w:left="135" w:right="73" w:firstLine="629"/>
        <w:spacing w:before="65" w:line="266" w:lineRule="auto"/>
        <w:jc w:val="both"/>
        <w:rPr>
          <w:rFonts w:ascii="FangSong" w:hAnsi="FangSong" w:eastAsia="FangSong" w:cs="FangSong"/>
          <w:sz w:val="30"/>
          <w:szCs w:val="30"/>
        </w:rPr>
      </w:pPr>
      <w:r>
        <w:rPr>
          <w:rFonts w:ascii="FangSong" w:hAnsi="FangSong" w:eastAsia="FangSong" w:cs="FangSong"/>
          <w:sz w:val="30"/>
          <w:szCs w:val="30"/>
          <w:spacing w:val="23"/>
        </w:rPr>
        <w:t>1.</w:t>
      </w:r>
      <w:r>
        <w:rPr>
          <w:rFonts w:ascii="FangSong" w:hAnsi="FangSong" w:eastAsia="FangSong" w:cs="FangSong"/>
          <w:sz w:val="30"/>
          <w:szCs w:val="30"/>
          <w:spacing w:val="23"/>
        </w:rPr>
        <w:t xml:space="preserve"> </w:t>
      </w:r>
      <w:r>
        <w:rPr>
          <w:rFonts w:ascii="FangSong" w:hAnsi="FangSong" w:eastAsia="FangSong" w:cs="FangSong"/>
          <w:sz w:val="30"/>
          <w:szCs w:val="30"/>
          <w:spacing w:val="23"/>
        </w:rPr>
        <w:t>《护士条例》第三十</w:t>
      </w:r>
      <w:r>
        <w:rPr>
          <w:rFonts w:ascii="FangSong" w:hAnsi="FangSong" w:eastAsia="FangSong" w:cs="FangSong"/>
          <w:sz w:val="30"/>
          <w:szCs w:val="30"/>
          <w:spacing w:val="-56"/>
        </w:rPr>
        <w:t xml:space="preserve"> </w:t>
      </w:r>
      <w:r>
        <w:rPr>
          <w:rFonts w:ascii="FangSong" w:hAnsi="FangSong" w:eastAsia="FangSong" w:cs="FangSong"/>
          <w:sz w:val="30"/>
          <w:szCs w:val="30"/>
          <w:spacing w:val="23"/>
        </w:rPr>
        <w:t>一条第一款第(二)项护士在执业活动中有下列情形之一</w:t>
      </w:r>
      <w:r>
        <w:rPr>
          <w:rFonts w:ascii="FangSong" w:hAnsi="FangSong" w:eastAsia="FangSong" w:cs="FangSong"/>
          <w:sz w:val="30"/>
          <w:szCs w:val="30"/>
          <w:spacing w:val="-80"/>
        </w:rPr>
        <w:t xml:space="preserve"> </w:t>
      </w:r>
      <w:r>
        <w:rPr>
          <w:rFonts w:ascii="FangSong" w:hAnsi="FangSong" w:eastAsia="FangSong" w:cs="FangSong"/>
          <w:sz w:val="30"/>
          <w:szCs w:val="30"/>
          <w:spacing w:val="23"/>
        </w:rPr>
        <w:t>的，由县级以</w:t>
      </w:r>
      <w:r>
        <w:rPr>
          <w:rFonts w:ascii="FangSong" w:hAnsi="FangSong" w:eastAsia="FangSong" w:cs="FangSong"/>
          <w:sz w:val="30"/>
          <w:szCs w:val="30"/>
        </w:rPr>
        <w:t xml:space="preserve"> </w:t>
      </w:r>
      <w:r>
        <w:rPr>
          <w:rFonts w:ascii="FangSong" w:hAnsi="FangSong" w:eastAsia="FangSong" w:cs="FangSong"/>
          <w:sz w:val="30"/>
          <w:szCs w:val="30"/>
          <w:spacing w:val="9"/>
        </w:rPr>
        <w:t>上地方人民政府卫生主管部门依据职责分工责令改正，给予警告；情节严重的，暂停其6</w:t>
      </w:r>
      <w:r>
        <w:rPr>
          <w:rFonts w:ascii="FangSong" w:hAnsi="FangSong" w:eastAsia="FangSong" w:cs="FangSong"/>
          <w:sz w:val="30"/>
          <w:szCs w:val="30"/>
          <w:spacing w:val="9"/>
        </w:rPr>
        <w:t xml:space="preserve"> </w:t>
      </w:r>
      <w:r>
        <w:rPr>
          <w:rFonts w:ascii="FangSong" w:hAnsi="FangSong" w:eastAsia="FangSong" w:cs="FangSong"/>
          <w:sz w:val="30"/>
          <w:szCs w:val="30"/>
          <w:spacing w:val="9"/>
        </w:rPr>
        <w:t>个</w:t>
      </w:r>
      <w:r>
        <w:rPr>
          <w:rFonts w:ascii="FangSong" w:hAnsi="FangSong" w:eastAsia="FangSong" w:cs="FangSong"/>
          <w:sz w:val="30"/>
          <w:szCs w:val="30"/>
          <w:spacing w:val="-20"/>
        </w:rPr>
        <w:t xml:space="preserve"> </w:t>
      </w:r>
      <w:r>
        <w:rPr>
          <w:rFonts w:ascii="FangSong" w:hAnsi="FangSong" w:eastAsia="FangSong" w:cs="FangSong"/>
          <w:sz w:val="30"/>
          <w:szCs w:val="30"/>
          <w:spacing w:val="9"/>
        </w:rPr>
        <w:t>月</w:t>
      </w:r>
      <w:r>
        <w:rPr>
          <w:rFonts w:ascii="FangSong" w:hAnsi="FangSong" w:eastAsia="FangSong" w:cs="FangSong"/>
          <w:sz w:val="30"/>
          <w:szCs w:val="30"/>
          <w:spacing w:val="9"/>
        </w:rPr>
        <w:t xml:space="preserve"> </w:t>
      </w:r>
      <w:r>
        <w:rPr>
          <w:rFonts w:ascii="FangSong" w:hAnsi="FangSong" w:eastAsia="FangSong" w:cs="FangSong"/>
          <w:sz w:val="30"/>
          <w:szCs w:val="30"/>
          <w:spacing w:val="9"/>
        </w:rPr>
        <w:t>以</w:t>
      </w:r>
      <w:r>
        <w:rPr>
          <w:rFonts w:ascii="FangSong" w:hAnsi="FangSong" w:eastAsia="FangSong" w:cs="FangSong"/>
          <w:sz w:val="30"/>
          <w:szCs w:val="30"/>
          <w:spacing w:val="-47"/>
        </w:rPr>
        <w:t xml:space="preserve"> </w:t>
      </w:r>
      <w:r>
        <w:rPr>
          <w:rFonts w:ascii="FangSong" w:hAnsi="FangSong" w:eastAsia="FangSong" w:cs="FangSong"/>
          <w:sz w:val="30"/>
          <w:szCs w:val="30"/>
          <w:spacing w:val="9"/>
        </w:rPr>
        <w:t>上</w:t>
      </w:r>
      <w:r>
        <w:rPr>
          <w:rFonts w:ascii="FangSong" w:hAnsi="FangSong" w:eastAsia="FangSong" w:cs="FangSong"/>
          <w:sz w:val="30"/>
          <w:szCs w:val="30"/>
          <w:spacing w:val="-37"/>
        </w:rPr>
        <w:t xml:space="preserve"> </w:t>
      </w:r>
      <w:r>
        <w:rPr>
          <w:rFonts w:ascii="FangSong" w:hAnsi="FangSong" w:eastAsia="FangSong" w:cs="FangSong"/>
          <w:sz w:val="30"/>
          <w:szCs w:val="30"/>
          <w:spacing w:val="9"/>
        </w:rPr>
        <w:t>1</w:t>
      </w:r>
      <w:r>
        <w:rPr>
          <w:rFonts w:ascii="FangSong" w:hAnsi="FangSong" w:eastAsia="FangSong" w:cs="FangSong"/>
          <w:sz w:val="30"/>
          <w:szCs w:val="30"/>
        </w:rPr>
        <w:t xml:space="preserve"> </w:t>
      </w:r>
      <w:r>
        <w:rPr>
          <w:rFonts w:ascii="FangSong" w:hAnsi="FangSong" w:eastAsia="FangSong" w:cs="FangSong"/>
          <w:sz w:val="30"/>
          <w:szCs w:val="30"/>
          <w:spacing w:val="16"/>
        </w:rPr>
        <w:t>年以下执业活动，直至由原发证部门吊销其护士执业证书：</w:t>
      </w:r>
    </w:p>
    <w:p>
      <w:pPr>
        <w:ind w:left="135" w:right="112" w:firstLine="759"/>
        <w:spacing w:before="16" w:line="266" w:lineRule="auto"/>
        <w:rPr>
          <w:rFonts w:ascii="FangSong" w:hAnsi="FangSong" w:eastAsia="FangSong" w:cs="FangSong"/>
          <w:sz w:val="30"/>
          <w:szCs w:val="30"/>
        </w:rPr>
      </w:pPr>
      <w:r>
        <w:rPr>
          <w:rFonts w:ascii="FangSong" w:hAnsi="FangSong" w:eastAsia="FangSong" w:cs="FangSong"/>
          <w:sz w:val="30"/>
          <w:szCs w:val="30"/>
          <w:spacing w:val="21"/>
        </w:rPr>
        <w:t>(二)发现医嘱违反法律、法规、规章或者诊疗</w:t>
      </w:r>
      <w:r>
        <w:rPr>
          <w:rFonts w:ascii="FangSong" w:hAnsi="FangSong" w:eastAsia="FangSong" w:cs="FangSong"/>
          <w:sz w:val="30"/>
          <w:szCs w:val="30"/>
          <w:spacing w:val="20"/>
        </w:rPr>
        <w:t>技术规范的规定，未依照《护士条例》第十七条</w:t>
      </w:r>
      <w:r>
        <w:rPr>
          <w:rFonts w:ascii="FangSong" w:hAnsi="FangSong" w:eastAsia="FangSong" w:cs="FangSong"/>
          <w:sz w:val="30"/>
          <w:szCs w:val="30"/>
        </w:rPr>
        <w:t xml:space="preserve"> </w:t>
      </w:r>
      <w:r>
        <w:rPr>
          <w:rFonts w:ascii="FangSong" w:hAnsi="FangSong" w:eastAsia="FangSong" w:cs="FangSong"/>
          <w:sz w:val="30"/>
          <w:szCs w:val="30"/>
          <w:spacing w:val="11"/>
        </w:rPr>
        <w:t>的规定提出或者报告的。</w:t>
      </w:r>
    </w:p>
    <w:p>
      <w:pPr>
        <w:ind w:left="135" w:right="65" w:firstLine="629"/>
        <w:spacing w:before="15" w:line="274" w:lineRule="auto"/>
        <w:rPr>
          <w:rFonts w:ascii="FangSong" w:hAnsi="FangSong" w:eastAsia="FangSong" w:cs="FangSong"/>
          <w:sz w:val="30"/>
          <w:szCs w:val="30"/>
        </w:rPr>
      </w:pPr>
      <w:r>
        <w:rPr>
          <w:rFonts w:ascii="FangSong" w:hAnsi="FangSong" w:eastAsia="FangSong" w:cs="FangSong"/>
          <w:sz w:val="30"/>
          <w:szCs w:val="30"/>
          <w:spacing w:val="12"/>
        </w:rPr>
        <w:t>2.</w:t>
      </w:r>
      <w:r>
        <w:rPr>
          <w:rFonts w:ascii="FangSong" w:hAnsi="FangSong" w:eastAsia="FangSong" w:cs="FangSong"/>
          <w:sz w:val="30"/>
          <w:szCs w:val="30"/>
          <w:spacing w:val="-55"/>
        </w:rPr>
        <w:t xml:space="preserve"> </w:t>
      </w:r>
      <w:r>
        <w:rPr>
          <w:rFonts w:ascii="FangSong" w:hAnsi="FangSong" w:eastAsia="FangSong" w:cs="FangSong"/>
          <w:sz w:val="30"/>
          <w:szCs w:val="30"/>
          <w:spacing w:val="12"/>
        </w:rPr>
        <w:t>《护士条例》第十七条</w:t>
      </w:r>
      <w:r>
        <w:rPr>
          <w:rFonts w:ascii="FangSong" w:hAnsi="FangSong" w:eastAsia="FangSong" w:cs="FangSong"/>
          <w:sz w:val="30"/>
          <w:szCs w:val="30"/>
          <w:spacing w:val="60"/>
        </w:rPr>
        <w:t xml:space="preserve">  </w:t>
      </w:r>
      <w:r>
        <w:rPr>
          <w:rFonts w:ascii="FangSong" w:hAnsi="FangSong" w:eastAsia="FangSong" w:cs="FangSong"/>
          <w:sz w:val="30"/>
          <w:szCs w:val="30"/>
          <w:spacing w:val="12"/>
        </w:rPr>
        <w:t>护士发现医嘱违反法律、法规、规章或者诊疗技术规范规定的，应当</w:t>
      </w:r>
      <w:r>
        <w:rPr>
          <w:rFonts w:ascii="FangSong" w:hAnsi="FangSong" w:eastAsia="FangSong" w:cs="FangSong"/>
          <w:sz w:val="30"/>
          <w:szCs w:val="30"/>
        </w:rPr>
        <w:t xml:space="preserve"> </w:t>
      </w:r>
      <w:r>
        <w:rPr>
          <w:rFonts w:ascii="FangSong" w:hAnsi="FangSong" w:eastAsia="FangSong" w:cs="FangSong"/>
          <w:sz w:val="30"/>
          <w:szCs w:val="30"/>
          <w:spacing w:val="18"/>
        </w:rPr>
        <w:t>及时向开具医嘱的医师提出；必要时，应当向</w:t>
      </w:r>
      <w:r>
        <w:rPr>
          <w:rFonts w:ascii="FangSong" w:hAnsi="FangSong" w:eastAsia="FangSong" w:cs="FangSong"/>
          <w:sz w:val="30"/>
          <w:szCs w:val="30"/>
          <w:spacing w:val="17"/>
        </w:rPr>
        <w:t>该医师所在科室的负责人或者医疗卫生机构负责医疗服</w:t>
      </w:r>
    </w:p>
    <w:p>
      <w:pPr>
        <w:spacing w:line="274" w:lineRule="auto"/>
        <w:sectPr>
          <w:footerReference w:type="default" r:id="rId265"/>
          <w:pgSz w:w="16830" w:h="11900"/>
          <w:pgMar w:top="1011" w:right="1344" w:bottom="1117" w:left="1314" w:header="0" w:footer="784" w:gutter="0"/>
        </w:sectPr>
        <w:rPr>
          <w:rFonts w:ascii="FangSong" w:hAnsi="FangSong" w:eastAsia="FangSong" w:cs="FangSong"/>
          <w:sz w:val="30"/>
          <w:szCs w:val="30"/>
        </w:rPr>
      </w:pPr>
    </w:p>
    <w:p>
      <w:pPr>
        <w:pStyle w:val="BodyText"/>
        <w:spacing w:line="262" w:lineRule="auto"/>
        <w:rPr/>
      </w:pPr>
      <w:r/>
    </w:p>
    <w:p>
      <w:pPr>
        <w:pStyle w:val="BodyText"/>
        <w:spacing w:line="262" w:lineRule="auto"/>
        <w:rPr/>
      </w:pPr>
      <w:r/>
    </w:p>
    <w:p>
      <w:pPr>
        <w:pStyle w:val="BodyText"/>
        <w:spacing w:line="262" w:lineRule="auto"/>
        <w:rPr/>
      </w:pPr>
      <w:r/>
    </w:p>
    <w:p>
      <w:pPr>
        <w:ind w:left="124"/>
        <w:spacing w:before="98" w:line="222" w:lineRule="auto"/>
        <w:rPr>
          <w:rFonts w:ascii="FangSong" w:hAnsi="FangSong" w:eastAsia="FangSong" w:cs="FangSong"/>
          <w:sz w:val="30"/>
          <w:szCs w:val="30"/>
        </w:rPr>
      </w:pPr>
      <w:r>
        <w:rPr>
          <w:rFonts w:ascii="FangSong" w:hAnsi="FangSong" w:eastAsia="FangSong" w:cs="FangSong"/>
          <w:sz w:val="30"/>
          <w:szCs w:val="30"/>
          <w:spacing w:val="9"/>
        </w:rPr>
        <w:t>务管理的人员报告。</w:t>
      </w:r>
    </w:p>
    <w:p>
      <w:pPr>
        <w:ind w:left="6529"/>
        <w:spacing w:before="57" w:line="220" w:lineRule="auto"/>
        <w:rPr>
          <w:rFonts w:ascii="SimSun" w:hAnsi="SimSun" w:eastAsia="SimSun" w:cs="SimSun"/>
          <w:sz w:val="29"/>
          <w:szCs w:val="29"/>
        </w:rPr>
      </w:pPr>
      <w:bookmarkStart w:name="bookmark919" w:id="286"/>
      <w:bookmarkEnd w:id="286"/>
      <w:r>
        <w:rPr>
          <w:rFonts w:ascii="SimSun" w:hAnsi="SimSun" w:eastAsia="SimSun" w:cs="SimSun"/>
          <w:sz w:val="29"/>
          <w:szCs w:val="29"/>
          <w:b/>
          <w:bCs/>
          <w:spacing w:val="-6"/>
        </w:rPr>
        <w:t>裁量标准</w:t>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8294"/>
        <w:gridCol w:w="4431"/>
      </w:tblGrid>
      <w:tr>
        <w:trPr>
          <w:trHeight w:val="444" w:hRule="atLeast"/>
        </w:trPr>
        <w:tc>
          <w:tcPr>
            <w:tcW w:w="1434" w:type="dxa"/>
            <w:vAlign w:val="top"/>
          </w:tcPr>
          <w:p>
            <w:pPr>
              <w:pStyle w:val="TableText"/>
              <w:ind w:left="228"/>
              <w:spacing w:before="102" w:line="220" w:lineRule="auto"/>
              <w:rPr/>
            </w:pPr>
            <w:r>
              <w:rPr>
                <w:b/>
                <w:bCs/>
                <w:spacing w:val="-5"/>
              </w:rPr>
              <w:t>违法程度</w:t>
            </w:r>
          </w:p>
        </w:tc>
        <w:tc>
          <w:tcPr>
            <w:tcW w:w="8294" w:type="dxa"/>
            <w:vAlign w:val="top"/>
          </w:tcPr>
          <w:p>
            <w:pPr>
              <w:pStyle w:val="TableText"/>
              <w:ind w:left="3664"/>
              <w:spacing w:before="102" w:line="220" w:lineRule="auto"/>
              <w:rPr/>
            </w:pPr>
            <w:r>
              <w:rPr>
                <w:b/>
                <w:bCs/>
                <w:spacing w:val="-5"/>
              </w:rPr>
              <w:t>违法后果</w:t>
            </w:r>
          </w:p>
        </w:tc>
        <w:tc>
          <w:tcPr>
            <w:tcW w:w="4431" w:type="dxa"/>
            <w:vAlign w:val="top"/>
          </w:tcPr>
          <w:p>
            <w:pPr>
              <w:pStyle w:val="TableText"/>
              <w:ind w:left="1660"/>
              <w:spacing w:before="9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908" w:hRule="atLeast"/>
        </w:trPr>
        <w:tc>
          <w:tcPr>
            <w:tcW w:w="1434" w:type="dxa"/>
            <w:vAlign w:val="top"/>
          </w:tcPr>
          <w:p>
            <w:pPr>
              <w:spacing w:line="257" w:lineRule="auto"/>
              <w:rPr>
                <w:rFonts w:ascii="Arial"/>
                <w:sz w:val="21"/>
              </w:rPr>
            </w:pPr>
            <w:r/>
          </w:p>
          <w:p>
            <w:pPr>
              <w:pStyle w:val="TableText"/>
              <w:ind w:left="468"/>
              <w:spacing w:before="78" w:line="219" w:lineRule="auto"/>
              <w:rPr/>
            </w:pPr>
            <w:r>
              <w:rPr>
                <w:b/>
                <w:bCs/>
                <w:spacing w:val="-6"/>
              </w:rPr>
              <w:t>轻微</w:t>
            </w:r>
          </w:p>
        </w:tc>
        <w:tc>
          <w:tcPr>
            <w:tcW w:w="8294" w:type="dxa"/>
            <w:vAlign w:val="top"/>
          </w:tcPr>
          <w:p>
            <w:pPr>
              <w:pStyle w:val="TableText"/>
              <w:ind w:left="109" w:right="43" w:hanging="49"/>
              <w:spacing w:before="169" w:line="280" w:lineRule="auto"/>
              <w:rPr/>
            </w:pPr>
            <w:r>
              <w:rPr/>
              <w:t>护士发现医嘱违反法律、法规、规章或者诊疗技术规范的规定，未依照本条例</w:t>
            </w:r>
            <w:r>
              <w:rPr>
                <w:spacing w:val="18"/>
              </w:rPr>
              <w:t xml:space="preserve"> </w:t>
            </w:r>
            <w:r>
              <w:rPr>
                <w:spacing w:val="1"/>
              </w:rPr>
              <w:t>第十七条的规定提出或者报告的</w:t>
            </w:r>
          </w:p>
        </w:tc>
        <w:tc>
          <w:tcPr>
            <w:tcW w:w="4431" w:type="dxa"/>
            <w:vAlign w:val="top"/>
          </w:tcPr>
          <w:p>
            <w:pPr>
              <w:spacing w:line="259" w:lineRule="auto"/>
              <w:rPr>
                <w:rFonts w:ascii="Arial"/>
                <w:sz w:val="21"/>
              </w:rPr>
            </w:pPr>
            <w:r/>
          </w:p>
          <w:p>
            <w:pPr>
              <w:pStyle w:val="TableText"/>
              <w:ind w:left="106"/>
              <w:spacing w:before="78" w:line="218" w:lineRule="auto"/>
              <w:rPr/>
            </w:pPr>
            <w:r>
              <w:rPr>
                <w:spacing w:val="1"/>
              </w:rPr>
              <w:t>责令改正，给予警告</w:t>
            </w:r>
          </w:p>
        </w:tc>
      </w:tr>
      <w:tr>
        <w:trPr>
          <w:trHeight w:val="868" w:hRule="atLeast"/>
        </w:trPr>
        <w:tc>
          <w:tcPr>
            <w:tcW w:w="1434" w:type="dxa"/>
            <w:vAlign w:val="top"/>
          </w:tcPr>
          <w:p>
            <w:pPr>
              <w:spacing w:line="241" w:lineRule="auto"/>
              <w:rPr>
                <w:rFonts w:ascii="Arial"/>
                <w:sz w:val="21"/>
              </w:rPr>
            </w:pPr>
            <w:r/>
          </w:p>
          <w:p>
            <w:pPr>
              <w:pStyle w:val="TableText"/>
              <w:ind w:left="468"/>
              <w:spacing w:before="78" w:line="221" w:lineRule="auto"/>
              <w:rPr/>
            </w:pPr>
            <w:r>
              <w:rPr>
                <w:b/>
                <w:bCs/>
                <w:spacing w:val="-10"/>
              </w:rPr>
              <w:t>一般</w:t>
            </w:r>
          </w:p>
        </w:tc>
        <w:tc>
          <w:tcPr>
            <w:tcW w:w="8294" w:type="dxa"/>
            <w:vAlign w:val="top"/>
          </w:tcPr>
          <w:p>
            <w:pPr>
              <w:pStyle w:val="TableText"/>
              <w:ind w:left="109" w:right="43" w:hanging="49"/>
              <w:spacing w:before="132" w:line="279" w:lineRule="auto"/>
              <w:rPr/>
            </w:pPr>
            <w:r>
              <w:rPr/>
              <w:t>护士发现医嘱违反法律、法规、规章或者诊疗技术规范的规定，未依照本条例</w:t>
            </w:r>
            <w:r>
              <w:rPr>
                <w:spacing w:val="18"/>
              </w:rPr>
              <w:t xml:space="preserve"> </w:t>
            </w:r>
            <w:r>
              <w:rPr/>
              <w:t>第十七条的规定提出或者报告的，给患者造成伤害的</w:t>
            </w:r>
          </w:p>
        </w:tc>
        <w:tc>
          <w:tcPr>
            <w:tcW w:w="4431" w:type="dxa"/>
            <w:vAlign w:val="top"/>
          </w:tcPr>
          <w:p>
            <w:pPr>
              <w:pStyle w:val="TableText"/>
              <w:ind w:left="106" w:right="704"/>
              <w:spacing w:before="132" w:line="279" w:lineRule="auto"/>
              <w:rPr/>
            </w:pPr>
            <w:r>
              <w:rPr/>
              <w:t>暂停其6个月以上9个月以下执业活</w:t>
            </w:r>
            <w:r>
              <w:rPr>
                <w:spacing w:val="8"/>
              </w:rPr>
              <w:t xml:space="preserve"> </w:t>
            </w:r>
            <w:r>
              <w:rPr/>
              <w:t>动</w:t>
            </w:r>
          </w:p>
        </w:tc>
      </w:tr>
      <w:tr>
        <w:trPr>
          <w:trHeight w:val="877" w:hRule="atLeast"/>
        </w:trPr>
        <w:tc>
          <w:tcPr>
            <w:tcW w:w="1434" w:type="dxa"/>
            <w:vAlign w:val="top"/>
          </w:tcPr>
          <w:p>
            <w:pPr>
              <w:spacing w:line="242" w:lineRule="auto"/>
              <w:rPr>
                <w:rFonts w:ascii="Arial"/>
                <w:sz w:val="21"/>
              </w:rPr>
            </w:pPr>
            <w:r/>
          </w:p>
          <w:p>
            <w:pPr>
              <w:pStyle w:val="TableText"/>
              <w:ind w:left="468"/>
              <w:spacing w:before="78" w:line="220" w:lineRule="auto"/>
              <w:rPr/>
            </w:pPr>
            <w:r>
              <w:rPr>
                <w:b/>
                <w:bCs/>
                <w:spacing w:val="-6"/>
              </w:rPr>
              <w:t>严重</w:t>
            </w:r>
          </w:p>
        </w:tc>
        <w:tc>
          <w:tcPr>
            <w:tcW w:w="8294" w:type="dxa"/>
            <w:vAlign w:val="top"/>
          </w:tcPr>
          <w:p>
            <w:pPr>
              <w:pStyle w:val="TableText"/>
              <w:ind w:left="109" w:right="43" w:hanging="49"/>
              <w:spacing w:before="133" w:line="282" w:lineRule="auto"/>
              <w:rPr/>
            </w:pPr>
            <w:r>
              <w:rPr/>
              <w:t>护士发现医嘱违反法律、法规、规章或者诊疗技术规范的规定，未依照本条例</w:t>
            </w:r>
            <w:r>
              <w:rPr>
                <w:spacing w:val="18"/>
              </w:rPr>
              <w:t xml:space="preserve"> </w:t>
            </w:r>
            <w:r>
              <w:rPr/>
              <w:t>第十七条的规定提出或者报告的，给患者造成严重伤害的</w:t>
            </w:r>
          </w:p>
        </w:tc>
        <w:tc>
          <w:tcPr>
            <w:tcW w:w="4431" w:type="dxa"/>
            <w:vAlign w:val="top"/>
          </w:tcPr>
          <w:p>
            <w:pPr>
              <w:pStyle w:val="TableText"/>
              <w:ind w:left="106"/>
              <w:spacing w:before="135" w:line="219" w:lineRule="auto"/>
              <w:rPr/>
            </w:pPr>
            <w:r>
              <w:rPr>
                <w:spacing w:val="1"/>
              </w:rPr>
              <w:t>暂停其9个月以上1年以下执业活动</w:t>
            </w:r>
          </w:p>
        </w:tc>
      </w:tr>
      <w:tr>
        <w:trPr>
          <w:trHeight w:val="872" w:hRule="atLeast"/>
        </w:trPr>
        <w:tc>
          <w:tcPr>
            <w:tcW w:w="1434" w:type="dxa"/>
            <w:vAlign w:val="top"/>
          </w:tcPr>
          <w:p>
            <w:pPr>
              <w:spacing w:line="245" w:lineRule="auto"/>
              <w:rPr>
                <w:rFonts w:ascii="Arial"/>
                <w:sz w:val="21"/>
              </w:rPr>
            </w:pPr>
            <w:r/>
          </w:p>
          <w:p>
            <w:pPr>
              <w:pStyle w:val="TableText"/>
              <w:ind w:left="228"/>
              <w:spacing w:before="78" w:line="219" w:lineRule="auto"/>
              <w:rPr/>
            </w:pPr>
            <w:r>
              <w:rPr>
                <w:b/>
                <w:bCs/>
                <w:spacing w:val="-5"/>
              </w:rPr>
              <w:t>特别严重</w:t>
            </w:r>
          </w:p>
        </w:tc>
        <w:tc>
          <w:tcPr>
            <w:tcW w:w="8294" w:type="dxa"/>
            <w:vAlign w:val="top"/>
          </w:tcPr>
          <w:p>
            <w:pPr>
              <w:pStyle w:val="TableText"/>
              <w:ind w:left="109" w:right="43" w:hanging="49"/>
              <w:spacing w:before="157" w:line="271" w:lineRule="auto"/>
              <w:rPr/>
            </w:pPr>
            <w:r>
              <w:rPr/>
              <w:t>护士发现医嘱违反法律、法规、规章或者诊疗技术规范的规定，未依照本条例</w:t>
            </w:r>
            <w:r>
              <w:rPr>
                <w:spacing w:val="18"/>
              </w:rPr>
              <w:t xml:space="preserve"> </w:t>
            </w:r>
            <w:r>
              <w:rPr/>
              <w:t>第十七条的规定提出或者报告的，造成患者死亡的</w:t>
            </w:r>
          </w:p>
        </w:tc>
        <w:tc>
          <w:tcPr>
            <w:tcW w:w="4431" w:type="dxa"/>
            <w:vAlign w:val="top"/>
          </w:tcPr>
          <w:p>
            <w:pPr>
              <w:spacing w:line="296" w:lineRule="auto"/>
              <w:rPr>
                <w:rFonts w:ascii="Arial"/>
                <w:sz w:val="21"/>
              </w:rPr>
            </w:pPr>
            <w:r/>
          </w:p>
          <w:p>
            <w:pPr>
              <w:pStyle w:val="TableText"/>
              <w:ind w:left="106"/>
              <w:spacing w:before="78" w:line="219" w:lineRule="auto"/>
              <w:rPr/>
            </w:pPr>
            <w:r>
              <w:rPr>
                <w:spacing w:val="1"/>
              </w:rPr>
              <w:t>原发证部门吊销其护士执业证书</w:t>
            </w:r>
          </w:p>
        </w:tc>
      </w:tr>
    </w:tbl>
    <w:p>
      <w:pPr>
        <w:pStyle w:val="BodyText"/>
        <w:spacing w:line="253" w:lineRule="auto"/>
        <w:rPr/>
      </w:pPr>
      <w:r/>
    </w:p>
    <w:p>
      <w:pPr>
        <w:pStyle w:val="BodyText"/>
        <w:spacing w:line="253" w:lineRule="auto"/>
        <w:rPr/>
      </w:pPr>
      <w:r/>
    </w:p>
    <w:p>
      <w:pPr>
        <w:ind w:left="789"/>
        <w:spacing w:before="98" w:line="220" w:lineRule="auto"/>
        <w:rPr>
          <w:rFonts w:ascii="FangSong" w:hAnsi="FangSong" w:eastAsia="FangSong" w:cs="FangSong"/>
          <w:sz w:val="30"/>
          <w:szCs w:val="30"/>
        </w:rPr>
      </w:pPr>
      <w:r>
        <w:rPr>
          <w:rFonts w:ascii="FangSong" w:hAnsi="FangSong" w:eastAsia="FangSong" w:cs="FangSong"/>
          <w:sz w:val="30"/>
          <w:szCs w:val="30"/>
          <w:b/>
          <w:bCs/>
          <w:spacing w:val="26"/>
        </w:rPr>
        <w:t>第二百条护士泄露患者隐私的</w:t>
      </w:r>
    </w:p>
    <w:p>
      <w:pPr>
        <w:ind w:left="764"/>
        <w:spacing w:before="40" w:line="222" w:lineRule="auto"/>
        <w:rPr>
          <w:rFonts w:ascii="FangSong" w:hAnsi="FangSong" w:eastAsia="FangSong" w:cs="FangSong"/>
          <w:sz w:val="30"/>
          <w:szCs w:val="30"/>
        </w:rPr>
      </w:pPr>
      <w:r>
        <w:rPr>
          <w:rFonts w:ascii="FangSong" w:hAnsi="FangSong" w:eastAsia="FangSong" w:cs="FangSong"/>
          <w:sz w:val="30"/>
          <w:szCs w:val="30"/>
          <w:spacing w:val="30"/>
        </w:rPr>
        <w:t>法律依据：</w:t>
      </w:r>
    </w:p>
    <w:p>
      <w:pPr>
        <w:ind w:left="124" w:right="115" w:firstLine="609"/>
        <w:spacing w:before="82" w:line="272" w:lineRule="auto"/>
        <w:jc w:val="both"/>
        <w:rPr>
          <w:rFonts w:ascii="FangSong" w:hAnsi="FangSong" w:eastAsia="FangSong" w:cs="FangSong"/>
          <w:sz w:val="30"/>
          <w:szCs w:val="30"/>
        </w:rPr>
      </w:pPr>
      <w:r>
        <w:rPr>
          <w:rFonts w:ascii="FangSong" w:hAnsi="FangSong" w:eastAsia="FangSong" w:cs="FangSong"/>
          <w:sz w:val="30"/>
          <w:szCs w:val="30"/>
          <w:spacing w:val="24"/>
        </w:rPr>
        <w:t>《护士条例》第三十一条第一款第(三)项</w:t>
      </w:r>
      <w:r>
        <w:rPr>
          <w:rFonts w:ascii="FangSong" w:hAnsi="FangSong" w:eastAsia="FangSong" w:cs="FangSong"/>
          <w:sz w:val="30"/>
          <w:szCs w:val="30"/>
          <w:spacing w:val="24"/>
        </w:rPr>
        <w:t xml:space="preserve">  </w:t>
      </w:r>
      <w:r>
        <w:rPr>
          <w:rFonts w:ascii="FangSong" w:hAnsi="FangSong" w:eastAsia="FangSong" w:cs="FangSong"/>
          <w:sz w:val="30"/>
          <w:szCs w:val="30"/>
          <w:spacing w:val="24"/>
        </w:rPr>
        <w:t>护士在执业活动中</w:t>
      </w:r>
      <w:r>
        <w:rPr>
          <w:rFonts w:ascii="FangSong" w:hAnsi="FangSong" w:eastAsia="FangSong" w:cs="FangSong"/>
          <w:sz w:val="30"/>
          <w:szCs w:val="30"/>
          <w:spacing w:val="23"/>
        </w:rPr>
        <w:t>有下列情形之一的，由县级以上</w:t>
      </w:r>
      <w:r>
        <w:rPr>
          <w:rFonts w:ascii="FangSong" w:hAnsi="FangSong" w:eastAsia="FangSong" w:cs="FangSong"/>
          <w:sz w:val="30"/>
          <w:szCs w:val="30"/>
        </w:rPr>
        <w:t xml:space="preserve"> </w:t>
      </w:r>
      <w:r>
        <w:rPr>
          <w:rFonts w:ascii="FangSong" w:hAnsi="FangSong" w:eastAsia="FangSong" w:cs="FangSong"/>
          <w:sz w:val="30"/>
          <w:szCs w:val="30"/>
          <w:spacing w:val="6"/>
        </w:rPr>
        <w:t>地方人民政府卫生主管部门依据职责分工责令改正，给予警告；情节严重的，暂停其6</w:t>
      </w:r>
      <w:r>
        <w:rPr>
          <w:rFonts w:ascii="FangSong" w:hAnsi="FangSong" w:eastAsia="FangSong" w:cs="FangSong"/>
          <w:sz w:val="30"/>
          <w:szCs w:val="30"/>
          <w:spacing w:val="6"/>
        </w:rPr>
        <w:t xml:space="preserve"> </w:t>
      </w:r>
      <w:r>
        <w:rPr>
          <w:rFonts w:ascii="FangSong" w:hAnsi="FangSong" w:eastAsia="FangSong" w:cs="FangSong"/>
          <w:sz w:val="30"/>
          <w:szCs w:val="30"/>
          <w:spacing w:val="5"/>
        </w:rPr>
        <w:t>个</w:t>
      </w:r>
      <w:r>
        <w:rPr>
          <w:rFonts w:ascii="FangSong" w:hAnsi="FangSong" w:eastAsia="FangSong" w:cs="FangSong"/>
          <w:sz w:val="30"/>
          <w:szCs w:val="30"/>
          <w:spacing w:val="-30"/>
        </w:rPr>
        <w:t xml:space="preserve"> </w:t>
      </w:r>
      <w:r>
        <w:rPr>
          <w:rFonts w:ascii="FangSong" w:hAnsi="FangSong" w:eastAsia="FangSong" w:cs="FangSong"/>
          <w:sz w:val="30"/>
          <w:szCs w:val="30"/>
          <w:spacing w:val="5"/>
        </w:rPr>
        <w:t>月</w:t>
      </w:r>
      <w:r>
        <w:rPr>
          <w:rFonts w:ascii="FangSong" w:hAnsi="FangSong" w:eastAsia="FangSong" w:cs="FangSong"/>
          <w:sz w:val="30"/>
          <w:szCs w:val="30"/>
          <w:spacing w:val="5"/>
        </w:rPr>
        <w:t xml:space="preserve"> </w:t>
      </w:r>
      <w:r>
        <w:rPr>
          <w:rFonts w:ascii="FangSong" w:hAnsi="FangSong" w:eastAsia="FangSong" w:cs="FangSong"/>
          <w:sz w:val="30"/>
          <w:szCs w:val="30"/>
          <w:spacing w:val="5"/>
        </w:rPr>
        <w:t>以</w:t>
      </w:r>
      <w:r>
        <w:rPr>
          <w:rFonts w:ascii="FangSong" w:hAnsi="FangSong" w:eastAsia="FangSong" w:cs="FangSong"/>
          <w:sz w:val="30"/>
          <w:szCs w:val="30"/>
          <w:spacing w:val="-42"/>
        </w:rPr>
        <w:t xml:space="preserve"> </w:t>
      </w:r>
      <w:r>
        <w:rPr>
          <w:rFonts w:ascii="FangSong" w:hAnsi="FangSong" w:eastAsia="FangSong" w:cs="FangSong"/>
          <w:sz w:val="30"/>
          <w:szCs w:val="30"/>
          <w:spacing w:val="5"/>
        </w:rPr>
        <w:t>上</w:t>
      </w:r>
      <w:r>
        <w:rPr>
          <w:rFonts w:ascii="FangSong" w:hAnsi="FangSong" w:eastAsia="FangSong" w:cs="FangSong"/>
          <w:sz w:val="30"/>
          <w:szCs w:val="30"/>
          <w:spacing w:val="-31"/>
        </w:rPr>
        <w:t xml:space="preserve"> </w:t>
      </w:r>
      <w:r>
        <w:rPr>
          <w:rFonts w:ascii="FangSong" w:hAnsi="FangSong" w:eastAsia="FangSong" w:cs="FangSong"/>
          <w:sz w:val="30"/>
          <w:szCs w:val="30"/>
          <w:spacing w:val="5"/>
        </w:rPr>
        <w:t>1</w:t>
      </w:r>
      <w:r>
        <w:rPr>
          <w:rFonts w:ascii="FangSong" w:hAnsi="FangSong" w:eastAsia="FangSong" w:cs="FangSong"/>
          <w:sz w:val="30"/>
          <w:szCs w:val="30"/>
          <w:spacing w:val="-38"/>
        </w:rPr>
        <w:t xml:space="preserve"> </w:t>
      </w:r>
      <w:r>
        <w:rPr>
          <w:rFonts w:ascii="FangSong" w:hAnsi="FangSong" w:eastAsia="FangSong" w:cs="FangSong"/>
          <w:sz w:val="30"/>
          <w:szCs w:val="30"/>
          <w:spacing w:val="5"/>
        </w:rPr>
        <w:t>年</w:t>
      </w:r>
      <w:r>
        <w:rPr>
          <w:rFonts w:ascii="FangSong" w:hAnsi="FangSong" w:eastAsia="FangSong" w:cs="FangSong"/>
          <w:sz w:val="30"/>
          <w:szCs w:val="30"/>
        </w:rPr>
        <w:t xml:space="preserve"> </w:t>
      </w:r>
      <w:r>
        <w:rPr>
          <w:rFonts w:ascii="FangSong" w:hAnsi="FangSong" w:eastAsia="FangSong" w:cs="FangSong"/>
          <w:sz w:val="30"/>
          <w:szCs w:val="30"/>
          <w:spacing w:val="14"/>
        </w:rPr>
        <w:t>以下执业活动，直至由原发证部门吊销其护士执业证书：</w:t>
      </w:r>
    </w:p>
    <w:p>
      <w:pPr>
        <w:ind w:left="884"/>
        <w:spacing w:before="1" w:line="222" w:lineRule="auto"/>
        <w:rPr>
          <w:rFonts w:ascii="FangSong" w:hAnsi="FangSong" w:eastAsia="FangSong" w:cs="FangSong"/>
          <w:sz w:val="30"/>
          <w:szCs w:val="30"/>
        </w:rPr>
      </w:pPr>
      <w:r>
        <w:rPr>
          <w:rFonts w:ascii="FangSong" w:hAnsi="FangSong" w:eastAsia="FangSong" w:cs="FangSong"/>
          <w:sz w:val="30"/>
          <w:szCs w:val="30"/>
          <w:spacing w:val="27"/>
        </w:rPr>
        <w:t>(三)泄露患者隐私的；</w:t>
      </w:r>
    </w:p>
    <w:p>
      <w:pPr>
        <w:pStyle w:val="BodyText"/>
        <w:spacing w:line="279" w:lineRule="auto"/>
        <w:rPr/>
      </w:pPr>
      <w:r/>
    </w:p>
    <w:p>
      <w:pPr>
        <w:pStyle w:val="BodyText"/>
        <w:spacing w:line="280" w:lineRule="auto"/>
        <w:rPr/>
      </w:pPr>
      <w:r/>
    </w:p>
    <w:p>
      <w:pPr>
        <w:pStyle w:val="BodyText"/>
        <w:spacing w:line="280" w:lineRule="auto"/>
        <w:rPr/>
      </w:pPr>
      <w:r/>
    </w:p>
    <w:p>
      <w:pPr>
        <w:ind w:left="6454"/>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—285—</w:t>
      </w:r>
    </w:p>
    <w:p>
      <w:pPr>
        <w:spacing w:line="188" w:lineRule="auto"/>
        <w:sectPr>
          <w:footerReference w:type="default" r:id="rId24"/>
          <w:pgSz w:w="16830" w:h="11900"/>
          <w:pgMar w:top="1011" w:right="1335" w:bottom="400" w:left="1325" w:header="0" w:footer="0" w:gutter="0"/>
        </w:sectPr>
        <w:rPr>
          <w:rFonts w:ascii="Times New Roman" w:hAnsi="Times New Roman" w:eastAsia="Times New Roman" w:cs="Times New Roman"/>
          <w:sz w:val="37"/>
          <w:szCs w:val="37"/>
        </w:rPr>
      </w:pPr>
    </w:p>
    <w:p>
      <w:pPr>
        <w:pStyle w:val="BodyText"/>
        <w:spacing w:line="256" w:lineRule="auto"/>
        <w:rPr/>
      </w:pPr>
      <w:r/>
    </w:p>
    <w:p>
      <w:pPr>
        <w:pStyle w:val="BodyText"/>
        <w:spacing w:line="256" w:lineRule="auto"/>
        <w:rPr/>
      </w:pPr>
      <w:r/>
    </w:p>
    <w:p>
      <w:pPr>
        <w:pStyle w:val="BodyText"/>
        <w:spacing w:line="256" w:lineRule="auto"/>
        <w:rPr/>
      </w:pPr>
      <w:r/>
    </w:p>
    <w:p>
      <w:pPr>
        <w:ind w:left="6529"/>
        <w:spacing w:before="94" w:line="220" w:lineRule="auto"/>
        <w:rPr>
          <w:rFonts w:ascii="SimSun" w:hAnsi="SimSun" w:eastAsia="SimSun" w:cs="SimSun"/>
          <w:sz w:val="29"/>
          <w:szCs w:val="29"/>
        </w:rPr>
      </w:pPr>
      <w:bookmarkStart w:name="bookmark920" w:id="287"/>
      <w:bookmarkEnd w:id="287"/>
      <w:r>
        <w:rPr>
          <w:rFonts w:ascii="SimSun" w:hAnsi="SimSun" w:eastAsia="SimSun" w:cs="SimSun"/>
          <w:sz w:val="29"/>
          <w:szCs w:val="29"/>
          <w:b/>
          <w:bCs/>
          <w:spacing w:val="-6"/>
        </w:rPr>
        <w:t>裁量标准</w:t>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874"/>
        <w:gridCol w:w="4841"/>
      </w:tblGrid>
      <w:tr>
        <w:trPr>
          <w:trHeight w:val="453" w:hRule="atLeast"/>
        </w:trPr>
        <w:tc>
          <w:tcPr>
            <w:tcW w:w="1434" w:type="dxa"/>
            <w:vAlign w:val="top"/>
          </w:tcPr>
          <w:p>
            <w:pPr>
              <w:pStyle w:val="TableText"/>
              <w:ind w:left="208"/>
              <w:spacing w:before="102" w:line="220" w:lineRule="auto"/>
              <w:rPr>
                <w:sz w:val="25"/>
                <w:szCs w:val="25"/>
              </w:rPr>
            </w:pPr>
            <w:r>
              <w:rPr>
                <w:sz w:val="25"/>
                <w:szCs w:val="25"/>
                <w:b/>
                <w:bCs/>
                <w:spacing w:val="-5"/>
              </w:rPr>
              <w:t>违法程度</w:t>
            </w:r>
          </w:p>
        </w:tc>
        <w:tc>
          <w:tcPr>
            <w:tcW w:w="7874" w:type="dxa"/>
            <w:vAlign w:val="top"/>
          </w:tcPr>
          <w:p>
            <w:pPr>
              <w:pStyle w:val="TableText"/>
              <w:ind w:left="3364"/>
              <w:spacing w:before="102" w:line="220" w:lineRule="auto"/>
              <w:rPr>
                <w:sz w:val="25"/>
                <w:szCs w:val="25"/>
              </w:rPr>
            </w:pPr>
            <w:r>
              <w:rPr>
                <w:sz w:val="25"/>
                <w:szCs w:val="25"/>
                <w:b/>
                <w:bCs/>
                <w:spacing w:val="-5"/>
              </w:rPr>
              <w:t>违法后果</w:t>
            </w:r>
          </w:p>
        </w:tc>
        <w:tc>
          <w:tcPr>
            <w:tcW w:w="4841" w:type="dxa"/>
            <w:vAlign w:val="top"/>
          </w:tcPr>
          <w:p>
            <w:pPr>
              <w:pStyle w:val="TableText"/>
              <w:ind w:left="1850"/>
              <w:spacing w:before="99" w:line="218" w:lineRule="auto"/>
              <w:rPr>
                <w:sz w:val="25"/>
                <w:szCs w:val="25"/>
              </w:rPr>
            </w:pPr>
            <w:r>
              <w:rPr>
                <w:sz w:val="25"/>
                <w:szCs w:val="25"/>
                <w:b/>
                <w:bCs/>
                <w:spacing w:val="-5"/>
              </w:rPr>
              <w:t>裁量幅度</w:t>
            </w:r>
          </w:p>
        </w:tc>
      </w:tr>
      <w:tr>
        <w:trPr>
          <w:trHeight w:val="419" w:hRule="atLeast"/>
        </w:trPr>
        <w:tc>
          <w:tcPr>
            <w:tcW w:w="1434" w:type="dxa"/>
            <w:vAlign w:val="top"/>
          </w:tcPr>
          <w:p>
            <w:pPr>
              <w:pStyle w:val="TableText"/>
              <w:ind w:left="458"/>
              <w:spacing w:before="88" w:line="219" w:lineRule="auto"/>
              <w:rPr>
                <w:sz w:val="25"/>
                <w:szCs w:val="25"/>
              </w:rPr>
            </w:pPr>
            <w:r>
              <w:rPr>
                <w:sz w:val="25"/>
                <w:szCs w:val="25"/>
                <w:b/>
                <w:bCs/>
                <w:spacing w:val="-6"/>
              </w:rPr>
              <w:t>轻微</w:t>
            </w:r>
          </w:p>
        </w:tc>
        <w:tc>
          <w:tcPr>
            <w:tcW w:w="7874" w:type="dxa"/>
            <w:vAlign w:val="top"/>
          </w:tcPr>
          <w:p>
            <w:pPr>
              <w:pStyle w:val="TableText"/>
              <w:ind w:left="110"/>
              <w:spacing w:before="143" w:line="196" w:lineRule="auto"/>
              <w:rPr>
                <w:sz w:val="25"/>
                <w:szCs w:val="25"/>
              </w:rPr>
            </w:pPr>
            <w:r>
              <w:rPr>
                <w:sz w:val="25"/>
                <w:szCs w:val="25"/>
              </w:rPr>
              <w:t>护士非主观故意而导致泄露患者隐私，且未造成危害后果的</w:t>
            </w:r>
          </w:p>
        </w:tc>
        <w:tc>
          <w:tcPr>
            <w:tcW w:w="4841" w:type="dxa"/>
            <w:vAlign w:val="top"/>
          </w:tcPr>
          <w:p>
            <w:pPr>
              <w:pStyle w:val="TableText"/>
              <w:ind w:left="106"/>
              <w:spacing w:before="140" w:line="198" w:lineRule="auto"/>
              <w:rPr>
                <w:sz w:val="25"/>
                <w:szCs w:val="25"/>
              </w:rPr>
            </w:pPr>
            <w:r>
              <w:rPr>
                <w:sz w:val="25"/>
                <w:szCs w:val="25"/>
                <w:spacing w:val="1"/>
              </w:rPr>
              <w:t>责令改正，给予警告</w:t>
            </w:r>
          </w:p>
        </w:tc>
      </w:tr>
      <w:tr>
        <w:trPr>
          <w:trHeight w:val="867" w:hRule="atLeast"/>
        </w:trPr>
        <w:tc>
          <w:tcPr>
            <w:tcW w:w="1434" w:type="dxa"/>
            <w:vAlign w:val="top"/>
          </w:tcPr>
          <w:p>
            <w:pPr>
              <w:spacing w:line="278" w:lineRule="auto"/>
              <w:rPr>
                <w:rFonts w:ascii="Arial"/>
                <w:sz w:val="21"/>
              </w:rPr>
            </w:pPr>
            <w:r/>
          </w:p>
          <w:p>
            <w:pPr>
              <w:pStyle w:val="TableText"/>
              <w:ind w:left="458"/>
              <w:spacing w:before="81" w:line="221" w:lineRule="auto"/>
              <w:rPr>
                <w:sz w:val="25"/>
                <w:szCs w:val="25"/>
              </w:rPr>
            </w:pPr>
            <w:r>
              <w:rPr>
                <w:sz w:val="25"/>
                <w:szCs w:val="25"/>
                <w:b/>
                <w:bCs/>
                <w:spacing w:val="-10"/>
              </w:rPr>
              <w:t>一般</w:t>
            </w:r>
          </w:p>
        </w:tc>
        <w:tc>
          <w:tcPr>
            <w:tcW w:w="7874" w:type="dxa"/>
            <w:vAlign w:val="top"/>
          </w:tcPr>
          <w:p>
            <w:pPr>
              <w:pStyle w:val="TableText"/>
              <w:spacing w:before="153" w:line="219" w:lineRule="auto"/>
              <w:jc w:val="right"/>
              <w:rPr>
                <w:sz w:val="25"/>
                <w:szCs w:val="25"/>
              </w:rPr>
            </w:pPr>
            <w:r>
              <w:rPr>
                <w:sz w:val="25"/>
                <w:szCs w:val="25"/>
                <w:spacing w:val="-8"/>
              </w:rPr>
              <w:t>护士不以获取利益为目的故意泄露患者隐私，或者泄露患者隐私造成</w:t>
            </w:r>
            <w:r>
              <w:rPr>
                <w:sz w:val="25"/>
                <w:szCs w:val="25"/>
                <w:spacing w:val="-9"/>
              </w:rPr>
              <w:t>危害</w:t>
            </w:r>
          </w:p>
          <w:p>
            <w:pPr>
              <w:pStyle w:val="TableText"/>
              <w:ind w:left="110"/>
              <w:spacing w:before="153" w:line="187" w:lineRule="auto"/>
              <w:rPr>
                <w:sz w:val="25"/>
                <w:szCs w:val="25"/>
              </w:rPr>
            </w:pPr>
            <w:r>
              <w:rPr>
                <w:sz w:val="25"/>
                <w:szCs w:val="25"/>
                <w:color w:val="404040"/>
                <w:spacing w:val="6"/>
              </w:rPr>
              <w:t>后果的</w:t>
            </w:r>
          </w:p>
        </w:tc>
        <w:tc>
          <w:tcPr>
            <w:tcW w:w="4841" w:type="dxa"/>
            <w:vAlign w:val="top"/>
          </w:tcPr>
          <w:p>
            <w:pPr>
              <w:spacing w:line="290" w:lineRule="auto"/>
              <w:rPr>
                <w:rFonts w:ascii="Arial"/>
                <w:sz w:val="21"/>
              </w:rPr>
            </w:pPr>
            <w:r/>
          </w:p>
          <w:p>
            <w:pPr>
              <w:pStyle w:val="TableText"/>
              <w:ind w:left="106"/>
              <w:spacing w:before="81" w:line="219" w:lineRule="auto"/>
              <w:rPr>
                <w:sz w:val="25"/>
                <w:szCs w:val="25"/>
              </w:rPr>
            </w:pPr>
            <w:r>
              <w:rPr>
                <w:sz w:val="25"/>
                <w:szCs w:val="25"/>
                <w:spacing w:val="1"/>
              </w:rPr>
              <w:t>暂停其6个月以上9个月以下执业活动</w:t>
            </w:r>
          </w:p>
        </w:tc>
      </w:tr>
      <w:tr>
        <w:trPr>
          <w:trHeight w:val="449" w:hRule="atLeast"/>
        </w:trPr>
        <w:tc>
          <w:tcPr>
            <w:tcW w:w="1434" w:type="dxa"/>
            <w:vAlign w:val="top"/>
          </w:tcPr>
          <w:p>
            <w:pPr>
              <w:pStyle w:val="TableText"/>
              <w:ind w:left="458"/>
              <w:spacing w:before="153" w:line="211" w:lineRule="auto"/>
              <w:rPr>
                <w:sz w:val="25"/>
                <w:szCs w:val="25"/>
              </w:rPr>
            </w:pPr>
            <w:r>
              <w:rPr>
                <w:sz w:val="25"/>
                <w:szCs w:val="25"/>
                <w:b/>
                <w:bCs/>
                <w:spacing w:val="-6"/>
              </w:rPr>
              <w:t>严重</w:t>
            </w:r>
          </w:p>
        </w:tc>
        <w:tc>
          <w:tcPr>
            <w:tcW w:w="7874" w:type="dxa"/>
            <w:vAlign w:val="top"/>
          </w:tcPr>
          <w:p>
            <w:pPr>
              <w:pStyle w:val="TableText"/>
              <w:ind w:left="110"/>
              <w:spacing w:before="155" w:line="209" w:lineRule="auto"/>
              <w:rPr>
                <w:sz w:val="25"/>
                <w:szCs w:val="25"/>
              </w:rPr>
            </w:pPr>
            <w:r>
              <w:rPr>
                <w:sz w:val="25"/>
                <w:szCs w:val="25"/>
              </w:rPr>
              <w:t>护士为获取利益而故意泄露患者隐私，或者造成比较严重后果的</w:t>
            </w:r>
          </w:p>
        </w:tc>
        <w:tc>
          <w:tcPr>
            <w:tcW w:w="4841" w:type="dxa"/>
            <w:vAlign w:val="top"/>
          </w:tcPr>
          <w:p>
            <w:pPr>
              <w:pStyle w:val="TableText"/>
              <w:ind w:left="106"/>
              <w:spacing w:before="155" w:line="209" w:lineRule="auto"/>
              <w:rPr>
                <w:sz w:val="25"/>
                <w:szCs w:val="25"/>
              </w:rPr>
            </w:pPr>
            <w:r>
              <w:rPr>
                <w:sz w:val="25"/>
                <w:szCs w:val="25"/>
                <w:spacing w:val="1"/>
              </w:rPr>
              <w:t>暂停其9个月以上1年以下执业活动</w:t>
            </w:r>
          </w:p>
        </w:tc>
      </w:tr>
      <w:tr>
        <w:trPr>
          <w:trHeight w:val="882" w:hRule="atLeast"/>
        </w:trPr>
        <w:tc>
          <w:tcPr>
            <w:tcW w:w="1434" w:type="dxa"/>
            <w:vAlign w:val="top"/>
          </w:tcPr>
          <w:p>
            <w:pPr>
              <w:spacing w:line="241" w:lineRule="auto"/>
              <w:rPr>
                <w:rFonts w:ascii="Arial"/>
                <w:sz w:val="21"/>
              </w:rPr>
            </w:pPr>
            <w:r/>
          </w:p>
          <w:p>
            <w:pPr>
              <w:pStyle w:val="TableText"/>
              <w:ind w:left="208"/>
              <w:spacing w:before="81" w:line="219" w:lineRule="auto"/>
              <w:rPr>
                <w:sz w:val="25"/>
                <w:szCs w:val="25"/>
              </w:rPr>
            </w:pPr>
            <w:r>
              <w:rPr>
                <w:sz w:val="25"/>
                <w:szCs w:val="25"/>
                <w:b/>
                <w:bCs/>
                <w:spacing w:val="-5"/>
              </w:rPr>
              <w:t>特别严重</w:t>
            </w:r>
          </w:p>
        </w:tc>
        <w:tc>
          <w:tcPr>
            <w:tcW w:w="7874" w:type="dxa"/>
            <w:vAlign w:val="top"/>
          </w:tcPr>
          <w:p>
            <w:pPr>
              <w:pStyle w:val="TableText"/>
              <w:ind w:left="110" w:firstLine="10"/>
              <w:spacing w:before="146" w:line="268" w:lineRule="auto"/>
              <w:rPr>
                <w:sz w:val="25"/>
                <w:szCs w:val="25"/>
              </w:rPr>
            </w:pPr>
            <w:r>
              <w:rPr>
                <w:sz w:val="25"/>
                <w:szCs w:val="25"/>
                <w:spacing w:val="-8"/>
              </w:rPr>
              <w:t>护士在执业活动中，故意泄露患者隐私，造成特别严重后果或恶劣社</w:t>
            </w:r>
            <w:r>
              <w:rPr>
                <w:sz w:val="25"/>
                <w:szCs w:val="25"/>
                <w:spacing w:val="-9"/>
              </w:rPr>
              <w:t>会影</w:t>
            </w:r>
            <w:r>
              <w:rPr>
                <w:sz w:val="25"/>
                <w:szCs w:val="25"/>
              </w:rPr>
              <w:t xml:space="preserve"> </w:t>
            </w:r>
            <w:r>
              <w:rPr>
                <w:sz w:val="25"/>
                <w:szCs w:val="25"/>
                <w:spacing w:val="9"/>
              </w:rPr>
              <w:t>响的</w:t>
            </w:r>
          </w:p>
        </w:tc>
        <w:tc>
          <w:tcPr>
            <w:tcW w:w="4841" w:type="dxa"/>
            <w:vAlign w:val="top"/>
          </w:tcPr>
          <w:p>
            <w:pPr>
              <w:spacing w:line="243" w:lineRule="auto"/>
              <w:rPr>
                <w:rFonts w:ascii="Arial"/>
                <w:sz w:val="21"/>
              </w:rPr>
            </w:pPr>
            <w:r/>
          </w:p>
          <w:p>
            <w:pPr>
              <w:pStyle w:val="TableText"/>
              <w:ind w:left="106"/>
              <w:spacing w:before="81" w:line="219" w:lineRule="auto"/>
              <w:rPr>
                <w:sz w:val="25"/>
                <w:szCs w:val="25"/>
              </w:rPr>
            </w:pPr>
            <w:r>
              <w:rPr>
                <w:sz w:val="25"/>
                <w:szCs w:val="25"/>
                <w:spacing w:val="1"/>
              </w:rPr>
              <w:t>原发证部门吊销其护士执业证书</w:t>
            </w:r>
          </w:p>
        </w:tc>
      </w:tr>
    </w:tbl>
    <w:p>
      <w:pPr>
        <w:pStyle w:val="BodyText"/>
        <w:spacing w:line="243" w:lineRule="auto"/>
        <w:rPr/>
      </w:pPr>
      <w:r/>
    </w:p>
    <w:p>
      <w:pPr>
        <w:pStyle w:val="BodyText"/>
        <w:spacing w:line="243" w:lineRule="auto"/>
        <w:rPr/>
      </w:pPr>
      <w:r/>
    </w:p>
    <w:p>
      <w:pPr>
        <w:ind w:left="129" w:right="70" w:firstLine="639"/>
        <w:spacing w:before="97" w:line="264" w:lineRule="auto"/>
        <w:rPr>
          <w:rFonts w:ascii="FangSong" w:hAnsi="FangSong" w:eastAsia="FangSong" w:cs="FangSong"/>
          <w:sz w:val="30"/>
          <w:szCs w:val="30"/>
        </w:rPr>
      </w:pPr>
      <w:r>
        <w:rPr>
          <w:rFonts w:ascii="FangSong" w:hAnsi="FangSong" w:eastAsia="FangSong" w:cs="FangSong"/>
          <w:sz w:val="30"/>
          <w:szCs w:val="30"/>
          <w:b/>
          <w:bCs/>
          <w:spacing w:val="22"/>
        </w:rPr>
        <w:t>第二百零一条发生自然灾害、公共卫生事件等严重威胁公众生命</w:t>
      </w:r>
      <w:r>
        <w:rPr>
          <w:rFonts w:ascii="FangSong" w:hAnsi="FangSong" w:eastAsia="FangSong" w:cs="FangSong"/>
          <w:sz w:val="30"/>
          <w:szCs w:val="30"/>
          <w:b/>
          <w:bCs/>
          <w:spacing w:val="21"/>
        </w:rPr>
        <w:t>健康的突发事件，护士不服从</w:t>
      </w:r>
      <w:r>
        <w:rPr>
          <w:rFonts w:ascii="FangSong" w:hAnsi="FangSong" w:eastAsia="FangSong" w:cs="FangSong"/>
          <w:sz w:val="30"/>
          <w:szCs w:val="30"/>
        </w:rPr>
        <w:t xml:space="preserve"> </w:t>
      </w:r>
      <w:r>
        <w:rPr>
          <w:rFonts w:ascii="FangSong" w:hAnsi="FangSong" w:eastAsia="FangSong" w:cs="FangSong"/>
          <w:sz w:val="30"/>
          <w:szCs w:val="30"/>
          <w:b/>
          <w:bCs/>
          <w:spacing w:val="14"/>
        </w:rPr>
        <w:t>安排参加医疗救护的</w:t>
      </w:r>
    </w:p>
    <w:p>
      <w:pPr>
        <w:ind w:left="764"/>
        <w:spacing w:line="222" w:lineRule="auto"/>
        <w:rPr>
          <w:rFonts w:ascii="FangSong" w:hAnsi="FangSong" w:eastAsia="FangSong" w:cs="FangSong"/>
          <w:sz w:val="30"/>
          <w:szCs w:val="30"/>
        </w:rPr>
      </w:pPr>
      <w:r>
        <w:rPr>
          <w:rFonts w:ascii="FangSong" w:hAnsi="FangSong" w:eastAsia="FangSong" w:cs="FangSong"/>
          <w:sz w:val="30"/>
          <w:szCs w:val="30"/>
          <w:spacing w:val="30"/>
        </w:rPr>
        <w:t>法律依据：</w:t>
      </w:r>
    </w:p>
    <w:p>
      <w:pPr>
        <w:ind w:left="124" w:right="105" w:firstLine="609"/>
        <w:spacing w:before="105" w:line="266" w:lineRule="auto"/>
        <w:jc w:val="both"/>
        <w:rPr>
          <w:rFonts w:ascii="FangSong" w:hAnsi="FangSong" w:eastAsia="FangSong" w:cs="FangSong"/>
          <w:sz w:val="30"/>
          <w:szCs w:val="30"/>
        </w:rPr>
      </w:pPr>
      <w:r>
        <w:rPr>
          <w:rFonts w:ascii="FangSong" w:hAnsi="FangSong" w:eastAsia="FangSong" w:cs="FangSong"/>
          <w:sz w:val="30"/>
          <w:szCs w:val="30"/>
          <w:spacing w:val="24"/>
        </w:rPr>
        <w:t>《护士条例》第三十一条第一款第(四)项</w:t>
      </w:r>
      <w:r>
        <w:rPr>
          <w:rFonts w:ascii="FangSong" w:hAnsi="FangSong" w:eastAsia="FangSong" w:cs="FangSong"/>
          <w:sz w:val="30"/>
          <w:szCs w:val="30"/>
          <w:spacing w:val="24"/>
        </w:rPr>
        <w:t xml:space="preserve">  </w:t>
      </w:r>
      <w:r>
        <w:rPr>
          <w:rFonts w:ascii="FangSong" w:hAnsi="FangSong" w:eastAsia="FangSong" w:cs="FangSong"/>
          <w:sz w:val="30"/>
          <w:szCs w:val="30"/>
          <w:spacing w:val="24"/>
        </w:rPr>
        <w:t>护士在执业活动中</w:t>
      </w:r>
      <w:r>
        <w:rPr>
          <w:rFonts w:ascii="FangSong" w:hAnsi="FangSong" w:eastAsia="FangSong" w:cs="FangSong"/>
          <w:sz w:val="30"/>
          <w:szCs w:val="30"/>
          <w:spacing w:val="23"/>
        </w:rPr>
        <w:t>有下列情形之一的，由县级以上</w:t>
      </w:r>
      <w:r>
        <w:rPr>
          <w:rFonts w:ascii="FangSong" w:hAnsi="FangSong" w:eastAsia="FangSong" w:cs="FangSong"/>
          <w:sz w:val="30"/>
          <w:szCs w:val="30"/>
        </w:rPr>
        <w:t xml:space="preserve"> </w:t>
      </w:r>
      <w:r>
        <w:rPr>
          <w:rFonts w:ascii="FangSong" w:hAnsi="FangSong" w:eastAsia="FangSong" w:cs="FangSong"/>
          <w:sz w:val="30"/>
          <w:szCs w:val="30"/>
          <w:spacing w:val="6"/>
        </w:rPr>
        <w:t>地方人民政府卫生主管部门依据职责分工责令改正，给予警告；情节严重的，暂停其6</w:t>
      </w:r>
      <w:r>
        <w:rPr>
          <w:rFonts w:ascii="FangSong" w:hAnsi="FangSong" w:eastAsia="FangSong" w:cs="FangSong"/>
          <w:sz w:val="30"/>
          <w:szCs w:val="30"/>
          <w:spacing w:val="6"/>
        </w:rPr>
        <w:t xml:space="preserve"> </w:t>
      </w:r>
      <w:r>
        <w:rPr>
          <w:rFonts w:ascii="FangSong" w:hAnsi="FangSong" w:eastAsia="FangSong" w:cs="FangSong"/>
          <w:sz w:val="30"/>
          <w:szCs w:val="30"/>
          <w:spacing w:val="5"/>
        </w:rPr>
        <w:t>个</w:t>
      </w:r>
      <w:r>
        <w:rPr>
          <w:rFonts w:ascii="FangSong" w:hAnsi="FangSong" w:eastAsia="FangSong" w:cs="FangSong"/>
          <w:sz w:val="30"/>
          <w:szCs w:val="30"/>
          <w:spacing w:val="-30"/>
        </w:rPr>
        <w:t xml:space="preserve"> </w:t>
      </w:r>
      <w:r>
        <w:rPr>
          <w:rFonts w:ascii="FangSong" w:hAnsi="FangSong" w:eastAsia="FangSong" w:cs="FangSong"/>
          <w:sz w:val="30"/>
          <w:szCs w:val="30"/>
          <w:spacing w:val="5"/>
        </w:rPr>
        <w:t>月</w:t>
      </w:r>
      <w:r>
        <w:rPr>
          <w:rFonts w:ascii="FangSong" w:hAnsi="FangSong" w:eastAsia="FangSong" w:cs="FangSong"/>
          <w:sz w:val="30"/>
          <w:szCs w:val="30"/>
          <w:spacing w:val="5"/>
        </w:rPr>
        <w:t xml:space="preserve"> </w:t>
      </w:r>
      <w:r>
        <w:rPr>
          <w:rFonts w:ascii="FangSong" w:hAnsi="FangSong" w:eastAsia="FangSong" w:cs="FangSong"/>
          <w:sz w:val="30"/>
          <w:szCs w:val="30"/>
          <w:spacing w:val="5"/>
        </w:rPr>
        <w:t>以</w:t>
      </w:r>
      <w:r>
        <w:rPr>
          <w:rFonts w:ascii="FangSong" w:hAnsi="FangSong" w:eastAsia="FangSong" w:cs="FangSong"/>
          <w:sz w:val="30"/>
          <w:szCs w:val="30"/>
          <w:spacing w:val="-42"/>
        </w:rPr>
        <w:t xml:space="preserve"> </w:t>
      </w:r>
      <w:r>
        <w:rPr>
          <w:rFonts w:ascii="FangSong" w:hAnsi="FangSong" w:eastAsia="FangSong" w:cs="FangSong"/>
          <w:sz w:val="30"/>
          <w:szCs w:val="30"/>
          <w:spacing w:val="5"/>
        </w:rPr>
        <w:t>上</w:t>
      </w:r>
      <w:r>
        <w:rPr>
          <w:rFonts w:ascii="FangSong" w:hAnsi="FangSong" w:eastAsia="FangSong" w:cs="FangSong"/>
          <w:sz w:val="30"/>
          <w:szCs w:val="30"/>
          <w:spacing w:val="-31"/>
        </w:rPr>
        <w:t xml:space="preserve"> </w:t>
      </w:r>
      <w:r>
        <w:rPr>
          <w:rFonts w:ascii="FangSong" w:hAnsi="FangSong" w:eastAsia="FangSong" w:cs="FangSong"/>
          <w:sz w:val="30"/>
          <w:szCs w:val="30"/>
          <w:spacing w:val="5"/>
        </w:rPr>
        <w:t>1</w:t>
      </w:r>
      <w:r>
        <w:rPr>
          <w:rFonts w:ascii="FangSong" w:hAnsi="FangSong" w:eastAsia="FangSong" w:cs="FangSong"/>
          <w:sz w:val="30"/>
          <w:szCs w:val="30"/>
          <w:spacing w:val="-38"/>
        </w:rPr>
        <w:t xml:space="preserve"> </w:t>
      </w:r>
      <w:r>
        <w:rPr>
          <w:rFonts w:ascii="FangSong" w:hAnsi="FangSong" w:eastAsia="FangSong" w:cs="FangSong"/>
          <w:sz w:val="30"/>
          <w:szCs w:val="30"/>
          <w:spacing w:val="5"/>
        </w:rPr>
        <w:t>年</w:t>
      </w:r>
      <w:r>
        <w:rPr>
          <w:rFonts w:ascii="FangSong" w:hAnsi="FangSong" w:eastAsia="FangSong" w:cs="FangSong"/>
          <w:sz w:val="30"/>
          <w:szCs w:val="30"/>
        </w:rPr>
        <w:t xml:space="preserve"> </w:t>
      </w:r>
      <w:r>
        <w:rPr>
          <w:rFonts w:ascii="FangSong" w:hAnsi="FangSong" w:eastAsia="FangSong" w:cs="FangSong"/>
          <w:sz w:val="30"/>
          <w:szCs w:val="30"/>
          <w:spacing w:val="14"/>
        </w:rPr>
        <w:t>以下执业活动，直至由原发证部门吊销其护士执业证书：</w:t>
      </w:r>
    </w:p>
    <w:p>
      <w:pPr>
        <w:ind w:left="124" w:right="102" w:firstLine="769"/>
        <w:spacing w:before="25" w:line="267" w:lineRule="auto"/>
        <w:rPr>
          <w:rFonts w:ascii="FangSong" w:hAnsi="FangSong" w:eastAsia="FangSong" w:cs="FangSong"/>
          <w:sz w:val="30"/>
          <w:szCs w:val="30"/>
        </w:rPr>
      </w:pPr>
      <w:r>
        <w:rPr>
          <w:rFonts w:ascii="FangSong" w:hAnsi="FangSong" w:eastAsia="FangSong" w:cs="FangSong"/>
          <w:sz w:val="30"/>
          <w:szCs w:val="30"/>
          <w:spacing w:val="21"/>
        </w:rPr>
        <w:t>(四)发生自然灾害、公共卫生事件等严重威胁</w:t>
      </w:r>
      <w:r>
        <w:rPr>
          <w:rFonts w:ascii="FangSong" w:hAnsi="FangSong" w:eastAsia="FangSong" w:cs="FangSong"/>
          <w:sz w:val="30"/>
          <w:szCs w:val="30"/>
          <w:spacing w:val="20"/>
        </w:rPr>
        <w:t>公众生命健康的突发事件，不服从安排参加医疗</w:t>
      </w:r>
      <w:r>
        <w:rPr>
          <w:rFonts w:ascii="FangSong" w:hAnsi="FangSong" w:eastAsia="FangSong" w:cs="FangSong"/>
          <w:sz w:val="30"/>
          <w:szCs w:val="30"/>
        </w:rPr>
        <w:t xml:space="preserve"> </w:t>
      </w:r>
      <w:r>
        <w:rPr>
          <w:rFonts w:ascii="FangSong" w:hAnsi="FangSong" w:eastAsia="FangSong" w:cs="FangSong"/>
          <w:sz w:val="30"/>
          <w:szCs w:val="30"/>
          <w:spacing w:val="-1"/>
        </w:rPr>
        <w:t>救护的。</w:t>
      </w:r>
    </w:p>
    <w:p>
      <w:pPr>
        <w:ind w:left="6529"/>
        <w:spacing w:before="1" w:line="220"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0" w:lineRule="auto"/>
        <w:sectPr>
          <w:footerReference w:type="default" r:id="rId266"/>
          <w:pgSz w:w="16830" w:h="11900"/>
          <w:pgMar w:top="1011" w:right="1344" w:bottom="1140" w:left="1325" w:header="0" w:footer="816" w:gutter="0"/>
        </w:sectPr>
        <w:rPr>
          <w:rFonts w:ascii="SimHei" w:hAnsi="SimHei" w:eastAsia="SimHei" w:cs="SimHei"/>
          <w:sz w:val="30"/>
          <w:szCs w:val="30"/>
        </w:rPr>
      </w:pPr>
    </w:p>
    <w:p>
      <w:pPr>
        <w:spacing w:before="17"/>
        <w:rPr/>
      </w:pPr>
      <w:r/>
    </w:p>
    <w:p>
      <w:pPr>
        <w:spacing w:before="16"/>
        <w:rPr/>
      </w:pPr>
      <w:r/>
    </w:p>
    <w:p>
      <w:pPr>
        <w:spacing w:before="16"/>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8304"/>
        <w:gridCol w:w="4422"/>
      </w:tblGrid>
      <w:tr>
        <w:trPr>
          <w:trHeight w:val="454" w:hRule="atLeast"/>
        </w:trPr>
        <w:tc>
          <w:tcPr>
            <w:tcW w:w="1444" w:type="dxa"/>
            <w:vAlign w:val="top"/>
          </w:tcPr>
          <w:p>
            <w:pPr>
              <w:pStyle w:val="TableText"/>
              <w:ind w:left="218"/>
              <w:spacing w:before="102" w:line="220" w:lineRule="auto"/>
              <w:rPr>
                <w:sz w:val="25"/>
                <w:szCs w:val="25"/>
              </w:rPr>
            </w:pPr>
            <w:bookmarkStart w:name="bookmark921" w:id="288"/>
            <w:bookmarkEnd w:id="288"/>
            <w:r>
              <w:rPr>
                <w:sz w:val="25"/>
                <w:szCs w:val="25"/>
                <w:b/>
                <w:bCs/>
                <w:spacing w:val="-5"/>
              </w:rPr>
              <w:t>违法程度</w:t>
            </w:r>
          </w:p>
        </w:tc>
        <w:tc>
          <w:tcPr>
            <w:tcW w:w="8304" w:type="dxa"/>
            <w:vAlign w:val="top"/>
          </w:tcPr>
          <w:p>
            <w:pPr>
              <w:pStyle w:val="TableText"/>
              <w:ind w:left="3644"/>
              <w:spacing w:before="102" w:line="220" w:lineRule="auto"/>
              <w:rPr>
                <w:sz w:val="25"/>
                <w:szCs w:val="25"/>
              </w:rPr>
            </w:pPr>
            <w:r>
              <w:rPr>
                <w:sz w:val="25"/>
                <w:szCs w:val="25"/>
                <w:b/>
                <w:bCs/>
                <w:spacing w:val="-5"/>
              </w:rPr>
              <w:t>违法后果</w:t>
            </w:r>
          </w:p>
        </w:tc>
        <w:tc>
          <w:tcPr>
            <w:tcW w:w="4422" w:type="dxa"/>
            <w:vAlign w:val="top"/>
          </w:tcPr>
          <w:p>
            <w:pPr>
              <w:pStyle w:val="TableText"/>
              <w:ind w:left="1640"/>
              <w:spacing w:before="99" w:line="218" w:lineRule="auto"/>
              <w:rPr>
                <w:sz w:val="25"/>
                <w:szCs w:val="25"/>
              </w:rPr>
            </w:pPr>
            <w:r>
              <w:rPr>
                <w:sz w:val="25"/>
                <w:szCs w:val="25"/>
                <w:b/>
                <w:bCs/>
                <w:spacing w:val="-5"/>
              </w:rPr>
              <w:t>裁量幅度</w:t>
            </w:r>
          </w:p>
        </w:tc>
      </w:tr>
      <w:tr>
        <w:trPr>
          <w:trHeight w:val="868" w:hRule="atLeast"/>
        </w:trPr>
        <w:tc>
          <w:tcPr>
            <w:tcW w:w="1444" w:type="dxa"/>
            <w:vAlign w:val="top"/>
          </w:tcPr>
          <w:p>
            <w:pPr>
              <w:pStyle w:val="TableText"/>
              <w:ind w:left="468"/>
              <w:spacing w:before="307" w:line="219" w:lineRule="auto"/>
              <w:rPr>
                <w:sz w:val="25"/>
                <w:szCs w:val="25"/>
              </w:rPr>
            </w:pPr>
            <w:r>
              <w:rPr>
                <w:sz w:val="25"/>
                <w:szCs w:val="25"/>
                <w:b/>
                <w:bCs/>
                <w:spacing w:val="-6"/>
              </w:rPr>
              <w:t>轻微</w:t>
            </w:r>
          </w:p>
        </w:tc>
        <w:tc>
          <w:tcPr>
            <w:tcW w:w="8304" w:type="dxa"/>
            <w:vAlign w:val="top"/>
          </w:tcPr>
          <w:p>
            <w:pPr>
              <w:pStyle w:val="TableText"/>
              <w:ind w:left="110" w:hanging="99"/>
              <w:spacing w:before="132" w:line="268" w:lineRule="auto"/>
              <w:rPr>
                <w:sz w:val="25"/>
                <w:szCs w:val="25"/>
              </w:rPr>
            </w:pPr>
            <w:r>
              <w:rPr>
                <w:sz w:val="25"/>
                <w:szCs w:val="25"/>
                <w:spacing w:val="-6"/>
              </w:rPr>
              <w:t>发生自然灾害、公共卫生事件等严重威胁公</w:t>
            </w:r>
            <w:r>
              <w:rPr>
                <w:sz w:val="25"/>
                <w:szCs w:val="25"/>
                <w:spacing w:val="-7"/>
              </w:rPr>
              <w:t>众生命健康的突发事件，护士首次</w:t>
            </w:r>
            <w:r>
              <w:rPr>
                <w:sz w:val="25"/>
                <w:szCs w:val="25"/>
              </w:rPr>
              <w:t xml:space="preserve"> </w:t>
            </w:r>
            <w:r>
              <w:rPr>
                <w:sz w:val="25"/>
                <w:szCs w:val="25"/>
                <w:spacing w:val="1"/>
              </w:rPr>
              <w:t>不服从安排参加医疗救护的</w:t>
            </w:r>
          </w:p>
        </w:tc>
        <w:tc>
          <w:tcPr>
            <w:tcW w:w="4422" w:type="dxa"/>
            <w:vAlign w:val="top"/>
          </w:tcPr>
          <w:p>
            <w:pPr>
              <w:pStyle w:val="TableText"/>
              <w:ind w:left="86"/>
              <w:spacing w:before="309" w:line="218" w:lineRule="auto"/>
              <w:rPr>
                <w:sz w:val="25"/>
                <w:szCs w:val="25"/>
              </w:rPr>
            </w:pPr>
            <w:r>
              <w:rPr>
                <w:sz w:val="25"/>
                <w:szCs w:val="25"/>
                <w:spacing w:val="1"/>
              </w:rPr>
              <w:t>责令改正，给予警告</w:t>
            </w:r>
          </w:p>
        </w:tc>
      </w:tr>
      <w:tr>
        <w:trPr>
          <w:trHeight w:val="878" w:hRule="atLeast"/>
        </w:trPr>
        <w:tc>
          <w:tcPr>
            <w:tcW w:w="1444" w:type="dxa"/>
            <w:vAlign w:val="top"/>
          </w:tcPr>
          <w:p>
            <w:pPr>
              <w:pStyle w:val="TableText"/>
              <w:ind w:left="468"/>
              <w:spacing w:before="321" w:line="221" w:lineRule="auto"/>
              <w:rPr>
                <w:sz w:val="25"/>
                <w:szCs w:val="25"/>
              </w:rPr>
            </w:pPr>
            <w:r>
              <w:rPr>
                <w:sz w:val="25"/>
                <w:szCs w:val="25"/>
                <w:b/>
                <w:bCs/>
                <w:spacing w:val="-10"/>
              </w:rPr>
              <w:t>一般</w:t>
            </w:r>
          </w:p>
        </w:tc>
        <w:tc>
          <w:tcPr>
            <w:tcW w:w="8304" w:type="dxa"/>
            <w:vAlign w:val="top"/>
          </w:tcPr>
          <w:p>
            <w:pPr>
              <w:pStyle w:val="TableText"/>
              <w:ind w:left="100" w:hanging="89"/>
              <w:spacing w:before="142" w:line="268" w:lineRule="auto"/>
              <w:rPr>
                <w:sz w:val="25"/>
                <w:szCs w:val="25"/>
              </w:rPr>
            </w:pPr>
            <w:r>
              <w:rPr>
                <w:sz w:val="25"/>
                <w:szCs w:val="25"/>
                <w:spacing w:val="-6"/>
              </w:rPr>
              <w:t>护士在执业活动中发生自然灾害、公共卫生</w:t>
            </w:r>
            <w:r>
              <w:rPr>
                <w:sz w:val="25"/>
                <w:szCs w:val="25"/>
                <w:spacing w:val="-7"/>
              </w:rPr>
              <w:t>事件等严重威胁公众生命健康的突</w:t>
            </w:r>
            <w:r>
              <w:rPr>
                <w:sz w:val="25"/>
                <w:szCs w:val="25"/>
              </w:rPr>
              <w:t xml:space="preserve"> </w:t>
            </w:r>
            <w:r>
              <w:rPr>
                <w:sz w:val="25"/>
                <w:szCs w:val="25"/>
              </w:rPr>
              <w:t>发事件，护士不服从安排参加医疗救护两次以上的</w:t>
            </w:r>
          </w:p>
        </w:tc>
        <w:tc>
          <w:tcPr>
            <w:tcW w:w="4422" w:type="dxa"/>
            <w:vAlign w:val="top"/>
          </w:tcPr>
          <w:p>
            <w:pPr>
              <w:pStyle w:val="TableText"/>
              <w:ind w:left="86" w:right="565"/>
              <w:spacing w:before="142" w:line="268" w:lineRule="auto"/>
              <w:rPr>
                <w:sz w:val="25"/>
                <w:szCs w:val="25"/>
              </w:rPr>
            </w:pPr>
            <w:r>
              <w:rPr>
                <w:sz w:val="25"/>
                <w:szCs w:val="25"/>
              </w:rPr>
              <w:t>暂停其6个月以上9个月以下执业活</w:t>
            </w:r>
            <w:r>
              <w:rPr>
                <w:sz w:val="25"/>
                <w:szCs w:val="25"/>
                <w:spacing w:val="8"/>
              </w:rPr>
              <w:t xml:space="preserve"> </w:t>
            </w:r>
            <w:r>
              <w:rPr>
                <w:sz w:val="25"/>
                <w:szCs w:val="25"/>
              </w:rPr>
              <w:t>动</w:t>
            </w:r>
          </w:p>
        </w:tc>
      </w:tr>
      <w:tr>
        <w:trPr>
          <w:trHeight w:val="867" w:hRule="atLeast"/>
        </w:trPr>
        <w:tc>
          <w:tcPr>
            <w:tcW w:w="1444" w:type="dxa"/>
            <w:vAlign w:val="top"/>
          </w:tcPr>
          <w:p>
            <w:pPr>
              <w:pStyle w:val="TableText"/>
              <w:ind w:left="468"/>
              <w:spacing w:before="312" w:line="220" w:lineRule="auto"/>
              <w:rPr>
                <w:sz w:val="25"/>
                <w:szCs w:val="25"/>
              </w:rPr>
            </w:pPr>
            <w:r>
              <w:rPr>
                <w:sz w:val="25"/>
                <w:szCs w:val="25"/>
                <w:b/>
                <w:bCs/>
                <w:spacing w:val="-6"/>
              </w:rPr>
              <w:t>严重</w:t>
            </w:r>
          </w:p>
        </w:tc>
        <w:tc>
          <w:tcPr>
            <w:tcW w:w="8304" w:type="dxa"/>
            <w:vAlign w:val="top"/>
          </w:tcPr>
          <w:p>
            <w:pPr>
              <w:pStyle w:val="TableText"/>
              <w:ind w:left="100" w:hanging="89"/>
              <w:spacing w:before="155" w:line="259" w:lineRule="auto"/>
              <w:rPr>
                <w:sz w:val="25"/>
                <w:szCs w:val="25"/>
              </w:rPr>
            </w:pPr>
            <w:r>
              <w:rPr>
                <w:sz w:val="25"/>
                <w:szCs w:val="25"/>
                <w:spacing w:val="-6"/>
              </w:rPr>
              <w:t>护士在执业活动中发生自然灾害、公共卫生</w:t>
            </w:r>
            <w:r>
              <w:rPr>
                <w:sz w:val="25"/>
                <w:szCs w:val="25"/>
                <w:spacing w:val="-7"/>
              </w:rPr>
              <w:t>事件等严重威胁公众生命健康的突</w:t>
            </w:r>
            <w:r>
              <w:rPr>
                <w:sz w:val="25"/>
                <w:szCs w:val="25"/>
              </w:rPr>
              <w:t xml:space="preserve"> </w:t>
            </w:r>
            <w:r>
              <w:rPr>
                <w:sz w:val="25"/>
                <w:szCs w:val="25"/>
              </w:rPr>
              <w:t>发事件，不服从安排参加医疗救护，造成危害后果的</w:t>
            </w:r>
          </w:p>
        </w:tc>
        <w:tc>
          <w:tcPr>
            <w:tcW w:w="4422" w:type="dxa"/>
            <w:vAlign w:val="top"/>
          </w:tcPr>
          <w:p>
            <w:pPr>
              <w:pStyle w:val="TableText"/>
              <w:ind w:left="86"/>
              <w:spacing w:before="315" w:line="219" w:lineRule="auto"/>
              <w:rPr>
                <w:sz w:val="25"/>
                <w:szCs w:val="25"/>
              </w:rPr>
            </w:pPr>
            <w:r>
              <w:rPr>
                <w:sz w:val="25"/>
                <w:szCs w:val="25"/>
                <w:spacing w:val="1"/>
              </w:rPr>
              <w:t>暂停其9个月以上1年以下执业活动</w:t>
            </w:r>
          </w:p>
        </w:tc>
      </w:tr>
      <w:tr>
        <w:trPr>
          <w:trHeight w:val="882" w:hRule="atLeast"/>
        </w:trPr>
        <w:tc>
          <w:tcPr>
            <w:tcW w:w="1444" w:type="dxa"/>
            <w:vAlign w:val="top"/>
          </w:tcPr>
          <w:p>
            <w:pPr>
              <w:spacing w:line="301" w:lineRule="auto"/>
              <w:rPr>
                <w:rFonts w:ascii="Arial"/>
                <w:sz w:val="21"/>
              </w:rPr>
            </w:pPr>
            <w:r/>
          </w:p>
          <w:p>
            <w:pPr>
              <w:pStyle w:val="TableText"/>
              <w:ind w:left="218"/>
              <w:spacing w:before="82" w:line="219" w:lineRule="auto"/>
              <w:rPr>
                <w:sz w:val="25"/>
                <w:szCs w:val="25"/>
              </w:rPr>
            </w:pPr>
            <w:r>
              <w:rPr>
                <w:sz w:val="25"/>
                <w:szCs w:val="25"/>
                <w:b/>
                <w:bCs/>
                <w:spacing w:val="-5"/>
              </w:rPr>
              <w:t>特别严重</w:t>
            </w:r>
          </w:p>
        </w:tc>
        <w:tc>
          <w:tcPr>
            <w:tcW w:w="8304" w:type="dxa"/>
            <w:vAlign w:val="top"/>
          </w:tcPr>
          <w:p>
            <w:pPr>
              <w:pStyle w:val="TableText"/>
              <w:ind w:left="100" w:hanging="89"/>
              <w:spacing w:before="157" w:line="264" w:lineRule="auto"/>
              <w:rPr>
                <w:sz w:val="25"/>
                <w:szCs w:val="25"/>
              </w:rPr>
            </w:pPr>
            <w:r>
              <w:rPr>
                <w:sz w:val="25"/>
                <w:szCs w:val="25"/>
                <w:spacing w:val="-6"/>
              </w:rPr>
              <w:t>护士在执业活动中发生自然灾害、公共卫生</w:t>
            </w:r>
            <w:r>
              <w:rPr>
                <w:sz w:val="25"/>
                <w:szCs w:val="25"/>
                <w:spacing w:val="-7"/>
              </w:rPr>
              <w:t>事件等严重威胁公众生命健康的突</w:t>
            </w:r>
            <w:r>
              <w:rPr>
                <w:sz w:val="25"/>
                <w:szCs w:val="25"/>
              </w:rPr>
              <w:t xml:space="preserve"> </w:t>
            </w:r>
            <w:r>
              <w:rPr>
                <w:sz w:val="25"/>
                <w:szCs w:val="25"/>
              </w:rPr>
              <w:t>发事件，不服从安排参加医疗救护，造成严重危害后果的</w:t>
            </w:r>
          </w:p>
        </w:tc>
        <w:tc>
          <w:tcPr>
            <w:tcW w:w="4422" w:type="dxa"/>
            <w:vAlign w:val="top"/>
          </w:tcPr>
          <w:p>
            <w:pPr>
              <w:pStyle w:val="TableText"/>
              <w:ind w:left="86"/>
              <w:spacing w:before="156" w:line="219" w:lineRule="auto"/>
              <w:rPr>
                <w:sz w:val="25"/>
                <w:szCs w:val="25"/>
              </w:rPr>
            </w:pPr>
            <w:r>
              <w:rPr>
                <w:sz w:val="25"/>
                <w:szCs w:val="25"/>
                <w:spacing w:val="1"/>
              </w:rPr>
              <w:t>原发证部门吊销其护士执业证书</w:t>
            </w:r>
          </w:p>
        </w:tc>
      </w:tr>
    </w:tbl>
    <w:p>
      <w:pPr>
        <w:pStyle w:val="BodyText"/>
        <w:spacing w:line="262" w:lineRule="auto"/>
        <w:rPr/>
      </w:pPr>
      <w:r/>
    </w:p>
    <w:p>
      <w:pPr>
        <w:pStyle w:val="BodyText"/>
        <w:spacing w:line="263" w:lineRule="auto"/>
        <w:rPr/>
      </w:pPr>
      <w:r/>
    </w:p>
    <w:p>
      <w:pPr>
        <w:ind w:left="899"/>
        <w:spacing w:before="97" w:line="223" w:lineRule="auto"/>
        <w:rPr>
          <w:rFonts w:ascii="KaiTi" w:hAnsi="KaiTi" w:eastAsia="KaiTi" w:cs="KaiTi"/>
          <w:sz w:val="30"/>
          <w:szCs w:val="30"/>
        </w:rPr>
      </w:pPr>
      <w:r>
        <w:rPr>
          <w:rFonts w:ascii="KaiTi" w:hAnsi="KaiTi" w:eastAsia="KaiTi" w:cs="KaiTi"/>
          <w:sz w:val="30"/>
          <w:szCs w:val="30"/>
          <w:b/>
          <w:bCs/>
          <w:spacing w:val="28"/>
        </w:rPr>
        <w:t>(五)《乡村医生从业管理条例》</w:t>
      </w:r>
    </w:p>
    <w:p>
      <w:pPr>
        <w:ind w:left="789"/>
        <w:spacing w:before="308" w:line="219" w:lineRule="auto"/>
        <w:rPr>
          <w:rFonts w:ascii="FangSong" w:hAnsi="FangSong" w:eastAsia="FangSong" w:cs="FangSong"/>
          <w:sz w:val="30"/>
          <w:szCs w:val="30"/>
        </w:rPr>
      </w:pPr>
      <w:r>
        <w:rPr>
          <w:rFonts w:ascii="FangSong" w:hAnsi="FangSong" w:eastAsia="FangSong" w:cs="FangSong"/>
          <w:sz w:val="30"/>
          <w:szCs w:val="30"/>
          <w:b/>
          <w:bCs/>
          <w:spacing w:val="22"/>
        </w:rPr>
        <w:t>第二百零二条乡村医生执业活动超出规定的执业范围，或者未按</w:t>
      </w:r>
      <w:r>
        <w:rPr>
          <w:rFonts w:ascii="FangSong" w:hAnsi="FangSong" w:eastAsia="FangSong" w:cs="FangSong"/>
          <w:sz w:val="30"/>
          <w:szCs w:val="30"/>
          <w:spacing w:val="22"/>
        </w:rPr>
        <w:t>照规定进行转诊的</w:t>
      </w:r>
    </w:p>
    <w:p>
      <w:pPr>
        <w:ind w:left="774"/>
        <w:spacing w:before="92" w:line="222" w:lineRule="auto"/>
        <w:rPr>
          <w:rFonts w:ascii="FangSong" w:hAnsi="FangSong" w:eastAsia="FangSong" w:cs="FangSong"/>
          <w:sz w:val="30"/>
          <w:szCs w:val="30"/>
        </w:rPr>
      </w:pPr>
      <w:r>
        <w:rPr>
          <w:rFonts w:ascii="FangSong" w:hAnsi="FangSong" w:eastAsia="FangSong" w:cs="FangSong"/>
          <w:sz w:val="30"/>
          <w:szCs w:val="30"/>
        </w:rPr>
        <w:t>法律依据：</w:t>
      </w:r>
    </w:p>
    <w:p>
      <w:pPr>
        <w:ind w:left="115" w:right="54" w:firstLine="629"/>
        <w:spacing w:before="71" w:line="271" w:lineRule="auto"/>
        <w:jc w:val="both"/>
        <w:rPr>
          <w:rFonts w:ascii="FangSong" w:hAnsi="FangSong" w:eastAsia="FangSong" w:cs="FangSong"/>
          <w:sz w:val="30"/>
          <w:szCs w:val="30"/>
        </w:rPr>
      </w:pPr>
      <w:r>
        <w:rPr>
          <w:rFonts w:ascii="FangSong" w:hAnsi="FangSong" w:eastAsia="FangSong" w:cs="FangSong"/>
          <w:sz w:val="30"/>
          <w:szCs w:val="30"/>
          <w:spacing w:val="25"/>
        </w:rPr>
        <w:t>《乡村医生从业管理条例》第三十八条第(一)项</w:t>
      </w:r>
      <w:r>
        <w:rPr>
          <w:rFonts w:ascii="FangSong" w:hAnsi="FangSong" w:eastAsia="FangSong" w:cs="FangSong"/>
          <w:sz w:val="30"/>
          <w:szCs w:val="30"/>
          <w:spacing w:val="25"/>
        </w:rPr>
        <w:t xml:space="preserve">  </w:t>
      </w:r>
      <w:r>
        <w:rPr>
          <w:rFonts w:ascii="FangSong" w:hAnsi="FangSong" w:eastAsia="FangSong" w:cs="FangSong"/>
          <w:sz w:val="30"/>
          <w:szCs w:val="30"/>
          <w:spacing w:val="25"/>
        </w:rPr>
        <w:t>乡村医生在执业活动中，违反本条例规定，</w:t>
      </w:r>
      <w:r>
        <w:rPr>
          <w:rFonts w:ascii="FangSong" w:hAnsi="FangSong" w:eastAsia="FangSong" w:cs="FangSong"/>
          <w:sz w:val="30"/>
          <w:szCs w:val="30"/>
          <w:spacing w:val="4"/>
        </w:rPr>
        <w:t xml:space="preserve"> </w:t>
      </w:r>
      <w:r>
        <w:rPr>
          <w:rFonts w:ascii="FangSong" w:hAnsi="FangSong" w:eastAsia="FangSong" w:cs="FangSong"/>
          <w:sz w:val="30"/>
          <w:szCs w:val="30"/>
          <w:spacing w:val="17"/>
        </w:rPr>
        <w:t>有下列行为之一的，由县级人民政府卫生行政主管部门责令限期改正，给予警告；逾期不改正的，责</w:t>
      </w:r>
      <w:r>
        <w:rPr>
          <w:rFonts w:ascii="FangSong" w:hAnsi="FangSong" w:eastAsia="FangSong" w:cs="FangSong"/>
          <w:sz w:val="30"/>
          <w:szCs w:val="30"/>
          <w:spacing w:val="17"/>
        </w:rPr>
        <w:t xml:space="preserve"> </w:t>
      </w:r>
      <w:r>
        <w:rPr>
          <w:rFonts w:ascii="FangSong" w:hAnsi="FangSong" w:eastAsia="FangSong" w:cs="FangSong"/>
          <w:sz w:val="30"/>
          <w:szCs w:val="30"/>
          <w:spacing w:val="25"/>
        </w:rPr>
        <w:t>令暂停3个月以上6个月以下执业活动；情节严重的，由原发证部门暂扣乡村医生执业证书：</w:t>
      </w:r>
    </w:p>
    <w:p>
      <w:pPr>
        <w:ind w:left="894"/>
        <w:spacing w:before="1" w:line="218" w:lineRule="auto"/>
        <w:rPr>
          <w:rFonts w:ascii="FangSong" w:hAnsi="FangSong" w:eastAsia="FangSong" w:cs="FangSong"/>
          <w:sz w:val="30"/>
          <w:szCs w:val="30"/>
        </w:rPr>
      </w:pPr>
      <w:r>
        <w:rPr>
          <w:rFonts w:ascii="FangSong" w:hAnsi="FangSong" w:eastAsia="FangSong" w:cs="FangSong"/>
          <w:sz w:val="30"/>
          <w:szCs w:val="30"/>
          <w:spacing w:val="22"/>
        </w:rPr>
        <w:t>(一)执业活动超出规定的执业范围，或者未按照规定进行转诊的；</w:t>
      </w:r>
    </w:p>
    <w:p>
      <w:pPr>
        <w:ind w:left="6539"/>
        <w:spacing w:before="66"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267"/>
          <w:pgSz w:w="16830" w:h="11900"/>
          <w:pgMar w:top="1011" w:right="1335" w:bottom="1108" w:left="1314" w:header="0" w:footer="775" w:gutter="0"/>
        </w:sectPr>
        <w:rPr>
          <w:rFonts w:ascii="SimHei" w:hAnsi="SimHei" w:eastAsia="SimHei" w:cs="SimHei"/>
          <w:sz w:val="30"/>
          <w:szCs w:val="30"/>
        </w:rPr>
      </w:pPr>
    </w:p>
    <w:p>
      <w:pPr>
        <w:spacing w:before="17"/>
        <w:rPr/>
      </w:pPr>
      <w:r/>
    </w:p>
    <w:p>
      <w:pPr>
        <w:spacing w:before="16"/>
        <w:rPr/>
      </w:pPr>
      <w:r/>
    </w:p>
    <w:p>
      <w:pPr>
        <w:spacing w:before="16"/>
        <w:rPr/>
      </w:pPr>
      <w:r/>
    </w:p>
    <w:tbl>
      <w:tblPr>
        <w:tblStyle w:val="TableNormal"/>
        <w:tblW w:w="1414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7894"/>
        <w:gridCol w:w="4841"/>
      </w:tblGrid>
      <w:tr>
        <w:trPr>
          <w:trHeight w:val="453" w:hRule="atLeast"/>
        </w:trPr>
        <w:tc>
          <w:tcPr>
            <w:tcW w:w="1414" w:type="dxa"/>
            <w:vAlign w:val="top"/>
          </w:tcPr>
          <w:p>
            <w:pPr>
              <w:pStyle w:val="TableText"/>
              <w:ind w:left="198"/>
              <w:spacing w:before="102" w:line="220" w:lineRule="auto"/>
              <w:rPr>
                <w:sz w:val="25"/>
                <w:szCs w:val="25"/>
              </w:rPr>
            </w:pPr>
            <w:bookmarkStart w:name="bookmark922" w:id="289"/>
            <w:bookmarkEnd w:id="289"/>
            <w:r>
              <w:rPr>
                <w:sz w:val="25"/>
                <w:szCs w:val="25"/>
                <w:b/>
                <w:bCs/>
                <w:spacing w:val="-5"/>
              </w:rPr>
              <w:t>违法程度</w:t>
            </w:r>
          </w:p>
        </w:tc>
        <w:tc>
          <w:tcPr>
            <w:tcW w:w="7894" w:type="dxa"/>
            <w:vAlign w:val="top"/>
          </w:tcPr>
          <w:p>
            <w:pPr>
              <w:pStyle w:val="TableText"/>
              <w:ind w:left="3374"/>
              <w:spacing w:before="102" w:line="220" w:lineRule="auto"/>
              <w:rPr>
                <w:sz w:val="25"/>
                <w:szCs w:val="25"/>
              </w:rPr>
            </w:pPr>
            <w:r>
              <w:rPr>
                <w:sz w:val="25"/>
                <w:szCs w:val="25"/>
                <w:b/>
                <w:bCs/>
                <w:spacing w:val="-5"/>
              </w:rPr>
              <w:t>违法后果</w:t>
            </w:r>
          </w:p>
        </w:tc>
        <w:tc>
          <w:tcPr>
            <w:tcW w:w="4841" w:type="dxa"/>
            <w:vAlign w:val="top"/>
          </w:tcPr>
          <w:p>
            <w:pPr>
              <w:pStyle w:val="TableText"/>
              <w:ind w:left="1850"/>
              <w:spacing w:before="99" w:line="218" w:lineRule="auto"/>
              <w:rPr>
                <w:sz w:val="25"/>
                <w:szCs w:val="25"/>
              </w:rPr>
            </w:pPr>
            <w:r>
              <w:rPr>
                <w:sz w:val="25"/>
                <w:szCs w:val="25"/>
                <w:b/>
                <w:bCs/>
                <w:spacing w:val="-5"/>
              </w:rPr>
              <w:t>裁量幅度</w:t>
            </w:r>
          </w:p>
        </w:tc>
      </w:tr>
      <w:tr>
        <w:trPr>
          <w:trHeight w:val="418" w:hRule="atLeast"/>
        </w:trPr>
        <w:tc>
          <w:tcPr>
            <w:tcW w:w="1414" w:type="dxa"/>
            <w:vAlign w:val="top"/>
          </w:tcPr>
          <w:p>
            <w:pPr>
              <w:pStyle w:val="TableText"/>
              <w:ind w:left="448"/>
              <w:spacing w:before="90" w:line="221" w:lineRule="auto"/>
              <w:rPr>
                <w:sz w:val="25"/>
                <w:szCs w:val="25"/>
              </w:rPr>
            </w:pPr>
            <w:r>
              <w:rPr>
                <w:sz w:val="25"/>
                <w:szCs w:val="25"/>
                <w:b/>
                <w:bCs/>
                <w:spacing w:val="-10"/>
              </w:rPr>
              <w:t>一般</w:t>
            </w:r>
          </w:p>
        </w:tc>
        <w:tc>
          <w:tcPr>
            <w:tcW w:w="7894" w:type="dxa"/>
            <w:vAlign w:val="top"/>
          </w:tcPr>
          <w:p>
            <w:pPr>
              <w:pStyle w:val="TableText"/>
              <w:ind w:left="120"/>
              <w:spacing w:before="92" w:line="219" w:lineRule="auto"/>
              <w:rPr>
                <w:sz w:val="25"/>
                <w:szCs w:val="25"/>
              </w:rPr>
            </w:pPr>
            <w:r>
              <w:rPr>
                <w:sz w:val="25"/>
                <w:szCs w:val="25"/>
              </w:rPr>
              <w:t>执业活动超出规定的执业范围，或者未按照规定进行转诊的</w:t>
            </w:r>
          </w:p>
        </w:tc>
        <w:tc>
          <w:tcPr>
            <w:tcW w:w="4841" w:type="dxa"/>
            <w:vAlign w:val="top"/>
          </w:tcPr>
          <w:p>
            <w:pPr>
              <w:pStyle w:val="TableText"/>
              <w:ind w:left="96"/>
              <w:spacing w:before="90" w:line="218" w:lineRule="auto"/>
              <w:rPr>
                <w:sz w:val="25"/>
                <w:szCs w:val="25"/>
              </w:rPr>
            </w:pPr>
            <w:r>
              <w:rPr>
                <w:sz w:val="25"/>
                <w:szCs w:val="25"/>
                <w:spacing w:val="1"/>
              </w:rPr>
              <w:t>责令限期改正，给予警告</w:t>
            </w:r>
          </w:p>
        </w:tc>
      </w:tr>
      <w:tr>
        <w:trPr>
          <w:trHeight w:val="876" w:hRule="atLeast"/>
        </w:trPr>
        <w:tc>
          <w:tcPr>
            <w:tcW w:w="1414" w:type="dxa"/>
            <w:vAlign w:val="top"/>
          </w:tcPr>
          <w:p>
            <w:pPr>
              <w:spacing w:line="291" w:lineRule="auto"/>
              <w:rPr>
                <w:rFonts w:ascii="Arial"/>
                <w:sz w:val="21"/>
              </w:rPr>
            </w:pPr>
            <w:r/>
          </w:p>
          <w:p>
            <w:pPr>
              <w:pStyle w:val="TableText"/>
              <w:ind w:left="448"/>
              <w:spacing w:before="81" w:line="221" w:lineRule="auto"/>
              <w:rPr>
                <w:sz w:val="25"/>
                <w:szCs w:val="25"/>
              </w:rPr>
            </w:pPr>
            <w:r>
              <w:rPr>
                <w:sz w:val="25"/>
                <w:szCs w:val="25"/>
                <w:b/>
                <w:bCs/>
                <w:spacing w:val="-6"/>
              </w:rPr>
              <w:t>较重</w:t>
            </w:r>
          </w:p>
        </w:tc>
        <w:tc>
          <w:tcPr>
            <w:tcW w:w="7894" w:type="dxa"/>
            <w:vAlign w:val="top"/>
          </w:tcPr>
          <w:p>
            <w:pPr>
              <w:pStyle w:val="TableText"/>
              <w:ind w:left="120" w:firstLine="9"/>
              <w:spacing w:before="164" w:line="259" w:lineRule="auto"/>
              <w:rPr>
                <w:sz w:val="25"/>
                <w:szCs w:val="25"/>
              </w:rPr>
            </w:pPr>
            <w:r>
              <w:rPr>
                <w:sz w:val="25"/>
                <w:szCs w:val="25"/>
                <w:spacing w:val="-8"/>
              </w:rPr>
              <w:t>执业活动超出规定的执业范围，或者未按照规定进行转诊，经责令限期改</w:t>
            </w:r>
            <w:r>
              <w:rPr>
                <w:sz w:val="25"/>
                <w:szCs w:val="25"/>
                <w:spacing w:val="8"/>
              </w:rPr>
              <w:t xml:space="preserve"> </w:t>
            </w:r>
            <w:r>
              <w:rPr>
                <w:sz w:val="25"/>
                <w:szCs w:val="25"/>
                <w:spacing w:val="2"/>
              </w:rPr>
              <w:t>正，逾期不改正的</w:t>
            </w:r>
          </w:p>
        </w:tc>
        <w:tc>
          <w:tcPr>
            <w:tcW w:w="4841" w:type="dxa"/>
            <w:vAlign w:val="top"/>
          </w:tcPr>
          <w:p>
            <w:pPr>
              <w:spacing w:line="241" w:lineRule="auto"/>
              <w:rPr>
                <w:rFonts w:ascii="Arial"/>
                <w:sz w:val="21"/>
              </w:rPr>
            </w:pPr>
            <w:r/>
          </w:p>
          <w:p>
            <w:pPr>
              <w:pStyle w:val="TableText"/>
              <w:ind w:left="96"/>
              <w:spacing w:before="81" w:line="219" w:lineRule="auto"/>
              <w:rPr>
                <w:sz w:val="25"/>
                <w:szCs w:val="25"/>
              </w:rPr>
            </w:pPr>
            <w:r>
              <w:rPr>
                <w:sz w:val="25"/>
                <w:szCs w:val="25"/>
                <w:spacing w:val="1"/>
              </w:rPr>
              <w:t>暂停其3个月以上6个月以下执业活动</w:t>
            </w:r>
          </w:p>
        </w:tc>
      </w:tr>
      <w:tr>
        <w:trPr>
          <w:trHeight w:val="443" w:hRule="atLeast"/>
        </w:trPr>
        <w:tc>
          <w:tcPr>
            <w:tcW w:w="1414" w:type="dxa"/>
            <w:vAlign w:val="top"/>
          </w:tcPr>
          <w:p>
            <w:pPr>
              <w:pStyle w:val="TableText"/>
              <w:ind w:left="448"/>
              <w:spacing w:before="164" w:line="198" w:lineRule="auto"/>
              <w:rPr>
                <w:sz w:val="25"/>
                <w:szCs w:val="25"/>
              </w:rPr>
            </w:pPr>
            <w:r>
              <w:rPr>
                <w:sz w:val="25"/>
                <w:szCs w:val="25"/>
                <w:b/>
                <w:bCs/>
                <w:spacing w:val="-6"/>
              </w:rPr>
              <w:t>严重</w:t>
            </w:r>
          </w:p>
        </w:tc>
        <w:tc>
          <w:tcPr>
            <w:tcW w:w="7894" w:type="dxa"/>
            <w:vAlign w:val="top"/>
          </w:tcPr>
          <w:p>
            <w:pPr>
              <w:pStyle w:val="TableText"/>
              <w:spacing w:before="167" w:line="196" w:lineRule="auto"/>
              <w:jc w:val="right"/>
              <w:rPr>
                <w:sz w:val="25"/>
                <w:szCs w:val="25"/>
              </w:rPr>
            </w:pPr>
            <w:r>
              <w:rPr>
                <w:sz w:val="25"/>
                <w:szCs w:val="25"/>
              </w:rPr>
              <w:t>执业活动超出规定的执业范围，或者未按照规定进行转诊，情节严重的</w:t>
            </w:r>
          </w:p>
        </w:tc>
        <w:tc>
          <w:tcPr>
            <w:tcW w:w="4841" w:type="dxa"/>
            <w:vAlign w:val="top"/>
          </w:tcPr>
          <w:p>
            <w:pPr>
              <w:pStyle w:val="TableText"/>
              <w:ind w:left="96"/>
              <w:spacing w:before="167" w:line="196" w:lineRule="auto"/>
              <w:rPr>
                <w:sz w:val="25"/>
                <w:szCs w:val="25"/>
              </w:rPr>
            </w:pPr>
            <w:r>
              <w:rPr>
                <w:sz w:val="25"/>
                <w:szCs w:val="25"/>
                <w:spacing w:val="1"/>
              </w:rPr>
              <w:t>原发证部门暂扣乡村医生执业证书</w:t>
            </w:r>
          </w:p>
        </w:tc>
      </w:tr>
    </w:tbl>
    <w:p>
      <w:pPr>
        <w:pStyle w:val="BodyText"/>
        <w:spacing w:line="243" w:lineRule="auto"/>
        <w:rPr/>
      </w:pPr>
      <w:r/>
    </w:p>
    <w:p>
      <w:pPr>
        <w:pStyle w:val="BodyText"/>
        <w:spacing w:line="243" w:lineRule="auto"/>
        <w:rPr/>
      </w:pPr>
      <w:r/>
    </w:p>
    <w:p>
      <w:pPr>
        <w:ind w:left="799"/>
        <w:spacing w:before="98" w:line="220" w:lineRule="auto"/>
        <w:rPr>
          <w:rFonts w:ascii="FangSong" w:hAnsi="FangSong" w:eastAsia="FangSong" w:cs="FangSong"/>
          <w:sz w:val="30"/>
          <w:szCs w:val="30"/>
        </w:rPr>
      </w:pPr>
      <w:r>
        <w:rPr>
          <w:rFonts w:ascii="FangSong" w:hAnsi="FangSong" w:eastAsia="FangSong" w:cs="FangSong"/>
          <w:sz w:val="30"/>
          <w:szCs w:val="30"/>
          <w:b/>
          <w:bCs/>
          <w:spacing w:val="23"/>
        </w:rPr>
        <w:t>第二百零三条违反规定使用乡村医生基本用药目录以外的</w:t>
      </w:r>
      <w:r>
        <w:rPr>
          <w:rFonts w:ascii="FangSong" w:hAnsi="FangSong" w:eastAsia="FangSong" w:cs="FangSong"/>
          <w:sz w:val="30"/>
          <w:szCs w:val="30"/>
          <w:b/>
          <w:bCs/>
          <w:spacing w:val="22"/>
        </w:rPr>
        <w:t>处方药品的</w:t>
      </w:r>
    </w:p>
    <w:p>
      <w:pPr>
        <w:ind w:left="785"/>
        <w:spacing w:before="100"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115" w:right="15" w:firstLine="629"/>
        <w:spacing w:before="61" w:line="272" w:lineRule="auto"/>
        <w:jc w:val="both"/>
        <w:rPr>
          <w:rFonts w:ascii="FangSong" w:hAnsi="FangSong" w:eastAsia="FangSong" w:cs="FangSong"/>
          <w:sz w:val="30"/>
          <w:szCs w:val="30"/>
        </w:rPr>
      </w:pPr>
      <w:r>
        <w:rPr>
          <w:rFonts w:ascii="FangSong" w:hAnsi="FangSong" w:eastAsia="FangSong" w:cs="FangSong"/>
          <w:sz w:val="30"/>
          <w:szCs w:val="30"/>
          <w:spacing w:val="26"/>
        </w:rPr>
        <w:t>《乡村医生从业管理条例》第三十八条第(二)项</w:t>
      </w:r>
      <w:r>
        <w:rPr>
          <w:rFonts w:ascii="FangSong" w:hAnsi="FangSong" w:eastAsia="FangSong" w:cs="FangSong"/>
          <w:sz w:val="30"/>
          <w:szCs w:val="30"/>
          <w:spacing w:val="26"/>
        </w:rPr>
        <w:t xml:space="preserve">  </w:t>
      </w:r>
      <w:r>
        <w:rPr>
          <w:rFonts w:ascii="FangSong" w:hAnsi="FangSong" w:eastAsia="FangSong" w:cs="FangSong"/>
          <w:sz w:val="30"/>
          <w:szCs w:val="30"/>
          <w:spacing w:val="26"/>
        </w:rPr>
        <w:t>乡村医生在执业活动中</w:t>
      </w:r>
      <w:r>
        <w:rPr>
          <w:rFonts w:ascii="FangSong" w:hAnsi="FangSong" w:eastAsia="FangSong" w:cs="FangSong"/>
          <w:sz w:val="30"/>
          <w:szCs w:val="30"/>
          <w:spacing w:val="25"/>
        </w:rPr>
        <w:t>，违反本条例规定，</w:t>
      </w:r>
      <w:r>
        <w:rPr>
          <w:rFonts w:ascii="FangSong" w:hAnsi="FangSong" w:eastAsia="FangSong" w:cs="FangSong"/>
          <w:sz w:val="30"/>
          <w:szCs w:val="30"/>
        </w:rPr>
        <w:t xml:space="preserve"> </w:t>
      </w:r>
      <w:r>
        <w:rPr>
          <w:rFonts w:ascii="FangSong" w:hAnsi="FangSong" w:eastAsia="FangSong" w:cs="FangSong"/>
          <w:sz w:val="30"/>
          <w:szCs w:val="30"/>
          <w:spacing w:val="16"/>
        </w:rPr>
        <w:t>有下列行为之一的，由县级人民政府卫生行政主管部门责令限期改正，给予警告；逾期不改正的，责</w:t>
      </w:r>
      <w:r>
        <w:rPr>
          <w:rFonts w:ascii="FangSong" w:hAnsi="FangSong" w:eastAsia="FangSong" w:cs="FangSong"/>
          <w:sz w:val="30"/>
          <w:szCs w:val="30"/>
          <w:spacing w:val="12"/>
        </w:rPr>
        <w:t xml:space="preserve"> </w:t>
      </w:r>
      <w:r>
        <w:rPr>
          <w:rFonts w:ascii="FangSong" w:hAnsi="FangSong" w:eastAsia="FangSong" w:cs="FangSong"/>
          <w:sz w:val="30"/>
          <w:szCs w:val="30"/>
          <w:spacing w:val="20"/>
        </w:rPr>
        <w:t>令</w:t>
      </w:r>
      <w:r>
        <w:rPr>
          <w:rFonts w:ascii="FangSong" w:hAnsi="FangSong" w:eastAsia="FangSong" w:cs="FangSong"/>
          <w:sz w:val="30"/>
          <w:szCs w:val="30"/>
          <w:spacing w:val="-33"/>
        </w:rPr>
        <w:t xml:space="preserve"> </w:t>
      </w:r>
      <w:r>
        <w:rPr>
          <w:rFonts w:ascii="FangSong" w:hAnsi="FangSong" w:eastAsia="FangSong" w:cs="FangSong"/>
          <w:sz w:val="30"/>
          <w:szCs w:val="30"/>
          <w:spacing w:val="20"/>
        </w:rPr>
        <w:t>暂</w:t>
      </w:r>
      <w:r>
        <w:rPr>
          <w:rFonts w:ascii="FangSong" w:hAnsi="FangSong" w:eastAsia="FangSong" w:cs="FangSong"/>
          <w:sz w:val="30"/>
          <w:szCs w:val="30"/>
          <w:spacing w:val="-41"/>
        </w:rPr>
        <w:t xml:space="preserve"> </w:t>
      </w:r>
      <w:r>
        <w:rPr>
          <w:rFonts w:ascii="FangSong" w:hAnsi="FangSong" w:eastAsia="FangSong" w:cs="FangSong"/>
          <w:sz w:val="30"/>
          <w:szCs w:val="30"/>
          <w:spacing w:val="20"/>
        </w:rPr>
        <w:t>停</w:t>
      </w:r>
      <w:r>
        <w:rPr>
          <w:rFonts w:ascii="FangSong" w:hAnsi="FangSong" w:eastAsia="FangSong" w:cs="FangSong"/>
          <w:sz w:val="30"/>
          <w:szCs w:val="30"/>
          <w:spacing w:val="-48"/>
        </w:rPr>
        <w:t xml:space="preserve"> </w:t>
      </w:r>
      <w:r>
        <w:rPr>
          <w:rFonts w:ascii="FangSong" w:hAnsi="FangSong" w:eastAsia="FangSong" w:cs="FangSong"/>
          <w:sz w:val="30"/>
          <w:szCs w:val="30"/>
          <w:spacing w:val="20"/>
        </w:rPr>
        <w:t>3</w:t>
      </w:r>
      <w:r>
        <w:rPr>
          <w:rFonts w:ascii="FangSong" w:hAnsi="FangSong" w:eastAsia="FangSong" w:cs="FangSong"/>
          <w:sz w:val="30"/>
          <w:szCs w:val="30"/>
          <w:spacing w:val="-20"/>
        </w:rPr>
        <w:t xml:space="preserve"> </w:t>
      </w:r>
      <w:r>
        <w:rPr>
          <w:rFonts w:ascii="FangSong" w:hAnsi="FangSong" w:eastAsia="FangSong" w:cs="FangSong"/>
          <w:sz w:val="30"/>
          <w:szCs w:val="30"/>
          <w:spacing w:val="20"/>
        </w:rPr>
        <w:t>个月以上6个月以下执业活动；情节严重的，由原发证部门暂扣乡村医生执业证书：</w:t>
      </w:r>
    </w:p>
    <w:p>
      <w:pPr>
        <w:ind w:left="894"/>
        <w:spacing w:line="221" w:lineRule="auto"/>
        <w:rPr>
          <w:rFonts w:ascii="FangSong" w:hAnsi="FangSong" w:eastAsia="FangSong" w:cs="FangSong"/>
          <w:sz w:val="30"/>
          <w:szCs w:val="30"/>
        </w:rPr>
      </w:pPr>
      <w:r>
        <w:rPr>
          <w:rFonts w:ascii="FangSong" w:hAnsi="FangSong" w:eastAsia="FangSong" w:cs="FangSong"/>
          <w:sz w:val="30"/>
          <w:szCs w:val="30"/>
          <w:spacing w:val="23"/>
        </w:rPr>
        <w:t>(二)违反规定使用乡村医生基本用药目录以外的处方药品的；</w:t>
      </w:r>
    </w:p>
    <w:p>
      <w:pPr>
        <w:ind w:left="6539"/>
        <w:spacing w:before="79"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41" w:lineRule="auto"/>
        <w:rPr>
          <w:rFonts w:ascii="Arial"/>
          <w:sz w:val="2"/>
        </w:rPr>
      </w:pPr>
      <w:r>
        <w:rPr>
          <w:rFonts w:ascii="Arial"/>
          <w:sz w:val="2"/>
        </w:r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8304"/>
        <w:gridCol w:w="4412"/>
      </w:tblGrid>
      <w:tr>
        <w:trPr>
          <w:trHeight w:val="413" w:hRule="atLeast"/>
        </w:trPr>
        <w:tc>
          <w:tcPr>
            <w:tcW w:w="1444" w:type="dxa"/>
            <w:vAlign w:val="top"/>
          </w:tcPr>
          <w:p>
            <w:pPr>
              <w:pStyle w:val="TableText"/>
              <w:ind w:left="238"/>
              <w:spacing w:before="92" w:line="220" w:lineRule="auto"/>
              <w:rPr/>
            </w:pPr>
            <w:r>
              <w:rPr>
                <w:b/>
                <w:bCs/>
                <w:spacing w:val="-5"/>
              </w:rPr>
              <w:t>违法程度</w:t>
            </w:r>
          </w:p>
        </w:tc>
        <w:tc>
          <w:tcPr>
            <w:tcW w:w="8304" w:type="dxa"/>
            <w:vAlign w:val="top"/>
          </w:tcPr>
          <w:p>
            <w:pPr>
              <w:pStyle w:val="TableText"/>
              <w:ind w:left="3584"/>
              <w:spacing w:before="92" w:line="220" w:lineRule="auto"/>
              <w:rPr/>
            </w:pPr>
            <w:r>
              <w:rPr>
                <w:b/>
                <w:bCs/>
                <w:spacing w:val="-5"/>
              </w:rPr>
              <w:t>违法后果</w:t>
            </w:r>
          </w:p>
        </w:tc>
        <w:tc>
          <w:tcPr>
            <w:tcW w:w="4412" w:type="dxa"/>
            <w:vAlign w:val="top"/>
          </w:tcPr>
          <w:p>
            <w:pPr>
              <w:pStyle w:val="TableText"/>
              <w:ind w:left="1640"/>
              <w:spacing w:before="8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448" w:hRule="atLeast"/>
        </w:trPr>
        <w:tc>
          <w:tcPr>
            <w:tcW w:w="1444" w:type="dxa"/>
            <w:vAlign w:val="top"/>
          </w:tcPr>
          <w:p>
            <w:pPr>
              <w:pStyle w:val="TableText"/>
              <w:ind w:left="478"/>
              <w:spacing w:before="159" w:line="214" w:lineRule="auto"/>
              <w:rPr/>
            </w:pPr>
            <w:r>
              <w:rPr>
                <w:b/>
                <w:bCs/>
                <w:spacing w:val="-10"/>
              </w:rPr>
              <w:t>一般</w:t>
            </w:r>
          </w:p>
        </w:tc>
        <w:tc>
          <w:tcPr>
            <w:tcW w:w="8304" w:type="dxa"/>
            <w:vAlign w:val="top"/>
          </w:tcPr>
          <w:p>
            <w:pPr>
              <w:pStyle w:val="TableText"/>
              <w:ind w:left="110"/>
              <w:spacing w:before="161" w:line="213" w:lineRule="auto"/>
              <w:rPr/>
            </w:pPr>
            <w:r>
              <w:rPr/>
              <w:t>违反规定使用乡村医生基本用药目录以外的处方药品的</w:t>
            </w:r>
          </w:p>
        </w:tc>
        <w:tc>
          <w:tcPr>
            <w:tcW w:w="4412" w:type="dxa"/>
            <w:vAlign w:val="top"/>
          </w:tcPr>
          <w:p>
            <w:pPr>
              <w:pStyle w:val="TableText"/>
              <w:ind w:left="116"/>
              <w:spacing w:before="159" w:line="214" w:lineRule="auto"/>
              <w:rPr/>
            </w:pPr>
            <w:r>
              <w:rPr>
                <w:spacing w:val="1"/>
              </w:rPr>
              <w:t>责令限期改正，给予警告</w:t>
            </w:r>
          </w:p>
        </w:tc>
      </w:tr>
      <w:tr>
        <w:trPr>
          <w:trHeight w:val="865" w:hRule="atLeast"/>
        </w:trPr>
        <w:tc>
          <w:tcPr>
            <w:tcW w:w="1444" w:type="dxa"/>
            <w:vAlign w:val="top"/>
          </w:tcPr>
          <w:p>
            <w:pPr>
              <w:spacing w:line="293" w:lineRule="auto"/>
              <w:rPr>
                <w:rFonts w:ascii="Arial"/>
                <w:sz w:val="21"/>
              </w:rPr>
            </w:pPr>
            <w:r/>
          </w:p>
          <w:p>
            <w:pPr>
              <w:pStyle w:val="TableText"/>
              <w:ind w:left="478"/>
              <w:spacing w:before="78" w:line="221" w:lineRule="auto"/>
              <w:rPr/>
            </w:pPr>
            <w:r>
              <w:rPr>
                <w:b/>
                <w:bCs/>
                <w:spacing w:val="-5"/>
              </w:rPr>
              <w:t>较重</w:t>
            </w:r>
          </w:p>
        </w:tc>
        <w:tc>
          <w:tcPr>
            <w:tcW w:w="8304" w:type="dxa"/>
            <w:vAlign w:val="top"/>
          </w:tcPr>
          <w:p>
            <w:pPr>
              <w:spacing w:line="242" w:lineRule="auto"/>
              <w:rPr>
                <w:rFonts w:ascii="Arial"/>
                <w:sz w:val="21"/>
              </w:rPr>
            </w:pPr>
            <w:r/>
          </w:p>
          <w:p>
            <w:pPr>
              <w:pStyle w:val="TableText"/>
              <w:ind w:left="110"/>
              <w:spacing w:before="78" w:line="219" w:lineRule="auto"/>
              <w:rPr/>
            </w:pPr>
            <w:r>
              <w:rPr/>
              <w:t>违反规定使用乡村医生基本用药目录以外的处方药品，逾期不改正的</w:t>
            </w:r>
          </w:p>
        </w:tc>
        <w:tc>
          <w:tcPr>
            <w:tcW w:w="4412" w:type="dxa"/>
            <w:vAlign w:val="top"/>
          </w:tcPr>
          <w:p>
            <w:pPr>
              <w:pStyle w:val="TableText"/>
              <w:ind w:left="116" w:right="666" w:firstLine="10"/>
              <w:spacing w:before="163" w:line="266" w:lineRule="auto"/>
              <w:rPr/>
            </w:pPr>
            <w:r>
              <w:rPr/>
              <w:t>责令暂停3个月以上6个月以下执业</w:t>
            </w:r>
            <w:r>
              <w:rPr>
                <w:spacing w:val="7"/>
              </w:rPr>
              <w:t xml:space="preserve"> </w:t>
            </w:r>
            <w:r>
              <w:rPr>
                <w:spacing w:val="8"/>
              </w:rPr>
              <w:t>活动</w:t>
            </w:r>
          </w:p>
        </w:tc>
      </w:tr>
      <w:tr>
        <w:trPr>
          <w:trHeight w:val="453" w:hRule="atLeast"/>
        </w:trPr>
        <w:tc>
          <w:tcPr>
            <w:tcW w:w="1444" w:type="dxa"/>
            <w:vAlign w:val="top"/>
          </w:tcPr>
          <w:p>
            <w:pPr>
              <w:pStyle w:val="TableText"/>
              <w:ind w:left="478"/>
              <w:spacing w:before="176" w:line="205" w:lineRule="auto"/>
              <w:rPr/>
            </w:pPr>
            <w:r>
              <w:rPr>
                <w:b/>
                <w:bCs/>
                <w:spacing w:val="-6"/>
              </w:rPr>
              <w:t>严重</w:t>
            </w:r>
          </w:p>
        </w:tc>
        <w:tc>
          <w:tcPr>
            <w:tcW w:w="8304" w:type="dxa"/>
            <w:vAlign w:val="top"/>
          </w:tcPr>
          <w:p>
            <w:pPr>
              <w:pStyle w:val="TableText"/>
              <w:ind w:left="110"/>
              <w:spacing w:before="177" w:line="204" w:lineRule="auto"/>
              <w:rPr/>
            </w:pPr>
            <w:r>
              <w:rPr/>
              <w:t>违反规定使用乡村医生基本用药目录以外的处方药品，情节严重的</w:t>
            </w:r>
          </w:p>
        </w:tc>
        <w:tc>
          <w:tcPr>
            <w:tcW w:w="4412" w:type="dxa"/>
            <w:vAlign w:val="top"/>
          </w:tcPr>
          <w:p>
            <w:pPr>
              <w:pStyle w:val="TableText"/>
              <w:ind w:left="116"/>
              <w:spacing w:before="197" w:line="189" w:lineRule="auto"/>
              <w:rPr/>
            </w:pPr>
            <w:r>
              <w:rPr/>
              <w:t>由原发证部门暂扣乡村医生执业证书</w:t>
            </w:r>
          </w:p>
        </w:tc>
      </w:tr>
    </w:tbl>
    <w:p>
      <w:pPr>
        <w:pStyle w:val="BodyText"/>
        <w:spacing w:line="278" w:lineRule="auto"/>
        <w:rPr/>
      </w:pPr>
      <w:r/>
    </w:p>
    <w:p>
      <w:pPr>
        <w:pStyle w:val="BodyText"/>
        <w:spacing w:line="278" w:lineRule="auto"/>
        <w:rPr/>
      </w:pPr>
      <w:r/>
    </w:p>
    <w:p>
      <w:pPr>
        <w:pStyle w:val="BodyText"/>
        <w:spacing w:line="279" w:lineRule="auto"/>
        <w:rPr/>
      </w:pPr>
      <w:r/>
    </w:p>
    <w:p>
      <w:pPr>
        <w:ind w:left="6465"/>
        <w:spacing w:before="104" w:line="188"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—288—</w:t>
      </w:r>
    </w:p>
    <w:p>
      <w:pPr>
        <w:spacing w:line="188" w:lineRule="auto"/>
        <w:sectPr>
          <w:footerReference w:type="default" r:id="rId24"/>
          <w:pgSz w:w="16830" w:h="11900"/>
          <w:pgMar w:top="1011" w:right="1344" w:bottom="400" w:left="1314" w:header="0" w:footer="0" w:gutter="0"/>
        </w:sectPr>
        <w:rPr>
          <w:rFonts w:ascii="Times New Roman" w:hAnsi="Times New Roman" w:eastAsia="Times New Roman" w:cs="Times New Roman"/>
          <w:sz w:val="36"/>
          <w:szCs w:val="36"/>
        </w:rPr>
      </w:pP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759"/>
        <w:spacing w:before="97" w:line="220" w:lineRule="auto"/>
        <w:rPr>
          <w:rFonts w:ascii="KaiTi" w:hAnsi="KaiTi" w:eastAsia="KaiTi" w:cs="KaiTi"/>
          <w:sz w:val="30"/>
          <w:szCs w:val="30"/>
        </w:rPr>
      </w:pPr>
      <w:bookmarkStart w:name="bookmark923" w:id="290"/>
      <w:bookmarkEnd w:id="290"/>
      <w:r>
        <w:rPr>
          <w:rFonts w:ascii="KaiTi" w:hAnsi="KaiTi" w:eastAsia="KaiTi" w:cs="KaiTi"/>
          <w:sz w:val="30"/>
          <w:szCs w:val="30"/>
          <w:b/>
          <w:bCs/>
          <w:spacing w:val="21"/>
        </w:rPr>
        <w:t>第二百零四条乡村医生违反规定出具医学证明，或者伪造卫生统计资料的</w:t>
      </w:r>
    </w:p>
    <w:p>
      <w:pPr>
        <w:ind w:left="924"/>
        <w:spacing w:before="96" w:line="222" w:lineRule="auto"/>
        <w:rPr>
          <w:rFonts w:ascii="FangSong" w:hAnsi="FangSong" w:eastAsia="FangSong" w:cs="FangSong"/>
          <w:sz w:val="30"/>
          <w:szCs w:val="30"/>
        </w:rPr>
      </w:pPr>
      <w:r>
        <w:rPr>
          <w:rFonts w:ascii="FangSong" w:hAnsi="FangSong" w:eastAsia="FangSong" w:cs="FangSong"/>
          <w:sz w:val="30"/>
          <w:szCs w:val="30"/>
        </w:rPr>
        <w:t>法律依据：</w:t>
      </w:r>
    </w:p>
    <w:p>
      <w:pPr>
        <w:ind w:left="115" w:right="45" w:firstLine="619"/>
        <w:spacing w:before="64" w:line="271" w:lineRule="auto"/>
        <w:jc w:val="both"/>
        <w:rPr>
          <w:rFonts w:ascii="FangSong" w:hAnsi="FangSong" w:eastAsia="FangSong" w:cs="FangSong"/>
          <w:sz w:val="30"/>
          <w:szCs w:val="30"/>
        </w:rPr>
      </w:pPr>
      <w:r>
        <w:rPr>
          <w:rFonts w:ascii="FangSong" w:hAnsi="FangSong" w:eastAsia="FangSong" w:cs="FangSong"/>
          <w:sz w:val="30"/>
          <w:szCs w:val="30"/>
          <w:spacing w:val="24"/>
        </w:rPr>
        <w:t>《乡村医生从业管理条例》第三十八条第(三)项</w:t>
      </w:r>
      <w:r>
        <w:rPr>
          <w:rFonts w:ascii="FangSong" w:hAnsi="FangSong" w:eastAsia="FangSong" w:cs="FangSong"/>
          <w:sz w:val="30"/>
          <w:szCs w:val="30"/>
          <w:spacing w:val="64"/>
        </w:rPr>
        <w:t xml:space="preserve">  </w:t>
      </w:r>
      <w:r>
        <w:rPr>
          <w:rFonts w:ascii="FangSong" w:hAnsi="FangSong" w:eastAsia="FangSong" w:cs="FangSong"/>
          <w:sz w:val="30"/>
          <w:szCs w:val="30"/>
          <w:spacing w:val="24"/>
        </w:rPr>
        <w:t>乡村医生</w:t>
      </w:r>
      <w:r>
        <w:rPr>
          <w:rFonts w:ascii="FangSong" w:hAnsi="FangSong" w:eastAsia="FangSong" w:cs="FangSong"/>
          <w:sz w:val="30"/>
          <w:szCs w:val="30"/>
          <w:spacing w:val="23"/>
        </w:rPr>
        <w:t>在执业活动中，违反本条例规定，</w:t>
      </w:r>
      <w:r>
        <w:rPr>
          <w:rFonts w:ascii="FangSong" w:hAnsi="FangSong" w:eastAsia="FangSong" w:cs="FangSong"/>
          <w:sz w:val="30"/>
          <w:szCs w:val="30"/>
          <w:spacing w:val="1"/>
        </w:rPr>
        <w:t xml:space="preserve"> </w:t>
      </w:r>
      <w:r>
        <w:rPr>
          <w:rFonts w:ascii="FangSong" w:hAnsi="FangSong" w:eastAsia="FangSong" w:cs="FangSong"/>
          <w:sz w:val="30"/>
          <w:szCs w:val="30"/>
          <w:spacing w:val="16"/>
        </w:rPr>
        <w:t>有下列行为之一的，由县级人民政府卫生行政主管部门责令限期改正，给予警告；</w:t>
      </w:r>
      <w:r>
        <w:rPr>
          <w:rFonts w:ascii="FangSong" w:hAnsi="FangSong" w:eastAsia="FangSong" w:cs="FangSong"/>
          <w:sz w:val="30"/>
          <w:szCs w:val="30"/>
          <w:spacing w:val="15"/>
        </w:rPr>
        <w:t>逾期不改正的，责</w:t>
      </w:r>
      <w:r>
        <w:rPr>
          <w:rFonts w:ascii="FangSong" w:hAnsi="FangSong" w:eastAsia="FangSong" w:cs="FangSong"/>
          <w:sz w:val="30"/>
          <w:szCs w:val="30"/>
        </w:rPr>
        <w:t xml:space="preserve"> </w:t>
      </w:r>
      <w:r>
        <w:rPr>
          <w:rFonts w:ascii="FangSong" w:hAnsi="FangSong" w:eastAsia="FangSong" w:cs="FangSong"/>
          <w:sz w:val="30"/>
          <w:szCs w:val="30"/>
          <w:spacing w:val="25"/>
        </w:rPr>
        <w:t>令暂停3个月以上6个月以下执业活动；情节严重的，由原发证部门暂扣乡村医生执业证书：</w:t>
      </w:r>
    </w:p>
    <w:p>
      <w:pPr>
        <w:ind w:left="885"/>
        <w:spacing w:line="220" w:lineRule="auto"/>
        <w:rPr>
          <w:rFonts w:ascii="FangSong" w:hAnsi="FangSong" w:eastAsia="FangSong" w:cs="FangSong"/>
          <w:sz w:val="30"/>
          <w:szCs w:val="30"/>
        </w:rPr>
      </w:pPr>
      <w:r>
        <w:rPr>
          <w:rFonts w:ascii="FangSong" w:hAnsi="FangSong" w:eastAsia="FangSong" w:cs="FangSong"/>
          <w:sz w:val="30"/>
          <w:szCs w:val="30"/>
          <w:spacing w:val="23"/>
        </w:rPr>
        <w:t>(三)违反规定出具医学证明，或者伪造卫生统计资料的；</w:t>
      </w:r>
    </w:p>
    <w:p>
      <w:pPr>
        <w:pStyle w:val="BodyText"/>
        <w:spacing w:line="407" w:lineRule="auto"/>
        <w:rPr/>
      </w:pPr>
      <w:r/>
    </w:p>
    <w:p>
      <w:pPr>
        <w:ind w:left="6519"/>
        <w:spacing w:before="95"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734"/>
        <w:gridCol w:w="5002"/>
      </w:tblGrid>
      <w:tr>
        <w:trPr>
          <w:trHeight w:val="453" w:hRule="atLeast"/>
        </w:trPr>
        <w:tc>
          <w:tcPr>
            <w:tcW w:w="1434" w:type="dxa"/>
            <w:vAlign w:val="top"/>
          </w:tcPr>
          <w:p>
            <w:pPr>
              <w:pStyle w:val="TableText"/>
              <w:ind w:left="208"/>
              <w:spacing w:before="102" w:line="220" w:lineRule="auto"/>
              <w:rPr>
                <w:sz w:val="25"/>
                <w:szCs w:val="25"/>
              </w:rPr>
            </w:pPr>
            <w:r>
              <w:rPr>
                <w:sz w:val="25"/>
                <w:szCs w:val="25"/>
                <w:b/>
                <w:bCs/>
                <w:spacing w:val="-5"/>
              </w:rPr>
              <w:t>违法程度</w:t>
            </w:r>
          </w:p>
        </w:tc>
        <w:tc>
          <w:tcPr>
            <w:tcW w:w="7734" w:type="dxa"/>
            <w:vAlign w:val="top"/>
          </w:tcPr>
          <w:p>
            <w:pPr>
              <w:pStyle w:val="TableText"/>
              <w:ind w:left="3304"/>
              <w:spacing w:before="102" w:line="220" w:lineRule="auto"/>
              <w:rPr>
                <w:sz w:val="25"/>
                <w:szCs w:val="25"/>
              </w:rPr>
            </w:pPr>
            <w:r>
              <w:rPr>
                <w:sz w:val="25"/>
                <w:szCs w:val="25"/>
                <w:b/>
                <w:bCs/>
                <w:spacing w:val="-5"/>
              </w:rPr>
              <w:t>违法后果</w:t>
            </w:r>
          </w:p>
        </w:tc>
        <w:tc>
          <w:tcPr>
            <w:tcW w:w="5002" w:type="dxa"/>
            <w:vAlign w:val="top"/>
          </w:tcPr>
          <w:p>
            <w:pPr>
              <w:pStyle w:val="TableText"/>
              <w:ind w:left="1940"/>
              <w:spacing w:before="99" w:line="218" w:lineRule="auto"/>
              <w:rPr>
                <w:sz w:val="25"/>
                <w:szCs w:val="25"/>
              </w:rPr>
            </w:pPr>
            <w:r>
              <w:rPr>
                <w:sz w:val="25"/>
                <w:szCs w:val="25"/>
                <w:b/>
                <w:bCs/>
                <w:spacing w:val="-5"/>
              </w:rPr>
              <w:t>裁量幅度</w:t>
            </w:r>
          </w:p>
        </w:tc>
      </w:tr>
      <w:tr>
        <w:trPr>
          <w:trHeight w:val="418" w:hRule="atLeast"/>
        </w:trPr>
        <w:tc>
          <w:tcPr>
            <w:tcW w:w="1434" w:type="dxa"/>
            <w:vAlign w:val="top"/>
          </w:tcPr>
          <w:p>
            <w:pPr>
              <w:pStyle w:val="TableText"/>
              <w:ind w:left="458"/>
              <w:spacing w:before="90" w:line="221" w:lineRule="auto"/>
              <w:rPr>
                <w:sz w:val="25"/>
                <w:szCs w:val="25"/>
              </w:rPr>
            </w:pPr>
            <w:r>
              <w:rPr>
                <w:sz w:val="25"/>
                <w:szCs w:val="25"/>
                <w:b/>
                <w:bCs/>
                <w:spacing w:val="-10"/>
              </w:rPr>
              <w:t>一般</w:t>
            </w:r>
          </w:p>
        </w:tc>
        <w:tc>
          <w:tcPr>
            <w:tcW w:w="7734" w:type="dxa"/>
            <w:vAlign w:val="top"/>
          </w:tcPr>
          <w:p>
            <w:pPr>
              <w:pStyle w:val="TableText"/>
              <w:ind w:left="111"/>
              <w:spacing w:before="142" w:line="196" w:lineRule="auto"/>
              <w:rPr>
                <w:sz w:val="25"/>
                <w:szCs w:val="25"/>
              </w:rPr>
            </w:pPr>
            <w:r>
              <w:rPr>
                <w:sz w:val="25"/>
                <w:szCs w:val="25"/>
              </w:rPr>
              <w:t>违反规定出具医学证明，或者伪造卫生统计资料的</w:t>
            </w:r>
          </w:p>
        </w:tc>
        <w:tc>
          <w:tcPr>
            <w:tcW w:w="5002" w:type="dxa"/>
            <w:vAlign w:val="top"/>
          </w:tcPr>
          <w:p>
            <w:pPr>
              <w:pStyle w:val="TableText"/>
              <w:ind w:left="126"/>
              <w:spacing w:before="139" w:line="198" w:lineRule="auto"/>
              <w:rPr>
                <w:sz w:val="25"/>
                <w:szCs w:val="25"/>
              </w:rPr>
            </w:pPr>
            <w:r>
              <w:rPr>
                <w:sz w:val="25"/>
                <w:szCs w:val="25"/>
                <w:spacing w:val="1"/>
              </w:rPr>
              <w:t>责令限期改正，给予警告</w:t>
            </w:r>
          </w:p>
        </w:tc>
      </w:tr>
      <w:tr>
        <w:trPr>
          <w:trHeight w:val="876" w:hRule="atLeast"/>
        </w:trPr>
        <w:tc>
          <w:tcPr>
            <w:tcW w:w="1434" w:type="dxa"/>
            <w:vAlign w:val="top"/>
          </w:tcPr>
          <w:p>
            <w:pPr>
              <w:spacing w:line="241" w:lineRule="auto"/>
              <w:rPr>
                <w:rFonts w:ascii="Arial"/>
                <w:sz w:val="21"/>
              </w:rPr>
            </w:pPr>
            <w:r/>
          </w:p>
          <w:p>
            <w:pPr>
              <w:pStyle w:val="TableText"/>
              <w:ind w:left="458"/>
              <w:spacing w:before="81" w:line="221" w:lineRule="auto"/>
              <w:rPr>
                <w:sz w:val="25"/>
                <w:szCs w:val="25"/>
              </w:rPr>
            </w:pPr>
            <w:r>
              <w:rPr>
                <w:sz w:val="25"/>
                <w:szCs w:val="25"/>
                <w:b/>
                <w:bCs/>
                <w:spacing w:val="-6"/>
              </w:rPr>
              <w:t>较重</w:t>
            </w:r>
          </w:p>
        </w:tc>
        <w:tc>
          <w:tcPr>
            <w:tcW w:w="7734" w:type="dxa"/>
            <w:vAlign w:val="top"/>
          </w:tcPr>
          <w:p>
            <w:pPr>
              <w:pStyle w:val="TableText"/>
              <w:ind w:left="111"/>
              <w:spacing w:before="164" w:line="259" w:lineRule="auto"/>
              <w:rPr>
                <w:sz w:val="25"/>
                <w:szCs w:val="25"/>
              </w:rPr>
            </w:pPr>
            <w:r>
              <w:rPr>
                <w:sz w:val="25"/>
                <w:szCs w:val="25"/>
                <w:spacing w:val="-5"/>
              </w:rPr>
              <w:t>违反规定出具医学证明，或者伪造卫生统计资料，经责令限期改正，逾</w:t>
            </w:r>
            <w:r>
              <w:rPr>
                <w:sz w:val="25"/>
                <w:szCs w:val="25"/>
                <w:spacing w:val="16"/>
              </w:rPr>
              <w:t xml:space="preserve"> </w:t>
            </w:r>
            <w:r>
              <w:rPr>
                <w:sz w:val="25"/>
                <w:szCs w:val="25"/>
                <w:spacing w:val="3"/>
              </w:rPr>
              <w:t>期不改正的</w:t>
            </w:r>
          </w:p>
        </w:tc>
        <w:tc>
          <w:tcPr>
            <w:tcW w:w="5002" w:type="dxa"/>
            <w:vAlign w:val="top"/>
          </w:tcPr>
          <w:p>
            <w:pPr>
              <w:spacing w:line="299" w:lineRule="auto"/>
              <w:rPr>
                <w:rFonts w:ascii="Arial"/>
                <w:sz w:val="21"/>
              </w:rPr>
            </w:pPr>
            <w:r/>
          </w:p>
          <w:p>
            <w:pPr>
              <w:pStyle w:val="TableText"/>
              <w:ind w:left="126"/>
              <w:spacing w:before="81" w:line="219" w:lineRule="auto"/>
              <w:rPr>
                <w:sz w:val="25"/>
                <w:szCs w:val="25"/>
              </w:rPr>
            </w:pPr>
            <w:r>
              <w:rPr>
                <w:sz w:val="25"/>
                <w:szCs w:val="25"/>
              </w:rPr>
              <w:t>责令暂停3个月以上6个月以下执业活动</w:t>
            </w:r>
          </w:p>
        </w:tc>
      </w:tr>
      <w:tr>
        <w:trPr>
          <w:trHeight w:val="453" w:hRule="atLeast"/>
        </w:trPr>
        <w:tc>
          <w:tcPr>
            <w:tcW w:w="1434" w:type="dxa"/>
            <w:vAlign w:val="top"/>
          </w:tcPr>
          <w:p>
            <w:pPr>
              <w:pStyle w:val="TableText"/>
              <w:ind w:left="458"/>
              <w:spacing w:before="174" w:line="198" w:lineRule="auto"/>
              <w:rPr>
                <w:sz w:val="25"/>
                <w:szCs w:val="25"/>
              </w:rPr>
            </w:pPr>
            <w:r>
              <w:rPr>
                <w:sz w:val="25"/>
                <w:szCs w:val="25"/>
                <w:b/>
                <w:bCs/>
                <w:spacing w:val="-6"/>
              </w:rPr>
              <w:t>严重</w:t>
            </w:r>
          </w:p>
        </w:tc>
        <w:tc>
          <w:tcPr>
            <w:tcW w:w="7734" w:type="dxa"/>
            <w:vAlign w:val="top"/>
          </w:tcPr>
          <w:p>
            <w:pPr>
              <w:pStyle w:val="TableText"/>
              <w:ind w:left="111"/>
              <w:spacing w:before="177" w:line="196" w:lineRule="auto"/>
              <w:rPr>
                <w:sz w:val="25"/>
                <w:szCs w:val="25"/>
              </w:rPr>
            </w:pPr>
            <w:r>
              <w:rPr>
                <w:sz w:val="25"/>
                <w:szCs w:val="25"/>
              </w:rPr>
              <w:t>违反规定出具医学证明，或者伪造卫生统计资料，情节严重的</w:t>
            </w:r>
          </w:p>
        </w:tc>
        <w:tc>
          <w:tcPr>
            <w:tcW w:w="5002" w:type="dxa"/>
            <w:vAlign w:val="top"/>
          </w:tcPr>
          <w:p>
            <w:pPr>
              <w:pStyle w:val="TableText"/>
              <w:ind w:left="126"/>
              <w:spacing w:before="166" w:line="204" w:lineRule="auto"/>
              <w:rPr>
                <w:sz w:val="25"/>
                <w:szCs w:val="25"/>
              </w:rPr>
            </w:pPr>
            <w:r>
              <w:rPr>
                <w:sz w:val="25"/>
                <w:szCs w:val="25"/>
                <w:spacing w:val="1"/>
              </w:rPr>
              <w:t>由原发证部门暂扣乡村医生执业证书</w:t>
            </w:r>
          </w:p>
        </w:tc>
      </w:tr>
    </w:tbl>
    <w:p>
      <w:pPr>
        <w:pStyle w:val="BodyText"/>
        <w:spacing w:line="243" w:lineRule="auto"/>
        <w:rPr/>
      </w:pPr>
      <w:r/>
    </w:p>
    <w:p>
      <w:pPr>
        <w:pStyle w:val="BodyText"/>
        <w:spacing w:line="243" w:lineRule="auto"/>
        <w:rPr/>
      </w:pPr>
      <w:r/>
    </w:p>
    <w:p>
      <w:pPr>
        <w:ind w:left="759"/>
        <w:spacing w:before="99" w:line="220" w:lineRule="auto"/>
        <w:rPr>
          <w:rFonts w:ascii="FangSong" w:hAnsi="FangSong" w:eastAsia="FangSong" w:cs="FangSong"/>
          <w:sz w:val="30"/>
          <w:szCs w:val="30"/>
        </w:rPr>
      </w:pPr>
      <w:r>
        <w:rPr>
          <w:rFonts w:ascii="FangSong" w:hAnsi="FangSong" w:eastAsia="FangSong" w:cs="FangSong"/>
          <w:sz w:val="30"/>
          <w:szCs w:val="30"/>
          <w:b/>
          <w:bCs/>
          <w:spacing w:val="23"/>
        </w:rPr>
        <w:t>第二百零五条发现传染病疫情、中毒事件不按规</w:t>
      </w:r>
      <w:r>
        <w:rPr>
          <w:rFonts w:ascii="FangSong" w:hAnsi="FangSong" w:eastAsia="FangSong" w:cs="FangSong"/>
          <w:sz w:val="30"/>
          <w:szCs w:val="30"/>
          <w:b/>
          <w:bCs/>
          <w:spacing w:val="22"/>
        </w:rPr>
        <w:t>定报告的</w:t>
      </w:r>
    </w:p>
    <w:p>
      <w:pPr>
        <w:ind w:left="754"/>
        <w:spacing w:before="4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735"/>
        <w:spacing w:before="105" w:line="219" w:lineRule="auto"/>
        <w:rPr>
          <w:rFonts w:ascii="FangSong" w:hAnsi="FangSong" w:eastAsia="FangSong" w:cs="FangSong"/>
          <w:sz w:val="30"/>
          <w:szCs w:val="30"/>
        </w:rPr>
      </w:pPr>
      <w:r>
        <w:rPr>
          <w:rFonts w:ascii="FangSong" w:hAnsi="FangSong" w:eastAsia="FangSong" w:cs="FangSong"/>
          <w:sz w:val="30"/>
          <w:szCs w:val="30"/>
          <w:spacing w:val="25"/>
        </w:rPr>
        <w:t>《乡村医生从业管理条例》第三十八条第(四)项</w:t>
      </w:r>
      <w:r>
        <w:rPr>
          <w:rFonts w:ascii="FangSong" w:hAnsi="FangSong" w:eastAsia="FangSong" w:cs="FangSong"/>
          <w:sz w:val="30"/>
          <w:szCs w:val="30"/>
          <w:spacing w:val="25"/>
        </w:rPr>
        <w:t xml:space="preserve">  </w:t>
      </w:r>
      <w:r>
        <w:rPr>
          <w:rFonts w:ascii="FangSong" w:hAnsi="FangSong" w:eastAsia="FangSong" w:cs="FangSong"/>
          <w:sz w:val="30"/>
          <w:szCs w:val="30"/>
          <w:spacing w:val="25"/>
        </w:rPr>
        <w:t>乡村医生在执业活动中，违反本条例规定，</w:t>
      </w:r>
    </w:p>
    <w:p>
      <w:pPr>
        <w:spacing w:line="219" w:lineRule="auto"/>
        <w:sectPr>
          <w:footerReference w:type="default" r:id="rId268"/>
          <w:pgSz w:w="16830" w:h="11900"/>
          <w:pgMar w:top="1011" w:right="1314" w:bottom="1118" w:left="1335" w:header="0" w:footer="785" w:gutter="0"/>
        </w:sectPr>
        <w:rPr>
          <w:rFonts w:ascii="FangSong" w:hAnsi="FangSong" w:eastAsia="FangSong" w:cs="FangSong"/>
          <w:sz w:val="30"/>
          <w:szCs w:val="30"/>
        </w:rPr>
      </w:pPr>
    </w:p>
    <w:p>
      <w:pPr>
        <w:pStyle w:val="BodyText"/>
        <w:spacing w:line="260" w:lineRule="auto"/>
        <w:rPr/>
      </w:pPr>
      <w:r/>
    </w:p>
    <w:p>
      <w:pPr>
        <w:pStyle w:val="BodyText"/>
        <w:spacing w:line="261" w:lineRule="auto"/>
        <w:rPr/>
      </w:pPr>
      <w:r/>
    </w:p>
    <w:p>
      <w:pPr>
        <w:pStyle w:val="BodyText"/>
        <w:spacing w:line="261" w:lineRule="auto"/>
        <w:rPr/>
      </w:pPr>
      <w:r/>
    </w:p>
    <w:p>
      <w:pPr>
        <w:ind w:left="115" w:right="107"/>
        <w:spacing w:before="97" w:line="272" w:lineRule="auto"/>
        <w:rPr>
          <w:rFonts w:ascii="FangSong" w:hAnsi="FangSong" w:eastAsia="FangSong" w:cs="FangSong"/>
          <w:sz w:val="30"/>
          <w:szCs w:val="30"/>
        </w:rPr>
      </w:pPr>
      <w:bookmarkStart w:name="bookmark924" w:id="291"/>
      <w:bookmarkEnd w:id="291"/>
      <w:r>
        <w:rPr>
          <w:rFonts w:ascii="FangSong" w:hAnsi="FangSong" w:eastAsia="FangSong" w:cs="FangSong"/>
          <w:sz w:val="30"/>
          <w:szCs w:val="30"/>
          <w:spacing w:val="17"/>
        </w:rPr>
        <w:t>有下列行为之一的，由县级人民政府卫生行政主管部门责令限期改正，给予警告；逾期不改正的</w:t>
      </w:r>
      <w:r>
        <w:rPr>
          <w:rFonts w:ascii="FangSong" w:hAnsi="FangSong" w:eastAsia="FangSong" w:cs="FangSong"/>
          <w:sz w:val="30"/>
          <w:szCs w:val="30"/>
          <w:spacing w:val="16"/>
        </w:rPr>
        <w:t>，责</w:t>
      </w:r>
      <w:r>
        <w:rPr>
          <w:rFonts w:ascii="FangSong" w:hAnsi="FangSong" w:eastAsia="FangSong" w:cs="FangSong"/>
          <w:sz w:val="30"/>
          <w:szCs w:val="30"/>
        </w:rPr>
        <w:t xml:space="preserve"> </w:t>
      </w:r>
      <w:r>
        <w:rPr>
          <w:rFonts w:ascii="FangSong" w:hAnsi="FangSong" w:eastAsia="FangSong" w:cs="FangSong"/>
          <w:sz w:val="30"/>
          <w:szCs w:val="30"/>
          <w:spacing w:val="25"/>
        </w:rPr>
        <w:t>令暂停3个月以上6个月以下执业活动；情节严重的，由原发证部门暂扣乡村医生执业证书：</w:t>
      </w:r>
    </w:p>
    <w:p>
      <w:pPr>
        <w:ind w:left="914"/>
        <w:spacing w:line="222" w:lineRule="auto"/>
        <w:rPr>
          <w:rFonts w:ascii="FangSong" w:hAnsi="FangSong" w:eastAsia="FangSong" w:cs="FangSong"/>
          <w:sz w:val="30"/>
          <w:szCs w:val="30"/>
        </w:rPr>
      </w:pPr>
      <w:r>
        <w:rPr>
          <w:rFonts w:ascii="FangSong" w:hAnsi="FangSong" w:eastAsia="FangSong" w:cs="FangSong"/>
          <w:sz w:val="30"/>
          <w:szCs w:val="30"/>
          <w:spacing w:val="23"/>
        </w:rPr>
        <w:t>(四)发现传染病疫情、中毒事件不按规定报告的。</w:t>
      </w:r>
    </w:p>
    <w:p>
      <w:pPr>
        <w:ind w:left="6539"/>
        <w:spacing w:before="67"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155"/>
        <w:gridCol w:w="5561"/>
      </w:tblGrid>
      <w:tr>
        <w:trPr>
          <w:trHeight w:val="442" w:hRule="atLeast"/>
        </w:trPr>
        <w:tc>
          <w:tcPr>
            <w:tcW w:w="1444" w:type="dxa"/>
            <w:vAlign w:val="top"/>
          </w:tcPr>
          <w:p>
            <w:pPr>
              <w:pStyle w:val="TableText"/>
              <w:ind w:left="218"/>
              <w:spacing w:before="102" w:line="220" w:lineRule="auto"/>
              <w:rPr>
                <w:sz w:val="25"/>
                <w:szCs w:val="25"/>
              </w:rPr>
            </w:pPr>
            <w:r>
              <w:rPr>
                <w:sz w:val="25"/>
                <w:szCs w:val="25"/>
                <w:b/>
                <w:bCs/>
                <w:spacing w:val="-5"/>
              </w:rPr>
              <w:t>违法程度</w:t>
            </w:r>
          </w:p>
        </w:tc>
        <w:tc>
          <w:tcPr>
            <w:tcW w:w="7155" w:type="dxa"/>
            <w:vAlign w:val="top"/>
          </w:tcPr>
          <w:p>
            <w:pPr>
              <w:pStyle w:val="TableText"/>
              <w:ind w:left="3004"/>
              <w:spacing w:before="102" w:line="220" w:lineRule="auto"/>
              <w:rPr>
                <w:sz w:val="25"/>
                <w:szCs w:val="25"/>
              </w:rPr>
            </w:pPr>
            <w:r>
              <w:rPr>
                <w:sz w:val="25"/>
                <w:szCs w:val="25"/>
                <w:b/>
                <w:bCs/>
                <w:spacing w:val="-5"/>
              </w:rPr>
              <w:t>违法后果</w:t>
            </w:r>
          </w:p>
        </w:tc>
        <w:tc>
          <w:tcPr>
            <w:tcW w:w="5561" w:type="dxa"/>
            <w:vAlign w:val="top"/>
          </w:tcPr>
          <w:p>
            <w:pPr>
              <w:pStyle w:val="TableText"/>
              <w:ind w:left="2219"/>
              <w:spacing w:before="99" w:line="218" w:lineRule="auto"/>
              <w:rPr>
                <w:sz w:val="25"/>
                <w:szCs w:val="25"/>
              </w:rPr>
            </w:pPr>
            <w:r>
              <w:rPr>
                <w:sz w:val="25"/>
                <w:szCs w:val="25"/>
                <w:b/>
                <w:bCs/>
                <w:spacing w:val="-5"/>
              </w:rPr>
              <w:t>裁量幅度</w:t>
            </w:r>
          </w:p>
        </w:tc>
      </w:tr>
      <w:tr>
        <w:trPr>
          <w:trHeight w:val="448" w:hRule="atLeast"/>
        </w:trPr>
        <w:tc>
          <w:tcPr>
            <w:tcW w:w="1444" w:type="dxa"/>
            <w:vAlign w:val="top"/>
          </w:tcPr>
          <w:p>
            <w:pPr>
              <w:pStyle w:val="TableText"/>
              <w:ind w:left="468"/>
              <w:spacing w:before="101" w:line="221" w:lineRule="auto"/>
              <w:rPr>
                <w:sz w:val="25"/>
                <w:szCs w:val="25"/>
              </w:rPr>
            </w:pPr>
            <w:r>
              <w:rPr>
                <w:sz w:val="25"/>
                <w:szCs w:val="25"/>
                <w:b/>
                <w:bCs/>
                <w:spacing w:val="-10"/>
              </w:rPr>
              <w:t>一般</w:t>
            </w:r>
          </w:p>
        </w:tc>
        <w:tc>
          <w:tcPr>
            <w:tcW w:w="7155" w:type="dxa"/>
            <w:vAlign w:val="top"/>
          </w:tcPr>
          <w:p>
            <w:pPr>
              <w:pStyle w:val="TableText"/>
              <w:ind w:left="101"/>
              <w:spacing w:before="150" w:line="212" w:lineRule="auto"/>
              <w:rPr>
                <w:sz w:val="25"/>
                <w:szCs w:val="25"/>
              </w:rPr>
            </w:pPr>
            <w:r>
              <w:rPr>
                <w:sz w:val="25"/>
                <w:szCs w:val="25"/>
                <w:spacing w:val="1"/>
              </w:rPr>
              <w:t>发现传染病疫情、中毒事件不按规定报告的</w:t>
            </w:r>
          </w:p>
        </w:tc>
        <w:tc>
          <w:tcPr>
            <w:tcW w:w="5561" w:type="dxa"/>
            <w:vAlign w:val="top"/>
          </w:tcPr>
          <w:p>
            <w:pPr>
              <w:pStyle w:val="TableText"/>
              <w:ind w:left="115"/>
              <w:spacing w:before="150" w:line="212" w:lineRule="auto"/>
              <w:rPr>
                <w:sz w:val="25"/>
                <w:szCs w:val="25"/>
              </w:rPr>
            </w:pPr>
            <w:r>
              <w:rPr>
                <w:sz w:val="25"/>
                <w:szCs w:val="25"/>
                <w:spacing w:val="1"/>
              </w:rPr>
              <w:t>责令限期改正，给予警告</w:t>
            </w:r>
          </w:p>
        </w:tc>
      </w:tr>
      <w:tr>
        <w:trPr>
          <w:trHeight w:val="866" w:hRule="atLeast"/>
        </w:trPr>
        <w:tc>
          <w:tcPr>
            <w:tcW w:w="1444" w:type="dxa"/>
            <w:vAlign w:val="top"/>
          </w:tcPr>
          <w:p>
            <w:pPr>
              <w:pStyle w:val="TableText"/>
              <w:ind w:left="468"/>
              <w:spacing w:before="315" w:line="221" w:lineRule="auto"/>
              <w:rPr>
                <w:sz w:val="25"/>
                <w:szCs w:val="25"/>
              </w:rPr>
            </w:pPr>
            <w:r>
              <w:rPr>
                <w:sz w:val="25"/>
                <w:szCs w:val="25"/>
                <w:b/>
                <w:bCs/>
                <w:spacing w:val="-6"/>
              </w:rPr>
              <w:t>较重</w:t>
            </w:r>
          </w:p>
        </w:tc>
        <w:tc>
          <w:tcPr>
            <w:tcW w:w="7155" w:type="dxa"/>
            <w:vAlign w:val="top"/>
          </w:tcPr>
          <w:p>
            <w:pPr>
              <w:pStyle w:val="TableText"/>
              <w:ind w:left="101"/>
              <w:spacing w:before="132" w:line="267" w:lineRule="auto"/>
              <w:rPr>
                <w:sz w:val="25"/>
                <w:szCs w:val="25"/>
              </w:rPr>
            </w:pPr>
            <w:r>
              <w:rPr>
                <w:sz w:val="25"/>
                <w:szCs w:val="25"/>
                <w:spacing w:val="-7"/>
              </w:rPr>
              <w:t>发现传染病疫情、中毒事件不按规定报告，经责令限期</w:t>
            </w:r>
            <w:r>
              <w:rPr>
                <w:sz w:val="25"/>
                <w:szCs w:val="25"/>
                <w:spacing w:val="-8"/>
              </w:rPr>
              <w:t>改正，逾期</w:t>
            </w:r>
            <w:r>
              <w:rPr>
                <w:sz w:val="25"/>
                <w:szCs w:val="25"/>
              </w:rPr>
              <w:t xml:space="preserve"> </w:t>
            </w:r>
            <w:r>
              <w:rPr>
                <w:sz w:val="25"/>
                <w:szCs w:val="25"/>
                <w:spacing w:val="4"/>
              </w:rPr>
              <w:t>不改正的</w:t>
            </w:r>
          </w:p>
        </w:tc>
        <w:tc>
          <w:tcPr>
            <w:tcW w:w="5561" w:type="dxa"/>
            <w:vAlign w:val="top"/>
          </w:tcPr>
          <w:p>
            <w:pPr>
              <w:pStyle w:val="TableText"/>
              <w:ind w:left="115"/>
              <w:spacing w:before="313" w:line="219" w:lineRule="auto"/>
              <w:rPr>
                <w:sz w:val="25"/>
                <w:szCs w:val="25"/>
              </w:rPr>
            </w:pPr>
            <w:r>
              <w:rPr>
                <w:sz w:val="25"/>
                <w:szCs w:val="25"/>
              </w:rPr>
              <w:t>责令暂停3个月以上6个月以下执业活动</w:t>
            </w:r>
          </w:p>
        </w:tc>
      </w:tr>
      <w:tr>
        <w:trPr>
          <w:trHeight w:val="443" w:hRule="atLeast"/>
        </w:trPr>
        <w:tc>
          <w:tcPr>
            <w:tcW w:w="1444" w:type="dxa"/>
            <w:vAlign w:val="top"/>
          </w:tcPr>
          <w:p>
            <w:pPr>
              <w:pStyle w:val="TableText"/>
              <w:ind w:left="468"/>
              <w:spacing w:before="145" w:line="212" w:lineRule="auto"/>
              <w:rPr>
                <w:sz w:val="25"/>
                <w:szCs w:val="25"/>
              </w:rPr>
            </w:pPr>
            <w:r>
              <w:rPr>
                <w:sz w:val="25"/>
                <w:szCs w:val="25"/>
                <w:b/>
                <w:bCs/>
                <w:spacing w:val="-6"/>
              </w:rPr>
              <w:t>严重</w:t>
            </w:r>
          </w:p>
        </w:tc>
        <w:tc>
          <w:tcPr>
            <w:tcW w:w="7155" w:type="dxa"/>
            <w:vAlign w:val="top"/>
          </w:tcPr>
          <w:p>
            <w:pPr>
              <w:pStyle w:val="TableText"/>
              <w:ind w:left="101"/>
              <w:spacing w:before="147" w:line="211" w:lineRule="auto"/>
              <w:rPr>
                <w:sz w:val="25"/>
                <w:szCs w:val="25"/>
              </w:rPr>
            </w:pPr>
            <w:r>
              <w:rPr>
                <w:sz w:val="25"/>
                <w:szCs w:val="25"/>
              </w:rPr>
              <w:t>发现传染病疫情、中毒事件不按规定报告，情节严重的</w:t>
            </w:r>
          </w:p>
        </w:tc>
        <w:tc>
          <w:tcPr>
            <w:tcW w:w="5561" w:type="dxa"/>
            <w:vAlign w:val="top"/>
          </w:tcPr>
          <w:p>
            <w:pPr>
              <w:pStyle w:val="TableText"/>
              <w:ind w:left="115"/>
              <w:spacing w:before="107" w:line="219" w:lineRule="auto"/>
              <w:rPr>
                <w:sz w:val="25"/>
                <w:szCs w:val="25"/>
              </w:rPr>
            </w:pPr>
            <w:r>
              <w:rPr>
                <w:sz w:val="25"/>
                <w:szCs w:val="25"/>
                <w:spacing w:val="1"/>
              </w:rPr>
              <w:t>由原发证部门暂扣乡村医生执业证书</w:t>
            </w:r>
          </w:p>
        </w:tc>
      </w:tr>
    </w:tbl>
    <w:p>
      <w:pPr>
        <w:pStyle w:val="BodyText"/>
        <w:spacing w:line="447" w:lineRule="auto"/>
        <w:rPr/>
      </w:pPr>
      <w:r/>
    </w:p>
    <w:p>
      <w:pPr>
        <w:ind w:left="799"/>
        <w:spacing w:before="97" w:line="220" w:lineRule="auto"/>
        <w:rPr>
          <w:rFonts w:ascii="FangSong" w:hAnsi="FangSong" w:eastAsia="FangSong" w:cs="FangSong"/>
          <w:sz w:val="30"/>
          <w:szCs w:val="30"/>
        </w:rPr>
      </w:pPr>
      <w:r>
        <w:rPr>
          <w:rFonts w:ascii="FangSong" w:hAnsi="FangSong" w:eastAsia="FangSong" w:cs="FangSong"/>
          <w:sz w:val="30"/>
          <w:szCs w:val="30"/>
          <w:b/>
          <w:bCs/>
          <w:spacing w:val="20"/>
        </w:rPr>
        <w:t>第二百零六条违反规定进行实验性临床医疗活动，或者重复使用一次性医疗器械和卫生材料的</w:t>
      </w:r>
    </w:p>
    <w:p>
      <w:pPr>
        <w:ind w:left="785"/>
        <w:spacing w:before="101" w:line="222" w:lineRule="auto"/>
        <w:rPr>
          <w:rFonts w:ascii="FangSong" w:hAnsi="FangSong" w:eastAsia="FangSong" w:cs="FangSong"/>
          <w:sz w:val="30"/>
          <w:szCs w:val="30"/>
        </w:rPr>
      </w:pPr>
      <w:r>
        <w:rPr>
          <w:rFonts w:ascii="FangSong" w:hAnsi="FangSong" w:eastAsia="FangSong" w:cs="FangSong"/>
          <w:sz w:val="30"/>
          <w:szCs w:val="30"/>
          <w:spacing w:val="29"/>
        </w:rPr>
        <w:t>法律依据：</w:t>
      </w:r>
    </w:p>
    <w:p>
      <w:pPr>
        <w:ind w:left="115" w:right="110" w:firstLine="640"/>
        <w:spacing w:before="63" w:line="267" w:lineRule="auto"/>
        <w:jc w:val="both"/>
        <w:rPr>
          <w:rFonts w:ascii="FangSong" w:hAnsi="FangSong" w:eastAsia="FangSong" w:cs="FangSong"/>
          <w:sz w:val="30"/>
          <w:szCs w:val="30"/>
        </w:rPr>
      </w:pPr>
      <w:r>
        <w:rPr>
          <w:rFonts w:ascii="FangSong" w:hAnsi="FangSong" w:eastAsia="FangSong" w:cs="FangSong"/>
          <w:sz w:val="30"/>
          <w:szCs w:val="30"/>
          <w:spacing w:val="14"/>
        </w:rPr>
        <w:t>《乡村医生从业管理条例》第三十九条</w:t>
      </w:r>
      <w:r>
        <w:rPr>
          <w:rFonts w:ascii="FangSong" w:hAnsi="FangSong" w:eastAsia="FangSong" w:cs="FangSong"/>
          <w:sz w:val="30"/>
          <w:szCs w:val="30"/>
          <w:spacing w:val="63"/>
        </w:rPr>
        <w:t xml:space="preserve">  </w:t>
      </w:r>
      <w:r>
        <w:rPr>
          <w:rFonts w:ascii="FangSong" w:hAnsi="FangSong" w:eastAsia="FangSong" w:cs="FangSong"/>
          <w:sz w:val="30"/>
          <w:szCs w:val="30"/>
          <w:spacing w:val="14"/>
        </w:rPr>
        <w:t>乡村医生在执业活动中，违反规定进行实验性临床医疗</w:t>
      </w:r>
      <w:r>
        <w:rPr>
          <w:rFonts w:ascii="FangSong" w:hAnsi="FangSong" w:eastAsia="FangSong" w:cs="FangSong"/>
          <w:sz w:val="30"/>
          <w:szCs w:val="30"/>
          <w:spacing w:val="1"/>
        </w:rPr>
        <w:t xml:space="preserve"> </w:t>
      </w:r>
      <w:r>
        <w:rPr>
          <w:rFonts w:ascii="FangSong" w:hAnsi="FangSong" w:eastAsia="FangSong" w:cs="FangSong"/>
          <w:sz w:val="30"/>
          <w:szCs w:val="30"/>
          <w:spacing w:val="17"/>
        </w:rPr>
        <w:t>活动，或者重复使用一次性医疗器械和卫生材料的，由县级人民政府卫生行政</w:t>
      </w:r>
      <w:r>
        <w:rPr>
          <w:rFonts w:ascii="FangSong" w:hAnsi="FangSong" w:eastAsia="FangSong" w:cs="FangSong"/>
          <w:sz w:val="30"/>
          <w:szCs w:val="30"/>
          <w:spacing w:val="16"/>
        </w:rPr>
        <w:t>主管部门责令停止违法</w:t>
      </w:r>
      <w:r>
        <w:rPr>
          <w:rFonts w:ascii="FangSong" w:hAnsi="FangSong" w:eastAsia="FangSong" w:cs="FangSong"/>
          <w:sz w:val="30"/>
          <w:szCs w:val="30"/>
        </w:rPr>
        <w:t xml:space="preserve"> </w:t>
      </w:r>
      <w:r>
        <w:rPr>
          <w:rFonts w:ascii="FangSong" w:hAnsi="FangSong" w:eastAsia="FangSong" w:cs="FangSong"/>
          <w:sz w:val="30"/>
          <w:szCs w:val="30"/>
          <w:spacing w:val="19"/>
        </w:rPr>
        <w:t>行为，给予警告，可以并处1000</w:t>
      </w:r>
      <w:r>
        <w:rPr>
          <w:rFonts w:ascii="FangSong" w:hAnsi="FangSong" w:eastAsia="FangSong" w:cs="FangSong"/>
          <w:sz w:val="30"/>
          <w:szCs w:val="30"/>
          <w:spacing w:val="54"/>
        </w:rPr>
        <w:t xml:space="preserve"> </w:t>
      </w:r>
      <w:r>
        <w:rPr>
          <w:rFonts w:ascii="FangSong" w:hAnsi="FangSong" w:eastAsia="FangSong" w:cs="FangSong"/>
          <w:sz w:val="30"/>
          <w:szCs w:val="30"/>
          <w:spacing w:val="19"/>
        </w:rPr>
        <w:t>元以下的罚款；情节严重的，</w:t>
      </w:r>
      <w:r>
        <w:rPr>
          <w:rFonts w:ascii="FangSong" w:hAnsi="FangSong" w:eastAsia="FangSong" w:cs="FangSong"/>
          <w:sz w:val="30"/>
          <w:szCs w:val="30"/>
          <w:spacing w:val="18"/>
        </w:rPr>
        <w:t>由原发证部门暂扣或者吊销乡村医生</w:t>
      </w:r>
      <w:r>
        <w:rPr>
          <w:rFonts w:ascii="FangSong" w:hAnsi="FangSong" w:eastAsia="FangSong" w:cs="FangSong"/>
          <w:sz w:val="30"/>
          <w:szCs w:val="30"/>
        </w:rPr>
        <w:t xml:space="preserve"> </w:t>
      </w:r>
      <w:r>
        <w:rPr>
          <w:rFonts w:ascii="FangSong" w:hAnsi="FangSong" w:eastAsia="FangSong" w:cs="FangSong"/>
          <w:sz w:val="30"/>
          <w:szCs w:val="30"/>
          <w:spacing w:val="5"/>
        </w:rPr>
        <w:t>执业证书。</w:t>
      </w:r>
    </w:p>
    <w:p>
      <w:pPr>
        <w:ind w:left="6539"/>
        <w:spacing w:before="15"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269"/>
          <w:pgSz w:w="16830" w:h="11900"/>
          <w:pgMar w:top="1011" w:right="1344" w:bottom="1118" w:left="1314" w:header="0" w:footer="785" w:gutter="0"/>
        </w:sectPr>
        <w:rPr>
          <w:rFonts w:ascii="SimHei" w:hAnsi="SimHei" w:eastAsia="SimHei" w:cs="SimHei"/>
          <w:sz w:val="30"/>
          <w:szCs w:val="30"/>
        </w:rPr>
      </w:pPr>
    </w:p>
    <w:p>
      <w:pPr>
        <w:spacing w:before="20"/>
        <w:rPr/>
      </w:pPr>
      <w:r/>
    </w:p>
    <w:p>
      <w:pPr>
        <w:spacing w:before="20"/>
        <w:rPr/>
      </w:pPr>
      <w:r/>
    </w:p>
    <w:p>
      <w:pPr>
        <w:spacing w:before="19"/>
        <w:rPr/>
      </w:pPr>
      <w:r/>
    </w:p>
    <w:tbl>
      <w:tblPr>
        <w:tblStyle w:val="TableNormal"/>
        <w:tblW w:w="14170" w:type="dxa"/>
        <w:tblInd w:w="3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5596"/>
        <w:gridCol w:w="7130"/>
      </w:tblGrid>
      <w:tr>
        <w:trPr>
          <w:trHeight w:val="423" w:hRule="atLeast"/>
        </w:trPr>
        <w:tc>
          <w:tcPr>
            <w:tcW w:w="1444" w:type="dxa"/>
            <w:vAlign w:val="top"/>
          </w:tcPr>
          <w:p>
            <w:pPr>
              <w:pStyle w:val="TableText"/>
              <w:ind w:left="218"/>
              <w:spacing w:before="92" w:line="220" w:lineRule="auto"/>
              <w:rPr>
                <w:sz w:val="25"/>
                <w:szCs w:val="25"/>
              </w:rPr>
            </w:pPr>
            <w:bookmarkStart w:name="bookmark925" w:id="292"/>
            <w:bookmarkEnd w:id="292"/>
            <w:r>
              <w:rPr>
                <w:sz w:val="25"/>
                <w:szCs w:val="25"/>
                <w:b/>
                <w:bCs/>
                <w:spacing w:val="-5"/>
              </w:rPr>
              <w:t>违法程度</w:t>
            </w:r>
          </w:p>
        </w:tc>
        <w:tc>
          <w:tcPr>
            <w:tcW w:w="5596" w:type="dxa"/>
            <w:vAlign w:val="top"/>
          </w:tcPr>
          <w:p>
            <w:pPr>
              <w:pStyle w:val="TableText"/>
              <w:ind w:left="2294"/>
              <w:spacing w:before="92" w:line="220" w:lineRule="auto"/>
              <w:rPr>
                <w:sz w:val="25"/>
                <w:szCs w:val="25"/>
              </w:rPr>
            </w:pPr>
            <w:r>
              <w:rPr>
                <w:sz w:val="25"/>
                <w:szCs w:val="25"/>
                <w:b/>
                <w:bCs/>
                <w:spacing w:val="-5"/>
              </w:rPr>
              <w:t>违法后果</w:t>
            </w:r>
          </w:p>
        </w:tc>
        <w:tc>
          <w:tcPr>
            <w:tcW w:w="7130" w:type="dxa"/>
            <w:vAlign w:val="top"/>
          </w:tcPr>
          <w:p>
            <w:pPr>
              <w:pStyle w:val="TableText"/>
              <w:ind w:left="2998"/>
              <w:spacing w:before="89" w:line="218" w:lineRule="auto"/>
              <w:rPr>
                <w:sz w:val="25"/>
                <w:szCs w:val="25"/>
              </w:rPr>
            </w:pPr>
            <w:r>
              <w:rPr>
                <w:sz w:val="25"/>
                <w:szCs w:val="25"/>
                <w:b/>
                <w:bCs/>
                <w:spacing w:val="-5"/>
              </w:rPr>
              <w:t>裁量幅度</w:t>
            </w:r>
          </w:p>
        </w:tc>
      </w:tr>
      <w:tr>
        <w:trPr>
          <w:trHeight w:val="876" w:hRule="atLeast"/>
        </w:trPr>
        <w:tc>
          <w:tcPr>
            <w:tcW w:w="1444" w:type="dxa"/>
            <w:vAlign w:val="top"/>
          </w:tcPr>
          <w:p>
            <w:pPr>
              <w:pStyle w:val="TableText"/>
              <w:ind w:left="468"/>
              <w:spacing w:before="320" w:line="221" w:lineRule="auto"/>
              <w:rPr>
                <w:sz w:val="25"/>
                <w:szCs w:val="25"/>
              </w:rPr>
            </w:pPr>
            <w:r>
              <w:rPr>
                <w:sz w:val="25"/>
                <w:szCs w:val="25"/>
                <w:b/>
                <w:bCs/>
                <w:spacing w:val="-10"/>
              </w:rPr>
              <w:t>一般</w:t>
            </w:r>
          </w:p>
        </w:tc>
        <w:tc>
          <w:tcPr>
            <w:tcW w:w="5596" w:type="dxa"/>
            <w:vAlign w:val="top"/>
          </w:tcPr>
          <w:p>
            <w:pPr>
              <w:pStyle w:val="TableText"/>
              <w:ind w:left="120" w:right="14" w:hanging="80"/>
              <w:spacing w:before="150" w:line="264" w:lineRule="auto"/>
              <w:rPr>
                <w:sz w:val="25"/>
                <w:szCs w:val="25"/>
              </w:rPr>
            </w:pPr>
            <w:r>
              <w:rPr>
                <w:sz w:val="25"/>
                <w:szCs w:val="25"/>
                <w:spacing w:val="1"/>
              </w:rPr>
              <w:t>违反规定进行实验性临床医疗活动，或者重复使用</w:t>
            </w:r>
            <w:r>
              <w:rPr>
                <w:sz w:val="25"/>
                <w:szCs w:val="25"/>
                <w:spacing w:val="7"/>
              </w:rPr>
              <w:t xml:space="preserve"> </w:t>
            </w:r>
            <w:r>
              <w:rPr>
                <w:sz w:val="25"/>
                <w:szCs w:val="25"/>
                <w:spacing w:val="1"/>
              </w:rPr>
              <w:t>一次性医疗器械和卫生材料的</w:t>
            </w:r>
          </w:p>
        </w:tc>
        <w:tc>
          <w:tcPr>
            <w:tcW w:w="7130" w:type="dxa"/>
            <w:vAlign w:val="top"/>
          </w:tcPr>
          <w:p>
            <w:pPr>
              <w:spacing w:line="297" w:lineRule="auto"/>
              <w:rPr>
                <w:rFonts w:ascii="Arial"/>
                <w:sz w:val="21"/>
              </w:rPr>
            </w:pPr>
            <w:r/>
          </w:p>
          <w:p>
            <w:pPr>
              <w:pStyle w:val="TableText"/>
              <w:ind w:left="105"/>
              <w:spacing w:before="81" w:line="218" w:lineRule="auto"/>
              <w:rPr>
                <w:sz w:val="25"/>
                <w:szCs w:val="25"/>
              </w:rPr>
            </w:pPr>
            <w:r>
              <w:rPr>
                <w:sz w:val="25"/>
                <w:szCs w:val="25"/>
              </w:rPr>
              <w:t>责令停止违法行为，给予警告，可并处1000元以下罚款</w:t>
            </w:r>
          </w:p>
        </w:tc>
      </w:tr>
      <w:tr>
        <w:trPr>
          <w:trHeight w:val="901" w:hRule="atLeast"/>
        </w:trPr>
        <w:tc>
          <w:tcPr>
            <w:tcW w:w="1444" w:type="dxa"/>
            <w:vAlign w:val="top"/>
          </w:tcPr>
          <w:p>
            <w:pPr>
              <w:spacing w:line="310" w:lineRule="auto"/>
              <w:rPr>
                <w:rFonts w:ascii="Arial"/>
                <w:sz w:val="21"/>
              </w:rPr>
            </w:pPr>
            <w:r/>
          </w:p>
          <w:p>
            <w:pPr>
              <w:pStyle w:val="TableText"/>
              <w:ind w:left="468"/>
              <w:spacing w:before="81" w:line="220" w:lineRule="auto"/>
              <w:rPr>
                <w:sz w:val="25"/>
                <w:szCs w:val="25"/>
              </w:rPr>
            </w:pPr>
            <w:r>
              <w:rPr>
                <w:sz w:val="25"/>
                <w:szCs w:val="25"/>
                <w:b/>
                <w:bCs/>
                <w:spacing w:val="-6"/>
              </w:rPr>
              <w:t>严重</w:t>
            </w:r>
          </w:p>
        </w:tc>
        <w:tc>
          <w:tcPr>
            <w:tcW w:w="5596" w:type="dxa"/>
            <w:vAlign w:val="top"/>
          </w:tcPr>
          <w:p>
            <w:pPr>
              <w:pStyle w:val="TableText"/>
              <w:ind w:left="110" w:right="14" w:hanging="70"/>
              <w:spacing w:before="165" w:line="268" w:lineRule="auto"/>
              <w:rPr>
                <w:sz w:val="25"/>
                <w:szCs w:val="25"/>
              </w:rPr>
            </w:pPr>
            <w:r>
              <w:rPr>
                <w:sz w:val="25"/>
                <w:szCs w:val="25"/>
                <w:spacing w:val="1"/>
              </w:rPr>
              <w:t>违反规定进行实验性临床医疗活动，或者重复使用</w:t>
            </w:r>
            <w:r>
              <w:rPr>
                <w:sz w:val="25"/>
                <w:szCs w:val="25"/>
                <w:spacing w:val="7"/>
              </w:rPr>
              <w:t xml:space="preserve"> </w:t>
            </w:r>
            <w:r>
              <w:rPr>
                <w:sz w:val="25"/>
                <w:szCs w:val="25"/>
                <w:spacing w:val="1"/>
              </w:rPr>
              <w:t>一次性医疗器械和卫生材料，情节严重的</w:t>
            </w:r>
          </w:p>
        </w:tc>
        <w:tc>
          <w:tcPr>
            <w:tcW w:w="7130" w:type="dxa"/>
            <w:vAlign w:val="top"/>
          </w:tcPr>
          <w:p>
            <w:pPr>
              <w:spacing w:line="301" w:lineRule="auto"/>
              <w:rPr>
                <w:rFonts w:ascii="Arial"/>
                <w:sz w:val="21"/>
              </w:rPr>
            </w:pPr>
            <w:r/>
          </w:p>
          <w:p>
            <w:pPr>
              <w:pStyle w:val="TableText"/>
              <w:ind w:left="105"/>
              <w:spacing w:before="81" w:line="219" w:lineRule="auto"/>
              <w:rPr>
                <w:sz w:val="25"/>
                <w:szCs w:val="25"/>
              </w:rPr>
            </w:pPr>
            <w:r>
              <w:rPr>
                <w:sz w:val="25"/>
                <w:szCs w:val="25"/>
              </w:rPr>
              <w:t>原发证部门暂扣乡村医生执业证书或者吊销乡村医生执业证书</w:t>
            </w:r>
          </w:p>
        </w:tc>
      </w:tr>
    </w:tbl>
    <w:p>
      <w:pPr>
        <w:pStyle w:val="BodyText"/>
        <w:spacing w:line="456" w:lineRule="auto"/>
        <w:rPr/>
      </w:pPr>
      <w:r/>
    </w:p>
    <w:p>
      <w:pPr>
        <w:ind w:left="799"/>
        <w:spacing w:before="97" w:line="219" w:lineRule="auto"/>
        <w:rPr>
          <w:rFonts w:ascii="FangSong" w:hAnsi="FangSong" w:eastAsia="FangSong" w:cs="FangSong"/>
          <w:sz w:val="30"/>
          <w:szCs w:val="30"/>
        </w:rPr>
      </w:pPr>
      <w:r>
        <w:rPr>
          <w:rFonts w:ascii="FangSong" w:hAnsi="FangSong" w:eastAsia="FangSong" w:cs="FangSong"/>
          <w:sz w:val="30"/>
          <w:szCs w:val="30"/>
          <w:b/>
          <w:bCs/>
          <w:spacing w:val="22"/>
        </w:rPr>
        <w:t>第二百零七条未经注册在村医疗卫生机构从事医疗活动的</w:t>
      </w:r>
    </w:p>
    <w:p>
      <w:pPr>
        <w:ind w:left="794"/>
        <w:spacing w:before="73" w:line="222" w:lineRule="auto"/>
        <w:rPr>
          <w:rFonts w:ascii="FangSong" w:hAnsi="FangSong" w:eastAsia="FangSong" w:cs="FangSong"/>
          <w:sz w:val="30"/>
          <w:szCs w:val="30"/>
        </w:rPr>
      </w:pPr>
      <w:r>
        <w:rPr>
          <w:rFonts w:ascii="FangSong" w:hAnsi="FangSong" w:eastAsia="FangSong" w:cs="FangSong"/>
          <w:sz w:val="30"/>
          <w:szCs w:val="30"/>
          <w:spacing w:val="32"/>
        </w:rPr>
        <w:t>法律依据：</w:t>
      </w:r>
    </w:p>
    <w:p>
      <w:pPr>
        <w:ind w:left="145" w:right="120" w:firstLine="609"/>
        <w:spacing w:before="73" w:line="270" w:lineRule="auto"/>
        <w:jc w:val="both"/>
        <w:rPr>
          <w:rFonts w:ascii="FangSong" w:hAnsi="FangSong" w:eastAsia="FangSong" w:cs="FangSong"/>
          <w:sz w:val="30"/>
          <w:szCs w:val="30"/>
        </w:rPr>
      </w:pPr>
      <w:r>
        <w:rPr>
          <w:rFonts w:ascii="FangSong" w:hAnsi="FangSong" w:eastAsia="FangSong" w:cs="FangSong"/>
          <w:sz w:val="30"/>
          <w:szCs w:val="30"/>
          <w:spacing w:val="17"/>
        </w:rPr>
        <w:t>《乡村医生从业管理条例》第四十二条</w:t>
      </w:r>
      <w:r>
        <w:rPr>
          <w:rFonts w:ascii="FangSong" w:hAnsi="FangSong" w:eastAsia="FangSong" w:cs="FangSong"/>
          <w:sz w:val="30"/>
          <w:szCs w:val="30"/>
          <w:spacing w:val="17"/>
        </w:rPr>
        <w:t xml:space="preserve">  </w:t>
      </w:r>
      <w:r>
        <w:rPr>
          <w:rFonts w:ascii="FangSong" w:hAnsi="FangSong" w:eastAsia="FangSong" w:cs="FangSong"/>
          <w:sz w:val="30"/>
          <w:szCs w:val="30"/>
          <w:spacing w:val="17"/>
        </w:rPr>
        <w:t>未经注册在村医疗卫生机构从事医疗活动的，由县级以</w:t>
      </w:r>
      <w:r>
        <w:rPr>
          <w:rFonts w:ascii="FangSong" w:hAnsi="FangSong" w:eastAsia="FangSong" w:cs="FangSong"/>
          <w:sz w:val="30"/>
          <w:szCs w:val="30"/>
          <w:spacing w:val="3"/>
        </w:rPr>
        <w:t xml:space="preserve"> </w:t>
      </w:r>
      <w:r>
        <w:rPr>
          <w:rFonts w:ascii="FangSong" w:hAnsi="FangSong" w:eastAsia="FangSong" w:cs="FangSong"/>
          <w:sz w:val="30"/>
          <w:szCs w:val="30"/>
          <w:spacing w:val="11"/>
        </w:rPr>
        <w:t>上地方人民政府卫生行政主管部门予以取缔，没收其违法所得以及药品、医疗器械，违法所得5000</w:t>
      </w:r>
      <w:r>
        <w:rPr>
          <w:rFonts w:ascii="FangSong" w:hAnsi="FangSong" w:eastAsia="FangSong" w:cs="FangSong"/>
          <w:sz w:val="30"/>
          <w:szCs w:val="30"/>
          <w:spacing w:val="11"/>
        </w:rPr>
        <w:t xml:space="preserve"> </w:t>
      </w:r>
      <w:r>
        <w:rPr>
          <w:rFonts w:ascii="FangSong" w:hAnsi="FangSong" w:eastAsia="FangSong" w:cs="FangSong"/>
          <w:sz w:val="30"/>
          <w:szCs w:val="30"/>
          <w:spacing w:val="11"/>
        </w:rPr>
        <w:t>元</w:t>
      </w:r>
      <w:r>
        <w:rPr>
          <w:rFonts w:ascii="FangSong" w:hAnsi="FangSong" w:eastAsia="FangSong" w:cs="FangSong"/>
          <w:sz w:val="30"/>
          <w:szCs w:val="30"/>
          <w:spacing w:val="17"/>
        </w:rPr>
        <w:t xml:space="preserve"> </w:t>
      </w:r>
      <w:r>
        <w:rPr>
          <w:rFonts w:ascii="FangSong" w:hAnsi="FangSong" w:eastAsia="FangSong" w:cs="FangSong"/>
          <w:sz w:val="30"/>
          <w:szCs w:val="30"/>
          <w:spacing w:val="29"/>
        </w:rPr>
        <w:t>以上的，并处违法所得1倍以上3倍以下的罚款；没有违法所得或者违法所得不足5000元的，并处</w:t>
      </w:r>
      <w:r>
        <w:rPr>
          <w:rFonts w:ascii="FangSong" w:hAnsi="FangSong" w:eastAsia="FangSong" w:cs="FangSong"/>
          <w:sz w:val="30"/>
          <w:szCs w:val="30"/>
          <w:spacing w:val="4"/>
        </w:rPr>
        <w:t xml:space="preserve"> </w:t>
      </w:r>
      <w:r>
        <w:rPr>
          <w:rFonts w:ascii="SimSun" w:hAnsi="SimSun" w:eastAsia="SimSun" w:cs="SimSun"/>
          <w:sz w:val="30"/>
          <w:szCs w:val="30"/>
          <w:spacing w:val="24"/>
        </w:rPr>
        <w:t>1000</w:t>
      </w:r>
      <w:r>
        <w:rPr>
          <w:rFonts w:ascii="SimSun" w:hAnsi="SimSun" w:eastAsia="SimSun" w:cs="SimSun"/>
          <w:sz w:val="30"/>
          <w:szCs w:val="30"/>
          <w:spacing w:val="76"/>
        </w:rPr>
        <w:t xml:space="preserve"> </w:t>
      </w:r>
      <w:r>
        <w:rPr>
          <w:rFonts w:ascii="FangSong" w:hAnsi="FangSong" w:eastAsia="FangSong" w:cs="FangSong"/>
          <w:sz w:val="30"/>
          <w:szCs w:val="30"/>
          <w:spacing w:val="24"/>
        </w:rPr>
        <w:t>元以上3000元以下的罚款；造成患者人身损害的，依法承担民事赔偿责任；构成犯罪的，依</w:t>
      </w:r>
      <w:r>
        <w:rPr>
          <w:rFonts w:ascii="FangSong" w:hAnsi="FangSong" w:eastAsia="FangSong" w:cs="FangSong"/>
          <w:sz w:val="30"/>
          <w:szCs w:val="30"/>
        </w:rPr>
        <w:t xml:space="preserve"> </w:t>
      </w:r>
      <w:r>
        <w:rPr>
          <w:rFonts w:ascii="FangSong" w:hAnsi="FangSong" w:eastAsia="FangSong" w:cs="FangSong"/>
          <w:sz w:val="30"/>
          <w:szCs w:val="30"/>
          <w:spacing w:val="11"/>
        </w:rPr>
        <w:t>法追究刑事责任。</w:t>
      </w:r>
    </w:p>
    <w:p>
      <w:pPr>
        <w:ind w:left="6548"/>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34" w:lineRule="auto"/>
        <w:rPr>
          <w:rFonts w:ascii="Arial"/>
          <w:sz w:val="2"/>
        </w:rPr>
      </w:pPr>
      <w:r>
        <w:rPr>
          <w:rFonts w:ascii="Arial"/>
          <w:sz w:val="2"/>
        </w:rPr>
      </w:r>
    </w:p>
    <w:tbl>
      <w:tblPr>
        <w:tblStyle w:val="TableNormal"/>
        <w:tblW w:w="141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6055"/>
        <w:gridCol w:w="6680"/>
      </w:tblGrid>
      <w:tr>
        <w:trPr>
          <w:trHeight w:val="422" w:hRule="atLeast"/>
        </w:trPr>
        <w:tc>
          <w:tcPr>
            <w:tcW w:w="1444" w:type="dxa"/>
            <w:vAlign w:val="top"/>
          </w:tcPr>
          <w:p>
            <w:pPr>
              <w:pStyle w:val="TableText"/>
              <w:ind w:left="198"/>
              <w:spacing w:before="82" w:line="220" w:lineRule="auto"/>
              <w:rPr>
                <w:sz w:val="26"/>
                <w:szCs w:val="26"/>
              </w:rPr>
            </w:pPr>
            <w:r>
              <w:rPr>
                <w:sz w:val="26"/>
                <w:szCs w:val="26"/>
                <w:b/>
                <w:bCs/>
                <w:spacing w:val="-5"/>
              </w:rPr>
              <w:t>违法程度</w:t>
            </w:r>
          </w:p>
        </w:tc>
        <w:tc>
          <w:tcPr>
            <w:tcW w:w="6055" w:type="dxa"/>
            <w:vAlign w:val="top"/>
          </w:tcPr>
          <w:p>
            <w:pPr>
              <w:pStyle w:val="TableText"/>
              <w:ind w:left="2504"/>
              <w:spacing w:before="82" w:line="220" w:lineRule="auto"/>
              <w:rPr>
                <w:sz w:val="26"/>
                <w:szCs w:val="26"/>
              </w:rPr>
            </w:pPr>
            <w:r>
              <w:rPr>
                <w:sz w:val="26"/>
                <w:szCs w:val="26"/>
                <w:b/>
                <w:bCs/>
                <w:spacing w:val="-5"/>
              </w:rPr>
              <w:t>违法后果</w:t>
            </w:r>
          </w:p>
        </w:tc>
        <w:tc>
          <w:tcPr>
            <w:tcW w:w="6680" w:type="dxa"/>
            <w:vAlign w:val="top"/>
          </w:tcPr>
          <w:p>
            <w:pPr>
              <w:pStyle w:val="TableText"/>
              <w:ind w:left="2779"/>
              <w:spacing w:before="79" w:line="218" w:lineRule="auto"/>
              <w:rPr>
                <w:sz w:val="26"/>
                <w:szCs w:val="26"/>
              </w:rPr>
            </w:pPr>
            <w:r>
              <w:rPr>
                <w:sz w:val="26"/>
                <w:szCs w:val="26"/>
                <w:b/>
                <w:bCs/>
                <w:spacing w:val="-5"/>
              </w:rPr>
              <w:t>裁量幅度</w:t>
            </w:r>
          </w:p>
        </w:tc>
      </w:tr>
      <w:tr>
        <w:trPr>
          <w:trHeight w:val="1278" w:hRule="atLeast"/>
        </w:trPr>
        <w:tc>
          <w:tcPr>
            <w:tcW w:w="1444" w:type="dxa"/>
            <w:vAlign w:val="top"/>
          </w:tcPr>
          <w:p>
            <w:pPr>
              <w:spacing w:line="424" w:lineRule="auto"/>
              <w:rPr>
                <w:rFonts w:ascii="Arial"/>
                <w:sz w:val="21"/>
              </w:rPr>
            </w:pPr>
            <w:r/>
          </w:p>
          <w:p>
            <w:pPr>
              <w:pStyle w:val="TableText"/>
              <w:ind w:left="458"/>
              <w:spacing w:before="84" w:line="221" w:lineRule="auto"/>
              <w:rPr>
                <w:sz w:val="26"/>
                <w:szCs w:val="26"/>
              </w:rPr>
            </w:pPr>
            <w:r>
              <w:rPr>
                <w:sz w:val="26"/>
                <w:szCs w:val="26"/>
                <w:b/>
                <w:bCs/>
                <w:spacing w:val="-10"/>
              </w:rPr>
              <w:t>一般</w:t>
            </w:r>
          </w:p>
        </w:tc>
        <w:tc>
          <w:tcPr>
            <w:tcW w:w="6055" w:type="dxa"/>
            <w:vAlign w:val="top"/>
          </w:tcPr>
          <w:p>
            <w:pPr>
              <w:spacing w:line="272" w:lineRule="auto"/>
              <w:rPr>
                <w:rFonts w:ascii="Arial"/>
                <w:sz w:val="21"/>
              </w:rPr>
            </w:pPr>
            <w:r/>
          </w:p>
          <w:p>
            <w:pPr>
              <w:pStyle w:val="TableText"/>
              <w:spacing w:before="84" w:line="219" w:lineRule="auto"/>
              <w:jc w:val="right"/>
              <w:rPr>
                <w:sz w:val="26"/>
                <w:szCs w:val="26"/>
              </w:rPr>
            </w:pPr>
            <w:r>
              <w:rPr>
                <w:sz w:val="26"/>
                <w:szCs w:val="26"/>
                <w:b/>
                <w:bCs/>
                <w:spacing w:val="-13"/>
              </w:rPr>
              <w:t>未经</w:t>
            </w:r>
            <w:r>
              <w:rPr>
                <w:sz w:val="26"/>
                <w:szCs w:val="26"/>
                <w:b/>
                <w:bCs/>
                <w:spacing w:val="-12"/>
              </w:rPr>
              <w:t>注册在村医疗卫生机构从事医疗活动的，没有违</w:t>
            </w:r>
            <w:r>
              <w:rPr>
                <w:sz w:val="26"/>
                <w:szCs w:val="26"/>
                <w:b/>
                <w:bCs/>
                <w:spacing w:val="-10"/>
              </w:rPr>
              <w:t>法</w:t>
            </w:r>
          </w:p>
          <w:p>
            <w:pPr>
              <w:pStyle w:val="TableText"/>
              <w:ind w:left="114"/>
              <w:spacing w:before="123" w:line="219" w:lineRule="auto"/>
              <w:rPr>
                <w:sz w:val="26"/>
                <w:szCs w:val="26"/>
              </w:rPr>
            </w:pPr>
            <w:r>
              <w:rPr>
                <w:sz w:val="26"/>
                <w:szCs w:val="26"/>
                <w:b/>
                <w:bCs/>
                <w:color w:val="404030"/>
                <w:spacing w:val="1"/>
              </w:rPr>
              <w:t>所得的</w:t>
            </w:r>
          </w:p>
        </w:tc>
        <w:tc>
          <w:tcPr>
            <w:tcW w:w="6680" w:type="dxa"/>
            <w:vAlign w:val="top"/>
          </w:tcPr>
          <w:p>
            <w:pPr>
              <w:spacing w:line="423" w:lineRule="auto"/>
              <w:rPr>
                <w:rFonts w:ascii="Arial"/>
                <w:sz w:val="21"/>
              </w:rPr>
            </w:pPr>
            <w:r/>
          </w:p>
          <w:p>
            <w:pPr>
              <w:pStyle w:val="TableText"/>
              <w:ind w:left="109"/>
              <w:spacing w:before="84" w:line="219" w:lineRule="auto"/>
              <w:rPr>
                <w:sz w:val="26"/>
                <w:szCs w:val="26"/>
              </w:rPr>
            </w:pPr>
            <w:r>
              <w:rPr>
                <w:sz w:val="26"/>
                <w:szCs w:val="26"/>
                <w:b/>
                <w:bCs/>
                <w:spacing w:val="-3"/>
              </w:rPr>
              <w:t>予以取缔，没收药品、医疗器械，并处1000元罚款</w:t>
            </w:r>
          </w:p>
        </w:tc>
      </w:tr>
    </w:tbl>
    <w:p>
      <w:pPr>
        <w:pStyle w:val="BodyText"/>
        <w:rPr/>
      </w:pPr>
      <w:r/>
    </w:p>
    <w:p>
      <w:pPr>
        <w:sectPr>
          <w:footerReference w:type="default" r:id="rId270"/>
          <w:pgSz w:w="16830" w:h="11900"/>
          <w:pgMar w:top="1011" w:right="1314" w:bottom="1118" w:left="1305" w:header="0" w:footer="785" w:gutter="0"/>
        </w:sectPr>
        <w:rPr/>
      </w:pPr>
    </w:p>
    <w:p>
      <w:pPr>
        <w:spacing w:before="20"/>
        <w:rPr/>
      </w:pPr>
      <w:r/>
    </w:p>
    <w:p>
      <w:pPr>
        <w:spacing w:before="20"/>
        <w:rPr/>
      </w:pPr>
      <w:r/>
    </w:p>
    <w:p>
      <w:pPr>
        <w:spacing w:before="19"/>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6016"/>
        <w:gridCol w:w="6710"/>
      </w:tblGrid>
      <w:tr>
        <w:trPr>
          <w:trHeight w:val="880" w:hRule="atLeast"/>
        </w:trPr>
        <w:tc>
          <w:tcPr>
            <w:tcW w:w="1444" w:type="dxa"/>
            <w:vAlign w:val="top"/>
          </w:tcPr>
          <w:p>
            <w:pPr>
              <w:spacing w:line="245" w:lineRule="auto"/>
              <w:rPr>
                <w:rFonts w:ascii="Arial"/>
                <w:sz w:val="21"/>
              </w:rPr>
            </w:pPr>
            <w:r/>
          </w:p>
          <w:p>
            <w:pPr>
              <w:pStyle w:val="TableText"/>
              <w:ind w:left="478"/>
              <w:spacing w:before="78" w:line="221" w:lineRule="auto"/>
              <w:rPr/>
            </w:pPr>
            <w:bookmarkStart w:name="bookmark926" w:id="293"/>
            <w:bookmarkEnd w:id="293"/>
            <w:r>
              <w:rPr>
                <w:b/>
                <w:bCs/>
                <w:spacing w:val="-5"/>
              </w:rPr>
              <w:t>较重</w:t>
            </w:r>
          </w:p>
        </w:tc>
        <w:tc>
          <w:tcPr>
            <w:tcW w:w="6016" w:type="dxa"/>
            <w:vAlign w:val="top"/>
          </w:tcPr>
          <w:p>
            <w:pPr>
              <w:pStyle w:val="TableText"/>
              <w:ind w:left="81" w:right="151"/>
              <w:spacing w:before="134" w:line="283" w:lineRule="auto"/>
              <w:rPr/>
            </w:pPr>
            <w:r>
              <w:rPr/>
              <w:t>未经注册在村医疗卫生机构从事医疗活动，违法所得不</w:t>
            </w:r>
            <w:r>
              <w:rPr>
                <w:spacing w:val="12"/>
              </w:rPr>
              <w:t xml:space="preserve"> </w:t>
            </w:r>
            <w:r>
              <w:rPr>
                <w:spacing w:val="2"/>
              </w:rPr>
              <w:t>足5000元的</w:t>
            </w:r>
          </w:p>
        </w:tc>
        <w:tc>
          <w:tcPr>
            <w:tcW w:w="6710" w:type="dxa"/>
            <w:vAlign w:val="top"/>
          </w:tcPr>
          <w:p>
            <w:pPr>
              <w:pStyle w:val="TableText"/>
              <w:ind w:left="124" w:right="64" w:firstLine="20"/>
              <w:spacing w:before="134" w:line="283" w:lineRule="auto"/>
              <w:rPr/>
            </w:pPr>
            <w:r>
              <w:rPr/>
              <w:t>予以取缔，没收其违法所得以及药品、医疗器械，并处1000元</w:t>
            </w:r>
            <w:r>
              <w:rPr>
                <w:spacing w:val="9"/>
              </w:rPr>
              <w:t xml:space="preserve"> </w:t>
            </w:r>
            <w:r>
              <w:rPr/>
              <w:t>以上3000元以下的罚款</w:t>
            </w:r>
          </w:p>
        </w:tc>
      </w:tr>
      <w:tr>
        <w:trPr>
          <w:trHeight w:val="880" w:hRule="atLeast"/>
        </w:trPr>
        <w:tc>
          <w:tcPr>
            <w:tcW w:w="1444" w:type="dxa"/>
            <w:vAlign w:val="top"/>
          </w:tcPr>
          <w:p>
            <w:pPr>
              <w:spacing w:line="242" w:lineRule="auto"/>
              <w:rPr>
                <w:rFonts w:ascii="Arial"/>
                <w:sz w:val="21"/>
              </w:rPr>
            </w:pPr>
            <w:r/>
          </w:p>
          <w:p>
            <w:pPr>
              <w:pStyle w:val="TableText"/>
              <w:ind w:left="478"/>
              <w:spacing w:before="78" w:line="220" w:lineRule="auto"/>
              <w:rPr/>
            </w:pPr>
            <w:r>
              <w:rPr>
                <w:b/>
                <w:bCs/>
                <w:spacing w:val="-6"/>
              </w:rPr>
              <w:t>严重</w:t>
            </w:r>
          </w:p>
        </w:tc>
        <w:tc>
          <w:tcPr>
            <w:tcW w:w="6016" w:type="dxa"/>
            <w:vAlign w:val="top"/>
          </w:tcPr>
          <w:p>
            <w:pPr>
              <w:pStyle w:val="TableText"/>
              <w:ind w:left="81" w:right="395"/>
              <w:spacing w:before="144" w:line="279" w:lineRule="auto"/>
              <w:rPr/>
            </w:pPr>
            <w:r>
              <w:rPr/>
              <w:t>未经注册在村医疗卫生机构从事医疗活动，违法所得</w:t>
            </w:r>
            <w:r>
              <w:rPr>
                <w:spacing w:val="8"/>
              </w:rPr>
              <w:t xml:space="preserve"> </w:t>
            </w:r>
            <w:r>
              <w:rPr>
                <w:spacing w:val="2"/>
              </w:rPr>
              <w:t>5000元以上的</w:t>
            </w:r>
          </w:p>
        </w:tc>
        <w:tc>
          <w:tcPr>
            <w:tcW w:w="6710" w:type="dxa"/>
            <w:vAlign w:val="top"/>
          </w:tcPr>
          <w:p>
            <w:pPr>
              <w:pStyle w:val="TableText"/>
              <w:ind w:left="124" w:right="76" w:firstLine="10"/>
              <w:spacing w:before="144" w:line="279" w:lineRule="auto"/>
              <w:rPr/>
            </w:pPr>
            <w:r>
              <w:rPr/>
              <w:t>予以取缔，没收其违法所得以及药品、医疗器械，并处违法所</w:t>
            </w:r>
            <w:r>
              <w:rPr>
                <w:spacing w:val="7"/>
              </w:rPr>
              <w:t xml:space="preserve"> </w:t>
            </w:r>
            <w:r>
              <w:rPr/>
              <w:t>得1倍以上3倍以下的罚款</w:t>
            </w:r>
          </w:p>
        </w:tc>
      </w:tr>
    </w:tbl>
    <w:p>
      <w:pPr>
        <w:pStyle w:val="BodyText"/>
        <w:spacing w:line="456" w:lineRule="auto"/>
        <w:rPr/>
      </w:pPr>
      <w:r/>
    </w:p>
    <w:p>
      <w:pPr>
        <w:ind w:left="77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第二百零八条乡村医生变更执业的村医疗卫生机构，未办理变更执业注册手续的</w:t>
      </w:r>
    </w:p>
    <w:p>
      <w:pPr>
        <w:ind w:left="774"/>
        <w:spacing w:before="110" w:line="222" w:lineRule="auto"/>
        <w:rPr>
          <w:rFonts w:ascii="FangSong" w:hAnsi="FangSong" w:eastAsia="FangSong" w:cs="FangSong"/>
          <w:sz w:val="30"/>
          <w:szCs w:val="30"/>
        </w:rPr>
      </w:pPr>
      <w:r>
        <w:rPr>
          <w:rFonts w:ascii="FangSong" w:hAnsi="FangSong" w:eastAsia="FangSong" w:cs="FangSong"/>
          <w:sz w:val="30"/>
          <w:szCs w:val="30"/>
          <w:spacing w:val="32"/>
        </w:rPr>
        <w:t>法律依据：</w:t>
      </w:r>
    </w:p>
    <w:p>
      <w:pPr>
        <w:ind w:left="124" w:right="114" w:firstLine="619"/>
        <w:spacing w:before="56" w:line="271" w:lineRule="auto"/>
        <w:rPr>
          <w:rFonts w:ascii="FangSong" w:hAnsi="FangSong" w:eastAsia="FangSong" w:cs="FangSong"/>
          <w:sz w:val="30"/>
          <w:szCs w:val="30"/>
        </w:rPr>
      </w:pPr>
      <w:r>
        <w:rPr>
          <w:rFonts w:ascii="FangSong" w:hAnsi="FangSong" w:eastAsia="FangSong" w:cs="FangSong"/>
          <w:sz w:val="30"/>
          <w:szCs w:val="30"/>
          <w:spacing w:val="17"/>
        </w:rPr>
        <w:t>《乡村医生从业管理条例》第四十条</w:t>
      </w:r>
      <w:r>
        <w:rPr>
          <w:rFonts w:ascii="FangSong" w:hAnsi="FangSong" w:eastAsia="FangSong" w:cs="FangSong"/>
          <w:sz w:val="30"/>
          <w:szCs w:val="30"/>
          <w:spacing w:val="17"/>
        </w:rPr>
        <w:t xml:space="preserve">  </w:t>
      </w:r>
      <w:r>
        <w:rPr>
          <w:rFonts w:ascii="FangSong" w:hAnsi="FangSong" w:eastAsia="FangSong" w:cs="FangSong"/>
          <w:sz w:val="30"/>
          <w:szCs w:val="30"/>
          <w:spacing w:val="17"/>
        </w:rPr>
        <w:t>乡村医生变更执业的村医疗卫</w:t>
      </w:r>
      <w:r>
        <w:rPr>
          <w:rFonts w:ascii="FangSong" w:hAnsi="FangSong" w:eastAsia="FangSong" w:cs="FangSong"/>
          <w:sz w:val="30"/>
          <w:szCs w:val="30"/>
          <w:spacing w:val="16"/>
        </w:rPr>
        <w:t>生机构，未办理变更执业注</w:t>
      </w:r>
      <w:r>
        <w:rPr>
          <w:rFonts w:ascii="FangSong" w:hAnsi="FangSong" w:eastAsia="FangSong" w:cs="FangSong"/>
          <w:sz w:val="30"/>
          <w:szCs w:val="30"/>
        </w:rPr>
        <w:t xml:space="preserve"> </w:t>
      </w:r>
      <w:r>
        <w:rPr>
          <w:rFonts w:ascii="FangSong" w:hAnsi="FangSong" w:eastAsia="FangSong" w:cs="FangSong"/>
          <w:sz w:val="30"/>
          <w:szCs w:val="30"/>
          <w:spacing w:val="18"/>
        </w:rPr>
        <w:t>册手续的，由县级人民政府卫生行政主管部门给予警告，责令限期办理变更注册手续。</w:t>
      </w:r>
    </w:p>
    <w:p>
      <w:pPr>
        <w:ind w:left="6539"/>
        <w:spacing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15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3"/>
        <w:gridCol w:w="5586"/>
        <w:gridCol w:w="7140"/>
      </w:tblGrid>
      <w:tr>
        <w:trPr>
          <w:trHeight w:val="411" w:hRule="atLeast"/>
        </w:trPr>
        <w:tc>
          <w:tcPr>
            <w:tcW w:w="1433" w:type="dxa"/>
            <w:vAlign w:val="top"/>
          </w:tcPr>
          <w:p>
            <w:pPr>
              <w:pStyle w:val="TableText"/>
              <w:ind w:left="188"/>
              <w:spacing w:before="82" w:line="220" w:lineRule="auto"/>
              <w:rPr>
                <w:sz w:val="26"/>
                <w:szCs w:val="26"/>
              </w:rPr>
            </w:pPr>
            <w:r>
              <w:rPr>
                <w:sz w:val="26"/>
                <w:szCs w:val="26"/>
                <w:b/>
                <w:bCs/>
                <w:spacing w:val="-5"/>
              </w:rPr>
              <w:t>违法程度</w:t>
            </w:r>
          </w:p>
        </w:tc>
        <w:tc>
          <w:tcPr>
            <w:tcW w:w="5586" w:type="dxa"/>
            <w:vAlign w:val="top"/>
          </w:tcPr>
          <w:p>
            <w:pPr>
              <w:pStyle w:val="TableText"/>
              <w:ind w:left="2265"/>
              <w:spacing w:before="82" w:line="220" w:lineRule="auto"/>
              <w:rPr>
                <w:sz w:val="26"/>
                <w:szCs w:val="26"/>
              </w:rPr>
            </w:pPr>
            <w:r>
              <w:rPr>
                <w:sz w:val="26"/>
                <w:szCs w:val="26"/>
                <w:b/>
                <w:bCs/>
                <w:spacing w:val="-5"/>
              </w:rPr>
              <w:t>违法后果</w:t>
            </w:r>
          </w:p>
        </w:tc>
        <w:tc>
          <w:tcPr>
            <w:tcW w:w="7140" w:type="dxa"/>
            <w:vAlign w:val="top"/>
          </w:tcPr>
          <w:p>
            <w:pPr>
              <w:pStyle w:val="TableText"/>
              <w:ind w:left="3049"/>
              <w:spacing w:before="79" w:line="218" w:lineRule="auto"/>
              <w:rPr>
                <w:sz w:val="26"/>
                <w:szCs w:val="26"/>
              </w:rPr>
            </w:pPr>
            <w:r>
              <w:rPr>
                <w:sz w:val="26"/>
                <w:szCs w:val="26"/>
                <w:b/>
                <w:bCs/>
                <w:spacing w:val="-5"/>
              </w:rPr>
              <w:t>裁量幅度</w:t>
            </w:r>
          </w:p>
        </w:tc>
      </w:tr>
      <w:tr>
        <w:trPr>
          <w:trHeight w:val="888" w:hRule="atLeast"/>
        </w:trPr>
        <w:tc>
          <w:tcPr>
            <w:tcW w:w="1433" w:type="dxa"/>
            <w:vAlign w:val="top"/>
          </w:tcPr>
          <w:p>
            <w:pPr>
              <w:spacing w:line="296" w:lineRule="auto"/>
              <w:rPr>
                <w:rFonts w:ascii="Arial"/>
                <w:sz w:val="21"/>
              </w:rPr>
            </w:pPr>
            <w:r/>
          </w:p>
          <w:p>
            <w:pPr>
              <w:pStyle w:val="TableText"/>
              <w:ind w:left="448"/>
              <w:spacing w:before="84" w:line="221" w:lineRule="auto"/>
              <w:rPr>
                <w:sz w:val="26"/>
                <w:szCs w:val="26"/>
              </w:rPr>
            </w:pPr>
            <w:r>
              <w:rPr>
                <w:sz w:val="26"/>
                <w:szCs w:val="26"/>
                <w:b/>
                <w:bCs/>
                <w:spacing w:val="-10"/>
              </w:rPr>
              <w:t>一般</w:t>
            </w:r>
          </w:p>
        </w:tc>
        <w:tc>
          <w:tcPr>
            <w:tcW w:w="5586" w:type="dxa"/>
            <w:vAlign w:val="top"/>
          </w:tcPr>
          <w:p>
            <w:pPr>
              <w:pStyle w:val="TableText"/>
              <w:ind w:left="105" w:hanging="90"/>
              <w:spacing w:before="159" w:line="255" w:lineRule="auto"/>
              <w:rPr>
                <w:sz w:val="26"/>
                <w:szCs w:val="26"/>
              </w:rPr>
            </w:pPr>
            <w:r>
              <w:rPr>
                <w:sz w:val="26"/>
                <w:szCs w:val="26"/>
                <w:b/>
                <w:bCs/>
                <w:spacing w:val="-10"/>
              </w:rPr>
              <w:t>乡村医生变更执业的村医疗卫生机构，未办理变更</w:t>
            </w:r>
            <w:r>
              <w:rPr>
                <w:sz w:val="26"/>
                <w:szCs w:val="26"/>
              </w:rPr>
              <w:t xml:space="preserve"> </w:t>
            </w:r>
            <w:r>
              <w:rPr>
                <w:sz w:val="26"/>
                <w:szCs w:val="26"/>
                <w:b/>
                <w:bCs/>
                <w:spacing w:val="-2"/>
              </w:rPr>
              <w:t>执业注册手续的</w:t>
            </w:r>
          </w:p>
        </w:tc>
        <w:tc>
          <w:tcPr>
            <w:tcW w:w="7140" w:type="dxa"/>
            <w:vAlign w:val="top"/>
          </w:tcPr>
          <w:p>
            <w:pPr>
              <w:pStyle w:val="TableText"/>
              <w:spacing w:before="158" w:line="218" w:lineRule="auto"/>
              <w:jc w:val="right"/>
              <w:rPr>
                <w:sz w:val="26"/>
                <w:szCs w:val="26"/>
              </w:rPr>
            </w:pPr>
            <w:r>
              <w:rPr>
                <w:sz w:val="26"/>
                <w:szCs w:val="26"/>
                <w:b/>
                <w:bCs/>
                <w:spacing w:val="-19"/>
              </w:rPr>
              <w:t>由县级人</w:t>
            </w:r>
            <w:r>
              <w:rPr>
                <w:sz w:val="26"/>
                <w:szCs w:val="26"/>
                <w:b/>
                <w:bCs/>
                <w:spacing w:val="-18"/>
              </w:rPr>
              <w:t>民政府卫生行政主管部门给予警告，责令限期办理变更</w:t>
            </w:r>
            <w:r>
              <w:rPr>
                <w:sz w:val="26"/>
                <w:szCs w:val="26"/>
                <w:b/>
                <w:bCs/>
                <w:spacing w:val="-14"/>
              </w:rPr>
              <w:t>注</w:t>
            </w:r>
          </w:p>
          <w:p>
            <w:pPr>
              <w:pStyle w:val="TableText"/>
              <w:ind w:left="119"/>
              <w:spacing w:before="155" w:line="182" w:lineRule="auto"/>
              <w:rPr>
                <w:sz w:val="26"/>
                <w:szCs w:val="26"/>
              </w:rPr>
            </w:pPr>
            <w:r>
              <w:rPr>
                <w:sz w:val="26"/>
                <w:szCs w:val="26"/>
                <w:b/>
                <w:bCs/>
                <w:color w:val="706060"/>
                <w:spacing w:val="-5"/>
              </w:rPr>
              <w:t>册手续</w:t>
            </w:r>
          </w:p>
        </w:tc>
      </w:tr>
    </w:tbl>
    <w:p>
      <w:pPr>
        <w:pStyle w:val="BodyText"/>
        <w:spacing w:line="475" w:lineRule="auto"/>
        <w:rPr/>
      </w:pPr>
      <w:r/>
    </w:p>
    <w:p>
      <w:pPr>
        <w:ind w:left="909"/>
        <w:spacing w:before="98" w:line="223" w:lineRule="auto"/>
        <w:rPr>
          <w:rFonts w:ascii="KaiTi" w:hAnsi="KaiTi" w:eastAsia="KaiTi" w:cs="KaiTi"/>
          <w:sz w:val="30"/>
          <w:szCs w:val="30"/>
        </w:rPr>
      </w:pPr>
      <w:r>
        <w:rPr>
          <w:rFonts w:ascii="KaiTi" w:hAnsi="KaiTi" w:eastAsia="KaiTi" w:cs="KaiTi"/>
          <w:sz w:val="30"/>
          <w:szCs w:val="30"/>
          <w:b/>
          <w:bCs/>
          <w:spacing w:val="17"/>
        </w:rPr>
        <w:t>(</w:t>
      </w:r>
      <w:r>
        <w:rPr>
          <w:rFonts w:ascii="KaiTi" w:hAnsi="KaiTi" w:eastAsia="KaiTi" w:cs="KaiTi"/>
          <w:sz w:val="30"/>
          <w:szCs w:val="30"/>
          <w:spacing w:val="17"/>
        </w:rPr>
        <w:t xml:space="preserve"> </w:t>
      </w:r>
      <w:r>
        <w:rPr>
          <w:rFonts w:ascii="KaiTi" w:hAnsi="KaiTi" w:eastAsia="KaiTi" w:cs="KaiTi"/>
          <w:sz w:val="30"/>
          <w:szCs w:val="30"/>
          <w:b/>
          <w:bCs/>
          <w:spacing w:val="17"/>
        </w:rPr>
        <w:t>六)《医师外出会诊管理暂行规定》</w:t>
      </w:r>
    </w:p>
    <w:p>
      <w:pPr>
        <w:ind w:left="779"/>
        <w:spacing w:before="329" w:line="220" w:lineRule="auto"/>
        <w:rPr>
          <w:rFonts w:ascii="FangSong" w:hAnsi="FangSong" w:eastAsia="FangSong" w:cs="FangSong"/>
          <w:sz w:val="30"/>
          <w:szCs w:val="30"/>
        </w:rPr>
      </w:pPr>
      <w:r>
        <w:rPr>
          <w:rFonts w:ascii="FangSong" w:hAnsi="FangSong" w:eastAsia="FangSong" w:cs="FangSong"/>
          <w:sz w:val="30"/>
          <w:szCs w:val="30"/>
          <w:b/>
          <w:bCs/>
          <w:spacing w:val="23"/>
        </w:rPr>
        <w:t>第二百零九条会诊邀请超出医疗机构诊疗科目的</w:t>
      </w:r>
    </w:p>
    <w:p>
      <w:pPr>
        <w:ind w:left="774"/>
        <w:spacing w:before="71"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right="15"/>
        <w:spacing w:before="96" w:line="221" w:lineRule="auto"/>
        <w:jc w:val="right"/>
        <w:rPr>
          <w:rFonts w:ascii="FangSong" w:hAnsi="FangSong" w:eastAsia="FangSong" w:cs="FangSong"/>
          <w:sz w:val="30"/>
          <w:szCs w:val="30"/>
        </w:rPr>
      </w:pPr>
      <w:r>
        <w:rPr>
          <w:rFonts w:ascii="FangSong" w:hAnsi="FangSong" w:eastAsia="FangSong" w:cs="FangSong"/>
          <w:sz w:val="30"/>
          <w:szCs w:val="30"/>
          <w:spacing w:val="5"/>
        </w:rPr>
        <w:t>1.</w:t>
      </w:r>
      <w:r>
        <w:rPr>
          <w:rFonts w:ascii="FangSong" w:hAnsi="FangSong" w:eastAsia="FangSong" w:cs="FangSong"/>
          <w:sz w:val="30"/>
          <w:szCs w:val="30"/>
          <w:spacing w:val="5"/>
        </w:rPr>
        <w:t xml:space="preserve"> </w:t>
      </w:r>
      <w:r>
        <w:rPr>
          <w:rFonts w:ascii="FangSong" w:hAnsi="FangSong" w:eastAsia="FangSong" w:cs="FangSong"/>
          <w:sz w:val="30"/>
          <w:szCs w:val="30"/>
          <w:spacing w:val="5"/>
        </w:rPr>
        <w:t>《医师外出会诊管理暂行规定》第十九条</w:t>
      </w:r>
      <w:r>
        <w:rPr>
          <w:rFonts w:ascii="FangSong" w:hAnsi="FangSong" w:eastAsia="FangSong" w:cs="FangSong"/>
          <w:sz w:val="30"/>
          <w:szCs w:val="30"/>
          <w:spacing w:val="59"/>
        </w:rPr>
        <w:t xml:space="preserve">  </w:t>
      </w:r>
      <w:r>
        <w:rPr>
          <w:rFonts w:ascii="FangSong" w:hAnsi="FangSong" w:eastAsia="FangSong" w:cs="FangSong"/>
          <w:sz w:val="30"/>
          <w:szCs w:val="30"/>
          <w:spacing w:val="5"/>
        </w:rPr>
        <w:t>医疗机构违反本规定第六条、第八条、第十五条的，</w:t>
      </w:r>
    </w:p>
    <w:p>
      <w:pPr>
        <w:spacing w:line="221" w:lineRule="auto"/>
        <w:sectPr>
          <w:footerReference w:type="default" r:id="rId271"/>
          <w:pgSz w:w="16830" w:h="11900"/>
          <w:pgMar w:top="1011" w:right="1335" w:bottom="1108" w:left="1314" w:header="0" w:footer="775" w:gutter="0"/>
        </w:sectPr>
        <w:rPr>
          <w:rFonts w:ascii="FangSong" w:hAnsi="FangSong" w:eastAsia="FangSong" w:cs="FangSong"/>
          <w:sz w:val="30"/>
          <w:szCs w:val="30"/>
        </w:rPr>
      </w:pPr>
    </w:p>
    <w:p>
      <w:pPr>
        <w:pStyle w:val="BodyText"/>
        <w:spacing w:line="268" w:lineRule="auto"/>
        <w:rPr/>
      </w:pPr>
      <w:r/>
    </w:p>
    <w:p>
      <w:pPr>
        <w:pStyle w:val="BodyText"/>
        <w:spacing w:line="269" w:lineRule="auto"/>
        <w:rPr/>
      </w:pPr>
      <w:r/>
    </w:p>
    <w:p>
      <w:pPr>
        <w:pStyle w:val="BodyText"/>
        <w:spacing w:line="269" w:lineRule="auto"/>
        <w:rPr/>
      </w:pPr>
      <w:r/>
    </w:p>
    <w:p>
      <w:pPr>
        <w:ind w:left="124"/>
        <w:spacing w:before="94" w:line="270" w:lineRule="auto"/>
        <w:rPr>
          <w:rFonts w:ascii="FangSong" w:hAnsi="FangSong" w:eastAsia="FangSong" w:cs="FangSong"/>
          <w:sz w:val="29"/>
          <w:szCs w:val="29"/>
        </w:rPr>
      </w:pPr>
      <w:r>
        <w:rPr>
          <w:rFonts w:ascii="FangSong" w:hAnsi="FangSong" w:eastAsia="FangSong" w:cs="FangSong"/>
          <w:sz w:val="29"/>
          <w:szCs w:val="29"/>
          <w:spacing w:val="23"/>
        </w:rPr>
        <w:t>由县级以上卫生行政部门责令改正，给予警告；诊疗活动超出登记范围的，按</w:t>
      </w:r>
      <w:r>
        <w:rPr>
          <w:rFonts w:ascii="FangSong" w:hAnsi="FangSong" w:eastAsia="FangSong" w:cs="FangSong"/>
          <w:sz w:val="29"/>
          <w:szCs w:val="29"/>
          <w:spacing w:val="22"/>
        </w:rPr>
        <w:t>照《医疗机构管理条例》</w:t>
      </w:r>
      <w:r>
        <w:rPr>
          <w:rFonts w:ascii="FangSong" w:hAnsi="FangSong" w:eastAsia="FangSong" w:cs="FangSong"/>
          <w:sz w:val="29"/>
          <w:szCs w:val="29"/>
        </w:rPr>
        <w:t xml:space="preserve"> </w:t>
      </w:r>
      <w:r>
        <w:rPr>
          <w:rFonts w:ascii="FangSong" w:hAnsi="FangSong" w:eastAsia="FangSong" w:cs="FangSong"/>
          <w:sz w:val="29"/>
          <w:szCs w:val="29"/>
          <w:spacing w:val="16"/>
        </w:rPr>
        <w:t>第四十七条处理。</w:t>
      </w:r>
    </w:p>
    <w:p>
      <w:pPr>
        <w:ind w:left="124" w:right="127" w:firstLine="640"/>
        <w:spacing w:before="41" w:line="280" w:lineRule="auto"/>
        <w:rPr>
          <w:rFonts w:ascii="FangSong" w:hAnsi="FangSong" w:eastAsia="FangSong" w:cs="FangSong"/>
          <w:sz w:val="29"/>
          <w:szCs w:val="29"/>
        </w:rPr>
      </w:pPr>
      <w:r>
        <w:rPr>
          <w:rFonts w:ascii="FangSong" w:hAnsi="FangSong" w:eastAsia="FangSong" w:cs="FangSong"/>
          <w:sz w:val="29"/>
          <w:szCs w:val="29"/>
          <w:spacing w:val="27"/>
        </w:rPr>
        <w:t>2.</w:t>
      </w:r>
      <w:r>
        <w:rPr>
          <w:rFonts w:ascii="FangSong" w:hAnsi="FangSong" w:eastAsia="FangSong" w:cs="FangSong"/>
          <w:sz w:val="29"/>
          <w:szCs w:val="29"/>
          <w:spacing w:val="27"/>
        </w:rPr>
        <w:t xml:space="preserve"> </w:t>
      </w:r>
      <w:r>
        <w:rPr>
          <w:rFonts w:ascii="FangSong" w:hAnsi="FangSong" w:eastAsia="FangSong" w:cs="FangSong"/>
          <w:sz w:val="29"/>
          <w:szCs w:val="29"/>
          <w:spacing w:val="27"/>
        </w:rPr>
        <w:t>《医师外出会诊管理暂行规定》第六条第(</w:t>
      </w:r>
      <w:r>
        <w:rPr>
          <w:rFonts w:ascii="FangSong" w:hAnsi="FangSong" w:eastAsia="FangSong" w:cs="FangSong"/>
          <w:sz w:val="29"/>
          <w:szCs w:val="29"/>
          <w:spacing w:val="-69"/>
        </w:rPr>
        <w:t xml:space="preserve"> </w:t>
      </w:r>
      <w:r>
        <w:rPr>
          <w:rFonts w:ascii="FangSong" w:hAnsi="FangSong" w:eastAsia="FangSong" w:cs="FangSong"/>
          <w:sz w:val="29"/>
          <w:szCs w:val="29"/>
          <w:spacing w:val="27"/>
        </w:rPr>
        <w:t>一)项</w:t>
      </w:r>
      <w:r>
        <w:rPr>
          <w:rFonts w:ascii="FangSong" w:hAnsi="FangSong" w:eastAsia="FangSong" w:cs="FangSong"/>
          <w:sz w:val="29"/>
          <w:szCs w:val="29"/>
          <w:spacing w:val="26"/>
        </w:rPr>
        <w:t xml:space="preserve">  </w:t>
      </w:r>
      <w:r>
        <w:rPr>
          <w:rFonts w:ascii="FangSong" w:hAnsi="FangSong" w:eastAsia="FangSong" w:cs="FangSong"/>
          <w:sz w:val="29"/>
          <w:szCs w:val="29"/>
          <w:spacing w:val="26"/>
        </w:rPr>
        <w:t>有下列情形之一的，医疗机构不得提出会</w:t>
      </w:r>
      <w:r>
        <w:rPr>
          <w:rFonts w:ascii="FangSong" w:hAnsi="FangSong" w:eastAsia="FangSong" w:cs="FangSong"/>
          <w:sz w:val="29"/>
          <w:szCs w:val="29"/>
        </w:rPr>
        <w:t xml:space="preserve"> </w:t>
      </w:r>
      <w:r>
        <w:rPr>
          <w:rFonts w:ascii="FangSong" w:hAnsi="FangSong" w:eastAsia="FangSong" w:cs="FangSong"/>
          <w:sz w:val="29"/>
          <w:szCs w:val="29"/>
          <w:spacing w:val="8"/>
        </w:rPr>
        <w:t>诊邀请：</w:t>
      </w:r>
    </w:p>
    <w:p>
      <w:pPr>
        <w:ind w:left="905"/>
        <w:spacing w:line="220" w:lineRule="auto"/>
        <w:rPr>
          <w:rFonts w:ascii="FangSong" w:hAnsi="FangSong" w:eastAsia="FangSong" w:cs="FangSong"/>
          <w:sz w:val="29"/>
          <w:szCs w:val="29"/>
        </w:rPr>
      </w:pPr>
      <w:r>
        <w:rPr>
          <w:rFonts w:ascii="FangSong" w:hAnsi="FangSong" w:eastAsia="FangSong" w:cs="FangSong"/>
          <w:sz w:val="29"/>
          <w:szCs w:val="29"/>
          <w:spacing w:val="30"/>
        </w:rPr>
        <w:t>(</w:t>
      </w:r>
      <w:r>
        <w:rPr>
          <w:rFonts w:ascii="FangSong" w:hAnsi="FangSong" w:eastAsia="FangSong" w:cs="FangSong"/>
          <w:sz w:val="29"/>
          <w:szCs w:val="29"/>
          <w:spacing w:val="-81"/>
        </w:rPr>
        <w:t xml:space="preserve"> </w:t>
      </w:r>
      <w:r>
        <w:rPr>
          <w:rFonts w:ascii="FangSong" w:hAnsi="FangSong" w:eastAsia="FangSong" w:cs="FangSong"/>
          <w:sz w:val="29"/>
          <w:szCs w:val="29"/>
          <w:spacing w:val="30"/>
        </w:rPr>
        <w:t>一)会诊邀请超出本单位诊疗科目或者本单位不具备相应资质的；</w:t>
      </w:r>
    </w:p>
    <w:p>
      <w:pPr>
        <w:ind w:left="124" w:right="146" w:firstLine="660"/>
        <w:spacing w:before="79" w:line="278" w:lineRule="auto"/>
        <w:jc w:val="both"/>
        <w:rPr>
          <w:rFonts w:ascii="FangSong" w:hAnsi="FangSong" w:eastAsia="FangSong" w:cs="FangSong"/>
          <w:sz w:val="29"/>
          <w:szCs w:val="29"/>
        </w:rPr>
      </w:pPr>
      <w:r>
        <w:rPr>
          <w:rFonts w:ascii="FangSong" w:hAnsi="FangSong" w:eastAsia="FangSong" w:cs="FangSong"/>
          <w:sz w:val="29"/>
          <w:szCs w:val="29"/>
          <w:spacing w:val="21"/>
        </w:rPr>
        <w:t>3.</w:t>
      </w:r>
      <w:r>
        <w:rPr>
          <w:rFonts w:ascii="FangSong" w:hAnsi="FangSong" w:eastAsia="FangSong" w:cs="FangSong"/>
          <w:sz w:val="29"/>
          <w:szCs w:val="29"/>
          <w:spacing w:val="21"/>
        </w:rPr>
        <w:t xml:space="preserve"> </w:t>
      </w:r>
      <w:r>
        <w:rPr>
          <w:rFonts w:ascii="FangSong" w:hAnsi="FangSong" w:eastAsia="FangSong" w:cs="FangSong"/>
          <w:sz w:val="29"/>
          <w:szCs w:val="29"/>
          <w:spacing w:val="21"/>
        </w:rPr>
        <w:t>《医疗机构管理条例》第四十六条</w:t>
      </w:r>
      <w:r>
        <w:rPr>
          <w:rFonts w:ascii="FangSong" w:hAnsi="FangSong" w:eastAsia="FangSong" w:cs="FangSong"/>
          <w:sz w:val="29"/>
          <w:szCs w:val="29"/>
          <w:spacing w:val="21"/>
        </w:rPr>
        <w:t xml:space="preserve">  </w:t>
      </w:r>
      <w:r>
        <w:rPr>
          <w:rFonts w:ascii="FangSong" w:hAnsi="FangSong" w:eastAsia="FangSong" w:cs="FangSong"/>
          <w:sz w:val="29"/>
          <w:szCs w:val="29"/>
          <w:spacing w:val="21"/>
        </w:rPr>
        <w:t>违反本条例第二十六条规定，诊疗活</w:t>
      </w:r>
      <w:r>
        <w:rPr>
          <w:rFonts w:ascii="FangSong" w:hAnsi="FangSong" w:eastAsia="FangSong" w:cs="FangSong"/>
          <w:sz w:val="29"/>
          <w:szCs w:val="29"/>
          <w:spacing w:val="20"/>
        </w:rPr>
        <w:t>动超出登记或者备案</w:t>
      </w:r>
      <w:r>
        <w:rPr>
          <w:rFonts w:ascii="FangSong" w:hAnsi="FangSong" w:eastAsia="FangSong" w:cs="FangSong"/>
          <w:sz w:val="29"/>
          <w:szCs w:val="29"/>
        </w:rPr>
        <w:t xml:space="preserve"> </w:t>
      </w:r>
      <w:r>
        <w:rPr>
          <w:rFonts w:ascii="FangSong" w:hAnsi="FangSong" w:eastAsia="FangSong" w:cs="FangSong"/>
          <w:sz w:val="29"/>
          <w:szCs w:val="29"/>
          <w:spacing w:val="27"/>
        </w:rPr>
        <w:t>范围的，由县级以上人民政府卫生行政部门予以警告</w:t>
      </w:r>
      <w:r>
        <w:rPr>
          <w:rFonts w:ascii="FangSong" w:hAnsi="FangSong" w:eastAsia="FangSong" w:cs="FangSong"/>
          <w:sz w:val="29"/>
          <w:szCs w:val="29"/>
          <w:spacing w:val="26"/>
        </w:rPr>
        <w:t>、责令其改正，没收违法所得，并可以根据情节</w:t>
      </w:r>
      <w:r>
        <w:rPr>
          <w:rFonts w:ascii="FangSong" w:hAnsi="FangSong" w:eastAsia="FangSong" w:cs="FangSong"/>
          <w:sz w:val="29"/>
          <w:szCs w:val="29"/>
        </w:rPr>
        <w:t xml:space="preserve"> </w:t>
      </w:r>
      <w:r>
        <w:rPr>
          <w:rFonts w:ascii="FangSong" w:hAnsi="FangSong" w:eastAsia="FangSong" w:cs="FangSong"/>
          <w:sz w:val="29"/>
          <w:szCs w:val="29"/>
          <w:spacing w:val="36"/>
        </w:rPr>
        <w:t>处以1万元以上10万元以下的罚款；情节严重的，吊销其《医疗机构执业许可证》或者责令其停止</w:t>
      </w:r>
      <w:r>
        <w:rPr>
          <w:rFonts w:ascii="FangSong" w:hAnsi="FangSong" w:eastAsia="FangSong" w:cs="FangSong"/>
          <w:sz w:val="29"/>
          <w:szCs w:val="29"/>
          <w:spacing w:val="8"/>
        </w:rPr>
        <w:t xml:space="preserve"> </w:t>
      </w:r>
      <w:r>
        <w:rPr>
          <w:rFonts w:ascii="FangSong" w:hAnsi="FangSong" w:eastAsia="FangSong" w:cs="FangSong"/>
          <w:sz w:val="29"/>
          <w:szCs w:val="29"/>
          <w:spacing w:val="17"/>
        </w:rPr>
        <w:t>执业活动。</w:t>
      </w:r>
    </w:p>
    <w:p>
      <w:pPr>
        <w:ind w:left="6539"/>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4167"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5596"/>
        <w:gridCol w:w="7127"/>
      </w:tblGrid>
      <w:tr>
        <w:trPr>
          <w:trHeight w:val="414" w:hRule="atLeast"/>
        </w:trPr>
        <w:tc>
          <w:tcPr>
            <w:tcW w:w="1444" w:type="dxa"/>
            <w:vAlign w:val="top"/>
          </w:tcPr>
          <w:p>
            <w:pPr>
              <w:pStyle w:val="TableText"/>
              <w:ind w:left="218"/>
              <w:spacing w:before="82" w:line="220" w:lineRule="auto"/>
              <w:rPr>
                <w:sz w:val="25"/>
                <w:szCs w:val="25"/>
              </w:rPr>
            </w:pPr>
            <w:r>
              <w:rPr>
                <w:sz w:val="25"/>
                <w:szCs w:val="25"/>
                <w:b/>
                <w:bCs/>
                <w:spacing w:val="-5"/>
              </w:rPr>
              <w:t>违法程度</w:t>
            </w:r>
          </w:p>
        </w:tc>
        <w:tc>
          <w:tcPr>
            <w:tcW w:w="5596" w:type="dxa"/>
            <w:vAlign w:val="top"/>
          </w:tcPr>
          <w:p>
            <w:pPr>
              <w:pStyle w:val="TableText"/>
              <w:ind w:left="2294"/>
              <w:spacing w:before="82" w:line="220" w:lineRule="auto"/>
              <w:rPr>
                <w:sz w:val="25"/>
                <w:szCs w:val="25"/>
              </w:rPr>
            </w:pPr>
            <w:r>
              <w:rPr>
                <w:sz w:val="25"/>
                <w:szCs w:val="25"/>
                <w:b/>
                <w:bCs/>
                <w:spacing w:val="-5"/>
              </w:rPr>
              <w:t>违法后果</w:t>
            </w:r>
          </w:p>
        </w:tc>
        <w:tc>
          <w:tcPr>
            <w:tcW w:w="7127" w:type="dxa"/>
            <w:vAlign w:val="top"/>
          </w:tcPr>
          <w:p>
            <w:pPr>
              <w:pStyle w:val="TableText"/>
              <w:ind w:left="3058"/>
              <w:spacing w:before="79" w:line="218" w:lineRule="auto"/>
              <w:rPr>
                <w:sz w:val="25"/>
                <w:szCs w:val="25"/>
              </w:rPr>
            </w:pPr>
            <w:r>
              <w:rPr>
                <w:sz w:val="25"/>
                <w:szCs w:val="25"/>
                <w:b/>
                <w:bCs/>
                <w:spacing w:val="-5"/>
              </w:rPr>
              <w:t>裁量幅度</w:t>
            </w:r>
          </w:p>
        </w:tc>
      </w:tr>
      <w:tr>
        <w:trPr>
          <w:trHeight w:val="1585" w:hRule="atLeast"/>
        </w:trPr>
        <w:tc>
          <w:tcPr>
            <w:tcW w:w="1444" w:type="dxa"/>
            <w:vAlign w:val="top"/>
          </w:tcPr>
          <w:p>
            <w:pPr>
              <w:spacing w:line="292" w:lineRule="auto"/>
              <w:rPr>
                <w:rFonts w:ascii="Arial"/>
                <w:sz w:val="21"/>
              </w:rPr>
            </w:pPr>
            <w:r/>
          </w:p>
          <w:p>
            <w:pPr>
              <w:spacing w:line="292" w:lineRule="auto"/>
              <w:rPr>
                <w:rFonts w:ascii="Arial"/>
                <w:sz w:val="21"/>
              </w:rPr>
            </w:pPr>
            <w:r/>
          </w:p>
          <w:p>
            <w:pPr>
              <w:pStyle w:val="TableText"/>
              <w:ind w:left="468"/>
              <w:spacing w:before="81" w:line="221" w:lineRule="auto"/>
              <w:rPr>
                <w:sz w:val="25"/>
                <w:szCs w:val="25"/>
              </w:rPr>
            </w:pPr>
            <w:r>
              <w:rPr>
                <w:sz w:val="25"/>
                <w:szCs w:val="25"/>
                <w:b/>
                <w:bCs/>
                <w:spacing w:val="-10"/>
              </w:rPr>
              <w:t>一般</w:t>
            </w:r>
          </w:p>
        </w:tc>
        <w:tc>
          <w:tcPr>
            <w:tcW w:w="5596" w:type="dxa"/>
            <w:vAlign w:val="top"/>
          </w:tcPr>
          <w:p>
            <w:pPr>
              <w:pStyle w:val="TableText"/>
              <w:ind w:left="99" w:hanging="59"/>
              <w:spacing w:before="279" w:line="319" w:lineRule="auto"/>
              <w:jc w:val="both"/>
              <w:rPr>
                <w:sz w:val="25"/>
                <w:szCs w:val="25"/>
              </w:rPr>
            </w:pPr>
            <w:r>
              <w:rPr>
                <w:sz w:val="25"/>
                <w:szCs w:val="25"/>
                <w:spacing w:val="2"/>
              </w:rPr>
              <w:t>会诊邀请超出医疗机构诊疗科目，无违法所得的、</w:t>
            </w:r>
            <w:r>
              <w:rPr>
                <w:sz w:val="25"/>
                <w:szCs w:val="25"/>
              </w:rPr>
              <w:t xml:space="preserve"> </w:t>
            </w:r>
            <w:r>
              <w:rPr>
                <w:sz w:val="25"/>
                <w:szCs w:val="25"/>
                <w:spacing w:val="-4"/>
              </w:rPr>
              <w:t>违法所得无法认定的或诊疗活动违法所得在1万元</w:t>
            </w:r>
            <w:r>
              <w:rPr>
                <w:sz w:val="25"/>
                <w:szCs w:val="25"/>
              </w:rPr>
              <w:t xml:space="preserve">  </w:t>
            </w:r>
            <w:r>
              <w:rPr>
                <w:sz w:val="25"/>
                <w:szCs w:val="25"/>
                <w:spacing w:val="2"/>
              </w:rPr>
              <w:t>以下的</w:t>
            </w:r>
          </w:p>
        </w:tc>
        <w:tc>
          <w:tcPr>
            <w:tcW w:w="7127" w:type="dxa"/>
            <w:vAlign w:val="top"/>
          </w:tcPr>
          <w:p>
            <w:pPr>
              <w:spacing w:line="415" w:lineRule="auto"/>
              <w:rPr>
                <w:rFonts w:ascii="Arial"/>
                <w:sz w:val="21"/>
              </w:rPr>
            </w:pPr>
            <w:r/>
          </w:p>
          <w:p>
            <w:pPr>
              <w:pStyle w:val="TableText"/>
              <w:ind w:left="114" w:hanging="99"/>
              <w:spacing w:before="81" w:line="343" w:lineRule="auto"/>
              <w:rPr>
                <w:sz w:val="25"/>
                <w:szCs w:val="25"/>
              </w:rPr>
            </w:pPr>
            <w:r>
              <w:rPr>
                <w:sz w:val="25"/>
                <w:szCs w:val="25"/>
                <w:spacing w:val="-5"/>
              </w:rPr>
              <w:t>由县级以上人民政府卫生行政部门予以警告、责令其改</w:t>
            </w:r>
            <w:r>
              <w:rPr>
                <w:sz w:val="25"/>
                <w:szCs w:val="25"/>
                <w:spacing w:val="-6"/>
              </w:rPr>
              <w:t>正，并可以</w:t>
            </w:r>
            <w:r>
              <w:rPr>
                <w:sz w:val="25"/>
                <w:szCs w:val="25"/>
              </w:rPr>
              <w:t xml:space="preserve"> </w:t>
            </w:r>
            <w:r>
              <w:rPr>
                <w:sz w:val="25"/>
                <w:szCs w:val="25"/>
              </w:rPr>
              <w:t>根据情节处以1万元以上3万元以下的罚款</w:t>
            </w:r>
          </w:p>
        </w:tc>
      </w:tr>
      <w:tr>
        <w:trPr>
          <w:trHeight w:val="1610" w:hRule="atLeast"/>
        </w:trPr>
        <w:tc>
          <w:tcPr>
            <w:tcW w:w="1444" w:type="dxa"/>
            <w:vAlign w:val="top"/>
          </w:tcPr>
          <w:p>
            <w:pPr>
              <w:spacing w:line="300" w:lineRule="auto"/>
              <w:rPr>
                <w:rFonts w:ascii="Arial"/>
                <w:sz w:val="21"/>
              </w:rPr>
            </w:pPr>
            <w:r/>
          </w:p>
          <w:p>
            <w:pPr>
              <w:spacing w:line="301" w:lineRule="auto"/>
              <w:rPr>
                <w:rFonts w:ascii="Arial"/>
                <w:sz w:val="21"/>
              </w:rPr>
            </w:pPr>
            <w:r/>
          </w:p>
          <w:p>
            <w:pPr>
              <w:pStyle w:val="TableText"/>
              <w:ind w:left="468"/>
              <w:spacing w:before="81" w:line="221" w:lineRule="auto"/>
              <w:rPr>
                <w:sz w:val="25"/>
                <w:szCs w:val="25"/>
              </w:rPr>
            </w:pPr>
            <w:r>
              <w:rPr>
                <w:sz w:val="25"/>
                <w:szCs w:val="25"/>
                <w:b/>
                <w:bCs/>
                <w:spacing w:val="-6"/>
              </w:rPr>
              <w:t>较重</w:t>
            </w:r>
          </w:p>
        </w:tc>
        <w:tc>
          <w:tcPr>
            <w:tcW w:w="5596" w:type="dxa"/>
            <w:vAlign w:val="top"/>
          </w:tcPr>
          <w:p>
            <w:pPr>
              <w:spacing w:line="440" w:lineRule="auto"/>
              <w:rPr>
                <w:rFonts w:ascii="Arial"/>
                <w:sz w:val="21"/>
              </w:rPr>
            </w:pPr>
            <w:r/>
          </w:p>
          <w:p>
            <w:pPr>
              <w:pStyle w:val="TableText"/>
              <w:ind w:left="100" w:right="53" w:hanging="60"/>
              <w:spacing w:before="81" w:line="328" w:lineRule="auto"/>
              <w:rPr>
                <w:sz w:val="25"/>
                <w:szCs w:val="25"/>
              </w:rPr>
            </w:pPr>
            <w:r>
              <w:rPr>
                <w:sz w:val="25"/>
                <w:szCs w:val="25"/>
                <w:spacing w:val="-1"/>
              </w:rPr>
              <w:t>会诊邀请超出医疗机构诊疗科目的诊疗活动违法所</w:t>
            </w:r>
            <w:r>
              <w:rPr>
                <w:sz w:val="25"/>
                <w:szCs w:val="25"/>
                <w:spacing w:val="12"/>
              </w:rPr>
              <w:t xml:space="preserve"> </w:t>
            </w:r>
            <w:r>
              <w:rPr>
                <w:sz w:val="25"/>
                <w:szCs w:val="25"/>
                <w:spacing w:val="1"/>
              </w:rPr>
              <w:t>得在1万元以上5万元以下的</w:t>
            </w:r>
          </w:p>
        </w:tc>
        <w:tc>
          <w:tcPr>
            <w:tcW w:w="7127" w:type="dxa"/>
            <w:vAlign w:val="top"/>
          </w:tcPr>
          <w:p>
            <w:pPr>
              <w:spacing w:line="431" w:lineRule="auto"/>
              <w:rPr>
                <w:rFonts w:ascii="Arial"/>
                <w:sz w:val="21"/>
              </w:rPr>
            </w:pPr>
            <w:r/>
          </w:p>
          <w:p>
            <w:pPr>
              <w:pStyle w:val="TableText"/>
              <w:ind w:left="114" w:hanging="99"/>
              <w:spacing w:before="81" w:line="328" w:lineRule="auto"/>
              <w:rPr>
                <w:sz w:val="25"/>
                <w:szCs w:val="25"/>
              </w:rPr>
            </w:pPr>
            <w:r>
              <w:rPr>
                <w:sz w:val="25"/>
                <w:szCs w:val="25"/>
                <w:spacing w:val="-5"/>
              </w:rPr>
              <w:t>由县级以上人民政府卫生行政部门予以警告、责令其改</w:t>
            </w:r>
            <w:r>
              <w:rPr>
                <w:sz w:val="25"/>
                <w:szCs w:val="25"/>
                <w:spacing w:val="-6"/>
              </w:rPr>
              <w:t>正，并可以</w:t>
            </w:r>
            <w:r>
              <w:rPr>
                <w:sz w:val="25"/>
                <w:szCs w:val="25"/>
              </w:rPr>
              <w:t xml:space="preserve"> </w:t>
            </w:r>
            <w:r>
              <w:rPr>
                <w:sz w:val="25"/>
                <w:szCs w:val="25"/>
              </w:rPr>
              <w:t>根据情节处以3万元以上8万元以下的罚款</w:t>
            </w:r>
          </w:p>
        </w:tc>
      </w:tr>
    </w:tbl>
    <w:p>
      <w:pPr>
        <w:pStyle w:val="BodyText"/>
        <w:rPr/>
      </w:pPr>
      <w:r/>
    </w:p>
    <w:p>
      <w:pPr>
        <w:sectPr>
          <w:footerReference w:type="default" r:id="rId272"/>
          <w:pgSz w:w="16830" w:h="11900"/>
          <w:pgMar w:top="1011" w:right="1314" w:bottom="1118" w:left="1314" w:header="0" w:footer="785" w:gutter="0"/>
        </w:sectPr>
        <w:rPr/>
      </w:pPr>
    </w:p>
    <w:p>
      <w:pPr>
        <w:spacing w:before="20"/>
        <w:rPr/>
      </w:pPr>
      <w:r/>
    </w:p>
    <w:p>
      <w:pPr>
        <w:spacing w:before="20"/>
        <w:rPr/>
      </w:pPr>
      <w:r/>
    </w:p>
    <w:p>
      <w:pPr>
        <w:spacing w:before="19"/>
        <w:rPr/>
      </w:pPr>
      <w:r/>
    </w:p>
    <w:tbl>
      <w:tblPr>
        <w:tblStyle w:val="TableNormal"/>
        <w:tblW w:w="14167"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5596"/>
        <w:gridCol w:w="7137"/>
      </w:tblGrid>
      <w:tr>
        <w:trPr>
          <w:trHeight w:val="1759" w:hRule="atLeast"/>
        </w:trPr>
        <w:tc>
          <w:tcPr>
            <w:tcW w:w="1434" w:type="dxa"/>
            <w:vAlign w:val="top"/>
          </w:tcPr>
          <w:p>
            <w:pPr>
              <w:spacing w:line="338" w:lineRule="auto"/>
              <w:rPr>
                <w:rFonts w:ascii="Arial"/>
                <w:sz w:val="21"/>
              </w:rPr>
            </w:pPr>
            <w:r/>
          </w:p>
          <w:p>
            <w:pPr>
              <w:spacing w:line="339" w:lineRule="auto"/>
              <w:rPr>
                <w:rFonts w:ascii="Arial"/>
                <w:sz w:val="21"/>
              </w:rPr>
            </w:pPr>
            <w:r/>
          </w:p>
          <w:p>
            <w:pPr>
              <w:pStyle w:val="TableText"/>
              <w:ind w:left="458"/>
              <w:spacing w:before="81" w:line="220" w:lineRule="auto"/>
              <w:rPr>
                <w:sz w:val="25"/>
                <w:szCs w:val="25"/>
              </w:rPr>
            </w:pPr>
            <w:bookmarkStart w:name="bookmark927" w:id="294"/>
            <w:bookmarkEnd w:id="294"/>
            <w:r>
              <w:rPr>
                <w:sz w:val="25"/>
                <w:szCs w:val="25"/>
                <w:b/>
                <w:bCs/>
                <w:spacing w:val="-6"/>
              </w:rPr>
              <w:t>严重</w:t>
            </w:r>
          </w:p>
        </w:tc>
        <w:tc>
          <w:tcPr>
            <w:tcW w:w="5596" w:type="dxa"/>
            <w:vAlign w:val="top"/>
          </w:tcPr>
          <w:p>
            <w:pPr>
              <w:pStyle w:val="TableText"/>
              <w:ind w:left="110"/>
              <w:spacing w:before="146" w:line="220" w:lineRule="auto"/>
              <w:rPr>
                <w:sz w:val="25"/>
                <w:szCs w:val="25"/>
              </w:rPr>
            </w:pPr>
            <w:r>
              <w:rPr>
                <w:sz w:val="25"/>
                <w:szCs w:val="25"/>
                <w:spacing w:val="2"/>
              </w:rPr>
              <w:t>有下列情形之一的：</w:t>
            </w:r>
          </w:p>
          <w:p>
            <w:pPr>
              <w:pStyle w:val="TableText"/>
              <w:ind w:left="110" w:hanging="20"/>
              <w:spacing w:before="159" w:line="277" w:lineRule="auto"/>
              <w:rPr>
                <w:sz w:val="25"/>
                <w:szCs w:val="25"/>
              </w:rPr>
            </w:pPr>
            <w:r>
              <w:rPr>
                <w:sz w:val="25"/>
                <w:szCs w:val="25"/>
                <w:spacing w:val="-1"/>
              </w:rPr>
              <w:t>A.超出登记的诊疗科目范围的诊疗活动违法所得在</w:t>
            </w:r>
            <w:r>
              <w:rPr>
                <w:sz w:val="25"/>
                <w:szCs w:val="25"/>
                <w:spacing w:val="17"/>
              </w:rPr>
              <w:t xml:space="preserve"> </w:t>
            </w:r>
            <w:r>
              <w:rPr>
                <w:sz w:val="25"/>
                <w:szCs w:val="25"/>
                <w:spacing w:val="3"/>
              </w:rPr>
              <w:t>5万元以上的</w:t>
            </w:r>
          </w:p>
          <w:p>
            <w:pPr>
              <w:pStyle w:val="TableText"/>
              <w:ind w:left="110"/>
              <w:spacing w:before="151" w:line="180" w:lineRule="auto"/>
              <w:rPr>
                <w:sz w:val="25"/>
                <w:szCs w:val="25"/>
              </w:rPr>
            </w:pPr>
            <w:r>
              <w:rPr>
                <w:sz w:val="25"/>
                <w:szCs w:val="25"/>
                <w:spacing w:val="1"/>
              </w:rPr>
              <w:t>B.给患者造成伤害</w:t>
            </w:r>
          </w:p>
        </w:tc>
        <w:tc>
          <w:tcPr>
            <w:tcW w:w="7137" w:type="dxa"/>
            <w:vAlign w:val="top"/>
          </w:tcPr>
          <w:p>
            <w:pPr>
              <w:spacing w:line="254" w:lineRule="auto"/>
              <w:rPr>
                <w:rFonts w:ascii="Arial"/>
                <w:sz w:val="21"/>
              </w:rPr>
            </w:pPr>
            <w:r/>
          </w:p>
          <w:p>
            <w:pPr>
              <w:spacing w:line="255" w:lineRule="auto"/>
              <w:rPr>
                <w:rFonts w:ascii="Arial"/>
                <w:sz w:val="21"/>
              </w:rPr>
            </w:pPr>
            <w:r/>
          </w:p>
          <w:p>
            <w:pPr>
              <w:pStyle w:val="TableText"/>
              <w:ind w:left="113" w:hanging="99"/>
              <w:spacing w:before="81" w:line="328" w:lineRule="auto"/>
              <w:rPr>
                <w:sz w:val="25"/>
                <w:szCs w:val="25"/>
              </w:rPr>
            </w:pPr>
            <w:r>
              <w:rPr>
                <w:sz w:val="25"/>
                <w:szCs w:val="25"/>
                <w:spacing w:val="-5"/>
              </w:rPr>
              <w:t>由县级以上人民政府卫生行政部门予以警告、责令其改正，并可以</w:t>
            </w:r>
            <w:r>
              <w:rPr>
                <w:sz w:val="25"/>
                <w:szCs w:val="25"/>
                <w:spacing w:val="6"/>
              </w:rPr>
              <w:t xml:space="preserve"> </w:t>
            </w:r>
            <w:r>
              <w:rPr>
                <w:sz w:val="25"/>
                <w:szCs w:val="25"/>
                <w:spacing w:val="-1"/>
              </w:rPr>
              <w:t>根据情节处以8万元以上10万元以下的罚款</w:t>
            </w:r>
          </w:p>
        </w:tc>
      </w:tr>
      <w:tr>
        <w:trPr>
          <w:trHeight w:val="1331" w:hRule="atLeast"/>
        </w:trPr>
        <w:tc>
          <w:tcPr>
            <w:tcW w:w="1434" w:type="dxa"/>
            <w:vAlign w:val="top"/>
          </w:tcPr>
          <w:p>
            <w:pPr>
              <w:spacing w:line="458" w:lineRule="auto"/>
              <w:rPr>
                <w:rFonts w:ascii="Arial"/>
                <w:sz w:val="21"/>
              </w:rPr>
            </w:pPr>
            <w:r/>
          </w:p>
          <w:p>
            <w:pPr>
              <w:pStyle w:val="TableText"/>
              <w:ind w:left="208"/>
              <w:spacing w:before="82" w:line="219" w:lineRule="auto"/>
              <w:rPr>
                <w:sz w:val="25"/>
                <w:szCs w:val="25"/>
              </w:rPr>
            </w:pPr>
            <w:r>
              <w:rPr>
                <w:sz w:val="25"/>
                <w:szCs w:val="25"/>
                <w:b/>
                <w:bCs/>
                <w:spacing w:val="-5"/>
              </w:rPr>
              <w:t>特别严重</w:t>
            </w:r>
          </w:p>
        </w:tc>
        <w:tc>
          <w:tcPr>
            <w:tcW w:w="5596" w:type="dxa"/>
            <w:vAlign w:val="top"/>
          </w:tcPr>
          <w:p>
            <w:pPr>
              <w:spacing w:line="463" w:lineRule="auto"/>
              <w:rPr>
                <w:rFonts w:ascii="Arial"/>
                <w:sz w:val="21"/>
              </w:rPr>
            </w:pPr>
            <w:r/>
          </w:p>
          <w:p>
            <w:pPr>
              <w:pStyle w:val="TableText"/>
              <w:ind w:left="110"/>
              <w:spacing w:before="81" w:line="220" w:lineRule="auto"/>
              <w:rPr>
                <w:sz w:val="25"/>
                <w:szCs w:val="25"/>
              </w:rPr>
            </w:pPr>
            <w:r>
              <w:rPr>
                <w:sz w:val="25"/>
                <w:szCs w:val="25"/>
                <w:spacing w:val="1"/>
              </w:rPr>
              <w:t>情节严重，造成患者死亡的</w:t>
            </w:r>
          </w:p>
        </w:tc>
        <w:tc>
          <w:tcPr>
            <w:tcW w:w="7137" w:type="dxa"/>
            <w:vAlign w:val="top"/>
          </w:tcPr>
          <w:p>
            <w:pPr>
              <w:pStyle w:val="TableText"/>
              <w:ind w:left="53" w:hanging="39"/>
              <w:spacing w:before="163" w:line="285" w:lineRule="auto"/>
              <w:jc w:val="both"/>
              <w:rPr>
                <w:sz w:val="25"/>
                <w:szCs w:val="25"/>
              </w:rPr>
            </w:pPr>
            <w:r>
              <w:rPr>
                <w:sz w:val="25"/>
                <w:szCs w:val="25"/>
                <w:spacing w:val="-5"/>
              </w:rPr>
              <w:t>由县级以上人民政府卫生行政部门予以警告、责令其改正，并可以</w:t>
            </w:r>
            <w:r>
              <w:rPr>
                <w:sz w:val="25"/>
                <w:szCs w:val="25"/>
                <w:spacing w:val="6"/>
              </w:rPr>
              <w:t xml:space="preserve"> </w:t>
            </w:r>
            <w:r>
              <w:rPr>
                <w:sz w:val="25"/>
                <w:szCs w:val="25"/>
              </w:rPr>
              <w:t>根据情节处以10万元的罚款，吊销其《医疗机构执业许可证》或 </w:t>
            </w:r>
            <w:r>
              <w:rPr>
                <w:sz w:val="25"/>
                <w:szCs w:val="25"/>
                <w:spacing w:val="6"/>
              </w:rPr>
              <w:t>者责令其停止执业活动</w:t>
            </w:r>
          </w:p>
        </w:tc>
      </w:tr>
    </w:tbl>
    <w:p>
      <w:pPr>
        <w:pStyle w:val="BodyText"/>
        <w:spacing w:line="397" w:lineRule="auto"/>
        <w:rPr/>
      </w:pPr>
      <w:r/>
    </w:p>
    <w:p>
      <w:pPr>
        <w:ind w:left="769"/>
        <w:spacing w:before="97" w:line="220" w:lineRule="auto"/>
        <w:rPr>
          <w:rFonts w:ascii="FangSong" w:hAnsi="FangSong" w:eastAsia="FangSong" w:cs="FangSong"/>
          <w:sz w:val="30"/>
          <w:szCs w:val="30"/>
        </w:rPr>
      </w:pPr>
      <w:r>
        <w:rPr>
          <w:rFonts w:ascii="FangSong" w:hAnsi="FangSong" w:eastAsia="FangSong" w:cs="FangSong"/>
          <w:sz w:val="30"/>
          <w:szCs w:val="30"/>
          <w:b/>
          <w:bCs/>
          <w:spacing w:val="21"/>
        </w:rPr>
        <w:t>第二百一十条医疗机构违反《医师外出会诊管理暂行规定》第六条、第八条、第十五条的</w:t>
      </w:r>
    </w:p>
    <w:p>
      <w:pPr>
        <w:ind w:left="764"/>
        <w:spacing w:before="9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14" w:firstLine="630"/>
        <w:spacing w:before="94" w:line="271" w:lineRule="auto"/>
        <w:jc w:val="both"/>
        <w:rPr>
          <w:rFonts w:ascii="FangSong" w:hAnsi="FangSong" w:eastAsia="FangSong" w:cs="FangSong"/>
          <w:sz w:val="30"/>
          <w:szCs w:val="30"/>
        </w:rPr>
      </w:pPr>
      <w:r>
        <w:rPr>
          <w:rFonts w:ascii="FangSong" w:hAnsi="FangSong" w:eastAsia="FangSong" w:cs="FangSong"/>
          <w:sz w:val="30"/>
          <w:szCs w:val="30"/>
          <w:spacing w:val="18"/>
        </w:rPr>
        <w:t>《医师外出会诊管理暂行规定》第十九条</w:t>
      </w:r>
      <w:r>
        <w:rPr>
          <w:rFonts w:ascii="FangSong" w:hAnsi="FangSong" w:eastAsia="FangSong" w:cs="FangSong"/>
          <w:sz w:val="30"/>
          <w:szCs w:val="30"/>
          <w:spacing w:val="18"/>
        </w:rPr>
        <w:t xml:space="preserve">  </w:t>
      </w:r>
      <w:r>
        <w:rPr>
          <w:rFonts w:ascii="FangSong" w:hAnsi="FangSong" w:eastAsia="FangSong" w:cs="FangSong"/>
          <w:sz w:val="30"/>
          <w:szCs w:val="30"/>
          <w:spacing w:val="18"/>
        </w:rPr>
        <w:t>医疗机构违反本规定第六条、第八条、第十五条的，</w:t>
      </w:r>
      <w:r>
        <w:rPr>
          <w:rFonts w:ascii="FangSong" w:hAnsi="FangSong" w:eastAsia="FangSong" w:cs="FangSong"/>
          <w:sz w:val="30"/>
          <w:szCs w:val="30"/>
          <w:spacing w:val="5"/>
        </w:rPr>
        <w:t xml:space="preserve"> </w:t>
      </w:r>
      <w:r>
        <w:rPr>
          <w:rFonts w:ascii="FangSong" w:hAnsi="FangSong" w:eastAsia="FangSong" w:cs="FangSong"/>
          <w:sz w:val="30"/>
          <w:szCs w:val="30"/>
          <w:spacing w:val="13"/>
        </w:rPr>
        <w:t>由县级以上卫生行政部门责令改正，给予警告；诊疗活动超出登记</w:t>
      </w:r>
      <w:r>
        <w:rPr>
          <w:rFonts w:ascii="FangSong" w:hAnsi="FangSong" w:eastAsia="FangSong" w:cs="FangSong"/>
          <w:sz w:val="30"/>
          <w:szCs w:val="30"/>
          <w:spacing w:val="12"/>
        </w:rPr>
        <w:t>范围的，按照《医疗机构管理条例》</w:t>
      </w:r>
      <w:r>
        <w:rPr>
          <w:rFonts w:ascii="FangSong" w:hAnsi="FangSong" w:eastAsia="FangSong" w:cs="FangSong"/>
          <w:sz w:val="30"/>
          <w:szCs w:val="30"/>
        </w:rPr>
        <w:t xml:space="preserve"> </w:t>
      </w:r>
      <w:r>
        <w:rPr>
          <w:rFonts w:ascii="FangSong" w:hAnsi="FangSong" w:eastAsia="FangSong" w:cs="FangSong"/>
          <w:sz w:val="30"/>
          <w:szCs w:val="30"/>
          <w:spacing w:val="12"/>
        </w:rPr>
        <w:t>第四十七条处理。</w:t>
      </w:r>
    </w:p>
    <w:p>
      <w:pPr>
        <w:ind w:left="114" w:right="33" w:firstLine="630"/>
        <w:spacing w:line="271" w:lineRule="auto"/>
        <w:jc w:val="both"/>
        <w:rPr>
          <w:rFonts w:ascii="FangSong" w:hAnsi="FangSong" w:eastAsia="FangSong" w:cs="FangSong"/>
          <w:sz w:val="30"/>
          <w:szCs w:val="30"/>
        </w:rPr>
      </w:pPr>
      <w:r>
        <w:rPr>
          <w:rFonts w:ascii="FangSong" w:hAnsi="FangSong" w:eastAsia="FangSong" w:cs="FangSong"/>
          <w:sz w:val="30"/>
          <w:szCs w:val="30"/>
          <w:spacing w:val="18"/>
        </w:rPr>
        <w:t>《医师外出会诊管理暂行规定》第六条</w:t>
      </w:r>
      <w:r>
        <w:rPr>
          <w:rFonts w:ascii="FangSong" w:hAnsi="FangSong" w:eastAsia="FangSong" w:cs="FangSong"/>
          <w:sz w:val="30"/>
          <w:szCs w:val="30"/>
          <w:spacing w:val="18"/>
        </w:rPr>
        <w:t xml:space="preserve">  </w:t>
      </w:r>
      <w:r>
        <w:rPr>
          <w:rFonts w:ascii="FangSong" w:hAnsi="FangSong" w:eastAsia="FangSong" w:cs="FangSong"/>
          <w:sz w:val="30"/>
          <w:szCs w:val="30"/>
          <w:spacing w:val="18"/>
        </w:rPr>
        <w:t>有下列情形之一的，医疗机构不得提出会诊邀请：(一)</w:t>
      </w:r>
      <w:r>
        <w:rPr>
          <w:rFonts w:ascii="FangSong" w:hAnsi="FangSong" w:eastAsia="FangSong" w:cs="FangSong"/>
          <w:sz w:val="30"/>
          <w:szCs w:val="30"/>
          <w:spacing w:val="13"/>
        </w:rPr>
        <w:t xml:space="preserve"> </w:t>
      </w:r>
      <w:r>
        <w:rPr>
          <w:rFonts w:ascii="FangSong" w:hAnsi="FangSong" w:eastAsia="FangSong" w:cs="FangSong"/>
          <w:sz w:val="30"/>
          <w:szCs w:val="30"/>
          <w:spacing w:val="24"/>
        </w:rPr>
        <w:t>会诊邀请超出本单位诊疗科目或者本单位不具备相应资质的；(二)</w:t>
      </w:r>
      <w:r>
        <w:rPr>
          <w:rFonts w:ascii="FangSong" w:hAnsi="FangSong" w:eastAsia="FangSong" w:cs="FangSong"/>
          <w:sz w:val="30"/>
          <w:szCs w:val="30"/>
          <w:spacing w:val="23"/>
        </w:rPr>
        <w:t>本单位的技术力量、设备、设施</w:t>
      </w:r>
      <w:r>
        <w:rPr>
          <w:rFonts w:ascii="FangSong" w:hAnsi="FangSong" w:eastAsia="FangSong" w:cs="FangSong"/>
          <w:sz w:val="30"/>
          <w:szCs w:val="30"/>
        </w:rPr>
        <w:t xml:space="preserve"> </w:t>
      </w:r>
      <w:r>
        <w:rPr>
          <w:rFonts w:ascii="FangSong" w:hAnsi="FangSong" w:eastAsia="FangSong" w:cs="FangSong"/>
          <w:sz w:val="30"/>
          <w:szCs w:val="30"/>
          <w:spacing w:val="31"/>
        </w:rPr>
        <w:t>不能为会诊提供必要的医疗安全保障的；(三</w:t>
      </w:r>
      <w:r>
        <w:rPr>
          <w:rFonts w:ascii="FangSong" w:hAnsi="FangSong" w:eastAsia="FangSong" w:cs="FangSong"/>
          <w:sz w:val="30"/>
          <w:szCs w:val="30"/>
          <w:spacing w:val="30"/>
        </w:rPr>
        <w:t>)会诊邀请超出被邀请医师执业范围的；(四)省级卫</w:t>
      </w:r>
      <w:r>
        <w:rPr>
          <w:rFonts w:ascii="FangSong" w:hAnsi="FangSong" w:eastAsia="FangSong" w:cs="FangSong"/>
          <w:sz w:val="30"/>
          <w:szCs w:val="30"/>
        </w:rPr>
        <w:t xml:space="preserve"> </w:t>
      </w:r>
      <w:r>
        <w:rPr>
          <w:rFonts w:ascii="FangSong" w:hAnsi="FangSong" w:eastAsia="FangSong" w:cs="FangSong"/>
          <w:sz w:val="30"/>
          <w:szCs w:val="30"/>
          <w:spacing w:val="13"/>
        </w:rPr>
        <w:t>生行政部门规定的其他情形。</w:t>
      </w:r>
    </w:p>
    <w:p>
      <w:pPr>
        <w:ind w:left="744"/>
        <w:spacing w:before="9" w:line="221" w:lineRule="auto"/>
        <w:rPr>
          <w:rFonts w:ascii="FangSong" w:hAnsi="FangSong" w:eastAsia="FangSong" w:cs="FangSong"/>
          <w:sz w:val="30"/>
          <w:szCs w:val="30"/>
        </w:rPr>
      </w:pPr>
      <w:r>
        <w:rPr>
          <w:rFonts w:ascii="FangSong" w:hAnsi="FangSong" w:eastAsia="FangSong" w:cs="FangSong"/>
          <w:sz w:val="30"/>
          <w:szCs w:val="30"/>
          <w:spacing w:val="18"/>
        </w:rPr>
        <w:t>《医师外出会诊管理暂行规定》第八条</w:t>
      </w:r>
      <w:r>
        <w:rPr>
          <w:rFonts w:ascii="FangSong" w:hAnsi="FangSong" w:eastAsia="FangSong" w:cs="FangSong"/>
          <w:sz w:val="30"/>
          <w:szCs w:val="30"/>
          <w:spacing w:val="18"/>
        </w:rPr>
        <w:t xml:space="preserve">  </w:t>
      </w:r>
      <w:r>
        <w:rPr>
          <w:rFonts w:ascii="FangSong" w:hAnsi="FangSong" w:eastAsia="FangSong" w:cs="FangSong"/>
          <w:sz w:val="30"/>
          <w:szCs w:val="30"/>
          <w:spacing w:val="18"/>
        </w:rPr>
        <w:t>有下列情形之一的</w:t>
      </w:r>
      <w:r>
        <w:rPr>
          <w:rFonts w:ascii="FangSong" w:hAnsi="FangSong" w:eastAsia="FangSong" w:cs="FangSong"/>
          <w:sz w:val="30"/>
          <w:szCs w:val="30"/>
          <w:spacing w:val="17"/>
        </w:rPr>
        <w:t>，医疗机构不得派出医师外出会诊：</w:t>
      </w:r>
    </w:p>
    <w:p>
      <w:pPr>
        <w:pStyle w:val="BodyText"/>
        <w:spacing w:line="304" w:lineRule="auto"/>
        <w:rPr/>
      </w:pPr>
      <w:r/>
    </w:p>
    <w:p>
      <w:pPr>
        <w:pStyle w:val="BodyText"/>
        <w:spacing w:line="304" w:lineRule="auto"/>
        <w:rPr/>
      </w:pPr>
      <w:r/>
    </w:p>
    <w:p>
      <w:pPr>
        <w:pStyle w:val="BodyText"/>
        <w:spacing w:line="305" w:lineRule="auto"/>
        <w:rPr/>
      </w:pPr>
      <w:r/>
    </w:p>
    <w:p>
      <w:pPr>
        <w:ind w:left="6454"/>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—294—</w:t>
      </w:r>
    </w:p>
    <w:p>
      <w:pPr>
        <w:spacing w:line="188" w:lineRule="auto"/>
        <w:sectPr>
          <w:footerReference w:type="default" r:id="rId24"/>
          <w:pgSz w:w="16830" w:h="11900"/>
          <w:pgMar w:top="1011" w:right="1319" w:bottom="400" w:left="1325" w:header="0" w:footer="0" w:gutter="0"/>
        </w:sectPr>
        <w:rPr>
          <w:rFonts w:ascii="Times New Roman" w:hAnsi="Times New Roman" w:eastAsia="Times New Roman" w:cs="Times New Roman"/>
          <w:sz w:val="37"/>
          <w:szCs w:val="37"/>
        </w:rPr>
      </w:pPr>
    </w:p>
    <w:p>
      <w:pPr>
        <w:pStyle w:val="BodyText"/>
        <w:spacing w:line="252" w:lineRule="auto"/>
        <w:rPr/>
      </w:pPr>
      <w:r/>
    </w:p>
    <w:p>
      <w:pPr>
        <w:pStyle w:val="BodyText"/>
        <w:spacing w:line="253" w:lineRule="auto"/>
        <w:rPr/>
      </w:pPr>
      <w:r/>
    </w:p>
    <w:p>
      <w:pPr>
        <w:pStyle w:val="BodyText"/>
        <w:spacing w:line="253" w:lineRule="auto"/>
        <w:rPr/>
      </w:pPr>
      <w:r/>
    </w:p>
    <w:p>
      <w:pPr>
        <w:ind w:left="124" w:right="114" w:firstLine="149"/>
        <w:spacing w:before="100" w:line="275" w:lineRule="auto"/>
        <w:jc w:val="both"/>
        <w:rPr>
          <w:rFonts w:ascii="FangSong" w:hAnsi="FangSong" w:eastAsia="FangSong" w:cs="FangSong"/>
          <w:sz w:val="26"/>
          <w:szCs w:val="26"/>
        </w:rPr>
      </w:pPr>
      <w:bookmarkStart w:name="bookmark928" w:id="295"/>
      <w:bookmarkEnd w:id="295"/>
      <w:r>
        <w:rPr>
          <w:rFonts w:ascii="FangSong" w:hAnsi="FangSong" w:eastAsia="FangSong" w:cs="FangSong"/>
          <w:sz w:val="31"/>
          <w:szCs w:val="31"/>
          <w:spacing w:val="18"/>
        </w:rPr>
        <w:t>(一)会诊邀请超出本单位诊疗科目或者本单位不具备相应资质的；(</w:t>
      </w:r>
      <w:r>
        <w:rPr>
          <w:rFonts w:ascii="FangSong" w:hAnsi="FangSong" w:eastAsia="FangSong" w:cs="FangSong"/>
          <w:sz w:val="31"/>
          <w:szCs w:val="31"/>
          <w:spacing w:val="17"/>
        </w:rPr>
        <w:t>二)会诊邀请超出被邀请医师</w:t>
      </w:r>
      <w:r>
        <w:rPr>
          <w:rFonts w:ascii="FangSong" w:hAnsi="FangSong" w:eastAsia="FangSong" w:cs="FangSong"/>
          <w:sz w:val="31"/>
          <w:szCs w:val="31"/>
        </w:rPr>
        <w:t xml:space="preserve"> </w:t>
      </w:r>
      <w:r>
        <w:rPr>
          <w:rFonts w:ascii="FangSong" w:hAnsi="FangSong" w:eastAsia="FangSong" w:cs="FangSong"/>
          <w:sz w:val="31"/>
          <w:szCs w:val="31"/>
          <w:spacing w:val="21"/>
        </w:rPr>
        <w:t>执业范围的；(三)邀请医疗机构不具备相应医疗救治条件的；(四</w:t>
      </w:r>
      <w:r>
        <w:rPr>
          <w:rFonts w:ascii="FangSong" w:hAnsi="FangSong" w:eastAsia="FangSong" w:cs="FangSong"/>
          <w:sz w:val="31"/>
          <w:szCs w:val="31"/>
          <w:spacing w:val="20"/>
        </w:rPr>
        <w:t>)省级卫生行政部门规定的其他</w:t>
      </w:r>
      <w:r>
        <w:rPr>
          <w:rFonts w:ascii="FangSong" w:hAnsi="FangSong" w:eastAsia="FangSong" w:cs="FangSong"/>
          <w:sz w:val="31"/>
          <w:szCs w:val="31"/>
        </w:rPr>
        <w:t xml:space="preserve"> </w:t>
      </w:r>
      <w:r>
        <w:rPr>
          <w:rFonts w:ascii="FangSong" w:hAnsi="FangSong" w:eastAsia="FangSong" w:cs="FangSong"/>
          <w:sz w:val="26"/>
          <w:szCs w:val="26"/>
          <w:spacing w:val="-14"/>
        </w:rPr>
        <w:t>情</w:t>
      </w:r>
      <w:r>
        <w:rPr>
          <w:rFonts w:ascii="FangSong" w:hAnsi="FangSong" w:eastAsia="FangSong" w:cs="FangSong"/>
          <w:sz w:val="26"/>
          <w:szCs w:val="26"/>
          <w:spacing w:val="-34"/>
        </w:rPr>
        <w:t xml:space="preserve"> </w:t>
      </w:r>
      <w:r>
        <w:rPr>
          <w:rFonts w:ascii="FangSong" w:hAnsi="FangSong" w:eastAsia="FangSong" w:cs="FangSong"/>
          <w:sz w:val="26"/>
          <w:szCs w:val="26"/>
          <w:spacing w:val="-14"/>
        </w:rPr>
        <w:t>形</w:t>
      </w:r>
      <w:r>
        <w:rPr>
          <w:rFonts w:ascii="FangSong" w:hAnsi="FangSong" w:eastAsia="FangSong" w:cs="FangSong"/>
          <w:sz w:val="26"/>
          <w:szCs w:val="26"/>
          <w:spacing w:val="-51"/>
        </w:rPr>
        <w:t xml:space="preserve"> </w:t>
      </w:r>
      <w:r>
        <w:rPr>
          <w:rFonts w:ascii="FangSong" w:hAnsi="FangSong" w:eastAsia="FangSong" w:cs="FangSong"/>
          <w:sz w:val="26"/>
          <w:szCs w:val="26"/>
          <w:spacing w:val="-14"/>
        </w:rPr>
        <w:t>。</w:t>
      </w:r>
    </w:p>
    <w:p>
      <w:pPr>
        <w:ind w:left="124" w:right="89" w:hanging="5"/>
        <w:spacing w:before="13" w:line="262" w:lineRule="auto"/>
        <w:jc w:val="both"/>
        <w:rPr>
          <w:rFonts w:ascii="FangSong" w:hAnsi="FangSong" w:eastAsia="FangSong" w:cs="FangSong"/>
          <w:sz w:val="31"/>
          <w:szCs w:val="31"/>
        </w:rPr>
      </w:pPr>
      <w:r>
        <w:rPr>
          <w:rFonts w:ascii="FangSong" w:hAnsi="FangSong" w:eastAsia="FangSong" w:cs="FangSong"/>
          <w:sz w:val="31"/>
          <w:szCs w:val="31"/>
          <w:spacing w:val="6"/>
        </w:rPr>
        <w:t>《医师外出会诊管理暂行规定》第十五条</w:t>
      </w:r>
      <w:r>
        <w:rPr>
          <w:rFonts w:ascii="FangSong" w:hAnsi="FangSong" w:eastAsia="FangSong" w:cs="FangSong"/>
          <w:sz w:val="31"/>
          <w:szCs w:val="31"/>
          <w:spacing w:val="50"/>
        </w:rPr>
        <w:t xml:space="preserve">  </w:t>
      </w:r>
      <w:r>
        <w:rPr>
          <w:rFonts w:ascii="FangSong" w:hAnsi="FangSong" w:eastAsia="FangSong" w:cs="FangSong"/>
          <w:sz w:val="31"/>
          <w:szCs w:val="31"/>
          <w:spacing w:val="6"/>
        </w:rPr>
        <w:t>会诊中涉及的</w:t>
      </w:r>
      <w:r>
        <w:rPr>
          <w:rFonts w:ascii="FangSong" w:hAnsi="FangSong" w:eastAsia="FangSong" w:cs="FangSong"/>
          <w:sz w:val="31"/>
          <w:szCs w:val="31"/>
          <w:spacing w:val="5"/>
        </w:rPr>
        <w:t>会诊费用按照邀请医疗机构所在地的规定执</w:t>
      </w:r>
      <w:r>
        <w:rPr>
          <w:rFonts w:ascii="FangSong" w:hAnsi="FangSong" w:eastAsia="FangSong" w:cs="FangSong"/>
          <w:sz w:val="31"/>
          <w:szCs w:val="31"/>
        </w:rPr>
        <w:t xml:space="preserve"> </w:t>
      </w:r>
      <w:r>
        <w:rPr>
          <w:rFonts w:ascii="FangSong" w:hAnsi="FangSong" w:eastAsia="FangSong" w:cs="FangSong"/>
          <w:sz w:val="31"/>
          <w:szCs w:val="31"/>
          <w:spacing w:val="7"/>
        </w:rPr>
        <w:t>行。差旅费按照实际发生额结算，不得重复收费。属医疗机构根据诊疗需要邀请的，差旅费由医疗机</w:t>
      </w:r>
      <w:r>
        <w:rPr>
          <w:rFonts w:ascii="FangSong" w:hAnsi="FangSong" w:eastAsia="FangSong" w:cs="FangSong"/>
          <w:sz w:val="31"/>
          <w:szCs w:val="31"/>
        </w:rPr>
        <w:t xml:space="preserve"> </w:t>
      </w:r>
      <w:r>
        <w:rPr>
          <w:rFonts w:ascii="FangSong" w:hAnsi="FangSong" w:eastAsia="FangSong" w:cs="FangSong"/>
          <w:sz w:val="31"/>
          <w:szCs w:val="31"/>
          <w:spacing w:val="7"/>
        </w:rPr>
        <w:t>构承担；属患者主动要求邀请的，差旅费由患者承担，收</w:t>
      </w:r>
      <w:r>
        <w:rPr>
          <w:rFonts w:ascii="FangSong" w:hAnsi="FangSong" w:eastAsia="FangSong" w:cs="FangSong"/>
          <w:sz w:val="31"/>
          <w:szCs w:val="31"/>
          <w:spacing w:val="6"/>
        </w:rPr>
        <w:t>费方应向患者提供正式收费票据。会诊中涉</w:t>
      </w:r>
      <w:r>
        <w:rPr>
          <w:rFonts w:ascii="FangSong" w:hAnsi="FangSong" w:eastAsia="FangSong" w:cs="FangSong"/>
          <w:sz w:val="31"/>
          <w:szCs w:val="31"/>
        </w:rPr>
        <w:t xml:space="preserve"> </w:t>
      </w:r>
      <w:r>
        <w:rPr>
          <w:rFonts w:ascii="FangSong" w:hAnsi="FangSong" w:eastAsia="FangSong" w:cs="FangSong"/>
          <w:sz w:val="31"/>
          <w:szCs w:val="31"/>
          <w:spacing w:val="7"/>
        </w:rPr>
        <w:t>及的治疗、手术等收费标准可在当地规定的基础上酌情加收，加</w:t>
      </w:r>
      <w:r>
        <w:rPr>
          <w:rFonts w:ascii="FangSong" w:hAnsi="FangSong" w:eastAsia="FangSong" w:cs="FangSong"/>
          <w:sz w:val="31"/>
          <w:szCs w:val="31"/>
          <w:spacing w:val="6"/>
        </w:rPr>
        <w:t>收幅度由省级价格主管部门会同同级</w:t>
      </w:r>
      <w:r>
        <w:rPr>
          <w:rFonts w:ascii="FangSong" w:hAnsi="FangSong" w:eastAsia="FangSong" w:cs="FangSong"/>
          <w:sz w:val="31"/>
          <w:szCs w:val="31"/>
        </w:rPr>
        <w:t xml:space="preserve"> </w:t>
      </w:r>
      <w:r>
        <w:rPr>
          <w:rFonts w:ascii="FangSong" w:hAnsi="FangSong" w:eastAsia="FangSong" w:cs="FangSong"/>
          <w:sz w:val="31"/>
          <w:szCs w:val="31"/>
          <w:spacing w:val="7"/>
        </w:rPr>
        <w:t>卫生行政部门确定。邀请医疗机构支付会诊费用应当统一</w:t>
      </w:r>
      <w:r>
        <w:rPr>
          <w:rFonts w:ascii="FangSong" w:hAnsi="FangSong" w:eastAsia="FangSong" w:cs="FangSong"/>
          <w:sz w:val="31"/>
          <w:szCs w:val="31"/>
          <w:spacing w:val="6"/>
        </w:rPr>
        <w:t>支付给会诊医疗机构，不得支付给会诊医师</w:t>
      </w:r>
      <w:r>
        <w:rPr>
          <w:rFonts w:ascii="FangSong" w:hAnsi="FangSong" w:eastAsia="FangSong" w:cs="FangSong"/>
          <w:sz w:val="31"/>
          <w:szCs w:val="31"/>
        </w:rPr>
        <w:t xml:space="preserve"> </w:t>
      </w:r>
      <w:r>
        <w:rPr>
          <w:rFonts w:ascii="FangSong" w:hAnsi="FangSong" w:eastAsia="FangSong" w:cs="FangSong"/>
          <w:sz w:val="31"/>
          <w:szCs w:val="31"/>
          <w:spacing w:val="8"/>
        </w:rPr>
        <w:t>本人。会诊医疗机构由于会诊产生的收入，应纳入单位财务</w:t>
      </w:r>
      <w:r>
        <w:rPr>
          <w:rFonts w:ascii="FangSong" w:hAnsi="FangSong" w:eastAsia="FangSong" w:cs="FangSong"/>
          <w:sz w:val="31"/>
          <w:szCs w:val="31"/>
          <w:spacing w:val="7"/>
        </w:rPr>
        <w:t>部门统一核算。</w:t>
      </w:r>
    </w:p>
    <w:p>
      <w:pPr>
        <w:ind w:left="6548"/>
        <w:spacing w:before="9"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34" w:lineRule="auto"/>
        <w:rPr>
          <w:rFonts w:ascii="Arial"/>
          <w:sz w:val="2"/>
        </w:rPr>
      </w:pPr>
      <w:r>
        <w:rPr>
          <w:rFonts w:ascii="Arial"/>
          <w:sz w:val="2"/>
        </w:rPr>
      </w:r>
    </w:p>
    <w:tbl>
      <w:tblPr>
        <w:tblStyle w:val="TableNormal"/>
        <w:tblW w:w="141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8154"/>
        <w:gridCol w:w="4581"/>
      </w:tblGrid>
      <w:tr>
        <w:trPr>
          <w:trHeight w:val="420" w:hRule="atLeast"/>
        </w:trPr>
        <w:tc>
          <w:tcPr>
            <w:tcW w:w="1444" w:type="dxa"/>
            <w:vAlign w:val="top"/>
          </w:tcPr>
          <w:p>
            <w:pPr>
              <w:pStyle w:val="TableText"/>
              <w:ind w:left="198"/>
              <w:spacing w:before="82" w:line="220" w:lineRule="auto"/>
              <w:rPr>
                <w:sz w:val="26"/>
                <w:szCs w:val="26"/>
              </w:rPr>
            </w:pPr>
            <w:r>
              <w:rPr>
                <w:sz w:val="26"/>
                <w:szCs w:val="26"/>
                <w:b/>
                <w:bCs/>
                <w:spacing w:val="-5"/>
              </w:rPr>
              <w:t>违法程度</w:t>
            </w:r>
          </w:p>
        </w:tc>
        <w:tc>
          <w:tcPr>
            <w:tcW w:w="8154" w:type="dxa"/>
            <w:vAlign w:val="top"/>
          </w:tcPr>
          <w:p>
            <w:pPr>
              <w:pStyle w:val="TableText"/>
              <w:ind w:left="3554"/>
              <w:spacing w:before="82" w:line="220" w:lineRule="auto"/>
              <w:rPr>
                <w:sz w:val="26"/>
                <w:szCs w:val="26"/>
              </w:rPr>
            </w:pPr>
            <w:r>
              <w:rPr>
                <w:sz w:val="26"/>
                <w:szCs w:val="26"/>
                <w:b/>
                <w:bCs/>
                <w:spacing w:val="-5"/>
              </w:rPr>
              <w:t>违法后果</w:t>
            </w:r>
          </w:p>
        </w:tc>
        <w:tc>
          <w:tcPr>
            <w:tcW w:w="4581" w:type="dxa"/>
            <w:vAlign w:val="top"/>
          </w:tcPr>
          <w:p>
            <w:pPr>
              <w:pStyle w:val="TableText"/>
              <w:ind w:left="1730"/>
              <w:spacing w:before="79" w:line="218" w:lineRule="auto"/>
              <w:rPr>
                <w:sz w:val="26"/>
                <w:szCs w:val="26"/>
              </w:rPr>
            </w:pPr>
            <w:r>
              <w:rPr>
                <w:sz w:val="26"/>
                <w:szCs w:val="26"/>
                <w:b/>
                <w:bCs/>
                <w:spacing w:val="-5"/>
              </w:rPr>
              <w:t>裁量幅度</w:t>
            </w:r>
          </w:p>
        </w:tc>
      </w:tr>
      <w:tr>
        <w:trPr>
          <w:trHeight w:val="589" w:hRule="atLeast"/>
        </w:trPr>
        <w:tc>
          <w:tcPr>
            <w:tcW w:w="1444" w:type="dxa"/>
            <w:vAlign w:val="top"/>
          </w:tcPr>
          <w:p>
            <w:pPr>
              <w:pStyle w:val="TableText"/>
              <w:ind w:left="458"/>
              <w:spacing w:before="223" w:line="221" w:lineRule="auto"/>
              <w:rPr>
                <w:sz w:val="26"/>
                <w:szCs w:val="26"/>
              </w:rPr>
            </w:pPr>
            <w:r>
              <w:rPr>
                <w:sz w:val="26"/>
                <w:szCs w:val="26"/>
                <w:b/>
                <w:bCs/>
                <w:spacing w:val="-10"/>
              </w:rPr>
              <w:t>一般</w:t>
            </w:r>
          </w:p>
        </w:tc>
        <w:tc>
          <w:tcPr>
            <w:tcW w:w="8154" w:type="dxa"/>
            <w:vAlign w:val="top"/>
          </w:tcPr>
          <w:p>
            <w:pPr>
              <w:pStyle w:val="TableText"/>
              <w:spacing w:before="240" w:line="219" w:lineRule="auto"/>
              <w:jc w:val="right"/>
              <w:rPr>
                <w:sz w:val="26"/>
                <w:szCs w:val="26"/>
              </w:rPr>
            </w:pPr>
            <w:r>
              <w:rPr>
                <w:sz w:val="26"/>
                <w:szCs w:val="26"/>
                <w:b/>
                <w:bCs/>
                <w:spacing w:val="-16"/>
              </w:rPr>
              <w:t>医疗机构违反《医师外出会诊管理暂行规定</w:t>
            </w:r>
            <w:r>
              <w:rPr>
                <w:sz w:val="26"/>
                <w:szCs w:val="26"/>
                <w:b/>
                <w:bCs/>
                <w:spacing w:val="-17"/>
              </w:rPr>
              <w:t>》第六条、第八条、第十五条的</w:t>
            </w:r>
          </w:p>
        </w:tc>
        <w:tc>
          <w:tcPr>
            <w:tcW w:w="4581" w:type="dxa"/>
            <w:vAlign w:val="top"/>
          </w:tcPr>
          <w:p>
            <w:pPr>
              <w:pStyle w:val="TableText"/>
              <w:ind w:left="130"/>
              <w:spacing w:before="229" w:line="218" w:lineRule="auto"/>
              <w:rPr>
                <w:sz w:val="26"/>
                <w:szCs w:val="26"/>
              </w:rPr>
            </w:pPr>
            <w:r>
              <w:rPr>
                <w:sz w:val="26"/>
                <w:szCs w:val="26"/>
                <w:b/>
                <w:bCs/>
                <w:spacing w:val="-1"/>
              </w:rPr>
              <w:t>给予警告</w:t>
            </w:r>
          </w:p>
        </w:tc>
      </w:tr>
    </w:tbl>
    <w:p>
      <w:pPr>
        <w:ind w:left="919"/>
        <w:spacing w:before="105" w:line="223" w:lineRule="auto"/>
        <w:rPr>
          <w:rFonts w:ascii="KaiTi" w:hAnsi="KaiTi" w:eastAsia="KaiTi" w:cs="KaiTi"/>
          <w:sz w:val="31"/>
          <w:szCs w:val="31"/>
        </w:rPr>
      </w:pPr>
      <w:r>
        <w:rPr>
          <w:rFonts w:ascii="KaiTi" w:hAnsi="KaiTi" w:eastAsia="KaiTi" w:cs="KaiTi"/>
          <w:sz w:val="31"/>
          <w:szCs w:val="31"/>
          <w:b/>
          <w:bCs/>
          <w:spacing w:val="19"/>
        </w:rPr>
        <w:t>(七)《医疗气功管理暂行规定》</w:t>
      </w:r>
    </w:p>
    <w:p>
      <w:pPr>
        <w:ind w:left="809"/>
        <w:spacing w:before="317" w:line="220" w:lineRule="auto"/>
        <w:rPr>
          <w:rFonts w:ascii="FangSong" w:hAnsi="FangSong" w:eastAsia="FangSong" w:cs="FangSong"/>
          <w:sz w:val="31"/>
          <w:szCs w:val="31"/>
        </w:rPr>
      </w:pPr>
      <w:r>
        <w:rPr>
          <w:rFonts w:ascii="FangSong" w:hAnsi="FangSong" w:eastAsia="FangSong" w:cs="FangSong"/>
          <w:sz w:val="31"/>
          <w:szCs w:val="31"/>
          <w:b/>
          <w:bCs/>
          <w:spacing w:val="13"/>
        </w:rPr>
        <w:t>第二百一十一条开展医疗气功活动不符合相</w:t>
      </w:r>
      <w:r>
        <w:rPr>
          <w:rFonts w:ascii="FangSong" w:hAnsi="FangSong" w:eastAsia="FangSong" w:cs="FangSong"/>
          <w:sz w:val="31"/>
          <w:szCs w:val="31"/>
          <w:b/>
          <w:bCs/>
          <w:spacing w:val="12"/>
        </w:rPr>
        <w:t>关管理规定的</w:t>
      </w:r>
    </w:p>
    <w:p>
      <w:pPr>
        <w:ind w:left="784"/>
        <w:spacing w:before="108" w:line="222" w:lineRule="auto"/>
        <w:rPr>
          <w:rFonts w:ascii="FangSong" w:hAnsi="FangSong" w:eastAsia="FangSong" w:cs="FangSong"/>
          <w:sz w:val="26"/>
          <w:szCs w:val="26"/>
        </w:rPr>
      </w:pPr>
      <w:r>
        <w:rPr>
          <w:rFonts w:ascii="FangSong" w:hAnsi="FangSong" w:eastAsia="FangSong" w:cs="FangSong"/>
          <w:sz w:val="26"/>
          <w:szCs w:val="26"/>
          <w:spacing w:val="32"/>
        </w:rPr>
        <w:t>法律依据</w:t>
      </w:r>
      <w:r>
        <w:rPr>
          <w:rFonts w:ascii="FangSong" w:hAnsi="FangSong" w:eastAsia="FangSong" w:cs="FangSong"/>
          <w:sz w:val="26"/>
          <w:szCs w:val="26"/>
          <w:spacing w:val="-63"/>
        </w:rPr>
        <w:t xml:space="preserve"> </w:t>
      </w:r>
      <w:r>
        <w:rPr>
          <w:rFonts w:ascii="FangSong" w:hAnsi="FangSong" w:eastAsia="FangSong" w:cs="FangSong"/>
          <w:sz w:val="26"/>
          <w:szCs w:val="26"/>
          <w:spacing w:val="32"/>
        </w:rPr>
        <w:t>：</w:t>
      </w:r>
    </w:p>
    <w:p>
      <w:pPr>
        <w:ind w:left="124" w:right="101" w:firstLine="635"/>
        <w:spacing w:before="96" w:line="261" w:lineRule="auto"/>
        <w:rPr>
          <w:rFonts w:ascii="FangSong" w:hAnsi="FangSong" w:eastAsia="FangSong" w:cs="FangSong"/>
          <w:sz w:val="31"/>
          <w:szCs w:val="31"/>
        </w:rPr>
      </w:pPr>
      <w:r>
        <w:rPr>
          <w:rFonts w:ascii="FangSong" w:hAnsi="FangSong" w:eastAsia="FangSong" w:cs="FangSong"/>
          <w:sz w:val="31"/>
          <w:szCs w:val="31"/>
          <w:spacing w:val="5"/>
        </w:rPr>
        <w:t>《医疗气功管理暂行规定》第二十六条</w:t>
      </w:r>
      <w:r>
        <w:rPr>
          <w:rFonts w:ascii="FangSong" w:hAnsi="FangSong" w:eastAsia="FangSong" w:cs="FangSong"/>
          <w:sz w:val="31"/>
          <w:szCs w:val="31"/>
          <w:spacing w:val="51"/>
        </w:rPr>
        <w:t xml:space="preserve">  </w:t>
      </w:r>
      <w:r>
        <w:rPr>
          <w:rFonts w:ascii="FangSong" w:hAnsi="FangSong" w:eastAsia="FangSong" w:cs="FangSong"/>
          <w:sz w:val="31"/>
          <w:szCs w:val="31"/>
          <w:spacing w:val="5"/>
        </w:rPr>
        <w:t>有下列情形之一的，由县级以上人民政府中医药行政管</w:t>
      </w:r>
      <w:r>
        <w:rPr>
          <w:rFonts w:ascii="FangSong" w:hAnsi="FangSong" w:eastAsia="FangSong" w:cs="FangSong"/>
          <w:sz w:val="31"/>
          <w:szCs w:val="31"/>
        </w:rPr>
        <w:t xml:space="preserve"> </w:t>
      </w:r>
      <w:r>
        <w:rPr>
          <w:rFonts w:ascii="FangSong" w:hAnsi="FangSong" w:eastAsia="FangSong" w:cs="FangSong"/>
          <w:sz w:val="31"/>
          <w:szCs w:val="31"/>
          <w:spacing w:val="7"/>
        </w:rPr>
        <w:t>理机构责令其停止活动，给予警告，并可以处以一万元以下</w:t>
      </w:r>
      <w:r>
        <w:rPr>
          <w:rFonts w:ascii="FangSong" w:hAnsi="FangSong" w:eastAsia="FangSong" w:cs="FangSong"/>
          <w:sz w:val="31"/>
          <w:szCs w:val="31"/>
          <w:spacing w:val="6"/>
        </w:rPr>
        <w:t>罚款；情节严重的，处以一万元以上三万</w:t>
      </w:r>
    </w:p>
    <w:p>
      <w:pPr>
        <w:pStyle w:val="BodyText"/>
        <w:spacing w:line="334" w:lineRule="auto"/>
        <w:rPr/>
      </w:pPr>
      <w:r/>
    </w:p>
    <w:p>
      <w:pPr>
        <w:pStyle w:val="BodyText"/>
        <w:spacing w:line="334" w:lineRule="auto"/>
        <w:rPr/>
      </w:pPr>
      <w:r/>
    </w:p>
    <w:p>
      <w:pPr>
        <w:pStyle w:val="BodyText"/>
        <w:ind w:left="6454"/>
        <w:spacing w:before="61"/>
        <w:tabs>
          <w:tab w:val="left" w:pos="6764"/>
        </w:tabs>
        <w:rPr/>
      </w:pPr>
      <w:r>
        <w:rPr>
          <w:u w:val="single" w:color="auto"/>
        </w:rPr>
        <w:tab/>
      </w:r>
    </w:p>
    <w:p>
      <w:pPr>
        <w:ind w:left="6524"/>
        <w:spacing w:before="12" w:line="180" w:lineRule="auto"/>
        <w:rPr>
          <w:rFonts w:ascii="Times New Roman" w:hAnsi="Times New Roman" w:eastAsia="Times New Roman" w:cs="Times New Roman"/>
          <w:sz w:val="37"/>
          <w:szCs w:val="37"/>
        </w:rPr>
      </w:pPr>
      <w:r>
        <w:rPr>
          <w:rFonts w:ascii="SimSun" w:hAnsi="SimSun" w:eastAsia="SimSun" w:cs="SimSun"/>
          <w:sz w:val="37"/>
          <w:szCs w:val="37"/>
          <w:spacing w:val="-11"/>
          <w:w w:val="58"/>
        </w:rPr>
        <w:t>—</w:t>
      </w:r>
      <w:r>
        <w:rPr>
          <w:rFonts w:ascii="SimSun" w:hAnsi="SimSun" w:eastAsia="SimSun" w:cs="SimSun"/>
          <w:sz w:val="37"/>
          <w:szCs w:val="37"/>
          <w:spacing w:val="-28"/>
        </w:rPr>
        <w:t xml:space="preserve"> </w:t>
      </w:r>
      <w:r>
        <w:rPr>
          <w:rFonts w:ascii="Times New Roman" w:hAnsi="Times New Roman" w:eastAsia="Times New Roman" w:cs="Times New Roman"/>
          <w:sz w:val="37"/>
          <w:szCs w:val="37"/>
          <w:spacing w:val="-16"/>
        </w:rPr>
        <w:t>295—</w:t>
      </w:r>
    </w:p>
    <w:p>
      <w:pPr>
        <w:spacing w:line="180" w:lineRule="auto"/>
        <w:sectPr>
          <w:pgSz w:w="16830" w:h="11900"/>
          <w:pgMar w:top="1011" w:right="1335" w:bottom="400" w:left="1305" w:header="0" w:footer="0" w:gutter="0"/>
        </w:sectPr>
        <w:rPr>
          <w:rFonts w:ascii="Times New Roman" w:hAnsi="Times New Roman" w:eastAsia="Times New Roman" w:cs="Times New Roman"/>
          <w:sz w:val="37"/>
          <w:szCs w:val="37"/>
        </w:rPr>
      </w:pPr>
    </w:p>
    <w:p>
      <w:pPr>
        <w:pStyle w:val="BodyText"/>
        <w:spacing w:line="268" w:lineRule="auto"/>
        <w:rPr/>
      </w:pPr>
      <w:r/>
    </w:p>
    <w:p>
      <w:pPr>
        <w:pStyle w:val="BodyText"/>
        <w:spacing w:line="268" w:lineRule="auto"/>
        <w:rPr/>
      </w:pPr>
      <w:r/>
    </w:p>
    <w:p>
      <w:pPr>
        <w:pStyle w:val="BodyText"/>
        <w:spacing w:line="268" w:lineRule="auto"/>
        <w:rPr/>
      </w:pPr>
      <w:r/>
    </w:p>
    <w:p>
      <w:pPr>
        <w:ind w:left="45" w:right="15"/>
        <w:spacing w:before="98" w:line="265" w:lineRule="auto"/>
        <w:jc w:val="both"/>
        <w:rPr>
          <w:rFonts w:ascii="FangSong" w:hAnsi="FangSong" w:eastAsia="FangSong" w:cs="FangSong"/>
          <w:sz w:val="30"/>
          <w:szCs w:val="30"/>
        </w:rPr>
      </w:pPr>
      <w:r>
        <w:rPr>
          <w:rFonts w:ascii="FangSong" w:hAnsi="FangSong" w:eastAsia="FangSong" w:cs="FangSong"/>
          <w:sz w:val="30"/>
          <w:szCs w:val="30"/>
          <w:spacing w:val="23"/>
        </w:rPr>
        <w:t>元以下罚款；构成犯罪的，依法追究刑事责任。(一)医疗气功人员在注册的执业地点以外开展医疗</w:t>
      </w:r>
      <w:r>
        <w:rPr>
          <w:rFonts w:ascii="FangSong" w:hAnsi="FangSong" w:eastAsia="FangSong" w:cs="FangSong"/>
          <w:sz w:val="30"/>
          <w:szCs w:val="30"/>
          <w:spacing w:val="9"/>
        </w:rPr>
        <w:t xml:space="preserve"> </w:t>
      </w:r>
      <w:r>
        <w:rPr>
          <w:rFonts w:ascii="FangSong" w:hAnsi="FangSong" w:eastAsia="FangSong" w:cs="FangSong"/>
          <w:sz w:val="30"/>
          <w:szCs w:val="30"/>
          <w:spacing w:val="30"/>
        </w:rPr>
        <w:t>气功活动的；(二)借医疗气功之名损害公民身心健康、宣扬迷信、骗人敛财的；(三)非医疗气功</w:t>
      </w:r>
      <w:r>
        <w:rPr>
          <w:rFonts w:ascii="FangSong" w:hAnsi="FangSong" w:eastAsia="FangSong" w:cs="FangSong"/>
          <w:sz w:val="30"/>
          <w:szCs w:val="30"/>
          <w:spacing w:val="14"/>
        </w:rPr>
        <w:t xml:space="preserve"> </w:t>
      </w:r>
      <w:r>
        <w:rPr>
          <w:rFonts w:ascii="FangSong" w:hAnsi="FangSong" w:eastAsia="FangSong" w:cs="FangSong"/>
          <w:sz w:val="30"/>
          <w:szCs w:val="30"/>
          <w:spacing w:val="30"/>
        </w:rPr>
        <w:t>人员开展医疗气功活动的；(四)制造、使用、经营、散发宣称具有医疗气功效力物品的；(五)未</w:t>
      </w:r>
      <w:r>
        <w:rPr>
          <w:rFonts w:ascii="FangSong" w:hAnsi="FangSong" w:eastAsia="FangSong" w:cs="FangSong"/>
          <w:sz w:val="30"/>
          <w:szCs w:val="30"/>
          <w:spacing w:val="18"/>
        </w:rPr>
        <w:t xml:space="preserve"> </w:t>
      </w:r>
      <w:r>
        <w:rPr>
          <w:rFonts w:ascii="FangSong" w:hAnsi="FangSong" w:eastAsia="FangSong" w:cs="FangSong"/>
          <w:sz w:val="30"/>
          <w:szCs w:val="30"/>
          <w:spacing w:val="16"/>
        </w:rPr>
        <w:t>经批准擅自组织开展大型医疗气功讲座、大型现场性医疗气功活动，或未经批准擅自开展国家中医药</w:t>
      </w:r>
      <w:r>
        <w:rPr>
          <w:rFonts w:ascii="FangSong" w:hAnsi="FangSong" w:eastAsia="FangSong" w:cs="FangSong"/>
          <w:sz w:val="30"/>
          <w:szCs w:val="30"/>
          <w:spacing w:val="17"/>
        </w:rPr>
        <w:t xml:space="preserve"> </w:t>
      </w:r>
      <w:r>
        <w:rPr>
          <w:rFonts w:ascii="FangSong" w:hAnsi="FangSong" w:eastAsia="FangSong" w:cs="FangSong"/>
          <w:sz w:val="30"/>
          <w:szCs w:val="30"/>
          <w:spacing w:val="16"/>
        </w:rPr>
        <w:t>管理局规定必须严格管理的其他医疗气功活动的。</w:t>
      </w:r>
    </w:p>
    <w:p>
      <w:pPr>
        <w:ind w:left="6439"/>
        <w:spacing w:before="27"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6375"/>
        <w:gridCol w:w="6180"/>
      </w:tblGrid>
      <w:tr>
        <w:trPr>
          <w:trHeight w:val="584" w:hRule="atLeast"/>
        </w:trPr>
        <w:tc>
          <w:tcPr>
            <w:tcW w:w="1434" w:type="dxa"/>
            <w:vAlign w:val="top"/>
          </w:tcPr>
          <w:p>
            <w:pPr>
              <w:pStyle w:val="TableText"/>
              <w:ind w:left="128"/>
              <w:spacing w:before="17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6375" w:type="dxa"/>
            <w:vAlign w:val="top"/>
          </w:tcPr>
          <w:p>
            <w:pPr>
              <w:pStyle w:val="TableText"/>
              <w:ind w:left="2614"/>
              <w:spacing w:before="172" w:line="220" w:lineRule="auto"/>
              <w:rPr/>
            </w:pPr>
            <w:r>
              <w:rPr>
                <w:b/>
                <w:bCs/>
                <w:spacing w:val="-5"/>
              </w:rPr>
              <w:t>情节后果</w:t>
            </w:r>
          </w:p>
        </w:tc>
        <w:tc>
          <w:tcPr>
            <w:tcW w:w="6180" w:type="dxa"/>
            <w:vAlign w:val="top"/>
          </w:tcPr>
          <w:p>
            <w:pPr>
              <w:pStyle w:val="TableText"/>
              <w:ind w:left="2519"/>
              <w:spacing w:before="169" w:line="218" w:lineRule="auto"/>
              <w:rPr/>
            </w:pPr>
            <w:r>
              <w:rPr>
                <w:b/>
                <w:bCs/>
                <w:spacing w:val="-5"/>
              </w:rPr>
              <w:t>裁量幅度</w:t>
            </w:r>
          </w:p>
        </w:tc>
      </w:tr>
      <w:tr>
        <w:trPr>
          <w:trHeight w:val="748" w:hRule="atLeast"/>
        </w:trPr>
        <w:tc>
          <w:tcPr>
            <w:tcW w:w="1434" w:type="dxa"/>
            <w:vAlign w:val="top"/>
          </w:tcPr>
          <w:p>
            <w:pPr>
              <w:pStyle w:val="TableText"/>
              <w:ind w:left="468"/>
              <w:spacing w:before="307" w:line="219" w:lineRule="auto"/>
              <w:rPr/>
            </w:pPr>
            <w:r>
              <w:rPr>
                <w:b/>
                <w:bCs/>
                <w:spacing w:val="-6"/>
              </w:rPr>
              <w:t>轻微</w:t>
            </w:r>
          </w:p>
        </w:tc>
        <w:tc>
          <w:tcPr>
            <w:tcW w:w="6375" w:type="dxa"/>
            <w:vAlign w:val="top"/>
          </w:tcPr>
          <w:p>
            <w:pPr>
              <w:pStyle w:val="TableText"/>
              <w:ind w:left="100"/>
              <w:spacing w:before="311" w:line="220" w:lineRule="auto"/>
              <w:rPr/>
            </w:pPr>
            <w:r>
              <w:rPr>
                <w:spacing w:val="2"/>
              </w:rPr>
              <w:t>有一种上述情形的</w:t>
            </w:r>
          </w:p>
        </w:tc>
        <w:tc>
          <w:tcPr>
            <w:tcW w:w="6180" w:type="dxa"/>
            <w:vAlign w:val="top"/>
          </w:tcPr>
          <w:p>
            <w:pPr>
              <w:pStyle w:val="TableText"/>
              <w:ind w:left="115"/>
              <w:spacing w:before="308" w:line="218" w:lineRule="auto"/>
              <w:rPr/>
            </w:pPr>
            <w:r>
              <w:rPr/>
              <w:t>责令其停止活动，给予警告，并处3000元以下罚款</w:t>
            </w:r>
          </w:p>
        </w:tc>
      </w:tr>
      <w:tr>
        <w:trPr>
          <w:trHeight w:val="888" w:hRule="atLeast"/>
        </w:trPr>
        <w:tc>
          <w:tcPr>
            <w:tcW w:w="1434" w:type="dxa"/>
            <w:vAlign w:val="top"/>
          </w:tcPr>
          <w:p>
            <w:pPr>
              <w:spacing w:line="251" w:lineRule="auto"/>
              <w:rPr>
                <w:rFonts w:ascii="Arial"/>
                <w:sz w:val="21"/>
              </w:rPr>
            </w:pPr>
            <w:r/>
          </w:p>
          <w:p>
            <w:pPr>
              <w:pStyle w:val="TableText"/>
              <w:ind w:left="468"/>
              <w:spacing w:before="78" w:line="221" w:lineRule="auto"/>
              <w:rPr/>
            </w:pPr>
            <w:r>
              <w:rPr>
                <w:b/>
                <w:bCs/>
                <w:spacing w:val="-10"/>
              </w:rPr>
              <w:t>一般</w:t>
            </w:r>
          </w:p>
        </w:tc>
        <w:tc>
          <w:tcPr>
            <w:tcW w:w="6375" w:type="dxa"/>
            <w:vAlign w:val="top"/>
          </w:tcPr>
          <w:p>
            <w:pPr>
              <w:spacing w:line="254" w:lineRule="auto"/>
              <w:rPr>
                <w:rFonts w:ascii="Arial"/>
                <w:sz w:val="21"/>
              </w:rPr>
            </w:pPr>
            <w:r/>
          </w:p>
          <w:p>
            <w:pPr>
              <w:pStyle w:val="TableText"/>
              <w:ind w:left="100"/>
              <w:spacing w:before="78" w:line="220" w:lineRule="auto"/>
              <w:rPr/>
            </w:pPr>
            <w:r>
              <w:rPr>
                <w:spacing w:val="2"/>
              </w:rPr>
              <w:t>有两种上述情形的</w:t>
            </w:r>
          </w:p>
        </w:tc>
        <w:tc>
          <w:tcPr>
            <w:tcW w:w="6180" w:type="dxa"/>
            <w:vAlign w:val="top"/>
          </w:tcPr>
          <w:p>
            <w:pPr>
              <w:pStyle w:val="TableText"/>
              <w:ind w:left="115" w:right="523"/>
              <w:spacing w:before="149" w:line="280" w:lineRule="auto"/>
              <w:rPr/>
            </w:pPr>
            <w:r>
              <w:rPr/>
              <w:t>责令其停止活动，给予警告，并处3000元以上7000元</w:t>
            </w:r>
            <w:r>
              <w:rPr>
                <w:spacing w:val="9"/>
              </w:rPr>
              <w:t xml:space="preserve"> </w:t>
            </w:r>
            <w:r>
              <w:rPr>
                <w:spacing w:val="2"/>
              </w:rPr>
              <w:t>以下罚款</w:t>
            </w:r>
          </w:p>
        </w:tc>
      </w:tr>
      <w:tr>
        <w:trPr>
          <w:trHeight w:val="858" w:hRule="atLeast"/>
        </w:trPr>
        <w:tc>
          <w:tcPr>
            <w:tcW w:w="1434" w:type="dxa"/>
            <w:vAlign w:val="top"/>
          </w:tcPr>
          <w:p>
            <w:pPr>
              <w:pStyle w:val="TableText"/>
              <w:ind w:left="468"/>
              <w:spacing w:before="314" w:line="221" w:lineRule="auto"/>
              <w:rPr/>
            </w:pPr>
            <w:r>
              <w:rPr>
                <w:b/>
                <w:bCs/>
                <w:spacing w:val="-5"/>
              </w:rPr>
              <w:t>较重</w:t>
            </w:r>
          </w:p>
        </w:tc>
        <w:tc>
          <w:tcPr>
            <w:tcW w:w="6375" w:type="dxa"/>
            <w:vAlign w:val="top"/>
          </w:tcPr>
          <w:p>
            <w:pPr>
              <w:pStyle w:val="TableText"/>
              <w:ind w:left="100"/>
              <w:spacing w:before="315" w:line="220" w:lineRule="auto"/>
              <w:rPr/>
            </w:pPr>
            <w:r>
              <w:rPr>
                <w:spacing w:val="2"/>
              </w:rPr>
              <w:t>有三种上述情形的</w:t>
            </w:r>
          </w:p>
        </w:tc>
        <w:tc>
          <w:tcPr>
            <w:tcW w:w="6180" w:type="dxa"/>
            <w:vAlign w:val="top"/>
          </w:tcPr>
          <w:p>
            <w:pPr>
              <w:pStyle w:val="TableText"/>
              <w:ind w:left="115" w:right="633" w:firstLine="10"/>
              <w:spacing w:before="143" w:line="271" w:lineRule="auto"/>
              <w:rPr/>
            </w:pPr>
            <w:r>
              <w:rPr/>
              <w:t>责令其停止活动，给予警告，并处7000元以上1万元</w:t>
            </w:r>
            <w:r>
              <w:rPr>
                <w:spacing w:val="9"/>
              </w:rPr>
              <w:t xml:space="preserve"> </w:t>
            </w:r>
            <w:r>
              <w:rPr>
                <w:spacing w:val="2"/>
              </w:rPr>
              <w:t>以下罚款</w:t>
            </w:r>
          </w:p>
        </w:tc>
      </w:tr>
      <w:tr>
        <w:trPr>
          <w:trHeight w:val="898" w:hRule="atLeast"/>
        </w:trPr>
        <w:tc>
          <w:tcPr>
            <w:tcW w:w="1434" w:type="dxa"/>
            <w:vAlign w:val="top"/>
          </w:tcPr>
          <w:p>
            <w:pPr>
              <w:spacing w:line="254" w:lineRule="auto"/>
              <w:rPr>
                <w:rFonts w:ascii="Arial"/>
                <w:sz w:val="21"/>
              </w:rPr>
            </w:pPr>
            <w:r/>
          </w:p>
          <w:p>
            <w:pPr>
              <w:pStyle w:val="TableText"/>
              <w:ind w:left="468"/>
              <w:spacing w:before="78" w:line="220" w:lineRule="auto"/>
              <w:rPr/>
            </w:pPr>
            <w:r>
              <w:rPr>
                <w:b/>
                <w:bCs/>
                <w:spacing w:val="-6"/>
              </w:rPr>
              <w:t>严重</w:t>
            </w:r>
          </w:p>
        </w:tc>
        <w:tc>
          <w:tcPr>
            <w:tcW w:w="6375" w:type="dxa"/>
            <w:vAlign w:val="top"/>
          </w:tcPr>
          <w:p>
            <w:pPr>
              <w:spacing w:line="257" w:lineRule="auto"/>
              <w:rPr>
                <w:rFonts w:ascii="Arial"/>
                <w:sz w:val="21"/>
              </w:rPr>
            </w:pPr>
            <w:r/>
          </w:p>
          <w:p>
            <w:pPr>
              <w:pStyle w:val="TableText"/>
              <w:ind w:left="100"/>
              <w:spacing w:before="78" w:line="220" w:lineRule="auto"/>
              <w:rPr/>
            </w:pPr>
            <w:r>
              <w:rPr>
                <w:spacing w:val="2"/>
              </w:rPr>
              <w:t>有四种上述情形的</w:t>
            </w:r>
          </w:p>
        </w:tc>
        <w:tc>
          <w:tcPr>
            <w:tcW w:w="6180" w:type="dxa"/>
            <w:vAlign w:val="top"/>
          </w:tcPr>
          <w:p>
            <w:pPr>
              <w:pStyle w:val="TableText"/>
              <w:ind w:left="115" w:right="512"/>
              <w:spacing w:before="165" w:line="278" w:lineRule="auto"/>
              <w:rPr/>
            </w:pPr>
            <w:r>
              <w:rPr>
                <w:spacing w:val="1"/>
              </w:rPr>
              <w:t>责令其停止活动，给予警告，并处1万元以上</w:t>
            </w:r>
            <w:r>
              <w:rPr/>
              <w:t>2万元以 </w:t>
            </w:r>
            <w:r>
              <w:rPr>
                <w:spacing w:val="3"/>
              </w:rPr>
              <w:t>下罚款</w:t>
            </w:r>
          </w:p>
        </w:tc>
      </w:tr>
      <w:tr>
        <w:trPr>
          <w:trHeight w:val="883" w:hRule="atLeast"/>
        </w:trPr>
        <w:tc>
          <w:tcPr>
            <w:tcW w:w="1434" w:type="dxa"/>
            <w:vAlign w:val="top"/>
          </w:tcPr>
          <w:p>
            <w:pPr>
              <w:spacing w:line="246" w:lineRule="auto"/>
              <w:rPr>
                <w:rFonts w:ascii="Arial"/>
                <w:sz w:val="21"/>
              </w:rPr>
            </w:pPr>
            <w:r/>
          </w:p>
          <w:p>
            <w:pPr>
              <w:pStyle w:val="TableText"/>
              <w:ind w:left="228"/>
              <w:spacing w:before="78" w:line="219" w:lineRule="auto"/>
              <w:rPr/>
            </w:pPr>
            <w:r>
              <w:rPr>
                <w:b/>
                <w:bCs/>
                <w:spacing w:val="-5"/>
              </w:rPr>
              <w:t>特别严重</w:t>
            </w:r>
          </w:p>
        </w:tc>
        <w:tc>
          <w:tcPr>
            <w:tcW w:w="6375" w:type="dxa"/>
            <w:vAlign w:val="top"/>
          </w:tcPr>
          <w:p>
            <w:pPr>
              <w:spacing w:line="250" w:lineRule="auto"/>
              <w:rPr>
                <w:rFonts w:ascii="Arial"/>
                <w:sz w:val="21"/>
              </w:rPr>
            </w:pPr>
            <w:r/>
          </w:p>
          <w:p>
            <w:pPr>
              <w:pStyle w:val="TableText"/>
              <w:ind w:left="100"/>
              <w:spacing w:before="78" w:line="220" w:lineRule="auto"/>
              <w:rPr/>
            </w:pPr>
            <w:r>
              <w:rPr>
                <w:spacing w:val="1"/>
              </w:rPr>
              <w:t>有五种上述情形的或者致人死亡的</w:t>
            </w:r>
          </w:p>
        </w:tc>
        <w:tc>
          <w:tcPr>
            <w:tcW w:w="6180" w:type="dxa"/>
            <w:vAlign w:val="top"/>
          </w:tcPr>
          <w:p>
            <w:pPr>
              <w:pStyle w:val="TableText"/>
              <w:ind w:left="115" w:right="512"/>
              <w:spacing w:before="147" w:line="279" w:lineRule="auto"/>
              <w:rPr/>
            </w:pPr>
            <w:r>
              <w:rPr>
                <w:spacing w:val="1"/>
              </w:rPr>
              <w:t>责令其停止活动，给予警告，并处2万元以上</w:t>
            </w:r>
            <w:r>
              <w:rPr/>
              <w:t>3万元以 </w:t>
            </w:r>
            <w:r>
              <w:rPr>
                <w:spacing w:val="3"/>
              </w:rPr>
              <w:t>下罚款</w:t>
            </w:r>
          </w:p>
        </w:tc>
      </w:tr>
    </w:tbl>
    <w:p>
      <w:pPr>
        <w:pStyle w:val="BodyText"/>
        <w:rPr/>
      </w:pPr>
      <w:r/>
    </w:p>
    <w:p>
      <w:pPr>
        <w:sectPr>
          <w:footerReference w:type="default" r:id="rId273"/>
          <w:pgSz w:w="16830" w:h="11900"/>
          <w:pgMar w:top="1011" w:right="1425" w:bottom="1108" w:left="1405" w:header="0" w:footer="775" w:gutter="0"/>
        </w:sectPr>
        <w:rPr/>
      </w:pPr>
    </w:p>
    <w:p>
      <w:pPr>
        <w:pStyle w:val="BodyText"/>
        <w:spacing w:line="262" w:lineRule="auto"/>
        <w:rPr/>
      </w:pPr>
      <w:r/>
    </w:p>
    <w:p>
      <w:pPr>
        <w:pStyle w:val="BodyText"/>
        <w:spacing w:line="262" w:lineRule="auto"/>
        <w:rPr/>
      </w:pPr>
      <w:r/>
    </w:p>
    <w:p>
      <w:pPr>
        <w:pStyle w:val="BodyText"/>
        <w:spacing w:line="262" w:lineRule="auto"/>
        <w:rPr/>
      </w:pPr>
      <w:r/>
    </w:p>
    <w:p>
      <w:pPr>
        <w:ind w:left="889"/>
        <w:spacing w:before="98" w:line="223" w:lineRule="auto"/>
        <w:rPr>
          <w:rFonts w:ascii="KaiTi" w:hAnsi="KaiTi" w:eastAsia="KaiTi" w:cs="KaiTi"/>
          <w:sz w:val="30"/>
          <w:szCs w:val="30"/>
        </w:rPr>
      </w:pPr>
      <w:bookmarkStart w:name="bookmark929" w:id="296"/>
      <w:bookmarkEnd w:id="296"/>
      <w:r>
        <w:rPr>
          <w:rFonts w:ascii="KaiTi" w:hAnsi="KaiTi" w:eastAsia="KaiTi" w:cs="KaiTi"/>
          <w:sz w:val="30"/>
          <w:szCs w:val="30"/>
          <w:b/>
          <w:bCs/>
          <w:spacing w:val="24"/>
        </w:rPr>
        <w:t>(八)《香港、澳门特别行政区医师在内地短期行医管理规定》</w:t>
      </w:r>
    </w:p>
    <w:p>
      <w:pPr>
        <w:pStyle w:val="BodyText"/>
        <w:rPr/>
      </w:pPr>
      <w:r/>
    </w:p>
    <w:p>
      <w:pPr>
        <w:ind w:left="759"/>
        <w:spacing w:before="97" w:line="220" w:lineRule="auto"/>
        <w:rPr>
          <w:rFonts w:ascii="FangSong" w:hAnsi="FangSong" w:eastAsia="FangSong" w:cs="FangSong"/>
          <w:sz w:val="30"/>
          <w:szCs w:val="30"/>
        </w:rPr>
      </w:pPr>
      <w:r>
        <w:rPr>
          <w:rFonts w:ascii="FangSong" w:hAnsi="FangSong" w:eastAsia="FangSong" w:cs="FangSong"/>
          <w:sz w:val="30"/>
          <w:szCs w:val="30"/>
          <w:b/>
          <w:bCs/>
          <w:spacing w:val="21"/>
        </w:rPr>
        <w:t>第二百一十二条医疗机构聘用未经内地短期行医执业注册的港澳医师从事诊疗活动的</w:t>
      </w:r>
    </w:p>
    <w:p>
      <w:pPr>
        <w:ind w:left="934"/>
        <w:spacing w:before="80" w:line="222" w:lineRule="auto"/>
        <w:rPr>
          <w:rFonts w:ascii="FangSong" w:hAnsi="FangSong" w:eastAsia="FangSong" w:cs="FangSong"/>
          <w:sz w:val="30"/>
          <w:szCs w:val="30"/>
        </w:rPr>
      </w:pPr>
      <w:r>
        <w:rPr>
          <w:rFonts w:ascii="FangSong" w:hAnsi="FangSong" w:eastAsia="FangSong" w:cs="FangSong"/>
          <w:sz w:val="30"/>
          <w:szCs w:val="30"/>
        </w:rPr>
        <w:t>法律依据：</w:t>
      </w:r>
    </w:p>
    <w:p>
      <w:pPr>
        <w:ind w:left="124" w:right="113" w:firstLine="629"/>
        <w:spacing w:before="81" w:line="252" w:lineRule="auto"/>
        <w:rPr>
          <w:rFonts w:ascii="FangSong" w:hAnsi="FangSong" w:eastAsia="FangSong" w:cs="FangSong"/>
          <w:sz w:val="30"/>
          <w:szCs w:val="30"/>
        </w:rPr>
      </w:pPr>
      <w:r>
        <w:rPr>
          <w:rFonts w:ascii="FangSong" w:hAnsi="FangSong" w:eastAsia="FangSong" w:cs="FangSong"/>
          <w:sz w:val="30"/>
          <w:szCs w:val="30"/>
          <w:spacing w:val="10"/>
        </w:rPr>
        <w:t>1.</w:t>
      </w:r>
      <w:r>
        <w:rPr>
          <w:rFonts w:ascii="FangSong" w:hAnsi="FangSong" w:eastAsia="FangSong" w:cs="FangSong"/>
          <w:sz w:val="30"/>
          <w:szCs w:val="30"/>
          <w:spacing w:val="10"/>
        </w:rPr>
        <w:t xml:space="preserve"> </w:t>
      </w:r>
      <w:r>
        <w:rPr>
          <w:rFonts w:ascii="FangSong" w:hAnsi="FangSong" w:eastAsia="FangSong" w:cs="FangSong"/>
          <w:sz w:val="30"/>
          <w:szCs w:val="30"/>
          <w:spacing w:val="10"/>
        </w:rPr>
        <w:t>《香港、澳门特别行政区医师在内地短期行医管理规定》第十七条</w:t>
      </w:r>
      <w:r>
        <w:rPr>
          <w:rFonts w:ascii="FangSong" w:hAnsi="FangSong" w:eastAsia="FangSong" w:cs="FangSong"/>
          <w:sz w:val="30"/>
          <w:szCs w:val="30"/>
          <w:spacing w:val="55"/>
        </w:rPr>
        <w:t xml:space="preserve">  </w:t>
      </w:r>
      <w:r>
        <w:rPr>
          <w:rFonts w:ascii="FangSong" w:hAnsi="FangSong" w:eastAsia="FangSong" w:cs="FangSong"/>
          <w:sz w:val="30"/>
          <w:szCs w:val="30"/>
          <w:spacing w:val="10"/>
        </w:rPr>
        <w:t>医疗机构聘用未经内地短</w:t>
      </w:r>
      <w:r>
        <w:rPr>
          <w:rFonts w:ascii="FangSong" w:hAnsi="FangSong" w:eastAsia="FangSong" w:cs="FangSong"/>
          <w:sz w:val="30"/>
          <w:szCs w:val="30"/>
          <w:spacing w:val="1"/>
        </w:rPr>
        <w:t xml:space="preserve"> </w:t>
      </w:r>
      <w:r>
        <w:rPr>
          <w:rFonts w:ascii="FangSong" w:hAnsi="FangSong" w:eastAsia="FangSong" w:cs="FangSong"/>
          <w:sz w:val="30"/>
          <w:szCs w:val="30"/>
          <w:spacing w:val="17"/>
        </w:rPr>
        <w:t>期行医执业注册的港澳医师从事诊疗活动，视为聘用非卫</w:t>
      </w:r>
      <w:r>
        <w:rPr>
          <w:rFonts w:ascii="FangSong" w:hAnsi="FangSong" w:eastAsia="FangSong" w:cs="FangSong"/>
          <w:sz w:val="30"/>
          <w:szCs w:val="30"/>
          <w:spacing w:val="16"/>
        </w:rPr>
        <w:t>生技术人员，按照《医疗机构管理条例》第</w:t>
      </w:r>
      <w:r>
        <w:rPr>
          <w:rFonts w:ascii="FangSong" w:hAnsi="FangSong" w:eastAsia="FangSong" w:cs="FangSong"/>
          <w:sz w:val="30"/>
          <w:szCs w:val="30"/>
        </w:rPr>
        <w:t xml:space="preserve"> </w:t>
      </w:r>
      <w:r>
        <w:rPr>
          <w:rFonts w:ascii="FangSong" w:hAnsi="FangSong" w:eastAsia="FangSong" w:cs="FangSong"/>
          <w:sz w:val="30"/>
          <w:szCs w:val="30"/>
          <w:spacing w:val="7"/>
        </w:rPr>
        <w:t>四十八条规定处理。</w:t>
      </w:r>
    </w:p>
    <w:p>
      <w:pPr>
        <w:ind w:left="124" w:right="88" w:firstLine="629"/>
        <w:spacing w:before="109" w:line="250" w:lineRule="auto"/>
        <w:rPr>
          <w:rFonts w:ascii="FangSong" w:hAnsi="FangSong" w:eastAsia="FangSong" w:cs="FangSong"/>
          <w:sz w:val="30"/>
          <w:szCs w:val="30"/>
        </w:rPr>
      </w:pPr>
      <w:r>
        <w:rPr>
          <w:rFonts w:ascii="FangSong" w:hAnsi="FangSong" w:eastAsia="FangSong" w:cs="FangSong"/>
          <w:sz w:val="30"/>
          <w:szCs w:val="30"/>
          <w:spacing w:val="12"/>
        </w:rPr>
        <w:t>2.</w:t>
      </w:r>
      <w:r>
        <w:rPr>
          <w:rFonts w:ascii="FangSong" w:hAnsi="FangSong" w:eastAsia="FangSong" w:cs="FangSong"/>
          <w:sz w:val="30"/>
          <w:szCs w:val="30"/>
          <w:spacing w:val="12"/>
        </w:rPr>
        <w:t xml:space="preserve"> </w:t>
      </w:r>
      <w:r>
        <w:rPr>
          <w:rFonts w:ascii="FangSong" w:hAnsi="FangSong" w:eastAsia="FangSong" w:cs="FangSong"/>
          <w:sz w:val="30"/>
          <w:szCs w:val="30"/>
          <w:spacing w:val="12"/>
        </w:rPr>
        <w:t>《医疗机构管理条例》第四十七条</w:t>
      </w:r>
      <w:r>
        <w:rPr>
          <w:rFonts w:ascii="FangSong" w:hAnsi="FangSong" w:eastAsia="FangSong" w:cs="FangSong"/>
          <w:sz w:val="30"/>
          <w:szCs w:val="30"/>
          <w:spacing w:val="12"/>
        </w:rPr>
        <w:t xml:space="preserve">  </w:t>
      </w:r>
      <w:r>
        <w:rPr>
          <w:rFonts w:ascii="FangSong" w:hAnsi="FangSong" w:eastAsia="FangSong" w:cs="FangSong"/>
          <w:sz w:val="30"/>
          <w:szCs w:val="30"/>
          <w:spacing w:val="12"/>
        </w:rPr>
        <w:t>违反本条例第二十七条规定，使用非卫生技术人员从事医</w:t>
      </w:r>
      <w:r>
        <w:rPr>
          <w:rFonts w:ascii="FangSong" w:hAnsi="FangSong" w:eastAsia="FangSong" w:cs="FangSong"/>
          <w:sz w:val="30"/>
          <w:szCs w:val="30"/>
          <w:spacing w:val="9"/>
        </w:rPr>
        <w:t xml:space="preserve"> </w:t>
      </w:r>
      <w:r>
        <w:rPr>
          <w:rFonts w:ascii="FangSong" w:hAnsi="FangSong" w:eastAsia="FangSong" w:cs="FangSong"/>
          <w:sz w:val="30"/>
          <w:szCs w:val="30"/>
          <w:spacing w:val="27"/>
        </w:rPr>
        <w:t>疗卫生技术工作的，由县级以上人民政府卫生行政部门责令其限期改正，并可以处以1万元以上10</w:t>
      </w:r>
      <w:r>
        <w:rPr>
          <w:rFonts w:ascii="FangSong" w:hAnsi="FangSong" w:eastAsia="FangSong" w:cs="FangSong"/>
          <w:sz w:val="30"/>
          <w:szCs w:val="30"/>
          <w:spacing w:val="17"/>
        </w:rPr>
        <w:t xml:space="preserve"> </w:t>
      </w:r>
      <w:r>
        <w:rPr>
          <w:rFonts w:ascii="FangSong" w:hAnsi="FangSong" w:eastAsia="FangSong" w:cs="FangSong"/>
          <w:sz w:val="30"/>
          <w:szCs w:val="30"/>
          <w:spacing w:val="18"/>
        </w:rPr>
        <w:t>万元以下的罚款；情节严重的，吊销其《医疗机构执业许可证》或者责令其停止执业活动。</w:t>
      </w:r>
    </w:p>
    <w:p>
      <w:pPr>
        <w:ind w:left="6529"/>
        <w:spacing w:before="59" w:line="220" w:lineRule="auto"/>
        <w:rPr>
          <w:rFonts w:ascii="SimSun" w:hAnsi="SimSun" w:eastAsia="SimSun" w:cs="SimSun"/>
          <w:sz w:val="29"/>
          <w:szCs w:val="29"/>
        </w:rPr>
      </w:pPr>
      <w:r>
        <w:rPr>
          <w:rFonts w:ascii="SimSun" w:hAnsi="SimSun" w:eastAsia="SimSun" w:cs="SimSun"/>
          <w:sz w:val="29"/>
          <w:szCs w:val="29"/>
          <w:b/>
          <w:bCs/>
          <w:spacing w:val="-6"/>
        </w:rPr>
        <w:t>裁量标准</w:t>
      </w:r>
    </w:p>
    <w:p>
      <w:pPr>
        <w:spacing w:line="18" w:lineRule="auto"/>
        <w:rPr>
          <w:rFonts w:ascii="Arial"/>
          <w:sz w:val="2"/>
        </w:rPr>
      </w:pPr>
      <w:r>
        <w:rPr>
          <w:rFonts w:ascii="Arial"/>
          <w:sz w:val="2"/>
        </w:rPr>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6735"/>
        <w:gridCol w:w="5990"/>
      </w:tblGrid>
      <w:tr>
        <w:trPr>
          <w:trHeight w:val="454" w:hRule="atLeast"/>
        </w:trPr>
        <w:tc>
          <w:tcPr>
            <w:tcW w:w="1434" w:type="dxa"/>
            <w:vAlign w:val="top"/>
          </w:tcPr>
          <w:p>
            <w:pPr>
              <w:pStyle w:val="TableText"/>
              <w:ind w:left="208"/>
              <w:spacing w:before="102" w:line="220" w:lineRule="auto"/>
              <w:rPr>
                <w:sz w:val="25"/>
                <w:szCs w:val="25"/>
              </w:rPr>
            </w:pPr>
            <w:r>
              <w:rPr>
                <w:sz w:val="25"/>
                <w:szCs w:val="25"/>
                <w:b/>
                <w:bCs/>
                <w:spacing w:val="-5"/>
              </w:rPr>
              <w:t>违法程度</w:t>
            </w:r>
          </w:p>
        </w:tc>
        <w:tc>
          <w:tcPr>
            <w:tcW w:w="6735" w:type="dxa"/>
            <w:vAlign w:val="top"/>
          </w:tcPr>
          <w:p>
            <w:pPr>
              <w:pStyle w:val="TableText"/>
              <w:ind w:left="2864"/>
              <w:spacing w:before="102" w:line="220" w:lineRule="auto"/>
              <w:rPr>
                <w:sz w:val="25"/>
                <w:szCs w:val="25"/>
              </w:rPr>
            </w:pPr>
            <w:r>
              <w:rPr>
                <w:sz w:val="25"/>
                <w:szCs w:val="25"/>
                <w:b/>
                <w:bCs/>
                <w:spacing w:val="-5"/>
              </w:rPr>
              <w:t>违法后果</w:t>
            </w:r>
          </w:p>
        </w:tc>
        <w:tc>
          <w:tcPr>
            <w:tcW w:w="5990" w:type="dxa"/>
            <w:vAlign w:val="top"/>
          </w:tcPr>
          <w:p>
            <w:pPr>
              <w:pStyle w:val="TableText"/>
              <w:ind w:left="2429"/>
              <w:spacing w:before="99" w:line="218" w:lineRule="auto"/>
              <w:rPr>
                <w:sz w:val="25"/>
                <w:szCs w:val="25"/>
              </w:rPr>
            </w:pPr>
            <w:r>
              <w:rPr>
                <w:sz w:val="25"/>
                <w:szCs w:val="25"/>
                <w:b/>
                <w:bCs/>
                <w:spacing w:val="-5"/>
              </w:rPr>
              <w:t>裁量幅度</w:t>
            </w:r>
          </w:p>
        </w:tc>
      </w:tr>
      <w:tr>
        <w:trPr>
          <w:trHeight w:val="867" w:hRule="atLeast"/>
        </w:trPr>
        <w:tc>
          <w:tcPr>
            <w:tcW w:w="1434" w:type="dxa"/>
            <w:vAlign w:val="top"/>
          </w:tcPr>
          <w:p>
            <w:pPr>
              <w:pStyle w:val="TableText"/>
              <w:ind w:left="458"/>
              <w:spacing w:before="309" w:line="221" w:lineRule="auto"/>
              <w:rPr>
                <w:sz w:val="25"/>
                <w:szCs w:val="25"/>
              </w:rPr>
            </w:pPr>
            <w:r>
              <w:rPr>
                <w:sz w:val="25"/>
                <w:szCs w:val="25"/>
                <w:b/>
                <w:bCs/>
                <w:spacing w:val="-10"/>
              </w:rPr>
              <w:t>一般</w:t>
            </w:r>
          </w:p>
        </w:tc>
        <w:tc>
          <w:tcPr>
            <w:tcW w:w="6735" w:type="dxa"/>
            <w:vAlign w:val="top"/>
          </w:tcPr>
          <w:p>
            <w:pPr>
              <w:pStyle w:val="TableText"/>
              <w:ind w:left="110" w:right="42" w:hanging="70"/>
              <w:spacing w:before="141" w:line="264" w:lineRule="auto"/>
              <w:rPr>
                <w:sz w:val="25"/>
                <w:szCs w:val="25"/>
              </w:rPr>
            </w:pPr>
            <w:r>
              <w:rPr>
                <w:sz w:val="25"/>
                <w:szCs w:val="25"/>
              </w:rPr>
              <w:t>使用1名未经内地短期行医执业注册的港澳医师从事医疗卫生</w:t>
            </w:r>
            <w:r>
              <w:rPr>
                <w:sz w:val="25"/>
                <w:szCs w:val="25"/>
                <w:spacing w:val="15"/>
              </w:rPr>
              <w:t xml:space="preserve"> </w:t>
            </w:r>
            <w:r>
              <w:rPr>
                <w:sz w:val="25"/>
                <w:szCs w:val="25"/>
                <w:spacing w:val="3"/>
              </w:rPr>
              <w:t>技术工作的</w:t>
            </w:r>
          </w:p>
        </w:tc>
        <w:tc>
          <w:tcPr>
            <w:tcW w:w="5990" w:type="dxa"/>
            <w:vAlign w:val="top"/>
          </w:tcPr>
          <w:p>
            <w:pPr>
              <w:pStyle w:val="TableText"/>
              <w:ind w:left="125"/>
              <w:spacing w:before="139" w:line="219" w:lineRule="auto"/>
              <w:rPr>
                <w:sz w:val="25"/>
                <w:szCs w:val="25"/>
              </w:rPr>
            </w:pPr>
            <w:r>
              <w:rPr>
                <w:sz w:val="25"/>
                <w:szCs w:val="25"/>
              </w:rPr>
              <w:t>责令其立即改正，处以1万元以上2万元以下罚款</w:t>
            </w:r>
          </w:p>
        </w:tc>
      </w:tr>
      <w:tr>
        <w:trPr>
          <w:trHeight w:val="877" w:hRule="atLeast"/>
        </w:trPr>
        <w:tc>
          <w:tcPr>
            <w:tcW w:w="1434" w:type="dxa"/>
            <w:vAlign w:val="top"/>
          </w:tcPr>
          <w:p>
            <w:pPr>
              <w:spacing w:line="241" w:lineRule="auto"/>
              <w:rPr>
                <w:rFonts w:ascii="Arial"/>
                <w:sz w:val="21"/>
              </w:rPr>
            </w:pPr>
            <w:r/>
          </w:p>
          <w:p>
            <w:pPr>
              <w:pStyle w:val="TableText"/>
              <w:ind w:left="458"/>
              <w:spacing w:before="81" w:line="221" w:lineRule="auto"/>
              <w:rPr>
                <w:sz w:val="25"/>
                <w:szCs w:val="25"/>
              </w:rPr>
            </w:pPr>
            <w:r>
              <w:rPr>
                <w:sz w:val="25"/>
                <w:szCs w:val="25"/>
                <w:b/>
                <w:bCs/>
                <w:spacing w:val="-6"/>
              </w:rPr>
              <w:t>较重</w:t>
            </w:r>
          </w:p>
        </w:tc>
        <w:tc>
          <w:tcPr>
            <w:tcW w:w="6735" w:type="dxa"/>
            <w:vAlign w:val="top"/>
          </w:tcPr>
          <w:p>
            <w:pPr>
              <w:pStyle w:val="TableText"/>
              <w:ind w:left="110" w:right="104"/>
              <w:spacing w:before="143" w:line="267" w:lineRule="auto"/>
              <w:rPr>
                <w:sz w:val="25"/>
                <w:szCs w:val="25"/>
              </w:rPr>
            </w:pPr>
            <w:r>
              <w:rPr>
                <w:sz w:val="25"/>
                <w:szCs w:val="25"/>
              </w:rPr>
              <w:t>使用2名或2名以上未经内地短期行医执业注册的港澳医师从</w:t>
            </w:r>
            <w:r>
              <w:rPr>
                <w:sz w:val="25"/>
                <w:szCs w:val="25"/>
                <w:spacing w:val="9"/>
              </w:rPr>
              <w:t xml:space="preserve"> </w:t>
            </w:r>
            <w:r>
              <w:rPr>
                <w:sz w:val="25"/>
                <w:szCs w:val="25"/>
                <w:spacing w:val="1"/>
              </w:rPr>
              <w:t>事医疗卫生技术工作的</w:t>
            </w:r>
          </w:p>
        </w:tc>
        <w:tc>
          <w:tcPr>
            <w:tcW w:w="5990" w:type="dxa"/>
            <w:vAlign w:val="top"/>
          </w:tcPr>
          <w:p>
            <w:pPr>
              <w:pStyle w:val="TableText"/>
              <w:ind w:left="125"/>
              <w:spacing w:before="142" w:line="219" w:lineRule="auto"/>
              <w:rPr>
                <w:sz w:val="25"/>
                <w:szCs w:val="25"/>
              </w:rPr>
            </w:pPr>
            <w:r>
              <w:rPr>
                <w:sz w:val="25"/>
                <w:szCs w:val="25"/>
              </w:rPr>
              <w:t>责令其立即改正，处以2万元以上8万元以下罚款</w:t>
            </w:r>
          </w:p>
        </w:tc>
      </w:tr>
      <w:tr>
        <w:trPr>
          <w:trHeight w:val="1361" w:hRule="atLeast"/>
        </w:trPr>
        <w:tc>
          <w:tcPr>
            <w:tcW w:w="1434" w:type="dxa"/>
            <w:vAlign w:val="top"/>
          </w:tcPr>
          <w:p>
            <w:pPr>
              <w:rPr>
                <w:rFonts w:ascii="Arial"/>
                <w:sz w:val="21"/>
              </w:rPr>
            </w:pPr>
            <w:r/>
          </w:p>
          <w:p>
            <w:pPr>
              <w:rPr>
                <w:rFonts w:ascii="Arial"/>
                <w:sz w:val="21"/>
              </w:rPr>
            </w:pPr>
            <w:r/>
          </w:p>
          <w:p>
            <w:pPr>
              <w:pStyle w:val="TableText"/>
              <w:ind w:left="458"/>
              <w:spacing w:before="81" w:line="220" w:lineRule="auto"/>
              <w:rPr>
                <w:sz w:val="25"/>
                <w:szCs w:val="25"/>
              </w:rPr>
            </w:pPr>
            <w:r>
              <w:rPr>
                <w:sz w:val="25"/>
                <w:szCs w:val="25"/>
                <w:b/>
                <w:bCs/>
                <w:spacing w:val="-6"/>
              </w:rPr>
              <w:t>严重</w:t>
            </w:r>
          </w:p>
        </w:tc>
        <w:tc>
          <w:tcPr>
            <w:tcW w:w="6735" w:type="dxa"/>
            <w:vAlign w:val="top"/>
          </w:tcPr>
          <w:p>
            <w:pPr>
              <w:pStyle w:val="TableText"/>
              <w:ind w:left="109" w:hanging="99"/>
              <w:spacing w:before="167" w:line="312" w:lineRule="auto"/>
              <w:rPr>
                <w:sz w:val="25"/>
                <w:szCs w:val="25"/>
              </w:rPr>
            </w:pPr>
            <w:r>
              <w:rPr>
                <w:sz w:val="25"/>
                <w:szCs w:val="25"/>
                <w:spacing w:val="-2"/>
              </w:rPr>
              <w:t>使用未经内地短期行医执业注册的港澳医师从事医疗卫生技术</w:t>
            </w:r>
            <w:r>
              <w:rPr>
                <w:sz w:val="25"/>
                <w:szCs w:val="25"/>
                <w:spacing w:val="17"/>
              </w:rPr>
              <w:t xml:space="preserve"> </w:t>
            </w:r>
            <w:r>
              <w:rPr>
                <w:sz w:val="25"/>
                <w:szCs w:val="25"/>
                <w:spacing w:val="1"/>
              </w:rPr>
              <w:t>工作给患者造成伤害的</w:t>
            </w:r>
          </w:p>
        </w:tc>
        <w:tc>
          <w:tcPr>
            <w:tcW w:w="5990" w:type="dxa"/>
            <w:vAlign w:val="top"/>
          </w:tcPr>
          <w:p>
            <w:pPr>
              <w:pStyle w:val="TableText"/>
              <w:ind w:left="125"/>
              <w:spacing w:before="145" w:line="219" w:lineRule="auto"/>
              <w:rPr>
                <w:sz w:val="25"/>
                <w:szCs w:val="25"/>
              </w:rPr>
            </w:pPr>
            <w:r>
              <w:rPr>
                <w:sz w:val="25"/>
                <w:szCs w:val="25"/>
              </w:rPr>
              <w:t>责令其立即改正，处以8万元以上10万元以下罚款</w:t>
            </w:r>
          </w:p>
        </w:tc>
      </w:tr>
    </w:tbl>
    <w:p>
      <w:pPr>
        <w:pStyle w:val="BodyText"/>
        <w:rPr/>
      </w:pPr>
      <w:r/>
    </w:p>
    <w:p>
      <w:pPr>
        <w:sectPr>
          <w:footerReference w:type="default" r:id="rId274"/>
          <w:pgSz w:w="16830" w:h="11900"/>
          <w:pgMar w:top="1011" w:right="1335" w:bottom="1118" w:left="1325" w:header="0" w:footer="785" w:gutter="0"/>
        </w:sectPr>
        <w:rPr/>
      </w:pPr>
    </w:p>
    <w:p>
      <w:pPr>
        <w:spacing w:before="13"/>
        <w:rPr/>
      </w:pPr>
      <w:r/>
    </w:p>
    <w:p>
      <w:pPr>
        <w:spacing w:before="13"/>
        <w:rPr/>
      </w:pPr>
      <w:r/>
    </w:p>
    <w:p>
      <w:pPr>
        <w:spacing w:before="13"/>
        <w:rPr/>
      </w:pPr>
      <w:r/>
    </w:p>
    <w:tbl>
      <w:tblPr>
        <w:tblStyle w:val="TableNormal"/>
        <w:tblW w:w="14163"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6765"/>
        <w:gridCol w:w="5974"/>
      </w:tblGrid>
      <w:tr>
        <w:trPr>
          <w:trHeight w:val="880" w:hRule="atLeast"/>
        </w:trPr>
        <w:tc>
          <w:tcPr>
            <w:tcW w:w="1424" w:type="dxa"/>
            <w:vAlign w:val="top"/>
          </w:tcPr>
          <w:p>
            <w:pPr>
              <w:pStyle w:val="TableText"/>
              <w:ind w:left="228"/>
              <w:spacing w:before="321" w:line="219" w:lineRule="auto"/>
              <w:rPr>
                <w:sz w:val="25"/>
                <w:szCs w:val="25"/>
              </w:rPr>
            </w:pPr>
            <w:bookmarkStart w:name="bookmark930" w:id="297"/>
            <w:bookmarkEnd w:id="297"/>
            <w:r>
              <w:rPr>
                <w:sz w:val="25"/>
                <w:szCs w:val="25"/>
                <w:b/>
                <w:bCs/>
                <w:spacing w:val="-5"/>
              </w:rPr>
              <w:t>特别严重</w:t>
            </w:r>
          </w:p>
        </w:tc>
        <w:tc>
          <w:tcPr>
            <w:tcW w:w="6765" w:type="dxa"/>
            <w:vAlign w:val="top"/>
          </w:tcPr>
          <w:p>
            <w:pPr>
              <w:pStyle w:val="TableText"/>
              <w:ind w:left="130" w:hanging="10"/>
              <w:spacing w:before="154" w:line="264" w:lineRule="auto"/>
              <w:rPr>
                <w:sz w:val="25"/>
                <w:szCs w:val="25"/>
              </w:rPr>
            </w:pPr>
            <w:r>
              <w:rPr>
                <w:sz w:val="25"/>
                <w:szCs w:val="25"/>
                <w:spacing w:val="-5"/>
              </w:rPr>
              <w:t>使用未经内地短期行医执业注册的港澳医师从事医疗卫生技术</w:t>
            </w:r>
            <w:r>
              <w:rPr>
                <w:sz w:val="25"/>
                <w:szCs w:val="25"/>
                <w:spacing w:val="18"/>
              </w:rPr>
              <w:t xml:space="preserve"> </w:t>
            </w:r>
            <w:r>
              <w:rPr>
                <w:sz w:val="25"/>
                <w:szCs w:val="25"/>
                <w:spacing w:val="1"/>
              </w:rPr>
              <w:t>工作的，造成患者死亡的</w:t>
            </w:r>
          </w:p>
        </w:tc>
        <w:tc>
          <w:tcPr>
            <w:tcW w:w="5974" w:type="dxa"/>
            <w:vAlign w:val="top"/>
          </w:tcPr>
          <w:p>
            <w:pPr>
              <w:pStyle w:val="TableText"/>
              <w:ind w:left="104" w:hanging="89"/>
              <w:spacing w:before="154" w:line="264" w:lineRule="auto"/>
              <w:rPr>
                <w:sz w:val="25"/>
                <w:szCs w:val="25"/>
              </w:rPr>
            </w:pPr>
            <w:r>
              <w:rPr>
                <w:sz w:val="25"/>
                <w:szCs w:val="25"/>
                <w:spacing w:val="-2"/>
              </w:rPr>
              <w:t>责令其立即改正，处以10万元罚款，情节严重的</w:t>
            </w:r>
            <w:r>
              <w:rPr>
                <w:sz w:val="25"/>
                <w:szCs w:val="25"/>
                <w:spacing w:val="-3"/>
              </w:rPr>
              <w:t>，吊销</w:t>
            </w:r>
            <w:r>
              <w:rPr>
                <w:sz w:val="25"/>
                <w:szCs w:val="25"/>
              </w:rPr>
              <w:t xml:space="preserve"> </w:t>
            </w:r>
            <w:r>
              <w:rPr>
                <w:sz w:val="25"/>
                <w:szCs w:val="25"/>
              </w:rPr>
              <w:t>其《医疗机构执业许可证》或者责令其停止执业活动</w:t>
            </w:r>
          </w:p>
        </w:tc>
      </w:tr>
    </w:tbl>
    <w:p>
      <w:pPr>
        <w:pStyle w:val="BodyText"/>
        <w:spacing w:line="478" w:lineRule="auto"/>
        <w:rPr/>
      </w:pPr>
      <w:r/>
    </w:p>
    <w:p>
      <w:pPr>
        <w:ind w:left="119" w:right="119" w:firstLine="670"/>
        <w:spacing w:before="94" w:line="283" w:lineRule="auto"/>
        <w:rPr>
          <w:rFonts w:ascii="FangSong" w:hAnsi="FangSong" w:eastAsia="FangSong" w:cs="FangSong"/>
          <w:sz w:val="29"/>
          <w:szCs w:val="29"/>
        </w:rPr>
      </w:pPr>
      <w:r>
        <w:rPr>
          <w:rFonts w:ascii="FangSong" w:hAnsi="FangSong" w:eastAsia="FangSong" w:cs="FangSong"/>
          <w:sz w:val="29"/>
          <w:szCs w:val="29"/>
          <w:b/>
          <w:bCs/>
          <w:spacing w:val="30"/>
        </w:rPr>
        <w:t>第二百一十三条港澳医师未取得《港澳医师短期行医执业证书》行医或者未按照注册的有效期</w:t>
      </w:r>
      <w:r>
        <w:rPr>
          <w:rFonts w:ascii="FangSong" w:hAnsi="FangSong" w:eastAsia="FangSong" w:cs="FangSong"/>
          <w:sz w:val="29"/>
          <w:szCs w:val="29"/>
          <w:spacing w:val="18"/>
        </w:rPr>
        <w:t xml:space="preserve"> </w:t>
      </w:r>
      <w:r>
        <w:rPr>
          <w:rFonts w:ascii="FangSong" w:hAnsi="FangSong" w:eastAsia="FangSong" w:cs="FangSong"/>
          <w:sz w:val="29"/>
          <w:szCs w:val="29"/>
          <w:b/>
          <w:bCs/>
          <w:spacing w:val="24"/>
        </w:rPr>
        <w:t>从事诊疗活动的</w:t>
      </w:r>
    </w:p>
    <w:p>
      <w:pPr>
        <w:ind w:left="934"/>
        <w:spacing w:line="222" w:lineRule="auto"/>
        <w:rPr>
          <w:rFonts w:ascii="FangSong" w:hAnsi="FangSong" w:eastAsia="FangSong" w:cs="FangSong"/>
          <w:sz w:val="29"/>
          <w:szCs w:val="29"/>
        </w:rPr>
      </w:pPr>
      <w:r>
        <w:rPr>
          <w:rFonts w:ascii="FangSong" w:hAnsi="FangSong" w:eastAsia="FangSong" w:cs="FangSong"/>
          <w:sz w:val="29"/>
          <w:szCs w:val="29"/>
          <w:spacing w:val="9"/>
        </w:rPr>
        <w:t>法律依据：</w:t>
      </w:r>
    </w:p>
    <w:p>
      <w:pPr>
        <w:ind w:left="114" w:right="119" w:firstLine="660"/>
        <w:spacing w:before="98" w:line="258" w:lineRule="auto"/>
        <w:rPr>
          <w:rFonts w:ascii="FangSong" w:hAnsi="FangSong" w:eastAsia="FangSong" w:cs="FangSong"/>
          <w:sz w:val="29"/>
          <w:szCs w:val="29"/>
        </w:rPr>
      </w:pPr>
      <w:r>
        <w:rPr>
          <w:rFonts w:ascii="FangSong" w:hAnsi="FangSong" w:eastAsia="FangSong" w:cs="FangSong"/>
          <w:sz w:val="29"/>
          <w:szCs w:val="29"/>
          <w:spacing w:val="21"/>
        </w:rPr>
        <w:t>1.</w:t>
      </w:r>
      <w:r>
        <w:rPr>
          <w:rFonts w:ascii="FangSong" w:hAnsi="FangSong" w:eastAsia="FangSong" w:cs="FangSong"/>
          <w:sz w:val="29"/>
          <w:szCs w:val="29"/>
          <w:spacing w:val="21"/>
        </w:rPr>
        <w:t xml:space="preserve"> </w:t>
      </w:r>
      <w:r>
        <w:rPr>
          <w:rFonts w:ascii="FangSong" w:hAnsi="FangSong" w:eastAsia="FangSong" w:cs="FangSong"/>
          <w:sz w:val="29"/>
          <w:szCs w:val="29"/>
          <w:spacing w:val="21"/>
        </w:rPr>
        <w:t>《香港、澳门特别行政区医师在内地短期行医管理规定》第十八条</w:t>
      </w:r>
      <w:r>
        <w:rPr>
          <w:rFonts w:ascii="FangSong" w:hAnsi="FangSong" w:eastAsia="FangSong" w:cs="FangSong"/>
          <w:sz w:val="29"/>
          <w:szCs w:val="29"/>
          <w:spacing w:val="21"/>
        </w:rPr>
        <w:t xml:space="preserve">  </w:t>
      </w:r>
      <w:r>
        <w:rPr>
          <w:rFonts w:ascii="FangSong" w:hAnsi="FangSong" w:eastAsia="FangSong" w:cs="FangSong"/>
          <w:sz w:val="29"/>
          <w:szCs w:val="29"/>
          <w:spacing w:val="21"/>
        </w:rPr>
        <w:t>港澳医师未取得《港澳医</w:t>
      </w:r>
      <w:r>
        <w:rPr>
          <w:rFonts w:ascii="FangSong" w:hAnsi="FangSong" w:eastAsia="FangSong" w:cs="FangSong"/>
          <w:sz w:val="29"/>
          <w:szCs w:val="29"/>
          <w:spacing w:val="8"/>
        </w:rPr>
        <w:t xml:space="preserve"> </w:t>
      </w:r>
      <w:r>
        <w:rPr>
          <w:rFonts w:ascii="FangSong" w:hAnsi="FangSong" w:eastAsia="FangSong" w:cs="FangSong"/>
          <w:sz w:val="29"/>
          <w:szCs w:val="29"/>
          <w:spacing w:val="26"/>
        </w:rPr>
        <w:t>师短期行医执业证书》行医或者未按照注册的有效期从事诊疗活动的，按照《执业医师法》第三十九</w:t>
      </w:r>
      <w:r>
        <w:rPr>
          <w:rFonts w:ascii="FangSong" w:hAnsi="FangSong" w:eastAsia="FangSong" w:cs="FangSong"/>
          <w:sz w:val="29"/>
          <w:szCs w:val="29"/>
          <w:spacing w:val="3"/>
        </w:rPr>
        <w:t xml:space="preserve"> </w:t>
      </w:r>
      <w:r>
        <w:rPr>
          <w:rFonts w:ascii="FangSong" w:hAnsi="FangSong" w:eastAsia="FangSong" w:cs="FangSong"/>
          <w:sz w:val="29"/>
          <w:szCs w:val="29"/>
          <w:spacing w:val="14"/>
        </w:rPr>
        <w:t>条规定处理。</w:t>
      </w:r>
    </w:p>
    <w:p>
      <w:pPr>
        <w:ind w:left="114" w:right="123" w:firstLine="629"/>
        <w:spacing w:before="112" w:line="257" w:lineRule="auto"/>
        <w:rPr>
          <w:rFonts w:ascii="FangSong" w:hAnsi="FangSong" w:eastAsia="FangSong" w:cs="FangSong"/>
          <w:sz w:val="29"/>
          <w:szCs w:val="29"/>
        </w:rPr>
      </w:pPr>
      <w:r>
        <w:rPr>
          <w:rFonts w:ascii="FangSong" w:hAnsi="FangSong" w:eastAsia="FangSong" w:cs="FangSong"/>
          <w:sz w:val="29"/>
          <w:szCs w:val="29"/>
          <w:spacing w:val="20"/>
        </w:rPr>
        <w:t>2.</w:t>
      </w:r>
      <w:r>
        <w:rPr>
          <w:rFonts w:ascii="FangSong" w:hAnsi="FangSong" w:eastAsia="FangSong" w:cs="FangSong"/>
          <w:sz w:val="29"/>
          <w:szCs w:val="29"/>
          <w:spacing w:val="20"/>
        </w:rPr>
        <w:t xml:space="preserve"> </w:t>
      </w:r>
      <w:r>
        <w:rPr>
          <w:rFonts w:ascii="FangSong" w:hAnsi="FangSong" w:eastAsia="FangSong" w:cs="FangSong"/>
          <w:sz w:val="29"/>
          <w:szCs w:val="29"/>
          <w:spacing w:val="20"/>
        </w:rPr>
        <w:t>《中华人民共和国医师法》第五十九条</w:t>
      </w:r>
      <w:r>
        <w:rPr>
          <w:rFonts w:ascii="FangSong" w:hAnsi="FangSong" w:eastAsia="FangSong" w:cs="FangSong"/>
          <w:sz w:val="29"/>
          <w:szCs w:val="29"/>
          <w:spacing w:val="59"/>
        </w:rPr>
        <w:t xml:space="preserve">  </w:t>
      </w:r>
      <w:r>
        <w:rPr>
          <w:rFonts w:ascii="FangSong" w:hAnsi="FangSong" w:eastAsia="FangSong" w:cs="FangSong"/>
          <w:sz w:val="29"/>
          <w:szCs w:val="29"/>
          <w:spacing w:val="20"/>
        </w:rPr>
        <w:t>违反本法规定，非医师行医的，由县级以上人民政府</w:t>
      </w:r>
      <w:r>
        <w:rPr>
          <w:rFonts w:ascii="FangSong" w:hAnsi="FangSong" w:eastAsia="FangSong" w:cs="FangSong"/>
          <w:sz w:val="29"/>
          <w:szCs w:val="29"/>
          <w:spacing w:val="1"/>
        </w:rPr>
        <w:t xml:space="preserve"> </w:t>
      </w:r>
      <w:r>
        <w:rPr>
          <w:rFonts w:ascii="FangSong" w:hAnsi="FangSong" w:eastAsia="FangSong" w:cs="FangSong"/>
          <w:sz w:val="29"/>
          <w:szCs w:val="29"/>
          <w:spacing w:val="27"/>
        </w:rPr>
        <w:t>卫生健康主管部门责令停止非法执业活动，没收违法所</w:t>
      </w:r>
      <w:r>
        <w:rPr>
          <w:rFonts w:ascii="FangSong" w:hAnsi="FangSong" w:eastAsia="FangSong" w:cs="FangSong"/>
          <w:sz w:val="29"/>
          <w:szCs w:val="29"/>
          <w:spacing w:val="26"/>
        </w:rPr>
        <w:t>得和药品、医疗器械，并处违法所得二倍以上</w:t>
      </w:r>
      <w:r>
        <w:rPr>
          <w:rFonts w:ascii="FangSong" w:hAnsi="FangSong" w:eastAsia="FangSong" w:cs="FangSong"/>
          <w:sz w:val="29"/>
          <w:szCs w:val="29"/>
        </w:rPr>
        <w:t xml:space="preserve"> </w:t>
      </w:r>
      <w:r>
        <w:rPr>
          <w:rFonts w:ascii="FangSong" w:hAnsi="FangSong" w:eastAsia="FangSong" w:cs="FangSong"/>
          <w:sz w:val="29"/>
          <w:szCs w:val="29"/>
          <w:spacing w:val="27"/>
        </w:rPr>
        <w:t>十倍以下的罚款，违法所得不足一万元的，按一万元计算。</w:t>
      </w:r>
    </w:p>
    <w:p>
      <w:pPr>
        <w:ind w:left="6528"/>
        <w:spacing w:before="61"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42" w:lineRule="auto"/>
        <w:rPr>
          <w:rFonts w:ascii="Arial"/>
          <w:sz w:val="2"/>
        </w:rPr>
      </w:pPr>
      <w:r>
        <w:rPr>
          <w:rFonts w:ascii="Arial"/>
          <w:sz w:val="2"/>
        </w:rPr>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3"/>
        <w:gridCol w:w="5756"/>
        <w:gridCol w:w="6970"/>
      </w:tblGrid>
      <w:tr>
        <w:trPr>
          <w:trHeight w:val="423" w:hRule="atLeast"/>
        </w:trPr>
        <w:tc>
          <w:tcPr>
            <w:tcW w:w="1433" w:type="dxa"/>
            <w:vAlign w:val="top"/>
          </w:tcPr>
          <w:p>
            <w:pPr>
              <w:pStyle w:val="TableText"/>
              <w:ind w:left="128"/>
              <w:spacing w:before="9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5756" w:type="dxa"/>
            <w:vAlign w:val="top"/>
          </w:tcPr>
          <w:p>
            <w:pPr>
              <w:pStyle w:val="TableText"/>
              <w:ind w:left="2295"/>
              <w:spacing w:before="92" w:line="220" w:lineRule="auto"/>
              <w:rPr/>
            </w:pPr>
            <w:r>
              <w:rPr>
                <w:b/>
                <w:bCs/>
                <w:spacing w:val="-11"/>
              </w:rPr>
              <w:t>违</w:t>
            </w:r>
            <w:r>
              <w:rPr>
                <w:spacing w:val="-36"/>
              </w:rPr>
              <w:t xml:space="preserve"> </w:t>
            </w:r>
            <w:r>
              <w:rPr>
                <w:b/>
                <w:bCs/>
                <w:spacing w:val="-11"/>
              </w:rPr>
              <w:t>法</w:t>
            </w:r>
            <w:r>
              <w:rPr>
                <w:spacing w:val="-36"/>
              </w:rPr>
              <w:t xml:space="preserve"> </w:t>
            </w:r>
            <w:r>
              <w:rPr>
                <w:b/>
                <w:bCs/>
                <w:spacing w:val="-11"/>
              </w:rPr>
              <w:t>后</w:t>
            </w:r>
            <w:r>
              <w:rPr>
                <w:spacing w:val="-34"/>
              </w:rPr>
              <w:t xml:space="preserve"> </w:t>
            </w:r>
            <w:r>
              <w:rPr>
                <w:b/>
                <w:bCs/>
                <w:spacing w:val="-11"/>
              </w:rPr>
              <w:t>果</w:t>
            </w:r>
          </w:p>
        </w:tc>
        <w:tc>
          <w:tcPr>
            <w:tcW w:w="6970" w:type="dxa"/>
            <w:vAlign w:val="top"/>
          </w:tcPr>
          <w:p>
            <w:pPr>
              <w:pStyle w:val="TableText"/>
              <w:ind w:left="2899"/>
              <w:spacing w:before="8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987" w:hRule="atLeast"/>
        </w:trPr>
        <w:tc>
          <w:tcPr>
            <w:tcW w:w="1433" w:type="dxa"/>
            <w:vAlign w:val="top"/>
          </w:tcPr>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TableText"/>
              <w:ind w:left="468"/>
              <w:spacing w:before="78" w:line="221" w:lineRule="auto"/>
              <w:rPr/>
            </w:pPr>
            <w:r>
              <w:rPr>
                <w:b/>
                <w:bCs/>
                <w:spacing w:val="-10"/>
              </w:rPr>
              <w:t>一般</w:t>
            </w:r>
          </w:p>
        </w:tc>
        <w:tc>
          <w:tcPr>
            <w:tcW w:w="5756" w:type="dxa"/>
            <w:vAlign w:val="top"/>
          </w:tcPr>
          <w:p>
            <w:pPr>
              <w:spacing w:line="417" w:lineRule="auto"/>
              <w:rPr>
                <w:rFonts w:ascii="Arial"/>
                <w:sz w:val="21"/>
              </w:rPr>
            </w:pPr>
            <w:r/>
          </w:p>
          <w:p>
            <w:pPr>
              <w:pStyle w:val="TableText"/>
              <w:ind w:left="115" w:right="119"/>
              <w:spacing w:before="78" w:line="340" w:lineRule="auto"/>
              <w:jc w:val="both"/>
              <w:rPr/>
            </w:pPr>
            <w:r>
              <w:rPr>
                <w:b/>
                <w:bCs/>
                <w:spacing w:val="-3"/>
              </w:rPr>
              <w:t>港澳医师未取得《港澳医师短期行医执业证书》行医</w:t>
            </w:r>
            <w:r>
              <w:rPr>
                <w:spacing w:val="1"/>
              </w:rPr>
              <w:t xml:space="preserve"> </w:t>
            </w:r>
            <w:r>
              <w:rPr>
                <w:b/>
                <w:bCs/>
                <w:spacing w:val="-3"/>
              </w:rPr>
              <w:t>或者未按照注册的有效期从事诊疗活动，时间</w:t>
            </w:r>
            <w:r>
              <w:rPr>
                <w:b/>
                <w:bCs/>
                <w:spacing w:val="-4"/>
              </w:rPr>
              <w:t>在三个</w:t>
            </w:r>
            <w:r>
              <w:rPr/>
              <w:t xml:space="preserve"> </w:t>
            </w:r>
            <w:r>
              <w:rPr>
                <w:b/>
                <w:bCs/>
                <w:spacing w:val="-2"/>
              </w:rPr>
              <w:t>月以下的且违法所得不足一万元的</w:t>
            </w:r>
          </w:p>
        </w:tc>
        <w:tc>
          <w:tcPr>
            <w:tcW w:w="6970" w:type="dxa"/>
            <w:vAlign w:val="top"/>
          </w:tcPr>
          <w:p>
            <w:pPr>
              <w:spacing w:line="417" w:lineRule="auto"/>
              <w:rPr>
                <w:rFonts w:ascii="Arial"/>
                <w:sz w:val="21"/>
              </w:rPr>
            </w:pPr>
            <w:r/>
          </w:p>
          <w:p>
            <w:pPr>
              <w:pStyle w:val="TableText"/>
              <w:ind w:left="109" w:right="67" w:firstLine="70"/>
              <w:spacing w:before="78" w:line="340" w:lineRule="auto"/>
              <w:jc w:val="both"/>
              <w:rPr/>
            </w:pPr>
            <w:r>
              <w:rPr>
                <w:b/>
                <w:bCs/>
                <w:spacing w:val="-3"/>
              </w:rPr>
              <w:t>由县级以上人民政府卫生健康主管部门责令停止非法执业活动，</w:t>
            </w:r>
            <w:r>
              <w:rPr>
                <w:spacing w:val="5"/>
              </w:rPr>
              <w:t xml:space="preserve"> </w:t>
            </w:r>
            <w:r>
              <w:rPr>
                <w:b/>
                <w:bCs/>
                <w:spacing w:val="-3"/>
              </w:rPr>
              <w:t>没收违法所得和药品、医疗器械，并处违法所得二倍的罚款，违</w:t>
            </w:r>
            <w:r>
              <w:rPr>
                <w:spacing w:val="4"/>
              </w:rPr>
              <w:t xml:space="preserve">  </w:t>
            </w:r>
            <w:r>
              <w:rPr>
                <w:b/>
                <w:bCs/>
                <w:spacing w:val="-4"/>
              </w:rPr>
              <w:t>法所得不足一万元的，按一万元计算</w:t>
            </w:r>
          </w:p>
        </w:tc>
      </w:tr>
    </w:tbl>
    <w:p>
      <w:pPr>
        <w:pStyle w:val="BodyText"/>
        <w:rPr/>
      </w:pPr>
      <w:r/>
    </w:p>
    <w:p>
      <w:pPr>
        <w:sectPr>
          <w:footerReference w:type="default" r:id="rId275"/>
          <w:pgSz w:w="16830" w:h="11900"/>
          <w:pgMar w:top="1011" w:right="1331" w:bottom="1108" w:left="1325" w:header="0" w:footer="775" w:gutter="0"/>
        </w:sectPr>
        <w:rPr/>
      </w:pPr>
    </w:p>
    <w:p>
      <w:pPr>
        <w:spacing w:before="20"/>
        <w:rPr/>
      </w:pPr>
      <w:r/>
    </w:p>
    <w:p>
      <w:pPr>
        <w:spacing w:before="20"/>
        <w:rPr/>
      </w:pPr>
      <w:r/>
    </w:p>
    <w:p>
      <w:pPr>
        <w:spacing w:before="19"/>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3"/>
        <w:gridCol w:w="5756"/>
        <w:gridCol w:w="6980"/>
      </w:tblGrid>
      <w:tr>
        <w:trPr>
          <w:trHeight w:val="1302" w:hRule="atLeast"/>
        </w:trPr>
        <w:tc>
          <w:tcPr>
            <w:tcW w:w="1413" w:type="dxa"/>
            <w:vAlign w:val="top"/>
          </w:tcPr>
          <w:p>
            <w:pPr>
              <w:spacing w:line="453" w:lineRule="auto"/>
              <w:rPr>
                <w:rFonts w:ascii="Arial"/>
                <w:sz w:val="21"/>
              </w:rPr>
            </w:pPr>
            <w:r/>
          </w:p>
          <w:p>
            <w:pPr>
              <w:pStyle w:val="TableText"/>
              <w:ind w:left="458"/>
              <w:spacing w:before="78" w:line="221" w:lineRule="auto"/>
              <w:rPr/>
            </w:pPr>
            <w:bookmarkStart w:name="bookmark931" w:id="298"/>
            <w:bookmarkEnd w:id="298"/>
            <w:r>
              <w:rPr>
                <w:b/>
                <w:bCs/>
                <w:spacing w:val="-5"/>
              </w:rPr>
              <w:t>较重</w:t>
            </w:r>
          </w:p>
        </w:tc>
        <w:tc>
          <w:tcPr>
            <w:tcW w:w="5756" w:type="dxa"/>
            <w:vAlign w:val="top"/>
          </w:tcPr>
          <w:p>
            <w:pPr>
              <w:pStyle w:val="TableText"/>
              <w:ind w:left="111" w:right="99"/>
              <w:spacing w:before="122" w:line="300" w:lineRule="auto"/>
              <w:jc w:val="both"/>
              <w:rPr/>
            </w:pPr>
            <w:r>
              <w:rPr/>
              <w:t>港澳医师未取得《港澳医师短期行医执业证书》行医</w:t>
            </w:r>
            <w:r>
              <w:rPr>
                <w:spacing w:val="13"/>
              </w:rPr>
              <w:t xml:space="preserve"> </w:t>
            </w:r>
            <w:r>
              <w:rPr/>
              <w:t>或者未按照注册的有效期从事诊疗活动，时间在三个</w:t>
            </w:r>
            <w:r>
              <w:rPr>
                <w:spacing w:val="9"/>
              </w:rPr>
              <w:t xml:space="preserve"> </w:t>
            </w:r>
            <w:r>
              <w:rPr>
                <w:spacing w:val="2"/>
              </w:rPr>
              <w:t>月以上或者违法所得一万元以上的</w:t>
            </w:r>
          </w:p>
        </w:tc>
        <w:tc>
          <w:tcPr>
            <w:tcW w:w="6980" w:type="dxa"/>
            <w:vAlign w:val="top"/>
          </w:tcPr>
          <w:p>
            <w:pPr>
              <w:pStyle w:val="TableText"/>
              <w:ind w:left="125" w:right="64" w:firstLine="60"/>
              <w:spacing w:before="133" w:line="297" w:lineRule="auto"/>
              <w:jc w:val="both"/>
              <w:rPr/>
            </w:pPr>
            <w:r>
              <w:rPr/>
              <w:t>由县级以上人民政府卫生健康主管部门责令停止非法执业活</w:t>
            </w:r>
            <w:r>
              <w:rPr>
                <w:spacing w:val="-1"/>
              </w:rPr>
              <w:t>动，</w:t>
            </w:r>
            <w:r>
              <w:rPr/>
              <w:t xml:space="preserve"> </w:t>
            </w:r>
            <w:r>
              <w:rPr/>
              <w:t>没收违法所得和药品、医疗器械，并处违法所三倍以上七倍以下</w:t>
            </w:r>
            <w:r>
              <w:rPr>
                <w:spacing w:val="14"/>
              </w:rPr>
              <w:t xml:space="preserve"> </w:t>
            </w:r>
            <w:r>
              <w:rPr>
                <w:spacing w:val="1"/>
              </w:rPr>
              <w:t>的罚款，违法所得不足一万元的，按一万元计算</w:t>
            </w:r>
          </w:p>
        </w:tc>
      </w:tr>
      <w:tr>
        <w:trPr>
          <w:trHeight w:val="1746" w:hRule="atLeast"/>
        </w:trPr>
        <w:tc>
          <w:tcPr>
            <w:tcW w:w="1413" w:type="dxa"/>
            <w:vAlign w:val="top"/>
          </w:tcPr>
          <w:p>
            <w:pPr>
              <w:spacing w:line="339" w:lineRule="auto"/>
              <w:rPr>
                <w:rFonts w:ascii="Arial"/>
                <w:sz w:val="21"/>
              </w:rPr>
            </w:pPr>
            <w:r/>
          </w:p>
          <w:p>
            <w:pPr>
              <w:spacing w:line="339" w:lineRule="auto"/>
              <w:rPr>
                <w:rFonts w:ascii="Arial"/>
                <w:sz w:val="21"/>
              </w:rPr>
            </w:pPr>
            <w:r/>
          </w:p>
          <w:p>
            <w:pPr>
              <w:pStyle w:val="TableText"/>
              <w:ind w:left="458"/>
              <w:spacing w:before="78" w:line="220" w:lineRule="auto"/>
              <w:rPr/>
            </w:pPr>
            <w:r>
              <w:rPr>
                <w:b/>
                <w:bCs/>
                <w:spacing w:val="-6"/>
              </w:rPr>
              <w:t>严重</w:t>
            </w:r>
          </w:p>
        </w:tc>
        <w:tc>
          <w:tcPr>
            <w:tcW w:w="5756" w:type="dxa"/>
            <w:vAlign w:val="top"/>
          </w:tcPr>
          <w:p>
            <w:pPr>
              <w:pStyle w:val="TableText"/>
              <w:ind w:left="111" w:right="99"/>
              <w:spacing w:before="160" w:line="303" w:lineRule="auto"/>
              <w:jc w:val="both"/>
              <w:rPr/>
            </w:pPr>
            <w:r>
              <w:rPr/>
              <w:t>港澳医师未取得《港澳医师短期行医执业证书》行医</w:t>
            </w:r>
            <w:r>
              <w:rPr>
                <w:spacing w:val="13"/>
              </w:rPr>
              <w:t xml:space="preserve"> </w:t>
            </w:r>
            <w:r>
              <w:rPr/>
              <w:t>或者未按照注册的有效期从事诊疗活动，因擅自违法</w:t>
            </w:r>
            <w:r>
              <w:rPr>
                <w:spacing w:val="7"/>
              </w:rPr>
              <w:t xml:space="preserve"> </w:t>
            </w:r>
            <w:r>
              <w:rPr/>
              <w:t>执业曾受过卫生行政处罚的，仍不改正的；或给患者</w:t>
            </w:r>
            <w:r>
              <w:rPr>
                <w:spacing w:val="10"/>
              </w:rPr>
              <w:t xml:space="preserve"> </w:t>
            </w:r>
            <w:r>
              <w:rPr>
                <w:spacing w:val="7"/>
              </w:rPr>
              <w:t>造成伤害的</w:t>
            </w:r>
          </w:p>
        </w:tc>
        <w:tc>
          <w:tcPr>
            <w:tcW w:w="6980" w:type="dxa"/>
            <w:vAlign w:val="top"/>
          </w:tcPr>
          <w:p>
            <w:pPr>
              <w:spacing w:line="303" w:lineRule="auto"/>
              <w:rPr>
                <w:rFonts w:ascii="Arial"/>
                <w:sz w:val="21"/>
              </w:rPr>
            </w:pPr>
            <w:r/>
          </w:p>
          <w:p>
            <w:pPr>
              <w:pStyle w:val="TableText"/>
              <w:ind w:left="125" w:right="64" w:firstLine="60"/>
              <w:spacing w:before="78" w:line="336" w:lineRule="auto"/>
              <w:jc w:val="both"/>
              <w:rPr/>
            </w:pPr>
            <w:r>
              <w:rPr/>
              <w:t>由县级以上人民政府卫生健康主管部门责令停止非法执业活</w:t>
            </w:r>
            <w:r>
              <w:rPr>
                <w:spacing w:val="-1"/>
              </w:rPr>
              <w:t>动，</w:t>
            </w:r>
            <w:r>
              <w:rPr/>
              <w:t xml:space="preserve"> </w:t>
            </w:r>
            <w:r>
              <w:rPr>
                <w:spacing w:val="1"/>
              </w:rPr>
              <w:t>没收违法所得和药品、医疗器械，并处违法所</w:t>
            </w:r>
            <w:r>
              <w:rPr/>
              <w:t>得八倍以上十倍以 </w:t>
            </w:r>
            <w:r>
              <w:rPr>
                <w:spacing w:val="1"/>
              </w:rPr>
              <w:t>下的罚款，违法所得不足一万元的，按一万元计算</w:t>
            </w:r>
          </w:p>
        </w:tc>
      </w:tr>
      <w:tr>
        <w:trPr>
          <w:trHeight w:val="1332" w:hRule="atLeast"/>
        </w:trPr>
        <w:tc>
          <w:tcPr>
            <w:tcW w:w="1413" w:type="dxa"/>
            <w:vAlign w:val="top"/>
          </w:tcPr>
          <w:p>
            <w:pPr>
              <w:spacing w:line="472" w:lineRule="auto"/>
              <w:rPr>
                <w:rFonts w:ascii="Arial"/>
                <w:sz w:val="21"/>
              </w:rPr>
            </w:pPr>
            <w:r/>
          </w:p>
          <w:p>
            <w:pPr>
              <w:pStyle w:val="TableText"/>
              <w:ind w:left="218"/>
              <w:spacing w:before="78" w:line="219" w:lineRule="auto"/>
              <w:rPr/>
            </w:pPr>
            <w:r>
              <w:rPr>
                <w:b/>
                <w:bCs/>
                <w:spacing w:val="-5"/>
              </w:rPr>
              <w:t>特别严重</w:t>
            </w:r>
          </w:p>
        </w:tc>
        <w:tc>
          <w:tcPr>
            <w:tcW w:w="5756" w:type="dxa"/>
            <w:vAlign w:val="top"/>
          </w:tcPr>
          <w:p>
            <w:pPr>
              <w:pStyle w:val="TableText"/>
              <w:ind w:left="111" w:right="99"/>
              <w:spacing w:before="167" w:line="296" w:lineRule="auto"/>
              <w:jc w:val="both"/>
              <w:rPr/>
            </w:pPr>
            <w:r>
              <w:rPr/>
              <w:t>港澳医师未取得《港澳医师短期行医执业证书》行医</w:t>
            </w:r>
            <w:r>
              <w:rPr>
                <w:spacing w:val="13"/>
              </w:rPr>
              <w:t xml:space="preserve"> </w:t>
            </w:r>
            <w:r>
              <w:rPr/>
              <w:t>或者未按照注册的有效期从事诊疗活动，曾受过两次</w:t>
            </w:r>
            <w:r>
              <w:rPr>
                <w:spacing w:val="8"/>
              </w:rPr>
              <w:t xml:space="preserve"> </w:t>
            </w:r>
            <w:r>
              <w:rPr>
                <w:spacing w:val="2"/>
              </w:rPr>
              <w:t>以上卫生行政处罚或致人死亡的</w:t>
            </w:r>
          </w:p>
        </w:tc>
        <w:tc>
          <w:tcPr>
            <w:tcW w:w="6980" w:type="dxa"/>
            <w:vAlign w:val="top"/>
          </w:tcPr>
          <w:p>
            <w:pPr>
              <w:pStyle w:val="TableText"/>
              <w:ind w:left="125" w:right="64" w:firstLine="60"/>
              <w:spacing w:before="167" w:line="296" w:lineRule="auto"/>
              <w:jc w:val="both"/>
              <w:rPr/>
            </w:pPr>
            <w:r>
              <w:rPr/>
              <w:t>由县级以上人民政府卫生健康主管部门责令停止非法执业活</w:t>
            </w:r>
            <w:r>
              <w:rPr>
                <w:spacing w:val="-1"/>
              </w:rPr>
              <w:t>动，</w:t>
            </w:r>
            <w:r>
              <w:rPr/>
              <w:t xml:space="preserve"> </w:t>
            </w:r>
            <w:r>
              <w:rPr/>
              <w:t>没收违法所得和药品、医疗器械，并处违法所得十倍的罚款，违</w:t>
            </w:r>
            <w:r>
              <w:rPr>
                <w:spacing w:val="9"/>
              </w:rPr>
              <w:t xml:space="preserve"> </w:t>
            </w:r>
            <w:r>
              <w:rPr/>
              <w:t>法所得不足一万元的，按一万元计算</w:t>
            </w:r>
          </w:p>
        </w:tc>
      </w:tr>
    </w:tbl>
    <w:p>
      <w:pPr>
        <w:pStyle w:val="BodyText"/>
        <w:spacing w:line="437" w:lineRule="auto"/>
        <w:rPr/>
      </w:pPr>
      <w:r/>
    </w:p>
    <w:p>
      <w:pPr>
        <w:ind w:left="109" w:right="125" w:firstLine="635"/>
        <w:spacing w:before="97" w:line="285" w:lineRule="auto"/>
        <w:rPr>
          <w:rFonts w:ascii="FangSong" w:hAnsi="FangSong" w:eastAsia="FangSong" w:cs="FangSong"/>
          <w:sz w:val="30"/>
          <w:szCs w:val="30"/>
        </w:rPr>
      </w:pPr>
      <w:r>
        <w:rPr>
          <w:rFonts w:ascii="FangSong" w:hAnsi="FangSong" w:eastAsia="FangSong" w:cs="FangSong"/>
          <w:sz w:val="30"/>
          <w:szCs w:val="30"/>
          <w:spacing w:val="21"/>
        </w:rPr>
        <w:t>第</w:t>
      </w:r>
      <w:r>
        <w:rPr>
          <w:rFonts w:ascii="FangSong" w:hAnsi="FangSong" w:eastAsia="FangSong" w:cs="FangSong"/>
          <w:sz w:val="30"/>
          <w:szCs w:val="30"/>
          <w:b/>
          <w:bCs/>
          <w:spacing w:val="21"/>
        </w:rPr>
        <w:t>二百一十四条医疗机构聘用未经大陆短期行医执业注册的台湾医师从事诊疗活动，视为聘用</w:t>
      </w:r>
      <w:r>
        <w:rPr>
          <w:rFonts w:ascii="FangSong" w:hAnsi="FangSong" w:eastAsia="FangSong" w:cs="FangSong"/>
          <w:sz w:val="30"/>
          <w:szCs w:val="30"/>
          <w:spacing w:val="2"/>
        </w:rPr>
        <w:t xml:space="preserve"> </w:t>
      </w:r>
      <w:r>
        <w:rPr>
          <w:rFonts w:ascii="FangSong" w:hAnsi="FangSong" w:eastAsia="FangSong" w:cs="FangSong"/>
          <w:sz w:val="30"/>
          <w:szCs w:val="30"/>
          <w:b/>
          <w:bCs/>
          <w:spacing w:val="12"/>
        </w:rPr>
        <w:t>非卫生技术人员</w:t>
      </w:r>
    </w:p>
    <w:p>
      <w:pPr>
        <w:ind w:left="744"/>
        <w:spacing w:line="222" w:lineRule="auto"/>
        <w:rPr>
          <w:rFonts w:ascii="FangSong" w:hAnsi="FangSong" w:eastAsia="FangSong" w:cs="FangSong"/>
          <w:sz w:val="26"/>
          <w:szCs w:val="26"/>
        </w:rPr>
      </w:pPr>
      <w:r>
        <w:rPr>
          <w:rFonts w:ascii="FangSong" w:hAnsi="FangSong" w:eastAsia="FangSong" w:cs="FangSong"/>
          <w:sz w:val="26"/>
          <w:szCs w:val="26"/>
          <w:spacing w:val="32"/>
        </w:rPr>
        <w:t>法律依据</w:t>
      </w:r>
      <w:r>
        <w:rPr>
          <w:rFonts w:ascii="FangSong" w:hAnsi="FangSong" w:eastAsia="FangSong" w:cs="FangSong"/>
          <w:sz w:val="26"/>
          <w:szCs w:val="26"/>
          <w:spacing w:val="-63"/>
        </w:rPr>
        <w:t xml:space="preserve"> </w:t>
      </w:r>
      <w:r>
        <w:rPr>
          <w:rFonts w:ascii="FangSong" w:hAnsi="FangSong" w:eastAsia="FangSong" w:cs="FangSong"/>
          <w:sz w:val="26"/>
          <w:szCs w:val="26"/>
          <w:spacing w:val="32"/>
        </w:rPr>
        <w:t>：</w:t>
      </w:r>
    </w:p>
    <w:p>
      <w:pPr>
        <w:ind w:left="104" w:right="93" w:firstLine="639"/>
        <w:spacing w:before="85" w:line="269" w:lineRule="auto"/>
        <w:rPr>
          <w:rFonts w:ascii="FangSong" w:hAnsi="FangSong" w:eastAsia="FangSong" w:cs="FangSong"/>
          <w:sz w:val="26"/>
          <w:szCs w:val="26"/>
        </w:rPr>
      </w:pPr>
      <w:r>
        <w:rPr>
          <w:rFonts w:ascii="FangSong" w:hAnsi="FangSong" w:eastAsia="FangSong" w:cs="FangSong"/>
          <w:sz w:val="30"/>
          <w:szCs w:val="30"/>
          <w:spacing w:val="9"/>
        </w:rPr>
        <w:t>1.</w:t>
      </w:r>
      <w:r>
        <w:rPr>
          <w:rFonts w:ascii="FangSong" w:hAnsi="FangSong" w:eastAsia="FangSong" w:cs="FangSong"/>
          <w:sz w:val="30"/>
          <w:szCs w:val="30"/>
          <w:spacing w:val="9"/>
        </w:rPr>
        <w:t xml:space="preserve"> </w:t>
      </w:r>
      <w:r>
        <w:rPr>
          <w:rFonts w:ascii="FangSong" w:hAnsi="FangSong" w:eastAsia="FangSong" w:cs="FangSong"/>
          <w:sz w:val="30"/>
          <w:szCs w:val="30"/>
          <w:spacing w:val="9"/>
        </w:rPr>
        <w:t>《台湾地区医师在大陆短期行医管理规定》第十七条</w:t>
      </w:r>
      <w:r>
        <w:rPr>
          <w:rFonts w:ascii="FangSong" w:hAnsi="FangSong" w:eastAsia="FangSong" w:cs="FangSong"/>
          <w:sz w:val="30"/>
          <w:szCs w:val="30"/>
          <w:spacing w:val="60"/>
        </w:rPr>
        <w:t xml:space="preserve">  </w:t>
      </w:r>
      <w:r>
        <w:rPr>
          <w:rFonts w:ascii="FangSong" w:hAnsi="FangSong" w:eastAsia="FangSong" w:cs="FangSong"/>
          <w:sz w:val="30"/>
          <w:szCs w:val="30"/>
          <w:spacing w:val="9"/>
        </w:rPr>
        <w:t>医疗机构聘用未经大陆短期行医执业注</w:t>
      </w:r>
      <w:r>
        <w:rPr>
          <w:rFonts w:ascii="FangSong" w:hAnsi="FangSong" w:eastAsia="FangSong" w:cs="FangSong"/>
          <w:sz w:val="30"/>
          <w:szCs w:val="30"/>
          <w:spacing w:val="1"/>
        </w:rPr>
        <w:t xml:space="preserve"> </w:t>
      </w:r>
      <w:r>
        <w:rPr>
          <w:rFonts w:ascii="FangSong" w:hAnsi="FangSong" w:eastAsia="FangSong" w:cs="FangSong"/>
          <w:sz w:val="30"/>
          <w:szCs w:val="30"/>
          <w:spacing w:val="17"/>
        </w:rPr>
        <w:t>册的台湾医师从事诊疗活动，视为聘用非卫生技术人员，按照《医疗机构管理条例》第四十八条规定</w:t>
      </w:r>
      <w:r>
        <w:rPr>
          <w:rFonts w:ascii="FangSong" w:hAnsi="FangSong" w:eastAsia="FangSong" w:cs="FangSong"/>
          <w:sz w:val="30"/>
          <w:szCs w:val="30"/>
          <w:spacing w:val="12"/>
        </w:rPr>
        <w:t xml:space="preserve"> </w:t>
      </w:r>
      <w:r>
        <w:rPr>
          <w:rFonts w:ascii="FangSong" w:hAnsi="FangSong" w:eastAsia="FangSong" w:cs="FangSong"/>
          <w:sz w:val="26"/>
          <w:szCs w:val="26"/>
          <w:spacing w:val="17"/>
        </w:rPr>
        <w:t>处理</w:t>
      </w:r>
      <w:r>
        <w:rPr>
          <w:rFonts w:ascii="FangSong" w:hAnsi="FangSong" w:eastAsia="FangSong" w:cs="FangSong"/>
          <w:sz w:val="26"/>
          <w:szCs w:val="26"/>
          <w:spacing w:val="-58"/>
        </w:rPr>
        <w:t xml:space="preserve"> </w:t>
      </w:r>
      <w:r>
        <w:rPr>
          <w:rFonts w:ascii="FangSong" w:hAnsi="FangSong" w:eastAsia="FangSong" w:cs="FangSong"/>
          <w:sz w:val="26"/>
          <w:szCs w:val="26"/>
          <w:spacing w:val="17"/>
        </w:rPr>
        <w:t>。</w:t>
      </w:r>
    </w:p>
    <w:p>
      <w:pPr>
        <w:ind w:left="744"/>
        <w:spacing w:before="90" w:line="222" w:lineRule="auto"/>
        <w:rPr>
          <w:rFonts w:ascii="FangSong" w:hAnsi="FangSong" w:eastAsia="FangSong" w:cs="FangSong"/>
          <w:sz w:val="30"/>
          <w:szCs w:val="30"/>
        </w:rPr>
      </w:pPr>
      <w:r>
        <w:rPr>
          <w:rFonts w:ascii="FangSong" w:hAnsi="FangSong" w:eastAsia="FangSong" w:cs="FangSong"/>
          <w:sz w:val="30"/>
          <w:szCs w:val="30"/>
          <w:spacing w:val="10"/>
        </w:rPr>
        <w:t>2.</w:t>
      </w:r>
      <w:r>
        <w:rPr>
          <w:rFonts w:ascii="FangSong" w:hAnsi="FangSong" w:eastAsia="FangSong" w:cs="FangSong"/>
          <w:sz w:val="30"/>
          <w:szCs w:val="30"/>
          <w:spacing w:val="10"/>
        </w:rPr>
        <w:t xml:space="preserve"> </w:t>
      </w:r>
      <w:r>
        <w:rPr>
          <w:rFonts w:ascii="FangSong" w:hAnsi="FangSong" w:eastAsia="FangSong" w:cs="FangSong"/>
          <w:sz w:val="30"/>
          <w:szCs w:val="30"/>
          <w:spacing w:val="10"/>
        </w:rPr>
        <w:t>《医疗机构管理条例》第四十七条</w:t>
      </w:r>
      <w:r>
        <w:rPr>
          <w:rFonts w:ascii="FangSong" w:hAnsi="FangSong" w:eastAsia="FangSong" w:cs="FangSong"/>
          <w:sz w:val="30"/>
          <w:szCs w:val="30"/>
          <w:spacing w:val="59"/>
        </w:rPr>
        <w:t xml:space="preserve">  </w:t>
      </w:r>
      <w:r>
        <w:rPr>
          <w:rFonts w:ascii="FangSong" w:hAnsi="FangSong" w:eastAsia="FangSong" w:cs="FangSong"/>
          <w:sz w:val="30"/>
          <w:szCs w:val="30"/>
          <w:spacing w:val="10"/>
        </w:rPr>
        <w:t>违反本条例第二十七条规定，使用非卫生技术人员从事医</w:t>
      </w:r>
    </w:p>
    <w:p>
      <w:pPr>
        <w:spacing w:line="222" w:lineRule="auto"/>
        <w:sectPr>
          <w:footerReference w:type="default" r:id="rId276"/>
          <w:pgSz w:w="16830" w:h="11900"/>
          <w:pgMar w:top="1011" w:right="1344" w:bottom="1108" w:left="1325" w:header="0" w:footer="775" w:gutter="0"/>
        </w:sectPr>
        <w:rPr>
          <w:rFonts w:ascii="FangSong" w:hAnsi="FangSong" w:eastAsia="FangSong" w:cs="FangSong"/>
          <w:sz w:val="30"/>
          <w:szCs w:val="30"/>
        </w:rPr>
      </w:pPr>
    </w:p>
    <w:p>
      <w:pPr>
        <w:pStyle w:val="BodyText"/>
        <w:spacing w:line="264" w:lineRule="auto"/>
        <w:rPr/>
      </w:pPr>
      <w:r/>
    </w:p>
    <w:p>
      <w:pPr>
        <w:pStyle w:val="BodyText"/>
        <w:spacing w:line="264" w:lineRule="auto"/>
        <w:rPr/>
      </w:pPr>
      <w:r/>
    </w:p>
    <w:p>
      <w:pPr>
        <w:pStyle w:val="BodyText"/>
        <w:spacing w:line="265" w:lineRule="auto"/>
        <w:rPr/>
      </w:pPr>
      <w:r/>
    </w:p>
    <w:p>
      <w:pPr>
        <w:ind w:left="115" w:right="88"/>
        <w:spacing w:before="97" w:line="265" w:lineRule="auto"/>
        <w:rPr>
          <w:rFonts w:ascii="FangSong" w:hAnsi="FangSong" w:eastAsia="FangSong" w:cs="FangSong"/>
          <w:sz w:val="30"/>
          <w:szCs w:val="30"/>
        </w:rPr>
      </w:pPr>
      <w:bookmarkStart w:name="bookmark932" w:id="299"/>
      <w:bookmarkEnd w:id="299"/>
      <w:r>
        <w:rPr>
          <w:rFonts w:ascii="FangSong" w:hAnsi="FangSong" w:eastAsia="FangSong" w:cs="FangSong"/>
          <w:sz w:val="30"/>
          <w:szCs w:val="30"/>
          <w:spacing w:val="28"/>
        </w:rPr>
        <w:t>疗卫生技术工作的，由县级以上人民政府卫生行政部门责令其</w:t>
      </w:r>
      <w:r>
        <w:rPr>
          <w:rFonts w:ascii="FangSong" w:hAnsi="FangSong" w:eastAsia="FangSong" w:cs="FangSong"/>
          <w:sz w:val="30"/>
          <w:szCs w:val="30"/>
          <w:spacing w:val="27"/>
        </w:rPr>
        <w:t>限期改正，并可以处以1万元以上10</w:t>
      </w:r>
      <w:r>
        <w:rPr>
          <w:rFonts w:ascii="FangSong" w:hAnsi="FangSong" w:eastAsia="FangSong" w:cs="FangSong"/>
          <w:sz w:val="30"/>
          <w:szCs w:val="30"/>
        </w:rPr>
        <w:t xml:space="preserve"> </w:t>
      </w:r>
      <w:r>
        <w:rPr>
          <w:rFonts w:ascii="FangSong" w:hAnsi="FangSong" w:eastAsia="FangSong" w:cs="FangSong"/>
          <w:sz w:val="30"/>
          <w:szCs w:val="30"/>
          <w:spacing w:val="18"/>
        </w:rPr>
        <w:t>万元以下的罚款；情节严重的，吊销其《医疗机构执业许可证》或者责令其停止执业活动。</w:t>
      </w:r>
    </w:p>
    <w:p>
      <w:pPr>
        <w:ind w:left="6539"/>
        <w:spacing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5596"/>
        <w:gridCol w:w="7120"/>
      </w:tblGrid>
      <w:tr>
        <w:trPr>
          <w:trHeight w:val="414" w:hRule="atLeast"/>
        </w:trPr>
        <w:tc>
          <w:tcPr>
            <w:tcW w:w="1444" w:type="dxa"/>
            <w:vAlign w:val="top"/>
          </w:tcPr>
          <w:p>
            <w:pPr>
              <w:pStyle w:val="TableText"/>
              <w:ind w:left="218"/>
              <w:spacing w:before="82" w:line="220" w:lineRule="auto"/>
              <w:rPr>
                <w:sz w:val="25"/>
                <w:szCs w:val="25"/>
              </w:rPr>
            </w:pPr>
            <w:r>
              <w:rPr>
                <w:sz w:val="25"/>
                <w:szCs w:val="25"/>
                <w:b/>
                <w:bCs/>
                <w:spacing w:val="-5"/>
              </w:rPr>
              <w:t>违法程度</w:t>
            </w:r>
          </w:p>
        </w:tc>
        <w:tc>
          <w:tcPr>
            <w:tcW w:w="5596" w:type="dxa"/>
            <w:vAlign w:val="top"/>
          </w:tcPr>
          <w:p>
            <w:pPr>
              <w:pStyle w:val="TableText"/>
              <w:ind w:left="2224"/>
              <w:spacing w:before="82" w:line="220" w:lineRule="auto"/>
              <w:rPr>
                <w:sz w:val="25"/>
                <w:szCs w:val="25"/>
              </w:rPr>
            </w:pPr>
            <w:r>
              <w:rPr>
                <w:sz w:val="25"/>
                <w:szCs w:val="25"/>
                <w:b/>
                <w:bCs/>
                <w:spacing w:val="-5"/>
              </w:rPr>
              <w:t>违法后果</w:t>
            </w:r>
          </w:p>
        </w:tc>
        <w:tc>
          <w:tcPr>
            <w:tcW w:w="7120" w:type="dxa"/>
            <w:vAlign w:val="top"/>
          </w:tcPr>
          <w:p>
            <w:pPr>
              <w:pStyle w:val="TableText"/>
              <w:ind w:left="2988"/>
              <w:spacing w:before="79" w:line="218" w:lineRule="auto"/>
              <w:rPr>
                <w:sz w:val="25"/>
                <w:szCs w:val="25"/>
              </w:rPr>
            </w:pPr>
            <w:r>
              <w:rPr>
                <w:sz w:val="25"/>
                <w:szCs w:val="25"/>
                <w:b/>
                <w:bCs/>
                <w:spacing w:val="-5"/>
              </w:rPr>
              <w:t>裁量幅度</w:t>
            </w:r>
          </w:p>
        </w:tc>
      </w:tr>
      <w:tr>
        <w:trPr>
          <w:trHeight w:val="907" w:hRule="atLeast"/>
        </w:trPr>
        <w:tc>
          <w:tcPr>
            <w:tcW w:w="1444" w:type="dxa"/>
            <w:vAlign w:val="top"/>
          </w:tcPr>
          <w:p>
            <w:pPr>
              <w:spacing w:line="246" w:lineRule="auto"/>
              <w:rPr>
                <w:rFonts w:ascii="Arial"/>
                <w:sz w:val="21"/>
              </w:rPr>
            </w:pPr>
            <w:r/>
          </w:p>
          <w:p>
            <w:pPr>
              <w:pStyle w:val="TableText"/>
              <w:ind w:left="468"/>
              <w:spacing w:before="81" w:line="221" w:lineRule="auto"/>
              <w:rPr>
                <w:sz w:val="25"/>
                <w:szCs w:val="25"/>
              </w:rPr>
            </w:pPr>
            <w:r>
              <w:rPr>
                <w:sz w:val="25"/>
                <w:szCs w:val="25"/>
                <w:b/>
                <w:bCs/>
                <w:spacing w:val="-10"/>
              </w:rPr>
              <w:t>一般</w:t>
            </w:r>
          </w:p>
        </w:tc>
        <w:tc>
          <w:tcPr>
            <w:tcW w:w="5596" w:type="dxa"/>
            <w:vAlign w:val="top"/>
          </w:tcPr>
          <w:p>
            <w:pPr>
              <w:pStyle w:val="TableText"/>
              <w:ind w:left="110" w:right="110"/>
              <w:spacing w:before="160" w:line="272" w:lineRule="auto"/>
              <w:rPr>
                <w:sz w:val="25"/>
                <w:szCs w:val="25"/>
              </w:rPr>
            </w:pPr>
            <w:r>
              <w:rPr>
                <w:sz w:val="25"/>
                <w:szCs w:val="25"/>
                <w:spacing w:val="-1"/>
              </w:rPr>
              <w:t>使用1名未经大陆短期行医执业注册的台湾医师从</w:t>
            </w:r>
            <w:r>
              <w:rPr>
                <w:sz w:val="25"/>
                <w:szCs w:val="25"/>
                <w:spacing w:val="10"/>
              </w:rPr>
              <w:t xml:space="preserve"> </w:t>
            </w:r>
            <w:r>
              <w:rPr>
                <w:sz w:val="25"/>
                <w:szCs w:val="25"/>
                <w:spacing w:val="1"/>
              </w:rPr>
              <w:t>事医疗卫生技术工作的</w:t>
            </w:r>
          </w:p>
        </w:tc>
        <w:tc>
          <w:tcPr>
            <w:tcW w:w="7120" w:type="dxa"/>
            <w:vAlign w:val="top"/>
          </w:tcPr>
          <w:p>
            <w:pPr>
              <w:pStyle w:val="TableText"/>
              <w:ind w:left="114"/>
              <w:spacing w:before="159" w:line="219" w:lineRule="auto"/>
              <w:rPr>
                <w:sz w:val="25"/>
                <w:szCs w:val="25"/>
              </w:rPr>
            </w:pPr>
            <w:r>
              <w:rPr>
                <w:sz w:val="25"/>
                <w:szCs w:val="25"/>
              </w:rPr>
              <w:t>责令其立即改正，处以1万元以上2万元以下罚款</w:t>
            </w:r>
          </w:p>
        </w:tc>
      </w:tr>
      <w:tr>
        <w:trPr>
          <w:trHeight w:val="868" w:hRule="atLeast"/>
        </w:trPr>
        <w:tc>
          <w:tcPr>
            <w:tcW w:w="1444" w:type="dxa"/>
            <w:vAlign w:val="top"/>
          </w:tcPr>
          <w:p>
            <w:pPr>
              <w:pStyle w:val="TableText"/>
              <w:ind w:left="468"/>
              <w:spacing w:before="314" w:line="221" w:lineRule="auto"/>
              <w:rPr>
                <w:sz w:val="25"/>
                <w:szCs w:val="25"/>
              </w:rPr>
            </w:pPr>
            <w:r>
              <w:rPr>
                <w:sz w:val="25"/>
                <w:szCs w:val="25"/>
                <w:b/>
                <w:bCs/>
                <w:spacing w:val="-6"/>
              </w:rPr>
              <w:t>较重</w:t>
            </w:r>
          </w:p>
        </w:tc>
        <w:tc>
          <w:tcPr>
            <w:tcW w:w="5596" w:type="dxa"/>
            <w:vAlign w:val="top"/>
          </w:tcPr>
          <w:p>
            <w:pPr>
              <w:pStyle w:val="TableText"/>
              <w:ind w:left="110" w:right="205"/>
              <w:spacing w:before="134" w:line="267" w:lineRule="auto"/>
              <w:rPr>
                <w:sz w:val="25"/>
                <w:szCs w:val="25"/>
              </w:rPr>
            </w:pPr>
            <w:r>
              <w:rPr>
                <w:sz w:val="25"/>
                <w:szCs w:val="25"/>
              </w:rPr>
              <w:t>使用2名或2名以上未经大陆短期行医执业注册的</w:t>
            </w:r>
            <w:r>
              <w:rPr>
                <w:sz w:val="25"/>
                <w:szCs w:val="25"/>
                <w:spacing w:val="18"/>
              </w:rPr>
              <w:t xml:space="preserve"> </w:t>
            </w:r>
            <w:r>
              <w:rPr>
                <w:sz w:val="25"/>
                <w:szCs w:val="25"/>
                <w:spacing w:val="1"/>
              </w:rPr>
              <w:t>台湾医师从事医疗卫生技术工作的</w:t>
            </w:r>
          </w:p>
        </w:tc>
        <w:tc>
          <w:tcPr>
            <w:tcW w:w="7120" w:type="dxa"/>
            <w:vAlign w:val="top"/>
          </w:tcPr>
          <w:p>
            <w:pPr>
              <w:pStyle w:val="TableText"/>
              <w:ind w:left="114"/>
              <w:spacing w:before="312" w:line="219" w:lineRule="auto"/>
              <w:rPr>
                <w:sz w:val="25"/>
                <w:szCs w:val="25"/>
              </w:rPr>
            </w:pPr>
            <w:r>
              <w:rPr>
                <w:sz w:val="25"/>
                <w:szCs w:val="25"/>
              </w:rPr>
              <w:t>责令其立即改正，处以2万元以上8万元以下罚款</w:t>
            </w:r>
          </w:p>
        </w:tc>
      </w:tr>
      <w:tr>
        <w:trPr>
          <w:trHeight w:val="878" w:hRule="atLeast"/>
        </w:trPr>
        <w:tc>
          <w:tcPr>
            <w:tcW w:w="1444" w:type="dxa"/>
            <w:vAlign w:val="top"/>
          </w:tcPr>
          <w:p>
            <w:pPr>
              <w:rPr>
                <w:rFonts w:ascii="Arial"/>
                <w:sz w:val="21"/>
              </w:rPr>
            </w:pPr>
            <w:r/>
          </w:p>
          <w:p>
            <w:pPr>
              <w:pStyle w:val="TableText"/>
              <w:ind w:left="468"/>
              <w:spacing w:before="82" w:line="220" w:lineRule="auto"/>
              <w:rPr>
                <w:sz w:val="25"/>
                <w:szCs w:val="25"/>
              </w:rPr>
            </w:pPr>
            <w:r>
              <w:rPr>
                <w:sz w:val="25"/>
                <w:szCs w:val="25"/>
                <w:b/>
                <w:bCs/>
                <w:spacing w:val="-6"/>
              </w:rPr>
              <w:t>严重</w:t>
            </w:r>
          </w:p>
        </w:tc>
        <w:tc>
          <w:tcPr>
            <w:tcW w:w="5596" w:type="dxa"/>
            <w:vAlign w:val="top"/>
          </w:tcPr>
          <w:p>
            <w:pPr>
              <w:pStyle w:val="TableText"/>
              <w:ind w:left="110" w:right="712"/>
              <w:spacing w:before="136" w:line="270" w:lineRule="auto"/>
              <w:rPr>
                <w:sz w:val="25"/>
                <w:szCs w:val="25"/>
              </w:rPr>
            </w:pPr>
            <w:r>
              <w:rPr>
                <w:sz w:val="25"/>
                <w:szCs w:val="25"/>
              </w:rPr>
              <w:t>使用未经大陆短期行医执业注册的台湾医师</w:t>
            </w:r>
            <w:r>
              <w:rPr>
                <w:sz w:val="25"/>
                <w:szCs w:val="25"/>
                <w:spacing w:val="12"/>
              </w:rPr>
              <w:t xml:space="preserve"> </w:t>
            </w:r>
            <w:r>
              <w:rPr>
                <w:sz w:val="25"/>
                <w:szCs w:val="25"/>
                <w:spacing w:val="1"/>
              </w:rPr>
              <w:t>从事医疗卫生技术工作给患者造成伤害的</w:t>
            </w:r>
          </w:p>
        </w:tc>
        <w:tc>
          <w:tcPr>
            <w:tcW w:w="7120" w:type="dxa"/>
            <w:vAlign w:val="top"/>
          </w:tcPr>
          <w:p>
            <w:pPr>
              <w:spacing w:line="242" w:lineRule="auto"/>
              <w:rPr>
                <w:rFonts w:ascii="Arial"/>
                <w:sz w:val="21"/>
              </w:rPr>
            </w:pPr>
            <w:r/>
          </w:p>
          <w:p>
            <w:pPr>
              <w:pStyle w:val="TableText"/>
              <w:ind w:left="114"/>
              <w:spacing w:before="81" w:line="219" w:lineRule="auto"/>
              <w:rPr>
                <w:sz w:val="25"/>
                <w:szCs w:val="25"/>
              </w:rPr>
            </w:pPr>
            <w:r>
              <w:rPr>
                <w:sz w:val="25"/>
                <w:szCs w:val="25"/>
              </w:rPr>
              <w:t>责令其立即改正，处以8万元以上10万元以下罚款</w:t>
            </w:r>
          </w:p>
        </w:tc>
      </w:tr>
      <w:tr>
        <w:trPr>
          <w:trHeight w:val="873" w:hRule="atLeast"/>
        </w:trPr>
        <w:tc>
          <w:tcPr>
            <w:tcW w:w="1444" w:type="dxa"/>
            <w:vAlign w:val="top"/>
          </w:tcPr>
          <w:p>
            <w:pPr>
              <w:pStyle w:val="TableText"/>
              <w:ind w:left="218"/>
              <w:spacing w:before="314" w:line="219" w:lineRule="auto"/>
              <w:rPr>
                <w:sz w:val="25"/>
                <w:szCs w:val="25"/>
              </w:rPr>
            </w:pPr>
            <w:r>
              <w:rPr>
                <w:sz w:val="25"/>
                <w:szCs w:val="25"/>
                <w:b/>
                <w:bCs/>
                <w:spacing w:val="-5"/>
              </w:rPr>
              <w:t>特别严重</w:t>
            </w:r>
          </w:p>
        </w:tc>
        <w:tc>
          <w:tcPr>
            <w:tcW w:w="5596" w:type="dxa"/>
            <w:vAlign w:val="top"/>
          </w:tcPr>
          <w:p>
            <w:pPr>
              <w:pStyle w:val="TableText"/>
              <w:ind w:left="110"/>
              <w:spacing w:before="158" w:line="260" w:lineRule="auto"/>
              <w:rPr>
                <w:sz w:val="25"/>
                <w:szCs w:val="25"/>
              </w:rPr>
            </w:pPr>
            <w:r>
              <w:rPr>
                <w:sz w:val="25"/>
                <w:szCs w:val="25"/>
                <w:spacing w:val="-2"/>
              </w:rPr>
              <w:t>使用未经大陆短期行医执业注册的台湾医师从事医</w:t>
            </w:r>
            <w:r>
              <w:rPr>
                <w:sz w:val="25"/>
                <w:szCs w:val="25"/>
                <w:spacing w:val="18"/>
              </w:rPr>
              <w:t xml:space="preserve"> </w:t>
            </w:r>
            <w:r>
              <w:rPr>
                <w:sz w:val="25"/>
                <w:szCs w:val="25"/>
              </w:rPr>
              <w:t>疗卫生技术工作的，造成患者死亡的</w:t>
            </w:r>
          </w:p>
        </w:tc>
        <w:tc>
          <w:tcPr>
            <w:tcW w:w="7120" w:type="dxa"/>
            <w:vAlign w:val="top"/>
          </w:tcPr>
          <w:p>
            <w:pPr>
              <w:pStyle w:val="TableText"/>
              <w:ind w:left="114" w:hanging="9"/>
              <w:spacing w:before="156" w:line="261" w:lineRule="auto"/>
              <w:rPr>
                <w:sz w:val="25"/>
                <w:szCs w:val="25"/>
              </w:rPr>
            </w:pPr>
            <w:r>
              <w:rPr>
                <w:sz w:val="25"/>
                <w:szCs w:val="25"/>
              </w:rPr>
              <w:t>责令其立即改正，处以10万元罚款，情节严重的，吊销其《医疗</w:t>
            </w:r>
            <w:r>
              <w:rPr>
                <w:sz w:val="25"/>
                <w:szCs w:val="25"/>
                <w:spacing w:val="3"/>
              </w:rPr>
              <w:t xml:space="preserve"> </w:t>
            </w:r>
            <w:r>
              <w:rPr>
                <w:sz w:val="25"/>
                <w:szCs w:val="25"/>
              </w:rPr>
              <w:t>机构执业许可证》或者责令其停止执业活动</w:t>
            </w:r>
          </w:p>
        </w:tc>
      </w:tr>
    </w:tbl>
    <w:p>
      <w:pPr>
        <w:pStyle w:val="BodyText"/>
        <w:spacing w:line="447" w:lineRule="auto"/>
        <w:rPr/>
      </w:pPr>
      <w:r/>
    </w:p>
    <w:p>
      <w:pPr>
        <w:ind w:left="119" w:right="95" w:firstLine="670"/>
        <w:spacing w:before="97" w:line="270" w:lineRule="auto"/>
        <w:rPr>
          <w:rFonts w:ascii="FangSong" w:hAnsi="FangSong" w:eastAsia="FangSong" w:cs="FangSong"/>
          <w:sz w:val="30"/>
          <w:szCs w:val="30"/>
        </w:rPr>
      </w:pPr>
      <w:r>
        <w:rPr>
          <w:rFonts w:ascii="FangSong" w:hAnsi="FangSong" w:eastAsia="FangSong" w:cs="FangSong"/>
          <w:sz w:val="30"/>
          <w:szCs w:val="30"/>
          <w:b/>
          <w:bCs/>
          <w:spacing w:val="21"/>
        </w:rPr>
        <w:t>第二百一十五条台湾医师未取得《台湾医师短期行医执业证书》行医或者未按照</w:t>
      </w:r>
      <w:r>
        <w:rPr>
          <w:rFonts w:ascii="FangSong" w:hAnsi="FangSong" w:eastAsia="FangSong" w:cs="FangSong"/>
          <w:sz w:val="30"/>
          <w:szCs w:val="30"/>
          <w:b/>
          <w:bCs/>
          <w:spacing w:val="20"/>
        </w:rPr>
        <w:t>注册的有效期</w:t>
      </w:r>
      <w:r>
        <w:rPr>
          <w:rFonts w:ascii="FangSong" w:hAnsi="FangSong" w:eastAsia="FangSong" w:cs="FangSong"/>
          <w:sz w:val="30"/>
          <w:szCs w:val="30"/>
        </w:rPr>
        <w:t xml:space="preserve"> </w:t>
      </w:r>
      <w:r>
        <w:rPr>
          <w:rFonts w:ascii="FangSong" w:hAnsi="FangSong" w:eastAsia="FangSong" w:cs="FangSong"/>
          <w:sz w:val="30"/>
          <w:szCs w:val="30"/>
          <w:b/>
          <w:bCs/>
          <w:spacing w:val="15"/>
        </w:rPr>
        <w:t>从事诊疗活动的</w:t>
      </w:r>
    </w:p>
    <w:p>
      <w:pPr>
        <w:ind w:left="754"/>
        <w:spacing w:line="222" w:lineRule="auto"/>
        <w:rPr>
          <w:rFonts w:ascii="FangSong" w:hAnsi="FangSong" w:eastAsia="FangSong" w:cs="FangSong"/>
          <w:sz w:val="30"/>
          <w:szCs w:val="30"/>
        </w:rPr>
      </w:pPr>
      <w:r>
        <w:rPr>
          <w:rFonts w:ascii="FangSong" w:hAnsi="FangSong" w:eastAsia="FangSong" w:cs="FangSong"/>
          <w:sz w:val="30"/>
          <w:szCs w:val="30"/>
          <w:spacing w:val="34"/>
        </w:rPr>
        <w:t>法律依据：</w:t>
      </w:r>
    </w:p>
    <w:p>
      <w:pPr>
        <w:ind w:left="115" w:right="45" w:firstLine="639"/>
        <w:spacing w:before="83" w:line="279" w:lineRule="auto"/>
        <w:rPr>
          <w:rFonts w:ascii="FangSong" w:hAnsi="FangSong" w:eastAsia="FangSong" w:cs="FangSong"/>
          <w:sz w:val="30"/>
          <w:szCs w:val="30"/>
        </w:rPr>
      </w:pPr>
      <w:r>
        <w:rPr>
          <w:rFonts w:ascii="FangSong" w:hAnsi="FangSong" w:eastAsia="FangSong" w:cs="FangSong"/>
          <w:sz w:val="30"/>
          <w:szCs w:val="30"/>
          <w:spacing w:val="20"/>
        </w:rPr>
        <w:t>1.</w:t>
      </w:r>
      <w:r>
        <w:rPr>
          <w:rFonts w:ascii="FangSong" w:hAnsi="FangSong" w:eastAsia="FangSong" w:cs="FangSong"/>
          <w:sz w:val="30"/>
          <w:szCs w:val="30"/>
          <w:spacing w:val="20"/>
        </w:rPr>
        <w:t xml:space="preserve"> </w:t>
      </w:r>
      <w:r>
        <w:rPr>
          <w:rFonts w:ascii="FangSong" w:hAnsi="FangSong" w:eastAsia="FangSong" w:cs="FangSong"/>
          <w:sz w:val="30"/>
          <w:szCs w:val="30"/>
          <w:spacing w:val="20"/>
        </w:rPr>
        <w:t>《台湾地区医师在大陆短期行医管理规定</w:t>
      </w:r>
      <w:r>
        <w:rPr>
          <w:rFonts w:ascii="FangSong" w:hAnsi="FangSong" w:eastAsia="FangSong" w:cs="FangSong"/>
          <w:sz w:val="30"/>
          <w:szCs w:val="30"/>
          <w:spacing w:val="19"/>
        </w:rPr>
        <w:t>》第十八条台湾医师未取得《台湾医师短期行医执</w:t>
      </w:r>
      <w:r>
        <w:rPr>
          <w:rFonts w:ascii="FangSong" w:hAnsi="FangSong" w:eastAsia="FangSong" w:cs="FangSong"/>
          <w:sz w:val="30"/>
          <w:szCs w:val="30"/>
        </w:rPr>
        <w:t xml:space="preserve"> </w:t>
      </w:r>
      <w:r>
        <w:rPr>
          <w:rFonts w:ascii="FangSong" w:hAnsi="FangSong" w:eastAsia="FangSong" w:cs="FangSong"/>
          <w:sz w:val="30"/>
          <w:szCs w:val="30"/>
          <w:spacing w:val="18"/>
        </w:rPr>
        <w:t>业证书》行医或者未按照注册的有效期从事诊疗活动的，按照《执业医师法》第三十九条规定处理。</w:t>
      </w:r>
    </w:p>
    <w:p>
      <w:pPr>
        <w:spacing w:line="279" w:lineRule="auto"/>
        <w:sectPr>
          <w:footerReference w:type="default" r:id="rId277"/>
          <w:pgSz w:w="16830" w:h="11900"/>
          <w:pgMar w:top="1011" w:right="1344" w:bottom="1117" w:left="1314" w:header="0" w:footer="784" w:gutter="0"/>
        </w:sectPr>
        <w:rPr>
          <w:rFonts w:ascii="FangSong" w:hAnsi="FangSong" w:eastAsia="FangSong" w:cs="FangSong"/>
          <w:sz w:val="30"/>
          <w:szCs w:val="30"/>
        </w:rPr>
      </w:pPr>
    </w:p>
    <w:p>
      <w:pPr>
        <w:pStyle w:val="BodyText"/>
        <w:spacing w:line="264" w:lineRule="auto"/>
        <w:rPr/>
      </w:pPr>
      <w:r/>
    </w:p>
    <w:p>
      <w:pPr>
        <w:pStyle w:val="BodyText"/>
        <w:spacing w:line="264" w:lineRule="auto"/>
        <w:rPr/>
      </w:pPr>
      <w:r/>
    </w:p>
    <w:p>
      <w:pPr>
        <w:pStyle w:val="BodyText"/>
        <w:spacing w:line="264" w:lineRule="auto"/>
        <w:rPr/>
      </w:pPr>
      <w:r/>
    </w:p>
    <w:p>
      <w:pPr>
        <w:ind w:left="124" w:right="113" w:firstLine="629"/>
        <w:spacing w:before="98" w:line="265" w:lineRule="auto"/>
        <w:jc w:val="both"/>
        <w:rPr>
          <w:rFonts w:ascii="FangSong" w:hAnsi="FangSong" w:eastAsia="FangSong" w:cs="FangSong"/>
          <w:sz w:val="30"/>
          <w:szCs w:val="30"/>
        </w:rPr>
      </w:pPr>
      <w:r>
        <w:rPr>
          <w:rFonts w:ascii="FangSong" w:hAnsi="FangSong" w:eastAsia="FangSong" w:cs="FangSong"/>
          <w:sz w:val="30"/>
          <w:szCs w:val="30"/>
          <w:spacing w:val="13"/>
        </w:rPr>
        <w:t>2.</w:t>
      </w:r>
      <w:r>
        <w:rPr>
          <w:rFonts w:ascii="FangSong" w:hAnsi="FangSong" w:eastAsia="FangSong" w:cs="FangSong"/>
          <w:sz w:val="30"/>
          <w:szCs w:val="30"/>
          <w:spacing w:val="13"/>
        </w:rPr>
        <w:t xml:space="preserve"> </w:t>
      </w:r>
      <w:r>
        <w:rPr>
          <w:rFonts w:ascii="FangSong" w:hAnsi="FangSong" w:eastAsia="FangSong" w:cs="FangSong"/>
          <w:sz w:val="30"/>
          <w:szCs w:val="30"/>
          <w:spacing w:val="13"/>
        </w:rPr>
        <w:t>《中华人民共和国医师法》第五十九条</w:t>
      </w:r>
      <w:r>
        <w:rPr>
          <w:rFonts w:ascii="FangSong" w:hAnsi="FangSong" w:eastAsia="FangSong" w:cs="FangSong"/>
          <w:sz w:val="30"/>
          <w:szCs w:val="30"/>
          <w:spacing w:val="13"/>
        </w:rPr>
        <w:t xml:space="preserve">  </w:t>
      </w:r>
      <w:r>
        <w:rPr>
          <w:rFonts w:ascii="FangSong" w:hAnsi="FangSong" w:eastAsia="FangSong" w:cs="FangSong"/>
          <w:sz w:val="30"/>
          <w:szCs w:val="30"/>
          <w:spacing w:val="13"/>
        </w:rPr>
        <w:t>违反本</w:t>
      </w:r>
      <w:r>
        <w:rPr>
          <w:rFonts w:ascii="FangSong" w:hAnsi="FangSong" w:eastAsia="FangSong" w:cs="FangSong"/>
          <w:sz w:val="30"/>
          <w:szCs w:val="30"/>
          <w:spacing w:val="12"/>
        </w:rPr>
        <w:t>法规定，非医师行医的，由县级以上人民政府</w:t>
      </w:r>
      <w:r>
        <w:rPr>
          <w:rFonts w:ascii="FangSong" w:hAnsi="FangSong" w:eastAsia="FangSong" w:cs="FangSong"/>
          <w:sz w:val="30"/>
          <w:szCs w:val="30"/>
        </w:rPr>
        <w:t xml:space="preserve"> </w:t>
      </w:r>
      <w:r>
        <w:rPr>
          <w:rFonts w:ascii="FangSong" w:hAnsi="FangSong" w:eastAsia="FangSong" w:cs="FangSong"/>
          <w:sz w:val="30"/>
          <w:szCs w:val="30"/>
          <w:spacing w:val="17"/>
        </w:rPr>
        <w:t>卫生健康主管部门责令停止非法执业活动，没收违法所得和药品、医疗器械，</w:t>
      </w:r>
      <w:r>
        <w:rPr>
          <w:rFonts w:ascii="FangSong" w:hAnsi="FangSong" w:eastAsia="FangSong" w:cs="FangSong"/>
          <w:sz w:val="30"/>
          <w:szCs w:val="30"/>
          <w:spacing w:val="16"/>
        </w:rPr>
        <w:t>并处违法所得二倍以上</w:t>
      </w:r>
      <w:r>
        <w:rPr>
          <w:rFonts w:ascii="FangSong" w:hAnsi="FangSong" w:eastAsia="FangSong" w:cs="FangSong"/>
          <w:sz w:val="30"/>
          <w:szCs w:val="30"/>
        </w:rPr>
        <w:t xml:space="preserve"> </w:t>
      </w:r>
      <w:r>
        <w:rPr>
          <w:rFonts w:ascii="FangSong" w:hAnsi="FangSong" w:eastAsia="FangSong" w:cs="FangSong"/>
          <w:sz w:val="30"/>
          <w:szCs w:val="30"/>
          <w:spacing w:val="17"/>
        </w:rPr>
        <w:t>十倍以下的罚款，违法所得不足一万元的，按一万元计算。</w:t>
      </w:r>
    </w:p>
    <w:p>
      <w:pPr>
        <w:ind w:left="6539"/>
        <w:spacing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17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5616"/>
        <w:gridCol w:w="7134"/>
      </w:tblGrid>
      <w:tr>
        <w:trPr>
          <w:trHeight w:val="444" w:hRule="atLeast"/>
        </w:trPr>
        <w:tc>
          <w:tcPr>
            <w:tcW w:w="1424" w:type="dxa"/>
            <w:vAlign w:val="top"/>
          </w:tcPr>
          <w:p>
            <w:pPr>
              <w:pStyle w:val="TableText"/>
              <w:ind w:left="208"/>
              <w:spacing w:before="102" w:line="220" w:lineRule="auto"/>
              <w:rPr>
                <w:sz w:val="25"/>
                <w:szCs w:val="25"/>
              </w:rPr>
            </w:pPr>
            <w:r>
              <w:rPr>
                <w:sz w:val="25"/>
                <w:szCs w:val="25"/>
                <w:b/>
                <w:bCs/>
                <w:spacing w:val="-5"/>
              </w:rPr>
              <w:t>违法程度</w:t>
            </w:r>
          </w:p>
        </w:tc>
        <w:tc>
          <w:tcPr>
            <w:tcW w:w="5616" w:type="dxa"/>
            <w:vAlign w:val="top"/>
          </w:tcPr>
          <w:p>
            <w:pPr>
              <w:pStyle w:val="TableText"/>
              <w:ind w:left="2304"/>
              <w:spacing w:before="102" w:line="220" w:lineRule="auto"/>
              <w:rPr>
                <w:sz w:val="25"/>
                <w:szCs w:val="25"/>
              </w:rPr>
            </w:pPr>
            <w:r>
              <w:rPr>
                <w:sz w:val="25"/>
                <w:szCs w:val="25"/>
                <w:b/>
                <w:bCs/>
                <w:spacing w:val="-5"/>
              </w:rPr>
              <w:t>违法后果</w:t>
            </w:r>
          </w:p>
        </w:tc>
        <w:tc>
          <w:tcPr>
            <w:tcW w:w="7134" w:type="dxa"/>
            <w:vAlign w:val="top"/>
          </w:tcPr>
          <w:p>
            <w:pPr>
              <w:pStyle w:val="TableText"/>
              <w:ind w:left="3058"/>
              <w:spacing w:before="99" w:line="218" w:lineRule="auto"/>
              <w:rPr>
                <w:sz w:val="25"/>
                <w:szCs w:val="25"/>
              </w:rPr>
            </w:pPr>
            <w:r>
              <w:rPr>
                <w:sz w:val="25"/>
                <w:szCs w:val="25"/>
                <w:b/>
                <w:bCs/>
                <w:spacing w:val="-5"/>
              </w:rPr>
              <w:t>裁量幅度</w:t>
            </w:r>
          </w:p>
        </w:tc>
      </w:tr>
      <w:tr>
        <w:trPr>
          <w:trHeight w:val="1308" w:hRule="atLeast"/>
        </w:trPr>
        <w:tc>
          <w:tcPr>
            <w:tcW w:w="1424" w:type="dxa"/>
            <w:vAlign w:val="top"/>
          </w:tcPr>
          <w:p>
            <w:pPr>
              <w:spacing w:line="445" w:lineRule="auto"/>
              <w:rPr>
                <w:rFonts w:ascii="Arial"/>
                <w:sz w:val="21"/>
              </w:rPr>
            </w:pPr>
            <w:r/>
          </w:p>
          <w:p>
            <w:pPr>
              <w:pStyle w:val="TableText"/>
              <w:ind w:left="458"/>
              <w:spacing w:before="81" w:line="221" w:lineRule="auto"/>
              <w:rPr>
                <w:sz w:val="25"/>
                <w:szCs w:val="25"/>
              </w:rPr>
            </w:pPr>
            <w:r>
              <w:rPr>
                <w:sz w:val="25"/>
                <w:szCs w:val="25"/>
                <w:b/>
                <w:bCs/>
                <w:spacing w:val="-10"/>
              </w:rPr>
              <w:t>一般</w:t>
            </w:r>
          </w:p>
        </w:tc>
        <w:tc>
          <w:tcPr>
            <w:tcW w:w="5616" w:type="dxa"/>
            <w:vAlign w:val="top"/>
          </w:tcPr>
          <w:p>
            <w:pPr>
              <w:pStyle w:val="TableText"/>
              <w:ind w:left="51" w:right="41"/>
              <w:spacing w:before="140" w:line="285" w:lineRule="auto"/>
              <w:jc w:val="both"/>
              <w:rPr>
                <w:sz w:val="25"/>
                <w:szCs w:val="25"/>
              </w:rPr>
            </w:pPr>
            <w:r>
              <w:rPr>
                <w:sz w:val="25"/>
                <w:szCs w:val="25"/>
              </w:rPr>
              <w:t>台湾医师未取得《台湾医师短期行医执业证书》行</w:t>
            </w:r>
            <w:r>
              <w:rPr>
                <w:sz w:val="25"/>
                <w:szCs w:val="25"/>
                <w:spacing w:val="11"/>
              </w:rPr>
              <w:t xml:space="preserve"> </w:t>
            </w:r>
            <w:r>
              <w:rPr>
                <w:sz w:val="25"/>
                <w:szCs w:val="25"/>
              </w:rPr>
              <w:t>医或者未按照注册的有效期从事诊疗活动，时间在</w:t>
            </w:r>
            <w:r>
              <w:rPr>
                <w:sz w:val="25"/>
                <w:szCs w:val="25"/>
                <w:spacing w:val="12"/>
              </w:rPr>
              <w:t xml:space="preserve"> </w:t>
            </w:r>
            <w:r>
              <w:rPr>
                <w:sz w:val="25"/>
                <w:szCs w:val="25"/>
                <w:spacing w:val="5"/>
              </w:rPr>
              <w:t>三个月以下的且违法所得不足一万元的</w:t>
            </w:r>
          </w:p>
        </w:tc>
        <w:tc>
          <w:tcPr>
            <w:tcW w:w="7134" w:type="dxa"/>
            <w:vAlign w:val="top"/>
          </w:tcPr>
          <w:p>
            <w:pPr>
              <w:pStyle w:val="TableText"/>
              <w:ind w:left="15" w:right="7"/>
              <w:spacing w:before="140" w:line="285" w:lineRule="auto"/>
              <w:jc w:val="both"/>
              <w:rPr>
                <w:sz w:val="25"/>
                <w:szCs w:val="25"/>
              </w:rPr>
            </w:pPr>
            <w:r>
              <w:rPr>
                <w:sz w:val="25"/>
                <w:szCs w:val="25"/>
                <w:spacing w:val="-5"/>
              </w:rPr>
              <w:t>由县级以上人民政府卫生健康主管部门责令停止非法执</w:t>
            </w:r>
            <w:r>
              <w:rPr>
                <w:sz w:val="25"/>
                <w:szCs w:val="25"/>
                <w:spacing w:val="-6"/>
              </w:rPr>
              <w:t>业活动，没</w:t>
            </w:r>
            <w:r>
              <w:rPr>
                <w:sz w:val="25"/>
                <w:szCs w:val="25"/>
              </w:rPr>
              <w:t xml:space="preserve"> </w:t>
            </w:r>
            <w:r>
              <w:rPr>
                <w:sz w:val="25"/>
                <w:szCs w:val="25"/>
                <w:spacing w:val="-5"/>
              </w:rPr>
              <w:t>收违法所得和药品、医疗器械，并处违法所得二</w:t>
            </w:r>
            <w:r>
              <w:rPr>
                <w:sz w:val="25"/>
                <w:szCs w:val="25"/>
                <w:spacing w:val="-6"/>
              </w:rPr>
              <w:t>倍的罚款，违法所</w:t>
            </w:r>
            <w:r>
              <w:rPr>
                <w:sz w:val="25"/>
                <w:szCs w:val="25"/>
              </w:rPr>
              <w:t xml:space="preserve"> </w:t>
            </w:r>
            <w:r>
              <w:rPr>
                <w:sz w:val="25"/>
                <w:szCs w:val="25"/>
                <w:spacing w:val="7"/>
              </w:rPr>
              <w:t>得不足一万元的，按一万元计算</w:t>
            </w:r>
          </w:p>
        </w:tc>
      </w:tr>
      <w:tr>
        <w:trPr>
          <w:trHeight w:val="1328" w:hRule="atLeast"/>
        </w:trPr>
        <w:tc>
          <w:tcPr>
            <w:tcW w:w="1424" w:type="dxa"/>
            <w:vAlign w:val="top"/>
          </w:tcPr>
          <w:p>
            <w:pPr>
              <w:spacing w:line="459" w:lineRule="auto"/>
              <w:rPr>
                <w:rFonts w:ascii="Arial"/>
                <w:sz w:val="21"/>
              </w:rPr>
            </w:pPr>
            <w:r/>
          </w:p>
          <w:p>
            <w:pPr>
              <w:pStyle w:val="TableText"/>
              <w:ind w:left="458"/>
              <w:spacing w:before="81" w:line="221" w:lineRule="auto"/>
              <w:rPr>
                <w:sz w:val="25"/>
                <w:szCs w:val="25"/>
              </w:rPr>
            </w:pPr>
            <w:r>
              <w:rPr>
                <w:sz w:val="25"/>
                <w:szCs w:val="25"/>
                <w:b/>
                <w:bCs/>
                <w:spacing w:val="-6"/>
              </w:rPr>
              <w:t>较重</w:t>
            </w:r>
          </w:p>
        </w:tc>
        <w:tc>
          <w:tcPr>
            <w:tcW w:w="5616" w:type="dxa"/>
            <w:vAlign w:val="top"/>
          </w:tcPr>
          <w:p>
            <w:pPr>
              <w:pStyle w:val="TableText"/>
              <w:ind w:left="51" w:right="41"/>
              <w:spacing w:before="152" w:line="287" w:lineRule="auto"/>
              <w:jc w:val="both"/>
              <w:rPr>
                <w:sz w:val="25"/>
                <w:szCs w:val="25"/>
              </w:rPr>
            </w:pPr>
            <w:r>
              <w:rPr>
                <w:sz w:val="25"/>
                <w:szCs w:val="25"/>
              </w:rPr>
              <w:t>台湾医师未取得《台湾医师短期行医执业证书》行</w:t>
            </w:r>
            <w:r>
              <w:rPr>
                <w:sz w:val="25"/>
                <w:szCs w:val="25"/>
                <w:spacing w:val="11"/>
              </w:rPr>
              <w:t xml:space="preserve"> </w:t>
            </w:r>
            <w:r>
              <w:rPr>
                <w:sz w:val="25"/>
                <w:szCs w:val="25"/>
              </w:rPr>
              <w:t>医或者未按照注册的有效期从事诊疗活动，时间在</w:t>
            </w:r>
            <w:r>
              <w:rPr>
                <w:sz w:val="25"/>
                <w:szCs w:val="25"/>
                <w:spacing w:val="12"/>
              </w:rPr>
              <w:t xml:space="preserve"> </w:t>
            </w:r>
            <w:r>
              <w:rPr>
                <w:sz w:val="25"/>
                <w:szCs w:val="25"/>
                <w:spacing w:val="5"/>
              </w:rPr>
              <w:t>三个月以上或者违法所得一万元以上的</w:t>
            </w:r>
          </w:p>
        </w:tc>
        <w:tc>
          <w:tcPr>
            <w:tcW w:w="7134" w:type="dxa"/>
            <w:vAlign w:val="top"/>
          </w:tcPr>
          <w:p>
            <w:pPr>
              <w:pStyle w:val="TableText"/>
              <w:ind w:left="15"/>
              <w:spacing w:before="152" w:line="287" w:lineRule="auto"/>
              <w:jc w:val="both"/>
              <w:rPr>
                <w:sz w:val="25"/>
                <w:szCs w:val="25"/>
              </w:rPr>
            </w:pPr>
            <w:r>
              <w:rPr>
                <w:sz w:val="25"/>
                <w:szCs w:val="25"/>
                <w:spacing w:val="-6"/>
              </w:rPr>
              <w:t>由县级以上人民政府卫生健康主管部门责令停止非法执业活动，没</w:t>
            </w:r>
            <w:r>
              <w:rPr>
                <w:sz w:val="25"/>
                <w:szCs w:val="25"/>
                <w:spacing w:val="13"/>
              </w:rPr>
              <w:t xml:space="preserve"> </w:t>
            </w:r>
            <w:r>
              <w:rPr>
                <w:sz w:val="25"/>
                <w:szCs w:val="25"/>
                <w:spacing w:val="-5"/>
              </w:rPr>
              <w:t>收违法所得和药品、医疗器械，并处违法所三倍以上七倍以下的罚</w:t>
            </w:r>
            <w:r>
              <w:rPr>
                <w:sz w:val="25"/>
                <w:szCs w:val="25"/>
                <w:spacing w:val="2"/>
              </w:rPr>
              <w:t xml:space="preserve"> </w:t>
            </w:r>
            <w:r>
              <w:rPr>
                <w:sz w:val="25"/>
                <w:szCs w:val="25"/>
                <w:spacing w:val="4"/>
              </w:rPr>
              <w:t>款，违法所得不足一万元的，按一万元计算</w:t>
            </w:r>
          </w:p>
        </w:tc>
      </w:tr>
      <w:tr>
        <w:trPr>
          <w:trHeight w:val="1767" w:hRule="atLeast"/>
        </w:trPr>
        <w:tc>
          <w:tcPr>
            <w:tcW w:w="1424" w:type="dxa"/>
            <w:vAlign w:val="top"/>
          </w:tcPr>
          <w:p>
            <w:pPr>
              <w:spacing w:line="338" w:lineRule="auto"/>
              <w:rPr>
                <w:rFonts w:ascii="Arial"/>
                <w:sz w:val="21"/>
              </w:rPr>
            </w:pPr>
            <w:r/>
          </w:p>
          <w:p>
            <w:pPr>
              <w:spacing w:line="339"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5616" w:type="dxa"/>
            <w:vAlign w:val="top"/>
          </w:tcPr>
          <w:p>
            <w:pPr>
              <w:pStyle w:val="TableText"/>
              <w:ind w:left="51" w:right="13"/>
              <w:spacing w:before="132" w:line="300" w:lineRule="auto"/>
              <w:jc w:val="both"/>
              <w:rPr>
                <w:sz w:val="25"/>
                <w:szCs w:val="25"/>
              </w:rPr>
            </w:pPr>
            <w:r>
              <w:rPr>
                <w:sz w:val="25"/>
                <w:szCs w:val="25"/>
              </w:rPr>
              <w:t>台湾医师未取得《台湾医师短期行医执业证书》行</w:t>
            </w:r>
            <w:r>
              <w:rPr>
                <w:sz w:val="25"/>
                <w:szCs w:val="25"/>
                <w:spacing w:val="11"/>
              </w:rPr>
              <w:t xml:space="preserve"> </w:t>
            </w:r>
            <w:r>
              <w:rPr>
                <w:sz w:val="25"/>
                <w:szCs w:val="25"/>
                <w:spacing w:val="1"/>
              </w:rPr>
              <w:t>医或者未按照注册的有效期从事诊疗活动，因擅自</w:t>
            </w:r>
            <w:r>
              <w:rPr>
                <w:sz w:val="25"/>
                <w:szCs w:val="25"/>
                <w:spacing w:val="18"/>
              </w:rPr>
              <w:t xml:space="preserve"> </w:t>
            </w:r>
            <w:r>
              <w:rPr>
                <w:sz w:val="25"/>
                <w:szCs w:val="25"/>
              </w:rPr>
              <w:t>违法执业曾受过卫生行政处罚的，仍不改正的；或</w:t>
            </w:r>
            <w:r>
              <w:rPr>
                <w:sz w:val="25"/>
                <w:szCs w:val="25"/>
                <w:spacing w:val="10"/>
              </w:rPr>
              <w:t xml:space="preserve"> </w:t>
            </w:r>
            <w:r>
              <w:rPr>
                <w:sz w:val="25"/>
                <w:szCs w:val="25"/>
                <w:spacing w:val="12"/>
              </w:rPr>
              <w:t>给患者造成伤害的</w:t>
            </w:r>
          </w:p>
        </w:tc>
        <w:tc>
          <w:tcPr>
            <w:tcW w:w="7134" w:type="dxa"/>
            <w:vAlign w:val="top"/>
          </w:tcPr>
          <w:p>
            <w:pPr>
              <w:spacing w:line="271" w:lineRule="auto"/>
              <w:rPr>
                <w:rFonts w:ascii="Arial"/>
                <w:sz w:val="21"/>
              </w:rPr>
            </w:pPr>
            <w:r/>
          </w:p>
          <w:p>
            <w:pPr>
              <w:pStyle w:val="TableText"/>
              <w:ind w:left="15"/>
              <w:spacing w:before="81" w:line="334" w:lineRule="auto"/>
              <w:jc w:val="both"/>
              <w:rPr>
                <w:sz w:val="25"/>
                <w:szCs w:val="25"/>
              </w:rPr>
            </w:pPr>
            <w:r>
              <w:rPr>
                <w:sz w:val="25"/>
                <w:szCs w:val="25"/>
                <w:spacing w:val="-5"/>
              </w:rPr>
              <w:t>由县级以上人民政府卫生健康主管部门责令停止非法执</w:t>
            </w:r>
            <w:r>
              <w:rPr>
                <w:sz w:val="25"/>
                <w:szCs w:val="25"/>
                <w:spacing w:val="-6"/>
              </w:rPr>
              <w:t>业活动，没</w:t>
            </w:r>
            <w:r>
              <w:rPr>
                <w:sz w:val="25"/>
                <w:szCs w:val="25"/>
              </w:rPr>
              <w:t xml:space="preserve"> </w:t>
            </w:r>
            <w:r>
              <w:rPr>
                <w:sz w:val="25"/>
                <w:szCs w:val="25"/>
                <w:spacing w:val="-5"/>
              </w:rPr>
              <w:t>收违法所得和药品、医疗器械，并处违法所得八倍以上十倍以下的</w:t>
            </w:r>
            <w:r>
              <w:rPr>
                <w:sz w:val="25"/>
                <w:szCs w:val="25"/>
                <w:spacing w:val="2"/>
              </w:rPr>
              <w:t xml:space="preserve"> </w:t>
            </w:r>
            <w:r>
              <w:rPr>
                <w:sz w:val="25"/>
                <w:szCs w:val="25"/>
                <w:spacing w:val="6"/>
              </w:rPr>
              <w:t>罚款，违法所得不足一万元的，按一万元计算</w:t>
            </w:r>
          </w:p>
        </w:tc>
      </w:tr>
      <w:tr>
        <w:trPr>
          <w:trHeight w:val="1303" w:hRule="atLeast"/>
        </w:trPr>
        <w:tc>
          <w:tcPr>
            <w:tcW w:w="1424" w:type="dxa"/>
            <w:vAlign w:val="top"/>
          </w:tcPr>
          <w:p>
            <w:pPr>
              <w:spacing w:line="450" w:lineRule="auto"/>
              <w:rPr>
                <w:rFonts w:ascii="Arial"/>
                <w:sz w:val="21"/>
              </w:rPr>
            </w:pPr>
            <w:r/>
          </w:p>
          <w:p>
            <w:pPr>
              <w:pStyle w:val="TableText"/>
              <w:ind w:left="208"/>
              <w:spacing w:before="82" w:line="219" w:lineRule="auto"/>
              <w:rPr>
                <w:sz w:val="25"/>
                <w:szCs w:val="25"/>
              </w:rPr>
            </w:pPr>
            <w:r>
              <w:rPr>
                <w:sz w:val="25"/>
                <w:szCs w:val="25"/>
                <w:b/>
                <w:bCs/>
                <w:spacing w:val="-5"/>
              </w:rPr>
              <w:t>特别严重</w:t>
            </w:r>
          </w:p>
        </w:tc>
        <w:tc>
          <w:tcPr>
            <w:tcW w:w="5616" w:type="dxa"/>
            <w:vAlign w:val="top"/>
          </w:tcPr>
          <w:p>
            <w:pPr>
              <w:pStyle w:val="TableText"/>
              <w:ind w:left="51" w:right="42"/>
              <w:spacing w:before="139" w:line="284" w:lineRule="auto"/>
              <w:jc w:val="both"/>
              <w:rPr>
                <w:sz w:val="25"/>
                <w:szCs w:val="25"/>
              </w:rPr>
            </w:pPr>
            <w:r>
              <w:rPr>
                <w:sz w:val="25"/>
                <w:szCs w:val="25"/>
              </w:rPr>
              <w:t>台湾医师未取得《台湾医师短期行医执业证书》行</w:t>
            </w:r>
            <w:r>
              <w:rPr>
                <w:sz w:val="25"/>
                <w:szCs w:val="25"/>
                <w:spacing w:val="11"/>
              </w:rPr>
              <w:t xml:space="preserve"> </w:t>
            </w:r>
            <w:r>
              <w:rPr>
                <w:sz w:val="25"/>
                <w:szCs w:val="25"/>
              </w:rPr>
              <w:t>医或者未按照注册的有效期从事诊疗活动，曾受过</w:t>
            </w:r>
            <w:r>
              <w:rPr>
                <w:sz w:val="25"/>
                <w:szCs w:val="25"/>
                <w:spacing w:val="8"/>
              </w:rPr>
              <w:t xml:space="preserve"> </w:t>
            </w:r>
            <w:r>
              <w:rPr>
                <w:sz w:val="25"/>
                <w:szCs w:val="25"/>
                <w:spacing w:val="5"/>
              </w:rPr>
              <w:t>两次以上卫生行政处罚或致人死亡的</w:t>
            </w:r>
          </w:p>
        </w:tc>
        <w:tc>
          <w:tcPr>
            <w:tcW w:w="7134" w:type="dxa"/>
            <w:vAlign w:val="top"/>
          </w:tcPr>
          <w:p>
            <w:pPr>
              <w:pStyle w:val="TableText"/>
              <w:ind w:left="15" w:right="7"/>
              <w:spacing w:before="155" w:line="280" w:lineRule="auto"/>
              <w:jc w:val="both"/>
              <w:rPr>
                <w:sz w:val="25"/>
                <w:szCs w:val="25"/>
              </w:rPr>
            </w:pPr>
            <w:r>
              <w:rPr>
                <w:sz w:val="25"/>
                <w:szCs w:val="25"/>
                <w:spacing w:val="-5"/>
              </w:rPr>
              <w:t>由县级以上人民政府卫生健康主管部门责令停止非法执</w:t>
            </w:r>
            <w:r>
              <w:rPr>
                <w:sz w:val="25"/>
                <w:szCs w:val="25"/>
                <w:spacing w:val="-6"/>
              </w:rPr>
              <w:t>业活动，没</w:t>
            </w:r>
            <w:r>
              <w:rPr>
                <w:sz w:val="25"/>
                <w:szCs w:val="25"/>
              </w:rPr>
              <w:t xml:space="preserve"> </w:t>
            </w:r>
            <w:r>
              <w:rPr>
                <w:sz w:val="25"/>
                <w:szCs w:val="25"/>
                <w:spacing w:val="-5"/>
              </w:rPr>
              <w:t>收违法所得和药品、医疗器械，并处违法所得十</w:t>
            </w:r>
            <w:r>
              <w:rPr>
                <w:sz w:val="25"/>
                <w:szCs w:val="25"/>
                <w:spacing w:val="-6"/>
              </w:rPr>
              <w:t>倍的罚款，违法所</w:t>
            </w:r>
            <w:r>
              <w:rPr>
                <w:sz w:val="25"/>
                <w:szCs w:val="25"/>
              </w:rPr>
              <w:t xml:space="preserve"> </w:t>
            </w:r>
            <w:r>
              <w:rPr>
                <w:sz w:val="25"/>
                <w:szCs w:val="25"/>
                <w:spacing w:val="7"/>
              </w:rPr>
              <w:t>得不足一万元的，按一万元计算</w:t>
            </w:r>
          </w:p>
        </w:tc>
      </w:tr>
    </w:tbl>
    <w:p>
      <w:pPr>
        <w:pStyle w:val="BodyText"/>
        <w:rPr/>
      </w:pPr>
      <w:r/>
    </w:p>
    <w:p>
      <w:pPr>
        <w:sectPr>
          <w:footerReference w:type="default" r:id="rId278"/>
          <w:pgSz w:w="16830" w:h="11900"/>
          <w:pgMar w:top="1011" w:right="1330" w:bottom="1130" w:left="1314" w:header="0" w:footer="806" w:gutter="0"/>
        </w:sectPr>
        <w:rPr/>
      </w:pPr>
    </w:p>
    <w:p>
      <w:pPr>
        <w:pStyle w:val="BodyText"/>
        <w:spacing w:line="259" w:lineRule="auto"/>
        <w:rPr/>
      </w:pPr>
      <w:r/>
    </w:p>
    <w:p>
      <w:pPr>
        <w:pStyle w:val="BodyText"/>
        <w:spacing w:line="260" w:lineRule="auto"/>
        <w:rPr/>
      </w:pPr>
      <w:r/>
    </w:p>
    <w:p>
      <w:pPr>
        <w:pStyle w:val="BodyText"/>
        <w:spacing w:line="260" w:lineRule="auto"/>
        <w:rPr/>
      </w:pPr>
      <w:r/>
    </w:p>
    <w:p>
      <w:pPr>
        <w:ind w:left="809"/>
        <w:spacing w:before="98" w:line="224" w:lineRule="auto"/>
        <w:rPr>
          <w:rFonts w:ascii="KaiTi" w:hAnsi="KaiTi" w:eastAsia="KaiTi" w:cs="KaiTi"/>
          <w:sz w:val="30"/>
          <w:szCs w:val="30"/>
        </w:rPr>
      </w:pPr>
      <w:bookmarkStart w:name="bookmark933" w:id="300"/>
      <w:bookmarkEnd w:id="300"/>
      <w:r>
        <w:rPr>
          <w:rFonts w:ascii="KaiTi" w:hAnsi="KaiTi" w:eastAsia="KaiTi" w:cs="KaiTi"/>
          <w:sz w:val="30"/>
          <w:szCs w:val="30"/>
          <w:b/>
          <w:bCs/>
          <w:spacing w:val="28"/>
        </w:rPr>
        <w:t>(九)《中华人民共和国精神卫生法》</w:t>
      </w:r>
    </w:p>
    <w:p>
      <w:pPr>
        <w:pStyle w:val="BodyText"/>
        <w:spacing w:line="254" w:lineRule="auto"/>
        <w:rPr/>
      </w:pPr>
      <w:r/>
    </w:p>
    <w:p>
      <w:pPr>
        <w:ind w:left="29" w:right="19" w:firstLine="649"/>
        <w:spacing w:before="97" w:line="272" w:lineRule="auto"/>
        <w:rPr>
          <w:rFonts w:ascii="FangSong" w:hAnsi="FangSong" w:eastAsia="FangSong" w:cs="FangSong"/>
          <w:sz w:val="30"/>
          <w:szCs w:val="30"/>
        </w:rPr>
      </w:pPr>
      <w:r>
        <w:rPr>
          <w:rFonts w:ascii="FangSong" w:hAnsi="FangSong" w:eastAsia="FangSong" w:cs="FangSong"/>
          <w:sz w:val="30"/>
          <w:szCs w:val="30"/>
          <w:b/>
          <w:bCs/>
          <w:spacing w:val="21"/>
        </w:rPr>
        <w:t>第二百一十六条不符合《中华人民共和国精神卫生法》规定条件的医疗</w:t>
      </w:r>
      <w:r>
        <w:rPr>
          <w:rFonts w:ascii="FangSong" w:hAnsi="FangSong" w:eastAsia="FangSong" w:cs="FangSong"/>
          <w:sz w:val="30"/>
          <w:szCs w:val="30"/>
          <w:b/>
          <w:bCs/>
          <w:spacing w:val="20"/>
        </w:rPr>
        <w:t>机构擅自从事精神障碍</w:t>
      </w:r>
      <w:r>
        <w:rPr>
          <w:rFonts w:ascii="FangSong" w:hAnsi="FangSong" w:eastAsia="FangSong" w:cs="FangSong"/>
          <w:sz w:val="30"/>
          <w:szCs w:val="30"/>
        </w:rPr>
        <w:t xml:space="preserve"> </w:t>
      </w:r>
      <w:r>
        <w:rPr>
          <w:rFonts w:ascii="FangSong" w:hAnsi="FangSong" w:eastAsia="FangSong" w:cs="FangSong"/>
          <w:sz w:val="30"/>
          <w:szCs w:val="30"/>
          <w:b/>
          <w:bCs/>
          <w:spacing w:val="13"/>
        </w:rPr>
        <w:t>诊断、治疗的</w:t>
      </w:r>
    </w:p>
    <w:p>
      <w:pPr>
        <w:ind w:left="675"/>
        <w:spacing w:before="24"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25" w:firstLine="630"/>
        <w:spacing w:before="75" w:line="271" w:lineRule="auto"/>
        <w:jc w:val="both"/>
        <w:rPr>
          <w:rFonts w:ascii="FangSong" w:hAnsi="FangSong" w:eastAsia="FangSong" w:cs="FangSong"/>
          <w:sz w:val="30"/>
          <w:szCs w:val="30"/>
        </w:rPr>
      </w:pPr>
      <w:r>
        <w:rPr>
          <w:rFonts w:ascii="FangSong" w:hAnsi="FangSong" w:eastAsia="FangSong" w:cs="FangSong"/>
          <w:sz w:val="30"/>
          <w:szCs w:val="30"/>
          <w:spacing w:val="17"/>
        </w:rPr>
        <w:t>《中华人民共和国精神卫生法》第七十三条</w:t>
      </w:r>
      <w:r>
        <w:rPr>
          <w:rFonts w:ascii="FangSong" w:hAnsi="FangSong" w:eastAsia="FangSong" w:cs="FangSong"/>
          <w:sz w:val="30"/>
          <w:szCs w:val="30"/>
          <w:spacing w:val="5"/>
        </w:rPr>
        <w:t xml:space="preserve">  </w:t>
      </w:r>
      <w:r>
        <w:rPr>
          <w:rFonts w:ascii="FangSong" w:hAnsi="FangSong" w:eastAsia="FangSong" w:cs="FangSong"/>
          <w:sz w:val="30"/>
          <w:szCs w:val="30"/>
          <w:spacing w:val="17"/>
        </w:rPr>
        <w:t>不符合本法规定条件的医疗机构擅自从事精神障碍</w:t>
      </w:r>
      <w:r>
        <w:rPr>
          <w:rFonts w:ascii="FangSong" w:hAnsi="FangSong" w:eastAsia="FangSong" w:cs="FangSong"/>
          <w:sz w:val="30"/>
          <w:szCs w:val="30"/>
          <w:spacing w:val="1"/>
        </w:rPr>
        <w:t xml:space="preserve"> </w:t>
      </w:r>
      <w:r>
        <w:rPr>
          <w:rFonts w:ascii="FangSong" w:hAnsi="FangSong" w:eastAsia="FangSong" w:cs="FangSong"/>
          <w:sz w:val="30"/>
          <w:szCs w:val="30"/>
          <w:spacing w:val="17"/>
        </w:rPr>
        <w:t>诊断、治疗的，由县级以上人民政府卫生行政部门责令停止相关诊疗活动，给予警告，并处五千元以</w:t>
      </w:r>
      <w:r>
        <w:rPr>
          <w:rFonts w:ascii="FangSong" w:hAnsi="FangSong" w:eastAsia="FangSong" w:cs="FangSong"/>
          <w:sz w:val="30"/>
          <w:szCs w:val="30"/>
          <w:spacing w:val="6"/>
        </w:rPr>
        <w:t xml:space="preserve"> </w:t>
      </w:r>
      <w:r>
        <w:rPr>
          <w:rFonts w:ascii="FangSong" w:hAnsi="FangSong" w:eastAsia="FangSong" w:cs="FangSong"/>
          <w:sz w:val="30"/>
          <w:szCs w:val="30"/>
          <w:spacing w:val="17"/>
        </w:rPr>
        <w:t>上一万元以下罚款，有违法所得的，没收违法所得；对直接负责的主管人员和</w:t>
      </w:r>
      <w:r>
        <w:rPr>
          <w:rFonts w:ascii="FangSong" w:hAnsi="FangSong" w:eastAsia="FangSong" w:cs="FangSong"/>
          <w:sz w:val="30"/>
          <w:szCs w:val="30"/>
          <w:spacing w:val="16"/>
        </w:rPr>
        <w:t>其他直接责任人员依法</w:t>
      </w:r>
      <w:r>
        <w:rPr>
          <w:rFonts w:ascii="FangSong" w:hAnsi="FangSong" w:eastAsia="FangSong" w:cs="FangSong"/>
          <w:sz w:val="30"/>
          <w:szCs w:val="30"/>
        </w:rPr>
        <w:t xml:space="preserve"> </w:t>
      </w:r>
      <w:r>
        <w:rPr>
          <w:rFonts w:ascii="FangSong" w:hAnsi="FangSong" w:eastAsia="FangSong" w:cs="FangSong"/>
          <w:sz w:val="30"/>
          <w:szCs w:val="30"/>
          <w:spacing w:val="18"/>
        </w:rPr>
        <w:t>给予或者责令给予降低岗位等级或者撤职、开除的处分；对有关医务人</w:t>
      </w:r>
      <w:r>
        <w:rPr>
          <w:rFonts w:ascii="FangSong" w:hAnsi="FangSong" w:eastAsia="FangSong" w:cs="FangSong"/>
          <w:sz w:val="30"/>
          <w:szCs w:val="30"/>
          <w:spacing w:val="17"/>
        </w:rPr>
        <w:t>员，吊销其执业证书。</w:t>
      </w:r>
    </w:p>
    <w:p>
      <w:pPr>
        <w:ind w:left="6449"/>
        <w:spacing w:before="7"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3" w:lineRule="auto"/>
        <w:rPr>
          <w:rFonts w:ascii="Arial"/>
          <w:sz w:val="2"/>
        </w:rPr>
      </w:pPr>
      <w:r>
        <w:rPr>
          <w:rFonts w:ascii="Arial"/>
          <w:sz w:val="2"/>
        </w:rPr>
      </w:r>
    </w:p>
    <w:tbl>
      <w:tblPr>
        <w:tblStyle w:val="TableNormal"/>
        <w:tblW w:w="139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13"/>
        <w:gridCol w:w="5576"/>
        <w:gridCol w:w="6181"/>
      </w:tblGrid>
      <w:tr>
        <w:trPr>
          <w:trHeight w:val="443" w:hRule="atLeast"/>
        </w:trPr>
        <w:tc>
          <w:tcPr>
            <w:tcW w:w="2213" w:type="dxa"/>
            <w:vAlign w:val="top"/>
          </w:tcPr>
          <w:p>
            <w:pPr>
              <w:pStyle w:val="TableText"/>
              <w:ind w:left="598"/>
              <w:spacing w:before="102" w:line="220" w:lineRule="auto"/>
              <w:rPr>
                <w:sz w:val="25"/>
                <w:szCs w:val="25"/>
              </w:rPr>
            </w:pPr>
            <w:r>
              <w:rPr>
                <w:sz w:val="25"/>
                <w:szCs w:val="25"/>
                <w:b/>
                <w:bCs/>
                <w:spacing w:val="-5"/>
              </w:rPr>
              <w:t>违法程度</w:t>
            </w:r>
          </w:p>
        </w:tc>
        <w:tc>
          <w:tcPr>
            <w:tcW w:w="5576" w:type="dxa"/>
            <w:vAlign w:val="top"/>
          </w:tcPr>
          <w:p>
            <w:pPr>
              <w:pStyle w:val="TableText"/>
              <w:ind w:left="2285"/>
              <w:spacing w:before="102" w:line="220" w:lineRule="auto"/>
              <w:rPr>
                <w:sz w:val="25"/>
                <w:szCs w:val="25"/>
              </w:rPr>
            </w:pPr>
            <w:r>
              <w:rPr>
                <w:sz w:val="25"/>
                <w:szCs w:val="25"/>
                <w:b/>
                <w:bCs/>
                <w:spacing w:val="-5"/>
              </w:rPr>
              <w:t>情节后果</w:t>
            </w:r>
          </w:p>
        </w:tc>
        <w:tc>
          <w:tcPr>
            <w:tcW w:w="6181" w:type="dxa"/>
            <w:vAlign w:val="top"/>
          </w:tcPr>
          <w:p>
            <w:pPr>
              <w:pStyle w:val="TableText"/>
              <w:ind w:left="2589"/>
              <w:spacing w:before="99" w:line="218" w:lineRule="auto"/>
              <w:rPr>
                <w:sz w:val="25"/>
                <w:szCs w:val="25"/>
              </w:rPr>
            </w:pPr>
            <w:r>
              <w:rPr>
                <w:sz w:val="25"/>
                <w:szCs w:val="25"/>
                <w:b/>
                <w:bCs/>
                <w:spacing w:val="-5"/>
              </w:rPr>
              <w:t>裁量幅度</w:t>
            </w:r>
          </w:p>
        </w:tc>
      </w:tr>
      <w:tr>
        <w:trPr>
          <w:trHeight w:val="1317" w:hRule="atLeast"/>
        </w:trPr>
        <w:tc>
          <w:tcPr>
            <w:tcW w:w="2213" w:type="dxa"/>
            <w:vAlign w:val="top"/>
          </w:tcPr>
          <w:p>
            <w:pPr>
              <w:spacing w:line="455" w:lineRule="auto"/>
              <w:rPr>
                <w:rFonts w:ascii="Arial"/>
                <w:sz w:val="21"/>
              </w:rPr>
            </w:pPr>
            <w:r/>
          </w:p>
          <w:p>
            <w:pPr>
              <w:pStyle w:val="TableText"/>
              <w:ind w:left="848"/>
              <w:spacing w:before="81" w:line="220" w:lineRule="auto"/>
              <w:rPr>
                <w:sz w:val="25"/>
                <w:szCs w:val="25"/>
              </w:rPr>
            </w:pPr>
            <w:r>
              <w:rPr>
                <w:sz w:val="25"/>
                <w:szCs w:val="25"/>
                <w:b/>
                <w:bCs/>
                <w:spacing w:val="-6"/>
              </w:rPr>
              <w:t>严重</w:t>
            </w:r>
          </w:p>
        </w:tc>
        <w:tc>
          <w:tcPr>
            <w:tcW w:w="5576" w:type="dxa"/>
            <w:vAlign w:val="top"/>
          </w:tcPr>
          <w:p>
            <w:pPr>
              <w:spacing w:line="283" w:lineRule="auto"/>
              <w:rPr>
                <w:rFonts w:ascii="Arial"/>
                <w:sz w:val="21"/>
              </w:rPr>
            </w:pPr>
            <w:r/>
          </w:p>
          <w:p>
            <w:pPr>
              <w:pStyle w:val="TableText"/>
              <w:ind w:left="115" w:right="44" w:hanging="80"/>
              <w:spacing w:before="81" w:line="328" w:lineRule="auto"/>
              <w:rPr>
                <w:sz w:val="25"/>
                <w:szCs w:val="25"/>
              </w:rPr>
            </w:pPr>
            <w:r>
              <w:rPr>
                <w:sz w:val="25"/>
                <w:szCs w:val="25"/>
                <w:b/>
                <w:bCs/>
                <w:spacing w:val="-4"/>
              </w:rPr>
              <w:t>不符合本法规定条件的医疗机构擅自从事精神障碍</w:t>
            </w:r>
            <w:r>
              <w:rPr>
                <w:sz w:val="25"/>
                <w:szCs w:val="25"/>
                <w:spacing w:val="15"/>
              </w:rPr>
              <w:t xml:space="preserve"> </w:t>
            </w:r>
            <w:r>
              <w:rPr>
                <w:sz w:val="25"/>
                <w:szCs w:val="25"/>
                <w:b/>
                <w:bCs/>
                <w:spacing w:val="-1"/>
              </w:rPr>
              <w:t>诊断、治疗的</w:t>
            </w:r>
          </w:p>
        </w:tc>
        <w:tc>
          <w:tcPr>
            <w:tcW w:w="6181" w:type="dxa"/>
            <w:vAlign w:val="top"/>
          </w:tcPr>
          <w:p>
            <w:pPr>
              <w:pStyle w:val="TableText"/>
              <w:ind w:left="19" w:firstLine="69"/>
              <w:spacing w:before="149" w:line="285" w:lineRule="auto"/>
              <w:jc w:val="both"/>
              <w:rPr>
                <w:sz w:val="25"/>
                <w:szCs w:val="25"/>
              </w:rPr>
            </w:pPr>
            <w:r>
              <w:rPr>
                <w:sz w:val="25"/>
                <w:szCs w:val="25"/>
                <w:b/>
                <w:bCs/>
                <w:spacing w:val="-3"/>
              </w:rPr>
              <w:t>由县级以上人民政府卫生行政部门责令停止相关诊疗活</w:t>
            </w:r>
            <w:r>
              <w:rPr>
                <w:sz w:val="25"/>
                <w:szCs w:val="25"/>
                <w:spacing w:val="4"/>
              </w:rPr>
              <w:t xml:space="preserve">  </w:t>
            </w:r>
            <w:r>
              <w:rPr>
                <w:sz w:val="25"/>
                <w:szCs w:val="25"/>
                <w:b/>
                <w:bCs/>
                <w:spacing w:val="-7"/>
              </w:rPr>
              <w:t>动，给予警告，并处五千元以上一万元以下罚款，没收违</w:t>
            </w:r>
            <w:r>
              <w:rPr>
                <w:sz w:val="25"/>
                <w:szCs w:val="25"/>
                <w:spacing w:val="9"/>
              </w:rPr>
              <w:t xml:space="preserve"> </w:t>
            </w:r>
            <w:r>
              <w:rPr>
                <w:sz w:val="25"/>
                <w:szCs w:val="25"/>
                <w:b/>
                <w:bCs/>
                <w:spacing w:val="3"/>
              </w:rPr>
              <w:t>法所得；对有关医务人员，吊销其执业证书</w:t>
            </w:r>
          </w:p>
        </w:tc>
      </w:tr>
    </w:tbl>
    <w:p>
      <w:pPr>
        <w:pStyle w:val="BodyText"/>
        <w:spacing w:line="451" w:lineRule="auto"/>
        <w:rPr/>
      </w:pPr>
      <w:r/>
    </w:p>
    <w:p>
      <w:pPr>
        <w:ind w:left="675"/>
        <w:spacing w:before="97" w:line="220" w:lineRule="auto"/>
        <w:rPr>
          <w:rFonts w:ascii="FangSong" w:hAnsi="FangSong" w:eastAsia="FangSong" w:cs="FangSong"/>
          <w:sz w:val="30"/>
          <w:szCs w:val="30"/>
        </w:rPr>
      </w:pPr>
      <w:r>
        <w:rPr>
          <w:rFonts w:ascii="FangSong" w:hAnsi="FangSong" w:eastAsia="FangSong" w:cs="FangSong"/>
          <w:sz w:val="30"/>
          <w:szCs w:val="30"/>
          <w:spacing w:val="25"/>
        </w:rPr>
        <w:t>第二百一十七条医疗机构及其工作人员拒绝对送诊的疑似精神障碍患者作出诊断的</w:t>
      </w:r>
    </w:p>
    <w:p>
      <w:pPr>
        <w:ind w:left="675"/>
        <w:spacing w:before="77"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right="15" w:firstLine="630"/>
        <w:spacing w:before="84" w:line="277" w:lineRule="auto"/>
        <w:rPr>
          <w:rFonts w:ascii="FangSong" w:hAnsi="FangSong" w:eastAsia="FangSong" w:cs="FangSong"/>
          <w:sz w:val="30"/>
          <w:szCs w:val="30"/>
        </w:rPr>
      </w:pPr>
      <w:r>
        <w:rPr>
          <w:rFonts w:ascii="FangSong" w:hAnsi="FangSong" w:eastAsia="FangSong" w:cs="FangSong"/>
          <w:sz w:val="30"/>
          <w:szCs w:val="30"/>
          <w:spacing w:val="26"/>
        </w:rPr>
        <w:t>《中华人民共和国精神卫生法》第七十四条第(一)项</w:t>
      </w:r>
      <w:r>
        <w:rPr>
          <w:rFonts w:ascii="FangSong" w:hAnsi="FangSong" w:eastAsia="FangSong" w:cs="FangSong"/>
          <w:sz w:val="30"/>
          <w:szCs w:val="30"/>
          <w:spacing w:val="26"/>
        </w:rPr>
        <w:t xml:space="preserve">   </w:t>
      </w:r>
      <w:r>
        <w:rPr>
          <w:rFonts w:ascii="FangSong" w:hAnsi="FangSong" w:eastAsia="FangSong" w:cs="FangSong"/>
          <w:sz w:val="30"/>
          <w:szCs w:val="30"/>
          <w:spacing w:val="26"/>
        </w:rPr>
        <w:t>医疗机构及其工作人员有下列行为之</w:t>
      </w:r>
      <w:r>
        <w:rPr>
          <w:rFonts w:ascii="FangSong" w:hAnsi="FangSong" w:eastAsia="FangSong" w:cs="FangSong"/>
          <w:sz w:val="30"/>
          <w:szCs w:val="30"/>
          <w:spacing w:val="12"/>
        </w:rPr>
        <w:t xml:space="preserve"> </w:t>
      </w:r>
      <w:r>
        <w:rPr>
          <w:rFonts w:ascii="FangSong" w:hAnsi="FangSong" w:eastAsia="FangSong" w:cs="FangSong"/>
          <w:sz w:val="30"/>
          <w:szCs w:val="30"/>
          <w:spacing w:val="17"/>
        </w:rPr>
        <w:t>一的，由县级以上人民政府卫生行政部门责令改正，给予警告；情节严重的，</w:t>
      </w:r>
      <w:r>
        <w:rPr>
          <w:rFonts w:ascii="FangSong" w:hAnsi="FangSong" w:eastAsia="FangSong" w:cs="FangSong"/>
          <w:sz w:val="30"/>
          <w:szCs w:val="30"/>
          <w:spacing w:val="16"/>
        </w:rPr>
        <w:t>并可以责令有关医务人</w:t>
      </w:r>
    </w:p>
    <w:p>
      <w:pPr>
        <w:spacing w:line="277" w:lineRule="auto"/>
        <w:sectPr>
          <w:footerReference w:type="default" r:id="rId279"/>
          <w:pgSz w:w="16830" w:h="11900"/>
          <w:pgMar w:top="1011" w:right="1434" w:bottom="1097" w:left="1414" w:header="0" w:footer="764" w:gutter="0"/>
        </w:sectPr>
        <w:rPr>
          <w:rFonts w:ascii="FangSong" w:hAnsi="FangSong" w:eastAsia="FangSong" w:cs="FangSong"/>
          <w:sz w:val="30"/>
          <w:szCs w:val="30"/>
        </w:rPr>
      </w:pPr>
    </w:p>
    <w:p>
      <w:pPr>
        <w:pStyle w:val="BodyText"/>
        <w:spacing w:line="255" w:lineRule="auto"/>
        <w:rPr/>
      </w:pPr>
      <w:r/>
    </w:p>
    <w:p>
      <w:pPr>
        <w:pStyle w:val="BodyText"/>
        <w:spacing w:line="255" w:lineRule="auto"/>
        <w:rPr/>
      </w:pPr>
      <w:r/>
    </w:p>
    <w:p>
      <w:pPr>
        <w:pStyle w:val="BodyText"/>
        <w:spacing w:line="256" w:lineRule="auto"/>
        <w:rPr/>
      </w:pPr>
      <w:r/>
    </w:p>
    <w:p>
      <w:pPr>
        <w:ind w:left="25"/>
        <w:spacing w:before="98" w:line="222" w:lineRule="auto"/>
        <w:rPr>
          <w:rFonts w:ascii="FangSong" w:hAnsi="FangSong" w:eastAsia="FangSong" w:cs="FangSong"/>
          <w:sz w:val="30"/>
          <w:szCs w:val="30"/>
        </w:rPr>
      </w:pPr>
      <w:bookmarkStart w:name="bookmark934" w:id="301"/>
      <w:bookmarkEnd w:id="301"/>
      <w:r>
        <w:rPr>
          <w:rFonts w:ascii="FangSong" w:hAnsi="FangSong" w:eastAsia="FangSong" w:cs="FangSong"/>
          <w:sz w:val="30"/>
          <w:szCs w:val="30"/>
          <w:spacing w:val="13"/>
        </w:rPr>
        <w:t>员暂停一个月以上六个月以下执业活动：</w:t>
      </w:r>
    </w:p>
    <w:p>
      <w:pPr>
        <w:ind w:left="6428" w:right="6040" w:hanging="5624"/>
        <w:spacing w:before="85" w:line="306" w:lineRule="auto"/>
        <w:rPr>
          <w:rFonts w:ascii="SimSun" w:hAnsi="SimSun" w:eastAsia="SimSun" w:cs="SimSun"/>
          <w:sz w:val="29"/>
          <w:szCs w:val="29"/>
        </w:rPr>
      </w:pPr>
      <w:r>
        <w:rPr>
          <w:rFonts w:ascii="FangSong" w:hAnsi="FangSong" w:eastAsia="FangSong" w:cs="FangSong"/>
          <w:sz w:val="30"/>
          <w:szCs w:val="30"/>
          <w:spacing w:val="22"/>
        </w:rPr>
        <w:t>(一)拒绝对送诊的疑似精神障碍患者作出诊断的；</w:t>
      </w:r>
      <w:r>
        <w:rPr>
          <w:rFonts w:ascii="FangSong" w:hAnsi="FangSong" w:eastAsia="FangSong" w:cs="FangSong"/>
          <w:sz w:val="30"/>
          <w:szCs w:val="30"/>
          <w:spacing w:val="13"/>
        </w:rPr>
        <w:t xml:space="preserve"> </w:t>
      </w:r>
      <w:r>
        <w:rPr>
          <w:rFonts w:ascii="SimSun" w:hAnsi="SimSun" w:eastAsia="SimSun" w:cs="SimSun"/>
          <w:sz w:val="29"/>
          <w:szCs w:val="29"/>
          <w:b/>
          <w:bCs/>
          <w:spacing w:val="-6"/>
        </w:rPr>
        <w:t>裁量标准</w:t>
      </w:r>
    </w:p>
    <w:tbl>
      <w:tblPr>
        <w:tblStyle w:val="TableNormal"/>
        <w:tblW w:w="1382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54"/>
        <w:gridCol w:w="5106"/>
        <w:gridCol w:w="7169"/>
      </w:tblGrid>
      <w:tr>
        <w:trPr>
          <w:trHeight w:val="602" w:hRule="atLeast"/>
        </w:trPr>
        <w:tc>
          <w:tcPr>
            <w:tcW w:w="1554" w:type="dxa"/>
            <w:vAlign w:val="top"/>
          </w:tcPr>
          <w:p>
            <w:pPr>
              <w:pStyle w:val="TableText"/>
              <w:ind w:left="268"/>
              <w:spacing w:before="182" w:line="220" w:lineRule="auto"/>
              <w:rPr>
                <w:sz w:val="25"/>
                <w:szCs w:val="25"/>
              </w:rPr>
            </w:pPr>
            <w:r>
              <w:rPr>
                <w:sz w:val="25"/>
                <w:szCs w:val="25"/>
                <w:b/>
                <w:bCs/>
                <w:spacing w:val="-5"/>
              </w:rPr>
              <w:t>违法程度</w:t>
            </w:r>
          </w:p>
        </w:tc>
        <w:tc>
          <w:tcPr>
            <w:tcW w:w="5106" w:type="dxa"/>
            <w:vAlign w:val="top"/>
          </w:tcPr>
          <w:p>
            <w:pPr>
              <w:pStyle w:val="TableText"/>
              <w:ind w:left="1964"/>
              <w:spacing w:before="182" w:line="220" w:lineRule="auto"/>
              <w:rPr>
                <w:sz w:val="25"/>
                <w:szCs w:val="25"/>
              </w:rPr>
            </w:pPr>
            <w:r>
              <w:rPr>
                <w:sz w:val="25"/>
                <w:szCs w:val="25"/>
                <w:b/>
                <w:bCs/>
                <w:spacing w:val="-5"/>
              </w:rPr>
              <w:t>情节后果</w:t>
            </w:r>
          </w:p>
        </w:tc>
        <w:tc>
          <w:tcPr>
            <w:tcW w:w="7169" w:type="dxa"/>
            <w:vAlign w:val="top"/>
          </w:tcPr>
          <w:p>
            <w:pPr>
              <w:pStyle w:val="TableText"/>
              <w:ind w:left="3028"/>
              <w:spacing w:before="179" w:line="218" w:lineRule="auto"/>
              <w:rPr>
                <w:sz w:val="25"/>
                <w:szCs w:val="25"/>
              </w:rPr>
            </w:pPr>
            <w:r>
              <w:rPr>
                <w:sz w:val="25"/>
                <w:szCs w:val="25"/>
                <w:b/>
                <w:bCs/>
                <w:spacing w:val="-5"/>
              </w:rPr>
              <w:t>裁量幅度</w:t>
            </w:r>
          </w:p>
        </w:tc>
      </w:tr>
      <w:tr>
        <w:trPr>
          <w:trHeight w:val="567" w:hRule="atLeast"/>
        </w:trPr>
        <w:tc>
          <w:tcPr>
            <w:tcW w:w="1554" w:type="dxa"/>
            <w:vAlign w:val="top"/>
          </w:tcPr>
          <w:p>
            <w:pPr>
              <w:pStyle w:val="TableText"/>
              <w:ind w:left="518"/>
              <w:spacing w:before="211" w:line="221" w:lineRule="auto"/>
              <w:rPr>
                <w:sz w:val="25"/>
                <w:szCs w:val="25"/>
              </w:rPr>
            </w:pPr>
            <w:r>
              <w:rPr>
                <w:sz w:val="25"/>
                <w:szCs w:val="25"/>
                <w:b/>
                <w:bCs/>
                <w:spacing w:val="-10"/>
              </w:rPr>
              <w:t>一般</w:t>
            </w:r>
          </w:p>
        </w:tc>
        <w:tc>
          <w:tcPr>
            <w:tcW w:w="5106" w:type="dxa"/>
            <w:vAlign w:val="top"/>
          </w:tcPr>
          <w:p>
            <w:pPr>
              <w:pStyle w:val="TableText"/>
              <w:ind w:left="70"/>
              <w:spacing w:before="211" w:line="219" w:lineRule="auto"/>
              <w:rPr>
                <w:sz w:val="25"/>
                <w:szCs w:val="25"/>
              </w:rPr>
            </w:pPr>
            <w:r>
              <w:rPr>
                <w:sz w:val="25"/>
                <w:szCs w:val="25"/>
                <w:spacing w:val="1"/>
              </w:rPr>
              <w:t>拒绝对送诊的疑似精神障碍患者作出诊断的</w:t>
            </w:r>
          </w:p>
        </w:tc>
        <w:tc>
          <w:tcPr>
            <w:tcW w:w="7169" w:type="dxa"/>
            <w:vAlign w:val="top"/>
          </w:tcPr>
          <w:p>
            <w:pPr>
              <w:pStyle w:val="TableText"/>
              <w:ind w:left="124"/>
              <w:spacing w:before="211" w:line="218" w:lineRule="auto"/>
              <w:rPr>
                <w:sz w:val="25"/>
                <w:szCs w:val="25"/>
              </w:rPr>
            </w:pPr>
            <w:r>
              <w:rPr>
                <w:sz w:val="25"/>
                <w:szCs w:val="25"/>
              </w:rPr>
              <w:t>由县级以上人民政府卫生行政部门责令改正，给予警告</w:t>
            </w:r>
          </w:p>
        </w:tc>
      </w:tr>
      <w:tr>
        <w:trPr>
          <w:trHeight w:val="881" w:hRule="atLeast"/>
        </w:trPr>
        <w:tc>
          <w:tcPr>
            <w:tcW w:w="1554" w:type="dxa"/>
            <w:vAlign w:val="top"/>
          </w:tcPr>
          <w:p>
            <w:pPr>
              <w:rPr>
                <w:rFonts w:ascii="Arial"/>
                <w:sz w:val="21"/>
              </w:rPr>
            </w:pPr>
            <w:r/>
          </w:p>
          <w:p>
            <w:pPr>
              <w:pStyle w:val="TableText"/>
              <w:ind w:left="518"/>
              <w:spacing w:before="82" w:line="220" w:lineRule="auto"/>
              <w:rPr>
                <w:sz w:val="25"/>
                <w:szCs w:val="25"/>
              </w:rPr>
            </w:pPr>
            <w:r>
              <w:rPr>
                <w:sz w:val="25"/>
                <w:szCs w:val="25"/>
                <w:b/>
                <w:bCs/>
                <w:spacing w:val="-6"/>
              </w:rPr>
              <w:t>严重</w:t>
            </w:r>
          </w:p>
        </w:tc>
        <w:tc>
          <w:tcPr>
            <w:tcW w:w="5106" w:type="dxa"/>
            <w:vAlign w:val="top"/>
          </w:tcPr>
          <w:p>
            <w:pPr>
              <w:pStyle w:val="TableText"/>
              <w:ind w:left="70" w:right="19"/>
              <w:spacing w:before="145" w:line="268" w:lineRule="auto"/>
              <w:rPr>
                <w:sz w:val="25"/>
                <w:szCs w:val="25"/>
              </w:rPr>
            </w:pPr>
            <w:r>
              <w:rPr>
                <w:sz w:val="25"/>
                <w:szCs w:val="25"/>
              </w:rPr>
              <w:t>拒绝对送诊的疑似精神障碍患者作出诊断的，</w:t>
            </w:r>
            <w:r>
              <w:rPr>
                <w:sz w:val="25"/>
                <w:szCs w:val="25"/>
                <w:spacing w:val="4"/>
              </w:rPr>
              <w:t xml:space="preserve"> </w:t>
            </w:r>
            <w:r>
              <w:rPr>
                <w:sz w:val="25"/>
                <w:szCs w:val="25"/>
                <w:spacing w:val="3"/>
              </w:rPr>
              <w:t>情节严重的</w:t>
            </w:r>
          </w:p>
        </w:tc>
        <w:tc>
          <w:tcPr>
            <w:tcW w:w="7169" w:type="dxa"/>
            <w:vAlign w:val="top"/>
          </w:tcPr>
          <w:p>
            <w:pPr>
              <w:pStyle w:val="TableText"/>
              <w:ind w:left="124"/>
              <w:spacing w:before="134" w:line="272" w:lineRule="auto"/>
              <w:rPr>
                <w:sz w:val="25"/>
                <w:szCs w:val="25"/>
              </w:rPr>
            </w:pPr>
            <w:r>
              <w:rPr>
                <w:sz w:val="25"/>
                <w:szCs w:val="25"/>
                <w:spacing w:val="-8"/>
              </w:rPr>
              <w:t>由县级以上人民政府卫生行政部门责令改正，给予警告；暂停有关</w:t>
            </w:r>
            <w:r>
              <w:rPr>
                <w:sz w:val="25"/>
                <w:szCs w:val="25"/>
                <w:spacing w:val="15"/>
              </w:rPr>
              <w:t xml:space="preserve"> </w:t>
            </w:r>
            <w:r>
              <w:rPr>
                <w:sz w:val="25"/>
                <w:szCs w:val="25"/>
              </w:rPr>
              <w:t>医务人员一个月以上六个月以下执业活动</w:t>
            </w:r>
          </w:p>
        </w:tc>
      </w:tr>
    </w:tbl>
    <w:p>
      <w:pPr>
        <w:pStyle w:val="BodyText"/>
        <w:spacing w:line="446" w:lineRule="auto"/>
        <w:rPr/>
      </w:pPr>
      <w:r/>
    </w:p>
    <w:p>
      <w:pPr>
        <w:ind w:left="29" w:right="314" w:firstLine="639"/>
        <w:spacing w:before="98" w:line="267" w:lineRule="auto"/>
        <w:rPr>
          <w:rFonts w:ascii="FangSong" w:hAnsi="FangSong" w:eastAsia="FangSong" w:cs="FangSong"/>
          <w:sz w:val="30"/>
          <w:szCs w:val="30"/>
        </w:rPr>
      </w:pPr>
      <w:r>
        <w:rPr>
          <w:rFonts w:ascii="FangSong" w:hAnsi="FangSong" w:eastAsia="FangSong" w:cs="FangSong"/>
          <w:sz w:val="30"/>
          <w:szCs w:val="30"/>
          <w:b/>
          <w:bCs/>
          <w:spacing w:val="21"/>
        </w:rPr>
        <w:t>第二百一十八条医疗机构及其工作人员实施住院治疗的患者未及时进行检查评估或者未根据</w:t>
      </w:r>
      <w:r>
        <w:rPr>
          <w:rFonts w:ascii="FangSong" w:hAnsi="FangSong" w:eastAsia="FangSong" w:cs="FangSong"/>
          <w:sz w:val="30"/>
          <w:szCs w:val="30"/>
          <w:spacing w:val="14"/>
        </w:rPr>
        <w:t xml:space="preserve"> </w:t>
      </w:r>
      <w:r>
        <w:rPr>
          <w:rFonts w:ascii="FangSong" w:hAnsi="FangSong" w:eastAsia="FangSong" w:cs="FangSong"/>
          <w:sz w:val="30"/>
          <w:szCs w:val="30"/>
          <w:b/>
          <w:bCs/>
          <w:spacing w:val="15"/>
        </w:rPr>
        <w:t>评估结果作出处理的</w:t>
      </w:r>
    </w:p>
    <w:p>
      <w:pPr>
        <w:ind w:left="664"/>
        <w:spacing w:line="222" w:lineRule="auto"/>
        <w:rPr>
          <w:rFonts w:ascii="FangSong" w:hAnsi="FangSong" w:eastAsia="FangSong" w:cs="FangSong"/>
          <w:sz w:val="30"/>
          <w:szCs w:val="30"/>
        </w:rPr>
      </w:pPr>
      <w:r>
        <w:rPr>
          <w:rFonts w:ascii="FangSong" w:hAnsi="FangSong" w:eastAsia="FangSong" w:cs="FangSong"/>
          <w:sz w:val="30"/>
          <w:szCs w:val="30"/>
        </w:rPr>
        <w:t>法律依据：</w:t>
      </w:r>
    </w:p>
    <w:p>
      <w:pPr>
        <w:ind w:left="25" w:firstLine="639"/>
        <w:spacing w:before="93" w:line="271" w:lineRule="auto"/>
        <w:jc w:val="both"/>
        <w:rPr>
          <w:rFonts w:ascii="FangSong" w:hAnsi="FangSong" w:eastAsia="FangSong" w:cs="FangSong"/>
          <w:sz w:val="30"/>
          <w:szCs w:val="30"/>
        </w:rPr>
      </w:pPr>
      <w:r>
        <w:rPr>
          <w:rFonts w:ascii="FangSong" w:hAnsi="FangSong" w:eastAsia="FangSong" w:cs="FangSong"/>
          <w:sz w:val="30"/>
          <w:szCs w:val="30"/>
          <w:spacing w:val="18"/>
        </w:rPr>
        <w:t>1.</w:t>
      </w:r>
      <w:r>
        <w:rPr>
          <w:rFonts w:ascii="FangSong" w:hAnsi="FangSong" w:eastAsia="FangSong" w:cs="FangSong"/>
          <w:sz w:val="30"/>
          <w:szCs w:val="30"/>
          <w:spacing w:val="18"/>
        </w:rPr>
        <w:t xml:space="preserve"> </w:t>
      </w:r>
      <w:r>
        <w:rPr>
          <w:rFonts w:ascii="FangSong" w:hAnsi="FangSong" w:eastAsia="FangSong" w:cs="FangSong"/>
          <w:sz w:val="30"/>
          <w:szCs w:val="30"/>
          <w:spacing w:val="18"/>
        </w:rPr>
        <w:t>《中华人民共和国精神卫生法》第七十四条第(二)项</w:t>
      </w:r>
      <w:r>
        <w:rPr>
          <w:rFonts w:ascii="FangSong" w:hAnsi="FangSong" w:eastAsia="FangSong" w:cs="FangSong"/>
          <w:sz w:val="30"/>
          <w:szCs w:val="30"/>
          <w:spacing w:val="18"/>
        </w:rPr>
        <w:t xml:space="preserve">  </w:t>
      </w:r>
      <w:r>
        <w:rPr>
          <w:rFonts w:ascii="FangSong" w:hAnsi="FangSong" w:eastAsia="FangSong" w:cs="FangSong"/>
          <w:sz w:val="30"/>
          <w:szCs w:val="30"/>
          <w:spacing w:val="18"/>
        </w:rPr>
        <w:t>医疗机构及其工作人员有下列行为之</w:t>
      </w:r>
      <w:r>
        <w:rPr>
          <w:rFonts w:ascii="FangSong" w:hAnsi="FangSong" w:eastAsia="FangSong" w:cs="FangSong"/>
          <w:sz w:val="30"/>
          <w:szCs w:val="30"/>
          <w:spacing w:val="11"/>
        </w:rPr>
        <w:t xml:space="preserve"> </w:t>
      </w:r>
      <w:r>
        <w:rPr>
          <w:rFonts w:ascii="FangSong" w:hAnsi="FangSong" w:eastAsia="FangSong" w:cs="FangSong"/>
          <w:sz w:val="30"/>
          <w:szCs w:val="30"/>
          <w:spacing w:val="16"/>
        </w:rPr>
        <w:t>一的，由县级以上人民政府卫生行政部门责令改正，给予警告；情节严重的，对直接负责的主管人员</w:t>
      </w:r>
      <w:r>
        <w:rPr>
          <w:rFonts w:ascii="FangSong" w:hAnsi="FangSong" w:eastAsia="FangSong" w:cs="FangSong"/>
          <w:sz w:val="30"/>
          <w:szCs w:val="30"/>
          <w:spacing w:val="14"/>
        </w:rPr>
        <w:t xml:space="preserve"> </w:t>
      </w:r>
      <w:r>
        <w:rPr>
          <w:rFonts w:ascii="FangSong" w:hAnsi="FangSong" w:eastAsia="FangSong" w:cs="FangSong"/>
          <w:sz w:val="30"/>
          <w:szCs w:val="30"/>
          <w:spacing w:val="17"/>
        </w:rPr>
        <w:t>和其他直接责任人员依法给予或者责令给予降低岗位等级或者撤职、开除的处分</w:t>
      </w:r>
      <w:r>
        <w:rPr>
          <w:rFonts w:ascii="FangSong" w:hAnsi="FangSong" w:eastAsia="FangSong" w:cs="FangSong"/>
          <w:sz w:val="30"/>
          <w:szCs w:val="30"/>
          <w:spacing w:val="16"/>
        </w:rPr>
        <w:t>，并可以责令有关医</w:t>
      </w:r>
      <w:r>
        <w:rPr>
          <w:rFonts w:ascii="FangSong" w:hAnsi="FangSong" w:eastAsia="FangSong" w:cs="FangSong"/>
          <w:sz w:val="30"/>
          <w:szCs w:val="30"/>
        </w:rPr>
        <w:t xml:space="preserve"> </w:t>
      </w:r>
      <w:r>
        <w:rPr>
          <w:rFonts w:ascii="FangSong" w:hAnsi="FangSong" w:eastAsia="FangSong" w:cs="FangSong"/>
          <w:sz w:val="30"/>
          <w:szCs w:val="30"/>
          <w:spacing w:val="13"/>
        </w:rPr>
        <w:t>务人员暂停一个月以上六个月以下执业活动：</w:t>
      </w:r>
    </w:p>
    <w:p>
      <w:pPr>
        <w:ind w:left="25" w:right="9" w:firstLine="759"/>
        <w:spacing w:before="2" w:line="264" w:lineRule="auto"/>
        <w:rPr>
          <w:rFonts w:ascii="FangSong" w:hAnsi="FangSong" w:eastAsia="FangSong" w:cs="FangSong"/>
          <w:sz w:val="30"/>
          <w:szCs w:val="30"/>
        </w:rPr>
      </w:pPr>
      <w:r>
        <w:rPr>
          <w:rFonts w:ascii="FangSong" w:hAnsi="FangSong" w:eastAsia="FangSong" w:cs="FangSong"/>
          <w:sz w:val="30"/>
          <w:szCs w:val="30"/>
          <w:spacing w:val="21"/>
        </w:rPr>
        <w:t>(二)对依照本法第三十条第二款规定实施住院治疗的患者未及时进</w:t>
      </w:r>
      <w:r>
        <w:rPr>
          <w:rFonts w:ascii="FangSong" w:hAnsi="FangSong" w:eastAsia="FangSong" w:cs="FangSong"/>
          <w:sz w:val="30"/>
          <w:szCs w:val="30"/>
          <w:spacing w:val="20"/>
        </w:rPr>
        <w:t>行检查评估或者未根据评估</w:t>
      </w:r>
      <w:r>
        <w:rPr>
          <w:rFonts w:ascii="FangSong" w:hAnsi="FangSong" w:eastAsia="FangSong" w:cs="FangSong"/>
          <w:sz w:val="30"/>
          <w:szCs w:val="30"/>
        </w:rPr>
        <w:t xml:space="preserve"> </w:t>
      </w:r>
      <w:r>
        <w:rPr>
          <w:rFonts w:ascii="FangSong" w:hAnsi="FangSong" w:eastAsia="FangSong" w:cs="FangSong"/>
          <w:sz w:val="30"/>
          <w:szCs w:val="30"/>
          <w:spacing w:val="8"/>
        </w:rPr>
        <w:t>结果作出处理的。</w:t>
      </w:r>
    </w:p>
    <w:p>
      <w:pPr>
        <w:spacing w:line="264" w:lineRule="auto"/>
        <w:sectPr>
          <w:footerReference w:type="default" r:id="rId280"/>
          <w:pgSz w:w="16830" w:h="11900"/>
          <w:pgMar w:top="1011" w:right="1439" w:bottom="1124" w:left="1425" w:header="0" w:footer="782" w:gutter="0"/>
        </w:sectPr>
        <w:rPr>
          <w:rFonts w:ascii="FangSong" w:hAnsi="FangSong" w:eastAsia="FangSong" w:cs="FangSong"/>
          <w:sz w:val="30"/>
          <w:szCs w:val="30"/>
        </w:rPr>
      </w:pPr>
    </w:p>
    <w:p>
      <w:pPr>
        <w:pStyle w:val="BodyText"/>
        <w:spacing w:line="261" w:lineRule="auto"/>
        <w:rPr/>
      </w:pPr>
      <w:r/>
    </w:p>
    <w:p>
      <w:pPr>
        <w:pStyle w:val="BodyText"/>
        <w:spacing w:line="261" w:lineRule="auto"/>
        <w:rPr/>
      </w:pPr>
      <w:r/>
    </w:p>
    <w:p>
      <w:pPr>
        <w:pStyle w:val="BodyText"/>
        <w:spacing w:line="261" w:lineRule="auto"/>
        <w:rPr/>
      </w:pPr>
      <w:r/>
    </w:p>
    <w:p>
      <w:pPr>
        <w:ind w:left="25" w:firstLine="629"/>
        <w:spacing w:before="97" w:line="277" w:lineRule="auto"/>
        <w:rPr>
          <w:rFonts w:ascii="FangSong" w:hAnsi="FangSong" w:eastAsia="FangSong" w:cs="FangSong"/>
          <w:sz w:val="30"/>
          <w:szCs w:val="30"/>
        </w:rPr>
      </w:pPr>
      <w:bookmarkStart w:name="bookmark935" w:id="302"/>
      <w:bookmarkEnd w:id="302"/>
      <w:r>
        <w:rPr>
          <w:rFonts w:ascii="FangSong" w:hAnsi="FangSong" w:eastAsia="FangSong" w:cs="FangSong"/>
          <w:sz w:val="30"/>
          <w:szCs w:val="30"/>
          <w:spacing w:val="12"/>
        </w:rPr>
        <w:t>2.</w:t>
      </w:r>
      <w:r>
        <w:rPr>
          <w:rFonts w:ascii="FangSong" w:hAnsi="FangSong" w:eastAsia="FangSong" w:cs="FangSong"/>
          <w:sz w:val="30"/>
          <w:szCs w:val="30"/>
          <w:spacing w:val="12"/>
        </w:rPr>
        <w:t xml:space="preserve"> </w:t>
      </w:r>
      <w:r>
        <w:rPr>
          <w:rFonts w:ascii="FangSong" w:hAnsi="FangSong" w:eastAsia="FangSong" w:cs="FangSong"/>
          <w:sz w:val="30"/>
          <w:szCs w:val="30"/>
          <w:spacing w:val="12"/>
        </w:rPr>
        <w:t>《中华人民共和国精神卫生法》第三十条第二款</w:t>
      </w:r>
      <w:r>
        <w:rPr>
          <w:rFonts w:ascii="FangSong" w:hAnsi="FangSong" w:eastAsia="FangSong" w:cs="FangSong"/>
          <w:sz w:val="30"/>
          <w:szCs w:val="30"/>
          <w:spacing w:val="12"/>
        </w:rPr>
        <w:t xml:space="preserve">  </w:t>
      </w:r>
      <w:r>
        <w:rPr>
          <w:rFonts w:ascii="FangSong" w:hAnsi="FangSong" w:eastAsia="FangSong" w:cs="FangSong"/>
          <w:sz w:val="30"/>
          <w:szCs w:val="30"/>
          <w:spacing w:val="12"/>
        </w:rPr>
        <w:t>诊断结论、病情评估表明，就诊者为严</w:t>
      </w:r>
      <w:r>
        <w:rPr>
          <w:rFonts w:ascii="FangSong" w:hAnsi="FangSong" w:eastAsia="FangSong" w:cs="FangSong"/>
          <w:sz w:val="30"/>
          <w:szCs w:val="30"/>
          <w:spacing w:val="11"/>
        </w:rPr>
        <w:t>重精</w:t>
      </w:r>
      <w:r>
        <w:rPr>
          <w:rFonts w:ascii="FangSong" w:hAnsi="FangSong" w:eastAsia="FangSong" w:cs="FangSong"/>
          <w:sz w:val="30"/>
          <w:szCs w:val="30"/>
        </w:rPr>
        <w:t xml:space="preserve"> </w:t>
      </w:r>
      <w:r>
        <w:rPr>
          <w:rFonts w:ascii="FangSong" w:hAnsi="FangSong" w:eastAsia="FangSong" w:cs="FangSong"/>
          <w:sz w:val="30"/>
          <w:szCs w:val="30"/>
          <w:spacing w:val="15"/>
        </w:rPr>
        <w:t>神障碍患者并有下列情形之一的，应当对其实施住院治疗：</w:t>
      </w:r>
    </w:p>
    <w:p>
      <w:pPr>
        <w:ind w:left="805"/>
        <w:spacing w:before="1" w:line="220" w:lineRule="auto"/>
        <w:rPr>
          <w:rFonts w:ascii="FangSong" w:hAnsi="FangSong" w:eastAsia="FangSong" w:cs="FangSong"/>
          <w:sz w:val="30"/>
          <w:szCs w:val="30"/>
        </w:rPr>
      </w:pPr>
      <w:r>
        <w:rPr>
          <w:rFonts w:ascii="FangSong" w:hAnsi="FangSong" w:eastAsia="FangSong" w:cs="FangSong"/>
          <w:sz w:val="30"/>
          <w:szCs w:val="30"/>
          <w:spacing w:val="23"/>
        </w:rPr>
        <w:t>(一)已经发生伤害自身的行为，或者有伤害自身的危</w:t>
      </w:r>
      <w:r>
        <w:rPr>
          <w:rFonts w:ascii="FangSong" w:hAnsi="FangSong" w:eastAsia="FangSong" w:cs="FangSong"/>
          <w:sz w:val="30"/>
          <w:szCs w:val="30"/>
          <w:spacing w:val="22"/>
        </w:rPr>
        <w:t>险的；</w:t>
      </w:r>
    </w:p>
    <w:p>
      <w:pPr>
        <w:ind w:left="805"/>
        <w:spacing w:before="70" w:line="221" w:lineRule="auto"/>
        <w:rPr>
          <w:rFonts w:ascii="FangSong" w:hAnsi="FangSong" w:eastAsia="FangSong" w:cs="FangSong"/>
          <w:sz w:val="30"/>
          <w:szCs w:val="30"/>
        </w:rPr>
      </w:pPr>
      <w:r>
        <w:rPr>
          <w:rFonts w:ascii="FangSong" w:hAnsi="FangSong" w:eastAsia="FangSong" w:cs="FangSong"/>
          <w:sz w:val="30"/>
          <w:szCs w:val="30"/>
          <w:spacing w:val="23"/>
        </w:rPr>
        <w:t>(二)已经发生危害他人安全的行为，或者有危害他人安全</w:t>
      </w:r>
      <w:r>
        <w:rPr>
          <w:rFonts w:ascii="FangSong" w:hAnsi="FangSong" w:eastAsia="FangSong" w:cs="FangSong"/>
          <w:sz w:val="30"/>
          <w:szCs w:val="30"/>
          <w:spacing w:val="22"/>
        </w:rPr>
        <w:t>的危险的。</w:t>
      </w:r>
    </w:p>
    <w:p>
      <w:pPr>
        <w:ind w:left="6439"/>
        <w:spacing w:before="6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2" w:lineRule="auto"/>
        <w:rPr>
          <w:rFonts w:ascii="Arial"/>
          <w:sz w:val="2"/>
        </w:rPr>
      </w:pPr>
      <w:r>
        <w:rPr>
          <w:rFonts w:ascii="Arial"/>
          <w:sz w:val="2"/>
        </w:rPr>
      </w:r>
    </w:p>
    <w:tbl>
      <w:tblPr>
        <w:tblStyle w:val="TableNormal"/>
        <w:tblW w:w="139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84"/>
        <w:gridCol w:w="5106"/>
        <w:gridCol w:w="6840"/>
      </w:tblGrid>
      <w:tr>
        <w:trPr>
          <w:trHeight w:val="553" w:hRule="atLeast"/>
        </w:trPr>
        <w:tc>
          <w:tcPr>
            <w:tcW w:w="1984" w:type="dxa"/>
            <w:vAlign w:val="top"/>
          </w:tcPr>
          <w:p>
            <w:pPr>
              <w:pStyle w:val="TableText"/>
              <w:ind w:left="488"/>
              <w:spacing w:before="152" w:line="220" w:lineRule="auto"/>
              <w:rPr>
                <w:sz w:val="25"/>
                <w:szCs w:val="25"/>
              </w:rPr>
            </w:pPr>
            <w:r>
              <w:rPr>
                <w:sz w:val="25"/>
                <w:szCs w:val="25"/>
                <w:b/>
                <w:bCs/>
                <w:spacing w:val="-5"/>
              </w:rPr>
              <w:t>违法程度</w:t>
            </w:r>
          </w:p>
        </w:tc>
        <w:tc>
          <w:tcPr>
            <w:tcW w:w="5106" w:type="dxa"/>
            <w:vAlign w:val="top"/>
          </w:tcPr>
          <w:p>
            <w:pPr>
              <w:pStyle w:val="TableText"/>
              <w:ind w:left="2044"/>
              <w:spacing w:before="152" w:line="220" w:lineRule="auto"/>
              <w:rPr>
                <w:sz w:val="25"/>
                <w:szCs w:val="25"/>
              </w:rPr>
            </w:pPr>
            <w:r>
              <w:rPr>
                <w:sz w:val="25"/>
                <w:szCs w:val="25"/>
                <w:b/>
                <w:bCs/>
                <w:spacing w:val="-5"/>
              </w:rPr>
              <w:t>情节后果</w:t>
            </w:r>
          </w:p>
        </w:tc>
        <w:tc>
          <w:tcPr>
            <w:tcW w:w="6840" w:type="dxa"/>
            <w:vAlign w:val="top"/>
          </w:tcPr>
          <w:p>
            <w:pPr>
              <w:pStyle w:val="TableText"/>
              <w:ind w:left="2858"/>
              <w:spacing w:before="149" w:line="218" w:lineRule="auto"/>
              <w:rPr>
                <w:sz w:val="25"/>
                <w:szCs w:val="25"/>
              </w:rPr>
            </w:pPr>
            <w:r>
              <w:rPr>
                <w:sz w:val="25"/>
                <w:szCs w:val="25"/>
                <w:b/>
                <w:bCs/>
                <w:spacing w:val="-5"/>
              </w:rPr>
              <w:t>裁量幅度</w:t>
            </w:r>
          </w:p>
        </w:tc>
      </w:tr>
      <w:tr>
        <w:trPr>
          <w:trHeight w:val="886" w:hRule="atLeast"/>
        </w:trPr>
        <w:tc>
          <w:tcPr>
            <w:tcW w:w="1984" w:type="dxa"/>
            <w:vAlign w:val="top"/>
          </w:tcPr>
          <w:p>
            <w:pPr>
              <w:pStyle w:val="TableText"/>
              <w:ind w:left="738"/>
              <w:spacing w:before="320" w:line="221" w:lineRule="auto"/>
              <w:rPr>
                <w:sz w:val="25"/>
                <w:szCs w:val="25"/>
              </w:rPr>
            </w:pPr>
            <w:r>
              <w:rPr>
                <w:sz w:val="25"/>
                <w:szCs w:val="25"/>
                <w:b/>
                <w:bCs/>
                <w:spacing w:val="-10"/>
              </w:rPr>
              <w:t>一般</w:t>
            </w:r>
          </w:p>
        </w:tc>
        <w:tc>
          <w:tcPr>
            <w:tcW w:w="5106" w:type="dxa"/>
            <w:vAlign w:val="top"/>
          </w:tcPr>
          <w:p>
            <w:pPr>
              <w:pStyle w:val="TableText"/>
              <w:ind w:left="111" w:right="42" w:hanging="70"/>
              <w:spacing w:before="179" w:line="257" w:lineRule="auto"/>
              <w:rPr>
                <w:sz w:val="25"/>
                <w:szCs w:val="25"/>
              </w:rPr>
            </w:pPr>
            <w:r>
              <w:rPr>
                <w:sz w:val="25"/>
                <w:szCs w:val="25"/>
              </w:rPr>
              <w:t>未及时对住院治疗的患者进行检查评估或者未</w:t>
            </w:r>
            <w:r>
              <w:rPr>
                <w:sz w:val="25"/>
                <w:szCs w:val="25"/>
                <w:spacing w:val="11"/>
              </w:rPr>
              <w:t xml:space="preserve"> </w:t>
            </w:r>
            <w:r>
              <w:rPr>
                <w:sz w:val="25"/>
                <w:szCs w:val="25"/>
                <w:spacing w:val="1"/>
              </w:rPr>
              <w:t>根据评估结果作出处理的</w:t>
            </w:r>
          </w:p>
        </w:tc>
        <w:tc>
          <w:tcPr>
            <w:tcW w:w="6840" w:type="dxa"/>
            <w:vAlign w:val="top"/>
          </w:tcPr>
          <w:p>
            <w:pPr>
              <w:pStyle w:val="TableText"/>
              <w:ind w:left="134"/>
              <w:spacing w:before="320" w:line="218" w:lineRule="auto"/>
              <w:rPr>
                <w:sz w:val="25"/>
                <w:szCs w:val="25"/>
              </w:rPr>
            </w:pPr>
            <w:r>
              <w:rPr>
                <w:sz w:val="25"/>
                <w:szCs w:val="25"/>
              </w:rPr>
              <w:t>由县级以上人民政府卫生行政部门责令改正，给予警告</w:t>
            </w:r>
          </w:p>
        </w:tc>
      </w:tr>
      <w:tr>
        <w:trPr>
          <w:trHeight w:val="881" w:hRule="atLeast"/>
        </w:trPr>
        <w:tc>
          <w:tcPr>
            <w:tcW w:w="1984" w:type="dxa"/>
            <w:vAlign w:val="top"/>
          </w:tcPr>
          <w:p>
            <w:pPr>
              <w:spacing w:line="300" w:lineRule="auto"/>
              <w:rPr>
                <w:rFonts w:ascii="Arial"/>
                <w:sz w:val="21"/>
              </w:rPr>
            </w:pPr>
            <w:r/>
          </w:p>
          <w:p>
            <w:pPr>
              <w:pStyle w:val="TableText"/>
              <w:ind w:left="738"/>
              <w:spacing w:before="81" w:line="220" w:lineRule="auto"/>
              <w:rPr>
                <w:sz w:val="25"/>
                <w:szCs w:val="25"/>
              </w:rPr>
            </w:pPr>
            <w:r>
              <w:rPr>
                <w:sz w:val="25"/>
                <w:szCs w:val="25"/>
                <w:b/>
                <w:bCs/>
                <w:spacing w:val="-6"/>
              </w:rPr>
              <w:t>严重</w:t>
            </w:r>
          </w:p>
        </w:tc>
        <w:tc>
          <w:tcPr>
            <w:tcW w:w="5106" w:type="dxa"/>
            <w:vAlign w:val="top"/>
          </w:tcPr>
          <w:p>
            <w:pPr>
              <w:pStyle w:val="TableText"/>
              <w:ind w:left="101" w:right="42" w:hanging="60"/>
              <w:spacing w:before="153" w:line="265" w:lineRule="auto"/>
              <w:rPr>
                <w:sz w:val="25"/>
                <w:szCs w:val="25"/>
              </w:rPr>
            </w:pPr>
            <w:r>
              <w:rPr>
                <w:sz w:val="25"/>
                <w:szCs w:val="25"/>
              </w:rPr>
              <w:t>未及时对住院治疗的患者进行检查评估，也未</w:t>
            </w:r>
            <w:r>
              <w:rPr>
                <w:sz w:val="25"/>
                <w:szCs w:val="25"/>
                <w:spacing w:val="11"/>
              </w:rPr>
              <w:t xml:space="preserve"> </w:t>
            </w:r>
            <w:r>
              <w:rPr>
                <w:sz w:val="25"/>
                <w:szCs w:val="25"/>
                <w:spacing w:val="1"/>
              </w:rPr>
              <w:t>根据评估结果作出处理，情节严重的</w:t>
            </w:r>
          </w:p>
        </w:tc>
        <w:tc>
          <w:tcPr>
            <w:tcW w:w="6840" w:type="dxa"/>
            <w:vAlign w:val="top"/>
          </w:tcPr>
          <w:p>
            <w:pPr>
              <w:pStyle w:val="TableText"/>
              <w:ind w:left="134" w:firstLine="10"/>
              <w:spacing w:before="153" w:line="265" w:lineRule="auto"/>
              <w:rPr>
                <w:sz w:val="25"/>
                <w:szCs w:val="25"/>
              </w:rPr>
            </w:pPr>
            <w:r>
              <w:rPr>
                <w:sz w:val="25"/>
                <w:szCs w:val="25"/>
                <w:spacing w:val="-11"/>
              </w:rPr>
              <w:t>由县级以上人民政府卫生行政部门责令改正</w:t>
            </w:r>
            <w:r>
              <w:rPr>
                <w:sz w:val="25"/>
                <w:szCs w:val="25"/>
                <w:spacing w:val="-12"/>
              </w:rPr>
              <w:t>，给予警告；暂停有</w:t>
            </w:r>
            <w:r>
              <w:rPr>
                <w:sz w:val="25"/>
                <w:szCs w:val="25"/>
              </w:rPr>
              <w:t xml:space="preserve"> </w:t>
            </w:r>
            <w:r>
              <w:rPr>
                <w:sz w:val="25"/>
                <w:szCs w:val="25"/>
              </w:rPr>
              <w:t>关医务人员一个月以上六个月以下执业活动</w:t>
            </w:r>
          </w:p>
        </w:tc>
      </w:tr>
    </w:tbl>
    <w:p>
      <w:pPr>
        <w:pStyle w:val="BodyText"/>
        <w:spacing w:line="456" w:lineRule="auto"/>
        <w:rPr/>
      </w:pPr>
      <w:r/>
    </w:p>
    <w:p>
      <w:pPr>
        <w:ind w:left="29" w:right="13" w:firstLine="629"/>
        <w:spacing w:before="98" w:line="279" w:lineRule="auto"/>
        <w:rPr>
          <w:rFonts w:ascii="FangSong" w:hAnsi="FangSong" w:eastAsia="FangSong" w:cs="FangSong"/>
          <w:sz w:val="30"/>
          <w:szCs w:val="30"/>
        </w:rPr>
      </w:pPr>
      <w:r>
        <w:rPr>
          <w:rFonts w:ascii="FangSong" w:hAnsi="FangSong" w:eastAsia="FangSong" w:cs="FangSong"/>
          <w:sz w:val="30"/>
          <w:szCs w:val="30"/>
          <w:b/>
          <w:bCs/>
          <w:spacing w:val="21"/>
        </w:rPr>
        <w:t>第二百一十九条医疗机构及其工作人员违反《中</w:t>
      </w:r>
      <w:r>
        <w:rPr>
          <w:rFonts w:ascii="FangSong" w:hAnsi="FangSong" w:eastAsia="FangSong" w:cs="FangSong"/>
          <w:sz w:val="30"/>
          <w:szCs w:val="30"/>
          <w:b/>
          <w:bCs/>
          <w:spacing w:val="20"/>
        </w:rPr>
        <w:t>华人民共和国精神卫生法》规定实施约束、隔</w:t>
      </w:r>
      <w:r>
        <w:rPr>
          <w:rFonts w:ascii="FangSong" w:hAnsi="FangSong" w:eastAsia="FangSong" w:cs="FangSong"/>
          <w:sz w:val="30"/>
          <w:szCs w:val="30"/>
        </w:rPr>
        <w:t xml:space="preserve"> </w:t>
      </w:r>
      <w:r>
        <w:rPr>
          <w:rFonts w:ascii="FangSong" w:hAnsi="FangSong" w:eastAsia="FangSong" w:cs="FangSong"/>
          <w:sz w:val="30"/>
          <w:szCs w:val="30"/>
          <w:b/>
          <w:bCs/>
          <w:spacing w:val="13"/>
        </w:rPr>
        <w:t>离等保护性医疗措施的</w:t>
      </w:r>
    </w:p>
    <w:p>
      <w:pPr>
        <w:ind w:left="654"/>
        <w:spacing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ind w:left="25" w:firstLine="630"/>
        <w:spacing w:before="101" w:line="265" w:lineRule="auto"/>
        <w:jc w:val="both"/>
        <w:rPr>
          <w:rFonts w:ascii="FangSong" w:hAnsi="FangSong" w:eastAsia="FangSong" w:cs="FangSong"/>
          <w:sz w:val="30"/>
          <w:szCs w:val="30"/>
        </w:rPr>
      </w:pPr>
      <w:r>
        <w:rPr>
          <w:rFonts w:ascii="FangSong" w:hAnsi="FangSong" w:eastAsia="FangSong" w:cs="FangSong"/>
          <w:sz w:val="30"/>
          <w:szCs w:val="30"/>
          <w:spacing w:val="24"/>
        </w:rPr>
        <w:t>《中华人民共和国精神卫生法》第七十五条第(</w:t>
      </w:r>
      <w:r>
        <w:rPr>
          <w:rFonts w:ascii="FangSong" w:hAnsi="FangSong" w:eastAsia="FangSong" w:cs="FangSong"/>
          <w:sz w:val="30"/>
          <w:szCs w:val="30"/>
          <w:spacing w:val="-61"/>
        </w:rPr>
        <w:t xml:space="preserve"> </w:t>
      </w:r>
      <w:r>
        <w:rPr>
          <w:rFonts w:ascii="FangSong" w:hAnsi="FangSong" w:eastAsia="FangSong" w:cs="FangSong"/>
          <w:sz w:val="30"/>
          <w:szCs w:val="30"/>
          <w:spacing w:val="24"/>
        </w:rPr>
        <w:t>一)项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医疗机构及其工作人员有下列行为之</w:t>
      </w:r>
      <w:r>
        <w:rPr>
          <w:rFonts w:ascii="FangSong" w:hAnsi="FangSong" w:eastAsia="FangSong" w:cs="FangSong"/>
          <w:sz w:val="30"/>
          <w:szCs w:val="30"/>
        </w:rPr>
        <w:t xml:space="preserve"> </w:t>
      </w:r>
      <w:r>
        <w:rPr>
          <w:rFonts w:ascii="FangSong" w:hAnsi="FangSong" w:eastAsia="FangSong" w:cs="FangSong"/>
          <w:sz w:val="30"/>
          <w:szCs w:val="30"/>
          <w:spacing w:val="16"/>
        </w:rPr>
        <w:t>一的，由县级以上人民政府卫生行政部门责令改正，对有关医务人员，暂停六个月以上一年以下执业</w:t>
      </w:r>
      <w:r>
        <w:rPr>
          <w:rFonts w:ascii="FangSong" w:hAnsi="FangSong" w:eastAsia="FangSong" w:cs="FangSong"/>
          <w:sz w:val="30"/>
          <w:szCs w:val="30"/>
          <w:spacing w:val="15"/>
        </w:rPr>
        <w:t xml:space="preserve"> </w:t>
      </w:r>
      <w:r>
        <w:rPr>
          <w:rFonts w:ascii="FangSong" w:hAnsi="FangSong" w:eastAsia="FangSong" w:cs="FangSong"/>
          <w:sz w:val="30"/>
          <w:szCs w:val="30"/>
          <w:spacing w:val="15"/>
        </w:rPr>
        <w:t>活动；情节严重的，并吊销有关医务人员的执业证书：</w:t>
      </w:r>
    </w:p>
    <w:p>
      <w:pPr>
        <w:ind w:left="805"/>
        <w:spacing w:before="30" w:line="220" w:lineRule="auto"/>
        <w:rPr>
          <w:rFonts w:ascii="FangSong" w:hAnsi="FangSong" w:eastAsia="FangSong" w:cs="FangSong"/>
          <w:sz w:val="30"/>
          <w:szCs w:val="30"/>
        </w:rPr>
      </w:pPr>
      <w:r>
        <w:rPr>
          <w:rFonts w:ascii="FangSong" w:hAnsi="FangSong" w:eastAsia="FangSong" w:cs="FangSong"/>
          <w:sz w:val="30"/>
          <w:szCs w:val="30"/>
          <w:spacing w:val="22"/>
        </w:rPr>
        <w:t>(一)违反本法规定实施约束、隔离等保护性医疗措施的；</w:t>
      </w:r>
    </w:p>
    <w:p>
      <w:pPr>
        <w:spacing w:line="220" w:lineRule="auto"/>
        <w:sectPr>
          <w:footerReference w:type="default" r:id="rId281"/>
          <w:pgSz w:w="16830" w:h="11900"/>
          <w:pgMar w:top="1011" w:right="1469" w:bottom="1124" w:left="1414" w:header="0" w:footer="782" w:gutter="0"/>
        </w:sectPr>
        <w:rPr>
          <w:rFonts w:ascii="FangSong" w:hAnsi="FangSong" w:eastAsia="FangSong" w:cs="FangSong"/>
          <w:sz w:val="30"/>
          <w:szCs w:val="30"/>
        </w:rPr>
      </w:pPr>
    </w:p>
    <w:p>
      <w:pPr>
        <w:pStyle w:val="BodyText"/>
        <w:spacing w:line="259" w:lineRule="auto"/>
        <w:rPr/>
      </w:pPr>
      <w:r/>
    </w:p>
    <w:p>
      <w:pPr>
        <w:pStyle w:val="BodyText"/>
        <w:spacing w:line="259" w:lineRule="auto"/>
        <w:rPr/>
      </w:pPr>
      <w:r/>
    </w:p>
    <w:p>
      <w:pPr>
        <w:pStyle w:val="BodyText"/>
        <w:spacing w:line="260" w:lineRule="auto"/>
        <w:rPr/>
      </w:pPr>
      <w:r/>
    </w:p>
    <w:p>
      <w:pPr>
        <w:ind w:left="6409"/>
        <w:spacing w:before="94" w:line="214" w:lineRule="auto"/>
        <w:rPr>
          <w:rFonts w:ascii="SimSun" w:hAnsi="SimSun" w:eastAsia="SimSun" w:cs="SimSun"/>
          <w:sz w:val="29"/>
          <w:szCs w:val="29"/>
        </w:rPr>
      </w:pPr>
      <w:bookmarkStart w:name="bookmark936" w:id="303"/>
      <w:bookmarkEnd w:id="303"/>
      <w:r>
        <w:rPr>
          <w:rFonts w:ascii="SimSun" w:hAnsi="SimSun" w:eastAsia="SimSun" w:cs="SimSun"/>
          <w:sz w:val="29"/>
          <w:szCs w:val="29"/>
          <w:b/>
          <w:bCs/>
          <w:spacing w:val="-6"/>
        </w:rPr>
        <w:t>裁量标准</w:t>
      </w:r>
    </w:p>
    <w:tbl>
      <w:tblPr>
        <w:tblStyle w:val="TableNormal"/>
        <w:tblW w:w="13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04"/>
        <w:gridCol w:w="5616"/>
        <w:gridCol w:w="6650"/>
      </w:tblGrid>
      <w:tr>
        <w:trPr>
          <w:trHeight w:val="712" w:hRule="atLeast"/>
        </w:trPr>
        <w:tc>
          <w:tcPr>
            <w:tcW w:w="1604" w:type="dxa"/>
            <w:vAlign w:val="top"/>
          </w:tcPr>
          <w:p>
            <w:pPr>
              <w:pStyle w:val="TableText"/>
              <w:ind w:left="298"/>
              <w:spacing w:before="232" w:line="220" w:lineRule="auto"/>
              <w:rPr>
                <w:sz w:val="25"/>
                <w:szCs w:val="25"/>
              </w:rPr>
            </w:pPr>
            <w:r>
              <w:rPr>
                <w:sz w:val="25"/>
                <w:szCs w:val="25"/>
                <w:b/>
                <w:bCs/>
                <w:spacing w:val="-5"/>
              </w:rPr>
              <w:t>违法程度</w:t>
            </w:r>
          </w:p>
        </w:tc>
        <w:tc>
          <w:tcPr>
            <w:tcW w:w="5616" w:type="dxa"/>
            <w:vAlign w:val="top"/>
          </w:tcPr>
          <w:p>
            <w:pPr>
              <w:pStyle w:val="TableText"/>
              <w:ind w:left="2224"/>
              <w:spacing w:before="232" w:line="220" w:lineRule="auto"/>
              <w:rPr>
                <w:sz w:val="25"/>
                <w:szCs w:val="25"/>
              </w:rPr>
            </w:pPr>
            <w:r>
              <w:rPr>
                <w:sz w:val="25"/>
                <w:szCs w:val="25"/>
                <w:b/>
                <w:bCs/>
                <w:spacing w:val="-5"/>
              </w:rPr>
              <w:t>情节后果</w:t>
            </w:r>
          </w:p>
        </w:tc>
        <w:tc>
          <w:tcPr>
            <w:tcW w:w="6650" w:type="dxa"/>
            <w:vAlign w:val="top"/>
          </w:tcPr>
          <w:p>
            <w:pPr>
              <w:pStyle w:val="TableText"/>
              <w:ind w:left="2758"/>
              <w:spacing w:before="229" w:line="218" w:lineRule="auto"/>
              <w:rPr>
                <w:sz w:val="25"/>
                <w:szCs w:val="25"/>
              </w:rPr>
            </w:pPr>
            <w:r>
              <w:rPr>
                <w:sz w:val="25"/>
                <w:szCs w:val="25"/>
                <w:b/>
                <w:bCs/>
                <w:spacing w:val="-5"/>
              </w:rPr>
              <w:t>裁量幅度</w:t>
            </w:r>
          </w:p>
        </w:tc>
      </w:tr>
      <w:tr>
        <w:trPr>
          <w:trHeight w:val="886" w:hRule="atLeast"/>
        </w:trPr>
        <w:tc>
          <w:tcPr>
            <w:tcW w:w="1604" w:type="dxa"/>
            <w:vAlign w:val="top"/>
          </w:tcPr>
          <w:p>
            <w:pPr>
              <w:pStyle w:val="TableText"/>
              <w:ind w:left="548"/>
              <w:spacing w:before="321" w:line="221" w:lineRule="auto"/>
              <w:rPr>
                <w:sz w:val="25"/>
                <w:szCs w:val="25"/>
              </w:rPr>
            </w:pPr>
            <w:r>
              <w:rPr>
                <w:sz w:val="25"/>
                <w:szCs w:val="25"/>
                <w:b/>
                <w:bCs/>
                <w:spacing w:val="-10"/>
              </w:rPr>
              <w:t>一般</w:t>
            </w:r>
          </w:p>
        </w:tc>
        <w:tc>
          <w:tcPr>
            <w:tcW w:w="5616" w:type="dxa"/>
            <w:vAlign w:val="top"/>
          </w:tcPr>
          <w:p>
            <w:pPr>
              <w:pStyle w:val="TableText"/>
              <w:ind w:right="5"/>
              <w:spacing w:before="321" w:line="219" w:lineRule="auto"/>
              <w:jc w:val="right"/>
              <w:rPr>
                <w:sz w:val="25"/>
                <w:szCs w:val="25"/>
              </w:rPr>
            </w:pPr>
            <w:r>
              <w:rPr>
                <w:sz w:val="25"/>
                <w:szCs w:val="25"/>
              </w:rPr>
              <w:t>未按本法规定实施约束、隔离等保护性医疗措施的</w:t>
            </w:r>
          </w:p>
        </w:tc>
        <w:tc>
          <w:tcPr>
            <w:tcW w:w="6650" w:type="dxa"/>
            <w:vAlign w:val="top"/>
          </w:tcPr>
          <w:p>
            <w:pPr>
              <w:pStyle w:val="TableText"/>
              <w:ind w:left="124" w:right="4"/>
              <w:spacing w:before="152" w:line="267" w:lineRule="auto"/>
              <w:rPr>
                <w:sz w:val="25"/>
                <w:szCs w:val="25"/>
              </w:rPr>
            </w:pPr>
            <w:r>
              <w:rPr>
                <w:sz w:val="25"/>
                <w:szCs w:val="25"/>
              </w:rPr>
              <w:t>由县级以上人民政府卫生行政部门责令改正；对有关医务人</w:t>
            </w:r>
            <w:r>
              <w:rPr>
                <w:sz w:val="25"/>
                <w:szCs w:val="25"/>
                <w:spacing w:val="9"/>
              </w:rPr>
              <w:t xml:space="preserve"> </w:t>
            </w:r>
            <w:r>
              <w:rPr>
                <w:sz w:val="25"/>
                <w:szCs w:val="25"/>
                <w:spacing w:val="1"/>
              </w:rPr>
              <w:t>员，暂停六个月以上一年以下执业活动</w:t>
            </w:r>
          </w:p>
        </w:tc>
      </w:tr>
      <w:tr>
        <w:trPr>
          <w:trHeight w:val="882" w:hRule="atLeast"/>
        </w:trPr>
        <w:tc>
          <w:tcPr>
            <w:tcW w:w="1604" w:type="dxa"/>
            <w:vAlign w:val="top"/>
          </w:tcPr>
          <w:p>
            <w:pPr>
              <w:spacing w:line="301" w:lineRule="auto"/>
              <w:rPr>
                <w:rFonts w:ascii="Arial"/>
                <w:sz w:val="21"/>
              </w:rPr>
            </w:pPr>
            <w:r/>
          </w:p>
          <w:p>
            <w:pPr>
              <w:pStyle w:val="TableText"/>
              <w:ind w:left="548"/>
              <w:spacing w:before="81" w:line="220" w:lineRule="auto"/>
              <w:rPr>
                <w:sz w:val="25"/>
                <w:szCs w:val="25"/>
              </w:rPr>
            </w:pPr>
            <w:r>
              <w:rPr>
                <w:sz w:val="25"/>
                <w:szCs w:val="25"/>
                <w:b/>
                <w:bCs/>
                <w:spacing w:val="-6"/>
              </w:rPr>
              <w:t>严重</w:t>
            </w:r>
          </w:p>
        </w:tc>
        <w:tc>
          <w:tcPr>
            <w:tcW w:w="5616" w:type="dxa"/>
            <w:vAlign w:val="top"/>
          </w:tcPr>
          <w:p>
            <w:pPr>
              <w:pStyle w:val="TableText"/>
              <w:ind w:left="81"/>
              <w:spacing w:before="165" w:line="261" w:lineRule="auto"/>
              <w:rPr>
                <w:sz w:val="25"/>
                <w:szCs w:val="25"/>
              </w:rPr>
            </w:pPr>
            <w:r>
              <w:rPr>
                <w:sz w:val="25"/>
                <w:szCs w:val="25"/>
                <w:spacing w:val="-10"/>
              </w:rPr>
              <w:t>未按本法规定实施约束、隔离等保护性医疗措施，情</w:t>
            </w:r>
            <w:r>
              <w:rPr>
                <w:sz w:val="25"/>
                <w:szCs w:val="25"/>
                <w:spacing w:val="3"/>
              </w:rPr>
              <w:t xml:space="preserve"> </w:t>
            </w:r>
            <w:r>
              <w:rPr>
                <w:sz w:val="25"/>
                <w:szCs w:val="25"/>
                <w:spacing w:val="4"/>
              </w:rPr>
              <w:t>节严重的</w:t>
            </w:r>
          </w:p>
        </w:tc>
        <w:tc>
          <w:tcPr>
            <w:tcW w:w="6650" w:type="dxa"/>
            <w:vAlign w:val="top"/>
          </w:tcPr>
          <w:p>
            <w:pPr>
              <w:pStyle w:val="TableText"/>
              <w:ind w:left="124"/>
              <w:spacing w:before="165" w:line="261" w:lineRule="auto"/>
              <w:rPr>
                <w:sz w:val="25"/>
                <w:szCs w:val="25"/>
              </w:rPr>
            </w:pPr>
            <w:r>
              <w:rPr>
                <w:sz w:val="25"/>
                <w:szCs w:val="25"/>
                <w:spacing w:val="-9"/>
              </w:rPr>
              <w:t>由县级以上人民政府卫生行政部门责令改正，吊销有关医务人</w:t>
            </w:r>
            <w:r>
              <w:rPr>
                <w:sz w:val="25"/>
                <w:szCs w:val="25"/>
                <w:spacing w:val="7"/>
              </w:rPr>
              <w:t xml:space="preserve"> </w:t>
            </w:r>
            <w:r>
              <w:rPr>
                <w:sz w:val="25"/>
                <w:szCs w:val="25"/>
                <w:spacing w:val="3"/>
              </w:rPr>
              <w:t>员执业证书</w:t>
            </w:r>
          </w:p>
        </w:tc>
      </w:tr>
    </w:tbl>
    <w:p>
      <w:pPr>
        <w:pStyle w:val="BodyText"/>
        <w:spacing w:line="473" w:lineRule="auto"/>
        <w:rPr/>
      </w:pPr>
      <w:r/>
    </w:p>
    <w:p>
      <w:pPr>
        <w:ind w:left="669"/>
        <w:spacing w:before="101" w:line="220" w:lineRule="auto"/>
        <w:rPr>
          <w:rFonts w:ascii="FangSong" w:hAnsi="FangSong" w:eastAsia="FangSong" w:cs="FangSong"/>
          <w:sz w:val="31"/>
          <w:szCs w:val="31"/>
        </w:rPr>
      </w:pPr>
      <w:r>
        <w:rPr>
          <w:rFonts w:ascii="FangSong" w:hAnsi="FangSong" w:eastAsia="FangSong" w:cs="FangSong"/>
          <w:sz w:val="31"/>
          <w:szCs w:val="31"/>
          <w:b/>
          <w:bCs/>
          <w:spacing w:val="16"/>
        </w:rPr>
        <w:t>第二百二十条违反《中华人民共和国精神卫生法》,强迫</w:t>
      </w:r>
      <w:r>
        <w:rPr>
          <w:rFonts w:ascii="FangSong" w:hAnsi="FangSong" w:eastAsia="FangSong" w:cs="FangSong"/>
          <w:sz w:val="31"/>
          <w:szCs w:val="31"/>
          <w:b/>
          <w:bCs/>
          <w:spacing w:val="15"/>
        </w:rPr>
        <w:t>精神障碍患者劳动的</w:t>
      </w:r>
    </w:p>
    <w:p>
      <w:pPr>
        <w:ind w:left="645"/>
        <w:spacing w:before="78" w:line="222" w:lineRule="auto"/>
        <w:rPr>
          <w:rFonts w:ascii="FangSong" w:hAnsi="FangSong" w:eastAsia="FangSong" w:cs="FangSong"/>
          <w:sz w:val="31"/>
          <w:szCs w:val="31"/>
        </w:rPr>
      </w:pPr>
      <w:r>
        <w:rPr>
          <w:rFonts w:ascii="FangSong" w:hAnsi="FangSong" w:eastAsia="FangSong" w:cs="FangSong"/>
          <w:sz w:val="31"/>
          <w:szCs w:val="31"/>
          <w:spacing w:val="-6"/>
        </w:rPr>
        <w:t>法律依据：</w:t>
      </w:r>
    </w:p>
    <w:p>
      <w:pPr>
        <w:ind w:left="15" w:firstLine="614"/>
        <w:spacing w:before="73" w:line="256" w:lineRule="auto"/>
        <w:jc w:val="both"/>
        <w:rPr>
          <w:rFonts w:ascii="FangSong" w:hAnsi="FangSong" w:eastAsia="FangSong" w:cs="FangSong"/>
          <w:sz w:val="31"/>
          <w:szCs w:val="31"/>
        </w:rPr>
      </w:pPr>
      <w:r>
        <w:rPr>
          <w:rFonts w:ascii="FangSong" w:hAnsi="FangSong" w:eastAsia="FangSong" w:cs="FangSong"/>
          <w:sz w:val="31"/>
          <w:szCs w:val="31"/>
          <w:spacing w:val="18"/>
        </w:rPr>
        <w:t>《中华人民共和国精神卫生法》第七十五条第(二)项</w:t>
      </w:r>
      <w:r>
        <w:rPr>
          <w:rFonts w:ascii="FangSong" w:hAnsi="FangSong" w:eastAsia="FangSong" w:cs="FangSong"/>
          <w:sz w:val="31"/>
          <w:szCs w:val="31"/>
          <w:spacing w:val="18"/>
        </w:rPr>
        <w:t xml:space="preserve">   </w:t>
      </w:r>
      <w:r>
        <w:rPr>
          <w:rFonts w:ascii="FangSong" w:hAnsi="FangSong" w:eastAsia="FangSong" w:cs="FangSong"/>
          <w:sz w:val="31"/>
          <w:szCs w:val="31"/>
          <w:spacing w:val="18"/>
        </w:rPr>
        <w:t>医疗机</w:t>
      </w:r>
      <w:r>
        <w:rPr>
          <w:rFonts w:ascii="FangSong" w:hAnsi="FangSong" w:eastAsia="FangSong" w:cs="FangSong"/>
          <w:sz w:val="31"/>
          <w:szCs w:val="31"/>
          <w:spacing w:val="17"/>
        </w:rPr>
        <w:t>构及其工作人员有下列行为之</w:t>
      </w:r>
      <w:r>
        <w:rPr>
          <w:rFonts w:ascii="FangSong" w:hAnsi="FangSong" w:eastAsia="FangSong" w:cs="FangSong"/>
          <w:sz w:val="31"/>
          <w:szCs w:val="31"/>
        </w:rPr>
        <w:t xml:space="preserve"> </w:t>
      </w:r>
      <w:r>
        <w:rPr>
          <w:rFonts w:ascii="FangSong" w:hAnsi="FangSong" w:eastAsia="FangSong" w:cs="FangSong"/>
          <w:sz w:val="31"/>
          <w:szCs w:val="31"/>
          <w:spacing w:val="7"/>
        </w:rPr>
        <w:t>一的，由县级以上人民政府卫生行政部门责令改正，对有</w:t>
      </w:r>
      <w:r>
        <w:rPr>
          <w:rFonts w:ascii="FangSong" w:hAnsi="FangSong" w:eastAsia="FangSong" w:cs="FangSong"/>
          <w:sz w:val="31"/>
          <w:szCs w:val="31"/>
          <w:spacing w:val="6"/>
        </w:rPr>
        <w:t>关医务人员，暂停六个月以上一年以下执业</w:t>
      </w:r>
      <w:r>
        <w:rPr>
          <w:rFonts w:ascii="FangSong" w:hAnsi="FangSong" w:eastAsia="FangSong" w:cs="FangSong"/>
          <w:sz w:val="31"/>
          <w:szCs w:val="31"/>
        </w:rPr>
        <w:t xml:space="preserve"> </w:t>
      </w:r>
      <w:r>
        <w:rPr>
          <w:rFonts w:ascii="FangSong" w:hAnsi="FangSong" w:eastAsia="FangSong" w:cs="FangSong"/>
          <w:sz w:val="31"/>
          <w:szCs w:val="31"/>
          <w:spacing w:val="6"/>
        </w:rPr>
        <w:t>活动；情节严重的，并吊销有关医务人员的执业证书：</w:t>
      </w:r>
    </w:p>
    <w:p>
      <w:pPr>
        <w:ind w:left="785"/>
        <w:spacing w:before="22" w:line="222" w:lineRule="auto"/>
        <w:rPr>
          <w:rFonts w:ascii="FangSong" w:hAnsi="FangSong" w:eastAsia="FangSong" w:cs="FangSong"/>
          <w:sz w:val="31"/>
          <w:szCs w:val="31"/>
        </w:rPr>
      </w:pPr>
      <w:r>
        <w:rPr>
          <w:rFonts w:ascii="FangSong" w:hAnsi="FangSong" w:eastAsia="FangSong" w:cs="FangSong"/>
          <w:sz w:val="31"/>
          <w:szCs w:val="31"/>
          <w:spacing w:val="14"/>
        </w:rPr>
        <w:t>(二)违反本法规定，强迫精神障碍患者劳动的；</w:t>
      </w:r>
    </w:p>
    <w:p>
      <w:pPr>
        <w:ind w:left="6409"/>
        <w:spacing w:before="78" w:line="201"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84"/>
        <w:gridCol w:w="5636"/>
        <w:gridCol w:w="6640"/>
      </w:tblGrid>
      <w:tr>
        <w:trPr>
          <w:trHeight w:val="571" w:hRule="atLeast"/>
        </w:trPr>
        <w:tc>
          <w:tcPr>
            <w:tcW w:w="1584" w:type="dxa"/>
            <w:vAlign w:val="top"/>
          </w:tcPr>
          <w:p>
            <w:pPr>
              <w:pStyle w:val="TableText"/>
              <w:ind w:left="268"/>
              <w:spacing w:before="162" w:line="220" w:lineRule="auto"/>
              <w:rPr>
                <w:sz w:val="26"/>
                <w:szCs w:val="26"/>
              </w:rPr>
            </w:pPr>
            <w:r>
              <w:rPr>
                <w:sz w:val="26"/>
                <w:szCs w:val="26"/>
                <w:b/>
                <w:bCs/>
                <w:spacing w:val="-5"/>
              </w:rPr>
              <w:t>违法程度</w:t>
            </w:r>
          </w:p>
        </w:tc>
        <w:tc>
          <w:tcPr>
            <w:tcW w:w="5636" w:type="dxa"/>
            <w:vAlign w:val="top"/>
          </w:tcPr>
          <w:p>
            <w:pPr>
              <w:pStyle w:val="TableText"/>
              <w:ind w:left="2244"/>
              <w:spacing w:before="162" w:line="220" w:lineRule="auto"/>
              <w:rPr>
                <w:sz w:val="26"/>
                <w:szCs w:val="26"/>
              </w:rPr>
            </w:pPr>
            <w:r>
              <w:rPr>
                <w:sz w:val="26"/>
                <w:szCs w:val="26"/>
                <w:b/>
                <w:bCs/>
                <w:spacing w:val="-5"/>
              </w:rPr>
              <w:t>情节后果</w:t>
            </w:r>
          </w:p>
        </w:tc>
        <w:tc>
          <w:tcPr>
            <w:tcW w:w="6640" w:type="dxa"/>
            <w:vAlign w:val="top"/>
          </w:tcPr>
          <w:p>
            <w:pPr>
              <w:pStyle w:val="TableText"/>
              <w:ind w:left="2748"/>
              <w:spacing w:before="159" w:line="218" w:lineRule="auto"/>
              <w:rPr>
                <w:sz w:val="26"/>
                <w:szCs w:val="26"/>
              </w:rPr>
            </w:pPr>
            <w:r>
              <w:rPr>
                <w:sz w:val="26"/>
                <w:szCs w:val="26"/>
                <w:b/>
                <w:bCs/>
                <w:spacing w:val="-5"/>
              </w:rPr>
              <w:t>裁量幅度</w:t>
            </w:r>
          </w:p>
        </w:tc>
      </w:tr>
      <w:tr>
        <w:trPr>
          <w:trHeight w:val="849" w:hRule="atLeast"/>
        </w:trPr>
        <w:tc>
          <w:tcPr>
            <w:tcW w:w="1584" w:type="dxa"/>
            <w:vAlign w:val="top"/>
          </w:tcPr>
          <w:p>
            <w:pPr>
              <w:spacing w:line="276" w:lineRule="auto"/>
              <w:rPr>
                <w:rFonts w:ascii="Arial"/>
                <w:sz w:val="21"/>
              </w:rPr>
            </w:pPr>
            <w:r/>
          </w:p>
          <w:p>
            <w:pPr>
              <w:pStyle w:val="TableText"/>
              <w:ind w:left="528"/>
              <w:spacing w:before="84" w:line="221" w:lineRule="auto"/>
              <w:rPr>
                <w:sz w:val="26"/>
                <w:szCs w:val="26"/>
              </w:rPr>
            </w:pPr>
            <w:r>
              <w:rPr>
                <w:sz w:val="26"/>
                <w:szCs w:val="26"/>
                <w:b/>
                <w:bCs/>
                <w:spacing w:val="-10"/>
              </w:rPr>
              <w:t>一般</w:t>
            </w:r>
          </w:p>
        </w:tc>
        <w:tc>
          <w:tcPr>
            <w:tcW w:w="5636" w:type="dxa"/>
            <w:vAlign w:val="top"/>
          </w:tcPr>
          <w:p>
            <w:pPr>
              <w:pStyle w:val="TableText"/>
              <w:ind w:left="134"/>
              <w:spacing w:before="299" w:line="219" w:lineRule="auto"/>
              <w:rPr>
                <w:sz w:val="26"/>
                <w:szCs w:val="26"/>
              </w:rPr>
            </w:pPr>
            <w:r>
              <w:rPr>
                <w:sz w:val="26"/>
                <w:szCs w:val="26"/>
                <w:b/>
                <w:bCs/>
                <w:spacing w:val="-2"/>
              </w:rPr>
              <w:t>强迫精神障碍患者劳动的</w:t>
            </w:r>
          </w:p>
        </w:tc>
        <w:tc>
          <w:tcPr>
            <w:tcW w:w="6640" w:type="dxa"/>
            <w:vAlign w:val="top"/>
          </w:tcPr>
          <w:p>
            <w:pPr>
              <w:pStyle w:val="TableText"/>
              <w:ind w:left="118"/>
              <w:spacing w:before="160" w:line="241" w:lineRule="auto"/>
              <w:rPr>
                <w:sz w:val="26"/>
                <w:szCs w:val="26"/>
              </w:rPr>
            </w:pPr>
            <w:r>
              <w:rPr>
                <w:sz w:val="26"/>
                <w:szCs w:val="26"/>
                <w:b/>
                <w:bCs/>
                <w:spacing w:val="-14"/>
              </w:rPr>
              <w:t>由</w:t>
            </w:r>
            <w:r>
              <w:rPr>
                <w:sz w:val="26"/>
                <w:szCs w:val="26"/>
                <w:b/>
                <w:bCs/>
                <w:spacing w:val="-13"/>
              </w:rPr>
              <w:t>县级以上人民政府卫生行政部门责令改正；对有关医务</w:t>
            </w:r>
            <w:r>
              <w:rPr>
                <w:sz w:val="26"/>
                <w:szCs w:val="26"/>
                <w:b/>
                <w:bCs/>
                <w:spacing w:val="-12"/>
              </w:rPr>
              <w:t>人</w:t>
            </w:r>
            <w:r>
              <w:rPr>
                <w:sz w:val="26"/>
                <w:szCs w:val="26"/>
                <w:spacing w:val="17"/>
              </w:rPr>
              <w:t xml:space="preserve"> </w:t>
            </w:r>
            <w:r>
              <w:rPr>
                <w:sz w:val="26"/>
                <w:szCs w:val="26"/>
                <w:b/>
                <w:bCs/>
                <w:spacing w:val="-3"/>
              </w:rPr>
              <w:t>员，暂停六个月以上一年以下执业活动</w:t>
            </w:r>
          </w:p>
        </w:tc>
      </w:tr>
    </w:tbl>
    <w:p>
      <w:pPr>
        <w:pStyle w:val="BodyText"/>
        <w:rPr/>
      </w:pPr>
      <w:r/>
    </w:p>
    <w:p>
      <w:pPr>
        <w:sectPr>
          <w:footerReference w:type="default" r:id="rId282"/>
          <w:pgSz w:w="16830" w:h="11900"/>
          <w:pgMar w:top="1011" w:right="1447" w:bottom="1096" w:left="1434" w:header="0" w:footer="816" w:gutter="0"/>
        </w:sectPr>
        <w:rPr/>
      </w:pPr>
    </w:p>
    <w:p>
      <w:pPr>
        <w:spacing w:before="20"/>
        <w:rPr/>
      </w:pPr>
      <w:r/>
    </w:p>
    <w:p>
      <w:pPr>
        <w:spacing w:before="20"/>
        <w:rPr/>
      </w:pPr>
      <w:r/>
    </w:p>
    <w:p>
      <w:pPr>
        <w:spacing w:before="19"/>
        <w:rPr/>
      </w:pPr>
      <w:r/>
    </w:p>
    <w:tbl>
      <w:tblPr>
        <w:tblStyle w:val="TableNormal"/>
        <w:tblW w:w="138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84"/>
        <w:gridCol w:w="5636"/>
        <w:gridCol w:w="6640"/>
      </w:tblGrid>
      <w:tr>
        <w:trPr>
          <w:trHeight w:val="860" w:hRule="atLeast"/>
        </w:trPr>
        <w:tc>
          <w:tcPr>
            <w:tcW w:w="1584" w:type="dxa"/>
            <w:vAlign w:val="top"/>
          </w:tcPr>
          <w:p>
            <w:pPr>
              <w:pStyle w:val="TableText"/>
              <w:ind w:left="538"/>
              <w:spacing w:before="312" w:line="220" w:lineRule="auto"/>
              <w:rPr/>
            </w:pPr>
            <w:bookmarkStart w:name="bookmark937" w:id="304"/>
            <w:bookmarkEnd w:id="304"/>
            <w:r>
              <w:rPr>
                <w:b/>
                <w:bCs/>
                <w:spacing w:val="-6"/>
              </w:rPr>
              <w:t>严重</w:t>
            </w:r>
          </w:p>
        </w:tc>
        <w:tc>
          <w:tcPr>
            <w:tcW w:w="5636" w:type="dxa"/>
            <w:vAlign w:val="top"/>
          </w:tcPr>
          <w:p>
            <w:pPr>
              <w:pStyle w:val="TableText"/>
              <w:ind w:left="121" w:firstLine="19"/>
              <w:spacing w:before="135" w:line="275" w:lineRule="auto"/>
              <w:rPr/>
            </w:pPr>
            <w:r>
              <w:rPr>
                <w:spacing w:val="-2"/>
              </w:rPr>
              <w:t>医疗机构及其工作人员以营利为目的，强迫精神障碍</w:t>
            </w:r>
            <w:r>
              <w:rPr>
                <w:spacing w:val="10"/>
              </w:rPr>
              <w:t xml:space="preserve"> </w:t>
            </w:r>
            <w:r>
              <w:rPr>
                <w:spacing w:val="1"/>
              </w:rPr>
              <w:t>患者劳动，情节严重的</w:t>
            </w:r>
          </w:p>
        </w:tc>
        <w:tc>
          <w:tcPr>
            <w:tcW w:w="6640" w:type="dxa"/>
            <w:vAlign w:val="top"/>
          </w:tcPr>
          <w:p>
            <w:pPr>
              <w:pStyle w:val="TableText"/>
              <w:ind w:left="115" w:right="24"/>
              <w:spacing w:before="135" w:line="275" w:lineRule="auto"/>
              <w:rPr/>
            </w:pPr>
            <w:r>
              <w:rPr/>
              <w:t>由县级以上人民政府卫生行政部门责令改正，吊销有关医务人</w:t>
            </w:r>
            <w:r>
              <w:rPr>
                <w:spacing w:val="8"/>
              </w:rPr>
              <w:t xml:space="preserve"> </w:t>
            </w:r>
            <w:r>
              <w:rPr>
                <w:spacing w:val="2"/>
              </w:rPr>
              <w:t>员的执业证书</w:t>
            </w:r>
          </w:p>
        </w:tc>
      </w:tr>
    </w:tbl>
    <w:p>
      <w:pPr>
        <w:ind w:left="9" w:right="64" w:firstLine="649"/>
        <w:spacing w:before="120" w:line="284" w:lineRule="auto"/>
        <w:rPr>
          <w:rFonts w:ascii="KaiTi" w:hAnsi="KaiTi" w:eastAsia="KaiTi" w:cs="KaiTi"/>
          <w:sz w:val="30"/>
          <w:szCs w:val="30"/>
        </w:rPr>
      </w:pPr>
      <w:r>
        <w:rPr>
          <w:rFonts w:ascii="KaiTi" w:hAnsi="KaiTi" w:eastAsia="KaiTi" w:cs="KaiTi"/>
          <w:sz w:val="30"/>
          <w:szCs w:val="30"/>
          <w:b/>
          <w:bCs/>
          <w:spacing w:val="21"/>
        </w:rPr>
        <w:t>第二百二十一条违反《中华人民共和国精神卫</w:t>
      </w:r>
      <w:r>
        <w:rPr>
          <w:rFonts w:ascii="KaiTi" w:hAnsi="KaiTi" w:eastAsia="KaiTi" w:cs="KaiTi"/>
          <w:sz w:val="30"/>
          <w:szCs w:val="30"/>
          <w:b/>
          <w:bCs/>
          <w:spacing w:val="20"/>
        </w:rPr>
        <w:t>生法》规定，对精神障碍患者实施外科手术或者</w:t>
      </w:r>
      <w:r>
        <w:rPr>
          <w:rFonts w:ascii="KaiTi" w:hAnsi="KaiTi" w:eastAsia="KaiTi" w:cs="KaiTi"/>
          <w:sz w:val="30"/>
          <w:szCs w:val="30"/>
        </w:rPr>
        <w:t xml:space="preserve"> </w:t>
      </w:r>
      <w:r>
        <w:rPr>
          <w:rFonts w:ascii="KaiTi" w:hAnsi="KaiTi" w:eastAsia="KaiTi" w:cs="KaiTi"/>
          <w:sz w:val="30"/>
          <w:szCs w:val="30"/>
          <w:b/>
          <w:bCs/>
          <w:spacing w:val="12"/>
        </w:rPr>
        <w:t>实验性临床医疗的</w:t>
      </w:r>
    </w:p>
    <w:p>
      <w:pPr>
        <w:ind w:left="654"/>
        <w:spacing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5" w:right="60" w:firstLine="630"/>
        <w:spacing w:before="80" w:line="271" w:lineRule="auto"/>
        <w:jc w:val="both"/>
        <w:rPr>
          <w:rFonts w:ascii="FangSong" w:hAnsi="FangSong" w:eastAsia="FangSong" w:cs="FangSong"/>
          <w:sz w:val="30"/>
          <w:szCs w:val="30"/>
        </w:rPr>
      </w:pPr>
      <w:r>
        <w:rPr>
          <w:rFonts w:ascii="FangSong" w:hAnsi="FangSong" w:eastAsia="FangSong" w:cs="FangSong"/>
          <w:sz w:val="30"/>
          <w:szCs w:val="30"/>
          <w:spacing w:val="26"/>
        </w:rPr>
        <w:t>《中华人民共和国精神卫生法》第七十五条第(三)项</w:t>
      </w:r>
      <w:r>
        <w:rPr>
          <w:rFonts w:ascii="FangSong" w:hAnsi="FangSong" w:eastAsia="FangSong" w:cs="FangSong"/>
          <w:sz w:val="30"/>
          <w:szCs w:val="30"/>
          <w:spacing w:val="26"/>
        </w:rPr>
        <w:t xml:space="preserve">   </w:t>
      </w:r>
      <w:r>
        <w:rPr>
          <w:rFonts w:ascii="FangSong" w:hAnsi="FangSong" w:eastAsia="FangSong" w:cs="FangSong"/>
          <w:sz w:val="30"/>
          <w:szCs w:val="30"/>
          <w:spacing w:val="26"/>
        </w:rPr>
        <w:t>医疗机构及其工作人员有下列行为之</w:t>
      </w:r>
      <w:r>
        <w:rPr>
          <w:rFonts w:ascii="FangSong" w:hAnsi="FangSong" w:eastAsia="FangSong" w:cs="FangSong"/>
          <w:sz w:val="30"/>
          <w:szCs w:val="30"/>
          <w:spacing w:val="3"/>
        </w:rPr>
        <w:t xml:space="preserve"> </w:t>
      </w:r>
      <w:r>
        <w:rPr>
          <w:rFonts w:ascii="FangSong" w:hAnsi="FangSong" w:eastAsia="FangSong" w:cs="FangSong"/>
          <w:sz w:val="30"/>
          <w:szCs w:val="30"/>
          <w:spacing w:val="17"/>
        </w:rPr>
        <w:t>一的，由县级以上人民政府卫生行政部门责令改正，对</w:t>
      </w:r>
      <w:r>
        <w:rPr>
          <w:rFonts w:ascii="FangSong" w:hAnsi="FangSong" w:eastAsia="FangSong" w:cs="FangSong"/>
          <w:sz w:val="30"/>
          <w:szCs w:val="30"/>
          <w:spacing w:val="16"/>
        </w:rPr>
        <w:t>有关医务人员，暂停六个月以上一年以下执业</w:t>
      </w:r>
      <w:r>
        <w:rPr>
          <w:rFonts w:ascii="FangSong" w:hAnsi="FangSong" w:eastAsia="FangSong" w:cs="FangSong"/>
          <w:sz w:val="30"/>
          <w:szCs w:val="30"/>
        </w:rPr>
        <w:t xml:space="preserve"> </w:t>
      </w:r>
      <w:r>
        <w:rPr>
          <w:rFonts w:ascii="FangSong" w:hAnsi="FangSong" w:eastAsia="FangSong" w:cs="FangSong"/>
          <w:sz w:val="30"/>
          <w:szCs w:val="30"/>
          <w:spacing w:val="16"/>
        </w:rPr>
        <w:t>活动；情节严重的，并吊销有关医务人员的执业证书：</w:t>
      </w:r>
    </w:p>
    <w:p>
      <w:pPr>
        <w:ind w:left="785"/>
        <w:spacing w:before="10" w:line="220" w:lineRule="auto"/>
        <w:rPr>
          <w:rFonts w:ascii="FangSong" w:hAnsi="FangSong" w:eastAsia="FangSong" w:cs="FangSong"/>
          <w:sz w:val="30"/>
          <w:szCs w:val="30"/>
        </w:rPr>
      </w:pPr>
      <w:r>
        <w:rPr>
          <w:rFonts w:ascii="FangSong" w:hAnsi="FangSong" w:eastAsia="FangSong" w:cs="FangSong"/>
          <w:sz w:val="30"/>
          <w:szCs w:val="30"/>
          <w:spacing w:val="22"/>
        </w:rPr>
        <w:t>(三)违反本法规定对精神障碍患者实施外科手术或者实验性临床医疗的；</w:t>
      </w:r>
    </w:p>
    <w:p>
      <w:pPr>
        <w:ind w:left="6419"/>
        <w:spacing w:before="45"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94"/>
        <w:gridCol w:w="5416"/>
        <w:gridCol w:w="6975"/>
      </w:tblGrid>
      <w:tr>
        <w:trPr>
          <w:trHeight w:val="582" w:hRule="atLeast"/>
        </w:trPr>
        <w:tc>
          <w:tcPr>
            <w:tcW w:w="1594" w:type="dxa"/>
            <w:vAlign w:val="top"/>
          </w:tcPr>
          <w:p>
            <w:pPr>
              <w:pStyle w:val="TableText"/>
              <w:ind w:left="288"/>
              <w:spacing w:before="172" w:line="220" w:lineRule="auto"/>
              <w:rPr>
                <w:sz w:val="25"/>
                <w:szCs w:val="25"/>
              </w:rPr>
            </w:pPr>
            <w:r>
              <w:rPr>
                <w:sz w:val="25"/>
                <w:szCs w:val="25"/>
                <w:b/>
                <w:bCs/>
                <w:spacing w:val="-5"/>
              </w:rPr>
              <w:t>违法程度</w:t>
            </w:r>
          </w:p>
        </w:tc>
        <w:tc>
          <w:tcPr>
            <w:tcW w:w="5416" w:type="dxa"/>
            <w:vAlign w:val="top"/>
          </w:tcPr>
          <w:p>
            <w:pPr>
              <w:pStyle w:val="TableText"/>
              <w:ind w:left="2204"/>
              <w:spacing w:before="172" w:line="220" w:lineRule="auto"/>
              <w:rPr>
                <w:sz w:val="25"/>
                <w:szCs w:val="25"/>
              </w:rPr>
            </w:pPr>
            <w:r>
              <w:rPr>
                <w:sz w:val="25"/>
                <w:szCs w:val="25"/>
                <w:b/>
                <w:bCs/>
                <w:spacing w:val="-5"/>
              </w:rPr>
              <w:t>情节后果</w:t>
            </w:r>
          </w:p>
        </w:tc>
        <w:tc>
          <w:tcPr>
            <w:tcW w:w="6975" w:type="dxa"/>
            <w:vAlign w:val="top"/>
          </w:tcPr>
          <w:p>
            <w:pPr>
              <w:pStyle w:val="TableText"/>
              <w:ind w:left="2968"/>
              <w:spacing w:before="169" w:line="218" w:lineRule="auto"/>
              <w:rPr>
                <w:sz w:val="25"/>
                <w:szCs w:val="25"/>
              </w:rPr>
            </w:pPr>
            <w:r>
              <w:rPr>
                <w:sz w:val="25"/>
                <w:szCs w:val="25"/>
                <w:b/>
                <w:bCs/>
                <w:spacing w:val="-5"/>
              </w:rPr>
              <w:t>裁量幅度</w:t>
            </w:r>
          </w:p>
        </w:tc>
      </w:tr>
      <w:tr>
        <w:trPr>
          <w:trHeight w:val="876" w:hRule="atLeast"/>
        </w:trPr>
        <w:tc>
          <w:tcPr>
            <w:tcW w:w="1594" w:type="dxa"/>
            <w:vAlign w:val="top"/>
          </w:tcPr>
          <w:p>
            <w:pPr>
              <w:spacing w:line="288" w:lineRule="auto"/>
              <w:rPr>
                <w:rFonts w:ascii="Arial"/>
                <w:sz w:val="21"/>
              </w:rPr>
            </w:pPr>
            <w:r/>
          </w:p>
          <w:p>
            <w:pPr>
              <w:pStyle w:val="TableText"/>
              <w:ind w:left="538"/>
              <w:spacing w:before="81" w:line="221" w:lineRule="auto"/>
              <w:rPr>
                <w:sz w:val="25"/>
                <w:szCs w:val="25"/>
              </w:rPr>
            </w:pPr>
            <w:r>
              <w:rPr>
                <w:sz w:val="25"/>
                <w:szCs w:val="25"/>
                <w:b/>
                <w:bCs/>
                <w:spacing w:val="-10"/>
              </w:rPr>
              <w:t>一般</w:t>
            </w:r>
          </w:p>
        </w:tc>
        <w:tc>
          <w:tcPr>
            <w:tcW w:w="5416" w:type="dxa"/>
            <w:vAlign w:val="top"/>
          </w:tcPr>
          <w:p>
            <w:pPr>
              <w:pStyle w:val="TableText"/>
              <w:ind w:left="100" w:right="73" w:hanging="29"/>
              <w:spacing w:before="151" w:line="264" w:lineRule="auto"/>
              <w:rPr>
                <w:sz w:val="25"/>
                <w:szCs w:val="25"/>
              </w:rPr>
            </w:pPr>
            <w:r>
              <w:rPr>
                <w:sz w:val="25"/>
                <w:szCs w:val="25"/>
              </w:rPr>
              <w:t>违反本法规定对精神障碍患者实施外科手术或者</w:t>
            </w:r>
            <w:r>
              <w:rPr>
                <w:sz w:val="25"/>
                <w:szCs w:val="25"/>
                <w:spacing w:val="10"/>
              </w:rPr>
              <w:t xml:space="preserve"> </w:t>
            </w:r>
            <w:r>
              <w:rPr>
                <w:sz w:val="25"/>
                <w:szCs w:val="25"/>
                <w:spacing w:val="2"/>
              </w:rPr>
              <w:t>实验性临床医疗的</w:t>
            </w:r>
          </w:p>
        </w:tc>
        <w:tc>
          <w:tcPr>
            <w:tcW w:w="6975" w:type="dxa"/>
            <w:vAlign w:val="top"/>
          </w:tcPr>
          <w:p>
            <w:pPr>
              <w:pStyle w:val="TableText"/>
              <w:ind w:left="103" w:hanging="79"/>
              <w:spacing w:before="161" w:line="260" w:lineRule="auto"/>
              <w:rPr>
                <w:sz w:val="25"/>
                <w:szCs w:val="25"/>
              </w:rPr>
            </w:pPr>
            <w:r>
              <w:rPr>
                <w:sz w:val="25"/>
                <w:szCs w:val="25"/>
                <w:spacing w:val="-2"/>
              </w:rPr>
              <w:t>由县级以上人民政府卫生行政部门责令改正，对有关</w:t>
            </w:r>
            <w:r>
              <w:rPr>
                <w:sz w:val="25"/>
                <w:szCs w:val="25"/>
                <w:spacing w:val="-3"/>
              </w:rPr>
              <w:t>医务人员，</w:t>
            </w:r>
            <w:r>
              <w:rPr>
                <w:sz w:val="25"/>
                <w:szCs w:val="25"/>
              </w:rPr>
              <w:t xml:space="preserve"> </w:t>
            </w:r>
            <w:r>
              <w:rPr>
                <w:sz w:val="25"/>
                <w:szCs w:val="25"/>
                <w:spacing w:val="-1"/>
              </w:rPr>
              <w:t>暂停六个月以上一年以下执业活动</w:t>
            </w:r>
          </w:p>
        </w:tc>
      </w:tr>
      <w:tr>
        <w:trPr>
          <w:trHeight w:val="891" w:hRule="atLeast"/>
        </w:trPr>
        <w:tc>
          <w:tcPr>
            <w:tcW w:w="1594" w:type="dxa"/>
            <w:vAlign w:val="top"/>
          </w:tcPr>
          <w:p>
            <w:pPr>
              <w:spacing w:line="311" w:lineRule="auto"/>
              <w:rPr>
                <w:rFonts w:ascii="Arial"/>
                <w:sz w:val="21"/>
              </w:rPr>
            </w:pPr>
            <w:r/>
          </w:p>
          <w:p>
            <w:pPr>
              <w:pStyle w:val="TableText"/>
              <w:ind w:left="538"/>
              <w:spacing w:before="81" w:line="220" w:lineRule="auto"/>
              <w:rPr>
                <w:sz w:val="25"/>
                <w:szCs w:val="25"/>
              </w:rPr>
            </w:pPr>
            <w:r>
              <w:rPr>
                <w:sz w:val="25"/>
                <w:szCs w:val="25"/>
                <w:b/>
                <w:bCs/>
                <w:spacing w:val="-6"/>
              </w:rPr>
              <w:t>严重</w:t>
            </w:r>
          </w:p>
        </w:tc>
        <w:tc>
          <w:tcPr>
            <w:tcW w:w="5416" w:type="dxa"/>
            <w:vAlign w:val="top"/>
          </w:tcPr>
          <w:p>
            <w:pPr>
              <w:pStyle w:val="TableText"/>
              <w:ind w:left="100" w:right="73" w:hanging="29"/>
              <w:spacing w:before="155" w:line="268" w:lineRule="auto"/>
              <w:rPr>
                <w:sz w:val="25"/>
                <w:szCs w:val="25"/>
              </w:rPr>
            </w:pPr>
            <w:r>
              <w:rPr>
                <w:sz w:val="25"/>
                <w:szCs w:val="25"/>
              </w:rPr>
              <w:t>违反本法规定对精神障碍患者实施外科手术或者</w:t>
            </w:r>
            <w:r>
              <w:rPr>
                <w:sz w:val="25"/>
                <w:szCs w:val="25"/>
                <w:spacing w:val="10"/>
              </w:rPr>
              <w:t xml:space="preserve"> </w:t>
            </w:r>
            <w:r>
              <w:rPr>
                <w:sz w:val="25"/>
                <w:szCs w:val="25"/>
                <w:spacing w:val="1"/>
              </w:rPr>
              <w:t>实验性临床医疗，情节严重的</w:t>
            </w:r>
          </w:p>
        </w:tc>
        <w:tc>
          <w:tcPr>
            <w:tcW w:w="6975" w:type="dxa"/>
            <w:vAlign w:val="top"/>
          </w:tcPr>
          <w:p>
            <w:pPr>
              <w:pStyle w:val="TableText"/>
              <w:ind w:left="114" w:hanging="99"/>
              <w:spacing w:before="155" w:line="268" w:lineRule="auto"/>
              <w:rPr>
                <w:sz w:val="25"/>
                <w:szCs w:val="25"/>
              </w:rPr>
            </w:pPr>
            <w:r>
              <w:rPr>
                <w:sz w:val="25"/>
                <w:szCs w:val="25"/>
                <w:spacing w:val="-2"/>
              </w:rPr>
              <w:t>由县级以上人民政府卫生行政部门责令改正，吊销有关医务人员</w:t>
            </w:r>
            <w:r>
              <w:rPr>
                <w:sz w:val="25"/>
                <w:szCs w:val="25"/>
                <w:spacing w:val="4"/>
              </w:rPr>
              <w:t xml:space="preserve"> </w:t>
            </w:r>
            <w:r>
              <w:rPr>
                <w:sz w:val="25"/>
                <w:szCs w:val="25"/>
                <w:spacing w:val="2"/>
              </w:rPr>
              <w:t>的执业证书</w:t>
            </w:r>
          </w:p>
        </w:tc>
      </w:tr>
    </w:tbl>
    <w:p>
      <w:pPr>
        <w:pStyle w:val="BodyText"/>
        <w:spacing w:line="466" w:lineRule="auto"/>
        <w:rPr/>
      </w:pPr>
      <w:r/>
    </w:p>
    <w:p>
      <w:pPr>
        <w:ind w:left="9" w:right="35" w:firstLine="649"/>
        <w:spacing w:before="98" w:line="274" w:lineRule="auto"/>
        <w:rPr>
          <w:rFonts w:ascii="FangSong" w:hAnsi="FangSong" w:eastAsia="FangSong" w:cs="FangSong"/>
          <w:sz w:val="30"/>
          <w:szCs w:val="30"/>
        </w:rPr>
      </w:pPr>
      <w:r>
        <w:rPr>
          <w:rFonts w:ascii="FangSong" w:hAnsi="FangSong" w:eastAsia="FangSong" w:cs="FangSong"/>
          <w:sz w:val="30"/>
          <w:szCs w:val="30"/>
          <w:b/>
          <w:bCs/>
          <w:spacing w:val="21"/>
        </w:rPr>
        <w:t>第二百二十二条违反《中华人民共和国精神卫生法》规定，侵害精神障碍患者的通讯和会见探</w:t>
      </w:r>
      <w:r>
        <w:rPr>
          <w:rFonts w:ascii="FangSong" w:hAnsi="FangSong" w:eastAsia="FangSong" w:cs="FangSong"/>
          <w:sz w:val="30"/>
          <w:szCs w:val="30"/>
          <w:spacing w:val="8"/>
        </w:rPr>
        <w:t xml:space="preserve"> </w:t>
      </w:r>
      <w:r>
        <w:rPr>
          <w:rFonts w:ascii="FangSong" w:hAnsi="FangSong" w:eastAsia="FangSong" w:cs="FangSong"/>
          <w:sz w:val="30"/>
          <w:szCs w:val="30"/>
          <w:b/>
          <w:bCs/>
          <w:spacing w:val="11"/>
        </w:rPr>
        <w:t>访者等权利的</w:t>
      </w:r>
    </w:p>
    <w:p>
      <w:pPr>
        <w:pStyle w:val="BodyText"/>
        <w:spacing w:line="324" w:lineRule="auto"/>
        <w:rPr/>
      </w:pPr>
      <w:r/>
    </w:p>
    <w:p>
      <w:pPr>
        <w:pStyle w:val="BodyText"/>
        <w:spacing w:line="325" w:lineRule="auto"/>
        <w:rPr/>
      </w:pPr>
      <w:r/>
    </w:p>
    <w:p>
      <w:pPr>
        <w:ind w:left="6335"/>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7"/>
        </w:rPr>
        <w:t>—306—</w:t>
      </w:r>
    </w:p>
    <w:p>
      <w:pPr>
        <w:spacing w:line="188" w:lineRule="auto"/>
        <w:sectPr>
          <w:footerReference w:type="default" r:id="rId24"/>
          <w:pgSz w:w="16830" w:h="11900"/>
          <w:pgMar w:top="1011" w:right="1399" w:bottom="400" w:left="1434" w:header="0" w:footer="0" w:gutter="0"/>
        </w:sectPr>
        <w:rPr>
          <w:rFonts w:ascii="Times New Roman" w:hAnsi="Times New Roman" w:eastAsia="Times New Roman" w:cs="Times New Roman"/>
          <w:sz w:val="37"/>
          <w:szCs w:val="37"/>
        </w:rPr>
      </w:pPr>
    </w:p>
    <w:p>
      <w:pPr>
        <w:pStyle w:val="BodyText"/>
        <w:spacing w:line="268" w:lineRule="auto"/>
        <w:rPr/>
      </w:pPr>
      <w:r/>
    </w:p>
    <w:p>
      <w:pPr>
        <w:pStyle w:val="BodyText"/>
        <w:spacing w:line="268" w:lineRule="auto"/>
        <w:rPr/>
      </w:pPr>
      <w:r/>
    </w:p>
    <w:p>
      <w:pPr>
        <w:pStyle w:val="BodyText"/>
        <w:spacing w:line="269" w:lineRule="auto"/>
        <w:rPr/>
      </w:pPr>
      <w:r/>
    </w:p>
    <w:p>
      <w:pPr>
        <w:ind w:left="675"/>
        <w:spacing w:before="87" w:line="222" w:lineRule="auto"/>
        <w:rPr>
          <w:rFonts w:ascii="FangSong" w:hAnsi="FangSong" w:eastAsia="FangSong" w:cs="FangSong"/>
          <w:sz w:val="27"/>
          <w:szCs w:val="27"/>
        </w:rPr>
      </w:pPr>
      <w:bookmarkStart w:name="bookmark938" w:id="305"/>
      <w:bookmarkEnd w:id="305"/>
      <w:r>
        <w:rPr>
          <w:rFonts w:ascii="FangSong" w:hAnsi="FangSong" w:eastAsia="FangSong" w:cs="FangSong"/>
          <w:sz w:val="27"/>
          <w:szCs w:val="27"/>
          <w:spacing w:val="25"/>
        </w:rPr>
        <w:t>法律依据：</w:t>
      </w:r>
    </w:p>
    <w:p>
      <w:pPr>
        <w:ind w:left="25" w:right="104" w:firstLine="614"/>
        <w:spacing w:before="80" w:line="261" w:lineRule="auto"/>
        <w:jc w:val="both"/>
        <w:rPr>
          <w:rFonts w:ascii="FangSong" w:hAnsi="FangSong" w:eastAsia="FangSong" w:cs="FangSong"/>
          <w:sz w:val="31"/>
          <w:szCs w:val="31"/>
        </w:rPr>
      </w:pPr>
      <w:r>
        <w:rPr>
          <w:rFonts w:ascii="FangSong" w:hAnsi="FangSong" w:eastAsia="FangSong" w:cs="FangSong"/>
          <w:sz w:val="31"/>
          <w:szCs w:val="31"/>
          <w:spacing w:val="17"/>
        </w:rPr>
        <w:t>《中华人民共和国精神卫生法》第七十五条第(四)项</w:t>
      </w:r>
      <w:r>
        <w:rPr>
          <w:rFonts w:ascii="FangSong" w:hAnsi="FangSong" w:eastAsia="FangSong" w:cs="FangSong"/>
          <w:sz w:val="31"/>
          <w:szCs w:val="31"/>
          <w:spacing w:val="17"/>
        </w:rPr>
        <w:t xml:space="preserve">   </w:t>
      </w:r>
      <w:r>
        <w:rPr>
          <w:rFonts w:ascii="FangSong" w:hAnsi="FangSong" w:eastAsia="FangSong" w:cs="FangSong"/>
          <w:sz w:val="31"/>
          <w:szCs w:val="31"/>
          <w:spacing w:val="17"/>
        </w:rPr>
        <w:t>医疗机构及其工作人员有下列行为之</w:t>
      </w:r>
      <w:r>
        <w:rPr>
          <w:rFonts w:ascii="FangSong" w:hAnsi="FangSong" w:eastAsia="FangSong" w:cs="FangSong"/>
          <w:sz w:val="31"/>
          <w:szCs w:val="31"/>
          <w:spacing w:val="1"/>
        </w:rPr>
        <w:t xml:space="preserve"> </w:t>
      </w:r>
      <w:r>
        <w:rPr>
          <w:rFonts w:ascii="FangSong" w:hAnsi="FangSong" w:eastAsia="FangSong" w:cs="FangSong"/>
          <w:sz w:val="31"/>
          <w:szCs w:val="31"/>
          <w:spacing w:val="6"/>
        </w:rPr>
        <w:t>一的，由县级以上人民政府卫生行政部门责令改正，对有关医务人员，暂停六个月以上一年以下执业</w:t>
      </w:r>
      <w:r>
        <w:rPr>
          <w:rFonts w:ascii="FangSong" w:hAnsi="FangSong" w:eastAsia="FangSong" w:cs="FangSong"/>
          <w:sz w:val="31"/>
          <w:szCs w:val="31"/>
          <w:spacing w:val="15"/>
        </w:rPr>
        <w:t xml:space="preserve"> </w:t>
      </w:r>
      <w:r>
        <w:rPr>
          <w:rFonts w:ascii="FangSong" w:hAnsi="FangSong" w:eastAsia="FangSong" w:cs="FangSong"/>
          <w:sz w:val="31"/>
          <w:szCs w:val="31"/>
          <w:spacing w:val="5"/>
        </w:rPr>
        <w:t>活动；情节严重的，并吊销有关医务人员的执业证书：</w:t>
      </w:r>
    </w:p>
    <w:p>
      <w:pPr>
        <w:ind w:left="794"/>
        <w:spacing w:before="1" w:line="221" w:lineRule="auto"/>
        <w:rPr>
          <w:rFonts w:ascii="FangSong" w:hAnsi="FangSong" w:eastAsia="FangSong" w:cs="FangSong"/>
          <w:sz w:val="31"/>
          <w:szCs w:val="31"/>
        </w:rPr>
      </w:pPr>
      <w:r>
        <w:rPr>
          <w:rFonts w:ascii="FangSong" w:hAnsi="FangSong" w:eastAsia="FangSong" w:cs="FangSong"/>
          <w:sz w:val="31"/>
          <w:szCs w:val="31"/>
          <w:spacing w:val="13"/>
        </w:rPr>
        <w:t>(四)违反本法规定，侵害精神障碍患者的通讯和会见探访者等权利</w:t>
      </w:r>
      <w:r>
        <w:rPr>
          <w:rFonts w:ascii="FangSong" w:hAnsi="FangSong" w:eastAsia="FangSong" w:cs="FangSong"/>
          <w:sz w:val="31"/>
          <w:szCs w:val="31"/>
          <w:spacing w:val="12"/>
        </w:rPr>
        <w:t>的；</w:t>
      </w:r>
    </w:p>
    <w:p>
      <w:pPr>
        <w:ind w:left="6439"/>
        <w:spacing w:before="107"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40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24"/>
        <w:gridCol w:w="5746"/>
        <w:gridCol w:w="6670"/>
      </w:tblGrid>
      <w:tr>
        <w:trPr>
          <w:trHeight w:val="582" w:hRule="atLeast"/>
        </w:trPr>
        <w:tc>
          <w:tcPr>
            <w:tcW w:w="1624" w:type="dxa"/>
            <w:vAlign w:val="top"/>
          </w:tcPr>
          <w:p>
            <w:pPr>
              <w:pStyle w:val="TableText"/>
              <w:ind w:left="308"/>
              <w:spacing w:before="172" w:line="220" w:lineRule="auto"/>
              <w:rPr>
                <w:sz w:val="25"/>
                <w:szCs w:val="25"/>
              </w:rPr>
            </w:pPr>
            <w:r>
              <w:rPr>
                <w:sz w:val="25"/>
                <w:szCs w:val="25"/>
                <w:b/>
                <w:bCs/>
                <w:spacing w:val="-5"/>
              </w:rPr>
              <w:t>违法程度</w:t>
            </w:r>
          </w:p>
        </w:tc>
        <w:tc>
          <w:tcPr>
            <w:tcW w:w="5746" w:type="dxa"/>
            <w:vAlign w:val="top"/>
          </w:tcPr>
          <w:p>
            <w:pPr>
              <w:pStyle w:val="TableText"/>
              <w:ind w:left="2304"/>
              <w:spacing w:before="172" w:line="220" w:lineRule="auto"/>
              <w:rPr>
                <w:sz w:val="25"/>
                <w:szCs w:val="25"/>
              </w:rPr>
            </w:pPr>
            <w:r>
              <w:rPr>
                <w:sz w:val="25"/>
                <w:szCs w:val="25"/>
                <w:b/>
                <w:bCs/>
                <w:spacing w:val="-5"/>
              </w:rPr>
              <w:t>情节后果</w:t>
            </w:r>
          </w:p>
        </w:tc>
        <w:tc>
          <w:tcPr>
            <w:tcW w:w="6670" w:type="dxa"/>
            <w:vAlign w:val="top"/>
          </w:tcPr>
          <w:p>
            <w:pPr>
              <w:pStyle w:val="TableText"/>
              <w:ind w:left="2828"/>
              <w:spacing w:before="169" w:line="218" w:lineRule="auto"/>
              <w:rPr>
                <w:sz w:val="25"/>
                <w:szCs w:val="25"/>
              </w:rPr>
            </w:pPr>
            <w:r>
              <w:rPr>
                <w:sz w:val="25"/>
                <w:szCs w:val="25"/>
                <w:b/>
                <w:bCs/>
                <w:spacing w:val="-5"/>
              </w:rPr>
              <w:t>裁量幅度</w:t>
            </w:r>
          </w:p>
        </w:tc>
      </w:tr>
      <w:tr>
        <w:trPr>
          <w:trHeight w:val="886" w:hRule="atLeast"/>
        </w:trPr>
        <w:tc>
          <w:tcPr>
            <w:tcW w:w="1624" w:type="dxa"/>
            <w:vAlign w:val="top"/>
          </w:tcPr>
          <w:p>
            <w:pPr>
              <w:pStyle w:val="TableText"/>
              <w:ind w:left="558"/>
              <w:spacing w:before="321" w:line="221" w:lineRule="auto"/>
              <w:rPr>
                <w:sz w:val="25"/>
                <w:szCs w:val="25"/>
              </w:rPr>
            </w:pPr>
            <w:r>
              <w:rPr>
                <w:sz w:val="25"/>
                <w:szCs w:val="25"/>
                <w:b/>
                <w:bCs/>
                <w:spacing w:val="-10"/>
              </w:rPr>
              <w:t>一般</w:t>
            </w:r>
          </w:p>
        </w:tc>
        <w:tc>
          <w:tcPr>
            <w:tcW w:w="5746" w:type="dxa"/>
            <w:vAlign w:val="top"/>
          </w:tcPr>
          <w:p>
            <w:pPr>
              <w:pStyle w:val="TableText"/>
              <w:ind w:left="81"/>
              <w:spacing w:before="321" w:line="219" w:lineRule="auto"/>
              <w:rPr>
                <w:sz w:val="25"/>
                <w:szCs w:val="25"/>
              </w:rPr>
            </w:pPr>
            <w:r>
              <w:rPr>
                <w:sz w:val="25"/>
                <w:szCs w:val="25"/>
              </w:rPr>
              <w:t>侵害精神障碍患者的通讯或会见探访者等权利的</w:t>
            </w:r>
          </w:p>
        </w:tc>
        <w:tc>
          <w:tcPr>
            <w:tcW w:w="6670" w:type="dxa"/>
            <w:vAlign w:val="top"/>
          </w:tcPr>
          <w:p>
            <w:pPr>
              <w:pStyle w:val="TableText"/>
              <w:ind w:left="134" w:right="74" w:hanging="59"/>
              <w:spacing w:before="160" w:line="264" w:lineRule="auto"/>
              <w:rPr>
                <w:sz w:val="25"/>
                <w:szCs w:val="25"/>
              </w:rPr>
            </w:pPr>
            <w:r>
              <w:rPr>
                <w:sz w:val="25"/>
                <w:szCs w:val="25"/>
              </w:rPr>
              <w:t>由县级以上人民政府卫生行政部门责令改正，对有关医务人</w:t>
            </w:r>
            <w:r>
              <w:rPr>
                <w:sz w:val="25"/>
                <w:szCs w:val="25"/>
                <w:spacing w:val="9"/>
              </w:rPr>
              <w:t xml:space="preserve"> </w:t>
            </w:r>
            <w:r>
              <w:rPr>
                <w:sz w:val="25"/>
                <w:szCs w:val="25"/>
                <w:spacing w:val="1"/>
              </w:rPr>
              <w:t>员，暂停六个月以上一年以下执业活动</w:t>
            </w:r>
          </w:p>
        </w:tc>
      </w:tr>
      <w:tr>
        <w:trPr>
          <w:trHeight w:val="891" w:hRule="atLeast"/>
        </w:trPr>
        <w:tc>
          <w:tcPr>
            <w:tcW w:w="1624" w:type="dxa"/>
            <w:vAlign w:val="top"/>
          </w:tcPr>
          <w:p>
            <w:pPr>
              <w:spacing w:line="311" w:lineRule="auto"/>
              <w:rPr>
                <w:rFonts w:ascii="Arial"/>
                <w:sz w:val="21"/>
              </w:rPr>
            </w:pPr>
            <w:r/>
          </w:p>
          <w:p>
            <w:pPr>
              <w:pStyle w:val="TableText"/>
              <w:ind w:left="558"/>
              <w:spacing w:before="81" w:line="220" w:lineRule="auto"/>
              <w:rPr>
                <w:sz w:val="25"/>
                <w:szCs w:val="25"/>
              </w:rPr>
            </w:pPr>
            <w:r>
              <w:rPr>
                <w:sz w:val="25"/>
                <w:szCs w:val="25"/>
                <w:b/>
                <w:bCs/>
                <w:spacing w:val="-6"/>
              </w:rPr>
              <w:t>严重</w:t>
            </w:r>
          </w:p>
        </w:tc>
        <w:tc>
          <w:tcPr>
            <w:tcW w:w="5746" w:type="dxa"/>
            <w:vAlign w:val="top"/>
          </w:tcPr>
          <w:p>
            <w:pPr>
              <w:pStyle w:val="TableText"/>
              <w:ind w:left="81"/>
              <w:spacing w:before="166" w:line="264" w:lineRule="auto"/>
              <w:rPr>
                <w:sz w:val="25"/>
                <w:szCs w:val="25"/>
              </w:rPr>
            </w:pPr>
            <w:r>
              <w:rPr>
                <w:sz w:val="25"/>
                <w:szCs w:val="25"/>
                <w:spacing w:val="-5"/>
              </w:rPr>
              <w:t>侵害精神障碍患者的通讯和会见探访者等权利的，情</w:t>
            </w:r>
            <w:r>
              <w:rPr>
                <w:sz w:val="25"/>
                <w:szCs w:val="25"/>
                <w:spacing w:val="18"/>
              </w:rPr>
              <w:t xml:space="preserve"> </w:t>
            </w:r>
            <w:r>
              <w:rPr>
                <w:sz w:val="25"/>
                <w:szCs w:val="25"/>
                <w:spacing w:val="4"/>
              </w:rPr>
              <w:t>节严重的</w:t>
            </w:r>
          </w:p>
        </w:tc>
        <w:tc>
          <w:tcPr>
            <w:tcW w:w="6670" w:type="dxa"/>
            <w:vAlign w:val="top"/>
          </w:tcPr>
          <w:p>
            <w:pPr>
              <w:pStyle w:val="TableText"/>
              <w:ind w:left="144" w:hanging="129"/>
              <w:spacing w:before="166" w:line="264" w:lineRule="auto"/>
              <w:rPr>
                <w:sz w:val="25"/>
                <w:szCs w:val="25"/>
              </w:rPr>
            </w:pPr>
            <w:r>
              <w:rPr>
                <w:sz w:val="25"/>
                <w:szCs w:val="25"/>
                <w:spacing w:val="-4"/>
              </w:rPr>
              <w:t>由县级以上人民政府卫生行政部门责令改正，吊销有关医务人</w:t>
            </w:r>
            <w:r>
              <w:rPr>
                <w:sz w:val="25"/>
                <w:szCs w:val="25"/>
                <w:spacing w:val="1"/>
              </w:rPr>
              <w:t xml:space="preserve"> </w:t>
            </w:r>
            <w:r>
              <w:rPr>
                <w:sz w:val="25"/>
                <w:szCs w:val="25"/>
                <w:spacing w:val="3"/>
              </w:rPr>
              <w:t>员执业证书</w:t>
            </w:r>
          </w:p>
        </w:tc>
      </w:tr>
    </w:tbl>
    <w:p>
      <w:pPr>
        <w:pStyle w:val="BodyText"/>
        <w:spacing w:line="414" w:lineRule="auto"/>
        <w:rPr/>
      </w:pPr>
      <w:r/>
    </w:p>
    <w:p>
      <w:pPr>
        <w:ind w:left="679"/>
        <w:spacing w:before="100" w:line="220" w:lineRule="auto"/>
        <w:rPr>
          <w:rFonts w:ascii="FangSong" w:hAnsi="FangSong" w:eastAsia="FangSong" w:cs="FangSong"/>
          <w:sz w:val="31"/>
          <w:szCs w:val="31"/>
        </w:rPr>
      </w:pPr>
      <w:r>
        <w:rPr>
          <w:rFonts w:ascii="FangSong" w:hAnsi="FangSong" w:eastAsia="FangSong" w:cs="FangSong"/>
          <w:sz w:val="31"/>
          <w:szCs w:val="31"/>
          <w:b/>
          <w:bCs/>
          <w:spacing w:val="12"/>
        </w:rPr>
        <w:t>第二百二十三条违反精神障碍诊断标准，将非精神障碍患者诊</w:t>
      </w:r>
      <w:r>
        <w:rPr>
          <w:rFonts w:ascii="FangSong" w:hAnsi="FangSong" w:eastAsia="FangSong" w:cs="FangSong"/>
          <w:sz w:val="31"/>
          <w:szCs w:val="31"/>
          <w:b/>
          <w:bCs/>
          <w:spacing w:val="11"/>
        </w:rPr>
        <w:t>断为精神障碍患者的</w:t>
      </w:r>
    </w:p>
    <w:p>
      <w:pPr>
        <w:ind w:left="675"/>
        <w:spacing w:before="117"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25" w:right="104" w:firstLine="614"/>
        <w:spacing w:before="93" w:line="262" w:lineRule="auto"/>
        <w:jc w:val="both"/>
        <w:rPr>
          <w:rFonts w:ascii="FangSong" w:hAnsi="FangSong" w:eastAsia="FangSong" w:cs="FangSong"/>
          <w:sz w:val="31"/>
          <w:szCs w:val="31"/>
        </w:rPr>
      </w:pPr>
      <w:r>
        <w:rPr>
          <w:rFonts w:ascii="FangSong" w:hAnsi="FangSong" w:eastAsia="FangSong" w:cs="FangSong"/>
          <w:sz w:val="31"/>
          <w:szCs w:val="31"/>
          <w:spacing w:val="17"/>
        </w:rPr>
        <w:t>《中华人民共和国精神卫生法》第七十五条第(五)项</w:t>
      </w:r>
      <w:r>
        <w:rPr>
          <w:rFonts w:ascii="FangSong" w:hAnsi="FangSong" w:eastAsia="FangSong" w:cs="FangSong"/>
          <w:sz w:val="31"/>
          <w:szCs w:val="31"/>
          <w:spacing w:val="17"/>
        </w:rPr>
        <w:t xml:space="preserve">   </w:t>
      </w:r>
      <w:r>
        <w:rPr>
          <w:rFonts w:ascii="FangSong" w:hAnsi="FangSong" w:eastAsia="FangSong" w:cs="FangSong"/>
          <w:sz w:val="31"/>
          <w:szCs w:val="31"/>
          <w:spacing w:val="17"/>
        </w:rPr>
        <w:t>医疗机构及其工作人员有下列行为之</w:t>
      </w:r>
      <w:r>
        <w:rPr>
          <w:rFonts w:ascii="FangSong" w:hAnsi="FangSong" w:eastAsia="FangSong" w:cs="FangSong"/>
          <w:sz w:val="31"/>
          <w:szCs w:val="31"/>
          <w:spacing w:val="1"/>
        </w:rPr>
        <w:t xml:space="preserve"> </w:t>
      </w:r>
      <w:r>
        <w:rPr>
          <w:rFonts w:ascii="FangSong" w:hAnsi="FangSong" w:eastAsia="FangSong" w:cs="FangSong"/>
          <w:sz w:val="31"/>
          <w:szCs w:val="31"/>
          <w:spacing w:val="6"/>
        </w:rPr>
        <w:t>一的，由县级以上人民政府卫生行政部门责令改正，对有关医务人员，暂停六个月以上一年以下执业</w:t>
      </w:r>
      <w:r>
        <w:rPr>
          <w:rFonts w:ascii="FangSong" w:hAnsi="FangSong" w:eastAsia="FangSong" w:cs="FangSong"/>
          <w:sz w:val="31"/>
          <w:szCs w:val="31"/>
          <w:spacing w:val="15"/>
        </w:rPr>
        <w:t xml:space="preserve"> </w:t>
      </w:r>
      <w:r>
        <w:rPr>
          <w:rFonts w:ascii="FangSong" w:hAnsi="FangSong" w:eastAsia="FangSong" w:cs="FangSong"/>
          <w:sz w:val="31"/>
          <w:szCs w:val="31"/>
          <w:spacing w:val="5"/>
        </w:rPr>
        <w:t>活动；情节严重的，并吊销有关医务人员的执业证书：</w:t>
      </w:r>
    </w:p>
    <w:p>
      <w:pPr>
        <w:ind w:left="794"/>
        <w:spacing w:before="11" w:line="221" w:lineRule="auto"/>
        <w:rPr>
          <w:rFonts w:ascii="FangSong" w:hAnsi="FangSong" w:eastAsia="FangSong" w:cs="FangSong"/>
          <w:sz w:val="31"/>
          <w:szCs w:val="31"/>
        </w:rPr>
      </w:pPr>
      <w:r>
        <w:rPr>
          <w:rFonts w:ascii="FangSong" w:hAnsi="FangSong" w:eastAsia="FangSong" w:cs="FangSong"/>
          <w:sz w:val="31"/>
          <w:szCs w:val="31"/>
          <w:spacing w:val="13"/>
        </w:rPr>
        <w:t>(五)违反精神障碍诊断标准，将非精神障碍患者诊断为精神障碍患者的。</w:t>
      </w:r>
    </w:p>
    <w:p>
      <w:pPr>
        <w:spacing w:line="221" w:lineRule="auto"/>
        <w:sectPr>
          <w:footerReference w:type="default" r:id="rId283"/>
          <w:pgSz w:w="16830" w:h="11900"/>
          <w:pgMar w:top="1011" w:right="1364" w:bottom="1105" w:left="1414" w:header="0" w:footer="763" w:gutter="0"/>
        </w:sectPr>
        <w:rPr>
          <w:rFonts w:ascii="FangSong" w:hAnsi="FangSong" w:eastAsia="FangSong" w:cs="FangSong"/>
          <w:sz w:val="31"/>
          <w:szCs w:val="31"/>
        </w:rPr>
      </w:pPr>
    </w:p>
    <w:p>
      <w:pPr>
        <w:pStyle w:val="BodyText"/>
        <w:spacing w:line="259" w:lineRule="auto"/>
        <w:rPr/>
      </w:pPr>
      <w:r/>
    </w:p>
    <w:p>
      <w:pPr>
        <w:pStyle w:val="BodyText"/>
        <w:spacing w:line="259" w:lineRule="auto"/>
        <w:rPr/>
      </w:pPr>
      <w:r/>
    </w:p>
    <w:p>
      <w:pPr>
        <w:pStyle w:val="BodyText"/>
        <w:spacing w:line="260" w:lineRule="auto"/>
        <w:rPr/>
      </w:pPr>
      <w:r/>
    </w:p>
    <w:p>
      <w:pPr>
        <w:ind w:left="6419"/>
        <w:spacing w:before="94" w:line="214" w:lineRule="auto"/>
        <w:outlineLvl w:val="2"/>
        <w:rPr>
          <w:rFonts w:ascii="SimSun" w:hAnsi="SimSun" w:eastAsia="SimSun" w:cs="SimSun"/>
          <w:sz w:val="29"/>
          <w:szCs w:val="29"/>
        </w:rPr>
      </w:pPr>
      <w:bookmarkStart w:name="bookmark939" w:id="306"/>
      <w:bookmarkEnd w:id="306"/>
      <w:bookmarkStart w:name="bookmark229" w:id="307"/>
      <w:bookmarkEnd w:id="307"/>
      <w:r>
        <w:rPr>
          <w:rFonts w:ascii="SimSun" w:hAnsi="SimSun" w:eastAsia="SimSun" w:cs="SimSun"/>
          <w:sz w:val="29"/>
          <w:szCs w:val="29"/>
          <w:b/>
          <w:bCs/>
          <w:spacing w:val="-6"/>
        </w:rPr>
        <w:t>裁量标准</w:t>
      </w:r>
    </w:p>
    <w:tbl>
      <w:tblPr>
        <w:tblStyle w:val="TableNormal"/>
        <w:tblW w:w="139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33"/>
        <w:gridCol w:w="5246"/>
        <w:gridCol w:w="6830"/>
      </w:tblGrid>
      <w:tr>
        <w:trPr>
          <w:trHeight w:val="553" w:hRule="atLeast"/>
        </w:trPr>
        <w:tc>
          <w:tcPr>
            <w:tcW w:w="1833" w:type="dxa"/>
            <w:vAlign w:val="top"/>
          </w:tcPr>
          <w:p>
            <w:pPr>
              <w:pStyle w:val="TableText"/>
              <w:ind w:left="428"/>
              <w:spacing w:before="162" w:line="220" w:lineRule="auto"/>
              <w:rPr/>
            </w:pPr>
            <w:r>
              <w:rPr>
                <w:b/>
                <w:bCs/>
                <w:spacing w:val="-5"/>
              </w:rPr>
              <w:t>违法程度</w:t>
            </w:r>
          </w:p>
        </w:tc>
        <w:tc>
          <w:tcPr>
            <w:tcW w:w="5246" w:type="dxa"/>
            <w:vAlign w:val="top"/>
          </w:tcPr>
          <w:p>
            <w:pPr>
              <w:pStyle w:val="TableText"/>
              <w:ind w:left="2135"/>
              <w:spacing w:before="162" w:line="220" w:lineRule="auto"/>
              <w:rPr/>
            </w:pPr>
            <w:r>
              <w:rPr>
                <w:b/>
                <w:bCs/>
                <w:spacing w:val="-5"/>
              </w:rPr>
              <w:t>情节后果</w:t>
            </w:r>
          </w:p>
        </w:tc>
        <w:tc>
          <w:tcPr>
            <w:tcW w:w="6830" w:type="dxa"/>
            <w:vAlign w:val="top"/>
          </w:tcPr>
          <w:p>
            <w:pPr>
              <w:pStyle w:val="TableText"/>
              <w:ind w:left="2929"/>
              <w:spacing w:before="159" w:line="218" w:lineRule="auto"/>
              <w:rPr/>
            </w:pPr>
            <w:r>
              <w:rPr>
                <w:b/>
                <w:bCs/>
                <w:spacing w:val="-5"/>
              </w:rPr>
              <w:t>裁量幅度</w:t>
            </w:r>
          </w:p>
        </w:tc>
      </w:tr>
      <w:tr>
        <w:trPr>
          <w:trHeight w:val="856" w:hRule="atLeast"/>
        </w:trPr>
        <w:tc>
          <w:tcPr>
            <w:tcW w:w="1833" w:type="dxa"/>
            <w:vAlign w:val="top"/>
          </w:tcPr>
          <w:p>
            <w:pPr>
              <w:pStyle w:val="TableText"/>
              <w:ind w:left="668"/>
              <w:spacing w:before="308" w:line="219" w:lineRule="auto"/>
              <w:rPr/>
            </w:pPr>
            <w:r>
              <w:rPr>
                <w:b/>
                <w:bCs/>
                <w:spacing w:val="-5"/>
              </w:rPr>
              <w:t>较轻</w:t>
            </w:r>
          </w:p>
        </w:tc>
        <w:tc>
          <w:tcPr>
            <w:tcW w:w="5246" w:type="dxa"/>
            <w:vAlign w:val="top"/>
          </w:tcPr>
          <w:p>
            <w:pPr>
              <w:pStyle w:val="TableText"/>
              <w:ind w:left="112" w:right="113" w:hanging="20"/>
              <w:spacing w:before="151" w:line="267" w:lineRule="auto"/>
              <w:rPr/>
            </w:pPr>
            <w:r>
              <w:rPr>
                <w:spacing w:val="-1"/>
              </w:rPr>
              <w:t>违反精神障碍诊断标准，将非精神障碍患者诊断</w:t>
            </w:r>
            <w:r>
              <w:rPr>
                <w:spacing w:val="10"/>
              </w:rPr>
              <w:t xml:space="preserve"> </w:t>
            </w:r>
            <w:r>
              <w:rPr>
                <w:spacing w:val="2"/>
              </w:rPr>
              <w:t>为精神障碍患者的</w:t>
            </w:r>
          </w:p>
        </w:tc>
        <w:tc>
          <w:tcPr>
            <w:tcW w:w="6830" w:type="dxa"/>
            <w:vAlign w:val="top"/>
          </w:tcPr>
          <w:p>
            <w:pPr>
              <w:pStyle w:val="TableText"/>
              <w:ind w:left="125" w:hanging="20"/>
              <w:spacing w:before="141" w:line="271" w:lineRule="auto"/>
              <w:rPr/>
            </w:pPr>
            <w:r>
              <w:rPr/>
              <w:t>由县级以上人民政府卫生行政部门责令改正；对</w:t>
            </w:r>
            <w:r>
              <w:rPr>
                <w:spacing w:val="-1"/>
              </w:rPr>
              <w:t>有关医务人员，</w:t>
            </w:r>
            <w:r>
              <w:rPr/>
              <w:t xml:space="preserve"> </w:t>
            </w:r>
            <w:r>
              <w:rPr/>
              <w:t>暂停六个月以上一年以下执业活动</w:t>
            </w:r>
          </w:p>
        </w:tc>
      </w:tr>
      <w:tr>
        <w:trPr>
          <w:trHeight w:val="881" w:hRule="atLeast"/>
        </w:trPr>
        <w:tc>
          <w:tcPr>
            <w:tcW w:w="1833" w:type="dxa"/>
            <w:vAlign w:val="top"/>
          </w:tcPr>
          <w:p>
            <w:pPr>
              <w:spacing w:line="303" w:lineRule="auto"/>
              <w:rPr>
                <w:rFonts w:ascii="Arial"/>
                <w:sz w:val="21"/>
              </w:rPr>
            </w:pPr>
            <w:r/>
          </w:p>
          <w:p>
            <w:pPr>
              <w:pStyle w:val="TableText"/>
              <w:ind w:left="668"/>
              <w:spacing w:before="78" w:line="221" w:lineRule="auto"/>
              <w:rPr/>
            </w:pPr>
            <w:r>
              <w:rPr>
                <w:b/>
                <w:bCs/>
                <w:spacing w:val="-10"/>
              </w:rPr>
              <w:t>一般</w:t>
            </w:r>
          </w:p>
        </w:tc>
        <w:tc>
          <w:tcPr>
            <w:tcW w:w="5246" w:type="dxa"/>
            <w:vAlign w:val="top"/>
          </w:tcPr>
          <w:p>
            <w:pPr>
              <w:pStyle w:val="TableText"/>
              <w:ind w:left="101" w:right="113" w:hanging="9"/>
              <w:spacing w:before="174" w:line="268" w:lineRule="auto"/>
              <w:rPr/>
            </w:pPr>
            <w:r>
              <w:rPr>
                <w:spacing w:val="-1"/>
              </w:rPr>
              <w:t>违反精神障碍诊断标准，将非精神障碍患者诊断</w:t>
            </w:r>
            <w:r>
              <w:rPr>
                <w:spacing w:val="10"/>
              </w:rPr>
              <w:t xml:space="preserve"> </w:t>
            </w:r>
            <w:r>
              <w:rPr>
                <w:spacing w:val="1"/>
              </w:rPr>
              <w:t>为精神障碍患者，情节严重的</w:t>
            </w:r>
          </w:p>
        </w:tc>
        <w:tc>
          <w:tcPr>
            <w:tcW w:w="6830" w:type="dxa"/>
            <w:vAlign w:val="top"/>
          </w:tcPr>
          <w:p>
            <w:pPr>
              <w:pStyle w:val="TableText"/>
              <w:ind w:left="116" w:right="21" w:hanging="70"/>
              <w:spacing w:before="163" w:line="272" w:lineRule="auto"/>
              <w:rPr/>
            </w:pPr>
            <w:r>
              <w:rPr>
                <w:spacing w:val="1"/>
              </w:rPr>
              <w:t>由县级以上人民政府卫生行政部门责令改正，吊销有关医务人员</w:t>
            </w:r>
            <w:r>
              <w:rPr>
                <w:spacing w:val="3"/>
              </w:rPr>
              <w:t xml:space="preserve"> </w:t>
            </w:r>
            <w:r>
              <w:rPr>
                <w:spacing w:val="3"/>
              </w:rPr>
              <w:t>执业证书</w:t>
            </w:r>
          </w:p>
        </w:tc>
      </w:tr>
    </w:tbl>
    <w:p>
      <w:pPr>
        <w:pStyle w:val="BodyText"/>
        <w:spacing w:line="466" w:lineRule="auto"/>
        <w:rPr/>
      </w:pPr>
      <w:r/>
    </w:p>
    <w:p>
      <w:pPr>
        <w:ind w:left="65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第二百二十四条心理咨询人员从事心理治疗或者精神障碍的诊断、治疗的</w:t>
      </w:r>
    </w:p>
    <w:p>
      <w:pPr>
        <w:ind w:left="634"/>
        <w:spacing w:before="110" w:line="222" w:lineRule="auto"/>
        <w:rPr>
          <w:rFonts w:ascii="FangSong" w:hAnsi="FangSong" w:eastAsia="FangSong" w:cs="FangSong"/>
          <w:sz w:val="30"/>
          <w:szCs w:val="30"/>
        </w:rPr>
      </w:pPr>
      <w:r>
        <w:rPr>
          <w:rFonts w:ascii="FangSong" w:hAnsi="FangSong" w:eastAsia="FangSong" w:cs="FangSong"/>
          <w:sz w:val="30"/>
          <w:szCs w:val="30"/>
          <w:spacing w:val="6"/>
        </w:rPr>
        <w:t>法律依据：</w:t>
      </w:r>
    </w:p>
    <w:p>
      <w:pPr>
        <w:ind w:left="15" w:firstLine="629"/>
        <w:spacing w:before="54" w:line="271" w:lineRule="auto"/>
        <w:jc w:val="both"/>
        <w:rPr>
          <w:rFonts w:ascii="FangSong" w:hAnsi="FangSong" w:eastAsia="FangSong" w:cs="FangSong"/>
          <w:sz w:val="30"/>
          <w:szCs w:val="30"/>
        </w:rPr>
      </w:pPr>
      <w:r>
        <w:rPr>
          <w:rFonts w:ascii="FangSong" w:hAnsi="FangSong" w:eastAsia="FangSong" w:cs="FangSong"/>
          <w:sz w:val="30"/>
          <w:szCs w:val="30"/>
          <w:spacing w:val="27"/>
        </w:rPr>
        <w:t>《中华人民共和国精神卫生法》第七十六条第一款第(一)项</w:t>
      </w:r>
      <w:r>
        <w:rPr>
          <w:rFonts w:ascii="FangSong" w:hAnsi="FangSong" w:eastAsia="FangSong" w:cs="FangSong"/>
          <w:sz w:val="30"/>
          <w:szCs w:val="30"/>
          <w:spacing w:val="27"/>
        </w:rPr>
        <w:t xml:space="preserve">   </w:t>
      </w:r>
      <w:r>
        <w:rPr>
          <w:rFonts w:ascii="FangSong" w:hAnsi="FangSong" w:eastAsia="FangSong" w:cs="FangSong"/>
          <w:sz w:val="30"/>
          <w:szCs w:val="30"/>
          <w:spacing w:val="27"/>
        </w:rPr>
        <w:t>有下列情形之一的，由县级以</w:t>
      </w:r>
      <w:r>
        <w:rPr>
          <w:rFonts w:ascii="FangSong" w:hAnsi="FangSong" w:eastAsia="FangSong" w:cs="FangSong"/>
          <w:sz w:val="30"/>
          <w:szCs w:val="30"/>
          <w:spacing w:val="3"/>
        </w:rPr>
        <w:t xml:space="preserve"> </w:t>
      </w:r>
      <w:r>
        <w:rPr>
          <w:rFonts w:ascii="FangSong" w:hAnsi="FangSong" w:eastAsia="FangSong" w:cs="FangSong"/>
          <w:sz w:val="30"/>
          <w:szCs w:val="30"/>
          <w:spacing w:val="17"/>
        </w:rPr>
        <w:t>上人民政府卫生行政部门、工商行政管理部门依据各自职责责令改</w:t>
      </w:r>
      <w:r>
        <w:rPr>
          <w:rFonts w:ascii="FangSong" w:hAnsi="FangSong" w:eastAsia="FangSong" w:cs="FangSong"/>
          <w:sz w:val="30"/>
          <w:szCs w:val="30"/>
          <w:spacing w:val="16"/>
        </w:rPr>
        <w:t>正，给予警告，并处五千元以上一</w:t>
      </w:r>
      <w:r>
        <w:rPr>
          <w:rFonts w:ascii="FangSong" w:hAnsi="FangSong" w:eastAsia="FangSong" w:cs="FangSong"/>
          <w:sz w:val="30"/>
          <w:szCs w:val="30"/>
        </w:rPr>
        <w:t xml:space="preserve"> </w:t>
      </w:r>
      <w:r>
        <w:rPr>
          <w:rFonts w:ascii="FangSong" w:hAnsi="FangSong" w:eastAsia="FangSong" w:cs="FangSong"/>
          <w:sz w:val="30"/>
          <w:szCs w:val="30"/>
          <w:spacing w:val="17"/>
        </w:rPr>
        <w:t>万元以下罚款，有违法所得的，没收违法所得；造成严</w:t>
      </w:r>
      <w:r>
        <w:rPr>
          <w:rFonts w:ascii="FangSong" w:hAnsi="FangSong" w:eastAsia="FangSong" w:cs="FangSong"/>
          <w:sz w:val="30"/>
          <w:szCs w:val="30"/>
          <w:spacing w:val="16"/>
        </w:rPr>
        <w:t>重后果的，责令暂停六个月以上一年以下执业</w:t>
      </w:r>
      <w:r>
        <w:rPr>
          <w:rFonts w:ascii="FangSong" w:hAnsi="FangSong" w:eastAsia="FangSong" w:cs="FangSong"/>
          <w:sz w:val="30"/>
          <w:szCs w:val="30"/>
        </w:rPr>
        <w:t xml:space="preserve"> </w:t>
      </w:r>
      <w:r>
        <w:rPr>
          <w:rFonts w:ascii="FangSong" w:hAnsi="FangSong" w:eastAsia="FangSong" w:cs="FangSong"/>
          <w:sz w:val="30"/>
          <w:szCs w:val="30"/>
          <w:spacing w:val="15"/>
        </w:rPr>
        <w:t>活动，直至吊销执业证书或者营业执照：</w:t>
      </w:r>
    </w:p>
    <w:p>
      <w:pPr>
        <w:ind w:left="785"/>
        <w:spacing w:before="1" w:line="220" w:lineRule="auto"/>
        <w:rPr>
          <w:rFonts w:ascii="FangSong" w:hAnsi="FangSong" w:eastAsia="FangSong" w:cs="FangSong"/>
          <w:sz w:val="30"/>
          <w:szCs w:val="30"/>
        </w:rPr>
      </w:pPr>
      <w:r>
        <w:rPr>
          <w:rFonts w:ascii="FangSong" w:hAnsi="FangSong" w:eastAsia="FangSong" w:cs="FangSong"/>
          <w:sz w:val="30"/>
          <w:szCs w:val="30"/>
          <w:spacing w:val="23"/>
        </w:rPr>
        <w:t>(一)心理咨询人员从事心理治疗或者精神障碍</w:t>
      </w:r>
      <w:r>
        <w:rPr>
          <w:rFonts w:ascii="FangSong" w:hAnsi="FangSong" w:eastAsia="FangSong" w:cs="FangSong"/>
          <w:sz w:val="30"/>
          <w:szCs w:val="30"/>
          <w:spacing w:val="22"/>
        </w:rPr>
        <w:t>的诊断、治疗的；</w:t>
      </w:r>
    </w:p>
    <w:p>
      <w:pPr>
        <w:ind w:left="6419"/>
        <w:spacing w:before="7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9" w:lineRule="auto"/>
        <w:rPr>
          <w:rFonts w:ascii="Arial"/>
          <w:sz w:val="2"/>
        </w:rPr>
      </w:pPr>
      <w:r>
        <w:rPr>
          <w:rFonts w:ascii="Arial"/>
          <w:sz w:val="2"/>
        </w:rPr>
      </w:r>
    </w:p>
    <w:tbl>
      <w:tblPr>
        <w:tblStyle w:val="TableNormal"/>
        <w:tblW w:w="13893"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7215"/>
        <w:gridCol w:w="5264"/>
      </w:tblGrid>
      <w:tr>
        <w:trPr>
          <w:trHeight w:val="521" w:hRule="atLeast"/>
        </w:trPr>
        <w:tc>
          <w:tcPr>
            <w:tcW w:w="1414" w:type="dxa"/>
            <w:vAlign w:val="top"/>
          </w:tcPr>
          <w:p>
            <w:pPr>
              <w:pStyle w:val="TableText"/>
              <w:ind w:left="178"/>
              <w:spacing w:before="132" w:line="220" w:lineRule="auto"/>
              <w:rPr>
                <w:sz w:val="26"/>
                <w:szCs w:val="26"/>
              </w:rPr>
            </w:pPr>
            <w:r>
              <w:rPr>
                <w:sz w:val="26"/>
                <w:szCs w:val="26"/>
                <w:b/>
                <w:bCs/>
                <w:spacing w:val="-5"/>
              </w:rPr>
              <w:t>违法程度</w:t>
            </w:r>
          </w:p>
        </w:tc>
        <w:tc>
          <w:tcPr>
            <w:tcW w:w="7215" w:type="dxa"/>
            <w:vAlign w:val="top"/>
          </w:tcPr>
          <w:p>
            <w:pPr>
              <w:pStyle w:val="TableText"/>
              <w:ind w:left="3034"/>
              <w:spacing w:before="132" w:line="220" w:lineRule="auto"/>
              <w:rPr>
                <w:sz w:val="26"/>
                <w:szCs w:val="26"/>
              </w:rPr>
            </w:pPr>
            <w:r>
              <w:rPr>
                <w:sz w:val="26"/>
                <w:szCs w:val="26"/>
                <w:b/>
                <w:bCs/>
                <w:spacing w:val="-5"/>
              </w:rPr>
              <w:t>情节后果</w:t>
            </w:r>
          </w:p>
        </w:tc>
        <w:tc>
          <w:tcPr>
            <w:tcW w:w="5264" w:type="dxa"/>
            <w:vAlign w:val="top"/>
          </w:tcPr>
          <w:p>
            <w:pPr>
              <w:pStyle w:val="TableText"/>
              <w:ind w:left="2069"/>
              <w:spacing w:before="129" w:line="218" w:lineRule="auto"/>
              <w:rPr>
                <w:sz w:val="26"/>
                <w:szCs w:val="26"/>
              </w:rPr>
            </w:pPr>
            <w:r>
              <w:rPr>
                <w:sz w:val="26"/>
                <w:szCs w:val="26"/>
                <w:b/>
                <w:bCs/>
                <w:spacing w:val="-5"/>
              </w:rPr>
              <w:t>裁量幅度</w:t>
            </w:r>
          </w:p>
        </w:tc>
      </w:tr>
      <w:tr>
        <w:trPr>
          <w:trHeight w:val="889" w:hRule="atLeast"/>
        </w:trPr>
        <w:tc>
          <w:tcPr>
            <w:tcW w:w="1414" w:type="dxa"/>
            <w:vAlign w:val="top"/>
          </w:tcPr>
          <w:p>
            <w:pPr>
              <w:spacing w:line="296" w:lineRule="auto"/>
              <w:rPr>
                <w:rFonts w:ascii="Arial"/>
                <w:sz w:val="21"/>
              </w:rPr>
            </w:pPr>
            <w:r/>
          </w:p>
          <w:p>
            <w:pPr>
              <w:pStyle w:val="TableText"/>
              <w:ind w:left="438"/>
              <w:spacing w:before="84" w:line="221" w:lineRule="auto"/>
              <w:rPr>
                <w:sz w:val="26"/>
                <w:szCs w:val="26"/>
              </w:rPr>
            </w:pPr>
            <w:r>
              <w:rPr>
                <w:sz w:val="26"/>
                <w:szCs w:val="26"/>
                <w:b/>
                <w:bCs/>
                <w:spacing w:val="-10"/>
              </w:rPr>
              <w:t>一般</w:t>
            </w:r>
          </w:p>
        </w:tc>
        <w:tc>
          <w:tcPr>
            <w:tcW w:w="7215" w:type="dxa"/>
            <w:vAlign w:val="top"/>
          </w:tcPr>
          <w:p>
            <w:pPr>
              <w:spacing w:line="302" w:lineRule="auto"/>
              <w:rPr>
                <w:rFonts w:ascii="Arial"/>
                <w:sz w:val="21"/>
              </w:rPr>
            </w:pPr>
            <w:r/>
          </w:p>
          <w:p>
            <w:pPr>
              <w:pStyle w:val="TableText"/>
              <w:ind w:left="94"/>
              <w:spacing w:before="85" w:line="219" w:lineRule="auto"/>
              <w:rPr>
                <w:sz w:val="26"/>
                <w:szCs w:val="26"/>
              </w:rPr>
            </w:pPr>
            <w:r>
              <w:rPr>
                <w:sz w:val="26"/>
                <w:szCs w:val="26"/>
                <w:b/>
                <w:bCs/>
                <w:spacing w:val="-3"/>
              </w:rPr>
              <w:t>心理咨询人员从事心理治疗或者精神障碍的诊断、治疗的</w:t>
            </w:r>
          </w:p>
        </w:tc>
        <w:tc>
          <w:tcPr>
            <w:tcW w:w="5264" w:type="dxa"/>
            <w:vAlign w:val="top"/>
          </w:tcPr>
          <w:p>
            <w:pPr>
              <w:pStyle w:val="TableText"/>
              <w:ind w:left="139" w:firstLine="19"/>
              <w:spacing w:before="188" w:line="245" w:lineRule="auto"/>
              <w:rPr>
                <w:sz w:val="26"/>
                <w:szCs w:val="26"/>
              </w:rPr>
            </w:pPr>
            <w:r>
              <w:rPr>
                <w:sz w:val="26"/>
                <w:szCs w:val="26"/>
                <w:b/>
                <w:bCs/>
                <w:spacing w:val="-21"/>
              </w:rPr>
              <w:t>责令改正，给予警告，并处五千元以上一万元以</w:t>
            </w:r>
            <w:r>
              <w:rPr>
                <w:sz w:val="26"/>
                <w:szCs w:val="26"/>
                <w:spacing w:val="17"/>
              </w:rPr>
              <w:t xml:space="preserve"> </w:t>
            </w:r>
            <w:r>
              <w:rPr>
                <w:sz w:val="26"/>
                <w:szCs w:val="26"/>
                <w:b/>
                <w:bCs/>
                <w:spacing w:val="-3"/>
              </w:rPr>
              <w:t>下罚款，没收违法所得</w:t>
            </w:r>
          </w:p>
        </w:tc>
      </w:tr>
    </w:tbl>
    <w:p>
      <w:pPr>
        <w:pStyle w:val="BodyText"/>
        <w:rPr/>
      </w:pPr>
      <w:r/>
    </w:p>
    <w:p>
      <w:pPr>
        <w:sectPr>
          <w:footerReference w:type="default" r:id="rId284"/>
          <w:pgSz w:w="16830" w:h="11900"/>
          <w:pgMar w:top="1011" w:right="1434" w:bottom="1114" w:left="1434" w:header="0" w:footer="772" w:gutter="0"/>
        </w:sectPr>
        <w:rPr/>
      </w:pPr>
    </w:p>
    <w:p>
      <w:pPr>
        <w:spacing w:before="17"/>
        <w:rPr/>
      </w:pPr>
      <w:r/>
    </w:p>
    <w:p>
      <w:pPr>
        <w:spacing w:before="16"/>
        <w:rPr/>
      </w:pPr>
      <w:r/>
    </w:p>
    <w:p>
      <w:pPr>
        <w:spacing w:before="16"/>
        <w:rPr/>
      </w:pPr>
      <w:r/>
    </w:p>
    <w:tbl>
      <w:tblPr>
        <w:tblStyle w:val="TableNormal"/>
        <w:tblW w:w="138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7234"/>
        <w:gridCol w:w="5261"/>
      </w:tblGrid>
      <w:tr>
        <w:trPr>
          <w:trHeight w:val="2208" w:hRule="atLeast"/>
        </w:trPr>
        <w:tc>
          <w:tcPr>
            <w:tcW w:w="1404" w:type="dxa"/>
            <w:vAlign w:val="top"/>
          </w:tcPr>
          <w:p>
            <w:pPr>
              <w:spacing w:line="298" w:lineRule="auto"/>
              <w:rPr>
                <w:rFonts w:ascii="Arial"/>
                <w:sz w:val="21"/>
              </w:rPr>
            </w:pPr>
            <w:r/>
          </w:p>
          <w:p>
            <w:pPr>
              <w:spacing w:line="298" w:lineRule="auto"/>
              <w:rPr>
                <w:rFonts w:ascii="Arial"/>
                <w:sz w:val="21"/>
              </w:rPr>
            </w:pPr>
            <w:r/>
          </w:p>
          <w:p>
            <w:pPr>
              <w:spacing w:line="299" w:lineRule="auto"/>
              <w:rPr>
                <w:rFonts w:ascii="Arial"/>
                <w:sz w:val="21"/>
              </w:rPr>
            </w:pPr>
            <w:r/>
          </w:p>
          <w:p>
            <w:pPr>
              <w:pStyle w:val="TableText"/>
              <w:ind w:left="448"/>
              <w:spacing w:before="81" w:line="220" w:lineRule="auto"/>
              <w:rPr>
                <w:sz w:val="25"/>
                <w:szCs w:val="25"/>
              </w:rPr>
            </w:pPr>
            <w:bookmarkStart w:name="bookmark940" w:id="308"/>
            <w:bookmarkEnd w:id="308"/>
            <w:r>
              <w:rPr>
                <w:sz w:val="25"/>
                <w:szCs w:val="25"/>
                <w:b/>
                <w:bCs/>
                <w:spacing w:val="-6"/>
              </w:rPr>
              <w:t>严重</w:t>
            </w:r>
          </w:p>
        </w:tc>
        <w:tc>
          <w:tcPr>
            <w:tcW w:w="7234" w:type="dxa"/>
            <w:vAlign w:val="top"/>
          </w:tcPr>
          <w:p>
            <w:pPr>
              <w:pStyle w:val="TableText"/>
              <w:ind w:left="100"/>
              <w:spacing w:before="143" w:line="329" w:lineRule="auto"/>
              <w:rPr>
                <w:sz w:val="25"/>
                <w:szCs w:val="25"/>
              </w:rPr>
            </w:pPr>
            <w:r>
              <w:rPr>
                <w:sz w:val="25"/>
                <w:szCs w:val="25"/>
                <w:spacing w:val="-5"/>
              </w:rPr>
              <w:t>心理咨询人员从事心理治疗或者精神障碍的诊断、治疗，有下列情</w:t>
            </w:r>
            <w:r>
              <w:rPr>
                <w:sz w:val="25"/>
                <w:szCs w:val="25"/>
                <w:spacing w:val="17"/>
              </w:rPr>
              <w:t xml:space="preserve"> </w:t>
            </w:r>
            <w:r>
              <w:rPr>
                <w:sz w:val="25"/>
                <w:szCs w:val="25"/>
                <w:spacing w:val="15"/>
              </w:rPr>
              <w:t>形之一：</w:t>
            </w:r>
          </w:p>
          <w:p>
            <w:pPr>
              <w:pStyle w:val="TableText"/>
              <w:ind w:left="100"/>
              <w:spacing w:line="219" w:lineRule="auto"/>
              <w:rPr>
                <w:sz w:val="25"/>
                <w:szCs w:val="25"/>
              </w:rPr>
            </w:pPr>
            <w:r>
              <w:rPr>
                <w:sz w:val="25"/>
                <w:szCs w:val="25"/>
              </w:rPr>
              <w:t>A.违法所得在5000元以上、未造成危害后果的</w:t>
            </w:r>
          </w:p>
          <w:p>
            <w:pPr>
              <w:pStyle w:val="TableText"/>
              <w:ind w:left="100"/>
              <w:spacing w:before="154" w:line="220" w:lineRule="auto"/>
              <w:rPr>
                <w:sz w:val="25"/>
                <w:szCs w:val="25"/>
              </w:rPr>
            </w:pPr>
            <w:r>
              <w:rPr>
                <w:sz w:val="25"/>
                <w:szCs w:val="25"/>
                <w:spacing w:val="1"/>
              </w:rPr>
              <w:t>B.造成患者延误治疗、病情加重的</w:t>
            </w:r>
          </w:p>
          <w:p>
            <w:pPr>
              <w:pStyle w:val="TableText"/>
              <w:ind w:left="100"/>
              <w:spacing w:before="143" w:line="200" w:lineRule="auto"/>
              <w:rPr>
                <w:sz w:val="25"/>
                <w:szCs w:val="25"/>
              </w:rPr>
            </w:pPr>
            <w:r>
              <w:rPr>
                <w:sz w:val="25"/>
                <w:szCs w:val="25"/>
                <w:spacing w:val="2"/>
              </w:rPr>
              <w:t>C.造成误诊误治的</w:t>
            </w:r>
          </w:p>
        </w:tc>
        <w:tc>
          <w:tcPr>
            <w:tcW w:w="5261"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6"/>
              <w:spacing w:before="81" w:line="327" w:lineRule="auto"/>
              <w:rPr>
                <w:sz w:val="25"/>
                <w:szCs w:val="25"/>
              </w:rPr>
            </w:pPr>
            <w:r>
              <w:rPr>
                <w:sz w:val="25"/>
                <w:szCs w:val="25"/>
                <w:spacing w:val="-2"/>
              </w:rPr>
              <w:t>责令改正，给予警告，并处一万元罚款，没收违</w:t>
            </w:r>
            <w:r>
              <w:rPr>
                <w:sz w:val="25"/>
                <w:szCs w:val="25"/>
                <w:spacing w:val="17"/>
              </w:rPr>
              <w:t xml:space="preserve"> </w:t>
            </w:r>
            <w:r>
              <w:rPr>
                <w:sz w:val="25"/>
                <w:szCs w:val="25"/>
                <w:spacing w:val="-1"/>
              </w:rPr>
              <w:t>法所得。责令暂停六个月以上一年以下执业活动</w:t>
            </w:r>
          </w:p>
        </w:tc>
      </w:tr>
      <w:tr>
        <w:trPr>
          <w:trHeight w:val="892" w:hRule="atLeast"/>
        </w:trPr>
        <w:tc>
          <w:tcPr>
            <w:tcW w:w="1404" w:type="dxa"/>
            <w:vAlign w:val="top"/>
          </w:tcPr>
          <w:p>
            <w:pPr>
              <w:spacing w:line="290" w:lineRule="auto"/>
              <w:rPr>
                <w:rFonts w:ascii="Arial"/>
                <w:sz w:val="21"/>
              </w:rPr>
            </w:pPr>
            <w:r/>
          </w:p>
          <w:p>
            <w:pPr>
              <w:pStyle w:val="TableText"/>
              <w:ind w:left="198"/>
              <w:spacing w:before="82" w:line="219" w:lineRule="auto"/>
              <w:rPr>
                <w:sz w:val="25"/>
                <w:szCs w:val="25"/>
              </w:rPr>
            </w:pPr>
            <w:r>
              <w:rPr>
                <w:sz w:val="25"/>
                <w:szCs w:val="25"/>
                <w:b/>
                <w:bCs/>
                <w:spacing w:val="-5"/>
              </w:rPr>
              <w:t>特别严重</w:t>
            </w:r>
          </w:p>
        </w:tc>
        <w:tc>
          <w:tcPr>
            <w:tcW w:w="7234" w:type="dxa"/>
            <w:vAlign w:val="top"/>
          </w:tcPr>
          <w:p>
            <w:pPr>
              <w:pStyle w:val="TableText"/>
              <w:ind w:left="100"/>
              <w:spacing w:before="156" w:line="268" w:lineRule="auto"/>
              <w:rPr>
                <w:sz w:val="25"/>
                <w:szCs w:val="25"/>
              </w:rPr>
            </w:pPr>
            <w:r>
              <w:rPr>
                <w:sz w:val="25"/>
                <w:szCs w:val="25"/>
                <w:spacing w:val="-5"/>
              </w:rPr>
              <w:t>心理咨询人员从事心理治疗或者精神障碍的诊断、治疗，造成患者</w:t>
            </w:r>
            <w:r>
              <w:rPr>
                <w:sz w:val="25"/>
                <w:szCs w:val="25"/>
                <w:spacing w:val="17"/>
              </w:rPr>
              <w:t xml:space="preserve"> </w:t>
            </w:r>
            <w:r>
              <w:rPr>
                <w:sz w:val="25"/>
                <w:szCs w:val="25"/>
              </w:rPr>
              <w:t>伤害自身、危害他人安全等严重后果或产生恶劣社会影响的</w:t>
            </w:r>
          </w:p>
        </w:tc>
        <w:tc>
          <w:tcPr>
            <w:tcW w:w="5261" w:type="dxa"/>
            <w:vAlign w:val="top"/>
          </w:tcPr>
          <w:p>
            <w:pPr>
              <w:pStyle w:val="TableText"/>
              <w:ind w:left="106" w:right="2" w:hanging="90"/>
              <w:spacing w:before="156" w:line="268" w:lineRule="auto"/>
              <w:rPr>
                <w:sz w:val="25"/>
                <w:szCs w:val="25"/>
              </w:rPr>
            </w:pPr>
            <w:r>
              <w:rPr>
                <w:sz w:val="25"/>
                <w:szCs w:val="25"/>
                <w:spacing w:val="-1"/>
              </w:rPr>
              <w:t>责令改正，给予警告，并处一万元罚款，没收违</w:t>
            </w:r>
            <w:r>
              <w:rPr>
                <w:sz w:val="25"/>
                <w:szCs w:val="25"/>
                <w:spacing w:val="1"/>
              </w:rPr>
              <w:t xml:space="preserve"> </w:t>
            </w:r>
            <w:r>
              <w:rPr>
                <w:sz w:val="25"/>
                <w:szCs w:val="25"/>
                <w:spacing w:val="1"/>
              </w:rPr>
              <w:t>法所得。吊销执业证书</w:t>
            </w:r>
          </w:p>
        </w:tc>
      </w:tr>
    </w:tbl>
    <w:p>
      <w:pPr>
        <w:pStyle w:val="BodyText"/>
        <w:spacing w:line="247" w:lineRule="auto"/>
        <w:rPr/>
      </w:pPr>
      <w:r/>
    </w:p>
    <w:p>
      <w:pPr>
        <w:pStyle w:val="BodyText"/>
        <w:spacing w:line="248" w:lineRule="auto"/>
        <w:rPr/>
      </w:pPr>
      <w:r/>
    </w:p>
    <w:p>
      <w:pPr>
        <w:ind w:left="669"/>
        <w:spacing w:before="98" w:line="219" w:lineRule="auto"/>
        <w:rPr>
          <w:rFonts w:ascii="FangSong" w:hAnsi="FangSong" w:eastAsia="FangSong" w:cs="FangSong"/>
          <w:sz w:val="30"/>
          <w:szCs w:val="30"/>
        </w:rPr>
      </w:pPr>
      <w:r>
        <w:rPr>
          <w:rFonts w:ascii="FangSong" w:hAnsi="FangSong" w:eastAsia="FangSong" w:cs="FangSong"/>
          <w:sz w:val="30"/>
          <w:szCs w:val="30"/>
          <w:b/>
          <w:bCs/>
          <w:spacing w:val="22"/>
        </w:rPr>
        <w:t>第二百二十五条从事心理治疗的人员在医疗机构以外开展心理治疗活动的</w:t>
      </w:r>
    </w:p>
    <w:p>
      <w:pPr>
        <w:ind w:left="684"/>
        <w:spacing w:before="92" w:line="222" w:lineRule="auto"/>
        <w:rPr>
          <w:rFonts w:ascii="FangSong" w:hAnsi="FangSong" w:eastAsia="FangSong" w:cs="FangSong"/>
          <w:sz w:val="30"/>
          <w:szCs w:val="30"/>
        </w:rPr>
      </w:pPr>
      <w:r>
        <w:rPr>
          <w:rFonts w:ascii="FangSong" w:hAnsi="FangSong" w:eastAsia="FangSong" w:cs="FangSong"/>
          <w:sz w:val="30"/>
          <w:szCs w:val="30"/>
        </w:rPr>
        <w:t>法律依据：</w:t>
      </w:r>
    </w:p>
    <w:p>
      <w:pPr>
        <w:ind w:left="25" w:firstLine="619"/>
        <w:spacing w:before="74" w:line="272" w:lineRule="auto"/>
        <w:jc w:val="both"/>
        <w:rPr>
          <w:rFonts w:ascii="FangSong" w:hAnsi="FangSong" w:eastAsia="FangSong" w:cs="FangSong"/>
          <w:sz w:val="30"/>
          <w:szCs w:val="30"/>
        </w:rPr>
      </w:pPr>
      <w:r>
        <w:rPr>
          <w:rFonts w:ascii="FangSong" w:hAnsi="FangSong" w:eastAsia="FangSong" w:cs="FangSong"/>
          <w:sz w:val="30"/>
          <w:szCs w:val="30"/>
          <w:spacing w:val="27"/>
        </w:rPr>
        <w:t>《中华人民共和国精神卫生法》第七十六条第一款第(二)项</w:t>
      </w:r>
      <w:r>
        <w:rPr>
          <w:rFonts w:ascii="FangSong" w:hAnsi="FangSong" w:eastAsia="FangSong" w:cs="FangSong"/>
          <w:sz w:val="30"/>
          <w:szCs w:val="30"/>
          <w:spacing w:val="27"/>
        </w:rPr>
        <w:t xml:space="preserve">   </w:t>
      </w:r>
      <w:r>
        <w:rPr>
          <w:rFonts w:ascii="FangSong" w:hAnsi="FangSong" w:eastAsia="FangSong" w:cs="FangSong"/>
          <w:sz w:val="30"/>
          <w:szCs w:val="30"/>
          <w:spacing w:val="27"/>
        </w:rPr>
        <w:t>有下列情形之一的，由县级以</w:t>
      </w:r>
      <w:r>
        <w:rPr>
          <w:rFonts w:ascii="FangSong" w:hAnsi="FangSong" w:eastAsia="FangSong" w:cs="FangSong"/>
          <w:sz w:val="30"/>
          <w:szCs w:val="30"/>
          <w:spacing w:val="3"/>
        </w:rPr>
        <w:t xml:space="preserve"> </w:t>
      </w:r>
      <w:r>
        <w:rPr>
          <w:rFonts w:ascii="FangSong" w:hAnsi="FangSong" w:eastAsia="FangSong" w:cs="FangSong"/>
          <w:sz w:val="30"/>
          <w:szCs w:val="30"/>
          <w:spacing w:val="17"/>
        </w:rPr>
        <w:t>上人民政府卫生行政部门、工商行政管理部</w:t>
      </w:r>
      <w:r>
        <w:rPr>
          <w:rFonts w:ascii="FangSong" w:hAnsi="FangSong" w:eastAsia="FangSong" w:cs="FangSong"/>
          <w:sz w:val="30"/>
          <w:szCs w:val="30"/>
          <w:spacing w:val="16"/>
        </w:rPr>
        <w:t>门依据各自职责责令改正，给予警告，并处五千元以上一</w:t>
      </w:r>
      <w:r>
        <w:rPr>
          <w:rFonts w:ascii="FangSong" w:hAnsi="FangSong" w:eastAsia="FangSong" w:cs="FangSong"/>
          <w:sz w:val="30"/>
          <w:szCs w:val="30"/>
        </w:rPr>
        <w:t xml:space="preserve"> </w:t>
      </w:r>
      <w:r>
        <w:rPr>
          <w:rFonts w:ascii="FangSong" w:hAnsi="FangSong" w:eastAsia="FangSong" w:cs="FangSong"/>
          <w:sz w:val="30"/>
          <w:szCs w:val="30"/>
          <w:spacing w:val="16"/>
        </w:rPr>
        <w:t>万元以下罚款，有违法所得的，没收违法所得；造成严重后果的，责令暂停六个月以上一年以下执业</w:t>
      </w:r>
      <w:r>
        <w:rPr>
          <w:rFonts w:ascii="FangSong" w:hAnsi="FangSong" w:eastAsia="FangSong" w:cs="FangSong"/>
          <w:sz w:val="30"/>
          <w:szCs w:val="30"/>
          <w:spacing w:val="14"/>
        </w:rPr>
        <w:t xml:space="preserve"> </w:t>
      </w:r>
      <w:r>
        <w:rPr>
          <w:rFonts w:ascii="FangSong" w:hAnsi="FangSong" w:eastAsia="FangSong" w:cs="FangSong"/>
          <w:sz w:val="30"/>
          <w:szCs w:val="30"/>
          <w:spacing w:val="15"/>
        </w:rPr>
        <w:t>活动，直至吊销执业证书或者营业执照：</w:t>
      </w:r>
    </w:p>
    <w:p>
      <w:pPr>
        <w:ind w:left="794"/>
        <w:spacing w:before="2" w:line="219" w:lineRule="auto"/>
        <w:rPr>
          <w:rFonts w:ascii="FangSong" w:hAnsi="FangSong" w:eastAsia="FangSong" w:cs="FangSong"/>
          <w:sz w:val="30"/>
          <w:szCs w:val="30"/>
        </w:rPr>
      </w:pPr>
      <w:r>
        <w:rPr>
          <w:rFonts w:ascii="FangSong" w:hAnsi="FangSong" w:eastAsia="FangSong" w:cs="FangSong"/>
          <w:sz w:val="30"/>
          <w:szCs w:val="30"/>
          <w:spacing w:val="22"/>
        </w:rPr>
        <w:t>(二)从事心理治疗的人员在医疗机构以外开展心理治疗活动的；</w:t>
      </w:r>
    </w:p>
    <w:p>
      <w:pPr>
        <w:ind w:left="6428"/>
        <w:spacing w:before="66"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9" w:lineRule="auto"/>
        <w:rPr>
          <w:rFonts w:ascii="Arial"/>
          <w:sz w:val="2"/>
        </w:rPr>
      </w:pPr>
      <w:r>
        <w:rPr>
          <w:rFonts w:ascii="Arial"/>
          <w:sz w:val="2"/>
        </w:rPr>
      </w:r>
    </w:p>
    <w:tbl>
      <w:tblPr>
        <w:tblStyle w:val="TableNormal"/>
        <w:tblW w:w="1387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6375"/>
        <w:gridCol w:w="6071"/>
      </w:tblGrid>
      <w:tr>
        <w:trPr>
          <w:trHeight w:val="969" w:hRule="atLeast"/>
        </w:trPr>
        <w:tc>
          <w:tcPr>
            <w:tcW w:w="1424" w:type="dxa"/>
            <w:vAlign w:val="top"/>
          </w:tcPr>
          <w:p>
            <w:pPr>
              <w:spacing w:line="247" w:lineRule="auto"/>
              <w:rPr>
                <w:rFonts w:ascii="Arial"/>
                <w:sz w:val="21"/>
              </w:rPr>
            </w:pPr>
            <w:r/>
          </w:p>
          <w:p>
            <w:pPr>
              <w:pStyle w:val="TableText"/>
              <w:ind w:left="119"/>
              <w:spacing w:before="95" w:line="220" w:lineRule="auto"/>
              <w:rPr>
                <w:sz w:val="29"/>
                <w:szCs w:val="29"/>
              </w:rPr>
            </w:pPr>
            <w:r>
              <w:rPr>
                <w:sz w:val="29"/>
                <w:szCs w:val="29"/>
                <w:b/>
                <w:bCs/>
                <w:spacing w:val="-1"/>
              </w:rPr>
              <w:t>违法程度</w:t>
            </w:r>
          </w:p>
        </w:tc>
        <w:tc>
          <w:tcPr>
            <w:tcW w:w="6375" w:type="dxa"/>
            <w:vAlign w:val="top"/>
          </w:tcPr>
          <w:p>
            <w:pPr>
              <w:spacing w:line="247" w:lineRule="auto"/>
              <w:rPr>
                <w:rFonts w:ascii="Arial"/>
                <w:sz w:val="21"/>
              </w:rPr>
            </w:pPr>
            <w:r/>
          </w:p>
          <w:p>
            <w:pPr>
              <w:pStyle w:val="TableText"/>
              <w:ind w:left="2615"/>
              <w:spacing w:before="95" w:line="220" w:lineRule="auto"/>
              <w:rPr>
                <w:sz w:val="29"/>
                <w:szCs w:val="29"/>
              </w:rPr>
            </w:pPr>
            <w:r>
              <w:rPr>
                <w:sz w:val="29"/>
                <w:szCs w:val="29"/>
                <w:b/>
                <w:bCs/>
                <w:spacing w:val="-1"/>
              </w:rPr>
              <w:t>情节后果</w:t>
            </w:r>
          </w:p>
        </w:tc>
        <w:tc>
          <w:tcPr>
            <w:tcW w:w="6071" w:type="dxa"/>
            <w:vAlign w:val="top"/>
          </w:tcPr>
          <w:p>
            <w:pPr>
              <w:spacing w:line="244" w:lineRule="auto"/>
              <w:rPr>
                <w:rFonts w:ascii="Arial"/>
                <w:sz w:val="21"/>
              </w:rPr>
            </w:pPr>
            <w:r/>
          </w:p>
          <w:p>
            <w:pPr>
              <w:pStyle w:val="TableText"/>
              <w:ind w:left="2460"/>
              <w:spacing w:before="94" w:line="218" w:lineRule="auto"/>
              <w:rPr>
                <w:sz w:val="29"/>
                <w:szCs w:val="29"/>
              </w:rPr>
            </w:pPr>
            <w:r>
              <w:rPr>
                <w:sz w:val="29"/>
                <w:szCs w:val="29"/>
                <w:b/>
                <w:bCs/>
                <w:spacing w:val="-1"/>
              </w:rPr>
              <w:t>裁量幅度</w:t>
            </w:r>
          </w:p>
        </w:tc>
      </w:tr>
    </w:tbl>
    <w:p>
      <w:pPr>
        <w:pStyle w:val="BodyText"/>
        <w:rPr/>
      </w:pPr>
      <w:r/>
    </w:p>
    <w:p>
      <w:pPr>
        <w:sectPr>
          <w:footerReference w:type="default" r:id="rId285"/>
          <w:pgSz w:w="16830" w:h="11900"/>
          <w:pgMar w:top="1011" w:right="1444" w:bottom="1108" w:left="1425" w:header="0" w:footer="775" w:gutter="0"/>
        </w:sectPr>
        <w:rPr/>
      </w:pPr>
    </w:p>
    <w:p>
      <w:pPr>
        <w:spacing w:before="17"/>
        <w:rPr/>
      </w:pPr>
      <w:r/>
    </w:p>
    <w:p>
      <w:pPr>
        <w:spacing w:before="16"/>
        <w:rPr/>
      </w:pPr>
      <w:r/>
    </w:p>
    <w:p>
      <w:pPr>
        <w:spacing w:before="16"/>
        <w:rPr/>
      </w:pPr>
      <w:r/>
    </w:p>
    <w:tbl>
      <w:tblPr>
        <w:tblStyle w:val="TableNormal"/>
        <w:tblW w:w="1387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6365"/>
        <w:gridCol w:w="6091"/>
      </w:tblGrid>
      <w:tr>
        <w:trPr>
          <w:trHeight w:val="892" w:hRule="atLeast"/>
        </w:trPr>
        <w:tc>
          <w:tcPr>
            <w:tcW w:w="1414" w:type="dxa"/>
            <w:vAlign w:val="top"/>
          </w:tcPr>
          <w:p>
            <w:pPr>
              <w:spacing w:line="253" w:lineRule="auto"/>
              <w:rPr>
                <w:rFonts w:ascii="Arial"/>
                <w:sz w:val="21"/>
              </w:rPr>
            </w:pPr>
            <w:r/>
          </w:p>
          <w:p>
            <w:pPr>
              <w:pStyle w:val="TableText"/>
              <w:ind w:left="458"/>
              <w:spacing w:before="78" w:line="221" w:lineRule="auto"/>
              <w:rPr/>
            </w:pPr>
            <w:bookmarkStart w:name="bookmark941" w:id="309"/>
            <w:bookmarkEnd w:id="309"/>
            <w:r>
              <w:rPr>
                <w:b/>
                <w:bCs/>
                <w:spacing w:val="-10"/>
              </w:rPr>
              <w:t>一般</w:t>
            </w:r>
          </w:p>
        </w:tc>
        <w:tc>
          <w:tcPr>
            <w:tcW w:w="6365" w:type="dxa"/>
            <w:vAlign w:val="top"/>
          </w:tcPr>
          <w:p>
            <w:pPr>
              <w:spacing w:line="253" w:lineRule="auto"/>
              <w:rPr>
                <w:rFonts w:ascii="Arial"/>
                <w:sz w:val="21"/>
              </w:rPr>
            </w:pPr>
            <w:r/>
          </w:p>
          <w:p>
            <w:pPr>
              <w:pStyle w:val="TableText"/>
              <w:ind w:left="171"/>
              <w:spacing w:before="78" w:line="219" w:lineRule="auto"/>
              <w:rPr/>
            </w:pPr>
            <w:r>
              <w:rPr/>
              <w:t>从事心理治疗的人员在医疗机构以外开展心理治疗活动的</w:t>
            </w:r>
          </w:p>
        </w:tc>
        <w:tc>
          <w:tcPr>
            <w:tcW w:w="6091" w:type="dxa"/>
            <w:vAlign w:val="top"/>
          </w:tcPr>
          <w:p>
            <w:pPr>
              <w:pStyle w:val="TableText"/>
              <w:ind w:left="126" w:firstLine="9"/>
              <w:spacing w:before="143" w:line="284" w:lineRule="auto"/>
              <w:rPr/>
            </w:pPr>
            <w:r>
              <w:rPr>
                <w:spacing w:val="-2"/>
              </w:rPr>
              <w:t>责令改正，给予警告，并处五千元以上一万</w:t>
            </w:r>
            <w:r>
              <w:rPr>
                <w:spacing w:val="-3"/>
              </w:rPr>
              <w:t>元以下罚款，</w:t>
            </w:r>
            <w:r>
              <w:rPr/>
              <w:t xml:space="preserve"> </w:t>
            </w:r>
            <w:r>
              <w:rPr>
                <w:spacing w:val="-1"/>
              </w:rPr>
              <w:t>没收违法所得</w:t>
            </w:r>
          </w:p>
        </w:tc>
      </w:tr>
      <w:tr>
        <w:trPr>
          <w:trHeight w:val="847" w:hRule="atLeast"/>
        </w:trPr>
        <w:tc>
          <w:tcPr>
            <w:tcW w:w="1414" w:type="dxa"/>
            <w:vAlign w:val="top"/>
          </w:tcPr>
          <w:p>
            <w:pPr>
              <w:spacing w:line="270" w:lineRule="auto"/>
              <w:rPr>
                <w:rFonts w:ascii="Arial"/>
                <w:sz w:val="21"/>
              </w:rPr>
            </w:pPr>
            <w:r/>
          </w:p>
          <w:p>
            <w:pPr>
              <w:pStyle w:val="TableText"/>
              <w:ind w:left="458"/>
              <w:spacing w:before="78" w:line="220" w:lineRule="auto"/>
              <w:rPr/>
            </w:pPr>
            <w:r>
              <w:rPr>
                <w:b/>
                <w:bCs/>
                <w:spacing w:val="-6"/>
              </w:rPr>
              <w:t>严重</w:t>
            </w:r>
          </w:p>
        </w:tc>
        <w:tc>
          <w:tcPr>
            <w:tcW w:w="6365" w:type="dxa"/>
            <w:vAlign w:val="top"/>
          </w:tcPr>
          <w:p>
            <w:pPr>
              <w:pStyle w:val="TableText"/>
              <w:ind w:left="130" w:right="54" w:hanging="79"/>
              <w:spacing w:before="142" w:line="267" w:lineRule="auto"/>
              <w:rPr/>
            </w:pPr>
            <w:r>
              <w:rPr/>
              <w:t>从事心理治疗的人员在医疗机构以外开展心理治疗活动，造</w:t>
            </w:r>
            <w:r>
              <w:rPr>
                <w:spacing w:val="8"/>
              </w:rPr>
              <w:t xml:space="preserve"> </w:t>
            </w:r>
            <w:r>
              <w:rPr>
                <w:spacing w:val="3"/>
              </w:rPr>
              <w:t>成严重后果的</w:t>
            </w:r>
          </w:p>
        </w:tc>
        <w:tc>
          <w:tcPr>
            <w:tcW w:w="6091" w:type="dxa"/>
            <w:vAlign w:val="top"/>
          </w:tcPr>
          <w:p>
            <w:pPr>
              <w:pStyle w:val="TableText"/>
              <w:ind w:left="126"/>
              <w:spacing w:before="140" w:line="268" w:lineRule="auto"/>
              <w:rPr/>
            </w:pPr>
            <w:r>
              <w:rPr>
                <w:spacing w:val="-2"/>
              </w:rPr>
              <w:t>责令改正，给予警告，并处一万元罚款，没收违法所得；</w:t>
            </w:r>
            <w:r>
              <w:rPr>
                <w:spacing w:val="3"/>
              </w:rPr>
              <w:t xml:space="preserve"> </w:t>
            </w:r>
            <w:r>
              <w:rPr>
                <w:spacing w:val="-4"/>
              </w:rPr>
              <w:t>暂停六个月以上一年以下执业活动</w:t>
            </w:r>
          </w:p>
        </w:tc>
      </w:tr>
      <w:tr>
        <w:trPr>
          <w:trHeight w:val="891" w:hRule="atLeast"/>
        </w:trPr>
        <w:tc>
          <w:tcPr>
            <w:tcW w:w="1414" w:type="dxa"/>
            <w:vAlign w:val="top"/>
          </w:tcPr>
          <w:p>
            <w:pPr>
              <w:spacing w:line="302" w:lineRule="auto"/>
              <w:rPr>
                <w:rFonts w:ascii="Arial"/>
                <w:sz w:val="21"/>
              </w:rPr>
            </w:pPr>
            <w:r/>
          </w:p>
          <w:p>
            <w:pPr>
              <w:pStyle w:val="TableText"/>
              <w:ind w:left="218"/>
              <w:spacing w:before="78" w:line="219" w:lineRule="auto"/>
              <w:rPr/>
            </w:pPr>
            <w:r>
              <w:rPr>
                <w:b/>
                <w:bCs/>
                <w:spacing w:val="-5"/>
              </w:rPr>
              <w:t>特别严重</w:t>
            </w:r>
          </w:p>
        </w:tc>
        <w:tc>
          <w:tcPr>
            <w:tcW w:w="6365" w:type="dxa"/>
            <w:vAlign w:val="top"/>
          </w:tcPr>
          <w:p>
            <w:pPr>
              <w:pStyle w:val="TableText"/>
              <w:ind w:left="120" w:right="54" w:hanging="69"/>
              <w:spacing w:before="165" w:line="275" w:lineRule="auto"/>
              <w:rPr/>
            </w:pPr>
            <w:r>
              <w:rPr/>
              <w:t>从事心理治疗的人员在医疗机构以外开展心理治疗活动，造</w:t>
            </w:r>
            <w:r>
              <w:rPr>
                <w:spacing w:val="8"/>
              </w:rPr>
              <w:t xml:space="preserve"> </w:t>
            </w:r>
            <w:r>
              <w:rPr>
                <w:spacing w:val="1"/>
              </w:rPr>
              <w:t>成严重后果且产生恶劣社会影响的</w:t>
            </w:r>
          </w:p>
        </w:tc>
        <w:tc>
          <w:tcPr>
            <w:tcW w:w="6091" w:type="dxa"/>
            <w:vAlign w:val="top"/>
          </w:tcPr>
          <w:p>
            <w:pPr>
              <w:pStyle w:val="TableText"/>
              <w:ind w:left="126"/>
              <w:spacing w:before="163" w:line="276" w:lineRule="auto"/>
              <w:rPr/>
            </w:pPr>
            <w:r>
              <w:rPr>
                <w:spacing w:val="-2"/>
              </w:rPr>
              <w:t>责令改正，给予警告，并处一万元罚款，没收违法所得；</w:t>
            </w:r>
            <w:r>
              <w:rPr>
                <w:spacing w:val="3"/>
              </w:rPr>
              <w:t xml:space="preserve"> </w:t>
            </w:r>
            <w:r>
              <w:rPr>
                <w:spacing w:val="-3"/>
              </w:rPr>
              <w:t>吊销其执业证书</w:t>
            </w:r>
          </w:p>
        </w:tc>
      </w:tr>
    </w:tbl>
    <w:p>
      <w:pPr>
        <w:pStyle w:val="BodyText"/>
        <w:spacing w:line="253" w:lineRule="auto"/>
        <w:rPr/>
      </w:pPr>
      <w:r/>
    </w:p>
    <w:p>
      <w:pPr>
        <w:pStyle w:val="BodyText"/>
        <w:spacing w:line="253" w:lineRule="auto"/>
        <w:rPr/>
      </w:pPr>
      <w:r/>
    </w:p>
    <w:p>
      <w:pPr>
        <w:ind w:left="66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第二百二十六条专门从事心理治疗的人员从事精神障碍的诊断的</w:t>
      </w:r>
    </w:p>
    <w:p>
      <w:pPr>
        <w:ind w:left="664"/>
        <w:spacing w:before="109"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25" w:firstLine="629"/>
        <w:spacing w:before="106" w:line="265" w:lineRule="auto"/>
        <w:jc w:val="both"/>
        <w:rPr>
          <w:rFonts w:ascii="FangSong" w:hAnsi="FangSong" w:eastAsia="FangSong" w:cs="FangSong"/>
          <w:sz w:val="30"/>
          <w:szCs w:val="30"/>
        </w:rPr>
      </w:pPr>
      <w:r>
        <w:rPr>
          <w:rFonts w:ascii="FangSong" w:hAnsi="FangSong" w:eastAsia="FangSong" w:cs="FangSong"/>
          <w:sz w:val="30"/>
          <w:szCs w:val="30"/>
          <w:spacing w:val="27"/>
        </w:rPr>
        <w:t>《中华人民共和国精神卫生法》第七十六条第一款第(三)项</w:t>
      </w:r>
      <w:r>
        <w:rPr>
          <w:rFonts w:ascii="FangSong" w:hAnsi="FangSong" w:eastAsia="FangSong" w:cs="FangSong"/>
          <w:sz w:val="30"/>
          <w:szCs w:val="30"/>
          <w:spacing w:val="27"/>
        </w:rPr>
        <w:t xml:space="preserve">   </w:t>
      </w:r>
      <w:r>
        <w:rPr>
          <w:rFonts w:ascii="FangSong" w:hAnsi="FangSong" w:eastAsia="FangSong" w:cs="FangSong"/>
          <w:sz w:val="30"/>
          <w:szCs w:val="30"/>
          <w:spacing w:val="27"/>
        </w:rPr>
        <w:t>有下列情形之一的，由县级以</w:t>
      </w:r>
      <w:r>
        <w:rPr>
          <w:rFonts w:ascii="FangSong" w:hAnsi="FangSong" w:eastAsia="FangSong" w:cs="FangSong"/>
          <w:sz w:val="30"/>
          <w:szCs w:val="30"/>
          <w:spacing w:val="3"/>
        </w:rPr>
        <w:t xml:space="preserve"> </w:t>
      </w:r>
      <w:r>
        <w:rPr>
          <w:rFonts w:ascii="FangSong" w:hAnsi="FangSong" w:eastAsia="FangSong" w:cs="FangSong"/>
          <w:sz w:val="30"/>
          <w:szCs w:val="30"/>
          <w:spacing w:val="17"/>
        </w:rPr>
        <w:t>上人民政府卫生行政部门、工商行政管理部门依据各自职责责令改</w:t>
      </w:r>
      <w:r>
        <w:rPr>
          <w:rFonts w:ascii="FangSong" w:hAnsi="FangSong" w:eastAsia="FangSong" w:cs="FangSong"/>
          <w:sz w:val="30"/>
          <w:szCs w:val="30"/>
          <w:spacing w:val="16"/>
        </w:rPr>
        <w:t>正，给予警告，并处五千元以上一</w:t>
      </w:r>
      <w:r>
        <w:rPr>
          <w:rFonts w:ascii="FangSong" w:hAnsi="FangSong" w:eastAsia="FangSong" w:cs="FangSong"/>
          <w:sz w:val="30"/>
          <w:szCs w:val="30"/>
        </w:rPr>
        <w:t xml:space="preserve"> </w:t>
      </w:r>
      <w:r>
        <w:rPr>
          <w:rFonts w:ascii="FangSong" w:hAnsi="FangSong" w:eastAsia="FangSong" w:cs="FangSong"/>
          <w:sz w:val="30"/>
          <w:szCs w:val="30"/>
          <w:spacing w:val="17"/>
        </w:rPr>
        <w:t>万元以下罚款，有违法所得的，没收违法所得；造成严</w:t>
      </w:r>
      <w:r>
        <w:rPr>
          <w:rFonts w:ascii="FangSong" w:hAnsi="FangSong" w:eastAsia="FangSong" w:cs="FangSong"/>
          <w:sz w:val="30"/>
          <w:szCs w:val="30"/>
          <w:spacing w:val="16"/>
        </w:rPr>
        <w:t>重后果的，责令暂停六个月以上一年以下执业</w:t>
      </w:r>
      <w:r>
        <w:rPr>
          <w:rFonts w:ascii="FangSong" w:hAnsi="FangSong" w:eastAsia="FangSong" w:cs="FangSong"/>
          <w:sz w:val="30"/>
          <w:szCs w:val="30"/>
        </w:rPr>
        <w:t xml:space="preserve"> </w:t>
      </w:r>
      <w:r>
        <w:rPr>
          <w:rFonts w:ascii="FangSong" w:hAnsi="FangSong" w:eastAsia="FangSong" w:cs="FangSong"/>
          <w:sz w:val="30"/>
          <w:szCs w:val="30"/>
          <w:spacing w:val="15"/>
        </w:rPr>
        <w:t>活动，直至吊销执业证书或者营业执照：</w:t>
      </w:r>
    </w:p>
    <w:p>
      <w:pPr>
        <w:ind w:left="794"/>
        <w:spacing w:before="13" w:line="221" w:lineRule="auto"/>
        <w:rPr>
          <w:rFonts w:ascii="FangSong" w:hAnsi="FangSong" w:eastAsia="FangSong" w:cs="FangSong"/>
          <w:sz w:val="30"/>
          <w:szCs w:val="30"/>
        </w:rPr>
      </w:pPr>
      <w:r>
        <w:rPr>
          <w:rFonts w:ascii="FangSong" w:hAnsi="FangSong" w:eastAsia="FangSong" w:cs="FangSong"/>
          <w:sz w:val="30"/>
          <w:szCs w:val="30"/>
          <w:spacing w:val="22"/>
        </w:rPr>
        <w:t>(三)专门从事心理治疗的人员从事精神障碍的诊断的；</w:t>
      </w:r>
    </w:p>
    <w:p>
      <w:pPr>
        <w:ind w:left="6428"/>
        <w:spacing w:before="72" w:line="209"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8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54"/>
        <w:gridCol w:w="6375"/>
        <w:gridCol w:w="5951"/>
      </w:tblGrid>
      <w:tr>
        <w:trPr>
          <w:trHeight w:val="462" w:hRule="atLeast"/>
        </w:trPr>
        <w:tc>
          <w:tcPr>
            <w:tcW w:w="1554" w:type="dxa"/>
            <w:vAlign w:val="top"/>
          </w:tcPr>
          <w:p>
            <w:pPr>
              <w:pStyle w:val="TableText"/>
              <w:ind w:left="188"/>
              <w:spacing w:before="11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6375" w:type="dxa"/>
            <w:vAlign w:val="top"/>
          </w:tcPr>
          <w:p>
            <w:pPr>
              <w:pStyle w:val="TableText"/>
              <w:ind w:left="2624"/>
              <w:spacing w:before="112" w:line="220" w:lineRule="auto"/>
              <w:rPr/>
            </w:pPr>
            <w:r>
              <w:rPr>
                <w:b/>
                <w:bCs/>
                <w:spacing w:val="-5"/>
              </w:rPr>
              <w:t>情节后果</w:t>
            </w:r>
          </w:p>
        </w:tc>
        <w:tc>
          <w:tcPr>
            <w:tcW w:w="5951" w:type="dxa"/>
            <w:vAlign w:val="top"/>
          </w:tcPr>
          <w:p>
            <w:pPr>
              <w:pStyle w:val="TableText"/>
              <w:ind w:left="2489"/>
              <w:spacing w:before="109" w:line="218" w:lineRule="auto"/>
              <w:rPr/>
            </w:pPr>
            <w:r>
              <w:rPr>
                <w:b/>
                <w:bCs/>
                <w:spacing w:val="-5"/>
              </w:rPr>
              <w:t>裁量幅度</w:t>
            </w:r>
          </w:p>
        </w:tc>
      </w:tr>
      <w:tr>
        <w:trPr>
          <w:trHeight w:val="858" w:hRule="atLeast"/>
        </w:trPr>
        <w:tc>
          <w:tcPr>
            <w:tcW w:w="1554" w:type="dxa"/>
            <w:vAlign w:val="top"/>
          </w:tcPr>
          <w:p>
            <w:pPr>
              <w:spacing w:line="291" w:lineRule="auto"/>
              <w:rPr>
                <w:rFonts w:ascii="Arial"/>
                <w:sz w:val="21"/>
              </w:rPr>
            </w:pPr>
            <w:r/>
          </w:p>
          <w:p>
            <w:pPr>
              <w:pStyle w:val="TableText"/>
              <w:ind w:left="528"/>
              <w:spacing w:before="78" w:line="221" w:lineRule="auto"/>
              <w:rPr/>
            </w:pPr>
            <w:r>
              <w:rPr>
                <w:b/>
                <w:bCs/>
                <w:spacing w:val="-10"/>
              </w:rPr>
              <w:t>一般</w:t>
            </w:r>
          </w:p>
        </w:tc>
        <w:tc>
          <w:tcPr>
            <w:tcW w:w="6375" w:type="dxa"/>
            <w:vAlign w:val="top"/>
          </w:tcPr>
          <w:p>
            <w:pPr>
              <w:spacing w:line="308" w:lineRule="auto"/>
              <w:rPr>
                <w:rFonts w:ascii="Arial"/>
                <w:sz w:val="21"/>
              </w:rPr>
            </w:pPr>
            <w:r/>
          </w:p>
          <w:p>
            <w:pPr>
              <w:pStyle w:val="TableText"/>
              <w:ind w:left="134"/>
              <w:spacing w:before="78" w:line="219" w:lineRule="auto"/>
              <w:rPr/>
            </w:pPr>
            <w:r>
              <w:rPr>
                <w:b/>
                <w:bCs/>
                <w:spacing w:val="-2"/>
              </w:rPr>
              <w:t>专门从事心理治疗的人员从事精神障碍的诊断的</w:t>
            </w:r>
          </w:p>
        </w:tc>
        <w:tc>
          <w:tcPr>
            <w:tcW w:w="5951" w:type="dxa"/>
            <w:vAlign w:val="top"/>
          </w:tcPr>
          <w:p>
            <w:pPr>
              <w:pStyle w:val="TableText"/>
              <w:ind w:left="127" w:hanging="98"/>
              <w:spacing w:before="148" w:line="269" w:lineRule="auto"/>
              <w:rPr/>
            </w:pPr>
            <w:r>
              <w:rPr>
                <w:b/>
                <w:bCs/>
                <w:spacing w:val="-6"/>
              </w:rPr>
              <w:t>责令改正，给予警告，并处五千元以上一万元以下</w:t>
            </w:r>
            <w:r>
              <w:rPr>
                <w:b/>
                <w:bCs/>
                <w:spacing w:val="-7"/>
              </w:rPr>
              <w:t>罚款，</w:t>
            </w:r>
            <w:r>
              <w:rPr/>
              <w:t xml:space="preserve"> </w:t>
            </w:r>
            <w:r>
              <w:rPr>
                <w:b/>
                <w:bCs/>
                <w:spacing w:val="-8"/>
              </w:rPr>
              <w:t>没收违法所得</w:t>
            </w:r>
          </w:p>
        </w:tc>
      </w:tr>
    </w:tbl>
    <w:p>
      <w:pPr>
        <w:pStyle w:val="BodyText"/>
        <w:rPr/>
      </w:pPr>
      <w:r/>
    </w:p>
    <w:p>
      <w:pPr>
        <w:sectPr>
          <w:footerReference w:type="default" r:id="rId286"/>
          <w:pgSz w:w="16830" w:h="11900"/>
          <w:pgMar w:top="1011" w:right="1434" w:bottom="1107" w:left="1425" w:header="0" w:footer="774" w:gutter="0"/>
        </w:sectPr>
        <w:rPr/>
      </w:pPr>
    </w:p>
    <w:p>
      <w:pPr>
        <w:spacing w:before="20"/>
        <w:rPr/>
      </w:pPr>
      <w:r/>
    </w:p>
    <w:p>
      <w:pPr>
        <w:spacing w:before="20"/>
        <w:rPr/>
      </w:pPr>
      <w:r/>
    </w:p>
    <w:p>
      <w:pPr>
        <w:spacing w:before="19"/>
        <w:rPr/>
      </w:pPr>
      <w:r/>
    </w:p>
    <w:tbl>
      <w:tblPr>
        <w:tblStyle w:val="TableNormal"/>
        <w:tblW w:w="13870"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34"/>
        <w:gridCol w:w="6375"/>
        <w:gridCol w:w="5961"/>
      </w:tblGrid>
      <w:tr>
        <w:trPr>
          <w:trHeight w:val="929" w:hRule="atLeast"/>
        </w:trPr>
        <w:tc>
          <w:tcPr>
            <w:tcW w:w="1534" w:type="dxa"/>
            <w:vAlign w:val="top"/>
          </w:tcPr>
          <w:p>
            <w:pPr>
              <w:spacing w:line="322" w:lineRule="auto"/>
              <w:rPr>
                <w:rFonts w:ascii="Arial"/>
                <w:sz w:val="21"/>
              </w:rPr>
            </w:pPr>
            <w:r/>
          </w:p>
          <w:p>
            <w:pPr>
              <w:pStyle w:val="TableText"/>
              <w:ind w:left="518"/>
              <w:spacing w:before="78" w:line="220" w:lineRule="auto"/>
              <w:rPr/>
            </w:pPr>
            <w:bookmarkStart w:name="bookmark942" w:id="310"/>
            <w:bookmarkEnd w:id="310"/>
            <w:r>
              <w:rPr>
                <w:b/>
                <w:bCs/>
                <w:spacing w:val="-6"/>
              </w:rPr>
              <w:t>严重</w:t>
            </w:r>
          </w:p>
        </w:tc>
        <w:tc>
          <w:tcPr>
            <w:tcW w:w="6375" w:type="dxa"/>
            <w:vAlign w:val="top"/>
          </w:tcPr>
          <w:p>
            <w:pPr>
              <w:pStyle w:val="TableText"/>
              <w:ind w:left="120"/>
              <w:spacing w:before="183" w:line="283" w:lineRule="auto"/>
              <w:rPr/>
            </w:pPr>
            <w:r>
              <w:rPr/>
              <w:t>专门从事心理治疗的人员从事精神障碍的诊断，造成严重后</w:t>
            </w:r>
            <w:r>
              <w:rPr>
                <w:spacing w:val="3"/>
              </w:rPr>
              <w:t xml:space="preserve"> </w:t>
            </w:r>
            <w:r>
              <w:rPr>
                <w:spacing w:val="8"/>
              </w:rPr>
              <w:t>果的</w:t>
            </w:r>
          </w:p>
        </w:tc>
        <w:tc>
          <w:tcPr>
            <w:tcW w:w="5961" w:type="dxa"/>
            <w:vAlign w:val="top"/>
          </w:tcPr>
          <w:p>
            <w:pPr>
              <w:pStyle w:val="TableText"/>
              <w:ind w:left="146"/>
              <w:spacing w:before="183" w:line="283" w:lineRule="auto"/>
              <w:rPr/>
            </w:pPr>
            <w:r>
              <w:rPr>
                <w:spacing w:val="-8"/>
              </w:rPr>
              <w:t>责令改正，给予警告，并处一万元罚款，没收违法所得；</w:t>
            </w:r>
            <w:r>
              <w:rPr>
                <w:spacing w:val="3"/>
              </w:rPr>
              <w:t xml:space="preserve"> </w:t>
            </w:r>
            <w:r>
              <w:rPr>
                <w:spacing w:val="-4"/>
              </w:rPr>
              <w:t>责令暂停六个月以上一年以下执业活动</w:t>
            </w:r>
          </w:p>
        </w:tc>
      </w:tr>
      <w:tr>
        <w:trPr>
          <w:trHeight w:val="920" w:hRule="atLeast"/>
        </w:trPr>
        <w:tc>
          <w:tcPr>
            <w:tcW w:w="1534" w:type="dxa"/>
            <w:vAlign w:val="top"/>
          </w:tcPr>
          <w:p>
            <w:pPr>
              <w:spacing w:line="262" w:lineRule="auto"/>
              <w:rPr>
                <w:rFonts w:ascii="Arial"/>
                <w:sz w:val="21"/>
              </w:rPr>
            </w:pPr>
            <w:r/>
          </w:p>
          <w:p>
            <w:pPr>
              <w:pStyle w:val="TableText"/>
              <w:ind w:left="278"/>
              <w:spacing w:before="78" w:line="219" w:lineRule="auto"/>
              <w:rPr/>
            </w:pPr>
            <w:r>
              <w:rPr>
                <w:b/>
                <w:bCs/>
                <w:spacing w:val="-5"/>
              </w:rPr>
              <w:t>特别严重</w:t>
            </w:r>
          </w:p>
        </w:tc>
        <w:tc>
          <w:tcPr>
            <w:tcW w:w="6375" w:type="dxa"/>
            <w:vAlign w:val="top"/>
          </w:tcPr>
          <w:p>
            <w:pPr>
              <w:pStyle w:val="TableText"/>
              <w:ind w:left="120"/>
              <w:spacing w:before="174" w:line="283" w:lineRule="auto"/>
              <w:rPr/>
            </w:pPr>
            <w:r>
              <w:rPr/>
              <w:t>专门从事心理治疗的人员从事精神障碍的诊断，造成严重后</w:t>
            </w:r>
            <w:r>
              <w:rPr>
                <w:spacing w:val="3"/>
              </w:rPr>
              <w:t xml:space="preserve"> </w:t>
            </w:r>
            <w:r>
              <w:rPr>
                <w:spacing w:val="1"/>
              </w:rPr>
              <w:t>果且产生恶劣社会影响的</w:t>
            </w:r>
          </w:p>
        </w:tc>
        <w:tc>
          <w:tcPr>
            <w:tcW w:w="5961" w:type="dxa"/>
            <w:vAlign w:val="top"/>
          </w:tcPr>
          <w:p>
            <w:pPr>
              <w:pStyle w:val="TableText"/>
              <w:ind w:left="144" w:hanging="9"/>
              <w:spacing w:before="184" w:line="279" w:lineRule="auto"/>
              <w:rPr/>
            </w:pPr>
            <w:r>
              <w:rPr>
                <w:spacing w:val="-8"/>
              </w:rPr>
              <w:t>责令改正，给予警告，并处一万元罚款，没收违法所得；</w:t>
            </w:r>
            <w:r>
              <w:rPr>
                <w:spacing w:val="14"/>
              </w:rPr>
              <w:t xml:space="preserve"> </w:t>
            </w:r>
            <w:r>
              <w:rPr>
                <w:spacing w:val="-2"/>
              </w:rPr>
              <w:t>吊销执业证书</w:t>
            </w:r>
          </w:p>
        </w:tc>
      </w:tr>
    </w:tbl>
    <w:p>
      <w:pPr>
        <w:pStyle w:val="BodyText"/>
        <w:spacing w:line="466" w:lineRule="auto"/>
        <w:rPr/>
      </w:pPr>
      <w:r/>
    </w:p>
    <w:p>
      <w:pPr>
        <w:ind w:left="69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第二百二十七条专门从事心理治疗的人员为精神障碍患者开具处方或者提供外科治疗的</w:t>
      </w:r>
    </w:p>
    <w:p>
      <w:pPr>
        <w:ind w:left="695"/>
        <w:spacing w:before="90" w:line="222" w:lineRule="auto"/>
        <w:rPr>
          <w:rFonts w:ascii="FangSong" w:hAnsi="FangSong" w:eastAsia="FangSong" w:cs="FangSong"/>
          <w:sz w:val="30"/>
          <w:szCs w:val="30"/>
        </w:rPr>
      </w:pPr>
      <w:r>
        <w:rPr>
          <w:rFonts w:ascii="FangSong" w:hAnsi="FangSong" w:eastAsia="FangSong" w:cs="FangSong"/>
          <w:sz w:val="30"/>
          <w:szCs w:val="30"/>
        </w:rPr>
        <w:t>法律依据：</w:t>
      </w:r>
    </w:p>
    <w:p>
      <w:pPr>
        <w:ind w:left="35" w:firstLine="619"/>
        <w:spacing w:before="89" w:line="265" w:lineRule="auto"/>
        <w:jc w:val="both"/>
        <w:rPr>
          <w:rFonts w:ascii="FangSong" w:hAnsi="FangSong" w:eastAsia="FangSong" w:cs="FangSong"/>
          <w:sz w:val="30"/>
          <w:szCs w:val="30"/>
        </w:rPr>
      </w:pPr>
      <w:r>
        <w:rPr>
          <w:rFonts w:ascii="FangSong" w:hAnsi="FangSong" w:eastAsia="FangSong" w:cs="FangSong"/>
          <w:sz w:val="30"/>
          <w:szCs w:val="30"/>
          <w:spacing w:val="27"/>
        </w:rPr>
        <w:t>《中华人民共和国精神卫生法》第七十六条第一款第(四)项</w:t>
      </w:r>
      <w:r>
        <w:rPr>
          <w:rFonts w:ascii="FangSong" w:hAnsi="FangSong" w:eastAsia="FangSong" w:cs="FangSong"/>
          <w:sz w:val="30"/>
          <w:szCs w:val="30"/>
          <w:spacing w:val="27"/>
        </w:rPr>
        <w:t xml:space="preserve">   </w:t>
      </w:r>
      <w:r>
        <w:rPr>
          <w:rFonts w:ascii="FangSong" w:hAnsi="FangSong" w:eastAsia="FangSong" w:cs="FangSong"/>
          <w:sz w:val="30"/>
          <w:szCs w:val="30"/>
          <w:spacing w:val="27"/>
        </w:rPr>
        <w:t>有下列情形之一的，由县级以</w:t>
      </w:r>
      <w:r>
        <w:rPr>
          <w:rFonts w:ascii="FangSong" w:hAnsi="FangSong" w:eastAsia="FangSong" w:cs="FangSong"/>
          <w:sz w:val="30"/>
          <w:szCs w:val="30"/>
          <w:spacing w:val="3"/>
        </w:rPr>
        <w:t xml:space="preserve"> </w:t>
      </w:r>
      <w:r>
        <w:rPr>
          <w:rFonts w:ascii="FangSong" w:hAnsi="FangSong" w:eastAsia="FangSong" w:cs="FangSong"/>
          <w:sz w:val="30"/>
          <w:szCs w:val="30"/>
          <w:spacing w:val="17"/>
        </w:rPr>
        <w:t>上人民政府卫生行政部门、工商行政管理部</w:t>
      </w:r>
      <w:r>
        <w:rPr>
          <w:rFonts w:ascii="FangSong" w:hAnsi="FangSong" w:eastAsia="FangSong" w:cs="FangSong"/>
          <w:sz w:val="30"/>
          <w:szCs w:val="30"/>
          <w:spacing w:val="16"/>
        </w:rPr>
        <w:t>门依据各自职责责令改正，给予警告，并处五千元以上一</w:t>
      </w:r>
      <w:r>
        <w:rPr>
          <w:rFonts w:ascii="FangSong" w:hAnsi="FangSong" w:eastAsia="FangSong" w:cs="FangSong"/>
          <w:sz w:val="30"/>
          <w:szCs w:val="30"/>
        </w:rPr>
        <w:t xml:space="preserve"> </w:t>
      </w:r>
      <w:r>
        <w:rPr>
          <w:rFonts w:ascii="FangSong" w:hAnsi="FangSong" w:eastAsia="FangSong" w:cs="FangSong"/>
          <w:sz w:val="30"/>
          <w:szCs w:val="30"/>
          <w:spacing w:val="16"/>
        </w:rPr>
        <w:t>万元以下罚款，有违法所得的，没收违法所得；造成严重后果的，责令暂停六个月以上一年以下执业</w:t>
      </w:r>
      <w:r>
        <w:rPr>
          <w:rFonts w:ascii="FangSong" w:hAnsi="FangSong" w:eastAsia="FangSong" w:cs="FangSong"/>
          <w:sz w:val="30"/>
          <w:szCs w:val="30"/>
          <w:spacing w:val="14"/>
        </w:rPr>
        <w:t xml:space="preserve"> </w:t>
      </w:r>
      <w:r>
        <w:rPr>
          <w:rFonts w:ascii="FangSong" w:hAnsi="FangSong" w:eastAsia="FangSong" w:cs="FangSong"/>
          <w:sz w:val="30"/>
          <w:szCs w:val="30"/>
          <w:spacing w:val="15"/>
        </w:rPr>
        <w:t>活动，直至吊销执业证书或者营业执照：</w:t>
      </w:r>
    </w:p>
    <w:p>
      <w:pPr>
        <w:ind w:left="815"/>
        <w:spacing w:before="24" w:line="222" w:lineRule="auto"/>
        <w:rPr>
          <w:rFonts w:ascii="FangSong" w:hAnsi="FangSong" w:eastAsia="FangSong" w:cs="FangSong"/>
          <w:sz w:val="30"/>
          <w:szCs w:val="30"/>
        </w:rPr>
      </w:pPr>
      <w:r>
        <w:rPr>
          <w:rFonts w:ascii="FangSong" w:hAnsi="FangSong" w:eastAsia="FangSong" w:cs="FangSong"/>
          <w:sz w:val="30"/>
          <w:szCs w:val="30"/>
          <w:spacing w:val="22"/>
        </w:rPr>
        <w:t>(四)专门从事心理治疗的人员为精神障碍患者开具处方或者提供外科治疗的。</w:t>
      </w:r>
    </w:p>
    <w:p>
      <w:pPr>
        <w:ind w:left="6429"/>
        <w:spacing w:before="60"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6515"/>
        <w:gridCol w:w="5961"/>
      </w:tblGrid>
      <w:tr>
        <w:trPr>
          <w:trHeight w:val="462" w:hRule="atLeast"/>
        </w:trPr>
        <w:tc>
          <w:tcPr>
            <w:tcW w:w="1414" w:type="dxa"/>
            <w:vAlign w:val="top"/>
          </w:tcPr>
          <w:p>
            <w:pPr>
              <w:pStyle w:val="TableText"/>
              <w:ind w:left="218"/>
              <w:spacing w:before="112" w:line="220" w:lineRule="auto"/>
              <w:rPr/>
            </w:pPr>
            <w:r>
              <w:rPr>
                <w:b/>
                <w:bCs/>
                <w:spacing w:val="-5"/>
              </w:rPr>
              <w:t>违法程度</w:t>
            </w:r>
          </w:p>
        </w:tc>
        <w:tc>
          <w:tcPr>
            <w:tcW w:w="6515" w:type="dxa"/>
            <w:vAlign w:val="top"/>
          </w:tcPr>
          <w:p>
            <w:pPr>
              <w:pStyle w:val="TableText"/>
              <w:ind w:left="2774"/>
              <w:spacing w:before="112" w:line="220" w:lineRule="auto"/>
              <w:rPr/>
            </w:pPr>
            <w:r>
              <w:rPr>
                <w:b/>
                <w:bCs/>
                <w:spacing w:val="-5"/>
              </w:rPr>
              <w:t>情节后果</w:t>
            </w:r>
          </w:p>
        </w:tc>
        <w:tc>
          <w:tcPr>
            <w:tcW w:w="5961" w:type="dxa"/>
            <w:vAlign w:val="top"/>
          </w:tcPr>
          <w:p>
            <w:pPr>
              <w:pStyle w:val="TableText"/>
              <w:ind w:left="2499"/>
              <w:spacing w:before="109" w:line="218" w:lineRule="auto"/>
              <w:rPr/>
            </w:pPr>
            <w:r>
              <w:rPr>
                <w:b/>
                <w:bCs/>
                <w:spacing w:val="-5"/>
              </w:rPr>
              <w:t>裁量幅度</w:t>
            </w:r>
          </w:p>
        </w:tc>
      </w:tr>
      <w:tr>
        <w:trPr>
          <w:trHeight w:val="886" w:hRule="atLeast"/>
        </w:trPr>
        <w:tc>
          <w:tcPr>
            <w:tcW w:w="1414" w:type="dxa"/>
            <w:vAlign w:val="top"/>
          </w:tcPr>
          <w:p>
            <w:pPr>
              <w:spacing w:line="251" w:lineRule="auto"/>
              <w:rPr>
                <w:rFonts w:ascii="Arial"/>
                <w:sz w:val="21"/>
              </w:rPr>
            </w:pPr>
            <w:r/>
          </w:p>
          <w:p>
            <w:pPr>
              <w:pStyle w:val="TableText"/>
              <w:ind w:left="458"/>
              <w:spacing w:before="78" w:line="221" w:lineRule="auto"/>
              <w:rPr/>
            </w:pPr>
            <w:r>
              <w:rPr>
                <w:b/>
                <w:bCs/>
                <w:spacing w:val="-10"/>
              </w:rPr>
              <w:t>一般</w:t>
            </w:r>
          </w:p>
        </w:tc>
        <w:tc>
          <w:tcPr>
            <w:tcW w:w="6515" w:type="dxa"/>
            <w:vAlign w:val="top"/>
          </w:tcPr>
          <w:p>
            <w:pPr>
              <w:pStyle w:val="TableText"/>
              <w:ind w:left="121" w:right="144" w:firstLine="9"/>
              <w:spacing w:before="150" w:line="279" w:lineRule="auto"/>
              <w:rPr/>
            </w:pPr>
            <w:r>
              <w:rPr>
                <w:spacing w:val="-1"/>
              </w:rPr>
              <w:t>专门从事心理治疗的人员为精神障碍患者开具处方或者提供</w:t>
            </w:r>
            <w:r>
              <w:rPr>
                <w:spacing w:val="14"/>
              </w:rPr>
              <w:t xml:space="preserve"> </w:t>
            </w:r>
            <w:r>
              <w:rPr>
                <w:spacing w:val="3"/>
              </w:rPr>
              <w:t>外科治疗的</w:t>
            </w:r>
          </w:p>
        </w:tc>
        <w:tc>
          <w:tcPr>
            <w:tcW w:w="5961" w:type="dxa"/>
            <w:vAlign w:val="top"/>
          </w:tcPr>
          <w:p>
            <w:pPr>
              <w:pStyle w:val="TableText"/>
              <w:ind w:left="134" w:hanging="98"/>
              <w:spacing w:before="150" w:line="279" w:lineRule="auto"/>
              <w:rPr/>
            </w:pPr>
            <w:r>
              <w:rPr>
                <w:spacing w:val="-4"/>
              </w:rPr>
              <w:t>责令改正，给予警告，并处五千元以上一万元以下罚款，</w:t>
            </w:r>
            <w:r>
              <w:rPr>
                <w:spacing w:val="13"/>
              </w:rPr>
              <w:t xml:space="preserve"> </w:t>
            </w:r>
            <w:r>
              <w:rPr>
                <w:spacing w:val="-2"/>
              </w:rPr>
              <w:t>没收违法所得</w:t>
            </w:r>
          </w:p>
        </w:tc>
      </w:tr>
      <w:tr>
        <w:trPr>
          <w:trHeight w:val="881" w:hRule="atLeast"/>
        </w:trPr>
        <w:tc>
          <w:tcPr>
            <w:tcW w:w="1414" w:type="dxa"/>
            <w:vAlign w:val="top"/>
          </w:tcPr>
          <w:p>
            <w:pPr>
              <w:spacing w:line="304" w:lineRule="auto"/>
              <w:rPr>
                <w:rFonts w:ascii="Arial"/>
                <w:sz w:val="21"/>
              </w:rPr>
            </w:pPr>
            <w:r/>
          </w:p>
          <w:p>
            <w:pPr>
              <w:pStyle w:val="TableText"/>
              <w:ind w:left="458"/>
              <w:spacing w:before="78" w:line="220" w:lineRule="auto"/>
              <w:rPr/>
            </w:pPr>
            <w:r>
              <w:rPr>
                <w:b/>
                <w:bCs/>
                <w:spacing w:val="-6"/>
              </w:rPr>
              <w:t>严重</w:t>
            </w:r>
          </w:p>
        </w:tc>
        <w:tc>
          <w:tcPr>
            <w:tcW w:w="6515" w:type="dxa"/>
            <w:vAlign w:val="top"/>
          </w:tcPr>
          <w:p>
            <w:pPr>
              <w:pStyle w:val="TableText"/>
              <w:ind w:left="131" w:right="144"/>
              <w:spacing w:before="156" w:line="275" w:lineRule="auto"/>
              <w:rPr/>
            </w:pPr>
            <w:r>
              <w:rPr>
                <w:spacing w:val="-1"/>
              </w:rPr>
              <w:t>专门从事心理治疗的人员为精神障碍患者开具处方或者提供</w:t>
            </w:r>
            <w:r>
              <w:rPr>
                <w:spacing w:val="14"/>
              </w:rPr>
              <w:t xml:space="preserve"> </w:t>
            </w:r>
            <w:r>
              <w:rPr>
                <w:spacing w:val="1"/>
              </w:rPr>
              <w:t>外科治疗，造成严重后果的</w:t>
            </w:r>
          </w:p>
        </w:tc>
        <w:tc>
          <w:tcPr>
            <w:tcW w:w="5961" w:type="dxa"/>
            <w:vAlign w:val="top"/>
          </w:tcPr>
          <w:p>
            <w:pPr>
              <w:pStyle w:val="TableText"/>
              <w:ind w:left="122" w:hanging="107"/>
              <w:spacing w:before="156" w:line="275" w:lineRule="auto"/>
              <w:rPr/>
            </w:pPr>
            <w:r>
              <w:rPr>
                <w:spacing w:val="-3"/>
              </w:rPr>
              <w:t>责令改正，给予警告，并处一万元罚款，没收违法所得；</w:t>
            </w:r>
            <w:r>
              <w:rPr>
                <w:spacing w:val="9"/>
              </w:rPr>
              <w:t xml:space="preserve"> </w:t>
            </w:r>
            <w:r>
              <w:rPr>
                <w:spacing w:val="-4"/>
              </w:rPr>
              <w:t>责令暂停六个月以上一年以下执业活动</w:t>
            </w:r>
          </w:p>
        </w:tc>
      </w:tr>
    </w:tbl>
    <w:p>
      <w:pPr>
        <w:pStyle w:val="BodyText"/>
        <w:rPr/>
      </w:pPr>
      <w:r/>
    </w:p>
    <w:p>
      <w:pPr>
        <w:sectPr>
          <w:footerReference w:type="default" r:id="rId287"/>
          <w:pgSz w:w="16830" w:h="11900"/>
          <w:pgMar w:top="1011" w:right="1444" w:bottom="1107" w:left="1414" w:header="0" w:footer="774" w:gutter="0"/>
        </w:sectPr>
        <w:rPr/>
      </w:pPr>
    </w:p>
    <w:p>
      <w:pPr>
        <w:spacing w:before="20"/>
        <w:rPr/>
      </w:pPr>
      <w:r/>
    </w:p>
    <w:p>
      <w:pPr>
        <w:spacing w:before="20"/>
        <w:rPr/>
      </w:pPr>
      <w:r/>
    </w:p>
    <w:p>
      <w:pPr>
        <w:spacing w:before="19"/>
        <w:rPr/>
      </w:pPr>
      <w:r/>
    </w:p>
    <w:tbl>
      <w:tblPr>
        <w:tblStyle w:val="TableNormal"/>
        <w:tblW w:w="13889" w:type="dxa"/>
        <w:tblInd w:w="1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6515"/>
        <w:gridCol w:w="5960"/>
      </w:tblGrid>
      <w:tr>
        <w:trPr>
          <w:trHeight w:val="919" w:hRule="atLeast"/>
        </w:trPr>
        <w:tc>
          <w:tcPr>
            <w:tcW w:w="1414" w:type="dxa"/>
            <w:vAlign w:val="top"/>
          </w:tcPr>
          <w:p>
            <w:pPr>
              <w:spacing w:line="261" w:lineRule="auto"/>
              <w:rPr>
                <w:rFonts w:ascii="Arial"/>
                <w:sz w:val="21"/>
              </w:rPr>
            </w:pPr>
            <w:r/>
          </w:p>
          <w:p>
            <w:pPr>
              <w:pStyle w:val="TableText"/>
              <w:ind w:left="218"/>
              <w:spacing w:before="79" w:line="219" w:lineRule="auto"/>
              <w:rPr/>
            </w:pPr>
            <w:bookmarkStart w:name="bookmark943" w:id="311"/>
            <w:bookmarkEnd w:id="311"/>
            <w:r>
              <w:rPr>
                <w:b/>
                <w:bCs/>
                <w:spacing w:val="-5"/>
              </w:rPr>
              <w:t>特别严重</w:t>
            </w:r>
          </w:p>
        </w:tc>
        <w:tc>
          <w:tcPr>
            <w:tcW w:w="6515" w:type="dxa"/>
            <w:vAlign w:val="top"/>
          </w:tcPr>
          <w:p>
            <w:pPr>
              <w:pStyle w:val="TableText"/>
              <w:ind w:left="249" w:right="144" w:hanging="119"/>
              <w:spacing w:before="155" w:line="290" w:lineRule="auto"/>
              <w:rPr/>
            </w:pPr>
            <w:r>
              <w:rPr>
                <w:spacing w:val="-1"/>
              </w:rPr>
              <w:t>专门从事心理治疗的人员违反规定为精神障碍患者开具处方</w:t>
            </w:r>
            <w:r>
              <w:rPr>
                <w:spacing w:val="14"/>
              </w:rPr>
              <w:t xml:space="preserve"> </w:t>
            </w:r>
            <w:r>
              <w:rPr/>
              <w:t>或者提供外科治疗，造成严重后果且产生恶劣社会影响的</w:t>
            </w:r>
          </w:p>
        </w:tc>
        <w:tc>
          <w:tcPr>
            <w:tcW w:w="5960" w:type="dxa"/>
            <w:vAlign w:val="top"/>
          </w:tcPr>
          <w:p>
            <w:pPr>
              <w:pStyle w:val="TableText"/>
              <w:ind w:left="125"/>
              <w:spacing w:before="162" w:line="287" w:lineRule="auto"/>
              <w:rPr/>
            </w:pPr>
            <w:r>
              <w:rPr>
                <w:spacing w:val="-7"/>
              </w:rPr>
              <w:t>责令改正，给予警告，并处一万元罚款，没收违法所</w:t>
            </w:r>
            <w:r>
              <w:rPr>
                <w:spacing w:val="-8"/>
              </w:rPr>
              <w:t>得；</w:t>
            </w:r>
            <w:r>
              <w:rPr/>
              <w:t xml:space="preserve"> </w:t>
            </w:r>
            <w:r>
              <w:rPr>
                <w:spacing w:val="-2"/>
              </w:rPr>
              <w:t>并吊销执业证书</w:t>
            </w:r>
          </w:p>
        </w:tc>
      </w:tr>
    </w:tbl>
    <w:p>
      <w:pPr>
        <w:pStyle w:val="BodyText"/>
        <w:spacing w:line="472" w:lineRule="auto"/>
        <w:rPr/>
      </w:pPr>
      <w:r/>
    </w:p>
    <w:p>
      <w:pPr>
        <w:ind w:left="899"/>
        <w:spacing w:before="100" w:line="223" w:lineRule="auto"/>
        <w:rPr>
          <w:rFonts w:ascii="KaiTi" w:hAnsi="KaiTi" w:eastAsia="KaiTi" w:cs="KaiTi"/>
          <w:sz w:val="31"/>
          <w:szCs w:val="31"/>
        </w:rPr>
      </w:pPr>
      <w:r>
        <w:rPr>
          <w:rFonts w:ascii="KaiTi" w:hAnsi="KaiTi" w:eastAsia="KaiTi" w:cs="KaiTi"/>
          <w:sz w:val="31"/>
          <w:szCs w:val="31"/>
          <w:b/>
          <w:bCs/>
          <w:spacing w:val="19"/>
        </w:rPr>
        <w:t>(十)《健康体检管理暂行规定》</w:t>
      </w:r>
    </w:p>
    <w:p>
      <w:pPr>
        <w:ind w:left="789"/>
        <w:spacing w:before="327" w:line="220" w:lineRule="auto"/>
        <w:rPr>
          <w:rFonts w:ascii="FangSong" w:hAnsi="FangSong" w:eastAsia="FangSong" w:cs="FangSong"/>
          <w:sz w:val="31"/>
          <w:szCs w:val="31"/>
        </w:rPr>
      </w:pPr>
      <w:r>
        <w:rPr>
          <w:rFonts w:ascii="FangSong" w:hAnsi="FangSong" w:eastAsia="FangSong" w:cs="FangSong"/>
          <w:sz w:val="31"/>
          <w:szCs w:val="31"/>
          <w:b/>
          <w:bCs/>
          <w:spacing w:val="14"/>
        </w:rPr>
        <w:t>第二百二十八条医疗机构未经许可开展健康体检的</w:t>
      </w:r>
    </w:p>
    <w:p>
      <w:pPr>
        <w:ind w:left="785"/>
        <w:spacing w:before="97"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124" w:right="112" w:firstLine="614"/>
        <w:spacing w:before="93" w:line="257" w:lineRule="auto"/>
        <w:rPr>
          <w:rFonts w:ascii="FangSong" w:hAnsi="FangSong" w:eastAsia="FangSong" w:cs="FangSong"/>
          <w:sz w:val="31"/>
          <w:szCs w:val="31"/>
        </w:rPr>
      </w:pPr>
      <w:r>
        <w:rPr>
          <w:rFonts w:ascii="FangSong" w:hAnsi="FangSong" w:eastAsia="FangSong" w:cs="FangSong"/>
          <w:sz w:val="31"/>
          <w:szCs w:val="31"/>
          <w:spacing w:val="7"/>
        </w:rPr>
        <w:t>《健康体检管理暂行规定》第二十九条第二款</w:t>
      </w:r>
      <w:r>
        <w:rPr>
          <w:rFonts w:ascii="FangSong" w:hAnsi="FangSong" w:eastAsia="FangSong" w:cs="FangSong"/>
          <w:sz w:val="31"/>
          <w:szCs w:val="31"/>
          <w:spacing w:val="7"/>
        </w:rPr>
        <w:t xml:space="preserve">  </w:t>
      </w:r>
      <w:r>
        <w:rPr>
          <w:rFonts w:ascii="FangSong" w:hAnsi="FangSong" w:eastAsia="FangSong" w:cs="FangSong"/>
          <w:sz w:val="31"/>
          <w:szCs w:val="31"/>
          <w:spacing w:val="7"/>
        </w:rPr>
        <w:t>医疗机构未经许可开展健康体检的，按照《医疗</w:t>
      </w:r>
      <w:r>
        <w:rPr>
          <w:rFonts w:ascii="FangSong" w:hAnsi="FangSong" w:eastAsia="FangSong" w:cs="FangSong"/>
          <w:sz w:val="31"/>
          <w:szCs w:val="31"/>
          <w:spacing w:val="5"/>
        </w:rPr>
        <w:t xml:space="preserve"> </w:t>
      </w:r>
      <w:r>
        <w:rPr>
          <w:rFonts w:ascii="FangSong" w:hAnsi="FangSong" w:eastAsia="FangSong" w:cs="FangSong"/>
          <w:sz w:val="31"/>
          <w:szCs w:val="31"/>
          <w:spacing w:val="6"/>
        </w:rPr>
        <w:t>机构管理条例》第四十七条处理。</w:t>
      </w:r>
    </w:p>
    <w:p>
      <w:pPr>
        <w:ind w:left="124" w:right="103" w:firstLine="614"/>
        <w:spacing w:before="3" w:line="270" w:lineRule="auto"/>
        <w:jc w:val="both"/>
        <w:rPr>
          <w:rFonts w:ascii="FangSong" w:hAnsi="FangSong" w:eastAsia="FangSong" w:cs="FangSong"/>
          <w:sz w:val="27"/>
          <w:szCs w:val="27"/>
        </w:rPr>
      </w:pPr>
      <w:r>
        <w:rPr>
          <w:rFonts w:ascii="FangSong" w:hAnsi="FangSong" w:eastAsia="FangSong" w:cs="FangSong"/>
          <w:sz w:val="31"/>
          <w:szCs w:val="31"/>
          <w:spacing w:val="7"/>
        </w:rPr>
        <w:t>《医疗机构管理条例》第四十六条</w:t>
      </w:r>
      <w:r>
        <w:rPr>
          <w:rFonts w:ascii="FangSong" w:hAnsi="FangSong" w:eastAsia="FangSong" w:cs="FangSong"/>
          <w:sz w:val="31"/>
          <w:szCs w:val="31"/>
          <w:spacing w:val="7"/>
        </w:rPr>
        <w:t xml:space="preserve">  </w:t>
      </w:r>
      <w:r>
        <w:rPr>
          <w:rFonts w:ascii="FangSong" w:hAnsi="FangSong" w:eastAsia="FangSong" w:cs="FangSong"/>
          <w:sz w:val="31"/>
          <w:szCs w:val="31"/>
          <w:spacing w:val="7"/>
        </w:rPr>
        <w:t>违反本条例第二十六条规定，诊疗活动超出登记或者备案范</w:t>
      </w:r>
      <w:r>
        <w:rPr>
          <w:rFonts w:ascii="FangSong" w:hAnsi="FangSong" w:eastAsia="FangSong" w:cs="FangSong"/>
          <w:sz w:val="31"/>
          <w:szCs w:val="31"/>
          <w:spacing w:val="14"/>
        </w:rPr>
        <w:t xml:space="preserve"> </w:t>
      </w:r>
      <w:r>
        <w:rPr>
          <w:rFonts w:ascii="FangSong" w:hAnsi="FangSong" w:eastAsia="FangSong" w:cs="FangSong"/>
          <w:sz w:val="31"/>
          <w:szCs w:val="31"/>
          <w:spacing w:val="7"/>
        </w:rPr>
        <w:t>围的，由县级以上人民政府卫生行政部门予以警告、责令其改正，没收违法所得，</w:t>
      </w:r>
      <w:r>
        <w:rPr>
          <w:rFonts w:ascii="FangSong" w:hAnsi="FangSong" w:eastAsia="FangSong" w:cs="FangSong"/>
          <w:sz w:val="31"/>
          <w:szCs w:val="31"/>
          <w:spacing w:val="6"/>
        </w:rPr>
        <w:t>并可以根据情节处</w:t>
      </w:r>
      <w:r>
        <w:rPr>
          <w:rFonts w:ascii="FangSong" w:hAnsi="FangSong" w:eastAsia="FangSong" w:cs="FangSong"/>
          <w:sz w:val="31"/>
          <w:szCs w:val="31"/>
        </w:rPr>
        <w:t xml:space="preserve"> </w:t>
      </w:r>
      <w:r>
        <w:rPr>
          <w:rFonts w:ascii="FangSong" w:hAnsi="FangSong" w:eastAsia="FangSong" w:cs="FangSong"/>
          <w:sz w:val="31"/>
          <w:szCs w:val="31"/>
          <w:spacing w:val="18"/>
        </w:rPr>
        <w:t>以1万元以上10万元以下的罚款；情节严重的</w:t>
      </w:r>
      <w:r>
        <w:rPr>
          <w:rFonts w:ascii="FangSong" w:hAnsi="FangSong" w:eastAsia="FangSong" w:cs="FangSong"/>
          <w:sz w:val="31"/>
          <w:szCs w:val="31"/>
          <w:spacing w:val="17"/>
        </w:rPr>
        <w:t>，吊销其《医疗机构执业许可证》或者责令其停止执</w:t>
      </w:r>
      <w:r>
        <w:rPr>
          <w:rFonts w:ascii="FangSong" w:hAnsi="FangSong" w:eastAsia="FangSong" w:cs="FangSong"/>
          <w:sz w:val="31"/>
          <w:szCs w:val="31"/>
        </w:rPr>
        <w:t xml:space="preserve"> </w:t>
      </w:r>
      <w:r>
        <w:rPr>
          <w:rFonts w:ascii="FangSong" w:hAnsi="FangSong" w:eastAsia="FangSong" w:cs="FangSong"/>
          <w:sz w:val="27"/>
          <w:szCs w:val="27"/>
          <w:spacing w:val="28"/>
        </w:rPr>
        <w:t>业活动。</w:t>
      </w:r>
    </w:p>
    <w:p>
      <w:pPr>
        <w:ind w:left="6539"/>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34" w:lineRule="auto"/>
        <w:rPr>
          <w:rFonts w:ascii="Arial"/>
          <w:sz w:val="2"/>
        </w:rPr>
      </w:pPr>
      <w:r>
        <w:rPr>
          <w:rFonts w:ascii="Arial"/>
          <w:sz w:val="2"/>
        </w:r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5766"/>
        <w:gridCol w:w="6960"/>
      </w:tblGrid>
      <w:tr>
        <w:trPr>
          <w:trHeight w:val="423" w:hRule="atLeast"/>
        </w:trPr>
        <w:tc>
          <w:tcPr>
            <w:tcW w:w="1444" w:type="dxa"/>
            <w:vAlign w:val="top"/>
          </w:tcPr>
          <w:p>
            <w:pPr>
              <w:pStyle w:val="TableText"/>
              <w:ind w:left="218"/>
              <w:spacing w:before="92" w:line="220" w:lineRule="auto"/>
              <w:rPr>
                <w:sz w:val="25"/>
                <w:szCs w:val="25"/>
              </w:rPr>
            </w:pPr>
            <w:r>
              <w:rPr>
                <w:sz w:val="25"/>
                <w:szCs w:val="25"/>
                <w:b/>
                <w:bCs/>
                <w:spacing w:val="-5"/>
              </w:rPr>
              <w:t>违法程度</w:t>
            </w:r>
          </w:p>
        </w:tc>
        <w:tc>
          <w:tcPr>
            <w:tcW w:w="5766" w:type="dxa"/>
            <w:vAlign w:val="top"/>
          </w:tcPr>
          <w:p>
            <w:pPr>
              <w:pStyle w:val="TableText"/>
              <w:ind w:left="2374"/>
              <w:spacing w:before="92" w:line="220" w:lineRule="auto"/>
              <w:rPr>
                <w:sz w:val="25"/>
                <w:szCs w:val="25"/>
              </w:rPr>
            </w:pPr>
            <w:r>
              <w:rPr>
                <w:sz w:val="25"/>
                <w:szCs w:val="25"/>
                <w:b/>
                <w:bCs/>
                <w:spacing w:val="-5"/>
              </w:rPr>
              <w:t>违法后果</w:t>
            </w:r>
          </w:p>
        </w:tc>
        <w:tc>
          <w:tcPr>
            <w:tcW w:w="6960" w:type="dxa"/>
            <w:vAlign w:val="top"/>
          </w:tcPr>
          <w:p>
            <w:pPr>
              <w:pStyle w:val="TableText"/>
              <w:ind w:left="2978"/>
              <w:spacing w:before="89" w:line="218" w:lineRule="auto"/>
              <w:rPr>
                <w:sz w:val="25"/>
                <w:szCs w:val="25"/>
              </w:rPr>
            </w:pPr>
            <w:r>
              <w:rPr>
                <w:sz w:val="25"/>
                <w:szCs w:val="25"/>
                <w:b/>
                <w:bCs/>
                <w:spacing w:val="-5"/>
              </w:rPr>
              <w:t>裁量幅度</w:t>
            </w:r>
          </w:p>
        </w:tc>
      </w:tr>
      <w:tr>
        <w:trPr>
          <w:trHeight w:val="1307" w:hRule="atLeast"/>
        </w:trPr>
        <w:tc>
          <w:tcPr>
            <w:tcW w:w="1444" w:type="dxa"/>
            <w:vAlign w:val="top"/>
          </w:tcPr>
          <w:p>
            <w:pPr>
              <w:spacing w:line="446" w:lineRule="auto"/>
              <w:rPr>
                <w:rFonts w:ascii="Arial"/>
                <w:sz w:val="21"/>
              </w:rPr>
            </w:pPr>
            <w:r/>
          </w:p>
          <w:p>
            <w:pPr>
              <w:pStyle w:val="TableText"/>
              <w:ind w:left="468"/>
              <w:spacing w:before="81" w:line="221" w:lineRule="auto"/>
              <w:rPr>
                <w:sz w:val="25"/>
                <w:szCs w:val="25"/>
              </w:rPr>
            </w:pPr>
            <w:r>
              <w:rPr>
                <w:sz w:val="25"/>
                <w:szCs w:val="25"/>
                <w:b/>
                <w:bCs/>
                <w:spacing w:val="-10"/>
              </w:rPr>
              <w:t>一般</w:t>
            </w:r>
          </w:p>
        </w:tc>
        <w:tc>
          <w:tcPr>
            <w:tcW w:w="5766" w:type="dxa"/>
            <w:vAlign w:val="top"/>
          </w:tcPr>
          <w:p>
            <w:pPr>
              <w:pStyle w:val="TableText"/>
              <w:ind w:left="62" w:hanging="48"/>
              <w:spacing w:before="159" w:line="280" w:lineRule="auto"/>
              <w:jc w:val="both"/>
              <w:rPr>
                <w:sz w:val="25"/>
                <w:szCs w:val="25"/>
              </w:rPr>
            </w:pPr>
            <w:r>
              <w:rPr>
                <w:sz w:val="25"/>
                <w:szCs w:val="25"/>
                <w:b/>
                <w:bCs/>
                <w:spacing w:val="-3"/>
              </w:rPr>
              <w:t>医疗机构未经许可开展健康体检的，无违法所得的、</w:t>
            </w:r>
            <w:r>
              <w:rPr>
                <w:sz w:val="25"/>
                <w:szCs w:val="25"/>
              </w:rPr>
              <w:t xml:space="preserve"> </w:t>
            </w:r>
            <w:r>
              <w:rPr>
                <w:sz w:val="25"/>
                <w:szCs w:val="25"/>
                <w:b/>
                <w:bCs/>
                <w:spacing w:val="-8"/>
              </w:rPr>
              <w:t>违法所得无法认定的或诊疗活动违法所得在1万元以</w:t>
            </w:r>
            <w:r>
              <w:rPr>
                <w:sz w:val="25"/>
                <w:szCs w:val="25"/>
                <w:spacing w:val="5"/>
              </w:rPr>
              <w:t xml:space="preserve">  </w:t>
            </w:r>
            <w:r>
              <w:rPr>
                <w:sz w:val="25"/>
                <w:szCs w:val="25"/>
                <w:b/>
                <w:bCs/>
                <w:spacing w:val="17"/>
              </w:rPr>
              <w:t>下的</w:t>
            </w:r>
          </w:p>
        </w:tc>
        <w:tc>
          <w:tcPr>
            <w:tcW w:w="6960" w:type="dxa"/>
            <w:vAlign w:val="top"/>
          </w:tcPr>
          <w:p>
            <w:pPr>
              <w:spacing w:line="293" w:lineRule="auto"/>
              <w:rPr>
                <w:rFonts w:ascii="Arial"/>
                <w:sz w:val="21"/>
              </w:rPr>
            </w:pPr>
            <w:r/>
          </w:p>
          <w:p>
            <w:pPr>
              <w:pStyle w:val="TableText"/>
              <w:ind w:left="228" w:hanging="210"/>
              <w:spacing w:before="81" w:line="321" w:lineRule="auto"/>
              <w:rPr>
                <w:sz w:val="25"/>
                <w:szCs w:val="25"/>
              </w:rPr>
            </w:pPr>
            <w:r>
              <w:rPr>
                <w:sz w:val="25"/>
                <w:szCs w:val="25"/>
                <w:b/>
                <w:bCs/>
                <w:spacing w:val="-5"/>
              </w:rPr>
              <w:t>由县级以上人民政府卫生行政部门予以警告、责令其改</w:t>
            </w:r>
            <w:r>
              <w:rPr>
                <w:sz w:val="25"/>
                <w:szCs w:val="25"/>
                <w:b/>
                <w:bCs/>
                <w:spacing w:val="-6"/>
              </w:rPr>
              <w:t>正，没收</w:t>
            </w:r>
            <w:r>
              <w:rPr>
                <w:sz w:val="25"/>
                <w:szCs w:val="25"/>
              </w:rPr>
              <w:t xml:space="preserve"> </w:t>
            </w:r>
            <w:r>
              <w:rPr>
                <w:sz w:val="25"/>
                <w:szCs w:val="25"/>
                <w:b/>
                <w:bCs/>
                <w:spacing w:val="-3"/>
              </w:rPr>
              <w:t>违法所得，并可以根据情节处以1万元以上3万元以下的</w:t>
            </w:r>
            <w:r>
              <w:rPr>
                <w:sz w:val="25"/>
                <w:szCs w:val="25"/>
                <w:b/>
                <w:bCs/>
                <w:spacing w:val="-4"/>
              </w:rPr>
              <w:t>罚款</w:t>
            </w:r>
          </w:p>
        </w:tc>
      </w:tr>
    </w:tbl>
    <w:p>
      <w:pPr>
        <w:pStyle w:val="BodyText"/>
        <w:spacing w:line="263" w:lineRule="auto"/>
        <w:rPr/>
      </w:pPr>
      <w:r/>
    </w:p>
    <w:p>
      <w:pPr>
        <w:pStyle w:val="BodyText"/>
        <w:spacing w:line="263" w:lineRule="auto"/>
        <w:rPr/>
      </w:pPr>
      <w:r/>
    </w:p>
    <w:p>
      <w:pPr>
        <w:pStyle w:val="BodyText"/>
        <w:spacing w:line="264" w:lineRule="auto"/>
        <w:rPr/>
      </w:pPr>
      <w:r/>
    </w:p>
    <w:p>
      <w:pPr>
        <w:pStyle w:val="BodyText"/>
        <w:spacing w:line="264" w:lineRule="auto"/>
        <w:rPr/>
      </w:pPr>
      <w:r/>
    </w:p>
    <w:p>
      <w:pPr>
        <w:ind w:left="6474"/>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—312—</w:t>
      </w:r>
    </w:p>
    <w:p>
      <w:pPr>
        <w:spacing w:line="188" w:lineRule="auto"/>
        <w:sectPr>
          <w:footerReference w:type="default" r:id="rId24"/>
          <w:pgSz w:w="16830" w:h="11900"/>
          <w:pgMar w:top="1011" w:right="1335" w:bottom="400" w:left="1314" w:header="0" w:footer="0" w:gutter="0"/>
        </w:sectPr>
        <w:rPr>
          <w:rFonts w:ascii="Times New Roman" w:hAnsi="Times New Roman" w:eastAsia="Times New Roman" w:cs="Times New Roman"/>
          <w:sz w:val="37"/>
          <w:szCs w:val="37"/>
        </w:rPr>
      </w:pPr>
    </w:p>
    <w:p>
      <w:pPr>
        <w:spacing w:before="20"/>
        <w:rPr/>
      </w:pPr>
      <w:r/>
    </w:p>
    <w:p>
      <w:pPr>
        <w:spacing w:before="20"/>
        <w:rPr/>
      </w:pPr>
      <w:r/>
    </w:p>
    <w:p>
      <w:pPr>
        <w:spacing w:before="19"/>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4"/>
        <w:gridCol w:w="5756"/>
        <w:gridCol w:w="6950"/>
      </w:tblGrid>
      <w:tr>
        <w:trPr>
          <w:trHeight w:val="883" w:hRule="atLeast"/>
        </w:trPr>
        <w:tc>
          <w:tcPr>
            <w:tcW w:w="1454" w:type="dxa"/>
            <w:vAlign w:val="top"/>
          </w:tcPr>
          <w:p>
            <w:pPr>
              <w:spacing w:line="242" w:lineRule="auto"/>
              <w:rPr>
                <w:rFonts w:ascii="Arial"/>
                <w:sz w:val="21"/>
              </w:rPr>
            </w:pPr>
            <w:r/>
          </w:p>
          <w:p>
            <w:pPr>
              <w:pStyle w:val="TableText"/>
              <w:ind w:left="468"/>
              <w:spacing w:before="81" w:line="221" w:lineRule="auto"/>
              <w:rPr>
                <w:sz w:val="25"/>
                <w:szCs w:val="25"/>
              </w:rPr>
            </w:pPr>
            <w:bookmarkStart w:name="bookmark944" w:id="312"/>
            <w:bookmarkEnd w:id="312"/>
            <w:r>
              <w:rPr>
                <w:sz w:val="25"/>
                <w:szCs w:val="25"/>
                <w:b/>
                <w:bCs/>
                <w:spacing w:val="-6"/>
              </w:rPr>
              <w:t>较重</w:t>
            </w:r>
          </w:p>
        </w:tc>
        <w:tc>
          <w:tcPr>
            <w:tcW w:w="5756" w:type="dxa"/>
            <w:vAlign w:val="top"/>
          </w:tcPr>
          <w:p>
            <w:pPr>
              <w:pStyle w:val="TableText"/>
              <w:ind w:left="100"/>
              <w:spacing w:before="133" w:line="273" w:lineRule="auto"/>
              <w:rPr>
                <w:sz w:val="25"/>
                <w:szCs w:val="25"/>
              </w:rPr>
            </w:pPr>
            <w:r>
              <w:rPr>
                <w:sz w:val="25"/>
                <w:szCs w:val="25"/>
                <w:spacing w:val="1"/>
              </w:rPr>
              <w:t>医疗机构未经许可开展健康体检的，违法所</w:t>
            </w:r>
            <w:r>
              <w:rPr>
                <w:sz w:val="25"/>
                <w:szCs w:val="25"/>
              </w:rPr>
              <w:t>得在1万 </w:t>
            </w:r>
            <w:r>
              <w:rPr>
                <w:sz w:val="25"/>
                <w:szCs w:val="25"/>
                <w:spacing w:val="2"/>
              </w:rPr>
              <w:t>元以上5万元以内的</w:t>
            </w:r>
          </w:p>
        </w:tc>
        <w:tc>
          <w:tcPr>
            <w:tcW w:w="6950" w:type="dxa"/>
            <w:vAlign w:val="top"/>
          </w:tcPr>
          <w:p>
            <w:pPr>
              <w:pStyle w:val="TableText"/>
              <w:ind w:left="214" w:hanging="199"/>
              <w:spacing w:before="133" w:line="273" w:lineRule="auto"/>
              <w:rPr>
                <w:sz w:val="25"/>
                <w:szCs w:val="25"/>
              </w:rPr>
            </w:pPr>
            <w:r>
              <w:rPr>
                <w:sz w:val="25"/>
                <w:szCs w:val="25"/>
                <w:spacing w:val="-3"/>
              </w:rPr>
              <w:t>由县级以上人民政府卫生行政部门予以警告、责令其改正，没收</w:t>
            </w:r>
            <w:r>
              <w:rPr>
                <w:sz w:val="25"/>
                <w:szCs w:val="25"/>
                <w:spacing w:val="7"/>
              </w:rPr>
              <w:t xml:space="preserve"> </w:t>
            </w:r>
            <w:r>
              <w:rPr>
                <w:sz w:val="25"/>
                <w:szCs w:val="25"/>
              </w:rPr>
              <w:t>违法所得，并可以根据情节处以3万元以上8万元以下的罚款</w:t>
            </w:r>
          </w:p>
        </w:tc>
      </w:tr>
      <w:tr>
        <w:trPr>
          <w:trHeight w:val="1755" w:hRule="atLeast"/>
        </w:trPr>
        <w:tc>
          <w:tcPr>
            <w:tcW w:w="1454" w:type="dxa"/>
            <w:vAlign w:val="top"/>
          </w:tcPr>
          <w:p>
            <w:pPr>
              <w:spacing w:line="337" w:lineRule="auto"/>
              <w:rPr>
                <w:rFonts w:ascii="Arial"/>
                <w:sz w:val="21"/>
              </w:rPr>
            </w:pPr>
            <w:r/>
          </w:p>
          <w:p>
            <w:pPr>
              <w:spacing w:line="337" w:lineRule="auto"/>
              <w:rPr>
                <w:rFonts w:ascii="Arial"/>
                <w:sz w:val="21"/>
              </w:rPr>
            </w:pPr>
            <w:r/>
          </w:p>
          <w:p>
            <w:pPr>
              <w:pStyle w:val="TableText"/>
              <w:ind w:left="468"/>
              <w:spacing w:before="81" w:line="220" w:lineRule="auto"/>
              <w:rPr>
                <w:sz w:val="25"/>
                <w:szCs w:val="25"/>
              </w:rPr>
            </w:pPr>
            <w:r>
              <w:rPr>
                <w:sz w:val="25"/>
                <w:szCs w:val="25"/>
                <w:b/>
                <w:bCs/>
                <w:spacing w:val="-6"/>
              </w:rPr>
              <w:t>严重</w:t>
            </w:r>
          </w:p>
        </w:tc>
        <w:tc>
          <w:tcPr>
            <w:tcW w:w="5756" w:type="dxa"/>
            <w:vAlign w:val="top"/>
          </w:tcPr>
          <w:p>
            <w:pPr>
              <w:pStyle w:val="TableText"/>
              <w:ind w:left="100"/>
              <w:spacing w:before="143" w:line="220" w:lineRule="auto"/>
              <w:rPr>
                <w:sz w:val="25"/>
                <w:szCs w:val="25"/>
              </w:rPr>
            </w:pPr>
            <w:r>
              <w:rPr>
                <w:sz w:val="25"/>
                <w:szCs w:val="25"/>
                <w:spacing w:val="2"/>
              </w:rPr>
              <w:t>有下列情形之一的：</w:t>
            </w:r>
          </w:p>
          <w:p>
            <w:pPr>
              <w:pStyle w:val="TableText"/>
              <w:ind w:left="100" w:right="31" w:hanging="9"/>
              <w:spacing w:before="149" w:line="277" w:lineRule="auto"/>
              <w:rPr>
                <w:sz w:val="25"/>
                <w:szCs w:val="25"/>
              </w:rPr>
            </w:pPr>
            <w:r>
              <w:rPr>
                <w:sz w:val="25"/>
                <w:szCs w:val="25"/>
              </w:rPr>
              <w:t>A.医疗机构未经许可开展健康体检的，违法</w:t>
            </w:r>
            <w:r>
              <w:rPr>
                <w:sz w:val="25"/>
                <w:szCs w:val="25"/>
                <w:spacing w:val="-1"/>
              </w:rPr>
              <w:t>所得在5</w:t>
            </w:r>
            <w:r>
              <w:rPr>
                <w:sz w:val="25"/>
                <w:szCs w:val="25"/>
              </w:rPr>
              <w:t xml:space="preserve"> </w:t>
            </w:r>
            <w:r>
              <w:rPr>
                <w:sz w:val="25"/>
                <w:szCs w:val="25"/>
                <w:spacing w:val="3"/>
              </w:rPr>
              <w:t>万元以上的</w:t>
            </w:r>
          </w:p>
          <w:p>
            <w:pPr>
              <w:pStyle w:val="TableText"/>
              <w:ind w:left="100"/>
              <w:spacing w:before="111" w:line="216" w:lineRule="auto"/>
              <w:rPr>
                <w:sz w:val="25"/>
                <w:szCs w:val="25"/>
              </w:rPr>
            </w:pPr>
            <w:r>
              <w:rPr>
                <w:sz w:val="25"/>
                <w:szCs w:val="25"/>
                <w:spacing w:val="1"/>
              </w:rPr>
              <w:t>B.给患者造成伤害</w:t>
            </w:r>
          </w:p>
        </w:tc>
        <w:tc>
          <w:tcPr>
            <w:tcW w:w="6950" w:type="dxa"/>
            <w:vAlign w:val="top"/>
          </w:tcPr>
          <w:p>
            <w:pPr>
              <w:spacing w:line="242" w:lineRule="auto"/>
              <w:rPr>
                <w:rFonts w:ascii="Arial"/>
                <w:sz w:val="21"/>
              </w:rPr>
            </w:pPr>
            <w:r/>
          </w:p>
          <w:p>
            <w:pPr>
              <w:spacing w:line="243" w:lineRule="auto"/>
              <w:rPr>
                <w:rFonts w:ascii="Arial"/>
                <w:sz w:val="21"/>
              </w:rPr>
            </w:pPr>
            <w:r/>
          </w:p>
          <w:p>
            <w:pPr>
              <w:pStyle w:val="TableText"/>
              <w:ind w:left="24" w:hanging="9"/>
              <w:spacing w:before="81" w:line="336" w:lineRule="auto"/>
              <w:rPr>
                <w:sz w:val="25"/>
                <w:szCs w:val="25"/>
              </w:rPr>
            </w:pPr>
            <w:r>
              <w:rPr>
                <w:sz w:val="25"/>
                <w:szCs w:val="25"/>
                <w:spacing w:val="-6"/>
              </w:rPr>
              <w:t>由县级以上人民政府卫生行政部门予以警告、责令其改正，没收</w:t>
            </w:r>
            <w:r>
              <w:rPr>
                <w:sz w:val="25"/>
                <w:szCs w:val="25"/>
                <w:spacing w:val="7"/>
              </w:rPr>
              <w:t xml:space="preserve"> </w:t>
            </w:r>
            <w:r>
              <w:rPr>
                <w:sz w:val="25"/>
                <w:szCs w:val="25"/>
                <w:spacing w:val="1"/>
              </w:rPr>
              <w:t>违法所得，并可以根据情节处以8万元以上10万元以下的罚款；</w:t>
            </w:r>
          </w:p>
        </w:tc>
      </w:tr>
      <w:tr>
        <w:trPr>
          <w:trHeight w:val="1301" w:hRule="atLeast"/>
        </w:trPr>
        <w:tc>
          <w:tcPr>
            <w:tcW w:w="1454" w:type="dxa"/>
            <w:vAlign w:val="top"/>
          </w:tcPr>
          <w:p>
            <w:pPr>
              <w:spacing w:line="449" w:lineRule="auto"/>
              <w:rPr>
                <w:rFonts w:ascii="Arial"/>
                <w:sz w:val="21"/>
              </w:rPr>
            </w:pPr>
            <w:r/>
          </w:p>
          <w:p>
            <w:pPr>
              <w:pStyle w:val="TableText"/>
              <w:ind w:left="218"/>
              <w:spacing w:before="82" w:line="219" w:lineRule="auto"/>
              <w:rPr>
                <w:sz w:val="25"/>
                <w:szCs w:val="25"/>
              </w:rPr>
            </w:pPr>
            <w:r>
              <w:rPr>
                <w:sz w:val="25"/>
                <w:szCs w:val="25"/>
                <w:b/>
                <w:bCs/>
                <w:spacing w:val="-5"/>
              </w:rPr>
              <w:t>特别严重</w:t>
            </w:r>
          </w:p>
        </w:tc>
        <w:tc>
          <w:tcPr>
            <w:tcW w:w="5756" w:type="dxa"/>
            <w:vAlign w:val="top"/>
          </w:tcPr>
          <w:p>
            <w:pPr>
              <w:spacing w:line="454" w:lineRule="auto"/>
              <w:rPr>
                <w:rFonts w:ascii="Arial"/>
                <w:sz w:val="21"/>
              </w:rPr>
            </w:pPr>
            <w:r/>
          </w:p>
          <w:p>
            <w:pPr>
              <w:pStyle w:val="TableText"/>
              <w:ind w:left="100"/>
              <w:spacing w:before="81" w:line="220" w:lineRule="auto"/>
              <w:rPr>
                <w:sz w:val="25"/>
                <w:szCs w:val="25"/>
              </w:rPr>
            </w:pPr>
            <w:r>
              <w:rPr>
                <w:sz w:val="25"/>
                <w:szCs w:val="25"/>
                <w:spacing w:val="1"/>
              </w:rPr>
              <w:t>情节严重，造成患者死亡的</w:t>
            </w:r>
          </w:p>
        </w:tc>
        <w:tc>
          <w:tcPr>
            <w:tcW w:w="6950" w:type="dxa"/>
            <w:vAlign w:val="top"/>
          </w:tcPr>
          <w:p>
            <w:pPr>
              <w:pStyle w:val="TableText"/>
              <w:ind w:left="15"/>
              <w:spacing w:before="145" w:line="282" w:lineRule="auto"/>
              <w:jc w:val="both"/>
              <w:rPr>
                <w:sz w:val="25"/>
                <w:szCs w:val="25"/>
              </w:rPr>
            </w:pPr>
            <w:r>
              <w:rPr>
                <w:sz w:val="25"/>
                <w:szCs w:val="25"/>
                <w:spacing w:val="-3"/>
              </w:rPr>
              <w:t>由县级以上人民政府卫生行政部门予以警告、责令其改正，没收</w:t>
            </w:r>
            <w:r>
              <w:rPr>
                <w:sz w:val="25"/>
                <w:szCs w:val="25"/>
                <w:spacing w:val="7"/>
              </w:rPr>
              <w:t xml:space="preserve"> </w:t>
            </w:r>
            <w:r>
              <w:rPr>
                <w:sz w:val="25"/>
                <w:szCs w:val="25"/>
                <w:spacing w:val="-3"/>
              </w:rPr>
              <w:t>违法所得，并可以根据情节处以10万元的罚款，吊销其《医疗机</w:t>
            </w:r>
            <w:r>
              <w:rPr>
                <w:sz w:val="25"/>
                <w:szCs w:val="25"/>
                <w:spacing w:val="10"/>
              </w:rPr>
              <w:t xml:space="preserve"> </w:t>
            </w:r>
            <w:r>
              <w:rPr>
                <w:sz w:val="25"/>
                <w:szCs w:val="25"/>
                <w:spacing w:val="5"/>
              </w:rPr>
              <w:t>构执业许可证》或者责令其停止执业活动</w:t>
            </w:r>
          </w:p>
        </w:tc>
      </w:tr>
    </w:tbl>
    <w:p>
      <w:pPr>
        <w:pStyle w:val="BodyText"/>
        <w:spacing w:line="478" w:lineRule="auto"/>
        <w:rPr/>
      </w:pPr>
      <w:r/>
    </w:p>
    <w:p>
      <w:pPr>
        <w:ind w:left="909"/>
        <w:spacing w:before="97" w:line="224" w:lineRule="auto"/>
        <w:rPr>
          <w:rFonts w:ascii="KaiTi" w:hAnsi="KaiTi" w:eastAsia="KaiTi" w:cs="KaiTi"/>
          <w:sz w:val="30"/>
          <w:szCs w:val="30"/>
        </w:rPr>
      </w:pPr>
      <w:r>
        <w:rPr>
          <w:rFonts w:ascii="KaiTi" w:hAnsi="KaiTi" w:eastAsia="KaiTi" w:cs="KaiTi"/>
          <w:sz w:val="30"/>
          <w:szCs w:val="30"/>
          <w:b/>
          <w:bCs/>
          <w:spacing w:val="28"/>
        </w:rPr>
        <w:t>(十一)《中华人民共和国中医药法》</w:t>
      </w:r>
    </w:p>
    <w:p>
      <w:pPr>
        <w:ind w:left="759"/>
        <w:spacing w:before="314" w:line="220" w:lineRule="auto"/>
        <w:rPr>
          <w:rFonts w:ascii="FangSong" w:hAnsi="FangSong" w:eastAsia="FangSong" w:cs="FangSong"/>
          <w:sz w:val="30"/>
          <w:szCs w:val="30"/>
        </w:rPr>
      </w:pPr>
      <w:r>
        <w:rPr>
          <w:rFonts w:ascii="FangSong" w:hAnsi="FangSong" w:eastAsia="FangSong" w:cs="FangSong"/>
          <w:sz w:val="30"/>
          <w:szCs w:val="30"/>
          <w:b/>
          <w:bCs/>
          <w:spacing w:val="22"/>
        </w:rPr>
        <w:t>第二百二十九条中医诊所超出备案范围开展医疗活动的</w:t>
      </w:r>
    </w:p>
    <w:p>
      <w:pPr>
        <w:ind w:left="754"/>
        <w:spacing w:before="100" w:line="222" w:lineRule="auto"/>
        <w:rPr>
          <w:rFonts w:ascii="FangSong" w:hAnsi="FangSong" w:eastAsia="FangSong" w:cs="FangSong"/>
          <w:sz w:val="30"/>
          <w:szCs w:val="30"/>
        </w:rPr>
      </w:pPr>
      <w:r>
        <w:rPr>
          <w:rFonts w:ascii="FangSong" w:hAnsi="FangSong" w:eastAsia="FangSong" w:cs="FangSong"/>
          <w:sz w:val="30"/>
          <w:szCs w:val="30"/>
        </w:rPr>
        <w:t>法律依据：</w:t>
      </w:r>
    </w:p>
    <w:p>
      <w:pPr>
        <w:ind w:left="124" w:right="102" w:firstLine="629"/>
        <w:spacing w:before="79" w:line="250" w:lineRule="auto"/>
        <w:rPr>
          <w:rFonts w:ascii="FangSong" w:hAnsi="FangSong" w:eastAsia="FangSong" w:cs="FangSong"/>
          <w:sz w:val="30"/>
          <w:szCs w:val="30"/>
        </w:rPr>
      </w:pPr>
      <w:r>
        <w:rPr>
          <w:rFonts w:ascii="FangSong" w:hAnsi="FangSong" w:eastAsia="FangSong" w:cs="FangSong"/>
          <w:sz w:val="30"/>
          <w:szCs w:val="30"/>
          <w:spacing w:val="13"/>
        </w:rPr>
        <w:t>1.</w:t>
      </w:r>
      <w:r>
        <w:rPr>
          <w:rFonts w:ascii="FangSong" w:hAnsi="FangSong" w:eastAsia="FangSong" w:cs="FangSong"/>
          <w:sz w:val="30"/>
          <w:szCs w:val="30"/>
          <w:spacing w:val="13"/>
        </w:rPr>
        <w:t xml:space="preserve"> </w:t>
      </w:r>
      <w:r>
        <w:rPr>
          <w:rFonts w:ascii="FangSong" w:hAnsi="FangSong" w:eastAsia="FangSong" w:cs="FangSong"/>
          <w:sz w:val="30"/>
          <w:szCs w:val="30"/>
          <w:spacing w:val="13"/>
        </w:rPr>
        <w:t>《中华人民共和国中医药法》第五十四条</w:t>
      </w:r>
      <w:r>
        <w:rPr>
          <w:rFonts w:ascii="FangSong" w:hAnsi="FangSong" w:eastAsia="FangSong" w:cs="FangSong"/>
          <w:sz w:val="30"/>
          <w:szCs w:val="30"/>
          <w:spacing w:val="12"/>
        </w:rPr>
        <w:t>第一款</w:t>
      </w:r>
      <w:r>
        <w:rPr>
          <w:rFonts w:ascii="FangSong" w:hAnsi="FangSong" w:eastAsia="FangSong" w:cs="FangSong"/>
          <w:sz w:val="30"/>
          <w:szCs w:val="30"/>
          <w:spacing w:val="12"/>
        </w:rPr>
        <w:t xml:space="preserve">  </w:t>
      </w:r>
      <w:r>
        <w:rPr>
          <w:rFonts w:ascii="FangSong" w:hAnsi="FangSong" w:eastAsia="FangSong" w:cs="FangSong"/>
          <w:sz w:val="30"/>
          <w:szCs w:val="30"/>
          <w:spacing w:val="12"/>
        </w:rPr>
        <w:t>违反本法规定，中医诊所超出备案范围开展</w:t>
      </w:r>
      <w:r>
        <w:rPr>
          <w:rFonts w:ascii="FangSong" w:hAnsi="FangSong" w:eastAsia="FangSong" w:cs="FangSong"/>
          <w:sz w:val="30"/>
          <w:szCs w:val="30"/>
        </w:rPr>
        <w:t xml:space="preserve"> </w:t>
      </w:r>
      <w:r>
        <w:rPr>
          <w:rFonts w:ascii="FangSong" w:hAnsi="FangSong" w:eastAsia="FangSong" w:cs="FangSong"/>
          <w:sz w:val="30"/>
          <w:szCs w:val="30"/>
          <w:spacing w:val="16"/>
        </w:rPr>
        <w:t>医疗活动的，由所在地县级人民政府中医药主管部门责令改正，没收</w:t>
      </w:r>
      <w:r>
        <w:rPr>
          <w:rFonts w:ascii="FangSong" w:hAnsi="FangSong" w:eastAsia="FangSong" w:cs="FangSong"/>
          <w:sz w:val="30"/>
          <w:szCs w:val="30"/>
          <w:spacing w:val="15"/>
        </w:rPr>
        <w:t>违法所得，并处一万元以上三万</w:t>
      </w:r>
      <w:r>
        <w:rPr>
          <w:rFonts w:ascii="FangSong" w:hAnsi="FangSong" w:eastAsia="FangSong" w:cs="FangSong"/>
          <w:sz w:val="30"/>
          <w:szCs w:val="30"/>
        </w:rPr>
        <w:t xml:space="preserve"> </w:t>
      </w:r>
      <w:r>
        <w:rPr>
          <w:rFonts w:ascii="FangSong" w:hAnsi="FangSong" w:eastAsia="FangSong" w:cs="FangSong"/>
          <w:sz w:val="30"/>
          <w:szCs w:val="30"/>
          <w:spacing w:val="15"/>
        </w:rPr>
        <w:t>元以下罚款；情节严重的，责令停止执业活动。</w:t>
      </w:r>
    </w:p>
    <w:p>
      <w:pPr>
        <w:ind w:left="124" w:right="100" w:firstLine="629"/>
        <w:spacing w:before="76" w:line="249" w:lineRule="auto"/>
        <w:rPr>
          <w:rFonts w:ascii="FangSong" w:hAnsi="FangSong" w:eastAsia="FangSong" w:cs="FangSong"/>
          <w:sz w:val="30"/>
          <w:szCs w:val="30"/>
        </w:rPr>
      </w:pPr>
      <w:r>
        <w:rPr>
          <w:rFonts w:ascii="FangSong" w:hAnsi="FangSong" w:eastAsia="FangSong" w:cs="FangSong"/>
          <w:sz w:val="30"/>
          <w:szCs w:val="30"/>
          <w:spacing w:val="13"/>
        </w:rPr>
        <w:t>2.</w:t>
      </w:r>
      <w:r>
        <w:rPr>
          <w:rFonts w:ascii="FangSong" w:hAnsi="FangSong" w:eastAsia="FangSong" w:cs="FangSong"/>
          <w:sz w:val="30"/>
          <w:szCs w:val="30"/>
          <w:spacing w:val="13"/>
        </w:rPr>
        <w:t xml:space="preserve"> </w:t>
      </w:r>
      <w:r>
        <w:rPr>
          <w:rFonts w:ascii="FangSong" w:hAnsi="FangSong" w:eastAsia="FangSong" w:cs="FangSong"/>
          <w:sz w:val="30"/>
          <w:szCs w:val="30"/>
          <w:spacing w:val="13"/>
        </w:rPr>
        <w:t>《中医诊所备案管理暂行办法》第二十四</w:t>
      </w:r>
      <w:r>
        <w:rPr>
          <w:rFonts w:ascii="FangSong" w:hAnsi="FangSong" w:eastAsia="FangSong" w:cs="FangSong"/>
          <w:sz w:val="30"/>
          <w:szCs w:val="30"/>
          <w:spacing w:val="12"/>
        </w:rPr>
        <w:t>条</w:t>
      </w:r>
      <w:r>
        <w:rPr>
          <w:rFonts w:ascii="FangSong" w:hAnsi="FangSong" w:eastAsia="FangSong" w:cs="FangSong"/>
          <w:sz w:val="30"/>
          <w:szCs w:val="30"/>
          <w:spacing w:val="12"/>
        </w:rPr>
        <w:t xml:space="preserve">  </w:t>
      </w:r>
      <w:r>
        <w:rPr>
          <w:rFonts w:ascii="FangSong" w:hAnsi="FangSong" w:eastAsia="FangSong" w:cs="FangSong"/>
          <w:sz w:val="30"/>
          <w:szCs w:val="30"/>
          <w:spacing w:val="12"/>
        </w:rPr>
        <w:t>中医诊所超出备案范围开展医疗活动的，由所在</w:t>
      </w:r>
      <w:r>
        <w:rPr>
          <w:rFonts w:ascii="FangSong" w:hAnsi="FangSong" w:eastAsia="FangSong" w:cs="FangSong"/>
          <w:sz w:val="30"/>
          <w:szCs w:val="30"/>
        </w:rPr>
        <w:t xml:space="preserve"> </w:t>
      </w:r>
      <w:r>
        <w:rPr>
          <w:rFonts w:ascii="FangSong" w:hAnsi="FangSong" w:eastAsia="FangSong" w:cs="FangSong"/>
          <w:sz w:val="30"/>
          <w:szCs w:val="30"/>
          <w:spacing w:val="17"/>
        </w:rPr>
        <w:t>地县级中医药主管部门责令改正，没收违法所得，并处一万元以上三万元以下罚款。有下</w:t>
      </w:r>
      <w:r>
        <w:rPr>
          <w:rFonts w:ascii="FangSong" w:hAnsi="FangSong" w:eastAsia="FangSong" w:cs="FangSong"/>
          <w:sz w:val="30"/>
          <w:szCs w:val="30"/>
          <w:spacing w:val="16"/>
        </w:rPr>
        <w:t>列情形之一</w:t>
      </w:r>
    </w:p>
    <w:p>
      <w:pPr>
        <w:spacing w:line="249" w:lineRule="auto"/>
        <w:sectPr>
          <w:footerReference w:type="default" r:id="rId288"/>
          <w:pgSz w:w="16830" w:h="11900"/>
          <w:pgMar w:top="1011" w:right="1344" w:bottom="1107" w:left="1314" w:header="0" w:footer="774" w:gutter="0"/>
        </w:sectPr>
        <w:rPr>
          <w:rFonts w:ascii="FangSong" w:hAnsi="FangSong" w:eastAsia="FangSong" w:cs="FangSong"/>
          <w:sz w:val="30"/>
          <w:szCs w:val="30"/>
        </w:rPr>
      </w:pPr>
    </w:p>
    <w:p>
      <w:pPr>
        <w:pStyle w:val="BodyText"/>
        <w:spacing w:line="267" w:lineRule="auto"/>
        <w:rPr/>
      </w:pPr>
      <w:r/>
    </w:p>
    <w:p>
      <w:pPr>
        <w:pStyle w:val="BodyText"/>
        <w:spacing w:line="267" w:lineRule="auto"/>
        <w:rPr/>
      </w:pPr>
      <w:r/>
    </w:p>
    <w:p>
      <w:pPr>
        <w:pStyle w:val="BodyText"/>
        <w:spacing w:line="268" w:lineRule="auto"/>
        <w:rPr/>
      </w:pPr>
      <w:r/>
    </w:p>
    <w:p>
      <w:pPr>
        <w:ind w:left="34" w:hanging="9"/>
        <w:spacing w:before="98" w:line="268" w:lineRule="auto"/>
        <w:rPr>
          <w:rFonts w:ascii="FangSong" w:hAnsi="FangSong" w:eastAsia="FangSong" w:cs="FangSong"/>
          <w:sz w:val="30"/>
          <w:szCs w:val="30"/>
        </w:rPr>
      </w:pPr>
      <w:r>
        <w:rPr>
          <w:rFonts w:ascii="FangSong" w:hAnsi="FangSong" w:eastAsia="FangSong" w:cs="FangSong"/>
          <w:sz w:val="30"/>
          <w:szCs w:val="30"/>
          <w:spacing w:val="20"/>
        </w:rPr>
        <w:t>的，应当责令其停止执业活动，注销《中医诊所备案证》,其直接负责的主管人员自处罚决定作出之</w:t>
      </w:r>
      <w:r>
        <w:rPr>
          <w:rFonts w:ascii="FangSong" w:hAnsi="FangSong" w:eastAsia="FangSong" w:cs="FangSong"/>
          <w:sz w:val="30"/>
          <w:szCs w:val="30"/>
        </w:rPr>
        <w:t xml:space="preserve"> </w:t>
      </w:r>
      <w:r>
        <w:rPr>
          <w:rFonts w:ascii="FangSong" w:hAnsi="FangSong" w:eastAsia="FangSong" w:cs="FangSong"/>
          <w:sz w:val="30"/>
          <w:szCs w:val="30"/>
          <w:spacing w:val="14"/>
        </w:rPr>
        <w:t>日起五年内不得在医疗机构内从事管理工作；</w:t>
      </w:r>
    </w:p>
    <w:p>
      <w:pPr>
        <w:ind w:left="785"/>
        <w:spacing w:before="1" w:line="220" w:lineRule="auto"/>
        <w:rPr>
          <w:rFonts w:ascii="FangSong" w:hAnsi="FangSong" w:eastAsia="FangSong" w:cs="FangSong"/>
          <w:sz w:val="30"/>
          <w:szCs w:val="30"/>
        </w:rPr>
      </w:pPr>
      <w:r>
        <w:rPr>
          <w:rFonts w:ascii="FangSong" w:hAnsi="FangSong" w:eastAsia="FangSong" w:cs="FangSong"/>
          <w:sz w:val="30"/>
          <w:szCs w:val="30"/>
          <w:spacing w:val="22"/>
        </w:rPr>
        <w:t>(一)因超出备案范围开展医疗活动曾受过行政处罚的；</w:t>
      </w:r>
    </w:p>
    <w:p>
      <w:pPr>
        <w:ind w:left="785"/>
        <w:spacing w:before="84" w:line="222" w:lineRule="auto"/>
        <w:rPr>
          <w:rFonts w:ascii="FangSong" w:hAnsi="FangSong" w:eastAsia="FangSong" w:cs="FangSong"/>
          <w:sz w:val="30"/>
          <w:szCs w:val="30"/>
        </w:rPr>
      </w:pPr>
      <w:r>
        <w:rPr>
          <w:rFonts w:ascii="FangSong" w:hAnsi="FangSong" w:eastAsia="FangSong" w:cs="FangSong"/>
          <w:sz w:val="30"/>
          <w:szCs w:val="30"/>
          <w:spacing w:val="23"/>
        </w:rPr>
        <w:t>(二)超出备案范围从事医疗活动给患者造成伤害的；</w:t>
      </w:r>
    </w:p>
    <w:p>
      <w:pPr>
        <w:ind w:left="785"/>
        <w:spacing w:before="86" w:line="222" w:lineRule="auto"/>
        <w:rPr>
          <w:rFonts w:ascii="FangSong" w:hAnsi="FangSong" w:eastAsia="FangSong" w:cs="FangSong"/>
          <w:sz w:val="30"/>
          <w:szCs w:val="30"/>
        </w:rPr>
      </w:pPr>
      <w:r>
        <w:rPr>
          <w:rFonts w:ascii="FangSong" w:hAnsi="FangSong" w:eastAsia="FangSong" w:cs="FangSong"/>
          <w:sz w:val="30"/>
          <w:szCs w:val="30"/>
          <w:spacing w:val="24"/>
        </w:rPr>
        <w:t>(三)违反本办法规定造成其他严重后果的。</w:t>
      </w:r>
    </w:p>
    <w:p>
      <w:pPr>
        <w:ind w:left="6428"/>
        <w:spacing w:before="49"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14"/>
        <w:gridCol w:w="7204"/>
        <w:gridCol w:w="5021"/>
      </w:tblGrid>
      <w:tr>
        <w:trPr>
          <w:trHeight w:val="584" w:hRule="atLeast"/>
        </w:trPr>
        <w:tc>
          <w:tcPr>
            <w:tcW w:w="1714" w:type="dxa"/>
            <w:vAlign w:val="top"/>
          </w:tcPr>
          <w:p>
            <w:pPr>
              <w:pStyle w:val="TableText"/>
              <w:ind w:left="268"/>
              <w:spacing w:before="17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7204" w:type="dxa"/>
            <w:vAlign w:val="top"/>
          </w:tcPr>
          <w:p>
            <w:pPr>
              <w:pStyle w:val="TableText"/>
              <w:ind w:left="3034"/>
              <w:spacing w:before="172" w:line="220" w:lineRule="auto"/>
              <w:rPr/>
            </w:pPr>
            <w:r>
              <w:rPr>
                <w:b/>
                <w:bCs/>
                <w:spacing w:val="-5"/>
              </w:rPr>
              <w:t>情节后果</w:t>
            </w:r>
          </w:p>
        </w:tc>
        <w:tc>
          <w:tcPr>
            <w:tcW w:w="5021" w:type="dxa"/>
            <w:vAlign w:val="top"/>
          </w:tcPr>
          <w:p>
            <w:pPr>
              <w:pStyle w:val="TableText"/>
              <w:ind w:left="1930"/>
              <w:spacing w:before="16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88" w:hRule="atLeast"/>
        </w:trPr>
        <w:tc>
          <w:tcPr>
            <w:tcW w:w="1714" w:type="dxa"/>
            <w:vAlign w:val="top"/>
          </w:tcPr>
          <w:p>
            <w:pPr>
              <w:pStyle w:val="TableText"/>
              <w:ind w:left="608"/>
              <w:spacing w:before="227" w:line="219" w:lineRule="auto"/>
              <w:rPr/>
            </w:pPr>
            <w:r>
              <w:rPr>
                <w:b/>
                <w:bCs/>
                <w:spacing w:val="-6"/>
              </w:rPr>
              <w:t>轻微</w:t>
            </w:r>
          </w:p>
        </w:tc>
        <w:tc>
          <w:tcPr>
            <w:tcW w:w="7204" w:type="dxa"/>
            <w:vAlign w:val="top"/>
          </w:tcPr>
          <w:p>
            <w:pPr>
              <w:pStyle w:val="TableText"/>
              <w:ind w:left="71"/>
              <w:spacing w:before="230" w:line="219" w:lineRule="auto"/>
              <w:rPr/>
            </w:pPr>
            <w:r>
              <w:rPr/>
              <w:t>超出备案范围开展医疗活动违法所得不足一千元的</w:t>
            </w:r>
          </w:p>
        </w:tc>
        <w:tc>
          <w:tcPr>
            <w:tcW w:w="5021" w:type="dxa"/>
            <w:vAlign w:val="top"/>
          </w:tcPr>
          <w:p>
            <w:pPr>
              <w:pStyle w:val="TableText"/>
              <w:ind w:left="106"/>
              <w:spacing w:before="230" w:line="219" w:lineRule="auto"/>
              <w:rPr/>
            </w:pPr>
            <w:r>
              <w:rPr/>
              <w:t>没收违法所得，处一万元罚款</w:t>
            </w:r>
          </w:p>
        </w:tc>
      </w:tr>
      <w:tr>
        <w:trPr>
          <w:trHeight w:val="1198" w:hRule="atLeast"/>
        </w:trPr>
        <w:tc>
          <w:tcPr>
            <w:tcW w:w="1714" w:type="dxa"/>
            <w:vAlign w:val="top"/>
          </w:tcPr>
          <w:p>
            <w:pPr>
              <w:spacing w:line="400" w:lineRule="auto"/>
              <w:rPr>
                <w:rFonts w:ascii="Arial"/>
                <w:sz w:val="21"/>
              </w:rPr>
            </w:pPr>
            <w:r/>
          </w:p>
          <w:p>
            <w:pPr>
              <w:pStyle w:val="TableText"/>
              <w:ind w:left="608"/>
              <w:spacing w:before="78" w:line="221" w:lineRule="auto"/>
              <w:rPr/>
            </w:pPr>
            <w:r>
              <w:rPr>
                <w:b/>
                <w:bCs/>
                <w:spacing w:val="-10"/>
              </w:rPr>
              <w:t>一般</w:t>
            </w:r>
          </w:p>
        </w:tc>
        <w:tc>
          <w:tcPr>
            <w:tcW w:w="7204" w:type="dxa"/>
            <w:vAlign w:val="top"/>
          </w:tcPr>
          <w:p>
            <w:pPr>
              <w:pStyle w:val="TableText"/>
              <w:ind w:left="71"/>
              <w:spacing w:before="113" w:line="220" w:lineRule="auto"/>
              <w:rPr/>
            </w:pPr>
            <w:r>
              <w:rPr>
                <w:spacing w:val="2"/>
              </w:rPr>
              <w:t>有下列情形之一的：</w:t>
            </w:r>
          </w:p>
          <w:p>
            <w:pPr>
              <w:pStyle w:val="TableText"/>
              <w:ind w:left="71"/>
              <w:spacing w:before="113" w:line="219" w:lineRule="auto"/>
              <w:rPr/>
            </w:pPr>
            <w:r>
              <w:rPr/>
              <w:t>A.超出备案范围开展医疗活动违法所得一千元以上一万元以下的</w:t>
            </w:r>
          </w:p>
          <w:p>
            <w:pPr>
              <w:pStyle w:val="TableText"/>
              <w:ind w:left="71"/>
              <w:spacing w:before="105" w:line="219" w:lineRule="auto"/>
              <w:rPr/>
            </w:pPr>
            <w:r>
              <w:rPr>
                <w:spacing w:val="1"/>
              </w:rPr>
              <w:t>B.执业时间在一个月以上三个月以下的</w:t>
            </w:r>
          </w:p>
        </w:tc>
        <w:tc>
          <w:tcPr>
            <w:tcW w:w="5021" w:type="dxa"/>
            <w:vAlign w:val="top"/>
          </w:tcPr>
          <w:p>
            <w:pPr>
              <w:pStyle w:val="TableText"/>
              <w:ind w:left="106" w:right="87"/>
              <w:spacing w:before="291" w:line="320" w:lineRule="auto"/>
              <w:rPr/>
            </w:pPr>
            <w:r>
              <w:rPr/>
              <w:t>没收违法所得，并处以一万元以上两万元以下</w:t>
            </w:r>
            <w:r>
              <w:rPr>
                <w:spacing w:val="15"/>
              </w:rPr>
              <w:t xml:space="preserve"> </w:t>
            </w:r>
            <w:r>
              <w:rPr>
                <w:spacing w:val="3"/>
              </w:rPr>
              <w:t>的罚款</w:t>
            </w:r>
          </w:p>
        </w:tc>
      </w:tr>
      <w:tr>
        <w:trPr>
          <w:trHeight w:val="1188" w:hRule="atLeast"/>
        </w:trPr>
        <w:tc>
          <w:tcPr>
            <w:tcW w:w="1714" w:type="dxa"/>
            <w:vAlign w:val="top"/>
          </w:tcPr>
          <w:p>
            <w:pPr>
              <w:spacing w:line="401" w:lineRule="auto"/>
              <w:rPr>
                <w:rFonts w:ascii="Arial"/>
                <w:sz w:val="21"/>
              </w:rPr>
            </w:pPr>
            <w:r/>
          </w:p>
          <w:p>
            <w:pPr>
              <w:pStyle w:val="TableText"/>
              <w:ind w:left="608"/>
              <w:spacing w:before="78" w:line="220" w:lineRule="auto"/>
              <w:rPr/>
            </w:pPr>
            <w:r>
              <w:rPr>
                <w:b/>
                <w:bCs/>
                <w:spacing w:val="-6"/>
              </w:rPr>
              <w:t>严重</w:t>
            </w:r>
          </w:p>
        </w:tc>
        <w:tc>
          <w:tcPr>
            <w:tcW w:w="7204" w:type="dxa"/>
            <w:vAlign w:val="top"/>
          </w:tcPr>
          <w:p>
            <w:pPr>
              <w:pStyle w:val="TableText"/>
              <w:ind w:left="71"/>
              <w:spacing w:before="105" w:line="220" w:lineRule="auto"/>
              <w:rPr/>
            </w:pPr>
            <w:r>
              <w:rPr>
                <w:spacing w:val="2"/>
              </w:rPr>
              <w:t>有下列情形之一的：</w:t>
            </w:r>
          </w:p>
          <w:p>
            <w:pPr>
              <w:pStyle w:val="TableText"/>
              <w:ind w:left="71"/>
              <w:spacing w:before="123" w:line="219" w:lineRule="auto"/>
              <w:rPr/>
            </w:pPr>
            <w:r>
              <w:rPr/>
              <w:t>A.超出备案范围开展医疗活动违法所得在一万元以上的</w:t>
            </w:r>
          </w:p>
          <w:p>
            <w:pPr>
              <w:pStyle w:val="TableText"/>
              <w:ind w:left="71"/>
              <w:spacing w:before="94" w:line="218" w:lineRule="auto"/>
              <w:rPr/>
            </w:pPr>
            <w:r>
              <w:rPr>
                <w:spacing w:val="1"/>
              </w:rPr>
              <w:t>B.执业时间在三个月以上的</w:t>
            </w:r>
          </w:p>
        </w:tc>
        <w:tc>
          <w:tcPr>
            <w:tcW w:w="5021" w:type="dxa"/>
            <w:vAlign w:val="top"/>
          </w:tcPr>
          <w:p>
            <w:pPr>
              <w:pStyle w:val="TableText"/>
              <w:ind w:left="106"/>
              <w:spacing w:before="305" w:line="219" w:lineRule="auto"/>
              <w:rPr/>
            </w:pPr>
            <w:r>
              <w:rPr/>
              <w:t>没收违法所得，并处以两万元以上三万元以下</w:t>
            </w:r>
          </w:p>
          <w:p>
            <w:pPr>
              <w:pStyle w:val="TableText"/>
              <w:ind w:left="117"/>
              <w:spacing w:before="106" w:line="221" w:lineRule="auto"/>
              <w:rPr/>
            </w:pPr>
            <w:r>
              <w:rPr>
                <w:color w:val="404040"/>
                <w:spacing w:val="5"/>
              </w:rPr>
              <w:t>罚款</w:t>
            </w:r>
          </w:p>
        </w:tc>
      </w:tr>
      <w:tr>
        <w:trPr>
          <w:trHeight w:val="1592" w:hRule="atLeast"/>
        </w:trPr>
        <w:tc>
          <w:tcPr>
            <w:tcW w:w="1714" w:type="dxa"/>
            <w:vAlign w:val="top"/>
          </w:tcPr>
          <w:p>
            <w:pPr>
              <w:spacing w:line="300" w:lineRule="auto"/>
              <w:rPr>
                <w:rFonts w:ascii="Arial"/>
                <w:sz w:val="21"/>
              </w:rPr>
            </w:pPr>
            <w:r/>
          </w:p>
          <w:p>
            <w:pPr>
              <w:spacing w:line="301" w:lineRule="auto"/>
              <w:rPr>
                <w:rFonts w:ascii="Arial"/>
                <w:sz w:val="21"/>
              </w:rPr>
            </w:pPr>
            <w:r/>
          </w:p>
          <w:p>
            <w:pPr>
              <w:pStyle w:val="TableText"/>
              <w:ind w:left="368"/>
              <w:spacing w:before="78" w:line="219" w:lineRule="auto"/>
              <w:rPr/>
            </w:pPr>
            <w:r>
              <w:rPr>
                <w:b/>
                <w:bCs/>
                <w:spacing w:val="-5"/>
              </w:rPr>
              <w:t>特别严重</w:t>
            </w:r>
          </w:p>
        </w:tc>
        <w:tc>
          <w:tcPr>
            <w:tcW w:w="7204" w:type="dxa"/>
            <w:vAlign w:val="top"/>
          </w:tcPr>
          <w:p>
            <w:pPr>
              <w:pStyle w:val="TableText"/>
              <w:ind w:left="71"/>
              <w:spacing w:before="107" w:line="220" w:lineRule="auto"/>
              <w:rPr/>
            </w:pPr>
            <w:r>
              <w:rPr>
                <w:spacing w:val="2"/>
              </w:rPr>
              <w:t>有下列情形之一的：</w:t>
            </w:r>
          </w:p>
          <w:p>
            <w:pPr>
              <w:pStyle w:val="TableText"/>
              <w:ind w:left="71"/>
              <w:spacing w:before="114" w:line="220" w:lineRule="auto"/>
              <w:rPr/>
            </w:pPr>
            <w:r>
              <w:rPr/>
              <w:t>A.因超出备案范围开展医疗活动曾受过行政处罚的</w:t>
            </w:r>
          </w:p>
          <w:p>
            <w:pPr>
              <w:pStyle w:val="TableText"/>
              <w:ind w:left="71"/>
              <w:spacing w:before="143" w:line="219" w:lineRule="auto"/>
              <w:rPr/>
            </w:pPr>
            <w:r>
              <w:rPr/>
              <w:t>B.超出备案范围从事医疗活动给患者造成伤害的</w:t>
            </w:r>
          </w:p>
          <w:p>
            <w:pPr>
              <w:pStyle w:val="TableText"/>
              <w:ind w:left="71"/>
              <w:spacing w:before="93" w:line="205" w:lineRule="auto"/>
              <w:rPr/>
            </w:pPr>
            <w:r>
              <w:rPr>
                <w:spacing w:val="1"/>
              </w:rPr>
              <w:t>C.违反本办法规定造成其他严重后果的</w:t>
            </w:r>
          </w:p>
        </w:tc>
        <w:tc>
          <w:tcPr>
            <w:tcW w:w="5021" w:type="dxa"/>
            <w:vAlign w:val="top"/>
          </w:tcPr>
          <w:p>
            <w:pPr>
              <w:pStyle w:val="TableText"/>
              <w:ind w:left="106" w:right="90"/>
              <w:spacing w:before="105" w:line="284" w:lineRule="auto"/>
              <w:jc w:val="both"/>
              <w:rPr/>
            </w:pPr>
            <w:r>
              <w:rPr/>
              <w:t>没收违法所得，并处三万元罚款，责令停止执</w:t>
            </w:r>
            <w:r>
              <w:rPr>
                <w:spacing w:val="9"/>
              </w:rPr>
              <w:t xml:space="preserve"> </w:t>
            </w:r>
            <w:r>
              <w:rPr>
                <w:spacing w:val="4"/>
              </w:rPr>
              <w:t>业活动，注销《中医诊所备案证》,其直接负</w:t>
            </w:r>
            <w:r>
              <w:rPr>
                <w:spacing w:val="3"/>
              </w:rPr>
              <w:t xml:space="preserve"> </w:t>
            </w:r>
            <w:r>
              <w:rPr/>
              <w:t>责的主管人员自处罚决定作出之日起五年内不</w:t>
            </w:r>
            <w:r>
              <w:rPr>
                <w:spacing w:val="12"/>
              </w:rPr>
              <w:t xml:space="preserve"> </w:t>
            </w:r>
            <w:r>
              <w:rPr>
                <w:spacing w:val="1"/>
              </w:rPr>
              <w:t>得在医疗机构内从事管理工作</w:t>
            </w:r>
          </w:p>
        </w:tc>
      </w:tr>
    </w:tbl>
    <w:p>
      <w:pPr>
        <w:pStyle w:val="BodyText"/>
        <w:rPr/>
      </w:pPr>
      <w:r/>
    </w:p>
    <w:p>
      <w:pPr>
        <w:sectPr>
          <w:footerReference w:type="default" r:id="rId289"/>
          <w:pgSz w:w="16830" w:h="11900"/>
          <w:pgMar w:top="1011" w:right="1438" w:bottom="1117" w:left="1434" w:header="0" w:footer="784" w:gutter="0"/>
        </w:sectPr>
        <w:rPr/>
      </w:pPr>
    </w:p>
    <w:p>
      <w:pPr>
        <w:pStyle w:val="BodyText"/>
        <w:spacing w:line="259" w:lineRule="auto"/>
        <w:rPr/>
      </w:pPr>
      <w:r/>
    </w:p>
    <w:p>
      <w:pPr>
        <w:pStyle w:val="BodyText"/>
        <w:spacing w:line="260" w:lineRule="auto"/>
        <w:rPr/>
      </w:pPr>
      <w:r/>
    </w:p>
    <w:p>
      <w:pPr>
        <w:pStyle w:val="BodyText"/>
        <w:spacing w:line="260" w:lineRule="auto"/>
        <w:rPr/>
      </w:pPr>
      <w:r/>
    </w:p>
    <w:p>
      <w:pPr>
        <w:ind w:left="25" w:right="194" w:firstLine="640"/>
        <w:spacing w:before="100" w:line="268" w:lineRule="auto"/>
        <w:jc w:val="both"/>
        <w:rPr>
          <w:rFonts w:ascii="FangSong" w:hAnsi="FangSong" w:eastAsia="FangSong" w:cs="FangSong"/>
          <w:sz w:val="31"/>
          <w:szCs w:val="31"/>
        </w:rPr>
      </w:pPr>
      <w:bookmarkStart w:name="bookmark945" w:id="313"/>
      <w:bookmarkEnd w:id="313"/>
      <w:r>
        <w:rPr>
          <w:rFonts w:ascii="FangSong" w:hAnsi="FangSong" w:eastAsia="FangSong" w:cs="FangSong"/>
          <w:sz w:val="31"/>
          <w:szCs w:val="31"/>
          <w:spacing w:val="10"/>
        </w:rPr>
        <w:t>第二百三十条</w:t>
      </w:r>
      <w:r>
        <w:rPr>
          <w:rFonts w:ascii="FangSong" w:hAnsi="FangSong" w:eastAsia="FangSong" w:cs="FangSong"/>
          <w:sz w:val="31"/>
          <w:szCs w:val="31"/>
          <w:spacing w:val="10"/>
        </w:rPr>
        <w:t xml:space="preserve">  </w:t>
      </w:r>
      <w:r>
        <w:rPr>
          <w:rFonts w:ascii="FangSong" w:hAnsi="FangSong" w:eastAsia="FangSong" w:cs="FangSong"/>
          <w:sz w:val="31"/>
          <w:szCs w:val="31"/>
          <w:spacing w:val="10"/>
        </w:rPr>
        <w:t>中医诊所被责令停止执业活动的，其直接负责的主管人员自处罚决定作出之日</w:t>
      </w:r>
      <w:r>
        <w:rPr>
          <w:rFonts w:ascii="FangSong" w:hAnsi="FangSong" w:eastAsia="FangSong" w:cs="FangSong"/>
          <w:sz w:val="31"/>
          <w:szCs w:val="31"/>
          <w:spacing w:val="9"/>
        </w:rPr>
        <w:t xml:space="preserve"> </w:t>
      </w:r>
      <w:r>
        <w:rPr>
          <w:rFonts w:ascii="FangSong" w:hAnsi="FangSong" w:eastAsia="FangSong" w:cs="FangSong"/>
          <w:sz w:val="31"/>
          <w:szCs w:val="31"/>
          <w:spacing w:val="10"/>
        </w:rPr>
        <w:t>起五年内不得在医疗机构内从事管理工作，医疗机构聘用上述不得从事管理工作的人员从事管理工</w:t>
      </w:r>
      <w:r>
        <w:rPr>
          <w:rFonts w:ascii="FangSong" w:hAnsi="FangSong" w:eastAsia="FangSong" w:cs="FangSong"/>
          <w:sz w:val="31"/>
          <w:szCs w:val="31"/>
          <w:spacing w:val="9"/>
        </w:rPr>
        <w:t xml:space="preserve"> </w:t>
      </w:r>
      <w:r>
        <w:rPr>
          <w:rFonts w:ascii="FangSong" w:hAnsi="FangSong" w:eastAsia="FangSong" w:cs="FangSong"/>
          <w:sz w:val="31"/>
          <w:szCs w:val="31"/>
        </w:rPr>
        <w:t>作的</w:t>
      </w:r>
    </w:p>
    <w:p>
      <w:pPr>
        <w:ind w:left="665"/>
        <w:spacing w:before="13" w:line="222" w:lineRule="auto"/>
        <w:rPr>
          <w:rFonts w:ascii="FangSong" w:hAnsi="FangSong" w:eastAsia="FangSong" w:cs="FangSong"/>
          <w:sz w:val="29"/>
          <w:szCs w:val="29"/>
        </w:rPr>
      </w:pPr>
      <w:r>
        <w:rPr>
          <w:rFonts w:ascii="FangSong" w:hAnsi="FangSong" w:eastAsia="FangSong" w:cs="FangSong"/>
          <w:sz w:val="29"/>
          <w:szCs w:val="29"/>
          <w:spacing w:val="11"/>
        </w:rPr>
        <w:t>法律依据：</w:t>
      </w:r>
    </w:p>
    <w:p>
      <w:pPr>
        <w:ind w:left="25" w:right="36" w:firstLine="635"/>
        <w:spacing w:before="69" w:line="277" w:lineRule="auto"/>
        <w:jc w:val="both"/>
        <w:rPr>
          <w:rFonts w:ascii="FangSong" w:hAnsi="FangSong" w:eastAsia="FangSong" w:cs="FangSong"/>
          <w:sz w:val="29"/>
          <w:szCs w:val="29"/>
        </w:rPr>
      </w:pPr>
      <w:r>
        <w:rPr>
          <w:rFonts w:ascii="FangSong" w:hAnsi="FangSong" w:eastAsia="FangSong" w:cs="FangSong"/>
          <w:sz w:val="29"/>
          <w:szCs w:val="29"/>
          <w:spacing w:val="29"/>
        </w:rPr>
        <w:t>《中华人民共和国中医药法》第五十四条第二款</w:t>
      </w:r>
      <w:r>
        <w:rPr>
          <w:rFonts w:ascii="FangSong" w:hAnsi="FangSong" w:eastAsia="FangSong" w:cs="FangSong"/>
          <w:sz w:val="29"/>
          <w:szCs w:val="29"/>
          <w:spacing w:val="29"/>
        </w:rPr>
        <w:t xml:space="preserve">   </w:t>
      </w:r>
      <w:r>
        <w:rPr>
          <w:rFonts w:ascii="FangSong" w:hAnsi="FangSong" w:eastAsia="FangSong" w:cs="FangSong"/>
          <w:sz w:val="29"/>
          <w:szCs w:val="29"/>
          <w:spacing w:val="29"/>
        </w:rPr>
        <w:t>中医诊所被责令停止执业活动的，其直接负</w:t>
      </w:r>
      <w:r>
        <w:rPr>
          <w:rFonts w:ascii="FangSong" w:hAnsi="FangSong" w:eastAsia="FangSong" w:cs="FangSong"/>
          <w:sz w:val="29"/>
          <w:szCs w:val="29"/>
          <w:spacing w:val="10"/>
        </w:rPr>
        <w:t xml:space="preserve"> </w:t>
      </w:r>
      <w:r>
        <w:rPr>
          <w:rFonts w:ascii="FangSong" w:hAnsi="FangSong" w:eastAsia="FangSong" w:cs="FangSong"/>
          <w:sz w:val="29"/>
          <w:szCs w:val="29"/>
          <w:spacing w:val="27"/>
        </w:rPr>
        <w:t>责的主管人员自处罚决定作出之日起五年内不得在医疗机构内从事管理工作</w:t>
      </w:r>
      <w:r>
        <w:rPr>
          <w:rFonts w:ascii="FangSong" w:hAnsi="FangSong" w:eastAsia="FangSong" w:cs="FangSong"/>
          <w:sz w:val="29"/>
          <w:szCs w:val="29"/>
          <w:spacing w:val="26"/>
        </w:rPr>
        <w:t>。医疗机构聘用上述不得</w:t>
      </w:r>
      <w:r>
        <w:rPr>
          <w:rFonts w:ascii="FangSong" w:hAnsi="FangSong" w:eastAsia="FangSong" w:cs="FangSong"/>
          <w:sz w:val="29"/>
          <w:szCs w:val="29"/>
        </w:rPr>
        <w:t xml:space="preserve"> </w:t>
      </w:r>
      <w:r>
        <w:rPr>
          <w:rFonts w:ascii="FangSong" w:hAnsi="FangSong" w:eastAsia="FangSong" w:cs="FangSong"/>
          <w:sz w:val="29"/>
          <w:szCs w:val="29"/>
          <w:spacing w:val="27"/>
        </w:rPr>
        <w:t>从事管理工作的人员从事管理工作的，由原发证部门吊销执业许可证或者由</w:t>
      </w:r>
      <w:r>
        <w:rPr>
          <w:rFonts w:ascii="FangSong" w:hAnsi="FangSong" w:eastAsia="FangSong" w:cs="FangSong"/>
          <w:sz w:val="29"/>
          <w:szCs w:val="29"/>
          <w:spacing w:val="26"/>
        </w:rPr>
        <w:t>原备案部门责令停止执业</w:t>
      </w:r>
      <w:r>
        <w:rPr>
          <w:rFonts w:ascii="FangSong" w:hAnsi="FangSong" w:eastAsia="FangSong" w:cs="FangSong"/>
          <w:sz w:val="29"/>
          <w:szCs w:val="29"/>
        </w:rPr>
        <w:t xml:space="preserve"> </w:t>
      </w:r>
      <w:r>
        <w:rPr>
          <w:rFonts w:ascii="FangSong" w:hAnsi="FangSong" w:eastAsia="FangSong" w:cs="FangSong"/>
          <w:sz w:val="29"/>
          <w:szCs w:val="29"/>
          <w:spacing w:val="8"/>
        </w:rPr>
        <w:t>活动。</w:t>
      </w:r>
    </w:p>
    <w:p>
      <w:pPr>
        <w:ind w:left="6138"/>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8364"/>
        <w:gridCol w:w="4202"/>
      </w:tblGrid>
      <w:tr>
        <w:trPr>
          <w:trHeight w:val="582" w:hRule="atLeast"/>
        </w:trPr>
        <w:tc>
          <w:tcPr>
            <w:tcW w:w="1424" w:type="dxa"/>
            <w:vAlign w:val="top"/>
          </w:tcPr>
          <w:p>
            <w:pPr>
              <w:pStyle w:val="TableText"/>
              <w:ind w:left="208"/>
              <w:spacing w:before="172" w:line="220" w:lineRule="auto"/>
              <w:rPr>
                <w:sz w:val="25"/>
                <w:szCs w:val="25"/>
              </w:rPr>
            </w:pPr>
            <w:r>
              <w:rPr>
                <w:sz w:val="25"/>
                <w:szCs w:val="25"/>
                <w:b/>
                <w:bCs/>
                <w:spacing w:val="-5"/>
              </w:rPr>
              <w:t>违法程度</w:t>
            </w:r>
          </w:p>
        </w:tc>
        <w:tc>
          <w:tcPr>
            <w:tcW w:w="8364" w:type="dxa"/>
            <w:vAlign w:val="top"/>
          </w:tcPr>
          <w:p>
            <w:pPr>
              <w:pStyle w:val="TableText"/>
              <w:ind w:left="3674"/>
              <w:spacing w:before="172" w:line="220" w:lineRule="auto"/>
              <w:rPr>
                <w:sz w:val="25"/>
                <w:szCs w:val="25"/>
              </w:rPr>
            </w:pPr>
            <w:r>
              <w:rPr>
                <w:sz w:val="25"/>
                <w:szCs w:val="25"/>
                <w:b/>
                <w:bCs/>
                <w:spacing w:val="-5"/>
              </w:rPr>
              <w:t>情节后果</w:t>
            </w:r>
          </w:p>
        </w:tc>
        <w:tc>
          <w:tcPr>
            <w:tcW w:w="4202" w:type="dxa"/>
            <w:vAlign w:val="top"/>
          </w:tcPr>
          <w:p>
            <w:pPr>
              <w:pStyle w:val="TableText"/>
              <w:ind w:left="1600"/>
              <w:spacing w:before="169" w:line="218" w:lineRule="auto"/>
              <w:rPr>
                <w:sz w:val="25"/>
                <w:szCs w:val="25"/>
              </w:rPr>
            </w:pPr>
            <w:r>
              <w:rPr>
                <w:sz w:val="25"/>
                <w:szCs w:val="25"/>
                <w:b/>
                <w:bCs/>
                <w:spacing w:val="-5"/>
              </w:rPr>
              <w:t>裁量幅度</w:t>
            </w:r>
          </w:p>
        </w:tc>
      </w:tr>
      <w:tr>
        <w:trPr>
          <w:trHeight w:val="1328" w:hRule="atLeast"/>
        </w:trPr>
        <w:tc>
          <w:tcPr>
            <w:tcW w:w="1424" w:type="dxa"/>
            <w:vAlign w:val="top"/>
          </w:tcPr>
          <w:p>
            <w:pPr>
              <w:spacing w:line="456"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8364" w:type="dxa"/>
            <w:vAlign w:val="top"/>
          </w:tcPr>
          <w:p>
            <w:pPr>
              <w:pStyle w:val="TableText"/>
              <w:ind w:left="14"/>
              <w:spacing w:before="147" w:line="288" w:lineRule="auto"/>
              <w:jc w:val="both"/>
              <w:rPr>
                <w:sz w:val="25"/>
                <w:szCs w:val="25"/>
              </w:rPr>
            </w:pPr>
            <w:r>
              <w:rPr>
                <w:sz w:val="25"/>
                <w:szCs w:val="25"/>
                <w:b/>
                <w:bCs/>
                <w:spacing w:val="-7"/>
              </w:rPr>
              <w:t>中医诊所被责令停止执业活动的，其直接负责的</w:t>
            </w:r>
            <w:r>
              <w:rPr>
                <w:sz w:val="25"/>
                <w:szCs w:val="25"/>
                <w:b/>
                <w:bCs/>
                <w:spacing w:val="-8"/>
              </w:rPr>
              <w:t>主管人员自处罚决定作出之日</w:t>
            </w:r>
            <w:r>
              <w:rPr>
                <w:sz w:val="25"/>
                <w:szCs w:val="25"/>
              </w:rPr>
              <w:t xml:space="preserve"> </w:t>
            </w:r>
            <w:r>
              <w:rPr>
                <w:sz w:val="25"/>
                <w:szCs w:val="25"/>
                <w:b/>
                <w:bCs/>
                <w:spacing w:val="-8"/>
              </w:rPr>
              <w:t>起五年内不得在医疗机构内从事管理工作。医疗机构聘</w:t>
            </w:r>
            <w:r>
              <w:rPr>
                <w:sz w:val="25"/>
                <w:szCs w:val="25"/>
                <w:b/>
                <w:bCs/>
                <w:spacing w:val="-9"/>
              </w:rPr>
              <w:t>用上述不得从事管理工</w:t>
            </w:r>
            <w:r>
              <w:rPr>
                <w:sz w:val="25"/>
                <w:szCs w:val="25"/>
              </w:rPr>
              <w:t xml:space="preserve"> </w:t>
            </w:r>
            <w:r>
              <w:rPr>
                <w:sz w:val="25"/>
                <w:szCs w:val="25"/>
                <w:b/>
                <w:bCs/>
                <w:spacing w:val="6"/>
              </w:rPr>
              <w:t>作的人员从事管理工作的</w:t>
            </w:r>
          </w:p>
        </w:tc>
        <w:tc>
          <w:tcPr>
            <w:tcW w:w="4202" w:type="dxa"/>
            <w:vAlign w:val="top"/>
          </w:tcPr>
          <w:p>
            <w:pPr>
              <w:spacing w:line="296" w:lineRule="auto"/>
              <w:rPr>
                <w:rFonts w:ascii="Arial"/>
                <w:sz w:val="21"/>
              </w:rPr>
            </w:pPr>
            <w:r/>
          </w:p>
          <w:p>
            <w:pPr>
              <w:pStyle w:val="TableText"/>
              <w:ind w:left="120" w:right="69" w:hanging="20"/>
              <w:spacing w:before="81" w:line="326" w:lineRule="auto"/>
              <w:rPr>
                <w:sz w:val="25"/>
                <w:szCs w:val="25"/>
              </w:rPr>
            </w:pPr>
            <w:r>
              <w:rPr>
                <w:sz w:val="25"/>
                <w:szCs w:val="25"/>
                <w:b/>
                <w:bCs/>
                <w:spacing w:val="-2"/>
              </w:rPr>
              <w:t>由原发证部门吊销执业许可证或者由</w:t>
            </w:r>
            <w:r>
              <w:rPr>
                <w:sz w:val="25"/>
                <w:szCs w:val="25"/>
                <w:spacing w:val="11"/>
              </w:rPr>
              <w:t xml:space="preserve"> </w:t>
            </w:r>
            <w:r>
              <w:rPr>
                <w:sz w:val="25"/>
                <w:szCs w:val="25"/>
                <w:b/>
                <w:bCs/>
                <w:spacing w:val="-4"/>
              </w:rPr>
              <w:t>原备案部门责令停止执业活动。</w:t>
            </w:r>
          </w:p>
        </w:tc>
      </w:tr>
    </w:tbl>
    <w:p>
      <w:pPr>
        <w:pStyle w:val="BodyText"/>
        <w:spacing w:line="249" w:lineRule="auto"/>
        <w:rPr/>
      </w:pPr>
      <w:r/>
    </w:p>
    <w:p>
      <w:pPr>
        <w:pStyle w:val="BodyText"/>
        <w:spacing w:line="250" w:lineRule="auto"/>
        <w:rPr/>
      </w:pPr>
      <w:r/>
    </w:p>
    <w:p>
      <w:pPr>
        <w:ind w:left="669"/>
        <w:spacing w:before="94" w:line="219" w:lineRule="auto"/>
        <w:rPr>
          <w:rFonts w:ascii="FangSong" w:hAnsi="FangSong" w:eastAsia="FangSong" w:cs="FangSong"/>
          <w:sz w:val="29"/>
          <w:szCs w:val="29"/>
        </w:rPr>
      </w:pPr>
      <w:r>
        <w:rPr>
          <w:rFonts w:ascii="FangSong" w:hAnsi="FangSong" w:eastAsia="FangSong" w:cs="FangSong"/>
          <w:sz w:val="29"/>
          <w:szCs w:val="29"/>
          <w:b/>
          <w:bCs/>
          <w:spacing w:val="36"/>
        </w:rPr>
        <w:t>第二百三十</w:t>
      </w:r>
      <w:r>
        <w:rPr>
          <w:rFonts w:ascii="FangSong" w:hAnsi="FangSong" w:eastAsia="FangSong" w:cs="FangSong"/>
          <w:sz w:val="29"/>
          <w:szCs w:val="29"/>
          <w:spacing w:val="-76"/>
        </w:rPr>
        <w:t xml:space="preserve"> </w:t>
      </w:r>
      <w:r>
        <w:rPr>
          <w:rFonts w:ascii="FangSong" w:hAnsi="FangSong" w:eastAsia="FangSong" w:cs="FangSong"/>
          <w:sz w:val="29"/>
          <w:szCs w:val="29"/>
          <w:b/>
          <w:bCs/>
          <w:spacing w:val="36"/>
        </w:rPr>
        <w:t>一</w:t>
      </w:r>
      <w:r>
        <w:rPr>
          <w:rFonts w:ascii="FangSong" w:hAnsi="FangSong" w:eastAsia="FangSong" w:cs="FangSong"/>
          <w:sz w:val="29"/>
          <w:szCs w:val="29"/>
          <w:spacing w:val="-78"/>
        </w:rPr>
        <w:t xml:space="preserve"> </w:t>
      </w:r>
      <w:r>
        <w:rPr>
          <w:rFonts w:ascii="FangSong" w:hAnsi="FangSong" w:eastAsia="FangSong" w:cs="FangSong"/>
          <w:sz w:val="29"/>
          <w:szCs w:val="29"/>
          <w:b/>
          <w:bCs/>
          <w:spacing w:val="36"/>
        </w:rPr>
        <w:t>条中医(专长)医师在执业中超出注册的执业范围从事医</w:t>
      </w:r>
      <w:r>
        <w:rPr>
          <w:rFonts w:ascii="FangSong" w:hAnsi="FangSong" w:eastAsia="FangSong" w:cs="FangSong"/>
          <w:sz w:val="29"/>
          <w:szCs w:val="29"/>
          <w:b/>
          <w:bCs/>
          <w:spacing w:val="35"/>
        </w:rPr>
        <w:t>疗活动的</w:t>
      </w:r>
    </w:p>
    <w:p>
      <w:pPr>
        <w:ind w:left="665"/>
        <w:spacing w:before="54" w:line="222" w:lineRule="auto"/>
        <w:rPr>
          <w:rFonts w:ascii="FangSong" w:hAnsi="FangSong" w:eastAsia="FangSong" w:cs="FangSong"/>
          <w:sz w:val="29"/>
          <w:szCs w:val="29"/>
        </w:rPr>
      </w:pPr>
      <w:r>
        <w:rPr>
          <w:rFonts w:ascii="FangSong" w:hAnsi="FangSong" w:eastAsia="FangSong" w:cs="FangSong"/>
          <w:sz w:val="29"/>
          <w:szCs w:val="29"/>
          <w:spacing w:val="6"/>
        </w:rPr>
        <w:t>法律依据：</w:t>
      </w:r>
    </w:p>
    <w:p>
      <w:pPr>
        <w:ind w:left="25" w:right="32" w:firstLine="640"/>
        <w:spacing w:before="140" w:line="268" w:lineRule="auto"/>
        <w:rPr>
          <w:rFonts w:ascii="FangSong" w:hAnsi="FangSong" w:eastAsia="FangSong" w:cs="FangSong"/>
          <w:sz w:val="29"/>
          <w:szCs w:val="29"/>
        </w:rPr>
      </w:pPr>
      <w:r>
        <w:rPr>
          <w:rFonts w:ascii="FangSong" w:hAnsi="FangSong" w:eastAsia="FangSong" w:cs="FangSong"/>
          <w:sz w:val="29"/>
          <w:szCs w:val="29"/>
          <w:spacing w:val="22"/>
        </w:rPr>
        <w:t>1.</w:t>
      </w:r>
      <w:r>
        <w:rPr>
          <w:rFonts w:ascii="FangSong" w:hAnsi="FangSong" w:eastAsia="FangSong" w:cs="FangSong"/>
          <w:sz w:val="29"/>
          <w:szCs w:val="29"/>
          <w:spacing w:val="22"/>
        </w:rPr>
        <w:t xml:space="preserve"> </w:t>
      </w:r>
      <w:r>
        <w:rPr>
          <w:rFonts w:ascii="FangSong" w:hAnsi="FangSong" w:eastAsia="FangSong" w:cs="FangSong"/>
          <w:sz w:val="29"/>
          <w:szCs w:val="29"/>
          <w:spacing w:val="22"/>
        </w:rPr>
        <w:t>《中华人民共和国中医药法》第五十五条</w:t>
      </w:r>
      <w:r>
        <w:rPr>
          <w:rFonts w:ascii="FangSong" w:hAnsi="FangSong" w:eastAsia="FangSong" w:cs="FangSong"/>
          <w:sz w:val="29"/>
          <w:szCs w:val="29"/>
          <w:spacing w:val="22"/>
        </w:rPr>
        <w:t xml:space="preserve">  </w:t>
      </w:r>
      <w:r>
        <w:rPr>
          <w:rFonts w:ascii="FangSong" w:hAnsi="FangSong" w:eastAsia="FangSong" w:cs="FangSong"/>
          <w:sz w:val="29"/>
          <w:szCs w:val="29"/>
          <w:spacing w:val="22"/>
        </w:rPr>
        <w:t>违反本法规定，经</w:t>
      </w:r>
      <w:r>
        <w:rPr>
          <w:rFonts w:ascii="FangSong" w:hAnsi="FangSong" w:eastAsia="FangSong" w:cs="FangSong"/>
          <w:sz w:val="29"/>
          <w:szCs w:val="29"/>
          <w:spacing w:val="21"/>
        </w:rPr>
        <w:t>考核取得医师资格的中医医师超</w:t>
      </w:r>
      <w:r>
        <w:rPr>
          <w:rFonts w:ascii="FangSong" w:hAnsi="FangSong" w:eastAsia="FangSong" w:cs="FangSong"/>
          <w:sz w:val="29"/>
          <w:szCs w:val="29"/>
        </w:rPr>
        <w:t xml:space="preserve"> </w:t>
      </w:r>
      <w:r>
        <w:rPr>
          <w:rFonts w:ascii="FangSong" w:hAnsi="FangSong" w:eastAsia="FangSong" w:cs="FangSong"/>
          <w:sz w:val="29"/>
          <w:szCs w:val="29"/>
          <w:spacing w:val="26"/>
        </w:rPr>
        <w:t>出注册的执业范围从事医疗活动的，由县级以上人民政府中医药主管部门责令暂停六个月以上一年以</w:t>
      </w:r>
    </w:p>
    <w:p>
      <w:pPr>
        <w:spacing w:line="268" w:lineRule="auto"/>
        <w:sectPr>
          <w:footerReference w:type="default" r:id="rId290"/>
          <w:pgSz w:w="16830" w:h="11900"/>
          <w:pgMar w:top="1011" w:right="1414" w:bottom="1107" w:left="1414" w:header="0" w:footer="774" w:gutter="0"/>
        </w:sectPr>
        <w:rPr>
          <w:rFonts w:ascii="FangSong" w:hAnsi="FangSong" w:eastAsia="FangSong" w:cs="FangSong"/>
          <w:sz w:val="29"/>
          <w:szCs w:val="29"/>
        </w:rPr>
      </w:pPr>
    </w:p>
    <w:p>
      <w:pPr>
        <w:pStyle w:val="BodyText"/>
        <w:spacing w:line="267" w:lineRule="auto"/>
        <w:rPr/>
      </w:pPr>
      <w:r/>
    </w:p>
    <w:p>
      <w:pPr>
        <w:pStyle w:val="BodyText"/>
        <w:spacing w:line="267" w:lineRule="auto"/>
        <w:rPr/>
      </w:pPr>
      <w:r/>
    </w:p>
    <w:p>
      <w:pPr>
        <w:pStyle w:val="BodyText"/>
        <w:spacing w:line="268" w:lineRule="auto"/>
        <w:rPr/>
      </w:pPr>
      <w:r/>
    </w:p>
    <w:p>
      <w:pPr>
        <w:ind w:left="15"/>
        <w:spacing w:before="98" w:line="220" w:lineRule="auto"/>
        <w:rPr>
          <w:rFonts w:ascii="FangSong" w:hAnsi="FangSong" w:eastAsia="FangSong" w:cs="FangSong"/>
          <w:sz w:val="30"/>
          <w:szCs w:val="30"/>
        </w:rPr>
      </w:pPr>
      <w:bookmarkStart w:name="bookmark946" w:id="314"/>
      <w:bookmarkEnd w:id="314"/>
      <w:r>
        <w:rPr>
          <w:rFonts w:ascii="FangSong" w:hAnsi="FangSong" w:eastAsia="FangSong" w:cs="FangSong"/>
          <w:sz w:val="30"/>
          <w:szCs w:val="30"/>
          <w:spacing w:val="17"/>
        </w:rPr>
        <w:t>下执业活动，并处一万元以上三万元以下罚款；情节严重的，吊销执业证书。</w:t>
      </w:r>
    </w:p>
    <w:p>
      <w:pPr>
        <w:ind w:left="15" w:firstLine="629"/>
        <w:spacing w:before="82" w:line="268" w:lineRule="auto"/>
        <w:jc w:val="both"/>
        <w:rPr>
          <w:rFonts w:ascii="FangSong" w:hAnsi="FangSong" w:eastAsia="FangSong" w:cs="FangSong"/>
          <w:sz w:val="30"/>
          <w:szCs w:val="30"/>
        </w:rPr>
      </w:pPr>
      <w:r>
        <w:rPr>
          <w:rFonts w:ascii="FangSong" w:hAnsi="FangSong" w:eastAsia="FangSong" w:cs="FangSong"/>
          <w:sz w:val="30"/>
          <w:szCs w:val="30"/>
          <w:spacing w:val="19"/>
        </w:rPr>
        <w:t>2.</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《中医医术确有专长人员医师资格考核注册管理暂行办法》第三十七条</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中医(专长</w:t>
      </w:r>
      <w:r>
        <w:rPr>
          <w:rFonts w:ascii="FangSong" w:hAnsi="FangSong" w:eastAsia="FangSong" w:cs="FangSong"/>
          <w:sz w:val="30"/>
          <w:szCs w:val="30"/>
          <w:spacing w:val="18"/>
        </w:rPr>
        <w:t>)医师在</w:t>
      </w:r>
      <w:r>
        <w:rPr>
          <w:rFonts w:ascii="FangSong" w:hAnsi="FangSong" w:eastAsia="FangSong" w:cs="FangSong"/>
          <w:sz w:val="30"/>
          <w:szCs w:val="30"/>
        </w:rPr>
        <w:t xml:space="preserve"> </w:t>
      </w:r>
      <w:r>
        <w:rPr>
          <w:rFonts w:ascii="FangSong" w:hAnsi="FangSong" w:eastAsia="FangSong" w:cs="FangSong"/>
          <w:sz w:val="30"/>
          <w:szCs w:val="30"/>
          <w:spacing w:val="17"/>
        </w:rPr>
        <w:t>执业中超出注册的执业范围从事医疗活动的，由县级以上中医药主管部门责令暂停六个月</w:t>
      </w:r>
      <w:r>
        <w:rPr>
          <w:rFonts w:ascii="FangSong" w:hAnsi="FangSong" w:eastAsia="FangSong" w:cs="FangSong"/>
          <w:sz w:val="30"/>
          <w:szCs w:val="30"/>
          <w:spacing w:val="16"/>
        </w:rPr>
        <w:t>以上一年以</w:t>
      </w:r>
      <w:r>
        <w:rPr>
          <w:rFonts w:ascii="FangSong" w:hAnsi="FangSong" w:eastAsia="FangSong" w:cs="FangSong"/>
          <w:sz w:val="30"/>
          <w:szCs w:val="30"/>
        </w:rPr>
        <w:t xml:space="preserve"> </w:t>
      </w:r>
      <w:r>
        <w:rPr>
          <w:rFonts w:ascii="FangSong" w:hAnsi="FangSong" w:eastAsia="FangSong" w:cs="FangSong"/>
          <w:sz w:val="30"/>
          <w:szCs w:val="30"/>
          <w:spacing w:val="17"/>
        </w:rPr>
        <w:t>下执业活动，并处一万元以上三万元以下罚款；情节严重的，吊销其执业证书。造</w:t>
      </w:r>
      <w:r>
        <w:rPr>
          <w:rFonts w:ascii="FangSong" w:hAnsi="FangSong" w:eastAsia="FangSong" w:cs="FangSong"/>
          <w:sz w:val="30"/>
          <w:szCs w:val="30"/>
          <w:spacing w:val="16"/>
        </w:rPr>
        <w:t>成患者人身、财产</w:t>
      </w:r>
      <w:r>
        <w:rPr>
          <w:rFonts w:ascii="FangSong" w:hAnsi="FangSong" w:eastAsia="FangSong" w:cs="FangSong"/>
          <w:sz w:val="30"/>
          <w:szCs w:val="30"/>
        </w:rPr>
        <w:t xml:space="preserve"> </w:t>
      </w:r>
      <w:r>
        <w:rPr>
          <w:rFonts w:ascii="FangSong" w:hAnsi="FangSong" w:eastAsia="FangSong" w:cs="FangSong"/>
          <w:sz w:val="30"/>
          <w:szCs w:val="30"/>
          <w:spacing w:val="17"/>
        </w:rPr>
        <w:t>损害的，依法承担民事责任；构成犯罪的，依法</w:t>
      </w:r>
      <w:r>
        <w:rPr>
          <w:rFonts w:ascii="FangSong" w:hAnsi="FangSong" w:eastAsia="FangSong" w:cs="FangSong"/>
          <w:sz w:val="30"/>
          <w:szCs w:val="30"/>
          <w:spacing w:val="16"/>
        </w:rPr>
        <w:t>追究刑事责任。</w:t>
      </w:r>
    </w:p>
    <w:p>
      <w:pPr>
        <w:ind w:left="6428"/>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14"/>
        <w:gridCol w:w="7634"/>
        <w:gridCol w:w="4591"/>
      </w:tblGrid>
      <w:tr>
        <w:trPr>
          <w:trHeight w:val="553" w:hRule="atLeast"/>
        </w:trPr>
        <w:tc>
          <w:tcPr>
            <w:tcW w:w="1714" w:type="dxa"/>
            <w:vAlign w:val="top"/>
          </w:tcPr>
          <w:p>
            <w:pPr>
              <w:pStyle w:val="TableText"/>
              <w:ind w:left="268"/>
              <w:spacing w:before="16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7634" w:type="dxa"/>
            <w:vAlign w:val="top"/>
          </w:tcPr>
          <w:p>
            <w:pPr>
              <w:pStyle w:val="TableText"/>
              <w:ind w:left="3244"/>
              <w:spacing w:before="162" w:line="220" w:lineRule="auto"/>
              <w:rPr/>
            </w:pPr>
            <w:r>
              <w:rPr>
                <w:b/>
                <w:bCs/>
                <w:spacing w:val="-5"/>
              </w:rPr>
              <w:t>情节后果</w:t>
            </w:r>
          </w:p>
        </w:tc>
        <w:tc>
          <w:tcPr>
            <w:tcW w:w="4591" w:type="dxa"/>
            <w:vAlign w:val="top"/>
          </w:tcPr>
          <w:p>
            <w:pPr>
              <w:pStyle w:val="TableText"/>
              <w:ind w:left="1730"/>
              <w:spacing w:before="15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887" w:hRule="atLeast"/>
        </w:trPr>
        <w:tc>
          <w:tcPr>
            <w:tcW w:w="1714" w:type="dxa"/>
            <w:vAlign w:val="top"/>
          </w:tcPr>
          <w:p>
            <w:pPr>
              <w:spacing w:line="250" w:lineRule="auto"/>
              <w:rPr>
                <w:rFonts w:ascii="Arial"/>
                <w:sz w:val="21"/>
              </w:rPr>
            </w:pPr>
            <w:r/>
          </w:p>
          <w:p>
            <w:pPr>
              <w:pStyle w:val="TableText"/>
              <w:ind w:left="608"/>
              <w:spacing w:before="78" w:line="221" w:lineRule="auto"/>
              <w:rPr/>
            </w:pPr>
            <w:r>
              <w:rPr>
                <w:b/>
                <w:bCs/>
                <w:spacing w:val="-10"/>
              </w:rPr>
              <w:t>一般</w:t>
            </w:r>
          </w:p>
        </w:tc>
        <w:tc>
          <w:tcPr>
            <w:tcW w:w="7634" w:type="dxa"/>
            <w:vAlign w:val="top"/>
          </w:tcPr>
          <w:p>
            <w:pPr>
              <w:spacing w:line="252" w:lineRule="auto"/>
              <w:rPr>
                <w:rFonts w:ascii="Arial"/>
                <w:sz w:val="21"/>
              </w:rPr>
            </w:pPr>
            <w:r/>
          </w:p>
          <w:p>
            <w:pPr>
              <w:pStyle w:val="TableText"/>
              <w:ind w:left="111"/>
              <w:spacing w:before="78" w:line="219" w:lineRule="auto"/>
              <w:rPr/>
            </w:pPr>
            <w:r>
              <w:rPr/>
              <w:t>中医(专长)医师在执业中超出注册的执业范围从事医疗活动</w:t>
            </w:r>
          </w:p>
        </w:tc>
        <w:tc>
          <w:tcPr>
            <w:tcW w:w="4591" w:type="dxa"/>
            <w:vAlign w:val="top"/>
          </w:tcPr>
          <w:p>
            <w:pPr>
              <w:pStyle w:val="TableText"/>
              <w:ind w:left="106" w:right="384"/>
              <w:spacing w:before="169" w:line="272" w:lineRule="auto"/>
              <w:rPr/>
            </w:pPr>
            <w:r>
              <w:rPr/>
              <w:t>责令暂停六个月以上九个月以下执业活</w:t>
            </w:r>
            <w:r>
              <w:rPr>
                <w:spacing w:val="8"/>
              </w:rPr>
              <w:t xml:space="preserve"> </w:t>
            </w:r>
            <w:r>
              <w:rPr/>
              <w:t>动，并处一万元以上两万元以下罚款</w:t>
            </w:r>
          </w:p>
        </w:tc>
      </w:tr>
      <w:tr>
        <w:trPr>
          <w:trHeight w:val="887" w:hRule="atLeast"/>
        </w:trPr>
        <w:tc>
          <w:tcPr>
            <w:tcW w:w="1714" w:type="dxa"/>
            <w:vAlign w:val="top"/>
          </w:tcPr>
          <w:p>
            <w:pPr>
              <w:spacing w:line="255" w:lineRule="auto"/>
              <w:rPr>
                <w:rFonts w:ascii="Arial"/>
                <w:sz w:val="21"/>
              </w:rPr>
            </w:pPr>
            <w:r/>
          </w:p>
          <w:p>
            <w:pPr>
              <w:pStyle w:val="TableText"/>
              <w:ind w:left="608"/>
              <w:spacing w:before="78" w:line="221" w:lineRule="auto"/>
              <w:rPr/>
            </w:pPr>
            <w:r>
              <w:rPr>
                <w:b/>
                <w:bCs/>
                <w:spacing w:val="-5"/>
              </w:rPr>
              <w:t>较重</w:t>
            </w:r>
          </w:p>
        </w:tc>
        <w:tc>
          <w:tcPr>
            <w:tcW w:w="7634" w:type="dxa"/>
            <w:vAlign w:val="top"/>
          </w:tcPr>
          <w:p>
            <w:pPr>
              <w:pStyle w:val="TableText"/>
              <w:ind w:left="111" w:right="542"/>
              <w:spacing w:before="164" w:line="274" w:lineRule="auto"/>
              <w:rPr/>
            </w:pPr>
            <w:r>
              <w:rPr/>
              <w:t>中医(专长)医师曾因在执业中超出注册的执业范围从事医疗活动受</w:t>
            </w:r>
            <w:r>
              <w:rPr>
                <w:spacing w:val="9"/>
              </w:rPr>
              <w:t xml:space="preserve"> </w:t>
            </w:r>
            <w:r>
              <w:rPr>
                <w:spacing w:val="3"/>
              </w:rPr>
              <w:t>过行政处罚的</w:t>
            </w:r>
          </w:p>
        </w:tc>
        <w:tc>
          <w:tcPr>
            <w:tcW w:w="4591" w:type="dxa"/>
            <w:vAlign w:val="top"/>
          </w:tcPr>
          <w:p>
            <w:pPr>
              <w:pStyle w:val="TableText"/>
              <w:ind w:left="106" w:right="153"/>
              <w:spacing w:before="143" w:line="282" w:lineRule="auto"/>
              <w:rPr/>
            </w:pPr>
            <w:r>
              <w:rPr/>
              <w:t>责令暂停九个月以上一年以下执业活动， </w:t>
            </w:r>
            <w:r>
              <w:rPr/>
              <w:t>并处两万元以上三万元以下罚款</w:t>
            </w:r>
          </w:p>
        </w:tc>
      </w:tr>
      <w:tr>
        <w:trPr>
          <w:trHeight w:val="863" w:hRule="atLeast"/>
        </w:trPr>
        <w:tc>
          <w:tcPr>
            <w:tcW w:w="1714" w:type="dxa"/>
            <w:vAlign w:val="top"/>
          </w:tcPr>
          <w:p>
            <w:pPr>
              <w:pStyle w:val="TableText"/>
              <w:ind w:left="608"/>
              <w:spacing w:before="315" w:line="220" w:lineRule="auto"/>
              <w:rPr/>
            </w:pPr>
            <w:r>
              <w:rPr>
                <w:b/>
                <w:bCs/>
                <w:spacing w:val="-6"/>
              </w:rPr>
              <w:t>严重</w:t>
            </w:r>
          </w:p>
        </w:tc>
        <w:tc>
          <w:tcPr>
            <w:tcW w:w="7634" w:type="dxa"/>
            <w:vAlign w:val="top"/>
          </w:tcPr>
          <w:p>
            <w:pPr>
              <w:pStyle w:val="TableText"/>
              <w:ind w:left="111" w:right="542"/>
              <w:spacing w:before="137" w:line="275" w:lineRule="auto"/>
              <w:rPr/>
            </w:pPr>
            <w:r>
              <w:rPr/>
              <w:t>中医(专长)医师曾因在执业中超出注册的执业范围从事医疗活动受</w:t>
            </w:r>
            <w:r>
              <w:rPr>
                <w:spacing w:val="9"/>
              </w:rPr>
              <w:t xml:space="preserve"> </w:t>
            </w:r>
            <w:r>
              <w:rPr/>
              <w:t>过2次以上行政处罚的或造成其他严重后果或社会影响的</w:t>
            </w:r>
          </w:p>
        </w:tc>
        <w:tc>
          <w:tcPr>
            <w:tcW w:w="4591" w:type="dxa"/>
            <w:vAlign w:val="top"/>
          </w:tcPr>
          <w:p>
            <w:pPr>
              <w:pStyle w:val="TableText"/>
              <w:ind w:left="106"/>
              <w:spacing w:before="316" w:line="219" w:lineRule="auto"/>
              <w:rPr/>
            </w:pPr>
            <w:r>
              <w:rPr>
                <w:spacing w:val="1"/>
              </w:rPr>
              <w:t>处三万元罚款，并吊销其执业证书</w:t>
            </w:r>
          </w:p>
        </w:tc>
      </w:tr>
    </w:tbl>
    <w:p>
      <w:pPr>
        <w:pStyle w:val="BodyText"/>
        <w:spacing w:line="427" w:lineRule="auto"/>
        <w:rPr/>
      </w:pPr>
      <w:r/>
    </w:p>
    <w:p>
      <w:pPr>
        <w:ind w:left="649"/>
        <w:spacing w:before="97" w:line="220" w:lineRule="auto"/>
        <w:rPr>
          <w:rFonts w:ascii="FangSong" w:hAnsi="FangSong" w:eastAsia="FangSong" w:cs="FangSong"/>
          <w:sz w:val="30"/>
          <w:szCs w:val="30"/>
        </w:rPr>
      </w:pPr>
      <w:r>
        <w:rPr>
          <w:rFonts w:ascii="FangSong" w:hAnsi="FangSong" w:eastAsia="FangSong" w:cs="FangSong"/>
          <w:sz w:val="30"/>
          <w:szCs w:val="30"/>
          <w:b/>
          <w:bCs/>
          <w:spacing w:val="23"/>
        </w:rPr>
        <w:t>第二百三十二条举办中医诊所应当备案而未备案</w:t>
      </w:r>
    </w:p>
    <w:p>
      <w:pPr>
        <w:ind w:left="645"/>
        <w:spacing w:before="100"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15" w:right="14" w:firstLine="629"/>
        <w:spacing w:before="78" w:line="269" w:lineRule="auto"/>
        <w:rPr>
          <w:rFonts w:ascii="FangSong" w:hAnsi="FangSong" w:eastAsia="FangSong" w:cs="FangSong"/>
          <w:sz w:val="30"/>
          <w:szCs w:val="30"/>
        </w:rPr>
      </w:pPr>
      <w:r>
        <w:rPr>
          <w:rFonts w:ascii="FangSong" w:hAnsi="FangSong" w:eastAsia="FangSong" w:cs="FangSong"/>
          <w:sz w:val="30"/>
          <w:szCs w:val="30"/>
          <w:spacing w:val="12"/>
        </w:rPr>
        <w:t>1.</w:t>
      </w:r>
      <w:r>
        <w:rPr>
          <w:rFonts w:ascii="FangSong" w:hAnsi="FangSong" w:eastAsia="FangSong" w:cs="FangSong"/>
          <w:sz w:val="30"/>
          <w:szCs w:val="30"/>
          <w:spacing w:val="12"/>
        </w:rPr>
        <w:t xml:space="preserve"> </w:t>
      </w:r>
      <w:r>
        <w:rPr>
          <w:rFonts w:ascii="FangSong" w:hAnsi="FangSong" w:eastAsia="FangSong" w:cs="FangSong"/>
          <w:sz w:val="30"/>
          <w:szCs w:val="30"/>
          <w:spacing w:val="12"/>
        </w:rPr>
        <w:t>《中华人民共和国中医药法》第五十六条第一款</w:t>
      </w:r>
      <w:r>
        <w:rPr>
          <w:rFonts w:ascii="FangSong" w:hAnsi="FangSong" w:eastAsia="FangSong" w:cs="FangSong"/>
          <w:sz w:val="30"/>
          <w:szCs w:val="30"/>
          <w:spacing w:val="12"/>
        </w:rPr>
        <w:t xml:space="preserve">  </w:t>
      </w:r>
      <w:r>
        <w:rPr>
          <w:rFonts w:ascii="FangSong" w:hAnsi="FangSong" w:eastAsia="FangSong" w:cs="FangSong"/>
          <w:sz w:val="30"/>
          <w:szCs w:val="30"/>
          <w:spacing w:val="12"/>
        </w:rPr>
        <w:t>违反本法规定，举办中医诊所、炮制中药饮</w:t>
      </w:r>
      <w:r>
        <w:rPr>
          <w:rFonts w:ascii="FangSong" w:hAnsi="FangSong" w:eastAsia="FangSong" w:cs="FangSong"/>
          <w:sz w:val="30"/>
          <w:szCs w:val="30"/>
          <w:spacing w:val="8"/>
        </w:rPr>
        <w:t xml:space="preserve"> </w:t>
      </w:r>
      <w:r>
        <w:rPr>
          <w:rFonts w:ascii="FangSong" w:hAnsi="FangSong" w:eastAsia="FangSong" w:cs="FangSong"/>
          <w:sz w:val="30"/>
          <w:szCs w:val="30"/>
          <w:spacing w:val="17"/>
        </w:rPr>
        <w:t>片、委托配制中药制剂应当备案而未备案，或者备案时</w:t>
      </w:r>
      <w:r>
        <w:rPr>
          <w:rFonts w:ascii="FangSong" w:hAnsi="FangSong" w:eastAsia="FangSong" w:cs="FangSong"/>
          <w:sz w:val="30"/>
          <w:szCs w:val="30"/>
          <w:spacing w:val="16"/>
        </w:rPr>
        <w:t>提供虚假材料的，由中医药主管部门和药品监</w:t>
      </w:r>
    </w:p>
    <w:p>
      <w:pPr>
        <w:spacing w:line="269" w:lineRule="auto"/>
        <w:sectPr>
          <w:footerReference w:type="default" r:id="rId291"/>
          <w:pgSz w:w="16830" w:h="11900"/>
          <w:pgMar w:top="1011" w:right="1435" w:bottom="1117" w:left="1434" w:header="0" w:footer="784" w:gutter="0"/>
        </w:sectPr>
        <w:rPr>
          <w:rFonts w:ascii="FangSong" w:hAnsi="FangSong" w:eastAsia="FangSong" w:cs="FangSong"/>
          <w:sz w:val="30"/>
          <w:szCs w:val="30"/>
        </w:rPr>
      </w:pPr>
    </w:p>
    <w:p>
      <w:pPr>
        <w:pStyle w:val="BodyText"/>
        <w:spacing w:line="268" w:lineRule="auto"/>
        <w:rPr/>
      </w:pPr>
      <w:r/>
    </w:p>
    <w:p>
      <w:pPr>
        <w:pStyle w:val="BodyText"/>
        <w:spacing w:line="269" w:lineRule="auto"/>
        <w:rPr/>
      </w:pPr>
      <w:r/>
    </w:p>
    <w:p>
      <w:pPr>
        <w:pStyle w:val="BodyText"/>
        <w:spacing w:line="269" w:lineRule="auto"/>
        <w:rPr/>
      </w:pPr>
      <w:r/>
    </w:p>
    <w:p>
      <w:pPr>
        <w:ind w:left="104" w:right="40"/>
        <w:spacing w:before="94" w:line="281" w:lineRule="auto"/>
        <w:jc w:val="both"/>
        <w:rPr>
          <w:rFonts w:ascii="FangSong" w:hAnsi="FangSong" w:eastAsia="FangSong" w:cs="FangSong"/>
          <w:sz w:val="29"/>
          <w:szCs w:val="29"/>
        </w:rPr>
      </w:pPr>
      <w:r>
        <w:rPr>
          <w:rFonts w:ascii="FangSong" w:hAnsi="FangSong" w:eastAsia="FangSong" w:cs="FangSong"/>
          <w:sz w:val="29"/>
          <w:szCs w:val="29"/>
          <w:spacing w:val="22"/>
        </w:rPr>
        <w:t>督管理部门按照各自职责分工责令改正，没收违法所得，并处三万元以下罚款，向社会</w:t>
      </w:r>
      <w:r>
        <w:rPr>
          <w:rFonts w:ascii="FangSong" w:hAnsi="FangSong" w:eastAsia="FangSong" w:cs="FangSong"/>
          <w:sz w:val="29"/>
          <w:szCs w:val="29"/>
          <w:spacing w:val="21"/>
        </w:rPr>
        <w:t>公告相关信息；</w:t>
      </w:r>
      <w:r>
        <w:rPr>
          <w:rFonts w:ascii="FangSong" w:hAnsi="FangSong" w:eastAsia="FangSong" w:cs="FangSong"/>
          <w:sz w:val="29"/>
          <w:szCs w:val="29"/>
        </w:rPr>
        <w:t xml:space="preserve"> </w:t>
      </w:r>
      <w:r>
        <w:rPr>
          <w:rFonts w:ascii="FangSong" w:hAnsi="FangSong" w:eastAsia="FangSong" w:cs="FangSong"/>
          <w:sz w:val="29"/>
          <w:szCs w:val="29"/>
          <w:spacing w:val="27"/>
        </w:rPr>
        <w:t>拒不改正的，责令停止执业活动或者责令停止炮制中药饮片、委托配制中</w:t>
      </w:r>
      <w:r>
        <w:rPr>
          <w:rFonts w:ascii="FangSong" w:hAnsi="FangSong" w:eastAsia="FangSong" w:cs="FangSong"/>
          <w:sz w:val="29"/>
          <w:szCs w:val="29"/>
          <w:spacing w:val="26"/>
        </w:rPr>
        <w:t>药制剂活动，其直接责任人</w:t>
      </w:r>
      <w:r>
        <w:rPr>
          <w:rFonts w:ascii="FangSong" w:hAnsi="FangSong" w:eastAsia="FangSong" w:cs="FangSong"/>
          <w:sz w:val="29"/>
          <w:szCs w:val="29"/>
        </w:rPr>
        <w:t xml:space="preserve"> </w:t>
      </w:r>
      <w:r>
        <w:rPr>
          <w:rFonts w:ascii="FangSong" w:hAnsi="FangSong" w:eastAsia="FangSong" w:cs="FangSong"/>
          <w:sz w:val="29"/>
          <w:szCs w:val="29"/>
          <w:spacing w:val="23"/>
        </w:rPr>
        <w:t>员五年内不得从事中医药相关活动。</w:t>
      </w:r>
    </w:p>
    <w:p>
      <w:pPr>
        <w:ind w:left="104" w:right="136" w:firstLine="629"/>
        <w:spacing w:before="7" w:line="274" w:lineRule="auto"/>
        <w:jc w:val="both"/>
        <w:rPr>
          <w:rFonts w:ascii="FangSong" w:hAnsi="FangSong" w:eastAsia="FangSong" w:cs="FangSong"/>
          <w:sz w:val="29"/>
          <w:szCs w:val="29"/>
        </w:rPr>
      </w:pPr>
      <w:r>
        <w:rPr>
          <w:rFonts w:ascii="FangSong" w:hAnsi="FangSong" w:eastAsia="FangSong" w:cs="FangSong"/>
          <w:sz w:val="29"/>
          <w:szCs w:val="29"/>
          <w:spacing w:val="22"/>
        </w:rPr>
        <w:t>2.</w:t>
      </w:r>
      <w:r>
        <w:rPr>
          <w:rFonts w:ascii="FangSong" w:hAnsi="FangSong" w:eastAsia="FangSong" w:cs="FangSong"/>
          <w:sz w:val="29"/>
          <w:szCs w:val="29"/>
          <w:spacing w:val="22"/>
        </w:rPr>
        <w:t xml:space="preserve"> </w:t>
      </w:r>
      <w:r>
        <w:rPr>
          <w:rFonts w:ascii="FangSong" w:hAnsi="FangSong" w:eastAsia="FangSong" w:cs="FangSong"/>
          <w:sz w:val="29"/>
          <w:szCs w:val="29"/>
          <w:spacing w:val="22"/>
        </w:rPr>
        <w:t>《中医诊所备案管理暂行办法》第二十条</w:t>
      </w:r>
      <w:r>
        <w:rPr>
          <w:rFonts w:ascii="FangSong" w:hAnsi="FangSong" w:eastAsia="FangSong" w:cs="FangSong"/>
          <w:sz w:val="29"/>
          <w:szCs w:val="29"/>
          <w:spacing w:val="22"/>
        </w:rPr>
        <w:t xml:space="preserve">  </w:t>
      </w:r>
      <w:r>
        <w:rPr>
          <w:rFonts w:ascii="FangSong" w:hAnsi="FangSong" w:eastAsia="FangSong" w:cs="FangSong"/>
          <w:sz w:val="29"/>
          <w:szCs w:val="29"/>
          <w:spacing w:val="22"/>
        </w:rPr>
        <w:t>违反本办法规定，未经县级中医</w:t>
      </w:r>
      <w:r>
        <w:rPr>
          <w:rFonts w:ascii="FangSong" w:hAnsi="FangSong" w:eastAsia="FangSong" w:cs="FangSong"/>
          <w:sz w:val="29"/>
          <w:szCs w:val="29"/>
          <w:spacing w:val="21"/>
        </w:rPr>
        <w:t>药主管部门备案擅</w:t>
      </w:r>
      <w:r>
        <w:rPr>
          <w:rFonts w:ascii="FangSong" w:hAnsi="FangSong" w:eastAsia="FangSong" w:cs="FangSong"/>
          <w:sz w:val="29"/>
          <w:szCs w:val="29"/>
        </w:rPr>
        <w:t xml:space="preserve"> </w:t>
      </w:r>
      <w:r>
        <w:rPr>
          <w:rFonts w:ascii="FangSong" w:hAnsi="FangSong" w:eastAsia="FangSong" w:cs="FangSong"/>
          <w:sz w:val="29"/>
          <w:szCs w:val="29"/>
          <w:spacing w:val="26"/>
        </w:rPr>
        <w:t>自执业的，由县级中医药主管部门责令改正，没</w:t>
      </w:r>
      <w:r>
        <w:rPr>
          <w:rFonts w:ascii="FangSong" w:hAnsi="FangSong" w:eastAsia="FangSong" w:cs="FangSong"/>
          <w:sz w:val="29"/>
          <w:szCs w:val="29"/>
          <w:spacing w:val="25"/>
        </w:rPr>
        <w:t>收违法所得，并处三万元以下罚款，向社会公告相关</w:t>
      </w:r>
      <w:r>
        <w:rPr>
          <w:rFonts w:ascii="FangSong" w:hAnsi="FangSong" w:eastAsia="FangSong" w:cs="FangSong"/>
          <w:sz w:val="29"/>
          <w:szCs w:val="29"/>
        </w:rPr>
        <w:t xml:space="preserve"> </w:t>
      </w:r>
      <w:r>
        <w:rPr>
          <w:rFonts w:ascii="FangSong" w:hAnsi="FangSong" w:eastAsia="FangSong" w:cs="FangSong"/>
          <w:sz w:val="29"/>
          <w:szCs w:val="29"/>
          <w:spacing w:val="27"/>
        </w:rPr>
        <w:t>信息；拒不改正的，责令其停止执业活动，其直接责任人员自处罚决定</w:t>
      </w:r>
      <w:r>
        <w:rPr>
          <w:rFonts w:ascii="FangSong" w:hAnsi="FangSong" w:eastAsia="FangSong" w:cs="FangSong"/>
          <w:sz w:val="29"/>
          <w:szCs w:val="29"/>
          <w:spacing w:val="26"/>
        </w:rPr>
        <w:t>作出之日起五年内不得从事中</w:t>
      </w:r>
      <w:r>
        <w:rPr>
          <w:rFonts w:ascii="FangSong" w:hAnsi="FangSong" w:eastAsia="FangSong" w:cs="FangSong"/>
          <w:sz w:val="29"/>
          <w:szCs w:val="29"/>
        </w:rPr>
        <w:t xml:space="preserve"> </w:t>
      </w:r>
      <w:r>
        <w:rPr>
          <w:rFonts w:ascii="FangSong" w:hAnsi="FangSong" w:eastAsia="FangSong" w:cs="FangSong"/>
          <w:sz w:val="29"/>
          <w:szCs w:val="29"/>
          <w:spacing w:val="19"/>
        </w:rPr>
        <w:t>医药相关活动。</w:t>
      </w:r>
    </w:p>
    <w:p>
      <w:pPr>
        <w:ind w:left="6509"/>
        <w:spacing w:before="24" w:line="221" w:lineRule="auto"/>
        <w:rPr>
          <w:rFonts w:ascii="SimHei" w:hAnsi="SimHei" w:eastAsia="SimHei" w:cs="SimHei"/>
          <w:sz w:val="29"/>
          <w:szCs w:val="29"/>
        </w:rPr>
      </w:pPr>
      <w:r>
        <w:rPr>
          <w:rFonts w:ascii="SimHei" w:hAnsi="SimHei" w:eastAsia="SimHei" w:cs="SimHei"/>
          <w:sz w:val="29"/>
          <w:szCs w:val="29"/>
          <w:b/>
          <w:bCs/>
          <w:spacing w:val="-6"/>
        </w:rPr>
        <w:t>裁量标准</w:t>
      </w:r>
    </w:p>
    <w:p>
      <w:pPr>
        <w:spacing w:before="171"/>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6475"/>
        <w:gridCol w:w="6261"/>
      </w:tblGrid>
      <w:tr>
        <w:trPr>
          <w:trHeight w:val="424" w:hRule="atLeast"/>
        </w:trPr>
        <w:tc>
          <w:tcPr>
            <w:tcW w:w="1434" w:type="dxa"/>
            <w:vAlign w:val="top"/>
          </w:tcPr>
          <w:p>
            <w:pPr>
              <w:pStyle w:val="TableText"/>
              <w:ind w:left="208"/>
              <w:spacing w:before="92" w:line="220" w:lineRule="auto"/>
              <w:rPr>
                <w:sz w:val="25"/>
                <w:szCs w:val="25"/>
              </w:rPr>
            </w:pPr>
            <w:r>
              <w:rPr>
                <w:sz w:val="25"/>
                <w:szCs w:val="25"/>
                <w:b/>
                <w:bCs/>
                <w:spacing w:val="-5"/>
              </w:rPr>
              <w:t>违法程度</w:t>
            </w:r>
          </w:p>
        </w:tc>
        <w:tc>
          <w:tcPr>
            <w:tcW w:w="6475" w:type="dxa"/>
            <w:vAlign w:val="top"/>
          </w:tcPr>
          <w:p>
            <w:pPr>
              <w:pStyle w:val="TableText"/>
              <w:ind w:left="2734"/>
              <w:spacing w:before="92" w:line="220" w:lineRule="auto"/>
              <w:rPr>
                <w:sz w:val="25"/>
                <w:szCs w:val="25"/>
              </w:rPr>
            </w:pPr>
            <w:r>
              <w:rPr>
                <w:sz w:val="25"/>
                <w:szCs w:val="25"/>
                <w:b/>
                <w:bCs/>
                <w:spacing w:val="-5"/>
              </w:rPr>
              <w:t>违法后果</w:t>
            </w:r>
          </w:p>
        </w:tc>
        <w:tc>
          <w:tcPr>
            <w:tcW w:w="6261" w:type="dxa"/>
            <w:vAlign w:val="top"/>
          </w:tcPr>
          <w:p>
            <w:pPr>
              <w:pStyle w:val="TableText"/>
              <w:ind w:left="2629"/>
              <w:spacing w:before="89" w:line="218" w:lineRule="auto"/>
              <w:rPr>
                <w:sz w:val="25"/>
                <w:szCs w:val="25"/>
              </w:rPr>
            </w:pPr>
            <w:r>
              <w:rPr>
                <w:sz w:val="25"/>
                <w:szCs w:val="25"/>
                <w:b/>
                <w:bCs/>
                <w:spacing w:val="-5"/>
              </w:rPr>
              <w:t>裁量幅度</w:t>
            </w:r>
          </w:p>
        </w:tc>
      </w:tr>
      <w:tr>
        <w:trPr>
          <w:trHeight w:val="818" w:hRule="atLeast"/>
        </w:trPr>
        <w:tc>
          <w:tcPr>
            <w:tcW w:w="1434" w:type="dxa"/>
            <w:vAlign w:val="top"/>
          </w:tcPr>
          <w:p>
            <w:pPr>
              <w:pStyle w:val="TableText"/>
              <w:ind w:left="458"/>
              <w:spacing w:before="289" w:line="221" w:lineRule="auto"/>
              <w:rPr>
                <w:sz w:val="25"/>
                <w:szCs w:val="25"/>
              </w:rPr>
            </w:pPr>
            <w:r>
              <w:rPr>
                <w:sz w:val="25"/>
                <w:szCs w:val="25"/>
                <w:b/>
                <w:bCs/>
                <w:spacing w:val="-10"/>
              </w:rPr>
              <w:t>一般</w:t>
            </w:r>
          </w:p>
        </w:tc>
        <w:tc>
          <w:tcPr>
            <w:tcW w:w="6475" w:type="dxa"/>
            <w:vAlign w:val="top"/>
          </w:tcPr>
          <w:p>
            <w:pPr>
              <w:pStyle w:val="TableText"/>
              <w:ind w:left="120" w:hanging="109"/>
              <w:spacing w:before="120" w:line="254" w:lineRule="auto"/>
              <w:rPr>
                <w:sz w:val="25"/>
                <w:szCs w:val="25"/>
              </w:rPr>
            </w:pPr>
            <w:r>
              <w:rPr>
                <w:sz w:val="25"/>
                <w:szCs w:val="25"/>
                <w:spacing w:val="-2"/>
              </w:rPr>
              <w:t>举办中医诊所、炮制中药饮片、委托配制中药制剂应当备案</w:t>
            </w:r>
            <w:r>
              <w:rPr>
                <w:sz w:val="25"/>
                <w:szCs w:val="25"/>
                <w:spacing w:val="4"/>
              </w:rPr>
              <w:t xml:space="preserve"> </w:t>
            </w:r>
            <w:r>
              <w:rPr>
                <w:sz w:val="25"/>
                <w:szCs w:val="25"/>
                <w:spacing w:val="-1"/>
              </w:rPr>
              <w:t>而未备案或者备案时提供虚假材料，首次发现的。</w:t>
            </w:r>
          </w:p>
        </w:tc>
        <w:tc>
          <w:tcPr>
            <w:tcW w:w="6261" w:type="dxa"/>
            <w:vAlign w:val="top"/>
          </w:tcPr>
          <w:p>
            <w:pPr>
              <w:pStyle w:val="TableText"/>
              <w:ind w:left="104" w:hanging="89"/>
              <w:spacing w:before="120" w:line="254" w:lineRule="auto"/>
              <w:rPr>
                <w:sz w:val="25"/>
                <w:szCs w:val="25"/>
              </w:rPr>
            </w:pPr>
            <w:r>
              <w:rPr>
                <w:sz w:val="25"/>
                <w:szCs w:val="25"/>
                <w:spacing w:val="-1"/>
              </w:rPr>
              <w:t>由县级以上人民政府卫生行政部门责令改正，没收违法所</w:t>
            </w:r>
            <w:r>
              <w:rPr>
                <w:sz w:val="25"/>
                <w:szCs w:val="25"/>
                <w:spacing w:val="9"/>
              </w:rPr>
              <w:t xml:space="preserve"> </w:t>
            </w:r>
            <w:r>
              <w:rPr>
                <w:sz w:val="25"/>
                <w:szCs w:val="25"/>
                <w:spacing w:val="-1"/>
              </w:rPr>
              <w:t>得，并处一万元以上两万元以下的罚款。</w:t>
            </w:r>
          </w:p>
        </w:tc>
      </w:tr>
      <w:tr>
        <w:trPr>
          <w:trHeight w:val="1187" w:hRule="atLeast"/>
        </w:trPr>
        <w:tc>
          <w:tcPr>
            <w:tcW w:w="1434" w:type="dxa"/>
            <w:vAlign w:val="top"/>
          </w:tcPr>
          <w:p>
            <w:pPr>
              <w:spacing w:line="389" w:lineRule="auto"/>
              <w:rPr>
                <w:rFonts w:ascii="Arial"/>
                <w:sz w:val="21"/>
              </w:rPr>
            </w:pPr>
            <w:r/>
          </w:p>
          <w:p>
            <w:pPr>
              <w:pStyle w:val="TableText"/>
              <w:ind w:left="458"/>
              <w:spacing w:before="81" w:line="221" w:lineRule="auto"/>
              <w:rPr>
                <w:sz w:val="25"/>
                <w:szCs w:val="25"/>
              </w:rPr>
            </w:pPr>
            <w:r>
              <w:rPr>
                <w:sz w:val="25"/>
                <w:szCs w:val="25"/>
                <w:b/>
                <w:bCs/>
                <w:spacing w:val="-6"/>
              </w:rPr>
              <w:t>较重</w:t>
            </w:r>
          </w:p>
        </w:tc>
        <w:tc>
          <w:tcPr>
            <w:tcW w:w="6475" w:type="dxa"/>
            <w:vAlign w:val="top"/>
          </w:tcPr>
          <w:p>
            <w:pPr>
              <w:pStyle w:val="TableText"/>
              <w:ind w:left="11"/>
              <w:spacing w:before="100" w:line="265" w:lineRule="auto"/>
              <w:jc w:val="both"/>
              <w:rPr>
                <w:sz w:val="25"/>
                <w:szCs w:val="25"/>
              </w:rPr>
            </w:pPr>
            <w:r>
              <w:rPr>
                <w:sz w:val="25"/>
                <w:szCs w:val="25"/>
                <w:spacing w:val="-2"/>
              </w:rPr>
              <w:t>举办中医诊所、炮制中药饮片、委托配制中药制剂应当备案</w:t>
            </w:r>
            <w:r>
              <w:rPr>
                <w:sz w:val="25"/>
                <w:szCs w:val="25"/>
                <w:spacing w:val="4"/>
              </w:rPr>
              <w:t xml:space="preserve"> </w:t>
            </w:r>
            <w:r>
              <w:rPr>
                <w:sz w:val="25"/>
                <w:szCs w:val="25"/>
                <w:spacing w:val="-2"/>
              </w:rPr>
              <w:t>而未备案或者备案时提供虚假材料，经处罚再次发现有该行</w:t>
            </w:r>
            <w:r>
              <w:rPr>
                <w:sz w:val="25"/>
                <w:szCs w:val="25"/>
                <w:spacing w:val="4"/>
              </w:rPr>
              <w:t xml:space="preserve"> </w:t>
            </w:r>
            <w:r>
              <w:rPr>
                <w:sz w:val="25"/>
                <w:szCs w:val="25"/>
                <w:spacing w:val="34"/>
              </w:rPr>
              <w:t>为的。</w:t>
            </w:r>
          </w:p>
        </w:tc>
        <w:tc>
          <w:tcPr>
            <w:tcW w:w="6261" w:type="dxa"/>
            <w:vAlign w:val="top"/>
          </w:tcPr>
          <w:p>
            <w:pPr>
              <w:pStyle w:val="TableText"/>
              <w:ind w:left="104" w:hanging="89"/>
              <w:spacing w:before="312" w:line="298" w:lineRule="auto"/>
              <w:rPr>
                <w:sz w:val="25"/>
                <w:szCs w:val="25"/>
              </w:rPr>
            </w:pPr>
            <w:r>
              <w:rPr>
                <w:sz w:val="25"/>
                <w:szCs w:val="25"/>
                <w:spacing w:val="-1"/>
              </w:rPr>
              <w:t>由县级以上人民政府卫生行政部门责令改正，没收违法所</w:t>
            </w:r>
            <w:r>
              <w:rPr>
                <w:sz w:val="25"/>
                <w:szCs w:val="25"/>
                <w:spacing w:val="9"/>
              </w:rPr>
              <w:t xml:space="preserve"> </w:t>
            </w:r>
            <w:r>
              <w:rPr>
                <w:sz w:val="25"/>
                <w:szCs w:val="25"/>
                <w:spacing w:val="-1"/>
              </w:rPr>
              <w:t>得，并处两万元以上三万元以下的罚款。</w:t>
            </w:r>
          </w:p>
        </w:tc>
      </w:tr>
      <w:tr>
        <w:trPr>
          <w:trHeight w:val="1591" w:hRule="atLeast"/>
        </w:trPr>
        <w:tc>
          <w:tcPr>
            <w:tcW w:w="1434" w:type="dxa"/>
            <w:vAlign w:val="top"/>
          </w:tcPr>
          <w:p>
            <w:pPr>
              <w:spacing w:line="294" w:lineRule="auto"/>
              <w:rPr>
                <w:rFonts w:ascii="Arial"/>
                <w:sz w:val="21"/>
              </w:rPr>
            </w:pPr>
            <w:r/>
          </w:p>
          <w:p>
            <w:pPr>
              <w:spacing w:line="294"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6475" w:type="dxa"/>
            <w:vAlign w:val="top"/>
          </w:tcPr>
          <w:p>
            <w:pPr>
              <w:spacing w:line="430" w:lineRule="auto"/>
              <w:rPr>
                <w:rFonts w:ascii="Arial"/>
                <w:sz w:val="21"/>
              </w:rPr>
            </w:pPr>
            <w:r/>
          </w:p>
          <w:p>
            <w:pPr>
              <w:pStyle w:val="TableText"/>
              <w:ind w:left="11"/>
              <w:spacing w:before="81" w:line="305" w:lineRule="auto"/>
              <w:rPr>
                <w:sz w:val="25"/>
                <w:szCs w:val="25"/>
              </w:rPr>
            </w:pPr>
            <w:r>
              <w:rPr>
                <w:sz w:val="25"/>
                <w:szCs w:val="25"/>
                <w:spacing w:val="-6"/>
              </w:rPr>
              <w:t>举办中医诊所、炮制中药饮片、委托配制中药制剂应当</w:t>
            </w:r>
            <w:r>
              <w:rPr>
                <w:sz w:val="25"/>
                <w:szCs w:val="25"/>
                <w:spacing w:val="-7"/>
              </w:rPr>
              <w:t>备案</w:t>
            </w:r>
            <w:r>
              <w:rPr>
                <w:sz w:val="25"/>
                <w:szCs w:val="25"/>
              </w:rPr>
              <w:t xml:space="preserve">  </w:t>
            </w:r>
            <w:r>
              <w:rPr>
                <w:sz w:val="25"/>
                <w:szCs w:val="25"/>
                <w:spacing w:val="-11"/>
              </w:rPr>
              <w:t>而未备案或者备案时提供虚假材料，经处罚两次拒不改正的。</w:t>
            </w:r>
          </w:p>
        </w:tc>
        <w:tc>
          <w:tcPr>
            <w:tcW w:w="6261" w:type="dxa"/>
            <w:vAlign w:val="top"/>
          </w:tcPr>
          <w:p>
            <w:pPr>
              <w:pStyle w:val="TableText"/>
              <w:ind w:left="15"/>
              <w:spacing w:before="113" w:line="271" w:lineRule="auto"/>
              <w:jc w:val="both"/>
              <w:rPr>
                <w:sz w:val="25"/>
                <w:szCs w:val="25"/>
              </w:rPr>
            </w:pPr>
            <w:r>
              <w:rPr>
                <w:sz w:val="25"/>
                <w:szCs w:val="25"/>
                <w:spacing w:val="-1"/>
              </w:rPr>
              <w:t>由县级以上人民政府卫生行政部门责令改正，没收违法所</w:t>
            </w:r>
            <w:r>
              <w:rPr>
                <w:sz w:val="25"/>
                <w:szCs w:val="25"/>
                <w:spacing w:val="7"/>
              </w:rPr>
              <w:t xml:space="preserve"> </w:t>
            </w:r>
            <w:r>
              <w:rPr>
                <w:sz w:val="25"/>
                <w:szCs w:val="25"/>
                <w:spacing w:val="-1"/>
              </w:rPr>
              <w:t>得，责令停止执业活动或者责令停止炮制中药饮片、委托</w:t>
            </w:r>
            <w:r>
              <w:rPr>
                <w:sz w:val="25"/>
                <w:szCs w:val="25"/>
                <w:spacing w:val="8"/>
              </w:rPr>
              <w:t xml:space="preserve"> </w:t>
            </w:r>
            <w:r>
              <w:rPr>
                <w:sz w:val="25"/>
                <w:szCs w:val="25"/>
                <w:spacing w:val="-1"/>
              </w:rPr>
              <w:t>配制中药制剂活动，其直接责任人员五年内不得从事中医</w:t>
            </w:r>
            <w:r>
              <w:rPr>
                <w:sz w:val="25"/>
                <w:szCs w:val="25"/>
                <w:spacing w:val="9"/>
              </w:rPr>
              <w:t xml:space="preserve"> </w:t>
            </w:r>
            <w:r>
              <w:rPr>
                <w:sz w:val="25"/>
                <w:szCs w:val="25"/>
                <w:spacing w:val="13"/>
              </w:rPr>
              <w:t>药相关活动。</w:t>
            </w:r>
          </w:p>
        </w:tc>
      </w:tr>
    </w:tbl>
    <w:p>
      <w:pPr>
        <w:pStyle w:val="BodyText"/>
        <w:rPr/>
      </w:pPr>
      <w:r/>
    </w:p>
    <w:p>
      <w:pPr>
        <w:sectPr>
          <w:footerReference w:type="default" r:id="rId292"/>
          <w:pgSz w:w="16830" w:h="11900"/>
          <w:pgMar w:top="1011" w:right="1314" w:bottom="1131" w:left="1335" w:header="0" w:footer="807" w:gutter="0"/>
        </w:sectPr>
        <w:rPr/>
      </w:pP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679"/>
        <w:spacing w:before="98" w:line="220" w:lineRule="auto"/>
        <w:rPr>
          <w:rFonts w:ascii="FangSong" w:hAnsi="FangSong" w:eastAsia="FangSong" w:cs="FangSong"/>
          <w:sz w:val="30"/>
          <w:szCs w:val="30"/>
        </w:rPr>
      </w:pPr>
      <w:bookmarkStart w:name="bookmark947" w:id="315"/>
      <w:bookmarkEnd w:id="315"/>
      <w:r>
        <w:rPr>
          <w:rFonts w:ascii="FangSong" w:hAnsi="FangSong" w:eastAsia="FangSong" w:cs="FangSong"/>
          <w:sz w:val="30"/>
          <w:szCs w:val="30"/>
          <w:b/>
          <w:bCs/>
          <w:spacing w:val="22"/>
        </w:rPr>
        <w:t>第二百三十三条提交虚假备案材料取得《中医诊所备案证》的</w:t>
      </w:r>
    </w:p>
    <w:p>
      <w:pPr>
        <w:ind w:left="675"/>
        <w:spacing w:before="11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35" w:firstLine="639"/>
        <w:spacing w:before="57" w:line="261" w:lineRule="auto"/>
        <w:rPr>
          <w:rFonts w:ascii="FangSong" w:hAnsi="FangSong" w:eastAsia="FangSong" w:cs="FangSong"/>
          <w:sz w:val="30"/>
          <w:szCs w:val="30"/>
        </w:rPr>
      </w:pPr>
      <w:r>
        <w:rPr>
          <w:rFonts w:ascii="FangSong" w:hAnsi="FangSong" w:eastAsia="FangSong" w:cs="FangSong"/>
          <w:sz w:val="30"/>
          <w:szCs w:val="30"/>
          <w:spacing w:val="12"/>
        </w:rPr>
        <w:t>1.</w:t>
      </w:r>
      <w:r>
        <w:rPr>
          <w:rFonts w:ascii="FangSong" w:hAnsi="FangSong" w:eastAsia="FangSong" w:cs="FangSong"/>
          <w:sz w:val="30"/>
          <w:szCs w:val="30"/>
          <w:spacing w:val="12"/>
        </w:rPr>
        <w:t xml:space="preserve"> </w:t>
      </w:r>
      <w:r>
        <w:rPr>
          <w:rFonts w:ascii="FangSong" w:hAnsi="FangSong" w:eastAsia="FangSong" w:cs="FangSong"/>
          <w:sz w:val="30"/>
          <w:szCs w:val="30"/>
          <w:spacing w:val="12"/>
        </w:rPr>
        <w:t>《中华人民共和国中医药法》第五十六条第一款</w:t>
      </w:r>
      <w:r>
        <w:rPr>
          <w:rFonts w:ascii="FangSong" w:hAnsi="FangSong" w:eastAsia="FangSong" w:cs="FangSong"/>
          <w:sz w:val="30"/>
          <w:szCs w:val="30"/>
          <w:spacing w:val="12"/>
        </w:rPr>
        <w:t xml:space="preserve">  </w:t>
      </w:r>
      <w:r>
        <w:rPr>
          <w:rFonts w:ascii="FangSong" w:hAnsi="FangSong" w:eastAsia="FangSong" w:cs="FangSong"/>
          <w:sz w:val="30"/>
          <w:szCs w:val="30"/>
          <w:spacing w:val="12"/>
        </w:rPr>
        <w:t>违反本法规定，举办中医诊所、炮制中药饮</w:t>
      </w:r>
      <w:r>
        <w:rPr>
          <w:rFonts w:ascii="FangSong" w:hAnsi="FangSong" w:eastAsia="FangSong" w:cs="FangSong"/>
          <w:sz w:val="30"/>
          <w:szCs w:val="30"/>
          <w:spacing w:val="18"/>
        </w:rPr>
        <w:t xml:space="preserve"> </w:t>
      </w:r>
      <w:r>
        <w:rPr>
          <w:rFonts w:ascii="FangSong" w:hAnsi="FangSong" w:eastAsia="FangSong" w:cs="FangSong"/>
          <w:sz w:val="30"/>
          <w:szCs w:val="30"/>
          <w:spacing w:val="17"/>
        </w:rPr>
        <w:t>片、委托配制中药制剂应当备案而未备案，或者备案时提供虚假材料的，由中医药主管部门和药品监</w:t>
      </w:r>
      <w:r>
        <w:rPr>
          <w:rFonts w:ascii="FangSong" w:hAnsi="FangSong" w:eastAsia="FangSong" w:cs="FangSong"/>
          <w:sz w:val="30"/>
          <w:szCs w:val="30"/>
        </w:rPr>
        <w:t xml:space="preserve"> </w:t>
      </w:r>
      <w:r>
        <w:rPr>
          <w:rFonts w:ascii="FangSong" w:hAnsi="FangSong" w:eastAsia="FangSong" w:cs="FangSong"/>
          <w:sz w:val="30"/>
          <w:szCs w:val="30"/>
          <w:spacing w:val="12"/>
        </w:rPr>
        <w:t>督管理部门按照各自职责分工责令改正，没收违法所得，并处三万元以下罚款，向社会公告相关信</w:t>
      </w:r>
      <w:r>
        <w:rPr>
          <w:rFonts w:ascii="FangSong" w:hAnsi="FangSong" w:eastAsia="FangSong" w:cs="FangSong"/>
          <w:sz w:val="30"/>
          <w:szCs w:val="30"/>
          <w:spacing w:val="11"/>
        </w:rPr>
        <w:t>息；</w:t>
      </w:r>
      <w:r>
        <w:rPr>
          <w:rFonts w:ascii="FangSong" w:hAnsi="FangSong" w:eastAsia="FangSong" w:cs="FangSong"/>
          <w:sz w:val="30"/>
          <w:szCs w:val="30"/>
        </w:rPr>
        <w:t xml:space="preserve"> </w:t>
      </w:r>
      <w:r>
        <w:rPr>
          <w:rFonts w:ascii="FangSong" w:hAnsi="FangSong" w:eastAsia="FangSong" w:cs="FangSong"/>
          <w:sz w:val="30"/>
          <w:szCs w:val="30"/>
          <w:spacing w:val="17"/>
        </w:rPr>
        <w:t>拒不改正的，责令停止执业活动或者责令停止炮制中药饮片、委托配制中药制剂活动，其直接责任人</w:t>
      </w:r>
      <w:r>
        <w:rPr>
          <w:rFonts w:ascii="FangSong" w:hAnsi="FangSong" w:eastAsia="FangSong" w:cs="FangSong"/>
          <w:sz w:val="30"/>
          <w:szCs w:val="30"/>
        </w:rPr>
        <w:t xml:space="preserve"> </w:t>
      </w:r>
      <w:r>
        <w:rPr>
          <w:rFonts w:ascii="FangSong" w:hAnsi="FangSong" w:eastAsia="FangSong" w:cs="FangSong"/>
          <w:sz w:val="30"/>
          <w:szCs w:val="30"/>
          <w:spacing w:val="14"/>
        </w:rPr>
        <w:t>员五年内不得从事中医药相关活动。</w:t>
      </w:r>
    </w:p>
    <w:p>
      <w:pPr>
        <w:ind w:left="35" w:firstLine="639"/>
        <w:spacing w:before="86" w:line="259" w:lineRule="auto"/>
        <w:rPr>
          <w:rFonts w:ascii="FangSong" w:hAnsi="FangSong" w:eastAsia="FangSong" w:cs="FangSong"/>
          <w:sz w:val="30"/>
          <w:szCs w:val="30"/>
        </w:rPr>
      </w:pPr>
      <w:r>
        <w:rPr>
          <w:rFonts w:ascii="FangSong" w:hAnsi="FangSong" w:eastAsia="FangSong" w:cs="FangSong"/>
          <w:sz w:val="30"/>
          <w:szCs w:val="30"/>
          <w:spacing w:val="15"/>
        </w:rPr>
        <w:t>2.</w:t>
      </w:r>
      <w:r>
        <w:rPr>
          <w:rFonts w:ascii="FangSong" w:hAnsi="FangSong" w:eastAsia="FangSong" w:cs="FangSong"/>
          <w:sz w:val="30"/>
          <w:szCs w:val="30"/>
          <w:spacing w:val="15"/>
        </w:rPr>
        <w:t xml:space="preserve"> </w:t>
      </w:r>
      <w:r>
        <w:rPr>
          <w:rFonts w:ascii="FangSong" w:hAnsi="FangSong" w:eastAsia="FangSong" w:cs="FangSong"/>
          <w:sz w:val="30"/>
          <w:szCs w:val="30"/>
          <w:spacing w:val="15"/>
        </w:rPr>
        <w:t>《中医诊所备案管理暂行办法》第二</w:t>
      </w:r>
      <w:r>
        <w:rPr>
          <w:rFonts w:ascii="FangSong" w:hAnsi="FangSong" w:eastAsia="FangSong" w:cs="FangSong"/>
          <w:sz w:val="30"/>
          <w:szCs w:val="30"/>
          <w:spacing w:val="14"/>
        </w:rPr>
        <w:t>十一条</w:t>
      </w:r>
      <w:r>
        <w:rPr>
          <w:rFonts w:ascii="FangSong" w:hAnsi="FangSong" w:eastAsia="FangSong" w:cs="FangSong"/>
          <w:sz w:val="30"/>
          <w:szCs w:val="30"/>
          <w:spacing w:val="14"/>
        </w:rPr>
        <w:t xml:space="preserve">  </w:t>
      </w:r>
      <w:r>
        <w:rPr>
          <w:rFonts w:ascii="FangSong" w:hAnsi="FangSong" w:eastAsia="FangSong" w:cs="FangSong"/>
          <w:sz w:val="30"/>
          <w:szCs w:val="30"/>
          <w:spacing w:val="14"/>
        </w:rPr>
        <w:t>提交虚假备案材料取得《中医诊所备案证》的，</w:t>
      </w:r>
      <w:r>
        <w:rPr>
          <w:rFonts w:ascii="FangSong" w:hAnsi="FangSong" w:eastAsia="FangSong" w:cs="FangSong"/>
          <w:sz w:val="30"/>
          <w:szCs w:val="30"/>
        </w:rPr>
        <w:t xml:space="preserve"> </w:t>
      </w:r>
      <w:r>
        <w:rPr>
          <w:rFonts w:ascii="FangSong" w:hAnsi="FangSong" w:eastAsia="FangSong" w:cs="FangSong"/>
          <w:sz w:val="30"/>
          <w:szCs w:val="30"/>
          <w:spacing w:val="16"/>
        </w:rPr>
        <w:t>由县级中医药主管部门责令改正，没收违法所得，并处三万元以下罚款，向社会公告相关信息；拒不</w:t>
      </w:r>
      <w:r>
        <w:rPr>
          <w:rFonts w:ascii="FangSong" w:hAnsi="FangSong" w:eastAsia="FangSong" w:cs="FangSong"/>
          <w:sz w:val="30"/>
          <w:szCs w:val="30"/>
          <w:spacing w:val="12"/>
        </w:rPr>
        <w:t xml:space="preserve"> </w:t>
      </w:r>
      <w:r>
        <w:rPr>
          <w:rFonts w:ascii="FangSong" w:hAnsi="FangSong" w:eastAsia="FangSong" w:cs="FangSong"/>
          <w:sz w:val="30"/>
          <w:szCs w:val="30"/>
          <w:spacing w:val="20"/>
        </w:rPr>
        <w:t>改正的，责令其停止执业活动并注销《中医诊所备案证》,其直接责任人</w:t>
      </w:r>
      <w:r>
        <w:rPr>
          <w:rFonts w:ascii="FangSong" w:hAnsi="FangSong" w:eastAsia="FangSong" w:cs="FangSong"/>
          <w:sz w:val="30"/>
          <w:szCs w:val="30"/>
          <w:spacing w:val="19"/>
        </w:rPr>
        <w:t>员自处罚决定作出之日起五</w:t>
      </w:r>
      <w:r>
        <w:rPr>
          <w:rFonts w:ascii="FangSong" w:hAnsi="FangSong" w:eastAsia="FangSong" w:cs="FangSong"/>
          <w:sz w:val="30"/>
          <w:szCs w:val="30"/>
        </w:rPr>
        <w:t xml:space="preserve"> </w:t>
      </w:r>
      <w:r>
        <w:rPr>
          <w:rFonts w:ascii="FangSong" w:hAnsi="FangSong" w:eastAsia="FangSong" w:cs="FangSong"/>
          <w:sz w:val="30"/>
          <w:szCs w:val="30"/>
          <w:spacing w:val="14"/>
        </w:rPr>
        <w:t>年内不得从事中医药相关活动。</w:t>
      </w:r>
    </w:p>
    <w:p>
      <w:pPr>
        <w:ind w:left="6429"/>
        <w:spacing w:before="60" w:line="201"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6515"/>
        <w:gridCol w:w="6051"/>
      </w:tblGrid>
      <w:tr>
        <w:trPr>
          <w:trHeight w:val="603" w:hRule="atLeast"/>
        </w:trPr>
        <w:tc>
          <w:tcPr>
            <w:tcW w:w="1424" w:type="dxa"/>
            <w:vAlign w:val="top"/>
          </w:tcPr>
          <w:p>
            <w:pPr>
              <w:pStyle w:val="TableText"/>
              <w:ind w:left="208"/>
              <w:spacing w:before="182" w:line="220" w:lineRule="auto"/>
              <w:rPr>
                <w:sz w:val="25"/>
                <w:szCs w:val="25"/>
              </w:rPr>
            </w:pPr>
            <w:r>
              <w:rPr>
                <w:sz w:val="25"/>
                <w:szCs w:val="25"/>
                <w:b/>
                <w:bCs/>
                <w:spacing w:val="-5"/>
              </w:rPr>
              <w:t>违法程度</w:t>
            </w:r>
          </w:p>
        </w:tc>
        <w:tc>
          <w:tcPr>
            <w:tcW w:w="6515" w:type="dxa"/>
            <w:vAlign w:val="top"/>
          </w:tcPr>
          <w:p>
            <w:pPr>
              <w:pStyle w:val="TableText"/>
              <w:ind w:left="2754"/>
              <w:spacing w:before="182" w:line="220" w:lineRule="auto"/>
              <w:rPr>
                <w:sz w:val="25"/>
                <w:szCs w:val="25"/>
              </w:rPr>
            </w:pPr>
            <w:r>
              <w:rPr>
                <w:sz w:val="25"/>
                <w:szCs w:val="25"/>
                <w:b/>
                <w:bCs/>
                <w:spacing w:val="-5"/>
              </w:rPr>
              <w:t>情节后果</w:t>
            </w:r>
          </w:p>
        </w:tc>
        <w:tc>
          <w:tcPr>
            <w:tcW w:w="6051" w:type="dxa"/>
            <w:vAlign w:val="top"/>
          </w:tcPr>
          <w:p>
            <w:pPr>
              <w:pStyle w:val="TableText"/>
              <w:ind w:left="2469"/>
              <w:spacing w:before="179" w:line="218" w:lineRule="auto"/>
              <w:rPr>
                <w:sz w:val="25"/>
                <w:szCs w:val="25"/>
              </w:rPr>
            </w:pPr>
            <w:r>
              <w:rPr>
                <w:sz w:val="25"/>
                <w:szCs w:val="25"/>
                <w:b/>
                <w:bCs/>
                <w:spacing w:val="-5"/>
              </w:rPr>
              <w:t>裁量幅度</w:t>
            </w:r>
          </w:p>
        </w:tc>
      </w:tr>
      <w:tr>
        <w:trPr>
          <w:trHeight w:val="886" w:hRule="atLeast"/>
        </w:trPr>
        <w:tc>
          <w:tcPr>
            <w:tcW w:w="1424" w:type="dxa"/>
            <w:vAlign w:val="top"/>
          </w:tcPr>
          <w:p>
            <w:pPr>
              <w:pStyle w:val="TableText"/>
              <w:ind w:left="458"/>
              <w:spacing w:before="320" w:line="221" w:lineRule="auto"/>
              <w:rPr>
                <w:sz w:val="25"/>
                <w:szCs w:val="25"/>
              </w:rPr>
            </w:pPr>
            <w:r>
              <w:rPr>
                <w:sz w:val="25"/>
                <w:szCs w:val="25"/>
                <w:b/>
                <w:bCs/>
                <w:spacing w:val="-10"/>
              </w:rPr>
              <w:t>一般</w:t>
            </w:r>
          </w:p>
        </w:tc>
        <w:tc>
          <w:tcPr>
            <w:tcW w:w="6515" w:type="dxa"/>
            <w:vAlign w:val="top"/>
          </w:tcPr>
          <w:p>
            <w:pPr>
              <w:pStyle w:val="TableText"/>
              <w:ind w:left="119" w:hanging="109"/>
              <w:spacing w:before="150" w:line="268" w:lineRule="auto"/>
              <w:rPr>
                <w:sz w:val="25"/>
                <w:szCs w:val="25"/>
              </w:rPr>
            </w:pPr>
            <w:r>
              <w:rPr>
                <w:sz w:val="25"/>
                <w:szCs w:val="25"/>
              </w:rPr>
              <w:t>中医诊所备案时提供虚假材料，提供的虚假</w:t>
            </w:r>
            <w:r>
              <w:rPr>
                <w:sz w:val="25"/>
                <w:szCs w:val="25"/>
                <w:spacing w:val="-1"/>
              </w:rPr>
              <w:t>材料涉及《中医</w:t>
            </w:r>
            <w:r>
              <w:rPr>
                <w:sz w:val="25"/>
                <w:szCs w:val="25"/>
              </w:rPr>
              <w:t xml:space="preserve"> </w:t>
            </w:r>
            <w:r>
              <w:rPr>
                <w:sz w:val="25"/>
                <w:szCs w:val="25"/>
              </w:rPr>
              <w:t>诊所备案管理暂行办法》第六条其中一项的</w:t>
            </w:r>
          </w:p>
        </w:tc>
        <w:tc>
          <w:tcPr>
            <w:tcW w:w="6051" w:type="dxa"/>
            <w:vAlign w:val="top"/>
          </w:tcPr>
          <w:p>
            <w:pPr>
              <w:pStyle w:val="TableText"/>
              <w:ind w:left="125"/>
              <w:spacing w:before="322" w:line="219" w:lineRule="auto"/>
              <w:rPr>
                <w:sz w:val="25"/>
                <w:szCs w:val="25"/>
              </w:rPr>
            </w:pPr>
            <w:r>
              <w:rPr>
                <w:sz w:val="25"/>
                <w:szCs w:val="25"/>
              </w:rPr>
              <w:t>没收违法所得，并处以一万元以下的罚款</w:t>
            </w:r>
          </w:p>
        </w:tc>
      </w:tr>
      <w:tr>
        <w:trPr>
          <w:trHeight w:val="951" w:hRule="atLeast"/>
        </w:trPr>
        <w:tc>
          <w:tcPr>
            <w:tcW w:w="1424" w:type="dxa"/>
            <w:vAlign w:val="top"/>
          </w:tcPr>
          <w:p>
            <w:pPr>
              <w:spacing w:line="273" w:lineRule="auto"/>
              <w:rPr>
                <w:rFonts w:ascii="Arial"/>
                <w:sz w:val="21"/>
              </w:rPr>
            </w:pPr>
            <w:r/>
          </w:p>
          <w:p>
            <w:pPr>
              <w:pStyle w:val="TableText"/>
              <w:ind w:left="458"/>
              <w:spacing w:before="81" w:line="221" w:lineRule="auto"/>
              <w:rPr>
                <w:sz w:val="25"/>
                <w:szCs w:val="25"/>
              </w:rPr>
            </w:pPr>
            <w:r>
              <w:rPr>
                <w:sz w:val="25"/>
                <w:szCs w:val="25"/>
                <w:b/>
                <w:bCs/>
                <w:spacing w:val="-6"/>
              </w:rPr>
              <w:t>较重</w:t>
            </w:r>
          </w:p>
        </w:tc>
        <w:tc>
          <w:tcPr>
            <w:tcW w:w="6515" w:type="dxa"/>
            <w:vAlign w:val="top"/>
          </w:tcPr>
          <w:p>
            <w:pPr>
              <w:pStyle w:val="TableText"/>
              <w:ind w:left="119" w:hanging="109"/>
              <w:spacing w:before="185" w:line="279" w:lineRule="auto"/>
              <w:rPr>
                <w:sz w:val="25"/>
                <w:szCs w:val="25"/>
              </w:rPr>
            </w:pPr>
            <w:r>
              <w:rPr>
                <w:sz w:val="25"/>
                <w:szCs w:val="25"/>
              </w:rPr>
              <w:t>中医诊所备案时提供虚假材料，提供的虚假</w:t>
            </w:r>
            <w:r>
              <w:rPr>
                <w:sz w:val="25"/>
                <w:szCs w:val="25"/>
                <w:spacing w:val="-1"/>
              </w:rPr>
              <w:t>材料涉及《中医</w:t>
            </w:r>
            <w:r>
              <w:rPr>
                <w:sz w:val="25"/>
                <w:szCs w:val="25"/>
              </w:rPr>
              <w:t xml:space="preserve"> </w:t>
            </w:r>
            <w:r>
              <w:rPr>
                <w:sz w:val="25"/>
                <w:szCs w:val="25"/>
              </w:rPr>
              <w:t>诊所备案管理暂行办法》第六条其中两项的</w:t>
            </w:r>
          </w:p>
        </w:tc>
        <w:tc>
          <w:tcPr>
            <w:tcW w:w="6051" w:type="dxa"/>
            <w:vAlign w:val="top"/>
          </w:tcPr>
          <w:p>
            <w:pPr>
              <w:spacing w:line="273" w:lineRule="auto"/>
              <w:rPr>
                <w:rFonts w:ascii="Arial"/>
                <w:sz w:val="21"/>
              </w:rPr>
            </w:pPr>
            <w:r/>
          </w:p>
          <w:p>
            <w:pPr>
              <w:pStyle w:val="TableText"/>
              <w:ind w:left="125"/>
              <w:spacing w:before="81" w:line="219" w:lineRule="auto"/>
              <w:rPr>
                <w:sz w:val="25"/>
                <w:szCs w:val="25"/>
              </w:rPr>
            </w:pPr>
            <w:r>
              <w:rPr>
                <w:sz w:val="25"/>
                <w:szCs w:val="25"/>
              </w:rPr>
              <w:t>没收违法所得，并处以一万元以上两万元以下的罚款</w:t>
            </w:r>
          </w:p>
        </w:tc>
      </w:tr>
    </w:tbl>
    <w:p>
      <w:pPr>
        <w:pStyle w:val="BodyText"/>
        <w:rPr/>
      </w:pPr>
      <w:r/>
    </w:p>
    <w:p>
      <w:pPr>
        <w:sectPr>
          <w:footerReference w:type="default" r:id="rId293"/>
          <w:pgSz w:w="16830" w:h="11900"/>
          <w:pgMar w:top="1011" w:right="1339" w:bottom="1107" w:left="1414" w:header="0" w:footer="774" w:gutter="0"/>
        </w:sectPr>
        <w:rPr/>
      </w:pPr>
    </w:p>
    <w:p>
      <w:pPr>
        <w:spacing w:before="13"/>
        <w:rPr/>
      </w:pPr>
      <w:r/>
    </w:p>
    <w:p>
      <w:pPr>
        <w:spacing w:before="13"/>
        <w:rPr/>
      </w:pPr>
      <w:r/>
    </w:p>
    <w:p>
      <w:pPr>
        <w:spacing w:before="13"/>
        <w:rPr/>
      </w:pPr>
      <w:r/>
    </w:p>
    <w:tbl>
      <w:tblPr>
        <w:tblStyle w:val="TableNormal"/>
        <w:tblW w:w="14002"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6515"/>
        <w:gridCol w:w="6053"/>
      </w:tblGrid>
      <w:tr>
        <w:trPr>
          <w:trHeight w:val="890" w:hRule="atLeast"/>
        </w:trPr>
        <w:tc>
          <w:tcPr>
            <w:tcW w:w="1434" w:type="dxa"/>
            <w:vAlign w:val="top"/>
          </w:tcPr>
          <w:p>
            <w:pPr>
              <w:pStyle w:val="TableText"/>
              <w:ind w:left="458"/>
              <w:spacing w:before="322" w:line="220" w:lineRule="auto"/>
              <w:rPr>
                <w:sz w:val="25"/>
                <w:szCs w:val="25"/>
              </w:rPr>
            </w:pPr>
            <w:bookmarkStart w:name="bookmark948" w:id="316"/>
            <w:bookmarkEnd w:id="316"/>
            <w:r>
              <w:rPr>
                <w:sz w:val="25"/>
                <w:szCs w:val="25"/>
                <w:b/>
                <w:bCs/>
                <w:spacing w:val="-6"/>
              </w:rPr>
              <w:t>严重</w:t>
            </w:r>
          </w:p>
        </w:tc>
        <w:tc>
          <w:tcPr>
            <w:tcW w:w="6515" w:type="dxa"/>
            <w:vAlign w:val="top"/>
          </w:tcPr>
          <w:p>
            <w:pPr>
              <w:pStyle w:val="TableText"/>
              <w:ind w:left="100" w:firstLine="29"/>
              <w:spacing w:before="154" w:line="268" w:lineRule="auto"/>
              <w:rPr>
                <w:sz w:val="25"/>
                <w:szCs w:val="25"/>
              </w:rPr>
            </w:pPr>
            <w:r>
              <w:rPr>
                <w:sz w:val="25"/>
                <w:szCs w:val="25"/>
                <w:spacing w:val="-5"/>
              </w:rPr>
              <w:t>中医诊所备案时提供虚假材料，提供的虚假材料涉及《中医</w:t>
            </w:r>
            <w:r>
              <w:rPr>
                <w:sz w:val="25"/>
                <w:szCs w:val="25"/>
                <w:spacing w:val="3"/>
              </w:rPr>
              <w:t xml:space="preserve"> </w:t>
            </w:r>
            <w:r>
              <w:rPr>
                <w:sz w:val="25"/>
                <w:szCs w:val="25"/>
              </w:rPr>
              <w:t>诊所备案管理暂行办法》第六条其中三项及以上的</w:t>
            </w:r>
          </w:p>
        </w:tc>
        <w:tc>
          <w:tcPr>
            <w:tcW w:w="6053" w:type="dxa"/>
            <w:vAlign w:val="top"/>
          </w:tcPr>
          <w:p>
            <w:pPr>
              <w:spacing w:line="242" w:lineRule="auto"/>
              <w:rPr>
                <w:rFonts w:ascii="Arial"/>
                <w:sz w:val="21"/>
              </w:rPr>
            </w:pPr>
            <w:r/>
          </w:p>
          <w:p>
            <w:pPr>
              <w:pStyle w:val="TableText"/>
              <w:ind w:left="125"/>
              <w:spacing w:before="81" w:line="219" w:lineRule="auto"/>
              <w:rPr>
                <w:sz w:val="25"/>
                <w:szCs w:val="25"/>
              </w:rPr>
            </w:pPr>
            <w:r>
              <w:rPr>
                <w:sz w:val="25"/>
                <w:szCs w:val="25"/>
              </w:rPr>
              <w:t>没收违法所得，并处以两万元以上三万元以下的罚款</w:t>
            </w:r>
          </w:p>
        </w:tc>
      </w:tr>
      <w:tr>
        <w:trPr>
          <w:trHeight w:val="1309" w:hRule="atLeast"/>
        </w:trPr>
        <w:tc>
          <w:tcPr>
            <w:tcW w:w="1434" w:type="dxa"/>
            <w:vAlign w:val="top"/>
          </w:tcPr>
          <w:p>
            <w:pPr>
              <w:spacing w:line="447" w:lineRule="auto"/>
              <w:rPr>
                <w:rFonts w:ascii="Arial"/>
                <w:sz w:val="21"/>
              </w:rPr>
            </w:pPr>
            <w:r/>
          </w:p>
          <w:p>
            <w:pPr>
              <w:pStyle w:val="TableText"/>
              <w:ind w:left="208"/>
              <w:spacing w:before="82" w:line="219" w:lineRule="auto"/>
              <w:rPr>
                <w:sz w:val="25"/>
                <w:szCs w:val="25"/>
              </w:rPr>
            </w:pPr>
            <w:r>
              <w:rPr>
                <w:sz w:val="25"/>
                <w:szCs w:val="25"/>
                <w:b/>
                <w:bCs/>
                <w:spacing w:val="-5"/>
              </w:rPr>
              <w:t>特别严重</w:t>
            </w:r>
          </w:p>
        </w:tc>
        <w:tc>
          <w:tcPr>
            <w:tcW w:w="6515" w:type="dxa"/>
            <w:vAlign w:val="top"/>
          </w:tcPr>
          <w:p>
            <w:pPr>
              <w:spacing w:line="292" w:lineRule="auto"/>
              <w:rPr>
                <w:rFonts w:ascii="Arial"/>
                <w:sz w:val="21"/>
              </w:rPr>
            </w:pPr>
            <w:r/>
          </w:p>
          <w:p>
            <w:pPr>
              <w:pStyle w:val="TableText"/>
              <w:ind w:left="100" w:firstLine="29"/>
              <w:spacing w:before="81" w:line="319" w:lineRule="auto"/>
              <w:rPr>
                <w:sz w:val="25"/>
                <w:szCs w:val="25"/>
              </w:rPr>
            </w:pPr>
            <w:r>
              <w:rPr>
                <w:sz w:val="25"/>
                <w:szCs w:val="25"/>
                <w:spacing w:val="-5"/>
              </w:rPr>
              <w:t>因提交虚假备案材料取得《中医诊所备案证》受到行政处罚</w:t>
            </w:r>
            <w:r>
              <w:rPr>
                <w:sz w:val="25"/>
                <w:szCs w:val="25"/>
                <w:spacing w:val="3"/>
              </w:rPr>
              <w:t xml:space="preserve"> </w:t>
            </w:r>
            <w:r>
              <w:rPr>
                <w:sz w:val="25"/>
                <w:szCs w:val="25"/>
              </w:rPr>
              <w:t>经责令改正后拒不改正的</w:t>
            </w:r>
          </w:p>
        </w:tc>
        <w:tc>
          <w:tcPr>
            <w:tcW w:w="6053" w:type="dxa"/>
            <w:vAlign w:val="top"/>
          </w:tcPr>
          <w:p>
            <w:pPr>
              <w:pStyle w:val="TableText"/>
              <w:ind w:left="125"/>
              <w:spacing w:before="145" w:line="284" w:lineRule="auto"/>
              <w:jc w:val="both"/>
              <w:rPr>
                <w:sz w:val="25"/>
                <w:szCs w:val="25"/>
              </w:rPr>
            </w:pPr>
            <w:r>
              <w:rPr>
                <w:sz w:val="25"/>
                <w:szCs w:val="25"/>
                <w:spacing w:val="-4"/>
              </w:rPr>
              <w:t>没收违法所得，并处以三万元罚款；责令停止执业活动</w:t>
            </w:r>
            <w:r>
              <w:rPr>
                <w:sz w:val="25"/>
                <w:szCs w:val="25"/>
                <w:spacing w:val="12"/>
              </w:rPr>
              <w:t xml:space="preserve"> </w:t>
            </w:r>
            <w:r>
              <w:rPr>
                <w:sz w:val="25"/>
                <w:szCs w:val="25"/>
              </w:rPr>
              <w:t>并注销《中医诊所备案证》,直接责任人员自处罚决定 </w:t>
            </w:r>
            <w:r>
              <w:rPr>
                <w:sz w:val="25"/>
                <w:szCs w:val="25"/>
              </w:rPr>
              <w:t>作出之日起五年内不得从事中医药相关活动</w:t>
            </w:r>
          </w:p>
        </w:tc>
      </w:tr>
    </w:tbl>
    <w:p>
      <w:pPr>
        <w:pStyle w:val="BodyText"/>
        <w:spacing w:line="252" w:lineRule="auto"/>
        <w:rPr/>
      </w:pPr>
      <w:r/>
    </w:p>
    <w:p>
      <w:pPr>
        <w:pStyle w:val="BodyText"/>
        <w:spacing w:line="253" w:lineRule="auto"/>
        <w:rPr/>
      </w:pPr>
      <w:r/>
    </w:p>
    <w:p>
      <w:pPr>
        <w:ind w:left="809"/>
        <w:spacing w:before="97" w:line="223" w:lineRule="auto"/>
        <w:rPr>
          <w:rFonts w:ascii="KaiTi" w:hAnsi="KaiTi" w:eastAsia="KaiTi" w:cs="KaiTi"/>
          <w:sz w:val="30"/>
          <w:szCs w:val="30"/>
        </w:rPr>
      </w:pPr>
      <w:r>
        <w:rPr>
          <w:rFonts w:ascii="KaiTi" w:hAnsi="KaiTi" w:eastAsia="KaiTi" w:cs="KaiTi"/>
          <w:sz w:val="30"/>
          <w:szCs w:val="30"/>
          <w:b/>
          <w:bCs/>
          <w:spacing w:val="26"/>
        </w:rPr>
        <w:t>(十二)《中医诊所备案管理暂行办法》</w:t>
      </w:r>
    </w:p>
    <w:p>
      <w:pPr>
        <w:ind w:left="29" w:right="13" w:firstLine="670"/>
        <w:spacing w:before="329" w:line="280" w:lineRule="auto"/>
        <w:rPr>
          <w:rFonts w:ascii="FangSong" w:hAnsi="FangSong" w:eastAsia="FangSong" w:cs="FangSong"/>
          <w:sz w:val="30"/>
          <w:szCs w:val="30"/>
        </w:rPr>
      </w:pPr>
      <w:r>
        <w:rPr>
          <w:rFonts w:ascii="FangSong" w:hAnsi="FangSong" w:eastAsia="FangSong" w:cs="FangSong"/>
          <w:sz w:val="30"/>
          <w:szCs w:val="30"/>
          <w:b/>
          <w:bCs/>
          <w:spacing w:val="21"/>
        </w:rPr>
        <w:t>第二百三十四条中医诊所擅自更改设置未经备案或者实际设置与取得的《中医诊所备案证》记</w:t>
      </w:r>
      <w:r>
        <w:rPr>
          <w:rFonts w:ascii="FangSong" w:hAnsi="FangSong" w:eastAsia="FangSong" w:cs="FangSong"/>
          <w:sz w:val="30"/>
          <w:szCs w:val="30"/>
          <w:spacing w:val="8"/>
        </w:rPr>
        <w:t xml:space="preserve"> </w:t>
      </w:r>
      <w:r>
        <w:rPr>
          <w:rFonts w:ascii="FangSong" w:hAnsi="FangSong" w:eastAsia="FangSong" w:cs="FangSong"/>
          <w:sz w:val="30"/>
          <w:szCs w:val="30"/>
          <w:b/>
          <w:bCs/>
          <w:spacing w:val="12"/>
        </w:rPr>
        <w:t>载事项不一致的</w:t>
      </w:r>
    </w:p>
    <w:p>
      <w:pPr>
        <w:ind w:left="695"/>
        <w:spacing w:before="7"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25" w:right="46" w:firstLine="629"/>
        <w:spacing w:before="80" w:line="266" w:lineRule="auto"/>
        <w:jc w:val="both"/>
        <w:rPr>
          <w:rFonts w:ascii="FangSong" w:hAnsi="FangSong" w:eastAsia="FangSong" w:cs="FangSong"/>
          <w:sz w:val="30"/>
          <w:szCs w:val="30"/>
        </w:rPr>
      </w:pPr>
      <w:r>
        <w:rPr>
          <w:rFonts w:ascii="FangSong" w:hAnsi="FangSong" w:eastAsia="FangSong" w:cs="FangSong"/>
          <w:sz w:val="30"/>
          <w:szCs w:val="30"/>
          <w:spacing w:val="20"/>
        </w:rPr>
        <w:t>《中医诊所备案管理暂行办法》第二十二条</w:t>
      </w:r>
      <w:r>
        <w:rPr>
          <w:rFonts w:ascii="FangSong" w:hAnsi="FangSong" w:eastAsia="FangSong" w:cs="FangSong"/>
          <w:sz w:val="30"/>
          <w:szCs w:val="30"/>
          <w:spacing w:val="20"/>
        </w:rPr>
        <w:t xml:space="preserve">   </w:t>
      </w:r>
      <w:r>
        <w:rPr>
          <w:rFonts w:ascii="FangSong" w:hAnsi="FangSong" w:eastAsia="FangSong" w:cs="FangSong"/>
          <w:sz w:val="30"/>
          <w:szCs w:val="30"/>
          <w:spacing w:val="20"/>
        </w:rPr>
        <w:t>违反本办法第十条规定，中医诊所擅自更改设置</w:t>
      </w:r>
      <w:r>
        <w:rPr>
          <w:rFonts w:ascii="FangSong" w:hAnsi="FangSong" w:eastAsia="FangSong" w:cs="FangSong"/>
          <w:sz w:val="30"/>
          <w:szCs w:val="30"/>
        </w:rPr>
        <w:t xml:space="preserve"> </w:t>
      </w:r>
      <w:r>
        <w:rPr>
          <w:rFonts w:ascii="FangSong" w:hAnsi="FangSong" w:eastAsia="FangSong" w:cs="FangSong"/>
          <w:sz w:val="30"/>
          <w:szCs w:val="30"/>
          <w:spacing w:val="16"/>
        </w:rPr>
        <w:t>未经备案或者实际设置与取得的《中医诊所备案证》记载事项不一致的，不得开展诊疗活动。擅自开</w:t>
      </w:r>
      <w:r>
        <w:rPr>
          <w:rFonts w:ascii="FangSong" w:hAnsi="FangSong" w:eastAsia="FangSong" w:cs="FangSong"/>
          <w:sz w:val="30"/>
          <w:szCs w:val="30"/>
          <w:spacing w:val="16"/>
        </w:rPr>
        <w:t xml:space="preserve"> </w:t>
      </w:r>
      <w:r>
        <w:rPr>
          <w:rFonts w:ascii="FangSong" w:hAnsi="FangSong" w:eastAsia="FangSong" w:cs="FangSong"/>
          <w:sz w:val="30"/>
          <w:szCs w:val="30"/>
          <w:spacing w:val="17"/>
        </w:rPr>
        <w:t>展诊疗活动的，由县级中医药主管部门责令改正，给</w:t>
      </w:r>
      <w:r>
        <w:rPr>
          <w:rFonts w:ascii="FangSong" w:hAnsi="FangSong" w:eastAsia="FangSong" w:cs="FangSong"/>
          <w:sz w:val="30"/>
          <w:szCs w:val="30"/>
          <w:spacing w:val="16"/>
        </w:rPr>
        <w:t>予警告，并处一万元以上三万元以下罚款；情节</w:t>
      </w:r>
      <w:r>
        <w:rPr>
          <w:rFonts w:ascii="FangSong" w:hAnsi="FangSong" w:eastAsia="FangSong" w:cs="FangSong"/>
          <w:sz w:val="30"/>
          <w:szCs w:val="30"/>
        </w:rPr>
        <w:t xml:space="preserve"> </w:t>
      </w:r>
      <w:r>
        <w:rPr>
          <w:rFonts w:ascii="FangSong" w:hAnsi="FangSong" w:eastAsia="FangSong" w:cs="FangSong"/>
          <w:sz w:val="30"/>
          <w:szCs w:val="30"/>
          <w:spacing w:val="17"/>
        </w:rPr>
        <w:t>严重的，应当责令其停止执业活动，注销《中医诊所备案证》。</w:t>
      </w:r>
    </w:p>
    <w:p>
      <w:pPr>
        <w:ind w:left="6439"/>
        <w:spacing w:before="14"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8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44"/>
        <w:gridCol w:w="7914"/>
        <w:gridCol w:w="4322"/>
      </w:tblGrid>
      <w:tr>
        <w:trPr>
          <w:trHeight w:val="1000" w:hRule="atLeast"/>
        </w:trPr>
        <w:tc>
          <w:tcPr>
            <w:tcW w:w="1744" w:type="dxa"/>
            <w:vAlign w:val="top"/>
          </w:tcPr>
          <w:p>
            <w:pPr>
              <w:spacing w:line="267" w:lineRule="auto"/>
              <w:rPr>
                <w:rFonts w:ascii="Arial"/>
                <w:sz w:val="21"/>
              </w:rPr>
            </w:pPr>
            <w:r/>
          </w:p>
          <w:p>
            <w:pPr>
              <w:pStyle w:val="TableText"/>
              <w:ind w:left="289"/>
              <w:spacing w:before="95" w:line="220" w:lineRule="auto"/>
              <w:rPr>
                <w:sz w:val="29"/>
                <w:szCs w:val="29"/>
              </w:rPr>
            </w:pPr>
            <w:r>
              <w:rPr>
                <w:sz w:val="29"/>
                <w:szCs w:val="29"/>
                <w:b/>
                <w:bCs/>
                <w:spacing w:val="-1"/>
              </w:rPr>
              <w:t>违法程度</w:t>
            </w:r>
          </w:p>
        </w:tc>
        <w:tc>
          <w:tcPr>
            <w:tcW w:w="7914" w:type="dxa"/>
            <w:vAlign w:val="top"/>
          </w:tcPr>
          <w:p>
            <w:pPr>
              <w:spacing w:line="267" w:lineRule="auto"/>
              <w:rPr>
                <w:rFonts w:ascii="Arial"/>
                <w:sz w:val="21"/>
              </w:rPr>
            </w:pPr>
            <w:r/>
          </w:p>
          <w:p>
            <w:pPr>
              <w:pStyle w:val="TableText"/>
              <w:ind w:left="3375"/>
              <w:spacing w:before="95" w:line="220" w:lineRule="auto"/>
              <w:rPr>
                <w:sz w:val="29"/>
                <w:szCs w:val="29"/>
              </w:rPr>
            </w:pPr>
            <w:r>
              <w:rPr>
                <w:sz w:val="29"/>
                <w:szCs w:val="29"/>
                <w:b/>
                <w:bCs/>
                <w:spacing w:val="-1"/>
              </w:rPr>
              <w:t>情节后果</w:t>
            </w:r>
          </w:p>
        </w:tc>
        <w:tc>
          <w:tcPr>
            <w:tcW w:w="4322" w:type="dxa"/>
            <w:vAlign w:val="top"/>
          </w:tcPr>
          <w:p>
            <w:pPr>
              <w:spacing w:line="264" w:lineRule="auto"/>
              <w:rPr>
                <w:rFonts w:ascii="Arial"/>
                <w:sz w:val="21"/>
              </w:rPr>
            </w:pPr>
            <w:r/>
          </w:p>
          <w:p>
            <w:pPr>
              <w:pStyle w:val="TableText"/>
              <w:ind w:left="1581"/>
              <w:spacing w:before="94" w:line="218" w:lineRule="auto"/>
              <w:rPr>
                <w:sz w:val="29"/>
                <w:szCs w:val="29"/>
              </w:rPr>
            </w:pPr>
            <w:r>
              <w:rPr>
                <w:sz w:val="29"/>
                <w:szCs w:val="29"/>
                <w:b/>
                <w:bCs/>
                <w:spacing w:val="-1"/>
              </w:rPr>
              <w:t>裁量幅度</w:t>
            </w:r>
          </w:p>
        </w:tc>
      </w:tr>
    </w:tbl>
    <w:p>
      <w:pPr>
        <w:pStyle w:val="BodyText"/>
        <w:rPr/>
      </w:pPr>
      <w:r/>
    </w:p>
    <w:p>
      <w:pPr>
        <w:sectPr>
          <w:footerReference w:type="default" r:id="rId294"/>
          <w:pgSz w:w="16830" w:h="11900"/>
          <w:pgMar w:top="1011" w:right="1412" w:bottom="1118" w:left="1405" w:header="0" w:footer="785" w:gutter="0"/>
        </w:sectPr>
        <w:rPr/>
      </w:pPr>
    </w:p>
    <w:p>
      <w:pPr>
        <w:spacing w:before="17"/>
        <w:rPr/>
      </w:pPr>
      <w:r/>
    </w:p>
    <w:p>
      <w:pPr>
        <w:spacing w:before="16"/>
        <w:rPr/>
      </w:pPr>
      <w:r/>
    </w:p>
    <w:p>
      <w:pPr>
        <w:spacing w:before="16"/>
        <w:rPr/>
      </w:pPr>
      <w:r/>
    </w:p>
    <w:tbl>
      <w:tblPr>
        <w:tblStyle w:val="TableNormal"/>
        <w:tblW w:w="139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33"/>
        <w:gridCol w:w="7904"/>
        <w:gridCol w:w="4322"/>
      </w:tblGrid>
      <w:tr>
        <w:trPr>
          <w:trHeight w:val="862" w:hRule="atLeast"/>
        </w:trPr>
        <w:tc>
          <w:tcPr>
            <w:tcW w:w="1733" w:type="dxa"/>
            <w:vAlign w:val="top"/>
          </w:tcPr>
          <w:p>
            <w:pPr>
              <w:pStyle w:val="TableText"/>
              <w:ind w:left="618"/>
              <w:spacing w:before="312" w:line="221" w:lineRule="auto"/>
              <w:rPr/>
            </w:pPr>
            <w:bookmarkStart w:name="bookmark949" w:id="317"/>
            <w:bookmarkEnd w:id="317"/>
            <w:r>
              <w:rPr>
                <w:b/>
                <w:bCs/>
                <w:spacing w:val="-10"/>
              </w:rPr>
              <w:t>一般</w:t>
            </w:r>
          </w:p>
        </w:tc>
        <w:tc>
          <w:tcPr>
            <w:tcW w:w="7904" w:type="dxa"/>
            <w:vAlign w:val="top"/>
          </w:tcPr>
          <w:p>
            <w:pPr>
              <w:pStyle w:val="TableText"/>
              <w:ind w:left="91" w:right="113"/>
              <w:spacing w:before="134" w:line="276" w:lineRule="auto"/>
              <w:rPr/>
            </w:pPr>
            <w:r>
              <w:rPr/>
              <w:t>中医诊所人员、名称、地址、诊疗科目、技术等事项与取得的《中医诊所</w:t>
            </w:r>
            <w:r>
              <w:rPr>
                <w:spacing w:val="7"/>
              </w:rPr>
              <w:t xml:space="preserve"> </w:t>
            </w:r>
            <w:r>
              <w:rPr>
                <w:spacing w:val="1"/>
              </w:rPr>
              <w:t>备案证》记载事项中一项不一致的</w:t>
            </w:r>
          </w:p>
        </w:tc>
        <w:tc>
          <w:tcPr>
            <w:tcW w:w="4322" w:type="dxa"/>
            <w:vAlign w:val="top"/>
          </w:tcPr>
          <w:p>
            <w:pPr>
              <w:pStyle w:val="TableText"/>
              <w:ind w:left="117" w:right="92"/>
              <w:spacing w:before="142" w:line="273" w:lineRule="auto"/>
              <w:rPr/>
            </w:pPr>
            <w:r>
              <w:rPr>
                <w:spacing w:val="1"/>
              </w:rPr>
              <w:t>责令改正，给予警告，并处以一万元以</w:t>
            </w:r>
            <w:r>
              <w:rPr>
                <w:spacing w:val="3"/>
              </w:rPr>
              <w:t xml:space="preserve"> </w:t>
            </w:r>
            <w:r>
              <w:rPr/>
              <w:t>上两万元以下的罚款。</w:t>
            </w:r>
          </w:p>
        </w:tc>
      </w:tr>
      <w:tr>
        <w:trPr>
          <w:trHeight w:val="897" w:hRule="atLeast"/>
        </w:trPr>
        <w:tc>
          <w:tcPr>
            <w:tcW w:w="1733" w:type="dxa"/>
            <w:vAlign w:val="top"/>
          </w:tcPr>
          <w:p>
            <w:pPr>
              <w:spacing w:line="312" w:lineRule="auto"/>
              <w:rPr>
                <w:rFonts w:ascii="Arial"/>
                <w:sz w:val="21"/>
              </w:rPr>
            </w:pPr>
            <w:r/>
          </w:p>
          <w:p>
            <w:pPr>
              <w:pStyle w:val="TableText"/>
              <w:ind w:left="618"/>
              <w:spacing w:before="78" w:line="221" w:lineRule="auto"/>
              <w:rPr/>
            </w:pPr>
            <w:r>
              <w:rPr>
                <w:b/>
                <w:bCs/>
                <w:spacing w:val="-5"/>
              </w:rPr>
              <w:t>较重</w:t>
            </w:r>
          </w:p>
        </w:tc>
        <w:tc>
          <w:tcPr>
            <w:tcW w:w="7904" w:type="dxa"/>
            <w:vAlign w:val="top"/>
          </w:tcPr>
          <w:p>
            <w:pPr>
              <w:pStyle w:val="TableText"/>
              <w:ind w:left="91" w:right="113"/>
              <w:spacing w:before="172" w:line="275" w:lineRule="auto"/>
              <w:rPr/>
            </w:pPr>
            <w:r>
              <w:rPr/>
              <w:t>中医诊所人员、名称、地址、诊疗科目、技术等事项与取得的《中医诊所</w:t>
            </w:r>
            <w:r>
              <w:rPr>
                <w:spacing w:val="7"/>
              </w:rPr>
              <w:t xml:space="preserve"> </w:t>
            </w:r>
            <w:r>
              <w:rPr>
                <w:spacing w:val="1"/>
              </w:rPr>
              <w:t>备案证》记载事项中两项不一致的</w:t>
            </w:r>
          </w:p>
        </w:tc>
        <w:tc>
          <w:tcPr>
            <w:tcW w:w="4322" w:type="dxa"/>
            <w:vAlign w:val="top"/>
          </w:tcPr>
          <w:p>
            <w:pPr>
              <w:pStyle w:val="TableText"/>
              <w:ind w:left="127" w:right="92" w:hanging="10"/>
              <w:spacing w:before="172" w:line="275" w:lineRule="auto"/>
              <w:rPr/>
            </w:pPr>
            <w:r>
              <w:rPr>
                <w:spacing w:val="1"/>
              </w:rPr>
              <w:t>责令改正，给予警告，并处以两万元以</w:t>
            </w:r>
            <w:r>
              <w:rPr>
                <w:spacing w:val="3"/>
              </w:rPr>
              <w:t xml:space="preserve"> </w:t>
            </w:r>
            <w:r>
              <w:rPr>
                <w:spacing w:val="-1"/>
              </w:rPr>
              <w:t>上三万元以下的罚款。</w:t>
            </w:r>
          </w:p>
        </w:tc>
      </w:tr>
      <w:tr>
        <w:trPr>
          <w:trHeight w:val="1310" w:hRule="atLeast"/>
        </w:trPr>
        <w:tc>
          <w:tcPr>
            <w:tcW w:w="1733" w:type="dxa"/>
            <w:vAlign w:val="top"/>
          </w:tcPr>
          <w:p>
            <w:pPr>
              <w:spacing w:line="462" w:lineRule="auto"/>
              <w:rPr>
                <w:rFonts w:ascii="Arial"/>
                <w:sz w:val="21"/>
              </w:rPr>
            </w:pPr>
            <w:r/>
          </w:p>
          <w:p>
            <w:pPr>
              <w:pStyle w:val="TableText"/>
              <w:ind w:left="618"/>
              <w:spacing w:before="78" w:line="220" w:lineRule="auto"/>
              <w:rPr/>
            </w:pPr>
            <w:r>
              <w:rPr>
                <w:b/>
                <w:bCs/>
                <w:spacing w:val="-6"/>
              </w:rPr>
              <w:t>严重</w:t>
            </w:r>
          </w:p>
        </w:tc>
        <w:tc>
          <w:tcPr>
            <w:tcW w:w="7904" w:type="dxa"/>
            <w:vAlign w:val="top"/>
          </w:tcPr>
          <w:p>
            <w:pPr>
              <w:spacing w:line="295" w:lineRule="auto"/>
              <w:rPr>
                <w:rFonts w:ascii="Arial"/>
                <w:sz w:val="21"/>
              </w:rPr>
            </w:pPr>
            <w:r/>
          </w:p>
          <w:p>
            <w:pPr>
              <w:pStyle w:val="TableText"/>
              <w:ind w:left="91" w:right="113"/>
              <w:spacing w:before="78" w:line="342" w:lineRule="auto"/>
              <w:rPr/>
            </w:pPr>
            <w:r>
              <w:rPr/>
              <w:t>中医诊所人员、名称、地址、诊疗科目、技术等事项与取得的《中医诊所</w:t>
            </w:r>
            <w:r>
              <w:rPr>
                <w:spacing w:val="7"/>
              </w:rPr>
              <w:t xml:space="preserve"> </w:t>
            </w:r>
            <w:r>
              <w:rPr>
                <w:spacing w:val="1"/>
              </w:rPr>
              <w:t>备案证》不一致，情节严重的</w:t>
            </w:r>
          </w:p>
        </w:tc>
        <w:tc>
          <w:tcPr>
            <w:tcW w:w="4322" w:type="dxa"/>
            <w:vAlign w:val="top"/>
          </w:tcPr>
          <w:p>
            <w:pPr>
              <w:pStyle w:val="TableText"/>
              <w:ind w:left="95" w:hanging="78"/>
              <w:spacing w:before="153" w:line="294" w:lineRule="auto"/>
              <w:jc w:val="both"/>
              <w:rPr/>
            </w:pPr>
            <w:r>
              <w:rPr>
                <w:spacing w:val="-2"/>
              </w:rPr>
              <w:t>责令改正，给予警告，并处三万元罚款；</w:t>
            </w:r>
            <w:r>
              <w:rPr>
                <w:spacing w:val="9"/>
              </w:rPr>
              <w:t xml:space="preserve"> </w:t>
            </w:r>
            <w:r>
              <w:rPr>
                <w:spacing w:val="-5"/>
              </w:rPr>
              <w:t>责令停止执业活动，注销《中医诊所备</w:t>
            </w:r>
            <w:r>
              <w:rPr>
                <w:spacing w:val="3"/>
              </w:rPr>
              <w:t xml:space="preserve">  </w:t>
            </w:r>
            <w:r>
              <w:rPr>
                <w:spacing w:val="-5"/>
              </w:rPr>
              <w:t>案证》。</w:t>
            </w:r>
          </w:p>
        </w:tc>
      </w:tr>
    </w:tbl>
    <w:p>
      <w:pPr>
        <w:pStyle w:val="BodyText"/>
        <w:spacing w:line="463" w:lineRule="auto"/>
        <w:rPr/>
      </w:pPr>
      <w:r/>
    </w:p>
    <w:p>
      <w:pPr>
        <w:ind w:left="679"/>
        <w:spacing w:before="98" w:line="219" w:lineRule="auto"/>
        <w:rPr>
          <w:rFonts w:ascii="FangSong" w:hAnsi="FangSong" w:eastAsia="FangSong" w:cs="FangSong"/>
          <w:sz w:val="30"/>
          <w:szCs w:val="30"/>
        </w:rPr>
      </w:pPr>
      <w:r>
        <w:rPr>
          <w:rFonts w:ascii="FangSong" w:hAnsi="FangSong" w:eastAsia="FangSong" w:cs="FangSong"/>
          <w:sz w:val="30"/>
          <w:szCs w:val="30"/>
          <w:b/>
          <w:bCs/>
          <w:spacing w:val="23"/>
        </w:rPr>
        <w:t>第二百三十五条出卖、转让、出借《中医诊所备案证》的</w:t>
      </w:r>
    </w:p>
    <w:p>
      <w:pPr>
        <w:ind w:left="684"/>
        <w:spacing w:before="95" w:line="222" w:lineRule="auto"/>
        <w:rPr>
          <w:rFonts w:ascii="FangSong" w:hAnsi="FangSong" w:eastAsia="FangSong" w:cs="FangSong"/>
          <w:sz w:val="30"/>
          <w:szCs w:val="30"/>
        </w:rPr>
      </w:pPr>
      <w:r>
        <w:rPr>
          <w:rFonts w:ascii="FangSong" w:hAnsi="FangSong" w:eastAsia="FangSong" w:cs="FangSong"/>
          <w:sz w:val="30"/>
          <w:szCs w:val="30"/>
        </w:rPr>
        <w:t>法律依据：</w:t>
      </w:r>
    </w:p>
    <w:p>
      <w:pPr>
        <w:ind w:left="25" w:firstLine="619"/>
        <w:spacing w:before="70" w:line="270" w:lineRule="auto"/>
        <w:jc w:val="both"/>
        <w:rPr>
          <w:rFonts w:ascii="FangSong" w:hAnsi="FangSong" w:eastAsia="FangSong" w:cs="FangSong"/>
          <w:sz w:val="30"/>
          <w:szCs w:val="30"/>
        </w:rPr>
      </w:pPr>
      <w:r>
        <w:rPr>
          <w:rFonts w:ascii="FangSong" w:hAnsi="FangSong" w:eastAsia="FangSong" w:cs="FangSong"/>
          <w:sz w:val="30"/>
          <w:szCs w:val="30"/>
          <w:spacing w:val="17"/>
        </w:rPr>
        <w:t>《中医诊所备案管理暂行办法》第二十三条</w:t>
      </w:r>
      <w:r>
        <w:rPr>
          <w:rFonts w:ascii="FangSong" w:hAnsi="FangSong" w:eastAsia="FangSong" w:cs="FangSong"/>
          <w:sz w:val="30"/>
          <w:szCs w:val="30"/>
          <w:spacing w:val="16"/>
        </w:rPr>
        <w:t xml:space="preserve">  </w:t>
      </w:r>
      <w:r>
        <w:rPr>
          <w:rFonts w:ascii="FangSong" w:hAnsi="FangSong" w:eastAsia="FangSong" w:cs="FangSong"/>
          <w:sz w:val="30"/>
          <w:szCs w:val="30"/>
          <w:spacing w:val="16"/>
        </w:rPr>
        <w:t>违反本办法第十一条规定，出卖、转让、出借《中</w:t>
      </w:r>
      <w:r>
        <w:rPr>
          <w:rFonts w:ascii="FangSong" w:hAnsi="FangSong" w:eastAsia="FangSong" w:cs="FangSong"/>
          <w:sz w:val="30"/>
          <w:szCs w:val="30"/>
        </w:rPr>
        <w:t xml:space="preserve"> </w:t>
      </w:r>
      <w:r>
        <w:rPr>
          <w:rFonts w:ascii="FangSong" w:hAnsi="FangSong" w:eastAsia="FangSong" w:cs="FangSong"/>
          <w:sz w:val="30"/>
          <w:szCs w:val="30"/>
          <w:spacing w:val="17"/>
        </w:rPr>
        <w:t>医诊所备案证》的，由县级中医药主管部门责令改正，给予警告，可以并处一万元以上三万元以下罚</w:t>
      </w:r>
      <w:r>
        <w:rPr>
          <w:rFonts w:ascii="FangSong" w:hAnsi="FangSong" w:eastAsia="FangSong" w:cs="FangSong"/>
          <w:sz w:val="30"/>
          <w:szCs w:val="30"/>
          <w:spacing w:val="5"/>
        </w:rPr>
        <w:t xml:space="preserve"> </w:t>
      </w:r>
      <w:r>
        <w:rPr>
          <w:rFonts w:ascii="FangSong" w:hAnsi="FangSong" w:eastAsia="FangSong" w:cs="FangSong"/>
          <w:sz w:val="30"/>
          <w:szCs w:val="30"/>
          <w:spacing w:val="18"/>
        </w:rPr>
        <w:t>款；情节严重的，应当责令其停止执业活动，注销《中</w:t>
      </w:r>
      <w:r>
        <w:rPr>
          <w:rFonts w:ascii="FangSong" w:hAnsi="FangSong" w:eastAsia="FangSong" w:cs="FangSong"/>
          <w:sz w:val="30"/>
          <w:szCs w:val="30"/>
          <w:spacing w:val="17"/>
        </w:rPr>
        <w:t>医诊所备案证》。</w:t>
      </w:r>
    </w:p>
    <w:p>
      <w:pPr>
        <w:ind w:left="6438"/>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33"/>
        <w:gridCol w:w="7185"/>
        <w:gridCol w:w="5041"/>
      </w:tblGrid>
      <w:tr>
        <w:trPr>
          <w:trHeight w:val="552" w:hRule="atLeast"/>
        </w:trPr>
        <w:tc>
          <w:tcPr>
            <w:tcW w:w="1733" w:type="dxa"/>
            <w:vAlign w:val="top"/>
          </w:tcPr>
          <w:p>
            <w:pPr>
              <w:pStyle w:val="TableText"/>
              <w:ind w:left="338"/>
              <w:spacing w:before="152" w:line="220" w:lineRule="auto"/>
              <w:rPr>
                <w:sz w:val="26"/>
                <w:szCs w:val="26"/>
              </w:rPr>
            </w:pPr>
            <w:r>
              <w:rPr>
                <w:sz w:val="26"/>
                <w:szCs w:val="26"/>
                <w:b/>
                <w:bCs/>
                <w:spacing w:val="-5"/>
              </w:rPr>
              <w:t>违法程度</w:t>
            </w:r>
          </w:p>
        </w:tc>
        <w:tc>
          <w:tcPr>
            <w:tcW w:w="7185" w:type="dxa"/>
            <w:vAlign w:val="top"/>
          </w:tcPr>
          <w:p>
            <w:pPr>
              <w:pStyle w:val="TableText"/>
              <w:ind w:left="3015"/>
              <w:spacing w:before="152" w:line="220" w:lineRule="auto"/>
              <w:rPr>
                <w:sz w:val="26"/>
                <w:szCs w:val="26"/>
              </w:rPr>
            </w:pPr>
            <w:r>
              <w:rPr>
                <w:sz w:val="26"/>
                <w:szCs w:val="26"/>
                <w:b/>
                <w:bCs/>
                <w:spacing w:val="-5"/>
              </w:rPr>
              <w:t>情节后果</w:t>
            </w:r>
          </w:p>
        </w:tc>
        <w:tc>
          <w:tcPr>
            <w:tcW w:w="5041" w:type="dxa"/>
            <w:vAlign w:val="top"/>
          </w:tcPr>
          <w:p>
            <w:pPr>
              <w:pStyle w:val="TableText"/>
              <w:ind w:left="2000"/>
              <w:spacing w:before="149" w:line="218" w:lineRule="auto"/>
              <w:rPr>
                <w:sz w:val="26"/>
                <w:szCs w:val="26"/>
              </w:rPr>
            </w:pPr>
            <w:r>
              <w:rPr>
                <w:sz w:val="26"/>
                <w:szCs w:val="26"/>
                <w:b/>
                <w:bCs/>
                <w:spacing w:val="-5"/>
              </w:rPr>
              <w:t>裁量幅度</w:t>
            </w:r>
          </w:p>
        </w:tc>
      </w:tr>
      <w:tr>
        <w:trPr>
          <w:trHeight w:val="1428" w:hRule="atLeast"/>
        </w:trPr>
        <w:tc>
          <w:tcPr>
            <w:tcW w:w="1733" w:type="dxa"/>
            <w:vAlign w:val="top"/>
          </w:tcPr>
          <w:p>
            <w:pPr>
              <w:spacing w:line="251" w:lineRule="auto"/>
              <w:rPr>
                <w:rFonts w:ascii="Arial"/>
                <w:sz w:val="21"/>
              </w:rPr>
            </w:pPr>
            <w:r/>
          </w:p>
          <w:p>
            <w:pPr>
              <w:spacing w:line="252" w:lineRule="auto"/>
              <w:rPr>
                <w:rFonts w:ascii="Arial"/>
                <w:sz w:val="21"/>
              </w:rPr>
            </w:pPr>
            <w:r/>
          </w:p>
          <w:p>
            <w:pPr>
              <w:pStyle w:val="TableText"/>
              <w:ind w:left="598"/>
              <w:spacing w:before="85" w:line="221" w:lineRule="auto"/>
              <w:rPr>
                <w:sz w:val="26"/>
                <w:szCs w:val="26"/>
              </w:rPr>
            </w:pPr>
            <w:r>
              <w:rPr>
                <w:sz w:val="26"/>
                <w:szCs w:val="26"/>
                <w:b/>
                <w:bCs/>
                <w:spacing w:val="-10"/>
              </w:rPr>
              <w:t>一般</w:t>
            </w:r>
          </w:p>
        </w:tc>
        <w:tc>
          <w:tcPr>
            <w:tcW w:w="7185" w:type="dxa"/>
            <w:vAlign w:val="top"/>
          </w:tcPr>
          <w:p>
            <w:pPr>
              <w:spacing w:line="250" w:lineRule="auto"/>
              <w:rPr>
                <w:rFonts w:ascii="Arial"/>
                <w:sz w:val="21"/>
              </w:rPr>
            </w:pPr>
            <w:r/>
          </w:p>
          <w:p>
            <w:pPr>
              <w:spacing w:line="250" w:lineRule="auto"/>
              <w:rPr>
                <w:rFonts w:ascii="Arial"/>
                <w:sz w:val="21"/>
              </w:rPr>
            </w:pPr>
            <w:r/>
          </w:p>
          <w:p>
            <w:pPr>
              <w:pStyle w:val="TableText"/>
              <w:ind w:left="115"/>
              <w:spacing w:before="85" w:line="219" w:lineRule="auto"/>
              <w:rPr>
                <w:sz w:val="26"/>
                <w:szCs w:val="26"/>
              </w:rPr>
            </w:pPr>
            <w:r>
              <w:rPr>
                <w:sz w:val="26"/>
                <w:szCs w:val="26"/>
                <w:b/>
                <w:bCs/>
                <w:spacing w:val="-3"/>
              </w:rPr>
              <w:t>出卖、转让、出借《中医诊所备案证》的</w:t>
            </w:r>
          </w:p>
        </w:tc>
        <w:tc>
          <w:tcPr>
            <w:tcW w:w="5041" w:type="dxa"/>
            <w:vAlign w:val="top"/>
          </w:tcPr>
          <w:p>
            <w:pPr>
              <w:spacing w:line="250" w:lineRule="auto"/>
              <w:rPr>
                <w:rFonts w:ascii="Arial"/>
                <w:sz w:val="21"/>
              </w:rPr>
            </w:pPr>
            <w:r/>
          </w:p>
          <w:p>
            <w:pPr>
              <w:spacing w:line="250" w:lineRule="auto"/>
              <w:rPr>
                <w:rFonts w:ascii="Arial"/>
                <w:sz w:val="21"/>
              </w:rPr>
            </w:pPr>
            <w:r/>
          </w:p>
          <w:p>
            <w:pPr>
              <w:pStyle w:val="TableText"/>
              <w:ind w:left="50"/>
              <w:spacing w:before="84" w:line="218" w:lineRule="auto"/>
              <w:rPr>
                <w:sz w:val="26"/>
                <w:szCs w:val="26"/>
              </w:rPr>
            </w:pPr>
            <w:r>
              <w:rPr>
                <w:sz w:val="26"/>
                <w:szCs w:val="26"/>
                <w:b/>
                <w:bCs/>
                <w:spacing w:val="-4"/>
              </w:rPr>
              <w:t>给予警告，并处一万元以上二万元以下罚款</w:t>
            </w:r>
          </w:p>
        </w:tc>
      </w:tr>
    </w:tbl>
    <w:p>
      <w:pPr>
        <w:pStyle w:val="BodyText"/>
        <w:rPr/>
      </w:pPr>
      <w:r/>
    </w:p>
    <w:p>
      <w:pPr>
        <w:sectPr>
          <w:footerReference w:type="default" r:id="rId295"/>
          <w:pgSz w:w="16830" w:h="11900"/>
          <w:pgMar w:top="1011" w:right="1425" w:bottom="1117" w:left="1425" w:header="0" w:footer="784" w:gutter="0"/>
        </w:sectPr>
        <w:rPr/>
      </w:pPr>
    </w:p>
    <w:p>
      <w:pPr>
        <w:spacing w:before="20"/>
        <w:rPr/>
      </w:pPr>
      <w:r/>
    </w:p>
    <w:p>
      <w:pPr>
        <w:spacing w:before="20"/>
        <w:rPr/>
      </w:pPr>
      <w:r/>
    </w:p>
    <w:p>
      <w:pPr>
        <w:spacing w:before="19"/>
        <w:rPr/>
      </w:pPr>
      <w:r/>
    </w:p>
    <w:tbl>
      <w:tblPr>
        <w:tblStyle w:val="TableNormal"/>
        <w:tblW w:w="139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14"/>
        <w:gridCol w:w="7215"/>
        <w:gridCol w:w="5021"/>
      </w:tblGrid>
      <w:tr>
        <w:trPr>
          <w:trHeight w:val="2189" w:hRule="atLeast"/>
        </w:trPr>
        <w:tc>
          <w:tcPr>
            <w:tcW w:w="1714" w:type="dxa"/>
            <w:vAlign w:val="top"/>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pStyle w:val="TableText"/>
              <w:ind w:left="608"/>
              <w:spacing w:before="78" w:line="221" w:lineRule="auto"/>
              <w:rPr/>
            </w:pPr>
            <w:bookmarkStart w:name="bookmark950" w:id="318"/>
            <w:bookmarkEnd w:id="318"/>
            <w:r>
              <w:rPr>
                <w:b/>
                <w:bCs/>
                <w:spacing w:val="-5"/>
              </w:rPr>
              <w:t>较重</w:t>
            </w:r>
          </w:p>
        </w:tc>
        <w:tc>
          <w:tcPr>
            <w:tcW w:w="7215" w:type="dxa"/>
            <w:vAlign w:val="top"/>
          </w:tcPr>
          <w:p>
            <w:pPr>
              <w:pStyle w:val="TableText"/>
              <w:ind w:left="100"/>
              <w:spacing w:before="125" w:line="220" w:lineRule="auto"/>
              <w:rPr/>
            </w:pPr>
            <w:r>
              <w:rPr>
                <w:spacing w:val="2"/>
              </w:rPr>
              <w:t>有下列情形之一者：</w:t>
            </w:r>
          </w:p>
          <w:p>
            <w:pPr>
              <w:pStyle w:val="TableText"/>
              <w:ind w:left="100"/>
              <w:spacing w:before="161" w:line="219" w:lineRule="auto"/>
              <w:rPr/>
            </w:pPr>
            <w:r>
              <w:rPr/>
              <w:t>A.出卖、转让、出借《中医诊所备案证》是以营利为目的</w:t>
            </w:r>
          </w:p>
          <w:p>
            <w:pPr>
              <w:pStyle w:val="TableText"/>
              <w:ind w:left="100" w:right="147"/>
              <w:spacing w:before="156" w:line="279" w:lineRule="auto"/>
              <w:rPr/>
            </w:pPr>
            <w:r>
              <w:rPr/>
              <w:t>B.出卖、转让、出借《中医诊所备案证》给不符合开办</w:t>
            </w:r>
            <w:r>
              <w:rPr>
                <w:spacing w:val="-1"/>
              </w:rPr>
              <w:t>中医诊所条</w:t>
            </w:r>
            <w:r>
              <w:rPr/>
              <w:t xml:space="preserve"> </w:t>
            </w:r>
            <w:r>
              <w:rPr>
                <w:spacing w:val="4"/>
              </w:rPr>
              <w:t>件人员的</w:t>
            </w:r>
          </w:p>
          <w:p>
            <w:pPr>
              <w:pStyle w:val="TableText"/>
              <w:ind w:left="100"/>
              <w:spacing w:before="163" w:line="212" w:lineRule="auto"/>
              <w:rPr/>
            </w:pPr>
            <w:r>
              <w:rPr/>
              <w:t>C.出卖、转让、出借《中医诊所备案证》时间在一个月以上的</w:t>
            </w:r>
          </w:p>
        </w:tc>
        <w:tc>
          <w:tcPr>
            <w:tcW w:w="5021" w:type="dxa"/>
            <w:vAlign w:val="top"/>
          </w:tcPr>
          <w:p>
            <w:pPr>
              <w:spacing w:line="299" w:lineRule="auto"/>
              <w:rPr>
                <w:rFonts w:ascii="Arial"/>
                <w:sz w:val="21"/>
              </w:rPr>
            </w:pPr>
            <w:r/>
          </w:p>
          <w:p>
            <w:pPr>
              <w:spacing w:line="300" w:lineRule="auto"/>
              <w:rPr>
                <w:rFonts w:ascii="Arial"/>
                <w:sz w:val="21"/>
              </w:rPr>
            </w:pPr>
            <w:r/>
          </w:p>
          <w:p>
            <w:pPr>
              <w:spacing w:line="300" w:lineRule="auto"/>
              <w:rPr>
                <w:rFonts w:ascii="Arial"/>
                <w:sz w:val="21"/>
              </w:rPr>
            </w:pPr>
            <w:r/>
          </w:p>
          <w:p>
            <w:pPr>
              <w:pStyle w:val="TableText"/>
              <w:ind w:left="106"/>
              <w:spacing w:before="78" w:line="218" w:lineRule="auto"/>
              <w:rPr/>
            </w:pPr>
            <w:r>
              <w:rPr/>
              <w:t>给予警告，并处二万元以上三万元以下的罚款</w:t>
            </w:r>
          </w:p>
        </w:tc>
      </w:tr>
      <w:tr>
        <w:trPr>
          <w:trHeight w:val="608" w:hRule="atLeast"/>
        </w:trPr>
        <w:tc>
          <w:tcPr>
            <w:tcW w:w="1714" w:type="dxa"/>
            <w:vAlign w:val="top"/>
          </w:tcPr>
          <w:p>
            <w:pPr>
              <w:pStyle w:val="TableText"/>
              <w:ind w:left="608"/>
              <w:spacing w:before="253" w:line="220" w:lineRule="auto"/>
              <w:rPr/>
            </w:pPr>
            <w:r>
              <w:rPr>
                <w:b/>
                <w:bCs/>
                <w:spacing w:val="-6"/>
              </w:rPr>
              <w:t>严重</w:t>
            </w:r>
          </w:p>
        </w:tc>
        <w:tc>
          <w:tcPr>
            <w:tcW w:w="7215" w:type="dxa"/>
            <w:vAlign w:val="top"/>
          </w:tcPr>
          <w:p>
            <w:pPr>
              <w:pStyle w:val="TableText"/>
              <w:ind w:left="100"/>
              <w:spacing w:before="256" w:line="220" w:lineRule="auto"/>
              <w:rPr/>
            </w:pPr>
            <w:r>
              <w:rPr>
                <w:spacing w:val="1"/>
              </w:rPr>
              <w:t>有上述两种及以上情形的</w:t>
            </w:r>
          </w:p>
        </w:tc>
        <w:tc>
          <w:tcPr>
            <w:tcW w:w="5021" w:type="dxa"/>
            <w:vAlign w:val="top"/>
          </w:tcPr>
          <w:p>
            <w:pPr>
              <w:pStyle w:val="TableText"/>
              <w:ind w:left="95"/>
              <w:spacing w:before="253" w:line="218" w:lineRule="auto"/>
              <w:rPr/>
            </w:pPr>
            <w:r>
              <w:rPr/>
              <w:t>给予警告，并处三万元罚款</w:t>
            </w:r>
          </w:p>
        </w:tc>
      </w:tr>
      <w:tr>
        <w:trPr>
          <w:trHeight w:val="883" w:hRule="atLeast"/>
        </w:trPr>
        <w:tc>
          <w:tcPr>
            <w:tcW w:w="1714" w:type="dxa"/>
            <w:vAlign w:val="top"/>
          </w:tcPr>
          <w:p>
            <w:pPr>
              <w:spacing w:line="245" w:lineRule="auto"/>
              <w:rPr>
                <w:rFonts w:ascii="Arial"/>
                <w:sz w:val="21"/>
              </w:rPr>
            </w:pPr>
            <w:r/>
          </w:p>
          <w:p>
            <w:pPr>
              <w:pStyle w:val="TableText"/>
              <w:ind w:left="78"/>
              <w:spacing w:before="78" w:line="219" w:lineRule="auto"/>
              <w:rPr/>
            </w:pPr>
            <w:r>
              <w:rPr>
                <w:b/>
                <w:bCs/>
                <w:spacing w:val="-5"/>
              </w:rPr>
              <w:t>特别严重</w:t>
            </w:r>
          </w:p>
        </w:tc>
        <w:tc>
          <w:tcPr>
            <w:tcW w:w="7215" w:type="dxa"/>
            <w:vAlign w:val="top"/>
          </w:tcPr>
          <w:p>
            <w:pPr>
              <w:spacing w:line="306" w:lineRule="auto"/>
              <w:rPr>
                <w:rFonts w:ascii="Arial"/>
                <w:sz w:val="21"/>
              </w:rPr>
            </w:pPr>
            <w:r/>
          </w:p>
          <w:p>
            <w:pPr>
              <w:pStyle w:val="TableText"/>
              <w:ind w:left="100"/>
              <w:spacing w:before="78" w:line="219" w:lineRule="auto"/>
              <w:rPr/>
            </w:pPr>
            <w:r>
              <w:rPr>
                <w:spacing w:val="1"/>
              </w:rPr>
              <w:t>造成其他严重后果或产生恶劣社会影响的</w:t>
            </w:r>
          </w:p>
        </w:tc>
        <w:tc>
          <w:tcPr>
            <w:tcW w:w="5021" w:type="dxa"/>
            <w:vAlign w:val="top"/>
          </w:tcPr>
          <w:p>
            <w:pPr>
              <w:pStyle w:val="TableText"/>
              <w:ind w:left="95" w:right="95" w:firstLine="30"/>
              <w:spacing w:before="176" w:line="268" w:lineRule="auto"/>
              <w:rPr/>
            </w:pPr>
            <w:r>
              <w:rPr>
                <w:spacing w:val="-1"/>
              </w:rPr>
              <w:t>给予警告，并处三万元罚款；责令其停止执业</w:t>
            </w:r>
            <w:r>
              <w:rPr>
                <w:spacing w:val="8"/>
              </w:rPr>
              <w:t xml:space="preserve"> </w:t>
            </w:r>
            <w:r>
              <w:rPr/>
              <w:t>活动，注销《中医诊所备案证》</w:t>
            </w:r>
          </w:p>
        </w:tc>
      </w:tr>
    </w:tbl>
    <w:p>
      <w:pPr>
        <w:pStyle w:val="BodyText"/>
        <w:spacing w:line="445" w:lineRule="auto"/>
        <w:rPr/>
      </w:pPr>
      <w:r/>
    </w:p>
    <w:p>
      <w:pPr>
        <w:ind w:left="789"/>
        <w:spacing w:before="97" w:line="223" w:lineRule="auto"/>
        <w:rPr>
          <w:rFonts w:ascii="KaiTi" w:hAnsi="KaiTi" w:eastAsia="KaiTi" w:cs="KaiTi"/>
          <w:sz w:val="30"/>
          <w:szCs w:val="30"/>
        </w:rPr>
      </w:pPr>
      <w:r>
        <w:rPr>
          <w:rFonts w:ascii="KaiTi" w:hAnsi="KaiTi" w:eastAsia="KaiTi" w:cs="KaiTi"/>
          <w:sz w:val="30"/>
          <w:szCs w:val="30"/>
          <w:b/>
          <w:bCs/>
          <w:spacing w:val="23"/>
        </w:rPr>
        <w:t>(十三)《中医医术确有专长人员医师资格考核注册管理暂行办法》</w:t>
      </w:r>
    </w:p>
    <w:p>
      <w:pPr>
        <w:ind w:left="9" w:right="66" w:firstLine="670"/>
        <w:spacing w:before="309" w:line="273" w:lineRule="auto"/>
        <w:rPr>
          <w:rFonts w:ascii="FangSong" w:hAnsi="FangSong" w:eastAsia="FangSong" w:cs="FangSong"/>
          <w:sz w:val="30"/>
          <w:szCs w:val="30"/>
        </w:rPr>
      </w:pPr>
      <w:r>
        <w:rPr>
          <w:rFonts w:ascii="FangSong" w:hAnsi="FangSong" w:eastAsia="FangSong" w:cs="FangSong"/>
          <w:sz w:val="30"/>
          <w:szCs w:val="30"/>
          <w:b/>
          <w:bCs/>
          <w:spacing w:val="21"/>
        </w:rPr>
        <w:t>第二百三十六条推荐中医医术确有专长人员的中医医师、以师承方</w:t>
      </w:r>
      <w:r>
        <w:rPr>
          <w:rFonts w:ascii="FangSong" w:hAnsi="FangSong" w:eastAsia="FangSong" w:cs="FangSong"/>
          <w:sz w:val="30"/>
          <w:szCs w:val="30"/>
          <w:b/>
          <w:bCs/>
          <w:spacing w:val="20"/>
        </w:rPr>
        <w:t>式学习中医的医术确有专长</w:t>
      </w:r>
      <w:r>
        <w:rPr>
          <w:rFonts w:ascii="FangSong" w:hAnsi="FangSong" w:eastAsia="FangSong" w:cs="FangSong"/>
          <w:sz w:val="30"/>
          <w:szCs w:val="30"/>
        </w:rPr>
        <w:t xml:space="preserve"> </w:t>
      </w:r>
      <w:r>
        <w:rPr>
          <w:rFonts w:ascii="FangSong" w:hAnsi="FangSong" w:eastAsia="FangSong" w:cs="FangSong"/>
          <w:sz w:val="30"/>
          <w:szCs w:val="30"/>
          <w:b/>
          <w:bCs/>
          <w:spacing w:val="16"/>
        </w:rPr>
        <w:t>人员的指导老师，违反本办法有关规定，在推荐中弄虚作假、徇私舞弊</w:t>
      </w:r>
      <w:r>
        <w:rPr>
          <w:rFonts w:ascii="FangSong" w:hAnsi="FangSong" w:eastAsia="FangSong" w:cs="FangSong"/>
          <w:sz w:val="30"/>
          <w:szCs w:val="30"/>
          <w:spacing w:val="16"/>
        </w:rPr>
        <w:t>的</w:t>
      </w:r>
    </w:p>
    <w:p>
      <w:pPr>
        <w:ind w:left="654"/>
        <w:spacing w:line="222" w:lineRule="auto"/>
        <w:rPr>
          <w:rFonts w:ascii="FangSong" w:hAnsi="FangSong" w:eastAsia="FangSong" w:cs="FangSong"/>
          <w:sz w:val="30"/>
          <w:szCs w:val="30"/>
        </w:rPr>
      </w:pPr>
      <w:r>
        <w:rPr>
          <w:rFonts w:ascii="FangSong" w:hAnsi="FangSong" w:eastAsia="FangSong" w:cs="FangSong"/>
          <w:sz w:val="30"/>
          <w:szCs w:val="30"/>
        </w:rPr>
        <w:t>法律依据：</w:t>
      </w:r>
    </w:p>
    <w:p>
      <w:pPr>
        <w:ind w:left="5" w:firstLine="630"/>
        <w:spacing w:before="98" w:line="271" w:lineRule="auto"/>
        <w:jc w:val="both"/>
        <w:rPr>
          <w:rFonts w:ascii="FangSong" w:hAnsi="FangSong" w:eastAsia="FangSong" w:cs="FangSong"/>
          <w:sz w:val="30"/>
          <w:szCs w:val="30"/>
        </w:rPr>
      </w:pPr>
      <w:r>
        <w:rPr>
          <w:rFonts w:ascii="FangSong" w:hAnsi="FangSong" w:eastAsia="FangSong" w:cs="FangSong"/>
          <w:sz w:val="30"/>
          <w:szCs w:val="30"/>
          <w:spacing w:val="15"/>
        </w:rPr>
        <w:t>《中医医术确有专长人员医师资格考核注册管理暂行</w:t>
      </w:r>
      <w:r>
        <w:rPr>
          <w:rFonts w:ascii="FangSong" w:hAnsi="FangSong" w:eastAsia="FangSong" w:cs="FangSong"/>
          <w:sz w:val="30"/>
          <w:szCs w:val="30"/>
          <w:spacing w:val="14"/>
        </w:rPr>
        <w:t>办法》第三十六条</w:t>
      </w:r>
      <w:r>
        <w:rPr>
          <w:rFonts w:ascii="FangSong" w:hAnsi="FangSong" w:eastAsia="FangSong" w:cs="FangSong"/>
          <w:sz w:val="30"/>
          <w:szCs w:val="30"/>
          <w:spacing w:val="55"/>
        </w:rPr>
        <w:t xml:space="preserve">  </w:t>
      </w:r>
      <w:r>
        <w:rPr>
          <w:rFonts w:ascii="FangSong" w:hAnsi="FangSong" w:eastAsia="FangSong" w:cs="FangSong"/>
          <w:sz w:val="30"/>
          <w:szCs w:val="30"/>
          <w:spacing w:val="14"/>
        </w:rPr>
        <w:t>推荐中医医术确有专长</w:t>
      </w:r>
      <w:r>
        <w:rPr>
          <w:rFonts w:ascii="FangSong" w:hAnsi="FangSong" w:eastAsia="FangSong" w:cs="FangSong"/>
          <w:sz w:val="30"/>
          <w:szCs w:val="30"/>
        </w:rPr>
        <w:t xml:space="preserve"> </w:t>
      </w:r>
      <w:r>
        <w:rPr>
          <w:rFonts w:ascii="FangSong" w:hAnsi="FangSong" w:eastAsia="FangSong" w:cs="FangSong"/>
          <w:sz w:val="30"/>
          <w:szCs w:val="30"/>
          <w:spacing w:val="17"/>
        </w:rPr>
        <w:t>人员的中医医师、以师承方式学习中医的医术确有专长人员的指导老师，违反本办法有关规定，在推</w:t>
      </w:r>
      <w:r>
        <w:rPr>
          <w:rFonts w:ascii="FangSong" w:hAnsi="FangSong" w:eastAsia="FangSong" w:cs="FangSong"/>
          <w:sz w:val="30"/>
          <w:szCs w:val="30"/>
        </w:rPr>
        <w:t xml:space="preserve"> </w:t>
      </w:r>
      <w:r>
        <w:rPr>
          <w:rFonts w:ascii="FangSong" w:hAnsi="FangSong" w:eastAsia="FangSong" w:cs="FangSong"/>
          <w:sz w:val="30"/>
          <w:szCs w:val="30"/>
          <w:spacing w:val="12"/>
        </w:rPr>
        <w:t>荐中弄虚作假、徇私舞弊的，由县级以上中医药主管</w:t>
      </w:r>
      <w:r>
        <w:rPr>
          <w:rFonts w:ascii="FangSong" w:hAnsi="FangSong" w:eastAsia="FangSong" w:cs="FangSong"/>
          <w:sz w:val="30"/>
          <w:szCs w:val="30"/>
          <w:spacing w:val="11"/>
        </w:rPr>
        <w:t>部门依法责令暂停六个月以上一年以下执业活动；</w:t>
      </w:r>
      <w:r>
        <w:rPr>
          <w:rFonts w:ascii="FangSong" w:hAnsi="FangSong" w:eastAsia="FangSong" w:cs="FangSong"/>
          <w:sz w:val="30"/>
          <w:szCs w:val="30"/>
        </w:rPr>
        <w:t xml:space="preserve"> </w:t>
      </w:r>
      <w:r>
        <w:rPr>
          <w:rFonts w:ascii="FangSong" w:hAnsi="FangSong" w:eastAsia="FangSong" w:cs="FangSong"/>
          <w:sz w:val="30"/>
          <w:szCs w:val="30"/>
          <w:spacing w:val="17"/>
        </w:rPr>
        <w:t>情节严重的，吊销其医师执业证书；构成犯罪的，依法追究刑事责任。</w:t>
      </w:r>
    </w:p>
    <w:p>
      <w:pPr>
        <w:spacing w:line="271" w:lineRule="auto"/>
        <w:sectPr>
          <w:footerReference w:type="default" r:id="rId296"/>
          <w:pgSz w:w="16830" w:h="11900"/>
          <w:pgMar w:top="1011" w:right="1370" w:bottom="1117" w:left="1434" w:header="0" w:footer="784" w:gutter="0"/>
        </w:sectPr>
        <w:rPr>
          <w:rFonts w:ascii="FangSong" w:hAnsi="FangSong" w:eastAsia="FangSong" w:cs="FangSong"/>
          <w:sz w:val="30"/>
          <w:szCs w:val="30"/>
        </w:rPr>
      </w:pPr>
    </w:p>
    <w:p>
      <w:pPr>
        <w:pStyle w:val="BodyText"/>
        <w:spacing w:line="262" w:lineRule="auto"/>
        <w:rPr/>
      </w:pPr>
      <w:r/>
    </w:p>
    <w:p>
      <w:pPr>
        <w:pStyle w:val="BodyText"/>
        <w:spacing w:line="263" w:lineRule="auto"/>
        <w:rPr/>
      </w:pPr>
      <w:r/>
    </w:p>
    <w:p>
      <w:pPr>
        <w:pStyle w:val="BodyText"/>
        <w:spacing w:line="263" w:lineRule="auto"/>
        <w:rPr/>
      </w:pPr>
      <w:r/>
    </w:p>
    <w:p>
      <w:pPr>
        <w:ind w:left="6429"/>
        <w:spacing w:before="94" w:line="214" w:lineRule="auto"/>
        <w:rPr>
          <w:rFonts w:ascii="SimSun" w:hAnsi="SimSun" w:eastAsia="SimSun" w:cs="SimSun"/>
          <w:sz w:val="29"/>
          <w:szCs w:val="29"/>
        </w:rPr>
      </w:pPr>
      <w:bookmarkStart w:name="bookmark951" w:id="319"/>
      <w:bookmarkEnd w:id="319"/>
      <w:r>
        <w:rPr>
          <w:rFonts w:ascii="SimSun" w:hAnsi="SimSun" w:eastAsia="SimSun" w:cs="SimSun"/>
          <w:sz w:val="29"/>
          <w:szCs w:val="29"/>
          <w:b/>
          <w:bCs/>
          <w:spacing w:val="-6"/>
        </w:rPr>
        <w:t>裁量标准</w:t>
      </w:r>
    </w:p>
    <w:tbl>
      <w:tblPr>
        <w:tblStyle w:val="TableNormal"/>
        <w:tblW w:w="139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33"/>
        <w:gridCol w:w="8054"/>
        <w:gridCol w:w="4172"/>
      </w:tblGrid>
      <w:tr>
        <w:trPr>
          <w:trHeight w:val="464" w:hRule="atLeast"/>
        </w:trPr>
        <w:tc>
          <w:tcPr>
            <w:tcW w:w="1733" w:type="dxa"/>
            <w:vAlign w:val="top"/>
          </w:tcPr>
          <w:p>
            <w:pPr>
              <w:pStyle w:val="TableText"/>
              <w:ind w:left="278"/>
              <w:spacing w:before="11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8054" w:type="dxa"/>
            <w:vAlign w:val="top"/>
          </w:tcPr>
          <w:p>
            <w:pPr>
              <w:pStyle w:val="TableText"/>
              <w:ind w:left="3445"/>
              <w:spacing w:before="112" w:line="220" w:lineRule="auto"/>
              <w:rPr/>
            </w:pPr>
            <w:r>
              <w:rPr>
                <w:b/>
                <w:bCs/>
                <w:spacing w:val="-11"/>
              </w:rPr>
              <w:t>情</w:t>
            </w:r>
            <w:r>
              <w:rPr>
                <w:spacing w:val="-37"/>
              </w:rPr>
              <w:t xml:space="preserve"> </w:t>
            </w:r>
            <w:r>
              <w:rPr>
                <w:b/>
                <w:bCs/>
                <w:spacing w:val="-11"/>
              </w:rPr>
              <w:t>节</w:t>
            </w:r>
            <w:r>
              <w:rPr>
                <w:spacing w:val="-36"/>
              </w:rPr>
              <w:t xml:space="preserve"> </w:t>
            </w:r>
            <w:r>
              <w:rPr>
                <w:b/>
                <w:bCs/>
                <w:spacing w:val="-11"/>
              </w:rPr>
              <w:t>后</w:t>
            </w:r>
            <w:r>
              <w:rPr>
                <w:spacing w:val="-33"/>
              </w:rPr>
              <w:t xml:space="preserve"> </w:t>
            </w:r>
            <w:r>
              <w:rPr>
                <w:b/>
                <w:bCs/>
                <w:spacing w:val="-11"/>
              </w:rPr>
              <w:t>果</w:t>
            </w:r>
          </w:p>
        </w:tc>
        <w:tc>
          <w:tcPr>
            <w:tcW w:w="4172" w:type="dxa"/>
            <w:vAlign w:val="top"/>
          </w:tcPr>
          <w:p>
            <w:pPr>
              <w:pStyle w:val="TableText"/>
              <w:ind w:left="1541"/>
              <w:spacing w:before="109" w:line="218" w:lineRule="auto"/>
              <w:rPr/>
            </w:pPr>
            <w:r>
              <w:rPr>
                <w:b/>
                <w:bCs/>
                <w:spacing w:val="-5"/>
              </w:rPr>
              <w:t>裁量幅度</w:t>
            </w:r>
          </w:p>
        </w:tc>
      </w:tr>
      <w:tr>
        <w:trPr>
          <w:trHeight w:val="858" w:hRule="atLeast"/>
        </w:trPr>
        <w:tc>
          <w:tcPr>
            <w:tcW w:w="1733" w:type="dxa"/>
            <w:vAlign w:val="top"/>
          </w:tcPr>
          <w:p>
            <w:pPr>
              <w:pStyle w:val="TableText"/>
              <w:ind w:left="618"/>
              <w:spacing w:before="308" w:line="221" w:lineRule="auto"/>
              <w:rPr/>
            </w:pPr>
            <w:r>
              <w:rPr>
                <w:b/>
                <w:bCs/>
                <w:spacing w:val="-10"/>
              </w:rPr>
              <w:t>一般</w:t>
            </w:r>
          </w:p>
        </w:tc>
        <w:tc>
          <w:tcPr>
            <w:tcW w:w="8054" w:type="dxa"/>
            <w:vAlign w:val="top"/>
          </w:tcPr>
          <w:p>
            <w:pPr>
              <w:pStyle w:val="TableText"/>
              <w:ind w:left="101" w:right="48" w:hanging="40"/>
              <w:spacing w:before="140" w:line="272" w:lineRule="auto"/>
              <w:rPr/>
            </w:pPr>
            <w:r>
              <w:rPr/>
              <w:t>推荐中医医术确有专长人员的中医医师、以师承方式学习中医的医术确有专</w:t>
            </w:r>
            <w:r>
              <w:rPr>
                <w:spacing w:val="12"/>
              </w:rPr>
              <w:t xml:space="preserve"> </w:t>
            </w:r>
            <w:r>
              <w:rPr/>
              <w:t>长人员的指导老师，在推荐中弄虚作假、徇私舞弊推荐人数1-2人的</w:t>
            </w:r>
          </w:p>
        </w:tc>
        <w:tc>
          <w:tcPr>
            <w:tcW w:w="4172" w:type="dxa"/>
            <w:vAlign w:val="top"/>
          </w:tcPr>
          <w:p>
            <w:pPr>
              <w:pStyle w:val="TableText"/>
              <w:ind w:left="107"/>
              <w:spacing w:before="139" w:line="219" w:lineRule="auto"/>
              <w:rPr/>
            </w:pPr>
            <w:r>
              <w:rPr/>
              <w:t>责令暂停六个月以上九个月以下执业</w:t>
            </w:r>
          </w:p>
          <w:p>
            <w:pPr>
              <w:pStyle w:val="TableText"/>
              <w:ind w:left="77"/>
              <w:spacing w:before="167" w:line="197" w:lineRule="auto"/>
              <w:rPr/>
            </w:pPr>
            <w:r>
              <w:rPr>
                <w:color w:val="405050"/>
                <w:spacing w:val="8"/>
              </w:rPr>
              <w:t>活动</w:t>
            </w:r>
          </w:p>
        </w:tc>
      </w:tr>
      <w:tr>
        <w:trPr>
          <w:trHeight w:val="897" w:hRule="atLeast"/>
        </w:trPr>
        <w:tc>
          <w:tcPr>
            <w:tcW w:w="1733" w:type="dxa"/>
            <w:vAlign w:val="top"/>
          </w:tcPr>
          <w:p>
            <w:pPr>
              <w:spacing w:line="320" w:lineRule="auto"/>
              <w:rPr>
                <w:rFonts w:ascii="Arial"/>
                <w:sz w:val="21"/>
              </w:rPr>
            </w:pPr>
            <w:r/>
          </w:p>
          <w:p>
            <w:pPr>
              <w:pStyle w:val="TableText"/>
              <w:ind w:left="618"/>
              <w:spacing w:before="78" w:line="220" w:lineRule="auto"/>
              <w:rPr/>
            </w:pPr>
            <w:r>
              <w:rPr>
                <w:b/>
                <w:bCs/>
                <w:spacing w:val="-6"/>
              </w:rPr>
              <w:t>严重</w:t>
            </w:r>
          </w:p>
        </w:tc>
        <w:tc>
          <w:tcPr>
            <w:tcW w:w="8054" w:type="dxa"/>
            <w:vAlign w:val="top"/>
          </w:tcPr>
          <w:p>
            <w:pPr>
              <w:pStyle w:val="TableText"/>
              <w:ind w:left="101" w:right="48" w:hanging="40"/>
              <w:spacing w:before="161" w:line="279" w:lineRule="auto"/>
              <w:rPr/>
            </w:pPr>
            <w:r>
              <w:rPr/>
              <w:t>推荐中医医术确有专长人员的中医医师、以师承方式学习中医的医术确有专</w:t>
            </w:r>
            <w:r>
              <w:rPr>
                <w:spacing w:val="12"/>
              </w:rPr>
              <w:t xml:space="preserve"> </w:t>
            </w:r>
            <w:r>
              <w:rPr/>
              <w:t>长人员的指导老师，在推荐中弄虚作假、徇私舞弊推荐人数3人以上的</w:t>
            </w:r>
          </w:p>
        </w:tc>
        <w:tc>
          <w:tcPr>
            <w:tcW w:w="4172" w:type="dxa"/>
            <w:vAlign w:val="top"/>
          </w:tcPr>
          <w:p>
            <w:pPr>
              <w:pStyle w:val="TableText"/>
              <w:ind w:left="77" w:right="194" w:firstLine="40"/>
              <w:spacing w:before="161" w:line="279" w:lineRule="auto"/>
              <w:rPr/>
            </w:pPr>
            <w:r>
              <w:rPr/>
              <w:t>责令暂停九个月以上一年以下执业活</w:t>
            </w:r>
            <w:r>
              <w:rPr>
                <w:spacing w:val="8"/>
              </w:rPr>
              <w:t xml:space="preserve"> </w:t>
            </w:r>
            <w:r>
              <w:rPr/>
              <w:t>动</w:t>
            </w:r>
          </w:p>
        </w:tc>
      </w:tr>
      <w:tr>
        <w:trPr>
          <w:trHeight w:val="1311" w:hRule="atLeast"/>
        </w:trPr>
        <w:tc>
          <w:tcPr>
            <w:tcW w:w="1733" w:type="dxa"/>
            <w:vAlign w:val="top"/>
          </w:tcPr>
          <w:p>
            <w:pPr>
              <w:spacing w:line="461" w:lineRule="auto"/>
              <w:rPr>
                <w:rFonts w:ascii="Arial"/>
                <w:sz w:val="21"/>
              </w:rPr>
            </w:pPr>
            <w:r/>
          </w:p>
          <w:p>
            <w:pPr>
              <w:pStyle w:val="TableText"/>
              <w:ind w:left="378"/>
              <w:spacing w:before="78" w:line="219" w:lineRule="auto"/>
              <w:rPr/>
            </w:pPr>
            <w:r>
              <w:rPr>
                <w:b/>
                <w:bCs/>
                <w:spacing w:val="-5"/>
              </w:rPr>
              <w:t>特别严重</w:t>
            </w:r>
          </w:p>
        </w:tc>
        <w:tc>
          <w:tcPr>
            <w:tcW w:w="8054" w:type="dxa"/>
            <w:vAlign w:val="top"/>
          </w:tcPr>
          <w:p>
            <w:pPr>
              <w:pStyle w:val="TableText"/>
              <w:ind w:left="61" w:right="48"/>
              <w:spacing w:before="154" w:line="294" w:lineRule="auto"/>
              <w:jc w:val="both"/>
              <w:rPr/>
            </w:pPr>
            <w:r>
              <w:rPr/>
              <w:t>推荐中医医术确有专长人员的中医医师、以师承方式学习中医的医术确有专</w:t>
            </w:r>
            <w:r>
              <w:rPr>
                <w:spacing w:val="12"/>
              </w:rPr>
              <w:t xml:space="preserve"> </w:t>
            </w:r>
            <w:r>
              <w:rPr/>
              <w:t>长人员的指导老师，在推荐中弄虚作假、徇私舞弊，情节严重，造成恶劣社</w:t>
            </w:r>
            <w:r>
              <w:rPr>
                <w:spacing w:val="9"/>
              </w:rPr>
              <w:t xml:space="preserve"> </w:t>
            </w:r>
            <w:r>
              <w:rPr>
                <w:spacing w:val="17"/>
              </w:rPr>
              <w:t>会影响的</w:t>
            </w:r>
          </w:p>
        </w:tc>
        <w:tc>
          <w:tcPr>
            <w:tcW w:w="4172" w:type="dxa"/>
            <w:vAlign w:val="top"/>
          </w:tcPr>
          <w:p>
            <w:pPr>
              <w:spacing w:line="463" w:lineRule="auto"/>
              <w:rPr>
                <w:rFonts w:ascii="Arial"/>
                <w:sz w:val="21"/>
              </w:rPr>
            </w:pPr>
            <w:r/>
          </w:p>
          <w:p>
            <w:pPr>
              <w:pStyle w:val="TableText"/>
              <w:ind w:left="77"/>
              <w:spacing w:before="78" w:line="219" w:lineRule="auto"/>
              <w:rPr/>
            </w:pPr>
            <w:r>
              <w:rPr>
                <w:spacing w:val="1"/>
              </w:rPr>
              <w:t>吊销其医师执业证书</w:t>
            </w:r>
          </w:p>
        </w:tc>
      </w:tr>
    </w:tbl>
    <w:p>
      <w:pPr>
        <w:pStyle w:val="BodyText"/>
        <w:spacing w:line="242" w:lineRule="auto"/>
        <w:rPr/>
      </w:pPr>
      <w:r/>
    </w:p>
    <w:p>
      <w:pPr>
        <w:pStyle w:val="BodyText"/>
        <w:spacing w:line="243" w:lineRule="auto"/>
        <w:rPr/>
      </w:pPr>
      <w:r/>
    </w:p>
    <w:p>
      <w:pPr>
        <w:ind w:left="489"/>
        <w:spacing w:before="97" w:line="223" w:lineRule="auto"/>
        <w:rPr>
          <w:rFonts w:ascii="KaiTi" w:hAnsi="KaiTi" w:eastAsia="KaiTi" w:cs="KaiTi"/>
          <w:sz w:val="30"/>
          <w:szCs w:val="30"/>
        </w:rPr>
      </w:pPr>
      <w:r>
        <w:rPr>
          <w:rFonts w:ascii="KaiTi" w:hAnsi="KaiTi" w:eastAsia="KaiTi" w:cs="KaiTi"/>
          <w:sz w:val="30"/>
          <w:szCs w:val="30"/>
          <w:b/>
          <w:bCs/>
          <w:spacing w:val="27"/>
        </w:rPr>
        <w:t>(十四)《院前医疗急救管理办法》</w:t>
      </w:r>
    </w:p>
    <w:p>
      <w:pPr>
        <w:ind w:left="659"/>
        <w:spacing w:before="329" w:line="220" w:lineRule="auto"/>
        <w:rPr>
          <w:rFonts w:ascii="FangSong" w:hAnsi="FangSong" w:eastAsia="FangSong" w:cs="FangSong"/>
          <w:sz w:val="30"/>
          <w:szCs w:val="30"/>
        </w:rPr>
      </w:pPr>
      <w:r>
        <w:rPr>
          <w:rFonts w:ascii="FangSong" w:hAnsi="FangSong" w:eastAsia="FangSong" w:cs="FangSong"/>
          <w:sz w:val="30"/>
          <w:szCs w:val="30"/>
          <w:b/>
          <w:bCs/>
          <w:spacing w:val="24"/>
        </w:rPr>
        <w:t>第二百三十七条未经批准擅自开展院前医疗急救服</w:t>
      </w:r>
      <w:r>
        <w:rPr>
          <w:rFonts w:ascii="FangSong" w:hAnsi="FangSong" w:eastAsia="FangSong" w:cs="FangSong"/>
          <w:sz w:val="30"/>
          <w:szCs w:val="30"/>
          <w:b/>
          <w:bCs/>
          <w:spacing w:val="23"/>
        </w:rPr>
        <w:t>务的</w:t>
      </w:r>
    </w:p>
    <w:p>
      <w:pPr>
        <w:ind w:left="654"/>
        <w:spacing w:before="149" w:line="222" w:lineRule="auto"/>
        <w:rPr>
          <w:rFonts w:ascii="FangSong" w:hAnsi="FangSong" w:eastAsia="FangSong" w:cs="FangSong"/>
          <w:sz w:val="26"/>
          <w:szCs w:val="26"/>
        </w:rPr>
      </w:pPr>
      <w:r>
        <w:rPr>
          <w:rFonts w:ascii="FangSong" w:hAnsi="FangSong" w:eastAsia="FangSong" w:cs="FangSong"/>
          <w:sz w:val="26"/>
          <w:szCs w:val="26"/>
          <w:spacing w:val="35"/>
        </w:rPr>
        <w:t>法律依据</w:t>
      </w:r>
      <w:r>
        <w:rPr>
          <w:rFonts w:ascii="FangSong" w:hAnsi="FangSong" w:eastAsia="FangSong" w:cs="FangSong"/>
          <w:sz w:val="26"/>
          <w:szCs w:val="26"/>
          <w:spacing w:val="-58"/>
        </w:rPr>
        <w:t xml:space="preserve"> </w:t>
      </w:r>
      <w:r>
        <w:rPr>
          <w:rFonts w:ascii="FangSong" w:hAnsi="FangSong" w:eastAsia="FangSong" w:cs="FangSong"/>
          <w:sz w:val="26"/>
          <w:szCs w:val="26"/>
          <w:spacing w:val="35"/>
        </w:rPr>
        <w:t>：</w:t>
      </w:r>
    </w:p>
    <w:p>
      <w:pPr>
        <w:ind w:left="25" w:right="29" w:firstLine="629"/>
        <w:spacing w:before="64" w:line="267" w:lineRule="auto"/>
        <w:rPr>
          <w:rFonts w:ascii="FangSong" w:hAnsi="FangSong" w:eastAsia="FangSong" w:cs="FangSong"/>
          <w:sz w:val="26"/>
          <w:szCs w:val="26"/>
        </w:rPr>
      </w:pPr>
      <w:r>
        <w:rPr>
          <w:rFonts w:ascii="FangSong" w:hAnsi="FangSong" w:eastAsia="FangSong" w:cs="FangSong"/>
          <w:sz w:val="30"/>
          <w:szCs w:val="30"/>
          <w:spacing w:val="12"/>
        </w:rPr>
        <w:t>1.</w:t>
      </w:r>
      <w:r>
        <w:rPr>
          <w:rFonts w:ascii="FangSong" w:hAnsi="FangSong" w:eastAsia="FangSong" w:cs="FangSong"/>
          <w:sz w:val="30"/>
          <w:szCs w:val="30"/>
          <w:spacing w:val="12"/>
        </w:rPr>
        <w:t xml:space="preserve"> </w:t>
      </w:r>
      <w:r>
        <w:rPr>
          <w:rFonts w:ascii="FangSong" w:hAnsi="FangSong" w:eastAsia="FangSong" w:cs="FangSong"/>
          <w:sz w:val="30"/>
          <w:szCs w:val="30"/>
          <w:spacing w:val="12"/>
        </w:rPr>
        <w:t>《院前医疗急救管理办法》第三十五条</w:t>
      </w:r>
      <w:r>
        <w:rPr>
          <w:rFonts w:ascii="FangSong" w:hAnsi="FangSong" w:eastAsia="FangSong" w:cs="FangSong"/>
          <w:sz w:val="30"/>
          <w:szCs w:val="30"/>
          <w:spacing w:val="12"/>
        </w:rPr>
        <w:t xml:space="preserve">  </w:t>
      </w:r>
      <w:r>
        <w:rPr>
          <w:rFonts w:ascii="FangSong" w:hAnsi="FangSong" w:eastAsia="FangSong" w:cs="FangSong"/>
          <w:sz w:val="30"/>
          <w:szCs w:val="30"/>
          <w:spacing w:val="12"/>
        </w:rPr>
        <w:t>任何单位</w:t>
      </w:r>
      <w:r>
        <w:rPr>
          <w:rFonts w:ascii="FangSong" w:hAnsi="FangSong" w:eastAsia="FangSong" w:cs="FangSong"/>
          <w:sz w:val="30"/>
          <w:szCs w:val="30"/>
          <w:spacing w:val="11"/>
        </w:rPr>
        <w:t>或者个人未经卫生计生行政部门批准擅自开</w:t>
      </w:r>
      <w:r>
        <w:rPr>
          <w:rFonts w:ascii="FangSong" w:hAnsi="FangSong" w:eastAsia="FangSong" w:cs="FangSong"/>
          <w:sz w:val="30"/>
          <w:szCs w:val="30"/>
        </w:rPr>
        <w:t xml:space="preserve"> </w:t>
      </w:r>
      <w:r>
        <w:rPr>
          <w:rFonts w:ascii="FangSong" w:hAnsi="FangSong" w:eastAsia="FangSong" w:cs="FangSong"/>
          <w:sz w:val="30"/>
          <w:szCs w:val="30"/>
          <w:spacing w:val="16"/>
        </w:rPr>
        <w:t>展院前医疗急救服务的，由县级以上地方卫生计生行政部门按照《医疗机构管理条例》等有关规定予</w:t>
      </w:r>
      <w:r>
        <w:rPr>
          <w:rFonts w:ascii="FangSong" w:hAnsi="FangSong" w:eastAsia="FangSong" w:cs="FangSong"/>
          <w:sz w:val="30"/>
          <w:szCs w:val="30"/>
          <w:spacing w:val="10"/>
        </w:rPr>
        <w:t xml:space="preserve"> </w:t>
      </w:r>
      <w:r>
        <w:rPr>
          <w:rFonts w:ascii="FangSong" w:hAnsi="FangSong" w:eastAsia="FangSong" w:cs="FangSong"/>
          <w:sz w:val="26"/>
          <w:szCs w:val="26"/>
          <w:spacing w:val="22"/>
        </w:rPr>
        <w:t>以处理</w:t>
      </w:r>
      <w:r>
        <w:rPr>
          <w:rFonts w:ascii="FangSong" w:hAnsi="FangSong" w:eastAsia="FangSong" w:cs="FangSong"/>
          <w:sz w:val="26"/>
          <w:szCs w:val="26"/>
          <w:spacing w:val="-64"/>
        </w:rPr>
        <w:t xml:space="preserve"> </w:t>
      </w:r>
      <w:r>
        <w:rPr>
          <w:rFonts w:ascii="FangSong" w:hAnsi="FangSong" w:eastAsia="FangSong" w:cs="FangSong"/>
          <w:sz w:val="26"/>
          <w:szCs w:val="26"/>
          <w:spacing w:val="22"/>
        </w:rPr>
        <w:t>。</w:t>
      </w:r>
    </w:p>
    <w:p>
      <w:pPr>
        <w:ind w:left="25" w:right="34" w:firstLine="629"/>
        <w:spacing w:before="58" w:line="251" w:lineRule="auto"/>
        <w:rPr>
          <w:rFonts w:ascii="FangSong" w:hAnsi="FangSong" w:eastAsia="FangSong" w:cs="FangSong"/>
          <w:sz w:val="30"/>
          <w:szCs w:val="30"/>
        </w:rPr>
      </w:pPr>
      <w:r>
        <w:rPr>
          <w:rFonts w:ascii="FangSong" w:hAnsi="FangSong" w:eastAsia="FangSong" w:cs="FangSong"/>
          <w:sz w:val="30"/>
          <w:szCs w:val="30"/>
          <w:spacing w:val="19"/>
        </w:rPr>
        <w:t>2.</w:t>
      </w:r>
      <w:r>
        <w:rPr>
          <w:rFonts w:ascii="FangSong" w:hAnsi="FangSong" w:eastAsia="FangSong" w:cs="FangSong"/>
          <w:sz w:val="30"/>
          <w:szCs w:val="30"/>
          <w:spacing w:val="19"/>
        </w:rPr>
        <w:t xml:space="preserve"> </w:t>
      </w:r>
      <w:r>
        <w:rPr>
          <w:rFonts w:ascii="FangSong" w:hAnsi="FangSong" w:eastAsia="FangSong" w:cs="FangSong"/>
          <w:sz w:val="30"/>
          <w:szCs w:val="30"/>
          <w:spacing w:val="19"/>
        </w:rPr>
        <w:t>《医疗机构管理条例》第四十六条违反本条例第二十六条规定，诊疗活动超出登记或者备案</w:t>
      </w:r>
      <w:r>
        <w:rPr>
          <w:rFonts w:ascii="FangSong" w:hAnsi="FangSong" w:eastAsia="FangSong" w:cs="FangSong"/>
          <w:sz w:val="30"/>
          <w:szCs w:val="30"/>
          <w:spacing w:val="12"/>
        </w:rPr>
        <w:t xml:space="preserve"> </w:t>
      </w:r>
      <w:r>
        <w:rPr>
          <w:rFonts w:ascii="FangSong" w:hAnsi="FangSong" w:eastAsia="FangSong" w:cs="FangSong"/>
          <w:sz w:val="30"/>
          <w:szCs w:val="30"/>
          <w:spacing w:val="16"/>
        </w:rPr>
        <w:t>范围的，由县级以上人民政府卫生行政部门予以警告、责令其改正，没收违法所得，并可以根据情节</w:t>
      </w:r>
    </w:p>
    <w:p>
      <w:pPr>
        <w:spacing w:line="251" w:lineRule="auto"/>
        <w:sectPr>
          <w:footerReference w:type="default" r:id="rId297"/>
          <w:pgSz w:w="16830" w:h="11900"/>
          <w:pgMar w:top="1011" w:right="1434" w:bottom="1107" w:left="1425" w:header="0" w:footer="774" w:gutter="0"/>
        </w:sectPr>
        <w:rPr>
          <w:rFonts w:ascii="FangSong" w:hAnsi="FangSong" w:eastAsia="FangSong" w:cs="FangSong"/>
          <w:sz w:val="30"/>
          <w:szCs w:val="30"/>
        </w:rPr>
      </w:pPr>
    </w:p>
    <w:p>
      <w:pPr>
        <w:pStyle w:val="BodyText"/>
        <w:spacing w:line="273" w:lineRule="auto"/>
        <w:rPr/>
      </w:pPr>
      <w:r/>
    </w:p>
    <w:p>
      <w:pPr>
        <w:pStyle w:val="BodyText"/>
        <w:spacing w:line="273" w:lineRule="auto"/>
        <w:rPr/>
      </w:pPr>
      <w:r/>
    </w:p>
    <w:p>
      <w:pPr>
        <w:pStyle w:val="BodyText"/>
        <w:spacing w:line="274" w:lineRule="auto"/>
        <w:rPr/>
      </w:pPr>
      <w:r/>
    </w:p>
    <w:p>
      <w:pPr>
        <w:ind w:left="124" w:right="98"/>
        <w:spacing w:before="91" w:line="277" w:lineRule="auto"/>
        <w:rPr>
          <w:rFonts w:ascii="FangSong" w:hAnsi="FangSong" w:eastAsia="FangSong" w:cs="FangSong"/>
          <w:sz w:val="28"/>
          <w:szCs w:val="28"/>
        </w:rPr>
      </w:pPr>
      <w:r>
        <w:rPr>
          <w:rFonts w:ascii="FangSong" w:hAnsi="FangSong" w:eastAsia="FangSong" w:cs="FangSong"/>
          <w:sz w:val="28"/>
          <w:szCs w:val="28"/>
          <w:spacing w:val="47"/>
        </w:rPr>
        <w:t>处以1万元以上10万元以下的罚款；情节严重</w:t>
      </w:r>
      <w:r>
        <w:rPr>
          <w:rFonts w:ascii="FangSong" w:hAnsi="FangSong" w:eastAsia="FangSong" w:cs="FangSong"/>
          <w:sz w:val="28"/>
          <w:szCs w:val="28"/>
          <w:spacing w:val="46"/>
        </w:rPr>
        <w:t>的，吊销其《医疗机构执业许可证》或者责令其停止</w:t>
      </w:r>
      <w:r>
        <w:rPr>
          <w:rFonts w:ascii="FangSong" w:hAnsi="FangSong" w:eastAsia="FangSong" w:cs="FangSong"/>
          <w:sz w:val="28"/>
          <w:szCs w:val="28"/>
        </w:rPr>
        <w:t xml:space="preserve"> </w:t>
      </w:r>
      <w:r>
        <w:rPr>
          <w:rFonts w:ascii="FangSong" w:hAnsi="FangSong" w:eastAsia="FangSong" w:cs="FangSong"/>
          <w:sz w:val="28"/>
          <w:szCs w:val="28"/>
          <w:spacing w:val="26"/>
        </w:rPr>
        <w:t>执业活动。</w:t>
      </w:r>
    </w:p>
    <w:p>
      <w:pPr>
        <w:ind w:left="6539"/>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34" w:lineRule="auto"/>
        <w:rPr>
          <w:rFonts w:ascii="Arial"/>
          <w:sz w:val="2"/>
        </w:rPr>
      </w:pPr>
      <w:r>
        <w:rPr>
          <w:rFonts w:ascii="Arial"/>
          <w:sz w:val="2"/>
        </w:r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5646"/>
        <w:gridCol w:w="7070"/>
      </w:tblGrid>
      <w:tr>
        <w:trPr>
          <w:trHeight w:val="414" w:hRule="atLeast"/>
        </w:trPr>
        <w:tc>
          <w:tcPr>
            <w:tcW w:w="1444" w:type="dxa"/>
            <w:vAlign w:val="top"/>
          </w:tcPr>
          <w:p>
            <w:pPr>
              <w:pStyle w:val="TableText"/>
              <w:ind w:left="138"/>
              <w:spacing w:before="9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5646" w:type="dxa"/>
            <w:vAlign w:val="top"/>
          </w:tcPr>
          <w:p>
            <w:pPr>
              <w:pStyle w:val="TableText"/>
              <w:ind w:left="2244"/>
              <w:spacing w:before="92" w:line="220" w:lineRule="auto"/>
              <w:rPr/>
            </w:pPr>
            <w:r>
              <w:rPr>
                <w:b/>
                <w:bCs/>
                <w:spacing w:val="-11"/>
              </w:rPr>
              <w:t>违</w:t>
            </w:r>
            <w:r>
              <w:rPr>
                <w:spacing w:val="-36"/>
              </w:rPr>
              <w:t xml:space="preserve"> </w:t>
            </w:r>
            <w:r>
              <w:rPr>
                <w:b/>
                <w:bCs/>
                <w:spacing w:val="-11"/>
              </w:rPr>
              <w:t>法</w:t>
            </w:r>
            <w:r>
              <w:rPr>
                <w:spacing w:val="-36"/>
              </w:rPr>
              <w:t xml:space="preserve"> </w:t>
            </w:r>
            <w:r>
              <w:rPr>
                <w:b/>
                <w:bCs/>
                <w:spacing w:val="-11"/>
              </w:rPr>
              <w:t>后</w:t>
            </w:r>
            <w:r>
              <w:rPr>
                <w:spacing w:val="-34"/>
              </w:rPr>
              <w:t xml:space="preserve"> </w:t>
            </w:r>
            <w:r>
              <w:rPr>
                <w:b/>
                <w:bCs/>
                <w:spacing w:val="-11"/>
              </w:rPr>
              <w:t>果</w:t>
            </w:r>
          </w:p>
        </w:tc>
        <w:tc>
          <w:tcPr>
            <w:tcW w:w="7070" w:type="dxa"/>
            <w:vAlign w:val="top"/>
          </w:tcPr>
          <w:p>
            <w:pPr>
              <w:pStyle w:val="TableText"/>
              <w:ind w:left="2948"/>
              <w:spacing w:before="8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338" w:hRule="atLeast"/>
        </w:trPr>
        <w:tc>
          <w:tcPr>
            <w:tcW w:w="1444" w:type="dxa"/>
            <w:vAlign w:val="top"/>
          </w:tcPr>
          <w:p>
            <w:pPr>
              <w:spacing w:line="468" w:lineRule="auto"/>
              <w:rPr>
                <w:rFonts w:ascii="Arial"/>
                <w:sz w:val="21"/>
              </w:rPr>
            </w:pPr>
            <w:r/>
          </w:p>
          <w:p>
            <w:pPr>
              <w:pStyle w:val="TableText"/>
              <w:ind w:left="478"/>
              <w:spacing w:before="78" w:line="221" w:lineRule="auto"/>
              <w:rPr/>
            </w:pPr>
            <w:r>
              <w:rPr>
                <w:b/>
                <w:bCs/>
                <w:spacing w:val="-10"/>
              </w:rPr>
              <w:t>一般</w:t>
            </w:r>
          </w:p>
        </w:tc>
        <w:tc>
          <w:tcPr>
            <w:tcW w:w="5646" w:type="dxa"/>
            <w:vAlign w:val="top"/>
          </w:tcPr>
          <w:p>
            <w:pPr>
              <w:pStyle w:val="TableText"/>
              <w:ind w:left="90" w:right="11"/>
              <w:spacing w:before="150" w:line="302" w:lineRule="auto"/>
              <w:jc w:val="both"/>
              <w:rPr/>
            </w:pPr>
            <w:r>
              <w:rPr/>
              <w:t>医疗机构诊疗活动超出登记或者备案范围的，无违法</w:t>
            </w:r>
            <w:r>
              <w:rPr>
                <w:spacing w:val="7"/>
              </w:rPr>
              <w:t xml:space="preserve"> </w:t>
            </w:r>
            <w:r>
              <w:rPr/>
              <w:t>所得的、违法所得无法认定的或诊疗活动违法所得在</w:t>
            </w:r>
            <w:r>
              <w:rPr>
                <w:spacing w:val="12"/>
              </w:rPr>
              <w:t xml:space="preserve"> </w:t>
            </w:r>
            <w:r>
              <w:rPr>
                <w:spacing w:val="3"/>
              </w:rPr>
              <w:t>1万元以下的</w:t>
            </w:r>
          </w:p>
        </w:tc>
        <w:tc>
          <w:tcPr>
            <w:tcW w:w="7070" w:type="dxa"/>
            <w:vAlign w:val="top"/>
          </w:tcPr>
          <w:p>
            <w:pPr>
              <w:spacing w:line="289" w:lineRule="auto"/>
              <w:rPr>
                <w:rFonts w:ascii="Arial"/>
                <w:sz w:val="21"/>
              </w:rPr>
            </w:pPr>
            <w:r/>
          </w:p>
          <w:p>
            <w:pPr>
              <w:pStyle w:val="TableText"/>
              <w:ind w:left="124" w:right="44" w:hanging="80"/>
              <w:spacing w:before="78" w:line="365" w:lineRule="auto"/>
              <w:rPr/>
            </w:pPr>
            <w:r>
              <w:rPr/>
              <w:t>由县级以上人民政府卫生行政部门予以警告、责令其改正，没收违</w:t>
            </w:r>
            <w:r>
              <w:rPr>
                <w:spacing w:val="9"/>
              </w:rPr>
              <w:t xml:space="preserve"> </w:t>
            </w:r>
            <w:r>
              <w:rPr/>
              <w:t>法所得，并可以根据情节处以1万元以上3万元以下的罚款</w:t>
            </w:r>
          </w:p>
        </w:tc>
      </w:tr>
      <w:tr>
        <w:trPr>
          <w:trHeight w:val="868" w:hRule="atLeast"/>
        </w:trPr>
        <w:tc>
          <w:tcPr>
            <w:tcW w:w="1444" w:type="dxa"/>
            <w:vAlign w:val="top"/>
          </w:tcPr>
          <w:p>
            <w:pPr>
              <w:spacing w:line="292" w:lineRule="auto"/>
              <w:rPr>
                <w:rFonts w:ascii="Arial"/>
                <w:sz w:val="21"/>
              </w:rPr>
            </w:pPr>
            <w:r/>
          </w:p>
          <w:p>
            <w:pPr>
              <w:pStyle w:val="TableText"/>
              <w:ind w:left="478"/>
              <w:spacing w:before="78" w:line="221" w:lineRule="auto"/>
              <w:rPr/>
            </w:pPr>
            <w:r>
              <w:rPr>
                <w:b/>
                <w:bCs/>
                <w:spacing w:val="-5"/>
              </w:rPr>
              <w:t>较重</w:t>
            </w:r>
          </w:p>
        </w:tc>
        <w:tc>
          <w:tcPr>
            <w:tcW w:w="5646" w:type="dxa"/>
            <w:vAlign w:val="top"/>
          </w:tcPr>
          <w:p>
            <w:pPr>
              <w:pStyle w:val="TableText"/>
              <w:ind w:left="90" w:right="255"/>
              <w:spacing w:before="150" w:line="272" w:lineRule="auto"/>
              <w:rPr/>
            </w:pPr>
            <w:r>
              <w:rPr/>
              <w:t>医疗机构诊疗活动超出登记或者备案范围的诊疗活</w:t>
            </w:r>
            <w:r>
              <w:rPr>
                <w:spacing w:val="8"/>
              </w:rPr>
              <w:t xml:space="preserve"> </w:t>
            </w:r>
            <w:r>
              <w:rPr>
                <w:spacing w:val="1"/>
              </w:rPr>
              <w:t>动违法所得在1万元以上5万元以内的</w:t>
            </w:r>
          </w:p>
        </w:tc>
        <w:tc>
          <w:tcPr>
            <w:tcW w:w="7070" w:type="dxa"/>
            <w:vAlign w:val="top"/>
          </w:tcPr>
          <w:p>
            <w:pPr>
              <w:pStyle w:val="TableText"/>
              <w:ind w:left="124" w:right="44" w:hanging="80"/>
              <w:spacing w:before="150" w:line="272" w:lineRule="auto"/>
              <w:rPr/>
            </w:pPr>
            <w:r>
              <w:rPr/>
              <w:t>由县级以上人民政府卫生行政部门予以警告、责令其改正，没收违</w:t>
            </w:r>
            <w:r>
              <w:rPr>
                <w:spacing w:val="9"/>
              </w:rPr>
              <w:t xml:space="preserve"> </w:t>
            </w:r>
            <w:r>
              <w:rPr/>
              <w:t>法所得，并可以根据情节处以3万元以上8万元以下的罚款</w:t>
            </w:r>
          </w:p>
        </w:tc>
      </w:tr>
      <w:tr>
        <w:trPr>
          <w:trHeight w:val="1757" w:hRule="atLeast"/>
        </w:trPr>
        <w:tc>
          <w:tcPr>
            <w:tcW w:w="1444" w:type="dxa"/>
            <w:vAlign w:val="top"/>
          </w:tcPr>
          <w:p>
            <w:pPr>
              <w:spacing w:line="340" w:lineRule="auto"/>
              <w:rPr>
                <w:rFonts w:ascii="Arial"/>
                <w:sz w:val="21"/>
              </w:rPr>
            </w:pPr>
            <w:r/>
          </w:p>
          <w:p>
            <w:pPr>
              <w:spacing w:line="340" w:lineRule="auto"/>
              <w:rPr>
                <w:rFonts w:ascii="Arial"/>
                <w:sz w:val="21"/>
              </w:rPr>
            </w:pPr>
            <w:r/>
          </w:p>
          <w:p>
            <w:pPr>
              <w:pStyle w:val="TableText"/>
              <w:ind w:left="478"/>
              <w:spacing w:before="78" w:line="220" w:lineRule="auto"/>
              <w:rPr/>
            </w:pPr>
            <w:r>
              <w:rPr>
                <w:b/>
                <w:bCs/>
                <w:spacing w:val="-6"/>
              </w:rPr>
              <w:t>严重</w:t>
            </w:r>
          </w:p>
        </w:tc>
        <w:tc>
          <w:tcPr>
            <w:tcW w:w="5646" w:type="dxa"/>
            <w:vAlign w:val="top"/>
          </w:tcPr>
          <w:p>
            <w:pPr>
              <w:pStyle w:val="TableText"/>
              <w:ind w:left="90"/>
              <w:spacing w:before="165" w:line="220" w:lineRule="auto"/>
              <w:rPr/>
            </w:pPr>
            <w:r>
              <w:rPr>
                <w:spacing w:val="2"/>
              </w:rPr>
              <w:t>有下列情形之一的：</w:t>
            </w:r>
          </w:p>
          <w:p>
            <w:pPr>
              <w:pStyle w:val="TableText"/>
              <w:ind w:left="90" w:right="266"/>
              <w:spacing w:before="143" w:line="291" w:lineRule="auto"/>
              <w:rPr/>
            </w:pPr>
            <w:r>
              <w:rPr/>
              <w:t>A.超出登记的诊疗科目范围的诊疗活动违法</w:t>
            </w:r>
            <w:r>
              <w:rPr>
                <w:spacing w:val="-1"/>
              </w:rPr>
              <w:t>所得在</w:t>
            </w:r>
            <w:r>
              <w:rPr/>
              <w:t xml:space="preserve"> </w:t>
            </w:r>
            <w:r>
              <w:rPr>
                <w:spacing w:val="3"/>
              </w:rPr>
              <w:t>5万元以上的</w:t>
            </w:r>
          </w:p>
          <w:p>
            <w:pPr>
              <w:pStyle w:val="TableText"/>
              <w:ind w:left="90"/>
              <w:spacing w:before="122" w:line="210" w:lineRule="auto"/>
              <w:rPr/>
            </w:pPr>
            <w:r>
              <w:rPr>
                <w:spacing w:val="-1"/>
              </w:rPr>
              <w:t>B.给患者造成伤害</w:t>
            </w:r>
          </w:p>
        </w:tc>
        <w:tc>
          <w:tcPr>
            <w:tcW w:w="7070" w:type="dxa"/>
            <w:vAlign w:val="top"/>
          </w:tcPr>
          <w:p>
            <w:pPr>
              <w:spacing w:line="255" w:lineRule="auto"/>
              <w:rPr>
                <w:rFonts w:ascii="Arial"/>
                <w:sz w:val="21"/>
              </w:rPr>
            </w:pPr>
            <w:r/>
          </w:p>
          <w:p>
            <w:pPr>
              <w:spacing w:line="255" w:lineRule="auto"/>
              <w:rPr>
                <w:rFonts w:ascii="Arial"/>
                <w:sz w:val="21"/>
              </w:rPr>
            </w:pPr>
            <w:r/>
          </w:p>
          <w:p>
            <w:pPr>
              <w:pStyle w:val="TableText"/>
              <w:ind w:left="134" w:right="44" w:hanging="90"/>
              <w:spacing w:before="78" w:line="350" w:lineRule="auto"/>
              <w:rPr/>
            </w:pPr>
            <w:r>
              <w:rPr/>
              <w:t>由县级以上人民政府卫生行政部门予以警告、责令其改正，没收违</w:t>
            </w:r>
            <w:r>
              <w:rPr>
                <w:spacing w:val="9"/>
              </w:rPr>
              <w:t xml:space="preserve"> </w:t>
            </w:r>
            <w:r>
              <w:rPr/>
              <w:t>法所得，并可以根据情节处以8万元以上10万元以下的罚款</w:t>
            </w:r>
          </w:p>
        </w:tc>
      </w:tr>
      <w:tr>
        <w:trPr>
          <w:trHeight w:val="1333" w:hRule="atLeast"/>
        </w:trPr>
        <w:tc>
          <w:tcPr>
            <w:tcW w:w="1444" w:type="dxa"/>
            <w:vAlign w:val="top"/>
          </w:tcPr>
          <w:p>
            <w:pPr>
              <w:spacing w:line="473" w:lineRule="auto"/>
              <w:rPr>
                <w:rFonts w:ascii="Arial"/>
                <w:sz w:val="21"/>
              </w:rPr>
            </w:pPr>
            <w:r/>
          </w:p>
          <w:p>
            <w:pPr>
              <w:pStyle w:val="TableText"/>
              <w:ind w:left="238"/>
              <w:spacing w:before="78" w:line="219" w:lineRule="auto"/>
              <w:rPr/>
            </w:pPr>
            <w:r>
              <w:rPr>
                <w:b/>
                <w:bCs/>
                <w:spacing w:val="-5"/>
              </w:rPr>
              <w:t>特别严重</w:t>
            </w:r>
          </w:p>
        </w:tc>
        <w:tc>
          <w:tcPr>
            <w:tcW w:w="5646" w:type="dxa"/>
            <w:vAlign w:val="top"/>
          </w:tcPr>
          <w:p>
            <w:pPr>
              <w:spacing w:line="477" w:lineRule="auto"/>
              <w:rPr>
                <w:rFonts w:ascii="Arial"/>
                <w:sz w:val="21"/>
              </w:rPr>
            </w:pPr>
            <w:r/>
          </w:p>
          <w:p>
            <w:pPr>
              <w:pStyle w:val="TableText"/>
              <w:ind w:left="90"/>
              <w:spacing w:before="78" w:line="220" w:lineRule="auto"/>
              <w:rPr/>
            </w:pPr>
            <w:r>
              <w:rPr>
                <w:spacing w:val="1"/>
              </w:rPr>
              <w:t>情节严重，造成患者死亡的</w:t>
            </w:r>
          </w:p>
        </w:tc>
        <w:tc>
          <w:tcPr>
            <w:tcW w:w="7070" w:type="dxa"/>
            <w:vAlign w:val="top"/>
          </w:tcPr>
          <w:p>
            <w:pPr>
              <w:pStyle w:val="TableText"/>
              <w:ind w:left="163" w:right="44" w:hanging="119"/>
              <w:spacing w:before="165" w:line="335" w:lineRule="auto"/>
              <w:rPr/>
            </w:pPr>
            <w:r>
              <w:rPr/>
              <w:t>由县级以上人民政府卫生行政部门予以警告、责令其改正，没收违</w:t>
            </w:r>
            <w:r>
              <w:rPr>
                <w:spacing w:val="9"/>
              </w:rPr>
              <w:t xml:space="preserve"> </w:t>
            </w:r>
            <w:r>
              <w:rPr/>
              <w:t>法所得，并可以根据情节处以10万元的罚款，吊销其《医疗机构</w:t>
            </w:r>
          </w:p>
          <w:p>
            <w:pPr>
              <w:pStyle w:val="TableText"/>
              <w:ind w:left="135"/>
              <w:spacing w:line="218" w:lineRule="auto"/>
              <w:rPr/>
            </w:pPr>
            <w:r>
              <w:rPr/>
              <w:t>执业许可证》或者责令其停止执业活动</w:t>
            </w:r>
          </w:p>
        </w:tc>
      </w:tr>
    </w:tbl>
    <w:p>
      <w:pPr>
        <w:pStyle w:val="BodyText"/>
        <w:rPr/>
      </w:pPr>
      <w:r/>
    </w:p>
    <w:p>
      <w:pPr>
        <w:sectPr>
          <w:footerReference w:type="default" r:id="rId298"/>
          <w:pgSz w:w="16830" w:h="11900"/>
          <w:pgMar w:top="1011" w:right="1344" w:bottom="1107" w:left="1314" w:header="0" w:footer="774" w:gutter="0"/>
        </w:sectPr>
        <w:rPr/>
      </w:pPr>
    </w:p>
    <w:p>
      <w:pPr>
        <w:pStyle w:val="BodyText"/>
        <w:spacing w:line="259" w:lineRule="auto"/>
        <w:rPr/>
      </w:pPr>
      <w:r/>
    </w:p>
    <w:p>
      <w:pPr>
        <w:pStyle w:val="BodyText"/>
        <w:spacing w:line="259" w:lineRule="auto"/>
        <w:rPr/>
      </w:pPr>
      <w:r/>
    </w:p>
    <w:p>
      <w:pPr>
        <w:pStyle w:val="BodyText"/>
        <w:spacing w:line="260" w:lineRule="auto"/>
        <w:rPr/>
      </w:pPr>
      <w:r/>
    </w:p>
    <w:p>
      <w:pPr>
        <w:ind w:left="769"/>
        <w:spacing w:before="97" w:line="220" w:lineRule="auto"/>
        <w:outlineLvl w:val="1"/>
        <w:rPr>
          <w:rFonts w:ascii="FangSong" w:hAnsi="FangSong" w:eastAsia="FangSong" w:cs="FangSong"/>
          <w:sz w:val="30"/>
          <w:szCs w:val="30"/>
        </w:rPr>
      </w:pPr>
      <w:bookmarkStart w:name="bookmark952" w:id="320"/>
      <w:bookmarkEnd w:id="320"/>
      <w:bookmarkStart w:name="bookmark246" w:id="321"/>
      <w:bookmarkEnd w:id="321"/>
      <w:r>
        <w:rPr>
          <w:rFonts w:ascii="FangSong" w:hAnsi="FangSong" w:eastAsia="FangSong" w:cs="FangSong"/>
          <w:sz w:val="30"/>
          <w:szCs w:val="30"/>
          <w:b/>
          <w:bCs/>
          <w:spacing w:val="31"/>
        </w:rPr>
        <w:t>第二百三十八条急救中心(站)和急救网络医院使用非卫</w:t>
      </w:r>
      <w:r>
        <w:rPr>
          <w:rFonts w:ascii="FangSong" w:hAnsi="FangSong" w:eastAsia="FangSong" w:cs="FangSong"/>
          <w:sz w:val="30"/>
          <w:szCs w:val="30"/>
          <w:b/>
          <w:bCs/>
          <w:spacing w:val="30"/>
        </w:rPr>
        <w:t>生专业技术人员的</w:t>
      </w:r>
    </w:p>
    <w:p>
      <w:pPr>
        <w:ind w:left="765"/>
        <w:spacing w:before="100" w:line="222" w:lineRule="auto"/>
        <w:rPr>
          <w:rFonts w:ascii="FangSong" w:hAnsi="FangSong" w:eastAsia="FangSong" w:cs="FangSong"/>
          <w:sz w:val="30"/>
          <w:szCs w:val="30"/>
        </w:rPr>
      </w:pPr>
      <w:r>
        <w:rPr>
          <w:rFonts w:ascii="FangSong" w:hAnsi="FangSong" w:eastAsia="FangSong" w:cs="FangSong"/>
          <w:sz w:val="30"/>
          <w:szCs w:val="30"/>
          <w:spacing w:val="30"/>
        </w:rPr>
        <w:t>法律依据：</w:t>
      </w:r>
    </w:p>
    <w:p>
      <w:pPr>
        <w:ind w:left="115" w:right="45" w:firstLine="650"/>
        <w:spacing w:before="86" w:line="255" w:lineRule="auto"/>
        <w:rPr>
          <w:rFonts w:ascii="FangSong" w:hAnsi="FangSong" w:eastAsia="FangSong" w:cs="FangSong"/>
          <w:sz w:val="30"/>
          <w:szCs w:val="30"/>
        </w:rPr>
      </w:pPr>
      <w:r>
        <w:rPr>
          <w:rFonts w:ascii="FangSong" w:hAnsi="FangSong" w:eastAsia="FangSong" w:cs="FangSong"/>
          <w:sz w:val="30"/>
          <w:szCs w:val="30"/>
          <w:spacing w:val="18"/>
        </w:rPr>
        <w:t>1.</w:t>
      </w:r>
      <w:r>
        <w:rPr>
          <w:rFonts w:ascii="FangSong" w:hAnsi="FangSong" w:eastAsia="FangSong" w:cs="FangSong"/>
          <w:sz w:val="30"/>
          <w:szCs w:val="30"/>
          <w:spacing w:val="18"/>
        </w:rPr>
        <w:t xml:space="preserve"> </w:t>
      </w:r>
      <w:r>
        <w:rPr>
          <w:rFonts w:ascii="FangSong" w:hAnsi="FangSong" w:eastAsia="FangSong" w:cs="FangSong"/>
          <w:sz w:val="30"/>
          <w:szCs w:val="30"/>
          <w:spacing w:val="18"/>
        </w:rPr>
        <w:t>《院前医疗急救管理办法》第三十六条</w:t>
      </w:r>
      <w:r>
        <w:rPr>
          <w:rFonts w:ascii="FangSong" w:hAnsi="FangSong" w:eastAsia="FangSong" w:cs="FangSong"/>
          <w:sz w:val="30"/>
          <w:szCs w:val="30"/>
          <w:spacing w:val="18"/>
        </w:rPr>
        <w:t xml:space="preserve">  </w:t>
      </w:r>
      <w:r>
        <w:rPr>
          <w:rFonts w:ascii="FangSong" w:hAnsi="FangSong" w:eastAsia="FangSong" w:cs="FangSong"/>
          <w:sz w:val="30"/>
          <w:szCs w:val="30"/>
          <w:spacing w:val="18"/>
        </w:rPr>
        <w:t>急救中心(站)和急救网络医院使用非卫生专业技术</w:t>
      </w:r>
      <w:r>
        <w:rPr>
          <w:rFonts w:ascii="FangSong" w:hAnsi="FangSong" w:eastAsia="FangSong" w:cs="FangSong"/>
          <w:sz w:val="30"/>
          <w:szCs w:val="30"/>
          <w:spacing w:val="17"/>
        </w:rPr>
        <w:t xml:space="preserve"> </w:t>
      </w:r>
      <w:r>
        <w:rPr>
          <w:rFonts w:ascii="FangSong" w:hAnsi="FangSong" w:eastAsia="FangSong" w:cs="FangSong"/>
          <w:sz w:val="30"/>
          <w:szCs w:val="30"/>
          <w:spacing w:val="18"/>
        </w:rPr>
        <w:t>人员从事院前医疗急救服务的，由县级以上地方卫生计生行政部门按照《中华人民共和国医师法》、</w:t>
      </w:r>
      <w:r>
        <w:rPr>
          <w:rFonts w:ascii="FangSong" w:hAnsi="FangSong" w:eastAsia="FangSong" w:cs="FangSong"/>
          <w:sz w:val="30"/>
          <w:szCs w:val="30"/>
          <w:spacing w:val="16"/>
        </w:rPr>
        <w:t xml:space="preserve"> </w:t>
      </w:r>
      <w:r>
        <w:rPr>
          <w:rFonts w:ascii="FangSong" w:hAnsi="FangSong" w:eastAsia="FangSong" w:cs="FangSong"/>
          <w:sz w:val="30"/>
          <w:szCs w:val="30"/>
          <w:spacing w:val="18"/>
        </w:rPr>
        <w:t>《医疗机构管理条例》和《护士条例》等有关法律法规的规定予以处理。</w:t>
      </w:r>
    </w:p>
    <w:p>
      <w:pPr>
        <w:ind w:left="115" w:right="88" w:firstLine="649"/>
        <w:spacing w:before="79" w:line="254" w:lineRule="auto"/>
        <w:rPr>
          <w:rFonts w:ascii="FangSong" w:hAnsi="FangSong" w:eastAsia="FangSong" w:cs="FangSong"/>
          <w:sz w:val="30"/>
          <w:szCs w:val="30"/>
        </w:rPr>
      </w:pPr>
      <w:r>
        <w:rPr>
          <w:rFonts w:ascii="FangSong" w:hAnsi="FangSong" w:eastAsia="FangSong" w:cs="FangSong"/>
          <w:sz w:val="30"/>
          <w:szCs w:val="30"/>
          <w:spacing w:val="13"/>
        </w:rPr>
        <w:t>2.</w:t>
      </w:r>
      <w:r>
        <w:rPr>
          <w:rFonts w:ascii="FangSong" w:hAnsi="FangSong" w:eastAsia="FangSong" w:cs="FangSong"/>
          <w:sz w:val="30"/>
          <w:szCs w:val="30"/>
          <w:spacing w:val="13"/>
        </w:rPr>
        <w:t xml:space="preserve"> </w:t>
      </w:r>
      <w:r>
        <w:rPr>
          <w:rFonts w:ascii="FangSong" w:hAnsi="FangSong" w:eastAsia="FangSong" w:cs="FangSong"/>
          <w:sz w:val="30"/>
          <w:szCs w:val="30"/>
          <w:spacing w:val="13"/>
        </w:rPr>
        <w:t>《医疗机构管理条例》第四十七条</w:t>
      </w:r>
      <w:r>
        <w:rPr>
          <w:rFonts w:ascii="FangSong" w:hAnsi="FangSong" w:eastAsia="FangSong" w:cs="FangSong"/>
          <w:sz w:val="30"/>
          <w:szCs w:val="30"/>
          <w:spacing w:val="13"/>
        </w:rPr>
        <w:t xml:space="preserve"> </w:t>
      </w:r>
      <w:r>
        <w:rPr>
          <w:rFonts w:ascii="FangSong" w:hAnsi="FangSong" w:eastAsia="FangSong" w:cs="FangSong"/>
          <w:sz w:val="30"/>
          <w:szCs w:val="30"/>
          <w:spacing w:val="12"/>
        </w:rPr>
        <w:t xml:space="preserve"> </w:t>
      </w:r>
      <w:r>
        <w:rPr>
          <w:rFonts w:ascii="FangSong" w:hAnsi="FangSong" w:eastAsia="FangSong" w:cs="FangSong"/>
          <w:sz w:val="30"/>
          <w:szCs w:val="30"/>
          <w:spacing w:val="12"/>
        </w:rPr>
        <w:t>违反本条例第二十七条规定，使用非卫生技术人员从事医</w:t>
      </w:r>
      <w:r>
        <w:rPr>
          <w:rFonts w:ascii="FangSong" w:hAnsi="FangSong" w:eastAsia="FangSong" w:cs="FangSong"/>
          <w:sz w:val="30"/>
          <w:szCs w:val="30"/>
        </w:rPr>
        <w:t xml:space="preserve"> </w:t>
      </w:r>
      <w:r>
        <w:rPr>
          <w:rFonts w:ascii="FangSong" w:hAnsi="FangSong" w:eastAsia="FangSong" w:cs="FangSong"/>
          <w:sz w:val="30"/>
          <w:szCs w:val="30"/>
          <w:spacing w:val="28"/>
        </w:rPr>
        <w:t>疗卫生技术工作的，由县级以上人民政府卫生行政部门责令其</w:t>
      </w:r>
      <w:r>
        <w:rPr>
          <w:rFonts w:ascii="FangSong" w:hAnsi="FangSong" w:eastAsia="FangSong" w:cs="FangSong"/>
          <w:sz w:val="30"/>
          <w:szCs w:val="30"/>
          <w:spacing w:val="27"/>
        </w:rPr>
        <w:t>限期改正，并可以处以1万元以上10</w:t>
      </w:r>
      <w:r>
        <w:rPr>
          <w:rFonts w:ascii="FangSong" w:hAnsi="FangSong" w:eastAsia="FangSong" w:cs="FangSong"/>
          <w:sz w:val="30"/>
          <w:szCs w:val="30"/>
        </w:rPr>
        <w:t xml:space="preserve"> </w:t>
      </w:r>
      <w:r>
        <w:rPr>
          <w:rFonts w:ascii="FangSong" w:hAnsi="FangSong" w:eastAsia="FangSong" w:cs="FangSong"/>
          <w:sz w:val="30"/>
          <w:szCs w:val="30"/>
          <w:spacing w:val="18"/>
        </w:rPr>
        <w:t>万元以下的罚款；情节严重的，吊销其《医疗机构执业许可证》或者责令其停止执业活动。</w:t>
      </w:r>
    </w:p>
    <w:p>
      <w:pPr>
        <w:ind w:left="6539"/>
        <w:spacing w:before="50"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39" w:lineRule="auto"/>
        <w:rPr>
          <w:rFonts w:ascii="Arial"/>
          <w:sz w:val="2"/>
        </w:rPr>
      </w:pPr>
      <w:r>
        <w:rPr>
          <w:rFonts w:ascii="Arial"/>
          <w:sz w:val="2"/>
        </w:r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5596"/>
        <w:gridCol w:w="7120"/>
      </w:tblGrid>
      <w:tr>
        <w:trPr>
          <w:trHeight w:val="414" w:hRule="atLeast"/>
        </w:trPr>
        <w:tc>
          <w:tcPr>
            <w:tcW w:w="1444" w:type="dxa"/>
            <w:vAlign w:val="top"/>
          </w:tcPr>
          <w:p>
            <w:pPr>
              <w:pStyle w:val="TableText"/>
              <w:ind w:left="128"/>
              <w:spacing w:before="82" w:line="220" w:lineRule="auto"/>
              <w:rPr>
                <w:sz w:val="25"/>
                <w:szCs w:val="25"/>
              </w:rPr>
            </w:pPr>
            <w:r>
              <w:rPr>
                <w:sz w:val="25"/>
                <w:szCs w:val="25"/>
                <w:b/>
                <w:bCs/>
                <w:spacing w:val="-5"/>
              </w:rPr>
              <w:t>违法程度</w:t>
            </w:r>
          </w:p>
        </w:tc>
        <w:tc>
          <w:tcPr>
            <w:tcW w:w="5596" w:type="dxa"/>
            <w:vAlign w:val="top"/>
          </w:tcPr>
          <w:p>
            <w:pPr>
              <w:pStyle w:val="TableText"/>
              <w:ind w:left="2294"/>
              <w:spacing w:before="82" w:line="220" w:lineRule="auto"/>
              <w:rPr>
                <w:sz w:val="25"/>
                <w:szCs w:val="25"/>
              </w:rPr>
            </w:pPr>
            <w:r>
              <w:rPr>
                <w:sz w:val="25"/>
                <w:szCs w:val="25"/>
                <w:b/>
                <w:bCs/>
                <w:spacing w:val="-5"/>
              </w:rPr>
              <w:t>违法后果</w:t>
            </w:r>
          </w:p>
        </w:tc>
        <w:tc>
          <w:tcPr>
            <w:tcW w:w="7120" w:type="dxa"/>
            <w:vAlign w:val="top"/>
          </w:tcPr>
          <w:p>
            <w:pPr>
              <w:pStyle w:val="TableText"/>
              <w:ind w:left="2988"/>
              <w:spacing w:before="79" w:line="218" w:lineRule="auto"/>
              <w:rPr>
                <w:sz w:val="25"/>
                <w:szCs w:val="25"/>
              </w:rPr>
            </w:pPr>
            <w:r>
              <w:rPr>
                <w:sz w:val="25"/>
                <w:szCs w:val="25"/>
                <w:b/>
                <w:bCs/>
                <w:spacing w:val="-5"/>
              </w:rPr>
              <w:t>裁量幅度</w:t>
            </w:r>
          </w:p>
        </w:tc>
      </w:tr>
      <w:tr>
        <w:trPr>
          <w:trHeight w:val="907" w:hRule="atLeast"/>
        </w:trPr>
        <w:tc>
          <w:tcPr>
            <w:tcW w:w="1444" w:type="dxa"/>
            <w:vAlign w:val="top"/>
          </w:tcPr>
          <w:p>
            <w:pPr>
              <w:pStyle w:val="TableText"/>
              <w:ind w:left="88"/>
              <w:spacing w:before="139" w:line="221" w:lineRule="auto"/>
              <w:rPr>
                <w:sz w:val="25"/>
                <w:szCs w:val="25"/>
              </w:rPr>
            </w:pPr>
            <w:r>
              <w:rPr>
                <w:sz w:val="25"/>
                <w:szCs w:val="25"/>
                <w:b/>
                <w:bCs/>
                <w:spacing w:val="-10"/>
              </w:rPr>
              <w:t>一般</w:t>
            </w:r>
          </w:p>
        </w:tc>
        <w:tc>
          <w:tcPr>
            <w:tcW w:w="5596" w:type="dxa"/>
            <w:vAlign w:val="top"/>
          </w:tcPr>
          <w:p>
            <w:pPr>
              <w:pStyle w:val="TableText"/>
              <w:ind w:left="101"/>
              <w:spacing w:before="151" w:line="219" w:lineRule="auto"/>
              <w:rPr>
                <w:sz w:val="25"/>
                <w:szCs w:val="25"/>
              </w:rPr>
            </w:pPr>
            <w:r>
              <w:rPr>
                <w:sz w:val="25"/>
                <w:szCs w:val="25"/>
              </w:rPr>
              <w:t>使用1名非卫生技术人员从事医疗卫生技术工作的</w:t>
            </w:r>
          </w:p>
        </w:tc>
        <w:tc>
          <w:tcPr>
            <w:tcW w:w="7120" w:type="dxa"/>
            <w:vAlign w:val="top"/>
          </w:tcPr>
          <w:p>
            <w:pPr>
              <w:pStyle w:val="TableText"/>
              <w:ind w:left="114"/>
              <w:spacing w:before="159" w:line="219" w:lineRule="auto"/>
              <w:rPr>
                <w:sz w:val="25"/>
                <w:szCs w:val="25"/>
              </w:rPr>
            </w:pPr>
            <w:r>
              <w:rPr>
                <w:sz w:val="25"/>
                <w:szCs w:val="25"/>
              </w:rPr>
              <w:t>责令其立即改正，处以1万元以上2万元以下罚款</w:t>
            </w:r>
          </w:p>
        </w:tc>
      </w:tr>
      <w:tr>
        <w:trPr>
          <w:trHeight w:val="868" w:hRule="atLeast"/>
        </w:trPr>
        <w:tc>
          <w:tcPr>
            <w:tcW w:w="1444" w:type="dxa"/>
            <w:vAlign w:val="top"/>
          </w:tcPr>
          <w:p>
            <w:pPr>
              <w:pStyle w:val="TableText"/>
              <w:ind w:left="88"/>
              <w:spacing w:before="134" w:line="221" w:lineRule="auto"/>
              <w:rPr>
                <w:sz w:val="25"/>
                <w:szCs w:val="25"/>
              </w:rPr>
            </w:pPr>
            <w:r>
              <w:rPr>
                <w:sz w:val="25"/>
                <w:szCs w:val="25"/>
                <w:b/>
                <w:bCs/>
                <w:spacing w:val="-6"/>
              </w:rPr>
              <w:t>较重</w:t>
            </w:r>
          </w:p>
        </w:tc>
        <w:tc>
          <w:tcPr>
            <w:tcW w:w="5596" w:type="dxa"/>
            <w:vAlign w:val="top"/>
          </w:tcPr>
          <w:p>
            <w:pPr>
              <w:pStyle w:val="TableText"/>
              <w:ind w:left="101" w:right="163" w:firstLine="59"/>
              <w:spacing w:before="134" w:line="267" w:lineRule="auto"/>
              <w:rPr>
                <w:sz w:val="25"/>
                <w:szCs w:val="25"/>
              </w:rPr>
            </w:pPr>
            <w:r>
              <w:rPr>
                <w:sz w:val="25"/>
                <w:szCs w:val="25"/>
              </w:rPr>
              <w:t>使用2名或2名以上非卫生技术人员从事医疗卫生</w:t>
            </w:r>
            <w:r>
              <w:rPr>
                <w:sz w:val="25"/>
                <w:szCs w:val="25"/>
                <w:spacing w:val="10"/>
              </w:rPr>
              <w:t xml:space="preserve"> </w:t>
            </w:r>
            <w:r>
              <w:rPr>
                <w:sz w:val="25"/>
                <w:szCs w:val="25"/>
                <w:spacing w:val="3"/>
              </w:rPr>
              <w:t>技术工作的</w:t>
            </w:r>
          </w:p>
        </w:tc>
        <w:tc>
          <w:tcPr>
            <w:tcW w:w="7120" w:type="dxa"/>
            <w:vAlign w:val="top"/>
          </w:tcPr>
          <w:p>
            <w:pPr>
              <w:pStyle w:val="TableText"/>
              <w:ind w:left="114"/>
              <w:spacing w:before="132" w:line="219" w:lineRule="auto"/>
              <w:rPr>
                <w:sz w:val="25"/>
                <w:szCs w:val="25"/>
              </w:rPr>
            </w:pPr>
            <w:r>
              <w:rPr>
                <w:sz w:val="25"/>
                <w:szCs w:val="25"/>
              </w:rPr>
              <w:t>责令其立即改正，处以2万元以上8万元以下罚款</w:t>
            </w:r>
          </w:p>
        </w:tc>
      </w:tr>
      <w:tr>
        <w:trPr>
          <w:trHeight w:val="878" w:hRule="atLeast"/>
        </w:trPr>
        <w:tc>
          <w:tcPr>
            <w:tcW w:w="1444" w:type="dxa"/>
            <w:vAlign w:val="top"/>
          </w:tcPr>
          <w:p>
            <w:pPr>
              <w:pStyle w:val="TableText"/>
              <w:ind w:left="88"/>
              <w:spacing w:before="133" w:line="220" w:lineRule="auto"/>
              <w:rPr>
                <w:sz w:val="25"/>
                <w:szCs w:val="25"/>
              </w:rPr>
            </w:pPr>
            <w:r>
              <w:rPr>
                <w:sz w:val="25"/>
                <w:szCs w:val="25"/>
                <w:b/>
                <w:bCs/>
                <w:spacing w:val="-6"/>
              </w:rPr>
              <w:t>严重</w:t>
            </w:r>
          </w:p>
        </w:tc>
        <w:tc>
          <w:tcPr>
            <w:tcW w:w="5596" w:type="dxa"/>
            <w:vAlign w:val="top"/>
          </w:tcPr>
          <w:p>
            <w:pPr>
              <w:pStyle w:val="TableText"/>
              <w:ind w:left="100" w:right="19" w:hanging="60"/>
              <w:spacing w:before="136" w:line="270" w:lineRule="auto"/>
              <w:rPr>
                <w:sz w:val="25"/>
                <w:szCs w:val="25"/>
              </w:rPr>
            </w:pPr>
            <w:r>
              <w:rPr>
                <w:sz w:val="25"/>
                <w:szCs w:val="25"/>
                <w:spacing w:val="1"/>
              </w:rPr>
              <w:t>使用的非卫生技术人员从事医疗卫生技术工作给患</w:t>
            </w:r>
            <w:r>
              <w:rPr>
                <w:sz w:val="25"/>
                <w:szCs w:val="25"/>
                <w:spacing w:val="2"/>
              </w:rPr>
              <w:t xml:space="preserve"> </w:t>
            </w:r>
            <w:r>
              <w:rPr>
                <w:sz w:val="25"/>
                <w:szCs w:val="25"/>
                <w:spacing w:val="3"/>
              </w:rPr>
              <w:t>者造成伤害的</w:t>
            </w:r>
          </w:p>
        </w:tc>
        <w:tc>
          <w:tcPr>
            <w:tcW w:w="7120" w:type="dxa"/>
            <w:vAlign w:val="top"/>
          </w:tcPr>
          <w:p>
            <w:pPr>
              <w:pStyle w:val="TableText"/>
              <w:ind w:left="114"/>
              <w:spacing w:before="134" w:line="219" w:lineRule="auto"/>
              <w:rPr>
                <w:sz w:val="25"/>
                <w:szCs w:val="25"/>
              </w:rPr>
            </w:pPr>
            <w:r>
              <w:rPr>
                <w:sz w:val="25"/>
                <w:szCs w:val="25"/>
              </w:rPr>
              <w:t>责令其立即改正，处以8万元以上10万元以下罚款</w:t>
            </w:r>
          </w:p>
        </w:tc>
      </w:tr>
      <w:tr>
        <w:trPr>
          <w:trHeight w:val="873" w:hRule="atLeast"/>
        </w:trPr>
        <w:tc>
          <w:tcPr>
            <w:tcW w:w="1444" w:type="dxa"/>
            <w:vAlign w:val="top"/>
          </w:tcPr>
          <w:p>
            <w:pPr>
              <w:pStyle w:val="TableText"/>
              <w:ind w:left="88"/>
              <w:spacing w:before="144" w:line="219" w:lineRule="auto"/>
              <w:rPr>
                <w:sz w:val="25"/>
                <w:szCs w:val="25"/>
              </w:rPr>
            </w:pPr>
            <w:r>
              <w:rPr>
                <w:sz w:val="25"/>
                <w:szCs w:val="25"/>
                <w:b/>
                <w:bCs/>
                <w:spacing w:val="-5"/>
              </w:rPr>
              <w:t>特别严重</w:t>
            </w:r>
          </w:p>
        </w:tc>
        <w:tc>
          <w:tcPr>
            <w:tcW w:w="5596" w:type="dxa"/>
            <w:vAlign w:val="top"/>
          </w:tcPr>
          <w:p>
            <w:pPr>
              <w:pStyle w:val="TableText"/>
              <w:ind w:left="100" w:right="35" w:hanging="60"/>
              <w:spacing w:before="158" w:line="260" w:lineRule="auto"/>
              <w:rPr>
                <w:sz w:val="25"/>
                <w:szCs w:val="25"/>
              </w:rPr>
            </w:pPr>
            <w:r>
              <w:rPr>
                <w:sz w:val="25"/>
                <w:szCs w:val="25"/>
              </w:rPr>
              <w:t>使用非卫生技术人员从事医疗卫生技术工作的，造</w:t>
            </w:r>
            <w:r>
              <w:rPr>
                <w:sz w:val="25"/>
                <w:szCs w:val="25"/>
                <w:spacing w:val="8"/>
              </w:rPr>
              <w:t xml:space="preserve"> </w:t>
            </w:r>
            <w:r>
              <w:rPr>
                <w:sz w:val="25"/>
                <w:szCs w:val="25"/>
                <w:spacing w:val="3"/>
              </w:rPr>
              <w:t>成患者死亡的</w:t>
            </w:r>
          </w:p>
        </w:tc>
        <w:tc>
          <w:tcPr>
            <w:tcW w:w="7120" w:type="dxa"/>
            <w:vAlign w:val="top"/>
          </w:tcPr>
          <w:p>
            <w:pPr>
              <w:pStyle w:val="TableText"/>
              <w:ind w:left="114" w:hanging="9"/>
              <w:spacing w:before="156" w:line="261" w:lineRule="auto"/>
              <w:rPr>
                <w:sz w:val="25"/>
                <w:szCs w:val="25"/>
              </w:rPr>
            </w:pPr>
            <w:r>
              <w:rPr>
                <w:sz w:val="25"/>
                <w:szCs w:val="25"/>
              </w:rPr>
              <w:t>责令其立即改正，处以10万元罚款，情节严重的，吊销其《医疗</w:t>
            </w:r>
            <w:r>
              <w:rPr>
                <w:sz w:val="25"/>
                <w:szCs w:val="25"/>
                <w:spacing w:val="3"/>
              </w:rPr>
              <w:t xml:space="preserve"> </w:t>
            </w:r>
            <w:r>
              <w:rPr>
                <w:sz w:val="25"/>
                <w:szCs w:val="25"/>
              </w:rPr>
              <w:t>机构执业许可证》或者责令其停止执业活动</w:t>
            </w:r>
          </w:p>
        </w:tc>
      </w:tr>
    </w:tbl>
    <w:p>
      <w:pPr>
        <w:pStyle w:val="BodyText"/>
        <w:rPr/>
      </w:pPr>
      <w:r/>
    </w:p>
    <w:p>
      <w:pPr>
        <w:sectPr>
          <w:footerReference w:type="default" r:id="rId299"/>
          <w:pgSz w:w="16830" w:h="11900"/>
          <w:pgMar w:top="1011" w:right="1344" w:bottom="1130" w:left="1314" w:header="0" w:footer="806" w:gutter="0"/>
        </w:sectPr>
        <w:rPr/>
      </w:pPr>
    </w:p>
    <w:p>
      <w:pPr>
        <w:pStyle w:val="BodyText"/>
        <w:spacing w:line="249" w:lineRule="auto"/>
        <w:rPr/>
      </w:pPr>
      <w:r/>
    </w:p>
    <w:p>
      <w:pPr>
        <w:pStyle w:val="BodyText"/>
        <w:spacing w:line="250" w:lineRule="auto"/>
        <w:rPr/>
      </w:pPr>
      <w:r/>
    </w:p>
    <w:p>
      <w:pPr>
        <w:pStyle w:val="BodyText"/>
        <w:spacing w:line="250" w:lineRule="auto"/>
        <w:rPr/>
      </w:pPr>
      <w:r/>
    </w:p>
    <w:p>
      <w:pPr>
        <w:ind w:left="129" w:right="261" w:firstLine="659"/>
        <w:spacing w:before="97" w:line="276" w:lineRule="auto"/>
        <w:rPr>
          <w:rFonts w:ascii="FangSong" w:hAnsi="FangSong" w:eastAsia="FangSong" w:cs="FangSong"/>
          <w:sz w:val="30"/>
          <w:szCs w:val="30"/>
        </w:rPr>
      </w:pPr>
      <w:bookmarkStart w:name="bookmark953" w:id="322"/>
      <w:bookmarkEnd w:id="322"/>
      <w:r>
        <w:rPr>
          <w:rFonts w:ascii="FangSong" w:hAnsi="FangSong" w:eastAsia="FangSong" w:cs="FangSong"/>
          <w:sz w:val="30"/>
          <w:szCs w:val="30"/>
          <w:b/>
          <w:bCs/>
          <w:spacing w:val="20"/>
        </w:rPr>
        <w:t>第二百三十九条未经批准擅自使用“120”院前医疗急救呼叫号码或者其他带有院前医疗急救</w:t>
      </w:r>
      <w:r>
        <w:rPr>
          <w:rFonts w:ascii="FangSong" w:hAnsi="FangSong" w:eastAsia="FangSong" w:cs="FangSong"/>
          <w:sz w:val="30"/>
          <w:szCs w:val="30"/>
          <w:spacing w:val="15"/>
        </w:rPr>
        <w:t xml:space="preserve"> </w:t>
      </w:r>
      <w:r>
        <w:rPr>
          <w:rFonts w:ascii="FangSong" w:hAnsi="FangSong" w:eastAsia="FangSong" w:cs="FangSong"/>
          <w:sz w:val="30"/>
          <w:szCs w:val="30"/>
          <w:b/>
          <w:bCs/>
          <w:spacing w:val="15"/>
        </w:rPr>
        <w:t>呼叫性质号码的</w:t>
      </w:r>
    </w:p>
    <w:p>
      <w:pPr>
        <w:ind w:left="784"/>
        <w:spacing w:line="222" w:lineRule="auto"/>
        <w:rPr>
          <w:rFonts w:ascii="FangSong" w:hAnsi="FangSong" w:eastAsia="FangSong" w:cs="FangSong"/>
          <w:sz w:val="30"/>
          <w:szCs w:val="30"/>
        </w:rPr>
      </w:pPr>
      <w:r>
        <w:rPr>
          <w:rFonts w:ascii="FangSong" w:hAnsi="FangSong" w:eastAsia="FangSong" w:cs="FangSong"/>
          <w:sz w:val="30"/>
          <w:szCs w:val="30"/>
          <w:spacing w:val="30"/>
        </w:rPr>
        <w:t>法律依据：</w:t>
      </w:r>
    </w:p>
    <w:p>
      <w:pPr>
        <w:ind w:left="124" w:right="64" w:firstLine="629"/>
        <w:spacing w:before="88" w:line="270" w:lineRule="auto"/>
        <w:jc w:val="both"/>
        <w:rPr>
          <w:rFonts w:ascii="FangSong" w:hAnsi="FangSong" w:eastAsia="FangSong" w:cs="FangSong"/>
          <w:sz w:val="30"/>
          <w:szCs w:val="30"/>
        </w:rPr>
      </w:pPr>
      <w:r>
        <w:rPr>
          <w:rFonts w:ascii="FangSong" w:hAnsi="FangSong" w:eastAsia="FangSong" w:cs="FangSong"/>
          <w:sz w:val="30"/>
          <w:szCs w:val="30"/>
          <w:spacing w:val="24"/>
        </w:rPr>
        <w:t>《院前医疗急救管理办法》第三十七条第(一)项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医疗机构有下列情形</w:t>
      </w:r>
      <w:r>
        <w:rPr>
          <w:rFonts w:ascii="FangSong" w:hAnsi="FangSong" w:eastAsia="FangSong" w:cs="FangSong"/>
          <w:sz w:val="30"/>
          <w:szCs w:val="30"/>
          <w:spacing w:val="23"/>
        </w:rPr>
        <w:t>之一的，由县级以上地</w:t>
      </w:r>
      <w:r>
        <w:rPr>
          <w:rFonts w:ascii="FangSong" w:hAnsi="FangSong" w:eastAsia="FangSong" w:cs="FangSong"/>
          <w:sz w:val="30"/>
          <w:szCs w:val="30"/>
        </w:rPr>
        <w:t xml:space="preserve"> </w:t>
      </w:r>
      <w:r>
        <w:rPr>
          <w:rFonts w:ascii="FangSong" w:hAnsi="FangSong" w:eastAsia="FangSong" w:cs="FangSong"/>
          <w:sz w:val="30"/>
          <w:szCs w:val="30"/>
          <w:spacing w:val="18"/>
        </w:rPr>
        <w:t>方卫生计生行政部门责令改正、通报批评、给予警告；对直接负责的主管人员和其他直接责任人员，</w:t>
      </w:r>
      <w:r>
        <w:rPr>
          <w:rFonts w:ascii="FangSong" w:hAnsi="FangSong" w:eastAsia="FangSong" w:cs="FangSong"/>
          <w:sz w:val="30"/>
          <w:szCs w:val="30"/>
          <w:spacing w:val="7"/>
        </w:rPr>
        <w:t xml:space="preserve"> </w:t>
      </w:r>
      <w:r>
        <w:rPr>
          <w:rFonts w:ascii="FangSong" w:hAnsi="FangSong" w:eastAsia="FangSong" w:cs="FangSong"/>
          <w:sz w:val="30"/>
          <w:szCs w:val="30"/>
          <w:spacing w:val="17"/>
        </w:rPr>
        <w:t>根据情节轻重，依法给予警告、记过、降低岗位等级、撤职、开除等</w:t>
      </w:r>
      <w:r>
        <w:rPr>
          <w:rFonts w:ascii="FangSong" w:hAnsi="FangSong" w:eastAsia="FangSong" w:cs="FangSong"/>
          <w:sz w:val="30"/>
          <w:szCs w:val="30"/>
          <w:spacing w:val="16"/>
        </w:rPr>
        <w:t>处分：</w:t>
      </w:r>
    </w:p>
    <w:p>
      <w:pPr>
        <w:ind w:left="124" w:right="130" w:firstLine="779"/>
        <w:spacing w:before="2" w:line="290" w:lineRule="auto"/>
        <w:rPr>
          <w:rFonts w:ascii="FangSong" w:hAnsi="FangSong" w:eastAsia="FangSong" w:cs="FangSong"/>
          <w:sz w:val="26"/>
          <w:szCs w:val="26"/>
        </w:rPr>
      </w:pPr>
      <w:r>
        <w:rPr>
          <w:rFonts w:ascii="FangSong" w:hAnsi="FangSong" w:eastAsia="FangSong" w:cs="FangSong"/>
          <w:sz w:val="30"/>
          <w:szCs w:val="30"/>
          <w:spacing w:val="23"/>
        </w:rPr>
        <w:t>(一)未经批准擅自使用“120”院前医疗急救呼叫号码或者其他带有院前医疗急救呼叫性质号</w:t>
      </w:r>
      <w:r>
        <w:rPr>
          <w:rFonts w:ascii="FangSong" w:hAnsi="FangSong" w:eastAsia="FangSong" w:cs="FangSong"/>
          <w:sz w:val="30"/>
          <w:szCs w:val="30"/>
          <w:spacing w:val="14"/>
        </w:rPr>
        <w:t xml:space="preserve"> </w:t>
      </w:r>
      <w:r>
        <w:rPr>
          <w:rFonts w:ascii="FangSong" w:hAnsi="FangSong" w:eastAsia="FangSong" w:cs="FangSong"/>
          <w:sz w:val="26"/>
          <w:szCs w:val="26"/>
          <w:spacing w:val="-17"/>
        </w:rPr>
        <w:t>码</w:t>
      </w:r>
      <w:r>
        <w:rPr>
          <w:rFonts w:ascii="FangSong" w:hAnsi="FangSong" w:eastAsia="FangSong" w:cs="FangSong"/>
          <w:sz w:val="26"/>
          <w:szCs w:val="26"/>
          <w:spacing w:val="-16"/>
        </w:rPr>
        <w:t xml:space="preserve"> </w:t>
      </w:r>
      <w:r>
        <w:rPr>
          <w:rFonts w:ascii="FangSong" w:hAnsi="FangSong" w:eastAsia="FangSong" w:cs="FangSong"/>
          <w:sz w:val="26"/>
          <w:szCs w:val="26"/>
          <w:spacing w:val="-17"/>
        </w:rPr>
        <w:t>的</w:t>
      </w:r>
      <w:r>
        <w:rPr>
          <w:rFonts w:ascii="FangSong" w:hAnsi="FangSong" w:eastAsia="FangSong" w:cs="FangSong"/>
          <w:sz w:val="26"/>
          <w:szCs w:val="26"/>
          <w:spacing w:val="-50"/>
        </w:rPr>
        <w:t xml:space="preserve"> </w:t>
      </w:r>
      <w:r>
        <w:rPr>
          <w:rFonts w:ascii="FangSong" w:hAnsi="FangSong" w:eastAsia="FangSong" w:cs="FangSong"/>
          <w:sz w:val="26"/>
          <w:szCs w:val="26"/>
          <w:spacing w:val="-17"/>
        </w:rPr>
        <w:t>。</w:t>
      </w:r>
    </w:p>
    <w:p>
      <w:pPr>
        <w:ind w:left="6548"/>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40" w:lineRule="auto"/>
        <w:rPr>
          <w:rFonts w:ascii="Arial"/>
          <w:sz w:val="2"/>
        </w:rPr>
      </w:pPr>
      <w:r>
        <w:rPr>
          <w:rFonts w:ascii="Arial"/>
          <w:sz w:val="2"/>
        </w:rPr>
      </w:r>
    </w:p>
    <w:tbl>
      <w:tblPr>
        <w:tblStyle w:val="TableNormal"/>
        <w:tblW w:w="141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5596"/>
        <w:gridCol w:w="7139"/>
      </w:tblGrid>
      <w:tr>
        <w:trPr>
          <w:trHeight w:val="422" w:hRule="atLeast"/>
        </w:trPr>
        <w:tc>
          <w:tcPr>
            <w:tcW w:w="1444" w:type="dxa"/>
            <w:vAlign w:val="top"/>
          </w:tcPr>
          <w:p>
            <w:pPr>
              <w:pStyle w:val="TableText"/>
              <w:ind w:left="198"/>
              <w:spacing w:before="82" w:line="220" w:lineRule="auto"/>
              <w:rPr>
                <w:sz w:val="26"/>
                <w:szCs w:val="26"/>
              </w:rPr>
            </w:pPr>
            <w:r>
              <w:rPr>
                <w:sz w:val="26"/>
                <w:szCs w:val="26"/>
                <w:b/>
                <w:bCs/>
                <w:spacing w:val="-5"/>
              </w:rPr>
              <w:t>违法程度</w:t>
            </w:r>
          </w:p>
        </w:tc>
        <w:tc>
          <w:tcPr>
            <w:tcW w:w="5596" w:type="dxa"/>
            <w:vAlign w:val="top"/>
          </w:tcPr>
          <w:p>
            <w:pPr>
              <w:pStyle w:val="TableText"/>
              <w:ind w:left="2274"/>
              <w:spacing w:before="82" w:line="220" w:lineRule="auto"/>
              <w:rPr>
                <w:sz w:val="26"/>
                <w:szCs w:val="26"/>
              </w:rPr>
            </w:pPr>
            <w:r>
              <w:rPr>
                <w:sz w:val="26"/>
                <w:szCs w:val="26"/>
                <w:b/>
                <w:bCs/>
                <w:spacing w:val="-5"/>
              </w:rPr>
              <w:t>违法后果</w:t>
            </w:r>
          </w:p>
        </w:tc>
        <w:tc>
          <w:tcPr>
            <w:tcW w:w="7139" w:type="dxa"/>
            <w:vAlign w:val="top"/>
          </w:tcPr>
          <w:p>
            <w:pPr>
              <w:pStyle w:val="TableText"/>
              <w:ind w:left="3048"/>
              <w:spacing w:before="79" w:line="218" w:lineRule="auto"/>
              <w:rPr>
                <w:sz w:val="26"/>
                <w:szCs w:val="26"/>
              </w:rPr>
            </w:pPr>
            <w:r>
              <w:rPr>
                <w:sz w:val="26"/>
                <w:szCs w:val="26"/>
                <w:b/>
                <w:bCs/>
                <w:spacing w:val="-5"/>
              </w:rPr>
              <w:t>裁量幅度</w:t>
            </w:r>
          </w:p>
        </w:tc>
      </w:tr>
      <w:tr>
        <w:trPr>
          <w:trHeight w:val="878" w:hRule="atLeast"/>
        </w:trPr>
        <w:tc>
          <w:tcPr>
            <w:tcW w:w="1444" w:type="dxa"/>
            <w:vAlign w:val="top"/>
          </w:tcPr>
          <w:p>
            <w:pPr>
              <w:spacing w:line="285" w:lineRule="auto"/>
              <w:rPr>
                <w:rFonts w:ascii="Arial"/>
                <w:sz w:val="21"/>
              </w:rPr>
            </w:pPr>
            <w:r/>
          </w:p>
          <w:p>
            <w:pPr>
              <w:pStyle w:val="TableText"/>
              <w:ind w:left="458"/>
              <w:spacing w:before="84" w:line="221" w:lineRule="auto"/>
              <w:rPr>
                <w:sz w:val="26"/>
                <w:szCs w:val="26"/>
              </w:rPr>
            </w:pPr>
            <w:r>
              <w:rPr>
                <w:sz w:val="26"/>
                <w:szCs w:val="26"/>
                <w:b/>
                <w:bCs/>
                <w:spacing w:val="-10"/>
              </w:rPr>
              <w:t>一般</w:t>
            </w:r>
          </w:p>
        </w:tc>
        <w:tc>
          <w:tcPr>
            <w:tcW w:w="5596" w:type="dxa"/>
            <w:vAlign w:val="top"/>
          </w:tcPr>
          <w:p>
            <w:pPr>
              <w:pStyle w:val="TableText"/>
              <w:ind w:left="103" w:hanging="89"/>
              <w:spacing w:before="161" w:line="251" w:lineRule="auto"/>
              <w:rPr>
                <w:sz w:val="26"/>
                <w:szCs w:val="26"/>
              </w:rPr>
            </w:pPr>
            <w:r>
              <w:rPr>
                <w:sz w:val="26"/>
                <w:szCs w:val="26"/>
                <w:b/>
                <w:bCs/>
                <w:spacing w:val="-16"/>
              </w:rPr>
              <w:t>未经</w:t>
            </w:r>
            <w:r>
              <w:rPr>
                <w:sz w:val="26"/>
                <w:szCs w:val="26"/>
                <w:b/>
                <w:bCs/>
                <w:spacing w:val="-15"/>
              </w:rPr>
              <w:t>批准擅自使用“120”院前医疗急救呼叫号码</w:t>
            </w:r>
            <w:r>
              <w:rPr>
                <w:sz w:val="26"/>
                <w:szCs w:val="26"/>
                <w:b/>
                <w:bCs/>
                <w:spacing w:val="-13"/>
              </w:rPr>
              <w:t>或</w:t>
            </w:r>
            <w:r>
              <w:rPr>
                <w:sz w:val="26"/>
                <w:szCs w:val="26"/>
                <w:spacing w:val="14"/>
              </w:rPr>
              <w:t xml:space="preserve"> </w:t>
            </w:r>
            <w:r>
              <w:rPr>
                <w:sz w:val="26"/>
                <w:szCs w:val="26"/>
                <w:b/>
                <w:bCs/>
                <w:spacing w:val="-3"/>
              </w:rPr>
              <w:t>者其他带有院前医疗急救呼叫性质号码的</w:t>
            </w:r>
          </w:p>
        </w:tc>
        <w:tc>
          <w:tcPr>
            <w:tcW w:w="7139" w:type="dxa"/>
            <w:vAlign w:val="top"/>
          </w:tcPr>
          <w:p>
            <w:pPr>
              <w:pStyle w:val="TableText"/>
              <w:spacing w:before="167" w:line="218" w:lineRule="auto"/>
              <w:jc w:val="right"/>
              <w:rPr>
                <w:sz w:val="26"/>
                <w:szCs w:val="26"/>
              </w:rPr>
            </w:pPr>
            <w:r>
              <w:rPr>
                <w:sz w:val="26"/>
                <w:szCs w:val="26"/>
                <w:b/>
                <w:bCs/>
                <w:spacing w:val="-18"/>
              </w:rPr>
              <w:t>由县级以上地方卫生计生行政部门责令改正、通报批评、给予警告</w:t>
            </w:r>
          </w:p>
        </w:tc>
      </w:tr>
    </w:tbl>
    <w:p>
      <w:pPr>
        <w:pStyle w:val="BodyText"/>
        <w:spacing w:line="446" w:lineRule="auto"/>
        <w:rPr/>
      </w:pPr>
      <w:r/>
    </w:p>
    <w:p>
      <w:pPr>
        <w:ind w:left="789"/>
        <w:spacing w:before="97" w:line="224" w:lineRule="auto"/>
        <w:rPr>
          <w:rFonts w:ascii="KaiTi" w:hAnsi="KaiTi" w:eastAsia="KaiTi" w:cs="KaiTi"/>
          <w:sz w:val="30"/>
          <w:szCs w:val="30"/>
        </w:rPr>
      </w:pPr>
      <w:r>
        <w:rPr>
          <w:rFonts w:ascii="KaiTi" w:hAnsi="KaiTi" w:eastAsia="KaiTi" w:cs="KaiTi"/>
          <w:sz w:val="30"/>
          <w:szCs w:val="30"/>
          <w:b/>
          <w:bCs/>
          <w:spacing w:val="22"/>
        </w:rPr>
        <w:t>第二百四十条未经批准擅自使用救护车开展院前医疗急救服务的</w:t>
      </w:r>
    </w:p>
    <w:p>
      <w:pPr>
        <w:ind w:left="784"/>
        <w:spacing w:before="65" w:line="222" w:lineRule="auto"/>
        <w:rPr>
          <w:rFonts w:ascii="FangSong" w:hAnsi="FangSong" w:eastAsia="FangSong" w:cs="FangSong"/>
          <w:sz w:val="30"/>
          <w:szCs w:val="30"/>
        </w:rPr>
      </w:pPr>
      <w:r>
        <w:rPr>
          <w:rFonts w:ascii="FangSong" w:hAnsi="FangSong" w:eastAsia="FangSong" w:cs="FangSong"/>
          <w:sz w:val="30"/>
          <w:szCs w:val="30"/>
          <w:spacing w:val="30"/>
        </w:rPr>
        <w:t>法律依据：</w:t>
      </w:r>
    </w:p>
    <w:p>
      <w:pPr>
        <w:ind w:left="124" w:right="64" w:firstLine="629"/>
        <w:spacing w:before="96" w:line="271" w:lineRule="auto"/>
        <w:jc w:val="both"/>
        <w:rPr>
          <w:rFonts w:ascii="FangSong" w:hAnsi="FangSong" w:eastAsia="FangSong" w:cs="FangSong"/>
          <w:sz w:val="30"/>
          <w:szCs w:val="30"/>
        </w:rPr>
      </w:pPr>
      <w:r>
        <w:rPr>
          <w:rFonts w:ascii="FangSong" w:hAnsi="FangSong" w:eastAsia="FangSong" w:cs="FangSong"/>
          <w:sz w:val="30"/>
          <w:szCs w:val="30"/>
          <w:spacing w:val="24"/>
        </w:rPr>
        <w:t>《院前医疗急救管理办法》第三十七条第(二)项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医疗机构有下列情形</w:t>
      </w:r>
      <w:r>
        <w:rPr>
          <w:rFonts w:ascii="FangSong" w:hAnsi="FangSong" w:eastAsia="FangSong" w:cs="FangSong"/>
          <w:sz w:val="30"/>
          <w:szCs w:val="30"/>
          <w:spacing w:val="23"/>
        </w:rPr>
        <w:t>之一的，由县级以上地</w:t>
      </w:r>
      <w:r>
        <w:rPr>
          <w:rFonts w:ascii="FangSong" w:hAnsi="FangSong" w:eastAsia="FangSong" w:cs="FangSong"/>
          <w:sz w:val="30"/>
          <w:szCs w:val="30"/>
        </w:rPr>
        <w:t xml:space="preserve"> </w:t>
      </w:r>
      <w:r>
        <w:rPr>
          <w:rFonts w:ascii="FangSong" w:hAnsi="FangSong" w:eastAsia="FangSong" w:cs="FangSong"/>
          <w:sz w:val="30"/>
          <w:szCs w:val="30"/>
          <w:spacing w:val="18"/>
        </w:rPr>
        <w:t>方卫生计生行政部门责令改正、通报批评、给予警告；对直接负责的主管人员和其他直接责任人员，</w:t>
      </w:r>
      <w:r>
        <w:rPr>
          <w:rFonts w:ascii="FangSong" w:hAnsi="FangSong" w:eastAsia="FangSong" w:cs="FangSong"/>
          <w:sz w:val="30"/>
          <w:szCs w:val="30"/>
          <w:spacing w:val="7"/>
        </w:rPr>
        <w:t xml:space="preserve"> </w:t>
      </w:r>
      <w:r>
        <w:rPr>
          <w:rFonts w:ascii="FangSong" w:hAnsi="FangSong" w:eastAsia="FangSong" w:cs="FangSong"/>
          <w:sz w:val="30"/>
          <w:szCs w:val="30"/>
          <w:spacing w:val="17"/>
        </w:rPr>
        <w:t>根据情节轻重，依法给予警告、记过、降低岗位等级、撤职、开除等</w:t>
      </w:r>
      <w:r>
        <w:rPr>
          <w:rFonts w:ascii="FangSong" w:hAnsi="FangSong" w:eastAsia="FangSong" w:cs="FangSong"/>
          <w:sz w:val="30"/>
          <w:szCs w:val="30"/>
          <w:spacing w:val="16"/>
        </w:rPr>
        <w:t>处分：</w:t>
      </w:r>
    </w:p>
    <w:p>
      <w:pPr>
        <w:spacing w:line="271" w:lineRule="auto"/>
        <w:sectPr>
          <w:footerReference w:type="default" r:id="rId300"/>
          <w:pgSz w:w="16830" w:h="11900"/>
          <w:pgMar w:top="1011" w:right="1335" w:bottom="1117" w:left="1305" w:header="0" w:footer="784" w:gutter="0"/>
        </w:sectPr>
        <w:rPr>
          <w:rFonts w:ascii="FangSong" w:hAnsi="FangSong" w:eastAsia="FangSong" w:cs="FangSong"/>
          <w:sz w:val="30"/>
          <w:szCs w:val="30"/>
        </w:rPr>
      </w:pPr>
    </w:p>
    <w:p>
      <w:pPr>
        <w:pStyle w:val="BodyText"/>
        <w:spacing w:line="263" w:lineRule="auto"/>
        <w:rPr/>
      </w:pPr>
      <w:r/>
    </w:p>
    <w:p>
      <w:pPr>
        <w:pStyle w:val="BodyText"/>
        <w:spacing w:line="263" w:lineRule="auto"/>
        <w:rPr/>
      </w:pPr>
      <w:r/>
    </w:p>
    <w:p>
      <w:pPr>
        <w:pStyle w:val="BodyText"/>
        <w:spacing w:line="264" w:lineRule="auto"/>
        <w:rPr/>
      </w:pPr>
      <w:r/>
    </w:p>
    <w:p>
      <w:pPr>
        <w:ind w:left="6548" w:right="5174" w:hanging="5644"/>
        <w:spacing w:before="98" w:line="238" w:lineRule="auto"/>
        <w:rPr>
          <w:rFonts w:ascii="SimSun" w:hAnsi="SimSun" w:eastAsia="SimSun" w:cs="SimSun"/>
          <w:sz w:val="29"/>
          <w:szCs w:val="29"/>
        </w:rPr>
      </w:pPr>
      <w:r>
        <w:rPr>
          <w:rFonts w:ascii="FangSong" w:hAnsi="FangSong" w:eastAsia="FangSong" w:cs="FangSong"/>
          <w:sz w:val="30"/>
          <w:szCs w:val="30"/>
          <w:spacing w:val="23"/>
        </w:rPr>
        <w:t>(二)未经批准擅自使用救护车开展院前医疗急救服务的。</w:t>
      </w:r>
      <w:r>
        <w:rPr>
          <w:rFonts w:ascii="FangSong" w:hAnsi="FangSong" w:eastAsia="FangSong" w:cs="FangSong"/>
          <w:sz w:val="30"/>
          <w:szCs w:val="30"/>
          <w:spacing w:val="11"/>
        </w:rPr>
        <w:t xml:space="preserve"> </w:t>
      </w:r>
      <w:bookmarkStart w:name="bookmark954" w:id="323"/>
      <w:bookmarkEnd w:id="323"/>
      <w:r>
        <w:rPr>
          <w:rFonts w:ascii="SimSun" w:hAnsi="SimSun" w:eastAsia="SimSun" w:cs="SimSun"/>
          <w:sz w:val="29"/>
          <w:szCs w:val="29"/>
          <w:b/>
          <w:bCs/>
          <w:spacing w:val="-6"/>
        </w:rPr>
        <w:t>裁量标准</w:t>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5596"/>
        <w:gridCol w:w="7130"/>
      </w:tblGrid>
      <w:tr>
        <w:trPr>
          <w:trHeight w:val="430" w:hRule="atLeast"/>
        </w:trPr>
        <w:tc>
          <w:tcPr>
            <w:tcW w:w="1444" w:type="dxa"/>
            <w:vAlign w:val="top"/>
          </w:tcPr>
          <w:p>
            <w:pPr>
              <w:pStyle w:val="TableText"/>
              <w:ind w:left="198"/>
              <w:spacing w:before="92" w:line="220" w:lineRule="auto"/>
              <w:rPr>
                <w:sz w:val="26"/>
                <w:szCs w:val="26"/>
              </w:rPr>
            </w:pPr>
            <w:r>
              <w:rPr>
                <w:sz w:val="26"/>
                <w:szCs w:val="26"/>
                <w:b/>
                <w:bCs/>
                <w:spacing w:val="-5"/>
              </w:rPr>
              <w:t>违法程度</w:t>
            </w:r>
          </w:p>
        </w:tc>
        <w:tc>
          <w:tcPr>
            <w:tcW w:w="5596" w:type="dxa"/>
            <w:vAlign w:val="top"/>
          </w:tcPr>
          <w:p>
            <w:pPr>
              <w:pStyle w:val="TableText"/>
              <w:ind w:left="2274"/>
              <w:spacing w:before="92" w:line="220" w:lineRule="auto"/>
              <w:rPr>
                <w:sz w:val="26"/>
                <w:szCs w:val="26"/>
              </w:rPr>
            </w:pPr>
            <w:r>
              <w:rPr>
                <w:sz w:val="26"/>
                <w:szCs w:val="26"/>
                <w:b/>
                <w:bCs/>
                <w:spacing w:val="-5"/>
              </w:rPr>
              <w:t>违法后果</w:t>
            </w:r>
          </w:p>
        </w:tc>
        <w:tc>
          <w:tcPr>
            <w:tcW w:w="7130" w:type="dxa"/>
            <w:vAlign w:val="top"/>
          </w:tcPr>
          <w:p>
            <w:pPr>
              <w:pStyle w:val="TableText"/>
              <w:ind w:left="3038"/>
              <w:spacing w:before="89" w:line="218" w:lineRule="auto"/>
              <w:rPr>
                <w:sz w:val="26"/>
                <w:szCs w:val="26"/>
              </w:rPr>
            </w:pPr>
            <w:r>
              <w:rPr>
                <w:sz w:val="26"/>
                <w:szCs w:val="26"/>
                <w:b/>
                <w:bCs/>
                <w:spacing w:val="-5"/>
              </w:rPr>
              <w:t>裁量幅度</w:t>
            </w:r>
          </w:p>
        </w:tc>
      </w:tr>
      <w:tr>
        <w:trPr>
          <w:trHeight w:val="529" w:hRule="atLeast"/>
        </w:trPr>
        <w:tc>
          <w:tcPr>
            <w:tcW w:w="1444" w:type="dxa"/>
            <w:vAlign w:val="top"/>
          </w:tcPr>
          <w:p>
            <w:pPr>
              <w:pStyle w:val="TableText"/>
              <w:ind w:left="458"/>
              <w:spacing w:before="193" w:line="221" w:lineRule="auto"/>
              <w:rPr>
                <w:sz w:val="26"/>
                <w:szCs w:val="26"/>
              </w:rPr>
            </w:pPr>
            <w:r>
              <w:rPr>
                <w:sz w:val="26"/>
                <w:szCs w:val="26"/>
                <w:b/>
                <w:bCs/>
                <w:spacing w:val="-10"/>
              </w:rPr>
              <w:t>一般</w:t>
            </w:r>
          </w:p>
        </w:tc>
        <w:tc>
          <w:tcPr>
            <w:tcW w:w="5596" w:type="dxa"/>
            <w:vAlign w:val="top"/>
          </w:tcPr>
          <w:p>
            <w:pPr>
              <w:pStyle w:val="TableText"/>
              <w:spacing w:before="202" w:line="219" w:lineRule="auto"/>
              <w:jc w:val="right"/>
              <w:rPr>
                <w:sz w:val="26"/>
                <w:szCs w:val="26"/>
              </w:rPr>
            </w:pPr>
            <w:r>
              <w:rPr>
                <w:sz w:val="26"/>
                <w:szCs w:val="26"/>
                <w:b/>
                <w:bCs/>
                <w:spacing w:val="-10"/>
              </w:rPr>
              <w:t>未经批准擅自使用救护车开展院前医疗急救服务的</w:t>
            </w:r>
          </w:p>
        </w:tc>
        <w:tc>
          <w:tcPr>
            <w:tcW w:w="7130" w:type="dxa"/>
            <w:vAlign w:val="top"/>
          </w:tcPr>
          <w:p>
            <w:pPr>
              <w:pStyle w:val="TableText"/>
              <w:spacing w:before="189" w:line="218" w:lineRule="auto"/>
              <w:jc w:val="right"/>
              <w:rPr>
                <w:sz w:val="26"/>
                <w:szCs w:val="26"/>
              </w:rPr>
            </w:pPr>
            <w:r>
              <w:rPr>
                <w:sz w:val="26"/>
                <w:szCs w:val="26"/>
                <w:b/>
                <w:bCs/>
                <w:spacing w:val="-18"/>
              </w:rPr>
              <w:t>由县级以上地方卫生计生行政部门责令改正、通报批评、给予警告</w:t>
            </w:r>
          </w:p>
        </w:tc>
      </w:tr>
    </w:tbl>
    <w:p>
      <w:pPr>
        <w:pStyle w:val="BodyText"/>
        <w:spacing w:line="447" w:lineRule="auto"/>
        <w:rPr/>
      </w:pPr>
      <w:r/>
    </w:p>
    <w:p>
      <w:pPr>
        <w:ind w:left="139" w:right="121" w:firstLine="649"/>
        <w:spacing w:before="98" w:line="276" w:lineRule="auto"/>
        <w:rPr>
          <w:rFonts w:ascii="FangSong" w:hAnsi="FangSong" w:eastAsia="FangSong" w:cs="FangSong"/>
          <w:sz w:val="30"/>
          <w:szCs w:val="30"/>
        </w:rPr>
      </w:pPr>
      <w:r>
        <w:rPr>
          <w:rFonts w:ascii="FangSong" w:hAnsi="FangSong" w:eastAsia="FangSong" w:cs="FangSong"/>
          <w:sz w:val="30"/>
          <w:szCs w:val="30"/>
          <w:b/>
          <w:bCs/>
          <w:spacing w:val="28"/>
        </w:rPr>
        <w:t>第二百四十一条急救中心(站)因指挥调度或者费用等因素拒绝、推诿或者延误院前医疗急救</w:t>
      </w:r>
      <w:r>
        <w:rPr>
          <w:rFonts w:ascii="FangSong" w:hAnsi="FangSong" w:eastAsia="FangSong" w:cs="FangSong"/>
          <w:sz w:val="30"/>
          <w:szCs w:val="30"/>
          <w:spacing w:val="1"/>
        </w:rPr>
        <w:t xml:space="preserve"> </w:t>
      </w:r>
      <w:r>
        <w:rPr>
          <w:rFonts w:ascii="FangSong" w:hAnsi="FangSong" w:eastAsia="FangSong" w:cs="FangSong"/>
          <w:sz w:val="30"/>
          <w:szCs w:val="30"/>
          <w:b/>
          <w:bCs/>
          <w:spacing w:val="10"/>
        </w:rPr>
        <w:t>服务的</w:t>
      </w:r>
    </w:p>
    <w:p>
      <w:pPr>
        <w:ind w:left="794"/>
        <w:spacing w:line="222" w:lineRule="auto"/>
        <w:rPr>
          <w:rFonts w:ascii="FangSong" w:hAnsi="FangSong" w:eastAsia="FangSong" w:cs="FangSong"/>
          <w:sz w:val="30"/>
          <w:szCs w:val="30"/>
        </w:rPr>
      </w:pPr>
      <w:r>
        <w:rPr>
          <w:rFonts w:ascii="FangSong" w:hAnsi="FangSong" w:eastAsia="FangSong" w:cs="FangSong"/>
          <w:sz w:val="30"/>
          <w:szCs w:val="30"/>
          <w:spacing w:val="29"/>
        </w:rPr>
        <w:t>法律依据：</w:t>
      </w:r>
    </w:p>
    <w:p>
      <w:pPr>
        <w:ind w:left="134" w:right="24" w:firstLine="619"/>
        <w:spacing w:before="76" w:line="269" w:lineRule="auto"/>
        <w:jc w:val="both"/>
        <w:rPr>
          <w:rFonts w:ascii="FangSong" w:hAnsi="FangSong" w:eastAsia="FangSong" w:cs="FangSong"/>
          <w:sz w:val="30"/>
          <w:szCs w:val="30"/>
        </w:rPr>
      </w:pPr>
      <w:r>
        <w:rPr>
          <w:rFonts w:ascii="FangSong" w:hAnsi="FangSong" w:eastAsia="FangSong" w:cs="FangSong"/>
          <w:sz w:val="30"/>
          <w:szCs w:val="30"/>
          <w:spacing w:val="29"/>
        </w:rPr>
        <w:t>《院前医疗急救管理办法》第三十七条第(三)项医</w:t>
      </w:r>
      <w:r>
        <w:rPr>
          <w:rFonts w:ascii="FangSong" w:hAnsi="FangSong" w:eastAsia="FangSong" w:cs="FangSong"/>
          <w:sz w:val="30"/>
          <w:szCs w:val="30"/>
          <w:spacing w:val="28"/>
        </w:rPr>
        <w:t>疗机构有下列情形之</w:t>
      </w:r>
      <w:r>
        <w:rPr>
          <w:rFonts w:ascii="FangSong" w:hAnsi="FangSong" w:eastAsia="FangSong" w:cs="FangSong"/>
          <w:sz w:val="30"/>
          <w:szCs w:val="30"/>
          <w:spacing w:val="-70"/>
        </w:rPr>
        <w:t xml:space="preserve"> </w:t>
      </w:r>
      <w:r>
        <w:rPr>
          <w:rFonts w:ascii="FangSong" w:hAnsi="FangSong" w:eastAsia="FangSong" w:cs="FangSong"/>
          <w:sz w:val="30"/>
          <w:szCs w:val="30"/>
          <w:spacing w:val="28"/>
        </w:rPr>
        <w:t>一</w:t>
      </w:r>
      <w:r>
        <w:rPr>
          <w:rFonts w:ascii="FangSong" w:hAnsi="FangSong" w:eastAsia="FangSong" w:cs="FangSong"/>
          <w:sz w:val="30"/>
          <w:szCs w:val="30"/>
          <w:spacing w:val="-79"/>
        </w:rPr>
        <w:t xml:space="preserve"> </w:t>
      </w:r>
      <w:r>
        <w:rPr>
          <w:rFonts w:ascii="FangSong" w:hAnsi="FangSong" w:eastAsia="FangSong" w:cs="FangSong"/>
          <w:sz w:val="30"/>
          <w:szCs w:val="30"/>
          <w:spacing w:val="28"/>
        </w:rPr>
        <w:t>的，由县级以上地</w:t>
      </w:r>
      <w:r>
        <w:rPr>
          <w:rFonts w:ascii="FangSong" w:hAnsi="FangSong" w:eastAsia="FangSong" w:cs="FangSong"/>
          <w:sz w:val="30"/>
          <w:szCs w:val="30"/>
        </w:rPr>
        <w:t xml:space="preserve"> </w:t>
      </w:r>
      <w:r>
        <w:rPr>
          <w:rFonts w:ascii="FangSong" w:hAnsi="FangSong" w:eastAsia="FangSong" w:cs="FangSong"/>
          <w:sz w:val="30"/>
          <w:szCs w:val="30"/>
          <w:spacing w:val="19"/>
        </w:rPr>
        <w:t>方卫生计生行政部门责令改正、通报批评、给予警告；对直接负责的主管人员和其他</w:t>
      </w:r>
      <w:r>
        <w:rPr>
          <w:rFonts w:ascii="FangSong" w:hAnsi="FangSong" w:eastAsia="FangSong" w:cs="FangSong"/>
          <w:sz w:val="30"/>
          <w:szCs w:val="30"/>
          <w:spacing w:val="18"/>
        </w:rPr>
        <w:t>直接责任人员，</w:t>
      </w:r>
      <w:r>
        <w:rPr>
          <w:rFonts w:ascii="FangSong" w:hAnsi="FangSong" w:eastAsia="FangSong" w:cs="FangSong"/>
          <w:sz w:val="30"/>
          <w:szCs w:val="30"/>
        </w:rPr>
        <w:t xml:space="preserve"> </w:t>
      </w:r>
      <w:r>
        <w:rPr>
          <w:rFonts w:ascii="FangSong" w:hAnsi="FangSong" w:eastAsia="FangSong" w:cs="FangSong"/>
          <w:sz w:val="30"/>
          <w:szCs w:val="30"/>
          <w:spacing w:val="15"/>
        </w:rPr>
        <w:t>根据情节轻重，依法给予警告、记过、降低岗位等级、撤职、开除等处分：</w:t>
      </w:r>
    </w:p>
    <w:p>
      <w:pPr>
        <w:ind w:left="904"/>
        <w:spacing w:line="221" w:lineRule="auto"/>
        <w:rPr>
          <w:rFonts w:ascii="FangSong" w:hAnsi="FangSong" w:eastAsia="FangSong" w:cs="FangSong"/>
          <w:sz w:val="30"/>
          <w:szCs w:val="30"/>
        </w:rPr>
      </w:pPr>
      <w:r>
        <w:rPr>
          <w:rFonts w:ascii="FangSong" w:hAnsi="FangSong" w:eastAsia="FangSong" w:cs="FangSong"/>
          <w:sz w:val="30"/>
          <w:szCs w:val="30"/>
          <w:spacing w:val="30"/>
        </w:rPr>
        <w:t>(三)急救中心(站)因指挥调度或者费用等</w:t>
      </w:r>
      <w:r>
        <w:rPr>
          <w:rFonts w:ascii="FangSong" w:hAnsi="FangSong" w:eastAsia="FangSong" w:cs="FangSong"/>
          <w:sz w:val="30"/>
          <w:szCs w:val="30"/>
          <w:spacing w:val="29"/>
        </w:rPr>
        <w:t>因素拒绝、推诿或者延误院前医疗急救服务的。</w:t>
      </w:r>
    </w:p>
    <w:p>
      <w:pPr>
        <w:ind w:left="6548"/>
        <w:spacing w:before="79"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40" w:lineRule="auto"/>
        <w:rPr>
          <w:rFonts w:ascii="Arial"/>
          <w:sz w:val="2"/>
        </w:rPr>
      </w:pPr>
      <w:r>
        <w:rPr>
          <w:rFonts w:ascii="Arial"/>
          <w:sz w:val="2"/>
        </w:rPr>
      </w:r>
    </w:p>
    <w:tbl>
      <w:tblPr>
        <w:tblStyle w:val="TableNormal"/>
        <w:tblW w:w="14159"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3"/>
        <w:gridCol w:w="5586"/>
        <w:gridCol w:w="7140"/>
      </w:tblGrid>
      <w:tr>
        <w:trPr>
          <w:trHeight w:val="411" w:hRule="atLeast"/>
        </w:trPr>
        <w:tc>
          <w:tcPr>
            <w:tcW w:w="1433" w:type="dxa"/>
            <w:vAlign w:val="top"/>
          </w:tcPr>
          <w:p>
            <w:pPr>
              <w:pStyle w:val="TableText"/>
              <w:ind w:left="188"/>
              <w:spacing w:before="82" w:line="220" w:lineRule="auto"/>
              <w:rPr>
                <w:sz w:val="26"/>
                <w:szCs w:val="26"/>
              </w:rPr>
            </w:pPr>
            <w:r>
              <w:rPr>
                <w:sz w:val="26"/>
                <w:szCs w:val="26"/>
                <w:b/>
                <w:bCs/>
                <w:spacing w:val="-5"/>
              </w:rPr>
              <w:t>违法程度</w:t>
            </w:r>
          </w:p>
        </w:tc>
        <w:tc>
          <w:tcPr>
            <w:tcW w:w="5586" w:type="dxa"/>
            <w:vAlign w:val="top"/>
          </w:tcPr>
          <w:p>
            <w:pPr>
              <w:pStyle w:val="TableText"/>
              <w:ind w:left="2265"/>
              <w:spacing w:before="82" w:line="220" w:lineRule="auto"/>
              <w:rPr>
                <w:sz w:val="26"/>
                <w:szCs w:val="26"/>
              </w:rPr>
            </w:pPr>
            <w:r>
              <w:rPr>
                <w:sz w:val="26"/>
                <w:szCs w:val="26"/>
                <w:b/>
                <w:bCs/>
                <w:spacing w:val="-5"/>
              </w:rPr>
              <w:t>违法后果</w:t>
            </w:r>
          </w:p>
        </w:tc>
        <w:tc>
          <w:tcPr>
            <w:tcW w:w="7140" w:type="dxa"/>
            <w:vAlign w:val="top"/>
          </w:tcPr>
          <w:p>
            <w:pPr>
              <w:pStyle w:val="TableText"/>
              <w:ind w:left="3049"/>
              <w:spacing w:before="79" w:line="218" w:lineRule="auto"/>
              <w:rPr>
                <w:sz w:val="26"/>
                <w:szCs w:val="26"/>
              </w:rPr>
            </w:pPr>
            <w:r>
              <w:rPr>
                <w:sz w:val="26"/>
                <w:szCs w:val="26"/>
                <w:b/>
                <w:bCs/>
                <w:spacing w:val="-5"/>
              </w:rPr>
              <w:t>裁量幅度</w:t>
            </w:r>
          </w:p>
        </w:tc>
      </w:tr>
      <w:tr>
        <w:trPr>
          <w:trHeight w:val="888" w:hRule="atLeast"/>
        </w:trPr>
        <w:tc>
          <w:tcPr>
            <w:tcW w:w="1433" w:type="dxa"/>
            <w:vAlign w:val="top"/>
          </w:tcPr>
          <w:p>
            <w:pPr>
              <w:pStyle w:val="TableText"/>
              <w:ind w:left="448"/>
              <w:spacing w:before="322" w:line="221" w:lineRule="auto"/>
              <w:rPr>
                <w:sz w:val="26"/>
                <w:szCs w:val="26"/>
              </w:rPr>
            </w:pPr>
            <w:r>
              <w:rPr>
                <w:sz w:val="26"/>
                <w:szCs w:val="26"/>
                <w:b/>
                <w:bCs/>
                <w:spacing w:val="-10"/>
              </w:rPr>
              <w:t>一般</w:t>
            </w:r>
          </w:p>
        </w:tc>
        <w:tc>
          <w:tcPr>
            <w:tcW w:w="5586" w:type="dxa"/>
            <w:vAlign w:val="top"/>
          </w:tcPr>
          <w:p>
            <w:pPr>
              <w:pStyle w:val="TableText"/>
              <w:ind w:left="104" w:hanging="49"/>
              <w:spacing w:before="140" w:line="262" w:lineRule="auto"/>
              <w:rPr>
                <w:sz w:val="26"/>
                <w:szCs w:val="26"/>
              </w:rPr>
            </w:pPr>
            <w:r>
              <w:rPr>
                <w:sz w:val="26"/>
                <w:szCs w:val="26"/>
                <w:b/>
                <w:bCs/>
              </w:rPr>
              <w:t>急救中心(站)因指挥调度或者费用等因素拒绝、</w:t>
            </w:r>
            <w:r>
              <w:rPr>
                <w:sz w:val="26"/>
                <w:szCs w:val="26"/>
              </w:rPr>
              <w:t xml:space="preserve"> </w:t>
            </w:r>
            <w:r>
              <w:rPr>
                <w:sz w:val="26"/>
                <w:szCs w:val="26"/>
                <w:b/>
                <w:bCs/>
                <w:spacing w:val="-5"/>
              </w:rPr>
              <w:t>推诿或者延误院前医疗急救服务的</w:t>
            </w:r>
          </w:p>
        </w:tc>
        <w:tc>
          <w:tcPr>
            <w:tcW w:w="7140" w:type="dxa"/>
            <w:vAlign w:val="top"/>
          </w:tcPr>
          <w:p>
            <w:pPr>
              <w:pStyle w:val="TableText"/>
              <w:spacing w:before="318" w:line="218" w:lineRule="auto"/>
              <w:jc w:val="right"/>
              <w:rPr>
                <w:sz w:val="26"/>
                <w:szCs w:val="26"/>
              </w:rPr>
            </w:pPr>
            <w:r>
              <w:rPr>
                <w:sz w:val="26"/>
                <w:szCs w:val="26"/>
                <w:b/>
                <w:bCs/>
                <w:spacing w:val="-18"/>
              </w:rPr>
              <w:t>由县级以上地方卫生计生行政部门责令改正、通报批评、给予警告</w:t>
            </w:r>
          </w:p>
        </w:tc>
      </w:tr>
    </w:tbl>
    <w:p>
      <w:pPr>
        <w:pStyle w:val="BodyText"/>
        <w:rPr/>
      </w:pPr>
      <w:r/>
    </w:p>
    <w:p>
      <w:pPr>
        <w:sectPr>
          <w:footerReference w:type="default" r:id="rId301"/>
          <w:pgSz w:w="16830" w:h="11900"/>
          <w:pgMar w:top="1011" w:right="1335" w:bottom="1117" w:left="1305" w:header="0" w:footer="784" w:gutter="0"/>
        </w:sectPr>
        <w:rPr/>
      </w:pPr>
    </w:p>
    <w:p>
      <w:pPr>
        <w:pStyle w:val="BodyText"/>
        <w:spacing w:line="249" w:lineRule="auto"/>
        <w:rPr/>
      </w:pPr>
      <w:r/>
    </w:p>
    <w:p>
      <w:pPr>
        <w:pStyle w:val="BodyText"/>
        <w:spacing w:line="249" w:lineRule="auto"/>
        <w:rPr/>
      </w:pPr>
      <w:r/>
    </w:p>
    <w:p>
      <w:pPr>
        <w:pStyle w:val="BodyText"/>
        <w:spacing w:line="250" w:lineRule="auto"/>
        <w:rPr/>
      </w:pPr>
      <w:r/>
    </w:p>
    <w:p>
      <w:pPr>
        <w:ind w:left="769"/>
        <w:spacing w:before="98" w:line="220" w:lineRule="auto"/>
        <w:rPr>
          <w:rFonts w:ascii="FangSong" w:hAnsi="FangSong" w:eastAsia="FangSong" w:cs="FangSong"/>
          <w:sz w:val="30"/>
          <w:szCs w:val="30"/>
        </w:rPr>
      </w:pPr>
      <w:bookmarkStart w:name="bookmark955" w:id="324"/>
      <w:bookmarkEnd w:id="324"/>
      <w:r>
        <w:rPr>
          <w:rFonts w:ascii="FangSong" w:hAnsi="FangSong" w:eastAsia="FangSong" w:cs="FangSong"/>
          <w:sz w:val="30"/>
          <w:szCs w:val="30"/>
          <w:b/>
          <w:bCs/>
          <w:spacing w:val="22"/>
        </w:rPr>
        <w:t>第二百四十二条违反《院前医疗急救管理办法》其他规定的</w:t>
      </w:r>
    </w:p>
    <w:p>
      <w:pPr>
        <w:ind w:left="764"/>
        <w:spacing w:before="90" w:line="222" w:lineRule="auto"/>
        <w:rPr>
          <w:rFonts w:ascii="FangSong" w:hAnsi="FangSong" w:eastAsia="FangSong" w:cs="FangSong"/>
          <w:sz w:val="30"/>
          <w:szCs w:val="30"/>
        </w:rPr>
      </w:pPr>
      <w:r>
        <w:rPr>
          <w:rFonts w:ascii="FangSong" w:hAnsi="FangSong" w:eastAsia="FangSong" w:cs="FangSong"/>
          <w:sz w:val="30"/>
          <w:szCs w:val="30"/>
          <w:spacing w:val="30"/>
        </w:rPr>
        <w:t>法律依据：</w:t>
      </w:r>
    </w:p>
    <w:p>
      <w:pPr>
        <w:ind w:left="124" w:right="85" w:firstLine="609"/>
        <w:spacing w:before="96" w:line="269" w:lineRule="auto"/>
        <w:jc w:val="both"/>
        <w:rPr>
          <w:rFonts w:ascii="FangSong" w:hAnsi="FangSong" w:eastAsia="FangSong" w:cs="FangSong"/>
          <w:sz w:val="30"/>
          <w:szCs w:val="30"/>
        </w:rPr>
      </w:pPr>
      <w:r>
        <w:rPr>
          <w:rFonts w:ascii="FangSong" w:hAnsi="FangSong" w:eastAsia="FangSong" w:cs="FangSong"/>
          <w:sz w:val="30"/>
          <w:szCs w:val="30"/>
          <w:spacing w:val="14"/>
        </w:rPr>
        <w:t>《院前医疗急救管理办法》第三十七条</w:t>
      </w:r>
      <w:r>
        <w:rPr>
          <w:rFonts w:ascii="FangSong" w:hAnsi="FangSong" w:eastAsia="FangSong" w:cs="FangSong"/>
          <w:sz w:val="30"/>
          <w:szCs w:val="30"/>
          <w:spacing w:val="64"/>
        </w:rPr>
        <w:t xml:space="preserve">  </w:t>
      </w:r>
      <w:r>
        <w:rPr>
          <w:rFonts w:ascii="FangSong" w:hAnsi="FangSong" w:eastAsia="FangSong" w:cs="FangSong"/>
          <w:sz w:val="30"/>
          <w:szCs w:val="30"/>
          <w:spacing w:val="14"/>
        </w:rPr>
        <w:t>医疗机构有下列情形之一的，由县级以上地方卫生计生</w:t>
      </w:r>
      <w:r>
        <w:rPr>
          <w:rFonts w:ascii="FangSong" w:hAnsi="FangSong" w:eastAsia="FangSong" w:cs="FangSong"/>
          <w:sz w:val="30"/>
          <w:szCs w:val="30"/>
          <w:spacing w:val="1"/>
        </w:rPr>
        <w:t xml:space="preserve"> </w:t>
      </w:r>
      <w:r>
        <w:rPr>
          <w:rFonts w:ascii="FangSong" w:hAnsi="FangSong" w:eastAsia="FangSong" w:cs="FangSong"/>
          <w:sz w:val="30"/>
          <w:szCs w:val="30"/>
          <w:spacing w:val="17"/>
        </w:rPr>
        <w:t>行政部门责令改正、通报批评、给予警告；对直接负责的主管人员和其他直接责任人员，根据情节轻</w:t>
      </w:r>
      <w:r>
        <w:rPr>
          <w:rFonts w:ascii="FangSong" w:hAnsi="FangSong" w:eastAsia="FangSong" w:cs="FangSong"/>
          <w:sz w:val="30"/>
          <w:szCs w:val="30"/>
          <w:spacing w:val="10"/>
        </w:rPr>
        <w:t xml:space="preserve"> </w:t>
      </w:r>
      <w:r>
        <w:rPr>
          <w:rFonts w:ascii="FangSong" w:hAnsi="FangSong" w:eastAsia="FangSong" w:cs="FangSong"/>
          <w:sz w:val="30"/>
          <w:szCs w:val="30"/>
          <w:spacing w:val="16"/>
        </w:rPr>
        <w:t>重，依法给予警告、记过、降低岗位等级、撤职、开除等处分：</w:t>
      </w:r>
    </w:p>
    <w:p>
      <w:pPr>
        <w:ind w:left="884"/>
        <w:spacing w:line="221" w:lineRule="auto"/>
        <w:rPr>
          <w:rFonts w:ascii="FangSong" w:hAnsi="FangSong" w:eastAsia="FangSong" w:cs="FangSong"/>
          <w:sz w:val="30"/>
          <w:szCs w:val="30"/>
        </w:rPr>
      </w:pPr>
      <w:r>
        <w:rPr>
          <w:rFonts w:ascii="FangSong" w:hAnsi="FangSong" w:eastAsia="FangSong" w:cs="FangSong"/>
          <w:sz w:val="30"/>
          <w:szCs w:val="30"/>
          <w:spacing w:val="26"/>
        </w:rPr>
        <w:t>(四)违反本办法其他规定的。</w:t>
      </w:r>
    </w:p>
    <w:p>
      <w:pPr>
        <w:ind w:left="6528"/>
        <w:spacing w:before="89"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40" w:lineRule="auto"/>
        <w:rPr>
          <w:rFonts w:ascii="Arial"/>
          <w:sz w:val="2"/>
        </w:rPr>
      </w:pPr>
      <w:r>
        <w:rPr>
          <w:rFonts w:ascii="Arial"/>
          <w:sz w:val="2"/>
        </w:rPr>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5596"/>
        <w:gridCol w:w="7139"/>
      </w:tblGrid>
      <w:tr>
        <w:trPr>
          <w:trHeight w:val="421" w:hRule="atLeast"/>
        </w:trPr>
        <w:tc>
          <w:tcPr>
            <w:tcW w:w="1424" w:type="dxa"/>
            <w:vAlign w:val="top"/>
          </w:tcPr>
          <w:p>
            <w:pPr>
              <w:pStyle w:val="TableText"/>
              <w:ind w:left="188"/>
              <w:spacing w:before="82" w:line="220" w:lineRule="auto"/>
              <w:rPr>
                <w:sz w:val="26"/>
                <w:szCs w:val="26"/>
              </w:rPr>
            </w:pPr>
            <w:r>
              <w:rPr>
                <w:sz w:val="26"/>
                <w:szCs w:val="26"/>
                <w:b/>
                <w:bCs/>
                <w:spacing w:val="-5"/>
              </w:rPr>
              <w:t>违法程度</w:t>
            </w:r>
          </w:p>
        </w:tc>
        <w:tc>
          <w:tcPr>
            <w:tcW w:w="5596" w:type="dxa"/>
            <w:vAlign w:val="top"/>
          </w:tcPr>
          <w:p>
            <w:pPr>
              <w:pStyle w:val="TableText"/>
              <w:ind w:left="2234"/>
              <w:spacing w:before="82" w:line="220" w:lineRule="auto"/>
              <w:rPr>
                <w:sz w:val="26"/>
                <w:szCs w:val="26"/>
              </w:rPr>
            </w:pPr>
            <w:r>
              <w:rPr>
                <w:sz w:val="26"/>
                <w:szCs w:val="26"/>
                <w:b/>
                <w:bCs/>
                <w:spacing w:val="-5"/>
              </w:rPr>
              <w:t>违法后果</w:t>
            </w:r>
          </w:p>
        </w:tc>
        <w:tc>
          <w:tcPr>
            <w:tcW w:w="7139" w:type="dxa"/>
            <w:vAlign w:val="top"/>
          </w:tcPr>
          <w:p>
            <w:pPr>
              <w:pStyle w:val="TableText"/>
              <w:ind w:left="3048"/>
              <w:spacing w:before="79" w:line="218" w:lineRule="auto"/>
              <w:rPr>
                <w:sz w:val="26"/>
                <w:szCs w:val="26"/>
              </w:rPr>
            </w:pPr>
            <w:r>
              <w:rPr>
                <w:sz w:val="26"/>
                <w:szCs w:val="26"/>
                <w:b/>
                <w:bCs/>
                <w:spacing w:val="-5"/>
              </w:rPr>
              <w:t>裁量幅度</w:t>
            </w:r>
          </w:p>
        </w:tc>
      </w:tr>
      <w:tr>
        <w:trPr>
          <w:trHeight w:val="529" w:hRule="atLeast"/>
        </w:trPr>
        <w:tc>
          <w:tcPr>
            <w:tcW w:w="1424" w:type="dxa"/>
            <w:vAlign w:val="top"/>
          </w:tcPr>
          <w:p>
            <w:pPr>
              <w:pStyle w:val="TableText"/>
              <w:ind w:left="448"/>
              <w:spacing w:before="192" w:line="221" w:lineRule="auto"/>
              <w:rPr>
                <w:sz w:val="26"/>
                <w:szCs w:val="26"/>
              </w:rPr>
            </w:pPr>
            <w:r>
              <w:rPr>
                <w:sz w:val="26"/>
                <w:szCs w:val="26"/>
                <w:b/>
                <w:bCs/>
                <w:spacing w:val="-10"/>
              </w:rPr>
              <w:t>一般</w:t>
            </w:r>
          </w:p>
        </w:tc>
        <w:tc>
          <w:tcPr>
            <w:tcW w:w="5596" w:type="dxa"/>
            <w:vAlign w:val="top"/>
          </w:tcPr>
          <w:p>
            <w:pPr>
              <w:pStyle w:val="TableText"/>
              <w:ind w:left="114"/>
              <w:spacing w:before="209" w:line="219" w:lineRule="auto"/>
              <w:rPr>
                <w:sz w:val="26"/>
                <w:szCs w:val="26"/>
              </w:rPr>
            </w:pPr>
            <w:r>
              <w:rPr>
                <w:sz w:val="26"/>
                <w:szCs w:val="26"/>
                <w:b/>
                <w:bCs/>
                <w:spacing w:val="-2"/>
              </w:rPr>
              <w:t>违反本办法其他规定的</w:t>
            </w:r>
          </w:p>
        </w:tc>
        <w:tc>
          <w:tcPr>
            <w:tcW w:w="7139" w:type="dxa"/>
            <w:vAlign w:val="top"/>
          </w:tcPr>
          <w:p>
            <w:pPr>
              <w:pStyle w:val="TableText"/>
              <w:spacing w:before="208" w:line="218" w:lineRule="auto"/>
              <w:jc w:val="right"/>
              <w:rPr>
                <w:sz w:val="26"/>
                <w:szCs w:val="26"/>
              </w:rPr>
            </w:pPr>
            <w:r>
              <w:rPr>
                <w:sz w:val="26"/>
                <w:szCs w:val="26"/>
                <w:b/>
                <w:bCs/>
                <w:spacing w:val="-18"/>
              </w:rPr>
              <w:t>由县级以上地方卫生计生行政部门责令改正、通报批评、给予警告</w:t>
            </w:r>
          </w:p>
        </w:tc>
      </w:tr>
    </w:tbl>
    <w:p>
      <w:pPr>
        <w:pStyle w:val="BodyText"/>
        <w:spacing w:line="438" w:lineRule="auto"/>
        <w:rPr/>
      </w:pPr>
      <w:r/>
    </w:p>
    <w:p>
      <w:pPr>
        <w:ind w:left="889"/>
        <w:spacing w:before="98" w:line="224" w:lineRule="auto"/>
        <w:rPr>
          <w:rFonts w:ascii="KaiTi" w:hAnsi="KaiTi" w:eastAsia="KaiTi" w:cs="KaiTi"/>
          <w:sz w:val="30"/>
          <w:szCs w:val="30"/>
        </w:rPr>
      </w:pPr>
      <w:r>
        <w:rPr>
          <w:rFonts w:ascii="KaiTi" w:hAnsi="KaiTi" w:eastAsia="KaiTi" w:cs="KaiTi"/>
          <w:sz w:val="30"/>
          <w:szCs w:val="30"/>
          <w:b/>
          <w:bCs/>
          <w:spacing w:val="28"/>
        </w:rPr>
        <w:t>(十五)《中华人民共和国广告法》</w:t>
      </w:r>
    </w:p>
    <w:p>
      <w:pPr>
        <w:pStyle w:val="BodyText"/>
        <w:spacing w:line="245" w:lineRule="auto"/>
        <w:rPr/>
      </w:pPr>
      <w:r/>
    </w:p>
    <w:p>
      <w:pPr>
        <w:ind w:left="769"/>
        <w:spacing w:before="98" w:line="220" w:lineRule="auto"/>
        <w:rPr>
          <w:rFonts w:ascii="FangSong" w:hAnsi="FangSong" w:eastAsia="FangSong" w:cs="FangSong"/>
          <w:sz w:val="30"/>
          <w:szCs w:val="30"/>
        </w:rPr>
      </w:pPr>
      <w:r>
        <w:rPr>
          <w:rFonts w:ascii="FangSong" w:hAnsi="FangSong" w:eastAsia="FangSong" w:cs="FangSong"/>
          <w:sz w:val="30"/>
          <w:szCs w:val="30"/>
          <w:b/>
          <w:bCs/>
          <w:spacing w:val="24"/>
        </w:rPr>
        <w:t>第二百四十三条医疗机构发布虚假医疗广告的</w:t>
      </w:r>
    </w:p>
    <w:p>
      <w:pPr>
        <w:ind w:left="764"/>
        <w:spacing w:before="110" w:line="222" w:lineRule="auto"/>
        <w:rPr>
          <w:rFonts w:ascii="FangSong" w:hAnsi="FangSong" w:eastAsia="FangSong" w:cs="FangSong"/>
          <w:sz w:val="30"/>
          <w:szCs w:val="30"/>
        </w:rPr>
      </w:pPr>
      <w:r>
        <w:rPr>
          <w:rFonts w:ascii="FangSong" w:hAnsi="FangSong" w:eastAsia="FangSong" w:cs="FangSong"/>
          <w:sz w:val="30"/>
          <w:szCs w:val="30"/>
        </w:rPr>
        <w:t>法律依据：</w:t>
      </w:r>
    </w:p>
    <w:p>
      <w:pPr>
        <w:ind w:left="124" w:right="90" w:firstLine="609"/>
        <w:spacing w:before="43" w:line="271" w:lineRule="auto"/>
        <w:jc w:val="both"/>
        <w:rPr>
          <w:rFonts w:ascii="FangSong" w:hAnsi="FangSong" w:eastAsia="FangSong" w:cs="FangSong"/>
          <w:sz w:val="30"/>
          <w:szCs w:val="30"/>
        </w:rPr>
      </w:pPr>
      <w:r>
        <w:rPr>
          <w:rFonts w:ascii="FangSong" w:hAnsi="FangSong" w:eastAsia="FangSong" w:cs="FangSong"/>
          <w:sz w:val="30"/>
          <w:szCs w:val="30"/>
          <w:spacing w:val="16"/>
        </w:rPr>
        <w:t>《中华人民共和国广告法》第五十五条第一款、第二款</w:t>
      </w:r>
      <w:r>
        <w:rPr>
          <w:rFonts w:ascii="FangSong" w:hAnsi="FangSong" w:eastAsia="FangSong" w:cs="FangSong"/>
          <w:sz w:val="30"/>
          <w:szCs w:val="30"/>
          <w:spacing w:val="16"/>
        </w:rPr>
        <w:t xml:space="preserve">  </w:t>
      </w:r>
      <w:r>
        <w:rPr>
          <w:rFonts w:ascii="FangSong" w:hAnsi="FangSong" w:eastAsia="FangSong" w:cs="FangSong"/>
          <w:sz w:val="30"/>
          <w:szCs w:val="30"/>
          <w:spacing w:val="16"/>
        </w:rPr>
        <w:t>违反本法规定，发布虚假广告的，由市</w:t>
      </w:r>
      <w:r>
        <w:rPr>
          <w:rFonts w:ascii="FangSong" w:hAnsi="FangSong" w:eastAsia="FangSong" w:cs="FangSong"/>
          <w:sz w:val="30"/>
          <w:szCs w:val="30"/>
          <w:spacing w:val="11"/>
        </w:rPr>
        <w:t xml:space="preserve"> </w:t>
      </w:r>
      <w:r>
        <w:rPr>
          <w:rFonts w:ascii="FangSong" w:hAnsi="FangSong" w:eastAsia="FangSong" w:cs="FangSong"/>
          <w:sz w:val="30"/>
          <w:szCs w:val="30"/>
          <w:spacing w:val="17"/>
        </w:rPr>
        <w:t>场监督管理部门责令停止发布广告，责令广告主在相应范围内消除影响，处广告费用三倍以上五倍以</w:t>
      </w:r>
      <w:r>
        <w:rPr>
          <w:rFonts w:ascii="FangSong" w:hAnsi="FangSong" w:eastAsia="FangSong" w:cs="FangSong"/>
          <w:sz w:val="30"/>
          <w:szCs w:val="30"/>
          <w:spacing w:val="5"/>
        </w:rPr>
        <w:t xml:space="preserve"> </w:t>
      </w:r>
      <w:r>
        <w:rPr>
          <w:rFonts w:ascii="FangSong" w:hAnsi="FangSong" w:eastAsia="FangSong" w:cs="FangSong"/>
          <w:sz w:val="30"/>
          <w:szCs w:val="30"/>
          <w:spacing w:val="17"/>
        </w:rPr>
        <w:t>下的罚款，广告费用无法计算或者明显偏低的，处二十万元以上一百万元以下</w:t>
      </w:r>
      <w:r>
        <w:rPr>
          <w:rFonts w:ascii="FangSong" w:hAnsi="FangSong" w:eastAsia="FangSong" w:cs="FangSong"/>
          <w:sz w:val="30"/>
          <w:szCs w:val="30"/>
          <w:spacing w:val="16"/>
        </w:rPr>
        <w:t>的罚款；两年内有三次</w:t>
      </w:r>
      <w:r>
        <w:rPr>
          <w:rFonts w:ascii="FangSong" w:hAnsi="FangSong" w:eastAsia="FangSong" w:cs="FangSong"/>
          <w:sz w:val="30"/>
          <w:szCs w:val="30"/>
        </w:rPr>
        <w:t xml:space="preserve"> </w:t>
      </w:r>
      <w:r>
        <w:rPr>
          <w:rFonts w:ascii="FangSong" w:hAnsi="FangSong" w:eastAsia="FangSong" w:cs="FangSong"/>
          <w:sz w:val="30"/>
          <w:szCs w:val="30"/>
          <w:spacing w:val="16"/>
        </w:rPr>
        <w:t>以上违法行为或者有其他严重情节的，处广告费用五倍以上十倍以下的罚款，广告费用无法计算或者</w:t>
      </w:r>
      <w:r>
        <w:rPr>
          <w:rFonts w:ascii="FangSong" w:hAnsi="FangSong" w:eastAsia="FangSong" w:cs="FangSong"/>
          <w:sz w:val="30"/>
          <w:szCs w:val="30"/>
          <w:spacing w:val="8"/>
        </w:rPr>
        <w:t xml:space="preserve"> </w:t>
      </w:r>
      <w:r>
        <w:rPr>
          <w:rFonts w:ascii="FangSong" w:hAnsi="FangSong" w:eastAsia="FangSong" w:cs="FangSong"/>
          <w:sz w:val="30"/>
          <w:szCs w:val="30"/>
          <w:spacing w:val="16"/>
        </w:rPr>
        <w:t>明显偏低的，处一百万元以上二百万元以下的罚款，可以吊销营业执照，并由广告审查机关撤销广告</w:t>
      </w:r>
    </w:p>
    <w:p>
      <w:pPr>
        <w:spacing w:line="271" w:lineRule="auto"/>
        <w:sectPr>
          <w:footerReference w:type="default" r:id="rId302"/>
          <w:pgSz w:w="16830" w:h="11900"/>
          <w:pgMar w:top="1011" w:right="1335" w:bottom="1118" w:left="1325" w:header="0" w:footer="785" w:gutter="0"/>
        </w:sectPr>
        <w:rPr>
          <w:rFonts w:ascii="FangSong" w:hAnsi="FangSong" w:eastAsia="FangSong" w:cs="FangSong"/>
          <w:sz w:val="30"/>
          <w:szCs w:val="30"/>
        </w:rPr>
      </w:pPr>
    </w:p>
    <w:p>
      <w:pPr>
        <w:pStyle w:val="BodyText"/>
        <w:spacing w:line="261" w:lineRule="auto"/>
        <w:rPr/>
      </w:pPr>
      <w:r/>
    </w:p>
    <w:p>
      <w:pPr>
        <w:pStyle w:val="BodyText"/>
        <w:spacing w:line="261" w:lineRule="auto"/>
        <w:rPr/>
      </w:pPr>
      <w:r/>
    </w:p>
    <w:p>
      <w:pPr>
        <w:pStyle w:val="BodyText"/>
        <w:spacing w:line="261" w:lineRule="auto"/>
        <w:rPr/>
      </w:pPr>
      <w:r/>
    </w:p>
    <w:p>
      <w:pPr>
        <w:ind w:left="25" w:right="130"/>
        <w:spacing w:before="98" w:line="268" w:lineRule="auto"/>
        <w:rPr>
          <w:rFonts w:ascii="FangSong" w:hAnsi="FangSong" w:eastAsia="FangSong" w:cs="FangSong"/>
          <w:sz w:val="30"/>
          <w:szCs w:val="30"/>
        </w:rPr>
      </w:pPr>
      <w:bookmarkStart w:name="bookmark956" w:id="325"/>
      <w:bookmarkEnd w:id="325"/>
      <w:r>
        <w:rPr>
          <w:rFonts w:ascii="FangSong" w:hAnsi="FangSong" w:eastAsia="FangSong" w:cs="FangSong"/>
          <w:sz w:val="30"/>
          <w:szCs w:val="30"/>
          <w:spacing w:val="14"/>
        </w:rPr>
        <w:t>审查批准文件、</w:t>
      </w:r>
      <w:r>
        <w:rPr>
          <w:rFonts w:ascii="FangSong" w:hAnsi="FangSong" w:eastAsia="FangSong" w:cs="FangSong"/>
          <w:sz w:val="30"/>
          <w:szCs w:val="30"/>
          <w:spacing w:val="-44"/>
        </w:rPr>
        <w:t xml:space="preserve"> </w:t>
      </w:r>
      <w:r>
        <w:rPr>
          <w:rFonts w:ascii="FangSong" w:hAnsi="FangSong" w:eastAsia="FangSong" w:cs="FangSong"/>
          <w:sz w:val="30"/>
          <w:szCs w:val="30"/>
          <w:spacing w:val="14"/>
        </w:rPr>
        <w:t>一年内不受理其广告审查申请。医疗机构有前款规定违法行为，情节严重的，</w:t>
      </w:r>
      <w:r>
        <w:rPr>
          <w:rFonts w:ascii="FangSong" w:hAnsi="FangSong" w:eastAsia="FangSong" w:cs="FangSong"/>
          <w:sz w:val="30"/>
          <w:szCs w:val="30"/>
          <w:spacing w:val="13"/>
        </w:rPr>
        <w:t>除由市</w:t>
      </w:r>
      <w:r>
        <w:rPr>
          <w:rFonts w:ascii="FangSong" w:hAnsi="FangSong" w:eastAsia="FangSong" w:cs="FangSong"/>
          <w:sz w:val="30"/>
          <w:szCs w:val="30"/>
        </w:rPr>
        <w:t xml:space="preserve"> </w:t>
      </w:r>
      <w:r>
        <w:rPr>
          <w:rFonts w:ascii="FangSong" w:hAnsi="FangSong" w:eastAsia="FangSong" w:cs="FangSong"/>
          <w:sz w:val="30"/>
          <w:szCs w:val="30"/>
          <w:spacing w:val="18"/>
        </w:rPr>
        <w:t>场监督管理部依照本法处罚外，卫生行政部门可以吊销诊疗科目或者吊销医疗机构执业许可证。</w:t>
      </w:r>
    </w:p>
    <w:p>
      <w:pPr>
        <w:ind w:left="6419"/>
        <w:spacing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02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54"/>
        <w:gridCol w:w="7514"/>
        <w:gridCol w:w="4961"/>
      </w:tblGrid>
      <w:tr>
        <w:trPr>
          <w:trHeight w:val="551" w:hRule="atLeast"/>
        </w:trPr>
        <w:tc>
          <w:tcPr>
            <w:tcW w:w="1554" w:type="dxa"/>
            <w:vAlign w:val="top"/>
          </w:tcPr>
          <w:p>
            <w:pPr>
              <w:pStyle w:val="TableText"/>
              <w:ind w:left="248"/>
              <w:spacing w:before="152" w:line="220" w:lineRule="auto"/>
              <w:rPr>
                <w:sz w:val="26"/>
                <w:szCs w:val="26"/>
              </w:rPr>
            </w:pPr>
            <w:r>
              <w:rPr>
                <w:sz w:val="26"/>
                <w:szCs w:val="26"/>
                <w:b/>
                <w:bCs/>
                <w:spacing w:val="-5"/>
              </w:rPr>
              <w:t>违法程度</w:t>
            </w:r>
          </w:p>
        </w:tc>
        <w:tc>
          <w:tcPr>
            <w:tcW w:w="7514" w:type="dxa"/>
            <w:vAlign w:val="top"/>
          </w:tcPr>
          <w:p>
            <w:pPr>
              <w:pStyle w:val="TableText"/>
              <w:ind w:left="3184"/>
              <w:spacing w:before="152" w:line="220" w:lineRule="auto"/>
              <w:rPr>
                <w:sz w:val="26"/>
                <w:szCs w:val="26"/>
              </w:rPr>
            </w:pPr>
            <w:r>
              <w:rPr>
                <w:sz w:val="26"/>
                <w:szCs w:val="26"/>
                <w:b/>
                <w:bCs/>
                <w:spacing w:val="-5"/>
              </w:rPr>
              <w:t>情节后果</w:t>
            </w:r>
          </w:p>
        </w:tc>
        <w:tc>
          <w:tcPr>
            <w:tcW w:w="4961" w:type="dxa"/>
            <w:vAlign w:val="top"/>
          </w:tcPr>
          <w:p>
            <w:pPr>
              <w:pStyle w:val="TableText"/>
              <w:ind w:left="1920"/>
              <w:spacing w:before="149" w:line="218" w:lineRule="auto"/>
              <w:rPr>
                <w:sz w:val="26"/>
                <w:szCs w:val="26"/>
              </w:rPr>
            </w:pPr>
            <w:r>
              <w:rPr>
                <w:sz w:val="26"/>
                <w:szCs w:val="26"/>
                <w:b/>
                <w:bCs/>
                <w:spacing w:val="-5"/>
              </w:rPr>
              <w:t>裁量幅度</w:t>
            </w:r>
          </w:p>
        </w:tc>
      </w:tr>
      <w:tr>
        <w:trPr>
          <w:trHeight w:val="928" w:hRule="atLeast"/>
        </w:trPr>
        <w:tc>
          <w:tcPr>
            <w:tcW w:w="1554" w:type="dxa"/>
            <w:vAlign w:val="top"/>
          </w:tcPr>
          <w:p>
            <w:pPr>
              <w:spacing w:line="255" w:lineRule="auto"/>
              <w:rPr>
                <w:rFonts w:ascii="Arial"/>
                <w:sz w:val="21"/>
              </w:rPr>
            </w:pPr>
            <w:r/>
          </w:p>
          <w:p>
            <w:pPr>
              <w:pStyle w:val="TableText"/>
              <w:ind w:left="508"/>
              <w:spacing w:before="85" w:line="220" w:lineRule="auto"/>
              <w:rPr>
                <w:sz w:val="26"/>
                <w:szCs w:val="26"/>
              </w:rPr>
            </w:pPr>
            <w:r>
              <w:rPr>
                <w:sz w:val="26"/>
                <w:szCs w:val="26"/>
                <w:b/>
                <w:bCs/>
                <w:spacing w:val="-6"/>
              </w:rPr>
              <w:t>严重</w:t>
            </w:r>
          </w:p>
        </w:tc>
        <w:tc>
          <w:tcPr>
            <w:tcW w:w="7514" w:type="dxa"/>
            <w:vAlign w:val="top"/>
          </w:tcPr>
          <w:p>
            <w:pPr>
              <w:spacing w:line="332" w:lineRule="auto"/>
              <w:rPr>
                <w:rFonts w:ascii="Arial"/>
                <w:sz w:val="21"/>
              </w:rPr>
            </w:pPr>
            <w:r/>
          </w:p>
          <w:p>
            <w:pPr>
              <w:pStyle w:val="TableText"/>
              <w:ind w:left="144"/>
              <w:spacing w:before="84" w:line="218" w:lineRule="auto"/>
              <w:rPr>
                <w:sz w:val="26"/>
                <w:szCs w:val="26"/>
              </w:rPr>
            </w:pPr>
            <w:r>
              <w:rPr>
                <w:sz w:val="26"/>
                <w:szCs w:val="26"/>
                <w:b/>
                <w:bCs/>
                <w:spacing w:val="-2"/>
              </w:rPr>
              <w:t>医疗机构发布虚假医疗广告，市场监督管理</w:t>
            </w:r>
            <w:r>
              <w:rPr>
                <w:sz w:val="26"/>
                <w:szCs w:val="26"/>
                <w:b/>
                <w:bCs/>
                <w:spacing w:val="-3"/>
              </w:rPr>
              <w:t>部门认定情节严重的</w:t>
            </w:r>
          </w:p>
        </w:tc>
        <w:tc>
          <w:tcPr>
            <w:tcW w:w="4961" w:type="dxa"/>
            <w:vAlign w:val="top"/>
          </w:tcPr>
          <w:p>
            <w:pPr>
              <w:spacing w:line="332" w:lineRule="auto"/>
              <w:rPr>
                <w:rFonts w:ascii="Arial"/>
                <w:sz w:val="21"/>
              </w:rPr>
            </w:pPr>
            <w:r/>
          </w:p>
          <w:p>
            <w:pPr>
              <w:pStyle w:val="TableText"/>
              <w:ind w:left="150"/>
              <w:spacing w:before="85" w:line="219" w:lineRule="auto"/>
              <w:rPr>
                <w:sz w:val="26"/>
                <w:szCs w:val="26"/>
              </w:rPr>
            </w:pPr>
            <w:r>
              <w:rPr>
                <w:sz w:val="26"/>
                <w:szCs w:val="26"/>
                <w:b/>
                <w:bCs/>
                <w:spacing w:val="-3"/>
              </w:rPr>
              <w:t>吊销诊疗科目或者医疗机构执业许可证</w:t>
            </w:r>
          </w:p>
        </w:tc>
      </w:tr>
    </w:tbl>
    <w:p>
      <w:pPr>
        <w:pStyle w:val="BodyText"/>
        <w:spacing w:line="457" w:lineRule="auto"/>
        <w:rPr/>
      </w:pPr>
      <w:r/>
    </w:p>
    <w:p>
      <w:pPr>
        <w:ind w:left="654" w:right="755" w:firstLine="4"/>
        <w:spacing w:before="97" w:line="258" w:lineRule="auto"/>
        <w:rPr>
          <w:rFonts w:ascii="FangSong" w:hAnsi="FangSong" w:eastAsia="FangSong" w:cs="FangSong"/>
          <w:sz w:val="30"/>
          <w:szCs w:val="30"/>
        </w:rPr>
      </w:pPr>
      <w:r>
        <w:rPr>
          <w:rFonts w:ascii="FangSong" w:hAnsi="FangSong" w:eastAsia="FangSong" w:cs="FangSong"/>
          <w:sz w:val="30"/>
          <w:szCs w:val="30"/>
          <w:b/>
          <w:bCs/>
          <w:spacing w:val="21"/>
        </w:rPr>
        <w:t>第二百四十四条医疗机构发布违反《中华人民共和国广告法》第十六条规定的医疗广告的</w:t>
      </w:r>
      <w:r>
        <w:rPr>
          <w:rFonts w:ascii="FangSong" w:hAnsi="FangSong" w:eastAsia="FangSong" w:cs="FangSong"/>
          <w:sz w:val="30"/>
          <w:szCs w:val="30"/>
          <w:spacing w:val="17"/>
        </w:rPr>
        <w:t xml:space="preserve"> </w:t>
      </w:r>
      <w:r>
        <w:rPr>
          <w:rFonts w:ascii="FangSong" w:hAnsi="FangSong" w:eastAsia="FangSong" w:cs="FangSong"/>
          <w:sz w:val="30"/>
          <w:szCs w:val="30"/>
          <w:spacing w:val="2"/>
        </w:rPr>
        <w:t>法律依据：</w:t>
      </w:r>
    </w:p>
    <w:p>
      <w:pPr>
        <w:ind w:left="25" w:firstLine="629"/>
        <w:spacing w:before="69" w:line="264" w:lineRule="auto"/>
        <w:jc w:val="both"/>
        <w:rPr>
          <w:rFonts w:ascii="FangSong" w:hAnsi="FangSong" w:eastAsia="FangSong" w:cs="FangSong"/>
          <w:sz w:val="30"/>
          <w:szCs w:val="30"/>
        </w:rPr>
      </w:pPr>
      <w:r>
        <w:rPr>
          <w:rFonts w:ascii="FangSong" w:hAnsi="FangSong" w:eastAsia="FangSong" w:cs="FangSong"/>
          <w:sz w:val="30"/>
          <w:szCs w:val="30"/>
          <w:spacing w:val="27"/>
        </w:rPr>
        <w:t>1.</w:t>
      </w:r>
      <w:r>
        <w:rPr>
          <w:rFonts w:ascii="FangSong" w:hAnsi="FangSong" w:eastAsia="FangSong" w:cs="FangSong"/>
          <w:sz w:val="30"/>
          <w:szCs w:val="30"/>
          <w:spacing w:val="27"/>
        </w:rPr>
        <w:t xml:space="preserve"> </w:t>
      </w:r>
      <w:r>
        <w:rPr>
          <w:rFonts w:ascii="FangSong" w:hAnsi="FangSong" w:eastAsia="FangSong" w:cs="FangSong"/>
          <w:sz w:val="30"/>
          <w:szCs w:val="30"/>
          <w:spacing w:val="27"/>
        </w:rPr>
        <w:t>《中华人民共和国广告法》第五十八条第一款第(一)项有下列行为之</w:t>
      </w:r>
      <w:r>
        <w:rPr>
          <w:rFonts w:ascii="FangSong" w:hAnsi="FangSong" w:eastAsia="FangSong" w:cs="FangSong"/>
          <w:sz w:val="30"/>
          <w:szCs w:val="30"/>
          <w:spacing w:val="26"/>
        </w:rPr>
        <w:t>一的，由市场监督管</w:t>
      </w:r>
      <w:r>
        <w:rPr>
          <w:rFonts w:ascii="FangSong" w:hAnsi="FangSong" w:eastAsia="FangSong" w:cs="FangSong"/>
          <w:sz w:val="30"/>
          <w:szCs w:val="30"/>
        </w:rPr>
        <w:t xml:space="preserve"> </w:t>
      </w:r>
      <w:r>
        <w:rPr>
          <w:rFonts w:ascii="FangSong" w:hAnsi="FangSong" w:eastAsia="FangSong" w:cs="FangSong"/>
          <w:sz w:val="30"/>
          <w:szCs w:val="30"/>
          <w:spacing w:val="12"/>
        </w:rPr>
        <w:t>理部门责令停止发布广告，责令广告主在相应范围内消除影响，处广告费用一倍以上三倍以下的罚款，</w:t>
      </w:r>
      <w:r>
        <w:rPr>
          <w:rFonts w:ascii="FangSong" w:hAnsi="FangSong" w:eastAsia="FangSong" w:cs="FangSong"/>
          <w:sz w:val="30"/>
          <w:szCs w:val="30"/>
          <w:spacing w:val="9"/>
        </w:rPr>
        <w:t xml:space="preserve"> </w:t>
      </w:r>
      <w:r>
        <w:rPr>
          <w:rFonts w:ascii="FangSong" w:hAnsi="FangSong" w:eastAsia="FangSong" w:cs="FangSong"/>
          <w:sz w:val="30"/>
          <w:szCs w:val="30"/>
          <w:spacing w:val="16"/>
        </w:rPr>
        <w:t>广告费用无法计算或者明显偏低的，处十万元以上二十万元以下的罚款；情节严重的，处广告费用三</w:t>
      </w:r>
      <w:r>
        <w:rPr>
          <w:rFonts w:ascii="FangSong" w:hAnsi="FangSong" w:eastAsia="FangSong" w:cs="FangSong"/>
          <w:sz w:val="30"/>
          <w:szCs w:val="30"/>
          <w:spacing w:val="18"/>
        </w:rPr>
        <w:t xml:space="preserve"> </w:t>
      </w:r>
      <w:r>
        <w:rPr>
          <w:rFonts w:ascii="FangSong" w:hAnsi="FangSong" w:eastAsia="FangSong" w:cs="FangSong"/>
          <w:sz w:val="30"/>
          <w:szCs w:val="30"/>
          <w:spacing w:val="19"/>
        </w:rPr>
        <w:t>倍以上五倍以下的罚款，广告费用无法计算或者明显偏低的，</w:t>
      </w:r>
      <w:r>
        <w:rPr>
          <w:rFonts w:ascii="FangSong" w:hAnsi="FangSong" w:eastAsia="FangSong" w:cs="FangSong"/>
          <w:sz w:val="30"/>
          <w:szCs w:val="30"/>
          <w:spacing w:val="18"/>
        </w:rPr>
        <w:t>处二十万元以上一百万元以下的罚款，</w:t>
      </w:r>
      <w:r>
        <w:rPr>
          <w:rFonts w:ascii="FangSong" w:hAnsi="FangSong" w:eastAsia="FangSong" w:cs="FangSong"/>
          <w:sz w:val="30"/>
          <w:szCs w:val="30"/>
        </w:rPr>
        <w:t xml:space="preserve"> </w:t>
      </w:r>
      <w:r>
        <w:rPr>
          <w:rFonts w:ascii="FangSong" w:hAnsi="FangSong" w:eastAsia="FangSong" w:cs="FangSong"/>
          <w:sz w:val="30"/>
          <w:szCs w:val="30"/>
          <w:spacing w:val="13"/>
        </w:rPr>
        <w:t>可以吊销营业执照，并由广告审查机关撤销广告审</w:t>
      </w:r>
      <w:r>
        <w:rPr>
          <w:rFonts w:ascii="FangSong" w:hAnsi="FangSong" w:eastAsia="FangSong" w:cs="FangSong"/>
          <w:sz w:val="30"/>
          <w:szCs w:val="30"/>
          <w:spacing w:val="12"/>
        </w:rPr>
        <w:t>查批准文件、</w:t>
      </w:r>
      <w:r>
        <w:rPr>
          <w:rFonts w:ascii="FangSong" w:hAnsi="FangSong" w:eastAsia="FangSong" w:cs="FangSong"/>
          <w:sz w:val="30"/>
          <w:szCs w:val="30"/>
          <w:spacing w:val="93"/>
        </w:rPr>
        <w:t xml:space="preserve"> </w:t>
      </w:r>
      <w:r>
        <w:rPr>
          <w:rFonts w:ascii="FangSong" w:hAnsi="FangSong" w:eastAsia="FangSong" w:cs="FangSong"/>
          <w:sz w:val="30"/>
          <w:szCs w:val="30"/>
          <w:spacing w:val="12"/>
        </w:rPr>
        <w:t>一年内不受理其广告审查申请。</w:t>
      </w:r>
    </w:p>
    <w:p>
      <w:pPr>
        <w:ind w:left="794"/>
        <w:spacing w:line="220" w:lineRule="auto"/>
        <w:rPr>
          <w:rFonts w:ascii="FangSong" w:hAnsi="FangSong" w:eastAsia="FangSong" w:cs="FangSong"/>
          <w:sz w:val="30"/>
          <w:szCs w:val="30"/>
        </w:rPr>
      </w:pPr>
      <w:r>
        <w:rPr>
          <w:rFonts w:ascii="FangSong" w:hAnsi="FangSong" w:eastAsia="FangSong" w:cs="FangSong"/>
          <w:sz w:val="30"/>
          <w:szCs w:val="30"/>
          <w:spacing w:val="28"/>
        </w:rPr>
        <w:t>(一)违反本法第十六条规定发布医疗、药品、医疗器械广</w:t>
      </w:r>
      <w:r>
        <w:rPr>
          <w:rFonts w:ascii="FangSong" w:hAnsi="FangSong" w:eastAsia="FangSong" w:cs="FangSong"/>
          <w:sz w:val="30"/>
          <w:szCs w:val="30"/>
          <w:spacing w:val="27"/>
        </w:rPr>
        <w:t>告的；</w:t>
      </w:r>
    </w:p>
    <w:p>
      <w:pPr>
        <w:ind w:left="25" w:right="158" w:firstLine="629"/>
        <w:spacing w:before="104" w:line="272" w:lineRule="auto"/>
        <w:rPr>
          <w:rFonts w:ascii="FangSong" w:hAnsi="FangSong" w:eastAsia="FangSong" w:cs="FangSong"/>
          <w:sz w:val="30"/>
          <w:szCs w:val="30"/>
        </w:rPr>
      </w:pPr>
      <w:r>
        <w:rPr>
          <w:rFonts w:ascii="FangSong" w:hAnsi="FangSong" w:eastAsia="FangSong" w:cs="FangSong"/>
          <w:sz w:val="30"/>
          <w:szCs w:val="30"/>
          <w:spacing w:val="16"/>
        </w:rPr>
        <w:t>医疗机构有前款规定违法行为，情节严重的，除由市场监督管理部门依</w:t>
      </w:r>
      <w:r>
        <w:rPr>
          <w:rFonts w:ascii="FangSong" w:hAnsi="FangSong" w:eastAsia="FangSong" w:cs="FangSong"/>
          <w:sz w:val="30"/>
          <w:szCs w:val="30"/>
          <w:spacing w:val="15"/>
        </w:rPr>
        <w:t>照本法处罚外，卫生行政</w:t>
      </w:r>
      <w:r>
        <w:rPr>
          <w:rFonts w:ascii="FangSong" w:hAnsi="FangSong" w:eastAsia="FangSong" w:cs="FangSong"/>
          <w:sz w:val="30"/>
          <w:szCs w:val="30"/>
        </w:rPr>
        <w:t xml:space="preserve"> </w:t>
      </w:r>
      <w:r>
        <w:rPr>
          <w:rFonts w:ascii="FangSong" w:hAnsi="FangSong" w:eastAsia="FangSong" w:cs="FangSong"/>
          <w:sz w:val="30"/>
          <w:szCs w:val="30"/>
          <w:spacing w:val="16"/>
        </w:rPr>
        <w:t>部门可以吊销诊疗科目或者吊销医疗机构执业许可证。</w:t>
      </w:r>
    </w:p>
    <w:p>
      <w:pPr>
        <w:ind w:left="654"/>
        <w:spacing w:before="15" w:line="221" w:lineRule="auto"/>
        <w:rPr>
          <w:rFonts w:ascii="FangSong" w:hAnsi="FangSong" w:eastAsia="FangSong" w:cs="FangSong"/>
          <w:sz w:val="30"/>
          <w:szCs w:val="30"/>
        </w:rPr>
      </w:pPr>
      <w:r>
        <w:rPr>
          <w:rFonts w:ascii="FangSong" w:hAnsi="FangSong" w:eastAsia="FangSong" w:cs="FangSong"/>
          <w:sz w:val="30"/>
          <w:szCs w:val="30"/>
          <w:spacing w:val="14"/>
        </w:rPr>
        <w:t>2.</w:t>
      </w:r>
      <w:r>
        <w:rPr>
          <w:rFonts w:ascii="FangSong" w:hAnsi="FangSong" w:eastAsia="FangSong" w:cs="FangSong"/>
          <w:sz w:val="30"/>
          <w:szCs w:val="30"/>
          <w:spacing w:val="14"/>
        </w:rPr>
        <w:t xml:space="preserve"> </w:t>
      </w:r>
      <w:r>
        <w:rPr>
          <w:rFonts w:ascii="FangSong" w:hAnsi="FangSong" w:eastAsia="FangSong" w:cs="FangSong"/>
          <w:sz w:val="30"/>
          <w:szCs w:val="30"/>
          <w:spacing w:val="14"/>
        </w:rPr>
        <w:t>《中华人民共和国广告法》第十六条第一款</w:t>
      </w:r>
      <w:r>
        <w:rPr>
          <w:rFonts w:ascii="FangSong" w:hAnsi="FangSong" w:eastAsia="FangSong" w:cs="FangSong"/>
          <w:sz w:val="30"/>
          <w:szCs w:val="30"/>
          <w:spacing w:val="14"/>
        </w:rPr>
        <w:t xml:space="preserve"> </w:t>
      </w:r>
      <w:r>
        <w:rPr>
          <w:rFonts w:ascii="FangSong" w:hAnsi="FangSong" w:eastAsia="FangSong" w:cs="FangSong"/>
          <w:sz w:val="30"/>
          <w:szCs w:val="30"/>
          <w:spacing w:val="13"/>
        </w:rPr>
        <w:t xml:space="preserve"> </w:t>
      </w:r>
      <w:r>
        <w:rPr>
          <w:rFonts w:ascii="FangSong" w:hAnsi="FangSong" w:eastAsia="FangSong" w:cs="FangSong"/>
          <w:sz w:val="30"/>
          <w:szCs w:val="30"/>
          <w:spacing w:val="13"/>
        </w:rPr>
        <w:t>医疗、药品、医疗器械广告不得含有下列内容：</w:t>
      </w:r>
    </w:p>
    <w:p>
      <w:pPr>
        <w:spacing w:line="221" w:lineRule="auto"/>
        <w:sectPr>
          <w:footerReference w:type="default" r:id="rId303"/>
          <w:pgSz w:w="16830" w:h="11900"/>
          <w:pgMar w:top="1011" w:right="1339" w:bottom="1117" w:left="1414" w:header="0" w:footer="784" w:gutter="0"/>
        </w:sectPr>
        <w:rPr>
          <w:rFonts w:ascii="FangSong" w:hAnsi="FangSong" w:eastAsia="FangSong" w:cs="FangSong"/>
          <w:sz w:val="30"/>
          <w:szCs w:val="30"/>
        </w:rPr>
      </w:pPr>
    </w:p>
    <w:p>
      <w:pPr>
        <w:pStyle w:val="BodyText"/>
        <w:spacing w:line="267" w:lineRule="auto"/>
        <w:rPr/>
      </w:pPr>
      <w:r/>
    </w:p>
    <w:p>
      <w:pPr>
        <w:pStyle w:val="BodyText"/>
        <w:spacing w:line="267" w:lineRule="auto"/>
        <w:rPr/>
      </w:pPr>
      <w:r/>
    </w:p>
    <w:p>
      <w:pPr>
        <w:pStyle w:val="BodyText"/>
        <w:spacing w:line="268" w:lineRule="auto"/>
        <w:rPr/>
      </w:pPr>
      <w:r/>
    </w:p>
    <w:p>
      <w:pPr>
        <w:ind w:left="114" w:right="374" w:firstLine="140"/>
        <w:spacing w:before="98" w:line="265" w:lineRule="auto"/>
        <w:jc w:val="both"/>
        <w:rPr>
          <w:rFonts w:ascii="FangSong" w:hAnsi="FangSong" w:eastAsia="FangSong" w:cs="FangSong"/>
          <w:sz w:val="30"/>
          <w:szCs w:val="30"/>
        </w:rPr>
      </w:pPr>
      <w:bookmarkStart w:name="bookmark957" w:id="326"/>
      <w:bookmarkEnd w:id="326"/>
      <w:r>
        <w:rPr>
          <w:rFonts w:ascii="FangSong" w:hAnsi="FangSong" w:eastAsia="FangSong" w:cs="FangSong"/>
          <w:sz w:val="30"/>
          <w:szCs w:val="30"/>
          <w:spacing w:val="41"/>
        </w:rPr>
        <w:t>(</w:t>
      </w:r>
      <w:r>
        <w:rPr>
          <w:rFonts w:ascii="FangSong" w:hAnsi="FangSong" w:eastAsia="FangSong" w:cs="FangSong"/>
          <w:sz w:val="30"/>
          <w:szCs w:val="30"/>
          <w:spacing w:val="-81"/>
        </w:rPr>
        <w:t xml:space="preserve"> </w:t>
      </w:r>
      <w:r>
        <w:rPr>
          <w:rFonts w:ascii="FangSong" w:hAnsi="FangSong" w:eastAsia="FangSong" w:cs="FangSong"/>
          <w:sz w:val="30"/>
          <w:szCs w:val="30"/>
          <w:spacing w:val="41"/>
        </w:rPr>
        <w:t>一)表示功效、安全性的断言或者保证；(</w:t>
      </w:r>
      <w:r>
        <w:rPr>
          <w:rFonts w:ascii="FangSong" w:hAnsi="FangSong" w:eastAsia="FangSong" w:cs="FangSong"/>
          <w:sz w:val="30"/>
          <w:szCs w:val="30"/>
          <w:spacing w:val="40"/>
        </w:rPr>
        <w:t>二)说明治愈率或者有效率；(三)与其他药品、医</w:t>
      </w:r>
      <w:r>
        <w:rPr>
          <w:rFonts w:ascii="FangSong" w:hAnsi="FangSong" w:eastAsia="FangSong" w:cs="FangSong"/>
          <w:sz w:val="30"/>
          <w:szCs w:val="30"/>
        </w:rPr>
        <w:t xml:space="preserve"> </w:t>
      </w:r>
      <w:r>
        <w:rPr>
          <w:rFonts w:ascii="FangSong" w:hAnsi="FangSong" w:eastAsia="FangSong" w:cs="FangSong"/>
          <w:sz w:val="30"/>
          <w:szCs w:val="30"/>
          <w:spacing w:val="33"/>
        </w:rPr>
        <w:t>疗器械的功效和安全性或者其他医疗机构比较；(四)利用广告代言人作推荐、证明；(五)法律、</w:t>
      </w:r>
      <w:r>
        <w:rPr>
          <w:rFonts w:ascii="FangSong" w:hAnsi="FangSong" w:eastAsia="FangSong" w:cs="FangSong"/>
          <w:sz w:val="30"/>
          <w:szCs w:val="30"/>
          <w:spacing w:val="17"/>
        </w:rPr>
        <w:t xml:space="preserve"> </w:t>
      </w:r>
      <w:r>
        <w:rPr>
          <w:rFonts w:ascii="FangSong" w:hAnsi="FangSong" w:eastAsia="FangSong" w:cs="FangSong"/>
          <w:sz w:val="30"/>
          <w:szCs w:val="30"/>
          <w:spacing w:val="13"/>
        </w:rPr>
        <w:t>行政法规规定禁止的其他内容。</w:t>
      </w:r>
    </w:p>
    <w:p>
      <w:pPr>
        <w:ind w:left="6528"/>
        <w:spacing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4439" w:type="dxa"/>
        <w:tblInd w:w="1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484"/>
        <w:gridCol w:w="5531"/>
      </w:tblGrid>
      <w:tr>
        <w:trPr>
          <w:trHeight w:val="630" w:hRule="atLeast"/>
        </w:trPr>
        <w:tc>
          <w:tcPr>
            <w:tcW w:w="1424" w:type="dxa"/>
            <w:vAlign w:val="top"/>
          </w:tcPr>
          <w:p>
            <w:pPr>
              <w:pStyle w:val="TableText"/>
              <w:ind w:left="208"/>
              <w:spacing w:before="192" w:line="220" w:lineRule="auto"/>
              <w:rPr>
                <w:sz w:val="25"/>
                <w:szCs w:val="25"/>
              </w:rPr>
            </w:pPr>
            <w:r>
              <w:rPr>
                <w:sz w:val="25"/>
                <w:szCs w:val="25"/>
                <w:b/>
                <w:bCs/>
                <w:spacing w:val="-5"/>
              </w:rPr>
              <w:t>违法程度</w:t>
            </w:r>
          </w:p>
        </w:tc>
        <w:tc>
          <w:tcPr>
            <w:tcW w:w="7484" w:type="dxa"/>
            <w:vAlign w:val="top"/>
          </w:tcPr>
          <w:p>
            <w:pPr>
              <w:pStyle w:val="TableText"/>
              <w:ind w:left="3234"/>
              <w:spacing w:before="192" w:line="220" w:lineRule="auto"/>
              <w:rPr>
                <w:sz w:val="25"/>
                <w:szCs w:val="25"/>
              </w:rPr>
            </w:pPr>
            <w:r>
              <w:rPr>
                <w:sz w:val="25"/>
                <w:szCs w:val="25"/>
                <w:b/>
                <w:bCs/>
                <w:spacing w:val="-5"/>
              </w:rPr>
              <w:t>情节后果</w:t>
            </w:r>
          </w:p>
        </w:tc>
        <w:tc>
          <w:tcPr>
            <w:tcW w:w="5531" w:type="dxa"/>
            <w:vAlign w:val="top"/>
          </w:tcPr>
          <w:p>
            <w:pPr>
              <w:pStyle w:val="TableText"/>
              <w:ind w:left="2210"/>
              <w:spacing w:before="189" w:line="218" w:lineRule="auto"/>
              <w:rPr>
                <w:sz w:val="25"/>
                <w:szCs w:val="25"/>
              </w:rPr>
            </w:pPr>
            <w:r>
              <w:rPr>
                <w:sz w:val="25"/>
                <w:szCs w:val="25"/>
                <w:b/>
                <w:bCs/>
                <w:spacing w:val="-5"/>
              </w:rPr>
              <w:t>裁量幅度</w:t>
            </w:r>
          </w:p>
        </w:tc>
      </w:tr>
      <w:tr>
        <w:trPr>
          <w:trHeight w:val="929" w:hRule="atLeast"/>
        </w:trPr>
        <w:tc>
          <w:tcPr>
            <w:tcW w:w="1424" w:type="dxa"/>
            <w:vAlign w:val="top"/>
          </w:tcPr>
          <w:p>
            <w:pPr>
              <w:spacing w:line="259"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7484" w:type="dxa"/>
            <w:vAlign w:val="top"/>
          </w:tcPr>
          <w:p>
            <w:pPr>
              <w:pStyle w:val="TableText"/>
              <w:ind w:left="123" w:hanging="109"/>
              <w:spacing w:before="179" w:line="273" w:lineRule="auto"/>
              <w:rPr>
                <w:sz w:val="25"/>
                <w:szCs w:val="25"/>
              </w:rPr>
            </w:pPr>
            <w:r>
              <w:rPr>
                <w:sz w:val="25"/>
                <w:szCs w:val="25"/>
                <w:b/>
                <w:bCs/>
                <w:spacing w:val="-4"/>
              </w:rPr>
              <w:t>医疗机构发布违反《中华人民共和国广告法》第十六条第一款规定的</w:t>
            </w:r>
            <w:r>
              <w:rPr>
                <w:sz w:val="25"/>
                <w:szCs w:val="25"/>
              </w:rPr>
              <w:t xml:space="preserve"> </w:t>
            </w:r>
            <w:r>
              <w:rPr>
                <w:sz w:val="25"/>
                <w:szCs w:val="25"/>
                <w:b/>
                <w:bCs/>
                <w:spacing w:val="-3"/>
              </w:rPr>
              <w:t>医疗广告的，市场监督管理部门认定情节严重的</w:t>
            </w:r>
          </w:p>
        </w:tc>
        <w:tc>
          <w:tcPr>
            <w:tcW w:w="5531" w:type="dxa"/>
            <w:vAlign w:val="top"/>
          </w:tcPr>
          <w:p>
            <w:pPr>
              <w:spacing w:line="336" w:lineRule="auto"/>
              <w:rPr>
                <w:rFonts w:ascii="Arial"/>
                <w:sz w:val="21"/>
              </w:rPr>
            </w:pPr>
            <w:r/>
          </w:p>
          <w:p>
            <w:pPr>
              <w:pStyle w:val="TableText"/>
              <w:ind w:left="150"/>
              <w:spacing w:before="82" w:line="219" w:lineRule="auto"/>
              <w:rPr>
                <w:sz w:val="25"/>
                <w:szCs w:val="25"/>
              </w:rPr>
            </w:pPr>
            <w:r>
              <w:rPr>
                <w:sz w:val="25"/>
                <w:szCs w:val="25"/>
                <w:b/>
                <w:bCs/>
                <w:spacing w:val="-3"/>
              </w:rPr>
              <w:t>吊销诊疗科目或者医疗机构执业许可证</w:t>
            </w:r>
          </w:p>
        </w:tc>
      </w:tr>
    </w:tbl>
    <w:p>
      <w:pPr>
        <w:pStyle w:val="BodyText"/>
        <w:spacing w:line="247" w:lineRule="auto"/>
        <w:rPr/>
      </w:pPr>
      <w:r/>
    </w:p>
    <w:p>
      <w:pPr>
        <w:pStyle w:val="BodyText"/>
        <w:spacing w:line="248" w:lineRule="auto"/>
        <w:rPr/>
      </w:pPr>
      <w:r/>
    </w:p>
    <w:p>
      <w:pPr>
        <w:ind w:left="899"/>
        <w:spacing w:before="97" w:line="223" w:lineRule="auto"/>
        <w:rPr>
          <w:rFonts w:ascii="KaiTi" w:hAnsi="KaiTi" w:eastAsia="KaiTi" w:cs="KaiTi"/>
          <w:sz w:val="30"/>
          <w:szCs w:val="30"/>
        </w:rPr>
      </w:pPr>
      <w:r>
        <w:rPr>
          <w:rFonts w:ascii="KaiTi" w:hAnsi="KaiTi" w:eastAsia="KaiTi" w:cs="KaiTi"/>
          <w:sz w:val="30"/>
          <w:szCs w:val="30"/>
          <w:b/>
          <w:bCs/>
          <w:spacing w:val="30"/>
        </w:rPr>
        <w:t>(十六)《性病防治管理办法》</w:t>
      </w:r>
    </w:p>
    <w:p>
      <w:pPr>
        <w:ind w:left="779"/>
        <w:spacing w:before="329" w:line="220" w:lineRule="auto"/>
        <w:rPr>
          <w:rFonts w:ascii="FangSong" w:hAnsi="FangSong" w:eastAsia="FangSong" w:cs="FangSong"/>
          <w:sz w:val="30"/>
          <w:szCs w:val="30"/>
        </w:rPr>
      </w:pPr>
      <w:r>
        <w:rPr>
          <w:rFonts w:ascii="FangSong" w:hAnsi="FangSong" w:eastAsia="FangSong" w:cs="FangSong"/>
          <w:sz w:val="30"/>
          <w:szCs w:val="30"/>
          <w:b/>
          <w:bCs/>
          <w:spacing w:val="22"/>
        </w:rPr>
        <w:t>第二百四十五条医疗机构提供性病诊疗服务时违反诊疗规范的</w:t>
      </w:r>
    </w:p>
    <w:p>
      <w:pPr>
        <w:ind w:left="764"/>
        <w:spacing w:before="90" w:line="222" w:lineRule="auto"/>
        <w:rPr>
          <w:rFonts w:ascii="FangSong" w:hAnsi="FangSong" w:eastAsia="FangSong" w:cs="FangSong"/>
          <w:sz w:val="30"/>
          <w:szCs w:val="30"/>
        </w:rPr>
      </w:pPr>
      <w:r>
        <w:rPr>
          <w:rFonts w:ascii="FangSong" w:hAnsi="FangSong" w:eastAsia="FangSong" w:cs="FangSong"/>
          <w:sz w:val="30"/>
          <w:szCs w:val="30"/>
        </w:rPr>
        <w:t>法律依据：</w:t>
      </w:r>
    </w:p>
    <w:p>
      <w:pPr>
        <w:ind w:left="114" w:right="504" w:firstLine="630"/>
        <w:spacing w:before="86" w:line="262" w:lineRule="auto"/>
        <w:rPr>
          <w:rFonts w:ascii="FangSong" w:hAnsi="FangSong" w:eastAsia="FangSong" w:cs="FangSong"/>
          <w:sz w:val="30"/>
          <w:szCs w:val="30"/>
        </w:rPr>
      </w:pPr>
      <w:r>
        <w:rPr>
          <w:rFonts w:ascii="FangSong" w:hAnsi="FangSong" w:eastAsia="FangSong" w:cs="FangSong"/>
          <w:sz w:val="30"/>
          <w:szCs w:val="30"/>
          <w:spacing w:val="17"/>
        </w:rPr>
        <w:t>《性病防治管理办法》第四十九条</w:t>
      </w:r>
      <w:r>
        <w:rPr>
          <w:rFonts w:ascii="FangSong" w:hAnsi="FangSong" w:eastAsia="FangSong" w:cs="FangSong"/>
          <w:sz w:val="30"/>
          <w:szCs w:val="30"/>
          <w:spacing w:val="17"/>
        </w:rPr>
        <w:t xml:space="preserve">  </w:t>
      </w:r>
      <w:r>
        <w:rPr>
          <w:rFonts w:ascii="FangSong" w:hAnsi="FangSong" w:eastAsia="FangSong" w:cs="FangSong"/>
          <w:sz w:val="30"/>
          <w:szCs w:val="30"/>
          <w:spacing w:val="17"/>
        </w:rPr>
        <w:t>医疗机</w:t>
      </w:r>
      <w:r>
        <w:rPr>
          <w:rFonts w:ascii="FangSong" w:hAnsi="FangSong" w:eastAsia="FangSong" w:cs="FangSong"/>
          <w:sz w:val="30"/>
          <w:szCs w:val="30"/>
          <w:spacing w:val="16"/>
        </w:rPr>
        <w:t>构提供性病诊疗服务时违反诊疗规范的，由县级以上</w:t>
      </w:r>
      <w:r>
        <w:rPr>
          <w:rFonts w:ascii="FangSong" w:hAnsi="FangSong" w:eastAsia="FangSong" w:cs="FangSong"/>
          <w:sz w:val="30"/>
          <w:szCs w:val="30"/>
        </w:rPr>
        <w:t xml:space="preserve"> </w:t>
      </w:r>
      <w:r>
        <w:rPr>
          <w:rFonts w:ascii="FangSong" w:hAnsi="FangSong" w:eastAsia="FangSong" w:cs="FangSong"/>
          <w:sz w:val="30"/>
          <w:szCs w:val="30"/>
          <w:spacing w:val="18"/>
        </w:rPr>
        <w:t>卫生行政部门责令限期改正，给予警告；逾期不改的，可以根据情节轻重处以三万元以下罚款。</w:t>
      </w:r>
    </w:p>
    <w:p>
      <w:pPr>
        <w:ind w:left="6529"/>
        <w:spacing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8044"/>
        <w:gridCol w:w="4701"/>
      </w:tblGrid>
      <w:tr>
        <w:trPr>
          <w:trHeight w:val="441" w:hRule="atLeast"/>
        </w:trPr>
        <w:tc>
          <w:tcPr>
            <w:tcW w:w="1414" w:type="dxa"/>
            <w:vAlign w:val="top"/>
          </w:tcPr>
          <w:p>
            <w:pPr>
              <w:pStyle w:val="TableText"/>
              <w:ind w:left="118"/>
              <w:spacing w:before="10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8044" w:type="dxa"/>
            <w:vAlign w:val="top"/>
          </w:tcPr>
          <w:p>
            <w:pPr>
              <w:pStyle w:val="TableText"/>
              <w:ind w:left="3534"/>
              <w:spacing w:before="102" w:line="220" w:lineRule="auto"/>
              <w:rPr/>
            </w:pPr>
            <w:r>
              <w:rPr>
                <w:b/>
                <w:bCs/>
                <w:spacing w:val="-5"/>
              </w:rPr>
              <w:t>违法后果</w:t>
            </w:r>
          </w:p>
        </w:tc>
        <w:tc>
          <w:tcPr>
            <w:tcW w:w="4701" w:type="dxa"/>
            <w:vAlign w:val="top"/>
          </w:tcPr>
          <w:p>
            <w:pPr>
              <w:pStyle w:val="TableText"/>
              <w:ind w:left="1790"/>
              <w:spacing w:before="9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436" w:hRule="atLeast"/>
        </w:trPr>
        <w:tc>
          <w:tcPr>
            <w:tcW w:w="1414" w:type="dxa"/>
            <w:vAlign w:val="top"/>
          </w:tcPr>
          <w:p>
            <w:pPr>
              <w:pStyle w:val="TableText"/>
              <w:ind w:left="458"/>
              <w:spacing w:before="142" w:line="218" w:lineRule="auto"/>
              <w:rPr/>
            </w:pPr>
            <w:r>
              <w:rPr>
                <w:b/>
                <w:bCs/>
                <w:spacing w:val="-10"/>
              </w:rPr>
              <w:t>一般</w:t>
            </w:r>
          </w:p>
        </w:tc>
        <w:tc>
          <w:tcPr>
            <w:tcW w:w="8044" w:type="dxa"/>
            <w:vAlign w:val="top"/>
          </w:tcPr>
          <w:p>
            <w:pPr>
              <w:pStyle w:val="TableText"/>
              <w:ind w:left="140"/>
              <w:spacing w:before="142" w:line="218" w:lineRule="auto"/>
              <w:rPr/>
            </w:pPr>
            <w:r>
              <w:rPr/>
              <w:t>医疗机构提供性病诊疗服务时违反诊疗规范的</w:t>
            </w:r>
          </w:p>
        </w:tc>
        <w:tc>
          <w:tcPr>
            <w:tcW w:w="4701" w:type="dxa"/>
            <w:vAlign w:val="top"/>
          </w:tcPr>
          <w:p>
            <w:pPr>
              <w:pStyle w:val="TableText"/>
              <w:ind w:left="106"/>
              <w:spacing w:before="141" w:line="218" w:lineRule="auto"/>
              <w:rPr/>
            </w:pPr>
            <w:r>
              <w:rPr>
                <w:spacing w:val="1"/>
              </w:rPr>
              <w:t>责令限期改正，给予警告</w:t>
            </w:r>
          </w:p>
        </w:tc>
      </w:tr>
      <w:tr>
        <w:trPr>
          <w:trHeight w:val="422" w:hRule="atLeast"/>
        </w:trPr>
        <w:tc>
          <w:tcPr>
            <w:tcW w:w="1414" w:type="dxa"/>
            <w:vAlign w:val="top"/>
          </w:tcPr>
          <w:p>
            <w:pPr>
              <w:pStyle w:val="TableText"/>
              <w:ind w:left="458"/>
              <w:spacing w:before="146" w:line="204" w:lineRule="auto"/>
              <w:rPr/>
            </w:pPr>
            <w:r>
              <w:rPr>
                <w:b/>
                <w:bCs/>
                <w:spacing w:val="-5"/>
              </w:rPr>
              <w:t>较重</w:t>
            </w:r>
          </w:p>
        </w:tc>
        <w:tc>
          <w:tcPr>
            <w:tcW w:w="8044" w:type="dxa"/>
            <w:vAlign w:val="top"/>
          </w:tcPr>
          <w:p>
            <w:pPr>
              <w:pStyle w:val="TableText"/>
              <w:ind w:left="50"/>
              <w:spacing w:before="146" w:line="204" w:lineRule="auto"/>
              <w:rPr/>
            </w:pPr>
            <w:r>
              <w:rPr/>
              <w:t>医疗机构提供性病诊疗服务时违反诊疗规范，经责令限期改正，逾期不改的</w:t>
            </w:r>
          </w:p>
        </w:tc>
        <w:tc>
          <w:tcPr>
            <w:tcW w:w="4701" w:type="dxa"/>
            <w:vAlign w:val="top"/>
          </w:tcPr>
          <w:p>
            <w:pPr>
              <w:pStyle w:val="TableText"/>
              <w:ind w:left="106"/>
              <w:spacing w:before="148" w:line="203" w:lineRule="auto"/>
              <w:rPr/>
            </w:pPr>
            <w:r>
              <w:rPr>
                <w:spacing w:val="1"/>
              </w:rPr>
              <w:t>处以二万元以下罚款</w:t>
            </w:r>
          </w:p>
        </w:tc>
      </w:tr>
    </w:tbl>
    <w:p>
      <w:pPr>
        <w:pStyle w:val="BodyText"/>
        <w:rPr/>
      </w:pPr>
      <w:r/>
    </w:p>
    <w:p>
      <w:pPr>
        <w:sectPr>
          <w:footerReference w:type="default" r:id="rId304"/>
          <w:pgSz w:w="16830" w:h="11900"/>
          <w:pgMar w:top="1011" w:right="945" w:bottom="1118" w:left="1325" w:header="0" w:footer="785" w:gutter="0"/>
        </w:sectPr>
        <w:rPr/>
      </w:pPr>
    </w:p>
    <w:p>
      <w:pPr>
        <w:spacing w:before="17"/>
        <w:rPr/>
      </w:pPr>
      <w:r/>
    </w:p>
    <w:p>
      <w:pPr>
        <w:spacing w:before="16"/>
        <w:rPr/>
      </w:pPr>
      <w:r/>
    </w:p>
    <w:p>
      <w:pPr>
        <w:spacing w:before="16"/>
        <w:rPr/>
      </w:pPr>
      <w:r/>
    </w:p>
    <w:tbl>
      <w:tblPr>
        <w:tblStyle w:val="TableNormal"/>
        <w:tblW w:w="141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8044"/>
        <w:gridCol w:w="4691"/>
      </w:tblGrid>
      <w:tr>
        <w:trPr>
          <w:trHeight w:val="870" w:hRule="atLeast"/>
        </w:trPr>
        <w:tc>
          <w:tcPr>
            <w:tcW w:w="1444" w:type="dxa"/>
            <w:vAlign w:val="top"/>
          </w:tcPr>
          <w:p>
            <w:pPr>
              <w:spacing w:line="242" w:lineRule="auto"/>
              <w:rPr>
                <w:rFonts w:ascii="Arial"/>
                <w:sz w:val="21"/>
              </w:rPr>
            </w:pPr>
            <w:r/>
          </w:p>
          <w:p>
            <w:pPr>
              <w:pStyle w:val="TableText"/>
              <w:ind w:left="468"/>
              <w:spacing w:before="78" w:line="220" w:lineRule="auto"/>
              <w:rPr/>
            </w:pPr>
            <w:r>
              <w:rPr>
                <w:b/>
                <w:bCs/>
                <w:spacing w:val="-6"/>
              </w:rPr>
              <w:t>严重</w:t>
            </w:r>
          </w:p>
        </w:tc>
        <w:tc>
          <w:tcPr>
            <w:tcW w:w="8044" w:type="dxa"/>
            <w:vAlign w:val="top"/>
          </w:tcPr>
          <w:p>
            <w:pPr>
              <w:pStyle w:val="TableText"/>
              <w:ind w:left="110"/>
              <w:spacing w:before="145" w:line="275" w:lineRule="auto"/>
              <w:rPr/>
            </w:pPr>
            <w:r>
              <w:rPr>
                <w:spacing w:val="-7"/>
              </w:rPr>
              <w:t>医疗机构提供性病诊疗服务时违反诊疗规范，经责令限期改正，逾期不改的，</w:t>
            </w:r>
            <w:r>
              <w:rPr/>
              <w:t xml:space="preserve"> </w:t>
            </w:r>
            <w:r>
              <w:rPr>
                <w:spacing w:val="-1"/>
              </w:rPr>
              <w:t>造成严重后果</w:t>
            </w:r>
          </w:p>
        </w:tc>
        <w:tc>
          <w:tcPr>
            <w:tcW w:w="4691" w:type="dxa"/>
            <w:vAlign w:val="top"/>
          </w:tcPr>
          <w:p>
            <w:pPr>
              <w:spacing w:line="295" w:lineRule="auto"/>
              <w:rPr>
                <w:rFonts w:ascii="Arial"/>
                <w:sz w:val="21"/>
              </w:rPr>
            </w:pPr>
            <w:r/>
          </w:p>
          <w:p>
            <w:pPr>
              <w:pStyle w:val="TableText"/>
              <w:ind w:left="96"/>
              <w:spacing w:before="78" w:line="220" w:lineRule="auto"/>
              <w:rPr/>
            </w:pPr>
            <w:r>
              <w:rPr/>
              <w:t>处以二万元以上三万元以下罚款</w:t>
            </w:r>
          </w:p>
        </w:tc>
      </w:tr>
    </w:tbl>
    <w:p>
      <w:pPr>
        <w:pStyle w:val="BodyText"/>
        <w:spacing w:line="466" w:lineRule="auto"/>
        <w:rPr/>
      </w:pPr>
      <w:r/>
    </w:p>
    <w:p>
      <w:pPr>
        <w:ind w:left="79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第二百四十六条未取得医疗机构执业许可证擅自开展性病诊疗活动</w:t>
      </w:r>
    </w:p>
    <w:p>
      <w:pPr>
        <w:ind w:left="794"/>
        <w:spacing w:before="80"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124" w:firstLine="670"/>
        <w:spacing w:before="86" w:line="249" w:lineRule="auto"/>
        <w:rPr>
          <w:rFonts w:ascii="FangSong" w:hAnsi="FangSong" w:eastAsia="FangSong" w:cs="FangSong"/>
          <w:sz w:val="30"/>
          <w:szCs w:val="30"/>
        </w:rPr>
      </w:pPr>
      <w:r>
        <w:rPr>
          <w:rFonts w:ascii="FangSong" w:hAnsi="FangSong" w:eastAsia="FangSong" w:cs="FangSong"/>
          <w:sz w:val="30"/>
          <w:szCs w:val="30"/>
          <w:spacing w:val="8"/>
        </w:rPr>
        <w:t>1.</w:t>
      </w:r>
      <w:r>
        <w:rPr>
          <w:rFonts w:ascii="FangSong" w:hAnsi="FangSong" w:eastAsia="FangSong" w:cs="FangSong"/>
          <w:sz w:val="30"/>
          <w:szCs w:val="30"/>
          <w:spacing w:val="8"/>
        </w:rPr>
        <w:t xml:space="preserve"> </w:t>
      </w:r>
      <w:r>
        <w:rPr>
          <w:rFonts w:ascii="FangSong" w:hAnsi="FangSong" w:eastAsia="FangSong" w:cs="FangSong"/>
          <w:sz w:val="30"/>
          <w:szCs w:val="30"/>
          <w:spacing w:val="8"/>
        </w:rPr>
        <w:t>《性病防治管理办法》第四十七条</w:t>
      </w:r>
      <w:r>
        <w:rPr>
          <w:rFonts w:ascii="FangSong" w:hAnsi="FangSong" w:eastAsia="FangSong" w:cs="FangSong"/>
          <w:sz w:val="30"/>
          <w:szCs w:val="30"/>
          <w:spacing w:val="8"/>
        </w:rPr>
        <w:t xml:space="preserve">  </w:t>
      </w:r>
      <w:r>
        <w:rPr>
          <w:rFonts w:ascii="FangSong" w:hAnsi="FangSong" w:eastAsia="FangSong" w:cs="FangSong"/>
          <w:sz w:val="30"/>
          <w:szCs w:val="30"/>
          <w:spacing w:val="8"/>
        </w:rPr>
        <w:t>未取得《医疗机</w:t>
      </w:r>
      <w:r>
        <w:rPr>
          <w:rFonts w:ascii="FangSong" w:hAnsi="FangSong" w:eastAsia="FangSong" w:cs="FangSong"/>
          <w:sz w:val="30"/>
          <w:szCs w:val="30"/>
          <w:spacing w:val="7"/>
        </w:rPr>
        <w:t>构执业许可证》擅自开展性病诊疗活动的，</w:t>
      </w:r>
      <w:r>
        <w:rPr>
          <w:rFonts w:ascii="FangSong" w:hAnsi="FangSong" w:eastAsia="FangSong" w:cs="FangSong"/>
          <w:sz w:val="30"/>
          <w:szCs w:val="30"/>
        </w:rPr>
        <w:t xml:space="preserve"> </w:t>
      </w:r>
      <w:r>
        <w:rPr>
          <w:rFonts w:ascii="FangSong" w:hAnsi="FangSong" w:eastAsia="FangSong" w:cs="FangSong"/>
          <w:sz w:val="30"/>
          <w:szCs w:val="30"/>
          <w:spacing w:val="16"/>
        </w:rPr>
        <w:t>按照《医疗机构管理条例》的有关规定进行处理。</w:t>
      </w:r>
    </w:p>
    <w:p>
      <w:pPr>
        <w:ind w:left="124" w:right="127" w:firstLine="639"/>
        <w:spacing w:before="92" w:line="243" w:lineRule="auto"/>
        <w:rPr>
          <w:rFonts w:ascii="FangSong" w:hAnsi="FangSong" w:eastAsia="FangSong" w:cs="FangSong"/>
          <w:sz w:val="30"/>
          <w:szCs w:val="30"/>
        </w:rPr>
      </w:pPr>
      <w:r>
        <w:rPr>
          <w:rFonts w:ascii="FangSong" w:hAnsi="FangSong" w:eastAsia="FangSong" w:cs="FangSong"/>
          <w:sz w:val="30"/>
          <w:szCs w:val="30"/>
          <w:spacing w:val="12"/>
        </w:rPr>
        <w:t>2.</w:t>
      </w:r>
      <w:r>
        <w:rPr>
          <w:rFonts w:ascii="FangSong" w:hAnsi="FangSong" w:eastAsia="FangSong" w:cs="FangSong"/>
          <w:sz w:val="30"/>
          <w:szCs w:val="30"/>
          <w:spacing w:val="12"/>
        </w:rPr>
        <w:t xml:space="preserve"> </w:t>
      </w:r>
      <w:r>
        <w:rPr>
          <w:rFonts w:ascii="FangSong" w:hAnsi="FangSong" w:eastAsia="FangSong" w:cs="FangSong"/>
          <w:sz w:val="30"/>
          <w:szCs w:val="30"/>
          <w:spacing w:val="12"/>
        </w:rPr>
        <w:t>《医疗机构管理条例》第四十三条</w:t>
      </w:r>
      <w:r>
        <w:rPr>
          <w:rFonts w:ascii="FangSong" w:hAnsi="FangSong" w:eastAsia="FangSong" w:cs="FangSong"/>
          <w:sz w:val="30"/>
          <w:szCs w:val="30"/>
          <w:spacing w:val="12"/>
        </w:rPr>
        <w:t xml:space="preserve">  </w:t>
      </w:r>
      <w:r>
        <w:rPr>
          <w:rFonts w:ascii="FangSong" w:hAnsi="FangSong" w:eastAsia="FangSong" w:cs="FangSong"/>
          <w:sz w:val="30"/>
          <w:szCs w:val="30"/>
          <w:spacing w:val="12"/>
        </w:rPr>
        <w:t>违反本条例第二十三条规定，未取得《医疗机构执业许可</w:t>
      </w:r>
      <w:r>
        <w:rPr>
          <w:rFonts w:ascii="FangSong" w:hAnsi="FangSong" w:eastAsia="FangSong" w:cs="FangSong"/>
          <w:sz w:val="30"/>
          <w:szCs w:val="30"/>
          <w:spacing w:val="11"/>
        </w:rPr>
        <w:t xml:space="preserve"> </w:t>
      </w:r>
      <w:r>
        <w:rPr>
          <w:rFonts w:ascii="FangSong" w:hAnsi="FangSong" w:eastAsia="FangSong" w:cs="FangSong"/>
          <w:sz w:val="30"/>
          <w:szCs w:val="30"/>
          <w:spacing w:val="18"/>
        </w:rPr>
        <w:t>证》擅自执业的，依照《中华人民共和国基本医疗卫生与健康促进法》的规定予以处罚。</w:t>
      </w:r>
    </w:p>
    <w:p>
      <w:pPr>
        <w:ind w:left="124" w:right="119" w:firstLine="670"/>
        <w:spacing w:before="89" w:line="254" w:lineRule="auto"/>
        <w:rPr>
          <w:rFonts w:ascii="FangSong" w:hAnsi="FangSong" w:eastAsia="FangSong" w:cs="FangSong"/>
          <w:sz w:val="30"/>
          <w:szCs w:val="30"/>
        </w:rPr>
      </w:pPr>
      <w:r>
        <w:rPr>
          <w:rFonts w:ascii="FangSong" w:hAnsi="FangSong" w:eastAsia="FangSong" w:cs="FangSong"/>
          <w:sz w:val="30"/>
          <w:szCs w:val="30"/>
          <w:spacing w:val="12"/>
        </w:rPr>
        <w:t>3.</w:t>
      </w:r>
      <w:r>
        <w:rPr>
          <w:rFonts w:ascii="FangSong" w:hAnsi="FangSong" w:eastAsia="FangSong" w:cs="FangSong"/>
          <w:sz w:val="30"/>
          <w:szCs w:val="30"/>
          <w:spacing w:val="12"/>
        </w:rPr>
        <w:t xml:space="preserve"> </w:t>
      </w:r>
      <w:r>
        <w:rPr>
          <w:rFonts w:ascii="FangSong" w:hAnsi="FangSong" w:eastAsia="FangSong" w:cs="FangSong"/>
          <w:sz w:val="30"/>
          <w:szCs w:val="30"/>
          <w:spacing w:val="12"/>
        </w:rPr>
        <w:t>《中华人民共和国基本医疗卫生与健康促进法》第九十九条第一款</w:t>
      </w:r>
      <w:r>
        <w:rPr>
          <w:rFonts w:ascii="FangSong" w:hAnsi="FangSong" w:eastAsia="FangSong" w:cs="FangSong"/>
          <w:sz w:val="30"/>
          <w:szCs w:val="30"/>
          <w:spacing w:val="12"/>
        </w:rPr>
        <w:t xml:space="preserve">  </w:t>
      </w:r>
      <w:r>
        <w:rPr>
          <w:rFonts w:ascii="FangSong" w:hAnsi="FangSong" w:eastAsia="FangSong" w:cs="FangSong"/>
          <w:sz w:val="30"/>
          <w:szCs w:val="30"/>
          <w:spacing w:val="11"/>
        </w:rPr>
        <w:t>违反本法规定，未取得医</w:t>
      </w:r>
      <w:r>
        <w:rPr>
          <w:rFonts w:ascii="FangSong" w:hAnsi="FangSong" w:eastAsia="FangSong" w:cs="FangSong"/>
          <w:sz w:val="30"/>
          <w:szCs w:val="30"/>
        </w:rPr>
        <w:t xml:space="preserve"> </w:t>
      </w:r>
      <w:r>
        <w:rPr>
          <w:rFonts w:ascii="FangSong" w:hAnsi="FangSong" w:eastAsia="FangSong" w:cs="FangSong"/>
          <w:sz w:val="30"/>
          <w:szCs w:val="30"/>
          <w:spacing w:val="17"/>
        </w:rPr>
        <w:t>疗机构执业许可证擅自执业的，由县级以上人民政府卫生健康主管部门责令停</w:t>
      </w:r>
      <w:r>
        <w:rPr>
          <w:rFonts w:ascii="FangSong" w:hAnsi="FangSong" w:eastAsia="FangSong" w:cs="FangSong"/>
          <w:sz w:val="30"/>
          <w:szCs w:val="30"/>
          <w:spacing w:val="16"/>
        </w:rPr>
        <w:t>止执业活动，没收违法</w:t>
      </w:r>
      <w:r>
        <w:rPr>
          <w:rFonts w:ascii="FangSong" w:hAnsi="FangSong" w:eastAsia="FangSong" w:cs="FangSong"/>
          <w:sz w:val="30"/>
          <w:szCs w:val="30"/>
        </w:rPr>
        <w:t xml:space="preserve"> </w:t>
      </w:r>
      <w:r>
        <w:rPr>
          <w:rFonts w:ascii="FangSong" w:hAnsi="FangSong" w:eastAsia="FangSong" w:cs="FangSong"/>
          <w:sz w:val="30"/>
          <w:szCs w:val="30"/>
          <w:spacing w:val="17"/>
        </w:rPr>
        <w:t>所得和药品、医疗器械，并处违法所得五倍以上二十倍以下的罚款，违法所得不</w:t>
      </w:r>
      <w:r>
        <w:rPr>
          <w:rFonts w:ascii="FangSong" w:hAnsi="FangSong" w:eastAsia="FangSong" w:cs="FangSong"/>
          <w:sz w:val="30"/>
          <w:szCs w:val="30"/>
          <w:spacing w:val="16"/>
        </w:rPr>
        <w:t>足一万元的，按一万</w:t>
      </w:r>
      <w:r>
        <w:rPr>
          <w:rFonts w:ascii="FangSong" w:hAnsi="FangSong" w:eastAsia="FangSong" w:cs="FangSong"/>
          <w:sz w:val="30"/>
          <w:szCs w:val="30"/>
        </w:rPr>
        <w:t xml:space="preserve"> </w:t>
      </w:r>
      <w:r>
        <w:rPr>
          <w:rFonts w:ascii="FangSong" w:hAnsi="FangSong" w:eastAsia="FangSong" w:cs="FangSong"/>
          <w:sz w:val="30"/>
          <w:szCs w:val="30"/>
          <w:spacing w:val="7"/>
        </w:rPr>
        <w:t>元计算。</w:t>
      </w:r>
    </w:p>
    <w:p>
      <w:pPr>
        <w:ind w:left="6548"/>
        <w:spacing w:before="79" w:line="209"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5596"/>
        <w:gridCol w:w="7130"/>
      </w:tblGrid>
      <w:tr>
        <w:trPr>
          <w:trHeight w:val="452" w:hRule="atLeast"/>
        </w:trPr>
        <w:tc>
          <w:tcPr>
            <w:tcW w:w="1444" w:type="dxa"/>
            <w:vAlign w:val="top"/>
          </w:tcPr>
          <w:p>
            <w:pPr>
              <w:pStyle w:val="TableText"/>
              <w:ind w:left="78"/>
              <w:spacing w:before="102" w:line="220" w:lineRule="auto"/>
              <w:rPr>
                <w:sz w:val="25"/>
                <w:szCs w:val="25"/>
              </w:rPr>
            </w:pPr>
            <w:r>
              <w:rPr>
                <w:sz w:val="25"/>
                <w:szCs w:val="25"/>
                <w:b/>
                <w:bCs/>
                <w:spacing w:val="-5"/>
              </w:rPr>
              <w:t>违法程度</w:t>
            </w:r>
          </w:p>
        </w:tc>
        <w:tc>
          <w:tcPr>
            <w:tcW w:w="5596" w:type="dxa"/>
            <w:vAlign w:val="top"/>
          </w:tcPr>
          <w:p>
            <w:pPr>
              <w:pStyle w:val="TableText"/>
              <w:ind w:left="2294"/>
              <w:spacing w:before="102" w:line="220" w:lineRule="auto"/>
              <w:rPr>
                <w:sz w:val="25"/>
                <w:szCs w:val="25"/>
              </w:rPr>
            </w:pPr>
            <w:r>
              <w:rPr>
                <w:sz w:val="25"/>
                <w:szCs w:val="25"/>
                <w:b/>
                <w:bCs/>
                <w:spacing w:val="-5"/>
              </w:rPr>
              <w:t>违法后果</w:t>
            </w:r>
          </w:p>
        </w:tc>
        <w:tc>
          <w:tcPr>
            <w:tcW w:w="7130" w:type="dxa"/>
            <w:vAlign w:val="top"/>
          </w:tcPr>
          <w:p>
            <w:pPr>
              <w:pStyle w:val="TableText"/>
              <w:ind w:left="3058"/>
              <w:spacing w:before="99" w:line="218" w:lineRule="auto"/>
              <w:rPr>
                <w:sz w:val="25"/>
                <w:szCs w:val="25"/>
              </w:rPr>
            </w:pPr>
            <w:r>
              <w:rPr>
                <w:sz w:val="25"/>
                <w:szCs w:val="25"/>
                <w:b/>
                <w:bCs/>
                <w:spacing w:val="-5"/>
              </w:rPr>
              <w:t>裁量幅度</w:t>
            </w:r>
          </w:p>
        </w:tc>
      </w:tr>
      <w:tr>
        <w:trPr>
          <w:trHeight w:val="1298" w:hRule="atLeast"/>
        </w:trPr>
        <w:tc>
          <w:tcPr>
            <w:tcW w:w="1444" w:type="dxa"/>
            <w:vAlign w:val="top"/>
          </w:tcPr>
          <w:p>
            <w:pPr>
              <w:spacing w:line="447" w:lineRule="auto"/>
              <w:rPr>
                <w:rFonts w:ascii="Arial"/>
                <w:sz w:val="21"/>
              </w:rPr>
            </w:pPr>
            <w:r/>
          </w:p>
          <w:p>
            <w:pPr>
              <w:pStyle w:val="TableText"/>
              <w:ind w:left="478"/>
              <w:spacing w:before="81" w:line="221" w:lineRule="auto"/>
              <w:rPr>
                <w:sz w:val="25"/>
                <w:szCs w:val="25"/>
              </w:rPr>
            </w:pPr>
            <w:r>
              <w:rPr>
                <w:sz w:val="25"/>
                <w:szCs w:val="25"/>
                <w:b/>
                <w:bCs/>
                <w:spacing w:val="-10"/>
              </w:rPr>
              <w:t>一般</w:t>
            </w:r>
          </w:p>
        </w:tc>
        <w:tc>
          <w:tcPr>
            <w:tcW w:w="5596" w:type="dxa"/>
            <w:vAlign w:val="top"/>
          </w:tcPr>
          <w:p>
            <w:pPr>
              <w:spacing w:line="286" w:lineRule="auto"/>
              <w:rPr>
                <w:rFonts w:ascii="Arial"/>
                <w:sz w:val="21"/>
              </w:rPr>
            </w:pPr>
            <w:r/>
          </w:p>
          <w:p>
            <w:pPr>
              <w:pStyle w:val="TableText"/>
              <w:ind w:left="124" w:right="185" w:firstLine="40"/>
              <w:spacing w:before="81" w:line="320" w:lineRule="auto"/>
              <w:rPr>
                <w:sz w:val="25"/>
                <w:szCs w:val="25"/>
              </w:rPr>
            </w:pPr>
            <w:r>
              <w:rPr>
                <w:sz w:val="25"/>
                <w:szCs w:val="25"/>
                <w:b/>
                <w:bCs/>
                <w:spacing w:val="-4"/>
              </w:rPr>
              <w:t>未取得医疗机构执业许可证擅自开展性病诊疗活</w:t>
            </w:r>
            <w:r>
              <w:rPr>
                <w:sz w:val="25"/>
                <w:szCs w:val="25"/>
                <w:spacing w:val="14"/>
              </w:rPr>
              <w:t xml:space="preserve"> </w:t>
            </w:r>
            <w:r>
              <w:rPr>
                <w:sz w:val="25"/>
                <w:szCs w:val="25"/>
                <w:b/>
                <w:bCs/>
                <w:spacing w:val="-2"/>
              </w:rPr>
              <w:t>动，首次发现且情节较轻的</w:t>
            </w:r>
          </w:p>
        </w:tc>
        <w:tc>
          <w:tcPr>
            <w:tcW w:w="7130" w:type="dxa"/>
            <w:vAlign w:val="top"/>
          </w:tcPr>
          <w:p>
            <w:pPr>
              <w:pStyle w:val="TableText"/>
              <w:ind w:left="57" w:hanging="39"/>
              <w:spacing w:before="150" w:line="280" w:lineRule="auto"/>
              <w:jc w:val="both"/>
              <w:rPr>
                <w:sz w:val="25"/>
                <w:szCs w:val="25"/>
              </w:rPr>
            </w:pPr>
            <w:r>
              <w:rPr>
                <w:sz w:val="25"/>
                <w:szCs w:val="25"/>
                <w:b/>
                <w:bCs/>
                <w:spacing w:val="-8"/>
              </w:rPr>
              <w:t>由县级以上人民政府卫生健康主管部门责令停止执业活动，没收违</w:t>
            </w:r>
            <w:r>
              <w:rPr>
                <w:sz w:val="25"/>
                <w:szCs w:val="25"/>
                <w:spacing w:val="6"/>
              </w:rPr>
              <w:t xml:space="preserve"> </w:t>
            </w:r>
            <w:r>
              <w:rPr>
                <w:sz w:val="25"/>
                <w:szCs w:val="25"/>
                <w:b/>
                <w:bCs/>
                <w:spacing w:val="-3"/>
              </w:rPr>
              <w:t>法所得和药品、医疗器械，并处违法所得五倍的罚款，</w:t>
            </w:r>
            <w:r>
              <w:rPr>
                <w:sz w:val="25"/>
                <w:szCs w:val="25"/>
                <w:b/>
                <w:bCs/>
                <w:spacing w:val="-4"/>
              </w:rPr>
              <w:t>违法所得</w:t>
            </w:r>
            <w:r>
              <w:rPr>
                <w:sz w:val="25"/>
                <w:szCs w:val="25"/>
              </w:rPr>
              <w:t xml:space="preserve">  </w:t>
            </w:r>
            <w:r>
              <w:rPr>
                <w:sz w:val="25"/>
                <w:szCs w:val="25"/>
                <w:b/>
                <w:bCs/>
              </w:rPr>
              <w:t>不足一万元的，按一万元计算</w:t>
            </w:r>
          </w:p>
        </w:tc>
      </w:tr>
    </w:tbl>
    <w:p>
      <w:pPr>
        <w:pStyle w:val="BodyText"/>
        <w:rPr/>
      </w:pPr>
      <w:r/>
    </w:p>
    <w:p>
      <w:pPr>
        <w:sectPr>
          <w:footerReference w:type="default" r:id="rId305"/>
          <w:pgSz w:w="16830" w:h="11900"/>
          <w:pgMar w:top="1011" w:right="1329" w:bottom="1130" w:left="1305" w:header="0" w:footer="806" w:gutter="0"/>
        </w:sectPr>
        <w:rPr/>
      </w:pPr>
    </w:p>
    <w:p>
      <w:pPr>
        <w:spacing w:before="20"/>
        <w:rPr/>
      </w:pPr>
      <w:r/>
    </w:p>
    <w:p>
      <w:pPr>
        <w:spacing w:before="20"/>
        <w:rPr/>
      </w:pPr>
      <w:r/>
    </w:p>
    <w:p>
      <w:pPr>
        <w:spacing w:before="19"/>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4"/>
        <w:gridCol w:w="5586"/>
        <w:gridCol w:w="7120"/>
      </w:tblGrid>
      <w:tr>
        <w:trPr>
          <w:trHeight w:val="2190" w:hRule="atLeast"/>
        </w:trPr>
        <w:tc>
          <w:tcPr>
            <w:tcW w:w="1454" w:type="dxa"/>
            <w:vAlign w:val="top"/>
          </w:tcPr>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468"/>
              <w:spacing w:before="81" w:line="221" w:lineRule="auto"/>
              <w:rPr>
                <w:sz w:val="25"/>
                <w:szCs w:val="25"/>
              </w:rPr>
            </w:pPr>
            <w:bookmarkStart w:name="bookmark958" w:id="327"/>
            <w:bookmarkEnd w:id="327"/>
            <w:r>
              <w:rPr>
                <w:sz w:val="25"/>
                <w:szCs w:val="25"/>
                <w:b/>
                <w:bCs/>
                <w:spacing w:val="-6"/>
              </w:rPr>
              <w:t>较重</w:t>
            </w:r>
          </w:p>
        </w:tc>
        <w:tc>
          <w:tcPr>
            <w:tcW w:w="5586" w:type="dxa"/>
            <w:vAlign w:val="top"/>
          </w:tcPr>
          <w:p>
            <w:pPr>
              <w:pStyle w:val="TableText"/>
              <w:ind w:left="91" w:right="225"/>
              <w:spacing w:before="145" w:line="321" w:lineRule="auto"/>
              <w:rPr>
                <w:sz w:val="25"/>
                <w:szCs w:val="25"/>
              </w:rPr>
            </w:pPr>
            <w:r>
              <w:rPr>
                <w:sz w:val="25"/>
                <w:szCs w:val="25"/>
              </w:rPr>
              <w:t>未取得医疗机构执业许可证擅自开展性病诊疗活</w:t>
            </w:r>
            <w:r>
              <w:rPr>
                <w:sz w:val="25"/>
                <w:szCs w:val="25"/>
                <w:spacing w:val="8"/>
              </w:rPr>
              <w:t xml:space="preserve"> </w:t>
            </w:r>
            <w:r>
              <w:rPr>
                <w:sz w:val="25"/>
                <w:szCs w:val="25"/>
                <w:spacing w:val="2"/>
              </w:rPr>
              <w:t>动，有下列情形之一的：</w:t>
            </w:r>
          </w:p>
          <w:p>
            <w:pPr>
              <w:pStyle w:val="TableText"/>
              <w:ind w:left="91"/>
              <w:spacing w:before="10" w:line="219" w:lineRule="auto"/>
              <w:rPr>
                <w:sz w:val="25"/>
                <w:szCs w:val="25"/>
              </w:rPr>
            </w:pPr>
            <w:r>
              <w:rPr>
                <w:sz w:val="25"/>
                <w:szCs w:val="25"/>
                <w:spacing w:val="2"/>
              </w:rPr>
              <w:t>A、擅自执业的人员为非卫生技术专业人员</w:t>
            </w:r>
          </w:p>
          <w:p>
            <w:pPr>
              <w:pStyle w:val="TableText"/>
              <w:ind w:left="91"/>
              <w:spacing w:before="163" w:line="219" w:lineRule="auto"/>
              <w:rPr>
                <w:sz w:val="25"/>
                <w:szCs w:val="25"/>
              </w:rPr>
            </w:pPr>
            <w:r>
              <w:rPr>
                <w:sz w:val="25"/>
                <w:szCs w:val="25"/>
                <w:spacing w:val="-1"/>
              </w:rPr>
              <w:t>B、擅自执业时间在三个月以上</w:t>
            </w:r>
          </w:p>
          <w:p>
            <w:pPr>
              <w:pStyle w:val="TableText"/>
              <w:ind w:left="91"/>
              <w:spacing w:before="124" w:line="202" w:lineRule="auto"/>
              <w:rPr>
                <w:sz w:val="25"/>
                <w:szCs w:val="25"/>
              </w:rPr>
            </w:pPr>
            <w:r>
              <w:rPr>
                <w:sz w:val="25"/>
                <w:szCs w:val="25"/>
                <w:spacing w:val="1"/>
              </w:rPr>
              <w:t>C、以行医为名骗取患者钱物</w:t>
            </w:r>
          </w:p>
        </w:tc>
        <w:tc>
          <w:tcPr>
            <w:tcW w:w="7120" w:type="dxa"/>
            <w:vAlign w:val="top"/>
          </w:tcPr>
          <w:p>
            <w:pPr>
              <w:spacing w:line="249" w:lineRule="auto"/>
              <w:rPr>
                <w:rFonts w:ascii="Arial"/>
                <w:sz w:val="21"/>
              </w:rPr>
            </w:pPr>
            <w:r/>
          </w:p>
          <w:p>
            <w:pPr>
              <w:spacing w:line="249" w:lineRule="auto"/>
              <w:rPr>
                <w:rFonts w:ascii="Arial"/>
                <w:sz w:val="21"/>
              </w:rPr>
            </w:pPr>
            <w:r/>
          </w:p>
          <w:p>
            <w:pPr>
              <w:pStyle w:val="TableText"/>
              <w:ind w:left="15"/>
              <w:spacing w:before="81" w:line="327" w:lineRule="auto"/>
              <w:jc w:val="both"/>
              <w:rPr>
                <w:sz w:val="25"/>
                <w:szCs w:val="25"/>
              </w:rPr>
            </w:pPr>
            <w:r>
              <w:rPr>
                <w:sz w:val="25"/>
                <w:szCs w:val="25"/>
                <w:spacing w:val="-9"/>
              </w:rPr>
              <w:t>由县级以上人民政府卫生健康主管部门责令停止</w:t>
            </w:r>
            <w:r>
              <w:rPr>
                <w:sz w:val="25"/>
                <w:szCs w:val="25"/>
                <w:spacing w:val="-10"/>
              </w:rPr>
              <w:t>执业活动，没收违</w:t>
            </w:r>
            <w:r>
              <w:rPr>
                <w:sz w:val="25"/>
                <w:szCs w:val="25"/>
              </w:rPr>
              <w:t xml:space="preserve">  </w:t>
            </w:r>
            <w:r>
              <w:rPr>
                <w:sz w:val="25"/>
                <w:szCs w:val="25"/>
                <w:spacing w:val="-14"/>
              </w:rPr>
              <w:t>法所得和药品、医疗器械，并处违法所得六倍以上十倍以下的罚款，</w:t>
            </w:r>
            <w:r>
              <w:rPr>
                <w:sz w:val="25"/>
                <w:szCs w:val="25"/>
                <w:spacing w:val="13"/>
              </w:rPr>
              <w:t xml:space="preserve"> </w:t>
            </w:r>
            <w:r>
              <w:rPr>
                <w:sz w:val="25"/>
                <w:szCs w:val="25"/>
                <w:spacing w:val="2"/>
              </w:rPr>
              <w:t>违法所得不足一万元的，按一万元计算</w:t>
            </w:r>
          </w:p>
        </w:tc>
      </w:tr>
      <w:tr>
        <w:trPr>
          <w:trHeight w:val="1327" w:hRule="atLeast"/>
        </w:trPr>
        <w:tc>
          <w:tcPr>
            <w:tcW w:w="1454" w:type="dxa"/>
            <w:vAlign w:val="top"/>
          </w:tcPr>
          <w:p>
            <w:pPr>
              <w:spacing w:line="458" w:lineRule="auto"/>
              <w:rPr>
                <w:rFonts w:ascii="Arial"/>
                <w:sz w:val="21"/>
              </w:rPr>
            </w:pPr>
            <w:r/>
          </w:p>
          <w:p>
            <w:pPr>
              <w:pStyle w:val="TableText"/>
              <w:ind w:left="468"/>
              <w:spacing w:before="81" w:line="220" w:lineRule="auto"/>
              <w:rPr>
                <w:sz w:val="25"/>
                <w:szCs w:val="25"/>
              </w:rPr>
            </w:pPr>
            <w:r>
              <w:rPr>
                <w:sz w:val="25"/>
                <w:szCs w:val="25"/>
                <w:b/>
                <w:bCs/>
                <w:spacing w:val="-6"/>
              </w:rPr>
              <w:t>严重</w:t>
            </w:r>
          </w:p>
        </w:tc>
        <w:tc>
          <w:tcPr>
            <w:tcW w:w="5586" w:type="dxa"/>
            <w:vAlign w:val="top"/>
          </w:tcPr>
          <w:p>
            <w:pPr>
              <w:pStyle w:val="TableText"/>
              <w:ind w:left="91"/>
              <w:spacing w:before="143" w:line="219" w:lineRule="auto"/>
              <w:rPr>
                <w:sz w:val="25"/>
                <w:szCs w:val="25"/>
              </w:rPr>
            </w:pPr>
            <w:r>
              <w:rPr>
                <w:sz w:val="25"/>
                <w:szCs w:val="25"/>
              </w:rPr>
              <w:t>未取得医疗机构执业许可证擅自开展性病诊疗活</w:t>
            </w:r>
          </w:p>
          <w:p>
            <w:pPr>
              <w:pStyle w:val="TableText"/>
              <w:ind w:left="91"/>
              <w:spacing w:before="156" w:line="266" w:lineRule="auto"/>
              <w:rPr>
                <w:sz w:val="25"/>
                <w:szCs w:val="25"/>
              </w:rPr>
            </w:pPr>
            <w:r>
              <w:rPr>
                <w:sz w:val="25"/>
                <w:szCs w:val="25"/>
                <w:spacing w:val="-1"/>
              </w:rPr>
              <w:t>动，有较重违法情形两项或因擅自开展性病诊疗活</w:t>
            </w:r>
            <w:r>
              <w:rPr>
                <w:sz w:val="25"/>
                <w:szCs w:val="25"/>
                <w:spacing w:val="5"/>
              </w:rPr>
              <w:t xml:space="preserve"> </w:t>
            </w:r>
            <w:r>
              <w:rPr>
                <w:sz w:val="25"/>
                <w:szCs w:val="25"/>
                <w:spacing w:val="1"/>
              </w:rPr>
              <w:t>动曾受过卫生健康主管部门处罚的</w:t>
            </w:r>
          </w:p>
        </w:tc>
        <w:tc>
          <w:tcPr>
            <w:tcW w:w="7120" w:type="dxa"/>
            <w:vAlign w:val="top"/>
          </w:tcPr>
          <w:p>
            <w:pPr>
              <w:pStyle w:val="TableText"/>
              <w:ind w:left="55" w:hanging="40"/>
              <w:spacing w:before="163" w:line="284" w:lineRule="auto"/>
              <w:jc w:val="both"/>
              <w:rPr>
                <w:sz w:val="25"/>
                <w:szCs w:val="25"/>
              </w:rPr>
            </w:pPr>
            <w:r>
              <w:rPr>
                <w:sz w:val="25"/>
                <w:szCs w:val="25"/>
                <w:spacing w:val="-6"/>
              </w:rPr>
              <w:t>由县级以上人民政府卫生健康主管部门责令停止执业活动，没收违</w:t>
            </w:r>
            <w:r>
              <w:rPr>
                <w:sz w:val="25"/>
                <w:szCs w:val="25"/>
                <w:spacing w:val="17"/>
              </w:rPr>
              <w:t xml:space="preserve"> </w:t>
            </w:r>
            <w:r>
              <w:rPr>
                <w:sz w:val="25"/>
                <w:szCs w:val="25"/>
              </w:rPr>
              <w:t>法所得和药品、医疗器械，并处违法所得十一倍以上十五倍以下</w:t>
            </w:r>
            <w:r>
              <w:rPr>
                <w:sz w:val="25"/>
                <w:szCs w:val="25"/>
                <w:spacing w:val="9"/>
              </w:rPr>
              <w:t xml:space="preserve"> </w:t>
            </w:r>
            <w:r>
              <w:rPr>
                <w:sz w:val="25"/>
                <w:szCs w:val="25"/>
                <w:spacing w:val="3"/>
              </w:rPr>
              <w:t>的罚款，违法所得不足一万元的，按一万元计算</w:t>
            </w:r>
          </w:p>
        </w:tc>
      </w:tr>
      <w:tr>
        <w:trPr>
          <w:trHeight w:val="1302" w:hRule="atLeast"/>
        </w:trPr>
        <w:tc>
          <w:tcPr>
            <w:tcW w:w="1454" w:type="dxa"/>
            <w:vAlign w:val="top"/>
          </w:tcPr>
          <w:p>
            <w:pPr>
              <w:spacing w:line="450" w:lineRule="auto"/>
              <w:rPr>
                <w:rFonts w:ascii="Arial"/>
                <w:sz w:val="21"/>
              </w:rPr>
            </w:pPr>
            <w:r/>
          </w:p>
          <w:p>
            <w:pPr>
              <w:pStyle w:val="TableText"/>
              <w:ind w:left="218"/>
              <w:spacing w:before="82" w:line="219" w:lineRule="auto"/>
              <w:rPr>
                <w:sz w:val="25"/>
                <w:szCs w:val="25"/>
              </w:rPr>
            </w:pPr>
            <w:r>
              <w:rPr>
                <w:sz w:val="25"/>
                <w:szCs w:val="25"/>
                <w:b/>
                <w:bCs/>
                <w:spacing w:val="-5"/>
              </w:rPr>
              <w:t>特别严重</w:t>
            </w:r>
          </w:p>
        </w:tc>
        <w:tc>
          <w:tcPr>
            <w:tcW w:w="5586" w:type="dxa"/>
            <w:vAlign w:val="top"/>
          </w:tcPr>
          <w:p>
            <w:pPr>
              <w:pStyle w:val="TableText"/>
              <w:ind w:left="91"/>
              <w:spacing w:before="146" w:line="219" w:lineRule="auto"/>
              <w:rPr>
                <w:sz w:val="25"/>
                <w:szCs w:val="25"/>
              </w:rPr>
            </w:pPr>
            <w:r>
              <w:rPr>
                <w:sz w:val="25"/>
                <w:szCs w:val="25"/>
              </w:rPr>
              <w:t>未取得医疗机构执业许可证擅自开展性病诊疗活</w:t>
            </w:r>
          </w:p>
          <w:p>
            <w:pPr>
              <w:pStyle w:val="TableText"/>
              <w:spacing w:before="145" w:line="220" w:lineRule="auto"/>
              <w:jc w:val="right"/>
              <w:rPr>
                <w:sz w:val="25"/>
                <w:szCs w:val="25"/>
              </w:rPr>
            </w:pPr>
            <w:r>
              <w:rPr>
                <w:sz w:val="25"/>
                <w:szCs w:val="25"/>
                <w:spacing w:val="-2"/>
              </w:rPr>
              <w:t>动，有较重违法情形三项及以上或造成严重后果的</w:t>
            </w:r>
          </w:p>
        </w:tc>
        <w:tc>
          <w:tcPr>
            <w:tcW w:w="7120" w:type="dxa"/>
            <w:vAlign w:val="top"/>
          </w:tcPr>
          <w:p>
            <w:pPr>
              <w:pStyle w:val="TableText"/>
              <w:ind w:left="55" w:hanging="40"/>
              <w:spacing w:before="146" w:line="282" w:lineRule="auto"/>
              <w:jc w:val="both"/>
              <w:rPr>
                <w:sz w:val="25"/>
                <w:szCs w:val="25"/>
              </w:rPr>
            </w:pPr>
            <w:r>
              <w:rPr>
                <w:sz w:val="25"/>
                <w:szCs w:val="25"/>
                <w:spacing w:val="-6"/>
              </w:rPr>
              <w:t>由县级以上人民政府卫生健康主管部门责令停止执业活动，没收违</w:t>
            </w:r>
            <w:r>
              <w:rPr>
                <w:sz w:val="25"/>
                <w:szCs w:val="25"/>
                <w:spacing w:val="17"/>
              </w:rPr>
              <w:t xml:space="preserve"> </w:t>
            </w:r>
            <w:r>
              <w:rPr>
                <w:sz w:val="25"/>
                <w:szCs w:val="25"/>
              </w:rPr>
              <w:t>法所得和药品、医疗器械，并处违法所得十六倍以上二十倍以下</w:t>
            </w:r>
            <w:r>
              <w:rPr>
                <w:sz w:val="25"/>
                <w:szCs w:val="25"/>
                <w:spacing w:val="9"/>
              </w:rPr>
              <w:t xml:space="preserve"> </w:t>
            </w:r>
            <w:r>
              <w:rPr>
                <w:sz w:val="25"/>
                <w:szCs w:val="25"/>
                <w:spacing w:val="3"/>
              </w:rPr>
              <w:t>的罚款，违法所得不足一万元的，按一万元计算</w:t>
            </w:r>
          </w:p>
        </w:tc>
      </w:tr>
    </w:tbl>
    <w:p>
      <w:pPr>
        <w:pStyle w:val="BodyText"/>
        <w:spacing w:line="433" w:lineRule="auto"/>
        <w:rPr/>
      </w:pPr>
      <w:r/>
    </w:p>
    <w:p>
      <w:pPr>
        <w:ind w:left="779"/>
        <w:spacing w:before="101" w:line="220" w:lineRule="auto"/>
        <w:rPr>
          <w:rFonts w:ascii="FangSong" w:hAnsi="FangSong" w:eastAsia="FangSong" w:cs="FangSong"/>
          <w:sz w:val="31"/>
          <w:szCs w:val="31"/>
        </w:rPr>
      </w:pPr>
      <w:r>
        <w:rPr>
          <w:rFonts w:ascii="FangSong" w:hAnsi="FangSong" w:eastAsia="FangSong" w:cs="FangSong"/>
          <w:sz w:val="31"/>
          <w:szCs w:val="31"/>
          <w:b/>
          <w:bCs/>
          <w:spacing w:val="12"/>
        </w:rPr>
        <w:t>第二百四十七条医疗机构诊疗活动超出诊疗科</w:t>
      </w:r>
      <w:r>
        <w:rPr>
          <w:rFonts w:ascii="FangSong" w:hAnsi="FangSong" w:eastAsia="FangSong" w:cs="FangSong"/>
          <w:sz w:val="31"/>
          <w:szCs w:val="31"/>
          <w:b/>
          <w:bCs/>
          <w:spacing w:val="11"/>
        </w:rPr>
        <w:t>目登记范围开展性病诊疗活动</w:t>
      </w:r>
    </w:p>
    <w:p>
      <w:pPr>
        <w:ind w:left="754"/>
        <w:spacing w:before="107"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ind w:left="135" w:right="92" w:firstLine="614"/>
        <w:spacing w:before="62" w:line="263" w:lineRule="auto"/>
        <w:rPr>
          <w:rFonts w:ascii="FangSong" w:hAnsi="FangSong" w:eastAsia="FangSong" w:cs="FangSong"/>
          <w:sz w:val="31"/>
          <w:szCs w:val="31"/>
        </w:rPr>
      </w:pPr>
      <w:r>
        <w:rPr>
          <w:rFonts w:ascii="FangSong" w:hAnsi="FangSong" w:eastAsia="FangSong" w:cs="FangSong"/>
          <w:sz w:val="31"/>
          <w:szCs w:val="31"/>
          <w:spacing w:val="7"/>
        </w:rPr>
        <w:t>《性病防治管理办法》第四十八条第一款</w:t>
      </w:r>
      <w:r>
        <w:rPr>
          <w:rFonts w:ascii="FangSong" w:hAnsi="FangSong" w:eastAsia="FangSong" w:cs="FangSong"/>
          <w:sz w:val="31"/>
          <w:szCs w:val="31"/>
          <w:spacing w:val="7"/>
        </w:rPr>
        <w:t xml:space="preserve">  </w:t>
      </w:r>
      <w:r>
        <w:rPr>
          <w:rFonts w:ascii="FangSong" w:hAnsi="FangSong" w:eastAsia="FangSong" w:cs="FangSong"/>
          <w:sz w:val="31"/>
          <w:szCs w:val="31"/>
          <w:spacing w:val="7"/>
        </w:rPr>
        <w:t>医疗机构违反本办法规定，超出诊疗科目登记范围开</w:t>
      </w:r>
      <w:r>
        <w:rPr>
          <w:rFonts w:ascii="FangSong" w:hAnsi="FangSong" w:eastAsia="FangSong" w:cs="FangSong"/>
          <w:sz w:val="31"/>
          <w:szCs w:val="31"/>
          <w:spacing w:val="5"/>
        </w:rPr>
        <w:t xml:space="preserve"> </w:t>
      </w:r>
      <w:r>
        <w:rPr>
          <w:rFonts w:ascii="FangSong" w:hAnsi="FangSong" w:eastAsia="FangSong" w:cs="FangSong"/>
          <w:sz w:val="31"/>
          <w:szCs w:val="31"/>
          <w:spacing w:val="8"/>
        </w:rPr>
        <w:t>展性病诊疗活动的，按照《医疗机构管理条例》及其实施细则的有关规定进行处理。</w:t>
      </w:r>
    </w:p>
    <w:p>
      <w:pPr>
        <w:ind w:left="145" w:right="83" w:firstLine="605"/>
        <w:spacing w:before="2" w:line="277" w:lineRule="auto"/>
        <w:rPr>
          <w:rFonts w:ascii="FangSong" w:hAnsi="FangSong" w:eastAsia="FangSong" w:cs="FangSong"/>
          <w:sz w:val="31"/>
          <w:szCs w:val="31"/>
        </w:rPr>
      </w:pPr>
      <w:r>
        <w:rPr>
          <w:rFonts w:ascii="FangSong" w:hAnsi="FangSong" w:eastAsia="FangSong" w:cs="FangSong"/>
          <w:sz w:val="31"/>
          <w:szCs w:val="31"/>
          <w:spacing w:val="7"/>
        </w:rPr>
        <w:t>《医疗机构管理条例》第四十六条</w:t>
      </w:r>
      <w:r>
        <w:rPr>
          <w:rFonts w:ascii="FangSong" w:hAnsi="FangSong" w:eastAsia="FangSong" w:cs="FangSong"/>
          <w:sz w:val="31"/>
          <w:szCs w:val="31"/>
          <w:spacing w:val="7"/>
        </w:rPr>
        <w:t xml:space="preserve">  </w:t>
      </w:r>
      <w:r>
        <w:rPr>
          <w:rFonts w:ascii="FangSong" w:hAnsi="FangSong" w:eastAsia="FangSong" w:cs="FangSong"/>
          <w:sz w:val="31"/>
          <w:szCs w:val="31"/>
          <w:spacing w:val="7"/>
        </w:rPr>
        <w:t>违反本条例第二十六条规定，诊疗活动超出登记或者备案范</w:t>
      </w:r>
      <w:r>
        <w:rPr>
          <w:rFonts w:ascii="FangSong" w:hAnsi="FangSong" w:eastAsia="FangSong" w:cs="FangSong"/>
          <w:sz w:val="31"/>
          <w:szCs w:val="31"/>
          <w:spacing w:val="14"/>
        </w:rPr>
        <w:t xml:space="preserve"> </w:t>
      </w:r>
      <w:r>
        <w:rPr>
          <w:rFonts w:ascii="FangSong" w:hAnsi="FangSong" w:eastAsia="FangSong" w:cs="FangSong"/>
          <w:sz w:val="31"/>
          <w:szCs w:val="31"/>
          <w:spacing w:val="7"/>
        </w:rPr>
        <w:t>围的，由县级以上人民政府卫生行政部门予以警告、责令其</w:t>
      </w:r>
      <w:r>
        <w:rPr>
          <w:rFonts w:ascii="FangSong" w:hAnsi="FangSong" w:eastAsia="FangSong" w:cs="FangSong"/>
          <w:sz w:val="31"/>
          <w:szCs w:val="31"/>
          <w:spacing w:val="6"/>
        </w:rPr>
        <w:t>改正，没收违法所得，并可以根据情节处</w:t>
      </w:r>
    </w:p>
    <w:p>
      <w:pPr>
        <w:spacing w:line="277" w:lineRule="auto"/>
        <w:sectPr>
          <w:footerReference w:type="default" r:id="rId306"/>
          <w:pgSz w:w="16830" w:h="11900"/>
          <w:pgMar w:top="1011" w:right="1344" w:bottom="1107" w:left="1314" w:header="0" w:footer="774" w:gutter="0"/>
        </w:sectPr>
        <w:rPr>
          <w:rFonts w:ascii="FangSong" w:hAnsi="FangSong" w:eastAsia="FangSong" w:cs="FangSong"/>
          <w:sz w:val="31"/>
          <w:szCs w:val="31"/>
        </w:rPr>
      </w:pPr>
    </w:p>
    <w:p>
      <w:pPr>
        <w:pStyle w:val="BodyText"/>
        <w:spacing w:line="266" w:lineRule="auto"/>
        <w:rPr/>
      </w:pPr>
      <w:r/>
    </w:p>
    <w:p>
      <w:pPr>
        <w:pStyle w:val="BodyText"/>
        <w:spacing w:line="266" w:lineRule="auto"/>
        <w:rPr/>
      </w:pPr>
      <w:r/>
    </w:p>
    <w:p>
      <w:pPr>
        <w:pStyle w:val="BodyText"/>
        <w:spacing w:line="267" w:lineRule="auto"/>
        <w:rPr/>
      </w:pPr>
      <w:r/>
    </w:p>
    <w:p>
      <w:pPr>
        <w:ind w:left="124" w:right="82" w:firstLine="20"/>
        <w:spacing w:before="91" w:line="284" w:lineRule="auto"/>
        <w:rPr>
          <w:rFonts w:ascii="FangSong" w:hAnsi="FangSong" w:eastAsia="FangSong" w:cs="FangSong"/>
          <w:sz w:val="28"/>
          <w:szCs w:val="28"/>
        </w:rPr>
      </w:pPr>
      <w:r>
        <w:rPr>
          <w:rFonts w:ascii="FangSong" w:hAnsi="FangSong" w:eastAsia="FangSong" w:cs="FangSong"/>
          <w:sz w:val="28"/>
          <w:szCs w:val="28"/>
          <w:spacing w:val="46"/>
        </w:rPr>
        <w:t>以1万元以上10万元以下的罚款；情节严重的，吊销其《医疗机构执业许可证》或者责令其停止执</w:t>
      </w:r>
      <w:r>
        <w:rPr>
          <w:rFonts w:ascii="FangSong" w:hAnsi="FangSong" w:eastAsia="FangSong" w:cs="FangSong"/>
          <w:sz w:val="28"/>
          <w:szCs w:val="28"/>
          <w:spacing w:val="17"/>
        </w:rPr>
        <w:t xml:space="preserve"> </w:t>
      </w:r>
      <w:r>
        <w:rPr>
          <w:rFonts w:ascii="FangSong" w:hAnsi="FangSong" w:eastAsia="FangSong" w:cs="FangSong"/>
          <w:sz w:val="28"/>
          <w:szCs w:val="28"/>
          <w:spacing w:val="30"/>
        </w:rPr>
        <w:t>业活动。</w:t>
      </w:r>
    </w:p>
    <w:p>
      <w:pPr>
        <w:ind w:left="6539"/>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34" w:lineRule="auto"/>
        <w:rPr>
          <w:rFonts w:ascii="Arial"/>
          <w:sz w:val="2"/>
        </w:rPr>
      </w:pPr>
      <w:r>
        <w:rPr>
          <w:rFonts w:ascii="Arial"/>
          <w:sz w:val="2"/>
        </w:r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5586"/>
        <w:gridCol w:w="7130"/>
      </w:tblGrid>
      <w:tr>
        <w:trPr>
          <w:trHeight w:val="414" w:hRule="atLeast"/>
        </w:trPr>
        <w:tc>
          <w:tcPr>
            <w:tcW w:w="1444" w:type="dxa"/>
            <w:vAlign w:val="top"/>
          </w:tcPr>
          <w:p>
            <w:pPr>
              <w:pStyle w:val="TableText"/>
              <w:ind w:left="78"/>
              <w:spacing w:before="82" w:line="220" w:lineRule="auto"/>
              <w:rPr>
                <w:sz w:val="25"/>
                <w:szCs w:val="25"/>
              </w:rPr>
            </w:pPr>
            <w:r>
              <w:rPr>
                <w:sz w:val="25"/>
                <w:szCs w:val="25"/>
                <w:b/>
                <w:bCs/>
                <w:spacing w:val="-5"/>
              </w:rPr>
              <w:t>违法程度</w:t>
            </w:r>
          </w:p>
        </w:tc>
        <w:tc>
          <w:tcPr>
            <w:tcW w:w="5586" w:type="dxa"/>
            <w:vAlign w:val="top"/>
          </w:tcPr>
          <w:p>
            <w:pPr>
              <w:pStyle w:val="TableText"/>
              <w:ind w:left="2214"/>
              <w:spacing w:before="82" w:line="220" w:lineRule="auto"/>
              <w:rPr>
                <w:sz w:val="25"/>
                <w:szCs w:val="25"/>
              </w:rPr>
            </w:pPr>
            <w:r>
              <w:rPr>
                <w:sz w:val="25"/>
                <w:szCs w:val="25"/>
                <w:b/>
                <w:bCs/>
                <w:spacing w:val="-5"/>
              </w:rPr>
              <w:t>违法后果</w:t>
            </w:r>
          </w:p>
        </w:tc>
        <w:tc>
          <w:tcPr>
            <w:tcW w:w="7130" w:type="dxa"/>
            <w:vAlign w:val="top"/>
          </w:tcPr>
          <w:p>
            <w:pPr>
              <w:pStyle w:val="TableText"/>
              <w:ind w:left="3058"/>
              <w:spacing w:before="79" w:line="218" w:lineRule="auto"/>
              <w:rPr>
                <w:sz w:val="25"/>
                <w:szCs w:val="25"/>
              </w:rPr>
            </w:pPr>
            <w:r>
              <w:rPr>
                <w:sz w:val="25"/>
                <w:szCs w:val="25"/>
                <w:b/>
                <w:bCs/>
                <w:spacing w:val="-5"/>
              </w:rPr>
              <w:t>裁量幅度</w:t>
            </w:r>
          </w:p>
        </w:tc>
      </w:tr>
      <w:tr>
        <w:trPr>
          <w:trHeight w:val="1338" w:hRule="atLeast"/>
        </w:trPr>
        <w:tc>
          <w:tcPr>
            <w:tcW w:w="1444" w:type="dxa"/>
            <w:vAlign w:val="top"/>
          </w:tcPr>
          <w:p>
            <w:pPr>
              <w:spacing w:line="465" w:lineRule="auto"/>
              <w:rPr>
                <w:rFonts w:ascii="Arial"/>
                <w:sz w:val="21"/>
              </w:rPr>
            </w:pPr>
            <w:r/>
          </w:p>
          <w:p>
            <w:pPr>
              <w:pStyle w:val="TableText"/>
              <w:ind w:left="468"/>
              <w:spacing w:before="81" w:line="221" w:lineRule="auto"/>
              <w:rPr>
                <w:sz w:val="25"/>
                <w:szCs w:val="25"/>
              </w:rPr>
            </w:pPr>
            <w:r>
              <w:rPr>
                <w:sz w:val="25"/>
                <w:szCs w:val="25"/>
                <w:b/>
                <w:bCs/>
                <w:spacing w:val="-10"/>
              </w:rPr>
              <w:t>一般</w:t>
            </w:r>
          </w:p>
        </w:tc>
        <w:tc>
          <w:tcPr>
            <w:tcW w:w="5586" w:type="dxa"/>
            <w:vAlign w:val="top"/>
          </w:tcPr>
          <w:p>
            <w:pPr>
              <w:pStyle w:val="TableText"/>
              <w:ind w:left="90"/>
              <w:spacing w:before="149" w:line="290" w:lineRule="auto"/>
              <w:jc w:val="both"/>
              <w:rPr>
                <w:sz w:val="25"/>
                <w:szCs w:val="25"/>
              </w:rPr>
            </w:pPr>
            <w:r>
              <w:rPr>
                <w:sz w:val="25"/>
                <w:szCs w:val="25"/>
                <w:spacing w:val="-2"/>
              </w:rPr>
              <w:t>医疗机构诊疗活动超出登记或者备案范围开展性病</w:t>
            </w:r>
            <w:r>
              <w:rPr>
                <w:sz w:val="25"/>
                <w:szCs w:val="25"/>
                <w:spacing w:val="17"/>
              </w:rPr>
              <w:t xml:space="preserve"> </w:t>
            </w:r>
            <w:r>
              <w:rPr>
                <w:sz w:val="25"/>
                <w:szCs w:val="25"/>
                <w:spacing w:val="-1"/>
              </w:rPr>
              <w:t>诊疗活动，无违法所得的、违法所得无法认定的或</w:t>
            </w:r>
            <w:r>
              <w:rPr>
                <w:sz w:val="25"/>
                <w:szCs w:val="25"/>
                <w:spacing w:val="6"/>
              </w:rPr>
              <w:t xml:space="preserve"> </w:t>
            </w:r>
            <w:r>
              <w:rPr>
                <w:sz w:val="25"/>
                <w:szCs w:val="25"/>
                <w:spacing w:val="1"/>
              </w:rPr>
              <w:t>诊疗活动违法所得在1万元以下的</w:t>
            </w:r>
          </w:p>
        </w:tc>
        <w:tc>
          <w:tcPr>
            <w:tcW w:w="7130" w:type="dxa"/>
            <w:vAlign w:val="top"/>
          </w:tcPr>
          <w:p>
            <w:pPr>
              <w:spacing w:line="287" w:lineRule="auto"/>
              <w:rPr>
                <w:rFonts w:ascii="Arial"/>
                <w:sz w:val="21"/>
              </w:rPr>
            </w:pPr>
            <w:r/>
          </w:p>
          <w:p>
            <w:pPr>
              <w:pStyle w:val="TableText"/>
              <w:ind w:left="114" w:hanging="99"/>
              <w:spacing w:before="81" w:line="350" w:lineRule="auto"/>
              <w:rPr>
                <w:sz w:val="25"/>
                <w:szCs w:val="25"/>
              </w:rPr>
            </w:pPr>
            <w:r>
              <w:rPr>
                <w:sz w:val="25"/>
                <w:szCs w:val="25"/>
                <w:spacing w:val="-5"/>
              </w:rPr>
              <w:t>由县级以上人民政府卫生行政部门予以警告、责令其改正，没</w:t>
            </w:r>
            <w:r>
              <w:rPr>
                <w:sz w:val="25"/>
                <w:szCs w:val="25"/>
                <w:spacing w:val="-6"/>
              </w:rPr>
              <w:t>收违</w:t>
            </w:r>
            <w:r>
              <w:rPr>
                <w:sz w:val="25"/>
                <w:szCs w:val="25"/>
              </w:rPr>
              <w:t xml:space="preserve"> </w:t>
            </w:r>
            <w:r>
              <w:rPr>
                <w:sz w:val="25"/>
                <w:szCs w:val="25"/>
              </w:rPr>
              <w:t>法所得，并可以根据情节处以1万元以上3万元以下的罚款</w:t>
            </w:r>
          </w:p>
        </w:tc>
      </w:tr>
      <w:tr>
        <w:trPr>
          <w:trHeight w:val="868" w:hRule="atLeast"/>
        </w:trPr>
        <w:tc>
          <w:tcPr>
            <w:tcW w:w="1444" w:type="dxa"/>
            <w:vAlign w:val="top"/>
          </w:tcPr>
          <w:p>
            <w:pPr>
              <w:spacing w:line="290" w:lineRule="auto"/>
              <w:rPr>
                <w:rFonts w:ascii="Arial"/>
                <w:sz w:val="21"/>
              </w:rPr>
            </w:pPr>
            <w:r/>
          </w:p>
          <w:p>
            <w:pPr>
              <w:pStyle w:val="TableText"/>
              <w:ind w:left="468"/>
              <w:spacing w:before="81" w:line="221" w:lineRule="auto"/>
              <w:rPr>
                <w:sz w:val="25"/>
                <w:szCs w:val="25"/>
              </w:rPr>
            </w:pPr>
            <w:r>
              <w:rPr>
                <w:sz w:val="25"/>
                <w:szCs w:val="25"/>
                <w:b/>
                <w:bCs/>
                <w:spacing w:val="-6"/>
              </w:rPr>
              <w:t>较重</w:t>
            </w:r>
          </w:p>
        </w:tc>
        <w:tc>
          <w:tcPr>
            <w:tcW w:w="5586" w:type="dxa"/>
            <w:vAlign w:val="top"/>
          </w:tcPr>
          <w:p>
            <w:pPr>
              <w:pStyle w:val="TableText"/>
              <w:ind w:left="90" w:right="6"/>
              <w:spacing w:before="151" w:line="261" w:lineRule="auto"/>
              <w:rPr>
                <w:sz w:val="25"/>
                <w:szCs w:val="25"/>
              </w:rPr>
            </w:pPr>
            <w:r>
              <w:rPr>
                <w:sz w:val="25"/>
                <w:szCs w:val="25"/>
                <w:spacing w:val="-1"/>
              </w:rPr>
              <w:t>医疗机构诊疗活动超出登记或者备案范围开展性病</w:t>
            </w:r>
            <w:r>
              <w:rPr>
                <w:sz w:val="25"/>
                <w:szCs w:val="25"/>
              </w:rPr>
              <w:t xml:space="preserve"> </w:t>
            </w:r>
            <w:r>
              <w:rPr>
                <w:sz w:val="25"/>
                <w:szCs w:val="25"/>
              </w:rPr>
              <w:t>诊疗活动违法所得在1万元以上5万元以内的</w:t>
            </w:r>
          </w:p>
        </w:tc>
        <w:tc>
          <w:tcPr>
            <w:tcW w:w="7130" w:type="dxa"/>
            <w:vAlign w:val="top"/>
          </w:tcPr>
          <w:p>
            <w:pPr>
              <w:pStyle w:val="TableText"/>
              <w:ind w:left="114" w:hanging="99"/>
              <w:spacing w:before="151" w:line="261" w:lineRule="auto"/>
              <w:rPr>
                <w:sz w:val="25"/>
                <w:szCs w:val="25"/>
              </w:rPr>
            </w:pPr>
            <w:r>
              <w:rPr>
                <w:sz w:val="25"/>
                <w:szCs w:val="25"/>
                <w:spacing w:val="-5"/>
              </w:rPr>
              <w:t>由县级以上人民政府卫生行政部门予以警告、责令其改正，没</w:t>
            </w:r>
            <w:r>
              <w:rPr>
                <w:sz w:val="25"/>
                <w:szCs w:val="25"/>
                <w:spacing w:val="-6"/>
              </w:rPr>
              <w:t>收违</w:t>
            </w:r>
            <w:r>
              <w:rPr>
                <w:sz w:val="25"/>
                <w:szCs w:val="25"/>
              </w:rPr>
              <w:t xml:space="preserve"> </w:t>
            </w:r>
            <w:r>
              <w:rPr>
                <w:sz w:val="25"/>
                <w:szCs w:val="25"/>
              </w:rPr>
              <w:t>法所得，并可以根据情节处以3万元以上8万元以下的罚款</w:t>
            </w:r>
          </w:p>
        </w:tc>
      </w:tr>
      <w:tr>
        <w:trPr>
          <w:trHeight w:val="1757" w:hRule="atLeast"/>
        </w:trPr>
        <w:tc>
          <w:tcPr>
            <w:tcW w:w="1444" w:type="dxa"/>
            <w:vAlign w:val="top"/>
          </w:tcPr>
          <w:p>
            <w:pPr>
              <w:spacing w:line="338" w:lineRule="auto"/>
              <w:rPr>
                <w:rFonts w:ascii="Arial"/>
                <w:sz w:val="21"/>
              </w:rPr>
            </w:pPr>
            <w:r/>
          </w:p>
          <w:p>
            <w:pPr>
              <w:spacing w:line="339" w:lineRule="auto"/>
              <w:rPr>
                <w:rFonts w:ascii="Arial"/>
                <w:sz w:val="21"/>
              </w:rPr>
            </w:pPr>
            <w:r/>
          </w:p>
          <w:p>
            <w:pPr>
              <w:pStyle w:val="TableText"/>
              <w:ind w:left="468"/>
              <w:spacing w:before="81" w:line="220" w:lineRule="auto"/>
              <w:rPr>
                <w:sz w:val="25"/>
                <w:szCs w:val="25"/>
              </w:rPr>
            </w:pPr>
            <w:r>
              <w:rPr>
                <w:sz w:val="25"/>
                <w:szCs w:val="25"/>
                <w:b/>
                <w:bCs/>
                <w:spacing w:val="-6"/>
              </w:rPr>
              <w:t>严重</w:t>
            </w:r>
          </w:p>
        </w:tc>
        <w:tc>
          <w:tcPr>
            <w:tcW w:w="5586" w:type="dxa"/>
            <w:vAlign w:val="top"/>
          </w:tcPr>
          <w:p>
            <w:pPr>
              <w:pStyle w:val="TableText"/>
              <w:ind w:left="90"/>
              <w:spacing w:before="166" w:line="220" w:lineRule="auto"/>
              <w:rPr>
                <w:sz w:val="25"/>
                <w:szCs w:val="25"/>
              </w:rPr>
            </w:pPr>
            <w:r>
              <w:rPr>
                <w:sz w:val="25"/>
                <w:szCs w:val="25"/>
                <w:spacing w:val="2"/>
              </w:rPr>
              <w:t>有下列情形之一的：</w:t>
            </w:r>
          </w:p>
          <w:p>
            <w:pPr>
              <w:pStyle w:val="TableText"/>
              <w:ind w:left="90" w:hanging="9"/>
              <w:spacing w:before="130" w:line="276" w:lineRule="auto"/>
              <w:rPr>
                <w:sz w:val="25"/>
                <w:szCs w:val="25"/>
              </w:rPr>
            </w:pPr>
            <w:r>
              <w:rPr>
                <w:sz w:val="25"/>
                <w:szCs w:val="25"/>
                <w:spacing w:val="-1"/>
              </w:rPr>
              <w:t>A.超出登记的诊疗科目范围开展性病诊疗活动违法</w:t>
            </w:r>
            <w:r>
              <w:rPr>
                <w:sz w:val="25"/>
                <w:szCs w:val="25"/>
                <w:spacing w:val="16"/>
              </w:rPr>
              <w:t xml:space="preserve"> </w:t>
            </w:r>
            <w:r>
              <w:rPr>
                <w:sz w:val="25"/>
                <w:szCs w:val="25"/>
                <w:spacing w:val="2"/>
              </w:rPr>
              <w:t>所得在5万元以上的</w:t>
            </w:r>
          </w:p>
          <w:p>
            <w:pPr>
              <w:pStyle w:val="TableText"/>
              <w:ind w:left="90"/>
              <w:spacing w:before="132" w:line="201" w:lineRule="auto"/>
              <w:rPr>
                <w:sz w:val="25"/>
                <w:szCs w:val="25"/>
              </w:rPr>
            </w:pPr>
            <w:r>
              <w:rPr>
                <w:sz w:val="25"/>
                <w:szCs w:val="25"/>
                <w:spacing w:val="1"/>
              </w:rPr>
              <w:t>B.给患者造成伤害</w:t>
            </w:r>
          </w:p>
        </w:tc>
        <w:tc>
          <w:tcPr>
            <w:tcW w:w="7130" w:type="dxa"/>
            <w:vAlign w:val="top"/>
          </w:tcPr>
          <w:p>
            <w:pPr>
              <w:spacing w:line="254" w:lineRule="auto"/>
              <w:rPr>
                <w:rFonts w:ascii="Arial"/>
                <w:sz w:val="21"/>
              </w:rPr>
            </w:pPr>
            <w:r/>
          </w:p>
          <w:p>
            <w:pPr>
              <w:spacing w:line="255" w:lineRule="auto"/>
              <w:rPr>
                <w:rFonts w:ascii="Arial"/>
                <w:sz w:val="21"/>
              </w:rPr>
            </w:pPr>
            <w:r/>
          </w:p>
          <w:p>
            <w:pPr>
              <w:pStyle w:val="TableText"/>
              <w:ind w:left="114" w:hanging="99"/>
              <w:spacing w:before="81" w:line="343" w:lineRule="auto"/>
              <w:rPr>
                <w:sz w:val="25"/>
                <w:szCs w:val="25"/>
              </w:rPr>
            </w:pPr>
            <w:r>
              <w:rPr>
                <w:sz w:val="25"/>
                <w:szCs w:val="25"/>
                <w:spacing w:val="-5"/>
              </w:rPr>
              <w:t>由县级以上人民政府卫生行政部门予以警告、责令其改正，没</w:t>
            </w:r>
            <w:r>
              <w:rPr>
                <w:sz w:val="25"/>
                <w:szCs w:val="25"/>
                <w:spacing w:val="-6"/>
              </w:rPr>
              <w:t>收违</w:t>
            </w:r>
            <w:r>
              <w:rPr>
                <w:sz w:val="25"/>
                <w:szCs w:val="25"/>
              </w:rPr>
              <w:t xml:space="preserve"> </w:t>
            </w:r>
            <w:r>
              <w:rPr>
                <w:sz w:val="25"/>
                <w:szCs w:val="25"/>
                <w:spacing w:val="-1"/>
              </w:rPr>
              <w:t>法所得，并可以根据情节处以8万元以上10万元以下的罚款</w:t>
            </w:r>
          </w:p>
        </w:tc>
      </w:tr>
      <w:tr>
        <w:trPr>
          <w:trHeight w:val="1333" w:hRule="atLeast"/>
        </w:trPr>
        <w:tc>
          <w:tcPr>
            <w:tcW w:w="1444" w:type="dxa"/>
            <w:vAlign w:val="top"/>
          </w:tcPr>
          <w:p>
            <w:pPr>
              <w:spacing w:line="460" w:lineRule="auto"/>
              <w:rPr>
                <w:rFonts w:ascii="Arial"/>
                <w:sz w:val="21"/>
              </w:rPr>
            </w:pPr>
            <w:r/>
          </w:p>
          <w:p>
            <w:pPr>
              <w:pStyle w:val="TableText"/>
              <w:ind w:left="218"/>
              <w:spacing w:before="82" w:line="219" w:lineRule="auto"/>
              <w:rPr>
                <w:sz w:val="25"/>
                <w:szCs w:val="25"/>
              </w:rPr>
            </w:pPr>
            <w:r>
              <w:rPr>
                <w:sz w:val="25"/>
                <w:szCs w:val="25"/>
                <w:b/>
                <w:bCs/>
                <w:spacing w:val="-5"/>
              </w:rPr>
              <w:t>特别严重</w:t>
            </w:r>
          </w:p>
        </w:tc>
        <w:tc>
          <w:tcPr>
            <w:tcW w:w="5586" w:type="dxa"/>
            <w:vAlign w:val="top"/>
          </w:tcPr>
          <w:p>
            <w:pPr>
              <w:spacing w:line="465" w:lineRule="auto"/>
              <w:rPr>
                <w:rFonts w:ascii="Arial"/>
                <w:sz w:val="21"/>
              </w:rPr>
            </w:pPr>
            <w:r/>
          </w:p>
          <w:p>
            <w:pPr>
              <w:pStyle w:val="TableText"/>
              <w:ind w:left="90"/>
              <w:spacing w:before="81" w:line="220" w:lineRule="auto"/>
              <w:rPr>
                <w:sz w:val="25"/>
                <w:szCs w:val="25"/>
              </w:rPr>
            </w:pPr>
            <w:r>
              <w:rPr>
                <w:sz w:val="25"/>
                <w:szCs w:val="25"/>
                <w:spacing w:val="1"/>
              </w:rPr>
              <w:t>情节严重，造成患者死亡的</w:t>
            </w:r>
          </w:p>
        </w:tc>
        <w:tc>
          <w:tcPr>
            <w:tcW w:w="7130" w:type="dxa"/>
            <w:vAlign w:val="top"/>
          </w:tcPr>
          <w:p>
            <w:pPr>
              <w:pStyle w:val="TableText"/>
              <w:ind w:left="54" w:hanging="39"/>
              <w:spacing w:before="165" w:line="285" w:lineRule="auto"/>
              <w:jc w:val="both"/>
              <w:rPr>
                <w:sz w:val="25"/>
                <w:szCs w:val="25"/>
              </w:rPr>
            </w:pPr>
            <w:r>
              <w:rPr>
                <w:sz w:val="25"/>
                <w:szCs w:val="25"/>
                <w:spacing w:val="-5"/>
              </w:rPr>
              <w:t>由县级以上人民政府卫生行政部门予以警告、责令其改正，没</w:t>
            </w:r>
            <w:r>
              <w:rPr>
                <w:sz w:val="25"/>
                <w:szCs w:val="25"/>
                <w:spacing w:val="-6"/>
              </w:rPr>
              <w:t>收违</w:t>
            </w:r>
            <w:r>
              <w:rPr>
                <w:sz w:val="25"/>
                <w:szCs w:val="25"/>
              </w:rPr>
              <w:t xml:space="preserve"> </w:t>
            </w:r>
            <w:r>
              <w:rPr>
                <w:sz w:val="25"/>
                <w:szCs w:val="25"/>
              </w:rPr>
              <w:t>法所得，并可以根据情节处以10万元的罚款，吊销其《医疗机构</w:t>
            </w:r>
            <w:r>
              <w:rPr>
                <w:sz w:val="25"/>
                <w:szCs w:val="25"/>
                <w:spacing w:val="10"/>
              </w:rPr>
              <w:t xml:space="preserve"> </w:t>
            </w:r>
            <w:r>
              <w:rPr>
                <w:sz w:val="25"/>
                <w:szCs w:val="25"/>
                <w:spacing w:val="4"/>
              </w:rPr>
              <w:t>执业许可证》或者责令其停止执业活动</w:t>
            </w:r>
          </w:p>
        </w:tc>
      </w:tr>
    </w:tbl>
    <w:p>
      <w:pPr>
        <w:pStyle w:val="BodyText"/>
        <w:rPr/>
      </w:pPr>
      <w:r/>
    </w:p>
    <w:p>
      <w:pPr>
        <w:sectPr>
          <w:footerReference w:type="default" r:id="rId307"/>
          <w:pgSz w:w="16830" w:h="11900"/>
          <w:pgMar w:top="1011" w:right="1344" w:bottom="1130" w:left="1314" w:header="0" w:footer="806" w:gutter="0"/>
        </w:sectPr>
        <w:rPr/>
      </w:pPr>
    </w:p>
    <w:p>
      <w:pPr>
        <w:pStyle w:val="BodyText"/>
        <w:spacing w:line="258" w:lineRule="auto"/>
        <w:rPr/>
      </w:pPr>
      <w:r/>
    </w:p>
    <w:p>
      <w:pPr>
        <w:pStyle w:val="BodyText"/>
        <w:spacing w:line="259" w:lineRule="auto"/>
        <w:rPr/>
      </w:pPr>
      <w:r/>
    </w:p>
    <w:p>
      <w:pPr>
        <w:pStyle w:val="BodyText"/>
        <w:spacing w:line="259" w:lineRule="auto"/>
        <w:rPr/>
      </w:pPr>
      <w:r/>
    </w:p>
    <w:p>
      <w:pPr>
        <w:ind w:left="499"/>
        <w:spacing w:before="98" w:line="223" w:lineRule="auto"/>
        <w:rPr>
          <w:rFonts w:ascii="KaiTi" w:hAnsi="KaiTi" w:eastAsia="KaiTi" w:cs="KaiTi"/>
          <w:sz w:val="30"/>
          <w:szCs w:val="30"/>
        </w:rPr>
      </w:pPr>
      <w:bookmarkStart w:name="bookmark959" w:id="328"/>
      <w:bookmarkEnd w:id="328"/>
      <w:r>
        <w:rPr>
          <w:rFonts w:ascii="KaiTi" w:hAnsi="KaiTi" w:eastAsia="KaiTi" w:cs="KaiTi"/>
          <w:sz w:val="30"/>
          <w:szCs w:val="30"/>
          <w:b/>
          <w:bCs/>
          <w:spacing w:val="29"/>
        </w:rPr>
        <w:t>(十七)《人体器官移植条例》</w:t>
      </w:r>
    </w:p>
    <w:p>
      <w:pPr>
        <w:pStyle w:val="BodyText"/>
        <w:spacing w:line="250" w:lineRule="auto"/>
        <w:rPr/>
      </w:pPr>
      <w:r/>
    </w:p>
    <w:p>
      <w:pPr>
        <w:ind w:left="679"/>
        <w:spacing w:before="97" w:line="220" w:lineRule="auto"/>
        <w:rPr>
          <w:rFonts w:ascii="FangSong" w:hAnsi="FangSong" w:eastAsia="FangSong" w:cs="FangSong"/>
          <w:sz w:val="30"/>
          <w:szCs w:val="30"/>
        </w:rPr>
      </w:pPr>
      <w:r>
        <w:rPr>
          <w:rFonts w:ascii="FangSong" w:hAnsi="FangSong" w:eastAsia="FangSong" w:cs="FangSong"/>
          <w:sz w:val="30"/>
          <w:szCs w:val="30"/>
          <w:b/>
          <w:bCs/>
          <w:spacing w:val="22"/>
        </w:rPr>
        <w:t>第二百四十八条买卖人体器官或者从事与买卖人体器官有关活动的</w:t>
      </w:r>
    </w:p>
    <w:p>
      <w:pPr>
        <w:ind w:left="685"/>
        <w:spacing w:before="129" w:line="222" w:lineRule="auto"/>
        <w:rPr>
          <w:rFonts w:ascii="FangSong" w:hAnsi="FangSong" w:eastAsia="FangSong" w:cs="FangSong"/>
          <w:sz w:val="26"/>
          <w:szCs w:val="26"/>
        </w:rPr>
      </w:pPr>
      <w:r>
        <w:rPr>
          <w:rFonts w:ascii="FangSong" w:hAnsi="FangSong" w:eastAsia="FangSong" w:cs="FangSong"/>
          <w:sz w:val="26"/>
          <w:szCs w:val="26"/>
          <w:spacing w:val="34"/>
        </w:rPr>
        <w:t>法律依据</w:t>
      </w:r>
      <w:r>
        <w:rPr>
          <w:rFonts w:ascii="FangSong" w:hAnsi="FangSong" w:eastAsia="FangSong" w:cs="FangSong"/>
          <w:sz w:val="26"/>
          <w:szCs w:val="26"/>
          <w:spacing w:val="-64"/>
        </w:rPr>
        <w:t xml:space="preserve"> </w:t>
      </w:r>
      <w:r>
        <w:rPr>
          <w:rFonts w:ascii="FangSong" w:hAnsi="FangSong" w:eastAsia="FangSong" w:cs="FangSong"/>
          <w:sz w:val="26"/>
          <w:szCs w:val="26"/>
          <w:spacing w:val="34"/>
        </w:rPr>
        <w:t>：</w:t>
      </w:r>
    </w:p>
    <w:p>
      <w:pPr>
        <w:ind w:left="25" w:firstLine="630"/>
        <w:spacing w:before="85" w:line="276" w:lineRule="auto"/>
        <w:jc w:val="both"/>
        <w:rPr>
          <w:rFonts w:ascii="FangSong" w:hAnsi="FangSong" w:eastAsia="FangSong" w:cs="FangSong"/>
          <w:sz w:val="26"/>
          <w:szCs w:val="26"/>
        </w:rPr>
      </w:pPr>
      <w:r>
        <w:rPr>
          <w:rFonts w:ascii="FangSong" w:hAnsi="FangSong" w:eastAsia="FangSong" w:cs="FangSong"/>
          <w:sz w:val="30"/>
          <w:szCs w:val="30"/>
          <w:spacing w:val="17"/>
        </w:rPr>
        <w:t>《人体器官移植条例》第二十六条第一款</w:t>
      </w:r>
      <w:r>
        <w:rPr>
          <w:rFonts w:ascii="FangSong" w:hAnsi="FangSong" w:eastAsia="FangSong" w:cs="FangSong"/>
          <w:sz w:val="30"/>
          <w:szCs w:val="30"/>
          <w:spacing w:val="17"/>
        </w:rPr>
        <w:t xml:space="preserve">  </w:t>
      </w:r>
      <w:r>
        <w:rPr>
          <w:rFonts w:ascii="FangSong" w:hAnsi="FangSong" w:eastAsia="FangSong" w:cs="FangSong"/>
          <w:sz w:val="30"/>
          <w:szCs w:val="30"/>
          <w:spacing w:val="16"/>
        </w:rPr>
        <w:t>违反本条例规定，买卖人体器官或者从事与买卖人体</w:t>
      </w:r>
      <w:r>
        <w:rPr>
          <w:rFonts w:ascii="FangSong" w:hAnsi="FangSong" w:eastAsia="FangSong" w:cs="FangSong"/>
          <w:sz w:val="30"/>
          <w:szCs w:val="30"/>
        </w:rPr>
        <w:t xml:space="preserve"> </w:t>
      </w:r>
      <w:r>
        <w:rPr>
          <w:rFonts w:ascii="FangSong" w:hAnsi="FangSong" w:eastAsia="FangSong" w:cs="FangSong"/>
          <w:sz w:val="30"/>
          <w:szCs w:val="30"/>
          <w:spacing w:val="17"/>
        </w:rPr>
        <w:t>器官有关活动的，由设区的市级以上地方人民政府卫生主管部门依照职责分工没收违法所得</w:t>
      </w:r>
      <w:r>
        <w:rPr>
          <w:rFonts w:ascii="FangSong" w:hAnsi="FangSong" w:eastAsia="FangSong" w:cs="FangSong"/>
          <w:sz w:val="30"/>
          <w:szCs w:val="30"/>
          <w:spacing w:val="16"/>
        </w:rPr>
        <w:t>，并处交</w:t>
      </w:r>
      <w:r>
        <w:rPr>
          <w:rFonts w:ascii="FangSong" w:hAnsi="FangSong" w:eastAsia="FangSong" w:cs="FangSong"/>
          <w:sz w:val="30"/>
          <w:szCs w:val="30"/>
        </w:rPr>
        <w:t xml:space="preserve"> </w:t>
      </w:r>
      <w:r>
        <w:rPr>
          <w:rFonts w:ascii="FangSong" w:hAnsi="FangSong" w:eastAsia="FangSong" w:cs="FangSong"/>
          <w:sz w:val="30"/>
          <w:szCs w:val="30"/>
          <w:spacing w:val="27"/>
        </w:rPr>
        <w:t>易额8倍以上10倍以下的罚款；医疗机构参与上述活动的，还应当对负有责任的主管人员和其他直</w:t>
      </w:r>
      <w:r>
        <w:rPr>
          <w:rFonts w:ascii="FangSong" w:hAnsi="FangSong" w:eastAsia="FangSong" w:cs="FangSong"/>
          <w:sz w:val="30"/>
          <w:szCs w:val="30"/>
          <w:spacing w:val="5"/>
        </w:rPr>
        <w:t xml:space="preserve"> </w:t>
      </w:r>
      <w:r>
        <w:rPr>
          <w:rFonts w:ascii="FangSong" w:hAnsi="FangSong" w:eastAsia="FangSong" w:cs="FangSong"/>
          <w:sz w:val="30"/>
          <w:szCs w:val="30"/>
          <w:spacing w:val="17"/>
        </w:rPr>
        <w:t>接责任人员依法给予处分，并由原登记部门撤销该医疗机构人体器官移植诊疗科目登记，该医疗机构</w:t>
      </w:r>
      <w:r>
        <w:rPr>
          <w:rFonts w:ascii="FangSong" w:hAnsi="FangSong" w:eastAsia="FangSong" w:cs="FangSong"/>
          <w:sz w:val="30"/>
          <w:szCs w:val="30"/>
          <w:spacing w:val="4"/>
        </w:rPr>
        <w:t xml:space="preserve"> </w:t>
      </w:r>
      <w:r>
        <w:rPr>
          <w:rFonts w:ascii="FangSong" w:hAnsi="FangSong" w:eastAsia="FangSong" w:cs="FangSong"/>
          <w:sz w:val="30"/>
          <w:szCs w:val="30"/>
          <w:spacing w:val="20"/>
        </w:rPr>
        <w:t>3年内不得再申请人体器官移植诊疗科目登记；医务人员参与上述活动的，</w:t>
      </w:r>
      <w:r>
        <w:rPr>
          <w:rFonts w:ascii="FangSong" w:hAnsi="FangSong" w:eastAsia="FangSong" w:cs="FangSong"/>
          <w:sz w:val="30"/>
          <w:szCs w:val="30"/>
          <w:spacing w:val="19"/>
        </w:rPr>
        <w:t>由原发证部门吊销其执业</w:t>
      </w:r>
      <w:r>
        <w:rPr>
          <w:rFonts w:ascii="FangSong" w:hAnsi="FangSong" w:eastAsia="FangSong" w:cs="FangSong"/>
          <w:sz w:val="30"/>
          <w:szCs w:val="30"/>
        </w:rPr>
        <w:t xml:space="preserve"> </w:t>
      </w:r>
      <w:r>
        <w:rPr>
          <w:rFonts w:ascii="FangSong" w:hAnsi="FangSong" w:eastAsia="FangSong" w:cs="FangSong"/>
          <w:sz w:val="26"/>
          <w:szCs w:val="26"/>
          <w:spacing w:val="-16"/>
        </w:rPr>
        <w:t>证</w:t>
      </w:r>
      <w:r>
        <w:rPr>
          <w:rFonts w:ascii="FangSong" w:hAnsi="FangSong" w:eastAsia="FangSong" w:cs="FangSong"/>
          <w:sz w:val="26"/>
          <w:szCs w:val="26"/>
          <w:spacing w:val="-24"/>
        </w:rPr>
        <w:t xml:space="preserve"> </w:t>
      </w:r>
      <w:r>
        <w:rPr>
          <w:rFonts w:ascii="FangSong" w:hAnsi="FangSong" w:eastAsia="FangSong" w:cs="FangSong"/>
          <w:sz w:val="26"/>
          <w:szCs w:val="26"/>
          <w:spacing w:val="-16"/>
        </w:rPr>
        <w:t>书</w:t>
      </w:r>
      <w:r>
        <w:rPr>
          <w:rFonts w:ascii="FangSong" w:hAnsi="FangSong" w:eastAsia="FangSong" w:cs="FangSong"/>
          <w:sz w:val="26"/>
          <w:szCs w:val="26"/>
          <w:spacing w:val="-55"/>
        </w:rPr>
        <w:t xml:space="preserve"> </w:t>
      </w:r>
      <w:r>
        <w:rPr>
          <w:rFonts w:ascii="FangSong" w:hAnsi="FangSong" w:eastAsia="FangSong" w:cs="FangSong"/>
          <w:sz w:val="26"/>
          <w:szCs w:val="26"/>
          <w:spacing w:val="-16"/>
        </w:rPr>
        <w:t>。</w:t>
      </w:r>
    </w:p>
    <w:p>
      <w:pPr>
        <w:ind w:left="6439"/>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1" w:lineRule="auto"/>
        <w:rPr>
          <w:rFonts w:ascii="Arial"/>
          <w:sz w:val="2"/>
        </w:rPr>
      </w:pPr>
      <w:r>
        <w:rPr>
          <w:rFonts w:ascii="Arial"/>
          <w:sz w:val="2"/>
        </w:rPr>
      </w:r>
    </w:p>
    <w:tbl>
      <w:tblPr>
        <w:tblStyle w:val="TableNormal"/>
        <w:tblW w:w="139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5835"/>
        <w:gridCol w:w="6690"/>
      </w:tblGrid>
      <w:tr>
        <w:trPr>
          <w:trHeight w:val="553" w:hRule="atLeast"/>
        </w:trPr>
        <w:tc>
          <w:tcPr>
            <w:tcW w:w="1434" w:type="dxa"/>
            <w:vAlign w:val="top"/>
          </w:tcPr>
          <w:p>
            <w:pPr>
              <w:pStyle w:val="TableText"/>
              <w:ind w:left="208"/>
              <w:spacing w:before="152" w:line="220" w:lineRule="auto"/>
              <w:rPr>
                <w:sz w:val="25"/>
                <w:szCs w:val="25"/>
              </w:rPr>
            </w:pPr>
            <w:r>
              <w:rPr>
                <w:sz w:val="25"/>
                <w:szCs w:val="25"/>
                <w:b/>
                <w:bCs/>
                <w:spacing w:val="-5"/>
              </w:rPr>
              <w:t>违法程度</w:t>
            </w:r>
          </w:p>
        </w:tc>
        <w:tc>
          <w:tcPr>
            <w:tcW w:w="5835" w:type="dxa"/>
            <w:vAlign w:val="top"/>
          </w:tcPr>
          <w:p>
            <w:pPr>
              <w:pStyle w:val="TableText"/>
              <w:ind w:left="2414"/>
              <w:spacing w:before="152" w:line="220" w:lineRule="auto"/>
              <w:rPr>
                <w:sz w:val="25"/>
                <w:szCs w:val="25"/>
              </w:rPr>
            </w:pPr>
            <w:r>
              <w:rPr>
                <w:sz w:val="25"/>
                <w:szCs w:val="25"/>
                <w:b/>
                <w:bCs/>
                <w:spacing w:val="-5"/>
              </w:rPr>
              <w:t>情节后果</w:t>
            </w:r>
          </w:p>
        </w:tc>
        <w:tc>
          <w:tcPr>
            <w:tcW w:w="6690" w:type="dxa"/>
            <w:vAlign w:val="top"/>
          </w:tcPr>
          <w:p>
            <w:pPr>
              <w:pStyle w:val="TableText"/>
              <w:ind w:left="2839"/>
              <w:spacing w:before="149" w:line="218" w:lineRule="auto"/>
              <w:rPr>
                <w:sz w:val="25"/>
                <w:szCs w:val="25"/>
              </w:rPr>
            </w:pPr>
            <w:r>
              <w:rPr>
                <w:sz w:val="25"/>
                <w:szCs w:val="25"/>
                <w:b/>
                <w:bCs/>
                <w:spacing w:val="-5"/>
              </w:rPr>
              <w:t>裁量幅度</w:t>
            </w:r>
          </w:p>
        </w:tc>
      </w:tr>
      <w:tr>
        <w:trPr>
          <w:trHeight w:val="1306" w:hRule="atLeast"/>
        </w:trPr>
        <w:tc>
          <w:tcPr>
            <w:tcW w:w="1434" w:type="dxa"/>
            <w:vAlign w:val="top"/>
          </w:tcPr>
          <w:p>
            <w:pPr>
              <w:spacing w:line="446" w:lineRule="auto"/>
              <w:rPr>
                <w:rFonts w:ascii="Arial"/>
                <w:sz w:val="21"/>
              </w:rPr>
            </w:pPr>
            <w:r/>
          </w:p>
          <w:p>
            <w:pPr>
              <w:pStyle w:val="TableText"/>
              <w:ind w:left="458"/>
              <w:spacing w:before="81" w:line="221" w:lineRule="auto"/>
              <w:rPr>
                <w:sz w:val="25"/>
                <w:szCs w:val="25"/>
              </w:rPr>
            </w:pPr>
            <w:r>
              <w:rPr>
                <w:sz w:val="25"/>
                <w:szCs w:val="25"/>
                <w:b/>
                <w:bCs/>
                <w:spacing w:val="-10"/>
              </w:rPr>
              <w:t>一般</w:t>
            </w:r>
          </w:p>
        </w:tc>
        <w:tc>
          <w:tcPr>
            <w:tcW w:w="5835" w:type="dxa"/>
            <w:vAlign w:val="top"/>
          </w:tcPr>
          <w:p>
            <w:pPr>
              <w:spacing w:line="289" w:lineRule="auto"/>
              <w:rPr>
                <w:rFonts w:ascii="Arial"/>
                <w:sz w:val="21"/>
              </w:rPr>
            </w:pPr>
            <w:r/>
          </w:p>
          <w:p>
            <w:pPr>
              <w:pStyle w:val="TableText"/>
              <w:ind w:left="110" w:right="33" w:hanging="79"/>
              <w:spacing w:before="81" w:line="319" w:lineRule="auto"/>
              <w:rPr>
                <w:sz w:val="25"/>
                <w:szCs w:val="25"/>
              </w:rPr>
            </w:pPr>
            <w:r>
              <w:rPr>
                <w:sz w:val="25"/>
                <w:szCs w:val="25"/>
              </w:rPr>
              <w:t>买卖人体器官或者从事与买卖人体器官有关活动，违</w:t>
            </w:r>
            <w:r>
              <w:rPr>
                <w:sz w:val="25"/>
                <w:szCs w:val="25"/>
                <w:spacing w:val="9"/>
              </w:rPr>
              <w:t xml:space="preserve"> </w:t>
            </w:r>
            <w:r>
              <w:rPr>
                <w:sz w:val="25"/>
                <w:szCs w:val="25"/>
                <w:spacing w:val="1"/>
              </w:rPr>
              <w:t>法所得不足5000元的</w:t>
            </w:r>
          </w:p>
        </w:tc>
        <w:tc>
          <w:tcPr>
            <w:tcW w:w="6690" w:type="dxa"/>
            <w:vAlign w:val="top"/>
          </w:tcPr>
          <w:p>
            <w:pPr>
              <w:pStyle w:val="TableText"/>
              <w:ind w:left="26"/>
              <w:spacing w:before="162" w:line="279" w:lineRule="auto"/>
              <w:jc w:val="both"/>
              <w:rPr>
                <w:sz w:val="25"/>
                <w:szCs w:val="25"/>
              </w:rPr>
            </w:pPr>
            <w:r>
              <w:rPr>
                <w:sz w:val="25"/>
                <w:szCs w:val="25"/>
                <w:spacing w:val="-4"/>
              </w:rPr>
              <w:t>由设区的市级以上地方人民政府卫生主管部门没收违法所得，</w:t>
            </w:r>
            <w:r>
              <w:rPr>
                <w:sz w:val="25"/>
                <w:szCs w:val="25"/>
                <w:spacing w:val="10"/>
              </w:rPr>
              <w:t xml:space="preserve"> </w:t>
            </w:r>
            <w:r>
              <w:rPr>
                <w:sz w:val="25"/>
                <w:szCs w:val="25"/>
                <w:spacing w:val="-3"/>
              </w:rPr>
              <w:t>并处交易额8倍的罚款；医务人员参与上述活动的，</w:t>
            </w:r>
            <w:r>
              <w:rPr>
                <w:sz w:val="25"/>
                <w:szCs w:val="25"/>
                <w:spacing w:val="-4"/>
              </w:rPr>
              <w:t>由原发证</w:t>
            </w:r>
            <w:r>
              <w:rPr>
                <w:sz w:val="25"/>
                <w:szCs w:val="25"/>
              </w:rPr>
              <w:t xml:space="preserve">  </w:t>
            </w:r>
            <w:r>
              <w:rPr>
                <w:sz w:val="25"/>
                <w:szCs w:val="25"/>
                <w:spacing w:val="9"/>
              </w:rPr>
              <w:t>部门吊销其执业证书</w:t>
            </w:r>
          </w:p>
        </w:tc>
      </w:tr>
      <w:tr>
        <w:trPr>
          <w:trHeight w:val="1321" w:hRule="atLeast"/>
        </w:trPr>
        <w:tc>
          <w:tcPr>
            <w:tcW w:w="1434" w:type="dxa"/>
            <w:vAlign w:val="top"/>
          </w:tcPr>
          <w:p>
            <w:pPr>
              <w:spacing w:line="459"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5835" w:type="dxa"/>
            <w:vAlign w:val="top"/>
          </w:tcPr>
          <w:p>
            <w:pPr>
              <w:spacing w:line="283" w:lineRule="auto"/>
              <w:rPr>
                <w:rFonts w:ascii="Arial"/>
                <w:sz w:val="21"/>
              </w:rPr>
            </w:pPr>
            <w:r/>
          </w:p>
          <w:p>
            <w:pPr>
              <w:pStyle w:val="TableText"/>
              <w:ind w:left="110" w:right="33" w:hanging="79"/>
              <w:spacing w:before="81" w:line="334" w:lineRule="auto"/>
              <w:rPr>
                <w:sz w:val="25"/>
                <w:szCs w:val="25"/>
              </w:rPr>
            </w:pPr>
            <w:r>
              <w:rPr>
                <w:sz w:val="25"/>
                <w:szCs w:val="25"/>
              </w:rPr>
              <w:t>买卖人体器官或者从事与买卖人体器官有关活动，违</w:t>
            </w:r>
            <w:r>
              <w:rPr>
                <w:sz w:val="25"/>
                <w:szCs w:val="25"/>
                <w:spacing w:val="9"/>
              </w:rPr>
              <w:t xml:space="preserve"> </w:t>
            </w:r>
            <w:r>
              <w:rPr>
                <w:sz w:val="25"/>
                <w:szCs w:val="25"/>
                <w:spacing w:val="1"/>
              </w:rPr>
              <w:t>法所得超过5000元的</w:t>
            </w:r>
          </w:p>
        </w:tc>
        <w:tc>
          <w:tcPr>
            <w:tcW w:w="6690" w:type="dxa"/>
            <w:vAlign w:val="top"/>
          </w:tcPr>
          <w:p>
            <w:pPr>
              <w:pStyle w:val="TableText"/>
              <w:ind w:left="26"/>
              <w:spacing w:before="165" w:line="282" w:lineRule="auto"/>
              <w:jc w:val="both"/>
              <w:rPr>
                <w:sz w:val="25"/>
                <w:szCs w:val="25"/>
              </w:rPr>
            </w:pPr>
            <w:r>
              <w:rPr>
                <w:sz w:val="25"/>
                <w:szCs w:val="25"/>
                <w:spacing w:val="-4"/>
              </w:rPr>
              <w:t>由设区的市级以上地方人民政府卫生主管部门没收违法所得，</w:t>
            </w:r>
            <w:r>
              <w:rPr>
                <w:sz w:val="25"/>
                <w:szCs w:val="25"/>
                <w:spacing w:val="10"/>
              </w:rPr>
              <w:t xml:space="preserve"> </w:t>
            </w:r>
            <w:r>
              <w:rPr>
                <w:sz w:val="25"/>
                <w:szCs w:val="25"/>
                <w:spacing w:val="-3"/>
              </w:rPr>
              <w:t>并处交易额9倍的罚款；医务人员参与上述活动的，</w:t>
            </w:r>
            <w:r>
              <w:rPr>
                <w:sz w:val="25"/>
                <w:szCs w:val="25"/>
                <w:spacing w:val="-4"/>
              </w:rPr>
              <w:t>由原发证</w:t>
            </w:r>
            <w:r>
              <w:rPr>
                <w:sz w:val="25"/>
                <w:szCs w:val="25"/>
              </w:rPr>
              <w:t xml:space="preserve">  </w:t>
            </w:r>
            <w:r>
              <w:rPr>
                <w:sz w:val="25"/>
                <w:szCs w:val="25"/>
                <w:spacing w:val="6"/>
              </w:rPr>
              <w:t>部门吊销其执业证书</w:t>
            </w:r>
          </w:p>
        </w:tc>
      </w:tr>
    </w:tbl>
    <w:p>
      <w:pPr>
        <w:pStyle w:val="BodyText"/>
        <w:rPr/>
      </w:pPr>
      <w:r/>
    </w:p>
    <w:p>
      <w:pPr>
        <w:sectPr>
          <w:footerReference w:type="default" r:id="rId308"/>
          <w:pgSz w:w="16830" w:h="11900"/>
          <w:pgMar w:top="1011" w:right="1437" w:bottom="1127" w:left="1414" w:header="0" w:footer="794" w:gutter="0"/>
        </w:sectPr>
        <w:rPr/>
      </w:pPr>
    </w:p>
    <w:p>
      <w:pPr>
        <w:spacing w:before="20"/>
        <w:rPr/>
      </w:pPr>
      <w:r/>
    </w:p>
    <w:p>
      <w:pPr>
        <w:spacing w:before="20"/>
        <w:rPr/>
      </w:pPr>
      <w:r/>
    </w:p>
    <w:p>
      <w:pPr>
        <w:spacing w:before="19"/>
        <w:rPr/>
      </w:pPr>
      <w:r/>
    </w:p>
    <w:tbl>
      <w:tblPr>
        <w:tblStyle w:val="TableNormal"/>
        <w:tblW w:w="13949" w:type="dxa"/>
        <w:tblInd w:w="10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5845"/>
        <w:gridCol w:w="6680"/>
      </w:tblGrid>
      <w:tr>
        <w:trPr>
          <w:trHeight w:val="1309" w:hRule="atLeast"/>
        </w:trPr>
        <w:tc>
          <w:tcPr>
            <w:tcW w:w="1424" w:type="dxa"/>
            <w:vAlign w:val="top"/>
          </w:tcPr>
          <w:p>
            <w:pPr>
              <w:spacing w:line="447" w:lineRule="auto"/>
              <w:rPr>
                <w:rFonts w:ascii="Arial"/>
                <w:sz w:val="21"/>
              </w:rPr>
            </w:pPr>
            <w:r/>
          </w:p>
          <w:p>
            <w:pPr>
              <w:pStyle w:val="TableText"/>
              <w:ind w:left="198"/>
              <w:spacing w:before="82" w:line="219" w:lineRule="auto"/>
              <w:rPr>
                <w:sz w:val="25"/>
                <w:szCs w:val="25"/>
              </w:rPr>
            </w:pPr>
            <w:bookmarkStart w:name="bookmark960" w:id="329"/>
            <w:bookmarkEnd w:id="329"/>
            <w:r>
              <w:rPr>
                <w:sz w:val="25"/>
                <w:szCs w:val="25"/>
                <w:b/>
                <w:bCs/>
                <w:spacing w:val="-5"/>
              </w:rPr>
              <w:t>特别严重</w:t>
            </w:r>
          </w:p>
        </w:tc>
        <w:tc>
          <w:tcPr>
            <w:tcW w:w="5845" w:type="dxa"/>
            <w:vAlign w:val="top"/>
          </w:tcPr>
          <w:p>
            <w:pPr>
              <w:spacing w:line="273" w:lineRule="auto"/>
              <w:rPr>
                <w:rFonts w:ascii="Arial"/>
                <w:sz w:val="21"/>
              </w:rPr>
            </w:pPr>
            <w:r/>
          </w:p>
          <w:p>
            <w:pPr>
              <w:pStyle w:val="TableText"/>
              <w:ind w:left="110"/>
              <w:spacing w:before="81" w:line="318" w:lineRule="auto"/>
              <w:rPr>
                <w:sz w:val="25"/>
                <w:szCs w:val="25"/>
              </w:rPr>
            </w:pPr>
            <w:r>
              <w:rPr>
                <w:sz w:val="25"/>
                <w:szCs w:val="25"/>
                <w:spacing w:val="-1"/>
              </w:rPr>
              <w:t>买卖人体器官或者从事与买卖人体器官有关</w:t>
            </w:r>
            <w:r>
              <w:rPr>
                <w:sz w:val="25"/>
                <w:szCs w:val="25"/>
                <w:spacing w:val="-2"/>
              </w:rPr>
              <w:t>活动，造</w:t>
            </w:r>
            <w:r>
              <w:rPr>
                <w:sz w:val="25"/>
                <w:szCs w:val="25"/>
              </w:rPr>
              <w:t xml:space="preserve"> </w:t>
            </w:r>
            <w:r>
              <w:rPr>
                <w:sz w:val="25"/>
                <w:szCs w:val="25"/>
                <w:spacing w:val="1"/>
              </w:rPr>
              <w:t>成严重后果或者恶劣社会影响的</w:t>
            </w:r>
          </w:p>
        </w:tc>
        <w:tc>
          <w:tcPr>
            <w:tcW w:w="6680" w:type="dxa"/>
            <w:vAlign w:val="top"/>
          </w:tcPr>
          <w:p>
            <w:pPr>
              <w:pStyle w:val="TableText"/>
              <w:ind w:left="84" w:hanging="69"/>
              <w:spacing w:before="133" w:line="287" w:lineRule="auto"/>
              <w:jc w:val="both"/>
              <w:rPr>
                <w:sz w:val="25"/>
                <w:szCs w:val="25"/>
              </w:rPr>
            </w:pPr>
            <w:r>
              <w:rPr>
                <w:sz w:val="25"/>
                <w:szCs w:val="25"/>
                <w:spacing w:val="-4"/>
              </w:rPr>
              <w:t>由设区的市级以上地方人民政府卫生主管部门依照职责分工没</w:t>
            </w:r>
            <w:r>
              <w:rPr>
                <w:sz w:val="25"/>
                <w:szCs w:val="25"/>
                <w:spacing w:val="11"/>
              </w:rPr>
              <w:t xml:space="preserve"> </w:t>
            </w:r>
            <w:r>
              <w:rPr>
                <w:sz w:val="25"/>
                <w:szCs w:val="25"/>
              </w:rPr>
              <w:t>收违法所得，并处交易额10倍的罚款；医务人员参与上述活</w:t>
            </w:r>
            <w:r>
              <w:rPr>
                <w:sz w:val="25"/>
                <w:szCs w:val="25"/>
                <w:spacing w:val="1"/>
              </w:rPr>
              <w:t xml:space="preserve"> </w:t>
            </w:r>
            <w:r>
              <w:rPr>
                <w:sz w:val="25"/>
                <w:szCs w:val="25"/>
                <w:spacing w:val="3"/>
              </w:rPr>
              <w:t>动的，由原发证部门吊销其执业证书</w:t>
            </w:r>
          </w:p>
        </w:tc>
      </w:tr>
    </w:tbl>
    <w:p>
      <w:pPr>
        <w:pStyle w:val="BodyText"/>
        <w:spacing w:line="243" w:lineRule="auto"/>
        <w:rPr/>
      </w:pPr>
      <w:r/>
    </w:p>
    <w:p>
      <w:pPr>
        <w:pStyle w:val="BodyText"/>
        <w:spacing w:line="243" w:lineRule="auto"/>
        <w:rPr/>
      </w:pPr>
      <w:r/>
    </w:p>
    <w:p>
      <w:pPr>
        <w:ind w:left="78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第二百四十九条医疗机构未办理人体器官移植诊疗科目登记，擅自从事人体器官移植的</w:t>
      </w:r>
    </w:p>
    <w:p>
      <w:pPr>
        <w:ind w:left="774"/>
        <w:spacing w:before="90"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114" w:right="76" w:firstLine="630"/>
        <w:spacing w:before="77" w:line="271" w:lineRule="auto"/>
        <w:rPr>
          <w:rFonts w:ascii="FangSong" w:hAnsi="FangSong" w:eastAsia="FangSong" w:cs="FangSong"/>
          <w:sz w:val="30"/>
          <w:szCs w:val="30"/>
        </w:rPr>
      </w:pPr>
      <w:r>
        <w:rPr>
          <w:rFonts w:ascii="FangSong" w:hAnsi="FangSong" w:eastAsia="FangSong" w:cs="FangSong"/>
          <w:sz w:val="30"/>
          <w:szCs w:val="30"/>
          <w:spacing w:val="18"/>
        </w:rPr>
        <w:t>《人体器官移植条例》第二十七条第一款</w:t>
      </w:r>
      <w:r>
        <w:rPr>
          <w:rFonts w:ascii="FangSong" w:hAnsi="FangSong" w:eastAsia="FangSong" w:cs="FangSong"/>
          <w:sz w:val="30"/>
          <w:szCs w:val="30"/>
          <w:spacing w:val="4"/>
        </w:rPr>
        <w:t xml:space="preserve">  </w:t>
      </w:r>
      <w:r>
        <w:rPr>
          <w:rFonts w:ascii="FangSong" w:hAnsi="FangSong" w:eastAsia="FangSong" w:cs="FangSong"/>
          <w:sz w:val="30"/>
          <w:szCs w:val="30"/>
          <w:spacing w:val="18"/>
        </w:rPr>
        <w:t>医疗机构未办理人体器官移植诊疗科目登记，擅自从</w:t>
      </w:r>
      <w:r>
        <w:rPr>
          <w:rFonts w:ascii="FangSong" w:hAnsi="FangSong" w:eastAsia="FangSong" w:cs="FangSong"/>
          <w:sz w:val="30"/>
          <w:szCs w:val="30"/>
          <w:spacing w:val="1"/>
        </w:rPr>
        <w:t xml:space="preserve"> </w:t>
      </w:r>
      <w:r>
        <w:rPr>
          <w:rFonts w:ascii="FangSong" w:hAnsi="FangSong" w:eastAsia="FangSong" w:cs="FangSong"/>
          <w:sz w:val="30"/>
          <w:szCs w:val="30"/>
          <w:spacing w:val="17"/>
        </w:rPr>
        <w:t>事人体器官移植的，依照《医疗机构管理条例》的规定予以处罚。</w:t>
      </w:r>
    </w:p>
    <w:p>
      <w:pPr>
        <w:ind w:left="114" w:right="94" w:firstLine="630"/>
        <w:spacing w:before="6" w:line="265" w:lineRule="auto"/>
        <w:jc w:val="both"/>
        <w:rPr>
          <w:rFonts w:ascii="FangSong" w:hAnsi="FangSong" w:eastAsia="FangSong" w:cs="FangSong"/>
          <w:sz w:val="30"/>
          <w:szCs w:val="30"/>
        </w:rPr>
      </w:pPr>
      <w:r>
        <w:rPr>
          <w:rFonts w:ascii="FangSong" w:hAnsi="FangSong" w:eastAsia="FangSong" w:cs="FangSong"/>
          <w:sz w:val="30"/>
          <w:szCs w:val="30"/>
          <w:spacing w:val="24"/>
        </w:rPr>
        <w:t>《医疗机构管理条例》第四十六条违反本条例第二十六条规定，诊疗活动超出登</w:t>
      </w:r>
      <w:r>
        <w:rPr>
          <w:rFonts w:ascii="FangSong" w:hAnsi="FangSong" w:eastAsia="FangSong" w:cs="FangSong"/>
          <w:sz w:val="30"/>
          <w:szCs w:val="30"/>
          <w:spacing w:val="23"/>
        </w:rPr>
        <w:t>记或者备案范</w:t>
      </w:r>
      <w:r>
        <w:rPr>
          <w:rFonts w:ascii="FangSong" w:hAnsi="FangSong" w:eastAsia="FangSong" w:cs="FangSong"/>
          <w:sz w:val="30"/>
          <w:szCs w:val="30"/>
        </w:rPr>
        <w:t xml:space="preserve"> </w:t>
      </w:r>
      <w:r>
        <w:rPr>
          <w:rFonts w:ascii="FangSong" w:hAnsi="FangSong" w:eastAsia="FangSong" w:cs="FangSong"/>
          <w:sz w:val="30"/>
          <w:szCs w:val="30"/>
          <w:spacing w:val="17"/>
        </w:rPr>
        <w:t>围的，由县级以上人民政府卫生行政部门予以警告、责令其改正，没收违法所得，并可以根据情节处</w:t>
      </w:r>
      <w:r>
        <w:rPr>
          <w:rFonts w:ascii="FangSong" w:hAnsi="FangSong" w:eastAsia="FangSong" w:cs="FangSong"/>
          <w:sz w:val="30"/>
          <w:szCs w:val="30"/>
          <w:spacing w:val="11"/>
        </w:rPr>
        <w:t xml:space="preserve"> </w:t>
      </w:r>
      <w:r>
        <w:rPr>
          <w:rFonts w:ascii="FangSong" w:hAnsi="FangSong" w:eastAsia="FangSong" w:cs="FangSong"/>
          <w:sz w:val="30"/>
          <w:szCs w:val="30"/>
          <w:spacing w:val="27"/>
        </w:rPr>
        <w:t>以1万元以上10万元以下的罚款；情节严重的，吊销其《医疗机构执业许可证》或者责</w:t>
      </w:r>
      <w:r>
        <w:rPr>
          <w:rFonts w:ascii="FangSong" w:hAnsi="FangSong" w:eastAsia="FangSong" w:cs="FangSong"/>
          <w:sz w:val="30"/>
          <w:szCs w:val="30"/>
          <w:spacing w:val="26"/>
        </w:rPr>
        <w:t>令其停止执</w:t>
      </w:r>
      <w:r>
        <w:rPr>
          <w:rFonts w:ascii="FangSong" w:hAnsi="FangSong" w:eastAsia="FangSong" w:cs="FangSong"/>
          <w:sz w:val="30"/>
          <w:szCs w:val="30"/>
        </w:rPr>
        <w:t xml:space="preserve"> </w:t>
      </w:r>
      <w:r>
        <w:rPr>
          <w:rFonts w:ascii="FangSong" w:hAnsi="FangSong" w:eastAsia="FangSong" w:cs="FangSong"/>
          <w:sz w:val="30"/>
          <w:szCs w:val="30"/>
          <w:spacing w:val="7"/>
        </w:rPr>
        <w:t>业活动。</w:t>
      </w:r>
    </w:p>
    <w:p>
      <w:pPr>
        <w:ind w:left="6529"/>
        <w:spacing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464"/>
        <w:gridCol w:w="5271"/>
      </w:tblGrid>
      <w:tr>
        <w:trPr>
          <w:trHeight w:val="443" w:hRule="atLeast"/>
        </w:trPr>
        <w:tc>
          <w:tcPr>
            <w:tcW w:w="1424" w:type="dxa"/>
            <w:vAlign w:val="top"/>
          </w:tcPr>
          <w:p>
            <w:pPr>
              <w:pStyle w:val="TableText"/>
              <w:ind w:left="208"/>
              <w:spacing w:before="102" w:line="220" w:lineRule="auto"/>
              <w:rPr>
                <w:sz w:val="25"/>
                <w:szCs w:val="25"/>
              </w:rPr>
            </w:pPr>
            <w:r>
              <w:rPr>
                <w:sz w:val="25"/>
                <w:szCs w:val="25"/>
                <w:b/>
                <w:bCs/>
                <w:spacing w:val="-5"/>
              </w:rPr>
              <w:t>违法程度</w:t>
            </w:r>
          </w:p>
        </w:tc>
        <w:tc>
          <w:tcPr>
            <w:tcW w:w="7464" w:type="dxa"/>
            <w:vAlign w:val="top"/>
          </w:tcPr>
          <w:p>
            <w:pPr>
              <w:pStyle w:val="TableText"/>
              <w:ind w:left="3224"/>
              <w:spacing w:before="102" w:line="220" w:lineRule="auto"/>
              <w:rPr>
                <w:sz w:val="25"/>
                <w:szCs w:val="25"/>
              </w:rPr>
            </w:pPr>
            <w:r>
              <w:rPr>
                <w:sz w:val="25"/>
                <w:szCs w:val="25"/>
                <w:b/>
                <w:bCs/>
                <w:spacing w:val="-5"/>
              </w:rPr>
              <w:t>违法后果</w:t>
            </w:r>
          </w:p>
        </w:tc>
        <w:tc>
          <w:tcPr>
            <w:tcW w:w="5271" w:type="dxa"/>
            <w:vAlign w:val="top"/>
          </w:tcPr>
          <w:p>
            <w:pPr>
              <w:pStyle w:val="TableText"/>
              <w:ind w:left="2070"/>
              <w:spacing w:before="99" w:line="218" w:lineRule="auto"/>
              <w:rPr>
                <w:sz w:val="25"/>
                <w:szCs w:val="25"/>
              </w:rPr>
            </w:pPr>
            <w:r>
              <w:rPr>
                <w:sz w:val="25"/>
                <w:szCs w:val="25"/>
                <w:b/>
                <w:bCs/>
                <w:spacing w:val="-5"/>
              </w:rPr>
              <w:t>裁量幅度</w:t>
            </w:r>
          </w:p>
        </w:tc>
      </w:tr>
      <w:tr>
        <w:trPr>
          <w:trHeight w:val="1707" w:hRule="atLeast"/>
        </w:trPr>
        <w:tc>
          <w:tcPr>
            <w:tcW w:w="1424" w:type="dxa"/>
            <w:vAlign w:val="top"/>
          </w:tcPr>
          <w:p>
            <w:pPr>
              <w:spacing w:line="321" w:lineRule="auto"/>
              <w:rPr>
                <w:rFonts w:ascii="Arial"/>
                <w:sz w:val="21"/>
              </w:rPr>
            </w:pPr>
            <w:r/>
          </w:p>
          <w:p>
            <w:pPr>
              <w:spacing w:line="322" w:lineRule="auto"/>
              <w:rPr>
                <w:rFonts w:ascii="Arial"/>
                <w:sz w:val="21"/>
              </w:rPr>
            </w:pPr>
            <w:r/>
          </w:p>
          <w:p>
            <w:pPr>
              <w:pStyle w:val="TableText"/>
              <w:ind w:left="458"/>
              <w:spacing w:before="81" w:line="219" w:lineRule="auto"/>
              <w:rPr>
                <w:sz w:val="25"/>
                <w:szCs w:val="25"/>
              </w:rPr>
            </w:pPr>
            <w:r>
              <w:rPr>
                <w:sz w:val="25"/>
                <w:szCs w:val="25"/>
                <w:b/>
                <w:bCs/>
                <w:spacing w:val="-6"/>
              </w:rPr>
              <w:t>轻微</w:t>
            </w:r>
          </w:p>
        </w:tc>
        <w:tc>
          <w:tcPr>
            <w:tcW w:w="7464" w:type="dxa"/>
            <w:vAlign w:val="top"/>
          </w:tcPr>
          <w:p>
            <w:pPr>
              <w:spacing w:line="473" w:lineRule="auto"/>
              <w:rPr>
                <w:rFonts w:ascii="Arial"/>
                <w:sz w:val="21"/>
              </w:rPr>
            </w:pPr>
            <w:r/>
          </w:p>
          <w:p>
            <w:pPr>
              <w:pStyle w:val="TableText"/>
              <w:spacing w:before="81" w:line="219" w:lineRule="auto"/>
              <w:jc w:val="right"/>
              <w:rPr>
                <w:sz w:val="25"/>
                <w:szCs w:val="25"/>
              </w:rPr>
            </w:pPr>
            <w:r>
              <w:rPr>
                <w:sz w:val="25"/>
                <w:szCs w:val="25"/>
                <w:b/>
                <w:bCs/>
                <w:spacing w:val="-5"/>
              </w:rPr>
              <w:t>医疗机构诊疗活动超出登记的诊疗科目范围，情节轻微且无违法所得</w:t>
            </w:r>
          </w:p>
          <w:p>
            <w:pPr>
              <w:pStyle w:val="TableText"/>
              <w:ind w:left="124"/>
              <w:spacing w:before="148" w:line="222" w:lineRule="auto"/>
              <w:rPr>
                <w:sz w:val="25"/>
                <w:szCs w:val="25"/>
              </w:rPr>
            </w:pPr>
            <w:r>
              <w:rPr>
                <w:sz w:val="25"/>
                <w:szCs w:val="25"/>
                <w:b/>
                <w:bCs/>
                <w:color w:val="406060"/>
                <w:spacing w:val="-3"/>
              </w:rPr>
              <w:t>的</w:t>
            </w:r>
          </w:p>
        </w:tc>
        <w:tc>
          <w:tcPr>
            <w:tcW w:w="5271" w:type="dxa"/>
            <w:vAlign w:val="top"/>
          </w:tcPr>
          <w:p>
            <w:pPr>
              <w:spacing w:line="320" w:lineRule="auto"/>
              <w:rPr>
                <w:rFonts w:ascii="Arial"/>
                <w:sz w:val="21"/>
              </w:rPr>
            </w:pPr>
            <w:r/>
          </w:p>
          <w:p>
            <w:pPr>
              <w:spacing w:line="321" w:lineRule="auto"/>
              <w:rPr>
                <w:rFonts w:ascii="Arial"/>
                <w:sz w:val="21"/>
              </w:rPr>
            </w:pPr>
            <w:r/>
          </w:p>
          <w:p>
            <w:pPr>
              <w:pStyle w:val="TableText"/>
              <w:ind w:left="100"/>
              <w:spacing w:before="81" w:line="218" w:lineRule="auto"/>
              <w:rPr>
                <w:sz w:val="25"/>
                <w:szCs w:val="25"/>
              </w:rPr>
            </w:pPr>
            <w:r>
              <w:rPr>
                <w:sz w:val="25"/>
                <w:szCs w:val="25"/>
                <w:b/>
                <w:bCs/>
                <w:spacing w:val="-1"/>
              </w:rPr>
              <w:t>给予警告</w:t>
            </w:r>
          </w:p>
        </w:tc>
      </w:tr>
    </w:tbl>
    <w:p>
      <w:pPr>
        <w:pStyle w:val="BodyText"/>
        <w:rPr/>
      </w:pPr>
      <w:r/>
    </w:p>
    <w:p>
      <w:pPr>
        <w:sectPr>
          <w:footerReference w:type="default" r:id="rId309"/>
          <w:pgSz w:w="16830" w:h="11900"/>
          <w:pgMar w:top="1011" w:right="1335" w:bottom="1117" w:left="1325" w:header="0" w:footer="784" w:gutter="0"/>
        </w:sectPr>
        <w:rPr/>
      </w:pPr>
    </w:p>
    <w:p>
      <w:pPr>
        <w:spacing w:before="20"/>
        <w:rPr/>
      </w:pPr>
      <w:r/>
    </w:p>
    <w:p>
      <w:pPr>
        <w:spacing w:before="20"/>
        <w:rPr/>
      </w:pPr>
      <w:r/>
    </w:p>
    <w:p>
      <w:pPr>
        <w:spacing w:before="19"/>
        <w:rPr/>
      </w:pPr>
      <w:r/>
    </w:p>
    <w:tbl>
      <w:tblPr>
        <w:tblStyle w:val="TableNormal"/>
        <w:tblW w:w="141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4"/>
        <w:gridCol w:w="7434"/>
        <w:gridCol w:w="5297"/>
      </w:tblGrid>
      <w:tr>
        <w:trPr>
          <w:trHeight w:val="1750" w:hRule="atLeast"/>
        </w:trPr>
        <w:tc>
          <w:tcPr>
            <w:tcW w:w="1454" w:type="dxa"/>
            <w:vAlign w:val="top"/>
          </w:tcPr>
          <w:p>
            <w:pPr>
              <w:spacing w:line="333" w:lineRule="auto"/>
              <w:rPr>
                <w:rFonts w:ascii="Arial"/>
                <w:sz w:val="21"/>
              </w:rPr>
            </w:pPr>
            <w:r/>
          </w:p>
          <w:p>
            <w:pPr>
              <w:spacing w:line="334" w:lineRule="auto"/>
              <w:rPr>
                <w:rFonts w:ascii="Arial"/>
                <w:sz w:val="21"/>
              </w:rPr>
            </w:pPr>
            <w:r/>
          </w:p>
          <w:p>
            <w:pPr>
              <w:pStyle w:val="TableText"/>
              <w:ind w:left="468"/>
              <w:spacing w:before="81" w:line="221" w:lineRule="auto"/>
              <w:rPr>
                <w:sz w:val="25"/>
                <w:szCs w:val="25"/>
              </w:rPr>
            </w:pPr>
            <w:bookmarkStart w:name="bookmark961" w:id="330"/>
            <w:bookmarkEnd w:id="330"/>
            <w:r>
              <w:rPr>
                <w:sz w:val="25"/>
                <w:szCs w:val="25"/>
                <w:b/>
                <w:bCs/>
                <w:spacing w:val="-10"/>
              </w:rPr>
              <w:t>一般</w:t>
            </w:r>
          </w:p>
        </w:tc>
        <w:tc>
          <w:tcPr>
            <w:tcW w:w="7434" w:type="dxa"/>
            <w:vAlign w:val="top"/>
          </w:tcPr>
          <w:p>
            <w:pPr>
              <w:pStyle w:val="TableText"/>
              <w:ind w:left="80"/>
              <w:spacing w:before="143" w:line="329" w:lineRule="auto"/>
              <w:rPr>
                <w:sz w:val="25"/>
                <w:szCs w:val="25"/>
              </w:rPr>
            </w:pPr>
            <w:r>
              <w:rPr>
                <w:sz w:val="25"/>
                <w:szCs w:val="25"/>
                <w:spacing w:val="-5"/>
              </w:rPr>
              <w:t>医疗机构未办理人体器官移植诊疗科目登记，擅自</w:t>
            </w:r>
            <w:r>
              <w:rPr>
                <w:sz w:val="25"/>
                <w:szCs w:val="25"/>
                <w:spacing w:val="-6"/>
              </w:rPr>
              <w:t>从事人体器官移植</w:t>
            </w:r>
            <w:r>
              <w:rPr>
                <w:sz w:val="25"/>
                <w:szCs w:val="25"/>
              </w:rPr>
              <w:t xml:space="preserve"> </w:t>
            </w:r>
            <w:r>
              <w:rPr>
                <w:sz w:val="25"/>
                <w:szCs w:val="25"/>
                <w:spacing w:val="1"/>
              </w:rPr>
              <w:t>的，有下列情形之一的：</w:t>
            </w:r>
          </w:p>
          <w:p>
            <w:pPr>
              <w:pStyle w:val="TableText"/>
              <w:ind w:left="80"/>
              <w:spacing w:line="218" w:lineRule="auto"/>
              <w:rPr>
                <w:sz w:val="25"/>
                <w:szCs w:val="25"/>
              </w:rPr>
            </w:pPr>
            <w:r>
              <w:rPr>
                <w:sz w:val="25"/>
                <w:szCs w:val="25"/>
                <w:spacing w:val="1"/>
              </w:rPr>
              <w:t>A.超出登记的诊疗科目范围的诊疗活动累计收入不</w:t>
            </w:r>
            <w:r>
              <w:rPr>
                <w:sz w:val="25"/>
                <w:szCs w:val="25"/>
              </w:rPr>
              <w:t>足1万元的</w:t>
            </w:r>
          </w:p>
          <w:p>
            <w:pPr>
              <w:pStyle w:val="TableText"/>
              <w:ind w:left="80"/>
              <w:spacing w:before="164" w:line="181" w:lineRule="auto"/>
              <w:rPr>
                <w:sz w:val="25"/>
                <w:szCs w:val="25"/>
              </w:rPr>
            </w:pPr>
            <w:r>
              <w:rPr>
                <w:sz w:val="25"/>
                <w:szCs w:val="25"/>
                <w:spacing w:val="1"/>
              </w:rPr>
              <w:t>B.给患者造成伤害</w:t>
            </w:r>
          </w:p>
        </w:tc>
        <w:tc>
          <w:tcPr>
            <w:tcW w:w="5297" w:type="dxa"/>
            <w:vAlign w:val="top"/>
          </w:tcPr>
          <w:p>
            <w:pPr>
              <w:spacing w:line="249" w:lineRule="auto"/>
              <w:rPr>
                <w:rFonts w:ascii="Arial"/>
                <w:sz w:val="21"/>
              </w:rPr>
            </w:pPr>
            <w:r/>
          </w:p>
          <w:p>
            <w:pPr>
              <w:spacing w:line="250" w:lineRule="auto"/>
              <w:rPr>
                <w:rFonts w:ascii="Arial"/>
                <w:sz w:val="21"/>
              </w:rPr>
            </w:pPr>
            <w:r/>
          </w:p>
          <w:p>
            <w:pPr>
              <w:pStyle w:val="TableText"/>
              <w:ind w:left="115" w:hanging="99"/>
              <w:spacing w:before="82" w:line="329" w:lineRule="auto"/>
              <w:rPr>
                <w:sz w:val="25"/>
                <w:szCs w:val="25"/>
              </w:rPr>
            </w:pPr>
            <w:r>
              <w:rPr>
                <w:sz w:val="25"/>
                <w:szCs w:val="25"/>
                <w:spacing w:val="1"/>
              </w:rPr>
              <w:t>责令其限期改正，没收违法所得，警告，并</w:t>
            </w:r>
            <w:r>
              <w:rPr>
                <w:sz w:val="25"/>
                <w:szCs w:val="25"/>
              </w:rPr>
              <w:t>处以 </w:t>
            </w:r>
            <w:r>
              <w:rPr>
                <w:sz w:val="25"/>
                <w:szCs w:val="25"/>
              </w:rPr>
              <w:t>1万元至10万元以下的罚款</w:t>
            </w:r>
          </w:p>
        </w:tc>
      </w:tr>
      <w:tr>
        <w:trPr>
          <w:trHeight w:val="1760" w:hRule="atLeast"/>
        </w:trPr>
        <w:tc>
          <w:tcPr>
            <w:tcW w:w="1454" w:type="dxa"/>
            <w:vAlign w:val="top"/>
          </w:tcPr>
          <w:p>
            <w:pPr>
              <w:spacing w:line="338" w:lineRule="auto"/>
              <w:rPr>
                <w:rFonts w:ascii="Arial"/>
                <w:sz w:val="21"/>
              </w:rPr>
            </w:pPr>
            <w:r/>
          </w:p>
          <w:p>
            <w:pPr>
              <w:spacing w:line="339" w:lineRule="auto"/>
              <w:rPr>
                <w:rFonts w:ascii="Arial"/>
                <w:sz w:val="21"/>
              </w:rPr>
            </w:pPr>
            <w:r/>
          </w:p>
          <w:p>
            <w:pPr>
              <w:pStyle w:val="TableText"/>
              <w:ind w:left="468"/>
              <w:spacing w:before="81" w:line="220" w:lineRule="auto"/>
              <w:rPr>
                <w:sz w:val="25"/>
                <w:szCs w:val="25"/>
              </w:rPr>
            </w:pPr>
            <w:r>
              <w:rPr>
                <w:sz w:val="25"/>
                <w:szCs w:val="25"/>
                <w:b/>
                <w:bCs/>
                <w:spacing w:val="-6"/>
              </w:rPr>
              <w:t>严重</w:t>
            </w:r>
          </w:p>
        </w:tc>
        <w:tc>
          <w:tcPr>
            <w:tcW w:w="7434" w:type="dxa"/>
            <w:vAlign w:val="top"/>
          </w:tcPr>
          <w:p>
            <w:pPr>
              <w:pStyle w:val="TableText"/>
              <w:ind w:left="80"/>
              <w:spacing w:before="164" w:line="325" w:lineRule="auto"/>
              <w:rPr>
                <w:sz w:val="25"/>
                <w:szCs w:val="25"/>
              </w:rPr>
            </w:pPr>
            <w:r>
              <w:rPr>
                <w:sz w:val="25"/>
                <w:szCs w:val="25"/>
                <w:spacing w:val="-5"/>
              </w:rPr>
              <w:t>医疗机构未办理人体器官移植诊疗科目登记，擅自</w:t>
            </w:r>
            <w:r>
              <w:rPr>
                <w:sz w:val="25"/>
                <w:szCs w:val="25"/>
                <w:spacing w:val="-6"/>
              </w:rPr>
              <w:t>从事人体器官移植</w:t>
            </w:r>
            <w:r>
              <w:rPr>
                <w:sz w:val="25"/>
                <w:szCs w:val="25"/>
              </w:rPr>
              <w:t xml:space="preserve"> </w:t>
            </w:r>
            <w:r>
              <w:rPr>
                <w:sz w:val="25"/>
                <w:szCs w:val="25"/>
                <w:spacing w:val="1"/>
              </w:rPr>
              <w:t>的，有下列情形之一的：</w:t>
            </w:r>
          </w:p>
          <w:p>
            <w:pPr>
              <w:pStyle w:val="TableText"/>
              <w:ind w:left="80"/>
              <w:spacing w:line="218" w:lineRule="auto"/>
              <w:rPr>
                <w:sz w:val="25"/>
                <w:szCs w:val="25"/>
              </w:rPr>
            </w:pPr>
            <w:r>
              <w:rPr>
                <w:sz w:val="25"/>
                <w:szCs w:val="25"/>
              </w:rPr>
              <w:t>A.超出登记的诊疗科目范围的诊疗活动累计收入在1</w:t>
            </w:r>
            <w:r>
              <w:rPr>
                <w:sz w:val="25"/>
                <w:szCs w:val="25"/>
                <w:spacing w:val="-1"/>
              </w:rPr>
              <w:t>万元以上</w:t>
            </w:r>
          </w:p>
          <w:p>
            <w:pPr>
              <w:pStyle w:val="TableText"/>
              <w:ind w:left="80"/>
              <w:spacing w:before="136" w:line="202" w:lineRule="auto"/>
              <w:rPr>
                <w:sz w:val="25"/>
                <w:szCs w:val="25"/>
              </w:rPr>
            </w:pPr>
            <w:r>
              <w:rPr>
                <w:sz w:val="25"/>
                <w:szCs w:val="25"/>
                <w:spacing w:val="-1"/>
              </w:rPr>
              <w:t>B.造成患者死亡</w:t>
            </w:r>
          </w:p>
        </w:tc>
        <w:tc>
          <w:tcPr>
            <w:tcW w:w="5297" w:type="dxa"/>
            <w:vAlign w:val="top"/>
          </w:tcPr>
          <w:p>
            <w:pPr>
              <w:spacing w:line="301" w:lineRule="auto"/>
              <w:rPr>
                <w:rFonts w:ascii="Arial"/>
                <w:sz w:val="21"/>
              </w:rPr>
            </w:pPr>
            <w:r/>
          </w:p>
          <w:p>
            <w:pPr>
              <w:pStyle w:val="TableText"/>
              <w:ind w:left="16"/>
              <w:spacing w:before="82" w:line="326" w:lineRule="auto"/>
              <w:jc w:val="both"/>
              <w:rPr>
                <w:sz w:val="25"/>
                <w:szCs w:val="25"/>
              </w:rPr>
            </w:pPr>
            <w:r>
              <w:rPr>
                <w:sz w:val="25"/>
                <w:szCs w:val="25"/>
              </w:rPr>
              <w:t>没收违法所得，警告，处以10万元的罚款，并可 </w:t>
            </w:r>
            <w:r>
              <w:rPr>
                <w:sz w:val="25"/>
                <w:szCs w:val="25"/>
                <w:spacing w:val="1"/>
              </w:rPr>
              <w:t>以根据实际情况吊销医疗机构相关诊疗科目</w:t>
            </w:r>
            <w:r>
              <w:rPr>
                <w:sz w:val="25"/>
                <w:szCs w:val="25"/>
              </w:rPr>
              <w:t>或吊 </w:t>
            </w:r>
            <w:r>
              <w:rPr>
                <w:sz w:val="25"/>
                <w:szCs w:val="25"/>
                <w:spacing w:val="6"/>
              </w:rPr>
              <w:t>销《医疗机构执业许可证》</w:t>
            </w:r>
          </w:p>
        </w:tc>
      </w:tr>
    </w:tbl>
    <w:p>
      <w:pPr>
        <w:pStyle w:val="BodyText"/>
        <w:spacing w:line="423" w:lineRule="auto"/>
        <w:rPr/>
      </w:pPr>
      <w:r/>
    </w:p>
    <w:p>
      <w:pPr>
        <w:ind w:left="129" w:right="154" w:firstLine="640"/>
        <w:spacing w:before="101" w:line="262" w:lineRule="auto"/>
        <w:rPr>
          <w:rFonts w:ascii="FangSong" w:hAnsi="FangSong" w:eastAsia="FangSong" w:cs="FangSong"/>
          <w:sz w:val="31"/>
          <w:szCs w:val="31"/>
        </w:rPr>
      </w:pPr>
      <w:r>
        <w:rPr>
          <w:rFonts w:ascii="FangSong" w:hAnsi="FangSong" w:eastAsia="FangSong" w:cs="FangSong"/>
          <w:sz w:val="31"/>
          <w:szCs w:val="31"/>
          <w:b/>
          <w:bCs/>
          <w:spacing w:val="10"/>
        </w:rPr>
        <w:t>第二百五十条从事人体器官移植的医师泄露人体器官捐献人、接受人或者申请人体器官移植手</w:t>
      </w:r>
      <w:r>
        <w:rPr>
          <w:rFonts w:ascii="FangSong" w:hAnsi="FangSong" w:eastAsia="FangSong" w:cs="FangSong"/>
          <w:sz w:val="31"/>
          <w:szCs w:val="31"/>
          <w:spacing w:val="16"/>
        </w:rPr>
        <w:t xml:space="preserve"> </w:t>
      </w:r>
      <w:r>
        <w:rPr>
          <w:rFonts w:ascii="FangSong" w:hAnsi="FangSong" w:eastAsia="FangSong" w:cs="FangSong"/>
          <w:sz w:val="31"/>
          <w:szCs w:val="31"/>
          <w:b/>
          <w:bCs/>
          <w:spacing w:val="5"/>
        </w:rPr>
        <w:t>术患者个人资料的</w:t>
      </w:r>
    </w:p>
    <w:p>
      <w:pPr>
        <w:ind w:left="765"/>
        <w:spacing w:before="27"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124" w:right="147" w:firstLine="640"/>
        <w:spacing w:before="95" w:line="249" w:lineRule="auto"/>
        <w:rPr>
          <w:rFonts w:ascii="FangSong" w:hAnsi="FangSong" w:eastAsia="FangSong" w:cs="FangSong"/>
          <w:sz w:val="31"/>
          <w:szCs w:val="31"/>
        </w:rPr>
      </w:pPr>
      <w:r>
        <w:rPr>
          <w:rFonts w:ascii="FangSong" w:hAnsi="FangSong" w:eastAsia="FangSong" w:cs="FangSong"/>
          <w:sz w:val="31"/>
          <w:szCs w:val="31"/>
          <w:spacing w:val="6"/>
        </w:rPr>
        <w:t>1.《人体器官移植条例》第二十七条第三款</w:t>
      </w:r>
      <w:r>
        <w:rPr>
          <w:rFonts w:ascii="FangSong" w:hAnsi="FangSong" w:eastAsia="FangSong" w:cs="FangSong"/>
          <w:sz w:val="31"/>
          <w:szCs w:val="31"/>
          <w:spacing w:val="6"/>
        </w:rPr>
        <w:t xml:space="preserve">  </w:t>
      </w:r>
      <w:r>
        <w:rPr>
          <w:rFonts w:ascii="FangSong" w:hAnsi="FangSong" w:eastAsia="FangSong" w:cs="FangSong"/>
          <w:sz w:val="31"/>
          <w:szCs w:val="31"/>
          <w:spacing w:val="6"/>
        </w:rPr>
        <w:t>从事人体器官移植的医务人员违反本条例规</w:t>
      </w:r>
      <w:r>
        <w:rPr>
          <w:rFonts w:ascii="FangSong" w:hAnsi="FangSong" w:eastAsia="FangSong" w:cs="FangSong"/>
          <w:sz w:val="31"/>
          <w:szCs w:val="31"/>
          <w:spacing w:val="5"/>
        </w:rPr>
        <w:t>定，泄</w:t>
      </w:r>
      <w:r>
        <w:rPr>
          <w:rFonts w:ascii="FangSong" w:hAnsi="FangSong" w:eastAsia="FangSong" w:cs="FangSong"/>
          <w:sz w:val="31"/>
          <w:szCs w:val="31"/>
        </w:rPr>
        <w:t xml:space="preserve"> </w:t>
      </w:r>
      <w:r>
        <w:rPr>
          <w:rFonts w:ascii="FangSong" w:hAnsi="FangSong" w:eastAsia="FangSong" w:cs="FangSong"/>
          <w:sz w:val="31"/>
          <w:szCs w:val="31"/>
          <w:spacing w:val="6"/>
        </w:rPr>
        <w:t>露人体器官捐献人、接受人或者申请人体器官移植手术患者个人资料的，依照《中华人民共和国医师</w:t>
      </w:r>
      <w:r>
        <w:rPr>
          <w:rFonts w:ascii="FangSong" w:hAnsi="FangSong" w:eastAsia="FangSong" w:cs="FangSong"/>
          <w:sz w:val="31"/>
          <w:szCs w:val="31"/>
          <w:spacing w:val="15"/>
        </w:rPr>
        <w:t xml:space="preserve"> </w:t>
      </w:r>
      <w:r>
        <w:rPr>
          <w:rFonts w:ascii="FangSong" w:hAnsi="FangSong" w:eastAsia="FangSong" w:cs="FangSong"/>
          <w:sz w:val="31"/>
          <w:szCs w:val="31"/>
          <w:spacing w:val="6"/>
        </w:rPr>
        <w:t>法》或者国家有关护士管理的规定予以处罚。</w:t>
      </w:r>
    </w:p>
    <w:p>
      <w:pPr>
        <w:ind w:left="765"/>
        <w:spacing w:before="52" w:line="219" w:lineRule="auto"/>
        <w:rPr>
          <w:rFonts w:ascii="FangSong" w:hAnsi="FangSong" w:eastAsia="FangSong" w:cs="FangSong"/>
          <w:sz w:val="31"/>
          <w:szCs w:val="31"/>
        </w:rPr>
      </w:pPr>
      <w:r>
        <w:rPr>
          <w:rFonts w:ascii="FangSong" w:hAnsi="FangSong" w:eastAsia="FangSong" w:cs="FangSong"/>
          <w:sz w:val="31"/>
          <w:szCs w:val="31"/>
          <w:spacing w:val="13"/>
        </w:rPr>
        <w:t>2.</w:t>
      </w:r>
      <w:r>
        <w:rPr>
          <w:rFonts w:ascii="FangSong" w:hAnsi="FangSong" w:eastAsia="FangSong" w:cs="FangSong"/>
          <w:sz w:val="31"/>
          <w:szCs w:val="31"/>
          <w:spacing w:val="13"/>
        </w:rPr>
        <w:t xml:space="preserve"> </w:t>
      </w:r>
      <w:r>
        <w:rPr>
          <w:rFonts w:ascii="FangSong" w:hAnsi="FangSong" w:eastAsia="FangSong" w:cs="FangSong"/>
          <w:sz w:val="31"/>
          <w:szCs w:val="31"/>
          <w:spacing w:val="13"/>
        </w:rPr>
        <w:t>《中华人民共和国医师法》第五十六条第(一)项</w:t>
      </w:r>
      <w:r>
        <w:rPr>
          <w:rFonts w:ascii="FangSong" w:hAnsi="FangSong" w:eastAsia="FangSong" w:cs="FangSong"/>
          <w:sz w:val="31"/>
          <w:szCs w:val="31"/>
          <w:spacing w:val="13"/>
        </w:rPr>
        <w:t xml:space="preserve">  </w:t>
      </w:r>
      <w:r>
        <w:rPr>
          <w:rFonts w:ascii="FangSong" w:hAnsi="FangSong" w:eastAsia="FangSong" w:cs="FangSong"/>
          <w:sz w:val="31"/>
          <w:szCs w:val="31"/>
          <w:spacing w:val="13"/>
        </w:rPr>
        <w:t>违反本法规定，医师</w:t>
      </w:r>
      <w:r>
        <w:rPr>
          <w:rFonts w:ascii="FangSong" w:hAnsi="FangSong" w:eastAsia="FangSong" w:cs="FangSong"/>
          <w:sz w:val="31"/>
          <w:szCs w:val="31"/>
          <w:spacing w:val="12"/>
        </w:rPr>
        <w:t>在执业活</w:t>
      </w:r>
    </w:p>
    <w:p>
      <w:pPr>
        <w:ind w:left="124" w:right="106" w:firstLine="640"/>
        <w:spacing w:before="64" w:line="279" w:lineRule="auto"/>
        <w:rPr>
          <w:rFonts w:ascii="FangSong" w:hAnsi="FangSong" w:eastAsia="FangSong" w:cs="FangSong"/>
          <w:sz w:val="31"/>
          <w:szCs w:val="31"/>
        </w:rPr>
      </w:pPr>
      <w:r>
        <w:rPr>
          <w:rFonts w:ascii="FangSong" w:hAnsi="FangSong" w:eastAsia="FangSong" w:cs="FangSong"/>
          <w:sz w:val="31"/>
          <w:szCs w:val="31"/>
          <w:spacing w:val="6"/>
        </w:rPr>
        <w:t>动中有下列行为之一的，由县级以上人民政府卫生健康主管部门责令改正，给予警告，没收违法</w:t>
      </w:r>
      <w:r>
        <w:rPr>
          <w:rFonts w:ascii="FangSong" w:hAnsi="FangSong" w:eastAsia="FangSong" w:cs="FangSong"/>
          <w:sz w:val="31"/>
          <w:szCs w:val="31"/>
          <w:spacing w:val="7"/>
        </w:rPr>
        <w:t xml:space="preserve"> </w:t>
      </w:r>
      <w:r>
        <w:rPr>
          <w:rFonts w:ascii="FangSong" w:hAnsi="FangSong" w:eastAsia="FangSong" w:cs="FangSong"/>
          <w:sz w:val="31"/>
          <w:szCs w:val="31"/>
          <w:spacing w:val="7"/>
        </w:rPr>
        <w:t>所得，并处一万元以上三万元以下的罚款；情节严重的，责令暂停六个月以上一年以下执业活动直至</w:t>
      </w:r>
    </w:p>
    <w:p>
      <w:pPr>
        <w:spacing w:line="279" w:lineRule="auto"/>
        <w:sectPr>
          <w:footerReference w:type="default" r:id="rId310"/>
          <w:pgSz w:w="16830" w:h="11900"/>
          <w:pgMar w:top="1011" w:right="1319" w:bottom="1107" w:left="1314" w:header="0" w:footer="774" w:gutter="0"/>
        </w:sectPr>
        <w:rPr>
          <w:rFonts w:ascii="FangSong" w:hAnsi="FangSong" w:eastAsia="FangSong" w:cs="FangSong"/>
          <w:sz w:val="31"/>
          <w:szCs w:val="31"/>
        </w:rPr>
      </w:pPr>
    </w:p>
    <w:p>
      <w:pPr>
        <w:pStyle w:val="BodyText"/>
        <w:spacing w:line="262" w:lineRule="auto"/>
        <w:rPr/>
      </w:pPr>
      <w:r/>
    </w:p>
    <w:p>
      <w:pPr>
        <w:pStyle w:val="BodyText"/>
        <w:spacing w:line="262" w:lineRule="auto"/>
        <w:rPr/>
      </w:pPr>
      <w:r/>
    </w:p>
    <w:p>
      <w:pPr>
        <w:pStyle w:val="BodyText"/>
        <w:spacing w:line="262" w:lineRule="auto"/>
        <w:rPr/>
      </w:pPr>
      <w:r/>
    </w:p>
    <w:p>
      <w:pPr>
        <w:ind w:left="174"/>
        <w:spacing w:before="98" w:line="222" w:lineRule="auto"/>
        <w:rPr>
          <w:rFonts w:ascii="FangSong" w:hAnsi="FangSong" w:eastAsia="FangSong" w:cs="FangSong"/>
          <w:sz w:val="30"/>
          <w:szCs w:val="30"/>
        </w:rPr>
      </w:pPr>
      <w:r>
        <w:rPr>
          <w:rFonts w:ascii="FangSong" w:hAnsi="FangSong" w:eastAsia="FangSong" w:cs="FangSong"/>
          <w:sz w:val="30"/>
          <w:szCs w:val="30"/>
          <w:spacing w:val="6"/>
        </w:rPr>
        <w:t>吊销医师执业证书：</w:t>
      </w:r>
    </w:p>
    <w:p>
      <w:pPr>
        <w:ind w:left="894"/>
        <w:spacing w:before="96" w:line="222" w:lineRule="auto"/>
        <w:rPr>
          <w:rFonts w:ascii="FangSong" w:hAnsi="FangSong" w:eastAsia="FangSong" w:cs="FangSong"/>
          <w:sz w:val="30"/>
          <w:szCs w:val="30"/>
        </w:rPr>
      </w:pPr>
      <w:r>
        <w:rPr>
          <w:rFonts w:ascii="FangSong" w:hAnsi="FangSong" w:eastAsia="FangSong" w:cs="FangSong"/>
          <w:sz w:val="30"/>
          <w:szCs w:val="30"/>
          <w:spacing w:val="25"/>
        </w:rPr>
        <w:t>(一)泄露患者隐私或者个人信息；</w:t>
      </w:r>
    </w:p>
    <w:p>
      <w:pPr>
        <w:ind w:left="6539"/>
        <w:spacing w:before="49"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34" w:lineRule="auto"/>
        <w:rPr>
          <w:rFonts w:ascii="Arial"/>
          <w:sz w:val="2"/>
        </w:rPr>
      </w:pPr>
      <w:r>
        <w:rPr>
          <w:rFonts w:ascii="Arial"/>
          <w:sz w:val="2"/>
        </w:rPr>
      </w:r>
    </w:p>
    <w:tbl>
      <w:tblPr>
        <w:tblStyle w:val="TableNormal"/>
        <w:tblW w:w="141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045"/>
        <w:gridCol w:w="5716"/>
      </w:tblGrid>
      <w:tr>
        <w:trPr>
          <w:trHeight w:val="414" w:hRule="atLeast"/>
        </w:trPr>
        <w:tc>
          <w:tcPr>
            <w:tcW w:w="1424" w:type="dxa"/>
            <w:vAlign w:val="top"/>
          </w:tcPr>
          <w:p>
            <w:pPr>
              <w:pStyle w:val="TableText"/>
              <w:ind w:left="208"/>
              <w:spacing w:before="82" w:line="220" w:lineRule="auto"/>
              <w:rPr>
                <w:sz w:val="25"/>
                <w:szCs w:val="25"/>
              </w:rPr>
            </w:pPr>
            <w:r>
              <w:rPr>
                <w:sz w:val="25"/>
                <w:szCs w:val="25"/>
                <w:b/>
                <w:bCs/>
                <w:spacing w:val="-5"/>
              </w:rPr>
              <w:t>违法程度</w:t>
            </w:r>
          </w:p>
        </w:tc>
        <w:tc>
          <w:tcPr>
            <w:tcW w:w="7045" w:type="dxa"/>
            <w:vAlign w:val="top"/>
          </w:tcPr>
          <w:p>
            <w:pPr>
              <w:pStyle w:val="TableText"/>
              <w:ind w:left="3014"/>
              <w:spacing w:before="82" w:line="220" w:lineRule="auto"/>
              <w:rPr>
                <w:sz w:val="25"/>
                <w:szCs w:val="25"/>
              </w:rPr>
            </w:pPr>
            <w:r>
              <w:rPr>
                <w:sz w:val="25"/>
                <w:szCs w:val="25"/>
                <w:b/>
                <w:bCs/>
                <w:spacing w:val="-5"/>
              </w:rPr>
              <w:t>违法后果</w:t>
            </w:r>
          </w:p>
        </w:tc>
        <w:tc>
          <w:tcPr>
            <w:tcW w:w="5716" w:type="dxa"/>
            <w:vAlign w:val="top"/>
          </w:tcPr>
          <w:p>
            <w:pPr>
              <w:pStyle w:val="TableText"/>
              <w:ind w:left="2349"/>
              <w:spacing w:before="79" w:line="218" w:lineRule="auto"/>
              <w:rPr>
                <w:sz w:val="25"/>
                <w:szCs w:val="25"/>
              </w:rPr>
            </w:pPr>
            <w:r>
              <w:rPr>
                <w:sz w:val="25"/>
                <w:szCs w:val="25"/>
                <w:b/>
                <w:bCs/>
                <w:spacing w:val="-5"/>
              </w:rPr>
              <w:t>裁量幅度</w:t>
            </w:r>
          </w:p>
        </w:tc>
      </w:tr>
      <w:tr>
        <w:trPr>
          <w:trHeight w:val="1337" w:hRule="atLeast"/>
        </w:trPr>
        <w:tc>
          <w:tcPr>
            <w:tcW w:w="1424" w:type="dxa"/>
            <w:vAlign w:val="top"/>
          </w:tcPr>
          <w:p>
            <w:pPr>
              <w:spacing w:line="465" w:lineRule="auto"/>
              <w:rPr>
                <w:rFonts w:ascii="Arial"/>
                <w:sz w:val="21"/>
              </w:rPr>
            </w:pPr>
            <w:r/>
          </w:p>
          <w:p>
            <w:pPr>
              <w:pStyle w:val="TableText"/>
              <w:ind w:left="458"/>
              <w:spacing w:before="81" w:line="221" w:lineRule="auto"/>
              <w:rPr>
                <w:sz w:val="25"/>
                <w:szCs w:val="25"/>
              </w:rPr>
            </w:pPr>
            <w:r>
              <w:rPr>
                <w:sz w:val="25"/>
                <w:szCs w:val="25"/>
                <w:b/>
                <w:bCs/>
                <w:spacing w:val="-10"/>
              </w:rPr>
              <w:t>一般</w:t>
            </w:r>
          </w:p>
        </w:tc>
        <w:tc>
          <w:tcPr>
            <w:tcW w:w="7045" w:type="dxa"/>
            <w:vAlign w:val="top"/>
          </w:tcPr>
          <w:p>
            <w:pPr>
              <w:pStyle w:val="TableText"/>
              <w:ind w:left="10" w:right="12" w:firstLine="130"/>
              <w:spacing w:before="160" w:line="333" w:lineRule="auto"/>
              <w:rPr>
                <w:sz w:val="25"/>
                <w:szCs w:val="25"/>
              </w:rPr>
            </w:pPr>
            <w:r>
              <w:rPr>
                <w:sz w:val="25"/>
                <w:szCs w:val="25"/>
              </w:rPr>
              <w:t>从事人体器官移植的医师非主观故意而导致泄露人体器官捐献</w:t>
            </w:r>
            <w:r>
              <w:rPr>
                <w:sz w:val="25"/>
                <w:szCs w:val="25"/>
                <w:spacing w:val="4"/>
              </w:rPr>
              <w:t xml:space="preserve">  </w:t>
            </w:r>
            <w:r>
              <w:rPr>
                <w:sz w:val="25"/>
                <w:szCs w:val="25"/>
              </w:rPr>
              <w:t>人、接受人或者申请人体器官移植手术患者个人资料，造成严重</w:t>
            </w:r>
          </w:p>
          <w:p>
            <w:pPr>
              <w:pStyle w:val="TableText"/>
              <w:ind w:left="121"/>
              <w:spacing w:line="195" w:lineRule="auto"/>
              <w:rPr>
                <w:sz w:val="25"/>
                <w:szCs w:val="25"/>
              </w:rPr>
            </w:pPr>
            <w:r>
              <w:rPr>
                <w:sz w:val="25"/>
                <w:szCs w:val="25"/>
                <w:color w:val="404040"/>
                <w:spacing w:val="6"/>
              </w:rPr>
              <w:t>后果的</w:t>
            </w:r>
          </w:p>
        </w:tc>
        <w:tc>
          <w:tcPr>
            <w:tcW w:w="5716" w:type="dxa"/>
            <w:vAlign w:val="top"/>
          </w:tcPr>
          <w:p>
            <w:pPr>
              <w:spacing w:line="295" w:lineRule="auto"/>
              <w:rPr>
                <w:rFonts w:ascii="Arial"/>
                <w:sz w:val="21"/>
              </w:rPr>
            </w:pPr>
            <w:r/>
          </w:p>
          <w:p>
            <w:pPr>
              <w:pStyle w:val="TableText"/>
              <w:ind w:left="106" w:hanging="90"/>
              <w:spacing w:before="82" w:line="337" w:lineRule="auto"/>
              <w:rPr>
                <w:sz w:val="25"/>
                <w:szCs w:val="25"/>
              </w:rPr>
            </w:pPr>
            <w:r>
              <w:rPr>
                <w:sz w:val="25"/>
                <w:szCs w:val="25"/>
                <w:spacing w:val="-3"/>
              </w:rPr>
              <w:t>责令改正，给予警告，没收违法所得，并处一万元以</w:t>
            </w:r>
            <w:r>
              <w:rPr>
                <w:sz w:val="25"/>
                <w:szCs w:val="25"/>
                <w:spacing w:val="7"/>
              </w:rPr>
              <w:t xml:space="preserve"> </w:t>
            </w:r>
            <w:r>
              <w:rPr>
                <w:sz w:val="25"/>
                <w:szCs w:val="25"/>
                <w:spacing w:val="1"/>
              </w:rPr>
              <w:t>上二万元以下的罚款</w:t>
            </w:r>
          </w:p>
        </w:tc>
      </w:tr>
      <w:tr>
        <w:trPr>
          <w:trHeight w:val="1328" w:hRule="atLeast"/>
        </w:trPr>
        <w:tc>
          <w:tcPr>
            <w:tcW w:w="1424" w:type="dxa"/>
            <w:vAlign w:val="top"/>
          </w:tcPr>
          <w:p>
            <w:pPr>
              <w:spacing w:line="460" w:lineRule="auto"/>
              <w:rPr>
                <w:rFonts w:ascii="Arial"/>
                <w:sz w:val="21"/>
              </w:rPr>
            </w:pPr>
            <w:r/>
          </w:p>
          <w:p>
            <w:pPr>
              <w:pStyle w:val="TableText"/>
              <w:ind w:left="458"/>
              <w:spacing w:before="81" w:line="221" w:lineRule="auto"/>
              <w:rPr>
                <w:sz w:val="25"/>
                <w:szCs w:val="25"/>
              </w:rPr>
            </w:pPr>
            <w:r>
              <w:rPr>
                <w:sz w:val="25"/>
                <w:szCs w:val="25"/>
                <w:b/>
                <w:bCs/>
                <w:spacing w:val="-6"/>
              </w:rPr>
              <w:t>较重</w:t>
            </w:r>
          </w:p>
        </w:tc>
        <w:tc>
          <w:tcPr>
            <w:tcW w:w="7045" w:type="dxa"/>
            <w:vAlign w:val="top"/>
          </w:tcPr>
          <w:p>
            <w:pPr>
              <w:pStyle w:val="TableText"/>
              <w:ind w:left="10" w:right="11"/>
              <w:spacing w:before="152" w:line="287" w:lineRule="auto"/>
              <w:jc w:val="both"/>
              <w:rPr>
                <w:sz w:val="25"/>
                <w:szCs w:val="25"/>
              </w:rPr>
            </w:pPr>
            <w:r>
              <w:rPr>
                <w:sz w:val="25"/>
                <w:szCs w:val="25"/>
              </w:rPr>
              <w:t>从事人体器官移植的医师，故意泄露人体器官捐献人、接受人或</w:t>
            </w:r>
            <w:r>
              <w:rPr>
                <w:sz w:val="25"/>
                <w:szCs w:val="25"/>
                <w:spacing w:val="11"/>
              </w:rPr>
              <w:t xml:space="preserve"> </w:t>
            </w:r>
            <w:r>
              <w:rPr>
                <w:sz w:val="25"/>
                <w:szCs w:val="25"/>
              </w:rPr>
              <w:t>者申请人体器官移植手术患者个人资料，未谋取利益，造成严重</w:t>
            </w:r>
            <w:r>
              <w:rPr>
                <w:sz w:val="25"/>
                <w:szCs w:val="25"/>
                <w:spacing w:val="11"/>
              </w:rPr>
              <w:t xml:space="preserve"> </w:t>
            </w:r>
            <w:r>
              <w:rPr>
                <w:sz w:val="25"/>
                <w:szCs w:val="25"/>
                <w:spacing w:val="43"/>
              </w:rPr>
              <w:t>后果的</w:t>
            </w:r>
          </w:p>
        </w:tc>
        <w:tc>
          <w:tcPr>
            <w:tcW w:w="5716" w:type="dxa"/>
            <w:vAlign w:val="top"/>
          </w:tcPr>
          <w:p>
            <w:pPr>
              <w:pStyle w:val="TableText"/>
              <w:ind w:left="215" w:hanging="199"/>
              <w:spacing w:before="152" w:line="322" w:lineRule="auto"/>
              <w:rPr>
                <w:sz w:val="25"/>
                <w:szCs w:val="25"/>
              </w:rPr>
            </w:pPr>
            <w:r>
              <w:rPr>
                <w:sz w:val="25"/>
                <w:szCs w:val="25"/>
                <w:spacing w:val="-3"/>
              </w:rPr>
              <w:t>责令改正，给予警告，没收违法所得，并处二万元以</w:t>
            </w:r>
            <w:r>
              <w:rPr>
                <w:sz w:val="25"/>
                <w:szCs w:val="25"/>
                <w:spacing w:val="7"/>
              </w:rPr>
              <w:t xml:space="preserve"> </w:t>
            </w:r>
            <w:r>
              <w:rPr>
                <w:sz w:val="25"/>
                <w:szCs w:val="25"/>
              </w:rPr>
              <w:t>上三万元以下的罚款，责令暂停执业6个月以上9</w:t>
            </w:r>
          </w:p>
          <w:p>
            <w:pPr>
              <w:pStyle w:val="TableText"/>
              <w:ind w:left="106"/>
              <w:spacing w:line="217" w:lineRule="auto"/>
              <w:rPr>
                <w:sz w:val="25"/>
                <w:szCs w:val="25"/>
              </w:rPr>
            </w:pPr>
            <w:r>
              <w:rPr>
                <w:sz w:val="25"/>
                <w:szCs w:val="25"/>
                <w:spacing w:val="4"/>
              </w:rPr>
              <w:t>个月以下</w:t>
            </w:r>
          </w:p>
        </w:tc>
      </w:tr>
      <w:tr>
        <w:trPr>
          <w:trHeight w:val="1298" w:hRule="atLeast"/>
        </w:trPr>
        <w:tc>
          <w:tcPr>
            <w:tcW w:w="1424" w:type="dxa"/>
            <w:vAlign w:val="top"/>
          </w:tcPr>
          <w:p>
            <w:pPr>
              <w:spacing w:line="449"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7045" w:type="dxa"/>
            <w:vAlign w:val="top"/>
          </w:tcPr>
          <w:p>
            <w:pPr>
              <w:pStyle w:val="TableText"/>
              <w:ind w:left="10" w:right="12"/>
              <w:spacing w:before="134" w:line="284" w:lineRule="auto"/>
              <w:jc w:val="both"/>
              <w:rPr>
                <w:sz w:val="25"/>
                <w:szCs w:val="25"/>
              </w:rPr>
            </w:pPr>
            <w:r>
              <w:rPr>
                <w:sz w:val="25"/>
                <w:szCs w:val="25"/>
              </w:rPr>
              <w:t>从事人体器官移植的医师，为获取利益而故意泄露人体器官捐献</w:t>
            </w:r>
            <w:r>
              <w:rPr>
                <w:sz w:val="25"/>
                <w:szCs w:val="25"/>
                <w:spacing w:val="8"/>
              </w:rPr>
              <w:t xml:space="preserve"> </w:t>
            </w:r>
            <w:r>
              <w:rPr>
                <w:sz w:val="25"/>
                <w:szCs w:val="25"/>
              </w:rPr>
              <w:t>人、接受人或者申请人体器官移植手术患者个人资料，造成严重</w:t>
            </w:r>
            <w:r>
              <w:rPr>
                <w:sz w:val="25"/>
                <w:szCs w:val="25"/>
                <w:spacing w:val="11"/>
              </w:rPr>
              <w:t xml:space="preserve"> </w:t>
            </w:r>
            <w:r>
              <w:rPr>
                <w:sz w:val="25"/>
                <w:szCs w:val="25"/>
                <w:spacing w:val="43"/>
              </w:rPr>
              <w:t>后果的</w:t>
            </w:r>
          </w:p>
        </w:tc>
        <w:tc>
          <w:tcPr>
            <w:tcW w:w="5716" w:type="dxa"/>
            <w:vAlign w:val="top"/>
          </w:tcPr>
          <w:p>
            <w:pPr>
              <w:pStyle w:val="TableText"/>
              <w:ind w:left="155" w:hanging="139"/>
              <w:spacing w:before="133" w:line="326" w:lineRule="auto"/>
              <w:rPr>
                <w:sz w:val="25"/>
                <w:szCs w:val="25"/>
              </w:rPr>
            </w:pPr>
            <w:r>
              <w:rPr>
                <w:sz w:val="25"/>
                <w:szCs w:val="25"/>
                <w:spacing w:val="-3"/>
              </w:rPr>
              <w:t>责令改正，给予警告，没收违法所得，并处二万元以</w:t>
            </w:r>
            <w:r>
              <w:rPr>
                <w:sz w:val="25"/>
                <w:szCs w:val="25"/>
                <w:spacing w:val="7"/>
              </w:rPr>
              <w:t xml:space="preserve"> </w:t>
            </w:r>
            <w:r>
              <w:rPr>
                <w:sz w:val="25"/>
                <w:szCs w:val="25"/>
              </w:rPr>
              <w:t>上三万元以下的罚款，责令暂停执业10个月以上1</w:t>
            </w:r>
          </w:p>
          <w:p>
            <w:pPr>
              <w:pStyle w:val="TableText"/>
              <w:ind w:left="106"/>
              <w:spacing w:before="1" w:line="200" w:lineRule="auto"/>
              <w:rPr>
                <w:sz w:val="25"/>
                <w:szCs w:val="25"/>
              </w:rPr>
            </w:pPr>
            <w:r>
              <w:rPr>
                <w:sz w:val="25"/>
                <w:szCs w:val="25"/>
                <w:color w:val="606050"/>
                <w:spacing w:val="5"/>
              </w:rPr>
              <w:t>年以下</w:t>
            </w:r>
          </w:p>
        </w:tc>
      </w:tr>
      <w:tr>
        <w:trPr>
          <w:trHeight w:val="1333" w:hRule="atLeast"/>
        </w:trPr>
        <w:tc>
          <w:tcPr>
            <w:tcW w:w="1424" w:type="dxa"/>
            <w:vAlign w:val="top"/>
          </w:tcPr>
          <w:p>
            <w:pPr>
              <w:spacing w:line="460" w:lineRule="auto"/>
              <w:rPr>
                <w:rFonts w:ascii="Arial"/>
                <w:sz w:val="21"/>
              </w:rPr>
            </w:pPr>
            <w:r/>
          </w:p>
          <w:p>
            <w:pPr>
              <w:pStyle w:val="TableText"/>
              <w:ind w:left="208"/>
              <w:spacing w:before="82" w:line="219" w:lineRule="auto"/>
              <w:rPr>
                <w:sz w:val="25"/>
                <w:szCs w:val="25"/>
              </w:rPr>
            </w:pPr>
            <w:r>
              <w:rPr>
                <w:sz w:val="25"/>
                <w:szCs w:val="25"/>
                <w:b/>
                <w:bCs/>
                <w:spacing w:val="-5"/>
              </w:rPr>
              <w:t>特别严重</w:t>
            </w:r>
          </w:p>
        </w:tc>
        <w:tc>
          <w:tcPr>
            <w:tcW w:w="7045" w:type="dxa"/>
            <w:vAlign w:val="top"/>
          </w:tcPr>
          <w:p>
            <w:pPr>
              <w:pStyle w:val="TableText"/>
              <w:ind w:left="10" w:right="10"/>
              <w:spacing w:before="158" w:line="332" w:lineRule="auto"/>
              <w:rPr>
                <w:sz w:val="25"/>
                <w:szCs w:val="25"/>
              </w:rPr>
            </w:pPr>
            <w:r>
              <w:rPr>
                <w:sz w:val="25"/>
                <w:szCs w:val="25"/>
              </w:rPr>
              <w:t>从事人体器官移植的医师，故意泄露人体器官捐献人、接受人或</w:t>
            </w:r>
            <w:r>
              <w:rPr>
                <w:sz w:val="25"/>
                <w:szCs w:val="25"/>
                <w:spacing w:val="11"/>
              </w:rPr>
              <w:t xml:space="preserve"> </w:t>
            </w:r>
            <w:r>
              <w:rPr>
                <w:sz w:val="25"/>
                <w:szCs w:val="25"/>
              </w:rPr>
              <w:t>者申请人体器官移植手术患者个人资料，造成特别严重后果或恶</w:t>
            </w:r>
          </w:p>
          <w:p>
            <w:pPr>
              <w:pStyle w:val="TableText"/>
              <w:ind w:left="141"/>
              <w:spacing w:line="196" w:lineRule="auto"/>
              <w:rPr>
                <w:sz w:val="25"/>
                <w:szCs w:val="25"/>
              </w:rPr>
            </w:pPr>
            <w:r>
              <w:rPr>
                <w:sz w:val="25"/>
                <w:szCs w:val="25"/>
                <w:spacing w:val="3"/>
              </w:rPr>
              <w:t>劣社会影响的</w:t>
            </w:r>
          </w:p>
        </w:tc>
        <w:tc>
          <w:tcPr>
            <w:tcW w:w="5716" w:type="dxa"/>
            <w:vAlign w:val="top"/>
          </w:tcPr>
          <w:p>
            <w:pPr>
              <w:spacing w:line="294" w:lineRule="auto"/>
              <w:rPr>
                <w:rFonts w:ascii="Arial"/>
                <w:sz w:val="21"/>
              </w:rPr>
            </w:pPr>
            <w:r/>
          </w:p>
          <w:p>
            <w:pPr>
              <w:pStyle w:val="TableText"/>
              <w:ind w:left="105" w:hanging="89"/>
              <w:spacing w:before="81" w:line="327" w:lineRule="auto"/>
              <w:rPr>
                <w:sz w:val="25"/>
                <w:szCs w:val="25"/>
              </w:rPr>
            </w:pPr>
            <w:r>
              <w:rPr>
                <w:sz w:val="25"/>
                <w:szCs w:val="25"/>
                <w:spacing w:val="-3"/>
              </w:rPr>
              <w:t>责令改正，给予警告，没收违法所得，并处三万元罚</w:t>
            </w:r>
            <w:r>
              <w:rPr>
                <w:sz w:val="25"/>
                <w:szCs w:val="25"/>
                <w:spacing w:val="7"/>
              </w:rPr>
              <w:t xml:space="preserve"> </w:t>
            </w:r>
            <w:r>
              <w:rPr>
                <w:sz w:val="25"/>
                <w:szCs w:val="25"/>
                <w:spacing w:val="1"/>
              </w:rPr>
              <w:t>款，吊销医师执业证书</w:t>
            </w:r>
          </w:p>
        </w:tc>
      </w:tr>
    </w:tbl>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ind w:left="6465"/>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—336—</w:t>
      </w:r>
    </w:p>
    <w:p>
      <w:pPr>
        <w:spacing w:line="188" w:lineRule="auto"/>
        <w:sectPr>
          <w:footerReference w:type="default" r:id="rId24"/>
          <w:pgSz w:w="16830" w:h="11900"/>
          <w:pgMar w:top="1011" w:right="1319" w:bottom="400" w:left="1314" w:header="0" w:footer="0" w:gutter="0"/>
        </w:sectPr>
        <w:rPr>
          <w:rFonts w:ascii="Times New Roman" w:hAnsi="Times New Roman" w:eastAsia="Times New Roman" w:cs="Times New Roman"/>
          <w:sz w:val="37"/>
          <w:szCs w:val="37"/>
        </w:rPr>
      </w:pPr>
    </w:p>
    <w:p>
      <w:pPr>
        <w:pStyle w:val="BodyText"/>
        <w:spacing w:line="256" w:lineRule="auto"/>
        <w:rPr/>
      </w:pPr>
      <w:r/>
    </w:p>
    <w:p>
      <w:pPr>
        <w:pStyle w:val="BodyText"/>
        <w:spacing w:line="256" w:lineRule="auto"/>
        <w:rPr/>
      </w:pPr>
      <w:r/>
    </w:p>
    <w:p>
      <w:pPr>
        <w:pStyle w:val="BodyText"/>
        <w:spacing w:line="256" w:lineRule="auto"/>
        <w:rPr/>
      </w:pPr>
      <w:r/>
    </w:p>
    <w:p>
      <w:pPr>
        <w:ind w:left="129" w:right="129" w:firstLine="629"/>
        <w:spacing w:before="98" w:line="285" w:lineRule="auto"/>
        <w:rPr>
          <w:rFonts w:ascii="FangSong" w:hAnsi="FangSong" w:eastAsia="FangSong" w:cs="FangSong"/>
          <w:sz w:val="30"/>
          <w:szCs w:val="30"/>
        </w:rPr>
      </w:pPr>
      <w:bookmarkStart w:name="bookmark962" w:id="331"/>
      <w:bookmarkEnd w:id="331"/>
      <w:r>
        <w:rPr>
          <w:rFonts w:ascii="FangSong" w:hAnsi="FangSong" w:eastAsia="FangSong" w:cs="FangSong"/>
          <w:sz w:val="30"/>
          <w:szCs w:val="30"/>
          <w:b/>
          <w:bCs/>
          <w:spacing w:val="21"/>
        </w:rPr>
        <w:t>第二百五十一条从事人体器官移植的护士泄露人体器官捐献人、接受人或者申请人体器官移植</w:t>
      </w:r>
      <w:r>
        <w:rPr>
          <w:rFonts w:ascii="FangSong" w:hAnsi="FangSong" w:eastAsia="FangSong" w:cs="FangSong"/>
          <w:sz w:val="30"/>
          <w:szCs w:val="30"/>
        </w:rPr>
        <w:t xml:space="preserve"> </w:t>
      </w:r>
      <w:r>
        <w:rPr>
          <w:rFonts w:ascii="FangSong" w:hAnsi="FangSong" w:eastAsia="FangSong" w:cs="FangSong"/>
          <w:sz w:val="30"/>
          <w:szCs w:val="30"/>
          <w:b/>
          <w:bCs/>
          <w:spacing w:val="13"/>
        </w:rPr>
        <w:t>手术患者个人资料的</w:t>
      </w:r>
    </w:p>
    <w:p>
      <w:pPr>
        <w:ind w:left="754"/>
        <w:spacing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124" w:right="125" w:firstLine="629"/>
        <w:spacing w:before="103" w:line="251" w:lineRule="auto"/>
        <w:rPr>
          <w:rFonts w:ascii="FangSong" w:hAnsi="FangSong" w:eastAsia="FangSong" w:cs="FangSong"/>
          <w:sz w:val="30"/>
          <w:szCs w:val="30"/>
        </w:rPr>
      </w:pPr>
      <w:r>
        <w:rPr>
          <w:rFonts w:ascii="FangSong" w:hAnsi="FangSong" w:eastAsia="FangSong" w:cs="FangSong"/>
          <w:sz w:val="30"/>
          <w:szCs w:val="30"/>
          <w:spacing w:val="12"/>
        </w:rPr>
        <w:t>1.</w:t>
      </w:r>
      <w:r>
        <w:rPr>
          <w:rFonts w:ascii="FangSong" w:hAnsi="FangSong" w:eastAsia="FangSong" w:cs="FangSong"/>
          <w:sz w:val="30"/>
          <w:szCs w:val="30"/>
          <w:spacing w:val="12"/>
        </w:rPr>
        <w:t xml:space="preserve"> </w:t>
      </w:r>
      <w:r>
        <w:rPr>
          <w:rFonts w:ascii="FangSong" w:hAnsi="FangSong" w:eastAsia="FangSong" w:cs="FangSong"/>
          <w:sz w:val="30"/>
          <w:szCs w:val="30"/>
          <w:spacing w:val="12"/>
        </w:rPr>
        <w:t>《人体器官移植条例》第二十七条第三款</w:t>
      </w:r>
      <w:r>
        <w:rPr>
          <w:rFonts w:ascii="FangSong" w:hAnsi="FangSong" w:eastAsia="FangSong" w:cs="FangSong"/>
          <w:sz w:val="30"/>
          <w:szCs w:val="30"/>
          <w:spacing w:val="12"/>
        </w:rPr>
        <w:t xml:space="preserve">  </w:t>
      </w:r>
      <w:r>
        <w:rPr>
          <w:rFonts w:ascii="FangSong" w:hAnsi="FangSong" w:eastAsia="FangSong" w:cs="FangSong"/>
          <w:sz w:val="30"/>
          <w:szCs w:val="30"/>
          <w:spacing w:val="12"/>
        </w:rPr>
        <w:t>从事人</w:t>
      </w:r>
      <w:r>
        <w:rPr>
          <w:rFonts w:ascii="FangSong" w:hAnsi="FangSong" w:eastAsia="FangSong" w:cs="FangSong"/>
          <w:sz w:val="30"/>
          <w:szCs w:val="30"/>
          <w:spacing w:val="11"/>
        </w:rPr>
        <w:t>体器官移植的医务人员违反本条例规定，泄</w:t>
      </w:r>
      <w:r>
        <w:rPr>
          <w:rFonts w:ascii="FangSong" w:hAnsi="FangSong" w:eastAsia="FangSong" w:cs="FangSong"/>
          <w:sz w:val="30"/>
          <w:szCs w:val="30"/>
        </w:rPr>
        <w:t xml:space="preserve"> </w:t>
      </w:r>
      <w:r>
        <w:rPr>
          <w:rFonts w:ascii="FangSong" w:hAnsi="FangSong" w:eastAsia="FangSong" w:cs="FangSong"/>
          <w:sz w:val="30"/>
          <w:szCs w:val="30"/>
          <w:spacing w:val="17"/>
        </w:rPr>
        <w:t>露人体器官捐献人、接受人或者申请人体器官移植手术</w:t>
      </w:r>
      <w:r>
        <w:rPr>
          <w:rFonts w:ascii="FangSong" w:hAnsi="FangSong" w:eastAsia="FangSong" w:cs="FangSong"/>
          <w:sz w:val="30"/>
          <w:szCs w:val="30"/>
          <w:spacing w:val="16"/>
        </w:rPr>
        <w:t>患者个人资料的，依照《中华人民共和国医师</w:t>
      </w:r>
      <w:r>
        <w:rPr>
          <w:rFonts w:ascii="FangSong" w:hAnsi="FangSong" w:eastAsia="FangSong" w:cs="FangSong"/>
          <w:sz w:val="30"/>
          <w:szCs w:val="30"/>
        </w:rPr>
        <w:t xml:space="preserve"> </w:t>
      </w:r>
      <w:r>
        <w:rPr>
          <w:rFonts w:ascii="FangSong" w:hAnsi="FangSong" w:eastAsia="FangSong" w:cs="FangSong"/>
          <w:sz w:val="30"/>
          <w:szCs w:val="30"/>
          <w:spacing w:val="16"/>
        </w:rPr>
        <w:t>法》或者国家有关护士管理的规定予以处罚。</w:t>
      </w:r>
    </w:p>
    <w:p>
      <w:pPr>
        <w:ind w:left="124" w:right="109" w:firstLine="629"/>
        <w:spacing w:before="83" w:line="251" w:lineRule="auto"/>
        <w:rPr>
          <w:rFonts w:ascii="FangSong" w:hAnsi="FangSong" w:eastAsia="FangSong" w:cs="FangSong"/>
          <w:sz w:val="30"/>
          <w:szCs w:val="30"/>
        </w:rPr>
      </w:pPr>
      <w:r>
        <w:rPr>
          <w:rFonts w:ascii="FangSong" w:hAnsi="FangSong" w:eastAsia="FangSong" w:cs="FangSong"/>
          <w:sz w:val="30"/>
          <w:szCs w:val="30"/>
          <w:spacing w:val="26"/>
        </w:rPr>
        <w:t>2.</w:t>
      </w:r>
      <w:r>
        <w:rPr>
          <w:rFonts w:ascii="FangSong" w:hAnsi="FangSong" w:eastAsia="FangSong" w:cs="FangSong"/>
          <w:sz w:val="30"/>
          <w:szCs w:val="30"/>
          <w:spacing w:val="26"/>
        </w:rPr>
        <w:t xml:space="preserve"> </w:t>
      </w:r>
      <w:r>
        <w:rPr>
          <w:rFonts w:ascii="FangSong" w:hAnsi="FangSong" w:eastAsia="FangSong" w:cs="FangSong"/>
          <w:sz w:val="30"/>
          <w:szCs w:val="30"/>
          <w:spacing w:val="26"/>
        </w:rPr>
        <w:t>《护士条例》第三十一条第(三)项护士在执业活动中有下列情形之一的，由县级以上地方</w:t>
      </w:r>
      <w:r>
        <w:rPr>
          <w:rFonts w:ascii="FangSong" w:hAnsi="FangSong" w:eastAsia="FangSong" w:cs="FangSong"/>
          <w:sz w:val="30"/>
          <w:szCs w:val="30"/>
          <w:spacing w:val="1"/>
        </w:rPr>
        <w:t xml:space="preserve"> </w:t>
      </w:r>
      <w:r>
        <w:rPr>
          <w:rFonts w:ascii="FangSong" w:hAnsi="FangSong" w:eastAsia="FangSong" w:cs="FangSong"/>
          <w:sz w:val="30"/>
          <w:szCs w:val="30"/>
          <w:spacing w:val="11"/>
        </w:rPr>
        <w:t>人民政府卫生主管部门依据职责分工责令改正，给予</w:t>
      </w:r>
      <w:r>
        <w:rPr>
          <w:rFonts w:ascii="FangSong" w:hAnsi="FangSong" w:eastAsia="FangSong" w:cs="FangSong"/>
          <w:sz w:val="30"/>
          <w:szCs w:val="30"/>
          <w:spacing w:val="10"/>
        </w:rPr>
        <w:t>警告；情节严重的，暂停其6</w:t>
      </w:r>
      <w:r>
        <w:rPr>
          <w:rFonts w:ascii="FangSong" w:hAnsi="FangSong" w:eastAsia="FangSong" w:cs="FangSong"/>
          <w:sz w:val="30"/>
          <w:szCs w:val="30"/>
          <w:spacing w:val="10"/>
        </w:rPr>
        <w:t xml:space="preserve"> </w:t>
      </w:r>
      <w:r>
        <w:rPr>
          <w:rFonts w:ascii="FangSong" w:hAnsi="FangSong" w:eastAsia="FangSong" w:cs="FangSong"/>
          <w:sz w:val="30"/>
          <w:szCs w:val="30"/>
          <w:spacing w:val="10"/>
        </w:rPr>
        <w:t>个</w:t>
      </w:r>
      <w:r>
        <w:rPr>
          <w:rFonts w:ascii="FangSong" w:hAnsi="FangSong" w:eastAsia="FangSong" w:cs="FangSong"/>
          <w:sz w:val="30"/>
          <w:szCs w:val="30"/>
          <w:spacing w:val="-40"/>
        </w:rPr>
        <w:t xml:space="preserve"> </w:t>
      </w:r>
      <w:r>
        <w:rPr>
          <w:rFonts w:ascii="FangSong" w:hAnsi="FangSong" w:eastAsia="FangSong" w:cs="FangSong"/>
          <w:sz w:val="30"/>
          <w:szCs w:val="30"/>
          <w:spacing w:val="10"/>
        </w:rPr>
        <w:t>月</w:t>
      </w:r>
      <w:r>
        <w:rPr>
          <w:rFonts w:ascii="FangSong" w:hAnsi="FangSong" w:eastAsia="FangSong" w:cs="FangSong"/>
          <w:sz w:val="30"/>
          <w:szCs w:val="30"/>
          <w:spacing w:val="-24"/>
        </w:rPr>
        <w:t xml:space="preserve"> </w:t>
      </w:r>
      <w:r>
        <w:rPr>
          <w:rFonts w:ascii="FangSong" w:hAnsi="FangSong" w:eastAsia="FangSong" w:cs="FangSong"/>
          <w:sz w:val="30"/>
          <w:szCs w:val="30"/>
          <w:spacing w:val="10"/>
        </w:rPr>
        <w:t>以</w:t>
      </w:r>
      <w:r>
        <w:rPr>
          <w:rFonts w:ascii="FangSong" w:hAnsi="FangSong" w:eastAsia="FangSong" w:cs="FangSong"/>
          <w:sz w:val="30"/>
          <w:szCs w:val="30"/>
          <w:spacing w:val="-52"/>
        </w:rPr>
        <w:t xml:space="preserve"> </w:t>
      </w:r>
      <w:r>
        <w:rPr>
          <w:rFonts w:ascii="FangSong" w:hAnsi="FangSong" w:eastAsia="FangSong" w:cs="FangSong"/>
          <w:sz w:val="30"/>
          <w:szCs w:val="30"/>
          <w:spacing w:val="10"/>
        </w:rPr>
        <w:t>上</w:t>
      </w:r>
      <w:r>
        <w:rPr>
          <w:rFonts w:ascii="FangSong" w:hAnsi="FangSong" w:eastAsia="FangSong" w:cs="FangSong"/>
          <w:sz w:val="30"/>
          <w:szCs w:val="30"/>
          <w:spacing w:val="-42"/>
        </w:rPr>
        <w:t xml:space="preserve"> </w:t>
      </w:r>
      <w:r>
        <w:rPr>
          <w:rFonts w:ascii="FangSong" w:hAnsi="FangSong" w:eastAsia="FangSong" w:cs="FangSong"/>
          <w:sz w:val="30"/>
          <w:szCs w:val="30"/>
          <w:spacing w:val="10"/>
        </w:rPr>
        <w:t>1</w:t>
      </w:r>
      <w:r>
        <w:rPr>
          <w:rFonts w:ascii="FangSong" w:hAnsi="FangSong" w:eastAsia="FangSong" w:cs="FangSong"/>
          <w:sz w:val="30"/>
          <w:szCs w:val="30"/>
          <w:spacing w:val="-21"/>
        </w:rPr>
        <w:t xml:space="preserve"> </w:t>
      </w:r>
      <w:r>
        <w:rPr>
          <w:rFonts w:ascii="FangSong" w:hAnsi="FangSong" w:eastAsia="FangSong" w:cs="FangSong"/>
          <w:sz w:val="30"/>
          <w:szCs w:val="30"/>
          <w:spacing w:val="10"/>
        </w:rPr>
        <w:t>年</w:t>
      </w:r>
      <w:r>
        <w:rPr>
          <w:rFonts w:ascii="FangSong" w:hAnsi="FangSong" w:eastAsia="FangSong" w:cs="FangSong"/>
          <w:sz w:val="30"/>
          <w:szCs w:val="30"/>
          <w:spacing w:val="10"/>
        </w:rPr>
        <w:t xml:space="preserve"> </w:t>
      </w:r>
      <w:r>
        <w:rPr>
          <w:rFonts w:ascii="FangSong" w:hAnsi="FangSong" w:eastAsia="FangSong" w:cs="FangSong"/>
          <w:sz w:val="30"/>
          <w:szCs w:val="30"/>
          <w:spacing w:val="10"/>
        </w:rPr>
        <w:t>以</w:t>
      </w:r>
      <w:r>
        <w:rPr>
          <w:rFonts w:ascii="FangSong" w:hAnsi="FangSong" w:eastAsia="FangSong" w:cs="FangSong"/>
          <w:sz w:val="30"/>
          <w:szCs w:val="30"/>
        </w:rPr>
        <w:t xml:space="preserve"> </w:t>
      </w:r>
      <w:r>
        <w:rPr>
          <w:rFonts w:ascii="FangSong" w:hAnsi="FangSong" w:eastAsia="FangSong" w:cs="FangSong"/>
          <w:sz w:val="30"/>
          <w:szCs w:val="30"/>
          <w:spacing w:val="16"/>
        </w:rPr>
        <w:t>下执业活动，直至由原发证部门吊销其护士执业证书：</w:t>
      </w:r>
    </w:p>
    <w:p>
      <w:pPr>
        <w:ind w:left="894"/>
        <w:spacing w:before="72" w:line="223" w:lineRule="auto"/>
        <w:rPr>
          <w:rFonts w:ascii="FangSong" w:hAnsi="FangSong" w:eastAsia="FangSong" w:cs="FangSong"/>
          <w:sz w:val="30"/>
          <w:szCs w:val="30"/>
        </w:rPr>
      </w:pPr>
      <w:r>
        <w:rPr>
          <w:rFonts w:ascii="FangSong" w:hAnsi="FangSong" w:eastAsia="FangSong" w:cs="FangSong"/>
          <w:sz w:val="30"/>
          <w:szCs w:val="30"/>
          <w:spacing w:val="28"/>
        </w:rPr>
        <w:t>(三)泄露患者隐私的。</w:t>
      </w:r>
    </w:p>
    <w:p>
      <w:pPr>
        <w:ind w:left="6539"/>
        <w:spacing w:before="85"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40" w:lineRule="auto"/>
        <w:rPr>
          <w:rFonts w:ascii="Arial"/>
          <w:sz w:val="2"/>
        </w:rPr>
      </w:pPr>
      <w:r>
        <w:rPr>
          <w:rFonts w:ascii="Arial"/>
          <w:sz w:val="2"/>
        </w:r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904"/>
        <w:gridCol w:w="4842"/>
      </w:tblGrid>
      <w:tr>
        <w:trPr>
          <w:trHeight w:val="424" w:hRule="atLeast"/>
        </w:trPr>
        <w:tc>
          <w:tcPr>
            <w:tcW w:w="1424" w:type="dxa"/>
            <w:vAlign w:val="top"/>
          </w:tcPr>
          <w:p>
            <w:pPr>
              <w:pStyle w:val="TableText"/>
              <w:ind w:left="208"/>
              <w:spacing w:before="92" w:line="220" w:lineRule="auto"/>
              <w:rPr>
                <w:sz w:val="25"/>
                <w:szCs w:val="25"/>
              </w:rPr>
            </w:pPr>
            <w:r>
              <w:rPr>
                <w:sz w:val="25"/>
                <w:szCs w:val="25"/>
                <w:b/>
                <w:bCs/>
                <w:spacing w:val="-5"/>
              </w:rPr>
              <w:t>违法程度</w:t>
            </w:r>
          </w:p>
        </w:tc>
        <w:tc>
          <w:tcPr>
            <w:tcW w:w="7904" w:type="dxa"/>
            <w:vAlign w:val="top"/>
          </w:tcPr>
          <w:p>
            <w:pPr>
              <w:pStyle w:val="TableText"/>
              <w:ind w:left="3444"/>
              <w:spacing w:before="92" w:line="220" w:lineRule="auto"/>
              <w:rPr>
                <w:sz w:val="25"/>
                <w:szCs w:val="25"/>
              </w:rPr>
            </w:pPr>
            <w:r>
              <w:rPr>
                <w:sz w:val="25"/>
                <w:szCs w:val="25"/>
                <w:b/>
                <w:bCs/>
                <w:spacing w:val="-5"/>
              </w:rPr>
              <w:t>违法后果</w:t>
            </w:r>
          </w:p>
        </w:tc>
        <w:tc>
          <w:tcPr>
            <w:tcW w:w="4842" w:type="dxa"/>
            <w:vAlign w:val="top"/>
          </w:tcPr>
          <w:p>
            <w:pPr>
              <w:pStyle w:val="TableText"/>
              <w:ind w:left="1850"/>
              <w:spacing w:before="89" w:line="218" w:lineRule="auto"/>
              <w:rPr>
                <w:sz w:val="25"/>
                <w:szCs w:val="25"/>
              </w:rPr>
            </w:pPr>
            <w:r>
              <w:rPr>
                <w:sz w:val="25"/>
                <w:szCs w:val="25"/>
                <w:b/>
                <w:bCs/>
                <w:spacing w:val="-5"/>
              </w:rPr>
              <w:t>裁量幅度</w:t>
            </w:r>
          </w:p>
        </w:tc>
      </w:tr>
      <w:tr>
        <w:trPr>
          <w:trHeight w:val="877" w:hRule="atLeast"/>
        </w:trPr>
        <w:tc>
          <w:tcPr>
            <w:tcW w:w="1424" w:type="dxa"/>
            <w:vAlign w:val="top"/>
          </w:tcPr>
          <w:p>
            <w:pPr>
              <w:pStyle w:val="TableText"/>
              <w:ind w:left="458"/>
              <w:spacing w:before="319" w:line="221" w:lineRule="auto"/>
              <w:rPr>
                <w:sz w:val="25"/>
                <w:szCs w:val="25"/>
              </w:rPr>
            </w:pPr>
            <w:r>
              <w:rPr>
                <w:sz w:val="25"/>
                <w:szCs w:val="25"/>
                <w:b/>
                <w:bCs/>
                <w:spacing w:val="-10"/>
              </w:rPr>
              <w:t>一般</w:t>
            </w:r>
          </w:p>
        </w:tc>
        <w:tc>
          <w:tcPr>
            <w:tcW w:w="7904" w:type="dxa"/>
            <w:vAlign w:val="top"/>
          </w:tcPr>
          <w:p>
            <w:pPr>
              <w:pStyle w:val="TableText"/>
              <w:ind w:left="119" w:hanging="109"/>
              <w:spacing w:before="151" w:line="264" w:lineRule="auto"/>
              <w:rPr>
                <w:sz w:val="25"/>
                <w:szCs w:val="25"/>
              </w:rPr>
            </w:pPr>
            <w:r>
              <w:rPr>
                <w:sz w:val="25"/>
                <w:szCs w:val="25"/>
                <w:spacing w:val="-4"/>
              </w:rPr>
              <w:t>从事人体器官移植的护士非主观故意而导致泄露人体器官捐献人、接受人</w:t>
            </w:r>
            <w:r>
              <w:rPr>
                <w:sz w:val="25"/>
                <w:szCs w:val="25"/>
                <w:spacing w:val="10"/>
              </w:rPr>
              <w:t xml:space="preserve"> </w:t>
            </w:r>
            <w:r>
              <w:rPr>
                <w:sz w:val="25"/>
                <w:szCs w:val="25"/>
              </w:rPr>
              <w:t>或者申请人体器官移植手术患者个人资料，且未造成危害后果的</w:t>
            </w:r>
          </w:p>
        </w:tc>
        <w:tc>
          <w:tcPr>
            <w:tcW w:w="4842" w:type="dxa"/>
            <w:vAlign w:val="top"/>
          </w:tcPr>
          <w:p>
            <w:pPr>
              <w:pStyle w:val="TableText"/>
              <w:ind w:left="117"/>
              <w:spacing w:before="319" w:line="218" w:lineRule="auto"/>
              <w:rPr>
                <w:sz w:val="25"/>
                <w:szCs w:val="25"/>
              </w:rPr>
            </w:pPr>
            <w:r>
              <w:rPr>
                <w:sz w:val="25"/>
                <w:szCs w:val="25"/>
                <w:spacing w:val="1"/>
              </w:rPr>
              <w:t>责令改正，给予警告</w:t>
            </w:r>
          </w:p>
        </w:tc>
      </w:tr>
      <w:tr>
        <w:trPr>
          <w:trHeight w:val="877" w:hRule="atLeast"/>
        </w:trPr>
        <w:tc>
          <w:tcPr>
            <w:tcW w:w="1424" w:type="dxa"/>
            <w:vAlign w:val="top"/>
          </w:tcPr>
          <w:p>
            <w:pPr>
              <w:spacing w:line="241" w:lineRule="auto"/>
              <w:rPr>
                <w:rFonts w:ascii="Arial"/>
                <w:sz w:val="21"/>
              </w:rPr>
            </w:pPr>
            <w:r/>
          </w:p>
          <w:p>
            <w:pPr>
              <w:pStyle w:val="TableText"/>
              <w:ind w:left="458"/>
              <w:spacing w:before="81" w:line="221" w:lineRule="auto"/>
              <w:rPr>
                <w:sz w:val="25"/>
                <w:szCs w:val="25"/>
              </w:rPr>
            </w:pPr>
            <w:r>
              <w:rPr>
                <w:sz w:val="25"/>
                <w:szCs w:val="25"/>
                <w:b/>
                <w:bCs/>
                <w:spacing w:val="-6"/>
              </w:rPr>
              <w:t>较重</w:t>
            </w:r>
          </w:p>
        </w:tc>
        <w:tc>
          <w:tcPr>
            <w:tcW w:w="7904" w:type="dxa"/>
            <w:vAlign w:val="top"/>
          </w:tcPr>
          <w:p>
            <w:pPr>
              <w:pStyle w:val="TableText"/>
              <w:ind w:left="69" w:hanging="59"/>
              <w:spacing w:before="154" w:line="263" w:lineRule="auto"/>
              <w:rPr>
                <w:sz w:val="25"/>
                <w:szCs w:val="25"/>
              </w:rPr>
            </w:pPr>
            <w:r>
              <w:rPr>
                <w:sz w:val="25"/>
                <w:szCs w:val="25"/>
                <w:spacing w:val="-4"/>
              </w:rPr>
              <w:t>从事人体器官移植的护士不以获取利益为目的故意泄露人体器官捐献人、</w:t>
            </w:r>
            <w:r>
              <w:rPr>
                <w:sz w:val="25"/>
                <w:szCs w:val="25"/>
                <w:spacing w:val="10"/>
              </w:rPr>
              <w:t xml:space="preserve"> </w:t>
            </w:r>
            <w:r>
              <w:rPr>
                <w:sz w:val="25"/>
                <w:szCs w:val="25"/>
                <w:spacing w:val="-3"/>
              </w:rPr>
              <w:t>接受人或者申请人体器官移植手术患者个人资料，或者造成危</w:t>
            </w:r>
            <w:r>
              <w:rPr>
                <w:sz w:val="25"/>
                <w:szCs w:val="25"/>
                <w:spacing w:val="-4"/>
              </w:rPr>
              <w:t>害后果的</w:t>
            </w:r>
          </w:p>
        </w:tc>
        <w:tc>
          <w:tcPr>
            <w:tcW w:w="4842" w:type="dxa"/>
            <w:vAlign w:val="top"/>
          </w:tcPr>
          <w:p>
            <w:pPr>
              <w:rPr>
                <w:rFonts w:ascii="Arial"/>
                <w:sz w:val="21"/>
              </w:rPr>
            </w:pPr>
            <w:r/>
          </w:p>
          <w:p>
            <w:pPr>
              <w:pStyle w:val="TableText"/>
              <w:ind w:left="117"/>
              <w:spacing w:before="81" w:line="219" w:lineRule="auto"/>
              <w:rPr>
                <w:sz w:val="25"/>
                <w:szCs w:val="25"/>
              </w:rPr>
            </w:pPr>
            <w:r>
              <w:rPr>
                <w:sz w:val="25"/>
                <w:szCs w:val="25"/>
                <w:spacing w:val="1"/>
              </w:rPr>
              <w:t>责令暂停执业6个月以上9个月以下</w:t>
            </w:r>
          </w:p>
        </w:tc>
      </w:tr>
      <w:tr>
        <w:trPr>
          <w:trHeight w:val="882" w:hRule="atLeast"/>
        </w:trPr>
        <w:tc>
          <w:tcPr>
            <w:tcW w:w="1424" w:type="dxa"/>
            <w:vAlign w:val="top"/>
          </w:tcPr>
          <w:p>
            <w:pPr>
              <w:spacing w:line="241" w:lineRule="auto"/>
              <w:rPr>
                <w:rFonts w:ascii="Arial"/>
                <w:sz w:val="21"/>
              </w:rPr>
            </w:pPr>
            <w:r/>
          </w:p>
          <w:p>
            <w:pPr>
              <w:pStyle w:val="TableText"/>
              <w:ind w:left="458"/>
              <w:spacing w:before="82" w:line="220" w:lineRule="auto"/>
              <w:rPr>
                <w:sz w:val="25"/>
                <w:szCs w:val="25"/>
              </w:rPr>
            </w:pPr>
            <w:r>
              <w:rPr>
                <w:sz w:val="25"/>
                <w:szCs w:val="25"/>
                <w:b/>
                <w:bCs/>
                <w:spacing w:val="-6"/>
              </w:rPr>
              <w:t>严重</w:t>
            </w:r>
          </w:p>
        </w:tc>
        <w:tc>
          <w:tcPr>
            <w:tcW w:w="7904" w:type="dxa"/>
            <w:vAlign w:val="top"/>
          </w:tcPr>
          <w:p>
            <w:pPr>
              <w:pStyle w:val="TableText"/>
              <w:ind w:left="189" w:hanging="179"/>
              <w:spacing w:before="156" w:line="264" w:lineRule="auto"/>
              <w:rPr>
                <w:sz w:val="25"/>
                <w:szCs w:val="25"/>
              </w:rPr>
            </w:pPr>
            <w:r>
              <w:rPr>
                <w:sz w:val="25"/>
                <w:szCs w:val="25"/>
                <w:spacing w:val="-4"/>
              </w:rPr>
              <w:t>从事人体器官移植的护士为获取利益而故意泄露人体器官捐献人、接受人</w:t>
            </w:r>
            <w:r>
              <w:rPr>
                <w:sz w:val="25"/>
                <w:szCs w:val="25"/>
                <w:spacing w:val="10"/>
              </w:rPr>
              <w:t xml:space="preserve"> </w:t>
            </w:r>
            <w:r>
              <w:rPr>
                <w:sz w:val="25"/>
                <w:szCs w:val="25"/>
              </w:rPr>
              <w:t>或者申请人体器官移植手术患者个人资料，或者造成比较严重后果的</w:t>
            </w:r>
          </w:p>
        </w:tc>
        <w:tc>
          <w:tcPr>
            <w:tcW w:w="4842" w:type="dxa"/>
            <w:vAlign w:val="top"/>
          </w:tcPr>
          <w:p>
            <w:pPr>
              <w:spacing w:line="292" w:lineRule="auto"/>
              <w:rPr>
                <w:rFonts w:ascii="Arial"/>
                <w:sz w:val="21"/>
              </w:rPr>
            </w:pPr>
            <w:r/>
          </w:p>
          <w:p>
            <w:pPr>
              <w:pStyle w:val="TableText"/>
              <w:ind w:left="117"/>
              <w:spacing w:before="81" w:line="219" w:lineRule="auto"/>
              <w:rPr>
                <w:sz w:val="25"/>
                <w:szCs w:val="25"/>
              </w:rPr>
            </w:pPr>
            <w:r>
              <w:rPr>
                <w:sz w:val="25"/>
                <w:szCs w:val="25"/>
                <w:spacing w:val="1"/>
              </w:rPr>
              <w:t>责令暂停执业10个月以上1年以下</w:t>
            </w:r>
          </w:p>
        </w:tc>
      </w:tr>
    </w:tbl>
    <w:p>
      <w:pPr>
        <w:pStyle w:val="BodyText"/>
        <w:rPr/>
      </w:pPr>
      <w:r/>
    </w:p>
    <w:p>
      <w:pPr>
        <w:sectPr>
          <w:footerReference w:type="default" r:id="rId311"/>
          <w:pgSz w:w="16830" w:h="11900"/>
          <w:pgMar w:top="1011" w:right="1335" w:bottom="1131" w:left="1314" w:header="0" w:footer="807" w:gutter="0"/>
        </w:sectPr>
        <w:rPr/>
      </w:pPr>
    </w:p>
    <w:p>
      <w:pPr>
        <w:spacing w:before="23"/>
        <w:rPr/>
      </w:pPr>
      <w:r/>
    </w:p>
    <w:p>
      <w:pPr>
        <w:spacing w:before="23"/>
        <w:rPr/>
      </w:pPr>
      <w:r/>
    </w:p>
    <w:p>
      <w:pPr>
        <w:spacing w:before="23"/>
        <w:rPr/>
      </w:pPr>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874"/>
        <w:gridCol w:w="4861"/>
      </w:tblGrid>
      <w:tr>
        <w:trPr>
          <w:trHeight w:val="1330" w:hRule="atLeast"/>
        </w:trPr>
        <w:tc>
          <w:tcPr>
            <w:tcW w:w="1424" w:type="dxa"/>
            <w:vAlign w:val="top"/>
          </w:tcPr>
          <w:p>
            <w:pPr>
              <w:spacing w:line="470" w:lineRule="auto"/>
              <w:rPr>
                <w:rFonts w:ascii="Arial"/>
                <w:sz w:val="21"/>
              </w:rPr>
            </w:pPr>
            <w:r/>
          </w:p>
          <w:p>
            <w:pPr>
              <w:pStyle w:val="TableText"/>
              <w:ind w:left="228"/>
              <w:spacing w:before="78" w:line="219" w:lineRule="auto"/>
              <w:rPr/>
            </w:pPr>
            <w:r>
              <w:rPr>
                <w:b/>
                <w:bCs/>
                <w:spacing w:val="-5"/>
              </w:rPr>
              <w:t>特别严重</w:t>
            </w:r>
          </w:p>
        </w:tc>
        <w:tc>
          <w:tcPr>
            <w:tcW w:w="7874" w:type="dxa"/>
            <w:vAlign w:val="top"/>
          </w:tcPr>
          <w:p>
            <w:pPr>
              <w:pStyle w:val="TableText"/>
              <w:ind w:left="90" w:right="82"/>
              <w:spacing w:before="146" w:line="301" w:lineRule="auto"/>
              <w:jc w:val="both"/>
              <w:rPr/>
            </w:pPr>
            <w:r>
              <w:rPr/>
              <w:t>从事人体器官移植的护士在执业活动中，故意泄露人体器官捐献人、接受</w:t>
            </w:r>
            <w:r>
              <w:rPr>
                <w:spacing w:val="9"/>
              </w:rPr>
              <w:t xml:space="preserve"> </w:t>
            </w:r>
            <w:r>
              <w:rPr/>
              <w:t>人或者申请人体器官移植手术患者个人资料，造成特别严重后果或恶劣社</w:t>
            </w:r>
            <w:r>
              <w:rPr>
                <w:spacing w:val="9"/>
              </w:rPr>
              <w:t xml:space="preserve"> </w:t>
            </w:r>
            <w:r>
              <w:rPr>
                <w:spacing w:val="12"/>
              </w:rPr>
              <w:t>会影响的</w:t>
            </w:r>
          </w:p>
        </w:tc>
        <w:tc>
          <w:tcPr>
            <w:tcW w:w="4861" w:type="dxa"/>
            <w:vAlign w:val="top"/>
          </w:tcPr>
          <w:p>
            <w:pPr>
              <w:spacing w:line="472" w:lineRule="auto"/>
              <w:rPr>
                <w:rFonts w:ascii="Arial"/>
                <w:sz w:val="21"/>
              </w:rPr>
            </w:pPr>
            <w:r/>
          </w:p>
          <w:p>
            <w:pPr>
              <w:pStyle w:val="TableText"/>
              <w:ind w:left="146"/>
              <w:spacing w:before="78" w:line="219" w:lineRule="auto"/>
              <w:rPr/>
            </w:pPr>
            <w:r>
              <w:rPr>
                <w:spacing w:val="1"/>
              </w:rPr>
              <w:t>吊销其护士执业证书</w:t>
            </w:r>
          </w:p>
        </w:tc>
      </w:tr>
    </w:tbl>
    <w:p>
      <w:pPr>
        <w:pStyle w:val="BodyText"/>
        <w:spacing w:line="452" w:lineRule="auto"/>
        <w:rPr/>
      </w:pPr>
      <w:r/>
    </w:p>
    <w:p>
      <w:pPr>
        <w:ind w:left="764" w:right="1389" w:hanging="310"/>
        <w:spacing w:before="101" w:line="283" w:lineRule="auto"/>
        <w:rPr>
          <w:rFonts w:ascii="FangSong" w:hAnsi="FangSong" w:eastAsia="FangSong" w:cs="FangSong"/>
          <w:sz w:val="27"/>
          <w:szCs w:val="27"/>
        </w:rPr>
      </w:pPr>
      <w:r>
        <w:rPr>
          <w:rFonts w:ascii="FangSong" w:hAnsi="FangSong" w:eastAsia="FangSong" w:cs="FangSong"/>
          <w:sz w:val="31"/>
          <w:szCs w:val="31"/>
          <w:spacing w:val="11"/>
        </w:rPr>
        <w:t>第</w:t>
      </w:r>
      <w:r>
        <w:rPr>
          <w:rFonts w:ascii="FangSong" w:hAnsi="FangSong" w:eastAsia="FangSong" w:cs="FangSong"/>
          <w:sz w:val="31"/>
          <w:szCs w:val="31"/>
          <w:b/>
          <w:bCs/>
          <w:spacing w:val="11"/>
        </w:rPr>
        <w:t>二百五十二条未经人体器官移植技术临床应用与伦理委员会审查同意摘取人体器官的</w:t>
      </w:r>
      <w:r>
        <w:rPr>
          <w:rFonts w:ascii="FangSong" w:hAnsi="FangSong" w:eastAsia="FangSong" w:cs="FangSong"/>
          <w:sz w:val="31"/>
          <w:szCs w:val="31"/>
          <w:spacing w:val="6"/>
        </w:rPr>
        <w:t xml:space="preserve"> </w:t>
      </w:r>
      <w:r>
        <w:rPr>
          <w:rFonts w:ascii="FangSong" w:hAnsi="FangSong" w:eastAsia="FangSong" w:cs="FangSong"/>
          <w:sz w:val="27"/>
          <w:szCs w:val="27"/>
          <w:spacing w:val="29"/>
        </w:rPr>
        <w:t>法律依据：</w:t>
      </w:r>
    </w:p>
    <w:p>
      <w:pPr>
        <w:ind w:left="124" w:right="122" w:firstLine="604"/>
        <w:spacing w:line="256" w:lineRule="auto"/>
        <w:jc w:val="both"/>
        <w:rPr>
          <w:rFonts w:ascii="FangSong" w:hAnsi="FangSong" w:eastAsia="FangSong" w:cs="FangSong"/>
          <w:sz w:val="31"/>
          <w:szCs w:val="31"/>
        </w:rPr>
      </w:pPr>
      <w:r>
        <w:rPr>
          <w:rFonts w:ascii="FangSong" w:hAnsi="FangSong" w:eastAsia="FangSong" w:cs="FangSong"/>
          <w:sz w:val="31"/>
          <w:szCs w:val="31"/>
          <w:spacing w:val="14"/>
        </w:rPr>
        <w:t>《人体器官移植条例》第二十八条第(一)项</w:t>
      </w:r>
      <w:r>
        <w:rPr>
          <w:rFonts w:ascii="FangSong" w:hAnsi="FangSong" w:eastAsia="FangSong" w:cs="FangSong"/>
          <w:sz w:val="31"/>
          <w:szCs w:val="31"/>
          <w:spacing w:val="14"/>
        </w:rPr>
        <w:t xml:space="preserve">  </w:t>
      </w:r>
      <w:r>
        <w:rPr>
          <w:rFonts w:ascii="FangSong" w:hAnsi="FangSong" w:eastAsia="FangSong" w:cs="FangSong"/>
          <w:sz w:val="31"/>
          <w:szCs w:val="31"/>
          <w:spacing w:val="14"/>
        </w:rPr>
        <w:t>医务人员有下列情形之一的，依法给予处分；情</w:t>
      </w:r>
      <w:r>
        <w:rPr>
          <w:rFonts w:ascii="FangSong" w:hAnsi="FangSong" w:eastAsia="FangSong" w:cs="FangSong"/>
          <w:sz w:val="31"/>
          <w:szCs w:val="31"/>
          <w:spacing w:val="1"/>
        </w:rPr>
        <w:t xml:space="preserve"> </w:t>
      </w:r>
      <w:r>
        <w:rPr>
          <w:rFonts w:ascii="FangSong" w:hAnsi="FangSong" w:eastAsia="FangSong" w:cs="FangSong"/>
          <w:sz w:val="31"/>
          <w:szCs w:val="31"/>
          <w:spacing w:val="17"/>
        </w:rPr>
        <w:t>节严重的，由县级以上地方人民政府卫生主管部门依照职责分工暂停其6</w:t>
      </w:r>
      <w:r>
        <w:rPr>
          <w:rFonts w:ascii="FangSong" w:hAnsi="FangSong" w:eastAsia="FangSong" w:cs="FangSong"/>
          <w:sz w:val="31"/>
          <w:szCs w:val="31"/>
          <w:spacing w:val="17"/>
        </w:rPr>
        <w:t xml:space="preserve"> </w:t>
      </w:r>
      <w:r>
        <w:rPr>
          <w:rFonts w:ascii="FangSong" w:hAnsi="FangSong" w:eastAsia="FangSong" w:cs="FangSong"/>
          <w:sz w:val="31"/>
          <w:szCs w:val="31"/>
          <w:spacing w:val="17"/>
        </w:rPr>
        <w:t>个月以上1年以下执</w:t>
      </w:r>
      <w:r>
        <w:rPr>
          <w:rFonts w:ascii="FangSong" w:hAnsi="FangSong" w:eastAsia="FangSong" w:cs="FangSong"/>
          <w:sz w:val="31"/>
          <w:szCs w:val="31"/>
          <w:spacing w:val="16"/>
        </w:rPr>
        <w:t>业活</w:t>
      </w:r>
      <w:r>
        <w:rPr>
          <w:rFonts w:ascii="FangSong" w:hAnsi="FangSong" w:eastAsia="FangSong" w:cs="FangSong"/>
          <w:sz w:val="31"/>
          <w:szCs w:val="31"/>
        </w:rPr>
        <w:t xml:space="preserve"> </w:t>
      </w:r>
      <w:r>
        <w:rPr>
          <w:rFonts w:ascii="FangSong" w:hAnsi="FangSong" w:eastAsia="FangSong" w:cs="FangSong"/>
          <w:sz w:val="31"/>
          <w:szCs w:val="31"/>
          <w:spacing w:val="6"/>
        </w:rPr>
        <w:t>动；情节特别严重的，由原发证部门吊销其执业证书：</w:t>
      </w:r>
    </w:p>
    <w:p>
      <w:pPr>
        <w:ind w:left="894"/>
        <w:spacing w:before="20" w:line="222" w:lineRule="auto"/>
        <w:rPr>
          <w:rFonts w:ascii="FangSong" w:hAnsi="FangSong" w:eastAsia="FangSong" w:cs="FangSong"/>
          <w:sz w:val="31"/>
          <w:szCs w:val="31"/>
        </w:rPr>
      </w:pPr>
      <w:r>
        <w:rPr>
          <w:rFonts w:ascii="FangSong" w:hAnsi="FangSong" w:eastAsia="FangSong" w:cs="FangSong"/>
          <w:sz w:val="31"/>
          <w:szCs w:val="31"/>
          <w:spacing w:val="12"/>
        </w:rPr>
        <w:t>(一)未经人体器官移植技术临床应用与伦理委员会审查同意摘取人体器官的；</w:t>
      </w:r>
    </w:p>
    <w:p>
      <w:pPr>
        <w:ind w:left="6528"/>
        <w:spacing w:before="64" w:line="209"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7894"/>
        <w:gridCol w:w="4841"/>
      </w:tblGrid>
      <w:tr>
        <w:trPr>
          <w:trHeight w:val="444" w:hRule="atLeast"/>
        </w:trPr>
        <w:tc>
          <w:tcPr>
            <w:tcW w:w="1414" w:type="dxa"/>
            <w:vAlign w:val="top"/>
          </w:tcPr>
          <w:p>
            <w:pPr>
              <w:pStyle w:val="TableText"/>
              <w:ind w:left="198"/>
              <w:spacing w:before="102" w:line="220" w:lineRule="auto"/>
              <w:rPr>
                <w:sz w:val="25"/>
                <w:szCs w:val="25"/>
              </w:rPr>
            </w:pPr>
            <w:r>
              <w:rPr>
                <w:sz w:val="25"/>
                <w:szCs w:val="25"/>
                <w:b/>
                <w:bCs/>
                <w:spacing w:val="-5"/>
              </w:rPr>
              <w:t>违法程度</w:t>
            </w:r>
          </w:p>
        </w:tc>
        <w:tc>
          <w:tcPr>
            <w:tcW w:w="7894" w:type="dxa"/>
            <w:vAlign w:val="top"/>
          </w:tcPr>
          <w:p>
            <w:pPr>
              <w:pStyle w:val="TableText"/>
              <w:ind w:left="3444"/>
              <w:spacing w:before="102" w:line="220" w:lineRule="auto"/>
              <w:rPr>
                <w:sz w:val="25"/>
                <w:szCs w:val="25"/>
              </w:rPr>
            </w:pPr>
            <w:r>
              <w:rPr>
                <w:sz w:val="25"/>
                <w:szCs w:val="25"/>
                <w:b/>
                <w:bCs/>
                <w:spacing w:val="-5"/>
              </w:rPr>
              <w:t>违法后果</w:t>
            </w:r>
          </w:p>
        </w:tc>
        <w:tc>
          <w:tcPr>
            <w:tcW w:w="4841" w:type="dxa"/>
            <w:vAlign w:val="top"/>
          </w:tcPr>
          <w:p>
            <w:pPr>
              <w:pStyle w:val="TableText"/>
              <w:ind w:left="1850"/>
              <w:spacing w:before="99" w:line="218" w:lineRule="auto"/>
              <w:rPr>
                <w:sz w:val="25"/>
                <w:szCs w:val="25"/>
              </w:rPr>
            </w:pPr>
            <w:r>
              <w:rPr>
                <w:sz w:val="25"/>
                <w:szCs w:val="25"/>
                <w:b/>
                <w:bCs/>
                <w:spacing w:val="-5"/>
              </w:rPr>
              <w:t>裁量幅度</w:t>
            </w:r>
          </w:p>
        </w:tc>
      </w:tr>
      <w:tr>
        <w:trPr>
          <w:trHeight w:val="877" w:hRule="atLeast"/>
        </w:trPr>
        <w:tc>
          <w:tcPr>
            <w:tcW w:w="1414" w:type="dxa"/>
            <w:vAlign w:val="top"/>
          </w:tcPr>
          <w:p>
            <w:pPr>
              <w:spacing w:line="298" w:lineRule="auto"/>
              <w:rPr>
                <w:rFonts w:ascii="Arial"/>
                <w:sz w:val="21"/>
              </w:rPr>
            </w:pPr>
            <w:r/>
          </w:p>
          <w:p>
            <w:pPr>
              <w:pStyle w:val="TableText"/>
              <w:ind w:left="448"/>
              <w:spacing w:before="81" w:line="221" w:lineRule="auto"/>
              <w:rPr>
                <w:sz w:val="25"/>
                <w:szCs w:val="25"/>
              </w:rPr>
            </w:pPr>
            <w:r>
              <w:rPr>
                <w:sz w:val="25"/>
                <w:szCs w:val="25"/>
                <w:b/>
                <w:bCs/>
                <w:spacing w:val="-6"/>
              </w:rPr>
              <w:t>较重</w:t>
            </w:r>
          </w:p>
        </w:tc>
        <w:tc>
          <w:tcPr>
            <w:tcW w:w="7894" w:type="dxa"/>
            <w:vAlign w:val="top"/>
          </w:tcPr>
          <w:p>
            <w:pPr>
              <w:pStyle w:val="TableText"/>
              <w:ind w:left="119" w:hanging="109"/>
              <w:spacing w:before="149" w:line="265" w:lineRule="auto"/>
              <w:rPr>
                <w:sz w:val="25"/>
                <w:szCs w:val="25"/>
              </w:rPr>
            </w:pPr>
            <w:r>
              <w:rPr>
                <w:sz w:val="25"/>
                <w:szCs w:val="25"/>
                <w:spacing w:val="-4"/>
              </w:rPr>
              <w:t>未经人体器官移植技术临床应用与伦理委员会审查同意摘取人体器官，例</w:t>
            </w:r>
            <w:r>
              <w:rPr>
                <w:sz w:val="25"/>
                <w:szCs w:val="25"/>
              </w:rPr>
              <w:t xml:space="preserve"> </w:t>
            </w:r>
            <w:r>
              <w:rPr>
                <w:sz w:val="25"/>
                <w:szCs w:val="25"/>
                <w:spacing w:val="1"/>
              </w:rPr>
              <w:t>数在2例以下的</w:t>
            </w:r>
          </w:p>
        </w:tc>
        <w:tc>
          <w:tcPr>
            <w:tcW w:w="4841" w:type="dxa"/>
            <w:vAlign w:val="top"/>
          </w:tcPr>
          <w:p>
            <w:pPr>
              <w:pStyle w:val="TableText"/>
              <w:ind w:left="96"/>
              <w:spacing w:before="321" w:line="219" w:lineRule="auto"/>
              <w:rPr>
                <w:sz w:val="25"/>
                <w:szCs w:val="25"/>
              </w:rPr>
            </w:pPr>
            <w:r>
              <w:rPr>
                <w:sz w:val="25"/>
                <w:szCs w:val="25"/>
                <w:spacing w:val="1"/>
              </w:rPr>
              <w:t>暂停其6个月以上9个月以下执业活动</w:t>
            </w:r>
          </w:p>
        </w:tc>
      </w:tr>
      <w:tr>
        <w:trPr>
          <w:trHeight w:val="897" w:hRule="atLeast"/>
        </w:trPr>
        <w:tc>
          <w:tcPr>
            <w:tcW w:w="1414" w:type="dxa"/>
            <w:vAlign w:val="top"/>
          </w:tcPr>
          <w:p>
            <w:pPr>
              <w:spacing w:line="248" w:lineRule="auto"/>
              <w:rPr>
                <w:rFonts w:ascii="Arial"/>
                <w:sz w:val="21"/>
              </w:rPr>
            </w:pPr>
            <w:r/>
          </w:p>
          <w:p>
            <w:pPr>
              <w:pStyle w:val="TableText"/>
              <w:ind w:left="448"/>
              <w:spacing w:before="82" w:line="220" w:lineRule="auto"/>
              <w:rPr>
                <w:sz w:val="25"/>
                <w:szCs w:val="25"/>
              </w:rPr>
            </w:pPr>
            <w:r>
              <w:rPr>
                <w:sz w:val="25"/>
                <w:szCs w:val="25"/>
                <w:b/>
                <w:bCs/>
                <w:spacing w:val="-6"/>
              </w:rPr>
              <w:t>严重</w:t>
            </w:r>
          </w:p>
        </w:tc>
        <w:tc>
          <w:tcPr>
            <w:tcW w:w="7894" w:type="dxa"/>
            <w:vAlign w:val="top"/>
          </w:tcPr>
          <w:p>
            <w:pPr>
              <w:pStyle w:val="TableText"/>
              <w:ind w:left="119" w:hanging="109"/>
              <w:spacing w:before="163" w:line="267" w:lineRule="auto"/>
              <w:rPr>
                <w:sz w:val="25"/>
                <w:szCs w:val="25"/>
              </w:rPr>
            </w:pPr>
            <w:r>
              <w:rPr>
                <w:sz w:val="25"/>
                <w:szCs w:val="25"/>
                <w:spacing w:val="-4"/>
              </w:rPr>
              <w:t>未经人体器官移植技术临床应用与伦理委员会审查同意摘取人体器官，例</w:t>
            </w:r>
            <w:r>
              <w:rPr>
                <w:sz w:val="25"/>
                <w:szCs w:val="25"/>
              </w:rPr>
              <w:t xml:space="preserve"> </w:t>
            </w:r>
            <w:r>
              <w:rPr>
                <w:sz w:val="25"/>
                <w:szCs w:val="25"/>
                <w:spacing w:val="1"/>
              </w:rPr>
              <w:t>数在3例以上的</w:t>
            </w:r>
          </w:p>
        </w:tc>
        <w:tc>
          <w:tcPr>
            <w:tcW w:w="4841" w:type="dxa"/>
            <w:vAlign w:val="top"/>
          </w:tcPr>
          <w:p>
            <w:pPr>
              <w:spacing w:line="251" w:lineRule="auto"/>
              <w:rPr>
                <w:rFonts w:ascii="Arial"/>
                <w:sz w:val="21"/>
              </w:rPr>
            </w:pPr>
            <w:r/>
          </w:p>
          <w:p>
            <w:pPr>
              <w:pStyle w:val="TableText"/>
              <w:ind w:left="96"/>
              <w:spacing w:before="81" w:line="219" w:lineRule="auto"/>
              <w:rPr>
                <w:sz w:val="25"/>
                <w:szCs w:val="25"/>
              </w:rPr>
            </w:pPr>
            <w:r>
              <w:rPr>
                <w:sz w:val="25"/>
                <w:szCs w:val="25"/>
                <w:spacing w:val="1"/>
              </w:rPr>
              <w:t>暂停其10个月以上1年以下执业活动</w:t>
            </w:r>
          </w:p>
        </w:tc>
      </w:tr>
      <w:tr>
        <w:trPr>
          <w:trHeight w:val="872" w:hRule="atLeast"/>
        </w:trPr>
        <w:tc>
          <w:tcPr>
            <w:tcW w:w="1414" w:type="dxa"/>
            <w:vAlign w:val="top"/>
          </w:tcPr>
          <w:p>
            <w:pPr>
              <w:pStyle w:val="TableText"/>
              <w:ind w:left="198"/>
              <w:spacing w:before="313" w:line="219" w:lineRule="auto"/>
              <w:rPr>
                <w:sz w:val="25"/>
                <w:szCs w:val="25"/>
              </w:rPr>
            </w:pPr>
            <w:r>
              <w:rPr>
                <w:sz w:val="25"/>
                <w:szCs w:val="25"/>
                <w:b/>
                <w:bCs/>
                <w:spacing w:val="-5"/>
              </w:rPr>
              <w:t>特别严重</w:t>
            </w:r>
          </w:p>
        </w:tc>
        <w:tc>
          <w:tcPr>
            <w:tcW w:w="7894" w:type="dxa"/>
            <w:vAlign w:val="top"/>
          </w:tcPr>
          <w:p>
            <w:pPr>
              <w:pStyle w:val="TableText"/>
              <w:ind w:left="119" w:hanging="109"/>
              <w:spacing w:before="146" w:line="264" w:lineRule="auto"/>
              <w:rPr>
                <w:sz w:val="25"/>
                <w:szCs w:val="25"/>
              </w:rPr>
            </w:pPr>
            <w:r>
              <w:rPr>
                <w:sz w:val="25"/>
                <w:szCs w:val="25"/>
                <w:spacing w:val="-4"/>
              </w:rPr>
              <w:t>未经人体器官移植技术临床应用与伦理委员会审查同意摘取人体器官，对</w:t>
            </w:r>
            <w:r>
              <w:rPr>
                <w:sz w:val="25"/>
                <w:szCs w:val="25"/>
              </w:rPr>
              <w:t xml:space="preserve"> </w:t>
            </w:r>
            <w:r>
              <w:rPr>
                <w:sz w:val="25"/>
                <w:szCs w:val="25"/>
              </w:rPr>
              <w:t>人体造成伤害或者造成其他严重后果的</w:t>
            </w:r>
          </w:p>
        </w:tc>
        <w:tc>
          <w:tcPr>
            <w:tcW w:w="4841" w:type="dxa"/>
            <w:vAlign w:val="top"/>
          </w:tcPr>
          <w:p>
            <w:pPr>
              <w:pStyle w:val="TableText"/>
              <w:ind w:left="96"/>
              <w:spacing w:before="315" w:line="219" w:lineRule="auto"/>
              <w:rPr>
                <w:sz w:val="25"/>
                <w:szCs w:val="25"/>
              </w:rPr>
            </w:pPr>
            <w:r>
              <w:rPr>
                <w:sz w:val="25"/>
                <w:szCs w:val="25"/>
              </w:rPr>
              <w:t>由原发证部门吊销相关医务人员执业证书</w:t>
            </w:r>
          </w:p>
        </w:tc>
      </w:tr>
    </w:tbl>
    <w:p>
      <w:pPr>
        <w:pStyle w:val="BodyText"/>
        <w:rPr/>
      </w:pPr>
      <w:r/>
    </w:p>
    <w:p>
      <w:pPr>
        <w:sectPr>
          <w:footerReference w:type="default" r:id="rId312"/>
          <w:pgSz w:w="16830" w:h="11900"/>
          <w:pgMar w:top="1011" w:right="1335" w:bottom="1117" w:left="1325" w:header="0" w:footer="784" w:gutter="0"/>
        </w:sectPr>
        <w:rPr/>
      </w:pP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754" w:right="770" w:firstLine="4"/>
        <w:spacing w:before="97" w:line="249" w:lineRule="auto"/>
        <w:rPr>
          <w:rFonts w:ascii="FangSong" w:hAnsi="FangSong" w:eastAsia="FangSong" w:cs="FangSong"/>
          <w:sz w:val="30"/>
          <w:szCs w:val="30"/>
        </w:rPr>
      </w:pPr>
      <w:bookmarkStart w:name="bookmark963" w:id="332"/>
      <w:bookmarkEnd w:id="332"/>
      <w:r>
        <w:rPr>
          <w:rFonts w:ascii="FangSong" w:hAnsi="FangSong" w:eastAsia="FangSong" w:cs="FangSong"/>
          <w:sz w:val="30"/>
          <w:szCs w:val="30"/>
          <w:b/>
          <w:bCs/>
          <w:spacing w:val="21"/>
        </w:rPr>
        <w:t>第二百五十三条摘取活体器官前未依照本条例第十九条的规定履行说明、查验、确认义务</w:t>
      </w:r>
      <w:r>
        <w:rPr>
          <w:rFonts w:ascii="FangSong" w:hAnsi="FangSong" w:eastAsia="FangSong" w:cs="FangSong"/>
          <w:sz w:val="30"/>
          <w:szCs w:val="30"/>
          <w:spacing w:val="7"/>
        </w:rPr>
        <w:t xml:space="preserve"> </w:t>
      </w:r>
      <w:r>
        <w:rPr>
          <w:rFonts w:ascii="FangSong" w:hAnsi="FangSong" w:eastAsia="FangSong" w:cs="FangSong"/>
          <w:sz w:val="30"/>
          <w:szCs w:val="30"/>
        </w:rPr>
        <w:t>法律依据：</w:t>
      </w:r>
    </w:p>
    <w:p>
      <w:pPr>
        <w:ind w:left="115" w:right="65" w:firstLine="639"/>
        <w:spacing w:before="97" w:line="265" w:lineRule="auto"/>
        <w:jc w:val="both"/>
        <w:rPr>
          <w:rFonts w:ascii="FangSong" w:hAnsi="FangSong" w:eastAsia="FangSong" w:cs="FangSong"/>
          <w:sz w:val="30"/>
          <w:szCs w:val="30"/>
        </w:rPr>
      </w:pPr>
      <w:r>
        <w:rPr>
          <w:rFonts w:ascii="FangSong" w:hAnsi="FangSong" w:eastAsia="FangSong" w:cs="FangSong"/>
          <w:sz w:val="30"/>
          <w:szCs w:val="30"/>
          <w:spacing w:val="20"/>
        </w:rPr>
        <w:t>1.</w:t>
      </w:r>
      <w:r>
        <w:rPr>
          <w:rFonts w:ascii="FangSong" w:hAnsi="FangSong" w:eastAsia="FangSong" w:cs="FangSong"/>
          <w:sz w:val="30"/>
          <w:szCs w:val="30"/>
          <w:spacing w:val="20"/>
        </w:rPr>
        <w:t xml:space="preserve"> </w:t>
      </w:r>
      <w:r>
        <w:rPr>
          <w:rFonts w:ascii="FangSong" w:hAnsi="FangSong" w:eastAsia="FangSong" w:cs="FangSong"/>
          <w:sz w:val="30"/>
          <w:szCs w:val="30"/>
          <w:spacing w:val="20"/>
        </w:rPr>
        <w:t>《人体器官移植条例》第二十八条第(二)项</w:t>
      </w:r>
      <w:r>
        <w:rPr>
          <w:rFonts w:ascii="FangSong" w:hAnsi="FangSong" w:eastAsia="FangSong" w:cs="FangSong"/>
          <w:sz w:val="30"/>
          <w:szCs w:val="30"/>
          <w:spacing w:val="20"/>
        </w:rPr>
        <w:t xml:space="preserve">  </w:t>
      </w:r>
      <w:r>
        <w:rPr>
          <w:rFonts w:ascii="FangSong" w:hAnsi="FangSong" w:eastAsia="FangSong" w:cs="FangSong"/>
          <w:sz w:val="30"/>
          <w:szCs w:val="30"/>
          <w:spacing w:val="20"/>
        </w:rPr>
        <w:t>医务人员有下列情形之一的，依法给予处分；</w:t>
      </w:r>
      <w:r>
        <w:rPr>
          <w:rFonts w:ascii="FangSong" w:hAnsi="FangSong" w:eastAsia="FangSong" w:cs="FangSong"/>
          <w:sz w:val="30"/>
          <w:szCs w:val="30"/>
          <w:spacing w:val="9"/>
        </w:rPr>
        <w:t xml:space="preserve"> </w:t>
      </w:r>
      <w:r>
        <w:rPr>
          <w:rFonts w:ascii="FangSong" w:hAnsi="FangSong" w:eastAsia="FangSong" w:cs="FangSong"/>
          <w:sz w:val="30"/>
          <w:szCs w:val="30"/>
          <w:spacing w:val="27"/>
        </w:rPr>
        <w:t>情节严重的，由县级以上地方人民政府卫生主管部门依照职责分工暂停其6</w:t>
      </w:r>
      <w:r>
        <w:rPr>
          <w:rFonts w:ascii="FangSong" w:hAnsi="FangSong" w:eastAsia="FangSong" w:cs="FangSong"/>
          <w:sz w:val="30"/>
          <w:szCs w:val="30"/>
          <w:spacing w:val="27"/>
        </w:rPr>
        <w:t xml:space="preserve"> </w:t>
      </w:r>
      <w:r>
        <w:rPr>
          <w:rFonts w:ascii="FangSong" w:hAnsi="FangSong" w:eastAsia="FangSong" w:cs="FangSong"/>
          <w:sz w:val="30"/>
          <w:szCs w:val="30"/>
          <w:spacing w:val="26"/>
        </w:rPr>
        <w:t>个月以上1年以下执业</w:t>
      </w:r>
      <w:r>
        <w:rPr>
          <w:rFonts w:ascii="FangSong" w:hAnsi="FangSong" w:eastAsia="FangSong" w:cs="FangSong"/>
          <w:sz w:val="30"/>
          <w:szCs w:val="30"/>
        </w:rPr>
        <w:t xml:space="preserve"> </w:t>
      </w:r>
      <w:r>
        <w:rPr>
          <w:rFonts w:ascii="FangSong" w:hAnsi="FangSong" w:eastAsia="FangSong" w:cs="FangSong"/>
          <w:sz w:val="30"/>
          <w:szCs w:val="30"/>
          <w:spacing w:val="16"/>
        </w:rPr>
        <w:t>活动；情节特别严重的，由原发证部门吊销其执业证书：</w:t>
      </w:r>
    </w:p>
    <w:p>
      <w:pPr>
        <w:ind w:left="115" w:right="106" w:firstLine="799"/>
        <w:spacing w:before="27" w:line="268" w:lineRule="auto"/>
        <w:rPr>
          <w:rFonts w:ascii="SimSun" w:hAnsi="SimSun" w:eastAsia="SimSun" w:cs="SimSun"/>
          <w:sz w:val="30"/>
          <w:szCs w:val="30"/>
        </w:rPr>
      </w:pPr>
      <w:r>
        <w:rPr>
          <w:rFonts w:ascii="FangSong" w:hAnsi="FangSong" w:eastAsia="FangSong" w:cs="FangSong"/>
          <w:sz w:val="30"/>
          <w:szCs w:val="30"/>
          <w:spacing w:val="20"/>
        </w:rPr>
        <w:t>(二)摘取活体器官前未依照《人体器官移植条例》第十九条的规定履行说明、查验、确认义务</w:t>
      </w:r>
      <w:r>
        <w:rPr>
          <w:rFonts w:ascii="FangSong" w:hAnsi="FangSong" w:eastAsia="FangSong" w:cs="FangSong"/>
          <w:sz w:val="30"/>
          <w:szCs w:val="30"/>
          <w:spacing w:val="17"/>
        </w:rPr>
        <w:t xml:space="preserve"> </w:t>
      </w:r>
      <w:r>
        <w:rPr>
          <w:rFonts w:ascii="SimSun" w:hAnsi="SimSun" w:eastAsia="SimSun" w:cs="SimSun"/>
          <w:sz w:val="30"/>
          <w:szCs w:val="30"/>
          <w:spacing w:val="-19"/>
        </w:rPr>
        <w:t>的</w:t>
      </w:r>
      <w:r>
        <w:rPr>
          <w:rFonts w:ascii="SimSun" w:hAnsi="SimSun" w:eastAsia="SimSun" w:cs="SimSun"/>
          <w:sz w:val="30"/>
          <w:szCs w:val="30"/>
          <w:spacing w:val="-53"/>
        </w:rPr>
        <w:t xml:space="preserve"> </w:t>
      </w:r>
      <w:r>
        <w:rPr>
          <w:rFonts w:ascii="SimSun" w:hAnsi="SimSun" w:eastAsia="SimSun" w:cs="SimSun"/>
          <w:sz w:val="30"/>
          <w:szCs w:val="30"/>
          <w:spacing w:val="-19"/>
        </w:rPr>
        <w:t>；</w:t>
      </w:r>
    </w:p>
    <w:p>
      <w:pPr>
        <w:ind w:left="115" w:right="5" w:firstLine="639"/>
        <w:spacing w:line="264" w:lineRule="auto"/>
        <w:jc w:val="both"/>
        <w:rPr>
          <w:rFonts w:ascii="FangSong" w:hAnsi="FangSong" w:eastAsia="FangSong" w:cs="FangSong"/>
          <w:sz w:val="30"/>
          <w:szCs w:val="30"/>
        </w:rPr>
      </w:pPr>
      <w:r>
        <w:rPr>
          <w:rFonts w:ascii="FangSong" w:hAnsi="FangSong" w:eastAsia="FangSong" w:cs="FangSong"/>
          <w:sz w:val="30"/>
          <w:szCs w:val="30"/>
          <w:spacing w:val="12"/>
        </w:rPr>
        <w:t>2.《人体器官移植条例》第十九条</w:t>
      </w:r>
      <w:r>
        <w:rPr>
          <w:rFonts w:ascii="FangSong" w:hAnsi="FangSong" w:eastAsia="FangSong" w:cs="FangSong"/>
          <w:sz w:val="30"/>
          <w:szCs w:val="30"/>
          <w:spacing w:val="12"/>
        </w:rPr>
        <w:t xml:space="preserve">  </w:t>
      </w:r>
      <w:r>
        <w:rPr>
          <w:rFonts w:ascii="FangSong" w:hAnsi="FangSong" w:eastAsia="FangSong" w:cs="FangSong"/>
          <w:sz w:val="30"/>
          <w:szCs w:val="30"/>
          <w:spacing w:val="12"/>
        </w:rPr>
        <w:t>从事人体器</w:t>
      </w:r>
      <w:r>
        <w:rPr>
          <w:rFonts w:ascii="FangSong" w:hAnsi="FangSong" w:eastAsia="FangSong" w:cs="FangSong"/>
          <w:sz w:val="30"/>
          <w:szCs w:val="30"/>
          <w:spacing w:val="11"/>
        </w:rPr>
        <w:t>官移植的医疗机构及其医务人员摘取活体器官前，</w:t>
      </w:r>
      <w:r>
        <w:rPr>
          <w:rFonts w:ascii="FangSong" w:hAnsi="FangSong" w:eastAsia="FangSong" w:cs="FangSong"/>
          <w:sz w:val="30"/>
          <w:szCs w:val="30"/>
        </w:rPr>
        <w:t xml:space="preserve"> </w:t>
      </w:r>
      <w:r>
        <w:rPr>
          <w:rFonts w:ascii="FangSong" w:hAnsi="FangSong" w:eastAsia="FangSong" w:cs="FangSong"/>
          <w:sz w:val="30"/>
          <w:szCs w:val="30"/>
          <w:spacing w:val="24"/>
        </w:rPr>
        <w:t>应当履行下列义务：(一)向活体器官捐献人说明器官摘取</w:t>
      </w:r>
      <w:r>
        <w:rPr>
          <w:rFonts w:ascii="FangSong" w:hAnsi="FangSong" w:eastAsia="FangSong" w:cs="FangSong"/>
          <w:sz w:val="30"/>
          <w:szCs w:val="30"/>
          <w:spacing w:val="23"/>
        </w:rPr>
        <w:t>手术的风险、术后注意事项、可能发生的</w:t>
      </w:r>
      <w:r>
        <w:rPr>
          <w:rFonts w:ascii="FangSong" w:hAnsi="FangSong" w:eastAsia="FangSong" w:cs="FangSong"/>
          <w:sz w:val="30"/>
          <w:szCs w:val="30"/>
        </w:rPr>
        <w:t xml:space="preserve"> </w:t>
      </w:r>
      <w:r>
        <w:rPr>
          <w:rFonts w:ascii="FangSong" w:hAnsi="FangSong" w:eastAsia="FangSong" w:cs="FangSong"/>
          <w:sz w:val="30"/>
          <w:szCs w:val="30"/>
          <w:spacing w:val="23"/>
        </w:rPr>
        <w:t>并发症及其预防措施等，并与活体器官捐献人签署知情同意书；(二)查验活体器官捐献人同意捐献</w:t>
      </w:r>
      <w:r>
        <w:rPr>
          <w:rFonts w:ascii="FangSong" w:hAnsi="FangSong" w:eastAsia="FangSong" w:cs="FangSong"/>
          <w:sz w:val="30"/>
          <w:szCs w:val="30"/>
          <w:spacing w:val="17"/>
        </w:rPr>
        <w:t xml:space="preserve"> </w:t>
      </w:r>
      <w:r>
        <w:rPr>
          <w:rFonts w:ascii="FangSong" w:hAnsi="FangSong" w:eastAsia="FangSong" w:cs="FangSong"/>
          <w:sz w:val="30"/>
          <w:szCs w:val="30"/>
          <w:spacing w:val="24"/>
        </w:rPr>
        <w:t>其器官的书面意愿、活体器官捐献人与接受人</w:t>
      </w:r>
      <w:r>
        <w:rPr>
          <w:rFonts w:ascii="FangSong" w:hAnsi="FangSong" w:eastAsia="FangSong" w:cs="FangSong"/>
          <w:sz w:val="30"/>
          <w:szCs w:val="30"/>
          <w:spacing w:val="23"/>
        </w:rPr>
        <w:t>存在本条例第十条规定关系的证明材料；(三)确认除</w:t>
      </w:r>
      <w:r>
        <w:rPr>
          <w:rFonts w:ascii="FangSong" w:hAnsi="FangSong" w:eastAsia="FangSong" w:cs="FangSong"/>
          <w:sz w:val="30"/>
          <w:szCs w:val="30"/>
        </w:rPr>
        <w:t xml:space="preserve"> </w:t>
      </w:r>
      <w:r>
        <w:rPr>
          <w:rFonts w:ascii="FangSong" w:hAnsi="FangSong" w:eastAsia="FangSong" w:cs="FangSong"/>
          <w:sz w:val="30"/>
          <w:szCs w:val="30"/>
          <w:spacing w:val="17"/>
        </w:rPr>
        <w:t>摘取器官产生的直接后果外不会损害活体器官捐献人其他正</w:t>
      </w:r>
      <w:r>
        <w:rPr>
          <w:rFonts w:ascii="FangSong" w:hAnsi="FangSong" w:eastAsia="FangSong" w:cs="FangSong"/>
          <w:sz w:val="30"/>
          <w:szCs w:val="30"/>
          <w:spacing w:val="16"/>
        </w:rPr>
        <w:t>常的生理功能。从事人体器官移植的医疗</w:t>
      </w:r>
      <w:r>
        <w:rPr>
          <w:rFonts w:ascii="FangSong" w:hAnsi="FangSong" w:eastAsia="FangSong" w:cs="FangSong"/>
          <w:sz w:val="30"/>
          <w:szCs w:val="30"/>
        </w:rPr>
        <w:t xml:space="preserve"> </w:t>
      </w:r>
      <w:r>
        <w:rPr>
          <w:rFonts w:ascii="FangSong" w:hAnsi="FangSong" w:eastAsia="FangSong" w:cs="FangSong"/>
          <w:sz w:val="30"/>
          <w:szCs w:val="30"/>
          <w:spacing w:val="17"/>
        </w:rPr>
        <w:t>机构应当保存活体器官捐献人的医学资料，并进行随访。</w:t>
      </w:r>
    </w:p>
    <w:p>
      <w:pPr>
        <w:ind w:left="6539"/>
        <w:spacing w:before="45" w:line="209"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295"/>
        <w:gridCol w:w="5431"/>
      </w:tblGrid>
      <w:tr>
        <w:trPr>
          <w:trHeight w:val="442" w:hRule="atLeast"/>
        </w:trPr>
        <w:tc>
          <w:tcPr>
            <w:tcW w:w="1444" w:type="dxa"/>
            <w:vAlign w:val="top"/>
          </w:tcPr>
          <w:p>
            <w:pPr>
              <w:pStyle w:val="TableText"/>
              <w:ind w:left="218"/>
              <w:spacing w:before="102" w:line="220" w:lineRule="auto"/>
              <w:rPr>
                <w:sz w:val="25"/>
                <w:szCs w:val="25"/>
              </w:rPr>
            </w:pPr>
            <w:r>
              <w:rPr>
                <w:sz w:val="25"/>
                <w:szCs w:val="25"/>
                <w:b/>
                <w:bCs/>
                <w:spacing w:val="-5"/>
              </w:rPr>
              <w:t>违法程度</w:t>
            </w:r>
          </w:p>
        </w:tc>
        <w:tc>
          <w:tcPr>
            <w:tcW w:w="7295" w:type="dxa"/>
            <w:vAlign w:val="top"/>
          </w:tcPr>
          <w:p>
            <w:pPr>
              <w:pStyle w:val="TableText"/>
              <w:ind w:left="3144"/>
              <w:spacing w:before="102" w:line="220" w:lineRule="auto"/>
              <w:rPr>
                <w:sz w:val="25"/>
                <w:szCs w:val="25"/>
              </w:rPr>
            </w:pPr>
            <w:r>
              <w:rPr>
                <w:sz w:val="25"/>
                <w:szCs w:val="25"/>
                <w:b/>
                <w:bCs/>
                <w:spacing w:val="-5"/>
              </w:rPr>
              <w:t>违法后果</w:t>
            </w:r>
          </w:p>
        </w:tc>
        <w:tc>
          <w:tcPr>
            <w:tcW w:w="5431" w:type="dxa"/>
            <w:vAlign w:val="top"/>
          </w:tcPr>
          <w:p>
            <w:pPr>
              <w:pStyle w:val="TableText"/>
              <w:ind w:left="2159"/>
              <w:spacing w:before="99" w:line="218" w:lineRule="auto"/>
              <w:rPr>
                <w:sz w:val="25"/>
                <w:szCs w:val="25"/>
              </w:rPr>
            </w:pPr>
            <w:r>
              <w:rPr>
                <w:sz w:val="25"/>
                <w:szCs w:val="25"/>
                <w:b/>
                <w:bCs/>
                <w:spacing w:val="-5"/>
              </w:rPr>
              <w:t>裁量幅度</w:t>
            </w:r>
          </w:p>
        </w:tc>
      </w:tr>
      <w:tr>
        <w:trPr>
          <w:trHeight w:val="878" w:hRule="atLeast"/>
        </w:trPr>
        <w:tc>
          <w:tcPr>
            <w:tcW w:w="1444" w:type="dxa"/>
            <w:vAlign w:val="top"/>
          </w:tcPr>
          <w:p>
            <w:pPr>
              <w:spacing w:line="300" w:lineRule="auto"/>
              <w:rPr>
                <w:rFonts w:ascii="Arial"/>
                <w:sz w:val="21"/>
              </w:rPr>
            </w:pPr>
            <w:r/>
          </w:p>
          <w:p>
            <w:pPr>
              <w:pStyle w:val="TableText"/>
              <w:ind w:left="468"/>
              <w:spacing w:before="81" w:line="221" w:lineRule="auto"/>
              <w:rPr>
                <w:sz w:val="25"/>
                <w:szCs w:val="25"/>
              </w:rPr>
            </w:pPr>
            <w:r>
              <w:rPr>
                <w:sz w:val="25"/>
                <w:szCs w:val="25"/>
                <w:b/>
                <w:bCs/>
                <w:spacing w:val="-6"/>
              </w:rPr>
              <w:t>较重</w:t>
            </w:r>
          </w:p>
        </w:tc>
        <w:tc>
          <w:tcPr>
            <w:tcW w:w="7295" w:type="dxa"/>
            <w:vAlign w:val="top"/>
          </w:tcPr>
          <w:p>
            <w:pPr>
              <w:pStyle w:val="TableText"/>
              <w:ind w:left="104" w:hanging="90"/>
              <w:spacing w:before="158" w:line="262" w:lineRule="auto"/>
              <w:rPr>
                <w:sz w:val="25"/>
                <w:szCs w:val="25"/>
              </w:rPr>
            </w:pPr>
            <w:r>
              <w:rPr>
                <w:sz w:val="25"/>
                <w:szCs w:val="25"/>
                <w:b/>
                <w:bCs/>
                <w:spacing w:val="-10"/>
              </w:rPr>
              <w:t>摘取活体器官前未依照本条例第十九条的规定</w:t>
            </w:r>
            <w:r>
              <w:rPr>
                <w:sz w:val="25"/>
                <w:szCs w:val="25"/>
                <w:b/>
                <w:bCs/>
                <w:spacing w:val="-11"/>
              </w:rPr>
              <w:t>履行说明、查验、确认</w:t>
            </w:r>
            <w:r>
              <w:rPr>
                <w:sz w:val="25"/>
                <w:szCs w:val="25"/>
              </w:rPr>
              <w:t xml:space="preserve"> </w:t>
            </w:r>
            <w:r>
              <w:rPr>
                <w:sz w:val="25"/>
                <w:szCs w:val="25"/>
                <w:b/>
                <w:bCs/>
                <w:spacing w:val="-3"/>
              </w:rPr>
              <w:t>义务，例数在2例以下的</w:t>
            </w:r>
          </w:p>
        </w:tc>
        <w:tc>
          <w:tcPr>
            <w:tcW w:w="5431" w:type="dxa"/>
            <w:vAlign w:val="top"/>
          </w:tcPr>
          <w:p>
            <w:pPr>
              <w:spacing w:line="296" w:lineRule="auto"/>
              <w:rPr>
                <w:rFonts w:ascii="Arial"/>
                <w:sz w:val="21"/>
              </w:rPr>
            </w:pPr>
            <w:r/>
          </w:p>
          <w:p>
            <w:pPr>
              <w:pStyle w:val="TableText"/>
              <w:ind w:left="139"/>
              <w:spacing w:before="82" w:line="219" w:lineRule="auto"/>
              <w:rPr>
                <w:sz w:val="25"/>
                <w:szCs w:val="25"/>
              </w:rPr>
            </w:pPr>
            <w:r>
              <w:rPr>
                <w:sz w:val="25"/>
                <w:szCs w:val="25"/>
                <w:b/>
                <w:bCs/>
                <w:spacing w:val="-3"/>
              </w:rPr>
              <w:t>暂停其6个月以上9个月以下执业活动</w:t>
            </w:r>
          </w:p>
        </w:tc>
      </w:tr>
    </w:tbl>
    <w:p>
      <w:pPr>
        <w:pStyle w:val="BodyText"/>
        <w:rPr/>
      </w:pPr>
      <w:r/>
    </w:p>
    <w:p>
      <w:pPr>
        <w:sectPr>
          <w:footerReference w:type="default" r:id="rId313"/>
          <w:pgSz w:w="16830" w:h="11900"/>
          <w:pgMar w:top="1011" w:right="1335" w:bottom="1108" w:left="1314" w:header="0" w:footer="775" w:gutter="0"/>
        </w:sectPr>
        <w:rPr/>
      </w:pPr>
    </w:p>
    <w:p>
      <w:pPr>
        <w:spacing w:before="20"/>
        <w:rPr/>
      </w:pPr>
      <w:r/>
    </w:p>
    <w:p>
      <w:pPr>
        <w:spacing w:before="20"/>
        <w:rPr/>
      </w:pPr>
      <w:r/>
    </w:p>
    <w:p>
      <w:pPr>
        <w:spacing w:before="19"/>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295"/>
        <w:gridCol w:w="5431"/>
      </w:tblGrid>
      <w:tr>
        <w:trPr>
          <w:trHeight w:val="880" w:hRule="atLeast"/>
        </w:trPr>
        <w:tc>
          <w:tcPr>
            <w:tcW w:w="1444" w:type="dxa"/>
            <w:vAlign w:val="top"/>
          </w:tcPr>
          <w:p>
            <w:pPr>
              <w:spacing w:line="242" w:lineRule="auto"/>
              <w:rPr>
                <w:rFonts w:ascii="Arial"/>
                <w:sz w:val="21"/>
              </w:rPr>
            </w:pPr>
            <w:r/>
          </w:p>
          <w:p>
            <w:pPr>
              <w:pStyle w:val="TableText"/>
              <w:ind w:left="478"/>
              <w:spacing w:before="78" w:line="220" w:lineRule="auto"/>
              <w:rPr/>
            </w:pPr>
            <w:bookmarkStart w:name="bookmark964" w:id="333"/>
            <w:bookmarkEnd w:id="333"/>
            <w:r>
              <w:rPr>
                <w:b/>
                <w:bCs/>
                <w:spacing w:val="-6"/>
              </w:rPr>
              <w:t>严重</w:t>
            </w:r>
          </w:p>
        </w:tc>
        <w:tc>
          <w:tcPr>
            <w:tcW w:w="7295" w:type="dxa"/>
            <w:vAlign w:val="top"/>
          </w:tcPr>
          <w:p>
            <w:pPr>
              <w:pStyle w:val="TableText"/>
              <w:ind w:left="101"/>
              <w:spacing w:before="134" w:line="283" w:lineRule="auto"/>
              <w:rPr/>
            </w:pPr>
            <w:r>
              <w:rPr>
                <w:spacing w:val="-1"/>
              </w:rPr>
              <w:t>摘取活体器官前未依照本条例第十九条的规定履行说明、查验、确认</w:t>
            </w:r>
            <w:r>
              <w:rPr>
                <w:spacing w:val="12"/>
              </w:rPr>
              <w:t xml:space="preserve"> </w:t>
            </w:r>
            <w:r>
              <w:rPr>
                <w:spacing w:val="1"/>
              </w:rPr>
              <w:t>义务，例数在3例以上的</w:t>
            </w:r>
          </w:p>
        </w:tc>
        <w:tc>
          <w:tcPr>
            <w:tcW w:w="5431" w:type="dxa"/>
            <w:vAlign w:val="top"/>
          </w:tcPr>
          <w:p>
            <w:pPr>
              <w:spacing w:line="245" w:lineRule="auto"/>
              <w:rPr>
                <w:rFonts w:ascii="Arial"/>
                <w:sz w:val="21"/>
              </w:rPr>
            </w:pPr>
            <w:r/>
          </w:p>
          <w:p>
            <w:pPr>
              <w:pStyle w:val="TableText"/>
              <w:ind w:left="145"/>
              <w:spacing w:before="78" w:line="219" w:lineRule="auto"/>
              <w:rPr/>
            </w:pPr>
            <w:r>
              <w:rPr/>
              <w:t>暂停其10个月以上1年以下执业活动</w:t>
            </w:r>
          </w:p>
        </w:tc>
      </w:tr>
      <w:tr>
        <w:trPr>
          <w:trHeight w:val="880" w:hRule="atLeast"/>
        </w:trPr>
        <w:tc>
          <w:tcPr>
            <w:tcW w:w="1444" w:type="dxa"/>
            <w:vAlign w:val="top"/>
          </w:tcPr>
          <w:p>
            <w:pPr>
              <w:spacing w:line="242" w:lineRule="auto"/>
              <w:rPr>
                <w:rFonts w:ascii="Arial"/>
                <w:sz w:val="21"/>
              </w:rPr>
            </w:pPr>
            <w:r/>
          </w:p>
          <w:p>
            <w:pPr>
              <w:pStyle w:val="TableText"/>
              <w:ind w:left="238"/>
              <w:spacing w:before="78" w:line="219" w:lineRule="auto"/>
              <w:rPr/>
            </w:pPr>
            <w:r>
              <w:rPr>
                <w:b/>
                <w:bCs/>
                <w:spacing w:val="-5"/>
              </w:rPr>
              <w:t>特别严重</w:t>
            </w:r>
          </w:p>
        </w:tc>
        <w:tc>
          <w:tcPr>
            <w:tcW w:w="7295" w:type="dxa"/>
            <w:vAlign w:val="top"/>
          </w:tcPr>
          <w:p>
            <w:pPr>
              <w:pStyle w:val="TableText"/>
              <w:ind w:left="101"/>
              <w:spacing w:before="144" w:line="279" w:lineRule="auto"/>
              <w:rPr/>
            </w:pPr>
            <w:r>
              <w:rPr>
                <w:spacing w:val="-1"/>
              </w:rPr>
              <w:t>摘取活体器官前未依照本条例第十九条的规定履行说明、查验、确认</w:t>
            </w:r>
            <w:r>
              <w:rPr>
                <w:spacing w:val="12"/>
              </w:rPr>
              <w:t xml:space="preserve"> </w:t>
            </w:r>
            <w:r>
              <w:rPr/>
              <w:t>义务，对人体造成伤害或者造成其他严重后果的</w:t>
            </w:r>
          </w:p>
        </w:tc>
        <w:tc>
          <w:tcPr>
            <w:tcW w:w="5431" w:type="dxa"/>
            <w:vAlign w:val="top"/>
          </w:tcPr>
          <w:p>
            <w:pPr>
              <w:spacing w:line="243" w:lineRule="auto"/>
              <w:rPr>
                <w:rFonts w:ascii="Arial"/>
                <w:sz w:val="21"/>
              </w:rPr>
            </w:pPr>
            <w:r/>
          </w:p>
          <w:p>
            <w:pPr>
              <w:pStyle w:val="TableText"/>
              <w:ind w:left="145"/>
              <w:spacing w:before="78" w:line="219" w:lineRule="auto"/>
              <w:rPr/>
            </w:pPr>
            <w:r>
              <w:rPr/>
              <w:t>由原发证部门吊销相关医务人员执业证书</w:t>
            </w:r>
          </w:p>
        </w:tc>
      </w:tr>
    </w:tbl>
    <w:p>
      <w:pPr>
        <w:pStyle w:val="BodyText"/>
        <w:spacing w:line="447" w:lineRule="auto"/>
        <w:rPr/>
      </w:pPr>
      <w:r/>
    </w:p>
    <w:p>
      <w:pPr>
        <w:ind w:left="789"/>
        <w:spacing w:before="97" w:line="220" w:lineRule="auto"/>
        <w:rPr>
          <w:rFonts w:ascii="FangSong" w:hAnsi="FangSong" w:eastAsia="FangSong" w:cs="FangSong"/>
          <w:sz w:val="30"/>
          <w:szCs w:val="30"/>
        </w:rPr>
      </w:pPr>
      <w:r>
        <w:rPr>
          <w:rFonts w:ascii="FangSong" w:hAnsi="FangSong" w:eastAsia="FangSong" w:cs="FangSong"/>
          <w:sz w:val="30"/>
          <w:szCs w:val="30"/>
          <w:b/>
          <w:bCs/>
          <w:spacing w:val="21"/>
        </w:rPr>
        <w:t>第二百五十四条对摘取器官完毕的尸体未进行符合伦理原则的医学处理，恢复尸体原貌的</w:t>
      </w:r>
    </w:p>
    <w:p>
      <w:pPr>
        <w:ind w:left="785"/>
        <w:spacing w:before="90"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135" w:right="122" w:firstLine="609"/>
        <w:spacing w:before="78" w:line="270" w:lineRule="auto"/>
        <w:jc w:val="both"/>
        <w:rPr>
          <w:rFonts w:ascii="FangSong" w:hAnsi="FangSong" w:eastAsia="FangSong" w:cs="FangSong"/>
          <w:sz w:val="30"/>
          <w:szCs w:val="30"/>
        </w:rPr>
      </w:pPr>
      <w:r>
        <w:rPr>
          <w:rFonts w:ascii="FangSong" w:hAnsi="FangSong" w:eastAsia="FangSong" w:cs="FangSong"/>
          <w:sz w:val="30"/>
          <w:szCs w:val="30"/>
          <w:spacing w:val="22"/>
        </w:rPr>
        <w:t>《人体器官移植条例》第二十八条第(三)项</w:t>
      </w:r>
      <w:r>
        <w:rPr>
          <w:rFonts w:ascii="FangSong" w:hAnsi="FangSong" w:eastAsia="FangSong" w:cs="FangSong"/>
          <w:sz w:val="30"/>
          <w:szCs w:val="30"/>
          <w:spacing w:val="55"/>
        </w:rPr>
        <w:t xml:space="preserve">  </w:t>
      </w:r>
      <w:r>
        <w:rPr>
          <w:rFonts w:ascii="FangSong" w:hAnsi="FangSong" w:eastAsia="FangSong" w:cs="FangSong"/>
          <w:sz w:val="30"/>
          <w:szCs w:val="30"/>
          <w:spacing w:val="22"/>
        </w:rPr>
        <w:t>医务人员有下列情形之一的，依法给</w:t>
      </w:r>
      <w:r>
        <w:rPr>
          <w:rFonts w:ascii="FangSong" w:hAnsi="FangSong" w:eastAsia="FangSong" w:cs="FangSong"/>
          <w:sz w:val="30"/>
          <w:szCs w:val="30"/>
          <w:spacing w:val="21"/>
        </w:rPr>
        <w:t>予处分；情</w:t>
      </w:r>
      <w:r>
        <w:rPr>
          <w:rFonts w:ascii="FangSong" w:hAnsi="FangSong" w:eastAsia="FangSong" w:cs="FangSong"/>
          <w:sz w:val="30"/>
          <w:szCs w:val="30"/>
        </w:rPr>
        <w:t xml:space="preserve"> </w:t>
      </w:r>
      <w:r>
        <w:rPr>
          <w:rFonts w:ascii="FangSong" w:hAnsi="FangSong" w:eastAsia="FangSong" w:cs="FangSong"/>
          <w:sz w:val="30"/>
          <w:szCs w:val="30"/>
          <w:spacing w:val="27"/>
        </w:rPr>
        <w:t>节严重的，由县级以上地方人民政府卫生主管部门依照职责分</w:t>
      </w:r>
      <w:r>
        <w:rPr>
          <w:rFonts w:ascii="FangSong" w:hAnsi="FangSong" w:eastAsia="FangSong" w:cs="FangSong"/>
          <w:sz w:val="30"/>
          <w:szCs w:val="30"/>
          <w:spacing w:val="26"/>
        </w:rPr>
        <w:t>工暂停其6</w:t>
      </w:r>
      <w:r>
        <w:rPr>
          <w:rFonts w:ascii="FangSong" w:hAnsi="FangSong" w:eastAsia="FangSong" w:cs="FangSong"/>
          <w:sz w:val="30"/>
          <w:szCs w:val="30"/>
          <w:spacing w:val="26"/>
        </w:rPr>
        <w:t xml:space="preserve"> </w:t>
      </w:r>
      <w:r>
        <w:rPr>
          <w:rFonts w:ascii="FangSong" w:hAnsi="FangSong" w:eastAsia="FangSong" w:cs="FangSong"/>
          <w:sz w:val="30"/>
          <w:szCs w:val="30"/>
          <w:spacing w:val="26"/>
        </w:rPr>
        <w:t>个月以上1年以下执业活</w:t>
      </w:r>
      <w:r>
        <w:rPr>
          <w:rFonts w:ascii="FangSong" w:hAnsi="FangSong" w:eastAsia="FangSong" w:cs="FangSong"/>
          <w:sz w:val="30"/>
          <w:szCs w:val="30"/>
        </w:rPr>
        <w:t xml:space="preserve"> </w:t>
      </w:r>
      <w:r>
        <w:rPr>
          <w:rFonts w:ascii="FangSong" w:hAnsi="FangSong" w:eastAsia="FangSong" w:cs="FangSong"/>
          <w:sz w:val="30"/>
          <w:szCs w:val="30"/>
          <w:spacing w:val="16"/>
        </w:rPr>
        <w:t>动；情节特别严重的，由原发证部门吊销其执业证书：</w:t>
      </w:r>
    </w:p>
    <w:p>
      <w:pPr>
        <w:ind w:left="905"/>
        <w:spacing w:line="220" w:lineRule="auto"/>
        <w:rPr>
          <w:rFonts w:ascii="FangSong" w:hAnsi="FangSong" w:eastAsia="FangSong" w:cs="FangSong"/>
          <w:sz w:val="30"/>
          <w:szCs w:val="30"/>
        </w:rPr>
      </w:pPr>
      <w:r>
        <w:rPr>
          <w:rFonts w:ascii="FangSong" w:hAnsi="FangSong" w:eastAsia="FangSong" w:cs="FangSong"/>
          <w:sz w:val="30"/>
          <w:szCs w:val="30"/>
          <w:spacing w:val="22"/>
        </w:rPr>
        <w:t>(三)对摘取器官完毕的尸体未进行符合伦理原则的医学处理，恢复尸体原貌的。</w:t>
      </w:r>
    </w:p>
    <w:p>
      <w:pPr>
        <w:ind w:left="6539"/>
        <w:spacing w:before="74" w:line="209"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755"/>
        <w:gridCol w:w="4981"/>
      </w:tblGrid>
      <w:tr>
        <w:trPr>
          <w:trHeight w:val="443" w:hRule="atLeast"/>
        </w:trPr>
        <w:tc>
          <w:tcPr>
            <w:tcW w:w="1424" w:type="dxa"/>
            <w:vAlign w:val="top"/>
          </w:tcPr>
          <w:p>
            <w:pPr>
              <w:pStyle w:val="TableText"/>
              <w:ind w:left="208"/>
              <w:spacing w:before="102" w:line="220" w:lineRule="auto"/>
              <w:rPr>
                <w:sz w:val="25"/>
                <w:szCs w:val="25"/>
              </w:rPr>
            </w:pPr>
            <w:r>
              <w:rPr>
                <w:sz w:val="25"/>
                <w:szCs w:val="25"/>
                <w:b/>
                <w:bCs/>
                <w:spacing w:val="-5"/>
              </w:rPr>
              <w:t>违法程度</w:t>
            </w:r>
          </w:p>
        </w:tc>
        <w:tc>
          <w:tcPr>
            <w:tcW w:w="7755" w:type="dxa"/>
            <w:vAlign w:val="top"/>
          </w:tcPr>
          <w:p>
            <w:pPr>
              <w:pStyle w:val="TableText"/>
              <w:ind w:left="3374"/>
              <w:spacing w:before="102" w:line="220" w:lineRule="auto"/>
              <w:rPr>
                <w:sz w:val="25"/>
                <w:szCs w:val="25"/>
              </w:rPr>
            </w:pPr>
            <w:r>
              <w:rPr>
                <w:sz w:val="25"/>
                <w:szCs w:val="25"/>
                <w:b/>
                <w:bCs/>
                <w:spacing w:val="-5"/>
              </w:rPr>
              <w:t>违法后果</w:t>
            </w:r>
          </w:p>
        </w:tc>
        <w:tc>
          <w:tcPr>
            <w:tcW w:w="4981" w:type="dxa"/>
            <w:vAlign w:val="top"/>
          </w:tcPr>
          <w:p>
            <w:pPr>
              <w:pStyle w:val="TableText"/>
              <w:ind w:left="1919"/>
              <w:spacing w:before="99" w:line="218" w:lineRule="auto"/>
              <w:rPr>
                <w:sz w:val="25"/>
                <w:szCs w:val="25"/>
              </w:rPr>
            </w:pPr>
            <w:r>
              <w:rPr>
                <w:sz w:val="25"/>
                <w:szCs w:val="25"/>
                <w:b/>
                <w:bCs/>
                <w:spacing w:val="-5"/>
              </w:rPr>
              <w:t>裁量幅度</w:t>
            </w:r>
          </w:p>
        </w:tc>
      </w:tr>
      <w:tr>
        <w:trPr>
          <w:trHeight w:val="877" w:hRule="atLeast"/>
        </w:trPr>
        <w:tc>
          <w:tcPr>
            <w:tcW w:w="1424" w:type="dxa"/>
            <w:vAlign w:val="top"/>
          </w:tcPr>
          <w:p>
            <w:pPr>
              <w:spacing w:line="298" w:lineRule="auto"/>
              <w:rPr>
                <w:rFonts w:ascii="Arial"/>
                <w:sz w:val="21"/>
              </w:rPr>
            </w:pPr>
            <w:r/>
          </w:p>
          <w:p>
            <w:pPr>
              <w:pStyle w:val="TableText"/>
              <w:ind w:left="458"/>
              <w:spacing w:before="82" w:line="221" w:lineRule="auto"/>
              <w:rPr>
                <w:sz w:val="25"/>
                <w:szCs w:val="25"/>
              </w:rPr>
            </w:pPr>
            <w:r>
              <w:rPr>
                <w:sz w:val="25"/>
                <w:szCs w:val="25"/>
                <w:b/>
                <w:bCs/>
                <w:spacing w:val="-6"/>
              </w:rPr>
              <w:t>较重</w:t>
            </w:r>
          </w:p>
        </w:tc>
        <w:tc>
          <w:tcPr>
            <w:tcW w:w="7755" w:type="dxa"/>
            <w:vAlign w:val="top"/>
          </w:tcPr>
          <w:p>
            <w:pPr>
              <w:pStyle w:val="TableText"/>
              <w:ind w:left="118" w:hanging="108"/>
              <w:spacing w:before="152" w:line="264" w:lineRule="auto"/>
              <w:rPr>
                <w:sz w:val="25"/>
                <w:szCs w:val="25"/>
              </w:rPr>
            </w:pPr>
            <w:r>
              <w:rPr>
                <w:sz w:val="25"/>
                <w:szCs w:val="25"/>
                <w:spacing w:val="-8"/>
              </w:rPr>
              <w:t>对摘取器官完毕的尸体未进行符合伦理原则的医</w:t>
            </w:r>
            <w:r>
              <w:rPr>
                <w:sz w:val="25"/>
                <w:szCs w:val="25"/>
                <w:spacing w:val="-9"/>
              </w:rPr>
              <w:t>学处理，恢复尸体原貌，</w:t>
            </w:r>
            <w:r>
              <w:rPr>
                <w:sz w:val="25"/>
                <w:szCs w:val="25"/>
              </w:rPr>
              <w:t xml:space="preserve"> </w:t>
            </w:r>
            <w:r>
              <w:rPr>
                <w:sz w:val="25"/>
                <w:szCs w:val="25"/>
                <w:spacing w:val="-2"/>
              </w:rPr>
              <w:t>例数在2例以下的</w:t>
            </w:r>
          </w:p>
        </w:tc>
        <w:tc>
          <w:tcPr>
            <w:tcW w:w="4981" w:type="dxa"/>
            <w:vAlign w:val="top"/>
          </w:tcPr>
          <w:p>
            <w:pPr>
              <w:spacing w:line="299" w:lineRule="auto"/>
              <w:rPr>
                <w:rFonts w:ascii="Arial"/>
                <w:sz w:val="21"/>
              </w:rPr>
            </w:pPr>
            <w:r/>
          </w:p>
          <w:p>
            <w:pPr>
              <w:pStyle w:val="TableText"/>
              <w:ind w:left="116"/>
              <w:spacing w:before="81" w:line="219" w:lineRule="auto"/>
              <w:rPr>
                <w:sz w:val="25"/>
                <w:szCs w:val="25"/>
              </w:rPr>
            </w:pPr>
            <w:r>
              <w:rPr>
                <w:sz w:val="25"/>
                <w:szCs w:val="25"/>
                <w:spacing w:val="1"/>
              </w:rPr>
              <w:t>暂停其6个月以上9个月以下执业活动</w:t>
            </w:r>
          </w:p>
        </w:tc>
      </w:tr>
      <w:tr>
        <w:trPr>
          <w:trHeight w:val="867" w:hRule="atLeast"/>
        </w:trPr>
        <w:tc>
          <w:tcPr>
            <w:tcW w:w="1424" w:type="dxa"/>
            <w:vAlign w:val="top"/>
          </w:tcPr>
          <w:p>
            <w:pPr>
              <w:spacing w:line="289"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7755" w:type="dxa"/>
            <w:vAlign w:val="top"/>
          </w:tcPr>
          <w:p>
            <w:pPr>
              <w:pStyle w:val="TableText"/>
              <w:ind w:left="118" w:hanging="108"/>
              <w:spacing w:before="163" w:line="256" w:lineRule="auto"/>
              <w:rPr>
                <w:sz w:val="25"/>
                <w:szCs w:val="25"/>
              </w:rPr>
            </w:pPr>
            <w:r>
              <w:rPr>
                <w:sz w:val="25"/>
                <w:szCs w:val="25"/>
                <w:spacing w:val="-8"/>
              </w:rPr>
              <w:t>对摘取器官完毕的尸体未进行符合伦理原则的医</w:t>
            </w:r>
            <w:r>
              <w:rPr>
                <w:sz w:val="25"/>
                <w:szCs w:val="25"/>
                <w:spacing w:val="-9"/>
              </w:rPr>
              <w:t>学处理，恢复尸体原貌，</w:t>
            </w:r>
            <w:r>
              <w:rPr>
                <w:sz w:val="25"/>
                <w:szCs w:val="25"/>
              </w:rPr>
              <w:t xml:space="preserve"> </w:t>
            </w:r>
            <w:r>
              <w:rPr>
                <w:sz w:val="25"/>
                <w:szCs w:val="25"/>
                <w:spacing w:val="-2"/>
              </w:rPr>
              <w:t>例数在3例以上的</w:t>
            </w:r>
          </w:p>
        </w:tc>
        <w:tc>
          <w:tcPr>
            <w:tcW w:w="4981" w:type="dxa"/>
            <w:vAlign w:val="top"/>
          </w:tcPr>
          <w:p>
            <w:pPr>
              <w:pStyle w:val="TableText"/>
              <w:ind w:left="116"/>
              <w:spacing w:before="315" w:line="219" w:lineRule="auto"/>
              <w:rPr>
                <w:sz w:val="25"/>
                <w:szCs w:val="25"/>
              </w:rPr>
            </w:pPr>
            <w:r>
              <w:rPr>
                <w:sz w:val="25"/>
                <w:szCs w:val="25"/>
                <w:spacing w:val="1"/>
              </w:rPr>
              <w:t>暂停其10个月以上1年以下执业活动</w:t>
            </w:r>
          </w:p>
        </w:tc>
      </w:tr>
      <w:tr>
        <w:trPr>
          <w:trHeight w:val="453" w:hRule="atLeast"/>
        </w:trPr>
        <w:tc>
          <w:tcPr>
            <w:tcW w:w="1424" w:type="dxa"/>
            <w:vAlign w:val="top"/>
          </w:tcPr>
          <w:p>
            <w:pPr>
              <w:pStyle w:val="TableText"/>
              <w:ind w:left="208"/>
              <w:spacing w:before="174" w:line="198" w:lineRule="auto"/>
              <w:rPr>
                <w:sz w:val="25"/>
                <w:szCs w:val="25"/>
              </w:rPr>
            </w:pPr>
            <w:r>
              <w:rPr>
                <w:sz w:val="25"/>
                <w:szCs w:val="25"/>
                <w:b/>
                <w:bCs/>
                <w:spacing w:val="-5"/>
              </w:rPr>
              <w:t>特别严重</w:t>
            </w:r>
          </w:p>
        </w:tc>
        <w:tc>
          <w:tcPr>
            <w:tcW w:w="7755" w:type="dxa"/>
            <w:vAlign w:val="top"/>
          </w:tcPr>
          <w:p>
            <w:pPr>
              <w:pStyle w:val="TableText"/>
              <w:spacing w:before="187" w:line="189" w:lineRule="auto"/>
              <w:jc w:val="right"/>
              <w:rPr>
                <w:sz w:val="25"/>
                <w:szCs w:val="25"/>
              </w:rPr>
            </w:pPr>
            <w:r>
              <w:rPr>
                <w:sz w:val="25"/>
                <w:szCs w:val="25"/>
                <w:spacing w:val="-8"/>
              </w:rPr>
              <w:t>对摘取器官完毕的尸体未进行符合伦理原则的医</w:t>
            </w:r>
            <w:r>
              <w:rPr>
                <w:sz w:val="25"/>
                <w:szCs w:val="25"/>
                <w:spacing w:val="-9"/>
              </w:rPr>
              <w:t>学处理，恢复尸体原貌，</w:t>
            </w:r>
          </w:p>
        </w:tc>
        <w:tc>
          <w:tcPr>
            <w:tcW w:w="4981" w:type="dxa"/>
            <w:vAlign w:val="top"/>
          </w:tcPr>
          <w:p>
            <w:pPr>
              <w:pStyle w:val="TableText"/>
              <w:ind w:left="116"/>
              <w:spacing w:before="166" w:line="204" w:lineRule="auto"/>
              <w:rPr>
                <w:sz w:val="25"/>
                <w:szCs w:val="25"/>
              </w:rPr>
            </w:pPr>
            <w:r>
              <w:rPr>
                <w:sz w:val="25"/>
                <w:szCs w:val="25"/>
              </w:rPr>
              <w:t>由原发证部门吊销相关医务人员执业证书</w:t>
            </w:r>
          </w:p>
        </w:tc>
      </w:tr>
    </w:tbl>
    <w:p>
      <w:pPr>
        <w:pStyle w:val="BodyText"/>
        <w:rPr/>
      </w:pPr>
      <w:r/>
    </w:p>
    <w:p>
      <w:pPr>
        <w:sectPr>
          <w:footerReference w:type="default" r:id="rId314"/>
          <w:pgSz w:w="16830" w:h="11900"/>
          <w:pgMar w:top="1011" w:right="1335" w:bottom="1117" w:left="1314" w:header="0" w:footer="784" w:gutter="0"/>
        </w:sectPr>
        <w:rPr/>
      </w:pPr>
    </w:p>
    <w:p>
      <w:pPr>
        <w:spacing w:before="8"/>
        <w:rPr/>
      </w:pPr>
      <w:r/>
    </w:p>
    <w:p>
      <w:pPr>
        <w:spacing w:before="8"/>
        <w:rPr/>
      </w:pPr>
      <w:r/>
    </w:p>
    <w:p>
      <w:pPr>
        <w:spacing w:before="8"/>
        <w:rPr/>
      </w:pPr>
      <w:r/>
    </w:p>
    <w:tbl>
      <w:tblPr>
        <w:tblStyle w:val="TableNormal"/>
        <w:tblW w:w="14230" w:type="dxa"/>
        <w:tblInd w:w="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64"/>
        <w:gridCol w:w="7745"/>
        <w:gridCol w:w="5021"/>
      </w:tblGrid>
      <w:tr>
        <w:trPr>
          <w:trHeight w:val="510" w:hRule="atLeast"/>
        </w:trPr>
        <w:tc>
          <w:tcPr>
            <w:tcW w:w="1464" w:type="dxa"/>
            <w:vAlign w:val="top"/>
            <w:tcBorders>
              <w:left w:val="single" w:color="000000" w:sz="4" w:space="0"/>
              <w:right w:val="single" w:color="000000" w:sz="4" w:space="0"/>
            </w:tcBorders>
          </w:tcPr>
          <w:p>
            <w:pPr>
              <w:rPr>
                <w:rFonts w:ascii="Arial"/>
                <w:sz w:val="21"/>
              </w:rPr>
            </w:pPr>
            <w:r/>
          </w:p>
        </w:tc>
        <w:tc>
          <w:tcPr>
            <w:tcW w:w="7745" w:type="dxa"/>
            <w:vAlign w:val="top"/>
            <w:tcBorders>
              <w:left w:val="single" w:color="000000" w:sz="4" w:space="0"/>
            </w:tcBorders>
          </w:tcPr>
          <w:p>
            <w:pPr>
              <w:ind w:left="116"/>
              <w:spacing w:before="221" w:line="214" w:lineRule="auto"/>
              <w:rPr>
                <w:rFonts w:ascii="FangSong" w:hAnsi="FangSong" w:eastAsia="FangSong" w:cs="FangSong"/>
                <w:sz w:val="24"/>
                <w:szCs w:val="24"/>
              </w:rPr>
            </w:pPr>
            <w:r>
              <w:rPr>
                <w:rFonts w:ascii="FangSong" w:hAnsi="FangSong" w:eastAsia="FangSong" w:cs="FangSong"/>
                <w:sz w:val="24"/>
                <w:szCs w:val="24"/>
                <w:spacing w:val="-1"/>
              </w:rPr>
              <w:t>对人体造成伤害或者造成其他严重后果的</w:t>
            </w:r>
          </w:p>
        </w:tc>
        <w:tc>
          <w:tcPr>
            <w:tcW w:w="5021" w:type="dxa"/>
            <w:vAlign w:val="top"/>
            <w:tcBorders>
              <w:right w:val="single" w:color="000000" w:sz="4" w:space="0"/>
            </w:tcBorders>
          </w:tcPr>
          <w:p>
            <w:pPr>
              <w:rPr>
                <w:rFonts w:ascii="Arial"/>
                <w:sz w:val="21"/>
              </w:rPr>
            </w:pPr>
            <w:r/>
          </w:p>
        </w:tc>
      </w:tr>
    </w:tbl>
    <w:p>
      <w:pPr>
        <w:pStyle w:val="BodyText"/>
        <w:spacing w:line="412" w:lineRule="auto"/>
        <w:rPr/>
      </w:pPr>
      <w:r/>
    </w:p>
    <w:p>
      <w:pPr>
        <w:ind w:left="804"/>
        <w:spacing w:before="97" w:line="220" w:lineRule="auto"/>
        <w:rPr>
          <w:rFonts w:ascii="FangSong" w:hAnsi="FangSong" w:eastAsia="FangSong" w:cs="FangSong"/>
          <w:sz w:val="30"/>
          <w:szCs w:val="30"/>
        </w:rPr>
      </w:pPr>
      <w:bookmarkStart w:name="bookmark965" w:id="334"/>
      <w:bookmarkEnd w:id="334"/>
      <w:r>
        <w:rPr>
          <w:rFonts w:ascii="FangSong" w:hAnsi="FangSong" w:eastAsia="FangSong" w:cs="FangSong"/>
          <w:sz w:val="30"/>
          <w:szCs w:val="30"/>
          <w:b/>
          <w:bCs/>
          <w:spacing w:val="22"/>
        </w:rPr>
        <w:t>第二百五十五条从事人体器官移植的医务人员参与尸体</w:t>
      </w:r>
      <w:r>
        <w:rPr>
          <w:rFonts w:ascii="FangSong" w:hAnsi="FangSong" w:eastAsia="FangSong" w:cs="FangSong"/>
          <w:sz w:val="30"/>
          <w:szCs w:val="30"/>
          <w:b/>
          <w:bCs/>
          <w:spacing w:val="21"/>
        </w:rPr>
        <w:t>器官捐献人的死亡判定的</w:t>
      </w:r>
    </w:p>
    <w:p>
      <w:pPr>
        <w:ind w:left="800"/>
        <w:spacing w:before="100"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130" w:right="150" w:firstLine="629"/>
        <w:spacing w:before="70" w:line="270" w:lineRule="auto"/>
        <w:jc w:val="both"/>
        <w:rPr>
          <w:rFonts w:ascii="FangSong" w:hAnsi="FangSong" w:eastAsia="FangSong" w:cs="FangSong"/>
          <w:sz w:val="30"/>
          <w:szCs w:val="30"/>
        </w:rPr>
      </w:pPr>
      <w:r>
        <w:rPr>
          <w:rFonts w:ascii="FangSong" w:hAnsi="FangSong" w:eastAsia="FangSong" w:cs="FangSong"/>
          <w:sz w:val="30"/>
          <w:szCs w:val="30"/>
          <w:spacing w:val="17"/>
        </w:rPr>
        <w:t>《人体器官移植条例》第三十条</w:t>
      </w:r>
      <w:r>
        <w:rPr>
          <w:rFonts w:ascii="FangSong" w:hAnsi="FangSong" w:eastAsia="FangSong" w:cs="FangSong"/>
          <w:sz w:val="30"/>
          <w:szCs w:val="30"/>
          <w:spacing w:val="17"/>
        </w:rPr>
        <w:t xml:space="preserve">  </w:t>
      </w:r>
      <w:r>
        <w:rPr>
          <w:rFonts w:ascii="FangSong" w:hAnsi="FangSong" w:eastAsia="FangSong" w:cs="FangSong"/>
          <w:sz w:val="30"/>
          <w:szCs w:val="30"/>
          <w:spacing w:val="17"/>
        </w:rPr>
        <w:t>从事人体器官移植的医务人员参与尸</w:t>
      </w:r>
      <w:r>
        <w:rPr>
          <w:rFonts w:ascii="FangSong" w:hAnsi="FangSong" w:eastAsia="FangSong" w:cs="FangSong"/>
          <w:sz w:val="30"/>
          <w:szCs w:val="30"/>
          <w:spacing w:val="16"/>
        </w:rPr>
        <w:t>体器官捐献人的死亡判定</w:t>
      </w:r>
      <w:r>
        <w:rPr>
          <w:rFonts w:ascii="FangSong" w:hAnsi="FangSong" w:eastAsia="FangSong" w:cs="FangSong"/>
          <w:sz w:val="30"/>
          <w:szCs w:val="30"/>
        </w:rPr>
        <w:t xml:space="preserve"> </w:t>
      </w:r>
      <w:r>
        <w:rPr>
          <w:rFonts w:ascii="FangSong" w:hAnsi="FangSong" w:eastAsia="FangSong" w:cs="FangSong"/>
          <w:sz w:val="30"/>
          <w:szCs w:val="30"/>
          <w:spacing w:val="28"/>
        </w:rPr>
        <w:t>的，县级以上地方人民政府卫生主管部门依照</w:t>
      </w:r>
      <w:r>
        <w:rPr>
          <w:rFonts w:ascii="FangSong" w:hAnsi="FangSong" w:eastAsia="FangSong" w:cs="FangSong"/>
          <w:sz w:val="30"/>
          <w:szCs w:val="30"/>
          <w:spacing w:val="27"/>
        </w:rPr>
        <w:t>职责分工暂停其6</w:t>
      </w:r>
      <w:r>
        <w:rPr>
          <w:rFonts w:ascii="FangSong" w:hAnsi="FangSong" w:eastAsia="FangSong" w:cs="FangSong"/>
          <w:sz w:val="30"/>
          <w:szCs w:val="30"/>
          <w:spacing w:val="27"/>
        </w:rPr>
        <w:t xml:space="preserve"> </w:t>
      </w:r>
      <w:r>
        <w:rPr>
          <w:rFonts w:ascii="FangSong" w:hAnsi="FangSong" w:eastAsia="FangSong" w:cs="FangSong"/>
          <w:sz w:val="30"/>
          <w:szCs w:val="30"/>
          <w:spacing w:val="27"/>
        </w:rPr>
        <w:t>个月以上1年以下执业活动；情节</w:t>
      </w:r>
      <w:r>
        <w:rPr>
          <w:rFonts w:ascii="FangSong" w:hAnsi="FangSong" w:eastAsia="FangSong" w:cs="FangSong"/>
          <w:sz w:val="30"/>
          <w:szCs w:val="30"/>
        </w:rPr>
        <w:t xml:space="preserve"> </w:t>
      </w:r>
      <w:r>
        <w:rPr>
          <w:rFonts w:ascii="FangSong" w:hAnsi="FangSong" w:eastAsia="FangSong" w:cs="FangSong"/>
          <w:sz w:val="30"/>
          <w:szCs w:val="30"/>
          <w:spacing w:val="17"/>
        </w:rPr>
        <w:t>严重的，由原发证部门吊销其执业证书。</w:t>
      </w:r>
    </w:p>
    <w:p>
      <w:pPr>
        <w:ind w:left="6554"/>
        <w:spacing w:before="1" w:line="208"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4169" w:type="dxa"/>
        <w:tblInd w:w="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8434"/>
        <w:gridCol w:w="4301"/>
      </w:tblGrid>
      <w:tr>
        <w:trPr>
          <w:trHeight w:val="453" w:hRule="atLeast"/>
        </w:trPr>
        <w:tc>
          <w:tcPr>
            <w:tcW w:w="1434" w:type="dxa"/>
            <w:vAlign w:val="top"/>
          </w:tcPr>
          <w:p>
            <w:pPr>
              <w:pStyle w:val="TableText"/>
              <w:ind w:left="208"/>
              <w:spacing w:before="102" w:line="220" w:lineRule="auto"/>
              <w:rPr>
                <w:sz w:val="25"/>
                <w:szCs w:val="25"/>
              </w:rPr>
            </w:pPr>
            <w:r>
              <w:rPr>
                <w:sz w:val="25"/>
                <w:szCs w:val="25"/>
                <w:b/>
                <w:bCs/>
                <w:spacing w:val="-5"/>
              </w:rPr>
              <w:t>违法程度</w:t>
            </w:r>
          </w:p>
        </w:tc>
        <w:tc>
          <w:tcPr>
            <w:tcW w:w="8434" w:type="dxa"/>
            <w:vAlign w:val="top"/>
          </w:tcPr>
          <w:p>
            <w:pPr>
              <w:pStyle w:val="TableText"/>
              <w:ind w:left="3714"/>
              <w:spacing w:before="102" w:line="220" w:lineRule="auto"/>
              <w:rPr>
                <w:sz w:val="25"/>
                <w:szCs w:val="25"/>
              </w:rPr>
            </w:pPr>
            <w:r>
              <w:rPr>
                <w:sz w:val="25"/>
                <w:szCs w:val="25"/>
                <w:b/>
                <w:bCs/>
                <w:spacing w:val="-5"/>
              </w:rPr>
              <w:t>违法后果</w:t>
            </w:r>
          </w:p>
        </w:tc>
        <w:tc>
          <w:tcPr>
            <w:tcW w:w="4301" w:type="dxa"/>
            <w:vAlign w:val="top"/>
          </w:tcPr>
          <w:p>
            <w:pPr>
              <w:pStyle w:val="TableText"/>
              <w:ind w:left="1650"/>
              <w:spacing w:before="99" w:line="218" w:lineRule="auto"/>
              <w:rPr>
                <w:sz w:val="25"/>
                <w:szCs w:val="25"/>
              </w:rPr>
            </w:pPr>
            <w:r>
              <w:rPr>
                <w:sz w:val="25"/>
                <w:szCs w:val="25"/>
                <w:b/>
                <w:bCs/>
                <w:spacing w:val="-5"/>
              </w:rPr>
              <w:t>裁量幅度</w:t>
            </w:r>
          </w:p>
        </w:tc>
      </w:tr>
      <w:tr>
        <w:trPr>
          <w:trHeight w:val="877" w:hRule="atLeast"/>
        </w:trPr>
        <w:tc>
          <w:tcPr>
            <w:tcW w:w="1434" w:type="dxa"/>
            <w:vAlign w:val="top"/>
          </w:tcPr>
          <w:p>
            <w:pPr>
              <w:pStyle w:val="TableText"/>
              <w:ind w:left="458"/>
              <w:spacing w:before="320" w:line="221" w:lineRule="auto"/>
              <w:rPr>
                <w:sz w:val="25"/>
                <w:szCs w:val="25"/>
              </w:rPr>
            </w:pPr>
            <w:r>
              <w:rPr>
                <w:sz w:val="25"/>
                <w:szCs w:val="25"/>
                <w:b/>
                <w:bCs/>
                <w:spacing w:val="-10"/>
              </w:rPr>
              <w:t>一般</w:t>
            </w:r>
          </w:p>
        </w:tc>
        <w:tc>
          <w:tcPr>
            <w:tcW w:w="8434" w:type="dxa"/>
            <w:vAlign w:val="top"/>
          </w:tcPr>
          <w:p>
            <w:pPr>
              <w:pStyle w:val="TableText"/>
              <w:ind w:left="109" w:hanging="99"/>
              <w:spacing w:before="152" w:line="264" w:lineRule="auto"/>
              <w:rPr>
                <w:sz w:val="25"/>
                <w:szCs w:val="25"/>
              </w:rPr>
            </w:pPr>
            <w:r>
              <w:rPr>
                <w:sz w:val="25"/>
                <w:szCs w:val="25"/>
                <w:spacing w:val="-3"/>
              </w:rPr>
              <w:t>从事人体器官移植的医务人员参与尸体器官捐献人的死亡判定的，未造成危害</w:t>
            </w:r>
            <w:r>
              <w:rPr>
                <w:sz w:val="25"/>
                <w:szCs w:val="25"/>
                <w:spacing w:val="14"/>
              </w:rPr>
              <w:t xml:space="preserve"> </w:t>
            </w:r>
            <w:r>
              <w:rPr>
                <w:sz w:val="25"/>
                <w:szCs w:val="25"/>
              </w:rPr>
              <w:t>后果的义务，例数在2例以下的</w:t>
            </w:r>
          </w:p>
        </w:tc>
        <w:tc>
          <w:tcPr>
            <w:tcW w:w="4301" w:type="dxa"/>
            <w:vAlign w:val="top"/>
          </w:tcPr>
          <w:p>
            <w:pPr>
              <w:pStyle w:val="TableText"/>
              <w:ind w:left="116" w:right="385" w:firstLine="280"/>
              <w:spacing w:before="162" w:line="260" w:lineRule="auto"/>
              <w:rPr>
                <w:sz w:val="25"/>
                <w:szCs w:val="25"/>
              </w:rPr>
            </w:pPr>
            <w:r>
              <w:rPr>
                <w:sz w:val="25"/>
                <w:szCs w:val="25"/>
              </w:rPr>
              <w:t>暂停其6个月以上9个月以下执业</w:t>
            </w:r>
            <w:r>
              <w:rPr>
                <w:sz w:val="25"/>
                <w:szCs w:val="25"/>
                <w:spacing w:val="7"/>
              </w:rPr>
              <w:t xml:space="preserve"> </w:t>
            </w:r>
            <w:r>
              <w:rPr>
                <w:sz w:val="25"/>
                <w:szCs w:val="25"/>
                <w:spacing w:val="8"/>
              </w:rPr>
              <w:t>活动</w:t>
            </w:r>
          </w:p>
        </w:tc>
      </w:tr>
      <w:tr>
        <w:trPr>
          <w:trHeight w:val="867" w:hRule="atLeast"/>
        </w:trPr>
        <w:tc>
          <w:tcPr>
            <w:tcW w:w="1434" w:type="dxa"/>
            <w:vAlign w:val="top"/>
          </w:tcPr>
          <w:p>
            <w:pPr>
              <w:pStyle w:val="TableText"/>
              <w:ind w:left="458"/>
              <w:spacing w:before="312" w:line="220" w:lineRule="auto"/>
              <w:rPr>
                <w:sz w:val="25"/>
                <w:szCs w:val="25"/>
              </w:rPr>
            </w:pPr>
            <w:r>
              <w:rPr>
                <w:sz w:val="25"/>
                <w:szCs w:val="25"/>
                <w:b/>
                <w:bCs/>
                <w:spacing w:val="-6"/>
              </w:rPr>
              <w:t>严重</w:t>
            </w:r>
          </w:p>
        </w:tc>
        <w:tc>
          <w:tcPr>
            <w:tcW w:w="8434" w:type="dxa"/>
            <w:vAlign w:val="top"/>
          </w:tcPr>
          <w:p>
            <w:pPr>
              <w:pStyle w:val="TableText"/>
              <w:ind w:left="109" w:hanging="99"/>
              <w:spacing w:before="155" w:line="259" w:lineRule="auto"/>
              <w:rPr>
                <w:sz w:val="25"/>
                <w:szCs w:val="25"/>
              </w:rPr>
            </w:pPr>
            <w:r>
              <w:rPr>
                <w:sz w:val="25"/>
                <w:szCs w:val="25"/>
                <w:spacing w:val="-3"/>
              </w:rPr>
              <w:t>从事人体器官移植的医务人员参与尸体器官捐献人的死亡判定，曾因此受到过</w:t>
            </w:r>
            <w:r>
              <w:rPr>
                <w:sz w:val="25"/>
                <w:szCs w:val="25"/>
                <w:spacing w:val="14"/>
              </w:rPr>
              <w:t xml:space="preserve"> </w:t>
            </w:r>
            <w:r>
              <w:rPr>
                <w:sz w:val="25"/>
                <w:szCs w:val="25"/>
                <w:spacing w:val="1"/>
              </w:rPr>
              <w:t>行政处罚的或者造成危害后果的</w:t>
            </w:r>
          </w:p>
        </w:tc>
        <w:tc>
          <w:tcPr>
            <w:tcW w:w="4301" w:type="dxa"/>
            <w:vAlign w:val="top"/>
          </w:tcPr>
          <w:p>
            <w:pPr>
              <w:pStyle w:val="TableText"/>
              <w:ind w:left="326"/>
              <w:spacing w:before="155" w:line="219" w:lineRule="auto"/>
              <w:rPr>
                <w:sz w:val="25"/>
                <w:szCs w:val="25"/>
              </w:rPr>
            </w:pPr>
            <w:r>
              <w:rPr>
                <w:sz w:val="25"/>
                <w:szCs w:val="25"/>
              </w:rPr>
              <w:t>暂停其10个月以上1年以下执业活</w:t>
            </w:r>
          </w:p>
          <w:p>
            <w:pPr>
              <w:pStyle w:val="TableText"/>
              <w:ind w:left="116"/>
              <w:spacing w:before="123" w:line="208" w:lineRule="auto"/>
              <w:rPr>
                <w:sz w:val="25"/>
                <w:szCs w:val="25"/>
              </w:rPr>
            </w:pPr>
            <w:r>
              <w:rPr>
                <w:sz w:val="25"/>
                <w:szCs w:val="25"/>
                <w:color w:val="606050"/>
              </w:rPr>
              <w:t>动</w:t>
            </w:r>
          </w:p>
        </w:tc>
      </w:tr>
      <w:tr>
        <w:trPr>
          <w:trHeight w:val="882" w:hRule="atLeast"/>
        </w:trPr>
        <w:tc>
          <w:tcPr>
            <w:tcW w:w="1434" w:type="dxa"/>
            <w:vAlign w:val="top"/>
          </w:tcPr>
          <w:p>
            <w:pPr>
              <w:spacing w:line="291" w:lineRule="auto"/>
              <w:rPr>
                <w:rFonts w:ascii="Arial"/>
                <w:sz w:val="21"/>
              </w:rPr>
            </w:pPr>
            <w:r/>
          </w:p>
          <w:p>
            <w:pPr>
              <w:pStyle w:val="TableText"/>
              <w:ind w:left="208"/>
              <w:spacing w:before="82" w:line="219" w:lineRule="auto"/>
              <w:rPr>
                <w:sz w:val="25"/>
                <w:szCs w:val="25"/>
              </w:rPr>
            </w:pPr>
            <w:r>
              <w:rPr>
                <w:sz w:val="25"/>
                <w:szCs w:val="25"/>
                <w:b/>
                <w:bCs/>
                <w:spacing w:val="-5"/>
              </w:rPr>
              <w:t>特别严重</w:t>
            </w:r>
          </w:p>
        </w:tc>
        <w:tc>
          <w:tcPr>
            <w:tcW w:w="8434" w:type="dxa"/>
            <w:vAlign w:val="top"/>
          </w:tcPr>
          <w:p>
            <w:pPr>
              <w:pStyle w:val="TableText"/>
              <w:ind w:left="109" w:hanging="99"/>
              <w:spacing w:before="157" w:line="264" w:lineRule="auto"/>
              <w:rPr>
                <w:sz w:val="25"/>
                <w:szCs w:val="25"/>
              </w:rPr>
            </w:pPr>
            <w:r>
              <w:rPr>
                <w:sz w:val="25"/>
                <w:szCs w:val="25"/>
                <w:spacing w:val="-3"/>
              </w:rPr>
              <w:t>从事人体器官移植的医务人员参与尸体器官捐献人的死亡判定的，曾因此受到</w:t>
            </w:r>
            <w:r>
              <w:rPr>
                <w:sz w:val="25"/>
                <w:szCs w:val="25"/>
                <w:spacing w:val="14"/>
              </w:rPr>
              <w:t xml:space="preserve"> </w:t>
            </w:r>
            <w:r>
              <w:rPr>
                <w:sz w:val="25"/>
                <w:szCs w:val="25"/>
              </w:rPr>
              <w:t>过三次以上行政处罚的或者造成严重危害后果的</w:t>
            </w:r>
          </w:p>
        </w:tc>
        <w:tc>
          <w:tcPr>
            <w:tcW w:w="4301" w:type="dxa"/>
            <w:vAlign w:val="top"/>
          </w:tcPr>
          <w:p>
            <w:pPr>
              <w:pStyle w:val="TableText"/>
              <w:ind w:left="146"/>
              <w:spacing w:before="158" w:line="219" w:lineRule="auto"/>
              <w:rPr>
                <w:sz w:val="25"/>
                <w:szCs w:val="25"/>
              </w:rPr>
            </w:pPr>
            <w:r>
              <w:rPr>
                <w:sz w:val="25"/>
                <w:szCs w:val="25"/>
              </w:rPr>
              <w:t>由原发证部门吊销相关医务人员执业</w:t>
            </w:r>
          </w:p>
          <w:p>
            <w:pPr>
              <w:pStyle w:val="TableText"/>
              <w:ind w:left="106"/>
              <w:spacing w:before="151" w:line="196" w:lineRule="auto"/>
              <w:rPr>
                <w:sz w:val="25"/>
                <w:szCs w:val="25"/>
              </w:rPr>
            </w:pPr>
            <w:r>
              <w:rPr>
                <w:sz w:val="25"/>
                <w:szCs w:val="25"/>
                <w:color w:val="505040"/>
                <w:spacing w:val="8"/>
              </w:rPr>
              <w:t>证书</w:t>
            </w:r>
          </w:p>
        </w:tc>
      </w:tr>
    </w:tbl>
    <w:p>
      <w:pPr>
        <w:pStyle w:val="BodyText"/>
        <w:spacing w:line="458" w:lineRule="auto"/>
        <w:rPr/>
      </w:pPr>
      <w:r/>
    </w:p>
    <w:p>
      <w:pPr>
        <w:ind w:left="924"/>
        <w:spacing w:before="98" w:line="224" w:lineRule="auto"/>
        <w:rPr>
          <w:rFonts w:ascii="KaiTi" w:hAnsi="KaiTi" w:eastAsia="KaiTi" w:cs="KaiTi"/>
          <w:sz w:val="30"/>
          <w:szCs w:val="30"/>
        </w:rPr>
      </w:pPr>
      <w:r>
        <w:rPr>
          <w:rFonts w:ascii="KaiTi" w:hAnsi="KaiTi" w:eastAsia="KaiTi" w:cs="KaiTi"/>
          <w:sz w:val="30"/>
          <w:szCs w:val="30"/>
          <w:b/>
          <w:bCs/>
          <w:spacing w:val="29"/>
        </w:rPr>
        <w:t>(十八)《医疗事故处理条例》</w:t>
      </w:r>
    </w:p>
    <w:p>
      <w:pPr>
        <w:ind w:left="804"/>
        <w:spacing w:before="335" w:line="220" w:lineRule="auto"/>
        <w:rPr>
          <w:rFonts w:ascii="FangSong" w:hAnsi="FangSong" w:eastAsia="FangSong" w:cs="FangSong"/>
          <w:sz w:val="30"/>
          <w:szCs w:val="30"/>
        </w:rPr>
      </w:pPr>
      <w:r>
        <w:rPr>
          <w:rFonts w:ascii="FangSong" w:hAnsi="FangSong" w:eastAsia="FangSong" w:cs="FangSong"/>
          <w:sz w:val="30"/>
          <w:szCs w:val="30"/>
          <w:b/>
          <w:bCs/>
          <w:spacing w:val="24"/>
        </w:rPr>
        <w:t>第二百五十六条医疗机构发生医疗事故的</w:t>
      </w:r>
    </w:p>
    <w:p>
      <w:pPr>
        <w:spacing w:line="220" w:lineRule="auto"/>
        <w:sectPr>
          <w:footerReference w:type="default" r:id="rId315"/>
          <w:pgSz w:w="16830" w:h="11900"/>
          <w:pgMar w:top="1011" w:right="1290" w:bottom="1107" w:left="1299" w:header="0" w:footer="774" w:gutter="0"/>
        </w:sectPr>
        <w:rPr>
          <w:rFonts w:ascii="FangSong" w:hAnsi="FangSong" w:eastAsia="FangSong" w:cs="FangSong"/>
          <w:sz w:val="30"/>
          <w:szCs w:val="30"/>
        </w:rPr>
      </w:pPr>
    </w:p>
    <w:p>
      <w:pPr>
        <w:pStyle w:val="BodyText"/>
        <w:spacing w:line="259" w:lineRule="auto"/>
        <w:rPr/>
      </w:pPr>
      <w:r/>
    </w:p>
    <w:p>
      <w:pPr>
        <w:pStyle w:val="BodyText"/>
        <w:spacing w:line="260" w:lineRule="auto"/>
        <w:rPr/>
      </w:pPr>
      <w:r/>
    </w:p>
    <w:p>
      <w:pPr>
        <w:pStyle w:val="BodyText"/>
        <w:spacing w:line="260" w:lineRule="auto"/>
        <w:rPr/>
      </w:pPr>
      <w:r/>
    </w:p>
    <w:p>
      <w:pPr>
        <w:ind w:left="654"/>
        <w:spacing w:before="94" w:line="222" w:lineRule="auto"/>
        <w:rPr>
          <w:rFonts w:ascii="FangSong" w:hAnsi="FangSong" w:eastAsia="FangSong" w:cs="FangSong"/>
          <w:sz w:val="29"/>
          <w:szCs w:val="29"/>
        </w:rPr>
      </w:pPr>
      <w:bookmarkStart w:name="bookmark966" w:id="335"/>
      <w:bookmarkEnd w:id="335"/>
      <w:r>
        <w:rPr>
          <w:rFonts w:ascii="FangSong" w:hAnsi="FangSong" w:eastAsia="FangSong" w:cs="FangSong"/>
          <w:sz w:val="29"/>
          <w:szCs w:val="29"/>
          <w:spacing w:val="6"/>
        </w:rPr>
        <w:t>法律依据：</w:t>
      </w:r>
    </w:p>
    <w:p>
      <w:pPr>
        <w:ind w:left="15" w:right="123" w:firstLine="624"/>
        <w:spacing w:before="100" w:line="280" w:lineRule="auto"/>
        <w:jc w:val="both"/>
        <w:rPr>
          <w:rFonts w:ascii="FangSong" w:hAnsi="FangSong" w:eastAsia="FangSong" w:cs="FangSong"/>
          <w:sz w:val="29"/>
          <w:szCs w:val="29"/>
        </w:rPr>
      </w:pPr>
      <w:r>
        <w:rPr>
          <w:rFonts w:ascii="FangSong" w:hAnsi="FangSong" w:eastAsia="FangSong" w:cs="FangSong"/>
          <w:sz w:val="29"/>
          <w:szCs w:val="29"/>
          <w:spacing w:val="26"/>
        </w:rPr>
        <w:t>《医疗事故处理条例》第五十五条第一款</w:t>
      </w:r>
      <w:r>
        <w:rPr>
          <w:rFonts w:ascii="FangSong" w:hAnsi="FangSong" w:eastAsia="FangSong" w:cs="FangSong"/>
          <w:sz w:val="29"/>
          <w:szCs w:val="29"/>
          <w:spacing w:val="26"/>
        </w:rPr>
        <w:t xml:space="preserve">  </w:t>
      </w:r>
      <w:r>
        <w:rPr>
          <w:rFonts w:ascii="FangSong" w:hAnsi="FangSong" w:eastAsia="FangSong" w:cs="FangSong"/>
          <w:sz w:val="29"/>
          <w:szCs w:val="29"/>
          <w:spacing w:val="26"/>
        </w:rPr>
        <w:t>医疗机构发生医疗事故的，由卫生行政部门根</w:t>
      </w:r>
      <w:r>
        <w:rPr>
          <w:rFonts w:ascii="FangSong" w:hAnsi="FangSong" w:eastAsia="FangSong" w:cs="FangSong"/>
          <w:sz w:val="29"/>
          <w:szCs w:val="29"/>
          <w:spacing w:val="25"/>
        </w:rPr>
        <w:t>据医疗</w:t>
      </w:r>
      <w:r>
        <w:rPr>
          <w:rFonts w:ascii="FangSong" w:hAnsi="FangSong" w:eastAsia="FangSong" w:cs="FangSong"/>
          <w:sz w:val="29"/>
          <w:szCs w:val="29"/>
        </w:rPr>
        <w:t xml:space="preserve"> </w:t>
      </w:r>
      <w:r>
        <w:rPr>
          <w:rFonts w:ascii="FangSong" w:hAnsi="FangSong" w:eastAsia="FangSong" w:cs="FangSong"/>
          <w:sz w:val="29"/>
          <w:szCs w:val="29"/>
          <w:spacing w:val="26"/>
        </w:rPr>
        <w:t>事故等级和情节，给予警告；情节严重的，责令限期停业整顿直至由原发证部门吊销执业许可证，对</w:t>
      </w:r>
      <w:r>
        <w:rPr>
          <w:rFonts w:ascii="FangSong" w:hAnsi="FangSong" w:eastAsia="FangSong" w:cs="FangSong"/>
          <w:sz w:val="29"/>
          <w:szCs w:val="29"/>
          <w:spacing w:val="14"/>
        </w:rPr>
        <w:t xml:space="preserve"> </w:t>
      </w:r>
      <w:r>
        <w:rPr>
          <w:rFonts w:ascii="FangSong" w:hAnsi="FangSong" w:eastAsia="FangSong" w:cs="FangSong"/>
          <w:sz w:val="29"/>
          <w:szCs w:val="29"/>
          <w:spacing w:val="26"/>
        </w:rPr>
        <w:t>负有责任的医务人员依照刑法关于医疗事故罪的规定，依法追究刑事责任；尚不够刑事处罚的，依法</w:t>
      </w:r>
      <w:r>
        <w:rPr>
          <w:rFonts w:ascii="FangSong" w:hAnsi="FangSong" w:eastAsia="FangSong" w:cs="FangSong"/>
          <w:sz w:val="29"/>
          <w:szCs w:val="29"/>
          <w:spacing w:val="13"/>
        </w:rPr>
        <w:t xml:space="preserve"> </w:t>
      </w:r>
      <w:r>
        <w:rPr>
          <w:rFonts w:ascii="FangSong" w:hAnsi="FangSong" w:eastAsia="FangSong" w:cs="FangSong"/>
          <w:sz w:val="29"/>
          <w:szCs w:val="29"/>
          <w:spacing w:val="24"/>
        </w:rPr>
        <w:t>给予行政处分或者纪律处分。</w:t>
      </w:r>
    </w:p>
    <w:p>
      <w:pPr>
        <w:ind w:left="6419"/>
        <w:spacing w:before="1" w:line="208"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402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8204"/>
        <w:gridCol w:w="4411"/>
      </w:tblGrid>
      <w:tr>
        <w:trPr>
          <w:trHeight w:val="443" w:hRule="atLeast"/>
        </w:trPr>
        <w:tc>
          <w:tcPr>
            <w:tcW w:w="1414" w:type="dxa"/>
            <w:vAlign w:val="top"/>
          </w:tcPr>
          <w:p>
            <w:pPr>
              <w:pStyle w:val="TableText"/>
              <w:ind w:left="198"/>
              <w:spacing w:before="102" w:line="220" w:lineRule="auto"/>
              <w:rPr>
                <w:sz w:val="25"/>
                <w:szCs w:val="25"/>
              </w:rPr>
            </w:pPr>
            <w:r>
              <w:rPr>
                <w:sz w:val="25"/>
                <w:szCs w:val="25"/>
                <w:b/>
                <w:bCs/>
                <w:spacing w:val="-5"/>
              </w:rPr>
              <w:t>违法程度</w:t>
            </w:r>
          </w:p>
        </w:tc>
        <w:tc>
          <w:tcPr>
            <w:tcW w:w="8204" w:type="dxa"/>
            <w:vAlign w:val="top"/>
          </w:tcPr>
          <w:p>
            <w:pPr>
              <w:pStyle w:val="TableText"/>
              <w:ind w:left="3524"/>
              <w:spacing w:before="102" w:line="220" w:lineRule="auto"/>
              <w:rPr>
                <w:sz w:val="25"/>
                <w:szCs w:val="25"/>
              </w:rPr>
            </w:pPr>
            <w:r>
              <w:rPr>
                <w:sz w:val="25"/>
                <w:szCs w:val="25"/>
                <w:b/>
                <w:bCs/>
                <w:spacing w:val="-5"/>
              </w:rPr>
              <w:t>情节后果</w:t>
            </w:r>
          </w:p>
        </w:tc>
        <w:tc>
          <w:tcPr>
            <w:tcW w:w="4411" w:type="dxa"/>
            <w:vAlign w:val="top"/>
          </w:tcPr>
          <w:p>
            <w:pPr>
              <w:pStyle w:val="TableText"/>
              <w:ind w:left="1630"/>
              <w:spacing w:before="99" w:line="218" w:lineRule="auto"/>
              <w:rPr>
                <w:sz w:val="25"/>
                <w:szCs w:val="25"/>
              </w:rPr>
            </w:pPr>
            <w:r>
              <w:rPr>
                <w:sz w:val="25"/>
                <w:szCs w:val="25"/>
                <w:b/>
                <w:bCs/>
                <w:spacing w:val="-5"/>
              </w:rPr>
              <w:t>裁量幅度</w:t>
            </w:r>
          </w:p>
        </w:tc>
      </w:tr>
      <w:tr>
        <w:trPr>
          <w:trHeight w:val="587" w:hRule="atLeast"/>
        </w:trPr>
        <w:tc>
          <w:tcPr>
            <w:tcW w:w="1414" w:type="dxa"/>
            <w:vAlign w:val="top"/>
          </w:tcPr>
          <w:p>
            <w:pPr>
              <w:pStyle w:val="TableText"/>
              <w:ind w:left="448"/>
              <w:spacing w:before="170" w:line="221" w:lineRule="auto"/>
              <w:rPr>
                <w:sz w:val="25"/>
                <w:szCs w:val="25"/>
              </w:rPr>
            </w:pPr>
            <w:r>
              <w:rPr>
                <w:sz w:val="25"/>
                <w:szCs w:val="25"/>
                <w:b/>
                <w:bCs/>
                <w:spacing w:val="-10"/>
              </w:rPr>
              <w:t>一般</w:t>
            </w:r>
          </w:p>
        </w:tc>
        <w:tc>
          <w:tcPr>
            <w:tcW w:w="8204" w:type="dxa"/>
            <w:vAlign w:val="top"/>
          </w:tcPr>
          <w:p>
            <w:pPr>
              <w:pStyle w:val="TableText"/>
              <w:ind w:left="111"/>
              <w:spacing w:before="170" w:line="219" w:lineRule="auto"/>
              <w:rPr>
                <w:sz w:val="25"/>
                <w:szCs w:val="25"/>
              </w:rPr>
            </w:pPr>
            <w:r>
              <w:rPr>
                <w:sz w:val="25"/>
                <w:szCs w:val="25"/>
              </w:rPr>
              <w:t>医疗机构发生医疗事故，医方承担主要责任或者完全责任的</w:t>
            </w:r>
          </w:p>
        </w:tc>
        <w:tc>
          <w:tcPr>
            <w:tcW w:w="4411" w:type="dxa"/>
            <w:vAlign w:val="top"/>
          </w:tcPr>
          <w:p>
            <w:pPr>
              <w:pStyle w:val="TableText"/>
              <w:ind w:left="117"/>
              <w:spacing w:before="170" w:line="218" w:lineRule="auto"/>
              <w:rPr>
                <w:sz w:val="25"/>
                <w:szCs w:val="25"/>
              </w:rPr>
            </w:pPr>
            <w:r>
              <w:rPr>
                <w:sz w:val="25"/>
                <w:szCs w:val="25"/>
                <w:spacing w:val="4"/>
              </w:rPr>
              <w:t>给予警告</w:t>
            </w:r>
          </w:p>
        </w:tc>
      </w:tr>
      <w:tr>
        <w:trPr>
          <w:trHeight w:val="667" w:hRule="atLeast"/>
        </w:trPr>
        <w:tc>
          <w:tcPr>
            <w:tcW w:w="1414" w:type="dxa"/>
            <w:vAlign w:val="top"/>
          </w:tcPr>
          <w:p>
            <w:pPr>
              <w:pStyle w:val="TableText"/>
              <w:ind w:left="448"/>
              <w:spacing w:before="212" w:line="220" w:lineRule="auto"/>
              <w:rPr>
                <w:sz w:val="25"/>
                <w:szCs w:val="25"/>
              </w:rPr>
            </w:pPr>
            <w:r>
              <w:rPr>
                <w:sz w:val="25"/>
                <w:szCs w:val="25"/>
                <w:b/>
                <w:bCs/>
                <w:spacing w:val="-6"/>
              </w:rPr>
              <w:t>严重</w:t>
            </w:r>
          </w:p>
        </w:tc>
        <w:tc>
          <w:tcPr>
            <w:tcW w:w="8204" w:type="dxa"/>
            <w:vAlign w:val="top"/>
          </w:tcPr>
          <w:p>
            <w:pPr>
              <w:pStyle w:val="TableText"/>
              <w:ind w:left="111"/>
              <w:spacing w:before="213" w:line="219" w:lineRule="auto"/>
              <w:rPr>
                <w:sz w:val="25"/>
                <w:szCs w:val="25"/>
              </w:rPr>
            </w:pPr>
            <w:r>
              <w:rPr>
                <w:sz w:val="25"/>
                <w:szCs w:val="25"/>
                <w:spacing w:val="1"/>
              </w:rPr>
              <w:t>一年内医疗机构因发生医疗事故受到3次以上行政处</w:t>
            </w:r>
            <w:r>
              <w:rPr>
                <w:sz w:val="25"/>
                <w:szCs w:val="25"/>
              </w:rPr>
              <w:t>罚的</w:t>
            </w:r>
          </w:p>
        </w:tc>
        <w:tc>
          <w:tcPr>
            <w:tcW w:w="4411" w:type="dxa"/>
            <w:vAlign w:val="top"/>
          </w:tcPr>
          <w:p>
            <w:pPr>
              <w:pStyle w:val="TableText"/>
              <w:ind w:left="117"/>
              <w:spacing w:before="213" w:line="219" w:lineRule="auto"/>
              <w:rPr>
                <w:sz w:val="25"/>
                <w:szCs w:val="25"/>
              </w:rPr>
            </w:pPr>
            <w:r>
              <w:rPr>
                <w:sz w:val="25"/>
                <w:szCs w:val="25"/>
                <w:spacing w:val="1"/>
              </w:rPr>
              <w:t>责令限期停业整顿</w:t>
            </w:r>
          </w:p>
        </w:tc>
      </w:tr>
      <w:tr>
        <w:trPr>
          <w:trHeight w:val="702" w:hRule="atLeast"/>
        </w:trPr>
        <w:tc>
          <w:tcPr>
            <w:tcW w:w="1414" w:type="dxa"/>
            <w:vAlign w:val="top"/>
          </w:tcPr>
          <w:p>
            <w:pPr>
              <w:pStyle w:val="TableText"/>
              <w:ind w:left="198"/>
              <w:spacing w:before="234" w:line="219" w:lineRule="auto"/>
              <w:rPr>
                <w:sz w:val="25"/>
                <w:szCs w:val="25"/>
              </w:rPr>
            </w:pPr>
            <w:r>
              <w:rPr>
                <w:sz w:val="25"/>
                <w:szCs w:val="25"/>
                <w:b/>
                <w:bCs/>
                <w:spacing w:val="-5"/>
              </w:rPr>
              <w:t>特别严重</w:t>
            </w:r>
          </w:p>
        </w:tc>
        <w:tc>
          <w:tcPr>
            <w:tcW w:w="8204" w:type="dxa"/>
            <w:vAlign w:val="top"/>
          </w:tcPr>
          <w:p>
            <w:pPr>
              <w:pStyle w:val="TableText"/>
              <w:spacing w:before="236" w:line="219" w:lineRule="auto"/>
              <w:jc w:val="right"/>
              <w:rPr>
                <w:sz w:val="25"/>
                <w:szCs w:val="25"/>
              </w:rPr>
            </w:pPr>
            <w:r>
              <w:rPr>
                <w:sz w:val="25"/>
                <w:szCs w:val="25"/>
                <w:spacing w:val="-5"/>
              </w:rPr>
              <w:t>医疗机构发生重大医疗事故，情节或者后果特别严重，造成恶劣社</w:t>
            </w:r>
            <w:r>
              <w:rPr>
                <w:sz w:val="25"/>
                <w:szCs w:val="25"/>
                <w:spacing w:val="-6"/>
              </w:rPr>
              <w:t>会影响的</w:t>
            </w:r>
          </w:p>
        </w:tc>
        <w:tc>
          <w:tcPr>
            <w:tcW w:w="4411" w:type="dxa"/>
            <w:vAlign w:val="top"/>
          </w:tcPr>
          <w:p>
            <w:pPr>
              <w:pStyle w:val="TableText"/>
              <w:ind w:left="117"/>
              <w:spacing w:before="238" w:line="219" w:lineRule="auto"/>
              <w:rPr>
                <w:sz w:val="25"/>
                <w:szCs w:val="25"/>
              </w:rPr>
            </w:pPr>
            <w:r>
              <w:rPr>
                <w:sz w:val="25"/>
                <w:szCs w:val="25"/>
                <w:spacing w:val="1"/>
              </w:rPr>
              <w:t>吊销执业许可证</w:t>
            </w:r>
          </w:p>
        </w:tc>
      </w:tr>
    </w:tbl>
    <w:p>
      <w:pPr>
        <w:pStyle w:val="BodyText"/>
        <w:spacing w:line="410" w:lineRule="auto"/>
        <w:rPr/>
      </w:pPr>
      <w:r/>
    </w:p>
    <w:p>
      <w:pPr>
        <w:ind w:left="659"/>
        <w:spacing w:before="94" w:line="220" w:lineRule="auto"/>
        <w:rPr>
          <w:rFonts w:ascii="FangSong" w:hAnsi="FangSong" w:eastAsia="FangSong" w:cs="FangSong"/>
          <w:sz w:val="29"/>
          <w:szCs w:val="29"/>
        </w:rPr>
      </w:pPr>
      <w:r>
        <w:rPr>
          <w:rFonts w:ascii="FangSong" w:hAnsi="FangSong" w:eastAsia="FangSong" w:cs="FangSong"/>
          <w:sz w:val="29"/>
          <w:szCs w:val="29"/>
          <w:b/>
          <w:bCs/>
          <w:spacing w:val="34"/>
        </w:rPr>
        <w:t>第二百五十七条有关医务人员发生医疗事故的</w:t>
      </w:r>
    </w:p>
    <w:p>
      <w:pPr>
        <w:ind w:left="654"/>
        <w:spacing w:before="112" w:line="222" w:lineRule="auto"/>
        <w:rPr>
          <w:rFonts w:ascii="FangSong" w:hAnsi="FangSong" w:eastAsia="FangSong" w:cs="FangSong"/>
          <w:sz w:val="29"/>
          <w:szCs w:val="29"/>
        </w:rPr>
      </w:pPr>
      <w:r>
        <w:rPr>
          <w:rFonts w:ascii="FangSong" w:hAnsi="FangSong" w:eastAsia="FangSong" w:cs="FangSong"/>
          <w:sz w:val="29"/>
          <w:szCs w:val="29"/>
          <w:spacing w:val="6"/>
        </w:rPr>
        <w:t>法律依据：</w:t>
      </w:r>
    </w:p>
    <w:p>
      <w:pPr>
        <w:ind w:left="15" w:firstLine="624"/>
        <w:spacing w:before="78" w:line="286" w:lineRule="auto"/>
        <w:rPr>
          <w:rFonts w:ascii="FangSong" w:hAnsi="FangSong" w:eastAsia="FangSong" w:cs="FangSong"/>
          <w:sz w:val="29"/>
          <w:szCs w:val="29"/>
        </w:rPr>
      </w:pPr>
      <w:r>
        <w:rPr>
          <w:rFonts w:ascii="FangSong" w:hAnsi="FangSong" w:eastAsia="FangSong" w:cs="FangSong"/>
          <w:sz w:val="29"/>
          <w:szCs w:val="29"/>
          <w:spacing w:val="20"/>
        </w:rPr>
        <w:t>《医疗事故处理条例》第五十五条第二款</w:t>
      </w:r>
      <w:r>
        <w:rPr>
          <w:rFonts w:ascii="FangSong" w:hAnsi="FangSong" w:eastAsia="FangSong" w:cs="FangSong"/>
          <w:sz w:val="29"/>
          <w:szCs w:val="29"/>
          <w:spacing w:val="54"/>
        </w:rPr>
        <w:t xml:space="preserve">  </w:t>
      </w:r>
      <w:r>
        <w:rPr>
          <w:rFonts w:ascii="FangSong" w:hAnsi="FangSong" w:eastAsia="FangSong" w:cs="FangSong"/>
          <w:sz w:val="29"/>
          <w:szCs w:val="29"/>
          <w:spacing w:val="20"/>
        </w:rPr>
        <w:t>对发生医疗事故的有关医务人员，除依照前款处罚外，</w:t>
      </w:r>
      <w:r>
        <w:rPr>
          <w:rFonts w:ascii="FangSong" w:hAnsi="FangSong" w:eastAsia="FangSong" w:cs="FangSong"/>
          <w:sz w:val="29"/>
          <w:szCs w:val="29"/>
        </w:rPr>
        <w:t xml:space="preserve"> </w:t>
      </w:r>
      <w:r>
        <w:rPr>
          <w:rFonts w:ascii="FangSong" w:hAnsi="FangSong" w:eastAsia="FangSong" w:cs="FangSong"/>
          <w:sz w:val="29"/>
          <w:szCs w:val="29"/>
          <w:spacing w:val="38"/>
        </w:rPr>
        <w:t>卫生行政部门并可以责令暂停6</w:t>
      </w:r>
      <w:r>
        <w:rPr>
          <w:rFonts w:ascii="FangSong" w:hAnsi="FangSong" w:eastAsia="FangSong" w:cs="FangSong"/>
          <w:sz w:val="29"/>
          <w:szCs w:val="29"/>
          <w:spacing w:val="-11"/>
        </w:rPr>
        <w:t xml:space="preserve"> </w:t>
      </w:r>
      <w:r>
        <w:rPr>
          <w:rFonts w:ascii="FangSong" w:hAnsi="FangSong" w:eastAsia="FangSong" w:cs="FangSong"/>
          <w:sz w:val="29"/>
          <w:szCs w:val="29"/>
          <w:spacing w:val="38"/>
        </w:rPr>
        <w:t>个月以上1年以下</w:t>
      </w:r>
      <w:r>
        <w:rPr>
          <w:rFonts w:ascii="FangSong" w:hAnsi="FangSong" w:eastAsia="FangSong" w:cs="FangSong"/>
          <w:sz w:val="29"/>
          <w:szCs w:val="29"/>
          <w:spacing w:val="37"/>
        </w:rPr>
        <w:t>执业活动；情节严重的，吊销其执业证书。</w:t>
      </w:r>
    </w:p>
    <w:p>
      <w:pPr>
        <w:ind w:left="6419"/>
        <w:spacing w:before="1" w:line="220" w:lineRule="auto"/>
        <w:rPr>
          <w:rFonts w:ascii="SimHei" w:hAnsi="SimHei" w:eastAsia="SimHei" w:cs="SimHei"/>
          <w:sz w:val="29"/>
          <w:szCs w:val="29"/>
        </w:rPr>
      </w:pPr>
      <w:r>
        <w:rPr>
          <w:rFonts w:ascii="SimHei" w:hAnsi="SimHei" w:eastAsia="SimHei" w:cs="SimHei"/>
          <w:sz w:val="29"/>
          <w:szCs w:val="29"/>
          <w:b/>
          <w:bCs/>
          <w:spacing w:val="-6"/>
        </w:rPr>
        <w:t>裁量标准</w:t>
      </w:r>
    </w:p>
    <w:p>
      <w:pPr>
        <w:spacing w:line="220" w:lineRule="auto"/>
        <w:sectPr>
          <w:footerReference w:type="default" r:id="rId316"/>
          <w:pgSz w:w="16830" w:h="11900"/>
          <w:pgMar w:top="1011" w:right="1335" w:bottom="1104" w:left="1434" w:header="0" w:footer="762" w:gutter="0"/>
        </w:sectPr>
        <w:rPr>
          <w:rFonts w:ascii="SimHei" w:hAnsi="SimHei" w:eastAsia="SimHei" w:cs="SimHei"/>
          <w:sz w:val="29"/>
          <w:szCs w:val="29"/>
        </w:rPr>
      </w:pPr>
    </w:p>
    <w:p>
      <w:pPr>
        <w:spacing w:before="13"/>
        <w:rPr/>
      </w:pPr>
      <w:r/>
    </w:p>
    <w:p>
      <w:pPr>
        <w:spacing w:before="13"/>
        <w:rPr/>
      </w:pPr>
      <w:r/>
    </w:p>
    <w:p>
      <w:pPr>
        <w:spacing w:before="13"/>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445"/>
        <w:gridCol w:w="5271"/>
      </w:tblGrid>
      <w:tr>
        <w:trPr>
          <w:trHeight w:val="454" w:hRule="atLeast"/>
        </w:trPr>
        <w:tc>
          <w:tcPr>
            <w:tcW w:w="1444" w:type="dxa"/>
            <w:vAlign w:val="top"/>
          </w:tcPr>
          <w:p>
            <w:pPr>
              <w:pStyle w:val="TableText"/>
              <w:ind w:left="218"/>
              <w:spacing w:before="102" w:line="220" w:lineRule="auto"/>
              <w:rPr>
                <w:sz w:val="25"/>
                <w:szCs w:val="25"/>
              </w:rPr>
            </w:pPr>
            <w:bookmarkStart w:name="bookmark967" w:id="336"/>
            <w:bookmarkEnd w:id="336"/>
            <w:r>
              <w:rPr>
                <w:sz w:val="25"/>
                <w:szCs w:val="25"/>
                <w:b/>
                <w:bCs/>
                <w:spacing w:val="-5"/>
              </w:rPr>
              <w:t>违法程度</w:t>
            </w:r>
          </w:p>
        </w:tc>
        <w:tc>
          <w:tcPr>
            <w:tcW w:w="7445" w:type="dxa"/>
            <w:vAlign w:val="top"/>
          </w:tcPr>
          <w:p>
            <w:pPr>
              <w:pStyle w:val="TableText"/>
              <w:ind w:left="3144"/>
              <w:spacing w:before="102" w:line="220" w:lineRule="auto"/>
              <w:rPr>
                <w:sz w:val="25"/>
                <w:szCs w:val="25"/>
              </w:rPr>
            </w:pPr>
            <w:r>
              <w:rPr>
                <w:sz w:val="25"/>
                <w:szCs w:val="25"/>
                <w:b/>
                <w:bCs/>
                <w:spacing w:val="-5"/>
              </w:rPr>
              <w:t>违法后果</w:t>
            </w:r>
          </w:p>
        </w:tc>
        <w:tc>
          <w:tcPr>
            <w:tcW w:w="5271" w:type="dxa"/>
            <w:vAlign w:val="top"/>
          </w:tcPr>
          <w:p>
            <w:pPr>
              <w:pStyle w:val="TableText"/>
              <w:ind w:left="2069"/>
              <w:spacing w:before="99" w:line="218" w:lineRule="auto"/>
              <w:rPr>
                <w:sz w:val="25"/>
                <w:szCs w:val="25"/>
              </w:rPr>
            </w:pPr>
            <w:r>
              <w:rPr>
                <w:sz w:val="25"/>
                <w:szCs w:val="25"/>
                <w:b/>
                <w:bCs/>
                <w:spacing w:val="-5"/>
              </w:rPr>
              <w:t>裁量幅度</w:t>
            </w:r>
          </w:p>
        </w:tc>
      </w:tr>
      <w:tr>
        <w:trPr>
          <w:trHeight w:val="1326" w:hRule="atLeast"/>
        </w:trPr>
        <w:tc>
          <w:tcPr>
            <w:tcW w:w="1444" w:type="dxa"/>
            <w:vAlign w:val="top"/>
          </w:tcPr>
          <w:p>
            <w:pPr>
              <w:spacing w:line="455" w:lineRule="auto"/>
              <w:rPr>
                <w:rFonts w:ascii="Arial"/>
                <w:sz w:val="21"/>
              </w:rPr>
            </w:pPr>
            <w:r/>
          </w:p>
          <w:p>
            <w:pPr>
              <w:pStyle w:val="TableText"/>
              <w:ind w:left="468"/>
              <w:spacing w:before="81" w:line="221" w:lineRule="auto"/>
              <w:rPr>
                <w:sz w:val="25"/>
                <w:szCs w:val="25"/>
              </w:rPr>
            </w:pPr>
            <w:r>
              <w:rPr>
                <w:sz w:val="25"/>
                <w:szCs w:val="25"/>
                <w:b/>
                <w:bCs/>
                <w:spacing w:val="-10"/>
              </w:rPr>
              <w:t>一般</w:t>
            </w:r>
          </w:p>
        </w:tc>
        <w:tc>
          <w:tcPr>
            <w:tcW w:w="7445" w:type="dxa"/>
            <w:vAlign w:val="top"/>
          </w:tcPr>
          <w:p>
            <w:pPr>
              <w:pStyle w:val="TableText"/>
              <w:ind w:left="81"/>
              <w:spacing w:before="162" w:line="220" w:lineRule="auto"/>
              <w:rPr>
                <w:sz w:val="25"/>
                <w:szCs w:val="25"/>
              </w:rPr>
            </w:pPr>
            <w:r>
              <w:rPr>
                <w:sz w:val="25"/>
                <w:szCs w:val="25"/>
                <w:spacing w:val="2"/>
              </w:rPr>
              <w:t>有下列情形之一的：</w:t>
            </w:r>
          </w:p>
          <w:p>
            <w:pPr>
              <w:pStyle w:val="TableText"/>
              <w:ind w:left="81"/>
              <w:spacing w:before="129" w:line="219" w:lineRule="auto"/>
              <w:rPr>
                <w:sz w:val="25"/>
                <w:szCs w:val="25"/>
              </w:rPr>
            </w:pPr>
            <w:r>
              <w:rPr>
                <w:sz w:val="25"/>
                <w:szCs w:val="25"/>
                <w:spacing w:val="1"/>
              </w:rPr>
              <w:t>1.造成三、四级医疗事故由医疗机构负主要责任的有关医务人员</w:t>
            </w:r>
          </w:p>
          <w:p>
            <w:pPr>
              <w:pStyle w:val="TableText"/>
              <w:ind w:left="81"/>
              <w:spacing w:before="134" w:line="218" w:lineRule="auto"/>
              <w:rPr>
                <w:sz w:val="25"/>
                <w:szCs w:val="25"/>
              </w:rPr>
            </w:pPr>
            <w:r>
              <w:rPr>
                <w:sz w:val="25"/>
                <w:szCs w:val="25"/>
              </w:rPr>
              <w:t>2.造成一、二级医疗事故由医疗机构负次要责任的有关医务人员</w:t>
            </w:r>
          </w:p>
        </w:tc>
        <w:tc>
          <w:tcPr>
            <w:tcW w:w="5271" w:type="dxa"/>
            <w:vAlign w:val="top"/>
          </w:tcPr>
          <w:p>
            <w:pPr>
              <w:spacing w:line="455" w:lineRule="auto"/>
              <w:rPr>
                <w:rFonts w:ascii="Arial"/>
                <w:sz w:val="21"/>
              </w:rPr>
            </w:pPr>
            <w:r/>
          </w:p>
          <w:p>
            <w:pPr>
              <w:pStyle w:val="TableText"/>
              <w:ind w:left="115"/>
              <w:spacing w:before="81" w:line="218" w:lineRule="auto"/>
              <w:rPr>
                <w:sz w:val="25"/>
                <w:szCs w:val="25"/>
              </w:rPr>
            </w:pPr>
            <w:r>
              <w:rPr>
                <w:sz w:val="25"/>
                <w:szCs w:val="25"/>
                <w:spacing w:val="4"/>
              </w:rPr>
              <w:t>给予警告</w:t>
            </w:r>
          </w:p>
        </w:tc>
      </w:tr>
      <w:tr>
        <w:trPr>
          <w:trHeight w:val="1296" w:hRule="atLeast"/>
        </w:trPr>
        <w:tc>
          <w:tcPr>
            <w:tcW w:w="1444" w:type="dxa"/>
            <w:vAlign w:val="top"/>
          </w:tcPr>
          <w:p>
            <w:pPr>
              <w:spacing w:line="451" w:lineRule="auto"/>
              <w:rPr>
                <w:rFonts w:ascii="Arial"/>
                <w:sz w:val="21"/>
              </w:rPr>
            </w:pPr>
            <w:r/>
          </w:p>
          <w:p>
            <w:pPr>
              <w:pStyle w:val="TableText"/>
              <w:ind w:left="468"/>
              <w:spacing w:before="81" w:line="221" w:lineRule="auto"/>
              <w:rPr>
                <w:sz w:val="25"/>
                <w:szCs w:val="25"/>
              </w:rPr>
            </w:pPr>
            <w:r>
              <w:rPr>
                <w:sz w:val="25"/>
                <w:szCs w:val="25"/>
                <w:b/>
                <w:bCs/>
                <w:spacing w:val="-6"/>
              </w:rPr>
              <w:t>较重</w:t>
            </w:r>
          </w:p>
        </w:tc>
        <w:tc>
          <w:tcPr>
            <w:tcW w:w="7445" w:type="dxa"/>
            <w:vAlign w:val="top"/>
          </w:tcPr>
          <w:p>
            <w:pPr>
              <w:pStyle w:val="TableText"/>
              <w:ind w:left="81"/>
              <w:spacing w:before="146" w:line="220" w:lineRule="auto"/>
              <w:rPr>
                <w:sz w:val="25"/>
                <w:szCs w:val="25"/>
              </w:rPr>
            </w:pPr>
            <w:r>
              <w:rPr>
                <w:sz w:val="25"/>
                <w:szCs w:val="25"/>
                <w:spacing w:val="2"/>
              </w:rPr>
              <w:t>有下列情形之一的：</w:t>
            </w:r>
          </w:p>
          <w:p>
            <w:pPr>
              <w:pStyle w:val="TableText"/>
              <w:ind w:left="81"/>
              <w:spacing w:before="139" w:line="219" w:lineRule="auto"/>
              <w:rPr>
                <w:sz w:val="25"/>
                <w:szCs w:val="25"/>
              </w:rPr>
            </w:pPr>
            <w:r>
              <w:rPr>
                <w:sz w:val="25"/>
                <w:szCs w:val="25"/>
                <w:spacing w:val="1"/>
              </w:rPr>
              <w:t>1.造成三、四级医疗事故由医疗机构负完全责任的有关医务人员</w:t>
            </w:r>
          </w:p>
          <w:p>
            <w:pPr>
              <w:pStyle w:val="TableText"/>
              <w:ind w:left="81"/>
              <w:spacing w:before="144" w:line="193" w:lineRule="auto"/>
              <w:rPr>
                <w:sz w:val="25"/>
                <w:szCs w:val="25"/>
              </w:rPr>
            </w:pPr>
            <w:r>
              <w:rPr>
                <w:sz w:val="25"/>
                <w:szCs w:val="25"/>
              </w:rPr>
              <w:t>2.造成一、二级医疗事故由医疗机构负主要责任的有关医务人员</w:t>
            </w:r>
          </w:p>
        </w:tc>
        <w:tc>
          <w:tcPr>
            <w:tcW w:w="5271" w:type="dxa"/>
            <w:vAlign w:val="top"/>
          </w:tcPr>
          <w:p>
            <w:pPr>
              <w:spacing w:line="449" w:lineRule="auto"/>
              <w:rPr>
                <w:rFonts w:ascii="Arial"/>
                <w:sz w:val="21"/>
              </w:rPr>
            </w:pPr>
            <w:r/>
          </w:p>
          <w:p>
            <w:pPr>
              <w:pStyle w:val="TableText"/>
              <w:ind w:left="115"/>
              <w:spacing w:before="81" w:line="219" w:lineRule="auto"/>
              <w:rPr>
                <w:sz w:val="25"/>
                <w:szCs w:val="25"/>
              </w:rPr>
            </w:pPr>
            <w:r>
              <w:rPr>
                <w:sz w:val="25"/>
                <w:szCs w:val="25"/>
                <w:spacing w:val="5"/>
              </w:rPr>
              <w:t>责令暂停执业6-9个月</w:t>
            </w:r>
          </w:p>
        </w:tc>
      </w:tr>
      <w:tr>
        <w:trPr>
          <w:trHeight w:val="439" w:hRule="atLeast"/>
        </w:trPr>
        <w:tc>
          <w:tcPr>
            <w:tcW w:w="1444" w:type="dxa"/>
            <w:vAlign w:val="top"/>
          </w:tcPr>
          <w:p>
            <w:pPr>
              <w:pStyle w:val="TableText"/>
              <w:ind w:left="468"/>
              <w:spacing w:before="156" w:line="201" w:lineRule="auto"/>
              <w:rPr>
                <w:sz w:val="25"/>
                <w:szCs w:val="25"/>
              </w:rPr>
            </w:pPr>
            <w:r>
              <w:rPr>
                <w:sz w:val="25"/>
                <w:szCs w:val="25"/>
                <w:b/>
                <w:bCs/>
                <w:spacing w:val="-6"/>
              </w:rPr>
              <w:t>严重</w:t>
            </w:r>
          </w:p>
        </w:tc>
        <w:tc>
          <w:tcPr>
            <w:tcW w:w="7445" w:type="dxa"/>
            <w:vAlign w:val="top"/>
          </w:tcPr>
          <w:p>
            <w:pPr>
              <w:pStyle w:val="TableText"/>
              <w:ind w:left="81"/>
              <w:spacing w:before="167" w:line="193" w:lineRule="auto"/>
              <w:rPr>
                <w:sz w:val="25"/>
                <w:szCs w:val="25"/>
              </w:rPr>
            </w:pPr>
            <w:r>
              <w:rPr>
                <w:sz w:val="25"/>
                <w:szCs w:val="25"/>
              </w:rPr>
              <w:t>造成一、二级医疗事故由医疗机构负完全责任的有关医务人员</w:t>
            </w:r>
          </w:p>
        </w:tc>
        <w:tc>
          <w:tcPr>
            <w:tcW w:w="5271" w:type="dxa"/>
            <w:vAlign w:val="top"/>
          </w:tcPr>
          <w:p>
            <w:pPr>
              <w:pStyle w:val="TableText"/>
              <w:ind w:left="115"/>
              <w:spacing w:before="158" w:line="200" w:lineRule="auto"/>
              <w:rPr>
                <w:sz w:val="25"/>
                <w:szCs w:val="25"/>
              </w:rPr>
            </w:pPr>
            <w:r>
              <w:rPr>
                <w:sz w:val="25"/>
                <w:szCs w:val="25"/>
              </w:rPr>
              <w:t>责令暂停执业10个月以上12个月以下</w:t>
            </w:r>
          </w:p>
        </w:tc>
      </w:tr>
      <w:tr>
        <w:trPr>
          <w:trHeight w:val="454" w:hRule="atLeast"/>
        </w:trPr>
        <w:tc>
          <w:tcPr>
            <w:tcW w:w="1444" w:type="dxa"/>
            <w:vAlign w:val="top"/>
          </w:tcPr>
          <w:p>
            <w:pPr>
              <w:pStyle w:val="TableText"/>
              <w:ind w:left="218"/>
              <w:spacing w:before="156" w:line="212" w:lineRule="auto"/>
              <w:rPr>
                <w:sz w:val="25"/>
                <w:szCs w:val="25"/>
              </w:rPr>
            </w:pPr>
            <w:r>
              <w:rPr>
                <w:sz w:val="25"/>
                <w:szCs w:val="25"/>
                <w:b/>
                <w:bCs/>
                <w:spacing w:val="-5"/>
              </w:rPr>
              <w:t>特别严重</w:t>
            </w:r>
          </w:p>
        </w:tc>
        <w:tc>
          <w:tcPr>
            <w:tcW w:w="7445" w:type="dxa"/>
            <w:vAlign w:val="top"/>
          </w:tcPr>
          <w:p>
            <w:pPr>
              <w:pStyle w:val="TableText"/>
              <w:ind w:left="81"/>
              <w:spacing w:before="170" w:line="202" w:lineRule="auto"/>
              <w:rPr>
                <w:sz w:val="25"/>
                <w:szCs w:val="25"/>
              </w:rPr>
            </w:pPr>
            <w:r>
              <w:rPr>
                <w:sz w:val="25"/>
                <w:szCs w:val="25"/>
              </w:rPr>
              <w:t>1年内连续2次造成一、二级医疗事故并负完全责任的有关医务人员</w:t>
            </w:r>
          </w:p>
        </w:tc>
        <w:tc>
          <w:tcPr>
            <w:tcW w:w="5271" w:type="dxa"/>
            <w:vAlign w:val="top"/>
          </w:tcPr>
          <w:p>
            <w:pPr>
              <w:pStyle w:val="TableText"/>
              <w:ind w:left="115"/>
              <w:spacing w:before="159" w:line="210" w:lineRule="auto"/>
              <w:rPr>
                <w:sz w:val="25"/>
                <w:szCs w:val="25"/>
              </w:rPr>
            </w:pPr>
            <w:r>
              <w:rPr>
                <w:sz w:val="25"/>
                <w:szCs w:val="25"/>
                <w:spacing w:val="2"/>
              </w:rPr>
              <w:t>吊销其执业证书</w:t>
            </w:r>
          </w:p>
        </w:tc>
      </w:tr>
    </w:tbl>
    <w:p>
      <w:pPr>
        <w:pStyle w:val="BodyText"/>
        <w:spacing w:line="447" w:lineRule="auto"/>
        <w:rPr/>
      </w:pPr>
      <w:r/>
    </w:p>
    <w:p>
      <w:pPr>
        <w:ind w:left="129" w:right="105" w:firstLine="649"/>
        <w:spacing w:before="98" w:line="276" w:lineRule="auto"/>
        <w:rPr>
          <w:rFonts w:ascii="FangSong" w:hAnsi="FangSong" w:eastAsia="FangSong" w:cs="FangSong"/>
          <w:sz w:val="30"/>
          <w:szCs w:val="30"/>
        </w:rPr>
      </w:pPr>
      <w:r>
        <w:rPr>
          <w:rFonts w:ascii="FangSong" w:hAnsi="FangSong" w:eastAsia="FangSong" w:cs="FangSong"/>
          <w:sz w:val="30"/>
          <w:szCs w:val="30"/>
          <w:b/>
          <w:bCs/>
          <w:spacing w:val="21"/>
        </w:rPr>
        <w:t>第二百五十八条违反《医疗事故处理条例》的规定，承担尸检任务的机构没有</w:t>
      </w:r>
      <w:r>
        <w:rPr>
          <w:rFonts w:ascii="FangSong" w:hAnsi="FangSong" w:eastAsia="FangSong" w:cs="FangSong"/>
          <w:sz w:val="30"/>
          <w:szCs w:val="30"/>
          <w:b/>
          <w:bCs/>
          <w:spacing w:val="20"/>
        </w:rPr>
        <w:t>正当理由，拒绝</w:t>
      </w:r>
      <w:r>
        <w:rPr>
          <w:rFonts w:ascii="FangSong" w:hAnsi="FangSong" w:eastAsia="FangSong" w:cs="FangSong"/>
          <w:sz w:val="30"/>
          <w:szCs w:val="30"/>
        </w:rPr>
        <w:t xml:space="preserve"> </w:t>
      </w:r>
      <w:r>
        <w:rPr>
          <w:rFonts w:ascii="FangSong" w:hAnsi="FangSong" w:eastAsia="FangSong" w:cs="FangSong"/>
          <w:sz w:val="30"/>
          <w:szCs w:val="30"/>
          <w:b/>
          <w:bCs/>
          <w:spacing w:val="13"/>
        </w:rPr>
        <w:t>进行尸检的</w:t>
      </w:r>
    </w:p>
    <w:p>
      <w:pPr>
        <w:ind w:left="785"/>
        <w:spacing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124" w:right="35" w:firstLine="630"/>
        <w:spacing w:before="78" w:line="270" w:lineRule="auto"/>
        <w:jc w:val="both"/>
        <w:rPr>
          <w:rFonts w:ascii="FangSong" w:hAnsi="FangSong" w:eastAsia="FangSong" w:cs="FangSong"/>
          <w:sz w:val="30"/>
          <w:szCs w:val="30"/>
        </w:rPr>
      </w:pPr>
      <w:r>
        <w:rPr>
          <w:rFonts w:ascii="FangSong" w:hAnsi="FangSong" w:eastAsia="FangSong" w:cs="FangSong"/>
          <w:sz w:val="30"/>
          <w:szCs w:val="30"/>
          <w:spacing w:val="25"/>
        </w:rPr>
        <w:t>《医疗事故处理条例》第五十八条第(一)项</w:t>
      </w:r>
      <w:r>
        <w:rPr>
          <w:rFonts w:ascii="FangSong" w:hAnsi="FangSong" w:eastAsia="FangSong" w:cs="FangSong"/>
          <w:sz w:val="30"/>
          <w:szCs w:val="30"/>
          <w:spacing w:val="25"/>
        </w:rPr>
        <w:t xml:space="preserve">  </w:t>
      </w:r>
      <w:r>
        <w:rPr>
          <w:rFonts w:ascii="FangSong" w:hAnsi="FangSong" w:eastAsia="FangSong" w:cs="FangSong"/>
          <w:sz w:val="30"/>
          <w:szCs w:val="30"/>
          <w:spacing w:val="25"/>
        </w:rPr>
        <w:t>医疗机构或者其他有关机构违反本条例的规定，</w:t>
      </w:r>
      <w:r>
        <w:rPr>
          <w:rFonts w:ascii="FangSong" w:hAnsi="FangSong" w:eastAsia="FangSong" w:cs="FangSong"/>
          <w:sz w:val="30"/>
          <w:szCs w:val="30"/>
          <w:spacing w:val="3"/>
        </w:rPr>
        <w:t xml:space="preserve"> </w:t>
      </w:r>
      <w:r>
        <w:rPr>
          <w:rFonts w:ascii="FangSong" w:hAnsi="FangSong" w:eastAsia="FangSong" w:cs="FangSong"/>
          <w:sz w:val="30"/>
          <w:szCs w:val="30"/>
          <w:spacing w:val="17"/>
        </w:rPr>
        <w:t>有下列情形之一的，由卫生行政部门责令改正，给予警告；对负有责任的主</w:t>
      </w:r>
      <w:r>
        <w:rPr>
          <w:rFonts w:ascii="FangSong" w:hAnsi="FangSong" w:eastAsia="FangSong" w:cs="FangSong"/>
          <w:sz w:val="30"/>
          <w:szCs w:val="30"/>
          <w:spacing w:val="16"/>
        </w:rPr>
        <w:t>管人员和其他直接责任人</w:t>
      </w:r>
      <w:r>
        <w:rPr>
          <w:rFonts w:ascii="FangSong" w:hAnsi="FangSong" w:eastAsia="FangSong" w:cs="FangSong"/>
          <w:sz w:val="30"/>
          <w:szCs w:val="30"/>
        </w:rPr>
        <w:t xml:space="preserve"> </w:t>
      </w:r>
      <w:r>
        <w:rPr>
          <w:rFonts w:ascii="FangSong" w:hAnsi="FangSong" w:eastAsia="FangSong" w:cs="FangSong"/>
          <w:sz w:val="30"/>
          <w:szCs w:val="30"/>
          <w:spacing w:val="17"/>
        </w:rPr>
        <w:t>员依法给予行政处分和纪律处分；情节严重的，由原发证部门吊销其执业证书或者资格证书：</w:t>
      </w:r>
    </w:p>
    <w:p>
      <w:pPr>
        <w:ind w:left="905"/>
        <w:spacing w:line="220" w:lineRule="auto"/>
        <w:rPr>
          <w:rFonts w:ascii="FangSong" w:hAnsi="FangSong" w:eastAsia="FangSong" w:cs="FangSong"/>
          <w:sz w:val="30"/>
          <w:szCs w:val="30"/>
        </w:rPr>
      </w:pPr>
      <w:r>
        <w:rPr>
          <w:rFonts w:ascii="FangSong" w:hAnsi="FangSong" w:eastAsia="FangSong" w:cs="FangSong"/>
          <w:sz w:val="30"/>
          <w:szCs w:val="30"/>
          <w:spacing w:val="23"/>
        </w:rPr>
        <w:t>(一)承担尸检任务的机构没有正当理由，拒绝进行尸</w:t>
      </w:r>
      <w:r>
        <w:rPr>
          <w:rFonts w:ascii="FangSong" w:hAnsi="FangSong" w:eastAsia="FangSong" w:cs="FangSong"/>
          <w:sz w:val="30"/>
          <w:szCs w:val="30"/>
          <w:spacing w:val="22"/>
        </w:rPr>
        <w:t>检的；</w:t>
      </w:r>
    </w:p>
    <w:p>
      <w:pPr>
        <w:ind w:left="6539"/>
        <w:spacing w:before="61"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317"/>
          <w:pgSz w:w="16830" w:h="11900"/>
          <w:pgMar w:top="1011" w:right="1344" w:bottom="1130" w:left="1314" w:header="0" w:footer="806" w:gutter="0"/>
        </w:sectPr>
        <w:rPr>
          <w:rFonts w:ascii="SimHei" w:hAnsi="SimHei" w:eastAsia="SimHei" w:cs="SimHei"/>
          <w:sz w:val="30"/>
          <w:szCs w:val="30"/>
        </w:rPr>
      </w:pPr>
    </w:p>
    <w:p>
      <w:pPr>
        <w:spacing w:before="17"/>
        <w:rPr/>
      </w:pPr>
      <w:r/>
    </w:p>
    <w:p>
      <w:pPr>
        <w:spacing w:before="16"/>
        <w:rPr/>
      </w:pPr>
      <w:r/>
    </w:p>
    <w:p>
      <w:pPr>
        <w:spacing w:before="16"/>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295"/>
        <w:gridCol w:w="5431"/>
      </w:tblGrid>
      <w:tr>
        <w:trPr>
          <w:trHeight w:val="453" w:hRule="atLeast"/>
        </w:trPr>
        <w:tc>
          <w:tcPr>
            <w:tcW w:w="1444" w:type="dxa"/>
            <w:vAlign w:val="top"/>
          </w:tcPr>
          <w:p>
            <w:pPr>
              <w:pStyle w:val="TableText"/>
              <w:ind w:left="218"/>
              <w:spacing w:before="102" w:line="220" w:lineRule="auto"/>
              <w:rPr>
                <w:sz w:val="25"/>
                <w:szCs w:val="25"/>
              </w:rPr>
            </w:pPr>
            <w:bookmarkStart w:name="bookmark968" w:id="337"/>
            <w:bookmarkEnd w:id="337"/>
            <w:r>
              <w:rPr>
                <w:sz w:val="25"/>
                <w:szCs w:val="25"/>
                <w:b/>
                <w:bCs/>
                <w:spacing w:val="-5"/>
              </w:rPr>
              <w:t>违法程度</w:t>
            </w:r>
          </w:p>
        </w:tc>
        <w:tc>
          <w:tcPr>
            <w:tcW w:w="7295" w:type="dxa"/>
            <w:vAlign w:val="top"/>
          </w:tcPr>
          <w:p>
            <w:pPr>
              <w:pStyle w:val="TableText"/>
              <w:ind w:left="3144"/>
              <w:spacing w:before="102" w:line="220" w:lineRule="auto"/>
              <w:rPr>
                <w:sz w:val="25"/>
                <w:szCs w:val="25"/>
              </w:rPr>
            </w:pPr>
            <w:r>
              <w:rPr>
                <w:sz w:val="25"/>
                <w:szCs w:val="25"/>
                <w:b/>
                <w:bCs/>
                <w:spacing w:val="-5"/>
              </w:rPr>
              <w:t>违法后果</w:t>
            </w:r>
          </w:p>
        </w:tc>
        <w:tc>
          <w:tcPr>
            <w:tcW w:w="5431" w:type="dxa"/>
            <w:vAlign w:val="top"/>
          </w:tcPr>
          <w:p>
            <w:pPr>
              <w:pStyle w:val="TableText"/>
              <w:ind w:left="2159"/>
              <w:spacing w:before="99" w:line="218" w:lineRule="auto"/>
              <w:rPr>
                <w:sz w:val="25"/>
                <w:szCs w:val="25"/>
              </w:rPr>
            </w:pPr>
            <w:r>
              <w:rPr>
                <w:sz w:val="25"/>
                <w:szCs w:val="25"/>
                <w:b/>
                <w:bCs/>
                <w:spacing w:val="-5"/>
              </w:rPr>
              <w:t>裁量幅度</w:t>
            </w:r>
          </w:p>
        </w:tc>
      </w:tr>
      <w:tr>
        <w:trPr>
          <w:trHeight w:val="876" w:hRule="atLeast"/>
        </w:trPr>
        <w:tc>
          <w:tcPr>
            <w:tcW w:w="1444" w:type="dxa"/>
            <w:vAlign w:val="top"/>
          </w:tcPr>
          <w:p>
            <w:pPr>
              <w:pStyle w:val="TableText"/>
              <w:ind w:left="468"/>
              <w:spacing w:before="320" w:line="221" w:lineRule="auto"/>
              <w:rPr>
                <w:sz w:val="25"/>
                <w:szCs w:val="25"/>
              </w:rPr>
            </w:pPr>
            <w:r>
              <w:rPr>
                <w:sz w:val="25"/>
                <w:szCs w:val="25"/>
                <w:b/>
                <w:bCs/>
                <w:spacing w:val="-10"/>
              </w:rPr>
              <w:t>一般</w:t>
            </w:r>
          </w:p>
        </w:tc>
        <w:tc>
          <w:tcPr>
            <w:tcW w:w="7295" w:type="dxa"/>
            <w:vAlign w:val="top"/>
          </w:tcPr>
          <w:p>
            <w:pPr>
              <w:pStyle w:val="TableText"/>
              <w:ind w:left="120" w:hanging="109"/>
              <w:spacing w:before="132" w:line="271" w:lineRule="auto"/>
              <w:rPr>
                <w:sz w:val="25"/>
                <w:szCs w:val="25"/>
              </w:rPr>
            </w:pPr>
            <w:r>
              <w:rPr>
                <w:sz w:val="25"/>
                <w:szCs w:val="25"/>
                <w:spacing w:val="-8"/>
              </w:rPr>
              <w:t>违反《医疗事故处理条例》的规定，承担尸检任务的机构没有正当理</w:t>
            </w:r>
            <w:r>
              <w:rPr>
                <w:sz w:val="25"/>
                <w:szCs w:val="25"/>
                <w:spacing w:val="12"/>
              </w:rPr>
              <w:t xml:space="preserve"> </w:t>
            </w:r>
            <w:r>
              <w:rPr>
                <w:sz w:val="25"/>
                <w:szCs w:val="25"/>
                <w:spacing w:val="2"/>
              </w:rPr>
              <w:t>由，拒绝进行尸检的</w:t>
            </w:r>
          </w:p>
        </w:tc>
        <w:tc>
          <w:tcPr>
            <w:tcW w:w="5431" w:type="dxa"/>
            <w:vAlign w:val="top"/>
          </w:tcPr>
          <w:p>
            <w:pPr>
              <w:pStyle w:val="TableText"/>
              <w:ind w:left="145"/>
              <w:spacing w:before="320" w:line="218" w:lineRule="auto"/>
              <w:rPr>
                <w:sz w:val="25"/>
                <w:szCs w:val="25"/>
              </w:rPr>
            </w:pPr>
            <w:r>
              <w:rPr>
                <w:sz w:val="25"/>
                <w:szCs w:val="25"/>
                <w:spacing w:val="4"/>
              </w:rPr>
              <w:t>给予警告</w:t>
            </w:r>
          </w:p>
        </w:tc>
      </w:tr>
      <w:tr>
        <w:trPr>
          <w:trHeight w:val="881" w:hRule="atLeast"/>
        </w:trPr>
        <w:tc>
          <w:tcPr>
            <w:tcW w:w="1444" w:type="dxa"/>
            <w:vAlign w:val="top"/>
          </w:tcPr>
          <w:p>
            <w:pPr>
              <w:spacing w:line="290" w:lineRule="auto"/>
              <w:rPr>
                <w:rFonts w:ascii="Arial"/>
                <w:sz w:val="21"/>
              </w:rPr>
            </w:pPr>
            <w:r/>
          </w:p>
          <w:p>
            <w:pPr>
              <w:pStyle w:val="TableText"/>
              <w:ind w:left="468"/>
              <w:spacing w:before="81" w:line="220" w:lineRule="auto"/>
              <w:rPr>
                <w:sz w:val="25"/>
                <w:szCs w:val="25"/>
              </w:rPr>
            </w:pPr>
            <w:r>
              <w:rPr>
                <w:sz w:val="25"/>
                <w:szCs w:val="25"/>
                <w:b/>
                <w:bCs/>
                <w:spacing w:val="-6"/>
              </w:rPr>
              <w:t>严重</w:t>
            </w:r>
          </w:p>
        </w:tc>
        <w:tc>
          <w:tcPr>
            <w:tcW w:w="7295" w:type="dxa"/>
            <w:vAlign w:val="top"/>
          </w:tcPr>
          <w:p>
            <w:pPr>
              <w:pStyle w:val="TableText"/>
              <w:ind w:left="110" w:hanging="99"/>
              <w:spacing w:before="145" w:line="268" w:lineRule="auto"/>
              <w:rPr>
                <w:sz w:val="25"/>
                <w:szCs w:val="25"/>
              </w:rPr>
            </w:pPr>
            <w:r>
              <w:rPr>
                <w:sz w:val="25"/>
                <w:szCs w:val="25"/>
                <w:spacing w:val="-8"/>
              </w:rPr>
              <w:t>违反《医疗事故处理条例》的规定，承担尸检任务的机构没有正当理</w:t>
            </w:r>
            <w:r>
              <w:rPr>
                <w:sz w:val="25"/>
                <w:szCs w:val="25"/>
                <w:spacing w:val="12"/>
              </w:rPr>
              <w:t xml:space="preserve"> </w:t>
            </w:r>
            <w:r>
              <w:rPr>
                <w:sz w:val="25"/>
                <w:szCs w:val="25"/>
                <w:spacing w:val="1"/>
              </w:rPr>
              <w:t>由，拒绝进行尸检造成严重后果的</w:t>
            </w:r>
          </w:p>
        </w:tc>
        <w:tc>
          <w:tcPr>
            <w:tcW w:w="5431" w:type="dxa"/>
            <w:vAlign w:val="top"/>
          </w:tcPr>
          <w:p>
            <w:pPr>
              <w:spacing w:line="241" w:lineRule="auto"/>
              <w:rPr>
                <w:rFonts w:ascii="Arial"/>
                <w:sz w:val="21"/>
              </w:rPr>
            </w:pPr>
            <w:r/>
          </w:p>
          <w:p>
            <w:pPr>
              <w:pStyle w:val="TableText"/>
              <w:ind w:left="145"/>
              <w:spacing w:before="82" w:line="219" w:lineRule="auto"/>
              <w:rPr>
                <w:sz w:val="25"/>
                <w:szCs w:val="25"/>
              </w:rPr>
            </w:pPr>
            <w:r>
              <w:rPr>
                <w:sz w:val="25"/>
                <w:szCs w:val="25"/>
              </w:rPr>
              <w:t>由原发证部门吊销其执业证书或者资格证书</w:t>
            </w:r>
          </w:p>
        </w:tc>
      </w:tr>
    </w:tbl>
    <w:p>
      <w:pPr>
        <w:pStyle w:val="BodyText"/>
        <w:spacing w:line="451" w:lineRule="auto"/>
        <w:rPr/>
      </w:pPr>
      <w:r/>
    </w:p>
    <w:p>
      <w:pPr>
        <w:ind w:left="139" w:right="139" w:firstLine="659"/>
        <w:spacing w:before="98" w:line="277" w:lineRule="auto"/>
        <w:rPr>
          <w:rFonts w:ascii="KaiTi" w:hAnsi="KaiTi" w:eastAsia="KaiTi" w:cs="KaiTi"/>
          <w:sz w:val="30"/>
          <w:szCs w:val="30"/>
        </w:rPr>
      </w:pPr>
      <w:r>
        <w:rPr>
          <w:rFonts w:ascii="KaiTi" w:hAnsi="KaiTi" w:eastAsia="KaiTi" w:cs="KaiTi"/>
          <w:sz w:val="30"/>
          <w:szCs w:val="30"/>
          <w:b/>
          <w:bCs/>
          <w:spacing w:val="20"/>
        </w:rPr>
        <w:t>第二百五十九条医疗机构或者其他有关机构违反《医疗事故处理条例》</w:t>
      </w:r>
      <w:r>
        <w:rPr>
          <w:rFonts w:ascii="KaiTi" w:hAnsi="KaiTi" w:eastAsia="KaiTi" w:cs="KaiTi"/>
          <w:sz w:val="30"/>
          <w:szCs w:val="30"/>
          <w:b/>
          <w:bCs/>
          <w:spacing w:val="19"/>
        </w:rPr>
        <w:t>的规定，涂改、伪造、</w:t>
      </w:r>
      <w:r>
        <w:rPr>
          <w:rFonts w:ascii="KaiTi" w:hAnsi="KaiTi" w:eastAsia="KaiTi" w:cs="KaiTi"/>
          <w:sz w:val="30"/>
          <w:szCs w:val="30"/>
        </w:rPr>
        <w:t xml:space="preserve"> </w:t>
      </w:r>
      <w:r>
        <w:rPr>
          <w:rFonts w:ascii="KaiTi" w:hAnsi="KaiTi" w:eastAsia="KaiTi" w:cs="KaiTi"/>
          <w:sz w:val="30"/>
          <w:szCs w:val="30"/>
          <w:b/>
          <w:bCs/>
          <w:spacing w:val="10"/>
        </w:rPr>
        <w:t>隐匿、销毁病历资料的</w:t>
      </w:r>
    </w:p>
    <w:p>
      <w:pPr>
        <w:ind w:left="785"/>
        <w:spacing w:before="11"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135" w:right="35" w:firstLine="629"/>
        <w:spacing w:before="95" w:line="270" w:lineRule="auto"/>
        <w:jc w:val="both"/>
        <w:rPr>
          <w:rFonts w:ascii="FangSong" w:hAnsi="FangSong" w:eastAsia="FangSong" w:cs="FangSong"/>
          <w:sz w:val="30"/>
          <w:szCs w:val="30"/>
        </w:rPr>
      </w:pPr>
      <w:r>
        <w:rPr>
          <w:rFonts w:ascii="FangSong" w:hAnsi="FangSong" w:eastAsia="FangSong" w:cs="FangSong"/>
          <w:sz w:val="30"/>
          <w:szCs w:val="30"/>
          <w:spacing w:val="25"/>
        </w:rPr>
        <w:t>《医疗事故处理条例》第五十八条第(二)项</w:t>
      </w:r>
      <w:r>
        <w:rPr>
          <w:rFonts w:ascii="FangSong" w:hAnsi="FangSong" w:eastAsia="FangSong" w:cs="FangSong"/>
          <w:sz w:val="30"/>
          <w:szCs w:val="30"/>
          <w:spacing w:val="25"/>
        </w:rPr>
        <w:t xml:space="preserve">  </w:t>
      </w:r>
      <w:r>
        <w:rPr>
          <w:rFonts w:ascii="FangSong" w:hAnsi="FangSong" w:eastAsia="FangSong" w:cs="FangSong"/>
          <w:sz w:val="30"/>
          <w:szCs w:val="30"/>
          <w:spacing w:val="25"/>
        </w:rPr>
        <w:t>医疗机构或者其他有关机构违反本条例的规定，</w:t>
      </w:r>
      <w:r>
        <w:rPr>
          <w:rFonts w:ascii="FangSong" w:hAnsi="FangSong" w:eastAsia="FangSong" w:cs="FangSong"/>
          <w:sz w:val="30"/>
          <w:szCs w:val="30"/>
          <w:spacing w:val="3"/>
        </w:rPr>
        <w:t xml:space="preserve"> </w:t>
      </w:r>
      <w:r>
        <w:rPr>
          <w:rFonts w:ascii="FangSong" w:hAnsi="FangSong" w:eastAsia="FangSong" w:cs="FangSong"/>
          <w:sz w:val="30"/>
          <w:szCs w:val="30"/>
          <w:spacing w:val="17"/>
        </w:rPr>
        <w:t>有下列情形之一的，由卫生行政部门责令改正，给予警告；对负有责任的主管人员和其他直接责任人</w:t>
      </w:r>
      <w:r>
        <w:rPr>
          <w:rFonts w:ascii="FangSong" w:hAnsi="FangSong" w:eastAsia="FangSong" w:cs="FangSong"/>
          <w:sz w:val="30"/>
          <w:szCs w:val="30"/>
        </w:rPr>
        <w:t xml:space="preserve"> </w:t>
      </w:r>
      <w:r>
        <w:rPr>
          <w:rFonts w:ascii="FangSong" w:hAnsi="FangSong" w:eastAsia="FangSong" w:cs="FangSong"/>
          <w:sz w:val="30"/>
          <w:szCs w:val="30"/>
          <w:spacing w:val="17"/>
        </w:rPr>
        <w:t>员依法给予行政处分和纪律处分；情节严重的，由原发证部门吊销其执业证书或者资格证书：</w:t>
      </w:r>
    </w:p>
    <w:p>
      <w:pPr>
        <w:ind w:left="905"/>
        <w:spacing w:line="220" w:lineRule="auto"/>
        <w:rPr>
          <w:rFonts w:ascii="FangSong" w:hAnsi="FangSong" w:eastAsia="FangSong" w:cs="FangSong"/>
          <w:sz w:val="30"/>
          <w:szCs w:val="30"/>
        </w:rPr>
      </w:pPr>
      <w:r>
        <w:rPr>
          <w:rFonts w:ascii="FangSong" w:hAnsi="FangSong" w:eastAsia="FangSong" w:cs="FangSong"/>
          <w:sz w:val="30"/>
          <w:szCs w:val="30"/>
          <w:spacing w:val="24"/>
        </w:rPr>
        <w:t>(二)涂改、伪造、隐匿、销毁病历资料的。</w:t>
      </w:r>
    </w:p>
    <w:p>
      <w:pPr>
        <w:ind w:left="6539"/>
        <w:spacing w:before="5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45" w:lineRule="auto"/>
        <w:rPr>
          <w:rFonts w:ascii="Arial"/>
          <w:sz w:val="2"/>
        </w:rPr>
      </w:pPr>
      <w:r>
        <w:rPr>
          <w:rFonts w:ascii="Arial"/>
          <w:sz w:val="2"/>
        </w:rPr>
      </w:r>
    </w:p>
    <w:tbl>
      <w:tblPr>
        <w:tblStyle w:val="TableNormal"/>
        <w:tblW w:w="1415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3"/>
        <w:gridCol w:w="5606"/>
        <w:gridCol w:w="7140"/>
      </w:tblGrid>
      <w:tr>
        <w:trPr>
          <w:trHeight w:val="423" w:hRule="atLeast"/>
        </w:trPr>
        <w:tc>
          <w:tcPr>
            <w:tcW w:w="1413" w:type="dxa"/>
            <w:vAlign w:val="top"/>
          </w:tcPr>
          <w:p>
            <w:pPr>
              <w:pStyle w:val="TableText"/>
              <w:ind w:left="178"/>
              <w:spacing w:before="82" w:line="220" w:lineRule="auto"/>
              <w:rPr>
                <w:sz w:val="26"/>
                <w:szCs w:val="26"/>
              </w:rPr>
            </w:pPr>
            <w:r>
              <w:rPr>
                <w:sz w:val="26"/>
                <w:szCs w:val="26"/>
                <w:b/>
                <w:bCs/>
                <w:spacing w:val="-5"/>
              </w:rPr>
              <w:t>违法程度</w:t>
            </w:r>
          </w:p>
        </w:tc>
        <w:tc>
          <w:tcPr>
            <w:tcW w:w="5606" w:type="dxa"/>
            <w:vAlign w:val="top"/>
          </w:tcPr>
          <w:p>
            <w:pPr>
              <w:pStyle w:val="TableText"/>
              <w:ind w:left="2275"/>
              <w:spacing w:before="82" w:line="220" w:lineRule="auto"/>
              <w:rPr>
                <w:sz w:val="26"/>
                <w:szCs w:val="26"/>
              </w:rPr>
            </w:pPr>
            <w:r>
              <w:rPr>
                <w:sz w:val="26"/>
                <w:szCs w:val="26"/>
                <w:b/>
                <w:bCs/>
                <w:spacing w:val="-5"/>
              </w:rPr>
              <w:t>违法后果</w:t>
            </w:r>
          </w:p>
        </w:tc>
        <w:tc>
          <w:tcPr>
            <w:tcW w:w="7140" w:type="dxa"/>
            <w:vAlign w:val="top"/>
          </w:tcPr>
          <w:p>
            <w:pPr>
              <w:pStyle w:val="TableText"/>
              <w:ind w:left="3009"/>
              <w:spacing w:before="79" w:line="218" w:lineRule="auto"/>
              <w:rPr>
                <w:sz w:val="26"/>
                <w:szCs w:val="26"/>
              </w:rPr>
            </w:pPr>
            <w:r>
              <w:rPr>
                <w:sz w:val="26"/>
                <w:szCs w:val="26"/>
                <w:b/>
                <w:bCs/>
                <w:spacing w:val="-5"/>
              </w:rPr>
              <w:t>裁量幅度</w:t>
            </w:r>
          </w:p>
        </w:tc>
      </w:tr>
      <w:tr>
        <w:trPr>
          <w:trHeight w:val="1337" w:hRule="atLeast"/>
        </w:trPr>
        <w:tc>
          <w:tcPr>
            <w:tcW w:w="1413" w:type="dxa"/>
            <w:vAlign w:val="top"/>
          </w:tcPr>
          <w:p>
            <w:pPr>
              <w:spacing w:line="453" w:lineRule="auto"/>
              <w:rPr>
                <w:rFonts w:ascii="Arial"/>
                <w:sz w:val="21"/>
              </w:rPr>
            </w:pPr>
            <w:r/>
          </w:p>
          <w:p>
            <w:pPr>
              <w:pStyle w:val="TableText"/>
              <w:ind w:left="438"/>
              <w:spacing w:before="84" w:line="221" w:lineRule="auto"/>
              <w:rPr>
                <w:sz w:val="26"/>
                <w:szCs w:val="26"/>
              </w:rPr>
            </w:pPr>
            <w:r>
              <w:rPr>
                <w:sz w:val="26"/>
                <w:szCs w:val="26"/>
                <w:b/>
                <w:bCs/>
                <w:spacing w:val="-10"/>
              </w:rPr>
              <w:t>一般</w:t>
            </w:r>
          </w:p>
        </w:tc>
        <w:tc>
          <w:tcPr>
            <w:tcW w:w="5606" w:type="dxa"/>
            <w:vAlign w:val="top"/>
          </w:tcPr>
          <w:p>
            <w:pPr>
              <w:spacing w:line="301" w:lineRule="auto"/>
              <w:rPr>
                <w:rFonts w:ascii="Arial"/>
                <w:sz w:val="21"/>
              </w:rPr>
            </w:pPr>
            <w:r/>
          </w:p>
          <w:p>
            <w:pPr>
              <w:pStyle w:val="TableText"/>
              <w:ind w:left="145" w:hanging="130"/>
              <w:spacing w:before="85" w:line="315" w:lineRule="auto"/>
              <w:rPr>
                <w:sz w:val="26"/>
                <w:szCs w:val="26"/>
              </w:rPr>
            </w:pPr>
            <w:r>
              <w:rPr>
                <w:sz w:val="26"/>
                <w:szCs w:val="26"/>
                <w:b/>
                <w:bCs/>
                <w:spacing w:val="-9"/>
              </w:rPr>
              <w:t>医疗机构或者其他有关机构违反本条例的规</w:t>
            </w:r>
            <w:r>
              <w:rPr>
                <w:sz w:val="26"/>
                <w:szCs w:val="26"/>
                <w:b/>
                <w:bCs/>
                <w:spacing w:val="-10"/>
              </w:rPr>
              <w:t>定，涂</w:t>
            </w:r>
            <w:r>
              <w:rPr>
                <w:sz w:val="26"/>
                <w:szCs w:val="26"/>
              </w:rPr>
              <w:t xml:space="preserve"> </w:t>
            </w:r>
            <w:r>
              <w:rPr>
                <w:sz w:val="26"/>
                <w:szCs w:val="26"/>
                <w:b/>
                <w:bCs/>
                <w:spacing w:val="-3"/>
              </w:rPr>
              <w:t>改、伪造、隐匿、销毁病历资料的</w:t>
            </w:r>
          </w:p>
        </w:tc>
        <w:tc>
          <w:tcPr>
            <w:tcW w:w="7140" w:type="dxa"/>
            <w:vAlign w:val="top"/>
          </w:tcPr>
          <w:p>
            <w:pPr>
              <w:spacing w:line="449" w:lineRule="auto"/>
              <w:rPr>
                <w:rFonts w:ascii="Arial"/>
                <w:sz w:val="21"/>
              </w:rPr>
            </w:pPr>
            <w:r/>
          </w:p>
          <w:p>
            <w:pPr>
              <w:pStyle w:val="TableText"/>
              <w:ind w:left="109"/>
              <w:spacing w:before="84" w:line="218" w:lineRule="auto"/>
              <w:rPr>
                <w:sz w:val="26"/>
                <w:szCs w:val="26"/>
              </w:rPr>
            </w:pPr>
            <w:r>
              <w:rPr>
                <w:sz w:val="26"/>
                <w:szCs w:val="26"/>
                <w:b/>
                <w:bCs/>
                <w:spacing w:val="-1"/>
              </w:rPr>
              <w:t>给予警告</w:t>
            </w:r>
          </w:p>
        </w:tc>
      </w:tr>
    </w:tbl>
    <w:p>
      <w:pPr>
        <w:pStyle w:val="BodyText"/>
        <w:rPr/>
      </w:pPr>
      <w:r/>
    </w:p>
    <w:p>
      <w:pPr>
        <w:sectPr>
          <w:footerReference w:type="default" r:id="rId318"/>
          <w:pgSz w:w="16830" w:h="11900"/>
          <w:pgMar w:top="1011" w:right="1335" w:bottom="1130" w:left="1314" w:header="0" w:footer="806" w:gutter="0"/>
        </w:sectPr>
        <w:rPr/>
      </w:pPr>
    </w:p>
    <w:p>
      <w:pPr>
        <w:spacing w:before="13"/>
        <w:rPr/>
      </w:pPr>
      <w:r/>
    </w:p>
    <w:p>
      <w:pPr>
        <w:spacing w:before="13"/>
        <w:rPr/>
      </w:pPr>
      <w:r/>
    </w:p>
    <w:p>
      <w:pPr>
        <w:spacing w:before="13"/>
        <w:rPr/>
      </w:pPr>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5596"/>
        <w:gridCol w:w="7139"/>
      </w:tblGrid>
      <w:tr>
        <w:trPr>
          <w:trHeight w:val="880" w:hRule="atLeast"/>
        </w:trPr>
        <w:tc>
          <w:tcPr>
            <w:tcW w:w="1424" w:type="dxa"/>
            <w:vAlign w:val="top"/>
          </w:tcPr>
          <w:p>
            <w:pPr>
              <w:spacing w:line="242" w:lineRule="auto"/>
              <w:rPr>
                <w:rFonts w:ascii="Arial"/>
                <w:sz w:val="21"/>
              </w:rPr>
            </w:pPr>
            <w:r/>
          </w:p>
          <w:p>
            <w:pPr>
              <w:pStyle w:val="TableText"/>
              <w:ind w:left="458"/>
              <w:spacing w:before="78" w:line="220" w:lineRule="auto"/>
              <w:rPr/>
            </w:pPr>
            <w:bookmarkStart w:name="bookmark969" w:id="338"/>
            <w:bookmarkEnd w:id="338"/>
            <w:r>
              <w:rPr>
                <w:b/>
                <w:bCs/>
                <w:spacing w:val="-6"/>
              </w:rPr>
              <w:t>严重</w:t>
            </w:r>
          </w:p>
        </w:tc>
        <w:tc>
          <w:tcPr>
            <w:tcW w:w="5596" w:type="dxa"/>
            <w:vAlign w:val="top"/>
          </w:tcPr>
          <w:p>
            <w:pPr>
              <w:pStyle w:val="TableText"/>
              <w:ind w:left="130" w:right="151" w:firstLine="9"/>
              <w:spacing w:before="155" w:line="275" w:lineRule="auto"/>
              <w:rPr/>
            </w:pPr>
            <w:r>
              <w:rPr/>
              <w:t>医疗机构或者其他有关机构违反本条例的规定，涂</w:t>
            </w:r>
            <w:r>
              <w:rPr>
                <w:spacing w:val="12"/>
              </w:rPr>
              <w:t xml:space="preserve"> </w:t>
            </w:r>
            <w:r>
              <w:rPr/>
              <w:t>改、伪造、隐匿、销毁病历资料造成严重后果的</w:t>
            </w:r>
          </w:p>
        </w:tc>
        <w:tc>
          <w:tcPr>
            <w:tcW w:w="7139" w:type="dxa"/>
            <w:vAlign w:val="top"/>
          </w:tcPr>
          <w:p>
            <w:pPr>
              <w:spacing w:line="303" w:lineRule="auto"/>
              <w:rPr>
                <w:rFonts w:ascii="Arial"/>
                <w:sz w:val="21"/>
              </w:rPr>
            </w:pPr>
            <w:r/>
          </w:p>
          <w:p>
            <w:pPr>
              <w:pStyle w:val="TableText"/>
              <w:ind w:left="154"/>
              <w:spacing w:before="78" w:line="219" w:lineRule="auto"/>
              <w:rPr/>
            </w:pPr>
            <w:r>
              <w:rPr/>
              <w:t>由原发证部门吊销其执业证书或者资格证书</w:t>
            </w:r>
          </w:p>
        </w:tc>
      </w:tr>
    </w:tbl>
    <w:p>
      <w:pPr>
        <w:pStyle w:val="BodyText"/>
        <w:spacing w:line="474" w:lineRule="auto"/>
        <w:rPr/>
      </w:pPr>
      <w:r/>
    </w:p>
    <w:p>
      <w:pPr>
        <w:ind w:left="889"/>
        <w:spacing w:before="98" w:line="222" w:lineRule="auto"/>
        <w:rPr>
          <w:rFonts w:ascii="KaiTi" w:hAnsi="KaiTi" w:eastAsia="KaiTi" w:cs="KaiTi"/>
          <w:sz w:val="30"/>
          <w:szCs w:val="30"/>
        </w:rPr>
      </w:pPr>
      <w:r>
        <w:rPr>
          <w:rFonts w:ascii="KaiTi" w:hAnsi="KaiTi" w:eastAsia="KaiTi" w:cs="KaiTi"/>
          <w:sz w:val="30"/>
          <w:szCs w:val="30"/>
          <w:b/>
          <w:bCs/>
          <w:spacing w:val="26"/>
        </w:rPr>
        <w:t>(十九)《麻醉药品和精神药品管理条例》</w:t>
      </w:r>
    </w:p>
    <w:p>
      <w:pPr>
        <w:pStyle w:val="BodyText"/>
        <w:spacing w:line="241" w:lineRule="auto"/>
        <w:rPr/>
      </w:pPr>
      <w:r/>
    </w:p>
    <w:p>
      <w:pPr>
        <w:ind w:left="774" w:right="749" w:firstLine="4"/>
        <w:spacing w:before="98" w:line="246" w:lineRule="auto"/>
        <w:rPr>
          <w:rFonts w:ascii="FangSong" w:hAnsi="FangSong" w:eastAsia="FangSong" w:cs="FangSong"/>
          <w:sz w:val="30"/>
          <w:szCs w:val="30"/>
        </w:rPr>
      </w:pPr>
      <w:r>
        <w:rPr>
          <w:rFonts w:ascii="FangSong" w:hAnsi="FangSong" w:eastAsia="FangSong" w:cs="FangSong"/>
          <w:sz w:val="30"/>
          <w:szCs w:val="30"/>
          <w:b/>
          <w:bCs/>
          <w:spacing w:val="21"/>
        </w:rPr>
        <w:t>第二百六十条取得印鉴卡的医疗机构未依照规定购买、储存麻醉药品和第一类精神药</w:t>
      </w:r>
      <w:r>
        <w:rPr>
          <w:rFonts w:ascii="FangSong" w:hAnsi="FangSong" w:eastAsia="FangSong" w:cs="FangSong"/>
          <w:sz w:val="30"/>
          <w:szCs w:val="30"/>
          <w:b/>
          <w:bCs/>
          <w:spacing w:val="20"/>
        </w:rPr>
        <w:t>品的</w:t>
      </w:r>
      <w:r>
        <w:rPr>
          <w:rFonts w:ascii="FangSong" w:hAnsi="FangSong" w:eastAsia="FangSong" w:cs="FangSong"/>
          <w:sz w:val="30"/>
          <w:szCs w:val="30"/>
        </w:rPr>
        <w:t xml:space="preserve"> </w:t>
      </w:r>
      <w:r>
        <w:rPr>
          <w:rFonts w:ascii="FangSong" w:hAnsi="FangSong" w:eastAsia="FangSong" w:cs="FangSong"/>
          <w:sz w:val="30"/>
          <w:szCs w:val="30"/>
          <w:spacing w:val="-1"/>
        </w:rPr>
        <w:t>法律依据：</w:t>
      </w:r>
    </w:p>
    <w:p>
      <w:pPr>
        <w:ind w:left="114" w:right="96" w:firstLine="619"/>
        <w:spacing w:before="88" w:line="270" w:lineRule="auto"/>
        <w:jc w:val="both"/>
        <w:rPr>
          <w:rFonts w:ascii="FangSong" w:hAnsi="FangSong" w:eastAsia="FangSong" w:cs="FangSong"/>
          <w:sz w:val="30"/>
          <w:szCs w:val="30"/>
        </w:rPr>
      </w:pPr>
      <w:r>
        <w:rPr>
          <w:rFonts w:ascii="FangSong" w:hAnsi="FangSong" w:eastAsia="FangSong" w:cs="FangSong"/>
          <w:sz w:val="30"/>
          <w:szCs w:val="30"/>
          <w:spacing w:val="24"/>
        </w:rPr>
        <w:t>《麻醉药品和精神药品管理条例》第七十二条第(一)项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取得</w:t>
      </w:r>
      <w:r>
        <w:rPr>
          <w:rFonts w:ascii="FangSong" w:hAnsi="FangSong" w:eastAsia="FangSong" w:cs="FangSong"/>
          <w:sz w:val="30"/>
          <w:szCs w:val="30"/>
          <w:spacing w:val="23"/>
        </w:rPr>
        <w:t>印鉴卡的医疗机构违反本条例的</w:t>
      </w:r>
      <w:r>
        <w:rPr>
          <w:rFonts w:ascii="FangSong" w:hAnsi="FangSong" w:eastAsia="FangSong" w:cs="FangSong"/>
          <w:sz w:val="30"/>
          <w:szCs w:val="30"/>
        </w:rPr>
        <w:t xml:space="preserve"> </w:t>
      </w:r>
      <w:r>
        <w:rPr>
          <w:rFonts w:ascii="FangSong" w:hAnsi="FangSong" w:eastAsia="FangSong" w:cs="FangSong"/>
          <w:sz w:val="30"/>
          <w:szCs w:val="30"/>
          <w:spacing w:val="17"/>
        </w:rPr>
        <w:t>规定，有下列情形之一的，由设区的市级人民政府卫生主管部门责令限期改正，给予警告；逾期不改</w:t>
      </w:r>
      <w:r>
        <w:rPr>
          <w:rFonts w:ascii="FangSong" w:hAnsi="FangSong" w:eastAsia="FangSong" w:cs="FangSong"/>
          <w:sz w:val="30"/>
          <w:szCs w:val="30"/>
          <w:spacing w:val="9"/>
        </w:rPr>
        <w:t xml:space="preserve"> </w:t>
      </w:r>
      <w:r>
        <w:rPr>
          <w:rFonts w:ascii="FangSong" w:hAnsi="FangSong" w:eastAsia="FangSong" w:cs="FangSong"/>
          <w:sz w:val="30"/>
          <w:szCs w:val="30"/>
          <w:spacing w:val="26"/>
        </w:rPr>
        <w:t>正的，处5000元以上1万元以下的罚款；情节严重的，吊销其印鉴卡；对直接负责的主管人员和其</w:t>
      </w:r>
      <w:r>
        <w:rPr>
          <w:rFonts w:ascii="FangSong" w:hAnsi="FangSong" w:eastAsia="FangSong" w:cs="FangSong"/>
          <w:sz w:val="30"/>
          <w:szCs w:val="30"/>
          <w:spacing w:val="10"/>
        </w:rPr>
        <w:t xml:space="preserve"> </w:t>
      </w:r>
      <w:r>
        <w:rPr>
          <w:rFonts w:ascii="FangSong" w:hAnsi="FangSong" w:eastAsia="FangSong" w:cs="FangSong"/>
          <w:sz w:val="30"/>
          <w:szCs w:val="30"/>
          <w:spacing w:val="17"/>
        </w:rPr>
        <w:t>他直接责任人员，依法给予降级、撤职、开除的处分：</w:t>
      </w:r>
    </w:p>
    <w:p>
      <w:pPr>
        <w:ind w:left="884"/>
        <w:spacing w:line="219" w:lineRule="auto"/>
        <w:rPr>
          <w:rFonts w:ascii="FangSong" w:hAnsi="FangSong" w:eastAsia="FangSong" w:cs="FangSong"/>
          <w:sz w:val="30"/>
          <w:szCs w:val="30"/>
        </w:rPr>
      </w:pPr>
      <w:r>
        <w:rPr>
          <w:rFonts w:ascii="FangSong" w:hAnsi="FangSong" w:eastAsia="FangSong" w:cs="FangSong"/>
          <w:sz w:val="30"/>
          <w:szCs w:val="30"/>
          <w:spacing w:val="23"/>
        </w:rPr>
        <w:t>(一)未依照规定购买、储存麻醉药品和第一类精神药品</w:t>
      </w:r>
      <w:r>
        <w:rPr>
          <w:rFonts w:ascii="FangSong" w:hAnsi="FangSong" w:eastAsia="FangSong" w:cs="FangSong"/>
          <w:sz w:val="30"/>
          <w:szCs w:val="30"/>
          <w:spacing w:val="22"/>
        </w:rPr>
        <w:t>的；</w:t>
      </w:r>
    </w:p>
    <w:p>
      <w:pPr>
        <w:ind w:left="6528"/>
        <w:spacing w:before="77"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690" w:type="dxa"/>
        <w:tblInd w:w="23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8494"/>
        <w:gridCol w:w="3762"/>
      </w:tblGrid>
      <w:tr>
        <w:trPr>
          <w:trHeight w:val="532" w:hRule="atLeast"/>
        </w:trPr>
        <w:tc>
          <w:tcPr>
            <w:tcW w:w="1434" w:type="dxa"/>
            <w:vAlign w:val="top"/>
          </w:tcPr>
          <w:p>
            <w:pPr>
              <w:pStyle w:val="TableText"/>
              <w:ind w:left="208"/>
              <w:spacing w:before="142" w:line="220" w:lineRule="auto"/>
              <w:rPr>
                <w:sz w:val="25"/>
                <w:szCs w:val="25"/>
              </w:rPr>
            </w:pPr>
            <w:r>
              <w:rPr>
                <w:sz w:val="25"/>
                <w:szCs w:val="25"/>
                <w:b/>
                <w:bCs/>
                <w:spacing w:val="-5"/>
              </w:rPr>
              <w:t>违法程度</w:t>
            </w:r>
          </w:p>
        </w:tc>
        <w:tc>
          <w:tcPr>
            <w:tcW w:w="8494" w:type="dxa"/>
            <w:vAlign w:val="top"/>
          </w:tcPr>
          <w:p>
            <w:pPr>
              <w:pStyle w:val="TableText"/>
              <w:ind w:left="3674"/>
              <w:spacing w:before="142" w:line="220" w:lineRule="auto"/>
              <w:rPr>
                <w:sz w:val="25"/>
                <w:szCs w:val="25"/>
              </w:rPr>
            </w:pPr>
            <w:r>
              <w:rPr>
                <w:sz w:val="25"/>
                <w:szCs w:val="25"/>
                <w:b/>
                <w:bCs/>
                <w:spacing w:val="-5"/>
              </w:rPr>
              <w:t>违法后果</w:t>
            </w:r>
          </w:p>
        </w:tc>
        <w:tc>
          <w:tcPr>
            <w:tcW w:w="3762" w:type="dxa"/>
            <w:vAlign w:val="top"/>
          </w:tcPr>
          <w:p>
            <w:pPr>
              <w:pStyle w:val="TableText"/>
              <w:ind w:left="1380"/>
              <w:spacing w:before="139" w:line="218" w:lineRule="auto"/>
              <w:rPr>
                <w:sz w:val="25"/>
                <w:szCs w:val="25"/>
              </w:rPr>
            </w:pPr>
            <w:r>
              <w:rPr>
                <w:sz w:val="25"/>
                <w:szCs w:val="25"/>
                <w:b/>
                <w:bCs/>
                <w:spacing w:val="-5"/>
              </w:rPr>
              <w:t>裁量幅度</w:t>
            </w:r>
          </w:p>
        </w:tc>
      </w:tr>
      <w:tr>
        <w:trPr>
          <w:trHeight w:val="706" w:hRule="atLeast"/>
        </w:trPr>
        <w:tc>
          <w:tcPr>
            <w:tcW w:w="1434" w:type="dxa"/>
            <w:vAlign w:val="top"/>
          </w:tcPr>
          <w:p>
            <w:pPr>
              <w:pStyle w:val="TableText"/>
              <w:ind w:left="458"/>
              <w:spacing w:before="229" w:line="219" w:lineRule="auto"/>
              <w:rPr>
                <w:sz w:val="25"/>
                <w:szCs w:val="25"/>
              </w:rPr>
            </w:pPr>
            <w:r>
              <w:rPr>
                <w:sz w:val="25"/>
                <w:szCs w:val="25"/>
                <w:b/>
                <w:bCs/>
                <w:spacing w:val="-6"/>
              </w:rPr>
              <w:t>轻微</w:t>
            </w:r>
          </w:p>
        </w:tc>
        <w:tc>
          <w:tcPr>
            <w:tcW w:w="8494" w:type="dxa"/>
            <w:vAlign w:val="top"/>
          </w:tcPr>
          <w:p>
            <w:pPr>
              <w:pStyle w:val="TableText"/>
              <w:ind w:left="120"/>
              <w:spacing w:before="231" w:line="219" w:lineRule="auto"/>
              <w:rPr>
                <w:sz w:val="25"/>
                <w:szCs w:val="25"/>
              </w:rPr>
            </w:pPr>
            <w:r>
              <w:rPr>
                <w:sz w:val="25"/>
                <w:szCs w:val="25"/>
              </w:rPr>
              <w:t>取得印鉴卡的医疗机构未依照规定购买、储存麻醉药品和第一类精神药品的</w:t>
            </w:r>
          </w:p>
        </w:tc>
        <w:tc>
          <w:tcPr>
            <w:tcW w:w="3762" w:type="dxa"/>
            <w:vAlign w:val="top"/>
          </w:tcPr>
          <w:p>
            <w:pPr>
              <w:pStyle w:val="TableText"/>
              <w:ind w:left="126"/>
              <w:spacing w:before="231" w:line="218" w:lineRule="auto"/>
              <w:rPr>
                <w:sz w:val="25"/>
                <w:szCs w:val="25"/>
              </w:rPr>
            </w:pPr>
            <w:r>
              <w:rPr>
                <w:sz w:val="25"/>
                <w:szCs w:val="25"/>
                <w:spacing w:val="4"/>
              </w:rPr>
              <w:t>给予警告</w:t>
            </w:r>
          </w:p>
        </w:tc>
      </w:tr>
      <w:tr>
        <w:trPr>
          <w:trHeight w:val="851" w:hRule="atLeast"/>
        </w:trPr>
        <w:tc>
          <w:tcPr>
            <w:tcW w:w="1434" w:type="dxa"/>
            <w:vAlign w:val="top"/>
          </w:tcPr>
          <w:p>
            <w:pPr>
              <w:spacing w:line="282" w:lineRule="auto"/>
              <w:rPr>
                <w:rFonts w:ascii="Arial"/>
                <w:sz w:val="21"/>
              </w:rPr>
            </w:pPr>
            <w:r/>
          </w:p>
          <w:p>
            <w:pPr>
              <w:pStyle w:val="TableText"/>
              <w:ind w:left="458"/>
              <w:spacing w:before="81" w:line="221" w:lineRule="auto"/>
              <w:rPr>
                <w:sz w:val="25"/>
                <w:szCs w:val="25"/>
              </w:rPr>
            </w:pPr>
            <w:r>
              <w:rPr>
                <w:sz w:val="25"/>
                <w:szCs w:val="25"/>
                <w:b/>
                <w:bCs/>
                <w:spacing w:val="-10"/>
              </w:rPr>
              <w:t>一般</w:t>
            </w:r>
          </w:p>
        </w:tc>
        <w:tc>
          <w:tcPr>
            <w:tcW w:w="8494" w:type="dxa"/>
            <w:vAlign w:val="top"/>
          </w:tcPr>
          <w:p>
            <w:pPr>
              <w:pStyle w:val="TableText"/>
              <w:ind w:left="120" w:hanging="20"/>
              <w:spacing w:before="155" w:line="253" w:lineRule="auto"/>
              <w:rPr>
                <w:sz w:val="25"/>
                <w:szCs w:val="25"/>
              </w:rPr>
            </w:pPr>
            <w:r>
              <w:rPr>
                <w:sz w:val="25"/>
                <w:szCs w:val="25"/>
                <w:spacing w:val="-11"/>
              </w:rPr>
              <w:t>取得印鉴卡的医疗机构未依照规定购买、储存麻醉药品和第一类精神药品的，经</w:t>
            </w:r>
            <w:r>
              <w:rPr>
                <w:sz w:val="25"/>
                <w:szCs w:val="25"/>
                <w:spacing w:val="17"/>
              </w:rPr>
              <w:t xml:space="preserve"> </w:t>
            </w:r>
            <w:r>
              <w:rPr>
                <w:sz w:val="25"/>
                <w:szCs w:val="25"/>
                <w:spacing w:val="1"/>
              </w:rPr>
              <w:t>责令限期改正，逾期不改正的</w:t>
            </w:r>
          </w:p>
        </w:tc>
        <w:tc>
          <w:tcPr>
            <w:tcW w:w="3762" w:type="dxa"/>
            <w:vAlign w:val="top"/>
          </w:tcPr>
          <w:p>
            <w:pPr>
              <w:spacing w:line="285" w:lineRule="auto"/>
              <w:rPr>
                <w:rFonts w:ascii="Arial"/>
                <w:sz w:val="21"/>
              </w:rPr>
            </w:pPr>
            <w:r/>
          </w:p>
          <w:p>
            <w:pPr>
              <w:pStyle w:val="TableText"/>
              <w:ind w:left="187"/>
              <w:spacing w:before="81" w:line="220" w:lineRule="auto"/>
              <w:rPr>
                <w:sz w:val="25"/>
                <w:szCs w:val="25"/>
              </w:rPr>
            </w:pPr>
            <w:r>
              <w:rPr>
                <w:sz w:val="25"/>
                <w:szCs w:val="25"/>
              </w:rPr>
              <w:t>处5000元以上1万元以下的罚款</w:t>
            </w:r>
          </w:p>
        </w:tc>
      </w:tr>
    </w:tbl>
    <w:p>
      <w:pPr>
        <w:pStyle w:val="BodyText"/>
        <w:rPr/>
      </w:pPr>
      <w:r/>
    </w:p>
    <w:p>
      <w:pPr>
        <w:sectPr>
          <w:footerReference w:type="default" r:id="rId319"/>
          <w:pgSz w:w="16830" w:h="11900"/>
          <w:pgMar w:top="1011" w:right="1335" w:bottom="1117" w:left="1325" w:header="0" w:footer="784" w:gutter="0"/>
        </w:sectPr>
        <w:rPr/>
      </w:pPr>
    </w:p>
    <w:p>
      <w:pPr>
        <w:spacing w:before="20"/>
        <w:rPr/>
      </w:pPr>
      <w:r/>
    </w:p>
    <w:p>
      <w:pPr>
        <w:spacing w:before="20"/>
        <w:rPr/>
      </w:pPr>
      <w:r/>
    </w:p>
    <w:p>
      <w:pPr>
        <w:spacing w:before="19"/>
        <w:rPr/>
      </w:pPr>
      <w:r/>
    </w:p>
    <w:tbl>
      <w:tblPr>
        <w:tblStyle w:val="TableNormal"/>
        <w:tblW w:w="13699" w:type="dxa"/>
        <w:tblInd w:w="9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64"/>
        <w:gridCol w:w="8503"/>
        <w:gridCol w:w="3732"/>
      </w:tblGrid>
      <w:tr>
        <w:trPr>
          <w:trHeight w:val="860" w:hRule="atLeast"/>
        </w:trPr>
        <w:tc>
          <w:tcPr>
            <w:tcW w:w="1464" w:type="dxa"/>
            <w:vAlign w:val="top"/>
          </w:tcPr>
          <w:p>
            <w:pPr>
              <w:spacing w:line="282" w:lineRule="auto"/>
              <w:rPr>
                <w:rFonts w:ascii="Arial"/>
                <w:sz w:val="21"/>
              </w:rPr>
            </w:pPr>
            <w:r/>
          </w:p>
          <w:p>
            <w:pPr>
              <w:pStyle w:val="TableText"/>
              <w:ind w:left="458"/>
              <w:spacing w:before="78" w:line="220" w:lineRule="auto"/>
              <w:rPr/>
            </w:pPr>
            <w:bookmarkStart w:name="bookmark970" w:id="339"/>
            <w:bookmarkEnd w:id="339"/>
            <w:r>
              <w:rPr>
                <w:b/>
                <w:bCs/>
                <w:spacing w:val="-6"/>
              </w:rPr>
              <w:t>严重</w:t>
            </w:r>
          </w:p>
        </w:tc>
        <w:tc>
          <w:tcPr>
            <w:tcW w:w="8503" w:type="dxa"/>
            <w:vAlign w:val="top"/>
          </w:tcPr>
          <w:p>
            <w:pPr>
              <w:pStyle w:val="TableText"/>
              <w:ind w:left="99" w:hanging="9"/>
              <w:spacing w:before="135" w:line="275" w:lineRule="auto"/>
              <w:rPr/>
            </w:pPr>
            <w:r>
              <w:rPr/>
              <w:t>取得印鉴卡的医疗机构未依照规定购买、储存麻醉药品和第一类精神药品的，情</w:t>
            </w:r>
            <w:r>
              <w:rPr>
                <w:spacing w:val="1"/>
              </w:rPr>
              <w:t xml:space="preserve"> </w:t>
            </w:r>
            <w:r>
              <w:rPr>
                <w:spacing w:val="1"/>
              </w:rPr>
              <w:t>节严重或造成严重后果的</w:t>
            </w:r>
          </w:p>
        </w:tc>
        <w:tc>
          <w:tcPr>
            <w:tcW w:w="3732" w:type="dxa"/>
            <w:vAlign w:val="top"/>
          </w:tcPr>
          <w:p>
            <w:pPr>
              <w:pStyle w:val="TableText"/>
              <w:ind w:left="117"/>
              <w:spacing w:before="315" w:line="219" w:lineRule="auto"/>
              <w:rPr/>
            </w:pPr>
            <w:r>
              <w:rPr/>
              <w:t>处1万元罚款，吊销其印鉴卡</w:t>
            </w:r>
          </w:p>
        </w:tc>
      </w:tr>
    </w:tbl>
    <w:p>
      <w:pPr>
        <w:pStyle w:val="BodyText"/>
        <w:spacing w:line="454" w:lineRule="auto"/>
        <w:rPr/>
      </w:pPr>
      <w:r/>
    </w:p>
    <w:p>
      <w:pPr>
        <w:ind w:left="4" w:right="32" w:firstLine="645"/>
        <w:spacing w:before="98" w:line="285" w:lineRule="auto"/>
        <w:rPr>
          <w:rFonts w:ascii="FangSong" w:hAnsi="FangSong" w:eastAsia="FangSong" w:cs="FangSong"/>
          <w:sz w:val="30"/>
          <w:szCs w:val="30"/>
        </w:rPr>
      </w:pPr>
      <w:r>
        <w:rPr>
          <w:rFonts w:ascii="FangSong" w:hAnsi="FangSong" w:eastAsia="FangSong" w:cs="FangSong"/>
          <w:sz w:val="30"/>
          <w:szCs w:val="30"/>
          <w:spacing w:val="20"/>
        </w:rPr>
        <w:t>第</w:t>
      </w:r>
      <w:r>
        <w:rPr>
          <w:rFonts w:ascii="FangSong" w:hAnsi="FangSong" w:eastAsia="FangSong" w:cs="FangSong"/>
          <w:sz w:val="30"/>
          <w:szCs w:val="30"/>
          <w:b/>
          <w:bCs/>
          <w:spacing w:val="20"/>
        </w:rPr>
        <w:t>二百六十一条取得印鉴卡的医疗机构未依照规定保存麻醉药品和精神药品专用处方，或者未</w:t>
      </w:r>
      <w:r>
        <w:rPr>
          <w:rFonts w:ascii="FangSong" w:hAnsi="FangSong" w:eastAsia="FangSong" w:cs="FangSong"/>
          <w:sz w:val="30"/>
          <w:szCs w:val="30"/>
          <w:spacing w:val="18"/>
        </w:rPr>
        <w:t xml:space="preserve"> </w:t>
      </w:r>
      <w:r>
        <w:rPr>
          <w:rFonts w:ascii="FangSong" w:hAnsi="FangSong" w:eastAsia="FangSong" w:cs="FangSong"/>
          <w:sz w:val="30"/>
          <w:szCs w:val="30"/>
          <w:b/>
          <w:bCs/>
          <w:spacing w:val="18"/>
        </w:rPr>
        <w:t>依照规定进行处方专册登记的</w:t>
      </w:r>
    </w:p>
    <w:p>
      <w:pPr>
        <w:ind w:left="639"/>
        <w:spacing w:before="3"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firstLine="619"/>
        <w:spacing w:before="85" w:line="270" w:lineRule="auto"/>
        <w:jc w:val="both"/>
        <w:rPr>
          <w:rFonts w:ascii="FangSong" w:hAnsi="FangSong" w:eastAsia="FangSong" w:cs="FangSong"/>
          <w:sz w:val="30"/>
          <w:szCs w:val="30"/>
        </w:rPr>
      </w:pPr>
      <w:r>
        <w:rPr>
          <w:rFonts w:ascii="FangSong" w:hAnsi="FangSong" w:eastAsia="FangSong" w:cs="FangSong"/>
          <w:sz w:val="30"/>
          <w:szCs w:val="30"/>
          <w:spacing w:val="24"/>
        </w:rPr>
        <w:t>《麻醉药品和精神药品管理条例》第七十二</w:t>
      </w:r>
      <w:r>
        <w:rPr>
          <w:rFonts w:ascii="FangSong" w:hAnsi="FangSong" w:eastAsia="FangSong" w:cs="FangSong"/>
          <w:sz w:val="30"/>
          <w:szCs w:val="30"/>
          <w:spacing w:val="23"/>
        </w:rPr>
        <w:t>条第(二)项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取得印鉴卡的医疗机构违反本条例的</w:t>
      </w:r>
      <w:r>
        <w:rPr>
          <w:rFonts w:ascii="FangSong" w:hAnsi="FangSong" w:eastAsia="FangSong" w:cs="FangSong"/>
          <w:sz w:val="30"/>
          <w:szCs w:val="30"/>
        </w:rPr>
        <w:t xml:space="preserve"> </w:t>
      </w:r>
      <w:r>
        <w:rPr>
          <w:rFonts w:ascii="FangSong" w:hAnsi="FangSong" w:eastAsia="FangSong" w:cs="FangSong"/>
          <w:sz w:val="30"/>
          <w:szCs w:val="30"/>
          <w:spacing w:val="17"/>
        </w:rPr>
        <w:t>规定，有下列情形之一的，由设区的市级人民政府卫生主管部门责令限期改正，给予警告；逾期不改</w:t>
      </w:r>
      <w:r>
        <w:rPr>
          <w:rFonts w:ascii="FangSong" w:hAnsi="FangSong" w:eastAsia="FangSong" w:cs="FangSong"/>
          <w:sz w:val="30"/>
          <w:szCs w:val="30"/>
        </w:rPr>
        <w:t xml:space="preserve"> </w:t>
      </w:r>
      <w:r>
        <w:rPr>
          <w:rFonts w:ascii="FangSong" w:hAnsi="FangSong" w:eastAsia="FangSong" w:cs="FangSong"/>
          <w:sz w:val="30"/>
          <w:szCs w:val="30"/>
          <w:spacing w:val="26"/>
        </w:rPr>
        <w:t>正的，处5000元以上1万元以下的罚款；情节严重的，吊销其印鉴卡；对直接负责的主管人员和其</w:t>
      </w:r>
      <w:r>
        <w:rPr>
          <w:rFonts w:ascii="FangSong" w:hAnsi="FangSong" w:eastAsia="FangSong" w:cs="FangSong"/>
          <w:sz w:val="30"/>
          <w:szCs w:val="30"/>
        </w:rPr>
        <w:t xml:space="preserve"> </w:t>
      </w:r>
      <w:r>
        <w:rPr>
          <w:rFonts w:ascii="FangSong" w:hAnsi="FangSong" w:eastAsia="FangSong" w:cs="FangSong"/>
          <w:sz w:val="30"/>
          <w:szCs w:val="30"/>
          <w:spacing w:val="16"/>
        </w:rPr>
        <w:t>他直接责任人员，依法给予降级、撤职、开除的处分：</w:t>
      </w:r>
    </w:p>
    <w:p>
      <w:pPr>
        <w:ind w:left="6402" w:right="278" w:hanging="5633"/>
        <w:spacing w:before="2" w:line="241" w:lineRule="auto"/>
        <w:rPr>
          <w:rFonts w:ascii="SimSun" w:hAnsi="SimSun" w:eastAsia="SimSun" w:cs="SimSun"/>
          <w:sz w:val="28"/>
          <w:szCs w:val="28"/>
        </w:rPr>
      </w:pPr>
      <w:r>
        <w:rPr>
          <w:rFonts w:ascii="FangSong" w:hAnsi="FangSong" w:eastAsia="FangSong" w:cs="FangSong"/>
          <w:sz w:val="30"/>
          <w:szCs w:val="30"/>
          <w:spacing w:val="22"/>
        </w:rPr>
        <w:t>(二)未依照规定保存麻醉药品和精神药品专用处方，或者未依照规定进行处方专册</w:t>
      </w:r>
      <w:r>
        <w:rPr>
          <w:rFonts w:ascii="FangSong" w:hAnsi="FangSong" w:eastAsia="FangSong" w:cs="FangSong"/>
          <w:sz w:val="30"/>
          <w:szCs w:val="30"/>
          <w:spacing w:val="21"/>
        </w:rPr>
        <w:t>登记的；</w:t>
      </w:r>
      <w:r>
        <w:rPr>
          <w:rFonts w:ascii="FangSong" w:hAnsi="FangSong" w:eastAsia="FangSong" w:cs="FangSong"/>
          <w:sz w:val="30"/>
          <w:szCs w:val="30"/>
        </w:rPr>
        <w:t xml:space="preserve"> </w:t>
      </w:r>
      <w:r>
        <w:rPr>
          <w:rFonts w:ascii="SimSun" w:hAnsi="SimSun" w:eastAsia="SimSun" w:cs="SimSun"/>
          <w:sz w:val="28"/>
          <w:szCs w:val="28"/>
          <w:b/>
          <w:bCs/>
          <w:spacing w:val="-6"/>
        </w:rPr>
        <w:t>裁量标准</w:t>
      </w:r>
    </w:p>
    <w:tbl>
      <w:tblPr>
        <w:tblStyle w:val="TableNormal"/>
        <w:tblW w:w="13770" w:type="dxa"/>
        <w:tblInd w:w="8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4"/>
        <w:gridCol w:w="8374"/>
        <w:gridCol w:w="3942"/>
      </w:tblGrid>
      <w:tr>
        <w:trPr>
          <w:trHeight w:val="652" w:hRule="atLeast"/>
        </w:trPr>
        <w:tc>
          <w:tcPr>
            <w:tcW w:w="1454" w:type="dxa"/>
            <w:vAlign w:val="top"/>
          </w:tcPr>
          <w:p>
            <w:pPr>
              <w:pStyle w:val="TableText"/>
              <w:ind w:left="218"/>
              <w:spacing w:before="202" w:line="220" w:lineRule="auto"/>
              <w:rPr>
                <w:sz w:val="25"/>
                <w:szCs w:val="25"/>
              </w:rPr>
            </w:pPr>
            <w:r>
              <w:rPr>
                <w:sz w:val="25"/>
                <w:szCs w:val="25"/>
                <w:b/>
                <w:bCs/>
                <w:spacing w:val="-5"/>
              </w:rPr>
              <w:t>违法程度</w:t>
            </w:r>
          </w:p>
        </w:tc>
        <w:tc>
          <w:tcPr>
            <w:tcW w:w="8374" w:type="dxa"/>
            <w:vAlign w:val="top"/>
          </w:tcPr>
          <w:p>
            <w:pPr>
              <w:pStyle w:val="TableText"/>
              <w:ind w:left="3684"/>
              <w:spacing w:before="202" w:line="220" w:lineRule="auto"/>
              <w:rPr>
                <w:sz w:val="25"/>
                <w:szCs w:val="25"/>
              </w:rPr>
            </w:pPr>
            <w:r>
              <w:rPr>
                <w:sz w:val="25"/>
                <w:szCs w:val="25"/>
                <w:b/>
                <w:bCs/>
                <w:spacing w:val="-5"/>
              </w:rPr>
              <w:t>违法后果</w:t>
            </w:r>
          </w:p>
        </w:tc>
        <w:tc>
          <w:tcPr>
            <w:tcW w:w="3942" w:type="dxa"/>
            <w:vAlign w:val="top"/>
          </w:tcPr>
          <w:p>
            <w:pPr>
              <w:pStyle w:val="TableText"/>
              <w:ind w:left="1470"/>
              <w:spacing w:before="199" w:line="218" w:lineRule="auto"/>
              <w:rPr>
                <w:sz w:val="25"/>
                <w:szCs w:val="25"/>
              </w:rPr>
            </w:pPr>
            <w:r>
              <w:rPr>
                <w:sz w:val="25"/>
                <w:szCs w:val="25"/>
                <w:b/>
                <w:bCs/>
                <w:spacing w:val="-5"/>
              </w:rPr>
              <w:t>裁量幅度</w:t>
            </w:r>
          </w:p>
        </w:tc>
      </w:tr>
      <w:tr>
        <w:trPr>
          <w:trHeight w:val="876" w:hRule="atLeast"/>
        </w:trPr>
        <w:tc>
          <w:tcPr>
            <w:tcW w:w="1454" w:type="dxa"/>
            <w:vAlign w:val="top"/>
          </w:tcPr>
          <w:p>
            <w:pPr>
              <w:pStyle w:val="TableText"/>
              <w:ind w:left="468"/>
              <w:spacing w:before="319" w:line="219" w:lineRule="auto"/>
              <w:rPr>
                <w:sz w:val="25"/>
                <w:szCs w:val="25"/>
              </w:rPr>
            </w:pPr>
            <w:r>
              <w:rPr>
                <w:sz w:val="25"/>
                <w:szCs w:val="25"/>
                <w:b/>
                <w:bCs/>
                <w:spacing w:val="-6"/>
              </w:rPr>
              <w:t>轻微</w:t>
            </w:r>
          </w:p>
        </w:tc>
        <w:tc>
          <w:tcPr>
            <w:tcW w:w="8374" w:type="dxa"/>
            <w:vAlign w:val="top"/>
          </w:tcPr>
          <w:p>
            <w:pPr>
              <w:pStyle w:val="TableText"/>
              <w:ind w:left="100" w:hanging="89"/>
              <w:spacing w:before="172" w:line="256" w:lineRule="auto"/>
              <w:rPr>
                <w:sz w:val="25"/>
                <w:szCs w:val="25"/>
              </w:rPr>
            </w:pPr>
            <w:r>
              <w:rPr>
                <w:sz w:val="25"/>
                <w:szCs w:val="25"/>
                <w:spacing w:val="-4"/>
              </w:rPr>
              <w:t>取得印鉴卡的医疗机构未依照规定保存麻醉药品</w:t>
            </w:r>
            <w:r>
              <w:rPr>
                <w:sz w:val="25"/>
                <w:szCs w:val="25"/>
                <w:spacing w:val="-5"/>
              </w:rPr>
              <w:t>和精神药品专用处方，或者未</w:t>
            </w:r>
            <w:r>
              <w:rPr>
                <w:sz w:val="25"/>
                <w:szCs w:val="25"/>
              </w:rPr>
              <w:t xml:space="preserve"> </w:t>
            </w:r>
            <w:r>
              <w:rPr>
                <w:sz w:val="25"/>
                <w:szCs w:val="25"/>
                <w:spacing w:val="1"/>
              </w:rPr>
              <w:t>依照规定进行处方专册登记的</w:t>
            </w:r>
          </w:p>
        </w:tc>
        <w:tc>
          <w:tcPr>
            <w:tcW w:w="3942" w:type="dxa"/>
            <w:vAlign w:val="top"/>
          </w:tcPr>
          <w:p>
            <w:pPr>
              <w:spacing w:line="288" w:lineRule="auto"/>
              <w:rPr>
                <w:rFonts w:ascii="Arial"/>
                <w:sz w:val="21"/>
              </w:rPr>
            </w:pPr>
            <w:r/>
          </w:p>
          <w:p>
            <w:pPr>
              <w:pStyle w:val="TableText"/>
              <w:ind w:left="107"/>
              <w:spacing w:before="81" w:line="218" w:lineRule="auto"/>
              <w:rPr>
                <w:sz w:val="25"/>
                <w:szCs w:val="25"/>
              </w:rPr>
            </w:pPr>
            <w:r>
              <w:rPr>
                <w:sz w:val="25"/>
                <w:szCs w:val="25"/>
                <w:spacing w:val="4"/>
              </w:rPr>
              <w:t>给予警告</w:t>
            </w:r>
          </w:p>
        </w:tc>
      </w:tr>
      <w:tr>
        <w:trPr>
          <w:trHeight w:val="871" w:hRule="atLeast"/>
        </w:trPr>
        <w:tc>
          <w:tcPr>
            <w:tcW w:w="1454" w:type="dxa"/>
            <w:vAlign w:val="top"/>
          </w:tcPr>
          <w:p>
            <w:pPr>
              <w:spacing w:line="301" w:lineRule="auto"/>
              <w:rPr>
                <w:rFonts w:ascii="Arial"/>
                <w:sz w:val="21"/>
              </w:rPr>
            </w:pPr>
            <w:r/>
          </w:p>
          <w:p>
            <w:pPr>
              <w:pStyle w:val="TableText"/>
              <w:ind w:left="468"/>
              <w:spacing w:before="82" w:line="221" w:lineRule="auto"/>
              <w:rPr>
                <w:sz w:val="25"/>
                <w:szCs w:val="25"/>
              </w:rPr>
            </w:pPr>
            <w:r>
              <w:rPr>
                <w:sz w:val="25"/>
                <w:szCs w:val="25"/>
                <w:b/>
                <w:bCs/>
                <w:spacing w:val="-10"/>
              </w:rPr>
              <w:t>一般</w:t>
            </w:r>
          </w:p>
        </w:tc>
        <w:tc>
          <w:tcPr>
            <w:tcW w:w="8374" w:type="dxa"/>
            <w:vAlign w:val="top"/>
          </w:tcPr>
          <w:p>
            <w:pPr>
              <w:pStyle w:val="TableText"/>
              <w:ind w:left="100" w:hanging="89"/>
              <w:spacing w:before="156" w:line="260" w:lineRule="auto"/>
              <w:rPr>
                <w:sz w:val="25"/>
                <w:szCs w:val="25"/>
              </w:rPr>
            </w:pPr>
            <w:r>
              <w:rPr>
                <w:sz w:val="25"/>
                <w:szCs w:val="25"/>
                <w:spacing w:val="-4"/>
              </w:rPr>
              <w:t>取得印鉴卡的医疗机构未依照规定保存麻醉药品</w:t>
            </w:r>
            <w:r>
              <w:rPr>
                <w:sz w:val="25"/>
                <w:szCs w:val="25"/>
                <w:spacing w:val="-5"/>
              </w:rPr>
              <w:t>和精神药品专用处方，或者未</w:t>
            </w:r>
            <w:r>
              <w:rPr>
                <w:sz w:val="25"/>
                <w:szCs w:val="25"/>
              </w:rPr>
              <w:t xml:space="preserve"> </w:t>
            </w:r>
            <w:r>
              <w:rPr>
                <w:sz w:val="25"/>
                <w:szCs w:val="25"/>
              </w:rPr>
              <w:t>依照规定进行处方专册登记，经责令限期改正，逾期不改正的</w:t>
            </w:r>
          </w:p>
        </w:tc>
        <w:tc>
          <w:tcPr>
            <w:tcW w:w="3942" w:type="dxa"/>
            <w:vAlign w:val="top"/>
          </w:tcPr>
          <w:p>
            <w:pPr>
              <w:spacing w:line="304" w:lineRule="auto"/>
              <w:rPr>
                <w:rFonts w:ascii="Arial"/>
                <w:sz w:val="21"/>
              </w:rPr>
            </w:pPr>
            <w:r/>
          </w:p>
          <w:p>
            <w:pPr>
              <w:pStyle w:val="TableText"/>
              <w:ind w:left="147"/>
              <w:spacing w:before="82" w:line="220" w:lineRule="auto"/>
              <w:rPr>
                <w:sz w:val="25"/>
                <w:szCs w:val="25"/>
              </w:rPr>
            </w:pPr>
            <w:r>
              <w:rPr>
                <w:sz w:val="25"/>
                <w:szCs w:val="25"/>
              </w:rPr>
              <w:t>处5000元以上10000元以下的罚款</w:t>
            </w:r>
          </w:p>
        </w:tc>
      </w:tr>
    </w:tbl>
    <w:p>
      <w:pPr>
        <w:pStyle w:val="BodyText"/>
        <w:rPr/>
      </w:pPr>
      <w:r/>
    </w:p>
    <w:p>
      <w:pPr>
        <w:sectPr>
          <w:footerReference w:type="default" r:id="rId320"/>
          <w:pgSz w:w="16830" w:h="11900"/>
          <w:pgMar w:top="1011" w:right="1431" w:bottom="1114" w:left="1450" w:header="0" w:footer="772" w:gutter="0"/>
        </w:sectPr>
        <w:rPr/>
      </w:pPr>
    </w:p>
    <w:p>
      <w:pPr>
        <w:spacing w:before="13"/>
        <w:rPr/>
      </w:pPr>
      <w:r/>
    </w:p>
    <w:p>
      <w:pPr>
        <w:spacing w:before="13"/>
        <w:rPr/>
      </w:pPr>
      <w:r/>
    </w:p>
    <w:p>
      <w:pPr>
        <w:spacing w:before="13"/>
        <w:rPr/>
      </w:pPr>
      <w:r/>
    </w:p>
    <w:tbl>
      <w:tblPr>
        <w:tblStyle w:val="TableNormal"/>
        <w:tblW w:w="13760" w:type="dxa"/>
        <w:tblInd w:w="9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8384"/>
        <w:gridCol w:w="3942"/>
      </w:tblGrid>
      <w:tr>
        <w:trPr>
          <w:trHeight w:val="880" w:hRule="atLeast"/>
        </w:trPr>
        <w:tc>
          <w:tcPr>
            <w:tcW w:w="1434" w:type="dxa"/>
            <w:vAlign w:val="top"/>
          </w:tcPr>
          <w:p>
            <w:pPr>
              <w:pStyle w:val="TableText"/>
              <w:ind w:left="438"/>
              <w:spacing w:before="322" w:line="220" w:lineRule="auto"/>
              <w:rPr>
                <w:sz w:val="25"/>
                <w:szCs w:val="25"/>
              </w:rPr>
            </w:pPr>
            <w:bookmarkStart w:name="bookmark971" w:id="340"/>
            <w:bookmarkEnd w:id="340"/>
            <w:r>
              <w:rPr>
                <w:sz w:val="25"/>
                <w:szCs w:val="25"/>
                <w:b/>
                <w:bCs/>
                <w:spacing w:val="-6"/>
              </w:rPr>
              <w:t>严重</w:t>
            </w:r>
          </w:p>
        </w:tc>
        <w:tc>
          <w:tcPr>
            <w:tcW w:w="8384" w:type="dxa"/>
            <w:vAlign w:val="top"/>
          </w:tcPr>
          <w:p>
            <w:pPr>
              <w:pStyle w:val="TableText"/>
              <w:ind w:left="100"/>
              <w:spacing w:before="154" w:line="264" w:lineRule="auto"/>
              <w:rPr>
                <w:sz w:val="25"/>
                <w:szCs w:val="25"/>
              </w:rPr>
            </w:pPr>
            <w:r>
              <w:rPr>
                <w:sz w:val="25"/>
                <w:szCs w:val="25"/>
                <w:spacing w:val="-7"/>
              </w:rPr>
              <w:t>取得印鉴卡的医疗机构未依照规定保存麻醉药品和精神药品专用处方，或者未</w:t>
            </w:r>
            <w:r>
              <w:rPr>
                <w:sz w:val="25"/>
                <w:szCs w:val="25"/>
                <w:spacing w:val="10"/>
              </w:rPr>
              <w:t xml:space="preserve"> </w:t>
            </w:r>
            <w:r>
              <w:rPr>
                <w:sz w:val="25"/>
                <w:szCs w:val="25"/>
              </w:rPr>
              <w:t>依照规定进行处方专册登记，情节严重或造成严重后果的</w:t>
            </w:r>
          </w:p>
        </w:tc>
        <w:tc>
          <w:tcPr>
            <w:tcW w:w="3942" w:type="dxa"/>
            <w:vAlign w:val="top"/>
          </w:tcPr>
          <w:p>
            <w:pPr>
              <w:spacing w:line="292" w:lineRule="auto"/>
              <w:rPr>
                <w:rFonts w:ascii="Arial"/>
                <w:sz w:val="21"/>
              </w:rPr>
            </w:pPr>
            <w:r/>
          </w:p>
          <w:p>
            <w:pPr>
              <w:pStyle w:val="TableText"/>
              <w:ind w:left="107"/>
              <w:spacing w:before="81" w:line="219" w:lineRule="auto"/>
              <w:rPr>
                <w:sz w:val="25"/>
                <w:szCs w:val="25"/>
              </w:rPr>
            </w:pPr>
            <w:r>
              <w:rPr>
                <w:sz w:val="25"/>
                <w:szCs w:val="25"/>
              </w:rPr>
              <w:t>处1万元罚款，吊销其印鉴卡</w:t>
            </w:r>
          </w:p>
        </w:tc>
      </w:tr>
    </w:tbl>
    <w:p>
      <w:pPr>
        <w:pStyle w:val="BodyText"/>
        <w:spacing w:line="466" w:lineRule="auto"/>
        <w:rPr/>
      </w:pPr>
      <w:r/>
    </w:p>
    <w:p>
      <w:pPr>
        <w:ind w:left="674"/>
        <w:spacing w:before="97" w:line="219" w:lineRule="auto"/>
        <w:rPr>
          <w:rFonts w:ascii="FangSong" w:hAnsi="FangSong" w:eastAsia="FangSong" w:cs="FangSong"/>
          <w:sz w:val="30"/>
          <w:szCs w:val="30"/>
        </w:rPr>
      </w:pPr>
      <w:r>
        <w:rPr>
          <w:rFonts w:ascii="FangSong" w:hAnsi="FangSong" w:eastAsia="FangSong" w:cs="FangSong"/>
          <w:sz w:val="30"/>
          <w:szCs w:val="30"/>
          <w:b/>
          <w:bCs/>
          <w:spacing w:val="21"/>
        </w:rPr>
        <w:t>第二百六十二条未依照规定报告麻醉药品和精神药品的进货、库存、使用数量的</w:t>
      </w:r>
    </w:p>
    <w:p>
      <w:pPr>
        <w:ind w:left="659"/>
        <w:spacing w:before="82"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right="40" w:firstLine="640"/>
        <w:spacing w:before="97" w:line="265" w:lineRule="auto"/>
        <w:jc w:val="both"/>
        <w:rPr>
          <w:rFonts w:ascii="FangSong" w:hAnsi="FangSong" w:eastAsia="FangSong" w:cs="FangSong"/>
          <w:sz w:val="30"/>
          <w:szCs w:val="30"/>
        </w:rPr>
      </w:pPr>
      <w:r>
        <w:rPr>
          <w:rFonts w:ascii="FangSong" w:hAnsi="FangSong" w:eastAsia="FangSong" w:cs="FangSong"/>
          <w:sz w:val="30"/>
          <w:szCs w:val="30"/>
          <w:spacing w:val="24"/>
        </w:rPr>
        <w:t>《麻醉药品和精神药品管理条例》第七十二条第(三)项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取得</w:t>
      </w:r>
      <w:r>
        <w:rPr>
          <w:rFonts w:ascii="FangSong" w:hAnsi="FangSong" w:eastAsia="FangSong" w:cs="FangSong"/>
          <w:sz w:val="30"/>
          <w:szCs w:val="30"/>
          <w:spacing w:val="23"/>
        </w:rPr>
        <w:t>印鉴卡的医疗机构违反本条例的</w:t>
      </w:r>
      <w:r>
        <w:rPr>
          <w:rFonts w:ascii="FangSong" w:hAnsi="FangSong" w:eastAsia="FangSong" w:cs="FangSong"/>
          <w:sz w:val="30"/>
          <w:szCs w:val="30"/>
        </w:rPr>
        <w:t xml:space="preserve"> </w:t>
      </w:r>
      <w:r>
        <w:rPr>
          <w:rFonts w:ascii="FangSong" w:hAnsi="FangSong" w:eastAsia="FangSong" w:cs="FangSong"/>
          <w:sz w:val="30"/>
          <w:szCs w:val="30"/>
          <w:spacing w:val="17"/>
        </w:rPr>
        <w:t>规定，有下列情形之一的，由设区的市级人民政府卫生主管部门责令限期改正，给予警告；逾期不改</w:t>
      </w:r>
      <w:r>
        <w:rPr>
          <w:rFonts w:ascii="FangSong" w:hAnsi="FangSong" w:eastAsia="FangSong" w:cs="FangSong"/>
          <w:sz w:val="30"/>
          <w:szCs w:val="30"/>
        </w:rPr>
        <w:t xml:space="preserve"> </w:t>
      </w:r>
      <w:r>
        <w:rPr>
          <w:rFonts w:ascii="FangSong" w:hAnsi="FangSong" w:eastAsia="FangSong" w:cs="FangSong"/>
          <w:sz w:val="30"/>
          <w:szCs w:val="30"/>
          <w:spacing w:val="26"/>
        </w:rPr>
        <w:t>正的，处5000元以上1万元以下的罚款；情节严重的，吊销其印鉴卡；对直接负责的主管人员和其</w:t>
      </w:r>
      <w:r>
        <w:rPr>
          <w:rFonts w:ascii="FangSong" w:hAnsi="FangSong" w:eastAsia="FangSong" w:cs="FangSong"/>
          <w:sz w:val="30"/>
          <w:szCs w:val="30"/>
          <w:spacing w:val="10"/>
        </w:rPr>
        <w:t xml:space="preserve"> </w:t>
      </w:r>
      <w:r>
        <w:rPr>
          <w:rFonts w:ascii="FangSong" w:hAnsi="FangSong" w:eastAsia="FangSong" w:cs="FangSong"/>
          <w:sz w:val="30"/>
          <w:szCs w:val="30"/>
          <w:spacing w:val="16"/>
        </w:rPr>
        <w:t>他直接责任人员，依法给予降级、撤职、开除的处分：</w:t>
      </w:r>
    </w:p>
    <w:p>
      <w:pPr>
        <w:ind w:left="6423" w:hanging="5644"/>
        <w:spacing w:before="23" w:line="242" w:lineRule="auto"/>
        <w:rPr>
          <w:rFonts w:ascii="SimSun" w:hAnsi="SimSun" w:eastAsia="SimSun" w:cs="SimSun"/>
          <w:sz w:val="28"/>
          <w:szCs w:val="28"/>
        </w:rPr>
      </w:pPr>
      <w:r>
        <w:rPr>
          <w:rFonts w:ascii="FangSong" w:hAnsi="FangSong" w:eastAsia="FangSong" w:cs="FangSong"/>
          <w:sz w:val="30"/>
          <w:szCs w:val="30"/>
          <w:spacing w:val="22"/>
        </w:rPr>
        <w:t>(三)取得印鉴卡的医疗机构未依照规定报告麻醉药品和精神药品的进货、库存、</w:t>
      </w:r>
      <w:r>
        <w:rPr>
          <w:rFonts w:ascii="FangSong" w:hAnsi="FangSong" w:eastAsia="FangSong" w:cs="FangSong"/>
          <w:sz w:val="30"/>
          <w:szCs w:val="30"/>
          <w:spacing w:val="21"/>
        </w:rPr>
        <w:t>使用数量的；</w:t>
      </w:r>
      <w:r>
        <w:rPr>
          <w:rFonts w:ascii="FangSong" w:hAnsi="FangSong" w:eastAsia="FangSong" w:cs="FangSong"/>
          <w:sz w:val="30"/>
          <w:szCs w:val="30"/>
        </w:rPr>
        <w:t xml:space="preserve"> </w:t>
      </w:r>
      <w:r>
        <w:rPr>
          <w:rFonts w:ascii="SimSun" w:hAnsi="SimSun" w:eastAsia="SimSun" w:cs="SimSun"/>
          <w:sz w:val="28"/>
          <w:szCs w:val="28"/>
          <w:b/>
          <w:bCs/>
          <w:spacing w:val="-6"/>
        </w:rPr>
        <w:t>裁量标准</w:t>
      </w:r>
    </w:p>
    <w:tbl>
      <w:tblPr>
        <w:tblStyle w:val="TableNormal"/>
        <w:tblW w:w="13819" w:type="dxa"/>
        <w:tblInd w:w="7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63"/>
        <w:gridCol w:w="8404"/>
        <w:gridCol w:w="4052"/>
      </w:tblGrid>
      <w:tr>
        <w:trPr>
          <w:trHeight w:val="554" w:hRule="atLeast"/>
        </w:trPr>
        <w:tc>
          <w:tcPr>
            <w:tcW w:w="1363" w:type="dxa"/>
            <w:vAlign w:val="top"/>
          </w:tcPr>
          <w:p>
            <w:pPr>
              <w:pStyle w:val="TableText"/>
              <w:ind w:left="178"/>
              <w:spacing w:before="152" w:line="220" w:lineRule="auto"/>
              <w:rPr>
                <w:sz w:val="25"/>
                <w:szCs w:val="25"/>
              </w:rPr>
            </w:pPr>
            <w:r>
              <w:rPr>
                <w:sz w:val="25"/>
                <w:szCs w:val="25"/>
                <w:b/>
                <w:bCs/>
                <w:spacing w:val="-5"/>
              </w:rPr>
              <w:t>违法程度</w:t>
            </w:r>
          </w:p>
        </w:tc>
        <w:tc>
          <w:tcPr>
            <w:tcW w:w="8404" w:type="dxa"/>
            <w:vAlign w:val="top"/>
          </w:tcPr>
          <w:p>
            <w:pPr>
              <w:pStyle w:val="TableText"/>
              <w:ind w:left="3695"/>
              <w:spacing w:before="152" w:line="220" w:lineRule="auto"/>
              <w:rPr>
                <w:sz w:val="25"/>
                <w:szCs w:val="25"/>
              </w:rPr>
            </w:pPr>
            <w:r>
              <w:rPr>
                <w:sz w:val="25"/>
                <w:szCs w:val="25"/>
                <w:b/>
                <w:bCs/>
                <w:spacing w:val="-5"/>
              </w:rPr>
              <w:t>违法后果</w:t>
            </w:r>
          </w:p>
        </w:tc>
        <w:tc>
          <w:tcPr>
            <w:tcW w:w="4052" w:type="dxa"/>
            <w:vAlign w:val="top"/>
          </w:tcPr>
          <w:p>
            <w:pPr>
              <w:pStyle w:val="TableText"/>
              <w:ind w:left="1461"/>
              <w:spacing w:before="149" w:line="218" w:lineRule="auto"/>
              <w:rPr>
                <w:sz w:val="25"/>
                <w:szCs w:val="25"/>
              </w:rPr>
            </w:pPr>
            <w:r>
              <w:rPr>
                <w:sz w:val="25"/>
                <w:szCs w:val="25"/>
                <w:b/>
                <w:bCs/>
                <w:spacing w:val="-5"/>
              </w:rPr>
              <w:t>裁量幅度</w:t>
            </w:r>
          </w:p>
        </w:tc>
      </w:tr>
      <w:tr>
        <w:trPr>
          <w:trHeight w:val="877" w:hRule="atLeast"/>
        </w:trPr>
        <w:tc>
          <w:tcPr>
            <w:tcW w:w="1363" w:type="dxa"/>
            <w:vAlign w:val="top"/>
          </w:tcPr>
          <w:p>
            <w:pPr>
              <w:spacing w:line="294" w:lineRule="auto"/>
              <w:rPr>
                <w:rFonts w:ascii="Arial"/>
                <w:sz w:val="21"/>
              </w:rPr>
            </w:pPr>
            <w:r/>
          </w:p>
          <w:p>
            <w:pPr>
              <w:pStyle w:val="TableText"/>
              <w:ind w:left="428"/>
              <w:spacing w:before="82" w:line="219" w:lineRule="auto"/>
              <w:rPr>
                <w:sz w:val="25"/>
                <w:szCs w:val="25"/>
              </w:rPr>
            </w:pPr>
            <w:r>
              <w:rPr>
                <w:sz w:val="25"/>
                <w:szCs w:val="25"/>
                <w:b/>
                <w:bCs/>
                <w:spacing w:val="-6"/>
              </w:rPr>
              <w:t>轻微</w:t>
            </w:r>
          </w:p>
        </w:tc>
        <w:tc>
          <w:tcPr>
            <w:tcW w:w="8404" w:type="dxa"/>
            <w:vAlign w:val="top"/>
          </w:tcPr>
          <w:p>
            <w:pPr>
              <w:pStyle w:val="TableText"/>
              <w:ind w:left="110" w:hanging="99"/>
              <w:spacing w:before="160" w:line="261" w:lineRule="auto"/>
              <w:rPr>
                <w:sz w:val="25"/>
                <w:szCs w:val="25"/>
              </w:rPr>
            </w:pPr>
            <w:r>
              <w:rPr>
                <w:sz w:val="25"/>
                <w:szCs w:val="25"/>
                <w:spacing w:val="-4"/>
              </w:rPr>
              <w:t>取得印鉴卡的医疗机构未依照规定报告麻醉药品和精神药品的进货、库存、使</w:t>
            </w:r>
            <w:r>
              <w:rPr>
                <w:sz w:val="25"/>
                <w:szCs w:val="25"/>
                <w:spacing w:val="17"/>
              </w:rPr>
              <w:t xml:space="preserve"> </w:t>
            </w:r>
            <w:r>
              <w:rPr>
                <w:sz w:val="25"/>
                <w:szCs w:val="25"/>
                <w:spacing w:val="4"/>
              </w:rPr>
              <w:t>用数量的</w:t>
            </w:r>
          </w:p>
        </w:tc>
        <w:tc>
          <w:tcPr>
            <w:tcW w:w="4052" w:type="dxa"/>
            <w:vAlign w:val="top"/>
          </w:tcPr>
          <w:p>
            <w:pPr>
              <w:spacing w:line="296" w:lineRule="auto"/>
              <w:rPr>
                <w:rFonts w:ascii="Arial"/>
                <w:sz w:val="21"/>
              </w:rPr>
            </w:pPr>
            <w:r/>
          </w:p>
          <w:p>
            <w:pPr>
              <w:pStyle w:val="TableText"/>
              <w:ind w:left="97"/>
              <w:spacing w:before="81" w:line="218" w:lineRule="auto"/>
              <w:rPr>
                <w:sz w:val="25"/>
                <w:szCs w:val="25"/>
              </w:rPr>
            </w:pPr>
            <w:r>
              <w:rPr>
                <w:sz w:val="25"/>
                <w:szCs w:val="25"/>
                <w:spacing w:val="4"/>
              </w:rPr>
              <w:t>给予警告</w:t>
            </w:r>
          </w:p>
        </w:tc>
      </w:tr>
      <w:tr>
        <w:trPr>
          <w:trHeight w:val="877" w:hRule="atLeast"/>
        </w:trPr>
        <w:tc>
          <w:tcPr>
            <w:tcW w:w="1363" w:type="dxa"/>
            <w:vAlign w:val="top"/>
          </w:tcPr>
          <w:p>
            <w:pPr>
              <w:spacing w:line="299" w:lineRule="auto"/>
              <w:rPr>
                <w:rFonts w:ascii="Arial"/>
                <w:sz w:val="21"/>
              </w:rPr>
            </w:pPr>
            <w:r/>
          </w:p>
          <w:p>
            <w:pPr>
              <w:pStyle w:val="TableText"/>
              <w:ind w:left="428"/>
              <w:spacing w:before="81" w:line="221" w:lineRule="auto"/>
              <w:rPr>
                <w:sz w:val="25"/>
                <w:szCs w:val="25"/>
              </w:rPr>
            </w:pPr>
            <w:r>
              <w:rPr>
                <w:sz w:val="25"/>
                <w:szCs w:val="25"/>
                <w:b/>
                <w:bCs/>
                <w:spacing w:val="-10"/>
              </w:rPr>
              <w:t>一般</w:t>
            </w:r>
          </w:p>
        </w:tc>
        <w:tc>
          <w:tcPr>
            <w:tcW w:w="8404" w:type="dxa"/>
            <w:vAlign w:val="top"/>
          </w:tcPr>
          <w:p>
            <w:pPr>
              <w:pStyle w:val="TableText"/>
              <w:ind w:left="110" w:hanging="99"/>
              <w:spacing w:before="162" w:line="260" w:lineRule="auto"/>
              <w:rPr>
                <w:sz w:val="25"/>
                <w:szCs w:val="25"/>
              </w:rPr>
            </w:pPr>
            <w:r>
              <w:rPr>
                <w:sz w:val="25"/>
                <w:szCs w:val="25"/>
                <w:spacing w:val="-4"/>
              </w:rPr>
              <w:t>取得印鉴卡的医疗机构未依照规定报告麻醉药品和精神药品的进货、库存、使</w:t>
            </w:r>
            <w:r>
              <w:rPr>
                <w:sz w:val="25"/>
                <w:szCs w:val="25"/>
                <w:spacing w:val="17"/>
              </w:rPr>
              <w:t xml:space="preserve"> </w:t>
            </w:r>
            <w:r>
              <w:rPr>
                <w:sz w:val="25"/>
                <w:szCs w:val="25"/>
              </w:rPr>
              <w:t>用数量，责令限期改正，逾期不改正的</w:t>
            </w:r>
          </w:p>
        </w:tc>
        <w:tc>
          <w:tcPr>
            <w:tcW w:w="4052" w:type="dxa"/>
            <w:vAlign w:val="top"/>
          </w:tcPr>
          <w:p>
            <w:pPr>
              <w:spacing w:line="311" w:lineRule="auto"/>
              <w:rPr>
                <w:rFonts w:ascii="Arial"/>
                <w:sz w:val="21"/>
              </w:rPr>
            </w:pPr>
            <w:r/>
          </w:p>
          <w:p>
            <w:pPr>
              <w:pStyle w:val="TableText"/>
              <w:ind w:left="97"/>
              <w:spacing w:before="82" w:line="220" w:lineRule="auto"/>
              <w:rPr>
                <w:sz w:val="25"/>
                <w:szCs w:val="25"/>
              </w:rPr>
            </w:pPr>
            <w:r>
              <w:rPr>
                <w:sz w:val="25"/>
                <w:szCs w:val="25"/>
                <w:spacing w:val="1"/>
              </w:rPr>
              <w:t>处5000元以上1万元以下罚款</w:t>
            </w:r>
          </w:p>
        </w:tc>
      </w:tr>
      <w:tr>
        <w:trPr>
          <w:trHeight w:val="882" w:hRule="atLeast"/>
        </w:trPr>
        <w:tc>
          <w:tcPr>
            <w:tcW w:w="1363" w:type="dxa"/>
            <w:vAlign w:val="top"/>
          </w:tcPr>
          <w:p>
            <w:pPr>
              <w:spacing w:line="311" w:lineRule="auto"/>
              <w:rPr>
                <w:rFonts w:ascii="Arial"/>
                <w:sz w:val="21"/>
              </w:rPr>
            </w:pPr>
            <w:r/>
          </w:p>
          <w:p>
            <w:pPr>
              <w:pStyle w:val="TableText"/>
              <w:ind w:left="428"/>
              <w:spacing w:before="81" w:line="220" w:lineRule="auto"/>
              <w:rPr>
                <w:sz w:val="25"/>
                <w:szCs w:val="25"/>
              </w:rPr>
            </w:pPr>
            <w:r>
              <w:rPr>
                <w:sz w:val="25"/>
                <w:szCs w:val="25"/>
                <w:b/>
                <w:bCs/>
                <w:spacing w:val="-6"/>
              </w:rPr>
              <w:t>严重</w:t>
            </w:r>
          </w:p>
        </w:tc>
        <w:tc>
          <w:tcPr>
            <w:tcW w:w="8404" w:type="dxa"/>
            <w:vAlign w:val="top"/>
          </w:tcPr>
          <w:p>
            <w:pPr>
              <w:pStyle w:val="TableText"/>
              <w:ind w:left="120" w:hanging="109"/>
              <w:spacing w:before="175" w:line="257" w:lineRule="auto"/>
              <w:rPr>
                <w:sz w:val="25"/>
                <w:szCs w:val="25"/>
              </w:rPr>
            </w:pPr>
            <w:r>
              <w:rPr>
                <w:sz w:val="25"/>
                <w:szCs w:val="25"/>
                <w:spacing w:val="-4"/>
              </w:rPr>
              <w:t>取得印鉴卡的医疗机构未依照规定报告麻醉药品和精神药品的进货、库存、使</w:t>
            </w:r>
            <w:r>
              <w:rPr>
                <w:sz w:val="25"/>
                <w:szCs w:val="25"/>
                <w:spacing w:val="17"/>
              </w:rPr>
              <w:t xml:space="preserve"> </w:t>
            </w:r>
            <w:r>
              <w:rPr>
                <w:sz w:val="25"/>
                <w:szCs w:val="25"/>
              </w:rPr>
              <w:t>用数量，情节严重或造成严重后果的</w:t>
            </w:r>
          </w:p>
        </w:tc>
        <w:tc>
          <w:tcPr>
            <w:tcW w:w="4052" w:type="dxa"/>
            <w:vAlign w:val="top"/>
          </w:tcPr>
          <w:p>
            <w:pPr>
              <w:spacing w:line="314" w:lineRule="auto"/>
              <w:rPr>
                <w:rFonts w:ascii="Arial"/>
                <w:sz w:val="21"/>
              </w:rPr>
            </w:pPr>
            <w:r/>
          </w:p>
          <w:p>
            <w:pPr>
              <w:pStyle w:val="TableText"/>
              <w:ind w:left="97"/>
              <w:spacing w:before="81" w:line="219" w:lineRule="auto"/>
              <w:rPr>
                <w:sz w:val="25"/>
                <w:szCs w:val="25"/>
              </w:rPr>
            </w:pPr>
            <w:r>
              <w:rPr>
                <w:sz w:val="25"/>
                <w:szCs w:val="25"/>
                <w:spacing w:val="1"/>
              </w:rPr>
              <w:t>处1万元的罚款，吊销其印鉴卡</w:t>
            </w:r>
          </w:p>
        </w:tc>
      </w:tr>
    </w:tbl>
    <w:p>
      <w:pPr>
        <w:pStyle w:val="BodyText"/>
        <w:rPr/>
      </w:pPr>
      <w:r/>
    </w:p>
    <w:p>
      <w:pPr>
        <w:sectPr>
          <w:footerReference w:type="default" r:id="rId321"/>
          <w:pgSz w:w="16830" w:h="11900"/>
          <w:pgMar w:top="1011" w:right="1400" w:bottom="1124" w:left="1430" w:header="0" w:footer="783" w:gutter="0"/>
        </w:sectPr>
        <w:rPr/>
      </w:pP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664"/>
        <w:spacing w:before="98" w:line="220" w:lineRule="auto"/>
        <w:rPr>
          <w:rFonts w:ascii="FangSong" w:hAnsi="FangSong" w:eastAsia="FangSong" w:cs="FangSong"/>
          <w:sz w:val="30"/>
          <w:szCs w:val="30"/>
        </w:rPr>
      </w:pPr>
      <w:bookmarkStart w:name="bookmark972" w:id="341"/>
      <w:bookmarkEnd w:id="341"/>
      <w:r>
        <w:rPr>
          <w:rFonts w:ascii="FangSong" w:hAnsi="FangSong" w:eastAsia="FangSong" w:cs="FangSong"/>
          <w:sz w:val="30"/>
          <w:szCs w:val="30"/>
          <w:b/>
          <w:bCs/>
          <w:spacing w:val="22"/>
        </w:rPr>
        <w:t>第二百六十三条取得印鉴卡的医疗机构紧急借用麻醉药品和第一类精神药</w:t>
      </w:r>
      <w:r>
        <w:rPr>
          <w:rFonts w:ascii="FangSong" w:hAnsi="FangSong" w:eastAsia="FangSong" w:cs="FangSong"/>
          <w:sz w:val="30"/>
          <w:szCs w:val="30"/>
          <w:b/>
          <w:bCs/>
          <w:spacing w:val="21"/>
        </w:rPr>
        <w:t>品后未备案的</w:t>
      </w:r>
    </w:p>
    <w:p>
      <w:pPr>
        <w:ind w:left="659"/>
        <w:spacing w:before="100" w:line="222" w:lineRule="auto"/>
        <w:rPr>
          <w:rFonts w:ascii="FangSong" w:hAnsi="FangSong" w:eastAsia="FangSong" w:cs="FangSong"/>
          <w:sz w:val="30"/>
          <w:szCs w:val="30"/>
        </w:rPr>
      </w:pPr>
      <w:r>
        <w:rPr>
          <w:rFonts w:ascii="FangSong" w:hAnsi="FangSong" w:eastAsia="FangSong" w:cs="FangSong"/>
          <w:sz w:val="30"/>
          <w:szCs w:val="30"/>
        </w:rPr>
        <w:t>法律依据：</w:t>
      </w:r>
    </w:p>
    <w:p>
      <w:pPr>
        <w:ind w:firstLine="640"/>
        <w:spacing w:before="68" w:line="271" w:lineRule="auto"/>
        <w:jc w:val="both"/>
        <w:rPr>
          <w:rFonts w:ascii="FangSong" w:hAnsi="FangSong" w:eastAsia="FangSong" w:cs="FangSong"/>
          <w:sz w:val="30"/>
          <w:szCs w:val="30"/>
        </w:rPr>
      </w:pPr>
      <w:r>
        <w:rPr>
          <w:rFonts w:ascii="FangSong" w:hAnsi="FangSong" w:eastAsia="FangSong" w:cs="FangSong"/>
          <w:sz w:val="30"/>
          <w:szCs w:val="30"/>
          <w:spacing w:val="24"/>
        </w:rPr>
        <w:t>《麻醉药品和精神药品管理条例》第七十二条第(四)项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取得</w:t>
      </w:r>
      <w:r>
        <w:rPr>
          <w:rFonts w:ascii="FangSong" w:hAnsi="FangSong" w:eastAsia="FangSong" w:cs="FangSong"/>
          <w:sz w:val="30"/>
          <w:szCs w:val="30"/>
          <w:spacing w:val="23"/>
        </w:rPr>
        <w:t>印鉴卡的医疗机构违反本条例的</w:t>
      </w:r>
      <w:r>
        <w:rPr>
          <w:rFonts w:ascii="FangSong" w:hAnsi="FangSong" w:eastAsia="FangSong" w:cs="FangSong"/>
          <w:sz w:val="30"/>
          <w:szCs w:val="30"/>
        </w:rPr>
        <w:t xml:space="preserve"> </w:t>
      </w:r>
      <w:r>
        <w:rPr>
          <w:rFonts w:ascii="FangSong" w:hAnsi="FangSong" w:eastAsia="FangSong" w:cs="FangSong"/>
          <w:sz w:val="30"/>
          <w:szCs w:val="30"/>
          <w:spacing w:val="17"/>
        </w:rPr>
        <w:t>规定，有下列情形之一的，由设区的市级人民政府卫生主管部门责令限期改正，给予警告；逾期不改</w:t>
      </w:r>
      <w:r>
        <w:rPr>
          <w:rFonts w:ascii="FangSong" w:hAnsi="FangSong" w:eastAsia="FangSong" w:cs="FangSong"/>
          <w:sz w:val="30"/>
          <w:szCs w:val="30"/>
        </w:rPr>
        <w:t xml:space="preserve"> </w:t>
      </w:r>
      <w:r>
        <w:rPr>
          <w:rFonts w:ascii="FangSong" w:hAnsi="FangSong" w:eastAsia="FangSong" w:cs="FangSong"/>
          <w:sz w:val="30"/>
          <w:szCs w:val="30"/>
          <w:spacing w:val="26"/>
        </w:rPr>
        <w:t>正的，处5000元以上1万元以下的罚款；情节严重的，吊销其印鉴卡；对直接负责的主管人员和其</w:t>
      </w:r>
      <w:r>
        <w:rPr>
          <w:rFonts w:ascii="FangSong" w:hAnsi="FangSong" w:eastAsia="FangSong" w:cs="FangSong"/>
          <w:sz w:val="30"/>
          <w:szCs w:val="30"/>
          <w:spacing w:val="10"/>
        </w:rPr>
        <w:t xml:space="preserve"> </w:t>
      </w:r>
      <w:r>
        <w:rPr>
          <w:rFonts w:ascii="FangSong" w:hAnsi="FangSong" w:eastAsia="FangSong" w:cs="FangSong"/>
          <w:sz w:val="30"/>
          <w:szCs w:val="30"/>
          <w:spacing w:val="17"/>
        </w:rPr>
        <w:t>他直接责任人员，依法给予降级、撤职、开除的处分：</w:t>
      </w:r>
    </w:p>
    <w:p>
      <w:pPr>
        <w:ind w:left="790"/>
        <w:spacing w:before="17" w:line="222" w:lineRule="auto"/>
        <w:rPr>
          <w:rFonts w:ascii="FangSong" w:hAnsi="FangSong" w:eastAsia="FangSong" w:cs="FangSong"/>
          <w:sz w:val="30"/>
          <w:szCs w:val="30"/>
        </w:rPr>
      </w:pPr>
      <w:r>
        <w:rPr>
          <w:rFonts w:ascii="FangSong" w:hAnsi="FangSong" w:eastAsia="FangSong" w:cs="FangSong"/>
          <w:sz w:val="30"/>
          <w:szCs w:val="30"/>
          <w:spacing w:val="23"/>
        </w:rPr>
        <w:t>(四)紧急借用麻醉药品和第一类精神药品后未备案的；</w:t>
      </w:r>
    </w:p>
    <w:p>
      <w:pPr>
        <w:ind w:left="6424"/>
        <w:spacing w:before="59"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89" w:type="dxa"/>
        <w:tblInd w:w="2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3"/>
        <w:gridCol w:w="8324"/>
        <w:gridCol w:w="4122"/>
      </w:tblGrid>
      <w:tr>
        <w:trPr>
          <w:trHeight w:val="553" w:hRule="atLeast"/>
        </w:trPr>
        <w:tc>
          <w:tcPr>
            <w:tcW w:w="1443" w:type="dxa"/>
            <w:vAlign w:val="top"/>
          </w:tcPr>
          <w:p>
            <w:pPr>
              <w:pStyle w:val="TableText"/>
              <w:ind w:left="138"/>
              <w:spacing w:before="16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8324" w:type="dxa"/>
            <w:vAlign w:val="top"/>
          </w:tcPr>
          <w:p>
            <w:pPr>
              <w:pStyle w:val="TableText"/>
              <w:ind w:left="3585"/>
              <w:spacing w:before="162" w:line="220" w:lineRule="auto"/>
              <w:rPr/>
            </w:pPr>
            <w:r>
              <w:rPr>
                <w:b/>
                <w:bCs/>
                <w:spacing w:val="-5"/>
              </w:rPr>
              <w:t>违法后果</w:t>
            </w:r>
          </w:p>
        </w:tc>
        <w:tc>
          <w:tcPr>
            <w:tcW w:w="4122" w:type="dxa"/>
            <w:vAlign w:val="top"/>
          </w:tcPr>
          <w:p>
            <w:pPr>
              <w:pStyle w:val="TableText"/>
              <w:ind w:left="1501"/>
              <w:spacing w:before="15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548" w:hRule="atLeast"/>
        </w:trPr>
        <w:tc>
          <w:tcPr>
            <w:tcW w:w="1443" w:type="dxa"/>
            <w:vAlign w:val="top"/>
          </w:tcPr>
          <w:p>
            <w:pPr>
              <w:pStyle w:val="TableText"/>
              <w:ind w:left="478"/>
              <w:spacing w:before="198" w:line="219" w:lineRule="auto"/>
              <w:rPr/>
            </w:pPr>
            <w:r>
              <w:rPr>
                <w:b/>
                <w:bCs/>
                <w:spacing w:val="-6"/>
              </w:rPr>
              <w:t>轻微</w:t>
            </w:r>
          </w:p>
        </w:tc>
        <w:tc>
          <w:tcPr>
            <w:tcW w:w="8324" w:type="dxa"/>
            <w:vAlign w:val="top"/>
          </w:tcPr>
          <w:p>
            <w:pPr>
              <w:pStyle w:val="TableText"/>
              <w:ind w:left="111"/>
              <w:spacing w:before="200" w:line="219" w:lineRule="auto"/>
              <w:rPr/>
            </w:pPr>
            <w:r>
              <w:rPr/>
              <w:t>取得印鉴卡的医疗机构紧急借用麻醉药品和第一类精神药品后未备案的</w:t>
            </w:r>
          </w:p>
        </w:tc>
        <w:tc>
          <w:tcPr>
            <w:tcW w:w="4122" w:type="dxa"/>
            <w:vAlign w:val="top"/>
          </w:tcPr>
          <w:p>
            <w:pPr>
              <w:pStyle w:val="TableText"/>
              <w:ind w:left="117"/>
              <w:spacing w:before="199" w:line="218" w:lineRule="auto"/>
              <w:rPr/>
            </w:pPr>
            <w:r>
              <w:rPr>
                <w:spacing w:val="4"/>
              </w:rPr>
              <w:t>给予警告</w:t>
            </w:r>
          </w:p>
        </w:tc>
      </w:tr>
      <w:tr>
        <w:trPr>
          <w:trHeight w:val="877" w:hRule="atLeast"/>
        </w:trPr>
        <w:tc>
          <w:tcPr>
            <w:tcW w:w="1443" w:type="dxa"/>
            <w:vAlign w:val="top"/>
          </w:tcPr>
          <w:p>
            <w:pPr>
              <w:spacing w:line="242" w:lineRule="auto"/>
              <w:rPr>
                <w:rFonts w:ascii="Arial"/>
                <w:sz w:val="21"/>
              </w:rPr>
            </w:pPr>
            <w:r/>
          </w:p>
          <w:p>
            <w:pPr>
              <w:pStyle w:val="TableText"/>
              <w:ind w:left="478"/>
              <w:spacing w:before="78" w:line="221" w:lineRule="auto"/>
              <w:rPr/>
            </w:pPr>
            <w:r>
              <w:rPr>
                <w:b/>
                <w:bCs/>
                <w:spacing w:val="-10"/>
              </w:rPr>
              <w:t>一般</w:t>
            </w:r>
          </w:p>
        </w:tc>
        <w:tc>
          <w:tcPr>
            <w:tcW w:w="8324" w:type="dxa"/>
            <w:vAlign w:val="top"/>
          </w:tcPr>
          <w:p>
            <w:pPr>
              <w:pStyle w:val="TableText"/>
              <w:ind w:left="111" w:right="40" w:hanging="9"/>
              <w:spacing w:before="162" w:line="271" w:lineRule="auto"/>
              <w:rPr/>
            </w:pPr>
            <w:r>
              <w:rPr/>
              <w:t>取得印鉴卡的医疗机构紧急借用麻醉药品和第一类精神药品后未备案的，责令</w:t>
            </w:r>
            <w:r>
              <w:rPr>
                <w:spacing w:val="10"/>
              </w:rPr>
              <w:t xml:space="preserve"> </w:t>
            </w:r>
            <w:r>
              <w:rPr>
                <w:spacing w:val="1"/>
              </w:rPr>
              <w:t>限期改正，逾期不改正的</w:t>
            </w:r>
          </w:p>
        </w:tc>
        <w:tc>
          <w:tcPr>
            <w:tcW w:w="4122" w:type="dxa"/>
            <w:vAlign w:val="top"/>
          </w:tcPr>
          <w:p>
            <w:pPr>
              <w:spacing w:line="245" w:lineRule="auto"/>
              <w:rPr>
                <w:rFonts w:ascii="Arial"/>
                <w:sz w:val="21"/>
              </w:rPr>
            </w:pPr>
            <w:r/>
          </w:p>
          <w:p>
            <w:pPr>
              <w:pStyle w:val="TableText"/>
              <w:ind w:left="117"/>
              <w:spacing w:before="78" w:line="220" w:lineRule="auto"/>
              <w:rPr/>
            </w:pPr>
            <w:r>
              <w:rPr/>
              <w:t>处5000元以上1万元以下的罚款</w:t>
            </w:r>
          </w:p>
        </w:tc>
      </w:tr>
      <w:tr>
        <w:trPr>
          <w:trHeight w:val="882" w:hRule="atLeast"/>
        </w:trPr>
        <w:tc>
          <w:tcPr>
            <w:tcW w:w="1443" w:type="dxa"/>
            <w:vAlign w:val="top"/>
          </w:tcPr>
          <w:p>
            <w:pPr>
              <w:spacing w:line="304" w:lineRule="auto"/>
              <w:rPr>
                <w:rFonts w:ascii="Arial"/>
                <w:sz w:val="21"/>
              </w:rPr>
            </w:pPr>
            <w:r/>
          </w:p>
          <w:p>
            <w:pPr>
              <w:pStyle w:val="TableText"/>
              <w:ind w:left="478"/>
              <w:spacing w:before="78" w:line="220" w:lineRule="auto"/>
              <w:rPr/>
            </w:pPr>
            <w:r>
              <w:rPr>
                <w:b/>
                <w:bCs/>
                <w:spacing w:val="-6"/>
              </w:rPr>
              <w:t>严重</w:t>
            </w:r>
          </w:p>
        </w:tc>
        <w:tc>
          <w:tcPr>
            <w:tcW w:w="8324" w:type="dxa"/>
            <w:vAlign w:val="top"/>
          </w:tcPr>
          <w:p>
            <w:pPr>
              <w:pStyle w:val="TableText"/>
              <w:ind w:left="111" w:right="39" w:hanging="9"/>
              <w:spacing w:before="157" w:line="275" w:lineRule="auto"/>
              <w:rPr/>
            </w:pPr>
            <w:r>
              <w:rPr/>
              <w:t>取得印鉴卡的医疗机构紧急借用麻醉药品和第一类精神药品后未备案的，情节</w:t>
            </w:r>
            <w:r>
              <w:rPr>
                <w:spacing w:val="11"/>
              </w:rPr>
              <w:t xml:space="preserve"> </w:t>
            </w:r>
            <w:r>
              <w:rPr>
                <w:spacing w:val="1"/>
              </w:rPr>
              <w:t>严重或造成严重后果的</w:t>
            </w:r>
          </w:p>
        </w:tc>
        <w:tc>
          <w:tcPr>
            <w:tcW w:w="4122" w:type="dxa"/>
            <w:vAlign w:val="top"/>
          </w:tcPr>
          <w:p>
            <w:pPr>
              <w:spacing w:line="307" w:lineRule="auto"/>
              <w:rPr>
                <w:rFonts w:ascii="Arial"/>
                <w:sz w:val="21"/>
              </w:rPr>
            </w:pPr>
            <w:r/>
          </w:p>
          <w:p>
            <w:pPr>
              <w:pStyle w:val="TableText"/>
              <w:ind w:left="117"/>
              <w:spacing w:before="78" w:line="219" w:lineRule="auto"/>
              <w:rPr/>
            </w:pPr>
            <w:r>
              <w:rPr/>
              <w:t>处1万元罚款，吊销其印鉴卡</w:t>
            </w:r>
          </w:p>
        </w:tc>
      </w:tr>
    </w:tbl>
    <w:p>
      <w:pPr>
        <w:pStyle w:val="BodyText"/>
        <w:spacing w:line="456" w:lineRule="auto"/>
        <w:rPr/>
      </w:pPr>
      <w:r/>
    </w:p>
    <w:p>
      <w:pPr>
        <w:ind w:left="664"/>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第二百六十四条取得印鉴卡的医疗机构未依照规定销毁麻醉药品</w:t>
      </w:r>
      <w:r>
        <w:rPr>
          <w:rFonts w:ascii="FangSong" w:hAnsi="FangSong" w:eastAsia="FangSong" w:cs="FangSong"/>
          <w:sz w:val="30"/>
          <w:szCs w:val="30"/>
          <w:b/>
          <w:bCs/>
          <w:spacing w:val="21"/>
        </w:rPr>
        <w:t>和精神药品的</w:t>
      </w:r>
    </w:p>
    <w:p>
      <w:pPr>
        <w:ind w:left="659"/>
        <w:spacing w:before="71" w:line="222" w:lineRule="auto"/>
        <w:rPr>
          <w:rFonts w:ascii="FangSong" w:hAnsi="FangSong" w:eastAsia="FangSong" w:cs="FangSong"/>
          <w:sz w:val="30"/>
          <w:szCs w:val="30"/>
        </w:rPr>
      </w:pPr>
      <w:r>
        <w:rPr>
          <w:rFonts w:ascii="FangSong" w:hAnsi="FangSong" w:eastAsia="FangSong" w:cs="FangSong"/>
          <w:sz w:val="30"/>
          <w:szCs w:val="30"/>
        </w:rPr>
        <w:t>法律依据：</w:t>
      </w:r>
    </w:p>
    <w:p>
      <w:pPr>
        <w:spacing w:line="222" w:lineRule="auto"/>
        <w:sectPr>
          <w:footerReference w:type="default" r:id="rId322"/>
          <w:pgSz w:w="16830" w:h="11900"/>
          <w:pgMar w:top="1011" w:right="1440" w:bottom="1114" w:left="1430" w:header="0" w:footer="772" w:gutter="0"/>
        </w:sectPr>
        <w:rPr>
          <w:rFonts w:ascii="FangSong" w:hAnsi="FangSong" w:eastAsia="FangSong" w:cs="FangSong"/>
          <w:sz w:val="30"/>
          <w:szCs w:val="30"/>
        </w:rPr>
      </w:pPr>
    </w:p>
    <w:p>
      <w:pPr>
        <w:pStyle w:val="BodyText"/>
        <w:spacing w:line="257" w:lineRule="auto"/>
        <w:rPr/>
      </w:pPr>
      <w:r/>
    </w:p>
    <w:p>
      <w:pPr>
        <w:pStyle w:val="BodyText"/>
        <w:spacing w:line="258" w:lineRule="auto"/>
        <w:rPr/>
      </w:pPr>
      <w:r/>
    </w:p>
    <w:p>
      <w:pPr>
        <w:pStyle w:val="BodyText"/>
        <w:spacing w:line="258" w:lineRule="auto"/>
        <w:rPr/>
      </w:pPr>
      <w:r/>
    </w:p>
    <w:p>
      <w:pPr>
        <w:ind w:right="19" w:firstLine="629"/>
        <w:spacing w:before="97" w:line="271" w:lineRule="auto"/>
        <w:jc w:val="both"/>
        <w:rPr>
          <w:rFonts w:ascii="FangSong" w:hAnsi="FangSong" w:eastAsia="FangSong" w:cs="FangSong"/>
          <w:sz w:val="30"/>
          <w:szCs w:val="30"/>
        </w:rPr>
      </w:pPr>
      <w:bookmarkStart w:name="bookmark973" w:id="342"/>
      <w:bookmarkEnd w:id="342"/>
      <w:r>
        <w:rPr>
          <w:rFonts w:ascii="FangSong" w:hAnsi="FangSong" w:eastAsia="FangSong" w:cs="FangSong"/>
          <w:sz w:val="30"/>
          <w:szCs w:val="30"/>
          <w:spacing w:val="24"/>
        </w:rPr>
        <w:t>《麻醉药品和精神药品管理条例》第七十二</w:t>
      </w:r>
      <w:r>
        <w:rPr>
          <w:rFonts w:ascii="FangSong" w:hAnsi="FangSong" w:eastAsia="FangSong" w:cs="FangSong"/>
          <w:sz w:val="30"/>
          <w:szCs w:val="30"/>
          <w:spacing w:val="23"/>
        </w:rPr>
        <w:t>条第(五)项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取得印鉴卡的医疗机构违反本条例的</w:t>
      </w:r>
      <w:r>
        <w:rPr>
          <w:rFonts w:ascii="FangSong" w:hAnsi="FangSong" w:eastAsia="FangSong" w:cs="FangSong"/>
          <w:sz w:val="30"/>
          <w:szCs w:val="30"/>
        </w:rPr>
        <w:t xml:space="preserve"> </w:t>
      </w:r>
      <w:r>
        <w:rPr>
          <w:rFonts w:ascii="FangSong" w:hAnsi="FangSong" w:eastAsia="FangSong" w:cs="FangSong"/>
          <w:sz w:val="30"/>
          <w:szCs w:val="30"/>
          <w:spacing w:val="17"/>
        </w:rPr>
        <w:t>规定，有下列情形之一的，由设区的市级人民政府卫</w:t>
      </w:r>
      <w:r>
        <w:rPr>
          <w:rFonts w:ascii="FangSong" w:hAnsi="FangSong" w:eastAsia="FangSong" w:cs="FangSong"/>
          <w:sz w:val="30"/>
          <w:szCs w:val="30"/>
          <w:spacing w:val="16"/>
        </w:rPr>
        <w:t>生主管部门责令限期改正，给予警告；逾期不改</w:t>
      </w:r>
      <w:r>
        <w:rPr>
          <w:rFonts w:ascii="FangSong" w:hAnsi="FangSong" w:eastAsia="FangSong" w:cs="FangSong"/>
          <w:sz w:val="30"/>
          <w:szCs w:val="30"/>
        </w:rPr>
        <w:t xml:space="preserve"> </w:t>
      </w:r>
      <w:r>
        <w:rPr>
          <w:rFonts w:ascii="FangSong" w:hAnsi="FangSong" w:eastAsia="FangSong" w:cs="FangSong"/>
          <w:sz w:val="30"/>
          <w:szCs w:val="30"/>
          <w:spacing w:val="26"/>
        </w:rPr>
        <w:t>正的，处5000元以上1万元以下的罚款；情节严重的，吊销其印鉴卡；对直接负责的主管人员和其</w:t>
      </w:r>
      <w:r>
        <w:rPr>
          <w:rFonts w:ascii="FangSong" w:hAnsi="FangSong" w:eastAsia="FangSong" w:cs="FangSong"/>
          <w:sz w:val="30"/>
          <w:szCs w:val="30"/>
          <w:spacing w:val="10"/>
        </w:rPr>
        <w:t xml:space="preserve"> </w:t>
      </w:r>
      <w:r>
        <w:rPr>
          <w:rFonts w:ascii="FangSong" w:hAnsi="FangSong" w:eastAsia="FangSong" w:cs="FangSong"/>
          <w:sz w:val="30"/>
          <w:szCs w:val="30"/>
          <w:spacing w:val="16"/>
        </w:rPr>
        <w:t>他直接责任人员，依法给予降级、撤职、开除的处分：</w:t>
      </w:r>
    </w:p>
    <w:p>
      <w:pPr>
        <w:ind w:left="779"/>
        <w:spacing w:line="221" w:lineRule="auto"/>
        <w:rPr>
          <w:rFonts w:ascii="FangSong" w:hAnsi="FangSong" w:eastAsia="FangSong" w:cs="FangSong"/>
          <w:sz w:val="30"/>
          <w:szCs w:val="30"/>
        </w:rPr>
      </w:pPr>
      <w:r>
        <w:rPr>
          <w:rFonts w:ascii="FangSong" w:hAnsi="FangSong" w:eastAsia="FangSong" w:cs="FangSong"/>
          <w:sz w:val="30"/>
          <w:szCs w:val="30"/>
          <w:spacing w:val="24"/>
        </w:rPr>
        <w:t>(五)未依照规定销毁麻醉药品和精神药品的。</w:t>
      </w:r>
    </w:p>
    <w:p>
      <w:pPr>
        <w:ind w:left="6424"/>
        <w:spacing w:before="90"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09" w:type="dxa"/>
        <w:tblInd w:w="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4"/>
        <w:gridCol w:w="8324"/>
        <w:gridCol w:w="4131"/>
      </w:tblGrid>
      <w:tr>
        <w:trPr>
          <w:trHeight w:val="543" w:hRule="atLeast"/>
        </w:trPr>
        <w:tc>
          <w:tcPr>
            <w:tcW w:w="1454" w:type="dxa"/>
            <w:vAlign w:val="top"/>
          </w:tcPr>
          <w:p>
            <w:pPr>
              <w:pStyle w:val="TableText"/>
              <w:ind w:left="138"/>
              <w:spacing w:before="15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8324" w:type="dxa"/>
            <w:vAlign w:val="top"/>
          </w:tcPr>
          <w:p>
            <w:pPr>
              <w:pStyle w:val="TableText"/>
              <w:ind w:left="3604"/>
              <w:spacing w:before="152" w:line="220" w:lineRule="auto"/>
              <w:rPr/>
            </w:pPr>
            <w:r>
              <w:rPr>
                <w:b/>
                <w:bCs/>
                <w:spacing w:val="47"/>
              </w:rPr>
              <w:t>违法后果</w:t>
            </w:r>
          </w:p>
        </w:tc>
        <w:tc>
          <w:tcPr>
            <w:tcW w:w="4131" w:type="dxa"/>
            <w:vAlign w:val="top"/>
          </w:tcPr>
          <w:p>
            <w:pPr>
              <w:pStyle w:val="TableText"/>
              <w:ind w:left="1510"/>
              <w:spacing w:before="14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528" w:hRule="atLeast"/>
        </w:trPr>
        <w:tc>
          <w:tcPr>
            <w:tcW w:w="1454" w:type="dxa"/>
            <w:vAlign w:val="top"/>
          </w:tcPr>
          <w:p>
            <w:pPr>
              <w:pStyle w:val="TableText"/>
              <w:ind w:left="478"/>
              <w:spacing w:before="198" w:line="219" w:lineRule="auto"/>
              <w:rPr/>
            </w:pPr>
            <w:r>
              <w:rPr>
                <w:b/>
                <w:bCs/>
                <w:spacing w:val="-6"/>
              </w:rPr>
              <w:t>轻微</w:t>
            </w:r>
          </w:p>
        </w:tc>
        <w:tc>
          <w:tcPr>
            <w:tcW w:w="8324" w:type="dxa"/>
            <w:vAlign w:val="top"/>
          </w:tcPr>
          <w:p>
            <w:pPr>
              <w:pStyle w:val="TableText"/>
              <w:ind w:left="121"/>
              <w:spacing w:before="220" w:line="219" w:lineRule="auto"/>
              <w:rPr/>
            </w:pPr>
            <w:r>
              <w:rPr/>
              <w:t>取得印鉴卡的医疗机构未依照规定销毁麻醉药品和精神药品的</w:t>
            </w:r>
          </w:p>
        </w:tc>
        <w:tc>
          <w:tcPr>
            <w:tcW w:w="4131" w:type="dxa"/>
            <w:vAlign w:val="top"/>
          </w:tcPr>
          <w:p>
            <w:pPr>
              <w:pStyle w:val="TableText"/>
              <w:ind w:left="127"/>
              <w:spacing w:before="199" w:line="218" w:lineRule="auto"/>
              <w:rPr/>
            </w:pPr>
            <w:r>
              <w:rPr>
                <w:spacing w:val="4"/>
              </w:rPr>
              <w:t>给予警告</w:t>
            </w:r>
          </w:p>
        </w:tc>
      </w:tr>
      <w:tr>
        <w:trPr>
          <w:trHeight w:val="877" w:hRule="atLeast"/>
        </w:trPr>
        <w:tc>
          <w:tcPr>
            <w:tcW w:w="1454" w:type="dxa"/>
            <w:vAlign w:val="top"/>
          </w:tcPr>
          <w:p>
            <w:pPr>
              <w:spacing w:line="242" w:lineRule="auto"/>
              <w:rPr>
                <w:rFonts w:ascii="Arial"/>
                <w:sz w:val="21"/>
              </w:rPr>
            </w:pPr>
            <w:r/>
          </w:p>
          <w:p>
            <w:pPr>
              <w:pStyle w:val="TableText"/>
              <w:ind w:left="478"/>
              <w:spacing w:before="78" w:line="221" w:lineRule="auto"/>
              <w:rPr/>
            </w:pPr>
            <w:r>
              <w:rPr>
                <w:b/>
                <w:bCs/>
                <w:spacing w:val="-10"/>
              </w:rPr>
              <w:t>一般</w:t>
            </w:r>
          </w:p>
        </w:tc>
        <w:tc>
          <w:tcPr>
            <w:tcW w:w="8324" w:type="dxa"/>
            <w:vAlign w:val="top"/>
          </w:tcPr>
          <w:p>
            <w:pPr>
              <w:pStyle w:val="TableText"/>
              <w:ind w:left="120" w:right="272" w:hanging="9"/>
              <w:spacing w:before="152" w:line="275" w:lineRule="auto"/>
              <w:rPr/>
            </w:pPr>
            <w:r>
              <w:rPr/>
              <w:t>取得印鉴卡的医疗机构未依照规定销毁麻醉药品和精神药品的，责令限期改</w:t>
            </w:r>
            <w:r>
              <w:rPr>
                <w:spacing w:val="9"/>
              </w:rPr>
              <w:t xml:space="preserve"> </w:t>
            </w:r>
            <w:r>
              <w:rPr>
                <w:spacing w:val="2"/>
              </w:rPr>
              <w:t>正，逾期不改正的</w:t>
            </w:r>
          </w:p>
        </w:tc>
        <w:tc>
          <w:tcPr>
            <w:tcW w:w="4131" w:type="dxa"/>
            <w:vAlign w:val="top"/>
          </w:tcPr>
          <w:p>
            <w:pPr>
              <w:spacing w:line="294" w:lineRule="auto"/>
              <w:rPr>
                <w:rFonts w:ascii="Arial"/>
                <w:sz w:val="21"/>
              </w:rPr>
            </w:pPr>
            <w:r/>
          </w:p>
          <w:p>
            <w:pPr>
              <w:pStyle w:val="TableText"/>
              <w:ind w:left="127"/>
              <w:spacing w:before="78" w:line="220" w:lineRule="auto"/>
              <w:rPr/>
            </w:pPr>
            <w:r>
              <w:rPr/>
              <w:t>处5000元以上1万元以下的罚款</w:t>
            </w:r>
          </w:p>
        </w:tc>
      </w:tr>
      <w:tr>
        <w:trPr>
          <w:trHeight w:val="942" w:hRule="atLeast"/>
        </w:trPr>
        <w:tc>
          <w:tcPr>
            <w:tcW w:w="1454" w:type="dxa"/>
            <w:vAlign w:val="top"/>
          </w:tcPr>
          <w:p>
            <w:pPr>
              <w:spacing w:line="274" w:lineRule="auto"/>
              <w:rPr>
                <w:rFonts w:ascii="Arial"/>
                <w:sz w:val="21"/>
              </w:rPr>
            </w:pPr>
            <w:r/>
          </w:p>
          <w:p>
            <w:pPr>
              <w:pStyle w:val="TableText"/>
              <w:ind w:left="478"/>
              <w:spacing w:before="78" w:line="220" w:lineRule="auto"/>
              <w:rPr/>
            </w:pPr>
            <w:r>
              <w:rPr>
                <w:b/>
                <w:bCs/>
                <w:spacing w:val="-6"/>
              </w:rPr>
              <w:t>严重</w:t>
            </w:r>
          </w:p>
        </w:tc>
        <w:tc>
          <w:tcPr>
            <w:tcW w:w="8324" w:type="dxa"/>
            <w:vAlign w:val="top"/>
          </w:tcPr>
          <w:p>
            <w:pPr>
              <w:pStyle w:val="TableText"/>
              <w:ind w:left="120" w:right="33" w:hanging="9"/>
              <w:spacing w:before="185" w:line="287" w:lineRule="auto"/>
              <w:rPr/>
            </w:pPr>
            <w:r>
              <w:rPr/>
              <w:t>取得印鉴卡的医疗机构未依照规定销毁麻醉药品和精神药品的，情节严重或造</w:t>
            </w:r>
            <w:r>
              <w:rPr>
                <w:spacing w:val="8"/>
              </w:rPr>
              <w:t xml:space="preserve"> </w:t>
            </w:r>
            <w:r>
              <w:rPr>
                <w:spacing w:val="3"/>
              </w:rPr>
              <w:t>成严重后果的</w:t>
            </w:r>
          </w:p>
        </w:tc>
        <w:tc>
          <w:tcPr>
            <w:tcW w:w="4131" w:type="dxa"/>
            <w:vAlign w:val="top"/>
          </w:tcPr>
          <w:p>
            <w:pPr>
              <w:spacing w:line="277" w:lineRule="auto"/>
              <w:rPr>
                <w:rFonts w:ascii="Arial"/>
                <w:sz w:val="21"/>
              </w:rPr>
            </w:pPr>
            <w:r/>
          </w:p>
          <w:p>
            <w:pPr>
              <w:pStyle w:val="TableText"/>
              <w:ind w:left="127"/>
              <w:spacing w:before="78" w:line="219" w:lineRule="auto"/>
              <w:rPr/>
            </w:pPr>
            <w:r>
              <w:rPr/>
              <w:t>处1万元罚款，吊销其印鉴卡</w:t>
            </w:r>
          </w:p>
        </w:tc>
      </w:tr>
    </w:tbl>
    <w:p>
      <w:pPr>
        <w:pStyle w:val="BodyText"/>
        <w:spacing w:line="417" w:lineRule="auto"/>
        <w:rPr/>
      </w:pPr>
      <w:r/>
    </w:p>
    <w:p>
      <w:pPr>
        <w:ind w:left="4" w:right="30" w:firstLine="670"/>
        <w:spacing w:before="97" w:line="282" w:lineRule="auto"/>
        <w:rPr>
          <w:rFonts w:ascii="FangSong" w:hAnsi="FangSong" w:eastAsia="FangSong" w:cs="FangSong"/>
          <w:sz w:val="30"/>
          <w:szCs w:val="30"/>
        </w:rPr>
      </w:pPr>
      <w:r>
        <w:rPr>
          <w:rFonts w:ascii="FangSong" w:hAnsi="FangSong" w:eastAsia="FangSong" w:cs="FangSong"/>
          <w:sz w:val="30"/>
          <w:szCs w:val="30"/>
          <w:b/>
          <w:bCs/>
          <w:spacing w:val="20"/>
        </w:rPr>
        <w:t>第二百六十五条提供虚假材料、隐瞒有关情况，或者采取其他欺骗手段取得麻醉药品和精神药</w:t>
      </w:r>
      <w:r>
        <w:rPr>
          <w:rFonts w:ascii="FangSong" w:hAnsi="FangSong" w:eastAsia="FangSong" w:cs="FangSong"/>
          <w:sz w:val="30"/>
          <w:szCs w:val="30"/>
          <w:spacing w:val="3"/>
        </w:rPr>
        <w:t xml:space="preserve"> </w:t>
      </w:r>
      <w:r>
        <w:rPr>
          <w:rFonts w:ascii="FangSong" w:hAnsi="FangSong" w:eastAsia="FangSong" w:cs="FangSong"/>
          <w:sz w:val="30"/>
          <w:szCs w:val="30"/>
          <w:b/>
          <w:bCs/>
          <w:spacing w:val="11"/>
        </w:rPr>
        <w:t>品的使用资格的</w:t>
      </w:r>
    </w:p>
    <w:p>
      <w:pPr>
        <w:ind w:left="659"/>
        <w:spacing w:before="1"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firstLine="629"/>
        <w:spacing w:before="93" w:line="285" w:lineRule="auto"/>
        <w:rPr>
          <w:rFonts w:ascii="FangSong" w:hAnsi="FangSong" w:eastAsia="FangSong" w:cs="FangSong"/>
          <w:sz w:val="30"/>
          <w:szCs w:val="30"/>
        </w:rPr>
      </w:pPr>
      <w:r>
        <w:rPr>
          <w:rFonts w:ascii="FangSong" w:hAnsi="FangSong" w:eastAsia="FangSong" w:cs="FangSong"/>
          <w:sz w:val="30"/>
          <w:szCs w:val="30"/>
          <w:spacing w:val="17"/>
        </w:rPr>
        <w:t>《麻醉药品和精神药品管理条例》第七十五条</w:t>
      </w:r>
      <w:r>
        <w:rPr>
          <w:rFonts w:ascii="FangSong" w:hAnsi="FangSong" w:eastAsia="FangSong" w:cs="FangSong"/>
          <w:sz w:val="30"/>
          <w:szCs w:val="30"/>
          <w:spacing w:val="17"/>
        </w:rPr>
        <w:t xml:space="preserve">  </w:t>
      </w:r>
      <w:r>
        <w:rPr>
          <w:rFonts w:ascii="FangSong" w:hAnsi="FangSong" w:eastAsia="FangSong" w:cs="FangSong"/>
          <w:sz w:val="30"/>
          <w:szCs w:val="30"/>
          <w:spacing w:val="17"/>
        </w:rPr>
        <w:t>提供虚假材料、隐瞒有关情况，或者采</w:t>
      </w:r>
      <w:r>
        <w:rPr>
          <w:rFonts w:ascii="FangSong" w:hAnsi="FangSong" w:eastAsia="FangSong" w:cs="FangSong"/>
          <w:sz w:val="30"/>
          <w:szCs w:val="30"/>
          <w:spacing w:val="16"/>
        </w:rPr>
        <w:t>取其他欺</w:t>
      </w:r>
      <w:r>
        <w:rPr>
          <w:rFonts w:ascii="FangSong" w:hAnsi="FangSong" w:eastAsia="FangSong" w:cs="FangSong"/>
          <w:sz w:val="30"/>
          <w:szCs w:val="30"/>
        </w:rPr>
        <w:t xml:space="preserve"> </w:t>
      </w:r>
      <w:r>
        <w:rPr>
          <w:rFonts w:ascii="FangSong" w:hAnsi="FangSong" w:eastAsia="FangSong" w:cs="FangSong"/>
          <w:sz w:val="30"/>
          <w:szCs w:val="30"/>
          <w:spacing w:val="17"/>
        </w:rPr>
        <w:t>骗手段取得麻醉药品和精神药品的实验研究、生产、</w:t>
      </w:r>
      <w:r>
        <w:rPr>
          <w:rFonts w:ascii="FangSong" w:hAnsi="FangSong" w:eastAsia="FangSong" w:cs="FangSong"/>
          <w:sz w:val="30"/>
          <w:szCs w:val="30"/>
          <w:spacing w:val="16"/>
        </w:rPr>
        <w:t>经营、使用资格的，由原审批部门撤销其已取得</w:t>
      </w:r>
    </w:p>
    <w:p>
      <w:pPr>
        <w:pStyle w:val="BodyText"/>
        <w:spacing w:line="264" w:lineRule="auto"/>
        <w:rPr/>
      </w:pPr>
      <w:r/>
    </w:p>
    <w:p>
      <w:pPr>
        <w:pStyle w:val="BodyText"/>
        <w:spacing w:line="264" w:lineRule="auto"/>
        <w:rPr/>
      </w:pPr>
      <w:r/>
    </w:p>
    <w:p>
      <w:pPr>
        <w:ind w:left="6349"/>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—349—</w:t>
      </w:r>
    </w:p>
    <w:p>
      <w:pPr>
        <w:spacing w:line="188" w:lineRule="auto"/>
        <w:sectPr>
          <w:footerReference w:type="default" r:id="rId24"/>
          <w:pgSz w:w="16830" w:h="11900"/>
          <w:pgMar w:top="1011" w:right="1441" w:bottom="400" w:left="1430" w:header="0" w:footer="0" w:gutter="0"/>
        </w:sectPr>
        <w:rPr>
          <w:rFonts w:ascii="Times New Roman" w:hAnsi="Times New Roman" w:eastAsia="Times New Roman" w:cs="Times New Roman"/>
          <w:sz w:val="37"/>
          <w:szCs w:val="37"/>
        </w:rPr>
      </w:pPr>
    </w:p>
    <w:p>
      <w:pPr>
        <w:pStyle w:val="BodyText"/>
        <w:spacing w:line="257" w:lineRule="auto"/>
        <w:rPr/>
      </w:pPr>
      <w:r/>
    </w:p>
    <w:p>
      <w:pPr>
        <w:pStyle w:val="BodyText"/>
        <w:spacing w:line="257" w:lineRule="auto"/>
        <w:rPr/>
      </w:pPr>
      <w:r/>
    </w:p>
    <w:p>
      <w:pPr>
        <w:pStyle w:val="BodyText"/>
        <w:spacing w:line="257" w:lineRule="auto"/>
        <w:rPr/>
      </w:pPr>
      <w:r/>
    </w:p>
    <w:p>
      <w:pPr>
        <w:ind w:left="15" w:right="29"/>
        <w:spacing w:before="97" w:line="275" w:lineRule="auto"/>
        <w:rPr>
          <w:rFonts w:ascii="FangSong" w:hAnsi="FangSong" w:eastAsia="FangSong" w:cs="FangSong"/>
          <w:sz w:val="30"/>
          <w:szCs w:val="30"/>
        </w:rPr>
      </w:pPr>
      <w:bookmarkStart w:name="bookmark974" w:id="343"/>
      <w:bookmarkEnd w:id="343"/>
      <w:r>
        <w:rPr>
          <w:rFonts w:ascii="FangSong" w:hAnsi="FangSong" w:eastAsia="FangSong" w:cs="FangSong"/>
          <w:sz w:val="30"/>
          <w:szCs w:val="30"/>
          <w:spacing w:val="26"/>
        </w:rPr>
        <w:t>的资格，5年内不得提出有关麻醉药品和精神药品的申请；情节严重的，处1万元以上3万元以下的</w:t>
      </w:r>
      <w:r>
        <w:rPr>
          <w:rFonts w:ascii="FangSong" w:hAnsi="FangSong" w:eastAsia="FangSong" w:cs="FangSong"/>
          <w:sz w:val="30"/>
          <w:szCs w:val="30"/>
          <w:spacing w:val="14"/>
        </w:rPr>
        <w:t xml:space="preserve"> </w:t>
      </w:r>
      <w:r>
        <w:rPr>
          <w:rFonts w:ascii="FangSong" w:hAnsi="FangSong" w:eastAsia="FangSong" w:cs="FangSong"/>
          <w:sz w:val="30"/>
          <w:szCs w:val="30"/>
          <w:spacing w:val="18"/>
        </w:rPr>
        <w:t>罚款，有药品生产许可证、药品经营许可证、医疗机构执业许可证的，依法吊销其许可</w:t>
      </w:r>
      <w:r>
        <w:rPr>
          <w:rFonts w:ascii="FangSong" w:hAnsi="FangSong" w:eastAsia="FangSong" w:cs="FangSong"/>
          <w:sz w:val="30"/>
          <w:szCs w:val="30"/>
          <w:spacing w:val="17"/>
        </w:rPr>
        <w:t>证明文件。</w:t>
      </w:r>
    </w:p>
    <w:p>
      <w:pPr>
        <w:ind w:left="6419"/>
        <w:spacing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4"/>
        <w:gridCol w:w="7604"/>
        <w:gridCol w:w="4851"/>
      </w:tblGrid>
      <w:tr>
        <w:trPr>
          <w:trHeight w:val="553" w:hRule="atLeast"/>
        </w:trPr>
        <w:tc>
          <w:tcPr>
            <w:tcW w:w="1454" w:type="dxa"/>
            <w:vAlign w:val="top"/>
          </w:tcPr>
          <w:p>
            <w:pPr>
              <w:pStyle w:val="TableText"/>
              <w:ind w:left="218"/>
              <w:spacing w:before="152" w:line="220" w:lineRule="auto"/>
              <w:rPr>
                <w:sz w:val="25"/>
                <w:szCs w:val="25"/>
              </w:rPr>
            </w:pPr>
            <w:r>
              <w:rPr>
                <w:sz w:val="25"/>
                <w:szCs w:val="25"/>
                <w:b/>
                <w:bCs/>
                <w:spacing w:val="-5"/>
              </w:rPr>
              <w:t>违法程度</w:t>
            </w:r>
          </w:p>
        </w:tc>
        <w:tc>
          <w:tcPr>
            <w:tcW w:w="7604" w:type="dxa"/>
            <w:vAlign w:val="top"/>
          </w:tcPr>
          <w:p>
            <w:pPr>
              <w:pStyle w:val="TableText"/>
              <w:ind w:left="3294"/>
              <w:spacing w:before="152" w:line="220" w:lineRule="auto"/>
              <w:rPr>
                <w:sz w:val="25"/>
                <w:szCs w:val="25"/>
              </w:rPr>
            </w:pPr>
            <w:r>
              <w:rPr>
                <w:sz w:val="25"/>
                <w:szCs w:val="25"/>
                <w:b/>
                <w:bCs/>
                <w:spacing w:val="-5"/>
              </w:rPr>
              <w:t>违法后果</w:t>
            </w:r>
          </w:p>
        </w:tc>
        <w:tc>
          <w:tcPr>
            <w:tcW w:w="4851" w:type="dxa"/>
            <w:vAlign w:val="top"/>
          </w:tcPr>
          <w:p>
            <w:pPr>
              <w:pStyle w:val="TableText"/>
              <w:ind w:left="1920"/>
              <w:spacing w:before="149" w:line="218" w:lineRule="auto"/>
              <w:rPr>
                <w:sz w:val="25"/>
                <w:szCs w:val="25"/>
              </w:rPr>
            </w:pPr>
            <w:r>
              <w:rPr>
                <w:sz w:val="25"/>
                <w:szCs w:val="25"/>
                <w:b/>
                <w:bCs/>
                <w:spacing w:val="-5"/>
              </w:rPr>
              <w:t>裁量幅度</w:t>
            </w:r>
          </w:p>
        </w:tc>
      </w:tr>
      <w:tr>
        <w:trPr>
          <w:trHeight w:val="886" w:hRule="atLeast"/>
        </w:trPr>
        <w:tc>
          <w:tcPr>
            <w:tcW w:w="1454" w:type="dxa"/>
            <w:vAlign w:val="top"/>
          </w:tcPr>
          <w:p>
            <w:pPr>
              <w:pStyle w:val="TableText"/>
              <w:ind w:left="468"/>
              <w:spacing w:before="320" w:line="221" w:lineRule="auto"/>
              <w:rPr>
                <w:sz w:val="25"/>
                <w:szCs w:val="25"/>
              </w:rPr>
            </w:pPr>
            <w:r>
              <w:rPr>
                <w:sz w:val="25"/>
                <w:szCs w:val="25"/>
                <w:b/>
                <w:bCs/>
                <w:spacing w:val="-10"/>
              </w:rPr>
              <w:t>一般</w:t>
            </w:r>
          </w:p>
        </w:tc>
        <w:tc>
          <w:tcPr>
            <w:tcW w:w="7604" w:type="dxa"/>
            <w:vAlign w:val="top"/>
          </w:tcPr>
          <w:p>
            <w:pPr>
              <w:pStyle w:val="TableText"/>
              <w:ind w:left="100" w:hanging="89"/>
              <w:spacing w:before="142" w:line="271" w:lineRule="auto"/>
              <w:rPr>
                <w:sz w:val="25"/>
                <w:szCs w:val="25"/>
              </w:rPr>
            </w:pPr>
            <w:r>
              <w:rPr>
                <w:sz w:val="25"/>
                <w:szCs w:val="25"/>
                <w:spacing w:val="-6"/>
              </w:rPr>
              <w:t>提供虚假材料、隐瞒有关情况，或者采取其他欺骗手段取得麻醉药品和</w:t>
            </w:r>
            <w:r>
              <w:rPr>
                <w:sz w:val="25"/>
                <w:szCs w:val="25"/>
                <w:spacing w:val="17"/>
              </w:rPr>
              <w:t xml:space="preserve"> </w:t>
            </w:r>
            <w:r>
              <w:rPr>
                <w:sz w:val="25"/>
                <w:szCs w:val="25"/>
              </w:rPr>
              <w:t>精神药品的使用资格，未造成危害后果的</w:t>
            </w:r>
          </w:p>
        </w:tc>
        <w:tc>
          <w:tcPr>
            <w:tcW w:w="4851" w:type="dxa"/>
            <w:vAlign w:val="top"/>
          </w:tcPr>
          <w:p>
            <w:pPr>
              <w:pStyle w:val="TableText"/>
              <w:ind w:left="125" w:hanging="109"/>
              <w:spacing w:before="142" w:line="271" w:lineRule="auto"/>
              <w:rPr>
                <w:sz w:val="25"/>
                <w:szCs w:val="25"/>
              </w:rPr>
            </w:pPr>
            <w:r>
              <w:rPr>
                <w:sz w:val="25"/>
                <w:szCs w:val="25"/>
                <w:spacing w:val="-3"/>
              </w:rPr>
              <w:t>由原审批部门撤销其已取得的资格，5年内不</w:t>
            </w:r>
            <w:r>
              <w:rPr>
                <w:sz w:val="25"/>
                <w:szCs w:val="25"/>
                <w:spacing w:val="8"/>
              </w:rPr>
              <w:t xml:space="preserve"> </w:t>
            </w:r>
            <w:r>
              <w:rPr>
                <w:sz w:val="25"/>
                <w:szCs w:val="25"/>
              </w:rPr>
              <w:t>得提出有关麻醉药品和精神药品的申请</w:t>
            </w:r>
          </w:p>
        </w:tc>
      </w:tr>
      <w:tr>
        <w:trPr>
          <w:trHeight w:val="861" w:hRule="atLeast"/>
        </w:trPr>
        <w:tc>
          <w:tcPr>
            <w:tcW w:w="1454" w:type="dxa"/>
            <w:vAlign w:val="top"/>
          </w:tcPr>
          <w:p>
            <w:pPr>
              <w:spacing w:line="280" w:lineRule="auto"/>
              <w:rPr>
                <w:rFonts w:ascii="Arial"/>
                <w:sz w:val="21"/>
              </w:rPr>
            </w:pPr>
            <w:r/>
          </w:p>
          <w:p>
            <w:pPr>
              <w:pStyle w:val="TableText"/>
              <w:ind w:left="468"/>
              <w:spacing w:before="81" w:line="220" w:lineRule="auto"/>
              <w:rPr>
                <w:sz w:val="25"/>
                <w:szCs w:val="25"/>
              </w:rPr>
            </w:pPr>
            <w:r>
              <w:rPr>
                <w:sz w:val="25"/>
                <w:szCs w:val="25"/>
                <w:b/>
                <w:bCs/>
                <w:spacing w:val="-6"/>
              </w:rPr>
              <w:t>严重</w:t>
            </w:r>
          </w:p>
        </w:tc>
        <w:tc>
          <w:tcPr>
            <w:tcW w:w="7604" w:type="dxa"/>
            <w:vAlign w:val="top"/>
          </w:tcPr>
          <w:p>
            <w:pPr>
              <w:pStyle w:val="TableText"/>
              <w:ind w:left="100" w:hanging="89"/>
              <w:spacing w:before="144" w:line="261" w:lineRule="auto"/>
              <w:rPr>
                <w:sz w:val="25"/>
                <w:szCs w:val="25"/>
              </w:rPr>
            </w:pPr>
            <w:r>
              <w:rPr>
                <w:sz w:val="25"/>
                <w:szCs w:val="25"/>
                <w:spacing w:val="-6"/>
              </w:rPr>
              <w:t>提供虚假材料、隐瞒有关情况，或者采取其他欺骗手段取得麻醉药品和</w:t>
            </w:r>
            <w:r>
              <w:rPr>
                <w:sz w:val="25"/>
                <w:szCs w:val="25"/>
                <w:spacing w:val="17"/>
              </w:rPr>
              <w:t xml:space="preserve"> </w:t>
            </w:r>
            <w:r>
              <w:rPr>
                <w:sz w:val="25"/>
                <w:szCs w:val="25"/>
              </w:rPr>
              <w:t>精神药品的使用资格，造成危害后果的</w:t>
            </w:r>
          </w:p>
        </w:tc>
        <w:tc>
          <w:tcPr>
            <w:tcW w:w="4851" w:type="dxa"/>
            <w:vAlign w:val="top"/>
          </w:tcPr>
          <w:p>
            <w:pPr>
              <w:pStyle w:val="TableText"/>
              <w:ind w:left="106" w:right="158" w:firstLine="60"/>
              <w:spacing w:before="146" w:line="260" w:lineRule="auto"/>
              <w:rPr>
                <w:sz w:val="25"/>
                <w:szCs w:val="25"/>
              </w:rPr>
            </w:pPr>
            <w:r>
              <w:rPr>
                <w:sz w:val="25"/>
                <w:szCs w:val="25"/>
              </w:rPr>
              <w:t>处1万元以上3万元以下的罚款，吊销《医</w:t>
            </w:r>
            <w:r>
              <w:rPr>
                <w:sz w:val="25"/>
                <w:szCs w:val="25"/>
                <w:spacing w:val="14"/>
              </w:rPr>
              <w:t xml:space="preserve"> </w:t>
            </w:r>
            <w:r>
              <w:rPr>
                <w:sz w:val="25"/>
                <w:szCs w:val="25"/>
                <w:spacing w:val="-2"/>
              </w:rPr>
              <w:t>疗机构执业许可证》</w:t>
            </w:r>
          </w:p>
        </w:tc>
      </w:tr>
    </w:tbl>
    <w:p>
      <w:pPr>
        <w:pStyle w:val="BodyText"/>
        <w:spacing w:line="427" w:lineRule="auto"/>
        <w:rPr/>
      </w:pPr>
      <w:r/>
    </w:p>
    <w:p>
      <w:pPr>
        <w:ind w:left="19" w:right="15" w:firstLine="649"/>
        <w:spacing w:before="98" w:line="276" w:lineRule="auto"/>
        <w:rPr>
          <w:rFonts w:ascii="FangSong" w:hAnsi="FangSong" w:eastAsia="FangSong" w:cs="FangSong"/>
          <w:sz w:val="30"/>
          <w:szCs w:val="30"/>
        </w:rPr>
      </w:pPr>
      <w:r>
        <w:rPr>
          <w:rFonts w:ascii="FangSong" w:hAnsi="FangSong" w:eastAsia="FangSong" w:cs="FangSong"/>
          <w:sz w:val="30"/>
          <w:szCs w:val="30"/>
          <w:b/>
          <w:bCs/>
          <w:spacing w:val="21"/>
        </w:rPr>
        <w:t>第二百六十六条发生麻醉药品和精神药品被</w:t>
      </w:r>
      <w:r>
        <w:rPr>
          <w:rFonts w:ascii="FangSong" w:hAnsi="FangSong" w:eastAsia="FangSong" w:cs="FangSong"/>
          <w:sz w:val="30"/>
          <w:szCs w:val="30"/>
          <w:b/>
          <w:bCs/>
          <w:spacing w:val="20"/>
        </w:rPr>
        <w:t>盗、被抢、丢失案件的单位，未采取必要的控制措</w:t>
      </w:r>
      <w:r>
        <w:rPr>
          <w:rFonts w:ascii="FangSong" w:hAnsi="FangSong" w:eastAsia="FangSong" w:cs="FangSong"/>
          <w:sz w:val="30"/>
          <w:szCs w:val="30"/>
        </w:rPr>
        <w:t xml:space="preserve"> </w:t>
      </w:r>
      <w:r>
        <w:rPr>
          <w:rFonts w:ascii="FangSong" w:hAnsi="FangSong" w:eastAsia="FangSong" w:cs="FangSong"/>
          <w:sz w:val="30"/>
          <w:szCs w:val="30"/>
          <w:b/>
          <w:bCs/>
          <w:spacing w:val="15"/>
        </w:rPr>
        <w:t>施或者未依照规定报告的</w:t>
      </w:r>
    </w:p>
    <w:p>
      <w:pPr>
        <w:ind w:left="654"/>
        <w:spacing w:line="222" w:lineRule="auto"/>
        <w:rPr>
          <w:rFonts w:ascii="FangSong" w:hAnsi="FangSong" w:eastAsia="FangSong" w:cs="FangSong"/>
          <w:sz w:val="30"/>
          <w:szCs w:val="30"/>
        </w:rPr>
      </w:pPr>
      <w:r>
        <w:rPr>
          <w:rFonts w:ascii="FangSong" w:hAnsi="FangSong" w:eastAsia="FangSong" w:cs="FangSong"/>
          <w:sz w:val="30"/>
          <w:szCs w:val="30"/>
        </w:rPr>
        <w:t>法律依据：</w:t>
      </w:r>
    </w:p>
    <w:p>
      <w:pPr>
        <w:ind w:left="15" w:firstLine="619"/>
        <w:spacing w:before="74" w:line="272" w:lineRule="auto"/>
        <w:jc w:val="both"/>
        <w:rPr>
          <w:rFonts w:ascii="FangSong" w:hAnsi="FangSong" w:eastAsia="FangSong" w:cs="FangSong"/>
          <w:sz w:val="30"/>
          <w:szCs w:val="30"/>
        </w:rPr>
      </w:pPr>
      <w:r>
        <w:rPr>
          <w:rFonts w:ascii="FangSong" w:hAnsi="FangSong" w:eastAsia="FangSong" w:cs="FangSong"/>
          <w:sz w:val="30"/>
          <w:szCs w:val="30"/>
          <w:spacing w:val="14"/>
        </w:rPr>
        <w:t>《麻醉药品和精神药品管理条例》第八十条</w:t>
      </w:r>
      <w:r>
        <w:rPr>
          <w:rFonts w:ascii="FangSong" w:hAnsi="FangSong" w:eastAsia="FangSong" w:cs="FangSong"/>
          <w:sz w:val="30"/>
          <w:szCs w:val="30"/>
          <w:spacing w:val="72"/>
        </w:rPr>
        <w:t xml:space="preserve">  </w:t>
      </w:r>
      <w:r>
        <w:rPr>
          <w:rFonts w:ascii="FangSong" w:hAnsi="FangSong" w:eastAsia="FangSong" w:cs="FangSong"/>
          <w:sz w:val="30"/>
          <w:szCs w:val="30"/>
          <w:spacing w:val="14"/>
        </w:rPr>
        <w:t>发生麻醉药品和精神药品被盗、被抢、丢失案件的</w:t>
      </w:r>
      <w:r>
        <w:rPr>
          <w:rFonts w:ascii="FangSong" w:hAnsi="FangSong" w:eastAsia="FangSong" w:cs="FangSong"/>
          <w:sz w:val="30"/>
          <w:szCs w:val="30"/>
        </w:rPr>
        <w:t xml:space="preserve"> </w:t>
      </w:r>
      <w:r>
        <w:rPr>
          <w:rFonts w:ascii="FangSong" w:hAnsi="FangSong" w:eastAsia="FangSong" w:cs="FangSong"/>
          <w:sz w:val="30"/>
          <w:szCs w:val="30"/>
          <w:spacing w:val="16"/>
        </w:rPr>
        <w:t>单位，违反本条例的规定未采取必要的控制措施或者未依照</w:t>
      </w:r>
      <w:r>
        <w:rPr>
          <w:rFonts w:ascii="FangSong" w:hAnsi="FangSong" w:eastAsia="FangSong" w:cs="FangSong"/>
          <w:sz w:val="30"/>
          <w:szCs w:val="30"/>
          <w:spacing w:val="15"/>
        </w:rPr>
        <w:t>本条例的规定报告的，由药品监督管理部</w:t>
      </w:r>
      <w:r>
        <w:rPr>
          <w:rFonts w:ascii="FangSong" w:hAnsi="FangSong" w:eastAsia="FangSong" w:cs="FangSong"/>
          <w:sz w:val="30"/>
          <w:szCs w:val="30"/>
        </w:rPr>
        <w:t xml:space="preserve"> </w:t>
      </w:r>
      <w:r>
        <w:rPr>
          <w:rFonts w:ascii="FangSong" w:hAnsi="FangSong" w:eastAsia="FangSong" w:cs="FangSong"/>
          <w:sz w:val="30"/>
          <w:szCs w:val="30"/>
          <w:spacing w:val="26"/>
        </w:rPr>
        <w:t>门和卫生主管部门依照各自职责，责令改正，给予警告；情节严重的，处5</w:t>
      </w:r>
      <w:r>
        <w:rPr>
          <w:rFonts w:ascii="FangSong" w:hAnsi="FangSong" w:eastAsia="FangSong" w:cs="FangSong"/>
          <w:sz w:val="30"/>
          <w:szCs w:val="30"/>
          <w:spacing w:val="25"/>
        </w:rPr>
        <w:t>000元以上1万元以下的</w:t>
      </w:r>
      <w:r>
        <w:rPr>
          <w:rFonts w:ascii="FangSong" w:hAnsi="FangSong" w:eastAsia="FangSong" w:cs="FangSong"/>
          <w:sz w:val="30"/>
          <w:szCs w:val="30"/>
        </w:rPr>
        <w:t xml:space="preserve"> </w:t>
      </w:r>
      <w:r>
        <w:rPr>
          <w:rFonts w:ascii="FangSong" w:hAnsi="FangSong" w:eastAsia="FangSong" w:cs="FangSong"/>
          <w:sz w:val="30"/>
          <w:szCs w:val="30"/>
          <w:spacing w:val="16"/>
        </w:rPr>
        <w:t>罚款；有上级主管部门的，由其上级主管部门对直接负责的主管人员和其他直接责任人员，依法给予</w:t>
      </w:r>
      <w:r>
        <w:rPr>
          <w:rFonts w:ascii="FangSong" w:hAnsi="FangSong" w:eastAsia="FangSong" w:cs="FangSong"/>
          <w:sz w:val="30"/>
          <w:szCs w:val="30"/>
          <w:spacing w:val="9"/>
        </w:rPr>
        <w:t xml:space="preserve"> </w:t>
      </w:r>
      <w:r>
        <w:rPr>
          <w:rFonts w:ascii="FangSong" w:hAnsi="FangSong" w:eastAsia="FangSong" w:cs="FangSong"/>
          <w:sz w:val="30"/>
          <w:szCs w:val="30"/>
          <w:spacing w:val="9"/>
        </w:rPr>
        <w:t>降级、撤职的处分。</w:t>
      </w:r>
    </w:p>
    <w:p>
      <w:pPr>
        <w:ind w:left="6419"/>
        <w:spacing w:before="1" w:line="220" w:lineRule="auto"/>
        <w:rPr>
          <w:rFonts w:ascii="SimHei" w:hAnsi="SimHei" w:eastAsia="SimHei" w:cs="SimHei"/>
          <w:sz w:val="30"/>
          <w:szCs w:val="30"/>
        </w:rPr>
      </w:pPr>
      <w:r>
        <w:rPr>
          <w:rFonts w:ascii="SimHei" w:hAnsi="SimHei" w:eastAsia="SimHei" w:cs="SimHei"/>
          <w:sz w:val="30"/>
          <w:szCs w:val="30"/>
          <w:b/>
          <w:bCs/>
          <w:spacing w:val="-17"/>
        </w:rPr>
        <w:t>裁量标准</w:t>
      </w:r>
    </w:p>
    <w:p>
      <w:pPr>
        <w:pStyle w:val="BodyText"/>
        <w:spacing w:line="265" w:lineRule="auto"/>
        <w:rPr/>
      </w:pPr>
      <w:r/>
    </w:p>
    <w:p>
      <w:pPr>
        <w:pStyle w:val="BodyText"/>
        <w:spacing w:line="265" w:lineRule="auto"/>
        <w:rPr/>
      </w:pPr>
      <w:r/>
    </w:p>
    <w:p>
      <w:pPr>
        <w:pStyle w:val="BodyText"/>
        <w:spacing w:line="266" w:lineRule="auto"/>
        <w:rPr/>
      </w:pPr>
      <w:r/>
    </w:p>
    <w:p>
      <w:pPr>
        <w:ind w:left="6345"/>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—350—</w:t>
      </w:r>
    </w:p>
    <w:p>
      <w:pPr>
        <w:spacing w:line="188" w:lineRule="auto"/>
        <w:sectPr>
          <w:pgSz w:w="16830" w:h="11900"/>
          <w:pgMar w:top="1011" w:right="1440" w:bottom="400" w:left="1434" w:header="0" w:footer="0" w:gutter="0"/>
        </w:sectPr>
        <w:rPr>
          <w:rFonts w:ascii="Times New Roman" w:hAnsi="Times New Roman" w:eastAsia="Times New Roman" w:cs="Times New Roman"/>
          <w:sz w:val="37"/>
          <w:szCs w:val="37"/>
        </w:rPr>
      </w:pPr>
    </w:p>
    <w:p>
      <w:pPr>
        <w:spacing w:before="17"/>
        <w:rPr/>
      </w:pPr>
      <w:r/>
    </w:p>
    <w:p>
      <w:pPr>
        <w:spacing w:before="16"/>
        <w:rPr/>
      </w:pPr>
      <w:r/>
    </w:p>
    <w:p>
      <w:pPr>
        <w:spacing w:before="16"/>
        <w:rPr/>
      </w:pPr>
      <w:r/>
    </w:p>
    <w:tbl>
      <w:tblPr>
        <w:tblStyle w:val="TableNormal"/>
        <w:tblW w:w="139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9163"/>
        <w:gridCol w:w="3323"/>
      </w:tblGrid>
      <w:tr>
        <w:trPr>
          <w:trHeight w:val="554" w:hRule="atLeast"/>
        </w:trPr>
        <w:tc>
          <w:tcPr>
            <w:tcW w:w="1414" w:type="dxa"/>
            <w:vAlign w:val="top"/>
          </w:tcPr>
          <w:p>
            <w:pPr>
              <w:pStyle w:val="TableText"/>
              <w:ind w:left="118"/>
              <w:spacing w:before="16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9163" w:type="dxa"/>
            <w:vAlign w:val="top"/>
          </w:tcPr>
          <w:p>
            <w:pPr>
              <w:pStyle w:val="TableText"/>
              <w:ind w:left="4024"/>
              <w:spacing w:before="162" w:line="220" w:lineRule="auto"/>
              <w:rPr/>
            </w:pPr>
            <w:r>
              <w:rPr>
                <w:b/>
                <w:bCs/>
                <w:spacing w:val="-11"/>
              </w:rPr>
              <w:t>违</w:t>
            </w:r>
            <w:r>
              <w:rPr>
                <w:spacing w:val="-36"/>
              </w:rPr>
              <w:t xml:space="preserve"> </w:t>
            </w:r>
            <w:r>
              <w:rPr>
                <w:b/>
                <w:bCs/>
                <w:spacing w:val="-11"/>
              </w:rPr>
              <w:t>法</w:t>
            </w:r>
            <w:r>
              <w:rPr>
                <w:spacing w:val="-36"/>
              </w:rPr>
              <w:t xml:space="preserve"> </w:t>
            </w:r>
            <w:r>
              <w:rPr>
                <w:b/>
                <w:bCs/>
                <w:spacing w:val="-11"/>
              </w:rPr>
              <w:t>后</w:t>
            </w:r>
            <w:r>
              <w:rPr>
                <w:spacing w:val="-34"/>
              </w:rPr>
              <w:t xml:space="preserve"> </w:t>
            </w:r>
            <w:r>
              <w:rPr>
                <w:b/>
                <w:bCs/>
                <w:spacing w:val="-11"/>
              </w:rPr>
              <w:t>果</w:t>
            </w:r>
          </w:p>
        </w:tc>
        <w:tc>
          <w:tcPr>
            <w:tcW w:w="3323" w:type="dxa"/>
            <w:vAlign w:val="top"/>
          </w:tcPr>
          <w:p>
            <w:pPr>
              <w:pStyle w:val="TableText"/>
              <w:ind w:left="1101"/>
              <w:spacing w:before="159" w:line="218" w:lineRule="auto"/>
              <w:rPr/>
            </w:pPr>
            <w:r>
              <w:rPr>
                <w:b/>
                <w:bCs/>
                <w:spacing w:val="-5"/>
              </w:rPr>
              <w:t>裁量幅度</w:t>
            </w:r>
          </w:p>
        </w:tc>
      </w:tr>
      <w:tr>
        <w:trPr>
          <w:trHeight w:val="1318" w:hRule="atLeast"/>
        </w:trPr>
        <w:tc>
          <w:tcPr>
            <w:tcW w:w="1414" w:type="dxa"/>
            <w:vAlign w:val="top"/>
          </w:tcPr>
          <w:p>
            <w:pPr>
              <w:spacing w:line="458" w:lineRule="auto"/>
              <w:rPr>
                <w:rFonts w:ascii="Arial"/>
                <w:sz w:val="21"/>
              </w:rPr>
            </w:pPr>
            <w:r/>
          </w:p>
          <w:p>
            <w:pPr>
              <w:pStyle w:val="TableText"/>
              <w:ind w:left="458"/>
              <w:spacing w:before="78" w:line="221" w:lineRule="auto"/>
              <w:rPr/>
            </w:pPr>
            <w:r>
              <w:rPr>
                <w:b/>
                <w:bCs/>
                <w:spacing w:val="-10"/>
              </w:rPr>
              <w:t>一般</w:t>
            </w:r>
          </w:p>
        </w:tc>
        <w:tc>
          <w:tcPr>
            <w:tcW w:w="9163" w:type="dxa"/>
            <w:vAlign w:val="top"/>
          </w:tcPr>
          <w:p>
            <w:pPr>
              <w:pStyle w:val="TableText"/>
              <w:ind w:left="119" w:hanging="19"/>
              <w:spacing w:before="161" w:line="294" w:lineRule="auto"/>
              <w:jc w:val="both"/>
              <w:rPr/>
            </w:pPr>
            <w:r>
              <w:rPr>
                <w:spacing w:val="-2"/>
              </w:rPr>
              <w:t>发生麻醉药品和精神药品被盗、被抢、丢失案件的单位，违反《麻醉药品和精神药品</w:t>
            </w:r>
            <w:r>
              <w:rPr>
                <w:spacing w:val="3"/>
              </w:rPr>
              <w:t xml:space="preserve">   </w:t>
            </w:r>
            <w:r>
              <w:rPr>
                <w:spacing w:val="-2"/>
              </w:rPr>
              <w:t>管理条例》的规定未采取必要的控制措施或者未依照《麻</w:t>
            </w:r>
            <w:r>
              <w:rPr>
                <w:spacing w:val="-3"/>
              </w:rPr>
              <w:t>醉药品和精神药品管理条例》</w:t>
            </w:r>
            <w:r>
              <w:rPr/>
              <w:t xml:space="preserve"> </w:t>
            </w:r>
            <w:r>
              <w:rPr>
                <w:spacing w:val="-2"/>
              </w:rPr>
              <w:t>的规定报告，麻醉药品和精神药品被盗、被抢、丢失数量较少且未造成社会危害后果</w:t>
            </w:r>
          </w:p>
        </w:tc>
        <w:tc>
          <w:tcPr>
            <w:tcW w:w="3323" w:type="dxa"/>
            <w:vAlign w:val="top"/>
          </w:tcPr>
          <w:p>
            <w:pPr>
              <w:spacing w:line="458" w:lineRule="auto"/>
              <w:rPr>
                <w:rFonts w:ascii="Arial"/>
                <w:sz w:val="21"/>
              </w:rPr>
            </w:pPr>
            <w:r/>
          </w:p>
          <w:p>
            <w:pPr>
              <w:pStyle w:val="TableText"/>
              <w:ind w:left="118"/>
              <w:spacing w:before="78" w:line="218" w:lineRule="auto"/>
              <w:rPr/>
            </w:pPr>
            <w:r>
              <w:rPr>
                <w:spacing w:val="4"/>
              </w:rPr>
              <w:t>给予警告</w:t>
            </w:r>
          </w:p>
        </w:tc>
      </w:tr>
      <w:tr>
        <w:trPr>
          <w:trHeight w:val="2636" w:hRule="atLeast"/>
        </w:trPr>
        <w:tc>
          <w:tcPr>
            <w:tcW w:w="1414" w:type="dxa"/>
            <w:vAlign w:val="top"/>
          </w:tcPr>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458"/>
              <w:spacing w:before="78" w:line="220" w:lineRule="auto"/>
              <w:rPr/>
            </w:pPr>
            <w:r>
              <w:rPr>
                <w:b/>
                <w:bCs/>
                <w:spacing w:val="-6"/>
              </w:rPr>
              <w:t>严重</w:t>
            </w:r>
          </w:p>
        </w:tc>
        <w:tc>
          <w:tcPr>
            <w:tcW w:w="9163" w:type="dxa"/>
            <w:vAlign w:val="top"/>
          </w:tcPr>
          <w:p>
            <w:pPr>
              <w:pStyle w:val="TableText"/>
              <w:ind w:left="100"/>
              <w:spacing w:before="162" w:line="335" w:lineRule="auto"/>
              <w:jc w:val="both"/>
              <w:rPr/>
            </w:pPr>
            <w:r>
              <w:rPr>
                <w:spacing w:val="-2"/>
              </w:rPr>
              <w:t>发生麻醉药品和精神药品被盗、被抢、丢失案件的单位，违反《麻醉药品和精神药品</w:t>
            </w:r>
            <w:r>
              <w:rPr>
                <w:spacing w:val="3"/>
              </w:rPr>
              <w:t xml:space="preserve">   </w:t>
            </w:r>
            <w:r>
              <w:rPr>
                <w:spacing w:val="-2"/>
              </w:rPr>
              <w:t>管理条例》的规定未采取必要的控制措施或者未依照《麻醉药品和精神药品管理条例》</w:t>
            </w:r>
            <w:r>
              <w:rPr>
                <w:spacing w:val="7"/>
              </w:rPr>
              <w:t xml:space="preserve"> </w:t>
            </w:r>
            <w:r>
              <w:rPr>
                <w:spacing w:val="-1"/>
              </w:rPr>
              <w:t>的规定报告，有下列情形之一的：</w:t>
            </w:r>
          </w:p>
          <w:p>
            <w:pPr>
              <w:pStyle w:val="TableText"/>
              <w:ind w:left="100"/>
              <w:spacing w:before="2" w:line="219" w:lineRule="auto"/>
              <w:rPr/>
            </w:pPr>
            <w:r>
              <w:rPr>
                <w:spacing w:val="1"/>
              </w:rPr>
              <w:t>A.麻醉药品和精神药品被盗、被抢、丢失数量</w:t>
            </w:r>
            <w:r>
              <w:rPr/>
              <w:t>较多</w:t>
            </w:r>
          </w:p>
          <w:p>
            <w:pPr>
              <w:pStyle w:val="TableText"/>
              <w:ind w:left="100"/>
              <w:spacing w:before="157" w:line="220" w:lineRule="auto"/>
              <w:rPr/>
            </w:pPr>
            <w:r>
              <w:rPr>
                <w:spacing w:val="1"/>
              </w:rPr>
              <w:t>B.曾因此受到过行政处罚的</w:t>
            </w:r>
          </w:p>
          <w:p>
            <w:pPr>
              <w:pStyle w:val="TableText"/>
              <w:ind w:left="100"/>
              <w:spacing w:before="162" w:line="203" w:lineRule="auto"/>
              <w:rPr/>
            </w:pPr>
            <w:r>
              <w:rPr/>
              <w:t>C.造成一定社会危害后果或者其他危害后果</w:t>
            </w:r>
          </w:p>
        </w:tc>
        <w:tc>
          <w:tcPr>
            <w:tcW w:w="3323" w:type="dxa"/>
            <w:vAlign w:val="top"/>
          </w:tcPr>
          <w:p>
            <w:pPr>
              <w:spacing w:line="316" w:lineRule="auto"/>
              <w:rPr>
                <w:rFonts w:ascii="Arial"/>
                <w:sz w:val="21"/>
              </w:rPr>
            </w:pPr>
            <w:r/>
          </w:p>
          <w:p>
            <w:pPr>
              <w:spacing w:line="317" w:lineRule="auto"/>
              <w:rPr>
                <w:rFonts w:ascii="Arial"/>
                <w:sz w:val="21"/>
              </w:rPr>
            </w:pPr>
            <w:r/>
          </w:p>
          <w:p>
            <w:pPr>
              <w:spacing w:line="317" w:lineRule="auto"/>
              <w:rPr>
                <w:rFonts w:ascii="Arial"/>
                <w:sz w:val="21"/>
              </w:rPr>
            </w:pPr>
            <w:r/>
          </w:p>
          <w:p>
            <w:pPr>
              <w:pStyle w:val="TableText"/>
              <w:ind w:left="118" w:right="255" w:firstLine="29"/>
              <w:spacing w:before="78" w:line="334" w:lineRule="auto"/>
              <w:rPr/>
            </w:pPr>
            <w:r>
              <w:rPr>
                <w:spacing w:val="1"/>
              </w:rPr>
              <w:t>处5000元以上8000元以下罚</w:t>
            </w:r>
            <w:r>
              <w:rPr>
                <w:spacing w:val="12"/>
              </w:rPr>
              <w:t xml:space="preserve"> </w:t>
            </w:r>
            <w:r>
              <w:rPr/>
              <w:t>款</w:t>
            </w:r>
          </w:p>
        </w:tc>
      </w:tr>
      <w:tr>
        <w:trPr>
          <w:trHeight w:val="2641" w:hRule="atLeast"/>
        </w:trPr>
        <w:tc>
          <w:tcPr>
            <w:tcW w:w="1414" w:type="dxa"/>
            <w:vAlign w:val="top"/>
          </w:tcPr>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218"/>
              <w:spacing w:before="78" w:line="219" w:lineRule="auto"/>
              <w:rPr/>
            </w:pPr>
            <w:r>
              <w:rPr>
                <w:b/>
                <w:bCs/>
                <w:spacing w:val="-5"/>
              </w:rPr>
              <w:t>特别严重</w:t>
            </w:r>
          </w:p>
        </w:tc>
        <w:tc>
          <w:tcPr>
            <w:tcW w:w="9163" w:type="dxa"/>
            <w:vAlign w:val="top"/>
          </w:tcPr>
          <w:p>
            <w:pPr>
              <w:pStyle w:val="TableText"/>
              <w:ind w:left="100"/>
              <w:spacing w:before="167" w:line="338" w:lineRule="auto"/>
              <w:jc w:val="both"/>
              <w:rPr/>
            </w:pPr>
            <w:r>
              <w:rPr>
                <w:spacing w:val="-2"/>
              </w:rPr>
              <w:t>发生麻醉药品和精神药品被盗、被抢、丢失案件的单位，违反《麻醉药品和精神药品</w:t>
            </w:r>
            <w:r>
              <w:rPr>
                <w:spacing w:val="3"/>
              </w:rPr>
              <w:t xml:space="preserve">   </w:t>
            </w:r>
            <w:r>
              <w:rPr>
                <w:spacing w:val="-2"/>
              </w:rPr>
              <w:t>管理条例》的规定未采取必要的控制措施或者未依照《麻醉药品和精神药品管理条例》</w:t>
            </w:r>
            <w:r>
              <w:rPr>
                <w:spacing w:val="7"/>
              </w:rPr>
              <w:t xml:space="preserve"> </w:t>
            </w:r>
            <w:r>
              <w:rPr>
                <w:spacing w:val="-1"/>
              </w:rPr>
              <w:t>的规定报告，有下列情形之一的：</w:t>
            </w:r>
          </w:p>
          <w:p>
            <w:pPr>
              <w:pStyle w:val="TableText"/>
              <w:ind w:left="100"/>
              <w:spacing w:line="218" w:lineRule="auto"/>
              <w:rPr/>
            </w:pPr>
            <w:r>
              <w:rPr/>
              <w:t>A.麻醉药品和精神药品被盗、被抢、丢失数</w:t>
            </w:r>
            <w:r>
              <w:rPr>
                <w:spacing w:val="-1"/>
              </w:rPr>
              <w:t>量巨大</w:t>
            </w:r>
          </w:p>
          <w:p>
            <w:pPr>
              <w:pStyle w:val="TableText"/>
              <w:ind w:left="100"/>
              <w:spacing w:before="157" w:line="219" w:lineRule="auto"/>
              <w:rPr/>
            </w:pPr>
            <w:r>
              <w:rPr>
                <w:spacing w:val="1"/>
              </w:rPr>
              <w:t>B.曾因此受到过三次以上行政处罚的</w:t>
            </w:r>
          </w:p>
          <w:p>
            <w:pPr>
              <w:pStyle w:val="TableText"/>
              <w:ind w:left="100"/>
              <w:spacing w:before="154" w:line="204" w:lineRule="auto"/>
              <w:rPr/>
            </w:pPr>
            <w:r>
              <w:rPr/>
              <w:t>C.造成重大社会危害后果或者其他危害后果</w:t>
            </w:r>
          </w:p>
        </w:tc>
        <w:tc>
          <w:tcPr>
            <w:tcW w:w="3323"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118"/>
              <w:spacing w:before="78" w:line="220" w:lineRule="auto"/>
              <w:rPr/>
            </w:pPr>
            <w:r>
              <w:rPr/>
              <w:t>处8000元以上10000元以下</w:t>
            </w:r>
          </w:p>
          <w:p>
            <w:pPr>
              <w:pStyle w:val="TableText"/>
              <w:ind w:left="118"/>
              <w:spacing w:before="144" w:line="221" w:lineRule="auto"/>
              <w:rPr/>
            </w:pPr>
            <w:r>
              <w:rPr>
                <w:color w:val="505050"/>
                <w:spacing w:val="5"/>
              </w:rPr>
              <w:t>罚款</w:t>
            </w:r>
          </w:p>
        </w:tc>
      </w:tr>
    </w:tbl>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6325"/>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—351—</w:t>
      </w:r>
    </w:p>
    <w:p>
      <w:pPr>
        <w:spacing w:line="188" w:lineRule="auto"/>
        <w:sectPr>
          <w:pgSz w:w="16830" w:h="11900"/>
          <w:pgMar w:top="1011" w:right="1464" w:bottom="400" w:left="1455" w:header="0" w:footer="0" w:gutter="0"/>
        </w:sectPr>
        <w:rPr>
          <w:rFonts w:ascii="Times New Roman" w:hAnsi="Times New Roman" w:eastAsia="Times New Roman" w:cs="Times New Roman"/>
          <w:sz w:val="37"/>
          <w:szCs w:val="37"/>
        </w:rPr>
      </w:pPr>
    </w:p>
    <w:p>
      <w:pPr>
        <w:pStyle w:val="BodyText"/>
        <w:spacing w:line="265" w:lineRule="auto"/>
        <w:rPr/>
      </w:pPr>
      <w:r/>
    </w:p>
    <w:p>
      <w:pPr>
        <w:pStyle w:val="BodyText"/>
        <w:spacing w:line="265" w:lineRule="auto"/>
        <w:rPr/>
      </w:pPr>
      <w:r/>
    </w:p>
    <w:p>
      <w:pPr>
        <w:pStyle w:val="BodyText"/>
        <w:spacing w:line="266" w:lineRule="auto"/>
        <w:rPr/>
      </w:pPr>
      <w:r/>
    </w:p>
    <w:p>
      <w:pPr>
        <w:ind w:left="4" w:right="348" w:firstLine="670"/>
        <w:spacing w:before="97" w:line="260" w:lineRule="auto"/>
        <w:rPr>
          <w:rFonts w:ascii="KaiTi" w:hAnsi="KaiTi" w:eastAsia="KaiTi" w:cs="KaiTi"/>
          <w:sz w:val="30"/>
          <w:szCs w:val="30"/>
        </w:rPr>
      </w:pPr>
      <w:bookmarkStart w:name="bookmark975" w:id="344"/>
      <w:bookmarkEnd w:id="344"/>
      <w:r>
        <w:rPr>
          <w:rFonts w:ascii="KaiTi" w:hAnsi="KaiTi" w:eastAsia="KaiTi" w:cs="KaiTi"/>
          <w:sz w:val="30"/>
          <w:szCs w:val="30"/>
          <w:b/>
          <w:bCs/>
          <w:spacing w:val="21"/>
        </w:rPr>
        <w:t>第二百六十七条依法取得麻醉药品药用原植物种植或者麻醉药品和</w:t>
      </w:r>
      <w:r>
        <w:rPr>
          <w:rFonts w:ascii="KaiTi" w:hAnsi="KaiTi" w:eastAsia="KaiTi" w:cs="KaiTi"/>
          <w:sz w:val="30"/>
          <w:szCs w:val="30"/>
          <w:b/>
          <w:bCs/>
          <w:spacing w:val="20"/>
        </w:rPr>
        <w:t>精神药品使用等资格的单</w:t>
      </w:r>
      <w:r>
        <w:rPr>
          <w:rFonts w:ascii="KaiTi" w:hAnsi="KaiTi" w:eastAsia="KaiTi" w:cs="KaiTi"/>
          <w:sz w:val="30"/>
          <w:szCs w:val="30"/>
        </w:rPr>
        <w:t xml:space="preserve"> </w:t>
      </w:r>
      <w:r>
        <w:rPr>
          <w:rFonts w:ascii="KaiTi" w:hAnsi="KaiTi" w:eastAsia="KaiTi" w:cs="KaiTi"/>
          <w:sz w:val="30"/>
          <w:szCs w:val="30"/>
          <w:b/>
          <w:bCs/>
          <w:spacing w:val="17"/>
        </w:rPr>
        <w:t>位，倒卖、转让、出租、出借、涂改其麻醉药品和精神药品许可证明文件的</w:t>
      </w:r>
    </w:p>
    <w:p>
      <w:pPr>
        <w:ind w:left="649"/>
        <w:spacing w:before="44"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firstLine="640"/>
        <w:spacing w:before="78" w:line="267" w:lineRule="auto"/>
        <w:jc w:val="both"/>
        <w:rPr>
          <w:rFonts w:ascii="FangSong" w:hAnsi="FangSong" w:eastAsia="FangSong" w:cs="FangSong"/>
          <w:sz w:val="30"/>
          <w:szCs w:val="30"/>
        </w:rPr>
      </w:pPr>
      <w:r>
        <w:rPr>
          <w:rFonts w:ascii="FangSong" w:hAnsi="FangSong" w:eastAsia="FangSong" w:cs="FangSong"/>
          <w:sz w:val="30"/>
          <w:szCs w:val="30"/>
          <w:spacing w:val="17"/>
        </w:rPr>
        <w:t>《麻醉药品和精神药品管理条例》第八十一条</w:t>
      </w:r>
      <w:r>
        <w:rPr>
          <w:rFonts w:ascii="FangSong" w:hAnsi="FangSong" w:eastAsia="FangSong" w:cs="FangSong"/>
          <w:sz w:val="30"/>
          <w:szCs w:val="30"/>
          <w:spacing w:val="17"/>
        </w:rPr>
        <w:t xml:space="preserve">  </w:t>
      </w:r>
      <w:r>
        <w:rPr>
          <w:rFonts w:ascii="FangSong" w:hAnsi="FangSong" w:eastAsia="FangSong" w:cs="FangSong"/>
          <w:sz w:val="30"/>
          <w:szCs w:val="30"/>
          <w:spacing w:val="17"/>
        </w:rPr>
        <w:t>依法取得麻醉药品药用原植物种植或者麻醉药品</w:t>
      </w:r>
      <w:r>
        <w:rPr>
          <w:rFonts w:ascii="FangSong" w:hAnsi="FangSong" w:eastAsia="FangSong" w:cs="FangSong"/>
          <w:sz w:val="30"/>
          <w:szCs w:val="30"/>
          <w:spacing w:val="7"/>
        </w:rPr>
        <w:t xml:space="preserve"> </w:t>
      </w:r>
      <w:r>
        <w:rPr>
          <w:rFonts w:ascii="FangSong" w:hAnsi="FangSong" w:eastAsia="FangSong" w:cs="FangSong"/>
          <w:sz w:val="30"/>
          <w:szCs w:val="30"/>
          <w:spacing w:val="16"/>
        </w:rPr>
        <w:t>和精神药品实验研究、生产、经营、使用、运输等资格的单位，倒卖、转让、出租、出借、涂改</w:t>
      </w:r>
      <w:r>
        <w:rPr>
          <w:rFonts w:ascii="FangSong" w:hAnsi="FangSong" w:eastAsia="FangSong" w:cs="FangSong"/>
          <w:sz w:val="30"/>
          <w:szCs w:val="30"/>
          <w:spacing w:val="15"/>
        </w:rPr>
        <w:t>其麻</w:t>
      </w:r>
      <w:r>
        <w:rPr>
          <w:rFonts w:ascii="FangSong" w:hAnsi="FangSong" w:eastAsia="FangSong" w:cs="FangSong"/>
          <w:sz w:val="30"/>
          <w:szCs w:val="30"/>
        </w:rPr>
        <w:t xml:space="preserve"> </w:t>
      </w:r>
      <w:r>
        <w:rPr>
          <w:rFonts w:ascii="FangSong" w:hAnsi="FangSong" w:eastAsia="FangSong" w:cs="FangSong"/>
          <w:sz w:val="30"/>
          <w:szCs w:val="30"/>
          <w:spacing w:val="16"/>
        </w:rPr>
        <w:t>醉药品和精神药品许可证明文件的，由原审批部门吊销相应许可证明文件，没收违法所得；情节严重</w:t>
      </w:r>
      <w:r>
        <w:rPr>
          <w:rFonts w:ascii="FangSong" w:hAnsi="FangSong" w:eastAsia="FangSong" w:cs="FangSong"/>
          <w:sz w:val="30"/>
          <w:szCs w:val="30"/>
          <w:spacing w:val="2"/>
        </w:rPr>
        <w:t xml:space="preserve"> </w:t>
      </w:r>
      <w:r>
        <w:rPr>
          <w:rFonts w:ascii="FangSong" w:hAnsi="FangSong" w:eastAsia="FangSong" w:cs="FangSong"/>
          <w:sz w:val="30"/>
          <w:szCs w:val="30"/>
          <w:spacing w:val="30"/>
        </w:rPr>
        <w:t>的，处违法所得2倍以上5倍以下的罚款；没有违法所得的，处2万元以上</w:t>
      </w:r>
      <w:r>
        <w:rPr>
          <w:rFonts w:ascii="FangSong" w:hAnsi="FangSong" w:eastAsia="FangSong" w:cs="FangSong"/>
          <w:sz w:val="30"/>
          <w:szCs w:val="30"/>
          <w:spacing w:val="29"/>
        </w:rPr>
        <w:t>5万元以下的罚款；构成</w:t>
      </w:r>
      <w:r>
        <w:rPr>
          <w:rFonts w:ascii="FangSong" w:hAnsi="FangSong" w:eastAsia="FangSong" w:cs="FangSong"/>
          <w:sz w:val="30"/>
          <w:szCs w:val="30"/>
        </w:rPr>
        <w:t xml:space="preserve"> </w:t>
      </w:r>
      <w:r>
        <w:rPr>
          <w:rFonts w:ascii="FangSong" w:hAnsi="FangSong" w:eastAsia="FangSong" w:cs="FangSong"/>
          <w:sz w:val="30"/>
          <w:szCs w:val="30"/>
          <w:spacing w:val="13"/>
        </w:rPr>
        <w:t>犯罪的，依法追究刑事责任。</w:t>
      </w:r>
    </w:p>
    <w:p>
      <w:pPr>
        <w:ind w:left="6424"/>
        <w:spacing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89" w:type="dxa"/>
        <w:tblInd w:w="2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6325"/>
        <w:gridCol w:w="6140"/>
      </w:tblGrid>
      <w:tr>
        <w:trPr>
          <w:trHeight w:val="553" w:hRule="atLeast"/>
        </w:trPr>
        <w:tc>
          <w:tcPr>
            <w:tcW w:w="1424" w:type="dxa"/>
            <w:vAlign w:val="top"/>
          </w:tcPr>
          <w:p>
            <w:pPr>
              <w:pStyle w:val="TableText"/>
              <w:ind w:left="128"/>
              <w:spacing w:before="16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6325" w:type="dxa"/>
            <w:vAlign w:val="top"/>
          </w:tcPr>
          <w:p>
            <w:pPr>
              <w:pStyle w:val="TableText"/>
              <w:ind w:left="2674"/>
              <w:spacing w:before="162" w:line="220" w:lineRule="auto"/>
              <w:rPr/>
            </w:pPr>
            <w:r>
              <w:rPr>
                <w:b/>
                <w:bCs/>
                <w:spacing w:val="-5"/>
              </w:rPr>
              <w:t>违法后果</w:t>
            </w:r>
          </w:p>
        </w:tc>
        <w:tc>
          <w:tcPr>
            <w:tcW w:w="6140" w:type="dxa"/>
            <w:vAlign w:val="top"/>
          </w:tcPr>
          <w:p>
            <w:pPr>
              <w:pStyle w:val="TableText"/>
              <w:ind w:left="2519"/>
              <w:spacing w:before="15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327" w:hRule="atLeast"/>
        </w:trPr>
        <w:tc>
          <w:tcPr>
            <w:tcW w:w="1424" w:type="dxa"/>
            <w:vAlign w:val="top"/>
          </w:tcPr>
          <w:p>
            <w:pPr>
              <w:spacing w:line="468" w:lineRule="auto"/>
              <w:rPr>
                <w:rFonts w:ascii="Arial"/>
                <w:sz w:val="21"/>
              </w:rPr>
            </w:pPr>
            <w:r/>
          </w:p>
          <w:p>
            <w:pPr>
              <w:pStyle w:val="TableText"/>
              <w:ind w:left="468"/>
              <w:spacing w:before="78" w:line="221" w:lineRule="auto"/>
              <w:rPr/>
            </w:pPr>
            <w:r>
              <w:rPr>
                <w:b/>
                <w:bCs/>
                <w:spacing w:val="-10"/>
              </w:rPr>
              <w:t>一般</w:t>
            </w:r>
          </w:p>
        </w:tc>
        <w:tc>
          <w:tcPr>
            <w:tcW w:w="6325" w:type="dxa"/>
            <w:vAlign w:val="top"/>
          </w:tcPr>
          <w:p>
            <w:pPr>
              <w:pStyle w:val="TableText"/>
              <w:ind w:left="110" w:right="152" w:firstLine="40"/>
              <w:spacing w:before="150" w:line="299" w:lineRule="auto"/>
              <w:jc w:val="both"/>
              <w:rPr/>
            </w:pPr>
            <w:r>
              <w:rPr/>
              <w:t>依法取得麻醉药品药用原植物种植或者麻醉药品和精神药</w:t>
            </w:r>
            <w:r>
              <w:rPr>
                <w:spacing w:val="10"/>
              </w:rPr>
              <w:t xml:space="preserve"> </w:t>
            </w:r>
            <w:r>
              <w:rPr>
                <w:spacing w:val="2"/>
              </w:rPr>
              <w:t>品使用资格的单位，倒卖、转让、出租、出借、涂改</w:t>
            </w:r>
            <w:r>
              <w:rPr>
                <w:spacing w:val="1"/>
              </w:rPr>
              <w:t>其麻</w:t>
            </w:r>
            <w:r>
              <w:rPr/>
              <w:t xml:space="preserve"> </w:t>
            </w:r>
            <w:r>
              <w:rPr/>
              <w:t>醉药品和精神药品许可证明文件，未造成危害后果的</w:t>
            </w:r>
          </w:p>
        </w:tc>
        <w:tc>
          <w:tcPr>
            <w:tcW w:w="6140" w:type="dxa"/>
            <w:vAlign w:val="top"/>
          </w:tcPr>
          <w:p>
            <w:pPr>
              <w:spacing w:line="471" w:lineRule="auto"/>
              <w:rPr>
                <w:rFonts w:ascii="Arial"/>
                <w:sz w:val="21"/>
              </w:rPr>
            </w:pPr>
            <w:r/>
          </w:p>
          <w:p>
            <w:pPr>
              <w:pStyle w:val="TableText"/>
              <w:ind w:left="136"/>
              <w:spacing w:before="78" w:line="219" w:lineRule="auto"/>
              <w:rPr/>
            </w:pPr>
            <w:r>
              <w:rPr/>
              <w:t>由原审批部门吊销相应许可证明文件，没收违法所得</w:t>
            </w:r>
          </w:p>
        </w:tc>
      </w:tr>
      <w:tr>
        <w:trPr>
          <w:trHeight w:val="2160" w:hRule="atLeast"/>
        </w:trPr>
        <w:tc>
          <w:tcPr>
            <w:tcW w:w="1424" w:type="dxa"/>
            <w:vAlign w:val="top"/>
          </w:tcPr>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pStyle w:val="TableText"/>
              <w:ind w:left="468"/>
              <w:spacing w:before="78" w:line="220" w:lineRule="auto"/>
              <w:rPr/>
            </w:pPr>
            <w:r>
              <w:rPr>
                <w:b/>
                <w:bCs/>
                <w:spacing w:val="-6"/>
              </w:rPr>
              <w:t>严重</w:t>
            </w:r>
          </w:p>
        </w:tc>
        <w:tc>
          <w:tcPr>
            <w:tcW w:w="6325" w:type="dxa"/>
            <w:vAlign w:val="top"/>
          </w:tcPr>
          <w:p>
            <w:pPr>
              <w:spacing w:line="245" w:lineRule="auto"/>
              <w:rPr>
                <w:rFonts w:ascii="Arial"/>
                <w:sz w:val="21"/>
              </w:rPr>
            </w:pPr>
            <w:r/>
          </w:p>
          <w:p>
            <w:pPr>
              <w:spacing w:line="246" w:lineRule="auto"/>
              <w:rPr>
                <w:rFonts w:ascii="Arial"/>
                <w:sz w:val="21"/>
              </w:rPr>
            </w:pPr>
            <w:r/>
          </w:p>
          <w:p>
            <w:pPr>
              <w:pStyle w:val="TableText"/>
              <w:ind w:left="101" w:right="152" w:firstLine="49"/>
              <w:spacing w:before="78" w:line="340" w:lineRule="auto"/>
              <w:jc w:val="both"/>
              <w:rPr/>
            </w:pPr>
            <w:r>
              <w:rPr/>
              <w:t>依法取得麻醉药品药用原植物种植或者麻醉药品和精神药</w:t>
            </w:r>
            <w:r>
              <w:rPr>
                <w:spacing w:val="10"/>
              </w:rPr>
              <w:t xml:space="preserve"> </w:t>
            </w:r>
            <w:r>
              <w:rPr>
                <w:spacing w:val="2"/>
              </w:rPr>
              <w:t>品使用资格的单位，倒卖、转让、出租、出借、涂改其麻</w:t>
            </w:r>
            <w:r>
              <w:rPr>
                <w:spacing w:val="8"/>
              </w:rPr>
              <w:t xml:space="preserve"> </w:t>
            </w:r>
            <w:r>
              <w:rPr/>
              <w:t>醉药品和精神药品许可证明文件，造成危害后果的</w:t>
            </w:r>
          </w:p>
        </w:tc>
        <w:tc>
          <w:tcPr>
            <w:tcW w:w="6140" w:type="dxa"/>
            <w:vAlign w:val="top"/>
          </w:tcPr>
          <w:p>
            <w:pPr>
              <w:spacing w:line="246" w:lineRule="auto"/>
              <w:rPr>
                <w:rFonts w:ascii="Arial"/>
                <w:sz w:val="21"/>
              </w:rPr>
            </w:pPr>
            <w:r/>
          </w:p>
          <w:p>
            <w:pPr>
              <w:spacing w:line="246" w:lineRule="auto"/>
              <w:rPr>
                <w:rFonts w:ascii="Arial"/>
                <w:sz w:val="21"/>
              </w:rPr>
            </w:pPr>
            <w:r/>
          </w:p>
          <w:p>
            <w:pPr>
              <w:pStyle w:val="TableText"/>
              <w:ind w:left="136" w:right="12" w:firstLine="19"/>
              <w:spacing w:before="78" w:line="340" w:lineRule="auto"/>
              <w:rPr/>
            </w:pPr>
            <w:r>
              <w:rPr>
                <w:spacing w:val="-2"/>
              </w:rPr>
              <w:t>由原审批部门吊销相应许可证明文件；有违法所得的，没</w:t>
            </w:r>
            <w:r>
              <w:rPr>
                <w:spacing w:val="10"/>
              </w:rPr>
              <w:t xml:space="preserve"> </w:t>
            </w:r>
            <w:r>
              <w:rPr>
                <w:spacing w:val="1"/>
              </w:rPr>
              <w:t>收违法所得，并处违法所得2倍以上4倍以下</w:t>
            </w:r>
            <w:r>
              <w:rPr/>
              <w:t>的罚款；没  </w:t>
            </w:r>
            <w:r>
              <w:rPr/>
              <w:t>有违法所得的，处2万元以上4万元以下的罚款</w:t>
            </w:r>
          </w:p>
        </w:tc>
      </w:tr>
    </w:tbl>
    <w:p>
      <w:pPr>
        <w:pStyle w:val="BodyText"/>
        <w:rPr/>
      </w:pPr>
      <w:r/>
    </w:p>
    <w:p>
      <w:pPr>
        <w:sectPr>
          <w:footerReference w:type="default" r:id="rId323"/>
          <w:pgSz w:w="16830" w:h="11900"/>
          <w:pgMar w:top="1011" w:right="1420" w:bottom="1107" w:left="1430" w:header="0" w:footer="774" w:gutter="0"/>
        </w:sectPr>
        <w:rPr/>
      </w:pPr>
    </w:p>
    <w:p>
      <w:pPr>
        <w:spacing w:before="13"/>
        <w:rPr/>
      </w:pPr>
      <w:r/>
    </w:p>
    <w:p>
      <w:pPr>
        <w:spacing w:before="13"/>
        <w:rPr/>
      </w:pPr>
      <w:r/>
    </w:p>
    <w:p>
      <w:pPr>
        <w:spacing w:before="13"/>
        <w:rPr/>
      </w:pPr>
      <w:r/>
    </w:p>
    <w:tbl>
      <w:tblPr>
        <w:tblStyle w:val="TableNormal"/>
        <w:tblW w:w="13889" w:type="dxa"/>
        <w:tblInd w:w="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6335"/>
        <w:gridCol w:w="6120"/>
      </w:tblGrid>
      <w:tr>
        <w:trPr>
          <w:trHeight w:val="1319" w:hRule="atLeast"/>
        </w:trPr>
        <w:tc>
          <w:tcPr>
            <w:tcW w:w="1434" w:type="dxa"/>
            <w:vAlign w:val="top"/>
          </w:tcPr>
          <w:p>
            <w:pPr>
              <w:spacing w:line="460" w:lineRule="auto"/>
              <w:rPr>
                <w:rFonts w:ascii="Arial"/>
                <w:sz w:val="21"/>
              </w:rPr>
            </w:pPr>
            <w:r/>
          </w:p>
          <w:p>
            <w:pPr>
              <w:pStyle w:val="TableText"/>
              <w:ind w:left="228"/>
              <w:spacing w:before="78" w:line="219" w:lineRule="auto"/>
              <w:rPr/>
            </w:pPr>
            <w:bookmarkStart w:name="bookmark976" w:id="345"/>
            <w:bookmarkEnd w:id="345"/>
            <w:r>
              <w:rPr>
                <w:b/>
                <w:bCs/>
                <w:spacing w:val="-5"/>
              </w:rPr>
              <w:t>特别严重</w:t>
            </w:r>
          </w:p>
        </w:tc>
        <w:tc>
          <w:tcPr>
            <w:tcW w:w="6335" w:type="dxa"/>
            <w:vAlign w:val="top"/>
          </w:tcPr>
          <w:p>
            <w:pPr>
              <w:pStyle w:val="TableText"/>
              <w:ind w:left="161"/>
              <w:spacing w:before="143" w:line="219" w:lineRule="auto"/>
              <w:rPr/>
            </w:pPr>
            <w:r>
              <w:rPr/>
              <w:t>依法取得麻醉药品药用原植物种植或者麻醉药品和精神药</w:t>
            </w:r>
          </w:p>
          <w:p>
            <w:pPr>
              <w:pStyle w:val="TableText"/>
              <w:ind w:left="161"/>
              <w:spacing w:before="165" w:line="219" w:lineRule="auto"/>
              <w:rPr/>
            </w:pPr>
            <w:r>
              <w:rPr/>
              <w:t>品使用资格的单位，倒卖、转让、出租、出借、涂改其麻</w:t>
            </w:r>
          </w:p>
          <w:p>
            <w:pPr>
              <w:pStyle w:val="TableText"/>
              <w:ind w:left="281"/>
              <w:spacing w:before="176" w:line="196" w:lineRule="auto"/>
              <w:rPr/>
            </w:pPr>
            <w:r>
              <w:rPr/>
              <w:t>醉药品和精神药品许可证明文件，造成重大危害后果的</w:t>
            </w:r>
          </w:p>
        </w:tc>
        <w:tc>
          <w:tcPr>
            <w:tcW w:w="6120" w:type="dxa"/>
            <w:vAlign w:val="top"/>
          </w:tcPr>
          <w:p>
            <w:pPr>
              <w:pStyle w:val="TableText"/>
              <w:ind w:left="126"/>
              <w:spacing w:before="144" w:line="350" w:lineRule="auto"/>
              <w:rPr/>
            </w:pPr>
            <w:r>
              <w:rPr>
                <w:spacing w:val="-1"/>
              </w:rPr>
              <w:t>由原审批部门吊销相应许可证明文件；有违法所得的，没</w:t>
            </w:r>
            <w:r>
              <w:rPr>
                <w:spacing w:val="7"/>
              </w:rPr>
              <w:t xml:space="preserve"> </w:t>
            </w:r>
            <w:r>
              <w:rPr/>
              <w:t>收违法所得，并处违法所得4倍以上5倍以下的罚款；没</w:t>
            </w:r>
          </w:p>
          <w:p>
            <w:pPr>
              <w:pStyle w:val="TableText"/>
              <w:ind w:left="116"/>
              <w:spacing w:line="195" w:lineRule="auto"/>
              <w:rPr/>
            </w:pPr>
            <w:r>
              <w:rPr/>
              <w:t>有违法所得的，处4万元以上5万元以下的罚款</w:t>
            </w:r>
          </w:p>
        </w:tc>
      </w:tr>
    </w:tbl>
    <w:p>
      <w:pPr>
        <w:pStyle w:val="BodyText"/>
        <w:spacing w:line="455" w:lineRule="auto"/>
        <w:rPr/>
      </w:pPr>
      <w:r/>
    </w:p>
    <w:p>
      <w:pPr>
        <w:ind w:left="774"/>
        <w:spacing w:before="97" w:line="223" w:lineRule="auto"/>
        <w:rPr>
          <w:rFonts w:ascii="KaiTi" w:hAnsi="KaiTi" w:eastAsia="KaiTi" w:cs="KaiTi"/>
          <w:sz w:val="30"/>
          <w:szCs w:val="30"/>
        </w:rPr>
      </w:pPr>
      <w:r>
        <w:rPr>
          <w:rFonts w:ascii="KaiTi" w:hAnsi="KaiTi" w:eastAsia="KaiTi" w:cs="KaiTi"/>
          <w:sz w:val="30"/>
          <w:szCs w:val="30"/>
          <w:b/>
          <w:bCs/>
          <w:spacing w:val="30"/>
        </w:rPr>
        <w:t>(二十)《处方管理办法》</w:t>
      </w:r>
    </w:p>
    <w:p>
      <w:pPr>
        <w:ind w:left="4" w:right="114" w:firstLine="645"/>
        <w:spacing w:before="329" w:line="279" w:lineRule="auto"/>
        <w:rPr>
          <w:rFonts w:ascii="FangSong" w:hAnsi="FangSong" w:eastAsia="FangSong" w:cs="FangSong"/>
          <w:sz w:val="30"/>
          <w:szCs w:val="30"/>
        </w:rPr>
      </w:pPr>
      <w:r>
        <w:rPr>
          <w:rFonts w:ascii="FangSong" w:hAnsi="FangSong" w:eastAsia="FangSong" w:cs="FangSong"/>
          <w:sz w:val="30"/>
          <w:szCs w:val="30"/>
          <w:spacing w:val="21"/>
        </w:rPr>
        <w:t>第</w:t>
      </w:r>
      <w:r>
        <w:rPr>
          <w:rFonts w:ascii="FangSong" w:hAnsi="FangSong" w:eastAsia="FangSong" w:cs="FangSong"/>
          <w:sz w:val="30"/>
          <w:szCs w:val="30"/>
          <w:b/>
          <w:bCs/>
          <w:spacing w:val="21"/>
        </w:rPr>
        <w:t>二百六十八条医疗机构未按照规定保管麻醉药品和精神药品处</w:t>
      </w:r>
      <w:r>
        <w:rPr>
          <w:rFonts w:ascii="FangSong" w:hAnsi="FangSong" w:eastAsia="FangSong" w:cs="FangSong"/>
          <w:sz w:val="30"/>
          <w:szCs w:val="30"/>
          <w:b/>
          <w:bCs/>
          <w:spacing w:val="20"/>
        </w:rPr>
        <w:t>方，或者未依照规定进行专册</w:t>
      </w:r>
      <w:r>
        <w:rPr>
          <w:rFonts w:ascii="FangSong" w:hAnsi="FangSong" w:eastAsia="FangSong" w:cs="FangSong"/>
          <w:sz w:val="30"/>
          <w:szCs w:val="30"/>
        </w:rPr>
        <w:t xml:space="preserve"> </w:t>
      </w:r>
      <w:r>
        <w:rPr>
          <w:rFonts w:ascii="FangSong" w:hAnsi="FangSong" w:eastAsia="FangSong" w:cs="FangSong"/>
          <w:sz w:val="30"/>
          <w:szCs w:val="30"/>
          <w:b/>
          <w:bCs/>
          <w:spacing w:val="10"/>
        </w:rPr>
        <w:t>登记的</w:t>
      </w:r>
    </w:p>
    <w:p>
      <w:pPr>
        <w:ind w:left="649"/>
        <w:spacing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firstLine="649"/>
        <w:spacing w:before="91" w:line="259" w:lineRule="auto"/>
        <w:rPr>
          <w:rFonts w:ascii="FangSong" w:hAnsi="FangSong" w:eastAsia="FangSong" w:cs="FangSong"/>
          <w:sz w:val="30"/>
          <w:szCs w:val="30"/>
        </w:rPr>
      </w:pPr>
      <w:r>
        <w:rPr>
          <w:rFonts w:ascii="FangSong" w:hAnsi="FangSong" w:eastAsia="FangSong" w:cs="FangSong"/>
          <w:sz w:val="30"/>
          <w:szCs w:val="30"/>
          <w:spacing w:val="13"/>
        </w:rPr>
        <w:t>1.</w:t>
      </w:r>
      <w:r>
        <w:rPr>
          <w:rFonts w:ascii="FangSong" w:hAnsi="FangSong" w:eastAsia="FangSong" w:cs="FangSong"/>
          <w:sz w:val="30"/>
          <w:szCs w:val="30"/>
          <w:spacing w:val="-38"/>
        </w:rPr>
        <w:t xml:space="preserve"> </w:t>
      </w:r>
      <w:r>
        <w:rPr>
          <w:rFonts w:ascii="FangSong" w:hAnsi="FangSong" w:eastAsia="FangSong" w:cs="FangSong"/>
          <w:sz w:val="30"/>
          <w:szCs w:val="30"/>
          <w:spacing w:val="13"/>
        </w:rPr>
        <w:t>《处方管理办法》第五十五条</w:t>
      </w:r>
      <w:r>
        <w:rPr>
          <w:rFonts w:ascii="FangSong" w:hAnsi="FangSong" w:eastAsia="FangSong" w:cs="FangSong"/>
          <w:sz w:val="30"/>
          <w:szCs w:val="30"/>
          <w:spacing w:val="13"/>
        </w:rPr>
        <w:t xml:space="preserve">  </w:t>
      </w:r>
      <w:r>
        <w:rPr>
          <w:rFonts w:ascii="FangSong" w:hAnsi="FangSong" w:eastAsia="FangSong" w:cs="FangSong"/>
          <w:sz w:val="30"/>
          <w:szCs w:val="30"/>
          <w:spacing w:val="13"/>
        </w:rPr>
        <w:t>医疗机构未按照规定保管麻醉药品和精神药品处方</w:t>
      </w:r>
      <w:r>
        <w:rPr>
          <w:rFonts w:ascii="FangSong" w:hAnsi="FangSong" w:eastAsia="FangSong" w:cs="FangSong"/>
          <w:sz w:val="30"/>
          <w:szCs w:val="30"/>
          <w:spacing w:val="12"/>
        </w:rPr>
        <w:t>，或者未依</w:t>
      </w:r>
      <w:r>
        <w:rPr>
          <w:rFonts w:ascii="FangSong" w:hAnsi="FangSong" w:eastAsia="FangSong" w:cs="FangSong"/>
          <w:sz w:val="30"/>
          <w:szCs w:val="30"/>
        </w:rPr>
        <w:t xml:space="preserve"> </w:t>
      </w:r>
      <w:r>
        <w:rPr>
          <w:rFonts w:ascii="FangSong" w:hAnsi="FangSong" w:eastAsia="FangSong" w:cs="FangSong"/>
          <w:sz w:val="30"/>
          <w:szCs w:val="30"/>
          <w:spacing w:val="17"/>
        </w:rPr>
        <w:t>照规定进行专册登记的，按照《麻醉药品和精神药品管理</w:t>
      </w:r>
      <w:r>
        <w:rPr>
          <w:rFonts w:ascii="FangSong" w:hAnsi="FangSong" w:eastAsia="FangSong" w:cs="FangSong"/>
          <w:sz w:val="30"/>
          <w:szCs w:val="30"/>
          <w:spacing w:val="16"/>
        </w:rPr>
        <w:t>条例》第七十二条的规定，由设区的市级卫</w:t>
      </w:r>
      <w:r>
        <w:rPr>
          <w:rFonts w:ascii="FangSong" w:hAnsi="FangSong" w:eastAsia="FangSong" w:cs="FangSong"/>
          <w:sz w:val="30"/>
          <w:szCs w:val="30"/>
        </w:rPr>
        <w:t xml:space="preserve"> </w:t>
      </w:r>
      <w:r>
        <w:rPr>
          <w:rFonts w:ascii="FangSong" w:hAnsi="FangSong" w:eastAsia="FangSong" w:cs="FangSong"/>
          <w:sz w:val="30"/>
          <w:szCs w:val="30"/>
          <w:spacing w:val="26"/>
        </w:rPr>
        <w:t>生行政部门责令限期改正，给予警告；逾期不改正的，处5000元以上1万元以下的罚款；</w:t>
      </w:r>
      <w:r>
        <w:rPr>
          <w:rFonts w:ascii="FangSong" w:hAnsi="FangSong" w:eastAsia="FangSong" w:cs="FangSong"/>
          <w:sz w:val="30"/>
          <w:szCs w:val="30"/>
          <w:spacing w:val="25"/>
        </w:rPr>
        <w:t>情节严重</w:t>
      </w:r>
      <w:r>
        <w:rPr>
          <w:rFonts w:ascii="FangSong" w:hAnsi="FangSong" w:eastAsia="FangSong" w:cs="FangSong"/>
          <w:sz w:val="30"/>
          <w:szCs w:val="30"/>
        </w:rPr>
        <w:t xml:space="preserve"> </w:t>
      </w:r>
      <w:r>
        <w:rPr>
          <w:rFonts w:ascii="FangSong" w:hAnsi="FangSong" w:eastAsia="FangSong" w:cs="FangSong"/>
          <w:sz w:val="30"/>
          <w:szCs w:val="30"/>
          <w:spacing w:val="12"/>
        </w:rPr>
        <w:t>的，吊销其印鉴卡；对直接负责的主管人员和其他直接责任人员，依法给予降级、撤职、开除的处分。</w:t>
      </w:r>
    </w:p>
    <w:p>
      <w:pPr>
        <w:ind w:right="70" w:firstLine="649"/>
        <w:spacing w:before="80" w:line="255" w:lineRule="auto"/>
        <w:rPr>
          <w:rFonts w:ascii="FangSong" w:hAnsi="FangSong" w:eastAsia="FangSong" w:cs="FangSong"/>
          <w:sz w:val="30"/>
          <w:szCs w:val="30"/>
        </w:rPr>
      </w:pPr>
      <w:r>
        <w:rPr>
          <w:rFonts w:ascii="FangSong" w:hAnsi="FangSong" w:eastAsia="FangSong" w:cs="FangSong"/>
          <w:sz w:val="30"/>
          <w:szCs w:val="30"/>
          <w:spacing w:val="12"/>
        </w:rPr>
        <w:t>2.</w:t>
      </w:r>
      <w:r>
        <w:rPr>
          <w:rFonts w:ascii="FangSong" w:hAnsi="FangSong" w:eastAsia="FangSong" w:cs="FangSong"/>
          <w:sz w:val="30"/>
          <w:szCs w:val="30"/>
          <w:spacing w:val="12"/>
        </w:rPr>
        <w:t xml:space="preserve"> </w:t>
      </w:r>
      <w:r>
        <w:rPr>
          <w:rFonts w:ascii="FangSong" w:hAnsi="FangSong" w:eastAsia="FangSong" w:cs="FangSong"/>
          <w:sz w:val="30"/>
          <w:szCs w:val="30"/>
          <w:spacing w:val="12"/>
        </w:rPr>
        <w:t>《麻醉药品和精神药品管理条例》第七十二条</w:t>
      </w:r>
      <w:r>
        <w:rPr>
          <w:rFonts w:ascii="FangSong" w:hAnsi="FangSong" w:eastAsia="FangSong" w:cs="FangSong"/>
          <w:sz w:val="30"/>
          <w:szCs w:val="30"/>
          <w:spacing w:val="12"/>
        </w:rPr>
        <w:t xml:space="preserve">  </w:t>
      </w:r>
      <w:r>
        <w:rPr>
          <w:rFonts w:ascii="FangSong" w:hAnsi="FangSong" w:eastAsia="FangSong" w:cs="FangSong"/>
          <w:sz w:val="30"/>
          <w:szCs w:val="30"/>
          <w:spacing w:val="12"/>
        </w:rPr>
        <w:t>取得印鉴卡的医疗机构违反本条例的规定，有</w:t>
      </w:r>
      <w:r>
        <w:rPr>
          <w:rFonts w:ascii="FangSong" w:hAnsi="FangSong" w:eastAsia="FangSong" w:cs="FangSong"/>
          <w:sz w:val="30"/>
          <w:szCs w:val="30"/>
        </w:rPr>
        <w:t xml:space="preserve"> </w:t>
      </w:r>
      <w:r>
        <w:rPr>
          <w:rFonts w:ascii="FangSong" w:hAnsi="FangSong" w:eastAsia="FangSong" w:cs="FangSong"/>
          <w:sz w:val="30"/>
          <w:szCs w:val="30"/>
          <w:spacing w:val="17"/>
        </w:rPr>
        <w:t>下列情形之一的，由设区的市级人民政府卫生主管部门责令</w:t>
      </w:r>
      <w:r>
        <w:rPr>
          <w:rFonts w:ascii="FangSong" w:hAnsi="FangSong" w:eastAsia="FangSong" w:cs="FangSong"/>
          <w:sz w:val="30"/>
          <w:szCs w:val="30"/>
          <w:spacing w:val="16"/>
        </w:rPr>
        <w:t>限期改正，给予警告；逾期不改正的，处</w:t>
      </w:r>
      <w:r>
        <w:rPr>
          <w:rFonts w:ascii="FangSong" w:hAnsi="FangSong" w:eastAsia="FangSong" w:cs="FangSong"/>
          <w:sz w:val="30"/>
          <w:szCs w:val="30"/>
        </w:rPr>
        <w:t xml:space="preserve"> </w:t>
      </w:r>
      <w:r>
        <w:rPr>
          <w:rFonts w:ascii="FangSong" w:hAnsi="FangSong" w:eastAsia="FangSong" w:cs="FangSong"/>
          <w:sz w:val="30"/>
          <w:szCs w:val="30"/>
          <w:spacing w:val="26"/>
        </w:rPr>
        <w:t>5000元以上1万元以下的罚款；情节严重的，吊销其印鉴卡；对直接负责的主管人员和其</w:t>
      </w:r>
      <w:r>
        <w:rPr>
          <w:rFonts w:ascii="FangSong" w:hAnsi="FangSong" w:eastAsia="FangSong" w:cs="FangSong"/>
          <w:sz w:val="30"/>
          <w:szCs w:val="30"/>
          <w:spacing w:val="25"/>
        </w:rPr>
        <w:t>他直接责</w:t>
      </w:r>
      <w:r>
        <w:rPr>
          <w:rFonts w:ascii="FangSong" w:hAnsi="FangSong" w:eastAsia="FangSong" w:cs="FangSong"/>
          <w:sz w:val="30"/>
          <w:szCs w:val="30"/>
        </w:rPr>
        <w:t xml:space="preserve"> </w:t>
      </w:r>
      <w:r>
        <w:rPr>
          <w:rFonts w:ascii="FangSong" w:hAnsi="FangSong" w:eastAsia="FangSong" w:cs="FangSong"/>
          <w:sz w:val="30"/>
          <w:szCs w:val="30"/>
          <w:spacing w:val="23"/>
        </w:rPr>
        <w:t>任人员，依法给予降级、撤职、开除的处分：(一)未依照规定购买、储存麻醉药品和第一类精神药</w:t>
      </w:r>
      <w:r>
        <w:rPr>
          <w:rFonts w:ascii="FangSong" w:hAnsi="FangSong" w:eastAsia="FangSong" w:cs="FangSong"/>
          <w:sz w:val="30"/>
          <w:szCs w:val="30"/>
          <w:spacing w:val="18"/>
        </w:rPr>
        <w:t xml:space="preserve"> </w:t>
      </w:r>
      <w:r>
        <w:rPr>
          <w:rFonts w:ascii="FangSong" w:hAnsi="FangSong" w:eastAsia="FangSong" w:cs="FangSong"/>
          <w:sz w:val="30"/>
          <w:szCs w:val="30"/>
          <w:spacing w:val="24"/>
        </w:rPr>
        <w:t>品的；(二)未依照规定保存麻醉药品和精神药品专用处方，或者未依照规定进行处方专册登记的；</w:t>
      </w:r>
    </w:p>
    <w:p>
      <w:pPr>
        <w:ind w:left="130"/>
        <w:spacing w:before="74" w:line="219" w:lineRule="auto"/>
        <w:rPr>
          <w:rFonts w:ascii="FangSong" w:hAnsi="FangSong" w:eastAsia="FangSong" w:cs="FangSong"/>
          <w:sz w:val="30"/>
          <w:szCs w:val="30"/>
        </w:rPr>
      </w:pPr>
      <w:r>
        <w:rPr>
          <w:rFonts w:ascii="FangSong" w:hAnsi="FangSong" w:eastAsia="FangSong" w:cs="FangSong"/>
          <w:sz w:val="30"/>
          <w:szCs w:val="30"/>
          <w:spacing w:val="28"/>
        </w:rPr>
        <w:t>(三)未依照规定报告麻醉药品和精神药品的进货、</w:t>
      </w:r>
      <w:r>
        <w:rPr>
          <w:rFonts w:ascii="FangSong" w:hAnsi="FangSong" w:eastAsia="FangSong" w:cs="FangSong"/>
          <w:sz w:val="30"/>
          <w:szCs w:val="30"/>
          <w:spacing w:val="27"/>
        </w:rPr>
        <w:t>库存、使用数量的；(四)紧急借用麻醉药品和</w:t>
      </w:r>
    </w:p>
    <w:p>
      <w:pPr>
        <w:spacing w:line="219" w:lineRule="auto"/>
        <w:sectPr>
          <w:footerReference w:type="default" r:id="rId324"/>
          <w:pgSz w:w="16830" w:h="11900"/>
          <w:pgMar w:top="1011" w:right="1349" w:bottom="1114" w:left="1439" w:header="0" w:footer="772" w:gutter="0"/>
        </w:sectPr>
        <w:rPr>
          <w:rFonts w:ascii="FangSong" w:hAnsi="FangSong" w:eastAsia="FangSong" w:cs="FangSong"/>
          <w:sz w:val="30"/>
          <w:szCs w:val="30"/>
        </w:rPr>
      </w:pPr>
    </w:p>
    <w:p>
      <w:pPr>
        <w:pStyle w:val="BodyText"/>
        <w:spacing w:line="268" w:lineRule="auto"/>
        <w:rPr/>
      </w:pPr>
      <w:r/>
    </w:p>
    <w:p>
      <w:pPr>
        <w:pStyle w:val="BodyText"/>
        <w:spacing w:line="268" w:lineRule="auto"/>
        <w:rPr/>
      </w:pPr>
      <w:r/>
    </w:p>
    <w:p>
      <w:pPr>
        <w:pStyle w:val="BodyText"/>
        <w:spacing w:line="268" w:lineRule="auto"/>
        <w:rPr/>
      </w:pPr>
      <w:r/>
    </w:p>
    <w:p>
      <w:pPr>
        <w:spacing w:before="97" w:line="222" w:lineRule="auto"/>
        <w:rPr>
          <w:rFonts w:ascii="FangSong" w:hAnsi="FangSong" w:eastAsia="FangSong" w:cs="FangSong"/>
          <w:sz w:val="30"/>
          <w:szCs w:val="30"/>
        </w:rPr>
      </w:pPr>
      <w:bookmarkStart w:name="bookmark977" w:id="346"/>
      <w:bookmarkEnd w:id="346"/>
      <w:r>
        <w:rPr>
          <w:rFonts w:ascii="FangSong" w:hAnsi="FangSong" w:eastAsia="FangSong" w:cs="FangSong"/>
          <w:sz w:val="30"/>
          <w:szCs w:val="30"/>
          <w:spacing w:val="16"/>
        </w:rPr>
        <w:t>第一类精神药品后未备案的；</w:t>
      </w:r>
      <w:r>
        <w:rPr>
          <w:rFonts w:ascii="FangSong" w:hAnsi="FangSong" w:eastAsia="FangSong" w:cs="FangSong"/>
          <w:sz w:val="30"/>
          <w:szCs w:val="30"/>
          <w:spacing w:val="16"/>
        </w:rPr>
        <w:t xml:space="preserve">  </w:t>
      </w:r>
      <w:r>
        <w:rPr>
          <w:rFonts w:ascii="FangSong" w:hAnsi="FangSong" w:eastAsia="FangSong" w:cs="FangSong"/>
          <w:sz w:val="30"/>
          <w:szCs w:val="30"/>
          <w:spacing w:val="16"/>
        </w:rPr>
        <w:t>(五)未依照规定销毁麻醉药品和精神药品的。</w:t>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ind w:left="6403"/>
        <w:spacing w:before="91"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679" w:type="dxa"/>
        <w:tblInd w:w="11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8313"/>
        <w:gridCol w:w="3942"/>
      </w:tblGrid>
      <w:tr>
        <w:trPr>
          <w:trHeight w:val="563" w:hRule="atLeast"/>
        </w:trPr>
        <w:tc>
          <w:tcPr>
            <w:tcW w:w="1424" w:type="dxa"/>
            <w:vAlign w:val="top"/>
          </w:tcPr>
          <w:p>
            <w:pPr>
              <w:pStyle w:val="TableText"/>
              <w:ind w:left="208"/>
              <w:spacing w:before="162" w:line="220" w:lineRule="auto"/>
              <w:rPr>
                <w:sz w:val="25"/>
                <w:szCs w:val="25"/>
              </w:rPr>
            </w:pPr>
            <w:r>
              <w:rPr>
                <w:sz w:val="25"/>
                <w:szCs w:val="25"/>
                <w:b/>
                <w:bCs/>
                <w:spacing w:val="-5"/>
              </w:rPr>
              <w:t>违法程度</w:t>
            </w:r>
          </w:p>
        </w:tc>
        <w:tc>
          <w:tcPr>
            <w:tcW w:w="8313" w:type="dxa"/>
            <w:vAlign w:val="top"/>
          </w:tcPr>
          <w:p>
            <w:pPr>
              <w:pStyle w:val="TableText"/>
              <w:ind w:left="3654"/>
              <w:spacing w:before="162" w:line="220" w:lineRule="auto"/>
              <w:rPr>
                <w:sz w:val="25"/>
                <w:szCs w:val="25"/>
              </w:rPr>
            </w:pPr>
            <w:r>
              <w:rPr>
                <w:sz w:val="25"/>
                <w:szCs w:val="25"/>
                <w:b/>
                <w:bCs/>
                <w:spacing w:val="-5"/>
              </w:rPr>
              <w:t>违法后果</w:t>
            </w:r>
          </w:p>
        </w:tc>
        <w:tc>
          <w:tcPr>
            <w:tcW w:w="3942" w:type="dxa"/>
            <w:vAlign w:val="top"/>
          </w:tcPr>
          <w:p>
            <w:pPr>
              <w:pStyle w:val="TableText"/>
              <w:ind w:left="1471"/>
              <w:spacing w:before="159" w:line="218" w:lineRule="auto"/>
              <w:rPr>
                <w:sz w:val="25"/>
                <w:szCs w:val="25"/>
              </w:rPr>
            </w:pPr>
            <w:r>
              <w:rPr>
                <w:sz w:val="25"/>
                <w:szCs w:val="25"/>
                <w:b/>
                <w:bCs/>
                <w:spacing w:val="-5"/>
              </w:rPr>
              <w:t>裁量幅度</w:t>
            </w:r>
          </w:p>
        </w:tc>
      </w:tr>
      <w:tr>
        <w:trPr>
          <w:trHeight w:val="868" w:hRule="atLeast"/>
        </w:trPr>
        <w:tc>
          <w:tcPr>
            <w:tcW w:w="1424" w:type="dxa"/>
            <w:vAlign w:val="top"/>
          </w:tcPr>
          <w:p>
            <w:pPr>
              <w:pStyle w:val="TableText"/>
              <w:ind w:left="458"/>
              <w:spacing w:before="308" w:line="219" w:lineRule="auto"/>
              <w:rPr>
                <w:sz w:val="25"/>
                <w:szCs w:val="25"/>
              </w:rPr>
            </w:pPr>
            <w:r>
              <w:rPr>
                <w:sz w:val="25"/>
                <w:szCs w:val="25"/>
                <w:b/>
                <w:bCs/>
                <w:spacing w:val="-6"/>
              </w:rPr>
              <w:t>轻微</w:t>
            </w:r>
          </w:p>
        </w:tc>
        <w:tc>
          <w:tcPr>
            <w:tcW w:w="8313" w:type="dxa"/>
            <w:vAlign w:val="top"/>
          </w:tcPr>
          <w:p>
            <w:pPr>
              <w:pStyle w:val="TableText"/>
              <w:ind w:left="89" w:hanging="79"/>
              <w:spacing w:before="140" w:line="265" w:lineRule="auto"/>
              <w:rPr>
                <w:sz w:val="25"/>
                <w:szCs w:val="25"/>
              </w:rPr>
            </w:pPr>
            <w:r>
              <w:rPr>
                <w:sz w:val="25"/>
                <w:szCs w:val="25"/>
                <w:spacing w:val="-6"/>
              </w:rPr>
              <w:t>取得印鉴卡的医疗机构未依照规定保存麻醉药品和精神药品专用处</w:t>
            </w:r>
            <w:r>
              <w:rPr>
                <w:sz w:val="25"/>
                <w:szCs w:val="25"/>
                <w:spacing w:val="-7"/>
              </w:rPr>
              <w:t>方，或者未</w:t>
            </w:r>
            <w:r>
              <w:rPr>
                <w:sz w:val="25"/>
                <w:szCs w:val="25"/>
              </w:rPr>
              <w:t xml:space="preserve"> </w:t>
            </w:r>
            <w:r>
              <w:rPr>
                <w:sz w:val="25"/>
                <w:szCs w:val="25"/>
                <w:spacing w:val="1"/>
              </w:rPr>
              <w:t>依照规定进行处方专册登记的</w:t>
            </w:r>
          </w:p>
        </w:tc>
        <w:tc>
          <w:tcPr>
            <w:tcW w:w="3942" w:type="dxa"/>
            <w:vAlign w:val="top"/>
          </w:tcPr>
          <w:p>
            <w:pPr>
              <w:pStyle w:val="TableText"/>
              <w:ind w:left="127"/>
              <w:spacing w:before="310" w:line="218" w:lineRule="auto"/>
              <w:rPr>
                <w:sz w:val="25"/>
                <w:szCs w:val="25"/>
              </w:rPr>
            </w:pPr>
            <w:r>
              <w:rPr>
                <w:sz w:val="25"/>
                <w:szCs w:val="25"/>
                <w:spacing w:val="4"/>
              </w:rPr>
              <w:t>给予警告</w:t>
            </w:r>
          </w:p>
        </w:tc>
      </w:tr>
      <w:tr>
        <w:trPr>
          <w:trHeight w:val="898" w:hRule="atLeast"/>
        </w:trPr>
        <w:tc>
          <w:tcPr>
            <w:tcW w:w="1424" w:type="dxa"/>
            <w:vAlign w:val="top"/>
          </w:tcPr>
          <w:p>
            <w:pPr>
              <w:spacing w:line="249" w:lineRule="auto"/>
              <w:rPr>
                <w:rFonts w:ascii="Arial"/>
                <w:sz w:val="21"/>
              </w:rPr>
            </w:pPr>
            <w:r/>
          </w:p>
          <w:p>
            <w:pPr>
              <w:pStyle w:val="TableText"/>
              <w:ind w:left="458"/>
              <w:spacing w:before="81" w:line="221" w:lineRule="auto"/>
              <w:rPr>
                <w:sz w:val="25"/>
                <w:szCs w:val="25"/>
              </w:rPr>
            </w:pPr>
            <w:r>
              <w:rPr>
                <w:sz w:val="25"/>
                <w:szCs w:val="25"/>
                <w:b/>
                <w:bCs/>
                <w:spacing w:val="-10"/>
              </w:rPr>
              <w:t>一般</w:t>
            </w:r>
          </w:p>
        </w:tc>
        <w:tc>
          <w:tcPr>
            <w:tcW w:w="8313" w:type="dxa"/>
            <w:vAlign w:val="top"/>
          </w:tcPr>
          <w:p>
            <w:pPr>
              <w:pStyle w:val="TableText"/>
              <w:ind w:left="99" w:hanging="89"/>
              <w:spacing w:before="154" w:line="271" w:lineRule="auto"/>
              <w:rPr>
                <w:sz w:val="25"/>
                <w:szCs w:val="25"/>
              </w:rPr>
            </w:pPr>
            <w:r>
              <w:rPr>
                <w:sz w:val="25"/>
                <w:szCs w:val="25"/>
                <w:spacing w:val="-6"/>
              </w:rPr>
              <w:t>取得印鉴卡的医疗机构未依照规定保存麻醉药品和精神药品专用处</w:t>
            </w:r>
            <w:r>
              <w:rPr>
                <w:sz w:val="25"/>
                <w:szCs w:val="25"/>
                <w:spacing w:val="-7"/>
              </w:rPr>
              <w:t>方，或者未</w:t>
            </w:r>
            <w:r>
              <w:rPr>
                <w:sz w:val="25"/>
                <w:szCs w:val="25"/>
              </w:rPr>
              <w:t xml:space="preserve"> </w:t>
            </w:r>
            <w:r>
              <w:rPr>
                <w:sz w:val="25"/>
                <w:szCs w:val="25"/>
              </w:rPr>
              <w:t>依照规定进行处方专册登记，经责令限期改正，逾期不改正的</w:t>
            </w:r>
          </w:p>
        </w:tc>
        <w:tc>
          <w:tcPr>
            <w:tcW w:w="3942" w:type="dxa"/>
            <w:vAlign w:val="top"/>
          </w:tcPr>
          <w:p>
            <w:pPr>
              <w:spacing w:line="252" w:lineRule="auto"/>
              <w:rPr>
                <w:rFonts w:ascii="Arial"/>
                <w:sz w:val="21"/>
              </w:rPr>
            </w:pPr>
            <w:r/>
          </w:p>
          <w:p>
            <w:pPr>
              <w:pStyle w:val="TableText"/>
              <w:ind w:left="217"/>
              <w:spacing w:before="81" w:line="220" w:lineRule="auto"/>
              <w:rPr>
                <w:sz w:val="25"/>
                <w:szCs w:val="25"/>
              </w:rPr>
            </w:pPr>
            <w:r>
              <w:rPr>
                <w:sz w:val="25"/>
                <w:szCs w:val="25"/>
              </w:rPr>
              <w:t>处5000元以上8000元以下的罚款</w:t>
            </w:r>
          </w:p>
        </w:tc>
      </w:tr>
      <w:tr>
        <w:trPr>
          <w:trHeight w:val="858" w:hRule="atLeast"/>
        </w:trPr>
        <w:tc>
          <w:tcPr>
            <w:tcW w:w="1424" w:type="dxa"/>
            <w:vAlign w:val="top"/>
          </w:tcPr>
          <w:p>
            <w:pPr>
              <w:pStyle w:val="TableText"/>
              <w:ind w:left="458"/>
              <w:spacing w:before="316" w:line="221" w:lineRule="auto"/>
              <w:rPr>
                <w:sz w:val="25"/>
                <w:szCs w:val="25"/>
              </w:rPr>
            </w:pPr>
            <w:r>
              <w:rPr>
                <w:sz w:val="25"/>
                <w:szCs w:val="25"/>
                <w:b/>
                <w:bCs/>
                <w:spacing w:val="-6"/>
              </w:rPr>
              <w:t>较重</w:t>
            </w:r>
          </w:p>
        </w:tc>
        <w:tc>
          <w:tcPr>
            <w:tcW w:w="8313" w:type="dxa"/>
            <w:vAlign w:val="top"/>
          </w:tcPr>
          <w:p>
            <w:pPr>
              <w:pStyle w:val="TableText"/>
              <w:ind w:left="109" w:hanging="99"/>
              <w:spacing w:before="146" w:line="259" w:lineRule="auto"/>
              <w:rPr>
                <w:sz w:val="25"/>
                <w:szCs w:val="25"/>
              </w:rPr>
            </w:pPr>
            <w:r>
              <w:rPr>
                <w:sz w:val="25"/>
                <w:szCs w:val="25"/>
                <w:spacing w:val="-6"/>
              </w:rPr>
              <w:t>取得印鉴卡的医疗机构未依照规定保存麻醉药品和精神药品专用处</w:t>
            </w:r>
            <w:r>
              <w:rPr>
                <w:sz w:val="25"/>
                <w:szCs w:val="25"/>
                <w:spacing w:val="-7"/>
              </w:rPr>
              <w:t>方，且未依</w:t>
            </w:r>
            <w:r>
              <w:rPr>
                <w:sz w:val="25"/>
                <w:szCs w:val="25"/>
              </w:rPr>
              <w:t xml:space="preserve"> </w:t>
            </w:r>
            <w:r>
              <w:rPr>
                <w:sz w:val="25"/>
                <w:szCs w:val="25"/>
              </w:rPr>
              <w:t>照规定进行处方专册登记，经责令限期改正，逾期不改正的</w:t>
            </w:r>
          </w:p>
        </w:tc>
        <w:tc>
          <w:tcPr>
            <w:tcW w:w="3942" w:type="dxa"/>
            <w:vAlign w:val="top"/>
          </w:tcPr>
          <w:p>
            <w:pPr>
              <w:pStyle w:val="TableText"/>
              <w:ind w:left="147"/>
              <w:spacing w:before="317" w:line="220" w:lineRule="auto"/>
              <w:rPr>
                <w:sz w:val="25"/>
                <w:szCs w:val="25"/>
              </w:rPr>
            </w:pPr>
            <w:r>
              <w:rPr>
                <w:sz w:val="25"/>
                <w:szCs w:val="25"/>
              </w:rPr>
              <w:t>处8000元以上10000元以下的罚款</w:t>
            </w:r>
          </w:p>
        </w:tc>
      </w:tr>
      <w:tr>
        <w:trPr>
          <w:trHeight w:val="883" w:hRule="atLeast"/>
        </w:trPr>
        <w:tc>
          <w:tcPr>
            <w:tcW w:w="1424" w:type="dxa"/>
            <w:vAlign w:val="top"/>
          </w:tcPr>
          <w:p>
            <w:pPr>
              <w:spacing w:line="242" w:lineRule="auto"/>
              <w:rPr>
                <w:rFonts w:ascii="Arial"/>
                <w:sz w:val="21"/>
              </w:rPr>
            </w:pPr>
            <w:r/>
          </w:p>
          <w:p>
            <w:pPr>
              <w:pStyle w:val="TableText"/>
              <w:ind w:left="458"/>
              <w:spacing w:before="82" w:line="220" w:lineRule="auto"/>
              <w:rPr>
                <w:sz w:val="25"/>
                <w:szCs w:val="25"/>
              </w:rPr>
            </w:pPr>
            <w:r>
              <w:rPr>
                <w:sz w:val="25"/>
                <w:szCs w:val="25"/>
                <w:b/>
                <w:bCs/>
                <w:spacing w:val="-6"/>
              </w:rPr>
              <w:t>严重</w:t>
            </w:r>
          </w:p>
        </w:tc>
        <w:tc>
          <w:tcPr>
            <w:tcW w:w="8313" w:type="dxa"/>
            <w:vAlign w:val="top"/>
          </w:tcPr>
          <w:p>
            <w:pPr>
              <w:pStyle w:val="TableText"/>
              <w:ind w:left="89" w:hanging="79"/>
              <w:spacing w:before="157" w:line="264" w:lineRule="auto"/>
              <w:rPr>
                <w:sz w:val="25"/>
                <w:szCs w:val="25"/>
              </w:rPr>
            </w:pPr>
            <w:r>
              <w:rPr>
                <w:sz w:val="25"/>
                <w:szCs w:val="25"/>
                <w:spacing w:val="-6"/>
              </w:rPr>
              <w:t>取得印鉴卡的医疗机构未依照规定保存麻醉药品和精神药品专用处</w:t>
            </w:r>
            <w:r>
              <w:rPr>
                <w:sz w:val="25"/>
                <w:szCs w:val="25"/>
                <w:spacing w:val="-7"/>
              </w:rPr>
              <w:t>方，或者未</w:t>
            </w:r>
            <w:r>
              <w:rPr>
                <w:sz w:val="25"/>
                <w:szCs w:val="25"/>
              </w:rPr>
              <w:t xml:space="preserve"> </w:t>
            </w:r>
            <w:r>
              <w:rPr>
                <w:sz w:val="25"/>
                <w:szCs w:val="25"/>
              </w:rPr>
              <w:t>依照规定进行处方专册登记，情节严重的</w:t>
            </w:r>
          </w:p>
        </w:tc>
        <w:tc>
          <w:tcPr>
            <w:tcW w:w="3942" w:type="dxa"/>
            <w:vAlign w:val="top"/>
          </w:tcPr>
          <w:p>
            <w:pPr>
              <w:spacing w:line="305" w:lineRule="auto"/>
              <w:rPr>
                <w:rFonts w:ascii="Arial"/>
                <w:sz w:val="21"/>
              </w:rPr>
            </w:pPr>
            <w:r/>
          </w:p>
          <w:p>
            <w:pPr>
              <w:pStyle w:val="TableText"/>
              <w:ind w:left="127"/>
              <w:spacing w:before="81" w:line="219" w:lineRule="auto"/>
              <w:rPr>
                <w:sz w:val="25"/>
                <w:szCs w:val="25"/>
              </w:rPr>
            </w:pPr>
            <w:r>
              <w:rPr>
                <w:sz w:val="25"/>
                <w:szCs w:val="25"/>
              </w:rPr>
              <w:t>处1万元罚款，吊销其印鉴卡</w:t>
            </w:r>
          </w:p>
        </w:tc>
      </w:tr>
    </w:tbl>
    <w:p>
      <w:pPr>
        <w:pStyle w:val="BodyText"/>
        <w:spacing w:line="446" w:lineRule="auto"/>
        <w:rPr/>
      </w:pPr>
      <w:r/>
    </w:p>
    <w:p>
      <w:pPr>
        <w:ind w:left="619" w:right="2567" w:firstLine="4"/>
        <w:spacing w:before="98" w:line="246" w:lineRule="auto"/>
        <w:rPr>
          <w:rFonts w:ascii="FangSong" w:hAnsi="FangSong" w:eastAsia="FangSong" w:cs="FangSong"/>
          <w:sz w:val="30"/>
          <w:szCs w:val="30"/>
        </w:rPr>
      </w:pPr>
      <w:r>
        <w:rPr>
          <w:rFonts w:ascii="FangSong" w:hAnsi="FangSong" w:eastAsia="FangSong" w:cs="FangSong"/>
          <w:sz w:val="30"/>
          <w:szCs w:val="30"/>
          <w:b/>
          <w:bCs/>
          <w:spacing w:val="22"/>
        </w:rPr>
        <w:t>第二百六十九条使用未取得处方权的人员、被取消处</w:t>
      </w:r>
      <w:r>
        <w:rPr>
          <w:rFonts w:ascii="FangSong" w:hAnsi="FangSong" w:eastAsia="FangSong" w:cs="FangSong"/>
          <w:sz w:val="30"/>
          <w:szCs w:val="30"/>
          <w:b/>
          <w:bCs/>
          <w:spacing w:val="21"/>
        </w:rPr>
        <w:t>方权的医师开具处方的</w:t>
      </w:r>
      <w:r>
        <w:rPr>
          <w:rFonts w:ascii="FangSong" w:hAnsi="FangSong" w:eastAsia="FangSong" w:cs="FangSong"/>
          <w:sz w:val="30"/>
          <w:szCs w:val="30"/>
        </w:rPr>
        <w:t xml:space="preserve"> </w:t>
      </w:r>
      <w:r>
        <w:rPr>
          <w:rFonts w:ascii="FangSong" w:hAnsi="FangSong" w:eastAsia="FangSong" w:cs="FangSong"/>
          <w:sz w:val="30"/>
          <w:szCs w:val="30"/>
          <w:spacing w:val="2"/>
        </w:rPr>
        <w:t>法律依据：</w:t>
      </w:r>
    </w:p>
    <w:p>
      <w:pPr>
        <w:spacing w:before="116" w:line="221" w:lineRule="auto"/>
        <w:jc w:val="right"/>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《处方管理办法》第五十四条第(一)项</w:t>
      </w:r>
      <w:r>
        <w:rPr>
          <w:rFonts w:ascii="FangSong" w:hAnsi="FangSong" w:eastAsia="FangSong" w:cs="FangSong"/>
          <w:sz w:val="30"/>
          <w:szCs w:val="30"/>
          <w:spacing w:val="19"/>
        </w:rPr>
        <w:t xml:space="preserve">  </w:t>
      </w:r>
      <w:r>
        <w:rPr>
          <w:rFonts w:ascii="FangSong" w:hAnsi="FangSong" w:eastAsia="FangSong" w:cs="FangSong"/>
          <w:sz w:val="30"/>
          <w:szCs w:val="30"/>
          <w:spacing w:val="19"/>
        </w:rPr>
        <w:t>医疗机构有下列情</w:t>
      </w:r>
      <w:r>
        <w:rPr>
          <w:rFonts w:ascii="FangSong" w:hAnsi="FangSong" w:eastAsia="FangSong" w:cs="FangSong"/>
          <w:sz w:val="30"/>
          <w:szCs w:val="30"/>
          <w:spacing w:val="18"/>
        </w:rPr>
        <w:t>形之一的，由县级以上卫生行政</w:t>
      </w:r>
    </w:p>
    <w:p>
      <w:pPr>
        <w:spacing w:line="221" w:lineRule="auto"/>
        <w:sectPr>
          <w:footerReference w:type="default" r:id="rId325"/>
          <w:pgSz w:w="16830" w:h="11900"/>
          <w:pgMar w:top="1011" w:right="1467" w:bottom="1114" w:left="1450" w:header="0" w:footer="772" w:gutter="0"/>
        </w:sectPr>
        <w:rPr>
          <w:rFonts w:ascii="FangSong" w:hAnsi="FangSong" w:eastAsia="FangSong" w:cs="FangSong"/>
          <w:sz w:val="30"/>
          <w:szCs w:val="30"/>
        </w:rPr>
      </w:pPr>
    </w:p>
    <w:p>
      <w:pPr>
        <w:pStyle w:val="BodyText"/>
        <w:spacing w:line="267" w:lineRule="auto"/>
        <w:rPr/>
      </w:pPr>
      <w:r/>
    </w:p>
    <w:p>
      <w:pPr>
        <w:pStyle w:val="BodyText"/>
        <w:spacing w:line="267" w:lineRule="auto"/>
        <w:rPr/>
      </w:pPr>
      <w:r/>
    </w:p>
    <w:p>
      <w:pPr>
        <w:pStyle w:val="BodyText"/>
        <w:spacing w:line="267" w:lineRule="auto"/>
        <w:rPr/>
      </w:pPr>
      <w:r/>
    </w:p>
    <w:p>
      <w:pPr>
        <w:ind w:right="56"/>
        <w:spacing w:before="98" w:line="267" w:lineRule="auto"/>
        <w:rPr>
          <w:rFonts w:ascii="FangSong" w:hAnsi="FangSong" w:eastAsia="FangSong" w:cs="FangSong"/>
          <w:sz w:val="30"/>
          <w:szCs w:val="30"/>
        </w:rPr>
      </w:pPr>
      <w:r>
        <w:rPr>
          <w:rFonts w:ascii="FangSong" w:hAnsi="FangSong" w:eastAsia="FangSong" w:cs="FangSong"/>
          <w:sz w:val="30"/>
          <w:szCs w:val="30"/>
          <w:spacing w:val="19"/>
        </w:rPr>
        <w:t>部门按照《医疗机构管理条例》第四十八条的规定，责令限期改正，</w:t>
      </w:r>
      <w:r>
        <w:rPr>
          <w:rFonts w:ascii="FangSong" w:hAnsi="FangSong" w:eastAsia="FangSong" w:cs="FangSong"/>
          <w:sz w:val="30"/>
          <w:szCs w:val="30"/>
          <w:spacing w:val="18"/>
        </w:rPr>
        <w:t>并可处以5000</w:t>
      </w:r>
      <w:r>
        <w:rPr>
          <w:rFonts w:ascii="FangSong" w:hAnsi="FangSong" w:eastAsia="FangSong" w:cs="FangSong"/>
          <w:sz w:val="30"/>
          <w:szCs w:val="30"/>
          <w:spacing w:val="18"/>
        </w:rPr>
        <w:t xml:space="preserve"> </w:t>
      </w:r>
      <w:r>
        <w:rPr>
          <w:rFonts w:ascii="FangSong" w:hAnsi="FangSong" w:eastAsia="FangSong" w:cs="FangSong"/>
          <w:sz w:val="30"/>
          <w:szCs w:val="30"/>
          <w:spacing w:val="18"/>
        </w:rPr>
        <w:t>元以下的罚款；</w:t>
      </w:r>
      <w:r>
        <w:rPr>
          <w:rFonts w:ascii="FangSong" w:hAnsi="FangSong" w:eastAsia="FangSong" w:cs="FangSong"/>
          <w:sz w:val="30"/>
          <w:szCs w:val="30"/>
        </w:rPr>
        <w:t xml:space="preserve"> </w:t>
      </w:r>
      <w:r>
        <w:rPr>
          <w:rFonts w:ascii="FangSong" w:hAnsi="FangSong" w:eastAsia="FangSong" w:cs="FangSong"/>
          <w:sz w:val="30"/>
          <w:szCs w:val="30"/>
          <w:spacing w:val="18"/>
        </w:rPr>
        <w:t>情节严重的，吊销其《医疗机构执业许可证》:</w:t>
      </w:r>
    </w:p>
    <w:p>
      <w:pPr>
        <w:ind w:left="779"/>
        <w:spacing w:before="14" w:line="222" w:lineRule="auto"/>
        <w:rPr>
          <w:rFonts w:ascii="FangSong" w:hAnsi="FangSong" w:eastAsia="FangSong" w:cs="FangSong"/>
          <w:sz w:val="30"/>
          <w:szCs w:val="30"/>
        </w:rPr>
      </w:pPr>
      <w:r>
        <w:rPr>
          <w:rFonts w:ascii="FangSong" w:hAnsi="FangSong" w:eastAsia="FangSong" w:cs="FangSong"/>
          <w:sz w:val="30"/>
          <w:szCs w:val="30"/>
          <w:spacing w:val="23"/>
        </w:rPr>
        <w:t>(一)使用未取得处方权的人员、被取消处方权的医师开具处方</w:t>
      </w:r>
      <w:r>
        <w:rPr>
          <w:rFonts w:ascii="FangSong" w:hAnsi="FangSong" w:eastAsia="FangSong" w:cs="FangSong"/>
          <w:sz w:val="30"/>
          <w:szCs w:val="30"/>
          <w:spacing w:val="22"/>
        </w:rPr>
        <w:t>的；</w:t>
      </w:r>
    </w:p>
    <w:p>
      <w:pPr>
        <w:ind w:firstLine="649"/>
        <w:spacing w:before="79" w:line="265" w:lineRule="auto"/>
        <w:jc w:val="both"/>
        <w:rPr>
          <w:rFonts w:ascii="FangSong" w:hAnsi="FangSong" w:eastAsia="FangSong" w:cs="FangSong"/>
          <w:sz w:val="30"/>
          <w:szCs w:val="30"/>
        </w:rPr>
      </w:pPr>
      <w:r>
        <w:rPr>
          <w:rFonts w:ascii="FangSong" w:hAnsi="FangSong" w:eastAsia="FangSong" w:cs="FangSong"/>
          <w:sz w:val="30"/>
          <w:szCs w:val="30"/>
          <w:spacing w:val="12"/>
        </w:rPr>
        <w:t>2.</w:t>
      </w:r>
      <w:r>
        <w:rPr>
          <w:rFonts w:ascii="FangSong" w:hAnsi="FangSong" w:eastAsia="FangSong" w:cs="FangSong"/>
          <w:sz w:val="30"/>
          <w:szCs w:val="30"/>
          <w:spacing w:val="12"/>
        </w:rPr>
        <w:t xml:space="preserve"> </w:t>
      </w:r>
      <w:r>
        <w:rPr>
          <w:rFonts w:ascii="FangSong" w:hAnsi="FangSong" w:eastAsia="FangSong" w:cs="FangSong"/>
          <w:sz w:val="30"/>
          <w:szCs w:val="30"/>
          <w:spacing w:val="12"/>
        </w:rPr>
        <w:t>《医疗机构管理条例》第四十七条</w:t>
      </w:r>
      <w:r>
        <w:rPr>
          <w:rFonts w:ascii="FangSong" w:hAnsi="FangSong" w:eastAsia="FangSong" w:cs="FangSong"/>
          <w:sz w:val="30"/>
          <w:szCs w:val="30"/>
          <w:spacing w:val="12"/>
        </w:rPr>
        <w:t xml:space="preserve">  </w:t>
      </w:r>
      <w:r>
        <w:rPr>
          <w:rFonts w:ascii="FangSong" w:hAnsi="FangSong" w:eastAsia="FangSong" w:cs="FangSong"/>
          <w:sz w:val="30"/>
          <w:szCs w:val="30"/>
          <w:spacing w:val="12"/>
        </w:rPr>
        <w:t>违反本条例第二十七条规定，使用非卫生技术人员从事医</w:t>
      </w:r>
      <w:r>
        <w:rPr>
          <w:rFonts w:ascii="FangSong" w:hAnsi="FangSong" w:eastAsia="FangSong" w:cs="FangSong"/>
          <w:sz w:val="30"/>
          <w:szCs w:val="30"/>
          <w:spacing w:val="9"/>
        </w:rPr>
        <w:t xml:space="preserve"> </w:t>
      </w:r>
      <w:r>
        <w:rPr>
          <w:rFonts w:ascii="FangSong" w:hAnsi="FangSong" w:eastAsia="FangSong" w:cs="FangSong"/>
          <w:sz w:val="30"/>
          <w:szCs w:val="30"/>
          <w:spacing w:val="28"/>
        </w:rPr>
        <w:t>疗卫生技术工作的，由县级以上人民政府卫生行政部门责令其</w:t>
      </w:r>
      <w:r>
        <w:rPr>
          <w:rFonts w:ascii="FangSong" w:hAnsi="FangSong" w:eastAsia="FangSong" w:cs="FangSong"/>
          <w:sz w:val="30"/>
          <w:szCs w:val="30"/>
          <w:spacing w:val="27"/>
        </w:rPr>
        <w:t>限期改正，并可以处以1万元以上10</w:t>
      </w:r>
      <w:r>
        <w:rPr>
          <w:rFonts w:ascii="FangSong" w:hAnsi="FangSong" w:eastAsia="FangSong" w:cs="FangSong"/>
          <w:sz w:val="30"/>
          <w:szCs w:val="30"/>
        </w:rPr>
        <w:t xml:space="preserve"> </w:t>
      </w:r>
      <w:r>
        <w:rPr>
          <w:rFonts w:ascii="FangSong" w:hAnsi="FangSong" w:eastAsia="FangSong" w:cs="FangSong"/>
          <w:sz w:val="30"/>
          <w:szCs w:val="30"/>
          <w:spacing w:val="18"/>
        </w:rPr>
        <w:t>万元以下的罚款；情节严重的，吊销其《医疗机构执业许可证》或者责令其停止执业活动。</w:t>
      </w:r>
    </w:p>
    <w:p>
      <w:pPr>
        <w:ind w:left="6423"/>
        <w:spacing w:before="8"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690" w:type="dxa"/>
        <w:tblInd w:w="12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644"/>
        <w:gridCol w:w="4622"/>
      </w:tblGrid>
      <w:tr>
        <w:trPr>
          <w:trHeight w:val="564" w:hRule="atLeast"/>
        </w:trPr>
        <w:tc>
          <w:tcPr>
            <w:tcW w:w="1424" w:type="dxa"/>
            <w:vAlign w:val="top"/>
          </w:tcPr>
          <w:p>
            <w:pPr>
              <w:pStyle w:val="TableText"/>
              <w:ind w:left="128"/>
              <w:spacing w:before="16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644" w:type="dxa"/>
            <w:vAlign w:val="top"/>
          </w:tcPr>
          <w:p>
            <w:pPr>
              <w:pStyle w:val="TableText"/>
              <w:ind w:left="3254"/>
              <w:spacing w:before="162" w:line="220" w:lineRule="auto"/>
              <w:rPr/>
            </w:pPr>
            <w:r>
              <w:rPr>
                <w:b/>
                <w:bCs/>
                <w:spacing w:val="-11"/>
              </w:rPr>
              <w:t>违</w:t>
            </w:r>
            <w:r>
              <w:rPr>
                <w:spacing w:val="-36"/>
              </w:rPr>
              <w:t xml:space="preserve"> </w:t>
            </w:r>
            <w:r>
              <w:rPr>
                <w:b/>
                <w:bCs/>
                <w:spacing w:val="-11"/>
              </w:rPr>
              <w:t>法</w:t>
            </w:r>
            <w:r>
              <w:rPr>
                <w:spacing w:val="-37"/>
              </w:rPr>
              <w:t xml:space="preserve"> </w:t>
            </w:r>
            <w:r>
              <w:rPr>
                <w:b/>
                <w:bCs/>
                <w:spacing w:val="-11"/>
              </w:rPr>
              <w:t>后</w:t>
            </w:r>
            <w:r>
              <w:rPr>
                <w:spacing w:val="-33"/>
              </w:rPr>
              <w:t xml:space="preserve"> </w:t>
            </w:r>
            <w:r>
              <w:rPr>
                <w:b/>
                <w:bCs/>
                <w:spacing w:val="-11"/>
              </w:rPr>
              <w:t>果</w:t>
            </w:r>
          </w:p>
        </w:tc>
        <w:tc>
          <w:tcPr>
            <w:tcW w:w="4622" w:type="dxa"/>
            <w:vAlign w:val="top"/>
          </w:tcPr>
          <w:p>
            <w:pPr>
              <w:pStyle w:val="TableText"/>
              <w:ind w:left="1830"/>
              <w:spacing w:before="159" w:line="218" w:lineRule="auto"/>
              <w:rPr/>
            </w:pPr>
            <w:r>
              <w:rPr>
                <w:b/>
                <w:bCs/>
                <w:spacing w:val="-5"/>
              </w:rPr>
              <w:t>裁量幅度</w:t>
            </w:r>
          </w:p>
        </w:tc>
      </w:tr>
      <w:tr>
        <w:trPr>
          <w:trHeight w:val="868" w:hRule="atLeast"/>
        </w:trPr>
        <w:tc>
          <w:tcPr>
            <w:tcW w:w="1424" w:type="dxa"/>
            <w:vAlign w:val="top"/>
          </w:tcPr>
          <w:p>
            <w:pPr>
              <w:pStyle w:val="TableText"/>
              <w:ind w:left="468"/>
              <w:spacing w:before="318" w:line="221" w:lineRule="auto"/>
              <w:rPr/>
            </w:pPr>
            <w:r>
              <w:rPr>
                <w:b/>
                <w:bCs/>
                <w:spacing w:val="-10"/>
              </w:rPr>
              <w:t>一般</w:t>
            </w:r>
          </w:p>
        </w:tc>
        <w:tc>
          <w:tcPr>
            <w:tcW w:w="7644" w:type="dxa"/>
            <w:vAlign w:val="top"/>
          </w:tcPr>
          <w:p>
            <w:pPr>
              <w:spacing w:line="241" w:lineRule="auto"/>
              <w:rPr>
                <w:rFonts w:ascii="Arial"/>
                <w:sz w:val="21"/>
              </w:rPr>
            </w:pPr>
            <w:r/>
          </w:p>
          <w:p>
            <w:pPr>
              <w:pStyle w:val="TableText"/>
              <w:ind w:left="101"/>
              <w:spacing w:before="78" w:line="219" w:lineRule="auto"/>
              <w:rPr/>
            </w:pPr>
            <w:r>
              <w:rPr/>
              <w:t>使用1名未取得处方权的人员、被取消处方权的医师开具处方的</w:t>
            </w:r>
          </w:p>
        </w:tc>
        <w:tc>
          <w:tcPr>
            <w:tcW w:w="4622" w:type="dxa"/>
            <w:vAlign w:val="top"/>
          </w:tcPr>
          <w:p>
            <w:pPr>
              <w:pStyle w:val="TableText"/>
              <w:ind w:left="126" w:right="254" w:firstLine="140"/>
              <w:spacing w:before="140" w:line="276" w:lineRule="auto"/>
              <w:rPr/>
            </w:pPr>
            <w:r>
              <w:rPr/>
              <w:t>责令其立即改正，处以1万元以上2万元</w:t>
            </w:r>
            <w:r>
              <w:rPr>
                <w:spacing w:val="9"/>
              </w:rPr>
              <w:t xml:space="preserve"> </w:t>
            </w:r>
            <w:r>
              <w:rPr>
                <w:spacing w:val="2"/>
              </w:rPr>
              <w:t>以下罚款</w:t>
            </w:r>
          </w:p>
        </w:tc>
      </w:tr>
      <w:tr>
        <w:trPr>
          <w:trHeight w:val="878" w:hRule="atLeast"/>
        </w:trPr>
        <w:tc>
          <w:tcPr>
            <w:tcW w:w="1424" w:type="dxa"/>
            <w:vAlign w:val="top"/>
          </w:tcPr>
          <w:p>
            <w:pPr>
              <w:spacing w:line="243" w:lineRule="auto"/>
              <w:rPr>
                <w:rFonts w:ascii="Arial"/>
                <w:sz w:val="21"/>
              </w:rPr>
            </w:pPr>
            <w:r/>
          </w:p>
          <w:p>
            <w:pPr>
              <w:pStyle w:val="TableText"/>
              <w:ind w:left="468"/>
              <w:spacing w:before="78" w:line="221" w:lineRule="auto"/>
              <w:rPr/>
            </w:pPr>
            <w:r>
              <w:rPr>
                <w:b/>
                <w:bCs/>
                <w:spacing w:val="-5"/>
              </w:rPr>
              <w:t>较重</w:t>
            </w:r>
          </w:p>
        </w:tc>
        <w:tc>
          <w:tcPr>
            <w:tcW w:w="7644" w:type="dxa"/>
            <w:vAlign w:val="top"/>
          </w:tcPr>
          <w:p>
            <w:pPr>
              <w:pStyle w:val="TableText"/>
              <w:ind w:left="101" w:right="312" w:firstLine="9"/>
              <w:spacing w:before="142" w:line="279" w:lineRule="auto"/>
              <w:rPr/>
            </w:pPr>
            <w:r>
              <w:rPr/>
              <w:t>使用2名及2名以上未取得处方权的人员、被取消处方权的医师开具处</w:t>
            </w:r>
            <w:r>
              <w:rPr>
                <w:spacing w:val="9"/>
              </w:rPr>
              <w:t xml:space="preserve"> </w:t>
            </w:r>
            <w:r>
              <w:rPr>
                <w:spacing w:val="9"/>
              </w:rPr>
              <w:t>方的</w:t>
            </w:r>
          </w:p>
        </w:tc>
        <w:tc>
          <w:tcPr>
            <w:tcW w:w="4622" w:type="dxa"/>
            <w:vAlign w:val="top"/>
          </w:tcPr>
          <w:p>
            <w:pPr>
              <w:pStyle w:val="TableText"/>
              <w:ind w:left="126" w:right="384" w:firstLine="10"/>
              <w:spacing w:before="152" w:line="275" w:lineRule="auto"/>
              <w:rPr/>
            </w:pPr>
            <w:r>
              <w:rPr/>
              <w:t>责令其立即改正，处以2万元以上8万元</w:t>
            </w:r>
            <w:r>
              <w:rPr>
                <w:spacing w:val="9"/>
              </w:rPr>
              <w:t xml:space="preserve"> </w:t>
            </w:r>
            <w:r>
              <w:rPr>
                <w:spacing w:val="2"/>
              </w:rPr>
              <w:t>以下罚款</w:t>
            </w:r>
          </w:p>
        </w:tc>
      </w:tr>
      <w:tr>
        <w:trPr>
          <w:trHeight w:val="888" w:hRule="atLeast"/>
        </w:trPr>
        <w:tc>
          <w:tcPr>
            <w:tcW w:w="1424" w:type="dxa"/>
            <w:vAlign w:val="top"/>
          </w:tcPr>
          <w:p>
            <w:pPr>
              <w:spacing w:line="252" w:lineRule="auto"/>
              <w:rPr>
                <w:rFonts w:ascii="Arial"/>
                <w:sz w:val="21"/>
              </w:rPr>
            </w:pPr>
            <w:r/>
          </w:p>
          <w:p>
            <w:pPr>
              <w:pStyle w:val="TableText"/>
              <w:ind w:left="468"/>
              <w:spacing w:before="78" w:line="220" w:lineRule="auto"/>
              <w:rPr/>
            </w:pPr>
            <w:r>
              <w:rPr>
                <w:b/>
                <w:bCs/>
                <w:spacing w:val="-6"/>
              </w:rPr>
              <w:t>严重</w:t>
            </w:r>
          </w:p>
        </w:tc>
        <w:tc>
          <w:tcPr>
            <w:tcW w:w="7644" w:type="dxa"/>
            <w:vAlign w:val="top"/>
          </w:tcPr>
          <w:p>
            <w:pPr>
              <w:pStyle w:val="TableText"/>
              <w:ind w:left="101"/>
              <w:spacing w:before="145" w:line="219" w:lineRule="auto"/>
              <w:rPr/>
            </w:pPr>
            <w:r>
              <w:rPr/>
              <w:t>使用未取得处方权的人员、被取消处方权的医师开具处方，给患者造成</w:t>
            </w:r>
          </w:p>
          <w:p>
            <w:pPr>
              <w:pStyle w:val="TableText"/>
              <w:ind w:left="101"/>
              <w:spacing w:before="155" w:line="219" w:lineRule="auto"/>
              <w:rPr/>
            </w:pPr>
            <w:r>
              <w:rPr>
                <w:color w:val="605050"/>
                <w:spacing w:val="6"/>
              </w:rPr>
              <w:t>伤害的</w:t>
            </w:r>
          </w:p>
        </w:tc>
        <w:tc>
          <w:tcPr>
            <w:tcW w:w="4622" w:type="dxa"/>
            <w:vAlign w:val="top"/>
          </w:tcPr>
          <w:p>
            <w:pPr>
              <w:pStyle w:val="TableText"/>
              <w:ind w:left="126" w:right="194" w:firstLine="80"/>
              <w:spacing w:before="162" w:line="275" w:lineRule="auto"/>
              <w:rPr/>
            </w:pPr>
            <w:r>
              <w:rPr/>
              <w:t>责令其立即改正，处以8万元以上10万元</w:t>
            </w:r>
            <w:r>
              <w:rPr>
                <w:spacing w:val="9"/>
              </w:rPr>
              <w:t xml:space="preserve"> </w:t>
            </w:r>
            <w:r>
              <w:rPr>
                <w:spacing w:val="2"/>
              </w:rPr>
              <w:t>以下罚款</w:t>
            </w:r>
          </w:p>
        </w:tc>
      </w:tr>
      <w:tr>
        <w:trPr>
          <w:trHeight w:val="1312" w:hRule="atLeast"/>
        </w:trPr>
        <w:tc>
          <w:tcPr>
            <w:tcW w:w="1424" w:type="dxa"/>
            <w:vAlign w:val="top"/>
          </w:tcPr>
          <w:p>
            <w:pPr>
              <w:spacing w:line="462" w:lineRule="auto"/>
              <w:rPr>
                <w:rFonts w:ascii="Arial"/>
                <w:sz w:val="21"/>
              </w:rPr>
            </w:pPr>
            <w:r/>
          </w:p>
          <w:p>
            <w:pPr>
              <w:pStyle w:val="TableText"/>
              <w:ind w:left="228"/>
              <w:spacing w:before="78" w:line="219" w:lineRule="auto"/>
              <w:rPr/>
            </w:pPr>
            <w:r>
              <w:rPr>
                <w:b/>
                <w:bCs/>
                <w:spacing w:val="-5"/>
              </w:rPr>
              <w:t>特别严重</w:t>
            </w:r>
          </w:p>
        </w:tc>
        <w:tc>
          <w:tcPr>
            <w:tcW w:w="7644" w:type="dxa"/>
            <w:vAlign w:val="top"/>
          </w:tcPr>
          <w:p>
            <w:pPr>
              <w:spacing w:line="277" w:lineRule="auto"/>
              <w:rPr>
                <w:rFonts w:ascii="Arial"/>
                <w:sz w:val="21"/>
              </w:rPr>
            </w:pPr>
            <w:r/>
          </w:p>
          <w:p>
            <w:pPr>
              <w:pStyle w:val="TableText"/>
              <w:ind w:left="101" w:right="93" w:firstLine="9"/>
              <w:spacing w:before="78" w:line="360" w:lineRule="auto"/>
              <w:rPr/>
            </w:pPr>
            <w:r>
              <w:rPr/>
              <w:t>使用未取得处方权的人员、被取消处方权的</w:t>
            </w:r>
            <w:r>
              <w:rPr>
                <w:spacing w:val="-1"/>
              </w:rPr>
              <w:t>医师开具处方，造成患者死</w:t>
            </w:r>
            <w:r>
              <w:rPr/>
              <w:t xml:space="preserve"> </w:t>
            </w:r>
            <w:r>
              <w:rPr>
                <w:spacing w:val="9"/>
              </w:rPr>
              <w:t>亡的</w:t>
            </w:r>
          </w:p>
        </w:tc>
        <w:tc>
          <w:tcPr>
            <w:tcW w:w="4622" w:type="dxa"/>
            <w:vAlign w:val="top"/>
          </w:tcPr>
          <w:p>
            <w:pPr>
              <w:pStyle w:val="TableText"/>
              <w:ind w:left="117" w:right="104" w:firstLine="29"/>
              <w:spacing w:before="147" w:line="296" w:lineRule="auto"/>
              <w:jc w:val="both"/>
              <w:rPr/>
            </w:pPr>
            <w:r>
              <w:rPr/>
              <w:t>责令其立即改正，处以10万元罚款，情节</w:t>
            </w:r>
            <w:r>
              <w:rPr>
                <w:spacing w:val="11"/>
              </w:rPr>
              <w:t xml:space="preserve"> </w:t>
            </w:r>
            <w:r>
              <w:rPr>
                <w:spacing w:val="3"/>
              </w:rPr>
              <w:t>严重的，吊销其《医疗机构执业许可证》</w:t>
            </w:r>
            <w:r>
              <w:rPr>
                <w:spacing w:val="15"/>
              </w:rPr>
              <w:t xml:space="preserve"> </w:t>
            </w:r>
            <w:r>
              <w:rPr>
                <w:spacing w:val="1"/>
              </w:rPr>
              <w:t>或者责令其停止执业活动</w:t>
            </w:r>
          </w:p>
        </w:tc>
      </w:tr>
    </w:tbl>
    <w:p>
      <w:pPr>
        <w:pStyle w:val="BodyText"/>
        <w:rPr/>
      </w:pPr>
      <w:r/>
    </w:p>
    <w:p>
      <w:pPr>
        <w:sectPr>
          <w:footerReference w:type="default" r:id="rId326"/>
          <w:pgSz w:w="16830" w:h="11900"/>
          <w:pgMar w:top="1011" w:right="1433" w:bottom="1107" w:left="1430" w:header="0" w:footer="774" w:gutter="0"/>
        </w:sectPr>
        <w:rPr/>
      </w:pPr>
    </w:p>
    <w:p>
      <w:pPr>
        <w:pStyle w:val="BodyText"/>
        <w:spacing w:line="266" w:lineRule="auto"/>
        <w:rPr/>
      </w:pPr>
      <w:r/>
    </w:p>
    <w:p>
      <w:pPr>
        <w:pStyle w:val="BodyText"/>
        <w:spacing w:line="266" w:lineRule="auto"/>
        <w:rPr/>
      </w:pPr>
      <w:r/>
    </w:p>
    <w:p>
      <w:pPr>
        <w:pStyle w:val="BodyText"/>
        <w:spacing w:line="266" w:lineRule="auto"/>
        <w:rPr/>
      </w:pPr>
      <w:r/>
    </w:p>
    <w:p>
      <w:pPr>
        <w:ind w:left="654"/>
        <w:spacing w:before="97" w:line="220" w:lineRule="auto"/>
        <w:rPr>
          <w:rFonts w:ascii="FangSong" w:hAnsi="FangSong" w:eastAsia="FangSong" w:cs="FangSong"/>
          <w:sz w:val="30"/>
          <w:szCs w:val="30"/>
        </w:rPr>
      </w:pPr>
      <w:bookmarkStart w:name="bookmark978" w:id="347"/>
      <w:bookmarkEnd w:id="347"/>
      <w:r>
        <w:rPr>
          <w:rFonts w:ascii="FangSong" w:hAnsi="FangSong" w:eastAsia="FangSong" w:cs="FangSong"/>
          <w:sz w:val="30"/>
          <w:szCs w:val="30"/>
          <w:b/>
          <w:bCs/>
          <w:spacing w:val="21"/>
        </w:rPr>
        <w:t>第二百七十条使用未取得药学专业技术职务任职资格的人员从事处方调剂工作的</w:t>
      </w:r>
    </w:p>
    <w:p>
      <w:pPr>
        <w:ind w:left="649"/>
        <w:spacing w:before="8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firstLine="649"/>
        <w:spacing w:before="84" w:line="271" w:lineRule="auto"/>
        <w:jc w:val="both"/>
        <w:rPr>
          <w:rFonts w:ascii="FangSong" w:hAnsi="FangSong" w:eastAsia="FangSong" w:cs="FangSong"/>
          <w:sz w:val="30"/>
          <w:szCs w:val="30"/>
        </w:rPr>
      </w:pPr>
      <w:r>
        <w:rPr>
          <w:rFonts w:ascii="FangSong" w:hAnsi="FangSong" w:eastAsia="FangSong" w:cs="FangSong"/>
          <w:sz w:val="30"/>
          <w:szCs w:val="30"/>
          <w:spacing w:val="22"/>
        </w:rPr>
        <w:t>1.</w:t>
      </w:r>
      <w:r>
        <w:rPr>
          <w:rFonts w:ascii="FangSong" w:hAnsi="FangSong" w:eastAsia="FangSong" w:cs="FangSong"/>
          <w:sz w:val="30"/>
          <w:szCs w:val="30"/>
          <w:spacing w:val="22"/>
        </w:rPr>
        <w:t xml:space="preserve"> </w:t>
      </w:r>
      <w:r>
        <w:rPr>
          <w:rFonts w:ascii="FangSong" w:hAnsi="FangSong" w:eastAsia="FangSong" w:cs="FangSong"/>
          <w:sz w:val="30"/>
          <w:szCs w:val="30"/>
          <w:spacing w:val="22"/>
        </w:rPr>
        <w:t>《处方管理办法》第五十四条第(三)项</w:t>
      </w:r>
      <w:r>
        <w:rPr>
          <w:rFonts w:ascii="FangSong" w:hAnsi="FangSong" w:eastAsia="FangSong" w:cs="FangSong"/>
          <w:sz w:val="30"/>
          <w:szCs w:val="30"/>
          <w:spacing w:val="22"/>
        </w:rPr>
        <w:t xml:space="preserve">   </w:t>
      </w:r>
      <w:r>
        <w:rPr>
          <w:rFonts w:ascii="FangSong" w:hAnsi="FangSong" w:eastAsia="FangSong" w:cs="FangSong"/>
          <w:sz w:val="30"/>
          <w:szCs w:val="30"/>
          <w:spacing w:val="22"/>
        </w:rPr>
        <w:t>医疗机构有下列情形之一</w:t>
      </w:r>
      <w:r>
        <w:rPr>
          <w:rFonts w:ascii="FangSong" w:hAnsi="FangSong" w:eastAsia="FangSong" w:cs="FangSong"/>
          <w:sz w:val="30"/>
          <w:szCs w:val="30"/>
          <w:spacing w:val="21"/>
        </w:rPr>
        <w:t>的，由县级以上卫生行</w:t>
      </w:r>
      <w:r>
        <w:rPr>
          <w:rFonts w:ascii="FangSong" w:hAnsi="FangSong" w:eastAsia="FangSong" w:cs="FangSong"/>
          <w:sz w:val="30"/>
          <w:szCs w:val="30"/>
        </w:rPr>
        <w:t xml:space="preserve"> </w:t>
      </w:r>
      <w:r>
        <w:rPr>
          <w:rFonts w:ascii="FangSong" w:hAnsi="FangSong" w:eastAsia="FangSong" w:cs="FangSong"/>
          <w:sz w:val="30"/>
          <w:szCs w:val="30"/>
          <w:spacing w:val="18"/>
        </w:rPr>
        <w:t>政部门按照《医疗机构管理条例》第四十八条的规定，责令限期改正，并可处以5000元以下的罚款；</w:t>
      </w:r>
      <w:r>
        <w:rPr>
          <w:rFonts w:ascii="FangSong" w:hAnsi="FangSong" w:eastAsia="FangSong" w:cs="FangSong"/>
          <w:sz w:val="30"/>
          <w:szCs w:val="30"/>
          <w:spacing w:val="1"/>
        </w:rPr>
        <w:t xml:space="preserve"> </w:t>
      </w:r>
      <w:r>
        <w:rPr>
          <w:rFonts w:ascii="FangSong" w:hAnsi="FangSong" w:eastAsia="FangSong" w:cs="FangSong"/>
          <w:sz w:val="30"/>
          <w:szCs w:val="30"/>
          <w:spacing w:val="19"/>
        </w:rPr>
        <w:t>情节严重的，吊销其《医疗机构执业许可证》:</w:t>
      </w:r>
    </w:p>
    <w:p>
      <w:pPr>
        <w:ind w:left="790"/>
        <w:spacing w:line="220" w:lineRule="auto"/>
        <w:rPr>
          <w:rFonts w:ascii="FangSong" w:hAnsi="FangSong" w:eastAsia="FangSong" w:cs="FangSong"/>
          <w:sz w:val="30"/>
          <w:szCs w:val="30"/>
        </w:rPr>
      </w:pPr>
      <w:r>
        <w:rPr>
          <w:rFonts w:ascii="FangSong" w:hAnsi="FangSong" w:eastAsia="FangSong" w:cs="FangSong"/>
          <w:sz w:val="30"/>
          <w:szCs w:val="30"/>
          <w:spacing w:val="23"/>
        </w:rPr>
        <w:t>(三)使用未取得药学专业技术职务任职资格的人员从事处方调剂工作的。</w:t>
      </w:r>
    </w:p>
    <w:p>
      <w:pPr>
        <w:ind w:right="64" w:firstLine="649"/>
        <w:spacing w:before="87" w:line="264" w:lineRule="auto"/>
        <w:jc w:val="both"/>
        <w:rPr>
          <w:rFonts w:ascii="FangSong" w:hAnsi="FangSong" w:eastAsia="FangSong" w:cs="FangSong"/>
          <w:sz w:val="30"/>
          <w:szCs w:val="30"/>
        </w:rPr>
      </w:pPr>
      <w:r>
        <w:rPr>
          <w:rFonts w:ascii="FangSong" w:hAnsi="FangSong" w:eastAsia="FangSong" w:cs="FangSong"/>
          <w:sz w:val="30"/>
          <w:szCs w:val="30"/>
          <w:spacing w:val="12"/>
        </w:rPr>
        <w:t>2.</w:t>
      </w:r>
      <w:r>
        <w:rPr>
          <w:rFonts w:ascii="FangSong" w:hAnsi="FangSong" w:eastAsia="FangSong" w:cs="FangSong"/>
          <w:sz w:val="30"/>
          <w:szCs w:val="30"/>
          <w:spacing w:val="12"/>
        </w:rPr>
        <w:t xml:space="preserve"> </w:t>
      </w:r>
      <w:r>
        <w:rPr>
          <w:rFonts w:ascii="FangSong" w:hAnsi="FangSong" w:eastAsia="FangSong" w:cs="FangSong"/>
          <w:sz w:val="30"/>
          <w:szCs w:val="30"/>
          <w:spacing w:val="12"/>
        </w:rPr>
        <w:t>《医疗机构管理条例》第四十七条</w:t>
      </w:r>
      <w:r>
        <w:rPr>
          <w:rFonts w:ascii="FangSong" w:hAnsi="FangSong" w:eastAsia="FangSong" w:cs="FangSong"/>
          <w:sz w:val="30"/>
          <w:szCs w:val="30"/>
          <w:spacing w:val="12"/>
        </w:rPr>
        <w:t xml:space="preserve">  </w:t>
      </w:r>
      <w:r>
        <w:rPr>
          <w:rFonts w:ascii="FangSong" w:hAnsi="FangSong" w:eastAsia="FangSong" w:cs="FangSong"/>
          <w:sz w:val="30"/>
          <w:szCs w:val="30"/>
          <w:spacing w:val="12"/>
        </w:rPr>
        <w:t>违反本条例第二十七条规定，使用非卫生技术人员从事医</w:t>
      </w:r>
      <w:r>
        <w:rPr>
          <w:rFonts w:ascii="FangSong" w:hAnsi="FangSong" w:eastAsia="FangSong" w:cs="FangSong"/>
          <w:sz w:val="30"/>
          <w:szCs w:val="30"/>
        </w:rPr>
        <w:t xml:space="preserve"> </w:t>
      </w:r>
      <w:r>
        <w:rPr>
          <w:rFonts w:ascii="FangSong" w:hAnsi="FangSong" w:eastAsia="FangSong" w:cs="FangSong"/>
          <w:sz w:val="30"/>
          <w:szCs w:val="30"/>
          <w:spacing w:val="28"/>
        </w:rPr>
        <w:t>疗卫生技术工作的，由县级以上人民政府卫生行政部门责令其</w:t>
      </w:r>
      <w:r>
        <w:rPr>
          <w:rFonts w:ascii="FangSong" w:hAnsi="FangSong" w:eastAsia="FangSong" w:cs="FangSong"/>
          <w:sz w:val="30"/>
          <w:szCs w:val="30"/>
          <w:spacing w:val="27"/>
        </w:rPr>
        <w:t>限期改正，并可以处以1万元以上10</w:t>
      </w:r>
      <w:r>
        <w:rPr>
          <w:rFonts w:ascii="FangSong" w:hAnsi="FangSong" w:eastAsia="FangSong" w:cs="FangSong"/>
          <w:sz w:val="30"/>
          <w:szCs w:val="30"/>
        </w:rPr>
        <w:t xml:space="preserve"> </w:t>
      </w:r>
      <w:r>
        <w:rPr>
          <w:rFonts w:ascii="FangSong" w:hAnsi="FangSong" w:eastAsia="FangSong" w:cs="FangSong"/>
          <w:sz w:val="30"/>
          <w:szCs w:val="30"/>
          <w:spacing w:val="18"/>
        </w:rPr>
        <w:t>万元以下的罚款；情节严重的，吊销其《医疗机构执业许可证》或者责令其停止执业活动。</w:t>
      </w:r>
    </w:p>
    <w:p>
      <w:pPr>
        <w:ind w:left="6424"/>
        <w:spacing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99" w:type="dxa"/>
        <w:tblInd w:w="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3"/>
        <w:gridCol w:w="8194"/>
        <w:gridCol w:w="4282"/>
      </w:tblGrid>
      <w:tr>
        <w:trPr>
          <w:trHeight w:val="443" w:hRule="atLeast"/>
        </w:trPr>
        <w:tc>
          <w:tcPr>
            <w:tcW w:w="1423" w:type="dxa"/>
            <w:vAlign w:val="top"/>
          </w:tcPr>
          <w:p>
            <w:pPr>
              <w:pStyle w:val="TableText"/>
              <w:ind w:left="208"/>
              <w:spacing w:before="102" w:line="220" w:lineRule="auto"/>
              <w:rPr>
                <w:sz w:val="25"/>
                <w:szCs w:val="25"/>
              </w:rPr>
            </w:pPr>
            <w:r>
              <w:rPr>
                <w:sz w:val="25"/>
                <w:szCs w:val="25"/>
                <w:b/>
                <w:bCs/>
                <w:spacing w:val="-5"/>
              </w:rPr>
              <w:t>违法程度</w:t>
            </w:r>
          </w:p>
        </w:tc>
        <w:tc>
          <w:tcPr>
            <w:tcW w:w="8194" w:type="dxa"/>
            <w:vAlign w:val="top"/>
          </w:tcPr>
          <w:p>
            <w:pPr>
              <w:pStyle w:val="TableText"/>
              <w:ind w:left="3525"/>
              <w:spacing w:before="102" w:line="220" w:lineRule="auto"/>
              <w:rPr>
                <w:sz w:val="25"/>
                <w:szCs w:val="25"/>
              </w:rPr>
            </w:pPr>
            <w:r>
              <w:rPr>
                <w:sz w:val="25"/>
                <w:szCs w:val="25"/>
                <w:b/>
                <w:bCs/>
                <w:spacing w:val="-5"/>
              </w:rPr>
              <w:t>违法后果</w:t>
            </w:r>
          </w:p>
        </w:tc>
        <w:tc>
          <w:tcPr>
            <w:tcW w:w="4282" w:type="dxa"/>
            <w:vAlign w:val="top"/>
          </w:tcPr>
          <w:p>
            <w:pPr>
              <w:pStyle w:val="TableText"/>
              <w:ind w:left="1591"/>
              <w:spacing w:before="99" w:line="218" w:lineRule="auto"/>
              <w:rPr>
                <w:sz w:val="25"/>
                <w:szCs w:val="25"/>
              </w:rPr>
            </w:pPr>
            <w:r>
              <w:rPr>
                <w:sz w:val="25"/>
                <w:szCs w:val="25"/>
                <w:b/>
                <w:bCs/>
                <w:spacing w:val="-5"/>
              </w:rPr>
              <w:t>裁量幅度</w:t>
            </w:r>
          </w:p>
        </w:tc>
      </w:tr>
      <w:tr>
        <w:trPr>
          <w:trHeight w:val="887" w:hRule="atLeast"/>
        </w:trPr>
        <w:tc>
          <w:tcPr>
            <w:tcW w:w="1423" w:type="dxa"/>
            <w:vAlign w:val="top"/>
          </w:tcPr>
          <w:p>
            <w:pPr>
              <w:pStyle w:val="TableText"/>
              <w:ind w:left="458"/>
              <w:spacing w:before="320" w:line="221" w:lineRule="auto"/>
              <w:rPr>
                <w:sz w:val="25"/>
                <w:szCs w:val="25"/>
              </w:rPr>
            </w:pPr>
            <w:r>
              <w:rPr>
                <w:sz w:val="25"/>
                <w:szCs w:val="25"/>
                <w:b/>
                <w:bCs/>
                <w:spacing w:val="-10"/>
              </w:rPr>
              <w:t>一般</w:t>
            </w:r>
          </w:p>
        </w:tc>
        <w:tc>
          <w:tcPr>
            <w:tcW w:w="8194" w:type="dxa"/>
            <w:vAlign w:val="top"/>
          </w:tcPr>
          <w:p>
            <w:pPr>
              <w:pStyle w:val="TableText"/>
              <w:ind w:left="131"/>
              <w:spacing w:before="320" w:line="219" w:lineRule="auto"/>
              <w:rPr>
                <w:sz w:val="25"/>
                <w:szCs w:val="25"/>
              </w:rPr>
            </w:pPr>
            <w:r>
              <w:rPr>
                <w:sz w:val="25"/>
                <w:szCs w:val="25"/>
                <w:spacing w:val="1"/>
              </w:rPr>
              <w:t>使用1名未取得药学专业技术职务任职资格的人员从</w:t>
            </w:r>
            <w:r>
              <w:rPr>
                <w:sz w:val="25"/>
                <w:szCs w:val="25"/>
              </w:rPr>
              <w:t>事处方调剂工作的</w:t>
            </w:r>
          </w:p>
        </w:tc>
        <w:tc>
          <w:tcPr>
            <w:tcW w:w="4282" w:type="dxa"/>
            <w:vAlign w:val="top"/>
          </w:tcPr>
          <w:p>
            <w:pPr>
              <w:pStyle w:val="TableText"/>
              <w:ind w:left="117" w:right="138"/>
              <w:spacing w:before="151" w:line="268" w:lineRule="auto"/>
              <w:rPr>
                <w:sz w:val="25"/>
                <w:szCs w:val="25"/>
              </w:rPr>
            </w:pPr>
            <w:r>
              <w:rPr>
                <w:sz w:val="25"/>
                <w:szCs w:val="25"/>
              </w:rPr>
              <w:t>责令其立即改正，处以1万元以上2万</w:t>
            </w:r>
            <w:r>
              <w:rPr>
                <w:sz w:val="25"/>
                <w:szCs w:val="25"/>
                <w:spacing w:val="14"/>
              </w:rPr>
              <w:t xml:space="preserve"> </w:t>
            </w:r>
            <w:r>
              <w:rPr>
                <w:sz w:val="25"/>
                <w:szCs w:val="25"/>
                <w:spacing w:val="2"/>
              </w:rPr>
              <w:t>元以下罚款</w:t>
            </w:r>
          </w:p>
        </w:tc>
      </w:tr>
      <w:tr>
        <w:trPr>
          <w:trHeight w:val="847" w:hRule="atLeast"/>
        </w:trPr>
        <w:tc>
          <w:tcPr>
            <w:tcW w:w="1423" w:type="dxa"/>
            <w:vAlign w:val="top"/>
          </w:tcPr>
          <w:p>
            <w:pPr>
              <w:pStyle w:val="TableText"/>
              <w:ind w:left="458"/>
              <w:spacing w:before="305" w:line="221" w:lineRule="auto"/>
              <w:rPr>
                <w:sz w:val="25"/>
                <w:szCs w:val="25"/>
              </w:rPr>
            </w:pPr>
            <w:r>
              <w:rPr>
                <w:sz w:val="25"/>
                <w:szCs w:val="25"/>
                <w:b/>
                <w:bCs/>
                <w:spacing w:val="-6"/>
              </w:rPr>
              <w:t>较重</w:t>
            </w:r>
          </w:p>
        </w:tc>
        <w:tc>
          <w:tcPr>
            <w:tcW w:w="8194" w:type="dxa"/>
            <w:vAlign w:val="top"/>
          </w:tcPr>
          <w:p>
            <w:pPr>
              <w:pStyle w:val="TableText"/>
              <w:ind w:left="131" w:right="47" w:hanging="10"/>
              <w:spacing w:before="135" w:line="259" w:lineRule="auto"/>
              <w:rPr>
                <w:sz w:val="25"/>
                <w:szCs w:val="25"/>
              </w:rPr>
            </w:pPr>
            <w:r>
              <w:rPr>
                <w:sz w:val="25"/>
                <w:szCs w:val="25"/>
              </w:rPr>
              <w:t>使用2名及2名以上未取得药学专业技术职务任职资格的人员从事处方调剂</w:t>
            </w:r>
            <w:r>
              <w:rPr>
                <w:sz w:val="25"/>
                <w:szCs w:val="25"/>
                <w:spacing w:val="13"/>
              </w:rPr>
              <w:t xml:space="preserve"> </w:t>
            </w:r>
            <w:r>
              <w:rPr>
                <w:sz w:val="25"/>
                <w:szCs w:val="25"/>
                <w:spacing w:val="6"/>
              </w:rPr>
              <w:t>工作的</w:t>
            </w:r>
          </w:p>
        </w:tc>
        <w:tc>
          <w:tcPr>
            <w:tcW w:w="4282" w:type="dxa"/>
            <w:vAlign w:val="top"/>
          </w:tcPr>
          <w:p>
            <w:pPr>
              <w:pStyle w:val="TableText"/>
              <w:ind w:left="117" w:right="138"/>
              <w:spacing w:before="135" w:line="259" w:lineRule="auto"/>
              <w:rPr>
                <w:sz w:val="25"/>
                <w:szCs w:val="25"/>
              </w:rPr>
            </w:pPr>
            <w:r>
              <w:rPr>
                <w:sz w:val="25"/>
                <w:szCs w:val="25"/>
              </w:rPr>
              <w:t>责令其立即改正，处以2万元以上8万</w:t>
            </w:r>
            <w:r>
              <w:rPr>
                <w:sz w:val="25"/>
                <w:szCs w:val="25"/>
                <w:spacing w:val="14"/>
              </w:rPr>
              <w:t xml:space="preserve"> </w:t>
            </w:r>
            <w:r>
              <w:rPr>
                <w:sz w:val="25"/>
                <w:szCs w:val="25"/>
                <w:spacing w:val="2"/>
              </w:rPr>
              <w:t>元以下罚款</w:t>
            </w:r>
          </w:p>
        </w:tc>
      </w:tr>
      <w:tr>
        <w:trPr>
          <w:trHeight w:val="892" w:hRule="atLeast"/>
        </w:trPr>
        <w:tc>
          <w:tcPr>
            <w:tcW w:w="1423" w:type="dxa"/>
            <w:vAlign w:val="top"/>
          </w:tcPr>
          <w:p>
            <w:pPr>
              <w:spacing w:line="242"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8194" w:type="dxa"/>
            <w:vAlign w:val="top"/>
          </w:tcPr>
          <w:p>
            <w:pPr>
              <w:pStyle w:val="TableText"/>
              <w:ind w:left="131" w:hanging="20"/>
              <w:spacing w:before="177" w:line="260" w:lineRule="auto"/>
              <w:rPr>
                <w:sz w:val="25"/>
                <w:szCs w:val="25"/>
              </w:rPr>
            </w:pPr>
            <w:r>
              <w:rPr>
                <w:sz w:val="25"/>
                <w:szCs w:val="25"/>
                <w:spacing w:val="-5"/>
              </w:rPr>
              <w:t>使用未取得药学专业技术职务任职资格的人</w:t>
            </w:r>
            <w:r>
              <w:rPr>
                <w:sz w:val="25"/>
                <w:szCs w:val="25"/>
                <w:spacing w:val="-6"/>
              </w:rPr>
              <w:t>员从事处方调剂工作，给患者造</w:t>
            </w:r>
            <w:r>
              <w:rPr>
                <w:sz w:val="25"/>
                <w:szCs w:val="25"/>
              </w:rPr>
              <w:t xml:space="preserve"> </w:t>
            </w:r>
            <w:r>
              <w:rPr>
                <w:sz w:val="25"/>
                <w:szCs w:val="25"/>
                <w:spacing w:val="4"/>
              </w:rPr>
              <w:t>成伤害的</w:t>
            </w:r>
          </w:p>
        </w:tc>
        <w:tc>
          <w:tcPr>
            <w:tcW w:w="4282" w:type="dxa"/>
            <w:vAlign w:val="top"/>
          </w:tcPr>
          <w:p>
            <w:pPr>
              <w:pStyle w:val="TableText"/>
              <w:ind w:left="117" w:right="261" w:firstLine="10"/>
              <w:spacing w:before="156" w:line="268" w:lineRule="auto"/>
              <w:rPr>
                <w:sz w:val="25"/>
                <w:szCs w:val="25"/>
              </w:rPr>
            </w:pPr>
            <w:r>
              <w:rPr>
                <w:sz w:val="25"/>
                <w:szCs w:val="25"/>
              </w:rPr>
              <w:t>责令其立即改正，处以8万元以上10</w:t>
            </w:r>
            <w:r>
              <w:rPr>
                <w:sz w:val="25"/>
                <w:szCs w:val="25"/>
                <w:spacing w:val="6"/>
              </w:rPr>
              <w:t xml:space="preserve"> </w:t>
            </w:r>
            <w:r>
              <w:rPr>
                <w:sz w:val="25"/>
                <w:szCs w:val="25"/>
                <w:spacing w:val="1"/>
              </w:rPr>
              <w:t>万元以下罚款</w:t>
            </w:r>
          </w:p>
        </w:tc>
      </w:tr>
    </w:tbl>
    <w:p>
      <w:pPr>
        <w:pStyle w:val="BodyText"/>
        <w:rPr/>
      </w:pPr>
      <w:r/>
    </w:p>
    <w:p>
      <w:pPr>
        <w:sectPr>
          <w:footerReference w:type="default" r:id="rId327"/>
          <w:pgSz w:w="16830" w:h="11900"/>
          <w:pgMar w:top="1011" w:right="1369" w:bottom="1123" w:left="1430" w:header="0" w:footer="808" w:gutter="0"/>
        </w:sectPr>
        <w:rPr/>
      </w:pPr>
    </w:p>
    <w:p>
      <w:pPr>
        <w:spacing w:before="20"/>
        <w:rPr/>
      </w:pPr>
      <w:r/>
    </w:p>
    <w:p>
      <w:pPr>
        <w:spacing w:before="20"/>
        <w:rPr/>
      </w:pPr>
      <w:r/>
    </w:p>
    <w:p>
      <w:pPr>
        <w:spacing w:before="19"/>
        <w:rPr/>
      </w:pPr>
      <w:r/>
    </w:p>
    <w:tbl>
      <w:tblPr>
        <w:tblStyle w:val="TableNormal"/>
        <w:tblW w:w="13889" w:type="dxa"/>
        <w:tblInd w:w="2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8154"/>
        <w:gridCol w:w="4291"/>
      </w:tblGrid>
      <w:tr>
        <w:trPr>
          <w:trHeight w:val="1299" w:hRule="atLeast"/>
        </w:trPr>
        <w:tc>
          <w:tcPr>
            <w:tcW w:w="1444" w:type="dxa"/>
            <w:vAlign w:val="top"/>
          </w:tcPr>
          <w:p>
            <w:pPr>
              <w:spacing w:line="447" w:lineRule="auto"/>
              <w:rPr>
                <w:rFonts w:ascii="Arial"/>
                <w:sz w:val="21"/>
              </w:rPr>
            </w:pPr>
            <w:r/>
          </w:p>
          <w:p>
            <w:pPr>
              <w:pStyle w:val="TableText"/>
              <w:ind w:left="228"/>
              <w:spacing w:before="82" w:line="219" w:lineRule="auto"/>
              <w:rPr>
                <w:sz w:val="25"/>
                <w:szCs w:val="25"/>
              </w:rPr>
            </w:pPr>
            <w:bookmarkStart w:name="bookmark979" w:id="348"/>
            <w:bookmarkEnd w:id="348"/>
            <w:r>
              <w:rPr>
                <w:sz w:val="25"/>
                <w:szCs w:val="25"/>
                <w:b/>
                <w:bCs/>
                <w:spacing w:val="-5"/>
              </w:rPr>
              <w:t>特别严重</w:t>
            </w:r>
          </w:p>
        </w:tc>
        <w:tc>
          <w:tcPr>
            <w:tcW w:w="8154" w:type="dxa"/>
            <w:vAlign w:val="top"/>
          </w:tcPr>
          <w:p>
            <w:pPr>
              <w:spacing w:line="270" w:lineRule="auto"/>
              <w:rPr>
                <w:rFonts w:ascii="Arial"/>
                <w:sz w:val="21"/>
              </w:rPr>
            </w:pPr>
            <w:r/>
          </w:p>
          <w:p>
            <w:pPr>
              <w:pStyle w:val="TableText"/>
              <w:ind w:left="70"/>
              <w:spacing w:before="82" w:line="330" w:lineRule="auto"/>
              <w:rPr>
                <w:sz w:val="25"/>
                <w:szCs w:val="25"/>
              </w:rPr>
            </w:pPr>
            <w:r>
              <w:rPr>
                <w:sz w:val="25"/>
                <w:szCs w:val="25"/>
                <w:spacing w:val="-5"/>
              </w:rPr>
              <w:t>使用未取得药学专业技术职务任职资格的人员</w:t>
            </w:r>
            <w:r>
              <w:rPr>
                <w:sz w:val="25"/>
                <w:szCs w:val="25"/>
                <w:spacing w:val="-6"/>
              </w:rPr>
              <w:t>从事处方调剂工作，造成患者</w:t>
            </w:r>
            <w:r>
              <w:rPr>
                <w:sz w:val="25"/>
                <w:szCs w:val="25"/>
              </w:rPr>
              <w:t xml:space="preserve"> </w:t>
            </w:r>
            <w:r>
              <w:rPr>
                <w:sz w:val="25"/>
                <w:szCs w:val="25"/>
                <w:spacing w:val="6"/>
              </w:rPr>
              <w:t>死亡的</w:t>
            </w:r>
          </w:p>
        </w:tc>
        <w:tc>
          <w:tcPr>
            <w:tcW w:w="4291" w:type="dxa"/>
            <w:vAlign w:val="top"/>
          </w:tcPr>
          <w:p>
            <w:pPr>
              <w:pStyle w:val="TableText"/>
              <w:ind w:left="17" w:right="4" w:firstLine="179"/>
              <w:spacing w:before="135" w:line="284" w:lineRule="auto"/>
              <w:jc w:val="both"/>
              <w:rPr>
                <w:sz w:val="25"/>
                <w:szCs w:val="25"/>
              </w:rPr>
            </w:pPr>
            <w:r>
              <w:rPr>
                <w:sz w:val="25"/>
                <w:szCs w:val="25"/>
              </w:rPr>
              <w:t>责令其立即改正，处以10万元罚款，</w:t>
            </w:r>
            <w:r>
              <w:rPr>
                <w:sz w:val="25"/>
                <w:szCs w:val="25"/>
                <w:spacing w:val="4"/>
              </w:rPr>
              <w:t xml:space="preserve"> </w:t>
            </w:r>
            <w:r>
              <w:rPr>
                <w:sz w:val="25"/>
                <w:szCs w:val="25"/>
              </w:rPr>
              <w:t>情节严重的，吊销其《医疗机构执业许</w:t>
            </w:r>
            <w:r>
              <w:rPr>
                <w:sz w:val="25"/>
                <w:szCs w:val="25"/>
                <w:spacing w:val="8"/>
              </w:rPr>
              <w:t xml:space="preserve"> </w:t>
            </w:r>
            <w:r>
              <w:rPr>
                <w:sz w:val="25"/>
                <w:szCs w:val="25"/>
                <w:spacing w:val="9"/>
              </w:rPr>
              <w:t>可证》或者责令其停止执业活动</w:t>
            </w:r>
          </w:p>
        </w:tc>
      </w:tr>
    </w:tbl>
    <w:p>
      <w:pPr>
        <w:pStyle w:val="BodyText"/>
        <w:spacing w:line="242" w:lineRule="auto"/>
        <w:rPr/>
      </w:pPr>
      <w:r/>
    </w:p>
    <w:p>
      <w:pPr>
        <w:pStyle w:val="BodyText"/>
        <w:spacing w:line="242" w:lineRule="auto"/>
        <w:rPr/>
      </w:pPr>
      <w:r/>
    </w:p>
    <w:p>
      <w:pPr>
        <w:ind w:left="34" w:right="328" w:firstLine="620"/>
        <w:spacing w:before="97" w:line="280" w:lineRule="auto"/>
        <w:rPr>
          <w:rFonts w:ascii="KaiTi" w:hAnsi="KaiTi" w:eastAsia="KaiTi" w:cs="KaiTi"/>
          <w:sz w:val="30"/>
          <w:szCs w:val="30"/>
        </w:rPr>
      </w:pPr>
      <w:r>
        <w:rPr>
          <w:rFonts w:ascii="KaiTi" w:hAnsi="KaiTi" w:eastAsia="KaiTi" w:cs="KaiTi"/>
          <w:sz w:val="30"/>
          <w:szCs w:val="30"/>
          <w:b/>
          <w:bCs/>
          <w:spacing w:val="22"/>
        </w:rPr>
        <w:t>第二百七十一条未取得麻醉药品和第一类精神药</w:t>
      </w:r>
      <w:r>
        <w:rPr>
          <w:rFonts w:ascii="KaiTi" w:hAnsi="KaiTi" w:eastAsia="KaiTi" w:cs="KaiTi"/>
          <w:sz w:val="30"/>
          <w:szCs w:val="30"/>
          <w:b/>
          <w:bCs/>
          <w:spacing w:val="21"/>
        </w:rPr>
        <w:t>品处方资格的医师擅自开具麻醉药品和第一</w:t>
      </w:r>
      <w:r>
        <w:rPr>
          <w:rFonts w:ascii="KaiTi" w:hAnsi="KaiTi" w:eastAsia="KaiTi" w:cs="KaiTi"/>
          <w:sz w:val="30"/>
          <w:szCs w:val="30"/>
        </w:rPr>
        <w:t xml:space="preserve"> </w:t>
      </w:r>
      <w:r>
        <w:rPr>
          <w:rFonts w:ascii="KaiTi" w:hAnsi="KaiTi" w:eastAsia="KaiTi" w:cs="KaiTi"/>
          <w:sz w:val="30"/>
          <w:szCs w:val="30"/>
          <w:b/>
          <w:bCs/>
          <w:spacing w:val="12"/>
        </w:rPr>
        <w:t>类精神药品处方的</w:t>
      </w:r>
    </w:p>
    <w:p>
      <w:pPr>
        <w:ind w:left="649"/>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right="36" w:firstLine="649"/>
        <w:spacing w:before="79" w:line="257" w:lineRule="auto"/>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《处方管理办法》第五十六条第(一)项</w:t>
      </w:r>
      <w:r>
        <w:rPr>
          <w:rFonts w:ascii="FangSong" w:hAnsi="FangSong" w:eastAsia="FangSong" w:cs="FangSong"/>
          <w:sz w:val="30"/>
          <w:szCs w:val="30"/>
          <w:spacing w:val="19"/>
        </w:rPr>
        <w:t xml:space="preserve">  </w:t>
      </w:r>
      <w:r>
        <w:rPr>
          <w:rFonts w:ascii="FangSong" w:hAnsi="FangSong" w:eastAsia="FangSong" w:cs="FangSong"/>
          <w:sz w:val="30"/>
          <w:szCs w:val="30"/>
          <w:spacing w:val="18"/>
        </w:rPr>
        <w:t>医师和药师出现下列情形之一的，由县级以上卫生</w:t>
      </w:r>
      <w:r>
        <w:rPr>
          <w:rFonts w:ascii="FangSong" w:hAnsi="FangSong" w:eastAsia="FangSong" w:cs="FangSong"/>
          <w:sz w:val="30"/>
          <w:szCs w:val="30"/>
        </w:rPr>
        <w:t xml:space="preserve"> </w:t>
      </w:r>
      <w:r>
        <w:rPr>
          <w:rFonts w:ascii="FangSong" w:hAnsi="FangSong" w:eastAsia="FangSong" w:cs="FangSong"/>
          <w:sz w:val="30"/>
          <w:szCs w:val="30"/>
          <w:spacing w:val="18"/>
        </w:rPr>
        <w:t>行政部门按照《麻醉药品和精神药品管理条例》第七十三条的规定予</w:t>
      </w:r>
      <w:r>
        <w:rPr>
          <w:rFonts w:ascii="FangSong" w:hAnsi="FangSong" w:eastAsia="FangSong" w:cs="FangSong"/>
          <w:sz w:val="30"/>
          <w:szCs w:val="30"/>
          <w:spacing w:val="17"/>
        </w:rPr>
        <w:t>以处罚：</w:t>
      </w:r>
    </w:p>
    <w:p>
      <w:pPr>
        <w:ind w:firstLine="810"/>
        <w:spacing w:before="42" w:line="292" w:lineRule="auto"/>
        <w:rPr>
          <w:rFonts w:ascii="FangSong" w:hAnsi="FangSong" w:eastAsia="FangSong" w:cs="FangSong"/>
          <w:sz w:val="25"/>
          <w:szCs w:val="25"/>
        </w:rPr>
      </w:pPr>
      <w:r>
        <w:rPr>
          <w:rFonts w:ascii="FangSong" w:hAnsi="FangSong" w:eastAsia="FangSong" w:cs="FangSong"/>
          <w:sz w:val="30"/>
          <w:szCs w:val="30"/>
          <w:spacing w:val="21"/>
        </w:rPr>
        <w:t>(一)未取得麻醉药品和第一类精神药品处</w:t>
      </w:r>
      <w:r>
        <w:rPr>
          <w:rFonts w:ascii="FangSong" w:hAnsi="FangSong" w:eastAsia="FangSong" w:cs="FangSong"/>
          <w:sz w:val="30"/>
          <w:szCs w:val="30"/>
          <w:spacing w:val="20"/>
        </w:rPr>
        <w:t>方资格的医师擅自开具麻醉药品和第一类精神药品处</w:t>
      </w:r>
      <w:r>
        <w:rPr>
          <w:rFonts w:ascii="FangSong" w:hAnsi="FangSong" w:eastAsia="FangSong" w:cs="FangSong"/>
          <w:sz w:val="30"/>
          <w:szCs w:val="30"/>
        </w:rPr>
        <w:t xml:space="preserve"> </w:t>
      </w:r>
      <w:r>
        <w:rPr>
          <w:rFonts w:ascii="FangSong" w:hAnsi="FangSong" w:eastAsia="FangSong" w:cs="FangSong"/>
          <w:sz w:val="25"/>
          <w:szCs w:val="25"/>
          <w:spacing w:val="-18"/>
        </w:rPr>
        <w:t>方</w:t>
      </w:r>
      <w:r>
        <w:rPr>
          <w:rFonts w:ascii="FangSong" w:hAnsi="FangSong" w:eastAsia="FangSong" w:cs="FangSong"/>
          <w:sz w:val="25"/>
          <w:szCs w:val="25"/>
          <w:spacing w:val="2"/>
        </w:rPr>
        <w:t xml:space="preserve"> </w:t>
      </w:r>
      <w:r>
        <w:rPr>
          <w:rFonts w:ascii="FangSong" w:hAnsi="FangSong" w:eastAsia="FangSong" w:cs="FangSong"/>
          <w:sz w:val="25"/>
          <w:szCs w:val="25"/>
          <w:spacing w:val="-18"/>
        </w:rPr>
        <w:t>的</w:t>
      </w:r>
      <w:r>
        <w:rPr>
          <w:rFonts w:ascii="FangSong" w:hAnsi="FangSong" w:eastAsia="FangSong" w:cs="FangSong"/>
          <w:sz w:val="25"/>
          <w:szCs w:val="25"/>
          <w:spacing w:val="-29"/>
        </w:rPr>
        <w:t xml:space="preserve"> </w:t>
      </w:r>
      <w:r>
        <w:rPr>
          <w:rFonts w:ascii="FangSong" w:hAnsi="FangSong" w:eastAsia="FangSong" w:cs="FangSong"/>
          <w:sz w:val="25"/>
          <w:szCs w:val="25"/>
          <w:spacing w:val="-18"/>
        </w:rPr>
        <w:t>；</w:t>
      </w:r>
    </w:p>
    <w:p>
      <w:pPr>
        <w:ind w:left="29" w:right="40" w:firstLine="620"/>
        <w:spacing w:before="4" w:line="265" w:lineRule="auto"/>
        <w:jc w:val="both"/>
        <w:rPr>
          <w:rFonts w:ascii="FangSong" w:hAnsi="FangSong" w:eastAsia="FangSong" w:cs="FangSong"/>
          <w:sz w:val="30"/>
          <w:szCs w:val="30"/>
        </w:rPr>
      </w:pPr>
      <w:r>
        <w:rPr>
          <w:rFonts w:ascii="FangSong" w:hAnsi="FangSong" w:eastAsia="FangSong" w:cs="FangSong"/>
          <w:sz w:val="30"/>
          <w:szCs w:val="30"/>
          <w:spacing w:val="12"/>
        </w:rPr>
        <w:t>2.</w:t>
      </w:r>
      <w:r>
        <w:rPr>
          <w:rFonts w:ascii="FangSong" w:hAnsi="FangSong" w:eastAsia="FangSong" w:cs="FangSong"/>
          <w:sz w:val="30"/>
          <w:szCs w:val="30"/>
          <w:spacing w:val="12"/>
        </w:rPr>
        <w:t xml:space="preserve"> </w:t>
      </w:r>
      <w:r>
        <w:rPr>
          <w:rFonts w:ascii="FangSong" w:hAnsi="FangSong" w:eastAsia="FangSong" w:cs="FangSong"/>
          <w:sz w:val="30"/>
          <w:szCs w:val="30"/>
          <w:spacing w:val="12"/>
        </w:rPr>
        <w:t>《麻醉药品和精神药品管理条例》第七十三条第二款</w:t>
      </w:r>
      <w:r>
        <w:rPr>
          <w:rFonts w:ascii="FangSong" w:hAnsi="FangSong" w:eastAsia="FangSong" w:cs="FangSong"/>
          <w:sz w:val="30"/>
          <w:szCs w:val="30"/>
          <w:spacing w:val="12"/>
        </w:rPr>
        <w:t xml:space="preserve">  </w:t>
      </w:r>
      <w:r>
        <w:rPr>
          <w:rFonts w:ascii="FangSong" w:hAnsi="FangSong" w:eastAsia="FangSong" w:cs="FangSong"/>
          <w:sz w:val="30"/>
          <w:szCs w:val="30"/>
          <w:spacing w:val="12"/>
        </w:rPr>
        <w:t>未取得麻醉</w:t>
      </w:r>
      <w:r>
        <w:rPr>
          <w:rFonts w:ascii="FangSong" w:hAnsi="FangSong" w:eastAsia="FangSong" w:cs="FangSong"/>
          <w:sz w:val="30"/>
          <w:szCs w:val="30"/>
          <w:spacing w:val="11"/>
        </w:rPr>
        <w:t>药品和第一类精神药品处方</w:t>
      </w:r>
      <w:r>
        <w:rPr>
          <w:rFonts w:ascii="FangSong" w:hAnsi="FangSong" w:eastAsia="FangSong" w:cs="FangSong"/>
          <w:sz w:val="30"/>
          <w:szCs w:val="30"/>
        </w:rPr>
        <w:t xml:space="preserve"> </w:t>
      </w:r>
      <w:r>
        <w:rPr>
          <w:rFonts w:ascii="FangSong" w:hAnsi="FangSong" w:eastAsia="FangSong" w:cs="FangSong"/>
          <w:sz w:val="30"/>
          <w:szCs w:val="30"/>
          <w:spacing w:val="16"/>
        </w:rPr>
        <w:t>资格的执业医师擅自开具麻醉药品和第一类精神药品处方，由县级以上人民政府卫生主管</w:t>
      </w:r>
      <w:r>
        <w:rPr>
          <w:rFonts w:ascii="FangSong" w:hAnsi="FangSong" w:eastAsia="FangSong" w:cs="FangSong"/>
          <w:sz w:val="30"/>
          <w:szCs w:val="30"/>
          <w:spacing w:val="15"/>
        </w:rPr>
        <w:t>部门给予警</w:t>
      </w:r>
      <w:r>
        <w:rPr>
          <w:rFonts w:ascii="FangSong" w:hAnsi="FangSong" w:eastAsia="FangSong" w:cs="FangSong"/>
          <w:sz w:val="30"/>
          <w:szCs w:val="30"/>
        </w:rPr>
        <w:t xml:space="preserve"> </w:t>
      </w:r>
      <w:r>
        <w:rPr>
          <w:rFonts w:ascii="FangSong" w:hAnsi="FangSong" w:eastAsia="FangSong" w:cs="FangSong"/>
          <w:sz w:val="30"/>
          <w:szCs w:val="30"/>
          <w:spacing w:val="18"/>
        </w:rPr>
        <w:t>告，暂停其执业活动；造成严重后果的，吊销其执业证书；构成犯罪的</w:t>
      </w:r>
      <w:r>
        <w:rPr>
          <w:rFonts w:ascii="FangSong" w:hAnsi="FangSong" w:eastAsia="FangSong" w:cs="FangSong"/>
          <w:sz w:val="30"/>
          <w:szCs w:val="30"/>
          <w:spacing w:val="17"/>
        </w:rPr>
        <w:t>，依法追究刑事责任。</w:t>
      </w:r>
    </w:p>
    <w:p>
      <w:pPr>
        <w:pStyle w:val="BodyText"/>
        <w:spacing w:line="335" w:lineRule="auto"/>
        <w:rPr/>
      </w:pPr>
      <w:r/>
    </w:p>
    <w:p>
      <w:pPr>
        <w:ind w:left="6354"/>
        <w:spacing w:before="98" w:line="220" w:lineRule="auto"/>
        <w:rPr>
          <w:rFonts w:ascii="SimSun" w:hAnsi="SimSun" w:eastAsia="SimSun" w:cs="SimSun"/>
          <w:sz w:val="30"/>
          <w:szCs w:val="30"/>
        </w:rPr>
      </w:pPr>
      <w:r>
        <w:rPr>
          <w:rFonts w:ascii="SimSun" w:hAnsi="SimSun" w:eastAsia="SimSun" w:cs="SimSun"/>
          <w:sz w:val="30"/>
          <w:szCs w:val="30"/>
          <w:b/>
          <w:bCs/>
          <w:spacing w:val="15"/>
        </w:rPr>
        <w:t>裁量标准</w:t>
      </w:r>
    </w:p>
    <w:p>
      <w:pPr>
        <w:spacing w:before="197"/>
        <w:rPr/>
      </w:pPr>
      <w:r/>
    </w:p>
    <w:tbl>
      <w:tblPr>
        <w:tblStyle w:val="TableNormal"/>
        <w:tblW w:w="13880" w:type="dxa"/>
        <w:tblInd w:w="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8314"/>
        <w:gridCol w:w="4122"/>
      </w:tblGrid>
      <w:tr>
        <w:trPr>
          <w:trHeight w:val="540" w:hRule="atLeast"/>
        </w:trPr>
        <w:tc>
          <w:tcPr>
            <w:tcW w:w="1444" w:type="dxa"/>
            <w:vAlign w:val="top"/>
          </w:tcPr>
          <w:p>
            <w:pPr>
              <w:pStyle w:val="TableText"/>
              <w:ind w:left="129"/>
              <w:spacing w:before="133" w:line="220" w:lineRule="auto"/>
              <w:rPr>
                <w:sz w:val="29"/>
                <w:szCs w:val="29"/>
              </w:rPr>
            </w:pPr>
            <w:r>
              <w:rPr>
                <w:sz w:val="29"/>
                <w:szCs w:val="29"/>
                <w:b/>
                <w:bCs/>
                <w:spacing w:val="-1"/>
              </w:rPr>
              <w:t>违法程度</w:t>
            </w:r>
          </w:p>
        </w:tc>
        <w:tc>
          <w:tcPr>
            <w:tcW w:w="8314" w:type="dxa"/>
            <w:vAlign w:val="top"/>
          </w:tcPr>
          <w:p>
            <w:pPr>
              <w:pStyle w:val="TableText"/>
              <w:ind w:left="3575"/>
              <w:spacing w:before="133" w:line="220" w:lineRule="auto"/>
              <w:rPr>
                <w:sz w:val="29"/>
                <w:szCs w:val="29"/>
              </w:rPr>
            </w:pPr>
            <w:r>
              <w:rPr>
                <w:sz w:val="29"/>
                <w:szCs w:val="29"/>
                <w:b/>
                <w:bCs/>
                <w:spacing w:val="-1"/>
              </w:rPr>
              <w:t>违法后果</w:t>
            </w:r>
          </w:p>
        </w:tc>
        <w:tc>
          <w:tcPr>
            <w:tcW w:w="4122" w:type="dxa"/>
            <w:vAlign w:val="top"/>
          </w:tcPr>
          <w:p>
            <w:pPr>
              <w:pStyle w:val="TableText"/>
              <w:ind w:left="1501"/>
              <w:spacing w:before="130" w:line="218" w:lineRule="auto"/>
              <w:rPr>
                <w:sz w:val="29"/>
                <w:szCs w:val="29"/>
              </w:rPr>
            </w:pPr>
            <w:r>
              <w:rPr>
                <w:sz w:val="29"/>
                <w:szCs w:val="29"/>
                <w:b/>
                <w:bCs/>
                <w:spacing w:val="-1"/>
              </w:rPr>
              <w:t>裁量幅度</w:t>
            </w:r>
          </w:p>
        </w:tc>
      </w:tr>
    </w:tbl>
    <w:p>
      <w:pPr>
        <w:pStyle w:val="BodyText"/>
        <w:rPr/>
      </w:pPr>
      <w:r/>
    </w:p>
    <w:p>
      <w:pPr>
        <w:sectPr>
          <w:footerReference w:type="default" r:id="rId328"/>
          <w:pgSz w:w="16830" w:h="11900"/>
          <w:pgMar w:top="1011" w:right="1429" w:bottom="1108" w:left="1430" w:header="0" w:footer="775" w:gutter="0"/>
        </w:sectPr>
        <w:rPr/>
      </w:pPr>
    </w:p>
    <w:p>
      <w:pPr>
        <w:spacing w:before="20"/>
        <w:rPr/>
      </w:pPr>
      <w:r/>
    </w:p>
    <w:p>
      <w:pPr>
        <w:spacing w:before="20"/>
        <w:rPr/>
      </w:pPr>
      <w:r/>
    </w:p>
    <w:p>
      <w:pPr>
        <w:spacing w:before="19"/>
        <w:rPr/>
      </w:pPr>
      <w:r/>
    </w:p>
    <w:tbl>
      <w:tblPr>
        <w:tblStyle w:val="TableNormal"/>
        <w:tblW w:w="13880" w:type="dxa"/>
        <w:tblInd w:w="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8314"/>
        <w:gridCol w:w="4122"/>
      </w:tblGrid>
      <w:tr>
        <w:trPr>
          <w:trHeight w:val="881" w:hRule="atLeast"/>
        </w:trPr>
        <w:tc>
          <w:tcPr>
            <w:tcW w:w="1444" w:type="dxa"/>
            <w:vAlign w:val="top"/>
          </w:tcPr>
          <w:p>
            <w:pPr>
              <w:rPr>
                <w:rFonts w:ascii="Arial"/>
                <w:sz w:val="21"/>
              </w:rPr>
            </w:pPr>
            <w:r/>
          </w:p>
          <w:p>
            <w:pPr>
              <w:pStyle w:val="TableText"/>
              <w:ind w:left="468"/>
              <w:spacing w:before="81" w:line="221" w:lineRule="auto"/>
              <w:rPr>
                <w:sz w:val="25"/>
                <w:szCs w:val="25"/>
              </w:rPr>
            </w:pPr>
            <w:bookmarkStart w:name="bookmark980" w:id="349"/>
            <w:bookmarkEnd w:id="349"/>
            <w:r>
              <w:rPr>
                <w:sz w:val="25"/>
                <w:szCs w:val="25"/>
                <w:b/>
                <w:bCs/>
                <w:spacing w:val="-10"/>
              </w:rPr>
              <w:t>一般</w:t>
            </w:r>
          </w:p>
        </w:tc>
        <w:tc>
          <w:tcPr>
            <w:tcW w:w="8314" w:type="dxa"/>
            <w:vAlign w:val="top"/>
          </w:tcPr>
          <w:p>
            <w:pPr>
              <w:pStyle w:val="TableText"/>
              <w:ind w:left="101"/>
              <w:spacing w:before="134" w:line="272" w:lineRule="auto"/>
              <w:rPr>
                <w:sz w:val="25"/>
                <w:szCs w:val="25"/>
              </w:rPr>
            </w:pPr>
            <w:r>
              <w:rPr>
                <w:sz w:val="25"/>
                <w:szCs w:val="25"/>
                <w:spacing w:val="-2"/>
              </w:rPr>
              <w:t>未取得麻醉药品和第一类精神药品处方资格的执业医师擅自开具麻醉药品和</w:t>
            </w:r>
            <w:r>
              <w:rPr>
                <w:sz w:val="25"/>
                <w:szCs w:val="25"/>
                <w:spacing w:val="17"/>
              </w:rPr>
              <w:t xml:space="preserve"> </w:t>
            </w:r>
            <w:r>
              <w:rPr>
                <w:sz w:val="25"/>
                <w:szCs w:val="25"/>
              </w:rPr>
              <w:t>第一类精神药品处方的</w:t>
            </w:r>
          </w:p>
        </w:tc>
        <w:tc>
          <w:tcPr>
            <w:tcW w:w="4122" w:type="dxa"/>
            <w:vAlign w:val="top"/>
          </w:tcPr>
          <w:p>
            <w:pPr>
              <w:pStyle w:val="TableText"/>
              <w:ind w:left="117" w:right="130"/>
              <w:spacing w:before="134" w:line="272" w:lineRule="auto"/>
              <w:rPr>
                <w:sz w:val="25"/>
                <w:szCs w:val="25"/>
              </w:rPr>
            </w:pPr>
            <w:r>
              <w:rPr>
                <w:sz w:val="25"/>
                <w:szCs w:val="25"/>
                <w:spacing w:val="-1"/>
              </w:rPr>
              <w:t>给予警告，暂停其6个月以下执业活</w:t>
            </w:r>
            <w:r>
              <w:rPr>
                <w:sz w:val="25"/>
                <w:szCs w:val="25"/>
                <w:spacing w:val="4"/>
              </w:rPr>
              <w:t xml:space="preserve"> </w:t>
            </w:r>
            <w:r>
              <w:rPr>
                <w:sz w:val="25"/>
                <w:szCs w:val="25"/>
              </w:rPr>
              <w:t>动</w:t>
            </w:r>
          </w:p>
        </w:tc>
      </w:tr>
      <w:tr>
        <w:trPr>
          <w:trHeight w:val="847" w:hRule="atLeast"/>
        </w:trPr>
        <w:tc>
          <w:tcPr>
            <w:tcW w:w="1444" w:type="dxa"/>
            <w:vAlign w:val="top"/>
          </w:tcPr>
          <w:p>
            <w:pPr>
              <w:spacing w:line="268" w:lineRule="auto"/>
              <w:rPr>
                <w:rFonts w:ascii="Arial"/>
                <w:sz w:val="21"/>
              </w:rPr>
            </w:pPr>
            <w:r/>
          </w:p>
          <w:p>
            <w:pPr>
              <w:pStyle w:val="TableText"/>
              <w:ind w:left="468"/>
              <w:spacing w:before="81" w:line="220" w:lineRule="auto"/>
              <w:rPr>
                <w:sz w:val="25"/>
                <w:szCs w:val="25"/>
              </w:rPr>
            </w:pPr>
            <w:r>
              <w:rPr>
                <w:sz w:val="25"/>
                <w:szCs w:val="25"/>
                <w:b/>
                <w:bCs/>
                <w:spacing w:val="-6"/>
              </w:rPr>
              <w:t>严重</w:t>
            </w:r>
          </w:p>
        </w:tc>
        <w:tc>
          <w:tcPr>
            <w:tcW w:w="8314" w:type="dxa"/>
            <w:vAlign w:val="top"/>
          </w:tcPr>
          <w:p>
            <w:pPr>
              <w:pStyle w:val="TableText"/>
              <w:ind w:left="101"/>
              <w:spacing w:before="143" w:line="256" w:lineRule="auto"/>
              <w:rPr>
                <w:sz w:val="25"/>
                <w:szCs w:val="25"/>
              </w:rPr>
            </w:pPr>
            <w:r>
              <w:rPr>
                <w:sz w:val="25"/>
                <w:szCs w:val="25"/>
                <w:spacing w:val="-2"/>
              </w:rPr>
              <w:t>未取得麻醉药品和第一类精神药品处方资格的执业医师擅自开具麻醉药品和</w:t>
            </w:r>
            <w:r>
              <w:rPr>
                <w:sz w:val="25"/>
                <w:szCs w:val="25"/>
                <w:spacing w:val="17"/>
              </w:rPr>
              <w:t xml:space="preserve"> </w:t>
            </w:r>
            <w:r>
              <w:rPr>
                <w:sz w:val="25"/>
                <w:szCs w:val="25"/>
                <w:spacing w:val="-1"/>
              </w:rPr>
              <w:t>第一类精神药品处方，给患者造成伤害或其他危害后果的</w:t>
            </w:r>
          </w:p>
        </w:tc>
        <w:tc>
          <w:tcPr>
            <w:tcW w:w="4122" w:type="dxa"/>
            <w:vAlign w:val="top"/>
          </w:tcPr>
          <w:p>
            <w:pPr>
              <w:pStyle w:val="TableText"/>
              <w:ind w:left="117" w:right="222"/>
              <w:spacing w:before="140" w:line="257" w:lineRule="auto"/>
              <w:rPr>
                <w:sz w:val="25"/>
                <w:szCs w:val="25"/>
              </w:rPr>
            </w:pPr>
            <w:r>
              <w:rPr>
                <w:sz w:val="25"/>
                <w:szCs w:val="25"/>
                <w:spacing w:val="1"/>
              </w:rPr>
              <w:t>给予警告，暂停其6个月以上1年以</w:t>
            </w:r>
            <w:r>
              <w:rPr>
                <w:sz w:val="25"/>
                <w:szCs w:val="25"/>
                <w:spacing w:val="5"/>
              </w:rPr>
              <w:t xml:space="preserve"> </w:t>
            </w:r>
            <w:r>
              <w:rPr>
                <w:sz w:val="25"/>
                <w:szCs w:val="25"/>
                <w:spacing w:val="3"/>
              </w:rPr>
              <w:t>下执业活动</w:t>
            </w:r>
          </w:p>
        </w:tc>
      </w:tr>
      <w:tr>
        <w:trPr>
          <w:trHeight w:val="941" w:hRule="atLeast"/>
        </w:trPr>
        <w:tc>
          <w:tcPr>
            <w:tcW w:w="1444" w:type="dxa"/>
            <w:vAlign w:val="top"/>
          </w:tcPr>
          <w:p>
            <w:pPr>
              <w:spacing w:line="330" w:lineRule="auto"/>
              <w:rPr>
                <w:rFonts w:ascii="Arial"/>
                <w:sz w:val="21"/>
              </w:rPr>
            </w:pPr>
            <w:r/>
          </w:p>
          <w:p>
            <w:pPr>
              <w:pStyle w:val="TableText"/>
              <w:ind w:left="218"/>
              <w:spacing w:before="81" w:line="219" w:lineRule="auto"/>
              <w:rPr>
                <w:sz w:val="25"/>
                <w:szCs w:val="25"/>
              </w:rPr>
            </w:pPr>
            <w:r>
              <w:rPr>
                <w:sz w:val="25"/>
                <w:szCs w:val="25"/>
                <w:b/>
                <w:bCs/>
                <w:spacing w:val="-5"/>
              </w:rPr>
              <w:t>特别严重</w:t>
            </w:r>
          </w:p>
        </w:tc>
        <w:tc>
          <w:tcPr>
            <w:tcW w:w="8314" w:type="dxa"/>
            <w:vAlign w:val="top"/>
          </w:tcPr>
          <w:p>
            <w:pPr>
              <w:pStyle w:val="TableText"/>
              <w:ind w:left="101"/>
              <w:spacing w:before="197" w:line="271" w:lineRule="auto"/>
              <w:rPr>
                <w:sz w:val="25"/>
                <w:szCs w:val="25"/>
              </w:rPr>
            </w:pPr>
            <w:r>
              <w:rPr>
                <w:sz w:val="25"/>
                <w:szCs w:val="25"/>
                <w:spacing w:val="-2"/>
              </w:rPr>
              <w:t>未取得麻醉药品和第一类精神药品处方资格的执业医师擅自开具麻醉药品和</w:t>
            </w:r>
            <w:r>
              <w:rPr>
                <w:sz w:val="25"/>
                <w:szCs w:val="25"/>
                <w:spacing w:val="17"/>
              </w:rPr>
              <w:t xml:space="preserve"> </w:t>
            </w:r>
            <w:r>
              <w:rPr>
                <w:sz w:val="25"/>
                <w:szCs w:val="25"/>
                <w:spacing w:val="-1"/>
              </w:rPr>
              <w:t>第一类精神药品处方，造成患者死亡或其他严重后果的</w:t>
            </w:r>
          </w:p>
        </w:tc>
        <w:tc>
          <w:tcPr>
            <w:tcW w:w="4122" w:type="dxa"/>
            <w:vAlign w:val="top"/>
          </w:tcPr>
          <w:p>
            <w:pPr>
              <w:spacing w:line="342" w:lineRule="auto"/>
              <w:rPr>
                <w:rFonts w:ascii="Arial"/>
                <w:sz w:val="21"/>
              </w:rPr>
            </w:pPr>
            <w:r/>
          </w:p>
          <w:p>
            <w:pPr>
              <w:pStyle w:val="TableText"/>
              <w:ind w:left="117"/>
              <w:spacing w:before="81" w:line="219" w:lineRule="auto"/>
              <w:rPr>
                <w:sz w:val="25"/>
                <w:szCs w:val="25"/>
              </w:rPr>
            </w:pPr>
            <w:r>
              <w:rPr>
                <w:sz w:val="25"/>
                <w:szCs w:val="25"/>
                <w:spacing w:val="2"/>
              </w:rPr>
              <w:t>吊销其执业证书</w:t>
            </w:r>
          </w:p>
        </w:tc>
      </w:tr>
    </w:tbl>
    <w:p>
      <w:pPr>
        <w:pStyle w:val="BodyText"/>
        <w:spacing w:line="247" w:lineRule="auto"/>
        <w:rPr/>
      </w:pPr>
      <w:r/>
    </w:p>
    <w:p>
      <w:pPr>
        <w:pStyle w:val="BodyText"/>
        <w:spacing w:line="247" w:lineRule="auto"/>
        <w:rPr/>
      </w:pPr>
      <w:r/>
    </w:p>
    <w:p>
      <w:pPr>
        <w:ind w:left="4" w:right="348" w:firstLine="649"/>
        <w:spacing w:before="97" w:line="280" w:lineRule="auto"/>
        <w:rPr>
          <w:rFonts w:ascii="KaiTi" w:hAnsi="KaiTi" w:eastAsia="KaiTi" w:cs="KaiTi"/>
          <w:sz w:val="30"/>
          <w:szCs w:val="30"/>
        </w:rPr>
      </w:pPr>
      <w:r>
        <w:rPr>
          <w:rFonts w:ascii="KaiTi" w:hAnsi="KaiTi" w:eastAsia="KaiTi" w:cs="KaiTi"/>
          <w:sz w:val="30"/>
          <w:szCs w:val="30"/>
          <w:b/>
          <w:bCs/>
          <w:spacing w:val="21"/>
        </w:rPr>
        <w:t>第二百七十二条使用未取得麻醉药品和第一类精神药品处方资格的医师开具麻醉药品和第一</w:t>
      </w:r>
      <w:r>
        <w:rPr>
          <w:rFonts w:ascii="KaiTi" w:hAnsi="KaiTi" w:eastAsia="KaiTi" w:cs="KaiTi"/>
          <w:sz w:val="30"/>
          <w:szCs w:val="30"/>
        </w:rPr>
        <w:t xml:space="preserve"> </w:t>
      </w:r>
      <w:r>
        <w:rPr>
          <w:rFonts w:ascii="KaiTi" w:hAnsi="KaiTi" w:eastAsia="KaiTi" w:cs="KaiTi"/>
          <w:sz w:val="30"/>
          <w:szCs w:val="30"/>
          <w:b/>
          <w:bCs/>
          <w:spacing w:val="33"/>
        </w:rPr>
        <w:t>类精神药品处方的(机构)</w:t>
      </w:r>
    </w:p>
    <w:p>
      <w:pPr>
        <w:ind w:left="649"/>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right="18" w:firstLine="649"/>
        <w:spacing w:before="65" w:line="265" w:lineRule="auto"/>
        <w:rPr>
          <w:rFonts w:ascii="FangSong" w:hAnsi="FangSong" w:eastAsia="FangSong" w:cs="FangSong"/>
          <w:sz w:val="30"/>
          <w:szCs w:val="30"/>
        </w:rPr>
      </w:pPr>
      <w:r>
        <w:rPr>
          <w:rFonts w:ascii="FangSong" w:hAnsi="FangSong" w:eastAsia="FangSong" w:cs="FangSong"/>
          <w:sz w:val="30"/>
          <w:szCs w:val="30"/>
          <w:spacing w:val="17"/>
        </w:rPr>
        <w:t>1.</w:t>
      </w:r>
      <w:r>
        <w:rPr>
          <w:rFonts w:ascii="FangSong" w:hAnsi="FangSong" w:eastAsia="FangSong" w:cs="FangSong"/>
          <w:sz w:val="30"/>
          <w:szCs w:val="30"/>
          <w:spacing w:val="17"/>
        </w:rPr>
        <w:t xml:space="preserve"> </w:t>
      </w:r>
      <w:r>
        <w:rPr>
          <w:rFonts w:ascii="FangSong" w:hAnsi="FangSong" w:eastAsia="FangSong" w:cs="FangSong"/>
          <w:sz w:val="30"/>
          <w:szCs w:val="30"/>
          <w:spacing w:val="17"/>
        </w:rPr>
        <w:t>《处方管理办法》第五十四条第(二)项</w:t>
      </w:r>
      <w:r>
        <w:rPr>
          <w:rFonts w:ascii="FangSong" w:hAnsi="FangSong" w:eastAsia="FangSong" w:cs="FangSong"/>
          <w:sz w:val="30"/>
          <w:szCs w:val="30"/>
          <w:spacing w:val="60"/>
        </w:rPr>
        <w:t xml:space="preserve">  </w:t>
      </w:r>
      <w:r>
        <w:rPr>
          <w:rFonts w:ascii="FangSong" w:hAnsi="FangSong" w:eastAsia="FangSong" w:cs="FangSong"/>
          <w:sz w:val="30"/>
          <w:szCs w:val="30"/>
          <w:spacing w:val="17"/>
        </w:rPr>
        <w:t>医疗机构有下列情形之一的，由县级以上卫生行政</w:t>
      </w:r>
      <w:r>
        <w:rPr>
          <w:rFonts w:ascii="FangSong" w:hAnsi="FangSong" w:eastAsia="FangSong" w:cs="FangSong"/>
          <w:sz w:val="30"/>
          <w:szCs w:val="30"/>
        </w:rPr>
        <w:t xml:space="preserve"> </w:t>
      </w:r>
      <w:r>
        <w:rPr>
          <w:rFonts w:ascii="FangSong" w:hAnsi="FangSong" w:eastAsia="FangSong" w:cs="FangSong"/>
          <w:sz w:val="30"/>
          <w:szCs w:val="30"/>
          <w:spacing w:val="22"/>
        </w:rPr>
        <w:t>部门按照《医疗机构管理条例》第四十八条的规定，责令限期改正，并可处</w:t>
      </w:r>
      <w:r>
        <w:rPr>
          <w:rFonts w:ascii="FangSong" w:hAnsi="FangSong" w:eastAsia="FangSong" w:cs="FangSong"/>
          <w:sz w:val="30"/>
          <w:szCs w:val="30"/>
          <w:spacing w:val="21"/>
        </w:rPr>
        <w:t>以5000元以下的罚款；</w:t>
      </w:r>
      <w:r>
        <w:rPr>
          <w:rFonts w:ascii="FangSong" w:hAnsi="FangSong" w:eastAsia="FangSong" w:cs="FangSong"/>
          <w:sz w:val="30"/>
          <w:szCs w:val="30"/>
        </w:rPr>
        <w:t xml:space="preserve"> </w:t>
      </w:r>
      <w:r>
        <w:rPr>
          <w:rFonts w:ascii="FangSong" w:hAnsi="FangSong" w:eastAsia="FangSong" w:cs="FangSong"/>
          <w:sz w:val="30"/>
          <w:szCs w:val="30"/>
          <w:spacing w:val="19"/>
        </w:rPr>
        <w:t>情节严重的，吊销其《医疗机构执业许可证》:</w:t>
      </w:r>
    </w:p>
    <w:p>
      <w:pPr>
        <w:ind w:firstLine="790"/>
        <w:spacing w:before="2" w:line="295" w:lineRule="auto"/>
        <w:rPr>
          <w:rFonts w:ascii="FangSong" w:hAnsi="FangSong" w:eastAsia="FangSong" w:cs="FangSong"/>
          <w:sz w:val="25"/>
          <w:szCs w:val="25"/>
        </w:rPr>
      </w:pPr>
      <w:r>
        <w:rPr>
          <w:rFonts w:ascii="FangSong" w:hAnsi="FangSong" w:eastAsia="FangSong" w:cs="FangSong"/>
          <w:sz w:val="30"/>
          <w:szCs w:val="30"/>
          <w:spacing w:val="21"/>
        </w:rPr>
        <w:t>(二)使用未取得麻醉药品和第一类精神药品处方资格的医师开具麻醉药品和第一类精神</w:t>
      </w:r>
      <w:r>
        <w:rPr>
          <w:rFonts w:ascii="FangSong" w:hAnsi="FangSong" w:eastAsia="FangSong" w:cs="FangSong"/>
          <w:sz w:val="30"/>
          <w:szCs w:val="30"/>
          <w:spacing w:val="20"/>
        </w:rPr>
        <w:t>药品处</w:t>
      </w:r>
      <w:r>
        <w:rPr>
          <w:rFonts w:ascii="FangSong" w:hAnsi="FangSong" w:eastAsia="FangSong" w:cs="FangSong"/>
          <w:sz w:val="30"/>
          <w:szCs w:val="30"/>
        </w:rPr>
        <w:t xml:space="preserve"> </w:t>
      </w:r>
      <w:r>
        <w:rPr>
          <w:rFonts w:ascii="FangSong" w:hAnsi="FangSong" w:eastAsia="FangSong" w:cs="FangSong"/>
          <w:sz w:val="25"/>
          <w:szCs w:val="25"/>
          <w:spacing w:val="-15"/>
        </w:rPr>
        <w:t>方</w:t>
      </w:r>
      <w:r>
        <w:rPr>
          <w:rFonts w:ascii="FangSong" w:hAnsi="FangSong" w:eastAsia="FangSong" w:cs="FangSong"/>
          <w:sz w:val="25"/>
          <w:szCs w:val="25"/>
          <w:spacing w:val="-15"/>
        </w:rPr>
        <w:t xml:space="preserve"> </w:t>
      </w:r>
      <w:r>
        <w:rPr>
          <w:rFonts w:ascii="FangSong" w:hAnsi="FangSong" w:eastAsia="FangSong" w:cs="FangSong"/>
          <w:sz w:val="25"/>
          <w:szCs w:val="25"/>
          <w:spacing w:val="-15"/>
        </w:rPr>
        <w:t>的</w:t>
      </w:r>
      <w:r>
        <w:rPr>
          <w:rFonts w:ascii="FangSong" w:hAnsi="FangSong" w:eastAsia="FangSong" w:cs="FangSong"/>
          <w:sz w:val="25"/>
          <w:szCs w:val="25"/>
          <w:spacing w:val="-33"/>
        </w:rPr>
        <w:t xml:space="preserve"> </w:t>
      </w:r>
      <w:r>
        <w:rPr>
          <w:rFonts w:ascii="FangSong" w:hAnsi="FangSong" w:eastAsia="FangSong" w:cs="FangSong"/>
          <w:sz w:val="25"/>
          <w:szCs w:val="25"/>
          <w:spacing w:val="-15"/>
        </w:rPr>
        <w:t>。</w:t>
      </w:r>
    </w:p>
    <w:p>
      <w:pPr>
        <w:ind w:right="4" w:firstLine="649"/>
        <w:spacing w:before="4" w:line="270" w:lineRule="auto"/>
        <w:jc w:val="both"/>
        <w:rPr>
          <w:rFonts w:ascii="FangSong" w:hAnsi="FangSong" w:eastAsia="FangSong" w:cs="FangSong"/>
          <w:sz w:val="30"/>
          <w:szCs w:val="30"/>
        </w:rPr>
      </w:pPr>
      <w:r>
        <w:rPr>
          <w:rFonts w:ascii="FangSong" w:hAnsi="FangSong" w:eastAsia="FangSong" w:cs="FangSong"/>
          <w:sz w:val="30"/>
          <w:szCs w:val="30"/>
          <w:spacing w:val="10"/>
        </w:rPr>
        <w:t>2.</w:t>
      </w:r>
      <w:r>
        <w:rPr>
          <w:rFonts w:ascii="FangSong" w:hAnsi="FangSong" w:eastAsia="FangSong" w:cs="FangSong"/>
          <w:sz w:val="30"/>
          <w:szCs w:val="30"/>
          <w:spacing w:val="10"/>
        </w:rPr>
        <w:t xml:space="preserve"> </w:t>
      </w:r>
      <w:r>
        <w:rPr>
          <w:rFonts w:ascii="FangSong" w:hAnsi="FangSong" w:eastAsia="FangSong" w:cs="FangSong"/>
          <w:sz w:val="30"/>
          <w:szCs w:val="30"/>
          <w:spacing w:val="10"/>
        </w:rPr>
        <w:t>《医疗机构管理条例》第四十七条</w:t>
      </w:r>
      <w:r>
        <w:rPr>
          <w:rFonts w:ascii="FangSong" w:hAnsi="FangSong" w:eastAsia="FangSong" w:cs="FangSong"/>
          <w:sz w:val="30"/>
          <w:szCs w:val="30"/>
          <w:spacing w:val="54"/>
        </w:rPr>
        <w:t xml:space="preserve">  </w:t>
      </w:r>
      <w:r>
        <w:rPr>
          <w:rFonts w:ascii="FangSong" w:hAnsi="FangSong" w:eastAsia="FangSong" w:cs="FangSong"/>
          <w:sz w:val="30"/>
          <w:szCs w:val="30"/>
          <w:spacing w:val="10"/>
        </w:rPr>
        <w:t>违反本条例第二十七条规定，使用非卫生技术人员从事医</w:t>
      </w:r>
      <w:r>
        <w:rPr>
          <w:rFonts w:ascii="FangSong" w:hAnsi="FangSong" w:eastAsia="FangSong" w:cs="FangSong"/>
          <w:sz w:val="30"/>
          <w:szCs w:val="30"/>
          <w:spacing w:val="1"/>
        </w:rPr>
        <w:t xml:space="preserve"> </w:t>
      </w:r>
      <w:r>
        <w:rPr>
          <w:rFonts w:ascii="FangSong" w:hAnsi="FangSong" w:eastAsia="FangSong" w:cs="FangSong"/>
          <w:sz w:val="30"/>
          <w:szCs w:val="30"/>
          <w:spacing w:val="28"/>
        </w:rPr>
        <w:t>疗卫生技术工作的，由县级以上人民政府卫生行政部门责令其</w:t>
      </w:r>
      <w:r>
        <w:rPr>
          <w:rFonts w:ascii="FangSong" w:hAnsi="FangSong" w:eastAsia="FangSong" w:cs="FangSong"/>
          <w:sz w:val="30"/>
          <w:szCs w:val="30"/>
          <w:spacing w:val="27"/>
        </w:rPr>
        <w:t>限期改正，并可以处以1万元以上10</w:t>
      </w:r>
      <w:r>
        <w:rPr>
          <w:rFonts w:ascii="FangSong" w:hAnsi="FangSong" w:eastAsia="FangSong" w:cs="FangSong"/>
          <w:sz w:val="30"/>
          <w:szCs w:val="30"/>
        </w:rPr>
        <w:t xml:space="preserve"> </w:t>
      </w:r>
      <w:r>
        <w:rPr>
          <w:rFonts w:ascii="FangSong" w:hAnsi="FangSong" w:eastAsia="FangSong" w:cs="FangSong"/>
          <w:sz w:val="30"/>
          <w:szCs w:val="30"/>
          <w:spacing w:val="18"/>
        </w:rPr>
        <w:t>万元以下的罚款；情节严重的，吊销其《医疗机构执业许可证》或者责令其停止执业活动。</w:t>
      </w:r>
    </w:p>
    <w:p>
      <w:pPr>
        <w:pStyle w:val="BodyText"/>
        <w:spacing w:line="250" w:lineRule="auto"/>
        <w:rPr/>
      </w:pPr>
      <w:r/>
    </w:p>
    <w:p>
      <w:pPr>
        <w:pStyle w:val="BodyText"/>
        <w:spacing w:line="250" w:lineRule="auto"/>
        <w:rPr/>
      </w:pPr>
      <w:r/>
    </w:p>
    <w:p>
      <w:pPr>
        <w:pStyle w:val="BodyText"/>
        <w:spacing w:line="251" w:lineRule="auto"/>
        <w:rPr/>
      </w:pPr>
      <w:r/>
    </w:p>
    <w:p>
      <w:pPr>
        <w:ind w:left="6349"/>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—358—</w:t>
      </w:r>
    </w:p>
    <w:p>
      <w:pPr>
        <w:spacing w:line="188" w:lineRule="auto"/>
        <w:sectPr>
          <w:footerReference w:type="default" r:id="rId24"/>
          <w:pgSz w:w="16830" w:h="11900"/>
          <w:pgMar w:top="1011" w:right="1429" w:bottom="400" w:left="1430" w:header="0" w:footer="0" w:gutter="0"/>
        </w:sectPr>
        <w:rPr>
          <w:rFonts w:ascii="Times New Roman" w:hAnsi="Times New Roman" w:eastAsia="Times New Roman" w:cs="Times New Roman"/>
          <w:sz w:val="37"/>
          <w:szCs w:val="37"/>
        </w:rPr>
      </w:pPr>
    </w:p>
    <w:p>
      <w:pPr>
        <w:pStyle w:val="BodyText"/>
        <w:spacing w:line="262" w:lineRule="auto"/>
        <w:rPr/>
      </w:pPr>
      <w:r/>
    </w:p>
    <w:p>
      <w:pPr>
        <w:pStyle w:val="BodyText"/>
        <w:spacing w:line="262" w:lineRule="auto"/>
        <w:rPr/>
      </w:pPr>
      <w:r/>
    </w:p>
    <w:p>
      <w:pPr>
        <w:pStyle w:val="BodyText"/>
        <w:spacing w:line="263" w:lineRule="auto"/>
        <w:rPr/>
      </w:pPr>
      <w:r/>
    </w:p>
    <w:p>
      <w:pPr>
        <w:ind w:left="6404"/>
        <w:spacing w:before="94" w:line="208" w:lineRule="auto"/>
        <w:rPr>
          <w:rFonts w:ascii="SimSun" w:hAnsi="SimSun" w:eastAsia="SimSun" w:cs="SimSun"/>
          <w:sz w:val="29"/>
          <w:szCs w:val="29"/>
        </w:rPr>
      </w:pPr>
      <w:bookmarkStart w:name="bookmark981" w:id="350"/>
      <w:bookmarkEnd w:id="350"/>
      <w:r>
        <w:rPr>
          <w:rFonts w:ascii="SimSun" w:hAnsi="SimSun" w:eastAsia="SimSun" w:cs="SimSun"/>
          <w:sz w:val="29"/>
          <w:szCs w:val="29"/>
          <w:b/>
          <w:bCs/>
          <w:spacing w:val="-6"/>
        </w:rPr>
        <w:t>裁量标准</w:t>
      </w:r>
    </w:p>
    <w:tbl>
      <w:tblPr>
        <w:tblStyle w:val="TableNormal"/>
        <w:tblW w:w="13714" w:type="dxa"/>
        <w:tblInd w:w="9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4"/>
        <w:gridCol w:w="8004"/>
        <w:gridCol w:w="4256"/>
      </w:tblGrid>
      <w:tr>
        <w:trPr>
          <w:trHeight w:val="564" w:hRule="atLeast"/>
        </w:trPr>
        <w:tc>
          <w:tcPr>
            <w:tcW w:w="1454" w:type="dxa"/>
            <w:vAlign w:val="top"/>
          </w:tcPr>
          <w:p>
            <w:pPr>
              <w:pStyle w:val="TableText"/>
              <w:ind w:left="218"/>
              <w:spacing w:before="162" w:line="220" w:lineRule="auto"/>
              <w:rPr>
                <w:sz w:val="25"/>
                <w:szCs w:val="25"/>
              </w:rPr>
            </w:pPr>
            <w:r>
              <w:rPr>
                <w:sz w:val="25"/>
                <w:szCs w:val="25"/>
                <w:b/>
                <w:bCs/>
                <w:spacing w:val="-5"/>
              </w:rPr>
              <w:t>违法程度</w:t>
            </w:r>
          </w:p>
        </w:tc>
        <w:tc>
          <w:tcPr>
            <w:tcW w:w="8004" w:type="dxa"/>
            <w:vAlign w:val="top"/>
          </w:tcPr>
          <w:p>
            <w:pPr>
              <w:pStyle w:val="TableText"/>
              <w:ind w:left="3494"/>
              <w:spacing w:before="162" w:line="220" w:lineRule="auto"/>
              <w:rPr>
                <w:sz w:val="25"/>
                <w:szCs w:val="25"/>
              </w:rPr>
            </w:pPr>
            <w:r>
              <w:rPr>
                <w:sz w:val="25"/>
                <w:szCs w:val="25"/>
                <w:b/>
                <w:bCs/>
                <w:spacing w:val="-5"/>
              </w:rPr>
              <w:t>违法后果</w:t>
            </w:r>
          </w:p>
        </w:tc>
        <w:tc>
          <w:tcPr>
            <w:tcW w:w="4256" w:type="dxa"/>
            <w:vAlign w:val="top"/>
          </w:tcPr>
          <w:p>
            <w:pPr>
              <w:pStyle w:val="TableText"/>
              <w:ind w:left="1620"/>
              <w:spacing w:before="159" w:line="218" w:lineRule="auto"/>
              <w:rPr>
                <w:sz w:val="25"/>
                <w:szCs w:val="25"/>
              </w:rPr>
            </w:pPr>
            <w:r>
              <w:rPr>
                <w:sz w:val="25"/>
                <w:szCs w:val="25"/>
                <w:b/>
                <w:bCs/>
                <w:spacing w:val="-5"/>
              </w:rPr>
              <w:t>裁量幅度</w:t>
            </w:r>
          </w:p>
        </w:tc>
      </w:tr>
      <w:tr>
        <w:trPr>
          <w:trHeight w:val="868" w:hRule="atLeast"/>
        </w:trPr>
        <w:tc>
          <w:tcPr>
            <w:tcW w:w="1454" w:type="dxa"/>
            <w:vAlign w:val="top"/>
          </w:tcPr>
          <w:p>
            <w:pPr>
              <w:pStyle w:val="TableText"/>
              <w:ind w:left="468"/>
              <w:spacing w:before="309" w:line="221" w:lineRule="auto"/>
              <w:rPr>
                <w:sz w:val="25"/>
                <w:szCs w:val="25"/>
              </w:rPr>
            </w:pPr>
            <w:r>
              <w:rPr>
                <w:sz w:val="25"/>
                <w:szCs w:val="25"/>
                <w:b/>
                <w:bCs/>
                <w:spacing w:val="-10"/>
              </w:rPr>
              <w:t>一般</w:t>
            </w:r>
          </w:p>
        </w:tc>
        <w:tc>
          <w:tcPr>
            <w:tcW w:w="8004" w:type="dxa"/>
            <w:vAlign w:val="top"/>
          </w:tcPr>
          <w:p>
            <w:pPr>
              <w:pStyle w:val="TableText"/>
              <w:ind w:left="89" w:right="37" w:hanging="39"/>
              <w:spacing w:before="159" w:line="258" w:lineRule="auto"/>
              <w:rPr>
                <w:sz w:val="25"/>
                <w:szCs w:val="25"/>
              </w:rPr>
            </w:pPr>
            <w:r>
              <w:rPr>
                <w:sz w:val="25"/>
                <w:szCs w:val="25"/>
                <w:spacing w:val="1"/>
              </w:rPr>
              <w:t>使用1名未取得麻醉药品和第一类精神药品处方资格的医师开具麻</w:t>
            </w:r>
            <w:r>
              <w:rPr>
                <w:sz w:val="25"/>
                <w:szCs w:val="25"/>
              </w:rPr>
              <w:t>醉药品 </w:t>
            </w:r>
            <w:r>
              <w:rPr>
                <w:sz w:val="25"/>
                <w:szCs w:val="25"/>
                <w:spacing w:val="1"/>
              </w:rPr>
              <w:t>和第一类精神药品处方的</w:t>
            </w:r>
          </w:p>
        </w:tc>
        <w:tc>
          <w:tcPr>
            <w:tcW w:w="4256" w:type="dxa"/>
            <w:vAlign w:val="top"/>
          </w:tcPr>
          <w:p>
            <w:pPr>
              <w:pStyle w:val="TableText"/>
              <w:ind w:left="125" w:right="113" w:hanging="9"/>
              <w:spacing w:before="159" w:line="258" w:lineRule="auto"/>
              <w:rPr>
                <w:sz w:val="25"/>
                <w:szCs w:val="25"/>
              </w:rPr>
            </w:pPr>
            <w:r>
              <w:rPr>
                <w:sz w:val="25"/>
                <w:szCs w:val="25"/>
              </w:rPr>
              <w:t>责令其立即改正，处以1万元以上2万</w:t>
            </w:r>
            <w:r>
              <w:rPr>
                <w:sz w:val="25"/>
                <w:szCs w:val="25"/>
                <w:spacing w:val="14"/>
              </w:rPr>
              <w:t xml:space="preserve"> </w:t>
            </w:r>
            <w:r>
              <w:rPr>
                <w:sz w:val="25"/>
                <w:szCs w:val="25"/>
                <w:spacing w:val="2"/>
              </w:rPr>
              <w:t>元以下罚款</w:t>
            </w:r>
          </w:p>
        </w:tc>
      </w:tr>
      <w:tr>
        <w:trPr>
          <w:trHeight w:val="898" w:hRule="atLeast"/>
        </w:trPr>
        <w:tc>
          <w:tcPr>
            <w:tcW w:w="1454" w:type="dxa"/>
            <w:vAlign w:val="top"/>
          </w:tcPr>
          <w:p>
            <w:pPr>
              <w:spacing w:line="250" w:lineRule="auto"/>
              <w:rPr>
                <w:rFonts w:ascii="Arial"/>
                <w:sz w:val="21"/>
              </w:rPr>
            </w:pPr>
            <w:r/>
          </w:p>
          <w:p>
            <w:pPr>
              <w:pStyle w:val="TableText"/>
              <w:ind w:left="468"/>
              <w:spacing w:before="81" w:line="221" w:lineRule="auto"/>
              <w:rPr>
                <w:sz w:val="25"/>
                <w:szCs w:val="25"/>
              </w:rPr>
            </w:pPr>
            <w:r>
              <w:rPr>
                <w:sz w:val="25"/>
                <w:szCs w:val="25"/>
                <w:b/>
                <w:bCs/>
                <w:spacing w:val="-6"/>
              </w:rPr>
              <w:t>较重</w:t>
            </w:r>
          </w:p>
        </w:tc>
        <w:tc>
          <w:tcPr>
            <w:tcW w:w="8004" w:type="dxa"/>
            <w:vAlign w:val="top"/>
          </w:tcPr>
          <w:p>
            <w:pPr>
              <w:pStyle w:val="TableText"/>
              <w:ind w:left="100" w:right="112" w:firstLine="20"/>
              <w:spacing w:before="151" w:line="272" w:lineRule="auto"/>
              <w:rPr>
                <w:sz w:val="25"/>
                <w:szCs w:val="25"/>
              </w:rPr>
            </w:pPr>
            <w:r>
              <w:rPr>
                <w:sz w:val="25"/>
                <w:szCs w:val="25"/>
              </w:rPr>
              <w:t>使用2名及2名以上未取得麻醉药品和第一类精神药品处方资格的医师开</w:t>
            </w:r>
            <w:r>
              <w:rPr>
                <w:sz w:val="25"/>
                <w:szCs w:val="25"/>
                <w:spacing w:val="9"/>
              </w:rPr>
              <w:t xml:space="preserve"> </w:t>
            </w:r>
            <w:r>
              <w:rPr>
                <w:sz w:val="25"/>
                <w:szCs w:val="25"/>
                <w:spacing w:val="1"/>
              </w:rPr>
              <w:t>具麻醉药品和第一类精神药品处方的</w:t>
            </w:r>
          </w:p>
        </w:tc>
        <w:tc>
          <w:tcPr>
            <w:tcW w:w="4256" w:type="dxa"/>
            <w:vAlign w:val="top"/>
          </w:tcPr>
          <w:p>
            <w:pPr>
              <w:pStyle w:val="TableText"/>
              <w:ind w:left="125" w:right="113" w:hanging="9"/>
              <w:spacing w:before="151" w:line="272" w:lineRule="auto"/>
              <w:rPr>
                <w:sz w:val="25"/>
                <w:szCs w:val="25"/>
              </w:rPr>
            </w:pPr>
            <w:r>
              <w:rPr>
                <w:sz w:val="25"/>
                <w:szCs w:val="25"/>
              </w:rPr>
              <w:t>责令其立即改正，处以2万元以上8万</w:t>
            </w:r>
            <w:r>
              <w:rPr>
                <w:sz w:val="25"/>
                <w:szCs w:val="25"/>
                <w:spacing w:val="14"/>
              </w:rPr>
              <w:t xml:space="preserve"> </w:t>
            </w:r>
            <w:r>
              <w:rPr>
                <w:sz w:val="25"/>
                <w:szCs w:val="25"/>
                <w:spacing w:val="2"/>
              </w:rPr>
              <w:t>元以下罚款</w:t>
            </w:r>
          </w:p>
        </w:tc>
      </w:tr>
      <w:tr>
        <w:trPr>
          <w:trHeight w:val="858" w:hRule="atLeast"/>
        </w:trPr>
        <w:tc>
          <w:tcPr>
            <w:tcW w:w="1454" w:type="dxa"/>
            <w:vAlign w:val="top"/>
          </w:tcPr>
          <w:p>
            <w:pPr>
              <w:pStyle w:val="TableText"/>
              <w:ind w:left="468"/>
              <w:spacing w:before="312" w:line="220" w:lineRule="auto"/>
              <w:rPr>
                <w:sz w:val="25"/>
                <w:szCs w:val="25"/>
              </w:rPr>
            </w:pPr>
            <w:r>
              <w:rPr>
                <w:sz w:val="25"/>
                <w:szCs w:val="25"/>
                <w:b/>
                <w:bCs/>
                <w:spacing w:val="-6"/>
              </w:rPr>
              <w:t>严重</w:t>
            </w:r>
          </w:p>
        </w:tc>
        <w:tc>
          <w:tcPr>
            <w:tcW w:w="8004" w:type="dxa"/>
            <w:vAlign w:val="top"/>
          </w:tcPr>
          <w:p>
            <w:pPr>
              <w:pStyle w:val="TableText"/>
              <w:ind w:left="99" w:hanging="89"/>
              <w:spacing w:before="132" w:line="264" w:lineRule="auto"/>
              <w:rPr>
                <w:sz w:val="25"/>
                <w:szCs w:val="25"/>
              </w:rPr>
            </w:pPr>
            <w:r>
              <w:rPr>
                <w:sz w:val="25"/>
                <w:szCs w:val="25"/>
                <w:spacing w:val="-1"/>
              </w:rPr>
              <w:t>使用未取得麻醉药品和第一类精神药品处方资格的医师开具麻醉药品和第</w:t>
            </w:r>
            <w:r>
              <w:rPr>
                <w:sz w:val="25"/>
                <w:szCs w:val="25"/>
                <w:spacing w:val="14"/>
              </w:rPr>
              <w:t xml:space="preserve"> </w:t>
            </w:r>
            <w:r>
              <w:rPr>
                <w:sz w:val="25"/>
                <w:szCs w:val="25"/>
              </w:rPr>
              <w:t>一类精神药品处方，给患者造成伤害的</w:t>
            </w:r>
          </w:p>
        </w:tc>
        <w:tc>
          <w:tcPr>
            <w:tcW w:w="4256" w:type="dxa"/>
            <w:vAlign w:val="top"/>
          </w:tcPr>
          <w:p>
            <w:pPr>
              <w:pStyle w:val="TableText"/>
              <w:ind w:left="116" w:right="186" w:firstLine="59"/>
              <w:spacing w:before="143" w:line="260" w:lineRule="auto"/>
              <w:rPr>
                <w:sz w:val="25"/>
                <w:szCs w:val="25"/>
              </w:rPr>
            </w:pPr>
            <w:r>
              <w:rPr>
                <w:sz w:val="25"/>
                <w:szCs w:val="25"/>
              </w:rPr>
              <w:t>责令其立即改正，处以8万元以上10</w:t>
            </w:r>
            <w:r>
              <w:rPr>
                <w:sz w:val="25"/>
                <w:szCs w:val="25"/>
                <w:spacing w:val="6"/>
              </w:rPr>
              <w:t xml:space="preserve"> </w:t>
            </w:r>
            <w:r>
              <w:rPr>
                <w:sz w:val="25"/>
                <w:szCs w:val="25"/>
                <w:spacing w:val="1"/>
              </w:rPr>
              <w:t>万元以下罚款</w:t>
            </w:r>
          </w:p>
        </w:tc>
      </w:tr>
      <w:tr>
        <w:trPr>
          <w:trHeight w:val="1322" w:hRule="atLeast"/>
        </w:trPr>
        <w:tc>
          <w:tcPr>
            <w:tcW w:w="1454" w:type="dxa"/>
            <w:vAlign w:val="top"/>
          </w:tcPr>
          <w:p>
            <w:pPr>
              <w:spacing w:line="459" w:lineRule="auto"/>
              <w:rPr>
                <w:rFonts w:ascii="Arial"/>
                <w:sz w:val="21"/>
              </w:rPr>
            </w:pPr>
            <w:r/>
          </w:p>
          <w:p>
            <w:pPr>
              <w:pStyle w:val="TableText"/>
              <w:ind w:left="218"/>
              <w:spacing w:before="82" w:line="219" w:lineRule="auto"/>
              <w:rPr>
                <w:sz w:val="25"/>
                <w:szCs w:val="25"/>
              </w:rPr>
            </w:pPr>
            <w:r>
              <w:rPr>
                <w:sz w:val="25"/>
                <w:szCs w:val="25"/>
                <w:b/>
                <w:bCs/>
                <w:spacing w:val="-5"/>
              </w:rPr>
              <w:t>特别严重</w:t>
            </w:r>
          </w:p>
        </w:tc>
        <w:tc>
          <w:tcPr>
            <w:tcW w:w="8004" w:type="dxa"/>
            <w:vAlign w:val="top"/>
          </w:tcPr>
          <w:p>
            <w:pPr>
              <w:spacing w:line="303" w:lineRule="auto"/>
              <w:rPr>
                <w:rFonts w:ascii="Arial"/>
                <w:sz w:val="21"/>
              </w:rPr>
            </w:pPr>
            <w:r/>
          </w:p>
          <w:p>
            <w:pPr>
              <w:pStyle w:val="TableText"/>
              <w:ind w:left="109" w:hanging="99"/>
              <w:spacing w:before="81" w:line="334" w:lineRule="auto"/>
              <w:rPr>
                <w:sz w:val="25"/>
                <w:szCs w:val="25"/>
              </w:rPr>
            </w:pPr>
            <w:r>
              <w:rPr>
                <w:sz w:val="25"/>
                <w:szCs w:val="25"/>
                <w:spacing w:val="-1"/>
              </w:rPr>
              <w:t>使用未取得麻醉药品和第一类精神药品处方资格的医师开具麻醉药品和第</w:t>
            </w:r>
            <w:r>
              <w:rPr>
                <w:sz w:val="25"/>
                <w:szCs w:val="25"/>
                <w:spacing w:val="14"/>
              </w:rPr>
              <w:t xml:space="preserve"> </w:t>
            </w:r>
            <w:r>
              <w:rPr>
                <w:sz w:val="25"/>
                <w:szCs w:val="25"/>
                <w:spacing w:val="1"/>
              </w:rPr>
              <w:t>一类精神药品处方，造成患者死亡的</w:t>
            </w:r>
          </w:p>
        </w:tc>
        <w:tc>
          <w:tcPr>
            <w:tcW w:w="4256" w:type="dxa"/>
            <w:vAlign w:val="top"/>
          </w:tcPr>
          <w:p>
            <w:pPr>
              <w:pStyle w:val="TableText"/>
              <w:ind w:left="17" w:firstLine="159"/>
              <w:spacing w:before="158" w:line="284" w:lineRule="auto"/>
              <w:jc w:val="both"/>
              <w:rPr>
                <w:sz w:val="25"/>
                <w:szCs w:val="25"/>
              </w:rPr>
            </w:pPr>
            <w:r>
              <w:rPr>
                <w:sz w:val="25"/>
                <w:szCs w:val="25"/>
                <w:spacing w:val="-1"/>
              </w:rPr>
              <w:t>责令其立即改正，处以10万元罚款，</w:t>
            </w:r>
            <w:r>
              <w:rPr>
                <w:sz w:val="25"/>
                <w:szCs w:val="25"/>
                <w:spacing w:val="1"/>
              </w:rPr>
              <w:t xml:space="preserve"> </w:t>
            </w:r>
            <w:r>
              <w:rPr>
                <w:sz w:val="25"/>
                <w:szCs w:val="25"/>
                <w:spacing w:val="-2"/>
              </w:rPr>
              <w:t>情节严重的，吊销其《医疗机构执业许</w:t>
            </w:r>
            <w:r>
              <w:rPr>
                <w:sz w:val="25"/>
                <w:szCs w:val="25"/>
                <w:spacing w:val="11"/>
              </w:rPr>
              <w:t xml:space="preserve"> </w:t>
            </w:r>
            <w:r>
              <w:rPr>
                <w:sz w:val="25"/>
                <w:szCs w:val="25"/>
                <w:spacing w:val="8"/>
              </w:rPr>
              <w:t>可证》或者责令其停止执业活动</w:t>
            </w:r>
          </w:p>
        </w:tc>
      </w:tr>
    </w:tbl>
    <w:p>
      <w:pPr>
        <w:pStyle w:val="BodyText"/>
        <w:spacing w:line="432" w:lineRule="auto"/>
        <w:rPr/>
      </w:pPr>
      <w:r/>
    </w:p>
    <w:p>
      <w:pPr>
        <w:ind w:left="4" w:right="153" w:firstLine="639"/>
        <w:spacing w:before="101" w:line="264" w:lineRule="auto"/>
        <w:rPr>
          <w:rFonts w:ascii="FangSong" w:hAnsi="FangSong" w:eastAsia="FangSong" w:cs="FangSong"/>
          <w:sz w:val="31"/>
          <w:szCs w:val="31"/>
        </w:rPr>
      </w:pPr>
      <w:r>
        <w:rPr>
          <w:rFonts w:ascii="FangSong" w:hAnsi="FangSong" w:eastAsia="FangSong" w:cs="FangSong"/>
          <w:sz w:val="31"/>
          <w:szCs w:val="31"/>
          <w:b/>
          <w:bCs/>
          <w:spacing w:val="11"/>
        </w:rPr>
        <w:t>第二百七十三条具有麻醉药品和第一类精神药品处方医师未按照规定开具麻</w:t>
      </w:r>
      <w:r>
        <w:rPr>
          <w:rFonts w:ascii="FangSong" w:hAnsi="FangSong" w:eastAsia="FangSong" w:cs="FangSong"/>
          <w:sz w:val="31"/>
          <w:szCs w:val="31"/>
          <w:b/>
          <w:bCs/>
          <w:spacing w:val="10"/>
        </w:rPr>
        <w:t>醉药品和第一类</w:t>
      </w:r>
      <w:r>
        <w:rPr>
          <w:rFonts w:ascii="FangSong" w:hAnsi="FangSong" w:eastAsia="FangSong" w:cs="FangSong"/>
          <w:sz w:val="31"/>
          <w:szCs w:val="31"/>
        </w:rPr>
        <w:t xml:space="preserve">  </w:t>
      </w:r>
      <w:r>
        <w:rPr>
          <w:rFonts w:ascii="FangSong" w:hAnsi="FangSong" w:eastAsia="FangSong" w:cs="FangSong"/>
          <w:sz w:val="31"/>
          <w:szCs w:val="31"/>
          <w:b/>
          <w:bCs/>
          <w:spacing w:val="8"/>
        </w:rPr>
        <w:t>精神药品处方，或者未按照卫生部制定的麻醉药品和精神</w:t>
      </w:r>
      <w:r>
        <w:rPr>
          <w:rFonts w:ascii="FangSong" w:hAnsi="FangSong" w:eastAsia="FangSong" w:cs="FangSong"/>
          <w:sz w:val="31"/>
          <w:szCs w:val="31"/>
          <w:b/>
          <w:bCs/>
          <w:spacing w:val="7"/>
        </w:rPr>
        <w:t>药品临床应用指导原</w:t>
      </w:r>
      <w:r>
        <w:rPr>
          <w:rFonts w:ascii="FangSong" w:hAnsi="FangSong" w:eastAsia="FangSong" w:cs="FangSong"/>
          <w:sz w:val="31"/>
          <w:szCs w:val="31"/>
          <w:spacing w:val="7"/>
        </w:rPr>
        <w:t>则使用麻醉药品和第</w:t>
      </w:r>
      <w:r>
        <w:rPr>
          <w:rFonts w:ascii="FangSong" w:hAnsi="FangSong" w:eastAsia="FangSong" w:cs="FangSong"/>
          <w:sz w:val="31"/>
          <w:szCs w:val="31"/>
        </w:rPr>
        <w:t xml:space="preserve"> </w:t>
      </w:r>
      <w:r>
        <w:rPr>
          <w:rFonts w:ascii="FangSong" w:hAnsi="FangSong" w:eastAsia="FangSong" w:cs="FangSong"/>
          <w:sz w:val="31"/>
          <w:szCs w:val="31"/>
          <w:b/>
          <w:bCs/>
          <w:spacing w:val="1"/>
        </w:rPr>
        <w:t>一类精神药品的</w:t>
      </w:r>
    </w:p>
    <w:p>
      <w:pPr>
        <w:ind w:left="639"/>
        <w:spacing w:before="28"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firstLine="639"/>
        <w:spacing w:before="75" w:line="273" w:lineRule="auto"/>
        <w:rPr>
          <w:rFonts w:ascii="FangSong" w:hAnsi="FangSong" w:eastAsia="FangSong" w:cs="FangSong"/>
          <w:sz w:val="31"/>
          <w:szCs w:val="31"/>
        </w:rPr>
      </w:pPr>
      <w:r>
        <w:rPr>
          <w:rFonts w:ascii="FangSong" w:hAnsi="FangSong" w:eastAsia="FangSong" w:cs="FangSong"/>
          <w:sz w:val="31"/>
          <w:szCs w:val="31"/>
          <w:spacing w:val="9"/>
        </w:rPr>
        <w:t>1.</w:t>
      </w:r>
      <w:r>
        <w:rPr>
          <w:rFonts w:ascii="FangSong" w:hAnsi="FangSong" w:eastAsia="FangSong" w:cs="FangSong"/>
          <w:sz w:val="31"/>
          <w:szCs w:val="31"/>
          <w:spacing w:val="9"/>
        </w:rPr>
        <w:t xml:space="preserve"> </w:t>
      </w:r>
      <w:r>
        <w:rPr>
          <w:rFonts w:ascii="FangSong" w:hAnsi="FangSong" w:eastAsia="FangSong" w:cs="FangSong"/>
          <w:sz w:val="31"/>
          <w:szCs w:val="31"/>
          <w:spacing w:val="9"/>
        </w:rPr>
        <w:t>《处方管理办法》第五十六条第(二)项</w:t>
      </w:r>
      <w:r>
        <w:rPr>
          <w:rFonts w:ascii="FangSong" w:hAnsi="FangSong" w:eastAsia="FangSong" w:cs="FangSong"/>
          <w:sz w:val="31"/>
          <w:szCs w:val="31"/>
          <w:spacing w:val="9"/>
        </w:rPr>
        <w:t xml:space="preserve">  </w:t>
      </w:r>
      <w:r>
        <w:rPr>
          <w:rFonts w:ascii="FangSong" w:hAnsi="FangSong" w:eastAsia="FangSong" w:cs="FangSong"/>
          <w:sz w:val="31"/>
          <w:szCs w:val="31"/>
          <w:spacing w:val="9"/>
        </w:rPr>
        <w:t>医师和药师出现下列情形之一的，由县级以上卫生</w:t>
      </w:r>
      <w:r>
        <w:rPr>
          <w:rFonts w:ascii="FangSong" w:hAnsi="FangSong" w:eastAsia="FangSong" w:cs="FangSong"/>
          <w:sz w:val="31"/>
          <w:szCs w:val="31"/>
          <w:spacing w:val="14"/>
        </w:rPr>
        <w:t xml:space="preserve"> </w:t>
      </w:r>
      <w:r>
        <w:rPr>
          <w:rFonts w:ascii="FangSong" w:hAnsi="FangSong" w:eastAsia="FangSong" w:cs="FangSong"/>
          <w:sz w:val="31"/>
          <w:szCs w:val="31"/>
          <w:spacing w:val="7"/>
        </w:rPr>
        <w:t>行政部门按照《麻醉药品和精神药品管理条例》第七十三条的规定</w:t>
      </w:r>
      <w:r>
        <w:rPr>
          <w:rFonts w:ascii="FangSong" w:hAnsi="FangSong" w:eastAsia="FangSong" w:cs="FangSong"/>
          <w:sz w:val="31"/>
          <w:szCs w:val="31"/>
          <w:spacing w:val="6"/>
        </w:rPr>
        <w:t>予以处罚：</w:t>
      </w:r>
    </w:p>
    <w:p>
      <w:pPr>
        <w:spacing w:line="273" w:lineRule="auto"/>
        <w:sectPr>
          <w:footerReference w:type="default" r:id="rId329"/>
          <w:pgSz w:w="16830" w:h="11900"/>
          <w:pgMar w:top="1011" w:right="1454" w:bottom="1125" w:left="1450" w:header="0" w:footer="783" w:gutter="0"/>
        </w:sectPr>
        <w:rPr>
          <w:rFonts w:ascii="FangSong" w:hAnsi="FangSong" w:eastAsia="FangSong" w:cs="FangSong"/>
          <w:sz w:val="31"/>
          <w:szCs w:val="31"/>
        </w:rPr>
      </w:pPr>
    </w:p>
    <w:p>
      <w:pPr>
        <w:pStyle w:val="BodyText"/>
        <w:spacing w:line="258" w:lineRule="auto"/>
        <w:rPr/>
      </w:pPr>
      <w:r/>
    </w:p>
    <w:p>
      <w:pPr>
        <w:pStyle w:val="BodyText"/>
        <w:spacing w:line="258" w:lineRule="auto"/>
        <w:rPr/>
      </w:pPr>
      <w:r/>
    </w:p>
    <w:p>
      <w:pPr>
        <w:pStyle w:val="BodyText"/>
        <w:spacing w:line="258" w:lineRule="auto"/>
        <w:rPr/>
      </w:pPr>
      <w:r/>
    </w:p>
    <w:p>
      <w:pPr>
        <w:ind w:firstLine="790"/>
        <w:spacing w:before="97" w:line="274" w:lineRule="auto"/>
        <w:rPr>
          <w:rFonts w:ascii="FangSong" w:hAnsi="FangSong" w:eastAsia="FangSong" w:cs="FangSong"/>
          <w:sz w:val="30"/>
          <w:szCs w:val="30"/>
        </w:rPr>
      </w:pPr>
      <w:bookmarkStart w:name="bookmark982" w:id="351"/>
      <w:bookmarkEnd w:id="351"/>
      <w:r>
        <w:rPr>
          <w:rFonts w:ascii="FangSong" w:hAnsi="FangSong" w:eastAsia="FangSong" w:cs="FangSong"/>
          <w:sz w:val="30"/>
          <w:szCs w:val="30"/>
          <w:spacing w:val="19"/>
        </w:rPr>
        <w:t>(二)具有麻醉药品和第一类精神药品处方医师未按照规定开具麻醉药品和第一类精神药品处方，</w:t>
      </w:r>
      <w:r>
        <w:rPr>
          <w:rFonts w:ascii="FangSong" w:hAnsi="FangSong" w:eastAsia="FangSong" w:cs="FangSong"/>
          <w:sz w:val="30"/>
          <w:szCs w:val="30"/>
          <w:spacing w:val="11"/>
        </w:rPr>
        <w:t xml:space="preserve"> </w:t>
      </w:r>
      <w:r>
        <w:rPr>
          <w:rFonts w:ascii="FangSong" w:hAnsi="FangSong" w:eastAsia="FangSong" w:cs="FangSong"/>
          <w:sz w:val="30"/>
          <w:szCs w:val="30"/>
          <w:spacing w:val="19"/>
        </w:rPr>
        <w:t>或者未按照卫生部制定的麻醉药品和精神药品临床应用指导原</w:t>
      </w:r>
      <w:r>
        <w:rPr>
          <w:rFonts w:ascii="FangSong" w:hAnsi="FangSong" w:eastAsia="FangSong" w:cs="FangSong"/>
          <w:sz w:val="30"/>
          <w:szCs w:val="30"/>
          <w:spacing w:val="18"/>
        </w:rPr>
        <w:t>则使用麻醉药品和第一类精神药品的。</w:t>
      </w:r>
    </w:p>
    <w:p>
      <w:pPr>
        <w:ind w:right="277" w:firstLine="649"/>
        <w:spacing w:before="7" w:line="270" w:lineRule="auto"/>
        <w:jc w:val="both"/>
        <w:rPr>
          <w:rFonts w:ascii="FangSong" w:hAnsi="FangSong" w:eastAsia="FangSong" w:cs="FangSong"/>
          <w:sz w:val="30"/>
          <w:szCs w:val="30"/>
        </w:rPr>
      </w:pPr>
      <w:r>
        <w:rPr>
          <w:rFonts w:ascii="FangSong" w:hAnsi="FangSong" w:eastAsia="FangSong" w:cs="FangSong"/>
          <w:sz w:val="30"/>
          <w:szCs w:val="30"/>
          <w:spacing w:val="12"/>
        </w:rPr>
        <w:t>2.</w:t>
      </w:r>
      <w:r>
        <w:rPr>
          <w:rFonts w:ascii="FangSong" w:hAnsi="FangSong" w:eastAsia="FangSong" w:cs="FangSong"/>
          <w:sz w:val="30"/>
          <w:szCs w:val="30"/>
          <w:spacing w:val="12"/>
        </w:rPr>
        <w:t xml:space="preserve"> </w:t>
      </w:r>
      <w:r>
        <w:rPr>
          <w:rFonts w:ascii="FangSong" w:hAnsi="FangSong" w:eastAsia="FangSong" w:cs="FangSong"/>
          <w:sz w:val="30"/>
          <w:szCs w:val="30"/>
          <w:spacing w:val="12"/>
        </w:rPr>
        <w:t>《麻醉药品和精神药品管理条例》第七十三条第一款</w:t>
      </w:r>
      <w:r>
        <w:rPr>
          <w:rFonts w:ascii="FangSong" w:hAnsi="FangSong" w:eastAsia="FangSong" w:cs="FangSong"/>
          <w:sz w:val="30"/>
          <w:szCs w:val="30"/>
          <w:spacing w:val="12"/>
        </w:rPr>
        <w:t xml:space="preserve">  </w:t>
      </w:r>
      <w:r>
        <w:rPr>
          <w:rFonts w:ascii="FangSong" w:hAnsi="FangSong" w:eastAsia="FangSong" w:cs="FangSong"/>
          <w:sz w:val="30"/>
          <w:szCs w:val="30"/>
          <w:spacing w:val="12"/>
        </w:rPr>
        <w:t>具有麻醉药品和第一类精神药品处方资</w:t>
      </w:r>
      <w:r>
        <w:rPr>
          <w:rFonts w:ascii="FangSong" w:hAnsi="FangSong" w:eastAsia="FangSong" w:cs="FangSong"/>
          <w:sz w:val="30"/>
          <w:szCs w:val="30"/>
        </w:rPr>
        <w:t xml:space="preserve"> </w:t>
      </w:r>
      <w:r>
        <w:rPr>
          <w:rFonts w:ascii="FangSong" w:hAnsi="FangSong" w:eastAsia="FangSong" w:cs="FangSong"/>
          <w:sz w:val="30"/>
          <w:szCs w:val="30"/>
          <w:spacing w:val="16"/>
        </w:rPr>
        <w:t>格的执业医师，违反本条例的规定开具麻醉药品和第一类精神药品处方，或者未按照临床应用</w:t>
      </w:r>
      <w:r>
        <w:rPr>
          <w:rFonts w:ascii="FangSong" w:hAnsi="FangSong" w:eastAsia="FangSong" w:cs="FangSong"/>
          <w:sz w:val="30"/>
          <w:szCs w:val="30"/>
          <w:spacing w:val="15"/>
        </w:rPr>
        <w:t>指导原</w:t>
      </w:r>
      <w:r>
        <w:rPr>
          <w:rFonts w:ascii="FangSong" w:hAnsi="FangSong" w:eastAsia="FangSong" w:cs="FangSong"/>
          <w:sz w:val="30"/>
          <w:szCs w:val="30"/>
        </w:rPr>
        <w:t xml:space="preserve"> </w:t>
      </w:r>
      <w:r>
        <w:rPr>
          <w:rFonts w:ascii="FangSong" w:hAnsi="FangSong" w:eastAsia="FangSong" w:cs="FangSong"/>
          <w:sz w:val="30"/>
          <w:szCs w:val="30"/>
          <w:spacing w:val="17"/>
        </w:rPr>
        <w:t>则的要求使用麻醉药品和第一类精神药品的，由其所在医</w:t>
      </w:r>
      <w:r>
        <w:rPr>
          <w:rFonts w:ascii="FangSong" w:hAnsi="FangSong" w:eastAsia="FangSong" w:cs="FangSong"/>
          <w:sz w:val="30"/>
          <w:szCs w:val="30"/>
          <w:spacing w:val="16"/>
        </w:rPr>
        <w:t>疗机构取消其麻醉药品和第一类精神药品处</w:t>
      </w:r>
      <w:r>
        <w:rPr>
          <w:rFonts w:ascii="FangSong" w:hAnsi="FangSong" w:eastAsia="FangSong" w:cs="FangSong"/>
          <w:sz w:val="30"/>
          <w:szCs w:val="30"/>
        </w:rPr>
        <w:t xml:space="preserve"> </w:t>
      </w:r>
      <w:r>
        <w:rPr>
          <w:rFonts w:ascii="FangSong" w:hAnsi="FangSong" w:eastAsia="FangSong" w:cs="FangSong"/>
          <w:sz w:val="30"/>
          <w:szCs w:val="30"/>
          <w:spacing w:val="16"/>
        </w:rPr>
        <w:t>方资格；造成严重后果的，由原发证部门吊销其执业证书。执业医师未按</w:t>
      </w:r>
      <w:r>
        <w:rPr>
          <w:rFonts w:ascii="FangSong" w:hAnsi="FangSong" w:eastAsia="FangSong" w:cs="FangSong"/>
          <w:sz w:val="30"/>
          <w:szCs w:val="30"/>
          <w:spacing w:val="15"/>
        </w:rPr>
        <w:t>照临床应用指导原则的要求</w:t>
      </w:r>
      <w:r>
        <w:rPr>
          <w:rFonts w:ascii="FangSong" w:hAnsi="FangSong" w:eastAsia="FangSong" w:cs="FangSong"/>
          <w:sz w:val="30"/>
          <w:szCs w:val="30"/>
        </w:rPr>
        <w:t xml:space="preserve"> </w:t>
      </w:r>
      <w:r>
        <w:rPr>
          <w:rFonts w:ascii="FangSong" w:hAnsi="FangSong" w:eastAsia="FangSong" w:cs="FangSong"/>
          <w:sz w:val="30"/>
          <w:szCs w:val="30"/>
          <w:spacing w:val="17"/>
        </w:rPr>
        <w:t>使用第二类精神药品或者未使用专用处方开具第二类精神药品，造成严重后果的，由</w:t>
      </w:r>
      <w:r>
        <w:rPr>
          <w:rFonts w:ascii="FangSong" w:hAnsi="FangSong" w:eastAsia="FangSong" w:cs="FangSong"/>
          <w:sz w:val="30"/>
          <w:szCs w:val="30"/>
          <w:spacing w:val="16"/>
        </w:rPr>
        <w:t>原发证部门吊销</w:t>
      </w:r>
      <w:r>
        <w:rPr>
          <w:rFonts w:ascii="FangSong" w:hAnsi="FangSong" w:eastAsia="FangSong" w:cs="FangSong"/>
          <w:sz w:val="30"/>
          <w:szCs w:val="30"/>
        </w:rPr>
        <w:t xml:space="preserve"> </w:t>
      </w:r>
      <w:r>
        <w:rPr>
          <w:rFonts w:ascii="FangSong" w:hAnsi="FangSong" w:eastAsia="FangSong" w:cs="FangSong"/>
          <w:sz w:val="30"/>
          <w:szCs w:val="30"/>
          <w:spacing w:val="8"/>
        </w:rPr>
        <w:t>其执业证书。</w:t>
      </w:r>
    </w:p>
    <w:p>
      <w:pPr>
        <w:ind w:left="6414"/>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889" w:type="dxa"/>
        <w:tblInd w:w="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3"/>
        <w:gridCol w:w="8334"/>
        <w:gridCol w:w="4132"/>
      </w:tblGrid>
      <w:tr>
        <w:trPr>
          <w:trHeight w:val="442" w:hRule="atLeast"/>
        </w:trPr>
        <w:tc>
          <w:tcPr>
            <w:tcW w:w="1423" w:type="dxa"/>
            <w:vAlign w:val="top"/>
          </w:tcPr>
          <w:p>
            <w:pPr>
              <w:pStyle w:val="TableText"/>
              <w:ind w:left="208"/>
              <w:spacing w:before="102" w:line="220" w:lineRule="auto"/>
              <w:rPr>
                <w:sz w:val="25"/>
                <w:szCs w:val="25"/>
              </w:rPr>
            </w:pPr>
            <w:r>
              <w:rPr>
                <w:sz w:val="25"/>
                <w:szCs w:val="25"/>
                <w:b/>
                <w:bCs/>
                <w:spacing w:val="-5"/>
              </w:rPr>
              <w:t>违法程度</w:t>
            </w:r>
          </w:p>
        </w:tc>
        <w:tc>
          <w:tcPr>
            <w:tcW w:w="8334" w:type="dxa"/>
            <w:vAlign w:val="top"/>
          </w:tcPr>
          <w:p>
            <w:pPr>
              <w:pStyle w:val="TableText"/>
              <w:ind w:left="3665"/>
              <w:spacing w:before="102" w:line="220" w:lineRule="auto"/>
              <w:rPr>
                <w:sz w:val="25"/>
                <w:szCs w:val="25"/>
              </w:rPr>
            </w:pPr>
            <w:r>
              <w:rPr>
                <w:sz w:val="25"/>
                <w:szCs w:val="25"/>
                <w:b/>
                <w:bCs/>
                <w:spacing w:val="-5"/>
              </w:rPr>
              <w:t>情节后果</w:t>
            </w:r>
          </w:p>
        </w:tc>
        <w:tc>
          <w:tcPr>
            <w:tcW w:w="4132" w:type="dxa"/>
            <w:vAlign w:val="top"/>
          </w:tcPr>
          <w:p>
            <w:pPr>
              <w:pStyle w:val="TableText"/>
              <w:ind w:left="1511"/>
              <w:spacing w:before="99" w:line="218" w:lineRule="auto"/>
              <w:rPr>
                <w:sz w:val="25"/>
                <w:szCs w:val="25"/>
              </w:rPr>
            </w:pPr>
            <w:r>
              <w:rPr>
                <w:sz w:val="25"/>
                <w:szCs w:val="25"/>
                <w:b/>
                <w:bCs/>
                <w:spacing w:val="-5"/>
              </w:rPr>
              <w:t>裁量幅度</w:t>
            </w:r>
          </w:p>
        </w:tc>
      </w:tr>
      <w:tr>
        <w:trPr>
          <w:trHeight w:val="1298" w:hRule="atLeast"/>
        </w:trPr>
        <w:tc>
          <w:tcPr>
            <w:tcW w:w="1423" w:type="dxa"/>
            <w:vAlign w:val="top"/>
          </w:tcPr>
          <w:p>
            <w:pPr>
              <w:spacing w:line="446"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8334" w:type="dxa"/>
            <w:vAlign w:val="top"/>
          </w:tcPr>
          <w:p>
            <w:pPr>
              <w:pStyle w:val="TableText"/>
              <w:ind w:left="15" w:firstLine="20"/>
              <w:spacing w:before="138" w:line="283" w:lineRule="auto"/>
              <w:jc w:val="both"/>
              <w:rPr>
                <w:sz w:val="25"/>
                <w:szCs w:val="25"/>
              </w:rPr>
            </w:pPr>
            <w:r>
              <w:rPr>
                <w:sz w:val="25"/>
                <w:szCs w:val="25"/>
                <w:b/>
                <w:bCs/>
                <w:spacing w:val="-4"/>
              </w:rPr>
              <w:t>具有麻醉药品和第一类精神药品处方医师未按照规定开具麻醉药品和第一类</w:t>
            </w:r>
            <w:r>
              <w:rPr>
                <w:sz w:val="25"/>
                <w:szCs w:val="25"/>
                <w:spacing w:val="7"/>
              </w:rPr>
              <w:t xml:space="preserve">  </w:t>
            </w:r>
            <w:r>
              <w:rPr>
                <w:sz w:val="25"/>
                <w:szCs w:val="25"/>
                <w:b/>
                <w:bCs/>
                <w:spacing w:val="-8"/>
              </w:rPr>
              <w:t>精神药品处方，或者未按照卫生部制定的麻醉药品和精</w:t>
            </w:r>
            <w:r>
              <w:rPr>
                <w:sz w:val="25"/>
                <w:szCs w:val="25"/>
                <w:b/>
                <w:bCs/>
                <w:spacing w:val="-9"/>
              </w:rPr>
              <w:t>神药品临床应用指导原</w:t>
            </w:r>
            <w:r>
              <w:rPr>
                <w:sz w:val="25"/>
                <w:szCs w:val="25"/>
              </w:rPr>
              <w:t xml:space="preserve"> </w:t>
            </w:r>
            <w:r>
              <w:rPr>
                <w:sz w:val="25"/>
                <w:szCs w:val="25"/>
                <w:b/>
                <w:bCs/>
                <w:spacing w:val="1"/>
              </w:rPr>
              <w:t>则使用麻醉药品和第一类精神药品，造成严重后果的</w:t>
            </w:r>
          </w:p>
        </w:tc>
        <w:tc>
          <w:tcPr>
            <w:tcW w:w="4132" w:type="dxa"/>
            <w:vAlign w:val="top"/>
          </w:tcPr>
          <w:p>
            <w:pPr>
              <w:spacing w:line="444" w:lineRule="auto"/>
              <w:rPr>
                <w:rFonts w:ascii="Arial"/>
                <w:sz w:val="21"/>
              </w:rPr>
            </w:pPr>
            <w:r/>
          </w:p>
          <w:p>
            <w:pPr>
              <w:pStyle w:val="TableText"/>
              <w:ind w:left="141"/>
              <w:spacing w:before="81" w:line="219" w:lineRule="auto"/>
              <w:rPr>
                <w:sz w:val="25"/>
                <w:szCs w:val="25"/>
              </w:rPr>
            </w:pPr>
            <w:r>
              <w:rPr>
                <w:sz w:val="25"/>
                <w:szCs w:val="25"/>
                <w:b/>
                <w:bCs/>
                <w:spacing w:val="-2"/>
              </w:rPr>
              <w:t>吊销其执业证书</w:t>
            </w:r>
          </w:p>
        </w:tc>
      </w:tr>
    </w:tbl>
    <w:p>
      <w:pPr>
        <w:pStyle w:val="BodyText"/>
        <w:spacing w:line="456" w:lineRule="auto"/>
        <w:rPr/>
      </w:pPr>
      <w:r/>
    </w:p>
    <w:p>
      <w:pPr>
        <w:ind w:left="654"/>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第二百七十四条药师未按照规定调剂麻醉药品、精神药品处方的</w:t>
      </w:r>
    </w:p>
    <w:p>
      <w:pPr>
        <w:ind w:left="649"/>
        <w:spacing w:before="6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right="285" w:firstLine="649"/>
        <w:spacing w:before="119" w:line="257" w:lineRule="auto"/>
        <w:rPr>
          <w:rFonts w:ascii="FangSong" w:hAnsi="FangSong" w:eastAsia="FangSong" w:cs="FangSong"/>
          <w:sz w:val="30"/>
          <w:szCs w:val="30"/>
        </w:rPr>
      </w:pPr>
      <w:r>
        <w:rPr>
          <w:rFonts w:ascii="FangSong" w:hAnsi="FangSong" w:eastAsia="FangSong" w:cs="FangSong"/>
          <w:sz w:val="30"/>
          <w:szCs w:val="30"/>
          <w:spacing w:val="17"/>
        </w:rPr>
        <w:t>1.</w:t>
      </w:r>
      <w:r>
        <w:rPr>
          <w:rFonts w:ascii="FangSong" w:hAnsi="FangSong" w:eastAsia="FangSong" w:cs="FangSong"/>
          <w:sz w:val="30"/>
          <w:szCs w:val="30"/>
          <w:spacing w:val="17"/>
        </w:rPr>
        <w:t xml:space="preserve"> </w:t>
      </w:r>
      <w:r>
        <w:rPr>
          <w:rFonts w:ascii="FangSong" w:hAnsi="FangSong" w:eastAsia="FangSong" w:cs="FangSong"/>
          <w:sz w:val="30"/>
          <w:szCs w:val="30"/>
          <w:spacing w:val="17"/>
        </w:rPr>
        <w:t>《处方管理办法》第五十六条第(三)项</w:t>
      </w:r>
      <w:r>
        <w:rPr>
          <w:rFonts w:ascii="FangSong" w:hAnsi="FangSong" w:eastAsia="FangSong" w:cs="FangSong"/>
          <w:sz w:val="30"/>
          <w:szCs w:val="30"/>
          <w:spacing w:val="55"/>
        </w:rPr>
        <w:t xml:space="preserve">  </w:t>
      </w:r>
      <w:r>
        <w:rPr>
          <w:rFonts w:ascii="FangSong" w:hAnsi="FangSong" w:eastAsia="FangSong" w:cs="FangSong"/>
          <w:sz w:val="30"/>
          <w:szCs w:val="30"/>
          <w:spacing w:val="17"/>
        </w:rPr>
        <w:t>医师和药师出现下列情形之一的</w:t>
      </w:r>
      <w:r>
        <w:rPr>
          <w:rFonts w:ascii="FangSong" w:hAnsi="FangSong" w:eastAsia="FangSong" w:cs="FangSong"/>
          <w:sz w:val="30"/>
          <w:szCs w:val="30"/>
          <w:spacing w:val="16"/>
        </w:rPr>
        <w:t>，由县级以上卫生</w:t>
      </w:r>
      <w:r>
        <w:rPr>
          <w:rFonts w:ascii="FangSong" w:hAnsi="FangSong" w:eastAsia="FangSong" w:cs="FangSong"/>
          <w:sz w:val="30"/>
          <w:szCs w:val="30"/>
        </w:rPr>
        <w:t xml:space="preserve"> </w:t>
      </w:r>
      <w:r>
        <w:rPr>
          <w:rFonts w:ascii="FangSong" w:hAnsi="FangSong" w:eastAsia="FangSong" w:cs="FangSong"/>
          <w:sz w:val="30"/>
          <w:szCs w:val="30"/>
          <w:spacing w:val="18"/>
        </w:rPr>
        <w:t>行政部门按照《麻醉药品和精神药品管理条例</w:t>
      </w:r>
      <w:r>
        <w:rPr>
          <w:rFonts w:ascii="FangSong" w:hAnsi="FangSong" w:eastAsia="FangSong" w:cs="FangSong"/>
          <w:sz w:val="30"/>
          <w:szCs w:val="30"/>
          <w:spacing w:val="17"/>
        </w:rPr>
        <w:t>》第七十三条第三款的规定予以处罚：</w:t>
      </w:r>
    </w:p>
    <w:p>
      <w:pPr>
        <w:spacing w:line="257" w:lineRule="auto"/>
        <w:sectPr>
          <w:footerReference w:type="default" r:id="rId330"/>
          <w:pgSz w:w="16830" w:h="11900"/>
          <w:pgMar w:top="1011" w:right="1170" w:bottom="1124" w:left="1439" w:header="0" w:footer="782" w:gutter="0"/>
        </w:sectPr>
        <w:rPr>
          <w:rFonts w:ascii="FangSong" w:hAnsi="FangSong" w:eastAsia="FangSong" w:cs="FangSong"/>
          <w:sz w:val="30"/>
          <w:szCs w:val="30"/>
        </w:rPr>
      </w:pPr>
    </w:p>
    <w:p>
      <w:pPr>
        <w:pStyle w:val="BodyText"/>
        <w:spacing w:line="268" w:lineRule="auto"/>
        <w:rPr/>
      </w:pPr>
      <w:r/>
    </w:p>
    <w:p>
      <w:pPr>
        <w:pStyle w:val="BodyText"/>
        <w:spacing w:line="268" w:lineRule="auto"/>
        <w:rPr/>
      </w:pPr>
      <w:r/>
    </w:p>
    <w:p>
      <w:pPr>
        <w:pStyle w:val="BodyText"/>
        <w:spacing w:line="268" w:lineRule="auto"/>
        <w:rPr/>
      </w:pPr>
      <w:r/>
    </w:p>
    <w:p>
      <w:pPr>
        <w:ind w:left="749"/>
        <w:spacing w:before="97" w:line="222" w:lineRule="auto"/>
        <w:rPr>
          <w:rFonts w:ascii="FangSong" w:hAnsi="FangSong" w:eastAsia="FangSong" w:cs="FangSong"/>
          <w:sz w:val="30"/>
          <w:szCs w:val="30"/>
        </w:rPr>
      </w:pPr>
      <w:bookmarkStart w:name="bookmark983" w:id="352"/>
      <w:bookmarkEnd w:id="352"/>
      <w:r>
        <w:rPr>
          <w:rFonts w:ascii="FangSong" w:hAnsi="FangSong" w:eastAsia="FangSong" w:cs="FangSong"/>
          <w:sz w:val="30"/>
          <w:szCs w:val="30"/>
          <w:spacing w:val="23"/>
        </w:rPr>
        <w:t>(三)药师未按照规定调剂麻醉药品、精神药品处方的。</w:t>
      </w:r>
    </w:p>
    <w:p>
      <w:pPr>
        <w:ind w:firstLine="620"/>
        <w:spacing w:before="78" w:line="262" w:lineRule="auto"/>
        <w:rPr>
          <w:rFonts w:ascii="FangSong" w:hAnsi="FangSong" w:eastAsia="FangSong" w:cs="FangSong"/>
          <w:sz w:val="30"/>
          <w:szCs w:val="30"/>
        </w:rPr>
      </w:pPr>
      <w:r>
        <w:rPr>
          <w:rFonts w:ascii="FangSong" w:hAnsi="FangSong" w:eastAsia="FangSong" w:cs="FangSong"/>
          <w:sz w:val="30"/>
          <w:szCs w:val="30"/>
          <w:spacing w:val="13"/>
        </w:rPr>
        <w:t>2.</w:t>
      </w:r>
      <w:r>
        <w:rPr>
          <w:rFonts w:ascii="FangSong" w:hAnsi="FangSong" w:eastAsia="FangSong" w:cs="FangSong"/>
          <w:sz w:val="30"/>
          <w:szCs w:val="30"/>
          <w:spacing w:val="13"/>
        </w:rPr>
        <w:t xml:space="preserve"> </w:t>
      </w:r>
      <w:r>
        <w:rPr>
          <w:rFonts w:ascii="FangSong" w:hAnsi="FangSong" w:eastAsia="FangSong" w:cs="FangSong"/>
          <w:sz w:val="30"/>
          <w:szCs w:val="30"/>
          <w:spacing w:val="13"/>
        </w:rPr>
        <w:t>《麻醉药品和精神药品管理条例》第七十</w:t>
      </w:r>
      <w:r>
        <w:rPr>
          <w:rFonts w:ascii="FangSong" w:hAnsi="FangSong" w:eastAsia="FangSong" w:cs="FangSong"/>
          <w:sz w:val="30"/>
          <w:szCs w:val="30"/>
          <w:spacing w:val="12"/>
        </w:rPr>
        <w:t>三条第三款</w:t>
      </w:r>
      <w:r>
        <w:rPr>
          <w:rFonts w:ascii="FangSong" w:hAnsi="FangSong" w:eastAsia="FangSong" w:cs="FangSong"/>
          <w:sz w:val="30"/>
          <w:szCs w:val="30"/>
          <w:spacing w:val="12"/>
        </w:rPr>
        <w:t xml:space="preserve">  </w:t>
      </w:r>
      <w:r>
        <w:rPr>
          <w:rFonts w:ascii="FangSong" w:hAnsi="FangSong" w:eastAsia="FangSong" w:cs="FangSong"/>
          <w:sz w:val="30"/>
          <w:szCs w:val="30"/>
          <w:spacing w:val="12"/>
        </w:rPr>
        <w:t>处方的调配人、核对人违反本条例的规</w:t>
      </w:r>
      <w:r>
        <w:rPr>
          <w:rFonts w:ascii="FangSong" w:hAnsi="FangSong" w:eastAsia="FangSong" w:cs="FangSong"/>
          <w:sz w:val="30"/>
          <w:szCs w:val="30"/>
        </w:rPr>
        <w:t xml:space="preserve"> </w:t>
      </w:r>
      <w:r>
        <w:rPr>
          <w:rFonts w:ascii="FangSong" w:hAnsi="FangSong" w:eastAsia="FangSong" w:cs="FangSong"/>
          <w:sz w:val="30"/>
          <w:szCs w:val="30"/>
          <w:spacing w:val="18"/>
        </w:rPr>
        <w:t>定未对麻醉药品和第一类精神药品处方进行核对，造成严重后果的，由原发证部门吊销其执业证书。</w:t>
      </w:r>
    </w:p>
    <w:p>
      <w:pPr>
        <w:ind w:left="6394"/>
        <w:spacing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690" w:type="dxa"/>
        <w:tblInd w:w="9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8154"/>
        <w:gridCol w:w="4102"/>
      </w:tblGrid>
      <w:tr>
        <w:trPr>
          <w:trHeight w:val="440" w:hRule="atLeast"/>
        </w:trPr>
        <w:tc>
          <w:tcPr>
            <w:tcW w:w="1434" w:type="dxa"/>
            <w:vAlign w:val="top"/>
          </w:tcPr>
          <w:p>
            <w:pPr>
              <w:pStyle w:val="TableText"/>
              <w:ind w:left="208"/>
              <w:spacing w:before="102" w:line="220" w:lineRule="auto"/>
              <w:rPr>
                <w:sz w:val="25"/>
                <w:szCs w:val="25"/>
              </w:rPr>
            </w:pPr>
            <w:r>
              <w:rPr>
                <w:sz w:val="25"/>
                <w:szCs w:val="25"/>
                <w:b/>
                <w:bCs/>
                <w:spacing w:val="-5"/>
              </w:rPr>
              <w:t>违法程度</w:t>
            </w:r>
          </w:p>
        </w:tc>
        <w:tc>
          <w:tcPr>
            <w:tcW w:w="8154" w:type="dxa"/>
            <w:vAlign w:val="top"/>
          </w:tcPr>
          <w:p>
            <w:pPr>
              <w:pStyle w:val="TableText"/>
              <w:ind w:left="3504"/>
              <w:spacing w:before="102" w:line="220" w:lineRule="auto"/>
              <w:rPr>
                <w:sz w:val="25"/>
                <w:szCs w:val="25"/>
              </w:rPr>
            </w:pPr>
            <w:r>
              <w:rPr>
                <w:sz w:val="25"/>
                <w:szCs w:val="25"/>
                <w:b/>
                <w:bCs/>
                <w:spacing w:val="-5"/>
              </w:rPr>
              <w:t>违法后果</w:t>
            </w:r>
          </w:p>
        </w:tc>
        <w:tc>
          <w:tcPr>
            <w:tcW w:w="4102" w:type="dxa"/>
            <w:vAlign w:val="top"/>
          </w:tcPr>
          <w:p>
            <w:pPr>
              <w:pStyle w:val="TableText"/>
              <w:ind w:left="1500"/>
              <w:spacing w:before="99" w:line="218" w:lineRule="auto"/>
              <w:rPr>
                <w:sz w:val="25"/>
                <w:szCs w:val="25"/>
              </w:rPr>
            </w:pPr>
            <w:r>
              <w:rPr>
                <w:sz w:val="25"/>
                <w:szCs w:val="25"/>
                <w:b/>
                <w:bCs/>
                <w:spacing w:val="-5"/>
              </w:rPr>
              <w:t>裁量幅度</w:t>
            </w:r>
          </w:p>
        </w:tc>
      </w:tr>
      <w:tr>
        <w:trPr>
          <w:trHeight w:val="599" w:hRule="atLeast"/>
        </w:trPr>
        <w:tc>
          <w:tcPr>
            <w:tcW w:w="1434" w:type="dxa"/>
            <w:vAlign w:val="top"/>
          </w:tcPr>
          <w:p>
            <w:pPr>
              <w:pStyle w:val="TableText"/>
              <w:ind w:left="458"/>
              <w:spacing w:before="232" w:line="220" w:lineRule="auto"/>
              <w:rPr>
                <w:sz w:val="25"/>
                <w:szCs w:val="25"/>
              </w:rPr>
            </w:pPr>
            <w:r>
              <w:rPr>
                <w:sz w:val="25"/>
                <w:szCs w:val="25"/>
                <w:b/>
                <w:bCs/>
                <w:spacing w:val="-6"/>
              </w:rPr>
              <w:t>严重</w:t>
            </w:r>
          </w:p>
        </w:tc>
        <w:tc>
          <w:tcPr>
            <w:tcW w:w="8154" w:type="dxa"/>
            <w:vAlign w:val="top"/>
          </w:tcPr>
          <w:p>
            <w:pPr>
              <w:pStyle w:val="TableText"/>
              <w:ind w:left="114"/>
              <w:spacing w:before="180" w:line="219" w:lineRule="auto"/>
              <w:rPr>
                <w:sz w:val="25"/>
                <w:szCs w:val="25"/>
              </w:rPr>
            </w:pPr>
            <w:r>
              <w:rPr>
                <w:sz w:val="25"/>
                <w:szCs w:val="25"/>
                <w:b/>
                <w:bCs/>
                <w:spacing w:val="-2"/>
              </w:rPr>
              <w:t>药师未按照规定调剂麻醉药品、精神药品处方，</w:t>
            </w:r>
            <w:r>
              <w:rPr>
                <w:sz w:val="25"/>
                <w:szCs w:val="25"/>
                <w:b/>
                <w:bCs/>
                <w:spacing w:val="-3"/>
              </w:rPr>
              <w:t>造成严重后果的</w:t>
            </w:r>
          </w:p>
        </w:tc>
        <w:tc>
          <w:tcPr>
            <w:tcW w:w="4102" w:type="dxa"/>
            <w:vAlign w:val="top"/>
          </w:tcPr>
          <w:p>
            <w:pPr>
              <w:pStyle w:val="TableText"/>
              <w:ind w:left="120"/>
              <w:spacing w:before="230" w:line="219" w:lineRule="auto"/>
              <w:rPr>
                <w:sz w:val="25"/>
                <w:szCs w:val="25"/>
              </w:rPr>
            </w:pPr>
            <w:r>
              <w:rPr>
                <w:sz w:val="25"/>
                <w:szCs w:val="25"/>
                <w:b/>
                <w:bCs/>
                <w:spacing w:val="-2"/>
              </w:rPr>
              <w:t>吊销执业证书</w:t>
            </w:r>
          </w:p>
        </w:tc>
      </w:tr>
    </w:tbl>
    <w:p>
      <w:pPr>
        <w:pStyle w:val="BodyText"/>
        <w:spacing w:line="456" w:lineRule="auto"/>
        <w:rPr/>
      </w:pPr>
      <w:r/>
    </w:p>
    <w:p>
      <w:pPr>
        <w:ind w:left="624"/>
        <w:spacing w:before="98" w:line="220" w:lineRule="auto"/>
        <w:rPr>
          <w:rFonts w:ascii="FangSong" w:hAnsi="FangSong" w:eastAsia="FangSong" w:cs="FangSong"/>
          <w:sz w:val="30"/>
          <w:szCs w:val="30"/>
        </w:rPr>
      </w:pPr>
      <w:r>
        <w:rPr>
          <w:rFonts w:ascii="FangSong" w:hAnsi="FangSong" w:eastAsia="FangSong" w:cs="FangSong"/>
          <w:sz w:val="30"/>
          <w:szCs w:val="30"/>
          <w:b/>
          <w:bCs/>
          <w:spacing w:val="25"/>
        </w:rPr>
        <w:t>第二百七十五条药师未按照规定调剂处方药品</w:t>
      </w:r>
    </w:p>
    <w:p>
      <w:pPr>
        <w:ind w:left="620"/>
        <w:spacing w:before="9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right="90" w:firstLine="610"/>
        <w:spacing w:before="85" w:line="262" w:lineRule="auto"/>
        <w:rPr>
          <w:rFonts w:ascii="FangSong" w:hAnsi="FangSong" w:eastAsia="FangSong" w:cs="FangSong"/>
          <w:sz w:val="30"/>
          <w:szCs w:val="30"/>
        </w:rPr>
      </w:pPr>
      <w:r>
        <w:rPr>
          <w:rFonts w:ascii="FangSong" w:hAnsi="FangSong" w:eastAsia="FangSong" w:cs="FangSong"/>
          <w:sz w:val="30"/>
          <w:szCs w:val="30"/>
          <w:spacing w:val="24"/>
        </w:rPr>
        <w:t>《处方管理办法》第五十八条药师未按照规定调剂处方药品，情节严重的，由县级以上卫生行</w:t>
      </w:r>
      <w:r>
        <w:rPr>
          <w:rFonts w:ascii="FangSong" w:hAnsi="FangSong" w:eastAsia="FangSong" w:cs="FangSong"/>
          <w:sz w:val="30"/>
          <w:szCs w:val="30"/>
          <w:spacing w:val="14"/>
        </w:rPr>
        <w:t xml:space="preserve"> </w:t>
      </w:r>
      <w:r>
        <w:rPr>
          <w:rFonts w:ascii="FangSong" w:hAnsi="FangSong" w:eastAsia="FangSong" w:cs="FangSong"/>
          <w:sz w:val="30"/>
          <w:szCs w:val="30"/>
          <w:spacing w:val="18"/>
        </w:rPr>
        <w:t>政部门责令改正、通报批评，给予警告；并由所在医疗机构或者其上级单位给予纪律处</w:t>
      </w:r>
      <w:r>
        <w:rPr>
          <w:rFonts w:ascii="FangSong" w:hAnsi="FangSong" w:eastAsia="FangSong" w:cs="FangSong"/>
          <w:sz w:val="30"/>
          <w:szCs w:val="30"/>
          <w:spacing w:val="17"/>
        </w:rPr>
        <w:t>分。</w:t>
      </w:r>
    </w:p>
    <w:p>
      <w:pPr>
        <w:ind w:left="6394"/>
        <w:spacing w:before="1"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689" w:type="dxa"/>
        <w:tblInd w:w="1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3"/>
        <w:gridCol w:w="8144"/>
        <w:gridCol w:w="4112"/>
      </w:tblGrid>
      <w:tr>
        <w:trPr>
          <w:trHeight w:val="461" w:hRule="atLeast"/>
        </w:trPr>
        <w:tc>
          <w:tcPr>
            <w:tcW w:w="1433" w:type="dxa"/>
            <w:vAlign w:val="top"/>
          </w:tcPr>
          <w:p>
            <w:pPr>
              <w:pStyle w:val="TableText"/>
              <w:ind w:left="208"/>
              <w:spacing w:before="112" w:line="220" w:lineRule="auto"/>
              <w:rPr>
                <w:sz w:val="25"/>
                <w:szCs w:val="25"/>
              </w:rPr>
            </w:pPr>
            <w:r>
              <w:rPr>
                <w:sz w:val="25"/>
                <w:szCs w:val="25"/>
                <w:b/>
                <w:bCs/>
                <w:spacing w:val="-5"/>
              </w:rPr>
              <w:t>违法程度</w:t>
            </w:r>
          </w:p>
        </w:tc>
        <w:tc>
          <w:tcPr>
            <w:tcW w:w="8144" w:type="dxa"/>
            <w:vAlign w:val="top"/>
          </w:tcPr>
          <w:p>
            <w:pPr>
              <w:pStyle w:val="TableText"/>
              <w:ind w:left="3495"/>
              <w:spacing w:before="112" w:line="220" w:lineRule="auto"/>
              <w:rPr>
                <w:sz w:val="25"/>
                <w:szCs w:val="25"/>
              </w:rPr>
            </w:pPr>
            <w:r>
              <w:rPr>
                <w:sz w:val="25"/>
                <w:szCs w:val="25"/>
                <w:b/>
                <w:bCs/>
                <w:spacing w:val="-5"/>
              </w:rPr>
              <w:t>违法后果</w:t>
            </w:r>
          </w:p>
        </w:tc>
        <w:tc>
          <w:tcPr>
            <w:tcW w:w="4112" w:type="dxa"/>
            <w:vAlign w:val="top"/>
          </w:tcPr>
          <w:p>
            <w:pPr>
              <w:pStyle w:val="TableText"/>
              <w:ind w:left="1511"/>
              <w:spacing w:before="109" w:line="218" w:lineRule="auto"/>
              <w:rPr>
                <w:sz w:val="25"/>
                <w:szCs w:val="25"/>
              </w:rPr>
            </w:pPr>
            <w:r>
              <w:rPr>
                <w:sz w:val="25"/>
                <w:szCs w:val="25"/>
                <w:b/>
                <w:bCs/>
                <w:spacing w:val="-5"/>
              </w:rPr>
              <w:t>裁量幅度</w:t>
            </w:r>
          </w:p>
        </w:tc>
      </w:tr>
      <w:tr>
        <w:trPr>
          <w:trHeight w:val="619" w:hRule="atLeast"/>
        </w:trPr>
        <w:tc>
          <w:tcPr>
            <w:tcW w:w="1433" w:type="dxa"/>
            <w:vAlign w:val="top"/>
          </w:tcPr>
          <w:p>
            <w:pPr>
              <w:pStyle w:val="TableText"/>
              <w:ind w:left="458"/>
              <w:spacing w:before="191" w:line="220" w:lineRule="auto"/>
              <w:rPr>
                <w:sz w:val="25"/>
                <w:szCs w:val="25"/>
              </w:rPr>
            </w:pPr>
            <w:r>
              <w:rPr>
                <w:sz w:val="25"/>
                <w:szCs w:val="25"/>
                <w:b/>
                <w:bCs/>
                <w:color w:val="405060"/>
                <w:spacing w:val="-6"/>
              </w:rPr>
              <w:t>严重</w:t>
            </w:r>
          </w:p>
        </w:tc>
        <w:tc>
          <w:tcPr>
            <w:tcW w:w="8144" w:type="dxa"/>
            <w:vAlign w:val="top"/>
          </w:tcPr>
          <w:p>
            <w:pPr>
              <w:pStyle w:val="TableText"/>
              <w:ind w:left="125"/>
              <w:spacing w:before="189" w:line="219" w:lineRule="auto"/>
              <w:rPr>
                <w:sz w:val="25"/>
                <w:szCs w:val="25"/>
              </w:rPr>
            </w:pPr>
            <w:r>
              <w:rPr>
                <w:sz w:val="25"/>
                <w:szCs w:val="25"/>
                <w:b/>
                <w:bCs/>
                <w:spacing w:val="-2"/>
              </w:rPr>
              <w:t>药师未按照规定调剂处方药品，情节严重的</w:t>
            </w:r>
          </w:p>
        </w:tc>
        <w:tc>
          <w:tcPr>
            <w:tcW w:w="4112" w:type="dxa"/>
            <w:vAlign w:val="top"/>
          </w:tcPr>
          <w:p>
            <w:pPr>
              <w:pStyle w:val="TableText"/>
              <w:ind w:left="121"/>
              <w:spacing w:before="188" w:line="218" w:lineRule="auto"/>
              <w:rPr>
                <w:sz w:val="25"/>
                <w:szCs w:val="25"/>
              </w:rPr>
            </w:pPr>
            <w:r>
              <w:rPr>
                <w:sz w:val="25"/>
                <w:szCs w:val="25"/>
                <w:b/>
                <w:bCs/>
                <w:spacing w:val="-2"/>
              </w:rPr>
              <w:t>通报批评，给予警告</w:t>
            </w:r>
          </w:p>
        </w:tc>
      </w:tr>
    </w:tbl>
    <w:p>
      <w:pPr>
        <w:pStyle w:val="BodyText"/>
        <w:rPr/>
      </w:pPr>
      <w:r/>
    </w:p>
    <w:p>
      <w:pPr>
        <w:sectPr>
          <w:footerReference w:type="default" r:id="rId331"/>
          <w:pgSz w:w="16830" w:h="11900"/>
          <w:pgMar w:top="1011" w:right="1369" w:bottom="1107" w:left="1460" w:header="0" w:footer="774" w:gutter="0"/>
        </w:sectPr>
        <w:rPr/>
      </w:pPr>
    </w:p>
    <w:p>
      <w:pPr>
        <w:pStyle w:val="BodyText"/>
        <w:spacing w:line="254" w:lineRule="auto"/>
        <w:rPr/>
      </w:pPr>
      <w:r/>
    </w:p>
    <w:p>
      <w:pPr>
        <w:pStyle w:val="BodyText"/>
        <w:spacing w:line="254" w:lineRule="auto"/>
        <w:rPr/>
      </w:pPr>
      <w:r/>
    </w:p>
    <w:p>
      <w:pPr>
        <w:pStyle w:val="BodyText"/>
        <w:spacing w:line="255" w:lineRule="auto"/>
        <w:rPr/>
      </w:pPr>
      <w:r/>
    </w:p>
    <w:p>
      <w:pPr>
        <w:ind w:left="839"/>
        <w:spacing w:before="101" w:line="223" w:lineRule="auto"/>
        <w:rPr>
          <w:rFonts w:ascii="KaiTi" w:hAnsi="KaiTi" w:eastAsia="KaiTi" w:cs="KaiTi"/>
          <w:sz w:val="31"/>
          <w:szCs w:val="31"/>
        </w:rPr>
      </w:pPr>
      <w:bookmarkStart w:name="bookmark984" w:id="353"/>
      <w:bookmarkEnd w:id="353"/>
      <w:r>
        <w:rPr>
          <w:rFonts w:ascii="KaiTi" w:hAnsi="KaiTi" w:eastAsia="KaiTi" w:cs="KaiTi"/>
          <w:sz w:val="31"/>
          <w:szCs w:val="31"/>
          <w:b/>
          <w:bCs/>
          <w:spacing w:val="16"/>
        </w:rPr>
        <w:t>(二十一)《抗菌药物临床应用管理办法》</w:t>
      </w:r>
    </w:p>
    <w:p>
      <w:pPr>
        <w:ind w:left="49" w:right="88" w:firstLine="639"/>
        <w:spacing w:before="316" w:line="256" w:lineRule="auto"/>
        <w:rPr>
          <w:rFonts w:ascii="FangSong" w:hAnsi="FangSong" w:eastAsia="FangSong" w:cs="FangSong"/>
          <w:sz w:val="31"/>
          <w:szCs w:val="31"/>
        </w:rPr>
      </w:pPr>
      <w:r>
        <w:rPr>
          <w:rFonts w:ascii="FangSong" w:hAnsi="FangSong" w:eastAsia="FangSong" w:cs="FangSong"/>
          <w:sz w:val="31"/>
          <w:szCs w:val="31"/>
          <w:b/>
          <w:bCs/>
          <w:spacing w:val="18"/>
        </w:rPr>
        <w:t>第二百七十六条医疗机构未建立抗菌药物管理组织机构或者未指定专(兼)职技术人员负责具</w:t>
      </w:r>
      <w:r>
        <w:rPr>
          <w:rFonts w:ascii="FangSong" w:hAnsi="FangSong" w:eastAsia="FangSong" w:cs="FangSong"/>
          <w:sz w:val="31"/>
          <w:szCs w:val="31"/>
        </w:rPr>
        <w:t xml:space="preserve"> </w:t>
      </w:r>
      <w:r>
        <w:rPr>
          <w:rFonts w:ascii="FangSong" w:hAnsi="FangSong" w:eastAsia="FangSong" w:cs="FangSong"/>
          <w:sz w:val="31"/>
          <w:szCs w:val="31"/>
          <w:b/>
          <w:bCs/>
          <w:spacing w:val="6"/>
        </w:rPr>
        <w:t>体管理工作的</w:t>
      </w:r>
    </w:p>
    <w:p>
      <w:pPr>
        <w:ind w:left="684"/>
        <w:spacing w:before="57"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45" w:right="48" w:firstLine="635"/>
        <w:spacing w:before="82" w:line="263" w:lineRule="auto"/>
        <w:jc w:val="both"/>
        <w:rPr>
          <w:rFonts w:ascii="FangSong" w:hAnsi="FangSong" w:eastAsia="FangSong" w:cs="FangSong"/>
          <w:sz w:val="31"/>
          <w:szCs w:val="31"/>
        </w:rPr>
      </w:pPr>
      <w:r>
        <w:rPr>
          <w:rFonts w:ascii="FangSong" w:hAnsi="FangSong" w:eastAsia="FangSong" w:cs="FangSong"/>
          <w:sz w:val="31"/>
          <w:szCs w:val="31"/>
          <w:spacing w:val="14"/>
        </w:rPr>
        <w:t>《抗菌药物临床应用管理办法》第四十九条第(一)项</w:t>
      </w:r>
      <w:r>
        <w:rPr>
          <w:rFonts w:ascii="FangSong" w:hAnsi="FangSong" w:eastAsia="FangSong" w:cs="FangSong"/>
          <w:sz w:val="31"/>
          <w:szCs w:val="31"/>
          <w:spacing w:val="14"/>
        </w:rPr>
        <w:t xml:space="preserve">  </w:t>
      </w:r>
      <w:r>
        <w:rPr>
          <w:rFonts w:ascii="FangSong" w:hAnsi="FangSong" w:eastAsia="FangSong" w:cs="FangSong"/>
          <w:sz w:val="31"/>
          <w:szCs w:val="31"/>
          <w:spacing w:val="14"/>
        </w:rPr>
        <w:t>医疗机构有下列情形之一的，由县级以</w:t>
      </w:r>
      <w:r>
        <w:rPr>
          <w:rFonts w:ascii="FangSong" w:hAnsi="FangSong" w:eastAsia="FangSong" w:cs="FangSong"/>
          <w:sz w:val="31"/>
          <w:szCs w:val="31"/>
          <w:spacing w:val="8"/>
        </w:rPr>
        <w:t xml:space="preserve"> </w:t>
      </w:r>
      <w:r>
        <w:rPr>
          <w:rFonts w:ascii="FangSong" w:hAnsi="FangSong" w:eastAsia="FangSong" w:cs="FangSong"/>
          <w:sz w:val="31"/>
          <w:szCs w:val="31"/>
          <w:spacing w:val="7"/>
        </w:rPr>
        <w:t>上卫生行政部门责令限期改正；逾期不改的，进行通报批评，并给予警告；造成严重后果的，对负有</w:t>
      </w:r>
      <w:r>
        <w:rPr>
          <w:rFonts w:ascii="FangSong" w:hAnsi="FangSong" w:eastAsia="FangSong" w:cs="FangSong"/>
          <w:sz w:val="31"/>
          <w:szCs w:val="31"/>
          <w:spacing w:val="2"/>
        </w:rPr>
        <w:t xml:space="preserve"> </w:t>
      </w:r>
      <w:r>
        <w:rPr>
          <w:rFonts w:ascii="FangSong" w:hAnsi="FangSong" w:eastAsia="FangSong" w:cs="FangSong"/>
          <w:sz w:val="31"/>
          <w:szCs w:val="31"/>
          <w:spacing w:val="5"/>
        </w:rPr>
        <w:t>责任的主管人员和其他直接责任人员，给予处分：</w:t>
      </w:r>
    </w:p>
    <w:p>
      <w:pPr>
        <w:ind w:left="835"/>
        <w:spacing w:before="15" w:line="220" w:lineRule="auto"/>
        <w:rPr>
          <w:rFonts w:ascii="FangSong" w:hAnsi="FangSong" w:eastAsia="FangSong" w:cs="FangSong"/>
          <w:sz w:val="31"/>
          <w:szCs w:val="31"/>
        </w:rPr>
      </w:pPr>
      <w:r>
        <w:rPr>
          <w:rFonts w:ascii="FangSong" w:hAnsi="FangSong" w:eastAsia="FangSong" w:cs="FangSong"/>
          <w:sz w:val="31"/>
          <w:szCs w:val="31"/>
          <w:spacing w:val="20"/>
        </w:rPr>
        <w:t>(一)未建立抗菌药物管理组织机构或者未指定专(兼)职技术人员负责具</w:t>
      </w:r>
      <w:r>
        <w:rPr>
          <w:rFonts w:ascii="FangSong" w:hAnsi="FangSong" w:eastAsia="FangSong" w:cs="FangSong"/>
          <w:sz w:val="31"/>
          <w:szCs w:val="31"/>
          <w:spacing w:val="19"/>
        </w:rPr>
        <w:t>体管理工作的；</w:t>
      </w:r>
    </w:p>
    <w:p>
      <w:pPr>
        <w:ind w:left="6478"/>
        <w:spacing w:before="72" w:line="209"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40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84"/>
        <w:gridCol w:w="8374"/>
        <w:gridCol w:w="4282"/>
      </w:tblGrid>
      <w:tr>
        <w:trPr>
          <w:trHeight w:val="442" w:hRule="atLeast"/>
        </w:trPr>
        <w:tc>
          <w:tcPr>
            <w:tcW w:w="1384" w:type="dxa"/>
            <w:vAlign w:val="top"/>
          </w:tcPr>
          <w:p>
            <w:pPr>
              <w:pStyle w:val="TableText"/>
              <w:ind w:left="188"/>
              <w:spacing w:before="102" w:line="220" w:lineRule="auto"/>
              <w:rPr>
                <w:sz w:val="25"/>
                <w:szCs w:val="25"/>
              </w:rPr>
            </w:pPr>
            <w:r>
              <w:rPr>
                <w:sz w:val="25"/>
                <w:szCs w:val="25"/>
                <w:b/>
                <w:bCs/>
                <w:spacing w:val="-5"/>
              </w:rPr>
              <w:t>违法程度</w:t>
            </w:r>
          </w:p>
        </w:tc>
        <w:tc>
          <w:tcPr>
            <w:tcW w:w="8374" w:type="dxa"/>
            <w:vAlign w:val="top"/>
          </w:tcPr>
          <w:p>
            <w:pPr>
              <w:pStyle w:val="TableText"/>
              <w:ind w:left="3684"/>
              <w:spacing w:before="102" w:line="220" w:lineRule="auto"/>
              <w:rPr>
                <w:sz w:val="25"/>
                <w:szCs w:val="25"/>
              </w:rPr>
            </w:pPr>
            <w:r>
              <w:rPr>
                <w:sz w:val="25"/>
                <w:szCs w:val="25"/>
                <w:b/>
                <w:bCs/>
                <w:spacing w:val="-5"/>
              </w:rPr>
              <w:t>违法后果</w:t>
            </w:r>
          </w:p>
        </w:tc>
        <w:tc>
          <w:tcPr>
            <w:tcW w:w="4282" w:type="dxa"/>
            <w:vAlign w:val="top"/>
          </w:tcPr>
          <w:p>
            <w:pPr>
              <w:pStyle w:val="TableText"/>
              <w:ind w:left="1580"/>
              <w:spacing w:before="99" w:line="218" w:lineRule="auto"/>
              <w:rPr>
                <w:sz w:val="25"/>
                <w:szCs w:val="25"/>
              </w:rPr>
            </w:pPr>
            <w:r>
              <w:rPr>
                <w:sz w:val="25"/>
                <w:szCs w:val="25"/>
                <w:b/>
                <w:bCs/>
                <w:spacing w:val="-5"/>
              </w:rPr>
              <w:t>裁量幅度</w:t>
            </w:r>
          </w:p>
        </w:tc>
      </w:tr>
      <w:tr>
        <w:trPr>
          <w:trHeight w:val="888" w:hRule="atLeast"/>
        </w:trPr>
        <w:tc>
          <w:tcPr>
            <w:tcW w:w="1384" w:type="dxa"/>
            <w:vAlign w:val="top"/>
          </w:tcPr>
          <w:p>
            <w:pPr>
              <w:spacing w:line="308" w:lineRule="auto"/>
              <w:rPr>
                <w:rFonts w:ascii="Arial"/>
                <w:sz w:val="21"/>
              </w:rPr>
            </w:pPr>
            <w:r/>
          </w:p>
          <w:p>
            <w:pPr>
              <w:pStyle w:val="TableText"/>
              <w:ind w:left="438"/>
              <w:spacing w:before="81" w:line="221" w:lineRule="auto"/>
              <w:rPr>
                <w:sz w:val="25"/>
                <w:szCs w:val="25"/>
              </w:rPr>
            </w:pPr>
            <w:r>
              <w:rPr>
                <w:sz w:val="25"/>
                <w:szCs w:val="25"/>
                <w:b/>
                <w:bCs/>
                <w:spacing w:val="-10"/>
              </w:rPr>
              <w:t>一般</w:t>
            </w:r>
          </w:p>
        </w:tc>
        <w:tc>
          <w:tcPr>
            <w:tcW w:w="8374" w:type="dxa"/>
            <w:vAlign w:val="top"/>
          </w:tcPr>
          <w:p>
            <w:pPr>
              <w:pStyle w:val="TableText"/>
              <w:ind w:left="114" w:right="52" w:hanging="60"/>
              <w:spacing w:before="157" w:line="266" w:lineRule="auto"/>
              <w:rPr>
                <w:sz w:val="25"/>
                <w:szCs w:val="25"/>
              </w:rPr>
            </w:pPr>
            <w:r>
              <w:rPr>
                <w:sz w:val="25"/>
                <w:szCs w:val="25"/>
                <w:b/>
                <w:bCs/>
                <w:spacing w:val="-3"/>
              </w:rPr>
              <w:t>医疗机构未建立抗菌药物管理组织机构或者未指定专(兼)职技术人员负责具</w:t>
            </w:r>
            <w:r>
              <w:rPr>
                <w:sz w:val="25"/>
                <w:szCs w:val="25"/>
                <w:spacing w:val="18"/>
              </w:rPr>
              <w:t xml:space="preserve"> </w:t>
            </w:r>
            <w:r>
              <w:rPr>
                <w:sz w:val="25"/>
                <w:szCs w:val="25"/>
                <w:b/>
                <w:bCs/>
                <w:spacing w:val="-2"/>
              </w:rPr>
              <w:t>体管理工作，经责令限期改正，逾期不改的</w:t>
            </w:r>
          </w:p>
        </w:tc>
        <w:tc>
          <w:tcPr>
            <w:tcW w:w="4282" w:type="dxa"/>
            <w:vAlign w:val="top"/>
          </w:tcPr>
          <w:p>
            <w:pPr>
              <w:spacing w:line="294" w:lineRule="auto"/>
              <w:rPr>
                <w:rFonts w:ascii="Arial"/>
                <w:sz w:val="21"/>
              </w:rPr>
            </w:pPr>
            <w:r/>
          </w:p>
          <w:p>
            <w:pPr>
              <w:pStyle w:val="TableText"/>
              <w:ind w:left="130"/>
              <w:spacing w:before="81" w:line="218" w:lineRule="auto"/>
              <w:rPr>
                <w:sz w:val="25"/>
                <w:szCs w:val="25"/>
              </w:rPr>
            </w:pPr>
            <w:r>
              <w:rPr>
                <w:sz w:val="25"/>
                <w:szCs w:val="25"/>
                <w:b/>
                <w:bCs/>
                <w:spacing w:val="-2"/>
              </w:rPr>
              <w:t>通报批评，并给予警告</w:t>
            </w:r>
          </w:p>
        </w:tc>
      </w:tr>
    </w:tbl>
    <w:p>
      <w:pPr>
        <w:pStyle w:val="BodyText"/>
        <w:spacing w:line="424" w:lineRule="auto"/>
        <w:rPr/>
      </w:pPr>
      <w:r/>
    </w:p>
    <w:p>
      <w:pPr>
        <w:ind w:left="689"/>
        <w:spacing w:before="101" w:line="220" w:lineRule="auto"/>
        <w:rPr>
          <w:rFonts w:ascii="FangSong" w:hAnsi="FangSong" w:eastAsia="FangSong" w:cs="FangSong"/>
          <w:sz w:val="31"/>
          <w:szCs w:val="31"/>
        </w:rPr>
      </w:pPr>
      <w:r>
        <w:rPr>
          <w:rFonts w:ascii="FangSong" w:hAnsi="FangSong" w:eastAsia="FangSong" w:cs="FangSong"/>
          <w:sz w:val="31"/>
          <w:szCs w:val="31"/>
          <w:b/>
          <w:bCs/>
          <w:spacing w:val="13"/>
        </w:rPr>
        <w:t>第二百七十七条医疗机构未建立抗菌药物管</w:t>
      </w:r>
      <w:r>
        <w:rPr>
          <w:rFonts w:ascii="FangSong" w:hAnsi="FangSong" w:eastAsia="FangSong" w:cs="FangSong"/>
          <w:sz w:val="31"/>
          <w:szCs w:val="31"/>
          <w:b/>
          <w:bCs/>
          <w:spacing w:val="12"/>
        </w:rPr>
        <w:t>理规章制度的</w:t>
      </w:r>
    </w:p>
    <w:p>
      <w:pPr>
        <w:ind w:left="684"/>
        <w:spacing w:before="107"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ind w:left="45" w:right="48" w:firstLine="635"/>
        <w:spacing w:before="83" w:line="263" w:lineRule="auto"/>
        <w:jc w:val="both"/>
        <w:rPr>
          <w:rFonts w:ascii="FangSong" w:hAnsi="FangSong" w:eastAsia="FangSong" w:cs="FangSong"/>
          <w:sz w:val="31"/>
          <w:szCs w:val="31"/>
        </w:rPr>
      </w:pPr>
      <w:r>
        <w:rPr>
          <w:rFonts w:ascii="FangSong" w:hAnsi="FangSong" w:eastAsia="FangSong" w:cs="FangSong"/>
          <w:sz w:val="31"/>
          <w:szCs w:val="31"/>
          <w:spacing w:val="14"/>
        </w:rPr>
        <w:t>《抗菌药物临床应用管理办法》第四十九条第(二)项</w:t>
      </w:r>
      <w:r>
        <w:rPr>
          <w:rFonts w:ascii="FangSong" w:hAnsi="FangSong" w:eastAsia="FangSong" w:cs="FangSong"/>
          <w:sz w:val="31"/>
          <w:szCs w:val="31"/>
          <w:spacing w:val="14"/>
        </w:rPr>
        <w:t xml:space="preserve">  </w:t>
      </w:r>
      <w:r>
        <w:rPr>
          <w:rFonts w:ascii="FangSong" w:hAnsi="FangSong" w:eastAsia="FangSong" w:cs="FangSong"/>
          <w:sz w:val="31"/>
          <w:szCs w:val="31"/>
          <w:spacing w:val="14"/>
        </w:rPr>
        <w:t>医疗机构有下列情形之一的，由县级以</w:t>
      </w:r>
      <w:r>
        <w:rPr>
          <w:rFonts w:ascii="FangSong" w:hAnsi="FangSong" w:eastAsia="FangSong" w:cs="FangSong"/>
          <w:sz w:val="31"/>
          <w:szCs w:val="31"/>
          <w:spacing w:val="8"/>
        </w:rPr>
        <w:t xml:space="preserve"> </w:t>
      </w:r>
      <w:r>
        <w:rPr>
          <w:rFonts w:ascii="FangSong" w:hAnsi="FangSong" w:eastAsia="FangSong" w:cs="FangSong"/>
          <w:sz w:val="31"/>
          <w:szCs w:val="31"/>
          <w:u w:val="single" w:color="auto"/>
          <w:spacing w:val="7"/>
        </w:rPr>
        <w:t>上</w:t>
      </w:r>
      <w:r>
        <w:rPr>
          <w:rFonts w:ascii="FangSong" w:hAnsi="FangSong" w:eastAsia="FangSong" w:cs="FangSong"/>
          <w:sz w:val="31"/>
          <w:szCs w:val="31"/>
          <w:spacing w:val="7"/>
        </w:rPr>
        <w:t>卫生行政部门责令限期改正；逾期不改的，进行通报批评，并给予警告：造成严重后果的，对负有</w:t>
      </w:r>
      <w:r>
        <w:rPr>
          <w:rFonts w:ascii="FangSong" w:hAnsi="FangSong" w:eastAsia="FangSong" w:cs="FangSong"/>
          <w:sz w:val="31"/>
          <w:szCs w:val="31"/>
          <w:spacing w:val="2"/>
        </w:rPr>
        <w:t xml:space="preserve"> </w:t>
      </w:r>
      <w:r>
        <w:rPr>
          <w:rFonts w:ascii="FangSong" w:hAnsi="FangSong" w:eastAsia="FangSong" w:cs="FangSong"/>
          <w:sz w:val="31"/>
          <w:szCs w:val="31"/>
          <w:spacing w:val="5"/>
        </w:rPr>
        <w:t>责任的主管人员和其他直接责任人员，给予处分：</w:t>
      </w:r>
    </w:p>
    <w:p>
      <w:pPr>
        <w:spacing w:line="263" w:lineRule="auto"/>
        <w:sectPr>
          <w:footerReference w:type="default" r:id="rId332"/>
          <w:pgSz w:w="16830" w:h="11900"/>
          <w:pgMar w:top="1011" w:right="1394" w:bottom="1107" w:left="1384" w:header="0" w:footer="774" w:gutter="0"/>
        </w:sectPr>
        <w:rPr>
          <w:rFonts w:ascii="FangSong" w:hAnsi="FangSong" w:eastAsia="FangSong" w:cs="FangSong"/>
          <w:sz w:val="31"/>
          <w:szCs w:val="31"/>
        </w:rPr>
      </w:pPr>
    </w:p>
    <w:p>
      <w:pPr>
        <w:pStyle w:val="BodyText"/>
        <w:spacing w:line="267" w:lineRule="auto"/>
        <w:rPr/>
      </w:pPr>
      <w:r/>
    </w:p>
    <w:p>
      <w:pPr>
        <w:pStyle w:val="BodyText"/>
        <w:spacing w:line="268" w:lineRule="auto"/>
        <w:rPr/>
      </w:pPr>
      <w:r/>
    </w:p>
    <w:p>
      <w:pPr>
        <w:pStyle w:val="BodyText"/>
        <w:spacing w:line="268" w:lineRule="auto"/>
        <w:rPr/>
      </w:pPr>
      <w:r/>
    </w:p>
    <w:p>
      <w:pPr>
        <w:ind w:left="835"/>
        <w:spacing w:before="97" w:line="221" w:lineRule="auto"/>
        <w:rPr>
          <w:rFonts w:ascii="FangSong" w:hAnsi="FangSong" w:eastAsia="FangSong" w:cs="FangSong"/>
          <w:sz w:val="30"/>
          <w:szCs w:val="30"/>
        </w:rPr>
      </w:pPr>
      <w:r>
        <w:rPr>
          <w:rFonts w:ascii="FangSong" w:hAnsi="FangSong" w:eastAsia="FangSong" w:cs="FangSong"/>
          <w:sz w:val="30"/>
          <w:szCs w:val="30"/>
          <w:spacing w:val="25"/>
        </w:rPr>
        <w:t>(二)未建立抗菌药物管理规章制度的；</w:t>
      </w:r>
    </w:p>
    <w:p>
      <w:pPr>
        <w:ind w:left="6459"/>
        <w:spacing w:before="52" w:line="220" w:lineRule="auto"/>
        <w:rPr>
          <w:rFonts w:ascii="SimSun" w:hAnsi="SimSun" w:eastAsia="SimSun" w:cs="SimSun"/>
          <w:sz w:val="29"/>
          <w:szCs w:val="29"/>
        </w:rPr>
      </w:pPr>
      <w:bookmarkStart w:name="bookmark985" w:id="354"/>
      <w:bookmarkEnd w:id="354"/>
      <w:r>
        <w:rPr>
          <w:rFonts w:ascii="SimSun" w:hAnsi="SimSun" w:eastAsia="SimSun" w:cs="SimSun"/>
          <w:sz w:val="29"/>
          <w:szCs w:val="29"/>
          <w:b/>
          <w:bCs/>
          <w:spacing w:val="-6"/>
        </w:rPr>
        <w:t>裁量标准</w:t>
      </w:r>
    </w:p>
    <w:tbl>
      <w:tblPr>
        <w:tblStyle w:val="TableNormal"/>
        <w:tblW w:w="140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8354"/>
        <w:gridCol w:w="4252"/>
      </w:tblGrid>
      <w:tr>
        <w:trPr>
          <w:trHeight w:val="560" w:hRule="atLeast"/>
        </w:trPr>
        <w:tc>
          <w:tcPr>
            <w:tcW w:w="1414" w:type="dxa"/>
            <w:vAlign w:val="top"/>
          </w:tcPr>
          <w:p>
            <w:pPr>
              <w:pStyle w:val="TableText"/>
              <w:ind w:left="178"/>
              <w:spacing w:before="152" w:line="220" w:lineRule="auto"/>
              <w:rPr>
                <w:sz w:val="26"/>
                <w:szCs w:val="26"/>
              </w:rPr>
            </w:pPr>
            <w:r>
              <w:rPr>
                <w:sz w:val="26"/>
                <w:szCs w:val="26"/>
                <w:b/>
                <w:bCs/>
                <w:spacing w:val="-5"/>
              </w:rPr>
              <w:t>违法程度</w:t>
            </w:r>
          </w:p>
        </w:tc>
        <w:tc>
          <w:tcPr>
            <w:tcW w:w="8354" w:type="dxa"/>
            <w:vAlign w:val="top"/>
          </w:tcPr>
          <w:p>
            <w:pPr>
              <w:pStyle w:val="TableText"/>
              <w:ind w:left="3614"/>
              <w:spacing w:before="152" w:line="220" w:lineRule="auto"/>
              <w:rPr>
                <w:sz w:val="26"/>
                <w:szCs w:val="26"/>
              </w:rPr>
            </w:pPr>
            <w:r>
              <w:rPr>
                <w:sz w:val="26"/>
                <w:szCs w:val="26"/>
                <w:b/>
                <w:bCs/>
                <w:spacing w:val="-5"/>
              </w:rPr>
              <w:t>违法后果</w:t>
            </w:r>
          </w:p>
        </w:tc>
        <w:tc>
          <w:tcPr>
            <w:tcW w:w="4252" w:type="dxa"/>
            <w:vAlign w:val="top"/>
          </w:tcPr>
          <w:p>
            <w:pPr>
              <w:pStyle w:val="TableText"/>
              <w:ind w:left="1570"/>
              <w:spacing w:before="149" w:line="218" w:lineRule="auto"/>
              <w:rPr>
                <w:sz w:val="26"/>
                <w:szCs w:val="26"/>
              </w:rPr>
            </w:pPr>
            <w:r>
              <w:rPr>
                <w:sz w:val="26"/>
                <w:szCs w:val="26"/>
                <w:b/>
                <w:bCs/>
                <w:spacing w:val="-5"/>
              </w:rPr>
              <w:t>裁量幅度</w:t>
            </w:r>
          </w:p>
        </w:tc>
      </w:tr>
      <w:tr>
        <w:trPr>
          <w:trHeight w:val="550" w:hRule="atLeast"/>
        </w:trPr>
        <w:tc>
          <w:tcPr>
            <w:tcW w:w="1414" w:type="dxa"/>
            <w:vAlign w:val="top"/>
          </w:tcPr>
          <w:p>
            <w:pPr>
              <w:pStyle w:val="TableText"/>
              <w:ind w:left="438"/>
              <w:spacing w:before="153" w:line="221" w:lineRule="auto"/>
              <w:rPr>
                <w:sz w:val="26"/>
                <w:szCs w:val="26"/>
              </w:rPr>
            </w:pPr>
            <w:r>
              <w:rPr>
                <w:sz w:val="26"/>
                <w:szCs w:val="26"/>
                <w:b/>
                <w:bCs/>
                <w:spacing w:val="-10"/>
              </w:rPr>
              <w:t>一般</w:t>
            </w:r>
          </w:p>
        </w:tc>
        <w:tc>
          <w:tcPr>
            <w:tcW w:w="8354" w:type="dxa"/>
            <w:vAlign w:val="top"/>
          </w:tcPr>
          <w:p>
            <w:pPr>
              <w:pStyle w:val="TableText"/>
              <w:ind w:left="124"/>
              <w:spacing w:before="150" w:line="219" w:lineRule="auto"/>
              <w:rPr>
                <w:sz w:val="26"/>
                <w:szCs w:val="26"/>
              </w:rPr>
            </w:pPr>
            <w:r>
              <w:rPr>
                <w:sz w:val="26"/>
                <w:szCs w:val="26"/>
                <w:b/>
                <w:bCs/>
                <w:spacing w:val="-2"/>
              </w:rPr>
              <w:t>医疗机构未建立抗菌药物管理规章制度，经责</w:t>
            </w:r>
            <w:r>
              <w:rPr>
                <w:sz w:val="26"/>
                <w:szCs w:val="26"/>
                <w:b/>
                <w:bCs/>
                <w:spacing w:val="-3"/>
              </w:rPr>
              <w:t>令限期改正，逾期不改的</w:t>
            </w:r>
          </w:p>
        </w:tc>
        <w:tc>
          <w:tcPr>
            <w:tcW w:w="4252" w:type="dxa"/>
            <w:vAlign w:val="top"/>
          </w:tcPr>
          <w:p>
            <w:pPr>
              <w:pStyle w:val="TableText"/>
              <w:ind w:left="130"/>
              <w:spacing w:before="149" w:line="218" w:lineRule="auto"/>
              <w:rPr>
                <w:sz w:val="26"/>
                <w:szCs w:val="26"/>
              </w:rPr>
            </w:pPr>
            <w:r>
              <w:rPr>
                <w:sz w:val="26"/>
                <w:szCs w:val="26"/>
                <w:b/>
                <w:bCs/>
                <w:spacing w:val="-2"/>
              </w:rPr>
              <w:t>通报批评，并给予警告</w:t>
            </w:r>
          </w:p>
        </w:tc>
      </w:tr>
    </w:tbl>
    <w:p>
      <w:pPr>
        <w:pStyle w:val="BodyText"/>
        <w:spacing w:line="308" w:lineRule="auto"/>
        <w:rPr/>
      </w:pPr>
      <w:r/>
    </w:p>
    <w:p>
      <w:pPr>
        <w:pStyle w:val="BodyText"/>
        <w:spacing w:line="308" w:lineRule="auto"/>
        <w:rPr/>
      </w:pPr>
      <w:r/>
    </w:p>
    <w:p>
      <w:pPr>
        <w:pStyle w:val="BodyText"/>
        <w:spacing w:line="308" w:lineRule="auto"/>
        <w:rPr/>
      </w:pPr>
      <w:r/>
    </w:p>
    <w:p>
      <w:pPr>
        <w:ind w:left="719"/>
        <w:spacing w:before="97" w:line="220" w:lineRule="auto"/>
        <w:rPr>
          <w:rFonts w:ascii="FangSong" w:hAnsi="FangSong" w:eastAsia="FangSong" w:cs="FangSong"/>
          <w:sz w:val="30"/>
          <w:szCs w:val="30"/>
        </w:rPr>
      </w:pPr>
      <w:r>
        <w:rPr>
          <w:rFonts w:ascii="FangSong" w:hAnsi="FangSong" w:eastAsia="FangSong" w:cs="FangSong"/>
          <w:sz w:val="30"/>
          <w:szCs w:val="30"/>
          <w:b/>
          <w:bCs/>
          <w:spacing w:val="23"/>
        </w:rPr>
        <w:t>第二百七十八条医疗机构抗菌药物临床应用管理混乱的</w:t>
      </w:r>
    </w:p>
    <w:p>
      <w:pPr>
        <w:ind w:left="704"/>
        <w:spacing w:before="111" w:line="222" w:lineRule="auto"/>
        <w:rPr>
          <w:rFonts w:ascii="FangSong" w:hAnsi="FangSong" w:eastAsia="FangSong" w:cs="FangSong"/>
          <w:sz w:val="30"/>
          <w:szCs w:val="30"/>
        </w:rPr>
      </w:pPr>
      <w:r>
        <w:rPr>
          <w:rFonts w:ascii="FangSong" w:hAnsi="FangSong" w:eastAsia="FangSong" w:cs="FangSong"/>
          <w:sz w:val="30"/>
          <w:szCs w:val="30"/>
        </w:rPr>
        <w:t>法律依据：</w:t>
      </w:r>
    </w:p>
    <w:p>
      <w:pPr>
        <w:ind w:left="65" w:right="19" w:firstLine="619"/>
        <w:spacing w:before="74" w:line="272" w:lineRule="auto"/>
        <w:jc w:val="both"/>
        <w:rPr>
          <w:rFonts w:ascii="FangSong" w:hAnsi="FangSong" w:eastAsia="FangSong" w:cs="FangSong"/>
          <w:sz w:val="30"/>
          <w:szCs w:val="30"/>
        </w:rPr>
      </w:pPr>
      <w:r>
        <w:rPr>
          <w:rFonts w:ascii="FangSong" w:hAnsi="FangSong" w:eastAsia="FangSong" w:cs="FangSong"/>
          <w:sz w:val="30"/>
          <w:szCs w:val="30"/>
          <w:spacing w:val="24"/>
        </w:rPr>
        <w:t>《抗菌药物临床应用管理办法》第四十九条第(三)项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医疗机构有下列情形</w:t>
      </w:r>
      <w:r>
        <w:rPr>
          <w:rFonts w:ascii="FangSong" w:hAnsi="FangSong" w:eastAsia="FangSong" w:cs="FangSong"/>
          <w:sz w:val="30"/>
          <w:szCs w:val="30"/>
          <w:spacing w:val="23"/>
        </w:rPr>
        <w:t>之一的，由县级以</w:t>
      </w:r>
      <w:r>
        <w:rPr>
          <w:rFonts w:ascii="FangSong" w:hAnsi="FangSong" w:eastAsia="FangSong" w:cs="FangSong"/>
          <w:sz w:val="30"/>
          <w:szCs w:val="30"/>
        </w:rPr>
        <w:t xml:space="preserve"> </w:t>
      </w:r>
      <w:r>
        <w:rPr>
          <w:rFonts w:ascii="FangSong" w:hAnsi="FangSong" w:eastAsia="FangSong" w:cs="FangSong"/>
          <w:sz w:val="30"/>
          <w:szCs w:val="30"/>
          <w:spacing w:val="17"/>
        </w:rPr>
        <w:t>上卫生行政部门责令限期改正；逾期不改的，进行通报批评，并给予警告；造成</w:t>
      </w:r>
      <w:r>
        <w:rPr>
          <w:rFonts w:ascii="FangSong" w:hAnsi="FangSong" w:eastAsia="FangSong" w:cs="FangSong"/>
          <w:sz w:val="30"/>
          <w:szCs w:val="30"/>
          <w:spacing w:val="16"/>
        </w:rPr>
        <w:t>严重后果的，对负有</w:t>
      </w:r>
      <w:r>
        <w:rPr>
          <w:rFonts w:ascii="FangSong" w:hAnsi="FangSong" w:eastAsia="FangSong" w:cs="FangSong"/>
          <w:sz w:val="30"/>
          <w:szCs w:val="30"/>
        </w:rPr>
        <w:t xml:space="preserve"> </w:t>
      </w:r>
      <w:r>
        <w:rPr>
          <w:rFonts w:ascii="FangSong" w:hAnsi="FangSong" w:eastAsia="FangSong" w:cs="FangSong"/>
          <w:sz w:val="30"/>
          <w:szCs w:val="30"/>
          <w:spacing w:val="12"/>
        </w:rPr>
        <w:t>责任的主管人员和其他直接责任人员，给予处分：</w:t>
      </w:r>
    </w:p>
    <w:p>
      <w:pPr>
        <w:ind w:left="835"/>
        <w:spacing w:before="6" w:line="221" w:lineRule="auto"/>
        <w:rPr>
          <w:rFonts w:ascii="FangSong" w:hAnsi="FangSong" w:eastAsia="FangSong" w:cs="FangSong"/>
          <w:sz w:val="30"/>
          <w:szCs w:val="30"/>
        </w:rPr>
      </w:pPr>
      <w:r>
        <w:rPr>
          <w:rFonts w:ascii="FangSong" w:hAnsi="FangSong" w:eastAsia="FangSong" w:cs="FangSong"/>
          <w:sz w:val="30"/>
          <w:szCs w:val="30"/>
          <w:spacing w:val="24"/>
        </w:rPr>
        <w:t>(三)抗菌药物临床应用管理混乱的；</w:t>
      </w:r>
    </w:p>
    <w:p>
      <w:pPr>
        <w:ind w:left="6478"/>
        <w:spacing w:before="5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1" w:lineRule="auto"/>
        <w:rPr>
          <w:rFonts w:ascii="Arial"/>
          <w:sz w:val="2"/>
        </w:rPr>
      </w:pPr>
      <w:r>
        <w:rPr>
          <w:rFonts w:ascii="Arial"/>
          <w:sz w:val="2"/>
        </w:rPr>
      </w:r>
    </w:p>
    <w:tbl>
      <w:tblPr>
        <w:tblStyle w:val="TableNormal"/>
        <w:tblW w:w="13780" w:type="dxa"/>
        <w:tblInd w:w="13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4"/>
        <w:gridCol w:w="7984"/>
        <w:gridCol w:w="4342"/>
      </w:tblGrid>
      <w:tr>
        <w:trPr>
          <w:trHeight w:val="580" w:hRule="atLeast"/>
        </w:trPr>
        <w:tc>
          <w:tcPr>
            <w:tcW w:w="1454" w:type="dxa"/>
            <w:vAlign w:val="top"/>
          </w:tcPr>
          <w:p>
            <w:pPr>
              <w:pStyle w:val="TableText"/>
              <w:ind w:left="198"/>
              <w:spacing w:before="162" w:line="220" w:lineRule="auto"/>
              <w:rPr>
                <w:sz w:val="26"/>
                <w:szCs w:val="26"/>
              </w:rPr>
            </w:pPr>
            <w:r>
              <w:rPr>
                <w:sz w:val="26"/>
                <w:szCs w:val="26"/>
                <w:b/>
                <w:bCs/>
                <w:spacing w:val="-5"/>
              </w:rPr>
              <w:t>违法程度</w:t>
            </w:r>
          </w:p>
        </w:tc>
        <w:tc>
          <w:tcPr>
            <w:tcW w:w="7984" w:type="dxa"/>
            <w:vAlign w:val="top"/>
          </w:tcPr>
          <w:p>
            <w:pPr>
              <w:pStyle w:val="TableText"/>
              <w:ind w:left="3424"/>
              <w:spacing w:before="162" w:line="220" w:lineRule="auto"/>
              <w:rPr>
                <w:sz w:val="26"/>
                <w:szCs w:val="26"/>
              </w:rPr>
            </w:pPr>
            <w:r>
              <w:rPr>
                <w:sz w:val="26"/>
                <w:szCs w:val="26"/>
                <w:b/>
                <w:bCs/>
                <w:spacing w:val="-5"/>
              </w:rPr>
              <w:t>违法后果</w:t>
            </w:r>
          </w:p>
        </w:tc>
        <w:tc>
          <w:tcPr>
            <w:tcW w:w="4342" w:type="dxa"/>
            <w:vAlign w:val="top"/>
          </w:tcPr>
          <w:p>
            <w:pPr>
              <w:pStyle w:val="TableText"/>
              <w:ind w:left="1610"/>
              <w:spacing w:before="159" w:line="218" w:lineRule="auto"/>
              <w:rPr>
                <w:sz w:val="26"/>
                <w:szCs w:val="26"/>
              </w:rPr>
            </w:pPr>
            <w:r>
              <w:rPr>
                <w:sz w:val="26"/>
                <w:szCs w:val="26"/>
                <w:b/>
                <w:bCs/>
                <w:spacing w:val="-5"/>
              </w:rPr>
              <w:t>裁量幅度</w:t>
            </w:r>
          </w:p>
        </w:tc>
      </w:tr>
      <w:tr>
        <w:trPr>
          <w:trHeight w:val="530" w:hRule="atLeast"/>
        </w:trPr>
        <w:tc>
          <w:tcPr>
            <w:tcW w:w="1454" w:type="dxa"/>
            <w:vAlign w:val="top"/>
          </w:tcPr>
          <w:p>
            <w:pPr>
              <w:pStyle w:val="TableText"/>
              <w:ind w:left="458"/>
              <w:spacing w:before="203" w:line="221" w:lineRule="auto"/>
              <w:rPr>
                <w:sz w:val="26"/>
                <w:szCs w:val="26"/>
              </w:rPr>
            </w:pPr>
            <w:r>
              <w:rPr>
                <w:sz w:val="26"/>
                <w:szCs w:val="26"/>
                <w:b/>
                <w:bCs/>
                <w:spacing w:val="-10"/>
              </w:rPr>
              <w:t>一般</w:t>
            </w:r>
          </w:p>
        </w:tc>
        <w:tc>
          <w:tcPr>
            <w:tcW w:w="7984" w:type="dxa"/>
            <w:vAlign w:val="top"/>
          </w:tcPr>
          <w:p>
            <w:pPr>
              <w:pStyle w:val="TableText"/>
              <w:ind w:left="124"/>
              <w:spacing w:before="210" w:line="219" w:lineRule="auto"/>
              <w:rPr>
                <w:sz w:val="26"/>
                <w:szCs w:val="26"/>
              </w:rPr>
            </w:pPr>
            <w:r>
              <w:rPr>
                <w:sz w:val="26"/>
                <w:szCs w:val="26"/>
                <w:b/>
                <w:bCs/>
                <w:spacing w:val="-2"/>
              </w:rPr>
              <w:t>医疗机构抗菌药物临床应用管理混乱，经责令</w:t>
            </w:r>
            <w:r>
              <w:rPr>
                <w:sz w:val="26"/>
                <w:szCs w:val="26"/>
                <w:b/>
                <w:bCs/>
                <w:spacing w:val="-3"/>
              </w:rPr>
              <w:t>限期改正，逾期不改的</w:t>
            </w:r>
          </w:p>
        </w:tc>
        <w:tc>
          <w:tcPr>
            <w:tcW w:w="4342" w:type="dxa"/>
            <w:vAlign w:val="top"/>
          </w:tcPr>
          <w:p>
            <w:pPr>
              <w:pStyle w:val="TableText"/>
              <w:ind w:left="120"/>
              <w:spacing w:before="209" w:line="218" w:lineRule="auto"/>
              <w:rPr>
                <w:sz w:val="26"/>
                <w:szCs w:val="26"/>
              </w:rPr>
            </w:pPr>
            <w:r>
              <w:rPr>
                <w:sz w:val="26"/>
                <w:szCs w:val="26"/>
                <w:b/>
                <w:bCs/>
                <w:spacing w:val="-2"/>
              </w:rPr>
              <w:t>通报批评，并给予警告</w:t>
            </w:r>
          </w:p>
        </w:tc>
      </w:tr>
    </w:tbl>
    <w:p>
      <w:pPr>
        <w:pStyle w:val="BodyText"/>
        <w:rPr/>
      </w:pPr>
      <w:r/>
    </w:p>
    <w:p>
      <w:pPr>
        <w:sectPr>
          <w:footerReference w:type="default" r:id="rId333"/>
          <w:pgSz w:w="16830" w:h="11900"/>
          <w:pgMar w:top="1011" w:right="1414" w:bottom="1097" w:left="1384" w:header="0" w:footer="764" w:gutter="0"/>
        </w:sectPr>
        <w:rPr/>
      </w:pPr>
    </w:p>
    <w:p>
      <w:pPr>
        <w:pStyle w:val="BodyText"/>
        <w:spacing w:line="255" w:lineRule="auto"/>
        <w:rPr/>
      </w:pPr>
      <w:r/>
    </w:p>
    <w:p>
      <w:pPr>
        <w:pStyle w:val="BodyText"/>
        <w:spacing w:line="256" w:lineRule="auto"/>
        <w:rPr/>
      </w:pPr>
      <w:r/>
    </w:p>
    <w:p>
      <w:pPr>
        <w:pStyle w:val="BodyText"/>
        <w:spacing w:line="256" w:lineRule="auto"/>
        <w:rPr/>
      </w:pPr>
      <w:r/>
    </w:p>
    <w:p>
      <w:pPr>
        <w:ind w:left="29" w:right="69" w:firstLine="629"/>
        <w:spacing w:before="98" w:line="272" w:lineRule="auto"/>
        <w:rPr>
          <w:rFonts w:ascii="FangSong" w:hAnsi="FangSong" w:eastAsia="FangSong" w:cs="FangSong"/>
          <w:sz w:val="30"/>
          <w:szCs w:val="30"/>
        </w:rPr>
      </w:pPr>
      <w:bookmarkStart w:name="bookmark986" w:id="355"/>
      <w:bookmarkEnd w:id="355"/>
      <w:r>
        <w:rPr>
          <w:rFonts w:ascii="FangSong" w:hAnsi="FangSong" w:eastAsia="FangSong" w:cs="FangSong"/>
          <w:sz w:val="30"/>
          <w:szCs w:val="30"/>
          <w:b/>
          <w:bCs/>
          <w:spacing w:val="20"/>
        </w:rPr>
        <w:t>第二百七十九条医疗机构未按照《抗菌药物临床应用管理办法》规定执行抗菌药物分级管理、</w:t>
      </w:r>
      <w:r>
        <w:rPr>
          <w:rFonts w:ascii="FangSong" w:hAnsi="FangSong" w:eastAsia="FangSong" w:cs="FangSong"/>
          <w:sz w:val="30"/>
          <w:szCs w:val="30"/>
          <w:spacing w:val="1"/>
        </w:rPr>
        <w:t xml:space="preserve"> </w:t>
      </w:r>
      <w:r>
        <w:rPr>
          <w:rFonts w:ascii="FangSong" w:hAnsi="FangSong" w:eastAsia="FangSong" w:cs="FangSong"/>
          <w:sz w:val="30"/>
          <w:szCs w:val="30"/>
          <w:b/>
          <w:bCs/>
          <w:spacing w:val="17"/>
        </w:rPr>
        <w:t>医师抗菌药物处方权限管理、药师抗菌药物调剂资格管理或者未配备相关专业技术人员的</w:t>
      </w:r>
    </w:p>
    <w:p>
      <w:pPr>
        <w:ind w:left="654"/>
        <w:spacing w:before="5"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firstLine="630"/>
        <w:spacing w:before="104" w:line="263" w:lineRule="auto"/>
        <w:jc w:val="both"/>
        <w:rPr>
          <w:rFonts w:ascii="FangSong" w:hAnsi="FangSong" w:eastAsia="FangSong" w:cs="FangSong"/>
          <w:sz w:val="30"/>
          <w:szCs w:val="30"/>
        </w:rPr>
      </w:pPr>
      <w:r>
        <w:rPr>
          <w:rFonts w:ascii="FangSong" w:hAnsi="FangSong" w:eastAsia="FangSong" w:cs="FangSong"/>
          <w:sz w:val="30"/>
          <w:szCs w:val="30"/>
          <w:spacing w:val="24"/>
        </w:rPr>
        <w:t>《抗菌药物临床应用管理办法》第四十九条第(四)项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医疗机构有下列情形</w:t>
      </w:r>
      <w:r>
        <w:rPr>
          <w:rFonts w:ascii="FangSong" w:hAnsi="FangSong" w:eastAsia="FangSong" w:cs="FangSong"/>
          <w:sz w:val="30"/>
          <w:szCs w:val="30"/>
          <w:spacing w:val="23"/>
        </w:rPr>
        <w:t>之一的，由县级以</w:t>
      </w:r>
      <w:r>
        <w:rPr>
          <w:rFonts w:ascii="FangSong" w:hAnsi="FangSong" w:eastAsia="FangSong" w:cs="FangSong"/>
          <w:sz w:val="30"/>
          <w:szCs w:val="30"/>
        </w:rPr>
        <w:t xml:space="preserve"> </w:t>
      </w:r>
      <w:r>
        <w:rPr>
          <w:rFonts w:ascii="FangSong" w:hAnsi="FangSong" w:eastAsia="FangSong" w:cs="FangSong"/>
          <w:sz w:val="30"/>
          <w:szCs w:val="30"/>
          <w:spacing w:val="17"/>
        </w:rPr>
        <w:t>上卫生行政部门责令限期改正；逾期不改的，进行通报批评，并给予警告；造成严重后果的，对负有</w:t>
      </w:r>
      <w:r>
        <w:rPr>
          <w:rFonts w:ascii="FangSong" w:hAnsi="FangSong" w:eastAsia="FangSong" w:cs="FangSong"/>
          <w:sz w:val="30"/>
          <w:szCs w:val="30"/>
          <w:spacing w:val="1"/>
        </w:rPr>
        <w:t xml:space="preserve"> </w:t>
      </w:r>
      <w:r>
        <w:rPr>
          <w:rFonts w:ascii="FangSong" w:hAnsi="FangSong" w:eastAsia="FangSong" w:cs="FangSong"/>
          <w:sz w:val="30"/>
          <w:szCs w:val="30"/>
          <w:spacing w:val="15"/>
        </w:rPr>
        <w:t>责任的主管人员和其他直接责任人员，给予处分：</w:t>
      </w:r>
    </w:p>
    <w:p>
      <w:pPr>
        <w:ind w:left="25" w:right="2" w:firstLine="780"/>
        <w:spacing w:line="277" w:lineRule="auto"/>
        <w:rPr>
          <w:rFonts w:ascii="FangSong" w:hAnsi="FangSong" w:eastAsia="FangSong" w:cs="FangSong"/>
          <w:sz w:val="30"/>
          <w:szCs w:val="30"/>
        </w:rPr>
      </w:pPr>
      <w:r>
        <w:rPr>
          <w:rFonts w:ascii="FangSong" w:hAnsi="FangSong" w:eastAsia="FangSong" w:cs="FangSong"/>
          <w:sz w:val="30"/>
          <w:szCs w:val="30"/>
          <w:spacing w:val="21"/>
        </w:rPr>
        <w:t>(四)未按照本办法规定执行抗菌药物分级管理、医师抗菌药物处方权</w:t>
      </w:r>
      <w:r>
        <w:rPr>
          <w:rFonts w:ascii="FangSong" w:hAnsi="FangSong" w:eastAsia="FangSong" w:cs="FangSong"/>
          <w:sz w:val="30"/>
          <w:szCs w:val="30"/>
          <w:spacing w:val="20"/>
        </w:rPr>
        <w:t>限管理、药师抗菌药物调</w:t>
      </w:r>
      <w:r>
        <w:rPr>
          <w:rFonts w:ascii="FangSong" w:hAnsi="FangSong" w:eastAsia="FangSong" w:cs="FangSong"/>
          <w:sz w:val="30"/>
          <w:szCs w:val="30"/>
        </w:rPr>
        <w:t xml:space="preserve"> </w:t>
      </w:r>
      <w:r>
        <w:rPr>
          <w:rFonts w:ascii="FangSong" w:hAnsi="FangSong" w:eastAsia="FangSong" w:cs="FangSong"/>
          <w:sz w:val="30"/>
          <w:szCs w:val="30"/>
          <w:spacing w:val="16"/>
        </w:rPr>
        <w:t>剂资格管理或者未配备相关专业技术人员的；</w:t>
      </w:r>
    </w:p>
    <w:p>
      <w:pPr>
        <w:ind w:left="6439"/>
        <w:spacing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44"/>
        <w:gridCol w:w="8414"/>
        <w:gridCol w:w="4212"/>
      </w:tblGrid>
      <w:tr>
        <w:trPr>
          <w:trHeight w:val="552" w:hRule="atLeast"/>
        </w:trPr>
        <w:tc>
          <w:tcPr>
            <w:tcW w:w="1344" w:type="dxa"/>
            <w:vAlign w:val="top"/>
          </w:tcPr>
          <w:p>
            <w:pPr>
              <w:pStyle w:val="TableText"/>
              <w:ind w:left="168"/>
              <w:spacing w:before="152" w:line="220" w:lineRule="auto"/>
              <w:rPr>
                <w:sz w:val="25"/>
                <w:szCs w:val="25"/>
              </w:rPr>
            </w:pPr>
            <w:r>
              <w:rPr>
                <w:sz w:val="25"/>
                <w:szCs w:val="25"/>
                <w:b/>
                <w:bCs/>
                <w:spacing w:val="-5"/>
              </w:rPr>
              <w:t>违法程度</w:t>
            </w:r>
          </w:p>
        </w:tc>
        <w:tc>
          <w:tcPr>
            <w:tcW w:w="8414" w:type="dxa"/>
            <w:vAlign w:val="top"/>
          </w:tcPr>
          <w:p>
            <w:pPr>
              <w:pStyle w:val="TableText"/>
              <w:ind w:left="3704"/>
              <w:spacing w:before="152" w:line="220" w:lineRule="auto"/>
              <w:rPr>
                <w:sz w:val="25"/>
                <w:szCs w:val="25"/>
              </w:rPr>
            </w:pPr>
            <w:r>
              <w:rPr>
                <w:sz w:val="25"/>
                <w:szCs w:val="25"/>
                <w:b/>
                <w:bCs/>
                <w:spacing w:val="-5"/>
              </w:rPr>
              <w:t>违法后果</w:t>
            </w:r>
          </w:p>
        </w:tc>
        <w:tc>
          <w:tcPr>
            <w:tcW w:w="4212" w:type="dxa"/>
            <w:vAlign w:val="top"/>
          </w:tcPr>
          <w:p>
            <w:pPr>
              <w:pStyle w:val="TableText"/>
              <w:ind w:left="1570"/>
              <w:spacing w:before="149" w:line="218" w:lineRule="auto"/>
              <w:rPr>
                <w:sz w:val="25"/>
                <w:szCs w:val="25"/>
              </w:rPr>
            </w:pPr>
            <w:r>
              <w:rPr>
                <w:sz w:val="25"/>
                <w:szCs w:val="25"/>
                <w:b/>
                <w:bCs/>
                <w:spacing w:val="-5"/>
              </w:rPr>
              <w:t>裁量幅度</w:t>
            </w:r>
          </w:p>
        </w:tc>
      </w:tr>
      <w:tr>
        <w:trPr>
          <w:trHeight w:val="1308" w:hRule="atLeast"/>
        </w:trPr>
        <w:tc>
          <w:tcPr>
            <w:tcW w:w="1344" w:type="dxa"/>
            <w:vAlign w:val="top"/>
          </w:tcPr>
          <w:p>
            <w:pPr>
              <w:spacing w:line="445" w:lineRule="auto"/>
              <w:rPr>
                <w:rFonts w:ascii="Arial"/>
                <w:sz w:val="21"/>
              </w:rPr>
            </w:pPr>
            <w:r/>
          </w:p>
          <w:p>
            <w:pPr>
              <w:pStyle w:val="TableText"/>
              <w:ind w:left="418"/>
              <w:spacing w:before="82" w:line="219" w:lineRule="auto"/>
              <w:rPr>
                <w:sz w:val="25"/>
                <w:szCs w:val="25"/>
              </w:rPr>
            </w:pPr>
            <w:r>
              <w:rPr>
                <w:sz w:val="25"/>
                <w:szCs w:val="25"/>
                <w:b/>
                <w:bCs/>
                <w:spacing w:val="-6"/>
              </w:rPr>
              <w:t>较轻</w:t>
            </w:r>
          </w:p>
        </w:tc>
        <w:tc>
          <w:tcPr>
            <w:tcW w:w="8414" w:type="dxa"/>
            <w:vAlign w:val="top"/>
          </w:tcPr>
          <w:p>
            <w:pPr>
              <w:pStyle w:val="TableText"/>
              <w:ind w:left="14"/>
              <w:spacing w:before="148" w:line="283" w:lineRule="auto"/>
              <w:jc w:val="both"/>
              <w:rPr>
                <w:sz w:val="25"/>
                <w:szCs w:val="25"/>
              </w:rPr>
            </w:pPr>
            <w:r>
              <w:rPr>
                <w:sz w:val="25"/>
                <w:szCs w:val="25"/>
                <w:b/>
                <w:bCs/>
                <w:spacing w:val="-6"/>
              </w:rPr>
              <w:t>医疗机构未按照《抗菌药物临床应用管理办法》规定执行抗菌药物分级管理、</w:t>
            </w:r>
            <w:r>
              <w:rPr>
                <w:sz w:val="25"/>
                <w:szCs w:val="25"/>
                <w:spacing w:val="3"/>
              </w:rPr>
              <w:t xml:space="preserve"> </w:t>
            </w:r>
            <w:r>
              <w:rPr>
                <w:sz w:val="25"/>
                <w:szCs w:val="25"/>
                <w:b/>
                <w:bCs/>
                <w:spacing w:val="-9"/>
              </w:rPr>
              <w:t>医师抗菌药物处方权限管理、药师抗菌药物调剂资格管</w:t>
            </w:r>
            <w:r>
              <w:rPr>
                <w:sz w:val="25"/>
                <w:szCs w:val="25"/>
                <w:b/>
                <w:bCs/>
                <w:spacing w:val="-10"/>
              </w:rPr>
              <w:t>理或者未配备相关专业</w:t>
            </w:r>
            <w:r>
              <w:rPr>
                <w:sz w:val="25"/>
                <w:szCs w:val="25"/>
              </w:rPr>
              <w:t xml:space="preserve">  </w:t>
            </w:r>
            <w:r>
              <w:rPr>
                <w:sz w:val="25"/>
                <w:szCs w:val="25"/>
                <w:b/>
                <w:bCs/>
              </w:rPr>
              <w:t>技术人员，经责令限期改正，逾期不改的</w:t>
            </w:r>
          </w:p>
        </w:tc>
        <w:tc>
          <w:tcPr>
            <w:tcW w:w="4212" w:type="dxa"/>
            <w:vAlign w:val="top"/>
          </w:tcPr>
          <w:p>
            <w:pPr>
              <w:spacing w:line="443" w:lineRule="auto"/>
              <w:rPr>
                <w:rFonts w:ascii="Arial"/>
                <w:sz w:val="21"/>
              </w:rPr>
            </w:pPr>
            <w:r/>
          </w:p>
          <w:p>
            <w:pPr>
              <w:pStyle w:val="TableText"/>
              <w:ind w:left="130"/>
              <w:spacing w:before="81" w:line="218" w:lineRule="auto"/>
              <w:rPr>
                <w:sz w:val="25"/>
                <w:szCs w:val="25"/>
              </w:rPr>
            </w:pPr>
            <w:r>
              <w:rPr>
                <w:sz w:val="25"/>
                <w:szCs w:val="25"/>
                <w:b/>
                <w:bCs/>
                <w:spacing w:val="-2"/>
              </w:rPr>
              <w:t>通报批评，并给予警告</w:t>
            </w:r>
          </w:p>
        </w:tc>
      </w:tr>
    </w:tbl>
    <w:p>
      <w:pPr>
        <w:pStyle w:val="BodyText"/>
        <w:spacing w:line="456" w:lineRule="auto"/>
        <w:rPr/>
      </w:pPr>
      <w:r/>
    </w:p>
    <w:p>
      <w:pPr>
        <w:ind w:left="65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第二百八十条医疗机构有其他违反《抗菌药物临床应用管理办法》规定行为的</w:t>
      </w:r>
    </w:p>
    <w:p>
      <w:pPr>
        <w:ind w:left="654"/>
        <w:spacing w:before="10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right="12" w:firstLine="630"/>
        <w:spacing w:before="86" w:line="270" w:lineRule="auto"/>
        <w:rPr>
          <w:rFonts w:ascii="FangSong" w:hAnsi="FangSong" w:eastAsia="FangSong" w:cs="FangSong"/>
          <w:sz w:val="30"/>
          <w:szCs w:val="30"/>
        </w:rPr>
      </w:pPr>
      <w:r>
        <w:rPr>
          <w:rFonts w:ascii="FangSong" w:hAnsi="FangSong" w:eastAsia="FangSong" w:cs="FangSong"/>
          <w:sz w:val="30"/>
          <w:szCs w:val="30"/>
          <w:spacing w:val="27"/>
        </w:rPr>
        <w:t>《抗菌药物临床应用管理办法》第四十九条第(五)项</w:t>
      </w:r>
      <w:r>
        <w:rPr>
          <w:rFonts w:ascii="FangSong" w:hAnsi="FangSong" w:eastAsia="FangSong" w:cs="FangSong"/>
          <w:sz w:val="30"/>
          <w:szCs w:val="30"/>
          <w:spacing w:val="27"/>
        </w:rPr>
        <w:t xml:space="preserve">   </w:t>
      </w:r>
      <w:r>
        <w:rPr>
          <w:rFonts w:ascii="FangSong" w:hAnsi="FangSong" w:eastAsia="FangSong" w:cs="FangSong"/>
          <w:sz w:val="30"/>
          <w:szCs w:val="30"/>
          <w:spacing w:val="27"/>
        </w:rPr>
        <w:t>医疗机构有下列情形之一的，由县级</w:t>
      </w:r>
      <w:r>
        <w:rPr>
          <w:rFonts w:ascii="FangSong" w:hAnsi="FangSong" w:eastAsia="FangSong" w:cs="FangSong"/>
          <w:sz w:val="30"/>
          <w:szCs w:val="30"/>
        </w:rPr>
        <w:t xml:space="preserve"> </w:t>
      </w:r>
      <w:r>
        <w:rPr>
          <w:rFonts w:ascii="FangSong" w:hAnsi="FangSong" w:eastAsia="FangSong" w:cs="FangSong"/>
          <w:sz w:val="30"/>
          <w:szCs w:val="30"/>
          <w:spacing w:val="16"/>
        </w:rPr>
        <w:t>以上卫生行政部门责令限期改正；逾期不改的，进行通报批评，并给予警告；造成严重后果的，对负</w:t>
      </w:r>
    </w:p>
    <w:p>
      <w:pPr>
        <w:pStyle w:val="BodyText"/>
        <w:spacing w:line="353" w:lineRule="auto"/>
        <w:rPr/>
      </w:pPr>
      <w:r/>
    </w:p>
    <w:p>
      <w:pPr>
        <w:pStyle w:val="BodyText"/>
        <w:spacing w:line="353" w:lineRule="auto"/>
        <w:rPr/>
      </w:pPr>
      <w:r/>
    </w:p>
    <w:p>
      <w:pPr>
        <w:ind w:left="6365"/>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7"/>
        </w:rPr>
        <w:t>—364—</w:t>
      </w:r>
    </w:p>
    <w:p>
      <w:pPr>
        <w:spacing w:line="188" w:lineRule="auto"/>
        <w:sectPr>
          <w:footerReference w:type="default" r:id="rId24"/>
          <w:pgSz w:w="16830" w:h="11900"/>
          <w:pgMar w:top="1011" w:right="1434" w:bottom="400" w:left="1414" w:header="0" w:footer="0" w:gutter="0"/>
        </w:sectPr>
        <w:rPr>
          <w:rFonts w:ascii="Times New Roman" w:hAnsi="Times New Roman" w:eastAsia="Times New Roman" w:cs="Times New Roman"/>
          <w:sz w:val="37"/>
          <w:szCs w:val="37"/>
        </w:rPr>
      </w:pPr>
    </w:p>
    <w:p>
      <w:pPr>
        <w:pStyle w:val="BodyText"/>
        <w:spacing w:line="264" w:lineRule="auto"/>
        <w:rPr/>
      </w:pPr>
      <w:r/>
    </w:p>
    <w:p>
      <w:pPr>
        <w:pStyle w:val="BodyText"/>
        <w:spacing w:line="265" w:lineRule="auto"/>
        <w:rPr/>
      </w:pPr>
      <w:r/>
    </w:p>
    <w:p>
      <w:pPr>
        <w:pStyle w:val="BodyText"/>
        <w:spacing w:line="265" w:lineRule="auto"/>
        <w:rPr/>
      </w:pPr>
      <w:r/>
    </w:p>
    <w:p>
      <w:pPr>
        <w:ind w:left="25"/>
        <w:spacing w:before="97" w:line="222" w:lineRule="auto"/>
        <w:rPr>
          <w:rFonts w:ascii="FangSong" w:hAnsi="FangSong" w:eastAsia="FangSong" w:cs="FangSong"/>
          <w:sz w:val="30"/>
          <w:szCs w:val="30"/>
        </w:rPr>
      </w:pPr>
      <w:bookmarkStart w:name="bookmark987" w:id="356"/>
      <w:bookmarkEnd w:id="356"/>
      <w:r>
        <w:rPr>
          <w:rFonts w:ascii="FangSong" w:hAnsi="FangSong" w:eastAsia="FangSong" w:cs="FangSong"/>
          <w:sz w:val="30"/>
          <w:szCs w:val="30"/>
          <w:spacing w:val="16"/>
        </w:rPr>
        <w:t>有责任的主管人员和其他直接责任人员，给予处分：</w:t>
      </w:r>
    </w:p>
    <w:p>
      <w:pPr>
        <w:ind w:left="794"/>
        <w:spacing w:before="88" w:line="221" w:lineRule="auto"/>
        <w:rPr>
          <w:rFonts w:ascii="FangSong" w:hAnsi="FangSong" w:eastAsia="FangSong" w:cs="FangSong"/>
          <w:sz w:val="30"/>
          <w:szCs w:val="30"/>
        </w:rPr>
      </w:pPr>
      <w:r>
        <w:rPr>
          <w:rFonts w:ascii="FangSong" w:hAnsi="FangSong" w:eastAsia="FangSong" w:cs="FangSong"/>
          <w:sz w:val="30"/>
          <w:szCs w:val="30"/>
          <w:spacing w:val="25"/>
        </w:rPr>
        <w:t>(五)其他违反本办法规定行为的。</w:t>
      </w:r>
    </w:p>
    <w:p>
      <w:pPr>
        <w:ind w:left="6439"/>
        <w:spacing w:before="52"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789" w:type="dxa"/>
        <w:tblInd w:w="10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84"/>
        <w:gridCol w:w="7924"/>
        <w:gridCol w:w="4381"/>
      </w:tblGrid>
      <w:tr>
        <w:trPr>
          <w:trHeight w:val="561" w:hRule="atLeast"/>
        </w:trPr>
        <w:tc>
          <w:tcPr>
            <w:tcW w:w="1484" w:type="dxa"/>
            <w:vAlign w:val="top"/>
          </w:tcPr>
          <w:p>
            <w:pPr>
              <w:pStyle w:val="TableText"/>
              <w:ind w:left="218"/>
              <w:spacing w:before="152" w:line="220" w:lineRule="auto"/>
              <w:rPr>
                <w:sz w:val="26"/>
                <w:szCs w:val="26"/>
              </w:rPr>
            </w:pPr>
            <w:r>
              <w:rPr>
                <w:sz w:val="26"/>
                <w:szCs w:val="26"/>
                <w:b/>
                <w:bCs/>
                <w:spacing w:val="-5"/>
              </w:rPr>
              <w:t>违法程度</w:t>
            </w:r>
          </w:p>
        </w:tc>
        <w:tc>
          <w:tcPr>
            <w:tcW w:w="7924" w:type="dxa"/>
            <w:vAlign w:val="top"/>
          </w:tcPr>
          <w:p>
            <w:pPr>
              <w:pStyle w:val="TableText"/>
              <w:ind w:left="3434"/>
              <w:spacing w:before="152" w:line="220" w:lineRule="auto"/>
              <w:rPr>
                <w:sz w:val="26"/>
                <w:szCs w:val="26"/>
              </w:rPr>
            </w:pPr>
            <w:r>
              <w:rPr>
                <w:sz w:val="26"/>
                <w:szCs w:val="26"/>
                <w:b/>
                <w:bCs/>
                <w:spacing w:val="-5"/>
              </w:rPr>
              <w:t>违法后果</w:t>
            </w:r>
          </w:p>
        </w:tc>
        <w:tc>
          <w:tcPr>
            <w:tcW w:w="4381" w:type="dxa"/>
            <w:vAlign w:val="top"/>
          </w:tcPr>
          <w:p>
            <w:pPr>
              <w:pStyle w:val="TableText"/>
              <w:ind w:left="1640"/>
              <w:spacing w:before="149" w:line="218" w:lineRule="auto"/>
              <w:rPr>
                <w:sz w:val="26"/>
                <w:szCs w:val="26"/>
              </w:rPr>
            </w:pPr>
            <w:r>
              <w:rPr>
                <w:sz w:val="26"/>
                <w:szCs w:val="26"/>
                <w:b/>
                <w:bCs/>
                <w:spacing w:val="-5"/>
              </w:rPr>
              <w:t>裁量幅度</w:t>
            </w:r>
          </w:p>
        </w:tc>
      </w:tr>
      <w:tr>
        <w:trPr>
          <w:trHeight w:val="879" w:hRule="atLeast"/>
        </w:trPr>
        <w:tc>
          <w:tcPr>
            <w:tcW w:w="1484" w:type="dxa"/>
            <w:vAlign w:val="top"/>
          </w:tcPr>
          <w:p>
            <w:pPr>
              <w:pStyle w:val="TableText"/>
              <w:ind w:left="478"/>
              <w:spacing w:before="312" w:line="221" w:lineRule="auto"/>
              <w:rPr>
                <w:sz w:val="26"/>
                <w:szCs w:val="26"/>
              </w:rPr>
            </w:pPr>
            <w:r>
              <w:rPr>
                <w:sz w:val="26"/>
                <w:szCs w:val="26"/>
                <w:b/>
                <w:bCs/>
                <w:spacing w:val="-10"/>
              </w:rPr>
              <w:t>一般</w:t>
            </w:r>
          </w:p>
        </w:tc>
        <w:tc>
          <w:tcPr>
            <w:tcW w:w="7924" w:type="dxa"/>
            <w:vAlign w:val="top"/>
          </w:tcPr>
          <w:p>
            <w:pPr>
              <w:pStyle w:val="TableText"/>
              <w:ind w:left="103" w:hanging="89"/>
              <w:spacing w:before="139" w:line="259" w:lineRule="auto"/>
              <w:rPr>
                <w:sz w:val="26"/>
                <w:szCs w:val="26"/>
              </w:rPr>
            </w:pPr>
            <w:r>
              <w:rPr>
                <w:sz w:val="26"/>
                <w:szCs w:val="26"/>
                <w:b/>
                <w:bCs/>
                <w:spacing w:val="-17"/>
              </w:rPr>
              <w:t>医</w:t>
            </w:r>
            <w:r>
              <w:rPr>
                <w:sz w:val="26"/>
                <w:szCs w:val="26"/>
                <w:b/>
                <w:bCs/>
                <w:spacing w:val="-16"/>
              </w:rPr>
              <w:t>疗机构有其他违反《抗菌药物临床应用管理办法》规定行为，经责令</w:t>
            </w:r>
            <w:r>
              <w:rPr>
                <w:sz w:val="26"/>
                <w:szCs w:val="26"/>
                <w:b/>
                <w:bCs/>
                <w:spacing w:val="-15"/>
              </w:rPr>
              <w:t>限</w:t>
            </w:r>
            <w:r>
              <w:rPr>
                <w:sz w:val="26"/>
                <w:szCs w:val="26"/>
                <w:spacing w:val="3"/>
              </w:rPr>
              <w:t xml:space="preserve"> </w:t>
            </w:r>
            <w:r>
              <w:rPr>
                <w:sz w:val="26"/>
                <w:szCs w:val="26"/>
                <w:b/>
                <w:bCs/>
                <w:spacing w:val="-2"/>
              </w:rPr>
              <w:t>期改正，逾期不改的</w:t>
            </w:r>
          </w:p>
        </w:tc>
        <w:tc>
          <w:tcPr>
            <w:tcW w:w="4381" w:type="dxa"/>
            <w:vAlign w:val="top"/>
          </w:tcPr>
          <w:p>
            <w:pPr>
              <w:spacing w:line="272" w:lineRule="auto"/>
              <w:rPr>
                <w:rFonts w:ascii="Arial"/>
                <w:sz w:val="21"/>
              </w:rPr>
            </w:pPr>
            <w:r/>
          </w:p>
          <w:p>
            <w:pPr>
              <w:pStyle w:val="TableText"/>
              <w:ind w:left="110"/>
              <w:spacing w:before="85" w:line="218" w:lineRule="auto"/>
              <w:rPr>
                <w:sz w:val="26"/>
                <w:szCs w:val="26"/>
              </w:rPr>
            </w:pPr>
            <w:r>
              <w:rPr>
                <w:sz w:val="26"/>
                <w:szCs w:val="26"/>
                <w:b/>
                <w:bCs/>
                <w:spacing w:val="-1"/>
              </w:rPr>
              <w:t>给予警告</w:t>
            </w:r>
          </w:p>
        </w:tc>
      </w:tr>
    </w:tbl>
    <w:p>
      <w:pPr>
        <w:pStyle w:val="BodyText"/>
        <w:spacing w:line="467" w:lineRule="auto"/>
        <w:rPr/>
      </w:pPr>
      <w:r/>
    </w:p>
    <w:p>
      <w:pPr>
        <w:ind w:left="29" w:right="358" w:firstLine="670"/>
        <w:spacing w:before="97" w:line="270" w:lineRule="auto"/>
        <w:rPr>
          <w:rFonts w:ascii="KaiTi" w:hAnsi="KaiTi" w:eastAsia="KaiTi" w:cs="KaiTi"/>
          <w:sz w:val="30"/>
          <w:szCs w:val="30"/>
        </w:rPr>
      </w:pPr>
      <w:r>
        <w:rPr>
          <w:rFonts w:ascii="KaiTi" w:hAnsi="KaiTi" w:eastAsia="KaiTi" w:cs="KaiTi"/>
          <w:sz w:val="30"/>
          <w:szCs w:val="30"/>
          <w:b/>
          <w:bCs/>
          <w:spacing w:val="21"/>
        </w:rPr>
        <w:t>第二百八十一条医疗机构使用未取得抗菌药物处方权的医师或者使用被取消抗菌药物处方权</w:t>
      </w:r>
      <w:r>
        <w:rPr>
          <w:rFonts w:ascii="KaiTi" w:hAnsi="KaiTi" w:eastAsia="KaiTi" w:cs="KaiTi"/>
          <w:sz w:val="30"/>
          <w:szCs w:val="30"/>
          <w:spacing w:val="4"/>
        </w:rPr>
        <w:t xml:space="preserve"> </w:t>
      </w:r>
      <w:r>
        <w:rPr>
          <w:rFonts w:ascii="KaiTi" w:hAnsi="KaiTi" w:eastAsia="KaiTi" w:cs="KaiTi"/>
          <w:sz w:val="30"/>
          <w:szCs w:val="30"/>
          <w:b/>
          <w:bCs/>
          <w:spacing w:val="14"/>
        </w:rPr>
        <w:t>的医师开具抗菌药物处方的</w:t>
      </w:r>
    </w:p>
    <w:p>
      <w:pPr>
        <w:ind w:left="684"/>
        <w:spacing w:line="222" w:lineRule="auto"/>
        <w:rPr>
          <w:rFonts w:ascii="FangSong" w:hAnsi="FangSong" w:eastAsia="FangSong" w:cs="FangSong"/>
          <w:sz w:val="30"/>
          <w:szCs w:val="30"/>
        </w:rPr>
      </w:pPr>
      <w:r>
        <w:rPr>
          <w:rFonts w:ascii="FangSong" w:hAnsi="FangSong" w:eastAsia="FangSong" w:cs="FangSong"/>
          <w:sz w:val="30"/>
          <w:szCs w:val="30"/>
          <w:spacing w:val="4"/>
        </w:rPr>
        <w:t>法律依据：</w:t>
      </w:r>
    </w:p>
    <w:p>
      <w:pPr>
        <w:ind w:left="25" w:right="70" w:firstLine="619"/>
        <w:spacing w:before="85" w:line="267" w:lineRule="auto"/>
        <w:jc w:val="both"/>
        <w:rPr>
          <w:rFonts w:ascii="FangSong" w:hAnsi="FangSong" w:eastAsia="FangSong" w:cs="FangSong"/>
          <w:sz w:val="30"/>
          <w:szCs w:val="30"/>
        </w:rPr>
      </w:pPr>
      <w:r>
        <w:rPr>
          <w:rFonts w:ascii="FangSong" w:hAnsi="FangSong" w:eastAsia="FangSong" w:cs="FangSong"/>
          <w:sz w:val="30"/>
          <w:szCs w:val="30"/>
          <w:spacing w:val="27"/>
        </w:rPr>
        <w:t>《抗菌药物临床应用管理办法》第五十条第(一)项</w:t>
      </w:r>
      <w:r>
        <w:rPr>
          <w:rFonts w:ascii="FangSong" w:hAnsi="FangSong" w:eastAsia="FangSong" w:cs="FangSong"/>
          <w:sz w:val="30"/>
          <w:szCs w:val="30"/>
          <w:spacing w:val="27"/>
        </w:rPr>
        <w:t xml:space="preserve">   </w:t>
      </w:r>
      <w:r>
        <w:rPr>
          <w:rFonts w:ascii="FangSong" w:hAnsi="FangSong" w:eastAsia="FangSong" w:cs="FangSong"/>
          <w:sz w:val="30"/>
          <w:szCs w:val="30"/>
          <w:spacing w:val="27"/>
        </w:rPr>
        <w:t>医疗机构有下列情形之一的，由县级以</w:t>
      </w:r>
      <w:r>
        <w:rPr>
          <w:rFonts w:ascii="FangSong" w:hAnsi="FangSong" w:eastAsia="FangSong" w:cs="FangSong"/>
          <w:sz w:val="30"/>
          <w:szCs w:val="30"/>
          <w:spacing w:val="2"/>
        </w:rPr>
        <w:t xml:space="preserve"> </w:t>
      </w:r>
      <w:r>
        <w:rPr>
          <w:rFonts w:ascii="FangSong" w:hAnsi="FangSong" w:eastAsia="FangSong" w:cs="FangSong"/>
          <w:sz w:val="30"/>
          <w:szCs w:val="30"/>
          <w:spacing w:val="17"/>
        </w:rPr>
        <w:t>上卫生行政部门责令限期改正，给予警告，并可</w:t>
      </w:r>
      <w:r>
        <w:rPr>
          <w:rFonts w:ascii="FangSong" w:hAnsi="FangSong" w:eastAsia="FangSong" w:cs="FangSong"/>
          <w:sz w:val="30"/>
          <w:szCs w:val="30"/>
          <w:spacing w:val="16"/>
        </w:rPr>
        <w:t>根据情节轻重处以三万元以下罚款；对负有责任的主</w:t>
      </w:r>
      <w:r>
        <w:rPr>
          <w:rFonts w:ascii="FangSong" w:hAnsi="FangSong" w:eastAsia="FangSong" w:cs="FangSong"/>
          <w:sz w:val="30"/>
          <w:szCs w:val="30"/>
        </w:rPr>
        <w:t xml:space="preserve"> </w:t>
      </w:r>
      <w:r>
        <w:rPr>
          <w:rFonts w:ascii="FangSong" w:hAnsi="FangSong" w:eastAsia="FangSong" w:cs="FangSong"/>
          <w:sz w:val="30"/>
          <w:szCs w:val="30"/>
          <w:spacing w:val="16"/>
        </w:rPr>
        <w:t>管人员和其他直接责任人员，可根据情节给予处分：</w:t>
      </w:r>
    </w:p>
    <w:p>
      <w:pPr>
        <w:ind w:left="25" w:right="43" w:firstLine="769"/>
        <w:spacing w:before="2" w:line="297" w:lineRule="auto"/>
        <w:rPr>
          <w:rFonts w:ascii="FangSong" w:hAnsi="FangSong" w:eastAsia="FangSong" w:cs="FangSong"/>
          <w:sz w:val="24"/>
          <w:szCs w:val="24"/>
        </w:rPr>
      </w:pPr>
      <w:r>
        <w:rPr>
          <w:rFonts w:ascii="FangSong" w:hAnsi="FangSong" w:eastAsia="FangSong" w:cs="FangSong"/>
          <w:sz w:val="30"/>
          <w:szCs w:val="30"/>
          <w:spacing w:val="21"/>
        </w:rPr>
        <w:t>(一)使用未取得抗菌药物处方权的医师或者使用被取消抗菌药物处方权的医师开具抗菌药物处</w:t>
      </w:r>
      <w:r>
        <w:rPr>
          <w:rFonts w:ascii="FangSong" w:hAnsi="FangSong" w:eastAsia="FangSong" w:cs="FangSong"/>
          <w:sz w:val="30"/>
          <w:szCs w:val="30"/>
          <w:spacing w:val="8"/>
        </w:rPr>
        <w:t xml:space="preserve"> </w:t>
      </w:r>
      <w:r>
        <w:rPr>
          <w:rFonts w:ascii="FangSong" w:hAnsi="FangSong" w:eastAsia="FangSong" w:cs="FangSong"/>
          <w:sz w:val="24"/>
          <w:szCs w:val="24"/>
          <w:spacing w:val="-18"/>
        </w:rPr>
        <w:t>方</w:t>
      </w:r>
      <w:r>
        <w:rPr>
          <w:rFonts w:ascii="FangSong" w:hAnsi="FangSong" w:eastAsia="FangSong" w:cs="FangSong"/>
          <w:sz w:val="24"/>
          <w:szCs w:val="24"/>
          <w:spacing w:val="8"/>
        </w:rPr>
        <w:t xml:space="preserve"> </w:t>
      </w:r>
      <w:r>
        <w:rPr>
          <w:rFonts w:ascii="FangSong" w:hAnsi="FangSong" w:eastAsia="FangSong" w:cs="FangSong"/>
          <w:sz w:val="24"/>
          <w:szCs w:val="24"/>
          <w:spacing w:val="-18"/>
        </w:rPr>
        <w:t>的</w:t>
      </w:r>
      <w:r>
        <w:rPr>
          <w:rFonts w:ascii="FangSong" w:hAnsi="FangSong" w:eastAsia="FangSong" w:cs="FangSong"/>
          <w:sz w:val="24"/>
          <w:szCs w:val="24"/>
          <w:spacing w:val="-23"/>
        </w:rPr>
        <w:t xml:space="preserve"> </w:t>
      </w:r>
      <w:r>
        <w:rPr>
          <w:rFonts w:ascii="FangSong" w:hAnsi="FangSong" w:eastAsia="FangSong" w:cs="FangSong"/>
          <w:sz w:val="24"/>
          <w:szCs w:val="24"/>
          <w:spacing w:val="-18"/>
        </w:rPr>
        <w:t>；</w:t>
      </w:r>
    </w:p>
    <w:p>
      <w:pPr>
        <w:ind w:left="6459"/>
        <w:spacing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0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94"/>
        <w:gridCol w:w="8364"/>
        <w:gridCol w:w="4262"/>
      </w:tblGrid>
      <w:tr>
        <w:trPr>
          <w:trHeight w:val="430" w:hRule="atLeast"/>
        </w:trPr>
        <w:tc>
          <w:tcPr>
            <w:tcW w:w="1394" w:type="dxa"/>
            <w:vAlign w:val="top"/>
          </w:tcPr>
          <w:p>
            <w:pPr>
              <w:pStyle w:val="TableText"/>
              <w:ind w:left="109"/>
              <w:spacing w:before="73" w:line="220" w:lineRule="auto"/>
              <w:rPr>
                <w:sz w:val="29"/>
                <w:szCs w:val="29"/>
              </w:rPr>
            </w:pPr>
            <w:r>
              <w:rPr>
                <w:sz w:val="29"/>
                <w:szCs w:val="29"/>
                <w:b/>
                <w:bCs/>
                <w:spacing w:val="-1"/>
              </w:rPr>
              <w:t>违法程度</w:t>
            </w:r>
          </w:p>
        </w:tc>
        <w:tc>
          <w:tcPr>
            <w:tcW w:w="8364" w:type="dxa"/>
            <w:vAlign w:val="top"/>
          </w:tcPr>
          <w:p>
            <w:pPr>
              <w:pStyle w:val="TableText"/>
              <w:ind w:left="3615"/>
              <w:spacing w:before="73" w:line="220" w:lineRule="auto"/>
              <w:rPr>
                <w:sz w:val="29"/>
                <w:szCs w:val="29"/>
              </w:rPr>
            </w:pPr>
            <w:r>
              <w:rPr>
                <w:sz w:val="29"/>
                <w:szCs w:val="29"/>
                <w:b/>
                <w:bCs/>
                <w:spacing w:val="-1"/>
              </w:rPr>
              <w:t>情节后果</w:t>
            </w:r>
          </w:p>
        </w:tc>
        <w:tc>
          <w:tcPr>
            <w:tcW w:w="4262" w:type="dxa"/>
            <w:vAlign w:val="top"/>
          </w:tcPr>
          <w:p>
            <w:pPr>
              <w:pStyle w:val="TableText"/>
              <w:ind w:left="1571"/>
              <w:spacing w:before="70" w:line="218" w:lineRule="auto"/>
              <w:rPr>
                <w:sz w:val="29"/>
                <w:szCs w:val="29"/>
              </w:rPr>
            </w:pPr>
            <w:r>
              <w:rPr>
                <w:sz w:val="29"/>
                <w:szCs w:val="29"/>
                <w:b/>
                <w:bCs/>
                <w:spacing w:val="-1"/>
              </w:rPr>
              <w:t>裁量幅度</w:t>
            </w:r>
          </w:p>
        </w:tc>
      </w:tr>
    </w:tbl>
    <w:p>
      <w:pPr>
        <w:pStyle w:val="BodyText"/>
        <w:rPr/>
      </w:pPr>
      <w:r/>
    </w:p>
    <w:p>
      <w:pPr>
        <w:sectPr>
          <w:footerReference w:type="default" r:id="rId334"/>
          <w:pgSz w:w="16830" w:h="11900"/>
          <w:pgMar w:top="1011" w:right="1394" w:bottom="1117" w:left="1405" w:header="0" w:footer="784" w:gutter="0"/>
        </w:sectPr>
        <w:rPr/>
      </w:pPr>
    </w:p>
    <w:p>
      <w:pPr>
        <w:spacing w:before="17"/>
        <w:rPr/>
      </w:pPr>
      <w:r/>
    </w:p>
    <w:p>
      <w:pPr>
        <w:spacing w:before="16"/>
        <w:rPr/>
      </w:pPr>
      <w:r/>
    </w:p>
    <w:p>
      <w:pPr>
        <w:spacing w:before="16"/>
        <w:rPr/>
      </w:pPr>
      <w:r/>
    </w:p>
    <w:tbl>
      <w:tblPr>
        <w:tblStyle w:val="TableNormal"/>
        <w:tblW w:w="140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94"/>
        <w:gridCol w:w="8364"/>
        <w:gridCol w:w="4262"/>
      </w:tblGrid>
      <w:tr>
        <w:trPr>
          <w:trHeight w:val="921" w:hRule="atLeast"/>
        </w:trPr>
        <w:tc>
          <w:tcPr>
            <w:tcW w:w="1394" w:type="dxa"/>
            <w:vAlign w:val="top"/>
          </w:tcPr>
          <w:p>
            <w:pPr>
              <w:spacing w:line="260" w:lineRule="auto"/>
              <w:rPr>
                <w:rFonts w:ascii="Arial"/>
                <w:sz w:val="21"/>
              </w:rPr>
            </w:pPr>
            <w:r/>
          </w:p>
          <w:p>
            <w:pPr>
              <w:pStyle w:val="TableText"/>
              <w:ind w:left="438"/>
              <w:spacing w:before="81" w:line="221" w:lineRule="auto"/>
              <w:rPr>
                <w:sz w:val="25"/>
                <w:szCs w:val="25"/>
              </w:rPr>
            </w:pPr>
            <w:bookmarkStart w:name="bookmark988" w:id="357"/>
            <w:bookmarkEnd w:id="357"/>
            <w:r>
              <w:rPr>
                <w:sz w:val="25"/>
                <w:szCs w:val="25"/>
                <w:b/>
                <w:bCs/>
                <w:spacing w:val="-10"/>
              </w:rPr>
              <w:t>一般</w:t>
            </w:r>
          </w:p>
        </w:tc>
        <w:tc>
          <w:tcPr>
            <w:tcW w:w="8364" w:type="dxa"/>
            <w:vAlign w:val="top"/>
          </w:tcPr>
          <w:p>
            <w:pPr>
              <w:pStyle w:val="TableText"/>
              <w:ind w:left="111" w:right="4" w:firstLine="9"/>
              <w:spacing w:before="163" w:line="276" w:lineRule="auto"/>
              <w:rPr>
                <w:sz w:val="25"/>
                <w:szCs w:val="25"/>
              </w:rPr>
            </w:pPr>
            <w:r>
              <w:rPr>
                <w:sz w:val="25"/>
                <w:szCs w:val="25"/>
                <w:spacing w:val="-1"/>
              </w:rPr>
              <w:t>医疗机构首次使用未取得抗菌药物处方权的医师或者使用被取消抗菌药物处</w:t>
            </w:r>
            <w:r>
              <w:rPr>
                <w:sz w:val="25"/>
                <w:szCs w:val="25"/>
                <w:spacing w:val="10"/>
              </w:rPr>
              <w:t xml:space="preserve"> </w:t>
            </w:r>
            <w:r>
              <w:rPr>
                <w:sz w:val="25"/>
                <w:szCs w:val="25"/>
                <w:spacing w:val="1"/>
              </w:rPr>
              <w:t>方权的医师开具抗菌药物处方的</w:t>
            </w:r>
          </w:p>
        </w:tc>
        <w:tc>
          <w:tcPr>
            <w:tcW w:w="4262" w:type="dxa"/>
            <w:vAlign w:val="top"/>
          </w:tcPr>
          <w:p>
            <w:pPr>
              <w:spacing w:line="260" w:lineRule="auto"/>
              <w:rPr>
                <w:rFonts w:ascii="Arial"/>
                <w:sz w:val="21"/>
              </w:rPr>
            </w:pPr>
            <w:r/>
          </w:p>
          <w:p>
            <w:pPr>
              <w:pStyle w:val="TableText"/>
              <w:ind w:left="117"/>
              <w:spacing w:before="81" w:line="218" w:lineRule="auto"/>
              <w:rPr>
                <w:sz w:val="25"/>
                <w:szCs w:val="25"/>
              </w:rPr>
            </w:pPr>
            <w:r>
              <w:rPr>
                <w:sz w:val="25"/>
                <w:szCs w:val="25"/>
                <w:spacing w:val="1"/>
              </w:rPr>
              <w:t>给予警告，并可处1万元以下罚款</w:t>
            </w:r>
          </w:p>
        </w:tc>
      </w:tr>
      <w:tr>
        <w:trPr>
          <w:trHeight w:val="896" w:hRule="atLeast"/>
        </w:trPr>
        <w:tc>
          <w:tcPr>
            <w:tcW w:w="1394" w:type="dxa"/>
            <w:vAlign w:val="top"/>
          </w:tcPr>
          <w:p>
            <w:pPr>
              <w:spacing w:line="251" w:lineRule="auto"/>
              <w:rPr>
                <w:rFonts w:ascii="Arial"/>
                <w:sz w:val="21"/>
              </w:rPr>
            </w:pPr>
            <w:r/>
          </w:p>
          <w:p>
            <w:pPr>
              <w:pStyle w:val="TableText"/>
              <w:ind w:left="438"/>
              <w:spacing w:before="81" w:line="221" w:lineRule="auto"/>
              <w:rPr>
                <w:sz w:val="25"/>
                <w:szCs w:val="25"/>
              </w:rPr>
            </w:pPr>
            <w:r>
              <w:rPr>
                <w:sz w:val="25"/>
                <w:szCs w:val="25"/>
                <w:b/>
                <w:bCs/>
                <w:spacing w:val="-6"/>
              </w:rPr>
              <w:t>较重</w:t>
            </w:r>
          </w:p>
        </w:tc>
        <w:tc>
          <w:tcPr>
            <w:tcW w:w="8364" w:type="dxa"/>
            <w:vAlign w:val="top"/>
          </w:tcPr>
          <w:p>
            <w:pPr>
              <w:pStyle w:val="TableText"/>
              <w:ind w:left="111" w:firstLine="19"/>
              <w:spacing w:before="152" w:line="271" w:lineRule="auto"/>
              <w:rPr>
                <w:sz w:val="25"/>
                <w:szCs w:val="25"/>
              </w:rPr>
            </w:pPr>
            <w:r>
              <w:rPr>
                <w:sz w:val="25"/>
                <w:szCs w:val="25"/>
                <w:spacing w:val="-1"/>
              </w:rPr>
              <w:t>医疗机构使用未取得抗菌药物处方权的医师或者使用被取消抗菌药物处方权</w:t>
            </w:r>
            <w:r>
              <w:rPr>
                <w:sz w:val="25"/>
                <w:szCs w:val="25"/>
                <w:spacing w:val="4"/>
              </w:rPr>
              <w:t xml:space="preserve"> </w:t>
            </w:r>
            <w:r>
              <w:rPr>
                <w:sz w:val="25"/>
                <w:szCs w:val="25"/>
              </w:rPr>
              <w:t>的医师开具抗菌药物处方，曾因此受到行政处罚再次违反的</w:t>
            </w:r>
          </w:p>
        </w:tc>
        <w:tc>
          <w:tcPr>
            <w:tcW w:w="4262" w:type="dxa"/>
            <w:vAlign w:val="top"/>
          </w:tcPr>
          <w:p>
            <w:pPr>
              <w:pStyle w:val="TableText"/>
              <w:ind w:left="117" w:right="112"/>
              <w:spacing w:before="141" w:line="275" w:lineRule="auto"/>
              <w:rPr>
                <w:sz w:val="25"/>
                <w:szCs w:val="25"/>
              </w:rPr>
            </w:pPr>
            <w:r>
              <w:rPr>
                <w:sz w:val="25"/>
                <w:szCs w:val="25"/>
                <w:spacing w:val="1"/>
              </w:rPr>
              <w:t>给予警告，并可处1万元以上3万元以</w:t>
            </w:r>
            <w:r>
              <w:rPr>
                <w:sz w:val="25"/>
                <w:szCs w:val="25"/>
                <w:spacing w:val="4"/>
              </w:rPr>
              <w:t xml:space="preserve"> </w:t>
            </w:r>
            <w:r>
              <w:rPr>
                <w:sz w:val="25"/>
                <w:szCs w:val="25"/>
                <w:spacing w:val="3"/>
              </w:rPr>
              <w:t>下罚款</w:t>
            </w:r>
          </w:p>
        </w:tc>
      </w:tr>
      <w:tr>
        <w:trPr>
          <w:trHeight w:val="862" w:hRule="atLeast"/>
        </w:trPr>
        <w:tc>
          <w:tcPr>
            <w:tcW w:w="1394" w:type="dxa"/>
            <w:vAlign w:val="top"/>
          </w:tcPr>
          <w:p>
            <w:pPr>
              <w:pStyle w:val="TableText"/>
              <w:ind w:left="438"/>
              <w:spacing w:before="315" w:line="220" w:lineRule="auto"/>
              <w:rPr>
                <w:sz w:val="25"/>
                <w:szCs w:val="25"/>
              </w:rPr>
            </w:pPr>
            <w:r>
              <w:rPr>
                <w:sz w:val="25"/>
                <w:szCs w:val="25"/>
                <w:b/>
                <w:bCs/>
                <w:spacing w:val="-6"/>
              </w:rPr>
              <w:t>严重</w:t>
            </w:r>
          </w:p>
        </w:tc>
        <w:tc>
          <w:tcPr>
            <w:tcW w:w="8364" w:type="dxa"/>
            <w:vAlign w:val="top"/>
          </w:tcPr>
          <w:p>
            <w:pPr>
              <w:pStyle w:val="TableText"/>
              <w:ind w:left="111" w:right="4" w:firstLine="9"/>
              <w:spacing w:before="147" w:line="260" w:lineRule="auto"/>
              <w:rPr>
                <w:sz w:val="25"/>
                <w:szCs w:val="25"/>
              </w:rPr>
            </w:pPr>
            <w:r>
              <w:rPr>
                <w:sz w:val="25"/>
                <w:szCs w:val="25"/>
                <w:spacing w:val="-1"/>
              </w:rPr>
              <w:t>医疗机构使用未取得抗菌药物处方权的医师或者使用被取消抗菌药物处方权</w:t>
            </w:r>
            <w:r>
              <w:rPr>
                <w:sz w:val="25"/>
                <w:szCs w:val="25"/>
                <w:spacing w:val="10"/>
              </w:rPr>
              <w:t xml:space="preserve"> </w:t>
            </w:r>
            <w:r>
              <w:rPr>
                <w:sz w:val="25"/>
                <w:szCs w:val="25"/>
                <w:spacing w:val="1"/>
              </w:rPr>
              <w:t>的医师开具抗菌药物处方，造成严重后果的</w:t>
            </w:r>
          </w:p>
        </w:tc>
        <w:tc>
          <w:tcPr>
            <w:tcW w:w="4262" w:type="dxa"/>
            <w:vAlign w:val="top"/>
          </w:tcPr>
          <w:p>
            <w:pPr>
              <w:spacing w:line="283" w:lineRule="auto"/>
              <w:rPr>
                <w:rFonts w:ascii="Arial"/>
                <w:sz w:val="21"/>
              </w:rPr>
            </w:pPr>
            <w:r/>
          </w:p>
          <w:p>
            <w:pPr>
              <w:pStyle w:val="TableText"/>
              <w:ind w:left="117"/>
              <w:spacing w:before="81" w:line="218" w:lineRule="auto"/>
              <w:rPr>
                <w:sz w:val="25"/>
                <w:szCs w:val="25"/>
              </w:rPr>
            </w:pPr>
            <w:r>
              <w:rPr>
                <w:sz w:val="25"/>
                <w:szCs w:val="25"/>
                <w:spacing w:val="1"/>
              </w:rPr>
              <w:t>给予警告，并可处3万元罚款</w:t>
            </w:r>
          </w:p>
        </w:tc>
      </w:tr>
    </w:tbl>
    <w:p>
      <w:pPr>
        <w:pStyle w:val="BodyText"/>
        <w:spacing w:line="241" w:lineRule="auto"/>
        <w:rPr/>
      </w:pPr>
      <w:r/>
    </w:p>
    <w:p>
      <w:pPr>
        <w:pStyle w:val="BodyText"/>
        <w:spacing w:line="242" w:lineRule="auto"/>
        <w:rPr/>
      </w:pPr>
      <w:r/>
    </w:p>
    <w:p>
      <w:pPr>
        <w:ind w:left="709"/>
        <w:spacing w:before="101" w:line="220" w:lineRule="auto"/>
        <w:rPr>
          <w:rFonts w:ascii="FangSong" w:hAnsi="FangSong" w:eastAsia="FangSong" w:cs="FangSong"/>
          <w:sz w:val="31"/>
          <w:szCs w:val="31"/>
        </w:rPr>
      </w:pPr>
      <w:r>
        <w:rPr>
          <w:rFonts w:ascii="FangSong" w:hAnsi="FangSong" w:eastAsia="FangSong" w:cs="FangSong"/>
          <w:sz w:val="31"/>
          <w:szCs w:val="31"/>
          <w:b/>
          <w:bCs/>
          <w:spacing w:val="11"/>
        </w:rPr>
        <w:t>第二百八十二条医疗机构未对抗菌药物处方、医嘱实施适宜性审核，情节严重的</w:t>
      </w:r>
    </w:p>
    <w:p>
      <w:pPr>
        <w:ind w:left="695"/>
        <w:spacing w:before="117"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55" w:right="48" w:firstLine="624"/>
        <w:spacing w:before="82" w:line="262" w:lineRule="auto"/>
        <w:jc w:val="both"/>
        <w:rPr>
          <w:rFonts w:ascii="FangSong" w:hAnsi="FangSong" w:eastAsia="FangSong" w:cs="FangSong"/>
          <w:sz w:val="31"/>
          <w:szCs w:val="31"/>
        </w:rPr>
      </w:pPr>
      <w:r>
        <w:rPr>
          <w:rFonts w:ascii="FangSong" w:hAnsi="FangSong" w:eastAsia="FangSong" w:cs="FangSong"/>
          <w:sz w:val="31"/>
          <w:szCs w:val="31"/>
          <w:spacing w:val="20"/>
        </w:rPr>
        <w:t>《抗菌药物临床应用管理办法》第五十条第(</w:t>
      </w:r>
      <w:r>
        <w:rPr>
          <w:rFonts w:ascii="FangSong" w:hAnsi="FangSong" w:eastAsia="FangSong" w:cs="FangSong"/>
          <w:sz w:val="31"/>
          <w:szCs w:val="31"/>
          <w:spacing w:val="19"/>
        </w:rPr>
        <w:t>二)项</w:t>
      </w:r>
      <w:r>
        <w:rPr>
          <w:rFonts w:ascii="FangSong" w:hAnsi="FangSong" w:eastAsia="FangSong" w:cs="FangSong"/>
          <w:sz w:val="31"/>
          <w:szCs w:val="31"/>
          <w:spacing w:val="65"/>
        </w:rPr>
        <w:t xml:space="preserve">  </w:t>
      </w:r>
      <w:r>
        <w:rPr>
          <w:rFonts w:ascii="FangSong" w:hAnsi="FangSong" w:eastAsia="FangSong" w:cs="FangSong"/>
          <w:sz w:val="31"/>
          <w:szCs w:val="31"/>
          <w:spacing w:val="19"/>
        </w:rPr>
        <w:t>医疗机构有下列情形之一的，由县级以</w:t>
      </w:r>
      <w:r>
        <w:rPr>
          <w:rFonts w:ascii="FangSong" w:hAnsi="FangSong" w:eastAsia="FangSong" w:cs="FangSong"/>
          <w:sz w:val="31"/>
          <w:szCs w:val="31"/>
        </w:rPr>
        <w:t xml:space="preserve"> </w:t>
      </w:r>
      <w:r>
        <w:rPr>
          <w:rFonts w:ascii="FangSong" w:hAnsi="FangSong" w:eastAsia="FangSong" w:cs="FangSong"/>
          <w:sz w:val="31"/>
          <w:szCs w:val="31"/>
          <w:spacing w:val="7"/>
        </w:rPr>
        <w:t>上卫生行政部门责令限期改正，给予警告，并可</w:t>
      </w:r>
      <w:r>
        <w:rPr>
          <w:rFonts w:ascii="FangSong" w:hAnsi="FangSong" w:eastAsia="FangSong" w:cs="FangSong"/>
          <w:sz w:val="31"/>
          <w:szCs w:val="31"/>
          <w:spacing w:val="6"/>
        </w:rPr>
        <w:t>根据情节轻重处以三万元以下罚款；对负有责任的主</w:t>
      </w:r>
      <w:r>
        <w:rPr>
          <w:rFonts w:ascii="FangSong" w:hAnsi="FangSong" w:eastAsia="FangSong" w:cs="FangSong"/>
          <w:sz w:val="31"/>
          <w:szCs w:val="31"/>
        </w:rPr>
        <w:t xml:space="preserve"> </w:t>
      </w:r>
      <w:r>
        <w:rPr>
          <w:rFonts w:ascii="FangSong" w:hAnsi="FangSong" w:eastAsia="FangSong" w:cs="FangSong"/>
          <w:sz w:val="31"/>
          <w:szCs w:val="31"/>
          <w:spacing w:val="6"/>
        </w:rPr>
        <w:t>管人员和其他直接责任人员，可根据情节给予处分：</w:t>
      </w:r>
    </w:p>
    <w:p>
      <w:pPr>
        <w:ind w:left="805"/>
        <w:spacing w:line="220" w:lineRule="auto"/>
        <w:rPr>
          <w:rFonts w:ascii="FangSong" w:hAnsi="FangSong" w:eastAsia="FangSong" w:cs="FangSong"/>
          <w:sz w:val="31"/>
          <w:szCs w:val="31"/>
        </w:rPr>
      </w:pPr>
      <w:r>
        <w:rPr>
          <w:rFonts w:ascii="FangSong" w:hAnsi="FangSong" w:eastAsia="FangSong" w:cs="FangSong"/>
          <w:sz w:val="31"/>
          <w:szCs w:val="31"/>
          <w:spacing w:val="14"/>
        </w:rPr>
        <w:t>(二)未对抗菌药物处方、医嘱实施适宜性审</w:t>
      </w:r>
      <w:r>
        <w:rPr>
          <w:rFonts w:ascii="FangSong" w:hAnsi="FangSong" w:eastAsia="FangSong" w:cs="FangSong"/>
          <w:sz w:val="31"/>
          <w:szCs w:val="31"/>
          <w:spacing w:val="13"/>
        </w:rPr>
        <w:t>核，情节严重的；</w:t>
      </w:r>
    </w:p>
    <w:p>
      <w:pPr>
        <w:ind w:left="6449"/>
        <w:spacing w:before="62"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0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7405"/>
        <w:gridCol w:w="5221"/>
      </w:tblGrid>
      <w:tr>
        <w:trPr>
          <w:trHeight w:val="561" w:hRule="atLeast"/>
        </w:trPr>
        <w:tc>
          <w:tcPr>
            <w:tcW w:w="1404" w:type="dxa"/>
            <w:vAlign w:val="top"/>
          </w:tcPr>
          <w:p>
            <w:pPr>
              <w:pStyle w:val="TableText"/>
              <w:ind w:left="178"/>
              <w:spacing w:before="152" w:line="220" w:lineRule="auto"/>
              <w:rPr>
                <w:sz w:val="26"/>
                <w:szCs w:val="26"/>
              </w:rPr>
            </w:pPr>
            <w:r>
              <w:rPr>
                <w:sz w:val="26"/>
                <w:szCs w:val="26"/>
                <w:b/>
                <w:bCs/>
                <w:spacing w:val="-5"/>
              </w:rPr>
              <w:t>违法程度</w:t>
            </w:r>
          </w:p>
        </w:tc>
        <w:tc>
          <w:tcPr>
            <w:tcW w:w="7405" w:type="dxa"/>
            <w:vAlign w:val="top"/>
          </w:tcPr>
          <w:p>
            <w:pPr>
              <w:pStyle w:val="TableText"/>
              <w:ind w:left="3144"/>
              <w:spacing w:before="152" w:line="220" w:lineRule="auto"/>
              <w:rPr>
                <w:sz w:val="26"/>
                <w:szCs w:val="26"/>
              </w:rPr>
            </w:pPr>
            <w:r>
              <w:rPr>
                <w:sz w:val="26"/>
                <w:szCs w:val="26"/>
                <w:b/>
                <w:bCs/>
                <w:spacing w:val="-5"/>
              </w:rPr>
              <w:t>情节后果</w:t>
            </w:r>
          </w:p>
        </w:tc>
        <w:tc>
          <w:tcPr>
            <w:tcW w:w="5221" w:type="dxa"/>
            <w:vAlign w:val="top"/>
          </w:tcPr>
          <w:p>
            <w:pPr>
              <w:pStyle w:val="TableText"/>
              <w:ind w:left="2089"/>
              <w:spacing w:before="149" w:line="218" w:lineRule="auto"/>
              <w:rPr>
                <w:sz w:val="26"/>
                <w:szCs w:val="26"/>
              </w:rPr>
            </w:pPr>
            <w:r>
              <w:rPr>
                <w:sz w:val="26"/>
                <w:szCs w:val="26"/>
                <w:b/>
                <w:bCs/>
                <w:spacing w:val="-5"/>
              </w:rPr>
              <w:t>裁量幅度</w:t>
            </w:r>
          </w:p>
        </w:tc>
      </w:tr>
      <w:tr>
        <w:trPr>
          <w:trHeight w:val="859" w:hRule="atLeast"/>
        </w:trPr>
        <w:tc>
          <w:tcPr>
            <w:tcW w:w="1404" w:type="dxa"/>
            <w:vAlign w:val="top"/>
          </w:tcPr>
          <w:p>
            <w:pPr>
              <w:pStyle w:val="TableText"/>
              <w:ind w:left="438"/>
              <w:spacing w:before="302" w:line="221" w:lineRule="auto"/>
              <w:rPr>
                <w:sz w:val="26"/>
                <w:szCs w:val="26"/>
              </w:rPr>
            </w:pPr>
            <w:r>
              <w:rPr>
                <w:sz w:val="26"/>
                <w:szCs w:val="26"/>
                <w:b/>
                <w:bCs/>
                <w:spacing w:val="-10"/>
              </w:rPr>
              <w:t>一般</w:t>
            </w:r>
          </w:p>
        </w:tc>
        <w:tc>
          <w:tcPr>
            <w:tcW w:w="7405" w:type="dxa"/>
            <w:vAlign w:val="top"/>
          </w:tcPr>
          <w:p>
            <w:pPr>
              <w:pStyle w:val="TableText"/>
              <w:ind w:left="124"/>
              <w:spacing w:before="299" w:line="219" w:lineRule="auto"/>
              <w:rPr>
                <w:sz w:val="26"/>
                <w:szCs w:val="26"/>
              </w:rPr>
            </w:pPr>
            <w:r>
              <w:rPr>
                <w:sz w:val="26"/>
                <w:szCs w:val="26"/>
                <w:b/>
                <w:bCs/>
                <w:spacing w:val="-3"/>
              </w:rPr>
              <w:t>医疗机构未对抗菌药物处方、医嘱实施适宜性审核</w:t>
            </w:r>
          </w:p>
        </w:tc>
        <w:tc>
          <w:tcPr>
            <w:tcW w:w="5221" w:type="dxa"/>
            <w:vAlign w:val="top"/>
          </w:tcPr>
          <w:p>
            <w:pPr>
              <w:pStyle w:val="TableText"/>
              <w:ind w:left="139" w:hanging="120"/>
              <w:spacing w:before="130" w:line="255" w:lineRule="auto"/>
              <w:rPr>
                <w:sz w:val="26"/>
                <w:szCs w:val="26"/>
              </w:rPr>
            </w:pPr>
            <w:r>
              <w:rPr>
                <w:sz w:val="26"/>
                <w:szCs w:val="26"/>
                <w:b/>
                <w:bCs/>
                <w:spacing w:val="-17"/>
              </w:rPr>
              <w:t>由县级以</w:t>
            </w:r>
            <w:r>
              <w:rPr>
                <w:sz w:val="26"/>
                <w:szCs w:val="26"/>
                <w:b/>
                <w:bCs/>
                <w:spacing w:val="-16"/>
              </w:rPr>
              <w:t>上卫生行政部门责令限期改正，给予</w:t>
            </w:r>
            <w:r>
              <w:rPr>
                <w:sz w:val="26"/>
                <w:szCs w:val="26"/>
                <w:b/>
                <w:bCs/>
                <w:spacing w:val="-12"/>
              </w:rPr>
              <w:t>警</w:t>
            </w:r>
            <w:r>
              <w:rPr>
                <w:sz w:val="26"/>
                <w:szCs w:val="26"/>
                <w:spacing w:val="9"/>
              </w:rPr>
              <w:t xml:space="preserve"> </w:t>
            </w:r>
            <w:r>
              <w:rPr>
                <w:sz w:val="26"/>
                <w:szCs w:val="26"/>
                <w:b/>
                <w:bCs/>
                <w:spacing w:val="-3"/>
              </w:rPr>
              <w:t>告，并可处一万元以上两万元以下罚款</w:t>
            </w:r>
          </w:p>
        </w:tc>
      </w:tr>
    </w:tbl>
    <w:p>
      <w:pPr>
        <w:pStyle w:val="BodyText"/>
        <w:rPr/>
      </w:pPr>
      <w:r/>
    </w:p>
    <w:p>
      <w:pPr>
        <w:sectPr>
          <w:footerReference w:type="default" r:id="rId335"/>
          <w:pgSz w:w="16830" w:h="11900"/>
          <w:pgMar w:top="1011" w:right="1394" w:bottom="1117" w:left="1394" w:header="0" w:footer="784" w:gutter="0"/>
        </w:sectPr>
        <w:rPr/>
      </w:pPr>
    </w:p>
    <w:p>
      <w:pPr>
        <w:spacing w:before="20"/>
        <w:rPr/>
      </w:pPr>
      <w:r/>
    </w:p>
    <w:p>
      <w:pPr>
        <w:spacing w:before="20"/>
        <w:rPr/>
      </w:pPr>
      <w:r/>
    </w:p>
    <w:p>
      <w:pPr>
        <w:spacing w:before="19"/>
        <w:rPr/>
      </w:pPr>
      <w:r/>
    </w:p>
    <w:tbl>
      <w:tblPr>
        <w:tblStyle w:val="TableNormal"/>
        <w:tblW w:w="140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7395"/>
        <w:gridCol w:w="5221"/>
      </w:tblGrid>
      <w:tr>
        <w:trPr>
          <w:trHeight w:val="880" w:hRule="atLeast"/>
        </w:trPr>
        <w:tc>
          <w:tcPr>
            <w:tcW w:w="1404" w:type="dxa"/>
            <w:vAlign w:val="top"/>
          </w:tcPr>
          <w:p>
            <w:pPr>
              <w:spacing w:line="242" w:lineRule="auto"/>
              <w:rPr>
                <w:rFonts w:ascii="Arial"/>
                <w:sz w:val="21"/>
              </w:rPr>
            </w:pPr>
            <w:r/>
          </w:p>
          <w:p>
            <w:pPr>
              <w:pStyle w:val="TableText"/>
              <w:ind w:left="438"/>
              <w:spacing w:before="78" w:line="220" w:lineRule="auto"/>
              <w:rPr/>
            </w:pPr>
            <w:bookmarkStart w:name="bookmark989" w:id="358"/>
            <w:bookmarkEnd w:id="358"/>
            <w:r>
              <w:rPr>
                <w:b/>
                <w:bCs/>
                <w:spacing w:val="-6"/>
              </w:rPr>
              <w:t>严重</w:t>
            </w:r>
          </w:p>
        </w:tc>
        <w:tc>
          <w:tcPr>
            <w:tcW w:w="7395" w:type="dxa"/>
            <w:vAlign w:val="top"/>
          </w:tcPr>
          <w:p>
            <w:pPr>
              <w:pStyle w:val="TableText"/>
              <w:ind w:left="100" w:right="73"/>
              <w:spacing w:before="144" w:line="279" w:lineRule="auto"/>
              <w:rPr/>
            </w:pPr>
            <w:r>
              <w:rPr/>
              <w:t>医疗机构未对抗菌药物处方、医嘱实施适宜性审核，情节严重或曾受</w:t>
            </w:r>
            <w:r>
              <w:rPr>
                <w:spacing w:val="9"/>
              </w:rPr>
              <w:t xml:space="preserve"> </w:t>
            </w:r>
            <w:r>
              <w:rPr/>
              <w:t>到行政处罚再次违反</w:t>
            </w:r>
          </w:p>
        </w:tc>
        <w:tc>
          <w:tcPr>
            <w:tcW w:w="5221" w:type="dxa"/>
            <w:vAlign w:val="top"/>
          </w:tcPr>
          <w:p>
            <w:pPr>
              <w:pStyle w:val="TableText"/>
              <w:ind w:left="135" w:right="24"/>
              <w:spacing w:before="123" w:line="287" w:lineRule="auto"/>
              <w:rPr/>
            </w:pPr>
            <w:r>
              <w:rPr/>
              <w:t>由县级以上卫生行政部门责令限期改正，给予警</w:t>
            </w:r>
            <w:r>
              <w:rPr>
                <w:spacing w:val="9"/>
              </w:rPr>
              <w:t xml:space="preserve"> </w:t>
            </w:r>
            <w:r>
              <w:rPr/>
              <w:t>告，并可处两万元以上三万元以下罚款</w:t>
            </w:r>
          </w:p>
        </w:tc>
      </w:tr>
    </w:tbl>
    <w:p>
      <w:pPr>
        <w:pStyle w:val="BodyText"/>
        <w:spacing w:line="447" w:lineRule="auto"/>
        <w:rPr/>
      </w:pPr>
      <w:r/>
    </w:p>
    <w:p>
      <w:pPr>
        <w:ind w:left="679"/>
        <w:spacing w:before="97" w:line="220" w:lineRule="auto"/>
        <w:rPr>
          <w:rFonts w:ascii="FangSong" w:hAnsi="FangSong" w:eastAsia="FangSong" w:cs="FangSong"/>
          <w:sz w:val="30"/>
          <w:szCs w:val="30"/>
        </w:rPr>
      </w:pPr>
      <w:r>
        <w:rPr>
          <w:rFonts w:ascii="FangSong" w:hAnsi="FangSong" w:eastAsia="FangSong" w:cs="FangSong"/>
          <w:sz w:val="30"/>
          <w:szCs w:val="30"/>
          <w:b/>
          <w:bCs/>
          <w:spacing w:val="22"/>
        </w:rPr>
        <w:t>第二百八十三条医疗机构非药学部门从事抗菌药物购销、调剂活动的</w:t>
      </w:r>
    </w:p>
    <w:p>
      <w:pPr>
        <w:ind w:left="675"/>
        <w:spacing w:before="110"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45" w:right="39" w:firstLine="609"/>
        <w:spacing w:before="65" w:line="265" w:lineRule="auto"/>
        <w:jc w:val="both"/>
        <w:rPr>
          <w:rFonts w:ascii="FangSong" w:hAnsi="FangSong" w:eastAsia="FangSong" w:cs="FangSong"/>
          <w:sz w:val="30"/>
          <w:szCs w:val="30"/>
        </w:rPr>
      </w:pPr>
      <w:r>
        <w:rPr>
          <w:rFonts w:ascii="FangSong" w:hAnsi="FangSong" w:eastAsia="FangSong" w:cs="FangSong"/>
          <w:sz w:val="30"/>
          <w:szCs w:val="30"/>
          <w:spacing w:val="29"/>
        </w:rPr>
        <w:t>《抗菌药物临床应用管理办法》第五十条第(三)项</w:t>
      </w:r>
      <w:r>
        <w:rPr>
          <w:rFonts w:ascii="FangSong" w:hAnsi="FangSong" w:eastAsia="FangSong" w:cs="FangSong"/>
          <w:sz w:val="30"/>
          <w:szCs w:val="30"/>
          <w:spacing w:val="4"/>
        </w:rPr>
        <w:t xml:space="preserve">   </w:t>
      </w:r>
      <w:r>
        <w:rPr>
          <w:rFonts w:ascii="FangSong" w:hAnsi="FangSong" w:eastAsia="FangSong" w:cs="FangSong"/>
          <w:sz w:val="30"/>
          <w:szCs w:val="30"/>
          <w:spacing w:val="29"/>
        </w:rPr>
        <w:t>医疗机构有下列情形之一的，由县级以</w:t>
      </w:r>
      <w:r>
        <w:rPr>
          <w:rFonts w:ascii="FangSong" w:hAnsi="FangSong" w:eastAsia="FangSong" w:cs="FangSong"/>
          <w:sz w:val="30"/>
          <w:szCs w:val="30"/>
          <w:spacing w:val="2"/>
        </w:rPr>
        <w:t xml:space="preserve"> </w:t>
      </w:r>
      <w:r>
        <w:rPr>
          <w:rFonts w:ascii="FangSong" w:hAnsi="FangSong" w:eastAsia="FangSong" w:cs="FangSong"/>
          <w:sz w:val="30"/>
          <w:szCs w:val="30"/>
          <w:spacing w:val="17"/>
        </w:rPr>
        <w:t>上卫生行政部门责令限期改正，给予警告，并可根据情节轻重处以三万元以下罚款；对负有</w:t>
      </w:r>
      <w:r>
        <w:rPr>
          <w:rFonts w:ascii="FangSong" w:hAnsi="FangSong" w:eastAsia="FangSong" w:cs="FangSong"/>
          <w:sz w:val="30"/>
          <w:szCs w:val="30"/>
          <w:spacing w:val="16"/>
        </w:rPr>
        <w:t>责任的主</w:t>
      </w:r>
      <w:r>
        <w:rPr>
          <w:rFonts w:ascii="FangSong" w:hAnsi="FangSong" w:eastAsia="FangSong" w:cs="FangSong"/>
          <w:sz w:val="30"/>
          <w:szCs w:val="30"/>
        </w:rPr>
        <w:t xml:space="preserve"> </w:t>
      </w:r>
      <w:r>
        <w:rPr>
          <w:rFonts w:ascii="FangSong" w:hAnsi="FangSong" w:eastAsia="FangSong" w:cs="FangSong"/>
          <w:sz w:val="30"/>
          <w:szCs w:val="30"/>
          <w:spacing w:val="16"/>
        </w:rPr>
        <w:t>管人员和其他直接责任人员，可根据情节给予处分：</w:t>
      </w:r>
    </w:p>
    <w:p>
      <w:pPr>
        <w:ind w:left="815"/>
        <w:spacing w:before="18" w:line="221" w:lineRule="auto"/>
        <w:rPr>
          <w:rFonts w:ascii="FangSong" w:hAnsi="FangSong" w:eastAsia="FangSong" w:cs="FangSong"/>
          <w:sz w:val="30"/>
          <w:szCs w:val="30"/>
        </w:rPr>
      </w:pPr>
      <w:r>
        <w:rPr>
          <w:rFonts w:ascii="FangSong" w:hAnsi="FangSong" w:eastAsia="FangSong" w:cs="FangSong"/>
          <w:sz w:val="30"/>
          <w:szCs w:val="30"/>
          <w:spacing w:val="23"/>
        </w:rPr>
        <w:t>(三)非药学部门从事抗菌药物购销、调剂活动的；</w:t>
      </w:r>
    </w:p>
    <w:p>
      <w:pPr>
        <w:ind w:left="6459"/>
        <w:spacing w:before="52"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789" w:type="dxa"/>
        <w:tblInd w:w="12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84"/>
        <w:gridCol w:w="7224"/>
        <w:gridCol w:w="5081"/>
      </w:tblGrid>
      <w:tr>
        <w:trPr>
          <w:trHeight w:val="602" w:hRule="atLeast"/>
        </w:trPr>
        <w:tc>
          <w:tcPr>
            <w:tcW w:w="1484" w:type="dxa"/>
            <w:vAlign w:val="top"/>
          </w:tcPr>
          <w:p>
            <w:pPr>
              <w:pStyle w:val="TableText"/>
              <w:ind w:left="238"/>
              <w:spacing w:before="182" w:line="220" w:lineRule="auto"/>
              <w:rPr>
                <w:sz w:val="25"/>
                <w:szCs w:val="25"/>
              </w:rPr>
            </w:pPr>
            <w:r>
              <w:rPr>
                <w:sz w:val="25"/>
                <w:szCs w:val="25"/>
                <w:b/>
                <w:bCs/>
                <w:spacing w:val="-5"/>
              </w:rPr>
              <w:t>违法程度</w:t>
            </w:r>
          </w:p>
        </w:tc>
        <w:tc>
          <w:tcPr>
            <w:tcW w:w="7224" w:type="dxa"/>
            <w:vAlign w:val="top"/>
          </w:tcPr>
          <w:p>
            <w:pPr>
              <w:pStyle w:val="TableText"/>
              <w:ind w:left="3034"/>
              <w:spacing w:before="182" w:line="220" w:lineRule="auto"/>
              <w:rPr>
                <w:sz w:val="25"/>
                <w:szCs w:val="25"/>
              </w:rPr>
            </w:pPr>
            <w:r>
              <w:rPr>
                <w:sz w:val="25"/>
                <w:szCs w:val="25"/>
                <w:b/>
                <w:bCs/>
                <w:spacing w:val="-5"/>
              </w:rPr>
              <w:t>违法后果</w:t>
            </w:r>
          </w:p>
        </w:tc>
        <w:tc>
          <w:tcPr>
            <w:tcW w:w="5081" w:type="dxa"/>
            <w:vAlign w:val="top"/>
          </w:tcPr>
          <w:p>
            <w:pPr>
              <w:pStyle w:val="TableText"/>
              <w:ind w:left="2040"/>
              <w:spacing w:before="179" w:line="218" w:lineRule="auto"/>
              <w:rPr>
                <w:sz w:val="25"/>
                <w:szCs w:val="25"/>
              </w:rPr>
            </w:pPr>
            <w:r>
              <w:rPr>
                <w:sz w:val="25"/>
                <w:szCs w:val="25"/>
                <w:b/>
                <w:bCs/>
                <w:spacing w:val="-5"/>
              </w:rPr>
              <w:t>裁量幅度</w:t>
            </w:r>
          </w:p>
        </w:tc>
      </w:tr>
      <w:tr>
        <w:trPr>
          <w:trHeight w:val="876" w:hRule="atLeast"/>
        </w:trPr>
        <w:tc>
          <w:tcPr>
            <w:tcW w:w="1484" w:type="dxa"/>
            <w:vAlign w:val="top"/>
          </w:tcPr>
          <w:p>
            <w:pPr>
              <w:pStyle w:val="TableText"/>
              <w:ind w:left="488"/>
              <w:spacing w:before="321" w:line="221" w:lineRule="auto"/>
              <w:rPr>
                <w:sz w:val="25"/>
                <w:szCs w:val="25"/>
              </w:rPr>
            </w:pPr>
            <w:r>
              <w:rPr>
                <w:sz w:val="25"/>
                <w:szCs w:val="25"/>
                <w:b/>
                <w:bCs/>
                <w:spacing w:val="-10"/>
              </w:rPr>
              <w:t>一般</w:t>
            </w:r>
          </w:p>
        </w:tc>
        <w:tc>
          <w:tcPr>
            <w:tcW w:w="7224" w:type="dxa"/>
            <w:vAlign w:val="top"/>
          </w:tcPr>
          <w:p>
            <w:pPr>
              <w:pStyle w:val="TableText"/>
              <w:ind w:left="100"/>
              <w:spacing w:before="321" w:line="219" w:lineRule="auto"/>
              <w:rPr>
                <w:sz w:val="25"/>
                <w:szCs w:val="25"/>
              </w:rPr>
            </w:pPr>
            <w:r>
              <w:rPr>
                <w:sz w:val="25"/>
                <w:szCs w:val="25"/>
              </w:rPr>
              <w:t>医疗机构非药学部门从事抗菌药物购销、调剂活动</w:t>
            </w:r>
          </w:p>
        </w:tc>
        <w:tc>
          <w:tcPr>
            <w:tcW w:w="5081" w:type="dxa"/>
            <w:vAlign w:val="top"/>
          </w:tcPr>
          <w:p>
            <w:pPr>
              <w:pStyle w:val="TableText"/>
              <w:ind w:left="106" w:right="19" w:hanging="70"/>
              <w:spacing w:before="132" w:line="271" w:lineRule="auto"/>
              <w:rPr>
                <w:sz w:val="25"/>
                <w:szCs w:val="25"/>
              </w:rPr>
            </w:pPr>
            <w:r>
              <w:rPr>
                <w:sz w:val="25"/>
                <w:szCs w:val="25"/>
              </w:rPr>
              <w:t>由县级以上卫生行政部门责令限期改正，给予</w:t>
            </w:r>
            <w:r>
              <w:rPr>
                <w:sz w:val="25"/>
                <w:szCs w:val="25"/>
                <w:spacing w:val="13"/>
              </w:rPr>
              <w:t xml:space="preserve"> </w:t>
            </w:r>
            <w:r>
              <w:rPr>
                <w:sz w:val="25"/>
                <w:szCs w:val="25"/>
              </w:rPr>
              <w:t>警告，并可处一万元以上两万元以下罚款</w:t>
            </w:r>
          </w:p>
        </w:tc>
      </w:tr>
      <w:tr>
        <w:trPr>
          <w:trHeight w:val="881" w:hRule="atLeast"/>
        </w:trPr>
        <w:tc>
          <w:tcPr>
            <w:tcW w:w="1484" w:type="dxa"/>
            <w:vAlign w:val="top"/>
          </w:tcPr>
          <w:p>
            <w:pPr>
              <w:spacing w:line="241" w:lineRule="auto"/>
              <w:rPr>
                <w:rFonts w:ascii="Arial"/>
                <w:sz w:val="21"/>
              </w:rPr>
            </w:pPr>
            <w:r/>
          </w:p>
          <w:p>
            <w:pPr>
              <w:pStyle w:val="TableText"/>
              <w:ind w:left="488"/>
              <w:spacing w:before="82" w:line="220" w:lineRule="auto"/>
              <w:rPr>
                <w:sz w:val="25"/>
                <w:szCs w:val="25"/>
              </w:rPr>
            </w:pPr>
            <w:r>
              <w:rPr>
                <w:sz w:val="25"/>
                <w:szCs w:val="25"/>
                <w:b/>
                <w:bCs/>
                <w:spacing w:val="-6"/>
              </w:rPr>
              <w:t>严重</w:t>
            </w:r>
          </w:p>
        </w:tc>
        <w:tc>
          <w:tcPr>
            <w:tcW w:w="7224" w:type="dxa"/>
            <w:vAlign w:val="top"/>
          </w:tcPr>
          <w:p>
            <w:pPr>
              <w:pStyle w:val="TableText"/>
              <w:ind w:left="100"/>
              <w:spacing w:before="137" w:line="271" w:lineRule="auto"/>
              <w:rPr>
                <w:sz w:val="25"/>
                <w:szCs w:val="25"/>
              </w:rPr>
            </w:pPr>
            <w:r>
              <w:rPr>
                <w:sz w:val="25"/>
                <w:szCs w:val="25"/>
                <w:spacing w:val="-5"/>
              </w:rPr>
              <w:t>医疗机构非药学部门从事抗菌药物购销、调剂活动，曾受到行政处</w:t>
            </w:r>
            <w:r>
              <w:rPr>
                <w:sz w:val="25"/>
                <w:szCs w:val="25"/>
                <w:spacing w:val="7"/>
              </w:rPr>
              <w:t xml:space="preserve"> </w:t>
            </w:r>
            <w:r>
              <w:rPr>
                <w:sz w:val="25"/>
                <w:szCs w:val="25"/>
              </w:rPr>
              <w:t>罚再次违反，或者造成其他严重危害后果的</w:t>
            </w:r>
          </w:p>
        </w:tc>
        <w:tc>
          <w:tcPr>
            <w:tcW w:w="5081" w:type="dxa"/>
            <w:vAlign w:val="top"/>
          </w:tcPr>
          <w:p>
            <w:pPr>
              <w:pStyle w:val="TableText"/>
              <w:ind w:left="106" w:right="19" w:hanging="70"/>
              <w:spacing w:before="137" w:line="271" w:lineRule="auto"/>
              <w:rPr>
                <w:sz w:val="25"/>
                <w:szCs w:val="25"/>
              </w:rPr>
            </w:pPr>
            <w:r>
              <w:rPr>
                <w:sz w:val="25"/>
                <w:szCs w:val="25"/>
              </w:rPr>
              <w:t>由县级以上卫生行政部门责令限期改正，给予</w:t>
            </w:r>
            <w:r>
              <w:rPr>
                <w:sz w:val="25"/>
                <w:szCs w:val="25"/>
                <w:spacing w:val="13"/>
              </w:rPr>
              <w:t xml:space="preserve"> </w:t>
            </w:r>
            <w:r>
              <w:rPr>
                <w:sz w:val="25"/>
                <w:szCs w:val="25"/>
              </w:rPr>
              <w:t>警告，并可处两万元以上三万元以下罚款</w:t>
            </w:r>
          </w:p>
        </w:tc>
      </w:tr>
    </w:tbl>
    <w:p>
      <w:pPr>
        <w:pStyle w:val="BodyText"/>
        <w:spacing w:line="456" w:lineRule="auto"/>
        <w:rPr/>
      </w:pPr>
      <w:r/>
    </w:p>
    <w:p>
      <w:pPr>
        <w:ind w:left="679"/>
        <w:spacing w:before="99" w:line="220" w:lineRule="auto"/>
        <w:rPr>
          <w:rFonts w:ascii="FangSong" w:hAnsi="FangSong" w:eastAsia="FangSong" w:cs="FangSong"/>
          <w:sz w:val="30"/>
          <w:szCs w:val="30"/>
        </w:rPr>
      </w:pPr>
      <w:r>
        <w:rPr>
          <w:rFonts w:ascii="FangSong" w:hAnsi="FangSong" w:eastAsia="FangSong" w:cs="FangSong"/>
          <w:sz w:val="30"/>
          <w:szCs w:val="30"/>
          <w:b/>
          <w:bCs/>
          <w:spacing w:val="21"/>
        </w:rPr>
        <w:t>第二百八十四条医疗机构将抗菌药物购销、临床应用情况与个人或者科室经济利益挂钩的</w:t>
      </w:r>
    </w:p>
    <w:p>
      <w:pPr>
        <w:ind w:left="675"/>
        <w:spacing w:before="41"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spacing w:line="222" w:lineRule="auto"/>
        <w:sectPr>
          <w:footerReference w:type="default" r:id="rId336"/>
          <w:pgSz w:w="16830" w:h="11900"/>
          <w:pgMar w:top="1011" w:right="1394" w:bottom="1125" w:left="1405" w:header="0" w:footer="783" w:gutter="0"/>
        </w:sectPr>
        <w:rPr>
          <w:rFonts w:ascii="FangSong" w:hAnsi="FangSong" w:eastAsia="FangSong" w:cs="FangSong"/>
          <w:sz w:val="30"/>
          <w:szCs w:val="30"/>
        </w:rPr>
      </w:pPr>
    </w:p>
    <w:p>
      <w:pPr>
        <w:pStyle w:val="BodyText"/>
        <w:spacing w:line="257" w:lineRule="auto"/>
        <w:rPr/>
      </w:pPr>
      <w:r/>
    </w:p>
    <w:p>
      <w:pPr>
        <w:pStyle w:val="BodyText"/>
        <w:spacing w:line="257" w:lineRule="auto"/>
        <w:rPr/>
      </w:pPr>
      <w:r/>
    </w:p>
    <w:p>
      <w:pPr>
        <w:pStyle w:val="BodyText"/>
        <w:spacing w:line="258" w:lineRule="auto"/>
        <w:rPr/>
      </w:pPr>
      <w:r/>
    </w:p>
    <w:p>
      <w:pPr>
        <w:ind w:left="45" w:right="10" w:firstLine="619"/>
        <w:spacing w:before="97" w:line="269" w:lineRule="auto"/>
        <w:jc w:val="both"/>
        <w:rPr>
          <w:rFonts w:ascii="FangSong" w:hAnsi="FangSong" w:eastAsia="FangSong" w:cs="FangSong"/>
          <w:sz w:val="30"/>
          <w:szCs w:val="30"/>
        </w:rPr>
      </w:pPr>
      <w:bookmarkStart w:name="bookmark990" w:id="359"/>
      <w:bookmarkEnd w:id="359"/>
      <w:r>
        <w:rPr>
          <w:rFonts w:ascii="FangSong" w:hAnsi="FangSong" w:eastAsia="FangSong" w:cs="FangSong"/>
          <w:sz w:val="30"/>
          <w:szCs w:val="30"/>
          <w:spacing w:val="29"/>
        </w:rPr>
        <w:t>《抗菌药物临床应用管理办法》第五十条第(四)项</w:t>
      </w:r>
      <w:r>
        <w:rPr>
          <w:rFonts w:ascii="FangSong" w:hAnsi="FangSong" w:eastAsia="FangSong" w:cs="FangSong"/>
          <w:sz w:val="30"/>
          <w:szCs w:val="30"/>
          <w:spacing w:val="3"/>
        </w:rPr>
        <w:t xml:space="preserve">   </w:t>
      </w:r>
      <w:r>
        <w:rPr>
          <w:rFonts w:ascii="FangSong" w:hAnsi="FangSong" w:eastAsia="FangSong" w:cs="FangSong"/>
          <w:sz w:val="30"/>
          <w:szCs w:val="30"/>
          <w:spacing w:val="29"/>
        </w:rPr>
        <w:t>医疗机构有下列情形之</w:t>
      </w:r>
      <w:r>
        <w:rPr>
          <w:rFonts w:ascii="FangSong" w:hAnsi="FangSong" w:eastAsia="FangSong" w:cs="FangSong"/>
          <w:sz w:val="30"/>
          <w:szCs w:val="30"/>
          <w:spacing w:val="28"/>
        </w:rPr>
        <w:t>一的，由县级以</w:t>
      </w:r>
      <w:r>
        <w:rPr>
          <w:rFonts w:ascii="FangSong" w:hAnsi="FangSong" w:eastAsia="FangSong" w:cs="FangSong"/>
          <w:sz w:val="30"/>
          <w:szCs w:val="30"/>
          <w:spacing w:val="1"/>
        </w:rPr>
        <w:t xml:space="preserve"> </w:t>
      </w:r>
      <w:r>
        <w:rPr>
          <w:rFonts w:ascii="FangSong" w:hAnsi="FangSong" w:eastAsia="FangSong" w:cs="FangSong"/>
          <w:sz w:val="30"/>
          <w:szCs w:val="30"/>
          <w:spacing w:val="17"/>
        </w:rPr>
        <w:t>上卫生行政部门责令限期改正，给予警告，并</w:t>
      </w:r>
      <w:r>
        <w:rPr>
          <w:rFonts w:ascii="FangSong" w:hAnsi="FangSong" w:eastAsia="FangSong" w:cs="FangSong"/>
          <w:sz w:val="30"/>
          <w:szCs w:val="30"/>
          <w:spacing w:val="16"/>
        </w:rPr>
        <w:t>可根据情节轻重处以三万元以下罚款；对负有责任的主</w:t>
      </w:r>
      <w:r>
        <w:rPr>
          <w:rFonts w:ascii="FangSong" w:hAnsi="FangSong" w:eastAsia="FangSong" w:cs="FangSong"/>
          <w:sz w:val="30"/>
          <w:szCs w:val="30"/>
        </w:rPr>
        <w:t xml:space="preserve"> </w:t>
      </w:r>
      <w:r>
        <w:rPr>
          <w:rFonts w:ascii="FangSong" w:hAnsi="FangSong" w:eastAsia="FangSong" w:cs="FangSong"/>
          <w:sz w:val="30"/>
          <w:szCs w:val="30"/>
          <w:spacing w:val="15"/>
        </w:rPr>
        <w:t>管人员和其他直接责任人员，可根据情节给予处分：</w:t>
      </w:r>
    </w:p>
    <w:p>
      <w:pPr>
        <w:ind w:left="815"/>
        <w:spacing w:before="1" w:line="220" w:lineRule="auto"/>
        <w:rPr>
          <w:rFonts w:ascii="FangSong" w:hAnsi="FangSong" w:eastAsia="FangSong" w:cs="FangSong"/>
          <w:sz w:val="30"/>
          <w:szCs w:val="30"/>
        </w:rPr>
      </w:pPr>
      <w:r>
        <w:rPr>
          <w:rFonts w:ascii="FangSong" w:hAnsi="FangSong" w:eastAsia="FangSong" w:cs="FangSong"/>
          <w:sz w:val="30"/>
          <w:szCs w:val="30"/>
          <w:spacing w:val="22"/>
        </w:rPr>
        <w:t>(四)将抗菌药物购销、临床应用情况与个人或者科室经济</w:t>
      </w:r>
      <w:r>
        <w:rPr>
          <w:rFonts w:ascii="FangSong" w:hAnsi="FangSong" w:eastAsia="FangSong" w:cs="FangSong"/>
          <w:sz w:val="30"/>
          <w:szCs w:val="30"/>
          <w:spacing w:val="21"/>
        </w:rPr>
        <w:t>利益挂钩的；</w:t>
      </w:r>
    </w:p>
    <w:p>
      <w:pPr>
        <w:ind w:left="6449"/>
        <w:spacing w:before="112" w:line="195"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54"/>
        <w:gridCol w:w="7595"/>
        <w:gridCol w:w="5031"/>
      </w:tblGrid>
      <w:tr>
        <w:trPr>
          <w:trHeight w:val="583" w:hRule="atLeast"/>
        </w:trPr>
        <w:tc>
          <w:tcPr>
            <w:tcW w:w="1354" w:type="dxa"/>
            <w:vAlign w:val="top"/>
          </w:tcPr>
          <w:p>
            <w:pPr>
              <w:pStyle w:val="TableText"/>
              <w:ind w:left="168"/>
              <w:spacing w:before="172" w:line="220" w:lineRule="auto"/>
              <w:rPr>
                <w:sz w:val="25"/>
                <w:szCs w:val="25"/>
              </w:rPr>
            </w:pPr>
            <w:r>
              <w:rPr>
                <w:sz w:val="25"/>
                <w:szCs w:val="25"/>
                <w:b/>
                <w:bCs/>
                <w:spacing w:val="-5"/>
              </w:rPr>
              <w:t>违法程度</w:t>
            </w:r>
          </w:p>
        </w:tc>
        <w:tc>
          <w:tcPr>
            <w:tcW w:w="7595" w:type="dxa"/>
            <w:vAlign w:val="top"/>
          </w:tcPr>
          <w:p>
            <w:pPr>
              <w:pStyle w:val="TableText"/>
              <w:ind w:left="3294"/>
              <w:spacing w:before="172" w:line="220" w:lineRule="auto"/>
              <w:rPr>
                <w:sz w:val="25"/>
                <w:szCs w:val="25"/>
              </w:rPr>
            </w:pPr>
            <w:r>
              <w:rPr>
                <w:sz w:val="25"/>
                <w:szCs w:val="25"/>
                <w:b/>
                <w:bCs/>
                <w:spacing w:val="-5"/>
              </w:rPr>
              <w:t>违法后果</w:t>
            </w:r>
          </w:p>
        </w:tc>
        <w:tc>
          <w:tcPr>
            <w:tcW w:w="5031" w:type="dxa"/>
            <w:vAlign w:val="top"/>
          </w:tcPr>
          <w:p>
            <w:pPr>
              <w:pStyle w:val="TableText"/>
              <w:ind w:left="2009"/>
              <w:spacing w:before="169" w:line="218" w:lineRule="auto"/>
              <w:rPr>
                <w:sz w:val="25"/>
                <w:szCs w:val="25"/>
              </w:rPr>
            </w:pPr>
            <w:r>
              <w:rPr>
                <w:sz w:val="25"/>
                <w:szCs w:val="25"/>
                <w:b/>
                <w:bCs/>
                <w:spacing w:val="-5"/>
              </w:rPr>
              <w:t>裁量幅度</w:t>
            </w:r>
          </w:p>
        </w:tc>
      </w:tr>
      <w:tr>
        <w:trPr>
          <w:trHeight w:val="856" w:hRule="atLeast"/>
        </w:trPr>
        <w:tc>
          <w:tcPr>
            <w:tcW w:w="1354" w:type="dxa"/>
            <w:vAlign w:val="top"/>
          </w:tcPr>
          <w:p>
            <w:pPr>
              <w:pStyle w:val="TableText"/>
              <w:ind w:left="418"/>
              <w:spacing w:before="310" w:line="221" w:lineRule="auto"/>
              <w:rPr>
                <w:sz w:val="25"/>
                <w:szCs w:val="25"/>
              </w:rPr>
            </w:pPr>
            <w:r>
              <w:rPr>
                <w:sz w:val="25"/>
                <w:szCs w:val="25"/>
                <w:b/>
                <w:bCs/>
                <w:spacing w:val="-10"/>
              </w:rPr>
              <w:t>一般</w:t>
            </w:r>
          </w:p>
        </w:tc>
        <w:tc>
          <w:tcPr>
            <w:tcW w:w="7595" w:type="dxa"/>
            <w:vAlign w:val="top"/>
          </w:tcPr>
          <w:p>
            <w:pPr>
              <w:pStyle w:val="TableText"/>
              <w:spacing w:before="140" w:line="219" w:lineRule="auto"/>
              <w:jc w:val="right"/>
              <w:rPr>
                <w:sz w:val="25"/>
                <w:szCs w:val="25"/>
              </w:rPr>
            </w:pPr>
            <w:r>
              <w:rPr>
                <w:sz w:val="25"/>
                <w:szCs w:val="25"/>
                <w:spacing w:val="-6"/>
              </w:rPr>
              <w:t>医疗机构将抗菌药物购销、临床应用情况与个人或者科室经济利益挂钩</w:t>
            </w:r>
          </w:p>
          <w:p>
            <w:pPr>
              <w:pStyle w:val="TableText"/>
              <w:ind w:left="110"/>
              <w:spacing w:before="139" w:line="199" w:lineRule="auto"/>
              <w:rPr>
                <w:sz w:val="25"/>
                <w:szCs w:val="25"/>
              </w:rPr>
            </w:pPr>
            <w:r>
              <w:rPr>
                <w:sz w:val="25"/>
                <w:szCs w:val="25"/>
                <w:color w:val="404040"/>
              </w:rPr>
              <w:t>的</w:t>
            </w:r>
          </w:p>
        </w:tc>
        <w:tc>
          <w:tcPr>
            <w:tcW w:w="5031" w:type="dxa"/>
            <w:vAlign w:val="top"/>
          </w:tcPr>
          <w:p>
            <w:pPr>
              <w:pStyle w:val="TableText"/>
              <w:ind w:left="104" w:hanging="99"/>
              <w:spacing w:before="141" w:line="260" w:lineRule="auto"/>
              <w:rPr>
                <w:sz w:val="25"/>
                <w:szCs w:val="25"/>
              </w:rPr>
            </w:pPr>
            <w:r>
              <w:rPr>
                <w:sz w:val="25"/>
                <w:szCs w:val="25"/>
              </w:rPr>
              <w:t>由县级以上卫生行政部门责令限期改正，给予</w:t>
            </w:r>
            <w:r>
              <w:rPr>
                <w:sz w:val="25"/>
                <w:szCs w:val="25"/>
                <w:spacing w:val="13"/>
              </w:rPr>
              <w:t xml:space="preserve"> </w:t>
            </w:r>
            <w:r>
              <w:rPr>
                <w:sz w:val="25"/>
                <w:szCs w:val="25"/>
              </w:rPr>
              <w:t>警告，并可处一万元以上两万元以下罚款</w:t>
            </w:r>
          </w:p>
        </w:tc>
      </w:tr>
      <w:tr>
        <w:trPr>
          <w:trHeight w:val="891" w:hRule="atLeast"/>
        </w:trPr>
        <w:tc>
          <w:tcPr>
            <w:tcW w:w="1354" w:type="dxa"/>
            <w:vAlign w:val="top"/>
          </w:tcPr>
          <w:p>
            <w:pPr>
              <w:spacing w:line="300" w:lineRule="auto"/>
              <w:rPr>
                <w:rFonts w:ascii="Arial"/>
                <w:sz w:val="21"/>
              </w:rPr>
            </w:pPr>
            <w:r/>
          </w:p>
          <w:p>
            <w:pPr>
              <w:pStyle w:val="TableText"/>
              <w:ind w:left="418"/>
              <w:spacing w:before="81" w:line="220" w:lineRule="auto"/>
              <w:rPr>
                <w:sz w:val="25"/>
                <w:szCs w:val="25"/>
              </w:rPr>
            </w:pPr>
            <w:r>
              <w:rPr>
                <w:sz w:val="25"/>
                <w:szCs w:val="25"/>
                <w:b/>
                <w:bCs/>
                <w:spacing w:val="-6"/>
              </w:rPr>
              <w:t>严重</w:t>
            </w:r>
          </w:p>
        </w:tc>
        <w:tc>
          <w:tcPr>
            <w:tcW w:w="7595" w:type="dxa"/>
            <w:vAlign w:val="top"/>
          </w:tcPr>
          <w:p>
            <w:pPr>
              <w:pStyle w:val="TableText"/>
              <w:ind w:left="100" w:right="33" w:hanging="60"/>
              <w:spacing w:before="165" w:line="264" w:lineRule="auto"/>
              <w:rPr>
                <w:sz w:val="25"/>
                <w:szCs w:val="25"/>
              </w:rPr>
            </w:pPr>
            <w:r>
              <w:rPr>
                <w:sz w:val="25"/>
                <w:szCs w:val="25"/>
              </w:rPr>
              <w:t>医疗机构将抗菌药物购销、临床应用情况与个人或者科室经济利益挂</w:t>
            </w:r>
            <w:r>
              <w:rPr>
                <w:sz w:val="25"/>
                <w:szCs w:val="25"/>
                <w:spacing w:val="9"/>
              </w:rPr>
              <w:t xml:space="preserve"> </w:t>
            </w:r>
            <w:r>
              <w:rPr>
                <w:sz w:val="25"/>
                <w:szCs w:val="25"/>
              </w:rPr>
              <w:t>钩，曾受到行政处罚再次违反，或者造成其他严重危害后果的</w:t>
            </w:r>
          </w:p>
        </w:tc>
        <w:tc>
          <w:tcPr>
            <w:tcW w:w="5031" w:type="dxa"/>
            <w:vAlign w:val="top"/>
          </w:tcPr>
          <w:p>
            <w:pPr>
              <w:pStyle w:val="TableText"/>
              <w:ind w:left="115" w:hanging="110"/>
              <w:spacing w:before="144" w:line="272" w:lineRule="auto"/>
              <w:rPr>
                <w:sz w:val="25"/>
                <w:szCs w:val="25"/>
              </w:rPr>
            </w:pPr>
            <w:r>
              <w:rPr>
                <w:sz w:val="25"/>
                <w:szCs w:val="25"/>
              </w:rPr>
              <w:t>由县级以上卫生行政部门责令限期改正，给予</w:t>
            </w:r>
            <w:r>
              <w:rPr>
                <w:sz w:val="25"/>
                <w:szCs w:val="25"/>
                <w:spacing w:val="13"/>
              </w:rPr>
              <w:t xml:space="preserve"> </w:t>
            </w:r>
            <w:r>
              <w:rPr>
                <w:sz w:val="25"/>
                <w:szCs w:val="25"/>
              </w:rPr>
              <w:t>警告，并可处两万元以上三万元以下罚款</w:t>
            </w:r>
          </w:p>
        </w:tc>
      </w:tr>
    </w:tbl>
    <w:p>
      <w:pPr>
        <w:pStyle w:val="BodyText"/>
        <w:spacing w:line="436" w:lineRule="auto"/>
        <w:rPr/>
      </w:pPr>
      <w:r/>
    </w:p>
    <w:p>
      <w:pPr>
        <w:ind w:left="699"/>
        <w:spacing w:before="97" w:line="219" w:lineRule="auto"/>
        <w:rPr>
          <w:rFonts w:ascii="FangSong" w:hAnsi="FangSong" w:eastAsia="FangSong" w:cs="FangSong"/>
          <w:sz w:val="30"/>
          <w:szCs w:val="30"/>
        </w:rPr>
      </w:pPr>
      <w:r>
        <w:rPr>
          <w:rFonts w:ascii="FangSong" w:hAnsi="FangSong" w:eastAsia="FangSong" w:cs="FangSong"/>
          <w:sz w:val="30"/>
          <w:szCs w:val="30"/>
          <w:b/>
          <w:bCs/>
          <w:spacing w:val="22"/>
        </w:rPr>
        <w:t>第二百八十五条医疗机构在抗菌药物购销、临床应用中牟取</w:t>
      </w:r>
      <w:r>
        <w:rPr>
          <w:rFonts w:ascii="FangSong" w:hAnsi="FangSong" w:eastAsia="FangSong" w:cs="FangSong"/>
          <w:sz w:val="30"/>
          <w:szCs w:val="30"/>
          <w:b/>
          <w:bCs/>
          <w:spacing w:val="21"/>
        </w:rPr>
        <w:t>不正当利益的</w:t>
      </w:r>
    </w:p>
    <w:p>
      <w:pPr>
        <w:ind w:left="684"/>
        <w:spacing w:before="103"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45" w:right="10" w:firstLine="619"/>
        <w:spacing w:before="68" w:line="270" w:lineRule="auto"/>
        <w:jc w:val="both"/>
        <w:rPr>
          <w:rFonts w:ascii="FangSong" w:hAnsi="FangSong" w:eastAsia="FangSong" w:cs="FangSong"/>
          <w:sz w:val="30"/>
          <w:szCs w:val="30"/>
        </w:rPr>
      </w:pPr>
      <w:r>
        <w:rPr>
          <w:rFonts w:ascii="FangSong" w:hAnsi="FangSong" w:eastAsia="FangSong" w:cs="FangSong"/>
          <w:sz w:val="30"/>
          <w:szCs w:val="30"/>
          <w:spacing w:val="27"/>
        </w:rPr>
        <w:t>《抗菌药物临床应用管理办法》第五十条第(五)项</w:t>
      </w:r>
      <w:r>
        <w:rPr>
          <w:rFonts w:ascii="FangSong" w:hAnsi="FangSong" w:eastAsia="FangSong" w:cs="FangSong"/>
          <w:sz w:val="30"/>
          <w:szCs w:val="30"/>
          <w:spacing w:val="27"/>
        </w:rPr>
        <w:t xml:space="preserve">   </w:t>
      </w:r>
      <w:r>
        <w:rPr>
          <w:rFonts w:ascii="FangSong" w:hAnsi="FangSong" w:eastAsia="FangSong" w:cs="FangSong"/>
          <w:sz w:val="30"/>
          <w:szCs w:val="30"/>
          <w:spacing w:val="27"/>
        </w:rPr>
        <w:t>医疗机构有下列情形之一的，由县级以</w:t>
      </w:r>
      <w:r>
        <w:rPr>
          <w:rFonts w:ascii="FangSong" w:hAnsi="FangSong" w:eastAsia="FangSong" w:cs="FangSong"/>
          <w:sz w:val="30"/>
          <w:szCs w:val="30"/>
          <w:spacing w:val="2"/>
        </w:rPr>
        <w:t xml:space="preserve"> </w:t>
      </w:r>
      <w:r>
        <w:rPr>
          <w:rFonts w:ascii="FangSong" w:hAnsi="FangSong" w:eastAsia="FangSong" w:cs="FangSong"/>
          <w:sz w:val="30"/>
          <w:szCs w:val="30"/>
          <w:spacing w:val="17"/>
        </w:rPr>
        <w:t>上卫生行政部门责令限期改正，给予警告，并</w:t>
      </w:r>
      <w:r>
        <w:rPr>
          <w:rFonts w:ascii="FangSong" w:hAnsi="FangSong" w:eastAsia="FangSong" w:cs="FangSong"/>
          <w:sz w:val="30"/>
          <w:szCs w:val="30"/>
          <w:spacing w:val="16"/>
        </w:rPr>
        <w:t>可根据情节轻重处以三万元以下罚款；对负有责任的主</w:t>
      </w:r>
      <w:r>
        <w:rPr>
          <w:rFonts w:ascii="FangSong" w:hAnsi="FangSong" w:eastAsia="FangSong" w:cs="FangSong"/>
          <w:sz w:val="30"/>
          <w:szCs w:val="30"/>
        </w:rPr>
        <w:t xml:space="preserve"> </w:t>
      </w:r>
      <w:r>
        <w:rPr>
          <w:rFonts w:ascii="FangSong" w:hAnsi="FangSong" w:eastAsia="FangSong" w:cs="FangSong"/>
          <w:sz w:val="30"/>
          <w:szCs w:val="30"/>
          <w:spacing w:val="15"/>
        </w:rPr>
        <w:t>管人员和其他直接责任人员，可根据情节给予处分：</w:t>
      </w:r>
    </w:p>
    <w:p>
      <w:pPr>
        <w:ind w:left="815"/>
        <w:spacing w:line="219" w:lineRule="auto"/>
        <w:rPr>
          <w:rFonts w:ascii="FangSong" w:hAnsi="FangSong" w:eastAsia="FangSong" w:cs="FangSong"/>
          <w:sz w:val="30"/>
          <w:szCs w:val="30"/>
        </w:rPr>
      </w:pPr>
      <w:r>
        <w:rPr>
          <w:rFonts w:ascii="FangSong" w:hAnsi="FangSong" w:eastAsia="FangSong" w:cs="FangSong"/>
          <w:sz w:val="30"/>
          <w:szCs w:val="30"/>
          <w:spacing w:val="22"/>
        </w:rPr>
        <w:t>(五)在抗菌药物购销、临床应用中牟取不正当利益的。</w:t>
      </w:r>
    </w:p>
    <w:p>
      <w:pPr>
        <w:ind w:left="6449"/>
        <w:spacing w:before="84"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337"/>
          <w:pgSz w:w="16830" w:h="11900"/>
          <w:pgMar w:top="1011" w:right="1434" w:bottom="1097" w:left="1405" w:header="0" w:footer="764" w:gutter="0"/>
        </w:sectPr>
        <w:rPr>
          <w:rFonts w:ascii="SimHei" w:hAnsi="SimHei" w:eastAsia="SimHei" w:cs="SimHei"/>
          <w:sz w:val="30"/>
          <w:szCs w:val="30"/>
        </w:rPr>
      </w:pPr>
    </w:p>
    <w:p>
      <w:pPr>
        <w:spacing w:before="17"/>
        <w:rPr/>
      </w:pPr>
      <w:r/>
    </w:p>
    <w:p>
      <w:pPr>
        <w:spacing w:before="16"/>
        <w:rPr/>
      </w:pPr>
      <w:r/>
    </w:p>
    <w:p>
      <w:pPr>
        <w:spacing w:before="16"/>
        <w:rPr/>
      </w:pPr>
      <w:r/>
    </w:p>
    <w:tbl>
      <w:tblPr>
        <w:tblStyle w:val="TableNormal"/>
        <w:tblW w:w="13780" w:type="dxa"/>
        <w:tblInd w:w="6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74"/>
        <w:gridCol w:w="7475"/>
        <w:gridCol w:w="4931"/>
      </w:tblGrid>
      <w:tr>
        <w:trPr>
          <w:trHeight w:val="553" w:hRule="atLeast"/>
        </w:trPr>
        <w:tc>
          <w:tcPr>
            <w:tcW w:w="1374" w:type="dxa"/>
            <w:vAlign w:val="top"/>
          </w:tcPr>
          <w:p>
            <w:pPr>
              <w:pStyle w:val="TableText"/>
              <w:ind w:left="178"/>
              <w:spacing w:before="152" w:line="220" w:lineRule="auto"/>
              <w:rPr>
                <w:sz w:val="25"/>
                <w:szCs w:val="25"/>
              </w:rPr>
            </w:pPr>
            <w:bookmarkStart w:name="bookmark991" w:id="360"/>
            <w:bookmarkEnd w:id="360"/>
            <w:r>
              <w:rPr>
                <w:sz w:val="25"/>
                <w:szCs w:val="25"/>
                <w:b/>
                <w:bCs/>
                <w:spacing w:val="-5"/>
              </w:rPr>
              <w:t>违法程度</w:t>
            </w:r>
          </w:p>
        </w:tc>
        <w:tc>
          <w:tcPr>
            <w:tcW w:w="7475" w:type="dxa"/>
            <w:vAlign w:val="top"/>
          </w:tcPr>
          <w:p>
            <w:pPr>
              <w:pStyle w:val="TableText"/>
              <w:ind w:left="3174"/>
              <w:spacing w:before="152" w:line="220" w:lineRule="auto"/>
              <w:rPr>
                <w:sz w:val="25"/>
                <w:szCs w:val="25"/>
              </w:rPr>
            </w:pPr>
            <w:r>
              <w:rPr>
                <w:sz w:val="25"/>
                <w:szCs w:val="25"/>
                <w:b/>
                <w:bCs/>
                <w:spacing w:val="-5"/>
              </w:rPr>
              <w:t>违法后果</w:t>
            </w:r>
          </w:p>
        </w:tc>
        <w:tc>
          <w:tcPr>
            <w:tcW w:w="4931" w:type="dxa"/>
            <w:vAlign w:val="top"/>
          </w:tcPr>
          <w:p>
            <w:pPr>
              <w:pStyle w:val="TableText"/>
              <w:ind w:left="1959"/>
              <w:spacing w:before="149" w:line="218" w:lineRule="auto"/>
              <w:rPr>
                <w:sz w:val="25"/>
                <w:szCs w:val="25"/>
              </w:rPr>
            </w:pPr>
            <w:r>
              <w:rPr>
                <w:sz w:val="25"/>
                <w:szCs w:val="25"/>
                <w:b/>
                <w:bCs/>
                <w:spacing w:val="-5"/>
              </w:rPr>
              <w:t>裁量幅度</w:t>
            </w:r>
          </w:p>
        </w:tc>
      </w:tr>
      <w:tr>
        <w:trPr>
          <w:trHeight w:val="876" w:hRule="atLeast"/>
        </w:trPr>
        <w:tc>
          <w:tcPr>
            <w:tcW w:w="1374" w:type="dxa"/>
            <w:vAlign w:val="top"/>
          </w:tcPr>
          <w:p>
            <w:pPr>
              <w:pStyle w:val="TableText"/>
              <w:ind w:left="428"/>
              <w:spacing w:before="320" w:line="221" w:lineRule="auto"/>
              <w:rPr>
                <w:sz w:val="25"/>
                <w:szCs w:val="25"/>
              </w:rPr>
            </w:pPr>
            <w:r>
              <w:rPr>
                <w:sz w:val="25"/>
                <w:szCs w:val="25"/>
                <w:b/>
                <w:bCs/>
                <w:spacing w:val="-10"/>
              </w:rPr>
              <w:t>一般</w:t>
            </w:r>
          </w:p>
        </w:tc>
        <w:tc>
          <w:tcPr>
            <w:tcW w:w="7475" w:type="dxa"/>
            <w:vAlign w:val="top"/>
          </w:tcPr>
          <w:p>
            <w:pPr>
              <w:spacing w:line="297" w:lineRule="auto"/>
              <w:rPr>
                <w:rFonts w:ascii="Arial"/>
                <w:sz w:val="21"/>
              </w:rPr>
            </w:pPr>
            <w:r/>
          </w:p>
          <w:p>
            <w:pPr>
              <w:pStyle w:val="TableText"/>
              <w:ind w:left="121"/>
              <w:spacing w:before="81" w:line="219" w:lineRule="auto"/>
              <w:rPr>
                <w:sz w:val="25"/>
                <w:szCs w:val="25"/>
              </w:rPr>
            </w:pPr>
            <w:r>
              <w:rPr>
                <w:sz w:val="25"/>
                <w:szCs w:val="25"/>
              </w:rPr>
              <w:t>医疗机构在抗菌药物购销、临床应用中牟取不正当利益的</w:t>
            </w:r>
          </w:p>
        </w:tc>
        <w:tc>
          <w:tcPr>
            <w:tcW w:w="4931" w:type="dxa"/>
            <w:vAlign w:val="top"/>
          </w:tcPr>
          <w:p>
            <w:pPr>
              <w:pStyle w:val="TableText"/>
              <w:ind w:left="205" w:hanging="189"/>
              <w:spacing w:before="169" w:line="257" w:lineRule="auto"/>
              <w:rPr>
                <w:sz w:val="25"/>
                <w:szCs w:val="25"/>
              </w:rPr>
            </w:pPr>
            <w:r>
              <w:rPr>
                <w:sz w:val="25"/>
                <w:szCs w:val="25"/>
                <w:spacing w:val="-5"/>
              </w:rPr>
              <w:t>由县级以上卫生行政部门责令限期改正，给予</w:t>
            </w:r>
            <w:r>
              <w:rPr>
                <w:sz w:val="25"/>
                <w:szCs w:val="25"/>
                <w:spacing w:val="3"/>
              </w:rPr>
              <w:t xml:space="preserve"> </w:t>
            </w:r>
            <w:r>
              <w:rPr>
                <w:sz w:val="25"/>
                <w:szCs w:val="25"/>
              </w:rPr>
              <w:t>警告，并可处一万元以上两万元以下罚款</w:t>
            </w:r>
          </w:p>
        </w:tc>
      </w:tr>
      <w:tr>
        <w:trPr>
          <w:trHeight w:val="881" w:hRule="atLeast"/>
        </w:trPr>
        <w:tc>
          <w:tcPr>
            <w:tcW w:w="1374" w:type="dxa"/>
            <w:vAlign w:val="top"/>
          </w:tcPr>
          <w:p>
            <w:pPr>
              <w:spacing w:line="300" w:lineRule="auto"/>
              <w:rPr>
                <w:rFonts w:ascii="Arial"/>
                <w:sz w:val="21"/>
              </w:rPr>
            </w:pPr>
            <w:r/>
          </w:p>
          <w:p>
            <w:pPr>
              <w:pStyle w:val="TableText"/>
              <w:ind w:left="428"/>
              <w:spacing w:before="81" w:line="220" w:lineRule="auto"/>
              <w:rPr>
                <w:sz w:val="25"/>
                <w:szCs w:val="25"/>
              </w:rPr>
            </w:pPr>
            <w:r>
              <w:rPr>
                <w:sz w:val="25"/>
                <w:szCs w:val="25"/>
                <w:b/>
                <w:bCs/>
                <w:spacing w:val="-6"/>
              </w:rPr>
              <w:t>严重</w:t>
            </w:r>
          </w:p>
        </w:tc>
        <w:tc>
          <w:tcPr>
            <w:tcW w:w="7475" w:type="dxa"/>
            <w:vAlign w:val="top"/>
          </w:tcPr>
          <w:p>
            <w:pPr>
              <w:pStyle w:val="TableText"/>
              <w:ind w:left="121"/>
              <w:spacing w:before="164" w:line="261" w:lineRule="auto"/>
              <w:rPr>
                <w:sz w:val="25"/>
                <w:szCs w:val="25"/>
              </w:rPr>
            </w:pPr>
            <w:r>
              <w:rPr>
                <w:sz w:val="25"/>
                <w:szCs w:val="25"/>
                <w:spacing w:val="-5"/>
              </w:rPr>
              <w:t>医疗机构在抗菌药物购销、临床应用中牟取不正当</w:t>
            </w:r>
            <w:r>
              <w:rPr>
                <w:sz w:val="25"/>
                <w:szCs w:val="25"/>
                <w:spacing w:val="-6"/>
              </w:rPr>
              <w:t>利益，曾受到行政</w:t>
            </w:r>
            <w:r>
              <w:rPr>
                <w:sz w:val="25"/>
                <w:szCs w:val="25"/>
              </w:rPr>
              <w:t xml:space="preserve"> </w:t>
            </w:r>
            <w:r>
              <w:rPr>
                <w:sz w:val="25"/>
                <w:szCs w:val="25"/>
              </w:rPr>
              <w:t>处罚再次违反，或者造成其他严重危害后果的</w:t>
            </w:r>
          </w:p>
        </w:tc>
        <w:tc>
          <w:tcPr>
            <w:tcW w:w="4931" w:type="dxa"/>
            <w:vAlign w:val="top"/>
          </w:tcPr>
          <w:p>
            <w:pPr>
              <w:pStyle w:val="TableText"/>
              <w:ind w:left="205" w:hanging="189"/>
              <w:spacing w:before="155" w:line="264" w:lineRule="auto"/>
              <w:rPr>
                <w:sz w:val="25"/>
                <w:szCs w:val="25"/>
              </w:rPr>
            </w:pPr>
            <w:r>
              <w:rPr>
                <w:sz w:val="25"/>
                <w:szCs w:val="25"/>
                <w:spacing w:val="-5"/>
              </w:rPr>
              <w:t>由县级以上卫生行政部门责令限期改正，给予</w:t>
            </w:r>
            <w:r>
              <w:rPr>
                <w:sz w:val="25"/>
                <w:szCs w:val="25"/>
                <w:spacing w:val="3"/>
              </w:rPr>
              <w:t xml:space="preserve"> </w:t>
            </w:r>
            <w:r>
              <w:rPr>
                <w:sz w:val="25"/>
                <w:szCs w:val="25"/>
              </w:rPr>
              <w:t>警告，并可处两万元以上三万元以下罚款</w:t>
            </w:r>
          </w:p>
        </w:tc>
      </w:tr>
    </w:tbl>
    <w:p>
      <w:pPr>
        <w:pStyle w:val="BodyText"/>
        <w:spacing w:line="476" w:lineRule="auto"/>
        <w:rPr/>
      </w:pPr>
      <w:r/>
    </w:p>
    <w:p>
      <w:pPr>
        <w:ind w:left="4" w:firstLine="639"/>
        <w:spacing w:before="98" w:line="280" w:lineRule="auto"/>
        <w:rPr>
          <w:rFonts w:ascii="FangSong" w:hAnsi="FangSong" w:eastAsia="FangSong" w:cs="FangSong"/>
          <w:sz w:val="30"/>
          <w:szCs w:val="30"/>
        </w:rPr>
      </w:pPr>
      <w:r>
        <w:rPr>
          <w:rFonts w:ascii="FangSong" w:hAnsi="FangSong" w:eastAsia="FangSong" w:cs="FangSong"/>
          <w:sz w:val="30"/>
          <w:szCs w:val="30"/>
          <w:b/>
          <w:bCs/>
          <w:spacing w:val="21"/>
        </w:rPr>
        <w:t>第二百八十六条乡村医生未按照《抗菌药物临床应用管理办法》规定开具抗菌药物处方，造成</w:t>
      </w:r>
      <w:r>
        <w:rPr>
          <w:rFonts w:ascii="FangSong" w:hAnsi="FangSong" w:eastAsia="FangSong" w:cs="FangSong"/>
          <w:sz w:val="30"/>
          <w:szCs w:val="30"/>
          <w:spacing w:val="10"/>
        </w:rPr>
        <w:t xml:space="preserve"> </w:t>
      </w:r>
      <w:r>
        <w:rPr>
          <w:rFonts w:ascii="FangSong" w:hAnsi="FangSong" w:eastAsia="FangSong" w:cs="FangSong"/>
          <w:sz w:val="30"/>
          <w:szCs w:val="30"/>
          <w:b/>
          <w:bCs/>
          <w:spacing w:val="13"/>
        </w:rPr>
        <w:t>严重后果的</w:t>
      </w:r>
    </w:p>
    <w:p>
      <w:pPr>
        <w:ind w:left="649"/>
        <w:spacing w:before="17"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right="3" w:firstLine="619"/>
        <w:spacing w:before="93" w:line="270" w:lineRule="auto"/>
        <w:rPr>
          <w:rFonts w:ascii="FangSong" w:hAnsi="FangSong" w:eastAsia="FangSong" w:cs="FangSong"/>
          <w:sz w:val="30"/>
          <w:szCs w:val="30"/>
        </w:rPr>
      </w:pPr>
      <w:r>
        <w:rPr>
          <w:rFonts w:ascii="FangSong" w:hAnsi="FangSong" w:eastAsia="FangSong" w:cs="FangSong"/>
          <w:sz w:val="30"/>
          <w:szCs w:val="30"/>
          <w:spacing w:val="18"/>
        </w:rPr>
        <w:t>《抗菌药物临床应用管理办法》第五十二条第二款</w:t>
      </w:r>
      <w:r>
        <w:rPr>
          <w:rFonts w:ascii="FangSong" w:hAnsi="FangSong" w:eastAsia="FangSong" w:cs="FangSong"/>
          <w:sz w:val="30"/>
          <w:szCs w:val="30"/>
          <w:spacing w:val="50"/>
        </w:rPr>
        <w:t xml:space="preserve">   </w:t>
      </w:r>
      <w:r>
        <w:rPr>
          <w:rFonts w:ascii="FangSong" w:hAnsi="FangSong" w:eastAsia="FangSong" w:cs="FangSong"/>
          <w:sz w:val="30"/>
          <w:szCs w:val="30"/>
          <w:spacing w:val="18"/>
        </w:rPr>
        <w:t>乡村医生有前款规定情形之一的，由县级</w:t>
      </w:r>
      <w:r>
        <w:rPr>
          <w:rFonts w:ascii="FangSong" w:hAnsi="FangSong" w:eastAsia="FangSong" w:cs="FangSong"/>
          <w:sz w:val="30"/>
          <w:szCs w:val="30"/>
          <w:spacing w:val="1"/>
        </w:rPr>
        <w:t xml:space="preserve"> </w:t>
      </w:r>
      <w:r>
        <w:rPr>
          <w:rFonts w:ascii="FangSong" w:hAnsi="FangSong" w:eastAsia="FangSong" w:cs="FangSong"/>
          <w:sz w:val="30"/>
          <w:szCs w:val="30"/>
          <w:spacing w:val="17"/>
        </w:rPr>
        <w:t>卫生行政部门按照《乡村医生从业管理条例》第三十八条有关规定处理。</w:t>
      </w:r>
    </w:p>
    <w:p>
      <w:pPr>
        <w:ind w:right="6" w:firstLine="619"/>
        <w:spacing w:line="266" w:lineRule="auto"/>
        <w:jc w:val="both"/>
        <w:rPr>
          <w:rFonts w:ascii="FangSong" w:hAnsi="FangSong" w:eastAsia="FangSong" w:cs="FangSong"/>
          <w:sz w:val="30"/>
          <w:szCs w:val="30"/>
        </w:rPr>
      </w:pPr>
      <w:r>
        <w:rPr>
          <w:rFonts w:ascii="FangSong" w:hAnsi="FangSong" w:eastAsia="FangSong" w:cs="FangSong"/>
          <w:sz w:val="30"/>
          <w:szCs w:val="30"/>
          <w:spacing w:val="19"/>
        </w:rPr>
        <w:t>《乡村医生从业管理条例》第三十八条</w:t>
      </w:r>
      <w:r>
        <w:rPr>
          <w:rFonts w:ascii="FangSong" w:hAnsi="FangSong" w:eastAsia="FangSong" w:cs="FangSong"/>
          <w:sz w:val="30"/>
          <w:szCs w:val="30"/>
          <w:spacing w:val="19"/>
        </w:rPr>
        <w:t xml:space="preserve">   </w:t>
      </w:r>
      <w:r>
        <w:rPr>
          <w:rFonts w:ascii="FangSong" w:hAnsi="FangSong" w:eastAsia="FangSong" w:cs="FangSong"/>
          <w:sz w:val="30"/>
          <w:szCs w:val="30"/>
          <w:spacing w:val="19"/>
        </w:rPr>
        <w:t>乡村医生在执业活动中，违反本条例规定，有下列行</w:t>
      </w:r>
      <w:r>
        <w:rPr>
          <w:rFonts w:ascii="FangSong" w:hAnsi="FangSong" w:eastAsia="FangSong" w:cs="FangSong"/>
          <w:sz w:val="30"/>
          <w:szCs w:val="30"/>
          <w:spacing w:val="12"/>
        </w:rPr>
        <w:t xml:space="preserve"> </w:t>
      </w:r>
      <w:r>
        <w:rPr>
          <w:rFonts w:ascii="FangSong" w:hAnsi="FangSong" w:eastAsia="FangSong" w:cs="FangSong"/>
          <w:sz w:val="30"/>
          <w:szCs w:val="30"/>
          <w:spacing w:val="20"/>
        </w:rPr>
        <w:t>为之一的，由县级人民政府卫生行政主管部门责令限期改正，给予警告；逾期不改正的，责令暂停3</w:t>
      </w:r>
      <w:r>
        <w:rPr>
          <w:rFonts w:ascii="FangSong" w:hAnsi="FangSong" w:eastAsia="FangSong" w:cs="FangSong"/>
          <w:sz w:val="30"/>
          <w:szCs w:val="30"/>
          <w:spacing w:val="8"/>
        </w:rPr>
        <w:t xml:space="preserve"> </w:t>
      </w:r>
      <w:r>
        <w:rPr>
          <w:rFonts w:ascii="FangSong" w:hAnsi="FangSong" w:eastAsia="FangSong" w:cs="FangSong"/>
          <w:sz w:val="30"/>
          <w:szCs w:val="30"/>
          <w:spacing w:val="24"/>
        </w:rPr>
        <w:t>个月以上6个月以下执业活动；情节严重的，由原发证部门暂</w:t>
      </w:r>
      <w:r>
        <w:rPr>
          <w:rFonts w:ascii="FangSong" w:hAnsi="FangSong" w:eastAsia="FangSong" w:cs="FangSong"/>
          <w:sz w:val="30"/>
          <w:szCs w:val="30"/>
          <w:spacing w:val="23"/>
        </w:rPr>
        <w:t>扣乡村医生执业证书：</w:t>
      </w:r>
    </w:p>
    <w:p>
      <w:pPr>
        <w:ind w:left="769"/>
        <w:spacing w:before="30" w:line="219" w:lineRule="auto"/>
        <w:rPr>
          <w:rFonts w:ascii="FangSong" w:hAnsi="FangSong" w:eastAsia="FangSong" w:cs="FangSong"/>
          <w:sz w:val="30"/>
          <w:szCs w:val="30"/>
        </w:rPr>
      </w:pPr>
      <w:r>
        <w:rPr>
          <w:rFonts w:ascii="FangSong" w:hAnsi="FangSong" w:eastAsia="FangSong" w:cs="FangSong"/>
          <w:sz w:val="30"/>
          <w:szCs w:val="30"/>
          <w:spacing w:val="23"/>
        </w:rPr>
        <w:t>(一)执业活动超出规定的执业范围，或者</w:t>
      </w:r>
      <w:r>
        <w:rPr>
          <w:rFonts w:ascii="FangSong" w:hAnsi="FangSong" w:eastAsia="FangSong" w:cs="FangSong"/>
          <w:sz w:val="30"/>
          <w:szCs w:val="30"/>
          <w:spacing w:val="22"/>
        </w:rPr>
        <w:t>未按照规定进行转诊的；</w:t>
      </w:r>
    </w:p>
    <w:p>
      <w:pPr>
        <w:ind w:left="769"/>
        <w:spacing w:before="99" w:line="222" w:lineRule="auto"/>
        <w:rPr>
          <w:rFonts w:ascii="FangSong" w:hAnsi="FangSong" w:eastAsia="FangSong" w:cs="FangSong"/>
          <w:sz w:val="30"/>
          <w:szCs w:val="30"/>
        </w:rPr>
      </w:pPr>
      <w:r>
        <w:rPr>
          <w:rFonts w:ascii="FangSong" w:hAnsi="FangSong" w:eastAsia="FangSong" w:cs="FangSong"/>
          <w:sz w:val="30"/>
          <w:szCs w:val="30"/>
          <w:spacing w:val="22"/>
        </w:rPr>
        <w:t>(二)违反规定使用乡村医生基本用药目录以外的处方药品的；</w:t>
      </w:r>
    </w:p>
    <w:p>
      <w:pPr>
        <w:ind w:left="769"/>
        <w:spacing w:before="78" w:line="220" w:lineRule="auto"/>
        <w:rPr>
          <w:rFonts w:ascii="FangSong" w:hAnsi="FangSong" w:eastAsia="FangSong" w:cs="FangSong"/>
          <w:sz w:val="30"/>
          <w:szCs w:val="30"/>
        </w:rPr>
      </w:pPr>
      <w:r>
        <w:rPr>
          <w:rFonts w:ascii="FangSong" w:hAnsi="FangSong" w:eastAsia="FangSong" w:cs="FangSong"/>
          <w:sz w:val="30"/>
          <w:szCs w:val="30"/>
          <w:spacing w:val="22"/>
        </w:rPr>
        <w:t>(三)违反规定出具医学证明，或者伪造卫生统计资料的；</w:t>
      </w:r>
    </w:p>
    <w:p>
      <w:pPr>
        <w:ind w:left="769"/>
        <w:spacing w:before="46" w:line="222" w:lineRule="auto"/>
        <w:rPr>
          <w:rFonts w:ascii="FangSong" w:hAnsi="FangSong" w:eastAsia="FangSong" w:cs="FangSong"/>
          <w:sz w:val="30"/>
          <w:szCs w:val="30"/>
        </w:rPr>
      </w:pPr>
      <w:r>
        <w:rPr>
          <w:rFonts w:ascii="FangSong" w:hAnsi="FangSong" w:eastAsia="FangSong" w:cs="FangSong"/>
          <w:sz w:val="30"/>
          <w:szCs w:val="30"/>
          <w:spacing w:val="23"/>
        </w:rPr>
        <w:t>(四)发现传染病疫情、中毒事件不按规定报告的。</w:t>
      </w:r>
    </w:p>
    <w:p>
      <w:pPr>
        <w:spacing w:line="222" w:lineRule="auto"/>
        <w:sectPr>
          <w:footerReference w:type="default" r:id="rId338"/>
          <w:pgSz w:w="16830" w:h="11900"/>
          <w:pgMar w:top="1011" w:right="1434" w:bottom="1118" w:left="1450" w:header="0" w:footer="785" w:gutter="0"/>
        </w:sectPr>
        <w:rPr>
          <w:rFonts w:ascii="FangSong" w:hAnsi="FangSong" w:eastAsia="FangSong" w:cs="FangSong"/>
          <w:sz w:val="30"/>
          <w:szCs w:val="30"/>
        </w:rPr>
      </w:pPr>
    </w:p>
    <w:p>
      <w:pPr>
        <w:pStyle w:val="BodyText"/>
        <w:spacing w:line="263" w:lineRule="auto"/>
        <w:rPr/>
      </w:pPr>
      <w:r/>
    </w:p>
    <w:p>
      <w:pPr>
        <w:pStyle w:val="BodyText"/>
        <w:spacing w:line="263" w:lineRule="auto"/>
        <w:rPr/>
      </w:pPr>
      <w:r/>
    </w:p>
    <w:p>
      <w:pPr>
        <w:pStyle w:val="BodyText"/>
        <w:spacing w:line="264" w:lineRule="auto"/>
        <w:rPr/>
      </w:pPr>
      <w:r/>
    </w:p>
    <w:p>
      <w:pPr>
        <w:ind w:left="6469"/>
        <w:spacing w:before="91" w:line="220" w:lineRule="auto"/>
        <w:rPr>
          <w:rFonts w:ascii="SimSun" w:hAnsi="SimSun" w:eastAsia="SimSun" w:cs="SimSun"/>
          <w:sz w:val="28"/>
          <w:szCs w:val="28"/>
        </w:rPr>
      </w:pPr>
      <w:bookmarkStart w:name="bookmark992" w:id="361"/>
      <w:bookmarkEnd w:id="361"/>
      <w:r>
        <w:rPr>
          <w:rFonts w:ascii="SimSun" w:hAnsi="SimSun" w:eastAsia="SimSun" w:cs="SimSun"/>
          <w:sz w:val="28"/>
          <w:szCs w:val="28"/>
          <w:b/>
          <w:bCs/>
          <w:spacing w:val="-6"/>
        </w:rPr>
        <w:t>裁量标准</w:t>
      </w:r>
    </w:p>
    <w:p>
      <w:pPr>
        <w:spacing w:line="31" w:lineRule="auto"/>
        <w:rPr>
          <w:rFonts w:ascii="Arial"/>
          <w:sz w:val="2"/>
        </w:rPr>
      </w:pPr>
      <w:r>
        <w:rPr>
          <w:rFonts w:ascii="Arial"/>
          <w:sz w:val="2"/>
        </w:rPr>
      </w:r>
    </w:p>
    <w:tbl>
      <w:tblPr>
        <w:tblStyle w:val="TableNormal"/>
        <w:tblW w:w="140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84"/>
        <w:gridCol w:w="8364"/>
        <w:gridCol w:w="4272"/>
      </w:tblGrid>
      <w:tr>
        <w:trPr>
          <w:trHeight w:val="443" w:hRule="atLeast"/>
        </w:trPr>
        <w:tc>
          <w:tcPr>
            <w:tcW w:w="1384" w:type="dxa"/>
            <w:vAlign w:val="top"/>
          </w:tcPr>
          <w:p>
            <w:pPr>
              <w:pStyle w:val="TableText"/>
              <w:ind w:left="188"/>
              <w:spacing w:before="102" w:line="220" w:lineRule="auto"/>
              <w:rPr>
                <w:sz w:val="25"/>
                <w:szCs w:val="25"/>
              </w:rPr>
            </w:pPr>
            <w:r>
              <w:rPr>
                <w:sz w:val="25"/>
                <w:szCs w:val="25"/>
                <w:b/>
                <w:bCs/>
                <w:spacing w:val="-5"/>
              </w:rPr>
              <w:t>违法程度</w:t>
            </w:r>
          </w:p>
        </w:tc>
        <w:tc>
          <w:tcPr>
            <w:tcW w:w="8364" w:type="dxa"/>
            <w:vAlign w:val="top"/>
          </w:tcPr>
          <w:p>
            <w:pPr>
              <w:pStyle w:val="TableText"/>
              <w:ind w:left="3604"/>
              <w:spacing w:before="102" w:line="220" w:lineRule="auto"/>
              <w:rPr>
                <w:sz w:val="25"/>
                <w:szCs w:val="25"/>
              </w:rPr>
            </w:pPr>
            <w:r>
              <w:rPr>
                <w:sz w:val="25"/>
                <w:szCs w:val="25"/>
                <w:b/>
                <w:bCs/>
                <w:spacing w:val="-5"/>
              </w:rPr>
              <w:t>违法后果</w:t>
            </w:r>
          </w:p>
        </w:tc>
        <w:tc>
          <w:tcPr>
            <w:tcW w:w="4272" w:type="dxa"/>
            <w:vAlign w:val="top"/>
          </w:tcPr>
          <w:p>
            <w:pPr>
              <w:pStyle w:val="TableText"/>
              <w:ind w:left="1570"/>
              <w:spacing w:before="99" w:line="218" w:lineRule="auto"/>
              <w:rPr>
                <w:sz w:val="25"/>
                <w:szCs w:val="25"/>
              </w:rPr>
            </w:pPr>
            <w:r>
              <w:rPr>
                <w:sz w:val="25"/>
                <w:szCs w:val="25"/>
                <w:b/>
                <w:bCs/>
                <w:spacing w:val="-5"/>
              </w:rPr>
              <w:t>裁量幅度</w:t>
            </w:r>
          </w:p>
        </w:tc>
      </w:tr>
      <w:tr>
        <w:trPr>
          <w:trHeight w:val="637" w:hRule="atLeast"/>
        </w:trPr>
        <w:tc>
          <w:tcPr>
            <w:tcW w:w="1384" w:type="dxa"/>
            <w:vAlign w:val="top"/>
          </w:tcPr>
          <w:p>
            <w:pPr>
              <w:pStyle w:val="TableText"/>
              <w:ind w:left="438"/>
              <w:spacing w:before="200" w:line="221" w:lineRule="auto"/>
              <w:rPr>
                <w:sz w:val="25"/>
                <w:szCs w:val="25"/>
              </w:rPr>
            </w:pPr>
            <w:r>
              <w:rPr>
                <w:sz w:val="25"/>
                <w:szCs w:val="25"/>
                <w:b/>
                <w:bCs/>
                <w:spacing w:val="-10"/>
              </w:rPr>
              <w:t>一般</w:t>
            </w:r>
          </w:p>
        </w:tc>
        <w:tc>
          <w:tcPr>
            <w:tcW w:w="8364" w:type="dxa"/>
            <w:vAlign w:val="top"/>
          </w:tcPr>
          <w:p>
            <w:pPr>
              <w:pStyle w:val="TableText"/>
              <w:ind w:left="111"/>
              <w:spacing w:before="200" w:line="219" w:lineRule="auto"/>
              <w:rPr>
                <w:sz w:val="25"/>
                <w:szCs w:val="25"/>
              </w:rPr>
            </w:pPr>
            <w:r>
              <w:rPr>
                <w:sz w:val="25"/>
                <w:szCs w:val="25"/>
              </w:rPr>
              <w:t>乡村医生未按照本办法规定开具抗菌药物处方，造成严重后果的</w:t>
            </w:r>
          </w:p>
        </w:tc>
        <w:tc>
          <w:tcPr>
            <w:tcW w:w="4272" w:type="dxa"/>
            <w:vAlign w:val="top"/>
          </w:tcPr>
          <w:p>
            <w:pPr>
              <w:pStyle w:val="TableText"/>
              <w:ind w:left="117"/>
              <w:spacing w:before="200" w:line="218" w:lineRule="auto"/>
              <w:rPr>
                <w:sz w:val="25"/>
                <w:szCs w:val="25"/>
              </w:rPr>
            </w:pPr>
            <w:r>
              <w:rPr>
                <w:sz w:val="25"/>
                <w:szCs w:val="25"/>
                <w:spacing w:val="4"/>
              </w:rPr>
              <w:t>给予警告</w:t>
            </w:r>
          </w:p>
        </w:tc>
      </w:tr>
      <w:tr>
        <w:trPr>
          <w:trHeight w:val="856" w:hRule="atLeast"/>
        </w:trPr>
        <w:tc>
          <w:tcPr>
            <w:tcW w:w="1384" w:type="dxa"/>
            <w:vAlign w:val="top"/>
          </w:tcPr>
          <w:p>
            <w:pPr>
              <w:pStyle w:val="TableText"/>
              <w:ind w:left="438"/>
              <w:spacing w:before="315" w:line="221" w:lineRule="auto"/>
              <w:rPr>
                <w:sz w:val="25"/>
                <w:szCs w:val="25"/>
              </w:rPr>
            </w:pPr>
            <w:r>
              <w:rPr>
                <w:sz w:val="25"/>
                <w:szCs w:val="25"/>
                <w:b/>
                <w:bCs/>
                <w:spacing w:val="-6"/>
              </w:rPr>
              <w:t>较重</w:t>
            </w:r>
          </w:p>
        </w:tc>
        <w:tc>
          <w:tcPr>
            <w:tcW w:w="8364" w:type="dxa"/>
            <w:vAlign w:val="top"/>
          </w:tcPr>
          <w:p>
            <w:pPr>
              <w:pStyle w:val="TableText"/>
              <w:ind w:left="111" w:firstLine="29"/>
              <w:spacing w:before="155" w:line="255" w:lineRule="auto"/>
              <w:rPr>
                <w:sz w:val="25"/>
                <w:szCs w:val="25"/>
              </w:rPr>
            </w:pPr>
            <w:r>
              <w:rPr>
                <w:sz w:val="25"/>
                <w:szCs w:val="25"/>
                <w:spacing w:val="-9"/>
              </w:rPr>
              <w:t>乡村医生未按照本办法规定开具抗菌药物处方，造成严重后果，经责令限期改</w:t>
            </w:r>
            <w:r>
              <w:rPr>
                <w:sz w:val="25"/>
                <w:szCs w:val="25"/>
                <w:spacing w:val="18"/>
              </w:rPr>
              <w:t xml:space="preserve"> </w:t>
            </w:r>
            <w:r>
              <w:rPr>
                <w:sz w:val="25"/>
                <w:szCs w:val="25"/>
                <w:spacing w:val="2"/>
              </w:rPr>
              <w:t>正，逾期不改正的</w:t>
            </w:r>
          </w:p>
        </w:tc>
        <w:tc>
          <w:tcPr>
            <w:tcW w:w="4272" w:type="dxa"/>
            <w:vAlign w:val="top"/>
          </w:tcPr>
          <w:p>
            <w:pPr>
              <w:pStyle w:val="TableText"/>
              <w:ind w:left="117" w:right="386"/>
              <w:spacing w:before="155" w:line="255" w:lineRule="auto"/>
              <w:rPr>
                <w:sz w:val="25"/>
                <w:szCs w:val="25"/>
              </w:rPr>
            </w:pPr>
            <w:r>
              <w:rPr>
                <w:sz w:val="25"/>
                <w:szCs w:val="25"/>
              </w:rPr>
              <w:t>责令暂停3个月以上6个月以下执业</w:t>
            </w:r>
            <w:r>
              <w:rPr>
                <w:sz w:val="25"/>
                <w:szCs w:val="25"/>
                <w:spacing w:val="7"/>
              </w:rPr>
              <w:t xml:space="preserve"> </w:t>
            </w:r>
            <w:r>
              <w:rPr>
                <w:sz w:val="25"/>
                <w:szCs w:val="25"/>
                <w:spacing w:val="8"/>
              </w:rPr>
              <w:t>活动</w:t>
            </w:r>
          </w:p>
        </w:tc>
      </w:tr>
      <w:tr>
        <w:trPr>
          <w:trHeight w:val="563" w:hRule="atLeast"/>
        </w:trPr>
        <w:tc>
          <w:tcPr>
            <w:tcW w:w="1384" w:type="dxa"/>
            <w:vAlign w:val="top"/>
          </w:tcPr>
          <w:p>
            <w:pPr>
              <w:pStyle w:val="TableText"/>
              <w:ind w:left="438"/>
              <w:spacing w:before="226" w:line="220" w:lineRule="auto"/>
              <w:rPr>
                <w:sz w:val="25"/>
                <w:szCs w:val="25"/>
              </w:rPr>
            </w:pPr>
            <w:r>
              <w:rPr>
                <w:sz w:val="25"/>
                <w:szCs w:val="25"/>
                <w:b/>
                <w:bCs/>
                <w:spacing w:val="-6"/>
              </w:rPr>
              <w:t>严重</w:t>
            </w:r>
          </w:p>
        </w:tc>
        <w:tc>
          <w:tcPr>
            <w:tcW w:w="8364" w:type="dxa"/>
            <w:vAlign w:val="top"/>
          </w:tcPr>
          <w:p>
            <w:pPr>
              <w:pStyle w:val="TableText"/>
              <w:spacing w:before="227" w:line="219" w:lineRule="auto"/>
              <w:jc w:val="right"/>
              <w:rPr>
                <w:sz w:val="25"/>
                <w:szCs w:val="25"/>
              </w:rPr>
            </w:pPr>
            <w:r>
              <w:rPr>
                <w:sz w:val="25"/>
                <w:szCs w:val="25"/>
              </w:rPr>
              <w:t>乡村医生未按照本办法规定开具抗菌药物处方，造成严</w:t>
            </w:r>
            <w:r>
              <w:rPr>
                <w:sz w:val="25"/>
                <w:szCs w:val="25"/>
                <w:spacing w:val="-1"/>
              </w:rPr>
              <w:t>重后果，情节严重的</w:t>
            </w:r>
          </w:p>
        </w:tc>
        <w:tc>
          <w:tcPr>
            <w:tcW w:w="4272" w:type="dxa"/>
            <w:vAlign w:val="top"/>
          </w:tcPr>
          <w:p>
            <w:pPr>
              <w:pStyle w:val="TableText"/>
              <w:ind w:left="117"/>
              <w:spacing w:before="227" w:line="219" w:lineRule="auto"/>
              <w:rPr>
                <w:sz w:val="25"/>
                <w:szCs w:val="25"/>
              </w:rPr>
            </w:pPr>
            <w:r>
              <w:rPr>
                <w:sz w:val="25"/>
                <w:szCs w:val="25"/>
                <w:spacing w:val="1"/>
              </w:rPr>
              <w:t>暂扣乡村医生执业证书</w:t>
            </w:r>
          </w:p>
        </w:tc>
      </w:tr>
    </w:tbl>
    <w:p>
      <w:pPr>
        <w:pStyle w:val="BodyText"/>
        <w:spacing w:line="466" w:lineRule="auto"/>
        <w:rPr/>
      </w:pPr>
      <w:r/>
    </w:p>
    <w:p>
      <w:pPr>
        <w:ind w:left="70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第二百八十七条乡村医生使用未经国家药品监督管理</w:t>
      </w:r>
      <w:r>
        <w:rPr>
          <w:rFonts w:ascii="FangSong" w:hAnsi="FangSong" w:eastAsia="FangSong" w:cs="FangSong"/>
          <w:sz w:val="30"/>
          <w:szCs w:val="30"/>
          <w:b/>
          <w:bCs/>
          <w:spacing w:val="21"/>
        </w:rPr>
        <w:t>部门批准的抗菌药物的</w:t>
      </w:r>
    </w:p>
    <w:p>
      <w:pPr>
        <w:ind w:left="685"/>
        <w:spacing w:before="11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55" w:right="42" w:firstLine="599"/>
        <w:spacing w:before="66" w:line="264" w:lineRule="auto"/>
        <w:rPr>
          <w:rFonts w:ascii="FangSong" w:hAnsi="FangSong" w:eastAsia="FangSong" w:cs="FangSong"/>
          <w:sz w:val="30"/>
          <w:szCs w:val="30"/>
        </w:rPr>
      </w:pPr>
      <w:r>
        <w:rPr>
          <w:rFonts w:ascii="FangSong" w:hAnsi="FangSong" w:eastAsia="FangSong" w:cs="FangSong"/>
          <w:sz w:val="30"/>
          <w:szCs w:val="30"/>
          <w:spacing w:val="19"/>
        </w:rPr>
        <w:t>《抗菌药物临床应用管理办法》第五十二条第二</w:t>
      </w:r>
      <w:r>
        <w:rPr>
          <w:rFonts w:ascii="FangSong" w:hAnsi="FangSong" w:eastAsia="FangSong" w:cs="FangSong"/>
          <w:sz w:val="30"/>
          <w:szCs w:val="30"/>
          <w:spacing w:val="18"/>
        </w:rPr>
        <w:t>款</w:t>
      </w:r>
      <w:r>
        <w:rPr>
          <w:rFonts w:ascii="FangSong" w:hAnsi="FangSong" w:eastAsia="FangSong" w:cs="FangSong"/>
          <w:sz w:val="30"/>
          <w:szCs w:val="30"/>
          <w:spacing w:val="46"/>
        </w:rPr>
        <w:t xml:space="preserve">   </w:t>
      </w:r>
      <w:r>
        <w:rPr>
          <w:rFonts w:ascii="FangSong" w:hAnsi="FangSong" w:eastAsia="FangSong" w:cs="FangSong"/>
          <w:sz w:val="30"/>
          <w:szCs w:val="30"/>
          <w:spacing w:val="18"/>
        </w:rPr>
        <w:t>乡村医生有前款规定情形之一的，由县级</w:t>
      </w:r>
      <w:r>
        <w:rPr>
          <w:rFonts w:ascii="FangSong" w:hAnsi="FangSong" w:eastAsia="FangSong" w:cs="FangSong"/>
          <w:sz w:val="30"/>
          <w:szCs w:val="30"/>
          <w:spacing w:val="2"/>
        </w:rPr>
        <w:t xml:space="preserve"> </w:t>
      </w:r>
      <w:r>
        <w:rPr>
          <w:rFonts w:ascii="FangSong" w:hAnsi="FangSong" w:eastAsia="FangSong" w:cs="FangSong"/>
          <w:sz w:val="30"/>
          <w:szCs w:val="30"/>
          <w:spacing w:val="17"/>
        </w:rPr>
        <w:t>卫生行政部门按照《乡村医生从业管理条例》第三十八条有关规定处理。</w:t>
      </w:r>
    </w:p>
    <w:p>
      <w:pPr>
        <w:ind w:left="55" w:right="44" w:firstLine="599"/>
        <w:spacing w:before="1" w:line="272" w:lineRule="auto"/>
        <w:jc w:val="both"/>
        <w:rPr>
          <w:rFonts w:ascii="FangSong" w:hAnsi="FangSong" w:eastAsia="FangSong" w:cs="FangSong"/>
          <w:sz w:val="30"/>
          <w:szCs w:val="30"/>
        </w:rPr>
      </w:pPr>
      <w:r>
        <w:rPr>
          <w:rFonts w:ascii="FangSong" w:hAnsi="FangSong" w:eastAsia="FangSong" w:cs="FangSong"/>
          <w:sz w:val="30"/>
          <w:szCs w:val="30"/>
          <w:spacing w:val="20"/>
        </w:rPr>
        <w:t>《乡村医生从业管理条例》第三十八条</w:t>
      </w:r>
      <w:r>
        <w:rPr>
          <w:rFonts w:ascii="FangSong" w:hAnsi="FangSong" w:eastAsia="FangSong" w:cs="FangSong"/>
          <w:sz w:val="30"/>
          <w:szCs w:val="30"/>
          <w:spacing w:val="20"/>
        </w:rPr>
        <w:t xml:space="preserve">   </w:t>
      </w:r>
      <w:r>
        <w:rPr>
          <w:rFonts w:ascii="FangSong" w:hAnsi="FangSong" w:eastAsia="FangSong" w:cs="FangSong"/>
          <w:sz w:val="30"/>
          <w:szCs w:val="30"/>
          <w:spacing w:val="20"/>
        </w:rPr>
        <w:t>乡村医</w:t>
      </w:r>
      <w:r>
        <w:rPr>
          <w:rFonts w:ascii="FangSong" w:hAnsi="FangSong" w:eastAsia="FangSong" w:cs="FangSong"/>
          <w:sz w:val="30"/>
          <w:szCs w:val="30"/>
          <w:spacing w:val="19"/>
        </w:rPr>
        <w:t>生在执业活动中，违反本条例规定，有下列行</w:t>
      </w:r>
      <w:r>
        <w:rPr>
          <w:rFonts w:ascii="FangSong" w:hAnsi="FangSong" w:eastAsia="FangSong" w:cs="FangSong"/>
          <w:sz w:val="30"/>
          <w:szCs w:val="30"/>
        </w:rPr>
        <w:t xml:space="preserve"> </w:t>
      </w:r>
      <w:r>
        <w:rPr>
          <w:rFonts w:ascii="FangSong" w:hAnsi="FangSong" w:eastAsia="FangSong" w:cs="FangSong"/>
          <w:sz w:val="30"/>
          <w:szCs w:val="30"/>
          <w:spacing w:val="20"/>
        </w:rPr>
        <w:t>为之一的，由县级人民政府卫生行政主管部门责令限期改正，给予警告；逾期不改正的，责令暂停3</w:t>
      </w:r>
      <w:r>
        <w:rPr>
          <w:rFonts w:ascii="FangSong" w:hAnsi="FangSong" w:eastAsia="FangSong" w:cs="FangSong"/>
          <w:sz w:val="30"/>
          <w:szCs w:val="30"/>
        </w:rPr>
        <w:t xml:space="preserve"> </w:t>
      </w:r>
      <w:r>
        <w:rPr>
          <w:rFonts w:ascii="FangSong" w:hAnsi="FangSong" w:eastAsia="FangSong" w:cs="FangSong"/>
          <w:sz w:val="30"/>
          <w:szCs w:val="30"/>
          <w:spacing w:val="24"/>
        </w:rPr>
        <w:t>个月以上6个月以下执业活动；情节严重的，由原发证部门暂</w:t>
      </w:r>
      <w:r>
        <w:rPr>
          <w:rFonts w:ascii="FangSong" w:hAnsi="FangSong" w:eastAsia="FangSong" w:cs="FangSong"/>
          <w:sz w:val="30"/>
          <w:szCs w:val="30"/>
          <w:spacing w:val="23"/>
        </w:rPr>
        <w:t>扣乡村医生执业证书：</w:t>
      </w:r>
    </w:p>
    <w:p>
      <w:pPr>
        <w:ind w:left="805"/>
        <w:spacing w:before="11" w:line="219" w:lineRule="auto"/>
        <w:rPr>
          <w:rFonts w:ascii="FangSong" w:hAnsi="FangSong" w:eastAsia="FangSong" w:cs="FangSong"/>
          <w:sz w:val="30"/>
          <w:szCs w:val="30"/>
        </w:rPr>
      </w:pPr>
      <w:r>
        <w:rPr>
          <w:rFonts w:ascii="FangSong" w:hAnsi="FangSong" w:eastAsia="FangSong" w:cs="FangSong"/>
          <w:sz w:val="30"/>
          <w:szCs w:val="30"/>
          <w:spacing w:val="23"/>
        </w:rPr>
        <w:t>(一)执业活动超出规定的执业范围，或者</w:t>
      </w:r>
      <w:r>
        <w:rPr>
          <w:rFonts w:ascii="FangSong" w:hAnsi="FangSong" w:eastAsia="FangSong" w:cs="FangSong"/>
          <w:sz w:val="30"/>
          <w:szCs w:val="30"/>
          <w:spacing w:val="22"/>
        </w:rPr>
        <w:t>未按照规定进行转诊的；</w:t>
      </w:r>
    </w:p>
    <w:p>
      <w:pPr>
        <w:ind w:left="805"/>
        <w:spacing w:before="89" w:line="222" w:lineRule="auto"/>
        <w:rPr>
          <w:rFonts w:ascii="FangSong" w:hAnsi="FangSong" w:eastAsia="FangSong" w:cs="FangSong"/>
          <w:sz w:val="30"/>
          <w:szCs w:val="30"/>
        </w:rPr>
      </w:pPr>
      <w:r>
        <w:rPr>
          <w:rFonts w:ascii="FangSong" w:hAnsi="FangSong" w:eastAsia="FangSong" w:cs="FangSong"/>
          <w:sz w:val="30"/>
          <w:szCs w:val="30"/>
          <w:spacing w:val="22"/>
        </w:rPr>
        <w:t>(二)违反规定使用乡村医生基本用药目录以外的处方药品的；</w:t>
      </w:r>
    </w:p>
    <w:p>
      <w:pPr>
        <w:ind w:left="805"/>
        <w:spacing w:before="77" w:line="220" w:lineRule="auto"/>
        <w:rPr>
          <w:rFonts w:ascii="FangSong" w:hAnsi="FangSong" w:eastAsia="FangSong" w:cs="FangSong"/>
          <w:sz w:val="30"/>
          <w:szCs w:val="30"/>
        </w:rPr>
      </w:pPr>
      <w:r>
        <w:rPr>
          <w:rFonts w:ascii="FangSong" w:hAnsi="FangSong" w:eastAsia="FangSong" w:cs="FangSong"/>
          <w:sz w:val="30"/>
          <w:szCs w:val="30"/>
          <w:spacing w:val="23"/>
        </w:rPr>
        <w:t>(三)违反规定出具医学证明，或者伪造卫生统计资料的；</w:t>
      </w:r>
    </w:p>
    <w:p>
      <w:pPr>
        <w:ind w:left="805"/>
        <w:spacing w:before="67" w:line="222" w:lineRule="auto"/>
        <w:rPr>
          <w:rFonts w:ascii="FangSong" w:hAnsi="FangSong" w:eastAsia="FangSong" w:cs="FangSong"/>
          <w:sz w:val="30"/>
          <w:szCs w:val="30"/>
        </w:rPr>
      </w:pPr>
      <w:r>
        <w:rPr>
          <w:rFonts w:ascii="FangSong" w:hAnsi="FangSong" w:eastAsia="FangSong" w:cs="FangSong"/>
          <w:sz w:val="30"/>
          <w:szCs w:val="30"/>
          <w:spacing w:val="23"/>
        </w:rPr>
        <w:t>(四)发现传染病疫情、中毒事件不按规定报告的。</w:t>
      </w:r>
    </w:p>
    <w:p>
      <w:pPr>
        <w:spacing w:line="222" w:lineRule="auto"/>
        <w:sectPr>
          <w:footerReference w:type="default" r:id="rId339"/>
          <w:pgSz w:w="16830" w:h="11900"/>
          <w:pgMar w:top="1011" w:right="1405" w:bottom="1118" w:left="1394" w:header="0" w:footer="785" w:gutter="0"/>
        </w:sectPr>
        <w:rPr>
          <w:rFonts w:ascii="FangSong" w:hAnsi="FangSong" w:eastAsia="FangSong" w:cs="FangSong"/>
          <w:sz w:val="30"/>
          <w:szCs w:val="30"/>
        </w:rPr>
      </w:pPr>
    </w:p>
    <w:p>
      <w:pPr>
        <w:pStyle w:val="BodyText"/>
        <w:spacing w:line="263" w:lineRule="auto"/>
        <w:rPr/>
      </w:pPr>
      <w:r/>
    </w:p>
    <w:p>
      <w:pPr>
        <w:pStyle w:val="BodyText"/>
        <w:spacing w:line="263" w:lineRule="auto"/>
        <w:rPr/>
      </w:pPr>
      <w:r/>
    </w:p>
    <w:p>
      <w:pPr>
        <w:pStyle w:val="BodyText"/>
        <w:spacing w:line="264" w:lineRule="auto"/>
        <w:rPr/>
      </w:pPr>
      <w:r/>
    </w:p>
    <w:p>
      <w:pPr>
        <w:ind w:left="6469"/>
        <w:spacing w:before="91" w:line="220" w:lineRule="auto"/>
        <w:rPr>
          <w:rFonts w:ascii="SimSun" w:hAnsi="SimSun" w:eastAsia="SimSun" w:cs="SimSun"/>
          <w:sz w:val="28"/>
          <w:szCs w:val="28"/>
        </w:rPr>
      </w:pPr>
      <w:bookmarkStart w:name="bookmark993" w:id="362"/>
      <w:bookmarkEnd w:id="362"/>
      <w:r>
        <w:rPr>
          <w:rFonts w:ascii="SimSun" w:hAnsi="SimSun" w:eastAsia="SimSun" w:cs="SimSun"/>
          <w:sz w:val="28"/>
          <w:szCs w:val="28"/>
          <w:b/>
          <w:bCs/>
          <w:spacing w:val="-6"/>
        </w:rPr>
        <w:t>裁量标准</w:t>
      </w:r>
    </w:p>
    <w:p>
      <w:pPr>
        <w:spacing w:line="31" w:lineRule="auto"/>
        <w:rPr>
          <w:rFonts w:ascii="Arial"/>
          <w:sz w:val="2"/>
        </w:rPr>
      </w:pPr>
      <w:r>
        <w:rPr>
          <w:rFonts w:ascii="Arial"/>
          <w:sz w:val="2"/>
        </w:rPr>
      </w:r>
    </w:p>
    <w:tbl>
      <w:tblPr>
        <w:tblStyle w:val="TableNormal"/>
        <w:tblW w:w="140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94"/>
        <w:gridCol w:w="8364"/>
        <w:gridCol w:w="4262"/>
      </w:tblGrid>
      <w:tr>
        <w:trPr>
          <w:trHeight w:val="553" w:hRule="atLeast"/>
        </w:trPr>
        <w:tc>
          <w:tcPr>
            <w:tcW w:w="1394" w:type="dxa"/>
            <w:vAlign w:val="top"/>
          </w:tcPr>
          <w:p>
            <w:pPr>
              <w:pStyle w:val="TableText"/>
              <w:ind w:left="208"/>
              <w:spacing w:before="162" w:line="220" w:lineRule="auto"/>
              <w:rPr/>
            </w:pPr>
            <w:r>
              <w:rPr>
                <w:b/>
                <w:bCs/>
                <w:spacing w:val="-5"/>
              </w:rPr>
              <w:t>违法程度</w:t>
            </w:r>
          </w:p>
        </w:tc>
        <w:tc>
          <w:tcPr>
            <w:tcW w:w="8364" w:type="dxa"/>
            <w:vAlign w:val="top"/>
          </w:tcPr>
          <w:p>
            <w:pPr>
              <w:pStyle w:val="TableText"/>
              <w:ind w:left="3624"/>
              <w:spacing w:before="162" w:line="220" w:lineRule="auto"/>
              <w:rPr/>
            </w:pPr>
            <w:r>
              <w:rPr>
                <w:b/>
                <w:bCs/>
                <w:spacing w:val="-5"/>
              </w:rPr>
              <w:t>情节后果</w:t>
            </w:r>
          </w:p>
        </w:tc>
        <w:tc>
          <w:tcPr>
            <w:tcW w:w="4262" w:type="dxa"/>
            <w:vAlign w:val="top"/>
          </w:tcPr>
          <w:p>
            <w:pPr>
              <w:pStyle w:val="TableText"/>
              <w:ind w:left="1560"/>
              <w:spacing w:before="15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548" w:hRule="atLeast"/>
        </w:trPr>
        <w:tc>
          <w:tcPr>
            <w:tcW w:w="1394" w:type="dxa"/>
            <w:vAlign w:val="top"/>
          </w:tcPr>
          <w:p>
            <w:pPr>
              <w:pStyle w:val="TableText"/>
              <w:ind w:left="448"/>
              <w:spacing w:before="199" w:line="221" w:lineRule="auto"/>
              <w:rPr/>
            </w:pPr>
            <w:r>
              <w:rPr>
                <w:b/>
                <w:bCs/>
                <w:spacing w:val="-10"/>
              </w:rPr>
              <w:t>一般</w:t>
            </w:r>
          </w:p>
        </w:tc>
        <w:tc>
          <w:tcPr>
            <w:tcW w:w="8364" w:type="dxa"/>
            <w:vAlign w:val="top"/>
          </w:tcPr>
          <w:p>
            <w:pPr>
              <w:pStyle w:val="TableText"/>
              <w:ind w:left="121"/>
              <w:spacing w:before="200" w:line="219" w:lineRule="auto"/>
              <w:rPr/>
            </w:pPr>
            <w:r>
              <w:rPr/>
              <w:t>乡村医生使用未经国家药品监督管理部门批准的抗菌药物的</w:t>
            </w:r>
          </w:p>
        </w:tc>
        <w:tc>
          <w:tcPr>
            <w:tcW w:w="4262" w:type="dxa"/>
            <w:vAlign w:val="top"/>
          </w:tcPr>
          <w:p>
            <w:pPr>
              <w:pStyle w:val="TableText"/>
              <w:ind w:left="117"/>
              <w:spacing w:before="199" w:line="218" w:lineRule="auto"/>
              <w:rPr/>
            </w:pPr>
            <w:r>
              <w:rPr>
                <w:spacing w:val="4"/>
              </w:rPr>
              <w:t>给予警告</w:t>
            </w:r>
          </w:p>
        </w:tc>
      </w:tr>
      <w:tr>
        <w:trPr>
          <w:trHeight w:val="896" w:hRule="atLeast"/>
        </w:trPr>
        <w:tc>
          <w:tcPr>
            <w:tcW w:w="1394" w:type="dxa"/>
            <w:vAlign w:val="top"/>
          </w:tcPr>
          <w:p>
            <w:pPr>
              <w:spacing w:line="254" w:lineRule="auto"/>
              <w:rPr>
                <w:rFonts w:ascii="Arial"/>
                <w:sz w:val="21"/>
              </w:rPr>
            </w:pPr>
            <w:r/>
          </w:p>
          <w:p>
            <w:pPr>
              <w:pStyle w:val="TableText"/>
              <w:ind w:left="448"/>
              <w:spacing w:before="78" w:line="221" w:lineRule="auto"/>
              <w:rPr/>
            </w:pPr>
            <w:r>
              <w:rPr>
                <w:b/>
                <w:bCs/>
                <w:spacing w:val="-5"/>
              </w:rPr>
              <w:t>较重</w:t>
            </w:r>
          </w:p>
        </w:tc>
        <w:tc>
          <w:tcPr>
            <w:tcW w:w="8364" w:type="dxa"/>
            <w:vAlign w:val="top"/>
          </w:tcPr>
          <w:p>
            <w:pPr>
              <w:pStyle w:val="TableText"/>
              <w:ind w:left="121" w:right="282" w:firstLine="20"/>
              <w:spacing w:before="163" w:line="278" w:lineRule="auto"/>
              <w:rPr/>
            </w:pPr>
            <w:r>
              <w:rPr/>
              <w:t>乡村医生使用未经国家药品监督管理部门批准的抗菌药物的，经责令限期改</w:t>
            </w:r>
            <w:r>
              <w:rPr>
                <w:spacing w:val="9"/>
              </w:rPr>
              <w:t xml:space="preserve"> </w:t>
            </w:r>
            <w:r>
              <w:rPr>
                <w:spacing w:val="2"/>
              </w:rPr>
              <w:t>正，逾期不改正的</w:t>
            </w:r>
          </w:p>
        </w:tc>
        <w:tc>
          <w:tcPr>
            <w:tcW w:w="4262" w:type="dxa"/>
            <w:vAlign w:val="top"/>
          </w:tcPr>
          <w:p>
            <w:pPr>
              <w:pStyle w:val="TableText"/>
              <w:ind w:left="117" w:right="526"/>
              <w:spacing w:before="152" w:line="282" w:lineRule="auto"/>
              <w:rPr/>
            </w:pPr>
            <w:r>
              <w:rPr/>
              <w:t>责令暂停3个月以上6个月以下执业</w:t>
            </w:r>
            <w:r>
              <w:rPr>
                <w:spacing w:val="7"/>
              </w:rPr>
              <w:t xml:space="preserve"> </w:t>
            </w:r>
            <w:r>
              <w:rPr>
                <w:spacing w:val="8"/>
              </w:rPr>
              <w:t>活动</w:t>
            </w:r>
          </w:p>
        </w:tc>
      </w:tr>
      <w:tr>
        <w:trPr>
          <w:trHeight w:val="862" w:hRule="atLeast"/>
        </w:trPr>
        <w:tc>
          <w:tcPr>
            <w:tcW w:w="1394" w:type="dxa"/>
            <w:vAlign w:val="top"/>
          </w:tcPr>
          <w:p>
            <w:pPr>
              <w:pStyle w:val="TableText"/>
              <w:ind w:left="448"/>
              <w:spacing w:before="315" w:line="220" w:lineRule="auto"/>
              <w:rPr/>
            </w:pPr>
            <w:r>
              <w:rPr>
                <w:b/>
                <w:bCs/>
                <w:spacing w:val="-6"/>
              </w:rPr>
              <w:t>严重</w:t>
            </w:r>
          </w:p>
        </w:tc>
        <w:tc>
          <w:tcPr>
            <w:tcW w:w="8364" w:type="dxa"/>
            <w:vAlign w:val="top"/>
          </w:tcPr>
          <w:p>
            <w:pPr>
              <w:pStyle w:val="TableText"/>
              <w:ind w:left="121" w:right="36" w:firstLine="20"/>
              <w:spacing w:before="147" w:line="271" w:lineRule="auto"/>
              <w:rPr/>
            </w:pPr>
            <w:r>
              <w:rPr/>
              <w:t>乡村医生使用未经国家药品监督管理部门批准的抗菌药物的，给患者造成伤害</w:t>
            </w:r>
            <w:r>
              <w:rPr>
                <w:spacing w:val="14"/>
              </w:rPr>
              <w:t xml:space="preserve"> </w:t>
            </w:r>
            <w:r>
              <w:rPr>
                <w:spacing w:val="1"/>
              </w:rPr>
              <w:t>或产生其他危害后果的</w:t>
            </w:r>
          </w:p>
        </w:tc>
        <w:tc>
          <w:tcPr>
            <w:tcW w:w="4262" w:type="dxa"/>
            <w:vAlign w:val="top"/>
          </w:tcPr>
          <w:p>
            <w:pPr>
              <w:spacing w:line="286" w:lineRule="auto"/>
              <w:rPr>
                <w:rFonts w:ascii="Arial"/>
                <w:sz w:val="21"/>
              </w:rPr>
            </w:pPr>
            <w:r/>
          </w:p>
          <w:p>
            <w:pPr>
              <w:pStyle w:val="TableText"/>
              <w:ind w:left="117"/>
              <w:spacing w:before="78" w:line="219" w:lineRule="auto"/>
              <w:rPr/>
            </w:pPr>
            <w:r>
              <w:rPr>
                <w:spacing w:val="1"/>
              </w:rPr>
              <w:t>暂扣乡村医生执业证书</w:t>
            </w:r>
          </w:p>
        </w:tc>
      </w:tr>
    </w:tbl>
    <w:p>
      <w:pPr>
        <w:pStyle w:val="BodyText"/>
        <w:spacing w:line="466" w:lineRule="auto"/>
        <w:rPr/>
      </w:pPr>
      <w:r/>
    </w:p>
    <w:p>
      <w:pPr>
        <w:ind w:left="70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第二百八十八条乡村医生使用本机构抗菌药物供应目录以外的品种、品规，造成严重后果的</w:t>
      </w:r>
    </w:p>
    <w:p>
      <w:pPr>
        <w:ind w:left="695"/>
        <w:spacing w:before="90" w:line="222" w:lineRule="auto"/>
        <w:rPr>
          <w:rFonts w:ascii="FangSong" w:hAnsi="FangSong" w:eastAsia="FangSong" w:cs="FangSong"/>
          <w:sz w:val="30"/>
          <w:szCs w:val="30"/>
        </w:rPr>
      </w:pPr>
      <w:r>
        <w:rPr>
          <w:rFonts w:ascii="FangSong" w:hAnsi="FangSong" w:eastAsia="FangSong" w:cs="FangSong"/>
          <w:sz w:val="30"/>
          <w:szCs w:val="30"/>
        </w:rPr>
        <w:t>法律依据：</w:t>
      </w:r>
    </w:p>
    <w:p>
      <w:pPr>
        <w:ind w:left="55" w:right="32" w:firstLine="619"/>
        <w:spacing w:before="76" w:line="267" w:lineRule="auto"/>
        <w:rPr>
          <w:rFonts w:ascii="FangSong" w:hAnsi="FangSong" w:eastAsia="FangSong" w:cs="FangSong"/>
          <w:sz w:val="30"/>
          <w:szCs w:val="30"/>
        </w:rPr>
      </w:pPr>
      <w:r>
        <w:rPr>
          <w:rFonts w:ascii="FangSong" w:hAnsi="FangSong" w:eastAsia="FangSong" w:cs="FangSong"/>
          <w:sz w:val="30"/>
          <w:szCs w:val="30"/>
          <w:spacing w:val="20"/>
        </w:rPr>
        <w:t>《抗菌药物临床应用管理办法》第五十二条第二款</w:t>
      </w:r>
      <w:r>
        <w:rPr>
          <w:rFonts w:ascii="FangSong" w:hAnsi="FangSong" w:eastAsia="FangSong" w:cs="FangSong"/>
          <w:sz w:val="30"/>
          <w:szCs w:val="30"/>
          <w:spacing w:val="20"/>
        </w:rPr>
        <w:t xml:space="preserve">   </w:t>
      </w:r>
      <w:r>
        <w:rPr>
          <w:rFonts w:ascii="FangSong" w:hAnsi="FangSong" w:eastAsia="FangSong" w:cs="FangSong"/>
          <w:sz w:val="30"/>
          <w:szCs w:val="30"/>
          <w:spacing w:val="20"/>
        </w:rPr>
        <w:t>乡村医生有前款规定情形之一的，由县级</w:t>
      </w:r>
      <w:r>
        <w:rPr>
          <w:rFonts w:ascii="FangSong" w:hAnsi="FangSong" w:eastAsia="FangSong" w:cs="FangSong"/>
          <w:sz w:val="30"/>
          <w:szCs w:val="30"/>
          <w:spacing w:val="11"/>
        </w:rPr>
        <w:t xml:space="preserve"> </w:t>
      </w:r>
      <w:r>
        <w:rPr>
          <w:rFonts w:ascii="FangSong" w:hAnsi="FangSong" w:eastAsia="FangSong" w:cs="FangSong"/>
          <w:sz w:val="30"/>
          <w:szCs w:val="30"/>
          <w:spacing w:val="17"/>
        </w:rPr>
        <w:t>卫生行政部门按照《乡村医生从业管理条例》第三十八条有关规定处理。</w:t>
      </w:r>
    </w:p>
    <w:p>
      <w:pPr>
        <w:ind w:left="55" w:right="15" w:firstLine="619"/>
        <w:spacing w:before="1" w:line="266" w:lineRule="auto"/>
        <w:jc w:val="both"/>
        <w:rPr>
          <w:rFonts w:ascii="FangSong" w:hAnsi="FangSong" w:eastAsia="FangSong" w:cs="FangSong"/>
          <w:sz w:val="30"/>
          <w:szCs w:val="30"/>
        </w:rPr>
      </w:pPr>
      <w:r>
        <w:rPr>
          <w:rFonts w:ascii="FangSong" w:hAnsi="FangSong" w:eastAsia="FangSong" w:cs="FangSong"/>
          <w:sz w:val="30"/>
          <w:szCs w:val="30"/>
          <w:spacing w:val="19"/>
        </w:rPr>
        <w:t>《乡村医生从业管理条例》第三十八条</w:t>
      </w:r>
      <w:r>
        <w:rPr>
          <w:rFonts w:ascii="FangSong" w:hAnsi="FangSong" w:eastAsia="FangSong" w:cs="FangSong"/>
          <w:sz w:val="30"/>
          <w:szCs w:val="30"/>
          <w:spacing w:val="19"/>
        </w:rPr>
        <w:t xml:space="preserve">   </w:t>
      </w:r>
      <w:r>
        <w:rPr>
          <w:rFonts w:ascii="FangSong" w:hAnsi="FangSong" w:eastAsia="FangSong" w:cs="FangSong"/>
          <w:sz w:val="30"/>
          <w:szCs w:val="30"/>
          <w:spacing w:val="19"/>
        </w:rPr>
        <w:t>乡村医生在执业活动中，违反本条例规定，有下列行</w:t>
      </w:r>
      <w:r>
        <w:rPr>
          <w:rFonts w:ascii="FangSong" w:hAnsi="FangSong" w:eastAsia="FangSong" w:cs="FangSong"/>
          <w:sz w:val="30"/>
          <w:szCs w:val="30"/>
          <w:spacing w:val="13"/>
        </w:rPr>
        <w:t xml:space="preserve"> </w:t>
      </w:r>
      <w:r>
        <w:rPr>
          <w:rFonts w:ascii="FangSong" w:hAnsi="FangSong" w:eastAsia="FangSong" w:cs="FangSong"/>
          <w:sz w:val="30"/>
          <w:szCs w:val="30"/>
          <w:spacing w:val="21"/>
        </w:rPr>
        <w:t>为之一的，由县级人民政府卫生行政主管部门责令限期改正，给</w:t>
      </w:r>
      <w:r>
        <w:rPr>
          <w:rFonts w:ascii="FangSong" w:hAnsi="FangSong" w:eastAsia="FangSong" w:cs="FangSong"/>
          <w:sz w:val="30"/>
          <w:szCs w:val="30"/>
          <w:spacing w:val="20"/>
        </w:rPr>
        <w:t>予警告；逾期不改正的，责令暂停3</w:t>
      </w:r>
      <w:r>
        <w:rPr>
          <w:rFonts w:ascii="FangSong" w:hAnsi="FangSong" w:eastAsia="FangSong" w:cs="FangSong"/>
          <w:sz w:val="30"/>
          <w:szCs w:val="30"/>
        </w:rPr>
        <w:t xml:space="preserve"> </w:t>
      </w:r>
      <w:r>
        <w:rPr>
          <w:rFonts w:ascii="FangSong" w:hAnsi="FangSong" w:eastAsia="FangSong" w:cs="FangSong"/>
          <w:sz w:val="30"/>
          <w:szCs w:val="30"/>
          <w:spacing w:val="23"/>
        </w:rPr>
        <w:t>个月以上6个月以下执业活动；情节严重的，由原发证部门暂扣乡村医生执业证书：</w:t>
      </w:r>
    </w:p>
    <w:p>
      <w:pPr>
        <w:ind w:left="825"/>
        <w:spacing w:before="30" w:line="219" w:lineRule="auto"/>
        <w:rPr>
          <w:rFonts w:ascii="FangSong" w:hAnsi="FangSong" w:eastAsia="FangSong" w:cs="FangSong"/>
          <w:sz w:val="30"/>
          <w:szCs w:val="30"/>
        </w:rPr>
      </w:pPr>
      <w:r>
        <w:rPr>
          <w:rFonts w:ascii="FangSong" w:hAnsi="FangSong" w:eastAsia="FangSong" w:cs="FangSong"/>
          <w:sz w:val="30"/>
          <w:szCs w:val="30"/>
          <w:spacing w:val="23"/>
        </w:rPr>
        <w:t>(一)执业活动超出规定的执业范围，或者</w:t>
      </w:r>
      <w:r>
        <w:rPr>
          <w:rFonts w:ascii="FangSong" w:hAnsi="FangSong" w:eastAsia="FangSong" w:cs="FangSong"/>
          <w:sz w:val="30"/>
          <w:szCs w:val="30"/>
          <w:spacing w:val="22"/>
        </w:rPr>
        <w:t>未按照规定进行转诊的；</w:t>
      </w:r>
    </w:p>
    <w:p>
      <w:pPr>
        <w:ind w:left="825"/>
        <w:spacing w:before="99" w:line="222" w:lineRule="auto"/>
        <w:rPr>
          <w:rFonts w:ascii="FangSong" w:hAnsi="FangSong" w:eastAsia="FangSong" w:cs="FangSong"/>
          <w:sz w:val="30"/>
          <w:szCs w:val="30"/>
        </w:rPr>
      </w:pPr>
      <w:r>
        <w:rPr>
          <w:rFonts w:ascii="FangSong" w:hAnsi="FangSong" w:eastAsia="FangSong" w:cs="FangSong"/>
          <w:sz w:val="30"/>
          <w:szCs w:val="30"/>
          <w:spacing w:val="22"/>
        </w:rPr>
        <w:t>(二)违反规定使用乡村医生基本用药目录以外的处方药品的；</w:t>
      </w:r>
    </w:p>
    <w:p>
      <w:pPr>
        <w:ind w:left="825"/>
        <w:spacing w:before="48" w:line="220" w:lineRule="auto"/>
        <w:rPr>
          <w:rFonts w:ascii="FangSong" w:hAnsi="FangSong" w:eastAsia="FangSong" w:cs="FangSong"/>
          <w:sz w:val="30"/>
          <w:szCs w:val="30"/>
        </w:rPr>
      </w:pPr>
      <w:r>
        <w:rPr>
          <w:rFonts w:ascii="FangSong" w:hAnsi="FangSong" w:eastAsia="FangSong" w:cs="FangSong"/>
          <w:sz w:val="30"/>
          <w:szCs w:val="30"/>
          <w:spacing w:val="22"/>
        </w:rPr>
        <w:t>(三)违反规定出具医学证明，或者伪造卫生统计资料的；</w:t>
      </w:r>
    </w:p>
    <w:p>
      <w:pPr>
        <w:spacing w:line="220" w:lineRule="auto"/>
        <w:sectPr>
          <w:footerReference w:type="default" r:id="rId340"/>
          <w:pgSz w:w="16830" w:h="11900"/>
          <w:pgMar w:top="1011" w:right="1405" w:bottom="1118" w:left="1394" w:header="0" w:footer="785" w:gutter="0"/>
        </w:sectPr>
        <w:rPr>
          <w:rFonts w:ascii="FangSong" w:hAnsi="FangSong" w:eastAsia="FangSong" w:cs="FangSong"/>
          <w:sz w:val="30"/>
          <w:szCs w:val="30"/>
        </w:rPr>
      </w:pPr>
    </w:p>
    <w:p>
      <w:pPr>
        <w:pStyle w:val="BodyText"/>
        <w:spacing w:line="261" w:lineRule="auto"/>
        <w:rPr/>
      </w:pPr>
      <w:r/>
    </w:p>
    <w:p>
      <w:pPr>
        <w:pStyle w:val="BodyText"/>
        <w:spacing w:line="261" w:lineRule="auto"/>
        <w:rPr/>
      </w:pPr>
      <w:r/>
    </w:p>
    <w:p>
      <w:pPr>
        <w:pStyle w:val="BodyText"/>
        <w:spacing w:line="262" w:lineRule="auto"/>
        <w:rPr/>
      </w:pPr>
      <w:r/>
    </w:p>
    <w:p>
      <w:pPr>
        <w:ind w:left="6423" w:right="6032" w:hanging="5644"/>
        <w:spacing w:before="98" w:line="243" w:lineRule="auto"/>
        <w:rPr>
          <w:rFonts w:ascii="SimSun" w:hAnsi="SimSun" w:eastAsia="SimSun" w:cs="SimSun"/>
          <w:sz w:val="29"/>
          <w:szCs w:val="29"/>
        </w:rPr>
      </w:pPr>
      <w:r>
        <w:rPr>
          <w:rFonts w:ascii="FangSong" w:hAnsi="FangSong" w:eastAsia="FangSong" w:cs="FangSong"/>
          <w:sz w:val="30"/>
          <w:szCs w:val="30"/>
          <w:spacing w:val="24"/>
        </w:rPr>
        <w:t>(四)发现传染病疫情、中毒事件不按规定报告的。</w:t>
      </w:r>
      <w:r>
        <w:rPr>
          <w:rFonts w:ascii="FangSong" w:hAnsi="FangSong" w:eastAsia="FangSong" w:cs="FangSong"/>
          <w:sz w:val="30"/>
          <w:szCs w:val="30"/>
          <w:spacing w:val="6"/>
        </w:rPr>
        <w:t xml:space="preserve"> </w:t>
      </w:r>
      <w:bookmarkStart w:name="bookmark994" w:id="363"/>
      <w:bookmarkEnd w:id="363"/>
      <w:r>
        <w:rPr>
          <w:rFonts w:ascii="SimSun" w:hAnsi="SimSun" w:eastAsia="SimSun" w:cs="SimSun"/>
          <w:sz w:val="29"/>
          <w:szCs w:val="29"/>
          <w:b/>
          <w:bCs/>
          <w:spacing w:val="-6"/>
        </w:rPr>
        <w:t>裁量标准</w:t>
      </w:r>
    </w:p>
    <w:tbl>
      <w:tblPr>
        <w:tblStyle w:val="TableNormal"/>
        <w:tblW w:w="13780" w:type="dxa"/>
        <w:tblInd w:w="8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94"/>
        <w:gridCol w:w="8184"/>
        <w:gridCol w:w="4102"/>
      </w:tblGrid>
      <w:tr>
        <w:trPr>
          <w:trHeight w:val="573" w:hRule="atLeast"/>
        </w:trPr>
        <w:tc>
          <w:tcPr>
            <w:tcW w:w="1494" w:type="dxa"/>
            <w:vAlign w:val="top"/>
          </w:tcPr>
          <w:p>
            <w:pPr>
              <w:pStyle w:val="TableText"/>
              <w:ind w:left="168"/>
              <w:spacing w:before="172" w:line="220" w:lineRule="auto"/>
              <w:rPr/>
            </w:pPr>
            <w:r>
              <w:rPr>
                <w:b/>
                <w:bCs/>
                <w:spacing w:val="46"/>
              </w:rPr>
              <w:t>违法程度</w:t>
            </w:r>
          </w:p>
        </w:tc>
        <w:tc>
          <w:tcPr>
            <w:tcW w:w="8184" w:type="dxa"/>
            <w:vAlign w:val="top"/>
          </w:tcPr>
          <w:p>
            <w:pPr>
              <w:pStyle w:val="TableText"/>
              <w:ind w:left="3604"/>
              <w:spacing w:before="172" w:line="220" w:lineRule="auto"/>
              <w:rPr/>
            </w:pPr>
            <w:r>
              <w:rPr>
                <w:b/>
                <w:bCs/>
                <w:spacing w:val="-5"/>
              </w:rPr>
              <w:t>情节后果</w:t>
            </w:r>
          </w:p>
        </w:tc>
        <w:tc>
          <w:tcPr>
            <w:tcW w:w="4102" w:type="dxa"/>
            <w:vAlign w:val="top"/>
          </w:tcPr>
          <w:p>
            <w:pPr>
              <w:pStyle w:val="TableText"/>
              <w:ind w:left="1500"/>
              <w:spacing w:before="169" w:line="218" w:lineRule="auto"/>
              <w:rPr/>
            </w:pPr>
            <w:r>
              <w:rPr>
                <w:b/>
                <w:bCs/>
                <w:spacing w:val="46"/>
              </w:rPr>
              <w:t>裁量幅度</w:t>
            </w:r>
          </w:p>
        </w:tc>
      </w:tr>
      <w:tr>
        <w:trPr>
          <w:trHeight w:val="518" w:hRule="atLeast"/>
        </w:trPr>
        <w:tc>
          <w:tcPr>
            <w:tcW w:w="1494" w:type="dxa"/>
            <w:vAlign w:val="top"/>
          </w:tcPr>
          <w:p>
            <w:pPr>
              <w:pStyle w:val="TableText"/>
              <w:ind w:left="498"/>
              <w:spacing w:before="139" w:line="221" w:lineRule="auto"/>
              <w:rPr/>
            </w:pPr>
            <w:r>
              <w:rPr>
                <w:b/>
                <w:bCs/>
                <w:spacing w:val="-10"/>
              </w:rPr>
              <w:t>一般</w:t>
            </w:r>
          </w:p>
        </w:tc>
        <w:tc>
          <w:tcPr>
            <w:tcW w:w="8184" w:type="dxa"/>
            <w:vAlign w:val="top"/>
          </w:tcPr>
          <w:p>
            <w:pPr>
              <w:pStyle w:val="TableText"/>
              <w:ind w:left="121"/>
              <w:spacing w:before="140" w:line="219" w:lineRule="auto"/>
              <w:rPr/>
            </w:pPr>
            <w:r>
              <w:rPr/>
              <w:t>乡村医生使用本机构抗菌药物供应目录以外的品种、品规，造成严重后果的</w:t>
            </w:r>
          </w:p>
        </w:tc>
        <w:tc>
          <w:tcPr>
            <w:tcW w:w="4102" w:type="dxa"/>
            <w:vAlign w:val="top"/>
          </w:tcPr>
          <w:p>
            <w:pPr>
              <w:pStyle w:val="TableText"/>
              <w:ind w:left="137"/>
              <w:spacing w:before="139" w:line="218" w:lineRule="auto"/>
              <w:rPr/>
            </w:pPr>
            <w:r>
              <w:rPr>
                <w:spacing w:val="4"/>
              </w:rPr>
              <w:t>给予警告</w:t>
            </w:r>
          </w:p>
        </w:tc>
      </w:tr>
      <w:tr>
        <w:trPr>
          <w:trHeight w:val="877" w:hRule="atLeast"/>
        </w:trPr>
        <w:tc>
          <w:tcPr>
            <w:tcW w:w="1494" w:type="dxa"/>
            <w:vAlign w:val="top"/>
          </w:tcPr>
          <w:p>
            <w:pPr>
              <w:spacing w:line="244" w:lineRule="auto"/>
              <w:rPr>
                <w:rFonts w:ascii="Arial"/>
                <w:sz w:val="21"/>
              </w:rPr>
            </w:pPr>
            <w:r/>
          </w:p>
          <w:p>
            <w:pPr>
              <w:pStyle w:val="TableText"/>
              <w:ind w:left="498"/>
              <w:spacing w:before="78" w:line="221" w:lineRule="auto"/>
              <w:rPr/>
            </w:pPr>
            <w:r>
              <w:rPr>
                <w:b/>
                <w:bCs/>
                <w:spacing w:val="-5"/>
              </w:rPr>
              <w:t>较重</w:t>
            </w:r>
          </w:p>
        </w:tc>
        <w:tc>
          <w:tcPr>
            <w:tcW w:w="8184" w:type="dxa"/>
            <w:vAlign w:val="top"/>
          </w:tcPr>
          <w:p>
            <w:pPr>
              <w:pStyle w:val="TableText"/>
              <w:ind w:left="101" w:right="73" w:firstLine="80"/>
              <w:spacing w:before="141" w:line="279" w:lineRule="auto"/>
              <w:rPr/>
            </w:pPr>
            <w:r>
              <w:rPr/>
              <w:t>乡村医生使用本机构抗菌药物供应目录以外的品种、品规，造成严重后</w:t>
            </w:r>
            <w:r>
              <w:rPr>
                <w:spacing w:val="-1"/>
              </w:rPr>
              <w:t>果，</w:t>
            </w:r>
            <w:r>
              <w:rPr/>
              <w:t xml:space="preserve"> </w:t>
            </w:r>
            <w:r>
              <w:rPr>
                <w:spacing w:val="1"/>
              </w:rPr>
              <w:t>经责令限期改正，逾期不改正的</w:t>
            </w:r>
          </w:p>
        </w:tc>
        <w:tc>
          <w:tcPr>
            <w:tcW w:w="4102" w:type="dxa"/>
            <w:vAlign w:val="top"/>
          </w:tcPr>
          <w:p>
            <w:pPr>
              <w:pStyle w:val="TableText"/>
              <w:ind w:left="137"/>
              <w:spacing w:before="152" w:line="219" w:lineRule="auto"/>
              <w:rPr/>
            </w:pPr>
            <w:r>
              <w:rPr/>
              <w:t>责令暂停3个月以上6个月以下执</w:t>
            </w:r>
          </w:p>
          <w:p>
            <w:pPr>
              <w:pStyle w:val="TableText"/>
              <w:ind w:left="137"/>
              <w:spacing w:before="147" w:line="217" w:lineRule="auto"/>
              <w:rPr/>
            </w:pPr>
            <w:r>
              <w:rPr>
                <w:color w:val="404040"/>
                <w:spacing w:val="5"/>
              </w:rPr>
              <w:t>业活动</w:t>
            </w:r>
          </w:p>
        </w:tc>
      </w:tr>
      <w:tr>
        <w:trPr>
          <w:trHeight w:val="882" w:hRule="atLeast"/>
        </w:trPr>
        <w:tc>
          <w:tcPr>
            <w:tcW w:w="1494" w:type="dxa"/>
            <w:vAlign w:val="top"/>
          </w:tcPr>
          <w:p>
            <w:pPr>
              <w:spacing w:line="304" w:lineRule="auto"/>
              <w:rPr>
                <w:rFonts w:ascii="Arial"/>
                <w:sz w:val="21"/>
              </w:rPr>
            </w:pPr>
            <w:r/>
          </w:p>
          <w:p>
            <w:pPr>
              <w:pStyle w:val="TableText"/>
              <w:ind w:left="498"/>
              <w:spacing w:before="78" w:line="220" w:lineRule="auto"/>
              <w:rPr/>
            </w:pPr>
            <w:r>
              <w:rPr>
                <w:b/>
                <w:bCs/>
                <w:spacing w:val="-6"/>
              </w:rPr>
              <w:t>严重</w:t>
            </w:r>
          </w:p>
        </w:tc>
        <w:tc>
          <w:tcPr>
            <w:tcW w:w="8184" w:type="dxa"/>
            <w:vAlign w:val="top"/>
          </w:tcPr>
          <w:p>
            <w:pPr>
              <w:pStyle w:val="TableText"/>
              <w:ind w:left="91" w:right="73" w:firstLine="90"/>
              <w:spacing w:before="146" w:line="279" w:lineRule="auto"/>
              <w:rPr/>
            </w:pPr>
            <w:r>
              <w:rPr/>
              <w:t>乡村医生使用本机构抗菌药物供应目录以外的品种、品规，造成严重后</w:t>
            </w:r>
            <w:r>
              <w:rPr>
                <w:spacing w:val="-1"/>
              </w:rPr>
              <w:t>果，</w:t>
            </w:r>
            <w:r>
              <w:rPr/>
              <w:t xml:space="preserve"> </w:t>
            </w:r>
            <w:r>
              <w:rPr>
                <w:spacing w:val="3"/>
              </w:rPr>
              <w:t>情节严重的</w:t>
            </w:r>
          </w:p>
        </w:tc>
        <w:tc>
          <w:tcPr>
            <w:tcW w:w="4102" w:type="dxa"/>
            <w:vAlign w:val="top"/>
          </w:tcPr>
          <w:p>
            <w:pPr>
              <w:spacing w:line="305" w:lineRule="auto"/>
              <w:rPr>
                <w:rFonts w:ascii="Arial"/>
                <w:sz w:val="21"/>
              </w:rPr>
            </w:pPr>
            <w:r/>
          </w:p>
          <w:p>
            <w:pPr>
              <w:pStyle w:val="TableText"/>
              <w:ind w:left="137"/>
              <w:spacing w:before="78" w:line="219" w:lineRule="auto"/>
              <w:rPr/>
            </w:pPr>
            <w:r>
              <w:rPr>
                <w:spacing w:val="1"/>
              </w:rPr>
              <w:t>暂扣乡村医生执业证书</w:t>
            </w:r>
          </w:p>
        </w:tc>
      </w:tr>
    </w:tbl>
    <w:p>
      <w:pPr>
        <w:pStyle w:val="BodyText"/>
        <w:spacing w:line="466" w:lineRule="auto"/>
        <w:rPr/>
      </w:pPr>
      <w:r/>
    </w:p>
    <w:p>
      <w:pPr>
        <w:ind w:left="674"/>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第二百八十九条乡村医生违反《抗菌药物临床应用管理办法》其他规定，造成严重后果的</w:t>
      </w:r>
    </w:p>
    <w:p>
      <w:pPr>
        <w:ind w:left="649"/>
        <w:spacing w:before="11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9" w:firstLine="599"/>
        <w:spacing w:before="46" w:line="273" w:lineRule="auto"/>
        <w:rPr>
          <w:rFonts w:ascii="FangSong" w:hAnsi="FangSong" w:eastAsia="FangSong" w:cs="FangSong"/>
          <w:sz w:val="30"/>
          <w:szCs w:val="30"/>
        </w:rPr>
      </w:pPr>
      <w:r>
        <w:rPr>
          <w:rFonts w:ascii="FangSong" w:hAnsi="FangSong" w:eastAsia="FangSong" w:cs="FangSong"/>
          <w:sz w:val="30"/>
          <w:szCs w:val="30"/>
          <w:spacing w:val="21"/>
        </w:rPr>
        <w:t>《抗菌药物临床应用管理办法》第五十二条第二款</w:t>
      </w:r>
      <w:r>
        <w:rPr>
          <w:rFonts w:ascii="FangSong" w:hAnsi="FangSong" w:eastAsia="FangSong" w:cs="FangSong"/>
          <w:sz w:val="30"/>
          <w:szCs w:val="30"/>
          <w:spacing w:val="21"/>
        </w:rPr>
        <w:t xml:space="preserve">   </w:t>
      </w:r>
      <w:r>
        <w:rPr>
          <w:rFonts w:ascii="FangSong" w:hAnsi="FangSong" w:eastAsia="FangSong" w:cs="FangSong"/>
          <w:sz w:val="30"/>
          <w:szCs w:val="30"/>
          <w:spacing w:val="21"/>
        </w:rPr>
        <w:t>乡村医生有前</w:t>
      </w:r>
      <w:r>
        <w:rPr>
          <w:rFonts w:ascii="FangSong" w:hAnsi="FangSong" w:eastAsia="FangSong" w:cs="FangSong"/>
          <w:sz w:val="30"/>
          <w:szCs w:val="30"/>
          <w:spacing w:val="20"/>
        </w:rPr>
        <w:t>款规定情形之一的，由县级</w:t>
      </w:r>
      <w:r>
        <w:rPr>
          <w:rFonts w:ascii="FangSong" w:hAnsi="FangSong" w:eastAsia="FangSong" w:cs="FangSong"/>
          <w:sz w:val="30"/>
          <w:szCs w:val="30"/>
        </w:rPr>
        <w:t xml:space="preserve"> </w:t>
      </w:r>
      <w:r>
        <w:rPr>
          <w:rFonts w:ascii="FangSong" w:hAnsi="FangSong" w:eastAsia="FangSong" w:cs="FangSong"/>
          <w:sz w:val="30"/>
          <w:szCs w:val="30"/>
          <w:spacing w:val="17"/>
        </w:rPr>
        <w:t>卫生行政部门按照《乡村医生从业管理条例》第三十八条有关</w:t>
      </w:r>
      <w:r>
        <w:rPr>
          <w:rFonts w:ascii="FangSong" w:hAnsi="FangSong" w:eastAsia="FangSong" w:cs="FangSong"/>
          <w:sz w:val="30"/>
          <w:szCs w:val="30"/>
          <w:spacing w:val="16"/>
        </w:rPr>
        <w:t>规定处理。</w:t>
      </w:r>
    </w:p>
    <w:p>
      <w:pPr>
        <w:ind w:right="2" w:firstLine="629"/>
        <w:spacing w:line="266" w:lineRule="auto"/>
        <w:jc w:val="both"/>
        <w:rPr>
          <w:rFonts w:ascii="FangSong" w:hAnsi="FangSong" w:eastAsia="FangSong" w:cs="FangSong"/>
          <w:sz w:val="30"/>
          <w:szCs w:val="30"/>
        </w:rPr>
      </w:pPr>
      <w:r>
        <w:rPr>
          <w:rFonts w:ascii="FangSong" w:hAnsi="FangSong" w:eastAsia="FangSong" w:cs="FangSong"/>
          <w:sz w:val="30"/>
          <w:szCs w:val="30"/>
          <w:spacing w:val="20"/>
        </w:rPr>
        <w:t>《乡村医生从业管理条例》第三十八条</w:t>
      </w:r>
      <w:r>
        <w:rPr>
          <w:rFonts w:ascii="FangSong" w:hAnsi="FangSong" w:eastAsia="FangSong" w:cs="FangSong"/>
          <w:sz w:val="30"/>
          <w:szCs w:val="30"/>
          <w:spacing w:val="20"/>
        </w:rPr>
        <w:t xml:space="preserve">   </w:t>
      </w:r>
      <w:r>
        <w:rPr>
          <w:rFonts w:ascii="FangSong" w:hAnsi="FangSong" w:eastAsia="FangSong" w:cs="FangSong"/>
          <w:sz w:val="30"/>
          <w:szCs w:val="30"/>
          <w:spacing w:val="20"/>
        </w:rPr>
        <w:t>乡村医生在执业活动中，违</w:t>
      </w:r>
      <w:r>
        <w:rPr>
          <w:rFonts w:ascii="FangSong" w:hAnsi="FangSong" w:eastAsia="FangSong" w:cs="FangSong"/>
          <w:sz w:val="30"/>
          <w:szCs w:val="30"/>
          <w:spacing w:val="19"/>
        </w:rPr>
        <w:t>反本条例规定，有下列行</w:t>
      </w:r>
      <w:r>
        <w:rPr>
          <w:rFonts w:ascii="FangSong" w:hAnsi="FangSong" w:eastAsia="FangSong" w:cs="FangSong"/>
          <w:sz w:val="30"/>
          <w:szCs w:val="30"/>
        </w:rPr>
        <w:t xml:space="preserve"> </w:t>
      </w:r>
      <w:r>
        <w:rPr>
          <w:rFonts w:ascii="FangSong" w:hAnsi="FangSong" w:eastAsia="FangSong" w:cs="FangSong"/>
          <w:sz w:val="30"/>
          <w:szCs w:val="30"/>
          <w:spacing w:val="21"/>
        </w:rPr>
        <w:t>为之一的，由县级人民政府卫生行政主管部门责令限期改正，给予警告；逾期不改正的，</w:t>
      </w:r>
      <w:r>
        <w:rPr>
          <w:rFonts w:ascii="FangSong" w:hAnsi="FangSong" w:eastAsia="FangSong" w:cs="FangSong"/>
          <w:sz w:val="30"/>
          <w:szCs w:val="30"/>
          <w:spacing w:val="20"/>
        </w:rPr>
        <w:t>责令暂停3</w:t>
      </w:r>
      <w:r>
        <w:rPr>
          <w:rFonts w:ascii="FangSong" w:hAnsi="FangSong" w:eastAsia="FangSong" w:cs="FangSong"/>
          <w:sz w:val="30"/>
          <w:szCs w:val="30"/>
        </w:rPr>
        <w:t xml:space="preserve"> </w:t>
      </w:r>
      <w:r>
        <w:rPr>
          <w:rFonts w:ascii="FangSong" w:hAnsi="FangSong" w:eastAsia="FangSong" w:cs="FangSong"/>
          <w:sz w:val="30"/>
          <w:szCs w:val="30"/>
          <w:spacing w:val="24"/>
        </w:rPr>
        <w:t>个月以上6个月以下执业活动；情节严重的，由原发证部门暂扣乡村医生执业证书：</w:t>
      </w:r>
    </w:p>
    <w:p>
      <w:pPr>
        <w:ind w:left="779"/>
        <w:spacing w:before="41" w:line="219" w:lineRule="auto"/>
        <w:rPr>
          <w:rFonts w:ascii="FangSong" w:hAnsi="FangSong" w:eastAsia="FangSong" w:cs="FangSong"/>
          <w:sz w:val="30"/>
          <w:szCs w:val="30"/>
        </w:rPr>
      </w:pPr>
      <w:r>
        <w:rPr>
          <w:rFonts w:ascii="FangSong" w:hAnsi="FangSong" w:eastAsia="FangSong" w:cs="FangSong"/>
          <w:sz w:val="30"/>
          <w:szCs w:val="30"/>
          <w:spacing w:val="23"/>
        </w:rPr>
        <w:t>(一)执业活动超出规定的执业范围，或者未按照规定进行转诊</w:t>
      </w:r>
      <w:r>
        <w:rPr>
          <w:rFonts w:ascii="FangSong" w:hAnsi="FangSong" w:eastAsia="FangSong" w:cs="FangSong"/>
          <w:sz w:val="30"/>
          <w:szCs w:val="30"/>
          <w:spacing w:val="22"/>
        </w:rPr>
        <w:t>的；</w:t>
      </w:r>
    </w:p>
    <w:p>
      <w:pPr>
        <w:ind w:left="779"/>
        <w:spacing w:before="79" w:line="222" w:lineRule="auto"/>
        <w:rPr>
          <w:rFonts w:ascii="FangSong" w:hAnsi="FangSong" w:eastAsia="FangSong" w:cs="FangSong"/>
          <w:sz w:val="30"/>
          <w:szCs w:val="30"/>
        </w:rPr>
      </w:pPr>
      <w:r>
        <w:rPr>
          <w:rFonts w:ascii="FangSong" w:hAnsi="FangSong" w:eastAsia="FangSong" w:cs="FangSong"/>
          <w:sz w:val="30"/>
          <w:szCs w:val="30"/>
          <w:spacing w:val="22"/>
        </w:rPr>
        <w:t>(二)违反规定使用乡村医生基本用药目录以外的处方药品的；</w:t>
      </w:r>
    </w:p>
    <w:p>
      <w:pPr>
        <w:spacing w:line="222" w:lineRule="auto"/>
        <w:sectPr>
          <w:footerReference w:type="default" r:id="rId341"/>
          <w:pgSz w:w="16830" w:h="11900"/>
          <w:pgMar w:top="1011" w:right="1427" w:bottom="1108" w:left="1430" w:header="0" w:footer="775" w:gutter="0"/>
        </w:sectPr>
        <w:rPr>
          <w:rFonts w:ascii="FangSong" w:hAnsi="FangSong" w:eastAsia="FangSong" w:cs="FangSong"/>
          <w:sz w:val="30"/>
          <w:szCs w:val="30"/>
        </w:rPr>
      </w:pPr>
    </w:p>
    <w:p>
      <w:pPr>
        <w:pStyle w:val="BodyText"/>
        <w:spacing w:line="263" w:lineRule="auto"/>
        <w:rPr/>
      </w:pPr>
      <w:r/>
    </w:p>
    <w:p>
      <w:pPr>
        <w:pStyle w:val="BodyText"/>
        <w:spacing w:line="263" w:lineRule="auto"/>
        <w:rPr/>
      </w:pPr>
      <w:r/>
    </w:p>
    <w:p>
      <w:pPr>
        <w:pStyle w:val="BodyText"/>
        <w:spacing w:line="263" w:lineRule="auto"/>
        <w:rPr/>
      </w:pPr>
      <w:r/>
    </w:p>
    <w:p>
      <w:pPr>
        <w:ind w:left="784"/>
        <w:spacing w:before="101" w:line="220" w:lineRule="auto"/>
        <w:rPr>
          <w:rFonts w:ascii="FangSong" w:hAnsi="FangSong" w:eastAsia="FangSong" w:cs="FangSong"/>
          <w:sz w:val="31"/>
          <w:szCs w:val="31"/>
        </w:rPr>
      </w:pPr>
      <w:bookmarkStart w:name="bookmark995" w:id="364"/>
      <w:bookmarkEnd w:id="364"/>
      <w:r>
        <w:rPr>
          <w:rFonts w:ascii="FangSong" w:hAnsi="FangSong" w:eastAsia="FangSong" w:cs="FangSong"/>
          <w:sz w:val="31"/>
          <w:szCs w:val="31"/>
          <w:spacing w:val="13"/>
        </w:rPr>
        <w:t>(三)违反规定出具医学证明，或者伪造卫生统计资料的；</w:t>
      </w:r>
    </w:p>
    <w:p>
      <w:pPr>
        <w:ind w:left="784"/>
        <w:spacing w:before="54" w:line="222" w:lineRule="auto"/>
        <w:rPr>
          <w:rFonts w:ascii="FangSong" w:hAnsi="FangSong" w:eastAsia="FangSong" w:cs="FangSong"/>
          <w:sz w:val="31"/>
          <w:szCs w:val="31"/>
        </w:rPr>
      </w:pPr>
      <w:r>
        <w:rPr>
          <w:rFonts w:ascii="FangSong" w:hAnsi="FangSong" w:eastAsia="FangSong" w:cs="FangSong"/>
          <w:sz w:val="31"/>
          <w:szCs w:val="31"/>
          <w:spacing w:val="15"/>
        </w:rPr>
        <w:t>(四)发现传染病疫情、中毒事件不按规定报告的。</w:t>
      </w:r>
    </w:p>
    <w:p>
      <w:pPr>
        <w:ind w:left="6438"/>
        <w:spacing w:before="7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24"/>
        <w:gridCol w:w="8414"/>
        <w:gridCol w:w="4221"/>
      </w:tblGrid>
      <w:tr>
        <w:trPr>
          <w:trHeight w:val="553" w:hRule="atLeast"/>
        </w:trPr>
        <w:tc>
          <w:tcPr>
            <w:tcW w:w="1324" w:type="dxa"/>
            <w:vAlign w:val="top"/>
          </w:tcPr>
          <w:p>
            <w:pPr>
              <w:pStyle w:val="TableText"/>
              <w:ind w:left="78"/>
              <w:spacing w:before="16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8414" w:type="dxa"/>
            <w:vAlign w:val="top"/>
          </w:tcPr>
          <w:p>
            <w:pPr>
              <w:pStyle w:val="TableText"/>
              <w:ind w:left="3664"/>
              <w:spacing w:before="162" w:line="220" w:lineRule="auto"/>
              <w:rPr/>
            </w:pPr>
            <w:r>
              <w:rPr>
                <w:b/>
                <w:bCs/>
                <w:spacing w:val="-5"/>
              </w:rPr>
              <w:t>情节后果</w:t>
            </w:r>
          </w:p>
        </w:tc>
        <w:tc>
          <w:tcPr>
            <w:tcW w:w="4221" w:type="dxa"/>
            <w:vAlign w:val="top"/>
          </w:tcPr>
          <w:p>
            <w:pPr>
              <w:pStyle w:val="TableText"/>
              <w:ind w:left="1560"/>
              <w:spacing w:before="159" w:line="218" w:lineRule="auto"/>
              <w:rPr/>
            </w:pPr>
            <w:r>
              <w:rPr>
                <w:b/>
                <w:bCs/>
                <w:spacing w:val="-5"/>
              </w:rPr>
              <w:t>裁量幅度</w:t>
            </w:r>
          </w:p>
        </w:tc>
      </w:tr>
      <w:tr>
        <w:trPr>
          <w:trHeight w:val="668" w:hRule="atLeast"/>
        </w:trPr>
        <w:tc>
          <w:tcPr>
            <w:tcW w:w="1324" w:type="dxa"/>
            <w:vAlign w:val="top"/>
          </w:tcPr>
          <w:p>
            <w:pPr>
              <w:pStyle w:val="TableText"/>
              <w:ind w:left="418"/>
              <w:spacing w:before="269" w:line="221" w:lineRule="auto"/>
              <w:rPr/>
            </w:pPr>
            <w:r>
              <w:rPr>
                <w:b/>
                <w:bCs/>
                <w:spacing w:val="-10"/>
              </w:rPr>
              <w:t>一般</w:t>
            </w:r>
          </w:p>
        </w:tc>
        <w:tc>
          <w:tcPr>
            <w:tcW w:w="8414" w:type="dxa"/>
            <w:vAlign w:val="top"/>
          </w:tcPr>
          <w:p>
            <w:pPr>
              <w:pStyle w:val="TableText"/>
              <w:ind w:left="110"/>
              <w:spacing w:before="270" w:line="219" w:lineRule="auto"/>
              <w:rPr/>
            </w:pPr>
            <w:r>
              <w:rPr/>
              <w:t>乡村医生违反《抗菌药物临床应用管理办法》其他规定，造成严重后果的</w:t>
            </w:r>
          </w:p>
        </w:tc>
        <w:tc>
          <w:tcPr>
            <w:tcW w:w="4221" w:type="dxa"/>
            <w:vAlign w:val="top"/>
          </w:tcPr>
          <w:p>
            <w:pPr>
              <w:pStyle w:val="TableText"/>
              <w:ind w:left="126"/>
              <w:spacing w:before="269" w:line="218" w:lineRule="auto"/>
              <w:rPr/>
            </w:pPr>
            <w:r>
              <w:rPr>
                <w:spacing w:val="4"/>
              </w:rPr>
              <w:t>给予警告</w:t>
            </w:r>
          </w:p>
        </w:tc>
      </w:tr>
      <w:tr>
        <w:trPr>
          <w:trHeight w:val="887" w:hRule="atLeast"/>
        </w:trPr>
        <w:tc>
          <w:tcPr>
            <w:tcW w:w="1324" w:type="dxa"/>
            <w:vAlign w:val="top"/>
          </w:tcPr>
          <w:p>
            <w:pPr>
              <w:spacing w:line="254" w:lineRule="auto"/>
              <w:rPr>
                <w:rFonts w:ascii="Arial"/>
                <w:sz w:val="21"/>
              </w:rPr>
            </w:pPr>
            <w:r/>
          </w:p>
          <w:p>
            <w:pPr>
              <w:pStyle w:val="TableText"/>
              <w:ind w:left="418"/>
              <w:spacing w:before="78" w:line="221" w:lineRule="auto"/>
              <w:rPr/>
            </w:pPr>
            <w:r>
              <w:rPr>
                <w:b/>
                <w:bCs/>
                <w:spacing w:val="-5"/>
              </w:rPr>
              <w:t>较重</w:t>
            </w:r>
          </w:p>
        </w:tc>
        <w:tc>
          <w:tcPr>
            <w:tcW w:w="8414" w:type="dxa"/>
            <w:vAlign w:val="top"/>
          </w:tcPr>
          <w:p>
            <w:pPr>
              <w:pStyle w:val="TableText"/>
              <w:ind w:left="110" w:right="77" w:firstLine="40"/>
              <w:spacing w:before="162" w:line="275" w:lineRule="auto"/>
              <w:rPr/>
            </w:pPr>
            <w:r>
              <w:rPr/>
              <w:t>乡村医生违反《抗菌药物临床应用管理办法》其他规定，造成严重后果，经责</w:t>
            </w:r>
            <w:r>
              <w:rPr>
                <w:spacing w:val="14"/>
              </w:rPr>
              <w:t xml:space="preserve"> </w:t>
            </w:r>
            <w:r>
              <w:rPr>
                <w:spacing w:val="1"/>
              </w:rPr>
              <w:t>令限期改正，逾期不改正的</w:t>
            </w:r>
          </w:p>
        </w:tc>
        <w:tc>
          <w:tcPr>
            <w:tcW w:w="4221" w:type="dxa"/>
            <w:vAlign w:val="top"/>
          </w:tcPr>
          <w:p>
            <w:pPr>
              <w:pStyle w:val="TableText"/>
              <w:ind w:left="126" w:right="475"/>
              <w:spacing w:before="162" w:line="275" w:lineRule="auto"/>
              <w:rPr/>
            </w:pPr>
            <w:r>
              <w:rPr/>
              <w:t>责令暂停3个月以上6个月以下执业</w:t>
            </w:r>
            <w:r>
              <w:rPr>
                <w:spacing w:val="7"/>
              </w:rPr>
              <w:t xml:space="preserve"> </w:t>
            </w:r>
            <w:r>
              <w:rPr>
                <w:spacing w:val="8"/>
              </w:rPr>
              <w:t>活动</w:t>
            </w:r>
          </w:p>
        </w:tc>
      </w:tr>
      <w:tr>
        <w:trPr>
          <w:trHeight w:val="872" w:hRule="atLeast"/>
        </w:trPr>
        <w:tc>
          <w:tcPr>
            <w:tcW w:w="1324" w:type="dxa"/>
            <w:vAlign w:val="top"/>
          </w:tcPr>
          <w:p>
            <w:pPr>
              <w:spacing w:line="304" w:lineRule="auto"/>
              <w:rPr>
                <w:rFonts w:ascii="Arial"/>
                <w:sz w:val="21"/>
              </w:rPr>
            </w:pPr>
            <w:r/>
          </w:p>
          <w:p>
            <w:pPr>
              <w:pStyle w:val="TableText"/>
              <w:ind w:left="418"/>
              <w:spacing w:before="78" w:line="220" w:lineRule="auto"/>
              <w:rPr/>
            </w:pPr>
            <w:r>
              <w:rPr>
                <w:b/>
                <w:bCs/>
                <w:spacing w:val="-6"/>
              </w:rPr>
              <w:t>严重</w:t>
            </w:r>
          </w:p>
        </w:tc>
        <w:tc>
          <w:tcPr>
            <w:tcW w:w="8414" w:type="dxa"/>
            <w:vAlign w:val="top"/>
          </w:tcPr>
          <w:p>
            <w:pPr>
              <w:pStyle w:val="TableText"/>
              <w:ind w:left="110" w:right="80" w:firstLine="40"/>
              <w:spacing w:before="147" w:line="275" w:lineRule="auto"/>
              <w:rPr/>
            </w:pPr>
            <w:r>
              <w:rPr/>
              <w:t>乡村医生违反《抗菌药物临床应用管理办法》其他规定，造成严重后果，情节</w:t>
            </w:r>
            <w:r>
              <w:rPr>
                <w:spacing w:val="10"/>
              </w:rPr>
              <w:t xml:space="preserve"> </w:t>
            </w:r>
            <w:r>
              <w:rPr>
                <w:spacing w:val="6"/>
              </w:rPr>
              <w:t>严重的</w:t>
            </w:r>
          </w:p>
        </w:tc>
        <w:tc>
          <w:tcPr>
            <w:tcW w:w="4221" w:type="dxa"/>
            <w:vAlign w:val="top"/>
          </w:tcPr>
          <w:p>
            <w:pPr>
              <w:spacing w:line="295" w:lineRule="auto"/>
              <w:rPr>
                <w:rFonts w:ascii="Arial"/>
                <w:sz w:val="21"/>
              </w:rPr>
            </w:pPr>
            <w:r/>
          </w:p>
          <w:p>
            <w:pPr>
              <w:pStyle w:val="TableText"/>
              <w:ind w:left="126"/>
              <w:spacing w:before="78" w:line="219" w:lineRule="auto"/>
              <w:rPr/>
            </w:pPr>
            <w:r>
              <w:rPr>
                <w:spacing w:val="1"/>
              </w:rPr>
              <w:t>暂扣乡村医生执业证书</w:t>
            </w:r>
          </w:p>
        </w:tc>
      </w:tr>
    </w:tbl>
    <w:p>
      <w:pPr>
        <w:pStyle w:val="BodyText"/>
        <w:spacing w:line="443" w:lineRule="auto"/>
        <w:rPr/>
      </w:pPr>
      <w:r/>
    </w:p>
    <w:p>
      <w:pPr>
        <w:ind w:left="669"/>
        <w:spacing w:before="101" w:line="220" w:lineRule="auto"/>
        <w:rPr>
          <w:rFonts w:ascii="FangSong" w:hAnsi="FangSong" w:eastAsia="FangSong" w:cs="FangSong"/>
          <w:sz w:val="31"/>
          <w:szCs w:val="31"/>
        </w:rPr>
      </w:pPr>
      <w:r>
        <w:rPr>
          <w:rFonts w:ascii="FangSong" w:hAnsi="FangSong" w:eastAsia="FangSong" w:cs="FangSong"/>
          <w:sz w:val="31"/>
          <w:szCs w:val="31"/>
          <w:b/>
          <w:bCs/>
          <w:spacing w:val="12"/>
        </w:rPr>
        <w:t>第二百九十条药师未按照规定审核、调剂抗菌药物处方，情节严重的</w:t>
      </w:r>
    </w:p>
    <w:p>
      <w:pPr>
        <w:ind w:left="664"/>
        <w:spacing w:before="128"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34" w:right="34" w:firstLine="594"/>
        <w:spacing w:before="74" w:line="262" w:lineRule="auto"/>
        <w:rPr>
          <w:rFonts w:ascii="FangSong" w:hAnsi="FangSong" w:eastAsia="FangSong" w:cs="FangSong"/>
          <w:sz w:val="31"/>
          <w:szCs w:val="31"/>
        </w:rPr>
      </w:pPr>
      <w:r>
        <w:rPr>
          <w:rFonts w:ascii="FangSong" w:hAnsi="FangSong" w:eastAsia="FangSong" w:cs="FangSong"/>
          <w:sz w:val="31"/>
          <w:szCs w:val="31"/>
          <w:spacing w:val="17"/>
        </w:rPr>
        <w:t>《抗菌药物临床应用管理办法》第五十三条第(一)项</w:t>
      </w:r>
      <w:r>
        <w:rPr>
          <w:rFonts w:ascii="FangSong" w:hAnsi="FangSong" w:eastAsia="FangSong" w:cs="FangSong"/>
          <w:sz w:val="31"/>
          <w:szCs w:val="31"/>
          <w:spacing w:val="17"/>
        </w:rPr>
        <w:t xml:space="preserve">   </w:t>
      </w:r>
      <w:r>
        <w:rPr>
          <w:rFonts w:ascii="FangSong" w:hAnsi="FangSong" w:eastAsia="FangSong" w:cs="FangSong"/>
          <w:sz w:val="31"/>
          <w:szCs w:val="31"/>
          <w:spacing w:val="17"/>
        </w:rPr>
        <w:t>药师有下列情形之一的，由县级以上</w:t>
      </w:r>
      <w:r>
        <w:rPr>
          <w:rFonts w:ascii="FangSong" w:hAnsi="FangSong" w:eastAsia="FangSong" w:cs="FangSong"/>
          <w:sz w:val="31"/>
          <w:szCs w:val="31"/>
          <w:spacing w:val="18"/>
        </w:rPr>
        <w:t xml:space="preserve"> </w:t>
      </w:r>
      <w:r>
        <w:rPr>
          <w:rFonts w:ascii="FangSong" w:hAnsi="FangSong" w:eastAsia="FangSong" w:cs="FangSong"/>
          <w:sz w:val="31"/>
          <w:szCs w:val="31"/>
          <w:spacing w:val="7"/>
        </w:rPr>
        <w:t>卫生行政部门责令限期改正，给予警告；构成犯罪的，依法追究刑事责任：</w:t>
      </w:r>
    </w:p>
    <w:p>
      <w:pPr>
        <w:ind w:left="784"/>
        <w:spacing w:before="9" w:line="221" w:lineRule="auto"/>
        <w:rPr>
          <w:rFonts w:ascii="FangSong" w:hAnsi="FangSong" w:eastAsia="FangSong" w:cs="FangSong"/>
          <w:sz w:val="31"/>
          <w:szCs w:val="31"/>
        </w:rPr>
      </w:pPr>
      <w:r>
        <w:rPr>
          <w:rFonts w:ascii="FangSong" w:hAnsi="FangSong" w:eastAsia="FangSong" w:cs="FangSong"/>
          <w:sz w:val="31"/>
          <w:szCs w:val="31"/>
          <w:spacing w:val="13"/>
        </w:rPr>
        <w:t>(一)未按照规定审核、调剂抗菌药物处方，情节严重的；</w:t>
      </w:r>
    </w:p>
    <w:p>
      <w:pPr>
        <w:ind w:left="6438"/>
        <w:spacing w:before="70"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770" w:type="dxa"/>
        <w:tblInd w:w="9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8004"/>
        <w:gridCol w:w="4362"/>
      </w:tblGrid>
      <w:tr>
        <w:trPr>
          <w:trHeight w:val="540" w:hRule="atLeast"/>
        </w:trPr>
        <w:tc>
          <w:tcPr>
            <w:tcW w:w="1404" w:type="dxa"/>
            <w:vAlign w:val="top"/>
          </w:tcPr>
          <w:p>
            <w:pPr>
              <w:pStyle w:val="TableText"/>
              <w:ind w:left="129"/>
              <w:spacing w:before="133" w:line="220" w:lineRule="auto"/>
              <w:rPr>
                <w:sz w:val="29"/>
                <w:szCs w:val="29"/>
              </w:rPr>
            </w:pPr>
            <w:r>
              <w:rPr>
                <w:sz w:val="29"/>
                <w:szCs w:val="29"/>
                <w:b/>
                <w:bCs/>
                <w:spacing w:val="-1"/>
              </w:rPr>
              <w:t>违法程度</w:t>
            </w:r>
          </w:p>
        </w:tc>
        <w:tc>
          <w:tcPr>
            <w:tcW w:w="8004" w:type="dxa"/>
            <w:vAlign w:val="top"/>
          </w:tcPr>
          <w:p>
            <w:pPr>
              <w:pStyle w:val="TableText"/>
              <w:ind w:left="3435"/>
              <w:spacing w:before="133" w:line="220" w:lineRule="auto"/>
              <w:rPr>
                <w:sz w:val="29"/>
                <w:szCs w:val="29"/>
              </w:rPr>
            </w:pPr>
            <w:r>
              <w:rPr>
                <w:sz w:val="29"/>
                <w:szCs w:val="29"/>
                <w:b/>
                <w:bCs/>
                <w:spacing w:val="-1"/>
              </w:rPr>
              <w:t>情节后果</w:t>
            </w:r>
          </w:p>
        </w:tc>
        <w:tc>
          <w:tcPr>
            <w:tcW w:w="4362" w:type="dxa"/>
            <w:vAlign w:val="top"/>
          </w:tcPr>
          <w:p>
            <w:pPr>
              <w:pStyle w:val="TableText"/>
              <w:ind w:left="1651"/>
              <w:spacing w:before="130" w:line="218" w:lineRule="auto"/>
              <w:rPr>
                <w:sz w:val="29"/>
                <w:szCs w:val="29"/>
              </w:rPr>
            </w:pPr>
            <w:r>
              <w:rPr>
                <w:sz w:val="29"/>
                <w:szCs w:val="29"/>
                <w:b/>
                <w:bCs/>
                <w:spacing w:val="-1"/>
              </w:rPr>
              <w:t>裁量幅度</w:t>
            </w:r>
          </w:p>
        </w:tc>
      </w:tr>
    </w:tbl>
    <w:p>
      <w:pPr>
        <w:pStyle w:val="BodyText"/>
        <w:rPr/>
      </w:pPr>
      <w:r/>
    </w:p>
    <w:p>
      <w:pPr>
        <w:sectPr>
          <w:footerReference w:type="default" r:id="rId342"/>
          <w:pgSz w:w="16830" w:h="11900"/>
          <w:pgMar w:top="1011" w:right="1434" w:bottom="1086" w:left="1425" w:header="0" w:footer="807" w:gutter="0"/>
        </w:sectPr>
        <w:rPr/>
      </w:pPr>
    </w:p>
    <w:p>
      <w:pPr>
        <w:spacing w:before="17"/>
        <w:rPr/>
      </w:pPr>
      <w:r/>
    </w:p>
    <w:p>
      <w:pPr>
        <w:spacing w:before="16"/>
        <w:rPr/>
      </w:pPr>
      <w:r/>
    </w:p>
    <w:p>
      <w:pPr>
        <w:spacing w:before="16"/>
        <w:rPr/>
      </w:pPr>
      <w:r/>
    </w:p>
    <w:tbl>
      <w:tblPr>
        <w:tblStyle w:val="TableNormal"/>
        <w:tblW w:w="13780" w:type="dxa"/>
        <w:tblInd w:w="1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7984"/>
        <w:gridCol w:w="4382"/>
      </w:tblGrid>
      <w:tr>
        <w:trPr>
          <w:trHeight w:val="580" w:hRule="atLeast"/>
        </w:trPr>
        <w:tc>
          <w:tcPr>
            <w:tcW w:w="1414" w:type="dxa"/>
            <w:vAlign w:val="top"/>
          </w:tcPr>
          <w:p>
            <w:pPr>
              <w:pStyle w:val="TableText"/>
              <w:ind w:left="458"/>
              <w:spacing w:before="172" w:line="221" w:lineRule="auto"/>
              <w:rPr/>
            </w:pPr>
            <w:r>
              <w:rPr>
                <w:b/>
                <w:bCs/>
                <w:spacing w:val="-10"/>
              </w:rPr>
              <w:t>一般</w:t>
            </w:r>
          </w:p>
        </w:tc>
        <w:tc>
          <w:tcPr>
            <w:tcW w:w="7984" w:type="dxa"/>
            <w:vAlign w:val="top"/>
          </w:tcPr>
          <w:p>
            <w:pPr>
              <w:pStyle w:val="TableText"/>
              <w:ind w:left="101"/>
              <w:spacing w:before="173" w:line="219" w:lineRule="auto"/>
              <w:rPr/>
            </w:pPr>
            <w:r>
              <w:rPr/>
              <w:t>药师未按照规定审核、调剂抗菌药物处方，情节严重的</w:t>
            </w:r>
          </w:p>
        </w:tc>
        <w:tc>
          <w:tcPr>
            <w:tcW w:w="4382" w:type="dxa"/>
            <w:vAlign w:val="top"/>
          </w:tcPr>
          <w:p>
            <w:pPr>
              <w:pStyle w:val="TableText"/>
              <w:ind w:left="117"/>
              <w:spacing w:before="172" w:line="218" w:lineRule="auto"/>
              <w:rPr/>
            </w:pPr>
            <w:r>
              <w:rPr>
                <w:spacing w:val="4"/>
              </w:rPr>
              <w:t>给予警告</w:t>
            </w:r>
          </w:p>
        </w:tc>
      </w:tr>
    </w:tbl>
    <w:p>
      <w:pPr>
        <w:pStyle w:val="BodyText"/>
        <w:spacing w:line="414" w:lineRule="auto"/>
        <w:rPr/>
      </w:pPr>
      <w:r/>
    </w:p>
    <w:p>
      <w:pPr>
        <w:ind w:left="689"/>
        <w:spacing w:before="100" w:line="220" w:lineRule="auto"/>
        <w:rPr>
          <w:rFonts w:ascii="FangSong" w:hAnsi="FangSong" w:eastAsia="FangSong" w:cs="FangSong"/>
          <w:sz w:val="31"/>
          <w:szCs w:val="31"/>
        </w:rPr>
      </w:pPr>
      <w:bookmarkStart w:name="bookmark996" w:id="365"/>
      <w:bookmarkEnd w:id="365"/>
      <w:r>
        <w:rPr>
          <w:rFonts w:ascii="FangSong" w:hAnsi="FangSong" w:eastAsia="FangSong" w:cs="FangSong"/>
          <w:sz w:val="31"/>
          <w:szCs w:val="31"/>
          <w:b/>
          <w:bCs/>
          <w:spacing w:val="12"/>
        </w:rPr>
        <w:t>第二百九十一条药师未按照规定私自增加抗菌药物品种或者品规的</w:t>
      </w:r>
    </w:p>
    <w:p>
      <w:pPr>
        <w:ind w:left="684"/>
        <w:spacing w:before="107"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45" w:right="44" w:firstLine="624"/>
        <w:spacing w:before="73" w:line="271" w:lineRule="auto"/>
        <w:rPr>
          <w:rFonts w:ascii="FangSong" w:hAnsi="FangSong" w:eastAsia="FangSong" w:cs="FangSong"/>
          <w:sz w:val="31"/>
          <w:szCs w:val="31"/>
        </w:rPr>
      </w:pPr>
      <w:r>
        <w:rPr>
          <w:rFonts w:ascii="FangSong" w:hAnsi="FangSong" w:eastAsia="FangSong" w:cs="FangSong"/>
          <w:sz w:val="31"/>
          <w:szCs w:val="31"/>
          <w:spacing w:val="18"/>
        </w:rPr>
        <w:t>《抗菌药物临床应用管理办法》第五十三条第(二)项</w:t>
      </w:r>
      <w:r>
        <w:rPr>
          <w:rFonts w:ascii="FangSong" w:hAnsi="FangSong" w:eastAsia="FangSong" w:cs="FangSong"/>
          <w:sz w:val="31"/>
          <w:szCs w:val="31"/>
          <w:spacing w:val="18"/>
        </w:rPr>
        <w:t xml:space="preserve">   </w:t>
      </w:r>
      <w:r>
        <w:rPr>
          <w:rFonts w:ascii="FangSong" w:hAnsi="FangSong" w:eastAsia="FangSong" w:cs="FangSong"/>
          <w:sz w:val="31"/>
          <w:szCs w:val="31"/>
          <w:spacing w:val="18"/>
        </w:rPr>
        <w:t>药</w:t>
      </w:r>
      <w:r>
        <w:rPr>
          <w:rFonts w:ascii="FangSong" w:hAnsi="FangSong" w:eastAsia="FangSong" w:cs="FangSong"/>
          <w:sz w:val="31"/>
          <w:szCs w:val="31"/>
          <w:spacing w:val="17"/>
        </w:rPr>
        <w:t>师有下列情形之一的，由县级以上</w:t>
      </w:r>
      <w:r>
        <w:rPr>
          <w:rFonts w:ascii="FangSong" w:hAnsi="FangSong" w:eastAsia="FangSong" w:cs="FangSong"/>
          <w:sz w:val="31"/>
          <w:szCs w:val="31"/>
        </w:rPr>
        <w:t xml:space="preserve"> </w:t>
      </w:r>
      <w:r>
        <w:rPr>
          <w:rFonts w:ascii="FangSong" w:hAnsi="FangSong" w:eastAsia="FangSong" w:cs="FangSong"/>
          <w:sz w:val="31"/>
          <w:szCs w:val="31"/>
          <w:spacing w:val="7"/>
        </w:rPr>
        <w:t>卫生行政部门责令限期改正，给予警告；构成犯罪的，依法追究刑事责任：</w:t>
      </w:r>
    </w:p>
    <w:p>
      <w:pPr>
        <w:ind w:left="824"/>
        <w:spacing w:before="1" w:line="220" w:lineRule="auto"/>
        <w:rPr>
          <w:rFonts w:ascii="FangSong" w:hAnsi="FangSong" w:eastAsia="FangSong" w:cs="FangSong"/>
          <w:sz w:val="31"/>
          <w:szCs w:val="31"/>
        </w:rPr>
      </w:pPr>
      <w:r>
        <w:rPr>
          <w:rFonts w:ascii="FangSong" w:hAnsi="FangSong" w:eastAsia="FangSong" w:cs="FangSong"/>
          <w:sz w:val="31"/>
          <w:szCs w:val="31"/>
          <w:spacing w:val="13"/>
        </w:rPr>
        <w:t>(二)未按照规定私自增加抗菌药物品种或者品规的；</w:t>
      </w:r>
    </w:p>
    <w:p>
      <w:pPr>
        <w:ind w:left="6439"/>
        <w:spacing w:before="80"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0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84"/>
        <w:gridCol w:w="8364"/>
        <w:gridCol w:w="4272"/>
      </w:tblGrid>
      <w:tr>
        <w:trPr>
          <w:trHeight w:val="431" w:hRule="atLeast"/>
        </w:trPr>
        <w:tc>
          <w:tcPr>
            <w:tcW w:w="1384" w:type="dxa"/>
            <w:vAlign w:val="top"/>
          </w:tcPr>
          <w:p>
            <w:pPr>
              <w:pStyle w:val="TableText"/>
              <w:ind w:left="168"/>
              <w:spacing w:before="92" w:line="220" w:lineRule="auto"/>
              <w:rPr>
                <w:sz w:val="26"/>
                <w:szCs w:val="26"/>
              </w:rPr>
            </w:pPr>
            <w:r>
              <w:rPr>
                <w:sz w:val="26"/>
                <w:szCs w:val="26"/>
                <w:b/>
                <w:bCs/>
                <w:spacing w:val="-5"/>
              </w:rPr>
              <w:t>违法程度</w:t>
            </w:r>
          </w:p>
        </w:tc>
        <w:tc>
          <w:tcPr>
            <w:tcW w:w="8364" w:type="dxa"/>
            <w:vAlign w:val="top"/>
          </w:tcPr>
          <w:p>
            <w:pPr>
              <w:pStyle w:val="TableText"/>
              <w:ind w:left="3634"/>
              <w:spacing w:before="92" w:line="220" w:lineRule="auto"/>
              <w:rPr>
                <w:sz w:val="26"/>
                <w:szCs w:val="26"/>
              </w:rPr>
            </w:pPr>
            <w:r>
              <w:rPr>
                <w:sz w:val="26"/>
                <w:szCs w:val="26"/>
                <w:b/>
                <w:bCs/>
                <w:spacing w:val="-5"/>
              </w:rPr>
              <w:t>情节后果</w:t>
            </w:r>
          </w:p>
        </w:tc>
        <w:tc>
          <w:tcPr>
            <w:tcW w:w="4272" w:type="dxa"/>
            <w:vAlign w:val="top"/>
          </w:tcPr>
          <w:p>
            <w:pPr>
              <w:pStyle w:val="TableText"/>
              <w:ind w:left="1570"/>
              <w:spacing w:before="89" w:line="218" w:lineRule="auto"/>
              <w:rPr>
                <w:sz w:val="26"/>
                <w:szCs w:val="26"/>
              </w:rPr>
            </w:pPr>
            <w:r>
              <w:rPr>
                <w:sz w:val="26"/>
                <w:szCs w:val="26"/>
                <w:b/>
                <w:bCs/>
                <w:spacing w:val="-5"/>
              </w:rPr>
              <w:t>裁量幅度</w:t>
            </w:r>
          </w:p>
        </w:tc>
      </w:tr>
      <w:tr>
        <w:trPr>
          <w:trHeight w:val="599" w:hRule="atLeast"/>
        </w:trPr>
        <w:tc>
          <w:tcPr>
            <w:tcW w:w="1384" w:type="dxa"/>
            <w:vAlign w:val="top"/>
          </w:tcPr>
          <w:p>
            <w:pPr>
              <w:pStyle w:val="TableText"/>
              <w:ind w:left="428"/>
              <w:spacing w:before="172" w:line="221" w:lineRule="auto"/>
              <w:rPr>
                <w:sz w:val="26"/>
                <w:szCs w:val="26"/>
              </w:rPr>
            </w:pPr>
            <w:r>
              <w:rPr>
                <w:sz w:val="26"/>
                <w:szCs w:val="26"/>
                <w:b/>
                <w:bCs/>
                <w:spacing w:val="-10"/>
              </w:rPr>
              <w:t>一般</w:t>
            </w:r>
          </w:p>
        </w:tc>
        <w:tc>
          <w:tcPr>
            <w:tcW w:w="8364" w:type="dxa"/>
            <w:vAlign w:val="top"/>
          </w:tcPr>
          <w:p>
            <w:pPr>
              <w:pStyle w:val="TableText"/>
              <w:ind w:left="124"/>
              <w:spacing w:before="171" w:line="219" w:lineRule="auto"/>
              <w:rPr>
                <w:sz w:val="26"/>
                <w:szCs w:val="26"/>
              </w:rPr>
            </w:pPr>
            <w:r>
              <w:rPr>
                <w:sz w:val="26"/>
                <w:szCs w:val="26"/>
                <w:b/>
                <w:bCs/>
                <w:spacing w:val="-3"/>
              </w:rPr>
              <w:t>药师未按照规定私自增加抗菌药物品种或者品规的</w:t>
            </w:r>
          </w:p>
        </w:tc>
        <w:tc>
          <w:tcPr>
            <w:tcW w:w="4272" w:type="dxa"/>
            <w:vAlign w:val="top"/>
          </w:tcPr>
          <w:p>
            <w:pPr>
              <w:pStyle w:val="TableText"/>
              <w:ind w:left="120"/>
              <w:spacing w:before="168" w:line="218" w:lineRule="auto"/>
              <w:rPr>
                <w:sz w:val="26"/>
                <w:szCs w:val="26"/>
              </w:rPr>
            </w:pPr>
            <w:r>
              <w:rPr>
                <w:sz w:val="26"/>
                <w:szCs w:val="26"/>
                <w:b/>
                <w:bCs/>
                <w:spacing w:val="-1"/>
              </w:rPr>
              <w:t>给予警告</w:t>
            </w:r>
          </w:p>
        </w:tc>
      </w:tr>
    </w:tbl>
    <w:p>
      <w:pPr>
        <w:pStyle w:val="BodyText"/>
        <w:spacing w:line="414" w:lineRule="auto"/>
        <w:rPr/>
      </w:pPr>
      <w:r/>
    </w:p>
    <w:p>
      <w:pPr>
        <w:ind w:left="689"/>
        <w:spacing w:before="101" w:line="220" w:lineRule="auto"/>
        <w:rPr>
          <w:rFonts w:ascii="FangSong" w:hAnsi="FangSong" w:eastAsia="FangSong" w:cs="FangSong"/>
          <w:sz w:val="31"/>
          <w:szCs w:val="31"/>
        </w:rPr>
      </w:pPr>
      <w:r>
        <w:rPr>
          <w:rFonts w:ascii="FangSong" w:hAnsi="FangSong" w:eastAsia="FangSong" w:cs="FangSong"/>
          <w:sz w:val="31"/>
          <w:szCs w:val="31"/>
          <w:b/>
          <w:bCs/>
          <w:spacing w:val="12"/>
        </w:rPr>
        <w:t>第二百九十二条药师违反《抗菌药物临床应用管理办法》其他规定的</w:t>
      </w:r>
    </w:p>
    <w:p>
      <w:pPr>
        <w:ind w:left="684"/>
        <w:spacing w:before="118"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45" w:right="44" w:firstLine="624"/>
        <w:spacing w:before="65" w:line="268" w:lineRule="auto"/>
        <w:rPr>
          <w:rFonts w:ascii="FangSong" w:hAnsi="FangSong" w:eastAsia="FangSong" w:cs="FangSong"/>
          <w:sz w:val="31"/>
          <w:szCs w:val="31"/>
        </w:rPr>
      </w:pPr>
      <w:r>
        <w:rPr>
          <w:rFonts w:ascii="FangSong" w:hAnsi="FangSong" w:eastAsia="FangSong" w:cs="FangSong"/>
          <w:sz w:val="31"/>
          <w:szCs w:val="31"/>
          <w:spacing w:val="18"/>
        </w:rPr>
        <w:t>《抗菌药物临床应用管理办法》第五十三条第(三)项</w:t>
      </w:r>
      <w:r>
        <w:rPr>
          <w:rFonts w:ascii="FangSong" w:hAnsi="FangSong" w:eastAsia="FangSong" w:cs="FangSong"/>
          <w:sz w:val="31"/>
          <w:szCs w:val="31"/>
          <w:spacing w:val="18"/>
        </w:rPr>
        <w:t xml:space="preserve">   </w:t>
      </w:r>
      <w:r>
        <w:rPr>
          <w:rFonts w:ascii="FangSong" w:hAnsi="FangSong" w:eastAsia="FangSong" w:cs="FangSong"/>
          <w:sz w:val="31"/>
          <w:szCs w:val="31"/>
          <w:spacing w:val="18"/>
        </w:rPr>
        <w:t>药</w:t>
      </w:r>
      <w:r>
        <w:rPr>
          <w:rFonts w:ascii="FangSong" w:hAnsi="FangSong" w:eastAsia="FangSong" w:cs="FangSong"/>
          <w:sz w:val="31"/>
          <w:szCs w:val="31"/>
          <w:spacing w:val="17"/>
        </w:rPr>
        <w:t>师有下列情形之一的，由县级以上</w:t>
      </w:r>
      <w:r>
        <w:rPr>
          <w:rFonts w:ascii="FangSong" w:hAnsi="FangSong" w:eastAsia="FangSong" w:cs="FangSong"/>
          <w:sz w:val="31"/>
          <w:szCs w:val="31"/>
        </w:rPr>
        <w:t xml:space="preserve"> </w:t>
      </w:r>
      <w:r>
        <w:rPr>
          <w:rFonts w:ascii="FangSong" w:hAnsi="FangSong" w:eastAsia="FangSong" w:cs="FangSong"/>
          <w:sz w:val="31"/>
          <w:szCs w:val="31"/>
          <w:spacing w:val="7"/>
        </w:rPr>
        <w:t>卫生行政部门责令限期改正，给予警告；构成犯罪的，依法追究刑事责任：</w:t>
      </w:r>
    </w:p>
    <w:p>
      <w:pPr>
        <w:ind w:left="824"/>
        <w:spacing w:before="1" w:line="221" w:lineRule="auto"/>
        <w:rPr>
          <w:rFonts w:ascii="FangSong" w:hAnsi="FangSong" w:eastAsia="FangSong" w:cs="FangSong"/>
          <w:sz w:val="31"/>
          <w:szCs w:val="31"/>
        </w:rPr>
      </w:pPr>
      <w:r>
        <w:rPr>
          <w:rFonts w:ascii="FangSong" w:hAnsi="FangSong" w:eastAsia="FangSong" w:cs="FangSong"/>
          <w:sz w:val="31"/>
          <w:szCs w:val="31"/>
          <w:spacing w:val="16"/>
        </w:rPr>
        <w:t>(三)违反本办法其他规定的。</w:t>
      </w:r>
    </w:p>
    <w:p>
      <w:pPr>
        <w:ind w:left="6448"/>
        <w:spacing w:before="103" w:line="221" w:lineRule="auto"/>
        <w:rPr>
          <w:rFonts w:ascii="SimHei" w:hAnsi="SimHei" w:eastAsia="SimHei" w:cs="SimHei"/>
          <w:sz w:val="27"/>
          <w:szCs w:val="27"/>
        </w:rPr>
      </w:pPr>
      <w:r>
        <w:rPr>
          <w:rFonts w:ascii="SimHei" w:hAnsi="SimHei" w:eastAsia="SimHei" w:cs="SimHei"/>
          <w:sz w:val="27"/>
          <w:szCs w:val="27"/>
          <w:b/>
          <w:bCs/>
          <w:spacing w:val="8"/>
        </w:rPr>
        <w:t>裁量标准</w:t>
      </w:r>
    </w:p>
    <w:p>
      <w:pPr>
        <w:spacing w:line="221" w:lineRule="auto"/>
        <w:sectPr>
          <w:footerReference w:type="default" r:id="rId343"/>
          <w:pgSz w:w="16830" w:h="11900"/>
          <w:pgMar w:top="1011" w:right="1394" w:bottom="1118" w:left="1405" w:header="0" w:footer="785" w:gutter="0"/>
        </w:sectPr>
        <w:rPr>
          <w:rFonts w:ascii="SimHei" w:hAnsi="SimHei" w:eastAsia="SimHei" w:cs="SimHei"/>
          <w:sz w:val="27"/>
          <w:szCs w:val="27"/>
        </w:rPr>
      </w:pPr>
    </w:p>
    <w:p>
      <w:pPr>
        <w:spacing w:before="20"/>
        <w:rPr/>
      </w:pPr>
      <w:r/>
    </w:p>
    <w:p>
      <w:pPr>
        <w:spacing w:before="20"/>
        <w:rPr/>
      </w:pPr>
      <w:r/>
    </w:p>
    <w:p>
      <w:pPr>
        <w:spacing w:before="19"/>
        <w:rPr/>
      </w:pPr>
      <w:r/>
    </w:p>
    <w:tbl>
      <w:tblPr>
        <w:tblStyle w:val="TableNormal"/>
        <w:tblW w:w="140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8364"/>
        <w:gridCol w:w="4242"/>
      </w:tblGrid>
      <w:tr>
        <w:trPr>
          <w:trHeight w:val="560" w:hRule="atLeast"/>
        </w:trPr>
        <w:tc>
          <w:tcPr>
            <w:tcW w:w="1404" w:type="dxa"/>
            <w:vAlign w:val="top"/>
          </w:tcPr>
          <w:p>
            <w:pPr>
              <w:pStyle w:val="TableText"/>
              <w:ind w:left="178"/>
              <w:spacing w:before="152" w:line="220" w:lineRule="auto"/>
              <w:rPr>
                <w:sz w:val="26"/>
                <w:szCs w:val="26"/>
              </w:rPr>
            </w:pPr>
            <w:r>
              <w:rPr>
                <w:sz w:val="26"/>
                <w:szCs w:val="26"/>
                <w:b/>
                <w:bCs/>
                <w:spacing w:val="-5"/>
              </w:rPr>
              <w:t>违法程度</w:t>
            </w:r>
          </w:p>
        </w:tc>
        <w:tc>
          <w:tcPr>
            <w:tcW w:w="8364" w:type="dxa"/>
            <w:vAlign w:val="top"/>
          </w:tcPr>
          <w:p>
            <w:pPr>
              <w:pStyle w:val="TableText"/>
              <w:ind w:left="3634"/>
              <w:spacing w:before="152" w:line="220" w:lineRule="auto"/>
              <w:rPr>
                <w:sz w:val="26"/>
                <w:szCs w:val="26"/>
              </w:rPr>
            </w:pPr>
            <w:r>
              <w:rPr>
                <w:sz w:val="26"/>
                <w:szCs w:val="26"/>
                <w:b/>
                <w:bCs/>
                <w:spacing w:val="-5"/>
              </w:rPr>
              <w:t>情节后果</w:t>
            </w:r>
          </w:p>
        </w:tc>
        <w:tc>
          <w:tcPr>
            <w:tcW w:w="4242" w:type="dxa"/>
            <w:vAlign w:val="top"/>
          </w:tcPr>
          <w:p>
            <w:pPr>
              <w:pStyle w:val="TableText"/>
              <w:ind w:left="1570"/>
              <w:spacing w:before="149" w:line="218" w:lineRule="auto"/>
              <w:rPr>
                <w:sz w:val="26"/>
                <w:szCs w:val="26"/>
              </w:rPr>
            </w:pPr>
            <w:r>
              <w:rPr>
                <w:sz w:val="26"/>
                <w:szCs w:val="26"/>
                <w:b/>
                <w:bCs/>
                <w:spacing w:val="-5"/>
              </w:rPr>
              <w:t>裁量幅度</w:t>
            </w:r>
          </w:p>
        </w:tc>
      </w:tr>
      <w:tr>
        <w:trPr>
          <w:trHeight w:val="560" w:hRule="atLeast"/>
        </w:trPr>
        <w:tc>
          <w:tcPr>
            <w:tcW w:w="1404" w:type="dxa"/>
            <w:vAlign w:val="top"/>
          </w:tcPr>
          <w:p>
            <w:pPr>
              <w:pStyle w:val="TableText"/>
              <w:ind w:left="438"/>
              <w:spacing w:before="213" w:line="221" w:lineRule="auto"/>
              <w:rPr>
                <w:sz w:val="26"/>
                <w:szCs w:val="26"/>
              </w:rPr>
            </w:pPr>
            <w:r>
              <w:rPr>
                <w:sz w:val="26"/>
                <w:szCs w:val="26"/>
                <w:b/>
                <w:bCs/>
                <w:spacing w:val="-10"/>
              </w:rPr>
              <w:t>一般</w:t>
            </w:r>
          </w:p>
        </w:tc>
        <w:tc>
          <w:tcPr>
            <w:tcW w:w="8364" w:type="dxa"/>
            <w:vAlign w:val="top"/>
          </w:tcPr>
          <w:p>
            <w:pPr>
              <w:pStyle w:val="TableText"/>
              <w:ind w:left="114"/>
              <w:spacing w:before="212" w:line="219" w:lineRule="auto"/>
              <w:rPr>
                <w:sz w:val="26"/>
                <w:szCs w:val="26"/>
              </w:rPr>
            </w:pPr>
            <w:r>
              <w:rPr>
                <w:sz w:val="26"/>
                <w:szCs w:val="26"/>
                <w:b/>
                <w:bCs/>
                <w:spacing w:val="-3"/>
              </w:rPr>
              <w:t>药师违反《抗菌药物临床应用管理办法》其他规定的</w:t>
            </w:r>
          </w:p>
        </w:tc>
        <w:tc>
          <w:tcPr>
            <w:tcW w:w="4242" w:type="dxa"/>
            <w:vAlign w:val="top"/>
          </w:tcPr>
          <w:p>
            <w:pPr>
              <w:pStyle w:val="TableText"/>
              <w:ind w:left="100"/>
              <w:spacing w:before="209" w:line="218" w:lineRule="auto"/>
              <w:rPr>
                <w:sz w:val="26"/>
                <w:szCs w:val="26"/>
              </w:rPr>
            </w:pPr>
            <w:r>
              <w:rPr>
                <w:sz w:val="26"/>
                <w:szCs w:val="26"/>
                <w:b/>
                <w:bCs/>
                <w:spacing w:val="-1"/>
              </w:rPr>
              <w:t>给予警告</w:t>
            </w:r>
          </w:p>
        </w:tc>
      </w:tr>
    </w:tbl>
    <w:p>
      <w:pPr>
        <w:pStyle w:val="BodyText"/>
        <w:spacing w:line="431" w:lineRule="auto"/>
        <w:rPr/>
      </w:pPr>
      <w:r/>
    </w:p>
    <w:p>
      <w:pPr>
        <w:ind w:left="69" w:right="295" w:firstLine="649"/>
        <w:spacing w:before="98" w:line="280" w:lineRule="auto"/>
        <w:rPr>
          <w:rFonts w:ascii="KaiTi" w:hAnsi="KaiTi" w:eastAsia="KaiTi" w:cs="KaiTi"/>
          <w:sz w:val="30"/>
          <w:szCs w:val="30"/>
        </w:rPr>
      </w:pPr>
      <w:r>
        <w:rPr>
          <w:rFonts w:ascii="KaiTi" w:hAnsi="KaiTi" w:eastAsia="KaiTi" w:cs="KaiTi"/>
          <w:sz w:val="30"/>
          <w:szCs w:val="30"/>
          <w:b/>
          <w:bCs/>
          <w:spacing w:val="20"/>
        </w:rPr>
        <w:t>第二百九十三条未经县级卫生行政部门核准，村卫生室、诊所、社区卫生服务站擅自使用抗菌</w:t>
      </w:r>
      <w:r>
        <w:rPr>
          <w:rFonts w:ascii="KaiTi" w:hAnsi="KaiTi" w:eastAsia="KaiTi" w:cs="KaiTi"/>
          <w:sz w:val="30"/>
          <w:szCs w:val="30"/>
          <w:spacing w:val="10"/>
        </w:rPr>
        <w:t xml:space="preserve"> </w:t>
      </w:r>
      <w:r>
        <w:rPr>
          <w:rFonts w:ascii="KaiTi" w:hAnsi="KaiTi" w:eastAsia="KaiTi" w:cs="KaiTi"/>
          <w:sz w:val="30"/>
          <w:szCs w:val="30"/>
          <w:b/>
          <w:bCs/>
          <w:spacing w:val="13"/>
        </w:rPr>
        <w:t>药物开展静脉输注活动的</w:t>
      </w:r>
    </w:p>
    <w:p>
      <w:pPr>
        <w:ind w:left="685"/>
        <w:spacing w:before="22"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ind w:left="675"/>
        <w:spacing w:before="83" w:line="221" w:lineRule="auto"/>
        <w:rPr>
          <w:rFonts w:ascii="FangSong" w:hAnsi="FangSong" w:eastAsia="FangSong" w:cs="FangSong"/>
          <w:sz w:val="30"/>
          <w:szCs w:val="30"/>
        </w:rPr>
      </w:pPr>
      <w:r>
        <w:rPr>
          <w:rFonts w:ascii="FangSong" w:hAnsi="FangSong" w:eastAsia="FangSong" w:cs="FangSong"/>
          <w:sz w:val="30"/>
          <w:szCs w:val="30"/>
          <w:spacing w:val="19"/>
        </w:rPr>
        <w:t>《抗菌药物临床应用管理办法》第五十四条</w:t>
      </w:r>
      <w:r>
        <w:rPr>
          <w:rFonts w:ascii="FangSong" w:hAnsi="FangSong" w:eastAsia="FangSong" w:cs="FangSong"/>
          <w:sz w:val="30"/>
          <w:szCs w:val="30"/>
          <w:spacing w:val="19"/>
        </w:rPr>
        <w:t xml:space="preserve">   </w:t>
      </w:r>
      <w:r>
        <w:rPr>
          <w:rFonts w:ascii="FangSong" w:hAnsi="FangSong" w:eastAsia="FangSong" w:cs="FangSong"/>
          <w:sz w:val="30"/>
          <w:szCs w:val="30"/>
          <w:spacing w:val="19"/>
        </w:rPr>
        <w:t>未经县级卫生行政部门核准，村卫生室、诊所、</w:t>
      </w:r>
    </w:p>
    <w:p>
      <w:pPr>
        <w:ind w:left="65"/>
        <w:spacing w:before="70" w:line="265" w:lineRule="auto"/>
        <w:jc w:val="both"/>
        <w:rPr>
          <w:rFonts w:ascii="FangSong" w:hAnsi="FangSong" w:eastAsia="FangSong" w:cs="FangSong"/>
          <w:sz w:val="30"/>
          <w:szCs w:val="30"/>
        </w:rPr>
      </w:pPr>
      <w:r>
        <w:rPr>
          <w:rFonts w:ascii="FangSong" w:hAnsi="FangSong" w:eastAsia="FangSong" w:cs="FangSong"/>
          <w:sz w:val="30"/>
          <w:szCs w:val="30"/>
          <w:spacing w:val="16"/>
        </w:rPr>
        <w:t>社区卫生服务站擅自使用抗菌药物开展静脉输注活动的，由县级以上地方卫生</w:t>
      </w:r>
      <w:r>
        <w:rPr>
          <w:rFonts w:ascii="FangSong" w:hAnsi="FangSong" w:eastAsia="FangSong" w:cs="FangSong"/>
          <w:sz w:val="30"/>
          <w:szCs w:val="30"/>
          <w:spacing w:val="15"/>
        </w:rPr>
        <w:t>行政部门责令限期改正，</w:t>
      </w:r>
      <w:r>
        <w:rPr>
          <w:rFonts w:ascii="FangSong" w:hAnsi="FangSong" w:eastAsia="FangSong" w:cs="FangSong"/>
          <w:sz w:val="30"/>
          <w:szCs w:val="30"/>
        </w:rPr>
        <w:t xml:space="preserve"> </w:t>
      </w:r>
      <w:r>
        <w:rPr>
          <w:rFonts w:ascii="FangSong" w:hAnsi="FangSong" w:eastAsia="FangSong" w:cs="FangSong"/>
          <w:sz w:val="30"/>
          <w:szCs w:val="30"/>
          <w:spacing w:val="17"/>
        </w:rPr>
        <w:t>给予警告；逾期不改的，可根据情节轻重处以</w:t>
      </w:r>
      <w:r>
        <w:rPr>
          <w:rFonts w:ascii="FangSong" w:hAnsi="FangSong" w:eastAsia="FangSong" w:cs="FangSong"/>
          <w:sz w:val="30"/>
          <w:szCs w:val="30"/>
          <w:spacing w:val="16"/>
        </w:rPr>
        <w:t>一万元以下罚款。</w:t>
      </w:r>
    </w:p>
    <w:p>
      <w:pPr>
        <w:ind w:left="6459"/>
        <w:spacing w:before="20"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80"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54"/>
        <w:gridCol w:w="8414"/>
        <w:gridCol w:w="4212"/>
      </w:tblGrid>
      <w:tr>
        <w:trPr>
          <w:trHeight w:val="543" w:hRule="atLeast"/>
        </w:trPr>
        <w:tc>
          <w:tcPr>
            <w:tcW w:w="1354" w:type="dxa"/>
            <w:vAlign w:val="top"/>
          </w:tcPr>
          <w:p>
            <w:pPr>
              <w:pStyle w:val="TableText"/>
              <w:ind w:left="168"/>
              <w:spacing w:before="152" w:line="220" w:lineRule="auto"/>
              <w:rPr>
                <w:sz w:val="25"/>
                <w:szCs w:val="25"/>
              </w:rPr>
            </w:pPr>
            <w:r>
              <w:rPr>
                <w:sz w:val="25"/>
                <w:szCs w:val="25"/>
                <w:b/>
                <w:bCs/>
                <w:spacing w:val="-5"/>
              </w:rPr>
              <w:t>违法程度</w:t>
            </w:r>
          </w:p>
        </w:tc>
        <w:tc>
          <w:tcPr>
            <w:tcW w:w="8414" w:type="dxa"/>
            <w:vAlign w:val="top"/>
          </w:tcPr>
          <w:p>
            <w:pPr>
              <w:pStyle w:val="TableText"/>
              <w:ind w:left="3704"/>
              <w:spacing w:before="152" w:line="220" w:lineRule="auto"/>
              <w:rPr>
                <w:sz w:val="25"/>
                <w:szCs w:val="25"/>
              </w:rPr>
            </w:pPr>
            <w:r>
              <w:rPr>
                <w:sz w:val="25"/>
                <w:szCs w:val="25"/>
                <w:b/>
                <w:bCs/>
                <w:spacing w:val="-5"/>
              </w:rPr>
              <w:t>情节后果</w:t>
            </w:r>
          </w:p>
        </w:tc>
        <w:tc>
          <w:tcPr>
            <w:tcW w:w="4212" w:type="dxa"/>
            <w:vAlign w:val="top"/>
          </w:tcPr>
          <w:p>
            <w:pPr>
              <w:pStyle w:val="TableText"/>
              <w:ind w:left="1530"/>
              <w:spacing w:before="149" w:line="218" w:lineRule="auto"/>
              <w:rPr>
                <w:sz w:val="25"/>
                <w:szCs w:val="25"/>
              </w:rPr>
            </w:pPr>
            <w:r>
              <w:rPr>
                <w:sz w:val="25"/>
                <w:szCs w:val="25"/>
                <w:b/>
                <w:bCs/>
                <w:spacing w:val="-5"/>
              </w:rPr>
              <w:t>裁量幅度</w:t>
            </w:r>
          </w:p>
        </w:tc>
      </w:tr>
      <w:tr>
        <w:trPr>
          <w:trHeight w:val="886" w:hRule="atLeast"/>
        </w:trPr>
        <w:tc>
          <w:tcPr>
            <w:tcW w:w="1354" w:type="dxa"/>
            <w:vAlign w:val="top"/>
          </w:tcPr>
          <w:p>
            <w:pPr>
              <w:pStyle w:val="TableText"/>
              <w:ind w:left="418"/>
              <w:spacing w:before="320" w:line="221" w:lineRule="auto"/>
              <w:rPr>
                <w:sz w:val="25"/>
                <w:szCs w:val="25"/>
              </w:rPr>
            </w:pPr>
            <w:r>
              <w:rPr>
                <w:sz w:val="25"/>
                <w:szCs w:val="25"/>
                <w:b/>
                <w:bCs/>
                <w:spacing w:val="-10"/>
              </w:rPr>
              <w:t>一般</w:t>
            </w:r>
          </w:p>
        </w:tc>
        <w:tc>
          <w:tcPr>
            <w:tcW w:w="8414" w:type="dxa"/>
            <w:vAlign w:val="top"/>
          </w:tcPr>
          <w:p>
            <w:pPr>
              <w:pStyle w:val="TableText"/>
              <w:ind w:left="90" w:hanging="79"/>
              <w:spacing w:before="150" w:line="268" w:lineRule="auto"/>
              <w:rPr>
                <w:sz w:val="25"/>
                <w:szCs w:val="25"/>
              </w:rPr>
            </w:pPr>
            <w:r>
              <w:rPr>
                <w:sz w:val="25"/>
                <w:szCs w:val="25"/>
                <w:spacing w:val="-3"/>
              </w:rPr>
              <w:t>未经县级卫生行政部门核准，村卫生室、诊所、社区卫生服务</w:t>
            </w:r>
            <w:r>
              <w:rPr>
                <w:sz w:val="25"/>
                <w:szCs w:val="25"/>
                <w:spacing w:val="-4"/>
              </w:rPr>
              <w:t>站擅自使用抗菌</w:t>
            </w:r>
            <w:r>
              <w:rPr>
                <w:sz w:val="25"/>
                <w:szCs w:val="25"/>
              </w:rPr>
              <w:t xml:space="preserve"> </w:t>
            </w:r>
            <w:r>
              <w:rPr>
                <w:sz w:val="25"/>
                <w:szCs w:val="25"/>
                <w:spacing w:val="1"/>
              </w:rPr>
              <w:t>药物开展静脉输注活动的</w:t>
            </w:r>
          </w:p>
        </w:tc>
        <w:tc>
          <w:tcPr>
            <w:tcW w:w="4212" w:type="dxa"/>
            <w:vAlign w:val="top"/>
          </w:tcPr>
          <w:p>
            <w:pPr>
              <w:pStyle w:val="TableText"/>
              <w:ind w:left="116"/>
              <w:spacing w:before="320" w:line="218" w:lineRule="auto"/>
              <w:rPr>
                <w:sz w:val="25"/>
                <w:szCs w:val="25"/>
              </w:rPr>
            </w:pPr>
            <w:r>
              <w:rPr>
                <w:sz w:val="25"/>
                <w:szCs w:val="25"/>
                <w:spacing w:val="4"/>
              </w:rPr>
              <w:t>给予警告</w:t>
            </w:r>
          </w:p>
        </w:tc>
      </w:tr>
      <w:tr>
        <w:trPr>
          <w:trHeight w:val="881" w:hRule="atLeast"/>
        </w:trPr>
        <w:tc>
          <w:tcPr>
            <w:tcW w:w="1354" w:type="dxa"/>
            <w:vAlign w:val="top"/>
          </w:tcPr>
          <w:p>
            <w:pPr>
              <w:spacing w:line="243" w:lineRule="auto"/>
              <w:rPr>
                <w:rFonts w:ascii="Arial"/>
                <w:sz w:val="21"/>
              </w:rPr>
            </w:pPr>
            <w:r/>
          </w:p>
          <w:p>
            <w:pPr>
              <w:pStyle w:val="TableText"/>
              <w:ind w:left="418"/>
              <w:spacing w:before="81" w:line="221" w:lineRule="auto"/>
              <w:rPr>
                <w:sz w:val="25"/>
                <w:szCs w:val="25"/>
              </w:rPr>
            </w:pPr>
            <w:r>
              <w:rPr>
                <w:sz w:val="25"/>
                <w:szCs w:val="25"/>
                <w:b/>
                <w:bCs/>
                <w:spacing w:val="-6"/>
              </w:rPr>
              <w:t>较重</w:t>
            </w:r>
          </w:p>
        </w:tc>
        <w:tc>
          <w:tcPr>
            <w:tcW w:w="8414" w:type="dxa"/>
            <w:vAlign w:val="top"/>
          </w:tcPr>
          <w:p>
            <w:pPr>
              <w:pStyle w:val="TableText"/>
              <w:ind w:left="100" w:hanging="89"/>
              <w:spacing w:before="145" w:line="268" w:lineRule="auto"/>
              <w:rPr>
                <w:sz w:val="25"/>
                <w:szCs w:val="25"/>
              </w:rPr>
            </w:pPr>
            <w:r>
              <w:rPr>
                <w:sz w:val="25"/>
                <w:szCs w:val="25"/>
                <w:spacing w:val="-3"/>
              </w:rPr>
              <w:t>未经县级卫生行政部门核准，村卫生室、诊所、社区卫生服务</w:t>
            </w:r>
            <w:r>
              <w:rPr>
                <w:sz w:val="25"/>
                <w:szCs w:val="25"/>
                <w:spacing w:val="-4"/>
              </w:rPr>
              <w:t>站擅自使用抗菌</w:t>
            </w:r>
            <w:r>
              <w:rPr>
                <w:sz w:val="25"/>
                <w:szCs w:val="25"/>
              </w:rPr>
              <w:t xml:space="preserve"> </w:t>
            </w:r>
            <w:r>
              <w:rPr>
                <w:sz w:val="25"/>
                <w:szCs w:val="25"/>
              </w:rPr>
              <w:t>药物开展静脉输注活动，经责令限期改正逾期不改的</w:t>
            </w:r>
          </w:p>
        </w:tc>
        <w:tc>
          <w:tcPr>
            <w:tcW w:w="4212" w:type="dxa"/>
            <w:vAlign w:val="top"/>
          </w:tcPr>
          <w:p>
            <w:pPr>
              <w:spacing w:line="243" w:lineRule="auto"/>
              <w:rPr>
                <w:rFonts w:ascii="Arial"/>
                <w:sz w:val="21"/>
              </w:rPr>
            </w:pPr>
            <w:r/>
          </w:p>
          <w:p>
            <w:pPr>
              <w:pStyle w:val="TableText"/>
              <w:ind w:left="116"/>
              <w:spacing w:before="81" w:line="219" w:lineRule="auto"/>
              <w:rPr>
                <w:sz w:val="25"/>
                <w:szCs w:val="25"/>
              </w:rPr>
            </w:pPr>
            <w:r>
              <w:rPr>
                <w:sz w:val="25"/>
                <w:szCs w:val="25"/>
              </w:rPr>
              <w:t>可根据情节轻重处以一万元以下罚款</w:t>
            </w:r>
          </w:p>
        </w:tc>
      </w:tr>
    </w:tbl>
    <w:p>
      <w:pPr>
        <w:pStyle w:val="BodyText"/>
        <w:rPr/>
      </w:pPr>
      <w:r/>
    </w:p>
    <w:p>
      <w:pPr>
        <w:sectPr>
          <w:footerReference w:type="default" r:id="rId344"/>
          <w:pgSz w:w="16830" w:h="11900"/>
          <w:pgMar w:top="1011" w:right="1159" w:bottom="1118" w:left="1394" w:header="0" w:footer="785" w:gutter="0"/>
        </w:sectPr>
        <w:rPr/>
      </w:pPr>
    </w:p>
    <w:p>
      <w:pPr>
        <w:pStyle w:val="BodyText"/>
        <w:spacing w:line="265" w:lineRule="auto"/>
        <w:rPr/>
      </w:pPr>
      <w:r/>
    </w:p>
    <w:p>
      <w:pPr>
        <w:pStyle w:val="BodyText"/>
        <w:spacing w:line="265" w:lineRule="auto"/>
        <w:rPr/>
      </w:pPr>
      <w:r/>
    </w:p>
    <w:p>
      <w:pPr>
        <w:pStyle w:val="BodyText"/>
        <w:spacing w:line="266" w:lineRule="auto"/>
        <w:rPr/>
      </w:pPr>
      <w:r/>
    </w:p>
    <w:p>
      <w:pPr>
        <w:ind w:left="779"/>
        <w:spacing w:before="98" w:line="223" w:lineRule="auto"/>
        <w:rPr>
          <w:rFonts w:ascii="KaiTi" w:hAnsi="KaiTi" w:eastAsia="KaiTi" w:cs="KaiTi"/>
          <w:sz w:val="30"/>
          <w:szCs w:val="30"/>
        </w:rPr>
      </w:pPr>
      <w:bookmarkStart w:name="bookmark997" w:id="366"/>
      <w:bookmarkEnd w:id="366"/>
      <w:r>
        <w:rPr>
          <w:rFonts w:ascii="KaiTi" w:hAnsi="KaiTi" w:eastAsia="KaiTi" w:cs="KaiTi"/>
          <w:sz w:val="30"/>
          <w:szCs w:val="30"/>
          <w:b/>
          <w:bCs/>
          <w:spacing w:val="27"/>
        </w:rPr>
        <w:t>(二十二)《医疗器械监督管理条例》</w:t>
      </w:r>
    </w:p>
    <w:p>
      <w:pPr>
        <w:ind w:left="659"/>
        <w:spacing w:before="318" w:line="219" w:lineRule="auto"/>
        <w:rPr>
          <w:rFonts w:ascii="FangSong" w:hAnsi="FangSong" w:eastAsia="FangSong" w:cs="FangSong"/>
          <w:sz w:val="30"/>
          <w:szCs w:val="30"/>
        </w:rPr>
      </w:pPr>
      <w:r>
        <w:rPr>
          <w:rFonts w:ascii="FangSong" w:hAnsi="FangSong" w:eastAsia="FangSong" w:cs="FangSong"/>
          <w:sz w:val="30"/>
          <w:szCs w:val="30"/>
          <w:b/>
          <w:bCs/>
          <w:spacing w:val="21"/>
        </w:rPr>
        <w:t>第二百九十四条医疗器械使用单位未妥善保存购入第三类医疗器械的原始资料</w:t>
      </w:r>
    </w:p>
    <w:p>
      <w:pPr>
        <w:ind w:left="654"/>
        <w:spacing w:before="92"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5" w:firstLine="619"/>
        <w:spacing w:before="90" w:line="270" w:lineRule="auto"/>
        <w:jc w:val="both"/>
        <w:rPr>
          <w:rFonts w:ascii="FangSong" w:hAnsi="FangSong" w:eastAsia="FangSong" w:cs="FangSong"/>
          <w:sz w:val="30"/>
          <w:szCs w:val="30"/>
        </w:rPr>
      </w:pPr>
      <w:r>
        <w:rPr>
          <w:rFonts w:ascii="FangSong" w:hAnsi="FangSong" w:eastAsia="FangSong" w:cs="FangSong"/>
          <w:sz w:val="30"/>
          <w:szCs w:val="30"/>
          <w:spacing w:val="32"/>
        </w:rPr>
        <w:t>《医疗器械监督管理条例》第八十九条第(十)项有下列情形之一的，由负责药品监</w:t>
      </w:r>
      <w:r>
        <w:rPr>
          <w:rFonts w:ascii="FangSong" w:hAnsi="FangSong" w:eastAsia="FangSong" w:cs="FangSong"/>
          <w:sz w:val="30"/>
          <w:szCs w:val="30"/>
          <w:spacing w:val="31"/>
        </w:rPr>
        <w:t>督管理的</w:t>
      </w:r>
      <w:r>
        <w:rPr>
          <w:rFonts w:ascii="FangSong" w:hAnsi="FangSong" w:eastAsia="FangSong" w:cs="FangSong"/>
          <w:sz w:val="30"/>
          <w:szCs w:val="30"/>
        </w:rPr>
        <w:t xml:space="preserve"> </w:t>
      </w:r>
      <w:r>
        <w:rPr>
          <w:rFonts w:ascii="FangSong" w:hAnsi="FangSong" w:eastAsia="FangSong" w:cs="FangSong"/>
          <w:sz w:val="30"/>
          <w:szCs w:val="30"/>
          <w:spacing w:val="27"/>
        </w:rPr>
        <w:t>部门和卫生主管部门依据各自职责责令改正，给予警告；拒不改正的，处1万元以上1</w:t>
      </w:r>
      <w:r>
        <w:rPr>
          <w:rFonts w:ascii="FangSong" w:hAnsi="FangSong" w:eastAsia="FangSong" w:cs="FangSong"/>
          <w:sz w:val="30"/>
          <w:szCs w:val="30"/>
          <w:spacing w:val="26"/>
        </w:rPr>
        <w:t>0万元以下罚</w:t>
      </w:r>
      <w:r>
        <w:rPr>
          <w:rFonts w:ascii="FangSong" w:hAnsi="FangSong" w:eastAsia="FangSong" w:cs="FangSong"/>
          <w:sz w:val="30"/>
          <w:szCs w:val="30"/>
        </w:rPr>
        <w:t xml:space="preserve"> </w:t>
      </w:r>
      <w:r>
        <w:rPr>
          <w:rFonts w:ascii="FangSong" w:hAnsi="FangSong" w:eastAsia="FangSong" w:cs="FangSong"/>
          <w:sz w:val="30"/>
          <w:szCs w:val="30"/>
          <w:spacing w:val="17"/>
        </w:rPr>
        <w:t>款；情节严重的，责令停产停业，直至由原发证部门吊销医</w:t>
      </w:r>
      <w:r>
        <w:rPr>
          <w:rFonts w:ascii="FangSong" w:hAnsi="FangSong" w:eastAsia="FangSong" w:cs="FangSong"/>
          <w:sz w:val="30"/>
          <w:szCs w:val="30"/>
          <w:spacing w:val="16"/>
        </w:rPr>
        <w:t>疗器械注册证、医疗器械生产许可证、医</w:t>
      </w:r>
      <w:r>
        <w:rPr>
          <w:rFonts w:ascii="FangSong" w:hAnsi="FangSong" w:eastAsia="FangSong" w:cs="FangSong"/>
          <w:sz w:val="30"/>
          <w:szCs w:val="30"/>
        </w:rPr>
        <w:t xml:space="preserve"> </w:t>
      </w:r>
      <w:r>
        <w:rPr>
          <w:rFonts w:ascii="FangSong" w:hAnsi="FangSong" w:eastAsia="FangSong" w:cs="FangSong"/>
          <w:sz w:val="30"/>
          <w:szCs w:val="30"/>
          <w:spacing w:val="17"/>
        </w:rPr>
        <w:t>疗器械经营许可证，对违法单位的法定代表人、主要负责人、直接负责的主管人员和其他责任人员处</w:t>
      </w:r>
      <w:r>
        <w:rPr>
          <w:rFonts w:ascii="FangSong" w:hAnsi="FangSong" w:eastAsia="FangSong" w:cs="FangSong"/>
          <w:sz w:val="30"/>
          <w:szCs w:val="30"/>
          <w:spacing w:val="11"/>
        </w:rPr>
        <w:t xml:space="preserve"> </w:t>
      </w:r>
      <w:r>
        <w:rPr>
          <w:rFonts w:ascii="FangSong" w:hAnsi="FangSong" w:eastAsia="FangSong" w:cs="FangSong"/>
          <w:sz w:val="30"/>
          <w:szCs w:val="30"/>
          <w:spacing w:val="29"/>
        </w:rPr>
        <w:t>1万元以上3万元以下罚款：</w:t>
      </w:r>
    </w:p>
    <w:p>
      <w:pPr>
        <w:ind w:left="774"/>
        <w:spacing w:line="219" w:lineRule="auto"/>
        <w:rPr>
          <w:rFonts w:ascii="FangSong" w:hAnsi="FangSong" w:eastAsia="FangSong" w:cs="FangSong"/>
          <w:sz w:val="30"/>
          <w:szCs w:val="30"/>
        </w:rPr>
      </w:pPr>
      <w:r>
        <w:rPr>
          <w:rFonts w:ascii="FangSong" w:hAnsi="FangSong" w:eastAsia="FangSong" w:cs="FangSong"/>
          <w:sz w:val="30"/>
          <w:szCs w:val="30"/>
          <w:spacing w:val="22"/>
        </w:rPr>
        <w:t>(十)医疗器械使用单位未妥善保存购入第三类医疗器械的原始资料。</w:t>
      </w:r>
    </w:p>
    <w:p>
      <w:pPr>
        <w:ind w:left="6419"/>
        <w:spacing w:before="77"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4" w:lineRule="auto"/>
        <w:rPr>
          <w:rFonts w:ascii="Arial"/>
          <w:sz w:val="2"/>
        </w:rPr>
      </w:pPr>
      <w:r>
        <w:rPr>
          <w:rFonts w:ascii="Arial"/>
          <w:sz w:val="2"/>
        </w:rPr>
      </w:r>
    </w:p>
    <w:tbl>
      <w:tblPr>
        <w:tblStyle w:val="TableNormal"/>
        <w:tblW w:w="139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4"/>
        <w:gridCol w:w="8333"/>
        <w:gridCol w:w="4122"/>
      </w:tblGrid>
      <w:tr>
        <w:trPr>
          <w:trHeight w:val="552" w:hRule="atLeast"/>
        </w:trPr>
        <w:tc>
          <w:tcPr>
            <w:tcW w:w="1454" w:type="dxa"/>
            <w:vAlign w:val="top"/>
          </w:tcPr>
          <w:p>
            <w:pPr>
              <w:pStyle w:val="TableText"/>
              <w:ind w:left="218"/>
              <w:spacing w:before="152" w:line="220" w:lineRule="auto"/>
              <w:rPr>
                <w:sz w:val="25"/>
                <w:szCs w:val="25"/>
              </w:rPr>
            </w:pPr>
            <w:r>
              <w:rPr>
                <w:sz w:val="25"/>
                <w:szCs w:val="25"/>
                <w:b/>
                <w:bCs/>
                <w:spacing w:val="-5"/>
              </w:rPr>
              <w:t>违法程度</w:t>
            </w:r>
          </w:p>
        </w:tc>
        <w:tc>
          <w:tcPr>
            <w:tcW w:w="8333" w:type="dxa"/>
            <w:vAlign w:val="top"/>
          </w:tcPr>
          <w:p>
            <w:pPr>
              <w:pStyle w:val="TableText"/>
              <w:ind w:left="3594"/>
              <w:spacing w:before="152" w:line="220" w:lineRule="auto"/>
              <w:rPr>
                <w:sz w:val="25"/>
                <w:szCs w:val="25"/>
              </w:rPr>
            </w:pPr>
            <w:r>
              <w:rPr>
                <w:sz w:val="25"/>
                <w:szCs w:val="25"/>
                <w:b/>
                <w:bCs/>
                <w:spacing w:val="-5"/>
              </w:rPr>
              <w:t>情节后果</w:t>
            </w:r>
          </w:p>
        </w:tc>
        <w:tc>
          <w:tcPr>
            <w:tcW w:w="4122" w:type="dxa"/>
            <w:vAlign w:val="top"/>
          </w:tcPr>
          <w:p>
            <w:pPr>
              <w:pStyle w:val="TableText"/>
              <w:ind w:left="1501"/>
              <w:spacing w:before="149" w:line="218" w:lineRule="auto"/>
              <w:rPr>
                <w:sz w:val="25"/>
                <w:szCs w:val="25"/>
              </w:rPr>
            </w:pPr>
            <w:r>
              <w:rPr>
                <w:sz w:val="25"/>
                <w:szCs w:val="25"/>
                <w:b/>
                <w:bCs/>
                <w:spacing w:val="-5"/>
              </w:rPr>
              <w:t>裁量幅度</w:t>
            </w:r>
          </w:p>
        </w:tc>
      </w:tr>
      <w:tr>
        <w:trPr>
          <w:trHeight w:val="547" w:hRule="atLeast"/>
        </w:trPr>
        <w:tc>
          <w:tcPr>
            <w:tcW w:w="1454" w:type="dxa"/>
            <w:vAlign w:val="top"/>
          </w:tcPr>
          <w:p>
            <w:pPr>
              <w:pStyle w:val="TableText"/>
              <w:ind w:left="468"/>
              <w:spacing w:before="151" w:line="221" w:lineRule="auto"/>
              <w:rPr>
                <w:sz w:val="25"/>
                <w:szCs w:val="25"/>
              </w:rPr>
            </w:pPr>
            <w:r>
              <w:rPr>
                <w:sz w:val="25"/>
                <w:szCs w:val="25"/>
                <w:b/>
                <w:bCs/>
                <w:spacing w:val="-10"/>
              </w:rPr>
              <w:t>一般</w:t>
            </w:r>
          </w:p>
        </w:tc>
        <w:tc>
          <w:tcPr>
            <w:tcW w:w="8333" w:type="dxa"/>
            <w:vAlign w:val="top"/>
          </w:tcPr>
          <w:p>
            <w:pPr>
              <w:pStyle w:val="TableText"/>
              <w:ind w:left="91"/>
              <w:spacing w:before="153" w:line="219" w:lineRule="auto"/>
              <w:rPr>
                <w:sz w:val="25"/>
                <w:szCs w:val="25"/>
              </w:rPr>
            </w:pPr>
            <w:r>
              <w:rPr>
                <w:sz w:val="25"/>
                <w:szCs w:val="25"/>
              </w:rPr>
              <w:t>医疗器械使用单位未妥善保存购入第三类医疗器械的原始资料</w:t>
            </w:r>
          </w:p>
        </w:tc>
        <w:tc>
          <w:tcPr>
            <w:tcW w:w="4122" w:type="dxa"/>
            <w:vAlign w:val="top"/>
          </w:tcPr>
          <w:p>
            <w:pPr>
              <w:pStyle w:val="TableText"/>
              <w:ind w:left="118"/>
              <w:spacing w:before="151" w:line="218" w:lineRule="auto"/>
              <w:rPr>
                <w:sz w:val="25"/>
                <w:szCs w:val="25"/>
              </w:rPr>
            </w:pPr>
            <w:r>
              <w:rPr>
                <w:sz w:val="25"/>
                <w:szCs w:val="25"/>
                <w:spacing w:val="4"/>
              </w:rPr>
              <w:t>给予警告</w:t>
            </w:r>
          </w:p>
        </w:tc>
      </w:tr>
      <w:tr>
        <w:trPr>
          <w:trHeight w:val="860" w:hRule="atLeast"/>
        </w:trPr>
        <w:tc>
          <w:tcPr>
            <w:tcW w:w="1454" w:type="dxa"/>
            <w:vAlign w:val="top"/>
          </w:tcPr>
          <w:p>
            <w:pPr>
              <w:pStyle w:val="TableText"/>
              <w:ind w:left="468"/>
              <w:spacing w:before="316" w:line="221" w:lineRule="auto"/>
              <w:rPr>
                <w:sz w:val="25"/>
                <w:szCs w:val="25"/>
              </w:rPr>
            </w:pPr>
            <w:r>
              <w:rPr>
                <w:sz w:val="25"/>
                <w:szCs w:val="25"/>
                <w:b/>
                <w:bCs/>
                <w:spacing w:val="-6"/>
              </w:rPr>
              <w:t>较重</w:t>
            </w:r>
          </w:p>
        </w:tc>
        <w:tc>
          <w:tcPr>
            <w:tcW w:w="8333" w:type="dxa"/>
            <w:vAlign w:val="top"/>
          </w:tcPr>
          <w:p>
            <w:pPr>
              <w:pStyle w:val="TableText"/>
              <w:ind w:left="91" w:firstLine="39"/>
              <w:spacing w:before="124" w:line="268" w:lineRule="auto"/>
              <w:rPr>
                <w:sz w:val="25"/>
                <w:szCs w:val="25"/>
              </w:rPr>
            </w:pPr>
            <w:r>
              <w:rPr>
                <w:sz w:val="25"/>
                <w:szCs w:val="25"/>
                <w:spacing w:val="-9"/>
              </w:rPr>
              <w:t>医疗器械使用单位未妥善保存购入第三类医疗器械的原始资料，经责</w:t>
            </w:r>
            <w:r>
              <w:rPr>
                <w:sz w:val="25"/>
                <w:szCs w:val="25"/>
                <w:spacing w:val="-10"/>
              </w:rPr>
              <w:t>令改正后</w:t>
            </w:r>
            <w:r>
              <w:rPr>
                <w:sz w:val="25"/>
                <w:szCs w:val="25"/>
              </w:rPr>
              <w:t xml:space="preserve"> </w:t>
            </w:r>
            <w:r>
              <w:rPr>
                <w:sz w:val="25"/>
                <w:szCs w:val="25"/>
                <w:spacing w:val="3"/>
              </w:rPr>
              <w:t>拒不改正的</w:t>
            </w:r>
          </w:p>
        </w:tc>
        <w:tc>
          <w:tcPr>
            <w:tcW w:w="4122" w:type="dxa"/>
            <w:vAlign w:val="top"/>
          </w:tcPr>
          <w:p>
            <w:pPr>
              <w:pStyle w:val="TableText"/>
              <w:ind w:left="118"/>
              <w:spacing w:before="316" w:line="220" w:lineRule="auto"/>
              <w:rPr>
                <w:sz w:val="25"/>
                <w:szCs w:val="25"/>
              </w:rPr>
            </w:pPr>
            <w:r>
              <w:rPr>
                <w:sz w:val="25"/>
                <w:szCs w:val="25"/>
                <w:spacing w:val="1"/>
              </w:rPr>
              <w:t>处1万元以上10万元以下罚款</w:t>
            </w:r>
          </w:p>
        </w:tc>
      </w:tr>
    </w:tbl>
    <w:p>
      <w:pPr>
        <w:pStyle w:val="BodyText"/>
        <w:spacing w:line="455" w:lineRule="auto"/>
        <w:rPr/>
      </w:pPr>
      <w:r/>
    </w:p>
    <w:p>
      <w:pPr>
        <w:ind w:left="9" w:right="336" w:firstLine="649"/>
        <w:spacing w:before="98" w:line="261" w:lineRule="auto"/>
        <w:rPr>
          <w:rFonts w:ascii="FangSong" w:hAnsi="FangSong" w:eastAsia="FangSong" w:cs="FangSong"/>
          <w:sz w:val="30"/>
          <w:szCs w:val="30"/>
        </w:rPr>
      </w:pPr>
      <w:r>
        <w:rPr>
          <w:rFonts w:ascii="FangSong" w:hAnsi="FangSong" w:eastAsia="FangSong" w:cs="FangSong"/>
          <w:sz w:val="30"/>
          <w:szCs w:val="30"/>
          <w:b/>
          <w:bCs/>
          <w:spacing w:val="21"/>
        </w:rPr>
        <w:t>第二百九十五条未按照规定将大型医疗器械以及植入和介入类医疗器械的信息记载到病历等</w:t>
      </w:r>
      <w:r>
        <w:rPr>
          <w:rFonts w:ascii="FangSong" w:hAnsi="FangSong" w:eastAsia="FangSong" w:cs="FangSong"/>
          <w:sz w:val="30"/>
          <w:szCs w:val="30"/>
          <w:spacing w:val="2"/>
        </w:rPr>
        <w:t xml:space="preserve"> </w:t>
      </w:r>
      <w:r>
        <w:rPr>
          <w:rFonts w:ascii="FangSong" w:hAnsi="FangSong" w:eastAsia="FangSong" w:cs="FangSong"/>
          <w:sz w:val="30"/>
          <w:szCs w:val="30"/>
          <w:b/>
          <w:bCs/>
          <w:spacing w:val="14"/>
        </w:rPr>
        <w:t>相关记录中案</w:t>
      </w:r>
    </w:p>
    <w:p>
      <w:pPr>
        <w:spacing w:line="261" w:lineRule="auto"/>
        <w:sectPr>
          <w:footerReference w:type="default" r:id="rId345"/>
          <w:pgSz w:w="16830" w:h="11900"/>
          <w:pgMar w:top="1011" w:right="1429" w:bottom="1108" w:left="1434" w:header="0" w:footer="775" w:gutter="0"/>
        </w:sectPr>
        <w:rPr>
          <w:rFonts w:ascii="FangSong" w:hAnsi="FangSong" w:eastAsia="FangSong" w:cs="FangSong"/>
          <w:sz w:val="30"/>
          <w:szCs w:val="30"/>
        </w:rPr>
      </w:pPr>
    </w:p>
    <w:p>
      <w:pPr>
        <w:pStyle w:val="BodyText"/>
        <w:spacing w:line="265" w:lineRule="auto"/>
        <w:rPr/>
      </w:pPr>
      <w:r/>
    </w:p>
    <w:p>
      <w:pPr>
        <w:pStyle w:val="BodyText"/>
        <w:spacing w:line="265" w:lineRule="auto"/>
        <w:rPr/>
      </w:pPr>
      <w:r/>
    </w:p>
    <w:p>
      <w:pPr>
        <w:pStyle w:val="BodyText"/>
        <w:spacing w:line="266" w:lineRule="auto"/>
        <w:rPr/>
      </w:pPr>
      <w:r/>
    </w:p>
    <w:p>
      <w:pPr>
        <w:ind w:left="639"/>
        <w:spacing w:before="97" w:line="222" w:lineRule="auto"/>
        <w:rPr>
          <w:rFonts w:ascii="FangSong" w:hAnsi="FangSong" w:eastAsia="FangSong" w:cs="FangSong"/>
          <w:sz w:val="30"/>
          <w:szCs w:val="30"/>
        </w:rPr>
      </w:pPr>
      <w:r>
        <w:rPr>
          <w:rFonts w:ascii="FangSong" w:hAnsi="FangSong" w:eastAsia="FangSong" w:cs="FangSong"/>
          <w:sz w:val="30"/>
          <w:szCs w:val="30"/>
        </w:rPr>
        <w:t>法律依据：</w:t>
      </w:r>
    </w:p>
    <w:p>
      <w:pPr>
        <w:ind w:firstLine="629"/>
        <w:spacing w:before="72" w:line="271" w:lineRule="auto"/>
        <w:jc w:val="both"/>
        <w:rPr>
          <w:rFonts w:ascii="FangSong" w:hAnsi="FangSong" w:eastAsia="FangSong" w:cs="FangSong"/>
          <w:sz w:val="30"/>
          <w:szCs w:val="30"/>
        </w:rPr>
      </w:pPr>
      <w:r>
        <w:rPr>
          <w:rFonts w:ascii="FangSong" w:hAnsi="FangSong" w:eastAsia="FangSong" w:cs="FangSong"/>
          <w:sz w:val="30"/>
          <w:szCs w:val="30"/>
          <w:spacing w:val="23"/>
        </w:rPr>
        <w:t>《医疗器械监督管理条例》第九十条第(三)项</w:t>
      </w:r>
      <w:r>
        <w:rPr>
          <w:rFonts w:ascii="FangSong" w:hAnsi="FangSong" w:eastAsia="FangSong" w:cs="FangSong"/>
          <w:sz w:val="30"/>
          <w:szCs w:val="30"/>
          <w:spacing w:val="23"/>
        </w:rPr>
        <w:t xml:space="preserve">  </w:t>
      </w:r>
      <w:r>
        <w:rPr>
          <w:rFonts w:ascii="FangSong" w:hAnsi="FangSong" w:eastAsia="FangSong" w:cs="FangSong"/>
          <w:sz w:val="30"/>
          <w:szCs w:val="30"/>
          <w:spacing w:val="23"/>
        </w:rPr>
        <w:t>有下列情形之一的，由县级以上人民政府卫生</w:t>
      </w:r>
      <w:r>
        <w:rPr>
          <w:rFonts w:ascii="FangSong" w:hAnsi="FangSong" w:eastAsia="FangSong" w:cs="FangSong"/>
          <w:sz w:val="30"/>
          <w:szCs w:val="30"/>
          <w:spacing w:val="4"/>
        </w:rPr>
        <w:t xml:space="preserve"> </w:t>
      </w:r>
      <w:r>
        <w:rPr>
          <w:rFonts w:ascii="FangSong" w:hAnsi="FangSong" w:eastAsia="FangSong" w:cs="FangSong"/>
          <w:sz w:val="30"/>
          <w:szCs w:val="30"/>
          <w:spacing w:val="34"/>
        </w:rPr>
        <w:t>主管部门责令改正，给予警告；拒不改正的，处5万元以上10万元以下罚款；情节严重的，处10</w:t>
      </w:r>
      <w:r>
        <w:rPr>
          <w:rFonts w:ascii="FangSong" w:hAnsi="FangSong" w:eastAsia="FangSong" w:cs="FangSong"/>
          <w:sz w:val="30"/>
          <w:szCs w:val="30"/>
        </w:rPr>
        <w:t xml:space="preserve"> </w:t>
      </w:r>
      <w:r>
        <w:rPr>
          <w:rFonts w:ascii="FangSong" w:hAnsi="FangSong" w:eastAsia="FangSong" w:cs="FangSong"/>
          <w:sz w:val="30"/>
          <w:szCs w:val="30"/>
          <w:spacing w:val="23"/>
        </w:rPr>
        <w:t>万元以上30万元以下罚款，责令暂停相关医</w:t>
      </w:r>
      <w:r>
        <w:rPr>
          <w:rFonts w:ascii="FangSong" w:hAnsi="FangSong" w:eastAsia="FangSong" w:cs="FangSong"/>
          <w:sz w:val="30"/>
          <w:szCs w:val="30"/>
          <w:spacing w:val="22"/>
        </w:rPr>
        <w:t>疗器械使用活动，直至由原发证部门吊销执业许可证，</w:t>
      </w:r>
      <w:r>
        <w:rPr>
          <w:rFonts w:ascii="FangSong" w:hAnsi="FangSong" w:eastAsia="FangSong" w:cs="FangSong"/>
          <w:sz w:val="30"/>
          <w:szCs w:val="30"/>
        </w:rPr>
        <w:t xml:space="preserve">  </w:t>
      </w:r>
      <w:r>
        <w:rPr>
          <w:rFonts w:ascii="FangSong" w:hAnsi="FangSong" w:eastAsia="FangSong" w:cs="FangSong"/>
          <w:sz w:val="30"/>
          <w:szCs w:val="30"/>
          <w:spacing w:val="19"/>
        </w:rPr>
        <w:t>依法责令相关责任人员暂停6个月以上1年以下执业活动，直至由原发证部门吊销相关</w:t>
      </w:r>
      <w:r>
        <w:rPr>
          <w:rFonts w:ascii="FangSong" w:hAnsi="FangSong" w:eastAsia="FangSong" w:cs="FangSong"/>
          <w:sz w:val="30"/>
          <w:szCs w:val="30"/>
          <w:spacing w:val="18"/>
        </w:rPr>
        <w:t>人员执业证书，</w:t>
      </w:r>
      <w:r>
        <w:rPr>
          <w:rFonts w:ascii="FangSong" w:hAnsi="FangSong" w:eastAsia="FangSong" w:cs="FangSong"/>
          <w:sz w:val="30"/>
          <w:szCs w:val="30"/>
        </w:rPr>
        <w:t xml:space="preserve"> </w:t>
      </w:r>
      <w:r>
        <w:rPr>
          <w:rFonts w:ascii="FangSong" w:hAnsi="FangSong" w:eastAsia="FangSong" w:cs="FangSong"/>
          <w:sz w:val="30"/>
          <w:szCs w:val="30"/>
          <w:spacing w:val="17"/>
        </w:rPr>
        <w:t>对违法单位的法定代表人、主要负责人、直接负责的主管人员和</w:t>
      </w:r>
      <w:r>
        <w:rPr>
          <w:rFonts w:ascii="FangSong" w:hAnsi="FangSong" w:eastAsia="FangSong" w:cs="FangSong"/>
          <w:sz w:val="30"/>
          <w:szCs w:val="30"/>
          <w:spacing w:val="16"/>
        </w:rPr>
        <w:t>其他责任人员，没收违法行为发生期</w:t>
      </w:r>
      <w:r>
        <w:rPr>
          <w:rFonts w:ascii="FangSong" w:hAnsi="FangSong" w:eastAsia="FangSong" w:cs="FangSong"/>
          <w:sz w:val="30"/>
          <w:szCs w:val="30"/>
        </w:rPr>
        <w:t xml:space="preserve"> </w:t>
      </w:r>
      <w:r>
        <w:rPr>
          <w:rFonts w:ascii="FangSong" w:hAnsi="FangSong" w:eastAsia="FangSong" w:cs="FangSong"/>
          <w:sz w:val="30"/>
          <w:szCs w:val="30"/>
          <w:spacing w:val="23"/>
        </w:rPr>
        <w:t>间自本单位所获收入，并处所获收入30%以上3倍以下罚款，依法给予处分：</w:t>
      </w:r>
    </w:p>
    <w:p>
      <w:pPr>
        <w:ind w:right="121" w:firstLine="779"/>
        <w:spacing w:before="1" w:line="265" w:lineRule="auto"/>
        <w:rPr>
          <w:rFonts w:ascii="FangSong" w:hAnsi="FangSong" w:eastAsia="FangSong" w:cs="FangSong"/>
          <w:sz w:val="30"/>
          <w:szCs w:val="30"/>
        </w:rPr>
      </w:pPr>
      <w:r>
        <w:rPr>
          <w:rFonts w:ascii="FangSong" w:hAnsi="FangSong" w:eastAsia="FangSong" w:cs="FangSong"/>
          <w:sz w:val="30"/>
          <w:szCs w:val="30"/>
          <w:spacing w:val="20"/>
        </w:rPr>
        <w:t>(三)医疗器械使用单位未按照规定将大型医疗器械以及植入和介入类医疗器械的信息记载到病</w:t>
      </w:r>
      <w:r>
        <w:rPr>
          <w:rFonts w:ascii="FangSong" w:hAnsi="FangSong" w:eastAsia="FangSong" w:cs="FangSong"/>
          <w:sz w:val="30"/>
          <w:szCs w:val="30"/>
          <w:spacing w:val="7"/>
        </w:rPr>
        <w:t xml:space="preserve"> </w:t>
      </w:r>
      <w:r>
        <w:rPr>
          <w:rFonts w:ascii="FangSong" w:hAnsi="FangSong" w:eastAsia="FangSong" w:cs="FangSong"/>
          <w:sz w:val="30"/>
          <w:szCs w:val="30"/>
          <w:spacing w:val="7"/>
        </w:rPr>
        <w:t>历等相关记录中；</w:t>
      </w:r>
    </w:p>
    <w:p>
      <w:pPr>
        <w:ind w:left="6403"/>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889" w:type="dxa"/>
        <w:tblInd w:w="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734"/>
        <w:gridCol w:w="4711"/>
      </w:tblGrid>
      <w:tr>
        <w:trPr>
          <w:trHeight w:val="553" w:hRule="atLeast"/>
        </w:trPr>
        <w:tc>
          <w:tcPr>
            <w:tcW w:w="1444" w:type="dxa"/>
            <w:vAlign w:val="top"/>
          </w:tcPr>
          <w:p>
            <w:pPr>
              <w:pStyle w:val="TableText"/>
              <w:ind w:left="218"/>
              <w:spacing w:before="152" w:line="220" w:lineRule="auto"/>
              <w:rPr>
                <w:sz w:val="25"/>
                <w:szCs w:val="25"/>
              </w:rPr>
            </w:pPr>
            <w:r>
              <w:rPr>
                <w:sz w:val="25"/>
                <w:szCs w:val="25"/>
                <w:b/>
                <w:bCs/>
                <w:spacing w:val="-5"/>
              </w:rPr>
              <w:t>违法程度</w:t>
            </w:r>
          </w:p>
        </w:tc>
        <w:tc>
          <w:tcPr>
            <w:tcW w:w="7734" w:type="dxa"/>
            <w:vAlign w:val="top"/>
          </w:tcPr>
          <w:p>
            <w:pPr>
              <w:pStyle w:val="TableText"/>
              <w:ind w:left="3364"/>
              <w:spacing w:before="152" w:line="220" w:lineRule="auto"/>
              <w:rPr>
                <w:sz w:val="25"/>
                <w:szCs w:val="25"/>
              </w:rPr>
            </w:pPr>
            <w:r>
              <w:rPr>
                <w:sz w:val="25"/>
                <w:szCs w:val="25"/>
                <w:b/>
                <w:bCs/>
                <w:spacing w:val="-5"/>
              </w:rPr>
              <w:t>情节后果</w:t>
            </w:r>
          </w:p>
        </w:tc>
        <w:tc>
          <w:tcPr>
            <w:tcW w:w="4711" w:type="dxa"/>
            <w:vAlign w:val="top"/>
          </w:tcPr>
          <w:p>
            <w:pPr>
              <w:pStyle w:val="TableText"/>
              <w:ind w:left="1790"/>
              <w:spacing w:before="149" w:line="218" w:lineRule="auto"/>
              <w:rPr>
                <w:sz w:val="25"/>
                <w:szCs w:val="25"/>
              </w:rPr>
            </w:pPr>
            <w:r>
              <w:rPr>
                <w:sz w:val="25"/>
                <w:szCs w:val="25"/>
                <w:b/>
                <w:bCs/>
                <w:spacing w:val="-5"/>
              </w:rPr>
              <w:t>裁量幅度</w:t>
            </w:r>
          </w:p>
        </w:tc>
      </w:tr>
      <w:tr>
        <w:trPr>
          <w:trHeight w:val="1356" w:hRule="atLeast"/>
        </w:trPr>
        <w:tc>
          <w:tcPr>
            <w:tcW w:w="1444" w:type="dxa"/>
            <w:vAlign w:val="top"/>
          </w:tcPr>
          <w:p>
            <w:pPr>
              <w:spacing w:line="475" w:lineRule="auto"/>
              <w:rPr>
                <w:rFonts w:ascii="Arial"/>
                <w:sz w:val="21"/>
              </w:rPr>
            </w:pPr>
            <w:r/>
          </w:p>
          <w:p>
            <w:pPr>
              <w:pStyle w:val="TableText"/>
              <w:ind w:left="468"/>
              <w:spacing w:before="82" w:line="221" w:lineRule="auto"/>
              <w:rPr>
                <w:sz w:val="25"/>
                <w:szCs w:val="25"/>
              </w:rPr>
            </w:pPr>
            <w:r>
              <w:rPr>
                <w:sz w:val="25"/>
                <w:szCs w:val="25"/>
                <w:b/>
                <w:bCs/>
                <w:spacing w:val="-10"/>
              </w:rPr>
              <w:t>一般</w:t>
            </w:r>
          </w:p>
        </w:tc>
        <w:tc>
          <w:tcPr>
            <w:tcW w:w="7734" w:type="dxa"/>
            <w:vAlign w:val="top"/>
          </w:tcPr>
          <w:p>
            <w:pPr>
              <w:spacing w:line="308" w:lineRule="auto"/>
              <w:rPr>
                <w:rFonts w:ascii="Arial"/>
                <w:sz w:val="21"/>
              </w:rPr>
            </w:pPr>
            <w:r/>
          </w:p>
          <w:p>
            <w:pPr>
              <w:pStyle w:val="TableText"/>
              <w:ind w:left="90" w:hanging="79"/>
              <w:spacing w:before="81" w:line="320" w:lineRule="auto"/>
              <w:rPr>
                <w:sz w:val="25"/>
                <w:szCs w:val="25"/>
              </w:rPr>
            </w:pPr>
            <w:r>
              <w:rPr>
                <w:sz w:val="25"/>
                <w:szCs w:val="25"/>
                <w:spacing w:val="-1"/>
              </w:rPr>
              <w:t>医疗器械使用单位未按照规定将大型医疗器械以及植</w:t>
            </w:r>
            <w:r>
              <w:rPr>
                <w:sz w:val="25"/>
                <w:szCs w:val="25"/>
                <w:spacing w:val="-2"/>
              </w:rPr>
              <w:t>入和介入类医疗器</w:t>
            </w:r>
            <w:r>
              <w:rPr>
                <w:sz w:val="25"/>
                <w:szCs w:val="25"/>
              </w:rPr>
              <w:t xml:space="preserve"> </w:t>
            </w:r>
            <w:r>
              <w:rPr>
                <w:sz w:val="25"/>
                <w:szCs w:val="25"/>
                <w:spacing w:val="1"/>
              </w:rPr>
              <w:t>械的信息记载到病历等相关记录中</w:t>
            </w:r>
          </w:p>
        </w:tc>
        <w:tc>
          <w:tcPr>
            <w:tcW w:w="4711" w:type="dxa"/>
            <w:vAlign w:val="top"/>
          </w:tcPr>
          <w:p>
            <w:pPr>
              <w:spacing w:line="475" w:lineRule="auto"/>
              <w:rPr>
                <w:rFonts w:ascii="Arial"/>
                <w:sz w:val="21"/>
              </w:rPr>
            </w:pPr>
            <w:r/>
          </w:p>
          <w:p>
            <w:pPr>
              <w:pStyle w:val="TableText"/>
              <w:ind w:left="106"/>
              <w:spacing w:before="82" w:line="218" w:lineRule="auto"/>
              <w:rPr>
                <w:sz w:val="25"/>
                <w:szCs w:val="25"/>
              </w:rPr>
            </w:pPr>
            <w:r>
              <w:rPr>
                <w:sz w:val="25"/>
                <w:szCs w:val="25"/>
                <w:spacing w:val="4"/>
              </w:rPr>
              <w:t>给予警告</w:t>
            </w:r>
          </w:p>
        </w:tc>
      </w:tr>
      <w:tr>
        <w:trPr>
          <w:trHeight w:val="1770" w:hRule="atLeast"/>
        </w:trPr>
        <w:tc>
          <w:tcPr>
            <w:tcW w:w="1444" w:type="dxa"/>
            <w:vAlign w:val="top"/>
          </w:tcPr>
          <w:p>
            <w:pPr>
              <w:spacing w:line="340" w:lineRule="auto"/>
              <w:rPr>
                <w:rFonts w:ascii="Arial"/>
                <w:sz w:val="21"/>
              </w:rPr>
            </w:pPr>
            <w:r/>
          </w:p>
          <w:p>
            <w:pPr>
              <w:spacing w:line="340" w:lineRule="auto"/>
              <w:rPr>
                <w:rFonts w:ascii="Arial"/>
                <w:sz w:val="21"/>
              </w:rPr>
            </w:pPr>
            <w:r/>
          </w:p>
          <w:p>
            <w:pPr>
              <w:pStyle w:val="TableText"/>
              <w:ind w:left="468"/>
              <w:spacing w:before="81" w:line="221" w:lineRule="auto"/>
              <w:rPr>
                <w:sz w:val="25"/>
                <w:szCs w:val="25"/>
              </w:rPr>
            </w:pPr>
            <w:r>
              <w:rPr>
                <w:sz w:val="25"/>
                <w:szCs w:val="25"/>
                <w:b/>
                <w:bCs/>
                <w:spacing w:val="-6"/>
              </w:rPr>
              <w:t>较重</w:t>
            </w:r>
          </w:p>
        </w:tc>
        <w:tc>
          <w:tcPr>
            <w:tcW w:w="7734" w:type="dxa"/>
            <w:vAlign w:val="top"/>
          </w:tcPr>
          <w:p>
            <w:pPr>
              <w:spacing w:line="254" w:lineRule="auto"/>
              <w:rPr>
                <w:rFonts w:ascii="Arial"/>
                <w:sz w:val="21"/>
              </w:rPr>
            </w:pPr>
            <w:r/>
          </w:p>
          <w:p>
            <w:pPr>
              <w:spacing w:line="255" w:lineRule="auto"/>
              <w:rPr>
                <w:rFonts w:ascii="Arial"/>
                <w:sz w:val="21"/>
              </w:rPr>
            </w:pPr>
            <w:r/>
          </w:p>
          <w:p>
            <w:pPr>
              <w:pStyle w:val="TableText"/>
              <w:ind w:left="90" w:hanging="79"/>
              <w:spacing w:before="82" w:line="327" w:lineRule="auto"/>
              <w:rPr>
                <w:sz w:val="25"/>
                <w:szCs w:val="25"/>
              </w:rPr>
            </w:pPr>
            <w:r>
              <w:rPr>
                <w:sz w:val="25"/>
                <w:szCs w:val="25"/>
                <w:spacing w:val="-1"/>
              </w:rPr>
              <w:t>医疗器械使用单位未按照规定将大型医疗器械以及植</w:t>
            </w:r>
            <w:r>
              <w:rPr>
                <w:sz w:val="25"/>
                <w:szCs w:val="25"/>
                <w:spacing w:val="-2"/>
              </w:rPr>
              <w:t>入和介入类医疗器</w:t>
            </w:r>
            <w:r>
              <w:rPr>
                <w:sz w:val="25"/>
                <w:szCs w:val="25"/>
              </w:rPr>
              <w:t xml:space="preserve"> </w:t>
            </w:r>
            <w:r>
              <w:rPr>
                <w:sz w:val="25"/>
                <w:szCs w:val="25"/>
              </w:rPr>
              <w:t>械的信息记载到病历等相关记录中，经责令改正后拒不改正的</w:t>
            </w:r>
          </w:p>
        </w:tc>
        <w:tc>
          <w:tcPr>
            <w:tcW w:w="4711" w:type="dxa"/>
            <w:vAlign w:val="top"/>
          </w:tcPr>
          <w:p>
            <w:pPr>
              <w:spacing w:line="340" w:lineRule="auto"/>
              <w:rPr>
                <w:rFonts w:ascii="Arial"/>
                <w:sz w:val="21"/>
              </w:rPr>
            </w:pPr>
            <w:r/>
          </w:p>
          <w:p>
            <w:pPr>
              <w:spacing w:line="341" w:lineRule="auto"/>
              <w:rPr>
                <w:rFonts w:ascii="Arial"/>
                <w:sz w:val="21"/>
              </w:rPr>
            </w:pPr>
            <w:r/>
          </w:p>
          <w:p>
            <w:pPr>
              <w:pStyle w:val="TableText"/>
              <w:ind w:left="106"/>
              <w:spacing w:before="81" w:line="220" w:lineRule="auto"/>
              <w:rPr>
                <w:sz w:val="25"/>
                <w:szCs w:val="25"/>
              </w:rPr>
            </w:pPr>
            <w:r>
              <w:rPr>
                <w:sz w:val="25"/>
                <w:szCs w:val="25"/>
              </w:rPr>
              <w:t>处5万元以上10万元以下罚款</w:t>
            </w:r>
          </w:p>
        </w:tc>
      </w:tr>
    </w:tbl>
    <w:p>
      <w:pPr>
        <w:pStyle w:val="BodyText"/>
        <w:rPr/>
      </w:pPr>
      <w:r/>
    </w:p>
    <w:p>
      <w:pPr>
        <w:sectPr>
          <w:footerReference w:type="default" r:id="rId346"/>
          <w:pgSz w:w="16830" w:h="11900"/>
          <w:pgMar w:top="1011" w:right="1330" w:bottom="1108" w:left="1450" w:header="0" w:footer="775" w:gutter="0"/>
        </w:sectPr>
        <w:rPr/>
      </w:pPr>
    </w:p>
    <w:p>
      <w:pPr>
        <w:spacing w:before="13"/>
        <w:rPr/>
      </w:pPr>
      <w:r/>
    </w:p>
    <w:p>
      <w:pPr>
        <w:spacing w:before="13"/>
        <w:rPr/>
      </w:pPr>
      <w:r/>
    </w:p>
    <w:p>
      <w:pPr>
        <w:spacing w:before="13"/>
        <w:rPr/>
      </w:pPr>
      <w:r/>
    </w:p>
    <w:tbl>
      <w:tblPr>
        <w:tblStyle w:val="TableNormal"/>
        <w:tblW w:w="13913"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744"/>
        <w:gridCol w:w="4735"/>
      </w:tblGrid>
      <w:tr>
        <w:trPr>
          <w:trHeight w:val="2199" w:hRule="atLeast"/>
        </w:trPr>
        <w:tc>
          <w:tcPr>
            <w:tcW w:w="1434" w:type="dxa"/>
            <w:vAlign w:val="top"/>
          </w:tcPr>
          <w:p>
            <w:pPr>
              <w:spacing w:line="298" w:lineRule="auto"/>
              <w:rPr>
                <w:rFonts w:ascii="Arial"/>
                <w:sz w:val="21"/>
              </w:rPr>
            </w:pPr>
            <w:r/>
          </w:p>
          <w:p>
            <w:pPr>
              <w:spacing w:line="298" w:lineRule="auto"/>
              <w:rPr>
                <w:rFonts w:ascii="Arial"/>
                <w:sz w:val="21"/>
              </w:rPr>
            </w:pPr>
            <w:r/>
          </w:p>
          <w:p>
            <w:pPr>
              <w:spacing w:line="299" w:lineRule="auto"/>
              <w:rPr>
                <w:rFonts w:ascii="Arial"/>
                <w:sz w:val="21"/>
              </w:rPr>
            </w:pPr>
            <w:r/>
          </w:p>
          <w:p>
            <w:pPr>
              <w:pStyle w:val="TableText"/>
              <w:ind w:left="438"/>
              <w:spacing w:before="81" w:line="220" w:lineRule="auto"/>
              <w:rPr>
                <w:sz w:val="25"/>
                <w:szCs w:val="25"/>
              </w:rPr>
            </w:pPr>
            <w:bookmarkStart w:name="bookmark998" w:id="367"/>
            <w:bookmarkEnd w:id="367"/>
            <w:r>
              <w:rPr>
                <w:sz w:val="25"/>
                <w:szCs w:val="25"/>
                <w:b/>
                <w:bCs/>
                <w:spacing w:val="-6"/>
              </w:rPr>
              <w:t>严重</w:t>
            </w:r>
          </w:p>
        </w:tc>
        <w:tc>
          <w:tcPr>
            <w:tcW w:w="7744" w:type="dxa"/>
            <w:vAlign w:val="top"/>
          </w:tcPr>
          <w:p>
            <w:pPr>
              <w:spacing w:line="258" w:lineRule="auto"/>
              <w:rPr>
                <w:rFonts w:ascii="Arial"/>
                <w:sz w:val="21"/>
              </w:rPr>
            </w:pPr>
            <w:r/>
          </w:p>
          <w:p>
            <w:pPr>
              <w:spacing w:line="259" w:lineRule="auto"/>
              <w:rPr>
                <w:rFonts w:ascii="Arial"/>
                <w:sz w:val="21"/>
              </w:rPr>
            </w:pPr>
            <w:r/>
          </w:p>
          <w:p>
            <w:pPr>
              <w:pStyle w:val="TableText"/>
              <w:ind w:left="11"/>
              <w:spacing w:before="82" w:line="324" w:lineRule="auto"/>
              <w:jc w:val="both"/>
              <w:rPr>
                <w:sz w:val="25"/>
                <w:szCs w:val="25"/>
              </w:rPr>
            </w:pPr>
            <w:r>
              <w:rPr>
                <w:sz w:val="25"/>
                <w:szCs w:val="25"/>
                <w:spacing w:val="-1"/>
              </w:rPr>
              <w:t>医疗器械使用单位未按照规定将大型医疗器械以</w:t>
            </w:r>
            <w:r>
              <w:rPr>
                <w:sz w:val="25"/>
                <w:szCs w:val="25"/>
                <w:spacing w:val="-2"/>
              </w:rPr>
              <w:t>及植入和介入类医疗器</w:t>
            </w:r>
            <w:r>
              <w:rPr>
                <w:sz w:val="25"/>
                <w:szCs w:val="25"/>
              </w:rPr>
              <w:t xml:space="preserve"> </w:t>
            </w:r>
            <w:r>
              <w:rPr>
                <w:sz w:val="25"/>
                <w:szCs w:val="25"/>
                <w:spacing w:val="-1"/>
              </w:rPr>
              <w:t>械的信息记载到病历等相关记录中，对患者造成伤害或者造成其他严重</w:t>
            </w:r>
            <w:r>
              <w:rPr>
                <w:sz w:val="25"/>
                <w:szCs w:val="25"/>
                <w:spacing w:val="2"/>
              </w:rPr>
              <w:t xml:space="preserve"> </w:t>
            </w:r>
            <w:r>
              <w:rPr>
                <w:sz w:val="25"/>
                <w:szCs w:val="25"/>
                <w:spacing w:val="17"/>
              </w:rPr>
              <w:t>危害后果的</w:t>
            </w:r>
          </w:p>
        </w:tc>
        <w:tc>
          <w:tcPr>
            <w:tcW w:w="4735" w:type="dxa"/>
            <w:vAlign w:val="top"/>
          </w:tcPr>
          <w:p>
            <w:pPr>
              <w:pStyle w:val="TableText"/>
              <w:ind w:left="16" w:firstLine="89"/>
              <w:spacing w:before="144" w:line="302" w:lineRule="auto"/>
              <w:jc w:val="both"/>
              <w:rPr>
                <w:sz w:val="25"/>
                <w:szCs w:val="25"/>
              </w:rPr>
            </w:pPr>
            <w:r>
              <w:rPr>
                <w:sz w:val="25"/>
                <w:szCs w:val="25"/>
              </w:rPr>
              <w:t>处10万元以上30万元以下罚款，责令暂停</w:t>
            </w:r>
            <w:r>
              <w:rPr>
                <w:sz w:val="25"/>
                <w:szCs w:val="25"/>
                <w:spacing w:val="1"/>
              </w:rPr>
              <w:t xml:space="preserve">  </w:t>
            </w:r>
            <w:r>
              <w:rPr>
                <w:sz w:val="25"/>
                <w:szCs w:val="25"/>
                <w:spacing w:val="-3"/>
              </w:rPr>
              <w:t>相关医疗器械使用活动，直至由原发证部门</w:t>
            </w:r>
            <w:r>
              <w:rPr>
                <w:sz w:val="25"/>
                <w:szCs w:val="25"/>
                <w:spacing w:val="14"/>
              </w:rPr>
              <w:t xml:space="preserve"> </w:t>
            </w:r>
            <w:r>
              <w:rPr>
                <w:sz w:val="25"/>
                <w:szCs w:val="25"/>
                <w:spacing w:val="-3"/>
              </w:rPr>
              <w:t>吊销执业许可证，依法责令相关责任人员暂</w:t>
            </w:r>
            <w:r>
              <w:rPr>
                <w:sz w:val="25"/>
                <w:szCs w:val="25"/>
                <w:spacing w:val="5"/>
              </w:rPr>
              <w:t xml:space="preserve"> </w:t>
            </w:r>
            <w:r>
              <w:rPr>
                <w:sz w:val="25"/>
                <w:szCs w:val="25"/>
                <w:spacing w:val="5"/>
              </w:rPr>
              <w:t>停6个月以上1年以下执业活动，直至由原</w:t>
            </w:r>
            <w:r>
              <w:rPr>
                <w:sz w:val="25"/>
                <w:szCs w:val="25"/>
                <w:spacing w:val="2"/>
              </w:rPr>
              <w:t xml:space="preserve">  </w:t>
            </w:r>
            <w:r>
              <w:rPr>
                <w:sz w:val="25"/>
                <w:szCs w:val="25"/>
                <w:spacing w:val="8"/>
              </w:rPr>
              <w:t>发证部门吊销相关人员执业证书</w:t>
            </w:r>
          </w:p>
        </w:tc>
      </w:tr>
    </w:tbl>
    <w:p>
      <w:pPr>
        <w:pStyle w:val="BodyText"/>
        <w:spacing w:line="466" w:lineRule="auto"/>
        <w:rPr/>
      </w:pPr>
      <w:r/>
    </w:p>
    <w:p>
      <w:pPr>
        <w:ind w:left="659"/>
        <w:spacing w:before="98" w:line="220" w:lineRule="auto"/>
        <w:rPr>
          <w:rFonts w:ascii="FangSong" w:hAnsi="FangSong" w:eastAsia="FangSong" w:cs="FangSong"/>
          <w:sz w:val="30"/>
          <w:szCs w:val="30"/>
        </w:rPr>
      </w:pPr>
      <w:r>
        <w:rPr>
          <w:rFonts w:ascii="FangSong" w:hAnsi="FangSong" w:eastAsia="FangSong" w:cs="FangSong"/>
          <w:sz w:val="30"/>
          <w:szCs w:val="30"/>
          <w:b/>
          <w:bCs/>
          <w:spacing w:val="23"/>
        </w:rPr>
        <w:t>第二百九十六条医疗机构违反本法规定聘用人员的</w:t>
      </w:r>
    </w:p>
    <w:p>
      <w:pPr>
        <w:ind w:left="644"/>
        <w:spacing w:before="90" w:line="222" w:lineRule="auto"/>
        <w:rPr>
          <w:rFonts w:ascii="FangSong" w:hAnsi="FangSong" w:eastAsia="FangSong" w:cs="FangSong"/>
          <w:sz w:val="30"/>
          <w:szCs w:val="30"/>
        </w:rPr>
      </w:pPr>
      <w:r>
        <w:rPr>
          <w:rFonts w:ascii="FangSong" w:hAnsi="FangSong" w:eastAsia="FangSong" w:cs="FangSong"/>
          <w:sz w:val="30"/>
          <w:szCs w:val="30"/>
        </w:rPr>
        <w:t>法律依据：</w:t>
      </w:r>
    </w:p>
    <w:p>
      <w:pPr>
        <w:ind w:left="5" w:firstLine="609"/>
        <w:spacing w:before="82" w:line="273" w:lineRule="auto"/>
        <w:jc w:val="both"/>
        <w:rPr>
          <w:rFonts w:ascii="FangSong" w:hAnsi="FangSong" w:eastAsia="FangSong" w:cs="FangSong"/>
          <w:sz w:val="30"/>
          <w:szCs w:val="30"/>
        </w:rPr>
      </w:pPr>
      <w:r>
        <w:rPr>
          <w:rFonts w:ascii="FangSong" w:hAnsi="FangSong" w:eastAsia="FangSong" w:cs="FangSong"/>
          <w:sz w:val="30"/>
          <w:szCs w:val="30"/>
          <w:spacing w:val="17"/>
        </w:rPr>
        <w:t>《中华人民共和国药品管理法》第一百四十条</w:t>
      </w:r>
      <w:r>
        <w:rPr>
          <w:rFonts w:ascii="FangSong" w:hAnsi="FangSong" w:eastAsia="FangSong" w:cs="FangSong"/>
          <w:sz w:val="30"/>
          <w:szCs w:val="30"/>
          <w:spacing w:val="17"/>
        </w:rPr>
        <w:t xml:space="preserve">  </w:t>
      </w:r>
      <w:r>
        <w:rPr>
          <w:rFonts w:ascii="FangSong" w:hAnsi="FangSong" w:eastAsia="FangSong" w:cs="FangSong"/>
          <w:sz w:val="30"/>
          <w:szCs w:val="30"/>
          <w:spacing w:val="17"/>
        </w:rPr>
        <w:t>药品上市许可持有人</w:t>
      </w:r>
      <w:r>
        <w:rPr>
          <w:rFonts w:ascii="FangSong" w:hAnsi="FangSong" w:eastAsia="FangSong" w:cs="FangSong"/>
          <w:sz w:val="30"/>
          <w:szCs w:val="30"/>
          <w:spacing w:val="16"/>
        </w:rPr>
        <w:t>、药品生产企业、药品经营</w:t>
      </w:r>
      <w:r>
        <w:rPr>
          <w:rFonts w:ascii="FangSong" w:hAnsi="FangSong" w:eastAsia="FangSong" w:cs="FangSong"/>
          <w:sz w:val="30"/>
          <w:szCs w:val="30"/>
        </w:rPr>
        <w:t xml:space="preserve"> </w:t>
      </w:r>
      <w:r>
        <w:rPr>
          <w:rFonts w:ascii="FangSong" w:hAnsi="FangSong" w:eastAsia="FangSong" w:cs="FangSong"/>
          <w:sz w:val="30"/>
          <w:szCs w:val="30"/>
          <w:spacing w:val="19"/>
        </w:rPr>
        <w:t>企业或者医疗机构违反本法规定聘用人员的，由药品监督管</w:t>
      </w:r>
      <w:r>
        <w:rPr>
          <w:rFonts w:ascii="FangSong" w:hAnsi="FangSong" w:eastAsia="FangSong" w:cs="FangSong"/>
          <w:sz w:val="30"/>
          <w:szCs w:val="30"/>
          <w:spacing w:val="18"/>
        </w:rPr>
        <w:t>理部门或者卫生健康主管部门责令解聘，</w:t>
      </w:r>
      <w:r>
        <w:rPr>
          <w:rFonts w:ascii="FangSong" w:hAnsi="FangSong" w:eastAsia="FangSong" w:cs="FangSong"/>
          <w:sz w:val="30"/>
          <w:szCs w:val="30"/>
        </w:rPr>
        <w:t xml:space="preserve"> </w:t>
      </w:r>
      <w:r>
        <w:rPr>
          <w:rFonts w:ascii="FangSong" w:hAnsi="FangSong" w:eastAsia="FangSong" w:cs="FangSong"/>
          <w:sz w:val="30"/>
          <w:szCs w:val="30"/>
          <w:spacing w:val="14"/>
        </w:rPr>
        <w:t>处五万元以上二十万元以下的罚款。</w:t>
      </w:r>
    </w:p>
    <w:p>
      <w:pPr>
        <w:pStyle w:val="BodyText"/>
        <w:spacing w:line="320" w:lineRule="auto"/>
        <w:rPr/>
      </w:pPr>
      <w:r/>
    </w:p>
    <w:p>
      <w:pPr>
        <w:ind w:left="6408"/>
        <w:spacing w:before="91"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5" w:lineRule="auto"/>
        <w:rPr>
          <w:rFonts w:ascii="Arial"/>
          <w:sz w:val="2"/>
        </w:rPr>
      </w:pPr>
      <w:r>
        <w:rPr>
          <w:rFonts w:ascii="Arial"/>
          <w:sz w:val="2"/>
        </w:rPr>
      </w:r>
    </w:p>
    <w:tbl>
      <w:tblPr>
        <w:tblStyle w:val="TableNormal"/>
        <w:tblW w:w="139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474"/>
        <w:gridCol w:w="5011"/>
      </w:tblGrid>
      <w:tr>
        <w:trPr>
          <w:trHeight w:val="552" w:hRule="atLeast"/>
        </w:trPr>
        <w:tc>
          <w:tcPr>
            <w:tcW w:w="1424" w:type="dxa"/>
            <w:vAlign w:val="top"/>
          </w:tcPr>
          <w:p>
            <w:pPr>
              <w:pStyle w:val="TableText"/>
              <w:ind w:left="208"/>
              <w:spacing w:before="152" w:line="220" w:lineRule="auto"/>
              <w:rPr>
                <w:sz w:val="25"/>
                <w:szCs w:val="25"/>
              </w:rPr>
            </w:pPr>
            <w:r>
              <w:rPr>
                <w:sz w:val="25"/>
                <w:szCs w:val="25"/>
                <w:b/>
                <w:bCs/>
                <w:spacing w:val="-5"/>
              </w:rPr>
              <w:t>违法程度</w:t>
            </w:r>
          </w:p>
        </w:tc>
        <w:tc>
          <w:tcPr>
            <w:tcW w:w="7474" w:type="dxa"/>
            <w:vAlign w:val="top"/>
          </w:tcPr>
          <w:p>
            <w:pPr>
              <w:pStyle w:val="TableText"/>
              <w:ind w:left="3194"/>
              <w:spacing w:before="152" w:line="220" w:lineRule="auto"/>
              <w:rPr>
                <w:sz w:val="25"/>
                <w:szCs w:val="25"/>
              </w:rPr>
            </w:pPr>
            <w:r>
              <w:rPr>
                <w:sz w:val="25"/>
                <w:szCs w:val="25"/>
                <w:b/>
                <w:bCs/>
                <w:spacing w:val="-5"/>
              </w:rPr>
              <w:t>情节后果</w:t>
            </w:r>
          </w:p>
        </w:tc>
        <w:tc>
          <w:tcPr>
            <w:tcW w:w="5011" w:type="dxa"/>
            <w:vAlign w:val="top"/>
          </w:tcPr>
          <w:p>
            <w:pPr>
              <w:pStyle w:val="TableText"/>
              <w:ind w:left="1940"/>
              <w:spacing w:before="149" w:line="218" w:lineRule="auto"/>
              <w:rPr>
                <w:sz w:val="25"/>
                <w:szCs w:val="25"/>
              </w:rPr>
            </w:pPr>
            <w:r>
              <w:rPr>
                <w:sz w:val="25"/>
                <w:szCs w:val="25"/>
                <w:b/>
                <w:bCs/>
                <w:spacing w:val="-5"/>
              </w:rPr>
              <w:t>裁量幅度</w:t>
            </w:r>
          </w:p>
        </w:tc>
      </w:tr>
      <w:tr>
        <w:trPr>
          <w:trHeight w:val="498" w:hRule="atLeast"/>
        </w:trPr>
        <w:tc>
          <w:tcPr>
            <w:tcW w:w="1424" w:type="dxa"/>
            <w:vAlign w:val="top"/>
          </w:tcPr>
          <w:p>
            <w:pPr>
              <w:pStyle w:val="TableText"/>
              <w:ind w:left="458"/>
              <w:spacing w:before="131" w:line="221" w:lineRule="auto"/>
              <w:rPr>
                <w:sz w:val="25"/>
                <w:szCs w:val="25"/>
              </w:rPr>
            </w:pPr>
            <w:r>
              <w:rPr>
                <w:sz w:val="25"/>
                <w:szCs w:val="25"/>
                <w:b/>
                <w:bCs/>
                <w:spacing w:val="-10"/>
              </w:rPr>
              <w:t>一般</w:t>
            </w:r>
          </w:p>
        </w:tc>
        <w:tc>
          <w:tcPr>
            <w:tcW w:w="7474" w:type="dxa"/>
            <w:vAlign w:val="top"/>
          </w:tcPr>
          <w:p>
            <w:pPr>
              <w:pStyle w:val="TableText"/>
              <w:ind w:left="140"/>
              <w:spacing w:before="131" w:line="219" w:lineRule="auto"/>
              <w:rPr>
                <w:sz w:val="25"/>
                <w:szCs w:val="25"/>
              </w:rPr>
            </w:pPr>
            <w:r>
              <w:rPr>
                <w:sz w:val="25"/>
                <w:szCs w:val="25"/>
              </w:rPr>
              <w:t>医疗机构违反本法规定聘用人员2名以内的</w:t>
            </w:r>
          </w:p>
        </w:tc>
        <w:tc>
          <w:tcPr>
            <w:tcW w:w="5011" w:type="dxa"/>
            <w:vAlign w:val="top"/>
          </w:tcPr>
          <w:p>
            <w:pPr>
              <w:pStyle w:val="TableText"/>
              <w:ind w:left="126"/>
              <w:spacing w:before="131" w:line="219" w:lineRule="auto"/>
              <w:rPr>
                <w:sz w:val="25"/>
                <w:szCs w:val="25"/>
              </w:rPr>
            </w:pPr>
            <w:r>
              <w:rPr>
                <w:sz w:val="25"/>
                <w:szCs w:val="25"/>
              </w:rPr>
              <w:t>责令解聘，处五万元的罚款</w:t>
            </w:r>
          </w:p>
        </w:tc>
      </w:tr>
      <w:tr>
        <w:trPr>
          <w:trHeight w:val="497" w:hRule="atLeast"/>
        </w:trPr>
        <w:tc>
          <w:tcPr>
            <w:tcW w:w="1424" w:type="dxa"/>
            <w:vAlign w:val="top"/>
          </w:tcPr>
          <w:p>
            <w:pPr>
              <w:pStyle w:val="TableText"/>
              <w:ind w:left="458"/>
              <w:spacing w:before="135" w:line="221" w:lineRule="auto"/>
              <w:rPr>
                <w:sz w:val="25"/>
                <w:szCs w:val="25"/>
              </w:rPr>
            </w:pPr>
            <w:r>
              <w:rPr>
                <w:sz w:val="25"/>
                <w:szCs w:val="25"/>
                <w:b/>
                <w:bCs/>
                <w:spacing w:val="-6"/>
              </w:rPr>
              <w:t>较重</w:t>
            </w:r>
          </w:p>
        </w:tc>
        <w:tc>
          <w:tcPr>
            <w:tcW w:w="7474" w:type="dxa"/>
            <w:vAlign w:val="top"/>
          </w:tcPr>
          <w:p>
            <w:pPr>
              <w:pStyle w:val="TableText"/>
              <w:ind w:left="140"/>
              <w:spacing w:before="133" w:line="219" w:lineRule="auto"/>
              <w:rPr>
                <w:sz w:val="25"/>
                <w:szCs w:val="25"/>
              </w:rPr>
            </w:pPr>
            <w:r>
              <w:rPr>
                <w:sz w:val="25"/>
                <w:szCs w:val="25"/>
              </w:rPr>
              <w:t>医疗机构违反本法规定聘用人员2名以上5名以内的</w:t>
            </w:r>
          </w:p>
        </w:tc>
        <w:tc>
          <w:tcPr>
            <w:tcW w:w="5011" w:type="dxa"/>
            <w:vAlign w:val="top"/>
          </w:tcPr>
          <w:p>
            <w:pPr>
              <w:pStyle w:val="TableText"/>
              <w:ind w:left="126"/>
              <w:spacing w:before="133" w:line="219" w:lineRule="auto"/>
              <w:rPr>
                <w:sz w:val="25"/>
                <w:szCs w:val="25"/>
              </w:rPr>
            </w:pPr>
            <w:r>
              <w:rPr>
                <w:sz w:val="25"/>
                <w:szCs w:val="25"/>
              </w:rPr>
              <w:t>责令解聘，处五万元以上十万元以下的罚款</w:t>
            </w:r>
          </w:p>
        </w:tc>
      </w:tr>
      <w:tr>
        <w:trPr>
          <w:trHeight w:val="463" w:hRule="atLeast"/>
        </w:trPr>
        <w:tc>
          <w:tcPr>
            <w:tcW w:w="1424" w:type="dxa"/>
            <w:vAlign w:val="top"/>
          </w:tcPr>
          <w:p>
            <w:pPr>
              <w:pStyle w:val="TableText"/>
              <w:ind w:left="458"/>
              <w:spacing w:before="115" w:line="220" w:lineRule="auto"/>
              <w:rPr>
                <w:sz w:val="25"/>
                <w:szCs w:val="25"/>
              </w:rPr>
            </w:pPr>
            <w:r>
              <w:rPr>
                <w:sz w:val="25"/>
                <w:szCs w:val="25"/>
                <w:b/>
                <w:bCs/>
                <w:spacing w:val="-6"/>
              </w:rPr>
              <w:t>严重</w:t>
            </w:r>
          </w:p>
        </w:tc>
        <w:tc>
          <w:tcPr>
            <w:tcW w:w="7474" w:type="dxa"/>
            <w:vAlign w:val="top"/>
          </w:tcPr>
          <w:p>
            <w:pPr>
              <w:pStyle w:val="TableText"/>
              <w:ind w:left="140"/>
              <w:spacing w:before="157" w:line="218" w:lineRule="auto"/>
              <w:rPr>
                <w:sz w:val="25"/>
                <w:szCs w:val="25"/>
              </w:rPr>
            </w:pPr>
            <w:r>
              <w:rPr>
                <w:sz w:val="25"/>
                <w:szCs w:val="25"/>
              </w:rPr>
              <w:t>医疗机构违反本法规定聘用人员5名以上的</w:t>
            </w:r>
          </w:p>
        </w:tc>
        <w:tc>
          <w:tcPr>
            <w:tcW w:w="5011" w:type="dxa"/>
            <w:vAlign w:val="top"/>
          </w:tcPr>
          <w:p>
            <w:pPr>
              <w:pStyle w:val="TableText"/>
              <w:spacing w:before="167" w:line="211" w:lineRule="auto"/>
              <w:jc w:val="right"/>
              <w:rPr>
                <w:sz w:val="25"/>
                <w:szCs w:val="25"/>
              </w:rPr>
            </w:pPr>
            <w:r>
              <w:rPr>
                <w:sz w:val="25"/>
                <w:szCs w:val="25"/>
                <w:spacing w:val="-7"/>
              </w:rPr>
              <w:t>责令解聘，处十万元以上二十万元以下的罚款</w:t>
            </w:r>
          </w:p>
        </w:tc>
      </w:tr>
    </w:tbl>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6344"/>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—378—</w:t>
      </w:r>
    </w:p>
    <w:p>
      <w:pPr>
        <w:spacing w:line="188" w:lineRule="auto"/>
        <w:sectPr>
          <w:footerReference w:type="default" r:id="rId24"/>
          <w:pgSz w:w="16830" w:h="11900"/>
          <w:pgMar w:top="1011" w:right="1360" w:bottom="400" w:left="1445" w:header="0" w:footer="0" w:gutter="0"/>
        </w:sectPr>
        <w:rPr>
          <w:rFonts w:ascii="Times New Roman" w:hAnsi="Times New Roman" w:eastAsia="Times New Roman" w:cs="Times New Roman"/>
          <w:sz w:val="37"/>
          <w:szCs w:val="37"/>
        </w:rPr>
      </w:pPr>
    </w:p>
    <w:p>
      <w:pPr>
        <w:pStyle w:val="BodyText"/>
        <w:spacing w:line="262" w:lineRule="auto"/>
        <w:rPr/>
      </w:pPr>
      <w:r/>
    </w:p>
    <w:p>
      <w:pPr>
        <w:pStyle w:val="BodyText"/>
        <w:spacing w:line="263" w:lineRule="auto"/>
        <w:rPr/>
      </w:pPr>
      <w:r/>
    </w:p>
    <w:p>
      <w:pPr>
        <w:pStyle w:val="BodyText"/>
        <w:spacing w:line="263" w:lineRule="auto"/>
        <w:rPr/>
      </w:pPr>
      <w:r/>
    </w:p>
    <w:p>
      <w:pPr>
        <w:ind w:left="4" w:right="26" w:firstLine="649"/>
        <w:spacing w:before="97" w:line="275" w:lineRule="auto"/>
        <w:rPr>
          <w:rFonts w:ascii="KaiTi" w:hAnsi="KaiTi" w:eastAsia="KaiTi" w:cs="KaiTi"/>
          <w:sz w:val="30"/>
          <w:szCs w:val="30"/>
        </w:rPr>
      </w:pPr>
      <w:bookmarkStart w:name="bookmark999" w:id="368"/>
      <w:bookmarkEnd w:id="368"/>
      <w:r>
        <w:rPr>
          <w:rFonts w:ascii="KaiTi" w:hAnsi="KaiTi" w:eastAsia="KaiTi" w:cs="KaiTi"/>
          <w:sz w:val="30"/>
          <w:szCs w:val="30"/>
          <w:b/>
          <w:bCs/>
          <w:spacing w:val="21"/>
        </w:rPr>
        <w:t>第二百九十七条医疗机构的负责人、药品采购人医师、药师等有关人员</w:t>
      </w:r>
      <w:r>
        <w:rPr>
          <w:rFonts w:ascii="KaiTi" w:hAnsi="KaiTi" w:eastAsia="KaiTi" w:cs="KaiTi"/>
          <w:sz w:val="30"/>
          <w:szCs w:val="30"/>
          <w:b/>
          <w:bCs/>
          <w:spacing w:val="20"/>
        </w:rPr>
        <w:t>收受药品上市许可持有</w:t>
      </w:r>
      <w:r>
        <w:rPr>
          <w:rFonts w:ascii="KaiTi" w:hAnsi="KaiTi" w:eastAsia="KaiTi" w:cs="KaiTi"/>
          <w:sz w:val="30"/>
          <w:szCs w:val="30"/>
        </w:rPr>
        <w:t xml:space="preserve"> </w:t>
      </w:r>
      <w:r>
        <w:rPr>
          <w:rFonts w:ascii="KaiTi" w:hAnsi="KaiTi" w:eastAsia="KaiTi" w:cs="KaiTi"/>
          <w:sz w:val="30"/>
          <w:szCs w:val="30"/>
          <w:b/>
          <w:bCs/>
          <w:spacing w:val="18"/>
        </w:rPr>
        <w:t>人、药品生产企业、药品经营企业或者代理人给予的财物</w:t>
      </w:r>
      <w:r>
        <w:rPr>
          <w:rFonts w:ascii="KaiTi" w:hAnsi="KaiTi" w:eastAsia="KaiTi" w:cs="KaiTi"/>
          <w:sz w:val="30"/>
          <w:szCs w:val="30"/>
          <w:b/>
          <w:bCs/>
          <w:spacing w:val="17"/>
        </w:rPr>
        <w:t>或者其他不正当利益的</w:t>
      </w:r>
    </w:p>
    <w:p>
      <w:pPr>
        <w:ind w:left="649"/>
        <w:spacing w:before="4"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firstLine="640"/>
        <w:spacing w:before="64" w:line="266" w:lineRule="auto"/>
        <w:jc w:val="both"/>
        <w:rPr>
          <w:rFonts w:ascii="FangSong" w:hAnsi="FangSong" w:eastAsia="FangSong" w:cs="FangSong"/>
          <w:sz w:val="30"/>
          <w:szCs w:val="30"/>
        </w:rPr>
      </w:pPr>
      <w:r>
        <w:rPr>
          <w:rFonts w:ascii="FangSong" w:hAnsi="FangSong" w:eastAsia="FangSong" w:cs="FangSong"/>
          <w:sz w:val="30"/>
          <w:szCs w:val="30"/>
          <w:spacing w:val="17"/>
        </w:rPr>
        <w:t>《中华人民共和国药品管理法》第一百四十二条</w:t>
      </w:r>
      <w:r>
        <w:rPr>
          <w:rFonts w:ascii="FangSong" w:hAnsi="FangSong" w:eastAsia="FangSong" w:cs="FangSong"/>
          <w:sz w:val="30"/>
          <w:szCs w:val="30"/>
          <w:spacing w:val="16"/>
        </w:rPr>
        <w:t>第二款</w:t>
      </w:r>
      <w:r>
        <w:rPr>
          <w:rFonts w:ascii="FangSong" w:hAnsi="FangSong" w:eastAsia="FangSong" w:cs="FangSong"/>
          <w:sz w:val="30"/>
          <w:szCs w:val="30"/>
          <w:spacing w:val="16"/>
        </w:rPr>
        <w:t xml:space="preserve">  </w:t>
      </w:r>
      <w:r>
        <w:rPr>
          <w:rFonts w:ascii="FangSong" w:hAnsi="FangSong" w:eastAsia="FangSong" w:cs="FangSong"/>
          <w:sz w:val="30"/>
          <w:szCs w:val="30"/>
          <w:spacing w:val="16"/>
        </w:rPr>
        <w:t>医疗机构的负责人、药品采购人员、医</w:t>
      </w:r>
      <w:r>
        <w:rPr>
          <w:rFonts w:ascii="FangSong" w:hAnsi="FangSong" w:eastAsia="FangSong" w:cs="FangSong"/>
          <w:sz w:val="30"/>
          <w:szCs w:val="30"/>
        </w:rPr>
        <w:t xml:space="preserve"> </w:t>
      </w:r>
      <w:r>
        <w:rPr>
          <w:rFonts w:ascii="FangSong" w:hAnsi="FangSong" w:eastAsia="FangSong" w:cs="FangSong"/>
          <w:sz w:val="30"/>
          <w:szCs w:val="30"/>
          <w:spacing w:val="16"/>
        </w:rPr>
        <w:t>师、药师等有关人员收受药品上市许可持有人、药品生产企业、药品经营企业或者代理人给予的财物</w:t>
      </w:r>
      <w:r>
        <w:rPr>
          <w:rFonts w:ascii="FangSong" w:hAnsi="FangSong" w:eastAsia="FangSong" w:cs="FangSong"/>
          <w:sz w:val="30"/>
          <w:szCs w:val="30"/>
          <w:spacing w:val="6"/>
        </w:rPr>
        <w:t xml:space="preserve"> </w:t>
      </w:r>
      <w:r>
        <w:rPr>
          <w:rFonts w:ascii="FangSong" w:hAnsi="FangSong" w:eastAsia="FangSong" w:cs="FangSong"/>
          <w:sz w:val="30"/>
          <w:szCs w:val="30"/>
          <w:spacing w:val="17"/>
        </w:rPr>
        <w:t>或者其他不正当利益的，由卫生健康主管部门或者本单位给予处分，没收违法所得；情节严重的，还</w:t>
      </w:r>
      <w:r>
        <w:rPr>
          <w:rFonts w:ascii="FangSong" w:hAnsi="FangSong" w:eastAsia="FangSong" w:cs="FangSong"/>
          <w:sz w:val="30"/>
          <w:szCs w:val="30"/>
          <w:spacing w:val="13"/>
        </w:rPr>
        <w:t xml:space="preserve"> </w:t>
      </w:r>
      <w:r>
        <w:rPr>
          <w:rFonts w:ascii="FangSong" w:hAnsi="FangSong" w:eastAsia="FangSong" w:cs="FangSong"/>
          <w:sz w:val="30"/>
          <w:szCs w:val="30"/>
          <w:spacing w:val="11"/>
        </w:rPr>
        <w:t>应当吊销其执业证书。</w:t>
      </w:r>
    </w:p>
    <w:p>
      <w:pPr>
        <w:ind w:left="6424"/>
        <w:spacing w:before="14"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99" w:type="dxa"/>
        <w:tblInd w:w="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8613"/>
        <w:gridCol w:w="3862"/>
      </w:tblGrid>
      <w:tr>
        <w:trPr>
          <w:trHeight w:val="553" w:hRule="atLeast"/>
        </w:trPr>
        <w:tc>
          <w:tcPr>
            <w:tcW w:w="1424" w:type="dxa"/>
            <w:vAlign w:val="top"/>
          </w:tcPr>
          <w:p>
            <w:pPr>
              <w:pStyle w:val="TableText"/>
              <w:ind w:left="208"/>
              <w:spacing w:before="152" w:line="220" w:lineRule="auto"/>
              <w:rPr>
                <w:sz w:val="25"/>
                <w:szCs w:val="25"/>
              </w:rPr>
            </w:pPr>
            <w:r>
              <w:rPr>
                <w:sz w:val="25"/>
                <w:szCs w:val="25"/>
                <w:b/>
                <w:bCs/>
                <w:spacing w:val="-5"/>
              </w:rPr>
              <w:t>违法程度</w:t>
            </w:r>
          </w:p>
        </w:tc>
        <w:tc>
          <w:tcPr>
            <w:tcW w:w="8613" w:type="dxa"/>
            <w:vAlign w:val="top"/>
          </w:tcPr>
          <w:p>
            <w:pPr>
              <w:pStyle w:val="TableText"/>
              <w:ind w:left="3804"/>
              <w:spacing w:before="152" w:line="220" w:lineRule="auto"/>
              <w:rPr>
                <w:sz w:val="25"/>
                <w:szCs w:val="25"/>
              </w:rPr>
            </w:pPr>
            <w:r>
              <w:rPr>
                <w:sz w:val="25"/>
                <w:szCs w:val="25"/>
                <w:b/>
                <w:bCs/>
                <w:spacing w:val="-5"/>
              </w:rPr>
              <w:t>情节后果</w:t>
            </w:r>
          </w:p>
        </w:tc>
        <w:tc>
          <w:tcPr>
            <w:tcW w:w="3862" w:type="dxa"/>
            <w:vAlign w:val="top"/>
          </w:tcPr>
          <w:p>
            <w:pPr>
              <w:pStyle w:val="TableText"/>
              <w:ind w:left="1371"/>
              <w:spacing w:before="149" w:line="218" w:lineRule="auto"/>
              <w:rPr>
                <w:sz w:val="25"/>
                <w:szCs w:val="25"/>
              </w:rPr>
            </w:pPr>
            <w:r>
              <w:rPr>
                <w:sz w:val="25"/>
                <w:szCs w:val="25"/>
                <w:b/>
                <w:bCs/>
                <w:spacing w:val="-5"/>
              </w:rPr>
              <w:t>裁量幅度</w:t>
            </w:r>
          </w:p>
        </w:tc>
      </w:tr>
      <w:tr>
        <w:trPr>
          <w:trHeight w:val="886" w:hRule="atLeast"/>
        </w:trPr>
        <w:tc>
          <w:tcPr>
            <w:tcW w:w="1424" w:type="dxa"/>
            <w:vAlign w:val="top"/>
          </w:tcPr>
          <w:p>
            <w:pPr>
              <w:pStyle w:val="TableText"/>
              <w:ind w:left="458"/>
              <w:spacing w:before="320" w:line="221" w:lineRule="auto"/>
              <w:rPr>
                <w:sz w:val="25"/>
                <w:szCs w:val="25"/>
              </w:rPr>
            </w:pPr>
            <w:r>
              <w:rPr>
                <w:sz w:val="25"/>
                <w:szCs w:val="25"/>
                <w:b/>
                <w:bCs/>
                <w:spacing w:val="-10"/>
              </w:rPr>
              <w:t>一般</w:t>
            </w:r>
          </w:p>
        </w:tc>
        <w:tc>
          <w:tcPr>
            <w:tcW w:w="8613" w:type="dxa"/>
            <w:vAlign w:val="top"/>
          </w:tcPr>
          <w:p>
            <w:pPr>
              <w:pStyle w:val="TableText"/>
              <w:ind w:left="109" w:hanging="99"/>
              <w:spacing w:before="150" w:line="268" w:lineRule="auto"/>
              <w:rPr>
                <w:sz w:val="25"/>
                <w:szCs w:val="25"/>
              </w:rPr>
            </w:pPr>
            <w:r>
              <w:rPr>
                <w:sz w:val="25"/>
                <w:szCs w:val="25"/>
                <w:spacing w:val="-5"/>
              </w:rPr>
              <w:t>医疗机构的负责人、药品采购人员、医师等有关人员收受药品生产企业、药品经</w:t>
            </w:r>
            <w:r>
              <w:rPr>
                <w:sz w:val="25"/>
                <w:szCs w:val="25"/>
                <w:spacing w:val="16"/>
              </w:rPr>
              <w:t xml:space="preserve"> </w:t>
            </w:r>
            <w:r>
              <w:rPr>
                <w:sz w:val="25"/>
                <w:szCs w:val="25"/>
              </w:rPr>
              <w:t>营企业或者其代理人给予的财物或者其他利益的</w:t>
            </w:r>
          </w:p>
        </w:tc>
        <w:tc>
          <w:tcPr>
            <w:tcW w:w="3862" w:type="dxa"/>
            <w:vAlign w:val="top"/>
          </w:tcPr>
          <w:p>
            <w:pPr>
              <w:spacing w:line="299" w:lineRule="auto"/>
              <w:rPr>
                <w:rFonts w:ascii="Arial"/>
                <w:sz w:val="21"/>
              </w:rPr>
            </w:pPr>
            <w:r/>
          </w:p>
          <w:p>
            <w:pPr>
              <w:pStyle w:val="TableText"/>
              <w:ind w:left="127"/>
              <w:spacing w:before="81" w:line="219" w:lineRule="auto"/>
              <w:rPr>
                <w:sz w:val="25"/>
                <w:szCs w:val="25"/>
              </w:rPr>
            </w:pPr>
            <w:r>
              <w:rPr>
                <w:sz w:val="25"/>
                <w:szCs w:val="25"/>
                <w:spacing w:val="1"/>
              </w:rPr>
              <w:t>没收违法所得</w:t>
            </w:r>
          </w:p>
        </w:tc>
      </w:tr>
      <w:tr>
        <w:trPr>
          <w:trHeight w:val="881" w:hRule="atLeast"/>
        </w:trPr>
        <w:tc>
          <w:tcPr>
            <w:tcW w:w="1424" w:type="dxa"/>
            <w:vAlign w:val="top"/>
          </w:tcPr>
          <w:p>
            <w:pPr>
              <w:spacing w:line="243" w:lineRule="auto"/>
              <w:rPr>
                <w:rFonts w:ascii="Arial"/>
                <w:sz w:val="21"/>
              </w:rPr>
            </w:pPr>
            <w:r/>
          </w:p>
          <w:p>
            <w:pPr>
              <w:pStyle w:val="TableText"/>
              <w:ind w:left="458"/>
              <w:spacing w:before="81" w:line="221" w:lineRule="auto"/>
              <w:rPr>
                <w:sz w:val="25"/>
                <w:szCs w:val="25"/>
              </w:rPr>
            </w:pPr>
            <w:r>
              <w:rPr>
                <w:sz w:val="25"/>
                <w:szCs w:val="25"/>
                <w:b/>
                <w:bCs/>
                <w:spacing w:val="-6"/>
              </w:rPr>
              <w:t>较重</w:t>
            </w:r>
          </w:p>
        </w:tc>
        <w:tc>
          <w:tcPr>
            <w:tcW w:w="8613" w:type="dxa"/>
            <w:vAlign w:val="top"/>
          </w:tcPr>
          <w:p>
            <w:pPr>
              <w:pStyle w:val="TableText"/>
              <w:ind w:left="49" w:hanging="39"/>
              <w:spacing w:before="145" w:line="268" w:lineRule="auto"/>
              <w:rPr>
                <w:sz w:val="25"/>
                <w:szCs w:val="25"/>
              </w:rPr>
            </w:pPr>
            <w:r>
              <w:rPr>
                <w:sz w:val="25"/>
                <w:szCs w:val="25"/>
                <w:spacing w:val="-5"/>
              </w:rPr>
              <w:t>执业医师收受药品生产企业、药品经营企业或者其代理人给予的财物或者其他利</w:t>
            </w:r>
            <w:r>
              <w:rPr>
                <w:sz w:val="25"/>
                <w:szCs w:val="25"/>
                <w:spacing w:val="16"/>
              </w:rPr>
              <w:t xml:space="preserve"> </w:t>
            </w:r>
            <w:r>
              <w:rPr>
                <w:sz w:val="25"/>
                <w:szCs w:val="25"/>
              </w:rPr>
              <w:t>益的，数额较大的；曾经因此受过行政处罚的；或者造成其他严重危害后果的</w:t>
            </w:r>
          </w:p>
        </w:tc>
        <w:tc>
          <w:tcPr>
            <w:tcW w:w="3862" w:type="dxa"/>
            <w:vAlign w:val="top"/>
          </w:tcPr>
          <w:p>
            <w:pPr>
              <w:spacing w:line="242" w:lineRule="auto"/>
              <w:rPr>
                <w:rFonts w:ascii="Arial"/>
                <w:sz w:val="21"/>
              </w:rPr>
            </w:pPr>
            <w:r/>
          </w:p>
          <w:p>
            <w:pPr>
              <w:pStyle w:val="TableText"/>
              <w:ind w:left="127"/>
              <w:spacing w:before="81" w:line="219" w:lineRule="auto"/>
              <w:rPr>
                <w:sz w:val="25"/>
                <w:szCs w:val="25"/>
              </w:rPr>
            </w:pPr>
            <w:r>
              <w:rPr>
                <w:sz w:val="25"/>
                <w:szCs w:val="25"/>
                <w:spacing w:val="1"/>
              </w:rPr>
              <w:t>没收违法所得，吊销其执业证书</w:t>
            </w:r>
          </w:p>
        </w:tc>
      </w:tr>
    </w:tbl>
    <w:p>
      <w:pPr>
        <w:ind w:left="814"/>
        <w:spacing w:before="105" w:line="223" w:lineRule="auto"/>
        <w:rPr>
          <w:rFonts w:ascii="KaiTi" w:hAnsi="KaiTi" w:eastAsia="KaiTi" w:cs="KaiTi"/>
          <w:sz w:val="30"/>
          <w:szCs w:val="30"/>
        </w:rPr>
      </w:pPr>
      <w:r>
        <w:rPr>
          <w:rFonts w:ascii="KaiTi" w:hAnsi="KaiTi" w:eastAsia="KaiTi" w:cs="KaiTi"/>
          <w:sz w:val="30"/>
          <w:szCs w:val="30"/>
          <w:b/>
          <w:bCs/>
          <w:spacing w:val="24"/>
        </w:rPr>
        <w:t>(二十三)《医疗器械临床使用管理办法》</w:t>
      </w:r>
    </w:p>
    <w:p>
      <w:pPr>
        <w:ind w:left="4" w:right="9" w:firstLine="649"/>
        <w:spacing w:before="330" w:line="258" w:lineRule="auto"/>
        <w:rPr>
          <w:rFonts w:ascii="FangSong" w:hAnsi="FangSong" w:eastAsia="FangSong" w:cs="FangSong"/>
          <w:sz w:val="30"/>
          <w:szCs w:val="30"/>
        </w:rPr>
      </w:pPr>
      <w:r>
        <w:rPr>
          <w:rFonts w:ascii="FangSong" w:hAnsi="FangSong" w:eastAsia="FangSong" w:cs="FangSong"/>
          <w:sz w:val="30"/>
          <w:szCs w:val="30"/>
          <w:b/>
          <w:bCs/>
          <w:spacing w:val="21"/>
        </w:rPr>
        <w:t>第二百九十八条医疗机构违反本办法规定，有下列情形之一的，由县级以上地方卫生健</w:t>
      </w:r>
      <w:r>
        <w:rPr>
          <w:rFonts w:ascii="FangSong" w:hAnsi="FangSong" w:eastAsia="FangSong" w:cs="FangSong"/>
          <w:sz w:val="30"/>
          <w:szCs w:val="30"/>
          <w:spacing w:val="21"/>
        </w:rPr>
        <w:t>康主管</w:t>
      </w:r>
      <w:r>
        <w:rPr>
          <w:rFonts w:ascii="FangSong" w:hAnsi="FangSong" w:eastAsia="FangSong" w:cs="FangSong"/>
          <w:sz w:val="30"/>
          <w:szCs w:val="30"/>
          <w:spacing w:val="16"/>
        </w:rPr>
        <w:t xml:space="preserve"> </w:t>
      </w:r>
      <w:r>
        <w:rPr>
          <w:rFonts w:ascii="FangSong" w:hAnsi="FangSong" w:eastAsia="FangSong" w:cs="FangSong"/>
          <w:sz w:val="30"/>
          <w:szCs w:val="30"/>
          <w:b/>
          <w:bCs/>
          <w:spacing w:val="17"/>
        </w:rPr>
        <w:t>部门责令改正，给予警告；情节严重的，可以并处五千元以上三万元以下</w:t>
      </w:r>
      <w:r>
        <w:rPr>
          <w:rFonts w:ascii="FangSong" w:hAnsi="FangSong" w:eastAsia="FangSong" w:cs="FangSong"/>
          <w:sz w:val="30"/>
          <w:szCs w:val="30"/>
          <w:b/>
          <w:bCs/>
          <w:spacing w:val="16"/>
        </w:rPr>
        <w:t>罚款</w:t>
      </w:r>
      <w:r>
        <w:rPr>
          <w:rFonts w:ascii="FangSong" w:hAnsi="FangSong" w:eastAsia="FangSong" w:cs="FangSong"/>
          <w:sz w:val="30"/>
          <w:szCs w:val="30"/>
          <w:spacing w:val="16"/>
        </w:rPr>
        <w:t>：</w:t>
      </w:r>
    </w:p>
    <w:p>
      <w:pPr>
        <w:ind w:left="144"/>
        <w:spacing w:before="1" w:line="220" w:lineRule="auto"/>
        <w:rPr>
          <w:rFonts w:ascii="FangSong" w:hAnsi="FangSong" w:eastAsia="FangSong" w:cs="FangSong"/>
          <w:sz w:val="30"/>
          <w:szCs w:val="30"/>
        </w:rPr>
      </w:pPr>
      <w:r>
        <w:rPr>
          <w:rFonts w:ascii="FangSong" w:hAnsi="FangSong" w:eastAsia="FangSong" w:cs="FangSong"/>
          <w:sz w:val="30"/>
          <w:szCs w:val="30"/>
          <w:b/>
          <w:bCs/>
          <w:spacing w:val="21"/>
        </w:rPr>
        <w:t>(一)未按照规定建立医疗器械临床使用管理工作制度。</w:t>
      </w:r>
    </w:p>
    <w:p>
      <w:pPr>
        <w:spacing w:line="220" w:lineRule="auto"/>
        <w:sectPr>
          <w:footerReference w:type="default" r:id="rId347"/>
          <w:pgSz w:w="16830" w:h="11900"/>
          <w:pgMar w:top="1011" w:right="1437" w:bottom="1108" w:left="1430" w:header="0" w:footer="775" w:gutter="0"/>
        </w:sectPr>
        <w:rPr>
          <w:rFonts w:ascii="FangSong" w:hAnsi="FangSong" w:eastAsia="FangSong" w:cs="FangSong"/>
          <w:sz w:val="30"/>
          <w:szCs w:val="30"/>
        </w:rPr>
      </w:pPr>
    </w:p>
    <w:p>
      <w:pPr>
        <w:pStyle w:val="BodyText"/>
        <w:spacing w:line="265" w:lineRule="auto"/>
        <w:rPr/>
      </w:pPr>
      <w:r/>
    </w:p>
    <w:p>
      <w:pPr>
        <w:pStyle w:val="BodyText"/>
        <w:spacing w:line="265" w:lineRule="auto"/>
        <w:rPr/>
      </w:pPr>
      <w:r/>
    </w:p>
    <w:p>
      <w:pPr>
        <w:pStyle w:val="BodyText"/>
        <w:spacing w:line="266" w:lineRule="auto"/>
        <w:rPr/>
      </w:pPr>
      <w:r/>
    </w:p>
    <w:p>
      <w:pPr>
        <w:ind w:left="675"/>
        <w:spacing w:before="97"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6419"/>
        <w:spacing w:before="57"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310" w:type="dxa"/>
        <w:tblInd w:w="3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94"/>
        <w:gridCol w:w="6026"/>
        <w:gridCol w:w="6290"/>
      </w:tblGrid>
      <w:tr>
        <w:trPr>
          <w:trHeight w:val="1091" w:hRule="atLeast"/>
        </w:trPr>
        <w:tc>
          <w:tcPr>
            <w:tcW w:w="994" w:type="dxa"/>
            <w:vAlign w:val="top"/>
          </w:tcPr>
          <w:p>
            <w:pPr>
              <w:pStyle w:val="TableText"/>
              <w:ind w:left="218"/>
              <w:spacing w:before="79" w:line="225" w:lineRule="auto"/>
              <w:rPr>
                <w:sz w:val="25"/>
                <w:szCs w:val="25"/>
              </w:rPr>
            </w:pPr>
            <w:r>
              <w:rPr>
                <w:sz w:val="25"/>
                <w:szCs w:val="25"/>
                <w:b/>
                <w:bCs/>
                <w:spacing w:val="-6"/>
              </w:rPr>
              <w:t>违法</w:t>
            </w:r>
          </w:p>
          <w:p>
            <w:pPr>
              <w:pStyle w:val="TableText"/>
              <w:ind w:left="208"/>
              <w:spacing w:before="148" w:line="220" w:lineRule="auto"/>
              <w:rPr>
                <w:sz w:val="25"/>
                <w:szCs w:val="25"/>
              </w:rPr>
            </w:pPr>
            <w:r>
              <w:rPr>
                <w:sz w:val="25"/>
                <w:szCs w:val="25"/>
                <w:b/>
                <w:bCs/>
                <w:spacing w:val="-5"/>
              </w:rPr>
              <w:t>程度</w:t>
            </w:r>
          </w:p>
        </w:tc>
        <w:tc>
          <w:tcPr>
            <w:tcW w:w="6026" w:type="dxa"/>
            <w:vAlign w:val="top"/>
          </w:tcPr>
          <w:p>
            <w:pPr>
              <w:spacing w:line="339" w:lineRule="auto"/>
              <w:rPr>
                <w:rFonts w:ascii="Arial"/>
                <w:sz w:val="21"/>
              </w:rPr>
            </w:pPr>
            <w:r/>
          </w:p>
          <w:p>
            <w:pPr>
              <w:pStyle w:val="TableText"/>
              <w:ind w:left="2444"/>
              <w:spacing w:before="81" w:line="220" w:lineRule="auto"/>
              <w:rPr>
                <w:sz w:val="25"/>
                <w:szCs w:val="25"/>
              </w:rPr>
            </w:pPr>
            <w:r>
              <w:rPr>
                <w:sz w:val="25"/>
                <w:szCs w:val="25"/>
                <w:b/>
                <w:bCs/>
                <w:spacing w:val="-5"/>
              </w:rPr>
              <w:t>违法后果</w:t>
            </w:r>
          </w:p>
        </w:tc>
        <w:tc>
          <w:tcPr>
            <w:tcW w:w="6290" w:type="dxa"/>
            <w:vAlign w:val="top"/>
          </w:tcPr>
          <w:p>
            <w:pPr>
              <w:spacing w:line="336" w:lineRule="auto"/>
              <w:rPr>
                <w:rFonts w:ascii="Arial"/>
                <w:sz w:val="21"/>
              </w:rPr>
            </w:pPr>
            <w:r/>
          </w:p>
          <w:p>
            <w:pPr>
              <w:pStyle w:val="TableText"/>
              <w:ind w:left="2608"/>
              <w:spacing w:before="81" w:line="218" w:lineRule="auto"/>
              <w:rPr>
                <w:sz w:val="25"/>
                <w:szCs w:val="25"/>
              </w:rPr>
            </w:pPr>
            <w:r>
              <w:rPr>
                <w:sz w:val="25"/>
                <w:szCs w:val="25"/>
                <w:b/>
                <w:bCs/>
                <w:spacing w:val="-5"/>
              </w:rPr>
              <w:t>裁量幅度</w:t>
            </w:r>
          </w:p>
        </w:tc>
      </w:tr>
      <w:tr>
        <w:trPr>
          <w:trHeight w:val="718" w:hRule="atLeast"/>
        </w:trPr>
        <w:tc>
          <w:tcPr>
            <w:tcW w:w="994" w:type="dxa"/>
            <w:vAlign w:val="top"/>
          </w:tcPr>
          <w:p>
            <w:pPr>
              <w:pStyle w:val="TableText"/>
              <w:ind w:left="114"/>
              <w:spacing w:before="245" w:line="221" w:lineRule="auto"/>
              <w:rPr>
                <w:sz w:val="25"/>
                <w:szCs w:val="25"/>
              </w:rPr>
            </w:pPr>
            <w:r>
              <w:rPr>
                <w:sz w:val="25"/>
                <w:szCs w:val="25"/>
                <w:spacing w:val="5"/>
              </w:rPr>
              <w:t>一般</w:t>
            </w:r>
          </w:p>
        </w:tc>
        <w:tc>
          <w:tcPr>
            <w:tcW w:w="6026" w:type="dxa"/>
            <w:vAlign w:val="top"/>
          </w:tcPr>
          <w:p>
            <w:pPr>
              <w:pStyle w:val="TableText"/>
              <w:ind w:left="140"/>
              <w:spacing w:before="244" w:line="219" w:lineRule="auto"/>
              <w:rPr>
                <w:sz w:val="25"/>
                <w:szCs w:val="25"/>
              </w:rPr>
            </w:pPr>
            <w:r>
              <w:rPr>
                <w:sz w:val="25"/>
                <w:szCs w:val="25"/>
              </w:rPr>
              <w:t>未按照规定建立医疗器械临床使用管理工作制度。</w:t>
            </w:r>
          </w:p>
        </w:tc>
        <w:tc>
          <w:tcPr>
            <w:tcW w:w="6290" w:type="dxa"/>
            <w:vAlign w:val="top"/>
          </w:tcPr>
          <w:p>
            <w:pPr>
              <w:pStyle w:val="TableText"/>
              <w:ind w:left="114"/>
              <w:spacing w:before="242" w:line="218" w:lineRule="auto"/>
              <w:rPr>
                <w:sz w:val="25"/>
                <w:szCs w:val="25"/>
              </w:rPr>
            </w:pPr>
            <w:r>
              <w:rPr>
                <w:sz w:val="25"/>
                <w:szCs w:val="25"/>
                <w:spacing w:val="1"/>
              </w:rPr>
              <w:t>给予警告。</w:t>
            </w:r>
          </w:p>
        </w:tc>
      </w:tr>
      <w:tr>
        <w:trPr>
          <w:trHeight w:val="1061" w:hRule="atLeast"/>
        </w:trPr>
        <w:tc>
          <w:tcPr>
            <w:tcW w:w="994" w:type="dxa"/>
            <w:vAlign w:val="top"/>
          </w:tcPr>
          <w:p>
            <w:pPr>
              <w:spacing w:line="336" w:lineRule="auto"/>
              <w:rPr>
                <w:rFonts w:ascii="Arial"/>
                <w:sz w:val="21"/>
              </w:rPr>
            </w:pPr>
            <w:r/>
          </w:p>
          <w:p>
            <w:pPr>
              <w:pStyle w:val="TableText"/>
              <w:ind w:left="114"/>
              <w:spacing w:before="81" w:line="221" w:lineRule="auto"/>
              <w:rPr>
                <w:sz w:val="25"/>
                <w:szCs w:val="25"/>
              </w:rPr>
            </w:pPr>
            <w:r>
              <w:rPr>
                <w:sz w:val="25"/>
                <w:szCs w:val="25"/>
                <w:spacing w:val="5"/>
              </w:rPr>
              <w:t>较重</w:t>
            </w:r>
          </w:p>
        </w:tc>
        <w:tc>
          <w:tcPr>
            <w:tcW w:w="6026" w:type="dxa"/>
            <w:vAlign w:val="top"/>
          </w:tcPr>
          <w:p>
            <w:pPr>
              <w:pStyle w:val="TableText"/>
              <w:ind w:left="139" w:hanging="9"/>
              <w:spacing w:before="246" w:line="297" w:lineRule="auto"/>
              <w:rPr>
                <w:sz w:val="25"/>
                <w:szCs w:val="25"/>
              </w:rPr>
            </w:pPr>
            <w:r>
              <w:rPr>
                <w:sz w:val="25"/>
                <w:szCs w:val="25"/>
                <w:spacing w:val="-5"/>
              </w:rPr>
              <w:t>未按照规定建立医疗器械临床使用管理工作制度，导致</w:t>
            </w:r>
            <w:r>
              <w:rPr>
                <w:sz w:val="25"/>
                <w:szCs w:val="25"/>
                <w:spacing w:val="4"/>
              </w:rPr>
              <w:t xml:space="preserve"> </w:t>
            </w:r>
            <w:r>
              <w:rPr>
                <w:sz w:val="25"/>
                <w:szCs w:val="25"/>
              </w:rPr>
              <w:t>医疗器械临床使用混乱，存在引起医疗纠纷的隐患。</w:t>
            </w:r>
          </w:p>
        </w:tc>
        <w:tc>
          <w:tcPr>
            <w:tcW w:w="6290" w:type="dxa"/>
            <w:vAlign w:val="top"/>
          </w:tcPr>
          <w:p>
            <w:pPr>
              <w:spacing w:line="333" w:lineRule="auto"/>
              <w:rPr>
                <w:rFonts w:ascii="Arial"/>
                <w:sz w:val="21"/>
              </w:rPr>
            </w:pPr>
            <w:r/>
          </w:p>
          <w:p>
            <w:pPr>
              <w:pStyle w:val="TableText"/>
              <w:ind w:left="114"/>
              <w:spacing w:before="81" w:line="219" w:lineRule="auto"/>
              <w:rPr>
                <w:sz w:val="25"/>
                <w:szCs w:val="25"/>
              </w:rPr>
            </w:pPr>
            <w:r>
              <w:rPr>
                <w:sz w:val="25"/>
                <w:szCs w:val="25"/>
              </w:rPr>
              <w:t>可以并处五千元以上三万元以下罚款。</w:t>
            </w:r>
          </w:p>
        </w:tc>
      </w:tr>
    </w:tbl>
    <w:p>
      <w:pPr>
        <w:spacing w:before="130" w:line="223" w:lineRule="auto"/>
        <w:jc w:val="right"/>
        <w:rPr>
          <w:rFonts w:ascii="KaiTi" w:hAnsi="KaiTi" w:eastAsia="KaiTi" w:cs="KaiTi"/>
          <w:sz w:val="30"/>
          <w:szCs w:val="30"/>
        </w:rPr>
      </w:pPr>
      <w:r>
        <w:rPr>
          <w:rFonts w:ascii="KaiTi" w:hAnsi="KaiTi" w:eastAsia="KaiTi" w:cs="KaiTi"/>
          <w:sz w:val="30"/>
          <w:szCs w:val="30"/>
          <w:spacing w:val="36"/>
        </w:rPr>
        <w:t>(二)未按照规定设立医疗器械临床使用管理委员会或者配备专(兼)职人员负责本机构医疗</w:t>
      </w:r>
    </w:p>
    <w:p>
      <w:pPr>
        <w:ind w:left="39"/>
        <w:spacing w:before="83" w:line="223" w:lineRule="auto"/>
        <w:rPr>
          <w:rFonts w:ascii="KaiTi" w:hAnsi="KaiTi" w:eastAsia="KaiTi" w:cs="KaiTi"/>
          <w:sz w:val="30"/>
          <w:szCs w:val="30"/>
        </w:rPr>
      </w:pPr>
      <w:r>
        <w:rPr>
          <w:rFonts w:ascii="KaiTi" w:hAnsi="KaiTi" w:eastAsia="KaiTi" w:cs="KaiTi"/>
          <w:sz w:val="30"/>
          <w:szCs w:val="30"/>
          <w:b/>
          <w:bCs/>
          <w:spacing w:val="10"/>
        </w:rPr>
        <w:t>器械临床使用管理工作。</w:t>
      </w:r>
    </w:p>
    <w:p>
      <w:pPr>
        <w:ind w:left="654"/>
        <w:spacing w:before="93" w:line="224" w:lineRule="auto"/>
        <w:rPr>
          <w:rFonts w:ascii="KaiTi" w:hAnsi="KaiTi" w:eastAsia="KaiTi" w:cs="KaiTi"/>
          <w:sz w:val="30"/>
          <w:szCs w:val="30"/>
        </w:rPr>
      </w:pPr>
      <w:r>
        <w:rPr>
          <w:rFonts w:ascii="KaiTi" w:hAnsi="KaiTi" w:eastAsia="KaiTi" w:cs="KaiTi"/>
          <w:sz w:val="30"/>
          <w:szCs w:val="30"/>
          <w:spacing w:val="3"/>
        </w:rPr>
        <w:t>法律依据：</w:t>
      </w:r>
    </w:p>
    <w:p>
      <w:pPr>
        <w:ind w:left="6419"/>
        <w:spacing w:before="59"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3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04"/>
        <w:gridCol w:w="6015"/>
        <w:gridCol w:w="6300"/>
      </w:tblGrid>
      <w:tr>
        <w:trPr>
          <w:trHeight w:val="1059" w:hRule="atLeast"/>
        </w:trPr>
        <w:tc>
          <w:tcPr>
            <w:tcW w:w="1004" w:type="dxa"/>
            <w:vAlign w:val="top"/>
          </w:tcPr>
          <w:p>
            <w:pPr>
              <w:pStyle w:val="TableText"/>
              <w:ind w:left="238"/>
              <w:spacing w:before="70" w:line="225" w:lineRule="auto"/>
              <w:rPr>
                <w:sz w:val="26"/>
                <w:szCs w:val="26"/>
              </w:rPr>
            </w:pPr>
            <w:r>
              <w:rPr>
                <w:sz w:val="26"/>
                <w:szCs w:val="26"/>
                <w:b/>
                <w:bCs/>
                <w:spacing w:val="-6"/>
              </w:rPr>
              <w:t>违法</w:t>
            </w:r>
          </w:p>
          <w:p>
            <w:pPr>
              <w:pStyle w:val="TableText"/>
              <w:ind w:left="238"/>
              <w:spacing w:before="115" w:line="220" w:lineRule="auto"/>
              <w:rPr>
                <w:sz w:val="26"/>
                <w:szCs w:val="26"/>
              </w:rPr>
            </w:pPr>
            <w:r>
              <w:rPr>
                <w:sz w:val="26"/>
                <w:szCs w:val="26"/>
                <w:b/>
                <w:bCs/>
                <w:spacing w:val="-6"/>
              </w:rPr>
              <w:t>程度</w:t>
            </w:r>
          </w:p>
        </w:tc>
        <w:tc>
          <w:tcPr>
            <w:tcW w:w="6015" w:type="dxa"/>
            <w:vAlign w:val="top"/>
          </w:tcPr>
          <w:p>
            <w:pPr>
              <w:spacing w:line="316" w:lineRule="auto"/>
              <w:rPr>
                <w:rFonts w:ascii="Arial"/>
                <w:sz w:val="21"/>
              </w:rPr>
            </w:pPr>
            <w:r/>
          </w:p>
          <w:p>
            <w:pPr>
              <w:pStyle w:val="TableText"/>
              <w:ind w:left="2484"/>
              <w:spacing w:before="84" w:line="220" w:lineRule="auto"/>
              <w:rPr>
                <w:sz w:val="26"/>
                <w:szCs w:val="26"/>
              </w:rPr>
            </w:pPr>
            <w:r>
              <w:rPr>
                <w:sz w:val="26"/>
                <w:szCs w:val="26"/>
                <w:b/>
                <w:bCs/>
                <w:spacing w:val="-5"/>
              </w:rPr>
              <w:t>违法后果</w:t>
            </w:r>
          </w:p>
        </w:tc>
        <w:tc>
          <w:tcPr>
            <w:tcW w:w="6300" w:type="dxa"/>
            <w:vAlign w:val="top"/>
          </w:tcPr>
          <w:p>
            <w:pPr>
              <w:spacing w:line="313" w:lineRule="auto"/>
              <w:rPr>
                <w:rFonts w:ascii="Arial"/>
                <w:sz w:val="21"/>
              </w:rPr>
            </w:pPr>
            <w:r/>
          </w:p>
          <w:p>
            <w:pPr>
              <w:pStyle w:val="TableText"/>
              <w:ind w:left="2609"/>
              <w:spacing w:before="84" w:line="218" w:lineRule="auto"/>
              <w:rPr>
                <w:sz w:val="26"/>
                <w:szCs w:val="26"/>
              </w:rPr>
            </w:pPr>
            <w:r>
              <w:rPr>
                <w:sz w:val="26"/>
                <w:szCs w:val="26"/>
                <w:b/>
                <w:bCs/>
                <w:spacing w:val="-5"/>
              </w:rPr>
              <w:t>裁量幅度</w:t>
            </w:r>
          </w:p>
        </w:tc>
      </w:tr>
      <w:tr>
        <w:trPr>
          <w:trHeight w:val="1070" w:hRule="atLeast"/>
        </w:trPr>
        <w:tc>
          <w:tcPr>
            <w:tcW w:w="1004" w:type="dxa"/>
            <w:vAlign w:val="top"/>
          </w:tcPr>
          <w:p>
            <w:pPr>
              <w:spacing w:line="327" w:lineRule="auto"/>
              <w:rPr>
                <w:rFonts w:ascii="Arial"/>
                <w:sz w:val="21"/>
              </w:rPr>
            </w:pPr>
            <w:r/>
          </w:p>
          <w:p>
            <w:pPr>
              <w:pStyle w:val="TableText"/>
              <w:ind w:left="238"/>
              <w:spacing w:before="85" w:line="221" w:lineRule="auto"/>
              <w:rPr>
                <w:sz w:val="26"/>
                <w:szCs w:val="26"/>
              </w:rPr>
            </w:pPr>
            <w:r>
              <w:rPr>
                <w:sz w:val="26"/>
                <w:szCs w:val="26"/>
                <w:b/>
                <w:bCs/>
                <w:spacing w:val="-10"/>
              </w:rPr>
              <w:t>一般</w:t>
            </w:r>
          </w:p>
        </w:tc>
        <w:tc>
          <w:tcPr>
            <w:tcW w:w="6015" w:type="dxa"/>
            <w:vAlign w:val="top"/>
          </w:tcPr>
          <w:p>
            <w:pPr>
              <w:pStyle w:val="TableText"/>
              <w:ind w:left="14"/>
              <w:spacing w:before="112" w:line="314" w:lineRule="auto"/>
              <w:rPr>
                <w:sz w:val="26"/>
                <w:szCs w:val="26"/>
              </w:rPr>
            </w:pPr>
            <w:r>
              <w:rPr>
                <w:sz w:val="26"/>
                <w:szCs w:val="26"/>
                <w:b/>
                <w:bCs/>
                <w:spacing w:val="-18"/>
              </w:rPr>
              <w:t>未按照规定设立医疗器械临床使用管理委员会或者配备</w:t>
            </w:r>
            <w:r>
              <w:rPr>
                <w:sz w:val="26"/>
                <w:szCs w:val="26"/>
              </w:rPr>
              <w:t xml:space="preserve">  </w:t>
            </w:r>
            <w:r>
              <w:rPr>
                <w:sz w:val="26"/>
                <w:szCs w:val="26"/>
                <w:b/>
                <w:bCs/>
                <w:spacing w:val="-13"/>
              </w:rPr>
              <w:t>专(兼)职人员负责本机构医疗器械临床使用管理工作。</w:t>
            </w:r>
          </w:p>
        </w:tc>
        <w:tc>
          <w:tcPr>
            <w:tcW w:w="6300" w:type="dxa"/>
            <w:vAlign w:val="top"/>
          </w:tcPr>
          <w:p>
            <w:pPr>
              <w:spacing w:line="324" w:lineRule="auto"/>
              <w:rPr>
                <w:rFonts w:ascii="Arial"/>
                <w:sz w:val="21"/>
              </w:rPr>
            </w:pPr>
            <w:r/>
          </w:p>
          <w:p>
            <w:pPr>
              <w:pStyle w:val="TableText"/>
              <w:ind w:left="109"/>
              <w:spacing w:before="84" w:line="218" w:lineRule="auto"/>
              <w:rPr>
                <w:sz w:val="26"/>
                <w:szCs w:val="26"/>
              </w:rPr>
            </w:pPr>
            <w:r>
              <w:rPr>
                <w:sz w:val="26"/>
                <w:szCs w:val="26"/>
                <w:b/>
                <w:bCs/>
                <w:spacing w:val="-4"/>
              </w:rPr>
              <w:t>给予警告。</w:t>
            </w:r>
          </w:p>
        </w:tc>
      </w:tr>
    </w:tbl>
    <w:p>
      <w:pPr>
        <w:pStyle w:val="BodyText"/>
        <w:rPr/>
      </w:pPr>
      <w:r/>
    </w:p>
    <w:p>
      <w:pPr>
        <w:sectPr>
          <w:footerReference w:type="default" r:id="rId348"/>
          <w:pgSz w:w="16830" w:h="11900"/>
          <w:pgMar w:top="1011" w:right="1440" w:bottom="1089" w:left="1425" w:header="0" w:footer="818" w:gutter="0"/>
        </w:sectPr>
        <w:rPr/>
      </w:pPr>
    </w:p>
    <w:p>
      <w:pPr>
        <w:spacing w:before="20"/>
        <w:rPr/>
      </w:pPr>
      <w:r/>
    </w:p>
    <w:p>
      <w:pPr>
        <w:spacing w:before="20"/>
        <w:rPr/>
      </w:pPr>
      <w:r/>
    </w:p>
    <w:p>
      <w:pPr>
        <w:spacing w:before="19"/>
        <w:rPr/>
      </w:pPr>
      <w:r/>
    </w:p>
    <w:tbl>
      <w:tblPr>
        <w:tblStyle w:val="TableNormal"/>
        <w:tblW w:w="133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94"/>
        <w:gridCol w:w="6025"/>
        <w:gridCol w:w="6300"/>
      </w:tblGrid>
      <w:tr>
        <w:trPr>
          <w:trHeight w:val="1499" w:hRule="atLeast"/>
        </w:trPr>
        <w:tc>
          <w:tcPr>
            <w:tcW w:w="994" w:type="dxa"/>
            <w:vAlign w:val="top"/>
          </w:tcPr>
          <w:p>
            <w:pPr>
              <w:spacing w:line="278" w:lineRule="auto"/>
              <w:rPr>
                <w:rFonts w:ascii="Arial"/>
                <w:sz w:val="21"/>
              </w:rPr>
            </w:pPr>
            <w:r/>
          </w:p>
          <w:p>
            <w:pPr>
              <w:spacing w:line="278" w:lineRule="auto"/>
              <w:rPr>
                <w:rFonts w:ascii="Arial"/>
                <w:sz w:val="21"/>
              </w:rPr>
            </w:pPr>
            <w:r/>
          </w:p>
          <w:p>
            <w:pPr>
              <w:pStyle w:val="TableText"/>
              <w:ind w:left="264"/>
              <w:spacing w:before="78" w:line="221" w:lineRule="auto"/>
              <w:rPr/>
            </w:pPr>
            <w:r>
              <w:rPr>
                <w:color w:val="304040"/>
                <w:spacing w:val="5"/>
              </w:rPr>
              <w:t>较重</w:t>
            </w:r>
          </w:p>
        </w:tc>
        <w:tc>
          <w:tcPr>
            <w:tcW w:w="6025" w:type="dxa"/>
            <w:vAlign w:val="top"/>
          </w:tcPr>
          <w:p>
            <w:pPr>
              <w:pStyle w:val="TableText"/>
              <w:ind w:left="121"/>
              <w:spacing w:before="93" w:line="219" w:lineRule="auto"/>
              <w:rPr/>
            </w:pPr>
            <w:r>
              <w:rPr/>
              <w:t>未按照规定设立医疗器械临床使用管理委员会或者配备</w:t>
            </w:r>
          </w:p>
          <w:p>
            <w:pPr>
              <w:pStyle w:val="TableText"/>
              <w:ind w:left="180"/>
              <w:spacing w:before="165" w:line="219" w:lineRule="auto"/>
              <w:rPr/>
            </w:pPr>
            <w:r>
              <w:rPr/>
              <w:t>专(兼)职人员负责本机构医疗器械临床使用管理工作，</w:t>
            </w:r>
          </w:p>
          <w:p>
            <w:pPr>
              <w:pStyle w:val="TableText"/>
              <w:spacing w:before="146" w:line="219" w:lineRule="auto"/>
              <w:jc w:val="right"/>
              <w:rPr/>
            </w:pPr>
            <w:r>
              <w:rPr>
                <w:spacing w:val="-2"/>
              </w:rPr>
              <w:t>导致医疗器械临床使用混乱，存在引起医疗纠纷的隐患。</w:t>
            </w:r>
          </w:p>
        </w:tc>
        <w:tc>
          <w:tcPr>
            <w:tcW w:w="6300" w:type="dxa"/>
            <w:vAlign w:val="top"/>
          </w:tcPr>
          <w:p>
            <w:pPr>
              <w:spacing w:line="276" w:lineRule="auto"/>
              <w:rPr>
                <w:rFonts w:ascii="Arial"/>
                <w:sz w:val="21"/>
              </w:rPr>
            </w:pPr>
            <w:r/>
          </w:p>
          <w:p>
            <w:pPr>
              <w:spacing w:line="277" w:lineRule="auto"/>
              <w:rPr>
                <w:rFonts w:ascii="Arial"/>
                <w:sz w:val="21"/>
              </w:rPr>
            </w:pPr>
            <w:r/>
          </w:p>
          <w:p>
            <w:pPr>
              <w:pStyle w:val="TableText"/>
              <w:ind w:left="135"/>
              <w:spacing w:before="78" w:line="219" w:lineRule="auto"/>
              <w:rPr/>
            </w:pPr>
            <w:r>
              <w:rPr>
                <w:spacing w:val="-1"/>
              </w:rPr>
              <w:t>可以并处五千元以上三万元以下罚款。</w:t>
            </w:r>
          </w:p>
        </w:tc>
      </w:tr>
    </w:tbl>
    <w:p>
      <w:pPr>
        <w:pStyle w:val="BodyText"/>
        <w:spacing w:line="401" w:lineRule="auto"/>
        <w:rPr/>
      </w:pPr>
      <w:r/>
    </w:p>
    <w:p>
      <w:pPr>
        <w:ind w:left="829"/>
        <w:spacing w:before="104" w:line="221" w:lineRule="auto"/>
        <w:rPr>
          <w:rFonts w:ascii="FangSong" w:hAnsi="FangSong" w:eastAsia="FangSong" w:cs="FangSong"/>
          <w:sz w:val="32"/>
          <w:szCs w:val="32"/>
        </w:rPr>
      </w:pPr>
      <w:r>
        <w:rPr>
          <w:rFonts w:ascii="FangSong" w:hAnsi="FangSong" w:eastAsia="FangSong" w:cs="FangSong"/>
          <w:sz w:val="32"/>
          <w:szCs w:val="32"/>
          <w:b/>
          <w:bCs/>
          <w:spacing w:val="2"/>
        </w:rPr>
        <w:t>(三)未按照规定建立医疗器械验收验证制度。</w:t>
      </w:r>
    </w:p>
    <w:p>
      <w:pPr>
        <w:ind w:left="684"/>
        <w:spacing w:before="173"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6429"/>
        <w:spacing w:before="44"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3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94"/>
        <w:gridCol w:w="6026"/>
        <w:gridCol w:w="6290"/>
      </w:tblGrid>
      <w:tr>
        <w:trPr>
          <w:trHeight w:val="1091" w:hRule="atLeast"/>
        </w:trPr>
        <w:tc>
          <w:tcPr>
            <w:tcW w:w="994" w:type="dxa"/>
            <w:vAlign w:val="top"/>
          </w:tcPr>
          <w:p>
            <w:pPr>
              <w:pStyle w:val="TableText"/>
              <w:ind w:left="238"/>
              <w:spacing w:before="89" w:line="225" w:lineRule="auto"/>
              <w:rPr>
                <w:sz w:val="25"/>
                <w:szCs w:val="25"/>
              </w:rPr>
            </w:pPr>
            <w:r>
              <w:rPr>
                <w:sz w:val="25"/>
                <w:szCs w:val="25"/>
                <w:b/>
                <w:bCs/>
                <w:spacing w:val="-6"/>
              </w:rPr>
              <w:t>违法</w:t>
            </w:r>
          </w:p>
          <w:p>
            <w:pPr>
              <w:pStyle w:val="TableText"/>
              <w:ind w:left="238"/>
              <w:spacing w:before="138" w:line="220" w:lineRule="auto"/>
              <w:rPr>
                <w:sz w:val="25"/>
                <w:szCs w:val="25"/>
              </w:rPr>
            </w:pPr>
            <w:r>
              <w:rPr>
                <w:sz w:val="25"/>
                <w:szCs w:val="25"/>
                <w:b/>
                <w:bCs/>
                <w:spacing w:val="-5"/>
              </w:rPr>
              <w:t>程度</w:t>
            </w:r>
          </w:p>
        </w:tc>
        <w:tc>
          <w:tcPr>
            <w:tcW w:w="6026" w:type="dxa"/>
            <w:vAlign w:val="top"/>
          </w:tcPr>
          <w:p>
            <w:pPr>
              <w:spacing w:line="339" w:lineRule="auto"/>
              <w:rPr>
                <w:rFonts w:ascii="Arial"/>
                <w:sz w:val="21"/>
              </w:rPr>
            </w:pPr>
            <w:r/>
          </w:p>
          <w:p>
            <w:pPr>
              <w:pStyle w:val="TableText"/>
              <w:ind w:left="2444"/>
              <w:spacing w:before="81" w:line="220" w:lineRule="auto"/>
              <w:rPr>
                <w:sz w:val="25"/>
                <w:szCs w:val="25"/>
              </w:rPr>
            </w:pPr>
            <w:r>
              <w:rPr>
                <w:sz w:val="25"/>
                <w:szCs w:val="25"/>
                <w:b/>
                <w:bCs/>
                <w:spacing w:val="-5"/>
              </w:rPr>
              <w:t>违法后果</w:t>
            </w:r>
          </w:p>
        </w:tc>
        <w:tc>
          <w:tcPr>
            <w:tcW w:w="6290" w:type="dxa"/>
            <w:vAlign w:val="top"/>
          </w:tcPr>
          <w:p>
            <w:pPr>
              <w:spacing w:line="336" w:lineRule="auto"/>
              <w:rPr>
                <w:rFonts w:ascii="Arial"/>
                <w:sz w:val="21"/>
              </w:rPr>
            </w:pPr>
            <w:r/>
          </w:p>
          <w:p>
            <w:pPr>
              <w:pStyle w:val="TableText"/>
              <w:ind w:left="2588"/>
              <w:spacing w:before="81" w:line="218" w:lineRule="auto"/>
              <w:rPr>
                <w:sz w:val="25"/>
                <w:szCs w:val="25"/>
              </w:rPr>
            </w:pPr>
            <w:r>
              <w:rPr>
                <w:sz w:val="25"/>
                <w:szCs w:val="25"/>
                <w:b/>
                <w:bCs/>
                <w:spacing w:val="-5"/>
              </w:rPr>
              <w:t>裁量幅度</w:t>
            </w:r>
          </w:p>
        </w:tc>
      </w:tr>
      <w:tr>
        <w:trPr>
          <w:trHeight w:val="628" w:hRule="atLeast"/>
        </w:trPr>
        <w:tc>
          <w:tcPr>
            <w:tcW w:w="994" w:type="dxa"/>
            <w:vAlign w:val="top"/>
          </w:tcPr>
          <w:p>
            <w:pPr>
              <w:pStyle w:val="TableText"/>
              <w:ind w:left="234"/>
              <w:spacing w:before="115" w:line="221" w:lineRule="auto"/>
              <w:rPr>
                <w:sz w:val="25"/>
                <w:szCs w:val="25"/>
              </w:rPr>
            </w:pPr>
            <w:r>
              <w:rPr>
                <w:sz w:val="25"/>
                <w:szCs w:val="25"/>
                <w:spacing w:val="5"/>
              </w:rPr>
              <w:t>一般</w:t>
            </w:r>
          </w:p>
        </w:tc>
        <w:tc>
          <w:tcPr>
            <w:tcW w:w="6026" w:type="dxa"/>
            <w:vAlign w:val="top"/>
          </w:tcPr>
          <w:p>
            <w:pPr>
              <w:pStyle w:val="TableText"/>
              <w:ind w:left="101"/>
              <w:spacing w:before="124" w:line="219" w:lineRule="auto"/>
              <w:rPr>
                <w:sz w:val="25"/>
                <w:szCs w:val="25"/>
              </w:rPr>
            </w:pPr>
            <w:r>
              <w:rPr>
                <w:sz w:val="25"/>
                <w:szCs w:val="25"/>
              </w:rPr>
              <w:t>未按照规定建立医疗器械验收验证制度。</w:t>
            </w:r>
          </w:p>
        </w:tc>
        <w:tc>
          <w:tcPr>
            <w:tcW w:w="6290" w:type="dxa"/>
            <w:vAlign w:val="top"/>
          </w:tcPr>
          <w:p>
            <w:pPr>
              <w:pStyle w:val="TableText"/>
              <w:ind w:left="114"/>
              <w:spacing w:before="112" w:line="218" w:lineRule="auto"/>
              <w:rPr>
                <w:sz w:val="25"/>
                <w:szCs w:val="25"/>
              </w:rPr>
            </w:pPr>
            <w:r>
              <w:rPr>
                <w:sz w:val="25"/>
                <w:szCs w:val="25"/>
                <w:spacing w:val="1"/>
              </w:rPr>
              <w:t>给予警告。</w:t>
            </w:r>
          </w:p>
        </w:tc>
      </w:tr>
      <w:tr>
        <w:trPr>
          <w:trHeight w:val="1081" w:hRule="atLeast"/>
        </w:trPr>
        <w:tc>
          <w:tcPr>
            <w:tcW w:w="994" w:type="dxa"/>
            <w:vAlign w:val="top"/>
          </w:tcPr>
          <w:p>
            <w:pPr>
              <w:spacing w:line="346" w:lineRule="auto"/>
              <w:rPr>
                <w:rFonts w:ascii="Arial"/>
                <w:sz w:val="21"/>
              </w:rPr>
            </w:pPr>
            <w:r/>
          </w:p>
          <w:p>
            <w:pPr>
              <w:pStyle w:val="TableText"/>
              <w:ind w:left="234"/>
              <w:spacing w:before="81" w:line="221" w:lineRule="auto"/>
              <w:rPr>
                <w:sz w:val="25"/>
                <w:szCs w:val="25"/>
              </w:rPr>
            </w:pPr>
            <w:r>
              <w:rPr>
                <w:sz w:val="25"/>
                <w:szCs w:val="25"/>
                <w:spacing w:val="5"/>
              </w:rPr>
              <w:t>较重</w:t>
            </w:r>
          </w:p>
        </w:tc>
        <w:tc>
          <w:tcPr>
            <w:tcW w:w="6026" w:type="dxa"/>
            <w:vAlign w:val="top"/>
          </w:tcPr>
          <w:p>
            <w:pPr>
              <w:pStyle w:val="TableText"/>
              <w:ind w:left="101"/>
              <w:spacing w:before="136" w:line="312" w:lineRule="auto"/>
              <w:rPr>
                <w:sz w:val="25"/>
                <w:szCs w:val="25"/>
              </w:rPr>
            </w:pPr>
            <w:r>
              <w:rPr>
                <w:sz w:val="25"/>
                <w:szCs w:val="25"/>
                <w:spacing w:val="-4"/>
              </w:rPr>
              <w:t>未按照规定建立医疗器械验收验证制度，导致购买的医</w:t>
            </w:r>
            <w:r>
              <w:rPr>
                <w:sz w:val="25"/>
                <w:szCs w:val="25"/>
                <w:spacing w:val="9"/>
              </w:rPr>
              <w:t xml:space="preserve"> </w:t>
            </w:r>
            <w:r>
              <w:rPr>
                <w:sz w:val="25"/>
                <w:szCs w:val="25"/>
                <w:spacing w:val="-1"/>
              </w:rPr>
              <w:t>疗器械可能存在质量问题，影响正常使用。</w:t>
            </w:r>
          </w:p>
        </w:tc>
        <w:tc>
          <w:tcPr>
            <w:tcW w:w="6290" w:type="dxa"/>
            <w:vAlign w:val="top"/>
          </w:tcPr>
          <w:p>
            <w:pPr>
              <w:spacing w:line="343" w:lineRule="auto"/>
              <w:rPr>
                <w:rFonts w:ascii="Arial"/>
                <w:sz w:val="21"/>
              </w:rPr>
            </w:pPr>
            <w:r/>
          </w:p>
          <w:p>
            <w:pPr>
              <w:pStyle w:val="TableText"/>
              <w:ind w:left="114"/>
              <w:spacing w:before="81" w:line="219" w:lineRule="auto"/>
              <w:rPr>
                <w:sz w:val="25"/>
                <w:szCs w:val="25"/>
              </w:rPr>
            </w:pPr>
            <w:r>
              <w:rPr>
                <w:sz w:val="25"/>
                <w:szCs w:val="25"/>
              </w:rPr>
              <w:t>可以并处五千元以上三万元以下罚款。</w:t>
            </w:r>
          </w:p>
        </w:tc>
      </w:tr>
    </w:tbl>
    <w:p>
      <w:pPr>
        <w:pStyle w:val="BodyText"/>
        <w:spacing w:line="451" w:lineRule="auto"/>
        <w:rPr/>
      </w:pPr>
      <w:r/>
    </w:p>
    <w:p>
      <w:pPr>
        <w:ind w:left="809"/>
        <w:spacing w:before="104" w:line="221" w:lineRule="auto"/>
        <w:rPr>
          <w:rFonts w:ascii="FangSong" w:hAnsi="FangSong" w:eastAsia="FangSong" w:cs="FangSong"/>
          <w:sz w:val="32"/>
          <w:szCs w:val="32"/>
        </w:rPr>
      </w:pPr>
      <w:r>
        <w:rPr>
          <w:rFonts w:ascii="FangSong" w:hAnsi="FangSong" w:eastAsia="FangSong" w:cs="FangSong"/>
          <w:sz w:val="32"/>
          <w:szCs w:val="32"/>
          <w:b/>
          <w:bCs/>
          <w:spacing w:val="3"/>
        </w:rPr>
        <w:t>(四)未按照规定报告医疗器械使用安全事件。</w:t>
      </w:r>
    </w:p>
    <w:p>
      <w:pPr>
        <w:ind w:left="684"/>
        <w:spacing w:before="113"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6448"/>
        <w:spacing w:before="121" w:line="221" w:lineRule="auto"/>
        <w:rPr>
          <w:rFonts w:ascii="SimHei" w:hAnsi="SimHei" w:eastAsia="SimHei" w:cs="SimHei"/>
          <w:sz w:val="27"/>
          <w:szCs w:val="27"/>
        </w:rPr>
      </w:pPr>
      <w:r>
        <w:rPr>
          <w:rFonts w:ascii="SimHei" w:hAnsi="SimHei" w:eastAsia="SimHei" w:cs="SimHei"/>
          <w:sz w:val="27"/>
          <w:szCs w:val="27"/>
          <w:b/>
          <w:bCs/>
          <w:spacing w:val="8"/>
        </w:rPr>
        <w:t>裁量标准</w:t>
      </w:r>
    </w:p>
    <w:p>
      <w:pPr>
        <w:spacing w:line="221" w:lineRule="auto"/>
        <w:sectPr>
          <w:footerReference w:type="default" r:id="rId349"/>
          <w:pgSz w:w="16830" w:h="11900"/>
          <w:pgMar w:top="1011" w:right="2095" w:bottom="1124" w:left="1405" w:header="0" w:footer="782" w:gutter="0"/>
        </w:sectPr>
        <w:rPr>
          <w:rFonts w:ascii="SimHei" w:hAnsi="SimHei" w:eastAsia="SimHei" w:cs="SimHei"/>
          <w:sz w:val="27"/>
          <w:szCs w:val="27"/>
        </w:rPr>
      </w:pPr>
    </w:p>
    <w:p>
      <w:pPr>
        <w:spacing w:before="17"/>
        <w:rPr/>
      </w:pPr>
      <w:r/>
    </w:p>
    <w:p>
      <w:pPr>
        <w:spacing w:before="16"/>
        <w:rPr/>
      </w:pPr>
      <w:r/>
    </w:p>
    <w:p>
      <w:pPr>
        <w:spacing w:before="16"/>
        <w:rPr/>
      </w:pPr>
      <w:r/>
    </w:p>
    <w:tbl>
      <w:tblPr>
        <w:tblStyle w:val="TableNormal"/>
        <w:tblW w:w="133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84"/>
        <w:gridCol w:w="6026"/>
        <w:gridCol w:w="6290"/>
      </w:tblGrid>
      <w:tr>
        <w:trPr>
          <w:trHeight w:val="1081" w:hRule="atLeast"/>
        </w:trPr>
        <w:tc>
          <w:tcPr>
            <w:tcW w:w="984" w:type="dxa"/>
            <w:vAlign w:val="top"/>
          </w:tcPr>
          <w:p>
            <w:pPr>
              <w:pStyle w:val="TableText"/>
              <w:ind w:left="238"/>
              <w:spacing w:before="99" w:line="225" w:lineRule="auto"/>
              <w:rPr>
                <w:sz w:val="25"/>
                <w:szCs w:val="25"/>
              </w:rPr>
            </w:pPr>
            <w:r>
              <w:rPr>
                <w:sz w:val="25"/>
                <w:szCs w:val="25"/>
                <w:b/>
                <w:bCs/>
                <w:spacing w:val="-6"/>
              </w:rPr>
              <w:t>违法</w:t>
            </w:r>
          </w:p>
          <w:p>
            <w:pPr>
              <w:pStyle w:val="TableText"/>
              <w:ind w:left="238"/>
              <w:spacing w:before="128" w:line="220" w:lineRule="auto"/>
              <w:rPr>
                <w:sz w:val="25"/>
                <w:szCs w:val="25"/>
              </w:rPr>
            </w:pPr>
            <w:r>
              <w:rPr>
                <w:sz w:val="25"/>
                <w:szCs w:val="25"/>
                <w:b/>
                <w:bCs/>
                <w:spacing w:val="-5"/>
              </w:rPr>
              <w:t>程度</w:t>
            </w:r>
          </w:p>
        </w:tc>
        <w:tc>
          <w:tcPr>
            <w:tcW w:w="6026" w:type="dxa"/>
            <w:vAlign w:val="top"/>
          </w:tcPr>
          <w:p>
            <w:pPr>
              <w:spacing w:line="339" w:lineRule="auto"/>
              <w:rPr>
                <w:rFonts w:ascii="Arial"/>
                <w:sz w:val="21"/>
              </w:rPr>
            </w:pPr>
            <w:r/>
          </w:p>
          <w:p>
            <w:pPr>
              <w:pStyle w:val="TableText"/>
              <w:ind w:left="2434"/>
              <w:spacing w:before="81" w:line="220" w:lineRule="auto"/>
              <w:rPr>
                <w:sz w:val="25"/>
                <w:szCs w:val="25"/>
              </w:rPr>
            </w:pPr>
            <w:r>
              <w:rPr>
                <w:sz w:val="25"/>
                <w:szCs w:val="25"/>
                <w:b/>
                <w:bCs/>
                <w:spacing w:val="-5"/>
              </w:rPr>
              <w:t>违法后果</w:t>
            </w:r>
          </w:p>
        </w:tc>
        <w:tc>
          <w:tcPr>
            <w:tcW w:w="6290" w:type="dxa"/>
            <w:vAlign w:val="top"/>
          </w:tcPr>
          <w:p>
            <w:pPr>
              <w:spacing w:line="336" w:lineRule="auto"/>
              <w:rPr>
                <w:rFonts w:ascii="Arial"/>
                <w:sz w:val="21"/>
              </w:rPr>
            </w:pPr>
            <w:r/>
          </w:p>
          <w:p>
            <w:pPr>
              <w:pStyle w:val="TableText"/>
              <w:ind w:left="2608"/>
              <w:spacing w:before="81" w:line="218" w:lineRule="auto"/>
              <w:rPr>
                <w:sz w:val="25"/>
                <w:szCs w:val="25"/>
              </w:rPr>
            </w:pPr>
            <w:r>
              <w:rPr>
                <w:sz w:val="25"/>
                <w:szCs w:val="25"/>
                <w:b/>
                <w:bCs/>
                <w:spacing w:val="-5"/>
              </w:rPr>
              <w:t>裁量幅度</w:t>
            </w:r>
          </w:p>
        </w:tc>
      </w:tr>
      <w:tr>
        <w:trPr>
          <w:trHeight w:val="748" w:hRule="atLeast"/>
        </w:trPr>
        <w:tc>
          <w:tcPr>
            <w:tcW w:w="984" w:type="dxa"/>
            <w:vAlign w:val="top"/>
          </w:tcPr>
          <w:p>
            <w:pPr>
              <w:pStyle w:val="TableText"/>
              <w:ind w:left="234"/>
              <w:spacing w:before="165" w:line="221" w:lineRule="auto"/>
              <w:rPr>
                <w:sz w:val="25"/>
                <w:szCs w:val="25"/>
              </w:rPr>
            </w:pPr>
            <w:r>
              <w:rPr>
                <w:sz w:val="25"/>
                <w:szCs w:val="25"/>
                <w:spacing w:val="5"/>
              </w:rPr>
              <w:t>一般</w:t>
            </w:r>
          </w:p>
        </w:tc>
        <w:tc>
          <w:tcPr>
            <w:tcW w:w="6026" w:type="dxa"/>
            <w:vAlign w:val="top"/>
          </w:tcPr>
          <w:p>
            <w:pPr>
              <w:pStyle w:val="TableText"/>
              <w:ind w:left="121"/>
              <w:spacing w:before="162" w:line="218" w:lineRule="auto"/>
              <w:rPr>
                <w:sz w:val="25"/>
                <w:szCs w:val="25"/>
              </w:rPr>
            </w:pPr>
            <w:r>
              <w:rPr>
                <w:sz w:val="25"/>
                <w:szCs w:val="25"/>
              </w:rPr>
              <w:t>未按照规定报告医疗器械使用安全事件。</w:t>
            </w:r>
          </w:p>
        </w:tc>
        <w:tc>
          <w:tcPr>
            <w:tcW w:w="6290" w:type="dxa"/>
            <w:vAlign w:val="top"/>
          </w:tcPr>
          <w:p>
            <w:pPr>
              <w:pStyle w:val="TableText"/>
              <w:ind w:left="105"/>
              <w:spacing w:before="162" w:line="218" w:lineRule="auto"/>
              <w:rPr>
                <w:sz w:val="25"/>
                <w:szCs w:val="25"/>
              </w:rPr>
            </w:pPr>
            <w:r>
              <w:rPr>
                <w:sz w:val="25"/>
                <w:szCs w:val="25"/>
                <w:spacing w:val="1"/>
              </w:rPr>
              <w:t>给予警告。</w:t>
            </w:r>
          </w:p>
        </w:tc>
      </w:tr>
      <w:tr>
        <w:trPr>
          <w:trHeight w:val="1081" w:hRule="atLeast"/>
        </w:trPr>
        <w:tc>
          <w:tcPr>
            <w:tcW w:w="984" w:type="dxa"/>
            <w:vAlign w:val="top"/>
          </w:tcPr>
          <w:p>
            <w:pPr>
              <w:spacing w:line="346" w:lineRule="auto"/>
              <w:rPr>
                <w:rFonts w:ascii="Arial"/>
                <w:sz w:val="21"/>
              </w:rPr>
            </w:pPr>
            <w:r/>
          </w:p>
          <w:p>
            <w:pPr>
              <w:pStyle w:val="TableText"/>
              <w:ind w:left="234"/>
              <w:spacing w:before="81" w:line="221" w:lineRule="auto"/>
              <w:rPr>
                <w:sz w:val="25"/>
                <w:szCs w:val="25"/>
              </w:rPr>
            </w:pPr>
            <w:r>
              <w:rPr>
                <w:sz w:val="25"/>
                <w:szCs w:val="25"/>
                <w:color w:val="404040"/>
                <w:spacing w:val="5"/>
              </w:rPr>
              <w:t>较重</w:t>
            </w:r>
          </w:p>
        </w:tc>
        <w:tc>
          <w:tcPr>
            <w:tcW w:w="6026" w:type="dxa"/>
            <w:vAlign w:val="top"/>
          </w:tcPr>
          <w:p>
            <w:pPr>
              <w:pStyle w:val="TableText"/>
              <w:ind w:left="121" w:hanging="10"/>
              <w:spacing w:before="115" w:line="328" w:lineRule="auto"/>
              <w:rPr>
                <w:sz w:val="25"/>
                <w:szCs w:val="25"/>
              </w:rPr>
            </w:pPr>
            <w:r>
              <w:rPr>
                <w:sz w:val="25"/>
                <w:szCs w:val="25"/>
                <w:spacing w:val="-4"/>
              </w:rPr>
              <w:t>未按照规定报告医疗器械使用安全事件，影响卫生健康</w:t>
            </w:r>
            <w:r>
              <w:rPr>
                <w:sz w:val="25"/>
                <w:szCs w:val="25"/>
              </w:rPr>
              <w:t xml:space="preserve"> </w:t>
            </w:r>
            <w:r>
              <w:rPr>
                <w:sz w:val="25"/>
                <w:szCs w:val="25"/>
                <w:spacing w:val="-1"/>
              </w:rPr>
              <w:t>主管部门开展的医疗器械使用安全事件调查。</w:t>
            </w:r>
          </w:p>
        </w:tc>
        <w:tc>
          <w:tcPr>
            <w:tcW w:w="6290" w:type="dxa"/>
            <w:vAlign w:val="top"/>
          </w:tcPr>
          <w:p>
            <w:pPr>
              <w:spacing w:line="343" w:lineRule="auto"/>
              <w:rPr>
                <w:rFonts w:ascii="Arial"/>
                <w:sz w:val="21"/>
              </w:rPr>
            </w:pPr>
            <w:r/>
          </w:p>
          <w:p>
            <w:pPr>
              <w:pStyle w:val="TableText"/>
              <w:ind w:left="105"/>
              <w:spacing w:before="81" w:line="219" w:lineRule="auto"/>
              <w:rPr>
                <w:sz w:val="25"/>
                <w:szCs w:val="25"/>
              </w:rPr>
            </w:pPr>
            <w:r>
              <w:rPr>
                <w:sz w:val="25"/>
                <w:szCs w:val="25"/>
              </w:rPr>
              <w:t>可以并处五千元以上三万元以下罚款。</w:t>
            </w:r>
          </w:p>
        </w:tc>
      </w:tr>
    </w:tbl>
    <w:p>
      <w:pPr>
        <w:ind w:left="685" w:firstLine="109"/>
        <w:spacing w:before="120" w:line="281" w:lineRule="auto"/>
        <w:rPr>
          <w:rFonts w:ascii="FangSong" w:hAnsi="FangSong" w:eastAsia="FangSong" w:cs="FangSong"/>
          <w:sz w:val="27"/>
          <w:szCs w:val="27"/>
        </w:rPr>
      </w:pPr>
      <w:r>
        <w:rPr>
          <w:rFonts w:ascii="FangSong" w:hAnsi="FangSong" w:eastAsia="FangSong" w:cs="FangSong"/>
          <w:sz w:val="31"/>
          <w:szCs w:val="31"/>
          <w:spacing w:val="14"/>
        </w:rPr>
        <w:t>(五)不配合卫生健康主管部门开展的医疗器械使用安全事件调查和临床使用行为的监督检查。</w:t>
      </w:r>
      <w:r>
        <w:rPr>
          <w:rFonts w:ascii="FangSong" w:hAnsi="FangSong" w:eastAsia="FangSong" w:cs="FangSong"/>
          <w:sz w:val="31"/>
          <w:szCs w:val="31"/>
          <w:spacing w:val="6"/>
        </w:rPr>
        <w:t xml:space="preserve"> </w:t>
      </w:r>
      <w:r>
        <w:rPr>
          <w:rFonts w:ascii="FangSong" w:hAnsi="FangSong" w:eastAsia="FangSong" w:cs="FangSong"/>
          <w:sz w:val="27"/>
          <w:szCs w:val="27"/>
          <w:spacing w:val="26"/>
        </w:rPr>
        <w:t>法律依据：</w:t>
      </w:r>
    </w:p>
    <w:p>
      <w:pPr>
        <w:ind w:left="6429"/>
        <w:spacing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310" w:type="dxa"/>
        <w:tblInd w:w="3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84"/>
        <w:gridCol w:w="6025"/>
        <w:gridCol w:w="6301"/>
      </w:tblGrid>
      <w:tr>
        <w:trPr>
          <w:trHeight w:val="1092" w:hRule="atLeast"/>
        </w:trPr>
        <w:tc>
          <w:tcPr>
            <w:tcW w:w="984" w:type="dxa"/>
            <w:vAlign w:val="top"/>
          </w:tcPr>
          <w:p>
            <w:pPr>
              <w:pStyle w:val="TableText"/>
              <w:ind w:left="238"/>
              <w:spacing w:before="69" w:line="225" w:lineRule="auto"/>
              <w:rPr>
                <w:sz w:val="25"/>
                <w:szCs w:val="25"/>
              </w:rPr>
            </w:pPr>
            <w:r>
              <w:rPr>
                <w:sz w:val="25"/>
                <w:szCs w:val="25"/>
                <w:b/>
                <w:bCs/>
                <w:spacing w:val="-6"/>
              </w:rPr>
              <w:t>违法</w:t>
            </w:r>
          </w:p>
          <w:p>
            <w:pPr>
              <w:pStyle w:val="TableText"/>
              <w:ind w:left="238"/>
              <w:spacing w:before="148" w:line="220" w:lineRule="auto"/>
              <w:rPr>
                <w:sz w:val="25"/>
                <w:szCs w:val="25"/>
              </w:rPr>
            </w:pPr>
            <w:r>
              <w:rPr>
                <w:sz w:val="25"/>
                <w:szCs w:val="25"/>
                <w:b/>
                <w:bCs/>
                <w:spacing w:val="-5"/>
              </w:rPr>
              <w:t>程度</w:t>
            </w:r>
          </w:p>
        </w:tc>
        <w:tc>
          <w:tcPr>
            <w:tcW w:w="6025" w:type="dxa"/>
            <w:vAlign w:val="top"/>
          </w:tcPr>
          <w:p>
            <w:pPr>
              <w:spacing w:line="339" w:lineRule="auto"/>
              <w:rPr>
                <w:rFonts w:ascii="Arial"/>
                <w:sz w:val="21"/>
              </w:rPr>
            </w:pPr>
            <w:r/>
          </w:p>
          <w:p>
            <w:pPr>
              <w:pStyle w:val="TableText"/>
              <w:ind w:left="2504"/>
              <w:spacing w:before="81" w:line="220" w:lineRule="auto"/>
              <w:rPr>
                <w:sz w:val="25"/>
                <w:szCs w:val="25"/>
              </w:rPr>
            </w:pPr>
            <w:r>
              <w:rPr>
                <w:sz w:val="25"/>
                <w:szCs w:val="25"/>
                <w:b/>
                <w:bCs/>
                <w:spacing w:val="-5"/>
              </w:rPr>
              <w:t>违法后果</w:t>
            </w:r>
          </w:p>
        </w:tc>
        <w:tc>
          <w:tcPr>
            <w:tcW w:w="6301" w:type="dxa"/>
            <w:vAlign w:val="top"/>
          </w:tcPr>
          <w:p>
            <w:pPr>
              <w:pStyle w:val="TableText"/>
              <w:ind w:left="2609"/>
              <w:spacing w:before="289" w:line="218" w:lineRule="auto"/>
              <w:rPr>
                <w:sz w:val="25"/>
                <w:szCs w:val="25"/>
              </w:rPr>
            </w:pPr>
            <w:r>
              <w:rPr>
                <w:sz w:val="25"/>
                <w:szCs w:val="25"/>
                <w:b/>
                <w:bCs/>
                <w:spacing w:val="-5"/>
              </w:rPr>
              <w:t>裁量幅度</w:t>
            </w:r>
          </w:p>
        </w:tc>
      </w:tr>
      <w:tr>
        <w:trPr>
          <w:trHeight w:val="1057" w:hRule="atLeast"/>
        </w:trPr>
        <w:tc>
          <w:tcPr>
            <w:tcW w:w="984" w:type="dxa"/>
            <w:vAlign w:val="top"/>
          </w:tcPr>
          <w:p>
            <w:pPr>
              <w:pStyle w:val="TableText"/>
              <w:ind w:left="234"/>
              <w:spacing w:before="314" w:line="221" w:lineRule="auto"/>
              <w:rPr>
                <w:sz w:val="25"/>
                <w:szCs w:val="25"/>
              </w:rPr>
            </w:pPr>
            <w:r>
              <w:rPr>
                <w:sz w:val="25"/>
                <w:szCs w:val="25"/>
                <w:spacing w:val="5"/>
              </w:rPr>
              <w:t>一般</w:t>
            </w:r>
          </w:p>
        </w:tc>
        <w:tc>
          <w:tcPr>
            <w:tcW w:w="6025" w:type="dxa"/>
            <w:vAlign w:val="top"/>
          </w:tcPr>
          <w:p>
            <w:pPr>
              <w:pStyle w:val="TableText"/>
              <w:ind w:left="119" w:right="3" w:hanging="119"/>
              <w:spacing w:before="82" w:line="320" w:lineRule="auto"/>
              <w:rPr>
                <w:sz w:val="25"/>
                <w:szCs w:val="25"/>
              </w:rPr>
            </w:pPr>
            <w:r>
              <w:rPr>
                <w:sz w:val="25"/>
                <w:szCs w:val="25"/>
              </w:rPr>
              <w:t>不配合卫生健康主管部门开展的医疗器械使用安全事件</w:t>
            </w:r>
            <w:r>
              <w:rPr>
                <w:sz w:val="25"/>
                <w:szCs w:val="25"/>
                <w:spacing w:val="9"/>
              </w:rPr>
              <w:t xml:space="preserve"> </w:t>
            </w:r>
            <w:r>
              <w:rPr>
                <w:sz w:val="25"/>
                <w:szCs w:val="25"/>
                <w:spacing w:val="-1"/>
              </w:rPr>
              <w:t>调查和临床使用行为的监督检查。</w:t>
            </w:r>
          </w:p>
        </w:tc>
        <w:tc>
          <w:tcPr>
            <w:tcW w:w="6301" w:type="dxa"/>
            <w:vAlign w:val="top"/>
          </w:tcPr>
          <w:p>
            <w:pPr>
              <w:pStyle w:val="TableText"/>
              <w:ind w:left="116"/>
              <w:spacing w:before="311" w:line="218" w:lineRule="auto"/>
              <w:rPr>
                <w:sz w:val="25"/>
                <w:szCs w:val="25"/>
              </w:rPr>
            </w:pPr>
            <w:r>
              <w:rPr>
                <w:sz w:val="25"/>
                <w:szCs w:val="25"/>
                <w:spacing w:val="1"/>
              </w:rPr>
              <w:t>给予警告。</w:t>
            </w:r>
          </w:p>
        </w:tc>
      </w:tr>
      <w:tr>
        <w:trPr>
          <w:trHeight w:val="1521" w:hRule="atLeast"/>
        </w:trPr>
        <w:tc>
          <w:tcPr>
            <w:tcW w:w="984" w:type="dxa"/>
            <w:vAlign w:val="top"/>
          </w:tcPr>
          <w:p>
            <w:pPr>
              <w:spacing w:line="282" w:lineRule="auto"/>
              <w:rPr>
                <w:rFonts w:ascii="Arial"/>
                <w:sz w:val="21"/>
              </w:rPr>
            </w:pPr>
            <w:r/>
          </w:p>
          <w:p>
            <w:pPr>
              <w:spacing w:line="283" w:lineRule="auto"/>
              <w:rPr>
                <w:rFonts w:ascii="Arial"/>
                <w:sz w:val="21"/>
              </w:rPr>
            </w:pPr>
            <w:r/>
          </w:p>
          <w:p>
            <w:pPr>
              <w:pStyle w:val="TableText"/>
              <w:ind w:left="234"/>
              <w:spacing w:before="81" w:line="221" w:lineRule="auto"/>
              <w:rPr>
                <w:sz w:val="25"/>
                <w:szCs w:val="25"/>
              </w:rPr>
            </w:pPr>
            <w:r>
              <w:rPr>
                <w:sz w:val="25"/>
                <w:szCs w:val="25"/>
                <w:color w:val="404040"/>
                <w:spacing w:val="5"/>
              </w:rPr>
              <w:t>较重</w:t>
            </w:r>
          </w:p>
        </w:tc>
        <w:tc>
          <w:tcPr>
            <w:tcW w:w="6025" w:type="dxa"/>
            <w:vAlign w:val="top"/>
          </w:tcPr>
          <w:p>
            <w:pPr>
              <w:pStyle w:val="TableText"/>
              <w:ind w:left="61" w:right="62"/>
              <w:spacing w:before="104" w:line="334" w:lineRule="auto"/>
              <w:jc w:val="both"/>
              <w:rPr>
                <w:sz w:val="25"/>
                <w:szCs w:val="25"/>
              </w:rPr>
            </w:pPr>
            <w:r>
              <w:rPr>
                <w:sz w:val="25"/>
                <w:szCs w:val="25"/>
              </w:rPr>
              <w:t>有下列情形之一的：(1)严重影响卫生健康主管部门开</w:t>
            </w:r>
            <w:r>
              <w:rPr>
                <w:sz w:val="25"/>
                <w:szCs w:val="25"/>
                <w:spacing w:val="14"/>
              </w:rPr>
              <w:t xml:space="preserve"> </w:t>
            </w:r>
            <w:r>
              <w:rPr>
                <w:sz w:val="25"/>
                <w:szCs w:val="25"/>
              </w:rPr>
              <w:t>展的临床使用行为的正常监督检查；(2)严重影响卫生</w:t>
            </w:r>
            <w:r>
              <w:rPr>
                <w:sz w:val="25"/>
                <w:szCs w:val="25"/>
                <w:spacing w:val="15"/>
              </w:rPr>
              <w:t xml:space="preserve"> </w:t>
            </w:r>
            <w:r>
              <w:rPr>
                <w:sz w:val="25"/>
                <w:szCs w:val="25"/>
                <w:spacing w:val="2"/>
              </w:rPr>
              <w:t>健康主管部门开展的医疗器械使用安全事件调查。</w:t>
            </w:r>
          </w:p>
        </w:tc>
        <w:tc>
          <w:tcPr>
            <w:tcW w:w="6301" w:type="dxa"/>
            <w:vAlign w:val="top"/>
          </w:tcPr>
          <w:p>
            <w:pPr>
              <w:spacing w:line="280" w:lineRule="auto"/>
              <w:rPr>
                <w:rFonts w:ascii="Arial"/>
                <w:sz w:val="21"/>
              </w:rPr>
            </w:pPr>
            <w:r/>
          </w:p>
          <w:p>
            <w:pPr>
              <w:spacing w:line="281" w:lineRule="auto"/>
              <w:rPr>
                <w:rFonts w:ascii="Arial"/>
                <w:sz w:val="21"/>
              </w:rPr>
            </w:pPr>
            <w:r/>
          </w:p>
          <w:p>
            <w:pPr>
              <w:pStyle w:val="TableText"/>
              <w:ind w:left="116"/>
              <w:spacing w:before="82" w:line="219" w:lineRule="auto"/>
              <w:rPr>
                <w:sz w:val="25"/>
                <w:szCs w:val="25"/>
              </w:rPr>
            </w:pPr>
            <w:r>
              <w:rPr>
                <w:sz w:val="25"/>
                <w:szCs w:val="25"/>
              </w:rPr>
              <w:t>可以并处五千元以上三万元以下罚款。</w:t>
            </w:r>
          </w:p>
        </w:tc>
      </w:tr>
    </w:tbl>
    <w:p>
      <w:pPr>
        <w:pStyle w:val="BodyText"/>
        <w:rPr/>
      </w:pPr>
      <w:r/>
    </w:p>
    <w:p>
      <w:pPr>
        <w:sectPr>
          <w:footerReference w:type="default" r:id="rId350"/>
          <w:pgSz w:w="16830" w:h="11900"/>
          <w:pgMar w:top="1011" w:right="1314" w:bottom="1123" w:left="1414" w:header="0" w:footer="808" w:gutter="0"/>
        </w:sectPr>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ind w:left="889"/>
        <w:spacing w:before="100" w:line="223" w:lineRule="auto"/>
        <w:rPr>
          <w:rFonts w:ascii="KaiTi" w:hAnsi="KaiTi" w:eastAsia="KaiTi" w:cs="KaiTi"/>
          <w:sz w:val="31"/>
          <w:szCs w:val="31"/>
        </w:rPr>
      </w:pPr>
      <w:bookmarkStart w:name="bookmark1000" w:id="369"/>
      <w:bookmarkEnd w:id="369"/>
      <w:r>
        <w:rPr>
          <w:rFonts w:ascii="KaiTi" w:hAnsi="KaiTi" w:eastAsia="KaiTi" w:cs="KaiTi"/>
          <w:sz w:val="31"/>
          <w:szCs w:val="31"/>
          <w:b/>
          <w:bCs/>
          <w:spacing w:val="19"/>
        </w:rPr>
        <w:t>(二十四)《医疗质量管理办法》</w:t>
      </w:r>
    </w:p>
    <w:p>
      <w:pPr>
        <w:ind w:left="779"/>
        <w:spacing w:before="307" w:line="220" w:lineRule="auto"/>
        <w:rPr>
          <w:rFonts w:ascii="FangSong" w:hAnsi="FangSong" w:eastAsia="FangSong" w:cs="FangSong"/>
          <w:sz w:val="31"/>
          <w:szCs w:val="31"/>
        </w:rPr>
      </w:pPr>
      <w:r>
        <w:rPr>
          <w:rFonts w:ascii="FangSong" w:hAnsi="FangSong" w:eastAsia="FangSong" w:cs="FangSong"/>
          <w:sz w:val="31"/>
          <w:szCs w:val="31"/>
          <w:b/>
          <w:bCs/>
          <w:spacing w:val="12"/>
        </w:rPr>
        <w:t>第二百九十九条医疗机构未按照规定落实医疗质量管理办</w:t>
      </w:r>
      <w:r>
        <w:rPr>
          <w:rFonts w:ascii="FangSong" w:hAnsi="FangSong" w:eastAsia="FangSong" w:cs="FangSong"/>
          <w:sz w:val="31"/>
          <w:szCs w:val="31"/>
          <w:b/>
          <w:bCs/>
          <w:spacing w:val="11"/>
        </w:rPr>
        <w:t>法的</w:t>
      </w:r>
    </w:p>
    <w:p>
      <w:pPr>
        <w:ind w:left="774"/>
        <w:spacing w:before="127"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134" w:right="95" w:firstLine="594"/>
        <w:spacing w:before="92" w:line="260" w:lineRule="auto"/>
        <w:jc w:val="both"/>
        <w:rPr>
          <w:rFonts w:ascii="FangSong" w:hAnsi="FangSong" w:eastAsia="FangSong" w:cs="FangSong"/>
          <w:sz w:val="31"/>
          <w:szCs w:val="31"/>
        </w:rPr>
      </w:pPr>
      <w:r>
        <w:rPr>
          <w:rFonts w:ascii="FangSong" w:hAnsi="FangSong" w:eastAsia="FangSong" w:cs="FangSong"/>
          <w:sz w:val="31"/>
          <w:szCs w:val="31"/>
          <w:spacing w:val="10"/>
        </w:rPr>
        <w:t>《医疗质量管理办法》第四十四条</w:t>
      </w:r>
      <w:r>
        <w:rPr>
          <w:rFonts w:ascii="FangSong" w:hAnsi="FangSong" w:eastAsia="FangSong" w:cs="FangSong"/>
          <w:sz w:val="31"/>
          <w:szCs w:val="31"/>
          <w:spacing w:val="10"/>
        </w:rPr>
        <w:t xml:space="preserve">   </w:t>
      </w:r>
      <w:r>
        <w:rPr>
          <w:rFonts w:ascii="FangSong" w:hAnsi="FangSong" w:eastAsia="FangSong" w:cs="FangSong"/>
          <w:sz w:val="31"/>
          <w:szCs w:val="31"/>
          <w:spacing w:val="10"/>
        </w:rPr>
        <w:t>医疗机构有下列情形之一的，由县级以上卫生计生行政部</w:t>
      </w:r>
      <w:r>
        <w:rPr>
          <w:rFonts w:ascii="FangSong" w:hAnsi="FangSong" w:eastAsia="FangSong" w:cs="FangSong"/>
          <w:sz w:val="31"/>
          <w:szCs w:val="31"/>
          <w:spacing w:val="6"/>
        </w:rPr>
        <w:t xml:space="preserve"> </w:t>
      </w:r>
      <w:r>
        <w:rPr>
          <w:rFonts w:ascii="FangSong" w:hAnsi="FangSong" w:eastAsia="FangSong" w:cs="FangSong"/>
          <w:sz w:val="31"/>
          <w:szCs w:val="31"/>
          <w:spacing w:val="7"/>
        </w:rPr>
        <w:t>门责令限期改正；逾期不改的，给予警告，并处三万元以下罚款；对公立医疗</w:t>
      </w:r>
      <w:r>
        <w:rPr>
          <w:rFonts w:ascii="FangSong" w:hAnsi="FangSong" w:eastAsia="FangSong" w:cs="FangSong"/>
          <w:sz w:val="31"/>
          <w:szCs w:val="31"/>
          <w:spacing w:val="6"/>
        </w:rPr>
        <w:t>机构负有责任的主管人</w:t>
      </w:r>
      <w:r>
        <w:rPr>
          <w:rFonts w:ascii="FangSong" w:hAnsi="FangSong" w:eastAsia="FangSong" w:cs="FangSong"/>
          <w:sz w:val="31"/>
          <w:szCs w:val="31"/>
        </w:rPr>
        <w:t xml:space="preserve"> </w:t>
      </w:r>
      <w:r>
        <w:rPr>
          <w:rFonts w:ascii="FangSong" w:hAnsi="FangSong" w:eastAsia="FangSong" w:cs="FangSong"/>
          <w:sz w:val="31"/>
          <w:szCs w:val="31"/>
          <w:spacing w:val="4"/>
        </w:rPr>
        <w:t>员和其他直接责任人员，依法给予处分：</w:t>
      </w:r>
    </w:p>
    <w:p>
      <w:pPr>
        <w:ind w:left="884"/>
        <w:spacing w:line="220" w:lineRule="auto"/>
        <w:rPr>
          <w:rFonts w:ascii="FangSong" w:hAnsi="FangSong" w:eastAsia="FangSong" w:cs="FangSong"/>
          <w:sz w:val="31"/>
          <w:szCs w:val="31"/>
        </w:rPr>
      </w:pPr>
      <w:r>
        <w:rPr>
          <w:rFonts w:ascii="FangSong" w:hAnsi="FangSong" w:eastAsia="FangSong" w:cs="FangSong"/>
          <w:sz w:val="31"/>
          <w:szCs w:val="31"/>
          <w:spacing w:val="21"/>
        </w:rPr>
        <w:t>(一)未建立医疗质量管理部门或者未指定专(兼)职人员负责医疗质量管</w:t>
      </w:r>
      <w:r>
        <w:rPr>
          <w:rFonts w:ascii="FangSong" w:hAnsi="FangSong" w:eastAsia="FangSong" w:cs="FangSong"/>
          <w:sz w:val="31"/>
          <w:szCs w:val="31"/>
          <w:spacing w:val="20"/>
        </w:rPr>
        <w:t>理工作的；</w:t>
      </w:r>
    </w:p>
    <w:p>
      <w:pPr>
        <w:ind w:left="884"/>
        <w:spacing w:before="82" w:line="222" w:lineRule="auto"/>
        <w:rPr>
          <w:rFonts w:ascii="FangSong" w:hAnsi="FangSong" w:eastAsia="FangSong" w:cs="FangSong"/>
          <w:sz w:val="31"/>
          <w:szCs w:val="31"/>
        </w:rPr>
      </w:pPr>
      <w:r>
        <w:rPr>
          <w:rFonts w:ascii="FangSong" w:hAnsi="FangSong" w:eastAsia="FangSong" w:cs="FangSong"/>
          <w:sz w:val="31"/>
          <w:szCs w:val="31"/>
          <w:spacing w:val="15"/>
        </w:rPr>
        <w:t>(二)未建立医疗质量管理相关规章制度的；</w:t>
      </w:r>
    </w:p>
    <w:p>
      <w:pPr>
        <w:ind w:left="884"/>
        <w:spacing w:before="77" w:line="222" w:lineRule="auto"/>
        <w:rPr>
          <w:rFonts w:ascii="FangSong" w:hAnsi="FangSong" w:eastAsia="FangSong" w:cs="FangSong"/>
          <w:sz w:val="31"/>
          <w:szCs w:val="31"/>
        </w:rPr>
      </w:pPr>
      <w:r>
        <w:rPr>
          <w:rFonts w:ascii="FangSong" w:hAnsi="FangSong" w:eastAsia="FangSong" w:cs="FangSong"/>
          <w:sz w:val="31"/>
          <w:szCs w:val="31"/>
          <w:spacing w:val="13"/>
        </w:rPr>
        <w:t>(三)医疗质量管理制度不落实或者落实不到位，导致医疗质量管理混乱的；</w:t>
      </w:r>
    </w:p>
    <w:p>
      <w:pPr>
        <w:ind w:left="884"/>
        <w:spacing w:before="60" w:line="222" w:lineRule="auto"/>
        <w:rPr>
          <w:rFonts w:ascii="FangSong" w:hAnsi="FangSong" w:eastAsia="FangSong" w:cs="FangSong"/>
          <w:sz w:val="31"/>
          <w:szCs w:val="31"/>
        </w:rPr>
      </w:pPr>
      <w:r>
        <w:rPr>
          <w:rFonts w:ascii="FangSong" w:hAnsi="FangSong" w:eastAsia="FangSong" w:cs="FangSong"/>
          <w:sz w:val="31"/>
          <w:szCs w:val="31"/>
          <w:spacing w:val="15"/>
        </w:rPr>
        <w:t>(四)发生重大医疗质量安全事件隐匿不报的；</w:t>
      </w:r>
    </w:p>
    <w:p>
      <w:pPr>
        <w:ind w:left="884"/>
        <w:spacing w:before="55" w:line="222" w:lineRule="auto"/>
        <w:rPr>
          <w:rFonts w:ascii="FangSong" w:hAnsi="FangSong" w:eastAsia="FangSong" w:cs="FangSong"/>
          <w:sz w:val="31"/>
          <w:szCs w:val="31"/>
        </w:rPr>
      </w:pPr>
      <w:r>
        <w:rPr>
          <w:rFonts w:ascii="FangSong" w:hAnsi="FangSong" w:eastAsia="FangSong" w:cs="FangSong"/>
          <w:sz w:val="31"/>
          <w:szCs w:val="31"/>
          <w:spacing w:val="14"/>
        </w:rPr>
        <w:t>(五)未按照规定报送医疗质量安全相关信息的；</w:t>
      </w:r>
    </w:p>
    <w:p>
      <w:pPr>
        <w:ind w:left="884"/>
        <w:spacing w:before="36" w:line="221" w:lineRule="auto"/>
        <w:rPr>
          <w:rFonts w:ascii="FangSong" w:hAnsi="FangSong" w:eastAsia="FangSong" w:cs="FangSong"/>
          <w:sz w:val="31"/>
          <w:szCs w:val="31"/>
        </w:rPr>
      </w:pPr>
      <w:r>
        <w:rPr>
          <w:rFonts w:ascii="FangSong" w:hAnsi="FangSong" w:eastAsia="FangSong" w:cs="FangSong"/>
          <w:sz w:val="31"/>
          <w:szCs w:val="31"/>
          <w:spacing w:val="15"/>
        </w:rPr>
        <w:t>(六)其他违反本办法规定的行为。</w:t>
      </w:r>
    </w:p>
    <w:p>
      <w:pPr>
        <w:ind w:left="6528"/>
        <w:spacing w:before="90"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40" w:lineRule="auto"/>
        <w:rPr>
          <w:rFonts w:ascii="Arial"/>
          <w:sz w:val="2"/>
        </w:rPr>
      </w:pPr>
      <w:r>
        <w:rPr>
          <w:rFonts w:ascii="Arial"/>
          <w:sz w:val="2"/>
        </w:rPr>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8184"/>
        <w:gridCol w:w="4551"/>
      </w:tblGrid>
      <w:tr>
        <w:trPr>
          <w:trHeight w:val="1659" w:hRule="atLeast"/>
        </w:trPr>
        <w:tc>
          <w:tcPr>
            <w:tcW w:w="1424" w:type="dxa"/>
            <w:vAlign w:val="top"/>
          </w:tcPr>
          <w:p>
            <w:pPr>
              <w:spacing w:line="297" w:lineRule="auto"/>
              <w:rPr>
                <w:rFonts w:ascii="Arial"/>
                <w:sz w:val="21"/>
              </w:rPr>
            </w:pPr>
            <w:r/>
          </w:p>
          <w:p>
            <w:pPr>
              <w:spacing w:line="298" w:lineRule="auto"/>
              <w:rPr>
                <w:rFonts w:ascii="Arial"/>
                <w:sz w:val="21"/>
              </w:rPr>
            </w:pPr>
            <w:r/>
          </w:p>
          <w:p>
            <w:pPr>
              <w:pStyle w:val="TableText"/>
              <w:ind w:left="139"/>
              <w:spacing w:before="94" w:line="220" w:lineRule="auto"/>
              <w:rPr>
                <w:sz w:val="29"/>
                <w:szCs w:val="29"/>
              </w:rPr>
            </w:pPr>
            <w:r>
              <w:rPr>
                <w:sz w:val="29"/>
                <w:szCs w:val="29"/>
                <w:b/>
                <w:bCs/>
                <w:spacing w:val="-1"/>
              </w:rPr>
              <w:t>违法程度</w:t>
            </w:r>
          </w:p>
        </w:tc>
        <w:tc>
          <w:tcPr>
            <w:tcW w:w="8184" w:type="dxa"/>
            <w:vAlign w:val="top"/>
          </w:tcPr>
          <w:p>
            <w:pPr>
              <w:spacing w:line="297" w:lineRule="auto"/>
              <w:rPr>
                <w:rFonts w:ascii="Arial"/>
                <w:sz w:val="21"/>
              </w:rPr>
            </w:pPr>
            <w:r/>
          </w:p>
          <w:p>
            <w:pPr>
              <w:spacing w:line="298" w:lineRule="auto"/>
              <w:rPr>
                <w:rFonts w:ascii="Arial"/>
                <w:sz w:val="21"/>
              </w:rPr>
            </w:pPr>
            <w:r/>
          </w:p>
          <w:p>
            <w:pPr>
              <w:pStyle w:val="TableText"/>
              <w:ind w:left="3525"/>
              <w:spacing w:before="94" w:line="220" w:lineRule="auto"/>
              <w:rPr>
                <w:sz w:val="29"/>
                <w:szCs w:val="29"/>
              </w:rPr>
            </w:pPr>
            <w:r>
              <w:rPr>
                <w:sz w:val="29"/>
                <w:szCs w:val="29"/>
                <w:b/>
                <w:bCs/>
                <w:spacing w:val="-1"/>
              </w:rPr>
              <w:t>违法后果</w:t>
            </w:r>
          </w:p>
        </w:tc>
        <w:tc>
          <w:tcPr>
            <w:tcW w:w="4551" w:type="dxa"/>
            <w:vAlign w:val="top"/>
          </w:tcPr>
          <w:p>
            <w:pPr>
              <w:spacing w:line="296" w:lineRule="auto"/>
              <w:rPr>
                <w:rFonts w:ascii="Arial"/>
                <w:sz w:val="21"/>
              </w:rPr>
            </w:pPr>
            <w:r/>
          </w:p>
          <w:p>
            <w:pPr>
              <w:spacing w:line="296" w:lineRule="auto"/>
              <w:rPr>
                <w:rFonts w:ascii="Arial"/>
                <w:sz w:val="21"/>
              </w:rPr>
            </w:pPr>
            <w:r/>
          </w:p>
          <w:p>
            <w:pPr>
              <w:pStyle w:val="TableText"/>
              <w:ind w:left="1701"/>
              <w:spacing w:before="94" w:line="218" w:lineRule="auto"/>
              <w:rPr>
                <w:sz w:val="29"/>
                <w:szCs w:val="29"/>
              </w:rPr>
            </w:pPr>
            <w:r>
              <w:rPr>
                <w:sz w:val="29"/>
                <w:szCs w:val="29"/>
                <w:b/>
                <w:bCs/>
                <w:spacing w:val="-1"/>
              </w:rPr>
              <w:t>裁量幅度</w:t>
            </w:r>
          </w:p>
        </w:tc>
      </w:tr>
    </w:tbl>
    <w:p>
      <w:pPr>
        <w:pStyle w:val="BodyText"/>
        <w:rPr/>
      </w:pPr>
      <w:r/>
    </w:p>
    <w:p>
      <w:pPr>
        <w:sectPr>
          <w:footerReference w:type="default" r:id="rId351"/>
          <w:pgSz w:w="16830" w:h="11900"/>
          <w:pgMar w:top="1011" w:right="1335" w:bottom="1117" w:left="1325" w:header="0" w:footer="784" w:gutter="0"/>
        </w:sectPr>
        <w:rPr/>
      </w:pPr>
    </w:p>
    <w:p>
      <w:pPr>
        <w:spacing w:before="17"/>
        <w:rPr/>
      </w:pPr>
      <w:r/>
    </w:p>
    <w:p>
      <w:pPr>
        <w:spacing w:before="16"/>
        <w:rPr/>
      </w:pPr>
      <w:r/>
    </w:p>
    <w:p>
      <w:pPr>
        <w:spacing w:before="16"/>
        <w:rPr/>
      </w:pPr>
      <w:r/>
    </w:p>
    <w:tbl>
      <w:tblPr>
        <w:tblStyle w:val="TableNormal"/>
        <w:tblW w:w="1420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8154"/>
        <w:gridCol w:w="4616"/>
      </w:tblGrid>
      <w:tr>
        <w:trPr>
          <w:trHeight w:val="2649" w:hRule="atLeast"/>
        </w:trPr>
        <w:tc>
          <w:tcPr>
            <w:tcW w:w="1434" w:type="dxa"/>
            <w:vAlign w:val="top"/>
          </w:tcPr>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118"/>
              <w:spacing w:before="81" w:line="221" w:lineRule="auto"/>
              <w:rPr>
                <w:sz w:val="25"/>
                <w:szCs w:val="25"/>
              </w:rPr>
            </w:pPr>
            <w:bookmarkStart w:name="bookmark1001" w:id="370"/>
            <w:bookmarkEnd w:id="370"/>
            <w:r>
              <w:rPr>
                <w:sz w:val="25"/>
                <w:szCs w:val="25"/>
                <w:b/>
                <w:bCs/>
                <w:spacing w:val="-10"/>
              </w:rPr>
              <w:t>一般</w:t>
            </w:r>
          </w:p>
        </w:tc>
        <w:tc>
          <w:tcPr>
            <w:tcW w:w="8154" w:type="dxa"/>
            <w:vAlign w:val="top"/>
          </w:tcPr>
          <w:p>
            <w:pPr>
              <w:pStyle w:val="TableText"/>
              <w:ind w:left="69" w:hanging="69"/>
              <w:spacing w:before="136" w:line="308" w:lineRule="auto"/>
              <w:jc w:val="both"/>
              <w:rPr>
                <w:sz w:val="25"/>
                <w:szCs w:val="25"/>
              </w:rPr>
            </w:pPr>
            <w:r>
              <w:rPr>
                <w:sz w:val="25"/>
                <w:szCs w:val="25"/>
                <w:spacing w:val="-3"/>
              </w:rPr>
              <w:t>医疗机构未按照规定落实医疗质量管理办法，经责令限</w:t>
            </w:r>
            <w:r>
              <w:rPr>
                <w:sz w:val="25"/>
                <w:szCs w:val="25"/>
                <w:spacing w:val="-4"/>
              </w:rPr>
              <w:t>期改正逾期不改的，</w:t>
            </w:r>
            <w:r>
              <w:rPr>
                <w:sz w:val="25"/>
                <w:szCs w:val="25"/>
              </w:rPr>
              <w:t xml:space="preserve"> </w:t>
            </w:r>
            <w:r>
              <w:rPr>
                <w:sz w:val="25"/>
                <w:szCs w:val="25"/>
                <w:spacing w:val="-2"/>
              </w:rPr>
              <w:t>有下列情形之一的：A.未建立医疗质量管理部门或者未</w:t>
            </w:r>
            <w:r>
              <w:rPr>
                <w:sz w:val="25"/>
                <w:szCs w:val="25"/>
                <w:spacing w:val="-3"/>
              </w:rPr>
              <w:t>指定专(兼)职人员</w:t>
            </w:r>
            <w:r>
              <w:rPr>
                <w:sz w:val="25"/>
                <w:szCs w:val="25"/>
              </w:rPr>
              <w:t xml:space="preserve">  </w:t>
            </w:r>
            <w:r>
              <w:rPr>
                <w:sz w:val="25"/>
                <w:szCs w:val="25"/>
                <w:spacing w:val="-8"/>
              </w:rPr>
              <w:t>负责医疗质量管理工作的；B.未建立医疗质量管理相关规章制度的；C.医疗</w:t>
            </w:r>
            <w:r>
              <w:rPr>
                <w:sz w:val="25"/>
                <w:szCs w:val="25"/>
              </w:rPr>
              <w:t xml:space="preserve"> </w:t>
            </w:r>
            <w:r>
              <w:rPr>
                <w:sz w:val="25"/>
                <w:szCs w:val="25"/>
                <w:spacing w:val="-8"/>
              </w:rPr>
              <w:t>质量管理制度不落实或者落实不到位，导致医疗质量管理混</w:t>
            </w:r>
            <w:r>
              <w:rPr>
                <w:sz w:val="25"/>
                <w:szCs w:val="25"/>
                <w:spacing w:val="-9"/>
              </w:rPr>
              <w:t>乱的；D.发生重</w:t>
            </w:r>
            <w:r>
              <w:rPr>
                <w:sz w:val="25"/>
                <w:szCs w:val="25"/>
              </w:rPr>
              <w:t xml:space="preserve"> </w:t>
            </w:r>
            <w:r>
              <w:rPr>
                <w:sz w:val="25"/>
                <w:szCs w:val="25"/>
                <w:spacing w:val="-8"/>
              </w:rPr>
              <w:t>大医疗质量安全事件隐匿不报的；E.未按照规定报送医疗质量安全相关信息</w:t>
            </w:r>
            <w:r>
              <w:rPr>
                <w:sz w:val="25"/>
                <w:szCs w:val="25"/>
              </w:rPr>
              <w:t xml:space="preserve"> </w:t>
            </w:r>
            <w:r>
              <w:rPr>
                <w:sz w:val="25"/>
                <w:szCs w:val="25"/>
              </w:rPr>
              <w:t>的；F.其他违反本办法规定的行为</w:t>
            </w:r>
          </w:p>
        </w:tc>
        <w:tc>
          <w:tcPr>
            <w:tcW w:w="4616" w:type="dxa"/>
            <w:vAlign w:val="top"/>
          </w:tcPr>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126"/>
              <w:spacing w:before="82" w:line="218" w:lineRule="auto"/>
              <w:rPr>
                <w:sz w:val="25"/>
                <w:szCs w:val="25"/>
              </w:rPr>
            </w:pPr>
            <w:r>
              <w:rPr>
                <w:sz w:val="25"/>
                <w:szCs w:val="25"/>
              </w:rPr>
              <w:t>给予警告，处以一万元以下罚款</w:t>
            </w:r>
          </w:p>
        </w:tc>
      </w:tr>
      <w:tr>
        <w:trPr>
          <w:trHeight w:val="878" w:hRule="atLeast"/>
        </w:trPr>
        <w:tc>
          <w:tcPr>
            <w:tcW w:w="1434" w:type="dxa"/>
            <w:vAlign w:val="top"/>
          </w:tcPr>
          <w:p>
            <w:pPr>
              <w:pStyle w:val="TableText"/>
              <w:ind w:left="458"/>
              <w:spacing w:before="136" w:line="221" w:lineRule="auto"/>
              <w:rPr>
                <w:sz w:val="25"/>
                <w:szCs w:val="25"/>
              </w:rPr>
            </w:pPr>
            <w:r>
              <w:rPr>
                <w:sz w:val="25"/>
                <w:szCs w:val="25"/>
                <w:b/>
                <w:bCs/>
                <w:spacing w:val="-6"/>
              </w:rPr>
              <w:t>较重</w:t>
            </w:r>
          </w:p>
        </w:tc>
        <w:tc>
          <w:tcPr>
            <w:tcW w:w="8154" w:type="dxa"/>
            <w:vAlign w:val="top"/>
          </w:tcPr>
          <w:p>
            <w:pPr>
              <w:spacing w:line="242" w:lineRule="auto"/>
              <w:rPr>
                <w:rFonts w:ascii="Arial"/>
                <w:sz w:val="21"/>
              </w:rPr>
            </w:pPr>
            <w:r/>
          </w:p>
          <w:p>
            <w:pPr>
              <w:pStyle w:val="TableText"/>
              <w:ind w:left="111"/>
              <w:spacing w:before="81" w:line="219" w:lineRule="auto"/>
              <w:rPr>
                <w:sz w:val="25"/>
                <w:szCs w:val="25"/>
              </w:rPr>
            </w:pPr>
            <w:r>
              <w:rPr>
                <w:sz w:val="25"/>
                <w:szCs w:val="25"/>
              </w:rPr>
              <w:t>有上述两种情形，经责令限期改正逾期不改的</w:t>
            </w:r>
          </w:p>
        </w:tc>
        <w:tc>
          <w:tcPr>
            <w:tcW w:w="4616" w:type="dxa"/>
            <w:vAlign w:val="top"/>
          </w:tcPr>
          <w:p>
            <w:pPr>
              <w:pStyle w:val="TableText"/>
              <w:ind w:left="126"/>
              <w:spacing w:before="144" w:line="267" w:lineRule="auto"/>
              <w:rPr>
                <w:sz w:val="25"/>
                <w:szCs w:val="25"/>
              </w:rPr>
            </w:pPr>
            <w:r>
              <w:rPr>
                <w:sz w:val="25"/>
                <w:szCs w:val="25"/>
                <w:spacing w:val="-2"/>
              </w:rPr>
              <w:t>给予警告，处以一万元以上两万元以下罚</w:t>
            </w:r>
            <w:r>
              <w:rPr>
                <w:sz w:val="25"/>
                <w:szCs w:val="25"/>
                <w:spacing w:val="14"/>
              </w:rPr>
              <w:t xml:space="preserve"> </w:t>
            </w:r>
            <w:r>
              <w:rPr>
                <w:sz w:val="25"/>
                <w:szCs w:val="25"/>
              </w:rPr>
              <w:t>款</w:t>
            </w:r>
          </w:p>
        </w:tc>
      </w:tr>
      <w:tr>
        <w:trPr>
          <w:trHeight w:val="873" w:hRule="atLeast"/>
        </w:trPr>
        <w:tc>
          <w:tcPr>
            <w:tcW w:w="1434" w:type="dxa"/>
            <w:vAlign w:val="top"/>
          </w:tcPr>
          <w:p>
            <w:pPr>
              <w:pStyle w:val="TableText"/>
              <w:ind w:left="458"/>
              <w:spacing w:before="145" w:line="220" w:lineRule="auto"/>
              <w:rPr>
                <w:sz w:val="25"/>
                <w:szCs w:val="25"/>
              </w:rPr>
            </w:pPr>
            <w:r>
              <w:rPr>
                <w:sz w:val="25"/>
                <w:szCs w:val="25"/>
                <w:b/>
                <w:bCs/>
                <w:spacing w:val="-6"/>
              </w:rPr>
              <w:t>严重</w:t>
            </w:r>
          </w:p>
        </w:tc>
        <w:tc>
          <w:tcPr>
            <w:tcW w:w="8154" w:type="dxa"/>
            <w:vAlign w:val="top"/>
          </w:tcPr>
          <w:p>
            <w:pPr>
              <w:pStyle w:val="TableText"/>
              <w:ind w:left="111"/>
              <w:spacing w:before="316" w:line="219" w:lineRule="auto"/>
              <w:rPr>
                <w:sz w:val="25"/>
                <w:szCs w:val="25"/>
              </w:rPr>
            </w:pPr>
            <w:r>
              <w:rPr>
                <w:sz w:val="25"/>
                <w:szCs w:val="25"/>
              </w:rPr>
              <w:t>有上述两种以上情形，经责令限期改正逾期不改的</w:t>
            </w:r>
          </w:p>
        </w:tc>
        <w:tc>
          <w:tcPr>
            <w:tcW w:w="4616" w:type="dxa"/>
            <w:vAlign w:val="top"/>
          </w:tcPr>
          <w:p>
            <w:pPr>
              <w:pStyle w:val="TableText"/>
              <w:ind w:left="126"/>
              <w:spacing w:before="166" w:line="257" w:lineRule="auto"/>
              <w:rPr>
                <w:sz w:val="25"/>
                <w:szCs w:val="25"/>
              </w:rPr>
            </w:pPr>
            <w:r>
              <w:rPr>
                <w:sz w:val="25"/>
                <w:szCs w:val="25"/>
                <w:spacing w:val="-2"/>
              </w:rPr>
              <w:t>给予警告，处以两万元以上三万元以下罚</w:t>
            </w:r>
            <w:r>
              <w:rPr>
                <w:sz w:val="25"/>
                <w:szCs w:val="25"/>
                <w:spacing w:val="13"/>
              </w:rPr>
              <w:t xml:space="preserve"> </w:t>
            </w:r>
            <w:r>
              <w:rPr>
                <w:sz w:val="25"/>
                <w:szCs w:val="25"/>
              </w:rPr>
              <w:t>款</w:t>
            </w:r>
          </w:p>
        </w:tc>
      </w:tr>
    </w:tbl>
    <w:p>
      <w:pPr>
        <w:pStyle w:val="BodyText"/>
        <w:spacing w:line="425" w:lineRule="auto"/>
        <w:rPr/>
      </w:pPr>
      <w:r/>
    </w:p>
    <w:p>
      <w:pPr>
        <w:ind w:left="879"/>
        <w:spacing w:before="101" w:line="224" w:lineRule="auto"/>
        <w:rPr>
          <w:rFonts w:ascii="KaiTi" w:hAnsi="KaiTi" w:eastAsia="KaiTi" w:cs="KaiTi"/>
          <w:sz w:val="31"/>
          <w:szCs w:val="31"/>
        </w:rPr>
      </w:pPr>
      <w:r>
        <w:rPr>
          <w:rFonts w:ascii="KaiTi" w:hAnsi="KaiTi" w:eastAsia="KaiTi" w:cs="KaiTi"/>
          <w:sz w:val="31"/>
          <w:szCs w:val="31"/>
          <w:b/>
          <w:bCs/>
          <w:spacing w:val="17"/>
        </w:rPr>
        <w:t>(二十五)《残疾预防和残疾人康复条例》</w:t>
      </w:r>
    </w:p>
    <w:p>
      <w:pPr>
        <w:ind w:left="109" w:right="195" w:firstLine="670"/>
        <w:spacing w:before="331" w:line="262" w:lineRule="auto"/>
        <w:rPr>
          <w:rFonts w:ascii="FangSong" w:hAnsi="FangSong" w:eastAsia="FangSong" w:cs="FangSong"/>
          <w:sz w:val="31"/>
          <w:szCs w:val="31"/>
        </w:rPr>
      </w:pPr>
      <w:r>
        <w:rPr>
          <w:rFonts w:ascii="FangSong" w:hAnsi="FangSong" w:eastAsia="FangSong" w:cs="FangSong"/>
          <w:sz w:val="31"/>
          <w:szCs w:val="31"/>
          <w:b/>
          <w:bCs/>
          <w:spacing w:val="10"/>
        </w:rPr>
        <w:t>第三百条医疗卫生机构、康复机构及其工作人员未依照《残疾预防和残疾</w:t>
      </w:r>
      <w:r>
        <w:rPr>
          <w:rFonts w:ascii="FangSong" w:hAnsi="FangSong" w:eastAsia="FangSong" w:cs="FangSong"/>
          <w:sz w:val="31"/>
          <w:szCs w:val="31"/>
          <w:b/>
          <w:bCs/>
          <w:spacing w:val="9"/>
        </w:rPr>
        <w:t>人康复条例》规</w:t>
      </w:r>
      <w:r>
        <w:rPr>
          <w:rFonts w:ascii="FangSong" w:hAnsi="FangSong" w:eastAsia="FangSong" w:cs="FangSong"/>
          <w:sz w:val="31"/>
          <w:szCs w:val="31"/>
          <w:spacing w:val="9"/>
        </w:rPr>
        <w:t>定开</w:t>
      </w:r>
      <w:r>
        <w:rPr>
          <w:rFonts w:ascii="FangSong" w:hAnsi="FangSong" w:eastAsia="FangSong" w:cs="FangSong"/>
          <w:sz w:val="31"/>
          <w:szCs w:val="31"/>
        </w:rPr>
        <w:t xml:space="preserve"> </w:t>
      </w:r>
      <w:r>
        <w:rPr>
          <w:rFonts w:ascii="FangSong" w:hAnsi="FangSong" w:eastAsia="FangSong" w:cs="FangSong"/>
          <w:sz w:val="31"/>
          <w:szCs w:val="31"/>
          <w:b/>
          <w:bCs/>
          <w:spacing w:val="6"/>
        </w:rPr>
        <w:t>展残疾预防和残疾人康复工作的</w:t>
      </w:r>
    </w:p>
    <w:p>
      <w:pPr>
        <w:ind w:left="754"/>
        <w:spacing w:before="17"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104" w:right="74" w:firstLine="614"/>
        <w:spacing w:before="103" w:line="263" w:lineRule="auto"/>
        <w:jc w:val="both"/>
        <w:rPr>
          <w:rFonts w:ascii="FangSong" w:hAnsi="FangSong" w:eastAsia="FangSong" w:cs="FangSong"/>
          <w:sz w:val="31"/>
          <w:szCs w:val="31"/>
        </w:rPr>
      </w:pPr>
      <w:r>
        <w:rPr>
          <w:rFonts w:ascii="FangSong" w:hAnsi="FangSong" w:eastAsia="FangSong" w:cs="FangSong"/>
          <w:sz w:val="31"/>
          <w:szCs w:val="31"/>
          <w:spacing w:val="10"/>
        </w:rPr>
        <w:t>《残疾预防和残疾人康复条例》第三十三条</w:t>
      </w:r>
      <w:r>
        <w:rPr>
          <w:rFonts w:ascii="FangSong" w:hAnsi="FangSong" w:eastAsia="FangSong" w:cs="FangSong"/>
          <w:sz w:val="31"/>
          <w:szCs w:val="31"/>
          <w:spacing w:val="10"/>
        </w:rPr>
        <w:t xml:space="preserve">   </w:t>
      </w:r>
      <w:r>
        <w:rPr>
          <w:rFonts w:ascii="FangSong" w:hAnsi="FangSong" w:eastAsia="FangSong" w:cs="FangSong"/>
          <w:sz w:val="31"/>
          <w:szCs w:val="31"/>
          <w:spacing w:val="10"/>
        </w:rPr>
        <w:t>医疗卫生机构、康复机构及其工作人员未依照本</w:t>
      </w:r>
      <w:r>
        <w:rPr>
          <w:rFonts w:ascii="FangSong" w:hAnsi="FangSong" w:eastAsia="FangSong" w:cs="FangSong"/>
          <w:sz w:val="31"/>
          <w:szCs w:val="31"/>
          <w:spacing w:val="18"/>
        </w:rPr>
        <w:t xml:space="preserve"> </w:t>
      </w:r>
      <w:r>
        <w:rPr>
          <w:rFonts w:ascii="FangSong" w:hAnsi="FangSong" w:eastAsia="FangSong" w:cs="FangSong"/>
          <w:sz w:val="31"/>
          <w:szCs w:val="31"/>
          <w:spacing w:val="2"/>
        </w:rPr>
        <w:t>条例规定开展残疾预防和残疾人康复工作的，由有关主管部门按照各自职责分工责令改</w:t>
      </w:r>
      <w:r>
        <w:rPr>
          <w:rFonts w:ascii="FangSong" w:hAnsi="FangSong" w:eastAsia="FangSong" w:cs="FangSong"/>
          <w:sz w:val="31"/>
          <w:szCs w:val="31"/>
          <w:spacing w:val="1"/>
        </w:rPr>
        <w:t>正，给予警告；</w:t>
      </w:r>
      <w:r>
        <w:rPr>
          <w:rFonts w:ascii="FangSong" w:hAnsi="FangSong" w:eastAsia="FangSong" w:cs="FangSong"/>
          <w:sz w:val="31"/>
          <w:szCs w:val="31"/>
        </w:rPr>
        <w:t xml:space="preserve"> </w:t>
      </w:r>
      <w:r>
        <w:rPr>
          <w:rFonts w:ascii="FangSong" w:hAnsi="FangSong" w:eastAsia="FangSong" w:cs="FangSong"/>
          <w:sz w:val="31"/>
          <w:szCs w:val="31"/>
          <w:spacing w:val="8"/>
        </w:rPr>
        <w:t>情节严重的，责令暂停相关执业活动，依法对负有责任的领导人员和直接责任人员给予处分。</w:t>
      </w:r>
    </w:p>
    <w:p>
      <w:pPr>
        <w:spacing w:line="263" w:lineRule="auto"/>
        <w:sectPr>
          <w:footerReference w:type="default" r:id="rId352"/>
          <w:pgSz w:w="16830" w:h="11900"/>
          <w:pgMar w:top="1011" w:right="1280" w:bottom="1130" w:left="1335" w:header="0" w:footer="806" w:gutter="0"/>
        </w:sectPr>
        <w:rPr>
          <w:rFonts w:ascii="FangSong" w:hAnsi="FangSong" w:eastAsia="FangSong" w:cs="FangSong"/>
          <w:sz w:val="31"/>
          <w:szCs w:val="31"/>
        </w:rPr>
      </w:pPr>
    </w:p>
    <w:p>
      <w:pPr>
        <w:pStyle w:val="BodyText"/>
        <w:spacing w:line="259" w:lineRule="auto"/>
        <w:rPr/>
      </w:pPr>
      <w:r/>
    </w:p>
    <w:p>
      <w:pPr>
        <w:pStyle w:val="BodyText"/>
        <w:spacing w:line="259" w:lineRule="auto"/>
        <w:rPr/>
      </w:pPr>
      <w:r/>
    </w:p>
    <w:p>
      <w:pPr>
        <w:pStyle w:val="BodyText"/>
        <w:spacing w:line="260" w:lineRule="auto"/>
        <w:rPr/>
      </w:pPr>
      <w:r/>
    </w:p>
    <w:p>
      <w:pPr>
        <w:ind w:left="6519"/>
        <w:spacing w:before="94" w:line="214" w:lineRule="auto"/>
        <w:rPr>
          <w:rFonts w:ascii="SimSun" w:hAnsi="SimSun" w:eastAsia="SimSun" w:cs="SimSun"/>
          <w:sz w:val="29"/>
          <w:szCs w:val="29"/>
        </w:rPr>
      </w:pPr>
      <w:bookmarkStart w:name="bookmark1002" w:id="371"/>
      <w:bookmarkEnd w:id="371"/>
      <w:r>
        <w:rPr>
          <w:rFonts w:ascii="SimSun" w:hAnsi="SimSun" w:eastAsia="SimSun" w:cs="SimSun"/>
          <w:sz w:val="29"/>
          <w:szCs w:val="29"/>
          <w:b/>
          <w:bCs/>
          <w:spacing w:val="-6"/>
        </w:rPr>
        <w:t>裁量标准</w:t>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864"/>
        <w:gridCol w:w="4862"/>
      </w:tblGrid>
      <w:tr>
        <w:trPr>
          <w:trHeight w:val="443" w:hRule="atLeast"/>
        </w:trPr>
        <w:tc>
          <w:tcPr>
            <w:tcW w:w="1444" w:type="dxa"/>
            <w:vAlign w:val="top"/>
          </w:tcPr>
          <w:p>
            <w:pPr>
              <w:pStyle w:val="TableText"/>
              <w:ind w:left="218"/>
              <w:spacing w:before="102" w:line="220" w:lineRule="auto"/>
              <w:rPr>
                <w:sz w:val="25"/>
                <w:szCs w:val="25"/>
              </w:rPr>
            </w:pPr>
            <w:r>
              <w:rPr>
                <w:sz w:val="25"/>
                <w:szCs w:val="25"/>
                <w:b/>
                <w:bCs/>
                <w:spacing w:val="-5"/>
              </w:rPr>
              <w:t>违法程度</w:t>
            </w:r>
          </w:p>
        </w:tc>
        <w:tc>
          <w:tcPr>
            <w:tcW w:w="7864" w:type="dxa"/>
            <w:vAlign w:val="top"/>
          </w:tcPr>
          <w:p>
            <w:pPr>
              <w:pStyle w:val="TableText"/>
              <w:ind w:left="3424"/>
              <w:spacing w:before="102" w:line="220" w:lineRule="auto"/>
              <w:rPr>
                <w:sz w:val="25"/>
                <w:szCs w:val="25"/>
              </w:rPr>
            </w:pPr>
            <w:r>
              <w:rPr>
                <w:sz w:val="25"/>
                <w:szCs w:val="25"/>
                <w:b/>
                <w:bCs/>
                <w:spacing w:val="-5"/>
              </w:rPr>
              <w:t>违法后果</w:t>
            </w:r>
          </w:p>
        </w:tc>
        <w:tc>
          <w:tcPr>
            <w:tcW w:w="4862" w:type="dxa"/>
            <w:vAlign w:val="top"/>
          </w:tcPr>
          <w:p>
            <w:pPr>
              <w:pStyle w:val="TableText"/>
              <w:ind w:left="1870"/>
              <w:spacing w:before="99" w:line="218" w:lineRule="auto"/>
              <w:rPr>
                <w:sz w:val="25"/>
                <w:szCs w:val="25"/>
              </w:rPr>
            </w:pPr>
            <w:r>
              <w:rPr>
                <w:sz w:val="25"/>
                <w:szCs w:val="25"/>
                <w:b/>
                <w:bCs/>
                <w:spacing w:val="-5"/>
              </w:rPr>
              <w:t>裁量幅度</w:t>
            </w:r>
          </w:p>
        </w:tc>
      </w:tr>
      <w:tr>
        <w:trPr>
          <w:trHeight w:val="876" w:hRule="atLeast"/>
        </w:trPr>
        <w:tc>
          <w:tcPr>
            <w:tcW w:w="1444" w:type="dxa"/>
            <w:vAlign w:val="top"/>
          </w:tcPr>
          <w:p>
            <w:pPr>
              <w:pStyle w:val="TableText"/>
              <w:ind w:left="468"/>
              <w:spacing w:before="130" w:line="221" w:lineRule="auto"/>
              <w:rPr>
                <w:sz w:val="25"/>
                <w:szCs w:val="25"/>
              </w:rPr>
            </w:pPr>
            <w:r>
              <w:rPr>
                <w:sz w:val="25"/>
                <w:szCs w:val="25"/>
                <w:b/>
                <w:bCs/>
                <w:spacing w:val="-10"/>
              </w:rPr>
              <w:t>一般</w:t>
            </w:r>
          </w:p>
        </w:tc>
        <w:tc>
          <w:tcPr>
            <w:tcW w:w="7864" w:type="dxa"/>
            <w:vAlign w:val="top"/>
          </w:tcPr>
          <w:p>
            <w:pPr>
              <w:pStyle w:val="TableText"/>
              <w:ind w:left="110" w:hanging="99"/>
              <w:spacing w:before="140" w:line="268" w:lineRule="auto"/>
              <w:rPr>
                <w:sz w:val="25"/>
                <w:szCs w:val="25"/>
              </w:rPr>
            </w:pPr>
            <w:r>
              <w:rPr>
                <w:sz w:val="25"/>
                <w:szCs w:val="25"/>
                <w:spacing w:val="-5"/>
              </w:rPr>
              <w:t>医疗卫生机构、康复机构及其工作人员未依照本条例规定开展残疾预防和</w:t>
            </w:r>
            <w:r>
              <w:rPr>
                <w:sz w:val="25"/>
                <w:szCs w:val="25"/>
                <w:spacing w:val="1"/>
              </w:rPr>
              <w:t xml:space="preserve"> </w:t>
            </w:r>
            <w:r>
              <w:rPr>
                <w:sz w:val="25"/>
                <w:szCs w:val="25"/>
                <w:spacing w:val="1"/>
              </w:rPr>
              <w:t>残疾人康复工作的</w:t>
            </w:r>
          </w:p>
        </w:tc>
        <w:tc>
          <w:tcPr>
            <w:tcW w:w="4862" w:type="dxa"/>
            <w:vAlign w:val="top"/>
          </w:tcPr>
          <w:p>
            <w:pPr>
              <w:pStyle w:val="TableText"/>
              <w:ind w:left="117"/>
              <w:spacing w:before="140" w:line="218" w:lineRule="auto"/>
              <w:rPr>
                <w:sz w:val="25"/>
                <w:szCs w:val="25"/>
              </w:rPr>
            </w:pPr>
            <w:r>
              <w:rPr>
                <w:sz w:val="25"/>
                <w:szCs w:val="25"/>
                <w:spacing w:val="1"/>
              </w:rPr>
              <w:t>责令改正，给予警告</w:t>
            </w:r>
          </w:p>
        </w:tc>
      </w:tr>
      <w:tr>
        <w:trPr>
          <w:trHeight w:val="871" w:hRule="atLeast"/>
        </w:trPr>
        <w:tc>
          <w:tcPr>
            <w:tcW w:w="1444" w:type="dxa"/>
            <w:vAlign w:val="top"/>
          </w:tcPr>
          <w:p>
            <w:pPr>
              <w:pStyle w:val="TableText"/>
              <w:ind w:left="468"/>
              <w:spacing w:before="146" w:line="221" w:lineRule="auto"/>
              <w:rPr>
                <w:sz w:val="25"/>
                <w:szCs w:val="25"/>
              </w:rPr>
            </w:pPr>
            <w:r>
              <w:rPr>
                <w:sz w:val="25"/>
                <w:szCs w:val="25"/>
                <w:b/>
                <w:bCs/>
                <w:spacing w:val="-6"/>
              </w:rPr>
              <w:t>较重</w:t>
            </w:r>
          </w:p>
        </w:tc>
        <w:tc>
          <w:tcPr>
            <w:tcW w:w="7864" w:type="dxa"/>
            <w:vAlign w:val="top"/>
          </w:tcPr>
          <w:p>
            <w:pPr>
              <w:pStyle w:val="TableText"/>
              <w:ind w:left="110" w:hanging="99"/>
              <w:spacing w:before="154" w:line="261" w:lineRule="auto"/>
              <w:rPr>
                <w:sz w:val="25"/>
                <w:szCs w:val="25"/>
              </w:rPr>
            </w:pPr>
            <w:r>
              <w:rPr>
                <w:sz w:val="25"/>
                <w:szCs w:val="25"/>
                <w:spacing w:val="-5"/>
              </w:rPr>
              <w:t>医疗卫生机构、康复机构及其工作人员未依照本条例规定开展残疾预防和</w:t>
            </w:r>
            <w:r>
              <w:rPr>
                <w:sz w:val="25"/>
                <w:szCs w:val="25"/>
                <w:spacing w:val="1"/>
              </w:rPr>
              <w:t xml:space="preserve"> </w:t>
            </w:r>
            <w:r>
              <w:rPr>
                <w:sz w:val="25"/>
                <w:szCs w:val="25"/>
              </w:rPr>
              <w:t>残疾人康复工作的，造成严重危害后果的</w:t>
            </w:r>
          </w:p>
        </w:tc>
        <w:tc>
          <w:tcPr>
            <w:tcW w:w="4862" w:type="dxa"/>
            <w:vAlign w:val="top"/>
          </w:tcPr>
          <w:p>
            <w:pPr>
              <w:pStyle w:val="TableText"/>
              <w:ind w:left="117"/>
              <w:spacing w:before="154" w:line="219" w:lineRule="auto"/>
              <w:rPr>
                <w:sz w:val="25"/>
                <w:szCs w:val="25"/>
              </w:rPr>
            </w:pPr>
            <w:r>
              <w:rPr>
                <w:sz w:val="25"/>
                <w:szCs w:val="25"/>
                <w:spacing w:val="1"/>
              </w:rPr>
              <w:t>责令暂停相关执业活动</w:t>
            </w:r>
          </w:p>
        </w:tc>
      </w:tr>
    </w:tbl>
    <w:p>
      <w:pPr>
        <w:pStyle w:val="BodyText"/>
        <w:spacing w:line="468" w:lineRule="auto"/>
        <w:rPr/>
      </w:pPr>
      <w:r/>
    </w:p>
    <w:p>
      <w:pPr>
        <w:ind w:left="99" w:right="140" w:firstLine="679"/>
        <w:spacing w:before="94" w:line="283" w:lineRule="auto"/>
        <w:rPr>
          <w:rFonts w:ascii="FangSong" w:hAnsi="FangSong" w:eastAsia="FangSong" w:cs="FangSong"/>
          <w:sz w:val="29"/>
          <w:szCs w:val="29"/>
        </w:rPr>
      </w:pPr>
      <w:r>
        <w:rPr>
          <w:rFonts w:ascii="FangSong" w:hAnsi="FangSong" w:eastAsia="FangSong" w:cs="FangSong"/>
          <w:sz w:val="29"/>
          <w:szCs w:val="29"/>
          <w:b/>
          <w:bCs/>
          <w:spacing w:val="30"/>
        </w:rPr>
        <w:t>第三百零一条具有高度致残风险的用人单位未履行本条例第十五条规定的残疾预防义务，违反</w:t>
      </w:r>
      <w:r>
        <w:rPr>
          <w:rFonts w:ascii="FangSong" w:hAnsi="FangSong" w:eastAsia="FangSong" w:cs="FangSong"/>
          <w:sz w:val="29"/>
          <w:szCs w:val="29"/>
          <w:spacing w:val="14"/>
        </w:rPr>
        <w:t xml:space="preserve"> </w:t>
      </w:r>
      <w:r>
        <w:rPr>
          <w:rFonts w:ascii="FangSong" w:hAnsi="FangSong" w:eastAsia="FangSong" w:cs="FangSong"/>
          <w:sz w:val="29"/>
          <w:szCs w:val="29"/>
          <w:b/>
          <w:bCs/>
          <w:spacing w:val="27"/>
        </w:rPr>
        <w:t>安全生产、职业病防治等法律、行政法规规定的</w:t>
      </w:r>
    </w:p>
    <w:p>
      <w:pPr>
        <w:ind w:left="754"/>
        <w:spacing w:line="222" w:lineRule="auto"/>
        <w:rPr>
          <w:rFonts w:ascii="FangSong" w:hAnsi="FangSong" w:eastAsia="FangSong" w:cs="FangSong"/>
          <w:sz w:val="29"/>
          <w:szCs w:val="29"/>
        </w:rPr>
      </w:pPr>
      <w:r>
        <w:rPr>
          <w:rFonts w:ascii="FangSong" w:hAnsi="FangSong" w:eastAsia="FangSong" w:cs="FangSong"/>
          <w:sz w:val="29"/>
          <w:szCs w:val="29"/>
          <w:spacing w:val="6"/>
        </w:rPr>
        <w:t>法律依据：</w:t>
      </w:r>
    </w:p>
    <w:p>
      <w:pPr>
        <w:ind w:left="95" w:right="123" w:firstLine="654"/>
        <w:spacing w:before="100" w:line="280" w:lineRule="auto"/>
        <w:jc w:val="both"/>
        <w:rPr>
          <w:rFonts w:ascii="FangSong" w:hAnsi="FangSong" w:eastAsia="FangSong" w:cs="FangSong"/>
          <w:sz w:val="29"/>
          <w:szCs w:val="29"/>
        </w:rPr>
      </w:pPr>
      <w:r>
        <w:rPr>
          <w:rFonts w:ascii="FangSong" w:hAnsi="FangSong" w:eastAsia="FangSong" w:cs="FangSong"/>
          <w:sz w:val="29"/>
          <w:szCs w:val="29"/>
          <w:spacing w:val="26"/>
        </w:rPr>
        <w:t>《残疾预防和残疾人康复条例》第三十四条</w:t>
      </w:r>
      <w:r>
        <w:rPr>
          <w:rFonts w:ascii="FangSong" w:hAnsi="FangSong" w:eastAsia="FangSong" w:cs="FangSong"/>
          <w:sz w:val="29"/>
          <w:szCs w:val="29"/>
          <w:spacing w:val="26"/>
        </w:rPr>
        <w:t xml:space="preserve">  </w:t>
      </w:r>
      <w:r>
        <w:rPr>
          <w:rFonts w:ascii="FangSong" w:hAnsi="FangSong" w:eastAsia="FangSong" w:cs="FangSong"/>
          <w:sz w:val="29"/>
          <w:szCs w:val="29"/>
          <w:spacing w:val="26"/>
        </w:rPr>
        <w:t>具有高度致残风险的用人单位未履行《残疾预防和</w:t>
      </w:r>
      <w:r>
        <w:rPr>
          <w:rFonts w:ascii="FangSong" w:hAnsi="FangSong" w:eastAsia="FangSong" w:cs="FangSong"/>
          <w:sz w:val="29"/>
          <w:szCs w:val="29"/>
          <w:spacing w:val="7"/>
        </w:rPr>
        <w:t xml:space="preserve"> </w:t>
      </w:r>
      <w:r>
        <w:rPr>
          <w:rFonts w:ascii="FangSong" w:hAnsi="FangSong" w:eastAsia="FangSong" w:cs="FangSong"/>
          <w:sz w:val="29"/>
          <w:szCs w:val="29"/>
          <w:spacing w:val="27"/>
        </w:rPr>
        <w:t>残疾人康复条例》第十五条规定的残疾预防义务，违反安全生产、职业病防治等法律、行政法规规定</w:t>
      </w:r>
      <w:r>
        <w:rPr>
          <w:rFonts w:ascii="FangSong" w:hAnsi="FangSong" w:eastAsia="FangSong" w:cs="FangSong"/>
          <w:sz w:val="29"/>
          <w:szCs w:val="29"/>
          <w:spacing w:val="1"/>
        </w:rPr>
        <w:t xml:space="preserve"> </w:t>
      </w:r>
      <w:r>
        <w:rPr>
          <w:rFonts w:ascii="FangSong" w:hAnsi="FangSong" w:eastAsia="FangSong" w:cs="FangSong"/>
          <w:sz w:val="29"/>
          <w:szCs w:val="29"/>
          <w:spacing w:val="27"/>
        </w:rPr>
        <w:t>的，依照有关法律、行政法规的规定给予处罚；有关法律、行政法规没有规定的，由有关主管部门按</w:t>
      </w:r>
      <w:r>
        <w:rPr>
          <w:rFonts w:ascii="FangSong" w:hAnsi="FangSong" w:eastAsia="FangSong" w:cs="FangSong"/>
          <w:sz w:val="29"/>
          <w:szCs w:val="29"/>
          <w:spacing w:val="3"/>
        </w:rPr>
        <w:t xml:space="preserve"> </w:t>
      </w:r>
      <w:r>
        <w:rPr>
          <w:rFonts w:ascii="FangSong" w:hAnsi="FangSong" w:eastAsia="FangSong" w:cs="FangSong"/>
          <w:sz w:val="29"/>
          <w:szCs w:val="29"/>
          <w:spacing w:val="27"/>
        </w:rPr>
        <w:t>照各自职责分工责令改正，给予警告；拒不改正</w:t>
      </w:r>
      <w:r>
        <w:rPr>
          <w:rFonts w:ascii="FangSong" w:hAnsi="FangSong" w:eastAsia="FangSong" w:cs="FangSong"/>
          <w:sz w:val="29"/>
          <w:szCs w:val="29"/>
          <w:spacing w:val="26"/>
        </w:rPr>
        <w:t>的，责令停产停业整顿。用人单位还应当依法承担救</w:t>
      </w:r>
      <w:r>
        <w:rPr>
          <w:rFonts w:ascii="FangSong" w:hAnsi="FangSong" w:eastAsia="FangSong" w:cs="FangSong"/>
          <w:sz w:val="29"/>
          <w:szCs w:val="29"/>
        </w:rPr>
        <w:t xml:space="preserve"> </w:t>
      </w:r>
      <w:r>
        <w:rPr>
          <w:rFonts w:ascii="FangSong" w:hAnsi="FangSong" w:eastAsia="FangSong" w:cs="FangSong"/>
          <w:sz w:val="29"/>
          <w:szCs w:val="29"/>
          <w:spacing w:val="18"/>
        </w:rPr>
        <w:t>治、保障等义务。</w:t>
      </w:r>
    </w:p>
    <w:p>
      <w:pPr>
        <w:ind w:left="95" w:right="133" w:firstLine="634"/>
        <w:spacing w:before="7" w:line="283" w:lineRule="auto"/>
        <w:jc w:val="both"/>
        <w:rPr>
          <w:rFonts w:ascii="FangSong" w:hAnsi="FangSong" w:eastAsia="FangSong" w:cs="FangSong"/>
          <w:sz w:val="29"/>
          <w:szCs w:val="29"/>
        </w:rPr>
      </w:pPr>
      <w:r>
        <w:rPr>
          <w:rFonts w:ascii="FangSong" w:hAnsi="FangSong" w:eastAsia="FangSong" w:cs="FangSong"/>
          <w:sz w:val="29"/>
          <w:szCs w:val="29"/>
          <w:spacing w:val="26"/>
        </w:rPr>
        <w:t>《残疾预防和残疾人康复条例》第十五条</w:t>
      </w:r>
      <w:r>
        <w:rPr>
          <w:rFonts w:ascii="FangSong" w:hAnsi="FangSong" w:eastAsia="FangSong" w:cs="FangSong"/>
          <w:sz w:val="29"/>
          <w:szCs w:val="29"/>
          <w:spacing w:val="26"/>
        </w:rPr>
        <w:t xml:space="preserve">  </w:t>
      </w:r>
      <w:r>
        <w:rPr>
          <w:rFonts w:ascii="FangSong" w:hAnsi="FangSong" w:eastAsia="FangSong" w:cs="FangSong"/>
          <w:sz w:val="29"/>
          <w:szCs w:val="29"/>
          <w:spacing w:val="26"/>
        </w:rPr>
        <w:t>具有高度致残风险的用人单位应当对职工进行残疾预</w:t>
      </w:r>
      <w:r>
        <w:rPr>
          <w:rFonts w:ascii="FangSong" w:hAnsi="FangSong" w:eastAsia="FangSong" w:cs="FangSong"/>
          <w:sz w:val="29"/>
          <w:szCs w:val="29"/>
          <w:spacing w:val="17"/>
        </w:rPr>
        <w:t xml:space="preserve"> </w:t>
      </w:r>
      <w:r>
        <w:rPr>
          <w:rFonts w:ascii="FangSong" w:hAnsi="FangSong" w:eastAsia="FangSong" w:cs="FangSong"/>
          <w:sz w:val="29"/>
          <w:szCs w:val="29"/>
          <w:spacing w:val="27"/>
        </w:rPr>
        <w:t>防相关知识培训，告知作业场所和工作岗位存在的致残风险，并采取防护措施，</w:t>
      </w:r>
      <w:r>
        <w:rPr>
          <w:rFonts w:ascii="FangSong" w:hAnsi="FangSong" w:eastAsia="FangSong" w:cs="FangSong"/>
          <w:sz w:val="29"/>
          <w:szCs w:val="29"/>
          <w:spacing w:val="26"/>
        </w:rPr>
        <w:t>提供防护设施和防护</w:t>
      </w:r>
      <w:r>
        <w:rPr>
          <w:rFonts w:ascii="FangSong" w:hAnsi="FangSong" w:eastAsia="FangSong" w:cs="FangSong"/>
          <w:sz w:val="29"/>
          <w:szCs w:val="29"/>
        </w:rPr>
        <w:t xml:space="preserve"> </w:t>
      </w:r>
      <w:r>
        <w:rPr>
          <w:rFonts w:ascii="FangSong" w:hAnsi="FangSong" w:eastAsia="FangSong" w:cs="FangSong"/>
          <w:sz w:val="29"/>
          <w:szCs w:val="29"/>
          <w:spacing w:val="8"/>
        </w:rPr>
        <w:t>用品。</w:t>
      </w:r>
    </w:p>
    <w:p>
      <w:pPr>
        <w:pStyle w:val="BodyText"/>
        <w:spacing w:line="257" w:lineRule="auto"/>
        <w:rPr/>
      </w:pPr>
      <w:r/>
    </w:p>
    <w:p>
      <w:pPr>
        <w:pStyle w:val="BodyText"/>
        <w:spacing w:line="257" w:lineRule="auto"/>
        <w:rPr/>
      </w:pPr>
      <w:r/>
    </w:p>
    <w:p>
      <w:pPr>
        <w:pStyle w:val="BodyText"/>
        <w:spacing w:line="258" w:lineRule="auto"/>
        <w:rPr/>
      </w:pPr>
      <w:r/>
    </w:p>
    <w:p>
      <w:pPr>
        <w:ind w:left="6454"/>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—385—</w:t>
      </w:r>
    </w:p>
    <w:p>
      <w:pPr>
        <w:spacing w:line="188" w:lineRule="auto"/>
        <w:sectPr>
          <w:footerReference w:type="default" r:id="rId24"/>
          <w:pgSz w:w="16830" w:h="11900"/>
          <w:pgMar w:top="1011" w:right="1314" w:bottom="400" w:left="1335" w:header="0" w:footer="0" w:gutter="0"/>
        </w:sectPr>
        <w:rPr>
          <w:rFonts w:ascii="Times New Roman" w:hAnsi="Times New Roman" w:eastAsia="Times New Roman" w:cs="Times New Roman"/>
          <w:sz w:val="37"/>
          <w:szCs w:val="37"/>
        </w:rPr>
      </w:pPr>
    </w:p>
    <w:p>
      <w:pPr>
        <w:pStyle w:val="BodyText"/>
        <w:spacing w:line="263" w:lineRule="auto"/>
        <w:rPr/>
      </w:pPr>
      <w:r/>
    </w:p>
    <w:p>
      <w:pPr>
        <w:pStyle w:val="BodyText"/>
        <w:spacing w:line="263" w:lineRule="auto"/>
        <w:rPr/>
      </w:pPr>
      <w:r/>
    </w:p>
    <w:p>
      <w:pPr>
        <w:pStyle w:val="BodyText"/>
        <w:spacing w:line="264" w:lineRule="auto"/>
        <w:rPr/>
      </w:pPr>
      <w:r/>
    </w:p>
    <w:p>
      <w:pPr>
        <w:ind w:left="6459"/>
        <w:spacing w:before="91" w:line="220" w:lineRule="auto"/>
        <w:rPr>
          <w:rFonts w:ascii="SimSun" w:hAnsi="SimSun" w:eastAsia="SimSun" w:cs="SimSun"/>
          <w:sz w:val="28"/>
          <w:szCs w:val="28"/>
        </w:rPr>
      </w:pPr>
      <w:bookmarkStart w:name="bookmark1003" w:id="372"/>
      <w:bookmarkEnd w:id="372"/>
      <w:r>
        <w:rPr>
          <w:rFonts w:ascii="SimSun" w:hAnsi="SimSun" w:eastAsia="SimSun" w:cs="SimSun"/>
          <w:sz w:val="28"/>
          <w:szCs w:val="28"/>
          <w:b/>
          <w:bCs/>
          <w:spacing w:val="-6"/>
        </w:rPr>
        <w:t>裁量标准</w:t>
      </w:r>
    </w:p>
    <w:p>
      <w:pPr>
        <w:spacing w:line="31" w:lineRule="auto"/>
        <w:rPr>
          <w:rFonts w:ascii="Arial"/>
          <w:sz w:val="2"/>
        </w:rPr>
      </w:pPr>
      <w:r>
        <w:rPr>
          <w:rFonts w:ascii="Arial"/>
          <w:sz w:val="2"/>
        </w:rPr>
      </w:r>
    </w:p>
    <w:tbl>
      <w:tblPr>
        <w:tblStyle w:val="TableNormal"/>
        <w:tblW w:w="139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44"/>
        <w:gridCol w:w="8724"/>
        <w:gridCol w:w="3902"/>
      </w:tblGrid>
      <w:tr>
        <w:trPr>
          <w:trHeight w:val="552" w:hRule="atLeast"/>
        </w:trPr>
        <w:tc>
          <w:tcPr>
            <w:tcW w:w="1344" w:type="dxa"/>
            <w:vAlign w:val="top"/>
          </w:tcPr>
          <w:p>
            <w:pPr>
              <w:pStyle w:val="TableText"/>
              <w:ind w:left="168"/>
              <w:spacing w:before="152" w:line="220" w:lineRule="auto"/>
              <w:rPr>
                <w:sz w:val="25"/>
                <w:szCs w:val="25"/>
              </w:rPr>
            </w:pPr>
            <w:r>
              <w:rPr>
                <w:sz w:val="25"/>
                <w:szCs w:val="25"/>
                <w:b/>
                <w:bCs/>
                <w:spacing w:val="-5"/>
              </w:rPr>
              <w:t>违法程度</w:t>
            </w:r>
          </w:p>
        </w:tc>
        <w:tc>
          <w:tcPr>
            <w:tcW w:w="8724" w:type="dxa"/>
            <w:vAlign w:val="top"/>
          </w:tcPr>
          <w:p>
            <w:pPr>
              <w:pStyle w:val="TableText"/>
              <w:ind w:left="3854"/>
              <w:spacing w:before="152" w:line="220" w:lineRule="auto"/>
              <w:rPr>
                <w:sz w:val="25"/>
                <w:szCs w:val="25"/>
              </w:rPr>
            </w:pPr>
            <w:r>
              <w:rPr>
                <w:sz w:val="25"/>
                <w:szCs w:val="25"/>
                <w:b/>
                <w:bCs/>
                <w:spacing w:val="-5"/>
              </w:rPr>
              <w:t>情节后果</w:t>
            </w:r>
          </w:p>
        </w:tc>
        <w:tc>
          <w:tcPr>
            <w:tcW w:w="3902" w:type="dxa"/>
            <w:vAlign w:val="top"/>
          </w:tcPr>
          <w:p>
            <w:pPr>
              <w:pStyle w:val="TableText"/>
              <w:ind w:left="1390"/>
              <w:spacing w:before="149" w:line="218" w:lineRule="auto"/>
              <w:rPr>
                <w:sz w:val="25"/>
                <w:szCs w:val="25"/>
              </w:rPr>
            </w:pPr>
            <w:r>
              <w:rPr>
                <w:sz w:val="25"/>
                <w:szCs w:val="25"/>
                <w:b/>
                <w:bCs/>
                <w:spacing w:val="-5"/>
              </w:rPr>
              <w:t>裁量幅度</w:t>
            </w:r>
          </w:p>
        </w:tc>
      </w:tr>
      <w:tr>
        <w:trPr>
          <w:trHeight w:val="886" w:hRule="atLeast"/>
        </w:trPr>
        <w:tc>
          <w:tcPr>
            <w:tcW w:w="1344" w:type="dxa"/>
            <w:vAlign w:val="top"/>
          </w:tcPr>
          <w:p>
            <w:pPr>
              <w:pStyle w:val="TableText"/>
              <w:ind w:left="418"/>
              <w:spacing w:before="321" w:line="221" w:lineRule="auto"/>
              <w:rPr>
                <w:sz w:val="25"/>
                <w:szCs w:val="25"/>
              </w:rPr>
            </w:pPr>
            <w:r>
              <w:rPr>
                <w:sz w:val="25"/>
                <w:szCs w:val="25"/>
                <w:b/>
                <w:bCs/>
                <w:spacing w:val="-10"/>
              </w:rPr>
              <w:t>一般</w:t>
            </w:r>
          </w:p>
        </w:tc>
        <w:tc>
          <w:tcPr>
            <w:tcW w:w="8724" w:type="dxa"/>
            <w:vAlign w:val="top"/>
          </w:tcPr>
          <w:p>
            <w:pPr>
              <w:pStyle w:val="TableText"/>
              <w:ind w:left="110" w:hanging="99"/>
              <w:spacing w:before="152" w:line="267" w:lineRule="auto"/>
              <w:rPr>
                <w:sz w:val="25"/>
                <w:szCs w:val="25"/>
              </w:rPr>
            </w:pPr>
            <w:r>
              <w:rPr>
                <w:sz w:val="25"/>
                <w:szCs w:val="25"/>
                <w:spacing w:val="-1"/>
              </w:rPr>
              <w:t>具有高度致残风险的用人单位未履行本条例第十</w:t>
            </w:r>
            <w:r>
              <w:rPr>
                <w:sz w:val="25"/>
                <w:szCs w:val="25"/>
                <w:spacing w:val="-2"/>
              </w:rPr>
              <w:t>五条规定的残疾预防义务，违反</w:t>
            </w:r>
            <w:r>
              <w:rPr>
                <w:sz w:val="25"/>
                <w:szCs w:val="25"/>
              </w:rPr>
              <w:t xml:space="preserve"> </w:t>
            </w:r>
            <w:r>
              <w:rPr>
                <w:sz w:val="25"/>
                <w:szCs w:val="25"/>
              </w:rPr>
              <w:t>安全生产、职业病防治等法律、行政法规规定的</w:t>
            </w:r>
          </w:p>
        </w:tc>
        <w:tc>
          <w:tcPr>
            <w:tcW w:w="3902" w:type="dxa"/>
            <w:vAlign w:val="top"/>
          </w:tcPr>
          <w:p>
            <w:pPr>
              <w:pStyle w:val="TableText"/>
              <w:ind w:left="117"/>
              <w:spacing w:before="321" w:line="218" w:lineRule="auto"/>
              <w:rPr>
                <w:sz w:val="25"/>
                <w:szCs w:val="25"/>
              </w:rPr>
            </w:pPr>
            <w:r>
              <w:rPr>
                <w:sz w:val="25"/>
                <w:szCs w:val="25"/>
                <w:spacing w:val="4"/>
              </w:rPr>
              <w:t>给予警告</w:t>
            </w:r>
          </w:p>
        </w:tc>
      </w:tr>
      <w:tr>
        <w:trPr>
          <w:trHeight w:val="861" w:hRule="atLeast"/>
        </w:trPr>
        <w:tc>
          <w:tcPr>
            <w:tcW w:w="1344" w:type="dxa"/>
            <w:vAlign w:val="top"/>
          </w:tcPr>
          <w:p>
            <w:pPr>
              <w:pStyle w:val="TableText"/>
              <w:ind w:left="418"/>
              <w:spacing w:before="317" w:line="221" w:lineRule="auto"/>
              <w:rPr>
                <w:sz w:val="25"/>
                <w:szCs w:val="25"/>
              </w:rPr>
            </w:pPr>
            <w:r>
              <w:rPr>
                <w:sz w:val="25"/>
                <w:szCs w:val="25"/>
                <w:b/>
                <w:bCs/>
                <w:spacing w:val="-6"/>
              </w:rPr>
              <w:t>较重</w:t>
            </w:r>
          </w:p>
        </w:tc>
        <w:tc>
          <w:tcPr>
            <w:tcW w:w="8724" w:type="dxa"/>
            <w:vAlign w:val="top"/>
          </w:tcPr>
          <w:p>
            <w:pPr>
              <w:pStyle w:val="TableText"/>
              <w:ind w:left="100" w:hanging="89"/>
              <w:spacing w:before="146" w:line="260" w:lineRule="auto"/>
              <w:rPr>
                <w:sz w:val="25"/>
                <w:szCs w:val="25"/>
              </w:rPr>
            </w:pPr>
            <w:r>
              <w:rPr>
                <w:sz w:val="25"/>
                <w:szCs w:val="25"/>
                <w:spacing w:val="-1"/>
              </w:rPr>
              <w:t>具有高度致残风险的用人单位未履行本条例第十</w:t>
            </w:r>
            <w:r>
              <w:rPr>
                <w:sz w:val="25"/>
                <w:szCs w:val="25"/>
                <w:spacing w:val="-2"/>
              </w:rPr>
              <w:t>五条规定的残疾预防义务，违反</w:t>
            </w:r>
            <w:r>
              <w:rPr>
                <w:sz w:val="25"/>
                <w:szCs w:val="25"/>
              </w:rPr>
              <w:t xml:space="preserve"> </w:t>
            </w:r>
            <w:r>
              <w:rPr>
                <w:sz w:val="25"/>
                <w:szCs w:val="25"/>
              </w:rPr>
              <w:t>安全生产、职业病防治等法律、行政法规规定的，经责令限期改正逾期不改的</w:t>
            </w:r>
          </w:p>
        </w:tc>
        <w:tc>
          <w:tcPr>
            <w:tcW w:w="3902" w:type="dxa"/>
            <w:vAlign w:val="top"/>
          </w:tcPr>
          <w:p>
            <w:pPr>
              <w:spacing w:line="282" w:lineRule="auto"/>
              <w:rPr>
                <w:rFonts w:ascii="Arial"/>
                <w:sz w:val="21"/>
              </w:rPr>
            </w:pPr>
            <w:r/>
          </w:p>
          <w:p>
            <w:pPr>
              <w:pStyle w:val="TableText"/>
              <w:ind w:left="117"/>
              <w:spacing w:before="81" w:line="219" w:lineRule="auto"/>
              <w:rPr>
                <w:sz w:val="25"/>
                <w:szCs w:val="25"/>
              </w:rPr>
            </w:pPr>
            <w:r>
              <w:rPr>
                <w:sz w:val="25"/>
                <w:szCs w:val="25"/>
                <w:spacing w:val="1"/>
              </w:rPr>
              <w:t>责令停产停业整顿</w:t>
            </w:r>
          </w:p>
        </w:tc>
      </w:tr>
    </w:tbl>
    <w:p>
      <w:pPr>
        <w:pStyle w:val="BodyText"/>
        <w:spacing w:line="468" w:lineRule="auto"/>
        <w:rPr/>
      </w:pPr>
      <w:r/>
    </w:p>
    <w:p>
      <w:pPr>
        <w:ind w:left="799"/>
        <w:spacing w:before="97" w:line="224" w:lineRule="auto"/>
        <w:rPr>
          <w:rFonts w:ascii="KaiTi" w:hAnsi="KaiTi" w:eastAsia="KaiTi" w:cs="KaiTi"/>
          <w:sz w:val="30"/>
          <w:szCs w:val="30"/>
        </w:rPr>
      </w:pPr>
      <w:r>
        <w:rPr>
          <w:rFonts w:ascii="KaiTi" w:hAnsi="KaiTi" w:eastAsia="KaiTi" w:cs="KaiTi"/>
          <w:sz w:val="30"/>
          <w:szCs w:val="30"/>
          <w:b/>
          <w:bCs/>
          <w:spacing w:val="26"/>
        </w:rPr>
        <w:t>(二十六)《医疗纠纷预防和处理条例》</w:t>
      </w:r>
    </w:p>
    <w:p>
      <w:pPr>
        <w:pStyle w:val="BodyText"/>
        <w:spacing w:line="245" w:lineRule="auto"/>
        <w:rPr/>
      </w:pPr>
      <w:r/>
    </w:p>
    <w:p>
      <w:pPr>
        <w:ind w:left="679"/>
        <w:spacing w:before="98" w:line="220" w:lineRule="auto"/>
        <w:rPr>
          <w:rFonts w:ascii="FangSong" w:hAnsi="FangSong" w:eastAsia="FangSong" w:cs="FangSong"/>
          <w:sz w:val="30"/>
          <w:szCs w:val="30"/>
        </w:rPr>
      </w:pPr>
      <w:r>
        <w:rPr>
          <w:rFonts w:ascii="FangSong" w:hAnsi="FangSong" w:eastAsia="FangSong" w:cs="FangSong"/>
          <w:sz w:val="30"/>
          <w:szCs w:val="30"/>
          <w:b/>
          <w:bCs/>
          <w:spacing w:val="23"/>
        </w:rPr>
        <w:t>第三百零二条医疗机构篡改、伪造、隐匿、毁灭病历资料的</w:t>
      </w:r>
    </w:p>
    <w:p>
      <w:pPr>
        <w:ind w:left="675"/>
        <w:spacing w:before="7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firstLine="619"/>
        <w:spacing w:before="78" w:line="271" w:lineRule="auto"/>
        <w:jc w:val="both"/>
        <w:rPr>
          <w:rFonts w:ascii="FangSong" w:hAnsi="FangSong" w:eastAsia="FangSong" w:cs="FangSong"/>
          <w:sz w:val="30"/>
          <w:szCs w:val="30"/>
        </w:rPr>
      </w:pPr>
      <w:r>
        <w:rPr>
          <w:rFonts w:ascii="FangSong" w:hAnsi="FangSong" w:eastAsia="FangSong" w:cs="FangSong"/>
          <w:sz w:val="30"/>
          <w:szCs w:val="30"/>
          <w:spacing w:val="17"/>
        </w:rPr>
        <w:t>《医疗纠纷预防和处理条例》第四十五条</w:t>
      </w:r>
      <w:r>
        <w:rPr>
          <w:rFonts w:ascii="FangSong" w:hAnsi="FangSong" w:eastAsia="FangSong" w:cs="FangSong"/>
          <w:sz w:val="30"/>
          <w:szCs w:val="30"/>
          <w:spacing w:val="17"/>
        </w:rPr>
        <w:t xml:space="preserve">  </w:t>
      </w:r>
      <w:r>
        <w:rPr>
          <w:rFonts w:ascii="FangSong" w:hAnsi="FangSong" w:eastAsia="FangSong" w:cs="FangSong"/>
          <w:sz w:val="30"/>
          <w:szCs w:val="30"/>
          <w:spacing w:val="17"/>
        </w:rPr>
        <w:t>医疗机构篡</w:t>
      </w:r>
      <w:r>
        <w:rPr>
          <w:rFonts w:ascii="FangSong" w:hAnsi="FangSong" w:eastAsia="FangSong" w:cs="FangSong"/>
          <w:sz w:val="30"/>
          <w:szCs w:val="30"/>
          <w:spacing w:val="16"/>
        </w:rPr>
        <w:t>改、伪造、隐匿、毁灭病历资料的，对直</w:t>
      </w:r>
      <w:r>
        <w:rPr>
          <w:rFonts w:ascii="FangSong" w:hAnsi="FangSong" w:eastAsia="FangSong" w:cs="FangSong"/>
          <w:sz w:val="30"/>
          <w:szCs w:val="30"/>
        </w:rPr>
        <w:t xml:space="preserve"> </w:t>
      </w:r>
      <w:r>
        <w:rPr>
          <w:rFonts w:ascii="FangSong" w:hAnsi="FangSong" w:eastAsia="FangSong" w:cs="FangSong"/>
          <w:sz w:val="30"/>
          <w:szCs w:val="30"/>
          <w:spacing w:val="17"/>
        </w:rPr>
        <w:t>接负责的主管人员和其他直接责任人员，由县级以上人民政府卫生主管部门给予或者责令给予降低岗</w:t>
      </w:r>
      <w:r>
        <w:rPr>
          <w:rFonts w:ascii="FangSong" w:hAnsi="FangSong" w:eastAsia="FangSong" w:cs="FangSong"/>
          <w:sz w:val="30"/>
          <w:szCs w:val="30"/>
          <w:spacing w:val="10"/>
        </w:rPr>
        <w:t xml:space="preserve"> </w:t>
      </w:r>
      <w:r>
        <w:rPr>
          <w:rFonts w:ascii="FangSong" w:hAnsi="FangSong" w:eastAsia="FangSong" w:cs="FangSong"/>
          <w:sz w:val="30"/>
          <w:szCs w:val="30"/>
          <w:spacing w:val="25"/>
        </w:rPr>
        <w:t>位等级或者撤职的处分，对有关医务人员责令暂停6个月以上1年以下执业活动；造成严重后果的，</w:t>
      </w:r>
      <w:r>
        <w:rPr>
          <w:rFonts w:ascii="FangSong" w:hAnsi="FangSong" w:eastAsia="FangSong" w:cs="FangSong"/>
          <w:sz w:val="30"/>
          <w:szCs w:val="30"/>
        </w:rPr>
        <w:t xml:space="preserve"> </w:t>
      </w:r>
      <w:r>
        <w:rPr>
          <w:rFonts w:ascii="FangSong" w:hAnsi="FangSong" w:eastAsia="FangSong" w:cs="FangSong"/>
          <w:sz w:val="30"/>
          <w:szCs w:val="30"/>
          <w:spacing w:val="17"/>
        </w:rPr>
        <w:t>对直接负责的主管人员和其他直接责任人员给予或者责</w:t>
      </w:r>
      <w:r>
        <w:rPr>
          <w:rFonts w:ascii="FangSong" w:hAnsi="FangSong" w:eastAsia="FangSong" w:cs="FangSong"/>
          <w:sz w:val="30"/>
          <w:szCs w:val="30"/>
          <w:spacing w:val="16"/>
        </w:rPr>
        <w:t>令给予开除的处分，对有关医务人员由原发证</w:t>
      </w:r>
      <w:r>
        <w:rPr>
          <w:rFonts w:ascii="FangSong" w:hAnsi="FangSong" w:eastAsia="FangSong" w:cs="FangSong"/>
          <w:sz w:val="30"/>
          <w:szCs w:val="30"/>
        </w:rPr>
        <w:t xml:space="preserve"> </w:t>
      </w:r>
      <w:r>
        <w:rPr>
          <w:rFonts w:ascii="FangSong" w:hAnsi="FangSong" w:eastAsia="FangSong" w:cs="FangSong"/>
          <w:sz w:val="30"/>
          <w:szCs w:val="30"/>
          <w:spacing w:val="16"/>
        </w:rPr>
        <w:t>部门吊销执业证书；构成犯罪的，依法追究刑事责任。</w:t>
      </w:r>
    </w:p>
    <w:p>
      <w:pPr>
        <w:ind w:left="6439"/>
        <w:spacing w:before="4"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353"/>
          <w:pgSz w:w="16830" w:h="11900"/>
          <w:pgMar w:top="1011" w:right="1389" w:bottom="1089" w:left="1414" w:header="0" w:footer="818" w:gutter="0"/>
        </w:sectPr>
        <w:rPr>
          <w:rFonts w:ascii="SimHei" w:hAnsi="SimHei" w:eastAsia="SimHei" w:cs="SimHei"/>
          <w:sz w:val="30"/>
          <w:szCs w:val="30"/>
        </w:rPr>
      </w:pPr>
    </w:p>
    <w:p>
      <w:pPr>
        <w:spacing w:before="20"/>
        <w:rPr/>
      </w:pPr>
      <w:r/>
    </w:p>
    <w:p>
      <w:pPr>
        <w:spacing w:before="20"/>
        <w:rPr/>
      </w:pPr>
      <w:r/>
    </w:p>
    <w:p>
      <w:pPr>
        <w:spacing w:before="19"/>
        <w:rPr/>
      </w:pPr>
      <w:r/>
    </w:p>
    <w:tbl>
      <w:tblPr>
        <w:tblStyle w:val="TableNormal"/>
        <w:tblW w:w="132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94"/>
        <w:gridCol w:w="6005"/>
        <w:gridCol w:w="6300"/>
      </w:tblGrid>
      <w:tr>
        <w:trPr>
          <w:trHeight w:val="1073" w:hRule="atLeast"/>
        </w:trPr>
        <w:tc>
          <w:tcPr>
            <w:tcW w:w="994" w:type="dxa"/>
            <w:vAlign w:val="top"/>
          </w:tcPr>
          <w:p>
            <w:pPr>
              <w:pStyle w:val="TableText"/>
              <w:ind w:left="188"/>
              <w:spacing w:before="49" w:line="225" w:lineRule="auto"/>
              <w:rPr>
                <w:sz w:val="25"/>
                <w:szCs w:val="25"/>
              </w:rPr>
            </w:pPr>
            <w:bookmarkStart w:name="bookmark1004" w:id="373"/>
            <w:bookmarkEnd w:id="373"/>
            <w:r>
              <w:rPr>
                <w:sz w:val="25"/>
                <w:szCs w:val="25"/>
                <w:b/>
                <w:bCs/>
                <w:spacing w:val="-6"/>
              </w:rPr>
              <w:t>违法</w:t>
            </w:r>
          </w:p>
          <w:p>
            <w:pPr>
              <w:pStyle w:val="TableText"/>
              <w:ind w:left="188"/>
              <w:spacing w:before="128" w:line="220" w:lineRule="auto"/>
              <w:rPr>
                <w:sz w:val="25"/>
                <w:szCs w:val="25"/>
              </w:rPr>
            </w:pPr>
            <w:r>
              <w:rPr>
                <w:sz w:val="25"/>
                <w:szCs w:val="25"/>
                <w:b/>
                <w:bCs/>
                <w:spacing w:val="-5"/>
              </w:rPr>
              <w:t>程度</w:t>
            </w:r>
          </w:p>
        </w:tc>
        <w:tc>
          <w:tcPr>
            <w:tcW w:w="6005" w:type="dxa"/>
            <w:vAlign w:val="top"/>
          </w:tcPr>
          <w:p>
            <w:pPr>
              <w:pStyle w:val="TableText"/>
              <w:ind w:left="2494"/>
              <w:spacing w:before="272" w:line="220" w:lineRule="auto"/>
              <w:rPr>
                <w:sz w:val="25"/>
                <w:szCs w:val="25"/>
              </w:rPr>
            </w:pPr>
            <w:r>
              <w:rPr>
                <w:sz w:val="25"/>
                <w:szCs w:val="25"/>
                <w:b/>
                <w:bCs/>
                <w:spacing w:val="-5"/>
              </w:rPr>
              <w:t>违法后果</w:t>
            </w:r>
          </w:p>
        </w:tc>
        <w:tc>
          <w:tcPr>
            <w:tcW w:w="6300" w:type="dxa"/>
            <w:vAlign w:val="top"/>
          </w:tcPr>
          <w:p>
            <w:pPr>
              <w:pStyle w:val="TableText"/>
              <w:ind w:left="2649"/>
              <w:spacing w:before="279" w:line="218" w:lineRule="auto"/>
              <w:rPr>
                <w:sz w:val="25"/>
                <w:szCs w:val="25"/>
              </w:rPr>
            </w:pPr>
            <w:r>
              <w:rPr>
                <w:sz w:val="25"/>
                <w:szCs w:val="25"/>
                <w:b/>
                <w:bCs/>
                <w:spacing w:val="-5"/>
              </w:rPr>
              <w:t>裁量幅度</w:t>
            </w:r>
          </w:p>
        </w:tc>
      </w:tr>
      <w:tr>
        <w:trPr>
          <w:trHeight w:val="898" w:hRule="atLeast"/>
        </w:trPr>
        <w:tc>
          <w:tcPr>
            <w:tcW w:w="994" w:type="dxa"/>
            <w:vAlign w:val="top"/>
          </w:tcPr>
          <w:p>
            <w:pPr>
              <w:spacing w:line="250" w:lineRule="auto"/>
              <w:rPr>
                <w:rFonts w:ascii="Arial"/>
                <w:sz w:val="21"/>
              </w:rPr>
            </w:pPr>
            <w:r/>
          </w:p>
          <w:p>
            <w:pPr>
              <w:pStyle w:val="TableText"/>
              <w:ind w:left="94"/>
              <w:spacing w:before="82" w:line="221" w:lineRule="auto"/>
              <w:rPr>
                <w:sz w:val="25"/>
                <w:szCs w:val="25"/>
              </w:rPr>
            </w:pPr>
            <w:r>
              <w:rPr>
                <w:sz w:val="25"/>
                <w:szCs w:val="25"/>
                <w:spacing w:val="5"/>
              </w:rPr>
              <w:t>一般</w:t>
            </w:r>
          </w:p>
        </w:tc>
        <w:tc>
          <w:tcPr>
            <w:tcW w:w="6005" w:type="dxa"/>
            <w:vAlign w:val="top"/>
          </w:tcPr>
          <w:p>
            <w:pPr>
              <w:pStyle w:val="TableText"/>
              <w:ind w:left="109" w:right="5" w:hanging="99"/>
              <w:spacing w:before="151" w:line="272" w:lineRule="auto"/>
              <w:rPr>
                <w:sz w:val="25"/>
                <w:szCs w:val="25"/>
              </w:rPr>
            </w:pPr>
            <w:r>
              <w:rPr>
                <w:sz w:val="25"/>
                <w:szCs w:val="25"/>
                <w:spacing w:val="-1"/>
              </w:rPr>
              <w:t>医疗机构篡改、伪造、隐匿、毁灭病历资料，涉及患者</w:t>
            </w:r>
            <w:r>
              <w:rPr>
                <w:sz w:val="25"/>
                <w:szCs w:val="25"/>
                <w:spacing w:val="1"/>
              </w:rPr>
              <w:t xml:space="preserve"> </w:t>
            </w:r>
            <w:r>
              <w:rPr>
                <w:sz w:val="25"/>
                <w:szCs w:val="25"/>
                <w:spacing w:val="-1"/>
              </w:rPr>
              <w:t>1至3名。</w:t>
            </w:r>
          </w:p>
        </w:tc>
        <w:tc>
          <w:tcPr>
            <w:tcW w:w="6300" w:type="dxa"/>
            <w:vAlign w:val="top"/>
          </w:tcPr>
          <w:p>
            <w:pPr>
              <w:pStyle w:val="TableText"/>
              <w:ind w:left="106" w:right="124" w:firstLine="39"/>
              <w:spacing w:before="151" w:line="272" w:lineRule="auto"/>
              <w:rPr>
                <w:sz w:val="25"/>
                <w:szCs w:val="25"/>
              </w:rPr>
            </w:pPr>
            <w:r>
              <w:rPr>
                <w:sz w:val="25"/>
                <w:szCs w:val="25"/>
              </w:rPr>
              <w:t>对直接参与的医务人员责令暂停6个月以上9个月以下的</w:t>
            </w:r>
            <w:r>
              <w:rPr>
                <w:sz w:val="25"/>
                <w:szCs w:val="25"/>
                <w:spacing w:val="18"/>
              </w:rPr>
              <w:t xml:space="preserve"> </w:t>
            </w:r>
            <w:r>
              <w:rPr>
                <w:sz w:val="25"/>
                <w:szCs w:val="25"/>
                <w:spacing w:val="-1"/>
              </w:rPr>
              <w:t>执业活动。</w:t>
            </w:r>
          </w:p>
        </w:tc>
      </w:tr>
      <w:tr>
        <w:trPr>
          <w:trHeight w:val="948" w:hRule="atLeast"/>
        </w:trPr>
        <w:tc>
          <w:tcPr>
            <w:tcW w:w="994" w:type="dxa"/>
            <w:vAlign w:val="top"/>
          </w:tcPr>
          <w:p>
            <w:pPr>
              <w:spacing w:line="274" w:lineRule="auto"/>
              <w:rPr>
                <w:rFonts w:ascii="Arial"/>
                <w:sz w:val="21"/>
              </w:rPr>
            </w:pPr>
            <w:r/>
          </w:p>
          <w:p>
            <w:pPr>
              <w:pStyle w:val="TableText"/>
              <w:ind w:left="94"/>
              <w:spacing w:before="82" w:line="221" w:lineRule="auto"/>
              <w:rPr>
                <w:sz w:val="25"/>
                <w:szCs w:val="25"/>
              </w:rPr>
            </w:pPr>
            <w:r>
              <w:rPr>
                <w:sz w:val="25"/>
                <w:szCs w:val="25"/>
                <w:spacing w:val="5"/>
              </w:rPr>
              <w:t>较重</w:t>
            </w:r>
          </w:p>
        </w:tc>
        <w:tc>
          <w:tcPr>
            <w:tcW w:w="6005" w:type="dxa"/>
            <w:vAlign w:val="top"/>
          </w:tcPr>
          <w:p>
            <w:pPr>
              <w:pStyle w:val="TableText"/>
              <w:ind w:left="69" w:right="5" w:hanging="59"/>
              <w:spacing w:before="174" w:line="282" w:lineRule="auto"/>
              <w:rPr>
                <w:sz w:val="25"/>
                <w:szCs w:val="25"/>
              </w:rPr>
            </w:pPr>
            <w:r>
              <w:rPr>
                <w:sz w:val="25"/>
                <w:szCs w:val="25"/>
                <w:spacing w:val="-1"/>
              </w:rPr>
              <w:t>医疗机构篡改、伪造、隐匿、毁灭病历资料，涉及患者</w:t>
            </w:r>
            <w:r>
              <w:rPr>
                <w:sz w:val="25"/>
                <w:szCs w:val="25"/>
                <w:spacing w:val="1"/>
              </w:rPr>
              <w:t xml:space="preserve"> </w:t>
            </w:r>
            <w:r>
              <w:rPr>
                <w:sz w:val="25"/>
                <w:szCs w:val="25"/>
                <w:spacing w:val="-1"/>
              </w:rPr>
              <w:t>4至6名。</w:t>
            </w:r>
          </w:p>
        </w:tc>
        <w:tc>
          <w:tcPr>
            <w:tcW w:w="6300" w:type="dxa"/>
            <w:vAlign w:val="top"/>
          </w:tcPr>
          <w:p>
            <w:pPr>
              <w:pStyle w:val="TableText"/>
              <w:ind w:left="105" w:right="64" w:hanging="30"/>
              <w:spacing w:before="174" w:line="282" w:lineRule="auto"/>
              <w:rPr>
                <w:sz w:val="25"/>
                <w:szCs w:val="25"/>
              </w:rPr>
            </w:pPr>
            <w:r>
              <w:rPr>
                <w:sz w:val="25"/>
                <w:szCs w:val="25"/>
                <w:spacing w:val="1"/>
              </w:rPr>
              <w:t>对直接参与的医务人员责令暂停9个月以上12个月</w:t>
            </w:r>
            <w:r>
              <w:rPr>
                <w:sz w:val="25"/>
                <w:szCs w:val="25"/>
              </w:rPr>
              <w:t>以下的 </w:t>
            </w:r>
            <w:r>
              <w:rPr>
                <w:sz w:val="25"/>
                <w:szCs w:val="25"/>
                <w:spacing w:val="-1"/>
              </w:rPr>
              <w:t>执业活动。</w:t>
            </w:r>
          </w:p>
        </w:tc>
      </w:tr>
      <w:tr>
        <w:trPr>
          <w:trHeight w:val="1761" w:hRule="atLeast"/>
        </w:trPr>
        <w:tc>
          <w:tcPr>
            <w:tcW w:w="994" w:type="dxa"/>
            <w:vAlign w:val="top"/>
          </w:tcPr>
          <w:p>
            <w:pPr>
              <w:spacing w:line="340" w:lineRule="auto"/>
              <w:rPr>
                <w:rFonts w:ascii="Arial"/>
                <w:sz w:val="21"/>
              </w:rPr>
            </w:pPr>
            <w:r/>
          </w:p>
          <w:p>
            <w:pPr>
              <w:spacing w:line="341" w:lineRule="auto"/>
              <w:rPr>
                <w:rFonts w:ascii="Arial"/>
                <w:sz w:val="21"/>
              </w:rPr>
            </w:pPr>
            <w:r/>
          </w:p>
          <w:p>
            <w:pPr>
              <w:pStyle w:val="TableText"/>
              <w:ind w:left="94"/>
              <w:spacing w:before="81" w:line="220" w:lineRule="auto"/>
              <w:rPr>
                <w:sz w:val="25"/>
                <w:szCs w:val="25"/>
              </w:rPr>
            </w:pPr>
            <w:r>
              <w:rPr>
                <w:sz w:val="25"/>
                <w:szCs w:val="25"/>
                <w:spacing w:val="5"/>
              </w:rPr>
              <w:t>严重</w:t>
            </w:r>
          </w:p>
        </w:tc>
        <w:tc>
          <w:tcPr>
            <w:tcW w:w="6005" w:type="dxa"/>
            <w:vAlign w:val="top"/>
          </w:tcPr>
          <w:p>
            <w:pPr>
              <w:pStyle w:val="TableText"/>
              <w:ind w:left="10" w:firstLine="189"/>
              <w:spacing w:before="153" w:line="295" w:lineRule="auto"/>
              <w:rPr>
                <w:sz w:val="25"/>
                <w:szCs w:val="25"/>
              </w:rPr>
            </w:pPr>
            <w:r>
              <w:rPr>
                <w:sz w:val="25"/>
                <w:szCs w:val="25"/>
                <w:spacing w:val="-4"/>
              </w:rPr>
              <w:t>(1)医疗机构篡改、伪造、隐匿、毁灭病历资料，涉及</w:t>
            </w:r>
            <w:r>
              <w:rPr>
                <w:sz w:val="25"/>
                <w:szCs w:val="25"/>
                <w:spacing w:val="18"/>
              </w:rPr>
              <w:t xml:space="preserve"> </w:t>
            </w:r>
            <w:r>
              <w:rPr>
                <w:sz w:val="25"/>
                <w:szCs w:val="25"/>
                <w:spacing w:val="3"/>
              </w:rPr>
              <w:t>患者7名以上；(2)医疗机构篡改、伪造、隐匿、毁灭</w:t>
            </w:r>
            <w:r>
              <w:rPr>
                <w:sz w:val="25"/>
                <w:szCs w:val="25"/>
                <w:spacing w:val="9"/>
              </w:rPr>
              <w:t xml:space="preserve">  </w:t>
            </w:r>
            <w:r>
              <w:rPr>
                <w:sz w:val="25"/>
                <w:szCs w:val="25"/>
                <w:spacing w:val="-2"/>
              </w:rPr>
              <w:t>病历资料，导致医疗事故技术鉴定等出现重大错误，造</w:t>
            </w:r>
            <w:r>
              <w:rPr>
                <w:sz w:val="25"/>
                <w:szCs w:val="25"/>
                <w:spacing w:val="11"/>
              </w:rPr>
              <w:t xml:space="preserve"> </w:t>
            </w:r>
            <w:r>
              <w:rPr>
                <w:sz w:val="25"/>
                <w:szCs w:val="25"/>
                <w:spacing w:val="8"/>
              </w:rPr>
              <w:t>成严重不良社会后果。</w:t>
            </w:r>
          </w:p>
        </w:tc>
        <w:tc>
          <w:tcPr>
            <w:tcW w:w="6300" w:type="dxa"/>
            <w:vAlign w:val="top"/>
          </w:tcPr>
          <w:p>
            <w:pPr>
              <w:spacing w:line="256" w:lineRule="auto"/>
              <w:rPr>
                <w:rFonts w:ascii="Arial"/>
                <w:sz w:val="21"/>
              </w:rPr>
            </w:pPr>
            <w:r/>
          </w:p>
          <w:p>
            <w:pPr>
              <w:spacing w:line="256" w:lineRule="auto"/>
              <w:rPr>
                <w:rFonts w:ascii="Arial"/>
                <w:sz w:val="21"/>
              </w:rPr>
            </w:pPr>
            <w:r/>
          </w:p>
          <w:p>
            <w:pPr>
              <w:pStyle w:val="TableText"/>
              <w:ind w:left="126" w:right="263" w:firstLine="139"/>
              <w:spacing w:before="82" w:line="333" w:lineRule="auto"/>
              <w:rPr>
                <w:sz w:val="25"/>
                <w:szCs w:val="25"/>
              </w:rPr>
            </w:pPr>
            <w:r>
              <w:rPr>
                <w:sz w:val="25"/>
                <w:szCs w:val="25"/>
              </w:rPr>
              <w:t>有(1)或(2)情节的，对直接参与的医务人员由原发证</w:t>
            </w:r>
            <w:r>
              <w:rPr>
                <w:sz w:val="25"/>
                <w:szCs w:val="25"/>
                <w:spacing w:val="9"/>
              </w:rPr>
              <w:t xml:space="preserve"> </w:t>
            </w:r>
            <w:r>
              <w:rPr>
                <w:sz w:val="25"/>
                <w:szCs w:val="25"/>
                <w:spacing w:val="-1"/>
              </w:rPr>
              <w:t>部门吊销执业证书。</w:t>
            </w:r>
          </w:p>
        </w:tc>
      </w:tr>
    </w:tbl>
    <w:p>
      <w:pPr>
        <w:pStyle w:val="BodyText"/>
        <w:spacing w:line="447" w:lineRule="auto"/>
        <w:rPr/>
      </w:pPr>
      <w:r/>
    </w:p>
    <w:p>
      <w:pPr>
        <w:ind w:left="669"/>
        <w:spacing w:before="97" w:line="220" w:lineRule="auto"/>
        <w:rPr>
          <w:rFonts w:ascii="FangSong" w:hAnsi="FangSong" w:eastAsia="FangSong" w:cs="FangSong"/>
          <w:sz w:val="30"/>
          <w:szCs w:val="30"/>
        </w:rPr>
      </w:pPr>
      <w:r>
        <w:rPr>
          <w:rFonts w:ascii="FangSong" w:hAnsi="FangSong" w:eastAsia="FangSong" w:cs="FangSong"/>
          <w:sz w:val="30"/>
          <w:szCs w:val="30"/>
          <w:b/>
          <w:bCs/>
          <w:spacing w:val="22"/>
        </w:rPr>
        <w:t>第三百零三条医疗机构将未通过技术评估和伦理审查的医疗新技术应用于临床的</w:t>
      </w:r>
    </w:p>
    <w:p>
      <w:pPr>
        <w:ind w:left="675"/>
        <w:spacing w:before="110"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25" w:firstLine="619"/>
        <w:spacing w:before="58" w:line="271" w:lineRule="auto"/>
        <w:jc w:val="both"/>
        <w:rPr>
          <w:rFonts w:ascii="FangSong" w:hAnsi="FangSong" w:eastAsia="FangSong" w:cs="FangSong"/>
          <w:sz w:val="30"/>
          <w:szCs w:val="30"/>
        </w:rPr>
      </w:pPr>
      <w:r>
        <w:rPr>
          <w:rFonts w:ascii="FangSong" w:hAnsi="FangSong" w:eastAsia="FangSong" w:cs="FangSong"/>
          <w:sz w:val="30"/>
          <w:szCs w:val="30"/>
          <w:spacing w:val="25"/>
        </w:rPr>
        <w:t>《医疗纠纷预防和处理条例》第四十六条医疗机构将未通</w:t>
      </w:r>
      <w:r>
        <w:rPr>
          <w:rFonts w:ascii="FangSong" w:hAnsi="FangSong" w:eastAsia="FangSong" w:cs="FangSong"/>
          <w:sz w:val="30"/>
          <w:szCs w:val="30"/>
          <w:spacing w:val="24"/>
        </w:rPr>
        <w:t>过技术评估和伦理审查的医疗新技术</w:t>
      </w:r>
      <w:r>
        <w:rPr>
          <w:rFonts w:ascii="FangSong" w:hAnsi="FangSong" w:eastAsia="FangSong" w:cs="FangSong"/>
          <w:sz w:val="30"/>
          <w:szCs w:val="30"/>
        </w:rPr>
        <w:t xml:space="preserve"> </w:t>
      </w:r>
      <w:r>
        <w:rPr>
          <w:rFonts w:ascii="FangSong" w:hAnsi="FangSong" w:eastAsia="FangSong" w:cs="FangSong"/>
          <w:sz w:val="30"/>
          <w:szCs w:val="30"/>
          <w:spacing w:val="22"/>
        </w:rPr>
        <w:t>应用于临床的，由县级以上人民政府卫生主管部门没收违法所得，并处5万元</w:t>
      </w:r>
      <w:r>
        <w:rPr>
          <w:rFonts w:ascii="FangSong" w:hAnsi="FangSong" w:eastAsia="FangSong" w:cs="FangSong"/>
          <w:sz w:val="30"/>
          <w:szCs w:val="30"/>
          <w:spacing w:val="21"/>
        </w:rPr>
        <w:t>以上10万元以下罚款，</w:t>
      </w:r>
      <w:r>
        <w:rPr>
          <w:rFonts w:ascii="FangSong" w:hAnsi="FangSong" w:eastAsia="FangSong" w:cs="FangSong"/>
          <w:sz w:val="30"/>
          <w:szCs w:val="30"/>
        </w:rPr>
        <w:t xml:space="preserve"> </w:t>
      </w:r>
      <w:r>
        <w:rPr>
          <w:rFonts w:ascii="FangSong" w:hAnsi="FangSong" w:eastAsia="FangSong" w:cs="FangSong"/>
          <w:sz w:val="30"/>
          <w:szCs w:val="30"/>
          <w:spacing w:val="16"/>
        </w:rPr>
        <w:t>对直接负责的主管人员和其他直接责任人员给予或者责令给予降低岗位等级或者撤职的处分，对有关</w:t>
      </w:r>
      <w:r>
        <w:rPr>
          <w:rFonts w:ascii="FangSong" w:hAnsi="FangSong" w:eastAsia="FangSong" w:cs="FangSong"/>
          <w:sz w:val="30"/>
          <w:szCs w:val="30"/>
          <w:spacing w:val="18"/>
        </w:rPr>
        <w:t xml:space="preserve"> </w:t>
      </w:r>
      <w:r>
        <w:rPr>
          <w:rFonts w:ascii="FangSong" w:hAnsi="FangSong" w:eastAsia="FangSong" w:cs="FangSong"/>
          <w:sz w:val="30"/>
          <w:szCs w:val="30"/>
          <w:spacing w:val="23"/>
        </w:rPr>
        <w:t>医务人员责令暂停6个月以上1年以下执业活动；情节严重的，对直接负责的主管人员</w:t>
      </w:r>
      <w:r>
        <w:rPr>
          <w:rFonts w:ascii="FangSong" w:hAnsi="FangSong" w:eastAsia="FangSong" w:cs="FangSong"/>
          <w:sz w:val="30"/>
          <w:szCs w:val="30"/>
          <w:spacing w:val="22"/>
        </w:rPr>
        <w:t>和其他直接责</w:t>
      </w:r>
      <w:r>
        <w:rPr>
          <w:rFonts w:ascii="FangSong" w:hAnsi="FangSong" w:eastAsia="FangSong" w:cs="FangSong"/>
          <w:sz w:val="30"/>
          <w:szCs w:val="30"/>
        </w:rPr>
        <w:t xml:space="preserve"> </w:t>
      </w:r>
      <w:r>
        <w:rPr>
          <w:rFonts w:ascii="FangSong" w:hAnsi="FangSong" w:eastAsia="FangSong" w:cs="FangSong"/>
          <w:sz w:val="30"/>
          <w:szCs w:val="30"/>
          <w:spacing w:val="17"/>
        </w:rPr>
        <w:t>任人员给予或者责令给予开除的处分，对有关医务人员由原发证部门吊销执业证书；构成犯罪的，依</w:t>
      </w:r>
    </w:p>
    <w:p>
      <w:pPr>
        <w:pStyle w:val="BodyText"/>
        <w:spacing w:line="250" w:lineRule="auto"/>
        <w:rPr/>
      </w:pPr>
      <w:r/>
    </w:p>
    <w:p>
      <w:pPr>
        <w:pStyle w:val="BodyText"/>
        <w:spacing w:line="250" w:lineRule="auto"/>
        <w:rPr/>
      </w:pPr>
      <w:r/>
    </w:p>
    <w:p>
      <w:pPr>
        <w:ind w:left="6424"/>
        <w:spacing w:before="110" w:line="188"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6"/>
          <w:w w:val="97"/>
        </w:rPr>
        <w:t>—387—</w:t>
      </w:r>
    </w:p>
    <w:p>
      <w:pPr>
        <w:spacing w:line="188" w:lineRule="auto"/>
        <w:sectPr>
          <w:footerReference w:type="default" r:id="rId24"/>
          <w:pgSz w:w="16830" w:h="11900"/>
          <w:pgMar w:top="1011" w:right="1349" w:bottom="400" w:left="1425" w:header="0" w:footer="0" w:gutter="0"/>
        </w:sectPr>
        <w:rPr>
          <w:rFonts w:ascii="Times New Roman" w:hAnsi="Times New Roman" w:eastAsia="Times New Roman" w:cs="Times New Roman"/>
          <w:sz w:val="38"/>
          <w:szCs w:val="38"/>
        </w:rPr>
      </w:pPr>
    </w:p>
    <w:p>
      <w:pPr>
        <w:pStyle w:val="BodyText"/>
        <w:spacing w:line="273" w:lineRule="auto"/>
        <w:rPr/>
      </w:pPr>
      <w:r/>
    </w:p>
    <w:p>
      <w:pPr>
        <w:pStyle w:val="BodyText"/>
        <w:spacing w:line="273" w:lineRule="auto"/>
        <w:rPr/>
      </w:pPr>
      <w:r/>
    </w:p>
    <w:p>
      <w:pPr>
        <w:pStyle w:val="BodyText"/>
        <w:spacing w:line="273" w:lineRule="auto"/>
        <w:rPr/>
      </w:pPr>
      <w:r/>
    </w:p>
    <w:p>
      <w:pPr>
        <w:ind w:left="25"/>
        <w:spacing w:before="95" w:line="223" w:lineRule="auto"/>
        <w:rPr>
          <w:rFonts w:ascii="FangSong" w:hAnsi="FangSong" w:eastAsia="FangSong" w:cs="FangSong"/>
          <w:sz w:val="29"/>
          <w:szCs w:val="29"/>
        </w:rPr>
      </w:pPr>
      <w:r>
        <w:rPr>
          <w:rFonts w:ascii="FangSong" w:hAnsi="FangSong" w:eastAsia="FangSong" w:cs="FangSong"/>
          <w:sz w:val="29"/>
          <w:szCs w:val="29"/>
          <w:spacing w:val="19"/>
        </w:rPr>
        <w:t>法追究刑事责任。</w:t>
      </w:r>
    </w:p>
    <w:p>
      <w:pPr>
        <w:ind w:left="6429"/>
        <w:spacing w:before="47" w:line="214" w:lineRule="auto"/>
        <w:rPr>
          <w:rFonts w:ascii="SimSun" w:hAnsi="SimSun" w:eastAsia="SimSun" w:cs="SimSun"/>
          <w:sz w:val="29"/>
          <w:szCs w:val="29"/>
        </w:rPr>
      </w:pPr>
      <w:bookmarkStart w:name="bookmark1005" w:id="374"/>
      <w:bookmarkEnd w:id="374"/>
      <w:r>
        <w:rPr>
          <w:rFonts w:ascii="SimSun" w:hAnsi="SimSun" w:eastAsia="SimSun" w:cs="SimSun"/>
          <w:sz w:val="29"/>
          <w:szCs w:val="29"/>
          <w:b/>
          <w:bCs/>
          <w:spacing w:val="-6"/>
        </w:rPr>
        <w:t>裁量标准</w:t>
      </w:r>
    </w:p>
    <w:tbl>
      <w:tblPr>
        <w:tblStyle w:val="TableNormal"/>
        <w:tblW w:w="139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64"/>
        <w:gridCol w:w="5955"/>
        <w:gridCol w:w="6400"/>
      </w:tblGrid>
      <w:tr>
        <w:trPr>
          <w:trHeight w:val="553" w:hRule="atLeast"/>
        </w:trPr>
        <w:tc>
          <w:tcPr>
            <w:tcW w:w="1564" w:type="dxa"/>
            <w:vAlign w:val="top"/>
          </w:tcPr>
          <w:p>
            <w:pPr>
              <w:pStyle w:val="TableText"/>
              <w:ind w:left="278"/>
              <w:spacing w:before="152" w:line="220" w:lineRule="auto"/>
              <w:rPr>
                <w:sz w:val="25"/>
                <w:szCs w:val="25"/>
              </w:rPr>
            </w:pPr>
            <w:r>
              <w:rPr>
                <w:sz w:val="25"/>
                <w:szCs w:val="25"/>
                <w:b/>
                <w:bCs/>
                <w:spacing w:val="-5"/>
              </w:rPr>
              <w:t>违法程度</w:t>
            </w:r>
          </w:p>
        </w:tc>
        <w:tc>
          <w:tcPr>
            <w:tcW w:w="5955" w:type="dxa"/>
            <w:vAlign w:val="top"/>
          </w:tcPr>
          <w:p>
            <w:pPr>
              <w:pStyle w:val="TableText"/>
              <w:ind w:left="2474"/>
              <w:spacing w:before="152" w:line="220" w:lineRule="auto"/>
              <w:rPr>
                <w:sz w:val="25"/>
                <w:szCs w:val="25"/>
              </w:rPr>
            </w:pPr>
            <w:r>
              <w:rPr>
                <w:sz w:val="25"/>
                <w:szCs w:val="25"/>
                <w:b/>
                <w:bCs/>
                <w:spacing w:val="-5"/>
              </w:rPr>
              <w:t>情节后果</w:t>
            </w:r>
          </w:p>
        </w:tc>
        <w:tc>
          <w:tcPr>
            <w:tcW w:w="6400" w:type="dxa"/>
            <w:vAlign w:val="top"/>
          </w:tcPr>
          <w:p>
            <w:pPr>
              <w:pStyle w:val="TableText"/>
              <w:ind w:left="2699"/>
              <w:spacing w:before="149" w:line="218" w:lineRule="auto"/>
              <w:rPr>
                <w:sz w:val="25"/>
                <w:szCs w:val="25"/>
              </w:rPr>
            </w:pPr>
            <w:r>
              <w:rPr>
                <w:sz w:val="25"/>
                <w:szCs w:val="25"/>
                <w:b/>
                <w:bCs/>
                <w:spacing w:val="-5"/>
              </w:rPr>
              <w:t>裁量幅度</w:t>
            </w:r>
          </w:p>
        </w:tc>
      </w:tr>
      <w:tr>
        <w:trPr>
          <w:trHeight w:val="878" w:hRule="atLeast"/>
        </w:trPr>
        <w:tc>
          <w:tcPr>
            <w:tcW w:w="1564" w:type="dxa"/>
            <w:vAlign w:val="top"/>
          </w:tcPr>
          <w:p>
            <w:pPr>
              <w:pStyle w:val="TableText"/>
              <w:ind w:left="528"/>
              <w:spacing w:before="320" w:line="221" w:lineRule="auto"/>
              <w:rPr>
                <w:sz w:val="25"/>
                <w:szCs w:val="25"/>
              </w:rPr>
            </w:pPr>
            <w:r>
              <w:rPr>
                <w:sz w:val="25"/>
                <w:szCs w:val="25"/>
                <w:b/>
                <w:bCs/>
                <w:spacing w:val="-10"/>
              </w:rPr>
              <w:t>一般</w:t>
            </w:r>
          </w:p>
        </w:tc>
        <w:tc>
          <w:tcPr>
            <w:tcW w:w="5955" w:type="dxa"/>
            <w:vAlign w:val="top"/>
          </w:tcPr>
          <w:p>
            <w:pPr>
              <w:pStyle w:val="TableText"/>
              <w:ind w:left="99" w:right="92" w:hanging="9"/>
              <w:spacing w:before="139" w:line="269" w:lineRule="auto"/>
              <w:rPr>
                <w:sz w:val="25"/>
                <w:szCs w:val="25"/>
              </w:rPr>
            </w:pPr>
            <w:r>
              <w:rPr>
                <w:sz w:val="25"/>
                <w:szCs w:val="25"/>
              </w:rPr>
              <w:t>医疗机构将未通过技术评估和伦理审查的医疗新技术</w:t>
            </w:r>
            <w:r>
              <w:rPr>
                <w:sz w:val="25"/>
                <w:szCs w:val="25"/>
                <w:spacing w:val="10"/>
              </w:rPr>
              <w:t xml:space="preserve"> </w:t>
            </w:r>
            <w:r>
              <w:rPr>
                <w:sz w:val="25"/>
                <w:szCs w:val="25"/>
                <w:spacing w:val="1"/>
              </w:rPr>
              <w:t>应用于临床，首次发现的</w:t>
            </w:r>
          </w:p>
        </w:tc>
        <w:tc>
          <w:tcPr>
            <w:tcW w:w="6400" w:type="dxa"/>
            <w:vAlign w:val="top"/>
          </w:tcPr>
          <w:p>
            <w:pPr>
              <w:pStyle w:val="TableText"/>
              <w:ind w:left="114" w:right="58" w:hanging="49"/>
              <w:spacing w:before="142" w:line="268" w:lineRule="auto"/>
              <w:rPr>
                <w:sz w:val="25"/>
                <w:szCs w:val="25"/>
              </w:rPr>
            </w:pPr>
            <w:r>
              <w:rPr>
                <w:sz w:val="25"/>
                <w:szCs w:val="25"/>
              </w:rPr>
              <w:t>没收违法所得，并处5万元以上7万元以下罚款，对有关医</w:t>
            </w:r>
            <w:r>
              <w:rPr>
                <w:sz w:val="25"/>
                <w:szCs w:val="25"/>
                <w:spacing w:val="14"/>
              </w:rPr>
              <w:t xml:space="preserve"> </w:t>
            </w:r>
            <w:r>
              <w:rPr>
                <w:sz w:val="25"/>
                <w:szCs w:val="25"/>
              </w:rPr>
              <w:t>务人员责令暂停6个月以上9个月以下执业活动</w:t>
            </w:r>
          </w:p>
        </w:tc>
      </w:tr>
      <w:tr>
        <w:trPr>
          <w:trHeight w:val="887" w:hRule="atLeast"/>
        </w:trPr>
        <w:tc>
          <w:tcPr>
            <w:tcW w:w="1564" w:type="dxa"/>
            <w:vAlign w:val="top"/>
          </w:tcPr>
          <w:p>
            <w:pPr>
              <w:spacing w:line="241" w:lineRule="auto"/>
              <w:rPr>
                <w:rFonts w:ascii="Arial"/>
                <w:sz w:val="21"/>
              </w:rPr>
            </w:pPr>
            <w:r/>
          </w:p>
          <w:p>
            <w:pPr>
              <w:pStyle w:val="TableText"/>
              <w:ind w:left="528"/>
              <w:spacing w:before="81" w:line="221" w:lineRule="auto"/>
              <w:rPr>
                <w:sz w:val="25"/>
                <w:szCs w:val="25"/>
              </w:rPr>
            </w:pPr>
            <w:r>
              <w:rPr>
                <w:sz w:val="25"/>
                <w:szCs w:val="25"/>
                <w:b/>
                <w:bCs/>
                <w:spacing w:val="-6"/>
              </w:rPr>
              <w:t>较重</w:t>
            </w:r>
          </w:p>
        </w:tc>
        <w:tc>
          <w:tcPr>
            <w:tcW w:w="5955" w:type="dxa"/>
            <w:vAlign w:val="top"/>
          </w:tcPr>
          <w:p>
            <w:pPr>
              <w:pStyle w:val="TableText"/>
              <w:ind w:left="110" w:right="92" w:hanging="20"/>
              <w:spacing w:before="143" w:line="271" w:lineRule="auto"/>
              <w:rPr>
                <w:sz w:val="25"/>
                <w:szCs w:val="25"/>
              </w:rPr>
            </w:pPr>
            <w:r>
              <w:rPr>
                <w:sz w:val="25"/>
                <w:szCs w:val="25"/>
              </w:rPr>
              <w:t>医疗机构将未通过技术评估和伦理审查的医疗新技术</w:t>
            </w:r>
            <w:r>
              <w:rPr>
                <w:sz w:val="25"/>
                <w:szCs w:val="25"/>
                <w:spacing w:val="10"/>
              </w:rPr>
              <w:t xml:space="preserve"> </w:t>
            </w:r>
            <w:r>
              <w:rPr>
                <w:sz w:val="25"/>
                <w:szCs w:val="25"/>
                <w:spacing w:val="1"/>
              </w:rPr>
              <w:t>应用于临床，经处罚再次发现有该行为的</w:t>
            </w:r>
          </w:p>
        </w:tc>
        <w:tc>
          <w:tcPr>
            <w:tcW w:w="6400" w:type="dxa"/>
            <w:vAlign w:val="top"/>
          </w:tcPr>
          <w:p>
            <w:pPr>
              <w:pStyle w:val="TableText"/>
              <w:ind w:left="115" w:right="122" w:firstLine="9"/>
              <w:spacing w:before="153" w:line="267" w:lineRule="auto"/>
              <w:rPr>
                <w:sz w:val="25"/>
                <w:szCs w:val="25"/>
              </w:rPr>
            </w:pPr>
            <w:r>
              <w:rPr>
                <w:sz w:val="25"/>
                <w:szCs w:val="25"/>
              </w:rPr>
              <w:t>没收违法所得，并处7万元以上10万元以下罚款，对有关</w:t>
            </w:r>
            <w:r>
              <w:rPr>
                <w:sz w:val="25"/>
                <w:szCs w:val="25"/>
                <w:spacing w:val="15"/>
              </w:rPr>
              <w:t xml:space="preserve"> </w:t>
            </w:r>
            <w:r>
              <w:rPr>
                <w:sz w:val="25"/>
                <w:szCs w:val="25"/>
              </w:rPr>
              <w:t>医务人员责令暂停10个月以上1年以下执业活动</w:t>
            </w:r>
          </w:p>
        </w:tc>
      </w:tr>
      <w:tr>
        <w:trPr>
          <w:trHeight w:val="1311" w:hRule="atLeast"/>
        </w:trPr>
        <w:tc>
          <w:tcPr>
            <w:tcW w:w="1564" w:type="dxa"/>
            <w:vAlign w:val="top"/>
          </w:tcPr>
          <w:p>
            <w:pPr>
              <w:spacing w:line="450" w:lineRule="auto"/>
              <w:rPr>
                <w:rFonts w:ascii="Arial"/>
                <w:sz w:val="21"/>
              </w:rPr>
            </w:pPr>
            <w:r/>
          </w:p>
          <w:p>
            <w:pPr>
              <w:pStyle w:val="TableText"/>
              <w:ind w:left="528"/>
              <w:spacing w:before="81" w:line="220" w:lineRule="auto"/>
              <w:rPr>
                <w:sz w:val="25"/>
                <w:szCs w:val="25"/>
              </w:rPr>
            </w:pPr>
            <w:r>
              <w:rPr>
                <w:sz w:val="25"/>
                <w:szCs w:val="25"/>
                <w:b/>
                <w:bCs/>
                <w:spacing w:val="-6"/>
              </w:rPr>
              <w:t>严重</w:t>
            </w:r>
          </w:p>
        </w:tc>
        <w:tc>
          <w:tcPr>
            <w:tcW w:w="5955" w:type="dxa"/>
            <w:vAlign w:val="top"/>
          </w:tcPr>
          <w:p>
            <w:pPr>
              <w:pStyle w:val="TableText"/>
              <w:ind w:left="10" w:firstLine="79"/>
              <w:spacing w:before="135" w:line="287" w:lineRule="auto"/>
              <w:jc w:val="both"/>
              <w:rPr>
                <w:sz w:val="25"/>
                <w:szCs w:val="25"/>
              </w:rPr>
            </w:pPr>
            <w:r>
              <w:rPr>
                <w:sz w:val="25"/>
                <w:szCs w:val="25"/>
              </w:rPr>
              <w:t>医疗机构将未通过技术评估和伦理审查的医疗新技术</w:t>
            </w:r>
            <w:r>
              <w:rPr>
                <w:sz w:val="25"/>
                <w:szCs w:val="25"/>
                <w:spacing w:val="5"/>
              </w:rPr>
              <w:t xml:space="preserve"> </w:t>
            </w:r>
            <w:r>
              <w:rPr>
                <w:sz w:val="25"/>
                <w:szCs w:val="25"/>
                <w:spacing w:val="-3"/>
              </w:rPr>
              <w:t>应用于临床，曾受过两次以上卫生行政处罚或造成其他</w:t>
            </w:r>
            <w:r>
              <w:rPr>
                <w:sz w:val="25"/>
                <w:szCs w:val="25"/>
                <w:spacing w:val="5"/>
              </w:rPr>
              <w:t xml:space="preserve"> </w:t>
            </w:r>
            <w:r>
              <w:rPr>
                <w:sz w:val="25"/>
                <w:szCs w:val="25"/>
                <w:spacing w:val="19"/>
              </w:rPr>
              <w:t>严重后果的</w:t>
            </w:r>
          </w:p>
        </w:tc>
        <w:tc>
          <w:tcPr>
            <w:tcW w:w="6400" w:type="dxa"/>
            <w:vAlign w:val="top"/>
          </w:tcPr>
          <w:p>
            <w:pPr>
              <w:spacing w:line="275" w:lineRule="auto"/>
              <w:rPr>
                <w:rFonts w:ascii="Arial"/>
                <w:sz w:val="21"/>
              </w:rPr>
            </w:pPr>
            <w:r/>
          </w:p>
          <w:p>
            <w:pPr>
              <w:pStyle w:val="TableText"/>
              <w:ind w:left="114" w:right="63" w:hanging="49"/>
              <w:spacing w:before="81" w:line="333" w:lineRule="auto"/>
              <w:rPr>
                <w:sz w:val="25"/>
                <w:szCs w:val="25"/>
              </w:rPr>
            </w:pPr>
            <w:r>
              <w:rPr>
                <w:sz w:val="25"/>
                <w:szCs w:val="25"/>
              </w:rPr>
              <w:t>没收违法所得，并处10万元罚款，对有关医务人员由原发</w:t>
            </w:r>
            <w:r>
              <w:rPr>
                <w:sz w:val="25"/>
                <w:szCs w:val="25"/>
                <w:spacing w:val="9"/>
              </w:rPr>
              <w:t xml:space="preserve"> </w:t>
            </w:r>
            <w:r>
              <w:rPr>
                <w:sz w:val="25"/>
                <w:szCs w:val="25"/>
                <w:spacing w:val="1"/>
              </w:rPr>
              <w:t>证部门吊销执业证书</w:t>
            </w:r>
          </w:p>
        </w:tc>
      </w:tr>
    </w:tbl>
    <w:p>
      <w:pPr>
        <w:pStyle w:val="BodyText"/>
        <w:spacing w:line="470" w:lineRule="auto"/>
        <w:rPr/>
      </w:pPr>
      <w:r/>
    </w:p>
    <w:p>
      <w:pPr>
        <w:ind w:left="679"/>
        <w:spacing w:before="94" w:line="220" w:lineRule="auto"/>
        <w:rPr>
          <w:rFonts w:ascii="FangSong" w:hAnsi="FangSong" w:eastAsia="FangSong" w:cs="FangSong"/>
          <w:sz w:val="29"/>
          <w:szCs w:val="29"/>
        </w:rPr>
      </w:pPr>
      <w:r>
        <w:rPr>
          <w:rFonts w:ascii="FangSong" w:hAnsi="FangSong" w:eastAsia="FangSong" w:cs="FangSong"/>
          <w:sz w:val="29"/>
          <w:szCs w:val="29"/>
          <w:b/>
          <w:bCs/>
          <w:spacing w:val="31"/>
        </w:rPr>
        <w:t>第三百零四条医疗机构及其医务人员未按规定制定和实施医疗质量安全管理制度的</w:t>
      </w:r>
    </w:p>
    <w:p>
      <w:pPr>
        <w:ind w:left="675"/>
        <w:spacing w:before="112" w:line="222" w:lineRule="auto"/>
        <w:rPr>
          <w:rFonts w:ascii="FangSong" w:hAnsi="FangSong" w:eastAsia="FangSong" w:cs="FangSong"/>
          <w:sz w:val="29"/>
          <w:szCs w:val="29"/>
        </w:rPr>
      </w:pPr>
      <w:r>
        <w:rPr>
          <w:rFonts w:ascii="FangSong" w:hAnsi="FangSong" w:eastAsia="FangSong" w:cs="FangSong"/>
          <w:sz w:val="29"/>
          <w:szCs w:val="29"/>
          <w:spacing w:val="8"/>
        </w:rPr>
        <w:t>法律依据：</w:t>
      </w:r>
    </w:p>
    <w:p>
      <w:pPr>
        <w:ind w:left="25" w:firstLine="624"/>
        <w:spacing w:before="78" w:line="281" w:lineRule="auto"/>
        <w:jc w:val="both"/>
        <w:rPr>
          <w:rFonts w:ascii="FangSong" w:hAnsi="FangSong" w:eastAsia="FangSong" w:cs="FangSong"/>
          <w:sz w:val="29"/>
          <w:szCs w:val="29"/>
        </w:rPr>
      </w:pPr>
      <w:r>
        <w:rPr>
          <w:rFonts w:ascii="FangSong" w:hAnsi="FangSong" w:eastAsia="FangSong" w:cs="FangSong"/>
          <w:sz w:val="29"/>
          <w:szCs w:val="29"/>
          <w:spacing w:val="29"/>
        </w:rPr>
        <w:t>《医疗纠纷预防和处理条例》第四十七条第(一)项</w:t>
      </w:r>
      <w:r>
        <w:rPr>
          <w:rFonts w:ascii="FangSong" w:hAnsi="FangSong" w:eastAsia="FangSong" w:cs="FangSong"/>
          <w:sz w:val="29"/>
          <w:szCs w:val="29"/>
          <w:spacing w:val="14"/>
        </w:rPr>
        <w:t xml:space="preserve">  </w:t>
      </w:r>
      <w:r>
        <w:rPr>
          <w:rFonts w:ascii="FangSong" w:hAnsi="FangSong" w:eastAsia="FangSong" w:cs="FangSong"/>
          <w:sz w:val="29"/>
          <w:szCs w:val="29"/>
          <w:spacing w:val="29"/>
        </w:rPr>
        <w:t>医</w:t>
      </w:r>
      <w:r>
        <w:rPr>
          <w:rFonts w:ascii="FangSong" w:hAnsi="FangSong" w:eastAsia="FangSong" w:cs="FangSong"/>
          <w:sz w:val="29"/>
          <w:szCs w:val="29"/>
          <w:spacing w:val="28"/>
        </w:rPr>
        <w:t>疗机构及其医务人员有下列情形之一的，</w:t>
      </w:r>
      <w:r>
        <w:rPr>
          <w:rFonts w:ascii="FangSong" w:hAnsi="FangSong" w:eastAsia="FangSong" w:cs="FangSong"/>
          <w:sz w:val="29"/>
          <w:szCs w:val="29"/>
          <w:spacing w:val="1"/>
        </w:rPr>
        <w:t xml:space="preserve"> </w:t>
      </w:r>
      <w:r>
        <w:rPr>
          <w:rFonts w:ascii="FangSong" w:hAnsi="FangSong" w:eastAsia="FangSong" w:cs="FangSong"/>
          <w:sz w:val="29"/>
          <w:szCs w:val="29"/>
          <w:spacing w:val="33"/>
        </w:rPr>
        <w:t>由县级以上人民政府卫生主管部门责令改正，给予警告，并处1万元以上5万元以</w:t>
      </w:r>
      <w:r>
        <w:rPr>
          <w:rFonts w:ascii="FangSong" w:hAnsi="FangSong" w:eastAsia="FangSong" w:cs="FangSong"/>
          <w:sz w:val="29"/>
          <w:szCs w:val="29"/>
          <w:spacing w:val="32"/>
        </w:rPr>
        <w:t>下罚款；情节严重</w:t>
      </w:r>
      <w:r>
        <w:rPr>
          <w:rFonts w:ascii="FangSong" w:hAnsi="FangSong" w:eastAsia="FangSong" w:cs="FangSong"/>
          <w:sz w:val="29"/>
          <w:szCs w:val="29"/>
        </w:rPr>
        <w:t xml:space="preserve"> </w:t>
      </w:r>
      <w:r>
        <w:rPr>
          <w:rFonts w:ascii="FangSong" w:hAnsi="FangSong" w:eastAsia="FangSong" w:cs="FangSong"/>
          <w:sz w:val="29"/>
          <w:szCs w:val="29"/>
          <w:spacing w:val="26"/>
        </w:rPr>
        <w:t>的，对直接负责的主管人员和其他直接责任人员给予或者责令给予降低岗位等级或者撤职的处分，对</w:t>
      </w:r>
      <w:r>
        <w:rPr>
          <w:rFonts w:ascii="FangSong" w:hAnsi="FangSong" w:eastAsia="FangSong" w:cs="FangSong"/>
          <w:sz w:val="29"/>
          <w:szCs w:val="29"/>
          <w:spacing w:val="5"/>
        </w:rPr>
        <w:t xml:space="preserve"> </w:t>
      </w:r>
      <w:r>
        <w:rPr>
          <w:rFonts w:ascii="FangSong" w:hAnsi="FangSong" w:eastAsia="FangSong" w:cs="FangSong"/>
          <w:sz w:val="29"/>
          <w:szCs w:val="29"/>
          <w:spacing w:val="35"/>
        </w:rPr>
        <w:t>有关医务人员可以责令暂停1个月以上6个月以下执业活动</w:t>
      </w:r>
      <w:r>
        <w:rPr>
          <w:rFonts w:ascii="FangSong" w:hAnsi="FangSong" w:eastAsia="FangSong" w:cs="FangSong"/>
          <w:sz w:val="29"/>
          <w:szCs w:val="29"/>
          <w:spacing w:val="34"/>
        </w:rPr>
        <w:t>；构成犯罪的，依法追究刑事责任：</w:t>
      </w:r>
    </w:p>
    <w:p>
      <w:pPr>
        <w:ind w:left="804"/>
        <w:spacing w:before="14" w:line="222" w:lineRule="auto"/>
        <w:rPr>
          <w:rFonts w:ascii="FangSong" w:hAnsi="FangSong" w:eastAsia="FangSong" w:cs="FangSong"/>
          <w:sz w:val="29"/>
          <w:szCs w:val="29"/>
        </w:rPr>
      </w:pPr>
      <w:r>
        <w:rPr>
          <w:rFonts w:ascii="FangSong" w:hAnsi="FangSong" w:eastAsia="FangSong" w:cs="FangSong"/>
          <w:sz w:val="29"/>
          <w:szCs w:val="29"/>
          <w:spacing w:val="29"/>
        </w:rPr>
        <w:t>(</w:t>
      </w:r>
      <w:r>
        <w:rPr>
          <w:rFonts w:ascii="FangSong" w:hAnsi="FangSong" w:eastAsia="FangSong" w:cs="FangSong"/>
          <w:sz w:val="29"/>
          <w:szCs w:val="29"/>
          <w:spacing w:val="-78"/>
        </w:rPr>
        <w:t xml:space="preserve"> </w:t>
      </w:r>
      <w:r>
        <w:rPr>
          <w:rFonts w:ascii="FangSong" w:hAnsi="FangSong" w:eastAsia="FangSong" w:cs="FangSong"/>
          <w:sz w:val="29"/>
          <w:szCs w:val="29"/>
          <w:spacing w:val="29"/>
        </w:rPr>
        <w:t>一)未按规定制定和实施医疗质量安全管理制度；</w:t>
      </w:r>
    </w:p>
    <w:p>
      <w:pPr>
        <w:spacing w:line="222" w:lineRule="auto"/>
        <w:sectPr>
          <w:footerReference w:type="default" r:id="rId354"/>
          <w:pgSz w:w="16830" w:h="11900"/>
          <w:pgMar w:top="1011" w:right="1344" w:bottom="1117" w:left="1425" w:header="0" w:footer="784" w:gutter="0"/>
        </w:sectPr>
        <w:rPr>
          <w:rFonts w:ascii="FangSong" w:hAnsi="FangSong" w:eastAsia="FangSong" w:cs="FangSong"/>
          <w:sz w:val="29"/>
          <w:szCs w:val="29"/>
        </w:rPr>
      </w:pPr>
    </w:p>
    <w:p>
      <w:pPr>
        <w:pStyle w:val="BodyText"/>
        <w:spacing w:line="255" w:lineRule="auto"/>
        <w:rPr/>
      </w:pPr>
      <w:r/>
    </w:p>
    <w:p>
      <w:pPr>
        <w:pStyle w:val="BodyText"/>
        <w:spacing w:line="255" w:lineRule="auto"/>
        <w:rPr/>
      </w:pPr>
      <w:r/>
    </w:p>
    <w:p>
      <w:pPr>
        <w:pStyle w:val="BodyText"/>
        <w:spacing w:line="255" w:lineRule="auto"/>
        <w:rPr/>
      </w:pPr>
      <w:r/>
    </w:p>
    <w:p>
      <w:pPr>
        <w:ind w:left="6429"/>
        <w:spacing w:before="107" w:line="188" w:lineRule="auto"/>
        <w:rPr>
          <w:rFonts w:ascii="SimSun" w:hAnsi="SimSun" w:eastAsia="SimSun" w:cs="SimSun"/>
          <w:sz w:val="33"/>
          <w:szCs w:val="33"/>
        </w:rPr>
      </w:pPr>
      <w:bookmarkStart w:name="bookmark1006" w:id="375"/>
      <w:bookmarkEnd w:id="375"/>
      <w:r>
        <w:rPr>
          <w:rFonts w:ascii="SimSun" w:hAnsi="SimSun" w:eastAsia="SimSun" w:cs="SimSun"/>
          <w:sz w:val="33"/>
          <w:szCs w:val="33"/>
          <w:b/>
          <w:bCs/>
          <w:spacing w:val="-2"/>
        </w:rPr>
        <w:t>裁量标准</w:t>
      </w:r>
    </w:p>
    <w:tbl>
      <w:tblPr>
        <w:tblStyle w:val="TableNormal"/>
        <w:tblW w:w="133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84"/>
        <w:gridCol w:w="6026"/>
        <w:gridCol w:w="6300"/>
      </w:tblGrid>
      <w:tr>
        <w:trPr>
          <w:trHeight w:val="1082" w:hRule="atLeast"/>
        </w:trPr>
        <w:tc>
          <w:tcPr>
            <w:tcW w:w="984" w:type="dxa"/>
            <w:vAlign w:val="top"/>
          </w:tcPr>
          <w:p>
            <w:pPr>
              <w:pStyle w:val="TableText"/>
              <w:ind w:left="188"/>
              <w:spacing w:before="49" w:line="225" w:lineRule="auto"/>
              <w:rPr>
                <w:sz w:val="25"/>
                <w:szCs w:val="25"/>
              </w:rPr>
            </w:pPr>
            <w:r>
              <w:rPr>
                <w:sz w:val="25"/>
                <w:szCs w:val="25"/>
                <w:b/>
                <w:bCs/>
                <w:spacing w:val="-6"/>
              </w:rPr>
              <w:t>违法</w:t>
            </w:r>
          </w:p>
          <w:p>
            <w:pPr>
              <w:pStyle w:val="TableText"/>
              <w:ind w:left="188"/>
              <w:spacing w:before="148" w:line="220" w:lineRule="auto"/>
              <w:rPr>
                <w:sz w:val="25"/>
                <w:szCs w:val="25"/>
              </w:rPr>
            </w:pPr>
            <w:r>
              <w:rPr>
                <w:sz w:val="25"/>
                <w:szCs w:val="25"/>
                <w:b/>
                <w:bCs/>
                <w:spacing w:val="-5"/>
              </w:rPr>
              <w:t>程度</w:t>
            </w:r>
          </w:p>
        </w:tc>
        <w:tc>
          <w:tcPr>
            <w:tcW w:w="6026" w:type="dxa"/>
            <w:vAlign w:val="top"/>
          </w:tcPr>
          <w:p>
            <w:pPr>
              <w:spacing w:line="339" w:lineRule="auto"/>
              <w:rPr>
                <w:rFonts w:ascii="Arial"/>
                <w:sz w:val="21"/>
              </w:rPr>
            </w:pPr>
            <w:r/>
          </w:p>
          <w:p>
            <w:pPr>
              <w:pStyle w:val="TableText"/>
              <w:ind w:left="2504"/>
              <w:spacing w:before="81" w:line="220" w:lineRule="auto"/>
              <w:rPr>
                <w:sz w:val="25"/>
                <w:szCs w:val="25"/>
              </w:rPr>
            </w:pPr>
            <w:r>
              <w:rPr>
                <w:sz w:val="25"/>
                <w:szCs w:val="25"/>
                <w:b/>
                <w:bCs/>
                <w:spacing w:val="-5"/>
              </w:rPr>
              <w:t>情节后果</w:t>
            </w:r>
          </w:p>
        </w:tc>
        <w:tc>
          <w:tcPr>
            <w:tcW w:w="6300" w:type="dxa"/>
            <w:vAlign w:val="top"/>
          </w:tcPr>
          <w:p>
            <w:pPr>
              <w:spacing w:line="336" w:lineRule="auto"/>
              <w:rPr>
                <w:rFonts w:ascii="Arial"/>
                <w:sz w:val="21"/>
              </w:rPr>
            </w:pPr>
            <w:r/>
          </w:p>
          <w:p>
            <w:pPr>
              <w:pStyle w:val="TableText"/>
              <w:ind w:left="2648"/>
              <w:spacing w:before="81" w:line="218" w:lineRule="auto"/>
              <w:rPr>
                <w:sz w:val="25"/>
                <w:szCs w:val="25"/>
              </w:rPr>
            </w:pPr>
            <w:r>
              <w:rPr>
                <w:sz w:val="25"/>
                <w:szCs w:val="25"/>
                <w:b/>
                <w:bCs/>
                <w:spacing w:val="-5"/>
              </w:rPr>
              <w:t>裁量幅度</w:t>
            </w:r>
          </w:p>
        </w:tc>
      </w:tr>
      <w:tr>
        <w:trPr>
          <w:trHeight w:val="888" w:hRule="atLeast"/>
        </w:trPr>
        <w:tc>
          <w:tcPr>
            <w:tcW w:w="984" w:type="dxa"/>
            <w:vAlign w:val="top"/>
          </w:tcPr>
          <w:p>
            <w:pPr>
              <w:spacing w:line="242" w:lineRule="auto"/>
              <w:rPr>
                <w:rFonts w:ascii="Arial"/>
                <w:sz w:val="21"/>
              </w:rPr>
            </w:pPr>
            <w:r/>
          </w:p>
          <w:p>
            <w:pPr>
              <w:pStyle w:val="TableText"/>
              <w:ind w:left="94"/>
              <w:spacing w:before="81" w:line="221" w:lineRule="auto"/>
              <w:rPr>
                <w:sz w:val="25"/>
                <w:szCs w:val="25"/>
              </w:rPr>
            </w:pPr>
            <w:r>
              <w:rPr>
                <w:sz w:val="25"/>
                <w:szCs w:val="25"/>
                <w:spacing w:val="5"/>
              </w:rPr>
              <w:t>一般</w:t>
            </w:r>
          </w:p>
        </w:tc>
        <w:tc>
          <w:tcPr>
            <w:tcW w:w="6026" w:type="dxa"/>
            <w:vAlign w:val="top"/>
          </w:tcPr>
          <w:p>
            <w:pPr>
              <w:pStyle w:val="TableText"/>
              <w:ind w:left="120" w:hanging="119"/>
              <w:spacing w:before="152" w:line="268" w:lineRule="auto"/>
              <w:rPr>
                <w:sz w:val="25"/>
                <w:szCs w:val="25"/>
              </w:rPr>
            </w:pPr>
            <w:r>
              <w:rPr>
                <w:sz w:val="25"/>
                <w:szCs w:val="25"/>
              </w:rPr>
              <w:t>医疗机构及其医务人员未按规定制定和实施医疗质量安</w:t>
            </w:r>
            <w:r>
              <w:rPr>
                <w:sz w:val="25"/>
                <w:szCs w:val="25"/>
                <w:spacing w:val="13"/>
              </w:rPr>
              <w:t xml:space="preserve"> </w:t>
            </w:r>
            <w:r>
              <w:rPr>
                <w:sz w:val="25"/>
                <w:szCs w:val="25"/>
                <w:spacing w:val="1"/>
              </w:rPr>
              <w:t>全管理制度，首次发现的</w:t>
            </w:r>
          </w:p>
        </w:tc>
        <w:tc>
          <w:tcPr>
            <w:tcW w:w="6300" w:type="dxa"/>
            <w:vAlign w:val="top"/>
          </w:tcPr>
          <w:p>
            <w:pPr>
              <w:pStyle w:val="TableText"/>
              <w:ind w:left="113" w:hanging="39"/>
              <w:spacing w:before="152" w:line="268" w:lineRule="auto"/>
              <w:rPr>
                <w:sz w:val="25"/>
                <w:szCs w:val="25"/>
              </w:rPr>
            </w:pPr>
            <w:r>
              <w:rPr>
                <w:sz w:val="25"/>
                <w:szCs w:val="25"/>
                <w:spacing w:val="-2"/>
              </w:rPr>
              <w:t>由县级以上人民政府卫生主管部门责令改正，给予警告，</w:t>
            </w:r>
            <w:r>
              <w:rPr>
                <w:sz w:val="25"/>
                <w:szCs w:val="25"/>
                <w:spacing w:val="14"/>
              </w:rPr>
              <w:t xml:space="preserve"> </w:t>
            </w:r>
            <w:r>
              <w:rPr>
                <w:sz w:val="25"/>
                <w:szCs w:val="25"/>
                <w:spacing w:val="-1"/>
              </w:rPr>
              <w:t>并处1万元以上3万元以下罚款</w:t>
            </w:r>
          </w:p>
        </w:tc>
      </w:tr>
      <w:tr>
        <w:trPr>
          <w:trHeight w:val="1048" w:hRule="atLeast"/>
        </w:trPr>
        <w:tc>
          <w:tcPr>
            <w:tcW w:w="984" w:type="dxa"/>
            <w:vAlign w:val="top"/>
          </w:tcPr>
          <w:p>
            <w:pPr>
              <w:spacing w:line="325" w:lineRule="auto"/>
              <w:rPr>
                <w:rFonts w:ascii="Arial"/>
                <w:sz w:val="21"/>
              </w:rPr>
            </w:pPr>
            <w:r/>
          </w:p>
          <w:p>
            <w:pPr>
              <w:pStyle w:val="TableText"/>
              <w:ind w:left="94"/>
              <w:spacing w:before="81" w:line="221" w:lineRule="auto"/>
              <w:rPr>
                <w:sz w:val="25"/>
                <w:szCs w:val="25"/>
              </w:rPr>
            </w:pPr>
            <w:r>
              <w:rPr>
                <w:sz w:val="25"/>
                <w:szCs w:val="25"/>
                <w:spacing w:val="5"/>
              </w:rPr>
              <w:t>较重</w:t>
            </w:r>
          </w:p>
        </w:tc>
        <w:tc>
          <w:tcPr>
            <w:tcW w:w="6026" w:type="dxa"/>
            <w:vAlign w:val="top"/>
          </w:tcPr>
          <w:p>
            <w:pPr>
              <w:pStyle w:val="TableText"/>
              <w:ind w:left="130" w:hanging="129"/>
              <w:spacing w:before="233" w:line="297" w:lineRule="auto"/>
              <w:rPr>
                <w:sz w:val="25"/>
                <w:szCs w:val="25"/>
              </w:rPr>
            </w:pPr>
            <w:r>
              <w:rPr>
                <w:sz w:val="25"/>
                <w:szCs w:val="25"/>
              </w:rPr>
              <w:t>医疗机构及其医务人员未按规定制定和实施医疗质量安</w:t>
            </w:r>
            <w:r>
              <w:rPr>
                <w:sz w:val="25"/>
                <w:szCs w:val="25"/>
                <w:spacing w:val="13"/>
              </w:rPr>
              <w:t xml:space="preserve"> </w:t>
            </w:r>
            <w:r>
              <w:rPr>
                <w:sz w:val="25"/>
                <w:szCs w:val="25"/>
                <w:spacing w:val="1"/>
              </w:rPr>
              <w:t>全管理制度，经处罚再次发现有该行为的</w:t>
            </w:r>
          </w:p>
        </w:tc>
        <w:tc>
          <w:tcPr>
            <w:tcW w:w="6300" w:type="dxa"/>
            <w:vAlign w:val="top"/>
          </w:tcPr>
          <w:p>
            <w:pPr>
              <w:pStyle w:val="TableText"/>
              <w:ind w:left="113" w:hanging="39"/>
              <w:spacing w:before="233" w:line="297" w:lineRule="auto"/>
              <w:rPr>
                <w:sz w:val="25"/>
                <w:szCs w:val="25"/>
              </w:rPr>
            </w:pPr>
            <w:r>
              <w:rPr>
                <w:sz w:val="25"/>
                <w:szCs w:val="25"/>
                <w:spacing w:val="-2"/>
              </w:rPr>
              <w:t>由县级以上人民政府卫生主管部门责令改正，给予警告，</w:t>
            </w:r>
            <w:r>
              <w:rPr>
                <w:sz w:val="25"/>
                <w:szCs w:val="25"/>
                <w:spacing w:val="14"/>
              </w:rPr>
              <w:t xml:space="preserve"> </w:t>
            </w:r>
            <w:r>
              <w:rPr>
                <w:sz w:val="25"/>
                <w:szCs w:val="25"/>
                <w:spacing w:val="-1"/>
              </w:rPr>
              <w:t>并处3万元以上5万元以下罚款</w:t>
            </w:r>
          </w:p>
        </w:tc>
      </w:tr>
      <w:tr>
        <w:trPr>
          <w:trHeight w:val="1312" w:hRule="atLeast"/>
        </w:trPr>
        <w:tc>
          <w:tcPr>
            <w:tcW w:w="984" w:type="dxa"/>
            <w:vAlign w:val="top"/>
          </w:tcPr>
          <w:p>
            <w:pPr>
              <w:spacing w:line="454" w:lineRule="auto"/>
              <w:rPr>
                <w:rFonts w:ascii="Arial"/>
                <w:sz w:val="21"/>
              </w:rPr>
            </w:pPr>
            <w:r/>
          </w:p>
          <w:p>
            <w:pPr>
              <w:pStyle w:val="TableText"/>
              <w:ind w:left="94"/>
              <w:spacing w:before="81" w:line="220" w:lineRule="auto"/>
              <w:rPr>
                <w:sz w:val="25"/>
                <w:szCs w:val="25"/>
              </w:rPr>
            </w:pPr>
            <w:r>
              <w:rPr>
                <w:sz w:val="25"/>
                <w:szCs w:val="25"/>
                <w:spacing w:val="5"/>
              </w:rPr>
              <w:t>严重</w:t>
            </w:r>
          </w:p>
        </w:tc>
        <w:tc>
          <w:tcPr>
            <w:tcW w:w="6026" w:type="dxa"/>
            <w:vAlign w:val="top"/>
          </w:tcPr>
          <w:p>
            <w:pPr>
              <w:spacing w:line="292" w:lineRule="auto"/>
              <w:rPr>
                <w:rFonts w:ascii="Arial"/>
                <w:sz w:val="21"/>
              </w:rPr>
            </w:pPr>
            <w:r/>
          </w:p>
          <w:p>
            <w:pPr>
              <w:pStyle w:val="TableText"/>
              <w:ind w:left="120" w:hanging="119"/>
              <w:spacing w:before="81" w:line="313" w:lineRule="auto"/>
              <w:rPr>
                <w:sz w:val="25"/>
                <w:szCs w:val="25"/>
              </w:rPr>
            </w:pPr>
            <w:r>
              <w:rPr>
                <w:sz w:val="25"/>
                <w:szCs w:val="25"/>
              </w:rPr>
              <w:t>医疗机构及其医务人员未按规定制定和实施医疗质量安</w:t>
            </w:r>
            <w:r>
              <w:rPr>
                <w:sz w:val="25"/>
                <w:szCs w:val="25"/>
                <w:spacing w:val="13"/>
              </w:rPr>
              <w:t xml:space="preserve"> </w:t>
            </w:r>
            <w:r>
              <w:rPr>
                <w:sz w:val="25"/>
                <w:szCs w:val="25"/>
                <w:spacing w:val="1"/>
              </w:rPr>
              <w:t>全管理制度，情节严重的</w:t>
            </w:r>
          </w:p>
        </w:tc>
        <w:tc>
          <w:tcPr>
            <w:tcW w:w="6300" w:type="dxa"/>
            <w:vAlign w:val="top"/>
          </w:tcPr>
          <w:p>
            <w:pPr>
              <w:pStyle w:val="TableText"/>
              <w:ind w:left="123" w:hanging="49"/>
              <w:spacing w:before="144" w:line="285" w:lineRule="auto"/>
              <w:jc w:val="both"/>
              <w:rPr>
                <w:sz w:val="25"/>
                <w:szCs w:val="25"/>
              </w:rPr>
            </w:pPr>
            <w:r>
              <w:rPr>
                <w:sz w:val="25"/>
                <w:szCs w:val="25"/>
                <w:spacing w:val="-2"/>
              </w:rPr>
              <w:t>由县级以上人民政府卫生主管部门责令改正，给予警告，</w:t>
            </w:r>
            <w:r>
              <w:rPr>
                <w:sz w:val="25"/>
                <w:szCs w:val="25"/>
                <w:spacing w:val="14"/>
              </w:rPr>
              <w:t xml:space="preserve"> </w:t>
            </w:r>
            <w:r>
              <w:rPr>
                <w:sz w:val="25"/>
                <w:szCs w:val="25"/>
                <w:spacing w:val="1"/>
              </w:rPr>
              <w:t>并处5万元罚款，且对有关医务人员可以责令暂停1个月</w:t>
            </w:r>
            <w:r>
              <w:rPr>
                <w:sz w:val="25"/>
                <w:szCs w:val="25"/>
                <w:spacing w:val="2"/>
              </w:rPr>
              <w:t xml:space="preserve">  </w:t>
            </w:r>
            <w:r>
              <w:rPr>
                <w:sz w:val="25"/>
                <w:szCs w:val="25"/>
                <w:spacing w:val="-1"/>
              </w:rPr>
              <w:t>以上6个月以下执业活动</w:t>
            </w:r>
          </w:p>
        </w:tc>
      </w:tr>
    </w:tbl>
    <w:p>
      <w:pPr>
        <w:ind w:left="39" w:right="100" w:firstLine="650"/>
        <w:spacing w:before="102" w:line="267" w:lineRule="auto"/>
        <w:rPr>
          <w:rFonts w:ascii="FangSong" w:hAnsi="FangSong" w:eastAsia="FangSong" w:cs="FangSong"/>
          <w:sz w:val="30"/>
          <w:szCs w:val="30"/>
        </w:rPr>
      </w:pPr>
      <w:r>
        <w:rPr>
          <w:rFonts w:ascii="SimSun" w:hAnsi="SimSun" w:eastAsia="SimSun" w:cs="SimSun"/>
          <w:sz w:val="33"/>
          <w:szCs w:val="33"/>
          <w:b/>
          <w:bCs/>
          <w:spacing w:val="-9"/>
        </w:rPr>
        <w:t>第三百零五条医疗机构及其医务人员未按规定告</w:t>
      </w:r>
      <w:r>
        <w:rPr>
          <w:rFonts w:ascii="SimSun" w:hAnsi="SimSun" w:eastAsia="SimSun" w:cs="SimSun"/>
          <w:sz w:val="33"/>
          <w:szCs w:val="33"/>
          <w:b/>
          <w:bCs/>
          <w:spacing w:val="-10"/>
        </w:rPr>
        <w:t>知患者病情、医疗措施、医疗风险、替代医疗</w:t>
      </w:r>
      <w:r>
        <w:rPr>
          <w:rFonts w:ascii="SimSun" w:hAnsi="SimSun" w:eastAsia="SimSun" w:cs="SimSun"/>
          <w:sz w:val="33"/>
          <w:szCs w:val="33"/>
        </w:rPr>
        <w:t xml:space="preserve"> </w:t>
      </w:r>
      <w:r>
        <w:rPr>
          <w:rFonts w:ascii="FangSong" w:hAnsi="FangSong" w:eastAsia="FangSong" w:cs="FangSong"/>
          <w:sz w:val="30"/>
          <w:szCs w:val="30"/>
          <w:b/>
          <w:bCs/>
          <w:spacing w:val="9"/>
        </w:rPr>
        <w:t>方案等的</w:t>
      </w:r>
    </w:p>
    <w:p>
      <w:pPr>
        <w:ind w:left="675"/>
        <w:spacing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35" w:firstLine="619"/>
        <w:spacing w:before="106" w:line="265" w:lineRule="auto"/>
        <w:jc w:val="both"/>
        <w:rPr>
          <w:rFonts w:ascii="FangSong" w:hAnsi="FangSong" w:eastAsia="FangSong" w:cs="FangSong"/>
          <w:sz w:val="30"/>
          <w:szCs w:val="30"/>
        </w:rPr>
      </w:pPr>
      <w:r>
        <w:rPr>
          <w:rFonts w:ascii="FangSong" w:hAnsi="FangSong" w:eastAsia="FangSong" w:cs="FangSong"/>
          <w:sz w:val="30"/>
          <w:szCs w:val="30"/>
          <w:spacing w:val="19"/>
        </w:rPr>
        <w:t>《医疗纠纷预防和处理条例》第四十七条第(二)项</w:t>
      </w:r>
      <w:r>
        <w:rPr>
          <w:rFonts w:ascii="FangSong" w:hAnsi="FangSong" w:eastAsia="FangSong" w:cs="FangSong"/>
          <w:sz w:val="30"/>
          <w:szCs w:val="30"/>
          <w:spacing w:val="19"/>
        </w:rPr>
        <w:t xml:space="preserve">  </w:t>
      </w:r>
      <w:r>
        <w:rPr>
          <w:rFonts w:ascii="FangSong" w:hAnsi="FangSong" w:eastAsia="FangSong" w:cs="FangSong"/>
          <w:sz w:val="30"/>
          <w:szCs w:val="30"/>
          <w:spacing w:val="19"/>
        </w:rPr>
        <w:t>医疗</w:t>
      </w:r>
      <w:r>
        <w:rPr>
          <w:rFonts w:ascii="FangSong" w:hAnsi="FangSong" w:eastAsia="FangSong" w:cs="FangSong"/>
          <w:sz w:val="30"/>
          <w:szCs w:val="30"/>
          <w:spacing w:val="18"/>
        </w:rPr>
        <w:t>机构及其医务人员有下列情形之一的，</w:t>
      </w:r>
      <w:r>
        <w:rPr>
          <w:rFonts w:ascii="FangSong" w:hAnsi="FangSong" w:eastAsia="FangSong" w:cs="FangSong"/>
          <w:sz w:val="30"/>
          <w:szCs w:val="30"/>
        </w:rPr>
        <w:t xml:space="preserve"> </w:t>
      </w:r>
      <w:r>
        <w:rPr>
          <w:rFonts w:ascii="FangSong" w:hAnsi="FangSong" w:eastAsia="FangSong" w:cs="FangSong"/>
          <w:sz w:val="30"/>
          <w:szCs w:val="30"/>
          <w:spacing w:val="23"/>
        </w:rPr>
        <w:t>由县级以上人民政府卫生主管部门责令改正，给予警告，并处1万元以上5万元以下罚款；情节严重</w:t>
      </w:r>
      <w:r>
        <w:rPr>
          <w:rFonts w:ascii="FangSong" w:hAnsi="FangSong" w:eastAsia="FangSong" w:cs="FangSong"/>
          <w:sz w:val="30"/>
          <w:szCs w:val="30"/>
          <w:spacing w:val="4"/>
        </w:rPr>
        <w:t xml:space="preserve"> </w:t>
      </w:r>
      <w:r>
        <w:rPr>
          <w:rFonts w:ascii="FangSong" w:hAnsi="FangSong" w:eastAsia="FangSong" w:cs="FangSong"/>
          <w:sz w:val="30"/>
          <w:szCs w:val="30"/>
          <w:spacing w:val="17"/>
        </w:rPr>
        <w:t>的，对直接负责的主管人员和其他直接责任人员给予或者责</w:t>
      </w:r>
      <w:r>
        <w:rPr>
          <w:rFonts w:ascii="FangSong" w:hAnsi="FangSong" w:eastAsia="FangSong" w:cs="FangSong"/>
          <w:sz w:val="30"/>
          <w:szCs w:val="30"/>
          <w:spacing w:val="16"/>
        </w:rPr>
        <w:t>令给予降低岗位等级或者撤职的处分，对</w:t>
      </w:r>
      <w:r>
        <w:rPr>
          <w:rFonts w:ascii="FangSong" w:hAnsi="FangSong" w:eastAsia="FangSong" w:cs="FangSong"/>
          <w:sz w:val="30"/>
          <w:szCs w:val="30"/>
        </w:rPr>
        <w:t xml:space="preserve"> </w:t>
      </w:r>
      <w:r>
        <w:rPr>
          <w:rFonts w:ascii="FangSong" w:hAnsi="FangSong" w:eastAsia="FangSong" w:cs="FangSong"/>
          <w:sz w:val="30"/>
          <w:szCs w:val="30"/>
          <w:spacing w:val="25"/>
        </w:rPr>
        <w:t>有关医务人员可以责令暂停1个月以上6个月以下执业活动；构成犯罪的，依法追究刑事责</w:t>
      </w:r>
      <w:r>
        <w:rPr>
          <w:rFonts w:ascii="FangSong" w:hAnsi="FangSong" w:eastAsia="FangSong" w:cs="FangSong"/>
          <w:sz w:val="30"/>
          <w:szCs w:val="30"/>
          <w:spacing w:val="24"/>
        </w:rPr>
        <w:t>任：</w:t>
      </w:r>
    </w:p>
    <w:p>
      <w:pPr>
        <w:spacing w:line="265" w:lineRule="auto"/>
        <w:sectPr>
          <w:footerReference w:type="default" r:id="rId355"/>
          <w:pgSz w:w="16830" w:h="11900"/>
          <w:pgMar w:top="1011" w:right="1339" w:bottom="1115" w:left="1414" w:header="0" w:footer="773" w:gutter="0"/>
        </w:sectPr>
        <w:rPr>
          <w:rFonts w:ascii="FangSong" w:hAnsi="FangSong" w:eastAsia="FangSong" w:cs="FangSong"/>
          <w:sz w:val="30"/>
          <w:szCs w:val="30"/>
        </w:rPr>
      </w:pPr>
    </w:p>
    <w:p>
      <w:pPr>
        <w:pStyle w:val="BodyText"/>
        <w:spacing w:line="264" w:lineRule="auto"/>
        <w:rPr/>
      </w:pPr>
      <w:r/>
    </w:p>
    <w:p>
      <w:pPr>
        <w:pStyle w:val="BodyText"/>
        <w:spacing w:line="264" w:lineRule="auto"/>
        <w:rPr/>
      </w:pPr>
      <w:r/>
    </w:p>
    <w:p>
      <w:pPr>
        <w:pStyle w:val="BodyText"/>
        <w:spacing w:line="265" w:lineRule="auto"/>
        <w:rPr/>
      </w:pPr>
      <w:r/>
    </w:p>
    <w:p>
      <w:pPr>
        <w:ind w:left="6418" w:right="3260" w:hanging="5624"/>
        <w:spacing w:before="101" w:line="232" w:lineRule="auto"/>
        <w:rPr>
          <w:rFonts w:ascii="SimSun" w:hAnsi="SimSun" w:eastAsia="SimSun" w:cs="SimSun"/>
          <w:sz w:val="29"/>
          <w:szCs w:val="29"/>
        </w:rPr>
      </w:pPr>
      <w:bookmarkStart w:name="bookmark1007" w:id="376"/>
      <w:bookmarkEnd w:id="376"/>
      <w:r>
        <w:rPr>
          <w:rFonts w:ascii="FangSong" w:hAnsi="FangSong" w:eastAsia="FangSong" w:cs="FangSong"/>
          <w:sz w:val="31"/>
          <w:szCs w:val="31"/>
          <w:spacing w:val="13"/>
        </w:rPr>
        <w:t>(二)未按规定告知患者病情、医疗措施、</w:t>
      </w:r>
      <w:r>
        <w:rPr>
          <w:rFonts w:ascii="FangSong" w:hAnsi="FangSong" w:eastAsia="FangSong" w:cs="FangSong"/>
          <w:sz w:val="31"/>
          <w:szCs w:val="31"/>
          <w:spacing w:val="12"/>
        </w:rPr>
        <w:t>医疗风险、替代医疗方案等；</w:t>
      </w:r>
      <w:r>
        <w:rPr>
          <w:rFonts w:ascii="FangSong" w:hAnsi="FangSong" w:eastAsia="FangSong" w:cs="FangSong"/>
          <w:sz w:val="31"/>
          <w:szCs w:val="31"/>
        </w:rPr>
        <w:t xml:space="preserve"> </w:t>
      </w:r>
      <w:r>
        <w:rPr>
          <w:rFonts w:ascii="SimSun" w:hAnsi="SimSun" w:eastAsia="SimSun" w:cs="SimSun"/>
          <w:sz w:val="29"/>
          <w:szCs w:val="29"/>
          <w:b/>
          <w:bCs/>
          <w:spacing w:val="-6"/>
        </w:rPr>
        <w:t>裁量标准</w:t>
      </w:r>
    </w:p>
    <w:tbl>
      <w:tblPr>
        <w:tblStyle w:val="TableNormal"/>
        <w:tblW w:w="133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04"/>
        <w:gridCol w:w="6006"/>
        <w:gridCol w:w="6300"/>
      </w:tblGrid>
      <w:tr>
        <w:trPr>
          <w:trHeight w:val="1083" w:hRule="atLeast"/>
        </w:trPr>
        <w:tc>
          <w:tcPr>
            <w:tcW w:w="1004" w:type="dxa"/>
            <w:vAlign w:val="top"/>
          </w:tcPr>
          <w:p>
            <w:pPr>
              <w:pStyle w:val="TableText"/>
              <w:ind w:left="198"/>
              <w:spacing w:before="69" w:line="225" w:lineRule="auto"/>
              <w:rPr>
                <w:sz w:val="25"/>
                <w:szCs w:val="25"/>
              </w:rPr>
            </w:pPr>
            <w:r>
              <w:rPr>
                <w:sz w:val="25"/>
                <w:szCs w:val="25"/>
                <w:b/>
                <w:bCs/>
                <w:spacing w:val="-6"/>
              </w:rPr>
              <w:t>违法</w:t>
            </w:r>
          </w:p>
          <w:p>
            <w:pPr>
              <w:pStyle w:val="TableText"/>
              <w:ind w:left="198"/>
              <w:spacing w:before="138" w:line="220" w:lineRule="auto"/>
              <w:rPr>
                <w:sz w:val="25"/>
                <w:szCs w:val="25"/>
              </w:rPr>
            </w:pPr>
            <w:r>
              <w:rPr>
                <w:sz w:val="25"/>
                <w:szCs w:val="25"/>
                <w:b/>
                <w:bCs/>
                <w:spacing w:val="-5"/>
              </w:rPr>
              <w:t>程度</w:t>
            </w:r>
          </w:p>
        </w:tc>
        <w:tc>
          <w:tcPr>
            <w:tcW w:w="6006" w:type="dxa"/>
            <w:vAlign w:val="top"/>
          </w:tcPr>
          <w:p>
            <w:pPr>
              <w:spacing w:line="339" w:lineRule="auto"/>
              <w:rPr>
                <w:rFonts w:ascii="Arial"/>
                <w:sz w:val="21"/>
              </w:rPr>
            </w:pPr>
            <w:r/>
          </w:p>
          <w:p>
            <w:pPr>
              <w:pStyle w:val="TableText"/>
              <w:ind w:left="2494"/>
              <w:spacing w:before="81" w:line="220" w:lineRule="auto"/>
              <w:rPr>
                <w:sz w:val="25"/>
                <w:szCs w:val="25"/>
              </w:rPr>
            </w:pPr>
            <w:r>
              <w:rPr>
                <w:sz w:val="25"/>
                <w:szCs w:val="25"/>
                <w:b/>
                <w:bCs/>
                <w:spacing w:val="-5"/>
              </w:rPr>
              <w:t>情节后果</w:t>
            </w:r>
          </w:p>
        </w:tc>
        <w:tc>
          <w:tcPr>
            <w:tcW w:w="6300" w:type="dxa"/>
            <w:vAlign w:val="top"/>
          </w:tcPr>
          <w:p>
            <w:pPr>
              <w:spacing w:line="336" w:lineRule="auto"/>
              <w:rPr>
                <w:rFonts w:ascii="Arial"/>
                <w:sz w:val="21"/>
              </w:rPr>
            </w:pPr>
            <w:r/>
          </w:p>
          <w:p>
            <w:pPr>
              <w:pStyle w:val="TableText"/>
              <w:ind w:left="2648"/>
              <w:spacing w:before="81" w:line="218" w:lineRule="auto"/>
              <w:rPr>
                <w:sz w:val="25"/>
                <w:szCs w:val="25"/>
              </w:rPr>
            </w:pPr>
            <w:r>
              <w:rPr>
                <w:sz w:val="25"/>
                <w:szCs w:val="25"/>
                <w:b/>
                <w:bCs/>
                <w:spacing w:val="-5"/>
              </w:rPr>
              <w:t>裁量幅度</w:t>
            </w:r>
          </w:p>
        </w:tc>
      </w:tr>
      <w:tr>
        <w:trPr>
          <w:trHeight w:val="878" w:hRule="atLeast"/>
        </w:trPr>
        <w:tc>
          <w:tcPr>
            <w:tcW w:w="1004" w:type="dxa"/>
            <w:vAlign w:val="top"/>
          </w:tcPr>
          <w:p>
            <w:pPr>
              <w:spacing w:line="290" w:lineRule="auto"/>
              <w:rPr>
                <w:rFonts w:ascii="Arial"/>
                <w:sz w:val="21"/>
              </w:rPr>
            </w:pPr>
            <w:r/>
          </w:p>
          <w:p>
            <w:pPr>
              <w:pStyle w:val="TableText"/>
              <w:ind w:left="104"/>
              <w:spacing w:before="81" w:line="221" w:lineRule="auto"/>
              <w:rPr>
                <w:sz w:val="25"/>
                <w:szCs w:val="25"/>
              </w:rPr>
            </w:pPr>
            <w:r>
              <w:rPr>
                <w:sz w:val="25"/>
                <w:szCs w:val="25"/>
                <w:spacing w:val="5"/>
              </w:rPr>
              <w:t>一般</w:t>
            </w:r>
          </w:p>
        </w:tc>
        <w:tc>
          <w:tcPr>
            <w:tcW w:w="6006" w:type="dxa"/>
            <w:vAlign w:val="top"/>
          </w:tcPr>
          <w:p>
            <w:pPr>
              <w:pStyle w:val="TableText"/>
              <w:ind w:left="100" w:right="6" w:hanging="90"/>
              <w:spacing w:before="150" w:line="265" w:lineRule="auto"/>
              <w:rPr>
                <w:sz w:val="25"/>
                <w:szCs w:val="25"/>
              </w:rPr>
            </w:pPr>
            <w:r>
              <w:rPr>
                <w:sz w:val="25"/>
                <w:szCs w:val="25"/>
                <w:spacing w:val="-1"/>
              </w:rPr>
              <w:t>医疗机构及其医务人员未按规定告知患者病情、医疗措</w:t>
            </w:r>
            <w:r>
              <w:rPr>
                <w:sz w:val="25"/>
                <w:szCs w:val="25"/>
                <w:spacing w:val="1"/>
              </w:rPr>
              <w:t xml:space="preserve"> </w:t>
            </w:r>
            <w:r>
              <w:rPr>
                <w:sz w:val="25"/>
                <w:szCs w:val="25"/>
              </w:rPr>
              <w:t>施、医疗风险、替代医疗方案等，首次发现的</w:t>
            </w:r>
          </w:p>
        </w:tc>
        <w:tc>
          <w:tcPr>
            <w:tcW w:w="6300" w:type="dxa"/>
            <w:vAlign w:val="top"/>
          </w:tcPr>
          <w:p>
            <w:pPr>
              <w:pStyle w:val="TableText"/>
              <w:ind w:left="113" w:hanging="39"/>
              <w:spacing w:before="150" w:line="265" w:lineRule="auto"/>
              <w:rPr>
                <w:sz w:val="25"/>
                <w:szCs w:val="25"/>
              </w:rPr>
            </w:pPr>
            <w:r>
              <w:rPr>
                <w:sz w:val="25"/>
                <w:szCs w:val="25"/>
                <w:spacing w:val="-2"/>
              </w:rPr>
              <w:t>由县级以上人民政府卫生主管部门责令改正，给予警告，</w:t>
            </w:r>
            <w:r>
              <w:rPr>
                <w:sz w:val="25"/>
                <w:szCs w:val="25"/>
                <w:spacing w:val="14"/>
              </w:rPr>
              <w:t xml:space="preserve"> </w:t>
            </w:r>
            <w:r>
              <w:rPr>
                <w:sz w:val="25"/>
                <w:szCs w:val="25"/>
                <w:spacing w:val="-1"/>
              </w:rPr>
              <w:t>并处1万元以上3万元以下罚款</w:t>
            </w:r>
          </w:p>
        </w:tc>
      </w:tr>
      <w:tr>
        <w:trPr>
          <w:trHeight w:val="1327" w:hRule="atLeast"/>
        </w:trPr>
        <w:tc>
          <w:tcPr>
            <w:tcW w:w="1004" w:type="dxa"/>
            <w:vAlign w:val="top"/>
          </w:tcPr>
          <w:p>
            <w:pPr>
              <w:spacing w:line="463" w:lineRule="auto"/>
              <w:rPr>
                <w:rFonts w:ascii="Arial"/>
                <w:sz w:val="21"/>
              </w:rPr>
            </w:pPr>
            <w:r/>
          </w:p>
          <w:p>
            <w:pPr>
              <w:pStyle w:val="TableText"/>
              <w:ind w:left="104"/>
              <w:spacing w:before="81" w:line="221" w:lineRule="auto"/>
              <w:rPr>
                <w:sz w:val="25"/>
                <w:szCs w:val="25"/>
              </w:rPr>
            </w:pPr>
            <w:r>
              <w:rPr>
                <w:sz w:val="25"/>
                <w:szCs w:val="25"/>
                <w:spacing w:val="5"/>
              </w:rPr>
              <w:t>较重</w:t>
            </w:r>
          </w:p>
        </w:tc>
        <w:tc>
          <w:tcPr>
            <w:tcW w:w="6006" w:type="dxa"/>
            <w:vAlign w:val="top"/>
          </w:tcPr>
          <w:p>
            <w:pPr>
              <w:pStyle w:val="TableText"/>
              <w:ind w:left="10"/>
              <w:spacing w:before="163" w:line="284" w:lineRule="auto"/>
              <w:jc w:val="both"/>
              <w:rPr>
                <w:sz w:val="25"/>
                <w:szCs w:val="25"/>
              </w:rPr>
            </w:pPr>
            <w:r>
              <w:rPr>
                <w:sz w:val="25"/>
                <w:szCs w:val="25"/>
                <w:spacing w:val="-1"/>
              </w:rPr>
              <w:t>医疗机构及其医务人员未按规定告知患者病</w:t>
            </w:r>
            <w:r>
              <w:rPr>
                <w:sz w:val="25"/>
                <w:szCs w:val="25"/>
                <w:spacing w:val="-2"/>
              </w:rPr>
              <w:t>情、医疗措</w:t>
            </w:r>
            <w:r>
              <w:rPr>
                <w:sz w:val="25"/>
                <w:szCs w:val="25"/>
              </w:rPr>
              <w:t xml:space="preserve"> </w:t>
            </w:r>
            <w:r>
              <w:rPr>
                <w:sz w:val="25"/>
                <w:szCs w:val="25"/>
                <w:spacing w:val="-1"/>
              </w:rPr>
              <w:t>施、医疗风险、替代医疗方案等，经处罚再次发现有该</w:t>
            </w:r>
            <w:r>
              <w:rPr>
                <w:sz w:val="25"/>
                <w:szCs w:val="25"/>
                <w:spacing w:val="8"/>
              </w:rPr>
              <w:t xml:space="preserve"> </w:t>
            </w:r>
            <w:r>
              <w:rPr>
                <w:sz w:val="25"/>
                <w:szCs w:val="25"/>
                <w:spacing w:val="39"/>
              </w:rPr>
              <w:t>行为的</w:t>
            </w:r>
          </w:p>
        </w:tc>
        <w:tc>
          <w:tcPr>
            <w:tcW w:w="6300" w:type="dxa"/>
            <w:vAlign w:val="top"/>
          </w:tcPr>
          <w:p>
            <w:pPr>
              <w:spacing w:line="299" w:lineRule="auto"/>
              <w:rPr>
                <w:rFonts w:ascii="Arial"/>
                <w:sz w:val="21"/>
              </w:rPr>
            </w:pPr>
            <w:r/>
          </w:p>
          <w:p>
            <w:pPr>
              <w:pStyle w:val="TableText"/>
              <w:ind w:left="113" w:hanging="39"/>
              <w:spacing w:before="82" w:line="328" w:lineRule="auto"/>
              <w:rPr>
                <w:sz w:val="25"/>
                <w:szCs w:val="25"/>
              </w:rPr>
            </w:pPr>
            <w:r>
              <w:rPr>
                <w:sz w:val="25"/>
                <w:szCs w:val="25"/>
                <w:spacing w:val="-2"/>
              </w:rPr>
              <w:t>由县级以上人民政府卫生主管部门责令改正，给予警告，</w:t>
            </w:r>
            <w:r>
              <w:rPr>
                <w:sz w:val="25"/>
                <w:szCs w:val="25"/>
                <w:spacing w:val="14"/>
              </w:rPr>
              <w:t xml:space="preserve"> </w:t>
            </w:r>
            <w:r>
              <w:rPr>
                <w:sz w:val="25"/>
                <w:szCs w:val="25"/>
                <w:spacing w:val="-1"/>
              </w:rPr>
              <w:t>并处3万元以上5万元以下罚款</w:t>
            </w:r>
          </w:p>
        </w:tc>
      </w:tr>
      <w:tr>
        <w:trPr>
          <w:trHeight w:val="1322" w:hRule="atLeast"/>
        </w:trPr>
        <w:tc>
          <w:tcPr>
            <w:tcW w:w="1004" w:type="dxa"/>
            <w:vAlign w:val="top"/>
          </w:tcPr>
          <w:p>
            <w:pPr>
              <w:spacing w:line="463" w:lineRule="auto"/>
              <w:rPr>
                <w:rFonts w:ascii="Arial"/>
                <w:sz w:val="21"/>
              </w:rPr>
            </w:pPr>
            <w:r/>
          </w:p>
          <w:p>
            <w:pPr>
              <w:pStyle w:val="TableText"/>
              <w:ind w:left="104"/>
              <w:spacing w:before="82" w:line="220" w:lineRule="auto"/>
              <w:rPr>
                <w:sz w:val="25"/>
                <w:szCs w:val="25"/>
              </w:rPr>
            </w:pPr>
            <w:r>
              <w:rPr>
                <w:sz w:val="25"/>
                <w:szCs w:val="25"/>
                <w:color w:val="404040"/>
                <w:spacing w:val="5"/>
              </w:rPr>
              <w:t>严重</w:t>
            </w:r>
          </w:p>
        </w:tc>
        <w:tc>
          <w:tcPr>
            <w:tcW w:w="6006" w:type="dxa"/>
            <w:vAlign w:val="top"/>
          </w:tcPr>
          <w:p>
            <w:pPr>
              <w:spacing w:line="303" w:lineRule="auto"/>
              <w:rPr>
                <w:rFonts w:ascii="Arial"/>
                <w:sz w:val="21"/>
              </w:rPr>
            </w:pPr>
            <w:r/>
          </w:p>
          <w:p>
            <w:pPr>
              <w:pStyle w:val="TableText"/>
              <w:ind w:left="90" w:right="6" w:hanging="80"/>
              <w:spacing w:before="81" w:line="328" w:lineRule="auto"/>
              <w:rPr>
                <w:sz w:val="25"/>
                <w:szCs w:val="25"/>
              </w:rPr>
            </w:pPr>
            <w:r>
              <w:rPr>
                <w:sz w:val="25"/>
                <w:szCs w:val="25"/>
                <w:spacing w:val="-1"/>
              </w:rPr>
              <w:t>医疗机构及其医务人员未按规定告知患者病情、医疗措</w:t>
            </w:r>
            <w:r>
              <w:rPr>
                <w:sz w:val="25"/>
                <w:szCs w:val="25"/>
                <w:spacing w:val="1"/>
              </w:rPr>
              <w:t xml:space="preserve"> </w:t>
            </w:r>
            <w:r>
              <w:rPr>
                <w:sz w:val="25"/>
                <w:szCs w:val="25"/>
              </w:rPr>
              <w:t>施、医疗风险、替代医疗方案等，情节严重的</w:t>
            </w:r>
          </w:p>
        </w:tc>
        <w:tc>
          <w:tcPr>
            <w:tcW w:w="6300" w:type="dxa"/>
            <w:vAlign w:val="top"/>
          </w:tcPr>
          <w:p>
            <w:pPr>
              <w:pStyle w:val="TableText"/>
              <w:ind w:left="123" w:hanging="49"/>
              <w:spacing w:before="154" w:line="285" w:lineRule="auto"/>
              <w:jc w:val="both"/>
              <w:rPr>
                <w:sz w:val="25"/>
                <w:szCs w:val="25"/>
              </w:rPr>
            </w:pPr>
            <w:r>
              <w:rPr>
                <w:sz w:val="25"/>
                <w:szCs w:val="25"/>
                <w:spacing w:val="-2"/>
              </w:rPr>
              <w:t>由县级以上人民政府卫生主管部门责令改正，给予警告，</w:t>
            </w:r>
            <w:r>
              <w:rPr>
                <w:sz w:val="25"/>
                <w:szCs w:val="25"/>
                <w:spacing w:val="14"/>
              </w:rPr>
              <w:t xml:space="preserve"> </w:t>
            </w:r>
            <w:r>
              <w:rPr>
                <w:sz w:val="25"/>
                <w:szCs w:val="25"/>
                <w:spacing w:val="1"/>
              </w:rPr>
              <w:t>并处5万元罚款，且对有关医务人员可以责令暂停1个月</w:t>
            </w:r>
            <w:r>
              <w:rPr>
                <w:sz w:val="25"/>
                <w:szCs w:val="25"/>
                <w:spacing w:val="2"/>
              </w:rPr>
              <w:t xml:space="preserve">  </w:t>
            </w:r>
            <w:r>
              <w:rPr>
                <w:sz w:val="25"/>
                <w:szCs w:val="25"/>
                <w:spacing w:val="-1"/>
              </w:rPr>
              <w:t>以上6个月以下执业活动</w:t>
            </w:r>
          </w:p>
        </w:tc>
      </w:tr>
    </w:tbl>
    <w:p>
      <w:pPr>
        <w:pStyle w:val="BodyText"/>
        <w:spacing w:line="414" w:lineRule="auto"/>
        <w:rPr/>
      </w:pPr>
      <w:r/>
    </w:p>
    <w:p>
      <w:pPr>
        <w:ind w:left="39" w:right="105" w:firstLine="640"/>
        <w:spacing w:before="101" w:line="267" w:lineRule="auto"/>
        <w:rPr>
          <w:rFonts w:ascii="FangSong" w:hAnsi="FangSong" w:eastAsia="FangSong" w:cs="FangSong"/>
          <w:sz w:val="31"/>
          <w:szCs w:val="31"/>
        </w:rPr>
      </w:pPr>
      <w:r>
        <w:rPr>
          <w:rFonts w:ascii="FangSong" w:hAnsi="FangSong" w:eastAsia="FangSong" w:cs="FangSong"/>
          <w:sz w:val="31"/>
          <w:szCs w:val="31"/>
          <w:b/>
          <w:bCs/>
          <w:spacing w:val="11"/>
        </w:rPr>
        <w:t>第三百零六条医疗机构及其医务人员开展具有较高医疗风险的诊疗活</w:t>
      </w:r>
      <w:r>
        <w:rPr>
          <w:rFonts w:ascii="FangSong" w:hAnsi="FangSong" w:eastAsia="FangSong" w:cs="FangSong"/>
          <w:sz w:val="31"/>
          <w:szCs w:val="31"/>
          <w:b/>
          <w:bCs/>
          <w:spacing w:val="10"/>
        </w:rPr>
        <w:t>动，未提前预备应对方案</w:t>
      </w:r>
      <w:r>
        <w:rPr>
          <w:rFonts w:ascii="FangSong" w:hAnsi="FangSong" w:eastAsia="FangSong" w:cs="FangSong"/>
          <w:sz w:val="31"/>
          <w:szCs w:val="31"/>
        </w:rPr>
        <w:t xml:space="preserve"> </w:t>
      </w:r>
      <w:r>
        <w:rPr>
          <w:rFonts w:ascii="FangSong" w:hAnsi="FangSong" w:eastAsia="FangSong" w:cs="FangSong"/>
          <w:sz w:val="31"/>
          <w:szCs w:val="31"/>
          <w:b/>
          <w:bCs/>
          <w:spacing w:val="7"/>
        </w:rPr>
        <w:t>防范突发风险</w:t>
      </w:r>
    </w:p>
    <w:p>
      <w:pPr>
        <w:ind w:left="664"/>
        <w:spacing w:before="29"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34" w:firstLine="605"/>
        <w:spacing w:before="96" w:line="266" w:lineRule="auto"/>
        <w:rPr>
          <w:rFonts w:ascii="FangSong" w:hAnsi="FangSong" w:eastAsia="FangSong" w:cs="FangSong"/>
          <w:sz w:val="31"/>
          <w:szCs w:val="31"/>
        </w:rPr>
      </w:pPr>
      <w:r>
        <w:rPr>
          <w:rFonts w:ascii="FangSong" w:hAnsi="FangSong" w:eastAsia="FangSong" w:cs="FangSong"/>
          <w:sz w:val="31"/>
          <w:szCs w:val="31"/>
          <w:spacing w:val="9"/>
        </w:rPr>
        <w:t>《医疗纠纷预防和处理条例》第四十七条第(三)项</w:t>
      </w:r>
      <w:r>
        <w:rPr>
          <w:rFonts w:ascii="FangSong" w:hAnsi="FangSong" w:eastAsia="FangSong" w:cs="FangSong"/>
          <w:sz w:val="31"/>
          <w:szCs w:val="31"/>
          <w:spacing w:val="9"/>
        </w:rPr>
        <w:t xml:space="preserve">  </w:t>
      </w:r>
      <w:r>
        <w:rPr>
          <w:rFonts w:ascii="FangSong" w:hAnsi="FangSong" w:eastAsia="FangSong" w:cs="FangSong"/>
          <w:sz w:val="31"/>
          <w:szCs w:val="31"/>
          <w:spacing w:val="9"/>
        </w:rPr>
        <w:t>医疗机构及其医务人员有下列情形之一的，</w:t>
      </w:r>
      <w:r>
        <w:rPr>
          <w:rFonts w:ascii="FangSong" w:hAnsi="FangSong" w:eastAsia="FangSong" w:cs="FangSong"/>
          <w:sz w:val="31"/>
          <w:szCs w:val="31"/>
          <w:spacing w:val="13"/>
        </w:rPr>
        <w:t xml:space="preserve"> </w:t>
      </w:r>
      <w:r>
        <w:rPr>
          <w:rFonts w:ascii="FangSong" w:hAnsi="FangSong" w:eastAsia="FangSong" w:cs="FangSong"/>
          <w:sz w:val="31"/>
          <w:szCs w:val="31"/>
          <w:spacing w:val="13"/>
        </w:rPr>
        <w:t>由县级以上人民政府卫生主管部门责令改正，给予警告，并处1万元以上5万元以下罚款；情节严重</w:t>
      </w:r>
    </w:p>
    <w:p>
      <w:pPr>
        <w:pStyle w:val="BodyText"/>
        <w:spacing w:line="289" w:lineRule="auto"/>
        <w:rPr/>
      </w:pPr>
      <w:r/>
    </w:p>
    <w:p>
      <w:pPr>
        <w:pStyle w:val="BodyText"/>
        <w:spacing w:line="289" w:lineRule="auto"/>
        <w:rPr/>
      </w:pPr>
      <w:r/>
    </w:p>
    <w:p>
      <w:pPr>
        <w:ind w:left="6395"/>
        <w:spacing w:before="109" w:line="188"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3"/>
          <w:w w:val="98"/>
        </w:rPr>
        <w:t>—390—</w:t>
      </w:r>
    </w:p>
    <w:p>
      <w:pPr>
        <w:spacing w:line="188" w:lineRule="auto"/>
        <w:sectPr>
          <w:footerReference w:type="default" r:id="rId24"/>
          <w:pgSz w:w="16830" w:h="11900"/>
          <w:pgMar w:top="1011" w:right="1334" w:bottom="400" w:left="1425" w:header="0" w:footer="0" w:gutter="0"/>
        </w:sectPr>
        <w:rPr>
          <w:rFonts w:ascii="Times New Roman" w:hAnsi="Times New Roman" w:eastAsia="Times New Roman" w:cs="Times New Roman"/>
          <w:sz w:val="38"/>
          <w:szCs w:val="38"/>
        </w:rPr>
      </w:pPr>
    </w:p>
    <w:p>
      <w:pPr>
        <w:pStyle w:val="BodyText"/>
        <w:spacing w:line="253" w:lineRule="auto"/>
        <w:rPr/>
      </w:pPr>
      <w:r/>
    </w:p>
    <w:p>
      <w:pPr>
        <w:pStyle w:val="BodyText"/>
        <w:spacing w:line="254" w:lineRule="auto"/>
        <w:rPr/>
      </w:pPr>
      <w:r/>
    </w:p>
    <w:p>
      <w:pPr>
        <w:pStyle w:val="BodyText"/>
        <w:spacing w:line="254" w:lineRule="auto"/>
        <w:rPr/>
      </w:pPr>
      <w:r/>
    </w:p>
    <w:p>
      <w:pPr>
        <w:ind w:left="4" w:right="3"/>
        <w:spacing w:before="101" w:line="268" w:lineRule="auto"/>
        <w:rPr>
          <w:rFonts w:ascii="FangSong" w:hAnsi="FangSong" w:eastAsia="FangSong" w:cs="FangSong"/>
          <w:sz w:val="31"/>
          <w:szCs w:val="31"/>
        </w:rPr>
      </w:pPr>
      <w:bookmarkStart w:name="bookmark1008" w:id="377"/>
      <w:bookmarkEnd w:id="377"/>
      <w:r>
        <w:rPr>
          <w:rFonts w:ascii="FangSong" w:hAnsi="FangSong" w:eastAsia="FangSong" w:cs="FangSong"/>
          <w:sz w:val="31"/>
          <w:szCs w:val="31"/>
          <w:spacing w:val="7"/>
        </w:rPr>
        <w:t>的，对直接负责的主管人员和其他直接责任人员给予或者责令给予降低岗位等级或</w:t>
      </w:r>
      <w:r>
        <w:rPr>
          <w:rFonts w:ascii="FangSong" w:hAnsi="FangSong" w:eastAsia="FangSong" w:cs="FangSong"/>
          <w:sz w:val="31"/>
          <w:szCs w:val="31"/>
          <w:spacing w:val="6"/>
        </w:rPr>
        <w:t>者撤职的处分，对</w:t>
      </w:r>
      <w:r>
        <w:rPr>
          <w:rFonts w:ascii="FangSong" w:hAnsi="FangSong" w:eastAsia="FangSong" w:cs="FangSong"/>
          <w:sz w:val="31"/>
          <w:szCs w:val="31"/>
        </w:rPr>
        <w:t xml:space="preserve"> </w:t>
      </w:r>
      <w:r>
        <w:rPr>
          <w:rFonts w:ascii="FangSong" w:hAnsi="FangSong" w:eastAsia="FangSong" w:cs="FangSong"/>
          <w:sz w:val="31"/>
          <w:szCs w:val="31"/>
          <w:spacing w:val="15"/>
        </w:rPr>
        <w:t>有关医务人员可以责令暂停1个月以上6个月以下执业活动；构成犯罪的，依法追究刑事责任：</w:t>
      </w:r>
    </w:p>
    <w:p>
      <w:pPr>
        <w:ind w:left="805"/>
        <w:spacing w:before="1" w:line="221" w:lineRule="auto"/>
        <w:rPr>
          <w:rFonts w:ascii="FangSong" w:hAnsi="FangSong" w:eastAsia="FangSong" w:cs="FangSong"/>
          <w:sz w:val="31"/>
          <w:szCs w:val="31"/>
        </w:rPr>
      </w:pPr>
      <w:r>
        <w:rPr>
          <w:rFonts w:ascii="FangSong" w:hAnsi="FangSong" w:eastAsia="FangSong" w:cs="FangSong"/>
          <w:sz w:val="31"/>
          <w:szCs w:val="31"/>
          <w:spacing w:val="13"/>
        </w:rPr>
        <w:t>(三)开展具有较高医疗风险的诊疗活动，未提前预</w:t>
      </w:r>
      <w:r>
        <w:rPr>
          <w:rFonts w:ascii="FangSong" w:hAnsi="FangSong" w:eastAsia="FangSong" w:cs="FangSong"/>
          <w:sz w:val="31"/>
          <w:szCs w:val="31"/>
          <w:spacing w:val="12"/>
        </w:rPr>
        <w:t>备应对方案防范突发风险；</w:t>
      </w:r>
    </w:p>
    <w:p>
      <w:pPr>
        <w:ind w:left="6429"/>
        <w:spacing w:before="67"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3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94"/>
        <w:gridCol w:w="6026"/>
        <w:gridCol w:w="6290"/>
      </w:tblGrid>
      <w:tr>
        <w:trPr>
          <w:trHeight w:val="1063" w:hRule="atLeast"/>
        </w:trPr>
        <w:tc>
          <w:tcPr>
            <w:tcW w:w="994" w:type="dxa"/>
            <w:vAlign w:val="top"/>
          </w:tcPr>
          <w:p>
            <w:pPr>
              <w:pStyle w:val="TableText"/>
              <w:ind w:left="198"/>
              <w:spacing w:before="69" w:line="225" w:lineRule="auto"/>
              <w:rPr>
                <w:sz w:val="25"/>
                <w:szCs w:val="25"/>
              </w:rPr>
            </w:pPr>
            <w:r>
              <w:rPr>
                <w:sz w:val="25"/>
                <w:szCs w:val="25"/>
                <w:b/>
                <w:bCs/>
                <w:spacing w:val="-6"/>
              </w:rPr>
              <w:t>违法</w:t>
            </w:r>
          </w:p>
          <w:p>
            <w:pPr>
              <w:pStyle w:val="TableText"/>
              <w:ind w:left="198"/>
              <w:spacing w:before="108" w:line="220" w:lineRule="auto"/>
              <w:rPr>
                <w:sz w:val="25"/>
                <w:szCs w:val="25"/>
              </w:rPr>
            </w:pPr>
            <w:r>
              <w:rPr>
                <w:sz w:val="25"/>
                <w:szCs w:val="25"/>
                <w:b/>
                <w:bCs/>
                <w:spacing w:val="-5"/>
              </w:rPr>
              <w:t>程度</w:t>
            </w:r>
          </w:p>
        </w:tc>
        <w:tc>
          <w:tcPr>
            <w:tcW w:w="6026" w:type="dxa"/>
            <w:vAlign w:val="top"/>
          </w:tcPr>
          <w:p>
            <w:pPr>
              <w:pStyle w:val="TableText"/>
              <w:ind w:left="2504"/>
              <w:spacing w:before="272" w:line="220" w:lineRule="auto"/>
              <w:rPr>
                <w:sz w:val="25"/>
                <w:szCs w:val="25"/>
              </w:rPr>
            </w:pPr>
            <w:r>
              <w:rPr>
                <w:sz w:val="25"/>
                <w:szCs w:val="25"/>
                <w:b/>
                <w:bCs/>
                <w:spacing w:val="-5"/>
              </w:rPr>
              <w:t>情节后果</w:t>
            </w:r>
          </w:p>
        </w:tc>
        <w:tc>
          <w:tcPr>
            <w:tcW w:w="6290" w:type="dxa"/>
            <w:vAlign w:val="top"/>
          </w:tcPr>
          <w:p>
            <w:pPr>
              <w:pStyle w:val="TableText"/>
              <w:ind w:left="2638"/>
              <w:spacing w:before="279" w:line="218" w:lineRule="auto"/>
              <w:rPr>
                <w:sz w:val="25"/>
                <w:szCs w:val="25"/>
              </w:rPr>
            </w:pPr>
            <w:r>
              <w:rPr>
                <w:sz w:val="25"/>
                <w:szCs w:val="25"/>
                <w:b/>
                <w:bCs/>
                <w:spacing w:val="-5"/>
              </w:rPr>
              <w:t>裁量幅度</w:t>
            </w:r>
          </w:p>
        </w:tc>
      </w:tr>
      <w:tr>
        <w:trPr>
          <w:trHeight w:val="898" w:hRule="atLeast"/>
        </w:trPr>
        <w:tc>
          <w:tcPr>
            <w:tcW w:w="994" w:type="dxa"/>
            <w:vAlign w:val="top"/>
          </w:tcPr>
          <w:p>
            <w:pPr>
              <w:spacing w:line="250" w:lineRule="auto"/>
              <w:rPr>
                <w:rFonts w:ascii="Arial"/>
                <w:sz w:val="21"/>
              </w:rPr>
            </w:pPr>
            <w:r/>
          </w:p>
          <w:p>
            <w:pPr>
              <w:pStyle w:val="TableText"/>
              <w:ind w:left="105"/>
              <w:spacing w:before="82" w:line="221" w:lineRule="auto"/>
              <w:rPr>
                <w:sz w:val="25"/>
                <w:szCs w:val="25"/>
              </w:rPr>
            </w:pPr>
            <w:r>
              <w:rPr>
                <w:sz w:val="25"/>
                <w:szCs w:val="25"/>
                <w:spacing w:val="5"/>
              </w:rPr>
              <w:t>一般</w:t>
            </w:r>
          </w:p>
        </w:tc>
        <w:tc>
          <w:tcPr>
            <w:tcW w:w="6026" w:type="dxa"/>
            <w:vAlign w:val="top"/>
          </w:tcPr>
          <w:p>
            <w:pPr>
              <w:pStyle w:val="TableText"/>
              <w:ind w:left="131" w:right="5" w:hanging="130"/>
              <w:spacing w:before="162" w:line="268" w:lineRule="auto"/>
              <w:rPr>
                <w:sz w:val="25"/>
                <w:szCs w:val="25"/>
              </w:rPr>
            </w:pPr>
            <w:r>
              <w:rPr>
                <w:sz w:val="25"/>
                <w:szCs w:val="25"/>
              </w:rPr>
              <w:t>医疗机构及其医务人员开展具有较高医疗风险的诊疗活</w:t>
            </w:r>
            <w:r>
              <w:rPr>
                <w:sz w:val="25"/>
                <w:szCs w:val="25"/>
                <w:spacing w:val="8"/>
              </w:rPr>
              <w:t xml:space="preserve"> </w:t>
            </w:r>
            <w:r>
              <w:rPr>
                <w:sz w:val="25"/>
                <w:szCs w:val="25"/>
              </w:rPr>
              <w:t>动，未提前预备应对方案防范突发风险，首次发现的</w:t>
            </w:r>
          </w:p>
        </w:tc>
        <w:tc>
          <w:tcPr>
            <w:tcW w:w="6290" w:type="dxa"/>
            <w:vAlign w:val="top"/>
          </w:tcPr>
          <w:p>
            <w:pPr>
              <w:pStyle w:val="TableText"/>
              <w:ind w:left="104" w:hanging="29"/>
              <w:spacing w:before="159" w:line="269" w:lineRule="auto"/>
              <w:rPr>
                <w:sz w:val="25"/>
                <w:szCs w:val="25"/>
              </w:rPr>
            </w:pPr>
            <w:r>
              <w:rPr>
                <w:sz w:val="25"/>
                <w:szCs w:val="25"/>
                <w:spacing w:val="-2"/>
              </w:rPr>
              <w:t>由县级以上人民政府卫生主管部门责令改正，给予警告，</w:t>
            </w:r>
            <w:r>
              <w:rPr>
                <w:sz w:val="25"/>
                <w:szCs w:val="25"/>
                <w:spacing w:val="3"/>
              </w:rPr>
              <w:t xml:space="preserve"> </w:t>
            </w:r>
            <w:r>
              <w:rPr>
                <w:sz w:val="25"/>
                <w:szCs w:val="25"/>
                <w:spacing w:val="-1"/>
              </w:rPr>
              <w:t>并处1万元以上3万元以下罚款</w:t>
            </w:r>
          </w:p>
        </w:tc>
      </w:tr>
      <w:tr>
        <w:trPr>
          <w:trHeight w:val="1297" w:hRule="atLeast"/>
        </w:trPr>
        <w:tc>
          <w:tcPr>
            <w:tcW w:w="994" w:type="dxa"/>
            <w:vAlign w:val="top"/>
          </w:tcPr>
          <w:p>
            <w:pPr>
              <w:spacing w:line="453" w:lineRule="auto"/>
              <w:rPr>
                <w:rFonts w:ascii="Arial"/>
                <w:sz w:val="21"/>
              </w:rPr>
            </w:pPr>
            <w:r/>
          </w:p>
          <w:p>
            <w:pPr>
              <w:pStyle w:val="TableText"/>
              <w:ind w:left="105"/>
              <w:spacing w:before="81" w:line="221" w:lineRule="auto"/>
              <w:rPr>
                <w:sz w:val="25"/>
                <w:szCs w:val="25"/>
              </w:rPr>
            </w:pPr>
            <w:r>
              <w:rPr>
                <w:sz w:val="25"/>
                <w:szCs w:val="25"/>
                <w:spacing w:val="5"/>
              </w:rPr>
              <w:t>较重</w:t>
            </w:r>
          </w:p>
        </w:tc>
        <w:tc>
          <w:tcPr>
            <w:tcW w:w="6026" w:type="dxa"/>
            <w:vAlign w:val="top"/>
          </w:tcPr>
          <w:p>
            <w:pPr>
              <w:pStyle w:val="TableText"/>
              <w:ind w:left="1"/>
              <w:spacing w:before="132" w:line="219" w:lineRule="auto"/>
              <w:rPr>
                <w:sz w:val="25"/>
                <w:szCs w:val="25"/>
              </w:rPr>
            </w:pPr>
            <w:r>
              <w:rPr>
                <w:sz w:val="25"/>
                <w:szCs w:val="25"/>
              </w:rPr>
              <w:t>医疗机构及其医务人员开展具有较高医疗风险的诊疗活</w:t>
            </w:r>
          </w:p>
          <w:p>
            <w:pPr>
              <w:pStyle w:val="TableText"/>
              <w:ind w:left="131" w:right="4" w:hanging="130"/>
              <w:spacing w:before="153" w:line="260" w:lineRule="auto"/>
              <w:rPr>
                <w:sz w:val="25"/>
                <w:szCs w:val="25"/>
              </w:rPr>
            </w:pPr>
            <w:r>
              <w:rPr>
                <w:sz w:val="25"/>
                <w:szCs w:val="25"/>
              </w:rPr>
              <w:t>动，未提前预备应对方案防范突发风险，经处罚再次发</w:t>
            </w:r>
            <w:r>
              <w:rPr>
                <w:sz w:val="25"/>
                <w:szCs w:val="25"/>
                <w:spacing w:val="9"/>
              </w:rPr>
              <w:t xml:space="preserve"> </w:t>
            </w:r>
            <w:r>
              <w:rPr>
                <w:sz w:val="25"/>
                <w:szCs w:val="25"/>
                <w:spacing w:val="3"/>
              </w:rPr>
              <w:t>现有该行为的</w:t>
            </w:r>
          </w:p>
        </w:tc>
        <w:tc>
          <w:tcPr>
            <w:tcW w:w="6290" w:type="dxa"/>
            <w:vAlign w:val="top"/>
          </w:tcPr>
          <w:p>
            <w:pPr>
              <w:spacing w:line="289" w:lineRule="auto"/>
              <w:rPr>
                <w:rFonts w:ascii="Arial"/>
                <w:sz w:val="21"/>
              </w:rPr>
            </w:pPr>
            <w:r/>
          </w:p>
          <w:p>
            <w:pPr>
              <w:pStyle w:val="TableText"/>
              <w:ind w:left="104" w:hanging="29"/>
              <w:spacing w:before="81" w:line="306" w:lineRule="auto"/>
              <w:rPr>
                <w:sz w:val="25"/>
                <w:szCs w:val="25"/>
              </w:rPr>
            </w:pPr>
            <w:r>
              <w:rPr>
                <w:sz w:val="25"/>
                <w:szCs w:val="25"/>
                <w:spacing w:val="-2"/>
              </w:rPr>
              <w:t>由县级以上人民政府卫生主管部门责令改正，给予警告，</w:t>
            </w:r>
            <w:r>
              <w:rPr>
                <w:sz w:val="25"/>
                <w:szCs w:val="25"/>
                <w:spacing w:val="3"/>
              </w:rPr>
              <w:t xml:space="preserve"> </w:t>
            </w:r>
            <w:r>
              <w:rPr>
                <w:sz w:val="25"/>
                <w:szCs w:val="25"/>
                <w:spacing w:val="-1"/>
              </w:rPr>
              <w:t>并处3万元以上5万元以下罚款</w:t>
            </w:r>
          </w:p>
        </w:tc>
      </w:tr>
      <w:tr>
        <w:trPr>
          <w:trHeight w:val="1332" w:hRule="atLeast"/>
        </w:trPr>
        <w:tc>
          <w:tcPr>
            <w:tcW w:w="994" w:type="dxa"/>
            <w:vAlign w:val="top"/>
          </w:tcPr>
          <w:p>
            <w:pPr>
              <w:spacing w:line="463" w:lineRule="auto"/>
              <w:rPr>
                <w:rFonts w:ascii="Arial"/>
                <w:sz w:val="21"/>
              </w:rPr>
            </w:pPr>
            <w:r/>
          </w:p>
          <w:p>
            <w:pPr>
              <w:pStyle w:val="TableText"/>
              <w:ind w:left="105"/>
              <w:spacing w:before="82" w:line="220" w:lineRule="auto"/>
              <w:rPr>
                <w:sz w:val="25"/>
                <w:szCs w:val="25"/>
              </w:rPr>
            </w:pPr>
            <w:r>
              <w:rPr>
                <w:sz w:val="25"/>
                <w:szCs w:val="25"/>
                <w:color w:val="304040"/>
                <w:spacing w:val="5"/>
              </w:rPr>
              <w:t>严重</w:t>
            </w:r>
          </w:p>
        </w:tc>
        <w:tc>
          <w:tcPr>
            <w:tcW w:w="6026" w:type="dxa"/>
            <w:vAlign w:val="top"/>
          </w:tcPr>
          <w:p>
            <w:pPr>
              <w:spacing w:line="283" w:lineRule="auto"/>
              <w:rPr>
                <w:rFonts w:ascii="Arial"/>
                <w:sz w:val="21"/>
              </w:rPr>
            </w:pPr>
            <w:r/>
          </w:p>
          <w:p>
            <w:pPr>
              <w:pStyle w:val="TableText"/>
              <w:ind w:left="131" w:right="5" w:hanging="130"/>
              <w:spacing w:before="81" w:line="336" w:lineRule="auto"/>
              <w:rPr>
                <w:sz w:val="25"/>
                <w:szCs w:val="25"/>
              </w:rPr>
            </w:pPr>
            <w:r>
              <w:rPr>
                <w:sz w:val="25"/>
                <w:szCs w:val="25"/>
              </w:rPr>
              <w:t>医疗机构及其医务人员开展具有较高医疗风险的诊疗活</w:t>
            </w:r>
            <w:r>
              <w:rPr>
                <w:sz w:val="25"/>
                <w:szCs w:val="25"/>
                <w:spacing w:val="8"/>
              </w:rPr>
              <w:t xml:space="preserve"> </w:t>
            </w:r>
            <w:r>
              <w:rPr>
                <w:sz w:val="25"/>
                <w:szCs w:val="25"/>
              </w:rPr>
              <w:t>动，未提前预备应对方案防范突发风险，情节严重的</w:t>
            </w:r>
          </w:p>
        </w:tc>
        <w:tc>
          <w:tcPr>
            <w:tcW w:w="6290" w:type="dxa"/>
            <w:vAlign w:val="top"/>
          </w:tcPr>
          <w:p>
            <w:pPr>
              <w:pStyle w:val="TableText"/>
              <w:ind w:left="114" w:hanging="39"/>
              <w:spacing w:before="143" w:line="290" w:lineRule="auto"/>
              <w:jc w:val="both"/>
              <w:rPr>
                <w:sz w:val="25"/>
                <w:szCs w:val="25"/>
              </w:rPr>
            </w:pPr>
            <w:r>
              <w:rPr>
                <w:sz w:val="25"/>
                <w:szCs w:val="25"/>
                <w:spacing w:val="-2"/>
              </w:rPr>
              <w:t>由县级以上人民政府卫生主管部门责令改正，给予警告，</w:t>
            </w:r>
            <w:r>
              <w:rPr>
                <w:sz w:val="25"/>
                <w:szCs w:val="25"/>
                <w:spacing w:val="3"/>
              </w:rPr>
              <w:t xml:space="preserve"> </w:t>
            </w:r>
            <w:r>
              <w:rPr>
                <w:sz w:val="25"/>
                <w:szCs w:val="25"/>
                <w:spacing w:val="1"/>
              </w:rPr>
              <w:t>并处5万元罚款，且对有关医务人员可以责令暂停1个月</w:t>
            </w:r>
            <w:r>
              <w:rPr>
                <w:sz w:val="25"/>
                <w:szCs w:val="25"/>
                <w:spacing w:val="2"/>
              </w:rPr>
              <w:t xml:space="preserve">  </w:t>
            </w:r>
            <w:r>
              <w:rPr>
                <w:sz w:val="25"/>
                <w:szCs w:val="25"/>
                <w:spacing w:val="-1"/>
              </w:rPr>
              <w:t>以上6个月以下执业活动</w:t>
            </w:r>
          </w:p>
        </w:tc>
      </w:tr>
    </w:tbl>
    <w:p>
      <w:pPr>
        <w:pStyle w:val="BodyText"/>
        <w:spacing w:line="423" w:lineRule="auto"/>
        <w:rPr/>
      </w:pPr>
      <w:r/>
    </w:p>
    <w:p>
      <w:pPr>
        <w:spacing w:before="101" w:line="220" w:lineRule="auto"/>
        <w:jc w:val="right"/>
        <w:rPr>
          <w:rFonts w:ascii="FangSong" w:hAnsi="FangSong" w:eastAsia="FangSong" w:cs="FangSong"/>
          <w:sz w:val="31"/>
          <w:szCs w:val="31"/>
        </w:rPr>
      </w:pPr>
      <w:r>
        <w:rPr>
          <w:rFonts w:ascii="FangSong" w:hAnsi="FangSong" w:eastAsia="FangSong" w:cs="FangSong"/>
          <w:sz w:val="31"/>
          <w:szCs w:val="31"/>
          <w:b/>
          <w:bCs/>
          <w:spacing w:val="10"/>
        </w:rPr>
        <w:t>第三百零七条医疗机构及其医务人员未按规定填写、保管病历资料，或者未按规定补记抢救病</w:t>
      </w:r>
    </w:p>
    <w:p>
      <w:pPr>
        <w:ind w:left="4"/>
        <w:spacing w:before="84" w:line="225" w:lineRule="auto"/>
        <w:rPr>
          <w:rFonts w:ascii="FangSong" w:hAnsi="FangSong" w:eastAsia="FangSong" w:cs="FangSong"/>
          <w:sz w:val="31"/>
          <w:szCs w:val="31"/>
        </w:rPr>
      </w:pPr>
      <w:r>
        <w:rPr>
          <w:rFonts w:ascii="FangSong" w:hAnsi="FangSong" w:eastAsia="FangSong" w:cs="FangSong"/>
          <w:sz w:val="31"/>
          <w:szCs w:val="31"/>
        </w:rPr>
        <w:t>历</w:t>
      </w:r>
    </w:p>
    <w:p>
      <w:pPr>
        <w:ind w:left="654"/>
        <w:spacing w:before="96"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spacing w:line="222" w:lineRule="auto"/>
        <w:sectPr>
          <w:footerReference w:type="default" r:id="rId356"/>
          <w:pgSz w:w="16830" w:h="11900"/>
          <w:pgMar w:top="1011" w:right="1465" w:bottom="1125" w:left="1414" w:header="0" w:footer="783" w:gutter="0"/>
        </w:sectPr>
        <w:rPr>
          <w:rFonts w:ascii="FangSong" w:hAnsi="FangSong" w:eastAsia="FangSong" w:cs="FangSong"/>
          <w:sz w:val="27"/>
          <w:szCs w:val="27"/>
        </w:rPr>
      </w:pPr>
    </w:p>
    <w:p>
      <w:pPr>
        <w:pStyle w:val="BodyText"/>
        <w:spacing w:line="269" w:lineRule="auto"/>
        <w:rPr/>
      </w:pPr>
      <w:r/>
    </w:p>
    <w:p>
      <w:pPr>
        <w:pStyle w:val="BodyText"/>
        <w:spacing w:line="269" w:lineRule="auto"/>
        <w:rPr/>
      </w:pPr>
      <w:r/>
    </w:p>
    <w:p>
      <w:pPr>
        <w:pStyle w:val="BodyText"/>
        <w:spacing w:line="269" w:lineRule="auto"/>
        <w:rPr/>
      </w:pPr>
      <w:r/>
    </w:p>
    <w:p>
      <w:pPr>
        <w:ind w:left="25" w:firstLine="629"/>
        <w:spacing w:before="97" w:line="270" w:lineRule="auto"/>
        <w:jc w:val="both"/>
        <w:rPr>
          <w:rFonts w:ascii="FangSong" w:hAnsi="FangSong" w:eastAsia="FangSong" w:cs="FangSong"/>
          <w:sz w:val="30"/>
          <w:szCs w:val="30"/>
        </w:rPr>
      </w:pPr>
      <w:r>
        <w:rPr>
          <w:rFonts w:ascii="FangSong" w:hAnsi="FangSong" w:eastAsia="FangSong" w:cs="FangSong"/>
          <w:sz w:val="30"/>
          <w:szCs w:val="30"/>
          <w:spacing w:val="19"/>
        </w:rPr>
        <w:t>《医疗纠纷预防和处理条例》第四十七条第(四)项</w:t>
      </w:r>
      <w:r>
        <w:rPr>
          <w:rFonts w:ascii="FangSong" w:hAnsi="FangSong" w:eastAsia="FangSong" w:cs="FangSong"/>
          <w:sz w:val="30"/>
          <w:szCs w:val="30"/>
          <w:spacing w:val="19"/>
        </w:rPr>
        <w:t xml:space="preserve">  </w:t>
      </w:r>
      <w:r>
        <w:rPr>
          <w:rFonts w:ascii="FangSong" w:hAnsi="FangSong" w:eastAsia="FangSong" w:cs="FangSong"/>
          <w:sz w:val="30"/>
          <w:szCs w:val="30"/>
          <w:spacing w:val="19"/>
        </w:rPr>
        <w:t>医</w:t>
      </w:r>
      <w:r>
        <w:rPr>
          <w:rFonts w:ascii="FangSong" w:hAnsi="FangSong" w:eastAsia="FangSong" w:cs="FangSong"/>
          <w:sz w:val="30"/>
          <w:szCs w:val="30"/>
          <w:spacing w:val="18"/>
        </w:rPr>
        <w:t>疗机构及其医务人员有下列情形之一的，</w:t>
      </w:r>
      <w:r>
        <w:rPr>
          <w:rFonts w:ascii="FangSong" w:hAnsi="FangSong" w:eastAsia="FangSong" w:cs="FangSong"/>
          <w:sz w:val="30"/>
          <w:szCs w:val="30"/>
        </w:rPr>
        <w:t xml:space="preserve"> </w:t>
      </w:r>
      <w:r>
        <w:rPr>
          <w:rFonts w:ascii="FangSong" w:hAnsi="FangSong" w:eastAsia="FangSong" w:cs="FangSong"/>
          <w:sz w:val="30"/>
          <w:szCs w:val="30"/>
          <w:spacing w:val="23"/>
        </w:rPr>
        <w:t>由县级以上人民政府卫生主管部门责令改正，给予警告，并处1万元以上5万元以下罚</w:t>
      </w:r>
      <w:r>
        <w:rPr>
          <w:rFonts w:ascii="FangSong" w:hAnsi="FangSong" w:eastAsia="FangSong" w:cs="FangSong"/>
          <w:sz w:val="30"/>
          <w:szCs w:val="30"/>
          <w:spacing w:val="22"/>
        </w:rPr>
        <w:t>款；情节严重</w:t>
      </w:r>
      <w:r>
        <w:rPr>
          <w:rFonts w:ascii="FangSong" w:hAnsi="FangSong" w:eastAsia="FangSong" w:cs="FangSong"/>
          <w:sz w:val="30"/>
          <w:szCs w:val="30"/>
        </w:rPr>
        <w:t xml:space="preserve">  </w:t>
      </w:r>
      <w:r>
        <w:rPr>
          <w:rFonts w:ascii="FangSong" w:hAnsi="FangSong" w:eastAsia="FangSong" w:cs="FangSong"/>
          <w:sz w:val="30"/>
          <w:szCs w:val="30"/>
          <w:spacing w:val="17"/>
        </w:rPr>
        <w:t>的，对直接负责的主管人员和其他直接责任人员给予或者责令给予降低岗位等级</w:t>
      </w:r>
      <w:r>
        <w:rPr>
          <w:rFonts w:ascii="FangSong" w:hAnsi="FangSong" w:eastAsia="FangSong" w:cs="FangSong"/>
          <w:sz w:val="30"/>
          <w:szCs w:val="30"/>
          <w:spacing w:val="16"/>
        </w:rPr>
        <w:t>或者撤职的处分，对</w:t>
      </w:r>
      <w:r>
        <w:rPr>
          <w:rFonts w:ascii="FangSong" w:hAnsi="FangSong" w:eastAsia="FangSong" w:cs="FangSong"/>
          <w:sz w:val="30"/>
          <w:szCs w:val="30"/>
        </w:rPr>
        <w:t xml:space="preserve"> </w:t>
      </w:r>
      <w:r>
        <w:rPr>
          <w:rFonts w:ascii="FangSong" w:hAnsi="FangSong" w:eastAsia="FangSong" w:cs="FangSong"/>
          <w:sz w:val="30"/>
          <w:szCs w:val="30"/>
          <w:spacing w:val="25"/>
        </w:rPr>
        <w:t>有关医务人员可以责令暂停1个月以上6个月以下执业活动；构成犯</w:t>
      </w:r>
      <w:r>
        <w:rPr>
          <w:rFonts w:ascii="FangSong" w:hAnsi="FangSong" w:eastAsia="FangSong" w:cs="FangSong"/>
          <w:sz w:val="30"/>
          <w:szCs w:val="30"/>
          <w:spacing w:val="24"/>
        </w:rPr>
        <w:t>罪的，依法追究刑事责任：</w:t>
      </w:r>
    </w:p>
    <w:p>
      <w:pPr>
        <w:ind w:left="794"/>
        <w:spacing w:line="220" w:lineRule="auto"/>
        <w:rPr>
          <w:rFonts w:ascii="FangSong" w:hAnsi="FangSong" w:eastAsia="FangSong" w:cs="FangSong"/>
          <w:sz w:val="30"/>
          <w:szCs w:val="30"/>
        </w:rPr>
      </w:pPr>
      <w:r>
        <w:rPr>
          <w:rFonts w:ascii="FangSong" w:hAnsi="FangSong" w:eastAsia="FangSong" w:cs="FangSong"/>
          <w:sz w:val="30"/>
          <w:szCs w:val="30"/>
          <w:spacing w:val="23"/>
        </w:rPr>
        <w:t>(四)未按规定填写、保管病历资料，或者</w:t>
      </w:r>
      <w:r>
        <w:rPr>
          <w:rFonts w:ascii="FangSong" w:hAnsi="FangSong" w:eastAsia="FangSong" w:cs="FangSong"/>
          <w:sz w:val="30"/>
          <w:szCs w:val="30"/>
          <w:spacing w:val="22"/>
        </w:rPr>
        <w:t>未按规定补记抢救病历；</w:t>
      </w:r>
    </w:p>
    <w:p>
      <w:pPr>
        <w:pStyle w:val="BodyText"/>
        <w:spacing w:line="407" w:lineRule="auto"/>
        <w:rPr/>
      </w:pPr>
      <w:r/>
    </w:p>
    <w:p>
      <w:pPr>
        <w:ind w:left="6419"/>
        <w:spacing w:before="95"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3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04"/>
        <w:gridCol w:w="6005"/>
        <w:gridCol w:w="6310"/>
      </w:tblGrid>
      <w:tr>
        <w:trPr>
          <w:trHeight w:val="1062" w:hRule="atLeast"/>
        </w:trPr>
        <w:tc>
          <w:tcPr>
            <w:tcW w:w="1004" w:type="dxa"/>
            <w:vAlign w:val="top"/>
          </w:tcPr>
          <w:p>
            <w:pPr>
              <w:pStyle w:val="TableText"/>
              <w:ind w:left="198"/>
              <w:spacing w:before="49" w:line="225" w:lineRule="auto"/>
              <w:rPr>
                <w:sz w:val="25"/>
                <w:szCs w:val="25"/>
              </w:rPr>
            </w:pPr>
            <w:r>
              <w:rPr>
                <w:sz w:val="25"/>
                <w:szCs w:val="25"/>
                <w:b/>
                <w:bCs/>
                <w:spacing w:val="-6"/>
              </w:rPr>
              <w:t>违法</w:t>
            </w:r>
          </w:p>
          <w:p>
            <w:pPr>
              <w:pStyle w:val="TableText"/>
              <w:ind w:left="198"/>
              <w:spacing w:before="128" w:line="220" w:lineRule="auto"/>
              <w:rPr>
                <w:sz w:val="25"/>
                <w:szCs w:val="25"/>
              </w:rPr>
            </w:pPr>
            <w:r>
              <w:rPr>
                <w:sz w:val="25"/>
                <w:szCs w:val="25"/>
                <w:b/>
                <w:bCs/>
                <w:spacing w:val="-5"/>
              </w:rPr>
              <w:t>程度</w:t>
            </w:r>
          </w:p>
        </w:tc>
        <w:tc>
          <w:tcPr>
            <w:tcW w:w="6005" w:type="dxa"/>
            <w:vAlign w:val="top"/>
          </w:tcPr>
          <w:p>
            <w:pPr>
              <w:pStyle w:val="TableText"/>
              <w:ind w:left="2424"/>
              <w:spacing w:before="282" w:line="220" w:lineRule="auto"/>
              <w:rPr>
                <w:sz w:val="25"/>
                <w:szCs w:val="25"/>
              </w:rPr>
            </w:pPr>
            <w:r>
              <w:rPr>
                <w:sz w:val="25"/>
                <w:szCs w:val="25"/>
                <w:b/>
                <w:bCs/>
                <w:spacing w:val="-5"/>
              </w:rPr>
              <w:t>情节后果</w:t>
            </w:r>
          </w:p>
        </w:tc>
        <w:tc>
          <w:tcPr>
            <w:tcW w:w="6310" w:type="dxa"/>
            <w:vAlign w:val="top"/>
          </w:tcPr>
          <w:p>
            <w:pPr>
              <w:spacing w:line="326" w:lineRule="auto"/>
              <w:rPr>
                <w:rFonts w:ascii="Arial"/>
                <w:sz w:val="21"/>
              </w:rPr>
            </w:pPr>
            <w:r/>
          </w:p>
          <w:p>
            <w:pPr>
              <w:pStyle w:val="TableText"/>
              <w:ind w:left="2609"/>
              <w:spacing w:before="81" w:line="218" w:lineRule="auto"/>
              <w:rPr>
                <w:sz w:val="25"/>
                <w:szCs w:val="25"/>
              </w:rPr>
            </w:pPr>
            <w:r>
              <w:rPr>
                <w:sz w:val="25"/>
                <w:szCs w:val="25"/>
                <w:b/>
                <w:bCs/>
                <w:spacing w:val="-5"/>
              </w:rPr>
              <w:t>裁量幅度</w:t>
            </w:r>
          </w:p>
        </w:tc>
      </w:tr>
      <w:tr>
        <w:trPr>
          <w:trHeight w:val="1327" w:hRule="atLeast"/>
        </w:trPr>
        <w:tc>
          <w:tcPr>
            <w:tcW w:w="1004" w:type="dxa"/>
            <w:vAlign w:val="top"/>
          </w:tcPr>
          <w:p>
            <w:pPr>
              <w:spacing w:line="460" w:lineRule="auto"/>
              <w:rPr>
                <w:rFonts w:ascii="Arial"/>
                <w:sz w:val="21"/>
              </w:rPr>
            </w:pPr>
            <w:r/>
          </w:p>
          <w:p>
            <w:pPr>
              <w:pStyle w:val="TableText"/>
              <w:ind w:left="104"/>
              <w:spacing w:before="81" w:line="221" w:lineRule="auto"/>
              <w:rPr>
                <w:sz w:val="25"/>
                <w:szCs w:val="25"/>
              </w:rPr>
            </w:pPr>
            <w:r>
              <w:rPr>
                <w:sz w:val="25"/>
                <w:szCs w:val="25"/>
                <w:spacing w:val="5"/>
              </w:rPr>
              <w:t>一般</w:t>
            </w:r>
          </w:p>
        </w:tc>
        <w:tc>
          <w:tcPr>
            <w:tcW w:w="6005" w:type="dxa"/>
            <w:vAlign w:val="top"/>
          </w:tcPr>
          <w:p>
            <w:pPr>
              <w:pStyle w:val="TableText"/>
              <w:ind w:left="100" w:firstLine="10"/>
              <w:spacing w:before="151" w:line="328" w:lineRule="auto"/>
              <w:rPr>
                <w:sz w:val="25"/>
                <w:szCs w:val="25"/>
              </w:rPr>
            </w:pPr>
            <w:r>
              <w:rPr>
                <w:sz w:val="25"/>
                <w:szCs w:val="25"/>
                <w:spacing w:val="-5"/>
              </w:rPr>
              <w:t>医疗机构未按规定保管病历资料，医务人员未按规定填</w:t>
            </w:r>
            <w:r>
              <w:rPr>
                <w:sz w:val="25"/>
                <w:szCs w:val="25"/>
                <w:spacing w:val="2"/>
              </w:rPr>
              <w:t xml:space="preserve"> </w:t>
            </w:r>
            <w:r>
              <w:rPr>
                <w:sz w:val="25"/>
                <w:szCs w:val="25"/>
              </w:rPr>
              <w:t>写病历资料或未按规定补记抢救病历，涉及患者1至3</w:t>
            </w:r>
          </w:p>
          <w:p>
            <w:pPr>
              <w:pStyle w:val="TableText"/>
              <w:ind w:left="80"/>
              <w:spacing w:before="8" w:line="199" w:lineRule="auto"/>
              <w:rPr>
                <w:sz w:val="25"/>
                <w:szCs w:val="25"/>
              </w:rPr>
            </w:pPr>
            <w:r>
              <w:rPr>
                <w:sz w:val="25"/>
                <w:szCs w:val="25"/>
                <w:color w:val="506050"/>
                <w:spacing w:val="-2"/>
              </w:rPr>
              <w:t>名。</w:t>
            </w:r>
          </w:p>
        </w:tc>
        <w:tc>
          <w:tcPr>
            <w:tcW w:w="6310" w:type="dxa"/>
            <w:vAlign w:val="top"/>
          </w:tcPr>
          <w:p>
            <w:pPr>
              <w:pStyle w:val="TableText"/>
              <w:ind w:left="105" w:firstLine="40"/>
              <w:spacing w:before="151" w:line="325" w:lineRule="auto"/>
              <w:rPr>
                <w:sz w:val="25"/>
                <w:szCs w:val="25"/>
              </w:rPr>
            </w:pPr>
            <w:r>
              <w:rPr>
                <w:sz w:val="25"/>
                <w:szCs w:val="25"/>
                <w:spacing w:val="-4"/>
              </w:rPr>
              <w:t>由县级以上人民政府卫生主管部门责令改正，给予医疗机</w:t>
            </w:r>
            <w:r>
              <w:rPr>
                <w:sz w:val="25"/>
                <w:szCs w:val="25"/>
                <w:spacing w:val="3"/>
              </w:rPr>
              <w:t xml:space="preserve"> </w:t>
            </w:r>
            <w:r>
              <w:rPr>
                <w:sz w:val="25"/>
                <w:szCs w:val="25"/>
                <w:spacing w:val="1"/>
              </w:rPr>
              <w:t>构警告，并处1万元以上2万元以下罚款；给予医务人员</w:t>
            </w:r>
          </w:p>
          <w:p>
            <w:pPr>
              <w:pStyle w:val="TableText"/>
              <w:ind w:left="116"/>
              <w:spacing w:line="211" w:lineRule="auto"/>
              <w:rPr>
                <w:sz w:val="25"/>
                <w:szCs w:val="25"/>
              </w:rPr>
            </w:pPr>
            <w:r>
              <w:rPr>
                <w:sz w:val="25"/>
                <w:szCs w:val="25"/>
                <w:color w:val="405050"/>
                <w:spacing w:val="-2"/>
              </w:rPr>
              <w:t>警告。</w:t>
            </w:r>
          </w:p>
        </w:tc>
      </w:tr>
      <w:tr>
        <w:trPr>
          <w:trHeight w:val="1301" w:hRule="atLeast"/>
        </w:trPr>
        <w:tc>
          <w:tcPr>
            <w:tcW w:w="1004" w:type="dxa"/>
            <w:vAlign w:val="top"/>
          </w:tcPr>
          <w:p>
            <w:pPr>
              <w:spacing w:line="455" w:lineRule="auto"/>
              <w:rPr>
                <w:rFonts w:ascii="Arial"/>
                <w:sz w:val="21"/>
              </w:rPr>
            </w:pPr>
            <w:r/>
          </w:p>
          <w:p>
            <w:pPr>
              <w:pStyle w:val="TableText"/>
              <w:ind w:left="104"/>
              <w:spacing w:before="81" w:line="221" w:lineRule="auto"/>
              <w:rPr>
                <w:sz w:val="25"/>
                <w:szCs w:val="25"/>
              </w:rPr>
            </w:pPr>
            <w:r>
              <w:rPr>
                <w:sz w:val="25"/>
                <w:szCs w:val="25"/>
                <w:spacing w:val="5"/>
              </w:rPr>
              <w:t>较重</w:t>
            </w:r>
          </w:p>
        </w:tc>
        <w:tc>
          <w:tcPr>
            <w:tcW w:w="6005" w:type="dxa"/>
            <w:vAlign w:val="top"/>
          </w:tcPr>
          <w:p>
            <w:pPr>
              <w:pStyle w:val="TableText"/>
              <w:ind w:left="100" w:firstLine="10"/>
              <w:spacing w:before="145" w:line="327" w:lineRule="auto"/>
              <w:rPr>
                <w:sz w:val="25"/>
                <w:szCs w:val="25"/>
              </w:rPr>
            </w:pPr>
            <w:r>
              <w:rPr>
                <w:sz w:val="25"/>
                <w:szCs w:val="25"/>
                <w:spacing w:val="-5"/>
              </w:rPr>
              <w:t>医疗机构未按规定保管病历资料，医务人员未按规定填</w:t>
            </w:r>
            <w:r>
              <w:rPr>
                <w:sz w:val="25"/>
                <w:szCs w:val="25"/>
                <w:spacing w:val="2"/>
              </w:rPr>
              <w:t xml:space="preserve"> </w:t>
            </w:r>
            <w:r>
              <w:rPr>
                <w:sz w:val="25"/>
                <w:szCs w:val="25"/>
              </w:rPr>
              <w:t>写病历资料或未按规定补记抢救病历，涉及患者4至6</w:t>
            </w:r>
          </w:p>
          <w:p>
            <w:pPr>
              <w:pStyle w:val="TableText"/>
              <w:ind w:left="91"/>
              <w:spacing w:before="1" w:line="191" w:lineRule="auto"/>
              <w:rPr>
                <w:sz w:val="25"/>
                <w:szCs w:val="25"/>
              </w:rPr>
            </w:pPr>
            <w:r>
              <w:rPr>
                <w:sz w:val="25"/>
                <w:szCs w:val="25"/>
                <w:color w:val="606070"/>
                <w:spacing w:val="-2"/>
              </w:rPr>
              <w:t>名。</w:t>
            </w:r>
          </w:p>
        </w:tc>
        <w:tc>
          <w:tcPr>
            <w:tcW w:w="6310" w:type="dxa"/>
            <w:vAlign w:val="top"/>
          </w:tcPr>
          <w:p>
            <w:pPr>
              <w:pStyle w:val="TableText"/>
              <w:ind w:left="116" w:firstLine="19"/>
              <w:spacing w:before="144" w:line="325" w:lineRule="auto"/>
              <w:rPr>
                <w:sz w:val="25"/>
                <w:szCs w:val="25"/>
              </w:rPr>
            </w:pPr>
            <w:r>
              <w:rPr>
                <w:sz w:val="25"/>
                <w:szCs w:val="25"/>
                <w:spacing w:val="-4"/>
              </w:rPr>
              <w:t>由县级以上人民政府卫生主管部门责令改正，给予医疗机</w:t>
            </w:r>
            <w:r>
              <w:rPr>
                <w:sz w:val="25"/>
                <w:szCs w:val="25"/>
                <w:spacing w:val="13"/>
              </w:rPr>
              <w:t xml:space="preserve"> </w:t>
            </w:r>
            <w:r>
              <w:rPr>
                <w:sz w:val="25"/>
                <w:szCs w:val="25"/>
                <w:spacing w:val="1"/>
              </w:rPr>
              <w:t>构警告，并处2万元以上3万元以下罚款；给予医务人员</w:t>
            </w:r>
          </w:p>
          <w:p>
            <w:pPr>
              <w:pStyle w:val="TableText"/>
              <w:ind w:left="116"/>
              <w:spacing w:before="1" w:line="196" w:lineRule="auto"/>
              <w:rPr>
                <w:sz w:val="25"/>
                <w:szCs w:val="25"/>
              </w:rPr>
            </w:pPr>
            <w:r>
              <w:rPr>
                <w:sz w:val="25"/>
                <w:szCs w:val="25"/>
                <w:color w:val="404050"/>
                <w:spacing w:val="-2"/>
              </w:rPr>
              <w:t>警告。</w:t>
            </w:r>
          </w:p>
        </w:tc>
      </w:tr>
    </w:tbl>
    <w:p>
      <w:pPr>
        <w:pStyle w:val="BodyText"/>
        <w:rPr/>
      </w:pPr>
      <w:r/>
    </w:p>
    <w:p>
      <w:pPr>
        <w:sectPr>
          <w:footerReference w:type="default" r:id="rId357"/>
          <w:pgSz w:w="16830" w:h="11900"/>
          <w:pgMar w:top="1011" w:right="1330" w:bottom="1125" w:left="1425" w:header="0" w:footer="783" w:gutter="0"/>
        </w:sectPr>
        <w:rPr/>
      </w:pPr>
    </w:p>
    <w:p>
      <w:pPr>
        <w:spacing w:before="13"/>
        <w:rPr/>
      </w:pPr>
      <w:r/>
    </w:p>
    <w:p>
      <w:pPr>
        <w:spacing w:before="13"/>
        <w:rPr/>
      </w:pPr>
      <w:r/>
    </w:p>
    <w:p>
      <w:pPr>
        <w:spacing w:before="13"/>
        <w:rPr/>
      </w:pPr>
      <w:r/>
    </w:p>
    <w:tbl>
      <w:tblPr>
        <w:tblStyle w:val="TableNormal"/>
        <w:tblW w:w="133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94"/>
        <w:gridCol w:w="6026"/>
        <w:gridCol w:w="6310"/>
      </w:tblGrid>
      <w:tr>
        <w:trPr>
          <w:trHeight w:val="2099" w:hRule="atLeast"/>
        </w:trPr>
        <w:tc>
          <w:tcPr>
            <w:tcW w:w="994"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74"/>
              <w:spacing w:before="81" w:line="220" w:lineRule="auto"/>
              <w:rPr>
                <w:sz w:val="25"/>
                <w:szCs w:val="25"/>
              </w:rPr>
            </w:pPr>
            <w:bookmarkStart w:name="bookmark1009" w:id="378"/>
            <w:bookmarkEnd w:id="378"/>
            <w:r>
              <w:rPr>
                <w:sz w:val="25"/>
                <w:szCs w:val="25"/>
                <w:color w:val="404050"/>
                <w:spacing w:val="5"/>
              </w:rPr>
              <w:t>严重</w:t>
            </w:r>
          </w:p>
        </w:tc>
        <w:tc>
          <w:tcPr>
            <w:tcW w:w="6026" w:type="dxa"/>
            <w:vAlign w:val="top"/>
          </w:tcPr>
          <w:p>
            <w:pPr>
              <w:spacing w:line="241" w:lineRule="auto"/>
              <w:rPr>
                <w:rFonts w:ascii="Arial"/>
                <w:sz w:val="21"/>
              </w:rPr>
            </w:pPr>
            <w:r/>
          </w:p>
          <w:p>
            <w:pPr>
              <w:pStyle w:val="TableText"/>
              <w:ind w:left="60"/>
              <w:spacing w:before="81" w:line="219" w:lineRule="auto"/>
              <w:rPr>
                <w:sz w:val="25"/>
                <w:szCs w:val="25"/>
              </w:rPr>
            </w:pPr>
            <w:r>
              <w:rPr>
                <w:sz w:val="25"/>
                <w:szCs w:val="25"/>
                <w:spacing w:val="1"/>
              </w:rPr>
              <w:t>有下列情形之一的：(1)医疗机构未按规定保管</w:t>
            </w:r>
            <w:r>
              <w:rPr>
                <w:sz w:val="25"/>
                <w:szCs w:val="25"/>
              </w:rPr>
              <w:t>病历资</w:t>
            </w:r>
          </w:p>
          <w:p>
            <w:pPr>
              <w:pStyle w:val="TableText"/>
              <w:ind w:left="130" w:right="4" w:hanging="129"/>
              <w:spacing w:before="144" w:line="326" w:lineRule="auto"/>
              <w:rPr>
                <w:sz w:val="25"/>
                <w:szCs w:val="25"/>
              </w:rPr>
            </w:pPr>
            <w:r>
              <w:rPr>
                <w:sz w:val="25"/>
                <w:szCs w:val="25"/>
              </w:rPr>
              <w:t>料，医务人员未按规定填写病历资料或未按规定补记抢</w:t>
            </w:r>
            <w:r>
              <w:rPr>
                <w:sz w:val="25"/>
                <w:szCs w:val="25"/>
                <w:spacing w:val="9"/>
              </w:rPr>
              <w:t xml:space="preserve"> </w:t>
            </w:r>
            <w:r>
              <w:rPr>
                <w:sz w:val="25"/>
                <w:szCs w:val="25"/>
              </w:rPr>
              <w:t>救病历，涉及患者7名以上；(2)造成重大不良社会影</w:t>
            </w:r>
            <w:r>
              <w:rPr>
                <w:sz w:val="25"/>
                <w:szCs w:val="25"/>
                <w:spacing w:val="4"/>
              </w:rPr>
              <w:t xml:space="preserve">  </w:t>
            </w:r>
            <w:r>
              <w:rPr>
                <w:sz w:val="25"/>
                <w:szCs w:val="25"/>
                <w:spacing w:val="-1"/>
              </w:rPr>
              <w:t>响或其他严重不良后果。</w:t>
            </w:r>
          </w:p>
        </w:tc>
        <w:tc>
          <w:tcPr>
            <w:tcW w:w="6310" w:type="dxa"/>
            <w:vAlign w:val="top"/>
          </w:tcPr>
          <w:p>
            <w:pPr>
              <w:rPr>
                <w:rFonts w:ascii="Arial"/>
                <w:sz w:val="21"/>
              </w:rPr>
            </w:pPr>
            <w:r/>
          </w:p>
          <w:p>
            <w:pPr>
              <w:pStyle w:val="TableText"/>
              <w:ind w:left="85" w:right="79"/>
              <w:spacing w:before="81" w:line="326" w:lineRule="auto"/>
              <w:jc w:val="both"/>
              <w:rPr>
                <w:sz w:val="25"/>
                <w:szCs w:val="25"/>
              </w:rPr>
            </w:pPr>
            <w:r>
              <w:rPr>
                <w:sz w:val="25"/>
                <w:szCs w:val="25"/>
              </w:rPr>
              <w:t>由县级以上人民政府卫生主管部门责令改正，(1)给予医</w:t>
            </w:r>
            <w:r>
              <w:rPr>
                <w:sz w:val="25"/>
                <w:szCs w:val="25"/>
                <w:spacing w:val="9"/>
              </w:rPr>
              <w:t xml:space="preserve"> </w:t>
            </w:r>
            <w:r>
              <w:rPr>
                <w:sz w:val="25"/>
                <w:szCs w:val="25"/>
                <w:spacing w:val="3"/>
              </w:rPr>
              <w:t>疗机构警告，并处3万元以上5万元以下罚款</w:t>
            </w:r>
            <w:r>
              <w:rPr>
                <w:sz w:val="25"/>
                <w:szCs w:val="25"/>
                <w:spacing w:val="2"/>
              </w:rPr>
              <w:t>；给予医务</w:t>
            </w:r>
            <w:r>
              <w:rPr>
                <w:sz w:val="25"/>
                <w:szCs w:val="25"/>
              </w:rPr>
              <w:t xml:space="preserve"> </w:t>
            </w:r>
            <w:r>
              <w:rPr>
                <w:sz w:val="25"/>
                <w:szCs w:val="25"/>
                <w:spacing w:val="-1"/>
              </w:rPr>
              <w:t>人员警告。(2)给予医务人员警告，对有关医务人员责令</w:t>
            </w:r>
            <w:r>
              <w:rPr>
                <w:sz w:val="25"/>
                <w:szCs w:val="25"/>
                <w:spacing w:val="13"/>
              </w:rPr>
              <w:t xml:space="preserve"> </w:t>
            </w:r>
            <w:r>
              <w:rPr>
                <w:sz w:val="25"/>
                <w:szCs w:val="25"/>
                <w:spacing w:val="1"/>
              </w:rPr>
              <w:t>暂停1个月以上6个月以下执业活动。</w:t>
            </w:r>
          </w:p>
        </w:tc>
      </w:tr>
    </w:tbl>
    <w:p>
      <w:pPr>
        <w:pStyle w:val="BodyText"/>
        <w:spacing w:line="466" w:lineRule="auto"/>
        <w:rPr/>
      </w:pPr>
      <w:r/>
    </w:p>
    <w:p>
      <w:pPr>
        <w:ind w:left="69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第三百零八条医疗机构及其医务人员拒绝为患者提供查阅、复制病历资料服务</w:t>
      </w:r>
    </w:p>
    <w:p>
      <w:pPr>
        <w:ind w:left="675"/>
        <w:spacing w:before="110" w:line="222" w:lineRule="auto"/>
        <w:rPr>
          <w:rFonts w:ascii="FangSong" w:hAnsi="FangSong" w:eastAsia="FangSong" w:cs="FangSong"/>
          <w:sz w:val="30"/>
          <w:szCs w:val="30"/>
        </w:rPr>
      </w:pPr>
      <w:r>
        <w:rPr>
          <w:rFonts w:ascii="FangSong" w:hAnsi="FangSong" w:eastAsia="FangSong" w:cs="FangSong"/>
          <w:sz w:val="30"/>
          <w:szCs w:val="30"/>
          <w:spacing w:val="6"/>
        </w:rPr>
        <w:t>法律依据：</w:t>
      </w:r>
    </w:p>
    <w:p>
      <w:pPr>
        <w:ind w:left="45" w:firstLine="609"/>
        <w:spacing w:before="89" w:line="264" w:lineRule="auto"/>
        <w:jc w:val="both"/>
        <w:rPr>
          <w:rFonts w:ascii="FangSong" w:hAnsi="FangSong" w:eastAsia="FangSong" w:cs="FangSong"/>
          <w:sz w:val="30"/>
          <w:szCs w:val="30"/>
        </w:rPr>
      </w:pPr>
      <w:r>
        <w:rPr>
          <w:rFonts w:ascii="FangSong" w:hAnsi="FangSong" w:eastAsia="FangSong" w:cs="FangSong"/>
          <w:sz w:val="30"/>
          <w:szCs w:val="30"/>
          <w:spacing w:val="17"/>
        </w:rPr>
        <w:t>《医疗纠纷预防和处理条例》第四十七条第(五)项</w:t>
      </w:r>
      <w:r>
        <w:rPr>
          <w:rFonts w:ascii="FangSong" w:hAnsi="FangSong" w:eastAsia="FangSong" w:cs="FangSong"/>
          <w:sz w:val="30"/>
          <w:szCs w:val="30"/>
          <w:spacing w:val="52"/>
        </w:rPr>
        <w:t xml:space="preserve">  </w:t>
      </w:r>
      <w:r>
        <w:rPr>
          <w:rFonts w:ascii="FangSong" w:hAnsi="FangSong" w:eastAsia="FangSong" w:cs="FangSong"/>
          <w:sz w:val="30"/>
          <w:szCs w:val="30"/>
          <w:spacing w:val="17"/>
        </w:rPr>
        <w:t>医疗机构及其医务人员有下列情形之一的，</w:t>
      </w:r>
      <w:r>
        <w:rPr>
          <w:rFonts w:ascii="FangSong" w:hAnsi="FangSong" w:eastAsia="FangSong" w:cs="FangSong"/>
          <w:sz w:val="30"/>
          <w:szCs w:val="30"/>
        </w:rPr>
        <w:t xml:space="preserve"> </w:t>
      </w:r>
      <w:r>
        <w:rPr>
          <w:rFonts w:ascii="FangSong" w:hAnsi="FangSong" w:eastAsia="FangSong" w:cs="FangSong"/>
          <w:sz w:val="30"/>
          <w:szCs w:val="30"/>
          <w:spacing w:val="23"/>
        </w:rPr>
        <w:t>由县级以上人民政府卫生主管部门责令改正，给予警告，并处1万元以上5万元以下罚</w:t>
      </w:r>
      <w:r>
        <w:rPr>
          <w:rFonts w:ascii="FangSong" w:hAnsi="FangSong" w:eastAsia="FangSong" w:cs="FangSong"/>
          <w:sz w:val="30"/>
          <w:szCs w:val="30"/>
          <w:spacing w:val="22"/>
        </w:rPr>
        <w:t>款；情节严重</w:t>
      </w:r>
      <w:r>
        <w:rPr>
          <w:rFonts w:ascii="FangSong" w:hAnsi="FangSong" w:eastAsia="FangSong" w:cs="FangSong"/>
          <w:sz w:val="30"/>
          <w:szCs w:val="30"/>
        </w:rPr>
        <w:t xml:space="preserve"> </w:t>
      </w:r>
      <w:r>
        <w:rPr>
          <w:rFonts w:ascii="FangSong" w:hAnsi="FangSong" w:eastAsia="FangSong" w:cs="FangSong"/>
          <w:sz w:val="30"/>
          <w:szCs w:val="30"/>
          <w:spacing w:val="17"/>
        </w:rPr>
        <w:t>的，对直接负责的主管人员和其他直接责任人员给予或者责令给予降低岗位等级</w:t>
      </w:r>
      <w:r>
        <w:rPr>
          <w:rFonts w:ascii="FangSong" w:hAnsi="FangSong" w:eastAsia="FangSong" w:cs="FangSong"/>
          <w:sz w:val="30"/>
          <w:szCs w:val="30"/>
          <w:spacing w:val="16"/>
        </w:rPr>
        <w:t>或者撤职的处分，对</w:t>
      </w:r>
      <w:r>
        <w:rPr>
          <w:rFonts w:ascii="FangSong" w:hAnsi="FangSong" w:eastAsia="FangSong" w:cs="FangSong"/>
          <w:sz w:val="30"/>
          <w:szCs w:val="30"/>
        </w:rPr>
        <w:t xml:space="preserve"> </w:t>
      </w:r>
      <w:r>
        <w:rPr>
          <w:rFonts w:ascii="FangSong" w:hAnsi="FangSong" w:eastAsia="FangSong" w:cs="FangSong"/>
          <w:sz w:val="30"/>
          <w:szCs w:val="30"/>
          <w:spacing w:val="25"/>
        </w:rPr>
        <w:t>有关医务人员可以责令暂停1个月以上6个月以下执业活动；构成犯</w:t>
      </w:r>
      <w:r>
        <w:rPr>
          <w:rFonts w:ascii="FangSong" w:hAnsi="FangSong" w:eastAsia="FangSong" w:cs="FangSong"/>
          <w:sz w:val="30"/>
          <w:szCs w:val="30"/>
          <w:spacing w:val="24"/>
        </w:rPr>
        <w:t>罪的，依法追究刑事责任：</w:t>
      </w:r>
    </w:p>
    <w:p>
      <w:pPr>
        <w:ind w:left="815"/>
        <w:spacing w:line="220" w:lineRule="auto"/>
        <w:rPr>
          <w:rFonts w:ascii="FangSong" w:hAnsi="FangSong" w:eastAsia="FangSong" w:cs="FangSong"/>
          <w:sz w:val="30"/>
          <w:szCs w:val="30"/>
        </w:rPr>
      </w:pPr>
      <w:r>
        <w:rPr>
          <w:rFonts w:ascii="FangSong" w:hAnsi="FangSong" w:eastAsia="FangSong" w:cs="FangSong"/>
          <w:sz w:val="30"/>
          <w:szCs w:val="30"/>
          <w:spacing w:val="23"/>
        </w:rPr>
        <w:t>(五)拒绝为患者提供查阅、复制病历资料服务；</w:t>
      </w:r>
    </w:p>
    <w:p>
      <w:pPr>
        <w:ind w:left="6439"/>
        <w:spacing w:before="84"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319"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04"/>
        <w:gridCol w:w="6015"/>
        <w:gridCol w:w="6300"/>
      </w:tblGrid>
      <w:tr>
        <w:trPr>
          <w:trHeight w:val="1089" w:hRule="atLeast"/>
        </w:trPr>
        <w:tc>
          <w:tcPr>
            <w:tcW w:w="1004" w:type="dxa"/>
            <w:vAlign w:val="top"/>
          </w:tcPr>
          <w:p>
            <w:pPr>
              <w:pStyle w:val="TableText"/>
              <w:ind w:left="248"/>
              <w:spacing w:before="49" w:line="225" w:lineRule="auto"/>
              <w:rPr>
                <w:sz w:val="25"/>
                <w:szCs w:val="25"/>
              </w:rPr>
            </w:pPr>
            <w:r>
              <w:rPr>
                <w:sz w:val="25"/>
                <w:szCs w:val="25"/>
                <w:b/>
                <w:bCs/>
                <w:spacing w:val="-6"/>
              </w:rPr>
              <w:t>违法</w:t>
            </w:r>
          </w:p>
          <w:p>
            <w:pPr>
              <w:pStyle w:val="TableText"/>
              <w:ind w:left="248"/>
              <w:spacing w:before="148" w:line="220" w:lineRule="auto"/>
              <w:rPr>
                <w:sz w:val="25"/>
                <w:szCs w:val="25"/>
              </w:rPr>
            </w:pPr>
            <w:r>
              <w:rPr>
                <w:sz w:val="25"/>
                <w:szCs w:val="25"/>
                <w:b/>
                <w:bCs/>
                <w:spacing w:val="-5"/>
              </w:rPr>
              <w:t>程度</w:t>
            </w:r>
          </w:p>
        </w:tc>
        <w:tc>
          <w:tcPr>
            <w:tcW w:w="6015" w:type="dxa"/>
            <w:vAlign w:val="top"/>
          </w:tcPr>
          <w:p>
            <w:pPr>
              <w:pStyle w:val="TableText"/>
              <w:ind w:left="2504"/>
              <w:spacing w:before="292" w:line="220" w:lineRule="auto"/>
              <w:rPr>
                <w:sz w:val="25"/>
                <w:szCs w:val="25"/>
              </w:rPr>
            </w:pPr>
            <w:r>
              <w:rPr>
                <w:sz w:val="25"/>
                <w:szCs w:val="25"/>
                <w:b/>
                <w:bCs/>
                <w:spacing w:val="-5"/>
              </w:rPr>
              <w:t>情节后果</w:t>
            </w:r>
          </w:p>
        </w:tc>
        <w:tc>
          <w:tcPr>
            <w:tcW w:w="6300" w:type="dxa"/>
            <w:vAlign w:val="top"/>
          </w:tcPr>
          <w:p>
            <w:pPr>
              <w:pStyle w:val="TableText"/>
              <w:ind w:left="2649"/>
              <w:spacing w:before="289" w:line="218" w:lineRule="auto"/>
              <w:rPr>
                <w:sz w:val="25"/>
                <w:szCs w:val="25"/>
              </w:rPr>
            </w:pPr>
            <w:r>
              <w:rPr>
                <w:sz w:val="25"/>
                <w:szCs w:val="25"/>
                <w:b/>
                <w:bCs/>
                <w:spacing w:val="-5"/>
              </w:rPr>
              <w:t>裁量幅度</w:t>
            </w:r>
          </w:p>
        </w:tc>
      </w:tr>
      <w:tr>
        <w:trPr>
          <w:trHeight w:val="920" w:hRule="atLeast"/>
        </w:trPr>
        <w:tc>
          <w:tcPr>
            <w:tcW w:w="1004" w:type="dxa"/>
            <w:vAlign w:val="top"/>
          </w:tcPr>
          <w:p>
            <w:pPr>
              <w:spacing w:line="261" w:lineRule="auto"/>
              <w:rPr>
                <w:rFonts w:ascii="Arial"/>
                <w:sz w:val="21"/>
              </w:rPr>
            </w:pPr>
            <w:r/>
          </w:p>
          <w:p>
            <w:pPr>
              <w:pStyle w:val="TableText"/>
              <w:ind w:left="128"/>
              <w:spacing w:before="81" w:line="221" w:lineRule="auto"/>
              <w:rPr>
                <w:sz w:val="25"/>
                <w:szCs w:val="25"/>
              </w:rPr>
            </w:pPr>
            <w:r>
              <w:rPr>
                <w:sz w:val="25"/>
                <w:szCs w:val="25"/>
                <w:b/>
                <w:bCs/>
                <w:spacing w:val="-10"/>
              </w:rPr>
              <w:t>一般</w:t>
            </w:r>
          </w:p>
        </w:tc>
        <w:tc>
          <w:tcPr>
            <w:tcW w:w="6015" w:type="dxa"/>
            <w:vAlign w:val="top"/>
          </w:tcPr>
          <w:p>
            <w:pPr>
              <w:pStyle w:val="TableText"/>
              <w:ind w:left="123" w:hanging="109"/>
              <w:spacing w:before="170" w:line="273" w:lineRule="auto"/>
              <w:rPr>
                <w:sz w:val="25"/>
                <w:szCs w:val="25"/>
              </w:rPr>
            </w:pPr>
            <w:r>
              <w:rPr>
                <w:sz w:val="25"/>
                <w:szCs w:val="25"/>
                <w:b/>
                <w:bCs/>
                <w:spacing w:val="-3"/>
              </w:rPr>
              <w:t>医疗机构及其医务人员拒绝为患者提供查阅、复制</w:t>
            </w:r>
            <w:r>
              <w:rPr>
                <w:sz w:val="25"/>
                <w:szCs w:val="25"/>
                <w:b/>
                <w:bCs/>
                <w:spacing w:val="-4"/>
              </w:rPr>
              <w:t>病历</w:t>
            </w:r>
            <w:r>
              <w:rPr>
                <w:sz w:val="25"/>
                <w:szCs w:val="25"/>
              </w:rPr>
              <w:t xml:space="preserve"> </w:t>
            </w:r>
            <w:r>
              <w:rPr>
                <w:sz w:val="25"/>
                <w:szCs w:val="25"/>
                <w:b/>
                <w:bCs/>
                <w:spacing w:val="-3"/>
              </w:rPr>
              <w:t>资料服务，首次发现的</w:t>
            </w:r>
          </w:p>
        </w:tc>
        <w:tc>
          <w:tcPr>
            <w:tcW w:w="6300" w:type="dxa"/>
            <w:vAlign w:val="top"/>
          </w:tcPr>
          <w:p>
            <w:pPr>
              <w:pStyle w:val="TableText"/>
              <w:ind w:left="118" w:hanging="39"/>
              <w:spacing w:before="170" w:line="273" w:lineRule="auto"/>
              <w:rPr>
                <w:sz w:val="25"/>
                <w:szCs w:val="25"/>
              </w:rPr>
            </w:pPr>
            <w:r>
              <w:rPr>
                <w:sz w:val="25"/>
                <w:szCs w:val="25"/>
                <w:b/>
                <w:bCs/>
                <w:spacing w:val="-5"/>
              </w:rPr>
              <w:t>由县级以上人民政府卫生主管部门责令改正，给予警告，</w:t>
            </w:r>
            <w:r>
              <w:rPr>
                <w:sz w:val="25"/>
                <w:szCs w:val="25"/>
                <w:spacing w:val="18"/>
              </w:rPr>
              <w:t xml:space="preserve"> </w:t>
            </w:r>
            <w:r>
              <w:rPr>
                <w:sz w:val="25"/>
                <w:szCs w:val="25"/>
                <w:b/>
                <w:bCs/>
                <w:spacing w:val="-5"/>
              </w:rPr>
              <w:t>并处1万元以上3万元以下罚款</w:t>
            </w:r>
          </w:p>
        </w:tc>
      </w:tr>
    </w:tbl>
    <w:p>
      <w:pPr>
        <w:pStyle w:val="BodyText"/>
        <w:spacing w:line="248" w:lineRule="auto"/>
        <w:rPr/>
      </w:pPr>
      <w:r/>
    </w:p>
    <w:p>
      <w:pPr>
        <w:pStyle w:val="BodyText"/>
        <w:spacing w:line="248" w:lineRule="auto"/>
        <w:rPr/>
      </w:pPr>
      <w:r/>
    </w:p>
    <w:p>
      <w:pPr>
        <w:pStyle w:val="BodyText"/>
        <w:spacing w:line="249" w:lineRule="auto"/>
        <w:rPr/>
      </w:pPr>
      <w:r/>
    </w:p>
    <w:p>
      <w:pPr>
        <w:ind w:left="6374"/>
        <w:spacing w:before="108"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—393—</w:t>
      </w:r>
    </w:p>
    <w:p>
      <w:pPr>
        <w:spacing w:line="188" w:lineRule="auto"/>
        <w:sectPr>
          <w:footerReference w:type="default" r:id="rId24"/>
          <w:pgSz w:w="16830" w:h="11900"/>
          <w:pgMar w:top="1011" w:right="1350" w:bottom="400" w:left="1405" w:header="0" w:footer="0" w:gutter="0"/>
        </w:sectPr>
        <w:rPr>
          <w:rFonts w:ascii="Times New Roman" w:hAnsi="Times New Roman" w:eastAsia="Times New Roman" w:cs="Times New Roman"/>
          <w:sz w:val="37"/>
          <w:szCs w:val="37"/>
        </w:rPr>
      </w:pPr>
    </w:p>
    <w:p>
      <w:pPr>
        <w:spacing w:before="20"/>
        <w:rPr/>
      </w:pPr>
      <w:r/>
    </w:p>
    <w:p>
      <w:pPr>
        <w:spacing w:before="20"/>
        <w:rPr/>
      </w:pPr>
      <w:r/>
    </w:p>
    <w:p>
      <w:pPr>
        <w:spacing w:before="19"/>
        <w:rPr/>
      </w:pPr>
      <w:r/>
    </w:p>
    <w:tbl>
      <w:tblPr>
        <w:tblStyle w:val="TableNormal"/>
        <w:tblW w:w="133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94"/>
        <w:gridCol w:w="6025"/>
        <w:gridCol w:w="6300"/>
      </w:tblGrid>
      <w:tr>
        <w:trPr>
          <w:trHeight w:val="871" w:hRule="atLeast"/>
        </w:trPr>
        <w:tc>
          <w:tcPr>
            <w:tcW w:w="994" w:type="dxa"/>
            <w:vAlign w:val="top"/>
          </w:tcPr>
          <w:p>
            <w:pPr>
              <w:pStyle w:val="TableText"/>
              <w:ind w:left="104"/>
              <w:spacing w:before="318" w:line="221" w:lineRule="auto"/>
              <w:rPr>
                <w:sz w:val="25"/>
                <w:szCs w:val="25"/>
              </w:rPr>
            </w:pPr>
            <w:bookmarkStart w:name="bookmark1010" w:id="379"/>
            <w:bookmarkEnd w:id="379"/>
            <w:r>
              <w:rPr>
                <w:sz w:val="25"/>
                <w:szCs w:val="25"/>
                <w:spacing w:val="5"/>
              </w:rPr>
              <w:t>较重</w:t>
            </w:r>
          </w:p>
        </w:tc>
        <w:tc>
          <w:tcPr>
            <w:tcW w:w="6025" w:type="dxa"/>
            <w:vAlign w:val="top"/>
          </w:tcPr>
          <w:p>
            <w:pPr>
              <w:pStyle w:val="TableText"/>
              <w:ind w:left="130"/>
              <w:spacing w:before="135" w:line="268" w:lineRule="auto"/>
              <w:rPr>
                <w:sz w:val="25"/>
                <w:szCs w:val="25"/>
              </w:rPr>
            </w:pPr>
            <w:r>
              <w:rPr>
                <w:sz w:val="25"/>
                <w:szCs w:val="25"/>
                <w:spacing w:val="-5"/>
              </w:rPr>
              <w:t>医疗机构及其医务人员拒绝为患者提供查阅、复制病历</w:t>
            </w:r>
            <w:r>
              <w:rPr>
                <w:sz w:val="25"/>
                <w:szCs w:val="25"/>
                <w:spacing w:val="3"/>
              </w:rPr>
              <w:t xml:space="preserve"> </w:t>
            </w:r>
            <w:r>
              <w:rPr>
                <w:sz w:val="25"/>
                <w:szCs w:val="25"/>
              </w:rPr>
              <w:t>资料服务，经处罚再次发现有该行为的</w:t>
            </w:r>
          </w:p>
        </w:tc>
        <w:tc>
          <w:tcPr>
            <w:tcW w:w="6300" w:type="dxa"/>
            <w:vAlign w:val="top"/>
          </w:tcPr>
          <w:p>
            <w:pPr>
              <w:pStyle w:val="TableText"/>
              <w:ind w:left="114" w:hanging="39"/>
              <w:spacing w:before="132" w:line="269" w:lineRule="auto"/>
              <w:rPr>
                <w:sz w:val="25"/>
                <w:szCs w:val="25"/>
              </w:rPr>
            </w:pPr>
            <w:r>
              <w:rPr>
                <w:sz w:val="25"/>
                <w:szCs w:val="25"/>
                <w:spacing w:val="-2"/>
              </w:rPr>
              <w:t>由县级以上人民政府卫生主管部门责令改正，给予警告，</w:t>
            </w:r>
            <w:r>
              <w:rPr>
                <w:sz w:val="25"/>
                <w:szCs w:val="25"/>
                <w:spacing w:val="13"/>
              </w:rPr>
              <w:t xml:space="preserve"> </w:t>
            </w:r>
            <w:r>
              <w:rPr>
                <w:sz w:val="25"/>
                <w:szCs w:val="25"/>
                <w:spacing w:val="-1"/>
              </w:rPr>
              <w:t>并处3万元以上5万元以下罚款</w:t>
            </w:r>
          </w:p>
        </w:tc>
      </w:tr>
      <w:tr>
        <w:trPr>
          <w:trHeight w:val="1308" w:hRule="atLeast"/>
        </w:trPr>
        <w:tc>
          <w:tcPr>
            <w:tcW w:w="994" w:type="dxa"/>
            <w:vAlign w:val="top"/>
          </w:tcPr>
          <w:p>
            <w:pPr>
              <w:spacing w:line="451" w:lineRule="auto"/>
              <w:rPr>
                <w:rFonts w:ascii="Arial"/>
                <w:sz w:val="21"/>
              </w:rPr>
            </w:pPr>
            <w:r/>
          </w:p>
          <w:p>
            <w:pPr>
              <w:pStyle w:val="TableText"/>
              <w:ind w:left="104"/>
              <w:spacing w:before="81" w:line="220" w:lineRule="auto"/>
              <w:rPr>
                <w:sz w:val="25"/>
                <w:szCs w:val="25"/>
              </w:rPr>
            </w:pPr>
            <w:r>
              <w:rPr>
                <w:sz w:val="25"/>
                <w:szCs w:val="25"/>
                <w:spacing w:val="5"/>
              </w:rPr>
              <w:t>严重</w:t>
            </w:r>
          </w:p>
        </w:tc>
        <w:tc>
          <w:tcPr>
            <w:tcW w:w="6025" w:type="dxa"/>
            <w:vAlign w:val="top"/>
          </w:tcPr>
          <w:p>
            <w:pPr>
              <w:spacing w:line="279" w:lineRule="auto"/>
              <w:rPr>
                <w:rFonts w:ascii="Arial"/>
                <w:sz w:val="21"/>
              </w:rPr>
            </w:pPr>
            <w:r/>
          </w:p>
          <w:p>
            <w:pPr>
              <w:pStyle w:val="TableText"/>
              <w:ind w:left="130"/>
              <w:spacing w:before="81" w:line="328" w:lineRule="auto"/>
              <w:rPr>
                <w:sz w:val="25"/>
                <w:szCs w:val="25"/>
              </w:rPr>
            </w:pPr>
            <w:r>
              <w:rPr>
                <w:sz w:val="25"/>
                <w:szCs w:val="25"/>
                <w:spacing w:val="-5"/>
              </w:rPr>
              <w:t>医疗机构及其医务人员拒绝为患者提供查阅、复制病历</w:t>
            </w:r>
            <w:r>
              <w:rPr>
                <w:sz w:val="25"/>
                <w:szCs w:val="25"/>
                <w:spacing w:val="3"/>
              </w:rPr>
              <w:t xml:space="preserve"> </w:t>
            </w:r>
            <w:r>
              <w:rPr>
                <w:sz w:val="25"/>
                <w:szCs w:val="25"/>
                <w:spacing w:val="1"/>
              </w:rPr>
              <w:t>资料服务，情节严重的</w:t>
            </w:r>
          </w:p>
        </w:tc>
        <w:tc>
          <w:tcPr>
            <w:tcW w:w="6300" w:type="dxa"/>
            <w:vAlign w:val="top"/>
          </w:tcPr>
          <w:p>
            <w:pPr>
              <w:pStyle w:val="TableText"/>
              <w:ind w:left="104" w:hanging="29"/>
              <w:spacing w:before="144" w:line="284" w:lineRule="auto"/>
              <w:jc w:val="both"/>
              <w:rPr>
                <w:sz w:val="25"/>
                <w:szCs w:val="25"/>
              </w:rPr>
            </w:pPr>
            <w:r>
              <w:rPr>
                <w:sz w:val="25"/>
                <w:szCs w:val="25"/>
                <w:spacing w:val="-2"/>
              </w:rPr>
              <w:t>由县级以上人民政府卫生主管部门责令改正，给予警告，</w:t>
            </w:r>
            <w:r>
              <w:rPr>
                <w:sz w:val="25"/>
                <w:szCs w:val="25"/>
                <w:spacing w:val="13"/>
              </w:rPr>
              <w:t xml:space="preserve"> </w:t>
            </w:r>
            <w:r>
              <w:rPr>
                <w:sz w:val="25"/>
                <w:szCs w:val="25"/>
                <w:spacing w:val="2"/>
              </w:rPr>
              <w:t>并处5万元罚款，且对有关医务人员可以责令暂停1个月</w:t>
            </w:r>
            <w:r>
              <w:rPr>
                <w:sz w:val="25"/>
                <w:szCs w:val="25"/>
              </w:rPr>
              <w:t xml:space="preserve">  </w:t>
            </w:r>
            <w:r>
              <w:rPr>
                <w:sz w:val="25"/>
                <w:szCs w:val="25"/>
                <w:spacing w:val="-1"/>
              </w:rPr>
              <w:t>以上6个月以下执业活动</w:t>
            </w:r>
          </w:p>
        </w:tc>
      </w:tr>
    </w:tbl>
    <w:p>
      <w:pPr>
        <w:pStyle w:val="BodyText"/>
        <w:spacing w:line="467" w:lineRule="auto"/>
        <w:rPr/>
      </w:pPr>
      <w:r/>
    </w:p>
    <w:p>
      <w:pPr>
        <w:ind w:left="169" w:right="323" w:firstLine="509"/>
        <w:spacing w:before="98" w:line="276" w:lineRule="auto"/>
        <w:rPr>
          <w:rFonts w:ascii="FangSong" w:hAnsi="FangSong" w:eastAsia="FangSong" w:cs="FangSong"/>
          <w:sz w:val="30"/>
          <w:szCs w:val="30"/>
        </w:rPr>
      </w:pPr>
      <w:r>
        <w:rPr>
          <w:rFonts w:ascii="FangSong" w:hAnsi="FangSong" w:eastAsia="FangSong" w:cs="FangSong"/>
          <w:sz w:val="30"/>
          <w:szCs w:val="30"/>
          <w:b/>
          <w:bCs/>
          <w:spacing w:val="20"/>
        </w:rPr>
        <w:t>第三百零九条医疗机构及其医务人员未建立投诉接待制度、设置统一投诉管理部门或者配备</w:t>
      </w:r>
      <w:r>
        <w:rPr>
          <w:rFonts w:ascii="FangSong" w:hAnsi="FangSong" w:eastAsia="FangSong" w:cs="FangSong"/>
          <w:sz w:val="30"/>
          <w:szCs w:val="30"/>
          <w:spacing w:val="20"/>
        </w:rPr>
        <w:t>专</w:t>
      </w:r>
      <w:r>
        <w:rPr>
          <w:rFonts w:ascii="FangSong" w:hAnsi="FangSong" w:eastAsia="FangSong" w:cs="FangSong"/>
          <w:sz w:val="30"/>
          <w:szCs w:val="30"/>
          <w:spacing w:val="15"/>
        </w:rPr>
        <w:t xml:space="preserve"> </w:t>
      </w:r>
      <w:r>
        <w:rPr>
          <w:rFonts w:ascii="FangSong" w:hAnsi="FangSong" w:eastAsia="FangSong" w:cs="FangSong"/>
          <w:sz w:val="30"/>
          <w:szCs w:val="30"/>
          <w:b/>
          <w:bCs/>
          <w:spacing w:val="40"/>
        </w:rPr>
        <w:t>(兼)职人员</w:t>
      </w:r>
    </w:p>
    <w:p>
      <w:pPr>
        <w:ind w:left="675"/>
        <w:spacing w:line="222" w:lineRule="auto"/>
        <w:rPr>
          <w:rFonts w:ascii="FangSong" w:hAnsi="FangSong" w:eastAsia="FangSong" w:cs="FangSong"/>
          <w:sz w:val="30"/>
          <w:szCs w:val="30"/>
        </w:rPr>
      </w:pPr>
      <w:r>
        <w:rPr>
          <w:rFonts w:ascii="FangSong" w:hAnsi="FangSong" w:eastAsia="FangSong" w:cs="FangSong"/>
          <w:sz w:val="30"/>
          <w:szCs w:val="30"/>
          <w:spacing w:val="3"/>
        </w:rPr>
        <w:t>法律依据：</w:t>
      </w:r>
    </w:p>
    <w:p>
      <w:pPr>
        <w:ind w:left="34" w:firstLine="640"/>
        <w:spacing w:before="60" w:line="270" w:lineRule="auto"/>
        <w:rPr>
          <w:rFonts w:ascii="FangSong" w:hAnsi="FangSong" w:eastAsia="FangSong" w:cs="FangSong"/>
          <w:sz w:val="30"/>
          <w:szCs w:val="30"/>
        </w:rPr>
      </w:pPr>
      <w:r>
        <w:rPr>
          <w:rFonts w:ascii="FangSong" w:hAnsi="FangSong" w:eastAsia="FangSong" w:cs="FangSong"/>
          <w:sz w:val="30"/>
          <w:szCs w:val="30"/>
          <w:spacing w:val="17"/>
        </w:rPr>
        <w:t>1.</w:t>
      </w:r>
      <w:r>
        <w:rPr>
          <w:rFonts w:ascii="FangSong" w:hAnsi="FangSong" w:eastAsia="FangSong" w:cs="FangSong"/>
          <w:sz w:val="30"/>
          <w:szCs w:val="30"/>
          <w:spacing w:val="17"/>
        </w:rPr>
        <w:t xml:space="preserve"> </w:t>
      </w:r>
      <w:r>
        <w:rPr>
          <w:rFonts w:ascii="FangSong" w:hAnsi="FangSong" w:eastAsia="FangSong" w:cs="FangSong"/>
          <w:sz w:val="30"/>
          <w:szCs w:val="30"/>
          <w:spacing w:val="17"/>
        </w:rPr>
        <w:t>《医疗纠纷预防和处理条例》第四十七条第(六)项</w:t>
      </w:r>
      <w:r>
        <w:rPr>
          <w:rFonts w:ascii="FangSong" w:hAnsi="FangSong" w:eastAsia="FangSong" w:cs="FangSong"/>
          <w:sz w:val="30"/>
          <w:szCs w:val="30"/>
          <w:spacing w:val="61"/>
        </w:rPr>
        <w:t xml:space="preserve">  </w:t>
      </w:r>
      <w:r>
        <w:rPr>
          <w:rFonts w:ascii="FangSong" w:hAnsi="FangSong" w:eastAsia="FangSong" w:cs="FangSong"/>
          <w:sz w:val="30"/>
          <w:szCs w:val="30"/>
          <w:spacing w:val="17"/>
        </w:rPr>
        <w:t>医疗机构及其医务人员有下列情形之一</w:t>
      </w:r>
      <w:r>
        <w:rPr>
          <w:rFonts w:ascii="FangSong" w:hAnsi="FangSong" w:eastAsia="FangSong" w:cs="FangSong"/>
          <w:sz w:val="30"/>
          <w:szCs w:val="30"/>
        </w:rPr>
        <w:t xml:space="preserve">   </w:t>
      </w:r>
      <w:r>
        <w:rPr>
          <w:rFonts w:ascii="FangSong" w:hAnsi="FangSong" w:eastAsia="FangSong" w:cs="FangSong"/>
          <w:sz w:val="30"/>
          <w:szCs w:val="30"/>
          <w:spacing w:val="23"/>
        </w:rPr>
        <w:t>的，由县级以上人民政府卫生主管部门责令改正，给予警告，并处1</w:t>
      </w:r>
      <w:r>
        <w:rPr>
          <w:rFonts w:ascii="FangSong" w:hAnsi="FangSong" w:eastAsia="FangSong" w:cs="FangSong"/>
          <w:sz w:val="30"/>
          <w:szCs w:val="30"/>
          <w:spacing w:val="22"/>
        </w:rPr>
        <w:t>万元以上5万元以下罚款；情节</w:t>
      </w:r>
      <w:r>
        <w:rPr>
          <w:rFonts w:ascii="FangSong" w:hAnsi="FangSong" w:eastAsia="FangSong" w:cs="FangSong"/>
          <w:sz w:val="30"/>
          <w:szCs w:val="30"/>
        </w:rPr>
        <w:t xml:space="preserve">   </w:t>
      </w:r>
      <w:r>
        <w:rPr>
          <w:rFonts w:ascii="FangSong" w:hAnsi="FangSong" w:eastAsia="FangSong" w:cs="FangSong"/>
          <w:sz w:val="30"/>
          <w:szCs w:val="30"/>
          <w:spacing w:val="16"/>
        </w:rPr>
        <w:t>严重的，对直接负责的主管人员和其他直接责任人员给予或者责令给予降低岗位等级或者撤职的处分，</w:t>
      </w:r>
      <w:r>
        <w:rPr>
          <w:rFonts w:ascii="FangSong" w:hAnsi="FangSong" w:eastAsia="FangSong" w:cs="FangSong"/>
          <w:sz w:val="30"/>
          <w:szCs w:val="30"/>
          <w:spacing w:val="8"/>
        </w:rPr>
        <w:t xml:space="preserve"> </w:t>
      </w:r>
      <w:r>
        <w:rPr>
          <w:rFonts w:ascii="FangSong" w:hAnsi="FangSong" w:eastAsia="FangSong" w:cs="FangSong"/>
          <w:sz w:val="30"/>
          <w:szCs w:val="30"/>
          <w:spacing w:val="25"/>
        </w:rPr>
        <w:t>对有关医务人员可以责令暂停1个月以上6个月以下执业活动；构成犯罪的，依法追究刑事责任：</w:t>
      </w:r>
    </w:p>
    <w:p>
      <w:pPr>
        <w:ind w:left="824"/>
        <w:spacing w:line="220" w:lineRule="auto"/>
        <w:rPr>
          <w:rFonts w:ascii="FangSong" w:hAnsi="FangSong" w:eastAsia="FangSong" w:cs="FangSong"/>
          <w:sz w:val="30"/>
          <w:szCs w:val="30"/>
        </w:rPr>
      </w:pPr>
      <w:r>
        <w:rPr>
          <w:rFonts w:ascii="FangSong" w:hAnsi="FangSong" w:eastAsia="FangSong" w:cs="FangSong"/>
          <w:sz w:val="30"/>
          <w:szCs w:val="30"/>
          <w:spacing w:val="30"/>
        </w:rPr>
        <w:t>(六)未建立投诉接待制度、设置统一投诉管理部门或者配备专(兼)职人员；</w:t>
      </w:r>
    </w:p>
    <w:p>
      <w:pPr>
        <w:ind w:left="34" w:right="289" w:firstLine="640"/>
        <w:spacing w:before="85" w:line="270" w:lineRule="auto"/>
        <w:jc w:val="both"/>
        <w:rPr>
          <w:rFonts w:ascii="FangSong" w:hAnsi="FangSong" w:eastAsia="FangSong" w:cs="FangSong"/>
          <w:sz w:val="30"/>
          <w:szCs w:val="30"/>
        </w:rPr>
      </w:pPr>
      <w:r>
        <w:rPr>
          <w:rFonts w:ascii="FangSong" w:hAnsi="FangSong" w:eastAsia="FangSong" w:cs="FangSong"/>
          <w:sz w:val="30"/>
          <w:szCs w:val="30"/>
          <w:spacing w:val="12"/>
        </w:rPr>
        <w:t>2.</w:t>
      </w:r>
      <w:r>
        <w:rPr>
          <w:rFonts w:ascii="FangSong" w:hAnsi="FangSong" w:eastAsia="FangSong" w:cs="FangSong"/>
          <w:sz w:val="30"/>
          <w:szCs w:val="30"/>
          <w:spacing w:val="12"/>
        </w:rPr>
        <w:t xml:space="preserve"> </w:t>
      </w:r>
      <w:r>
        <w:rPr>
          <w:rFonts w:ascii="FangSong" w:hAnsi="FangSong" w:eastAsia="FangSong" w:cs="FangSong"/>
          <w:sz w:val="30"/>
          <w:szCs w:val="30"/>
          <w:spacing w:val="12"/>
        </w:rPr>
        <w:t>《医疗机构投诉管理办法》第四十三条</w:t>
      </w:r>
      <w:r>
        <w:rPr>
          <w:rFonts w:ascii="FangSong" w:hAnsi="FangSong" w:eastAsia="FangSong" w:cs="FangSong"/>
          <w:sz w:val="30"/>
          <w:szCs w:val="30"/>
          <w:spacing w:val="12"/>
        </w:rPr>
        <w:t xml:space="preserve">  </w:t>
      </w:r>
      <w:r>
        <w:rPr>
          <w:rFonts w:ascii="FangSong" w:hAnsi="FangSong" w:eastAsia="FangSong" w:cs="FangSong"/>
          <w:sz w:val="30"/>
          <w:szCs w:val="30"/>
          <w:spacing w:val="12"/>
        </w:rPr>
        <w:t>医疗机构未建立投诉接待制度、未设置统一投诉管理</w:t>
      </w:r>
      <w:r>
        <w:rPr>
          <w:rFonts w:ascii="FangSong" w:hAnsi="FangSong" w:eastAsia="FangSong" w:cs="FangSong"/>
          <w:sz w:val="30"/>
          <w:szCs w:val="30"/>
          <w:spacing w:val="7"/>
        </w:rPr>
        <w:t xml:space="preserve"> </w:t>
      </w:r>
      <w:r>
        <w:rPr>
          <w:rFonts w:ascii="FangSong" w:hAnsi="FangSong" w:eastAsia="FangSong" w:cs="FangSong"/>
          <w:sz w:val="30"/>
          <w:szCs w:val="30"/>
          <w:spacing w:val="24"/>
        </w:rPr>
        <w:t>部门或者配备专(兼)职人员，或者未按规定向卫生健康主管</w:t>
      </w:r>
      <w:r>
        <w:rPr>
          <w:rFonts w:ascii="FangSong" w:hAnsi="FangSong" w:eastAsia="FangSong" w:cs="FangSong"/>
          <w:sz w:val="30"/>
          <w:szCs w:val="30"/>
          <w:spacing w:val="23"/>
        </w:rPr>
        <w:t>部门报告重大医疗纠纷的，由县级以上</w:t>
      </w:r>
      <w:r>
        <w:rPr>
          <w:rFonts w:ascii="FangSong" w:hAnsi="FangSong" w:eastAsia="FangSong" w:cs="FangSong"/>
          <w:sz w:val="30"/>
          <w:szCs w:val="30"/>
        </w:rPr>
        <w:t xml:space="preserve"> </w:t>
      </w:r>
      <w:r>
        <w:rPr>
          <w:rFonts w:ascii="FangSong" w:hAnsi="FangSong" w:eastAsia="FangSong" w:cs="FangSong"/>
          <w:sz w:val="30"/>
          <w:szCs w:val="30"/>
          <w:spacing w:val="18"/>
        </w:rPr>
        <w:t>地方卫生健康主管部门按照《医疗纠纷预防和处理条例》第四十七条的规定进行处理。</w:t>
      </w:r>
    </w:p>
    <w:p>
      <w:pPr>
        <w:ind w:left="6449"/>
        <w:spacing w:before="1" w:line="220"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0" w:lineRule="auto"/>
        <w:sectPr>
          <w:footerReference w:type="default" r:id="rId358"/>
          <w:pgSz w:w="16830" w:h="11900"/>
          <w:pgMar w:top="1011" w:right="1160" w:bottom="1125" w:left="1405" w:header="0" w:footer="783" w:gutter="0"/>
        </w:sectPr>
        <w:rPr>
          <w:rFonts w:ascii="SimHei" w:hAnsi="SimHei" w:eastAsia="SimHei" w:cs="SimHei"/>
          <w:sz w:val="30"/>
          <w:szCs w:val="30"/>
        </w:rPr>
      </w:pPr>
    </w:p>
    <w:p>
      <w:pPr>
        <w:spacing w:before="20"/>
        <w:rPr/>
      </w:pPr>
      <w:r/>
    </w:p>
    <w:p>
      <w:pPr>
        <w:spacing w:before="20"/>
        <w:rPr/>
      </w:pPr>
      <w:r/>
    </w:p>
    <w:p>
      <w:pPr>
        <w:spacing w:before="19"/>
        <w:rPr/>
      </w:pPr>
      <w:r/>
    </w:p>
    <w:tbl>
      <w:tblPr>
        <w:tblStyle w:val="TableNormal"/>
        <w:tblW w:w="13319" w:type="dxa"/>
        <w:tblInd w:w="29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84"/>
        <w:gridCol w:w="6035"/>
        <w:gridCol w:w="6300"/>
      </w:tblGrid>
      <w:tr>
        <w:trPr>
          <w:trHeight w:val="1093" w:hRule="atLeast"/>
        </w:trPr>
        <w:tc>
          <w:tcPr>
            <w:tcW w:w="984" w:type="dxa"/>
            <w:vAlign w:val="top"/>
          </w:tcPr>
          <w:p>
            <w:pPr>
              <w:pStyle w:val="TableText"/>
              <w:ind w:left="188"/>
              <w:spacing w:before="49" w:line="225" w:lineRule="auto"/>
              <w:rPr>
                <w:sz w:val="25"/>
                <w:szCs w:val="25"/>
              </w:rPr>
            </w:pPr>
            <w:bookmarkStart w:name="bookmark1011" w:id="380"/>
            <w:bookmarkEnd w:id="380"/>
            <w:r>
              <w:rPr>
                <w:sz w:val="25"/>
                <w:szCs w:val="25"/>
                <w:b/>
                <w:bCs/>
                <w:spacing w:val="-6"/>
              </w:rPr>
              <w:t>违法</w:t>
            </w:r>
          </w:p>
          <w:p>
            <w:pPr>
              <w:pStyle w:val="TableText"/>
              <w:ind w:left="188"/>
              <w:spacing w:before="128" w:line="220" w:lineRule="auto"/>
              <w:rPr>
                <w:sz w:val="25"/>
                <w:szCs w:val="25"/>
              </w:rPr>
            </w:pPr>
            <w:r>
              <w:rPr>
                <w:sz w:val="25"/>
                <w:szCs w:val="25"/>
                <w:b/>
                <w:bCs/>
                <w:spacing w:val="-5"/>
              </w:rPr>
              <w:t>程度</w:t>
            </w:r>
          </w:p>
        </w:tc>
        <w:tc>
          <w:tcPr>
            <w:tcW w:w="6035" w:type="dxa"/>
            <w:vAlign w:val="top"/>
          </w:tcPr>
          <w:p>
            <w:pPr>
              <w:pStyle w:val="TableText"/>
              <w:ind w:left="2514"/>
              <w:spacing w:before="282" w:line="220" w:lineRule="auto"/>
              <w:rPr>
                <w:sz w:val="25"/>
                <w:szCs w:val="25"/>
              </w:rPr>
            </w:pPr>
            <w:r>
              <w:rPr>
                <w:sz w:val="25"/>
                <w:szCs w:val="25"/>
                <w:b/>
                <w:bCs/>
                <w:spacing w:val="-5"/>
              </w:rPr>
              <w:t>情节后果</w:t>
            </w:r>
          </w:p>
        </w:tc>
        <w:tc>
          <w:tcPr>
            <w:tcW w:w="6300" w:type="dxa"/>
            <w:vAlign w:val="top"/>
          </w:tcPr>
          <w:p>
            <w:pPr>
              <w:pStyle w:val="TableText"/>
              <w:ind w:left="2649"/>
              <w:spacing w:before="289" w:line="218" w:lineRule="auto"/>
              <w:rPr>
                <w:sz w:val="25"/>
                <w:szCs w:val="25"/>
              </w:rPr>
            </w:pPr>
            <w:r>
              <w:rPr>
                <w:sz w:val="25"/>
                <w:szCs w:val="25"/>
                <w:b/>
                <w:bCs/>
                <w:spacing w:val="-5"/>
              </w:rPr>
              <w:t>裁量幅度</w:t>
            </w:r>
          </w:p>
        </w:tc>
      </w:tr>
      <w:tr>
        <w:trPr>
          <w:trHeight w:val="1158" w:hRule="atLeast"/>
        </w:trPr>
        <w:tc>
          <w:tcPr>
            <w:tcW w:w="984" w:type="dxa"/>
            <w:vAlign w:val="top"/>
          </w:tcPr>
          <w:p>
            <w:pPr>
              <w:spacing w:line="380" w:lineRule="auto"/>
              <w:rPr>
                <w:rFonts w:ascii="Arial"/>
                <w:sz w:val="21"/>
              </w:rPr>
            </w:pPr>
            <w:r/>
          </w:p>
          <w:p>
            <w:pPr>
              <w:pStyle w:val="TableText"/>
              <w:ind w:left="94"/>
              <w:spacing w:before="81" w:line="221" w:lineRule="auto"/>
              <w:rPr>
                <w:sz w:val="25"/>
                <w:szCs w:val="25"/>
              </w:rPr>
            </w:pPr>
            <w:r>
              <w:rPr>
                <w:sz w:val="25"/>
                <w:szCs w:val="25"/>
                <w:spacing w:val="5"/>
              </w:rPr>
              <w:t>一般</w:t>
            </w:r>
          </w:p>
        </w:tc>
        <w:tc>
          <w:tcPr>
            <w:tcW w:w="6035" w:type="dxa"/>
            <w:vAlign w:val="top"/>
          </w:tcPr>
          <w:p>
            <w:pPr>
              <w:pStyle w:val="TableText"/>
              <w:ind w:left="101" w:hanging="90"/>
              <w:spacing w:before="281" w:line="320" w:lineRule="auto"/>
              <w:rPr>
                <w:sz w:val="25"/>
                <w:szCs w:val="25"/>
              </w:rPr>
            </w:pPr>
            <w:r>
              <w:rPr>
                <w:sz w:val="25"/>
                <w:szCs w:val="25"/>
              </w:rPr>
              <w:t>医疗机构及其医务人员未建立投诉接待制度、设置统一</w:t>
            </w:r>
            <w:r>
              <w:rPr>
                <w:sz w:val="25"/>
                <w:szCs w:val="25"/>
                <w:spacing w:val="12"/>
              </w:rPr>
              <w:t xml:space="preserve"> </w:t>
            </w:r>
            <w:r>
              <w:rPr>
                <w:sz w:val="25"/>
                <w:szCs w:val="25"/>
              </w:rPr>
              <w:t>投诉管理部门或者配备专(兼)职人员，首次发现的</w:t>
            </w:r>
          </w:p>
        </w:tc>
        <w:tc>
          <w:tcPr>
            <w:tcW w:w="6300" w:type="dxa"/>
            <w:vAlign w:val="top"/>
          </w:tcPr>
          <w:p>
            <w:pPr>
              <w:pStyle w:val="TableText"/>
              <w:ind w:left="125" w:hanging="49"/>
              <w:spacing w:before="281" w:line="320" w:lineRule="auto"/>
              <w:rPr>
                <w:sz w:val="25"/>
                <w:szCs w:val="25"/>
              </w:rPr>
            </w:pPr>
            <w:r>
              <w:rPr>
                <w:sz w:val="25"/>
                <w:szCs w:val="25"/>
                <w:spacing w:val="-2"/>
              </w:rPr>
              <w:t>由县级以上人民政府卫生主管部门责令改正，给予警告，</w:t>
            </w:r>
            <w:r>
              <w:rPr>
                <w:sz w:val="25"/>
                <w:szCs w:val="25"/>
                <w:spacing w:val="12"/>
              </w:rPr>
              <w:t xml:space="preserve"> </w:t>
            </w:r>
            <w:r>
              <w:rPr>
                <w:sz w:val="25"/>
                <w:szCs w:val="25"/>
                <w:spacing w:val="-1"/>
              </w:rPr>
              <w:t>并处1万元以上3万元以下罚款</w:t>
            </w:r>
          </w:p>
        </w:tc>
      </w:tr>
      <w:tr>
        <w:trPr>
          <w:trHeight w:val="1297" w:hRule="atLeast"/>
        </w:trPr>
        <w:tc>
          <w:tcPr>
            <w:tcW w:w="984" w:type="dxa"/>
            <w:vAlign w:val="top"/>
          </w:tcPr>
          <w:p>
            <w:pPr>
              <w:spacing w:line="453" w:lineRule="auto"/>
              <w:rPr>
                <w:rFonts w:ascii="Arial"/>
                <w:sz w:val="21"/>
              </w:rPr>
            </w:pPr>
            <w:r/>
          </w:p>
          <w:p>
            <w:pPr>
              <w:pStyle w:val="TableText"/>
              <w:ind w:left="94"/>
              <w:spacing w:before="81" w:line="221" w:lineRule="auto"/>
              <w:rPr>
                <w:sz w:val="25"/>
                <w:szCs w:val="25"/>
              </w:rPr>
            </w:pPr>
            <w:r>
              <w:rPr>
                <w:sz w:val="25"/>
                <w:szCs w:val="25"/>
                <w:spacing w:val="5"/>
              </w:rPr>
              <w:t>较重</w:t>
            </w:r>
          </w:p>
        </w:tc>
        <w:tc>
          <w:tcPr>
            <w:tcW w:w="6035" w:type="dxa"/>
            <w:vAlign w:val="top"/>
          </w:tcPr>
          <w:p>
            <w:pPr>
              <w:pStyle w:val="TableText"/>
              <w:ind w:left="130" w:hanging="119"/>
              <w:spacing w:before="141" w:line="282" w:lineRule="auto"/>
              <w:rPr>
                <w:sz w:val="25"/>
                <w:szCs w:val="25"/>
              </w:rPr>
            </w:pPr>
            <w:r>
              <w:rPr>
                <w:sz w:val="25"/>
                <w:szCs w:val="25"/>
              </w:rPr>
              <w:t>医疗机构及其医务人员未建立投诉接待制度、设置统一</w:t>
            </w:r>
            <w:r>
              <w:rPr>
                <w:sz w:val="25"/>
                <w:szCs w:val="25"/>
                <w:spacing w:val="12"/>
              </w:rPr>
              <w:t xml:space="preserve"> </w:t>
            </w:r>
            <w:r>
              <w:rPr>
                <w:sz w:val="25"/>
                <w:szCs w:val="25"/>
              </w:rPr>
              <w:t>投诉管理部门或者配备专(兼)职人员，经处罚再次发</w:t>
            </w:r>
            <w:r>
              <w:rPr>
                <w:sz w:val="25"/>
                <w:szCs w:val="25"/>
                <w:spacing w:val="4"/>
              </w:rPr>
              <w:t xml:space="preserve">  </w:t>
            </w:r>
            <w:r>
              <w:rPr>
                <w:sz w:val="25"/>
                <w:szCs w:val="25"/>
                <w:spacing w:val="3"/>
              </w:rPr>
              <w:t>现有该行为的</w:t>
            </w:r>
          </w:p>
        </w:tc>
        <w:tc>
          <w:tcPr>
            <w:tcW w:w="6300" w:type="dxa"/>
            <w:vAlign w:val="top"/>
          </w:tcPr>
          <w:p>
            <w:pPr>
              <w:spacing w:line="280" w:lineRule="auto"/>
              <w:rPr>
                <w:rFonts w:ascii="Arial"/>
                <w:sz w:val="21"/>
              </w:rPr>
            </w:pPr>
            <w:r/>
          </w:p>
          <w:p>
            <w:pPr>
              <w:pStyle w:val="TableText"/>
              <w:ind w:left="115" w:hanging="39"/>
              <w:spacing w:before="81" w:line="328" w:lineRule="auto"/>
              <w:rPr>
                <w:sz w:val="25"/>
                <w:szCs w:val="25"/>
              </w:rPr>
            </w:pPr>
            <w:r>
              <w:rPr>
                <w:sz w:val="25"/>
                <w:szCs w:val="25"/>
                <w:spacing w:val="-2"/>
              </w:rPr>
              <w:t>由县级以上人民政府卫生主管部门责令改正，给予警告，</w:t>
            </w:r>
            <w:r>
              <w:rPr>
                <w:sz w:val="25"/>
                <w:szCs w:val="25"/>
                <w:spacing w:val="12"/>
              </w:rPr>
              <w:t xml:space="preserve"> </w:t>
            </w:r>
            <w:r>
              <w:rPr>
                <w:sz w:val="25"/>
                <w:szCs w:val="25"/>
                <w:spacing w:val="-1"/>
              </w:rPr>
              <w:t>并处3万元以上5万元以下罚款</w:t>
            </w:r>
          </w:p>
        </w:tc>
      </w:tr>
      <w:tr>
        <w:trPr>
          <w:trHeight w:val="1322" w:hRule="atLeast"/>
        </w:trPr>
        <w:tc>
          <w:tcPr>
            <w:tcW w:w="984" w:type="dxa"/>
            <w:vAlign w:val="top"/>
          </w:tcPr>
          <w:p>
            <w:pPr>
              <w:spacing w:line="464" w:lineRule="auto"/>
              <w:rPr>
                <w:rFonts w:ascii="Arial"/>
                <w:sz w:val="21"/>
              </w:rPr>
            </w:pPr>
            <w:r/>
          </w:p>
          <w:p>
            <w:pPr>
              <w:pStyle w:val="TableText"/>
              <w:ind w:left="94"/>
              <w:spacing w:before="81" w:line="220" w:lineRule="auto"/>
              <w:rPr>
                <w:sz w:val="25"/>
                <w:szCs w:val="25"/>
              </w:rPr>
            </w:pPr>
            <w:r>
              <w:rPr>
                <w:sz w:val="25"/>
                <w:szCs w:val="25"/>
                <w:spacing w:val="5"/>
              </w:rPr>
              <w:t>严重</w:t>
            </w:r>
          </w:p>
        </w:tc>
        <w:tc>
          <w:tcPr>
            <w:tcW w:w="6035" w:type="dxa"/>
            <w:vAlign w:val="top"/>
          </w:tcPr>
          <w:p>
            <w:pPr>
              <w:spacing w:line="303" w:lineRule="auto"/>
              <w:rPr>
                <w:rFonts w:ascii="Arial"/>
                <w:sz w:val="21"/>
              </w:rPr>
            </w:pPr>
            <w:r/>
          </w:p>
          <w:p>
            <w:pPr>
              <w:pStyle w:val="TableText"/>
              <w:ind w:left="101" w:hanging="90"/>
              <w:spacing w:before="81" w:line="335" w:lineRule="auto"/>
              <w:rPr>
                <w:sz w:val="25"/>
                <w:szCs w:val="25"/>
              </w:rPr>
            </w:pPr>
            <w:r>
              <w:rPr>
                <w:sz w:val="25"/>
                <w:szCs w:val="25"/>
              </w:rPr>
              <w:t>医疗机构及其医务人员未建立投诉接待制度、设置统一</w:t>
            </w:r>
            <w:r>
              <w:rPr>
                <w:sz w:val="25"/>
                <w:szCs w:val="25"/>
                <w:spacing w:val="12"/>
              </w:rPr>
              <w:t xml:space="preserve"> </w:t>
            </w:r>
            <w:r>
              <w:rPr>
                <w:sz w:val="25"/>
                <w:szCs w:val="25"/>
              </w:rPr>
              <w:t>投诉管理部门或者配备专(兼)职人员，情节严重的</w:t>
            </w:r>
          </w:p>
        </w:tc>
        <w:tc>
          <w:tcPr>
            <w:tcW w:w="6300" w:type="dxa"/>
            <w:vAlign w:val="top"/>
          </w:tcPr>
          <w:p>
            <w:pPr>
              <w:pStyle w:val="TableText"/>
              <w:ind w:left="125" w:hanging="49"/>
              <w:spacing w:before="166" w:line="282" w:lineRule="auto"/>
              <w:jc w:val="both"/>
              <w:rPr>
                <w:sz w:val="25"/>
                <w:szCs w:val="25"/>
              </w:rPr>
            </w:pPr>
            <w:r>
              <w:rPr>
                <w:sz w:val="25"/>
                <w:szCs w:val="25"/>
                <w:spacing w:val="-2"/>
              </w:rPr>
              <w:t>由县级以上人民政府卫生主管部门责令改正，给予警告，</w:t>
            </w:r>
            <w:r>
              <w:rPr>
                <w:sz w:val="25"/>
                <w:szCs w:val="25"/>
                <w:spacing w:val="12"/>
              </w:rPr>
              <w:t xml:space="preserve"> </w:t>
            </w:r>
            <w:r>
              <w:rPr>
                <w:sz w:val="25"/>
                <w:szCs w:val="25"/>
                <w:spacing w:val="1"/>
              </w:rPr>
              <w:t>并处5万元罚款，且对有关医务人员可以责令暂停1个月</w:t>
            </w:r>
            <w:r>
              <w:rPr>
                <w:sz w:val="25"/>
                <w:szCs w:val="25"/>
                <w:spacing w:val="2"/>
              </w:rPr>
              <w:t xml:space="preserve">  </w:t>
            </w:r>
            <w:r>
              <w:rPr>
                <w:sz w:val="25"/>
                <w:szCs w:val="25"/>
                <w:spacing w:val="-1"/>
              </w:rPr>
              <w:t>以上6个月以下执业活动</w:t>
            </w:r>
          </w:p>
        </w:tc>
      </w:tr>
    </w:tbl>
    <w:p>
      <w:pPr>
        <w:pStyle w:val="BodyText"/>
        <w:spacing w:line="456" w:lineRule="auto"/>
        <w:rPr/>
      </w:pPr>
      <w:r/>
    </w:p>
    <w:p>
      <w:pPr>
        <w:ind w:left="664"/>
        <w:spacing w:before="97" w:line="219" w:lineRule="auto"/>
        <w:rPr>
          <w:rFonts w:ascii="FangSong" w:hAnsi="FangSong" w:eastAsia="FangSong" w:cs="FangSong"/>
          <w:sz w:val="30"/>
          <w:szCs w:val="30"/>
        </w:rPr>
      </w:pPr>
      <w:r>
        <w:rPr>
          <w:rFonts w:ascii="FangSong" w:hAnsi="FangSong" w:eastAsia="FangSong" w:cs="FangSong"/>
          <w:sz w:val="30"/>
          <w:szCs w:val="30"/>
          <w:b/>
          <w:bCs/>
          <w:spacing w:val="21"/>
        </w:rPr>
        <w:t>第三百一十条医疗机构及其医务人员未按规定封存、保管、启封病历资料和现场实物</w:t>
      </w:r>
    </w:p>
    <w:p>
      <w:pPr>
        <w:ind w:left="639"/>
        <w:spacing w:before="73"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firstLine="619"/>
        <w:spacing w:before="94" w:line="272" w:lineRule="auto"/>
        <w:jc w:val="both"/>
        <w:rPr>
          <w:rFonts w:ascii="FangSong" w:hAnsi="FangSong" w:eastAsia="FangSong" w:cs="FangSong"/>
          <w:sz w:val="30"/>
          <w:szCs w:val="30"/>
        </w:rPr>
      </w:pPr>
      <w:r>
        <w:rPr>
          <w:rFonts w:ascii="FangSong" w:hAnsi="FangSong" w:eastAsia="FangSong" w:cs="FangSong"/>
          <w:sz w:val="30"/>
          <w:szCs w:val="30"/>
          <w:spacing w:val="18"/>
        </w:rPr>
        <w:t>《医疗纠纷预防和处理条例》第四十七条第(七)项</w:t>
      </w:r>
      <w:r>
        <w:rPr>
          <w:rFonts w:ascii="FangSong" w:hAnsi="FangSong" w:eastAsia="FangSong" w:cs="FangSong"/>
          <w:sz w:val="30"/>
          <w:szCs w:val="30"/>
          <w:spacing w:val="18"/>
        </w:rPr>
        <w:t xml:space="preserve">  </w:t>
      </w:r>
      <w:r>
        <w:rPr>
          <w:rFonts w:ascii="FangSong" w:hAnsi="FangSong" w:eastAsia="FangSong" w:cs="FangSong"/>
          <w:sz w:val="30"/>
          <w:szCs w:val="30"/>
          <w:spacing w:val="18"/>
        </w:rPr>
        <w:t>医疗机构及其医务人员有下列情形之一的，</w:t>
      </w:r>
      <w:r>
        <w:rPr>
          <w:rFonts w:ascii="FangSong" w:hAnsi="FangSong" w:eastAsia="FangSong" w:cs="FangSong"/>
          <w:sz w:val="30"/>
          <w:szCs w:val="30"/>
          <w:spacing w:val="16"/>
        </w:rPr>
        <w:t xml:space="preserve"> </w:t>
      </w:r>
      <w:r>
        <w:rPr>
          <w:rFonts w:ascii="FangSong" w:hAnsi="FangSong" w:eastAsia="FangSong" w:cs="FangSong"/>
          <w:sz w:val="30"/>
          <w:szCs w:val="30"/>
          <w:spacing w:val="23"/>
        </w:rPr>
        <w:t>由县级以上人民政府卫生主管部门责令改正，给予警告，并处1万元以上5万元以下罚</w:t>
      </w:r>
      <w:r>
        <w:rPr>
          <w:rFonts w:ascii="FangSong" w:hAnsi="FangSong" w:eastAsia="FangSong" w:cs="FangSong"/>
          <w:sz w:val="30"/>
          <w:szCs w:val="30"/>
          <w:spacing w:val="22"/>
        </w:rPr>
        <w:t>款；情节严重</w:t>
      </w:r>
      <w:r>
        <w:rPr>
          <w:rFonts w:ascii="FangSong" w:hAnsi="FangSong" w:eastAsia="FangSong" w:cs="FangSong"/>
          <w:sz w:val="30"/>
          <w:szCs w:val="30"/>
        </w:rPr>
        <w:t xml:space="preserve"> </w:t>
      </w:r>
      <w:r>
        <w:rPr>
          <w:rFonts w:ascii="FangSong" w:hAnsi="FangSong" w:eastAsia="FangSong" w:cs="FangSong"/>
          <w:sz w:val="30"/>
          <w:szCs w:val="30"/>
          <w:spacing w:val="16"/>
        </w:rPr>
        <w:t>的，对直接负责的主管人员和其他直接责任人员给予或者责令给予降低岗位等级或者撤职的处分，对</w:t>
      </w:r>
      <w:r>
        <w:rPr>
          <w:rFonts w:ascii="FangSong" w:hAnsi="FangSong" w:eastAsia="FangSong" w:cs="FangSong"/>
          <w:sz w:val="30"/>
          <w:szCs w:val="30"/>
          <w:spacing w:val="16"/>
        </w:rPr>
        <w:t xml:space="preserve"> </w:t>
      </w:r>
      <w:r>
        <w:rPr>
          <w:rFonts w:ascii="FangSong" w:hAnsi="FangSong" w:eastAsia="FangSong" w:cs="FangSong"/>
          <w:sz w:val="30"/>
          <w:szCs w:val="30"/>
          <w:spacing w:val="25"/>
        </w:rPr>
        <w:t>有关医务人员可以责令暂停1个月以上6个月以下执业活动；构成犯罪的，依法追究刑事责</w:t>
      </w:r>
      <w:r>
        <w:rPr>
          <w:rFonts w:ascii="FangSong" w:hAnsi="FangSong" w:eastAsia="FangSong" w:cs="FangSong"/>
          <w:sz w:val="30"/>
          <w:szCs w:val="30"/>
          <w:spacing w:val="24"/>
        </w:rPr>
        <w:t>任：</w:t>
      </w:r>
    </w:p>
    <w:p>
      <w:pPr>
        <w:spacing w:line="272" w:lineRule="auto"/>
        <w:sectPr>
          <w:footerReference w:type="default" r:id="rId359"/>
          <w:pgSz w:w="16830" w:h="11900"/>
          <w:pgMar w:top="1011" w:right="1350" w:bottom="1108" w:left="1450" w:header="0" w:footer="775" w:gutter="0"/>
        </w:sectPr>
        <w:rPr>
          <w:rFonts w:ascii="FangSong" w:hAnsi="FangSong" w:eastAsia="FangSong" w:cs="FangSong"/>
          <w:sz w:val="30"/>
          <w:szCs w:val="30"/>
        </w:rPr>
      </w:pPr>
    </w:p>
    <w:p>
      <w:pPr>
        <w:pStyle w:val="BodyText"/>
        <w:spacing w:line="260" w:lineRule="auto"/>
        <w:rPr/>
      </w:pPr>
      <w:r/>
    </w:p>
    <w:p>
      <w:pPr>
        <w:pStyle w:val="BodyText"/>
        <w:spacing w:line="261" w:lineRule="auto"/>
        <w:rPr/>
      </w:pPr>
      <w:r/>
    </w:p>
    <w:p>
      <w:pPr>
        <w:pStyle w:val="BodyText"/>
        <w:spacing w:line="261" w:lineRule="auto"/>
        <w:rPr/>
      </w:pPr>
      <w:r/>
    </w:p>
    <w:p>
      <w:pPr>
        <w:ind w:left="6439" w:right="5660" w:hanging="5624"/>
        <w:spacing w:before="98" w:line="251" w:lineRule="auto"/>
        <w:rPr>
          <w:rFonts w:ascii="SimSun" w:hAnsi="SimSun" w:eastAsia="SimSun" w:cs="SimSun"/>
          <w:sz w:val="28"/>
          <w:szCs w:val="28"/>
        </w:rPr>
      </w:pPr>
      <w:bookmarkStart w:name="bookmark1012" w:id="381"/>
      <w:bookmarkEnd w:id="381"/>
      <w:r>
        <w:rPr>
          <w:rFonts w:ascii="FangSong" w:hAnsi="FangSong" w:eastAsia="FangSong" w:cs="FangSong"/>
          <w:sz w:val="30"/>
          <w:szCs w:val="30"/>
          <w:spacing w:val="22"/>
        </w:rPr>
        <w:t>(七)未按规定封存、保管、启封病历资料和现场实物；</w:t>
      </w:r>
      <w:r>
        <w:rPr>
          <w:rFonts w:ascii="FangSong" w:hAnsi="FangSong" w:eastAsia="FangSong" w:cs="FangSong"/>
          <w:sz w:val="30"/>
          <w:szCs w:val="30"/>
          <w:spacing w:val="8"/>
        </w:rPr>
        <w:t xml:space="preserve"> </w:t>
      </w:r>
      <w:r>
        <w:rPr>
          <w:rFonts w:ascii="SimSun" w:hAnsi="SimSun" w:eastAsia="SimSun" w:cs="SimSun"/>
          <w:sz w:val="28"/>
          <w:szCs w:val="28"/>
          <w:b/>
          <w:bCs/>
          <w:spacing w:val="-6"/>
        </w:rPr>
        <w:t>裁量标准</w:t>
      </w:r>
    </w:p>
    <w:tbl>
      <w:tblPr>
        <w:tblStyle w:val="TableNormal"/>
        <w:tblW w:w="133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94"/>
        <w:gridCol w:w="6026"/>
        <w:gridCol w:w="6290"/>
      </w:tblGrid>
      <w:tr>
        <w:trPr>
          <w:trHeight w:val="1062" w:hRule="atLeast"/>
        </w:trPr>
        <w:tc>
          <w:tcPr>
            <w:tcW w:w="994" w:type="dxa"/>
            <w:vAlign w:val="top"/>
          </w:tcPr>
          <w:p>
            <w:pPr>
              <w:pStyle w:val="TableText"/>
              <w:ind w:left="207" w:right="284" w:hanging="29"/>
              <w:spacing w:before="70" w:line="322" w:lineRule="auto"/>
              <w:rPr>
                <w:sz w:val="25"/>
                <w:szCs w:val="25"/>
              </w:rPr>
            </w:pPr>
            <w:r>
              <w:rPr>
                <w:sz w:val="25"/>
                <w:szCs w:val="25"/>
                <w:b/>
                <w:bCs/>
                <w:spacing w:val="-8"/>
              </w:rPr>
              <w:t>违法</w:t>
            </w:r>
            <w:r>
              <w:rPr>
                <w:sz w:val="25"/>
                <w:szCs w:val="25"/>
              </w:rPr>
              <w:t xml:space="preserve"> </w:t>
            </w:r>
            <w:r>
              <w:rPr>
                <w:sz w:val="25"/>
                <w:szCs w:val="25"/>
                <w:b/>
                <w:bCs/>
                <w:spacing w:val="-7"/>
              </w:rPr>
              <w:t>程度</w:t>
            </w:r>
          </w:p>
        </w:tc>
        <w:tc>
          <w:tcPr>
            <w:tcW w:w="6026" w:type="dxa"/>
            <w:vAlign w:val="top"/>
          </w:tcPr>
          <w:p>
            <w:pPr>
              <w:spacing w:line="329" w:lineRule="auto"/>
              <w:rPr>
                <w:rFonts w:ascii="Arial"/>
                <w:sz w:val="21"/>
              </w:rPr>
            </w:pPr>
            <w:r/>
          </w:p>
          <w:p>
            <w:pPr>
              <w:pStyle w:val="TableText"/>
              <w:ind w:left="2504"/>
              <w:spacing w:before="81" w:line="220" w:lineRule="auto"/>
              <w:rPr>
                <w:sz w:val="25"/>
                <w:szCs w:val="25"/>
              </w:rPr>
            </w:pPr>
            <w:r>
              <w:rPr>
                <w:sz w:val="25"/>
                <w:szCs w:val="25"/>
                <w:b/>
                <w:bCs/>
                <w:spacing w:val="-5"/>
              </w:rPr>
              <w:t>情节后果</w:t>
            </w:r>
          </w:p>
        </w:tc>
        <w:tc>
          <w:tcPr>
            <w:tcW w:w="6290" w:type="dxa"/>
            <w:vAlign w:val="top"/>
          </w:tcPr>
          <w:p>
            <w:pPr>
              <w:spacing w:line="326" w:lineRule="auto"/>
              <w:rPr>
                <w:rFonts w:ascii="Arial"/>
                <w:sz w:val="21"/>
              </w:rPr>
            </w:pPr>
            <w:r/>
          </w:p>
          <w:p>
            <w:pPr>
              <w:pStyle w:val="TableText"/>
              <w:ind w:left="2638"/>
              <w:spacing w:before="81" w:line="218" w:lineRule="auto"/>
              <w:rPr>
                <w:sz w:val="25"/>
                <w:szCs w:val="25"/>
              </w:rPr>
            </w:pPr>
            <w:r>
              <w:rPr>
                <w:sz w:val="25"/>
                <w:szCs w:val="25"/>
                <w:b/>
                <w:bCs/>
                <w:spacing w:val="-5"/>
              </w:rPr>
              <w:t>裁量幅度</w:t>
            </w:r>
          </w:p>
        </w:tc>
      </w:tr>
      <w:tr>
        <w:trPr>
          <w:trHeight w:val="898" w:hRule="atLeast"/>
        </w:trPr>
        <w:tc>
          <w:tcPr>
            <w:tcW w:w="994" w:type="dxa"/>
            <w:vAlign w:val="top"/>
          </w:tcPr>
          <w:p>
            <w:pPr>
              <w:spacing w:line="301" w:lineRule="auto"/>
              <w:rPr>
                <w:rFonts w:ascii="Arial"/>
                <w:sz w:val="21"/>
              </w:rPr>
            </w:pPr>
            <w:r/>
          </w:p>
          <w:p>
            <w:pPr>
              <w:pStyle w:val="TableText"/>
              <w:ind w:left="105"/>
              <w:spacing w:before="81" w:line="221" w:lineRule="auto"/>
              <w:rPr>
                <w:sz w:val="25"/>
                <w:szCs w:val="25"/>
              </w:rPr>
            </w:pPr>
            <w:r>
              <w:rPr>
                <w:sz w:val="25"/>
                <w:szCs w:val="25"/>
                <w:spacing w:val="5"/>
              </w:rPr>
              <w:t>一般</w:t>
            </w:r>
          </w:p>
        </w:tc>
        <w:tc>
          <w:tcPr>
            <w:tcW w:w="6026" w:type="dxa"/>
            <w:vAlign w:val="top"/>
          </w:tcPr>
          <w:p>
            <w:pPr>
              <w:pStyle w:val="TableText"/>
              <w:ind w:left="131" w:hanging="130"/>
              <w:spacing w:before="172" w:line="264" w:lineRule="auto"/>
              <w:rPr>
                <w:sz w:val="25"/>
                <w:szCs w:val="25"/>
              </w:rPr>
            </w:pPr>
            <w:r>
              <w:rPr>
                <w:sz w:val="25"/>
                <w:szCs w:val="25"/>
              </w:rPr>
              <w:t>医疗机构及其医务人员未按规定封存、保管、启封病历</w:t>
            </w:r>
            <w:r>
              <w:rPr>
                <w:sz w:val="25"/>
                <w:szCs w:val="25"/>
                <w:spacing w:val="13"/>
              </w:rPr>
              <w:t xml:space="preserve"> </w:t>
            </w:r>
            <w:r>
              <w:rPr>
                <w:sz w:val="25"/>
                <w:szCs w:val="25"/>
                <w:spacing w:val="1"/>
              </w:rPr>
              <w:t>资料和现场实物，首次发现的</w:t>
            </w:r>
          </w:p>
        </w:tc>
        <w:tc>
          <w:tcPr>
            <w:tcW w:w="6290" w:type="dxa"/>
            <w:vAlign w:val="top"/>
          </w:tcPr>
          <w:p>
            <w:pPr>
              <w:pStyle w:val="TableText"/>
              <w:ind w:left="114" w:hanging="39"/>
              <w:spacing w:before="170" w:line="265" w:lineRule="auto"/>
              <w:rPr>
                <w:sz w:val="25"/>
                <w:szCs w:val="25"/>
              </w:rPr>
            </w:pPr>
            <w:r>
              <w:rPr>
                <w:sz w:val="25"/>
                <w:szCs w:val="25"/>
                <w:spacing w:val="-2"/>
              </w:rPr>
              <w:t>由县级以上人民政府卫生主管部门责令改正，给予警告，</w:t>
            </w:r>
            <w:r>
              <w:rPr>
                <w:sz w:val="25"/>
                <w:szCs w:val="25"/>
                <w:spacing w:val="3"/>
              </w:rPr>
              <w:t xml:space="preserve"> </w:t>
            </w:r>
            <w:r>
              <w:rPr>
                <w:sz w:val="25"/>
                <w:szCs w:val="25"/>
                <w:spacing w:val="-1"/>
              </w:rPr>
              <w:t>并处1万元以上3万元以下罚款</w:t>
            </w:r>
          </w:p>
        </w:tc>
      </w:tr>
      <w:tr>
        <w:trPr>
          <w:trHeight w:val="957" w:hRule="atLeast"/>
        </w:trPr>
        <w:tc>
          <w:tcPr>
            <w:tcW w:w="994" w:type="dxa"/>
            <w:vAlign w:val="top"/>
          </w:tcPr>
          <w:p>
            <w:pPr>
              <w:spacing w:line="285" w:lineRule="auto"/>
              <w:rPr>
                <w:rFonts w:ascii="Arial"/>
                <w:sz w:val="21"/>
              </w:rPr>
            </w:pPr>
            <w:r/>
          </w:p>
          <w:p>
            <w:pPr>
              <w:pStyle w:val="TableText"/>
              <w:ind w:left="105"/>
              <w:spacing w:before="81" w:line="221" w:lineRule="auto"/>
              <w:rPr>
                <w:sz w:val="25"/>
                <w:szCs w:val="25"/>
              </w:rPr>
            </w:pPr>
            <w:r>
              <w:rPr>
                <w:sz w:val="25"/>
                <w:szCs w:val="25"/>
                <w:spacing w:val="5"/>
              </w:rPr>
              <w:t>较重</w:t>
            </w:r>
          </w:p>
        </w:tc>
        <w:tc>
          <w:tcPr>
            <w:tcW w:w="6026" w:type="dxa"/>
            <w:vAlign w:val="top"/>
          </w:tcPr>
          <w:p>
            <w:pPr>
              <w:pStyle w:val="TableText"/>
              <w:ind w:left="131" w:hanging="130"/>
              <w:spacing w:before="175" w:line="285" w:lineRule="auto"/>
              <w:rPr>
                <w:sz w:val="25"/>
                <w:szCs w:val="25"/>
              </w:rPr>
            </w:pPr>
            <w:r>
              <w:rPr>
                <w:sz w:val="25"/>
                <w:szCs w:val="25"/>
              </w:rPr>
              <w:t>医疗机构及其医务人员未按规定封存、保管、启封病历</w:t>
            </w:r>
            <w:r>
              <w:rPr>
                <w:sz w:val="25"/>
                <w:szCs w:val="25"/>
                <w:spacing w:val="13"/>
              </w:rPr>
              <w:t xml:space="preserve"> </w:t>
            </w:r>
            <w:r>
              <w:rPr>
                <w:sz w:val="25"/>
                <w:szCs w:val="25"/>
              </w:rPr>
              <w:t>资料和现场实物，经处罚再次发现有该行为的</w:t>
            </w:r>
          </w:p>
        </w:tc>
        <w:tc>
          <w:tcPr>
            <w:tcW w:w="6290" w:type="dxa"/>
            <w:vAlign w:val="top"/>
          </w:tcPr>
          <w:p>
            <w:pPr>
              <w:pStyle w:val="TableText"/>
              <w:ind w:left="114" w:hanging="39"/>
              <w:spacing w:before="172" w:line="286" w:lineRule="auto"/>
              <w:rPr>
                <w:sz w:val="25"/>
                <w:szCs w:val="25"/>
              </w:rPr>
            </w:pPr>
            <w:r>
              <w:rPr>
                <w:sz w:val="25"/>
                <w:szCs w:val="25"/>
                <w:spacing w:val="-2"/>
              </w:rPr>
              <w:t>由县级以上人民政府卫生主管部门责令改正，给予警告，</w:t>
            </w:r>
            <w:r>
              <w:rPr>
                <w:sz w:val="25"/>
                <w:szCs w:val="25"/>
                <w:spacing w:val="3"/>
              </w:rPr>
              <w:t xml:space="preserve"> </w:t>
            </w:r>
            <w:r>
              <w:rPr>
                <w:sz w:val="25"/>
                <w:szCs w:val="25"/>
                <w:spacing w:val="-1"/>
              </w:rPr>
              <w:t>并处3万元以上5万元以下罚款</w:t>
            </w:r>
          </w:p>
        </w:tc>
      </w:tr>
      <w:tr>
        <w:trPr>
          <w:trHeight w:val="1332" w:hRule="atLeast"/>
        </w:trPr>
        <w:tc>
          <w:tcPr>
            <w:tcW w:w="994" w:type="dxa"/>
            <w:vAlign w:val="top"/>
          </w:tcPr>
          <w:p>
            <w:pPr>
              <w:spacing w:line="465" w:lineRule="auto"/>
              <w:rPr>
                <w:rFonts w:ascii="Arial"/>
                <w:sz w:val="21"/>
              </w:rPr>
            </w:pPr>
            <w:r/>
          </w:p>
          <w:p>
            <w:pPr>
              <w:pStyle w:val="TableText"/>
              <w:ind w:left="105"/>
              <w:spacing w:before="81" w:line="220" w:lineRule="auto"/>
              <w:rPr>
                <w:sz w:val="25"/>
                <w:szCs w:val="25"/>
              </w:rPr>
            </w:pPr>
            <w:r>
              <w:rPr>
                <w:sz w:val="25"/>
                <w:szCs w:val="25"/>
                <w:color w:val="405050"/>
                <w:spacing w:val="5"/>
              </w:rPr>
              <w:t>严重</w:t>
            </w:r>
          </w:p>
        </w:tc>
        <w:tc>
          <w:tcPr>
            <w:tcW w:w="6026" w:type="dxa"/>
            <w:vAlign w:val="top"/>
          </w:tcPr>
          <w:p>
            <w:pPr>
              <w:spacing w:line="293" w:lineRule="auto"/>
              <w:rPr>
                <w:rFonts w:ascii="Arial"/>
                <w:sz w:val="21"/>
              </w:rPr>
            </w:pPr>
            <w:r/>
          </w:p>
          <w:p>
            <w:pPr>
              <w:pStyle w:val="TableText"/>
              <w:ind w:left="111" w:hanging="110"/>
              <w:spacing w:before="81" w:line="329" w:lineRule="auto"/>
              <w:rPr>
                <w:sz w:val="25"/>
                <w:szCs w:val="25"/>
              </w:rPr>
            </w:pPr>
            <w:r>
              <w:rPr>
                <w:sz w:val="25"/>
                <w:szCs w:val="25"/>
              </w:rPr>
              <w:t>医疗机构及其医务人员未按规定封存、保管、启封病历</w:t>
            </w:r>
            <w:r>
              <w:rPr>
                <w:sz w:val="25"/>
                <w:szCs w:val="25"/>
                <w:spacing w:val="13"/>
              </w:rPr>
              <w:t xml:space="preserve"> </w:t>
            </w:r>
            <w:r>
              <w:rPr>
                <w:sz w:val="25"/>
                <w:szCs w:val="25"/>
                <w:spacing w:val="1"/>
              </w:rPr>
              <w:t>资料和现场实物，情节严重的</w:t>
            </w:r>
          </w:p>
        </w:tc>
        <w:tc>
          <w:tcPr>
            <w:tcW w:w="6290" w:type="dxa"/>
            <w:vAlign w:val="top"/>
          </w:tcPr>
          <w:p>
            <w:pPr>
              <w:pStyle w:val="TableText"/>
              <w:ind w:left="104" w:hanging="29"/>
              <w:spacing w:before="156" w:line="287" w:lineRule="auto"/>
              <w:jc w:val="both"/>
              <w:rPr>
                <w:sz w:val="25"/>
                <w:szCs w:val="25"/>
              </w:rPr>
            </w:pPr>
            <w:r>
              <w:rPr>
                <w:sz w:val="25"/>
                <w:szCs w:val="25"/>
                <w:spacing w:val="-2"/>
              </w:rPr>
              <w:t>由县级以上人民政府卫生主管部门责令改正，给予警告，</w:t>
            </w:r>
            <w:r>
              <w:rPr>
                <w:sz w:val="25"/>
                <w:szCs w:val="25"/>
                <w:spacing w:val="3"/>
              </w:rPr>
              <w:t xml:space="preserve"> </w:t>
            </w:r>
            <w:r>
              <w:rPr>
                <w:sz w:val="25"/>
                <w:szCs w:val="25"/>
                <w:spacing w:val="1"/>
              </w:rPr>
              <w:t>并处5万元罚款，且对有关医务人员可以责令暂停1个月</w:t>
            </w:r>
            <w:r>
              <w:rPr>
                <w:sz w:val="25"/>
                <w:szCs w:val="25"/>
                <w:spacing w:val="7"/>
              </w:rPr>
              <w:t xml:space="preserve">  </w:t>
            </w:r>
            <w:r>
              <w:rPr>
                <w:sz w:val="25"/>
                <w:szCs w:val="25"/>
                <w:spacing w:val="-1"/>
              </w:rPr>
              <w:t>以上6个月以下执业活动</w:t>
            </w:r>
          </w:p>
        </w:tc>
      </w:tr>
    </w:tbl>
    <w:p>
      <w:pPr>
        <w:pStyle w:val="BodyText"/>
        <w:spacing w:line="417" w:lineRule="auto"/>
        <w:rPr/>
      </w:pPr>
      <w:r/>
    </w:p>
    <w:p>
      <w:pPr>
        <w:ind w:left="669"/>
        <w:spacing w:before="97" w:line="220" w:lineRule="auto"/>
        <w:rPr>
          <w:rFonts w:ascii="FangSong" w:hAnsi="FangSong" w:eastAsia="FangSong" w:cs="FangSong"/>
          <w:sz w:val="30"/>
          <w:szCs w:val="30"/>
        </w:rPr>
      </w:pPr>
      <w:r>
        <w:rPr>
          <w:rFonts w:ascii="FangSong" w:hAnsi="FangSong" w:eastAsia="FangSong" w:cs="FangSong"/>
          <w:sz w:val="30"/>
          <w:szCs w:val="30"/>
          <w:b/>
          <w:bCs/>
          <w:spacing w:val="22"/>
        </w:rPr>
        <w:t>第三百一十一条医疗机构及其医务人员未按规定向卫生主管部门报</w:t>
      </w:r>
      <w:r>
        <w:rPr>
          <w:rFonts w:ascii="FangSong" w:hAnsi="FangSong" w:eastAsia="FangSong" w:cs="FangSong"/>
          <w:sz w:val="30"/>
          <w:szCs w:val="30"/>
          <w:b/>
          <w:bCs/>
          <w:spacing w:val="21"/>
        </w:rPr>
        <w:t>告重大医疗纠纷</w:t>
      </w:r>
    </w:p>
    <w:p>
      <w:pPr>
        <w:ind w:left="665"/>
        <w:spacing w:before="9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firstLine="640"/>
        <w:spacing w:before="94" w:line="272" w:lineRule="auto"/>
        <w:jc w:val="both"/>
        <w:rPr>
          <w:rFonts w:ascii="FangSong" w:hAnsi="FangSong" w:eastAsia="FangSong" w:cs="FangSong"/>
          <w:sz w:val="30"/>
          <w:szCs w:val="30"/>
        </w:rPr>
      </w:pPr>
      <w:r>
        <w:rPr>
          <w:rFonts w:ascii="FangSong" w:hAnsi="FangSong" w:eastAsia="FangSong" w:cs="FangSong"/>
          <w:sz w:val="30"/>
          <w:szCs w:val="30"/>
          <w:spacing w:val="17"/>
        </w:rPr>
        <w:t>1.</w:t>
      </w:r>
      <w:r>
        <w:rPr>
          <w:rFonts w:ascii="FangSong" w:hAnsi="FangSong" w:eastAsia="FangSong" w:cs="FangSong"/>
          <w:sz w:val="30"/>
          <w:szCs w:val="30"/>
          <w:spacing w:val="17"/>
        </w:rPr>
        <w:t xml:space="preserve"> </w:t>
      </w:r>
      <w:r>
        <w:rPr>
          <w:rFonts w:ascii="FangSong" w:hAnsi="FangSong" w:eastAsia="FangSong" w:cs="FangSong"/>
          <w:sz w:val="30"/>
          <w:szCs w:val="30"/>
          <w:spacing w:val="17"/>
        </w:rPr>
        <w:t>《医疗纠纷预防和处理条例》第四十七条第(八)项</w:t>
      </w:r>
      <w:r>
        <w:rPr>
          <w:rFonts w:ascii="FangSong" w:hAnsi="FangSong" w:eastAsia="FangSong" w:cs="FangSong"/>
          <w:sz w:val="30"/>
          <w:szCs w:val="30"/>
          <w:spacing w:val="56"/>
        </w:rPr>
        <w:t xml:space="preserve">  </w:t>
      </w:r>
      <w:r>
        <w:rPr>
          <w:rFonts w:ascii="FangSong" w:hAnsi="FangSong" w:eastAsia="FangSong" w:cs="FangSong"/>
          <w:sz w:val="30"/>
          <w:szCs w:val="30"/>
          <w:spacing w:val="17"/>
        </w:rPr>
        <w:t>医疗机构及其医务人员有下列情形之一</w:t>
      </w:r>
      <w:r>
        <w:rPr>
          <w:rFonts w:ascii="FangSong" w:hAnsi="FangSong" w:eastAsia="FangSong" w:cs="FangSong"/>
          <w:sz w:val="30"/>
          <w:szCs w:val="30"/>
        </w:rPr>
        <w:t xml:space="preserve">  </w:t>
      </w:r>
      <w:r>
        <w:rPr>
          <w:rFonts w:ascii="FangSong" w:hAnsi="FangSong" w:eastAsia="FangSong" w:cs="FangSong"/>
          <w:sz w:val="30"/>
          <w:szCs w:val="30"/>
          <w:spacing w:val="23"/>
        </w:rPr>
        <w:t>的，由县级以上人民政府卫生主管部门责令改正，给予警告，并处1万元以上5万元以下罚款；情节</w:t>
      </w:r>
      <w:r>
        <w:rPr>
          <w:rFonts w:ascii="FangSong" w:hAnsi="FangSong" w:eastAsia="FangSong" w:cs="FangSong"/>
          <w:sz w:val="30"/>
          <w:szCs w:val="30"/>
          <w:spacing w:val="2"/>
        </w:rPr>
        <w:t xml:space="preserve">   </w:t>
      </w:r>
      <w:r>
        <w:rPr>
          <w:rFonts w:ascii="FangSong" w:hAnsi="FangSong" w:eastAsia="FangSong" w:cs="FangSong"/>
          <w:sz w:val="30"/>
          <w:szCs w:val="30"/>
          <w:spacing w:val="16"/>
        </w:rPr>
        <w:t>严重的，对直接负责的主管人员和其他直接责任人员给予或者责令给予降低岗</w:t>
      </w:r>
      <w:r>
        <w:rPr>
          <w:rFonts w:ascii="FangSong" w:hAnsi="FangSong" w:eastAsia="FangSong" w:cs="FangSong"/>
          <w:sz w:val="30"/>
          <w:szCs w:val="30"/>
          <w:spacing w:val="15"/>
        </w:rPr>
        <w:t>位等级或者撤职的处分，</w:t>
      </w:r>
      <w:r>
        <w:rPr>
          <w:rFonts w:ascii="FangSong" w:hAnsi="FangSong" w:eastAsia="FangSong" w:cs="FangSong"/>
          <w:sz w:val="30"/>
          <w:szCs w:val="30"/>
        </w:rPr>
        <w:t xml:space="preserve"> </w:t>
      </w:r>
      <w:r>
        <w:rPr>
          <w:rFonts w:ascii="FangSong" w:hAnsi="FangSong" w:eastAsia="FangSong" w:cs="FangSong"/>
          <w:sz w:val="30"/>
          <w:szCs w:val="30"/>
          <w:spacing w:val="25"/>
        </w:rPr>
        <w:t>对有关医务人员可以责令暂停1个月以上6个月以下执业活动；构成犯罪的，依法追</w:t>
      </w:r>
      <w:r>
        <w:rPr>
          <w:rFonts w:ascii="FangSong" w:hAnsi="FangSong" w:eastAsia="FangSong" w:cs="FangSong"/>
          <w:sz w:val="30"/>
          <w:szCs w:val="30"/>
          <w:spacing w:val="24"/>
        </w:rPr>
        <w:t>究刑事责任：</w:t>
      </w:r>
    </w:p>
    <w:p>
      <w:pPr>
        <w:spacing w:line="272" w:lineRule="auto"/>
        <w:sectPr>
          <w:footerReference w:type="default" r:id="rId360"/>
          <w:pgSz w:w="16830" w:h="11900"/>
          <w:pgMar w:top="1011" w:right="1179" w:bottom="1125" w:left="1414" w:header="0" w:footer="783" w:gutter="0"/>
        </w:sectPr>
        <w:rPr>
          <w:rFonts w:ascii="FangSong" w:hAnsi="FangSong" w:eastAsia="FangSong" w:cs="FangSong"/>
          <w:sz w:val="30"/>
          <w:szCs w:val="30"/>
        </w:rPr>
      </w:pPr>
    </w:p>
    <w:p>
      <w:pPr>
        <w:pStyle w:val="BodyText"/>
        <w:spacing w:line="263" w:lineRule="auto"/>
        <w:rPr/>
      </w:pPr>
      <w:r/>
    </w:p>
    <w:p>
      <w:pPr>
        <w:pStyle w:val="BodyText"/>
        <w:spacing w:line="264" w:lineRule="auto"/>
        <w:rPr/>
      </w:pPr>
      <w:r/>
    </w:p>
    <w:p>
      <w:pPr>
        <w:pStyle w:val="BodyText"/>
        <w:spacing w:line="264" w:lineRule="auto"/>
        <w:rPr/>
      </w:pPr>
      <w:r/>
    </w:p>
    <w:p>
      <w:pPr>
        <w:ind w:left="759"/>
        <w:spacing w:before="100" w:line="222" w:lineRule="auto"/>
        <w:rPr>
          <w:rFonts w:ascii="FangSong" w:hAnsi="FangSong" w:eastAsia="FangSong" w:cs="FangSong"/>
          <w:sz w:val="31"/>
          <w:szCs w:val="31"/>
        </w:rPr>
      </w:pPr>
      <w:bookmarkStart w:name="bookmark1013" w:id="382"/>
      <w:bookmarkEnd w:id="382"/>
      <w:r>
        <w:rPr>
          <w:rFonts w:ascii="FangSong" w:hAnsi="FangSong" w:eastAsia="FangSong" w:cs="FangSong"/>
          <w:sz w:val="31"/>
          <w:szCs w:val="31"/>
          <w:spacing w:val="14"/>
        </w:rPr>
        <w:t>(八)未按规定向卫生主管部门报告重大医疗纠纷；</w:t>
      </w:r>
    </w:p>
    <w:p>
      <w:pPr>
        <w:ind w:right="115" w:firstLine="619"/>
        <w:spacing w:before="47" w:line="262" w:lineRule="auto"/>
        <w:jc w:val="both"/>
        <w:rPr>
          <w:rFonts w:ascii="FangSong" w:hAnsi="FangSong" w:eastAsia="FangSong" w:cs="FangSong"/>
          <w:sz w:val="31"/>
          <w:szCs w:val="31"/>
        </w:rPr>
      </w:pPr>
      <w:r>
        <w:rPr>
          <w:rFonts w:ascii="FangSong" w:hAnsi="FangSong" w:eastAsia="FangSong" w:cs="FangSong"/>
          <w:sz w:val="31"/>
          <w:szCs w:val="31"/>
          <w:spacing w:val="7"/>
        </w:rPr>
        <w:t>2.《医疗机构投诉管理办法》第四十三条</w:t>
      </w:r>
      <w:r>
        <w:rPr>
          <w:rFonts w:ascii="FangSong" w:hAnsi="FangSong" w:eastAsia="FangSong" w:cs="FangSong"/>
          <w:sz w:val="31"/>
          <w:szCs w:val="31"/>
          <w:spacing w:val="7"/>
        </w:rPr>
        <w:t xml:space="preserve">  </w:t>
      </w:r>
      <w:r>
        <w:rPr>
          <w:rFonts w:ascii="FangSong" w:hAnsi="FangSong" w:eastAsia="FangSong" w:cs="FangSong"/>
          <w:sz w:val="31"/>
          <w:szCs w:val="31"/>
          <w:spacing w:val="7"/>
        </w:rPr>
        <w:t>医疗机</w:t>
      </w:r>
      <w:r>
        <w:rPr>
          <w:rFonts w:ascii="FangSong" w:hAnsi="FangSong" w:eastAsia="FangSong" w:cs="FangSong"/>
          <w:sz w:val="31"/>
          <w:szCs w:val="31"/>
          <w:spacing w:val="6"/>
        </w:rPr>
        <w:t>构未建立投诉接待制度、未设置统一投诉管理</w:t>
      </w:r>
      <w:r>
        <w:rPr>
          <w:rFonts w:ascii="FangSong" w:hAnsi="FangSong" w:eastAsia="FangSong" w:cs="FangSong"/>
          <w:sz w:val="31"/>
          <w:szCs w:val="31"/>
        </w:rPr>
        <w:t xml:space="preserve"> </w:t>
      </w:r>
      <w:r>
        <w:rPr>
          <w:rFonts w:ascii="FangSong" w:hAnsi="FangSong" w:eastAsia="FangSong" w:cs="FangSong"/>
          <w:sz w:val="31"/>
          <w:szCs w:val="31"/>
          <w:spacing w:val="14"/>
        </w:rPr>
        <w:t>部门或者配备专(兼)职人员，或者未按规定向卫生健康主管</w:t>
      </w:r>
      <w:r>
        <w:rPr>
          <w:rFonts w:ascii="FangSong" w:hAnsi="FangSong" w:eastAsia="FangSong" w:cs="FangSong"/>
          <w:sz w:val="31"/>
          <w:szCs w:val="31"/>
          <w:spacing w:val="13"/>
        </w:rPr>
        <w:t>部门报告重大医疗纠纷的，由县级以上</w:t>
      </w:r>
      <w:r>
        <w:rPr>
          <w:rFonts w:ascii="FangSong" w:hAnsi="FangSong" w:eastAsia="FangSong" w:cs="FangSong"/>
          <w:sz w:val="31"/>
          <w:szCs w:val="31"/>
        </w:rPr>
        <w:t xml:space="preserve"> </w:t>
      </w:r>
      <w:r>
        <w:rPr>
          <w:rFonts w:ascii="FangSong" w:hAnsi="FangSong" w:eastAsia="FangSong" w:cs="FangSong"/>
          <w:sz w:val="31"/>
          <w:szCs w:val="31"/>
          <w:spacing w:val="8"/>
        </w:rPr>
        <w:t>地方卫生健康主管部门按照《医疗纠纷预防和处理条例》第四十七条的规定进行处理。</w:t>
      </w:r>
    </w:p>
    <w:p>
      <w:pPr>
        <w:ind w:left="6404"/>
        <w:spacing w:before="10"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299" w:type="dxa"/>
        <w:tblInd w:w="3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84"/>
        <w:gridCol w:w="6005"/>
        <w:gridCol w:w="6310"/>
      </w:tblGrid>
      <w:tr>
        <w:trPr>
          <w:trHeight w:val="1062" w:hRule="atLeast"/>
        </w:trPr>
        <w:tc>
          <w:tcPr>
            <w:tcW w:w="984" w:type="dxa"/>
            <w:vAlign w:val="top"/>
          </w:tcPr>
          <w:p>
            <w:pPr>
              <w:pStyle w:val="TableText"/>
              <w:ind w:left="188"/>
              <w:spacing w:before="49" w:line="225" w:lineRule="auto"/>
              <w:rPr>
                <w:sz w:val="25"/>
                <w:szCs w:val="25"/>
              </w:rPr>
            </w:pPr>
            <w:r>
              <w:rPr>
                <w:sz w:val="25"/>
                <w:szCs w:val="25"/>
                <w:b/>
                <w:bCs/>
                <w:spacing w:val="-6"/>
              </w:rPr>
              <w:t>违法</w:t>
            </w:r>
          </w:p>
          <w:p>
            <w:pPr>
              <w:pStyle w:val="TableText"/>
              <w:ind w:left="188"/>
              <w:spacing w:before="138" w:line="220" w:lineRule="auto"/>
              <w:rPr>
                <w:sz w:val="25"/>
                <w:szCs w:val="25"/>
              </w:rPr>
            </w:pPr>
            <w:r>
              <w:rPr>
                <w:sz w:val="25"/>
                <w:szCs w:val="25"/>
                <w:b/>
                <w:bCs/>
                <w:spacing w:val="-5"/>
              </w:rPr>
              <w:t>程度</w:t>
            </w:r>
          </w:p>
        </w:tc>
        <w:tc>
          <w:tcPr>
            <w:tcW w:w="6005" w:type="dxa"/>
            <w:vAlign w:val="top"/>
          </w:tcPr>
          <w:p>
            <w:pPr>
              <w:spacing w:line="329" w:lineRule="auto"/>
              <w:rPr>
                <w:rFonts w:ascii="Arial"/>
                <w:sz w:val="21"/>
              </w:rPr>
            </w:pPr>
            <w:r/>
          </w:p>
          <w:p>
            <w:pPr>
              <w:pStyle w:val="TableText"/>
              <w:ind w:left="2494"/>
              <w:spacing w:before="81" w:line="220" w:lineRule="auto"/>
              <w:rPr>
                <w:sz w:val="25"/>
                <w:szCs w:val="25"/>
              </w:rPr>
            </w:pPr>
            <w:r>
              <w:rPr>
                <w:sz w:val="25"/>
                <w:szCs w:val="25"/>
                <w:b/>
                <w:bCs/>
                <w:spacing w:val="-5"/>
              </w:rPr>
              <w:t>情节后果</w:t>
            </w:r>
          </w:p>
        </w:tc>
        <w:tc>
          <w:tcPr>
            <w:tcW w:w="6310" w:type="dxa"/>
            <w:vAlign w:val="top"/>
          </w:tcPr>
          <w:p>
            <w:pPr>
              <w:spacing w:line="326" w:lineRule="auto"/>
              <w:rPr>
                <w:rFonts w:ascii="Arial"/>
                <w:sz w:val="21"/>
              </w:rPr>
            </w:pPr>
            <w:r/>
          </w:p>
          <w:p>
            <w:pPr>
              <w:pStyle w:val="TableText"/>
              <w:ind w:left="2649"/>
              <w:spacing w:before="81" w:line="218" w:lineRule="auto"/>
              <w:rPr>
                <w:sz w:val="25"/>
                <w:szCs w:val="25"/>
              </w:rPr>
            </w:pPr>
            <w:r>
              <w:rPr>
                <w:sz w:val="25"/>
                <w:szCs w:val="25"/>
                <w:b/>
                <w:bCs/>
                <w:spacing w:val="-5"/>
              </w:rPr>
              <w:t>裁量幅度</w:t>
            </w:r>
          </w:p>
        </w:tc>
      </w:tr>
      <w:tr>
        <w:trPr>
          <w:trHeight w:val="878" w:hRule="atLeast"/>
        </w:trPr>
        <w:tc>
          <w:tcPr>
            <w:tcW w:w="984" w:type="dxa"/>
            <w:vAlign w:val="top"/>
          </w:tcPr>
          <w:p>
            <w:pPr>
              <w:spacing w:line="301" w:lineRule="auto"/>
              <w:rPr>
                <w:rFonts w:ascii="Arial"/>
                <w:sz w:val="21"/>
              </w:rPr>
            </w:pPr>
            <w:r/>
          </w:p>
          <w:p>
            <w:pPr>
              <w:pStyle w:val="TableText"/>
              <w:ind w:left="84"/>
              <w:spacing w:before="81" w:line="221" w:lineRule="auto"/>
              <w:rPr>
                <w:sz w:val="25"/>
                <w:szCs w:val="25"/>
              </w:rPr>
            </w:pPr>
            <w:r>
              <w:rPr>
                <w:sz w:val="25"/>
                <w:szCs w:val="25"/>
                <w:spacing w:val="5"/>
              </w:rPr>
              <w:t>一般</w:t>
            </w:r>
          </w:p>
        </w:tc>
        <w:tc>
          <w:tcPr>
            <w:tcW w:w="6005" w:type="dxa"/>
            <w:vAlign w:val="top"/>
          </w:tcPr>
          <w:p>
            <w:pPr>
              <w:pStyle w:val="TableText"/>
              <w:ind w:left="109" w:right="5" w:hanging="99"/>
              <w:spacing w:before="150" w:line="265" w:lineRule="auto"/>
              <w:rPr>
                <w:sz w:val="25"/>
                <w:szCs w:val="25"/>
              </w:rPr>
            </w:pPr>
            <w:r>
              <w:rPr>
                <w:sz w:val="25"/>
                <w:szCs w:val="25"/>
                <w:spacing w:val="-1"/>
              </w:rPr>
              <w:t>医疗机构及其医务人员未按规定向卫生主管部门报告重</w:t>
            </w:r>
            <w:r>
              <w:rPr>
                <w:sz w:val="25"/>
                <w:szCs w:val="25"/>
                <w:spacing w:val="1"/>
              </w:rPr>
              <w:t xml:space="preserve"> </w:t>
            </w:r>
            <w:r>
              <w:rPr>
                <w:sz w:val="25"/>
                <w:szCs w:val="25"/>
                <w:spacing w:val="1"/>
              </w:rPr>
              <w:t>大医疗纠纷，首次发现的</w:t>
            </w:r>
          </w:p>
        </w:tc>
        <w:tc>
          <w:tcPr>
            <w:tcW w:w="6310" w:type="dxa"/>
            <w:vAlign w:val="top"/>
          </w:tcPr>
          <w:p>
            <w:pPr>
              <w:pStyle w:val="TableText"/>
              <w:ind w:left="124" w:hanging="39"/>
              <w:spacing w:before="150" w:line="265" w:lineRule="auto"/>
              <w:rPr>
                <w:sz w:val="25"/>
                <w:szCs w:val="25"/>
              </w:rPr>
            </w:pPr>
            <w:r>
              <w:rPr>
                <w:sz w:val="25"/>
                <w:szCs w:val="25"/>
                <w:spacing w:val="-2"/>
              </w:rPr>
              <w:t>由县级以上人民政府卫生主管部门责令改正，给予警告，</w:t>
            </w:r>
            <w:r>
              <w:rPr>
                <w:sz w:val="25"/>
                <w:szCs w:val="25"/>
                <w:spacing w:val="13"/>
              </w:rPr>
              <w:t xml:space="preserve"> </w:t>
            </w:r>
            <w:r>
              <w:rPr>
                <w:sz w:val="25"/>
                <w:szCs w:val="25"/>
                <w:spacing w:val="-1"/>
              </w:rPr>
              <w:t>并处1万元以上3万元以下罚款</w:t>
            </w:r>
          </w:p>
        </w:tc>
      </w:tr>
      <w:tr>
        <w:trPr>
          <w:trHeight w:val="898" w:hRule="atLeast"/>
        </w:trPr>
        <w:tc>
          <w:tcPr>
            <w:tcW w:w="984" w:type="dxa"/>
            <w:vAlign w:val="top"/>
          </w:tcPr>
          <w:p>
            <w:pPr>
              <w:spacing w:line="255" w:lineRule="auto"/>
              <w:rPr>
                <w:rFonts w:ascii="Arial"/>
                <w:sz w:val="21"/>
              </w:rPr>
            </w:pPr>
            <w:r/>
          </w:p>
          <w:p>
            <w:pPr>
              <w:pStyle w:val="TableText"/>
              <w:ind w:left="84"/>
              <w:spacing w:before="82" w:line="221" w:lineRule="auto"/>
              <w:rPr>
                <w:sz w:val="25"/>
                <w:szCs w:val="25"/>
              </w:rPr>
            </w:pPr>
            <w:r>
              <w:rPr>
                <w:sz w:val="25"/>
                <w:szCs w:val="25"/>
                <w:spacing w:val="5"/>
              </w:rPr>
              <w:t>较重</w:t>
            </w:r>
          </w:p>
        </w:tc>
        <w:tc>
          <w:tcPr>
            <w:tcW w:w="6005" w:type="dxa"/>
            <w:vAlign w:val="top"/>
          </w:tcPr>
          <w:p>
            <w:pPr>
              <w:pStyle w:val="TableText"/>
              <w:ind w:left="120" w:right="5" w:hanging="110"/>
              <w:spacing w:before="162" w:line="268" w:lineRule="auto"/>
              <w:rPr>
                <w:sz w:val="25"/>
                <w:szCs w:val="25"/>
              </w:rPr>
            </w:pPr>
            <w:r>
              <w:rPr>
                <w:sz w:val="25"/>
                <w:szCs w:val="25"/>
                <w:spacing w:val="-1"/>
              </w:rPr>
              <w:t>医疗机构及其医务人员未按规定向卫生主管部门报告重</w:t>
            </w:r>
            <w:r>
              <w:rPr>
                <w:sz w:val="25"/>
                <w:szCs w:val="25"/>
                <w:spacing w:val="1"/>
              </w:rPr>
              <w:t xml:space="preserve"> </w:t>
            </w:r>
            <w:r>
              <w:rPr>
                <w:sz w:val="25"/>
                <w:szCs w:val="25"/>
                <w:spacing w:val="1"/>
              </w:rPr>
              <w:t>大医疗纠纷，经处罚再次发现有该行为的</w:t>
            </w:r>
          </w:p>
        </w:tc>
        <w:tc>
          <w:tcPr>
            <w:tcW w:w="6310" w:type="dxa"/>
            <w:vAlign w:val="top"/>
          </w:tcPr>
          <w:p>
            <w:pPr>
              <w:pStyle w:val="TableText"/>
              <w:ind w:left="124" w:hanging="39"/>
              <w:spacing w:before="162" w:line="268" w:lineRule="auto"/>
              <w:rPr>
                <w:sz w:val="25"/>
                <w:szCs w:val="25"/>
              </w:rPr>
            </w:pPr>
            <w:r>
              <w:rPr>
                <w:sz w:val="25"/>
                <w:szCs w:val="25"/>
                <w:spacing w:val="-2"/>
              </w:rPr>
              <w:t>由县级以上人民政府卫生主管部门责令改正，给予警告，</w:t>
            </w:r>
            <w:r>
              <w:rPr>
                <w:sz w:val="25"/>
                <w:szCs w:val="25"/>
                <w:spacing w:val="13"/>
              </w:rPr>
              <w:t xml:space="preserve"> </w:t>
            </w:r>
            <w:r>
              <w:rPr>
                <w:sz w:val="25"/>
                <w:szCs w:val="25"/>
                <w:spacing w:val="-1"/>
              </w:rPr>
              <w:t>并处3万元以上5万元以下罚款</w:t>
            </w:r>
          </w:p>
        </w:tc>
      </w:tr>
      <w:tr>
        <w:trPr>
          <w:trHeight w:val="1302" w:hRule="atLeast"/>
        </w:trPr>
        <w:tc>
          <w:tcPr>
            <w:tcW w:w="984" w:type="dxa"/>
            <w:vAlign w:val="top"/>
          </w:tcPr>
          <w:p>
            <w:pPr>
              <w:spacing w:line="454" w:lineRule="auto"/>
              <w:rPr>
                <w:rFonts w:ascii="Arial"/>
                <w:sz w:val="21"/>
              </w:rPr>
            </w:pPr>
            <w:r/>
          </w:p>
          <w:p>
            <w:pPr>
              <w:pStyle w:val="TableText"/>
              <w:ind w:left="84"/>
              <w:spacing w:before="81" w:line="220" w:lineRule="auto"/>
              <w:rPr>
                <w:sz w:val="25"/>
                <w:szCs w:val="25"/>
              </w:rPr>
            </w:pPr>
            <w:r>
              <w:rPr>
                <w:sz w:val="25"/>
                <w:szCs w:val="25"/>
                <w:spacing w:val="5"/>
              </w:rPr>
              <w:t>严重</w:t>
            </w:r>
          </w:p>
        </w:tc>
        <w:tc>
          <w:tcPr>
            <w:tcW w:w="6005" w:type="dxa"/>
            <w:vAlign w:val="top"/>
          </w:tcPr>
          <w:p>
            <w:pPr>
              <w:spacing w:line="281" w:lineRule="auto"/>
              <w:rPr>
                <w:rFonts w:ascii="Arial"/>
                <w:sz w:val="21"/>
              </w:rPr>
            </w:pPr>
            <w:r/>
          </w:p>
          <w:p>
            <w:pPr>
              <w:pStyle w:val="TableText"/>
              <w:ind w:left="109" w:right="5" w:hanging="99"/>
              <w:spacing w:before="82" w:line="337" w:lineRule="auto"/>
              <w:rPr>
                <w:sz w:val="25"/>
                <w:szCs w:val="25"/>
              </w:rPr>
            </w:pPr>
            <w:r>
              <w:rPr>
                <w:sz w:val="25"/>
                <w:szCs w:val="25"/>
                <w:spacing w:val="-1"/>
              </w:rPr>
              <w:t>医疗机构及其医务人员未按规定向卫生主管部门报告重</w:t>
            </w:r>
            <w:r>
              <w:rPr>
                <w:sz w:val="25"/>
                <w:szCs w:val="25"/>
                <w:spacing w:val="1"/>
              </w:rPr>
              <w:t xml:space="preserve"> </w:t>
            </w:r>
            <w:r>
              <w:rPr>
                <w:sz w:val="25"/>
                <w:szCs w:val="25"/>
                <w:spacing w:val="1"/>
              </w:rPr>
              <w:t>大医疗纠纷，情节严重的</w:t>
            </w:r>
          </w:p>
        </w:tc>
        <w:tc>
          <w:tcPr>
            <w:tcW w:w="6310" w:type="dxa"/>
            <w:vAlign w:val="top"/>
          </w:tcPr>
          <w:p>
            <w:pPr>
              <w:pStyle w:val="TableText"/>
              <w:ind w:left="124" w:hanging="39"/>
              <w:spacing w:before="146" w:line="282" w:lineRule="auto"/>
              <w:jc w:val="both"/>
              <w:rPr>
                <w:sz w:val="25"/>
                <w:szCs w:val="25"/>
              </w:rPr>
            </w:pPr>
            <w:r>
              <w:rPr>
                <w:sz w:val="25"/>
                <w:szCs w:val="25"/>
                <w:spacing w:val="-2"/>
              </w:rPr>
              <w:t>由县级以上人民政府卫生主管部门责令改正，给予警告，</w:t>
            </w:r>
            <w:r>
              <w:rPr>
                <w:sz w:val="25"/>
                <w:szCs w:val="25"/>
                <w:spacing w:val="13"/>
              </w:rPr>
              <w:t xml:space="preserve"> </w:t>
            </w:r>
            <w:r>
              <w:rPr>
                <w:sz w:val="25"/>
                <w:szCs w:val="25"/>
                <w:spacing w:val="1"/>
              </w:rPr>
              <w:t>并处5万元罚款，且对有关医务人员可以责令暂停1个月</w:t>
            </w:r>
            <w:r>
              <w:rPr>
                <w:sz w:val="25"/>
                <w:szCs w:val="25"/>
                <w:spacing w:val="7"/>
              </w:rPr>
              <w:t xml:space="preserve">  </w:t>
            </w:r>
            <w:r>
              <w:rPr>
                <w:sz w:val="25"/>
                <w:szCs w:val="25"/>
                <w:spacing w:val="-1"/>
              </w:rPr>
              <w:t>以上6个月以下执业活动</w:t>
            </w:r>
          </w:p>
        </w:tc>
      </w:tr>
    </w:tbl>
    <w:p>
      <w:pPr>
        <w:pStyle w:val="BodyText"/>
        <w:spacing w:line="433" w:lineRule="auto"/>
        <w:rPr/>
      </w:pPr>
      <w:r/>
    </w:p>
    <w:p>
      <w:pPr>
        <w:ind w:left="624"/>
        <w:spacing w:before="101" w:line="220" w:lineRule="auto"/>
        <w:rPr>
          <w:rFonts w:ascii="FangSong" w:hAnsi="FangSong" w:eastAsia="FangSong" w:cs="FangSong"/>
          <w:sz w:val="31"/>
          <w:szCs w:val="31"/>
        </w:rPr>
      </w:pPr>
      <w:r>
        <w:rPr>
          <w:rFonts w:ascii="FangSong" w:hAnsi="FangSong" w:eastAsia="FangSong" w:cs="FangSong"/>
          <w:sz w:val="31"/>
          <w:szCs w:val="31"/>
          <w:b/>
          <w:bCs/>
          <w:spacing w:val="11"/>
        </w:rPr>
        <w:t>第三百一十二条医疗机构及医务人员其他未履行《医疗纠纷预防和处理条例》规定义务的情形</w:t>
      </w:r>
    </w:p>
    <w:p>
      <w:pPr>
        <w:ind w:left="619"/>
        <w:spacing w:before="128"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spacing w:before="84" w:line="222" w:lineRule="auto"/>
        <w:jc w:val="right"/>
        <w:rPr>
          <w:rFonts w:ascii="FangSong" w:hAnsi="FangSong" w:eastAsia="FangSong" w:cs="FangSong"/>
          <w:sz w:val="31"/>
          <w:szCs w:val="31"/>
        </w:rPr>
      </w:pPr>
      <w:r>
        <w:rPr>
          <w:rFonts w:ascii="FangSong" w:hAnsi="FangSong" w:eastAsia="FangSong" w:cs="FangSong"/>
          <w:sz w:val="31"/>
          <w:szCs w:val="31"/>
          <w:spacing w:val="9"/>
        </w:rPr>
        <w:t>《医疗纠纷预防和处理条例》第四十七条第(九)项</w:t>
      </w:r>
      <w:r>
        <w:rPr>
          <w:rFonts w:ascii="FangSong" w:hAnsi="FangSong" w:eastAsia="FangSong" w:cs="FangSong"/>
          <w:sz w:val="31"/>
          <w:szCs w:val="31"/>
          <w:spacing w:val="9"/>
        </w:rPr>
        <w:t xml:space="preserve">  </w:t>
      </w:r>
      <w:r>
        <w:rPr>
          <w:rFonts w:ascii="FangSong" w:hAnsi="FangSong" w:eastAsia="FangSong" w:cs="FangSong"/>
          <w:sz w:val="31"/>
          <w:szCs w:val="31"/>
          <w:spacing w:val="9"/>
        </w:rPr>
        <w:t>医疗机构及其医务人员有下列情形之一的，</w:t>
      </w:r>
    </w:p>
    <w:p>
      <w:pPr>
        <w:spacing w:line="222" w:lineRule="auto"/>
        <w:sectPr>
          <w:footerReference w:type="default" r:id="rId361"/>
          <w:pgSz w:w="16830" w:h="11900"/>
          <w:pgMar w:top="1011" w:right="1334" w:bottom="1108" w:left="1450" w:header="0" w:footer="775" w:gutter="0"/>
        </w:sectPr>
        <w:rPr>
          <w:rFonts w:ascii="FangSong" w:hAnsi="FangSong" w:eastAsia="FangSong" w:cs="FangSong"/>
          <w:sz w:val="31"/>
          <w:szCs w:val="31"/>
        </w:rPr>
      </w:pPr>
    </w:p>
    <w:p>
      <w:pPr>
        <w:pStyle w:val="BodyText"/>
        <w:spacing w:line="260" w:lineRule="auto"/>
        <w:rPr/>
      </w:pPr>
      <w:r/>
    </w:p>
    <w:p>
      <w:pPr>
        <w:pStyle w:val="BodyText"/>
        <w:spacing w:line="261" w:lineRule="auto"/>
        <w:rPr/>
      </w:pPr>
      <w:r/>
    </w:p>
    <w:p>
      <w:pPr>
        <w:pStyle w:val="BodyText"/>
        <w:spacing w:line="261" w:lineRule="auto"/>
        <w:rPr/>
      </w:pPr>
      <w:r/>
    </w:p>
    <w:p>
      <w:pPr>
        <w:ind w:left="35" w:right="20"/>
        <w:spacing w:before="98" w:line="271" w:lineRule="auto"/>
        <w:jc w:val="both"/>
        <w:rPr>
          <w:rFonts w:ascii="FangSong" w:hAnsi="FangSong" w:eastAsia="FangSong" w:cs="FangSong"/>
          <w:sz w:val="30"/>
          <w:szCs w:val="30"/>
        </w:rPr>
      </w:pPr>
      <w:bookmarkStart w:name="bookmark1014" w:id="383"/>
      <w:bookmarkEnd w:id="383"/>
      <w:r>
        <w:rPr>
          <w:rFonts w:ascii="FangSong" w:hAnsi="FangSong" w:eastAsia="FangSong" w:cs="FangSong"/>
          <w:sz w:val="30"/>
          <w:szCs w:val="30"/>
          <w:spacing w:val="23"/>
        </w:rPr>
        <w:t>由县级以上人民政府卫生主管部门责令改正，</w:t>
      </w:r>
      <w:r>
        <w:rPr>
          <w:rFonts w:ascii="FangSong" w:hAnsi="FangSong" w:eastAsia="FangSong" w:cs="FangSong"/>
          <w:sz w:val="30"/>
          <w:szCs w:val="30"/>
          <w:spacing w:val="22"/>
        </w:rPr>
        <w:t>给予警告，并处1</w:t>
      </w:r>
      <w:r>
        <w:rPr>
          <w:rFonts w:ascii="FangSong" w:hAnsi="FangSong" w:eastAsia="FangSong" w:cs="FangSong"/>
          <w:sz w:val="30"/>
          <w:szCs w:val="30"/>
          <w:spacing w:val="22"/>
        </w:rPr>
        <w:t xml:space="preserve"> </w:t>
      </w:r>
      <w:r>
        <w:rPr>
          <w:rFonts w:ascii="FangSong" w:hAnsi="FangSong" w:eastAsia="FangSong" w:cs="FangSong"/>
          <w:sz w:val="30"/>
          <w:szCs w:val="30"/>
          <w:spacing w:val="22"/>
        </w:rPr>
        <w:t>万元以上5</w:t>
      </w:r>
      <w:r>
        <w:rPr>
          <w:rFonts w:ascii="FangSong" w:hAnsi="FangSong" w:eastAsia="FangSong" w:cs="FangSong"/>
          <w:sz w:val="30"/>
          <w:szCs w:val="30"/>
          <w:spacing w:val="22"/>
        </w:rPr>
        <w:t xml:space="preserve"> </w:t>
      </w:r>
      <w:r>
        <w:rPr>
          <w:rFonts w:ascii="FangSong" w:hAnsi="FangSong" w:eastAsia="FangSong" w:cs="FangSong"/>
          <w:sz w:val="30"/>
          <w:szCs w:val="30"/>
          <w:spacing w:val="22"/>
        </w:rPr>
        <w:t>万元以下罚款；情节严</w:t>
      </w:r>
      <w:r>
        <w:rPr>
          <w:rFonts w:ascii="FangSong" w:hAnsi="FangSong" w:eastAsia="FangSong" w:cs="FangSong"/>
          <w:sz w:val="30"/>
          <w:szCs w:val="30"/>
        </w:rPr>
        <w:t xml:space="preserve"> </w:t>
      </w:r>
      <w:r>
        <w:rPr>
          <w:rFonts w:ascii="FangSong" w:hAnsi="FangSong" w:eastAsia="FangSong" w:cs="FangSong"/>
          <w:sz w:val="30"/>
          <w:szCs w:val="30"/>
          <w:spacing w:val="18"/>
        </w:rPr>
        <w:t>重的，对直接负责的主管人员和其他直接责任人员给予或者责令给予降低岗位等级或者撤职的处分，</w:t>
      </w:r>
      <w:r>
        <w:rPr>
          <w:rFonts w:ascii="FangSong" w:hAnsi="FangSong" w:eastAsia="FangSong" w:cs="FangSong"/>
          <w:sz w:val="30"/>
          <w:szCs w:val="30"/>
          <w:spacing w:val="16"/>
        </w:rPr>
        <w:t xml:space="preserve"> </w:t>
      </w:r>
      <w:r>
        <w:rPr>
          <w:rFonts w:ascii="FangSong" w:hAnsi="FangSong" w:eastAsia="FangSong" w:cs="FangSong"/>
          <w:sz w:val="30"/>
          <w:szCs w:val="30"/>
          <w:spacing w:val="28"/>
        </w:rPr>
        <w:t>对有关医务人员可以责令暂停1个月以上6</w:t>
      </w:r>
      <w:r>
        <w:rPr>
          <w:rFonts w:ascii="FangSong" w:hAnsi="FangSong" w:eastAsia="FangSong" w:cs="FangSong"/>
          <w:sz w:val="30"/>
          <w:szCs w:val="30"/>
          <w:spacing w:val="28"/>
        </w:rPr>
        <w:t xml:space="preserve"> </w:t>
      </w:r>
      <w:r>
        <w:rPr>
          <w:rFonts w:ascii="FangSong" w:hAnsi="FangSong" w:eastAsia="FangSong" w:cs="FangSong"/>
          <w:sz w:val="30"/>
          <w:szCs w:val="30"/>
          <w:spacing w:val="28"/>
        </w:rPr>
        <w:t>个月以下执业活动；构成犯罪的，依法追究刑</w:t>
      </w:r>
      <w:r>
        <w:rPr>
          <w:rFonts w:ascii="FangSong" w:hAnsi="FangSong" w:eastAsia="FangSong" w:cs="FangSong"/>
          <w:sz w:val="30"/>
          <w:szCs w:val="30"/>
          <w:spacing w:val="27"/>
        </w:rPr>
        <w:t>事责任：</w:t>
      </w:r>
    </w:p>
    <w:p>
      <w:pPr>
        <w:ind w:left="815"/>
        <w:spacing w:before="1" w:line="220" w:lineRule="auto"/>
        <w:rPr>
          <w:rFonts w:ascii="FangSong" w:hAnsi="FangSong" w:eastAsia="FangSong" w:cs="FangSong"/>
          <w:sz w:val="30"/>
          <w:szCs w:val="30"/>
        </w:rPr>
      </w:pPr>
      <w:r>
        <w:rPr>
          <w:rFonts w:ascii="FangSong" w:hAnsi="FangSong" w:eastAsia="FangSong" w:cs="FangSong"/>
          <w:sz w:val="30"/>
          <w:szCs w:val="30"/>
          <w:spacing w:val="24"/>
        </w:rPr>
        <w:t>(九)其他未履行本条例规定义务的情形。</w:t>
      </w:r>
    </w:p>
    <w:p>
      <w:pPr>
        <w:ind w:left="6429"/>
        <w:spacing w:before="82"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3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84"/>
        <w:gridCol w:w="6016"/>
        <w:gridCol w:w="6300"/>
      </w:tblGrid>
      <w:tr>
        <w:trPr>
          <w:trHeight w:val="1062" w:hRule="atLeast"/>
        </w:trPr>
        <w:tc>
          <w:tcPr>
            <w:tcW w:w="984" w:type="dxa"/>
            <w:vAlign w:val="top"/>
          </w:tcPr>
          <w:p>
            <w:pPr>
              <w:pStyle w:val="TableText"/>
              <w:ind w:left="188"/>
              <w:spacing w:before="59" w:line="225" w:lineRule="auto"/>
              <w:rPr>
                <w:sz w:val="25"/>
                <w:szCs w:val="25"/>
              </w:rPr>
            </w:pPr>
            <w:r>
              <w:rPr>
                <w:sz w:val="25"/>
                <w:szCs w:val="25"/>
                <w:b/>
                <w:bCs/>
                <w:spacing w:val="-6"/>
              </w:rPr>
              <w:t>违法</w:t>
            </w:r>
          </w:p>
          <w:p>
            <w:pPr>
              <w:pStyle w:val="TableText"/>
              <w:ind w:left="188"/>
              <w:spacing w:before="138" w:line="220" w:lineRule="auto"/>
              <w:rPr>
                <w:sz w:val="25"/>
                <w:szCs w:val="25"/>
              </w:rPr>
            </w:pPr>
            <w:r>
              <w:rPr>
                <w:sz w:val="25"/>
                <w:szCs w:val="25"/>
                <w:b/>
                <w:bCs/>
                <w:spacing w:val="-5"/>
              </w:rPr>
              <w:t>程度</w:t>
            </w:r>
          </w:p>
        </w:tc>
        <w:tc>
          <w:tcPr>
            <w:tcW w:w="6016" w:type="dxa"/>
            <w:vAlign w:val="top"/>
          </w:tcPr>
          <w:p>
            <w:pPr>
              <w:spacing w:line="329" w:lineRule="auto"/>
              <w:rPr>
                <w:rFonts w:ascii="Arial"/>
                <w:sz w:val="21"/>
              </w:rPr>
            </w:pPr>
            <w:r/>
          </w:p>
          <w:p>
            <w:pPr>
              <w:pStyle w:val="TableText"/>
              <w:ind w:left="2504"/>
              <w:spacing w:before="81" w:line="220" w:lineRule="auto"/>
              <w:rPr>
                <w:sz w:val="25"/>
                <w:szCs w:val="25"/>
              </w:rPr>
            </w:pPr>
            <w:r>
              <w:rPr>
                <w:sz w:val="25"/>
                <w:szCs w:val="25"/>
                <w:b/>
                <w:bCs/>
                <w:spacing w:val="-5"/>
              </w:rPr>
              <w:t>情节后果</w:t>
            </w:r>
          </w:p>
        </w:tc>
        <w:tc>
          <w:tcPr>
            <w:tcW w:w="6300" w:type="dxa"/>
            <w:vAlign w:val="top"/>
          </w:tcPr>
          <w:p>
            <w:pPr>
              <w:pStyle w:val="TableText"/>
              <w:ind w:left="2648"/>
              <w:spacing w:before="279" w:line="218" w:lineRule="auto"/>
              <w:rPr>
                <w:sz w:val="25"/>
                <w:szCs w:val="25"/>
              </w:rPr>
            </w:pPr>
            <w:r>
              <w:rPr>
                <w:sz w:val="25"/>
                <w:szCs w:val="25"/>
                <w:b/>
                <w:bCs/>
                <w:spacing w:val="-5"/>
              </w:rPr>
              <w:t>裁量幅度</w:t>
            </w:r>
          </w:p>
        </w:tc>
      </w:tr>
      <w:tr>
        <w:trPr>
          <w:trHeight w:val="878" w:hRule="atLeast"/>
        </w:trPr>
        <w:tc>
          <w:tcPr>
            <w:tcW w:w="984" w:type="dxa"/>
            <w:vAlign w:val="top"/>
          </w:tcPr>
          <w:p>
            <w:pPr>
              <w:spacing w:line="242" w:lineRule="auto"/>
              <w:rPr>
                <w:rFonts w:ascii="Arial"/>
                <w:sz w:val="21"/>
              </w:rPr>
            </w:pPr>
            <w:r/>
          </w:p>
          <w:p>
            <w:pPr>
              <w:pStyle w:val="TableText"/>
              <w:ind w:left="105"/>
              <w:spacing w:before="81" w:line="221" w:lineRule="auto"/>
              <w:rPr>
                <w:sz w:val="25"/>
                <w:szCs w:val="25"/>
              </w:rPr>
            </w:pPr>
            <w:r>
              <w:rPr>
                <w:sz w:val="25"/>
                <w:szCs w:val="25"/>
                <w:spacing w:val="5"/>
              </w:rPr>
              <w:t>一般</w:t>
            </w:r>
          </w:p>
        </w:tc>
        <w:tc>
          <w:tcPr>
            <w:tcW w:w="6016" w:type="dxa"/>
            <w:vAlign w:val="top"/>
          </w:tcPr>
          <w:p>
            <w:pPr>
              <w:pStyle w:val="TableText"/>
              <w:ind w:left="100" w:hanging="89"/>
              <w:spacing w:before="152" w:line="264" w:lineRule="auto"/>
              <w:rPr>
                <w:sz w:val="25"/>
                <w:szCs w:val="25"/>
              </w:rPr>
            </w:pPr>
            <w:r>
              <w:rPr>
                <w:sz w:val="25"/>
                <w:szCs w:val="25"/>
                <w:spacing w:val="-1"/>
              </w:rPr>
              <w:t>医疗机构及其医务人员其他未履行本条例规定义务的情</w:t>
            </w:r>
            <w:r>
              <w:rPr>
                <w:sz w:val="25"/>
                <w:szCs w:val="25"/>
                <w:spacing w:val="17"/>
              </w:rPr>
              <w:t xml:space="preserve"> </w:t>
            </w:r>
            <w:r>
              <w:rPr>
                <w:sz w:val="25"/>
                <w:szCs w:val="25"/>
                <w:spacing w:val="2"/>
              </w:rPr>
              <w:t>形，首次发现的</w:t>
            </w:r>
          </w:p>
        </w:tc>
        <w:tc>
          <w:tcPr>
            <w:tcW w:w="6300" w:type="dxa"/>
            <w:vAlign w:val="top"/>
          </w:tcPr>
          <w:p>
            <w:pPr>
              <w:pStyle w:val="TableText"/>
              <w:ind w:left="114" w:hanging="39"/>
              <w:spacing w:before="150" w:line="265" w:lineRule="auto"/>
              <w:rPr>
                <w:sz w:val="25"/>
                <w:szCs w:val="25"/>
              </w:rPr>
            </w:pPr>
            <w:r>
              <w:rPr>
                <w:sz w:val="25"/>
                <w:szCs w:val="25"/>
                <w:spacing w:val="-2"/>
              </w:rPr>
              <w:t>由县级以上人民政府卫生主管部门责令改正，给予警告，</w:t>
            </w:r>
            <w:r>
              <w:rPr>
                <w:sz w:val="25"/>
                <w:szCs w:val="25"/>
                <w:spacing w:val="13"/>
              </w:rPr>
              <w:t xml:space="preserve"> </w:t>
            </w:r>
            <w:r>
              <w:rPr>
                <w:sz w:val="25"/>
                <w:szCs w:val="25"/>
                <w:spacing w:val="-1"/>
              </w:rPr>
              <w:t>并处1万元以上3万元以下罚款</w:t>
            </w:r>
          </w:p>
        </w:tc>
      </w:tr>
      <w:tr>
        <w:trPr>
          <w:trHeight w:val="898" w:hRule="atLeast"/>
        </w:trPr>
        <w:tc>
          <w:tcPr>
            <w:tcW w:w="984" w:type="dxa"/>
            <w:vAlign w:val="top"/>
          </w:tcPr>
          <w:p>
            <w:pPr>
              <w:spacing w:line="255" w:lineRule="auto"/>
              <w:rPr>
                <w:rFonts w:ascii="Arial"/>
                <w:sz w:val="21"/>
              </w:rPr>
            </w:pPr>
            <w:r/>
          </w:p>
          <w:p>
            <w:pPr>
              <w:pStyle w:val="TableText"/>
              <w:ind w:left="105"/>
              <w:spacing w:before="82" w:line="221" w:lineRule="auto"/>
              <w:rPr>
                <w:sz w:val="25"/>
                <w:szCs w:val="25"/>
              </w:rPr>
            </w:pPr>
            <w:r>
              <w:rPr>
                <w:sz w:val="25"/>
                <w:szCs w:val="25"/>
                <w:spacing w:val="5"/>
              </w:rPr>
              <w:t>较重</w:t>
            </w:r>
          </w:p>
        </w:tc>
        <w:tc>
          <w:tcPr>
            <w:tcW w:w="6016" w:type="dxa"/>
            <w:vAlign w:val="top"/>
          </w:tcPr>
          <w:p>
            <w:pPr>
              <w:pStyle w:val="TableText"/>
              <w:ind w:left="100" w:hanging="89"/>
              <w:spacing w:before="164" w:line="267" w:lineRule="auto"/>
              <w:rPr>
                <w:sz w:val="25"/>
                <w:szCs w:val="25"/>
              </w:rPr>
            </w:pPr>
            <w:r>
              <w:rPr>
                <w:sz w:val="25"/>
                <w:szCs w:val="25"/>
                <w:spacing w:val="-1"/>
              </w:rPr>
              <w:t>医疗机构及其医务人员其他未履行本条例规定义务的情</w:t>
            </w:r>
            <w:r>
              <w:rPr>
                <w:sz w:val="25"/>
                <w:szCs w:val="25"/>
                <w:spacing w:val="17"/>
              </w:rPr>
              <w:t xml:space="preserve"> </w:t>
            </w:r>
            <w:r>
              <w:rPr>
                <w:sz w:val="25"/>
                <w:szCs w:val="25"/>
              </w:rPr>
              <w:t>形，经处罚再次发现有该行为的</w:t>
            </w:r>
          </w:p>
        </w:tc>
        <w:tc>
          <w:tcPr>
            <w:tcW w:w="6300" w:type="dxa"/>
            <w:vAlign w:val="top"/>
          </w:tcPr>
          <w:p>
            <w:pPr>
              <w:pStyle w:val="TableText"/>
              <w:ind w:left="124" w:hanging="49"/>
              <w:spacing w:before="154" w:line="271" w:lineRule="auto"/>
              <w:rPr>
                <w:sz w:val="25"/>
                <w:szCs w:val="25"/>
              </w:rPr>
            </w:pPr>
            <w:r>
              <w:rPr>
                <w:sz w:val="25"/>
                <w:szCs w:val="25"/>
                <w:spacing w:val="-2"/>
              </w:rPr>
              <w:t>由县级以上人民政府卫生主管部门责令改正，给予警告，</w:t>
            </w:r>
            <w:r>
              <w:rPr>
                <w:sz w:val="25"/>
                <w:szCs w:val="25"/>
                <w:spacing w:val="13"/>
              </w:rPr>
              <w:t xml:space="preserve"> </w:t>
            </w:r>
            <w:r>
              <w:rPr>
                <w:sz w:val="25"/>
                <w:szCs w:val="25"/>
                <w:spacing w:val="-1"/>
              </w:rPr>
              <w:t>并处3万元以上5万元以下罚款</w:t>
            </w:r>
          </w:p>
        </w:tc>
      </w:tr>
      <w:tr>
        <w:trPr>
          <w:trHeight w:val="1302" w:hRule="atLeast"/>
        </w:trPr>
        <w:tc>
          <w:tcPr>
            <w:tcW w:w="984" w:type="dxa"/>
            <w:vAlign w:val="top"/>
          </w:tcPr>
          <w:p>
            <w:pPr>
              <w:spacing w:line="454" w:lineRule="auto"/>
              <w:rPr>
                <w:rFonts w:ascii="Arial"/>
                <w:sz w:val="21"/>
              </w:rPr>
            </w:pPr>
            <w:r/>
          </w:p>
          <w:p>
            <w:pPr>
              <w:pStyle w:val="TableText"/>
              <w:ind w:left="105"/>
              <w:spacing w:before="81" w:line="220" w:lineRule="auto"/>
              <w:rPr>
                <w:sz w:val="25"/>
                <w:szCs w:val="25"/>
              </w:rPr>
            </w:pPr>
            <w:r>
              <w:rPr>
                <w:sz w:val="25"/>
                <w:szCs w:val="25"/>
                <w:spacing w:val="5"/>
              </w:rPr>
              <w:t>严重</w:t>
            </w:r>
          </w:p>
        </w:tc>
        <w:tc>
          <w:tcPr>
            <w:tcW w:w="6016" w:type="dxa"/>
            <w:vAlign w:val="top"/>
          </w:tcPr>
          <w:p>
            <w:pPr>
              <w:spacing w:line="284" w:lineRule="auto"/>
              <w:rPr>
                <w:rFonts w:ascii="Arial"/>
                <w:sz w:val="21"/>
              </w:rPr>
            </w:pPr>
            <w:r/>
          </w:p>
          <w:p>
            <w:pPr>
              <w:pStyle w:val="TableText"/>
              <w:ind w:left="100" w:hanging="89"/>
              <w:spacing w:before="81" w:line="321" w:lineRule="auto"/>
              <w:rPr>
                <w:sz w:val="25"/>
                <w:szCs w:val="25"/>
              </w:rPr>
            </w:pPr>
            <w:r>
              <w:rPr>
                <w:sz w:val="25"/>
                <w:szCs w:val="25"/>
                <w:spacing w:val="-1"/>
              </w:rPr>
              <w:t>医疗机构及其医务人员其他未履行本条例规定义务的情</w:t>
            </w:r>
            <w:r>
              <w:rPr>
                <w:sz w:val="25"/>
                <w:szCs w:val="25"/>
                <w:spacing w:val="17"/>
              </w:rPr>
              <w:t xml:space="preserve"> </w:t>
            </w:r>
            <w:r>
              <w:rPr>
                <w:sz w:val="25"/>
                <w:szCs w:val="25"/>
                <w:spacing w:val="2"/>
              </w:rPr>
              <w:t>形，情节严重的</w:t>
            </w:r>
          </w:p>
        </w:tc>
        <w:tc>
          <w:tcPr>
            <w:tcW w:w="6300" w:type="dxa"/>
            <w:vAlign w:val="top"/>
          </w:tcPr>
          <w:p>
            <w:pPr>
              <w:pStyle w:val="TableText"/>
              <w:ind w:left="124" w:hanging="49"/>
              <w:spacing w:before="146" w:line="282" w:lineRule="auto"/>
              <w:jc w:val="both"/>
              <w:rPr>
                <w:sz w:val="25"/>
                <w:szCs w:val="25"/>
              </w:rPr>
            </w:pPr>
            <w:r>
              <w:rPr>
                <w:sz w:val="25"/>
                <w:szCs w:val="25"/>
                <w:spacing w:val="-2"/>
              </w:rPr>
              <w:t>由县级以上人民政府卫生主管部门责令改正，给予警告，</w:t>
            </w:r>
            <w:r>
              <w:rPr>
                <w:sz w:val="25"/>
                <w:szCs w:val="25"/>
                <w:spacing w:val="13"/>
              </w:rPr>
              <w:t xml:space="preserve"> </w:t>
            </w:r>
            <w:r>
              <w:rPr>
                <w:sz w:val="25"/>
                <w:szCs w:val="25"/>
                <w:spacing w:val="1"/>
              </w:rPr>
              <w:t>并处5万元罚款，且对有关医务人员可以责令暂停1个月</w:t>
            </w:r>
            <w:r>
              <w:rPr>
                <w:sz w:val="25"/>
                <w:szCs w:val="25"/>
                <w:spacing w:val="3"/>
              </w:rPr>
              <w:t xml:space="preserve">  </w:t>
            </w:r>
            <w:r>
              <w:rPr>
                <w:sz w:val="25"/>
                <w:szCs w:val="25"/>
                <w:spacing w:val="-1"/>
              </w:rPr>
              <w:t>以上6个月以下执业活动</w:t>
            </w:r>
          </w:p>
        </w:tc>
      </w:tr>
    </w:tbl>
    <w:p>
      <w:pPr>
        <w:pStyle w:val="BodyText"/>
        <w:spacing w:line="446" w:lineRule="auto"/>
        <w:rPr/>
      </w:pPr>
      <w:r/>
    </w:p>
    <w:p>
      <w:pPr>
        <w:ind w:left="68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第三百一十三条医学会、司法鉴定机构出具虚假医疗损害</w:t>
      </w:r>
      <w:r>
        <w:rPr>
          <w:rFonts w:ascii="FangSong" w:hAnsi="FangSong" w:eastAsia="FangSong" w:cs="FangSong"/>
          <w:sz w:val="30"/>
          <w:szCs w:val="30"/>
          <w:b/>
          <w:bCs/>
          <w:spacing w:val="21"/>
        </w:rPr>
        <w:t>鉴定意见的</w:t>
      </w:r>
    </w:p>
    <w:p>
      <w:pPr>
        <w:ind w:left="675"/>
        <w:spacing w:before="10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spacing w:before="85" w:line="220" w:lineRule="auto"/>
        <w:jc w:val="right"/>
        <w:rPr>
          <w:rFonts w:ascii="FangSong" w:hAnsi="FangSong" w:eastAsia="FangSong" w:cs="FangSong"/>
          <w:sz w:val="30"/>
          <w:szCs w:val="30"/>
        </w:rPr>
      </w:pPr>
      <w:r>
        <w:rPr>
          <w:rFonts w:ascii="FangSong" w:hAnsi="FangSong" w:eastAsia="FangSong" w:cs="FangSong"/>
          <w:sz w:val="30"/>
          <w:szCs w:val="30"/>
          <w:spacing w:val="12"/>
        </w:rPr>
        <w:t>《医疗纠纷预防和处理条例》第四十八条</w:t>
      </w:r>
      <w:r>
        <w:rPr>
          <w:rFonts w:ascii="FangSong" w:hAnsi="FangSong" w:eastAsia="FangSong" w:cs="FangSong"/>
          <w:sz w:val="30"/>
          <w:szCs w:val="30"/>
          <w:spacing w:val="12"/>
        </w:rPr>
        <w:t xml:space="preserve">  </w:t>
      </w:r>
      <w:r>
        <w:rPr>
          <w:rFonts w:ascii="FangSong" w:hAnsi="FangSong" w:eastAsia="FangSong" w:cs="FangSong"/>
          <w:sz w:val="30"/>
          <w:szCs w:val="30"/>
          <w:spacing w:val="12"/>
        </w:rPr>
        <w:t>医学会、司</w:t>
      </w:r>
      <w:r>
        <w:rPr>
          <w:rFonts w:ascii="FangSong" w:hAnsi="FangSong" w:eastAsia="FangSong" w:cs="FangSong"/>
          <w:sz w:val="30"/>
          <w:szCs w:val="30"/>
          <w:spacing w:val="11"/>
        </w:rPr>
        <w:t>法鉴定机构出具虚假医疗损害鉴定意见的，</w:t>
      </w:r>
    </w:p>
    <w:p>
      <w:pPr>
        <w:spacing w:line="220" w:lineRule="auto"/>
        <w:sectPr>
          <w:footerReference w:type="default" r:id="rId362"/>
          <w:pgSz w:w="16830" w:h="11900"/>
          <w:pgMar w:top="1011" w:right="1349" w:bottom="1115" w:left="1414" w:header="0" w:footer="773" w:gutter="0"/>
        </w:sectPr>
        <w:rPr>
          <w:rFonts w:ascii="FangSong" w:hAnsi="FangSong" w:eastAsia="FangSong" w:cs="FangSong"/>
          <w:sz w:val="30"/>
          <w:szCs w:val="30"/>
        </w:rPr>
      </w:pPr>
    </w:p>
    <w:p>
      <w:pPr>
        <w:pStyle w:val="BodyText"/>
        <w:spacing w:line="260" w:lineRule="auto"/>
        <w:rPr/>
      </w:pPr>
      <w:r/>
    </w:p>
    <w:p>
      <w:pPr>
        <w:pStyle w:val="BodyText"/>
        <w:spacing w:line="260" w:lineRule="auto"/>
        <w:rPr/>
      </w:pPr>
      <w:r/>
    </w:p>
    <w:p>
      <w:pPr>
        <w:pStyle w:val="BodyText"/>
        <w:spacing w:line="261" w:lineRule="auto"/>
        <w:rPr/>
      </w:pPr>
      <w:r/>
    </w:p>
    <w:p>
      <w:pPr>
        <w:ind w:left="25"/>
        <w:spacing w:before="97" w:line="270" w:lineRule="auto"/>
        <w:jc w:val="both"/>
        <w:rPr>
          <w:rFonts w:ascii="FangSong" w:hAnsi="FangSong" w:eastAsia="FangSong" w:cs="FangSong"/>
          <w:sz w:val="30"/>
          <w:szCs w:val="30"/>
        </w:rPr>
      </w:pPr>
      <w:bookmarkStart w:name="bookmark1015" w:id="384"/>
      <w:bookmarkEnd w:id="384"/>
      <w:r>
        <w:rPr>
          <w:rFonts w:ascii="FangSong" w:hAnsi="FangSong" w:eastAsia="FangSong" w:cs="FangSong"/>
          <w:sz w:val="30"/>
          <w:szCs w:val="30"/>
          <w:spacing w:val="22"/>
        </w:rPr>
        <w:t>由县级以上人民政府卫生、司法行政部门依据职责没</w:t>
      </w:r>
      <w:r>
        <w:rPr>
          <w:rFonts w:ascii="FangSong" w:hAnsi="FangSong" w:eastAsia="FangSong" w:cs="FangSong"/>
          <w:sz w:val="30"/>
          <w:szCs w:val="30"/>
          <w:spacing w:val="21"/>
        </w:rPr>
        <w:t>收违法所得，并处5万元以上10万元以下罚款，</w:t>
      </w:r>
      <w:r>
        <w:rPr>
          <w:rFonts w:ascii="FangSong" w:hAnsi="FangSong" w:eastAsia="FangSong" w:cs="FangSong"/>
          <w:sz w:val="30"/>
          <w:szCs w:val="30"/>
        </w:rPr>
        <w:t xml:space="preserve"> </w:t>
      </w:r>
      <w:r>
        <w:rPr>
          <w:rFonts w:ascii="FangSong" w:hAnsi="FangSong" w:eastAsia="FangSong" w:cs="FangSong"/>
          <w:sz w:val="30"/>
          <w:szCs w:val="30"/>
          <w:spacing w:val="23"/>
        </w:rPr>
        <w:t>对该医学会、司法鉴定机构和有关鉴定人员责令暂停3个月以上1年以下医疗损害鉴定业务，对直接</w:t>
      </w:r>
      <w:r>
        <w:rPr>
          <w:rFonts w:ascii="FangSong" w:hAnsi="FangSong" w:eastAsia="FangSong" w:cs="FangSong"/>
          <w:sz w:val="30"/>
          <w:szCs w:val="30"/>
          <w:spacing w:val="5"/>
        </w:rPr>
        <w:t xml:space="preserve"> </w:t>
      </w:r>
      <w:r>
        <w:rPr>
          <w:rFonts w:ascii="FangSong" w:hAnsi="FangSong" w:eastAsia="FangSong" w:cs="FangSong"/>
          <w:sz w:val="30"/>
          <w:szCs w:val="30"/>
          <w:spacing w:val="19"/>
        </w:rPr>
        <w:t>负责的主管人员和其他直接责任人员给予或者责令给予降低</w:t>
      </w:r>
      <w:r>
        <w:rPr>
          <w:rFonts w:ascii="FangSong" w:hAnsi="FangSong" w:eastAsia="FangSong" w:cs="FangSong"/>
          <w:sz w:val="30"/>
          <w:szCs w:val="30"/>
          <w:spacing w:val="18"/>
        </w:rPr>
        <w:t>岗位等级或者撤职的处分；情节严重的，</w:t>
      </w:r>
      <w:r>
        <w:rPr>
          <w:rFonts w:ascii="FangSong" w:hAnsi="FangSong" w:eastAsia="FangSong" w:cs="FangSong"/>
          <w:sz w:val="30"/>
          <w:szCs w:val="30"/>
        </w:rPr>
        <w:t xml:space="preserve"> </w:t>
      </w:r>
      <w:r>
        <w:rPr>
          <w:rFonts w:ascii="FangSong" w:hAnsi="FangSong" w:eastAsia="FangSong" w:cs="FangSong"/>
          <w:sz w:val="30"/>
          <w:szCs w:val="30"/>
          <w:spacing w:val="20"/>
        </w:rPr>
        <w:t>该医学会、司法鉴定机构和有关鉴定人员5年内不</w:t>
      </w:r>
      <w:r>
        <w:rPr>
          <w:rFonts w:ascii="FangSong" w:hAnsi="FangSong" w:eastAsia="FangSong" w:cs="FangSong"/>
          <w:sz w:val="30"/>
          <w:szCs w:val="30"/>
          <w:spacing w:val="19"/>
        </w:rPr>
        <w:t>得从事医疗损害鉴定业务或者撤销登记，对直接负</w:t>
      </w:r>
      <w:r>
        <w:rPr>
          <w:rFonts w:ascii="FangSong" w:hAnsi="FangSong" w:eastAsia="FangSong" w:cs="FangSong"/>
          <w:sz w:val="30"/>
          <w:szCs w:val="30"/>
        </w:rPr>
        <w:t xml:space="preserve"> </w:t>
      </w:r>
      <w:r>
        <w:rPr>
          <w:rFonts w:ascii="FangSong" w:hAnsi="FangSong" w:eastAsia="FangSong" w:cs="FangSong"/>
          <w:sz w:val="30"/>
          <w:szCs w:val="30"/>
          <w:spacing w:val="19"/>
        </w:rPr>
        <w:t>责的主管人员和其他直接责任人员给予或者责令给予开除的处</w:t>
      </w:r>
      <w:r>
        <w:rPr>
          <w:rFonts w:ascii="FangSong" w:hAnsi="FangSong" w:eastAsia="FangSong" w:cs="FangSong"/>
          <w:sz w:val="30"/>
          <w:szCs w:val="30"/>
          <w:spacing w:val="18"/>
        </w:rPr>
        <w:t>分；构成犯罪的，依法追究刑事责任。</w:t>
      </w:r>
    </w:p>
    <w:p>
      <w:pPr>
        <w:ind w:left="6429"/>
        <w:spacing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204"/>
        <w:gridCol w:w="6236"/>
        <w:gridCol w:w="6490"/>
      </w:tblGrid>
      <w:tr>
        <w:trPr>
          <w:trHeight w:val="893" w:hRule="atLeast"/>
        </w:trPr>
        <w:tc>
          <w:tcPr>
            <w:tcW w:w="1204" w:type="dxa"/>
            <w:vAlign w:val="top"/>
          </w:tcPr>
          <w:p>
            <w:pPr>
              <w:pStyle w:val="TableText"/>
              <w:ind w:left="218"/>
              <w:spacing w:before="102" w:line="220" w:lineRule="auto"/>
              <w:rPr>
                <w:sz w:val="25"/>
                <w:szCs w:val="25"/>
              </w:rPr>
            </w:pPr>
            <w:r>
              <w:rPr>
                <w:sz w:val="25"/>
                <w:szCs w:val="25"/>
                <w:b/>
                <w:bCs/>
                <w:spacing w:val="-5"/>
              </w:rPr>
              <w:t>违法程</w:t>
            </w:r>
          </w:p>
          <w:p>
            <w:pPr>
              <w:pStyle w:val="TableText"/>
              <w:ind w:left="468"/>
              <w:spacing w:before="152" w:line="220" w:lineRule="auto"/>
              <w:rPr>
                <w:sz w:val="25"/>
                <w:szCs w:val="25"/>
              </w:rPr>
            </w:pPr>
            <w:r>
              <w:rPr>
                <w:sz w:val="25"/>
                <w:szCs w:val="25"/>
                <w:b/>
                <w:bCs/>
                <w:spacing w:val="-3"/>
              </w:rPr>
              <w:t>度</w:t>
            </w:r>
          </w:p>
        </w:tc>
        <w:tc>
          <w:tcPr>
            <w:tcW w:w="6236" w:type="dxa"/>
            <w:vAlign w:val="top"/>
          </w:tcPr>
          <w:p>
            <w:pPr>
              <w:pStyle w:val="TableText"/>
              <w:ind w:left="2544"/>
              <w:spacing w:before="322" w:line="220" w:lineRule="auto"/>
              <w:rPr>
                <w:sz w:val="25"/>
                <w:szCs w:val="25"/>
              </w:rPr>
            </w:pPr>
            <w:r>
              <w:rPr>
                <w:sz w:val="25"/>
                <w:szCs w:val="25"/>
                <w:b/>
                <w:bCs/>
                <w:spacing w:val="-5"/>
              </w:rPr>
              <w:t>情节后果</w:t>
            </w:r>
          </w:p>
        </w:tc>
        <w:tc>
          <w:tcPr>
            <w:tcW w:w="6490" w:type="dxa"/>
            <w:vAlign w:val="top"/>
          </w:tcPr>
          <w:p>
            <w:pPr>
              <w:pStyle w:val="TableText"/>
              <w:ind w:left="2738"/>
              <w:spacing w:before="319" w:line="218" w:lineRule="auto"/>
              <w:rPr>
                <w:sz w:val="25"/>
                <w:szCs w:val="25"/>
              </w:rPr>
            </w:pPr>
            <w:r>
              <w:rPr>
                <w:sz w:val="25"/>
                <w:szCs w:val="25"/>
                <w:b/>
                <w:bCs/>
                <w:spacing w:val="-5"/>
              </w:rPr>
              <w:t>裁量幅度</w:t>
            </w:r>
          </w:p>
        </w:tc>
      </w:tr>
      <w:tr>
        <w:trPr>
          <w:trHeight w:val="1306" w:hRule="atLeast"/>
        </w:trPr>
        <w:tc>
          <w:tcPr>
            <w:tcW w:w="1204" w:type="dxa"/>
            <w:vAlign w:val="top"/>
          </w:tcPr>
          <w:p>
            <w:pPr>
              <w:spacing w:line="446" w:lineRule="auto"/>
              <w:rPr>
                <w:rFonts w:ascii="Arial"/>
                <w:sz w:val="21"/>
              </w:rPr>
            </w:pPr>
            <w:r/>
          </w:p>
          <w:p>
            <w:pPr>
              <w:pStyle w:val="TableText"/>
              <w:ind w:left="348"/>
              <w:spacing w:before="81" w:line="221" w:lineRule="auto"/>
              <w:rPr>
                <w:sz w:val="25"/>
                <w:szCs w:val="25"/>
              </w:rPr>
            </w:pPr>
            <w:r>
              <w:rPr>
                <w:sz w:val="25"/>
                <w:szCs w:val="25"/>
                <w:b/>
                <w:bCs/>
                <w:spacing w:val="-10"/>
              </w:rPr>
              <w:t>一般</w:t>
            </w:r>
          </w:p>
        </w:tc>
        <w:tc>
          <w:tcPr>
            <w:tcW w:w="6236" w:type="dxa"/>
            <w:vAlign w:val="top"/>
          </w:tcPr>
          <w:p>
            <w:pPr>
              <w:spacing w:line="446" w:lineRule="auto"/>
              <w:rPr>
                <w:rFonts w:ascii="Arial"/>
                <w:sz w:val="21"/>
              </w:rPr>
            </w:pPr>
            <w:r/>
          </w:p>
          <w:p>
            <w:pPr>
              <w:pStyle w:val="TableText"/>
              <w:ind w:left="90"/>
              <w:spacing w:before="82" w:line="219" w:lineRule="auto"/>
              <w:rPr>
                <w:sz w:val="25"/>
                <w:szCs w:val="25"/>
              </w:rPr>
            </w:pPr>
            <w:r>
              <w:rPr>
                <w:sz w:val="25"/>
                <w:szCs w:val="25"/>
              </w:rPr>
              <w:t>医学会出具虚假医疗损害鉴定意见，首次发现的</w:t>
            </w:r>
          </w:p>
        </w:tc>
        <w:tc>
          <w:tcPr>
            <w:tcW w:w="6490" w:type="dxa"/>
            <w:vAlign w:val="top"/>
          </w:tcPr>
          <w:p>
            <w:pPr>
              <w:pStyle w:val="TableText"/>
              <w:ind w:left="114" w:hanging="69"/>
              <w:spacing w:before="142" w:line="284" w:lineRule="auto"/>
              <w:jc w:val="both"/>
              <w:rPr>
                <w:sz w:val="25"/>
                <w:szCs w:val="25"/>
              </w:rPr>
            </w:pPr>
            <w:r>
              <w:rPr>
                <w:sz w:val="25"/>
                <w:szCs w:val="25"/>
                <w:spacing w:val="-3"/>
              </w:rPr>
              <w:t>由县级以上人民政府卫生行政部门依据职责没收违法所得，</w:t>
            </w:r>
            <w:r>
              <w:rPr>
                <w:sz w:val="25"/>
                <w:szCs w:val="25"/>
                <w:spacing w:val="11"/>
              </w:rPr>
              <w:t xml:space="preserve"> </w:t>
            </w:r>
            <w:r>
              <w:rPr>
                <w:sz w:val="25"/>
                <w:szCs w:val="25"/>
                <w:spacing w:val="-2"/>
              </w:rPr>
              <w:t>并处5万元以上7万元以下罚款，对该医学会</w:t>
            </w:r>
            <w:r>
              <w:rPr>
                <w:sz w:val="25"/>
                <w:szCs w:val="25"/>
                <w:spacing w:val="-3"/>
              </w:rPr>
              <w:t>和有关鉴定人</w:t>
            </w:r>
            <w:r>
              <w:rPr>
                <w:sz w:val="25"/>
                <w:szCs w:val="25"/>
              </w:rPr>
              <w:t xml:space="preserve">  </w:t>
            </w:r>
            <w:r>
              <w:rPr>
                <w:sz w:val="25"/>
                <w:szCs w:val="25"/>
                <w:spacing w:val="-2"/>
              </w:rPr>
              <w:t>员责令暂停3个月以上6个月以下医疗损害鉴定业务</w:t>
            </w:r>
          </w:p>
        </w:tc>
      </w:tr>
      <w:tr>
        <w:trPr>
          <w:trHeight w:val="1301" w:hRule="atLeast"/>
        </w:trPr>
        <w:tc>
          <w:tcPr>
            <w:tcW w:w="1204" w:type="dxa"/>
            <w:vAlign w:val="top"/>
          </w:tcPr>
          <w:p>
            <w:pPr>
              <w:spacing w:line="449" w:lineRule="auto"/>
              <w:rPr>
                <w:rFonts w:ascii="Arial"/>
                <w:sz w:val="21"/>
              </w:rPr>
            </w:pPr>
            <w:r/>
          </w:p>
          <w:p>
            <w:pPr>
              <w:pStyle w:val="TableText"/>
              <w:ind w:left="348"/>
              <w:spacing w:before="81" w:line="220" w:lineRule="auto"/>
              <w:rPr>
                <w:sz w:val="25"/>
                <w:szCs w:val="25"/>
              </w:rPr>
            </w:pPr>
            <w:r>
              <w:rPr>
                <w:sz w:val="25"/>
                <w:szCs w:val="25"/>
                <w:b/>
                <w:bCs/>
                <w:spacing w:val="-6"/>
              </w:rPr>
              <w:t>严重</w:t>
            </w:r>
          </w:p>
        </w:tc>
        <w:tc>
          <w:tcPr>
            <w:tcW w:w="6236" w:type="dxa"/>
            <w:vAlign w:val="top"/>
          </w:tcPr>
          <w:p>
            <w:pPr>
              <w:spacing w:line="281" w:lineRule="auto"/>
              <w:rPr>
                <w:rFonts w:ascii="Arial"/>
                <w:sz w:val="21"/>
              </w:rPr>
            </w:pPr>
            <w:r/>
          </w:p>
          <w:p>
            <w:pPr>
              <w:pStyle w:val="TableText"/>
              <w:ind w:left="90"/>
              <w:spacing w:before="81" w:line="329" w:lineRule="auto"/>
              <w:rPr>
                <w:sz w:val="25"/>
                <w:szCs w:val="25"/>
              </w:rPr>
            </w:pPr>
            <w:r>
              <w:rPr>
                <w:sz w:val="25"/>
                <w:szCs w:val="25"/>
                <w:spacing w:val="-5"/>
              </w:rPr>
              <w:t>医学会出具虚假医疗损害鉴定意见，经处罚再次发现有该</w:t>
            </w:r>
            <w:r>
              <w:rPr>
                <w:sz w:val="25"/>
                <w:szCs w:val="25"/>
                <w:spacing w:val="9"/>
              </w:rPr>
              <w:t xml:space="preserve"> </w:t>
            </w:r>
            <w:r>
              <w:rPr>
                <w:sz w:val="25"/>
                <w:szCs w:val="25"/>
                <w:spacing w:val="6"/>
              </w:rPr>
              <w:t>行为的</w:t>
            </w:r>
          </w:p>
        </w:tc>
        <w:tc>
          <w:tcPr>
            <w:tcW w:w="6490" w:type="dxa"/>
            <w:vAlign w:val="top"/>
          </w:tcPr>
          <w:p>
            <w:pPr>
              <w:pStyle w:val="TableText"/>
              <w:ind w:left="45"/>
              <w:spacing w:before="165" w:line="277" w:lineRule="auto"/>
              <w:jc w:val="both"/>
              <w:rPr>
                <w:sz w:val="25"/>
                <w:szCs w:val="25"/>
              </w:rPr>
            </w:pPr>
            <w:r>
              <w:rPr>
                <w:sz w:val="25"/>
                <w:szCs w:val="25"/>
                <w:spacing w:val="-3"/>
              </w:rPr>
              <w:t>由县级以上人民政府卫生行政部门依据职责没收违法所得，</w:t>
            </w:r>
            <w:r>
              <w:rPr>
                <w:sz w:val="25"/>
                <w:szCs w:val="25"/>
                <w:spacing w:val="11"/>
              </w:rPr>
              <w:t xml:space="preserve"> </w:t>
            </w:r>
            <w:r>
              <w:rPr>
                <w:sz w:val="25"/>
                <w:szCs w:val="25"/>
                <w:spacing w:val="-2"/>
              </w:rPr>
              <w:t>并处7万元以上10万元以下罚款，对该医学会和有关鉴定人</w:t>
            </w:r>
            <w:r>
              <w:rPr>
                <w:sz w:val="25"/>
                <w:szCs w:val="25"/>
              </w:rPr>
              <w:t xml:space="preserve">  </w:t>
            </w:r>
            <w:r>
              <w:rPr>
                <w:sz w:val="25"/>
                <w:szCs w:val="25"/>
                <w:spacing w:val="2"/>
              </w:rPr>
              <w:t>员责令暂停6个月以上1年以下医疗损害鉴定业务</w:t>
            </w:r>
          </w:p>
        </w:tc>
      </w:tr>
    </w:tbl>
    <w:p>
      <w:pPr>
        <w:pStyle w:val="BodyText"/>
        <w:spacing w:line="466" w:lineRule="auto"/>
        <w:rPr/>
      </w:pPr>
      <w:r/>
    </w:p>
    <w:p>
      <w:pPr>
        <w:ind w:left="669"/>
        <w:spacing w:before="98" w:line="220" w:lineRule="auto"/>
        <w:rPr>
          <w:rFonts w:ascii="FangSong" w:hAnsi="FangSong" w:eastAsia="FangSong" w:cs="FangSong"/>
          <w:sz w:val="30"/>
          <w:szCs w:val="30"/>
        </w:rPr>
      </w:pPr>
      <w:r>
        <w:rPr>
          <w:rFonts w:ascii="FangSong" w:hAnsi="FangSong" w:eastAsia="FangSong" w:cs="FangSong"/>
          <w:sz w:val="30"/>
          <w:szCs w:val="30"/>
          <w:b/>
          <w:bCs/>
          <w:spacing w:val="24"/>
        </w:rPr>
        <w:t>第三百一十四条尸检机构出具虚假尸检报告的</w:t>
      </w:r>
    </w:p>
    <w:p>
      <w:pPr>
        <w:ind w:left="644"/>
        <w:spacing w:before="7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654"/>
        <w:spacing w:before="95" w:line="220" w:lineRule="auto"/>
        <w:rPr>
          <w:rFonts w:ascii="FangSong" w:hAnsi="FangSong" w:eastAsia="FangSong" w:cs="FangSong"/>
          <w:sz w:val="30"/>
          <w:szCs w:val="30"/>
        </w:rPr>
      </w:pPr>
      <w:r>
        <w:rPr>
          <w:rFonts w:ascii="FangSong" w:hAnsi="FangSong" w:eastAsia="FangSong" w:cs="FangSong"/>
          <w:sz w:val="30"/>
          <w:szCs w:val="30"/>
          <w:spacing w:val="15"/>
        </w:rPr>
        <w:t>《医疗纠纷预防和处理条例》第四十九条</w:t>
      </w:r>
      <w:r>
        <w:rPr>
          <w:rFonts w:ascii="FangSong" w:hAnsi="FangSong" w:eastAsia="FangSong" w:cs="FangSong"/>
          <w:sz w:val="30"/>
          <w:szCs w:val="30"/>
          <w:spacing w:val="50"/>
        </w:rPr>
        <w:t xml:space="preserve">  </w:t>
      </w:r>
      <w:r>
        <w:rPr>
          <w:rFonts w:ascii="FangSong" w:hAnsi="FangSong" w:eastAsia="FangSong" w:cs="FangSong"/>
          <w:sz w:val="30"/>
          <w:szCs w:val="30"/>
          <w:spacing w:val="15"/>
        </w:rPr>
        <w:t>尸检</w:t>
      </w:r>
      <w:r>
        <w:rPr>
          <w:rFonts w:ascii="FangSong" w:hAnsi="FangSong" w:eastAsia="FangSong" w:cs="FangSong"/>
          <w:sz w:val="30"/>
          <w:szCs w:val="30"/>
          <w:spacing w:val="14"/>
        </w:rPr>
        <w:t>机构出具虚假尸检报告的，由县级以上人民政府</w:t>
      </w:r>
    </w:p>
    <w:p>
      <w:pPr>
        <w:spacing w:line="220" w:lineRule="auto"/>
        <w:sectPr>
          <w:footerReference w:type="default" r:id="rId363"/>
          <w:pgSz w:w="16830" w:h="11900"/>
          <w:pgMar w:top="1011" w:right="1359" w:bottom="1118" w:left="1425" w:header="0" w:footer="785" w:gutter="0"/>
        </w:sectPr>
        <w:rPr>
          <w:rFonts w:ascii="FangSong" w:hAnsi="FangSong" w:eastAsia="FangSong" w:cs="FangSong"/>
          <w:sz w:val="30"/>
          <w:szCs w:val="30"/>
        </w:rPr>
      </w:pPr>
    </w:p>
    <w:p>
      <w:pPr>
        <w:pStyle w:val="BodyText"/>
        <w:spacing w:line="256" w:lineRule="auto"/>
        <w:rPr/>
      </w:pPr>
      <w:r/>
    </w:p>
    <w:p>
      <w:pPr>
        <w:pStyle w:val="BodyText"/>
        <w:spacing w:line="256" w:lineRule="auto"/>
        <w:rPr/>
      </w:pPr>
      <w:r/>
    </w:p>
    <w:p>
      <w:pPr>
        <w:pStyle w:val="BodyText"/>
        <w:spacing w:line="257" w:lineRule="auto"/>
        <w:rPr/>
      </w:pPr>
      <w:r/>
    </w:p>
    <w:p>
      <w:pPr>
        <w:ind w:left="15"/>
        <w:spacing w:before="101" w:line="263" w:lineRule="auto"/>
        <w:jc w:val="both"/>
        <w:rPr>
          <w:rFonts w:ascii="FangSong" w:hAnsi="FangSong" w:eastAsia="FangSong" w:cs="FangSong"/>
          <w:sz w:val="31"/>
          <w:szCs w:val="31"/>
        </w:rPr>
      </w:pPr>
      <w:bookmarkStart w:name="bookmark1016" w:id="385"/>
      <w:bookmarkEnd w:id="385"/>
      <w:r>
        <w:rPr>
          <w:rFonts w:ascii="FangSong" w:hAnsi="FangSong" w:eastAsia="FangSong" w:cs="FangSong"/>
          <w:sz w:val="31"/>
          <w:szCs w:val="31"/>
          <w:spacing w:val="17"/>
        </w:rPr>
        <w:t>卫生、司法行政部门依据职责没收违法所得，并处5万元以上10万元以下罚款，对该尸检机构和有</w:t>
      </w:r>
      <w:r>
        <w:rPr>
          <w:rFonts w:ascii="FangSong" w:hAnsi="FangSong" w:eastAsia="FangSong" w:cs="FangSong"/>
          <w:sz w:val="31"/>
          <w:szCs w:val="31"/>
          <w:spacing w:val="17"/>
        </w:rPr>
        <w:t xml:space="preserve"> </w:t>
      </w:r>
      <w:r>
        <w:rPr>
          <w:rFonts w:ascii="FangSong" w:hAnsi="FangSong" w:eastAsia="FangSong" w:cs="FangSong"/>
          <w:sz w:val="31"/>
          <w:szCs w:val="31"/>
          <w:spacing w:val="14"/>
        </w:rPr>
        <w:t>关尸检专业技术人员责令暂停3个月以上1年以下尸检业务，对直接</w:t>
      </w:r>
      <w:r>
        <w:rPr>
          <w:rFonts w:ascii="FangSong" w:hAnsi="FangSong" w:eastAsia="FangSong" w:cs="FangSong"/>
          <w:sz w:val="31"/>
          <w:szCs w:val="31"/>
          <w:spacing w:val="13"/>
        </w:rPr>
        <w:t>负责的主管人员和其他直接责任</w:t>
      </w:r>
      <w:r>
        <w:rPr>
          <w:rFonts w:ascii="FangSong" w:hAnsi="FangSong" w:eastAsia="FangSong" w:cs="FangSong"/>
          <w:sz w:val="31"/>
          <w:szCs w:val="31"/>
        </w:rPr>
        <w:t xml:space="preserve"> </w:t>
      </w:r>
      <w:r>
        <w:rPr>
          <w:rFonts w:ascii="FangSong" w:hAnsi="FangSong" w:eastAsia="FangSong" w:cs="FangSong"/>
          <w:sz w:val="31"/>
          <w:szCs w:val="31"/>
          <w:spacing w:val="7"/>
        </w:rPr>
        <w:t>人员给予或者责令给予降低岗位等级或者撤职的处分；情</w:t>
      </w:r>
      <w:r>
        <w:rPr>
          <w:rFonts w:ascii="FangSong" w:hAnsi="FangSong" w:eastAsia="FangSong" w:cs="FangSong"/>
          <w:sz w:val="31"/>
          <w:szCs w:val="31"/>
          <w:spacing w:val="6"/>
        </w:rPr>
        <w:t>节严重的，撤销该尸检机构和有关尸检专业</w:t>
      </w:r>
      <w:r>
        <w:rPr>
          <w:rFonts w:ascii="FangSong" w:hAnsi="FangSong" w:eastAsia="FangSong" w:cs="FangSong"/>
          <w:sz w:val="31"/>
          <w:szCs w:val="31"/>
        </w:rPr>
        <w:t xml:space="preserve"> </w:t>
      </w:r>
      <w:r>
        <w:rPr>
          <w:rFonts w:ascii="FangSong" w:hAnsi="FangSong" w:eastAsia="FangSong" w:cs="FangSong"/>
          <w:sz w:val="31"/>
          <w:szCs w:val="31"/>
          <w:spacing w:val="7"/>
        </w:rPr>
        <w:t>技术人员的尸检资格，对直接负责的主管人员和其他直接责任人员给予或者责令给予开</w:t>
      </w:r>
      <w:r>
        <w:rPr>
          <w:rFonts w:ascii="FangSong" w:hAnsi="FangSong" w:eastAsia="FangSong" w:cs="FangSong"/>
          <w:sz w:val="31"/>
          <w:szCs w:val="31"/>
          <w:spacing w:val="6"/>
        </w:rPr>
        <w:t>除的处分；构</w:t>
      </w:r>
      <w:r>
        <w:rPr>
          <w:rFonts w:ascii="FangSong" w:hAnsi="FangSong" w:eastAsia="FangSong" w:cs="FangSong"/>
          <w:sz w:val="31"/>
          <w:szCs w:val="31"/>
        </w:rPr>
        <w:t xml:space="preserve"> </w:t>
      </w:r>
      <w:r>
        <w:rPr>
          <w:rFonts w:ascii="FangSong" w:hAnsi="FangSong" w:eastAsia="FangSong" w:cs="FangSong"/>
          <w:sz w:val="31"/>
          <w:szCs w:val="31"/>
          <w:spacing w:val="6"/>
        </w:rPr>
        <w:t>成犯罪的，依法追究刑事责任。</w:t>
      </w:r>
    </w:p>
    <w:p>
      <w:pPr>
        <w:ind w:left="6419"/>
        <w:spacing w:before="4"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23"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84"/>
        <w:gridCol w:w="5526"/>
        <w:gridCol w:w="6713"/>
      </w:tblGrid>
      <w:tr>
        <w:trPr>
          <w:trHeight w:val="553" w:hRule="atLeast"/>
        </w:trPr>
        <w:tc>
          <w:tcPr>
            <w:tcW w:w="1684" w:type="dxa"/>
            <w:vAlign w:val="top"/>
          </w:tcPr>
          <w:p>
            <w:pPr>
              <w:pStyle w:val="TableText"/>
              <w:ind w:left="338"/>
              <w:spacing w:before="152" w:line="220" w:lineRule="auto"/>
              <w:rPr>
                <w:sz w:val="25"/>
                <w:szCs w:val="25"/>
              </w:rPr>
            </w:pPr>
            <w:r>
              <w:rPr>
                <w:sz w:val="25"/>
                <w:szCs w:val="25"/>
                <w:b/>
                <w:bCs/>
                <w:spacing w:val="-5"/>
              </w:rPr>
              <w:t>违法程度</w:t>
            </w:r>
          </w:p>
        </w:tc>
        <w:tc>
          <w:tcPr>
            <w:tcW w:w="5526" w:type="dxa"/>
            <w:vAlign w:val="top"/>
          </w:tcPr>
          <w:p>
            <w:pPr>
              <w:pStyle w:val="TableText"/>
              <w:ind w:left="2214"/>
              <w:spacing w:before="152" w:line="220" w:lineRule="auto"/>
              <w:rPr>
                <w:sz w:val="25"/>
                <w:szCs w:val="25"/>
              </w:rPr>
            </w:pPr>
            <w:r>
              <w:rPr>
                <w:sz w:val="25"/>
                <w:szCs w:val="25"/>
                <w:b/>
                <w:bCs/>
                <w:spacing w:val="-5"/>
              </w:rPr>
              <w:t>情节后果</w:t>
            </w:r>
          </w:p>
        </w:tc>
        <w:tc>
          <w:tcPr>
            <w:tcW w:w="6713" w:type="dxa"/>
            <w:vAlign w:val="top"/>
          </w:tcPr>
          <w:p>
            <w:pPr>
              <w:pStyle w:val="TableText"/>
              <w:ind w:left="2808"/>
              <w:spacing w:before="149" w:line="218" w:lineRule="auto"/>
              <w:rPr>
                <w:sz w:val="25"/>
                <w:szCs w:val="25"/>
              </w:rPr>
            </w:pPr>
            <w:r>
              <w:rPr>
                <w:sz w:val="25"/>
                <w:szCs w:val="25"/>
                <w:b/>
                <w:bCs/>
                <w:spacing w:val="-5"/>
              </w:rPr>
              <w:t>裁量幅度</w:t>
            </w:r>
          </w:p>
        </w:tc>
      </w:tr>
      <w:tr>
        <w:trPr>
          <w:trHeight w:val="1306" w:hRule="atLeast"/>
        </w:trPr>
        <w:tc>
          <w:tcPr>
            <w:tcW w:w="1684" w:type="dxa"/>
            <w:vAlign w:val="top"/>
          </w:tcPr>
          <w:p>
            <w:pPr>
              <w:spacing w:line="446" w:lineRule="auto"/>
              <w:rPr>
                <w:rFonts w:ascii="Arial"/>
                <w:sz w:val="21"/>
              </w:rPr>
            </w:pPr>
            <w:r/>
          </w:p>
          <w:p>
            <w:pPr>
              <w:pStyle w:val="TableText"/>
              <w:ind w:left="588"/>
              <w:spacing w:before="81" w:line="221" w:lineRule="auto"/>
              <w:rPr>
                <w:sz w:val="25"/>
                <w:szCs w:val="25"/>
              </w:rPr>
            </w:pPr>
            <w:r>
              <w:rPr>
                <w:sz w:val="25"/>
                <w:szCs w:val="25"/>
                <w:b/>
                <w:bCs/>
                <w:spacing w:val="-10"/>
              </w:rPr>
              <w:t>一般</w:t>
            </w:r>
          </w:p>
        </w:tc>
        <w:tc>
          <w:tcPr>
            <w:tcW w:w="5526" w:type="dxa"/>
            <w:vAlign w:val="top"/>
          </w:tcPr>
          <w:p>
            <w:pPr>
              <w:spacing w:line="446" w:lineRule="auto"/>
              <w:rPr>
                <w:rFonts w:ascii="Arial"/>
                <w:sz w:val="21"/>
              </w:rPr>
            </w:pPr>
            <w:r/>
          </w:p>
          <w:p>
            <w:pPr>
              <w:pStyle w:val="TableText"/>
              <w:ind w:left="110"/>
              <w:spacing w:before="81" w:line="218" w:lineRule="auto"/>
              <w:rPr>
                <w:sz w:val="25"/>
                <w:szCs w:val="25"/>
              </w:rPr>
            </w:pPr>
            <w:r>
              <w:rPr>
                <w:sz w:val="25"/>
                <w:szCs w:val="25"/>
                <w:spacing w:val="1"/>
              </w:rPr>
              <w:t>尸检机构出具虚假尸检报告，首次发现的</w:t>
            </w:r>
          </w:p>
        </w:tc>
        <w:tc>
          <w:tcPr>
            <w:tcW w:w="6713" w:type="dxa"/>
            <w:vAlign w:val="top"/>
          </w:tcPr>
          <w:p>
            <w:pPr>
              <w:pStyle w:val="TableText"/>
              <w:ind w:left="125" w:right="9" w:firstLine="20"/>
              <w:spacing w:before="150" w:line="282" w:lineRule="auto"/>
              <w:jc w:val="both"/>
              <w:rPr>
                <w:sz w:val="25"/>
                <w:szCs w:val="25"/>
              </w:rPr>
            </w:pPr>
            <w:r>
              <w:rPr>
                <w:sz w:val="25"/>
                <w:szCs w:val="25"/>
                <w:spacing w:val="-8"/>
              </w:rPr>
              <w:t>由县级以上人民政府卫生、司法行政部门依据职责没收违法所</w:t>
            </w:r>
            <w:r>
              <w:rPr>
                <w:sz w:val="25"/>
                <w:szCs w:val="25"/>
                <w:spacing w:val="13"/>
              </w:rPr>
              <w:t xml:space="preserve"> </w:t>
            </w:r>
            <w:r>
              <w:rPr>
                <w:sz w:val="25"/>
                <w:szCs w:val="25"/>
                <w:spacing w:val="1"/>
              </w:rPr>
              <w:t>得，并处5万元以上7万元以下罚款，对该尸检机构和有关尸</w:t>
            </w:r>
            <w:r>
              <w:rPr>
                <w:sz w:val="25"/>
                <w:szCs w:val="25"/>
                <w:spacing w:val="10"/>
              </w:rPr>
              <w:t xml:space="preserve"> </w:t>
            </w:r>
            <w:r>
              <w:rPr>
                <w:sz w:val="25"/>
                <w:szCs w:val="25"/>
              </w:rPr>
              <w:t>检专业技术人员责令暂停3个月以上6个月以下尸检业务</w:t>
            </w:r>
          </w:p>
        </w:tc>
      </w:tr>
      <w:tr>
        <w:trPr>
          <w:trHeight w:val="1321" w:hRule="atLeast"/>
        </w:trPr>
        <w:tc>
          <w:tcPr>
            <w:tcW w:w="1684" w:type="dxa"/>
            <w:vAlign w:val="top"/>
          </w:tcPr>
          <w:p>
            <w:pPr>
              <w:spacing w:line="459" w:lineRule="auto"/>
              <w:rPr>
                <w:rFonts w:ascii="Arial"/>
                <w:sz w:val="21"/>
              </w:rPr>
            </w:pPr>
            <w:r/>
          </w:p>
          <w:p>
            <w:pPr>
              <w:pStyle w:val="TableText"/>
              <w:ind w:left="588"/>
              <w:spacing w:before="81" w:line="220" w:lineRule="auto"/>
              <w:rPr>
                <w:sz w:val="25"/>
                <w:szCs w:val="25"/>
              </w:rPr>
            </w:pPr>
            <w:r>
              <w:rPr>
                <w:sz w:val="25"/>
                <w:szCs w:val="25"/>
                <w:b/>
                <w:bCs/>
                <w:spacing w:val="-6"/>
              </w:rPr>
              <w:t>严重</w:t>
            </w:r>
          </w:p>
        </w:tc>
        <w:tc>
          <w:tcPr>
            <w:tcW w:w="5526" w:type="dxa"/>
            <w:vAlign w:val="top"/>
          </w:tcPr>
          <w:p>
            <w:pPr>
              <w:spacing w:line="291" w:lineRule="auto"/>
              <w:rPr>
                <w:rFonts w:ascii="Arial"/>
                <w:sz w:val="21"/>
              </w:rPr>
            </w:pPr>
            <w:r/>
          </w:p>
          <w:p>
            <w:pPr>
              <w:pStyle w:val="TableText"/>
              <w:ind w:left="110"/>
              <w:spacing w:before="81" w:line="344" w:lineRule="auto"/>
              <w:rPr>
                <w:sz w:val="25"/>
                <w:szCs w:val="25"/>
              </w:rPr>
            </w:pPr>
            <w:r>
              <w:rPr>
                <w:sz w:val="25"/>
                <w:szCs w:val="25"/>
                <w:spacing w:val="-5"/>
              </w:rPr>
              <w:t>尸检机构出具虚假尸检报告，经处罚再次发现有该</w:t>
            </w:r>
            <w:r>
              <w:rPr>
                <w:sz w:val="25"/>
                <w:szCs w:val="25"/>
                <w:spacing w:val="14"/>
              </w:rPr>
              <w:t xml:space="preserve"> </w:t>
            </w:r>
            <w:r>
              <w:rPr>
                <w:sz w:val="25"/>
                <w:szCs w:val="25"/>
                <w:spacing w:val="6"/>
              </w:rPr>
              <w:t>行为的</w:t>
            </w:r>
          </w:p>
        </w:tc>
        <w:tc>
          <w:tcPr>
            <w:tcW w:w="6713" w:type="dxa"/>
            <w:vAlign w:val="top"/>
          </w:tcPr>
          <w:p>
            <w:pPr>
              <w:pStyle w:val="TableText"/>
              <w:ind w:left="125" w:firstLine="19"/>
              <w:spacing w:before="157" w:line="284" w:lineRule="auto"/>
              <w:jc w:val="both"/>
              <w:rPr>
                <w:sz w:val="25"/>
                <w:szCs w:val="25"/>
              </w:rPr>
            </w:pPr>
            <w:r>
              <w:rPr>
                <w:sz w:val="25"/>
                <w:szCs w:val="25"/>
                <w:spacing w:val="-8"/>
              </w:rPr>
              <w:t>由县级以上人民政府卫生、司法行政部门依据职责没收违法所</w:t>
            </w:r>
            <w:r>
              <w:rPr>
                <w:sz w:val="25"/>
                <w:szCs w:val="25"/>
                <w:spacing w:val="3"/>
              </w:rPr>
              <w:t xml:space="preserve"> </w:t>
            </w:r>
            <w:r>
              <w:rPr>
                <w:sz w:val="25"/>
                <w:szCs w:val="25"/>
                <w:spacing w:val="-2"/>
              </w:rPr>
              <w:t>得，并处7万元以上10万元以下罚款，对该尸检机构和有关尸</w:t>
            </w:r>
            <w:r>
              <w:rPr>
                <w:sz w:val="25"/>
                <w:szCs w:val="25"/>
                <w:spacing w:val="7"/>
              </w:rPr>
              <w:t xml:space="preserve"> </w:t>
            </w:r>
            <w:r>
              <w:rPr>
                <w:sz w:val="25"/>
                <w:szCs w:val="25"/>
              </w:rPr>
              <w:t>检专业技术人员责令暂停6个月以上1年以下尸检业务</w:t>
            </w:r>
          </w:p>
        </w:tc>
      </w:tr>
    </w:tbl>
    <w:p>
      <w:pPr>
        <w:pStyle w:val="BodyText"/>
        <w:spacing w:line="472" w:lineRule="auto"/>
        <w:rPr/>
      </w:pPr>
      <w:r/>
    </w:p>
    <w:p>
      <w:pPr>
        <w:ind w:left="799"/>
        <w:spacing w:before="100" w:line="223" w:lineRule="auto"/>
        <w:rPr>
          <w:rFonts w:ascii="KaiTi" w:hAnsi="KaiTi" w:eastAsia="KaiTi" w:cs="KaiTi"/>
          <w:sz w:val="31"/>
          <w:szCs w:val="31"/>
        </w:rPr>
      </w:pPr>
      <w:r>
        <w:rPr>
          <w:rFonts w:ascii="KaiTi" w:hAnsi="KaiTi" w:eastAsia="KaiTi" w:cs="KaiTi"/>
          <w:sz w:val="31"/>
          <w:szCs w:val="31"/>
          <w:b/>
          <w:bCs/>
          <w:spacing w:val="17"/>
        </w:rPr>
        <w:t>(二十七)《医疗机构投诉管理办法》</w:t>
      </w:r>
    </w:p>
    <w:p>
      <w:pPr>
        <w:ind w:left="669"/>
        <w:spacing w:before="307" w:line="220" w:lineRule="auto"/>
        <w:rPr>
          <w:rFonts w:ascii="FangSong" w:hAnsi="FangSong" w:eastAsia="FangSong" w:cs="FangSong"/>
          <w:sz w:val="31"/>
          <w:szCs w:val="31"/>
        </w:rPr>
      </w:pPr>
      <w:r>
        <w:rPr>
          <w:rFonts w:ascii="FangSong" w:hAnsi="FangSong" w:eastAsia="FangSong" w:cs="FangSong"/>
          <w:sz w:val="31"/>
          <w:szCs w:val="31"/>
          <w:b/>
          <w:bCs/>
          <w:spacing w:val="12"/>
        </w:rPr>
        <w:t>第三百一十五条医疗机构未制订重大医疗纠纷事件应急处置预案的</w:t>
      </w:r>
    </w:p>
    <w:p>
      <w:pPr>
        <w:ind w:left="634"/>
        <w:spacing w:before="117"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spacing w:line="222" w:lineRule="auto"/>
        <w:sectPr>
          <w:footerReference w:type="default" r:id="rId364"/>
          <w:pgSz w:w="16830" w:h="11900"/>
          <w:pgMar w:top="1011" w:right="1436" w:bottom="1117" w:left="1434" w:header="0" w:footer="784" w:gutter="0"/>
        </w:sectPr>
        <w:rPr>
          <w:rFonts w:ascii="FangSong" w:hAnsi="FangSong" w:eastAsia="FangSong" w:cs="FangSong"/>
          <w:sz w:val="27"/>
          <w:szCs w:val="27"/>
        </w:rPr>
      </w:pPr>
    </w:p>
    <w:p>
      <w:pPr>
        <w:pStyle w:val="BodyText"/>
        <w:spacing w:line="267" w:lineRule="auto"/>
        <w:rPr/>
      </w:pPr>
      <w:r/>
    </w:p>
    <w:p>
      <w:pPr>
        <w:pStyle w:val="BodyText"/>
        <w:spacing w:line="268" w:lineRule="auto"/>
        <w:rPr/>
      </w:pPr>
      <w:r/>
    </w:p>
    <w:p>
      <w:pPr>
        <w:pStyle w:val="BodyText"/>
        <w:spacing w:line="268" w:lineRule="auto"/>
        <w:rPr/>
      </w:pPr>
      <w:r/>
    </w:p>
    <w:p>
      <w:pPr>
        <w:ind w:left="14" w:right="8" w:firstLine="640"/>
        <w:spacing w:before="98" w:line="265" w:lineRule="auto"/>
        <w:jc w:val="both"/>
        <w:rPr>
          <w:rFonts w:ascii="FangSong" w:hAnsi="FangSong" w:eastAsia="FangSong" w:cs="FangSong"/>
          <w:sz w:val="30"/>
          <w:szCs w:val="30"/>
        </w:rPr>
      </w:pPr>
      <w:bookmarkStart w:name="bookmark1017" w:id="386"/>
      <w:bookmarkEnd w:id="386"/>
      <w:r>
        <w:rPr>
          <w:rFonts w:ascii="FangSong" w:hAnsi="FangSong" w:eastAsia="FangSong" w:cs="FangSong"/>
          <w:sz w:val="30"/>
          <w:szCs w:val="30"/>
          <w:spacing w:val="26"/>
        </w:rPr>
        <w:t>《医疗机构投诉管理办法》第四十四条第(一)项</w:t>
      </w:r>
      <w:r>
        <w:rPr>
          <w:rFonts w:ascii="FangSong" w:hAnsi="FangSong" w:eastAsia="FangSong" w:cs="FangSong"/>
          <w:sz w:val="30"/>
          <w:szCs w:val="30"/>
          <w:spacing w:val="26"/>
        </w:rPr>
        <w:t xml:space="preserve">   </w:t>
      </w:r>
      <w:r>
        <w:rPr>
          <w:rFonts w:ascii="FangSong" w:hAnsi="FangSong" w:eastAsia="FangSong" w:cs="FangSong"/>
          <w:sz w:val="30"/>
          <w:szCs w:val="30"/>
          <w:spacing w:val="26"/>
        </w:rPr>
        <w:t>医疗机构违反本办法规定，有下列情形之</w:t>
      </w:r>
      <w:r>
        <w:rPr>
          <w:rFonts w:ascii="FangSong" w:hAnsi="FangSong" w:eastAsia="FangSong" w:cs="FangSong"/>
          <w:sz w:val="30"/>
          <w:szCs w:val="30"/>
          <w:spacing w:val="3"/>
        </w:rPr>
        <w:t xml:space="preserve"> </w:t>
      </w:r>
      <w:r>
        <w:rPr>
          <w:rFonts w:ascii="FangSong" w:hAnsi="FangSong" w:eastAsia="FangSong" w:cs="FangSong"/>
          <w:sz w:val="30"/>
          <w:szCs w:val="30"/>
          <w:spacing w:val="17"/>
        </w:rPr>
        <w:t>一的，由县级以上地方卫生健康主管部门责令限期整改；逾期不</w:t>
      </w:r>
      <w:r>
        <w:rPr>
          <w:rFonts w:ascii="FangSong" w:hAnsi="FangSong" w:eastAsia="FangSong" w:cs="FangSong"/>
          <w:sz w:val="30"/>
          <w:szCs w:val="30"/>
          <w:spacing w:val="16"/>
        </w:rPr>
        <w:t>改的，给予警告，并处以一万元以下</w:t>
      </w:r>
      <w:r>
        <w:rPr>
          <w:rFonts w:ascii="FangSong" w:hAnsi="FangSong" w:eastAsia="FangSong" w:cs="FangSong"/>
          <w:sz w:val="30"/>
          <w:szCs w:val="30"/>
        </w:rPr>
        <w:t xml:space="preserve"> </w:t>
      </w:r>
      <w:r>
        <w:rPr>
          <w:rFonts w:ascii="FangSong" w:hAnsi="FangSong" w:eastAsia="FangSong" w:cs="FangSong"/>
          <w:sz w:val="30"/>
          <w:szCs w:val="30"/>
          <w:spacing w:val="17"/>
        </w:rPr>
        <w:t>罚款；造成严重后果的，处以一万元以上三万元以下罚款，并对医疗</w:t>
      </w:r>
      <w:r>
        <w:rPr>
          <w:rFonts w:ascii="FangSong" w:hAnsi="FangSong" w:eastAsia="FangSong" w:cs="FangSong"/>
          <w:sz w:val="30"/>
          <w:szCs w:val="30"/>
          <w:spacing w:val="16"/>
        </w:rPr>
        <w:t>机构主要负责人、直接负责的主</w:t>
      </w:r>
      <w:r>
        <w:rPr>
          <w:rFonts w:ascii="FangSong" w:hAnsi="FangSong" w:eastAsia="FangSong" w:cs="FangSong"/>
          <w:sz w:val="30"/>
          <w:szCs w:val="30"/>
        </w:rPr>
        <w:t xml:space="preserve"> </w:t>
      </w:r>
      <w:r>
        <w:rPr>
          <w:rFonts w:ascii="FangSong" w:hAnsi="FangSong" w:eastAsia="FangSong" w:cs="FangSong"/>
          <w:sz w:val="30"/>
          <w:szCs w:val="30"/>
          <w:spacing w:val="15"/>
        </w:rPr>
        <w:t>管人员和其他直接责任人员依法给予处分：</w:t>
      </w:r>
    </w:p>
    <w:p>
      <w:pPr>
        <w:ind w:left="804"/>
        <w:spacing w:before="37" w:line="222" w:lineRule="auto"/>
        <w:rPr>
          <w:rFonts w:ascii="FangSong" w:hAnsi="FangSong" w:eastAsia="FangSong" w:cs="FangSong"/>
          <w:sz w:val="30"/>
          <w:szCs w:val="30"/>
        </w:rPr>
      </w:pPr>
      <w:r>
        <w:rPr>
          <w:rFonts w:ascii="FangSong" w:hAnsi="FangSong" w:eastAsia="FangSong" w:cs="FangSong"/>
          <w:sz w:val="30"/>
          <w:szCs w:val="30"/>
          <w:spacing w:val="23"/>
        </w:rPr>
        <w:t>(一)未制订重大医疗纠纷事件应急处置预案的；</w:t>
      </w:r>
    </w:p>
    <w:p>
      <w:pPr>
        <w:ind w:left="6428"/>
        <w:spacing w:before="59"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8634"/>
        <w:gridCol w:w="3882"/>
      </w:tblGrid>
      <w:tr>
        <w:trPr>
          <w:trHeight w:val="542" w:hRule="atLeast"/>
        </w:trPr>
        <w:tc>
          <w:tcPr>
            <w:tcW w:w="1414" w:type="dxa"/>
            <w:vAlign w:val="top"/>
          </w:tcPr>
          <w:p>
            <w:pPr>
              <w:pStyle w:val="TableText"/>
              <w:ind w:left="178"/>
              <w:spacing w:before="142" w:line="220" w:lineRule="auto"/>
              <w:rPr>
                <w:sz w:val="26"/>
                <w:szCs w:val="26"/>
              </w:rPr>
            </w:pPr>
            <w:r>
              <w:rPr>
                <w:sz w:val="26"/>
                <w:szCs w:val="26"/>
                <w:b/>
                <w:bCs/>
                <w:spacing w:val="-5"/>
              </w:rPr>
              <w:t>违法程度</w:t>
            </w:r>
          </w:p>
        </w:tc>
        <w:tc>
          <w:tcPr>
            <w:tcW w:w="8634" w:type="dxa"/>
            <w:vAlign w:val="top"/>
          </w:tcPr>
          <w:p>
            <w:pPr>
              <w:pStyle w:val="TableText"/>
              <w:ind w:left="3794"/>
              <w:spacing w:before="142" w:line="220" w:lineRule="auto"/>
              <w:rPr>
                <w:sz w:val="26"/>
                <w:szCs w:val="26"/>
              </w:rPr>
            </w:pPr>
            <w:r>
              <w:rPr>
                <w:sz w:val="26"/>
                <w:szCs w:val="26"/>
                <w:b/>
                <w:bCs/>
                <w:spacing w:val="-5"/>
              </w:rPr>
              <w:t>情节后果</w:t>
            </w:r>
          </w:p>
        </w:tc>
        <w:tc>
          <w:tcPr>
            <w:tcW w:w="3882" w:type="dxa"/>
            <w:vAlign w:val="top"/>
          </w:tcPr>
          <w:p>
            <w:pPr>
              <w:pStyle w:val="TableText"/>
              <w:ind w:left="1420"/>
              <w:spacing w:before="139" w:line="218" w:lineRule="auto"/>
              <w:rPr>
                <w:sz w:val="26"/>
                <w:szCs w:val="26"/>
              </w:rPr>
            </w:pPr>
            <w:r>
              <w:rPr>
                <w:sz w:val="26"/>
                <w:szCs w:val="26"/>
                <w:b/>
                <w:bCs/>
                <w:spacing w:val="-5"/>
              </w:rPr>
              <w:t>裁量幅度</w:t>
            </w:r>
          </w:p>
        </w:tc>
      </w:tr>
      <w:tr>
        <w:trPr>
          <w:trHeight w:val="527" w:hRule="atLeast"/>
        </w:trPr>
        <w:tc>
          <w:tcPr>
            <w:tcW w:w="1414" w:type="dxa"/>
            <w:vAlign w:val="top"/>
          </w:tcPr>
          <w:p>
            <w:pPr>
              <w:pStyle w:val="TableText"/>
              <w:ind w:left="438"/>
              <w:spacing w:before="141" w:line="221" w:lineRule="auto"/>
              <w:rPr>
                <w:sz w:val="26"/>
                <w:szCs w:val="26"/>
              </w:rPr>
            </w:pPr>
            <w:r>
              <w:rPr>
                <w:sz w:val="26"/>
                <w:szCs w:val="26"/>
                <w:b/>
                <w:bCs/>
                <w:spacing w:val="-10"/>
              </w:rPr>
              <w:t>一般</w:t>
            </w:r>
          </w:p>
        </w:tc>
        <w:tc>
          <w:tcPr>
            <w:tcW w:w="8634" w:type="dxa"/>
            <w:vAlign w:val="top"/>
          </w:tcPr>
          <w:p>
            <w:pPr>
              <w:pStyle w:val="TableText"/>
              <w:spacing w:before="202" w:line="219" w:lineRule="auto"/>
              <w:jc w:val="right"/>
              <w:rPr>
                <w:sz w:val="26"/>
                <w:szCs w:val="26"/>
              </w:rPr>
            </w:pPr>
            <w:r>
              <w:rPr>
                <w:sz w:val="26"/>
                <w:szCs w:val="26"/>
                <w:spacing w:val="-14"/>
              </w:rPr>
              <w:t>医疗机构未制定重大医疗纠纷事件应急处置预案，经责令限期整改，逾期不改的</w:t>
            </w:r>
          </w:p>
        </w:tc>
        <w:tc>
          <w:tcPr>
            <w:tcW w:w="3882" w:type="dxa"/>
            <w:vAlign w:val="top"/>
          </w:tcPr>
          <w:p>
            <w:pPr>
              <w:pStyle w:val="TableText"/>
              <w:spacing w:before="201" w:line="218" w:lineRule="auto"/>
              <w:jc w:val="right"/>
              <w:rPr>
                <w:sz w:val="26"/>
                <w:szCs w:val="26"/>
              </w:rPr>
            </w:pPr>
            <w:r>
              <w:rPr>
                <w:sz w:val="26"/>
                <w:szCs w:val="26"/>
                <w:spacing w:val="-3"/>
              </w:rPr>
              <w:t>给予警告，并处以一万元以下罚款</w:t>
            </w:r>
          </w:p>
        </w:tc>
      </w:tr>
      <w:tr>
        <w:trPr>
          <w:trHeight w:val="571" w:hRule="atLeast"/>
        </w:trPr>
        <w:tc>
          <w:tcPr>
            <w:tcW w:w="1414" w:type="dxa"/>
            <w:vAlign w:val="top"/>
          </w:tcPr>
          <w:p>
            <w:pPr>
              <w:pStyle w:val="TableText"/>
              <w:ind w:left="438"/>
              <w:spacing w:before="163" w:line="220" w:lineRule="auto"/>
              <w:rPr>
                <w:sz w:val="26"/>
                <w:szCs w:val="26"/>
              </w:rPr>
            </w:pPr>
            <w:r>
              <w:rPr>
                <w:sz w:val="26"/>
                <w:szCs w:val="26"/>
                <w:b/>
                <w:bCs/>
                <w:spacing w:val="-6"/>
              </w:rPr>
              <w:t>严重</w:t>
            </w:r>
          </w:p>
        </w:tc>
        <w:tc>
          <w:tcPr>
            <w:tcW w:w="8634" w:type="dxa"/>
            <w:vAlign w:val="top"/>
          </w:tcPr>
          <w:p>
            <w:pPr>
              <w:pStyle w:val="TableText"/>
              <w:ind w:left="120"/>
              <w:spacing w:before="235" w:line="219" w:lineRule="auto"/>
              <w:rPr>
                <w:sz w:val="26"/>
                <w:szCs w:val="26"/>
              </w:rPr>
            </w:pPr>
            <w:r>
              <w:rPr>
                <w:sz w:val="26"/>
                <w:szCs w:val="26"/>
                <w:spacing w:val="1"/>
              </w:rPr>
              <w:t>医疗机构未制定重大医疗纠纷事件应急处置</w:t>
            </w:r>
            <w:r>
              <w:rPr>
                <w:sz w:val="26"/>
                <w:szCs w:val="26"/>
              </w:rPr>
              <w:t>预案，造成严重后果的</w:t>
            </w:r>
          </w:p>
        </w:tc>
        <w:tc>
          <w:tcPr>
            <w:tcW w:w="3882" w:type="dxa"/>
            <w:vAlign w:val="top"/>
          </w:tcPr>
          <w:p>
            <w:pPr>
              <w:pStyle w:val="TableText"/>
              <w:ind w:left="117"/>
              <w:spacing w:before="237" w:line="220" w:lineRule="auto"/>
              <w:rPr>
                <w:sz w:val="26"/>
                <w:szCs w:val="26"/>
              </w:rPr>
            </w:pPr>
            <w:r>
              <w:rPr>
                <w:sz w:val="26"/>
                <w:szCs w:val="26"/>
              </w:rPr>
              <w:t>处以一万元以上三万元以下罚款</w:t>
            </w:r>
          </w:p>
        </w:tc>
      </w:tr>
    </w:tbl>
    <w:p>
      <w:pPr>
        <w:ind w:left="659"/>
        <w:spacing w:before="127" w:line="220" w:lineRule="auto"/>
        <w:rPr>
          <w:rFonts w:ascii="FangSong" w:hAnsi="FangSong" w:eastAsia="FangSong" w:cs="FangSong"/>
          <w:sz w:val="30"/>
          <w:szCs w:val="30"/>
        </w:rPr>
      </w:pPr>
      <w:r>
        <w:rPr>
          <w:rFonts w:ascii="FangSong" w:hAnsi="FangSong" w:eastAsia="FangSong" w:cs="FangSong"/>
          <w:sz w:val="30"/>
          <w:szCs w:val="30"/>
          <w:b/>
          <w:bCs/>
          <w:spacing w:val="24"/>
        </w:rPr>
        <w:t>第三百一十六条医疗机构投诉管理混乱的</w:t>
      </w:r>
    </w:p>
    <w:p>
      <w:pPr>
        <w:ind w:left="804"/>
        <w:spacing w:before="6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4" w:firstLine="640"/>
        <w:spacing w:before="88" w:line="271" w:lineRule="auto"/>
        <w:jc w:val="both"/>
        <w:rPr>
          <w:rFonts w:ascii="FangSong" w:hAnsi="FangSong" w:eastAsia="FangSong" w:cs="FangSong"/>
          <w:sz w:val="30"/>
          <w:szCs w:val="30"/>
        </w:rPr>
      </w:pPr>
      <w:r>
        <w:rPr>
          <w:rFonts w:ascii="FangSong" w:hAnsi="FangSong" w:eastAsia="FangSong" w:cs="FangSong"/>
          <w:sz w:val="30"/>
          <w:szCs w:val="30"/>
          <w:spacing w:val="23"/>
        </w:rPr>
        <w:t>《医疗机构投诉管理办法》第四十四条第(二)项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医疗机构违反本办法规定，有下列情形之一</w:t>
      </w:r>
      <w:r>
        <w:rPr>
          <w:rFonts w:ascii="FangSong" w:hAnsi="FangSong" w:eastAsia="FangSong" w:cs="FangSong"/>
          <w:sz w:val="30"/>
          <w:szCs w:val="30"/>
          <w:spacing w:val="4"/>
        </w:rPr>
        <w:t xml:space="preserve"> </w:t>
      </w:r>
      <w:r>
        <w:rPr>
          <w:rFonts w:ascii="FangSong" w:hAnsi="FangSong" w:eastAsia="FangSong" w:cs="FangSong"/>
          <w:sz w:val="30"/>
          <w:szCs w:val="30"/>
          <w:spacing w:val="17"/>
        </w:rPr>
        <w:t>的，由县级以上地方卫生健康主管部门责令限期整改；逾期不改的，给予警告，并处以一</w:t>
      </w:r>
      <w:r>
        <w:rPr>
          <w:rFonts w:ascii="FangSong" w:hAnsi="FangSong" w:eastAsia="FangSong" w:cs="FangSong"/>
          <w:sz w:val="30"/>
          <w:szCs w:val="30"/>
          <w:spacing w:val="16"/>
        </w:rPr>
        <w:t>万元以下罚</w:t>
      </w:r>
      <w:r>
        <w:rPr>
          <w:rFonts w:ascii="FangSong" w:hAnsi="FangSong" w:eastAsia="FangSong" w:cs="FangSong"/>
          <w:sz w:val="30"/>
          <w:szCs w:val="30"/>
        </w:rPr>
        <w:t xml:space="preserve"> </w:t>
      </w:r>
      <w:r>
        <w:rPr>
          <w:rFonts w:ascii="FangSong" w:hAnsi="FangSong" w:eastAsia="FangSong" w:cs="FangSong"/>
          <w:sz w:val="30"/>
          <w:szCs w:val="30"/>
          <w:spacing w:val="17"/>
        </w:rPr>
        <w:t>款；造成严重后果的，处以一万元以上三万元以下罚款，并对医疗机构主要负责人、直</w:t>
      </w:r>
      <w:r>
        <w:rPr>
          <w:rFonts w:ascii="FangSong" w:hAnsi="FangSong" w:eastAsia="FangSong" w:cs="FangSong"/>
          <w:sz w:val="30"/>
          <w:szCs w:val="30"/>
          <w:spacing w:val="16"/>
        </w:rPr>
        <w:t>接负责的主管</w:t>
      </w:r>
      <w:r>
        <w:rPr>
          <w:rFonts w:ascii="FangSong" w:hAnsi="FangSong" w:eastAsia="FangSong" w:cs="FangSong"/>
          <w:sz w:val="30"/>
          <w:szCs w:val="30"/>
        </w:rPr>
        <w:t xml:space="preserve"> </w:t>
      </w:r>
      <w:r>
        <w:rPr>
          <w:rFonts w:ascii="FangSong" w:hAnsi="FangSong" w:eastAsia="FangSong" w:cs="FangSong"/>
          <w:sz w:val="30"/>
          <w:szCs w:val="30"/>
          <w:spacing w:val="14"/>
        </w:rPr>
        <w:t>人员和其他直接责任人员依法给予处分：</w:t>
      </w:r>
    </w:p>
    <w:p>
      <w:pPr>
        <w:ind w:left="804"/>
        <w:spacing w:before="20" w:line="222" w:lineRule="auto"/>
        <w:rPr>
          <w:rFonts w:ascii="FangSong" w:hAnsi="FangSong" w:eastAsia="FangSong" w:cs="FangSong"/>
          <w:sz w:val="30"/>
          <w:szCs w:val="30"/>
        </w:rPr>
      </w:pPr>
      <w:r>
        <w:rPr>
          <w:rFonts w:ascii="FangSong" w:hAnsi="FangSong" w:eastAsia="FangSong" w:cs="FangSong"/>
          <w:sz w:val="30"/>
          <w:szCs w:val="30"/>
          <w:spacing w:val="28"/>
        </w:rPr>
        <w:t>(二)投诉管理混乱的；</w:t>
      </w:r>
    </w:p>
    <w:p>
      <w:pPr>
        <w:ind w:left="6429"/>
        <w:spacing w:before="44"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365"/>
          <w:pgSz w:w="16830" w:h="11900"/>
          <w:pgMar w:top="1011" w:right="1445" w:bottom="1117" w:left="1425" w:header="0" w:footer="784" w:gutter="0"/>
        </w:sectPr>
        <w:rPr>
          <w:rFonts w:ascii="SimHei" w:hAnsi="SimHei" w:eastAsia="SimHei" w:cs="SimHei"/>
          <w:sz w:val="30"/>
          <w:szCs w:val="30"/>
        </w:rPr>
      </w:pPr>
    </w:p>
    <w:p>
      <w:pPr>
        <w:spacing w:before="20"/>
        <w:rPr/>
      </w:pPr>
      <w:r/>
    </w:p>
    <w:p>
      <w:pPr>
        <w:spacing w:before="20"/>
        <w:rPr/>
      </w:pPr>
      <w:r/>
    </w:p>
    <w:p>
      <w:pPr>
        <w:spacing w:before="19"/>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015"/>
        <w:gridCol w:w="5711"/>
      </w:tblGrid>
      <w:tr>
        <w:trPr>
          <w:trHeight w:val="432" w:hRule="atLeast"/>
        </w:trPr>
        <w:tc>
          <w:tcPr>
            <w:tcW w:w="1444" w:type="dxa"/>
            <w:vAlign w:val="top"/>
          </w:tcPr>
          <w:p>
            <w:pPr>
              <w:pStyle w:val="TableText"/>
              <w:ind w:left="198"/>
              <w:spacing w:before="92" w:line="220" w:lineRule="auto"/>
              <w:rPr>
                <w:sz w:val="26"/>
                <w:szCs w:val="26"/>
              </w:rPr>
            </w:pPr>
            <w:bookmarkStart w:name="bookmark1018" w:id="387"/>
            <w:bookmarkEnd w:id="387"/>
            <w:r>
              <w:rPr>
                <w:sz w:val="26"/>
                <w:szCs w:val="26"/>
                <w:b/>
                <w:bCs/>
                <w:spacing w:val="-5"/>
              </w:rPr>
              <w:t>违法程度</w:t>
            </w:r>
          </w:p>
        </w:tc>
        <w:tc>
          <w:tcPr>
            <w:tcW w:w="7015" w:type="dxa"/>
            <w:vAlign w:val="top"/>
          </w:tcPr>
          <w:p>
            <w:pPr>
              <w:pStyle w:val="TableText"/>
              <w:ind w:left="2954"/>
              <w:spacing w:before="92" w:line="220" w:lineRule="auto"/>
              <w:rPr>
                <w:sz w:val="26"/>
                <w:szCs w:val="26"/>
              </w:rPr>
            </w:pPr>
            <w:r>
              <w:rPr>
                <w:sz w:val="26"/>
                <w:szCs w:val="26"/>
                <w:b/>
                <w:bCs/>
                <w:spacing w:val="-5"/>
              </w:rPr>
              <w:t>违法后果</w:t>
            </w:r>
          </w:p>
        </w:tc>
        <w:tc>
          <w:tcPr>
            <w:tcW w:w="5711" w:type="dxa"/>
            <w:vAlign w:val="top"/>
          </w:tcPr>
          <w:p>
            <w:pPr>
              <w:pStyle w:val="TableText"/>
              <w:ind w:left="2299"/>
              <w:spacing w:before="89" w:line="218" w:lineRule="auto"/>
              <w:rPr>
                <w:sz w:val="26"/>
                <w:szCs w:val="26"/>
              </w:rPr>
            </w:pPr>
            <w:r>
              <w:rPr>
                <w:sz w:val="26"/>
                <w:szCs w:val="26"/>
                <w:b/>
                <w:bCs/>
                <w:spacing w:val="-5"/>
              </w:rPr>
              <w:t>裁量幅度</w:t>
            </w:r>
          </w:p>
        </w:tc>
      </w:tr>
      <w:tr>
        <w:trPr>
          <w:trHeight w:val="476" w:hRule="atLeast"/>
        </w:trPr>
        <w:tc>
          <w:tcPr>
            <w:tcW w:w="1444" w:type="dxa"/>
            <w:vAlign w:val="top"/>
          </w:tcPr>
          <w:p>
            <w:pPr>
              <w:pStyle w:val="TableText"/>
              <w:ind w:left="458"/>
              <w:spacing w:before="111" w:line="221" w:lineRule="auto"/>
              <w:rPr>
                <w:sz w:val="26"/>
                <w:szCs w:val="26"/>
              </w:rPr>
            </w:pPr>
            <w:r>
              <w:rPr>
                <w:sz w:val="26"/>
                <w:szCs w:val="26"/>
                <w:b/>
                <w:bCs/>
                <w:spacing w:val="-10"/>
              </w:rPr>
              <w:t>一般</w:t>
            </w:r>
          </w:p>
        </w:tc>
        <w:tc>
          <w:tcPr>
            <w:tcW w:w="7015" w:type="dxa"/>
            <w:vAlign w:val="top"/>
          </w:tcPr>
          <w:p>
            <w:pPr>
              <w:pStyle w:val="TableText"/>
              <w:ind w:left="120"/>
              <w:spacing w:before="173" w:line="208" w:lineRule="auto"/>
              <w:rPr>
                <w:sz w:val="26"/>
                <w:szCs w:val="26"/>
              </w:rPr>
            </w:pPr>
            <w:r>
              <w:rPr>
                <w:sz w:val="26"/>
                <w:szCs w:val="26"/>
                <w:spacing w:val="1"/>
              </w:rPr>
              <w:t>医疗机构投诉管理混乱，经责令限期整改，</w:t>
            </w:r>
            <w:r>
              <w:rPr>
                <w:sz w:val="26"/>
                <w:szCs w:val="26"/>
              </w:rPr>
              <w:t>逾期不改的</w:t>
            </w:r>
          </w:p>
        </w:tc>
        <w:tc>
          <w:tcPr>
            <w:tcW w:w="5711" w:type="dxa"/>
            <w:vAlign w:val="top"/>
          </w:tcPr>
          <w:p>
            <w:pPr>
              <w:pStyle w:val="TableText"/>
              <w:ind w:left="126"/>
              <w:spacing w:before="171" w:line="209" w:lineRule="auto"/>
              <w:rPr>
                <w:sz w:val="26"/>
                <w:szCs w:val="26"/>
              </w:rPr>
            </w:pPr>
            <w:r>
              <w:rPr>
                <w:sz w:val="26"/>
                <w:szCs w:val="26"/>
              </w:rPr>
              <w:t>给予警告，并处以一万元以下罚款</w:t>
            </w:r>
          </w:p>
        </w:tc>
      </w:tr>
      <w:tr>
        <w:trPr>
          <w:trHeight w:val="422" w:hRule="atLeast"/>
        </w:trPr>
        <w:tc>
          <w:tcPr>
            <w:tcW w:w="1444" w:type="dxa"/>
            <w:vAlign w:val="top"/>
          </w:tcPr>
          <w:p>
            <w:pPr>
              <w:pStyle w:val="TableText"/>
              <w:ind w:left="458"/>
              <w:spacing w:before="84" w:line="220" w:lineRule="auto"/>
              <w:rPr>
                <w:sz w:val="26"/>
                <w:szCs w:val="26"/>
              </w:rPr>
            </w:pPr>
            <w:r>
              <w:rPr>
                <w:sz w:val="26"/>
                <w:szCs w:val="26"/>
                <w:b/>
                <w:bCs/>
                <w:spacing w:val="-6"/>
              </w:rPr>
              <w:t>严重</w:t>
            </w:r>
          </w:p>
        </w:tc>
        <w:tc>
          <w:tcPr>
            <w:tcW w:w="7015" w:type="dxa"/>
            <w:vAlign w:val="top"/>
          </w:tcPr>
          <w:p>
            <w:pPr>
              <w:pStyle w:val="TableText"/>
              <w:ind w:left="120"/>
              <w:spacing w:before="86" w:line="219" w:lineRule="auto"/>
              <w:rPr>
                <w:sz w:val="26"/>
                <w:szCs w:val="26"/>
              </w:rPr>
            </w:pPr>
            <w:r>
              <w:rPr>
                <w:sz w:val="26"/>
                <w:szCs w:val="26"/>
                <w:spacing w:val="1"/>
              </w:rPr>
              <w:t>医疗机构投诉管理混乱，造成严重后果的</w:t>
            </w:r>
          </w:p>
        </w:tc>
        <w:tc>
          <w:tcPr>
            <w:tcW w:w="5711" w:type="dxa"/>
            <w:vAlign w:val="top"/>
          </w:tcPr>
          <w:p>
            <w:pPr>
              <w:pStyle w:val="TableText"/>
              <w:ind w:left="126"/>
              <w:spacing w:before="88" w:line="220" w:lineRule="auto"/>
              <w:rPr>
                <w:sz w:val="26"/>
                <w:szCs w:val="26"/>
              </w:rPr>
            </w:pPr>
            <w:r>
              <w:rPr>
                <w:sz w:val="26"/>
                <w:szCs w:val="26"/>
              </w:rPr>
              <w:t>处以一万元以上三万元以下罚款</w:t>
            </w:r>
          </w:p>
        </w:tc>
      </w:tr>
    </w:tbl>
    <w:p>
      <w:pPr>
        <w:pStyle w:val="BodyText"/>
        <w:spacing w:line="433" w:lineRule="auto"/>
        <w:rPr/>
      </w:pPr>
      <w:r/>
    </w:p>
    <w:p>
      <w:pPr>
        <w:ind w:left="789"/>
        <w:spacing w:before="101" w:line="220" w:lineRule="auto"/>
        <w:rPr>
          <w:rFonts w:ascii="FangSong" w:hAnsi="FangSong" w:eastAsia="FangSong" w:cs="FangSong"/>
          <w:sz w:val="31"/>
          <w:szCs w:val="31"/>
        </w:rPr>
      </w:pPr>
      <w:r>
        <w:rPr>
          <w:rFonts w:ascii="FangSong" w:hAnsi="FangSong" w:eastAsia="FangSong" w:cs="FangSong"/>
          <w:sz w:val="31"/>
          <w:szCs w:val="31"/>
          <w:b/>
          <w:bCs/>
          <w:spacing w:val="12"/>
        </w:rPr>
        <w:t>第三百一十七条医疗机构未按规定建立健全医患沟通机制的</w:t>
      </w:r>
    </w:p>
    <w:p>
      <w:pPr>
        <w:ind w:left="954"/>
        <w:spacing w:before="117"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134" w:right="111" w:firstLine="614"/>
        <w:spacing w:before="76" w:line="262" w:lineRule="auto"/>
        <w:jc w:val="both"/>
        <w:rPr>
          <w:rFonts w:ascii="FangSong" w:hAnsi="FangSong" w:eastAsia="FangSong" w:cs="FangSong"/>
          <w:sz w:val="31"/>
          <w:szCs w:val="31"/>
        </w:rPr>
      </w:pPr>
      <w:r>
        <w:rPr>
          <w:rFonts w:ascii="FangSong" w:hAnsi="FangSong" w:eastAsia="FangSong" w:cs="FangSong"/>
          <w:sz w:val="31"/>
          <w:szCs w:val="31"/>
          <w:spacing w:val="14"/>
        </w:rPr>
        <w:t>《医疗机构投诉管理办法》第四十四条第(三)项</w:t>
      </w:r>
      <w:r>
        <w:rPr>
          <w:rFonts w:ascii="FangSong" w:hAnsi="FangSong" w:eastAsia="FangSong" w:cs="FangSong"/>
          <w:sz w:val="31"/>
          <w:szCs w:val="31"/>
          <w:spacing w:val="14"/>
        </w:rPr>
        <w:t xml:space="preserve">  </w:t>
      </w:r>
      <w:r>
        <w:rPr>
          <w:rFonts w:ascii="FangSong" w:hAnsi="FangSong" w:eastAsia="FangSong" w:cs="FangSong"/>
          <w:sz w:val="31"/>
          <w:szCs w:val="31"/>
          <w:spacing w:val="14"/>
        </w:rPr>
        <w:t>医疗机构违反本办法规定，有下列情形之一</w:t>
      </w:r>
      <w:r>
        <w:rPr>
          <w:rFonts w:ascii="FangSong" w:hAnsi="FangSong" w:eastAsia="FangSong" w:cs="FangSong"/>
          <w:sz w:val="31"/>
          <w:szCs w:val="31"/>
          <w:spacing w:val="7"/>
        </w:rPr>
        <w:t xml:space="preserve"> </w:t>
      </w:r>
      <w:r>
        <w:rPr>
          <w:rFonts w:ascii="FangSong" w:hAnsi="FangSong" w:eastAsia="FangSong" w:cs="FangSong"/>
          <w:sz w:val="31"/>
          <w:szCs w:val="31"/>
          <w:spacing w:val="7"/>
        </w:rPr>
        <w:t>的，由县级以上地方卫生健康主管部门责令限期整改；逾期不改的，</w:t>
      </w:r>
      <w:r>
        <w:rPr>
          <w:rFonts w:ascii="FangSong" w:hAnsi="FangSong" w:eastAsia="FangSong" w:cs="FangSong"/>
          <w:sz w:val="31"/>
          <w:szCs w:val="31"/>
          <w:spacing w:val="6"/>
        </w:rPr>
        <w:t>给予警告，并处以一万元以下罚</w:t>
      </w:r>
      <w:r>
        <w:rPr>
          <w:rFonts w:ascii="FangSong" w:hAnsi="FangSong" w:eastAsia="FangSong" w:cs="FangSong"/>
          <w:sz w:val="31"/>
          <w:szCs w:val="31"/>
        </w:rPr>
        <w:t xml:space="preserve"> </w:t>
      </w:r>
      <w:r>
        <w:rPr>
          <w:rFonts w:ascii="FangSong" w:hAnsi="FangSong" w:eastAsia="FangSong" w:cs="FangSong"/>
          <w:sz w:val="31"/>
          <w:szCs w:val="31"/>
          <w:spacing w:val="7"/>
        </w:rPr>
        <w:t>款；造成严重后果的，处以一万元以上三万元以下罚款，并对医疗机构主要负责人、直</w:t>
      </w:r>
      <w:r>
        <w:rPr>
          <w:rFonts w:ascii="FangSong" w:hAnsi="FangSong" w:eastAsia="FangSong" w:cs="FangSong"/>
          <w:sz w:val="31"/>
          <w:szCs w:val="31"/>
          <w:spacing w:val="6"/>
        </w:rPr>
        <w:t>接负责的主管</w:t>
      </w:r>
      <w:r>
        <w:rPr>
          <w:rFonts w:ascii="FangSong" w:hAnsi="FangSong" w:eastAsia="FangSong" w:cs="FangSong"/>
          <w:sz w:val="31"/>
          <w:szCs w:val="31"/>
        </w:rPr>
        <w:t xml:space="preserve"> </w:t>
      </w:r>
      <w:r>
        <w:rPr>
          <w:rFonts w:ascii="FangSong" w:hAnsi="FangSong" w:eastAsia="FangSong" w:cs="FangSong"/>
          <w:sz w:val="31"/>
          <w:szCs w:val="31"/>
          <w:spacing w:val="5"/>
        </w:rPr>
        <w:t>人员和其他直接责任人员依法给予处分：</w:t>
      </w:r>
    </w:p>
    <w:p>
      <w:pPr>
        <w:ind w:left="924"/>
        <w:spacing w:before="7" w:line="222" w:lineRule="auto"/>
        <w:rPr>
          <w:rFonts w:ascii="FangSong" w:hAnsi="FangSong" w:eastAsia="FangSong" w:cs="FangSong"/>
          <w:sz w:val="31"/>
          <w:szCs w:val="31"/>
        </w:rPr>
      </w:pPr>
      <w:r>
        <w:rPr>
          <w:rFonts w:ascii="FangSong" w:hAnsi="FangSong" w:eastAsia="FangSong" w:cs="FangSong"/>
          <w:sz w:val="31"/>
          <w:szCs w:val="31"/>
          <w:spacing w:val="15"/>
        </w:rPr>
        <w:t>(三)未按规定建立健全医患沟通机制的；</w:t>
      </w:r>
    </w:p>
    <w:p>
      <w:pPr>
        <w:ind w:left="6548"/>
        <w:spacing w:before="48"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36" w:lineRule="auto"/>
        <w:rPr>
          <w:rFonts w:ascii="Arial"/>
          <w:sz w:val="2"/>
        </w:rPr>
      </w:pPr>
      <w:r>
        <w:rPr>
          <w:rFonts w:ascii="Arial"/>
          <w:sz w:val="2"/>
        </w:rPr>
      </w:r>
    </w:p>
    <w:tbl>
      <w:tblPr>
        <w:tblStyle w:val="TableNormal"/>
        <w:tblW w:w="1417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8004"/>
        <w:gridCol w:w="4722"/>
      </w:tblGrid>
      <w:tr>
        <w:trPr>
          <w:trHeight w:val="452" w:hRule="atLeast"/>
        </w:trPr>
        <w:tc>
          <w:tcPr>
            <w:tcW w:w="1444" w:type="dxa"/>
            <w:vAlign w:val="top"/>
          </w:tcPr>
          <w:p>
            <w:pPr>
              <w:pStyle w:val="TableText"/>
              <w:ind w:left="198"/>
              <w:spacing w:before="102" w:line="220" w:lineRule="auto"/>
              <w:rPr>
                <w:sz w:val="26"/>
                <w:szCs w:val="26"/>
              </w:rPr>
            </w:pPr>
            <w:r>
              <w:rPr>
                <w:sz w:val="26"/>
                <w:szCs w:val="26"/>
                <w:b/>
                <w:bCs/>
                <w:spacing w:val="-5"/>
              </w:rPr>
              <w:t>违法程度</w:t>
            </w:r>
          </w:p>
        </w:tc>
        <w:tc>
          <w:tcPr>
            <w:tcW w:w="8004" w:type="dxa"/>
            <w:vAlign w:val="top"/>
          </w:tcPr>
          <w:p>
            <w:pPr>
              <w:pStyle w:val="TableText"/>
              <w:ind w:left="3474"/>
              <w:spacing w:before="102" w:line="220" w:lineRule="auto"/>
              <w:rPr>
                <w:sz w:val="26"/>
                <w:szCs w:val="26"/>
              </w:rPr>
            </w:pPr>
            <w:r>
              <w:rPr>
                <w:sz w:val="26"/>
                <w:szCs w:val="26"/>
                <w:b/>
                <w:bCs/>
                <w:spacing w:val="-5"/>
              </w:rPr>
              <w:t>违法后果</w:t>
            </w:r>
          </w:p>
        </w:tc>
        <w:tc>
          <w:tcPr>
            <w:tcW w:w="4722" w:type="dxa"/>
            <w:vAlign w:val="top"/>
          </w:tcPr>
          <w:p>
            <w:pPr>
              <w:pStyle w:val="TableText"/>
              <w:ind w:left="1800"/>
              <w:spacing w:before="99" w:line="218" w:lineRule="auto"/>
              <w:rPr>
                <w:sz w:val="26"/>
                <w:szCs w:val="26"/>
              </w:rPr>
            </w:pPr>
            <w:r>
              <w:rPr>
                <w:sz w:val="26"/>
                <w:szCs w:val="26"/>
                <w:b/>
                <w:bCs/>
                <w:spacing w:val="-5"/>
              </w:rPr>
              <w:t>裁量幅度</w:t>
            </w:r>
          </w:p>
        </w:tc>
      </w:tr>
      <w:tr>
        <w:trPr>
          <w:trHeight w:val="506" w:hRule="atLeast"/>
        </w:trPr>
        <w:tc>
          <w:tcPr>
            <w:tcW w:w="1444" w:type="dxa"/>
            <w:vAlign w:val="top"/>
          </w:tcPr>
          <w:p>
            <w:pPr>
              <w:pStyle w:val="TableText"/>
              <w:ind w:left="458"/>
              <w:spacing w:before="131" w:line="221" w:lineRule="auto"/>
              <w:rPr>
                <w:sz w:val="26"/>
                <w:szCs w:val="26"/>
              </w:rPr>
            </w:pPr>
            <w:r>
              <w:rPr>
                <w:sz w:val="26"/>
                <w:szCs w:val="26"/>
                <w:b/>
                <w:bCs/>
                <w:spacing w:val="-10"/>
              </w:rPr>
              <w:t>一般</w:t>
            </w:r>
          </w:p>
        </w:tc>
        <w:tc>
          <w:tcPr>
            <w:tcW w:w="8004" w:type="dxa"/>
            <w:vAlign w:val="top"/>
          </w:tcPr>
          <w:p>
            <w:pPr>
              <w:pStyle w:val="TableText"/>
              <w:spacing w:before="132" w:line="219" w:lineRule="auto"/>
              <w:jc w:val="right"/>
              <w:rPr>
                <w:sz w:val="26"/>
                <w:szCs w:val="26"/>
              </w:rPr>
            </w:pPr>
            <w:r>
              <w:rPr>
                <w:sz w:val="26"/>
                <w:szCs w:val="26"/>
                <w:spacing w:val="-11"/>
              </w:rPr>
              <w:t>医疗机构未按规定建立健全医患沟通机制，经责令限期整改，逾期不改的</w:t>
            </w:r>
          </w:p>
        </w:tc>
        <w:tc>
          <w:tcPr>
            <w:tcW w:w="4722" w:type="dxa"/>
            <w:vAlign w:val="top"/>
          </w:tcPr>
          <w:p>
            <w:pPr>
              <w:pStyle w:val="TableText"/>
              <w:ind w:left="126"/>
              <w:spacing w:before="131" w:line="218" w:lineRule="auto"/>
              <w:rPr>
                <w:sz w:val="26"/>
                <w:szCs w:val="26"/>
              </w:rPr>
            </w:pPr>
            <w:r>
              <w:rPr>
                <w:sz w:val="26"/>
                <w:szCs w:val="26"/>
              </w:rPr>
              <w:t>给予警告，并处以一万元以下罚款</w:t>
            </w:r>
          </w:p>
        </w:tc>
      </w:tr>
      <w:tr>
        <w:trPr>
          <w:trHeight w:val="452" w:hRule="atLeast"/>
        </w:trPr>
        <w:tc>
          <w:tcPr>
            <w:tcW w:w="1444" w:type="dxa"/>
            <w:vAlign w:val="top"/>
          </w:tcPr>
          <w:p>
            <w:pPr>
              <w:pStyle w:val="TableText"/>
              <w:ind w:left="458"/>
              <w:spacing w:before="104" w:line="220" w:lineRule="auto"/>
              <w:rPr>
                <w:sz w:val="26"/>
                <w:szCs w:val="26"/>
              </w:rPr>
            </w:pPr>
            <w:r>
              <w:rPr>
                <w:sz w:val="26"/>
                <w:szCs w:val="26"/>
                <w:b/>
                <w:bCs/>
                <w:spacing w:val="-6"/>
              </w:rPr>
              <w:t>严重</w:t>
            </w:r>
          </w:p>
        </w:tc>
        <w:tc>
          <w:tcPr>
            <w:tcW w:w="8004" w:type="dxa"/>
            <w:vAlign w:val="top"/>
          </w:tcPr>
          <w:p>
            <w:pPr>
              <w:pStyle w:val="TableText"/>
              <w:ind w:left="121"/>
              <w:spacing w:before="165" w:line="196" w:lineRule="auto"/>
              <w:rPr>
                <w:sz w:val="26"/>
                <w:szCs w:val="26"/>
              </w:rPr>
            </w:pPr>
            <w:r>
              <w:rPr>
                <w:sz w:val="26"/>
                <w:szCs w:val="26"/>
                <w:spacing w:val="1"/>
              </w:rPr>
              <w:t>医疗机构未按规定建立健全医患沟通机制，</w:t>
            </w:r>
            <w:r>
              <w:rPr>
                <w:sz w:val="26"/>
                <w:szCs w:val="26"/>
              </w:rPr>
              <w:t>造成严重后果的</w:t>
            </w:r>
          </w:p>
        </w:tc>
        <w:tc>
          <w:tcPr>
            <w:tcW w:w="4722" w:type="dxa"/>
            <w:vAlign w:val="top"/>
          </w:tcPr>
          <w:p>
            <w:pPr>
              <w:pStyle w:val="TableText"/>
              <w:ind w:left="126"/>
              <w:spacing w:before="158" w:line="201" w:lineRule="auto"/>
              <w:rPr>
                <w:sz w:val="26"/>
                <w:szCs w:val="26"/>
              </w:rPr>
            </w:pPr>
            <w:r>
              <w:rPr>
                <w:sz w:val="26"/>
                <w:szCs w:val="26"/>
              </w:rPr>
              <w:t>处以一万元以上三万元以下罚款</w:t>
            </w:r>
          </w:p>
        </w:tc>
      </w:tr>
    </w:tbl>
    <w:p>
      <w:pPr>
        <w:pStyle w:val="BodyText"/>
        <w:spacing w:line="424" w:lineRule="auto"/>
        <w:rPr/>
      </w:pPr>
      <w:r/>
    </w:p>
    <w:p>
      <w:pPr>
        <w:ind w:left="789"/>
        <w:spacing w:before="100" w:line="220" w:lineRule="auto"/>
        <w:rPr>
          <w:rFonts w:ascii="FangSong" w:hAnsi="FangSong" w:eastAsia="FangSong" w:cs="FangSong"/>
          <w:sz w:val="31"/>
          <w:szCs w:val="31"/>
        </w:rPr>
      </w:pPr>
      <w:r>
        <w:rPr>
          <w:rFonts w:ascii="FangSong" w:hAnsi="FangSong" w:eastAsia="FangSong" w:cs="FangSong"/>
          <w:sz w:val="31"/>
          <w:szCs w:val="31"/>
          <w:b/>
          <w:bCs/>
          <w:spacing w:val="12"/>
        </w:rPr>
        <w:t>第三百一十八条医疗机构未按规定及时处理投诉并反馈患者的</w:t>
      </w:r>
    </w:p>
    <w:p>
      <w:pPr>
        <w:ind w:left="784"/>
        <w:spacing w:before="88"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spacing w:line="222" w:lineRule="auto"/>
        <w:sectPr>
          <w:footerReference w:type="default" r:id="rId366"/>
          <w:pgSz w:w="16830" w:h="11900"/>
          <w:pgMar w:top="1011" w:right="1335" w:bottom="1107" w:left="1305" w:header="0" w:footer="774" w:gutter="0"/>
        </w:sectPr>
        <w:rPr>
          <w:rFonts w:ascii="FangSong" w:hAnsi="FangSong" w:eastAsia="FangSong" w:cs="FangSong"/>
          <w:sz w:val="27"/>
          <w:szCs w:val="27"/>
        </w:rPr>
      </w:pPr>
    </w:p>
    <w:p>
      <w:pPr>
        <w:pStyle w:val="BodyText"/>
        <w:spacing w:line="258" w:lineRule="auto"/>
        <w:rPr/>
      </w:pPr>
      <w:r/>
    </w:p>
    <w:p>
      <w:pPr>
        <w:pStyle w:val="BodyText"/>
        <w:spacing w:line="258" w:lineRule="auto"/>
        <w:rPr/>
      </w:pPr>
      <w:r/>
    </w:p>
    <w:p>
      <w:pPr>
        <w:pStyle w:val="BodyText"/>
        <w:spacing w:line="258" w:lineRule="auto"/>
        <w:rPr/>
      </w:pPr>
      <w:r/>
    </w:p>
    <w:p>
      <w:pPr>
        <w:ind w:left="114" w:right="99" w:firstLine="625"/>
        <w:spacing w:before="101" w:line="256" w:lineRule="auto"/>
        <w:jc w:val="both"/>
        <w:rPr>
          <w:rFonts w:ascii="FangSong" w:hAnsi="FangSong" w:eastAsia="FangSong" w:cs="FangSong"/>
          <w:sz w:val="31"/>
          <w:szCs w:val="31"/>
        </w:rPr>
      </w:pPr>
      <w:bookmarkStart w:name="bookmark1019" w:id="388"/>
      <w:bookmarkEnd w:id="388"/>
      <w:r>
        <w:rPr>
          <w:rFonts w:ascii="FangSong" w:hAnsi="FangSong" w:eastAsia="FangSong" w:cs="FangSong"/>
          <w:sz w:val="31"/>
          <w:szCs w:val="31"/>
          <w:spacing w:val="14"/>
        </w:rPr>
        <w:t>《医疗机构投诉管理办法》第四十四条第(四)项</w:t>
      </w:r>
      <w:r>
        <w:rPr>
          <w:rFonts w:ascii="FangSong" w:hAnsi="FangSong" w:eastAsia="FangSong" w:cs="FangSong"/>
          <w:sz w:val="31"/>
          <w:szCs w:val="31"/>
          <w:spacing w:val="14"/>
        </w:rPr>
        <w:t xml:space="preserve">  </w:t>
      </w:r>
      <w:r>
        <w:rPr>
          <w:rFonts w:ascii="FangSong" w:hAnsi="FangSong" w:eastAsia="FangSong" w:cs="FangSong"/>
          <w:sz w:val="31"/>
          <w:szCs w:val="31"/>
          <w:spacing w:val="14"/>
        </w:rPr>
        <w:t>医疗机构违反</w:t>
      </w:r>
      <w:r>
        <w:rPr>
          <w:rFonts w:ascii="FangSong" w:hAnsi="FangSong" w:eastAsia="FangSong" w:cs="FangSong"/>
          <w:sz w:val="31"/>
          <w:szCs w:val="31"/>
          <w:spacing w:val="13"/>
        </w:rPr>
        <w:t>本办法规定，有下列情形之一</w:t>
      </w:r>
      <w:r>
        <w:rPr>
          <w:rFonts w:ascii="FangSong" w:hAnsi="FangSong" w:eastAsia="FangSong" w:cs="FangSong"/>
          <w:sz w:val="31"/>
          <w:szCs w:val="31"/>
        </w:rPr>
        <w:t xml:space="preserve"> </w:t>
      </w:r>
      <w:r>
        <w:rPr>
          <w:rFonts w:ascii="FangSong" w:hAnsi="FangSong" w:eastAsia="FangSong" w:cs="FangSong"/>
          <w:sz w:val="31"/>
          <w:szCs w:val="31"/>
          <w:spacing w:val="7"/>
        </w:rPr>
        <w:t>的，由县级以上地方卫生健康主管部门责令限期整改；逾期不改的，给予警告，并处以一万元以下罚</w:t>
      </w:r>
      <w:r>
        <w:rPr>
          <w:rFonts w:ascii="FangSong" w:hAnsi="FangSong" w:eastAsia="FangSong" w:cs="FangSong"/>
          <w:sz w:val="31"/>
          <w:szCs w:val="31"/>
          <w:spacing w:val="6"/>
        </w:rPr>
        <w:t xml:space="preserve"> </w:t>
      </w:r>
      <w:r>
        <w:rPr>
          <w:rFonts w:ascii="FangSong" w:hAnsi="FangSong" w:eastAsia="FangSong" w:cs="FangSong"/>
          <w:sz w:val="31"/>
          <w:szCs w:val="31"/>
          <w:spacing w:val="7"/>
        </w:rPr>
        <w:t>款；造成严重后果的，处以一万元以上三万元以下罚款，并对医</w:t>
      </w:r>
      <w:r>
        <w:rPr>
          <w:rFonts w:ascii="FangSong" w:hAnsi="FangSong" w:eastAsia="FangSong" w:cs="FangSong"/>
          <w:sz w:val="31"/>
          <w:szCs w:val="31"/>
          <w:spacing w:val="6"/>
        </w:rPr>
        <w:t>疗机构主要负责人、直接负责的主管</w:t>
      </w:r>
      <w:r>
        <w:rPr>
          <w:rFonts w:ascii="FangSong" w:hAnsi="FangSong" w:eastAsia="FangSong" w:cs="FangSong"/>
          <w:sz w:val="31"/>
          <w:szCs w:val="31"/>
        </w:rPr>
        <w:t xml:space="preserve"> </w:t>
      </w:r>
      <w:r>
        <w:rPr>
          <w:rFonts w:ascii="FangSong" w:hAnsi="FangSong" w:eastAsia="FangSong" w:cs="FangSong"/>
          <w:sz w:val="31"/>
          <w:szCs w:val="31"/>
          <w:spacing w:val="4"/>
        </w:rPr>
        <w:t>人员和其他直接责任人员依法给予处分：</w:t>
      </w:r>
    </w:p>
    <w:p>
      <w:pPr>
        <w:ind w:left="894"/>
        <w:spacing w:before="35" w:line="220" w:lineRule="auto"/>
        <w:rPr>
          <w:rFonts w:ascii="FangSong" w:hAnsi="FangSong" w:eastAsia="FangSong" w:cs="FangSong"/>
          <w:sz w:val="31"/>
          <w:szCs w:val="31"/>
        </w:rPr>
      </w:pPr>
      <w:r>
        <w:rPr>
          <w:rFonts w:ascii="FangSong" w:hAnsi="FangSong" w:eastAsia="FangSong" w:cs="FangSong"/>
          <w:sz w:val="31"/>
          <w:szCs w:val="31"/>
          <w:spacing w:val="13"/>
        </w:rPr>
        <w:t>(四)未按规定及时处理投诉并反馈患者的；</w:t>
      </w:r>
    </w:p>
    <w:p>
      <w:pPr>
        <w:ind w:left="6529"/>
        <w:spacing w:before="62"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8044"/>
        <w:gridCol w:w="4701"/>
      </w:tblGrid>
      <w:tr>
        <w:trPr>
          <w:trHeight w:val="452" w:hRule="atLeast"/>
        </w:trPr>
        <w:tc>
          <w:tcPr>
            <w:tcW w:w="1414" w:type="dxa"/>
            <w:vAlign w:val="top"/>
          </w:tcPr>
          <w:p>
            <w:pPr>
              <w:pStyle w:val="TableText"/>
              <w:ind w:left="118"/>
              <w:spacing w:before="11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8044" w:type="dxa"/>
            <w:vAlign w:val="top"/>
          </w:tcPr>
          <w:p>
            <w:pPr>
              <w:pStyle w:val="TableText"/>
              <w:ind w:left="3434"/>
              <w:spacing w:before="112" w:line="220" w:lineRule="auto"/>
              <w:rPr/>
            </w:pPr>
            <w:r>
              <w:rPr>
                <w:b/>
                <w:bCs/>
                <w:spacing w:val="-11"/>
              </w:rPr>
              <w:t>违</w:t>
            </w:r>
            <w:r>
              <w:rPr>
                <w:spacing w:val="-36"/>
              </w:rPr>
              <w:t xml:space="preserve"> </w:t>
            </w:r>
            <w:r>
              <w:rPr>
                <w:b/>
                <w:bCs/>
                <w:spacing w:val="-11"/>
              </w:rPr>
              <w:t>法</w:t>
            </w:r>
            <w:r>
              <w:rPr>
                <w:spacing w:val="-36"/>
              </w:rPr>
              <w:t xml:space="preserve"> </w:t>
            </w:r>
            <w:r>
              <w:rPr>
                <w:b/>
                <w:bCs/>
                <w:spacing w:val="-11"/>
              </w:rPr>
              <w:t>后</w:t>
            </w:r>
            <w:r>
              <w:rPr>
                <w:spacing w:val="-34"/>
              </w:rPr>
              <w:t xml:space="preserve"> </w:t>
            </w:r>
            <w:r>
              <w:rPr>
                <w:b/>
                <w:bCs/>
                <w:spacing w:val="-11"/>
              </w:rPr>
              <w:t>果</w:t>
            </w:r>
          </w:p>
        </w:tc>
        <w:tc>
          <w:tcPr>
            <w:tcW w:w="4701" w:type="dxa"/>
            <w:vAlign w:val="top"/>
          </w:tcPr>
          <w:p>
            <w:pPr>
              <w:pStyle w:val="TableText"/>
              <w:ind w:left="1780"/>
              <w:spacing w:before="10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476" w:hRule="atLeast"/>
        </w:trPr>
        <w:tc>
          <w:tcPr>
            <w:tcW w:w="1414" w:type="dxa"/>
            <w:vAlign w:val="top"/>
          </w:tcPr>
          <w:p>
            <w:pPr>
              <w:pStyle w:val="TableText"/>
              <w:ind w:left="458"/>
              <w:spacing w:before="120" w:line="221" w:lineRule="auto"/>
              <w:rPr/>
            </w:pPr>
            <w:r>
              <w:rPr>
                <w:b/>
                <w:bCs/>
                <w:spacing w:val="-10"/>
              </w:rPr>
              <w:t>一般</w:t>
            </w:r>
          </w:p>
        </w:tc>
        <w:tc>
          <w:tcPr>
            <w:tcW w:w="8044" w:type="dxa"/>
            <w:vAlign w:val="top"/>
          </w:tcPr>
          <w:p>
            <w:pPr>
              <w:pStyle w:val="TableText"/>
              <w:ind w:left="50"/>
              <w:spacing w:before="121" w:line="219" w:lineRule="auto"/>
              <w:rPr/>
            </w:pPr>
            <w:r>
              <w:rPr/>
              <w:t>医疗机构未按规定及时处理投诉并反馈患者，经责令限期整改，逾期不改的</w:t>
            </w:r>
          </w:p>
        </w:tc>
        <w:tc>
          <w:tcPr>
            <w:tcW w:w="4701" w:type="dxa"/>
            <w:vAlign w:val="top"/>
          </w:tcPr>
          <w:p>
            <w:pPr>
              <w:pStyle w:val="TableText"/>
              <w:ind w:left="106"/>
              <w:spacing w:before="120" w:line="218" w:lineRule="auto"/>
              <w:rPr/>
            </w:pPr>
            <w:r>
              <w:rPr/>
              <w:t>给予警告，并处以一万元以下罚款</w:t>
            </w:r>
          </w:p>
        </w:tc>
      </w:tr>
      <w:tr>
        <w:trPr>
          <w:trHeight w:val="561" w:hRule="atLeast"/>
        </w:trPr>
        <w:tc>
          <w:tcPr>
            <w:tcW w:w="1414" w:type="dxa"/>
            <w:vAlign w:val="top"/>
          </w:tcPr>
          <w:p>
            <w:pPr>
              <w:pStyle w:val="TableText"/>
              <w:ind w:left="458"/>
              <w:spacing w:before="164" w:line="220" w:lineRule="auto"/>
              <w:rPr/>
            </w:pPr>
            <w:r>
              <w:rPr>
                <w:b/>
                <w:bCs/>
                <w:spacing w:val="-6"/>
              </w:rPr>
              <w:t>严重</w:t>
            </w:r>
          </w:p>
        </w:tc>
        <w:tc>
          <w:tcPr>
            <w:tcW w:w="8044" w:type="dxa"/>
            <w:vAlign w:val="top"/>
          </w:tcPr>
          <w:p>
            <w:pPr>
              <w:pStyle w:val="TableText"/>
              <w:ind w:left="140"/>
              <w:spacing w:before="225" w:line="219" w:lineRule="auto"/>
              <w:rPr/>
            </w:pPr>
            <w:r>
              <w:rPr/>
              <w:t>医疗机构未按规定及时处理投诉并反馈患者，造成严重后果的</w:t>
            </w:r>
          </w:p>
        </w:tc>
        <w:tc>
          <w:tcPr>
            <w:tcW w:w="4701" w:type="dxa"/>
            <w:vAlign w:val="top"/>
          </w:tcPr>
          <w:p>
            <w:pPr>
              <w:pStyle w:val="TableText"/>
              <w:ind w:left="106"/>
              <w:spacing w:before="227" w:line="220" w:lineRule="auto"/>
              <w:rPr/>
            </w:pPr>
            <w:r>
              <w:rPr/>
              <w:t>处以一万元以上三万元以下罚款</w:t>
            </w:r>
          </w:p>
        </w:tc>
      </w:tr>
    </w:tbl>
    <w:p>
      <w:pPr>
        <w:pStyle w:val="BodyText"/>
        <w:spacing w:line="424" w:lineRule="auto"/>
        <w:rPr/>
      </w:pPr>
      <w:r/>
    </w:p>
    <w:p>
      <w:pPr>
        <w:ind w:left="119" w:right="4" w:firstLine="649"/>
        <w:spacing w:before="101" w:line="271" w:lineRule="auto"/>
        <w:rPr>
          <w:rFonts w:ascii="FangSong" w:hAnsi="FangSong" w:eastAsia="FangSong" w:cs="FangSong"/>
          <w:sz w:val="31"/>
          <w:szCs w:val="31"/>
        </w:rPr>
      </w:pPr>
      <w:r>
        <w:rPr>
          <w:rFonts w:ascii="FangSong" w:hAnsi="FangSong" w:eastAsia="FangSong" w:cs="FangSong"/>
          <w:sz w:val="31"/>
          <w:szCs w:val="31"/>
          <w:b/>
          <w:bCs/>
          <w:spacing w:val="6"/>
        </w:rPr>
        <w:t>第三百一十九条医疗机构对接待过程中发现的可能激化矛盾，引</w:t>
      </w:r>
      <w:r>
        <w:rPr>
          <w:rFonts w:ascii="FangSong" w:hAnsi="FangSong" w:eastAsia="FangSong" w:cs="FangSong"/>
          <w:sz w:val="31"/>
          <w:szCs w:val="31"/>
          <w:b/>
          <w:bCs/>
          <w:spacing w:val="5"/>
        </w:rPr>
        <w:t>起治安案件、刑事案件的投诉，</w:t>
      </w:r>
      <w:r>
        <w:rPr>
          <w:rFonts w:ascii="FangSong" w:hAnsi="FangSong" w:eastAsia="FangSong" w:cs="FangSong"/>
          <w:sz w:val="31"/>
          <w:szCs w:val="31"/>
        </w:rPr>
        <w:t xml:space="preserve"> </w:t>
      </w:r>
      <w:r>
        <w:rPr>
          <w:rFonts w:ascii="FangSong" w:hAnsi="FangSong" w:eastAsia="FangSong" w:cs="FangSong"/>
          <w:sz w:val="31"/>
          <w:szCs w:val="31"/>
          <w:b/>
          <w:bCs/>
          <w:spacing w:val="6"/>
        </w:rPr>
        <w:t>未及时向当地公安机关报告的</w:t>
      </w:r>
    </w:p>
    <w:p>
      <w:pPr>
        <w:ind w:left="774"/>
        <w:spacing w:before="8" w:line="222" w:lineRule="auto"/>
        <w:rPr>
          <w:rFonts w:ascii="FangSong" w:hAnsi="FangSong" w:eastAsia="FangSong" w:cs="FangSong"/>
          <w:sz w:val="31"/>
          <w:szCs w:val="31"/>
        </w:rPr>
      </w:pPr>
      <w:r>
        <w:rPr>
          <w:rFonts w:ascii="FangSong" w:hAnsi="FangSong" w:eastAsia="FangSong" w:cs="FangSong"/>
          <w:sz w:val="31"/>
          <w:szCs w:val="31"/>
          <w:spacing w:val="20"/>
        </w:rPr>
        <w:t>法律依据：</w:t>
      </w:r>
    </w:p>
    <w:p>
      <w:pPr>
        <w:ind w:left="114" w:right="99" w:firstLine="625"/>
        <w:spacing w:before="55" w:line="262" w:lineRule="auto"/>
        <w:jc w:val="both"/>
        <w:rPr>
          <w:rFonts w:ascii="FangSong" w:hAnsi="FangSong" w:eastAsia="FangSong" w:cs="FangSong"/>
          <w:sz w:val="31"/>
          <w:szCs w:val="31"/>
        </w:rPr>
      </w:pPr>
      <w:r>
        <w:rPr>
          <w:rFonts w:ascii="FangSong" w:hAnsi="FangSong" w:eastAsia="FangSong" w:cs="FangSong"/>
          <w:sz w:val="31"/>
          <w:szCs w:val="31"/>
          <w:spacing w:val="12"/>
        </w:rPr>
        <w:t>《医疗机构投诉管理办法》第四十四条第(五)项</w:t>
      </w:r>
      <w:r>
        <w:rPr>
          <w:rFonts w:ascii="FangSong" w:hAnsi="FangSong" w:eastAsia="FangSong" w:cs="FangSong"/>
          <w:sz w:val="31"/>
          <w:szCs w:val="31"/>
          <w:spacing w:val="58"/>
        </w:rPr>
        <w:t xml:space="preserve">  </w:t>
      </w:r>
      <w:r>
        <w:rPr>
          <w:rFonts w:ascii="FangSong" w:hAnsi="FangSong" w:eastAsia="FangSong" w:cs="FangSong"/>
          <w:sz w:val="31"/>
          <w:szCs w:val="31"/>
          <w:spacing w:val="12"/>
        </w:rPr>
        <w:t>医疗机构违反本办法规定，有下列情形之一</w:t>
      </w:r>
      <w:r>
        <w:rPr>
          <w:rFonts w:ascii="FangSong" w:hAnsi="FangSong" w:eastAsia="FangSong" w:cs="FangSong"/>
          <w:sz w:val="31"/>
          <w:szCs w:val="31"/>
          <w:spacing w:val="1"/>
        </w:rPr>
        <w:t xml:space="preserve"> </w:t>
      </w:r>
      <w:r>
        <w:rPr>
          <w:rFonts w:ascii="FangSong" w:hAnsi="FangSong" w:eastAsia="FangSong" w:cs="FangSong"/>
          <w:sz w:val="31"/>
          <w:szCs w:val="31"/>
          <w:spacing w:val="7"/>
        </w:rPr>
        <w:t>的，由县级以上地方卫生健康主管部门责令限期整改；逾期不改的，给予警告，并处以一万元以下罚</w:t>
      </w:r>
      <w:r>
        <w:rPr>
          <w:rFonts w:ascii="FangSong" w:hAnsi="FangSong" w:eastAsia="FangSong" w:cs="FangSong"/>
          <w:sz w:val="31"/>
          <w:szCs w:val="31"/>
          <w:spacing w:val="6"/>
        </w:rPr>
        <w:t xml:space="preserve"> </w:t>
      </w:r>
      <w:r>
        <w:rPr>
          <w:rFonts w:ascii="FangSong" w:hAnsi="FangSong" w:eastAsia="FangSong" w:cs="FangSong"/>
          <w:sz w:val="31"/>
          <w:szCs w:val="31"/>
          <w:spacing w:val="7"/>
        </w:rPr>
        <w:t>款；造成严重后果的，处以一万元以上三万元以下罚款，并对医</w:t>
      </w:r>
      <w:r>
        <w:rPr>
          <w:rFonts w:ascii="FangSong" w:hAnsi="FangSong" w:eastAsia="FangSong" w:cs="FangSong"/>
          <w:sz w:val="31"/>
          <w:szCs w:val="31"/>
          <w:spacing w:val="6"/>
        </w:rPr>
        <w:t>疗机构主要负责人、直接负责的主管</w:t>
      </w:r>
      <w:r>
        <w:rPr>
          <w:rFonts w:ascii="FangSong" w:hAnsi="FangSong" w:eastAsia="FangSong" w:cs="FangSong"/>
          <w:sz w:val="31"/>
          <w:szCs w:val="31"/>
        </w:rPr>
        <w:t xml:space="preserve"> </w:t>
      </w:r>
      <w:r>
        <w:rPr>
          <w:rFonts w:ascii="FangSong" w:hAnsi="FangSong" w:eastAsia="FangSong" w:cs="FangSong"/>
          <w:sz w:val="31"/>
          <w:szCs w:val="31"/>
          <w:spacing w:val="4"/>
        </w:rPr>
        <w:t>人员和其他直接责任人员依法给予处分：</w:t>
      </w:r>
    </w:p>
    <w:p>
      <w:pPr>
        <w:ind w:left="894"/>
        <w:spacing w:before="1" w:line="221" w:lineRule="auto"/>
        <w:rPr>
          <w:rFonts w:ascii="FangSong" w:hAnsi="FangSong" w:eastAsia="FangSong" w:cs="FangSong"/>
          <w:sz w:val="31"/>
          <w:szCs w:val="31"/>
        </w:rPr>
      </w:pPr>
      <w:r>
        <w:rPr>
          <w:rFonts w:ascii="FangSong" w:hAnsi="FangSong" w:eastAsia="FangSong" w:cs="FangSong"/>
          <w:sz w:val="31"/>
          <w:szCs w:val="31"/>
          <w:spacing w:val="11"/>
        </w:rPr>
        <w:t>(五)对接待过程中发现的可能激化矛盾，引起治安案件、刑事案</w:t>
      </w:r>
      <w:r>
        <w:rPr>
          <w:rFonts w:ascii="FangSong" w:hAnsi="FangSong" w:eastAsia="FangSong" w:cs="FangSong"/>
          <w:sz w:val="31"/>
          <w:szCs w:val="31"/>
          <w:spacing w:val="10"/>
        </w:rPr>
        <w:t>件的投诉，未及时向当地公安</w:t>
      </w:r>
    </w:p>
    <w:p>
      <w:pPr>
        <w:spacing w:line="221" w:lineRule="auto"/>
        <w:sectPr>
          <w:footerReference w:type="default" r:id="rId367"/>
          <w:pgSz w:w="16830" w:h="11900"/>
          <w:pgMar w:top="1011" w:right="1335" w:bottom="1117" w:left="1325" w:header="0" w:footer="784" w:gutter="0"/>
        </w:sectPr>
        <w:rPr>
          <w:rFonts w:ascii="FangSong" w:hAnsi="FangSong" w:eastAsia="FangSong" w:cs="FangSong"/>
          <w:sz w:val="31"/>
          <w:szCs w:val="31"/>
        </w:rPr>
      </w:pPr>
    </w:p>
    <w:p>
      <w:pPr>
        <w:pStyle w:val="BodyText"/>
        <w:spacing w:line="255" w:lineRule="auto"/>
        <w:rPr/>
      </w:pPr>
      <w:r/>
    </w:p>
    <w:p>
      <w:pPr>
        <w:pStyle w:val="BodyText"/>
        <w:spacing w:line="255" w:lineRule="auto"/>
        <w:rPr/>
      </w:pPr>
      <w:r/>
    </w:p>
    <w:p>
      <w:pPr>
        <w:pStyle w:val="BodyText"/>
        <w:spacing w:line="256" w:lineRule="auto"/>
        <w:rPr/>
      </w:pPr>
      <w:r/>
    </w:p>
    <w:p>
      <w:pPr>
        <w:ind w:left="115"/>
        <w:spacing w:before="98" w:line="222" w:lineRule="auto"/>
        <w:rPr>
          <w:rFonts w:ascii="FangSong" w:hAnsi="FangSong" w:eastAsia="FangSong" w:cs="FangSong"/>
          <w:sz w:val="30"/>
          <w:szCs w:val="30"/>
        </w:rPr>
      </w:pPr>
      <w:r>
        <w:rPr>
          <w:rFonts w:ascii="FangSong" w:hAnsi="FangSong" w:eastAsia="FangSong" w:cs="FangSong"/>
          <w:sz w:val="30"/>
          <w:szCs w:val="30"/>
          <w:spacing w:val="9"/>
        </w:rPr>
        <w:t>机关报告的。</w:t>
      </w:r>
    </w:p>
    <w:p>
      <w:pPr>
        <w:ind w:left="6539"/>
        <w:spacing w:before="87" w:line="214" w:lineRule="auto"/>
        <w:rPr>
          <w:rFonts w:ascii="SimSun" w:hAnsi="SimSun" w:eastAsia="SimSun" w:cs="SimSun"/>
          <w:sz w:val="29"/>
          <w:szCs w:val="29"/>
        </w:rPr>
      </w:pPr>
      <w:bookmarkStart w:name="bookmark1020" w:id="389"/>
      <w:bookmarkEnd w:id="389"/>
      <w:r>
        <w:rPr>
          <w:rFonts w:ascii="SimSun" w:hAnsi="SimSun" w:eastAsia="SimSun" w:cs="SimSun"/>
          <w:sz w:val="29"/>
          <w:szCs w:val="29"/>
          <w:b/>
          <w:bCs/>
          <w:spacing w:val="-6"/>
        </w:rPr>
        <w:t>裁量标准</w:t>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585"/>
        <w:gridCol w:w="5141"/>
      </w:tblGrid>
      <w:tr>
        <w:trPr>
          <w:trHeight w:val="442" w:hRule="atLeast"/>
        </w:trPr>
        <w:tc>
          <w:tcPr>
            <w:tcW w:w="1444" w:type="dxa"/>
            <w:vAlign w:val="top"/>
          </w:tcPr>
          <w:p>
            <w:pPr>
              <w:pStyle w:val="TableText"/>
              <w:ind w:left="138"/>
              <w:spacing w:before="10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585" w:type="dxa"/>
            <w:vAlign w:val="top"/>
          </w:tcPr>
          <w:p>
            <w:pPr>
              <w:pStyle w:val="TableText"/>
              <w:ind w:left="3204"/>
              <w:spacing w:before="102" w:line="220" w:lineRule="auto"/>
              <w:rPr/>
            </w:pPr>
            <w:r>
              <w:rPr>
                <w:b/>
                <w:bCs/>
                <w:spacing w:val="-11"/>
              </w:rPr>
              <w:t>违</w:t>
            </w:r>
            <w:r>
              <w:rPr>
                <w:spacing w:val="-36"/>
              </w:rPr>
              <w:t xml:space="preserve"> </w:t>
            </w:r>
            <w:r>
              <w:rPr>
                <w:b/>
                <w:bCs/>
                <w:spacing w:val="-11"/>
              </w:rPr>
              <w:t>法</w:t>
            </w:r>
            <w:r>
              <w:rPr>
                <w:spacing w:val="-36"/>
              </w:rPr>
              <w:t xml:space="preserve"> </w:t>
            </w:r>
            <w:r>
              <w:rPr>
                <w:b/>
                <w:bCs/>
                <w:spacing w:val="-11"/>
              </w:rPr>
              <w:t>后</w:t>
            </w:r>
            <w:r>
              <w:rPr>
                <w:spacing w:val="-34"/>
              </w:rPr>
              <w:t xml:space="preserve"> </w:t>
            </w:r>
            <w:r>
              <w:rPr>
                <w:b/>
                <w:bCs/>
                <w:spacing w:val="-11"/>
              </w:rPr>
              <w:t>果</w:t>
            </w:r>
          </w:p>
        </w:tc>
        <w:tc>
          <w:tcPr>
            <w:tcW w:w="5141" w:type="dxa"/>
            <w:vAlign w:val="top"/>
          </w:tcPr>
          <w:p>
            <w:pPr>
              <w:pStyle w:val="TableText"/>
              <w:ind w:left="2019"/>
              <w:spacing w:before="99" w:line="218" w:lineRule="auto"/>
              <w:rPr/>
            </w:pPr>
            <w:r>
              <w:rPr>
                <w:b/>
                <w:bCs/>
                <w:spacing w:val="-5"/>
              </w:rPr>
              <w:t>裁量幅度</w:t>
            </w:r>
          </w:p>
        </w:tc>
      </w:tr>
      <w:tr>
        <w:trPr>
          <w:trHeight w:val="876" w:hRule="atLeast"/>
        </w:trPr>
        <w:tc>
          <w:tcPr>
            <w:tcW w:w="1444" w:type="dxa"/>
            <w:vAlign w:val="top"/>
          </w:tcPr>
          <w:p>
            <w:pPr>
              <w:pStyle w:val="TableText"/>
              <w:ind w:left="478"/>
              <w:spacing w:before="140" w:line="221" w:lineRule="auto"/>
              <w:rPr/>
            </w:pPr>
            <w:r>
              <w:rPr>
                <w:b/>
                <w:bCs/>
                <w:spacing w:val="-10"/>
              </w:rPr>
              <w:t>一般</w:t>
            </w:r>
          </w:p>
        </w:tc>
        <w:tc>
          <w:tcPr>
            <w:tcW w:w="7585" w:type="dxa"/>
            <w:vAlign w:val="top"/>
          </w:tcPr>
          <w:p>
            <w:pPr>
              <w:pStyle w:val="TableText"/>
              <w:ind w:left="179" w:right="63" w:hanging="119"/>
              <w:spacing w:before="143" w:line="278" w:lineRule="auto"/>
              <w:rPr/>
            </w:pPr>
            <w:r>
              <w:rPr/>
              <w:t>医疗机构对接待过程中发现的可能激化矛盾，引起治安案件、刑事案件</w:t>
            </w:r>
            <w:r>
              <w:rPr>
                <w:spacing w:val="9"/>
              </w:rPr>
              <w:t xml:space="preserve"> </w:t>
            </w:r>
            <w:r>
              <w:rPr/>
              <w:t>的投诉，未及时向当地公安机关报告，经责令限期整改，逾期不改的</w:t>
            </w:r>
          </w:p>
        </w:tc>
        <w:tc>
          <w:tcPr>
            <w:tcW w:w="5141" w:type="dxa"/>
            <w:vAlign w:val="top"/>
          </w:tcPr>
          <w:p>
            <w:pPr>
              <w:spacing w:line="241" w:lineRule="auto"/>
              <w:rPr>
                <w:rFonts w:ascii="Arial"/>
                <w:sz w:val="21"/>
              </w:rPr>
            </w:pPr>
            <w:r/>
          </w:p>
          <w:p>
            <w:pPr>
              <w:pStyle w:val="TableText"/>
              <w:ind w:left="126"/>
              <w:spacing w:before="78" w:line="218" w:lineRule="auto"/>
              <w:rPr/>
            </w:pPr>
            <w:r>
              <w:rPr/>
              <w:t>给予警告，并处以一万元以下罚款</w:t>
            </w:r>
          </w:p>
        </w:tc>
      </w:tr>
      <w:tr>
        <w:trPr>
          <w:trHeight w:val="871" w:hRule="atLeast"/>
        </w:trPr>
        <w:tc>
          <w:tcPr>
            <w:tcW w:w="1444" w:type="dxa"/>
            <w:vAlign w:val="top"/>
          </w:tcPr>
          <w:p>
            <w:pPr>
              <w:pStyle w:val="TableText"/>
              <w:ind w:left="478"/>
              <w:spacing w:before="144" w:line="220" w:lineRule="auto"/>
              <w:rPr/>
            </w:pPr>
            <w:r>
              <w:rPr>
                <w:b/>
                <w:bCs/>
                <w:spacing w:val="-6"/>
              </w:rPr>
              <w:t>严重</w:t>
            </w:r>
          </w:p>
        </w:tc>
        <w:tc>
          <w:tcPr>
            <w:tcW w:w="7585" w:type="dxa"/>
            <w:vAlign w:val="top"/>
          </w:tcPr>
          <w:p>
            <w:pPr>
              <w:pStyle w:val="TableText"/>
              <w:ind w:left="100" w:right="63" w:hanging="40"/>
              <w:spacing w:before="156" w:line="271" w:lineRule="auto"/>
              <w:rPr/>
            </w:pPr>
            <w:r>
              <w:rPr/>
              <w:t>医疗机构对接待过程中发现的可能激化矛盾，引起治安案件、刑事案件</w:t>
            </w:r>
            <w:r>
              <w:rPr>
                <w:spacing w:val="9"/>
              </w:rPr>
              <w:t xml:space="preserve"> </w:t>
            </w:r>
            <w:r>
              <w:rPr/>
              <w:t>的投诉，未及时向当地公安机关报告，造成严重后果的</w:t>
            </w:r>
          </w:p>
        </w:tc>
        <w:tc>
          <w:tcPr>
            <w:tcW w:w="5141" w:type="dxa"/>
            <w:vAlign w:val="top"/>
          </w:tcPr>
          <w:p>
            <w:pPr>
              <w:spacing w:line="297" w:lineRule="auto"/>
              <w:rPr>
                <w:rFonts w:ascii="Arial"/>
                <w:sz w:val="21"/>
              </w:rPr>
            </w:pPr>
            <w:r/>
          </w:p>
          <w:p>
            <w:pPr>
              <w:pStyle w:val="TableText"/>
              <w:ind w:left="126"/>
              <w:spacing w:before="78" w:line="220" w:lineRule="auto"/>
              <w:rPr/>
            </w:pPr>
            <w:r>
              <w:rPr/>
              <w:t>处以一万元以上三万元以下罚款</w:t>
            </w:r>
          </w:p>
        </w:tc>
      </w:tr>
    </w:tbl>
    <w:p>
      <w:pPr>
        <w:pStyle w:val="BodyText"/>
        <w:spacing w:line="447" w:lineRule="auto"/>
        <w:rPr/>
      </w:pPr>
      <w:r/>
    </w:p>
    <w:p>
      <w:pPr>
        <w:ind w:left="789"/>
        <w:spacing w:before="97" w:line="220" w:lineRule="auto"/>
        <w:rPr>
          <w:rFonts w:ascii="FangSong" w:hAnsi="FangSong" w:eastAsia="FangSong" w:cs="FangSong"/>
          <w:sz w:val="30"/>
          <w:szCs w:val="30"/>
        </w:rPr>
      </w:pPr>
      <w:r>
        <w:rPr>
          <w:rFonts w:ascii="FangSong" w:hAnsi="FangSong" w:eastAsia="FangSong" w:cs="FangSong"/>
          <w:sz w:val="30"/>
          <w:szCs w:val="30"/>
          <w:b/>
          <w:bCs/>
          <w:spacing w:val="22"/>
        </w:rPr>
        <w:t>第三百二十条医疗机构发布违背或者夸大事实、渲染</w:t>
      </w:r>
      <w:r>
        <w:rPr>
          <w:rFonts w:ascii="FangSong" w:hAnsi="FangSong" w:eastAsia="FangSong" w:cs="FangSong"/>
          <w:sz w:val="30"/>
          <w:szCs w:val="30"/>
          <w:b/>
          <w:bCs/>
          <w:spacing w:val="21"/>
        </w:rPr>
        <w:t>事件处理过程的信息的</w:t>
      </w:r>
    </w:p>
    <w:p>
      <w:pPr>
        <w:ind w:left="774"/>
        <w:spacing w:before="70" w:line="222" w:lineRule="auto"/>
        <w:rPr>
          <w:rFonts w:ascii="FangSong" w:hAnsi="FangSong" w:eastAsia="FangSong" w:cs="FangSong"/>
          <w:sz w:val="30"/>
          <w:szCs w:val="30"/>
        </w:rPr>
      </w:pPr>
      <w:r>
        <w:rPr>
          <w:rFonts w:ascii="FangSong" w:hAnsi="FangSong" w:eastAsia="FangSong" w:cs="FangSong"/>
          <w:sz w:val="30"/>
          <w:szCs w:val="30"/>
          <w:spacing w:val="30"/>
        </w:rPr>
        <w:t>法律依据：</w:t>
      </w:r>
    </w:p>
    <w:p>
      <w:pPr>
        <w:ind w:left="115" w:right="110" w:firstLine="629"/>
        <w:spacing w:before="87" w:line="271" w:lineRule="auto"/>
        <w:jc w:val="both"/>
        <w:rPr>
          <w:rFonts w:ascii="FangSong" w:hAnsi="FangSong" w:eastAsia="FangSong" w:cs="FangSong"/>
          <w:sz w:val="30"/>
          <w:szCs w:val="30"/>
        </w:rPr>
      </w:pPr>
      <w:r>
        <w:rPr>
          <w:rFonts w:ascii="FangSong" w:hAnsi="FangSong" w:eastAsia="FangSong" w:cs="FangSong"/>
          <w:sz w:val="30"/>
          <w:szCs w:val="30"/>
          <w:spacing w:val="24"/>
        </w:rPr>
        <w:t>《医疗机构投诉管理办法》第四十四条第(六)项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医疗机构违反本办法规</w:t>
      </w:r>
      <w:r>
        <w:rPr>
          <w:rFonts w:ascii="FangSong" w:hAnsi="FangSong" w:eastAsia="FangSong" w:cs="FangSong"/>
          <w:sz w:val="30"/>
          <w:szCs w:val="30"/>
          <w:spacing w:val="23"/>
        </w:rPr>
        <w:t>定，有下列情形之一</w:t>
      </w:r>
      <w:r>
        <w:rPr>
          <w:rFonts w:ascii="FangSong" w:hAnsi="FangSong" w:eastAsia="FangSong" w:cs="FangSong"/>
          <w:sz w:val="30"/>
          <w:szCs w:val="30"/>
        </w:rPr>
        <w:t xml:space="preserve"> </w:t>
      </w:r>
      <w:r>
        <w:rPr>
          <w:rFonts w:ascii="FangSong" w:hAnsi="FangSong" w:eastAsia="FangSong" w:cs="FangSong"/>
          <w:sz w:val="30"/>
          <w:szCs w:val="30"/>
          <w:spacing w:val="17"/>
        </w:rPr>
        <w:t>的，由县级以上地方卫生健康主管部门责令限期整改；逾期不改的，给予警告，并处以一</w:t>
      </w:r>
      <w:r>
        <w:rPr>
          <w:rFonts w:ascii="FangSong" w:hAnsi="FangSong" w:eastAsia="FangSong" w:cs="FangSong"/>
          <w:sz w:val="30"/>
          <w:szCs w:val="30"/>
          <w:spacing w:val="16"/>
        </w:rPr>
        <w:t>万元以下罚</w:t>
      </w:r>
      <w:r>
        <w:rPr>
          <w:rFonts w:ascii="FangSong" w:hAnsi="FangSong" w:eastAsia="FangSong" w:cs="FangSong"/>
          <w:sz w:val="30"/>
          <w:szCs w:val="30"/>
        </w:rPr>
        <w:t xml:space="preserve"> </w:t>
      </w:r>
      <w:r>
        <w:rPr>
          <w:rFonts w:ascii="FangSong" w:hAnsi="FangSong" w:eastAsia="FangSong" w:cs="FangSong"/>
          <w:sz w:val="30"/>
          <w:szCs w:val="30"/>
          <w:spacing w:val="17"/>
        </w:rPr>
        <w:t>款；造成严重后果的，处以一万元以上三万元以下罚款，并对医疗机构主要负责人、直</w:t>
      </w:r>
      <w:r>
        <w:rPr>
          <w:rFonts w:ascii="FangSong" w:hAnsi="FangSong" w:eastAsia="FangSong" w:cs="FangSong"/>
          <w:sz w:val="30"/>
          <w:szCs w:val="30"/>
          <w:spacing w:val="16"/>
        </w:rPr>
        <w:t>接负责的主管</w:t>
      </w:r>
      <w:r>
        <w:rPr>
          <w:rFonts w:ascii="FangSong" w:hAnsi="FangSong" w:eastAsia="FangSong" w:cs="FangSong"/>
          <w:sz w:val="30"/>
          <w:szCs w:val="30"/>
        </w:rPr>
        <w:t xml:space="preserve"> </w:t>
      </w:r>
      <w:r>
        <w:rPr>
          <w:rFonts w:ascii="FangSong" w:hAnsi="FangSong" w:eastAsia="FangSong" w:cs="FangSong"/>
          <w:sz w:val="30"/>
          <w:szCs w:val="30"/>
          <w:spacing w:val="14"/>
        </w:rPr>
        <w:t>人员和其他直接责任人员依法给予处分：</w:t>
      </w:r>
    </w:p>
    <w:p>
      <w:pPr>
        <w:ind w:left="914"/>
        <w:spacing w:before="16" w:line="220" w:lineRule="auto"/>
        <w:rPr>
          <w:rFonts w:ascii="FangSong" w:hAnsi="FangSong" w:eastAsia="FangSong" w:cs="FangSong"/>
          <w:sz w:val="30"/>
          <w:szCs w:val="30"/>
        </w:rPr>
      </w:pPr>
      <w:r>
        <w:rPr>
          <w:rFonts w:ascii="FangSong" w:hAnsi="FangSong" w:eastAsia="FangSong" w:cs="FangSong"/>
          <w:sz w:val="30"/>
          <w:szCs w:val="30"/>
          <w:spacing w:val="23"/>
        </w:rPr>
        <w:t>(六)发布违背或者夸大事实、渲染事件处理过程的信息</w:t>
      </w:r>
      <w:r>
        <w:rPr>
          <w:rFonts w:ascii="FangSong" w:hAnsi="FangSong" w:eastAsia="FangSong" w:cs="FangSong"/>
          <w:sz w:val="30"/>
          <w:szCs w:val="30"/>
          <w:spacing w:val="22"/>
        </w:rPr>
        <w:t>的。</w:t>
      </w:r>
    </w:p>
    <w:p>
      <w:pPr>
        <w:ind w:left="6539"/>
        <w:spacing w:before="72" w:line="221" w:lineRule="auto"/>
        <w:rPr>
          <w:rFonts w:ascii="SimHei" w:hAnsi="SimHei" w:eastAsia="SimHei" w:cs="SimHei"/>
          <w:sz w:val="30"/>
          <w:szCs w:val="30"/>
        </w:rPr>
      </w:pPr>
      <w:r>
        <w:rPr>
          <w:rFonts w:ascii="SimHei" w:hAnsi="SimHei" w:eastAsia="SimHei" w:cs="SimHei"/>
          <w:sz w:val="30"/>
          <w:szCs w:val="30"/>
          <w:b/>
          <w:bCs/>
          <w:spacing w:val="-19"/>
        </w:rPr>
        <w:t>裁量标准</w:t>
      </w:r>
    </w:p>
    <w:p>
      <w:pPr>
        <w:spacing w:line="221" w:lineRule="auto"/>
        <w:sectPr>
          <w:footerReference w:type="default" r:id="rId368"/>
          <w:pgSz w:w="16830" w:h="11900"/>
          <w:pgMar w:top="1011" w:right="1335" w:bottom="1117" w:left="1314" w:header="0" w:footer="784" w:gutter="0"/>
        </w:sectPr>
        <w:rPr>
          <w:rFonts w:ascii="SimHei" w:hAnsi="SimHei" w:eastAsia="SimHei" w:cs="SimHei"/>
          <w:sz w:val="30"/>
          <w:szCs w:val="30"/>
        </w:rPr>
      </w:pPr>
    </w:p>
    <w:p>
      <w:pPr>
        <w:spacing w:before="17"/>
        <w:rPr/>
      </w:pPr>
      <w:r/>
    </w:p>
    <w:p>
      <w:pPr>
        <w:spacing w:before="16"/>
        <w:rPr/>
      </w:pPr>
      <w:r/>
    </w:p>
    <w:p>
      <w:pPr>
        <w:spacing w:before="16"/>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435"/>
        <w:gridCol w:w="5291"/>
      </w:tblGrid>
      <w:tr>
        <w:trPr>
          <w:trHeight w:val="453" w:hRule="atLeast"/>
        </w:trPr>
        <w:tc>
          <w:tcPr>
            <w:tcW w:w="1444" w:type="dxa"/>
            <w:vAlign w:val="top"/>
          </w:tcPr>
          <w:p>
            <w:pPr>
              <w:pStyle w:val="TableText"/>
              <w:ind w:left="218"/>
              <w:spacing w:before="102" w:line="220" w:lineRule="auto"/>
              <w:rPr>
                <w:sz w:val="25"/>
                <w:szCs w:val="25"/>
              </w:rPr>
            </w:pPr>
            <w:bookmarkStart w:name="bookmark1021" w:id="390"/>
            <w:bookmarkEnd w:id="390"/>
            <w:r>
              <w:rPr>
                <w:sz w:val="25"/>
                <w:szCs w:val="25"/>
                <w:b/>
                <w:bCs/>
                <w:spacing w:val="-5"/>
              </w:rPr>
              <w:t>违法程度</w:t>
            </w:r>
          </w:p>
        </w:tc>
        <w:tc>
          <w:tcPr>
            <w:tcW w:w="7435" w:type="dxa"/>
            <w:vAlign w:val="top"/>
          </w:tcPr>
          <w:p>
            <w:pPr>
              <w:pStyle w:val="TableText"/>
              <w:ind w:left="3214"/>
              <w:spacing w:before="102" w:line="220" w:lineRule="auto"/>
              <w:rPr>
                <w:sz w:val="25"/>
                <w:szCs w:val="25"/>
              </w:rPr>
            </w:pPr>
            <w:r>
              <w:rPr>
                <w:sz w:val="25"/>
                <w:szCs w:val="25"/>
                <w:b/>
                <w:bCs/>
                <w:spacing w:val="-5"/>
              </w:rPr>
              <w:t>违法后果</w:t>
            </w:r>
          </w:p>
        </w:tc>
        <w:tc>
          <w:tcPr>
            <w:tcW w:w="5291" w:type="dxa"/>
            <w:vAlign w:val="top"/>
          </w:tcPr>
          <w:p>
            <w:pPr>
              <w:pStyle w:val="TableText"/>
              <w:ind w:left="2089"/>
              <w:spacing w:before="99" w:line="218" w:lineRule="auto"/>
              <w:rPr>
                <w:sz w:val="25"/>
                <w:szCs w:val="25"/>
              </w:rPr>
            </w:pPr>
            <w:r>
              <w:rPr>
                <w:sz w:val="25"/>
                <w:szCs w:val="25"/>
                <w:b/>
                <w:bCs/>
                <w:spacing w:val="-5"/>
              </w:rPr>
              <w:t>裁量幅度</w:t>
            </w:r>
          </w:p>
        </w:tc>
      </w:tr>
      <w:tr>
        <w:trPr>
          <w:trHeight w:val="876" w:hRule="atLeast"/>
        </w:trPr>
        <w:tc>
          <w:tcPr>
            <w:tcW w:w="1444" w:type="dxa"/>
            <w:vAlign w:val="top"/>
          </w:tcPr>
          <w:p>
            <w:pPr>
              <w:pStyle w:val="TableText"/>
              <w:ind w:left="468"/>
              <w:spacing w:before="140" w:line="221" w:lineRule="auto"/>
              <w:rPr>
                <w:sz w:val="25"/>
                <w:szCs w:val="25"/>
              </w:rPr>
            </w:pPr>
            <w:r>
              <w:rPr>
                <w:sz w:val="25"/>
                <w:szCs w:val="25"/>
                <w:b/>
                <w:bCs/>
                <w:spacing w:val="-10"/>
              </w:rPr>
              <w:t>一般</w:t>
            </w:r>
          </w:p>
        </w:tc>
        <w:tc>
          <w:tcPr>
            <w:tcW w:w="7435" w:type="dxa"/>
            <w:vAlign w:val="top"/>
          </w:tcPr>
          <w:p>
            <w:pPr>
              <w:pStyle w:val="TableText"/>
              <w:ind w:left="120" w:hanging="109"/>
              <w:spacing w:before="132" w:line="271" w:lineRule="auto"/>
              <w:rPr>
                <w:sz w:val="25"/>
                <w:szCs w:val="25"/>
              </w:rPr>
            </w:pPr>
            <w:r>
              <w:rPr>
                <w:sz w:val="25"/>
                <w:szCs w:val="25"/>
                <w:spacing w:val="-3"/>
              </w:rPr>
              <w:t>医疗机构发布违背或者夸大事实、渲染事件处理过程的信息，经责令</w:t>
            </w:r>
            <w:r>
              <w:rPr>
                <w:sz w:val="25"/>
                <w:szCs w:val="25"/>
                <w:spacing w:val="2"/>
              </w:rPr>
              <w:t xml:space="preserve"> </w:t>
            </w:r>
            <w:r>
              <w:rPr>
                <w:sz w:val="25"/>
                <w:szCs w:val="25"/>
                <w:spacing w:val="1"/>
              </w:rPr>
              <w:t>限期整改，逾期不改的</w:t>
            </w:r>
          </w:p>
        </w:tc>
        <w:tc>
          <w:tcPr>
            <w:tcW w:w="5291" w:type="dxa"/>
            <w:vAlign w:val="top"/>
          </w:tcPr>
          <w:p>
            <w:pPr>
              <w:pStyle w:val="TableText"/>
              <w:ind w:left="125"/>
              <w:spacing w:before="130" w:line="218" w:lineRule="auto"/>
              <w:rPr>
                <w:sz w:val="25"/>
                <w:szCs w:val="25"/>
              </w:rPr>
            </w:pPr>
            <w:r>
              <w:rPr>
                <w:sz w:val="25"/>
                <w:szCs w:val="25"/>
              </w:rPr>
              <w:t>给予警告，并处以一万元以下罚款</w:t>
            </w:r>
          </w:p>
        </w:tc>
      </w:tr>
      <w:tr>
        <w:trPr>
          <w:trHeight w:val="881" w:hRule="atLeast"/>
        </w:trPr>
        <w:tc>
          <w:tcPr>
            <w:tcW w:w="1444" w:type="dxa"/>
            <w:vAlign w:val="top"/>
          </w:tcPr>
          <w:p>
            <w:pPr>
              <w:pStyle w:val="TableText"/>
              <w:ind w:left="468"/>
              <w:spacing w:before="143" w:line="220" w:lineRule="auto"/>
              <w:rPr>
                <w:sz w:val="25"/>
                <w:szCs w:val="25"/>
              </w:rPr>
            </w:pPr>
            <w:r>
              <w:rPr>
                <w:sz w:val="25"/>
                <w:szCs w:val="25"/>
                <w:b/>
                <w:bCs/>
                <w:spacing w:val="-6"/>
              </w:rPr>
              <w:t>严重</w:t>
            </w:r>
          </w:p>
        </w:tc>
        <w:tc>
          <w:tcPr>
            <w:tcW w:w="7435" w:type="dxa"/>
            <w:vAlign w:val="top"/>
          </w:tcPr>
          <w:p>
            <w:pPr>
              <w:pStyle w:val="TableText"/>
              <w:ind w:left="110" w:hanging="99"/>
              <w:spacing w:before="145" w:line="268" w:lineRule="auto"/>
              <w:rPr>
                <w:sz w:val="25"/>
                <w:szCs w:val="25"/>
              </w:rPr>
            </w:pPr>
            <w:r>
              <w:rPr>
                <w:sz w:val="25"/>
                <w:szCs w:val="25"/>
                <w:spacing w:val="-3"/>
              </w:rPr>
              <w:t>医疗机构发布违背或者夸大事实、渲染事件处理过程的信息，造成严</w:t>
            </w:r>
            <w:r>
              <w:rPr>
                <w:sz w:val="25"/>
                <w:szCs w:val="25"/>
                <w:spacing w:val="2"/>
              </w:rPr>
              <w:t xml:space="preserve"> </w:t>
            </w:r>
            <w:r>
              <w:rPr>
                <w:sz w:val="25"/>
                <w:szCs w:val="25"/>
                <w:spacing w:val="4"/>
              </w:rPr>
              <w:t>重后果的</w:t>
            </w:r>
          </w:p>
        </w:tc>
        <w:tc>
          <w:tcPr>
            <w:tcW w:w="5291" w:type="dxa"/>
            <w:vAlign w:val="top"/>
          </w:tcPr>
          <w:p>
            <w:pPr>
              <w:pStyle w:val="TableText"/>
              <w:ind w:left="125"/>
              <w:spacing w:before="147" w:line="220" w:lineRule="auto"/>
              <w:rPr>
                <w:sz w:val="25"/>
                <w:szCs w:val="25"/>
              </w:rPr>
            </w:pPr>
            <w:r>
              <w:rPr>
                <w:sz w:val="25"/>
                <w:szCs w:val="25"/>
              </w:rPr>
              <w:t>处以一万元以上三万元以下罚款</w:t>
            </w:r>
          </w:p>
        </w:tc>
      </w:tr>
    </w:tbl>
    <w:p>
      <w:pPr>
        <w:pStyle w:val="BodyText"/>
        <w:spacing w:line="472" w:lineRule="auto"/>
        <w:rPr/>
      </w:pPr>
      <w:r/>
    </w:p>
    <w:p>
      <w:pPr>
        <w:ind w:left="899"/>
        <w:spacing w:before="100" w:line="223" w:lineRule="auto"/>
        <w:rPr>
          <w:rFonts w:ascii="KaiTi" w:hAnsi="KaiTi" w:eastAsia="KaiTi" w:cs="KaiTi"/>
          <w:sz w:val="31"/>
          <w:szCs w:val="31"/>
        </w:rPr>
      </w:pPr>
      <w:r>
        <w:rPr>
          <w:rFonts w:ascii="KaiTi" w:hAnsi="KaiTi" w:eastAsia="KaiTi" w:cs="KaiTi"/>
          <w:sz w:val="31"/>
          <w:szCs w:val="31"/>
          <w:b/>
          <w:bCs/>
          <w:spacing w:val="18"/>
        </w:rPr>
        <w:t>(二十八)《医疗技术临床应用管理办法》</w:t>
      </w:r>
    </w:p>
    <w:p>
      <w:pPr>
        <w:ind w:left="139" w:right="117" w:firstLine="649"/>
        <w:spacing w:before="316" w:line="262" w:lineRule="auto"/>
        <w:rPr>
          <w:rFonts w:ascii="FangSong" w:hAnsi="FangSong" w:eastAsia="FangSong" w:cs="FangSong"/>
          <w:sz w:val="31"/>
          <w:szCs w:val="31"/>
        </w:rPr>
      </w:pPr>
      <w:r>
        <w:rPr>
          <w:rFonts w:ascii="FangSong" w:hAnsi="FangSong" w:eastAsia="FangSong" w:cs="FangSong"/>
          <w:sz w:val="31"/>
          <w:szCs w:val="31"/>
          <w:b/>
          <w:bCs/>
          <w:spacing w:val="18"/>
        </w:rPr>
        <w:t>第三百二十一条医疗机构未建立医疗技术临床应用管理专门组织或者未指定专(兼)职人员负</w:t>
      </w:r>
      <w:r>
        <w:rPr>
          <w:rFonts w:ascii="FangSong" w:hAnsi="FangSong" w:eastAsia="FangSong" w:cs="FangSong"/>
          <w:sz w:val="31"/>
          <w:szCs w:val="31"/>
        </w:rPr>
        <w:t xml:space="preserve"> </w:t>
      </w:r>
      <w:r>
        <w:rPr>
          <w:rFonts w:ascii="FangSong" w:hAnsi="FangSong" w:eastAsia="FangSong" w:cs="FangSong"/>
          <w:sz w:val="31"/>
          <w:szCs w:val="31"/>
          <w:b/>
          <w:bCs/>
          <w:spacing w:val="1"/>
        </w:rPr>
        <w:t>责具体管理工作的</w:t>
      </w:r>
    </w:p>
    <w:p>
      <w:pPr>
        <w:ind w:left="785"/>
        <w:spacing w:before="47"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135" w:right="108" w:firstLine="604"/>
        <w:spacing w:before="83" w:line="256" w:lineRule="auto"/>
        <w:jc w:val="both"/>
        <w:rPr>
          <w:rFonts w:ascii="FangSong" w:hAnsi="FangSong" w:eastAsia="FangSong" w:cs="FangSong"/>
          <w:sz w:val="31"/>
          <w:szCs w:val="31"/>
        </w:rPr>
      </w:pPr>
      <w:r>
        <w:rPr>
          <w:rFonts w:ascii="FangSong" w:hAnsi="FangSong" w:eastAsia="FangSong" w:cs="FangSong"/>
          <w:sz w:val="31"/>
          <w:szCs w:val="31"/>
          <w:spacing w:val="14"/>
        </w:rPr>
        <w:t>《医疗技术临床应用管理办法》第四十一条第(一)项</w:t>
      </w:r>
      <w:r>
        <w:rPr>
          <w:rFonts w:ascii="FangSong" w:hAnsi="FangSong" w:eastAsia="FangSong" w:cs="FangSong"/>
          <w:sz w:val="31"/>
          <w:szCs w:val="31"/>
          <w:spacing w:val="14"/>
        </w:rPr>
        <w:t xml:space="preserve">  </w:t>
      </w:r>
      <w:r>
        <w:rPr>
          <w:rFonts w:ascii="FangSong" w:hAnsi="FangSong" w:eastAsia="FangSong" w:cs="FangSong"/>
          <w:sz w:val="31"/>
          <w:szCs w:val="31"/>
          <w:spacing w:val="14"/>
        </w:rPr>
        <w:t>医疗机构违反本办法规定，有下列情形</w:t>
      </w:r>
      <w:r>
        <w:rPr>
          <w:rFonts w:ascii="FangSong" w:hAnsi="FangSong" w:eastAsia="FangSong" w:cs="FangSong"/>
          <w:sz w:val="31"/>
          <w:szCs w:val="31"/>
          <w:spacing w:val="18"/>
        </w:rPr>
        <w:t xml:space="preserve"> </w:t>
      </w:r>
      <w:r>
        <w:rPr>
          <w:rFonts w:ascii="FangSong" w:hAnsi="FangSong" w:eastAsia="FangSong" w:cs="FangSong"/>
          <w:sz w:val="31"/>
          <w:szCs w:val="31"/>
          <w:spacing w:val="7"/>
        </w:rPr>
        <w:t>之一的，由县级以上地方卫生行政部门责令限期改正；逾</w:t>
      </w:r>
      <w:r>
        <w:rPr>
          <w:rFonts w:ascii="FangSong" w:hAnsi="FangSong" w:eastAsia="FangSong" w:cs="FangSong"/>
          <w:sz w:val="31"/>
          <w:szCs w:val="31"/>
          <w:spacing w:val="6"/>
        </w:rPr>
        <w:t>期不改的，暂停或者停止相关医疗技术临床</w:t>
      </w:r>
      <w:r>
        <w:rPr>
          <w:rFonts w:ascii="FangSong" w:hAnsi="FangSong" w:eastAsia="FangSong" w:cs="FangSong"/>
          <w:sz w:val="31"/>
          <w:szCs w:val="31"/>
        </w:rPr>
        <w:t xml:space="preserve"> </w:t>
      </w:r>
      <w:r>
        <w:rPr>
          <w:rFonts w:ascii="FangSong" w:hAnsi="FangSong" w:eastAsia="FangSong" w:cs="FangSong"/>
          <w:sz w:val="31"/>
          <w:szCs w:val="31"/>
          <w:spacing w:val="7"/>
        </w:rPr>
        <w:t>应用，给予警告，并处以三千元以下罚款；造成严重后果的</w:t>
      </w:r>
      <w:r>
        <w:rPr>
          <w:rFonts w:ascii="FangSong" w:hAnsi="FangSong" w:eastAsia="FangSong" w:cs="FangSong"/>
          <w:sz w:val="31"/>
          <w:szCs w:val="31"/>
          <w:spacing w:val="6"/>
        </w:rPr>
        <w:t>，处以三千元以上三万元以下罚款，并对</w:t>
      </w:r>
      <w:r>
        <w:rPr>
          <w:rFonts w:ascii="FangSong" w:hAnsi="FangSong" w:eastAsia="FangSong" w:cs="FangSong"/>
          <w:sz w:val="31"/>
          <w:szCs w:val="31"/>
        </w:rPr>
        <w:t xml:space="preserve"> </w:t>
      </w:r>
      <w:r>
        <w:rPr>
          <w:rFonts w:ascii="FangSong" w:hAnsi="FangSong" w:eastAsia="FangSong" w:cs="FangSong"/>
          <w:sz w:val="31"/>
          <w:szCs w:val="31"/>
          <w:spacing w:val="7"/>
        </w:rPr>
        <w:t>医疗机构主要负责人、负有责任的主管人员和其他直接责任人员依法给予处分：</w:t>
      </w:r>
    </w:p>
    <w:p>
      <w:pPr>
        <w:ind w:left="6538" w:right="59" w:hanging="5644"/>
        <w:spacing w:before="2" w:line="246" w:lineRule="auto"/>
        <w:rPr>
          <w:rFonts w:ascii="SimSun" w:hAnsi="SimSun" w:eastAsia="SimSun" w:cs="SimSun"/>
          <w:sz w:val="28"/>
          <w:szCs w:val="28"/>
        </w:rPr>
      </w:pPr>
      <w:r>
        <w:rPr>
          <w:rFonts w:ascii="FangSong" w:hAnsi="FangSong" w:eastAsia="FangSong" w:cs="FangSong"/>
          <w:sz w:val="31"/>
          <w:szCs w:val="31"/>
          <w:spacing w:val="20"/>
        </w:rPr>
        <w:t>(一)未建立医疗技术临床应用管理专门组织或者未指定专</w:t>
      </w:r>
      <w:r>
        <w:rPr>
          <w:rFonts w:ascii="FangSong" w:hAnsi="FangSong" w:eastAsia="FangSong" w:cs="FangSong"/>
          <w:sz w:val="31"/>
          <w:szCs w:val="31"/>
          <w:spacing w:val="19"/>
        </w:rPr>
        <w:t>(兼)职人员负责具体管理工作的；</w:t>
      </w:r>
      <w:r>
        <w:rPr>
          <w:rFonts w:ascii="FangSong" w:hAnsi="FangSong" w:eastAsia="FangSong" w:cs="FangSong"/>
          <w:sz w:val="31"/>
          <w:szCs w:val="31"/>
        </w:rPr>
        <w:t xml:space="preserve"> </w:t>
      </w:r>
      <w:r>
        <w:rPr>
          <w:rFonts w:ascii="SimSun" w:hAnsi="SimSun" w:eastAsia="SimSun" w:cs="SimSun"/>
          <w:sz w:val="28"/>
          <w:szCs w:val="28"/>
          <w:b/>
          <w:bCs/>
          <w:spacing w:val="-6"/>
        </w:rPr>
        <w:t>裁量标准</w:t>
      </w:r>
    </w:p>
    <w:tbl>
      <w:tblPr>
        <w:tblStyle w:val="TableNormal"/>
        <w:tblW w:w="13970" w:type="dxa"/>
        <w:tblInd w:w="12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8074"/>
        <w:gridCol w:w="4472"/>
      </w:tblGrid>
      <w:tr>
        <w:trPr>
          <w:trHeight w:val="550" w:hRule="atLeast"/>
        </w:trPr>
        <w:tc>
          <w:tcPr>
            <w:tcW w:w="1424" w:type="dxa"/>
            <w:vAlign w:val="top"/>
          </w:tcPr>
          <w:p>
            <w:pPr>
              <w:pStyle w:val="TableText"/>
              <w:ind w:left="139"/>
              <w:spacing w:before="133" w:line="220" w:lineRule="auto"/>
              <w:rPr>
                <w:sz w:val="29"/>
                <w:szCs w:val="29"/>
              </w:rPr>
            </w:pPr>
            <w:r>
              <w:rPr>
                <w:sz w:val="29"/>
                <w:szCs w:val="29"/>
                <w:b/>
                <w:bCs/>
                <w:spacing w:val="-1"/>
              </w:rPr>
              <w:t>违法程度</w:t>
            </w:r>
          </w:p>
        </w:tc>
        <w:tc>
          <w:tcPr>
            <w:tcW w:w="8074" w:type="dxa"/>
            <w:vAlign w:val="top"/>
          </w:tcPr>
          <w:p>
            <w:pPr>
              <w:pStyle w:val="TableText"/>
              <w:ind w:left="3475"/>
              <w:spacing w:before="193" w:line="220" w:lineRule="auto"/>
              <w:rPr>
                <w:sz w:val="29"/>
                <w:szCs w:val="29"/>
              </w:rPr>
            </w:pPr>
            <w:r>
              <w:rPr>
                <w:sz w:val="29"/>
                <w:szCs w:val="29"/>
                <w:b/>
                <w:bCs/>
                <w:spacing w:val="-1"/>
              </w:rPr>
              <w:t>情节后果</w:t>
            </w:r>
          </w:p>
        </w:tc>
        <w:tc>
          <w:tcPr>
            <w:tcW w:w="4472" w:type="dxa"/>
            <w:vAlign w:val="top"/>
          </w:tcPr>
          <w:p>
            <w:pPr>
              <w:pStyle w:val="TableText"/>
              <w:ind w:left="1661"/>
              <w:spacing w:before="180" w:line="218" w:lineRule="auto"/>
              <w:rPr>
                <w:sz w:val="29"/>
                <w:szCs w:val="29"/>
              </w:rPr>
            </w:pPr>
            <w:r>
              <w:rPr>
                <w:sz w:val="29"/>
                <w:szCs w:val="29"/>
                <w:b/>
                <w:bCs/>
                <w:spacing w:val="-1"/>
              </w:rPr>
              <w:t>裁量幅度</w:t>
            </w:r>
          </w:p>
        </w:tc>
      </w:tr>
    </w:tbl>
    <w:p>
      <w:pPr>
        <w:pStyle w:val="BodyText"/>
        <w:rPr/>
      </w:pPr>
      <w:r/>
    </w:p>
    <w:p>
      <w:pPr>
        <w:sectPr>
          <w:footerReference w:type="default" r:id="rId369"/>
          <w:pgSz w:w="16830" w:h="11900"/>
          <w:pgMar w:top="1011" w:right="1335" w:bottom="1130" w:left="1314" w:header="0" w:footer="806" w:gutter="0"/>
        </w:sectPr>
        <w:rPr/>
      </w:pPr>
    </w:p>
    <w:p>
      <w:pPr>
        <w:spacing w:before="20"/>
        <w:rPr/>
      </w:pPr>
      <w:r/>
    </w:p>
    <w:p>
      <w:pPr>
        <w:spacing w:before="20"/>
        <w:rPr/>
      </w:pPr>
      <w:r/>
    </w:p>
    <w:p>
      <w:pPr>
        <w:spacing w:before="19"/>
        <w:rPr/>
      </w:pPr>
      <w:r/>
    </w:p>
    <w:tbl>
      <w:tblPr>
        <w:tblStyle w:val="TableNormal"/>
        <w:tblW w:w="139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8074"/>
        <w:gridCol w:w="4452"/>
      </w:tblGrid>
      <w:tr>
        <w:trPr>
          <w:trHeight w:val="860" w:hRule="atLeast"/>
        </w:trPr>
        <w:tc>
          <w:tcPr>
            <w:tcW w:w="1444" w:type="dxa"/>
            <w:vAlign w:val="top"/>
          </w:tcPr>
          <w:p>
            <w:pPr>
              <w:pStyle w:val="TableText"/>
              <w:ind w:left="478"/>
              <w:spacing w:before="312" w:line="221" w:lineRule="auto"/>
              <w:rPr/>
            </w:pPr>
            <w:bookmarkStart w:name="bookmark1022" w:id="391"/>
            <w:bookmarkEnd w:id="391"/>
            <w:r>
              <w:rPr>
                <w:b/>
                <w:bCs/>
                <w:spacing w:val="-10"/>
              </w:rPr>
              <w:t>一般</w:t>
            </w:r>
          </w:p>
        </w:tc>
        <w:tc>
          <w:tcPr>
            <w:tcW w:w="8074" w:type="dxa"/>
            <w:vAlign w:val="top"/>
          </w:tcPr>
          <w:p>
            <w:pPr>
              <w:pStyle w:val="TableText"/>
              <w:ind w:left="121" w:right="229"/>
              <w:spacing w:before="135" w:line="275" w:lineRule="auto"/>
              <w:rPr/>
            </w:pPr>
            <w:r>
              <w:rPr>
                <w:spacing w:val="1"/>
              </w:rPr>
              <w:t>医疗机构未建立医疗技术临床应用管理专门组织或者未指定专(兼)职人员</w:t>
            </w:r>
            <w:r>
              <w:rPr/>
              <w:t xml:space="preserve"> </w:t>
            </w:r>
            <w:r>
              <w:rPr/>
              <w:t>负责具体管理工作，经责令限期改正，逾期不改的</w:t>
            </w:r>
          </w:p>
        </w:tc>
        <w:tc>
          <w:tcPr>
            <w:tcW w:w="4452" w:type="dxa"/>
            <w:vAlign w:val="top"/>
          </w:tcPr>
          <w:p>
            <w:pPr>
              <w:pStyle w:val="TableText"/>
              <w:ind w:left="116" w:right="50" w:hanging="60"/>
              <w:spacing w:before="135" w:line="275" w:lineRule="auto"/>
              <w:rPr/>
            </w:pPr>
            <w:r>
              <w:rPr/>
              <w:t>暂停或者停止相关医疗技术临床应用，予</w:t>
            </w:r>
            <w:r>
              <w:rPr>
                <w:spacing w:val="13"/>
              </w:rPr>
              <w:t xml:space="preserve"> </w:t>
            </w:r>
            <w:r>
              <w:rPr/>
              <w:t>以警告，并处以三千元以下罚款</w:t>
            </w:r>
          </w:p>
        </w:tc>
      </w:tr>
      <w:tr>
        <w:trPr>
          <w:trHeight w:val="880" w:hRule="atLeast"/>
        </w:trPr>
        <w:tc>
          <w:tcPr>
            <w:tcW w:w="1444" w:type="dxa"/>
            <w:vAlign w:val="top"/>
          </w:tcPr>
          <w:p>
            <w:pPr>
              <w:spacing w:line="302" w:lineRule="auto"/>
              <w:rPr>
                <w:rFonts w:ascii="Arial"/>
                <w:sz w:val="21"/>
              </w:rPr>
            </w:pPr>
            <w:r/>
          </w:p>
          <w:p>
            <w:pPr>
              <w:pStyle w:val="TableText"/>
              <w:ind w:left="478"/>
              <w:spacing w:before="78" w:line="220" w:lineRule="auto"/>
              <w:rPr/>
            </w:pPr>
            <w:r>
              <w:rPr>
                <w:b/>
                <w:bCs/>
                <w:spacing w:val="-6"/>
              </w:rPr>
              <w:t>严重</w:t>
            </w:r>
          </w:p>
        </w:tc>
        <w:tc>
          <w:tcPr>
            <w:tcW w:w="8074" w:type="dxa"/>
            <w:vAlign w:val="top"/>
          </w:tcPr>
          <w:p>
            <w:pPr>
              <w:pStyle w:val="TableText"/>
              <w:ind w:left="121" w:right="229"/>
              <w:spacing w:before="162" w:line="272" w:lineRule="auto"/>
              <w:rPr/>
            </w:pPr>
            <w:r>
              <w:rPr>
                <w:spacing w:val="1"/>
              </w:rPr>
              <w:t>医疗机构未建立医疗技术临床应用管理专门组织或者未指定专(兼)职人员</w:t>
            </w:r>
            <w:r>
              <w:rPr/>
              <w:t xml:space="preserve"> </w:t>
            </w:r>
            <w:r>
              <w:rPr>
                <w:spacing w:val="1"/>
              </w:rPr>
              <w:t>负责具体管理工作，造成严重后果的</w:t>
            </w:r>
          </w:p>
        </w:tc>
        <w:tc>
          <w:tcPr>
            <w:tcW w:w="4452" w:type="dxa"/>
            <w:vAlign w:val="top"/>
          </w:tcPr>
          <w:p>
            <w:pPr>
              <w:pStyle w:val="TableText"/>
              <w:ind w:left="56" w:right="54"/>
              <w:spacing w:before="155" w:line="275" w:lineRule="auto"/>
              <w:rPr/>
            </w:pPr>
            <w:r>
              <w:rPr/>
              <w:t>暂停或者停止相关医疗技术临床应用，给</w:t>
            </w:r>
            <w:r>
              <w:rPr>
                <w:spacing w:val="8"/>
              </w:rPr>
              <w:t xml:space="preserve"> </w:t>
            </w:r>
            <w:r>
              <w:rPr/>
              <w:t>予警告，处以三千元以上三万元以下罚款</w:t>
            </w:r>
          </w:p>
        </w:tc>
      </w:tr>
    </w:tbl>
    <w:p>
      <w:pPr>
        <w:pStyle w:val="BodyText"/>
        <w:spacing w:line="476" w:lineRule="auto"/>
        <w:rPr/>
      </w:pPr>
      <w:r/>
    </w:p>
    <w:p>
      <w:pPr>
        <w:ind w:left="68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第三百二十二条医疗机构未建立医疗技术临床应用管理相关规章制度的</w:t>
      </w:r>
    </w:p>
    <w:p>
      <w:pPr>
        <w:ind w:left="665"/>
        <w:spacing w:before="109"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ind w:left="35" w:right="19" w:firstLine="619"/>
        <w:spacing w:before="83" w:line="271" w:lineRule="auto"/>
        <w:jc w:val="both"/>
        <w:rPr>
          <w:rFonts w:ascii="FangSong" w:hAnsi="FangSong" w:eastAsia="FangSong" w:cs="FangSong"/>
          <w:sz w:val="30"/>
          <w:szCs w:val="30"/>
        </w:rPr>
      </w:pPr>
      <w:r>
        <w:rPr>
          <w:rFonts w:ascii="FangSong" w:hAnsi="FangSong" w:eastAsia="FangSong" w:cs="FangSong"/>
          <w:sz w:val="30"/>
          <w:szCs w:val="30"/>
          <w:spacing w:val="24"/>
        </w:rPr>
        <w:t>《医疗技术临床应用管理办法》第四十一条第(二)项</w:t>
      </w:r>
      <w:r>
        <w:rPr>
          <w:rFonts w:ascii="FangSong" w:hAnsi="FangSong" w:eastAsia="FangSong" w:cs="FangSong"/>
          <w:sz w:val="30"/>
          <w:szCs w:val="30"/>
          <w:spacing w:val="24"/>
        </w:rPr>
        <w:t xml:space="preserve"> </w:t>
      </w:r>
      <w:r>
        <w:rPr>
          <w:rFonts w:ascii="FangSong" w:hAnsi="FangSong" w:eastAsia="FangSong" w:cs="FangSong"/>
          <w:sz w:val="30"/>
          <w:szCs w:val="30"/>
          <w:spacing w:val="23"/>
        </w:rPr>
        <w:t xml:space="preserve"> </w:t>
      </w:r>
      <w:r>
        <w:rPr>
          <w:rFonts w:ascii="FangSong" w:hAnsi="FangSong" w:eastAsia="FangSong" w:cs="FangSong"/>
          <w:sz w:val="30"/>
          <w:szCs w:val="30"/>
          <w:spacing w:val="23"/>
        </w:rPr>
        <w:t>医疗机构违反本办法规定，有下列情形</w:t>
      </w:r>
      <w:r>
        <w:rPr>
          <w:rFonts w:ascii="FangSong" w:hAnsi="FangSong" w:eastAsia="FangSong" w:cs="FangSong"/>
          <w:sz w:val="30"/>
          <w:szCs w:val="30"/>
        </w:rPr>
        <w:t xml:space="preserve"> </w:t>
      </w:r>
      <w:r>
        <w:rPr>
          <w:rFonts w:ascii="FangSong" w:hAnsi="FangSong" w:eastAsia="FangSong" w:cs="FangSong"/>
          <w:sz w:val="30"/>
          <w:szCs w:val="30"/>
          <w:spacing w:val="17"/>
        </w:rPr>
        <w:t>之一的，由县级以上地方卫生行政部门责令限期改正；</w:t>
      </w:r>
      <w:r>
        <w:rPr>
          <w:rFonts w:ascii="FangSong" w:hAnsi="FangSong" w:eastAsia="FangSong" w:cs="FangSong"/>
          <w:sz w:val="30"/>
          <w:szCs w:val="30"/>
          <w:spacing w:val="16"/>
        </w:rPr>
        <w:t>逾期不改的，暂停或者停止相关医疗技术临床</w:t>
      </w:r>
      <w:r>
        <w:rPr>
          <w:rFonts w:ascii="FangSong" w:hAnsi="FangSong" w:eastAsia="FangSong" w:cs="FangSong"/>
          <w:sz w:val="30"/>
          <w:szCs w:val="30"/>
        </w:rPr>
        <w:t xml:space="preserve"> </w:t>
      </w:r>
      <w:r>
        <w:rPr>
          <w:rFonts w:ascii="FangSong" w:hAnsi="FangSong" w:eastAsia="FangSong" w:cs="FangSong"/>
          <w:sz w:val="30"/>
          <w:szCs w:val="30"/>
          <w:spacing w:val="17"/>
        </w:rPr>
        <w:t>应用，给予警告，并处以三千元以下罚款；造成严重后果</w:t>
      </w:r>
      <w:r>
        <w:rPr>
          <w:rFonts w:ascii="FangSong" w:hAnsi="FangSong" w:eastAsia="FangSong" w:cs="FangSong"/>
          <w:sz w:val="30"/>
          <w:szCs w:val="30"/>
          <w:spacing w:val="16"/>
        </w:rPr>
        <w:t>的，处以三千元以上三万元以下罚款，并对</w:t>
      </w:r>
      <w:r>
        <w:rPr>
          <w:rFonts w:ascii="FangSong" w:hAnsi="FangSong" w:eastAsia="FangSong" w:cs="FangSong"/>
          <w:sz w:val="30"/>
          <w:szCs w:val="30"/>
        </w:rPr>
        <w:t xml:space="preserve"> </w:t>
      </w:r>
      <w:r>
        <w:rPr>
          <w:rFonts w:ascii="FangSong" w:hAnsi="FangSong" w:eastAsia="FangSong" w:cs="FangSong"/>
          <w:sz w:val="30"/>
          <w:szCs w:val="30"/>
          <w:spacing w:val="17"/>
        </w:rPr>
        <w:t>医疗机构主要负责人、负有责任的主管人员和其他直接责任人员依法给予处分：</w:t>
      </w:r>
    </w:p>
    <w:p>
      <w:pPr>
        <w:ind w:left="805"/>
        <w:spacing w:line="221" w:lineRule="auto"/>
        <w:rPr>
          <w:rFonts w:ascii="FangSong" w:hAnsi="FangSong" w:eastAsia="FangSong" w:cs="FangSong"/>
          <w:sz w:val="30"/>
          <w:szCs w:val="30"/>
        </w:rPr>
      </w:pPr>
      <w:r>
        <w:rPr>
          <w:rFonts w:ascii="FangSong" w:hAnsi="FangSong" w:eastAsia="FangSong" w:cs="FangSong"/>
          <w:sz w:val="30"/>
          <w:szCs w:val="30"/>
          <w:spacing w:val="23"/>
        </w:rPr>
        <w:t>(二)未建立医疗技术临床应用管理相关规章</w:t>
      </w:r>
      <w:r>
        <w:rPr>
          <w:rFonts w:ascii="FangSong" w:hAnsi="FangSong" w:eastAsia="FangSong" w:cs="FangSong"/>
          <w:sz w:val="30"/>
          <w:szCs w:val="30"/>
          <w:spacing w:val="22"/>
        </w:rPr>
        <w:t>制度的；</w:t>
      </w:r>
    </w:p>
    <w:p>
      <w:pPr>
        <w:ind w:left="6449"/>
        <w:spacing w:before="70"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599" w:type="dxa"/>
        <w:tblInd w:w="38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544"/>
        <w:gridCol w:w="4631"/>
      </w:tblGrid>
      <w:tr>
        <w:trPr>
          <w:trHeight w:val="563" w:hRule="atLeast"/>
        </w:trPr>
        <w:tc>
          <w:tcPr>
            <w:tcW w:w="1424" w:type="dxa"/>
            <w:vAlign w:val="top"/>
          </w:tcPr>
          <w:p>
            <w:pPr>
              <w:pStyle w:val="TableText"/>
              <w:ind w:left="208"/>
              <w:spacing w:before="162" w:line="220" w:lineRule="auto"/>
              <w:rPr>
                <w:sz w:val="25"/>
                <w:szCs w:val="25"/>
              </w:rPr>
            </w:pPr>
            <w:r>
              <w:rPr>
                <w:sz w:val="25"/>
                <w:szCs w:val="25"/>
                <w:b/>
                <w:bCs/>
                <w:spacing w:val="-5"/>
              </w:rPr>
              <w:t>违法程度</w:t>
            </w:r>
          </w:p>
        </w:tc>
        <w:tc>
          <w:tcPr>
            <w:tcW w:w="7544" w:type="dxa"/>
            <w:vAlign w:val="top"/>
          </w:tcPr>
          <w:p>
            <w:pPr>
              <w:pStyle w:val="TableText"/>
              <w:ind w:left="3264"/>
              <w:spacing w:before="162" w:line="220" w:lineRule="auto"/>
              <w:rPr>
                <w:sz w:val="25"/>
                <w:szCs w:val="25"/>
              </w:rPr>
            </w:pPr>
            <w:r>
              <w:rPr>
                <w:sz w:val="25"/>
                <w:szCs w:val="25"/>
                <w:b/>
                <w:bCs/>
                <w:spacing w:val="-5"/>
              </w:rPr>
              <w:t>情节后果</w:t>
            </w:r>
          </w:p>
        </w:tc>
        <w:tc>
          <w:tcPr>
            <w:tcW w:w="4631" w:type="dxa"/>
            <w:vAlign w:val="top"/>
          </w:tcPr>
          <w:p>
            <w:pPr>
              <w:pStyle w:val="TableText"/>
              <w:ind w:left="1810"/>
              <w:spacing w:before="159" w:line="218" w:lineRule="auto"/>
              <w:rPr>
                <w:sz w:val="25"/>
                <w:szCs w:val="25"/>
              </w:rPr>
            </w:pPr>
            <w:r>
              <w:rPr>
                <w:sz w:val="25"/>
                <w:szCs w:val="25"/>
                <w:b/>
                <w:bCs/>
                <w:spacing w:val="-5"/>
              </w:rPr>
              <w:t>裁量幅度</w:t>
            </w:r>
          </w:p>
        </w:tc>
      </w:tr>
      <w:tr>
        <w:trPr>
          <w:trHeight w:val="866" w:hRule="atLeast"/>
        </w:trPr>
        <w:tc>
          <w:tcPr>
            <w:tcW w:w="1424" w:type="dxa"/>
            <w:vAlign w:val="top"/>
          </w:tcPr>
          <w:p>
            <w:pPr>
              <w:pStyle w:val="TableText"/>
              <w:ind w:left="458"/>
              <w:spacing w:before="310" w:line="221" w:lineRule="auto"/>
              <w:rPr>
                <w:sz w:val="25"/>
                <w:szCs w:val="25"/>
              </w:rPr>
            </w:pPr>
            <w:r>
              <w:rPr>
                <w:sz w:val="25"/>
                <w:szCs w:val="25"/>
                <w:b/>
                <w:bCs/>
                <w:spacing w:val="-10"/>
              </w:rPr>
              <w:t>一般</w:t>
            </w:r>
          </w:p>
        </w:tc>
        <w:tc>
          <w:tcPr>
            <w:tcW w:w="7544" w:type="dxa"/>
            <w:vAlign w:val="top"/>
          </w:tcPr>
          <w:p>
            <w:pPr>
              <w:pStyle w:val="TableText"/>
              <w:ind w:left="108" w:hanging="98"/>
              <w:spacing w:before="141" w:line="264" w:lineRule="auto"/>
              <w:rPr>
                <w:sz w:val="25"/>
                <w:szCs w:val="25"/>
              </w:rPr>
            </w:pPr>
            <w:r>
              <w:rPr>
                <w:sz w:val="25"/>
                <w:szCs w:val="25"/>
                <w:spacing w:val="-7"/>
              </w:rPr>
              <w:t>医疗机构建立医疗技术临床应用管理相关规章</w:t>
            </w:r>
            <w:r>
              <w:rPr>
                <w:sz w:val="25"/>
                <w:szCs w:val="25"/>
                <w:spacing w:val="-8"/>
              </w:rPr>
              <w:t>制度，经责令限期改正，</w:t>
            </w:r>
            <w:r>
              <w:rPr>
                <w:sz w:val="25"/>
                <w:szCs w:val="25"/>
              </w:rPr>
              <w:t xml:space="preserve"> </w:t>
            </w:r>
            <w:r>
              <w:rPr>
                <w:sz w:val="25"/>
                <w:szCs w:val="25"/>
                <w:spacing w:val="-1"/>
              </w:rPr>
              <w:t>逾期不改的</w:t>
            </w:r>
          </w:p>
        </w:tc>
        <w:tc>
          <w:tcPr>
            <w:tcW w:w="4631" w:type="dxa"/>
            <w:vAlign w:val="top"/>
          </w:tcPr>
          <w:p>
            <w:pPr>
              <w:pStyle w:val="TableText"/>
              <w:ind w:left="126" w:right="49" w:hanging="70"/>
              <w:spacing w:before="141" w:line="264" w:lineRule="auto"/>
              <w:rPr>
                <w:sz w:val="25"/>
                <w:szCs w:val="25"/>
              </w:rPr>
            </w:pPr>
            <w:r>
              <w:rPr>
                <w:sz w:val="25"/>
                <w:szCs w:val="25"/>
              </w:rPr>
              <w:t>暂停或者停止相关医疗技术临床应用，予</w:t>
            </w:r>
            <w:r>
              <w:rPr>
                <w:sz w:val="25"/>
                <w:szCs w:val="25"/>
                <w:spacing w:val="13"/>
              </w:rPr>
              <w:t xml:space="preserve"> </w:t>
            </w:r>
            <w:r>
              <w:rPr>
                <w:sz w:val="25"/>
                <w:szCs w:val="25"/>
              </w:rPr>
              <w:t>以警告，并处以三千元以下罚款</w:t>
            </w:r>
          </w:p>
        </w:tc>
      </w:tr>
      <w:tr>
        <w:trPr>
          <w:trHeight w:val="891" w:hRule="atLeast"/>
        </w:trPr>
        <w:tc>
          <w:tcPr>
            <w:tcW w:w="1424" w:type="dxa"/>
            <w:vAlign w:val="top"/>
          </w:tcPr>
          <w:p>
            <w:pPr>
              <w:spacing w:line="300"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7544" w:type="dxa"/>
            <w:vAlign w:val="top"/>
          </w:tcPr>
          <w:p>
            <w:pPr>
              <w:spacing w:line="242" w:lineRule="auto"/>
              <w:rPr>
                <w:rFonts w:ascii="Arial"/>
                <w:sz w:val="21"/>
              </w:rPr>
            </w:pPr>
            <w:r/>
          </w:p>
          <w:p>
            <w:pPr>
              <w:pStyle w:val="TableText"/>
              <w:ind w:left="10"/>
              <w:spacing w:before="81" w:line="219" w:lineRule="auto"/>
              <w:rPr>
                <w:sz w:val="25"/>
                <w:szCs w:val="25"/>
              </w:rPr>
            </w:pPr>
            <w:r>
              <w:rPr>
                <w:sz w:val="25"/>
                <w:szCs w:val="25"/>
              </w:rPr>
              <w:t>医疗机构建立医疗技术临床应用管理相关规章制度，造成严重后果的</w:t>
            </w:r>
          </w:p>
        </w:tc>
        <w:tc>
          <w:tcPr>
            <w:tcW w:w="4631" w:type="dxa"/>
            <w:vAlign w:val="top"/>
          </w:tcPr>
          <w:p>
            <w:pPr>
              <w:pStyle w:val="TableText"/>
              <w:ind w:left="56" w:right="53"/>
              <w:spacing w:before="155" w:line="268" w:lineRule="auto"/>
              <w:rPr>
                <w:sz w:val="25"/>
                <w:szCs w:val="25"/>
              </w:rPr>
            </w:pPr>
            <w:r>
              <w:rPr>
                <w:sz w:val="25"/>
                <w:szCs w:val="25"/>
              </w:rPr>
              <w:t>暂停或者停止相关医疗技术临床应用，给</w:t>
            </w:r>
            <w:r>
              <w:rPr>
                <w:sz w:val="25"/>
                <w:szCs w:val="25"/>
                <w:spacing w:val="8"/>
              </w:rPr>
              <w:t xml:space="preserve"> </w:t>
            </w:r>
            <w:r>
              <w:rPr>
                <w:sz w:val="25"/>
                <w:szCs w:val="25"/>
              </w:rPr>
              <w:t>予警告，处以三千元以上三万元以下罚款</w:t>
            </w:r>
          </w:p>
        </w:tc>
      </w:tr>
    </w:tbl>
    <w:p>
      <w:pPr>
        <w:pStyle w:val="BodyText"/>
        <w:rPr/>
      </w:pPr>
      <w:r/>
    </w:p>
    <w:p>
      <w:pPr>
        <w:sectPr>
          <w:footerReference w:type="default" r:id="rId370"/>
          <w:pgSz w:w="16830" w:h="11900"/>
          <w:pgMar w:top="1011" w:right="1425" w:bottom="1117" w:left="1414" w:header="0" w:footer="784" w:gutter="0"/>
        </w:sectPr>
        <w:rPr/>
      </w:pP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659"/>
        <w:spacing w:before="97" w:line="219" w:lineRule="auto"/>
        <w:rPr>
          <w:rFonts w:ascii="FangSong" w:hAnsi="FangSong" w:eastAsia="FangSong" w:cs="FangSong"/>
          <w:sz w:val="30"/>
          <w:szCs w:val="30"/>
        </w:rPr>
      </w:pPr>
      <w:bookmarkStart w:name="bookmark1023" w:id="392"/>
      <w:bookmarkEnd w:id="392"/>
      <w:r>
        <w:rPr>
          <w:rFonts w:ascii="FangSong" w:hAnsi="FangSong" w:eastAsia="FangSong" w:cs="FangSong"/>
          <w:sz w:val="30"/>
          <w:szCs w:val="30"/>
          <w:b/>
          <w:bCs/>
          <w:spacing w:val="22"/>
        </w:rPr>
        <w:t>第三百二十三条医疗机构医疗技术临床应用管理混</w:t>
      </w:r>
      <w:r>
        <w:rPr>
          <w:rFonts w:ascii="FangSong" w:hAnsi="FangSong" w:eastAsia="FangSong" w:cs="FangSong"/>
          <w:sz w:val="30"/>
          <w:szCs w:val="30"/>
          <w:b/>
          <w:bCs/>
          <w:spacing w:val="21"/>
        </w:rPr>
        <w:t>乱，存在医疗质量和医疗安全隐患的</w:t>
      </w:r>
    </w:p>
    <w:p>
      <w:pPr>
        <w:ind w:left="654"/>
        <w:spacing w:before="102"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5" w:firstLine="619"/>
        <w:spacing w:before="67" w:line="271" w:lineRule="auto"/>
        <w:jc w:val="both"/>
        <w:rPr>
          <w:rFonts w:ascii="FangSong" w:hAnsi="FangSong" w:eastAsia="FangSong" w:cs="FangSong"/>
          <w:sz w:val="30"/>
          <w:szCs w:val="30"/>
        </w:rPr>
      </w:pPr>
      <w:r>
        <w:rPr>
          <w:rFonts w:ascii="FangSong" w:hAnsi="FangSong" w:eastAsia="FangSong" w:cs="FangSong"/>
          <w:sz w:val="30"/>
          <w:szCs w:val="30"/>
          <w:spacing w:val="24"/>
        </w:rPr>
        <w:t>《医疗技术临床应用管理办法》第四十一条第(三)项</w:t>
      </w:r>
      <w:r>
        <w:rPr>
          <w:rFonts w:ascii="FangSong" w:hAnsi="FangSong" w:eastAsia="FangSong" w:cs="FangSong"/>
          <w:sz w:val="30"/>
          <w:szCs w:val="30"/>
          <w:spacing w:val="24"/>
        </w:rPr>
        <w:t xml:space="preserve"> </w:t>
      </w:r>
      <w:r>
        <w:rPr>
          <w:rFonts w:ascii="FangSong" w:hAnsi="FangSong" w:eastAsia="FangSong" w:cs="FangSong"/>
          <w:sz w:val="30"/>
          <w:szCs w:val="30"/>
          <w:spacing w:val="23"/>
        </w:rPr>
        <w:t xml:space="preserve"> </w:t>
      </w:r>
      <w:r>
        <w:rPr>
          <w:rFonts w:ascii="FangSong" w:hAnsi="FangSong" w:eastAsia="FangSong" w:cs="FangSong"/>
          <w:sz w:val="30"/>
          <w:szCs w:val="30"/>
          <w:spacing w:val="23"/>
        </w:rPr>
        <w:t>医疗机构违反本办法规定，有下列情形</w:t>
      </w:r>
      <w:r>
        <w:rPr>
          <w:rFonts w:ascii="FangSong" w:hAnsi="FangSong" w:eastAsia="FangSong" w:cs="FangSong"/>
          <w:sz w:val="30"/>
          <w:szCs w:val="30"/>
        </w:rPr>
        <w:t xml:space="preserve"> </w:t>
      </w:r>
      <w:r>
        <w:rPr>
          <w:rFonts w:ascii="FangSong" w:hAnsi="FangSong" w:eastAsia="FangSong" w:cs="FangSong"/>
          <w:sz w:val="30"/>
          <w:szCs w:val="30"/>
          <w:spacing w:val="17"/>
        </w:rPr>
        <w:t>之一的，由县级以上地方卫生行政部门责令限期改正；</w:t>
      </w:r>
      <w:r>
        <w:rPr>
          <w:rFonts w:ascii="FangSong" w:hAnsi="FangSong" w:eastAsia="FangSong" w:cs="FangSong"/>
          <w:sz w:val="30"/>
          <w:szCs w:val="30"/>
          <w:spacing w:val="16"/>
        </w:rPr>
        <w:t>逾期不改的，暂停或者停止相关医疗技术临床</w:t>
      </w:r>
      <w:r>
        <w:rPr>
          <w:rFonts w:ascii="FangSong" w:hAnsi="FangSong" w:eastAsia="FangSong" w:cs="FangSong"/>
          <w:sz w:val="30"/>
          <w:szCs w:val="30"/>
        </w:rPr>
        <w:t xml:space="preserve"> </w:t>
      </w:r>
      <w:r>
        <w:rPr>
          <w:rFonts w:ascii="FangSong" w:hAnsi="FangSong" w:eastAsia="FangSong" w:cs="FangSong"/>
          <w:sz w:val="30"/>
          <w:szCs w:val="30"/>
          <w:spacing w:val="17"/>
        </w:rPr>
        <w:t>应用，给予警告，并处以三千元以下罚款；造成严重后果</w:t>
      </w:r>
      <w:r>
        <w:rPr>
          <w:rFonts w:ascii="FangSong" w:hAnsi="FangSong" w:eastAsia="FangSong" w:cs="FangSong"/>
          <w:sz w:val="30"/>
          <w:szCs w:val="30"/>
          <w:spacing w:val="16"/>
        </w:rPr>
        <w:t>的，处以三千元以上三万元以下罚款，并对</w:t>
      </w:r>
      <w:r>
        <w:rPr>
          <w:rFonts w:ascii="FangSong" w:hAnsi="FangSong" w:eastAsia="FangSong" w:cs="FangSong"/>
          <w:sz w:val="30"/>
          <w:szCs w:val="30"/>
        </w:rPr>
        <w:t xml:space="preserve"> </w:t>
      </w:r>
      <w:r>
        <w:rPr>
          <w:rFonts w:ascii="FangSong" w:hAnsi="FangSong" w:eastAsia="FangSong" w:cs="FangSong"/>
          <w:sz w:val="30"/>
          <w:szCs w:val="30"/>
          <w:spacing w:val="17"/>
        </w:rPr>
        <w:t>医疗机构主要负责人、负有责任的主管人员和其他直接责任人员依法给予处分：</w:t>
      </w:r>
    </w:p>
    <w:p>
      <w:pPr>
        <w:ind w:left="785"/>
        <w:spacing w:before="15" w:line="219" w:lineRule="auto"/>
        <w:rPr>
          <w:rFonts w:ascii="FangSong" w:hAnsi="FangSong" w:eastAsia="FangSong" w:cs="FangSong"/>
          <w:sz w:val="30"/>
          <w:szCs w:val="30"/>
        </w:rPr>
      </w:pPr>
      <w:r>
        <w:rPr>
          <w:rFonts w:ascii="FangSong" w:hAnsi="FangSong" w:eastAsia="FangSong" w:cs="FangSong"/>
          <w:sz w:val="30"/>
          <w:szCs w:val="30"/>
          <w:spacing w:val="22"/>
        </w:rPr>
        <w:t>(三)医疗技术临床应用管理混乱，存在医疗质量和医疗安全隐患的；</w:t>
      </w:r>
    </w:p>
    <w:p>
      <w:pPr>
        <w:ind w:left="6419"/>
        <w:spacing w:before="47"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754"/>
        <w:gridCol w:w="4672"/>
      </w:tblGrid>
      <w:tr>
        <w:trPr>
          <w:trHeight w:val="583" w:hRule="atLeast"/>
        </w:trPr>
        <w:tc>
          <w:tcPr>
            <w:tcW w:w="1444" w:type="dxa"/>
            <w:vAlign w:val="top"/>
          </w:tcPr>
          <w:p>
            <w:pPr>
              <w:pStyle w:val="TableText"/>
              <w:ind w:left="218"/>
              <w:spacing w:before="172" w:line="220" w:lineRule="auto"/>
              <w:rPr>
                <w:sz w:val="25"/>
                <w:szCs w:val="25"/>
              </w:rPr>
            </w:pPr>
            <w:r>
              <w:rPr>
                <w:sz w:val="25"/>
                <w:szCs w:val="25"/>
                <w:b/>
                <w:bCs/>
                <w:spacing w:val="-5"/>
              </w:rPr>
              <w:t>违法程度</w:t>
            </w:r>
          </w:p>
        </w:tc>
        <w:tc>
          <w:tcPr>
            <w:tcW w:w="7754" w:type="dxa"/>
            <w:vAlign w:val="top"/>
          </w:tcPr>
          <w:p>
            <w:pPr>
              <w:pStyle w:val="TableText"/>
              <w:ind w:left="3374"/>
              <w:spacing w:before="172" w:line="220" w:lineRule="auto"/>
              <w:rPr>
                <w:sz w:val="25"/>
                <w:szCs w:val="25"/>
              </w:rPr>
            </w:pPr>
            <w:r>
              <w:rPr>
                <w:sz w:val="25"/>
                <w:szCs w:val="25"/>
                <w:b/>
                <w:bCs/>
                <w:spacing w:val="-5"/>
              </w:rPr>
              <w:t>情节后果</w:t>
            </w:r>
          </w:p>
        </w:tc>
        <w:tc>
          <w:tcPr>
            <w:tcW w:w="4672" w:type="dxa"/>
            <w:vAlign w:val="top"/>
          </w:tcPr>
          <w:p>
            <w:pPr>
              <w:pStyle w:val="TableText"/>
              <w:ind w:left="1830"/>
              <w:spacing w:before="169" w:line="218" w:lineRule="auto"/>
              <w:rPr>
                <w:sz w:val="25"/>
                <w:szCs w:val="25"/>
              </w:rPr>
            </w:pPr>
            <w:r>
              <w:rPr>
                <w:sz w:val="25"/>
                <w:szCs w:val="25"/>
                <w:b/>
                <w:bCs/>
                <w:spacing w:val="-5"/>
              </w:rPr>
              <w:t>裁量幅度</w:t>
            </w:r>
          </w:p>
        </w:tc>
      </w:tr>
      <w:tr>
        <w:trPr>
          <w:trHeight w:val="916" w:hRule="atLeast"/>
        </w:trPr>
        <w:tc>
          <w:tcPr>
            <w:tcW w:w="1444" w:type="dxa"/>
            <w:vAlign w:val="top"/>
          </w:tcPr>
          <w:p>
            <w:pPr>
              <w:spacing w:line="257" w:lineRule="auto"/>
              <w:rPr>
                <w:rFonts w:ascii="Arial"/>
                <w:sz w:val="21"/>
              </w:rPr>
            </w:pPr>
            <w:r/>
          </w:p>
          <w:p>
            <w:pPr>
              <w:pStyle w:val="TableText"/>
              <w:ind w:left="468"/>
              <w:spacing w:before="81" w:line="221" w:lineRule="auto"/>
              <w:rPr>
                <w:sz w:val="25"/>
                <w:szCs w:val="25"/>
              </w:rPr>
            </w:pPr>
            <w:r>
              <w:rPr>
                <w:sz w:val="25"/>
                <w:szCs w:val="25"/>
                <w:b/>
                <w:bCs/>
                <w:spacing w:val="-10"/>
              </w:rPr>
              <w:t>一般</w:t>
            </w:r>
          </w:p>
        </w:tc>
        <w:tc>
          <w:tcPr>
            <w:tcW w:w="7754" w:type="dxa"/>
            <w:vAlign w:val="top"/>
          </w:tcPr>
          <w:p>
            <w:pPr>
              <w:pStyle w:val="TableText"/>
              <w:ind w:left="100" w:hanging="49"/>
              <w:spacing w:before="172" w:line="271" w:lineRule="auto"/>
              <w:rPr>
                <w:sz w:val="25"/>
                <w:szCs w:val="25"/>
              </w:rPr>
            </w:pPr>
            <w:r>
              <w:rPr>
                <w:sz w:val="25"/>
                <w:szCs w:val="25"/>
                <w:spacing w:val="-2"/>
              </w:rPr>
              <w:t>医疗机构医疗技术临床应用管理混乱，存在医疗质量和医疗安全隐患，</w:t>
            </w:r>
            <w:r>
              <w:rPr>
                <w:sz w:val="25"/>
                <w:szCs w:val="25"/>
                <w:spacing w:val="3"/>
              </w:rPr>
              <w:t xml:space="preserve"> </w:t>
            </w:r>
            <w:r>
              <w:rPr>
                <w:sz w:val="25"/>
                <w:szCs w:val="25"/>
                <w:spacing w:val="-1"/>
              </w:rPr>
              <w:t>经责令限期改正，逾期不改的</w:t>
            </w:r>
          </w:p>
        </w:tc>
        <w:tc>
          <w:tcPr>
            <w:tcW w:w="4672" w:type="dxa"/>
            <w:vAlign w:val="top"/>
          </w:tcPr>
          <w:p>
            <w:pPr>
              <w:pStyle w:val="TableText"/>
              <w:ind w:left="115" w:hanging="99"/>
              <w:spacing w:before="172" w:line="271" w:lineRule="auto"/>
              <w:rPr>
                <w:sz w:val="25"/>
                <w:szCs w:val="25"/>
              </w:rPr>
            </w:pPr>
            <w:r>
              <w:rPr>
                <w:sz w:val="25"/>
                <w:szCs w:val="25"/>
                <w:spacing w:val="-6"/>
              </w:rPr>
              <w:t>暂停或者停止相关医疗技术临床应用，予以</w:t>
            </w:r>
            <w:r>
              <w:rPr>
                <w:sz w:val="25"/>
                <w:szCs w:val="25"/>
                <w:spacing w:val="8"/>
              </w:rPr>
              <w:t xml:space="preserve"> </w:t>
            </w:r>
            <w:r>
              <w:rPr>
                <w:sz w:val="25"/>
                <w:szCs w:val="25"/>
                <w:spacing w:val="-1"/>
              </w:rPr>
              <w:t>警告，并处以三千元以下罚款</w:t>
            </w:r>
          </w:p>
        </w:tc>
      </w:tr>
      <w:tr>
        <w:trPr>
          <w:trHeight w:val="931" w:hRule="atLeast"/>
        </w:trPr>
        <w:tc>
          <w:tcPr>
            <w:tcW w:w="1444" w:type="dxa"/>
            <w:vAlign w:val="top"/>
          </w:tcPr>
          <w:p>
            <w:pPr>
              <w:spacing w:line="260" w:lineRule="auto"/>
              <w:rPr>
                <w:rFonts w:ascii="Arial"/>
                <w:sz w:val="21"/>
              </w:rPr>
            </w:pPr>
            <w:r/>
          </w:p>
          <w:p>
            <w:pPr>
              <w:pStyle w:val="TableText"/>
              <w:ind w:left="468"/>
              <w:spacing w:before="81" w:line="220" w:lineRule="auto"/>
              <w:rPr>
                <w:sz w:val="25"/>
                <w:szCs w:val="25"/>
              </w:rPr>
            </w:pPr>
            <w:r>
              <w:rPr>
                <w:sz w:val="25"/>
                <w:szCs w:val="25"/>
                <w:b/>
                <w:bCs/>
                <w:spacing w:val="-6"/>
              </w:rPr>
              <w:t>严重</w:t>
            </w:r>
          </w:p>
        </w:tc>
        <w:tc>
          <w:tcPr>
            <w:tcW w:w="7754" w:type="dxa"/>
            <w:vAlign w:val="top"/>
          </w:tcPr>
          <w:p>
            <w:pPr>
              <w:pStyle w:val="TableText"/>
              <w:ind w:left="99" w:hanging="88"/>
              <w:spacing w:before="176" w:line="275" w:lineRule="auto"/>
              <w:rPr>
                <w:sz w:val="25"/>
                <w:szCs w:val="25"/>
              </w:rPr>
            </w:pPr>
            <w:r>
              <w:rPr>
                <w:sz w:val="25"/>
                <w:szCs w:val="25"/>
                <w:spacing w:val="-8"/>
              </w:rPr>
              <w:t>医疗机构医疗技术临床应用管理混乱，存在</w:t>
            </w:r>
            <w:r>
              <w:rPr>
                <w:sz w:val="25"/>
                <w:szCs w:val="25"/>
                <w:spacing w:val="-9"/>
              </w:rPr>
              <w:t>医疗质量和医疗安全隐患的，</w:t>
            </w:r>
            <w:r>
              <w:rPr>
                <w:sz w:val="25"/>
                <w:szCs w:val="25"/>
              </w:rPr>
              <w:t xml:space="preserve"> </w:t>
            </w:r>
            <w:r>
              <w:rPr>
                <w:sz w:val="25"/>
                <w:szCs w:val="25"/>
                <w:spacing w:val="-1"/>
              </w:rPr>
              <w:t>造成严重后果的</w:t>
            </w:r>
          </w:p>
        </w:tc>
        <w:tc>
          <w:tcPr>
            <w:tcW w:w="4672" w:type="dxa"/>
            <w:vAlign w:val="top"/>
          </w:tcPr>
          <w:p>
            <w:pPr>
              <w:pStyle w:val="TableText"/>
              <w:ind w:left="205" w:hanging="189"/>
              <w:spacing w:before="176" w:line="275" w:lineRule="auto"/>
              <w:rPr>
                <w:sz w:val="25"/>
                <w:szCs w:val="25"/>
              </w:rPr>
            </w:pPr>
            <w:r>
              <w:rPr>
                <w:sz w:val="25"/>
                <w:szCs w:val="25"/>
                <w:spacing w:val="-6"/>
              </w:rPr>
              <w:t>暂停或者停止相关医疗技术临床应用，给予</w:t>
            </w:r>
            <w:r>
              <w:rPr>
                <w:sz w:val="25"/>
                <w:szCs w:val="25"/>
                <w:spacing w:val="8"/>
              </w:rPr>
              <w:t xml:space="preserve"> </w:t>
            </w:r>
            <w:r>
              <w:rPr>
                <w:sz w:val="25"/>
                <w:szCs w:val="25"/>
              </w:rPr>
              <w:t>警告，处以三千元以上三万元以下罚款</w:t>
            </w:r>
          </w:p>
        </w:tc>
      </w:tr>
    </w:tbl>
    <w:p>
      <w:pPr>
        <w:pStyle w:val="BodyText"/>
        <w:spacing w:line="427" w:lineRule="auto"/>
        <w:rPr/>
      </w:pPr>
      <w:r/>
    </w:p>
    <w:p>
      <w:pPr>
        <w:ind w:left="65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第三百二十四条医疗机构未按照要求向卫生行政部门进行医疗技术临</w:t>
      </w:r>
      <w:r>
        <w:rPr>
          <w:rFonts w:ascii="FangSong" w:hAnsi="FangSong" w:eastAsia="FangSong" w:cs="FangSong"/>
          <w:sz w:val="30"/>
          <w:szCs w:val="30"/>
          <w:b/>
          <w:bCs/>
          <w:spacing w:val="21"/>
        </w:rPr>
        <w:t>床应用备案的</w:t>
      </w:r>
    </w:p>
    <w:p>
      <w:pPr>
        <w:ind w:left="654"/>
        <w:spacing w:before="91"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spacing w:before="99" w:line="222" w:lineRule="auto"/>
        <w:jc w:val="right"/>
        <w:rPr>
          <w:rFonts w:ascii="FangSong" w:hAnsi="FangSong" w:eastAsia="FangSong" w:cs="FangSong"/>
          <w:sz w:val="30"/>
          <w:szCs w:val="30"/>
        </w:rPr>
      </w:pPr>
      <w:r>
        <w:rPr>
          <w:rFonts w:ascii="FangSong" w:hAnsi="FangSong" w:eastAsia="FangSong" w:cs="FangSong"/>
          <w:sz w:val="30"/>
          <w:szCs w:val="30"/>
          <w:spacing w:val="24"/>
        </w:rPr>
        <w:t>《医疗技术临床应用管理办法》第四十一条第(四)项</w:t>
      </w:r>
      <w:r>
        <w:rPr>
          <w:rFonts w:ascii="FangSong" w:hAnsi="FangSong" w:eastAsia="FangSong" w:cs="FangSong"/>
          <w:sz w:val="30"/>
          <w:szCs w:val="30"/>
          <w:spacing w:val="24"/>
        </w:rPr>
        <w:t xml:space="preserve"> </w:t>
      </w:r>
      <w:r>
        <w:rPr>
          <w:rFonts w:ascii="FangSong" w:hAnsi="FangSong" w:eastAsia="FangSong" w:cs="FangSong"/>
          <w:sz w:val="30"/>
          <w:szCs w:val="30"/>
          <w:spacing w:val="23"/>
        </w:rPr>
        <w:t xml:space="preserve"> </w:t>
      </w:r>
      <w:r>
        <w:rPr>
          <w:rFonts w:ascii="FangSong" w:hAnsi="FangSong" w:eastAsia="FangSong" w:cs="FangSong"/>
          <w:sz w:val="30"/>
          <w:szCs w:val="30"/>
          <w:spacing w:val="23"/>
        </w:rPr>
        <w:t>医疗机构违反本办法规定，有下列情形</w:t>
      </w:r>
    </w:p>
    <w:p>
      <w:pPr>
        <w:spacing w:line="222" w:lineRule="auto"/>
        <w:sectPr>
          <w:footerReference w:type="default" r:id="rId371"/>
          <w:pgSz w:w="16830" w:h="11900"/>
          <w:pgMar w:top="1011" w:right="1444" w:bottom="1115" w:left="1434" w:header="0" w:footer="773" w:gutter="0"/>
        </w:sectPr>
        <w:rPr>
          <w:rFonts w:ascii="FangSong" w:hAnsi="FangSong" w:eastAsia="FangSong" w:cs="FangSong"/>
          <w:sz w:val="30"/>
          <w:szCs w:val="30"/>
        </w:rPr>
      </w:pPr>
    </w:p>
    <w:p>
      <w:pPr>
        <w:pStyle w:val="BodyText"/>
        <w:spacing w:line="260" w:lineRule="auto"/>
        <w:rPr/>
      </w:pPr>
      <w:r/>
    </w:p>
    <w:p>
      <w:pPr>
        <w:pStyle w:val="BodyText"/>
        <w:spacing w:line="261" w:lineRule="auto"/>
        <w:rPr/>
      </w:pPr>
      <w:r/>
    </w:p>
    <w:p>
      <w:pPr>
        <w:pStyle w:val="BodyText"/>
        <w:spacing w:line="261" w:lineRule="auto"/>
        <w:rPr/>
      </w:pPr>
      <w:r/>
    </w:p>
    <w:p>
      <w:pPr>
        <w:ind w:left="25"/>
        <w:spacing w:before="98" w:line="271" w:lineRule="auto"/>
        <w:jc w:val="both"/>
        <w:rPr>
          <w:rFonts w:ascii="FangSong" w:hAnsi="FangSong" w:eastAsia="FangSong" w:cs="FangSong"/>
          <w:sz w:val="30"/>
          <w:szCs w:val="30"/>
        </w:rPr>
      </w:pPr>
      <w:bookmarkStart w:name="bookmark1024" w:id="393"/>
      <w:bookmarkEnd w:id="393"/>
      <w:r>
        <w:rPr>
          <w:rFonts w:ascii="FangSong" w:hAnsi="FangSong" w:eastAsia="FangSong" w:cs="FangSong"/>
          <w:sz w:val="30"/>
          <w:szCs w:val="30"/>
          <w:spacing w:val="17"/>
        </w:rPr>
        <w:t>之一的，由县级以上地方卫生行政部门责令限期改正；逾期不改的，暂停或者停止相关医疗技术临床</w:t>
      </w:r>
      <w:r>
        <w:rPr>
          <w:rFonts w:ascii="FangSong" w:hAnsi="FangSong" w:eastAsia="FangSong" w:cs="FangSong"/>
          <w:sz w:val="30"/>
          <w:szCs w:val="30"/>
          <w:spacing w:val="11"/>
        </w:rPr>
        <w:t xml:space="preserve"> </w:t>
      </w:r>
      <w:r>
        <w:rPr>
          <w:rFonts w:ascii="FangSong" w:hAnsi="FangSong" w:eastAsia="FangSong" w:cs="FangSong"/>
          <w:sz w:val="30"/>
          <w:szCs w:val="30"/>
          <w:spacing w:val="17"/>
        </w:rPr>
        <w:t>应用，给予警告，并处以三千元以下罚款；造成严重后果</w:t>
      </w:r>
      <w:r>
        <w:rPr>
          <w:rFonts w:ascii="FangSong" w:hAnsi="FangSong" w:eastAsia="FangSong" w:cs="FangSong"/>
          <w:sz w:val="30"/>
          <w:szCs w:val="30"/>
          <w:spacing w:val="16"/>
        </w:rPr>
        <w:t>的，处以三千元以上三万元以下罚款，并对</w:t>
      </w:r>
      <w:r>
        <w:rPr>
          <w:rFonts w:ascii="FangSong" w:hAnsi="FangSong" w:eastAsia="FangSong" w:cs="FangSong"/>
          <w:sz w:val="30"/>
          <w:szCs w:val="30"/>
        </w:rPr>
        <w:t xml:space="preserve"> </w:t>
      </w:r>
      <w:r>
        <w:rPr>
          <w:rFonts w:ascii="FangSong" w:hAnsi="FangSong" w:eastAsia="FangSong" w:cs="FangSong"/>
          <w:sz w:val="30"/>
          <w:szCs w:val="30"/>
          <w:spacing w:val="16"/>
        </w:rPr>
        <w:t>医疗机构主要负责人、负有责任的主管人员和其他直接责任人员依法给予处分：</w:t>
      </w:r>
    </w:p>
    <w:p>
      <w:pPr>
        <w:ind w:left="794"/>
        <w:spacing w:before="1" w:line="220" w:lineRule="auto"/>
        <w:rPr>
          <w:rFonts w:ascii="FangSong" w:hAnsi="FangSong" w:eastAsia="FangSong" w:cs="FangSong"/>
          <w:sz w:val="30"/>
          <w:szCs w:val="30"/>
        </w:rPr>
      </w:pPr>
      <w:r>
        <w:rPr>
          <w:rFonts w:ascii="FangSong" w:hAnsi="FangSong" w:eastAsia="FangSong" w:cs="FangSong"/>
          <w:sz w:val="30"/>
          <w:szCs w:val="30"/>
          <w:spacing w:val="22"/>
        </w:rPr>
        <w:t>(四)未按照要求向卫生行政部门进行医疗技术临床应用备案的；</w:t>
      </w:r>
    </w:p>
    <w:p>
      <w:pPr>
        <w:ind w:left="6429"/>
        <w:spacing w:before="82"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914"/>
        <w:gridCol w:w="4611"/>
      </w:tblGrid>
      <w:tr>
        <w:trPr>
          <w:trHeight w:val="553" w:hRule="atLeast"/>
        </w:trPr>
        <w:tc>
          <w:tcPr>
            <w:tcW w:w="1434" w:type="dxa"/>
            <w:vAlign w:val="top"/>
          </w:tcPr>
          <w:p>
            <w:pPr>
              <w:pStyle w:val="TableText"/>
              <w:ind w:left="208"/>
              <w:spacing w:before="152" w:line="220" w:lineRule="auto"/>
              <w:rPr>
                <w:sz w:val="25"/>
                <w:szCs w:val="25"/>
              </w:rPr>
            </w:pPr>
            <w:r>
              <w:rPr>
                <w:sz w:val="25"/>
                <w:szCs w:val="25"/>
                <w:b/>
                <w:bCs/>
                <w:spacing w:val="-5"/>
              </w:rPr>
              <w:t>违法程度</w:t>
            </w:r>
          </w:p>
        </w:tc>
        <w:tc>
          <w:tcPr>
            <w:tcW w:w="7914" w:type="dxa"/>
            <w:vAlign w:val="top"/>
          </w:tcPr>
          <w:p>
            <w:pPr>
              <w:pStyle w:val="TableText"/>
              <w:ind w:left="3454"/>
              <w:spacing w:before="152" w:line="220" w:lineRule="auto"/>
              <w:rPr>
                <w:sz w:val="25"/>
                <w:szCs w:val="25"/>
              </w:rPr>
            </w:pPr>
            <w:r>
              <w:rPr>
                <w:sz w:val="25"/>
                <w:szCs w:val="25"/>
                <w:b/>
                <w:bCs/>
                <w:spacing w:val="-5"/>
              </w:rPr>
              <w:t>情节后果</w:t>
            </w:r>
          </w:p>
        </w:tc>
        <w:tc>
          <w:tcPr>
            <w:tcW w:w="4611" w:type="dxa"/>
            <w:vAlign w:val="top"/>
          </w:tcPr>
          <w:p>
            <w:pPr>
              <w:pStyle w:val="TableText"/>
              <w:ind w:left="1800"/>
              <w:spacing w:before="149" w:line="218" w:lineRule="auto"/>
              <w:rPr>
                <w:sz w:val="25"/>
                <w:szCs w:val="25"/>
              </w:rPr>
            </w:pPr>
            <w:r>
              <w:rPr>
                <w:sz w:val="25"/>
                <w:szCs w:val="25"/>
                <w:b/>
                <w:bCs/>
                <w:spacing w:val="-5"/>
              </w:rPr>
              <w:t>裁量幅度</w:t>
            </w:r>
          </w:p>
        </w:tc>
      </w:tr>
      <w:tr>
        <w:trPr>
          <w:trHeight w:val="886" w:hRule="atLeast"/>
        </w:trPr>
        <w:tc>
          <w:tcPr>
            <w:tcW w:w="1434" w:type="dxa"/>
            <w:vAlign w:val="top"/>
          </w:tcPr>
          <w:p>
            <w:pPr>
              <w:pStyle w:val="TableText"/>
              <w:ind w:left="458"/>
              <w:spacing w:before="320" w:line="221" w:lineRule="auto"/>
              <w:rPr>
                <w:sz w:val="25"/>
                <w:szCs w:val="25"/>
              </w:rPr>
            </w:pPr>
            <w:r>
              <w:rPr>
                <w:sz w:val="25"/>
                <w:szCs w:val="25"/>
                <w:b/>
                <w:bCs/>
                <w:spacing w:val="-10"/>
              </w:rPr>
              <w:t>一般</w:t>
            </w:r>
          </w:p>
        </w:tc>
        <w:tc>
          <w:tcPr>
            <w:tcW w:w="7914" w:type="dxa"/>
            <w:vAlign w:val="top"/>
          </w:tcPr>
          <w:p>
            <w:pPr>
              <w:pStyle w:val="TableText"/>
              <w:ind w:left="109" w:hanging="99"/>
              <w:spacing w:before="142" w:line="271" w:lineRule="auto"/>
              <w:rPr>
                <w:sz w:val="25"/>
                <w:szCs w:val="25"/>
              </w:rPr>
            </w:pPr>
            <w:r>
              <w:rPr>
                <w:sz w:val="25"/>
                <w:szCs w:val="25"/>
                <w:spacing w:val="-3"/>
              </w:rPr>
              <w:t>医疗机构未按照要求向卫生行政部门进行医疗</w:t>
            </w:r>
            <w:r>
              <w:rPr>
                <w:sz w:val="25"/>
                <w:szCs w:val="25"/>
                <w:spacing w:val="-4"/>
              </w:rPr>
              <w:t>技术临床应用备案，经责令</w:t>
            </w:r>
            <w:r>
              <w:rPr>
                <w:sz w:val="25"/>
                <w:szCs w:val="25"/>
              </w:rPr>
              <w:t xml:space="preserve"> </w:t>
            </w:r>
            <w:r>
              <w:rPr>
                <w:sz w:val="25"/>
                <w:szCs w:val="25"/>
                <w:spacing w:val="1"/>
              </w:rPr>
              <w:t>限期改正，逾期不改的</w:t>
            </w:r>
          </w:p>
        </w:tc>
        <w:tc>
          <w:tcPr>
            <w:tcW w:w="4611" w:type="dxa"/>
            <w:vAlign w:val="top"/>
          </w:tcPr>
          <w:p>
            <w:pPr>
              <w:pStyle w:val="TableText"/>
              <w:ind w:left="116" w:right="39" w:hanging="70"/>
              <w:spacing w:before="142" w:line="271" w:lineRule="auto"/>
              <w:rPr>
                <w:sz w:val="25"/>
                <w:szCs w:val="25"/>
              </w:rPr>
            </w:pPr>
            <w:r>
              <w:rPr>
                <w:sz w:val="25"/>
                <w:szCs w:val="25"/>
              </w:rPr>
              <w:t>暂停或者停止相关医疗技术临床应用，予</w:t>
            </w:r>
            <w:r>
              <w:rPr>
                <w:sz w:val="25"/>
                <w:szCs w:val="25"/>
                <w:spacing w:val="13"/>
              </w:rPr>
              <w:t xml:space="preserve"> </w:t>
            </w:r>
            <w:r>
              <w:rPr>
                <w:sz w:val="25"/>
                <w:szCs w:val="25"/>
              </w:rPr>
              <w:t>以警告，并处以三千元以下罚款</w:t>
            </w:r>
          </w:p>
        </w:tc>
      </w:tr>
      <w:tr>
        <w:trPr>
          <w:trHeight w:val="861" w:hRule="atLeast"/>
        </w:trPr>
        <w:tc>
          <w:tcPr>
            <w:tcW w:w="1434" w:type="dxa"/>
            <w:vAlign w:val="top"/>
          </w:tcPr>
          <w:p>
            <w:pPr>
              <w:pStyle w:val="TableText"/>
              <w:ind w:left="458"/>
              <w:spacing w:before="313" w:line="220" w:lineRule="auto"/>
              <w:rPr>
                <w:sz w:val="25"/>
                <w:szCs w:val="25"/>
              </w:rPr>
            </w:pPr>
            <w:r>
              <w:rPr>
                <w:sz w:val="25"/>
                <w:szCs w:val="25"/>
                <w:b/>
                <w:bCs/>
                <w:spacing w:val="-6"/>
              </w:rPr>
              <w:t>严重</w:t>
            </w:r>
          </w:p>
        </w:tc>
        <w:tc>
          <w:tcPr>
            <w:tcW w:w="7914" w:type="dxa"/>
            <w:vAlign w:val="top"/>
          </w:tcPr>
          <w:p>
            <w:pPr>
              <w:pStyle w:val="TableText"/>
              <w:ind w:left="109" w:hanging="99"/>
              <w:spacing w:before="144" w:line="261" w:lineRule="auto"/>
              <w:rPr>
                <w:sz w:val="25"/>
                <w:szCs w:val="25"/>
              </w:rPr>
            </w:pPr>
            <w:r>
              <w:rPr>
                <w:sz w:val="25"/>
                <w:szCs w:val="25"/>
                <w:spacing w:val="-3"/>
              </w:rPr>
              <w:t>医疗机构未按照要求向卫生行政部门进行医疗</w:t>
            </w:r>
            <w:r>
              <w:rPr>
                <w:sz w:val="25"/>
                <w:szCs w:val="25"/>
                <w:spacing w:val="-4"/>
              </w:rPr>
              <w:t>技术临床应用备案，造成严</w:t>
            </w:r>
            <w:r>
              <w:rPr>
                <w:sz w:val="25"/>
                <w:szCs w:val="25"/>
              </w:rPr>
              <w:t xml:space="preserve"> </w:t>
            </w:r>
            <w:r>
              <w:rPr>
                <w:sz w:val="25"/>
                <w:szCs w:val="25"/>
                <w:spacing w:val="4"/>
              </w:rPr>
              <w:t>重后果的</w:t>
            </w:r>
          </w:p>
        </w:tc>
        <w:tc>
          <w:tcPr>
            <w:tcW w:w="4611" w:type="dxa"/>
            <w:vAlign w:val="top"/>
          </w:tcPr>
          <w:p>
            <w:pPr>
              <w:pStyle w:val="TableText"/>
              <w:ind w:left="46" w:right="43"/>
              <w:spacing w:before="135" w:line="264" w:lineRule="auto"/>
              <w:rPr>
                <w:sz w:val="25"/>
                <w:szCs w:val="25"/>
              </w:rPr>
            </w:pPr>
            <w:r>
              <w:rPr>
                <w:sz w:val="25"/>
                <w:szCs w:val="25"/>
              </w:rPr>
              <w:t>暂停或者停止相关医疗技术临床应用，给</w:t>
            </w:r>
            <w:r>
              <w:rPr>
                <w:sz w:val="25"/>
                <w:szCs w:val="25"/>
                <w:spacing w:val="8"/>
              </w:rPr>
              <w:t xml:space="preserve"> </w:t>
            </w:r>
            <w:r>
              <w:rPr>
                <w:sz w:val="25"/>
                <w:szCs w:val="25"/>
              </w:rPr>
              <w:t>予警告，处以三千元以上三万元以下罚款</w:t>
            </w:r>
          </w:p>
        </w:tc>
      </w:tr>
    </w:tbl>
    <w:p>
      <w:pPr>
        <w:pStyle w:val="BodyText"/>
        <w:spacing w:line="437" w:lineRule="auto"/>
        <w:rPr/>
      </w:pPr>
      <w:r/>
    </w:p>
    <w:p>
      <w:pPr>
        <w:ind w:left="689"/>
        <w:spacing w:before="97" w:line="220" w:lineRule="auto"/>
        <w:rPr>
          <w:rFonts w:ascii="FangSong" w:hAnsi="FangSong" w:eastAsia="FangSong" w:cs="FangSong"/>
          <w:sz w:val="30"/>
          <w:szCs w:val="30"/>
        </w:rPr>
      </w:pPr>
      <w:r>
        <w:rPr>
          <w:rFonts w:ascii="FangSong" w:hAnsi="FangSong" w:eastAsia="FangSong" w:cs="FangSong"/>
          <w:sz w:val="30"/>
          <w:szCs w:val="30"/>
          <w:b/>
          <w:bCs/>
          <w:spacing w:val="22"/>
        </w:rPr>
        <w:t>第三百二十五条医疗机构未按照要求报告或者报告不实信息的</w:t>
      </w:r>
    </w:p>
    <w:p>
      <w:pPr>
        <w:ind w:left="644"/>
        <w:spacing w:before="120" w:line="222" w:lineRule="auto"/>
        <w:rPr>
          <w:rFonts w:ascii="FangSong" w:hAnsi="FangSong" w:eastAsia="FangSong" w:cs="FangSong"/>
          <w:sz w:val="30"/>
          <w:szCs w:val="30"/>
        </w:rPr>
      </w:pPr>
      <w:r>
        <w:rPr>
          <w:rFonts w:ascii="FangSong" w:hAnsi="FangSong" w:eastAsia="FangSong" w:cs="FangSong"/>
          <w:sz w:val="30"/>
          <w:szCs w:val="30"/>
          <w:spacing w:val="6"/>
        </w:rPr>
        <w:t>法律依据：</w:t>
      </w:r>
    </w:p>
    <w:p>
      <w:pPr>
        <w:ind w:left="25" w:right="24" w:firstLine="619"/>
        <w:spacing w:before="66" w:line="271" w:lineRule="auto"/>
        <w:jc w:val="both"/>
        <w:rPr>
          <w:rFonts w:ascii="FangSong" w:hAnsi="FangSong" w:eastAsia="FangSong" w:cs="FangSong"/>
          <w:sz w:val="30"/>
          <w:szCs w:val="30"/>
        </w:rPr>
      </w:pPr>
      <w:r>
        <w:rPr>
          <w:rFonts w:ascii="FangSong" w:hAnsi="FangSong" w:eastAsia="FangSong" w:cs="FangSong"/>
          <w:sz w:val="30"/>
          <w:szCs w:val="30"/>
          <w:spacing w:val="24"/>
        </w:rPr>
        <w:t>《医疗技术临床应用管理办法》第四十一条第(五)项</w:t>
      </w:r>
      <w:r>
        <w:rPr>
          <w:rFonts w:ascii="FangSong" w:hAnsi="FangSong" w:eastAsia="FangSong" w:cs="FangSong"/>
          <w:sz w:val="30"/>
          <w:szCs w:val="30"/>
          <w:spacing w:val="24"/>
        </w:rPr>
        <w:t xml:space="preserve"> </w:t>
      </w:r>
      <w:r>
        <w:rPr>
          <w:rFonts w:ascii="FangSong" w:hAnsi="FangSong" w:eastAsia="FangSong" w:cs="FangSong"/>
          <w:sz w:val="30"/>
          <w:szCs w:val="30"/>
          <w:spacing w:val="23"/>
        </w:rPr>
        <w:t xml:space="preserve"> </w:t>
      </w:r>
      <w:r>
        <w:rPr>
          <w:rFonts w:ascii="FangSong" w:hAnsi="FangSong" w:eastAsia="FangSong" w:cs="FangSong"/>
          <w:sz w:val="30"/>
          <w:szCs w:val="30"/>
          <w:spacing w:val="23"/>
        </w:rPr>
        <w:t>医疗机构违反本办法规定，有下列情形</w:t>
      </w:r>
      <w:r>
        <w:rPr>
          <w:rFonts w:ascii="FangSong" w:hAnsi="FangSong" w:eastAsia="FangSong" w:cs="FangSong"/>
          <w:sz w:val="30"/>
          <w:szCs w:val="30"/>
        </w:rPr>
        <w:t xml:space="preserve"> </w:t>
      </w:r>
      <w:r>
        <w:rPr>
          <w:rFonts w:ascii="FangSong" w:hAnsi="FangSong" w:eastAsia="FangSong" w:cs="FangSong"/>
          <w:sz w:val="30"/>
          <w:szCs w:val="30"/>
          <w:spacing w:val="17"/>
        </w:rPr>
        <w:t>之一的，由县级以上地方卫生行政部门责令限期改正；</w:t>
      </w:r>
      <w:r>
        <w:rPr>
          <w:rFonts w:ascii="FangSong" w:hAnsi="FangSong" w:eastAsia="FangSong" w:cs="FangSong"/>
          <w:sz w:val="30"/>
          <w:szCs w:val="30"/>
          <w:spacing w:val="16"/>
        </w:rPr>
        <w:t>逾期不改的，暂停或者停止相关医疗技术临床</w:t>
      </w:r>
      <w:r>
        <w:rPr>
          <w:rFonts w:ascii="FangSong" w:hAnsi="FangSong" w:eastAsia="FangSong" w:cs="FangSong"/>
          <w:sz w:val="30"/>
          <w:szCs w:val="30"/>
        </w:rPr>
        <w:t xml:space="preserve"> </w:t>
      </w:r>
      <w:r>
        <w:rPr>
          <w:rFonts w:ascii="FangSong" w:hAnsi="FangSong" w:eastAsia="FangSong" w:cs="FangSong"/>
          <w:sz w:val="30"/>
          <w:szCs w:val="30"/>
          <w:spacing w:val="17"/>
        </w:rPr>
        <w:t>应用，给予警告，并处以三千元以下罚款；造成严重后果</w:t>
      </w:r>
      <w:r>
        <w:rPr>
          <w:rFonts w:ascii="FangSong" w:hAnsi="FangSong" w:eastAsia="FangSong" w:cs="FangSong"/>
          <w:sz w:val="30"/>
          <w:szCs w:val="30"/>
          <w:spacing w:val="16"/>
        </w:rPr>
        <w:t>的，处以三千元以上三万元以下罚款，并对</w:t>
      </w:r>
      <w:r>
        <w:rPr>
          <w:rFonts w:ascii="FangSong" w:hAnsi="FangSong" w:eastAsia="FangSong" w:cs="FangSong"/>
          <w:sz w:val="30"/>
          <w:szCs w:val="30"/>
        </w:rPr>
        <w:t xml:space="preserve"> </w:t>
      </w:r>
      <w:r>
        <w:rPr>
          <w:rFonts w:ascii="FangSong" w:hAnsi="FangSong" w:eastAsia="FangSong" w:cs="FangSong"/>
          <w:sz w:val="30"/>
          <w:szCs w:val="30"/>
          <w:spacing w:val="16"/>
        </w:rPr>
        <w:t>医疗机构主要负责人、负有责任的主管人员和其他直接责任人员依法给予处分：</w:t>
      </w:r>
    </w:p>
    <w:p>
      <w:pPr>
        <w:ind w:left="794"/>
        <w:spacing w:before="1" w:line="221" w:lineRule="auto"/>
        <w:rPr>
          <w:rFonts w:ascii="FangSong" w:hAnsi="FangSong" w:eastAsia="FangSong" w:cs="FangSong"/>
          <w:sz w:val="30"/>
          <w:szCs w:val="30"/>
        </w:rPr>
      </w:pPr>
      <w:r>
        <w:rPr>
          <w:rFonts w:ascii="FangSong" w:hAnsi="FangSong" w:eastAsia="FangSong" w:cs="FangSong"/>
          <w:sz w:val="30"/>
          <w:szCs w:val="30"/>
          <w:spacing w:val="22"/>
        </w:rPr>
        <w:t>(五)未按照要求报告或者报告不实信息的；</w:t>
      </w:r>
    </w:p>
    <w:p>
      <w:pPr>
        <w:spacing w:line="221" w:lineRule="auto"/>
        <w:sectPr>
          <w:footerReference w:type="default" r:id="rId372"/>
          <w:pgSz w:w="16830" w:h="11900"/>
          <w:pgMar w:top="1011" w:right="1419" w:bottom="1117" w:left="1425" w:header="0" w:footer="784" w:gutter="0"/>
        </w:sectPr>
        <w:rPr>
          <w:rFonts w:ascii="FangSong" w:hAnsi="FangSong" w:eastAsia="FangSong" w:cs="FangSong"/>
          <w:sz w:val="30"/>
          <w:szCs w:val="30"/>
        </w:rPr>
      </w:pPr>
    </w:p>
    <w:p>
      <w:pPr>
        <w:pStyle w:val="BodyText"/>
        <w:spacing w:line="259" w:lineRule="auto"/>
        <w:rPr/>
      </w:pPr>
      <w:r/>
    </w:p>
    <w:p>
      <w:pPr>
        <w:pStyle w:val="BodyText"/>
        <w:spacing w:line="259" w:lineRule="auto"/>
        <w:rPr/>
      </w:pPr>
      <w:r/>
    </w:p>
    <w:p>
      <w:pPr>
        <w:pStyle w:val="BodyText"/>
        <w:spacing w:line="260" w:lineRule="auto"/>
        <w:rPr/>
      </w:pPr>
      <w:r/>
    </w:p>
    <w:p>
      <w:pPr>
        <w:ind w:left="6439"/>
        <w:spacing w:before="94" w:line="214" w:lineRule="auto"/>
        <w:rPr>
          <w:rFonts w:ascii="SimSun" w:hAnsi="SimSun" w:eastAsia="SimSun" w:cs="SimSun"/>
          <w:sz w:val="29"/>
          <w:szCs w:val="29"/>
        </w:rPr>
      </w:pPr>
      <w:bookmarkStart w:name="bookmark1025" w:id="394"/>
      <w:bookmarkEnd w:id="394"/>
      <w:r>
        <w:rPr>
          <w:rFonts w:ascii="SimSun" w:hAnsi="SimSun" w:eastAsia="SimSun" w:cs="SimSun"/>
          <w:sz w:val="29"/>
          <w:szCs w:val="29"/>
          <w:b/>
          <w:bCs/>
          <w:spacing w:val="-6"/>
        </w:rPr>
        <w:t>裁量标准</w:t>
      </w:r>
    </w:p>
    <w:tbl>
      <w:tblPr>
        <w:tblStyle w:val="TableNormal"/>
        <w:tblW w:w="139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545"/>
        <w:gridCol w:w="4931"/>
      </w:tblGrid>
      <w:tr>
        <w:trPr>
          <w:trHeight w:val="553" w:hRule="atLeast"/>
        </w:trPr>
        <w:tc>
          <w:tcPr>
            <w:tcW w:w="1444" w:type="dxa"/>
            <w:vAlign w:val="top"/>
          </w:tcPr>
          <w:p>
            <w:pPr>
              <w:pStyle w:val="TableText"/>
              <w:ind w:left="218"/>
              <w:spacing w:before="152" w:line="220" w:lineRule="auto"/>
              <w:rPr>
                <w:sz w:val="25"/>
                <w:szCs w:val="25"/>
              </w:rPr>
            </w:pPr>
            <w:r>
              <w:rPr>
                <w:sz w:val="25"/>
                <w:szCs w:val="25"/>
                <w:b/>
                <w:bCs/>
                <w:spacing w:val="-5"/>
              </w:rPr>
              <w:t>违法程度</w:t>
            </w:r>
          </w:p>
        </w:tc>
        <w:tc>
          <w:tcPr>
            <w:tcW w:w="7545" w:type="dxa"/>
            <w:vAlign w:val="top"/>
          </w:tcPr>
          <w:p>
            <w:pPr>
              <w:pStyle w:val="TableText"/>
              <w:ind w:left="3214"/>
              <w:spacing w:before="152" w:line="220" w:lineRule="auto"/>
              <w:rPr>
                <w:sz w:val="25"/>
                <w:szCs w:val="25"/>
              </w:rPr>
            </w:pPr>
            <w:r>
              <w:rPr>
                <w:sz w:val="25"/>
                <w:szCs w:val="25"/>
                <w:b/>
                <w:bCs/>
                <w:spacing w:val="-5"/>
              </w:rPr>
              <w:t>情节后果</w:t>
            </w:r>
          </w:p>
        </w:tc>
        <w:tc>
          <w:tcPr>
            <w:tcW w:w="4931" w:type="dxa"/>
            <w:vAlign w:val="top"/>
          </w:tcPr>
          <w:p>
            <w:pPr>
              <w:pStyle w:val="TableText"/>
              <w:ind w:left="1959"/>
              <w:spacing w:before="149" w:line="218" w:lineRule="auto"/>
              <w:rPr>
                <w:sz w:val="25"/>
                <w:szCs w:val="25"/>
              </w:rPr>
            </w:pPr>
            <w:r>
              <w:rPr>
                <w:sz w:val="25"/>
                <w:szCs w:val="25"/>
                <w:b/>
                <w:bCs/>
                <w:spacing w:val="-5"/>
              </w:rPr>
              <w:t>裁量幅度</w:t>
            </w:r>
          </w:p>
        </w:tc>
      </w:tr>
      <w:tr>
        <w:trPr>
          <w:trHeight w:val="876" w:hRule="atLeast"/>
        </w:trPr>
        <w:tc>
          <w:tcPr>
            <w:tcW w:w="1444" w:type="dxa"/>
            <w:vAlign w:val="top"/>
          </w:tcPr>
          <w:p>
            <w:pPr>
              <w:spacing w:line="297" w:lineRule="auto"/>
              <w:rPr>
                <w:rFonts w:ascii="Arial"/>
                <w:sz w:val="21"/>
              </w:rPr>
            </w:pPr>
            <w:r/>
          </w:p>
          <w:p>
            <w:pPr>
              <w:pStyle w:val="TableText"/>
              <w:ind w:left="468"/>
              <w:spacing w:before="81" w:line="221" w:lineRule="auto"/>
              <w:rPr>
                <w:sz w:val="25"/>
                <w:szCs w:val="25"/>
              </w:rPr>
            </w:pPr>
            <w:r>
              <w:rPr>
                <w:sz w:val="25"/>
                <w:szCs w:val="25"/>
                <w:b/>
                <w:bCs/>
                <w:spacing w:val="-10"/>
              </w:rPr>
              <w:t>一般</w:t>
            </w:r>
          </w:p>
        </w:tc>
        <w:tc>
          <w:tcPr>
            <w:tcW w:w="7545" w:type="dxa"/>
            <w:vAlign w:val="top"/>
          </w:tcPr>
          <w:p>
            <w:pPr>
              <w:pStyle w:val="TableText"/>
              <w:ind w:left="121" w:firstLine="9"/>
              <w:spacing w:before="150" w:line="264" w:lineRule="auto"/>
              <w:rPr>
                <w:sz w:val="25"/>
                <w:szCs w:val="25"/>
              </w:rPr>
            </w:pPr>
            <w:r>
              <w:rPr>
                <w:sz w:val="25"/>
                <w:szCs w:val="25"/>
                <w:spacing w:val="-11"/>
              </w:rPr>
              <w:t>医疗机构未按照要求报告或者报告不实信息，经责令限期</w:t>
            </w:r>
            <w:r>
              <w:rPr>
                <w:sz w:val="25"/>
                <w:szCs w:val="25"/>
                <w:spacing w:val="-12"/>
              </w:rPr>
              <w:t>改正，逾期不</w:t>
            </w:r>
            <w:r>
              <w:rPr>
                <w:sz w:val="25"/>
                <w:szCs w:val="25"/>
              </w:rPr>
              <w:t xml:space="preserve"> </w:t>
            </w:r>
            <w:r>
              <w:rPr>
                <w:sz w:val="25"/>
                <w:szCs w:val="25"/>
                <w:spacing w:val="9"/>
              </w:rPr>
              <w:t>改的</w:t>
            </w:r>
          </w:p>
        </w:tc>
        <w:tc>
          <w:tcPr>
            <w:tcW w:w="4931" w:type="dxa"/>
            <w:vAlign w:val="top"/>
          </w:tcPr>
          <w:p>
            <w:pPr>
              <w:pStyle w:val="TableText"/>
              <w:ind w:left="135" w:hanging="119"/>
              <w:spacing w:before="161" w:line="260" w:lineRule="auto"/>
              <w:rPr>
                <w:sz w:val="25"/>
                <w:szCs w:val="25"/>
              </w:rPr>
            </w:pPr>
            <w:r>
              <w:rPr>
                <w:sz w:val="25"/>
                <w:szCs w:val="25"/>
                <w:spacing w:val="-5"/>
              </w:rPr>
              <w:t>暂停或者停止相关医疗技术临床应用，予以警</w:t>
            </w:r>
            <w:r>
              <w:rPr>
                <w:sz w:val="25"/>
                <w:szCs w:val="25"/>
                <w:spacing w:val="3"/>
              </w:rPr>
              <w:t xml:space="preserve"> </w:t>
            </w:r>
            <w:r>
              <w:rPr>
                <w:sz w:val="25"/>
                <w:szCs w:val="25"/>
              </w:rPr>
              <w:t>告，并处以三千元以下罚款</w:t>
            </w:r>
          </w:p>
        </w:tc>
      </w:tr>
      <w:tr>
        <w:trPr>
          <w:trHeight w:val="881" w:hRule="atLeast"/>
        </w:trPr>
        <w:tc>
          <w:tcPr>
            <w:tcW w:w="1444" w:type="dxa"/>
            <w:vAlign w:val="top"/>
          </w:tcPr>
          <w:p>
            <w:pPr>
              <w:spacing w:line="300" w:lineRule="auto"/>
              <w:rPr>
                <w:rFonts w:ascii="Arial"/>
                <w:sz w:val="21"/>
              </w:rPr>
            </w:pPr>
            <w:r/>
          </w:p>
          <w:p>
            <w:pPr>
              <w:pStyle w:val="TableText"/>
              <w:ind w:left="468"/>
              <w:spacing w:before="81" w:line="220" w:lineRule="auto"/>
              <w:rPr>
                <w:sz w:val="25"/>
                <w:szCs w:val="25"/>
              </w:rPr>
            </w:pPr>
            <w:r>
              <w:rPr>
                <w:sz w:val="25"/>
                <w:szCs w:val="25"/>
                <w:b/>
                <w:bCs/>
                <w:spacing w:val="-6"/>
              </w:rPr>
              <w:t>严重</w:t>
            </w:r>
          </w:p>
        </w:tc>
        <w:tc>
          <w:tcPr>
            <w:tcW w:w="7545" w:type="dxa"/>
            <w:vAlign w:val="top"/>
          </w:tcPr>
          <w:p>
            <w:pPr>
              <w:spacing w:line="241" w:lineRule="auto"/>
              <w:rPr>
                <w:rFonts w:ascii="Arial"/>
                <w:sz w:val="21"/>
              </w:rPr>
            </w:pPr>
            <w:r/>
          </w:p>
          <w:p>
            <w:pPr>
              <w:pStyle w:val="TableText"/>
              <w:ind w:left="121"/>
              <w:spacing w:before="81" w:line="218" w:lineRule="auto"/>
              <w:rPr>
                <w:sz w:val="25"/>
                <w:szCs w:val="25"/>
              </w:rPr>
            </w:pPr>
            <w:r>
              <w:rPr>
                <w:sz w:val="25"/>
                <w:szCs w:val="25"/>
              </w:rPr>
              <w:t>医疗机构未按照要求报告或者报告不实信息，造成严重后果的</w:t>
            </w:r>
          </w:p>
        </w:tc>
        <w:tc>
          <w:tcPr>
            <w:tcW w:w="4931" w:type="dxa"/>
            <w:vAlign w:val="top"/>
          </w:tcPr>
          <w:p>
            <w:pPr>
              <w:pStyle w:val="TableText"/>
              <w:ind w:left="125" w:hanging="109"/>
              <w:spacing w:before="166" w:line="260" w:lineRule="auto"/>
              <w:rPr>
                <w:sz w:val="25"/>
                <w:szCs w:val="25"/>
              </w:rPr>
            </w:pPr>
            <w:r>
              <w:rPr>
                <w:sz w:val="25"/>
                <w:szCs w:val="25"/>
                <w:spacing w:val="-5"/>
              </w:rPr>
              <w:t>暂停或者停止相关医疗技术临床应用，给予警</w:t>
            </w:r>
            <w:r>
              <w:rPr>
                <w:sz w:val="25"/>
                <w:szCs w:val="25"/>
                <w:spacing w:val="3"/>
              </w:rPr>
              <w:t xml:space="preserve"> </w:t>
            </w:r>
            <w:r>
              <w:rPr>
                <w:sz w:val="25"/>
                <w:szCs w:val="25"/>
              </w:rPr>
              <w:t>告，处以三千元以上三万元以下罚款</w:t>
            </w:r>
          </w:p>
        </w:tc>
      </w:tr>
    </w:tbl>
    <w:p>
      <w:pPr>
        <w:pStyle w:val="BodyText"/>
        <w:spacing w:line="476" w:lineRule="auto"/>
        <w:rPr/>
      </w:pPr>
      <w:r/>
    </w:p>
    <w:p>
      <w:pPr>
        <w:ind w:left="29" w:right="317" w:firstLine="660"/>
        <w:spacing w:before="98" w:line="279" w:lineRule="auto"/>
        <w:rPr>
          <w:rFonts w:ascii="FangSong" w:hAnsi="FangSong" w:eastAsia="FangSong" w:cs="FangSong"/>
          <w:sz w:val="30"/>
          <w:szCs w:val="30"/>
        </w:rPr>
      </w:pPr>
      <w:r>
        <w:rPr>
          <w:rFonts w:ascii="FangSong" w:hAnsi="FangSong" w:eastAsia="FangSong" w:cs="FangSong"/>
          <w:sz w:val="30"/>
          <w:szCs w:val="30"/>
          <w:b/>
          <w:bCs/>
          <w:spacing w:val="21"/>
        </w:rPr>
        <w:t>第三百二十六条医疗机构未按照要求向国家和省级医疗技术临床应用信息化管理平台报送相</w:t>
      </w:r>
      <w:r>
        <w:rPr>
          <w:rFonts w:ascii="FangSong" w:hAnsi="FangSong" w:eastAsia="FangSong" w:cs="FangSong"/>
          <w:sz w:val="30"/>
          <w:szCs w:val="30"/>
          <w:spacing w:val="7"/>
        </w:rPr>
        <w:t xml:space="preserve"> </w:t>
      </w:r>
      <w:r>
        <w:rPr>
          <w:rFonts w:ascii="FangSong" w:hAnsi="FangSong" w:eastAsia="FangSong" w:cs="FangSong"/>
          <w:sz w:val="30"/>
          <w:szCs w:val="30"/>
          <w:b/>
          <w:bCs/>
          <w:spacing w:val="4"/>
        </w:rPr>
        <w:t>关信息的</w:t>
      </w:r>
    </w:p>
    <w:p>
      <w:pPr>
        <w:ind w:left="685"/>
        <w:spacing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25" w:firstLine="630"/>
        <w:spacing w:before="97" w:line="264" w:lineRule="auto"/>
        <w:jc w:val="both"/>
        <w:rPr>
          <w:rFonts w:ascii="FangSong" w:hAnsi="FangSong" w:eastAsia="FangSong" w:cs="FangSong"/>
          <w:sz w:val="30"/>
          <w:szCs w:val="30"/>
        </w:rPr>
      </w:pPr>
      <w:r>
        <w:rPr>
          <w:rFonts w:ascii="FangSong" w:hAnsi="FangSong" w:eastAsia="FangSong" w:cs="FangSong"/>
          <w:sz w:val="30"/>
          <w:szCs w:val="30"/>
          <w:spacing w:val="24"/>
        </w:rPr>
        <w:t>《医疗技术临床应用管理办法》第四十一条第(六)项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医疗机构违反本办法</w:t>
      </w:r>
      <w:r>
        <w:rPr>
          <w:rFonts w:ascii="FangSong" w:hAnsi="FangSong" w:eastAsia="FangSong" w:cs="FangSong"/>
          <w:sz w:val="30"/>
          <w:szCs w:val="30"/>
          <w:spacing w:val="23"/>
        </w:rPr>
        <w:t>规定，有下列情形</w:t>
      </w:r>
      <w:r>
        <w:rPr>
          <w:rFonts w:ascii="FangSong" w:hAnsi="FangSong" w:eastAsia="FangSong" w:cs="FangSong"/>
          <w:sz w:val="30"/>
          <w:szCs w:val="30"/>
        </w:rPr>
        <w:t xml:space="preserve"> </w:t>
      </w:r>
      <w:r>
        <w:rPr>
          <w:rFonts w:ascii="FangSong" w:hAnsi="FangSong" w:eastAsia="FangSong" w:cs="FangSong"/>
          <w:sz w:val="30"/>
          <w:szCs w:val="30"/>
          <w:spacing w:val="17"/>
        </w:rPr>
        <w:t>之一的，由县级以上地方卫生行政部门责令限期改正；逾期不改的，暂停或者停止相关医疗技术临床</w:t>
      </w:r>
      <w:r>
        <w:rPr>
          <w:rFonts w:ascii="FangSong" w:hAnsi="FangSong" w:eastAsia="FangSong" w:cs="FangSong"/>
          <w:sz w:val="30"/>
          <w:szCs w:val="30"/>
        </w:rPr>
        <w:t xml:space="preserve"> </w:t>
      </w:r>
      <w:r>
        <w:rPr>
          <w:rFonts w:ascii="FangSong" w:hAnsi="FangSong" w:eastAsia="FangSong" w:cs="FangSong"/>
          <w:sz w:val="30"/>
          <w:szCs w:val="30"/>
          <w:spacing w:val="17"/>
        </w:rPr>
        <w:t>应用，给予警告，并处以三千元以下罚款；造成严重后果</w:t>
      </w:r>
      <w:r>
        <w:rPr>
          <w:rFonts w:ascii="FangSong" w:hAnsi="FangSong" w:eastAsia="FangSong" w:cs="FangSong"/>
          <w:sz w:val="30"/>
          <w:szCs w:val="30"/>
          <w:spacing w:val="16"/>
        </w:rPr>
        <w:t>的，处以三千元以上三万元以下罚款，并对</w:t>
      </w:r>
      <w:r>
        <w:rPr>
          <w:rFonts w:ascii="FangSong" w:hAnsi="FangSong" w:eastAsia="FangSong" w:cs="FangSong"/>
          <w:sz w:val="30"/>
          <w:szCs w:val="30"/>
        </w:rPr>
        <w:t xml:space="preserve"> </w:t>
      </w:r>
      <w:r>
        <w:rPr>
          <w:rFonts w:ascii="FangSong" w:hAnsi="FangSong" w:eastAsia="FangSong" w:cs="FangSong"/>
          <w:sz w:val="30"/>
          <w:szCs w:val="30"/>
          <w:spacing w:val="17"/>
        </w:rPr>
        <w:t>医疗机构主要负责人、负有责任的主管人员和其他直接责任人员依法给予处分：</w:t>
      </w:r>
    </w:p>
    <w:p>
      <w:pPr>
        <w:ind w:left="815"/>
        <w:spacing w:before="1" w:line="220" w:lineRule="auto"/>
        <w:rPr>
          <w:rFonts w:ascii="FangSong" w:hAnsi="FangSong" w:eastAsia="FangSong" w:cs="FangSong"/>
          <w:sz w:val="30"/>
          <w:szCs w:val="30"/>
        </w:rPr>
      </w:pPr>
      <w:r>
        <w:rPr>
          <w:rFonts w:ascii="FangSong" w:hAnsi="FangSong" w:eastAsia="FangSong" w:cs="FangSong"/>
          <w:sz w:val="30"/>
          <w:szCs w:val="30"/>
          <w:spacing w:val="22"/>
        </w:rPr>
        <w:t>(六)未按照要求向国家和省级医疗技术临床应用信息化管理平台报送</w:t>
      </w:r>
      <w:r>
        <w:rPr>
          <w:rFonts w:ascii="FangSong" w:hAnsi="FangSong" w:eastAsia="FangSong" w:cs="FangSong"/>
          <w:sz w:val="30"/>
          <w:szCs w:val="30"/>
          <w:spacing w:val="21"/>
        </w:rPr>
        <w:t>相关信息的；</w:t>
      </w:r>
    </w:p>
    <w:p>
      <w:pPr>
        <w:ind w:left="6439"/>
        <w:spacing w:before="82"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4"/>
        <w:gridCol w:w="7904"/>
        <w:gridCol w:w="4612"/>
      </w:tblGrid>
      <w:tr>
        <w:trPr>
          <w:trHeight w:val="550" w:hRule="atLeast"/>
        </w:trPr>
        <w:tc>
          <w:tcPr>
            <w:tcW w:w="1454" w:type="dxa"/>
            <w:vAlign w:val="top"/>
          </w:tcPr>
          <w:p>
            <w:pPr>
              <w:pStyle w:val="TableText"/>
              <w:ind w:left="149"/>
              <w:spacing w:before="133" w:line="220" w:lineRule="auto"/>
              <w:rPr>
                <w:sz w:val="29"/>
                <w:szCs w:val="29"/>
              </w:rPr>
            </w:pPr>
            <w:r>
              <w:rPr>
                <w:sz w:val="29"/>
                <w:szCs w:val="29"/>
                <w:b/>
                <w:bCs/>
                <w:spacing w:val="-1"/>
              </w:rPr>
              <w:t>违法程度</w:t>
            </w:r>
          </w:p>
        </w:tc>
        <w:tc>
          <w:tcPr>
            <w:tcW w:w="7904" w:type="dxa"/>
            <w:vAlign w:val="top"/>
          </w:tcPr>
          <w:p>
            <w:pPr>
              <w:pStyle w:val="TableText"/>
              <w:ind w:left="3385"/>
              <w:spacing w:before="133" w:line="220" w:lineRule="auto"/>
              <w:rPr>
                <w:sz w:val="29"/>
                <w:szCs w:val="29"/>
              </w:rPr>
            </w:pPr>
            <w:r>
              <w:rPr>
                <w:sz w:val="29"/>
                <w:szCs w:val="29"/>
                <w:b/>
                <w:bCs/>
                <w:spacing w:val="-1"/>
              </w:rPr>
              <w:t>情节后果</w:t>
            </w:r>
          </w:p>
        </w:tc>
        <w:tc>
          <w:tcPr>
            <w:tcW w:w="4612" w:type="dxa"/>
            <w:vAlign w:val="top"/>
          </w:tcPr>
          <w:p>
            <w:pPr>
              <w:pStyle w:val="TableText"/>
              <w:ind w:left="1761"/>
              <w:spacing w:before="130" w:line="218" w:lineRule="auto"/>
              <w:rPr>
                <w:sz w:val="29"/>
                <w:szCs w:val="29"/>
              </w:rPr>
            </w:pPr>
            <w:r>
              <w:rPr>
                <w:sz w:val="29"/>
                <w:szCs w:val="29"/>
                <w:b/>
                <w:bCs/>
                <w:spacing w:val="-1"/>
              </w:rPr>
              <w:t>裁量幅度</w:t>
            </w:r>
          </w:p>
        </w:tc>
      </w:tr>
    </w:tbl>
    <w:p>
      <w:pPr>
        <w:pStyle w:val="BodyText"/>
        <w:rPr/>
      </w:pPr>
      <w:r/>
    </w:p>
    <w:p>
      <w:pPr>
        <w:sectPr>
          <w:footerReference w:type="default" r:id="rId373"/>
          <w:pgSz w:w="16830" w:h="11900"/>
          <w:pgMar w:top="1011" w:right="1434" w:bottom="1124" w:left="1414" w:header="0" w:footer="809" w:gutter="0"/>
        </w:sectPr>
        <w:rPr/>
      </w:pPr>
    </w:p>
    <w:p>
      <w:pPr>
        <w:spacing w:before="13"/>
        <w:rPr/>
      </w:pPr>
      <w:r/>
    </w:p>
    <w:p>
      <w:pPr>
        <w:spacing w:before="13"/>
        <w:rPr/>
      </w:pPr>
      <w:r/>
    </w:p>
    <w:p>
      <w:pPr>
        <w:spacing w:before="13"/>
        <w:rPr/>
      </w:pPr>
      <w:r/>
    </w:p>
    <w:tbl>
      <w:tblPr>
        <w:tblStyle w:val="TableNormal"/>
        <w:tblW w:w="1395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914"/>
        <w:gridCol w:w="4602"/>
      </w:tblGrid>
      <w:tr>
        <w:trPr>
          <w:trHeight w:val="1009" w:hRule="atLeast"/>
        </w:trPr>
        <w:tc>
          <w:tcPr>
            <w:tcW w:w="1434" w:type="dxa"/>
            <w:vAlign w:val="top"/>
          </w:tcPr>
          <w:p>
            <w:pPr>
              <w:spacing w:line="300" w:lineRule="auto"/>
              <w:rPr>
                <w:rFonts w:ascii="Arial"/>
                <w:sz w:val="21"/>
              </w:rPr>
            </w:pPr>
            <w:r/>
          </w:p>
          <w:p>
            <w:pPr>
              <w:pStyle w:val="TableText"/>
              <w:ind w:left="458"/>
              <w:spacing w:before="81" w:line="221" w:lineRule="auto"/>
              <w:rPr>
                <w:sz w:val="25"/>
                <w:szCs w:val="25"/>
              </w:rPr>
            </w:pPr>
            <w:bookmarkStart w:name="bookmark1026" w:id="395"/>
            <w:bookmarkEnd w:id="395"/>
            <w:r>
              <w:rPr>
                <w:sz w:val="25"/>
                <w:szCs w:val="25"/>
                <w:b/>
                <w:bCs/>
                <w:spacing w:val="-10"/>
              </w:rPr>
              <w:t>一般</w:t>
            </w:r>
          </w:p>
        </w:tc>
        <w:tc>
          <w:tcPr>
            <w:tcW w:w="7914" w:type="dxa"/>
            <w:vAlign w:val="top"/>
          </w:tcPr>
          <w:p>
            <w:pPr>
              <w:pStyle w:val="TableText"/>
              <w:ind w:left="100" w:firstLine="30"/>
              <w:spacing w:before="205" w:line="293" w:lineRule="auto"/>
              <w:rPr>
                <w:sz w:val="25"/>
                <w:szCs w:val="25"/>
              </w:rPr>
            </w:pPr>
            <w:r>
              <w:rPr>
                <w:sz w:val="25"/>
                <w:szCs w:val="25"/>
                <w:spacing w:val="-7"/>
              </w:rPr>
              <w:t>医疗机构未按照要求向国家和省级医疗技术临床应用信息化管</w:t>
            </w:r>
            <w:r>
              <w:rPr>
                <w:sz w:val="25"/>
                <w:szCs w:val="25"/>
                <w:spacing w:val="-8"/>
              </w:rPr>
              <w:t>理平台报送</w:t>
            </w:r>
            <w:r>
              <w:rPr>
                <w:sz w:val="25"/>
                <w:szCs w:val="25"/>
              </w:rPr>
              <w:t xml:space="preserve"> </w:t>
            </w:r>
            <w:r>
              <w:rPr>
                <w:sz w:val="25"/>
                <w:szCs w:val="25"/>
              </w:rPr>
              <w:t>相关信息，经责令限期改正，逾期不改的</w:t>
            </w:r>
          </w:p>
        </w:tc>
        <w:tc>
          <w:tcPr>
            <w:tcW w:w="4602" w:type="dxa"/>
            <w:vAlign w:val="top"/>
          </w:tcPr>
          <w:p>
            <w:pPr>
              <w:pStyle w:val="TableText"/>
              <w:ind w:left="117" w:right="30" w:hanging="70"/>
              <w:spacing w:before="205" w:line="293" w:lineRule="auto"/>
              <w:rPr>
                <w:sz w:val="25"/>
                <w:szCs w:val="25"/>
              </w:rPr>
            </w:pPr>
            <w:r>
              <w:rPr>
                <w:sz w:val="25"/>
                <w:szCs w:val="25"/>
              </w:rPr>
              <w:t>暂停或者停止相关医疗技术临床应用，予</w:t>
            </w:r>
            <w:r>
              <w:rPr>
                <w:sz w:val="25"/>
                <w:szCs w:val="25"/>
                <w:spacing w:val="13"/>
              </w:rPr>
              <w:t xml:space="preserve"> </w:t>
            </w:r>
            <w:r>
              <w:rPr>
                <w:sz w:val="25"/>
                <w:szCs w:val="25"/>
              </w:rPr>
              <w:t>以警告，并处以三千元以下罚款</w:t>
            </w:r>
          </w:p>
        </w:tc>
      </w:tr>
      <w:tr>
        <w:trPr>
          <w:trHeight w:val="860" w:hRule="atLeast"/>
        </w:trPr>
        <w:tc>
          <w:tcPr>
            <w:tcW w:w="1434" w:type="dxa"/>
            <w:vAlign w:val="top"/>
          </w:tcPr>
          <w:p>
            <w:pPr>
              <w:pStyle w:val="TableText"/>
              <w:ind w:left="458"/>
              <w:spacing w:before="313" w:line="220" w:lineRule="auto"/>
              <w:rPr>
                <w:sz w:val="25"/>
                <w:szCs w:val="25"/>
              </w:rPr>
            </w:pPr>
            <w:r>
              <w:rPr>
                <w:sz w:val="25"/>
                <w:szCs w:val="25"/>
                <w:b/>
                <w:bCs/>
                <w:spacing w:val="-6"/>
              </w:rPr>
              <w:t>严重</w:t>
            </w:r>
          </w:p>
        </w:tc>
        <w:tc>
          <w:tcPr>
            <w:tcW w:w="7914" w:type="dxa"/>
            <w:vAlign w:val="top"/>
          </w:tcPr>
          <w:p>
            <w:pPr>
              <w:pStyle w:val="TableText"/>
              <w:ind w:left="100" w:firstLine="30"/>
              <w:spacing w:before="134" w:line="264" w:lineRule="auto"/>
              <w:rPr>
                <w:sz w:val="25"/>
                <w:szCs w:val="25"/>
              </w:rPr>
            </w:pPr>
            <w:r>
              <w:rPr>
                <w:sz w:val="25"/>
                <w:szCs w:val="25"/>
                <w:spacing w:val="-7"/>
              </w:rPr>
              <w:t>医疗机构未按照要求向国家和省级医疗技术临床应用信息化管</w:t>
            </w:r>
            <w:r>
              <w:rPr>
                <w:sz w:val="25"/>
                <w:szCs w:val="25"/>
                <w:spacing w:val="-8"/>
              </w:rPr>
              <w:t>理平台报送</w:t>
            </w:r>
            <w:r>
              <w:rPr>
                <w:sz w:val="25"/>
                <w:szCs w:val="25"/>
              </w:rPr>
              <w:t xml:space="preserve"> </w:t>
            </w:r>
            <w:r>
              <w:rPr>
                <w:sz w:val="25"/>
                <w:szCs w:val="25"/>
                <w:spacing w:val="1"/>
              </w:rPr>
              <w:t>相关信息，造成严重后果的</w:t>
            </w:r>
          </w:p>
        </w:tc>
        <w:tc>
          <w:tcPr>
            <w:tcW w:w="4602" w:type="dxa"/>
            <w:vAlign w:val="top"/>
          </w:tcPr>
          <w:p>
            <w:pPr>
              <w:pStyle w:val="TableText"/>
              <w:ind w:left="47" w:right="34"/>
              <w:spacing w:before="134" w:line="264" w:lineRule="auto"/>
              <w:rPr>
                <w:sz w:val="25"/>
                <w:szCs w:val="25"/>
              </w:rPr>
            </w:pPr>
            <w:r>
              <w:rPr>
                <w:sz w:val="25"/>
                <w:szCs w:val="25"/>
              </w:rPr>
              <w:t>暂停或者停止相关医疗技术临床应用，给</w:t>
            </w:r>
            <w:r>
              <w:rPr>
                <w:sz w:val="25"/>
                <w:szCs w:val="25"/>
                <w:spacing w:val="8"/>
              </w:rPr>
              <w:t xml:space="preserve"> </w:t>
            </w:r>
            <w:r>
              <w:rPr>
                <w:sz w:val="25"/>
                <w:szCs w:val="25"/>
              </w:rPr>
              <w:t>予警告，处以三千元以上三万元以下罚款</w:t>
            </w:r>
          </w:p>
        </w:tc>
      </w:tr>
    </w:tbl>
    <w:p>
      <w:pPr>
        <w:pStyle w:val="BodyText"/>
        <w:spacing w:line="466" w:lineRule="auto"/>
        <w:rPr/>
      </w:pPr>
      <w:r/>
    </w:p>
    <w:p>
      <w:pPr>
        <w:ind w:left="67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第三百二十七条医疗机构未将相关信息纳入院务公开范围向社会公开的</w:t>
      </w:r>
    </w:p>
    <w:p>
      <w:pPr>
        <w:ind w:left="664"/>
        <w:spacing w:before="80" w:line="222" w:lineRule="auto"/>
        <w:rPr>
          <w:rFonts w:ascii="FangSong" w:hAnsi="FangSong" w:eastAsia="FangSong" w:cs="FangSong"/>
          <w:sz w:val="30"/>
          <w:szCs w:val="30"/>
        </w:rPr>
      </w:pPr>
      <w:r>
        <w:rPr>
          <w:rFonts w:ascii="FangSong" w:hAnsi="FangSong" w:eastAsia="FangSong" w:cs="FangSong"/>
          <w:sz w:val="30"/>
          <w:szCs w:val="30"/>
          <w:spacing w:val="4"/>
        </w:rPr>
        <w:t>法律依据：</w:t>
      </w:r>
    </w:p>
    <w:p>
      <w:pPr>
        <w:ind w:left="14" w:firstLine="630"/>
        <w:spacing w:before="75" w:line="271" w:lineRule="auto"/>
        <w:jc w:val="both"/>
        <w:rPr>
          <w:rFonts w:ascii="FangSong" w:hAnsi="FangSong" w:eastAsia="FangSong" w:cs="FangSong"/>
          <w:sz w:val="30"/>
          <w:szCs w:val="30"/>
        </w:rPr>
      </w:pPr>
      <w:r>
        <w:rPr>
          <w:rFonts w:ascii="FangSong" w:hAnsi="FangSong" w:eastAsia="FangSong" w:cs="FangSong"/>
          <w:sz w:val="30"/>
          <w:szCs w:val="30"/>
          <w:spacing w:val="24"/>
        </w:rPr>
        <w:t>《医疗技术临床应用管理办法》第四十一条第(七)项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医疗机构违反本办法</w:t>
      </w:r>
      <w:r>
        <w:rPr>
          <w:rFonts w:ascii="FangSong" w:hAnsi="FangSong" w:eastAsia="FangSong" w:cs="FangSong"/>
          <w:sz w:val="30"/>
          <w:szCs w:val="30"/>
          <w:spacing w:val="23"/>
        </w:rPr>
        <w:t>规定，有下列情形</w:t>
      </w:r>
      <w:r>
        <w:rPr>
          <w:rFonts w:ascii="FangSong" w:hAnsi="FangSong" w:eastAsia="FangSong" w:cs="FangSong"/>
          <w:sz w:val="30"/>
          <w:szCs w:val="30"/>
        </w:rPr>
        <w:t xml:space="preserve"> </w:t>
      </w:r>
      <w:r>
        <w:rPr>
          <w:rFonts w:ascii="FangSong" w:hAnsi="FangSong" w:eastAsia="FangSong" w:cs="FangSong"/>
          <w:sz w:val="30"/>
          <w:szCs w:val="30"/>
          <w:spacing w:val="17"/>
        </w:rPr>
        <w:t>之一的，由县级以上地方卫生行政部门责令限期改正；逾期不改的，暂停或者停止相关医疗技术临床</w:t>
      </w:r>
      <w:r>
        <w:rPr>
          <w:rFonts w:ascii="FangSong" w:hAnsi="FangSong" w:eastAsia="FangSong" w:cs="FangSong"/>
          <w:sz w:val="30"/>
          <w:szCs w:val="30"/>
        </w:rPr>
        <w:t xml:space="preserve"> </w:t>
      </w:r>
      <w:r>
        <w:rPr>
          <w:rFonts w:ascii="FangSong" w:hAnsi="FangSong" w:eastAsia="FangSong" w:cs="FangSong"/>
          <w:sz w:val="30"/>
          <w:szCs w:val="30"/>
          <w:spacing w:val="17"/>
        </w:rPr>
        <w:t>应用，给予警告，并处以三千元以下罚款；造成严重后果</w:t>
      </w:r>
      <w:r>
        <w:rPr>
          <w:rFonts w:ascii="FangSong" w:hAnsi="FangSong" w:eastAsia="FangSong" w:cs="FangSong"/>
          <w:sz w:val="30"/>
          <w:szCs w:val="30"/>
          <w:spacing w:val="16"/>
        </w:rPr>
        <w:t>的，处以三千元以上三万元以下罚款，并对</w:t>
      </w:r>
      <w:r>
        <w:rPr>
          <w:rFonts w:ascii="FangSong" w:hAnsi="FangSong" w:eastAsia="FangSong" w:cs="FangSong"/>
          <w:sz w:val="30"/>
          <w:szCs w:val="30"/>
        </w:rPr>
        <w:t xml:space="preserve"> </w:t>
      </w:r>
      <w:r>
        <w:rPr>
          <w:rFonts w:ascii="FangSong" w:hAnsi="FangSong" w:eastAsia="FangSong" w:cs="FangSong"/>
          <w:sz w:val="30"/>
          <w:szCs w:val="30"/>
          <w:spacing w:val="15"/>
        </w:rPr>
        <w:t>医疗机构主要负责人、负有责任的主管人员和其他直接责任人员</w:t>
      </w:r>
      <w:r>
        <w:rPr>
          <w:rFonts w:ascii="FangSong" w:hAnsi="FangSong" w:eastAsia="FangSong" w:cs="FangSong"/>
          <w:sz w:val="30"/>
          <w:szCs w:val="30"/>
          <w:spacing w:val="14"/>
        </w:rPr>
        <w:t>依法给予处分：</w:t>
      </w:r>
    </w:p>
    <w:p>
      <w:pPr>
        <w:ind w:left="794"/>
        <w:spacing w:before="1" w:line="221" w:lineRule="auto"/>
        <w:rPr>
          <w:rFonts w:ascii="FangSong" w:hAnsi="FangSong" w:eastAsia="FangSong" w:cs="FangSong"/>
          <w:sz w:val="30"/>
          <w:szCs w:val="30"/>
        </w:rPr>
      </w:pPr>
      <w:r>
        <w:rPr>
          <w:rFonts w:ascii="FangSong" w:hAnsi="FangSong" w:eastAsia="FangSong" w:cs="FangSong"/>
          <w:sz w:val="30"/>
          <w:szCs w:val="30"/>
          <w:spacing w:val="18"/>
        </w:rPr>
        <w:t>(</w:t>
      </w:r>
      <w:r>
        <w:rPr>
          <w:rFonts w:ascii="FangSong" w:hAnsi="FangSong" w:eastAsia="FangSong" w:cs="FangSong"/>
          <w:sz w:val="30"/>
          <w:szCs w:val="30"/>
          <w:spacing w:val="-30"/>
        </w:rPr>
        <w:t xml:space="preserve"> </w:t>
      </w:r>
      <w:r>
        <w:rPr>
          <w:rFonts w:ascii="FangSong" w:hAnsi="FangSong" w:eastAsia="FangSong" w:cs="FangSong"/>
          <w:sz w:val="30"/>
          <w:szCs w:val="30"/>
          <w:spacing w:val="18"/>
        </w:rPr>
        <w:t>七)未将相关信息纳入院务公开范围向社会</w:t>
      </w:r>
      <w:r>
        <w:rPr>
          <w:rFonts w:ascii="FangSong" w:hAnsi="FangSong" w:eastAsia="FangSong" w:cs="FangSong"/>
          <w:sz w:val="30"/>
          <w:szCs w:val="30"/>
          <w:spacing w:val="17"/>
        </w:rPr>
        <w:t>公开的；</w:t>
      </w:r>
    </w:p>
    <w:p>
      <w:pPr>
        <w:ind w:left="6429"/>
        <w:spacing w:before="70"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4"/>
        <w:gridCol w:w="7604"/>
        <w:gridCol w:w="4901"/>
      </w:tblGrid>
      <w:tr>
        <w:trPr>
          <w:trHeight w:val="553" w:hRule="atLeast"/>
        </w:trPr>
        <w:tc>
          <w:tcPr>
            <w:tcW w:w="1454" w:type="dxa"/>
            <w:vAlign w:val="top"/>
          </w:tcPr>
          <w:p>
            <w:pPr>
              <w:pStyle w:val="TableText"/>
              <w:ind w:left="238"/>
              <w:spacing w:before="162" w:line="220" w:lineRule="auto"/>
              <w:rPr/>
            </w:pPr>
            <w:r>
              <w:rPr>
                <w:b/>
                <w:bCs/>
                <w:spacing w:val="-5"/>
              </w:rPr>
              <w:t>违法程度</w:t>
            </w:r>
          </w:p>
        </w:tc>
        <w:tc>
          <w:tcPr>
            <w:tcW w:w="7604" w:type="dxa"/>
            <w:vAlign w:val="top"/>
          </w:tcPr>
          <w:p>
            <w:pPr>
              <w:pStyle w:val="TableText"/>
              <w:ind w:left="3314"/>
              <w:spacing w:before="162" w:line="220" w:lineRule="auto"/>
              <w:rPr/>
            </w:pPr>
            <w:r>
              <w:rPr>
                <w:b/>
                <w:bCs/>
                <w:spacing w:val="-5"/>
              </w:rPr>
              <w:t>情节后果</w:t>
            </w:r>
          </w:p>
        </w:tc>
        <w:tc>
          <w:tcPr>
            <w:tcW w:w="4901" w:type="dxa"/>
            <w:vAlign w:val="top"/>
          </w:tcPr>
          <w:p>
            <w:pPr>
              <w:pStyle w:val="TableText"/>
              <w:ind w:left="1870"/>
              <w:spacing w:before="15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876" w:hRule="atLeast"/>
        </w:trPr>
        <w:tc>
          <w:tcPr>
            <w:tcW w:w="1454" w:type="dxa"/>
            <w:vAlign w:val="top"/>
          </w:tcPr>
          <w:p>
            <w:pPr>
              <w:rPr>
                <w:rFonts w:ascii="Arial"/>
                <w:sz w:val="21"/>
              </w:rPr>
            </w:pPr>
            <w:r/>
          </w:p>
          <w:p>
            <w:pPr>
              <w:pStyle w:val="TableText"/>
              <w:ind w:left="478"/>
              <w:spacing w:before="78" w:line="221" w:lineRule="auto"/>
              <w:rPr/>
            </w:pPr>
            <w:r>
              <w:rPr>
                <w:b/>
                <w:bCs/>
                <w:spacing w:val="-10"/>
              </w:rPr>
              <w:t>一般</w:t>
            </w:r>
          </w:p>
        </w:tc>
        <w:tc>
          <w:tcPr>
            <w:tcW w:w="7604" w:type="dxa"/>
            <w:vAlign w:val="top"/>
          </w:tcPr>
          <w:p>
            <w:pPr>
              <w:pStyle w:val="TableText"/>
              <w:ind w:left="100" w:right="192" w:firstLine="90"/>
              <w:spacing w:before="130" w:line="283" w:lineRule="auto"/>
              <w:rPr/>
            </w:pPr>
            <w:r>
              <w:rPr/>
              <w:t>医疗机构未将相关信息纳入院务公开范围向社会公开，经责令限期改</w:t>
            </w:r>
            <w:r>
              <w:rPr>
                <w:spacing w:val="9"/>
              </w:rPr>
              <w:t xml:space="preserve"> </w:t>
            </w:r>
            <w:r>
              <w:rPr>
                <w:spacing w:val="2"/>
              </w:rPr>
              <w:t>正，逾期不改的</w:t>
            </w:r>
          </w:p>
        </w:tc>
        <w:tc>
          <w:tcPr>
            <w:tcW w:w="4901" w:type="dxa"/>
            <w:vAlign w:val="top"/>
          </w:tcPr>
          <w:p>
            <w:pPr>
              <w:pStyle w:val="TableText"/>
              <w:ind w:left="116" w:right="33" w:hanging="70"/>
              <w:spacing w:before="140" w:line="279" w:lineRule="auto"/>
              <w:rPr/>
            </w:pPr>
            <w:r>
              <w:rPr/>
              <w:t>暂停或者停止相关医疗技术临床应用，予以警</w:t>
            </w:r>
            <w:r>
              <w:rPr>
                <w:spacing w:val="9"/>
              </w:rPr>
              <w:t xml:space="preserve"> </w:t>
            </w:r>
            <w:r>
              <w:rPr/>
              <w:t>告，并处以三千元以下罚款</w:t>
            </w:r>
          </w:p>
        </w:tc>
      </w:tr>
      <w:tr>
        <w:trPr>
          <w:trHeight w:val="891" w:hRule="atLeast"/>
        </w:trPr>
        <w:tc>
          <w:tcPr>
            <w:tcW w:w="1454" w:type="dxa"/>
            <w:vAlign w:val="top"/>
          </w:tcPr>
          <w:p>
            <w:pPr>
              <w:spacing w:line="253" w:lineRule="auto"/>
              <w:rPr>
                <w:rFonts w:ascii="Arial"/>
                <w:sz w:val="21"/>
              </w:rPr>
            </w:pPr>
            <w:r/>
          </w:p>
          <w:p>
            <w:pPr>
              <w:pStyle w:val="TableText"/>
              <w:ind w:left="478"/>
              <w:spacing w:before="78" w:line="220" w:lineRule="auto"/>
              <w:rPr/>
            </w:pPr>
            <w:r>
              <w:rPr>
                <w:b/>
                <w:bCs/>
                <w:spacing w:val="-6"/>
              </w:rPr>
              <w:t>严重</w:t>
            </w:r>
          </w:p>
        </w:tc>
        <w:tc>
          <w:tcPr>
            <w:tcW w:w="7604" w:type="dxa"/>
            <w:vAlign w:val="top"/>
          </w:tcPr>
          <w:p>
            <w:pPr>
              <w:spacing w:line="254" w:lineRule="auto"/>
              <w:rPr>
                <w:rFonts w:ascii="Arial"/>
                <w:sz w:val="21"/>
              </w:rPr>
            </w:pPr>
            <w:r/>
          </w:p>
          <w:p>
            <w:pPr>
              <w:pStyle w:val="TableText"/>
              <w:ind w:left="71"/>
              <w:spacing w:before="78" w:line="219" w:lineRule="auto"/>
              <w:rPr/>
            </w:pPr>
            <w:r>
              <w:rPr/>
              <w:t>医疗机构未将相关信息纳入院务公开范围向社会公开，造成严重后果的</w:t>
            </w:r>
          </w:p>
        </w:tc>
        <w:tc>
          <w:tcPr>
            <w:tcW w:w="4901" w:type="dxa"/>
            <w:vAlign w:val="top"/>
          </w:tcPr>
          <w:p>
            <w:pPr>
              <w:pStyle w:val="TableText"/>
              <w:ind w:left="126" w:right="33" w:hanging="80"/>
              <w:spacing w:before="134" w:line="287" w:lineRule="auto"/>
              <w:rPr/>
            </w:pPr>
            <w:r>
              <w:rPr/>
              <w:t>暂停或者停止相关医疗技术临床应用，给予警</w:t>
            </w:r>
            <w:r>
              <w:rPr>
                <w:spacing w:val="9"/>
              </w:rPr>
              <w:t xml:space="preserve"> </w:t>
            </w:r>
            <w:r>
              <w:rPr/>
              <w:t>告，处以三千元以上三万元以下罚款</w:t>
            </w:r>
          </w:p>
        </w:tc>
      </w:tr>
    </w:tbl>
    <w:p>
      <w:pPr>
        <w:pStyle w:val="BodyText"/>
        <w:rPr/>
      </w:pPr>
      <w:r/>
    </w:p>
    <w:p>
      <w:pPr>
        <w:sectPr>
          <w:footerReference w:type="default" r:id="rId374"/>
          <w:pgSz w:w="16830" w:h="11900"/>
          <w:pgMar w:top="1011" w:right="1434" w:bottom="1117" w:left="1425" w:header="0" w:footer="784" w:gutter="0"/>
        </w:sectPr>
        <w:rPr/>
      </w:pP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ind w:left="639"/>
        <w:spacing w:before="101" w:line="220" w:lineRule="auto"/>
        <w:outlineLvl w:val="1"/>
        <w:rPr>
          <w:rFonts w:ascii="FangSong" w:hAnsi="FangSong" w:eastAsia="FangSong" w:cs="FangSong"/>
          <w:sz w:val="31"/>
          <w:szCs w:val="31"/>
        </w:rPr>
      </w:pPr>
      <w:bookmarkStart w:name="bookmark1027" w:id="396"/>
      <w:bookmarkEnd w:id="396"/>
      <w:bookmarkStart w:name="bookmark361" w:id="397"/>
      <w:bookmarkEnd w:id="397"/>
      <w:r>
        <w:rPr>
          <w:rFonts w:ascii="FangSong" w:hAnsi="FangSong" w:eastAsia="FangSong" w:cs="FangSong"/>
          <w:sz w:val="31"/>
          <w:szCs w:val="31"/>
          <w:b/>
          <w:bCs/>
          <w:spacing w:val="11"/>
        </w:rPr>
        <w:t>第三百二十八条医疗机构未按要求保障医务人员接受医疗技术临床应用规范化培训权益的</w:t>
      </w:r>
    </w:p>
    <w:p>
      <w:pPr>
        <w:ind w:left="634"/>
        <w:spacing w:before="127"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5" w:firstLine="635"/>
        <w:spacing w:before="64" w:line="262" w:lineRule="auto"/>
        <w:jc w:val="both"/>
        <w:rPr>
          <w:rFonts w:ascii="FangSong" w:hAnsi="FangSong" w:eastAsia="FangSong" w:cs="FangSong"/>
          <w:sz w:val="31"/>
          <w:szCs w:val="31"/>
        </w:rPr>
      </w:pPr>
      <w:r>
        <w:rPr>
          <w:rFonts w:ascii="FangSong" w:hAnsi="FangSong" w:eastAsia="FangSong" w:cs="FangSong"/>
          <w:sz w:val="31"/>
          <w:szCs w:val="31"/>
          <w:spacing w:val="14"/>
        </w:rPr>
        <w:t>《医疗技术临床应用管理办法》第四十一条第(八)项</w:t>
      </w:r>
      <w:r>
        <w:rPr>
          <w:rFonts w:ascii="FangSong" w:hAnsi="FangSong" w:eastAsia="FangSong" w:cs="FangSong"/>
          <w:sz w:val="31"/>
          <w:szCs w:val="31"/>
          <w:spacing w:val="14"/>
        </w:rPr>
        <w:t xml:space="preserve">  </w:t>
      </w:r>
      <w:r>
        <w:rPr>
          <w:rFonts w:ascii="FangSong" w:hAnsi="FangSong" w:eastAsia="FangSong" w:cs="FangSong"/>
          <w:sz w:val="31"/>
          <w:szCs w:val="31"/>
          <w:spacing w:val="14"/>
        </w:rPr>
        <w:t>医疗机构违反本办法规定，有下列</w:t>
      </w:r>
      <w:r>
        <w:rPr>
          <w:rFonts w:ascii="FangSong" w:hAnsi="FangSong" w:eastAsia="FangSong" w:cs="FangSong"/>
          <w:sz w:val="31"/>
          <w:szCs w:val="31"/>
          <w:spacing w:val="13"/>
        </w:rPr>
        <w:t>情形</w:t>
      </w:r>
      <w:r>
        <w:rPr>
          <w:rFonts w:ascii="FangSong" w:hAnsi="FangSong" w:eastAsia="FangSong" w:cs="FangSong"/>
          <w:sz w:val="31"/>
          <w:szCs w:val="31"/>
        </w:rPr>
        <w:t xml:space="preserve"> </w:t>
      </w:r>
      <w:r>
        <w:rPr>
          <w:rFonts w:ascii="FangSong" w:hAnsi="FangSong" w:eastAsia="FangSong" w:cs="FangSong"/>
          <w:sz w:val="31"/>
          <w:szCs w:val="31"/>
          <w:spacing w:val="7"/>
        </w:rPr>
        <w:t>之一的，由县级以上地方卫生行政部门责令限期改正；逾期不改的，暂停或者停</w:t>
      </w:r>
      <w:r>
        <w:rPr>
          <w:rFonts w:ascii="FangSong" w:hAnsi="FangSong" w:eastAsia="FangSong" w:cs="FangSong"/>
          <w:sz w:val="31"/>
          <w:szCs w:val="31"/>
          <w:spacing w:val="6"/>
        </w:rPr>
        <w:t>止相关医疗技术临床</w:t>
      </w:r>
      <w:r>
        <w:rPr>
          <w:rFonts w:ascii="FangSong" w:hAnsi="FangSong" w:eastAsia="FangSong" w:cs="FangSong"/>
          <w:sz w:val="31"/>
          <w:szCs w:val="31"/>
        </w:rPr>
        <w:t xml:space="preserve"> </w:t>
      </w:r>
      <w:r>
        <w:rPr>
          <w:rFonts w:ascii="FangSong" w:hAnsi="FangSong" w:eastAsia="FangSong" w:cs="FangSong"/>
          <w:sz w:val="31"/>
          <w:szCs w:val="31"/>
          <w:spacing w:val="7"/>
        </w:rPr>
        <w:t>应用，给予警告，并处以三千元以下罚款；造成严重后果的，处以三千元以上三万元</w:t>
      </w:r>
      <w:r>
        <w:rPr>
          <w:rFonts w:ascii="FangSong" w:hAnsi="FangSong" w:eastAsia="FangSong" w:cs="FangSong"/>
          <w:sz w:val="31"/>
          <w:szCs w:val="31"/>
          <w:spacing w:val="6"/>
        </w:rPr>
        <w:t>以下罚款，并对</w:t>
      </w:r>
      <w:r>
        <w:rPr>
          <w:rFonts w:ascii="FangSong" w:hAnsi="FangSong" w:eastAsia="FangSong" w:cs="FangSong"/>
          <w:sz w:val="31"/>
          <w:szCs w:val="31"/>
        </w:rPr>
        <w:t xml:space="preserve"> </w:t>
      </w:r>
      <w:r>
        <w:rPr>
          <w:rFonts w:ascii="FangSong" w:hAnsi="FangSong" w:eastAsia="FangSong" w:cs="FangSong"/>
          <w:sz w:val="31"/>
          <w:szCs w:val="31"/>
          <w:spacing w:val="5"/>
        </w:rPr>
        <w:t>医疗机构主要负责人、负有责任的主管人员和其他直接责任人员依法给予处</w:t>
      </w:r>
      <w:r>
        <w:rPr>
          <w:rFonts w:ascii="FangSong" w:hAnsi="FangSong" w:eastAsia="FangSong" w:cs="FangSong"/>
          <w:sz w:val="31"/>
          <w:szCs w:val="31"/>
          <w:spacing w:val="4"/>
        </w:rPr>
        <w:t>分：</w:t>
      </w:r>
    </w:p>
    <w:p>
      <w:pPr>
        <w:ind w:left="785"/>
        <w:spacing w:before="1" w:line="220" w:lineRule="auto"/>
        <w:rPr>
          <w:rFonts w:ascii="FangSong" w:hAnsi="FangSong" w:eastAsia="FangSong" w:cs="FangSong"/>
          <w:sz w:val="31"/>
          <w:szCs w:val="31"/>
        </w:rPr>
      </w:pPr>
      <w:r>
        <w:rPr>
          <w:rFonts w:ascii="FangSong" w:hAnsi="FangSong" w:eastAsia="FangSong" w:cs="FangSong"/>
          <w:sz w:val="31"/>
          <w:szCs w:val="31"/>
          <w:spacing w:val="14"/>
        </w:rPr>
        <w:t>(八)未按要求保障医务人员接受医疗技术临床应用规范化培训权益的</w:t>
      </w:r>
    </w:p>
    <w:p>
      <w:pPr>
        <w:ind w:left="6419"/>
        <w:spacing w:before="70"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934"/>
        <w:gridCol w:w="4512"/>
      </w:tblGrid>
      <w:tr>
        <w:trPr>
          <w:trHeight w:val="553" w:hRule="atLeast"/>
        </w:trPr>
        <w:tc>
          <w:tcPr>
            <w:tcW w:w="1424" w:type="dxa"/>
            <w:vAlign w:val="top"/>
          </w:tcPr>
          <w:p>
            <w:pPr>
              <w:pStyle w:val="TableText"/>
              <w:ind w:left="208"/>
              <w:spacing w:before="152" w:line="220" w:lineRule="auto"/>
              <w:rPr>
                <w:sz w:val="25"/>
                <w:szCs w:val="25"/>
              </w:rPr>
            </w:pPr>
            <w:r>
              <w:rPr>
                <w:sz w:val="25"/>
                <w:szCs w:val="25"/>
                <w:b/>
                <w:bCs/>
                <w:spacing w:val="-5"/>
              </w:rPr>
              <w:t>违法程度</w:t>
            </w:r>
          </w:p>
        </w:tc>
        <w:tc>
          <w:tcPr>
            <w:tcW w:w="7934" w:type="dxa"/>
            <w:vAlign w:val="top"/>
          </w:tcPr>
          <w:p>
            <w:pPr>
              <w:pStyle w:val="TableText"/>
              <w:ind w:left="3464"/>
              <w:spacing w:before="152" w:line="220" w:lineRule="auto"/>
              <w:rPr>
                <w:sz w:val="25"/>
                <w:szCs w:val="25"/>
              </w:rPr>
            </w:pPr>
            <w:r>
              <w:rPr>
                <w:sz w:val="25"/>
                <w:szCs w:val="25"/>
                <w:b/>
                <w:bCs/>
                <w:spacing w:val="-5"/>
              </w:rPr>
              <w:t>情节后果</w:t>
            </w:r>
          </w:p>
        </w:tc>
        <w:tc>
          <w:tcPr>
            <w:tcW w:w="4512" w:type="dxa"/>
            <w:vAlign w:val="top"/>
          </w:tcPr>
          <w:p>
            <w:pPr>
              <w:pStyle w:val="TableText"/>
              <w:ind w:left="1750"/>
              <w:spacing w:before="149" w:line="218" w:lineRule="auto"/>
              <w:rPr>
                <w:sz w:val="25"/>
                <w:szCs w:val="25"/>
              </w:rPr>
            </w:pPr>
            <w:r>
              <w:rPr>
                <w:sz w:val="25"/>
                <w:szCs w:val="25"/>
                <w:b/>
                <w:bCs/>
                <w:spacing w:val="-5"/>
              </w:rPr>
              <w:t>裁量幅度</w:t>
            </w:r>
          </w:p>
        </w:tc>
      </w:tr>
      <w:tr>
        <w:trPr>
          <w:trHeight w:val="876" w:hRule="atLeast"/>
        </w:trPr>
        <w:tc>
          <w:tcPr>
            <w:tcW w:w="1424" w:type="dxa"/>
            <w:vAlign w:val="top"/>
          </w:tcPr>
          <w:p>
            <w:pPr>
              <w:pStyle w:val="TableText"/>
              <w:ind w:left="458"/>
              <w:spacing w:before="320" w:line="221" w:lineRule="auto"/>
              <w:rPr>
                <w:sz w:val="25"/>
                <w:szCs w:val="25"/>
              </w:rPr>
            </w:pPr>
            <w:r>
              <w:rPr>
                <w:sz w:val="25"/>
                <w:szCs w:val="25"/>
                <w:b/>
                <w:bCs/>
                <w:spacing w:val="-10"/>
              </w:rPr>
              <w:t>一般</w:t>
            </w:r>
          </w:p>
        </w:tc>
        <w:tc>
          <w:tcPr>
            <w:tcW w:w="7934" w:type="dxa"/>
            <w:vAlign w:val="top"/>
          </w:tcPr>
          <w:p>
            <w:pPr>
              <w:pStyle w:val="TableText"/>
              <w:ind w:left="109" w:hanging="88"/>
              <w:spacing w:before="161" w:line="260" w:lineRule="auto"/>
              <w:rPr>
                <w:sz w:val="25"/>
                <w:szCs w:val="25"/>
              </w:rPr>
            </w:pPr>
            <w:r>
              <w:rPr>
                <w:sz w:val="25"/>
                <w:szCs w:val="25"/>
                <w:spacing w:val="-3"/>
              </w:rPr>
              <w:t>医疗机构未按要求保障医务人员接受医疗技术临床应用规范化培训</w:t>
            </w:r>
            <w:r>
              <w:rPr>
                <w:sz w:val="25"/>
                <w:szCs w:val="25"/>
                <w:spacing w:val="-4"/>
              </w:rPr>
              <w:t>权益，</w:t>
            </w:r>
            <w:r>
              <w:rPr>
                <w:sz w:val="25"/>
                <w:szCs w:val="25"/>
              </w:rPr>
              <w:t xml:space="preserve"> </w:t>
            </w:r>
            <w:r>
              <w:rPr>
                <w:sz w:val="25"/>
                <w:szCs w:val="25"/>
                <w:spacing w:val="-2"/>
              </w:rPr>
              <w:t>经责令限期改正，逾期不改的</w:t>
            </w:r>
          </w:p>
        </w:tc>
        <w:tc>
          <w:tcPr>
            <w:tcW w:w="4512" w:type="dxa"/>
            <w:vAlign w:val="top"/>
          </w:tcPr>
          <w:p>
            <w:pPr>
              <w:pStyle w:val="TableText"/>
              <w:ind w:left="116" w:right="2" w:hanging="99"/>
              <w:spacing w:before="161" w:line="260" w:lineRule="auto"/>
              <w:rPr>
                <w:sz w:val="25"/>
                <w:szCs w:val="25"/>
              </w:rPr>
            </w:pPr>
            <w:r>
              <w:rPr>
                <w:sz w:val="25"/>
                <w:szCs w:val="25"/>
                <w:spacing w:val="-1"/>
              </w:rPr>
              <w:t>暂停或者停止相关医疗技术临床应用，予</w:t>
            </w:r>
            <w:r>
              <w:rPr>
                <w:sz w:val="25"/>
                <w:szCs w:val="25"/>
              </w:rPr>
              <w:t xml:space="preserve"> </w:t>
            </w:r>
            <w:r>
              <w:rPr>
                <w:sz w:val="25"/>
                <w:szCs w:val="25"/>
              </w:rPr>
              <w:t>以警告，并处以三千元以下罚款</w:t>
            </w:r>
          </w:p>
        </w:tc>
      </w:tr>
      <w:tr>
        <w:trPr>
          <w:trHeight w:val="881" w:hRule="atLeast"/>
        </w:trPr>
        <w:tc>
          <w:tcPr>
            <w:tcW w:w="1424" w:type="dxa"/>
            <w:vAlign w:val="top"/>
          </w:tcPr>
          <w:p>
            <w:pPr>
              <w:rPr>
                <w:rFonts w:ascii="Arial"/>
                <w:sz w:val="21"/>
              </w:rPr>
            </w:pPr>
            <w:r/>
          </w:p>
          <w:p>
            <w:pPr>
              <w:pStyle w:val="TableText"/>
              <w:ind w:left="458"/>
              <w:spacing w:before="82" w:line="220" w:lineRule="auto"/>
              <w:rPr>
                <w:sz w:val="25"/>
                <w:szCs w:val="25"/>
              </w:rPr>
            </w:pPr>
            <w:r>
              <w:rPr>
                <w:sz w:val="25"/>
                <w:szCs w:val="25"/>
                <w:b/>
                <w:bCs/>
                <w:spacing w:val="-6"/>
              </w:rPr>
              <w:t>严重</w:t>
            </w:r>
          </w:p>
        </w:tc>
        <w:tc>
          <w:tcPr>
            <w:tcW w:w="7934" w:type="dxa"/>
            <w:vAlign w:val="top"/>
          </w:tcPr>
          <w:p>
            <w:pPr>
              <w:pStyle w:val="TableText"/>
              <w:ind w:left="109" w:hanging="88"/>
              <w:spacing w:before="174" w:line="257" w:lineRule="auto"/>
              <w:rPr>
                <w:sz w:val="25"/>
                <w:szCs w:val="25"/>
              </w:rPr>
            </w:pPr>
            <w:r>
              <w:rPr>
                <w:sz w:val="25"/>
                <w:szCs w:val="25"/>
                <w:spacing w:val="-3"/>
              </w:rPr>
              <w:t>医疗机构未按要求保障医务人员接受医疗技术临床应用规范化培训</w:t>
            </w:r>
            <w:r>
              <w:rPr>
                <w:sz w:val="25"/>
                <w:szCs w:val="25"/>
                <w:spacing w:val="-4"/>
              </w:rPr>
              <w:t>权益，</w:t>
            </w:r>
            <w:r>
              <w:rPr>
                <w:sz w:val="25"/>
                <w:szCs w:val="25"/>
              </w:rPr>
              <w:t xml:space="preserve"> </w:t>
            </w:r>
            <w:r>
              <w:rPr>
                <w:sz w:val="25"/>
                <w:szCs w:val="25"/>
                <w:spacing w:val="-1"/>
              </w:rPr>
              <w:t>造成严重后果的</w:t>
            </w:r>
          </w:p>
        </w:tc>
        <w:tc>
          <w:tcPr>
            <w:tcW w:w="4512" w:type="dxa"/>
            <w:vAlign w:val="top"/>
          </w:tcPr>
          <w:p>
            <w:pPr>
              <w:pStyle w:val="TableText"/>
              <w:ind w:left="17" w:right="2"/>
              <w:spacing w:before="145" w:line="268" w:lineRule="auto"/>
              <w:rPr>
                <w:sz w:val="25"/>
                <w:szCs w:val="25"/>
              </w:rPr>
            </w:pPr>
            <w:r>
              <w:rPr>
                <w:sz w:val="25"/>
                <w:szCs w:val="25"/>
                <w:spacing w:val="-1"/>
              </w:rPr>
              <w:t>暂停或者停止相关医疗技术临床应用，给</w:t>
            </w:r>
            <w:r>
              <w:rPr>
                <w:sz w:val="25"/>
                <w:szCs w:val="25"/>
              </w:rPr>
              <w:t xml:space="preserve"> </w:t>
            </w:r>
            <w:r>
              <w:rPr>
                <w:sz w:val="25"/>
                <w:szCs w:val="25"/>
                <w:spacing w:val="-1"/>
              </w:rPr>
              <w:t>予警告，处以三千元以上三万元以下罚款</w:t>
            </w:r>
          </w:p>
        </w:tc>
      </w:tr>
    </w:tbl>
    <w:p>
      <w:pPr>
        <w:pStyle w:val="BodyText"/>
        <w:spacing w:line="424" w:lineRule="auto"/>
        <w:rPr/>
      </w:pPr>
      <w:r/>
    </w:p>
    <w:p>
      <w:pPr>
        <w:ind w:left="9" w:right="12" w:firstLine="629"/>
        <w:spacing w:before="101" w:line="266" w:lineRule="auto"/>
        <w:rPr>
          <w:rFonts w:ascii="FangSong" w:hAnsi="FangSong" w:eastAsia="FangSong" w:cs="FangSong"/>
          <w:sz w:val="31"/>
          <w:szCs w:val="31"/>
        </w:rPr>
      </w:pPr>
      <w:r>
        <w:rPr>
          <w:rFonts w:ascii="FangSong" w:hAnsi="FangSong" w:eastAsia="FangSong" w:cs="FangSong"/>
          <w:sz w:val="31"/>
          <w:szCs w:val="31"/>
          <w:b/>
          <w:bCs/>
          <w:spacing w:val="11"/>
        </w:rPr>
        <w:t>第三百二十九条医疗机构管理混乱导致医疗技术临床应用造成严重不良后果，并产生重大社会</w:t>
      </w:r>
      <w:r>
        <w:rPr>
          <w:rFonts w:ascii="FangSong" w:hAnsi="FangSong" w:eastAsia="FangSong" w:cs="FangSong"/>
          <w:sz w:val="31"/>
          <w:szCs w:val="31"/>
          <w:spacing w:val="4"/>
        </w:rPr>
        <w:t xml:space="preserve"> </w:t>
      </w:r>
      <w:r>
        <w:rPr>
          <w:rFonts w:ascii="FangSong" w:hAnsi="FangSong" w:eastAsia="FangSong" w:cs="FangSong"/>
          <w:sz w:val="31"/>
          <w:szCs w:val="31"/>
          <w:b/>
          <w:bCs/>
        </w:rPr>
        <w:t>影响的</w:t>
      </w:r>
    </w:p>
    <w:p>
      <w:pPr>
        <w:ind w:left="634"/>
        <w:spacing w:before="33"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spacing w:line="222" w:lineRule="auto"/>
        <w:sectPr>
          <w:footerReference w:type="default" r:id="rId375"/>
          <w:pgSz w:w="16830" w:h="11900"/>
          <w:pgMar w:top="1011" w:right="1443" w:bottom="1113" w:left="1434" w:header="0" w:footer="779" w:gutter="0"/>
        </w:sectPr>
        <w:rPr>
          <w:rFonts w:ascii="FangSong" w:hAnsi="FangSong" w:eastAsia="FangSong" w:cs="FangSong"/>
          <w:sz w:val="27"/>
          <w:szCs w:val="27"/>
        </w:rPr>
      </w:pPr>
    </w:p>
    <w:p>
      <w:pPr>
        <w:pStyle w:val="BodyText"/>
        <w:spacing w:line="258" w:lineRule="auto"/>
        <w:rPr/>
      </w:pPr>
      <w:r/>
    </w:p>
    <w:p>
      <w:pPr>
        <w:pStyle w:val="BodyText"/>
        <w:spacing w:line="259" w:lineRule="auto"/>
        <w:rPr/>
      </w:pPr>
      <w:r/>
    </w:p>
    <w:p>
      <w:pPr>
        <w:pStyle w:val="BodyText"/>
        <w:spacing w:line="259" w:lineRule="auto"/>
        <w:rPr/>
      </w:pPr>
      <w:r/>
    </w:p>
    <w:p>
      <w:pPr>
        <w:ind w:left="25" w:right="28" w:firstLine="609"/>
        <w:spacing w:before="98" w:line="272" w:lineRule="auto"/>
        <w:jc w:val="both"/>
        <w:rPr>
          <w:rFonts w:ascii="FangSong" w:hAnsi="FangSong" w:eastAsia="FangSong" w:cs="FangSong"/>
          <w:sz w:val="30"/>
          <w:szCs w:val="30"/>
        </w:rPr>
      </w:pPr>
      <w:bookmarkStart w:name="bookmark1028" w:id="398"/>
      <w:bookmarkEnd w:id="398"/>
      <w:r>
        <w:rPr>
          <w:rFonts w:ascii="FangSong" w:hAnsi="FangSong" w:eastAsia="FangSong" w:cs="FangSong"/>
          <w:sz w:val="30"/>
          <w:szCs w:val="30"/>
          <w:spacing w:val="16"/>
        </w:rPr>
        <w:t>《医疗技术临床应用管理办法》第四十四条</w:t>
      </w:r>
      <w:r>
        <w:rPr>
          <w:rFonts w:ascii="FangSong" w:hAnsi="FangSong" w:eastAsia="FangSong" w:cs="FangSong"/>
          <w:sz w:val="30"/>
          <w:szCs w:val="30"/>
          <w:spacing w:val="16"/>
        </w:rPr>
        <w:t xml:space="preserve">  </w:t>
      </w:r>
      <w:r>
        <w:rPr>
          <w:rFonts w:ascii="FangSong" w:hAnsi="FangSong" w:eastAsia="FangSong" w:cs="FangSong"/>
          <w:sz w:val="30"/>
          <w:szCs w:val="30"/>
          <w:spacing w:val="16"/>
        </w:rPr>
        <w:t>医疗机构管理混乱导致医疗技术临床应用造成严重</w:t>
      </w:r>
      <w:r>
        <w:rPr>
          <w:rFonts w:ascii="FangSong" w:hAnsi="FangSong" w:eastAsia="FangSong" w:cs="FangSong"/>
          <w:sz w:val="30"/>
          <w:szCs w:val="30"/>
          <w:spacing w:val="17"/>
        </w:rPr>
        <w:t xml:space="preserve"> </w:t>
      </w:r>
      <w:r>
        <w:rPr>
          <w:rFonts w:ascii="FangSong" w:hAnsi="FangSong" w:eastAsia="FangSong" w:cs="FangSong"/>
          <w:sz w:val="30"/>
          <w:szCs w:val="30"/>
          <w:spacing w:val="16"/>
        </w:rPr>
        <w:t>不良后果，并产生重大社会影响的，由县级以上地方卫生行政部门责令限期整改，并给予警告；逾期</w:t>
      </w:r>
      <w:r>
        <w:rPr>
          <w:rFonts w:ascii="FangSong" w:hAnsi="FangSong" w:eastAsia="FangSong" w:cs="FangSong"/>
          <w:sz w:val="30"/>
          <w:szCs w:val="30"/>
          <w:spacing w:val="18"/>
        </w:rPr>
        <w:t xml:space="preserve"> </w:t>
      </w:r>
      <w:r>
        <w:rPr>
          <w:rFonts w:ascii="FangSong" w:hAnsi="FangSong" w:eastAsia="FangSong" w:cs="FangSong"/>
          <w:sz w:val="30"/>
          <w:szCs w:val="30"/>
          <w:spacing w:val="16"/>
        </w:rPr>
        <w:t>不改的，给予三万元以下罚款，并对医疗机构主要负责人、负有责任的主管人员和其</w:t>
      </w:r>
      <w:r>
        <w:rPr>
          <w:rFonts w:ascii="FangSong" w:hAnsi="FangSong" w:eastAsia="FangSong" w:cs="FangSong"/>
          <w:sz w:val="30"/>
          <w:szCs w:val="30"/>
          <w:spacing w:val="15"/>
        </w:rPr>
        <w:t>他直接责任人员</w:t>
      </w:r>
      <w:r>
        <w:rPr>
          <w:rFonts w:ascii="FangSong" w:hAnsi="FangSong" w:eastAsia="FangSong" w:cs="FangSong"/>
          <w:sz w:val="30"/>
          <w:szCs w:val="30"/>
        </w:rPr>
        <w:t xml:space="preserve"> </w:t>
      </w:r>
      <w:r>
        <w:rPr>
          <w:rFonts w:ascii="FangSong" w:hAnsi="FangSong" w:eastAsia="FangSong" w:cs="FangSong"/>
          <w:sz w:val="30"/>
          <w:szCs w:val="30"/>
          <w:spacing w:val="11"/>
        </w:rPr>
        <w:t>依法给予处分。</w:t>
      </w:r>
    </w:p>
    <w:p>
      <w:pPr>
        <w:ind w:left="6428"/>
        <w:spacing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8473"/>
        <w:gridCol w:w="4002"/>
      </w:tblGrid>
      <w:tr>
        <w:trPr>
          <w:trHeight w:val="553" w:hRule="atLeast"/>
        </w:trPr>
        <w:tc>
          <w:tcPr>
            <w:tcW w:w="1444" w:type="dxa"/>
            <w:vAlign w:val="top"/>
          </w:tcPr>
          <w:p>
            <w:pPr>
              <w:pStyle w:val="TableText"/>
              <w:ind w:left="218"/>
              <w:spacing w:before="152" w:line="220" w:lineRule="auto"/>
              <w:rPr>
                <w:sz w:val="25"/>
                <w:szCs w:val="25"/>
              </w:rPr>
            </w:pPr>
            <w:r>
              <w:rPr>
                <w:sz w:val="25"/>
                <w:szCs w:val="25"/>
                <w:b/>
                <w:bCs/>
                <w:spacing w:val="-5"/>
              </w:rPr>
              <w:t>违法程度</w:t>
            </w:r>
          </w:p>
        </w:tc>
        <w:tc>
          <w:tcPr>
            <w:tcW w:w="8473" w:type="dxa"/>
            <w:vAlign w:val="top"/>
          </w:tcPr>
          <w:p>
            <w:pPr>
              <w:pStyle w:val="TableText"/>
              <w:ind w:left="3734"/>
              <w:spacing w:before="152" w:line="220" w:lineRule="auto"/>
              <w:rPr>
                <w:sz w:val="25"/>
                <w:szCs w:val="25"/>
              </w:rPr>
            </w:pPr>
            <w:r>
              <w:rPr>
                <w:sz w:val="25"/>
                <w:szCs w:val="25"/>
                <w:b/>
                <w:bCs/>
                <w:spacing w:val="-5"/>
              </w:rPr>
              <w:t>情节后果</w:t>
            </w:r>
          </w:p>
        </w:tc>
        <w:tc>
          <w:tcPr>
            <w:tcW w:w="4002" w:type="dxa"/>
            <w:vAlign w:val="top"/>
          </w:tcPr>
          <w:p>
            <w:pPr>
              <w:pStyle w:val="TableText"/>
              <w:ind w:left="1461"/>
              <w:spacing w:before="149" w:line="218" w:lineRule="auto"/>
              <w:rPr>
                <w:sz w:val="25"/>
                <w:szCs w:val="25"/>
              </w:rPr>
            </w:pPr>
            <w:r>
              <w:rPr>
                <w:sz w:val="25"/>
                <w:szCs w:val="25"/>
                <w:b/>
                <w:bCs/>
                <w:spacing w:val="-5"/>
              </w:rPr>
              <w:t>裁量幅度</w:t>
            </w:r>
          </w:p>
        </w:tc>
      </w:tr>
      <w:tr>
        <w:trPr>
          <w:trHeight w:val="886" w:hRule="atLeast"/>
        </w:trPr>
        <w:tc>
          <w:tcPr>
            <w:tcW w:w="1444" w:type="dxa"/>
            <w:vAlign w:val="top"/>
          </w:tcPr>
          <w:p>
            <w:pPr>
              <w:pStyle w:val="TableText"/>
              <w:ind w:left="468"/>
              <w:spacing w:before="320" w:line="221" w:lineRule="auto"/>
              <w:rPr>
                <w:sz w:val="25"/>
                <w:szCs w:val="25"/>
              </w:rPr>
            </w:pPr>
            <w:r>
              <w:rPr>
                <w:sz w:val="25"/>
                <w:szCs w:val="25"/>
                <w:b/>
                <w:bCs/>
                <w:spacing w:val="-10"/>
              </w:rPr>
              <w:t>一般</w:t>
            </w:r>
          </w:p>
        </w:tc>
        <w:tc>
          <w:tcPr>
            <w:tcW w:w="8473" w:type="dxa"/>
            <w:vAlign w:val="top"/>
          </w:tcPr>
          <w:p>
            <w:pPr>
              <w:pStyle w:val="TableText"/>
              <w:spacing w:before="150" w:line="219" w:lineRule="auto"/>
              <w:jc w:val="right"/>
              <w:rPr>
                <w:sz w:val="25"/>
                <w:szCs w:val="25"/>
              </w:rPr>
            </w:pPr>
            <w:r>
              <w:rPr>
                <w:sz w:val="25"/>
                <w:szCs w:val="25"/>
                <w:spacing w:val="-1"/>
              </w:rPr>
              <w:t>医疗机构管理混乱导致医疗技术临床应用</w:t>
            </w:r>
            <w:r>
              <w:rPr>
                <w:sz w:val="25"/>
                <w:szCs w:val="25"/>
                <w:spacing w:val="-2"/>
              </w:rPr>
              <w:t>造成严重不良后果，并产生重大社会</w:t>
            </w:r>
          </w:p>
          <w:p>
            <w:pPr>
              <w:pStyle w:val="TableText"/>
              <w:ind w:left="100"/>
              <w:spacing w:before="157" w:line="200" w:lineRule="auto"/>
              <w:rPr>
                <w:sz w:val="25"/>
                <w:szCs w:val="25"/>
              </w:rPr>
            </w:pPr>
            <w:r>
              <w:rPr>
                <w:sz w:val="25"/>
                <w:szCs w:val="25"/>
                <w:color w:val="606050"/>
                <w:spacing w:val="6"/>
              </w:rPr>
              <w:t>影响的</w:t>
            </w:r>
          </w:p>
        </w:tc>
        <w:tc>
          <w:tcPr>
            <w:tcW w:w="4002" w:type="dxa"/>
            <w:vAlign w:val="top"/>
          </w:tcPr>
          <w:p>
            <w:pPr>
              <w:pStyle w:val="TableText"/>
              <w:ind w:left="108" w:right="122"/>
              <w:spacing w:before="150" w:line="268" w:lineRule="auto"/>
              <w:rPr>
                <w:sz w:val="25"/>
                <w:szCs w:val="25"/>
              </w:rPr>
            </w:pPr>
            <w:r>
              <w:rPr>
                <w:sz w:val="25"/>
                <w:szCs w:val="25"/>
              </w:rPr>
              <w:t>由县级以上地方卫生行政部门责令</w:t>
            </w:r>
            <w:r>
              <w:rPr>
                <w:sz w:val="25"/>
                <w:szCs w:val="25"/>
                <w:spacing w:val="10"/>
              </w:rPr>
              <w:t xml:space="preserve"> </w:t>
            </w:r>
            <w:r>
              <w:rPr>
                <w:sz w:val="25"/>
                <w:szCs w:val="25"/>
                <w:spacing w:val="1"/>
              </w:rPr>
              <w:t>限期整改，并给予警告</w:t>
            </w:r>
          </w:p>
        </w:tc>
      </w:tr>
      <w:tr>
        <w:trPr>
          <w:trHeight w:val="861" w:hRule="atLeast"/>
        </w:trPr>
        <w:tc>
          <w:tcPr>
            <w:tcW w:w="1444" w:type="dxa"/>
            <w:vAlign w:val="top"/>
          </w:tcPr>
          <w:p>
            <w:pPr>
              <w:spacing w:line="290" w:lineRule="auto"/>
              <w:rPr>
                <w:rFonts w:ascii="Arial"/>
                <w:sz w:val="21"/>
              </w:rPr>
            </w:pPr>
            <w:r/>
          </w:p>
          <w:p>
            <w:pPr>
              <w:pStyle w:val="TableText"/>
              <w:ind w:left="468"/>
              <w:spacing w:before="81" w:line="220" w:lineRule="auto"/>
              <w:rPr>
                <w:sz w:val="25"/>
                <w:szCs w:val="25"/>
              </w:rPr>
            </w:pPr>
            <w:r>
              <w:rPr>
                <w:sz w:val="25"/>
                <w:szCs w:val="25"/>
                <w:b/>
                <w:bCs/>
                <w:spacing w:val="-6"/>
              </w:rPr>
              <w:t>严重</w:t>
            </w:r>
          </w:p>
        </w:tc>
        <w:tc>
          <w:tcPr>
            <w:tcW w:w="8473" w:type="dxa"/>
            <w:vAlign w:val="top"/>
          </w:tcPr>
          <w:p>
            <w:pPr>
              <w:pStyle w:val="TableText"/>
              <w:ind w:left="100" w:hanging="89"/>
              <w:spacing w:before="154" w:line="257" w:lineRule="auto"/>
              <w:rPr>
                <w:sz w:val="25"/>
                <w:szCs w:val="25"/>
              </w:rPr>
            </w:pPr>
            <w:r>
              <w:rPr>
                <w:sz w:val="25"/>
                <w:szCs w:val="25"/>
                <w:spacing w:val="-1"/>
              </w:rPr>
              <w:t>医疗机构管理混乱导致医疗技术临床应用</w:t>
            </w:r>
            <w:r>
              <w:rPr>
                <w:sz w:val="25"/>
                <w:szCs w:val="25"/>
                <w:spacing w:val="-2"/>
              </w:rPr>
              <w:t>造成严重不良后果，并产生重大社会</w:t>
            </w:r>
            <w:r>
              <w:rPr>
                <w:sz w:val="25"/>
                <w:szCs w:val="25"/>
              </w:rPr>
              <w:t xml:space="preserve"> </w:t>
            </w:r>
            <w:r>
              <w:rPr>
                <w:sz w:val="25"/>
                <w:szCs w:val="25"/>
              </w:rPr>
              <w:t>影响，经责令限期改正，逾期不改的</w:t>
            </w:r>
          </w:p>
        </w:tc>
        <w:tc>
          <w:tcPr>
            <w:tcW w:w="4002" w:type="dxa"/>
            <w:vAlign w:val="top"/>
          </w:tcPr>
          <w:p>
            <w:pPr>
              <w:spacing w:line="294" w:lineRule="auto"/>
              <w:rPr>
                <w:rFonts w:ascii="Arial"/>
                <w:sz w:val="21"/>
              </w:rPr>
            </w:pPr>
            <w:r/>
          </w:p>
          <w:p>
            <w:pPr>
              <w:pStyle w:val="TableText"/>
              <w:ind w:left="108"/>
              <w:spacing w:before="81" w:line="220" w:lineRule="auto"/>
              <w:rPr>
                <w:sz w:val="25"/>
                <w:szCs w:val="25"/>
              </w:rPr>
            </w:pPr>
            <w:r>
              <w:rPr>
                <w:sz w:val="25"/>
                <w:szCs w:val="25"/>
                <w:spacing w:val="1"/>
              </w:rPr>
              <w:t>给予三万元以下罚款</w:t>
            </w:r>
          </w:p>
        </w:tc>
      </w:tr>
    </w:tbl>
    <w:p>
      <w:pPr>
        <w:ind w:left="789"/>
        <w:spacing w:before="118" w:line="224" w:lineRule="auto"/>
        <w:rPr>
          <w:rFonts w:ascii="KaiTi" w:hAnsi="KaiTi" w:eastAsia="KaiTi" w:cs="KaiTi"/>
          <w:sz w:val="30"/>
          <w:szCs w:val="30"/>
        </w:rPr>
      </w:pPr>
      <w:r>
        <w:rPr>
          <w:rFonts w:ascii="KaiTi" w:hAnsi="KaiTi" w:eastAsia="KaiTi" w:cs="KaiTi"/>
          <w:sz w:val="30"/>
          <w:szCs w:val="30"/>
          <w:b/>
          <w:bCs/>
          <w:spacing w:val="28"/>
        </w:rPr>
        <w:t>(二十九)《中华人民共和国献血法》</w:t>
      </w:r>
    </w:p>
    <w:p>
      <w:pPr>
        <w:pStyle w:val="BodyText"/>
        <w:spacing w:line="255" w:lineRule="auto"/>
        <w:rPr/>
      </w:pPr>
      <w:r/>
    </w:p>
    <w:p>
      <w:pPr>
        <w:ind w:left="669"/>
        <w:spacing w:before="97" w:line="220" w:lineRule="auto"/>
        <w:rPr>
          <w:rFonts w:ascii="FangSong" w:hAnsi="FangSong" w:eastAsia="FangSong" w:cs="FangSong"/>
          <w:sz w:val="30"/>
          <w:szCs w:val="30"/>
        </w:rPr>
      </w:pPr>
      <w:r>
        <w:rPr>
          <w:rFonts w:ascii="FangSong" w:hAnsi="FangSong" w:eastAsia="FangSong" w:cs="FangSong"/>
          <w:sz w:val="30"/>
          <w:szCs w:val="30"/>
          <w:b/>
          <w:bCs/>
          <w:spacing w:val="28"/>
        </w:rPr>
        <w:t>第三百三十条非法采集血液的</w:t>
      </w:r>
    </w:p>
    <w:p>
      <w:pPr>
        <w:ind w:left="664"/>
        <w:spacing w:before="4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firstLine="639"/>
        <w:spacing w:before="94" w:line="294" w:lineRule="auto"/>
        <w:jc w:val="both"/>
        <w:rPr>
          <w:rFonts w:ascii="FangSong" w:hAnsi="FangSong" w:eastAsia="FangSong" w:cs="FangSong"/>
          <w:sz w:val="24"/>
          <w:szCs w:val="24"/>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《中华人民共和国献血法》第十八条第(一)项</w:t>
      </w:r>
      <w:r>
        <w:rPr>
          <w:rFonts w:ascii="FangSong" w:hAnsi="FangSong" w:eastAsia="FangSong" w:cs="FangSong"/>
          <w:sz w:val="30"/>
          <w:szCs w:val="30"/>
          <w:spacing w:val="19"/>
        </w:rPr>
        <w:t xml:space="preserve">  </w:t>
      </w:r>
      <w:r>
        <w:rPr>
          <w:rFonts w:ascii="FangSong" w:hAnsi="FangSong" w:eastAsia="FangSong" w:cs="FangSong"/>
          <w:sz w:val="30"/>
          <w:szCs w:val="30"/>
          <w:spacing w:val="19"/>
        </w:rPr>
        <w:t>有下列行为之一的，由县级以上地方人民政</w:t>
      </w:r>
      <w:r>
        <w:rPr>
          <w:rFonts w:ascii="FangSong" w:hAnsi="FangSong" w:eastAsia="FangSong" w:cs="FangSong"/>
          <w:sz w:val="30"/>
          <w:szCs w:val="30"/>
          <w:spacing w:val="6"/>
        </w:rPr>
        <w:t xml:space="preserve"> </w:t>
      </w:r>
      <w:r>
        <w:rPr>
          <w:rFonts w:ascii="FangSong" w:hAnsi="FangSong" w:eastAsia="FangSong" w:cs="FangSong"/>
          <w:sz w:val="30"/>
          <w:szCs w:val="30"/>
          <w:spacing w:val="16"/>
        </w:rPr>
        <w:t>府卫生行政部门予以取缔，没收违法所得，可以并处十万元以下的罚款；构成犯罪的，依法追究刑事</w:t>
      </w:r>
      <w:r>
        <w:rPr>
          <w:rFonts w:ascii="FangSong" w:hAnsi="FangSong" w:eastAsia="FangSong" w:cs="FangSong"/>
          <w:sz w:val="30"/>
          <w:szCs w:val="30"/>
          <w:spacing w:val="11"/>
        </w:rPr>
        <w:t xml:space="preserve"> </w:t>
      </w:r>
      <w:r>
        <w:rPr>
          <w:rFonts w:ascii="FangSong" w:hAnsi="FangSong" w:eastAsia="FangSong" w:cs="FangSong"/>
          <w:sz w:val="24"/>
          <w:szCs w:val="24"/>
          <w:spacing w:val="-12"/>
        </w:rPr>
        <w:t>责</w:t>
      </w:r>
      <w:r>
        <w:rPr>
          <w:rFonts w:ascii="FangSong" w:hAnsi="FangSong" w:eastAsia="FangSong" w:cs="FangSong"/>
          <w:sz w:val="24"/>
          <w:szCs w:val="24"/>
          <w:spacing w:val="-18"/>
        </w:rPr>
        <w:t xml:space="preserve"> </w:t>
      </w:r>
      <w:r>
        <w:rPr>
          <w:rFonts w:ascii="FangSong" w:hAnsi="FangSong" w:eastAsia="FangSong" w:cs="FangSong"/>
          <w:sz w:val="24"/>
          <w:szCs w:val="24"/>
          <w:spacing w:val="-12"/>
        </w:rPr>
        <w:t>任</w:t>
      </w:r>
      <w:r>
        <w:rPr>
          <w:rFonts w:ascii="FangSong" w:hAnsi="FangSong" w:eastAsia="FangSong" w:cs="FangSong"/>
          <w:sz w:val="24"/>
          <w:szCs w:val="24"/>
          <w:spacing w:val="-34"/>
        </w:rPr>
        <w:t xml:space="preserve"> </w:t>
      </w:r>
      <w:r>
        <w:rPr>
          <w:rFonts w:ascii="FangSong" w:hAnsi="FangSong" w:eastAsia="FangSong" w:cs="FangSong"/>
          <w:sz w:val="24"/>
          <w:szCs w:val="24"/>
          <w:spacing w:val="-12"/>
        </w:rPr>
        <w:t>：</w:t>
      </w:r>
    </w:p>
    <w:p>
      <w:pPr>
        <w:ind w:left="784"/>
        <w:spacing w:before="15" w:line="222" w:lineRule="auto"/>
        <w:rPr>
          <w:rFonts w:ascii="FangSong" w:hAnsi="FangSong" w:eastAsia="FangSong" w:cs="FangSong"/>
          <w:sz w:val="30"/>
          <w:szCs w:val="30"/>
        </w:rPr>
      </w:pPr>
      <w:r>
        <w:rPr>
          <w:rFonts w:ascii="FangSong" w:hAnsi="FangSong" w:eastAsia="FangSong" w:cs="FangSong"/>
          <w:sz w:val="30"/>
          <w:szCs w:val="30"/>
          <w:spacing w:val="27"/>
        </w:rPr>
        <w:t>(</w:t>
      </w:r>
      <w:r>
        <w:rPr>
          <w:rFonts w:ascii="FangSong" w:hAnsi="FangSong" w:eastAsia="FangSong" w:cs="FangSong"/>
          <w:sz w:val="30"/>
          <w:szCs w:val="30"/>
          <w:spacing w:val="-68"/>
        </w:rPr>
        <w:t xml:space="preserve"> </w:t>
      </w:r>
      <w:r>
        <w:rPr>
          <w:rFonts w:ascii="FangSong" w:hAnsi="FangSong" w:eastAsia="FangSong" w:cs="FangSong"/>
          <w:sz w:val="30"/>
          <w:szCs w:val="30"/>
          <w:spacing w:val="27"/>
        </w:rPr>
        <w:t>一</w:t>
      </w:r>
      <w:r>
        <w:rPr>
          <w:rFonts w:ascii="FangSong" w:hAnsi="FangSong" w:eastAsia="FangSong" w:cs="FangSong"/>
          <w:sz w:val="30"/>
          <w:szCs w:val="30"/>
          <w:spacing w:val="-81"/>
        </w:rPr>
        <w:t xml:space="preserve"> </w:t>
      </w:r>
      <w:r>
        <w:rPr>
          <w:rFonts w:ascii="FangSong" w:hAnsi="FangSong" w:eastAsia="FangSong" w:cs="FangSong"/>
          <w:sz w:val="30"/>
          <w:szCs w:val="30"/>
          <w:spacing w:val="27"/>
        </w:rPr>
        <w:t>)非法采集血液的；</w:t>
      </w:r>
    </w:p>
    <w:p>
      <w:pPr>
        <w:spacing w:line="222" w:lineRule="auto"/>
        <w:sectPr>
          <w:footerReference w:type="default" r:id="rId376"/>
          <w:pgSz w:w="16830" w:h="11900"/>
          <w:pgMar w:top="1011" w:right="1428" w:bottom="1110" w:left="1425" w:header="0" w:footer="767" w:gutter="0"/>
        </w:sectPr>
        <w:rPr>
          <w:rFonts w:ascii="FangSong" w:hAnsi="FangSong" w:eastAsia="FangSong" w:cs="FangSong"/>
          <w:sz w:val="30"/>
          <w:szCs w:val="30"/>
        </w:rPr>
      </w:pPr>
    </w:p>
    <w:p>
      <w:pPr>
        <w:pStyle w:val="BodyText"/>
        <w:spacing w:line="262" w:lineRule="auto"/>
        <w:rPr/>
      </w:pPr>
      <w:r/>
    </w:p>
    <w:p>
      <w:pPr>
        <w:pStyle w:val="BodyText"/>
        <w:spacing w:line="262" w:lineRule="auto"/>
        <w:rPr/>
      </w:pPr>
      <w:r/>
    </w:p>
    <w:p>
      <w:pPr>
        <w:pStyle w:val="BodyText"/>
        <w:spacing w:line="263" w:lineRule="auto"/>
        <w:rPr/>
      </w:pPr>
      <w:r/>
    </w:p>
    <w:p>
      <w:pPr>
        <w:ind w:left="115" w:right="24" w:firstLine="639"/>
        <w:spacing w:before="97" w:line="259" w:lineRule="auto"/>
        <w:rPr>
          <w:rFonts w:ascii="FangSong" w:hAnsi="FangSong" w:eastAsia="FangSong" w:cs="FangSong"/>
          <w:sz w:val="30"/>
          <w:szCs w:val="30"/>
        </w:rPr>
      </w:pPr>
      <w:r>
        <w:rPr>
          <w:rFonts w:ascii="FangSong" w:hAnsi="FangSong" w:eastAsia="FangSong" w:cs="FangSong"/>
          <w:sz w:val="30"/>
          <w:szCs w:val="30"/>
          <w:spacing w:val="13"/>
        </w:rPr>
        <w:t>2.</w:t>
      </w:r>
      <w:r>
        <w:rPr>
          <w:rFonts w:ascii="FangSong" w:hAnsi="FangSong" w:eastAsia="FangSong" w:cs="FangSong"/>
          <w:sz w:val="30"/>
          <w:szCs w:val="30"/>
          <w:spacing w:val="13"/>
        </w:rPr>
        <w:t xml:space="preserve"> </w:t>
      </w:r>
      <w:r>
        <w:rPr>
          <w:rFonts w:ascii="FangSong" w:hAnsi="FangSong" w:eastAsia="FangSong" w:cs="FangSong"/>
          <w:sz w:val="30"/>
          <w:szCs w:val="30"/>
          <w:spacing w:val="13"/>
        </w:rPr>
        <w:t>《中华人民共和国传染病防治法》第七十条第二款</w:t>
      </w:r>
      <w:r>
        <w:rPr>
          <w:rFonts w:ascii="FangSong" w:hAnsi="FangSong" w:eastAsia="FangSong" w:cs="FangSong"/>
          <w:sz w:val="30"/>
          <w:szCs w:val="30"/>
          <w:spacing w:val="50"/>
        </w:rPr>
        <w:t xml:space="preserve">  </w:t>
      </w:r>
      <w:r>
        <w:rPr>
          <w:rFonts w:ascii="FangSong" w:hAnsi="FangSong" w:eastAsia="FangSong" w:cs="FangSong"/>
          <w:sz w:val="30"/>
          <w:szCs w:val="30"/>
          <w:spacing w:val="13"/>
        </w:rPr>
        <w:t>非法采集血液或者组织他人出卖血液的，</w:t>
      </w:r>
      <w:r>
        <w:rPr>
          <w:rFonts w:ascii="FangSong" w:hAnsi="FangSong" w:eastAsia="FangSong" w:cs="FangSong"/>
          <w:sz w:val="30"/>
          <w:szCs w:val="30"/>
        </w:rPr>
        <w:t xml:space="preserve"> </w:t>
      </w:r>
      <w:r>
        <w:rPr>
          <w:rFonts w:ascii="FangSong" w:hAnsi="FangSong" w:eastAsia="FangSong" w:cs="FangSong"/>
          <w:sz w:val="30"/>
          <w:szCs w:val="30"/>
          <w:spacing w:val="17"/>
        </w:rPr>
        <w:t>由县级以上人民政府卫生行政部门予以取缔，没收违法所得，可以并处十万元以下的罚款；构成犯罪</w:t>
      </w:r>
      <w:r>
        <w:rPr>
          <w:rFonts w:ascii="FangSong" w:hAnsi="FangSong" w:eastAsia="FangSong" w:cs="FangSong"/>
          <w:sz w:val="30"/>
          <w:szCs w:val="30"/>
          <w:spacing w:val="2"/>
        </w:rPr>
        <w:t xml:space="preserve"> </w:t>
      </w:r>
      <w:r>
        <w:rPr>
          <w:rFonts w:ascii="FangSong" w:hAnsi="FangSong" w:eastAsia="FangSong" w:cs="FangSong"/>
          <w:sz w:val="30"/>
          <w:szCs w:val="30"/>
          <w:spacing w:val="12"/>
        </w:rPr>
        <w:t>的，依法追究刑事责任。</w:t>
      </w:r>
    </w:p>
    <w:p>
      <w:pPr>
        <w:ind w:left="115" w:right="145" w:firstLine="670"/>
        <w:spacing w:before="62" w:line="256" w:lineRule="auto"/>
        <w:rPr>
          <w:rFonts w:ascii="FangSong" w:hAnsi="FangSong" w:eastAsia="FangSong" w:cs="FangSong"/>
          <w:sz w:val="30"/>
          <w:szCs w:val="30"/>
        </w:rPr>
      </w:pPr>
      <w:r>
        <w:rPr>
          <w:rFonts w:ascii="FangSong" w:hAnsi="FangSong" w:eastAsia="FangSong" w:cs="FangSong"/>
          <w:sz w:val="30"/>
          <w:szCs w:val="30"/>
          <w:spacing w:val="11"/>
        </w:rPr>
        <w:t>3.</w:t>
      </w:r>
      <w:r>
        <w:rPr>
          <w:rFonts w:ascii="FangSong" w:hAnsi="FangSong" w:eastAsia="FangSong" w:cs="FangSong"/>
          <w:sz w:val="30"/>
          <w:szCs w:val="30"/>
          <w:spacing w:val="11"/>
        </w:rPr>
        <w:t xml:space="preserve"> </w:t>
      </w:r>
      <w:r>
        <w:rPr>
          <w:rFonts w:ascii="FangSong" w:hAnsi="FangSong" w:eastAsia="FangSong" w:cs="FangSong"/>
          <w:sz w:val="30"/>
          <w:szCs w:val="30"/>
          <w:spacing w:val="11"/>
        </w:rPr>
        <w:t>《血站管理办法》第五十九条</w:t>
      </w:r>
      <w:r>
        <w:rPr>
          <w:rFonts w:ascii="FangSong" w:hAnsi="FangSong" w:eastAsia="FangSong" w:cs="FangSong"/>
          <w:sz w:val="30"/>
          <w:szCs w:val="30"/>
          <w:spacing w:val="11"/>
        </w:rPr>
        <w:t xml:space="preserve">  </w:t>
      </w:r>
      <w:r>
        <w:rPr>
          <w:rFonts w:ascii="FangSong" w:hAnsi="FangSong" w:eastAsia="FangSong" w:cs="FangSong"/>
          <w:sz w:val="30"/>
          <w:szCs w:val="30"/>
          <w:spacing w:val="11"/>
        </w:rPr>
        <w:t>有下列行为之一的，属于非法采集血液，由县级以上地方人民</w:t>
      </w:r>
      <w:r>
        <w:rPr>
          <w:rFonts w:ascii="FangSong" w:hAnsi="FangSong" w:eastAsia="FangSong" w:cs="FangSong"/>
          <w:sz w:val="30"/>
          <w:szCs w:val="30"/>
          <w:spacing w:val="13"/>
        </w:rPr>
        <w:t xml:space="preserve"> </w:t>
      </w:r>
      <w:r>
        <w:rPr>
          <w:rFonts w:ascii="FangSong" w:hAnsi="FangSong" w:eastAsia="FangSong" w:cs="FangSong"/>
          <w:sz w:val="30"/>
          <w:szCs w:val="30"/>
          <w:spacing w:val="17"/>
        </w:rPr>
        <w:t>政府卫生计生行政部门按照《献血法》第十八条的</w:t>
      </w:r>
      <w:r>
        <w:rPr>
          <w:rFonts w:ascii="FangSong" w:hAnsi="FangSong" w:eastAsia="FangSong" w:cs="FangSong"/>
          <w:sz w:val="30"/>
          <w:szCs w:val="30"/>
          <w:spacing w:val="16"/>
        </w:rPr>
        <w:t>有关规定予以处罚；构成犯罪的，依法追究刑事责</w:t>
      </w:r>
      <w:r>
        <w:rPr>
          <w:rFonts w:ascii="FangSong" w:hAnsi="FangSong" w:eastAsia="FangSong" w:cs="FangSong"/>
          <w:sz w:val="30"/>
          <w:szCs w:val="30"/>
        </w:rPr>
        <w:t xml:space="preserve"> </w:t>
      </w:r>
      <w:r>
        <w:rPr>
          <w:rFonts w:ascii="FangSong" w:hAnsi="FangSong" w:eastAsia="FangSong" w:cs="FangSong"/>
          <w:sz w:val="30"/>
          <w:szCs w:val="30"/>
          <w:spacing w:val="-8"/>
        </w:rPr>
        <w:t>任：</w:t>
      </w:r>
    </w:p>
    <w:p>
      <w:pPr>
        <w:ind w:left="894"/>
        <w:spacing w:before="86" w:line="222" w:lineRule="auto"/>
        <w:rPr>
          <w:rFonts w:ascii="FangSong" w:hAnsi="FangSong" w:eastAsia="FangSong" w:cs="FangSong"/>
          <w:sz w:val="30"/>
          <w:szCs w:val="30"/>
        </w:rPr>
      </w:pPr>
      <w:r>
        <w:rPr>
          <w:rFonts w:ascii="FangSong" w:hAnsi="FangSong" w:eastAsia="FangSong" w:cs="FangSong"/>
          <w:sz w:val="30"/>
          <w:szCs w:val="30"/>
          <w:spacing w:val="23"/>
        </w:rPr>
        <w:t>(一)未经批准，擅自设置血站，开展采供血活动的；</w:t>
      </w:r>
    </w:p>
    <w:p>
      <w:pPr>
        <w:ind w:left="894"/>
        <w:spacing w:before="79" w:line="222" w:lineRule="auto"/>
        <w:rPr>
          <w:rFonts w:ascii="FangSong" w:hAnsi="FangSong" w:eastAsia="FangSong" w:cs="FangSong"/>
          <w:sz w:val="30"/>
          <w:szCs w:val="30"/>
        </w:rPr>
      </w:pPr>
      <w:r>
        <w:rPr>
          <w:rFonts w:ascii="FangSong" w:hAnsi="FangSong" w:eastAsia="FangSong" w:cs="FangSong"/>
          <w:sz w:val="30"/>
          <w:szCs w:val="30"/>
          <w:spacing w:val="24"/>
        </w:rPr>
        <w:t>(二)已被注销的血站，仍开展采供血活动的；</w:t>
      </w:r>
    </w:p>
    <w:p>
      <w:pPr>
        <w:ind w:left="115" w:right="152" w:firstLine="779"/>
        <w:spacing w:before="77" w:line="244" w:lineRule="auto"/>
        <w:rPr>
          <w:rFonts w:ascii="FangSong" w:hAnsi="FangSong" w:eastAsia="FangSong" w:cs="FangSong"/>
          <w:sz w:val="30"/>
          <w:szCs w:val="30"/>
        </w:rPr>
      </w:pPr>
      <w:r>
        <w:rPr>
          <w:rFonts w:ascii="FangSong" w:hAnsi="FangSong" w:eastAsia="FangSong" w:cs="FangSong"/>
          <w:sz w:val="30"/>
          <w:szCs w:val="30"/>
          <w:spacing w:val="20"/>
        </w:rPr>
        <w:t>(三)已取得设置批准但尚未取得《血站执业许可证》即开展采供血活动，或者《血站执业许可</w:t>
      </w:r>
      <w:r>
        <w:rPr>
          <w:rFonts w:ascii="FangSong" w:hAnsi="FangSong" w:eastAsia="FangSong" w:cs="FangSong"/>
          <w:sz w:val="30"/>
          <w:szCs w:val="30"/>
        </w:rPr>
        <w:t xml:space="preserve"> </w:t>
      </w:r>
      <w:r>
        <w:rPr>
          <w:rFonts w:ascii="FangSong" w:hAnsi="FangSong" w:eastAsia="FangSong" w:cs="FangSong"/>
          <w:sz w:val="30"/>
          <w:szCs w:val="30"/>
          <w:spacing w:val="16"/>
        </w:rPr>
        <w:t>证》有效期满未再次登记仍开展采供血活动的；</w:t>
      </w:r>
    </w:p>
    <w:p>
      <w:pPr>
        <w:ind w:left="894"/>
        <w:spacing w:before="66" w:line="222" w:lineRule="auto"/>
        <w:rPr>
          <w:rFonts w:ascii="FangSong" w:hAnsi="FangSong" w:eastAsia="FangSong" w:cs="FangSong"/>
          <w:sz w:val="30"/>
          <w:szCs w:val="30"/>
        </w:rPr>
      </w:pPr>
      <w:r>
        <w:rPr>
          <w:rFonts w:ascii="FangSong" w:hAnsi="FangSong" w:eastAsia="FangSong" w:cs="FangSong"/>
          <w:sz w:val="30"/>
          <w:szCs w:val="30"/>
          <w:spacing w:val="23"/>
        </w:rPr>
        <w:t>(四)租用、借用、出租、出借、变造、伪造《血站</w:t>
      </w:r>
      <w:r>
        <w:rPr>
          <w:rFonts w:ascii="FangSong" w:hAnsi="FangSong" w:eastAsia="FangSong" w:cs="FangSong"/>
          <w:sz w:val="30"/>
          <w:szCs w:val="30"/>
          <w:spacing w:val="22"/>
        </w:rPr>
        <w:t>执业许可证》开展采供血活动的。</w:t>
      </w:r>
    </w:p>
    <w:p>
      <w:pPr>
        <w:ind w:left="6539"/>
        <w:spacing w:before="220"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1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754"/>
        <w:gridCol w:w="4991"/>
      </w:tblGrid>
      <w:tr>
        <w:trPr>
          <w:trHeight w:val="991" w:hRule="atLeast"/>
        </w:trPr>
        <w:tc>
          <w:tcPr>
            <w:tcW w:w="1434" w:type="dxa"/>
            <w:vAlign w:val="top"/>
          </w:tcPr>
          <w:p>
            <w:pPr>
              <w:spacing w:line="302" w:lineRule="auto"/>
              <w:rPr>
                <w:rFonts w:ascii="Arial"/>
                <w:sz w:val="21"/>
              </w:rPr>
            </w:pPr>
            <w:r/>
          </w:p>
          <w:p>
            <w:pPr>
              <w:pStyle w:val="TableText"/>
              <w:ind w:left="128"/>
              <w:spacing w:before="78"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754" w:type="dxa"/>
            <w:vAlign w:val="top"/>
          </w:tcPr>
          <w:p>
            <w:pPr>
              <w:spacing w:line="302" w:lineRule="auto"/>
              <w:rPr>
                <w:rFonts w:ascii="Arial"/>
                <w:sz w:val="21"/>
              </w:rPr>
            </w:pPr>
            <w:r/>
          </w:p>
          <w:p>
            <w:pPr>
              <w:pStyle w:val="TableText"/>
              <w:ind w:left="3304"/>
              <w:spacing w:before="78" w:line="220" w:lineRule="auto"/>
              <w:rPr/>
            </w:pPr>
            <w:r>
              <w:rPr>
                <w:b/>
                <w:bCs/>
                <w:spacing w:val="-11"/>
              </w:rPr>
              <w:t>违</w:t>
            </w:r>
            <w:r>
              <w:rPr>
                <w:spacing w:val="-36"/>
              </w:rPr>
              <w:t xml:space="preserve"> </w:t>
            </w:r>
            <w:r>
              <w:rPr>
                <w:b/>
                <w:bCs/>
                <w:spacing w:val="-11"/>
              </w:rPr>
              <w:t>法</w:t>
            </w:r>
            <w:r>
              <w:rPr>
                <w:spacing w:val="-36"/>
              </w:rPr>
              <w:t xml:space="preserve"> </w:t>
            </w:r>
            <w:r>
              <w:rPr>
                <w:b/>
                <w:bCs/>
                <w:spacing w:val="-11"/>
              </w:rPr>
              <w:t>后</w:t>
            </w:r>
            <w:r>
              <w:rPr>
                <w:spacing w:val="-34"/>
              </w:rPr>
              <w:t xml:space="preserve"> </w:t>
            </w:r>
            <w:r>
              <w:rPr>
                <w:b/>
                <w:bCs/>
                <w:spacing w:val="-11"/>
              </w:rPr>
              <w:t>果</w:t>
            </w:r>
          </w:p>
        </w:tc>
        <w:tc>
          <w:tcPr>
            <w:tcW w:w="4991" w:type="dxa"/>
            <w:vAlign w:val="top"/>
          </w:tcPr>
          <w:p>
            <w:pPr>
              <w:spacing w:line="299" w:lineRule="auto"/>
              <w:rPr>
                <w:rFonts w:ascii="Arial"/>
                <w:sz w:val="21"/>
              </w:rPr>
            </w:pPr>
            <w:r/>
          </w:p>
          <w:p>
            <w:pPr>
              <w:pStyle w:val="TableText"/>
              <w:ind w:left="1910"/>
              <w:spacing w:before="78"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559" w:hRule="atLeast"/>
        </w:trPr>
        <w:tc>
          <w:tcPr>
            <w:tcW w:w="1434" w:type="dxa"/>
            <w:vAlign w:val="top"/>
          </w:tcPr>
          <w:p>
            <w:pPr>
              <w:pStyle w:val="TableText"/>
              <w:ind w:left="468"/>
              <w:spacing w:before="61" w:line="221" w:lineRule="auto"/>
              <w:rPr/>
            </w:pPr>
            <w:r>
              <w:rPr>
                <w:b/>
                <w:bCs/>
                <w:spacing w:val="-10"/>
              </w:rPr>
              <w:t>一般</w:t>
            </w:r>
          </w:p>
        </w:tc>
        <w:tc>
          <w:tcPr>
            <w:tcW w:w="7754" w:type="dxa"/>
            <w:vAlign w:val="top"/>
          </w:tcPr>
          <w:p>
            <w:pPr>
              <w:spacing w:line="261" w:lineRule="auto"/>
              <w:rPr>
                <w:rFonts w:ascii="Arial"/>
                <w:sz w:val="21"/>
              </w:rPr>
            </w:pPr>
            <w:r/>
          </w:p>
          <w:p>
            <w:pPr>
              <w:pStyle w:val="TableText"/>
              <w:ind w:left="104"/>
              <w:spacing w:before="78" w:line="220" w:lineRule="auto"/>
              <w:rPr/>
            </w:pPr>
            <w:r>
              <w:rPr>
                <w:b/>
                <w:bCs/>
                <w:spacing w:val="-2"/>
              </w:rPr>
              <w:t>有下列情形之一的：</w:t>
            </w:r>
          </w:p>
          <w:p>
            <w:pPr>
              <w:pStyle w:val="TableText"/>
              <w:ind w:left="104"/>
              <w:spacing w:before="41" w:line="219" w:lineRule="auto"/>
              <w:rPr/>
            </w:pPr>
            <w:r>
              <w:rPr>
                <w:b/>
                <w:bCs/>
                <w:spacing w:val="-3"/>
              </w:rPr>
              <w:t>A.已取得设置批准但尚未取得《血站执业许可证》即开展采供血活动</w:t>
            </w:r>
          </w:p>
          <w:p>
            <w:pPr>
              <w:pStyle w:val="TableText"/>
              <w:ind w:left="104"/>
              <w:spacing w:before="55" w:line="219" w:lineRule="auto"/>
              <w:rPr/>
            </w:pPr>
            <w:r>
              <w:rPr>
                <w:b/>
                <w:bCs/>
                <w:spacing w:val="-3"/>
              </w:rPr>
              <w:t>B.《血站执业许可证》有效期满未再次登记</w:t>
            </w:r>
            <w:r>
              <w:rPr>
                <w:b/>
                <w:bCs/>
                <w:spacing w:val="-4"/>
              </w:rPr>
              <w:t>仍开展采供血活动的</w:t>
            </w:r>
          </w:p>
        </w:tc>
        <w:tc>
          <w:tcPr>
            <w:tcW w:w="4991" w:type="dxa"/>
            <w:vAlign w:val="top"/>
          </w:tcPr>
          <w:p>
            <w:pPr>
              <w:spacing w:line="450" w:lineRule="auto"/>
              <w:rPr>
                <w:rFonts w:ascii="Arial"/>
                <w:sz w:val="21"/>
              </w:rPr>
            </w:pPr>
            <w:r/>
          </w:p>
          <w:p>
            <w:pPr>
              <w:pStyle w:val="TableText"/>
              <w:ind w:left="99" w:right="75" w:hanging="9"/>
              <w:spacing w:before="78" w:line="249" w:lineRule="auto"/>
              <w:rPr/>
            </w:pPr>
            <w:r>
              <w:rPr>
                <w:b/>
                <w:bCs/>
                <w:spacing w:val="-2"/>
              </w:rPr>
              <w:t>予以取缔，没收违法所得，可以并处一万元以</w:t>
            </w:r>
            <w:r>
              <w:rPr>
                <w:spacing w:val="3"/>
              </w:rPr>
              <w:t xml:space="preserve"> </w:t>
            </w:r>
            <w:r>
              <w:rPr>
                <w:b/>
                <w:bCs/>
                <w:spacing w:val="-4"/>
              </w:rPr>
              <w:t>上五万元以下的罚款</w:t>
            </w:r>
          </w:p>
        </w:tc>
      </w:tr>
    </w:tbl>
    <w:p>
      <w:pPr>
        <w:pStyle w:val="BodyText"/>
        <w:spacing w:before="1"/>
        <w:rPr/>
      </w:pPr>
      <w:r/>
    </w:p>
    <w:p>
      <w:pPr>
        <w:sectPr>
          <w:footerReference w:type="default" r:id="rId377"/>
          <w:pgSz w:w="16830" w:h="11900"/>
          <w:pgMar w:top="1011" w:right="1325" w:bottom="1117" w:left="1314" w:header="0" w:footer="784" w:gutter="0"/>
        </w:sectPr>
        <w:rPr/>
      </w:pPr>
    </w:p>
    <w:p>
      <w:pPr>
        <w:spacing w:before="20"/>
        <w:rPr/>
      </w:pPr>
      <w:r/>
    </w:p>
    <w:p>
      <w:pPr>
        <w:spacing w:before="20"/>
        <w:rPr/>
      </w:pPr>
      <w:r/>
    </w:p>
    <w:p>
      <w:pPr>
        <w:spacing w:before="19"/>
        <w:rPr/>
      </w:pPr>
      <w:r/>
    </w:p>
    <w:tbl>
      <w:tblPr>
        <w:tblStyle w:val="TableNormal"/>
        <w:tblW w:w="141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734"/>
        <w:gridCol w:w="5001"/>
      </w:tblGrid>
      <w:tr>
        <w:trPr>
          <w:trHeight w:val="1677" w:hRule="atLeast"/>
        </w:trPr>
        <w:tc>
          <w:tcPr>
            <w:tcW w:w="1444" w:type="dxa"/>
            <w:vAlign w:val="top"/>
          </w:tcPr>
          <w:p>
            <w:pPr>
              <w:pStyle w:val="TableText"/>
              <w:ind w:left="478"/>
              <w:spacing w:before="62" w:line="220" w:lineRule="auto"/>
              <w:rPr/>
            </w:pPr>
            <w:bookmarkStart w:name="bookmark1029" w:id="399"/>
            <w:bookmarkEnd w:id="399"/>
            <w:r>
              <w:rPr>
                <w:b/>
                <w:bCs/>
                <w:spacing w:val="-6"/>
              </w:rPr>
              <w:t>严重</w:t>
            </w:r>
          </w:p>
        </w:tc>
        <w:tc>
          <w:tcPr>
            <w:tcW w:w="7734" w:type="dxa"/>
            <w:vAlign w:val="top"/>
          </w:tcPr>
          <w:p>
            <w:pPr>
              <w:pStyle w:val="TableText"/>
              <w:ind w:left="90"/>
              <w:spacing w:before="65" w:line="220" w:lineRule="auto"/>
              <w:rPr/>
            </w:pPr>
            <w:r>
              <w:rPr>
                <w:spacing w:val="2"/>
              </w:rPr>
              <w:t>有下列情形之一的：</w:t>
            </w:r>
          </w:p>
          <w:p>
            <w:pPr>
              <w:pStyle w:val="TableText"/>
              <w:ind w:left="90"/>
              <w:spacing w:before="51" w:line="219" w:lineRule="auto"/>
              <w:rPr/>
            </w:pPr>
            <w:r>
              <w:rPr/>
              <w:t>A.未经批准，擅自设置血站，开展采供血活动的</w:t>
            </w:r>
          </w:p>
          <w:p>
            <w:pPr>
              <w:pStyle w:val="TableText"/>
              <w:ind w:left="90"/>
              <w:spacing w:before="75" w:line="219" w:lineRule="auto"/>
              <w:rPr/>
            </w:pPr>
            <w:r>
              <w:rPr>
                <w:spacing w:val="1"/>
              </w:rPr>
              <w:t>B.已被注销的血站，仍开展采供血活动的</w:t>
            </w:r>
          </w:p>
          <w:p>
            <w:pPr>
              <w:pStyle w:val="TableText"/>
              <w:ind w:left="90" w:right="200"/>
              <w:spacing w:before="36" w:line="224" w:lineRule="auto"/>
              <w:rPr/>
            </w:pPr>
            <w:r>
              <w:rPr/>
              <w:t>C.租用、借用、出租、出借、变造、伪造《血站执</w:t>
            </w:r>
            <w:r>
              <w:rPr>
                <w:spacing w:val="-1"/>
              </w:rPr>
              <w:t>业许可证》开展采供</w:t>
            </w:r>
            <w:r>
              <w:rPr/>
              <w:t xml:space="preserve"> </w:t>
            </w:r>
            <w:r>
              <w:rPr>
                <w:spacing w:val="4"/>
              </w:rPr>
              <w:t>血活动的</w:t>
            </w:r>
          </w:p>
        </w:tc>
        <w:tc>
          <w:tcPr>
            <w:tcW w:w="5001" w:type="dxa"/>
            <w:vAlign w:val="top"/>
          </w:tcPr>
          <w:p>
            <w:pPr>
              <w:spacing w:line="241" w:lineRule="auto"/>
              <w:rPr>
                <w:rFonts w:ascii="Arial"/>
                <w:sz w:val="21"/>
              </w:rPr>
            </w:pPr>
            <w:r/>
          </w:p>
          <w:p>
            <w:pPr>
              <w:spacing w:line="241" w:lineRule="auto"/>
              <w:rPr>
                <w:rFonts w:ascii="Arial"/>
                <w:sz w:val="21"/>
              </w:rPr>
            </w:pPr>
            <w:r/>
          </w:p>
          <w:p>
            <w:pPr>
              <w:pStyle w:val="TableText"/>
              <w:ind w:left="136" w:right="42"/>
              <w:spacing w:before="78" w:line="265" w:lineRule="auto"/>
              <w:rPr/>
            </w:pPr>
            <w:r>
              <w:rPr/>
              <w:t>予以取缔，没收违法所得，并处五万元以上十</w:t>
            </w:r>
            <w:r>
              <w:rPr>
                <w:spacing w:val="10"/>
              </w:rPr>
              <w:t xml:space="preserve"> </w:t>
            </w:r>
            <w:r>
              <w:rPr>
                <w:spacing w:val="1"/>
              </w:rPr>
              <w:t>万元以下的罚款</w:t>
            </w:r>
          </w:p>
        </w:tc>
      </w:tr>
      <w:tr>
        <w:trPr>
          <w:trHeight w:val="363" w:hRule="atLeast"/>
        </w:trPr>
        <w:tc>
          <w:tcPr>
            <w:tcW w:w="1444" w:type="dxa"/>
            <w:vAlign w:val="top"/>
          </w:tcPr>
          <w:p>
            <w:pPr>
              <w:pStyle w:val="TableText"/>
              <w:ind w:left="238"/>
              <w:spacing w:before="64" w:line="219" w:lineRule="auto"/>
              <w:rPr/>
            </w:pPr>
            <w:r>
              <w:rPr>
                <w:b/>
                <w:bCs/>
                <w:spacing w:val="-5"/>
              </w:rPr>
              <w:t>特别严重</w:t>
            </w:r>
          </w:p>
        </w:tc>
        <w:tc>
          <w:tcPr>
            <w:tcW w:w="7734" w:type="dxa"/>
            <w:vAlign w:val="top"/>
          </w:tcPr>
          <w:p>
            <w:pPr>
              <w:pStyle w:val="TableText"/>
              <w:ind w:left="90"/>
              <w:spacing w:before="66" w:line="219" w:lineRule="auto"/>
              <w:rPr/>
            </w:pPr>
            <w:r>
              <w:rPr/>
              <w:t>非法采集的血液不符合国家规定标准，足以危害人体健康的</w:t>
            </w:r>
          </w:p>
        </w:tc>
        <w:tc>
          <w:tcPr>
            <w:tcW w:w="5001" w:type="dxa"/>
            <w:vAlign w:val="top"/>
          </w:tcPr>
          <w:p>
            <w:pPr>
              <w:pStyle w:val="TableText"/>
              <w:ind w:left="136"/>
              <w:spacing w:before="68" w:line="219" w:lineRule="auto"/>
              <w:rPr/>
            </w:pPr>
            <w:r>
              <w:rPr/>
              <w:t>予以取缔，没收违法所得，并处十万元罚款</w:t>
            </w:r>
          </w:p>
        </w:tc>
      </w:tr>
    </w:tbl>
    <w:p>
      <w:pPr>
        <w:pStyle w:val="BodyText"/>
        <w:spacing w:line="427" w:lineRule="auto"/>
        <w:rPr/>
      </w:pPr>
      <w:r/>
    </w:p>
    <w:p>
      <w:pPr>
        <w:ind w:left="809"/>
        <w:spacing w:before="97" w:line="220" w:lineRule="auto"/>
        <w:rPr>
          <w:rFonts w:ascii="FangSong" w:hAnsi="FangSong" w:eastAsia="FangSong" w:cs="FangSong"/>
          <w:sz w:val="30"/>
          <w:szCs w:val="30"/>
        </w:rPr>
      </w:pPr>
      <w:r>
        <w:rPr>
          <w:rFonts w:ascii="FangSong" w:hAnsi="FangSong" w:eastAsia="FangSong" w:cs="FangSong"/>
          <w:sz w:val="30"/>
          <w:szCs w:val="30"/>
          <w:b/>
          <w:bCs/>
          <w:spacing w:val="22"/>
        </w:rPr>
        <w:t>第三百三十一条血站、医疗机构出售无偿献血的血液的</w:t>
      </w:r>
    </w:p>
    <w:p>
      <w:pPr>
        <w:ind w:left="794"/>
        <w:spacing w:before="90" w:line="222" w:lineRule="auto"/>
        <w:rPr>
          <w:rFonts w:ascii="FangSong" w:hAnsi="FangSong" w:eastAsia="FangSong" w:cs="FangSong"/>
          <w:sz w:val="30"/>
          <w:szCs w:val="30"/>
        </w:rPr>
      </w:pPr>
      <w:r>
        <w:rPr>
          <w:rFonts w:ascii="FangSong" w:hAnsi="FangSong" w:eastAsia="FangSong" w:cs="FangSong"/>
          <w:sz w:val="30"/>
          <w:szCs w:val="30"/>
          <w:spacing w:val="32"/>
        </w:rPr>
        <w:t>法律依据：</w:t>
      </w:r>
    </w:p>
    <w:p>
      <w:pPr>
        <w:ind w:left="134" w:right="128" w:firstLine="619"/>
        <w:spacing w:before="95" w:line="273" w:lineRule="auto"/>
        <w:jc w:val="both"/>
        <w:rPr>
          <w:rFonts w:ascii="FangSong" w:hAnsi="FangSong" w:eastAsia="FangSong" w:cs="FangSong"/>
          <w:sz w:val="30"/>
          <w:szCs w:val="30"/>
        </w:rPr>
      </w:pPr>
      <w:r>
        <w:rPr>
          <w:rFonts w:ascii="FangSong" w:hAnsi="FangSong" w:eastAsia="FangSong" w:cs="FangSong"/>
          <w:sz w:val="30"/>
          <w:szCs w:val="30"/>
          <w:spacing w:val="23"/>
        </w:rPr>
        <w:t>《中华人民共和国献血法》第十八条第(二)项</w:t>
      </w:r>
      <w:r>
        <w:rPr>
          <w:rFonts w:ascii="FangSong" w:hAnsi="FangSong" w:eastAsia="FangSong" w:cs="FangSong"/>
          <w:sz w:val="30"/>
          <w:szCs w:val="30"/>
          <w:spacing w:val="23"/>
        </w:rPr>
        <w:t xml:space="preserve">  </w:t>
      </w:r>
      <w:r>
        <w:rPr>
          <w:rFonts w:ascii="FangSong" w:hAnsi="FangSong" w:eastAsia="FangSong" w:cs="FangSong"/>
          <w:sz w:val="30"/>
          <w:szCs w:val="30"/>
          <w:spacing w:val="23"/>
        </w:rPr>
        <w:t>有下列行为之一的，由县级以上地方人民政府</w:t>
      </w:r>
      <w:r>
        <w:rPr>
          <w:rFonts w:ascii="FangSong" w:hAnsi="FangSong" w:eastAsia="FangSong" w:cs="FangSong"/>
          <w:sz w:val="30"/>
          <w:szCs w:val="30"/>
          <w:spacing w:val="15"/>
        </w:rPr>
        <w:t xml:space="preserve"> </w:t>
      </w:r>
      <w:r>
        <w:rPr>
          <w:rFonts w:ascii="FangSong" w:hAnsi="FangSong" w:eastAsia="FangSong" w:cs="FangSong"/>
          <w:sz w:val="30"/>
          <w:szCs w:val="30"/>
          <w:spacing w:val="17"/>
        </w:rPr>
        <w:t>卫生行政部门予以取缔，没收违法所得，可以并</w:t>
      </w:r>
      <w:r>
        <w:rPr>
          <w:rFonts w:ascii="FangSong" w:hAnsi="FangSong" w:eastAsia="FangSong" w:cs="FangSong"/>
          <w:sz w:val="30"/>
          <w:szCs w:val="30"/>
          <w:spacing w:val="16"/>
        </w:rPr>
        <w:t>处十万元以下的罚款；构成犯罪的，依法追究刑事责</w:t>
      </w:r>
      <w:r>
        <w:rPr>
          <w:rFonts w:ascii="FangSong" w:hAnsi="FangSong" w:eastAsia="FangSong" w:cs="FangSong"/>
          <w:sz w:val="30"/>
          <w:szCs w:val="30"/>
        </w:rPr>
        <w:t xml:space="preserve"> </w:t>
      </w:r>
      <w:r>
        <w:rPr>
          <w:rFonts w:ascii="FangSong" w:hAnsi="FangSong" w:eastAsia="FangSong" w:cs="FangSong"/>
          <w:sz w:val="30"/>
          <w:szCs w:val="30"/>
          <w:spacing w:val="-5"/>
        </w:rPr>
        <w:t>任：</w:t>
      </w:r>
    </w:p>
    <w:p>
      <w:pPr>
        <w:ind w:left="914"/>
        <w:spacing w:before="1" w:line="220" w:lineRule="auto"/>
        <w:rPr>
          <w:rFonts w:ascii="FangSong" w:hAnsi="FangSong" w:eastAsia="FangSong" w:cs="FangSong"/>
          <w:sz w:val="30"/>
          <w:szCs w:val="30"/>
        </w:rPr>
      </w:pPr>
      <w:r>
        <w:rPr>
          <w:rFonts w:ascii="FangSong" w:hAnsi="FangSong" w:eastAsia="FangSong" w:cs="FangSong"/>
          <w:sz w:val="30"/>
          <w:szCs w:val="30"/>
          <w:spacing w:val="24"/>
        </w:rPr>
        <w:t>(二)血站、医疗机构出售无偿献血的血液的；</w:t>
      </w:r>
    </w:p>
    <w:p>
      <w:pPr>
        <w:ind w:left="6538"/>
        <w:spacing w:before="149" w:line="221" w:lineRule="auto"/>
        <w:rPr>
          <w:rFonts w:ascii="SimHei" w:hAnsi="SimHei" w:eastAsia="SimHei" w:cs="SimHei"/>
          <w:sz w:val="30"/>
          <w:szCs w:val="30"/>
        </w:rPr>
      </w:pPr>
      <w:r>
        <w:rPr>
          <w:rFonts w:ascii="SimHei" w:hAnsi="SimHei" w:eastAsia="SimHei" w:cs="SimHei"/>
          <w:sz w:val="30"/>
          <w:szCs w:val="30"/>
          <w:b/>
          <w:bCs/>
          <w:spacing w:val="-15"/>
        </w:rPr>
        <w:t>裁量标准</w:t>
      </w:r>
    </w:p>
    <w:p>
      <w:pPr>
        <w:spacing w:line="70" w:lineRule="exact"/>
        <w:rPr/>
      </w:pPr>
      <w:r/>
    </w:p>
    <w:tbl>
      <w:tblPr>
        <w:tblStyle w:val="TableNormal"/>
        <w:tblW w:w="1412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455"/>
        <w:gridCol w:w="5231"/>
      </w:tblGrid>
      <w:tr>
        <w:trPr>
          <w:trHeight w:val="453" w:hRule="atLeast"/>
        </w:trPr>
        <w:tc>
          <w:tcPr>
            <w:tcW w:w="1434" w:type="dxa"/>
            <w:vAlign w:val="top"/>
          </w:tcPr>
          <w:p>
            <w:pPr>
              <w:pStyle w:val="TableText"/>
              <w:ind w:left="128"/>
              <w:spacing w:before="11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455" w:type="dxa"/>
            <w:vAlign w:val="top"/>
          </w:tcPr>
          <w:p>
            <w:pPr>
              <w:pStyle w:val="TableText"/>
              <w:ind w:left="3164"/>
              <w:spacing w:before="112" w:line="220" w:lineRule="auto"/>
              <w:rPr/>
            </w:pPr>
            <w:r>
              <w:rPr>
                <w:b/>
                <w:bCs/>
                <w:spacing w:val="-5"/>
              </w:rPr>
              <w:t>违法后果</w:t>
            </w:r>
          </w:p>
        </w:tc>
        <w:tc>
          <w:tcPr>
            <w:tcW w:w="5231" w:type="dxa"/>
            <w:vAlign w:val="top"/>
          </w:tcPr>
          <w:p>
            <w:pPr>
              <w:pStyle w:val="TableText"/>
              <w:ind w:left="2049"/>
              <w:spacing w:before="10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67" w:hRule="atLeast"/>
        </w:trPr>
        <w:tc>
          <w:tcPr>
            <w:tcW w:w="1434" w:type="dxa"/>
            <w:vAlign w:val="top"/>
          </w:tcPr>
          <w:p>
            <w:pPr>
              <w:pStyle w:val="TableText"/>
              <w:ind w:left="468"/>
              <w:spacing w:before="268" w:line="219" w:lineRule="auto"/>
              <w:rPr/>
            </w:pPr>
            <w:r>
              <w:rPr>
                <w:b/>
                <w:bCs/>
                <w:spacing w:val="-6"/>
              </w:rPr>
              <w:t>轻微</w:t>
            </w:r>
          </w:p>
        </w:tc>
        <w:tc>
          <w:tcPr>
            <w:tcW w:w="7455" w:type="dxa"/>
            <w:vAlign w:val="top"/>
          </w:tcPr>
          <w:p>
            <w:pPr>
              <w:pStyle w:val="TableText"/>
              <w:ind w:left="120"/>
              <w:spacing w:before="220" w:line="219" w:lineRule="auto"/>
              <w:rPr/>
            </w:pPr>
            <w:r>
              <w:rPr/>
              <w:t>血站、医疗机构出售无偿献血的血液的，违法所得5000元以下的</w:t>
            </w:r>
          </w:p>
        </w:tc>
        <w:tc>
          <w:tcPr>
            <w:tcW w:w="5231" w:type="dxa"/>
            <w:vAlign w:val="top"/>
          </w:tcPr>
          <w:p>
            <w:pPr>
              <w:pStyle w:val="TableText"/>
              <w:ind w:left="115"/>
              <w:spacing w:before="52" w:line="219" w:lineRule="auto"/>
              <w:rPr/>
            </w:pPr>
            <w:r>
              <w:rPr/>
              <w:t>予以取缔，没收违法所得，可以并处三万元以下</w:t>
            </w:r>
          </w:p>
          <w:p>
            <w:pPr>
              <w:pStyle w:val="TableText"/>
              <w:ind w:left="126"/>
              <w:spacing w:before="56" w:line="203" w:lineRule="auto"/>
              <w:rPr/>
            </w:pPr>
            <w:r>
              <w:rPr>
                <w:color w:val="505050"/>
                <w:spacing w:val="5"/>
              </w:rPr>
              <w:t>罚款</w:t>
            </w:r>
          </w:p>
        </w:tc>
      </w:tr>
      <w:tr>
        <w:trPr>
          <w:trHeight w:val="678" w:hRule="atLeast"/>
        </w:trPr>
        <w:tc>
          <w:tcPr>
            <w:tcW w:w="1434" w:type="dxa"/>
            <w:vAlign w:val="top"/>
          </w:tcPr>
          <w:p>
            <w:pPr>
              <w:pStyle w:val="TableText"/>
              <w:ind w:left="468"/>
              <w:spacing w:before="302" w:line="221" w:lineRule="auto"/>
              <w:rPr/>
            </w:pPr>
            <w:r>
              <w:rPr>
                <w:b/>
                <w:bCs/>
                <w:spacing w:val="-10"/>
              </w:rPr>
              <w:t>一般</w:t>
            </w:r>
          </w:p>
        </w:tc>
        <w:tc>
          <w:tcPr>
            <w:tcW w:w="7455" w:type="dxa"/>
            <w:vAlign w:val="top"/>
          </w:tcPr>
          <w:p>
            <w:pPr>
              <w:pStyle w:val="TableText"/>
              <w:ind w:left="120" w:right="468"/>
              <w:spacing w:before="64" w:line="232" w:lineRule="auto"/>
              <w:rPr/>
            </w:pPr>
            <w:r>
              <w:rPr/>
              <w:t>血站、医疗机构出售无偿献血的血液的，违法所得5000元以上1万</w:t>
            </w:r>
            <w:r>
              <w:rPr>
                <w:spacing w:val="14"/>
              </w:rPr>
              <w:t xml:space="preserve"> </w:t>
            </w:r>
            <w:r>
              <w:rPr>
                <w:spacing w:val="4"/>
              </w:rPr>
              <w:t>元以下的</w:t>
            </w:r>
          </w:p>
        </w:tc>
        <w:tc>
          <w:tcPr>
            <w:tcW w:w="5231" w:type="dxa"/>
            <w:vAlign w:val="top"/>
          </w:tcPr>
          <w:p>
            <w:pPr>
              <w:pStyle w:val="TableText"/>
              <w:ind w:left="135" w:right="54" w:hanging="20"/>
              <w:spacing w:before="64" w:line="232" w:lineRule="auto"/>
              <w:rPr/>
            </w:pPr>
            <w:r>
              <w:rPr/>
              <w:t>予以取缔，没收违法所得，可以并处三万元以上</w:t>
            </w:r>
            <w:r>
              <w:rPr>
                <w:spacing w:val="9"/>
              </w:rPr>
              <w:t xml:space="preserve"> </w:t>
            </w:r>
            <w:r>
              <w:rPr>
                <w:spacing w:val="1"/>
              </w:rPr>
              <w:t>五万元以下罚款</w:t>
            </w:r>
          </w:p>
        </w:tc>
      </w:tr>
      <w:tr>
        <w:trPr>
          <w:trHeight w:val="672" w:hRule="atLeast"/>
        </w:trPr>
        <w:tc>
          <w:tcPr>
            <w:tcW w:w="1434" w:type="dxa"/>
            <w:vAlign w:val="top"/>
          </w:tcPr>
          <w:p>
            <w:pPr>
              <w:pStyle w:val="TableText"/>
              <w:ind w:left="468"/>
              <w:spacing w:before="306" w:line="221" w:lineRule="auto"/>
              <w:rPr/>
            </w:pPr>
            <w:r>
              <w:rPr>
                <w:b/>
                <w:bCs/>
                <w:spacing w:val="-5"/>
              </w:rPr>
              <w:t>较重</w:t>
            </w:r>
          </w:p>
        </w:tc>
        <w:tc>
          <w:tcPr>
            <w:tcW w:w="7455" w:type="dxa"/>
            <w:vAlign w:val="top"/>
          </w:tcPr>
          <w:p>
            <w:pPr>
              <w:pStyle w:val="TableText"/>
              <w:ind w:left="131"/>
              <w:spacing w:before="75" w:line="219" w:lineRule="auto"/>
              <w:rPr/>
            </w:pPr>
            <w:r>
              <w:rPr/>
              <w:t>血站、医疗机构出售无偿献血的血液的，违法所得1万元以上2万元</w:t>
            </w:r>
          </w:p>
          <w:p>
            <w:pPr>
              <w:pStyle w:val="TableText"/>
              <w:ind w:left="120"/>
              <w:spacing w:before="37" w:line="203" w:lineRule="auto"/>
              <w:rPr/>
            </w:pPr>
            <w:r>
              <w:rPr>
                <w:color w:val="605040"/>
                <w:spacing w:val="6"/>
              </w:rPr>
              <w:t>以下的</w:t>
            </w:r>
          </w:p>
        </w:tc>
        <w:tc>
          <w:tcPr>
            <w:tcW w:w="5231" w:type="dxa"/>
            <w:vAlign w:val="top"/>
          </w:tcPr>
          <w:p>
            <w:pPr>
              <w:pStyle w:val="TableText"/>
              <w:ind w:left="126" w:right="40"/>
              <w:spacing w:before="76" w:line="225" w:lineRule="auto"/>
              <w:rPr/>
            </w:pPr>
            <w:r>
              <w:rPr/>
              <w:t>予以取缔，没收违法所得，并处五万元以上八万</w:t>
            </w:r>
            <w:r>
              <w:rPr>
                <w:spacing w:val="13"/>
              </w:rPr>
              <w:t xml:space="preserve"> </w:t>
            </w:r>
            <w:r>
              <w:rPr>
                <w:spacing w:val="2"/>
              </w:rPr>
              <w:t>元以下罚款</w:t>
            </w:r>
          </w:p>
        </w:tc>
      </w:tr>
    </w:tbl>
    <w:p>
      <w:pPr>
        <w:pStyle w:val="BodyText"/>
        <w:spacing w:line="290" w:lineRule="auto"/>
        <w:rPr/>
      </w:pPr>
      <w:r/>
    </w:p>
    <w:p>
      <w:pPr>
        <w:pStyle w:val="BodyText"/>
        <w:spacing w:line="291" w:lineRule="auto"/>
        <w:rPr/>
      </w:pPr>
      <w:r/>
    </w:p>
    <w:p>
      <w:pPr>
        <w:ind w:left="6474"/>
        <w:spacing w:before="104" w:line="188"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—414—</w:t>
      </w:r>
    </w:p>
    <w:p>
      <w:pPr>
        <w:spacing w:line="188" w:lineRule="auto"/>
        <w:sectPr>
          <w:footerReference w:type="default" r:id="rId24"/>
          <w:pgSz w:w="16830" w:h="11900"/>
          <w:pgMar w:top="1011" w:right="1335" w:bottom="400" w:left="1305" w:header="0" w:footer="0" w:gutter="0"/>
        </w:sectPr>
        <w:rPr>
          <w:rFonts w:ascii="Times New Roman" w:hAnsi="Times New Roman" w:eastAsia="Times New Roman" w:cs="Times New Roman"/>
          <w:sz w:val="36"/>
          <w:szCs w:val="36"/>
        </w:rPr>
      </w:pPr>
    </w:p>
    <w:p>
      <w:pPr>
        <w:spacing w:before="20"/>
        <w:rPr/>
      </w:pPr>
      <w:r/>
    </w:p>
    <w:p>
      <w:pPr>
        <w:spacing w:before="20"/>
        <w:rPr/>
      </w:pPr>
      <w:r/>
    </w:p>
    <w:p>
      <w:pPr>
        <w:spacing w:before="19"/>
        <w:rPr/>
      </w:pPr>
      <w:r/>
    </w:p>
    <w:tbl>
      <w:tblPr>
        <w:tblStyle w:val="TableNormal"/>
        <w:tblW w:w="1413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475"/>
        <w:gridCol w:w="5221"/>
      </w:tblGrid>
      <w:tr>
        <w:trPr>
          <w:trHeight w:val="999" w:hRule="atLeast"/>
        </w:trPr>
        <w:tc>
          <w:tcPr>
            <w:tcW w:w="1434" w:type="dxa"/>
            <w:vAlign w:val="top"/>
          </w:tcPr>
          <w:p>
            <w:pPr>
              <w:spacing w:line="299" w:lineRule="auto"/>
              <w:rPr>
                <w:rFonts w:ascii="Arial"/>
                <w:sz w:val="21"/>
              </w:rPr>
            </w:pPr>
            <w:r/>
          </w:p>
          <w:p>
            <w:pPr>
              <w:pStyle w:val="TableText"/>
              <w:ind w:left="458"/>
              <w:spacing w:before="81" w:line="220" w:lineRule="auto"/>
              <w:rPr>
                <w:sz w:val="25"/>
                <w:szCs w:val="25"/>
              </w:rPr>
            </w:pPr>
            <w:bookmarkStart w:name="bookmark1030" w:id="400"/>
            <w:bookmarkEnd w:id="400"/>
            <w:r>
              <w:rPr>
                <w:sz w:val="25"/>
                <w:szCs w:val="25"/>
                <w:b/>
                <w:bCs/>
                <w:spacing w:val="-6"/>
              </w:rPr>
              <w:t>严重</w:t>
            </w:r>
          </w:p>
        </w:tc>
        <w:tc>
          <w:tcPr>
            <w:tcW w:w="7475" w:type="dxa"/>
            <w:vAlign w:val="top"/>
          </w:tcPr>
          <w:p>
            <w:pPr>
              <w:pStyle w:val="TableText"/>
              <w:ind w:left="111"/>
              <w:spacing w:before="66" w:line="220" w:lineRule="auto"/>
              <w:rPr>
                <w:sz w:val="25"/>
                <w:szCs w:val="25"/>
              </w:rPr>
            </w:pPr>
            <w:r>
              <w:rPr>
                <w:sz w:val="25"/>
                <w:szCs w:val="25"/>
                <w:spacing w:val="1"/>
              </w:rPr>
              <w:t>有下列情形之一的：</w:t>
            </w:r>
          </w:p>
          <w:p>
            <w:pPr>
              <w:pStyle w:val="TableText"/>
              <w:ind w:left="111"/>
              <w:spacing w:before="39" w:line="219" w:lineRule="auto"/>
              <w:rPr>
                <w:sz w:val="25"/>
                <w:szCs w:val="25"/>
              </w:rPr>
            </w:pPr>
            <w:r>
              <w:rPr>
                <w:sz w:val="25"/>
                <w:szCs w:val="25"/>
              </w:rPr>
              <w:t>A.血站、医疗机构出售无偿献血的血液的，违法所得2万元</w:t>
            </w:r>
            <w:r>
              <w:rPr>
                <w:sz w:val="25"/>
                <w:szCs w:val="25"/>
                <w:spacing w:val="-1"/>
              </w:rPr>
              <w:t>以上的</w:t>
            </w:r>
          </w:p>
          <w:p>
            <w:pPr>
              <w:pStyle w:val="TableText"/>
              <w:ind w:left="111"/>
              <w:spacing w:before="13" w:line="203" w:lineRule="auto"/>
              <w:rPr>
                <w:sz w:val="25"/>
                <w:szCs w:val="25"/>
              </w:rPr>
            </w:pPr>
            <w:r>
              <w:rPr>
                <w:sz w:val="25"/>
                <w:szCs w:val="25"/>
              </w:rPr>
              <w:t>B.血站、医疗机构出售无偿献血的血液受过处罚的</w:t>
            </w:r>
          </w:p>
        </w:tc>
        <w:tc>
          <w:tcPr>
            <w:tcW w:w="5221" w:type="dxa"/>
            <w:vAlign w:val="top"/>
          </w:tcPr>
          <w:p>
            <w:pPr>
              <w:pStyle w:val="TableText"/>
              <w:ind w:left="106"/>
              <w:spacing w:before="235" w:line="269" w:lineRule="auto"/>
              <w:rPr>
                <w:sz w:val="25"/>
                <w:szCs w:val="25"/>
              </w:rPr>
            </w:pPr>
            <w:r>
              <w:rPr>
                <w:sz w:val="25"/>
                <w:szCs w:val="25"/>
                <w:spacing w:val="-7"/>
              </w:rPr>
              <w:t>予以取缔，没收违法所得，并处八万元以上十万</w:t>
            </w:r>
            <w:r>
              <w:rPr>
                <w:sz w:val="25"/>
                <w:szCs w:val="25"/>
              </w:rPr>
              <w:t xml:space="preserve"> </w:t>
            </w:r>
            <w:r>
              <w:rPr>
                <w:sz w:val="25"/>
                <w:szCs w:val="25"/>
                <w:spacing w:val="1"/>
              </w:rPr>
              <w:t>元以下的罚款</w:t>
            </w:r>
          </w:p>
        </w:tc>
      </w:tr>
      <w:tr>
        <w:trPr>
          <w:trHeight w:val="711" w:hRule="atLeast"/>
        </w:trPr>
        <w:tc>
          <w:tcPr>
            <w:tcW w:w="1434" w:type="dxa"/>
            <w:vAlign w:val="top"/>
          </w:tcPr>
          <w:p>
            <w:pPr>
              <w:rPr>
                <w:rFonts w:ascii="Arial"/>
                <w:sz w:val="21"/>
              </w:rPr>
            </w:pPr>
            <w:r/>
          </w:p>
          <w:p>
            <w:pPr>
              <w:pStyle w:val="TableText"/>
              <w:ind w:left="208"/>
              <w:spacing w:before="81" w:line="219" w:lineRule="auto"/>
              <w:rPr>
                <w:sz w:val="25"/>
                <w:szCs w:val="25"/>
              </w:rPr>
            </w:pPr>
            <w:r>
              <w:rPr>
                <w:sz w:val="25"/>
                <w:szCs w:val="25"/>
                <w:b/>
                <w:bCs/>
                <w:spacing w:val="-5"/>
              </w:rPr>
              <w:t>特别严重</w:t>
            </w:r>
          </w:p>
        </w:tc>
        <w:tc>
          <w:tcPr>
            <w:tcW w:w="7475" w:type="dxa"/>
            <w:vAlign w:val="top"/>
          </w:tcPr>
          <w:p>
            <w:pPr>
              <w:pStyle w:val="TableText"/>
              <w:ind w:left="111"/>
              <w:spacing w:before="94" w:line="224" w:lineRule="auto"/>
              <w:rPr>
                <w:sz w:val="25"/>
                <w:szCs w:val="25"/>
              </w:rPr>
            </w:pPr>
            <w:r>
              <w:rPr>
                <w:sz w:val="25"/>
                <w:szCs w:val="25"/>
                <w:spacing w:val="-5"/>
              </w:rPr>
              <w:t>血站、医疗机构出售无偿献血的血液，不符合国家规定标准，足以危</w:t>
            </w:r>
            <w:r>
              <w:rPr>
                <w:sz w:val="25"/>
                <w:szCs w:val="25"/>
                <w:spacing w:val="2"/>
              </w:rPr>
              <w:t xml:space="preserve"> </w:t>
            </w:r>
            <w:r>
              <w:rPr>
                <w:sz w:val="25"/>
                <w:szCs w:val="25"/>
                <w:spacing w:val="2"/>
              </w:rPr>
              <w:t>害人体健康的</w:t>
            </w:r>
          </w:p>
        </w:tc>
        <w:tc>
          <w:tcPr>
            <w:tcW w:w="5221" w:type="dxa"/>
            <w:vAlign w:val="top"/>
          </w:tcPr>
          <w:p>
            <w:pPr>
              <w:pStyle w:val="TableText"/>
              <w:ind w:left="106"/>
              <w:spacing w:before="236" w:line="219" w:lineRule="auto"/>
              <w:rPr>
                <w:sz w:val="25"/>
                <w:szCs w:val="25"/>
              </w:rPr>
            </w:pPr>
            <w:r>
              <w:rPr>
                <w:sz w:val="25"/>
                <w:szCs w:val="25"/>
              </w:rPr>
              <w:t>予以取缔，没收违法所得，并处十万元罚款</w:t>
            </w:r>
          </w:p>
        </w:tc>
      </w:tr>
    </w:tbl>
    <w:p>
      <w:pPr>
        <w:pStyle w:val="BodyText"/>
        <w:spacing w:line="447" w:lineRule="auto"/>
        <w:rPr/>
      </w:pPr>
      <w:r/>
    </w:p>
    <w:p>
      <w:pPr>
        <w:ind w:left="749"/>
        <w:spacing w:before="97" w:line="220" w:lineRule="auto"/>
        <w:rPr>
          <w:rFonts w:ascii="FangSong" w:hAnsi="FangSong" w:eastAsia="FangSong" w:cs="FangSong"/>
          <w:sz w:val="30"/>
          <w:szCs w:val="30"/>
        </w:rPr>
      </w:pPr>
      <w:r>
        <w:rPr>
          <w:rFonts w:ascii="FangSong" w:hAnsi="FangSong" w:eastAsia="FangSong" w:cs="FangSong"/>
          <w:sz w:val="30"/>
          <w:szCs w:val="30"/>
          <w:b/>
          <w:bCs/>
          <w:spacing w:val="25"/>
        </w:rPr>
        <w:t>第三百三十二条非法组织他人出卖血液的</w:t>
      </w:r>
    </w:p>
    <w:p>
      <w:pPr>
        <w:ind w:left="744"/>
        <w:spacing w:before="80" w:line="222" w:lineRule="auto"/>
        <w:rPr>
          <w:rFonts w:ascii="FangSong" w:hAnsi="FangSong" w:eastAsia="FangSong" w:cs="FangSong"/>
          <w:sz w:val="30"/>
          <w:szCs w:val="30"/>
        </w:rPr>
      </w:pPr>
      <w:r>
        <w:rPr>
          <w:rFonts w:ascii="FangSong" w:hAnsi="FangSong" w:eastAsia="FangSong" w:cs="FangSong"/>
          <w:sz w:val="30"/>
          <w:szCs w:val="30"/>
          <w:spacing w:val="30"/>
        </w:rPr>
        <w:t>法律依据：</w:t>
      </w:r>
    </w:p>
    <w:p>
      <w:pPr>
        <w:ind w:left="104" w:right="99" w:firstLine="629"/>
        <w:spacing w:before="56" w:line="275" w:lineRule="auto"/>
        <w:jc w:val="both"/>
        <w:rPr>
          <w:rFonts w:ascii="FangSong" w:hAnsi="FangSong" w:eastAsia="FangSong" w:cs="FangSong"/>
          <w:sz w:val="30"/>
          <w:szCs w:val="30"/>
        </w:rPr>
      </w:pPr>
      <w:r>
        <w:rPr>
          <w:rFonts w:ascii="FangSong" w:hAnsi="FangSong" w:eastAsia="FangSong" w:cs="FangSong"/>
          <w:sz w:val="30"/>
          <w:szCs w:val="30"/>
          <w:spacing w:val="24"/>
        </w:rPr>
        <w:t>《中华人民共和国献血法》第十八条第(三)项</w:t>
      </w:r>
      <w:r>
        <w:rPr>
          <w:rFonts w:ascii="FangSong" w:hAnsi="FangSong" w:eastAsia="FangSong" w:cs="FangSong"/>
          <w:sz w:val="30"/>
          <w:szCs w:val="30"/>
          <w:spacing w:val="24"/>
        </w:rPr>
        <w:t xml:space="preserve">  </w:t>
      </w:r>
      <w:r>
        <w:rPr>
          <w:rFonts w:ascii="FangSong" w:hAnsi="FangSong" w:eastAsia="FangSong" w:cs="FangSong"/>
          <w:sz w:val="30"/>
          <w:szCs w:val="30"/>
          <w:spacing w:val="24"/>
        </w:rPr>
        <w:t>有下列行为之一的，由县级</w:t>
      </w:r>
      <w:r>
        <w:rPr>
          <w:rFonts w:ascii="FangSong" w:hAnsi="FangSong" w:eastAsia="FangSong" w:cs="FangSong"/>
          <w:sz w:val="30"/>
          <w:szCs w:val="30"/>
          <w:spacing w:val="23"/>
        </w:rPr>
        <w:t>以上地方人民政府</w:t>
      </w:r>
      <w:r>
        <w:rPr>
          <w:rFonts w:ascii="FangSong" w:hAnsi="FangSong" w:eastAsia="FangSong" w:cs="FangSong"/>
          <w:sz w:val="30"/>
          <w:szCs w:val="30"/>
        </w:rPr>
        <w:t xml:space="preserve"> </w:t>
      </w:r>
      <w:r>
        <w:rPr>
          <w:rFonts w:ascii="FangSong" w:hAnsi="FangSong" w:eastAsia="FangSong" w:cs="FangSong"/>
          <w:sz w:val="30"/>
          <w:szCs w:val="30"/>
          <w:spacing w:val="17"/>
        </w:rPr>
        <w:t>卫生行政部门予以取缔，没收违法所得，可以并处</w:t>
      </w:r>
      <w:r>
        <w:rPr>
          <w:rFonts w:ascii="FangSong" w:hAnsi="FangSong" w:eastAsia="FangSong" w:cs="FangSong"/>
          <w:sz w:val="30"/>
          <w:szCs w:val="30"/>
          <w:spacing w:val="16"/>
        </w:rPr>
        <w:t>十万元以下的罚款；构成犯罪的，依法追究刑事责</w:t>
      </w:r>
      <w:r>
        <w:rPr>
          <w:rFonts w:ascii="FangSong" w:hAnsi="FangSong" w:eastAsia="FangSong" w:cs="FangSong"/>
          <w:sz w:val="30"/>
          <w:szCs w:val="30"/>
        </w:rPr>
        <w:t xml:space="preserve"> </w:t>
      </w:r>
      <w:r>
        <w:rPr>
          <w:rFonts w:ascii="FangSong" w:hAnsi="FangSong" w:eastAsia="FangSong" w:cs="FangSong"/>
          <w:sz w:val="30"/>
          <w:szCs w:val="30"/>
          <w:spacing w:val="-8"/>
        </w:rPr>
        <w:t>任：</w:t>
      </w:r>
    </w:p>
    <w:p>
      <w:pPr>
        <w:ind w:left="904"/>
        <w:spacing w:before="1" w:line="221" w:lineRule="auto"/>
        <w:rPr>
          <w:rFonts w:ascii="FangSong" w:hAnsi="FangSong" w:eastAsia="FangSong" w:cs="FangSong"/>
          <w:sz w:val="30"/>
          <w:szCs w:val="30"/>
        </w:rPr>
      </w:pPr>
      <w:r>
        <w:rPr>
          <w:rFonts w:ascii="FangSong" w:hAnsi="FangSong" w:eastAsia="FangSong" w:cs="FangSong"/>
          <w:sz w:val="30"/>
          <w:szCs w:val="30"/>
          <w:spacing w:val="25"/>
        </w:rPr>
        <w:t>(三)非法组织他人出卖血液的。</w:t>
      </w:r>
    </w:p>
    <w:p>
      <w:pPr>
        <w:ind w:left="6518"/>
        <w:spacing w:before="166"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71" w:lineRule="exact"/>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94"/>
        <w:gridCol w:w="6205"/>
        <w:gridCol w:w="6550"/>
      </w:tblGrid>
      <w:tr>
        <w:trPr>
          <w:trHeight w:val="432" w:hRule="atLeast"/>
        </w:trPr>
        <w:tc>
          <w:tcPr>
            <w:tcW w:w="1394" w:type="dxa"/>
            <w:vAlign w:val="top"/>
          </w:tcPr>
          <w:p>
            <w:pPr>
              <w:pStyle w:val="TableText"/>
              <w:ind w:left="168"/>
              <w:spacing w:before="92" w:line="220" w:lineRule="auto"/>
              <w:rPr>
                <w:sz w:val="26"/>
                <w:szCs w:val="26"/>
              </w:rPr>
            </w:pPr>
            <w:r>
              <w:rPr>
                <w:sz w:val="26"/>
                <w:szCs w:val="26"/>
                <w:b/>
                <w:bCs/>
                <w:spacing w:val="-5"/>
              </w:rPr>
              <w:t>违法程度</w:t>
            </w:r>
          </w:p>
        </w:tc>
        <w:tc>
          <w:tcPr>
            <w:tcW w:w="6205" w:type="dxa"/>
            <w:vAlign w:val="top"/>
          </w:tcPr>
          <w:p>
            <w:pPr>
              <w:pStyle w:val="TableText"/>
              <w:ind w:left="2514"/>
              <w:spacing w:before="92" w:line="220" w:lineRule="auto"/>
              <w:rPr>
                <w:sz w:val="26"/>
                <w:szCs w:val="26"/>
              </w:rPr>
            </w:pPr>
            <w:r>
              <w:rPr>
                <w:sz w:val="26"/>
                <w:szCs w:val="26"/>
                <w:b/>
                <w:bCs/>
                <w:spacing w:val="-5"/>
              </w:rPr>
              <w:t>违法后果</w:t>
            </w:r>
          </w:p>
        </w:tc>
        <w:tc>
          <w:tcPr>
            <w:tcW w:w="6550" w:type="dxa"/>
            <w:vAlign w:val="top"/>
          </w:tcPr>
          <w:p>
            <w:pPr>
              <w:pStyle w:val="TableText"/>
              <w:ind w:left="2709"/>
              <w:spacing w:before="89" w:line="218" w:lineRule="auto"/>
              <w:rPr>
                <w:sz w:val="26"/>
                <w:szCs w:val="26"/>
              </w:rPr>
            </w:pPr>
            <w:r>
              <w:rPr>
                <w:sz w:val="26"/>
                <w:szCs w:val="26"/>
                <w:b/>
                <w:bCs/>
                <w:spacing w:val="-5"/>
              </w:rPr>
              <w:t>裁量幅度</w:t>
            </w:r>
          </w:p>
        </w:tc>
      </w:tr>
      <w:tr>
        <w:trPr>
          <w:trHeight w:val="536" w:hRule="atLeast"/>
        </w:trPr>
        <w:tc>
          <w:tcPr>
            <w:tcW w:w="1394" w:type="dxa"/>
            <w:vAlign w:val="top"/>
          </w:tcPr>
          <w:p>
            <w:pPr>
              <w:pStyle w:val="TableText"/>
              <w:ind w:left="428"/>
              <w:spacing w:before="140" w:line="220" w:lineRule="auto"/>
              <w:rPr>
                <w:sz w:val="26"/>
                <w:szCs w:val="26"/>
              </w:rPr>
            </w:pPr>
            <w:r>
              <w:rPr>
                <w:sz w:val="26"/>
                <w:szCs w:val="26"/>
                <w:b/>
                <w:bCs/>
                <w:spacing w:val="-6"/>
              </w:rPr>
              <w:t>严重</w:t>
            </w:r>
          </w:p>
        </w:tc>
        <w:tc>
          <w:tcPr>
            <w:tcW w:w="6205" w:type="dxa"/>
            <w:vAlign w:val="top"/>
          </w:tcPr>
          <w:p>
            <w:pPr>
              <w:pStyle w:val="TableText"/>
              <w:ind w:left="90"/>
              <w:spacing w:before="143" w:line="219" w:lineRule="auto"/>
              <w:rPr>
                <w:sz w:val="26"/>
                <w:szCs w:val="26"/>
              </w:rPr>
            </w:pPr>
            <w:r>
              <w:rPr>
                <w:sz w:val="26"/>
                <w:szCs w:val="26"/>
                <w:spacing w:val="1"/>
              </w:rPr>
              <w:t>违法所得1000元以下或1人次的</w:t>
            </w:r>
          </w:p>
        </w:tc>
        <w:tc>
          <w:tcPr>
            <w:tcW w:w="6550" w:type="dxa"/>
            <w:vAlign w:val="top"/>
          </w:tcPr>
          <w:p>
            <w:pPr>
              <w:pStyle w:val="TableText"/>
              <w:ind w:left="105"/>
              <w:spacing w:before="143" w:line="219" w:lineRule="auto"/>
              <w:rPr>
                <w:sz w:val="26"/>
                <w:szCs w:val="26"/>
              </w:rPr>
            </w:pPr>
            <w:r>
              <w:rPr>
                <w:sz w:val="26"/>
                <w:szCs w:val="26"/>
              </w:rPr>
              <w:t>没收违法所得，并处5万元以下罚款</w:t>
            </w:r>
          </w:p>
        </w:tc>
      </w:tr>
      <w:tr>
        <w:trPr>
          <w:trHeight w:val="392" w:hRule="atLeast"/>
        </w:trPr>
        <w:tc>
          <w:tcPr>
            <w:tcW w:w="1394" w:type="dxa"/>
            <w:vAlign w:val="top"/>
          </w:tcPr>
          <w:p>
            <w:pPr>
              <w:pStyle w:val="TableText"/>
              <w:ind w:left="168"/>
              <w:spacing w:before="73" w:line="219" w:lineRule="auto"/>
              <w:rPr>
                <w:sz w:val="26"/>
                <w:szCs w:val="26"/>
              </w:rPr>
            </w:pPr>
            <w:r>
              <w:rPr>
                <w:sz w:val="26"/>
                <w:szCs w:val="26"/>
                <w:b/>
                <w:bCs/>
                <w:spacing w:val="-5"/>
              </w:rPr>
              <w:t>特别严重</w:t>
            </w:r>
          </w:p>
        </w:tc>
        <w:tc>
          <w:tcPr>
            <w:tcW w:w="6205" w:type="dxa"/>
            <w:vAlign w:val="top"/>
          </w:tcPr>
          <w:p>
            <w:pPr>
              <w:pStyle w:val="TableText"/>
              <w:ind w:left="90"/>
              <w:spacing w:before="77" w:line="216" w:lineRule="auto"/>
              <w:rPr>
                <w:sz w:val="26"/>
                <w:szCs w:val="26"/>
              </w:rPr>
            </w:pPr>
            <w:r>
              <w:rPr>
                <w:sz w:val="26"/>
                <w:szCs w:val="26"/>
                <w:spacing w:val="1"/>
              </w:rPr>
              <w:t>违法所得1000元以上或2人次以上的</w:t>
            </w:r>
          </w:p>
        </w:tc>
        <w:tc>
          <w:tcPr>
            <w:tcW w:w="6550" w:type="dxa"/>
            <w:vAlign w:val="top"/>
          </w:tcPr>
          <w:p>
            <w:pPr>
              <w:pStyle w:val="TableText"/>
              <w:ind w:left="105"/>
              <w:spacing w:before="77" w:line="216" w:lineRule="auto"/>
              <w:rPr>
                <w:sz w:val="26"/>
                <w:szCs w:val="26"/>
              </w:rPr>
            </w:pPr>
            <w:r>
              <w:rPr>
                <w:sz w:val="26"/>
                <w:szCs w:val="26"/>
              </w:rPr>
              <w:t>没收违法所得，并处5万元以上10万元以下的罚款</w:t>
            </w:r>
          </w:p>
        </w:tc>
      </w:tr>
    </w:tbl>
    <w:p>
      <w:pPr>
        <w:pStyle w:val="BodyText"/>
        <w:spacing w:line="446" w:lineRule="auto"/>
        <w:rPr/>
      </w:pPr>
      <w:r/>
    </w:p>
    <w:p>
      <w:pPr>
        <w:ind w:left="749"/>
        <w:spacing w:before="97" w:line="219" w:lineRule="auto"/>
        <w:rPr>
          <w:rFonts w:ascii="FangSong" w:hAnsi="FangSong" w:eastAsia="FangSong" w:cs="FangSong"/>
          <w:sz w:val="30"/>
          <w:szCs w:val="30"/>
        </w:rPr>
      </w:pPr>
      <w:r>
        <w:rPr>
          <w:rFonts w:ascii="FangSong" w:hAnsi="FangSong" w:eastAsia="FangSong" w:cs="FangSong"/>
          <w:sz w:val="30"/>
          <w:szCs w:val="30"/>
          <w:b/>
          <w:bCs/>
          <w:spacing w:val="22"/>
        </w:rPr>
        <w:t>第三百三十三条临床用血的包装、储存、运输，不符合国家</w:t>
      </w:r>
      <w:r>
        <w:rPr>
          <w:rFonts w:ascii="FangSong" w:hAnsi="FangSong" w:eastAsia="FangSong" w:cs="FangSong"/>
          <w:sz w:val="30"/>
          <w:szCs w:val="30"/>
          <w:b/>
          <w:bCs/>
          <w:spacing w:val="21"/>
        </w:rPr>
        <w:t>规定的卫生标准和要求的</w:t>
      </w:r>
    </w:p>
    <w:p>
      <w:pPr>
        <w:ind w:left="744"/>
        <w:spacing w:before="73" w:line="222" w:lineRule="auto"/>
        <w:rPr>
          <w:rFonts w:ascii="FangSong" w:hAnsi="FangSong" w:eastAsia="FangSong" w:cs="FangSong"/>
          <w:sz w:val="30"/>
          <w:szCs w:val="30"/>
        </w:rPr>
      </w:pPr>
      <w:r>
        <w:rPr>
          <w:rFonts w:ascii="FangSong" w:hAnsi="FangSong" w:eastAsia="FangSong" w:cs="FangSong"/>
          <w:sz w:val="30"/>
          <w:szCs w:val="30"/>
          <w:spacing w:val="34"/>
        </w:rPr>
        <w:t>法律依据：</w:t>
      </w:r>
    </w:p>
    <w:p>
      <w:pPr>
        <w:spacing w:line="222" w:lineRule="auto"/>
        <w:sectPr>
          <w:footerReference w:type="default" r:id="rId378"/>
          <w:pgSz w:w="16830" w:h="11900"/>
          <w:pgMar w:top="1011" w:right="1344" w:bottom="1107" w:left="1325" w:header="0" w:footer="774" w:gutter="0"/>
        </w:sectPr>
        <w:rPr>
          <w:rFonts w:ascii="FangSong" w:hAnsi="FangSong" w:eastAsia="FangSong" w:cs="FangSong"/>
          <w:sz w:val="30"/>
          <w:szCs w:val="30"/>
        </w:rPr>
      </w:pPr>
    </w:p>
    <w:p>
      <w:pPr>
        <w:pStyle w:val="BodyText"/>
        <w:spacing w:line="261" w:lineRule="auto"/>
        <w:rPr/>
      </w:pPr>
      <w:r/>
    </w:p>
    <w:p>
      <w:pPr>
        <w:pStyle w:val="BodyText"/>
        <w:spacing w:line="261" w:lineRule="auto"/>
        <w:rPr/>
      </w:pPr>
      <w:r/>
    </w:p>
    <w:p>
      <w:pPr>
        <w:pStyle w:val="BodyText"/>
        <w:spacing w:line="261" w:lineRule="auto"/>
        <w:rPr/>
      </w:pPr>
      <w:r/>
    </w:p>
    <w:p>
      <w:pPr>
        <w:ind w:left="115" w:right="76" w:firstLine="649"/>
        <w:spacing w:before="97" w:line="267" w:lineRule="auto"/>
        <w:jc w:val="both"/>
        <w:rPr>
          <w:rFonts w:ascii="FangSong" w:hAnsi="FangSong" w:eastAsia="FangSong" w:cs="FangSong"/>
          <w:sz w:val="30"/>
          <w:szCs w:val="30"/>
        </w:rPr>
      </w:pPr>
      <w:bookmarkStart w:name="bookmark1031" w:id="401"/>
      <w:bookmarkEnd w:id="401"/>
      <w:r>
        <w:rPr>
          <w:rFonts w:ascii="FangSong" w:hAnsi="FangSong" w:eastAsia="FangSong" w:cs="FangSong"/>
          <w:sz w:val="30"/>
          <w:szCs w:val="30"/>
          <w:spacing w:val="17"/>
        </w:rPr>
        <w:t>《中华人民共和国献血法》第二十条</w:t>
      </w:r>
      <w:r>
        <w:rPr>
          <w:rFonts w:ascii="FangSong" w:hAnsi="FangSong" w:eastAsia="FangSong" w:cs="FangSong"/>
          <w:sz w:val="30"/>
          <w:szCs w:val="30"/>
          <w:spacing w:val="17"/>
        </w:rPr>
        <w:t xml:space="preserve">  </w:t>
      </w:r>
      <w:r>
        <w:rPr>
          <w:rFonts w:ascii="FangSong" w:hAnsi="FangSong" w:eastAsia="FangSong" w:cs="FangSong"/>
          <w:sz w:val="30"/>
          <w:szCs w:val="30"/>
          <w:spacing w:val="17"/>
        </w:rPr>
        <w:t>临床用血的包装、储存、运输，不符合国家规定</w:t>
      </w:r>
      <w:r>
        <w:rPr>
          <w:rFonts w:ascii="FangSong" w:hAnsi="FangSong" w:eastAsia="FangSong" w:cs="FangSong"/>
          <w:sz w:val="30"/>
          <w:szCs w:val="30"/>
          <w:spacing w:val="16"/>
        </w:rPr>
        <w:t>的卫生标</w:t>
      </w:r>
      <w:r>
        <w:rPr>
          <w:rFonts w:ascii="FangSong" w:hAnsi="FangSong" w:eastAsia="FangSong" w:cs="FangSong"/>
          <w:sz w:val="30"/>
          <w:szCs w:val="30"/>
        </w:rPr>
        <w:t xml:space="preserve"> </w:t>
      </w:r>
      <w:r>
        <w:rPr>
          <w:rFonts w:ascii="FangSong" w:hAnsi="FangSong" w:eastAsia="FangSong" w:cs="FangSong"/>
          <w:sz w:val="30"/>
          <w:szCs w:val="30"/>
          <w:spacing w:val="17"/>
        </w:rPr>
        <w:t>准和要求的，由县级以上地方人民政府卫生行政部门责令改正，给予警告，可以并处一万元以下的罚</w:t>
      </w:r>
      <w:r>
        <w:rPr>
          <w:rFonts w:ascii="FangSong" w:hAnsi="FangSong" w:eastAsia="FangSong" w:cs="FangSong"/>
          <w:sz w:val="30"/>
          <w:szCs w:val="30"/>
          <w:spacing w:val="15"/>
        </w:rPr>
        <w:t xml:space="preserve"> </w:t>
      </w:r>
      <w:r>
        <w:rPr>
          <w:rFonts w:ascii="FangSong" w:hAnsi="FangSong" w:eastAsia="FangSong" w:cs="FangSong"/>
          <w:sz w:val="30"/>
          <w:szCs w:val="30"/>
          <w:spacing w:val="-5"/>
        </w:rPr>
        <w:t>款。</w:t>
      </w:r>
    </w:p>
    <w:p>
      <w:pPr>
        <w:ind w:left="6539"/>
        <w:spacing w:before="76"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10" w:lineRule="exact"/>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155"/>
        <w:gridCol w:w="5561"/>
      </w:tblGrid>
      <w:tr>
        <w:trPr>
          <w:trHeight w:val="443" w:hRule="atLeast"/>
        </w:trPr>
        <w:tc>
          <w:tcPr>
            <w:tcW w:w="1444" w:type="dxa"/>
            <w:vAlign w:val="top"/>
          </w:tcPr>
          <w:p>
            <w:pPr>
              <w:pStyle w:val="TableText"/>
              <w:ind w:left="138"/>
              <w:spacing w:before="10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155" w:type="dxa"/>
            <w:vAlign w:val="top"/>
          </w:tcPr>
          <w:p>
            <w:pPr>
              <w:pStyle w:val="TableText"/>
              <w:ind w:left="2994"/>
              <w:spacing w:before="102" w:line="220" w:lineRule="auto"/>
              <w:rPr/>
            </w:pPr>
            <w:r>
              <w:rPr>
                <w:b/>
                <w:bCs/>
                <w:spacing w:val="-11"/>
              </w:rPr>
              <w:t>违</w:t>
            </w:r>
            <w:r>
              <w:rPr>
                <w:spacing w:val="-36"/>
              </w:rPr>
              <w:t xml:space="preserve"> </w:t>
            </w:r>
            <w:r>
              <w:rPr>
                <w:b/>
                <w:bCs/>
                <w:spacing w:val="-11"/>
              </w:rPr>
              <w:t>法</w:t>
            </w:r>
            <w:r>
              <w:rPr>
                <w:spacing w:val="-37"/>
              </w:rPr>
              <w:t xml:space="preserve"> </w:t>
            </w:r>
            <w:r>
              <w:rPr>
                <w:b/>
                <w:bCs/>
                <w:spacing w:val="-11"/>
              </w:rPr>
              <w:t>后</w:t>
            </w:r>
            <w:r>
              <w:rPr>
                <w:spacing w:val="-33"/>
              </w:rPr>
              <w:t xml:space="preserve"> </w:t>
            </w:r>
            <w:r>
              <w:rPr>
                <w:b/>
                <w:bCs/>
                <w:spacing w:val="-11"/>
              </w:rPr>
              <w:t>果</w:t>
            </w:r>
          </w:p>
        </w:tc>
        <w:tc>
          <w:tcPr>
            <w:tcW w:w="5561" w:type="dxa"/>
            <w:vAlign w:val="top"/>
          </w:tcPr>
          <w:p>
            <w:pPr>
              <w:pStyle w:val="TableText"/>
              <w:ind w:left="2199"/>
              <w:spacing w:before="9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77" w:hRule="atLeast"/>
        </w:trPr>
        <w:tc>
          <w:tcPr>
            <w:tcW w:w="1444" w:type="dxa"/>
            <w:vAlign w:val="top"/>
          </w:tcPr>
          <w:p>
            <w:pPr>
              <w:pStyle w:val="TableText"/>
              <w:ind w:left="478"/>
              <w:spacing w:before="59" w:line="221" w:lineRule="auto"/>
              <w:rPr/>
            </w:pPr>
            <w:r>
              <w:rPr>
                <w:b/>
                <w:bCs/>
                <w:spacing w:val="-10"/>
              </w:rPr>
              <w:t>一般</w:t>
            </w:r>
          </w:p>
        </w:tc>
        <w:tc>
          <w:tcPr>
            <w:tcW w:w="7155" w:type="dxa"/>
            <w:vAlign w:val="top"/>
          </w:tcPr>
          <w:p>
            <w:pPr>
              <w:pStyle w:val="TableText"/>
              <w:ind w:left="90"/>
              <w:spacing w:before="71" w:line="219" w:lineRule="auto"/>
              <w:rPr/>
            </w:pPr>
            <w:r>
              <w:rPr/>
              <w:t>临床用血的包装、储存、运输，不符合国家规定的卫生标准和要求</w:t>
            </w:r>
          </w:p>
          <w:p>
            <w:pPr>
              <w:pStyle w:val="TableText"/>
              <w:ind w:left="101"/>
              <w:spacing w:before="49" w:line="201" w:lineRule="auto"/>
              <w:rPr/>
            </w:pPr>
            <w:r>
              <w:rPr>
                <w:color w:val="405050"/>
              </w:rPr>
              <w:t>的</w:t>
            </w:r>
          </w:p>
        </w:tc>
        <w:tc>
          <w:tcPr>
            <w:tcW w:w="5561" w:type="dxa"/>
            <w:vAlign w:val="top"/>
          </w:tcPr>
          <w:p>
            <w:pPr>
              <w:pStyle w:val="TableText"/>
              <w:ind w:left="135"/>
              <w:spacing w:before="69" w:line="218" w:lineRule="auto"/>
              <w:rPr/>
            </w:pPr>
            <w:r>
              <w:rPr/>
              <w:t>责令改正，给予警告，可以并处五千元以下的罚款</w:t>
            </w:r>
          </w:p>
        </w:tc>
      </w:tr>
      <w:tr>
        <w:trPr>
          <w:trHeight w:val="677" w:hRule="atLeast"/>
        </w:trPr>
        <w:tc>
          <w:tcPr>
            <w:tcW w:w="1444" w:type="dxa"/>
            <w:vAlign w:val="top"/>
          </w:tcPr>
          <w:p>
            <w:pPr>
              <w:pStyle w:val="TableText"/>
              <w:ind w:left="478"/>
              <w:spacing w:before="74" w:line="221" w:lineRule="auto"/>
              <w:rPr/>
            </w:pPr>
            <w:r>
              <w:rPr>
                <w:b/>
                <w:bCs/>
                <w:spacing w:val="-5"/>
              </w:rPr>
              <w:t>较重</w:t>
            </w:r>
          </w:p>
        </w:tc>
        <w:tc>
          <w:tcPr>
            <w:tcW w:w="7155" w:type="dxa"/>
            <w:vAlign w:val="top"/>
          </w:tcPr>
          <w:p>
            <w:pPr>
              <w:pStyle w:val="TableText"/>
              <w:ind w:left="100" w:right="81" w:hanging="10"/>
              <w:spacing w:before="74" w:line="228" w:lineRule="auto"/>
              <w:rPr/>
            </w:pPr>
            <w:r>
              <w:rPr/>
              <w:t>因临床用血的包装、储存、运输，不符合国家规定的卫生标准和要</w:t>
            </w:r>
            <w:r>
              <w:rPr>
                <w:spacing w:val="11"/>
              </w:rPr>
              <w:t xml:space="preserve"> </w:t>
            </w:r>
            <w:r>
              <w:rPr>
                <w:spacing w:val="1"/>
              </w:rPr>
              <w:t>求受过卫生行政处罚仍未改正的</w:t>
            </w:r>
          </w:p>
        </w:tc>
        <w:tc>
          <w:tcPr>
            <w:tcW w:w="5561" w:type="dxa"/>
            <w:vAlign w:val="top"/>
          </w:tcPr>
          <w:p>
            <w:pPr>
              <w:pStyle w:val="TableText"/>
              <w:ind w:left="135"/>
              <w:spacing w:before="62" w:line="218" w:lineRule="auto"/>
              <w:rPr/>
            </w:pPr>
            <w:r>
              <w:rPr/>
              <w:t>责令改正，给予警告，并处五千元以上一万元以下</w:t>
            </w:r>
          </w:p>
          <w:p>
            <w:pPr>
              <w:pStyle w:val="TableText"/>
              <w:ind w:left="126"/>
              <w:spacing w:before="60" w:line="200" w:lineRule="auto"/>
              <w:rPr/>
            </w:pPr>
            <w:r>
              <w:rPr>
                <w:color w:val="505040"/>
                <w:spacing w:val="3"/>
              </w:rPr>
              <w:t>的罚款</w:t>
            </w:r>
          </w:p>
        </w:tc>
      </w:tr>
      <w:tr>
        <w:trPr>
          <w:trHeight w:val="682" w:hRule="atLeast"/>
        </w:trPr>
        <w:tc>
          <w:tcPr>
            <w:tcW w:w="1444" w:type="dxa"/>
            <w:vAlign w:val="top"/>
          </w:tcPr>
          <w:p>
            <w:pPr>
              <w:pStyle w:val="TableText"/>
              <w:ind w:left="238"/>
              <w:spacing w:before="74" w:line="219" w:lineRule="auto"/>
              <w:rPr/>
            </w:pPr>
            <w:r>
              <w:rPr>
                <w:b/>
                <w:bCs/>
                <w:spacing w:val="-5"/>
              </w:rPr>
              <w:t>特别严重</w:t>
            </w:r>
          </w:p>
        </w:tc>
        <w:tc>
          <w:tcPr>
            <w:tcW w:w="7155" w:type="dxa"/>
            <w:vAlign w:val="top"/>
          </w:tcPr>
          <w:p>
            <w:pPr>
              <w:pStyle w:val="TableText"/>
              <w:ind w:left="100" w:right="81" w:hanging="10"/>
              <w:spacing w:before="76" w:line="229" w:lineRule="auto"/>
              <w:rPr/>
            </w:pPr>
            <w:r>
              <w:rPr/>
              <w:t>因临床用血的包装、储存、运输，不符合国家规定的卫生标准和要</w:t>
            </w:r>
            <w:r>
              <w:rPr>
                <w:spacing w:val="11"/>
              </w:rPr>
              <w:t xml:space="preserve"> </w:t>
            </w:r>
            <w:r>
              <w:rPr/>
              <w:t>求，造成传染病传播或人身伤害等严重后果的</w:t>
            </w:r>
          </w:p>
        </w:tc>
        <w:tc>
          <w:tcPr>
            <w:tcW w:w="5561" w:type="dxa"/>
            <w:vAlign w:val="top"/>
          </w:tcPr>
          <w:p>
            <w:pPr>
              <w:pStyle w:val="TableText"/>
              <w:ind w:left="126"/>
              <w:spacing w:before="225" w:line="218" w:lineRule="auto"/>
              <w:rPr/>
            </w:pPr>
            <w:r>
              <w:rPr/>
              <w:t>责令改正，警告，并处一万元罚款</w:t>
            </w:r>
          </w:p>
        </w:tc>
      </w:tr>
    </w:tbl>
    <w:p>
      <w:pPr>
        <w:pStyle w:val="BodyText"/>
        <w:spacing w:line="256" w:lineRule="auto"/>
        <w:rPr/>
      </w:pPr>
      <w:r/>
    </w:p>
    <w:p>
      <w:pPr>
        <w:ind w:left="899"/>
        <w:spacing w:before="98" w:line="223" w:lineRule="auto"/>
        <w:rPr>
          <w:rFonts w:ascii="KaiTi" w:hAnsi="KaiTi" w:eastAsia="KaiTi" w:cs="KaiTi"/>
          <w:sz w:val="30"/>
          <w:szCs w:val="30"/>
        </w:rPr>
      </w:pPr>
      <w:r>
        <w:rPr>
          <w:rFonts w:ascii="KaiTi" w:hAnsi="KaiTi" w:eastAsia="KaiTi" w:cs="KaiTi"/>
          <w:sz w:val="30"/>
          <w:szCs w:val="30"/>
          <w:b/>
          <w:bCs/>
          <w:spacing w:val="28"/>
        </w:rPr>
        <w:t>(三十)《血液制品管理条例》</w:t>
      </w:r>
    </w:p>
    <w:p>
      <w:pPr>
        <w:ind w:left="119" w:right="62" w:firstLine="659"/>
        <w:spacing w:before="326" w:line="271" w:lineRule="auto"/>
        <w:rPr>
          <w:rFonts w:ascii="KaiTi" w:hAnsi="KaiTi" w:eastAsia="KaiTi" w:cs="KaiTi"/>
          <w:sz w:val="30"/>
          <w:szCs w:val="30"/>
        </w:rPr>
      </w:pPr>
      <w:r>
        <w:rPr>
          <w:rFonts w:ascii="KaiTi" w:hAnsi="KaiTi" w:eastAsia="KaiTi" w:cs="KaiTi"/>
          <w:sz w:val="30"/>
          <w:szCs w:val="30"/>
          <w:b/>
          <w:bCs/>
          <w:spacing w:val="18"/>
        </w:rPr>
        <w:t>第三百三十四条未取得省、自治区、直辖市人民政府卫生行政部门核</w:t>
      </w:r>
      <w:r>
        <w:rPr>
          <w:rFonts w:ascii="KaiTi" w:hAnsi="KaiTi" w:eastAsia="KaiTi" w:cs="KaiTi"/>
          <w:sz w:val="30"/>
          <w:szCs w:val="30"/>
          <w:b/>
          <w:bCs/>
          <w:spacing w:val="17"/>
        </w:rPr>
        <w:t>发的《单采血浆许可证》,</w:t>
      </w:r>
      <w:r>
        <w:rPr>
          <w:rFonts w:ascii="KaiTi" w:hAnsi="KaiTi" w:eastAsia="KaiTi" w:cs="KaiTi"/>
          <w:sz w:val="30"/>
          <w:szCs w:val="30"/>
        </w:rPr>
        <w:t xml:space="preserve"> </w:t>
      </w:r>
      <w:r>
        <w:rPr>
          <w:rFonts w:ascii="KaiTi" w:hAnsi="KaiTi" w:eastAsia="KaiTi" w:cs="KaiTi"/>
          <w:sz w:val="30"/>
          <w:szCs w:val="30"/>
          <w:b/>
          <w:bCs/>
          <w:spacing w:val="16"/>
        </w:rPr>
        <w:t>非法从事组织、采集、供应、倒卖原料血浆活动的</w:t>
      </w:r>
    </w:p>
    <w:p>
      <w:pPr>
        <w:ind w:left="774"/>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15" w:right="123" w:firstLine="659"/>
        <w:spacing w:before="88" w:line="270" w:lineRule="auto"/>
        <w:jc w:val="both"/>
        <w:rPr>
          <w:rFonts w:ascii="FangSong" w:hAnsi="FangSong" w:eastAsia="FangSong" w:cs="FangSong"/>
          <w:sz w:val="30"/>
          <w:szCs w:val="30"/>
        </w:rPr>
      </w:pPr>
      <w:r>
        <w:rPr>
          <w:rFonts w:ascii="FangSong" w:hAnsi="FangSong" w:eastAsia="FangSong" w:cs="FangSong"/>
          <w:sz w:val="30"/>
          <w:szCs w:val="30"/>
          <w:spacing w:val="9"/>
        </w:rPr>
        <w:t>1.</w:t>
      </w:r>
      <w:r>
        <w:rPr>
          <w:rFonts w:ascii="FangSong" w:hAnsi="FangSong" w:eastAsia="FangSong" w:cs="FangSong"/>
          <w:sz w:val="30"/>
          <w:szCs w:val="30"/>
          <w:spacing w:val="9"/>
        </w:rPr>
        <w:t xml:space="preserve"> </w:t>
      </w:r>
      <w:r>
        <w:rPr>
          <w:rFonts w:ascii="FangSong" w:hAnsi="FangSong" w:eastAsia="FangSong" w:cs="FangSong"/>
          <w:sz w:val="30"/>
          <w:szCs w:val="30"/>
          <w:spacing w:val="9"/>
        </w:rPr>
        <w:t>《血液制品管理条例》第三十四条</w:t>
      </w:r>
      <w:r>
        <w:rPr>
          <w:rFonts w:ascii="FangSong" w:hAnsi="FangSong" w:eastAsia="FangSong" w:cs="FangSong"/>
          <w:sz w:val="30"/>
          <w:szCs w:val="30"/>
          <w:spacing w:val="66"/>
        </w:rPr>
        <w:t xml:space="preserve">  </w:t>
      </w:r>
      <w:r>
        <w:rPr>
          <w:rFonts w:ascii="FangSong" w:hAnsi="FangSong" w:eastAsia="FangSong" w:cs="FangSong"/>
          <w:sz w:val="30"/>
          <w:szCs w:val="30"/>
          <w:spacing w:val="9"/>
        </w:rPr>
        <w:t>违反本条例规定，未取得省、自治区、直辖市人民政府卫</w:t>
      </w:r>
      <w:r>
        <w:rPr>
          <w:rFonts w:ascii="FangSong" w:hAnsi="FangSong" w:eastAsia="FangSong" w:cs="FangSong"/>
          <w:sz w:val="30"/>
          <w:szCs w:val="30"/>
          <w:spacing w:val="1"/>
        </w:rPr>
        <w:t xml:space="preserve"> </w:t>
      </w:r>
      <w:r>
        <w:rPr>
          <w:rFonts w:ascii="FangSong" w:hAnsi="FangSong" w:eastAsia="FangSong" w:cs="FangSong"/>
          <w:sz w:val="30"/>
          <w:szCs w:val="30"/>
          <w:spacing w:val="20"/>
        </w:rPr>
        <w:t>生行政部门核发的《单采血浆许可证》,非法从事组织、采集、供应、倒卖原料血浆活动的，由县级</w:t>
      </w:r>
      <w:r>
        <w:rPr>
          <w:rFonts w:ascii="FangSong" w:hAnsi="FangSong" w:eastAsia="FangSong" w:cs="FangSong"/>
          <w:sz w:val="30"/>
          <w:szCs w:val="30"/>
        </w:rPr>
        <w:t xml:space="preserve"> </w:t>
      </w:r>
      <w:r>
        <w:rPr>
          <w:rFonts w:ascii="FangSong" w:hAnsi="FangSong" w:eastAsia="FangSong" w:cs="FangSong"/>
          <w:sz w:val="30"/>
          <w:szCs w:val="30"/>
          <w:spacing w:val="16"/>
        </w:rPr>
        <w:t>以上地方人民政府卫生行政部门予以取缔，没收违法所得和从事违法活动的器材、设备</w:t>
      </w:r>
      <w:r>
        <w:rPr>
          <w:rFonts w:ascii="FangSong" w:hAnsi="FangSong" w:eastAsia="FangSong" w:cs="FangSong"/>
          <w:sz w:val="30"/>
          <w:szCs w:val="30"/>
          <w:spacing w:val="15"/>
        </w:rPr>
        <w:t>，并处违法所</w:t>
      </w:r>
    </w:p>
    <w:p>
      <w:pPr>
        <w:spacing w:line="270" w:lineRule="auto"/>
        <w:sectPr>
          <w:footerReference w:type="default" r:id="rId379"/>
          <w:pgSz w:w="16830" w:h="11900"/>
          <w:pgMar w:top="1011" w:right="1344" w:bottom="1117" w:left="1314" w:header="0" w:footer="784" w:gutter="0"/>
        </w:sectPr>
        <w:rPr>
          <w:rFonts w:ascii="FangSong" w:hAnsi="FangSong" w:eastAsia="FangSong" w:cs="FangSong"/>
          <w:sz w:val="30"/>
          <w:szCs w:val="30"/>
        </w:rPr>
      </w:pPr>
    </w:p>
    <w:p>
      <w:pPr>
        <w:pStyle w:val="BodyText"/>
        <w:spacing w:line="267" w:lineRule="auto"/>
        <w:rPr/>
      </w:pPr>
      <w:r/>
    </w:p>
    <w:p>
      <w:pPr>
        <w:pStyle w:val="BodyText"/>
        <w:spacing w:line="267" w:lineRule="auto"/>
        <w:rPr/>
      </w:pPr>
      <w:r/>
    </w:p>
    <w:p>
      <w:pPr>
        <w:pStyle w:val="BodyText"/>
        <w:spacing w:line="268" w:lineRule="auto"/>
        <w:rPr/>
      </w:pPr>
      <w:r/>
    </w:p>
    <w:p>
      <w:pPr>
        <w:ind w:left="124" w:right="86"/>
        <w:spacing w:before="98" w:line="271" w:lineRule="auto"/>
        <w:rPr>
          <w:rFonts w:ascii="FangSong" w:hAnsi="FangSong" w:eastAsia="FangSong" w:cs="FangSong"/>
          <w:sz w:val="30"/>
          <w:szCs w:val="30"/>
        </w:rPr>
      </w:pPr>
      <w:r>
        <w:rPr>
          <w:rFonts w:ascii="FangSong" w:hAnsi="FangSong" w:eastAsia="FangSong" w:cs="FangSong"/>
          <w:sz w:val="30"/>
          <w:szCs w:val="30"/>
          <w:spacing w:val="18"/>
        </w:rPr>
        <w:t>得</w:t>
      </w:r>
      <w:r>
        <w:rPr>
          <w:rFonts w:ascii="FangSong" w:hAnsi="FangSong" w:eastAsia="FangSong" w:cs="FangSong"/>
          <w:sz w:val="30"/>
          <w:szCs w:val="30"/>
          <w:spacing w:val="18"/>
        </w:rPr>
        <w:t xml:space="preserve"> </w:t>
      </w:r>
      <w:r>
        <w:rPr>
          <w:rFonts w:ascii="FangSong" w:hAnsi="FangSong" w:eastAsia="FangSong" w:cs="FangSong"/>
          <w:sz w:val="30"/>
          <w:szCs w:val="30"/>
          <w:spacing w:val="18"/>
        </w:rPr>
        <w:t>5</w:t>
      </w:r>
      <w:r>
        <w:rPr>
          <w:rFonts w:ascii="FangSong" w:hAnsi="FangSong" w:eastAsia="FangSong" w:cs="FangSong"/>
          <w:sz w:val="30"/>
          <w:szCs w:val="30"/>
          <w:spacing w:val="18"/>
        </w:rPr>
        <w:t xml:space="preserve"> </w:t>
      </w:r>
      <w:r>
        <w:rPr>
          <w:rFonts w:ascii="FangSong" w:hAnsi="FangSong" w:eastAsia="FangSong" w:cs="FangSong"/>
          <w:sz w:val="30"/>
          <w:szCs w:val="30"/>
          <w:spacing w:val="18"/>
        </w:rPr>
        <w:t>倍以上10</w:t>
      </w:r>
      <w:r>
        <w:rPr>
          <w:rFonts w:ascii="FangSong" w:hAnsi="FangSong" w:eastAsia="FangSong" w:cs="FangSong"/>
          <w:sz w:val="30"/>
          <w:szCs w:val="30"/>
          <w:spacing w:val="18"/>
        </w:rPr>
        <w:t xml:space="preserve"> </w:t>
      </w:r>
      <w:r>
        <w:rPr>
          <w:rFonts w:ascii="FangSong" w:hAnsi="FangSong" w:eastAsia="FangSong" w:cs="FangSong"/>
          <w:sz w:val="30"/>
          <w:szCs w:val="30"/>
          <w:spacing w:val="18"/>
        </w:rPr>
        <w:t>倍以下的罚款，没有违法所得的，并处5</w:t>
      </w:r>
      <w:r>
        <w:rPr>
          <w:rFonts w:ascii="FangSong" w:hAnsi="FangSong" w:eastAsia="FangSong" w:cs="FangSong"/>
          <w:sz w:val="30"/>
          <w:szCs w:val="30"/>
          <w:spacing w:val="18"/>
        </w:rPr>
        <w:t xml:space="preserve"> </w:t>
      </w:r>
      <w:r>
        <w:rPr>
          <w:rFonts w:ascii="FangSong" w:hAnsi="FangSong" w:eastAsia="FangSong" w:cs="FangSong"/>
          <w:sz w:val="30"/>
          <w:szCs w:val="30"/>
          <w:spacing w:val="18"/>
        </w:rPr>
        <w:t>万元以上10</w:t>
      </w:r>
      <w:r>
        <w:rPr>
          <w:rFonts w:ascii="FangSong" w:hAnsi="FangSong" w:eastAsia="FangSong" w:cs="FangSong"/>
          <w:sz w:val="30"/>
          <w:szCs w:val="30"/>
          <w:spacing w:val="63"/>
        </w:rPr>
        <w:t xml:space="preserve"> </w:t>
      </w:r>
      <w:r>
        <w:rPr>
          <w:rFonts w:ascii="FangSong" w:hAnsi="FangSong" w:eastAsia="FangSong" w:cs="FangSong"/>
          <w:sz w:val="30"/>
          <w:szCs w:val="30"/>
          <w:spacing w:val="18"/>
        </w:rPr>
        <w:t>万元以</w:t>
      </w:r>
      <w:r>
        <w:rPr>
          <w:rFonts w:ascii="FangSong" w:hAnsi="FangSong" w:eastAsia="FangSong" w:cs="FangSong"/>
          <w:sz w:val="30"/>
          <w:szCs w:val="30"/>
          <w:spacing w:val="17"/>
        </w:rPr>
        <w:t>下的罚款；造成经血液</w:t>
      </w:r>
      <w:r>
        <w:rPr>
          <w:rFonts w:ascii="FangSong" w:hAnsi="FangSong" w:eastAsia="FangSong" w:cs="FangSong"/>
          <w:sz w:val="30"/>
          <w:szCs w:val="30"/>
        </w:rPr>
        <w:t xml:space="preserve"> </w:t>
      </w:r>
      <w:r>
        <w:rPr>
          <w:rFonts w:ascii="FangSong" w:hAnsi="FangSong" w:eastAsia="FangSong" w:cs="FangSong"/>
          <w:sz w:val="30"/>
          <w:szCs w:val="30"/>
          <w:spacing w:val="18"/>
        </w:rPr>
        <w:t>途径传播的疾病传播、人身伤害等危害，构成犯罪的，依法追究刑事责任。</w:t>
      </w:r>
    </w:p>
    <w:p>
      <w:pPr>
        <w:ind w:left="124" w:right="112" w:firstLine="629"/>
        <w:spacing w:before="5" w:line="270" w:lineRule="auto"/>
        <w:jc w:val="both"/>
        <w:rPr>
          <w:rFonts w:ascii="FangSong" w:hAnsi="FangSong" w:eastAsia="FangSong" w:cs="FangSong"/>
          <w:sz w:val="30"/>
          <w:szCs w:val="30"/>
        </w:rPr>
      </w:pPr>
      <w:r>
        <w:rPr>
          <w:rFonts w:ascii="FangSong" w:hAnsi="FangSong" w:eastAsia="FangSong" w:cs="FangSong"/>
          <w:sz w:val="30"/>
          <w:szCs w:val="30"/>
          <w:spacing w:val="13"/>
        </w:rPr>
        <w:t>2.</w:t>
      </w:r>
      <w:r>
        <w:rPr>
          <w:rFonts w:ascii="FangSong" w:hAnsi="FangSong" w:eastAsia="FangSong" w:cs="FangSong"/>
          <w:sz w:val="30"/>
          <w:szCs w:val="30"/>
          <w:spacing w:val="13"/>
        </w:rPr>
        <w:t xml:space="preserve"> </w:t>
      </w:r>
      <w:r>
        <w:rPr>
          <w:rFonts w:ascii="FangSong" w:hAnsi="FangSong" w:eastAsia="FangSong" w:cs="FangSong"/>
          <w:sz w:val="30"/>
          <w:szCs w:val="30"/>
          <w:spacing w:val="13"/>
        </w:rPr>
        <w:t>《单采血浆站管理办法》第六十一条</w:t>
      </w:r>
      <w:r>
        <w:rPr>
          <w:rFonts w:ascii="FangSong" w:hAnsi="FangSong" w:eastAsia="FangSong" w:cs="FangSong"/>
          <w:sz w:val="30"/>
          <w:szCs w:val="30"/>
          <w:spacing w:val="13"/>
        </w:rPr>
        <w:t xml:space="preserve">  </w:t>
      </w:r>
      <w:r>
        <w:rPr>
          <w:rFonts w:ascii="FangSong" w:hAnsi="FangSong" w:eastAsia="FangSong" w:cs="FangSong"/>
          <w:sz w:val="30"/>
          <w:szCs w:val="30"/>
          <w:spacing w:val="12"/>
        </w:rPr>
        <w:t>单采血浆站有下列行为之一的，由县级以上地方人民政</w:t>
      </w:r>
      <w:r>
        <w:rPr>
          <w:rFonts w:ascii="FangSong" w:hAnsi="FangSong" w:eastAsia="FangSong" w:cs="FangSong"/>
          <w:sz w:val="30"/>
          <w:szCs w:val="30"/>
        </w:rPr>
        <w:t xml:space="preserve"> </w:t>
      </w:r>
      <w:r>
        <w:rPr>
          <w:rFonts w:ascii="FangSong" w:hAnsi="FangSong" w:eastAsia="FangSong" w:cs="FangSong"/>
          <w:sz w:val="30"/>
          <w:szCs w:val="30"/>
          <w:spacing w:val="23"/>
        </w:rPr>
        <w:t>府卫生计生行政部门依据《血液制品管理条例》第三十四条的有关规定予以处罚：(一)未取得</w:t>
      </w:r>
      <w:r>
        <w:rPr>
          <w:rFonts w:ascii="FangSong" w:hAnsi="FangSong" w:eastAsia="FangSong" w:cs="FangSong"/>
          <w:sz w:val="30"/>
          <w:szCs w:val="30"/>
          <w:spacing w:val="22"/>
        </w:rPr>
        <w:t>《单</w:t>
      </w:r>
      <w:r>
        <w:rPr>
          <w:rFonts w:ascii="FangSong" w:hAnsi="FangSong" w:eastAsia="FangSong" w:cs="FangSong"/>
          <w:sz w:val="30"/>
          <w:szCs w:val="30"/>
        </w:rPr>
        <w:t xml:space="preserve"> </w:t>
      </w:r>
      <w:r>
        <w:rPr>
          <w:rFonts w:ascii="FangSong" w:hAnsi="FangSong" w:eastAsia="FangSong" w:cs="FangSong"/>
          <w:sz w:val="30"/>
          <w:szCs w:val="30"/>
          <w:spacing w:val="24"/>
        </w:rPr>
        <w:t>采血浆许可证》开展采供血浆活动的；(二)《单采血浆许</w:t>
      </w:r>
      <w:r>
        <w:rPr>
          <w:rFonts w:ascii="FangSong" w:hAnsi="FangSong" w:eastAsia="FangSong" w:cs="FangSong"/>
          <w:sz w:val="30"/>
          <w:szCs w:val="30"/>
          <w:spacing w:val="23"/>
        </w:rPr>
        <w:t>可证》已被注销或者吊销仍开展采供血浆</w:t>
      </w:r>
      <w:r>
        <w:rPr>
          <w:rFonts w:ascii="FangSong" w:hAnsi="FangSong" w:eastAsia="FangSong" w:cs="FangSong"/>
          <w:sz w:val="30"/>
          <w:szCs w:val="30"/>
        </w:rPr>
        <w:t xml:space="preserve"> </w:t>
      </w:r>
      <w:r>
        <w:rPr>
          <w:rFonts w:ascii="FangSong" w:hAnsi="FangSong" w:eastAsia="FangSong" w:cs="FangSong"/>
          <w:sz w:val="30"/>
          <w:szCs w:val="30"/>
          <w:spacing w:val="25"/>
        </w:rPr>
        <w:t>活动的；(三)租用、借用、出租、出借、变造、伪造《单采血浆许可证》开展采供血浆活动的。</w:t>
      </w:r>
    </w:p>
    <w:p>
      <w:pPr>
        <w:ind w:left="6529"/>
        <w:spacing w:before="66"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70" w:lineRule="exact"/>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8874"/>
        <w:gridCol w:w="3852"/>
      </w:tblGrid>
      <w:tr>
        <w:trPr>
          <w:trHeight w:val="1092" w:hRule="atLeast"/>
        </w:trPr>
        <w:tc>
          <w:tcPr>
            <w:tcW w:w="1444" w:type="dxa"/>
            <w:vAlign w:val="top"/>
          </w:tcPr>
          <w:p>
            <w:pPr>
              <w:spacing w:line="339" w:lineRule="auto"/>
              <w:rPr>
                <w:rFonts w:ascii="Arial"/>
                <w:sz w:val="21"/>
              </w:rPr>
            </w:pPr>
            <w:r/>
          </w:p>
          <w:p>
            <w:pPr>
              <w:pStyle w:val="TableText"/>
              <w:ind w:left="218"/>
              <w:spacing w:before="81" w:line="220" w:lineRule="auto"/>
              <w:rPr>
                <w:sz w:val="25"/>
                <w:szCs w:val="25"/>
              </w:rPr>
            </w:pPr>
            <w:r>
              <w:rPr>
                <w:sz w:val="25"/>
                <w:szCs w:val="25"/>
                <w:b/>
                <w:bCs/>
                <w:spacing w:val="-5"/>
              </w:rPr>
              <w:t>违法程度</w:t>
            </w:r>
          </w:p>
        </w:tc>
        <w:tc>
          <w:tcPr>
            <w:tcW w:w="8874" w:type="dxa"/>
            <w:vAlign w:val="top"/>
          </w:tcPr>
          <w:p>
            <w:pPr>
              <w:spacing w:line="339" w:lineRule="auto"/>
              <w:rPr>
                <w:rFonts w:ascii="Arial"/>
                <w:sz w:val="21"/>
              </w:rPr>
            </w:pPr>
            <w:r/>
          </w:p>
          <w:p>
            <w:pPr>
              <w:pStyle w:val="TableText"/>
              <w:ind w:left="3874"/>
              <w:spacing w:before="81" w:line="220" w:lineRule="auto"/>
              <w:rPr>
                <w:sz w:val="25"/>
                <w:szCs w:val="25"/>
              </w:rPr>
            </w:pPr>
            <w:r>
              <w:rPr>
                <w:sz w:val="25"/>
                <w:szCs w:val="25"/>
                <w:b/>
                <w:bCs/>
                <w:spacing w:val="-5"/>
              </w:rPr>
              <w:t>违法后果</w:t>
            </w:r>
          </w:p>
        </w:tc>
        <w:tc>
          <w:tcPr>
            <w:tcW w:w="3852" w:type="dxa"/>
            <w:vAlign w:val="top"/>
          </w:tcPr>
          <w:p>
            <w:pPr>
              <w:spacing w:line="336" w:lineRule="auto"/>
              <w:rPr>
                <w:rFonts w:ascii="Arial"/>
                <w:sz w:val="21"/>
              </w:rPr>
            </w:pPr>
            <w:r/>
          </w:p>
          <w:p>
            <w:pPr>
              <w:pStyle w:val="TableText"/>
              <w:ind w:left="1420"/>
              <w:spacing w:before="81" w:line="218" w:lineRule="auto"/>
              <w:rPr>
                <w:sz w:val="25"/>
                <w:szCs w:val="25"/>
              </w:rPr>
            </w:pPr>
            <w:r>
              <w:rPr>
                <w:sz w:val="25"/>
                <w:szCs w:val="25"/>
                <w:b/>
                <w:bCs/>
                <w:spacing w:val="-5"/>
              </w:rPr>
              <w:t>裁量幅度</w:t>
            </w:r>
          </w:p>
        </w:tc>
      </w:tr>
      <w:tr>
        <w:trPr>
          <w:trHeight w:val="1986" w:hRule="atLeast"/>
        </w:trPr>
        <w:tc>
          <w:tcPr>
            <w:tcW w:w="1444" w:type="dxa"/>
            <w:vAlign w:val="top"/>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468"/>
              <w:spacing w:before="82" w:line="221" w:lineRule="auto"/>
              <w:rPr>
                <w:sz w:val="25"/>
                <w:szCs w:val="25"/>
              </w:rPr>
            </w:pPr>
            <w:r>
              <w:rPr>
                <w:sz w:val="25"/>
                <w:szCs w:val="25"/>
                <w:b/>
                <w:bCs/>
                <w:spacing w:val="-10"/>
              </w:rPr>
              <w:t>一般</w:t>
            </w:r>
          </w:p>
        </w:tc>
        <w:tc>
          <w:tcPr>
            <w:tcW w:w="8874" w:type="dxa"/>
            <w:vAlign w:val="top"/>
          </w:tcPr>
          <w:p>
            <w:pPr>
              <w:pStyle w:val="TableText"/>
              <w:ind w:left="90"/>
              <w:spacing w:before="113" w:line="219" w:lineRule="auto"/>
              <w:rPr>
                <w:sz w:val="25"/>
                <w:szCs w:val="25"/>
              </w:rPr>
            </w:pPr>
            <w:r>
              <w:rPr>
                <w:sz w:val="25"/>
                <w:szCs w:val="25"/>
              </w:rPr>
              <w:t>有下列情形之一，没有违法所得的或违法所得</w:t>
            </w:r>
            <w:r>
              <w:rPr>
                <w:sz w:val="25"/>
                <w:szCs w:val="25"/>
                <w:spacing w:val="-1"/>
              </w:rPr>
              <w:t>难以认定的：</w:t>
            </w:r>
          </w:p>
          <w:p>
            <w:pPr>
              <w:pStyle w:val="TableText"/>
              <w:ind w:left="90"/>
              <w:spacing w:before="88" w:line="262" w:lineRule="auto"/>
              <w:rPr>
                <w:sz w:val="25"/>
                <w:szCs w:val="25"/>
              </w:rPr>
            </w:pPr>
            <w:r>
              <w:rPr>
                <w:sz w:val="25"/>
                <w:szCs w:val="25"/>
                <w:spacing w:val="-3"/>
              </w:rPr>
              <w:t>A.未取得省、自治区、直辖市人民政府卫生行政部门核发的《单采血浆许可证》,</w:t>
            </w:r>
            <w:r>
              <w:rPr>
                <w:sz w:val="25"/>
                <w:szCs w:val="25"/>
                <w:spacing w:val="8"/>
              </w:rPr>
              <w:t xml:space="preserve"> </w:t>
            </w:r>
            <w:r>
              <w:rPr>
                <w:sz w:val="25"/>
                <w:szCs w:val="25"/>
                <w:spacing w:val="-2"/>
              </w:rPr>
              <w:t>非法从事组织、采集、供应、倒卖原料血浆活动的</w:t>
            </w:r>
          </w:p>
          <w:p>
            <w:pPr>
              <w:pStyle w:val="TableText"/>
              <w:ind w:left="90"/>
              <w:spacing w:before="123" w:line="219" w:lineRule="auto"/>
              <w:rPr>
                <w:sz w:val="25"/>
                <w:szCs w:val="25"/>
              </w:rPr>
            </w:pPr>
            <w:r>
              <w:rPr>
                <w:sz w:val="25"/>
                <w:szCs w:val="25"/>
              </w:rPr>
              <w:t>B.《单采血浆许可证》已被注销或者吊销仍开展采供血浆活动的</w:t>
            </w:r>
          </w:p>
          <w:p>
            <w:pPr>
              <w:pStyle w:val="TableText"/>
              <w:spacing w:before="83" w:line="195" w:lineRule="auto"/>
              <w:jc w:val="right"/>
              <w:rPr>
                <w:sz w:val="25"/>
                <w:szCs w:val="25"/>
              </w:rPr>
            </w:pPr>
            <w:r>
              <w:rPr>
                <w:sz w:val="25"/>
                <w:szCs w:val="25"/>
                <w:spacing w:val="-6"/>
              </w:rPr>
              <w:t>C.租用、借用、出租、出借、变造、伪造《单采血浆许可证》开展采</w:t>
            </w:r>
            <w:r>
              <w:rPr>
                <w:sz w:val="25"/>
                <w:szCs w:val="25"/>
                <w:spacing w:val="-7"/>
              </w:rPr>
              <w:t>供血浆活动的</w:t>
            </w:r>
          </w:p>
        </w:tc>
        <w:tc>
          <w:tcPr>
            <w:tcW w:w="3852" w:type="dxa"/>
            <w:vAlign w:val="top"/>
          </w:tcPr>
          <w:p>
            <w:pPr>
              <w:spacing w:line="418" w:lineRule="auto"/>
              <w:rPr>
                <w:rFonts w:ascii="Arial"/>
                <w:sz w:val="21"/>
              </w:rPr>
            </w:pPr>
            <w:r/>
          </w:p>
          <w:p>
            <w:pPr>
              <w:pStyle w:val="TableText"/>
              <w:ind w:left="222" w:hanging="176"/>
              <w:spacing w:before="81" w:line="300" w:lineRule="auto"/>
              <w:rPr>
                <w:sz w:val="25"/>
                <w:szCs w:val="25"/>
              </w:rPr>
            </w:pPr>
            <w:r>
              <w:rPr>
                <w:sz w:val="25"/>
                <w:szCs w:val="25"/>
                <w:spacing w:val="3"/>
              </w:rPr>
              <w:t>予以取缔，没收从事活动的器材、</w:t>
            </w:r>
            <w:r>
              <w:rPr>
                <w:sz w:val="25"/>
                <w:szCs w:val="25"/>
              </w:rPr>
              <w:t xml:space="preserve"> </w:t>
            </w:r>
            <w:r>
              <w:rPr>
                <w:sz w:val="25"/>
                <w:szCs w:val="25"/>
                <w:spacing w:val="-3"/>
              </w:rPr>
              <w:t>设备，并处5万元以上10万元以</w:t>
            </w:r>
          </w:p>
          <w:p>
            <w:pPr>
              <w:pStyle w:val="TableText"/>
              <w:ind w:left="127"/>
              <w:spacing w:before="1" w:line="220" w:lineRule="auto"/>
              <w:rPr>
                <w:sz w:val="25"/>
                <w:szCs w:val="25"/>
              </w:rPr>
            </w:pPr>
            <w:r>
              <w:rPr>
                <w:sz w:val="25"/>
                <w:szCs w:val="25"/>
                <w:spacing w:val="2"/>
              </w:rPr>
              <w:t>下的罚款</w:t>
            </w:r>
          </w:p>
        </w:tc>
      </w:tr>
      <w:tr>
        <w:trPr>
          <w:trHeight w:val="1731" w:hRule="atLeast"/>
        </w:trPr>
        <w:tc>
          <w:tcPr>
            <w:tcW w:w="1444" w:type="dxa"/>
            <w:vAlign w:val="top"/>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468"/>
              <w:spacing w:before="81" w:line="221" w:lineRule="auto"/>
              <w:rPr>
                <w:sz w:val="25"/>
                <w:szCs w:val="25"/>
              </w:rPr>
            </w:pPr>
            <w:r>
              <w:rPr>
                <w:sz w:val="25"/>
                <w:szCs w:val="25"/>
                <w:b/>
                <w:bCs/>
                <w:spacing w:val="-6"/>
              </w:rPr>
              <w:t>较重</w:t>
            </w:r>
          </w:p>
        </w:tc>
        <w:tc>
          <w:tcPr>
            <w:tcW w:w="8874" w:type="dxa"/>
            <w:vAlign w:val="top"/>
          </w:tcPr>
          <w:p>
            <w:pPr>
              <w:pStyle w:val="TableText"/>
              <w:ind w:left="90"/>
              <w:spacing w:before="127" w:line="219" w:lineRule="auto"/>
              <w:rPr>
                <w:sz w:val="25"/>
                <w:szCs w:val="25"/>
              </w:rPr>
            </w:pPr>
            <w:r>
              <w:rPr>
                <w:sz w:val="25"/>
                <w:szCs w:val="25"/>
              </w:rPr>
              <w:t>有下列情形之一，且违法所得一万元以下的：</w:t>
            </w:r>
          </w:p>
          <w:p>
            <w:pPr>
              <w:pStyle w:val="TableText"/>
              <w:ind w:left="90"/>
              <w:spacing w:before="99" w:line="258" w:lineRule="auto"/>
              <w:rPr>
                <w:sz w:val="25"/>
                <w:szCs w:val="25"/>
              </w:rPr>
            </w:pPr>
            <w:r>
              <w:rPr>
                <w:sz w:val="25"/>
                <w:szCs w:val="25"/>
                <w:spacing w:val="-3"/>
              </w:rPr>
              <w:t>A.未取得省、自治区、直辖市人民政府卫生行政部门核发的《单采血浆许可证》,</w:t>
            </w:r>
            <w:r>
              <w:rPr>
                <w:sz w:val="25"/>
                <w:szCs w:val="25"/>
                <w:spacing w:val="8"/>
              </w:rPr>
              <w:t xml:space="preserve"> </w:t>
            </w:r>
            <w:r>
              <w:rPr>
                <w:sz w:val="25"/>
                <w:szCs w:val="25"/>
                <w:spacing w:val="-2"/>
              </w:rPr>
              <w:t>非法从事组织、采集、供应、倒卖原料血浆活动的</w:t>
            </w:r>
          </w:p>
          <w:p>
            <w:pPr>
              <w:pStyle w:val="TableText"/>
              <w:ind w:left="90"/>
              <w:spacing w:before="113" w:line="219" w:lineRule="auto"/>
              <w:rPr>
                <w:sz w:val="25"/>
                <w:szCs w:val="25"/>
              </w:rPr>
            </w:pPr>
            <w:r>
              <w:rPr>
                <w:sz w:val="25"/>
                <w:szCs w:val="25"/>
                <w:spacing w:val="-1"/>
              </w:rPr>
              <w:t>B.《单采血浆许可证》已被注销或者吊销仍</w:t>
            </w:r>
          </w:p>
        </w:tc>
        <w:tc>
          <w:tcPr>
            <w:tcW w:w="3852" w:type="dxa"/>
            <w:vAlign w:val="top"/>
          </w:tcPr>
          <w:p>
            <w:pPr>
              <w:spacing w:line="251" w:lineRule="auto"/>
              <w:rPr>
                <w:rFonts w:ascii="Arial"/>
                <w:sz w:val="21"/>
              </w:rPr>
            </w:pPr>
            <w:r/>
          </w:p>
          <w:p>
            <w:pPr>
              <w:spacing w:line="252" w:lineRule="auto"/>
              <w:rPr>
                <w:rFonts w:ascii="Arial"/>
                <w:sz w:val="21"/>
              </w:rPr>
            </w:pPr>
            <w:r/>
          </w:p>
          <w:p>
            <w:pPr>
              <w:pStyle w:val="TableText"/>
              <w:ind w:left="46" w:right="34"/>
              <w:spacing w:before="81" w:line="279" w:lineRule="auto"/>
              <w:jc w:val="both"/>
              <w:rPr>
                <w:sz w:val="25"/>
                <w:szCs w:val="25"/>
              </w:rPr>
            </w:pPr>
            <w:r>
              <w:rPr>
                <w:sz w:val="25"/>
                <w:szCs w:val="25"/>
              </w:rPr>
              <w:t>予以取缔，没收违法所得和从事违</w:t>
            </w:r>
            <w:r>
              <w:rPr>
                <w:sz w:val="25"/>
                <w:szCs w:val="25"/>
                <w:spacing w:val="9"/>
              </w:rPr>
              <w:t xml:space="preserve"> </w:t>
            </w:r>
            <w:r>
              <w:rPr>
                <w:sz w:val="25"/>
                <w:szCs w:val="25"/>
                <w:spacing w:val="-1"/>
              </w:rPr>
              <w:t>法活动的器材、设备，并处违法所</w:t>
            </w:r>
            <w:r>
              <w:rPr>
                <w:sz w:val="25"/>
                <w:szCs w:val="25"/>
                <w:spacing w:val="3"/>
              </w:rPr>
              <w:t xml:space="preserve"> </w:t>
            </w:r>
            <w:r>
              <w:rPr>
                <w:sz w:val="25"/>
                <w:szCs w:val="25"/>
                <w:spacing w:val="8"/>
              </w:rPr>
              <w:t>得5倍以上7倍以下罚款</w:t>
            </w:r>
          </w:p>
        </w:tc>
      </w:tr>
    </w:tbl>
    <w:p>
      <w:pPr>
        <w:pStyle w:val="BodyText"/>
        <w:rPr/>
      </w:pPr>
      <w:r/>
    </w:p>
    <w:p>
      <w:pPr>
        <w:sectPr>
          <w:footerReference w:type="default" r:id="rId380"/>
          <w:pgSz w:w="16830" w:h="11900"/>
          <w:pgMar w:top="1011" w:right="1335" w:bottom="1118" w:left="1314" w:header="0" w:footer="785" w:gutter="0"/>
        </w:sectPr>
        <w:rPr/>
      </w:pPr>
    </w:p>
    <w:p>
      <w:pPr>
        <w:spacing w:before="17"/>
        <w:rPr/>
      </w:pPr>
      <w:r/>
    </w:p>
    <w:p>
      <w:pPr>
        <w:spacing w:before="16"/>
        <w:rPr/>
      </w:pPr>
      <w:r/>
    </w:p>
    <w:p>
      <w:pPr>
        <w:spacing w:before="16"/>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8884"/>
        <w:gridCol w:w="3842"/>
      </w:tblGrid>
      <w:tr>
        <w:trPr>
          <w:trHeight w:val="1730" w:hRule="atLeast"/>
        </w:trPr>
        <w:tc>
          <w:tcPr>
            <w:tcW w:w="1444" w:type="dxa"/>
            <w:vAlign w:val="top"/>
          </w:tcPr>
          <w:p>
            <w:pPr>
              <w:rPr>
                <w:rFonts w:ascii="Arial"/>
                <w:sz w:val="21"/>
              </w:rPr>
            </w:pPr>
            <w:r/>
          </w:p>
        </w:tc>
        <w:tc>
          <w:tcPr>
            <w:tcW w:w="8884" w:type="dxa"/>
            <w:vAlign w:val="top"/>
          </w:tcPr>
          <w:p>
            <w:pPr>
              <w:pStyle w:val="TableText"/>
              <w:spacing w:before="113" w:line="219" w:lineRule="auto"/>
              <w:jc w:val="right"/>
              <w:rPr>
                <w:sz w:val="25"/>
                <w:szCs w:val="25"/>
              </w:rPr>
            </w:pPr>
            <w:r>
              <w:rPr>
                <w:sz w:val="25"/>
                <w:szCs w:val="25"/>
                <w:spacing w:val="-6"/>
              </w:rPr>
              <w:t>C.租用、借用、出租、出借、变造、伪造《单采血浆许可证》开展采供血浆活动的</w:t>
            </w:r>
          </w:p>
        </w:tc>
        <w:tc>
          <w:tcPr>
            <w:tcW w:w="3842" w:type="dxa"/>
            <w:vAlign w:val="top"/>
          </w:tcPr>
          <w:p>
            <w:pPr>
              <w:rPr>
                <w:rFonts w:ascii="Arial"/>
                <w:sz w:val="21"/>
              </w:rPr>
            </w:pPr>
            <w:r/>
          </w:p>
        </w:tc>
      </w:tr>
      <w:tr>
        <w:trPr>
          <w:trHeight w:val="1990" w:hRule="atLeast"/>
        </w:trPr>
        <w:tc>
          <w:tcPr>
            <w:tcW w:w="1444" w:type="dxa"/>
            <w:vAlign w:val="top"/>
          </w:tcPr>
          <w:p>
            <w:pPr>
              <w:spacing w:line="305" w:lineRule="auto"/>
              <w:rPr>
                <w:rFonts w:ascii="Arial"/>
                <w:sz w:val="21"/>
              </w:rPr>
            </w:pPr>
            <w:r/>
          </w:p>
          <w:p>
            <w:pPr>
              <w:spacing w:line="305" w:lineRule="auto"/>
              <w:rPr>
                <w:rFonts w:ascii="Arial"/>
                <w:sz w:val="21"/>
              </w:rPr>
            </w:pPr>
            <w:r/>
          </w:p>
          <w:p>
            <w:pPr>
              <w:spacing w:line="305" w:lineRule="auto"/>
              <w:rPr>
                <w:rFonts w:ascii="Arial"/>
                <w:sz w:val="21"/>
              </w:rPr>
            </w:pPr>
            <w:r/>
          </w:p>
          <w:p>
            <w:pPr>
              <w:pStyle w:val="TableText"/>
              <w:ind w:left="458"/>
              <w:spacing w:before="81" w:line="220" w:lineRule="auto"/>
              <w:outlineLvl w:val="1"/>
              <w:rPr>
                <w:sz w:val="25"/>
                <w:szCs w:val="25"/>
              </w:rPr>
            </w:pPr>
            <w:bookmarkStart w:name="bookmark1032" w:id="402"/>
            <w:bookmarkEnd w:id="402"/>
            <w:bookmarkStart w:name="bookmark369" w:id="403"/>
            <w:bookmarkEnd w:id="403"/>
            <w:r>
              <w:rPr>
                <w:sz w:val="25"/>
                <w:szCs w:val="25"/>
                <w:b/>
                <w:bCs/>
                <w:spacing w:val="-6"/>
              </w:rPr>
              <w:t>严重</w:t>
            </w:r>
          </w:p>
        </w:tc>
        <w:tc>
          <w:tcPr>
            <w:tcW w:w="8884" w:type="dxa"/>
            <w:vAlign w:val="top"/>
          </w:tcPr>
          <w:p>
            <w:pPr>
              <w:pStyle w:val="TableText"/>
              <w:ind w:left="90"/>
              <w:spacing w:before="115" w:line="219" w:lineRule="auto"/>
              <w:rPr>
                <w:sz w:val="25"/>
                <w:szCs w:val="25"/>
              </w:rPr>
            </w:pPr>
            <w:r>
              <w:rPr>
                <w:sz w:val="25"/>
                <w:szCs w:val="25"/>
              </w:rPr>
              <w:t>有下列情形之一，且违法所得一万元以上的。</w:t>
            </w:r>
          </w:p>
          <w:p>
            <w:pPr>
              <w:pStyle w:val="TableText"/>
              <w:ind w:left="90"/>
              <w:spacing w:before="88" w:line="262" w:lineRule="auto"/>
              <w:rPr>
                <w:sz w:val="25"/>
                <w:szCs w:val="25"/>
              </w:rPr>
            </w:pPr>
            <w:r>
              <w:rPr>
                <w:sz w:val="25"/>
                <w:szCs w:val="25"/>
                <w:spacing w:val="-3"/>
              </w:rPr>
              <w:t>A.未取得省、自治区、直辖市人民政府卫生行政部门核发的《单采血浆许可证》,</w:t>
            </w:r>
            <w:r>
              <w:rPr>
                <w:sz w:val="25"/>
                <w:szCs w:val="25"/>
                <w:spacing w:val="18"/>
              </w:rPr>
              <w:t xml:space="preserve"> </w:t>
            </w:r>
            <w:r>
              <w:rPr>
                <w:sz w:val="25"/>
                <w:szCs w:val="25"/>
                <w:spacing w:val="-2"/>
              </w:rPr>
              <w:t>非法从事组织、采集、供应、倒卖原料血浆活动的</w:t>
            </w:r>
          </w:p>
          <w:p>
            <w:pPr>
              <w:pStyle w:val="TableText"/>
              <w:ind w:left="90"/>
              <w:spacing w:before="113" w:line="219" w:lineRule="auto"/>
              <w:rPr>
                <w:sz w:val="25"/>
                <w:szCs w:val="25"/>
              </w:rPr>
            </w:pPr>
            <w:r>
              <w:rPr>
                <w:sz w:val="25"/>
                <w:szCs w:val="25"/>
              </w:rPr>
              <w:t>B.《单采血浆许可证》已被注销或者吊销仍开展采供血浆活动的</w:t>
            </w:r>
          </w:p>
          <w:p>
            <w:pPr>
              <w:pStyle w:val="TableText"/>
              <w:spacing w:before="94" w:line="196" w:lineRule="auto"/>
              <w:jc w:val="right"/>
              <w:rPr>
                <w:sz w:val="25"/>
                <w:szCs w:val="25"/>
              </w:rPr>
            </w:pPr>
            <w:r>
              <w:rPr>
                <w:sz w:val="25"/>
                <w:szCs w:val="25"/>
                <w:spacing w:val="-6"/>
              </w:rPr>
              <w:t>C.租用、借用、出租、出借、变造、伪造《单采血浆许可证》开展采供血浆活动的</w:t>
            </w:r>
          </w:p>
        </w:tc>
        <w:tc>
          <w:tcPr>
            <w:tcW w:w="3842" w:type="dxa"/>
            <w:vAlign w:val="top"/>
          </w:tcPr>
          <w:p>
            <w:pPr>
              <w:spacing w:line="432" w:lineRule="auto"/>
              <w:rPr>
                <w:rFonts w:ascii="Arial"/>
                <w:sz w:val="21"/>
              </w:rPr>
            </w:pPr>
            <w:r/>
          </w:p>
          <w:p>
            <w:pPr>
              <w:pStyle w:val="TableText"/>
              <w:ind w:left="36" w:right="34"/>
              <w:spacing w:before="82" w:line="300" w:lineRule="auto"/>
              <w:jc w:val="both"/>
              <w:rPr>
                <w:sz w:val="25"/>
                <w:szCs w:val="25"/>
              </w:rPr>
            </w:pPr>
            <w:r>
              <w:rPr>
                <w:sz w:val="25"/>
                <w:szCs w:val="25"/>
              </w:rPr>
              <w:t>予以取缔，没收违法所得和从事违</w:t>
            </w:r>
            <w:r>
              <w:rPr>
                <w:sz w:val="25"/>
                <w:szCs w:val="25"/>
                <w:spacing w:val="9"/>
              </w:rPr>
              <w:t xml:space="preserve"> </w:t>
            </w:r>
            <w:r>
              <w:rPr>
                <w:sz w:val="25"/>
                <w:szCs w:val="25"/>
                <w:spacing w:val="-1"/>
              </w:rPr>
              <w:t>法活动的器材、设备，并处违法所</w:t>
            </w:r>
            <w:r>
              <w:rPr>
                <w:sz w:val="25"/>
                <w:szCs w:val="25"/>
                <w:spacing w:val="3"/>
              </w:rPr>
              <w:t xml:space="preserve"> </w:t>
            </w:r>
            <w:r>
              <w:rPr>
                <w:sz w:val="25"/>
                <w:szCs w:val="25"/>
                <w:spacing w:val="5"/>
              </w:rPr>
              <w:t>得8倍以上10倍以下罚款</w:t>
            </w:r>
          </w:p>
        </w:tc>
      </w:tr>
    </w:tbl>
    <w:p>
      <w:pPr>
        <w:pStyle w:val="BodyText"/>
        <w:spacing w:line="451" w:lineRule="auto"/>
        <w:rPr/>
      </w:pPr>
      <w:r/>
    </w:p>
    <w:p>
      <w:pPr>
        <w:ind w:left="99" w:right="156" w:firstLine="675"/>
        <w:spacing w:before="97" w:line="278" w:lineRule="auto"/>
        <w:rPr>
          <w:rFonts w:ascii="KaiTi" w:hAnsi="KaiTi" w:eastAsia="KaiTi" w:cs="KaiTi"/>
          <w:sz w:val="30"/>
          <w:szCs w:val="30"/>
        </w:rPr>
      </w:pPr>
      <w:r>
        <w:rPr>
          <w:rFonts w:ascii="KaiTi" w:hAnsi="KaiTi" w:eastAsia="KaiTi" w:cs="KaiTi"/>
          <w:sz w:val="30"/>
          <w:szCs w:val="30"/>
          <w:spacing w:val="20"/>
        </w:rPr>
        <w:t>第三</w:t>
      </w:r>
      <w:r>
        <w:rPr>
          <w:rFonts w:ascii="KaiTi" w:hAnsi="KaiTi" w:eastAsia="KaiTi" w:cs="KaiTi"/>
          <w:sz w:val="30"/>
          <w:szCs w:val="30"/>
          <w:b/>
          <w:bCs/>
          <w:spacing w:val="20"/>
        </w:rPr>
        <w:t>百三十五条采集血浆前，未按照国务院卫生行政部门颁布的健康检查标准对供血浆者进行</w:t>
      </w:r>
      <w:r>
        <w:rPr>
          <w:rFonts w:ascii="KaiTi" w:hAnsi="KaiTi" w:eastAsia="KaiTi" w:cs="KaiTi"/>
          <w:sz w:val="30"/>
          <w:szCs w:val="30"/>
          <w:spacing w:val="4"/>
        </w:rPr>
        <w:t xml:space="preserve"> </w:t>
      </w:r>
      <w:r>
        <w:rPr>
          <w:rFonts w:ascii="KaiTi" w:hAnsi="KaiTi" w:eastAsia="KaiTi" w:cs="KaiTi"/>
          <w:sz w:val="30"/>
          <w:szCs w:val="30"/>
          <w:b/>
          <w:bCs/>
          <w:spacing w:val="17"/>
        </w:rPr>
        <w:t>健康检查和血液化验的</w:t>
      </w:r>
    </w:p>
    <w:p>
      <w:pPr>
        <w:ind w:left="765"/>
        <w:spacing w:line="222" w:lineRule="auto"/>
        <w:rPr>
          <w:rFonts w:ascii="FangSong" w:hAnsi="FangSong" w:eastAsia="FangSong" w:cs="FangSong"/>
          <w:sz w:val="30"/>
          <w:szCs w:val="30"/>
        </w:rPr>
      </w:pPr>
      <w:r>
        <w:rPr>
          <w:rFonts w:ascii="FangSong" w:hAnsi="FangSong" w:eastAsia="FangSong" w:cs="FangSong"/>
          <w:sz w:val="30"/>
          <w:szCs w:val="30"/>
          <w:spacing w:val="32"/>
        </w:rPr>
        <w:t>法律依据：</w:t>
      </w:r>
    </w:p>
    <w:p>
      <w:pPr>
        <w:ind w:left="95" w:right="137" w:firstLine="640"/>
        <w:spacing w:before="77" w:line="265" w:lineRule="auto"/>
        <w:jc w:val="both"/>
        <w:rPr>
          <w:rFonts w:ascii="FangSong" w:hAnsi="FangSong" w:eastAsia="FangSong" w:cs="FangSong"/>
          <w:sz w:val="30"/>
          <w:szCs w:val="30"/>
        </w:rPr>
      </w:pPr>
      <w:r>
        <w:rPr>
          <w:rFonts w:ascii="FangSong" w:hAnsi="FangSong" w:eastAsia="FangSong" w:cs="FangSong"/>
          <w:sz w:val="30"/>
          <w:szCs w:val="30"/>
          <w:spacing w:val="23"/>
        </w:rPr>
        <w:t>《血液制品管理条例》第三十五条第(一)项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单采血浆站有下列行为之一的，由县级以上地方</w:t>
      </w:r>
      <w:r>
        <w:rPr>
          <w:rFonts w:ascii="FangSong" w:hAnsi="FangSong" w:eastAsia="FangSong" w:cs="FangSong"/>
          <w:sz w:val="30"/>
          <w:szCs w:val="30"/>
          <w:spacing w:val="9"/>
        </w:rPr>
        <w:t xml:space="preserve"> </w:t>
      </w:r>
      <w:r>
        <w:rPr>
          <w:rFonts w:ascii="FangSong" w:hAnsi="FangSong" w:eastAsia="FangSong" w:cs="FangSong"/>
          <w:sz w:val="30"/>
          <w:szCs w:val="30"/>
          <w:spacing w:val="18"/>
        </w:rPr>
        <w:t>人民政府卫生行政部门责令限期改正，处5</w:t>
      </w:r>
      <w:r>
        <w:rPr>
          <w:rFonts w:ascii="FangSong" w:hAnsi="FangSong" w:eastAsia="FangSong" w:cs="FangSong"/>
          <w:sz w:val="30"/>
          <w:szCs w:val="30"/>
          <w:spacing w:val="86"/>
        </w:rPr>
        <w:t xml:space="preserve"> </w:t>
      </w:r>
      <w:r>
        <w:rPr>
          <w:rFonts w:ascii="FangSong" w:hAnsi="FangSong" w:eastAsia="FangSong" w:cs="FangSong"/>
          <w:sz w:val="30"/>
          <w:szCs w:val="30"/>
          <w:spacing w:val="18"/>
        </w:rPr>
        <w:t>万元以上10</w:t>
      </w:r>
      <w:r>
        <w:rPr>
          <w:rFonts w:ascii="FangSong" w:hAnsi="FangSong" w:eastAsia="FangSong" w:cs="FangSong"/>
          <w:sz w:val="30"/>
          <w:szCs w:val="30"/>
          <w:spacing w:val="18"/>
        </w:rPr>
        <w:t xml:space="preserve"> </w:t>
      </w:r>
      <w:r>
        <w:rPr>
          <w:rFonts w:ascii="FangSong" w:hAnsi="FangSong" w:eastAsia="FangSong" w:cs="FangSong"/>
          <w:sz w:val="30"/>
          <w:szCs w:val="30"/>
          <w:spacing w:val="18"/>
        </w:rPr>
        <w:t>万元以下的罚款；有第八项所列行为的，或</w:t>
      </w:r>
      <w:r>
        <w:rPr>
          <w:rFonts w:ascii="FangSong" w:hAnsi="FangSong" w:eastAsia="FangSong" w:cs="FangSong"/>
          <w:sz w:val="30"/>
          <w:szCs w:val="30"/>
        </w:rPr>
        <w:t xml:space="preserve"> </w:t>
      </w:r>
      <w:r>
        <w:rPr>
          <w:rFonts w:ascii="FangSong" w:hAnsi="FangSong" w:eastAsia="FangSong" w:cs="FangSong"/>
          <w:sz w:val="30"/>
          <w:szCs w:val="30"/>
          <w:spacing w:val="17"/>
        </w:rPr>
        <w:t>者有下列其他行为并且情节严重的，由省、自治区、直辖市人民政府卫生行政部门吊销</w:t>
      </w:r>
      <w:r>
        <w:rPr>
          <w:rFonts w:ascii="FangSong" w:hAnsi="FangSong" w:eastAsia="FangSong" w:cs="FangSong"/>
          <w:sz w:val="30"/>
          <w:szCs w:val="30"/>
          <w:spacing w:val="16"/>
        </w:rPr>
        <w:t>《单采血浆许</w:t>
      </w:r>
      <w:r>
        <w:rPr>
          <w:rFonts w:ascii="FangSong" w:hAnsi="FangSong" w:eastAsia="FangSong" w:cs="FangSong"/>
          <w:sz w:val="30"/>
          <w:szCs w:val="30"/>
        </w:rPr>
        <w:t xml:space="preserve"> </w:t>
      </w:r>
      <w:r>
        <w:rPr>
          <w:rFonts w:ascii="FangSong" w:hAnsi="FangSong" w:eastAsia="FangSong" w:cs="FangSong"/>
          <w:sz w:val="30"/>
          <w:szCs w:val="30"/>
          <w:spacing w:val="21"/>
        </w:rPr>
        <w:t>可证》;构成犯罪的，对负有直接责任的主管人员和其他直接责</w:t>
      </w:r>
      <w:r>
        <w:rPr>
          <w:rFonts w:ascii="FangSong" w:hAnsi="FangSong" w:eastAsia="FangSong" w:cs="FangSong"/>
          <w:sz w:val="30"/>
          <w:szCs w:val="30"/>
          <w:spacing w:val="20"/>
        </w:rPr>
        <w:t>任人员依法追究刑事责任：</w:t>
      </w:r>
    </w:p>
    <w:p>
      <w:pPr>
        <w:ind w:left="95" w:right="132" w:firstLine="779"/>
        <w:spacing w:before="36" w:line="255" w:lineRule="auto"/>
        <w:rPr>
          <w:rFonts w:ascii="FangSong" w:hAnsi="FangSong" w:eastAsia="FangSong" w:cs="FangSong"/>
          <w:sz w:val="30"/>
          <w:szCs w:val="30"/>
        </w:rPr>
      </w:pPr>
      <w:r>
        <w:rPr>
          <w:rFonts w:ascii="FangSong" w:hAnsi="FangSong" w:eastAsia="FangSong" w:cs="FangSong"/>
          <w:sz w:val="30"/>
          <w:szCs w:val="30"/>
          <w:spacing w:val="21"/>
        </w:rPr>
        <w:t>(一)采集血浆前，未按照国务院卫生行政部门颁布的健康检查标准对</w:t>
      </w:r>
      <w:r>
        <w:rPr>
          <w:rFonts w:ascii="FangSong" w:hAnsi="FangSong" w:eastAsia="FangSong" w:cs="FangSong"/>
          <w:sz w:val="30"/>
          <w:szCs w:val="30"/>
          <w:spacing w:val="20"/>
        </w:rPr>
        <w:t>供血浆者进行健康检查和</w:t>
      </w:r>
      <w:r>
        <w:rPr>
          <w:rFonts w:ascii="FangSong" w:hAnsi="FangSong" w:eastAsia="FangSong" w:cs="FangSong"/>
          <w:sz w:val="30"/>
          <w:szCs w:val="30"/>
        </w:rPr>
        <w:t xml:space="preserve"> </w:t>
      </w:r>
      <w:r>
        <w:rPr>
          <w:rFonts w:ascii="FangSong" w:hAnsi="FangSong" w:eastAsia="FangSong" w:cs="FangSong"/>
          <w:sz w:val="30"/>
          <w:szCs w:val="30"/>
          <w:spacing w:val="5"/>
        </w:rPr>
        <w:t>血液化验的；</w:t>
      </w:r>
    </w:p>
    <w:p>
      <w:pPr>
        <w:spacing w:line="255" w:lineRule="auto"/>
        <w:sectPr>
          <w:footerReference w:type="default" r:id="rId381"/>
          <w:pgSz w:w="16830" w:h="11900"/>
          <w:pgMar w:top="1011" w:right="1314" w:bottom="1107" w:left="1335" w:header="0" w:footer="774" w:gutter="0"/>
        </w:sectPr>
        <w:rPr>
          <w:rFonts w:ascii="FangSong" w:hAnsi="FangSong" w:eastAsia="FangSong" w:cs="FangSong"/>
          <w:sz w:val="30"/>
          <w:szCs w:val="30"/>
        </w:rPr>
      </w:pPr>
    </w:p>
    <w:p>
      <w:pPr>
        <w:pStyle w:val="BodyText"/>
        <w:spacing w:line="280" w:lineRule="auto"/>
        <w:rPr/>
      </w:pPr>
      <w:r/>
    </w:p>
    <w:p>
      <w:pPr>
        <w:pStyle w:val="BodyText"/>
        <w:spacing w:line="280" w:lineRule="auto"/>
        <w:rPr/>
      </w:pPr>
      <w:r/>
    </w:p>
    <w:p>
      <w:pPr>
        <w:pStyle w:val="BodyText"/>
        <w:spacing w:line="281" w:lineRule="auto"/>
        <w:rPr/>
      </w:pPr>
      <w:r/>
    </w:p>
    <w:p>
      <w:pPr>
        <w:ind w:left="6539"/>
        <w:spacing w:before="97" w:line="221" w:lineRule="auto"/>
        <w:rPr>
          <w:rFonts w:ascii="SimHei" w:hAnsi="SimHei" w:eastAsia="SimHei" w:cs="SimHei"/>
          <w:sz w:val="30"/>
          <w:szCs w:val="30"/>
        </w:rPr>
      </w:pPr>
      <w:bookmarkStart w:name="bookmark1033" w:id="404"/>
      <w:bookmarkEnd w:id="404"/>
      <w:r>
        <w:rPr>
          <w:rFonts w:ascii="SimHei" w:hAnsi="SimHei" w:eastAsia="SimHei" w:cs="SimHei"/>
          <w:sz w:val="30"/>
          <w:szCs w:val="30"/>
          <w:b/>
          <w:bCs/>
          <w:spacing w:val="-17"/>
        </w:rPr>
        <w:t>裁量标准</w:t>
      </w:r>
    </w:p>
    <w:p>
      <w:pPr>
        <w:spacing w:line="100" w:lineRule="exact"/>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6875"/>
        <w:gridCol w:w="5841"/>
      </w:tblGrid>
      <w:tr>
        <w:trPr>
          <w:trHeight w:val="444" w:hRule="atLeast"/>
        </w:trPr>
        <w:tc>
          <w:tcPr>
            <w:tcW w:w="1444" w:type="dxa"/>
            <w:vAlign w:val="top"/>
          </w:tcPr>
          <w:p>
            <w:pPr>
              <w:pStyle w:val="TableText"/>
              <w:ind w:left="218"/>
              <w:spacing w:before="102" w:line="220" w:lineRule="auto"/>
              <w:rPr>
                <w:sz w:val="25"/>
                <w:szCs w:val="25"/>
              </w:rPr>
            </w:pPr>
            <w:r>
              <w:rPr>
                <w:sz w:val="25"/>
                <w:szCs w:val="25"/>
                <w:b/>
                <w:bCs/>
                <w:spacing w:val="-5"/>
              </w:rPr>
              <w:t>违法程度</w:t>
            </w:r>
          </w:p>
        </w:tc>
        <w:tc>
          <w:tcPr>
            <w:tcW w:w="6875" w:type="dxa"/>
            <w:vAlign w:val="top"/>
          </w:tcPr>
          <w:p>
            <w:pPr>
              <w:pStyle w:val="TableText"/>
              <w:ind w:left="2934"/>
              <w:spacing w:before="102" w:line="220" w:lineRule="auto"/>
              <w:rPr>
                <w:sz w:val="25"/>
                <w:szCs w:val="25"/>
              </w:rPr>
            </w:pPr>
            <w:r>
              <w:rPr>
                <w:sz w:val="25"/>
                <w:szCs w:val="25"/>
                <w:b/>
                <w:bCs/>
                <w:spacing w:val="-5"/>
              </w:rPr>
              <w:t>违法后果</w:t>
            </w:r>
          </w:p>
        </w:tc>
        <w:tc>
          <w:tcPr>
            <w:tcW w:w="5841" w:type="dxa"/>
            <w:vAlign w:val="top"/>
          </w:tcPr>
          <w:p>
            <w:pPr>
              <w:pStyle w:val="TableText"/>
              <w:ind w:left="2369"/>
              <w:spacing w:before="99" w:line="218" w:lineRule="auto"/>
              <w:rPr>
                <w:sz w:val="25"/>
                <w:szCs w:val="25"/>
              </w:rPr>
            </w:pPr>
            <w:r>
              <w:rPr>
                <w:sz w:val="25"/>
                <w:szCs w:val="25"/>
                <w:b/>
                <w:bCs/>
                <w:spacing w:val="-5"/>
              </w:rPr>
              <w:t>裁量幅度</w:t>
            </w:r>
          </w:p>
        </w:tc>
      </w:tr>
      <w:tr>
        <w:trPr>
          <w:trHeight w:val="668" w:hRule="atLeast"/>
        </w:trPr>
        <w:tc>
          <w:tcPr>
            <w:tcW w:w="1444" w:type="dxa"/>
            <w:vAlign w:val="top"/>
          </w:tcPr>
          <w:p>
            <w:pPr>
              <w:pStyle w:val="TableText"/>
              <w:ind w:left="468"/>
              <w:spacing w:before="279" w:line="221" w:lineRule="auto"/>
              <w:rPr>
                <w:sz w:val="25"/>
                <w:szCs w:val="25"/>
              </w:rPr>
            </w:pPr>
            <w:r>
              <w:rPr>
                <w:sz w:val="25"/>
                <w:szCs w:val="25"/>
                <w:b/>
                <w:bCs/>
                <w:spacing w:val="-10"/>
              </w:rPr>
              <w:t>一般</w:t>
            </w:r>
          </w:p>
        </w:tc>
        <w:tc>
          <w:tcPr>
            <w:tcW w:w="6875" w:type="dxa"/>
            <w:vAlign w:val="top"/>
          </w:tcPr>
          <w:p>
            <w:pPr>
              <w:pStyle w:val="TableText"/>
              <w:ind w:left="100" w:right="52" w:hanging="49"/>
              <w:spacing w:before="59" w:line="221" w:lineRule="auto"/>
              <w:rPr>
                <w:sz w:val="25"/>
                <w:szCs w:val="25"/>
              </w:rPr>
            </w:pPr>
            <w:r>
              <w:rPr>
                <w:sz w:val="25"/>
                <w:szCs w:val="25"/>
              </w:rPr>
              <w:t>单采血浆站采集血浆前未按照国务院卫生行政部门颁布的健康</w:t>
            </w:r>
            <w:r>
              <w:rPr>
                <w:sz w:val="25"/>
                <w:szCs w:val="25"/>
                <w:spacing w:val="10"/>
              </w:rPr>
              <w:t xml:space="preserve"> </w:t>
            </w:r>
            <w:r>
              <w:rPr>
                <w:sz w:val="25"/>
                <w:szCs w:val="25"/>
              </w:rPr>
              <w:t>检查标准进行健康检查和血液化验的供血浆者不足10名的</w:t>
            </w:r>
          </w:p>
        </w:tc>
        <w:tc>
          <w:tcPr>
            <w:tcW w:w="5841" w:type="dxa"/>
            <w:vAlign w:val="top"/>
          </w:tcPr>
          <w:p>
            <w:pPr>
              <w:pStyle w:val="TableText"/>
              <w:ind w:left="116"/>
              <w:spacing w:before="209" w:line="219" w:lineRule="auto"/>
              <w:rPr>
                <w:sz w:val="25"/>
                <w:szCs w:val="25"/>
              </w:rPr>
            </w:pPr>
            <w:r>
              <w:rPr>
                <w:sz w:val="25"/>
                <w:szCs w:val="25"/>
              </w:rPr>
              <w:t>责令限期改正，处5万元以上8万元以下的罚款</w:t>
            </w:r>
          </w:p>
        </w:tc>
      </w:tr>
      <w:tr>
        <w:trPr>
          <w:trHeight w:val="678" w:hRule="atLeast"/>
        </w:trPr>
        <w:tc>
          <w:tcPr>
            <w:tcW w:w="1444" w:type="dxa"/>
            <w:vAlign w:val="top"/>
          </w:tcPr>
          <w:p>
            <w:pPr>
              <w:pStyle w:val="TableText"/>
              <w:ind w:left="468"/>
              <w:spacing w:before="313" w:line="221" w:lineRule="auto"/>
              <w:rPr>
                <w:sz w:val="25"/>
                <w:szCs w:val="25"/>
              </w:rPr>
            </w:pPr>
            <w:r>
              <w:rPr>
                <w:sz w:val="25"/>
                <w:szCs w:val="25"/>
                <w:b/>
                <w:bCs/>
                <w:spacing w:val="-6"/>
              </w:rPr>
              <w:t>较重</w:t>
            </w:r>
          </w:p>
        </w:tc>
        <w:tc>
          <w:tcPr>
            <w:tcW w:w="6875" w:type="dxa"/>
            <w:vAlign w:val="top"/>
          </w:tcPr>
          <w:p>
            <w:pPr>
              <w:pStyle w:val="TableText"/>
              <w:ind w:left="90" w:right="52" w:hanging="39"/>
              <w:spacing w:before="72" w:line="220" w:lineRule="auto"/>
              <w:rPr>
                <w:sz w:val="25"/>
                <w:szCs w:val="25"/>
              </w:rPr>
            </w:pPr>
            <w:r>
              <w:rPr>
                <w:sz w:val="25"/>
                <w:szCs w:val="25"/>
              </w:rPr>
              <w:t>单采血浆站采集血浆前未按照国务院卫生行政部门颁布的健康</w:t>
            </w:r>
            <w:r>
              <w:rPr>
                <w:sz w:val="25"/>
                <w:szCs w:val="25"/>
                <w:spacing w:val="10"/>
              </w:rPr>
              <w:t xml:space="preserve"> </w:t>
            </w:r>
            <w:r>
              <w:rPr>
                <w:sz w:val="25"/>
                <w:szCs w:val="25"/>
              </w:rPr>
              <w:t>检查标准进行健康检查和血液化验的供血浆者10名以上的</w:t>
            </w:r>
          </w:p>
        </w:tc>
        <w:tc>
          <w:tcPr>
            <w:tcW w:w="5841" w:type="dxa"/>
            <w:vAlign w:val="top"/>
          </w:tcPr>
          <w:p>
            <w:pPr>
              <w:pStyle w:val="TableText"/>
              <w:ind w:left="116"/>
              <w:spacing w:before="221" w:line="219" w:lineRule="auto"/>
              <w:rPr>
                <w:sz w:val="25"/>
                <w:szCs w:val="25"/>
              </w:rPr>
            </w:pPr>
            <w:r>
              <w:rPr>
                <w:sz w:val="25"/>
                <w:szCs w:val="25"/>
              </w:rPr>
              <w:t>责令限期改正，处8万元以上10万元以下的罚款</w:t>
            </w:r>
          </w:p>
        </w:tc>
      </w:tr>
      <w:tr>
        <w:trPr>
          <w:trHeight w:val="2039" w:hRule="atLeast"/>
        </w:trPr>
        <w:tc>
          <w:tcPr>
            <w:tcW w:w="1444" w:type="dxa"/>
            <w:vAlign w:val="top"/>
          </w:tcPr>
          <w:p>
            <w:pPr>
              <w:pStyle w:val="TableText"/>
              <w:ind w:left="468"/>
              <w:spacing w:before="312" w:line="220" w:lineRule="auto"/>
              <w:rPr>
                <w:sz w:val="25"/>
                <w:szCs w:val="25"/>
              </w:rPr>
            </w:pPr>
            <w:r>
              <w:rPr>
                <w:sz w:val="25"/>
                <w:szCs w:val="25"/>
                <w:b/>
                <w:bCs/>
                <w:spacing w:val="-6"/>
              </w:rPr>
              <w:t>严重</w:t>
            </w:r>
          </w:p>
        </w:tc>
        <w:tc>
          <w:tcPr>
            <w:tcW w:w="6875" w:type="dxa"/>
            <w:vAlign w:val="top"/>
          </w:tcPr>
          <w:p>
            <w:pPr>
              <w:pStyle w:val="TableText"/>
              <w:ind w:left="51" w:right="47"/>
              <w:spacing w:before="95" w:line="238" w:lineRule="auto"/>
              <w:jc w:val="both"/>
              <w:rPr>
                <w:sz w:val="25"/>
                <w:szCs w:val="25"/>
              </w:rPr>
            </w:pPr>
            <w:r>
              <w:rPr>
                <w:sz w:val="25"/>
                <w:szCs w:val="25"/>
              </w:rPr>
              <w:t>单采血浆站采集血浆前未按照国务院卫生行政部门颁布的健康</w:t>
            </w:r>
            <w:r>
              <w:rPr>
                <w:sz w:val="25"/>
                <w:szCs w:val="25"/>
                <w:spacing w:val="10"/>
              </w:rPr>
              <w:t xml:space="preserve"> </w:t>
            </w:r>
            <w:r>
              <w:rPr>
                <w:sz w:val="25"/>
                <w:szCs w:val="25"/>
              </w:rPr>
              <w:t>检查标准进行健康检查和血液化验有下列情形之一的：(一)12</w:t>
            </w:r>
            <w:r>
              <w:rPr>
                <w:sz w:val="25"/>
                <w:szCs w:val="25"/>
                <w:spacing w:val="14"/>
              </w:rPr>
              <w:t xml:space="preserve"> </w:t>
            </w:r>
            <w:r>
              <w:rPr>
                <w:sz w:val="25"/>
                <w:szCs w:val="25"/>
                <w:spacing w:val="2"/>
              </w:rPr>
              <w:t>个月内2次发生该违法行为的；(二)卫生行政部门责令限期改</w:t>
            </w:r>
            <w:r>
              <w:rPr>
                <w:sz w:val="25"/>
                <w:szCs w:val="25"/>
                <w:spacing w:val="18"/>
              </w:rPr>
              <w:t xml:space="preserve"> </w:t>
            </w:r>
            <w:r>
              <w:rPr>
                <w:sz w:val="25"/>
                <w:szCs w:val="25"/>
              </w:rPr>
              <w:t>正而拒不改正的；(三)造成经血液途径传播的疾病传播或者造</w:t>
            </w:r>
            <w:r>
              <w:rPr>
                <w:sz w:val="25"/>
                <w:szCs w:val="25"/>
                <w:spacing w:val="8"/>
              </w:rPr>
              <w:t xml:space="preserve"> </w:t>
            </w:r>
            <w:r>
              <w:rPr>
                <w:sz w:val="25"/>
                <w:szCs w:val="25"/>
              </w:rPr>
              <w:t>成其他严重伤害后果的；(四)同时有《血液制品管理条例》第</w:t>
            </w:r>
            <w:r>
              <w:rPr>
                <w:sz w:val="25"/>
                <w:szCs w:val="25"/>
                <w:spacing w:val="15"/>
              </w:rPr>
              <w:t xml:space="preserve"> </w:t>
            </w:r>
            <w:r>
              <w:rPr>
                <w:sz w:val="25"/>
                <w:szCs w:val="25"/>
                <w:spacing w:val="5"/>
              </w:rPr>
              <w:t>三十五条3项以上违法行为的</w:t>
            </w:r>
          </w:p>
        </w:tc>
        <w:tc>
          <w:tcPr>
            <w:tcW w:w="5841" w:type="dxa"/>
            <w:vAlign w:val="top"/>
          </w:tcPr>
          <w:p>
            <w:pPr>
              <w:spacing w:line="339" w:lineRule="auto"/>
              <w:rPr>
                <w:rFonts w:ascii="Arial"/>
                <w:sz w:val="21"/>
              </w:rPr>
            </w:pPr>
            <w:r/>
          </w:p>
          <w:p>
            <w:pPr>
              <w:spacing w:line="339" w:lineRule="auto"/>
              <w:rPr>
                <w:rFonts w:ascii="Arial"/>
                <w:sz w:val="21"/>
              </w:rPr>
            </w:pPr>
            <w:r/>
          </w:p>
          <w:p>
            <w:pPr>
              <w:pStyle w:val="TableText"/>
              <w:ind w:left="116" w:firstLine="9"/>
              <w:spacing w:before="81" w:line="269" w:lineRule="auto"/>
              <w:rPr>
                <w:sz w:val="25"/>
                <w:szCs w:val="25"/>
              </w:rPr>
            </w:pPr>
            <w:r>
              <w:rPr>
                <w:sz w:val="25"/>
                <w:szCs w:val="25"/>
                <w:spacing w:val="-2"/>
              </w:rPr>
              <w:t>责令限期改正，处10万元罚款，吊销《单采血浆许可</w:t>
            </w:r>
            <w:r>
              <w:rPr>
                <w:sz w:val="25"/>
                <w:szCs w:val="25"/>
                <w:spacing w:val="2"/>
              </w:rPr>
              <w:t xml:space="preserve"> </w:t>
            </w:r>
            <w:r>
              <w:rPr>
                <w:sz w:val="25"/>
                <w:szCs w:val="25"/>
                <w:spacing w:val="2"/>
              </w:rPr>
              <w:t>证》</w:t>
            </w:r>
          </w:p>
        </w:tc>
      </w:tr>
    </w:tbl>
    <w:p>
      <w:pPr>
        <w:pStyle w:val="BodyText"/>
        <w:spacing w:line="447" w:lineRule="auto"/>
        <w:rPr/>
      </w:pPr>
      <w:r/>
    </w:p>
    <w:p>
      <w:pPr>
        <w:ind w:left="129" w:right="124" w:firstLine="660"/>
        <w:spacing w:before="97" w:line="270" w:lineRule="auto"/>
        <w:rPr>
          <w:rFonts w:ascii="FangSong" w:hAnsi="FangSong" w:eastAsia="FangSong" w:cs="FangSong"/>
          <w:sz w:val="30"/>
          <w:szCs w:val="30"/>
        </w:rPr>
      </w:pPr>
      <w:r>
        <w:rPr>
          <w:rFonts w:ascii="FangSong" w:hAnsi="FangSong" w:eastAsia="FangSong" w:cs="FangSong"/>
          <w:sz w:val="30"/>
          <w:szCs w:val="30"/>
          <w:b/>
          <w:bCs/>
          <w:spacing w:val="20"/>
        </w:rPr>
        <w:t>第三百三十六条采集非划定区域内的供血浆者或者其他人员血浆的；或者不对供血浆者进行身</w:t>
      </w:r>
      <w:r>
        <w:rPr>
          <w:rFonts w:ascii="FangSong" w:hAnsi="FangSong" w:eastAsia="FangSong" w:cs="FangSong"/>
          <w:sz w:val="30"/>
          <w:szCs w:val="30"/>
          <w:spacing w:val="5"/>
        </w:rPr>
        <w:t xml:space="preserve"> </w:t>
      </w:r>
      <w:r>
        <w:rPr>
          <w:rFonts w:ascii="FangSong" w:hAnsi="FangSong" w:eastAsia="FangSong" w:cs="FangSong"/>
          <w:sz w:val="30"/>
          <w:szCs w:val="30"/>
          <w:b/>
          <w:bCs/>
          <w:spacing w:val="17"/>
        </w:rPr>
        <w:t>份识别，采集冒名顶替者、健康检查不合格者或者无《供血浆证》</w:t>
      </w:r>
      <w:r>
        <w:rPr>
          <w:rFonts w:ascii="FangSong" w:hAnsi="FangSong" w:eastAsia="FangSong" w:cs="FangSong"/>
          <w:sz w:val="30"/>
          <w:szCs w:val="30"/>
          <w:b/>
          <w:bCs/>
          <w:spacing w:val="16"/>
        </w:rPr>
        <w:t>者的血浆的</w:t>
      </w:r>
    </w:p>
    <w:p>
      <w:pPr>
        <w:ind w:left="774"/>
        <w:spacing w:line="222" w:lineRule="auto"/>
        <w:rPr>
          <w:rFonts w:ascii="FangSong" w:hAnsi="FangSong" w:eastAsia="FangSong" w:cs="FangSong"/>
          <w:sz w:val="30"/>
          <w:szCs w:val="30"/>
        </w:rPr>
      </w:pPr>
      <w:r>
        <w:rPr>
          <w:rFonts w:ascii="FangSong" w:hAnsi="FangSong" w:eastAsia="FangSong" w:cs="FangSong"/>
          <w:sz w:val="30"/>
          <w:szCs w:val="30"/>
          <w:spacing w:val="30"/>
        </w:rPr>
        <w:t>法律依据：</w:t>
      </w:r>
    </w:p>
    <w:p>
      <w:pPr>
        <w:ind w:left="124" w:right="107" w:firstLine="630"/>
        <w:spacing w:before="78" w:line="271" w:lineRule="auto"/>
        <w:jc w:val="both"/>
        <w:rPr>
          <w:rFonts w:ascii="FangSong" w:hAnsi="FangSong" w:eastAsia="FangSong" w:cs="FangSong"/>
          <w:sz w:val="30"/>
          <w:szCs w:val="30"/>
        </w:rPr>
      </w:pPr>
      <w:r>
        <w:rPr>
          <w:rFonts w:ascii="FangSong" w:hAnsi="FangSong" w:eastAsia="FangSong" w:cs="FangSong"/>
          <w:sz w:val="30"/>
          <w:szCs w:val="30"/>
          <w:spacing w:val="23"/>
        </w:rPr>
        <w:t>《血液制品管理条例》第三十五条第(二)项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单采血浆站有下列行为之一的，由县级以上地方</w:t>
      </w:r>
      <w:r>
        <w:rPr>
          <w:rFonts w:ascii="FangSong" w:hAnsi="FangSong" w:eastAsia="FangSong" w:cs="FangSong"/>
          <w:sz w:val="30"/>
          <w:szCs w:val="30"/>
          <w:spacing w:val="9"/>
        </w:rPr>
        <w:t xml:space="preserve"> </w:t>
      </w:r>
      <w:r>
        <w:rPr>
          <w:rFonts w:ascii="FangSong" w:hAnsi="FangSong" w:eastAsia="FangSong" w:cs="FangSong"/>
          <w:sz w:val="30"/>
          <w:szCs w:val="30"/>
          <w:spacing w:val="18"/>
        </w:rPr>
        <w:t>人民政府卫生行政部门责令限期改正，处5</w:t>
      </w:r>
      <w:r>
        <w:rPr>
          <w:rFonts w:ascii="FangSong" w:hAnsi="FangSong" w:eastAsia="FangSong" w:cs="FangSong"/>
          <w:sz w:val="30"/>
          <w:szCs w:val="30"/>
          <w:spacing w:val="76"/>
        </w:rPr>
        <w:t xml:space="preserve"> </w:t>
      </w:r>
      <w:r>
        <w:rPr>
          <w:rFonts w:ascii="FangSong" w:hAnsi="FangSong" w:eastAsia="FangSong" w:cs="FangSong"/>
          <w:sz w:val="30"/>
          <w:szCs w:val="30"/>
          <w:spacing w:val="18"/>
        </w:rPr>
        <w:t>万元以上10</w:t>
      </w:r>
      <w:r>
        <w:rPr>
          <w:rFonts w:ascii="FangSong" w:hAnsi="FangSong" w:eastAsia="FangSong" w:cs="FangSong"/>
          <w:sz w:val="30"/>
          <w:szCs w:val="30"/>
          <w:spacing w:val="18"/>
        </w:rPr>
        <w:t xml:space="preserve"> </w:t>
      </w:r>
      <w:r>
        <w:rPr>
          <w:rFonts w:ascii="FangSong" w:hAnsi="FangSong" w:eastAsia="FangSong" w:cs="FangSong"/>
          <w:sz w:val="30"/>
          <w:szCs w:val="30"/>
          <w:spacing w:val="18"/>
        </w:rPr>
        <w:t>万元以下的罚款；有第八项所列行为的，或</w:t>
      </w:r>
      <w:r>
        <w:rPr>
          <w:rFonts w:ascii="FangSong" w:hAnsi="FangSong" w:eastAsia="FangSong" w:cs="FangSong"/>
          <w:sz w:val="30"/>
          <w:szCs w:val="30"/>
        </w:rPr>
        <w:t xml:space="preserve"> </w:t>
      </w:r>
      <w:r>
        <w:rPr>
          <w:rFonts w:ascii="FangSong" w:hAnsi="FangSong" w:eastAsia="FangSong" w:cs="FangSong"/>
          <w:sz w:val="30"/>
          <w:szCs w:val="30"/>
          <w:spacing w:val="17"/>
        </w:rPr>
        <w:t>者有下列其他行为并且情节严重的，由省、自治区、直辖市人民</w:t>
      </w:r>
      <w:r>
        <w:rPr>
          <w:rFonts w:ascii="FangSong" w:hAnsi="FangSong" w:eastAsia="FangSong" w:cs="FangSong"/>
          <w:sz w:val="30"/>
          <w:szCs w:val="30"/>
          <w:spacing w:val="16"/>
        </w:rPr>
        <w:t>政府卫生行政部门吊销《单采血浆许</w:t>
      </w:r>
      <w:r>
        <w:rPr>
          <w:rFonts w:ascii="FangSong" w:hAnsi="FangSong" w:eastAsia="FangSong" w:cs="FangSong"/>
          <w:sz w:val="30"/>
          <w:szCs w:val="30"/>
        </w:rPr>
        <w:t xml:space="preserve"> </w:t>
      </w:r>
      <w:r>
        <w:rPr>
          <w:rFonts w:ascii="FangSong" w:hAnsi="FangSong" w:eastAsia="FangSong" w:cs="FangSong"/>
          <w:sz w:val="30"/>
          <w:szCs w:val="30"/>
          <w:spacing w:val="21"/>
        </w:rPr>
        <w:t>可证》;构成犯罪的，对负有直接责任的主管人员和其他直接责任人员依法追究刑事责任：</w:t>
      </w:r>
    </w:p>
    <w:p>
      <w:pPr>
        <w:spacing w:line="271" w:lineRule="auto"/>
        <w:sectPr>
          <w:footerReference w:type="default" r:id="rId382"/>
          <w:pgSz w:w="16830" w:h="11900"/>
          <w:pgMar w:top="1011" w:right="1344" w:bottom="1141" w:left="1314" w:header="0" w:footer="817" w:gutter="0"/>
        </w:sectPr>
        <w:rPr>
          <w:rFonts w:ascii="FangSong" w:hAnsi="FangSong" w:eastAsia="FangSong" w:cs="FangSong"/>
          <w:sz w:val="30"/>
          <w:szCs w:val="30"/>
        </w:rPr>
      </w:pPr>
    </w:p>
    <w:p>
      <w:pPr>
        <w:pStyle w:val="BodyText"/>
        <w:spacing w:line="250" w:lineRule="auto"/>
        <w:rPr/>
      </w:pPr>
      <w:r/>
    </w:p>
    <w:p>
      <w:pPr>
        <w:pStyle w:val="BodyText"/>
        <w:spacing w:line="251" w:lineRule="auto"/>
        <w:rPr/>
      </w:pPr>
      <w:r/>
    </w:p>
    <w:p>
      <w:pPr>
        <w:pStyle w:val="BodyText"/>
        <w:spacing w:line="251" w:lineRule="auto"/>
        <w:rPr/>
      </w:pPr>
      <w:r/>
    </w:p>
    <w:p>
      <w:pPr>
        <w:ind w:left="135" w:right="35" w:firstLine="759"/>
        <w:spacing w:before="98" w:line="301" w:lineRule="auto"/>
        <w:rPr>
          <w:rFonts w:ascii="FangSong" w:hAnsi="FangSong" w:eastAsia="FangSong" w:cs="FangSong"/>
          <w:sz w:val="30"/>
          <w:szCs w:val="30"/>
        </w:rPr>
      </w:pPr>
      <w:bookmarkStart w:name="bookmark1034" w:id="405"/>
      <w:bookmarkEnd w:id="405"/>
      <w:r>
        <w:rPr>
          <w:rFonts w:ascii="FangSong" w:hAnsi="FangSong" w:eastAsia="FangSong" w:cs="FangSong"/>
          <w:sz w:val="30"/>
          <w:szCs w:val="30"/>
          <w:spacing w:val="22"/>
        </w:rPr>
        <w:t>(二)采集非划定区域内的供血浆者或者其他人员的血浆的，或者不对供血浆者进行身份识别，</w:t>
      </w:r>
      <w:r>
        <w:rPr>
          <w:rFonts w:ascii="FangSong" w:hAnsi="FangSong" w:eastAsia="FangSong" w:cs="FangSong"/>
          <w:sz w:val="30"/>
          <w:szCs w:val="30"/>
          <w:spacing w:val="14"/>
        </w:rPr>
        <w:t xml:space="preserve"> </w:t>
      </w:r>
      <w:r>
        <w:rPr>
          <w:rFonts w:ascii="FangSong" w:hAnsi="FangSong" w:eastAsia="FangSong" w:cs="FangSong"/>
          <w:sz w:val="30"/>
          <w:szCs w:val="30"/>
          <w:spacing w:val="17"/>
        </w:rPr>
        <w:t>采集冒名顶替者、健康检查不合格者或者无《供血浆证》者的血浆的；</w:t>
      </w:r>
    </w:p>
    <w:p>
      <w:pPr>
        <w:pStyle w:val="BodyText"/>
        <w:spacing w:line="274" w:lineRule="auto"/>
        <w:rPr/>
      </w:pPr>
      <w:r/>
    </w:p>
    <w:p>
      <w:pPr>
        <w:pStyle w:val="BodyText"/>
        <w:spacing w:line="275" w:lineRule="auto"/>
        <w:rPr/>
      </w:pPr>
      <w:r/>
    </w:p>
    <w:p>
      <w:pPr>
        <w:ind w:left="6529"/>
        <w:spacing w:before="98"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70" w:lineRule="exact"/>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84"/>
        <w:gridCol w:w="7525"/>
        <w:gridCol w:w="5251"/>
      </w:tblGrid>
      <w:tr>
        <w:trPr>
          <w:trHeight w:val="424" w:hRule="atLeast"/>
        </w:trPr>
        <w:tc>
          <w:tcPr>
            <w:tcW w:w="1384" w:type="dxa"/>
            <w:vAlign w:val="top"/>
          </w:tcPr>
          <w:p>
            <w:pPr>
              <w:pStyle w:val="TableText"/>
              <w:ind w:left="108"/>
              <w:spacing w:before="9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525" w:type="dxa"/>
            <w:vAlign w:val="top"/>
          </w:tcPr>
          <w:p>
            <w:pPr>
              <w:pStyle w:val="TableText"/>
              <w:ind w:left="3194"/>
              <w:spacing w:before="92" w:line="220" w:lineRule="auto"/>
              <w:rPr/>
            </w:pPr>
            <w:r>
              <w:rPr>
                <w:b/>
                <w:bCs/>
                <w:spacing w:val="-11"/>
              </w:rPr>
              <w:t>违</w:t>
            </w:r>
            <w:r>
              <w:rPr>
                <w:spacing w:val="-36"/>
              </w:rPr>
              <w:t xml:space="preserve"> </w:t>
            </w:r>
            <w:r>
              <w:rPr>
                <w:b/>
                <w:bCs/>
                <w:spacing w:val="-11"/>
              </w:rPr>
              <w:t>法</w:t>
            </w:r>
            <w:r>
              <w:rPr>
                <w:spacing w:val="-36"/>
              </w:rPr>
              <w:t xml:space="preserve"> </w:t>
            </w:r>
            <w:r>
              <w:rPr>
                <w:b/>
                <w:bCs/>
                <w:spacing w:val="-11"/>
              </w:rPr>
              <w:t>后</w:t>
            </w:r>
            <w:r>
              <w:rPr>
                <w:spacing w:val="-34"/>
              </w:rPr>
              <w:t xml:space="preserve"> </w:t>
            </w:r>
            <w:r>
              <w:rPr>
                <w:b/>
                <w:bCs/>
                <w:spacing w:val="-11"/>
              </w:rPr>
              <w:t>果</w:t>
            </w:r>
          </w:p>
        </w:tc>
        <w:tc>
          <w:tcPr>
            <w:tcW w:w="5251" w:type="dxa"/>
            <w:vAlign w:val="top"/>
          </w:tcPr>
          <w:p>
            <w:pPr>
              <w:pStyle w:val="TableText"/>
              <w:ind w:left="2139"/>
              <w:spacing w:before="89" w:line="218" w:lineRule="auto"/>
              <w:rPr/>
            </w:pPr>
            <w:r>
              <w:rPr>
                <w:b/>
                <w:bCs/>
                <w:spacing w:val="-5"/>
              </w:rPr>
              <w:t>裁量幅度</w:t>
            </w:r>
          </w:p>
        </w:tc>
      </w:tr>
      <w:tr>
        <w:trPr>
          <w:trHeight w:val="1357" w:hRule="atLeast"/>
        </w:trPr>
        <w:tc>
          <w:tcPr>
            <w:tcW w:w="1384" w:type="dxa"/>
            <w:vAlign w:val="top"/>
          </w:tcPr>
          <w:p>
            <w:pPr>
              <w:pStyle w:val="TableText"/>
              <w:ind w:left="448"/>
              <w:spacing w:before="308" w:line="221" w:lineRule="auto"/>
              <w:rPr/>
            </w:pPr>
            <w:r>
              <w:rPr>
                <w:b/>
                <w:bCs/>
                <w:spacing w:val="-10"/>
              </w:rPr>
              <w:t>一般</w:t>
            </w:r>
          </w:p>
        </w:tc>
        <w:tc>
          <w:tcPr>
            <w:tcW w:w="7525" w:type="dxa"/>
            <w:vAlign w:val="top"/>
          </w:tcPr>
          <w:p>
            <w:pPr>
              <w:pStyle w:val="TableText"/>
              <w:ind w:left="100"/>
              <w:spacing w:before="81" w:line="219" w:lineRule="auto"/>
              <w:rPr/>
            </w:pPr>
            <w:r>
              <w:rPr/>
              <w:t>有下列情形之一，人数在3人以下的：</w:t>
            </w:r>
          </w:p>
          <w:p>
            <w:pPr>
              <w:pStyle w:val="TableText"/>
              <w:ind w:left="100"/>
              <w:spacing w:before="53" w:line="219" w:lineRule="auto"/>
              <w:rPr/>
            </w:pPr>
            <w:r>
              <w:rPr/>
              <w:t>A.单采血浆站采集非划定区域内的供血浆者或者其他人员的血浆的</w:t>
            </w:r>
          </w:p>
          <w:p>
            <w:pPr>
              <w:pStyle w:val="TableText"/>
              <w:ind w:left="100"/>
              <w:spacing w:before="35" w:line="219" w:lineRule="auto"/>
              <w:rPr/>
            </w:pPr>
            <w:r>
              <w:rPr/>
              <w:t>B.不对供血浆者进行身份识别，采集冒名顶替者或健康检</w:t>
            </w:r>
            <w:r>
              <w:rPr>
                <w:spacing w:val="-1"/>
              </w:rPr>
              <w:t>查不合格者</w:t>
            </w:r>
          </w:p>
          <w:p>
            <w:pPr>
              <w:pStyle w:val="TableText"/>
              <w:ind w:left="100"/>
              <w:spacing w:before="56" w:line="205" w:lineRule="auto"/>
              <w:rPr/>
            </w:pPr>
            <w:r>
              <w:rPr>
                <w:spacing w:val="-1"/>
              </w:rPr>
              <w:t>C.采集无《供血浆证》者的血浆</w:t>
            </w:r>
          </w:p>
        </w:tc>
        <w:tc>
          <w:tcPr>
            <w:tcW w:w="5251" w:type="dxa"/>
            <w:vAlign w:val="top"/>
          </w:tcPr>
          <w:p>
            <w:pPr>
              <w:spacing w:line="478" w:lineRule="auto"/>
              <w:rPr>
                <w:rFonts w:ascii="Arial"/>
                <w:sz w:val="21"/>
              </w:rPr>
            </w:pPr>
            <w:r/>
          </w:p>
          <w:p>
            <w:pPr>
              <w:pStyle w:val="TableText"/>
              <w:ind w:left="216"/>
              <w:spacing w:before="78" w:line="219" w:lineRule="auto"/>
              <w:rPr/>
            </w:pPr>
            <w:r>
              <w:rPr/>
              <w:t>责令限期改正，处5万元以上8万元以下的罚款</w:t>
            </w:r>
          </w:p>
        </w:tc>
      </w:tr>
      <w:tr>
        <w:trPr>
          <w:trHeight w:val="678" w:hRule="atLeast"/>
        </w:trPr>
        <w:tc>
          <w:tcPr>
            <w:tcW w:w="1384" w:type="dxa"/>
            <w:vAlign w:val="top"/>
          </w:tcPr>
          <w:p>
            <w:pPr>
              <w:pStyle w:val="TableText"/>
              <w:ind w:left="448"/>
              <w:spacing w:before="313" w:line="221" w:lineRule="auto"/>
              <w:rPr/>
            </w:pPr>
            <w:r>
              <w:rPr>
                <w:b/>
                <w:bCs/>
                <w:spacing w:val="-5"/>
              </w:rPr>
              <w:t>较重</w:t>
            </w:r>
          </w:p>
        </w:tc>
        <w:tc>
          <w:tcPr>
            <w:tcW w:w="7525" w:type="dxa"/>
            <w:vAlign w:val="top"/>
          </w:tcPr>
          <w:p>
            <w:pPr>
              <w:pStyle w:val="TableText"/>
              <w:ind w:left="100"/>
              <w:spacing w:before="224" w:line="219" w:lineRule="auto"/>
              <w:rPr/>
            </w:pPr>
            <w:r>
              <w:rPr/>
              <w:t>有上述情形之一，人数在3人以上10人以下的</w:t>
            </w:r>
          </w:p>
        </w:tc>
        <w:tc>
          <w:tcPr>
            <w:tcW w:w="5251" w:type="dxa"/>
            <w:vAlign w:val="top"/>
          </w:tcPr>
          <w:p>
            <w:pPr>
              <w:pStyle w:val="TableText"/>
              <w:ind w:left="276"/>
              <w:spacing w:before="72" w:line="219" w:lineRule="auto"/>
              <w:rPr/>
            </w:pPr>
            <w:r>
              <w:rPr>
                <w:spacing w:val="1"/>
              </w:rPr>
              <w:t>责令限期改正，处8万元以上10万元以下的罚</w:t>
            </w:r>
          </w:p>
          <w:p>
            <w:pPr>
              <w:pStyle w:val="TableText"/>
              <w:ind w:left="126"/>
              <w:spacing w:before="48" w:line="202" w:lineRule="auto"/>
              <w:rPr/>
            </w:pPr>
            <w:r>
              <w:rPr>
                <w:color w:val="303050"/>
              </w:rPr>
              <w:t>款</w:t>
            </w:r>
          </w:p>
        </w:tc>
      </w:tr>
      <w:tr>
        <w:trPr>
          <w:trHeight w:val="1361" w:hRule="atLeast"/>
        </w:trPr>
        <w:tc>
          <w:tcPr>
            <w:tcW w:w="1384" w:type="dxa"/>
            <w:vAlign w:val="top"/>
          </w:tcPr>
          <w:p>
            <w:pPr>
              <w:spacing w:line="243" w:lineRule="auto"/>
              <w:rPr>
                <w:rFonts w:ascii="Arial"/>
                <w:sz w:val="21"/>
              </w:rPr>
            </w:pPr>
            <w:r/>
          </w:p>
          <w:p>
            <w:pPr>
              <w:pStyle w:val="TableText"/>
              <w:ind w:left="448"/>
              <w:spacing w:before="78" w:line="220" w:lineRule="auto"/>
              <w:rPr/>
            </w:pPr>
            <w:r>
              <w:rPr>
                <w:b/>
                <w:bCs/>
                <w:spacing w:val="-6"/>
              </w:rPr>
              <w:t>严重</w:t>
            </w:r>
          </w:p>
        </w:tc>
        <w:tc>
          <w:tcPr>
            <w:tcW w:w="7525" w:type="dxa"/>
            <w:vAlign w:val="top"/>
          </w:tcPr>
          <w:p>
            <w:pPr>
              <w:pStyle w:val="TableText"/>
              <w:ind w:left="100"/>
              <w:spacing w:before="87" w:line="243" w:lineRule="auto"/>
              <w:rPr/>
            </w:pPr>
            <w:r>
              <w:rPr>
                <w:spacing w:val="-4"/>
              </w:rPr>
              <w:t>有上述情形之一，人数在10人以上或者造成经血途径疾病传播、人身</w:t>
            </w:r>
            <w:r>
              <w:rPr>
                <w:spacing w:val="4"/>
              </w:rPr>
              <w:t xml:space="preserve">   </w:t>
            </w:r>
            <w:r>
              <w:rPr>
                <w:spacing w:val="-3"/>
              </w:rPr>
              <w:t>伤害、死亡等严重后果的；或12个月内发生两次该违法行为的；或卫</w:t>
            </w:r>
            <w:r>
              <w:rPr/>
              <w:t xml:space="preserve">   </w:t>
            </w:r>
            <w:r>
              <w:rPr>
                <w:spacing w:val="-8"/>
              </w:rPr>
              <w:t>生行政部门责令限期改正而拒不改正的；或同时</w:t>
            </w:r>
            <w:r>
              <w:rPr>
                <w:spacing w:val="-9"/>
              </w:rPr>
              <w:t>有《血液制品管理条例》</w:t>
            </w:r>
            <w:r>
              <w:rPr/>
              <w:t xml:space="preserve"> </w:t>
            </w:r>
            <w:r>
              <w:rPr>
                <w:spacing w:val="-3"/>
              </w:rPr>
              <w:t>第三十五条3项以上违法行为的</w:t>
            </w:r>
          </w:p>
        </w:tc>
        <w:tc>
          <w:tcPr>
            <w:tcW w:w="5251" w:type="dxa"/>
            <w:vAlign w:val="top"/>
          </w:tcPr>
          <w:p>
            <w:pPr>
              <w:spacing w:line="345" w:lineRule="auto"/>
              <w:rPr>
                <w:rFonts w:ascii="Arial"/>
                <w:sz w:val="21"/>
              </w:rPr>
            </w:pPr>
            <w:r/>
          </w:p>
          <w:p>
            <w:pPr>
              <w:pStyle w:val="TableText"/>
              <w:ind w:left="126" w:right="214" w:firstLine="90"/>
              <w:spacing w:before="78" w:line="264" w:lineRule="auto"/>
              <w:rPr/>
            </w:pPr>
            <w:r>
              <w:rPr/>
              <w:t>责令限期改正，处10万元罚款，吊销《单采血</w:t>
            </w:r>
            <w:r>
              <w:rPr>
                <w:spacing w:val="9"/>
              </w:rPr>
              <w:t xml:space="preserve"> </w:t>
            </w:r>
            <w:r>
              <w:rPr>
                <w:spacing w:val="-3"/>
              </w:rPr>
              <w:t>浆许可证》</w:t>
            </w:r>
          </w:p>
        </w:tc>
      </w:tr>
    </w:tbl>
    <w:p>
      <w:pPr>
        <w:pStyle w:val="BodyText"/>
        <w:spacing w:line="457" w:lineRule="auto"/>
        <w:rPr/>
      </w:pPr>
      <w:r/>
    </w:p>
    <w:p>
      <w:pPr>
        <w:ind w:left="129" w:right="116" w:firstLine="649"/>
        <w:spacing w:before="98" w:line="279" w:lineRule="auto"/>
        <w:rPr>
          <w:rFonts w:ascii="FangSong" w:hAnsi="FangSong" w:eastAsia="FangSong" w:cs="FangSong"/>
          <w:sz w:val="30"/>
          <w:szCs w:val="30"/>
        </w:rPr>
      </w:pPr>
      <w:r>
        <w:rPr>
          <w:rFonts w:ascii="FangSong" w:hAnsi="FangSong" w:eastAsia="FangSong" w:cs="FangSong"/>
          <w:sz w:val="30"/>
          <w:szCs w:val="30"/>
          <w:b/>
          <w:bCs/>
          <w:spacing w:val="21"/>
        </w:rPr>
        <w:t>第三百三十七条违反国务院卫生行政部门制定的血浆采</w:t>
      </w:r>
      <w:r>
        <w:rPr>
          <w:rFonts w:ascii="FangSong" w:hAnsi="FangSong" w:eastAsia="FangSong" w:cs="FangSong"/>
          <w:sz w:val="30"/>
          <w:szCs w:val="30"/>
          <w:b/>
          <w:bCs/>
          <w:spacing w:val="20"/>
        </w:rPr>
        <w:t>集技术操作标准和程序，过频过量采集</w:t>
      </w:r>
      <w:r>
        <w:rPr>
          <w:rFonts w:ascii="FangSong" w:hAnsi="FangSong" w:eastAsia="FangSong" w:cs="FangSong"/>
          <w:sz w:val="30"/>
          <w:szCs w:val="30"/>
        </w:rPr>
        <w:t xml:space="preserve"> </w:t>
      </w:r>
      <w:r>
        <w:rPr>
          <w:rFonts w:ascii="FangSong" w:hAnsi="FangSong" w:eastAsia="FangSong" w:cs="FangSong"/>
          <w:sz w:val="30"/>
          <w:szCs w:val="30"/>
          <w:b/>
          <w:bCs/>
          <w:spacing w:val="7"/>
        </w:rPr>
        <w:t>血浆的</w:t>
      </w:r>
    </w:p>
    <w:p>
      <w:pPr>
        <w:ind w:left="754"/>
        <w:spacing w:line="222" w:lineRule="auto"/>
        <w:rPr>
          <w:rFonts w:ascii="FangSong" w:hAnsi="FangSong" w:eastAsia="FangSong" w:cs="FangSong"/>
          <w:sz w:val="30"/>
          <w:szCs w:val="30"/>
        </w:rPr>
      </w:pPr>
      <w:r>
        <w:rPr>
          <w:rFonts w:ascii="FangSong" w:hAnsi="FangSong" w:eastAsia="FangSong" w:cs="FangSong"/>
          <w:sz w:val="30"/>
          <w:szCs w:val="30"/>
          <w:spacing w:val="17"/>
        </w:rPr>
        <w:t>法律依据</w:t>
      </w:r>
    </w:p>
    <w:p>
      <w:pPr>
        <w:ind w:left="755"/>
        <w:spacing w:before="66" w:line="221" w:lineRule="auto"/>
        <w:rPr>
          <w:rFonts w:ascii="FangSong" w:hAnsi="FangSong" w:eastAsia="FangSong" w:cs="FangSong"/>
          <w:sz w:val="30"/>
          <w:szCs w:val="30"/>
        </w:rPr>
      </w:pPr>
      <w:r>
        <w:rPr>
          <w:rFonts w:ascii="FangSong" w:hAnsi="FangSong" w:eastAsia="FangSong" w:cs="FangSong"/>
          <w:sz w:val="30"/>
          <w:szCs w:val="30"/>
          <w:spacing w:val="23"/>
        </w:rPr>
        <w:t>《血液制品管理条例》第三十五条第(三)项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单采血浆站有下列行为之一的，由县级以上地方</w:t>
      </w:r>
    </w:p>
    <w:p>
      <w:pPr>
        <w:spacing w:line="221" w:lineRule="auto"/>
        <w:sectPr>
          <w:footerReference w:type="default" r:id="rId383"/>
          <w:pgSz w:w="16830" w:h="11900"/>
          <w:pgMar w:top="1011" w:right="1344" w:bottom="1117" w:left="1314" w:header="0" w:footer="784" w:gutter="0"/>
        </w:sectPr>
        <w:rPr>
          <w:rFonts w:ascii="FangSong" w:hAnsi="FangSong" w:eastAsia="FangSong" w:cs="FangSong"/>
          <w:sz w:val="30"/>
          <w:szCs w:val="30"/>
        </w:rPr>
      </w:pPr>
    </w:p>
    <w:p>
      <w:pPr>
        <w:pStyle w:val="BodyText"/>
        <w:spacing w:line="260" w:lineRule="auto"/>
        <w:rPr/>
      </w:pPr>
      <w:r/>
    </w:p>
    <w:p>
      <w:pPr>
        <w:pStyle w:val="BodyText"/>
        <w:spacing w:line="260" w:lineRule="auto"/>
        <w:rPr/>
      </w:pPr>
      <w:r/>
    </w:p>
    <w:p>
      <w:pPr>
        <w:pStyle w:val="BodyText"/>
        <w:spacing w:line="261" w:lineRule="auto"/>
        <w:rPr/>
      </w:pPr>
      <w:r/>
    </w:p>
    <w:p>
      <w:pPr>
        <w:ind w:left="135" w:right="113"/>
        <w:spacing w:before="97" w:line="271" w:lineRule="auto"/>
        <w:jc w:val="both"/>
        <w:rPr>
          <w:rFonts w:ascii="FangSong" w:hAnsi="FangSong" w:eastAsia="FangSong" w:cs="FangSong"/>
          <w:sz w:val="30"/>
          <w:szCs w:val="30"/>
        </w:rPr>
      </w:pPr>
      <w:bookmarkStart w:name="bookmark1035" w:id="406"/>
      <w:bookmarkEnd w:id="406"/>
      <w:r>
        <w:rPr>
          <w:rFonts w:ascii="FangSong" w:hAnsi="FangSong" w:eastAsia="FangSong" w:cs="FangSong"/>
          <w:sz w:val="30"/>
          <w:szCs w:val="30"/>
          <w:spacing w:val="27"/>
        </w:rPr>
        <w:t>人民政府卫生行政部门责令限期改正，处5万元以上10万元以下的罚</w:t>
      </w:r>
      <w:r>
        <w:rPr>
          <w:rFonts w:ascii="FangSong" w:hAnsi="FangSong" w:eastAsia="FangSong" w:cs="FangSong"/>
          <w:sz w:val="30"/>
          <w:szCs w:val="30"/>
          <w:spacing w:val="26"/>
        </w:rPr>
        <w:t>款；有第八项所列行为的，或</w:t>
      </w:r>
      <w:r>
        <w:rPr>
          <w:rFonts w:ascii="FangSong" w:hAnsi="FangSong" w:eastAsia="FangSong" w:cs="FangSong"/>
          <w:sz w:val="30"/>
          <w:szCs w:val="30"/>
        </w:rPr>
        <w:t xml:space="preserve"> </w:t>
      </w:r>
      <w:r>
        <w:rPr>
          <w:rFonts w:ascii="FangSong" w:hAnsi="FangSong" w:eastAsia="FangSong" w:cs="FangSong"/>
          <w:sz w:val="30"/>
          <w:szCs w:val="30"/>
          <w:spacing w:val="16"/>
        </w:rPr>
        <w:t>者有下列其他行为并且情节严重的，由省、自治区、直辖市人民政府卫生行政部门吊销《单采血浆许</w:t>
      </w:r>
      <w:r>
        <w:rPr>
          <w:rFonts w:ascii="FangSong" w:hAnsi="FangSong" w:eastAsia="FangSong" w:cs="FangSong"/>
          <w:sz w:val="30"/>
          <w:szCs w:val="30"/>
          <w:spacing w:val="18"/>
        </w:rPr>
        <w:t xml:space="preserve"> </w:t>
      </w:r>
      <w:r>
        <w:rPr>
          <w:rFonts w:ascii="FangSong" w:hAnsi="FangSong" w:eastAsia="FangSong" w:cs="FangSong"/>
          <w:sz w:val="30"/>
          <w:szCs w:val="30"/>
          <w:spacing w:val="22"/>
        </w:rPr>
        <w:t>可证》;构成犯罪的，对负有直接责任的主管人员和其他直接责任</w:t>
      </w:r>
      <w:r>
        <w:rPr>
          <w:rFonts w:ascii="FangSong" w:hAnsi="FangSong" w:eastAsia="FangSong" w:cs="FangSong"/>
          <w:sz w:val="30"/>
          <w:szCs w:val="30"/>
          <w:spacing w:val="21"/>
        </w:rPr>
        <w:t>人员依法追究刑事责任：</w:t>
      </w:r>
    </w:p>
    <w:p>
      <w:pPr>
        <w:ind w:left="6528" w:right="370" w:hanging="5623"/>
        <w:spacing w:before="3" w:line="294" w:lineRule="auto"/>
        <w:rPr>
          <w:rFonts w:ascii="SimHei" w:hAnsi="SimHei" w:eastAsia="SimHei" w:cs="SimHei"/>
          <w:sz w:val="30"/>
          <w:szCs w:val="30"/>
        </w:rPr>
      </w:pPr>
      <w:r>
        <w:rPr>
          <w:rFonts w:ascii="FangSong" w:hAnsi="FangSong" w:eastAsia="FangSong" w:cs="FangSong"/>
          <w:sz w:val="30"/>
          <w:szCs w:val="30"/>
          <w:spacing w:val="22"/>
        </w:rPr>
        <w:t>(三)违反国务院卫生行政部门制定的血浆采集技术操作标准和程序，过频过量采集</w:t>
      </w:r>
      <w:r>
        <w:rPr>
          <w:rFonts w:ascii="FangSong" w:hAnsi="FangSong" w:eastAsia="FangSong" w:cs="FangSong"/>
          <w:sz w:val="30"/>
          <w:szCs w:val="30"/>
          <w:spacing w:val="21"/>
        </w:rPr>
        <w:t>血浆的；</w:t>
      </w:r>
      <w:r>
        <w:rPr>
          <w:rFonts w:ascii="FangSong" w:hAnsi="FangSong" w:eastAsia="FangSong" w:cs="FangSong"/>
          <w:sz w:val="30"/>
          <w:szCs w:val="30"/>
        </w:rPr>
        <w:t xml:space="preserve"> </w:t>
      </w:r>
      <w:r>
        <w:rPr>
          <w:rFonts w:ascii="SimHei" w:hAnsi="SimHei" w:eastAsia="SimHei" w:cs="SimHei"/>
          <w:sz w:val="30"/>
          <w:szCs w:val="30"/>
          <w:b/>
          <w:bCs/>
          <w:spacing w:val="-17"/>
        </w:rPr>
        <w:t>裁量标准</w:t>
      </w:r>
    </w:p>
    <w:tbl>
      <w:tblPr>
        <w:tblStyle w:val="TableNormal"/>
        <w:tblW w:w="1416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445"/>
        <w:gridCol w:w="5276"/>
      </w:tblGrid>
      <w:tr>
        <w:trPr>
          <w:trHeight w:val="454" w:hRule="atLeast"/>
        </w:trPr>
        <w:tc>
          <w:tcPr>
            <w:tcW w:w="1444" w:type="dxa"/>
            <w:vAlign w:val="top"/>
          </w:tcPr>
          <w:p>
            <w:pPr>
              <w:pStyle w:val="TableText"/>
              <w:ind w:left="218"/>
              <w:spacing w:before="102" w:line="220" w:lineRule="auto"/>
              <w:rPr>
                <w:sz w:val="25"/>
                <w:szCs w:val="25"/>
              </w:rPr>
            </w:pPr>
            <w:r>
              <w:rPr>
                <w:sz w:val="25"/>
                <w:szCs w:val="25"/>
                <w:b/>
                <w:bCs/>
                <w:spacing w:val="-5"/>
              </w:rPr>
              <w:t>违法程度</w:t>
            </w:r>
          </w:p>
        </w:tc>
        <w:tc>
          <w:tcPr>
            <w:tcW w:w="7445" w:type="dxa"/>
            <w:vAlign w:val="top"/>
          </w:tcPr>
          <w:p>
            <w:pPr>
              <w:pStyle w:val="TableText"/>
              <w:ind w:left="3214"/>
              <w:spacing w:before="102" w:line="220" w:lineRule="auto"/>
              <w:rPr>
                <w:sz w:val="25"/>
                <w:szCs w:val="25"/>
              </w:rPr>
            </w:pPr>
            <w:r>
              <w:rPr>
                <w:sz w:val="25"/>
                <w:szCs w:val="25"/>
                <w:b/>
                <w:bCs/>
                <w:spacing w:val="-5"/>
              </w:rPr>
              <w:t>违法后果</w:t>
            </w:r>
          </w:p>
        </w:tc>
        <w:tc>
          <w:tcPr>
            <w:tcW w:w="5276" w:type="dxa"/>
            <w:vAlign w:val="top"/>
          </w:tcPr>
          <w:p>
            <w:pPr>
              <w:pStyle w:val="TableText"/>
              <w:ind w:left="2129"/>
              <w:spacing w:before="99" w:line="218" w:lineRule="auto"/>
              <w:rPr>
                <w:sz w:val="25"/>
                <w:szCs w:val="25"/>
              </w:rPr>
            </w:pPr>
            <w:r>
              <w:rPr>
                <w:sz w:val="25"/>
                <w:szCs w:val="25"/>
                <w:b/>
                <w:bCs/>
                <w:spacing w:val="-5"/>
              </w:rPr>
              <w:t>裁量幅度</w:t>
            </w:r>
          </w:p>
        </w:tc>
      </w:tr>
      <w:tr>
        <w:trPr>
          <w:trHeight w:val="668" w:hRule="atLeast"/>
        </w:trPr>
        <w:tc>
          <w:tcPr>
            <w:tcW w:w="1444" w:type="dxa"/>
            <w:vAlign w:val="top"/>
          </w:tcPr>
          <w:p>
            <w:pPr>
              <w:pStyle w:val="TableText"/>
              <w:ind w:left="468"/>
              <w:spacing w:before="319" w:line="221" w:lineRule="auto"/>
              <w:rPr>
                <w:sz w:val="25"/>
                <w:szCs w:val="25"/>
              </w:rPr>
            </w:pPr>
            <w:r>
              <w:rPr>
                <w:sz w:val="25"/>
                <w:szCs w:val="25"/>
                <w:b/>
                <w:bCs/>
                <w:spacing w:val="-10"/>
              </w:rPr>
              <w:t>一般</w:t>
            </w:r>
          </w:p>
        </w:tc>
        <w:tc>
          <w:tcPr>
            <w:tcW w:w="7445" w:type="dxa"/>
            <w:vAlign w:val="top"/>
          </w:tcPr>
          <w:p>
            <w:pPr>
              <w:pStyle w:val="TableText"/>
              <w:ind w:left="100" w:hanging="89"/>
              <w:spacing w:before="51" w:line="224" w:lineRule="auto"/>
              <w:rPr>
                <w:sz w:val="25"/>
                <w:szCs w:val="25"/>
              </w:rPr>
            </w:pPr>
            <w:r>
              <w:rPr>
                <w:sz w:val="25"/>
                <w:szCs w:val="25"/>
                <w:spacing w:val="-3"/>
              </w:rPr>
              <w:t>单采血浆站违反国务院卫生行政部门制定的血浆采集技术操作标准和</w:t>
            </w:r>
            <w:r>
              <w:rPr>
                <w:sz w:val="25"/>
                <w:szCs w:val="25"/>
                <w:spacing w:val="12"/>
              </w:rPr>
              <w:t xml:space="preserve"> </w:t>
            </w:r>
            <w:r>
              <w:rPr>
                <w:sz w:val="25"/>
                <w:szCs w:val="25"/>
              </w:rPr>
              <w:t>程序，过频过量采集血浆的供浆员人数在3人次以下的</w:t>
            </w:r>
          </w:p>
        </w:tc>
        <w:tc>
          <w:tcPr>
            <w:tcW w:w="5276" w:type="dxa"/>
            <w:vAlign w:val="top"/>
          </w:tcPr>
          <w:p>
            <w:pPr>
              <w:pStyle w:val="TableText"/>
              <w:ind w:left="126"/>
              <w:spacing w:before="209" w:line="219" w:lineRule="auto"/>
              <w:rPr>
                <w:sz w:val="25"/>
                <w:szCs w:val="25"/>
              </w:rPr>
            </w:pPr>
            <w:r>
              <w:rPr>
                <w:sz w:val="25"/>
                <w:szCs w:val="25"/>
              </w:rPr>
              <w:t>责令限期改正，处5万元以上8万元以下的罚款</w:t>
            </w:r>
          </w:p>
        </w:tc>
      </w:tr>
      <w:tr>
        <w:trPr>
          <w:trHeight w:val="668" w:hRule="atLeast"/>
        </w:trPr>
        <w:tc>
          <w:tcPr>
            <w:tcW w:w="1444" w:type="dxa"/>
            <w:vAlign w:val="top"/>
          </w:tcPr>
          <w:p>
            <w:pPr>
              <w:rPr>
                <w:rFonts w:ascii="Arial"/>
                <w:sz w:val="21"/>
              </w:rPr>
            </w:pPr>
            <w:r/>
          </w:p>
          <w:p>
            <w:pPr>
              <w:pStyle w:val="TableText"/>
              <w:ind w:left="468"/>
              <w:spacing w:before="81" w:line="221" w:lineRule="auto"/>
              <w:rPr>
                <w:sz w:val="25"/>
                <w:szCs w:val="25"/>
              </w:rPr>
            </w:pPr>
            <w:r>
              <w:rPr>
                <w:sz w:val="25"/>
                <w:szCs w:val="25"/>
                <w:b/>
                <w:bCs/>
                <w:spacing w:val="-6"/>
              </w:rPr>
              <w:t>较重</w:t>
            </w:r>
          </w:p>
        </w:tc>
        <w:tc>
          <w:tcPr>
            <w:tcW w:w="7445" w:type="dxa"/>
            <w:vAlign w:val="top"/>
          </w:tcPr>
          <w:p>
            <w:pPr>
              <w:pStyle w:val="TableText"/>
              <w:ind w:left="150" w:hanging="139"/>
              <w:spacing w:before="72" w:line="216" w:lineRule="auto"/>
              <w:rPr>
                <w:sz w:val="25"/>
                <w:szCs w:val="25"/>
              </w:rPr>
            </w:pPr>
            <w:r>
              <w:rPr>
                <w:sz w:val="25"/>
                <w:szCs w:val="25"/>
                <w:spacing w:val="-3"/>
              </w:rPr>
              <w:t>单采血浆站违反国务院卫生行政部门制定的血浆采集技术操作标准和</w:t>
            </w:r>
            <w:r>
              <w:rPr>
                <w:sz w:val="25"/>
                <w:szCs w:val="25"/>
                <w:spacing w:val="12"/>
              </w:rPr>
              <w:t xml:space="preserve"> </w:t>
            </w:r>
            <w:r>
              <w:rPr>
                <w:sz w:val="25"/>
                <w:szCs w:val="25"/>
              </w:rPr>
              <w:t>程序，过频过量采集血浆的供浆员人数在3人次以上10人次</w:t>
            </w:r>
            <w:r>
              <w:rPr>
                <w:sz w:val="25"/>
                <w:szCs w:val="25"/>
                <w:spacing w:val="-1"/>
              </w:rPr>
              <w:t>以下的</w:t>
            </w:r>
          </w:p>
        </w:tc>
        <w:tc>
          <w:tcPr>
            <w:tcW w:w="5276" w:type="dxa"/>
            <w:vAlign w:val="top"/>
          </w:tcPr>
          <w:p>
            <w:pPr>
              <w:pStyle w:val="TableText"/>
              <w:ind w:left="65"/>
              <w:spacing w:before="211" w:line="219" w:lineRule="auto"/>
              <w:rPr>
                <w:sz w:val="25"/>
                <w:szCs w:val="25"/>
              </w:rPr>
            </w:pPr>
            <w:r>
              <w:rPr>
                <w:sz w:val="25"/>
                <w:szCs w:val="25"/>
              </w:rPr>
              <w:t>责令限期改正，处8万元以上10万元以下的罚款</w:t>
            </w:r>
          </w:p>
        </w:tc>
      </w:tr>
      <w:tr>
        <w:trPr>
          <w:trHeight w:val="1700" w:hRule="atLeast"/>
        </w:trPr>
        <w:tc>
          <w:tcPr>
            <w:tcW w:w="1444" w:type="dxa"/>
            <w:vAlign w:val="top"/>
          </w:tcPr>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pStyle w:val="TableText"/>
              <w:ind w:left="468"/>
              <w:spacing w:before="81" w:line="220" w:lineRule="auto"/>
              <w:rPr>
                <w:sz w:val="25"/>
                <w:szCs w:val="25"/>
              </w:rPr>
            </w:pPr>
            <w:r>
              <w:rPr>
                <w:sz w:val="25"/>
                <w:szCs w:val="25"/>
                <w:b/>
                <w:bCs/>
                <w:spacing w:val="-6"/>
              </w:rPr>
              <w:t>严重</w:t>
            </w:r>
          </w:p>
        </w:tc>
        <w:tc>
          <w:tcPr>
            <w:tcW w:w="7445" w:type="dxa"/>
            <w:vAlign w:val="top"/>
          </w:tcPr>
          <w:p>
            <w:pPr>
              <w:pStyle w:val="TableText"/>
              <w:ind w:left="11"/>
              <w:spacing w:before="71" w:line="239" w:lineRule="auto"/>
              <w:jc w:val="both"/>
              <w:rPr>
                <w:sz w:val="25"/>
                <w:szCs w:val="25"/>
              </w:rPr>
            </w:pPr>
            <w:r>
              <w:rPr>
                <w:sz w:val="25"/>
                <w:szCs w:val="25"/>
                <w:spacing w:val="-3"/>
              </w:rPr>
              <w:t>单采血浆站违反国务院卫生行政部门制定的血浆采集技术操作标准和</w:t>
            </w:r>
            <w:r>
              <w:rPr>
                <w:sz w:val="25"/>
                <w:szCs w:val="25"/>
                <w:spacing w:val="12"/>
              </w:rPr>
              <w:t xml:space="preserve"> </w:t>
            </w:r>
            <w:r>
              <w:rPr>
                <w:sz w:val="25"/>
                <w:szCs w:val="25"/>
                <w:spacing w:val="2"/>
              </w:rPr>
              <w:t>程序，过频过量采集血浆的供浆员人数在10人次以上或造成经血途</w:t>
            </w:r>
            <w:r>
              <w:rPr>
                <w:sz w:val="25"/>
                <w:szCs w:val="25"/>
                <w:spacing w:val="14"/>
              </w:rPr>
              <w:t xml:space="preserve"> </w:t>
            </w:r>
            <w:r>
              <w:rPr>
                <w:sz w:val="25"/>
                <w:szCs w:val="25"/>
                <w:spacing w:val="2"/>
              </w:rPr>
              <w:t>径疾病传播、人身伤害、死亡等严重后果的；或12</w:t>
            </w:r>
            <w:r>
              <w:rPr>
                <w:sz w:val="25"/>
                <w:szCs w:val="25"/>
                <w:spacing w:val="1"/>
              </w:rPr>
              <w:t>个月内发生两次</w:t>
            </w:r>
            <w:r>
              <w:rPr>
                <w:sz w:val="25"/>
                <w:szCs w:val="25"/>
              </w:rPr>
              <w:t xml:space="preserve">  </w:t>
            </w:r>
            <w:r>
              <w:rPr>
                <w:sz w:val="25"/>
                <w:szCs w:val="25"/>
                <w:spacing w:val="-3"/>
              </w:rPr>
              <w:t>该违法行为的；或卫生行政部门责令限期改正而拒不改正的；或同时</w:t>
            </w:r>
            <w:r>
              <w:rPr>
                <w:sz w:val="25"/>
                <w:szCs w:val="25"/>
                <w:spacing w:val="7"/>
              </w:rPr>
              <w:t xml:space="preserve"> </w:t>
            </w:r>
            <w:r>
              <w:rPr>
                <w:sz w:val="25"/>
                <w:szCs w:val="25"/>
                <w:spacing w:val="4"/>
              </w:rPr>
              <w:t>有《血液制品管理条例》第三十五条3项以上违法行为的</w:t>
            </w:r>
          </w:p>
        </w:tc>
        <w:tc>
          <w:tcPr>
            <w:tcW w:w="5276" w:type="dxa"/>
            <w:vAlign w:val="top"/>
          </w:tcPr>
          <w:p>
            <w:pPr>
              <w:spacing w:line="249" w:lineRule="auto"/>
              <w:rPr>
                <w:rFonts w:ascii="Arial"/>
                <w:sz w:val="21"/>
              </w:rPr>
            </w:pPr>
            <w:r/>
          </w:p>
          <w:p>
            <w:pPr>
              <w:spacing w:line="249" w:lineRule="auto"/>
              <w:rPr>
                <w:rFonts w:ascii="Arial"/>
                <w:sz w:val="21"/>
              </w:rPr>
            </w:pPr>
            <w:r/>
          </w:p>
          <w:p>
            <w:pPr>
              <w:pStyle w:val="TableText"/>
              <w:ind w:left="104" w:hanging="89"/>
              <w:spacing w:before="82" w:line="270" w:lineRule="auto"/>
              <w:rPr>
                <w:sz w:val="25"/>
                <w:szCs w:val="25"/>
              </w:rPr>
            </w:pPr>
            <w:r>
              <w:rPr>
                <w:sz w:val="25"/>
                <w:szCs w:val="25"/>
              </w:rPr>
              <w:t>责令限期改正，处10万元罚款，吊销《单采血浆 </w:t>
            </w:r>
            <w:r>
              <w:rPr>
                <w:sz w:val="25"/>
                <w:szCs w:val="25"/>
                <w:spacing w:val="-5"/>
              </w:rPr>
              <w:t>许可证》</w:t>
            </w:r>
          </w:p>
        </w:tc>
      </w:tr>
    </w:tbl>
    <w:p>
      <w:pPr>
        <w:pStyle w:val="BodyText"/>
        <w:spacing w:line="476" w:lineRule="auto"/>
        <w:rPr/>
      </w:pPr>
      <w:r/>
    </w:p>
    <w:p>
      <w:pPr>
        <w:ind w:left="78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第三百三十八条单采血浆站向医疗机构直接供应原料血浆或者擅自采集血液的</w:t>
      </w:r>
    </w:p>
    <w:p>
      <w:pPr>
        <w:ind w:left="795"/>
        <w:spacing w:before="70" w:line="222" w:lineRule="auto"/>
        <w:rPr>
          <w:rFonts w:ascii="FangSong" w:hAnsi="FangSong" w:eastAsia="FangSong" w:cs="FangSong"/>
          <w:sz w:val="30"/>
          <w:szCs w:val="30"/>
        </w:rPr>
      </w:pPr>
      <w:r>
        <w:rPr>
          <w:rFonts w:ascii="FangSong" w:hAnsi="FangSong" w:eastAsia="FangSong" w:cs="FangSong"/>
          <w:sz w:val="30"/>
          <w:szCs w:val="30"/>
          <w:spacing w:val="27"/>
        </w:rPr>
        <w:t>法律依据：</w:t>
      </w:r>
    </w:p>
    <w:p>
      <w:pPr>
        <w:ind w:left="135" w:right="112" w:firstLine="619"/>
        <w:spacing w:before="86" w:line="277" w:lineRule="auto"/>
        <w:rPr>
          <w:rFonts w:ascii="FangSong" w:hAnsi="FangSong" w:eastAsia="FangSong" w:cs="FangSong"/>
          <w:sz w:val="30"/>
          <w:szCs w:val="30"/>
        </w:rPr>
      </w:pPr>
      <w:r>
        <w:rPr>
          <w:rFonts w:ascii="FangSong" w:hAnsi="FangSong" w:eastAsia="FangSong" w:cs="FangSong"/>
          <w:sz w:val="30"/>
          <w:szCs w:val="30"/>
          <w:spacing w:val="23"/>
        </w:rPr>
        <w:t>《血液制品管理条例》第三十五条第(四)项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单采血浆站有下列行为之一的，由县级以上地方</w:t>
      </w:r>
      <w:r>
        <w:rPr>
          <w:rFonts w:ascii="FangSong" w:hAnsi="FangSong" w:eastAsia="FangSong" w:cs="FangSong"/>
          <w:sz w:val="30"/>
          <w:szCs w:val="30"/>
          <w:spacing w:val="9"/>
        </w:rPr>
        <w:t xml:space="preserve"> </w:t>
      </w:r>
      <w:r>
        <w:rPr>
          <w:rFonts w:ascii="FangSong" w:hAnsi="FangSong" w:eastAsia="FangSong" w:cs="FangSong"/>
          <w:sz w:val="30"/>
          <w:szCs w:val="30"/>
          <w:spacing w:val="18"/>
        </w:rPr>
        <w:t>人民政府卫生行政部门责令限期改正，处5</w:t>
      </w:r>
      <w:r>
        <w:rPr>
          <w:rFonts w:ascii="FangSong" w:hAnsi="FangSong" w:eastAsia="FangSong" w:cs="FangSong"/>
          <w:sz w:val="30"/>
          <w:szCs w:val="30"/>
          <w:spacing w:val="66"/>
        </w:rPr>
        <w:t xml:space="preserve"> </w:t>
      </w:r>
      <w:r>
        <w:rPr>
          <w:rFonts w:ascii="FangSong" w:hAnsi="FangSong" w:eastAsia="FangSong" w:cs="FangSong"/>
          <w:sz w:val="30"/>
          <w:szCs w:val="30"/>
          <w:spacing w:val="18"/>
        </w:rPr>
        <w:t>万元以上10</w:t>
      </w:r>
      <w:r>
        <w:rPr>
          <w:rFonts w:ascii="FangSong" w:hAnsi="FangSong" w:eastAsia="FangSong" w:cs="FangSong"/>
          <w:sz w:val="30"/>
          <w:szCs w:val="30"/>
          <w:spacing w:val="18"/>
        </w:rPr>
        <w:t xml:space="preserve"> </w:t>
      </w:r>
      <w:r>
        <w:rPr>
          <w:rFonts w:ascii="FangSong" w:hAnsi="FangSong" w:eastAsia="FangSong" w:cs="FangSong"/>
          <w:sz w:val="30"/>
          <w:szCs w:val="30"/>
          <w:spacing w:val="18"/>
        </w:rPr>
        <w:t>万元以下的罚款；有第八项所列行为的，或</w:t>
      </w:r>
    </w:p>
    <w:p>
      <w:pPr>
        <w:spacing w:line="277" w:lineRule="auto"/>
        <w:sectPr>
          <w:footerReference w:type="default" r:id="rId384"/>
          <w:pgSz w:w="16830" w:h="11900"/>
          <w:pgMar w:top="1011" w:right="1339" w:bottom="1113" w:left="1314" w:header="0" w:footer="779" w:gutter="0"/>
        </w:sectPr>
        <w:rPr>
          <w:rFonts w:ascii="FangSong" w:hAnsi="FangSong" w:eastAsia="FangSong" w:cs="FangSong"/>
          <w:sz w:val="30"/>
          <w:szCs w:val="30"/>
        </w:rPr>
      </w:pPr>
    </w:p>
    <w:p>
      <w:pPr>
        <w:pStyle w:val="BodyText"/>
        <w:spacing w:line="259" w:lineRule="auto"/>
        <w:rPr/>
      </w:pPr>
      <w:r/>
    </w:p>
    <w:p>
      <w:pPr>
        <w:pStyle w:val="BodyText"/>
        <w:spacing w:line="260" w:lineRule="auto"/>
        <w:rPr/>
      </w:pPr>
      <w:r/>
    </w:p>
    <w:p>
      <w:pPr>
        <w:pStyle w:val="BodyText"/>
        <w:spacing w:line="260" w:lineRule="auto"/>
        <w:rPr/>
      </w:pPr>
      <w:r/>
    </w:p>
    <w:p>
      <w:pPr>
        <w:ind w:left="164" w:right="110" w:hanging="29"/>
        <w:spacing w:before="101" w:line="262" w:lineRule="auto"/>
        <w:rPr>
          <w:rFonts w:ascii="FangSong" w:hAnsi="FangSong" w:eastAsia="FangSong" w:cs="FangSong"/>
          <w:sz w:val="31"/>
          <w:szCs w:val="31"/>
        </w:rPr>
      </w:pPr>
      <w:bookmarkStart w:name="bookmark1036" w:id="407"/>
      <w:bookmarkEnd w:id="407"/>
      <w:r>
        <w:rPr>
          <w:rFonts w:ascii="FangSong" w:hAnsi="FangSong" w:eastAsia="FangSong" w:cs="FangSong"/>
          <w:sz w:val="31"/>
          <w:szCs w:val="31"/>
          <w:spacing w:val="7"/>
        </w:rPr>
        <w:t>者有下列其他行为并且情节严重的，由省、</w:t>
      </w:r>
      <w:r>
        <w:rPr>
          <w:rFonts w:ascii="FangSong" w:hAnsi="FangSong" w:eastAsia="FangSong" w:cs="FangSong"/>
          <w:sz w:val="31"/>
          <w:szCs w:val="31"/>
          <w:spacing w:val="6"/>
        </w:rPr>
        <w:t>自治区、直辖市人民政府卫生行政部门吊销《单采血浆许</w:t>
      </w:r>
      <w:r>
        <w:rPr>
          <w:rFonts w:ascii="FangSong" w:hAnsi="FangSong" w:eastAsia="FangSong" w:cs="FangSong"/>
          <w:sz w:val="31"/>
          <w:szCs w:val="31"/>
        </w:rPr>
        <w:t xml:space="preserve"> </w:t>
      </w:r>
      <w:r>
        <w:rPr>
          <w:rFonts w:ascii="FangSong" w:hAnsi="FangSong" w:eastAsia="FangSong" w:cs="FangSong"/>
          <w:sz w:val="31"/>
          <w:szCs w:val="31"/>
          <w:spacing w:val="11"/>
        </w:rPr>
        <w:t>可证》;构成犯罪的，对负有直接责任的主管人员和其他直接责任人员依法追究刑事责</w:t>
      </w:r>
      <w:r>
        <w:rPr>
          <w:rFonts w:ascii="FangSong" w:hAnsi="FangSong" w:eastAsia="FangSong" w:cs="FangSong"/>
          <w:sz w:val="31"/>
          <w:szCs w:val="31"/>
          <w:spacing w:val="10"/>
        </w:rPr>
        <w:t>任：</w:t>
      </w:r>
    </w:p>
    <w:p>
      <w:pPr>
        <w:ind w:left="905"/>
        <w:spacing w:line="220" w:lineRule="auto"/>
        <w:rPr>
          <w:rFonts w:ascii="FangSong" w:hAnsi="FangSong" w:eastAsia="FangSong" w:cs="FangSong"/>
          <w:sz w:val="31"/>
          <w:szCs w:val="31"/>
        </w:rPr>
      </w:pPr>
      <w:r>
        <w:rPr>
          <w:rFonts w:ascii="FangSong" w:hAnsi="FangSong" w:eastAsia="FangSong" w:cs="FangSong"/>
          <w:sz w:val="31"/>
          <w:szCs w:val="31"/>
          <w:spacing w:val="13"/>
        </w:rPr>
        <w:t>(四)向医疗机构直接供应原料血浆或擅自采集血液的；</w:t>
      </w:r>
    </w:p>
    <w:p>
      <w:pPr>
        <w:ind w:left="6529"/>
        <w:spacing w:before="159" w:line="221" w:lineRule="auto"/>
        <w:rPr>
          <w:rFonts w:ascii="SimHei" w:hAnsi="SimHei" w:eastAsia="SimHei" w:cs="SimHei"/>
          <w:sz w:val="31"/>
          <w:szCs w:val="31"/>
        </w:rPr>
      </w:pPr>
      <w:r>
        <w:rPr>
          <w:rFonts w:ascii="SimHei" w:hAnsi="SimHei" w:eastAsia="SimHei" w:cs="SimHei"/>
          <w:sz w:val="31"/>
          <w:szCs w:val="31"/>
          <w:b/>
          <w:bCs/>
          <w:spacing w:val="-25"/>
        </w:rPr>
        <w:t>裁量标准</w:t>
      </w:r>
    </w:p>
    <w:p>
      <w:pPr>
        <w:spacing w:line="58" w:lineRule="exact"/>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585"/>
        <w:gridCol w:w="5151"/>
      </w:tblGrid>
      <w:tr>
        <w:trPr>
          <w:trHeight w:val="444" w:hRule="atLeast"/>
        </w:trPr>
        <w:tc>
          <w:tcPr>
            <w:tcW w:w="1424" w:type="dxa"/>
            <w:vAlign w:val="top"/>
          </w:tcPr>
          <w:p>
            <w:pPr>
              <w:pStyle w:val="TableText"/>
              <w:ind w:left="208"/>
              <w:spacing w:before="102" w:line="220" w:lineRule="auto"/>
              <w:rPr>
                <w:sz w:val="25"/>
                <w:szCs w:val="25"/>
              </w:rPr>
            </w:pPr>
            <w:r>
              <w:rPr>
                <w:sz w:val="25"/>
                <w:szCs w:val="25"/>
                <w:b/>
                <w:bCs/>
                <w:spacing w:val="-5"/>
              </w:rPr>
              <w:t>违法程度</w:t>
            </w:r>
          </w:p>
        </w:tc>
        <w:tc>
          <w:tcPr>
            <w:tcW w:w="7585" w:type="dxa"/>
            <w:vAlign w:val="top"/>
          </w:tcPr>
          <w:p>
            <w:pPr>
              <w:pStyle w:val="TableText"/>
              <w:ind w:left="3234"/>
              <w:spacing w:before="102" w:line="220" w:lineRule="auto"/>
              <w:rPr>
                <w:sz w:val="25"/>
                <w:szCs w:val="25"/>
              </w:rPr>
            </w:pPr>
            <w:r>
              <w:rPr>
                <w:sz w:val="25"/>
                <w:szCs w:val="25"/>
                <w:b/>
                <w:bCs/>
                <w:spacing w:val="-5"/>
              </w:rPr>
              <w:t>违法后果</w:t>
            </w:r>
          </w:p>
        </w:tc>
        <w:tc>
          <w:tcPr>
            <w:tcW w:w="5151" w:type="dxa"/>
            <w:vAlign w:val="top"/>
          </w:tcPr>
          <w:p>
            <w:pPr>
              <w:pStyle w:val="TableText"/>
              <w:ind w:left="2069"/>
              <w:spacing w:before="99" w:line="218" w:lineRule="auto"/>
              <w:rPr>
                <w:sz w:val="25"/>
                <w:szCs w:val="25"/>
              </w:rPr>
            </w:pPr>
            <w:r>
              <w:rPr>
                <w:sz w:val="25"/>
                <w:szCs w:val="25"/>
                <w:b/>
                <w:bCs/>
                <w:spacing w:val="-5"/>
              </w:rPr>
              <w:t>裁量幅度</w:t>
            </w:r>
          </w:p>
        </w:tc>
      </w:tr>
      <w:tr>
        <w:trPr>
          <w:trHeight w:val="698" w:hRule="atLeast"/>
        </w:trPr>
        <w:tc>
          <w:tcPr>
            <w:tcW w:w="1424" w:type="dxa"/>
            <w:vAlign w:val="top"/>
          </w:tcPr>
          <w:p>
            <w:pPr>
              <w:pStyle w:val="TableText"/>
              <w:ind w:left="458"/>
              <w:spacing w:before="229" w:line="221" w:lineRule="auto"/>
              <w:rPr>
                <w:sz w:val="25"/>
                <w:szCs w:val="25"/>
              </w:rPr>
            </w:pPr>
            <w:r>
              <w:rPr>
                <w:sz w:val="25"/>
                <w:szCs w:val="25"/>
                <w:b/>
                <w:bCs/>
                <w:spacing w:val="-10"/>
              </w:rPr>
              <w:t>一般</w:t>
            </w:r>
          </w:p>
        </w:tc>
        <w:tc>
          <w:tcPr>
            <w:tcW w:w="7585" w:type="dxa"/>
            <w:vAlign w:val="top"/>
          </w:tcPr>
          <w:p>
            <w:pPr>
              <w:pStyle w:val="TableText"/>
              <w:ind w:left="110" w:right="100"/>
              <w:spacing w:before="81" w:line="224" w:lineRule="auto"/>
              <w:rPr>
                <w:sz w:val="25"/>
                <w:szCs w:val="25"/>
              </w:rPr>
            </w:pPr>
            <w:r>
              <w:rPr>
                <w:sz w:val="25"/>
                <w:szCs w:val="25"/>
                <w:spacing w:val="-1"/>
              </w:rPr>
              <w:t>单采血浆站向医疗机构直接供应原料血浆在500克以下或擅自采集血</w:t>
            </w:r>
            <w:r>
              <w:rPr>
                <w:sz w:val="25"/>
                <w:szCs w:val="25"/>
                <w:spacing w:val="18"/>
              </w:rPr>
              <w:t xml:space="preserve"> </w:t>
            </w:r>
            <w:r>
              <w:rPr>
                <w:sz w:val="25"/>
                <w:szCs w:val="25"/>
                <w:spacing w:val="1"/>
              </w:rPr>
              <w:t>液人数3人次以下的</w:t>
            </w:r>
          </w:p>
        </w:tc>
        <w:tc>
          <w:tcPr>
            <w:tcW w:w="5151" w:type="dxa"/>
            <w:vAlign w:val="top"/>
          </w:tcPr>
          <w:p>
            <w:pPr>
              <w:pStyle w:val="TableText"/>
              <w:ind w:left="196"/>
              <w:spacing w:before="89" w:line="219" w:lineRule="auto"/>
              <w:rPr>
                <w:sz w:val="25"/>
                <w:szCs w:val="25"/>
              </w:rPr>
            </w:pPr>
            <w:r>
              <w:rPr>
                <w:sz w:val="25"/>
                <w:szCs w:val="25"/>
                <w:spacing w:val="1"/>
              </w:rPr>
              <w:t>责令限期改正，处5万元以上8万元以下的罚</w:t>
            </w:r>
          </w:p>
          <w:p>
            <w:pPr>
              <w:pStyle w:val="TableText"/>
              <w:ind w:left="106"/>
              <w:spacing w:before="36" w:line="196" w:lineRule="auto"/>
              <w:rPr>
                <w:sz w:val="25"/>
                <w:szCs w:val="25"/>
              </w:rPr>
            </w:pPr>
            <w:r>
              <w:rPr>
                <w:sz w:val="25"/>
                <w:szCs w:val="25"/>
                <w:color w:val="303040"/>
              </w:rPr>
              <w:t>款</w:t>
            </w:r>
          </w:p>
        </w:tc>
      </w:tr>
      <w:tr>
        <w:trPr>
          <w:trHeight w:val="708" w:hRule="atLeast"/>
        </w:trPr>
        <w:tc>
          <w:tcPr>
            <w:tcW w:w="1424" w:type="dxa"/>
            <w:vAlign w:val="top"/>
          </w:tcPr>
          <w:p>
            <w:pPr>
              <w:pStyle w:val="TableText"/>
              <w:ind w:left="458"/>
              <w:spacing w:before="233" w:line="221" w:lineRule="auto"/>
              <w:rPr>
                <w:sz w:val="25"/>
                <w:szCs w:val="25"/>
              </w:rPr>
            </w:pPr>
            <w:r>
              <w:rPr>
                <w:sz w:val="25"/>
                <w:szCs w:val="25"/>
                <w:b/>
                <w:bCs/>
                <w:spacing w:val="-6"/>
              </w:rPr>
              <w:t>较重</w:t>
            </w:r>
          </w:p>
        </w:tc>
        <w:tc>
          <w:tcPr>
            <w:tcW w:w="7585" w:type="dxa"/>
            <w:vAlign w:val="top"/>
          </w:tcPr>
          <w:p>
            <w:pPr>
              <w:pStyle w:val="TableText"/>
              <w:ind w:left="110" w:right="164" w:firstLine="40"/>
              <w:spacing w:before="83" w:line="227" w:lineRule="auto"/>
              <w:rPr>
                <w:sz w:val="25"/>
                <w:szCs w:val="25"/>
              </w:rPr>
            </w:pPr>
            <w:r>
              <w:rPr>
                <w:sz w:val="25"/>
                <w:szCs w:val="25"/>
              </w:rPr>
              <w:t>向医疗机构直接供应原料血浆在500克以上5千克以下或者擅自采集</w:t>
            </w:r>
            <w:r>
              <w:rPr>
                <w:sz w:val="25"/>
                <w:szCs w:val="25"/>
                <w:spacing w:val="8"/>
              </w:rPr>
              <w:t xml:space="preserve"> </w:t>
            </w:r>
            <w:r>
              <w:rPr>
                <w:sz w:val="25"/>
                <w:szCs w:val="25"/>
              </w:rPr>
              <w:t>血液人数在3人次以上10人次以下的</w:t>
            </w:r>
          </w:p>
        </w:tc>
        <w:tc>
          <w:tcPr>
            <w:tcW w:w="5151" w:type="dxa"/>
            <w:vAlign w:val="top"/>
          </w:tcPr>
          <w:p>
            <w:pPr>
              <w:pStyle w:val="TableText"/>
              <w:ind w:left="126"/>
              <w:spacing w:before="81" w:line="219" w:lineRule="auto"/>
              <w:rPr>
                <w:sz w:val="25"/>
                <w:szCs w:val="25"/>
              </w:rPr>
            </w:pPr>
            <w:r>
              <w:rPr>
                <w:sz w:val="25"/>
                <w:szCs w:val="25"/>
                <w:spacing w:val="1"/>
              </w:rPr>
              <w:t>责令限期改正，处8万元以上10万元以下的罚</w:t>
            </w:r>
          </w:p>
          <w:p>
            <w:pPr>
              <w:pStyle w:val="TableText"/>
              <w:ind w:left="106"/>
              <w:spacing w:before="46" w:line="202" w:lineRule="auto"/>
              <w:rPr>
                <w:sz w:val="25"/>
                <w:szCs w:val="25"/>
              </w:rPr>
            </w:pPr>
            <w:r>
              <w:rPr>
                <w:sz w:val="25"/>
                <w:szCs w:val="25"/>
                <w:color w:val="304050"/>
              </w:rPr>
              <w:t>款</w:t>
            </w:r>
          </w:p>
        </w:tc>
      </w:tr>
      <w:tr>
        <w:trPr>
          <w:trHeight w:val="2359" w:hRule="atLeast"/>
        </w:trPr>
        <w:tc>
          <w:tcPr>
            <w:tcW w:w="1424" w:type="dxa"/>
            <w:vAlign w:val="top"/>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7585" w:type="dxa"/>
            <w:vAlign w:val="top"/>
          </w:tcPr>
          <w:p>
            <w:pPr>
              <w:pStyle w:val="TableText"/>
              <w:ind w:left="110"/>
              <w:spacing w:before="56" w:line="220" w:lineRule="auto"/>
              <w:rPr>
                <w:sz w:val="25"/>
                <w:szCs w:val="25"/>
              </w:rPr>
            </w:pPr>
            <w:r>
              <w:rPr>
                <w:sz w:val="25"/>
                <w:szCs w:val="25"/>
                <w:spacing w:val="1"/>
              </w:rPr>
              <w:t>有下列情形之一的：</w:t>
            </w:r>
          </w:p>
          <w:p>
            <w:pPr>
              <w:pStyle w:val="TableText"/>
              <w:ind w:left="110"/>
              <w:spacing w:before="49" w:line="219" w:lineRule="auto"/>
              <w:rPr>
                <w:sz w:val="25"/>
                <w:szCs w:val="25"/>
              </w:rPr>
            </w:pPr>
            <w:r>
              <w:rPr>
                <w:sz w:val="25"/>
                <w:szCs w:val="25"/>
              </w:rPr>
              <w:t>A.向医疗机构直接供应原料血浆在5千克</w:t>
            </w:r>
            <w:r>
              <w:rPr>
                <w:sz w:val="25"/>
                <w:szCs w:val="25"/>
                <w:spacing w:val="-1"/>
              </w:rPr>
              <w:t>以上</w:t>
            </w:r>
          </w:p>
          <w:p>
            <w:pPr>
              <w:pStyle w:val="TableText"/>
              <w:ind w:left="110"/>
              <w:spacing w:before="33" w:line="219" w:lineRule="auto"/>
              <w:rPr>
                <w:sz w:val="25"/>
                <w:szCs w:val="25"/>
              </w:rPr>
            </w:pPr>
            <w:r>
              <w:rPr>
                <w:sz w:val="25"/>
                <w:szCs w:val="25"/>
                <w:spacing w:val="1"/>
              </w:rPr>
              <w:t>B.擅自采集血液10人次以上的</w:t>
            </w:r>
          </w:p>
          <w:p>
            <w:pPr>
              <w:pStyle w:val="TableText"/>
              <w:ind w:left="110" w:right="1194"/>
              <w:spacing w:before="53" w:line="232" w:lineRule="auto"/>
              <w:rPr>
                <w:sz w:val="25"/>
                <w:szCs w:val="25"/>
              </w:rPr>
            </w:pPr>
            <w:r>
              <w:rPr>
                <w:sz w:val="25"/>
                <w:szCs w:val="25"/>
              </w:rPr>
              <w:t>C.造成经血途径疾病传播、人身伤害、死亡等严重后果的</w:t>
            </w:r>
            <w:r>
              <w:rPr>
                <w:sz w:val="25"/>
                <w:szCs w:val="25"/>
                <w:spacing w:val="18"/>
              </w:rPr>
              <w:t xml:space="preserve"> </w:t>
            </w:r>
            <w:r>
              <w:rPr>
                <w:sz w:val="25"/>
                <w:szCs w:val="25"/>
                <w:spacing w:val="1"/>
              </w:rPr>
              <w:t>D.12个月内发生两次以上违法行为的</w:t>
            </w:r>
          </w:p>
          <w:p>
            <w:pPr>
              <w:pStyle w:val="TableText"/>
              <w:ind w:left="110"/>
              <w:spacing w:before="71" w:line="219" w:lineRule="auto"/>
              <w:rPr>
                <w:sz w:val="25"/>
                <w:szCs w:val="25"/>
              </w:rPr>
            </w:pPr>
            <w:r>
              <w:rPr>
                <w:sz w:val="25"/>
                <w:szCs w:val="25"/>
              </w:rPr>
              <w:t>E.卫生行政部门责令限期改正而拒不改正的</w:t>
            </w:r>
          </w:p>
          <w:p>
            <w:pPr>
              <w:pStyle w:val="TableText"/>
              <w:ind w:left="110"/>
              <w:spacing w:before="4" w:line="195" w:lineRule="auto"/>
              <w:rPr>
                <w:sz w:val="25"/>
                <w:szCs w:val="25"/>
              </w:rPr>
            </w:pPr>
            <w:r>
              <w:rPr>
                <w:sz w:val="25"/>
                <w:szCs w:val="25"/>
              </w:rPr>
              <w:t>F.或同时有《血液制品管理条例》第三十五条3项以上违法行为的</w:t>
            </w:r>
          </w:p>
        </w:tc>
        <w:tc>
          <w:tcPr>
            <w:tcW w:w="5151" w:type="dxa"/>
            <w:vAlign w:val="top"/>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135" w:right="64" w:hanging="70"/>
              <w:spacing w:before="81" w:line="261" w:lineRule="auto"/>
              <w:rPr>
                <w:sz w:val="25"/>
                <w:szCs w:val="25"/>
              </w:rPr>
            </w:pPr>
            <w:r>
              <w:rPr>
                <w:sz w:val="25"/>
                <w:szCs w:val="25"/>
              </w:rPr>
              <w:t>责令限期改正，处10万元罚款，吊销《单采血</w:t>
            </w:r>
            <w:r>
              <w:rPr>
                <w:sz w:val="25"/>
                <w:szCs w:val="25"/>
                <w:spacing w:val="9"/>
              </w:rPr>
              <w:t xml:space="preserve"> </w:t>
            </w:r>
            <w:r>
              <w:rPr>
                <w:sz w:val="25"/>
                <w:szCs w:val="25"/>
                <w:spacing w:val="-4"/>
              </w:rPr>
              <w:t>浆许可证》</w:t>
            </w:r>
          </w:p>
        </w:tc>
      </w:tr>
    </w:tbl>
    <w:p>
      <w:pPr>
        <w:pStyle w:val="BodyText"/>
        <w:spacing w:line="433" w:lineRule="auto"/>
        <w:rPr/>
      </w:pPr>
      <w:r/>
    </w:p>
    <w:p>
      <w:pPr>
        <w:ind w:left="449"/>
        <w:spacing w:before="101" w:line="220" w:lineRule="auto"/>
        <w:rPr>
          <w:rFonts w:ascii="FangSong" w:hAnsi="FangSong" w:eastAsia="FangSong" w:cs="FangSong"/>
          <w:sz w:val="31"/>
          <w:szCs w:val="31"/>
        </w:rPr>
      </w:pPr>
      <w:r>
        <w:rPr>
          <w:rFonts w:ascii="FangSong" w:hAnsi="FangSong" w:eastAsia="FangSong" w:cs="FangSong"/>
          <w:sz w:val="31"/>
          <w:szCs w:val="31"/>
          <w:b/>
          <w:bCs/>
          <w:spacing w:val="13"/>
        </w:rPr>
        <w:t>第三百三十九条单采血浆站未使用单采血浆机械进行</w:t>
      </w:r>
      <w:r>
        <w:rPr>
          <w:rFonts w:ascii="FangSong" w:hAnsi="FangSong" w:eastAsia="FangSong" w:cs="FangSong"/>
          <w:sz w:val="31"/>
          <w:szCs w:val="31"/>
          <w:b/>
          <w:bCs/>
          <w:spacing w:val="12"/>
        </w:rPr>
        <w:t>血浆采集的</w:t>
      </w:r>
    </w:p>
    <w:p>
      <w:pPr>
        <w:ind w:left="774"/>
        <w:spacing w:before="78" w:line="222" w:lineRule="auto"/>
        <w:rPr>
          <w:rFonts w:ascii="FangSong" w:hAnsi="FangSong" w:eastAsia="FangSong" w:cs="FangSong"/>
          <w:sz w:val="31"/>
          <w:szCs w:val="31"/>
        </w:rPr>
      </w:pPr>
      <w:r>
        <w:rPr>
          <w:rFonts w:ascii="FangSong" w:hAnsi="FangSong" w:eastAsia="FangSong" w:cs="FangSong"/>
          <w:sz w:val="31"/>
          <w:szCs w:val="31"/>
          <w:spacing w:val="5"/>
        </w:rPr>
        <w:t>法律依据</w:t>
      </w:r>
    </w:p>
    <w:p>
      <w:pPr>
        <w:ind w:left="750"/>
        <w:spacing w:before="75" w:line="221" w:lineRule="auto"/>
        <w:rPr>
          <w:rFonts w:ascii="FangSong" w:hAnsi="FangSong" w:eastAsia="FangSong" w:cs="FangSong"/>
          <w:sz w:val="31"/>
          <w:szCs w:val="31"/>
        </w:rPr>
      </w:pPr>
      <w:r>
        <w:rPr>
          <w:rFonts w:ascii="FangSong" w:hAnsi="FangSong" w:eastAsia="FangSong" w:cs="FangSong"/>
          <w:sz w:val="31"/>
          <w:szCs w:val="31"/>
          <w:spacing w:val="14"/>
        </w:rPr>
        <w:t>《血液制品管理条例》第三十五条第(五)项</w:t>
      </w:r>
      <w:r>
        <w:rPr>
          <w:rFonts w:ascii="FangSong" w:hAnsi="FangSong" w:eastAsia="FangSong" w:cs="FangSong"/>
          <w:sz w:val="31"/>
          <w:szCs w:val="31"/>
          <w:spacing w:val="14"/>
        </w:rPr>
        <w:t xml:space="preserve">  </w:t>
      </w:r>
      <w:r>
        <w:rPr>
          <w:rFonts w:ascii="FangSong" w:hAnsi="FangSong" w:eastAsia="FangSong" w:cs="FangSong"/>
          <w:sz w:val="31"/>
          <w:szCs w:val="31"/>
          <w:spacing w:val="14"/>
        </w:rPr>
        <w:t>单采血浆站有下列行为之一的</w:t>
      </w:r>
      <w:r>
        <w:rPr>
          <w:rFonts w:ascii="FangSong" w:hAnsi="FangSong" w:eastAsia="FangSong" w:cs="FangSong"/>
          <w:sz w:val="31"/>
          <w:szCs w:val="31"/>
          <w:spacing w:val="13"/>
        </w:rPr>
        <w:t>，由县级以上地方</w:t>
      </w:r>
    </w:p>
    <w:p>
      <w:pPr>
        <w:spacing w:line="221" w:lineRule="auto"/>
        <w:sectPr>
          <w:footerReference w:type="default" r:id="rId385"/>
          <w:pgSz w:w="16830" w:h="11900"/>
          <w:pgMar w:top="1011" w:right="1344" w:bottom="1103" w:left="1314" w:header="0" w:footer="769"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ind w:left="135" w:right="108"/>
        <w:spacing w:before="98" w:line="271" w:lineRule="auto"/>
        <w:jc w:val="both"/>
        <w:rPr>
          <w:rFonts w:ascii="FangSong" w:hAnsi="FangSong" w:eastAsia="FangSong" w:cs="FangSong"/>
          <w:sz w:val="30"/>
          <w:szCs w:val="30"/>
        </w:rPr>
      </w:pPr>
      <w:bookmarkStart w:name="bookmark1037" w:id="408"/>
      <w:bookmarkEnd w:id="408"/>
      <w:r>
        <w:rPr>
          <w:rFonts w:ascii="FangSong" w:hAnsi="FangSong" w:eastAsia="FangSong" w:cs="FangSong"/>
          <w:sz w:val="30"/>
          <w:szCs w:val="30"/>
          <w:spacing w:val="27"/>
        </w:rPr>
        <w:t>人民政府卫生行政部门责令限期改正，处5万元以上10万元以下的罚</w:t>
      </w:r>
      <w:r>
        <w:rPr>
          <w:rFonts w:ascii="FangSong" w:hAnsi="FangSong" w:eastAsia="FangSong" w:cs="FangSong"/>
          <w:sz w:val="30"/>
          <w:szCs w:val="30"/>
          <w:spacing w:val="26"/>
        </w:rPr>
        <w:t>款；有第八项所列行为的，或</w:t>
      </w:r>
      <w:r>
        <w:rPr>
          <w:rFonts w:ascii="FangSong" w:hAnsi="FangSong" w:eastAsia="FangSong" w:cs="FangSong"/>
          <w:sz w:val="30"/>
          <w:szCs w:val="30"/>
        </w:rPr>
        <w:t xml:space="preserve"> </w:t>
      </w:r>
      <w:r>
        <w:rPr>
          <w:rFonts w:ascii="FangSong" w:hAnsi="FangSong" w:eastAsia="FangSong" w:cs="FangSong"/>
          <w:sz w:val="30"/>
          <w:szCs w:val="30"/>
          <w:spacing w:val="16"/>
        </w:rPr>
        <w:t>者有下列其他行为并且情节严重的，由省、自治区、直辖市人民政府卫生行政部门吊销《单采血浆许</w:t>
      </w:r>
      <w:r>
        <w:rPr>
          <w:rFonts w:ascii="FangSong" w:hAnsi="FangSong" w:eastAsia="FangSong" w:cs="FangSong"/>
          <w:sz w:val="30"/>
          <w:szCs w:val="30"/>
          <w:spacing w:val="18"/>
        </w:rPr>
        <w:t xml:space="preserve"> </w:t>
      </w:r>
      <w:r>
        <w:rPr>
          <w:rFonts w:ascii="FangSong" w:hAnsi="FangSong" w:eastAsia="FangSong" w:cs="FangSong"/>
          <w:sz w:val="30"/>
          <w:szCs w:val="30"/>
          <w:spacing w:val="22"/>
        </w:rPr>
        <w:t>可证》;构成犯罪的，对负有直接责任的主</w:t>
      </w:r>
      <w:r>
        <w:rPr>
          <w:rFonts w:ascii="FangSong" w:hAnsi="FangSong" w:eastAsia="FangSong" w:cs="FangSong"/>
          <w:sz w:val="30"/>
          <w:szCs w:val="30"/>
          <w:spacing w:val="21"/>
        </w:rPr>
        <w:t>管人员和其他直接责任人员依法追究刑事责任：</w:t>
      </w:r>
    </w:p>
    <w:p>
      <w:pPr>
        <w:ind w:left="905"/>
        <w:spacing w:before="1" w:line="220" w:lineRule="auto"/>
        <w:rPr>
          <w:rFonts w:ascii="FangSong" w:hAnsi="FangSong" w:eastAsia="FangSong" w:cs="FangSong"/>
          <w:sz w:val="30"/>
          <w:szCs w:val="30"/>
        </w:rPr>
      </w:pPr>
      <w:r>
        <w:rPr>
          <w:rFonts w:ascii="FangSong" w:hAnsi="FangSong" w:eastAsia="FangSong" w:cs="FangSong"/>
          <w:sz w:val="30"/>
          <w:szCs w:val="30"/>
          <w:spacing w:val="23"/>
        </w:rPr>
        <w:t>(五)未使用单采血浆机械进行血浆采集的；</w:t>
      </w:r>
    </w:p>
    <w:p>
      <w:pPr>
        <w:ind w:left="6529"/>
        <w:spacing w:before="148"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80" w:lineRule="exact"/>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585"/>
        <w:gridCol w:w="5131"/>
      </w:tblGrid>
      <w:tr>
        <w:trPr>
          <w:trHeight w:val="454" w:hRule="atLeast"/>
        </w:trPr>
        <w:tc>
          <w:tcPr>
            <w:tcW w:w="1444" w:type="dxa"/>
            <w:vAlign w:val="top"/>
          </w:tcPr>
          <w:p>
            <w:pPr>
              <w:pStyle w:val="TableText"/>
              <w:ind w:left="218"/>
              <w:spacing w:before="102" w:line="220" w:lineRule="auto"/>
              <w:rPr>
                <w:sz w:val="25"/>
                <w:szCs w:val="25"/>
              </w:rPr>
            </w:pPr>
            <w:r>
              <w:rPr>
                <w:sz w:val="25"/>
                <w:szCs w:val="25"/>
                <w:b/>
                <w:bCs/>
                <w:spacing w:val="-5"/>
              </w:rPr>
              <w:t>违法程度</w:t>
            </w:r>
          </w:p>
        </w:tc>
        <w:tc>
          <w:tcPr>
            <w:tcW w:w="7585" w:type="dxa"/>
            <w:vAlign w:val="top"/>
          </w:tcPr>
          <w:p>
            <w:pPr>
              <w:pStyle w:val="TableText"/>
              <w:ind w:left="3284"/>
              <w:spacing w:before="102" w:line="220" w:lineRule="auto"/>
              <w:rPr>
                <w:sz w:val="25"/>
                <w:szCs w:val="25"/>
              </w:rPr>
            </w:pPr>
            <w:r>
              <w:rPr>
                <w:sz w:val="25"/>
                <w:szCs w:val="25"/>
                <w:b/>
                <w:bCs/>
                <w:spacing w:val="-5"/>
              </w:rPr>
              <w:t>违法后果</w:t>
            </w:r>
          </w:p>
        </w:tc>
        <w:tc>
          <w:tcPr>
            <w:tcW w:w="5131" w:type="dxa"/>
            <w:vAlign w:val="top"/>
          </w:tcPr>
          <w:p>
            <w:pPr>
              <w:pStyle w:val="TableText"/>
              <w:ind w:left="2059"/>
              <w:spacing w:before="99" w:line="218" w:lineRule="auto"/>
              <w:rPr>
                <w:sz w:val="25"/>
                <w:szCs w:val="25"/>
              </w:rPr>
            </w:pPr>
            <w:r>
              <w:rPr>
                <w:sz w:val="25"/>
                <w:szCs w:val="25"/>
                <w:b/>
                <w:bCs/>
                <w:spacing w:val="-5"/>
              </w:rPr>
              <w:t>裁量幅度</w:t>
            </w:r>
          </w:p>
        </w:tc>
      </w:tr>
      <w:tr>
        <w:trPr>
          <w:trHeight w:val="957" w:hRule="atLeast"/>
        </w:trPr>
        <w:tc>
          <w:tcPr>
            <w:tcW w:w="1444" w:type="dxa"/>
            <w:vAlign w:val="top"/>
          </w:tcPr>
          <w:p>
            <w:pPr>
              <w:spacing w:line="395" w:lineRule="auto"/>
              <w:rPr>
                <w:rFonts w:ascii="Arial"/>
                <w:sz w:val="21"/>
              </w:rPr>
            </w:pPr>
            <w:r/>
          </w:p>
          <w:p>
            <w:pPr>
              <w:pStyle w:val="TableText"/>
              <w:ind w:left="468"/>
              <w:spacing w:before="81" w:line="221" w:lineRule="auto"/>
              <w:rPr>
                <w:sz w:val="25"/>
                <w:szCs w:val="25"/>
              </w:rPr>
            </w:pPr>
            <w:r>
              <w:rPr>
                <w:sz w:val="25"/>
                <w:szCs w:val="25"/>
                <w:b/>
                <w:bCs/>
                <w:spacing w:val="-10"/>
              </w:rPr>
              <w:t>一般</w:t>
            </w:r>
          </w:p>
        </w:tc>
        <w:tc>
          <w:tcPr>
            <w:tcW w:w="7585" w:type="dxa"/>
            <w:vAlign w:val="top"/>
          </w:tcPr>
          <w:p>
            <w:pPr>
              <w:spacing w:line="276" w:lineRule="auto"/>
              <w:rPr>
                <w:rFonts w:ascii="Arial"/>
                <w:sz w:val="21"/>
              </w:rPr>
            </w:pPr>
            <w:r/>
          </w:p>
          <w:p>
            <w:pPr>
              <w:pStyle w:val="TableText"/>
              <w:ind w:left="90"/>
              <w:spacing w:before="82" w:line="219" w:lineRule="auto"/>
              <w:rPr>
                <w:sz w:val="25"/>
                <w:szCs w:val="25"/>
              </w:rPr>
            </w:pPr>
            <w:r>
              <w:rPr>
                <w:sz w:val="25"/>
                <w:szCs w:val="25"/>
                <w:spacing w:val="1"/>
              </w:rPr>
              <w:t>单采血浆站未使用单采血浆机械进行血浆采集，人数</w:t>
            </w:r>
            <w:r>
              <w:rPr>
                <w:sz w:val="25"/>
                <w:szCs w:val="25"/>
              </w:rPr>
              <w:t>在3人次以下的</w:t>
            </w:r>
          </w:p>
        </w:tc>
        <w:tc>
          <w:tcPr>
            <w:tcW w:w="5131" w:type="dxa"/>
            <w:vAlign w:val="top"/>
          </w:tcPr>
          <w:p>
            <w:pPr>
              <w:pStyle w:val="TableText"/>
              <w:ind w:left="115" w:right="154" w:firstLine="70"/>
              <w:spacing w:before="209" w:line="256" w:lineRule="auto"/>
              <w:rPr>
                <w:sz w:val="25"/>
                <w:szCs w:val="25"/>
              </w:rPr>
            </w:pPr>
            <w:r>
              <w:rPr>
                <w:sz w:val="25"/>
                <w:szCs w:val="25"/>
                <w:spacing w:val="1"/>
              </w:rPr>
              <w:t>责令限期改正，处5万元以上8万元以下的罚</w:t>
            </w:r>
            <w:r>
              <w:rPr>
                <w:sz w:val="25"/>
                <w:szCs w:val="25"/>
                <w:spacing w:val="9"/>
              </w:rPr>
              <w:t xml:space="preserve"> </w:t>
            </w:r>
            <w:r>
              <w:rPr>
                <w:sz w:val="25"/>
                <w:szCs w:val="25"/>
              </w:rPr>
              <w:t>款</w:t>
            </w:r>
          </w:p>
        </w:tc>
      </w:tr>
      <w:tr>
        <w:trPr>
          <w:trHeight w:val="698" w:hRule="atLeast"/>
        </w:trPr>
        <w:tc>
          <w:tcPr>
            <w:tcW w:w="1444" w:type="dxa"/>
            <w:vAlign w:val="top"/>
          </w:tcPr>
          <w:p>
            <w:pPr>
              <w:spacing w:line="271" w:lineRule="auto"/>
              <w:rPr>
                <w:rFonts w:ascii="Arial"/>
                <w:sz w:val="21"/>
              </w:rPr>
            </w:pPr>
            <w:r/>
          </w:p>
          <w:p>
            <w:pPr>
              <w:pStyle w:val="TableText"/>
              <w:ind w:left="468"/>
              <w:spacing w:before="81" w:line="221" w:lineRule="auto"/>
              <w:rPr>
                <w:sz w:val="25"/>
                <w:szCs w:val="25"/>
              </w:rPr>
            </w:pPr>
            <w:r>
              <w:rPr>
                <w:sz w:val="25"/>
                <w:szCs w:val="25"/>
                <w:b/>
                <w:bCs/>
                <w:spacing w:val="-6"/>
              </w:rPr>
              <w:t>较重</w:t>
            </w:r>
          </w:p>
        </w:tc>
        <w:tc>
          <w:tcPr>
            <w:tcW w:w="7585" w:type="dxa"/>
            <w:vAlign w:val="top"/>
          </w:tcPr>
          <w:p>
            <w:pPr>
              <w:pStyle w:val="TableText"/>
              <w:ind w:left="100" w:right="91" w:hanging="10"/>
              <w:spacing w:before="73" w:line="227" w:lineRule="auto"/>
              <w:rPr>
                <w:sz w:val="25"/>
                <w:szCs w:val="25"/>
              </w:rPr>
            </w:pPr>
            <w:r>
              <w:rPr>
                <w:sz w:val="25"/>
                <w:szCs w:val="25"/>
              </w:rPr>
              <w:t>单采血浆站未使用单采血浆机械进行血浆采集，人数在3人次以上10</w:t>
            </w:r>
            <w:r>
              <w:rPr>
                <w:sz w:val="25"/>
                <w:szCs w:val="25"/>
                <w:spacing w:val="16"/>
              </w:rPr>
              <w:t xml:space="preserve"> </w:t>
            </w:r>
            <w:r>
              <w:rPr>
                <w:sz w:val="25"/>
                <w:szCs w:val="25"/>
                <w:spacing w:val="3"/>
              </w:rPr>
              <w:t>人次以下的</w:t>
            </w:r>
          </w:p>
        </w:tc>
        <w:tc>
          <w:tcPr>
            <w:tcW w:w="5131" w:type="dxa"/>
            <w:vAlign w:val="top"/>
          </w:tcPr>
          <w:p>
            <w:pPr>
              <w:pStyle w:val="TableText"/>
              <w:ind w:left="246"/>
              <w:spacing w:before="72" w:line="219" w:lineRule="auto"/>
              <w:rPr>
                <w:sz w:val="25"/>
                <w:szCs w:val="25"/>
              </w:rPr>
            </w:pPr>
            <w:r>
              <w:rPr>
                <w:sz w:val="25"/>
                <w:szCs w:val="25"/>
              </w:rPr>
              <w:t>责令限期改正，处8万元以上10万元以下的</w:t>
            </w:r>
          </w:p>
          <w:p>
            <w:pPr>
              <w:pStyle w:val="TableText"/>
              <w:ind w:left="126"/>
              <w:spacing w:before="57" w:line="193" w:lineRule="auto"/>
              <w:rPr>
                <w:sz w:val="25"/>
                <w:szCs w:val="25"/>
              </w:rPr>
            </w:pPr>
            <w:r>
              <w:rPr>
                <w:sz w:val="25"/>
                <w:szCs w:val="25"/>
                <w:color w:val="606060"/>
                <w:spacing w:val="5"/>
              </w:rPr>
              <w:t>罚款</w:t>
            </w:r>
          </w:p>
        </w:tc>
      </w:tr>
      <w:tr>
        <w:trPr>
          <w:trHeight w:val="1351" w:hRule="atLeast"/>
        </w:trPr>
        <w:tc>
          <w:tcPr>
            <w:tcW w:w="1444" w:type="dxa"/>
            <w:vAlign w:val="top"/>
          </w:tcPr>
          <w:p>
            <w:pPr>
              <w:spacing w:line="294" w:lineRule="auto"/>
              <w:rPr>
                <w:rFonts w:ascii="Arial"/>
                <w:sz w:val="21"/>
              </w:rPr>
            </w:pPr>
            <w:r/>
          </w:p>
          <w:p>
            <w:pPr>
              <w:spacing w:line="294" w:lineRule="auto"/>
              <w:rPr>
                <w:rFonts w:ascii="Arial"/>
                <w:sz w:val="21"/>
              </w:rPr>
            </w:pPr>
            <w:r/>
          </w:p>
          <w:p>
            <w:pPr>
              <w:pStyle w:val="TableText"/>
              <w:ind w:left="468"/>
              <w:spacing w:before="81" w:line="220" w:lineRule="auto"/>
              <w:rPr>
                <w:sz w:val="25"/>
                <w:szCs w:val="25"/>
              </w:rPr>
            </w:pPr>
            <w:r>
              <w:rPr>
                <w:sz w:val="25"/>
                <w:szCs w:val="25"/>
                <w:b/>
                <w:bCs/>
                <w:spacing w:val="-6"/>
              </w:rPr>
              <w:t>严重</w:t>
            </w:r>
          </w:p>
        </w:tc>
        <w:tc>
          <w:tcPr>
            <w:tcW w:w="7585" w:type="dxa"/>
            <w:vAlign w:val="top"/>
          </w:tcPr>
          <w:p>
            <w:pPr>
              <w:pStyle w:val="TableText"/>
              <w:ind w:left="11" w:firstLine="19"/>
              <w:spacing w:before="62" w:line="236" w:lineRule="auto"/>
              <w:jc w:val="both"/>
              <w:rPr>
                <w:sz w:val="25"/>
                <w:szCs w:val="25"/>
              </w:rPr>
            </w:pPr>
            <w:r>
              <w:rPr>
                <w:sz w:val="25"/>
                <w:szCs w:val="25"/>
              </w:rPr>
              <w:t>未使用单采血浆机械进行血浆采集，人数在10人次以上的；或造成经 </w:t>
            </w:r>
            <w:r>
              <w:rPr>
                <w:sz w:val="25"/>
                <w:szCs w:val="25"/>
                <w:spacing w:val="1"/>
              </w:rPr>
              <w:t>血途径疾病传播、人身伤害、死亡等严重后果</w:t>
            </w:r>
            <w:r>
              <w:rPr>
                <w:sz w:val="25"/>
                <w:szCs w:val="25"/>
              </w:rPr>
              <w:t>的；或12个月内发生两 </w:t>
            </w:r>
            <w:r>
              <w:rPr>
                <w:sz w:val="25"/>
                <w:szCs w:val="25"/>
                <w:spacing w:val="-6"/>
              </w:rPr>
              <w:t>次该违法行为的；或卫生行政部门责令限期改正而拒不改正的；或</w:t>
            </w:r>
            <w:r>
              <w:rPr>
                <w:sz w:val="25"/>
                <w:szCs w:val="25"/>
                <w:spacing w:val="-7"/>
              </w:rPr>
              <w:t>同时</w:t>
            </w:r>
            <w:r>
              <w:rPr>
                <w:sz w:val="25"/>
                <w:szCs w:val="25"/>
              </w:rPr>
              <w:t xml:space="preserve"> </w:t>
            </w:r>
            <w:r>
              <w:rPr>
                <w:sz w:val="25"/>
                <w:szCs w:val="25"/>
                <w:spacing w:val="4"/>
              </w:rPr>
              <w:t>有《血液制品管理条例》第三十五条3项以上违法行为的</w:t>
            </w:r>
          </w:p>
        </w:tc>
        <w:tc>
          <w:tcPr>
            <w:tcW w:w="5131" w:type="dxa"/>
            <w:vAlign w:val="top"/>
          </w:tcPr>
          <w:p>
            <w:pPr>
              <w:spacing w:line="310" w:lineRule="auto"/>
              <w:rPr>
                <w:rFonts w:ascii="Arial"/>
                <w:sz w:val="21"/>
              </w:rPr>
            </w:pPr>
            <w:r/>
          </w:p>
          <w:p>
            <w:pPr>
              <w:pStyle w:val="TableText"/>
              <w:ind w:left="126" w:right="54" w:hanging="70"/>
              <w:spacing w:before="82" w:line="269" w:lineRule="auto"/>
              <w:rPr>
                <w:sz w:val="25"/>
                <w:szCs w:val="25"/>
              </w:rPr>
            </w:pPr>
            <w:r>
              <w:rPr>
                <w:sz w:val="25"/>
                <w:szCs w:val="25"/>
              </w:rPr>
              <w:t>责令限期改正，处10万元罚款，并吊销《单采</w:t>
            </w:r>
            <w:r>
              <w:rPr>
                <w:sz w:val="25"/>
                <w:szCs w:val="25"/>
                <w:spacing w:val="9"/>
              </w:rPr>
              <w:t xml:space="preserve"> </w:t>
            </w:r>
            <w:r>
              <w:rPr>
                <w:sz w:val="25"/>
                <w:szCs w:val="25"/>
                <w:spacing w:val="-3"/>
              </w:rPr>
              <w:t>血浆许可证》</w:t>
            </w:r>
          </w:p>
        </w:tc>
      </w:tr>
    </w:tbl>
    <w:p>
      <w:pPr>
        <w:pStyle w:val="BodyText"/>
        <w:spacing w:line="443" w:lineRule="auto"/>
        <w:rPr/>
      </w:pPr>
      <w:r/>
    </w:p>
    <w:p>
      <w:pPr>
        <w:ind w:left="139" w:right="449" w:firstLine="649"/>
        <w:spacing w:before="97" w:line="265" w:lineRule="auto"/>
        <w:rPr>
          <w:rFonts w:ascii="KaiTi" w:hAnsi="KaiTi" w:eastAsia="KaiTi" w:cs="KaiTi"/>
          <w:sz w:val="30"/>
          <w:szCs w:val="30"/>
        </w:rPr>
      </w:pPr>
      <w:r>
        <w:rPr>
          <w:rFonts w:ascii="KaiTi" w:hAnsi="KaiTi" w:eastAsia="KaiTi" w:cs="KaiTi"/>
          <w:sz w:val="30"/>
          <w:szCs w:val="30"/>
          <w:b/>
          <w:bCs/>
          <w:spacing w:val="20"/>
        </w:rPr>
        <w:t>第三百四十条单采血浆站未使用有产品批准文号并经国家药品生物制品检定机构逐批检定合</w:t>
      </w:r>
      <w:r>
        <w:rPr>
          <w:rFonts w:ascii="KaiTi" w:hAnsi="KaiTi" w:eastAsia="KaiTi" w:cs="KaiTi"/>
          <w:sz w:val="30"/>
          <w:szCs w:val="30"/>
          <w:spacing w:val="4"/>
        </w:rPr>
        <w:t xml:space="preserve"> </w:t>
      </w:r>
      <w:r>
        <w:rPr>
          <w:rFonts w:ascii="KaiTi" w:hAnsi="KaiTi" w:eastAsia="KaiTi" w:cs="KaiTi"/>
          <w:sz w:val="30"/>
          <w:szCs w:val="30"/>
          <w:b/>
          <w:bCs/>
          <w:spacing w:val="17"/>
        </w:rPr>
        <w:t>格的体外诊断试剂以及合格的一次性采血浆</w:t>
      </w:r>
      <w:r>
        <w:rPr>
          <w:rFonts w:ascii="KaiTi" w:hAnsi="KaiTi" w:eastAsia="KaiTi" w:cs="KaiTi"/>
          <w:sz w:val="30"/>
          <w:szCs w:val="30"/>
          <w:b/>
          <w:bCs/>
          <w:spacing w:val="16"/>
        </w:rPr>
        <w:t>器材的</w:t>
      </w:r>
    </w:p>
    <w:p>
      <w:pPr>
        <w:ind w:left="774"/>
        <w:spacing w:before="1" w:line="222" w:lineRule="auto"/>
        <w:rPr>
          <w:rFonts w:ascii="FangSong" w:hAnsi="FangSong" w:eastAsia="FangSong" w:cs="FangSong"/>
          <w:sz w:val="30"/>
          <w:szCs w:val="30"/>
        </w:rPr>
      </w:pPr>
      <w:r>
        <w:rPr>
          <w:rFonts w:ascii="FangSong" w:hAnsi="FangSong" w:eastAsia="FangSong" w:cs="FangSong"/>
          <w:sz w:val="30"/>
          <w:szCs w:val="30"/>
          <w:spacing w:val="14"/>
        </w:rPr>
        <w:t>法律依据</w:t>
      </w:r>
    </w:p>
    <w:p>
      <w:pPr>
        <w:ind w:left="755"/>
        <w:spacing w:before="86" w:line="221" w:lineRule="auto"/>
        <w:rPr>
          <w:rFonts w:ascii="FangSong" w:hAnsi="FangSong" w:eastAsia="FangSong" w:cs="FangSong"/>
          <w:sz w:val="30"/>
          <w:szCs w:val="30"/>
        </w:rPr>
      </w:pPr>
      <w:r>
        <w:rPr>
          <w:rFonts w:ascii="FangSong" w:hAnsi="FangSong" w:eastAsia="FangSong" w:cs="FangSong"/>
          <w:sz w:val="30"/>
          <w:szCs w:val="30"/>
          <w:spacing w:val="23"/>
        </w:rPr>
        <w:t>《血液制品管理条例》第三十五条第(六)项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单采血浆站有下列行为之一的，由县级以上地方</w:t>
      </w:r>
    </w:p>
    <w:p>
      <w:pPr>
        <w:pStyle w:val="BodyText"/>
        <w:spacing w:line="258" w:lineRule="auto"/>
        <w:rPr/>
      </w:pPr>
      <w:r/>
    </w:p>
    <w:p>
      <w:pPr>
        <w:pStyle w:val="BodyText"/>
        <w:spacing w:line="258" w:lineRule="auto"/>
        <w:rPr/>
      </w:pPr>
      <w:r/>
    </w:p>
    <w:p>
      <w:pPr>
        <w:pStyle w:val="BodyText"/>
        <w:spacing w:line="258" w:lineRule="auto"/>
        <w:rPr/>
      </w:pPr>
      <w:r/>
    </w:p>
    <w:p>
      <w:pPr>
        <w:ind w:left="6515"/>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7"/>
          <w:w w:val="95"/>
        </w:rPr>
        <w:t>—423—</w:t>
      </w:r>
    </w:p>
    <w:p>
      <w:pPr>
        <w:spacing w:line="188" w:lineRule="auto"/>
        <w:sectPr>
          <w:footerReference w:type="default" r:id="rId24"/>
          <w:pgSz w:w="16830" w:h="11900"/>
          <w:pgMar w:top="1011" w:right="1344" w:bottom="400" w:left="1314" w:header="0" w:footer="0" w:gutter="0"/>
        </w:sectPr>
        <w:rPr>
          <w:rFonts w:ascii="Times New Roman" w:hAnsi="Times New Roman" w:eastAsia="Times New Roman" w:cs="Times New Roman"/>
          <w:sz w:val="37"/>
          <w:szCs w:val="37"/>
        </w:rPr>
      </w:pPr>
    </w:p>
    <w:p>
      <w:pPr>
        <w:pStyle w:val="BodyText"/>
        <w:spacing w:line="263" w:lineRule="auto"/>
        <w:rPr/>
      </w:pPr>
      <w:r/>
    </w:p>
    <w:p>
      <w:pPr>
        <w:pStyle w:val="BodyText"/>
        <w:spacing w:line="264" w:lineRule="auto"/>
        <w:rPr/>
      </w:pPr>
      <w:r/>
    </w:p>
    <w:p>
      <w:pPr>
        <w:pStyle w:val="BodyText"/>
        <w:spacing w:line="264" w:lineRule="auto"/>
        <w:rPr/>
      </w:pPr>
      <w:r/>
    </w:p>
    <w:p>
      <w:pPr>
        <w:ind w:left="124" w:right="108"/>
        <w:spacing w:before="98" w:line="273" w:lineRule="auto"/>
        <w:jc w:val="both"/>
        <w:rPr>
          <w:rFonts w:ascii="FangSong" w:hAnsi="FangSong" w:eastAsia="FangSong" w:cs="FangSong"/>
          <w:sz w:val="30"/>
          <w:szCs w:val="30"/>
        </w:rPr>
      </w:pPr>
      <w:bookmarkStart w:name="bookmark1038" w:id="409"/>
      <w:bookmarkEnd w:id="409"/>
      <w:r>
        <w:rPr>
          <w:rFonts w:ascii="FangSong" w:hAnsi="FangSong" w:eastAsia="FangSong" w:cs="FangSong"/>
          <w:sz w:val="30"/>
          <w:szCs w:val="30"/>
          <w:spacing w:val="19"/>
        </w:rPr>
        <w:t>人民政府卫生行政部门责令限期改正，处5</w:t>
      </w:r>
      <w:r>
        <w:rPr>
          <w:rFonts w:ascii="FangSong" w:hAnsi="FangSong" w:eastAsia="FangSong" w:cs="FangSong"/>
          <w:sz w:val="30"/>
          <w:szCs w:val="30"/>
          <w:spacing w:val="19"/>
        </w:rPr>
        <w:t xml:space="preserve"> </w:t>
      </w:r>
      <w:r>
        <w:rPr>
          <w:rFonts w:ascii="FangSong" w:hAnsi="FangSong" w:eastAsia="FangSong" w:cs="FangSong"/>
          <w:sz w:val="30"/>
          <w:szCs w:val="30"/>
          <w:spacing w:val="19"/>
        </w:rPr>
        <w:t>万元以上10</w:t>
      </w:r>
      <w:r>
        <w:rPr>
          <w:rFonts w:ascii="FangSong" w:hAnsi="FangSong" w:eastAsia="FangSong" w:cs="FangSong"/>
          <w:sz w:val="30"/>
          <w:szCs w:val="30"/>
          <w:spacing w:val="19"/>
        </w:rPr>
        <w:t xml:space="preserve"> </w:t>
      </w:r>
      <w:r>
        <w:rPr>
          <w:rFonts w:ascii="FangSong" w:hAnsi="FangSong" w:eastAsia="FangSong" w:cs="FangSong"/>
          <w:sz w:val="30"/>
          <w:szCs w:val="30"/>
          <w:spacing w:val="19"/>
        </w:rPr>
        <w:t>万元以下的罚款；有第八项所列行为的，或</w:t>
      </w:r>
      <w:r>
        <w:rPr>
          <w:rFonts w:ascii="FangSong" w:hAnsi="FangSong" w:eastAsia="FangSong" w:cs="FangSong"/>
          <w:sz w:val="30"/>
          <w:szCs w:val="30"/>
          <w:spacing w:val="1"/>
        </w:rPr>
        <w:t xml:space="preserve"> </w:t>
      </w:r>
      <w:r>
        <w:rPr>
          <w:rFonts w:ascii="FangSong" w:hAnsi="FangSong" w:eastAsia="FangSong" w:cs="FangSong"/>
          <w:sz w:val="30"/>
          <w:szCs w:val="30"/>
          <w:spacing w:val="16"/>
        </w:rPr>
        <w:t>者有下列其他行为并且情节严重的，由省、自治区、直辖市人民政府卫生行政部门吊销《单采血浆许</w:t>
      </w:r>
      <w:r>
        <w:rPr>
          <w:rFonts w:ascii="FangSong" w:hAnsi="FangSong" w:eastAsia="FangSong" w:cs="FangSong"/>
          <w:sz w:val="30"/>
          <w:szCs w:val="30"/>
          <w:spacing w:val="18"/>
        </w:rPr>
        <w:t xml:space="preserve"> </w:t>
      </w:r>
      <w:r>
        <w:rPr>
          <w:rFonts w:ascii="FangSong" w:hAnsi="FangSong" w:eastAsia="FangSong" w:cs="FangSong"/>
          <w:sz w:val="30"/>
          <w:szCs w:val="30"/>
          <w:spacing w:val="22"/>
        </w:rPr>
        <w:t>可证》;构成犯罪的，对负有直接责任的主管人员和其他直接责任</w:t>
      </w:r>
      <w:r>
        <w:rPr>
          <w:rFonts w:ascii="FangSong" w:hAnsi="FangSong" w:eastAsia="FangSong" w:cs="FangSong"/>
          <w:sz w:val="30"/>
          <w:szCs w:val="30"/>
          <w:spacing w:val="21"/>
        </w:rPr>
        <w:t>人员依法追究刑事责任：</w:t>
      </w:r>
    </w:p>
    <w:p>
      <w:pPr>
        <w:ind w:left="124" w:right="112" w:firstLine="759"/>
        <w:spacing w:before="2" w:line="270" w:lineRule="auto"/>
        <w:rPr>
          <w:rFonts w:ascii="FangSong" w:hAnsi="FangSong" w:eastAsia="FangSong" w:cs="FangSong"/>
          <w:sz w:val="30"/>
          <w:szCs w:val="30"/>
        </w:rPr>
      </w:pPr>
      <w:r>
        <w:rPr>
          <w:rFonts w:ascii="FangSong" w:hAnsi="FangSong" w:eastAsia="FangSong" w:cs="FangSong"/>
          <w:sz w:val="30"/>
          <w:szCs w:val="30"/>
          <w:spacing w:val="21"/>
        </w:rPr>
        <w:t>(六)未使用有产品批准文号并经国家药品生物</w:t>
      </w:r>
      <w:r>
        <w:rPr>
          <w:rFonts w:ascii="FangSong" w:hAnsi="FangSong" w:eastAsia="FangSong" w:cs="FangSong"/>
          <w:sz w:val="30"/>
          <w:szCs w:val="30"/>
          <w:spacing w:val="20"/>
        </w:rPr>
        <w:t>制品检定机构逐批检定合格的体外诊断试剂以及</w:t>
      </w:r>
      <w:r>
        <w:rPr>
          <w:rFonts w:ascii="FangSong" w:hAnsi="FangSong" w:eastAsia="FangSong" w:cs="FangSong"/>
          <w:sz w:val="30"/>
          <w:szCs w:val="30"/>
        </w:rPr>
        <w:t xml:space="preserve"> </w:t>
      </w:r>
      <w:r>
        <w:rPr>
          <w:rFonts w:ascii="FangSong" w:hAnsi="FangSong" w:eastAsia="FangSong" w:cs="FangSong"/>
          <w:sz w:val="30"/>
          <w:szCs w:val="30"/>
          <w:spacing w:val="14"/>
        </w:rPr>
        <w:t>合格的一次性采血浆器材的；</w:t>
      </w:r>
    </w:p>
    <w:p>
      <w:pPr>
        <w:ind w:left="6518"/>
        <w:spacing w:before="79"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60" w:lineRule="exact"/>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3"/>
        <w:gridCol w:w="7215"/>
        <w:gridCol w:w="5521"/>
      </w:tblGrid>
      <w:tr>
        <w:trPr>
          <w:trHeight w:val="444" w:hRule="atLeast"/>
        </w:trPr>
        <w:tc>
          <w:tcPr>
            <w:tcW w:w="1413" w:type="dxa"/>
            <w:vAlign w:val="top"/>
          </w:tcPr>
          <w:p>
            <w:pPr>
              <w:pStyle w:val="TableText"/>
              <w:ind w:left="118"/>
              <w:spacing w:before="10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215" w:type="dxa"/>
            <w:vAlign w:val="top"/>
          </w:tcPr>
          <w:p>
            <w:pPr>
              <w:pStyle w:val="TableText"/>
              <w:ind w:left="3025"/>
              <w:spacing w:before="102" w:line="220" w:lineRule="auto"/>
              <w:rPr/>
            </w:pPr>
            <w:r>
              <w:rPr>
                <w:b/>
                <w:bCs/>
                <w:spacing w:val="-11"/>
              </w:rPr>
              <w:t>违</w:t>
            </w:r>
            <w:r>
              <w:rPr>
                <w:spacing w:val="-36"/>
              </w:rPr>
              <w:t xml:space="preserve"> </w:t>
            </w:r>
            <w:r>
              <w:rPr>
                <w:b/>
                <w:bCs/>
                <w:spacing w:val="-11"/>
              </w:rPr>
              <w:t>法</w:t>
            </w:r>
            <w:r>
              <w:rPr>
                <w:spacing w:val="-37"/>
              </w:rPr>
              <w:t xml:space="preserve"> </w:t>
            </w:r>
            <w:r>
              <w:rPr>
                <w:b/>
                <w:bCs/>
                <w:spacing w:val="-11"/>
              </w:rPr>
              <w:t>后</w:t>
            </w:r>
            <w:r>
              <w:rPr>
                <w:spacing w:val="-33"/>
              </w:rPr>
              <w:t xml:space="preserve"> </w:t>
            </w:r>
            <w:r>
              <w:rPr>
                <w:b/>
                <w:bCs/>
                <w:spacing w:val="-11"/>
              </w:rPr>
              <w:t>果</w:t>
            </w:r>
          </w:p>
        </w:tc>
        <w:tc>
          <w:tcPr>
            <w:tcW w:w="5521" w:type="dxa"/>
            <w:vAlign w:val="top"/>
          </w:tcPr>
          <w:p>
            <w:pPr>
              <w:pStyle w:val="TableText"/>
              <w:ind w:left="2280"/>
              <w:spacing w:before="99" w:line="218" w:lineRule="auto"/>
              <w:rPr/>
            </w:pPr>
            <w:r>
              <w:rPr>
                <w:b/>
                <w:bCs/>
                <w:spacing w:val="-5"/>
              </w:rPr>
              <w:t>裁量幅度</w:t>
            </w:r>
          </w:p>
        </w:tc>
      </w:tr>
      <w:tr>
        <w:trPr>
          <w:trHeight w:val="1007" w:hRule="atLeast"/>
        </w:trPr>
        <w:tc>
          <w:tcPr>
            <w:tcW w:w="1413" w:type="dxa"/>
            <w:vAlign w:val="top"/>
          </w:tcPr>
          <w:p>
            <w:pPr>
              <w:spacing w:line="308" w:lineRule="auto"/>
              <w:rPr>
                <w:rFonts w:ascii="Arial"/>
                <w:sz w:val="21"/>
              </w:rPr>
            </w:pPr>
            <w:r/>
          </w:p>
          <w:p>
            <w:pPr>
              <w:pStyle w:val="TableText"/>
              <w:ind w:left="458"/>
              <w:spacing w:before="78" w:line="221" w:lineRule="auto"/>
              <w:rPr/>
            </w:pPr>
            <w:r>
              <w:rPr>
                <w:b/>
                <w:bCs/>
                <w:spacing w:val="-10"/>
              </w:rPr>
              <w:t>一般</w:t>
            </w:r>
          </w:p>
        </w:tc>
        <w:tc>
          <w:tcPr>
            <w:tcW w:w="7215" w:type="dxa"/>
            <w:vAlign w:val="top"/>
          </w:tcPr>
          <w:p>
            <w:pPr>
              <w:pStyle w:val="TableText"/>
              <w:ind w:left="121" w:right="106"/>
              <w:spacing w:before="61"/>
              <w:jc w:val="both"/>
              <w:rPr/>
            </w:pPr>
            <w:r>
              <w:rPr/>
              <w:t>单采血浆站未使用有产品批准文号并经国家药品生物制品检定机构</w:t>
            </w:r>
            <w:r>
              <w:rPr>
                <w:spacing w:val="15"/>
              </w:rPr>
              <w:t xml:space="preserve"> </w:t>
            </w:r>
            <w:r>
              <w:rPr>
                <w:spacing w:val="2"/>
              </w:rPr>
              <w:t>逐批检定合格的体外诊断试剂以及合格的一次性采血浆器材，在3</w:t>
            </w:r>
            <w:r>
              <w:rPr>
                <w:spacing w:val="15"/>
              </w:rPr>
              <w:t xml:space="preserve"> </w:t>
            </w:r>
            <w:r>
              <w:rPr>
                <w:spacing w:val="3"/>
              </w:rPr>
              <w:t>人次以下的</w:t>
            </w:r>
          </w:p>
        </w:tc>
        <w:tc>
          <w:tcPr>
            <w:tcW w:w="5521" w:type="dxa"/>
            <w:vAlign w:val="top"/>
          </w:tcPr>
          <w:p>
            <w:pPr>
              <w:spacing w:line="309" w:lineRule="auto"/>
              <w:rPr>
                <w:rFonts w:ascii="Arial"/>
                <w:sz w:val="21"/>
              </w:rPr>
            </w:pPr>
            <w:r/>
          </w:p>
          <w:p>
            <w:pPr>
              <w:pStyle w:val="TableText"/>
              <w:ind w:left="106"/>
              <w:spacing w:before="78" w:line="219" w:lineRule="auto"/>
              <w:rPr/>
            </w:pPr>
            <w:r>
              <w:rPr/>
              <w:t>责令限期改正，处5万元以上8万元以下的罚款</w:t>
            </w:r>
          </w:p>
        </w:tc>
      </w:tr>
      <w:tr>
        <w:trPr>
          <w:trHeight w:val="1018" w:hRule="atLeast"/>
        </w:trPr>
        <w:tc>
          <w:tcPr>
            <w:tcW w:w="1413" w:type="dxa"/>
            <w:vAlign w:val="top"/>
          </w:tcPr>
          <w:p>
            <w:pPr>
              <w:spacing w:line="313" w:lineRule="auto"/>
              <w:rPr>
                <w:rFonts w:ascii="Arial"/>
                <w:sz w:val="21"/>
              </w:rPr>
            </w:pPr>
            <w:r/>
          </w:p>
          <w:p>
            <w:pPr>
              <w:pStyle w:val="TableText"/>
              <w:ind w:left="458"/>
              <w:spacing w:before="78" w:line="221" w:lineRule="auto"/>
              <w:rPr/>
            </w:pPr>
            <w:r>
              <w:rPr>
                <w:b/>
                <w:bCs/>
                <w:spacing w:val="-5"/>
              </w:rPr>
              <w:t>较重</w:t>
            </w:r>
          </w:p>
        </w:tc>
        <w:tc>
          <w:tcPr>
            <w:tcW w:w="7215" w:type="dxa"/>
            <w:vAlign w:val="top"/>
          </w:tcPr>
          <w:p>
            <w:pPr>
              <w:pStyle w:val="TableText"/>
              <w:ind w:left="121" w:right="112"/>
              <w:spacing w:before="71"/>
              <w:jc w:val="both"/>
              <w:rPr/>
            </w:pPr>
            <w:r>
              <w:rPr/>
              <w:t>未使用有产品批准文号并经国家药品生物制品检定机构逐批检定合</w:t>
            </w:r>
            <w:r>
              <w:rPr>
                <w:spacing w:val="9"/>
              </w:rPr>
              <w:t xml:space="preserve"> </w:t>
            </w:r>
            <w:r>
              <w:rPr>
                <w:spacing w:val="2"/>
              </w:rPr>
              <w:t>格的体外诊断试剂以及合格的一次性采血浆器材，在3人次以上10</w:t>
            </w:r>
            <w:r>
              <w:rPr>
                <w:spacing w:val="11"/>
              </w:rPr>
              <w:t xml:space="preserve"> </w:t>
            </w:r>
            <w:r>
              <w:rPr>
                <w:spacing w:val="3"/>
              </w:rPr>
              <w:t>人次以下的</w:t>
            </w:r>
          </w:p>
        </w:tc>
        <w:tc>
          <w:tcPr>
            <w:tcW w:w="5521" w:type="dxa"/>
            <w:vAlign w:val="top"/>
          </w:tcPr>
          <w:p>
            <w:pPr>
              <w:spacing w:line="312" w:lineRule="auto"/>
              <w:rPr>
                <w:rFonts w:ascii="Arial"/>
                <w:sz w:val="21"/>
              </w:rPr>
            </w:pPr>
            <w:r/>
          </w:p>
          <w:p>
            <w:pPr>
              <w:pStyle w:val="TableText"/>
              <w:ind w:left="296"/>
              <w:spacing w:before="78" w:line="219" w:lineRule="auto"/>
              <w:rPr/>
            </w:pPr>
            <w:r>
              <w:rPr/>
              <w:t>责令限期改正，处8万元以上10万元以下的罚款</w:t>
            </w:r>
          </w:p>
        </w:tc>
      </w:tr>
      <w:tr>
        <w:trPr>
          <w:trHeight w:val="2040" w:hRule="atLeast"/>
        </w:trPr>
        <w:tc>
          <w:tcPr>
            <w:tcW w:w="1413" w:type="dxa"/>
            <w:vAlign w:val="top"/>
          </w:tcPr>
          <w:p>
            <w:pPr>
              <w:pStyle w:val="TableText"/>
              <w:ind w:left="458"/>
              <w:spacing w:before="303" w:line="220" w:lineRule="auto"/>
              <w:rPr/>
            </w:pPr>
            <w:r>
              <w:rPr>
                <w:b/>
                <w:bCs/>
                <w:spacing w:val="-6"/>
              </w:rPr>
              <w:t>严重</w:t>
            </w:r>
          </w:p>
        </w:tc>
        <w:tc>
          <w:tcPr>
            <w:tcW w:w="7215" w:type="dxa"/>
            <w:vAlign w:val="top"/>
          </w:tcPr>
          <w:p>
            <w:pPr>
              <w:pStyle w:val="TableText"/>
              <w:ind w:left="121"/>
              <w:spacing w:before="74" w:line="219" w:lineRule="auto"/>
              <w:rPr/>
            </w:pPr>
            <w:r>
              <w:rPr/>
              <w:t>未使用有产品批准文号并经国家药品生物制品检定机构逐批检定合</w:t>
            </w:r>
          </w:p>
          <w:p>
            <w:pPr>
              <w:pStyle w:val="TableText"/>
              <w:ind w:left="241"/>
              <w:spacing w:before="65" w:line="219" w:lineRule="auto"/>
              <w:rPr/>
            </w:pPr>
            <w:r>
              <w:rPr>
                <w:spacing w:val="1"/>
              </w:rPr>
              <w:t>格的体外诊断试剂以及合格的一次性采血浆器</w:t>
            </w:r>
            <w:r>
              <w:rPr/>
              <w:t>材的，在10人次以</w:t>
            </w:r>
          </w:p>
          <w:p>
            <w:pPr>
              <w:pStyle w:val="TableText"/>
              <w:ind w:right="2"/>
              <w:spacing w:before="55" w:line="219" w:lineRule="auto"/>
              <w:jc w:val="right"/>
              <w:rPr/>
            </w:pPr>
            <w:r>
              <w:rPr>
                <w:spacing w:val="4"/>
              </w:rPr>
              <w:t>上的；或造成经血途径疾病传播、人身伤害、死亡等严重后果的；</w:t>
            </w:r>
          </w:p>
          <w:p>
            <w:pPr>
              <w:pStyle w:val="TableText"/>
              <w:ind w:left="121" w:right="168" w:firstLine="119"/>
              <w:spacing w:before="45"/>
              <w:jc w:val="both"/>
              <w:rPr/>
            </w:pPr>
            <w:r>
              <w:rPr/>
              <w:t>或12个月内发生两次该违法行为的；或卫生行政部门责令限期改</w:t>
            </w:r>
            <w:r>
              <w:rPr>
                <w:spacing w:val="9"/>
              </w:rPr>
              <w:t xml:space="preserve"> </w:t>
            </w:r>
            <w:r>
              <w:rPr>
                <w:spacing w:val="2"/>
              </w:rPr>
              <w:t>正而拒不改正的；或同时有《血液制品管理条例》第三十五条3项</w:t>
            </w:r>
            <w:r>
              <w:rPr>
                <w:spacing w:val="15"/>
              </w:rPr>
              <w:t xml:space="preserve"> </w:t>
            </w:r>
            <w:r>
              <w:rPr>
                <w:spacing w:val="2"/>
              </w:rPr>
              <w:t>以上违法行为的</w:t>
            </w:r>
          </w:p>
        </w:tc>
        <w:tc>
          <w:tcPr>
            <w:tcW w:w="5521" w:type="dxa"/>
            <w:vAlign w:val="top"/>
          </w:tcPr>
          <w:p>
            <w:pPr>
              <w:spacing w:line="341" w:lineRule="auto"/>
              <w:rPr>
                <w:rFonts w:ascii="Arial"/>
                <w:sz w:val="21"/>
              </w:rPr>
            </w:pPr>
            <w:r/>
          </w:p>
          <w:p>
            <w:pPr>
              <w:spacing w:line="341" w:lineRule="auto"/>
              <w:rPr>
                <w:rFonts w:ascii="Arial"/>
                <w:sz w:val="21"/>
              </w:rPr>
            </w:pPr>
            <w:r/>
          </w:p>
          <w:p>
            <w:pPr>
              <w:pStyle w:val="TableText"/>
              <w:ind w:left="96" w:right="223" w:firstLine="140"/>
              <w:spacing w:before="79" w:line="264" w:lineRule="auto"/>
              <w:rPr/>
            </w:pPr>
            <w:r>
              <w:rPr/>
              <w:t>责令限期改正，处10万元罚款，并吊销《单采血</w:t>
            </w:r>
            <w:r>
              <w:rPr>
                <w:spacing w:val="9"/>
              </w:rPr>
              <w:t xml:space="preserve"> </w:t>
            </w:r>
            <w:r>
              <w:rPr>
                <w:spacing w:val="-3"/>
              </w:rPr>
              <w:t>浆许可证》</w:t>
            </w:r>
          </w:p>
        </w:tc>
      </w:tr>
    </w:tbl>
    <w:p>
      <w:pPr>
        <w:pStyle w:val="BodyText"/>
        <w:spacing w:line="476" w:lineRule="auto"/>
        <w:rPr/>
      </w:pPr>
      <w:r/>
    </w:p>
    <w:p>
      <w:pPr>
        <w:ind w:left="789"/>
        <w:spacing w:before="97" w:line="219" w:lineRule="auto"/>
        <w:rPr>
          <w:rFonts w:ascii="FangSong" w:hAnsi="FangSong" w:eastAsia="FangSong" w:cs="FangSong"/>
          <w:sz w:val="30"/>
          <w:szCs w:val="30"/>
        </w:rPr>
      </w:pPr>
      <w:r>
        <w:rPr>
          <w:rFonts w:ascii="FangSong" w:hAnsi="FangSong" w:eastAsia="FangSong" w:cs="FangSong"/>
          <w:sz w:val="30"/>
          <w:szCs w:val="30"/>
          <w:b/>
          <w:bCs/>
          <w:spacing w:val="21"/>
        </w:rPr>
        <w:t>第三百四十一条单采血浆站未按照国家规定的卫生标准和要求包装、储存、运</w:t>
      </w:r>
      <w:r>
        <w:rPr>
          <w:rFonts w:ascii="FangSong" w:hAnsi="FangSong" w:eastAsia="FangSong" w:cs="FangSong"/>
          <w:sz w:val="30"/>
          <w:szCs w:val="30"/>
          <w:b/>
          <w:bCs/>
          <w:spacing w:val="20"/>
        </w:rPr>
        <w:t>输原料血浆的</w:t>
      </w:r>
    </w:p>
    <w:p>
      <w:pPr>
        <w:spacing w:line="219" w:lineRule="auto"/>
        <w:sectPr>
          <w:footerReference w:type="default" r:id="rId386"/>
          <w:pgSz w:w="16830" w:h="11900"/>
          <w:pgMar w:top="1011" w:right="1344" w:bottom="1126" w:left="1325" w:header="0" w:footer="802" w:gutter="0"/>
        </w:sectPr>
        <w:rPr>
          <w:rFonts w:ascii="FangSong" w:hAnsi="FangSong" w:eastAsia="FangSong" w:cs="FangSong"/>
          <w:sz w:val="30"/>
          <w:szCs w:val="30"/>
        </w:rPr>
      </w:pPr>
    </w:p>
    <w:p>
      <w:pPr>
        <w:pStyle w:val="BodyText"/>
        <w:spacing w:line="262" w:lineRule="auto"/>
        <w:rPr/>
      </w:pPr>
      <w:r/>
    </w:p>
    <w:p>
      <w:pPr>
        <w:pStyle w:val="BodyText"/>
        <w:spacing w:line="262" w:lineRule="auto"/>
        <w:rPr/>
      </w:pPr>
      <w:r/>
    </w:p>
    <w:p>
      <w:pPr>
        <w:pStyle w:val="BodyText"/>
        <w:spacing w:line="262" w:lineRule="auto"/>
        <w:rPr/>
      </w:pPr>
      <w:r/>
    </w:p>
    <w:p>
      <w:pPr>
        <w:ind w:left="764"/>
        <w:spacing w:before="98" w:line="222" w:lineRule="auto"/>
        <w:rPr>
          <w:rFonts w:ascii="FangSong" w:hAnsi="FangSong" w:eastAsia="FangSong" w:cs="FangSong"/>
          <w:sz w:val="30"/>
          <w:szCs w:val="30"/>
        </w:rPr>
      </w:pPr>
      <w:bookmarkStart w:name="bookmark1039" w:id="410"/>
      <w:bookmarkEnd w:id="410"/>
      <w:r>
        <w:rPr>
          <w:rFonts w:ascii="FangSong" w:hAnsi="FangSong" w:eastAsia="FangSong" w:cs="FangSong"/>
          <w:sz w:val="30"/>
          <w:szCs w:val="30"/>
          <w:spacing w:val="12"/>
        </w:rPr>
        <w:t>法律依据</w:t>
      </w:r>
    </w:p>
    <w:p>
      <w:pPr>
        <w:ind w:left="114" w:firstLine="630"/>
        <w:spacing w:before="88" w:line="270" w:lineRule="auto"/>
        <w:rPr>
          <w:rFonts w:ascii="FangSong" w:hAnsi="FangSong" w:eastAsia="FangSong" w:cs="FangSong"/>
          <w:sz w:val="30"/>
          <w:szCs w:val="30"/>
        </w:rPr>
      </w:pPr>
      <w:r>
        <w:rPr>
          <w:rFonts w:ascii="FangSong" w:hAnsi="FangSong" w:eastAsia="FangSong" w:cs="FangSong"/>
          <w:sz w:val="30"/>
          <w:szCs w:val="30"/>
          <w:spacing w:val="23"/>
        </w:rPr>
        <w:t>《血液制品管理条例》第三十五条第(七)项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单采血浆站有下列行为之一的，由县级以上地方</w:t>
      </w:r>
      <w:r>
        <w:rPr>
          <w:rFonts w:ascii="FangSong" w:hAnsi="FangSong" w:eastAsia="FangSong" w:cs="FangSong"/>
          <w:sz w:val="30"/>
          <w:szCs w:val="30"/>
        </w:rPr>
        <w:t xml:space="preserve"> </w:t>
      </w:r>
      <w:r>
        <w:rPr>
          <w:rFonts w:ascii="FangSong" w:hAnsi="FangSong" w:eastAsia="FangSong" w:cs="FangSong"/>
          <w:sz w:val="30"/>
          <w:szCs w:val="30"/>
          <w:spacing w:val="18"/>
        </w:rPr>
        <w:t>人民政府卫生行政部门责令限期改正，处5</w:t>
      </w:r>
      <w:r>
        <w:rPr>
          <w:rFonts w:ascii="FangSong" w:hAnsi="FangSong" w:eastAsia="FangSong" w:cs="FangSong"/>
          <w:sz w:val="30"/>
          <w:szCs w:val="30"/>
          <w:spacing w:val="18"/>
        </w:rPr>
        <w:t xml:space="preserve"> </w:t>
      </w:r>
      <w:r>
        <w:rPr>
          <w:rFonts w:ascii="FangSong" w:hAnsi="FangSong" w:eastAsia="FangSong" w:cs="FangSong"/>
          <w:sz w:val="30"/>
          <w:szCs w:val="30"/>
          <w:spacing w:val="18"/>
        </w:rPr>
        <w:t>万元以上10</w:t>
      </w:r>
      <w:r>
        <w:rPr>
          <w:rFonts w:ascii="FangSong" w:hAnsi="FangSong" w:eastAsia="FangSong" w:cs="FangSong"/>
          <w:sz w:val="30"/>
          <w:szCs w:val="30"/>
          <w:spacing w:val="66"/>
        </w:rPr>
        <w:t xml:space="preserve"> </w:t>
      </w:r>
      <w:r>
        <w:rPr>
          <w:rFonts w:ascii="FangSong" w:hAnsi="FangSong" w:eastAsia="FangSong" w:cs="FangSong"/>
          <w:sz w:val="30"/>
          <w:szCs w:val="30"/>
          <w:spacing w:val="18"/>
        </w:rPr>
        <w:t>万元以下的罚款；有第八项所列行为的，或</w:t>
      </w:r>
      <w:r>
        <w:rPr>
          <w:rFonts w:ascii="FangSong" w:hAnsi="FangSong" w:eastAsia="FangSong" w:cs="FangSong"/>
          <w:sz w:val="30"/>
          <w:szCs w:val="30"/>
        </w:rPr>
        <w:t xml:space="preserve"> </w:t>
      </w:r>
      <w:r>
        <w:rPr>
          <w:rFonts w:ascii="FangSong" w:hAnsi="FangSong" w:eastAsia="FangSong" w:cs="FangSong"/>
          <w:sz w:val="30"/>
          <w:szCs w:val="30"/>
          <w:spacing w:val="16"/>
        </w:rPr>
        <w:t>者有下列其他行为并且情节严重的，由省、自治区、直辖市人民政府卫生行政部门吊销《单采血浆许</w:t>
      </w:r>
      <w:r>
        <w:rPr>
          <w:rFonts w:ascii="FangSong" w:hAnsi="FangSong" w:eastAsia="FangSong" w:cs="FangSong"/>
          <w:sz w:val="30"/>
          <w:szCs w:val="30"/>
          <w:spacing w:val="18"/>
        </w:rPr>
        <w:t xml:space="preserve"> </w:t>
      </w:r>
      <w:r>
        <w:rPr>
          <w:rFonts w:ascii="FangSong" w:hAnsi="FangSong" w:eastAsia="FangSong" w:cs="FangSong"/>
          <w:sz w:val="30"/>
          <w:szCs w:val="30"/>
          <w:spacing w:val="21"/>
        </w:rPr>
        <w:t>可证》;构成犯罪的，对负有直接责任的主管人员和其他直接责任人员依法追究刑事责任：</w:t>
      </w:r>
    </w:p>
    <w:p>
      <w:pPr>
        <w:ind w:left="894"/>
        <w:spacing w:line="219" w:lineRule="auto"/>
        <w:rPr>
          <w:rFonts w:ascii="FangSong" w:hAnsi="FangSong" w:eastAsia="FangSong" w:cs="FangSong"/>
          <w:sz w:val="30"/>
          <w:szCs w:val="30"/>
        </w:rPr>
      </w:pPr>
      <w:r>
        <w:rPr>
          <w:rFonts w:ascii="FangSong" w:hAnsi="FangSong" w:eastAsia="FangSong" w:cs="FangSong"/>
          <w:sz w:val="30"/>
          <w:szCs w:val="30"/>
          <w:spacing w:val="22"/>
        </w:rPr>
        <w:t>(七)未按照国家规定的卫生标准和要求包装、储存、运输原料血浆的；</w:t>
      </w:r>
    </w:p>
    <w:p>
      <w:pPr>
        <w:ind w:left="6518"/>
        <w:spacing w:before="173"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70" w:lineRule="exact"/>
        <w:rPr/>
      </w:pPr>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6875"/>
        <w:gridCol w:w="5671"/>
      </w:tblGrid>
      <w:tr>
        <w:trPr>
          <w:trHeight w:val="434" w:hRule="atLeast"/>
        </w:trPr>
        <w:tc>
          <w:tcPr>
            <w:tcW w:w="1434" w:type="dxa"/>
            <w:vAlign w:val="top"/>
          </w:tcPr>
          <w:p>
            <w:pPr>
              <w:pStyle w:val="TableText"/>
              <w:ind w:left="208"/>
              <w:spacing w:before="92" w:line="220" w:lineRule="auto"/>
              <w:rPr>
                <w:sz w:val="25"/>
                <w:szCs w:val="25"/>
              </w:rPr>
            </w:pPr>
            <w:r>
              <w:rPr>
                <w:sz w:val="25"/>
                <w:szCs w:val="25"/>
                <w:b/>
                <w:bCs/>
                <w:spacing w:val="-5"/>
              </w:rPr>
              <w:t>违法程度</w:t>
            </w:r>
          </w:p>
        </w:tc>
        <w:tc>
          <w:tcPr>
            <w:tcW w:w="6875" w:type="dxa"/>
            <w:vAlign w:val="top"/>
          </w:tcPr>
          <w:p>
            <w:pPr>
              <w:pStyle w:val="TableText"/>
              <w:ind w:left="2934"/>
              <w:spacing w:before="92" w:line="220" w:lineRule="auto"/>
              <w:rPr>
                <w:sz w:val="25"/>
                <w:szCs w:val="25"/>
              </w:rPr>
            </w:pPr>
            <w:r>
              <w:rPr>
                <w:sz w:val="25"/>
                <w:szCs w:val="25"/>
                <w:b/>
                <w:bCs/>
                <w:spacing w:val="-5"/>
              </w:rPr>
              <w:t>违法后果</w:t>
            </w:r>
          </w:p>
        </w:tc>
        <w:tc>
          <w:tcPr>
            <w:tcW w:w="5671" w:type="dxa"/>
            <w:vAlign w:val="top"/>
          </w:tcPr>
          <w:p>
            <w:pPr>
              <w:pStyle w:val="TableText"/>
              <w:ind w:left="2329"/>
              <w:spacing w:before="89" w:line="218" w:lineRule="auto"/>
              <w:rPr>
                <w:sz w:val="25"/>
                <w:szCs w:val="25"/>
              </w:rPr>
            </w:pPr>
            <w:r>
              <w:rPr>
                <w:sz w:val="25"/>
                <w:szCs w:val="25"/>
                <w:b/>
                <w:bCs/>
                <w:spacing w:val="-5"/>
              </w:rPr>
              <w:t>裁量幅度</w:t>
            </w:r>
          </w:p>
        </w:tc>
      </w:tr>
      <w:tr>
        <w:trPr>
          <w:trHeight w:val="678" w:hRule="atLeast"/>
        </w:trPr>
        <w:tc>
          <w:tcPr>
            <w:tcW w:w="1434" w:type="dxa"/>
            <w:vAlign w:val="top"/>
          </w:tcPr>
          <w:p>
            <w:pPr>
              <w:spacing w:line="256" w:lineRule="auto"/>
              <w:rPr>
                <w:rFonts w:ascii="Arial"/>
                <w:sz w:val="21"/>
              </w:rPr>
            </w:pPr>
            <w:r/>
          </w:p>
          <w:p>
            <w:pPr>
              <w:pStyle w:val="TableText"/>
              <w:ind w:left="458"/>
              <w:spacing w:before="81" w:line="221" w:lineRule="auto"/>
              <w:rPr>
                <w:sz w:val="25"/>
                <w:szCs w:val="25"/>
              </w:rPr>
            </w:pPr>
            <w:r>
              <w:rPr>
                <w:sz w:val="25"/>
                <w:szCs w:val="25"/>
                <w:b/>
                <w:bCs/>
                <w:spacing w:val="-10"/>
              </w:rPr>
              <w:t>一般</w:t>
            </w:r>
          </w:p>
        </w:tc>
        <w:tc>
          <w:tcPr>
            <w:tcW w:w="6875" w:type="dxa"/>
            <w:vAlign w:val="top"/>
          </w:tcPr>
          <w:p>
            <w:pPr>
              <w:pStyle w:val="TableText"/>
              <w:ind w:left="99" w:hanging="89"/>
              <w:spacing w:before="61" w:line="224" w:lineRule="auto"/>
              <w:rPr>
                <w:sz w:val="25"/>
                <w:szCs w:val="25"/>
              </w:rPr>
            </w:pPr>
            <w:r>
              <w:rPr>
                <w:sz w:val="25"/>
                <w:szCs w:val="25"/>
                <w:spacing w:val="-5"/>
              </w:rPr>
              <w:t>单采血浆站有未按照国家规定的卫生标准和要求</w:t>
            </w:r>
            <w:r>
              <w:rPr>
                <w:sz w:val="25"/>
                <w:szCs w:val="25"/>
                <w:spacing w:val="-6"/>
              </w:rPr>
              <w:t>包装、储存、运</w:t>
            </w:r>
            <w:r>
              <w:rPr>
                <w:sz w:val="25"/>
                <w:szCs w:val="25"/>
              </w:rPr>
              <w:t xml:space="preserve"> </w:t>
            </w:r>
            <w:r>
              <w:rPr>
                <w:sz w:val="25"/>
                <w:szCs w:val="25"/>
                <w:spacing w:val="1"/>
              </w:rPr>
              <w:t>输原料血料血浆情形之一的</w:t>
            </w:r>
          </w:p>
        </w:tc>
        <w:tc>
          <w:tcPr>
            <w:tcW w:w="5671" w:type="dxa"/>
            <w:vAlign w:val="top"/>
          </w:tcPr>
          <w:p>
            <w:pPr>
              <w:pStyle w:val="TableText"/>
              <w:ind w:left="125"/>
              <w:spacing w:before="69" w:line="219" w:lineRule="auto"/>
              <w:rPr>
                <w:sz w:val="25"/>
                <w:szCs w:val="25"/>
              </w:rPr>
            </w:pPr>
            <w:r>
              <w:rPr>
                <w:sz w:val="25"/>
                <w:szCs w:val="25"/>
              </w:rPr>
              <w:t>责令限期改正，处5万元以上8万元以下的罚款</w:t>
            </w:r>
          </w:p>
        </w:tc>
      </w:tr>
      <w:tr>
        <w:trPr>
          <w:trHeight w:val="668" w:hRule="atLeast"/>
        </w:trPr>
        <w:tc>
          <w:tcPr>
            <w:tcW w:w="1434" w:type="dxa"/>
            <w:vAlign w:val="top"/>
          </w:tcPr>
          <w:p>
            <w:pPr>
              <w:spacing w:line="250" w:lineRule="auto"/>
              <w:rPr>
                <w:rFonts w:ascii="Arial"/>
                <w:sz w:val="21"/>
              </w:rPr>
            </w:pPr>
            <w:r/>
          </w:p>
          <w:p>
            <w:pPr>
              <w:pStyle w:val="TableText"/>
              <w:ind w:left="458"/>
              <w:spacing w:before="81" w:line="221" w:lineRule="auto"/>
              <w:rPr>
                <w:sz w:val="25"/>
                <w:szCs w:val="25"/>
              </w:rPr>
            </w:pPr>
            <w:r>
              <w:rPr>
                <w:sz w:val="25"/>
                <w:szCs w:val="25"/>
                <w:b/>
                <w:bCs/>
                <w:spacing w:val="-6"/>
              </w:rPr>
              <w:t>较重</w:t>
            </w:r>
          </w:p>
        </w:tc>
        <w:tc>
          <w:tcPr>
            <w:tcW w:w="6875" w:type="dxa"/>
            <w:vAlign w:val="top"/>
          </w:tcPr>
          <w:p>
            <w:pPr>
              <w:pStyle w:val="TableText"/>
              <w:ind w:left="89" w:hanging="79"/>
              <w:spacing w:before="72" w:line="216" w:lineRule="auto"/>
              <w:rPr>
                <w:sz w:val="25"/>
                <w:szCs w:val="25"/>
              </w:rPr>
            </w:pPr>
            <w:r>
              <w:rPr>
                <w:sz w:val="25"/>
                <w:szCs w:val="25"/>
                <w:spacing w:val="-5"/>
              </w:rPr>
              <w:t>单采血浆站有未按照国家规定的卫生标准和要求</w:t>
            </w:r>
            <w:r>
              <w:rPr>
                <w:sz w:val="25"/>
                <w:szCs w:val="25"/>
                <w:spacing w:val="-6"/>
              </w:rPr>
              <w:t>包装、储存、运</w:t>
            </w:r>
            <w:r>
              <w:rPr>
                <w:sz w:val="25"/>
                <w:szCs w:val="25"/>
              </w:rPr>
              <w:t xml:space="preserve"> </w:t>
            </w:r>
            <w:r>
              <w:rPr>
                <w:sz w:val="25"/>
                <w:szCs w:val="25"/>
                <w:spacing w:val="1"/>
              </w:rPr>
              <w:t>输原料血浆，两种及以上情形的</w:t>
            </w:r>
          </w:p>
        </w:tc>
        <w:tc>
          <w:tcPr>
            <w:tcW w:w="5671" w:type="dxa"/>
            <w:vAlign w:val="top"/>
          </w:tcPr>
          <w:p>
            <w:pPr>
              <w:pStyle w:val="TableText"/>
              <w:ind w:left="265"/>
              <w:spacing w:before="61" w:line="219" w:lineRule="auto"/>
              <w:rPr>
                <w:sz w:val="25"/>
                <w:szCs w:val="25"/>
              </w:rPr>
            </w:pPr>
            <w:r>
              <w:rPr>
                <w:sz w:val="25"/>
                <w:szCs w:val="25"/>
              </w:rPr>
              <w:t>责令限期改正，处8万元以上10万元以下的罚款</w:t>
            </w:r>
          </w:p>
        </w:tc>
      </w:tr>
      <w:tr>
        <w:trPr>
          <w:trHeight w:val="1710" w:hRule="atLeast"/>
        </w:trPr>
        <w:tc>
          <w:tcPr>
            <w:tcW w:w="1434" w:type="dxa"/>
            <w:vAlign w:val="top"/>
          </w:tcPr>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6875" w:type="dxa"/>
            <w:vAlign w:val="top"/>
          </w:tcPr>
          <w:p>
            <w:pPr>
              <w:pStyle w:val="TableText"/>
              <w:ind w:left="10"/>
              <w:spacing w:before="75"/>
              <w:jc w:val="both"/>
              <w:rPr>
                <w:sz w:val="25"/>
                <w:szCs w:val="25"/>
              </w:rPr>
            </w:pPr>
            <w:r>
              <w:rPr>
                <w:sz w:val="25"/>
                <w:szCs w:val="25"/>
                <w:spacing w:val="-5"/>
              </w:rPr>
              <w:t>未按照国家规定的卫生标准和要求包装、储存、</w:t>
            </w:r>
            <w:r>
              <w:rPr>
                <w:sz w:val="25"/>
                <w:szCs w:val="25"/>
                <w:spacing w:val="-6"/>
              </w:rPr>
              <w:t>运输原料血浆，</w:t>
            </w:r>
            <w:r>
              <w:rPr>
                <w:sz w:val="25"/>
                <w:szCs w:val="25"/>
              </w:rPr>
              <w:t xml:space="preserve"> </w:t>
            </w:r>
            <w:r>
              <w:rPr>
                <w:sz w:val="25"/>
                <w:szCs w:val="25"/>
                <w:spacing w:val="-9"/>
              </w:rPr>
              <w:t>造成经血途径疾病传播、人身伤害、死亡等严重后果的；或12个</w:t>
            </w:r>
            <w:r>
              <w:rPr>
                <w:sz w:val="25"/>
                <w:szCs w:val="25"/>
              </w:rPr>
              <w:t xml:space="preserve">  </w:t>
            </w:r>
            <w:r>
              <w:rPr>
                <w:sz w:val="25"/>
                <w:szCs w:val="25"/>
                <w:spacing w:val="-9"/>
              </w:rPr>
              <w:t>月内发生两次该违法行为的；或卫生行政部门责令限期改</w:t>
            </w:r>
            <w:r>
              <w:rPr>
                <w:sz w:val="25"/>
                <w:szCs w:val="25"/>
                <w:spacing w:val="-10"/>
              </w:rPr>
              <w:t>正而拒</w:t>
            </w:r>
            <w:r>
              <w:rPr>
                <w:sz w:val="25"/>
                <w:szCs w:val="25"/>
              </w:rPr>
              <w:t xml:space="preserve">  </w:t>
            </w:r>
            <w:r>
              <w:rPr>
                <w:sz w:val="25"/>
                <w:szCs w:val="25"/>
                <w:spacing w:val="-5"/>
              </w:rPr>
              <w:t>不改正的；或同时有《血液制品管理条例》第三十五条3项以上</w:t>
            </w:r>
            <w:r>
              <w:rPr>
                <w:sz w:val="25"/>
                <w:szCs w:val="25"/>
                <w:spacing w:val="3"/>
              </w:rPr>
              <w:t xml:space="preserve">  </w:t>
            </w:r>
            <w:r>
              <w:rPr>
                <w:sz w:val="25"/>
                <w:szCs w:val="25"/>
                <w:spacing w:val="15"/>
              </w:rPr>
              <w:t>违法行为的</w:t>
            </w:r>
          </w:p>
        </w:tc>
        <w:tc>
          <w:tcPr>
            <w:tcW w:w="5671" w:type="dxa"/>
            <w:vAlign w:val="top"/>
          </w:tcPr>
          <w:p>
            <w:pPr>
              <w:pStyle w:val="TableText"/>
              <w:ind w:left="145" w:right="75" w:hanging="70"/>
              <w:spacing w:before="74" w:line="277" w:lineRule="auto"/>
              <w:rPr>
                <w:sz w:val="25"/>
                <w:szCs w:val="25"/>
              </w:rPr>
            </w:pPr>
            <w:r>
              <w:rPr>
                <w:sz w:val="25"/>
                <w:szCs w:val="25"/>
              </w:rPr>
              <w:t>责令限期改正，处10万元罚款，并吊销《单采血浆</w:t>
            </w:r>
            <w:r>
              <w:rPr>
                <w:sz w:val="25"/>
                <w:szCs w:val="25"/>
                <w:spacing w:val="8"/>
              </w:rPr>
              <w:t xml:space="preserve"> </w:t>
            </w:r>
            <w:r>
              <w:rPr>
                <w:sz w:val="25"/>
                <w:szCs w:val="25"/>
                <w:spacing w:val="-4"/>
              </w:rPr>
              <w:t>许可证》</w:t>
            </w:r>
          </w:p>
        </w:tc>
      </w:tr>
    </w:tbl>
    <w:p>
      <w:pPr>
        <w:pStyle w:val="BodyText"/>
        <w:spacing w:line="447" w:lineRule="auto"/>
        <w:rPr/>
      </w:pPr>
      <w:r/>
    </w:p>
    <w:p>
      <w:pPr>
        <w:ind w:right="1"/>
        <w:spacing w:before="98" w:line="220" w:lineRule="auto"/>
        <w:jc w:val="right"/>
        <w:rPr>
          <w:rFonts w:ascii="FangSong" w:hAnsi="FangSong" w:eastAsia="FangSong" w:cs="FangSong"/>
          <w:sz w:val="30"/>
          <w:szCs w:val="30"/>
        </w:rPr>
      </w:pPr>
      <w:r>
        <w:rPr>
          <w:rFonts w:ascii="FangSong" w:hAnsi="FangSong" w:eastAsia="FangSong" w:cs="FangSong"/>
          <w:sz w:val="30"/>
          <w:szCs w:val="30"/>
          <w:b/>
          <w:bCs/>
          <w:spacing w:val="21"/>
        </w:rPr>
        <w:t>第三百四十二条单采血浆站对国家规定检测项目</w:t>
      </w:r>
      <w:r>
        <w:rPr>
          <w:rFonts w:ascii="FangSong" w:hAnsi="FangSong" w:eastAsia="FangSong" w:cs="FangSong"/>
          <w:sz w:val="30"/>
          <w:szCs w:val="30"/>
          <w:b/>
          <w:bCs/>
          <w:spacing w:val="20"/>
        </w:rPr>
        <w:t>检测结果呈阳性的血浆不清除、不及时上报的</w:t>
      </w:r>
    </w:p>
    <w:p>
      <w:pPr>
        <w:ind w:left="764"/>
        <w:spacing w:before="91" w:line="222" w:lineRule="auto"/>
        <w:rPr>
          <w:rFonts w:ascii="FangSong" w:hAnsi="FangSong" w:eastAsia="FangSong" w:cs="FangSong"/>
          <w:sz w:val="30"/>
          <w:szCs w:val="30"/>
        </w:rPr>
      </w:pPr>
      <w:r>
        <w:rPr>
          <w:rFonts w:ascii="FangSong" w:hAnsi="FangSong" w:eastAsia="FangSong" w:cs="FangSong"/>
          <w:sz w:val="30"/>
          <w:szCs w:val="30"/>
          <w:spacing w:val="17"/>
        </w:rPr>
        <w:t>法律依据</w:t>
      </w:r>
    </w:p>
    <w:p>
      <w:pPr>
        <w:spacing w:line="222" w:lineRule="auto"/>
        <w:sectPr>
          <w:footerReference w:type="default" r:id="rId387"/>
          <w:pgSz w:w="16830" w:h="11900"/>
          <w:pgMar w:top="1011" w:right="1463" w:bottom="1117" w:left="1325" w:header="0" w:footer="784" w:gutter="0"/>
        </w:sectPr>
        <w:rPr>
          <w:rFonts w:ascii="FangSong" w:hAnsi="FangSong" w:eastAsia="FangSong" w:cs="FangSong"/>
          <w:sz w:val="30"/>
          <w:szCs w:val="30"/>
        </w:rPr>
      </w:pPr>
    </w:p>
    <w:p>
      <w:pPr>
        <w:pStyle w:val="BodyText"/>
        <w:spacing w:line="249" w:lineRule="auto"/>
        <w:rPr/>
      </w:pPr>
      <w:r/>
    </w:p>
    <w:p>
      <w:pPr>
        <w:pStyle w:val="BodyText"/>
        <w:spacing w:line="250" w:lineRule="auto"/>
        <w:rPr/>
      </w:pPr>
      <w:r/>
    </w:p>
    <w:p>
      <w:pPr>
        <w:pStyle w:val="BodyText"/>
        <w:spacing w:line="250" w:lineRule="auto"/>
        <w:rPr/>
      </w:pPr>
      <w:r/>
    </w:p>
    <w:p>
      <w:pPr>
        <w:ind w:left="114" w:right="36" w:firstLine="614"/>
        <w:spacing w:before="101" w:line="262" w:lineRule="auto"/>
        <w:jc w:val="both"/>
        <w:rPr>
          <w:rFonts w:ascii="FangSong" w:hAnsi="FangSong" w:eastAsia="FangSong" w:cs="FangSong"/>
          <w:sz w:val="31"/>
          <w:szCs w:val="31"/>
        </w:rPr>
      </w:pPr>
      <w:bookmarkStart w:name="bookmark1040" w:id="411"/>
      <w:bookmarkEnd w:id="411"/>
      <w:r>
        <w:rPr>
          <w:rFonts w:ascii="FangSong" w:hAnsi="FangSong" w:eastAsia="FangSong" w:cs="FangSong"/>
          <w:sz w:val="31"/>
          <w:szCs w:val="31"/>
          <w:spacing w:val="14"/>
        </w:rPr>
        <w:t>《血液制品管理条例》第三十五条第(八)项</w:t>
      </w:r>
      <w:r>
        <w:rPr>
          <w:rFonts w:ascii="FangSong" w:hAnsi="FangSong" w:eastAsia="FangSong" w:cs="FangSong"/>
          <w:sz w:val="31"/>
          <w:szCs w:val="31"/>
          <w:spacing w:val="14"/>
        </w:rPr>
        <w:t xml:space="preserve">  </w:t>
      </w:r>
      <w:r>
        <w:rPr>
          <w:rFonts w:ascii="FangSong" w:hAnsi="FangSong" w:eastAsia="FangSong" w:cs="FangSong"/>
          <w:sz w:val="31"/>
          <w:szCs w:val="31"/>
          <w:spacing w:val="14"/>
        </w:rPr>
        <w:t>单采血浆站有下列行为之一的</w:t>
      </w:r>
      <w:r>
        <w:rPr>
          <w:rFonts w:ascii="FangSong" w:hAnsi="FangSong" w:eastAsia="FangSong" w:cs="FangSong"/>
          <w:sz w:val="31"/>
          <w:szCs w:val="31"/>
          <w:spacing w:val="13"/>
        </w:rPr>
        <w:t>，由县级以上地方</w:t>
      </w:r>
      <w:r>
        <w:rPr>
          <w:rFonts w:ascii="FangSong" w:hAnsi="FangSong" w:eastAsia="FangSong" w:cs="FangSong"/>
          <w:sz w:val="31"/>
          <w:szCs w:val="31"/>
        </w:rPr>
        <w:t xml:space="preserve"> </w:t>
      </w:r>
      <w:r>
        <w:rPr>
          <w:rFonts w:ascii="FangSong" w:hAnsi="FangSong" w:eastAsia="FangSong" w:cs="FangSong"/>
          <w:sz w:val="31"/>
          <w:szCs w:val="31"/>
          <w:spacing w:val="17"/>
        </w:rPr>
        <w:t>人民政府卫生行政部门责令限期改正，处5万元以上10万元以下的罚款；有第八项所列行为的，或</w:t>
      </w:r>
      <w:r>
        <w:rPr>
          <w:rFonts w:ascii="FangSong" w:hAnsi="FangSong" w:eastAsia="FangSong" w:cs="FangSong"/>
          <w:sz w:val="31"/>
          <w:szCs w:val="31"/>
          <w:spacing w:val="3"/>
        </w:rPr>
        <w:t xml:space="preserve"> </w:t>
      </w:r>
      <w:r>
        <w:rPr>
          <w:rFonts w:ascii="FangSong" w:hAnsi="FangSong" w:eastAsia="FangSong" w:cs="FangSong"/>
          <w:sz w:val="31"/>
          <w:szCs w:val="31"/>
          <w:spacing w:val="7"/>
        </w:rPr>
        <w:t>者有下列其他行为并且情节严重的，由省、</w:t>
      </w:r>
      <w:r>
        <w:rPr>
          <w:rFonts w:ascii="FangSong" w:hAnsi="FangSong" w:eastAsia="FangSong" w:cs="FangSong"/>
          <w:sz w:val="31"/>
          <w:szCs w:val="31"/>
          <w:spacing w:val="6"/>
        </w:rPr>
        <w:t>自治区、直辖市人民政府卫生行政部门吊销《单采血浆许</w:t>
      </w:r>
      <w:r>
        <w:rPr>
          <w:rFonts w:ascii="FangSong" w:hAnsi="FangSong" w:eastAsia="FangSong" w:cs="FangSong"/>
          <w:sz w:val="31"/>
          <w:szCs w:val="31"/>
        </w:rPr>
        <w:t xml:space="preserve"> </w:t>
      </w:r>
      <w:r>
        <w:rPr>
          <w:rFonts w:ascii="FangSong" w:hAnsi="FangSong" w:eastAsia="FangSong" w:cs="FangSong"/>
          <w:sz w:val="31"/>
          <w:szCs w:val="31"/>
          <w:spacing w:val="11"/>
        </w:rPr>
        <w:t>可证》;构成犯罪的，对负有直接责任的主管人员和其他直接责任人员依法追究刑事责任：</w:t>
      </w:r>
    </w:p>
    <w:p>
      <w:pPr>
        <w:ind w:left="884"/>
        <w:spacing w:line="220" w:lineRule="auto"/>
        <w:rPr>
          <w:rFonts w:ascii="FangSong" w:hAnsi="FangSong" w:eastAsia="FangSong" w:cs="FangSong"/>
          <w:sz w:val="31"/>
          <w:szCs w:val="31"/>
        </w:rPr>
      </w:pPr>
      <w:r>
        <w:rPr>
          <w:rFonts w:ascii="FangSong" w:hAnsi="FangSong" w:eastAsia="FangSong" w:cs="FangSong"/>
          <w:sz w:val="31"/>
          <w:szCs w:val="31"/>
          <w:spacing w:val="12"/>
        </w:rPr>
        <w:t>(八)对国家规定检测项目检测结果呈阳性的血浆不清除、不及时上报的；</w:t>
      </w:r>
    </w:p>
    <w:p>
      <w:pPr>
        <w:ind w:left="6529"/>
        <w:spacing w:before="149" w:line="221" w:lineRule="auto"/>
        <w:rPr>
          <w:rFonts w:ascii="SimHei" w:hAnsi="SimHei" w:eastAsia="SimHei" w:cs="SimHei"/>
          <w:sz w:val="31"/>
          <w:szCs w:val="31"/>
        </w:rPr>
      </w:pPr>
      <w:r>
        <w:rPr>
          <w:rFonts w:ascii="SimHei" w:hAnsi="SimHei" w:eastAsia="SimHei" w:cs="SimHei"/>
          <w:sz w:val="31"/>
          <w:szCs w:val="31"/>
          <w:b/>
          <w:bCs/>
          <w:spacing w:val="-25"/>
        </w:rPr>
        <w:t>裁量标准</w:t>
      </w:r>
    </w:p>
    <w:p>
      <w:pPr>
        <w:spacing w:line="88" w:lineRule="exact"/>
        <w:rPr/>
      </w:pPr>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6885"/>
        <w:gridCol w:w="5671"/>
      </w:tblGrid>
      <w:tr>
        <w:trPr>
          <w:trHeight w:val="441" w:hRule="atLeast"/>
        </w:trPr>
        <w:tc>
          <w:tcPr>
            <w:tcW w:w="1424" w:type="dxa"/>
            <w:vAlign w:val="top"/>
          </w:tcPr>
          <w:p>
            <w:pPr>
              <w:pStyle w:val="TableText"/>
              <w:ind w:left="208"/>
              <w:spacing w:before="102" w:line="220" w:lineRule="auto"/>
              <w:rPr>
                <w:sz w:val="25"/>
                <w:szCs w:val="25"/>
              </w:rPr>
            </w:pPr>
            <w:r>
              <w:rPr>
                <w:sz w:val="25"/>
                <w:szCs w:val="25"/>
                <w:b/>
                <w:bCs/>
                <w:spacing w:val="-5"/>
              </w:rPr>
              <w:t>违法程度</w:t>
            </w:r>
          </w:p>
        </w:tc>
        <w:tc>
          <w:tcPr>
            <w:tcW w:w="6885" w:type="dxa"/>
            <w:vAlign w:val="top"/>
          </w:tcPr>
          <w:p>
            <w:pPr>
              <w:pStyle w:val="TableText"/>
              <w:ind w:left="2934"/>
              <w:spacing w:before="102" w:line="220" w:lineRule="auto"/>
              <w:rPr>
                <w:sz w:val="25"/>
                <w:szCs w:val="25"/>
              </w:rPr>
            </w:pPr>
            <w:r>
              <w:rPr>
                <w:sz w:val="25"/>
                <w:szCs w:val="25"/>
                <w:b/>
                <w:bCs/>
                <w:spacing w:val="-5"/>
              </w:rPr>
              <w:t>违法后果</w:t>
            </w:r>
          </w:p>
        </w:tc>
        <w:tc>
          <w:tcPr>
            <w:tcW w:w="5671" w:type="dxa"/>
            <w:vAlign w:val="top"/>
          </w:tcPr>
          <w:p>
            <w:pPr>
              <w:pStyle w:val="TableText"/>
              <w:ind w:left="2329"/>
              <w:spacing w:before="99" w:line="218" w:lineRule="auto"/>
              <w:rPr>
                <w:sz w:val="25"/>
                <w:szCs w:val="25"/>
              </w:rPr>
            </w:pPr>
            <w:r>
              <w:rPr>
                <w:sz w:val="25"/>
                <w:szCs w:val="25"/>
                <w:b/>
                <w:bCs/>
                <w:spacing w:val="-5"/>
              </w:rPr>
              <w:t>裁量幅度</w:t>
            </w:r>
          </w:p>
        </w:tc>
      </w:tr>
      <w:tr>
        <w:trPr>
          <w:trHeight w:val="689" w:hRule="atLeast"/>
        </w:trPr>
        <w:tc>
          <w:tcPr>
            <w:tcW w:w="1424" w:type="dxa"/>
            <w:vAlign w:val="top"/>
          </w:tcPr>
          <w:p>
            <w:pPr>
              <w:pStyle w:val="TableText"/>
              <w:ind w:left="458"/>
              <w:spacing w:before="221" w:line="220" w:lineRule="auto"/>
              <w:rPr>
                <w:sz w:val="25"/>
                <w:szCs w:val="25"/>
              </w:rPr>
            </w:pPr>
            <w:r>
              <w:rPr>
                <w:sz w:val="25"/>
                <w:szCs w:val="25"/>
                <w:b/>
                <w:bCs/>
                <w:spacing w:val="-6"/>
              </w:rPr>
              <w:t>严重</w:t>
            </w:r>
          </w:p>
        </w:tc>
        <w:tc>
          <w:tcPr>
            <w:tcW w:w="6885" w:type="dxa"/>
            <w:vAlign w:val="top"/>
          </w:tcPr>
          <w:p>
            <w:pPr>
              <w:pStyle w:val="TableText"/>
              <w:spacing w:before="80" w:line="219" w:lineRule="auto"/>
              <w:jc w:val="right"/>
              <w:rPr>
                <w:sz w:val="25"/>
                <w:szCs w:val="25"/>
              </w:rPr>
            </w:pPr>
            <w:r>
              <w:rPr>
                <w:sz w:val="25"/>
                <w:szCs w:val="25"/>
                <w:b/>
                <w:bCs/>
                <w:spacing w:val="-8"/>
              </w:rPr>
              <w:t>对国家规定检测项目检测结果呈阳性的血浆不清除、不及时上报</w:t>
            </w:r>
          </w:p>
          <w:p>
            <w:pPr>
              <w:pStyle w:val="TableText"/>
              <w:ind w:left="114"/>
              <w:spacing w:before="37" w:line="195" w:lineRule="auto"/>
              <w:rPr>
                <w:sz w:val="25"/>
                <w:szCs w:val="25"/>
              </w:rPr>
            </w:pPr>
            <w:r>
              <w:rPr>
                <w:sz w:val="25"/>
                <w:szCs w:val="25"/>
                <w:b/>
                <w:bCs/>
                <w:color w:val="405050"/>
                <w:spacing w:val="-3"/>
              </w:rPr>
              <w:t>的</w:t>
            </w:r>
          </w:p>
        </w:tc>
        <w:tc>
          <w:tcPr>
            <w:tcW w:w="5671" w:type="dxa"/>
            <w:vAlign w:val="top"/>
          </w:tcPr>
          <w:p>
            <w:pPr>
              <w:pStyle w:val="TableText"/>
              <w:ind w:left="128" w:right="78" w:hanging="49"/>
              <w:spacing w:before="80" w:line="221" w:lineRule="auto"/>
              <w:rPr>
                <w:sz w:val="25"/>
                <w:szCs w:val="25"/>
              </w:rPr>
            </w:pPr>
            <w:r>
              <w:rPr>
                <w:sz w:val="25"/>
                <w:szCs w:val="25"/>
                <w:b/>
                <w:bCs/>
                <w:spacing w:val="-3"/>
              </w:rPr>
              <w:t>责令限期改正，处10万元罚款，并吊销《单采血浆</w:t>
            </w:r>
            <w:r>
              <w:rPr>
                <w:sz w:val="25"/>
                <w:szCs w:val="25"/>
                <w:spacing w:val="10"/>
              </w:rPr>
              <w:t xml:space="preserve"> </w:t>
            </w:r>
            <w:r>
              <w:rPr>
                <w:sz w:val="25"/>
                <w:szCs w:val="25"/>
                <w:b/>
                <w:bCs/>
                <w:spacing w:val="-7"/>
              </w:rPr>
              <w:t>许可证》</w:t>
            </w:r>
          </w:p>
        </w:tc>
      </w:tr>
    </w:tbl>
    <w:p>
      <w:pPr>
        <w:pStyle w:val="BodyText"/>
        <w:spacing w:line="417" w:lineRule="auto"/>
        <w:rPr/>
      </w:pPr>
      <w:r/>
    </w:p>
    <w:p>
      <w:pPr>
        <w:ind w:left="119" w:firstLine="660"/>
        <w:spacing w:before="100" w:line="266" w:lineRule="auto"/>
        <w:rPr>
          <w:rFonts w:ascii="KaiTi" w:hAnsi="KaiTi" w:eastAsia="KaiTi" w:cs="KaiTi"/>
          <w:sz w:val="31"/>
          <w:szCs w:val="31"/>
        </w:rPr>
      </w:pPr>
      <w:r>
        <w:rPr>
          <w:rFonts w:ascii="KaiTi" w:hAnsi="KaiTi" w:eastAsia="KaiTi" w:cs="KaiTi"/>
          <w:sz w:val="31"/>
          <w:szCs w:val="31"/>
          <w:b/>
          <w:bCs/>
          <w:spacing w:val="11"/>
        </w:rPr>
        <w:t>第三百四十三条单采血浆站对污染的注射器、采血浆器材及不合格血浆等不经消毒处理，擅自</w:t>
      </w:r>
      <w:r>
        <w:rPr>
          <w:rFonts w:ascii="KaiTi" w:hAnsi="KaiTi" w:eastAsia="KaiTi" w:cs="KaiTi"/>
          <w:sz w:val="31"/>
          <w:szCs w:val="31"/>
          <w:spacing w:val="4"/>
        </w:rPr>
        <w:t xml:space="preserve"> </w:t>
      </w:r>
      <w:r>
        <w:rPr>
          <w:rFonts w:ascii="KaiTi" w:hAnsi="KaiTi" w:eastAsia="KaiTi" w:cs="KaiTi"/>
          <w:sz w:val="31"/>
          <w:szCs w:val="31"/>
          <w:b/>
          <w:bCs/>
          <w:spacing w:val="6"/>
        </w:rPr>
        <w:t>倾倒，污染环境，造成社会危害的</w:t>
      </w:r>
    </w:p>
    <w:p>
      <w:pPr>
        <w:ind w:left="774"/>
        <w:spacing w:before="22" w:line="222" w:lineRule="auto"/>
        <w:rPr>
          <w:rFonts w:ascii="FangSong" w:hAnsi="FangSong" w:eastAsia="FangSong" w:cs="FangSong"/>
          <w:sz w:val="31"/>
          <w:szCs w:val="31"/>
        </w:rPr>
      </w:pPr>
      <w:r>
        <w:rPr>
          <w:rFonts w:ascii="FangSong" w:hAnsi="FangSong" w:eastAsia="FangSong" w:cs="FangSong"/>
          <w:sz w:val="31"/>
          <w:szCs w:val="31"/>
          <w:spacing w:val="2"/>
        </w:rPr>
        <w:t>法律依据</w:t>
      </w:r>
    </w:p>
    <w:p>
      <w:pPr>
        <w:ind w:left="114" w:right="36" w:firstLine="614"/>
        <w:spacing w:before="36" w:line="262" w:lineRule="auto"/>
        <w:rPr>
          <w:rFonts w:ascii="FangSong" w:hAnsi="FangSong" w:eastAsia="FangSong" w:cs="FangSong"/>
          <w:sz w:val="31"/>
          <w:szCs w:val="31"/>
        </w:rPr>
      </w:pPr>
      <w:r>
        <w:rPr>
          <w:rFonts w:ascii="FangSong" w:hAnsi="FangSong" w:eastAsia="FangSong" w:cs="FangSong"/>
          <w:sz w:val="31"/>
          <w:szCs w:val="31"/>
          <w:spacing w:val="14"/>
        </w:rPr>
        <w:t>《血液制品管理条例》第三十五条第(九)项</w:t>
      </w:r>
      <w:r>
        <w:rPr>
          <w:rFonts w:ascii="FangSong" w:hAnsi="FangSong" w:eastAsia="FangSong" w:cs="FangSong"/>
          <w:sz w:val="31"/>
          <w:szCs w:val="31"/>
          <w:spacing w:val="14"/>
        </w:rPr>
        <w:t xml:space="preserve">  </w:t>
      </w:r>
      <w:r>
        <w:rPr>
          <w:rFonts w:ascii="FangSong" w:hAnsi="FangSong" w:eastAsia="FangSong" w:cs="FangSong"/>
          <w:sz w:val="31"/>
          <w:szCs w:val="31"/>
          <w:spacing w:val="14"/>
        </w:rPr>
        <w:t>单采血浆站有下列行为之一的</w:t>
      </w:r>
      <w:r>
        <w:rPr>
          <w:rFonts w:ascii="FangSong" w:hAnsi="FangSong" w:eastAsia="FangSong" w:cs="FangSong"/>
          <w:sz w:val="31"/>
          <w:szCs w:val="31"/>
          <w:spacing w:val="13"/>
        </w:rPr>
        <w:t>，由县级以上地方</w:t>
      </w:r>
      <w:r>
        <w:rPr>
          <w:rFonts w:ascii="FangSong" w:hAnsi="FangSong" w:eastAsia="FangSong" w:cs="FangSong"/>
          <w:sz w:val="31"/>
          <w:szCs w:val="31"/>
        </w:rPr>
        <w:t xml:space="preserve"> </w:t>
      </w:r>
      <w:r>
        <w:rPr>
          <w:rFonts w:ascii="FangSong" w:hAnsi="FangSong" w:eastAsia="FangSong" w:cs="FangSong"/>
          <w:sz w:val="31"/>
          <w:szCs w:val="31"/>
          <w:spacing w:val="17"/>
        </w:rPr>
        <w:t>人民政府卫生行政部门责令限期改正，处5万元以上10万元以下的罚款；有第八项所列行为的，或</w:t>
      </w:r>
      <w:r>
        <w:rPr>
          <w:rFonts w:ascii="FangSong" w:hAnsi="FangSong" w:eastAsia="FangSong" w:cs="FangSong"/>
          <w:sz w:val="31"/>
          <w:szCs w:val="31"/>
          <w:spacing w:val="3"/>
        </w:rPr>
        <w:t xml:space="preserve"> </w:t>
      </w:r>
      <w:r>
        <w:rPr>
          <w:rFonts w:ascii="FangSong" w:hAnsi="FangSong" w:eastAsia="FangSong" w:cs="FangSong"/>
          <w:sz w:val="31"/>
          <w:szCs w:val="31"/>
          <w:spacing w:val="7"/>
        </w:rPr>
        <w:t>者有下列其他行为并且情节严重的，由省、</w:t>
      </w:r>
      <w:r>
        <w:rPr>
          <w:rFonts w:ascii="FangSong" w:hAnsi="FangSong" w:eastAsia="FangSong" w:cs="FangSong"/>
          <w:sz w:val="31"/>
          <w:szCs w:val="31"/>
          <w:spacing w:val="6"/>
        </w:rPr>
        <w:t>自治区、直辖市人民政府卫生行政部门吊销《单采血浆许</w:t>
      </w:r>
      <w:r>
        <w:rPr>
          <w:rFonts w:ascii="FangSong" w:hAnsi="FangSong" w:eastAsia="FangSong" w:cs="FangSong"/>
          <w:sz w:val="31"/>
          <w:szCs w:val="31"/>
        </w:rPr>
        <w:t xml:space="preserve"> </w:t>
      </w:r>
      <w:r>
        <w:rPr>
          <w:rFonts w:ascii="FangSong" w:hAnsi="FangSong" w:eastAsia="FangSong" w:cs="FangSong"/>
          <w:sz w:val="31"/>
          <w:szCs w:val="31"/>
          <w:spacing w:val="11"/>
        </w:rPr>
        <w:t>可证》;构成犯罪的，对负有直接责任的主管人员和其他直接责任人员依法追究刑事责任：</w:t>
      </w:r>
    </w:p>
    <w:p>
      <w:pPr>
        <w:ind w:right="12"/>
        <w:spacing w:before="1" w:line="221" w:lineRule="auto"/>
        <w:jc w:val="right"/>
        <w:rPr>
          <w:rFonts w:ascii="FangSong" w:hAnsi="FangSong" w:eastAsia="FangSong" w:cs="FangSong"/>
          <w:sz w:val="31"/>
          <w:szCs w:val="31"/>
        </w:rPr>
      </w:pPr>
      <w:r>
        <w:rPr>
          <w:rFonts w:ascii="FangSong" w:hAnsi="FangSong" w:eastAsia="FangSong" w:cs="FangSong"/>
          <w:sz w:val="31"/>
          <w:szCs w:val="31"/>
          <w:spacing w:val="11"/>
        </w:rPr>
        <w:t>(九)对污染的注射器、采血浆器材及不合格血浆等不经消毒处理，擅自倾倒，污染环境，造成</w:t>
      </w:r>
    </w:p>
    <w:p>
      <w:pPr>
        <w:spacing w:line="221" w:lineRule="auto"/>
        <w:sectPr>
          <w:footerReference w:type="default" r:id="rId388"/>
          <w:pgSz w:w="16830" w:h="11900"/>
          <w:pgMar w:top="1011" w:right="1425" w:bottom="1086" w:left="1325" w:header="0" w:footer="806" w:gutter="0"/>
        </w:sectPr>
        <w:rPr>
          <w:rFonts w:ascii="FangSong" w:hAnsi="FangSong" w:eastAsia="FangSong" w:cs="FangSong"/>
          <w:sz w:val="31"/>
          <w:szCs w:val="31"/>
        </w:rPr>
      </w:pPr>
    </w:p>
    <w:p>
      <w:pPr>
        <w:pStyle w:val="BodyText"/>
        <w:spacing w:line="275" w:lineRule="auto"/>
        <w:rPr/>
      </w:pPr>
      <w:r/>
    </w:p>
    <w:p>
      <w:pPr>
        <w:pStyle w:val="BodyText"/>
        <w:spacing w:line="275" w:lineRule="auto"/>
        <w:rPr/>
      </w:pPr>
      <w:r/>
    </w:p>
    <w:p>
      <w:pPr>
        <w:pStyle w:val="BodyText"/>
        <w:spacing w:line="276" w:lineRule="auto"/>
        <w:rPr/>
      </w:pPr>
      <w:r/>
    </w:p>
    <w:p>
      <w:pPr>
        <w:ind w:left="124"/>
        <w:spacing w:before="97" w:line="222" w:lineRule="auto"/>
        <w:rPr>
          <w:rFonts w:ascii="FangSong" w:hAnsi="FangSong" w:eastAsia="FangSong" w:cs="FangSong"/>
          <w:sz w:val="30"/>
          <w:szCs w:val="30"/>
        </w:rPr>
      </w:pPr>
      <w:r>
        <w:rPr>
          <w:rFonts w:ascii="FangSong" w:hAnsi="FangSong" w:eastAsia="FangSong" w:cs="FangSong"/>
          <w:sz w:val="30"/>
          <w:szCs w:val="30"/>
          <w:spacing w:val="6"/>
        </w:rPr>
        <w:t>社会危害的；</w:t>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6518"/>
        <w:spacing w:before="98" w:line="221" w:lineRule="auto"/>
        <w:rPr>
          <w:rFonts w:ascii="SimHei" w:hAnsi="SimHei" w:eastAsia="SimHei" w:cs="SimHei"/>
          <w:sz w:val="30"/>
          <w:szCs w:val="30"/>
        </w:rPr>
      </w:pPr>
      <w:bookmarkStart w:name="bookmark1041" w:id="412"/>
      <w:bookmarkEnd w:id="412"/>
      <w:r>
        <w:rPr>
          <w:rFonts w:ascii="SimHei" w:hAnsi="SimHei" w:eastAsia="SimHei" w:cs="SimHei"/>
          <w:sz w:val="30"/>
          <w:szCs w:val="30"/>
          <w:b/>
          <w:bCs/>
          <w:spacing w:val="-17"/>
        </w:rPr>
        <w:t>裁量标准</w:t>
      </w:r>
    </w:p>
    <w:p>
      <w:pPr>
        <w:spacing w:line="50" w:lineRule="exact"/>
        <w:rPr/>
      </w:pPr>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6875"/>
        <w:gridCol w:w="5671"/>
      </w:tblGrid>
      <w:tr>
        <w:trPr>
          <w:trHeight w:val="444" w:hRule="atLeast"/>
        </w:trPr>
        <w:tc>
          <w:tcPr>
            <w:tcW w:w="1434" w:type="dxa"/>
            <w:vAlign w:val="top"/>
          </w:tcPr>
          <w:p>
            <w:pPr>
              <w:pStyle w:val="TableText"/>
              <w:ind w:left="208"/>
              <w:spacing w:before="102" w:line="220" w:lineRule="auto"/>
              <w:rPr>
                <w:sz w:val="25"/>
                <w:szCs w:val="25"/>
              </w:rPr>
            </w:pPr>
            <w:r>
              <w:rPr>
                <w:sz w:val="25"/>
                <w:szCs w:val="25"/>
                <w:b/>
                <w:bCs/>
                <w:spacing w:val="-5"/>
              </w:rPr>
              <w:t>违法程度</w:t>
            </w:r>
          </w:p>
        </w:tc>
        <w:tc>
          <w:tcPr>
            <w:tcW w:w="6875" w:type="dxa"/>
            <w:vAlign w:val="top"/>
          </w:tcPr>
          <w:p>
            <w:pPr>
              <w:pStyle w:val="TableText"/>
              <w:ind w:left="2934"/>
              <w:spacing w:before="102" w:line="220" w:lineRule="auto"/>
              <w:rPr>
                <w:sz w:val="25"/>
                <w:szCs w:val="25"/>
              </w:rPr>
            </w:pPr>
            <w:r>
              <w:rPr>
                <w:sz w:val="25"/>
                <w:szCs w:val="25"/>
                <w:b/>
                <w:bCs/>
                <w:spacing w:val="-5"/>
              </w:rPr>
              <w:t>违法后果</w:t>
            </w:r>
          </w:p>
        </w:tc>
        <w:tc>
          <w:tcPr>
            <w:tcW w:w="5671" w:type="dxa"/>
            <w:vAlign w:val="top"/>
          </w:tcPr>
          <w:p>
            <w:pPr>
              <w:pStyle w:val="TableText"/>
              <w:ind w:left="2289"/>
              <w:spacing w:before="99" w:line="218" w:lineRule="auto"/>
              <w:rPr>
                <w:sz w:val="25"/>
                <w:szCs w:val="25"/>
              </w:rPr>
            </w:pPr>
            <w:r>
              <w:rPr>
                <w:sz w:val="25"/>
                <w:szCs w:val="25"/>
                <w:b/>
                <w:bCs/>
                <w:spacing w:val="-5"/>
              </w:rPr>
              <w:t>裁量幅度</w:t>
            </w:r>
          </w:p>
        </w:tc>
      </w:tr>
      <w:tr>
        <w:trPr>
          <w:trHeight w:val="688" w:hRule="atLeast"/>
        </w:trPr>
        <w:tc>
          <w:tcPr>
            <w:tcW w:w="1434" w:type="dxa"/>
            <w:vAlign w:val="top"/>
          </w:tcPr>
          <w:p>
            <w:pPr>
              <w:pStyle w:val="TableText"/>
              <w:ind w:left="458"/>
              <w:spacing w:before="219" w:line="221" w:lineRule="auto"/>
              <w:rPr>
                <w:sz w:val="25"/>
                <w:szCs w:val="25"/>
              </w:rPr>
            </w:pPr>
            <w:r>
              <w:rPr>
                <w:sz w:val="25"/>
                <w:szCs w:val="25"/>
                <w:b/>
                <w:bCs/>
                <w:spacing w:val="-10"/>
              </w:rPr>
              <w:t>一般</w:t>
            </w:r>
          </w:p>
        </w:tc>
        <w:tc>
          <w:tcPr>
            <w:tcW w:w="6875" w:type="dxa"/>
            <w:vAlign w:val="top"/>
          </w:tcPr>
          <w:p>
            <w:pPr>
              <w:pStyle w:val="TableText"/>
              <w:ind w:left="98" w:hanging="88"/>
              <w:spacing w:before="71" w:line="224" w:lineRule="auto"/>
              <w:rPr>
                <w:sz w:val="25"/>
                <w:szCs w:val="25"/>
              </w:rPr>
            </w:pPr>
            <w:r>
              <w:rPr>
                <w:sz w:val="25"/>
                <w:szCs w:val="25"/>
                <w:spacing w:val="-5"/>
              </w:rPr>
              <w:t>单采血浆站对污染的注射器、采血浆器材未按照</w:t>
            </w:r>
            <w:r>
              <w:rPr>
                <w:sz w:val="25"/>
                <w:szCs w:val="25"/>
                <w:spacing w:val="-6"/>
              </w:rPr>
              <w:t>相关要求处理，</w:t>
            </w:r>
            <w:r>
              <w:rPr>
                <w:sz w:val="25"/>
                <w:szCs w:val="25"/>
              </w:rPr>
              <w:t xml:space="preserve"> </w:t>
            </w:r>
            <w:r>
              <w:rPr>
                <w:sz w:val="25"/>
                <w:szCs w:val="25"/>
                <w:spacing w:val="-4"/>
              </w:rPr>
              <w:t>擅自倾倒，污染环境，造成社会危害的</w:t>
            </w:r>
          </w:p>
        </w:tc>
        <w:tc>
          <w:tcPr>
            <w:tcW w:w="5671" w:type="dxa"/>
            <w:vAlign w:val="top"/>
          </w:tcPr>
          <w:p>
            <w:pPr>
              <w:pStyle w:val="TableText"/>
              <w:ind w:left="115"/>
              <w:spacing w:before="219" w:line="219" w:lineRule="auto"/>
              <w:rPr>
                <w:sz w:val="25"/>
                <w:szCs w:val="25"/>
              </w:rPr>
            </w:pPr>
            <w:r>
              <w:rPr>
                <w:sz w:val="25"/>
                <w:szCs w:val="25"/>
              </w:rPr>
              <w:t>责令限期改正，处5万元以上8万元以下的罚款</w:t>
            </w:r>
          </w:p>
        </w:tc>
      </w:tr>
      <w:tr>
        <w:trPr>
          <w:trHeight w:val="668" w:hRule="atLeast"/>
        </w:trPr>
        <w:tc>
          <w:tcPr>
            <w:tcW w:w="1434" w:type="dxa"/>
            <w:vAlign w:val="top"/>
          </w:tcPr>
          <w:p>
            <w:pPr>
              <w:pStyle w:val="TableText"/>
              <w:ind w:left="458"/>
              <w:spacing w:before="213" w:line="221" w:lineRule="auto"/>
              <w:rPr>
                <w:sz w:val="25"/>
                <w:szCs w:val="25"/>
              </w:rPr>
            </w:pPr>
            <w:r>
              <w:rPr>
                <w:sz w:val="25"/>
                <w:szCs w:val="25"/>
                <w:b/>
                <w:bCs/>
                <w:spacing w:val="-6"/>
              </w:rPr>
              <w:t>较重</w:t>
            </w:r>
          </w:p>
        </w:tc>
        <w:tc>
          <w:tcPr>
            <w:tcW w:w="6875" w:type="dxa"/>
            <w:vAlign w:val="top"/>
          </w:tcPr>
          <w:p>
            <w:pPr>
              <w:pStyle w:val="TableText"/>
              <w:ind w:left="99" w:hanging="89"/>
              <w:spacing w:before="51" w:line="224" w:lineRule="auto"/>
              <w:rPr>
                <w:sz w:val="25"/>
                <w:szCs w:val="25"/>
              </w:rPr>
            </w:pPr>
            <w:r>
              <w:rPr>
                <w:sz w:val="25"/>
                <w:szCs w:val="25"/>
                <w:spacing w:val="-5"/>
              </w:rPr>
              <w:t>对不合格血浆不经消毒处理，擅自倾倒，污染环</w:t>
            </w:r>
            <w:r>
              <w:rPr>
                <w:sz w:val="25"/>
                <w:szCs w:val="25"/>
                <w:spacing w:val="-6"/>
              </w:rPr>
              <w:t>境，造成社会危</w:t>
            </w:r>
            <w:r>
              <w:rPr>
                <w:sz w:val="25"/>
                <w:szCs w:val="25"/>
              </w:rPr>
              <w:t xml:space="preserve"> </w:t>
            </w:r>
            <w:r>
              <w:rPr>
                <w:sz w:val="25"/>
                <w:szCs w:val="25"/>
                <w:spacing w:val="2"/>
              </w:rPr>
              <w:t>害，情节严重的</w:t>
            </w:r>
          </w:p>
        </w:tc>
        <w:tc>
          <w:tcPr>
            <w:tcW w:w="5671" w:type="dxa"/>
            <w:vAlign w:val="top"/>
          </w:tcPr>
          <w:p>
            <w:pPr>
              <w:pStyle w:val="TableText"/>
              <w:ind w:left="115"/>
              <w:spacing w:before="211" w:line="219" w:lineRule="auto"/>
              <w:rPr>
                <w:sz w:val="25"/>
                <w:szCs w:val="25"/>
              </w:rPr>
            </w:pPr>
            <w:r>
              <w:rPr>
                <w:sz w:val="25"/>
                <w:szCs w:val="25"/>
              </w:rPr>
              <w:t>责令限期改正，处8万元以上10万元以下的罚款</w:t>
            </w:r>
          </w:p>
        </w:tc>
      </w:tr>
      <w:tr>
        <w:trPr>
          <w:trHeight w:val="2039" w:hRule="atLeast"/>
        </w:trPr>
        <w:tc>
          <w:tcPr>
            <w:tcW w:w="1434"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6875" w:type="dxa"/>
            <w:vAlign w:val="top"/>
          </w:tcPr>
          <w:p>
            <w:pPr>
              <w:pStyle w:val="TableText"/>
              <w:ind w:left="50" w:firstLine="49"/>
              <w:spacing w:before="63" w:line="255" w:lineRule="auto"/>
              <w:rPr>
                <w:sz w:val="25"/>
                <w:szCs w:val="25"/>
              </w:rPr>
            </w:pPr>
            <w:r>
              <w:rPr>
                <w:sz w:val="25"/>
                <w:szCs w:val="25"/>
                <w:spacing w:val="-9"/>
              </w:rPr>
              <w:t>对污染的注射器、采血浆器材及不合格血浆等不经消毒处理，擅</w:t>
            </w:r>
            <w:r>
              <w:rPr>
                <w:sz w:val="25"/>
                <w:szCs w:val="25"/>
                <w:spacing w:val="15"/>
              </w:rPr>
              <w:t xml:space="preserve"> </w:t>
            </w:r>
            <w:r>
              <w:rPr>
                <w:sz w:val="25"/>
                <w:szCs w:val="25"/>
                <w:spacing w:val="2"/>
              </w:rPr>
              <w:t>自倾倒，污染环境，造成社会危害，有下列</w:t>
            </w:r>
            <w:r>
              <w:rPr>
                <w:sz w:val="25"/>
                <w:szCs w:val="25"/>
                <w:spacing w:val="1"/>
              </w:rPr>
              <w:t>情形之一的：(一)</w:t>
            </w:r>
          </w:p>
          <w:p>
            <w:pPr>
              <w:pStyle w:val="TableText"/>
              <w:ind w:left="240"/>
              <w:spacing w:line="218" w:lineRule="auto"/>
              <w:rPr>
                <w:sz w:val="25"/>
                <w:szCs w:val="25"/>
              </w:rPr>
            </w:pPr>
            <w:r>
              <w:rPr>
                <w:sz w:val="25"/>
                <w:szCs w:val="25"/>
              </w:rPr>
              <w:t>12个月内2次发生该违法行为的；(二)卫生行政部门责令限</w:t>
            </w:r>
          </w:p>
          <w:p>
            <w:pPr>
              <w:pStyle w:val="TableText"/>
              <w:ind w:left="10" w:firstLine="39"/>
              <w:spacing w:before="32" w:line="233" w:lineRule="auto"/>
              <w:rPr>
                <w:sz w:val="25"/>
                <w:szCs w:val="25"/>
              </w:rPr>
            </w:pPr>
            <w:r>
              <w:rPr>
                <w:sz w:val="25"/>
                <w:szCs w:val="25"/>
                <w:spacing w:val="-4"/>
              </w:rPr>
              <w:t>期改正而拒不改正的；(三)造成经血液途径传播的疾病传播或</w:t>
            </w:r>
            <w:r>
              <w:rPr>
                <w:sz w:val="25"/>
                <w:szCs w:val="25"/>
                <w:spacing w:val="1"/>
              </w:rPr>
              <w:t xml:space="preserve">  </w:t>
            </w:r>
            <w:r>
              <w:rPr>
                <w:sz w:val="25"/>
                <w:szCs w:val="25"/>
                <w:spacing w:val="-5"/>
              </w:rPr>
              <w:t>者造成其他严重伤害后果的；(四)同时有《血液制品管理条</w:t>
            </w:r>
            <w:r>
              <w:rPr>
                <w:sz w:val="25"/>
                <w:szCs w:val="25"/>
                <w:spacing w:val="-6"/>
              </w:rPr>
              <w:t>例》</w:t>
            </w:r>
            <w:r>
              <w:rPr>
                <w:sz w:val="25"/>
                <w:szCs w:val="25"/>
              </w:rPr>
              <w:t xml:space="preserve"> </w:t>
            </w:r>
            <w:r>
              <w:rPr>
                <w:sz w:val="25"/>
                <w:szCs w:val="25"/>
                <w:spacing w:val="3"/>
              </w:rPr>
              <w:t>第三十五条3项以上违法行为的</w:t>
            </w:r>
          </w:p>
        </w:tc>
        <w:tc>
          <w:tcPr>
            <w:tcW w:w="5671" w:type="dxa"/>
            <w:vAlign w:val="top"/>
          </w:tcPr>
          <w:p>
            <w:pPr>
              <w:spacing w:line="334" w:lineRule="auto"/>
              <w:rPr>
                <w:rFonts w:ascii="Arial"/>
                <w:sz w:val="21"/>
              </w:rPr>
            </w:pPr>
            <w:r/>
          </w:p>
          <w:p>
            <w:pPr>
              <w:spacing w:line="335" w:lineRule="auto"/>
              <w:rPr>
                <w:rFonts w:ascii="Arial"/>
                <w:sz w:val="21"/>
              </w:rPr>
            </w:pPr>
            <w:r/>
          </w:p>
          <w:p>
            <w:pPr>
              <w:pStyle w:val="TableText"/>
              <w:ind w:left="115" w:right="25" w:firstLine="9"/>
              <w:spacing w:before="81" w:line="262" w:lineRule="auto"/>
              <w:rPr>
                <w:sz w:val="25"/>
                <w:szCs w:val="25"/>
              </w:rPr>
            </w:pPr>
            <w:r>
              <w:rPr>
                <w:sz w:val="25"/>
                <w:szCs w:val="25"/>
              </w:rPr>
              <w:t>责令限期改正，处10万元罚款，并吊销《单采血浆</w:t>
            </w:r>
            <w:r>
              <w:rPr>
                <w:sz w:val="25"/>
                <w:szCs w:val="25"/>
                <w:spacing w:val="8"/>
              </w:rPr>
              <w:t xml:space="preserve"> </w:t>
            </w:r>
            <w:r>
              <w:rPr>
                <w:sz w:val="25"/>
                <w:szCs w:val="25"/>
                <w:spacing w:val="1"/>
              </w:rPr>
              <w:t>许可证》</w:t>
            </w:r>
          </w:p>
        </w:tc>
      </w:tr>
    </w:tbl>
    <w:p>
      <w:pPr>
        <w:pStyle w:val="BodyText"/>
        <w:spacing w:line="427" w:lineRule="auto"/>
        <w:rPr/>
      </w:pPr>
      <w:r/>
    </w:p>
    <w:p>
      <w:pPr>
        <w:ind w:left="769"/>
        <w:spacing w:before="97" w:line="220" w:lineRule="auto"/>
        <w:rPr>
          <w:rFonts w:ascii="FangSong" w:hAnsi="FangSong" w:eastAsia="FangSong" w:cs="FangSong"/>
          <w:sz w:val="30"/>
          <w:szCs w:val="30"/>
        </w:rPr>
      </w:pPr>
      <w:r>
        <w:rPr>
          <w:rFonts w:ascii="FangSong" w:hAnsi="FangSong" w:eastAsia="FangSong" w:cs="FangSong"/>
          <w:sz w:val="30"/>
          <w:szCs w:val="30"/>
          <w:b/>
          <w:bCs/>
          <w:spacing w:val="23"/>
        </w:rPr>
        <w:t>第三百四十四条单采血浆站重复使用一次性采血</w:t>
      </w:r>
      <w:r>
        <w:rPr>
          <w:rFonts w:ascii="FangSong" w:hAnsi="FangSong" w:eastAsia="FangSong" w:cs="FangSong"/>
          <w:sz w:val="30"/>
          <w:szCs w:val="30"/>
          <w:b/>
          <w:bCs/>
          <w:spacing w:val="22"/>
        </w:rPr>
        <w:t>浆器材的</w:t>
      </w:r>
    </w:p>
    <w:p>
      <w:pPr>
        <w:ind w:left="764"/>
        <w:spacing w:before="80" w:line="222" w:lineRule="auto"/>
        <w:rPr>
          <w:rFonts w:ascii="FangSong" w:hAnsi="FangSong" w:eastAsia="FangSong" w:cs="FangSong"/>
          <w:sz w:val="30"/>
          <w:szCs w:val="30"/>
        </w:rPr>
      </w:pPr>
      <w:r>
        <w:rPr>
          <w:rFonts w:ascii="FangSong" w:hAnsi="FangSong" w:eastAsia="FangSong" w:cs="FangSong"/>
          <w:sz w:val="30"/>
          <w:szCs w:val="30"/>
          <w:spacing w:val="14"/>
        </w:rPr>
        <w:t>法律依据</w:t>
      </w:r>
    </w:p>
    <w:p>
      <w:pPr>
        <w:spacing w:before="87" w:line="221" w:lineRule="auto"/>
        <w:jc w:val="right"/>
        <w:rPr>
          <w:rFonts w:ascii="FangSong" w:hAnsi="FangSong" w:eastAsia="FangSong" w:cs="FangSong"/>
          <w:sz w:val="30"/>
          <w:szCs w:val="30"/>
        </w:rPr>
      </w:pPr>
      <w:r>
        <w:rPr>
          <w:rFonts w:ascii="FangSong" w:hAnsi="FangSong" w:eastAsia="FangSong" w:cs="FangSong"/>
          <w:sz w:val="30"/>
          <w:szCs w:val="30"/>
          <w:spacing w:val="23"/>
        </w:rPr>
        <w:t>《血液制品管理条例》第三十五条第(十)项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单采血浆站有下列行为之一的，由县级以上地方</w:t>
      </w:r>
    </w:p>
    <w:p>
      <w:pPr>
        <w:spacing w:line="221" w:lineRule="auto"/>
        <w:sectPr>
          <w:footerReference w:type="default" r:id="rId389"/>
          <w:pgSz w:w="16830" w:h="11900"/>
          <w:pgMar w:top="1011" w:right="1460" w:bottom="1118" w:left="1325" w:header="0" w:footer="785" w:gutter="0"/>
        </w:sectPr>
        <w:rPr>
          <w:rFonts w:ascii="FangSong" w:hAnsi="FangSong" w:eastAsia="FangSong" w:cs="FangSong"/>
          <w:sz w:val="30"/>
          <w:szCs w:val="30"/>
        </w:rPr>
      </w:pPr>
    </w:p>
    <w:p>
      <w:pPr>
        <w:pStyle w:val="BodyText"/>
        <w:spacing w:line="257" w:lineRule="auto"/>
        <w:rPr/>
      </w:pPr>
      <w:r/>
    </w:p>
    <w:p>
      <w:pPr>
        <w:pStyle w:val="BodyText"/>
        <w:spacing w:line="257" w:lineRule="auto"/>
        <w:rPr/>
      </w:pPr>
      <w:r/>
    </w:p>
    <w:p>
      <w:pPr>
        <w:pStyle w:val="BodyText"/>
        <w:spacing w:line="257" w:lineRule="auto"/>
        <w:rPr/>
      </w:pPr>
      <w:r/>
    </w:p>
    <w:p>
      <w:pPr>
        <w:ind w:left="124" w:right="67"/>
        <w:spacing w:before="97" w:line="271" w:lineRule="auto"/>
        <w:jc w:val="both"/>
        <w:rPr>
          <w:rFonts w:ascii="FangSong" w:hAnsi="FangSong" w:eastAsia="FangSong" w:cs="FangSong"/>
          <w:sz w:val="30"/>
          <w:szCs w:val="30"/>
        </w:rPr>
      </w:pPr>
      <w:bookmarkStart w:name="bookmark1042" w:id="413"/>
      <w:bookmarkEnd w:id="413"/>
      <w:r>
        <w:rPr>
          <w:rFonts w:ascii="FangSong" w:hAnsi="FangSong" w:eastAsia="FangSong" w:cs="FangSong"/>
          <w:sz w:val="30"/>
          <w:szCs w:val="30"/>
          <w:spacing w:val="18"/>
        </w:rPr>
        <w:t>人民政府卫生行政部门责令限期改正，处5</w:t>
      </w:r>
      <w:r>
        <w:rPr>
          <w:rFonts w:ascii="FangSong" w:hAnsi="FangSong" w:eastAsia="FangSong" w:cs="FangSong"/>
          <w:sz w:val="30"/>
          <w:szCs w:val="30"/>
          <w:spacing w:val="76"/>
        </w:rPr>
        <w:t xml:space="preserve"> </w:t>
      </w:r>
      <w:r>
        <w:rPr>
          <w:rFonts w:ascii="FangSong" w:hAnsi="FangSong" w:eastAsia="FangSong" w:cs="FangSong"/>
          <w:sz w:val="30"/>
          <w:szCs w:val="30"/>
          <w:spacing w:val="18"/>
        </w:rPr>
        <w:t>万元以上10</w:t>
      </w:r>
      <w:r>
        <w:rPr>
          <w:rFonts w:ascii="FangSong" w:hAnsi="FangSong" w:eastAsia="FangSong" w:cs="FangSong"/>
          <w:sz w:val="30"/>
          <w:szCs w:val="30"/>
          <w:spacing w:val="18"/>
        </w:rPr>
        <w:t xml:space="preserve"> </w:t>
      </w:r>
      <w:r>
        <w:rPr>
          <w:rFonts w:ascii="FangSong" w:hAnsi="FangSong" w:eastAsia="FangSong" w:cs="FangSong"/>
          <w:sz w:val="30"/>
          <w:szCs w:val="30"/>
          <w:spacing w:val="18"/>
        </w:rPr>
        <w:t>万元以下的罚款；有第八项所列行为的，或</w:t>
      </w:r>
      <w:r>
        <w:rPr>
          <w:rFonts w:ascii="FangSong" w:hAnsi="FangSong" w:eastAsia="FangSong" w:cs="FangSong"/>
          <w:sz w:val="30"/>
          <w:szCs w:val="30"/>
        </w:rPr>
        <w:t xml:space="preserve"> </w:t>
      </w:r>
      <w:r>
        <w:rPr>
          <w:rFonts w:ascii="FangSong" w:hAnsi="FangSong" w:eastAsia="FangSong" w:cs="FangSong"/>
          <w:sz w:val="30"/>
          <w:szCs w:val="30"/>
          <w:spacing w:val="17"/>
        </w:rPr>
        <w:t>者有下列其他行为并且情节严重的，由省、自治区、直辖市人民</w:t>
      </w:r>
      <w:r>
        <w:rPr>
          <w:rFonts w:ascii="FangSong" w:hAnsi="FangSong" w:eastAsia="FangSong" w:cs="FangSong"/>
          <w:sz w:val="30"/>
          <w:szCs w:val="30"/>
          <w:spacing w:val="16"/>
        </w:rPr>
        <w:t>政府卫生行政部门吊销《单采血浆许</w:t>
      </w:r>
      <w:r>
        <w:rPr>
          <w:rFonts w:ascii="FangSong" w:hAnsi="FangSong" w:eastAsia="FangSong" w:cs="FangSong"/>
          <w:sz w:val="30"/>
          <w:szCs w:val="30"/>
        </w:rPr>
        <w:t xml:space="preserve"> </w:t>
      </w:r>
      <w:r>
        <w:rPr>
          <w:rFonts w:ascii="FangSong" w:hAnsi="FangSong" w:eastAsia="FangSong" w:cs="FangSong"/>
          <w:sz w:val="30"/>
          <w:szCs w:val="30"/>
          <w:spacing w:val="21"/>
        </w:rPr>
        <w:t>可证》;构成犯罪的，对负有直接责任的主管人员和其他直接责任人员依法追究刑事责任：</w:t>
      </w:r>
    </w:p>
    <w:p>
      <w:pPr>
        <w:ind w:left="914"/>
        <w:spacing w:line="220" w:lineRule="auto"/>
        <w:rPr>
          <w:rFonts w:ascii="FangSong" w:hAnsi="FangSong" w:eastAsia="FangSong" w:cs="FangSong"/>
          <w:sz w:val="30"/>
          <w:szCs w:val="30"/>
        </w:rPr>
      </w:pPr>
      <w:r>
        <w:rPr>
          <w:rFonts w:ascii="FangSong" w:hAnsi="FangSong" w:eastAsia="FangSong" w:cs="FangSong"/>
          <w:sz w:val="30"/>
          <w:szCs w:val="30"/>
          <w:spacing w:val="22"/>
        </w:rPr>
        <w:t>(十)重复使用一次性采血浆器材的；</w:t>
      </w:r>
    </w:p>
    <w:p>
      <w:pPr>
        <w:ind w:left="6519"/>
        <w:spacing w:before="191" w:line="221" w:lineRule="auto"/>
        <w:rPr>
          <w:rFonts w:ascii="SimHei" w:hAnsi="SimHei" w:eastAsia="SimHei" w:cs="SimHei"/>
          <w:sz w:val="30"/>
          <w:szCs w:val="30"/>
        </w:rPr>
      </w:pPr>
      <w:r>
        <w:rPr>
          <w:rFonts w:ascii="SimHei" w:hAnsi="SimHei" w:eastAsia="SimHei" w:cs="SimHei"/>
          <w:sz w:val="30"/>
          <w:szCs w:val="30"/>
          <w:b/>
          <w:bCs/>
          <w:spacing w:val="-15"/>
        </w:rPr>
        <w:t>裁量标准</w:t>
      </w:r>
    </w:p>
    <w:p>
      <w:pPr>
        <w:spacing w:line="70" w:lineRule="exact"/>
        <w:rPr/>
      </w:pPr>
      <w:r/>
    </w:p>
    <w:tbl>
      <w:tblPr>
        <w:tblStyle w:val="TableNormal"/>
        <w:tblW w:w="1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6705"/>
        <w:gridCol w:w="5971"/>
      </w:tblGrid>
      <w:tr>
        <w:trPr>
          <w:trHeight w:val="424" w:hRule="atLeast"/>
        </w:trPr>
        <w:tc>
          <w:tcPr>
            <w:tcW w:w="1444" w:type="dxa"/>
            <w:vAlign w:val="top"/>
          </w:tcPr>
          <w:p>
            <w:pPr>
              <w:pStyle w:val="TableText"/>
              <w:ind w:left="218"/>
              <w:spacing w:before="92" w:line="220" w:lineRule="auto"/>
              <w:rPr>
                <w:sz w:val="25"/>
                <w:szCs w:val="25"/>
              </w:rPr>
            </w:pPr>
            <w:r>
              <w:rPr>
                <w:sz w:val="25"/>
                <w:szCs w:val="25"/>
                <w:b/>
                <w:bCs/>
                <w:spacing w:val="-5"/>
              </w:rPr>
              <w:t>违法程度</w:t>
            </w:r>
          </w:p>
        </w:tc>
        <w:tc>
          <w:tcPr>
            <w:tcW w:w="6705" w:type="dxa"/>
            <w:vAlign w:val="top"/>
          </w:tcPr>
          <w:p>
            <w:pPr>
              <w:pStyle w:val="TableText"/>
              <w:ind w:left="2844"/>
              <w:spacing w:before="92" w:line="220" w:lineRule="auto"/>
              <w:rPr>
                <w:sz w:val="25"/>
                <w:szCs w:val="25"/>
              </w:rPr>
            </w:pPr>
            <w:r>
              <w:rPr>
                <w:sz w:val="25"/>
                <w:szCs w:val="25"/>
                <w:b/>
                <w:bCs/>
                <w:spacing w:val="-5"/>
              </w:rPr>
              <w:t>违法后果</w:t>
            </w:r>
          </w:p>
        </w:tc>
        <w:tc>
          <w:tcPr>
            <w:tcW w:w="5971" w:type="dxa"/>
            <w:vAlign w:val="top"/>
          </w:tcPr>
          <w:p>
            <w:pPr>
              <w:pStyle w:val="TableText"/>
              <w:ind w:left="2419"/>
              <w:spacing w:before="89" w:line="218" w:lineRule="auto"/>
              <w:rPr>
                <w:sz w:val="25"/>
                <w:szCs w:val="25"/>
              </w:rPr>
            </w:pPr>
            <w:r>
              <w:rPr>
                <w:sz w:val="25"/>
                <w:szCs w:val="25"/>
                <w:b/>
                <w:bCs/>
                <w:spacing w:val="-5"/>
              </w:rPr>
              <w:t>裁量幅度</w:t>
            </w:r>
          </w:p>
        </w:tc>
      </w:tr>
      <w:tr>
        <w:trPr>
          <w:trHeight w:val="418" w:hRule="atLeast"/>
        </w:trPr>
        <w:tc>
          <w:tcPr>
            <w:tcW w:w="1444" w:type="dxa"/>
            <w:vAlign w:val="top"/>
          </w:tcPr>
          <w:p>
            <w:pPr>
              <w:pStyle w:val="TableText"/>
              <w:ind w:left="468"/>
              <w:spacing w:before="89" w:line="221" w:lineRule="auto"/>
              <w:rPr>
                <w:sz w:val="25"/>
                <w:szCs w:val="25"/>
              </w:rPr>
            </w:pPr>
            <w:r>
              <w:rPr>
                <w:sz w:val="25"/>
                <w:szCs w:val="25"/>
                <w:b/>
                <w:bCs/>
                <w:spacing w:val="-10"/>
              </w:rPr>
              <w:t>一般</w:t>
            </w:r>
          </w:p>
        </w:tc>
        <w:tc>
          <w:tcPr>
            <w:tcW w:w="6705" w:type="dxa"/>
            <w:vAlign w:val="top"/>
          </w:tcPr>
          <w:p>
            <w:pPr>
              <w:pStyle w:val="TableText"/>
              <w:ind w:left="101"/>
              <w:spacing w:before="89" w:line="219" w:lineRule="auto"/>
              <w:rPr>
                <w:sz w:val="25"/>
                <w:szCs w:val="25"/>
              </w:rPr>
            </w:pPr>
            <w:r>
              <w:rPr>
                <w:sz w:val="25"/>
                <w:szCs w:val="25"/>
                <w:spacing w:val="1"/>
              </w:rPr>
              <w:t>单采血浆站重复使用一次性采血浆器材的</w:t>
            </w:r>
          </w:p>
        </w:tc>
        <w:tc>
          <w:tcPr>
            <w:tcW w:w="5971" w:type="dxa"/>
            <w:vAlign w:val="top"/>
          </w:tcPr>
          <w:p>
            <w:pPr>
              <w:pStyle w:val="TableText"/>
              <w:ind w:left="105"/>
              <w:spacing w:before="89" w:line="219" w:lineRule="auto"/>
              <w:rPr>
                <w:sz w:val="25"/>
                <w:szCs w:val="25"/>
              </w:rPr>
            </w:pPr>
            <w:r>
              <w:rPr>
                <w:sz w:val="25"/>
                <w:szCs w:val="25"/>
              </w:rPr>
              <w:t>责令限期改正，处5万元以上8万元以下的罚款</w:t>
            </w:r>
          </w:p>
        </w:tc>
      </w:tr>
      <w:tr>
        <w:trPr>
          <w:trHeight w:val="678" w:hRule="atLeast"/>
        </w:trPr>
        <w:tc>
          <w:tcPr>
            <w:tcW w:w="1444" w:type="dxa"/>
            <w:vAlign w:val="top"/>
          </w:tcPr>
          <w:p>
            <w:pPr>
              <w:pStyle w:val="TableText"/>
              <w:ind w:left="468"/>
              <w:spacing w:before="220" w:line="220" w:lineRule="auto"/>
              <w:rPr>
                <w:sz w:val="25"/>
                <w:szCs w:val="25"/>
              </w:rPr>
            </w:pPr>
            <w:r>
              <w:rPr>
                <w:sz w:val="25"/>
                <w:szCs w:val="25"/>
                <w:b/>
                <w:bCs/>
                <w:spacing w:val="-6"/>
              </w:rPr>
              <w:t>严重</w:t>
            </w:r>
          </w:p>
        </w:tc>
        <w:tc>
          <w:tcPr>
            <w:tcW w:w="6705" w:type="dxa"/>
            <w:vAlign w:val="top"/>
          </w:tcPr>
          <w:p>
            <w:pPr>
              <w:pStyle w:val="TableText"/>
              <w:ind w:left="100" w:hanging="89"/>
              <w:spacing w:before="53" w:line="227" w:lineRule="auto"/>
              <w:rPr>
                <w:sz w:val="25"/>
                <w:szCs w:val="25"/>
              </w:rPr>
            </w:pPr>
            <w:r>
              <w:rPr>
                <w:sz w:val="25"/>
                <w:szCs w:val="25"/>
                <w:spacing w:val="-3"/>
              </w:rPr>
              <w:t>重复使用一次性采血浆器材，数量较大、次数较多，情节严重</w:t>
            </w:r>
            <w:r>
              <w:rPr>
                <w:sz w:val="25"/>
                <w:szCs w:val="25"/>
                <w:spacing w:val="13"/>
              </w:rPr>
              <w:t xml:space="preserve"> </w:t>
            </w:r>
            <w:r>
              <w:rPr>
                <w:sz w:val="25"/>
                <w:szCs w:val="25"/>
              </w:rPr>
              <w:t>的</w:t>
            </w:r>
          </w:p>
        </w:tc>
        <w:tc>
          <w:tcPr>
            <w:tcW w:w="5971" w:type="dxa"/>
            <w:vAlign w:val="top"/>
          </w:tcPr>
          <w:p>
            <w:pPr>
              <w:pStyle w:val="TableText"/>
              <w:ind w:left="105"/>
              <w:spacing w:before="221" w:line="219" w:lineRule="auto"/>
              <w:rPr>
                <w:sz w:val="25"/>
                <w:szCs w:val="25"/>
              </w:rPr>
            </w:pPr>
            <w:r>
              <w:rPr>
                <w:sz w:val="25"/>
                <w:szCs w:val="25"/>
              </w:rPr>
              <w:t>责令限期改正，处8万元以上10万元以下的罚款</w:t>
            </w:r>
          </w:p>
        </w:tc>
      </w:tr>
      <w:tr>
        <w:trPr>
          <w:trHeight w:val="1360" w:hRule="atLeast"/>
        </w:trPr>
        <w:tc>
          <w:tcPr>
            <w:tcW w:w="1444" w:type="dxa"/>
            <w:vAlign w:val="top"/>
          </w:tcPr>
          <w:p>
            <w:pPr>
              <w:spacing w:line="477" w:lineRule="auto"/>
              <w:rPr>
                <w:rFonts w:ascii="Arial"/>
                <w:sz w:val="21"/>
              </w:rPr>
            </w:pPr>
            <w:r/>
          </w:p>
          <w:p>
            <w:pPr>
              <w:pStyle w:val="TableText"/>
              <w:ind w:left="218"/>
              <w:spacing w:before="81" w:line="219" w:lineRule="auto"/>
              <w:rPr>
                <w:sz w:val="25"/>
                <w:szCs w:val="25"/>
              </w:rPr>
            </w:pPr>
            <w:r>
              <w:rPr>
                <w:sz w:val="25"/>
                <w:szCs w:val="25"/>
                <w:b/>
                <w:bCs/>
                <w:spacing w:val="-5"/>
              </w:rPr>
              <w:t>特别严重</w:t>
            </w:r>
          </w:p>
        </w:tc>
        <w:tc>
          <w:tcPr>
            <w:tcW w:w="6705" w:type="dxa"/>
            <w:vAlign w:val="top"/>
          </w:tcPr>
          <w:p>
            <w:pPr>
              <w:pStyle w:val="TableText"/>
              <w:ind w:left="11"/>
              <w:spacing w:before="66" w:line="237" w:lineRule="auto"/>
              <w:jc w:val="both"/>
              <w:rPr>
                <w:sz w:val="25"/>
                <w:szCs w:val="25"/>
              </w:rPr>
            </w:pPr>
            <w:r>
              <w:rPr>
                <w:sz w:val="25"/>
                <w:szCs w:val="25"/>
                <w:spacing w:val="-3"/>
              </w:rPr>
              <w:t>重复使用一次性采血浆器材的，造成经血途径疾病传播、人身</w:t>
            </w:r>
            <w:r>
              <w:rPr>
                <w:sz w:val="25"/>
                <w:szCs w:val="25"/>
                <w:spacing w:val="13"/>
              </w:rPr>
              <w:t xml:space="preserve"> </w:t>
            </w:r>
            <w:r>
              <w:rPr>
                <w:sz w:val="25"/>
                <w:szCs w:val="25"/>
                <w:spacing w:val="3"/>
              </w:rPr>
              <w:t>伤害、死亡等严重后果的；或12个月内发生两次该</w:t>
            </w:r>
            <w:r>
              <w:rPr>
                <w:sz w:val="25"/>
                <w:szCs w:val="25"/>
                <w:spacing w:val="2"/>
              </w:rPr>
              <w:t>违法行为</w:t>
            </w:r>
            <w:r>
              <w:rPr>
                <w:sz w:val="25"/>
                <w:szCs w:val="25"/>
              </w:rPr>
              <w:t xml:space="preserve">  </w:t>
            </w:r>
            <w:r>
              <w:rPr>
                <w:sz w:val="25"/>
                <w:szCs w:val="25"/>
                <w:spacing w:val="-12"/>
              </w:rPr>
              <w:t>的；或卫生行政部门责令限期改正而拒不改正的；或同时有《血</w:t>
            </w:r>
            <w:r>
              <w:rPr>
                <w:sz w:val="25"/>
                <w:szCs w:val="25"/>
                <w:spacing w:val="10"/>
              </w:rPr>
              <w:t xml:space="preserve"> </w:t>
            </w:r>
            <w:r>
              <w:rPr>
                <w:sz w:val="25"/>
                <w:szCs w:val="25"/>
                <w:spacing w:val="5"/>
              </w:rPr>
              <w:t>液制品管理条例》第三十五条3项以上违法行为的</w:t>
            </w:r>
          </w:p>
        </w:tc>
        <w:tc>
          <w:tcPr>
            <w:tcW w:w="5971" w:type="dxa"/>
            <w:vAlign w:val="top"/>
          </w:tcPr>
          <w:p>
            <w:pPr>
              <w:spacing w:line="321" w:lineRule="auto"/>
              <w:rPr>
                <w:rFonts w:ascii="Arial"/>
                <w:sz w:val="21"/>
              </w:rPr>
            </w:pPr>
            <w:r/>
          </w:p>
          <w:p>
            <w:pPr>
              <w:pStyle w:val="TableText"/>
              <w:ind w:left="105" w:firstLine="10"/>
              <w:spacing w:before="82" w:line="276" w:lineRule="auto"/>
              <w:rPr>
                <w:sz w:val="25"/>
                <w:szCs w:val="25"/>
              </w:rPr>
            </w:pPr>
            <w:r>
              <w:rPr>
                <w:sz w:val="25"/>
                <w:szCs w:val="25"/>
                <w:spacing w:val="-7"/>
              </w:rPr>
              <w:t>责令限期改正，处10万元罚款，并吊销《单采血浆许可</w:t>
            </w:r>
            <w:r>
              <w:rPr>
                <w:sz w:val="25"/>
                <w:szCs w:val="25"/>
                <w:spacing w:val="18"/>
              </w:rPr>
              <w:t xml:space="preserve"> </w:t>
            </w:r>
            <w:r>
              <w:rPr>
                <w:sz w:val="25"/>
                <w:szCs w:val="25"/>
                <w:spacing w:val="2"/>
              </w:rPr>
              <w:t>证》</w:t>
            </w:r>
          </w:p>
        </w:tc>
      </w:tr>
    </w:tbl>
    <w:p>
      <w:pPr>
        <w:pStyle w:val="BodyText"/>
        <w:spacing w:line="427" w:lineRule="auto"/>
        <w:rPr/>
      </w:pPr>
      <w:r/>
    </w:p>
    <w:p>
      <w:pPr>
        <w:ind w:left="129" w:right="367" w:firstLine="660"/>
        <w:spacing w:before="97" w:line="267" w:lineRule="auto"/>
        <w:rPr>
          <w:rFonts w:ascii="FangSong" w:hAnsi="FangSong" w:eastAsia="FangSong" w:cs="FangSong"/>
          <w:sz w:val="30"/>
          <w:szCs w:val="30"/>
        </w:rPr>
      </w:pPr>
      <w:r>
        <w:rPr>
          <w:rFonts w:ascii="FangSong" w:hAnsi="FangSong" w:eastAsia="FangSong" w:cs="FangSong"/>
          <w:sz w:val="30"/>
          <w:szCs w:val="30"/>
          <w:b/>
          <w:bCs/>
          <w:spacing w:val="21"/>
        </w:rPr>
        <w:t>第三百四十五条单采血浆站向与其签订质量责任书的血液制品生产单位以外的其他单位供应</w:t>
      </w:r>
      <w:r>
        <w:rPr>
          <w:rFonts w:ascii="FangSong" w:hAnsi="FangSong" w:eastAsia="FangSong" w:cs="FangSong"/>
          <w:sz w:val="30"/>
          <w:szCs w:val="30"/>
          <w:spacing w:val="5"/>
        </w:rPr>
        <w:t xml:space="preserve"> </w:t>
      </w:r>
      <w:r>
        <w:rPr>
          <w:rFonts w:ascii="FangSong" w:hAnsi="FangSong" w:eastAsia="FangSong" w:cs="FangSong"/>
          <w:sz w:val="30"/>
          <w:szCs w:val="30"/>
          <w:b/>
          <w:bCs/>
          <w:spacing w:val="11"/>
        </w:rPr>
        <w:t>原料血浆的</w:t>
      </w:r>
    </w:p>
    <w:p>
      <w:pPr>
        <w:ind w:left="774"/>
        <w:spacing w:before="1" w:line="222" w:lineRule="auto"/>
        <w:rPr>
          <w:rFonts w:ascii="FangSong" w:hAnsi="FangSong" w:eastAsia="FangSong" w:cs="FangSong"/>
          <w:sz w:val="30"/>
          <w:szCs w:val="30"/>
        </w:rPr>
      </w:pPr>
      <w:r>
        <w:rPr>
          <w:rFonts w:ascii="FangSong" w:hAnsi="FangSong" w:eastAsia="FangSong" w:cs="FangSong"/>
          <w:sz w:val="30"/>
          <w:szCs w:val="30"/>
          <w:spacing w:val="17"/>
        </w:rPr>
        <w:t>法律依据</w:t>
      </w:r>
    </w:p>
    <w:p>
      <w:pPr>
        <w:ind w:left="124" w:right="71" w:firstLine="619"/>
        <w:spacing w:before="87" w:line="283" w:lineRule="auto"/>
        <w:rPr>
          <w:rFonts w:ascii="FangSong" w:hAnsi="FangSong" w:eastAsia="FangSong" w:cs="FangSong"/>
          <w:sz w:val="30"/>
          <w:szCs w:val="30"/>
        </w:rPr>
      </w:pPr>
      <w:r>
        <w:rPr>
          <w:rFonts w:ascii="FangSong" w:hAnsi="FangSong" w:eastAsia="FangSong" w:cs="FangSong"/>
          <w:sz w:val="30"/>
          <w:szCs w:val="30"/>
          <w:spacing w:val="24"/>
        </w:rPr>
        <w:t>《血液制品管理条例》第三十五条第(十一)项</w:t>
      </w:r>
      <w:r>
        <w:rPr>
          <w:rFonts w:ascii="FangSong" w:hAnsi="FangSong" w:eastAsia="FangSong" w:cs="FangSong"/>
          <w:sz w:val="30"/>
          <w:szCs w:val="30"/>
          <w:spacing w:val="24"/>
        </w:rPr>
        <w:t xml:space="preserve">  </w:t>
      </w:r>
      <w:r>
        <w:rPr>
          <w:rFonts w:ascii="FangSong" w:hAnsi="FangSong" w:eastAsia="FangSong" w:cs="FangSong"/>
          <w:sz w:val="30"/>
          <w:szCs w:val="30"/>
          <w:spacing w:val="23"/>
        </w:rPr>
        <w:t>单采血浆站有下列行为之一的，由县级以上地</w:t>
      </w:r>
      <w:r>
        <w:rPr>
          <w:rFonts w:ascii="FangSong" w:hAnsi="FangSong" w:eastAsia="FangSong" w:cs="FangSong"/>
          <w:sz w:val="30"/>
          <w:szCs w:val="30"/>
        </w:rPr>
        <w:t xml:space="preserve"> </w:t>
      </w:r>
      <w:r>
        <w:rPr>
          <w:rFonts w:ascii="FangSong" w:hAnsi="FangSong" w:eastAsia="FangSong" w:cs="FangSong"/>
          <w:sz w:val="30"/>
          <w:szCs w:val="30"/>
          <w:spacing w:val="22"/>
        </w:rPr>
        <w:t>方人民政府卫生行政部门责令限期改正，处5万元以上10</w:t>
      </w:r>
      <w:r>
        <w:rPr>
          <w:rFonts w:ascii="FangSong" w:hAnsi="FangSong" w:eastAsia="FangSong" w:cs="FangSong"/>
          <w:sz w:val="30"/>
          <w:szCs w:val="30"/>
          <w:spacing w:val="54"/>
        </w:rPr>
        <w:t xml:space="preserve"> </w:t>
      </w:r>
      <w:r>
        <w:rPr>
          <w:rFonts w:ascii="FangSong" w:hAnsi="FangSong" w:eastAsia="FangSong" w:cs="FangSong"/>
          <w:sz w:val="30"/>
          <w:szCs w:val="30"/>
          <w:spacing w:val="22"/>
        </w:rPr>
        <w:t>万元以下的罚款；有第八项所列行</w:t>
      </w:r>
      <w:r>
        <w:rPr>
          <w:rFonts w:ascii="FangSong" w:hAnsi="FangSong" w:eastAsia="FangSong" w:cs="FangSong"/>
          <w:sz w:val="30"/>
          <w:szCs w:val="30"/>
          <w:spacing w:val="21"/>
        </w:rPr>
        <w:t>为的，</w:t>
      </w:r>
    </w:p>
    <w:p>
      <w:pPr>
        <w:spacing w:line="283" w:lineRule="auto"/>
        <w:sectPr>
          <w:footerReference w:type="default" r:id="rId390"/>
          <w:pgSz w:w="16830" w:h="11900"/>
          <w:pgMar w:top="1011" w:right="1384" w:bottom="1117" w:left="1314" w:header="0" w:footer="784" w:gutter="0"/>
        </w:sectPr>
        <w:rPr>
          <w:rFonts w:ascii="FangSong" w:hAnsi="FangSong" w:eastAsia="FangSong" w:cs="FangSong"/>
          <w:sz w:val="30"/>
          <w:szCs w:val="30"/>
        </w:rPr>
      </w:pPr>
    </w:p>
    <w:p>
      <w:pPr>
        <w:pStyle w:val="BodyText"/>
        <w:spacing w:line="254" w:lineRule="auto"/>
        <w:rPr/>
      </w:pPr>
      <w:r/>
    </w:p>
    <w:p>
      <w:pPr>
        <w:pStyle w:val="BodyText"/>
        <w:spacing w:line="254" w:lineRule="auto"/>
        <w:rPr/>
      </w:pPr>
      <w:r/>
    </w:p>
    <w:p>
      <w:pPr>
        <w:pStyle w:val="BodyText"/>
        <w:spacing w:line="254" w:lineRule="auto"/>
        <w:rPr/>
      </w:pPr>
      <w:r/>
    </w:p>
    <w:p>
      <w:pPr>
        <w:ind w:left="115" w:right="85"/>
        <w:spacing w:before="98" w:line="283" w:lineRule="auto"/>
        <w:rPr>
          <w:rFonts w:ascii="FangSong" w:hAnsi="FangSong" w:eastAsia="FangSong" w:cs="FangSong"/>
          <w:sz w:val="30"/>
          <w:szCs w:val="30"/>
        </w:rPr>
      </w:pPr>
      <w:bookmarkStart w:name="bookmark1043" w:id="414"/>
      <w:bookmarkEnd w:id="414"/>
      <w:r>
        <w:rPr>
          <w:rFonts w:ascii="FangSong" w:hAnsi="FangSong" w:eastAsia="FangSong" w:cs="FangSong"/>
          <w:sz w:val="30"/>
          <w:szCs w:val="30"/>
          <w:spacing w:val="17"/>
        </w:rPr>
        <w:t>或者有下列其他行为并且情节严重的，由省、自治区、</w:t>
      </w:r>
      <w:r>
        <w:rPr>
          <w:rFonts w:ascii="FangSong" w:hAnsi="FangSong" w:eastAsia="FangSong" w:cs="FangSong"/>
          <w:sz w:val="30"/>
          <w:szCs w:val="30"/>
          <w:spacing w:val="16"/>
        </w:rPr>
        <w:t>直辖市人民政府卫生行政部门吊销《单采血浆</w:t>
      </w:r>
      <w:r>
        <w:rPr>
          <w:rFonts w:ascii="FangSong" w:hAnsi="FangSong" w:eastAsia="FangSong" w:cs="FangSong"/>
          <w:sz w:val="30"/>
          <w:szCs w:val="30"/>
        </w:rPr>
        <w:t xml:space="preserve"> </w:t>
      </w:r>
      <w:r>
        <w:rPr>
          <w:rFonts w:ascii="FangSong" w:hAnsi="FangSong" w:eastAsia="FangSong" w:cs="FangSong"/>
          <w:sz w:val="30"/>
          <w:szCs w:val="30"/>
          <w:spacing w:val="21"/>
        </w:rPr>
        <w:t>许可证》;构成犯罪的，对负有直接责任的主管人员和其他直接责任人员依法追究刑事责任：</w:t>
      </w:r>
    </w:p>
    <w:p>
      <w:pPr>
        <w:ind w:left="885"/>
        <w:spacing w:line="220" w:lineRule="auto"/>
        <w:rPr>
          <w:rFonts w:ascii="FangSong" w:hAnsi="FangSong" w:eastAsia="FangSong" w:cs="FangSong"/>
          <w:sz w:val="30"/>
          <w:szCs w:val="30"/>
        </w:rPr>
      </w:pPr>
      <w:r>
        <w:rPr>
          <w:rFonts w:ascii="FangSong" w:hAnsi="FangSong" w:eastAsia="FangSong" w:cs="FangSong"/>
          <w:sz w:val="30"/>
          <w:szCs w:val="30"/>
          <w:spacing w:val="22"/>
        </w:rPr>
        <w:t>(十一)向与其签订质量责任书的血液制品生产单位以外的其他单位供应原料血浆的。</w:t>
      </w:r>
    </w:p>
    <w:p>
      <w:pPr>
        <w:pStyle w:val="BodyText"/>
        <w:spacing w:line="339" w:lineRule="auto"/>
        <w:rPr/>
      </w:pPr>
      <w:r/>
    </w:p>
    <w:p>
      <w:pPr>
        <w:pStyle w:val="BodyText"/>
        <w:spacing w:line="340" w:lineRule="auto"/>
        <w:rPr/>
      </w:pPr>
      <w:r/>
    </w:p>
    <w:p>
      <w:pPr>
        <w:ind w:left="6499"/>
        <w:spacing w:before="98" w:line="221" w:lineRule="auto"/>
        <w:rPr>
          <w:rFonts w:ascii="SimHei" w:hAnsi="SimHei" w:eastAsia="SimHei" w:cs="SimHei"/>
          <w:sz w:val="30"/>
          <w:szCs w:val="30"/>
        </w:rPr>
      </w:pPr>
      <w:r>
        <w:rPr>
          <w:rFonts w:ascii="SimHei" w:hAnsi="SimHei" w:eastAsia="SimHei" w:cs="SimHei"/>
          <w:sz w:val="30"/>
          <w:szCs w:val="30"/>
          <w:b/>
          <w:bCs/>
          <w:spacing w:val="-15"/>
        </w:rPr>
        <w:t>裁量标准</w:t>
      </w:r>
    </w:p>
    <w:p>
      <w:pPr>
        <w:spacing w:line="60" w:lineRule="exact"/>
        <w:rPr/>
      </w:pPr>
      <w:r/>
    </w:p>
    <w:tbl>
      <w:tblPr>
        <w:tblStyle w:val="TableNormal"/>
        <w:tblW w:w="1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6325"/>
        <w:gridCol w:w="6361"/>
      </w:tblGrid>
      <w:tr>
        <w:trPr>
          <w:trHeight w:val="454" w:hRule="atLeast"/>
        </w:trPr>
        <w:tc>
          <w:tcPr>
            <w:tcW w:w="1434" w:type="dxa"/>
            <w:vAlign w:val="top"/>
          </w:tcPr>
          <w:p>
            <w:pPr>
              <w:pStyle w:val="TableText"/>
              <w:ind w:left="208"/>
              <w:spacing w:before="102" w:line="220" w:lineRule="auto"/>
              <w:rPr>
                <w:sz w:val="25"/>
                <w:szCs w:val="25"/>
              </w:rPr>
            </w:pPr>
            <w:r>
              <w:rPr>
                <w:sz w:val="25"/>
                <w:szCs w:val="25"/>
                <w:b/>
                <w:bCs/>
                <w:spacing w:val="-5"/>
              </w:rPr>
              <w:t>违法程度</w:t>
            </w:r>
          </w:p>
        </w:tc>
        <w:tc>
          <w:tcPr>
            <w:tcW w:w="6325" w:type="dxa"/>
            <w:vAlign w:val="top"/>
          </w:tcPr>
          <w:p>
            <w:pPr>
              <w:pStyle w:val="TableText"/>
              <w:ind w:left="2654"/>
              <w:spacing w:before="102" w:line="220" w:lineRule="auto"/>
              <w:rPr>
                <w:sz w:val="25"/>
                <w:szCs w:val="25"/>
              </w:rPr>
            </w:pPr>
            <w:r>
              <w:rPr>
                <w:sz w:val="25"/>
                <w:szCs w:val="25"/>
                <w:b/>
                <w:bCs/>
                <w:spacing w:val="-5"/>
              </w:rPr>
              <w:t>违法后果</w:t>
            </w:r>
          </w:p>
        </w:tc>
        <w:tc>
          <w:tcPr>
            <w:tcW w:w="6361" w:type="dxa"/>
            <w:vAlign w:val="top"/>
          </w:tcPr>
          <w:p>
            <w:pPr>
              <w:pStyle w:val="TableText"/>
              <w:ind w:left="2609"/>
              <w:spacing w:before="99" w:line="218" w:lineRule="auto"/>
              <w:rPr>
                <w:sz w:val="25"/>
                <w:szCs w:val="25"/>
              </w:rPr>
            </w:pPr>
            <w:r>
              <w:rPr>
                <w:sz w:val="25"/>
                <w:szCs w:val="25"/>
                <w:b/>
                <w:bCs/>
                <w:spacing w:val="-5"/>
              </w:rPr>
              <w:t>裁量幅度</w:t>
            </w:r>
          </w:p>
        </w:tc>
      </w:tr>
      <w:tr>
        <w:trPr>
          <w:trHeight w:val="668" w:hRule="atLeast"/>
        </w:trPr>
        <w:tc>
          <w:tcPr>
            <w:tcW w:w="1434" w:type="dxa"/>
            <w:vAlign w:val="top"/>
          </w:tcPr>
          <w:p>
            <w:pPr>
              <w:pStyle w:val="TableText"/>
              <w:ind w:left="458"/>
              <w:spacing w:before="209" w:line="221" w:lineRule="auto"/>
              <w:rPr>
                <w:sz w:val="25"/>
                <w:szCs w:val="25"/>
              </w:rPr>
            </w:pPr>
            <w:r>
              <w:rPr>
                <w:sz w:val="25"/>
                <w:szCs w:val="25"/>
                <w:b/>
                <w:bCs/>
                <w:spacing w:val="-10"/>
              </w:rPr>
              <w:t>一般</w:t>
            </w:r>
          </w:p>
        </w:tc>
        <w:tc>
          <w:tcPr>
            <w:tcW w:w="6325" w:type="dxa"/>
            <w:vAlign w:val="top"/>
          </w:tcPr>
          <w:p>
            <w:pPr>
              <w:pStyle w:val="TableText"/>
              <w:ind w:left="100" w:right="23" w:hanging="70"/>
              <w:spacing w:before="51" w:line="224" w:lineRule="auto"/>
              <w:rPr>
                <w:sz w:val="25"/>
                <w:szCs w:val="25"/>
              </w:rPr>
            </w:pPr>
            <w:r>
              <w:rPr>
                <w:sz w:val="25"/>
                <w:szCs w:val="25"/>
              </w:rPr>
              <w:t>向与其签订质量责任书的血液制品生产单位以外的其他单</w:t>
            </w:r>
            <w:r>
              <w:rPr>
                <w:sz w:val="25"/>
                <w:szCs w:val="25"/>
                <w:spacing w:val="9"/>
              </w:rPr>
              <w:t xml:space="preserve"> </w:t>
            </w:r>
            <w:r>
              <w:rPr>
                <w:sz w:val="25"/>
                <w:szCs w:val="25"/>
                <w:spacing w:val="2"/>
              </w:rPr>
              <w:t>位供应原料血浆的</w:t>
            </w:r>
          </w:p>
        </w:tc>
        <w:tc>
          <w:tcPr>
            <w:tcW w:w="6361" w:type="dxa"/>
            <w:vAlign w:val="top"/>
          </w:tcPr>
          <w:p>
            <w:pPr>
              <w:pStyle w:val="TableText"/>
              <w:ind w:left="115"/>
              <w:spacing w:before="209" w:line="219" w:lineRule="auto"/>
              <w:rPr>
                <w:sz w:val="25"/>
                <w:szCs w:val="25"/>
              </w:rPr>
            </w:pPr>
            <w:r>
              <w:rPr>
                <w:sz w:val="25"/>
                <w:szCs w:val="25"/>
              </w:rPr>
              <w:t>责令限期改正，处5万元以上8万元以下的罚款</w:t>
            </w:r>
          </w:p>
        </w:tc>
      </w:tr>
      <w:tr>
        <w:trPr>
          <w:trHeight w:val="668" w:hRule="atLeast"/>
        </w:trPr>
        <w:tc>
          <w:tcPr>
            <w:tcW w:w="1434" w:type="dxa"/>
            <w:vAlign w:val="top"/>
          </w:tcPr>
          <w:p>
            <w:pPr>
              <w:pStyle w:val="TableText"/>
              <w:ind w:left="458"/>
              <w:spacing w:before="210" w:line="220" w:lineRule="auto"/>
              <w:rPr>
                <w:sz w:val="25"/>
                <w:szCs w:val="25"/>
              </w:rPr>
            </w:pPr>
            <w:r>
              <w:rPr>
                <w:sz w:val="25"/>
                <w:szCs w:val="25"/>
                <w:b/>
                <w:bCs/>
                <w:spacing w:val="-6"/>
              </w:rPr>
              <w:t>严重</w:t>
            </w:r>
          </w:p>
        </w:tc>
        <w:tc>
          <w:tcPr>
            <w:tcW w:w="6325" w:type="dxa"/>
            <w:vAlign w:val="top"/>
          </w:tcPr>
          <w:p>
            <w:pPr>
              <w:pStyle w:val="TableText"/>
              <w:ind w:left="120" w:right="23" w:hanging="90"/>
              <w:spacing w:before="62" w:line="220" w:lineRule="auto"/>
              <w:rPr>
                <w:sz w:val="25"/>
                <w:szCs w:val="25"/>
              </w:rPr>
            </w:pPr>
            <w:r>
              <w:rPr>
                <w:sz w:val="25"/>
                <w:szCs w:val="25"/>
              </w:rPr>
              <w:t>向与其签订质量责任书的血液制品生产单位以外的其他单</w:t>
            </w:r>
            <w:r>
              <w:rPr>
                <w:sz w:val="25"/>
                <w:szCs w:val="25"/>
                <w:spacing w:val="9"/>
              </w:rPr>
              <w:t xml:space="preserve"> </w:t>
            </w:r>
            <w:r>
              <w:rPr>
                <w:sz w:val="25"/>
                <w:szCs w:val="25"/>
              </w:rPr>
              <w:t>位供应原料血浆，数量较大、次数较多，情节严重的</w:t>
            </w:r>
          </w:p>
        </w:tc>
        <w:tc>
          <w:tcPr>
            <w:tcW w:w="6361" w:type="dxa"/>
            <w:vAlign w:val="top"/>
          </w:tcPr>
          <w:p>
            <w:pPr>
              <w:pStyle w:val="TableText"/>
              <w:ind w:left="115"/>
              <w:spacing w:before="211" w:line="219" w:lineRule="auto"/>
              <w:rPr>
                <w:sz w:val="25"/>
                <w:szCs w:val="25"/>
              </w:rPr>
            </w:pPr>
            <w:r>
              <w:rPr>
                <w:sz w:val="25"/>
                <w:szCs w:val="25"/>
              </w:rPr>
              <w:t>责令限期改正，处8万元以上10万元以下的罚款</w:t>
            </w:r>
          </w:p>
        </w:tc>
      </w:tr>
      <w:tr>
        <w:trPr>
          <w:trHeight w:val="1700" w:hRule="atLeast"/>
        </w:trPr>
        <w:tc>
          <w:tcPr>
            <w:tcW w:w="1434" w:type="dxa"/>
            <w:vAlign w:val="top"/>
          </w:tcPr>
          <w:p>
            <w:pPr>
              <w:spacing w:line="323" w:lineRule="auto"/>
              <w:rPr>
                <w:rFonts w:ascii="Arial"/>
                <w:sz w:val="21"/>
              </w:rPr>
            </w:pPr>
            <w:r/>
          </w:p>
          <w:p>
            <w:pPr>
              <w:spacing w:line="323" w:lineRule="auto"/>
              <w:rPr>
                <w:rFonts w:ascii="Arial"/>
                <w:sz w:val="21"/>
              </w:rPr>
            </w:pPr>
            <w:r/>
          </w:p>
          <w:p>
            <w:pPr>
              <w:pStyle w:val="TableText"/>
              <w:ind w:left="208"/>
              <w:spacing w:before="81" w:line="219" w:lineRule="auto"/>
              <w:rPr>
                <w:sz w:val="25"/>
                <w:szCs w:val="25"/>
              </w:rPr>
            </w:pPr>
            <w:r>
              <w:rPr>
                <w:sz w:val="25"/>
                <w:szCs w:val="25"/>
                <w:b/>
                <w:bCs/>
                <w:spacing w:val="-5"/>
              </w:rPr>
              <w:t>特别严重</w:t>
            </w:r>
          </w:p>
        </w:tc>
        <w:tc>
          <w:tcPr>
            <w:tcW w:w="6325" w:type="dxa"/>
            <w:vAlign w:val="top"/>
          </w:tcPr>
          <w:p>
            <w:pPr>
              <w:pStyle w:val="TableText"/>
              <w:ind w:left="11" w:firstLine="19"/>
              <w:spacing w:before="65"/>
              <w:jc w:val="both"/>
              <w:rPr>
                <w:sz w:val="25"/>
                <w:szCs w:val="25"/>
              </w:rPr>
            </w:pPr>
            <w:r>
              <w:rPr>
                <w:sz w:val="25"/>
                <w:szCs w:val="25"/>
                <w:spacing w:val="-3"/>
              </w:rPr>
              <w:t>向与其签订质量责任书的血液制品生产单位以</w:t>
            </w:r>
            <w:r>
              <w:rPr>
                <w:sz w:val="25"/>
                <w:szCs w:val="25"/>
                <w:spacing w:val="-4"/>
              </w:rPr>
              <w:t>外的其他单</w:t>
            </w:r>
            <w:r>
              <w:rPr>
                <w:sz w:val="25"/>
                <w:szCs w:val="25"/>
              </w:rPr>
              <w:t xml:space="preserve">  </w:t>
            </w:r>
            <w:r>
              <w:rPr>
                <w:sz w:val="25"/>
                <w:szCs w:val="25"/>
                <w:spacing w:val="2"/>
              </w:rPr>
              <w:t>位供应原料血浆的，造成经血途径疾病传播、人身伤害、 </w:t>
            </w:r>
            <w:r>
              <w:rPr>
                <w:sz w:val="25"/>
                <w:szCs w:val="25"/>
                <w:spacing w:val="2"/>
              </w:rPr>
              <w:t>死亡等严重后果的；或12个月内发生两次该违法行为的；</w:t>
            </w:r>
            <w:r>
              <w:rPr>
                <w:sz w:val="25"/>
                <w:szCs w:val="25"/>
              </w:rPr>
              <w:t xml:space="preserve"> </w:t>
            </w:r>
            <w:r>
              <w:rPr>
                <w:sz w:val="25"/>
                <w:szCs w:val="25"/>
                <w:spacing w:val="-11"/>
              </w:rPr>
              <w:t>或卫生行政部门责令限期改正而拒不改正的；或同时有《血</w:t>
            </w:r>
            <w:r>
              <w:rPr>
                <w:sz w:val="25"/>
                <w:szCs w:val="25"/>
                <w:spacing w:val="5"/>
              </w:rPr>
              <w:t xml:space="preserve"> </w:t>
            </w:r>
            <w:r>
              <w:rPr>
                <w:sz w:val="25"/>
                <w:szCs w:val="25"/>
                <w:spacing w:val="2"/>
              </w:rPr>
              <w:t>液制品管理条例》第三十五条3项以上违法行为的</w:t>
            </w:r>
          </w:p>
        </w:tc>
        <w:tc>
          <w:tcPr>
            <w:tcW w:w="6361" w:type="dxa"/>
            <w:vAlign w:val="top"/>
          </w:tcPr>
          <w:p>
            <w:pPr>
              <w:spacing w:line="324" w:lineRule="auto"/>
              <w:rPr>
                <w:rFonts w:ascii="Arial"/>
                <w:sz w:val="21"/>
              </w:rPr>
            </w:pPr>
            <w:r/>
          </w:p>
          <w:p>
            <w:pPr>
              <w:spacing w:line="324" w:lineRule="auto"/>
              <w:rPr>
                <w:rFonts w:ascii="Arial"/>
                <w:sz w:val="21"/>
              </w:rPr>
            </w:pPr>
            <w:r/>
          </w:p>
          <w:p>
            <w:pPr>
              <w:pStyle w:val="TableText"/>
              <w:spacing w:before="81" w:line="219" w:lineRule="auto"/>
              <w:jc w:val="right"/>
              <w:rPr>
                <w:sz w:val="25"/>
                <w:szCs w:val="25"/>
              </w:rPr>
            </w:pPr>
            <w:r>
              <w:rPr>
                <w:sz w:val="25"/>
                <w:szCs w:val="25"/>
                <w:spacing w:val="-10"/>
              </w:rPr>
              <w:t>责令限期改正，处10万元罚款，并吊销《单采血浆许可证》</w:t>
            </w:r>
          </w:p>
        </w:tc>
      </w:tr>
    </w:tbl>
    <w:p>
      <w:pPr>
        <w:pStyle w:val="BodyText"/>
        <w:spacing w:line="436" w:lineRule="auto"/>
        <w:rPr/>
      </w:pPr>
      <w:r/>
    </w:p>
    <w:p>
      <w:pPr>
        <w:ind w:left="76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第三百四十六条单采血浆站已知其采集的血浆检测结果呈阳性，仍向</w:t>
      </w:r>
      <w:r>
        <w:rPr>
          <w:rFonts w:ascii="FangSong" w:hAnsi="FangSong" w:eastAsia="FangSong" w:cs="FangSong"/>
          <w:sz w:val="30"/>
          <w:szCs w:val="30"/>
          <w:b/>
          <w:bCs/>
          <w:spacing w:val="20"/>
        </w:rPr>
        <w:t>血液制品生产单位供应的</w:t>
      </w:r>
    </w:p>
    <w:p>
      <w:pPr>
        <w:ind w:left="754"/>
        <w:spacing w:before="80" w:line="222" w:lineRule="auto"/>
        <w:rPr>
          <w:rFonts w:ascii="FangSong" w:hAnsi="FangSong" w:eastAsia="FangSong" w:cs="FangSong"/>
          <w:sz w:val="30"/>
          <w:szCs w:val="30"/>
        </w:rPr>
      </w:pPr>
      <w:r>
        <w:rPr>
          <w:rFonts w:ascii="FangSong" w:hAnsi="FangSong" w:eastAsia="FangSong" w:cs="FangSong"/>
          <w:sz w:val="30"/>
          <w:szCs w:val="30"/>
          <w:spacing w:val="14"/>
        </w:rPr>
        <w:t>法律依据</w:t>
      </w:r>
    </w:p>
    <w:p>
      <w:pPr>
        <w:ind w:left="735"/>
        <w:spacing w:before="85" w:line="220" w:lineRule="auto"/>
        <w:rPr>
          <w:rFonts w:ascii="FangSong" w:hAnsi="FangSong" w:eastAsia="FangSong" w:cs="FangSong"/>
          <w:sz w:val="30"/>
          <w:szCs w:val="30"/>
        </w:rPr>
      </w:pPr>
      <w:r>
        <w:rPr>
          <w:rFonts w:ascii="FangSong" w:hAnsi="FangSong" w:eastAsia="FangSong" w:cs="FangSong"/>
          <w:sz w:val="30"/>
          <w:szCs w:val="30"/>
          <w:spacing w:val="17"/>
        </w:rPr>
        <w:t>《血液制品管理条例》第三十六条</w:t>
      </w:r>
      <w:r>
        <w:rPr>
          <w:rFonts w:ascii="FangSong" w:hAnsi="FangSong" w:eastAsia="FangSong" w:cs="FangSong"/>
          <w:sz w:val="30"/>
          <w:szCs w:val="30"/>
          <w:spacing w:val="17"/>
        </w:rPr>
        <w:t xml:space="preserve">  </w:t>
      </w:r>
      <w:r>
        <w:rPr>
          <w:rFonts w:ascii="FangSong" w:hAnsi="FangSong" w:eastAsia="FangSong" w:cs="FangSong"/>
          <w:sz w:val="30"/>
          <w:szCs w:val="30"/>
          <w:spacing w:val="17"/>
        </w:rPr>
        <w:t>单采血浆站已知其采集的血浆检测结果呈阳性，</w:t>
      </w:r>
      <w:r>
        <w:rPr>
          <w:rFonts w:ascii="FangSong" w:hAnsi="FangSong" w:eastAsia="FangSong" w:cs="FangSong"/>
          <w:sz w:val="30"/>
          <w:szCs w:val="30"/>
          <w:spacing w:val="16"/>
        </w:rPr>
        <w:t>仍向血液制</w:t>
      </w:r>
    </w:p>
    <w:p>
      <w:pPr>
        <w:spacing w:line="220" w:lineRule="auto"/>
        <w:sectPr>
          <w:footerReference w:type="default" r:id="rId391"/>
          <w:pgSz w:w="16830" w:h="11900"/>
          <w:pgMar w:top="1011" w:right="1364" w:bottom="1118" w:left="1335" w:header="0" w:footer="785" w:gutter="0"/>
        </w:sectPr>
        <w:rPr>
          <w:rFonts w:ascii="FangSong" w:hAnsi="FangSong" w:eastAsia="FangSong" w:cs="FangSong"/>
          <w:sz w:val="30"/>
          <w:szCs w:val="30"/>
        </w:rPr>
      </w:pPr>
    </w:p>
    <w:p>
      <w:pPr>
        <w:pStyle w:val="BodyText"/>
        <w:spacing w:line="264" w:lineRule="auto"/>
        <w:rPr/>
      </w:pPr>
      <w:r/>
    </w:p>
    <w:p>
      <w:pPr>
        <w:pStyle w:val="BodyText"/>
        <w:spacing w:line="264" w:lineRule="auto"/>
        <w:rPr/>
      </w:pPr>
      <w:r/>
    </w:p>
    <w:p>
      <w:pPr>
        <w:pStyle w:val="BodyText"/>
        <w:spacing w:line="265" w:lineRule="auto"/>
        <w:rPr/>
      </w:pPr>
      <w:r/>
    </w:p>
    <w:p>
      <w:pPr>
        <w:ind w:left="124" w:right="62" w:firstLine="29"/>
        <w:spacing w:before="98" w:line="266" w:lineRule="auto"/>
        <w:jc w:val="both"/>
        <w:rPr>
          <w:rFonts w:ascii="FangSong" w:hAnsi="FangSong" w:eastAsia="FangSong" w:cs="FangSong"/>
          <w:sz w:val="30"/>
          <w:szCs w:val="30"/>
        </w:rPr>
      </w:pPr>
      <w:bookmarkStart w:name="bookmark1044" w:id="415"/>
      <w:bookmarkEnd w:id="415"/>
      <w:r>
        <w:rPr>
          <w:rFonts w:ascii="FangSong" w:hAnsi="FangSong" w:eastAsia="FangSong" w:cs="FangSong"/>
          <w:sz w:val="30"/>
          <w:szCs w:val="30"/>
          <w:spacing w:val="20"/>
        </w:rPr>
        <w:t>品生产单位供应的，由省、自治区、直辖市人民政府卫生</w:t>
      </w:r>
      <w:r>
        <w:rPr>
          <w:rFonts w:ascii="FangSong" w:hAnsi="FangSong" w:eastAsia="FangSong" w:cs="FangSong"/>
          <w:sz w:val="30"/>
          <w:szCs w:val="30"/>
          <w:spacing w:val="19"/>
        </w:rPr>
        <w:t>行政部门吊销《单采血浆许可证》,由县级</w:t>
      </w:r>
      <w:r>
        <w:rPr>
          <w:rFonts w:ascii="FangSong" w:hAnsi="FangSong" w:eastAsia="FangSong" w:cs="FangSong"/>
          <w:sz w:val="30"/>
          <w:szCs w:val="30"/>
        </w:rPr>
        <w:t xml:space="preserve"> </w:t>
      </w:r>
      <w:r>
        <w:rPr>
          <w:rFonts w:ascii="FangSong" w:hAnsi="FangSong" w:eastAsia="FangSong" w:cs="FangSong"/>
          <w:sz w:val="30"/>
          <w:szCs w:val="30"/>
          <w:spacing w:val="26"/>
        </w:rPr>
        <w:t>以上地方人民政府卫生行政部门没收违法所得，并处10</w:t>
      </w:r>
      <w:r>
        <w:rPr>
          <w:rFonts w:ascii="FangSong" w:hAnsi="FangSong" w:eastAsia="FangSong" w:cs="FangSong"/>
          <w:sz w:val="30"/>
          <w:szCs w:val="30"/>
          <w:spacing w:val="26"/>
        </w:rPr>
        <w:t xml:space="preserve"> </w:t>
      </w:r>
      <w:r>
        <w:rPr>
          <w:rFonts w:ascii="FangSong" w:hAnsi="FangSong" w:eastAsia="FangSong" w:cs="FangSong"/>
          <w:sz w:val="30"/>
          <w:szCs w:val="30"/>
          <w:spacing w:val="26"/>
        </w:rPr>
        <w:t>万元以上30万元以下的罚款；造成经血液</w:t>
      </w:r>
      <w:r>
        <w:rPr>
          <w:rFonts w:ascii="FangSong" w:hAnsi="FangSong" w:eastAsia="FangSong" w:cs="FangSong"/>
          <w:sz w:val="30"/>
          <w:szCs w:val="30"/>
          <w:spacing w:val="17"/>
        </w:rPr>
        <w:t xml:space="preserve"> </w:t>
      </w:r>
      <w:r>
        <w:rPr>
          <w:rFonts w:ascii="FangSong" w:hAnsi="FangSong" w:eastAsia="FangSong" w:cs="FangSong"/>
          <w:sz w:val="30"/>
          <w:szCs w:val="30"/>
          <w:spacing w:val="17"/>
        </w:rPr>
        <w:t>途径传播的疾病传播、人身伤害等危害，构成犯罪的，对负有直接责任的主</w:t>
      </w:r>
      <w:r>
        <w:rPr>
          <w:rFonts w:ascii="FangSong" w:hAnsi="FangSong" w:eastAsia="FangSong" w:cs="FangSong"/>
          <w:sz w:val="30"/>
          <w:szCs w:val="30"/>
          <w:spacing w:val="16"/>
        </w:rPr>
        <w:t>管人员和其他直接责任人</w:t>
      </w:r>
      <w:r>
        <w:rPr>
          <w:rFonts w:ascii="FangSong" w:hAnsi="FangSong" w:eastAsia="FangSong" w:cs="FangSong"/>
          <w:sz w:val="30"/>
          <w:szCs w:val="30"/>
        </w:rPr>
        <w:t xml:space="preserve"> </w:t>
      </w:r>
      <w:r>
        <w:rPr>
          <w:rFonts w:ascii="FangSong" w:hAnsi="FangSong" w:eastAsia="FangSong" w:cs="FangSong"/>
          <w:sz w:val="30"/>
          <w:szCs w:val="30"/>
          <w:spacing w:val="10"/>
        </w:rPr>
        <w:t>员依法追究刑事责任。</w:t>
      </w:r>
    </w:p>
    <w:p>
      <w:pPr>
        <w:pStyle w:val="BodyText"/>
        <w:spacing w:line="323" w:lineRule="auto"/>
        <w:rPr/>
      </w:pPr>
      <w:r/>
    </w:p>
    <w:p>
      <w:pPr>
        <w:pStyle w:val="BodyText"/>
        <w:spacing w:line="324" w:lineRule="auto"/>
        <w:rPr/>
      </w:pPr>
      <w:r/>
    </w:p>
    <w:p>
      <w:pPr>
        <w:ind w:left="6519"/>
        <w:spacing w:before="97" w:line="221" w:lineRule="auto"/>
        <w:rPr>
          <w:rFonts w:ascii="SimHei" w:hAnsi="SimHei" w:eastAsia="SimHei" w:cs="SimHei"/>
          <w:sz w:val="30"/>
          <w:szCs w:val="30"/>
        </w:rPr>
      </w:pPr>
      <w:r>
        <w:rPr>
          <w:rFonts w:ascii="SimHei" w:hAnsi="SimHei" w:eastAsia="SimHei" w:cs="SimHei"/>
          <w:sz w:val="30"/>
          <w:szCs w:val="30"/>
          <w:b/>
          <w:bCs/>
          <w:spacing w:val="-15"/>
        </w:rPr>
        <w:t>裁量标准</w:t>
      </w:r>
    </w:p>
    <w:p>
      <w:pPr>
        <w:spacing w:line="60" w:lineRule="exact"/>
        <w:rPr/>
      </w:pPr>
      <w:r/>
    </w:p>
    <w:tbl>
      <w:tblPr>
        <w:tblStyle w:val="TableNormal"/>
        <w:tblW w:w="1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6315"/>
        <w:gridCol w:w="6361"/>
      </w:tblGrid>
      <w:tr>
        <w:trPr>
          <w:trHeight w:val="424" w:hRule="atLeast"/>
        </w:trPr>
        <w:tc>
          <w:tcPr>
            <w:tcW w:w="1444" w:type="dxa"/>
            <w:vAlign w:val="top"/>
          </w:tcPr>
          <w:p>
            <w:pPr>
              <w:pStyle w:val="TableText"/>
              <w:ind w:left="238"/>
              <w:spacing w:before="92" w:line="220" w:lineRule="auto"/>
              <w:rPr/>
            </w:pPr>
            <w:r>
              <w:rPr>
                <w:b/>
                <w:bCs/>
                <w:spacing w:val="-5"/>
              </w:rPr>
              <w:t>违法程度</w:t>
            </w:r>
          </w:p>
        </w:tc>
        <w:tc>
          <w:tcPr>
            <w:tcW w:w="6315" w:type="dxa"/>
            <w:vAlign w:val="top"/>
          </w:tcPr>
          <w:p>
            <w:pPr>
              <w:pStyle w:val="TableText"/>
              <w:ind w:left="2674"/>
              <w:spacing w:before="92" w:line="220" w:lineRule="auto"/>
              <w:rPr/>
            </w:pPr>
            <w:r>
              <w:rPr>
                <w:b/>
                <w:bCs/>
                <w:spacing w:val="-5"/>
              </w:rPr>
              <w:t>违法后果</w:t>
            </w:r>
          </w:p>
        </w:tc>
        <w:tc>
          <w:tcPr>
            <w:tcW w:w="6361" w:type="dxa"/>
            <w:vAlign w:val="top"/>
          </w:tcPr>
          <w:p>
            <w:pPr>
              <w:pStyle w:val="TableText"/>
              <w:ind w:left="2599"/>
              <w:spacing w:before="8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037" w:hRule="atLeast"/>
        </w:trPr>
        <w:tc>
          <w:tcPr>
            <w:tcW w:w="1444" w:type="dxa"/>
            <w:vAlign w:val="top"/>
          </w:tcPr>
          <w:p>
            <w:pPr>
              <w:spacing w:line="318" w:lineRule="auto"/>
              <w:rPr>
                <w:rFonts w:ascii="Arial"/>
                <w:sz w:val="21"/>
              </w:rPr>
            </w:pPr>
            <w:r/>
          </w:p>
          <w:p>
            <w:pPr>
              <w:pStyle w:val="TableText"/>
              <w:ind w:left="478"/>
              <w:spacing w:before="78" w:line="221" w:lineRule="auto"/>
              <w:rPr/>
            </w:pPr>
            <w:r>
              <w:rPr>
                <w:b/>
                <w:bCs/>
                <w:spacing w:val="-10"/>
              </w:rPr>
              <w:t>一般</w:t>
            </w:r>
          </w:p>
        </w:tc>
        <w:tc>
          <w:tcPr>
            <w:tcW w:w="6315" w:type="dxa"/>
            <w:vAlign w:val="top"/>
          </w:tcPr>
          <w:p>
            <w:pPr>
              <w:pStyle w:val="TableText"/>
              <w:ind w:left="101" w:right="143" w:firstLine="49"/>
              <w:spacing w:before="248" w:line="256" w:lineRule="auto"/>
              <w:rPr/>
            </w:pPr>
            <w:r>
              <w:rPr/>
              <w:t>单采血浆站已知其采集的血浆检测结果呈阳性，仍向血液</w:t>
            </w:r>
            <w:r>
              <w:rPr>
                <w:spacing w:val="9"/>
              </w:rPr>
              <w:t xml:space="preserve"> </w:t>
            </w:r>
            <w:r>
              <w:rPr>
                <w:spacing w:val="1"/>
              </w:rPr>
              <w:t>制品生产单位供应，尚未造成人员感染的</w:t>
            </w:r>
          </w:p>
        </w:tc>
        <w:tc>
          <w:tcPr>
            <w:tcW w:w="6361" w:type="dxa"/>
            <w:vAlign w:val="top"/>
          </w:tcPr>
          <w:p>
            <w:pPr>
              <w:pStyle w:val="TableText"/>
              <w:ind w:left="115" w:right="213" w:firstLine="119"/>
              <w:spacing w:before="248" w:line="267" w:lineRule="auto"/>
              <w:rPr/>
            </w:pPr>
            <w:r>
              <w:rPr>
                <w:spacing w:val="1"/>
              </w:rPr>
              <w:t>吊销《单采血浆许可证》,没收违法所得，并</w:t>
            </w:r>
            <w:r>
              <w:rPr/>
              <w:t>处10万元以 </w:t>
            </w:r>
            <w:r>
              <w:rPr>
                <w:spacing w:val="1"/>
              </w:rPr>
              <w:t>上20万元以下的罚款</w:t>
            </w:r>
          </w:p>
        </w:tc>
      </w:tr>
      <w:tr>
        <w:trPr>
          <w:trHeight w:val="1007" w:hRule="atLeast"/>
        </w:trPr>
        <w:tc>
          <w:tcPr>
            <w:tcW w:w="1444" w:type="dxa"/>
            <w:vAlign w:val="top"/>
          </w:tcPr>
          <w:p>
            <w:pPr>
              <w:spacing w:line="311" w:lineRule="auto"/>
              <w:rPr>
                <w:rFonts w:ascii="Arial"/>
                <w:sz w:val="21"/>
              </w:rPr>
            </w:pPr>
            <w:r/>
          </w:p>
          <w:p>
            <w:pPr>
              <w:pStyle w:val="TableText"/>
              <w:ind w:left="478"/>
              <w:spacing w:before="78" w:line="220" w:lineRule="auto"/>
              <w:rPr/>
            </w:pPr>
            <w:r>
              <w:rPr>
                <w:b/>
                <w:bCs/>
                <w:spacing w:val="-6"/>
              </w:rPr>
              <w:t>严重</w:t>
            </w:r>
          </w:p>
        </w:tc>
        <w:tc>
          <w:tcPr>
            <w:tcW w:w="6315" w:type="dxa"/>
            <w:vAlign w:val="top"/>
          </w:tcPr>
          <w:p>
            <w:pPr>
              <w:pStyle w:val="TableText"/>
              <w:ind w:left="110" w:right="94" w:firstLine="40"/>
              <w:spacing w:before="61"/>
              <w:jc w:val="both"/>
              <w:rPr/>
            </w:pPr>
            <w:r>
              <w:rPr/>
              <w:t>单采血浆站已知其采集的血浆检测结果呈阳性，仍向血液</w:t>
            </w:r>
            <w:r>
              <w:rPr>
                <w:spacing w:val="9"/>
              </w:rPr>
              <w:t xml:space="preserve"> </w:t>
            </w:r>
            <w:r>
              <w:rPr>
                <w:spacing w:val="4"/>
              </w:rPr>
              <w:t>制品生产单位供应，数量较大、次数较多，情节严重</w:t>
            </w:r>
            <w:r>
              <w:rPr>
                <w:spacing w:val="3"/>
              </w:rPr>
              <w:t>的，</w:t>
            </w:r>
            <w:r>
              <w:rPr/>
              <w:t xml:space="preserve"> </w:t>
            </w:r>
            <w:r>
              <w:rPr>
                <w:spacing w:val="1"/>
              </w:rPr>
              <w:t>但尚未造成人员感染的</w:t>
            </w:r>
          </w:p>
        </w:tc>
        <w:tc>
          <w:tcPr>
            <w:tcW w:w="6361" w:type="dxa"/>
            <w:vAlign w:val="top"/>
          </w:tcPr>
          <w:p>
            <w:pPr>
              <w:pStyle w:val="TableText"/>
              <w:ind w:left="106" w:right="213" w:firstLine="129"/>
              <w:spacing w:before="230" w:line="275" w:lineRule="auto"/>
              <w:rPr/>
            </w:pPr>
            <w:r>
              <w:rPr>
                <w:spacing w:val="1"/>
              </w:rPr>
              <w:t>吊销《单采血浆许可证》,没收违法所得，并</w:t>
            </w:r>
            <w:r>
              <w:rPr/>
              <w:t>处20万元以 </w:t>
            </w:r>
            <w:r>
              <w:rPr>
                <w:spacing w:val="1"/>
              </w:rPr>
              <w:t>上30万元以下的罚款</w:t>
            </w:r>
          </w:p>
        </w:tc>
      </w:tr>
      <w:tr>
        <w:trPr>
          <w:trHeight w:val="1032" w:hRule="atLeast"/>
        </w:trPr>
        <w:tc>
          <w:tcPr>
            <w:tcW w:w="1444" w:type="dxa"/>
            <w:vAlign w:val="top"/>
          </w:tcPr>
          <w:p>
            <w:pPr>
              <w:spacing w:line="323" w:lineRule="auto"/>
              <w:rPr>
                <w:rFonts w:ascii="Arial"/>
                <w:sz w:val="21"/>
              </w:rPr>
            </w:pPr>
            <w:r/>
          </w:p>
          <w:p>
            <w:pPr>
              <w:pStyle w:val="TableText"/>
              <w:ind w:left="238"/>
              <w:spacing w:before="78" w:line="219" w:lineRule="auto"/>
              <w:rPr/>
            </w:pPr>
            <w:r>
              <w:rPr>
                <w:b/>
                <w:bCs/>
                <w:spacing w:val="-5"/>
              </w:rPr>
              <w:t>特别严重</w:t>
            </w:r>
          </w:p>
        </w:tc>
        <w:tc>
          <w:tcPr>
            <w:tcW w:w="6315" w:type="dxa"/>
            <w:vAlign w:val="top"/>
          </w:tcPr>
          <w:p>
            <w:pPr>
              <w:pStyle w:val="TableText"/>
              <w:ind w:left="101" w:right="33" w:firstLine="49"/>
              <w:spacing w:before="86"/>
              <w:jc w:val="both"/>
              <w:rPr/>
            </w:pPr>
            <w:r>
              <w:rPr/>
              <w:t>单采血浆站已知其采集的血浆检测结果呈阳性，仍向血液</w:t>
            </w:r>
            <w:r>
              <w:rPr>
                <w:spacing w:val="4"/>
              </w:rPr>
              <w:t xml:space="preserve">  </w:t>
            </w:r>
            <w:r>
              <w:rPr>
                <w:spacing w:val="6"/>
              </w:rPr>
              <w:t>制品生产单位供应，造成经血途径疾病传播、人身伤害、</w:t>
            </w:r>
            <w:r>
              <w:rPr>
                <w:spacing w:val="18"/>
              </w:rPr>
              <w:t xml:space="preserve"> </w:t>
            </w:r>
            <w:r>
              <w:rPr>
                <w:spacing w:val="2"/>
              </w:rPr>
              <w:t>死亡等严重后果的</w:t>
            </w:r>
          </w:p>
        </w:tc>
        <w:tc>
          <w:tcPr>
            <w:tcW w:w="6361" w:type="dxa"/>
            <w:vAlign w:val="top"/>
          </w:tcPr>
          <w:p>
            <w:pPr>
              <w:pStyle w:val="TableText"/>
              <w:ind w:left="235"/>
              <w:spacing w:before="253" w:line="216" w:lineRule="auto"/>
              <w:rPr/>
            </w:pPr>
            <w:r>
              <w:rPr>
                <w:spacing w:val="1"/>
              </w:rPr>
              <w:t>吊销《单采血浆许可证》,没收违法所得，并处30万元罚</w:t>
            </w:r>
          </w:p>
          <w:p>
            <w:pPr>
              <w:pStyle w:val="TableText"/>
              <w:ind w:left="106"/>
              <w:spacing w:before="73" w:line="221" w:lineRule="auto"/>
              <w:rPr/>
            </w:pPr>
            <w:r>
              <w:rPr>
                <w:color w:val="303040"/>
              </w:rPr>
              <w:t>款</w:t>
            </w:r>
          </w:p>
        </w:tc>
      </w:tr>
    </w:tbl>
    <w:p>
      <w:pPr>
        <w:pStyle w:val="BodyText"/>
        <w:spacing w:line="453" w:lineRule="auto"/>
        <w:rPr/>
      </w:pPr>
      <w:r/>
    </w:p>
    <w:p>
      <w:pPr>
        <w:ind w:left="799"/>
        <w:spacing w:before="98" w:line="219" w:lineRule="auto"/>
        <w:rPr>
          <w:rFonts w:ascii="FangSong" w:hAnsi="FangSong" w:eastAsia="FangSong" w:cs="FangSong"/>
          <w:sz w:val="30"/>
          <w:szCs w:val="30"/>
        </w:rPr>
      </w:pPr>
      <w:r>
        <w:rPr>
          <w:rFonts w:ascii="FangSong" w:hAnsi="FangSong" w:eastAsia="FangSong" w:cs="FangSong"/>
          <w:sz w:val="30"/>
          <w:szCs w:val="30"/>
          <w:b/>
          <w:bCs/>
          <w:spacing w:val="23"/>
        </w:rPr>
        <w:t>第三百四十七条涂改、伪造、转让《供血浆证》的</w:t>
      </w:r>
    </w:p>
    <w:p>
      <w:pPr>
        <w:ind w:left="774"/>
        <w:spacing w:before="75" w:line="222" w:lineRule="auto"/>
        <w:rPr>
          <w:rFonts w:ascii="FangSong" w:hAnsi="FangSong" w:eastAsia="FangSong" w:cs="FangSong"/>
          <w:sz w:val="30"/>
          <w:szCs w:val="30"/>
        </w:rPr>
      </w:pPr>
      <w:r>
        <w:rPr>
          <w:rFonts w:ascii="FangSong" w:hAnsi="FangSong" w:eastAsia="FangSong" w:cs="FangSong"/>
          <w:sz w:val="30"/>
          <w:szCs w:val="30"/>
          <w:spacing w:val="14"/>
        </w:rPr>
        <w:t>法律依据</w:t>
      </w:r>
    </w:p>
    <w:p>
      <w:pPr>
        <w:spacing w:line="222" w:lineRule="auto"/>
        <w:sectPr>
          <w:footerReference w:type="default" r:id="rId392"/>
          <w:pgSz w:w="16830" w:h="11900"/>
          <w:pgMar w:top="1011" w:right="1384" w:bottom="1117" w:left="1314" w:header="0" w:footer="784" w:gutter="0"/>
        </w:sectPr>
        <w:rPr>
          <w:rFonts w:ascii="FangSong" w:hAnsi="FangSong" w:eastAsia="FangSong" w:cs="FangSong"/>
          <w:sz w:val="30"/>
          <w:szCs w:val="30"/>
        </w:rPr>
      </w:pPr>
    </w:p>
    <w:p>
      <w:pPr>
        <w:pStyle w:val="BodyText"/>
        <w:spacing w:line="257" w:lineRule="auto"/>
        <w:rPr/>
      </w:pPr>
      <w:r/>
    </w:p>
    <w:p>
      <w:pPr>
        <w:pStyle w:val="BodyText"/>
        <w:spacing w:line="257" w:lineRule="auto"/>
        <w:rPr/>
      </w:pPr>
      <w:r/>
    </w:p>
    <w:p>
      <w:pPr>
        <w:pStyle w:val="BodyText"/>
        <w:spacing w:line="258" w:lineRule="auto"/>
        <w:rPr/>
      </w:pPr>
      <w:r/>
    </w:p>
    <w:p>
      <w:pPr>
        <w:ind w:left="124" w:firstLine="640"/>
        <w:spacing w:before="97" w:line="271" w:lineRule="auto"/>
        <w:jc w:val="both"/>
        <w:rPr>
          <w:rFonts w:ascii="FangSong" w:hAnsi="FangSong" w:eastAsia="FangSong" w:cs="FangSong"/>
          <w:sz w:val="30"/>
          <w:szCs w:val="30"/>
        </w:rPr>
      </w:pPr>
      <w:bookmarkStart w:name="bookmark1045" w:id="416"/>
      <w:bookmarkEnd w:id="416"/>
      <w:r>
        <w:rPr>
          <w:rFonts w:ascii="FangSong" w:hAnsi="FangSong" w:eastAsia="FangSong" w:cs="FangSong"/>
          <w:sz w:val="30"/>
          <w:szCs w:val="30"/>
          <w:spacing w:val="15"/>
        </w:rPr>
        <w:t>《血液制品管理条例》第三十七条</w:t>
      </w:r>
      <w:r>
        <w:rPr>
          <w:rFonts w:ascii="FangSong" w:hAnsi="FangSong" w:eastAsia="FangSong" w:cs="FangSong"/>
          <w:sz w:val="30"/>
          <w:szCs w:val="30"/>
          <w:spacing w:val="50"/>
        </w:rPr>
        <w:t xml:space="preserve">  </w:t>
      </w:r>
      <w:r>
        <w:rPr>
          <w:rFonts w:ascii="FangSong" w:hAnsi="FangSong" w:eastAsia="FangSong" w:cs="FangSong"/>
          <w:sz w:val="30"/>
          <w:szCs w:val="30"/>
          <w:spacing w:val="15"/>
        </w:rPr>
        <w:t>涂改、伪造、转让《供血浆证》的，由县级人</w:t>
      </w:r>
      <w:r>
        <w:rPr>
          <w:rFonts w:ascii="FangSong" w:hAnsi="FangSong" w:eastAsia="FangSong" w:cs="FangSong"/>
          <w:sz w:val="30"/>
          <w:szCs w:val="30"/>
          <w:spacing w:val="14"/>
        </w:rPr>
        <w:t>民政府卫生行</w:t>
      </w:r>
      <w:r>
        <w:rPr>
          <w:rFonts w:ascii="FangSong" w:hAnsi="FangSong" w:eastAsia="FangSong" w:cs="FangSong"/>
          <w:sz w:val="30"/>
          <w:szCs w:val="30"/>
        </w:rPr>
        <w:t xml:space="preserve"> </w:t>
      </w:r>
      <w:r>
        <w:rPr>
          <w:rFonts w:ascii="FangSong" w:hAnsi="FangSong" w:eastAsia="FangSong" w:cs="FangSong"/>
          <w:sz w:val="30"/>
          <w:szCs w:val="30"/>
          <w:spacing w:val="22"/>
        </w:rPr>
        <w:t>政部门收缴《供血浆证》,没收违法所得，并处违法所得3倍以上5倍以下</w:t>
      </w:r>
      <w:r>
        <w:rPr>
          <w:rFonts w:ascii="FangSong" w:hAnsi="FangSong" w:eastAsia="FangSong" w:cs="FangSong"/>
          <w:sz w:val="30"/>
          <w:szCs w:val="30"/>
          <w:spacing w:val="21"/>
        </w:rPr>
        <w:t>的罚款，没有违法所得的，</w:t>
      </w:r>
      <w:r>
        <w:rPr>
          <w:rFonts w:ascii="FangSong" w:hAnsi="FangSong" w:eastAsia="FangSong" w:cs="FangSong"/>
          <w:sz w:val="30"/>
          <w:szCs w:val="30"/>
        </w:rPr>
        <w:t xml:space="preserve"> </w:t>
      </w:r>
      <w:r>
        <w:rPr>
          <w:rFonts w:ascii="FangSong" w:hAnsi="FangSong" w:eastAsia="FangSong" w:cs="FangSong"/>
          <w:sz w:val="30"/>
          <w:szCs w:val="30"/>
          <w:spacing w:val="22"/>
        </w:rPr>
        <w:t>并处1万元以下的罚款；构成犯罪的，依法追究刑事责任。</w:t>
      </w:r>
    </w:p>
    <w:p>
      <w:pPr>
        <w:ind w:left="6529"/>
        <w:spacing w:before="58" w:line="221" w:lineRule="auto"/>
        <w:rPr>
          <w:rFonts w:ascii="SimHei" w:hAnsi="SimHei" w:eastAsia="SimHei" w:cs="SimHei"/>
          <w:sz w:val="30"/>
          <w:szCs w:val="30"/>
        </w:rPr>
      </w:pPr>
      <w:r>
        <w:rPr>
          <w:rFonts w:ascii="SimHei" w:hAnsi="SimHei" w:eastAsia="SimHei" w:cs="SimHei"/>
          <w:sz w:val="30"/>
          <w:szCs w:val="30"/>
          <w:b/>
          <w:bCs/>
          <w:spacing w:val="-15"/>
        </w:rPr>
        <w:t>裁量标准</w:t>
      </w:r>
    </w:p>
    <w:p>
      <w:pPr>
        <w:spacing w:line="120" w:lineRule="exact"/>
        <w:rPr/>
      </w:pPr>
      <w:r/>
    </w:p>
    <w:tbl>
      <w:tblPr>
        <w:tblStyle w:val="TableNormal"/>
        <w:tblW w:w="141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6306"/>
        <w:gridCol w:w="6370"/>
      </w:tblGrid>
      <w:tr>
        <w:trPr>
          <w:trHeight w:val="443" w:hRule="atLeast"/>
        </w:trPr>
        <w:tc>
          <w:tcPr>
            <w:tcW w:w="1444" w:type="dxa"/>
            <w:vAlign w:val="top"/>
          </w:tcPr>
          <w:p>
            <w:pPr>
              <w:pStyle w:val="TableText"/>
              <w:ind w:left="138"/>
              <w:spacing w:before="10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6306" w:type="dxa"/>
            <w:vAlign w:val="top"/>
          </w:tcPr>
          <w:p>
            <w:pPr>
              <w:pStyle w:val="TableText"/>
              <w:ind w:left="2584"/>
              <w:spacing w:before="102" w:line="220" w:lineRule="auto"/>
              <w:rPr/>
            </w:pPr>
            <w:r>
              <w:rPr>
                <w:b/>
                <w:bCs/>
                <w:spacing w:val="-5"/>
              </w:rPr>
              <w:t>违法后果</w:t>
            </w:r>
          </w:p>
        </w:tc>
        <w:tc>
          <w:tcPr>
            <w:tcW w:w="6370" w:type="dxa"/>
            <w:vAlign w:val="top"/>
          </w:tcPr>
          <w:p>
            <w:pPr>
              <w:pStyle w:val="TableText"/>
              <w:ind w:left="2618"/>
              <w:spacing w:before="9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389" w:hRule="atLeast"/>
        </w:trPr>
        <w:tc>
          <w:tcPr>
            <w:tcW w:w="1444" w:type="dxa"/>
            <w:vAlign w:val="top"/>
          </w:tcPr>
          <w:p>
            <w:pPr>
              <w:pStyle w:val="TableText"/>
              <w:ind w:left="478"/>
              <w:spacing w:before="79" w:line="221" w:lineRule="auto"/>
              <w:rPr/>
            </w:pPr>
            <w:r>
              <w:rPr>
                <w:b/>
                <w:bCs/>
                <w:spacing w:val="-10"/>
              </w:rPr>
              <w:t>一般</w:t>
            </w:r>
          </w:p>
        </w:tc>
        <w:tc>
          <w:tcPr>
            <w:tcW w:w="6306" w:type="dxa"/>
            <w:vAlign w:val="top"/>
          </w:tcPr>
          <w:p>
            <w:pPr>
              <w:pStyle w:val="TableText"/>
              <w:ind w:left="101"/>
              <w:spacing w:before="78" w:line="216" w:lineRule="auto"/>
              <w:rPr/>
            </w:pPr>
            <w:r>
              <w:rPr/>
              <w:t>涂改、伪造、转让《供血浆证》,无违法所得的</w:t>
            </w:r>
          </w:p>
        </w:tc>
        <w:tc>
          <w:tcPr>
            <w:tcW w:w="6370" w:type="dxa"/>
            <w:vAlign w:val="top"/>
          </w:tcPr>
          <w:p>
            <w:pPr>
              <w:pStyle w:val="TableText"/>
              <w:ind w:left="124"/>
              <w:spacing w:before="78" w:line="216" w:lineRule="auto"/>
              <w:rPr/>
            </w:pPr>
            <w:r>
              <w:rPr/>
              <w:t>收缴其《供血浆证》,并处以1万元以下罚款</w:t>
            </w:r>
          </w:p>
        </w:tc>
      </w:tr>
      <w:tr>
        <w:trPr>
          <w:trHeight w:val="668" w:hRule="atLeast"/>
        </w:trPr>
        <w:tc>
          <w:tcPr>
            <w:tcW w:w="1444" w:type="dxa"/>
            <w:vAlign w:val="top"/>
          </w:tcPr>
          <w:p>
            <w:pPr>
              <w:pStyle w:val="TableText"/>
              <w:ind w:left="478"/>
              <w:spacing w:before="222" w:line="221" w:lineRule="auto"/>
              <w:rPr/>
            </w:pPr>
            <w:r>
              <w:rPr>
                <w:b/>
                <w:bCs/>
                <w:spacing w:val="-5"/>
              </w:rPr>
              <w:t>较重</w:t>
            </w:r>
          </w:p>
        </w:tc>
        <w:tc>
          <w:tcPr>
            <w:tcW w:w="6306" w:type="dxa"/>
            <w:vAlign w:val="top"/>
          </w:tcPr>
          <w:p>
            <w:pPr>
              <w:pStyle w:val="TableText"/>
              <w:ind w:left="110"/>
              <w:spacing w:before="69" w:line="216" w:lineRule="auto"/>
              <w:rPr/>
            </w:pPr>
            <w:r>
              <w:rPr/>
              <w:t>涂改、伪造、转让《供血浆证》,违法所得在5000元以下</w:t>
            </w:r>
          </w:p>
          <w:p>
            <w:pPr>
              <w:pStyle w:val="TableText"/>
              <w:ind w:left="101"/>
              <w:spacing w:before="46" w:line="201" w:lineRule="auto"/>
              <w:rPr/>
            </w:pPr>
            <w:r>
              <w:rPr>
                <w:color w:val="404050"/>
              </w:rPr>
              <w:t>的</w:t>
            </w:r>
          </w:p>
        </w:tc>
        <w:tc>
          <w:tcPr>
            <w:tcW w:w="6370" w:type="dxa"/>
            <w:vAlign w:val="top"/>
          </w:tcPr>
          <w:p>
            <w:pPr>
              <w:pStyle w:val="TableText"/>
              <w:ind w:left="115"/>
              <w:spacing w:before="69" w:line="216" w:lineRule="auto"/>
              <w:rPr/>
            </w:pPr>
            <w:r>
              <w:rPr/>
              <w:t>收缴其《供血浆证》,没收违法所得，并处违法所得3倍</w:t>
            </w:r>
          </w:p>
          <w:p>
            <w:pPr>
              <w:pStyle w:val="TableText"/>
              <w:ind w:left="124"/>
              <w:spacing w:before="43" w:line="203" w:lineRule="auto"/>
              <w:rPr/>
            </w:pPr>
            <w:r>
              <w:rPr>
                <w:color w:val="505050"/>
                <w:spacing w:val="5"/>
              </w:rPr>
              <w:t>罚款</w:t>
            </w:r>
          </w:p>
        </w:tc>
      </w:tr>
      <w:tr>
        <w:trPr>
          <w:trHeight w:val="678" w:hRule="atLeast"/>
        </w:trPr>
        <w:tc>
          <w:tcPr>
            <w:tcW w:w="1444" w:type="dxa"/>
            <w:vAlign w:val="top"/>
          </w:tcPr>
          <w:p>
            <w:pPr>
              <w:pStyle w:val="TableText"/>
              <w:ind w:left="478"/>
              <w:spacing w:before="222" w:line="220" w:lineRule="auto"/>
              <w:rPr/>
            </w:pPr>
            <w:r>
              <w:rPr>
                <w:b/>
                <w:bCs/>
                <w:spacing w:val="-6"/>
              </w:rPr>
              <w:t>严重</w:t>
            </w:r>
          </w:p>
        </w:tc>
        <w:tc>
          <w:tcPr>
            <w:tcW w:w="6306" w:type="dxa"/>
            <w:vAlign w:val="top"/>
          </w:tcPr>
          <w:p>
            <w:pPr>
              <w:pStyle w:val="TableText"/>
              <w:ind w:left="101" w:right="294" w:firstLine="9"/>
              <w:spacing w:before="62" w:line="233" w:lineRule="auto"/>
              <w:rPr/>
            </w:pPr>
            <w:r>
              <w:rPr/>
              <w:t>涂改、伪造、转让《供血浆证》,违法所得在5000元以上</w:t>
            </w:r>
            <w:r>
              <w:rPr>
                <w:spacing w:val="9"/>
              </w:rPr>
              <w:t xml:space="preserve"> </w:t>
            </w:r>
            <w:r>
              <w:rPr/>
              <w:t>的</w:t>
            </w:r>
          </w:p>
        </w:tc>
        <w:tc>
          <w:tcPr>
            <w:tcW w:w="6370" w:type="dxa"/>
            <w:vAlign w:val="top"/>
          </w:tcPr>
          <w:p>
            <w:pPr>
              <w:pStyle w:val="TableText"/>
              <w:ind w:left="124" w:right="475" w:hanging="9"/>
              <w:spacing w:before="62" w:line="233" w:lineRule="auto"/>
              <w:rPr/>
            </w:pPr>
            <w:r>
              <w:rPr/>
              <w:t>收缴其《供血浆证》,没收违法所得，并处违法所得4倍</w:t>
            </w:r>
            <w:r>
              <w:rPr>
                <w:spacing w:val="8"/>
              </w:rPr>
              <w:t xml:space="preserve"> </w:t>
            </w:r>
            <w:r>
              <w:rPr>
                <w:spacing w:val="1"/>
              </w:rPr>
              <w:t>以上5倍以下罚款</w:t>
            </w:r>
          </w:p>
        </w:tc>
      </w:tr>
      <w:tr>
        <w:trPr>
          <w:trHeight w:val="1022" w:hRule="atLeast"/>
        </w:trPr>
        <w:tc>
          <w:tcPr>
            <w:tcW w:w="1444" w:type="dxa"/>
            <w:vAlign w:val="top"/>
          </w:tcPr>
          <w:p>
            <w:pPr>
              <w:spacing w:line="313" w:lineRule="auto"/>
              <w:rPr>
                <w:rFonts w:ascii="Arial"/>
                <w:sz w:val="21"/>
              </w:rPr>
            </w:pPr>
            <w:r/>
          </w:p>
          <w:p>
            <w:pPr>
              <w:pStyle w:val="TableText"/>
              <w:ind w:left="238"/>
              <w:spacing w:before="78" w:line="219" w:lineRule="auto"/>
              <w:rPr/>
            </w:pPr>
            <w:r>
              <w:rPr>
                <w:b/>
                <w:bCs/>
                <w:spacing w:val="-5"/>
              </w:rPr>
              <w:t>特别严重</w:t>
            </w:r>
          </w:p>
        </w:tc>
        <w:tc>
          <w:tcPr>
            <w:tcW w:w="6306" w:type="dxa"/>
            <w:vAlign w:val="top"/>
          </w:tcPr>
          <w:p>
            <w:pPr>
              <w:pStyle w:val="TableText"/>
              <w:ind w:left="101"/>
              <w:spacing w:before="243" w:line="273" w:lineRule="auto"/>
              <w:rPr/>
            </w:pPr>
            <w:r>
              <w:rPr>
                <w:spacing w:val="3"/>
              </w:rPr>
              <w:t>涂改、伪造、转让《供血浆证》,造成经血途径</w:t>
            </w:r>
            <w:r>
              <w:rPr>
                <w:spacing w:val="2"/>
              </w:rPr>
              <w:t>疾病传播、</w:t>
            </w:r>
            <w:r>
              <w:rPr/>
              <w:t xml:space="preserve"> </w:t>
            </w:r>
            <w:r>
              <w:rPr>
                <w:spacing w:val="-1"/>
              </w:rPr>
              <w:t>人身伤害、死亡等严重后果的，或产生严重社会影响的</w:t>
            </w:r>
          </w:p>
        </w:tc>
        <w:tc>
          <w:tcPr>
            <w:tcW w:w="6370" w:type="dxa"/>
            <w:vAlign w:val="top"/>
          </w:tcPr>
          <w:p>
            <w:pPr>
              <w:pStyle w:val="TableText"/>
              <w:ind w:left="124" w:right="465"/>
              <w:spacing w:before="62" w:line="282" w:lineRule="auto"/>
              <w:rPr/>
            </w:pPr>
            <w:r>
              <w:rPr/>
              <w:t>收缴其《供血浆证》,没收违法所得，并处违法所得5倍</w:t>
            </w:r>
            <w:r>
              <w:rPr>
                <w:spacing w:val="8"/>
              </w:rPr>
              <w:t xml:space="preserve"> </w:t>
            </w:r>
            <w:r>
              <w:rPr/>
              <w:t>罚款；没有违法所得的，罚款1万元</w:t>
            </w:r>
          </w:p>
        </w:tc>
      </w:tr>
    </w:tbl>
    <w:p>
      <w:pPr>
        <w:pStyle w:val="BodyText"/>
        <w:spacing w:line="424" w:lineRule="auto"/>
        <w:rPr/>
      </w:pPr>
      <w:r/>
    </w:p>
    <w:p>
      <w:pPr>
        <w:ind w:left="129" w:right="82" w:firstLine="660"/>
        <w:spacing w:before="97" w:line="277" w:lineRule="auto"/>
        <w:rPr>
          <w:rFonts w:ascii="FangSong" w:hAnsi="FangSong" w:eastAsia="FangSong" w:cs="FangSong"/>
          <w:sz w:val="30"/>
          <w:szCs w:val="30"/>
        </w:rPr>
      </w:pPr>
      <w:r>
        <w:rPr>
          <w:rFonts w:ascii="FangSong" w:hAnsi="FangSong" w:eastAsia="FangSong" w:cs="FangSong"/>
          <w:sz w:val="30"/>
          <w:szCs w:val="30"/>
          <w:b/>
          <w:bCs/>
          <w:spacing w:val="21"/>
        </w:rPr>
        <w:t>第三百四十八条血液制品生产经营单位生产、包装、储存、运输、经营血液</w:t>
      </w:r>
      <w:r>
        <w:rPr>
          <w:rFonts w:ascii="FangSong" w:hAnsi="FangSong" w:eastAsia="FangSong" w:cs="FangSong"/>
          <w:sz w:val="30"/>
          <w:szCs w:val="30"/>
          <w:b/>
          <w:bCs/>
          <w:spacing w:val="20"/>
        </w:rPr>
        <w:t>制品不符合国家规</w:t>
      </w:r>
      <w:r>
        <w:rPr>
          <w:rFonts w:ascii="FangSong" w:hAnsi="FangSong" w:eastAsia="FangSong" w:cs="FangSong"/>
          <w:sz w:val="30"/>
          <w:szCs w:val="30"/>
        </w:rPr>
        <w:t xml:space="preserve"> </w:t>
      </w:r>
      <w:r>
        <w:rPr>
          <w:rFonts w:ascii="FangSong" w:hAnsi="FangSong" w:eastAsia="FangSong" w:cs="FangSong"/>
          <w:sz w:val="30"/>
          <w:szCs w:val="30"/>
          <w:b/>
          <w:bCs/>
          <w:spacing w:val="15"/>
        </w:rPr>
        <w:t>定的卫生标准和要求的</w:t>
      </w:r>
    </w:p>
    <w:p>
      <w:pPr>
        <w:ind w:left="754"/>
        <w:spacing w:before="1"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24" w:firstLine="630"/>
        <w:spacing w:before="75" w:line="272" w:lineRule="auto"/>
        <w:jc w:val="both"/>
        <w:rPr>
          <w:rFonts w:ascii="FangSong" w:hAnsi="FangSong" w:eastAsia="FangSong" w:cs="FangSong"/>
          <w:sz w:val="30"/>
          <w:szCs w:val="30"/>
        </w:rPr>
      </w:pPr>
      <w:r>
        <w:rPr>
          <w:rFonts w:ascii="FangSong" w:hAnsi="FangSong" w:eastAsia="FangSong" w:cs="FangSong"/>
          <w:sz w:val="30"/>
          <w:szCs w:val="30"/>
          <w:spacing w:val="19"/>
        </w:rPr>
        <w:t>《血液制品管理条例》第四十条</w:t>
      </w:r>
      <w:r>
        <w:rPr>
          <w:rFonts w:ascii="FangSong" w:hAnsi="FangSong" w:eastAsia="FangSong" w:cs="FangSong"/>
          <w:sz w:val="30"/>
          <w:szCs w:val="30"/>
          <w:spacing w:val="19"/>
        </w:rPr>
        <w:t xml:space="preserve">  </w:t>
      </w:r>
      <w:r>
        <w:rPr>
          <w:rFonts w:ascii="FangSong" w:hAnsi="FangSong" w:eastAsia="FangSong" w:cs="FangSong"/>
          <w:sz w:val="30"/>
          <w:szCs w:val="30"/>
          <w:spacing w:val="19"/>
        </w:rPr>
        <w:t>违反本条例规定，</w:t>
      </w:r>
      <w:r>
        <w:rPr>
          <w:rFonts w:ascii="FangSong" w:hAnsi="FangSong" w:eastAsia="FangSong" w:cs="FangSong"/>
          <w:sz w:val="30"/>
          <w:szCs w:val="30"/>
          <w:spacing w:val="18"/>
        </w:rPr>
        <w:t>血液制品生产经营单位生产、包装、储存、</w:t>
      </w:r>
      <w:r>
        <w:rPr>
          <w:rFonts w:ascii="FangSong" w:hAnsi="FangSong" w:eastAsia="FangSong" w:cs="FangSong"/>
          <w:sz w:val="30"/>
          <w:szCs w:val="30"/>
        </w:rPr>
        <w:t xml:space="preserve"> </w:t>
      </w:r>
      <w:r>
        <w:rPr>
          <w:rFonts w:ascii="FangSong" w:hAnsi="FangSong" w:eastAsia="FangSong" w:cs="FangSong"/>
          <w:sz w:val="30"/>
          <w:szCs w:val="30"/>
          <w:spacing w:val="17"/>
        </w:rPr>
        <w:t>运输、经营血液制品不符合国家规定的卫生标准和要求的，由</w:t>
      </w:r>
      <w:r>
        <w:rPr>
          <w:rFonts w:ascii="FangSong" w:hAnsi="FangSong" w:eastAsia="FangSong" w:cs="FangSong"/>
          <w:sz w:val="30"/>
          <w:szCs w:val="30"/>
          <w:spacing w:val="16"/>
        </w:rPr>
        <w:t>省、自治区、直辖市人民政府卫生行政</w:t>
      </w:r>
      <w:r>
        <w:rPr>
          <w:rFonts w:ascii="FangSong" w:hAnsi="FangSong" w:eastAsia="FangSong" w:cs="FangSong"/>
          <w:sz w:val="30"/>
          <w:szCs w:val="30"/>
        </w:rPr>
        <w:t xml:space="preserve"> </w:t>
      </w:r>
      <w:r>
        <w:rPr>
          <w:rFonts w:ascii="FangSong" w:hAnsi="FangSong" w:eastAsia="FangSong" w:cs="FangSong"/>
          <w:sz w:val="30"/>
          <w:szCs w:val="30"/>
          <w:spacing w:val="23"/>
        </w:rPr>
        <w:t>部门责令改正，可以处1万元以下的罚款。</w:t>
      </w:r>
    </w:p>
    <w:p>
      <w:pPr>
        <w:spacing w:line="272" w:lineRule="auto"/>
        <w:sectPr>
          <w:footerReference w:type="default" r:id="rId393"/>
          <w:pgSz w:w="16830" w:h="11900"/>
          <w:pgMar w:top="1011" w:right="1360" w:bottom="1130" w:left="1314" w:header="0" w:footer="806" w:gutter="0"/>
        </w:sectPr>
        <w:rPr>
          <w:rFonts w:ascii="FangSong" w:hAnsi="FangSong" w:eastAsia="FangSong" w:cs="FangSong"/>
          <w:sz w:val="30"/>
          <w:szCs w:val="30"/>
        </w:rPr>
      </w:pPr>
    </w:p>
    <w:p>
      <w:pPr>
        <w:pStyle w:val="BodyText"/>
        <w:spacing w:line="259" w:lineRule="auto"/>
        <w:rPr/>
      </w:pPr>
      <w:r/>
    </w:p>
    <w:p>
      <w:pPr>
        <w:pStyle w:val="BodyText"/>
        <w:spacing w:line="259" w:lineRule="auto"/>
        <w:rPr/>
      </w:pPr>
      <w:r/>
    </w:p>
    <w:p>
      <w:pPr>
        <w:pStyle w:val="BodyText"/>
        <w:spacing w:line="260" w:lineRule="auto"/>
        <w:rPr/>
      </w:pPr>
      <w:r/>
    </w:p>
    <w:p>
      <w:pPr>
        <w:ind w:left="6414"/>
        <w:spacing w:before="94" w:line="214" w:lineRule="auto"/>
        <w:rPr>
          <w:rFonts w:ascii="SimSun" w:hAnsi="SimSun" w:eastAsia="SimSun" w:cs="SimSun"/>
          <w:sz w:val="29"/>
          <w:szCs w:val="29"/>
        </w:rPr>
      </w:pPr>
      <w:bookmarkStart w:name="bookmark1046" w:id="417"/>
      <w:bookmarkEnd w:id="417"/>
      <w:r>
        <w:rPr>
          <w:rFonts w:ascii="SimSun" w:hAnsi="SimSun" w:eastAsia="SimSun" w:cs="SimSun"/>
          <w:sz w:val="29"/>
          <w:szCs w:val="29"/>
          <w:b/>
          <w:bCs/>
          <w:spacing w:val="-6"/>
        </w:rPr>
        <w:t>裁量标准</w:t>
      </w:r>
    </w:p>
    <w:tbl>
      <w:tblPr>
        <w:tblStyle w:val="TableNormal"/>
        <w:tblW w:w="13819" w:type="dxa"/>
        <w:tblInd w:w="6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3"/>
        <w:gridCol w:w="8394"/>
        <w:gridCol w:w="3982"/>
      </w:tblGrid>
      <w:tr>
        <w:trPr>
          <w:trHeight w:val="441" w:hRule="atLeast"/>
        </w:trPr>
        <w:tc>
          <w:tcPr>
            <w:tcW w:w="1443" w:type="dxa"/>
            <w:vAlign w:val="top"/>
          </w:tcPr>
          <w:p>
            <w:pPr>
              <w:pStyle w:val="TableText"/>
              <w:ind w:left="218"/>
              <w:spacing w:before="102" w:line="220" w:lineRule="auto"/>
              <w:rPr>
                <w:sz w:val="25"/>
                <w:szCs w:val="25"/>
              </w:rPr>
            </w:pPr>
            <w:r>
              <w:rPr>
                <w:sz w:val="25"/>
                <w:szCs w:val="25"/>
                <w:b/>
                <w:bCs/>
                <w:spacing w:val="-5"/>
              </w:rPr>
              <w:t>违法程度</w:t>
            </w:r>
          </w:p>
        </w:tc>
        <w:tc>
          <w:tcPr>
            <w:tcW w:w="8394" w:type="dxa"/>
            <w:vAlign w:val="top"/>
          </w:tcPr>
          <w:p>
            <w:pPr>
              <w:pStyle w:val="TableText"/>
              <w:ind w:left="3695"/>
              <w:spacing w:before="102" w:line="220" w:lineRule="auto"/>
              <w:rPr>
                <w:sz w:val="25"/>
                <w:szCs w:val="25"/>
              </w:rPr>
            </w:pPr>
            <w:r>
              <w:rPr>
                <w:sz w:val="25"/>
                <w:szCs w:val="25"/>
                <w:b/>
                <w:bCs/>
                <w:spacing w:val="-5"/>
              </w:rPr>
              <w:t>情节后果</w:t>
            </w:r>
          </w:p>
        </w:tc>
        <w:tc>
          <w:tcPr>
            <w:tcW w:w="3982" w:type="dxa"/>
            <w:vAlign w:val="top"/>
          </w:tcPr>
          <w:p>
            <w:pPr>
              <w:pStyle w:val="TableText"/>
              <w:ind w:left="1431"/>
              <w:spacing w:before="99" w:line="218" w:lineRule="auto"/>
              <w:rPr>
                <w:sz w:val="25"/>
                <w:szCs w:val="25"/>
              </w:rPr>
            </w:pPr>
            <w:r>
              <w:rPr>
                <w:sz w:val="25"/>
                <w:szCs w:val="25"/>
                <w:b/>
                <w:bCs/>
                <w:spacing w:val="-5"/>
              </w:rPr>
              <w:t>裁量幅度</w:t>
            </w:r>
          </w:p>
        </w:tc>
      </w:tr>
      <w:tr>
        <w:trPr>
          <w:trHeight w:val="679" w:hRule="atLeast"/>
        </w:trPr>
        <w:tc>
          <w:tcPr>
            <w:tcW w:w="1443" w:type="dxa"/>
            <w:vAlign w:val="top"/>
          </w:tcPr>
          <w:p>
            <w:pPr>
              <w:pStyle w:val="TableText"/>
              <w:ind w:left="468"/>
              <w:spacing w:before="271" w:line="220" w:lineRule="auto"/>
              <w:rPr>
                <w:sz w:val="25"/>
                <w:szCs w:val="25"/>
              </w:rPr>
            </w:pPr>
            <w:r>
              <w:rPr>
                <w:sz w:val="25"/>
                <w:szCs w:val="25"/>
                <w:b/>
                <w:bCs/>
                <w:spacing w:val="-6"/>
              </w:rPr>
              <w:t>严重</w:t>
            </w:r>
          </w:p>
        </w:tc>
        <w:tc>
          <w:tcPr>
            <w:tcW w:w="8394" w:type="dxa"/>
            <w:vAlign w:val="top"/>
          </w:tcPr>
          <w:p>
            <w:pPr>
              <w:pStyle w:val="TableText"/>
              <w:ind w:left="104" w:hanging="89"/>
              <w:spacing w:before="59" w:line="225" w:lineRule="auto"/>
              <w:rPr>
                <w:sz w:val="25"/>
                <w:szCs w:val="25"/>
              </w:rPr>
            </w:pPr>
            <w:r>
              <w:rPr>
                <w:sz w:val="25"/>
                <w:szCs w:val="25"/>
                <w:b/>
                <w:bCs/>
                <w:spacing w:val="-7"/>
              </w:rPr>
              <w:t>发现血液制品生产企业生产、包装、储存、运输、经营上述血液制品不符合国</w:t>
            </w:r>
            <w:r>
              <w:rPr>
                <w:sz w:val="25"/>
                <w:szCs w:val="25"/>
                <w:spacing w:val="16"/>
              </w:rPr>
              <w:t xml:space="preserve"> </w:t>
            </w:r>
            <w:r>
              <w:rPr>
                <w:sz w:val="25"/>
                <w:szCs w:val="25"/>
                <w:b/>
                <w:bCs/>
                <w:spacing w:val="-3"/>
              </w:rPr>
              <w:t>家规定的卫生标准和要求的</w:t>
            </w:r>
          </w:p>
        </w:tc>
        <w:tc>
          <w:tcPr>
            <w:tcW w:w="3982" w:type="dxa"/>
            <w:vAlign w:val="top"/>
          </w:tcPr>
          <w:p>
            <w:pPr>
              <w:pStyle w:val="TableText"/>
              <w:ind w:left="131"/>
              <w:spacing w:before="221" w:line="220" w:lineRule="auto"/>
              <w:rPr>
                <w:sz w:val="25"/>
                <w:szCs w:val="25"/>
              </w:rPr>
            </w:pPr>
            <w:r>
              <w:rPr>
                <w:sz w:val="25"/>
                <w:szCs w:val="25"/>
                <w:b/>
                <w:bCs/>
                <w:spacing w:val="-2"/>
              </w:rPr>
              <w:t>处1万元以下的罚款</w:t>
            </w:r>
          </w:p>
        </w:tc>
      </w:tr>
    </w:tbl>
    <w:p>
      <w:pPr>
        <w:pStyle w:val="BodyText"/>
        <w:spacing w:line="241" w:lineRule="auto"/>
        <w:rPr/>
      </w:pPr>
      <w:r/>
    </w:p>
    <w:p>
      <w:pPr>
        <w:pStyle w:val="BodyText"/>
        <w:spacing w:line="242" w:lineRule="auto"/>
        <w:rPr/>
      </w:pPr>
      <w:r/>
    </w:p>
    <w:p>
      <w:pPr>
        <w:ind w:left="644"/>
        <w:spacing w:before="91" w:line="220" w:lineRule="auto"/>
        <w:rPr>
          <w:rFonts w:ascii="FangSong" w:hAnsi="FangSong" w:eastAsia="FangSong" w:cs="FangSong"/>
          <w:sz w:val="28"/>
          <w:szCs w:val="28"/>
        </w:rPr>
      </w:pPr>
      <w:r>
        <w:rPr>
          <w:rFonts w:ascii="FangSong" w:hAnsi="FangSong" w:eastAsia="FangSong" w:cs="FangSong"/>
          <w:sz w:val="28"/>
          <w:szCs w:val="28"/>
          <w:b/>
          <w:bCs/>
          <w:spacing w:val="43"/>
        </w:rPr>
        <w:t>第三百四十九条擅自进出口血液制品或者出口原料血浆的</w:t>
      </w:r>
    </w:p>
    <w:p>
      <w:pPr>
        <w:ind w:left="640"/>
        <w:spacing w:before="124" w:line="222" w:lineRule="auto"/>
        <w:rPr>
          <w:rFonts w:ascii="FangSong" w:hAnsi="FangSong" w:eastAsia="FangSong" w:cs="FangSong"/>
          <w:sz w:val="28"/>
          <w:szCs w:val="28"/>
        </w:rPr>
      </w:pPr>
      <w:r>
        <w:rPr>
          <w:rFonts w:ascii="FangSong" w:hAnsi="FangSong" w:eastAsia="FangSong" w:cs="FangSong"/>
          <w:sz w:val="28"/>
          <w:szCs w:val="28"/>
          <w:spacing w:val="17"/>
        </w:rPr>
        <w:t>法律依据：</w:t>
      </w:r>
    </w:p>
    <w:p>
      <w:pPr>
        <w:ind w:firstLine="629"/>
        <w:spacing w:before="79" w:line="290" w:lineRule="auto"/>
        <w:jc w:val="both"/>
        <w:rPr>
          <w:rFonts w:ascii="FangSong" w:hAnsi="FangSong" w:eastAsia="FangSong" w:cs="FangSong"/>
          <w:sz w:val="28"/>
          <w:szCs w:val="28"/>
        </w:rPr>
      </w:pPr>
      <w:r>
        <w:rPr>
          <w:rFonts w:ascii="FangSong" w:hAnsi="FangSong" w:eastAsia="FangSong" w:cs="FangSong"/>
          <w:sz w:val="28"/>
          <w:szCs w:val="28"/>
          <w:spacing w:val="31"/>
        </w:rPr>
        <w:t>《血液制品管理条例》第四十二条</w:t>
      </w:r>
      <w:r>
        <w:rPr>
          <w:rFonts w:ascii="FangSong" w:hAnsi="FangSong" w:eastAsia="FangSong" w:cs="FangSong"/>
          <w:sz w:val="28"/>
          <w:szCs w:val="28"/>
          <w:spacing w:val="31"/>
        </w:rPr>
        <w:t xml:space="preserve">  </w:t>
      </w:r>
      <w:r>
        <w:rPr>
          <w:rFonts w:ascii="FangSong" w:hAnsi="FangSong" w:eastAsia="FangSong" w:cs="FangSong"/>
          <w:sz w:val="28"/>
          <w:szCs w:val="28"/>
          <w:spacing w:val="31"/>
        </w:rPr>
        <w:t>违反本条例规定，擅自进出口血液制品或者出口原料血浆的，</w:t>
      </w:r>
      <w:r>
        <w:rPr>
          <w:rFonts w:ascii="FangSong" w:hAnsi="FangSong" w:eastAsia="FangSong" w:cs="FangSong"/>
          <w:sz w:val="28"/>
          <w:szCs w:val="28"/>
          <w:spacing w:val="5"/>
        </w:rPr>
        <w:t xml:space="preserve"> </w:t>
      </w:r>
      <w:r>
        <w:rPr>
          <w:rFonts w:ascii="FangSong" w:hAnsi="FangSong" w:eastAsia="FangSong" w:cs="FangSong"/>
          <w:sz w:val="28"/>
          <w:szCs w:val="28"/>
          <w:spacing w:val="37"/>
        </w:rPr>
        <w:t>由省级以上人民政府卫生行政部门没收所进出口的血液制品或者所出口的原料血浆和违法所得，并处</w:t>
      </w:r>
      <w:r>
        <w:rPr>
          <w:rFonts w:ascii="FangSong" w:hAnsi="FangSong" w:eastAsia="FangSong" w:cs="FangSong"/>
          <w:sz w:val="28"/>
          <w:szCs w:val="28"/>
          <w:spacing w:val="10"/>
        </w:rPr>
        <w:t xml:space="preserve"> </w:t>
      </w:r>
      <w:r>
        <w:rPr>
          <w:rFonts w:ascii="FangSong" w:hAnsi="FangSong" w:eastAsia="FangSong" w:cs="FangSong"/>
          <w:sz w:val="28"/>
          <w:szCs w:val="28"/>
          <w:spacing w:val="47"/>
        </w:rPr>
        <w:t>所进出口的血液制品或者所出口的原料血浆总</w:t>
      </w:r>
      <w:r>
        <w:rPr>
          <w:rFonts w:ascii="FangSong" w:hAnsi="FangSong" w:eastAsia="FangSong" w:cs="FangSong"/>
          <w:sz w:val="28"/>
          <w:szCs w:val="28"/>
          <w:spacing w:val="46"/>
        </w:rPr>
        <w:t>值3倍以上5倍以下的罚款。</w:t>
      </w:r>
    </w:p>
    <w:p>
      <w:pPr>
        <w:ind w:left="6414"/>
        <w:spacing w:before="13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1" w:lineRule="auto"/>
        <w:rPr>
          <w:rFonts w:ascii="Arial"/>
          <w:sz w:val="2"/>
        </w:rPr>
      </w:pPr>
      <w:r>
        <w:rPr>
          <w:rFonts w:ascii="Arial"/>
          <w:sz w:val="2"/>
        </w:rPr>
      </w:r>
    </w:p>
    <w:tbl>
      <w:tblPr>
        <w:tblStyle w:val="TableNormal"/>
        <w:tblW w:w="13770" w:type="dxa"/>
        <w:tblInd w:w="7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6355"/>
        <w:gridCol w:w="5971"/>
      </w:tblGrid>
      <w:tr>
        <w:trPr>
          <w:trHeight w:val="441" w:hRule="atLeast"/>
        </w:trPr>
        <w:tc>
          <w:tcPr>
            <w:tcW w:w="1444" w:type="dxa"/>
            <w:vAlign w:val="top"/>
          </w:tcPr>
          <w:p>
            <w:pPr>
              <w:pStyle w:val="TableText"/>
              <w:ind w:left="218"/>
              <w:spacing w:before="102" w:line="220" w:lineRule="auto"/>
              <w:rPr>
                <w:sz w:val="25"/>
                <w:szCs w:val="25"/>
              </w:rPr>
            </w:pPr>
            <w:r>
              <w:rPr>
                <w:sz w:val="25"/>
                <w:szCs w:val="25"/>
                <w:b/>
                <w:bCs/>
                <w:spacing w:val="-5"/>
              </w:rPr>
              <w:t>违法程度</w:t>
            </w:r>
          </w:p>
        </w:tc>
        <w:tc>
          <w:tcPr>
            <w:tcW w:w="6355" w:type="dxa"/>
            <w:vAlign w:val="top"/>
          </w:tcPr>
          <w:p>
            <w:pPr>
              <w:pStyle w:val="TableText"/>
              <w:ind w:left="2604"/>
              <w:spacing w:before="102" w:line="220" w:lineRule="auto"/>
              <w:rPr>
                <w:sz w:val="25"/>
                <w:szCs w:val="25"/>
              </w:rPr>
            </w:pPr>
            <w:r>
              <w:rPr>
                <w:sz w:val="25"/>
                <w:szCs w:val="25"/>
                <w:b/>
                <w:bCs/>
                <w:spacing w:val="-5"/>
              </w:rPr>
              <w:t>情节后果</w:t>
            </w:r>
          </w:p>
        </w:tc>
        <w:tc>
          <w:tcPr>
            <w:tcW w:w="5971" w:type="dxa"/>
            <w:vAlign w:val="top"/>
          </w:tcPr>
          <w:p>
            <w:pPr>
              <w:pStyle w:val="TableText"/>
              <w:ind w:left="2479"/>
              <w:spacing w:before="99" w:line="218" w:lineRule="auto"/>
              <w:rPr>
                <w:sz w:val="25"/>
                <w:szCs w:val="25"/>
              </w:rPr>
            </w:pPr>
            <w:r>
              <w:rPr>
                <w:sz w:val="25"/>
                <w:szCs w:val="25"/>
                <w:b/>
                <w:bCs/>
                <w:spacing w:val="-5"/>
              </w:rPr>
              <w:t>裁量幅度</w:t>
            </w:r>
          </w:p>
        </w:tc>
      </w:tr>
      <w:tr>
        <w:trPr>
          <w:trHeight w:val="709" w:hRule="atLeast"/>
        </w:trPr>
        <w:tc>
          <w:tcPr>
            <w:tcW w:w="1444" w:type="dxa"/>
            <w:vAlign w:val="top"/>
          </w:tcPr>
          <w:p>
            <w:pPr>
              <w:pStyle w:val="TableText"/>
              <w:ind w:left="468"/>
              <w:spacing w:before="281" w:line="220" w:lineRule="auto"/>
              <w:rPr>
                <w:sz w:val="25"/>
                <w:szCs w:val="25"/>
              </w:rPr>
            </w:pPr>
            <w:r>
              <w:rPr>
                <w:sz w:val="25"/>
                <w:szCs w:val="25"/>
                <w:b/>
                <w:bCs/>
                <w:spacing w:val="-6"/>
              </w:rPr>
              <w:t>严重</w:t>
            </w:r>
          </w:p>
        </w:tc>
        <w:tc>
          <w:tcPr>
            <w:tcW w:w="6355" w:type="dxa"/>
            <w:vAlign w:val="top"/>
          </w:tcPr>
          <w:p>
            <w:pPr>
              <w:pStyle w:val="TableText"/>
              <w:ind w:left="104"/>
              <w:spacing w:before="230" w:line="219" w:lineRule="auto"/>
              <w:rPr>
                <w:sz w:val="25"/>
                <w:szCs w:val="25"/>
              </w:rPr>
            </w:pPr>
            <w:r>
              <w:rPr>
                <w:sz w:val="25"/>
                <w:szCs w:val="25"/>
                <w:b/>
                <w:bCs/>
                <w:spacing w:val="-2"/>
              </w:rPr>
              <w:t>擅自进出口血液制品或者出口原料血浆的</w:t>
            </w:r>
          </w:p>
        </w:tc>
        <w:tc>
          <w:tcPr>
            <w:tcW w:w="5971" w:type="dxa"/>
            <w:vAlign w:val="top"/>
          </w:tcPr>
          <w:p>
            <w:pPr>
              <w:pStyle w:val="TableText"/>
              <w:ind w:left="129" w:hanging="110"/>
              <w:spacing w:before="81" w:line="228" w:lineRule="auto"/>
              <w:rPr>
                <w:sz w:val="25"/>
                <w:szCs w:val="25"/>
              </w:rPr>
            </w:pPr>
            <w:r>
              <w:rPr>
                <w:sz w:val="25"/>
                <w:szCs w:val="25"/>
                <w:b/>
                <w:bCs/>
                <w:spacing w:val="-5"/>
              </w:rPr>
              <w:t>没收进出口的血液制品或者所出口的原料血浆和</w:t>
            </w:r>
            <w:r>
              <w:rPr>
                <w:sz w:val="25"/>
                <w:szCs w:val="25"/>
                <w:b/>
                <w:bCs/>
                <w:spacing w:val="-6"/>
              </w:rPr>
              <w:t>违法所</w:t>
            </w:r>
            <w:r>
              <w:rPr>
                <w:sz w:val="25"/>
                <w:szCs w:val="25"/>
              </w:rPr>
              <w:t xml:space="preserve"> </w:t>
            </w:r>
            <w:r>
              <w:rPr>
                <w:sz w:val="25"/>
                <w:szCs w:val="25"/>
                <w:b/>
                <w:bCs/>
                <w:spacing w:val="-4"/>
              </w:rPr>
              <w:t>得，处货值的3倍以上5倍以下罚款</w:t>
            </w:r>
          </w:p>
        </w:tc>
      </w:tr>
    </w:tbl>
    <w:p>
      <w:pPr>
        <w:pStyle w:val="BodyText"/>
        <w:spacing w:line="328" w:lineRule="auto"/>
        <w:rPr/>
      </w:pPr>
      <w:r/>
    </w:p>
    <w:p>
      <w:pPr>
        <w:pStyle w:val="BodyText"/>
        <w:spacing w:line="329" w:lineRule="auto"/>
        <w:rPr/>
      </w:pPr>
      <w:r/>
    </w:p>
    <w:p>
      <w:pPr>
        <w:ind w:left="784"/>
        <w:spacing w:before="104" w:line="223" w:lineRule="auto"/>
        <w:rPr>
          <w:rFonts w:ascii="KaiTi" w:hAnsi="KaiTi" w:eastAsia="KaiTi" w:cs="KaiTi"/>
          <w:sz w:val="32"/>
          <w:szCs w:val="32"/>
        </w:rPr>
      </w:pPr>
      <w:r>
        <w:rPr>
          <w:rFonts w:ascii="KaiTi" w:hAnsi="KaiTi" w:eastAsia="KaiTi" w:cs="KaiTi"/>
          <w:sz w:val="32"/>
          <w:szCs w:val="32"/>
          <w:b/>
          <w:bCs/>
          <w:spacing w:val="9"/>
        </w:rPr>
        <w:t>(三十一)《单采血浆站管理办法》</w:t>
      </w:r>
    </w:p>
    <w:p>
      <w:pPr>
        <w:pStyle w:val="BodyText"/>
        <w:spacing w:line="263" w:lineRule="auto"/>
        <w:rPr/>
      </w:pPr>
      <w:r/>
    </w:p>
    <w:p>
      <w:pPr>
        <w:ind w:left="640" w:right="117" w:firstLine="4"/>
        <w:spacing w:before="91" w:line="255" w:lineRule="auto"/>
        <w:rPr>
          <w:rFonts w:ascii="FangSong" w:hAnsi="FangSong" w:eastAsia="FangSong" w:cs="FangSong"/>
          <w:sz w:val="28"/>
          <w:szCs w:val="28"/>
        </w:rPr>
      </w:pPr>
      <w:r>
        <w:rPr>
          <w:rFonts w:ascii="FangSong" w:hAnsi="FangSong" w:eastAsia="FangSong" w:cs="FangSong"/>
          <w:sz w:val="28"/>
          <w:szCs w:val="28"/>
          <w:b/>
          <w:bCs/>
          <w:spacing w:val="41"/>
        </w:rPr>
        <w:t>第三百五十条单采血浆站隐瞒、阻碍、拒绝卫生行政部门监督检查或者不如实提供有</w:t>
      </w:r>
      <w:r>
        <w:rPr>
          <w:rFonts w:ascii="FangSong" w:hAnsi="FangSong" w:eastAsia="FangSong" w:cs="FangSong"/>
          <w:sz w:val="28"/>
          <w:szCs w:val="28"/>
          <w:b/>
          <w:bCs/>
          <w:spacing w:val="40"/>
        </w:rPr>
        <w:t>关资料的</w:t>
      </w:r>
      <w:r>
        <w:rPr>
          <w:rFonts w:ascii="FangSong" w:hAnsi="FangSong" w:eastAsia="FangSong" w:cs="FangSong"/>
          <w:sz w:val="28"/>
          <w:szCs w:val="28"/>
        </w:rPr>
        <w:t xml:space="preserve"> </w:t>
      </w:r>
      <w:r>
        <w:rPr>
          <w:rFonts w:ascii="FangSong" w:hAnsi="FangSong" w:eastAsia="FangSong" w:cs="FangSong"/>
          <w:sz w:val="28"/>
          <w:szCs w:val="28"/>
          <w:spacing w:val="17"/>
        </w:rPr>
        <w:t>法律依据：</w:t>
      </w:r>
    </w:p>
    <w:p>
      <w:pPr>
        <w:spacing w:line="255" w:lineRule="auto"/>
        <w:sectPr>
          <w:footerReference w:type="default" r:id="rId394"/>
          <w:pgSz w:w="16830" w:h="11900"/>
          <w:pgMar w:top="1011" w:right="1349" w:bottom="1107" w:left="1439" w:header="0" w:footer="774" w:gutter="0"/>
        </w:sectPr>
        <w:rPr>
          <w:rFonts w:ascii="FangSong" w:hAnsi="FangSong" w:eastAsia="FangSong" w:cs="FangSong"/>
          <w:sz w:val="28"/>
          <w:szCs w:val="28"/>
        </w:rPr>
      </w:pPr>
    </w:p>
    <w:p>
      <w:pPr>
        <w:pStyle w:val="BodyText"/>
        <w:spacing w:line="267" w:lineRule="auto"/>
        <w:rPr/>
      </w:pPr>
      <w:r/>
    </w:p>
    <w:p>
      <w:pPr>
        <w:pStyle w:val="BodyText"/>
        <w:spacing w:line="268" w:lineRule="auto"/>
        <w:rPr/>
      </w:pPr>
      <w:r/>
    </w:p>
    <w:p>
      <w:pPr>
        <w:pStyle w:val="BodyText"/>
        <w:spacing w:line="268" w:lineRule="auto"/>
        <w:rPr/>
      </w:pPr>
      <w:r/>
    </w:p>
    <w:p>
      <w:pPr>
        <w:ind w:left="124" w:right="110" w:firstLine="619"/>
        <w:spacing w:before="97" w:line="270" w:lineRule="auto"/>
        <w:rPr>
          <w:rFonts w:ascii="FangSong" w:hAnsi="FangSong" w:eastAsia="FangSong" w:cs="FangSong"/>
          <w:sz w:val="30"/>
          <w:szCs w:val="30"/>
        </w:rPr>
      </w:pPr>
      <w:r>
        <w:rPr>
          <w:rFonts w:ascii="FangSong" w:hAnsi="FangSong" w:eastAsia="FangSong" w:cs="FangSong"/>
          <w:sz w:val="30"/>
          <w:szCs w:val="30"/>
          <w:spacing w:val="24"/>
        </w:rPr>
        <w:t>《单采血浆站管理办法》第六十二条第(一)项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单采血浆站违反本办法有</w:t>
      </w:r>
      <w:r>
        <w:rPr>
          <w:rFonts w:ascii="FangSong" w:hAnsi="FangSong" w:eastAsia="FangSong" w:cs="FangSong"/>
          <w:sz w:val="30"/>
          <w:szCs w:val="30"/>
          <w:spacing w:val="23"/>
        </w:rPr>
        <w:t>关规定，有下列行为</w:t>
      </w:r>
      <w:r>
        <w:rPr>
          <w:rFonts w:ascii="FangSong" w:hAnsi="FangSong" w:eastAsia="FangSong" w:cs="FangSong"/>
          <w:sz w:val="30"/>
          <w:szCs w:val="30"/>
        </w:rPr>
        <w:t xml:space="preserve"> </w:t>
      </w:r>
      <w:r>
        <w:rPr>
          <w:rFonts w:ascii="FangSong" w:hAnsi="FangSong" w:eastAsia="FangSong" w:cs="FangSong"/>
          <w:sz w:val="30"/>
          <w:szCs w:val="30"/>
          <w:spacing w:val="20"/>
        </w:rPr>
        <w:t>之一的，由县级以上地方人民政府卫生计生行政部门予以警告，并</w:t>
      </w:r>
      <w:r>
        <w:rPr>
          <w:rFonts w:ascii="FangSong" w:hAnsi="FangSong" w:eastAsia="FangSong" w:cs="FangSong"/>
          <w:sz w:val="30"/>
          <w:szCs w:val="30"/>
          <w:spacing w:val="19"/>
        </w:rPr>
        <w:t>处3</w:t>
      </w:r>
      <w:r>
        <w:rPr>
          <w:rFonts w:ascii="FangSong" w:hAnsi="FangSong" w:eastAsia="FangSong" w:cs="FangSong"/>
          <w:sz w:val="30"/>
          <w:szCs w:val="30"/>
          <w:spacing w:val="19"/>
        </w:rPr>
        <w:t xml:space="preserve"> </w:t>
      </w:r>
      <w:r>
        <w:rPr>
          <w:rFonts w:ascii="FangSong" w:hAnsi="FangSong" w:eastAsia="FangSong" w:cs="FangSong"/>
          <w:sz w:val="30"/>
          <w:szCs w:val="30"/>
          <w:spacing w:val="19"/>
        </w:rPr>
        <w:t>万元以下的罚款。</w:t>
      </w:r>
    </w:p>
    <w:p>
      <w:pPr>
        <w:ind w:left="894"/>
        <w:spacing w:before="1" w:line="220" w:lineRule="auto"/>
        <w:rPr>
          <w:rFonts w:ascii="FangSong" w:hAnsi="FangSong" w:eastAsia="FangSong" w:cs="FangSong"/>
          <w:sz w:val="30"/>
          <w:szCs w:val="30"/>
        </w:rPr>
      </w:pPr>
      <w:r>
        <w:rPr>
          <w:rFonts w:ascii="FangSong" w:hAnsi="FangSong" w:eastAsia="FangSong" w:cs="FangSong"/>
          <w:sz w:val="30"/>
          <w:szCs w:val="30"/>
          <w:spacing w:val="22"/>
        </w:rPr>
        <w:t>(一)隐瞒、阻碍、拒绝卫生行政部门监督检查或者不如实提供有关资料的</w:t>
      </w:r>
      <w:r>
        <w:rPr>
          <w:rFonts w:ascii="FangSong" w:hAnsi="FangSong" w:eastAsia="FangSong" w:cs="FangSong"/>
          <w:sz w:val="30"/>
          <w:szCs w:val="30"/>
          <w:spacing w:val="-64"/>
        </w:rPr>
        <w:t xml:space="preserve"> </w:t>
      </w:r>
      <w:r>
        <w:rPr>
          <w:rFonts w:ascii="FangSong" w:hAnsi="FangSong" w:eastAsia="FangSong" w:cs="FangSong"/>
          <w:sz w:val="30"/>
          <w:szCs w:val="30"/>
          <w:spacing w:val="22"/>
        </w:rPr>
        <w:t>；</w:t>
      </w:r>
    </w:p>
    <w:p>
      <w:pPr>
        <w:ind w:left="6529"/>
        <w:spacing w:before="161"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60" w:lineRule="exact"/>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6615"/>
        <w:gridCol w:w="6121"/>
      </w:tblGrid>
      <w:tr>
        <w:trPr>
          <w:trHeight w:val="442" w:hRule="atLeast"/>
        </w:trPr>
        <w:tc>
          <w:tcPr>
            <w:tcW w:w="1424" w:type="dxa"/>
            <w:vAlign w:val="top"/>
          </w:tcPr>
          <w:p>
            <w:pPr>
              <w:pStyle w:val="TableText"/>
              <w:ind w:left="208"/>
              <w:spacing w:before="102" w:line="220" w:lineRule="auto"/>
              <w:rPr>
                <w:sz w:val="25"/>
                <w:szCs w:val="25"/>
              </w:rPr>
            </w:pPr>
            <w:r>
              <w:rPr>
                <w:sz w:val="25"/>
                <w:szCs w:val="25"/>
                <w:b/>
                <w:bCs/>
                <w:spacing w:val="-5"/>
              </w:rPr>
              <w:t>违法程度</w:t>
            </w:r>
          </w:p>
        </w:tc>
        <w:tc>
          <w:tcPr>
            <w:tcW w:w="6615" w:type="dxa"/>
            <w:vAlign w:val="top"/>
          </w:tcPr>
          <w:p>
            <w:pPr>
              <w:pStyle w:val="TableText"/>
              <w:ind w:left="2744"/>
              <w:spacing w:before="102" w:line="220" w:lineRule="auto"/>
              <w:rPr>
                <w:sz w:val="25"/>
                <w:szCs w:val="25"/>
              </w:rPr>
            </w:pPr>
            <w:r>
              <w:rPr>
                <w:sz w:val="25"/>
                <w:szCs w:val="25"/>
                <w:b/>
                <w:bCs/>
                <w:spacing w:val="-5"/>
              </w:rPr>
              <w:t>情节后果</w:t>
            </w:r>
          </w:p>
        </w:tc>
        <w:tc>
          <w:tcPr>
            <w:tcW w:w="6121" w:type="dxa"/>
            <w:vAlign w:val="top"/>
          </w:tcPr>
          <w:p>
            <w:pPr>
              <w:pStyle w:val="TableText"/>
              <w:ind w:left="2499"/>
              <w:spacing w:before="99" w:line="218" w:lineRule="auto"/>
              <w:rPr>
                <w:sz w:val="25"/>
                <w:szCs w:val="25"/>
              </w:rPr>
            </w:pPr>
            <w:r>
              <w:rPr>
                <w:sz w:val="25"/>
                <w:szCs w:val="25"/>
                <w:b/>
                <w:bCs/>
                <w:spacing w:val="-5"/>
              </w:rPr>
              <w:t>裁量幅度</w:t>
            </w:r>
          </w:p>
        </w:tc>
      </w:tr>
      <w:tr>
        <w:trPr>
          <w:trHeight w:val="447" w:hRule="atLeast"/>
        </w:trPr>
        <w:tc>
          <w:tcPr>
            <w:tcW w:w="1424" w:type="dxa"/>
            <w:vAlign w:val="top"/>
          </w:tcPr>
          <w:p>
            <w:pPr>
              <w:pStyle w:val="TableText"/>
              <w:ind w:left="458"/>
              <w:spacing w:before="101" w:line="221" w:lineRule="auto"/>
              <w:rPr>
                <w:sz w:val="25"/>
                <w:szCs w:val="25"/>
              </w:rPr>
            </w:pPr>
            <w:r>
              <w:rPr>
                <w:sz w:val="25"/>
                <w:szCs w:val="25"/>
                <w:b/>
                <w:bCs/>
                <w:spacing w:val="-10"/>
              </w:rPr>
              <w:t>一般</w:t>
            </w:r>
          </w:p>
        </w:tc>
        <w:tc>
          <w:tcPr>
            <w:tcW w:w="6615" w:type="dxa"/>
            <w:vAlign w:val="top"/>
          </w:tcPr>
          <w:p>
            <w:pPr>
              <w:pStyle w:val="TableText"/>
              <w:ind w:left="130"/>
              <w:spacing w:before="101" w:line="219" w:lineRule="auto"/>
              <w:rPr>
                <w:sz w:val="25"/>
                <w:szCs w:val="25"/>
              </w:rPr>
            </w:pPr>
            <w:r>
              <w:rPr>
                <w:sz w:val="25"/>
                <w:szCs w:val="25"/>
              </w:rPr>
              <w:t>不如实提供有关资料，或隐瞒卫生行政部门监督检查的</w:t>
            </w:r>
          </w:p>
        </w:tc>
        <w:tc>
          <w:tcPr>
            <w:tcW w:w="6121" w:type="dxa"/>
            <w:vAlign w:val="top"/>
          </w:tcPr>
          <w:p>
            <w:pPr>
              <w:pStyle w:val="TableText"/>
              <w:ind w:left="125"/>
              <w:spacing w:before="101" w:line="218" w:lineRule="auto"/>
              <w:rPr>
                <w:sz w:val="25"/>
                <w:szCs w:val="25"/>
              </w:rPr>
            </w:pPr>
            <w:r>
              <w:rPr>
                <w:sz w:val="25"/>
                <w:szCs w:val="25"/>
              </w:rPr>
              <w:t>予以警告，并处1000元以上1万元以下的罚款</w:t>
            </w:r>
          </w:p>
        </w:tc>
      </w:tr>
      <w:tr>
        <w:trPr>
          <w:trHeight w:val="398" w:hRule="atLeast"/>
        </w:trPr>
        <w:tc>
          <w:tcPr>
            <w:tcW w:w="1424" w:type="dxa"/>
            <w:vAlign w:val="top"/>
          </w:tcPr>
          <w:p>
            <w:pPr>
              <w:pStyle w:val="TableText"/>
              <w:ind w:left="458"/>
              <w:spacing w:before="86" w:line="221" w:lineRule="auto"/>
              <w:rPr>
                <w:sz w:val="25"/>
                <w:szCs w:val="25"/>
              </w:rPr>
            </w:pPr>
            <w:r>
              <w:rPr>
                <w:sz w:val="25"/>
                <w:szCs w:val="25"/>
                <w:b/>
                <w:bCs/>
                <w:spacing w:val="-6"/>
              </w:rPr>
              <w:t>较重</w:t>
            </w:r>
          </w:p>
        </w:tc>
        <w:tc>
          <w:tcPr>
            <w:tcW w:w="6615" w:type="dxa"/>
            <w:vAlign w:val="top"/>
          </w:tcPr>
          <w:p>
            <w:pPr>
              <w:pStyle w:val="TableText"/>
              <w:ind w:left="130"/>
              <w:spacing w:before="86" w:line="219" w:lineRule="auto"/>
              <w:rPr>
                <w:sz w:val="25"/>
                <w:szCs w:val="25"/>
              </w:rPr>
            </w:pPr>
            <w:r>
              <w:rPr>
                <w:sz w:val="25"/>
                <w:szCs w:val="25"/>
                <w:spacing w:val="1"/>
              </w:rPr>
              <w:t>阻碍、拒绝卫生行政部门监督检查的</w:t>
            </w:r>
          </w:p>
        </w:tc>
        <w:tc>
          <w:tcPr>
            <w:tcW w:w="6121" w:type="dxa"/>
            <w:vAlign w:val="top"/>
          </w:tcPr>
          <w:p>
            <w:pPr>
              <w:pStyle w:val="TableText"/>
              <w:ind w:left="125"/>
              <w:spacing w:before="84" w:line="218" w:lineRule="auto"/>
              <w:rPr>
                <w:sz w:val="25"/>
                <w:szCs w:val="25"/>
              </w:rPr>
            </w:pPr>
            <w:r>
              <w:rPr>
                <w:sz w:val="25"/>
                <w:szCs w:val="25"/>
              </w:rPr>
              <w:t>予以警告，并处1万元以上3万以下的罚款</w:t>
            </w:r>
          </w:p>
        </w:tc>
      </w:tr>
      <w:tr>
        <w:trPr>
          <w:trHeight w:val="412" w:hRule="atLeast"/>
        </w:trPr>
        <w:tc>
          <w:tcPr>
            <w:tcW w:w="1424" w:type="dxa"/>
            <w:vAlign w:val="top"/>
          </w:tcPr>
          <w:p>
            <w:pPr>
              <w:pStyle w:val="TableText"/>
              <w:ind w:left="458"/>
              <w:spacing w:before="85" w:line="220" w:lineRule="auto"/>
              <w:rPr>
                <w:sz w:val="25"/>
                <w:szCs w:val="25"/>
              </w:rPr>
            </w:pPr>
            <w:r>
              <w:rPr>
                <w:sz w:val="25"/>
                <w:szCs w:val="25"/>
                <w:b/>
                <w:bCs/>
                <w:spacing w:val="-6"/>
              </w:rPr>
              <w:t>严重</w:t>
            </w:r>
          </w:p>
        </w:tc>
        <w:tc>
          <w:tcPr>
            <w:tcW w:w="6615" w:type="dxa"/>
            <w:vAlign w:val="top"/>
          </w:tcPr>
          <w:p>
            <w:pPr>
              <w:pStyle w:val="TableText"/>
              <w:ind w:left="130"/>
              <w:spacing w:before="88" w:line="219" w:lineRule="auto"/>
              <w:rPr>
                <w:sz w:val="25"/>
                <w:szCs w:val="25"/>
              </w:rPr>
            </w:pPr>
            <w:r>
              <w:rPr>
                <w:sz w:val="25"/>
                <w:szCs w:val="25"/>
                <w:spacing w:val="1"/>
              </w:rPr>
              <w:t>拒绝卫生行政部门监督检查，情节严重的</w:t>
            </w:r>
          </w:p>
        </w:tc>
        <w:tc>
          <w:tcPr>
            <w:tcW w:w="6121" w:type="dxa"/>
            <w:vAlign w:val="top"/>
          </w:tcPr>
          <w:p>
            <w:pPr>
              <w:pStyle w:val="TableText"/>
              <w:ind w:left="125"/>
              <w:spacing w:before="86" w:line="218" w:lineRule="auto"/>
              <w:rPr>
                <w:sz w:val="25"/>
                <w:szCs w:val="25"/>
              </w:rPr>
            </w:pPr>
            <w:r>
              <w:rPr>
                <w:sz w:val="25"/>
                <w:szCs w:val="25"/>
                <w:spacing w:val="1"/>
              </w:rPr>
              <w:t>予以警告，并处3万元的罚款</w:t>
            </w:r>
          </w:p>
        </w:tc>
      </w:tr>
    </w:tbl>
    <w:p>
      <w:pPr>
        <w:ind w:left="789"/>
        <w:spacing w:before="127" w:line="220" w:lineRule="auto"/>
        <w:rPr>
          <w:rFonts w:ascii="FangSong" w:hAnsi="FangSong" w:eastAsia="FangSong" w:cs="FangSong"/>
          <w:sz w:val="30"/>
          <w:szCs w:val="30"/>
        </w:rPr>
      </w:pPr>
      <w:r>
        <w:rPr>
          <w:rFonts w:ascii="FangSong" w:hAnsi="FangSong" w:eastAsia="FangSong" w:cs="FangSong"/>
          <w:sz w:val="30"/>
          <w:szCs w:val="30"/>
          <w:b/>
          <w:bCs/>
          <w:spacing w:val="21"/>
        </w:rPr>
        <w:t>第三百五十一条单采血浆站对供血浆者未履行事先告知义务，未经供血浆者同意开展特殊免疫</w:t>
      </w:r>
    </w:p>
    <w:p>
      <w:pPr>
        <w:ind w:left="124"/>
        <w:spacing w:before="107" w:line="227" w:lineRule="auto"/>
        <w:rPr>
          <w:rFonts w:ascii="FangSong" w:hAnsi="FangSong" w:eastAsia="FangSong" w:cs="FangSong"/>
          <w:sz w:val="30"/>
          <w:szCs w:val="30"/>
        </w:rPr>
      </w:pPr>
      <w:r>
        <w:rPr>
          <w:rFonts w:ascii="FangSong" w:hAnsi="FangSong" w:eastAsia="FangSong" w:cs="FangSong"/>
          <w:sz w:val="30"/>
          <w:szCs w:val="30"/>
        </w:rPr>
        <w:t>的</w:t>
      </w:r>
    </w:p>
    <w:p>
      <w:pPr>
        <w:ind w:left="785"/>
        <w:spacing w:before="45" w:line="222" w:lineRule="auto"/>
        <w:rPr>
          <w:rFonts w:ascii="FangSong" w:hAnsi="FangSong" w:eastAsia="FangSong" w:cs="FangSong"/>
          <w:sz w:val="30"/>
          <w:szCs w:val="30"/>
        </w:rPr>
      </w:pPr>
      <w:r>
        <w:rPr>
          <w:rFonts w:ascii="FangSong" w:hAnsi="FangSong" w:eastAsia="FangSong" w:cs="FangSong"/>
          <w:sz w:val="30"/>
          <w:szCs w:val="30"/>
          <w:spacing w:val="29"/>
        </w:rPr>
        <w:t>法律依据：</w:t>
      </w:r>
    </w:p>
    <w:p>
      <w:pPr>
        <w:ind w:left="124" w:right="110" w:firstLine="619"/>
        <w:spacing w:before="86" w:line="270" w:lineRule="auto"/>
        <w:rPr>
          <w:rFonts w:ascii="FangSong" w:hAnsi="FangSong" w:eastAsia="FangSong" w:cs="FangSong"/>
          <w:sz w:val="30"/>
          <w:szCs w:val="30"/>
        </w:rPr>
      </w:pPr>
      <w:r>
        <w:rPr>
          <w:rFonts w:ascii="FangSong" w:hAnsi="FangSong" w:eastAsia="FangSong" w:cs="FangSong"/>
          <w:sz w:val="30"/>
          <w:szCs w:val="30"/>
          <w:spacing w:val="24"/>
        </w:rPr>
        <w:t>《单采血浆站管理办法》第六十二条第(二)项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单采血浆站违反本办法有</w:t>
      </w:r>
      <w:r>
        <w:rPr>
          <w:rFonts w:ascii="FangSong" w:hAnsi="FangSong" w:eastAsia="FangSong" w:cs="FangSong"/>
          <w:sz w:val="30"/>
          <w:szCs w:val="30"/>
          <w:spacing w:val="23"/>
        </w:rPr>
        <w:t>关规定，有下列行为</w:t>
      </w:r>
      <w:r>
        <w:rPr>
          <w:rFonts w:ascii="FangSong" w:hAnsi="FangSong" w:eastAsia="FangSong" w:cs="FangSong"/>
          <w:sz w:val="30"/>
          <w:szCs w:val="30"/>
        </w:rPr>
        <w:t xml:space="preserve"> </w:t>
      </w:r>
      <w:r>
        <w:rPr>
          <w:rFonts w:ascii="FangSong" w:hAnsi="FangSong" w:eastAsia="FangSong" w:cs="FangSong"/>
          <w:sz w:val="30"/>
          <w:szCs w:val="30"/>
          <w:spacing w:val="22"/>
        </w:rPr>
        <w:t>之一的，由县级以上地方人民政府卫生计生行政部门予以警告，并</w:t>
      </w:r>
      <w:r>
        <w:rPr>
          <w:rFonts w:ascii="FangSong" w:hAnsi="FangSong" w:eastAsia="FangSong" w:cs="FangSong"/>
          <w:sz w:val="30"/>
          <w:szCs w:val="30"/>
          <w:spacing w:val="21"/>
        </w:rPr>
        <w:t>处3万元以下的罚款：</w:t>
      </w:r>
    </w:p>
    <w:p>
      <w:pPr>
        <w:ind w:left="894"/>
        <w:spacing w:before="3" w:line="221" w:lineRule="auto"/>
        <w:rPr>
          <w:rFonts w:ascii="FangSong" w:hAnsi="FangSong" w:eastAsia="FangSong" w:cs="FangSong"/>
          <w:sz w:val="30"/>
          <w:szCs w:val="30"/>
        </w:rPr>
      </w:pPr>
      <w:r>
        <w:rPr>
          <w:rFonts w:ascii="FangSong" w:hAnsi="FangSong" w:eastAsia="FangSong" w:cs="FangSong"/>
          <w:sz w:val="30"/>
          <w:szCs w:val="30"/>
          <w:spacing w:val="23"/>
        </w:rPr>
        <w:t>(二)对供血浆者未履行事先告知义务，未经</w:t>
      </w:r>
      <w:r>
        <w:rPr>
          <w:rFonts w:ascii="FangSong" w:hAnsi="FangSong" w:eastAsia="FangSong" w:cs="FangSong"/>
          <w:sz w:val="30"/>
          <w:szCs w:val="30"/>
          <w:spacing w:val="22"/>
        </w:rPr>
        <w:t>供血浆者同意开展特殊免疫的；</w:t>
      </w:r>
    </w:p>
    <w:p>
      <w:pPr>
        <w:ind w:left="6529"/>
        <w:spacing w:before="149"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80" w:lineRule="exact"/>
        <w:rPr/>
      </w:pPr>
      <w:r/>
    </w:p>
    <w:tbl>
      <w:tblPr>
        <w:tblStyle w:val="TableNormal"/>
        <w:tblW w:w="1415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6465"/>
        <w:gridCol w:w="6270"/>
      </w:tblGrid>
      <w:tr>
        <w:trPr>
          <w:trHeight w:val="441" w:hRule="atLeast"/>
        </w:trPr>
        <w:tc>
          <w:tcPr>
            <w:tcW w:w="1424" w:type="dxa"/>
            <w:vAlign w:val="top"/>
          </w:tcPr>
          <w:p>
            <w:pPr>
              <w:pStyle w:val="TableText"/>
              <w:ind w:left="188"/>
              <w:spacing w:before="92" w:line="220" w:lineRule="auto"/>
              <w:rPr>
                <w:sz w:val="26"/>
                <w:szCs w:val="26"/>
              </w:rPr>
            </w:pPr>
            <w:r>
              <w:rPr>
                <w:sz w:val="26"/>
                <w:szCs w:val="26"/>
                <w:b/>
                <w:bCs/>
                <w:spacing w:val="-5"/>
              </w:rPr>
              <w:t>违法程度</w:t>
            </w:r>
          </w:p>
        </w:tc>
        <w:tc>
          <w:tcPr>
            <w:tcW w:w="6465" w:type="dxa"/>
            <w:vAlign w:val="top"/>
          </w:tcPr>
          <w:p>
            <w:pPr>
              <w:pStyle w:val="TableText"/>
              <w:ind w:left="2704"/>
              <w:spacing w:before="92" w:line="220" w:lineRule="auto"/>
              <w:rPr>
                <w:sz w:val="26"/>
                <w:szCs w:val="26"/>
              </w:rPr>
            </w:pPr>
            <w:r>
              <w:rPr>
                <w:sz w:val="26"/>
                <w:szCs w:val="26"/>
                <w:b/>
                <w:bCs/>
                <w:spacing w:val="-5"/>
              </w:rPr>
              <w:t>情节后果</w:t>
            </w:r>
          </w:p>
        </w:tc>
        <w:tc>
          <w:tcPr>
            <w:tcW w:w="6270" w:type="dxa"/>
            <w:vAlign w:val="top"/>
          </w:tcPr>
          <w:p>
            <w:pPr>
              <w:pStyle w:val="TableText"/>
              <w:ind w:left="2569"/>
              <w:spacing w:before="89" w:line="218" w:lineRule="auto"/>
              <w:rPr>
                <w:sz w:val="26"/>
                <w:szCs w:val="26"/>
              </w:rPr>
            </w:pPr>
            <w:r>
              <w:rPr>
                <w:sz w:val="26"/>
                <w:szCs w:val="26"/>
                <w:b/>
                <w:bCs/>
                <w:spacing w:val="-5"/>
              </w:rPr>
              <w:t>裁量幅度</w:t>
            </w:r>
          </w:p>
        </w:tc>
      </w:tr>
      <w:tr>
        <w:trPr>
          <w:trHeight w:val="649" w:hRule="atLeast"/>
        </w:trPr>
        <w:tc>
          <w:tcPr>
            <w:tcW w:w="1424" w:type="dxa"/>
            <w:vAlign w:val="top"/>
          </w:tcPr>
          <w:p>
            <w:pPr>
              <w:pStyle w:val="TableText"/>
              <w:ind w:left="448"/>
              <w:spacing w:before="92" w:line="221" w:lineRule="auto"/>
              <w:rPr>
                <w:sz w:val="26"/>
                <w:szCs w:val="26"/>
              </w:rPr>
            </w:pPr>
            <w:r>
              <w:rPr>
                <w:sz w:val="26"/>
                <w:szCs w:val="26"/>
                <w:b/>
                <w:bCs/>
                <w:spacing w:val="-10"/>
              </w:rPr>
              <w:t>一般</w:t>
            </w:r>
          </w:p>
        </w:tc>
        <w:tc>
          <w:tcPr>
            <w:tcW w:w="6465" w:type="dxa"/>
            <w:vAlign w:val="top"/>
          </w:tcPr>
          <w:p>
            <w:pPr>
              <w:pStyle w:val="TableText"/>
              <w:ind w:left="144" w:hanging="130"/>
              <w:spacing w:before="58" w:line="206" w:lineRule="auto"/>
              <w:rPr>
                <w:sz w:val="26"/>
                <w:szCs w:val="26"/>
              </w:rPr>
            </w:pPr>
            <w:r>
              <w:rPr>
                <w:sz w:val="26"/>
                <w:szCs w:val="26"/>
                <w:b/>
                <w:bCs/>
                <w:spacing w:val="-16"/>
              </w:rPr>
              <w:t>单采血</w:t>
            </w:r>
            <w:r>
              <w:rPr>
                <w:sz w:val="26"/>
                <w:szCs w:val="26"/>
                <w:b/>
                <w:bCs/>
                <w:spacing w:val="-15"/>
              </w:rPr>
              <w:t>浆站对供血浆者未履行事先告知义务，未经供血</w:t>
            </w:r>
            <w:r>
              <w:rPr>
                <w:sz w:val="26"/>
                <w:szCs w:val="26"/>
                <w:b/>
                <w:bCs/>
                <w:spacing w:val="-16"/>
              </w:rPr>
              <w:t>浆</w:t>
            </w:r>
            <w:r>
              <w:rPr>
                <w:sz w:val="26"/>
                <w:szCs w:val="26"/>
                <w:b/>
                <w:bCs/>
                <w:spacing w:val="-13"/>
              </w:rPr>
              <w:t>者</w:t>
            </w:r>
            <w:r>
              <w:rPr>
                <w:sz w:val="26"/>
                <w:szCs w:val="26"/>
              </w:rPr>
              <w:t xml:space="preserve"> </w:t>
            </w:r>
            <w:r>
              <w:rPr>
                <w:sz w:val="26"/>
                <w:szCs w:val="26"/>
                <w:b/>
                <w:bCs/>
                <w:spacing w:val="-3"/>
              </w:rPr>
              <w:t>同意开展特殊免疫，人数在3人以下</w:t>
            </w:r>
          </w:p>
        </w:tc>
        <w:tc>
          <w:tcPr>
            <w:tcW w:w="6270" w:type="dxa"/>
            <w:vAlign w:val="top"/>
          </w:tcPr>
          <w:p>
            <w:pPr>
              <w:pStyle w:val="TableText"/>
              <w:ind w:left="129"/>
              <w:spacing w:before="198" w:line="218" w:lineRule="auto"/>
              <w:rPr>
                <w:sz w:val="26"/>
                <w:szCs w:val="26"/>
              </w:rPr>
            </w:pPr>
            <w:r>
              <w:rPr>
                <w:sz w:val="26"/>
                <w:szCs w:val="26"/>
                <w:b/>
                <w:bCs/>
                <w:spacing w:val="-3"/>
              </w:rPr>
              <w:t>予以警告，并处2万元以下的罚款</w:t>
            </w:r>
          </w:p>
        </w:tc>
      </w:tr>
    </w:tbl>
    <w:p>
      <w:pPr>
        <w:pStyle w:val="BodyText"/>
        <w:rPr/>
      </w:pPr>
      <w:r/>
    </w:p>
    <w:p>
      <w:pPr>
        <w:sectPr>
          <w:footerReference w:type="default" r:id="rId395"/>
          <w:pgSz w:w="16830" w:h="11900"/>
          <w:pgMar w:top="1011" w:right="1335" w:bottom="1117" w:left="1314" w:header="0" w:footer="784" w:gutter="0"/>
        </w:sectPr>
        <w:rPr/>
      </w:pPr>
    </w:p>
    <w:p>
      <w:pPr>
        <w:spacing w:before="17"/>
        <w:rPr/>
      </w:pPr>
      <w:r/>
    </w:p>
    <w:p>
      <w:pPr>
        <w:spacing w:before="16"/>
        <w:rPr/>
      </w:pPr>
      <w:r/>
    </w:p>
    <w:p>
      <w:pPr>
        <w:spacing w:before="16"/>
        <w:rPr/>
      </w:pPr>
      <w:r/>
    </w:p>
    <w:tbl>
      <w:tblPr>
        <w:tblStyle w:val="TableNormal"/>
        <w:tblW w:w="1415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6475"/>
        <w:gridCol w:w="6260"/>
      </w:tblGrid>
      <w:tr>
        <w:trPr>
          <w:trHeight w:val="1009" w:hRule="atLeast"/>
        </w:trPr>
        <w:tc>
          <w:tcPr>
            <w:tcW w:w="1424" w:type="dxa"/>
            <w:vAlign w:val="top"/>
          </w:tcPr>
          <w:p>
            <w:pPr>
              <w:pStyle w:val="TableText"/>
              <w:ind w:left="458"/>
              <w:spacing w:before="115" w:line="221" w:lineRule="auto"/>
              <w:rPr>
                <w:sz w:val="25"/>
                <w:szCs w:val="25"/>
              </w:rPr>
            </w:pPr>
            <w:bookmarkStart w:name="bookmark1047" w:id="418"/>
            <w:bookmarkEnd w:id="418"/>
            <w:r>
              <w:rPr>
                <w:sz w:val="25"/>
                <w:szCs w:val="25"/>
                <w:b/>
                <w:bCs/>
                <w:spacing w:val="-6"/>
              </w:rPr>
              <w:t>较重</w:t>
            </w:r>
          </w:p>
        </w:tc>
        <w:tc>
          <w:tcPr>
            <w:tcW w:w="6475" w:type="dxa"/>
            <w:vAlign w:val="top"/>
          </w:tcPr>
          <w:p>
            <w:pPr>
              <w:pStyle w:val="TableText"/>
              <w:ind w:left="159" w:hanging="149"/>
              <w:spacing w:before="64" w:line="248" w:lineRule="auto"/>
              <w:rPr>
                <w:sz w:val="25"/>
                <w:szCs w:val="25"/>
              </w:rPr>
            </w:pPr>
            <w:r>
              <w:rPr>
                <w:sz w:val="25"/>
                <w:szCs w:val="25"/>
                <w:spacing w:val="-2"/>
              </w:rPr>
              <w:t>单采血浆站对供血浆者未履行事先告知义务，未经供血浆者</w:t>
            </w:r>
            <w:r>
              <w:rPr>
                <w:sz w:val="25"/>
                <w:szCs w:val="25"/>
                <w:spacing w:val="5"/>
              </w:rPr>
              <w:t xml:space="preserve"> </w:t>
            </w:r>
            <w:r>
              <w:rPr>
                <w:sz w:val="25"/>
                <w:szCs w:val="25"/>
              </w:rPr>
              <w:t>同意开展特殊免疫，人数在3人以上10人以下的或者因同</w:t>
            </w:r>
          </w:p>
          <w:p>
            <w:pPr>
              <w:pStyle w:val="TableText"/>
              <w:ind w:left="120"/>
              <w:spacing w:line="194" w:lineRule="auto"/>
              <w:rPr>
                <w:sz w:val="25"/>
                <w:szCs w:val="25"/>
              </w:rPr>
            </w:pPr>
            <w:r>
              <w:rPr>
                <w:sz w:val="25"/>
                <w:szCs w:val="25"/>
                <w:spacing w:val="1"/>
              </w:rPr>
              <w:t>一违法事实受过处罚的</w:t>
            </w:r>
          </w:p>
        </w:tc>
        <w:tc>
          <w:tcPr>
            <w:tcW w:w="6260" w:type="dxa"/>
            <w:vAlign w:val="top"/>
          </w:tcPr>
          <w:p>
            <w:pPr>
              <w:spacing w:line="299" w:lineRule="auto"/>
              <w:rPr>
                <w:rFonts w:ascii="Arial"/>
                <w:sz w:val="21"/>
              </w:rPr>
            </w:pPr>
            <w:r/>
          </w:p>
          <w:p>
            <w:pPr>
              <w:pStyle w:val="TableText"/>
              <w:ind w:left="105"/>
              <w:spacing w:before="82" w:line="218" w:lineRule="auto"/>
              <w:rPr>
                <w:sz w:val="25"/>
                <w:szCs w:val="25"/>
              </w:rPr>
            </w:pPr>
            <w:r>
              <w:rPr>
                <w:sz w:val="25"/>
                <w:szCs w:val="25"/>
              </w:rPr>
              <w:t>予以警告，并处2万元以上3万元以下的罚款</w:t>
            </w:r>
          </w:p>
        </w:tc>
      </w:tr>
      <w:tr>
        <w:trPr>
          <w:trHeight w:val="701" w:hRule="atLeast"/>
        </w:trPr>
        <w:tc>
          <w:tcPr>
            <w:tcW w:w="1424" w:type="dxa"/>
            <w:vAlign w:val="top"/>
          </w:tcPr>
          <w:p>
            <w:pPr>
              <w:pStyle w:val="TableText"/>
              <w:ind w:left="458"/>
              <w:spacing w:before="133" w:line="220" w:lineRule="auto"/>
              <w:rPr>
                <w:sz w:val="25"/>
                <w:szCs w:val="25"/>
              </w:rPr>
            </w:pPr>
            <w:r>
              <w:rPr>
                <w:sz w:val="25"/>
                <w:szCs w:val="25"/>
                <w:b/>
                <w:bCs/>
                <w:spacing w:val="-6"/>
              </w:rPr>
              <w:t>严重</w:t>
            </w:r>
          </w:p>
        </w:tc>
        <w:tc>
          <w:tcPr>
            <w:tcW w:w="6475" w:type="dxa"/>
            <w:vAlign w:val="top"/>
          </w:tcPr>
          <w:p>
            <w:pPr>
              <w:pStyle w:val="TableText"/>
              <w:ind w:left="109" w:hanging="99"/>
              <w:spacing w:before="84" w:line="224" w:lineRule="auto"/>
              <w:rPr>
                <w:sz w:val="25"/>
                <w:szCs w:val="25"/>
              </w:rPr>
            </w:pPr>
            <w:r>
              <w:rPr>
                <w:sz w:val="25"/>
                <w:szCs w:val="25"/>
                <w:spacing w:val="-2"/>
              </w:rPr>
              <w:t>未履行事先告知义务，未经供血浆者同意开展特殊免疫的人</w:t>
            </w:r>
            <w:r>
              <w:rPr>
                <w:sz w:val="25"/>
                <w:szCs w:val="25"/>
                <w:spacing w:val="5"/>
              </w:rPr>
              <w:t xml:space="preserve"> </w:t>
            </w:r>
            <w:r>
              <w:rPr>
                <w:sz w:val="25"/>
                <w:szCs w:val="25"/>
                <w:spacing w:val="1"/>
              </w:rPr>
              <w:t>数在10人以上或造成严重后果的</w:t>
            </w:r>
          </w:p>
        </w:tc>
        <w:tc>
          <w:tcPr>
            <w:tcW w:w="6260" w:type="dxa"/>
            <w:vAlign w:val="top"/>
          </w:tcPr>
          <w:p>
            <w:pPr>
              <w:pStyle w:val="TableText"/>
              <w:ind w:left="105"/>
              <w:spacing w:before="234" w:line="218" w:lineRule="auto"/>
              <w:rPr>
                <w:sz w:val="25"/>
                <w:szCs w:val="25"/>
              </w:rPr>
            </w:pPr>
            <w:r>
              <w:rPr>
                <w:sz w:val="25"/>
                <w:szCs w:val="25"/>
              </w:rPr>
              <w:t>予以警告，并处3万元的罚款</w:t>
            </w:r>
          </w:p>
        </w:tc>
      </w:tr>
    </w:tbl>
    <w:p>
      <w:pPr>
        <w:pStyle w:val="BodyText"/>
        <w:spacing w:line="437" w:lineRule="auto"/>
        <w:rPr/>
      </w:pPr>
      <w:r/>
    </w:p>
    <w:p>
      <w:pPr>
        <w:ind w:left="799"/>
        <w:spacing w:before="97" w:line="220" w:lineRule="auto"/>
        <w:rPr>
          <w:rFonts w:ascii="FangSong" w:hAnsi="FangSong" w:eastAsia="FangSong" w:cs="FangSong"/>
          <w:sz w:val="30"/>
          <w:szCs w:val="30"/>
        </w:rPr>
      </w:pPr>
      <w:r>
        <w:rPr>
          <w:rFonts w:ascii="FangSong" w:hAnsi="FangSong" w:eastAsia="FangSong" w:cs="FangSong"/>
          <w:sz w:val="30"/>
          <w:szCs w:val="30"/>
          <w:b/>
          <w:bCs/>
          <w:spacing w:val="21"/>
        </w:rPr>
        <w:t>第三百五十二条单采血浆站未按照规定建立供血浆者档案管理及屏蔽、淘汰制度的</w:t>
      </w:r>
    </w:p>
    <w:p>
      <w:pPr>
        <w:ind w:left="785"/>
        <w:spacing w:before="100" w:line="222" w:lineRule="auto"/>
        <w:rPr>
          <w:rFonts w:ascii="FangSong" w:hAnsi="FangSong" w:eastAsia="FangSong" w:cs="FangSong"/>
          <w:sz w:val="30"/>
          <w:szCs w:val="30"/>
        </w:rPr>
      </w:pPr>
      <w:r>
        <w:rPr>
          <w:rFonts w:ascii="FangSong" w:hAnsi="FangSong" w:eastAsia="FangSong" w:cs="FangSong"/>
          <w:sz w:val="30"/>
          <w:szCs w:val="30"/>
          <w:spacing w:val="29"/>
        </w:rPr>
        <w:t>法律依据：</w:t>
      </w:r>
    </w:p>
    <w:p>
      <w:pPr>
        <w:ind w:left="135" w:right="90" w:firstLine="619"/>
        <w:spacing w:before="66" w:line="276" w:lineRule="auto"/>
        <w:rPr>
          <w:rFonts w:ascii="FangSong" w:hAnsi="FangSong" w:eastAsia="FangSong" w:cs="FangSong"/>
          <w:sz w:val="30"/>
          <w:szCs w:val="30"/>
        </w:rPr>
      </w:pPr>
      <w:r>
        <w:rPr>
          <w:rFonts w:ascii="FangSong" w:hAnsi="FangSong" w:eastAsia="FangSong" w:cs="FangSong"/>
          <w:sz w:val="30"/>
          <w:szCs w:val="30"/>
          <w:spacing w:val="24"/>
        </w:rPr>
        <w:t>《单采血浆站管理办法》第六十二条第(三)项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单采血浆站违反本办法有关规定，有下列行为</w:t>
      </w:r>
      <w:r>
        <w:rPr>
          <w:rFonts w:ascii="FangSong" w:hAnsi="FangSong" w:eastAsia="FangSong" w:cs="FangSong"/>
          <w:sz w:val="30"/>
          <w:szCs w:val="30"/>
          <w:spacing w:val="1"/>
        </w:rPr>
        <w:t xml:space="preserve"> </w:t>
      </w:r>
      <w:r>
        <w:rPr>
          <w:rFonts w:ascii="FangSong" w:hAnsi="FangSong" w:eastAsia="FangSong" w:cs="FangSong"/>
          <w:sz w:val="30"/>
          <w:szCs w:val="30"/>
          <w:spacing w:val="19"/>
        </w:rPr>
        <w:t>之一的，由县级以上地方人民政府卫生计生行政部门予以警告，并处3</w:t>
      </w:r>
      <w:r>
        <w:rPr>
          <w:rFonts w:ascii="FangSong" w:hAnsi="FangSong" w:eastAsia="FangSong" w:cs="FangSong"/>
          <w:sz w:val="30"/>
          <w:szCs w:val="30"/>
          <w:spacing w:val="19"/>
        </w:rPr>
        <w:t xml:space="preserve"> </w:t>
      </w:r>
      <w:r>
        <w:rPr>
          <w:rFonts w:ascii="FangSong" w:hAnsi="FangSong" w:eastAsia="FangSong" w:cs="FangSong"/>
          <w:sz w:val="30"/>
          <w:szCs w:val="30"/>
          <w:spacing w:val="19"/>
        </w:rPr>
        <w:t>万元以下的罚款：</w:t>
      </w:r>
    </w:p>
    <w:p>
      <w:pPr>
        <w:ind w:left="894"/>
        <w:spacing w:before="3" w:line="222" w:lineRule="auto"/>
        <w:rPr>
          <w:rFonts w:ascii="FangSong" w:hAnsi="FangSong" w:eastAsia="FangSong" w:cs="FangSong"/>
          <w:sz w:val="30"/>
          <w:szCs w:val="30"/>
        </w:rPr>
      </w:pPr>
      <w:r>
        <w:rPr>
          <w:rFonts w:ascii="FangSong" w:hAnsi="FangSong" w:eastAsia="FangSong" w:cs="FangSong"/>
          <w:sz w:val="30"/>
          <w:szCs w:val="30"/>
          <w:spacing w:val="23"/>
        </w:rPr>
        <w:t>(三)未按照规定建立供血浆者档案管理及屏蔽、淘汰制度的；</w:t>
      </w:r>
    </w:p>
    <w:p>
      <w:pPr>
        <w:ind w:left="6529"/>
        <w:spacing w:before="136"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81" w:lineRule="exact"/>
        <w:rPr/>
      </w:pPr>
      <w:r/>
    </w:p>
    <w:tbl>
      <w:tblPr>
        <w:tblStyle w:val="TableNormal"/>
        <w:tblW w:w="141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94"/>
        <w:gridCol w:w="6216"/>
        <w:gridCol w:w="6550"/>
      </w:tblGrid>
      <w:tr>
        <w:trPr>
          <w:trHeight w:val="443" w:hRule="atLeast"/>
        </w:trPr>
        <w:tc>
          <w:tcPr>
            <w:tcW w:w="1394" w:type="dxa"/>
            <w:vAlign w:val="top"/>
          </w:tcPr>
          <w:p>
            <w:pPr>
              <w:pStyle w:val="TableText"/>
              <w:ind w:left="188"/>
              <w:spacing w:before="102" w:line="220" w:lineRule="auto"/>
              <w:rPr>
                <w:sz w:val="25"/>
                <w:szCs w:val="25"/>
              </w:rPr>
            </w:pPr>
            <w:r>
              <w:rPr>
                <w:sz w:val="25"/>
                <w:szCs w:val="25"/>
                <w:b/>
                <w:bCs/>
                <w:spacing w:val="-5"/>
              </w:rPr>
              <w:t>违法程度</w:t>
            </w:r>
          </w:p>
        </w:tc>
        <w:tc>
          <w:tcPr>
            <w:tcW w:w="6216" w:type="dxa"/>
            <w:vAlign w:val="top"/>
          </w:tcPr>
          <w:p>
            <w:pPr>
              <w:pStyle w:val="TableText"/>
              <w:ind w:left="2604"/>
              <w:spacing w:before="102" w:line="220" w:lineRule="auto"/>
              <w:rPr>
                <w:sz w:val="25"/>
                <w:szCs w:val="25"/>
              </w:rPr>
            </w:pPr>
            <w:r>
              <w:rPr>
                <w:sz w:val="25"/>
                <w:szCs w:val="25"/>
                <w:b/>
                <w:bCs/>
                <w:spacing w:val="-5"/>
              </w:rPr>
              <w:t>情节后果</w:t>
            </w:r>
          </w:p>
        </w:tc>
        <w:tc>
          <w:tcPr>
            <w:tcW w:w="6550" w:type="dxa"/>
            <w:vAlign w:val="top"/>
          </w:tcPr>
          <w:p>
            <w:pPr>
              <w:pStyle w:val="TableText"/>
              <w:ind w:left="2708"/>
              <w:spacing w:before="99" w:line="218" w:lineRule="auto"/>
              <w:rPr>
                <w:sz w:val="25"/>
                <w:szCs w:val="25"/>
              </w:rPr>
            </w:pPr>
            <w:r>
              <w:rPr>
                <w:sz w:val="25"/>
                <w:szCs w:val="25"/>
                <w:b/>
                <w:bCs/>
                <w:spacing w:val="-5"/>
              </w:rPr>
              <w:t>裁量幅度</w:t>
            </w:r>
          </w:p>
        </w:tc>
      </w:tr>
      <w:tr>
        <w:trPr>
          <w:trHeight w:val="677" w:hRule="atLeast"/>
        </w:trPr>
        <w:tc>
          <w:tcPr>
            <w:tcW w:w="1394" w:type="dxa"/>
            <w:vAlign w:val="top"/>
          </w:tcPr>
          <w:p>
            <w:pPr>
              <w:pStyle w:val="TableText"/>
              <w:ind w:left="438"/>
              <w:spacing w:before="110" w:line="221" w:lineRule="auto"/>
              <w:rPr>
                <w:sz w:val="25"/>
                <w:szCs w:val="25"/>
              </w:rPr>
            </w:pPr>
            <w:r>
              <w:rPr>
                <w:sz w:val="25"/>
                <w:szCs w:val="25"/>
                <w:b/>
                <w:bCs/>
                <w:spacing w:val="-10"/>
              </w:rPr>
              <w:t>一般</w:t>
            </w:r>
          </w:p>
        </w:tc>
        <w:tc>
          <w:tcPr>
            <w:tcW w:w="6216" w:type="dxa"/>
            <w:vAlign w:val="top"/>
          </w:tcPr>
          <w:p>
            <w:pPr>
              <w:pStyle w:val="TableText"/>
              <w:ind w:left="110" w:hanging="99"/>
              <w:spacing w:before="71" w:line="220" w:lineRule="auto"/>
              <w:rPr>
                <w:sz w:val="25"/>
                <w:szCs w:val="25"/>
              </w:rPr>
            </w:pPr>
            <w:r>
              <w:rPr>
                <w:sz w:val="25"/>
                <w:szCs w:val="25"/>
                <w:spacing w:val="-3"/>
              </w:rPr>
              <w:t>单采血浆站未按照规定建立供血浆者档案管理及屏蔽、淘</w:t>
            </w:r>
            <w:r>
              <w:rPr>
                <w:sz w:val="25"/>
                <w:szCs w:val="25"/>
                <w:spacing w:val="18"/>
              </w:rPr>
              <w:t xml:space="preserve"> </w:t>
            </w:r>
            <w:r>
              <w:rPr>
                <w:sz w:val="25"/>
                <w:szCs w:val="25"/>
                <w:spacing w:val="4"/>
              </w:rPr>
              <w:t>汰制度</w:t>
            </w:r>
          </w:p>
        </w:tc>
        <w:tc>
          <w:tcPr>
            <w:tcW w:w="6550" w:type="dxa"/>
            <w:vAlign w:val="top"/>
          </w:tcPr>
          <w:p>
            <w:pPr>
              <w:pStyle w:val="TableText"/>
              <w:ind w:left="144"/>
              <w:spacing w:before="220" w:line="218" w:lineRule="auto"/>
              <w:rPr>
                <w:sz w:val="25"/>
                <w:szCs w:val="25"/>
              </w:rPr>
            </w:pPr>
            <w:r>
              <w:rPr>
                <w:sz w:val="25"/>
                <w:szCs w:val="25"/>
                <w:spacing w:val="1"/>
              </w:rPr>
              <w:t>予以警告，并处2万元以下的罚款</w:t>
            </w:r>
          </w:p>
        </w:tc>
      </w:tr>
      <w:tr>
        <w:trPr>
          <w:trHeight w:val="667" w:hRule="atLeast"/>
        </w:trPr>
        <w:tc>
          <w:tcPr>
            <w:tcW w:w="1394" w:type="dxa"/>
            <w:vAlign w:val="top"/>
          </w:tcPr>
          <w:p>
            <w:pPr>
              <w:pStyle w:val="TableText"/>
              <w:ind w:left="438"/>
              <w:spacing w:before="105" w:line="221" w:lineRule="auto"/>
              <w:rPr>
                <w:sz w:val="25"/>
                <w:szCs w:val="25"/>
              </w:rPr>
            </w:pPr>
            <w:r>
              <w:rPr>
                <w:sz w:val="25"/>
                <w:szCs w:val="25"/>
                <w:b/>
                <w:bCs/>
                <w:spacing w:val="-6"/>
              </w:rPr>
              <w:t>较重</w:t>
            </w:r>
          </w:p>
        </w:tc>
        <w:tc>
          <w:tcPr>
            <w:tcW w:w="6216" w:type="dxa"/>
            <w:vAlign w:val="top"/>
          </w:tcPr>
          <w:p>
            <w:pPr>
              <w:pStyle w:val="TableText"/>
              <w:ind w:left="100" w:hanging="89"/>
              <w:spacing w:before="74" w:line="215" w:lineRule="auto"/>
              <w:rPr>
                <w:sz w:val="25"/>
                <w:szCs w:val="25"/>
              </w:rPr>
            </w:pPr>
            <w:r>
              <w:rPr>
                <w:sz w:val="25"/>
                <w:szCs w:val="25"/>
                <w:spacing w:val="-3"/>
              </w:rPr>
              <w:t>单采血浆站未按照规定建立供血浆者档案管理及屏蔽、淘</w:t>
            </w:r>
            <w:r>
              <w:rPr>
                <w:sz w:val="25"/>
                <w:szCs w:val="25"/>
                <w:spacing w:val="18"/>
              </w:rPr>
              <w:t xml:space="preserve"> </w:t>
            </w:r>
            <w:r>
              <w:rPr>
                <w:sz w:val="25"/>
                <w:szCs w:val="25"/>
                <w:spacing w:val="1"/>
              </w:rPr>
              <w:t>汰制度，曾受过处罚的</w:t>
            </w:r>
          </w:p>
        </w:tc>
        <w:tc>
          <w:tcPr>
            <w:tcW w:w="6550" w:type="dxa"/>
            <w:vAlign w:val="top"/>
          </w:tcPr>
          <w:p>
            <w:pPr>
              <w:pStyle w:val="TableText"/>
              <w:ind w:left="144"/>
              <w:spacing w:before="213" w:line="218" w:lineRule="auto"/>
              <w:rPr>
                <w:sz w:val="25"/>
                <w:szCs w:val="25"/>
              </w:rPr>
            </w:pPr>
            <w:r>
              <w:rPr>
                <w:sz w:val="25"/>
                <w:szCs w:val="25"/>
              </w:rPr>
              <w:t>予以警告，并处2万元以上3万元以下的罚款</w:t>
            </w:r>
          </w:p>
        </w:tc>
      </w:tr>
      <w:tr>
        <w:trPr>
          <w:trHeight w:val="682" w:hRule="atLeast"/>
        </w:trPr>
        <w:tc>
          <w:tcPr>
            <w:tcW w:w="1394" w:type="dxa"/>
            <w:vAlign w:val="top"/>
          </w:tcPr>
          <w:p>
            <w:pPr>
              <w:pStyle w:val="TableText"/>
              <w:ind w:left="438"/>
              <w:spacing w:before="125" w:line="220" w:lineRule="auto"/>
              <w:rPr>
                <w:sz w:val="25"/>
                <w:szCs w:val="25"/>
              </w:rPr>
            </w:pPr>
            <w:r>
              <w:rPr>
                <w:sz w:val="25"/>
                <w:szCs w:val="25"/>
                <w:b/>
                <w:bCs/>
                <w:spacing w:val="-6"/>
              </w:rPr>
              <w:t>严重</w:t>
            </w:r>
          </w:p>
        </w:tc>
        <w:tc>
          <w:tcPr>
            <w:tcW w:w="6216" w:type="dxa"/>
            <w:vAlign w:val="top"/>
          </w:tcPr>
          <w:p>
            <w:pPr>
              <w:pStyle w:val="TableText"/>
              <w:ind w:left="110" w:hanging="99"/>
              <w:spacing w:before="76" w:line="220" w:lineRule="auto"/>
              <w:rPr>
                <w:sz w:val="25"/>
                <w:szCs w:val="25"/>
              </w:rPr>
            </w:pPr>
            <w:r>
              <w:rPr>
                <w:sz w:val="25"/>
                <w:szCs w:val="25"/>
                <w:spacing w:val="-3"/>
              </w:rPr>
              <w:t>未按照规定建立供血浆者档案管理及屏蔽、淘汰制度，造</w:t>
            </w:r>
            <w:r>
              <w:rPr>
                <w:sz w:val="25"/>
                <w:szCs w:val="25"/>
                <w:spacing w:val="18"/>
              </w:rPr>
              <w:t xml:space="preserve"> </w:t>
            </w:r>
            <w:r>
              <w:rPr>
                <w:sz w:val="25"/>
                <w:szCs w:val="25"/>
                <w:spacing w:val="3"/>
              </w:rPr>
              <w:t>成严重后果的</w:t>
            </w:r>
          </w:p>
        </w:tc>
        <w:tc>
          <w:tcPr>
            <w:tcW w:w="6550" w:type="dxa"/>
            <w:vAlign w:val="top"/>
          </w:tcPr>
          <w:p>
            <w:pPr>
              <w:pStyle w:val="TableText"/>
              <w:ind w:left="144"/>
              <w:spacing w:before="226" w:line="218" w:lineRule="auto"/>
              <w:rPr>
                <w:sz w:val="25"/>
                <w:szCs w:val="25"/>
              </w:rPr>
            </w:pPr>
            <w:r>
              <w:rPr>
                <w:sz w:val="25"/>
                <w:szCs w:val="25"/>
                <w:spacing w:val="1"/>
              </w:rPr>
              <w:t>予以警告，并处3万元罚款</w:t>
            </w:r>
          </w:p>
        </w:tc>
      </w:tr>
    </w:tbl>
    <w:p>
      <w:pPr>
        <w:pStyle w:val="BodyText"/>
        <w:rPr/>
      </w:pPr>
      <w:r/>
    </w:p>
    <w:p>
      <w:pPr>
        <w:sectPr>
          <w:footerReference w:type="default" r:id="rId396"/>
          <w:pgSz w:w="16830" w:h="11900"/>
          <w:pgMar w:top="1011" w:right="1335" w:bottom="1130" w:left="1314" w:header="0" w:footer="806" w:gutter="0"/>
        </w:sectPr>
        <w:rPr/>
      </w:pPr>
    </w:p>
    <w:p>
      <w:pPr>
        <w:pStyle w:val="BodyText"/>
        <w:spacing w:line="245" w:lineRule="auto"/>
        <w:rPr/>
      </w:pPr>
      <w:r/>
    </w:p>
    <w:p>
      <w:pPr>
        <w:pStyle w:val="BodyText"/>
        <w:spacing w:line="245" w:lineRule="auto"/>
        <w:rPr/>
      </w:pPr>
      <w:r/>
    </w:p>
    <w:p>
      <w:pPr>
        <w:pStyle w:val="BodyText"/>
        <w:spacing w:line="245" w:lineRule="auto"/>
        <w:rPr/>
      </w:pPr>
      <w:r/>
    </w:p>
    <w:p>
      <w:pPr>
        <w:ind w:left="739"/>
        <w:spacing w:before="101" w:line="220" w:lineRule="auto"/>
        <w:rPr>
          <w:rFonts w:ascii="FangSong" w:hAnsi="FangSong" w:eastAsia="FangSong" w:cs="FangSong"/>
          <w:sz w:val="31"/>
          <w:szCs w:val="31"/>
        </w:rPr>
      </w:pPr>
      <w:bookmarkStart w:name="bookmark1048" w:id="419"/>
      <w:bookmarkEnd w:id="419"/>
      <w:r>
        <w:rPr>
          <w:rFonts w:ascii="FangSong" w:hAnsi="FangSong" w:eastAsia="FangSong" w:cs="FangSong"/>
          <w:sz w:val="31"/>
          <w:szCs w:val="31"/>
          <w:b/>
          <w:bCs/>
          <w:spacing w:val="12"/>
        </w:rPr>
        <w:t>第三百五十三条单采血浆站未按照规定制订各项工作制度或者不</w:t>
      </w:r>
      <w:r>
        <w:rPr>
          <w:rFonts w:ascii="FangSong" w:hAnsi="FangSong" w:eastAsia="FangSong" w:cs="FangSong"/>
          <w:sz w:val="31"/>
          <w:szCs w:val="31"/>
          <w:b/>
          <w:bCs/>
          <w:spacing w:val="11"/>
        </w:rPr>
        <w:t>落实的</w:t>
      </w:r>
    </w:p>
    <w:p>
      <w:pPr>
        <w:ind w:left="734"/>
        <w:spacing w:before="79" w:line="222" w:lineRule="auto"/>
        <w:rPr>
          <w:rFonts w:ascii="FangSong" w:hAnsi="FangSong" w:eastAsia="FangSong" w:cs="FangSong"/>
          <w:sz w:val="31"/>
          <w:szCs w:val="31"/>
        </w:rPr>
      </w:pPr>
      <w:r>
        <w:rPr>
          <w:rFonts w:ascii="FangSong" w:hAnsi="FangSong" w:eastAsia="FangSong" w:cs="FangSong"/>
          <w:sz w:val="31"/>
          <w:szCs w:val="31"/>
          <w:spacing w:val="5"/>
        </w:rPr>
        <w:t>法律依据</w:t>
      </w:r>
    </w:p>
    <w:p>
      <w:pPr>
        <w:ind w:left="104" w:right="119" w:firstLine="614"/>
        <w:spacing w:before="74" w:line="267" w:lineRule="auto"/>
        <w:rPr>
          <w:rFonts w:ascii="FangSong" w:hAnsi="FangSong" w:eastAsia="FangSong" w:cs="FangSong"/>
          <w:sz w:val="31"/>
          <w:szCs w:val="31"/>
        </w:rPr>
      </w:pPr>
      <w:r>
        <w:rPr>
          <w:rFonts w:ascii="FangSong" w:hAnsi="FangSong" w:eastAsia="FangSong" w:cs="FangSong"/>
          <w:sz w:val="31"/>
          <w:szCs w:val="31"/>
          <w:spacing w:val="15"/>
        </w:rPr>
        <w:t>《单采血浆站管理办法》第六十二条第(四)项</w:t>
      </w:r>
      <w:r>
        <w:rPr>
          <w:rFonts w:ascii="FangSong" w:hAnsi="FangSong" w:eastAsia="FangSong" w:cs="FangSong"/>
          <w:sz w:val="31"/>
          <w:szCs w:val="31"/>
          <w:spacing w:val="15"/>
        </w:rPr>
        <w:t xml:space="preserve">  </w:t>
      </w:r>
      <w:r>
        <w:rPr>
          <w:rFonts w:ascii="FangSong" w:hAnsi="FangSong" w:eastAsia="FangSong" w:cs="FangSong"/>
          <w:sz w:val="31"/>
          <w:szCs w:val="31"/>
          <w:spacing w:val="15"/>
        </w:rPr>
        <w:t>单采血浆</w:t>
      </w:r>
      <w:r>
        <w:rPr>
          <w:rFonts w:ascii="FangSong" w:hAnsi="FangSong" w:eastAsia="FangSong" w:cs="FangSong"/>
          <w:sz w:val="31"/>
          <w:szCs w:val="31"/>
          <w:spacing w:val="14"/>
        </w:rPr>
        <w:t>站违反本办法有关规定，有下列行为</w:t>
      </w:r>
      <w:r>
        <w:rPr>
          <w:rFonts w:ascii="FangSong" w:hAnsi="FangSong" w:eastAsia="FangSong" w:cs="FangSong"/>
          <w:sz w:val="31"/>
          <w:szCs w:val="31"/>
        </w:rPr>
        <w:t xml:space="preserve"> </w:t>
      </w:r>
      <w:r>
        <w:rPr>
          <w:rFonts w:ascii="FangSong" w:hAnsi="FangSong" w:eastAsia="FangSong" w:cs="FangSong"/>
          <w:sz w:val="31"/>
          <w:szCs w:val="31"/>
          <w:spacing w:val="10"/>
        </w:rPr>
        <w:t>之一的，由县级以上地方人民政府卫生计生行政部门予</w:t>
      </w:r>
      <w:r>
        <w:rPr>
          <w:rFonts w:ascii="FangSong" w:hAnsi="FangSong" w:eastAsia="FangSong" w:cs="FangSong"/>
          <w:sz w:val="31"/>
          <w:szCs w:val="31"/>
          <w:spacing w:val="9"/>
        </w:rPr>
        <w:t>以警告，并处3</w:t>
      </w:r>
      <w:r>
        <w:rPr>
          <w:rFonts w:ascii="FangSong" w:hAnsi="FangSong" w:eastAsia="FangSong" w:cs="FangSong"/>
          <w:sz w:val="31"/>
          <w:szCs w:val="31"/>
          <w:spacing w:val="9"/>
        </w:rPr>
        <w:t xml:space="preserve"> </w:t>
      </w:r>
      <w:r>
        <w:rPr>
          <w:rFonts w:ascii="FangSong" w:hAnsi="FangSong" w:eastAsia="FangSong" w:cs="FangSong"/>
          <w:sz w:val="31"/>
          <w:szCs w:val="31"/>
          <w:spacing w:val="9"/>
        </w:rPr>
        <w:t>万元以下的罚款：</w:t>
      </w:r>
    </w:p>
    <w:p>
      <w:pPr>
        <w:ind w:left="874"/>
        <w:spacing w:before="1" w:line="220" w:lineRule="auto"/>
        <w:rPr>
          <w:rFonts w:ascii="FangSong" w:hAnsi="FangSong" w:eastAsia="FangSong" w:cs="FangSong"/>
          <w:sz w:val="31"/>
          <w:szCs w:val="31"/>
        </w:rPr>
      </w:pPr>
      <w:r>
        <w:rPr>
          <w:rFonts w:ascii="FangSong" w:hAnsi="FangSong" w:eastAsia="FangSong" w:cs="FangSong"/>
          <w:sz w:val="31"/>
          <w:szCs w:val="31"/>
          <w:spacing w:val="13"/>
        </w:rPr>
        <w:t>(四)未按照规定制订各项工作制度或者不落实的；</w:t>
      </w:r>
    </w:p>
    <w:p>
      <w:pPr>
        <w:ind w:left="6519"/>
        <w:spacing w:before="158" w:line="221" w:lineRule="auto"/>
        <w:rPr>
          <w:rFonts w:ascii="SimHei" w:hAnsi="SimHei" w:eastAsia="SimHei" w:cs="SimHei"/>
          <w:sz w:val="28"/>
          <w:szCs w:val="28"/>
        </w:rPr>
      </w:pPr>
      <w:r>
        <w:rPr>
          <w:rFonts w:ascii="SimHei" w:hAnsi="SimHei" w:eastAsia="SimHei" w:cs="SimHei"/>
          <w:sz w:val="28"/>
          <w:szCs w:val="28"/>
          <w:b/>
          <w:bCs/>
          <w:spacing w:val="-6"/>
        </w:rPr>
        <w:t>裁量标准</w:t>
      </w:r>
    </w:p>
    <w:p>
      <w:pPr>
        <w:spacing w:line="115" w:lineRule="exact"/>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6475"/>
        <w:gridCol w:w="6251"/>
      </w:tblGrid>
      <w:tr>
        <w:trPr>
          <w:trHeight w:val="443" w:hRule="atLeast"/>
        </w:trPr>
        <w:tc>
          <w:tcPr>
            <w:tcW w:w="1444" w:type="dxa"/>
            <w:vAlign w:val="top"/>
          </w:tcPr>
          <w:p>
            <w:pPr>
              <w:pStyle w:val="TableText"/>
              <w:ind w:left="218"/>
              <w:spacing w:before="102" w:line="220" w:lineRule="auto"/>
              <w:rPr>
                <w:sz w:val="25"/>
                <w:szCs w:val="25"/>
              </w:rPr>
            </w:pPr>
            <w:r>
              <w:rPr>
                <w:sz w:val="25"/>
                <w:szCs w:val="25"/>
                <w:b/>
                <w:bCs/>
                <w:spacing w:val="-5"/>
              </w:rPr>
              <w:t>违法程度</w:t>
            </w:r>
          </w:p>
        </w:tc>
        <w:tc>
          <w:tcPr>
            <w:tcW w:w="6475" w:type="dxa"/>
            <w:vAlign w:val="top"/>
          </w:tcPr>
          <w:p>
            <w:pPr>
              <w:pStyle w:val="TableText"/>
              <w:ind w:left="2654"/>
              <w:spacing w:before="102" w:line="220" w:lineRule="auto"/>
              <w:rPr>
                <w:sz w:val="25"/>
                <w:szCs w:val="25"/>
              </w:rPr>
            </w:pPr>
            <w:r>
              <w:rPr>
                <w:sz w:val="25"/>
                <w:szCs w:val="25"/>
                <w:b/>
                <w:bCs/>
                <w:spacing w:val="-5"/>
              </w:rPr>
              <w:t>情节后果</w:t>
            </w:r>
          </w:p>
        </w:tc>
        <w:tc>
          <w:tcPr>
            <w:tcW w:w="6251" w:type="dxa"/>
            <w:vAlign w:val="top"/>
          </w:tcPr>
          <w:p>
            <w:pPr>
              <w:pStyle w:val="TableText"/>
              <w:ind w:left="2559"/>
              <w:spacing w:before="99" w:line="218" w:lineRule="auto"/>
              <w:rPr>
                <w:sz w:val="25"/>
                <w:szCs w:val="25"/>
              </w:rPr>
            </w:pPr>
            <w:r>
              <w:rPr>
                <w:sz w:val="25"/>
                <w:szCs w:val="25"/>
                <w:b/>
                <w:bCs/>
                <w:spacing w:val="-5"/>
              </w:rPr>
              <w:t>裁量幅度</w:t>
            </w:r>
          </w:p>
        </w:tc>
      </w:tr>
      <w:tr>
        <w:trPr>
          <w:trHeight w:val="418" w:hRule="atLeast"/>
        </w:trPr>
        <w:tc>
          <w:tcPr>
            <w:tcW w:w="1444" w:type="dxa"/>
            <w:vAlign w:val="top"/>
          </w:tcPr>
          <w:p>
            <w:pPr>
              <w:pStyle w:val="TableText"/>
              <w:ind w:left="468"/>
              <w:spacing w:before="90" w:line="221" w:lineRule="auto"/>
              <w:rPr>
                <w:sz w:val="25"/>
                <w:szCs w:val="25"/>
              </w:rPr>
            </w:pPr>
            <w:r>
              <w:rPr>
                <w:sz w:val="25"/>
                <w:szCs w:val="25"/>
                <w:b/>
                <w:bCs/>
                <w:spacing w:val="-10"/>
              </w:rPr>
              <w:t>一般</w:t>
            </w:r>
          </w:p>
        </w:tc>
        <w:tc>
          <w:tcPr>
            <w:tcW w:w="6475" w:type="dxa"/>
            <w:vAlign w:val="top"/>
          </w:tcPr>
          <w:p>
            <w:pPr>
              <w:pStyle w:val="TableText"/>
              <w:ind w:left="101"/>
              <w:spacing w:before="90" w:line="219" w:lineRule="auto"/>
              <w:rPr>
                <w:sz w:val="25"/>
                <w:szCs w:val="25"/>
              </w:rPr>
            </w:pPr>
            <w:r>
              <w:rPr>
                <w:sz w:val="25"/>
                <w:szCs w:val="25"/>
              </w:rPr>
              <w:t>单采血浆站未按照规定制订各项工作制度或者不落实的</w:t>
            </w:r>
          </w:p>
        </w:tc>
        <w:tc>
          <w:tcPr>
            <w:tcW w:w="6251" w:type="dxa"/>
            <w:vAlign w:val="top"/>
          </w:tcPr>
          <w:p>
            <w:pPr>
              <w:pStyle w:val="TableText"/>
              <w:ind w:left="105"/>
              <w:spacing w:before="90" w:line="218" w:lineRule="auto"/>
              <w:rPr>
                <w:sz w:val="25"/>
                <w:szCs w:val="25"/>
              </w:rPr>
            </w:pPr>
            <w:r>
              <w:rPr>
                <w:sz w:val="25"/>
                <w:szCs w:val="25"/>
                <w:spacing w:val="1"/>
              </w:rPr>
              <w:t>予以警告，并处2万元以下的罚款</w:t>
            </w:r>
          </w:p>
        </w:tc>
      </w:tr>
      <w:tr>
        <w:trPr>
          <w:trHeight w:val="676" w:hRule="atLeast"/>
        </w:trPr>
        <w:tc>
          <w:tcPr>
            <w:tcW w:w="1444" w:type="dxa"/>
            <w:vAlign w:val="top"/>
          </w:tcPr>
          <w:p>
            <w:pPr>
              <w:pStyle w:val="TableText"/>
              <w:ind w:left="468"/>
              <w:spacing w:before="224" w:line="221" w:lineRule="auto"/>
              <w:rPr>
                <w:sz w:val="25"/>
                <w:szCs w:val="25"/>
              </w:rPr>
            </w:pPr>
            <w:r>
              <w:rPr>
                <w:sz w:val="25"/>
                <w:szCs w:val="25"/>
                <w:b/>
                <w:bCs/>
                <w:spacing w:val="-6"/>
              </w:rPr>
              <w:t>较重</w:t>
            </w:r>
          </w:p>
        </w:tc>
        <w:tc>
          <w:tcPr>
            <w:tcW w:w="6475" w:type="dxa"/>
            <w:vAlign w:val="top"/>
          </w:tcPr>
          <w:p>
            <w:pPr>
              <w:pStyle w:val="TableText"/>
              <w:ind w:left="101"/>
              <w:spacing w:before="62" w:line="223" w:lineRule="auto"/>
              <w:rPr>
                <w:sz w:val="25"/>
                <w:szCs w:val="25"/>
              </w:rPr>
            </w:pPr>
            <w:r>
              <w:rPr>
                <w:sz w:val="25"/>
                <w:szCs w:val="25"/>
                <w:spacing w:val="-6"/>
              </w:rPr>
              <w:t>单采血浆站未按照规定制订各项工作制度或者不落实，情节</w:t>
            </w:r>
            <w:r>
              <w:rPr>
                <w:sz w:val="25"/>
                <w:szCs w:val="25"/>
                <w:spacing w:val="18"/>
              </w:rPr>
              <w:t xml:space="preserve"> </w:t>
            </w:r>
            <w:r>
              <w:rPr>
                <w:sz w:val="25"/>
                <w:szCs w:val="25"/>
                <w:spacing w:val="1"/>
              </w:rPr>
              <w:t>严重或者曾受过处罚的</w:t>
            </w:r>
          </w:p>
        </w:tc>
        <w:tc>
          <w:tcPr>
            <w:tcW w:w="6251" w:type="dxa"/>
            <w:vAlign w:val="top"/>
          </w:tcPr>
          <w:p>
            <w:pPr>
              <w:pStyle w:val="TableText"/>
              <w:ind w:left="105"/>
              <w:spacing w:before="222" w:line="218" w:lineRule="auto"/>
              <w:rPr>
                <w:sz w:val="25"/>
                <w:szCs w:val="25"/>
              </w:rPr>
            </w:pPr>
            <w:r>
              <w:rPr>
                <w:sz w:val="25"/>
                <w:szCs w:val="25"/>
              </w:rPr>
              <w:t>予以警告，并处2万元以上3万元以下的罚款</w:t>
            </w:r>
          </w:p>
        </w:tc>
      </w:tr>
      <w:tr>
        <w:trPr>
          <w:trHeight w:val="672" w:hRule="atLeast"/>
        </w:trPr>
        <w:tc>
          <w:tcPr>
            <w:tcW w:w="1444" w:type="dxa"/>
            <w:vAlign w:val="top"/>
          </w:tcPr>
          <w:p>
            <w:pPr>
              <w:pStyle w:val="TableText"/>
              <w:ind w:left="468"/>
              <w:spacing w:before="215" w:line="220" w:lineRule="auto"/>
              <w:rPr>
                <w:sz w:val="25"/>
                <w:szCs w:val="25"/>
              </w:rPr>
            </w:pPr>
            <w:r>
              <w:rPr>
                <w:sz w:val="25"/>
                <w:szCs w:val="25"/>
                <w:b/>
                <w:bCs/>
                <w:spacing w:val="-6"/>
              </w:rPr>
              <w:t>严重</w:t>
            </w:r>
          </w:p>
        </w:tc>
        <w:tc>
          <w:tcPr>
            <w:tcW w:w="6475" w:type="dxa"/>
            <w:vAlign w:val="top"/>
          </w:tcPr>
          <w:p>
            <w:pPr>
              <w:pStyle w:val="TableText"/>
              <w:spacing w:before="86" w:line="219" w:lineRule="auto"/>
              <w:jc w:val="right"/>
              <w:rPr>
                <w:sz w:val="25"/>
                <w:szCs w:val="25"/>
              </w:rPr>
            </w:pPr>
            <w:r>
              <w:rPr>
                <w:sz w:val="25"/>
                <w:szCs w:val="25"/>
                <w:spacing w:val="-6"/>
              </w:rPr>
              <w:t>单采血浆站未按照规定制订各项工作制度或者不落实，造成</w:t>
            </w:r>
          </w:p>
          <w:p>
            <w:pPr>
              <w:pStyle w:val="TableText"/>
              <w:ind w:left="101"/>
              <w:spacing w:before="16" w:line="194" w:lineRule="auto"/>
              <w:rPr>
                <w:sz w:val="25"/>
                <w:szCs w:val="25"/>
              </w:rPr>
            </w:pPr>
            <w:r>
              <w:rPr>
                <w:sz w:val="25"/>
                <w:szCs w:val="25"/>
                <w:color w:val="404040"/>
                <w:spacing w:val="3"/>
              </w:rPr>
              <w:t>严重后果的</w:t>
            </w:r>
          </w:p>
        </w:tc>
        <w:tc>
          <w:tcPr>
            <w:tcW w:w="6251" w:type="dxa"/>
            <w:vAlign w:val="top"/>
          </w:tcPr>
          <w:p>
            <w:pPr>
              <w:pStyle w:val="TableText"/>
              <w:ind w:left="105"/>
              <w:spacing w:before="216" w:line="218" w:lineRule="auto"/>
              <w:rPr>
                <w:sz w:val="25"/>
                <w:szCs w:val="25"/>
              </w:rPr>
            </w:pPr>
            <w:r>
              <w:rPr>
                <w:sz w:val="25"/>
                <w:szCs w:val="25"/>
                <w:spacing w:val="1"/>
              </w:rPr>
              <w:t>予以警告，并处3万元罚款</w:t>
            </w:r>
          </w:p>
        </w:tc>
      </w:tr>
    </w:tbl>
    <w:p>
      <w:pPr>
        <w:pStyle w:val="BodyText"/>
        <w:spacing w:line="425" w:lineRule="auto"/>
        <w:rPr/>
      </w:pPr>
      <w:r/>
    </w:p>
    <w:p>
      <w:pPr>
        <w:ind w:left="109" w:right="480" w:firstLine="629"/>
        <w:spacing w:before="101" w:line="261" w:lineRule="auto"/>
        <w:rPr>
          <w:rFonts w:ascii="FangSong" w:hAnsi="FangSong" w:eastAsia="FangSong" w:cs="FangSong"/>
          <w:sz w:val="31"/>
          <w:szCs w:val="31"/>
        </w:rPr>
      </w:pPr>
      <w:r>
        <w:rPr>
          <w:rFonts w:ascii="FangSong" w:hAnsi="FangSong" w:eastAsia="FangSong" w:cs="FangSong"/>
          <w:sz w:val="31"/>
          <w:szCs w:val="31"/>
          <w:b/>
          <w:bCs/>
          <w:spacing w:val="11"/>
        </w:rPr>
        <w:t>第三百五十四条单采血浆站工作人员未取得相关岗位执业资格或者</w:t>
      </w:r>
      <w:r>
        <w:rPr>
          <w:rFonts w:ascii="FangSong" w:hAnsi="FangSong" w:eastAsia="FangSong" w:cs="FangSong"/>
          <w:sz w:val="31"/>
          <w:szCs w:val="31"/>
          <w:b/>
          <w:bCs/>
          <w:spacing w:val="10"/>
        </w:rPr>
        <w:t>未经执业注册从事采供血</w:t>
      </w:r>
      <w:r>
        <w:rPr>
          <w:rFonts w:ascii="FangSong" w:hAnsi="FangSong" w:eastAsia="FangSong" w:cs="FangSong"/>
          <w:sz w:val="31"/>
          <w:szCs w:val="31"/>
        </w:rPr>
        <w:t xml:space="preserve"> </w:t>
      </w:r>
      <w:r>
        <w:rPr>
          <w:rFonts w:ascii="FangSong" w:hAnsi="FangSong" w:eastAsia="FangSong" w:cs="FangSong"/>
          <w:sz w:val="31"/>
          <w:szCs w:val="31"/>
          <w:b/>
          <w:bCs/>
          <w:spacing w:val="4"/>
        </w:rPr>
        <w:t>浆工作的</w:t>
      </w:r>
    </w:p>
    <w:p>
      <w:pPr>
        <w:ind w:left="734"/>
        <w:spacing w:before="1" w:line="222" w:lineRule="auto"/>
        <w:rPr>
          <w:rFonts w:ascii="FangSong" w:hAnsi="FangSong" w:eastAsia="FangSong" w:cs="FangSong"/>
          <w:sz w:val="31"/>
          <w:szCs w:val="31"/>
        </w:rPr>
      </w:pPr>
      <w:r>
        <w:rPr>
          <w:rFonts w:ascii="FangSong" w:hAnsi="FangSong" w:eastAsia="FangSong" w:cs="FangSong"/>
          <w:sz w:val="31"/>
          <w:szCs w:val="31"/>
          <w:spacing w:val="25"/>
        </w:rPr>
        <w:t>法律依据：</w:t>
      </w:r>
    </w:p>
    <w:p>
      <w:pPr>
        <w:ind w:left="104" w:right="119" w:firstLine="614"/>
        <w:spacing w:before="63" w:line="268" w:lineRule="auto"/>
        <w:rPr>
          <w:rFonts w:ascii="FangSong" w:hAnsi="FangSong" w:eastAsia="FangSong" w:cs="FangSong"/>
          <w:sz w:val="31"/>
          <w:szCs w:val="31"/>
        </w:rPr>
      </w:pPr>
      <w:r>
        <w:rPr>
          <w:rFonts w:ascii="FangSong" w:hAnsi="FangSong" w:eastAsia="FangSong" w:cs="FangSong"/>
          <w:sz w:val="31"/>
          <w:szCs w:val="31"/>
          <w:spacing w:val="15"/>
        </w:rPr>
        <w:t>《单采血浆站管理办法》第六十二条第(五)项</w:t>
      </w:r>
      <w:r>
        <w:rPr>
          <w:rFonts w:ascii="FangSong" w:hAnsi="FangSong" w:eastAsia="FangSong" w:cs="FangSong"/>
          <w:sz w:val="31"/>
          <w:szCs w:val="31"/>
          <w:spacing w:val="15"/>
        </w:rPr>
        <w:t xml:space="preserve">  </w:t>
      </w:r>
      <w:r>
        <w:rPr>
          <w:rFonts w:ascii="FangSong" w:hAnsi="FangSong" w:eastAsia="FangSong" w:cs="FangSong"/>
          <w:sz w:val="31"/>
          <w:szCs w:val="31"/>
          <w:spacing w:val="15"/>
        </w:rPr>
        <w:t>单采血浆</w:t>
      </w:r>
      <w:r>
        <w:rPr>
          <w:rFonts w:ascii="FangSong" w:hAnsi="FangSong" w:eastAsia="FangSong" w:cs="FangSong"/>
          <w:sz w:val="31"/>
          <w:szCs w:val="31"/>
          <w:spacing w:val="14"/>
        </w:rPr>
        <w:t>站违反本办法有关规定，有下列行为</w:t>
      </w:r>
      <w:r>
        <w:rPr>
          <w:rFonts w:ascii="FangSong" w:hAnsi="FangSong" w:eastAsia="FangSong" w:cs="FangSong"/>
          <w:sz w:val="31"/>
          <w:szCs w:val="31"/>
        </w:rPr>
        <w:t xml:space="preserve"> </w:t>
      </w:r>
      <w:r>
        <w:rPr>
          <w:rFonts w:ascii="FangSong" w:hAnsi="FangSong" w:eastAsia="FangSong" w:cs="FangSong"/>
          <w:sz w:val="31"/>
          <w:szCs w:val="31"/>
          <w:spacing w:val="10"/>
        </w:rPr>
        <w:t>之一的，由县级以上地方人民政府卫生计生行政部门予</w:t>
      </w:r>
      <w:r>
        <w:rPr>
          <w:rFonts w:ascii="FangSong" w:hAnsi="FangSong" w:eastAsia="FangSong" w:cs="FangSong"/>
          <w:sz w:val="31"/>
          <w:szCs w:val="31"/>
          <w:spacing w:val="9"/>
        </w:rPr>
        <w:t>以警告，并处3</w:t>
      </w:r>
      <w:r>
        <w:rPr>
          <w:rFonts w:ascii="FangSong" w:hAnsi="FangSong" w:eastAsia="FangSong" w:cs="FangSong"/>
          <w:sz w:val="31"/>
          <w:szCs w:val="31"/>
          <w:spacing w:val="9"/>
        </w:rPr>
        <w:t xml:space="preserve"> </w:t>
      </w:r>
      <w:r>
        <w:rPr>
          <w:rFonts w:ascii="FangSong" w:hAnsi="FangSong" w:eastAsia="FangSong" w:cs="FangSong"/>
          <w:sz w:val="31"/>
          <w:szCs w:val="31"/>
          <w:spacing w:val="9"/>
        </w:rPr>
        <w:t>万元以下的罚款：</w:t>
      </w:r>
    </w:p>
    <w:p>
      <w:pPr>
        <w:ind w:left="874"/>
        <w:spacing w:line="220" w:lineRule="auto"/>
        <w:rPr>
          <w:rFonts w:ascii="FangSong" w:hAnsi="FangSong" w:eastAsia="FangSong" w:cs="FangSong"/>
          <w:sz w:val="31"/>
          <w:szCs w:val="31"/>
        </w:rPr>
      </w:pPr>
      <w:r>
        <w:rPr>
          <w:rFonts w:ascii="FangSong" w:hAnsi="FangSong" w:eastAsia="FangSong" w:cs="FangSong"/>
          <w:sz w:val="31"/>
          <w:szCs w:val="31"/>
          <w:spacing w:val="12"/>
        </w:rPr>
        <w:t>(五)工作人员未取得相关岗位执业资格或者未经执业注册从事采供血浆工作的；</w:t>
      </w:r>
    </w:p>
    <w:p>
      <w:pPr>
        <w:spacing w:line="220" w:lineRule="auto"/>
        <w:sectPr>
          <w:footerReference w:type="default" r:id="rId397"/>
          <w:pgSz w:w="16830" w:h="11900"/>
          <w:pgMar w:top="1011" w:right="1314" w:bottom="1117" w:left="1335" w:header="0" w:footer="784"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6518"/>
        <w:spacing w:before="97" w:line="221" w:lineRule="auto"/>
        <w:rPr>
          <w:rFonts w:ascii="SimHei" w:hAnsi="SimHei" w:eastAsia="SimHei" w:cs="SimHei"/>
          <w:sz w:val="30"/>
          <w:szCs w:val="30"/>
        </w:rPr>
      </w:pPr>
      <w:bookmarkStart w:name="bookmark1049" w:id="420"/>
      <w:bookmarkEnd w:id="420"/>
      <w:r>
        <w:rPr>
          <w:rFonts w:ascii="SimHei" w:hAnsi="SimHei" w:eastAsia="SimHei" w:cs="SimHei"/>
          <w:sz w:val="30"/>
          <w:szCs w:val="30"/>
          <w:b/>
          <w:bCs/>
          <w:spacing w:val="-17"/>
        </w:rPr>
        <w:t>裁量标准</w:t>
      </w:r>
    </w:p>
    <w:p>
      <w:pPr>
        <w:spacing w:line="80" w:lineRule="exact"/>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3"/>
        <w:gridCol w:w="7325"/>
        <w:gridCol w:w="5411"/>
      </w:tblGrid>
      <w:tr>
        <w:trPr>
          <w:trHeight w:val="423" w:hRule="atLeast"/>
        </w:trPr>
        <w:tc>
          <w:tcPr>
            <w:tcW w:w="1413" w:type="dxa"/>
            <w:vAlign w:val="top"/>
          </w:tcPr>
          <w:p>
            <w:pPr>
              <w:pStyle w:val="TableText"/>
              <w:ind w:left="198"/>
              <w:spacing w:before="92" w:line="220" w:lineRule="auto"/>
              <w:rPr>
                <w:sz w:val="25"/>
                <w:szCs w:val="25"/>
              </w:rPr>
            </w:pPr>
            <w:r>
              <w:rPr>
                <w:sz w:val="25"/>
                <w:szCs w:val="25"/>
                <w:b/>
                <w:bCs/>
                <w:spacing w:val="-5"/>
              </w:rPr>
              <w:t>违法程度</w:t>
            </w:r>
          </w:p>
        </w:tc>
        <w:tc>
          <w:tcPr>
            <w:tcW w:w="7325" w:type="dxa"/>
            <w:vAlign w:val="top"/>
          </w:tcPr>
          <w:p>
            <w:pPr>
              <w:pStyle w:val="TableText"/>
              <w:ind w:left="3155"/>
              <w:spacing w:before="92" w:line="220" w:lineRule="auto"/>
              <w:rPr>
                <w:sz w:val="25"/>
                <w:szCs w:val="25"/>
              </w:rPr>
            </w:pPr>
            <w:r>
              <w:rPr>
                <w:sz w:val="25"/>
                <w:szCs w:val="25"/>
                <w:b/>
                <w:bCs/>
                <w:spacing w:val="-5"/>
              </w:rPr>
              <w:t>情节后果</w:t>
            </w:r>
          </w:p>
        </w:tc>
        <w:tc>
          <w:tcPr>
            <w:tcW w:w="5411" w:type="dxa"/>
            <w:vAlign w:val="top"/>
          </w:tcPr>
          <w:p>
            <w:pPr>
              <w:pStyle w:val="TableText"/>
              <w:ind w:left="2140"/>
              <w:spacing w:before="89" w:line="218" w:lineRule="auto"/>
              <w:rPr>
                <w:sz w:val="25"/>
                <w:szCs w:val="25"/>
              </w:rPr>
            </w:pPr>
            <w:r>
              <w:rPr>
                <w:sz w:val="25"/>
                <w:szCs w:val="25"/>
                <w:b/>
                <w:bCs/>
                <w:spacing w:val="-5"/>
              </w:rPr>
              <w:t>裁量幅度</w:t>
            </w:r>
          </w:p>
        </w:tc>
      </w:tr>
      <w:tr>
        <w:trPr>
          <w:trHeight w:val="847" w:hRule="atLeast"/>
        </w:trPr>
        <w:tc>
          <w:tcPr>
            <w:tcW w:w="1413" w:type="dxa"/>
            <w:vAlign w:val="top"/>
          </w:tcPr>
          <w:p>
            <w:pPr>
              <w:pStyle w:val="TableText"/>
              <w:ind w:left="448"/>
              <w:spacing w:before="300" w:line="221" w:lineRule="auto"/>
              <w:rPr>
                <w:sz w:val="25"/>
                <w:szCs w:val="25"/>
              </w:rPr>
            </w:pPr>
            <w:r>
              <w:rPr>
                <w:sz w:val="25"/>
                <w:szCs w:val="25"/>
                <w:b/>
                <w:bCs/>
                <w:spacing w:val="-10"/>
              </w:rPr>
              <w:t>一般</w:t>
            </w:r>
          </w:p>
        </w:tc>
        <w:tc>
          <w:tcPr>
            <w:tcW w:w="7325" w:type="dxa"/>
            <w:vAlign w:val="top"/>
          </w:tcPr>
          <w:p>
            <w:pPr>
              <w:pStyle w:val="TableText"/>
              <w:ind w:left="130" w:right="23" w:hanging="99"/>
              <w:spacing w:before="162" w:line="249" w:lineRule="auto"/>
              <w:rPr>
                <w:sz w:val="25"/>
                <w:szCs w:val="25"/>
              </w:rPr>
            </w:pPr>
            <w:r>
              <w:rPr>
                <w:sz w:val="25"/>
                <w:szCs w:val="25"/>
              </w:rPr>
              <w:t>单采血浆站工作人员未取得相关岗位执业资格或者未经执业注册从</w:t>
            </w:r>
            <w:r>
              <w:rPr>
                <w:sz w:val="25"/>
                <w:szCs w:val="25"/>
                <w:spacing w:val="8"/>
              </w:rPr>
              <w:t xml:space="preserve"> </w:t>
            </w:r>
            <w:r>
              <w:rPr>
                <w:sz w:val="25"/>
                <w:szCs w:val="25"/>
              </w:rPr>
              <w:t>事采供血浆工作，数量在2人以下的</w:t>
            </w:r>
          </w:p>
        </w:tc>
        <w:tc>
          <w:tcPr>
            <w:tcW w:w="5411" w:type="dxa"/>
            <w:vAlign w:val="top"/>
          </w:tcPr>
          <w:p>
            <w:pPr>
              <w:pStyle w:val="TableText"/>
              <w:ind w:left="126"/>
              <w:spacing w:before="300" w:line="218" w:lineRule="auto"/>
              <w:rPr>
                <w:sz w:val="25"/>
                <w:szCs w:val="25"/>
              </w:rPr>
            </w:pPr>
            <w:r>
              <w:rPr>
                <w:sz w:val="25"/>
                <w:szCs w:val="25"/>
                <w:spacing w:val="1"/>
              </w:rPr>
              <w:t>予以警告，并处2万元以下的罚款</w:t>
            </w:r>
          </w:p>
        </w:tc>
      </w:tr>
      <w:tr>
        <w:trPr>
          <w:trHeight w:val="677" w:hRule="atLeast"/>
        </w:trPr>
        <w:tc>
          <w:tcPr>
            <w:tcW w:w="1413" w:type="dxa"/>
            <w:vAlign w:val="top"/>
          </w:tcPr>
          <w:p>
            <w:pPr>
              <w:pStyle w:val="TableText"/>
              <w:ind w:left="448"/>
              <w:spacing w:before="225" w:line="221" w:lineRule="auto"/>
              <w:rPr>
                <w:sz w:val="25"/>
                <w:szCs w:val="25"/>
              </w:rPr>
            </w:pPr>
            <w:r>
              <w:rPr>
                <w:sz w:val="25"/>
                <w:szCs w:val="25"/>
                <w:b/>
                <w:bCs/>
                <w:spacing w:val="-6"/>
              </w:rPr>
              <w:t>较重</w:t>
            </w:r>
          </w:p>
        </w:tc>
        <w:tc>
          <w:tcPr>
            <w:tcW w:w="7325" w:type="dxa"/>
            <w:vAlign w:val="top"/>
          </w:tcPr>
          <w:p>
            <w:pPr>
              <w:pStyle w:val="TableText"/>
              <w:ind w:left="121" w:right="23" w:hanging="90"/>
              <w:spacing w:before="73" w:line="219" w:lineRule="auto"/>
              <w:rPr>
                <w:sz w:val="25"/>
                <w:szCs w:val="25"/>
              </w:rPr>
            </w:pPr>
            <w:r>
              <w:rPr>
                <w:sz w:val="25"/>
                <w:szCs w:val="25"/>
              </w:rPr>
              <w:t>单采血浆站工作人员未取得相关岗位执业资格或者未经执业注册从</w:t>
            </w:r>
            <w:r>
              <w:rPr>
                <w:sz w:val="25"/>
                <w:szCs w:val="25"/>
                <w:spacing w:val="8"/>
              </w:rPr>
              <w:t xml:space="preserve"> </w:t>
            </w:r>
            <w:r>
              <w:rPr>
                <w:sz w:val="25"/>
                <w:szCs w:val="25"/>
              </w:rPr>
              <w:t>事采供血浆工作，数量在3人或曾受过处罚的</w:t>
            </w:r>
          </w:p>
        </w:tc>
        <w:tc>
          <w:tcPr>
            <w:tcW w:w="5411" w:type="dxa"/>
            <w:vAlign w:val="top"/>
          </w:tcPr>
          <w:p>
            <w:pPr>
              <w:pStyle w:val="TableText"/>
              <w:ind w:left="126"/>
              <w:spacing w:before="223" w:line="218" w:lineRule="auto"/>
              <w:rPr>
                <w:sz w:val="25"/>
                <w:szCs w:val="25"/>
              </w:rPr>
            </w:pPr>
            <w:r>
              <w:rPr>
                <w:sz w:val="25"/>
                <w:szCs w:val="25"/>
                <w:spacing w:val="1"/>
              </w:rPr>
              <w:t>予以警告，并处2万元以上3万元以下的罚</w:t>
            </w:r>
          </w:p>
        </w:tc>
      </w:tr>
      <w:tr>
        <w:trPr>
          <w:trHeight w:val="702" w:hRule="atLeast"/>
        </w:trPr>
        <w:tc>
          <w:tcPr>
            <w:tcW w:w="1413" w:type="dxa"/>
            <w:vAlign w:val="top"/>
          </w:tcPr>
          <w:p>
            <w:pPr>
              <w:pStyle w:val="TableText"/>
              <w:ind w:left="448"/>
              <w:spacing w:before="235" w:line="220" w:lineRule="auto"/>
              <w:rPr>
                <w:sz w:val="25"/>
                <w:szCs w:val="25"/>
              </w:rPr>
            </w:pPr>
            <w:r>
              <w:rPr>
                <w:sz w:val="25"/>
                <w:szCs w:val="25"/>
                <w:b/>
                <w:bCs/>
                <w:spacing w:val="-6"/>
              </w:rPr>
              <w:t>严重</w:t>
            </w:r>
          </w:p>
        </w:tc>
        <w:tc>
          <w:tcPr>
            <w:tcW w:w="7325" w:type="dxa"/>
            <w:vAlign w:val="top"/>
          </w:tcPr>
          <w:p>
            <w:pPr>
              <w:pStyle w:val="TableText"/>
              <w:ind w:left="130" w:right="23" w:hanging="99"/>
              <w:spacing w:before="66" w:line="231" w:lineRule="auto"/>
              <w:rPr>
                <w:sz w:val="25"/>
                <w:szCs w:val="25"/>
              </w:rPr>
            </w:pPr>
            <w:r>
              <w:rPr>
                <w:sz w:val="25"/>
                <w:szCs w:val="25"/>
              </w:rPr>
              <w:t>单采血浆站工作人员未取得相关岗位执业资格或者未经执业注册从</w:t>
            </w:r>
            <w:r>
              <w:rPr>
                <w:sz w:val="25"/>
                <w:szCs w:val="25"/>
                <w:spacing w:val="8"/>
              </w:rPr>
              <w:t xml:space="preserve"> </w:t>
            </w:r>
            <w:r>
              <w:rPr>
                <w:sz w:val="25"/>
                <w:szCs w:val="25"/>
              </w:rPr>
              <w:t>事采供血浆工作，数量在4人以上或造成严重后果的</w:t>
            </w:r>
          </w:p>
        </w:tc>
        <w:tc>
          <w:tcPr>
            <w:tcW w:w="5411" w:type="dxa"/>
            <w:vAlign w:val="top"/>
          </w:tcPr>
          <w:p>
            <w:pPr>
              <w:pStyle w:val="TableText"/>
              <w:ind w:left="126"/>
              <w:spacing w:before="236" w:line="218" w:lineRule="auto"/>
              <w:rPr>
                <w:sz w:val="25"/>
                <w:szCs w:val="25"/>
              </w:rPr>
            </w:pPr>
            <w:r>
              <w:rPr>
                <w:sz w:val="25"/>
                <w:szCs w:val="25"/>
                <w:spacing w:val="1"/>
              </w:rPr>
              <w:t>予以警告，并处3万元罚款</w:t>
            </w:r>
          </w:p>
        </w:tc>
      </w:tr>
    </w:tbl>
    <w:p>
      <w:pPr>
        <w:pStyle w:val="BodyText"/>
        <w:spacing w:line="446" w:lineRule="auto"/>
        <w:rPr/>
      </w:pPr>
      <w:r/>
    </w:p>
    <w:p>
      <w:pPr>
        <w:ind w:left="789"/>
        <w:spacing w:before="97" w:line="219" w:lineRule="auto"/>
        <w:rPr>
          <w:rFonts w:ascii="FangSong" w:hAnsi="FangSong" w:eastAsia="FangSong" w:cs="FangSong"/>
          <w:sz w:val="30"/>
          <w:szCs w:val="30"/>
        </w:rPr>
      </w:pPr>
      <w:r>
        <w:rPr>
          <w:rFonts w:ascii="FangSong" w:hAnsi="FangSong" w:eastAsia="FangSong" w:cs="FangSong"/>
          <w:sz w:val="30"/>
          <w:szCs w:val="30"/>
          <w:b/>
          <w:bCs/>
          <w:spacing w:val="22"/>
        </w:rPr>
        <w:t>第三百五十五条单采血浆站不按照规定记录或者保存工作记录的</w:t>
      </w:r>
    </w:p>
    <w:p>
      <w:pPr>
        <w:ind w:left="774"/>
        <w:spacing w:before="83" w:line="222" w:lineRule="auto"/>
        <w:rPr>
          <w:rFonts w:ascii="FangSong" w:hAnsi="FangSong" w:eastAsia="FangSong" w:cs="FangSong"/>
          <w:sz w:val="30"/>
          <w:szCs w:val="30"/>
        </w:rPr>
      </w:pPr>
      <w:r>
        <w:rPr>
          <w:rFonts w:ascii="FangSong" w:hAnsi="FangSong" w:eastAsia="FangSong" w:cs="FangSong"/>
          <w:sz w:val="30"/>
          <w:szCs w:val="30"/>
          <w:spacing w:val="12"/>
        </w:rPr>
        <w:t>法律依据</w:t>
      </w:r>
    </w:p>
    <w:p>
      <w:pPr>
        <w:ind w:left="134" w:right="102" w:firstLine="619"/>
        <w:spacing w:before="66" w:line="270" w:lineRule="auto"/>
        <w:rPr>
          <w:rFonts w:ascii="FangSong" w:hAnsi="FangSong" w:eastAsia="FangSong" w:cs="FangSong"/>
          <w:sz w:val="30"/>
          <w:szCs w:val="30"/>
        </w:rPr>
      </w:pPr>
      <w:r>
        <w:rPr>
          <w:rFonts w:ascii="FangSong" w:hAnsi="FangSong" w:eastAsia="FangSong" w:cs="FangSong"/>
          <w:sz w:val="30"/>
          <w:szCs w:val="30"/>
          <w:spacing w:val="24"/>
        </w:rPr>
        <w:t>《单采血浆站管理办法》第六十二条第(六)项</w:t>
      </w:r>
      <w:r>
        <w:rPr>
          <w:rFonts w:ascii="FangSong" w:hAnsi="FangSong" w:eastAsia="FangSong" w:cs="FangSong"/>
          <w:sz w:val="30"/>
          <w:szCs w:val="30"/>
          <w:spacing w:val="24"/>
        </w:rPr>
        <w:t xml:space="preserve"> </w:t>
      </w:r>
      <w:r>
        <w:rPr>
          <w:rFonts w:ascii="FangSong" w:hAnsi="FangSong" w:eastAsia="FangSong" w:cs="FangSong"/>
          <w:sz w:val="30"/>
          <w:szCs w:val="30"/>
          <w:spacing w:val="23"/>
        </w:rPr>
        <w:t xml:space="preserve"> </w:t>
      </w:r>
      <w:r>
        <w:rPr>
          <w:rFonts w:ascii="FangSong" w:hAnsi="FangSong" w:eastAsia="FangSong" w:cs="FangSong"/>
          <w:sz w:val="30"/>
          <w:szCs w:val="30"/>
          <w:spacing w:val="23"/>
        </w:rPr>
        <w:t>单采血浆站违反本法有关规定，有下列行为之</w:t>
      </w:r>
      <w:r>
        <w:rPr>
          <w:rFonts w:ascii="FangSong" w:hAnsi="FangSong" w:eastAsia="FangSong" w:cs="FangSong"/>
          <w:sz w:val="30"/>
          <w:szCs w:val="30"/>
        </w:rPr>
        <w:t xml:space="preserve"> </w:t>
      </w:r>
      <w:r>
        <w:rPr>
          <w:rFonts w:ascii="FangSong" w:hAnsi="FangSong" w:eastAsia="FangSong" w:cs="FangSong"/>
          <w:sz w:val="30"/>
          <w:szCs w:val="30"/>
          <w:spacing w:val="19"/>
        </w:rPr>
        <w:t>一的，由县级以上地方人民政府卫生计生行政部门予以警告，并处3</w:t>
      </w:r>
      <w:r>
        <w:rPr>
          <w:rFonts w:ascii="FangSong" w:hAnsi="FangSong" w:eastAsia="FangSong" w:cs="FangSong"/>
          <w:sz w:val="30"/>
          <w:szCs w:val="30"/>
          <w:spacing w:val="19"/>
        </w:rPr>
        <w:t xml:space="preserve"> </w:t>
      </w:r>
      <w:r>
        <w:rPr>
          <w:rFonts w:ascii="FangSong" w:hAnsi="FangSong" w:eastAsia="FangSong" w:cs="FangSong"/>
          <w:sz w:val="30"/>
          <w:szCs w:val="30"/>
          <w:spacing w:val="19"/>
        </w:rPr>
        <w:t>万元以下的罚</w:t>
      </w:r>
      <w:r>
        <w:rPr>
          <w:rFonts w:ascii="FangSong" w:hAnsi="FangSong" w:eastAsia="FangSong" w:cs="FangSong"/>
          <w:sz w:val="30"/>
          <w:szCs w:val="30"/>
          <w:spacing w:val="18"/>
        </w:rPr>
        <w:t>款：</w:t>
      </w:r>
    </w:p>
    <w:p>
      <w:pPr>
        <w:ind w:left="904"/>
        <w:spacing w:before="1" w:line="219" w:lineRule="auto"/>
        <w:rPr>
          <w:rFonts w:ascii="FangSong" w:hAnsi="FangSong" w:eastAsia="FangSong" w:cs="FangSong"/>
          <w:sz w:val="30"/>
          <w:szCs w:val="30"/>
        </w:rPr>
      </w:pPr>
      <w:r>
        <w:rPr>
          <w:rFonts w:ascii="FangSong" w:hAnsi="FangSong" w:eastAsia="FangSong" w:cs="FangSong"/>
          <w:sz w:val="30"/>
          <w:szCs w:val="30"/>
          <w:spacing w:val="22"/>
        </w:rPr>
        <w:t>(六)不按照规定记录或者保存工作记录的；</w:t>
      </w:r>
    </w:p>
    <w:p>
      <w:pPr>
        <w:ind w:left="6528"/>
        <w:spacing w:before="143" w:line="221" w:lineRule="auto"/>
        <w:rPr>
          <w:rFonts w:ascii="SimHei" w:hAnsi="SimHei" w:eastAsia="SimHei" w:cs="SimHei"/>
          <w:sz w:val="30"/>
          <w:szCs w:val="30"/>
        </w:rPr>
      </w:pPr>
      <w:r>
        <w:rPr>
          <w:rFonts w:ascii="SimHei" w:hAnsi="SimHei" w:eastAsia="SimHei" w:cs="SimHei"/>
          <w:sz w:val="30"/>
          <w:szCs w:val="30"/>
          <w:b/>
          <w:bCs/>
          <w:spacing w:val="-19"/>
        </w:rPr>
        <w:t>裁量标准</w:t>
      </w:r>
    </w:p>
    <w:p>
      <w:pPr>
        <w:spacing w:line="111" w:lineRule="exact"/>
        <w:rPr/>
      </w:pPr>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334"/>
        <w:gridCol w:w="5401"/>
      </w:tblGrid>
      <w:tr>
        <w:trPr>
          <w:trHeight w:val="410" w:hRule="atLeast"/>
        </w:trPr>
        <w:tc>
          <w:tcPr>
            <w:tcW w:w="1424" w:type="dxa"/>
            <w:vAlign w:val="top"/>
          </w:tcPr>
          <w:p>
            <w:pPr>
              <w:pStyle w:val="TableText"/>
              <w:ind w:left="119"/>
              <w:spacing w:before="63" w:line="214" w:lineRule="auto"/>
              <w:rPr>
                <w:sz w:val="29"/>
                <w:szCs w:val="29"/>
              </w:rPr>
            </w:pPr>
            <w:r>
              <w:rPr>
                <w:sz w:val="29"/>
                <w:szCs w:val="29"/>
                <w:b/>
                <w:bCs/>
                <w:spacing w:val="-1"/>
              </w:rPr>
              <w:t>违法程度</w:t>
            </w:r>
          </w:p>
        </w:tc>
        <w:tc>
          <w:tcPr>
            <w:tcW w:w="7334" w:type="dxa"/>
            <w:vAlign w:val="top"/>
          </w:tcPr>
          <w:p>
            <w:pPr>
              <w:pStyle w:val="TableText"/>
              <w:ind w:left="3095"/>
              <w:spacing w:before="63" w:line="214" w:lineRule="auto"/>
              <w:rPr>
                <w:sz w:val="29"/>
                <w:szCs w:val="29"/>
              </w:rPr>
            </w:pPr>
            <w:r>
              <w:rPr>
                <w:sz w:val="29"/>
                <w:szCs w:val="29"/>
                <w:b/>
                <w:bCs/>
                <w:spacing w:val="-1"/>
              </w:rPr>
              <w:t>情节后果</w:t>
            </w:r>
          </w:p>
        </w:tc>
        <w:tc>
          <w:tcPr>
            <w:tcW w:w="5401" w:type="dxa"/>
            <w:vAlign w:val="top"/>
          </w:tcPr>
          <w:p>
            <w:pPr>
              <w:pStyle w:val="TableText"/>
              <w:ind w:left="2130"/>
              <w:spacing w:before="60" w:line="216" w:lineRule="auto"/>
              <w:rPr>
                <w:sz w:val="29"/>
                <w:szCs w:val="29"/>
              </w:rPr>
            </w:pPr>
            <w:r>
              <w:rPr>
                <w:sz w:val="29"/>
                <w:szCs w:val="29"/>
                <w:b/>
                <w:bCs/>
                <w:spacing w:val="-1"/>
              </w:rPr>
              <w:t>裁量幅度</w:t>
            </w:r>
          </w:p>
        </w:tc>
      </w:tr>
    </w:tbl>
    <w:p>
      <w:pPr>
        <w:pStyle w:val="BodyText"/>
        <w:rPr/>
      </w:pPr>
      <w:r/>
    </w:p>
    <w:p>
      <w:pPr>
        <w:sectPr>
          <w:footerReference w:type="default" r:id="rId398"/>
          <w:pgSz w:w="16830" w:h="11900"/>
          <w:pgMar w:top="1011" w:right="1335" w:bottom="1130" w:left="1325" w:header="0" w:footer="806" w:gutter="0"/>
        </w:sectPr>
        <w:rPr/>
      </w:pPr>
    </w:p>
    <w:p>
      <w:pPr>
        <w:spacing w:before="17"/>
        <w:rPr/>
      </w:pPr>
      <w:r/>
    </w:p>
    <w:p>
      <w:pPr>
        <w:spacing w:before="16"/>
        <w:rPr/>
      </w:pPr>
      <w:r/>
    </w:p>
    <w:p>
      <w:pPr>
        <w:spacing w:before="16"/>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295"/>
        <w:gridCol w:w="5431"/>
      </w:tblGrid>
      <w:tr>
        <w:trPr>
          <w:trHeight w:val="591" w:hRule="atLeast"/>
        </w:trPr>
        <w:tc>
          <w:tcPr>
            <w:tcW w:w="1444" w:type="dxa"/>
            <w:vAlign w:val="top"/>
          </w:tcPr>
          <w:p>
            <w:pPr>
              <w:pStyle w:val="TableText"/>
              <w:ind w:left="478"/>
              <w:spacing w:before="182" w:line="221" w:lineRule="auto"/>
              <w:rPr/>
            </w:pPr>
            <w:bookmarkStart w:name="bookmark1050" w:id="421"/>
            <w:bookmarkEnd w:id="421"/>
            <w:r>
              <w:rPr>
                <w:b/>
                <w:bCs/>
                <w:spacing w:val="-10"/>
              </w:rPr>
              <w:t>一般</w:t>
            </w:r>
          </w:p>
        </w:tc>
        <w:tc>
          <w:tcPr>
            <w:tcW w:w="7295" w:type="dxa"/>
            <w:vAlign w:val="top"/>
          </w:tcPr>
          <w:p>
            <w:pPr>
              <w:pStyle w:val="TableText"/>
              <w:ind w:left="101"/>
              <w:spacing w:before="183" w:line="219" w:lineRule="auto"/>
              <w:rPr/>
            </w:pPr>
            <w:r>
              <w:rPr/>
              <w:t>单采血浆站不按照规定记录或者保存工作记录的</w:t>
            </w:r>
          </w:p>
        </w:tc>
        <w:tc>
          <w:tcPr>
            <w:tcW w:w="5431" w:type="dxa"/>
            <w:vAlign w:val="top"/>
          </w:tcPr>
          <w:p>
            <w:pPr>
              <w:pStyle w:val="TableText"/>
              <w:ind w:left="145"/>
              <w:spacing w:before="182" w:line="218" w:lineRule="auto"/>
              <w:rPr/>
            </w:pPr>
            <w:r>
              <w:rPr/>
              <w:t>予以警告，并处2万元以下的罚款</w:t>
            </w:r>
          </w:p>
        </w:tc>
      </w:tr>
      <w:tr>
        <w:trPr>
          <w:trHeight w:val="666" w:hRule="atLeast"/>
        </w:trPr>
        <w:tc>
          <w:tcPr>
            <w:tcW w:w="1444" w:type="dxa"/>
            <w:vAlign w:val="top"/>
          </w:tcPr>
          <w:p>
            <w:pPr>
              <w:pStyle w:val="TableText"/>
              <w:ind w:left="478"/>
              <w:spacing w:before="113" w:line="221" w:lineRule="auto"/>
              <w:rPr/>
            </w:pPr>
            <w:r>
              <w:rPr>
                <w:b/>
                <w:bCs/>
                <w:spacing w:val="-5"/>
              </w:rPr>
              <w:t>较重</w:t>
            </w:r>
          </w:p>
        </w:tc>
        <w:tc>
          <w:tcPr>
            <w:tcW w:w="7295" w:type="dxa"/>
            <w:vAlign w:val="top"/>
          </w:tcPr>
          <w:p>
            <w:pPr>
              <w:pStyle w:val="TableText"/>
              <w:spacing w:before="62" w:line="219" w:lineRule="auto"/>
              <w:jc w:val="right"/>
              <w:rPr/>
            </w:pPr>
            <w:r>
              <w:rPr>
                <w:spacing w:val="-1"/>
              </w:rPr>
              <w:t>单采血浆站不按照规定记录或者保存工作记录，情节严重或者曾受过</w:t>
            </w:r>
          </w:p>
          <w:p>
            <w:pPr>
              <w:pStyle w:val="TableText"/>
              <w:ind w:left="101"/>
              <w:spacing w:before="60" w:line="191" w:lineRule="auto"/>
              <w:rPr/>
            </w:pPr>
            <w:r>
              <w:rPr>
                <w:color w:val="404040"/>
                <w:spacing w:val="6"/>
              </w:rPr>
              <w:t>处罚的</w:t>
            </w:r>
          </w:p>
        </w:tc>
        <w:tc>
          <w:tcPr>
            <w:tcW w:w="5431" w:type="dxa"/>
            <w:vAlign w:val="top"/>
          </w:tcPr>
          <w:p>
            <w:pPr>
              <w:pStyle w:val="TableText"/>
              <w:ind w:left="145"/>
              <w:spacing w:before="61" w:line="218" w:lineRule="auto"/>
              <w:rPr/>
            </w:pPr>
            <w:r>
              <w:rPr/>
              <w:t>予以警告，并处2万元以上3万元以下的罚款</w:t>
            </w:r>
          </w:p>
        </w:tc>
      </w:tr>
      <w:tr>
        <w:trPr>
          <w:trHeight w:val="393" w:hRule="atLeast"/>
        </w:trPr>
        <w:tc>
          <w:tcPr>
            <w:tcW w:w="1444" w:type="dxa"/>
            <w:vAlign w:val="top"/>
          </w:tcPr>
          <w:p>
            <w:pPr>
              <w:pStyle w:val="TableText"/>
              <w:ind w:left="478"/>
              <w:spacing w:before="85" w:line="220" w:lineRule="auto"/>
              <w:rPr/>
            </w:pPr>
            <w:r>
              <w:rPr>
                <w:b/>
                <w:bCs/>
                <w:spacing w:val="-6"/>
              </w:rPr>
              <w:t>严重</w:t>
            </w:r>
          </w:p>
        </w:tc>
        <w:tc>
          <w:tcPr>
            <w:tcW w:w="7295" w:type="dxa"/>
            <w:vAlign w:val="top"/>
          </w:tcPr>
          <w:p>
            <w:pPr>
              <w:pStyle w:val="TableText"/>
              <w:ind w:left="101"/>
              <w:spacing w:before="86" w:line="219" w:lineRule="auto"/>
              <w:rPr/>
            </w:pPr>
            <w:r>
              <w:rPr/>
              <w:t>单采血浆站不按照规定记录或者保存工作记录，造成严重后果的</w:t>
            </w:r>
          </w:p>
        </w:tc>
        <w:tc>
          <w:tcPr>
            <w:tcW w:w="5431" w:type="dxa"/>
            <w:vAlign w:val="top"/>
          </w:tcPr>
          <w:p>
            <w:pPr>
              <w:pStyle w:val="TableText"/>
              <w:ind w:left="145"/>
              <w:spacing w:before="85" w:line="218" w:lineRule="auto"/>
              <w:rPr/>
            </w:pPr>
            <w:r>
              <w:rPr/>
              <w:t>予以警告，并处3万元罚款</w:t>
            </w:r>
          </w:p>
        </w:tc>
      </w:tr>
    </w:tbl>
    <w:p>
      <w:pPr>
        <w:pStyle w:val="BodyText"/>
        <w:spacing w:line="476" w:lineRule="auto"/>
        <w:rPr/>
      </w:pPr>
      <w:r/>
    </w:p>
    <w:p>
      <w:pPr>
        <w:ind w:left="779"/>
        <w:spacing w:before="97" w:line="219" w:lineRule="auto"/>
        <w:rPr>
          <w:rFonts w:ascii="FangSong" w:hAnsi="FangSong" w:eastAsia="FangSong" w:cs="FangSong"/>
          <w:sz w:val="30"/>
          <w:szCs w:val="30"/>
        </w:rPr>
      </w:pPr>
      <w:r>
        <w:rPr>
          <w:rFonts w:ascii="FangSong" w:hAnsi="FangSong" w:eastAsia="FangSong" w:cs="FangSong"/>
          <w:sz w:val="30"/>
          <w:szCs w:val="30"/>
          <w:b/>
          <w:bCs/>
          <w:spacing w:val="24"/>
        </w:rPr>
        <w:t>第三百五十六条单采血浆站未按照规定保存血浆标</w:t>
      </w:r>
      <w:r>
        <w:rPr>
          <w:rFonts w:ascii="FangSong" w:hAnsi="FangSong" w:eastAsia="FangSong" w:cs="FangSong"/>
          <w:sz w:val="30"/>
          <w:szCs w:val="30"/>
          <w:b/>
          <w:bCs/>
          <w:spacing w:val="23"/>
        </w:rPr>
        <w:t>本的</w:t>
      </w:r>
    </w:p>
    <w:p>
      <w:pPr>
        <w:ind w:left="774"/>
        <w:spacing w:before="82" w:line="222" w:lineRule="auto"/>
        <w:rPr>
          <w:rFonts w:ascii="FangSong" w:hAnsi="FangSong" w:eastAsia="FangSong" w:cs="FangSong"/>
          <w:sz w:val="30"/>
          <w:szCs w:val="30"/>
        </w:rPr>
      </w:pPr>
      <w:r>
        <w:rPr>
          <w:rFonts w:ascii="FangSong" w:hAnsi="FangSong" w:eastAsia="FangSong" w:cs="FangSong"/>
          <w:sz w:val="30"/>
          <w:szCs w:val="30"/>
          <w:spacing w:val="12"/>
        </w:rPr>
        <w:t>法律依据</w:t>
      </w:r>
    </w:p>
    <w:p>
      <w:pPr>
        <w:ind w:left="124" w:right="90" w:firstLine="630"/>
        <w:spacing w:before="66" w:line="276" w:lineRule="auto"/>
        <w:rPr>
          <w:rFonts w:ascii="FangSong" w:hAnsi="FangSong" w:eastAsia="FangSong" w:cs="FangSong"/>
          <w:sz w:val="30"/>
          <w:szCs w:val="30"/>
        </w:rPr>
      </w:pPr>
      <w:r>
        <w:rPr>
          <w:rFonts w:ascii="FangSong" w:hAnsi="FangSong" w:eastAsia="FangSong" w:cs="FangSong"/>
          <w:sz w:val="30"/>
          <w:szCs w:val="30"/>
          <w:spacing w:val="24"/>
        </w:rPr>
        <w:t>《单采血浆站管理办法》第六十二条第(七)项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单采血浆站违反本办法有关规定，有下列行为</w:t>
      </w:r>
      <w:r>
        <w:rPr>
          <w:rFonts w:ascii="FangSong" w:hAnsi="FangSong" w:eastAsia="FangSong" w:cs="FangSong"/>
          <w:sz w:val="30"/>
          <w:szCs w:val="30"/>
          <w:spacing w:val="1"/>
        </w:rPr>
        <w:t xml:space="preserve"> </w:t>
      </w:r>
      <w:r>
        <w:rPr>
          <w:rFonts w:ascii="FangSong" w:hAnsi="FangSong" w:eastAsia="FangSong" w:cs="FangSong"/>
          <w:sz w:val="30"/>
          <w:szCs w:val="30"/>
          <w:spacing w:val="19"/>
        </w:rPr>
        <w:t>之一的，由县级以上地方人民政府卫生计生行政部门予以警告，并处3</w:t>
      </w:r>
      <w:r>
        <w:rPr>
          <w:rFonts w:ascii="FangSong" w:hAnsi="FangSong" w:eastAsia="FangSong" w:cs="FangSong"/>
          <w:sz w:val="30"/>
          <w:szCs w:val="30"/>
          <w:spacing w:val="19"/>
        </w:rPr>
        <w:t xml:space="preserve"> </w:t>
      </w:r>
      <w:r>
        <w:rPr>
          <w:rFonts w:ascii="FangSong" w:hAnsi="FangSong" w:eastAsia="FangSong" w:cs="FangSong"/>
          <w:sz w:val="30"/>
          <w:szCs w:val="30"/>
          <w:spacing w:val="19"/>
        </w:rPr>
        <w:t>万元以下的罚款：</w:t>
      </w:r>
    </w:p>
    <w:p>
      <w:pPr>
        <w:ind w:left="894"/>
        <w:spacing w:before="1" w:line="219" w:lineRule="auto"/>
        <w:rPr>
          <w:rFonts w:ascii="FangSong" w:hAnsi="FangSong" w:eastAsia="FangSong" w:cs="FangSong"/>
          <w:sz w:val="30"/>
          <w:szCs w:val="30"/>
        </w:rPr>
      </w:pPr>
      <w:r>
        <w:rPr>
          <w:rFonts w:ascii="FangSong" w:hAnsi="FangSong" w:eastAsia="FangSong" w:cs="FangSong"/>
          <w:sz w:val="30"/>
          <w:szCs w:val="30"/>
          <w:spacing w:val="25"/>
        </w:rPr>
        <w:t>(七)未按照规定保存血浆标本的。</w:t>
      </w:r>
    </w:p>
    <w:p>
      <w:pPr>
        <w:ind w:left="6529"/>
        <w:spacing w:before="163"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71" w:lineRule="exact"/>
        <w:rPr/>
      </w:pPr>
      <w:r/>
    </w:p>
    <w:tbl>
      <w:tblPr>
        <w:tblStyle w:val="TableNormal"/>
        <w:tblW w:w="1415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6475"/>
        <w:gridCol w:w="6250"/>
      </w:tblGrid>
      <w:tr>
        <w:trPr>
          <w:trHeight w:val="423" w:hRule="atLeast"/>
        </w:trPr>
        <w:tc>
          <w:tcPr>
            <w:tcW w:w="1434" w:type="dxa"/>
            <w:vAlign w:val="top"/>
          </w:tcPr>
          <w:p>
            <w:pPr>
              <w:pStyle w:val="TableText"/>
              <w:ind w:left="208"/>
              <w:spacing w:before="92" w:line="220" w:lineRule="auto"/>
              <w:rPr>
                <w:sz w:val="25"/>
                <w:szCs w:val="25"/>
              </w:rPr>
            </w:pPr>
            <w:r>
              <w:rPr>
                <w:sz w:val="25"/>
                <w:szCs w:val="25"/>
                <w:b/>
                <w:bCs/>
                <w:spacing w:val="-5"/>
              </w:rPr>
              <w:t>违法程度</w:t>
            </w:r>
          </w:p>
        </w:tc>
        <w:tc>
          <w:tcPr>
            <w:tcW w:w="6475" w:type="dxa"/>
            <w:vAlign w:val="top"/>
          </w:tcPr>
          <w:p>
            <w:pPr>
              <w:pStyle w:val="TableText"/>
              <w:ind w:left="2654"/>
              <w:spacing w:before="92" w:line="220" w:lineRule="auto"/>
              <w:rPr>
                <w:sz w:val="25"/>
                <w:szCs w:val="25"/>
              </w:rPr>
            </w:pPr>
            <w:r>
              <w:rPr>
                <w:sz w:val="25"/>
                <w:szCs w:val="25"/>
                <w:b/>
                <w:bCs/>
                <w:spacing w:val="-5"/>
              </w:rPr>
              <w:t>情节后果</w:t>
            </w:r>
          </w:p>
        </w:tc>
        <w:tc>
          <w:tcPr>
            <w:tcW w:w="6250" w:type="dxa"/>
            <w:vAlign w:val="top"/>
          </w:tcPr>
          <w:p>
            <w:pPr>
              <w:pStyle w:val="TableText"/>
              <w:ind w:left="2549"/>
              <w:spacing w:before="89" w:line="218" w:lineRule="auto"/>
              <w:rPr>
                <w:sz w:val="25"/>
                <w:szCs w:val="25"/>
              </w:rPr>
            </w:pPr>
            <w:r>
              <w:rPr>
                <w:sz w:val="25"/>
                <w:szCs w:val="25"/>
                <w:b/>
                <w:bCs/>
                <w:spacing w:val="-5"/>
              </w:rPr>
              <w:t>裁量幅度</w:t>
            </w:r>
          </w:p>
        </w:tc>
      </w:tr>
      <w:tr>
        <w:trPr>
          <w:trHeight w:val="567" w:hRule="atLeast"/>
        </w:trPr>
        <w:tc>
          <w:tcPr>
            <w:tcW w:w="1434" w:type="dxa"/>
            <w:vAlign w:val="top"/>
          </w:tcPr>
          <w:p>
            <w:pPr>
              <w:pStyle w:val="TableText"/>
              <w:ind w:left="458"/>
              <w:spacing w:before="160" w:line="221" w:lineRule="auto"/>
              <w:rPr>
                <w:sz w:val="25"/>
                <w:szCs w:val="25"/>
              </w:rPr>
            </w:pPr>
            <w:r>
              <w:rPr>
                <w:sz w:val="25"/>
                <w:szCs w:val="25"/>
                <w:b/>
                <w:bCs/>
                <w:spacing w:val="-10"/>
              </w:rPr>
              <w:t>一般</w:t>
            </w:r>
          </w:p>
        </w:tc>
        <w:tc>
          <w:tcPr>
            <w:tcW w:w="6475" w:type="dxa"/>
            <w:vAlign w:val="top"/>
          </w:tcPr>
          <w:p>
            <w:pPr>
              <w:pStyle w:val="TableText"/>
              <w:ind w:left="110"/>
              <w:spacing w:before="160" w:line="219" w:lineRule="auto"/>
              <w:rPr>
                <w:sz w:val="25"/>
                <w:szCs w:val="25"/>
              </w:rPr>
            </w:pPr>
            <w:r>
              <w:rPr>
                <w:sz w:val="25"/>
                <w:szCs w:val="25"/>
              </w:rPr>
              <w:t>单采血浆站未按照规定保存血浆标本</w:t>
            </w:r>
          </w:p>
        </w:tc>
        <w:tc>
          <w:tcPr>
            <w:tcW w:w="6250" w:type="dxa"/>
            <w:vAlign w:val="top"/>
          </w:tcPr>
          <w:p>
            <w:pPr>
              <w:pStyle w:val="TableText"/>
              <w:ind w:left="106"/>
              <w:spacing w:before="160" w:line="218" w:lineRule="auto"/>
              <w:rPr>
                <w:sz w:val="25"/>
                <w:szCs w:val="25"/>
              </w:rPr>
            </w:pPr>
            <w:r>
              <w:rPr>
                <w:sz w:val="25"/>
                <w:szCs w:val="25"/>
                <w:spacing w:val="1"/>
              </w:rPr>
              <w:t>予以警告，并处2万元以下的罚款</w:t>
            </w:r>
          </w:p>
        </w:tc>
      </w:tr>
      <w:tr>
        <w:trPr>
          <w:trHeight w:val="667" w:hRule="atLeast"/>
        </w:trPr>
        <w:tc>
          <w:tcPr>
            <w:tcW w:w="1434" w:type="dxa"/>
            <w:vAlign w:val="top"/>
          </w:tcPr>
          <w:p>
            <w:pPr>
              <w:pStyle w:val="TableText"/>
              <w:ind w:left="458"/>
              <w:spacing w:before="215" w:line="221" w:lineRule="auto"/>
              <w:rPr>
                <w:sz w:val="25"/>
                <w:szCs w:val="25"/>
              </w:rPr>
            </w:pPr>
            <w:r>
              <w:rPr>
                <w:sz w:val="25"/>
                <w:szCs w:val="25"/>
                <w:b/>
                <w:bCs/>
                <w:spacing w:val="-6"/>
              </w:rPr>
              <w:t>较重</w:t>
            </w:r>
          </w:p>
        </w:tc>
        <w:tc>
          <w:tcPr>
            <w:tcW w:w="6475" w:type="dxa"/>
            <w:vAlign w:val="top"/>
          </w:tcPr>
          <w:p>
            <w:pPr>
              <w:pStyle w:val="TableText"/>
              <w:spacing w:before="73" w:line="219" w:lineRule="auto"/>
              <w:jc w:val="right"/>
              <w:rPr>
                <w:sz w:val="25"/>
                <w:szCs w:val="25"/>
              </w:rPr>
            </w:pPr>
            <w:r>
              <w:rPr>
                <w:sz w:val="25"/>
                <w:szCs w:val="25"/>
                <w:spacing w:val="-6"/>
              </w:rPr>
              <w:t>单采血浆站未按照规定保存血浆标本，情节严重或曾受过处</w:t>
            </w:r>
          </w:p>
          <w:p>
            <w:pPr>
              <w:pStyle w:val="TableText"/>
              <w:ind w:left="110"/>
              <w:spacing w:before="28" w:line="191" w:lineRule="auto"/>
              <w:rPr>
                <w:sz w:val="25"/>
                <w:szCs w:val="25"/>
              </w:rPr>
            </w:pPr>
            <w:r>
              <w:rPr>
                <w:sz w:val="25"/>
                <w:szCs w:val="25"/>
                <w:color w:val="606060"/>
                <w:spacing w:val="9"/>
              </w:rPr>
              <w:t>罚的</w:t>
            </w:r>
          </w:p>
        </w:tc>
        <w:tc>
          <w:tcPr>
            <w:tcW w:w="6250" w:type="dxa"/>
            <w:vAlign w:val="top"/>
          </w:tcPr>
          <w:p>
            <w:pPr>
              <w:pStyle w:val="TableText"/>
              <w:ind w:left="106"/>
              <w:spacing w:before="213" w:line="218" w:lineRule="auto"/>
              <w:rPr>
                <w:sz w:val="25"/>
                <w:szCs w:val="25"/>
              </w:rPr>
            </w:pPr>
            <w:r>
              <w:rPr>
                <w:sz w:val="25"/>
                <w:szCs w:val="25"/>
              </w:rPr>
              <w:t>予以警告，并处2万元以上3万元以下的罚款</w:t>
            </w:r>
          </w:p>
        </w:tc>
      </w:tr>
      <w:tr>
        <w:trPr>
          <w:trHeight w:val="592" w:hRule="atLeast"/>
        </w:trPr>
        <w:tc>
          <w:tcPr>
            <w:tcW w:w="1434" w:type="dxa"/>
            <w:vAlign w:val="top"/>
          </w:tcPr>
          <w:p>
            <w:pPr>
              <w:pStyle w:val="TableText"/>
              <w:ind w:left="458"/>
              <w:spacing w:before="175" w:line="220" w:lineRule="auto"/>
              <w:rPr>
                <w:sz w:val="25"/>
                <w:szCs w:val="25"/>
              </w:rPr>
            </w:pPr>
            <w:r>
              <w:rPr>
                <w:sz w:val="25"/>
                <w:szCs w:val="25"/>
                <w:b/>
                <w:bCs/>
                <w:spacing w:val="-6"/>
              </w:rPr>
              <w:t>严重</w:t>
            </w:r>
          </w:p>
        </w:tc>
        <w:tc>
          <w:tcPr>
            <w:tcW w:w="6475" w:type="dxa"/>
            <w:vAlign w:val="top"/>
          </w:tcPr>
          <w:p>
            <w:pPr>
              <w:pStyle w:val="TableText"/>
              <w:ind w:left="110"/>
              <w:spacing w:before="176" w:line="219" w:lineRule="auto"/>
              <w:rPr>
                <w:sz w:val="25"/>
                <w:szCs w:val="25"/>
              </w:rPr>
            </w:pPr>
            <w:r>
              <w:rPr>
                <w:sz w:val="25"/>
                <w:szCs w:val="25"/>
              </w:rPr>
              <w:t>单采血浆站未按照规定保存血浆标本，造成严重后果的</w:t>
            </w:r>
          </w:p>
        </w:tc>
        <w:tc>
          <w:tcPr>
            <w:tcW w:w="6250" w:type="dxa"/>
            <w:vAlign w:val="top"/>
          </w:tcPr>
          <w:p>
            <w:pPr>
              <w:pStyle w:val="TableText"/>
              <w:ind w:left="106"/>
              <w:spacing w:before="176" w:line="218" w:lineRule="auto"/>
              <w:rPr>
                <w:sz w:val="25"/>
                <w:szCs w:val="25"/>
              </w:rPr>
            </w:pPr>
            <w:r>
              <w:rPr>
                <w:sz w:val="25"/>
                <w:szCs w:val="25"/>
                <w:spacing w:val="1"/>
              </w:rPr>
              <w:t>予以警告，并处3万元罚款</w:t>
            </w:r>
          </w:p>
        </w:tc>
      </w:tr>
    </w:tbl>
    <w:p>
      <w:pPr>
        <w:pStyle w:val="BodyText"/>
        <w:spacing w:line="456" w:lineRule="auto"/>
        <w:rPr/>
      </w:pPr>
      <w:r/>
    </w:p>
    <w:p>
      <w:pPr>
        <w:ind w:left="779"/>
        <w:spacing w:before="98" w:line="220" w:lineRule="auto"/>
        <w:rPr>
          <w:rFonts w:ascii="FangSong" w:hAnsi="FangSong" w:eastAsia="FangSong" w:cs="FangSong"/>
          <w:sz w:val="30"/>
          <w:szCs w:val="30"/>
        </w:rPr>
      </w:pPr>
      <w:r>
        <w:rPr>
          <w:rFonts w:ascii="FangSong" w:hAnsi="FangSong" w:eastAsia="FangSong" w:cs="FangSong"/>
          <w:sz w:val="30"/>
          <w:szCs w:val="30"/>
          <w:b/>
          <w:bCs/>
          <w:spacing w:val="25"/>
        </w:rPr>
        <w:t>第三百五十七条擅自出口原料血浆的</w:t>
      </w:r>
    </w:p>
    <w:p>
      <w:pPr>
        <w:spacing w:line="220" w:lineRule="auto"/>
        <w:sectPr>
          <w:footerReference w:type="default" r:id="rId399"/>
          <w:pgSz w:w="16830" w:h="11900"/>
          <w:pgMar w:top="1011" w:right="1335" w:bottom="1131" w:left="1314" w:header="0" w:footer="807" w:gutter="0"/>
        </w:sectPr>
        <w:rPr>
          <w:rFonts w:ascii="FangSong" w:hAnsi="FangSong" w:eastAsia="FangSong" w:cs="FangSong"/>
          <w:sz w:val="30"/>
          <w:szCs w:val="30"/>
        </w:rPr>
      </w:pPr>
    </w:p>
    <w:p>
      <w:pPr>
        <w:pStyle w:val="BodyText"/>
        <w:spacing w:line="272" w:lineRule="auto"/>
        <w:rPr/>
      </w:pPr>
      <w:r/>
    </w:p>
    <w:p>
      <w:pPr>
        <w:pStyle w:val="BodyText"/>
        <w:spacing w:line="272" w:lineRule="auto"/>
        <w:rPr/>
      </w:pPr>
      <w:r/>
    </w:p>
    <w:p>
      <w:pPr>
        <w:pStyle w:val="BodyText"/>
        <w:spacing w:line="272" w:lineRule="auto"/>
        <w:rPr/>
      </w:pPr>
      <w:r/>
    </w:p>
    <w:p>
      <w:pPr>
        <w:ind w:left="754"/>
        <w:spacing w:before="97" w:line="222" w:lineRule="auto"/>
        <w:rPr>
          <w:rFonts w:ascii="FangSong" w:hAnsi="FangSong" w:eastAsia="FangSong" w:cs="FangSong"/>
          <w:sz w:val="30"/>
          <w:szCs w:val="30"/>
        </w:rPr>
      </w:pPr>
      <w:bookmarkStart w:name="bookmark1051" w:id="422"/>
      <w:bookmarkEnd w:id="422"/>
      <w:r>
        <w:rPr>
          <w:rFonts w:ascii="FangSong" w:hAnsi="FangSong" w:eastAsia="FangSong" w:cs="FangSong"/>
          <w:sz w:val="30"/>
          <w:szCs w:val="30"/>
          <w:spacing w:val="12"/>
        </w:rPr>
        <w:t>法律依据</w:t>
      </w:r>
    </w:p>
    <w:p>
      <w:pPr>
        <w:ind w:left="114" w:right="35" w:firstLine="640"/>
        <w:spacing w:before="64" w:line="254" w:lineRule="auto"/>
        <w:rPr>
          <w:rFonts w:ascii="FangSong" w:hAnsi="FangSong" w:eastAsia="FangSong" w:cs="FangSong"/>
          <w:sz w:val="30"/>
          <w:szCs w:val="30"/>
        </w:rPr>
      </w:pPr>
      <w:r>
        <w:rPr>
          <w:rFonts w:ascii="FangSong" w:hAnsi="FangSong" w:eastAsia="FangSong" w:cs="FangSong"/>
          <w:sz w:val="30"/>
          <w:szCs w:val="30"/>
          <w:spacing w:val="12"/>
        </w:rPr>
        <w:t>1.</w:t>
      </w:r>
      <w:r>
        <w:rPr>
          <w:rFonts w:ascii="FangSong" w:hAnsi="FangSong" w:eastAsia="FangSong" w:cs="FangSong"/>
          <w:sz w:val="30"/>
          <w:szCs w:val="30"/>
          <w:spacing w:val="12"/>
        </w:rPr>
        <w:t xml:space="preserve"> </w:t>
      </w:r>
      <w:r>
        <w:rPr>
          <w:rFonts w:ascii="FangSong" w:hAnsi="FangSong" w:eastAsia="FangSong" w:cs="FangSong"/>
          <w:sz w:val="30"/>
          <w:szCs w:val="30"/>
          <w:spacing w:val="12"/>
        </w:rPr>
        <w:t>《血液制品管理条例》第四十二条</w:t>
      </w:r>
      <w:r>
        <w:rPr>
          <w:rFonts w:ascii="FangSong" w:hAnsi="FangSong" w:eastAsia="FangSong" w:cs="FangSong"/>
          <w:sz w:val="30"/>
          <w:szCs w:val="30"/>
          <w:spacing w:val="12"/>
        </w:rPr>
        <w:t xml:space="preserve">  </w:t>
      </w:r>
      <w:r>
        <w:rPr>
          <w:rFonts w:ascii="FangSong" w:hAnsi="FangSong" w:eastAsia="FangSong" w:cs="FangSong"/>
          <w:sz w:val="30"/>
          <w:szCs w:val="30"/>
          <w:spacing w:val="12"/>
        </w:rPr>
        <w:t>违反本条例规定，擅自进出口血液制品或者出口原料血浆</w:t>
      </w:r>
      <w:r>
        <w:rPr>
          <w:rFonts w:ascii="FangSong" w:hAnsi="FangSong" w:eastAsia="FangSong" w:cs="FangSong"/>
          <w:sz w:val="30"/>
          <w:szCs w:val="30"/>
          <w:spacing w:val="8"/>
        </w:rPr>
        <w:t xml:space="preserve"> </w:t>
      </w:r>
      <w:r>
        <w:rPr>
          <w:rFonts w:ascii="FangSong" w:hAnsi="FangSong" w:eastAsia="FangSong" w:cs="FangSong"/>
          <w:sz w:val="30"/>
          <w:szCs w:val="30"/>
          <w:spacing w:val="19"/>
        </w:rPr>
        <w:t>的，由省级以上人民政府卫生行政部门没收所进出口的血液</w:t>
      </w:r>
      <w:r>
        <w:rPr>
          <w:rFonts w:ascii="FangSong" w:hAnsi="FangSong" w:eastAsia="FangSong" w:cs="FangSong"/>
          <w:sz w:val="30"/>
          <w:szCs w:val="30"/>
          <w:spacing w:val="18"/>
        </w:rPr>
        <w:t>制品或者所出口的原料血浆和违法所得，</w:t>
      </w:r>
      <w:r>
        <w:rPr>
          <w:rFonts w:ascii="FangSong" w:hAnsi="FangSong" w:eastAsia="FangSong" w:cs="FangSong"/>
          <w:sz w:val="30"/>
          <w:szCs w:val="30"/>
        </w:rPr>
        <w:t xml:space="preserve"> </w:t>
      </w:r>
      <w:r>
        <w:rPr>
          <w:rFonts w:ascii="FangSong" w:hAnsi="FangSong" w:eastAsia="FangSong" w:cs="FangSong"/>
          <w:sz w:val="30"/>
          <w:szCs w:val="30"/>
          <w:spacing w:val="21"/>
        </w:rPr>
        <w:t>并处所进出口的血液制品或者所出口的原料血浆总值3</w:t>
      </w:r>
      <w:r>
        <w:rPr>
          <w:rFonts w:ascii="FangSong" w:hAnsi="FangSong" w:eastAsia="FangSong" w:cs="FangSong"/>
          <w:sz w:val="30"/>
          <w:szCs w:val="30"/>
          <w:spacing w:val="21"/>
        </w:rPr>
        <w:t xml:space="preserve"> </w:t>
      </w:r>
      <w:r>
        <w:rPr>
          <w:rFonts w:ascii="FangSong" w:hAnsi="FangSong" w:eastAsia="FangSong" w:cs="FangSong"/>
          <w:sz w:val="30"/>
          <w:szCs w:val="30"/>
          <w:spacing w:val="21"/>
        </w:rPr>
        <w:t>倍以上5</w:t>
      </w:r>
      <w:r>
        <w:rPr>
          <w:rFonts w:ascii="FangSong" w:hAnsi="FangSong" w:eastAsia="FangSong" w:cs="FangSong"/>
          <w:sz w:val="30"/>
          <w:szCs w:val="30"/>
          <w:spacing w:val="21"/>
        </w:rPr>
        <w:t xml:space="preserve"> </w:t>
      </w:r>
      <w:r>
        <w:rPr>
          <w:rFonts w:ascii="FangSong" w:hAnsi="FangSong" w:eastAsia="FangSong" w:cs="FangSong"/>
          <w:sz w:val="30"/>
          <w:szCs w:val="30"/>
          <w:spacing w:val="21"/>
        </w:rPr>
        <w:t>倍以下的罚款。</w:t>
      </w:r>
    </w:p>
    <w:p>
      <w:pPr>
        <w:ind w:left="114" w:right="122" w:firstLine="640"/>
        <w:spacing w:before="54" w:line="254" w:lineRule="auto"/>
        <w:rPr>
          <w:rFonts w:ascii="FangSong" w:hAnsi="FangSong" w:eastAsia="FangSong" w:cs="FangSong"/>
          <w:sz w:val="30"/>
          <w:szCs w:val="30"/>
        </w:rPr>
      </w:pPr>
      <w:r>
        <w:rPr>
          <w:rFonts w:ascii="FangSong" w:hAnsi="FangSong" w:eastAsia="FangSong" w:cs="FangSong"/>
          <w:sz w:val="30"/>
          <w:szCs w:val="30"/>
          <w:spacing w:val="12"/>
        </w:rPr>
        <w:t>2.</w:t>
      </w:r>
      <w:r>
        <w:rPr>
          <w:rFonts w:ascii="FangSong" w:hAnsi="FangSong" w:eastAsia="FangSong" w:cs="FangSong"/>
          <w:sz w:val="30"/>
          <w:szCs w:val="30"/>
          <w:spacing w:val="12"/>
        </w:rPr>
        <w:t xml:space="preserve"> </w:t>
      </w:r>
      <w:r>
        <w:rPr>
          <w:rFonts w:ascii="FangSong" w:hAnsi="FangSong" w:eastAsia="FangSong" w:cs="FangSong"/>
          <w:sz w:val="30"/>
          <w:szCs w:val="30"/>
          <w:spacing w:val="12"/>
        </w:rPr>
        <w:t>《单采血浆站管理办法》第六十六条</w:t>
      </w:r>
      <w:r>
        <w:rPr>
          <w:rFonts w:ascii="FangSong" w:hAnsi="FangSong" w:eastAsia="FangSong" w:cs="FangSong"/>
          <w:sz w:val="30"/>
          <w:szCs w:val="30"/>
          <w:spacing w:val="12"/>
        </w:rPr>
        <w:t xml:space="preserve">  </w:t>
      </w:r>
      <w:r>
        <w:rPr>
          <w:rFonts w:ascii="FangSong" w:hAnsi="FangSong" w:eastAsia="FangSong" w:cs="FangSong"/>
          <w:sz w:val="30"/>
          <w:szCs w:val="30"/>
          <w:spacing w:val="12"/>
        </w:rPr>
        <w:t>违反《血液制品管理条例》和本办法规定，擅自出口原</w:t>
      </w:r>
      <w:r>
        <w:rPr>
          <w:rFonts w:ascii="FangSong" w:hAnsi="FangSong" w:eastAsia="FangSong" w:cs="FangSong"/>
          <w:sz w:val="30"/>
          <w:szCs w:val="30"/>
          <w:spacing w:val="1"/>
        </w:rPr>
        <w:t xml:space="preserve"> </w:t>
      </w:r>
      <w:r>
        <w:rPr>
          <w:rFonts w:ascii="FangSong" w:hAnsi="FangSong" w:eastAsia="FangSong" w:cs="FangSong"/>
          <w:sz w:val="30"/>
          <w:szCs w:val="30"/>
          <w:spacing w:val="17"/>
        </w:rPr>
        <w:t>料血浆的，按照《血液制品管理条例》第四十二条规定予以处罚。</w:t>
      </w:r>
    </w:p>
    <w:p>
      <w:pPr>
        <w:ind w:left="6518"/>
        <w:spacing w:before="151"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80" w:lineRule="exact"/>
        <w:rPr/>
      </w:pPr>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6475"/>
        <w:gridCol w:w="6250"/>
      </w:tblGrid>
      <w:tr>
        <w:trPr>
          <w:trHeight w:val="453" w:hRule="atLeast"/>
        </w:trPr>
        <w:tc>
          <w:tcPr>
            <w:tcW w:w="1434" w:type="dxa"/>
            <w:vAlign w:val="top"/>
          </w:tcPr>
          <w:p>
            <w:pPr>
              <w:pStyle w:val="TableText"/>
              <w:ind w:left="228"/>
              <w:spacing w:before="112" w:line="220" w:lineRule="auto"/>
              <w:rPr/>
            </w:pPr>
            <w:r>
              <w:rPr>
                <w:b/>
                <w:bCs/>
                <w:spacing w:val="-5"/>
              </w:rPr>
              <w:t>违法程度</w:t>
            </w:r>
          </w:p>
        </w:tc>
        <w:tc>
          <w:tcPr>
            <w:tcW w:w="6475" w:type="dxa"/>
            <w:vAlign w:val="top"/>
          </w:tcPr>
          <w:p>
            <w:pPr>
              <w:pStyle w:val="TableText"/>
              <w:ind w:left="2754"/>
              <w:spacing w:before="112" w:line="220" w:lineRule="auto"/>
              <w:rPr/>
            </w:pPr>
            <w:r>
              <w:rPr>
                <w:b/>
                <w:bCs/>
                <w:spacing w:val="-5"/>
              </w:rPr>
              <w:t>情节后果</w:t>
            </w:r>
          </w:p>
        </w:tc>
        <w:tc>
          <w:tcPr>
            <w:tcW w:w="6250" w:type="dxa"/>
            <w:vAlign w:val="top"/>
          </w:tcPr>
          <w:p>
            <w:pPr>
              <w:pStyle w:val="TableText"/>
              <w:ind w:left="2539"/>
              <w:spacing w:before="10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77" w:hRule="atLeast"/>
        </w:trPr>
        <w:tc>
          <w:tcPr>
            <w:tcW w:w="1434" w:type="dxa"/>
            <w:vAlign w:val="top"/>
          </w:tcPr>
          <w:p>
            <w:pPr>
              <w:pStyle w:val="TableText"/>
              <w:ind w:left="468"/>
              <w:spacing w:before="219" w:line="221" w:lineRule="auto"/>
              <w:rPr/>
            </w:pPr>
            <w:r>
              <w:rPr>
                <w:b/>
                <w:bCs/>
                <w:spacing w:val="-10"/>
              </w:rPr>
              <w:t>一般</w:t>
            </w:r>
          </w:p>
        </w:tc>
        <w:tc>
          <w:tcPr>
            <w:tcW w:w="6475" w:type="dxa"/>
            <w:vAlign w:val="top"/>
          </w:tcPr>
          <w:p>
            <w:pPr>
              <w:pStyle w:val="TableText"/>
              <w:ind w:left="119" w:hanging="69"/>
              <w:spacing w:before="71" w:line="229" w:lineRule="auto"/>
              <w:rPr/>
            </w:pPr>
            <w:r>
              <w:rPr>
                <w:spacing w:val="-3"/>
              </w:rPr>
              <w:t>违反《血液制品管理条例》和《单采血浆站管理办法》规定，</w:t>
            </w:r>
            <w:r>
              <w:rPr>
                <w:spacing w:val="14"/>
              </w:rPr>
              <w:t xml:space="preserve"> </w:t>
            </w:r>
            <w:r>
              <w:rPr>
                <w:spacing w:val="-2"/>
              </w:rPr>
              <w:t>擅自出口原料血浆的，货值在1万元以下的</w:t>
            </w:r>
          </w:p>
        </w:tc>
        <w:tc>
          <w:tcPr>
            <w:tcW w:w="6250" w:type="dxa"/>
            <w:vAlign w:val="top"/>
          </w:tcPr>
          <w:p>
            <w:pPr>
              <w:pStyle w:val="TableText"/>
              <w:ind w:left="115" w:right="113"/>
              <w:spacing w:before="71" w:line="229" w:lineRule="auto"/>
              <w:rPr/>
            </w:pPr>
            <w:r>
              <w:rPr/>
              <w:t>没收所出口的原料血浆和违法所得，并处所出口的原料血</w:t>
            </w:r>
            <w:r>
              <w:rPr>
                <w:spacing w:val="9"/>
              </w:rPr>
              <w:t xml:space="preserve"> </w:t>
            </w:r>
            <w:r>
              <w:rPr>
                <w:spacing w:val="-2"/>
              </w:rPr>
              <w:t>浆总值3倍的罚款</w:t>
            </w:r>
          </w:p>
        </w:tc>
      </w:tr>
      <w:tr>
        <w:trPr>
          <w:trHeight w:val="667" w:hRule="atLeast"/>
        </w:trPr>
        <w:tc>
          <w:tcPr>
            <w:tcW w:w="1434" w:type="dxa"/>
            <w:vAlign w:val="top"/>
          </w:tcPr>
          <w:p>
            <w:pPr>
              <w:pStyle w:val="TableText"/>
              <w:ind w:left="468"/>
              <w:spacing w:before="224" w:line="221" w:lineRule="auto"/>
              <w:rPr/>
            </w:pPr>
            <w:r>
              <w:rPr>
                <w:b/>
                <w:bCs/>
                <w:spacing w:val="-5"/>
              </w:rPr>
              <w:t>较重</w:t>
            </w:r>
          </w:p>
        </w:tc>
        <w:tc>
          <w:tcPr>
            <w:tcW w:w="6475" w:type="dxa"/>
            <w:vAlign w:val="top"/>
          </w:tcPr>
          <w:p>
            <w:pPr>
              <w:pStyle w:val="TableText"/>
              <w:ind w:left="119" w:hanging="69"/>
              <w:spacing w:before="74" w:line="224" w:lineRule="auto"/>
              <w:rPr/>
            </w:pPr>
            <w:r>
              <w:rPr>
                <w:spacing w:val="-3"/>
              </w:rPr>
              <w:t>违反《血液制品管理条例》和《单采血浆站管理办法》规定，</w:t>
            </w:r>
            <w:r>
              <w:rPr>
                <w:spacing w:val="14"/>
              </w:rPr>
              <w:t xml:space="preserve"> </w:t>
            </w:r>
            <w:r>
              <w:rPr>
                <w:spacing w:val="-2"/>
              </w:rPr>
              <w:t>擅自出口原料血浆的，货值在1万元以上5万元以下的</w:t>
            </w:r>
          </w:p>
        </w:tc>
        <w:tc>
          <w:tcPr>
            <w:tcW w:w="6250" w:type="dxa"/>
            <w:vAlign w:val="top"/>
          </w:tcPr>
          <w:p>
            <w:pPr>
              <w:pStyle w:val="TableText"/>
              <w:ind w:left="115" w:right="113"/>
              <w:spacing w:before="85" w:line="220" w:lineRule="auto"/>
              <w:rPr/>
            </w:pPr>
            <w:r>
              <w:rPr/>
              <w:t>没收所出口的原料血浆和违法所得，并处所出口的原料血</w:t>
            </w:r>
            <w:r>
              <w:rPr>
                <w:spacing w:val="9"/>
              </w:rPr>
              <w:t xml:space="preserve"> </w:t>
            </w:r>
            <w:r>
              <w:rPr>
                <w:spacing w:val="-1"/>
              </w:rPr>
              <w:t>浆总值4倍以上5倍以下的罚款</w:t>
            </w:r>
          </w:p>
        </w:tc>
      </w:tr>
      <w:tr>
        <w:trPr>
          <w:trHeight w:val="683" w:hRule="atLeast"/>
        </w:trPr>
        <w:tc>
          <w:tcPr>
            <w:tcW w:w="1434" w:type="dxa"/>
            <w:vAlign w:val="top"/>
          </w:tcPr>
          <w:p>
            <w:pPr>
              <w:pStyle w:val="TableText"/>
              <w:ind w:left="468"/>
              <w:spacing w:before="225" w:line="220" w:lineRule="auto"/>
              <w:rPr/>
            </w:pPr>
            <w:r>
              <w:rPr>
                <w:b/>
                <w:bCs/>
                <w:spacing w:val="-6"/>
              </w:rPr>
              <w:t>严重</w:t>
            </w:r>
          </w:p>
        </w:tc>
        <w:tc>
          <w:tcPr>
            <w:tcW w:w="6475" w:type="dxa"/>
            <w:vAlign w:val="top"/>
          </w:tcPr>
          <w:p>
            <w:pPr>
              <w:pStyle w:val="TableText"/>
              <w:ind w:left="109" w:hanging="59"/>
              <w:spacing w:before="67" w:line="233" w:lineRule="auto"/>
              <w:rPr/>
            </w:pPr>
            <w:r>
              <w:rPr>
                <w:spacing w:val="-3"/>
              </w:rPr>
              <w:t>违反《血液制品管理条例》和《单采血浆站管理办法》规定，</w:t>
            </w:r>
            <w:r>
              <w:rPr>
                <w:spacing w:val="14"/>
              </w:rPr>
              <w:t xml:space="preserve"> </w:t>
            </w:r>
            <w:r>
              <w:rPr>
                <w:spacing w:val="-2"/>
              </w:rPr>
              <w:t>擅自出口原料血浆的，货值在5万元以上的</w:t>
            </w:r>
          </w:p>
        </w:tc>
        <w:tc>
          <w:tcPr>
            <w:tcW w:w="6250" w:type="dxa"/>
            <w:vAlign w:val="top"/>
          </w:tcPr>
          <w:p>
            <w:pPr>
              <w:pStyle w:val="TableText"/>
              <w:ind w:left="106" w:right="113" w:firstLine="9"/>
              <w:spacing w:before="67" w:line="233" w:lineRule="auto"/>
              <w:rPr/>
            </w:pPr>
            <w:r>
              <w:rPr/>
              <w:t>没收所出口的原料血浆和违法所得，并处所出口的原料血</w:t>
            </w:r>
            <w:r>
              <w:rPr>
                <w:spacing w:val="9"/>
              </w:rPr>
              <w:t xml:space="preserve"> </w:t>
            </w:r>
            <w:r>
              <w:rPr>
                <w:spacing w:val="-2"/>
              </w:rPr>
              <w:t>浆总值5倍的罚款</w:t>
            </w:r>
          </w:p>
        </w:tc>
      </w:tr>
    </w:tbl>
    <w:p>
      <w:pPr>
        <w:pStyle w:val="BodyText"/>
        <w:spacing w:line="476" w:lineRule="auto"/>
        <w:rPr/>
      </w:pPr>
      <w:r/>
    </w:p>
    <w:p>
      <w:pPr>
        <w:ind w:left="759"/>
        <w:spacing w:before="99" w:line="220" w:lineRule="auto"/>
        <w:rPr>
          <w:rFonts w:ascii="FangSong" w:hAnsi="FangSong" w:eastAsia="FangSong" w:cs="FangSong"/>
          <w:sz w:val="30"/>
          <w:szCs w:val="30"/>
        </w:rPr>
      </w:pPr>
      <w:r>
        <w:rPr>
          <w:rFonts w:ascii="FangSong" w:hAnsi="FangSong" w:eastAsia="FangSong" w:cs="FangSong"/>
          <w:sz w:val="30"/>
          <w:szCs w:val="30"/>
          <w:b/>
          <w:bCs/>
          <w:spacing w:val="21"/>
        </w:rPr>
        <w:t>第三百五十八条承担单采血浆站技术评价、检测的技术机构出具虚假证明文件的</w:t>
      </w:r>
    </w:p>
    <w:p>
      <w:pPr>
        <w:ind w:left="754"/>
        <w:spacing w:before="80" w:line="222" w:lineRule="auto"/>
        <w:rPr>
          <w:rFonts w:ascii="FangSong" w:hAnsi="FangSong" w:eastAsia="FangSong" w:cs="FangSong"/>
          <w:sz w:val="30"/>
          <w:szCs w:val="30"/>
        </w:rPr>
      </w:pPr>
      <w:r>
        <w:rPr>
          <w:rFonts w:ascii="FangSong" w:hAnsi="FangSong" w:eastAsia="FangSong" w:cs="FangSong"/>
          <w:sz w:val="30"/>
          <w:szCs w:val="30"/>
          <w:spacing w:val="12"/>
        </w:rPr>
        <w:t>法律依据</w:t>
      </w:r>
    </w:p>
    <w:p>
      <w:pPr>
        <w:ind w:left="114" w:right="94" w:firstLine="630"/>
        <w:spacing w:before="85" w:line="277" w:lineRule="auto"/>
        <w:rPr>
          <w:rFonts w:ascii="FangSong" w:hAnsi="FangSong" w:eastAsia="FangSong" w:cs="FangSong"/>
          <w:sz w:val="30"/>
          <w:szCs w:val="30"/>
        </w:rPr>
      </w:pPr>
      <w:r>
        <w:rPr>
          <w:rFonts w:ascii="FangSong" w:hAnsi="FangSong" w:eastAsia="FangSong" w:cs="FangSong"/>
          <w:sz w:val="30"/>
          <w:szCs w:val="30"/>
          <w:spacing w:val="17"/>
        </w:rPr>
        <w:t>《单采血浆站管理办法》第六十七条</w:t>
      </w:r>
      <w:r>
        <w:rPr>
          <w:rFonts w:ascii="FangSong" w:hAnsi="FangSong" w:eastAsia="FangSong" w:cs="FangSong"/>
          <w:sz w:val="30"/>
          <w:szCs w:val="30"/>
          <w:spacing w:val="17"/>
        </w:rPr>
        <w:t xml:space="preserve">  </w:t>
      </w:r>
      <w:r>
        <w:rPr>
          <w:rFonts w:ascii="FangSong" w:hAnsi="FangSong" w:eastAsia="FangSong" w:cs="FangSong"/>
          <w:sz w:val="30"/>
          <w:szCs w:val="30"/>
          <w:spacing w:val="17"/>
        </w:rPr>
        <w:t>承担单采血浆站技术评价、检测的技术机构出具虚假</w:t>
      </w:r>
      <w:r>
        <w:rPr>
          <w:rFonts w:ascii="FangSong" w:hAnsi="FangSong" w:eastAsia="FangSong" w:cs="FangSong"/>
          <w:sz w:val="30"/>
          <w:szCs w:val="30"/>
          <w:spacing w:val="16"/>
        </w:rPr>
        <w:t>证明</w:t>
      </w:r>
      <w:r>
        <w:rPr>
          <w:rFonts w:ascii="FangSong" w:hAnsi="FangSong" w:eastAsia="FangSong" w:cs="FangSong"/>
          <w:sz w:val="30"/>
          <w:szCs w:val="30"/>
        </w:rPr>
        <w:t xml:space="preserve"> </w:t>
      </w:r>
      <w:r>
        <w:rPr>
          <w:rFonts w:ascii="FangSong" w:hAnsi="FangSong" w:eastAsia="FangSong" w:cs="FangSong"/>
          <w:sz w:val="30"/>
          <w:szCs w:val="30"/>
          <w:spacing w:val="23"/>
        </w:rPr>
        <w:t>文件的，由卫生计生行政部门责令改正，给予警告，并可</w:t>
      </w:r>
      <w:r>
        <w:rPr>
          <w:rFonts w:ascii="FangSong" w:hAnsi="FangSong" w:eastAsia="FangSong" w:cs="FangSong"/>
          <w:sz w:val="30"/>
          <w:szCs w:val="30"/>
          <w:spacing w:val="22"/>
        </w:rPr>
        <w:t>处2</w:t>
      </w:r>
      <w:r>
        <w:rPr>
          <w:rFonts w:ascii="FangSong" w:hAnsi="FangSong" w:eastAsia="FangSong" w:cs="FangSong"/>
          <w:sz w:val="30"/>
          <w:szCs w:val="30"/>
          <w:spacing w:val="80"/>
        </w:rPr>
        <w:t xml:space="preserve"> </w:t>
      </w:r>
      <w:r>
        <w:rPr>
          <w:rFonts w:ascii="FangSong" w:hAnsi="FangSong" w:eastAsia="FangSong" w:cs="FangSong"/>
          <w:sz w:val="30"/>
          <w:szCs w:val="30"/>
          <w:spacing w:val="22"/>
        </w:rPr>
        <w:t>万元以下的罚款；对直接负责的主管</w:t>
      </w:r>
    </w:p>
    <w:p>
      <w:pPr>
        <w:spacing w:line="277" w:lineRule="auto"/>
        <w:sectPr>
          <w:footerReference w:type="default" r:id="rId400"/>
          <w:pgSz w:w="16830" w:h="11900"/>
          <w:pgMar w:top="1011" w:right="1335" w:bottom="1117" w:left="1325" w:header="0" w:footer="784" w:gutter="0"/>
        </w:sectPr>
        <w:rPr>
          <w:rFonts w:ascii="FangSong" w:hAnsi="FangSong" w:eastAsia="FangSong" w:cs="FangSong"/>
          <w:sz w:val="30"/>
          <w:szCs w:val="30"/>
        </w:rPr>
      </w:pPr>
    </w:p>
    <w:p>
      <w:pPr>
        <w:pStyle w:val="BodyText"/>
        <w:spacing w:line="258" w:lineRule="auto"/>
        <w:rPr/>
      </w:pPr>
      <w:r/>
    </w:p>
    <w:p>
      <w:pPr>
        <w:pStyle w:val="BodyText"/>
        <w:spacing w:line="258" w:lineRule="auto"/>
        <w:rPr/>
      </w:pPr>
      <w:r/>
    </w:p>
    <w:p>
      <w:pPr>
        <w:pStyle w:val="BodyText"/>
        <w:spacing w:line="259" w:lineRule="auto"/>
        <w:rPr/>
      </w:pPr>
      <w:r/>
    </w:p>
    <w:p>
      <w:pPr>
        <w:ind w:left="6519" w:right="1655" w:hanging="6404"/>
        <w:spacing w:before="98" w:line="294" w:lineRule="auto"/>
        <w:rPr>
          <w:rFonts w:ascii="SimHei" w:hAnsi="SimHei" w:eastAsia="SimHei" w:cs="SimHei"/>
          <w:sz w:val="30"/>
          <w:szCs w:val="30"/>
        </w:rPr>
      </w:pPr>
      <w:r>
        <w:rPr>
          <w:rFonts w:ascii="FangSong" w:hAnsi="FangSong" w:eastAsia="FangSong" w:cs="FangSong"/>
          <w:sz w:val="30"/>
          <w:szCs w:val="30"/>
          <w:spacing w:val="18"/>
        </w:rPr>
        <w:t>人员和其他直接责任人员，依法给予处分；情节严重，构成犯罪的，依法追究刑事责任。</w:t>
      </w:r>
      <w:r>
        <w:rPr>
          <w:rFonts w:ascii="FangSong" w:hAnsi="FangSong" w:eastAsia="FangSong" w:cs="FangSong"/>
          <w:sz w:val="30"/>
          <w:szCs w:val="30"/>
          <w:spacing w:val="6"/>
        </w:rPr>
        <w:t xml:space="preserve"> </w:t>
      </w:r>
      <w:bookmarkStart w:name="bookmark1052" w:id="423"/>
      <w:bookmarkEnd w:id="423"/>
      <w:r>
        <w:rPr>
          <w:rFonts w:ascii="SimHei" w:hAnsi="SimHei" w:eastAsia="SimHei" w:cs="SimHei"/>
          <w:sz w:val="30"/>
          <w:szCs w:val="30"/>
          <w:b/>
          <w:bCs/>
          <w:spacing w:val="-17"/>
        </w:rPr>
        <w:t>裁量标准</w:t>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6485"/>
        <w:gridCol w:w="6251"/>
      </w:tblGrid>
      <w:tr>
        <w:trPr>
          <w:trHeight w:val="453" w:hRule="atLeast"/>
        </w:trPr>
        <w:tc>
          <w:tcPr>
            <w:tcW w:w="1434" w:type="dxa"/>
            <w:vAlign w:val="top"/>
          </w:tcPr>
          <w:p>
            <w:pPr>
              <w:pStyle w:val="TableText"/>
              <w:ind w:left="128"/>
              <w:spacing w:before="11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6485" w:type="dxa"/>
            <w:vAlign w:val="top"/>
          </w:tcPr>
          <w:p>
            <w:pPr>
              <w:pStyle w:val="TableText"/>
              <w:ind w:left="2754"/>
              <w:spacing w:before="112" w:line="220" w:lineRule="auto"/>
              <w:rPr/>
            </w:pPr>
            <w:r>
              <w:rPr>
                <w:b/>
                <w:bCs/>
                <w:spacing w:val="-5"/>
              </w:rPr>
              <w:t>情节后果</w:t>
            </w:r>
          </w:p>
        </w:tc>
        <w:tc>
          <w:tcPr>
            <w:tcW w:w="6251" w:type="dxa"/>
            <w:vAlign w:val="top"/>
          </w:tcPr>
          <w:p>
            <w:pPr>
              <w:pStyle w:val="TableText"/>
              <w:ind w:left="2549"/>
              <w:spacing w:before="10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77" w:hRule="atLeast"/>
        </w:trPr>
        <w:tc>
          <w:tcPr>
            <w:tcW w:w="1434" w:type="dxa"/>
            <w:vAlign w:val="top"/>
          </w:tcPr>
          <w:p>
            <w:pPr>
              <w:pStyle w:val="TableText"/>
              <w:ind w:left="468"/>
              <w:spacing w:before="219" w:line="221" w:lineRule="auto"/>
              <w:rPr/>
            </w:pPr>
            <w:r>
              <w:rPr>
                <w:b/>
                <w:bCs/>
                <w:spacing w:val="-10"/>
              </w:rPr>
              <w:t>一般</w:t>
            </w:r>
          </w:p>
        </w:tc>
        <w:tc>
          <w:tcPr>
            <w:tcW w:w="6485" w:type="dxa"/>
            <w:vAlign w:val="top"/>
          </w:tcPr>
          <w:p>
            <w:pPr>
              <w:pStyle w:val="TableText"/>
              <w:ind w:left="111"/>
              <w:spacing w:before="69" w:line="218" w:lineRule="auto"/>
              <w:rPr/>
            </w:pPr>
            <w:r>
              <w:rPr/>
              <w:t>承担单采血浆站技术评价、检测的技术机构出具虚假证明文</w:t>
            </w:r>
          </w:p>
          <w:p>
            <w:pPr>
              <w:pStyle w:val="TableText"/>
              <w:ind w:left="111"/>
              <w:spacing w:before="48" w:line="204" w:lineRule="auto"/>
              <w:rPr/>
            </w:pPr>
            <w:r>
              <w:rPr>
                <w:color w:val="504040"/>
                <w:spacing w:val="9"/>
              </w:rPr>
              <w:t>件的</w:t>
            </w:r>
          </w:p>
        </w:tc>
        <w:tc>
          <w:tcPr>
            <w:tcW w:w="6251" w:type="dxa"/>
            <w:vAlign w:val="top"/>
          </w:tcPr>
          <w:p>
            <w:pPr>
              <w:pStyle w:val="TableText"/>
              <w:ind w:left="86"/>
              <w:spacing w:before="219" w:line="218" w:lineRule="auto"/>
              <w:rPr/>
            </w:pPr>
            <w:r>
              <w:rPr/>
              <w:t>责令改正，给予警告，并可处1万元以下的罚款</w:t>
            </w:r>
          </w:p>
        </w:tc>
      </w:tr>
      <w:tr>
        <w:trPr>
          <w:trHeight w:val="667" w:hRule="atLeast"/>
        </w:trPr>
        <w:tc>
          <w:tcPr>
            <w:tcW w:w="1434" w:type="dxa"/>
            <w:vAlign w:val="top"/>
          </w:tcPr>
          <w:p>
            <w:pPr>
              <w:pStyle w:val="TableText"/>
              <w:ind w:left="468"/>
              <w:spacing w:before="224" w:line="221" w:lineRule="auto"/>
              <w:rPr/>
            </w:pPr>
            <w:r>
              <w:rPr>
                <w:b/>
                <w:bCs/>
                <w:spacing w:val="-5"/>
              </w:rPr>
              <w:t>较重</w:t>
            </w:r>
          </w:p>
        </w:tc>
        <w:tc>
          <w:tcPr>
            <w:tcW w:w="6485" w:type="dxa"/>
            <w:vAlign w:val="top"/>
          </w:tcPr>
          <w:p>
            <w:pPr>
              <w:pStyle w:val="TableText"/>
              <w:ind w:left="100" w:right="110" w:firstLine="10"/>
              <w:spacing w:before="72" w:line="225" w:lineRule="auto"/>
              <w:rPr/>
            </w:pPr>
            <w:r>
              <w:rPr/>
              <w:t>承担单采血浆站技术评价、检测的技术机构出具虚假证明文</w:t>
            </w:r>
            <w:r>
              <w:rPr>
                <w:spacing w:val="12"/>
              </w:rPr>
              <w:t xml:space="preserve"> </w:t>
            </w:r>
            <w:r>
              <w:rPr>
                <w:spacing w:val="2"/>
              </w:rPr>
              <w:t>件，情节严重的</w:t>
            </w:r>
          </w:p>
        </w:tc>
        <w:tc>
          <w:tcPr>
            <w:tcW w:w="6251" w:type="dxa"/>
            <w:vAlign w:val="top"/>
          </w:tcPr>
          <w:p>
            <w:pPr>
              <w:pStyle w:val="TableText"/>
              <w:ind w:left="86"/>
              <w:spacing w:before="72" w:line="218" w:lineRule="auto"/>
              <w:rPr/>
            </w:pPr>
            <w:r>
              <w:rPr>
                <w:spacing w:val="1"/>
              </w:rPr>
              <w:t>责令改正，给予警告，并可处1万元以上2万元以下的罚</w:t>
            </w:r>
          </w:p>
          <w:p>
            <w:pPr>
              <w:pStyle w:val="TableText"/>
              <w:ind w:left="86"/>
              <w:spacing w:before="40" w:line="200" w:lineRule="auto"/>
              <w:rPr/>
            </w:pPr>
            <w:r>
              <w:rPr>
                <w:color w:val="303040"/>
              </w:rPr>
              <w:t>款</w:t>
            </w:r>
          </w:p>
        </w:tc>
      </w:tr>
      <w:tr>
        <w:trPr>
          <w:trHeight w:val="682" w:hRule="atLeast"/>
        </w:trPr>
        <w:tc>
          <w:tcPr>
            <w:tcW w:w="1434" w:type="dxa"/>
            <w:vAlign w:val="top"/>
          </w:tcPr>
          <w:p>
            <w:pPr>
              <w:pStyle w:val="TableText"/>
              <w:ind w:left="468"/>
              <w:spacing w:before="225" w:line="220" w:lineRule="auto"/>
              <w:rPr/>
            </w:pPr>
            <w:r>
              <w:rPr>
                <w:b/>
                <w:bCs/>
                <w:spacing w:val="-6"/>
              </w:rPr>
              <w:t>严重</w:t>
            </w:r>
          </w:p>
        </w:tc>
        <w:tc>
          <w:tcPr>
            <w:tcW w:w="6485" w:type="dxa"/>
            <w:vAlign w:val="top"/>
          </w:tcPr>
          <w:p>
            <w:pPr>
              <w:pStyle w:val="TableText"/>
              <w:ind w:left="120" w:right="110" w:hanging="9"/>
              <w:spacing w:before="66" w:line="233" w:lineRule="auto"/>
              <w:rPr/>
            </w:pPr>
            <w:r>
              <w:rPr/>
              <w:t>承担单采血浆站技术评价、检测的技术机构出具虚假证明文</w:t>
            </w:r>
            <w:r>
              <w:rPr>
                <w:spacing w:val="12"/>
              </w:rPr>
              <w:t xml:space="preserve"> </w:t>
            </w:r>
            <w:r>
              <w:rPr>
                <w:spacing w:val="2"/>
              </w:rPr>
              <w:t>件，造成严重后果的</w:t>
            </w:r>
          </w:p>
        </w:tc>
        <w:tc>
          <w:tcPr>
            <w:tcW w:w="6251" w:type="dxa"/>
            <w:vAlign w:val="top"/>
          </w:tcPr>
          <w:p>
            <w:pPr>
              <w:pStyle w:val="TableText"/>
              <w:ind w:left="86"/>
              <w:spacing w:before="225" w:line="218" w:lineRule="auto"/>
              <w:rPr/>
            </w:pPr>
            <w:r>
              <w:rPr/>
              <w:t>责令改正，给予警告，并可处2万元的罚款</w:t>
            </w:r>
          </w:p>
        </w:tc>
      </w:tr>
    </w:tbl>
    <w:p>
      <w:pPr>
        <w:pStyle w:val="BodyText"/>
        <w:spacing w:line="455" w:lineRule="auto"/>
        <w:rPr/>
      </w:pPr>
      <w:r/>
    </w:p>
    <w:p>
      <w:pPr>
        <w:ind w:left="879"/>
        <w:spacing w:before="97" w:line="223" w:lineRule="auto"/>
        <w:rPr>
          <w:rFonts w:ascii="KaiTi" w:hAnsi="KaiTi" w:eastAsia="KaiTi" w:cs="KaiTi"/>
          <w:sz w:val="30"/>
          <w:szCs w:val="30"/>
        </w:rPr>
      </w:pPr>
      <w:r>
        <w:rPr>
          <w:rFonts w:ascii="KaiTi" w:hAnsi="KaiTi" w:eastAsia="KaiTi" w:cs="KaiTi"/>
          <w:sz w:val="30"/>
          <w:szCs w:val="30"/>
          <w:b/>
          <w:bCs/>
          <w:spacing w:val="30"/>
        </w:rPr>
        <w:t>(三十二)《血站管理办法》</w:t>
      </w:r>
    </w:p>
    <w:p>
      <w:pPr>
        <w:pStyle w:val="BodyText"/>
        <w:spacing w:line="438" w:lineRule="auto"/>
        <w:rPr/>
      </w:pPr>
      <w:r/>
    </w:p>
    <w:p>
      <w:pPr>
        <w:ind w:left="76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第三百五十九条血站超出执业登记的项目、内容、范围开展业务活动的</w:t>
      </w:r>
    </w:p>
    <w:p>
      <w:pPr>
        <w:ind w:left="924"/>
        <w:spacing w:before="90" w:line="222" w:lineRule="auto"/>
        <w:rPr>
          <w:rFonts w:ascii="FangSong" w:hAnsi="FangSong" w:eastAsia="FangSong" w:cs="FangSong"/>
          <w:sz w:val="30"/>
          <w:szCs w:val="30"/>
        </w:rPr>
      </w:pPr>
      <w:r>
        <w:rPr>
          <w:rFonts w:ascii="FangSong" w:hAnsi="FangSong" w:eastAsia="FangSong" w:cs="FangSong"/>
          <w:sz w:val="30"/>
          <w:szCs w:val="30"/>
        </w:rPr>
        <w:t>法律依据：</w:t>
      </w:r>
    </w:p>
    <w:p>
      <w:pPr>
        <w:ind w:left="115" w:right="149" w:firstLine="609"/>
        <w:spacing w:before="75" w:line="280" w:lineRule="auto"/>
        <w:jc w:val="both"/>
        <w:rPr>
          <w:rFonts w:ascii="FangSong" w:hAnsi="FangSong" w:eastAsia="FangSong" w:cs="FangSong"/>
          <w:sz w:val="24"/>
          <w:szCs w:val="24"/>
        </w:rPr>
      </w:pPr>
      <w:r>
        <w:rPr>
          <w:rFonts w:ascii="FangSong" w:hAnsi="FangSong" w:eastAsia="FangSong" w:cs="FangSong"/>
          <w:sz w:val="30"/>
          <w:szCs w:val="30"/>
          <w:spacing w:val="23"/>
        </w:rPr>
        <w:t>《血站管理办法》第六十一条第(一)项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血站有下列行为之一的，由县级以上地方人民政府卫</w:t>
      </w:r>
      <w:r>
        <w:rPr>
          <w:rFonts w:ascii="FangSong" w:hAnsi="FangSong" w:eastAsia="FangSong" w:cs="FangSong"/>
          <w:sz w:val="30"/>
          <w:szCs w:val="30"/>
          <w:spacing w:val="11"/>
        </w:rPr>
        <w:t xml:space="preserve"> </w:t>
      </w:r>
      <w:r>
        <w:rPr>
          <w:rFonts w:ascii="FangSong" w:hAnsi="FangSong" w:eastAsia="FangSong" w:cs="FangSong"/>
          <w:sz w:val="30"/>
          <w:szCs w:val="30"/>
          <w:spacing w:val="16"/>
        </w:rPr>
        <w:t>生计生行政部门予以警告、责令改正；逾期不改正，或者造成经血液传播疾病发生，或者其他严重后</w:t>
      </w:r>
      <w:r>
        <w:rPr>
          <w:rFonts w:ascii="FangSong" w:hAnsi="FangSong" w:eastAsia="FangSong" w:cs="FangSong"/>
          <w:sz w:val="30"/>
          <w:szCs w:val="30"/>
          <w:spacing w:val="10"/>
        </w:rPr>
        <w:t xml:space="preserve"> </w:t>
      </w:r>
      <w:r>
        <w:rPr>
          <w:rFonts w:ascii="FangSong" w:hAnsi="FangSong" w:eastAsia="FangSong" w:cs="FangSong"/>
          <w:sz w:val="30"/>
          <w:szCs w:val="30"/>
          <w:spacing w:val="16"/>
        </w:rPr>
        <w:t>果的，对负有责任的主管人员和其他直接负责人员，依法给予行政处分；构成犯罪的，依法追究刑事</w:t>
      </w:r>
      <w:r>
        <w:rPr>
          <w:rFonts w:ascii="FangSong" w:hAnsi="FangSong" w:eastAsia="FangSong" w:cs="FangSong"/>
          <w:sz w:val="30"/>
          <w:szCs w:val="30"/>
          <w:spacing w:val="10"/>
        </w:rPr>
        <w:t xml:space="preserve"> </w:t>
      </w:r>
      <w:r>
        <w:rPr>
          <w:rFonts w:ascii="FangSong" w:hAnsi="FangSong" w:eastAsia="FangSong" w:cs="FangSong"/>
          <w:sz w:val="24"/>
          <w:szCs w:val="24"/>
          <w:spacing w:val="-11"/>
        </w:rPr>
        <w:t>责</w:t>
      </w:r>
      <w:r>
        <w:rPr>
          <w:rFonts w:ascii="FangSong" w:hAnsi="FangSong" w:eastAsia="FangSong" w:cs="FangSong"/>
          <w:sz w:val="24"/>
          <w:szCs w:val="24"/>
          <w:spacing w:val="-11"/>
        </w:rPr>
        <w:t xml:space="preserve"> </w:t>
      </w:r>
      <w:r>
        <w:rPr>
          <w:rFonts w:ascii="FangSong" w:hAnsi="FangSong" w:eastAsia="FangSong" w:cs="FangSong"/>
          <w:sz w:val="24"/>
          <w:szCs w:val="24"/>
          <w:spacing w:val="-11"/>
        </w:rPr>
        <w:t>任</w:t>
      </w:r>
      <w:r>
        <w:rPr>
          <w:rFonts w:ascii="FangSong" w:hAnsi="FangSong" w:eastAsia="FangSong" w:cs="FangSong"/>
          <w:sz w:val="24"/>
          <w:szCs w:val="24"/>
          <w:spacing w:val="-24"/>
        </w:rPr>
        <w:t xml:space="preserve"> </w:t>
      </w:r>
      <w:r>
        <w:rPr>
          <w:rFonts w:ascii="FangSong" w:hAnsi="FangSong" w:eastAsia="FangSong" w:cs="FangSong"/>
          <w:sz w:val="24"/>
          <w:szCs w:val="24"/>
          <w:spacing w:val="-11"/>
        </w:rPr>
        <w:t>：</w:t>
      </w:r>
    </w:p>
    <w:p>
      <w:pPr>
        <w:ind w:left="874"/>
        <w:spacing w:before="25" w:line="222" w:lineRule="auto"/>
        <w:rPr>
          <w:rFonts w:ascii="FangSong" w:hAnsi="FangSong" w:eastAsia="FangSong" w:cs="FangSong"/>
          <w:sz w:val="30"/>
          <w:szCs w:val="30"/>
        </w:rPr>
      </w:pPr>
      <w:r>
        <w:rPr>
          <w:rFonts w:ascii="FangSong" w:hAnsi="FangSong" w:eastAsia="FangSong" w:cs="FangSong"/>
          <w:sz w:val="30"/>
          <w:szCs w:val="30"/>
          <w:spacing w:val="22"/>
        </w:rPr>
        <w:t>(一)超出执业登记的项目、内容、范围开展业务活动的；</w:t>
      </w:r>
    </w:p>
    <w:p>
      <w:pPr>
        <w:spacing w:line="222" w:lineRule="auto"/>
        <w:sectPr>
          <w:footerReference w:type="default" r:id="rId401"/>
          <w:pgSz w:w="16830" w:h="11900"/>
          <w:pgMar w:top="1011" w:right="1314" w:bottom="1118" w:left="1335" w:header="0" w:footer="785" w:gutter="0"/>
        </w:sectPr>
        <w:rPr>
          <w:rFonts w:ascii="FangSong" w:hAnsi="FangSong" w:eastAsia="FangSong" w:cs="FangSong"/>
          <w:sz w:val="30"/>
          <w:szCs w:val="30"/>
        </w:rPr>
      </w:pPr>
    </w:p>
    <w:p>
      <w:pPr>
        <w:pStyle w:val="BodyText"/>
        <w:spacing w:line="299" w:lineRule="auto"/>
        <w:rPr/>
      </w:pPr>
      <w:r/>
    </w:p>
    <w:p>
      <w:pPr>
        <w:pStyle w:val="BodyText"/>
        <w:spacing w:line="299" w:lineRule="auto"/>
        <w:rPr/>
      </w:pPr>
      <w:r/>
    </w:p>
    <w:p>
      <w:pPr>
        <w:pStyle w:val="BodyText"/>
        <w:spacing w:line="299" w:lineRule="auto"/>
        <w:rPr/>
      </w:pPr>
      <w:r/>
    </w:p>
    <w:p>
      <w:pPr>
        <w:ind w:left="6539"/>
        <w:spacing w:before="91" w:line="221" w:lineRule="auto"/>
        <w:rPr>
          <w:rFonts w:ascii="SimHei" w:hAnsi="SimHei" w:eastAsia="SimHei" w:cs="SimHei"/>
          <w:sz w:val="28"/>
          <w:szCs w:val="28"/>
        </w:rPr>
      </w:pPr>
      <w:bookmarkStart w:name="bookmark1053" w:id="424"/>
      <w:bookmarkEnd w:id="424"/>
      <w:r>
        <w:rPr>
          <w:rFonts w:ascii="SimHei" w:hAnsi="SimHei" w:eastAsia="SimHei" w:cs="SimHei"/>
          <w:sz w:val="28"/>
          <w:szCs w:val="28"/>
          <w:b/>
          <w:bCs/>
          <w:spacing w:val="1"/>
        </w:rPr>
        <w:t>裁量标准</w:t>
      </w:r>
    </w:p>
    <w:p>
      <w:pPr>
        <w:spacing w:line="84" w:lineRule="exact"/>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6166"/>
        <w:gridCol w:w="6560"/>
      </w:tblGrid>
      <w:tr>
        <w:trPr>
          <w:trHeight w:val="420" w:hRule="atLeast"/>
        </w:trPr>
        <w:tc>
          <w:tcPr>
            <w:tcW w:w="1444" w:type="dxa"/>
            <w:vAlign w:val="top"/>
          </w:tcPr>
          <w:p>
            <w:pPr>
              <w:pStyle w:val="TableText"/>
              <w:ind w:left="198"/>
              <w:spacing w:before="82" w:line="220" w:lineRule="auto"/>
              <w:rPr>
                <w:sz w:val="26"/>
                <w:szCs w:val="26"/>
              </w:rPr>
            </w:pPr>
            <w:r>
              <w:rPr>
                <w:sz w:val="26"/>
                <w:szCs w:val="26"/>
                <w:b/>
                <w:bCs/>
                <w:spacing w:val="-5"/>
              </w:rPr>
              <w:t>违法程度</w:t>
            </w:r>
          </w:p>
        </w:tc>
        <w:tc>
          <w:tcPr>
            <w:tcW w:w="6166" w:type="dxa"/>
            <w:vAlign w:val="top"/>
          </w:tcPr>
          <w:p>
            <w:pPr>
              <w:pStyle w:val="TableText"/>
              <w:ind w:left="2554"/>
              <w:spacing w:before="82" w:line="220" w:lineRule="auto"/>
              <w:rPr>
                <w:sz w:val="26"/>
                <w:szCs w:val="26"/>
              </w:rPr>
            </w:pPr>
            <w:r>
              <w:rPr>
                <w:sz w:val="26"/>
                <w:szCs w:val="26"/>
                <w:b/>
                <w:bCs/>
                <w:spacing w:val="-5"/>
              </w:rPr>
              <w:t>情节后果</w:t>
            </w:r>
          </w:p>
        </w:tc>
        <w:tc>
          <w:tcPr>
            <w:tcW w:w="6560" w:type="dxa"/>
            <w:vAlign w:val="top"/>
          </w:tcPr>
          <w:p>
            <w:pPr>
              <w:pStyle w:val="TableText"/>
              <w:ind w:left="2758"/>
              <w:spacing w:before="79" w:line="218" w:lineRule="auto"/>
              <w:rPr>
                <w:sz w:val="26"/>
                <w:szCs w:val="26"/>
              </w:rPr>
            </w:pPr>
            <w:r>
              <w:rPr>
                <w:sz w:val="26"/>
                <w:szCs w:val="26"/>
                <w:b/>
                <w:bCs/>
                <w:spacing w:val="-5"/>
              </w:rPr>
              <w:t>裁量幅度</w:t>
            </w:r>
          </w:p>
        </w:tc>
      </w:tr>
      <w:tr>
        <w:trPr>
          <w:trHeight w:val="529" w:hRule="atLeast"/>
        </w:trPr>
        <w:tc>
          <w:tcPr>
            <w:tcW w:w="1444" w:type="dxa"/>
            <w:vAlign w:val="top"/>
          </w:tcPr>
          <w:p>
            <w:pPr>
              <w:pStyle w:val="TableText"/>
              <w:ind w:left="458"/>
              <w:spacing w:before="143" w:line="221" w:lineRule="auto"/>
              <w:rPr>
                <w:sz w:val="26"/>
                <w:szCs w:val="26"/>
              </w:rPr>
            </w:pPr>
            <w:r>
              <w:rPr>
                <w:sz w:val="26"/>
                <w:szCs w:val="26"/>
                <w:b/>
                <w:bCs/>
                <w:spacing w:val="-10"/>
              </w:rPr>
              <w:t>一般</w:t>
            </w:r>
          </w:p>
        </w:tc>
        <w:tc>
          <w:tcPr>
            <w:tcW w:w="6166" w:type="dxa"/>
            <w:vAlign w:val="top"/>
          </w:tcPr>
          <w:p>
            <w:pPr>
              <w:pStyle w:val="TableText"/>
              <w:spacing w:before="142" w:line="219" w:lineRule="auto"/>
              <w:jc w:val="right"/>
              <w:rPr>
                <w:sz w:val="26"/>
                <w:szCs w:val="26"/>
              </w:rPr>
            </w:pPr>
            <w:r>
              <w:rPr>
                <w:sz w:val="26"/>
                <w:szCs w:val="26"/>
                <w:b/>
                <w:bCs/>
                <w:spacing w:val="-7"/>
              </w:rPr>
              <w:t>血站超出执业登记的项目、内容、范围开展业务活动的</w:t>
            </w:r>
          </w:p>
        </w:tc>
        <w:tc>
          <w:tcPr>
            <w:tcW w:w="6560" w:type="dxa"/>
            <w:vAlign w:val="top"/>
          </w:tcPr>
          <w:p>
            <w:pPr>
              <w:pStyle w:val="TableText"/>
              <w:spacing w:before="139" w:line="218" w:lineRule="auto"/>
              <w:jc w:val="right"/>
              <w:rPr>
                <w:sz w:val="26"/>
                <w:szCs w:val="26"/>
              </w:rPr>
            </w:pPr>
            <w:r>
              <w:rPr>
                <w:sz w:val="26"/>
                <w:szCs w:val="26"/>
                <w:b/>
                <w:bCs/>
                <w:spacing w:val="-12"/>
              </w:rPr>
              <w:t>由县级以上地方人民政府卫生行政部门予以警告、责令改正</w:t>
            </w:r>
          </w:p>
        </w:tc>
      </w:tr>
    </w:tbl>
    <w:p>
      <w:pPr>
        <w:pStyle w:val="BodyText"/>
        <w:spacing w:line="463" w:lineRule="auto"/>
        <w:rPr/>
      </w:pPr>
      <w:r/>
    </w:p>
    <w:p>
      <w:pPr>
        <w:ind w:left="799"/>
        <w:spacing w:before="91" w:line="220" w:lineRule="auto"/>
        <w:rPr>
          <w:rFonts w:ascii="FangSong" w:hAnsi="FangSong" w:eastAsia="FangSong" w:cs="FangSong"/>
          <w:sz w:val="28"/>
          <w:szCs w:val="28"/>
        </w:rPr>
      </w:pPr>
      <w:r>
        <w:rPr>
          <w:rFonts w:ascii="FangSong" w:hAnsi="FangSong" w:eastAsia="FangSong" w:cs="FangSong"/>
          <w:sz w:val="28"/>
          <w:szCs w:val="28"/>
          <w:b/>
          <w:bCs/>
          <w:spacing w:val="41"/>
        </w:rPr>
        <w:t>第三百六十条血站工作人员未取得相关岗位执业资格或者未经执业注册而从事采供血工作的</w:t>
      </w:r>
    </w:p>
    <w:p>
      <w:pPr>
        <w:ind w:left="905"/>
        <w:spacing w:before="143" w:line="222" w:lineRule="auto"/>
        <w:rPr>
          <w:rFonts w:ascii="FangSong" w:hAnsi="FangSong" w:eastAsia="FangSong" w:cs="FangSong"/>
          <w:sz w:val="28"/>
          <w:szCs w:val="28"/>
        </w:rPr>
      </w:pPr>
      <w:r>
        <w:rPr>
          <w:rFonts w:ascii="FangSong" w:hAnsi="FangSong" w:eastAsia="FangSong" w:cs="FangSong"/>
          <w:sz w:val="28"/>
          <w:szCs w:val="28"/>
          <w:spacing w:val="17"/>
        </w:rPr>
        <w:t>法律依据：</w:t>
      </w:r>
    </w:p>
    <w:p>
      <w:pPr>
        <w:ind w:left="124" w:right="130" w:firstLine="640"/>
        <w:spacing w:before="92" w:line="288" w:lineRule="auto"/>
        <w:jc w:val="both"/>
        <w:rPr>
          <w:rFonts w:ascii="FangSong" w:hAnsi="FangSong" w:eastAsia="FangSong" w:cs="FangSong"/>
          <w:sz w:val="28"/>
          <w:szCs w:val="28"/>
        </w:rPr>
      </w:pPr>
      <w:r>
        <w:rPr>
          <w:rFonts w:ascii="FangSong" w:hAnsi="FangSong" w:eastAsia="FangSong" w:cs="FangSong"/>
          <w:sz w:val="28"/>
          <w:szCs w:val="28"/>
          <w:spacing w:val="35"/>
        </w:rPr>
        <w:t>《血站管理办法》第六十</w:t>
      </w:r>
      <w:r>
        <w:rPr>
          <w:rFonts w:ascii="FangSong" w:hAnsi="FangSong" w:eastAsia="FangSong" w:cs="FangSong"/>
          <w:sz w:val="28"/>
          <w:szCs w:val="28"/>
          <w:spacing w:val="-43"/>
        </w:rPr>
        <w:t xml:space="preserve"> </w:t>
      </w:r>
      <w:r>
        <w:rPr>
          <w:rFonts w:ascii="FangSong" w:hAnsi="FangSong" w:eastAsia="FangSong" w:cs="FangSong"/>
          <w:sz w:val="28"/>
          <w:szCs w:val="28"/>
          <w:spacing w:val="35"/>
        </w:rPr>
        <w:t>一</w:t>
      </w:r>
      <w:r>
        <w:rPr>
          <w:rFonts w:ascii="FangSong" w:hAnsi="FangSong" w:eastAsia="FangSong" w:cs="FangSong"/>
          <w:sz w:val="28"/>
          <w:szCs w:val="28"/>
          <w:spacing w:val="-67"/>
        </w:rPr>
        <w:t xml:space="preserve"> </w:t>
      </w:r>
      <w:r>
        <w:rPr>
          <w:rFonts w:ascii="FangSong" w:hAnsi="FangSong" w:eastAsia="FangSong" w:cs="FangSong"/>
          <w:sz w:val="28"/>
          <w:szCs w:val="28"/>
          <w:spacing w:val="35"/>
        </w:rPr>
        <w:t>条第(二)项</w:t>
      </w:r>
      <w:r>
        <w:rPr>
          <w:rFonts w:ascii="FangSong" w:hAnsi="FangSong" w:eastAsia="FangSong" w:cs="FangSong"/>
          <w:sz w:val="28"/>
          <w:szCs w:val="28"/>
          <w:spacing w:val="35"/>
        </w:rPr>
        <w:t xml:space="preserve">  </w:t>
      </w:r>
      <w:r>
        <w:rPr>
          <w:rFonts w:ascii="FangSong" w:hAnsi="FangSong" w:eastAsia="FangSong" w:cs="FangSong"/>
          <w:sz w:val="28"/>
          <w:szCs w:val="28"/>
          <w:spacing w:val="35"/>
        </w:rPr>
        <w:t>血站有下列行为之</w:t>
      </w:r>
      <w:r>
        <w:rPr>
          <w:rFonts w:ascii="FangSong" w:hAnsi="FangSong" w:eastAsia="FangSong" w:cs="FangSong"/>
          <w:sz w:val="28"/>
          <w:szCs w:val="28"/>
          <w:spacing w:val="-78"/>
        </w:rPr>
        <w:t xml:space="preserve"> </w:t>
      </w:r>
      <w:r>
        <w:rPr>
          <w:rFonts w:ascii="FangSong" w:hAnsi="FangSong" w:eastAsia="FangSong" w:cs="FangSong"/>
          <w:sz w:val="28"/>
          <w:szCs w:val="28"/>
          <w:spacing w:val="35"/>
        </w:rPr>
        <w:t>一</w:t>
      </w:r>
      <w:r>
        <w:rPr>
          <w:rFonts w:ascii="FangSong" w:hAnsi="FangSong" w:eastAsia="FangSong" w:cs="FangSong"/>
          <w:sz w:val="28"/>
          <w:szCs w:val="28"/>
          <w:spacing w:val="-65"/>
        </w:rPr>
        <w:t xml:space="preserve"> </w:t>
      </w:r>
      <w:r>
        <w:rPr>
          <w:rFonts w:ascii="FangSong" w:hAnsi="FangSong" w:eastAsia="FangSong" w:cs="FangSong"/>
          <w:sz w:val="28"/>
          <w:szCs w:val="28"/>
          <w:spacing w:val="34"/>
        </w:rPr>
        <w:t>的，由县级以上地方人民政府卫</w:t>
      </w:r>
      <w:r>
        <w:rPr>
          <w:rFonts w:ascii="FangSong" w:hAnsi="FangSong" w:eastAsia="FangSong" w:cs="FangSong"/>
          <w:sz w:val="28"/>
          <w:szCs w:val="28"/>
        </w:rPr>
        <w:t xml:space="preserve"> </w:t>
      </w:r>
      <w:r>
        <w:rPr>
          <w:rFonts w:ascii="FangSong" w:hAnsi="FangSong" w:eastAsia="FangSong" w:cs="FangSong"/>
          <w:sz w:val="28"/>
          <w:szCs w:val="28"/>
          <w:spacing w:val="37"/>
        </w:rPr>
        <w:t>生计生行政部门予以警告、责令改正；逾期</w:t>
      </w:r>
      <w:r>
        <w:rPr>
          <w:rFonts w:ascii="FangSong" w:hAnsi="FangSong" w:eastAsia="FangSong" w:cs="FangSong"/>
          <w:sz w:val="28"/>
          <w:szCs w:val="28"/>
          <w:spacing w:val="36"/>
        </w:rPr>
        <w:t>不改正，或者造成经血液传播疾病发生，或者其他严重后</w:t>
      </w:r>
      <w:r>
        <w:rPr>
          <w:rFonts w:ascii="FangSong" w:hAnsi="FangSong" w:eastAsia="FangSong" w:cs="FangSong"/>
          <w:sz w:val="28"/>
          <w:szCs w:val="28"/>
        </w:rPr>
        <w:t xml:space="preserve"> </w:t>
      </w:r>
      <w:r>
        <w:rPr>
          <w:rFonts w:ascii="FangSong" w:hAnsi="FangSong" w:eastAsia="FangSong" w:cs="FangSong"/>
          <w:sz w:val="28"/>
          <w:szCs w:val="28"/>
          <w:spacing w:val="36"/>
        </w:rPr>
        <w:t>果的，对负有责任的主管人员和其他直接负责人员，依法给予行政处分；构成犯罪的，依法追究刑事</w:t>
      </w:r>
      <w:r>
        <w:rPr>
          <w:rFonts w:ascii="FangSong" w:hAnsi="FangSong" w:eastAsia="FangSong" w:cs="FangSong"/>
          <w:sz w:val="28"/>
          <w:szCs w:val="28"/>
          <w:spacing w:val="18"/>
        </w:rPr>
        <w:t xml:space="preserve"> </w:t>
      </w:r>
      <w:r>
        <w:rPr>
          <w:rFonts w:ascii="FangSong" w:hAnsi="FangSong" w:eastAsia="FangSong" w:cs="FangSong"/>
          <w:sz w:val="28"/>
          <w:szCs w:val="28"/>
          <w:spacing w:val="13"/>
        </w:rPr>
        <w:t>责任：</w:t>
      </w:r>
    </w:p>
    <w:p>
      <w:pPr>
        <w:ind w:left="905"/>
        <w:spacing w:before="1" w:line="220" w:lineRule="auto"/>
        <w:rPr>
          <w:rFonts w:ascii="FangSong" w:hAnsi="FangSong" w:eastAsia="FangSong" w:cs="FangSong"/>
          <w:sz w:val="31"/>
          <w:szCs w:val="31"/>
        </w:rPr>
      </w:pPr>
      <w:r>
        <w:rPr>
          <w:rFonts w:ascii="FangSong" w:hAnsi="FangSong" w:eastAsia="FangSong" w:cs="FangSong"/>
          <w:sz w:val="31"/>
          <w:szCs w:val="31"/>
          <w:spacing w:val="13"/>
        </w:rPr>
        <w:t>(二)工作人员未取得相关岗位执业资格或者未</w:t>
      </w:r>
      <w:r>
        <w:rPr>
          <w:rFonts w:ascii="FangSong" w:hAnsi="FangSong" w:eastAsia="FangSong" w:cs="FangSong"/>
          <w:sz w:val="31"/>
          <w:szCs w:val="31"/>
          <w:spacing w:val="12"/>
        </w:rPr>
        <w:t>经执业注册而从事采供血工作的；</w:t>
      </w:r>
    </w:p>
    <w:p>
      <w:pPr>
        <w:ind w:left="6528"/>
        <w:spacing w:before="178" w:line="221" w:lineRule="auto"/>
        <w:rPr>
          <w:rFonts w:ascii="SimHei" w:hAnsi="SimHei" w:eastAsia="SimHei" w:cs="SimHei"/>
          <w:sz w:val="28"/>
          <w:szCs w:val="28"/>
        </w:rPr>
      </w:pPr>
      <w:r>
        <w:rPr>
          <w:rFonts w:ascii="SimHei" w:hAnsi="SimHei" w:eastAsia="SimHei" w:cs="SimHei"/>
          <w:sz w:val="28"/>
          <w:szCs w:val="28"/>
          <w:b/>
          <w:bCs/>
          <w:spacing w:val="-6"/>
        </w:rPr>
        <w:t>裁量标准</w:t>
      </w:r>
    </w:p>
    <w:p>
      <w:pPr>
        <w:spacing w:line="65" w:lineRule="exact"/>
        <w:rPr/>
      </w:pPr>
      <w:r/>
    </w:p>
    <w:tbl>
      <w:tblPr>
        <w:tblStyle w:val="TableNormal"/>
        <w:tblW w:w="1415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3"/>
        <w:gridCol w:w="5606"/>
        <w:gridCol w:w="7140"/>
      </w:tblGrid>
      <w:tr>
        <w:trPr>
          <w:trHeight w:val="441" w:hRule="atLeast"/>
        </w:trPr>
        <w:tc>
          <w:tcPr>
            <w:tcW w:w="1413" w:type="dxa"/>
            <w:vAlign w:val="top"/>
          </w:tcPr>
          <w:p>
            <w:pPr>
              <w:pStyle w:val="TableText"/>
              <w:ind w:left="178"/>
              <w:spacing w:before="92" w:line="220" w:lineRule="auto"/>
              <w:rPr>
                <w:sz w:val="26"/>
                <w:szCs w:val="26"/>
              </w:rPr>
            </w:pPr>
            <w:r>
              <w:rPr>
                <w:sz w:val="26"/>
                <w:szCs w:val="26"/>
                <w:b/>
                <w:bCs/>
                <w:spacing w:val="-5"/>
              </w:rPr>
              <w:t>违法程度</w:t>
            </w:r>
          </w:p>
        </w:tc>
        <w:tc>
          <w:tcPr>
            <w:tcW w:w="5606" w:type="dxa"/>
            <w:vAlign w:val="top"/>
          </w:tcPr>
          <w:p>
            <w:pPr>
              <w:pStyle w:val="TableText"/>
              <w:ind w:left="2275"/>
              <w:spacing w:before="92" w:line="220" w:lineRule="auto"/>
              <w:rPr>
                <w:sz w:val="26"/>
                <w:szCs w:val="26"/>
              </w:rPr>
            </w:pPr>
            <w:r>
              <w:rPr>
                <w:sz w:val="26"/>
                <w:szCs w:val="26"/>
                <w:b/>
                <w:bCs/>
                <w:spacing w:val="-5"/>
              </w:rPr>
              <w:t>情节后果</w:t>
            </w:r>
          </w:p>
        </w:tc>
        <w:tc>
          <w:tcPr>
            <w:tcW w:w="7140" w:type="dxa"/>
            <w:vAlign w:val="top"/>
          </w:tcPr>
          <w:p>
            <w:pPr>
              <w:pStyle w:val="TableText"/>
              <w:ind w:left="3009"/>
              <w:spacing w:before="89" w:line="218" w:lineRule="auto"/>
              <w:rPr>
                <w:sz w:val="26"/>
                <w:szCs w:val="26"/>
              </w:rPr>
            </w:pPr>
            <w:r>
              <w:rPr>
                <w:sz w:val="26"/>
                <w:szCs w:val="26"/>
                <w:b/>
                <w:bCs/>
                <w:spacing w:val="-5"/>
              </w:rPr>
              <w:t>裁量幅度</w:t>
            </w:r>
          </w:p>
        </w:tc>
      </w:tr>
      <w:tr>
        <w:trPr>
          <w:trHeight w:val="679" w:hRule="atLeast"/>
        </w:trPr>
        <w:tc>
          <w:tcPr>
            <w:tcW w:w="1413" w:type="dxa"/>
            <w:vAlign w:val="top"/>
          </w:tcPr>
          <w:p>
            <w:pPr>
              <w:pStyle w:val="TableText"/>
              <w:ind w:left="438"/>
              <w:spacing w:before="212" w:line="221" w:lineRule="auto"/>
              <w:rPr>
                <w:sz w:val="26"/>
                <w:szCs w:val="26"/>
              </w:rPr>
            </w:pPr>
            <w:r>
              <w:rPr>
                <w:sz w:val="26"/>
                <w:szCs w:val="26"/>
                <w:b/>
                <w:bCs/>
                <w:spacing w:val="-10"/>
              </w:rPr>
              <w:t>一般</w:t>
            </w:r>
          </w:p>
        </w:tc>
        <w:tc>
          <w:tcPr>
            <w:tcW w:w="5606" w:type="dxa"/>
            <w:vAlign w:val="top"/>
          </w:tcPr>
          <w:p>
            <w:pPr>
              <w:pStyle w:val="TableText"/>
              <w:ind w:left="135" w:hanging="120"/>
              <w:spacing w:before="49" w:line="220" w:lineRule="auto"/>
              <w:rPr>
                <w:sz w:val="26"/>
                <w:szCs w:val="26"/>
              </w:rPr>
            </w:pPr>
            <w:r>
              <w:rPr>
                <w:sz w:val="26"/>
                <w:szCs w:val="26"/>
                <w:b/>
                <w:bCs/>
                <w:spacing w:val="-9"/>
              </w:rPr>
              <w:t>血站工作人员未取得相关岗位执业资格或者</w:t>
            </w:r>
            <w:r>
              <w:rPr>
                <w:sz w:val="26"/>
                <w:szCs w:val="26"/>
                <w:b/>
                <w:bCs/>
                <w:spacing w:val="-10"/>
              </w:rPr>
              <w:t>未经执</w:t>
            </w:r>
            <w:r>
              <w:rPr>
                <w:sz w:val="26"/>
                <w:szCs w:val="26"/>
              </w:rPr>
              <w:t xml:space="preserve"> </w:t>
            </w:r>
            <w:r>
              <w:rPr>
                <w:sz w:val="26"/>
                <w:szCs w:val="26"/>
                <w:b/>
                <w:bCs/>
                <w:spacing w:val="-2"/>
              </w:rPr>
              <w:t>业注册而从事采供血工作的</w:t>
            </w:r>
          </w:p>
        </w:tc>
        <w:tc>
          <w:tcPr>
            <w:tcW w:w="7140" w:type="dxa"/>
            <w:vAlign w:val="top"/>
          </w:tcPr>
          <w:p>
            <w:pPr>
              <w:pStyle w:val="TableText"/>
              <w:ind w:left="129"/>
              <w:spacing w:before="208" w:line="218" w:lineRule="auto"/>
              <w:rPr>
                <w:sz w:val="26"/>
                <w:szCs w:val="26"/>
              </w:rPr>
            </w:pPr>
            <w:r>
              <w:rPr>
                <w:sz w:val="26"/>
                <w:szCs w:val="26"/>
                <w:b/>
                <w:bCs/>
                <w:spacing w:val="-3"/>
              </w:rPr>
              <w:t>由县级以上地方人民政府卫生行政部门予以警告、责令改正</w:t>
            </w:r>
          </w:p>
        </w:tc>
      </w:tr>
    </w:tbl>
    <w:p>
      <w:pPr>
        <w:pStyle w:val="BodyText"/>
        <w:spacing w:line="443" w:lineRule="auto"/>
        <w:rPr/>
      </w:pPr>
      <w:r/>
    </w:p>
    <w:p>
      <w:pPr>
        <w:ind w:left="789"/>
        <w:spacing w:before="92" w:line="220" w:lineRule="auto"/>
        <w:rPr>
          <w:rFonts w:ascii="FangSong" w:hAnsi="FangSong" w:eastAsia="FangSong" w:cs="FangSong"/>
          <w:sz w:val="28"/>
          <w:szCs w:val="28"/>
        </w:rPr>
      </w:pPr>
      <w:r>
        <w:rPr>
          <w:rFonts w:ascii="FangSong" w:hAnsi="FangSong" w:eastAsia="FangSong" w:cs="FangSong"/>
          <w:sz w:val="28"/>
          <w:szCs w:val="28"/>
          <w:b/>
          <w:bCs/>
          <w:spacing w:val="37"/>
        </w:rPr>
        <w:t>第三百六十</w:t>
      </w:r>
      <w:r>
        <w:rPr>
          <w:rFonts w:ascii="FangSong" w:hAnsi="FangSong" w:eastAsia="FangSong" w:cs="FangSong"/>
          <w:sz w:val="28"/>
          <w:szCs w:val="28"/>
          <w:spacing w:val="-51"/>
        </w:rPr>
        <w:t xml:space="preserve"> </w:t>
      </w:r>
      <w:r>
        <w:rPr>
          <w:rFonts w:ascii="FangSong" w:hAnsi="FangSong" w:eastAsia="FangSong" w:cs="FangSong"/>
          <w:sz w:val="28"/>
          <w:szCs w:val="28"/>
          <w:b/>
          <w:bCs/>
          <w:spacing w:val="37"/>
        </w:rPr>
        <w:t>一</w:t>
      </w:r>
      <w:r>
        <w:rPr>
          <w:rFonts w:ascii="FangSong" w:hAnsi="FangSong" w:eastAsia="FangSong" w:cs="FangSong"/>
          <w:sz w:val="28"/>
          <w:szCs w:val="28"/>
          <w:spacing w:val="-70"/>
        </w:rPr>
        <w:t xml:space="preserve"> </w:t>
      </w:r>
      <w:r>
        <w:rPr>
          <w:rFonts w:ascii="FangSong" w:hAnsi="FangSong" w:eastAsia="FangSong" w:cs="FangSong"/>
          <w:sz w:val="28"/>
          <w:szCs w:val="28"/>
          <w:b/>
          <w:bCs/>
          <w:spacing w:val="37"/>
        </w:rPr>
        <w:t>条血站血液检测实验室未取得相应资格即进行检测的</w:t>
      </w:r>
    </w:p>
    <w:p>
      <w:pPr>
        <w:ind w:left="905"/>
        <w:spacing w:before="114" w:line="222" w:lineRule="auto"/>
        <w:rPr>
          <w:rFonts w:ascii="FangSong" w:hAnsi="FangSong" w:eastAsia="FangSong" w:cs="FangSong"/>
          <w:sz w:val="28"/>
          <w:szCs w:val="28"/>
        </w:rPr>
      </w:pPr>
      <w:r>
        <w:rPr>
          <w:rFonts w:ascii="FangSong" w:hAnsi="FangSong" w:eastAsia="FangSong" w:cs="FangSong"/>
          <w:sz w:val="28"/>
          <w:szCs w:val="28"/>
          <w:spacing w:val="17"/>
        </w:rPr>
        <w:t>法律依据：</w:t>
      </w:r>
    </w:p>
    <w:p>
      <w:pPr>
        <w:spacing w:line="222" w:lineRule="auto"/>
        <w:sectPr>
          <w:footerReference w:type="default" r:id="rId402"/>
          <w:pgSz w:w="16830" w:h="11900"/>
          <w:pgMar w:top="1011" w:right="1335" w:bottom="1140" w:left="1314" w:header="0" w:footer="816" w:gutter="0"/>
        </w:sectPr>
        <w:rPr>
          <w:rFonts w:ascii="FangSong" w:hAnsi="FangSong" w:eastAsia="FangSong" w:cs="FangSong"/>
          <w:sz w:val="28"/>
          <w:szCs w:val="28"/>
        </w:rPr>
      </w:pPr>
    </w:p>
    <w:p>
      <w:pPr>
        <w:pStyle w:val="BodyText"/>
        <w:spacing w:line="257" w:lineRule="auto"/>
        <w:rPr/>
      </w:pPr>
      <w:r/>
    </w:p>
    <w:p>
      <w:pPr>
        <w:pStyle w:val="BodyText"/>
        <w:spacing w:line="258" w:lineRule="auto"/>
        <w:rPr/>
      </w:pPr>
      <w:r/>
    </w:p>
    <w:p>
      <w:pPr>
        <w:pStyle w:val="BodyText"/>
        <w:spacing w:line="258" w:lineRule="auto"/>
        <w:rPr/>
      </w:pPr>
      <w:r/>
    </w:p>
    <w:p>
      <w:pPr>
        <w:ind w:left="135" w:right="138" w:firstLine="619"/>
        <w:spacing w:before="98" w:line="286" w:lineRule="auto"/>
        <w:jc w:val="both"/>
        <w:rPr>
          <w:rFonts w:ascii="FangSong" w:hAnsi="FangSong" w:eastAsia="FangSong" w:cs="FangSong"/>
          <w:sz w:val="24"/>
          <w:szCs w:val="24"/>
        </w:rPr>
      </w:pPr>
      <w:r>
        <w:rPr>
          <w:rFonts w:ascii="FangSong" w:hAnsi="FangSong" w:eastAsia="FangSong" w:cs="FangSong"/>
          <w:sz w:val="30"/>
          <w:szCs w:val="30"/>
          <w:spacing w:val="23"/>
        </w:rPr>
        <w:t>《血站管理办法》第六十一条第(三)项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血站有下列行为之一的，由县级以上地方人民政府卫</w:t>
      </w:r>
      <w:r>
        <w:rPr>
          <w:rFonts w:ascii="FangSong" w:hAnsi="FangSong" w:eastAsia="FangSong" w:cs="FangSong"/>
          <w:sz w:val="30"/>
          <w:szCs w:val="30"/>
        </w:rPr>
        <w:t xml:space="preserve"> </w:t>
      </w:r>
      <w:r>
        <w:rPr>
          <w:rFonts w:ascii="FangSong" w:hAnsi="FangSong" w:eastAsia="FangSong" w:cs="FangSong"/>
          <w:sz w:val="30"/>
          <w:szCs w:val="30"/>
          <w:spacing w:val="16"/>
        </w:rPr>
        <w:t>生计生行政部门予以警告、责令改正；逾期不改正，或者造成经血液传播疾病发生，或者其他严重后</w:t>
      </w:r>
      <w:r>
        <w:rPr>
          <w:rFonts w:ascii="FangSong" w:hAnsi="FangSong" w:eastAsia="FangSong" w:cs="FangSong"/>
          <w:sz w:val="30"/>
          <w:szCs w:val="30"/>
          <w:spacing w:val="10"/>
        </w:rPr>
        <w:t xml:space="preserve"> </w:t>
      </w:r>
      <w:r>
        <w:rPr>
          <w:rFonts w:ascii="FangSong" w:hAnsi="FangSong" w:eastAsia="FangSong" w:cs="FangSong"/>
          <w:sz w:val="30"/>
          <w:szCs w:val="30"/>
          <w:spacing w:val="16"/>
        </w:rPr>
        <w:t>果的，对负有责任的主管人员和其他直接负责人员，依法给予行政处分；构成犯罪的，依法追究刑事</w:t>
      </w:r>
      <w:r>
        <w:rPr>
          <w:rFonts w:ascii="FangSong" w:hAnsi="FangSong" w:eastAsia="FangSong" w:cs="FangSong"/>
          <w:sz w:val="30"/>
          <w:szCs w:val="30"/>
          <w:spacing w:val="10"/>
        </w:rPr>
        <w:t xml:space="preserve"> </w:t>
      </w:r>
      <w:r>
        <w:rPr>
          <w:rFonts w:ascii="FangSong" w:hAnsi="FangSong" w:eastAsia="FangSong" w:cs="FangSong"/>
          <w:sz w:val="24"/>
          <w:szCs w:val="24"/>
          <w:spacing w:val="-11"/>
        </w:rPr>
        <w:t>责</w:t>
      </w:r>
      <w:r>
        <w:rPr>
          <w:rFonts w:ascii="FangSong" w:hAnsi="FangSong" w:eastAsia="FangSong" w:cs="FangSong"/>
          <w:sz w:val="24"/>
          <w:szCs w:val="24"/>
          <w:spacing w:val="-11"/>
        </w:rPr>
        <w:t xml:space="preserve"> </w:t>
      </w:r>
      <w:r>
        <w:rPr>
          <w:rFonts w:ascii="FangSong" w:hAnsi="FangSong" w:eastAsia="FangSong" w:cs="FangSong"/>
          <w:sz w:val="24"/>
          <w:szCs w:val="24"/>
          <w:spacing w:val="-11"/>
        </w:rPr>
        <w:t>任</w:t>
      </w:r>
      <w:r>
        <w:rPr>
          <w:rFonts w:ascii="FangSong" w:hAnsi="FangSong" w:eastAsia="FangSong" w:cs="FangSong"/>
          <w:sz w:val="24"/>
          <w:szCs w:val="24"/>
          <w:spacing w:val="-24"/>
        </w:rPr>
        <w:t xml:space="preserve"> </w:t>
      </w:r>
      <w:r>
        <w:rPr>
          <w:rFonts w:ascii="FangSong" w:hAnsi="FangSong" w:eastAsia="FangSong" w:cs="FangSong"/>
          <w:sz w:val="24"/>
          <w:szCs w:val="24"/>
          <w:spacing w:val="-11"/>
        </w:rPr>
        <w:t>：</w:t>
      </w:r>
    </w:p>
    <w:p>
      <w:pPr>
        <w:ind w:left="905"/>
        <w:spacing w:before="2" w:line="220" w:lineRule="auto"/>
        <w:rPr>
          <w:rFonts w:ascii="FangSong" w:hAnsi="FangSong" w:eastAsia="FangSong" w:cs="FangSong"/>
          <w:sz w:val="30"/>
          <w:szCs w:val="30"/>
        </w:rPr>
      </w:pPr>
      <w:r>
        <w:rPr>
          <w:rFonts w:ascii="FangSong" w:hAnsi="FangSong" w:eastAsia="FangSong" w:cs="FangSong"/>
          <w:sz w:val="30"/>
          <w:szCs w:val="30"/>
          <w:spacing w:val="22"/>
        </w:rPr>
        <w:t>(三)血液检测实验室未取得相应资格即进行检测的；</w:t>
      </w:r>
    </w:p>
    <w:p>
      <w:pPr>
        <w:ind w:left="6539"/>
        <w:spacing w:before="141"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00" w:lineRule="exact"/>
        <w:rPr/>
      </w:pPr>
      <w:r/>
    </w:p>
    <w:tbl>
      <w:tblPr>
        <w:tblStyle w:val="TableNormal"/>
        <w:tblW w:w="141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6035"/>
        <w:gridCol w:w="6700"/>
      </w:tblGrid>
      <w:tr>
        <w:trPr>
          <w:trHeight w:val="450" w:hRule="atLeast"/>
        </w:trPr>
        <w:tc>
          <w:tcPr>
            <w:tcW w:w="1444" w:type="dxa"/>
            <w:vAlign w:val="top"/>
          </w:tcPr>
          <w:p>
            <w:pPr>
              <w:pStyle w:val="TableText"/>
              <w:ind w:left="198"/>
              <w:spacing w:before="102" w:line="220" w:lineRule="auto"/>
              <w:rPr>
                <w:sz w:val="26"/>
                <w:szCs w:val="26"/>
              </w:rPr>
            </w:pPr>
            <w:r>
              <w:rPr>
                <w:sz w:val="26"/>
                <w:szCs w:val="26"/>
                <w:b/>
                <w:bCs/>
                <w:spacing w:val="-5"/>
              </w:rPr>
              <w:t>违法程度</w:t>
            </w:r>
          </w:p>
        </w:tc>
        <w:tc>
          <w:tcPr>
            <w:tcW w:w="6035" w:type="dxa"/>
            <w:vAlign w:val="top"/>
          </w:tcPr>
          <w:p>
            <w:pPr>
              <w:pStyle w:val="TableText"/>
              <w:ind w:left="2444"/>
              <w:spacing w:before="102" w:line="220" w:lineRule="auto"/>
              <w:rPr>
                <w:sz w:val="26"/>
                <w:szCs w:val="26"/>
              </w:rPr>
            </w:pPr>
            <w:r>
              <w:rPr>
                <w:sz w:val="26"/>
                <w:szCs w:val="26"/>
                <w:b/>
                <w:bCs/>
                <w:spacing w:val="-5"/>
              </w:rPr>
              <w:t>情节后果</w:t>
            </w:r>
          </w:p>
        </w:tc>
        <w:tc>
          <w:tcPr>
            <w:tcW w:w="6700" w:type="dxa"/>
            <w:vAlign w:val="top"/>
          </w:tcPr>
          <w:p>
            <w:pPr>
              <w:pStyle w:val="TableText"/>
              <w:ind w:left="2829"/>
              <w:spacing w:before="99" w:line="218" w:lineRule="auto"/>
              <w:rPr>
                <w:sz w:val="26"/>
                <w:szCs w:val="26"/>
              </w:rPr>
            </w:pPr>
            <w:r>
              <w:rPr>
                <w:sz w:val="26"/>
                <w:szCs w:val="26"/>
                <w:b/>
                <w:bCs/>
                <w:spacing w:val="-5"/>
              </w:rPr>
              <w:t>裁量幅度</w:t>
            </w:r>
          </w:p>
        </w:tc>
      </w:tr>
      <w:tr>
        <w:trPr>
          <w:trHeight w:val="509" w:hRule="atLeast"/>
        </w:trPr>
        <w:tc>
          <w:tcPr>
            <w:tcW w:w="1444" w:type="dxa"/>
            <w:vAlign w:val="top"/>
          </w:tcPr>
          <w:p>
            <w:pPr>
              <w:pStyle w:val="TableText"/>
              <w:ind w:left="458"/>
              <w:spacing w:before="133" w:line="221" w:lineRule="auto"/>
              <w:rPr>
                <w:sz w:val="26"/>
                <w:szCs w:val="26"/>
              </w:rPr>
            </w:pPr>
            <w:r>
              <w:rPr>
                <w:sz w:val="26"/>
                <w:szCs w:val="26"/>
                <w:b/>
                <w:bCs/>
                <w:spacing w:val="-10"/>
              </w:rPr>
              <w:t>一般</w:t>
            </w:r>
          </w:p>
        </w:tc>
        <w:tc>
          <w:tcPr>
            <w:tcW w:w="6035" w:type="dxa"/>
            <w:vAlign w:val="top"/>
          </w:tcPr>
          <w:p>
            <w:pPr>
              <w:pStyle w:val="TableText"/>
              <w:ind w:left="104"/>
              <w:spacing w:before="132" w:line="219" w:lineRule="auto"/>
              <w:rPr>
                <w:sz w:val="26"/>
                <w:szCs w:val="26"/>
              </w:rPr>
            </w:pPr>
            <w:r>
              <w:rPr>
                <w:sz w:val="26"/>
                <w:szCs w:val="26"/>
                <w:b/>
                <w:bCs/>
                <w:spacing w:val="-3"/>
              </w:rPr>
              <w:t>血站血液检测实验室未取得相应资格即进行检测的</w:t>
            </w:r>
          </w:p>
        </w:tc>
        <w:tc>
          <w:tcPr>
            <w:tcW w:w="6700" w:type="dxa"/>
            <w:vAlign w:val="top"/>
          </w:tcPr>
          <w:p>
            <w:pPr>
              <w:pStyle w:val="TableText"/>
              <w:spacing w:before="129" w:line="218" w:lineRule="auto"/>
              <w:jc w:val="right"/>
              <w:rPr>
                <w:sz w:val="26"/>
                <w:szCs w:val="26"/>
              </w:rPr>
            </w:pPr>
            <w:r>
              <w:rPr>
                <w:sz w:val="26"/>
                <w:szCs w:val="26"/>
                <w:b/>
                <w:bCs/>
                <w:spacing w:val="-6"/>
              </w:rPr>
              <w:t>由县级以上地方人民政府卫生行政部门予以警</w:t>
            </w:r>
            <w:r>
              <w:rPr>
                <w:sz w:val="26"/>
                <w:szCs w:val="26"/>
                <w:b/>
                <w:bCs/>
                <w:spacing w:val="-7"/>
              </w:rPr>
              <w:t>告、责令改正</w:t>
            </w:r>
          </w:p>
        </w:tc>
      </w:tr>
    </w:tbl>
    <w:p>
      <w:pPr>
        <w:pStyle w:val="BodyText"/>
        <w:spacing w:line="456" w:lineRule="auto"/>
        <w:rPr/>
      </w:pPr>
      <w:r/>
    </w:p>
    <w:p>
      <w:pPr>
        <w:ind w:left="799"/>
        <w:spacing w:before="98" w:line="220" w:lineRule="auto"/>
        <w:rPr>
          <w:rFonts w:ascii="FangSong" w:hAnsi="FangSong" w:eastAsia="FangSong" w:cs="FangSong"/>
          <w:sz w:val="30"/>
          <w:szCs w:val="30"/>
        </w:rPr>
      </w:pPr>
      <w:r>
        <w:rPr>
          <w:rFonts w:ascii="FangSong" w:hAnsi="FangSong" w:eastAsia="FangSong" w:cs="FangSong"/>
          <w:sz w:val="30"/>
          <w:szCs w:val="30"/>
          <w:b/>
          <w:bCs/>
          <w:spacing w:val="23"/>
        </w:rPr>
        <w:t>第三百六十二条血站擅自采集原料血浆、买卖血液的</w:t>
      </w:r>
    </w:p>
    <w:p>
      <w:pPr>
        <w:ind w:left="905"/>
        <w:spacing w:before="71"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35" w:right="138" w:firstLine="619"/>
        <w:spacing w:before="75" w:line="285" w:lineRule="auto"/>
        <w:jc w:val="both"/>
        <w:rPr>
          <w:rFonts w:ascii="FangSong" w:hAnsi="FangSong" w:eastAsia="FangSong" w:cs="FangSong"/>
          <w:sz w:val="24"/>
          <w:szCs w:val="24"/>
        </w:rPr>
      </w:pPr>
      <w:r>
        <w:rPr>
          <w:rFonts w:ascii="FangSong" w:hAnsi="FangSong" w:eastAsia="FangSong" w:cs="FangSong"/>
          <w:sz w:val="30"/>
          <w:szCs w:val="30"/>
          <w:spacing w:val="23"/>
        </w:rPr>
        <w:t>《血站管理办法》第六十一条第(四)项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血站有下列行为之一的，由县级以上地方人民政府卫</w:t>
      </w:r>
      <w:r>
        <w:rPr>
          <w:rFonts w:ascii="FangSong" w:hAnsi="FangSong" w:eastAsia="FangSong" w:cs="FangSong"/>
          <w:sz w:val="30"/>
          <w:szCs w:val="30"/>
        </w:rPr>
        <w:t xml:space="preserve"> </w:t>
      </w:r>
      <w:r>
        <w:rPr>
          <w:rFonts w:ascii="FangSong" w:hAnsi="FangSong" w:eastAsia="FangSong" w:cs="FangSong"/>
          <w:sz w:val="30"/>
          <w:szCs w:val="30"/>
          <w:spacing w:val="16"/>
        </w:rPr>
        <w:t>生计生行政部门予以警告、责令改正；逾期不改正，或者造成经血液传播疾病发生，或者其他严重后</w:t>
      </w:r>
      <w:r>
        <w:rPr>
          <w:rFonts w:ascii="FangSong" w:hAnsi="FangSong" w:eastAsia="FangSong" w:cs="FangSong"/>
          <w:sz w:val="30"/>
          <w:szCs w:val="30"/>
          <w:spacing w:val="10"/>
        </w:rPr>
        <w:t xml:space="preserve"> </w:t>
      </w:r>
      <w:r>
        <w:rPr>
          <w:rFonts w:ascii="FangSong" w:hAnsi="FangSong" w:eastAsia="FangSong" w:cs="FangSong"/>
          <w:sz w:val="30"/>
          <w:szCs w:val="30"/>
          <w:spacing w:val="16"/>
        </w:rPr>
        <w:t>果的，对负有责任的主管人员和其他直接负责人员，依法给予行政处分；构成犯罪的，依法追究刑事</w:t>
      </w:r>
      <w:r>
        <w:rPr>
          <w:rFonts w:ascii="FangSong" w:hAnsi="FangSong" w:eastAsia="FangSong" w:cs="FangSong"/>
          <w:sz w:val="30"/>
          <w:szCs w:val="30"/>
          <w:spacing w:val="10"/>
        </w:rPr>
        <w:t xml:space="preserve"> </w:t>
      </w:r>
      <w:r>
        <w:rPr>
          <w:rFonts w:ascii="FangSong" w:hAnsi="FangSong" w:eastAsia="FangSong" w:cs="FangSong"/>
          <w:sz w:val="24"/>
          <w:szCs w:val="24"/>
          <w:spacing w:val="-11"/>
        </w:rPr>
        <w:t>责</w:t>
      </w:r>
      <w:r>
        <w:rPr>
          <w:rFonts w:ascii="FangSong" w:hAnsi="FangSong" w:eastAsia="FangSong" w:cs="FangSong"/>
          <w:sz w:val="24"/>
          <w:szCs w:val="24"/>
          <w:spacing w:val="-11"/>
        </w:rPr>
        <w:t xml:space="preserve"> </w:t>
      </w:r>
      <w:r>
        <w:rPr>
          <w:rFonts w:ascii="FangSong" w:hAnsi="FangSong" w:eastAsia="FangSong" w:cs="FangSong"/>
          <w:sz w:val="24"/>
          <w:szCs w:val="24"/>
          <w:spacing w:val="-11"/>
        </w:rPr>
        <w:t>任</w:t>
      </w:r>
      <w:r>
        <w:rPr>
          <w:rFonts w:ascii="FangSong" w:hAnsi="FangSong" w:eastAsia="FangSong" w:cs="FangSong"/>
          <w:sz w:val="24"/>
          <w:szCs w:val="24"/>
          <w:spacing w:val="-24"/>
        </w:rPr>
        <w:t xml:space="preserve"> </w:t>
      </w:r>
      <w:r>
        <w:rPr>
          <w:rFonts w:ascii="FangSong" w:hAnsi="FangSong" w:eastAsia="FangSong" w:cs="FangSong"/>
          <w:sz w:val="24"/>
          <w:szCs w:val="24"/>
          <w:spacing w:val="-11"/>
        </w:rPr>
        <w:t>：</w:t>
      </w:r>
    </w:p>
    <w:p>
      <w:pPr>
        <w:ind w:left="905"/>
        <w:spacing w:line="220" w:lineRule="auto"/>
        <w:rPr>
          <w:rFonts w:ascii="FangSong" w:hAnsi="FangSong" w:eastAsia="FangSong" w:cs="FangSong"/>
          <w:sz w:val="30"/>
          <w:szCs w:val="30"/>
        </w:rPr>
      </w:pPr>
      <w:r>
        <w:rPr>
          <w:rFonts w:ascii="FangSong" w:hAnsi="FangSong" w:eastAsia="FangSong" w:cs="FangSong"/>
          <w:sz w:val="30"/>
          <w:szCs w:val="30"/>
          <w:spacing w:val="23"/>
        </w:rPr>
        <w:t>(四)擅自采集原料血浆、买卖血液的；</w:t>
      </w:r>
    </w:p>
    <w:p>
      <w:pPr>
        <w:ind w:left="6539"/>
        <w:spacing w:before="161"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403"/>
          <w:pgSz w:w="16830" w:h="11900"/>
          <w:pgMar w:top="1011" w:right="1325" w:bottom="1126" w:left="1314" w:header="0" w:footer="802" w:gutter="0"/>
        </w:sectPr>
        <w:rPr>
          <w:rFonts w:ascii="SimHei" w:hAnsi="SimHei" w:eastAsia="SimHei" w:cs="SimHei"/>
          <w:sz w:val="30"/>
          <w:szCs w:val="30"/>
        </w:rPr>
      </w:pPr>
    </w:p>
    <w:p>
      <w:pPr>
        <w:spacing w:before="13"/>
        <w:rPr/>
      </w:pPr>
      <w:r/>
    </w:p>
    <w:p>
      <w:pPr>
        <w:spacing w:before="13"/>
        <w:rPr/>
      </w:pPr>
      <w:r/>
    </w:p>
    <w:p>
      <w:pPr>
        <w:spacing w:before="13"/>
        <w:rPr/>
      </w:pPr>
      <w:r/>
    </w:p>
    <w:tbl>
      <w:tblPr>
        <w:tblStyle w:val="TableNormal"/>
        <w:tblW w:w="1415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3"/>
        <w:gridCol w:w="5606"/>
        <w:gridCol w:w="7140"/>
      </w:tblGrid>
      <w:tr>
        <w:trPr>
          <w:trHeight w:val="450" w:hRule="atLeast"/>
        </w:trPr>
        <w:tc>
          <w:tcPr>
            <w:tcW w:w="1413" w:type="dxa"/>
            <w:vAlign w:val="top"/>
          </w:tcPr>
          <w:p>
            <w:pPr>
              <w:pStyle w:val="TableText"/>
              <w:ind w:left="178"/>
              <w:spacing w:before="102" w:line="220" w:lineRule="auto"/>
              <w:rPr>
                <w:sz w:val="26"/>
                <w:szCs w:val="26"/>
              </w:rPr>
            </w:pPr>
            <w:r>
              <w:rPr>
                <w:sz w:val="26"/>
                <w:szCs w:val="26"/>
                <w:b/>
                <w:bCs/>
                <w:spacing w:val="-5"/>
              </w:rPr>
              <w:t>违法程度</w:t>
            </w:r>
          </w:p>
        </w:tc>
        <w:tc>
          <w:tcPr>
            <w:tcW w:w="5606" w:type="dxa"/>
            <w:vAlign w:val="top"/>
          </w:tcPr>
          <w:p>
            <w:pPr>
              <w:pStyle w:val="TableText"/>
              <w:ind w:left="2245"/>
              <w:spacing w:before="102" w:line="220" w:lineRule="auto"/>
              <w:rPr>
                <w:sz w:val="26"/>
                <w:szCs w:val="26"/>
              </w:rPr>
            </w:pPr>
            <w:r>
              <w:rPr>
                <w:sz w:val="26"/>
                <w:szCs w:val="26"/>
                <w:b/>
                <w:bCs/>
                <w:spacing w:val="-5"/>
              </w:rPr>
              <w:t>情节后果</w:t>
            </w:r>
          </w:p>
        </w:tc>
        <w:tc>
          <w:tcPr>
            <w:tcW w:w="7140" w:type="dxa"/>
            <w:vAlign w:val="top"/>
          </w:tcPr>
          <w:p>
            <w:pPr>
              <w:pStyle w:val="TableText"/>
              <w:ind w:left="3009"/>
              <w:spacing w:before="99" w:line="218" w:lineRule="auto"/>
              <w:rPr>
                <w:sz w:val="26"/>
                <w:szCs w:val="26"/>
              </w:rPr>
            </w:pPr>
            <w:r>
              <w:rPr>
                <w:sz w:val="26"/>
                <w:szCs w:val="26"/>
                <w:b/>
                <w:bCs/>
                <w:spacing w:val="-5"/>
              </w:rPr>
              <w:t>裁量幅度</w:t>
            </w:r>
          </w:p>
        </w:tc>
      </w:tr>
      <w:tr>
        <w:trPr>
          <w:trHeight w:val="559" w:hRule="atLeast"/>
        </w:trPr>
        <w:tc>
          <w:tcPr>
            <w:tcW w:w="1413" w:type="dxa"/>
            <w:vAlign w:val="top"/>
          </w:tcPr>
          <w:p>
            <w:pPr>
              <w:pStyle w:val="TableText"/>
              <w:ind w:left="438"/>
              <w:spacing w:before="153" w:line="221" w:lineRule="auto"/>
              <w:rPr>
                <w:sz w:val="26"/>
                <w:szCs w:val="26"/>
              </w:rPr>
            </w:pPr>
            <w:r>
              <w:rPr>
                <w:sz w:val="26"/>
                <w:szCs w:val="26"/>
                <w:b/>
                <w:bCs/>
                <w:spacing w:val="-10"/>
              </w:rPr>
              <w:t>一般</w:t>
            </w:r>
          </w:p>
        </w:tc>
        <w:tc>
          <w:tcPr>
            <w:tcW w:w="5606" w:type="dxa"/>
            <w:vAlign w:val="top"/>
          </w:tcPr>
          <w:p>
            <w:pPr>
              <w:pStyle w:val="TableText"/>
              <w:ind w:left="125"/>
              <w:spacing w:before="150" w:line="219" w:lineRule="auto"/>
              <w:rPr>
                <w:sz w:val="26"/>
                <w:szCs w:val="26"/>
              </w:rPr>
            </w:pPr>
            <w:r>
              <w:rPr>
                <w:sz w:val="26"/>
                <w:szCs w:val="26"/>
                <w:b/>
                <w:bCs/>
                <w:spacing w:val="-2"/>
              </w:rPr>
              <w:t>血站擅自采集原料血浆、买卖血液的</w:t>
            </w:r>
          </w:p>
        </w:tc>
        <w:tc>
          <w:tcPr>
            <w:tcW w:w="7140" w:type="dxa"/>
            <w:vAlign w:val="top"/>
          </w:tcPr>
          <w:p>
            <w:pPr>
              <w:pStyle w:val="TableText"/>
              <w:ind w:left="129"/>
              <w:spacing w:before="149" w:line="218" w:lineRule="auto"/>
              <w:rPr>
                <w:sz w:val="26"/>
                <w:szCs w:val="26"/>
              </w:rPr>
            </w:pPr>
            <w:r>
              <w:rPr>
                <w:sz w:val="26"/>
                <w:szCs w:val="26"/>
                <w:b/>
                <w:bCs/>
                <w:spacing w:val="-3"/>
              </w:rPr>
              <w:t>由县级以上地方人民政府卫生行政部门予以警告、责令改正</w:t>
            </w:r>
          </w:p>
        </w:tc>
      </w:tr>
    </w:tbl>
    <w:p>
      <w:pPr>
        <w:pStyle w:val="BodyText"/>
        <w:spacing w:line="457" w:lineRule="auto"/>
        <w:rPr/>
      </w:pPr>
      <w:r/>
    </w:p>
    <w:p>
      <w:pPr>
        <w:ind w:left="129" w:right="127" w:firstLine="670"/>
        <w:spacing w:before="98" w:line="279" w:lineRule="auto"/>
        <w:rPr>
          <w:rFonts w:ascii="FangSong" w:hAnsi="FangSong" w:eastAsia="FangSong" w:cs="FangSong"/>
          <w:sz w:val="30"/>
          <w:szCs w:val="30"/>
        </w:rPr>
      </w:pPr>
      <w:r>
        <w:rPr>
          <w:rFonts w:ascii="FangSong" w:hAnsi="FangSong" w:eastAsia="FangSong" w:cs="FangSong"/>
          <w:sz w:val="30"/>
          <w:szCs w:val="30"/>
          <w:b/>
          <w:bCs/>
          <w:spacing w:val="20"/>
        </w:rPr>
        <w:t>第三百六十三条血站采集血液前，未按照国家颁布的献血者健康检查要求对献血者进行健康</w:t>
      </w:r>
      <w:r>
        <w:rPr>
          <w:rFonts w:ascii="FangSong" w:hAnsi="FangSong" w:eastAsia="FangSong" w:cs="FangSong"/>
          <w:sz w:val="30"/>
          <w:szCs w:val="30"/>
          <w:spacing w:val="20"/>
        </w:rPr>
        <w:t>检</w:t>
      </w:r>
      <w:r>
        <w:rPr>
          <w:rFonts w:ascii="FangSong" w:hAnsi="FangSong" w:eastAsia="FangSong" w:cs="FangSong"/>
          <w:sz w:val="30"/>
          <w:szCs w:val="30"/>
          <w:spacing w:val="6"/>
        </w:rPr>
        <w:t xml:space="preserve"> </w:t>
      </w:r>
      <w:r>
        <w:rPr>
          <w:rFonts w:ascii="FangSong" w:hAnsi="FangSong" w:eastAsia="FangSong" w:cs="FangSong"/>
          <w:sz w:val="30"/>
          <w:szCs w:val="30"/>
          <w:b/>
          <w:bCs/>
          <w:spacing w:val="13"/>
        </w:rPr>
        <w:t>查、检测的</w:t>
      </w:r>
    </w:p>
    <w:p>
      <w:pPr>
        <w:ind w:left="754"/>
        <w:spacing w:line="222" w:lineRule="auto"/>
        <w:rPr>
          <w:rFonts w:ascii="FangSong" w:hAnsi="FangSong" w:eastAsia="FangSong" w:cs="FangSong"/>
          <w:sz w:val="30"/>
          <w:szCs w:val="30"/>
        </w:rPr>
      </w:pPr>
      <w:r>
        <w:rPr>
          <w:rFonts w:ascii="FangSong" w:hAnsi="FangSong" w:eastAsia="FangSong" w:cs="FangSong"/>
          <w:sz w:val="30"/>
          <w:szCs w:val="30"/>
          <w:spacing w:val="37"/>
        </w:rPr>
        <w:t>法律依据</w:t>
      </w:r>
      <w:r>
        <w:rPr>
          <w:rFonts w:ascii="FangSong" w:hAnsi="FangSong" w:eastAsia="FangSong" w:cs="FangSong"/>
          <w:sz w:val="30"/>
          <w:szCs w:val="30"/>
          <w:spacing w:val="-79"/>
        </w:rPr>
        <w:t xml:space="preserve"> </w:t>
      </w:r>
      <w:r>
        <w:rPr>
          <w:rFonts w:ascii="FangSong" w:hAnsi="FangSong" w:eastAsia="FangSong" w:cs="FangSong"/>
          <w:sz w:val="30"/>
          <w:szCs w:val="30"/>
          <w:spacing w:val="37"/>
        </w:rPr>
        <w:t>：</w:t>
      </w:r>
    </w:p>
    <w:p>
      <w:pPr>
        <w:ind w:left="124" w:right="113" w:firstLine="619"/>
        <w:spacing w:before="83" w:line="278" w:lineRule="auto"/>
        <w:jc w:val="both"/>
        <w:rPr>
          <w:rFonts w:ascii="FangSong" w:hAnsi="FangSong" w:eastAsia="FangSong" w:cs="FangSong"/>
          <w:sz w:val="25"/>
          <w:szCs w:val="25"/>
        </w:rPr>
      </w:pPr>
      <w:r>
        <w:rPr>
          <w:rFonts w:ascii="FangSong" w:hAnsi="FangSong" w:eastAsia="FangSong" w:cs="FangSong"/>
          <w:sz w:val="30"/>
          <w:szCs w:val="30"/>
          <w:spacing w:val="24"/>
        </w:rPr>
        <w:t>《血站管理办法》第六十一条第(五)项</w:t>
      </w:r>
      <w:r>
        <w:rPr>
          <w:rFonts w:ascii="FangSong" w:hAnsi="FangSong" w:eastAsia="FangSong" w:cs="FangSong"/>
          <w:sz w:val="30"/>
          <w:szCs w:val="30"/>
          <w:spacing w:val="24"/>
        </w:rPr>
        <w:t xml:space="preserve">  </w:t>
      </w:r>
      <w:r>
        <w:rPr>
          <w:rFonts w:ascii="FangSong" w:hAnsi="FangSong" w:eastAsia="FangSong" w:cs="FangSong"/>
          <w:sz w:val="30"/>
          <w:szCs w:val="30"/>
          <w:spacing w:val="24"/>
        </w:rPr>
        <w:t>血站有下列行为之一的，</w:t>
      </w:r>
      <w:r>
        <w:rPr>
          <w:rFonts w:ascii="FangSong" w:hAnsi="FangSong" w:eastAsia="FangSong" w:cs="FangSong"/>
          <w:sz w:val="30"/>
          <w:szCs w:val="30"/>
          <w:spacing w:val="23"/>
        </w:rPr>
        <w:t>由县级以上地方人民政府卫</w:t>
      </w:r>
      <w:r>
        <w:rPr>
          <w:rFonts w:ascii="FangSong" w:hAnsi="FangSong" w:eastAsia="FangSong" w:cs="FangSong"/>
          <w:sz w:val="30"/>
          <w:szCs w:val="30"/>
        </w:rPr>
        <w:t xml:space="preserve"> </w:t>
      </w:r>
      <w:r>
        <w:rPr>
          <w:rFonts w:ascii="FangSong" w:hAnsi="FangSong" w:eastAsia="FangSong" w:cs="FangSong"/>
          <w:sz w:val="30"/>
          <w:szCs w:val="30"/>
          <w:spacing w:val="17"/>
        </w:rPr>
        <w:t>生计生行政部门予以警告、责令改正；逾期不改</w:t>
      </w:r>
      <w:r>
        <w:rPr>
          <w:rFonts w:ascii="FangSong" w:hAnsi="FangSong" w:eastAsia="FangSong" w:cs="FangSong"/>
          <w:sz w:val="30"/>
          <w:szCs w:val="30"/>
          <w:spacing w:val="16"/>
        </w:rPr>
        <w:t>正，或者造成经血液传播疾病发生，或者其他严重后</w:t>
      </w:r>
      <w:r>
        <w:rPr>
          <w:rFonts w:ascii="FangSong" w:hAnsi="FangSong" w:eastAsia="FangSong" w:cs="FangSong"/>
          <w:sz w:val="30"/>
          <w:szCs w:val="30"/>
        </w:rPr>
        <w:t xml:space="preserve"> </w:t>
      </w:r>
      <w:r>
        <w:rPr>
          <w:rFonts w:ascii="FangSong" w:hAnsi="FangSong" w:eastAsia="FangSong" w:cs="FangSong"/>
          <w:sz w:val="30"/>
          <w:szCs w:val="30"/>
          <w:spacing w:val="17"/>
        </w:rPr>
        <w:t>果的，对负有责任的主管人员和其他直接负责人</w:t>
      </w:r>
      <w:r>
        <w:rPr>
          <w:rFonts w:ascii="FangSong" w:hAnsi="FangSong" w:eastAsia="FangSong" w:cs="FangSong"/>
          <w:sz w:val="30"/>
          <w:szCs w:val="30"/>
          <w:spacing w:val="16"/>
        </w:rPr>
        <w:t>员，依法给予行政处分；构成犯罪的，依法追究刑事</w:t>
      </w:r>
      <w:r>
        <w:rPr>
          <w:rFonts w:ascii="FangSong" w:hAnsi="FangSong" w:eastAsia="FangSong" w:cs="FangSong"/>
          <w:sz w:val="30"/>
          <w:szCs w:val="30"/>
        </w:rPr>
        <w:t xml:space="preserve"> </w:t>
      </w:r>
      <w:r>
        <w:rPr>
          <w:rFonts w:ascii="FangSong" w:hAnsi="FangSong" w:eastAsia="FangSong" w:cs="FangSong"/>
          <w:sz w:val="25"/>
          <w:szCs w:val="25"/>
          <w:spacing w:val="-12"/>
        </w:rPr>
        <w:t>责</w:t>
      </w:r>
      <w:r>
        <w:rPr>
          <w:rFonts w:ascii="FangSong" w:hAnsi="FangSong" w:eastAsia="FangSong" w:cs="FangSong"/>
          <w:sz w:val="25"/>
          <w:szCs w:val="25"/>
          <w:spacing w:val="-24"/>
        </w:rPr>
        <w:t xml:space="preserve"> </w:t>
      </w:r>
      <w:r>
        <w:rPr>
          <w:rFonts w:ascii="FangSong" w:hAnsi="FangSong" w:eastAsia="FangSong" w:cs="FangSong"/>
          <w:sz w:val="25"/>
          <w:szCs w:val="25"/>
          <w:spacing w:val="-12"/>
        </w:rPr>
        <w:t>任</w:t>
      </w:r>
      <w:r>
        <w:rPr>
          <w:rFonts w:ascii="FangSong" w:hAnsi="FangSong" w:eastAsia="FangSong" w:cs="FangSong"/>
          <w:sz w:val="25"/>
          <w:szCs w:val="25"/>
          <w:spacing w:val="-41"/>
        </w:rPr>
        <w:t xml:space="preserve"> </w:t>
      </w:r>
      <w:r>
        <w:rPr>
          <w:rFonts w:ascii="FangSong" w:hAnsi="FangSong" w:eastAsia="FangSong" w:cs="FangSong"/>
          <w:sz w:val="25"/>
          <w:szCs w:val="25"/>
          <w:spacing w:val="-12"/>
        </w:rPr>
        <w:t>：</w:t>
      </w:r>
    </w:p>
    <w:p>
      <w:pPr>
        <w:ind w:left="6528" w:right="375" w:hanging="5623"/>
        <w:spacing w:before="9" w:line="289" w:lineRule="auto"/>
        <w:rPr>
          <w:rFonts w:ascii="SimHei" w:hAnsi="SimHei" w:eastAsia="SimHei" w:cs="SimHei"/>
          <w:sz w:val="30"/>
          <w:szCs w:val="30"/>
        </w:rPr>
      </w:pPr>
      <w:r>
        <w:rPr>
          <w:rFonts w:ascii="FangSong" w:hAnsi="FangSong" w:eastAsia="FangSong" w:cs="FangSong"/>
          <w:sz w:val="30"/>
          <w:szCs w:val="30"/>
          <w:spacing w:val="22"/>
        </w:rPr>
        <w:t>(五)采集血液前，未按照国家颁布的献血者健康检查要求对献血者进行健康检查、</w:t>
      </w:r>
      <w:r>
        <w:rPr>
          <w:rFonts w:ascii="FangSong" w:hAnsi="FangSong" w:eastAsia="FangSong" w:cs="FangSong"/>
          <w:sz w:val="30"/>
          <w:szCs w:val="30"/>
          <w:spacing w:val="21"/>
        </w:rPr>
        <w:t>检测的；</w:t>
      </w:r>
      <w:r>
        <w:rPr>
          <w:rFonts w:ascii="FangSong" w:hAnsi="FangSong" w:eastAsia="FangSong" w:cs="FangSong"/>
          <w:sz w:val="30"/>
          <w:szCs w:val="30"/>
        </w:rPr>
        <w:t xml:space="preserve"> </w:t>
      </w:r>
      <w:r>
        <w:rPr>
          <w:rFonts w:ascii="SimHei" w:hAnsi="SimHei" w:eastAsia="SimHei" w:cs="SimHei"/>
          <w:sz w:val="30"/>
          <w:szCs w:val="30"/>
          <w:b/>
          <w:bCs/>
          <w:spacing w:val="-17"/>
        </w:rPr>
        <w:t>裁量标准</w:t>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5596"/>
        <w:gridCol w:w="7130"/>
      </w:tblGrid>
      <w:tr>
        <w:trPr>
          <w:trHeight w:val="421" w:hRule="atLeast"/>
        </w:trPr>
        <w:tc>
          <w:tcPr>
            <w:tcW w:w="1444" w:type="dxa"/>
            <w:vAlign w:val="top"/>
          </w:tcPr>
          <w:p>
            <w:pPr>
              <w:pStyle w:val="TableText"/>
              <w:ind w:left="198"/>
              <w:spacing w:before="82" w:line="220" w:lineRule="auto"/>
              <w:rPr>
                <w:sz w:val="26"/>
                <w:szCs w:val="26"/>
              </w:rPr>
            </w:pPr>
            <w:r>
              <w:rPr>
                <w:sz w:val="26"/>
                <w:szCs w:val="26"/>
                <w:b/>
                <w:bCs/>
                <w:spacing w:val="-5"/>
              </w:rPr>
              <w:t>违法程度</w:t>
            </w:r>
          </w:p>
        </w:tc>
        <w:tc>
          <w:tcPr>
            <w:tcW w:w="5596" w:type="dxa"/>
            <w:vAlign w:val="top"/>
          </w:tcPr>
          <w:p>
            <w:pPr>
              <w:pStyle w:val="TableText"/>
              <w:ind w:left="2274"/>
              <w:spacing w:before="82" w:line="220" w:lineRule="auto"/>
              <w:rPr>
                <w:sz w:val="26"/>
                <w:szCs w:val="26"/>
              </w:rPr>
            </w:pPr>
            <w:r>
              <w:rPr>
                <w:sz w:val="26"/>
                <w:szCs w:val="26"/>
                <w:b/>
                <w:bCs/>
                <w:spacing w:val="-5"/>
              </w:rPr>
              <w:t>情节后果</w:t>
            </w:r>
          </w:p>
        </w:tc>
        <w:tc>
          <w:tcPr>
            <w:tcW w:w="7130" w:type="dxa"/>
            <w:vAlign w:val="top"/>
          </w:tcPr>
          <w:p>
            <w:pPr>
              <w:pStyle w:val="TableText"/>
              <w:ind w:left="2998"/>
              <w:spacing w:before="79" w:line="218" w:lineRule="auto"/>
              <w:rPr>
                <w:sz w:val="26"/>
                <w:szCs w:val="26"/>
              </w:rPr>
            </w:pPr>
            <w:r>
              <w:rPr>
                <w:sz w:val="26"/>
                <w:szCs w:val="26"/>
                <w:b/>
                <w:bCs/>
                <w:spacing w:val="-5"/>
              </w:rPr>
              <w:t>裁量幅度</w:t>
            </w:r>
          </w:p>
        </w:tc>
      </w:tr>
      <w:tr>
        <w:trPr>
          <w:trHeight w:val="679" w:hRule="atLeast"/>
        </w:trPr>
        <w:tc>
          <w:tcPr>
            <w:tcW w:w="1444" w:type="dxa"/>
            <w:vAlign w:val="top"/>
          </w:tcPr>
          <w:p>
            <w:pPr>
              <w:pStyle w:val="TableText"/>
              <w:ind w:left="458"/>
              <w:spacing w:before="212" w:line="221" w:lineRule="auto"/>
              <w:rPr>
                <w:sz w:val="26"/>
                <w:szCs w:val="26"/>
              </w:rPr>
            </w:pPr>
            <w:r>
              <w:rPr>
                <w:sz w:val="26"/>
                <w:szCs w:val="26"/>
                <w:b/>
                <w:bCs/>
                <w:spacing w:val="-10"/>
              </w:rPr>
              <w:t>一般</w:t>
            </w:r>
          </w:p>
        </w:tc>
        <w:tc>
          <w:tcPr>
            <w:tcW w:w="5596" w:type="dxa"/>
            <w:vAlign w:val="top"/>
          </w:tcPr>
          <w:p>
            <w:pPr>
              <w:pStyle w:val="TableText"/>
              <w:ind w:left="104" w:hanging="90"/>
              <w:spacing w:before="69" w:line="213" w:lineRule="auto"/>
              <w:rPr>
                <w:sz w:val="26"/>
                <w:szCs w:val="26"/>
              </w:rPr>
            </w:pPr>
            <w:r>
              <w:rPr>
                <w:sz w:val="26"/>
                <w:szCs w:val="26"/>
                <w:b/>
                <w:bCs/>
                <w:spacing w:val="-10"/>
              </w:rPr>
              <w:t>血站采集血液前，未按照国家颁布的献血者健康检</w:t>
            </w:r>
            <w:r>
              <w:rPr>
                <w:sz w:val="26"/>
                <w:szCs w:val="26"/>
                <w:spacing w:val="10"/>
              </w:rPr>
              <w:t xml:space="preserve"> </w:t>
            </w:r>
            <w:r>
              <w:rPr>
                <w:sz w:val="26"/>
                <w:szCs w:val="26"/>
                <w:b/>
                <w:bCs/>
                <w:spacing w:val="-3"/>
              </w:rPr>
              <w:t>查要求对献血者进行健康检查、检测的</w:t>
            </w:r>
          </w:p>
        </w:tc>
        <w:tc>
          <w:tcPr>
            <w:tcW w:w="7130" w:type="dxa"/>
            <w:vAlign w:val="top"/>
          </w:tcPr>
          <w:p>
            <w:pPr>
              <w:pStyle w:val="TableText"/>
              <w:ind w:left="118"/>
              <w:spacing w:before="88" w:line="218" w:lineRule="auto"/>
              <w:rPr>
                <w:sz w:val="26"/>
                <w:szCs w:val="26"/>
              </w:rPr>
            </w:pPr>
            <w:r>
              <w:rPr>
                <w:sz w:val="26"/>
                <w:szCs w:val="26"/>
                <w:b/>
                <w:bCs/>
                <w:spacing w:val="-3"/>
              </w:rPr>
              <w:t>由县级以上地方人民政府卫生行政部门予以警告、责令改正</w:t>
            </w:r>
          </w:p>
        </w:tc>
      </w:tr>
    </w:tbl>
    <w:p>
      <w:pPr>
        <w:pStyle w:val="BodyText"/>
        <w:spacing w:line="447" w:lineRule="auto"/>
        <w:rPr/>
      </w:pPr>
      <w:r/>
    </w:p>
    <w:p>
      <w:pPr>
        <w:ind w:left="799"/>
        <w:spacing w:before="97" w:line="220" w:lineRule="auto"/>
        <w:rPr>
          <w:rFonts w:ascii="FangSong" w:hAnsi="FangSong" w:eastAsia="FangSong" w:cs="FangSong"/>
          <w:sz w:val="30"/>
          <w:szCs w:val="30"/>
        </w:rPr>
      </w:pPr>
      <w:r>
        <w:rPr>
          <w:rFonts w:ascii="FangSong" w:hAnsi="FangSong" w:eastAsia="FangSong" w:cs="FangSong"/>
          <w:sz w:val="30"/>
          <w:szCs w:val="30"/>
          <w:b/>
          <w:bCs/>
          <w:spacing w:val="21"/>
        </w:rPr>
        <w:t>第三百六十四条血站采集冒名顶替者、健康检查不合格者血液以及超量、频繁采集血液的</w:t>
      </w:r>
    </w:p>
    <w:p>
      <w:pPr>
        <w:ind w:left="754"/>
        <w:spacing w:before="80" w:line="222" w:lineRule="auto"/>
        <w:rPr>
          <w:rFonts w:ascii="FangSong" w:hAnsi="FangSong" w:eastAsia="FangSong" w:cs="FangSong"/>
          <w:sz w:val="30"/>
          <w:szCs w:val="30"/>
        </w:rPr>
      </w:pPr>
      <w:r>
        <w:rPr>
          <w:rFonts w:ascii="FangSong" w:hAnsi="FangSong" w:eastAsia="FangSong" w:cs="FangSong"/>
          <w:sz w:val="30"/>
          <w:szCs w:val="30"/>
          <w:spacing w:val="34"/>
        </w:rPr>
        <w:t>法律依据：</w:t>
      </w:r>
    </w:p>
    <w:p>
      <w:pPr>
        <w:spacing w:line="222" w:lineRule="auto"/>
        <w:sectPr>
          <w:footerReference w:type="default" r:id="rId404"/>
          <w:pgSz w:w="16830" w:h="11900"/>
          <w:pgMar w:top="1011" w:right="1335" w:bottom="1103" w:left="1314" w:header="0" w:footer="769" w:gutter="0"/>
        </w:sectPr>
        <w:rPr>
          <w:rFonts w:ascii="FangSong" w:hAnsi="FangSong" w:eastAsia="FangSong" w:cs="FangSong"/>
          <w:sz w:val="30"/>
          <w:szCs w:val="30"/>
        </w:rPr>
      </w:pPr>
    </w:p>
    <w:p>
      <w:pPr>
        <w:pStyle w:val="BodyText"/>
        <w:spacing w:line="258" w:lineRule="auto"/>
        <w:rPr/>
      </w:pPr>
      <w:r/>
    </w:p>
    <w:p>
      <w:pPr>
        <w:pStyle w:val="BodyText"/>
        <w:spacing w:line="258" w:lineRule="auto"/>
        <w:rPr/>
      </w:pPr>
      <w:r/>
    </w:p>
    <w:p>
      <w:pPr>
        <w:pStyle w:val="BodyText"/>
        <w:spacing w:line="258" w:lineRule="auto"/>
        <w:rPr/>
      </w:pPr>
      <w:r/>
    </w:p>
    <w:p>
      <w:pPr>
        <w:ind w:left="135" w:right="129" w:firstLine="609"/>
        <w:spacing w:before="98" w:line="283" w:lineRule="auto"/>
        <w:jc w:val="both"/>
        <w:rPr>
          <w:rFonts w:ascii="FangSong" w:hAnsi="FangSong" w:eastAsia="FangSong" w:cs="FangSong"/>
          <w:sz w:val="24"/>
          <w:szCs w:val="24"/>
        </w:rPr>
      </w:pPr>
      <w:r>
        <w:rPr>
          <w:rFonts w:ascii="FangSong" w:hAnsi="FangSong" w:eastAsia="FangSong" w:cs="FangSong"/>
          <w:sz w:val="30"/>
          <w:szCs w:val="30"/>
          <w:spacing w:val="23"/>
        </w:rPr>
        <w:t>《血站管理办法》第六十一条第(六)项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血站有下列行为之一的，由县</w:t>
      </w:r>
      <w:r>
        <w:rPr>
          <w:rFonts w:ascii="FangSong" w:hAnsi="FangSong" w:eastAsia="FangSong" w:cs="FangSong"/>
          <w:sz w:val="30"/>
          <w:szCs w:val="30"/>
          <w:spacing w:val="22"/>
        </w:rPr>
        <w:t>级以上地方人民政府卫</w:t>
      </w:r>
      <w:r>
        <w:rPr>
          <w:rFonts w:ascii="FangSong" w:hAnsi="FangSong" w:eastAsia="FangSong" w:cs="FangSong"/>
          <w:sz w:val="30"/>
          <w:szCs w:val="30"/>
        </w:rPr>
        <w:t xml:space="preserve"> </w:t>
      </w:r>
      <w:r>
        <w:rPr>
          <w:rFonts w:ascii="FangSong" w:hAnsi="FangSong" w:eastAsia="FangSong" w:cs="FangSong"/>
          <w:sz w:val="30"/>
          <w:szCs w:val="30"/>
          <w:spacing w:val="16"/>
        </w:rPr>
        <w:t>生计生行政部门予以警告、责令改正；逾期不改正，或者造成经血液传播疾病发生，或者其他严重后</w:t>
      </w:r>
      <w:r>
        <w:rPr>
          <w:rFonts w:ascii="FangSong" w:hAnsi="FangSong" w:eastAsia="FangSong" w:cs="FangSong"/>
          <w:sz w:val="30"/>
          <w:szCs w:val="30"/>
          <w:spacing w:val="10"/>
        </w:rPr>
        <w:t xml:space="preserve"> </w:t>
      </w:r>
      <w:r>
        <w:rPr>
          <w:rFonts w:ascii="FangSong" w:hAnsi="FangSong" w:eastAsia="FangSong" w:cs="FangSong"/>
          <w:sz w:val="30"/>
          <w:szCs w:val="30"/>
          <w:spacing w:val="16"/>
        </w:rPr>
        <w:t>果的，对负有责任的主管人员和其他直接负责人员，依法给予行政处分；构成犯罪的，依法追究刑事</w:t>
      </w:r>
      <w:r>
        <w:rPr>
          <w:rFonts w:ascii="FangSong" w:hAnsi="FangSong" w:eastAsia="FangSong" w:cs="FangSong"/>
          <w:sz w:val="30"/>
          <w:szCs w:val="30"/>
          <w:spacing w:val="10"/>
        </w:rPr>
        <w:t xml:space="preserve"> </w:t>
      </w:r>
      <w:r>
        <w:rPr>
          <w:rFonts w:ascii="FangSong" w:hAnsi="FangSong" w:eastAsia="FangSong" w:cs="FangSong"/>
          <w:sz w:val="24"/>
          <w:szCs w:val="24"/>
          <w:spacing w:val="-11"/>
        </w:rPr>
        <w:t>责</w:t>
      </w:r>
      <w:r>
        <w:rPr>
          <w:rFonts w:ascii="FangSong" w:hAnsi="FangSong" w:eastAsia="FangSong" w:cs="FangSong"/>
          <w:sz w:val="24"/>
          <w:szCs w:val="24"/>
          <w:spacing w:val="-11"/>
        </w:rPr>
        <w:t xml:space="preserve"> </w:t>
      </w:r>
      <w:r>
        <w:rPr>
          <w:rFonts w:ascii="FangSong" w:hAnsi="FangSong" w:eastAsia="FangSong" w:cs="FangSong"/>
          <w:sz w:val="24"/>
          <w:szCs w:val="24"/>
          <w:spacing w:val="-11"/>
        </w:rPr>
        <w:t>任</w:t>
      </w:r>
      <w:r>
        <w:rPr>
          <w:rFonts w:ascii="FangSong" w:hAnsi="FangSong" w:eastAsia="FangSong" w:cs="FangSong"/>
          <w:sz w:val="24"/>
          <w:szCs w:val="24"/>
          <w:spacing w:val="-24"/>
        </w:rPr>
        <w:t xml:space="preserve"> </w:t>
      </w:r>
      <w:r>
        <w:rPr>
          <w:rFonts w:ascii="FangSong" w:hAnsi="FangSong" w:eastAsia="FangSong" w:cs="FangSong"/>
          <w:sz w:val="24"/>
          <w:szCs w:val="24"/>
          <w:spacing w:val="-11"/>
        </w:rPr>
        <w:t>：</w:t>
      </w:r>
    </w:p>
    <w:p>
      <w:pPr>
        <w:ind w:left="894"/>
        <w:spacing w:line="220" w:lineRule="auto"/>
        <w:rPr>
          <w:rFonts w:ascii="FangSong" w:hAnsi="FangSong" w:eastAsia="FangSong" w:cs="FangSong"/>
          <w:sz w:val="30"/>
          <w:szCs w:val="30"/>
        </w:rPr>
      </w:pPr>
      <w:r>
        <w:rPr>
          <w:rFonts w:ascii="FangSong" w:hAnsi="FangSong" w:eastAsia="FangSong" w:cs="FangSong"/>
          <w:sz w:val="30"/>
          <w:szCs w:val="30"/>
          <w:spacing w:val="22"/>
        </w:rPr>
        <w:t>(六)采集冒名顶替者、健康检查不合格者血液以及超量、频繁采集血液的；</w:t>
      </w:r>
    </w:p>
    <w:p>
      <w:pPr>
        <w:ind w:left="6539"/>
        <w:spacing w:before="161"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00" w:lineRule="exact"/>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5596"/>
        <w:gridCol w:w="7130"/>
      </w:tblGrid>
      <w:tr>
        <w:trPr>
          <w:trHeight w:val="441" w:hRule="atLeast"/>
        </w:trPr>
        <w:tc>
          <w:tcPr>
            <w:tcW w:w="1444" w:type="dxa"/>
            <w:vAlign w:val="top"/>
          </w:tcPr>
          <w:p>
            <w:pPr>
              <w:pStyle w:val="TableText"/>
              <w:ind w:left="198"/>
              <w:spacing w:before="92" w:line="220" w:lineRule="auto"/>
              <w:rPr>
                <w:sz w:val="26"/>
                <w:szCs w:val="26"/>
              </w:rPr>
            </w:pPr>
            <w:r>
              <w:rPr>
                <w:sz w:val="26"/>
                <w:szCs w:val="26"/>
                <w:b/>
                <w:bCs/>
                <w:spacing w:val="-5"/>
              </w:rPr>
              <w:t>违法程度</w:t>
            </w:r>
          </w:p>
        </w:tc>
        <w:tc>
          <w:tcPr>
            <w:tcW w:w="5596" w:type="dxa"/>
            <w:vAlign w:val="top"/>
          </w:tcPr>
          <w:p>
            <w:pPr>
              <w:pStyle w:val="TableText"/>
              <w:ind w:left="2274"/>
              <w:spacing w:before="92" w:line="220" w:lineRule="auto"/>
              <w:rPr>
                <w:sz w:val="26"/>
                <w:szCs w:val="26"/>
              </w:rPr>
            </w:pPr>
            <w:r>
              <w:rPr>
                <w:sz w:val="26"/>
                <w:szCs w:val="26"/>
                <w:b/>
                <w:bCs/>
                <w:spacing w:val="-5"/>
              </w:rPr>
              <w:t>情节后果</w:t>
            </w:r>
          </w:p>
        </w:tc>
        <w:tc>
          <w:tcPr>
            <w:tcW w:w="7130" w:type="dxa"/>
            <w:vAlign w:val="top"/>
          </w:tcPr>
          <w:p>
            <w:pPr>
              <w:pStyle w:val="TableText"/>
              <w:ind w:left="2998"/>
              <w:spacing w:before="89" w:line="218" w:lineRule="auto"/>
              <w:rPr>
                <w:sz w:val="26"/>
                <w:szCs w:val="26"/>
              </w:rPr>
            </w:pPr>
            <w:r>
              <w:rPr>
                <w:sz w:val="26"/>
                <w:szCs w:val="26"/>
                <w:b/>
                <w:bCs/>
                <w:spacing w:val="-5"/>
              </w:rPr>
              <w:t>裁量幅度</w:t>
            </w:r>
          </w:p>
        </w:tc>
      </w:tr>
      <w:tr>
        <w:trPr>
          <w:trHeight w:val="688" w:hRule="atLeast"/>
        </w:trPr>
        <w:tc>
          <w:tcPr>
            <w:tcW w:w="1444" w:type="dxa"/>
            <w:vAlign w:val="top"/>
          </w:tcPr>
          <w:p>
            <w:pPr>
              <w:pStyle w:val="TableText"/>
              <w:ind w:left="458"/>
              <w:spacing w:before="222" w:line="221" w:lineRule="auto"/>
              <w:rPr>
                <w:sz w:val="26"/>
                <w:szCs w:val="26"/>
              </w:rPr>
            </w:pPr>
            <w:r>
              <w:rPr>
                <w:sz w:val="26"/>
                <w:szCs w:val="26"/>
                <w:b/>
                <w:bCs/>
                <w:spacing w:val="-10"/>
              </w:rPr>
              <w:t>一般</w:t>
            </w:r>
          </w:p>
        </w:tc>
        <w:tc>
          <w:tcPr>
            <w:tcW w:w="5596" w:type="dxa"/>
            <w:vAlign w:val="top"/>
          </w:tcPr>
          <w:p>
            <w:pPr>
              <w:pStyle w:val="TableText"/>
              <w:ind w:left="93" w:hanging="79"/>
              <w:spacing w:before="69" w:line="216" w:lineRule="auto"/>
              <w:rPr>
                <w:sz w:val="26"/>
                <w:szCs w:val="26"/>
              </w:rPr>
            </w:pPr>
            <w:r>
              <w:rPr>
                <w:sz w:val="26"/>
                <w:szCs w:val="26"/>
                <w:b/>
                <w:bCs/>
                <w:spacing w:val="-10"/>
              </w:rPr>
              <w:t>血站采集冒名顶替者、健康检查不合格者血液以及</w:t>
            </w:r>
            <w:r>
              <w:rPr>
                <w:sz w:val="26"/>
                <w:szCs w:val="26"/>
                <w:spacing w:val="10"/>
              </w:rPr>
              <w:t xml:space="preserve"> </w:t>
            </w:r>
            <w:r>
              <w:rPr>
                <w:sz w:val="26"/>
                <w:szCs w:val="26"/>
                <w:b/>
                <w:bCs/>
                <w:spacing w:val="-2"/>
              </w:rPr>
              <w:t>超量、频繁采集血液的</w:t>
            </w:r>
          </w:p>
        </w:tc>
        <w:tc>
          <w:tcPr>
            <w:tcW w:w="7130" w:type="dxa"/>
            <w:vAlign w:val="top"/>
          </w:tcPr>
          <w:p>
            <w:pPr>
              <w:pStyle w:val="TableText"/>
              <w:ind w:left="118"/>
              <w:spacing w:before="218" w:line="218" w:lineRule="auto"/>
              <w:rPr>
                <w:sz w:val="26"/>
                <w:szCs w:val="26"/>
              </w:rPr>
            </w:pPr>
            <w:r>
              <w:rPr>
                <w:sz w:val="26"/>
                <w:szCs w:val="26"/>
                <w:b/>
                <w:bCs/>
                <w:spacing w:val="-3"/>
              </w:rPr>
              <w:t>由县级以上地方人民政府卫生行政部门予以警告、责令改正</w:t>
            </w:r>
          </w:p>
        </w:tc>
      </w:tr>
    </w:tbl>
    <w:p>
      <w:pPr>
        <w:pStyle w:val="BodyText"/>
        <w:spacing w:line="427" w:lineRule="auto"/>
        <w:rPr/>
      </w:pPr>
      <w:r/>
    </w:p>
    <w:p>
      <w:pPr>
        <w:ind w:left="789"/>
        <w:spacing w:before="97" w:line="220" w:lineRule="auto"/>
        <w:rPr>
          <w:rFonts w:ascii="FangSong" w:hAnsi="FangSong" w:eastAsia="FangSong" w:cs="FangSong"/>
          <w:sz w:val="30"/>
          <w:szCs w:val="30"/>
        </w:rPr>
      </w:pPr>
      <w:r>
        <w:rPr>
          <w:rFonts w:ascii="FangSong" w:hAnsi="FangSong" w:eastAsia="FangSong" w:cs="FangSong"/>
          <w:sz w:val="30"/>
          <w:szCs w:val="30"/>
          <w:b/>
          <w:bCs/>
          <w:spacing w:val="22"/>
        </w:rPr>
        <w:t>第三百六十五条血站违反输血技术操作规程、有关质量规范和标准的</w:t>
      </w:r>
    </w:p>
    <w:p>
      <w:pPr>
        <w:ind w:left="754"/>
        <w:spacing w:before="81" w:line="222" w:lineRule="auto"/>
        <w:rPr>
          <w:rFonts w:ascii="FangSong" w:hAnsi="FangSong" w:eastAsia="FangSong" w:cs="FangSong"/>
          <w:sz w:val="30"/>
          <w:szCs w:val="30"/>
        </w:rPr>
      </w:pPr>
      <w:r>
        <w:rPr>
          <w:rFonts w:ascii="FangSong" w:hAnsi="FangSong" w:eastAsia="FangSong" w:cs="FangSong"/>
          <w:sz w:val="30"/>
          <w:szCs w:val="30"/>
          <w:spacing w:val="34"/>
        </w:rPr>
        <w:t>法律依据：</w:t>
      </w:r>
    </w:p>
    <w:p>
      <w:pPr>
        <w:ind w:left="135" w:right="129" w:firstLine="609"/>
        <w:spacing w:before="66" w:line="286" w:lineRule="auto"/>
        <w:jc w:val="both"/>
        <w:rPr>
          <w:rFonts w:ascii="FangSong" w:hAnsi="FangSong" w:eastAsia="FangSong" w:cs="FangSong"/>
          <w:sz w:val="24"/>
          <w:szCs w:val="24"/>
        </w:rPr>
      </w:pPr>
      <w:r>
        <w:rPr>
          <w:rFonts w:ascii="FangSong" w:hAnsi="FangSong" w:eastAsia="FangSong" w:cs="FangSong"/>
          <w:sz w:val="30"/>
          <w:szCs w:val="30"/>
          <w:spacing w:val="23"/>
        </w:rPr>
        <w:t>《血站管理办法》第六十一条第(七)项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血站有下列行为之一的，由县级以上地方人民政府卫</w:t>
      </w:r>
      <w:r>
        <w:rPr>
          <w:rFonts w:ascii="FangSong" w:hAnsi="FangSong" w:eastAsia="FangSong" w:cs="FangSong"/>
          <w:sz w:val="30"/>
          <w:szCs w:val="30"/>
          <w:spacing w:val="10"/>
        </w:rPr>
        <w:t xml:space="preserve"> </w:t>
      </w:r>
      <w:r>
        <w:rPr>
          <w:rFonts w:ascii="FangSong" w:hAnsi="FangSong" w:eastAsia="FangSong" w:cs="FangSong"/>
          <w:sz w:val="30"/>
          <w:szCs w:val="30"/>
          <w:spacing w:val="16"/>
        </w:rPr>
        <w:t>生计生行政部门予以警告、责令改正；逾期不改正，或者造成经血液传播疾病发生，或者其他严重后</w:t>
      </w:r>
      <w:r>
        <w:rPr>
          <w:rFonts w:ascii="FangSong" w:hAnsi="FangSong" w:eastAsia="FangSong" w:cs="FangSong"/>
          <w:sz w:val="30"/>
          <w:szCs w:val="30"/>
          <w:spacing w:val="10"/>
        </w:rPr>
        <w:t xml:space="preserve"> </w:t>
      </w:r>
      <w:r>
        <w:rPr>
          <w:rFonts w:ascii="FangSong" w:hAnsi="FangSong" w:eastAsia="FangSong" w:cs="FangSong"/>
          <w:sz w:val="30"/>
          <w:szCs w:val="30"/>
          <w:spacing w:val="16"/>
        </w:rPr>
        <w:t>果的，对负有责任的主管人员和其他直接负责人员，依法给予行政处分；构成犯罪的，依法追究刑事</w:t>
      </w:r>
      <w:r>
        <w:rPr>
          <w:rFonts w:ascii="FangSong" w:hAnsi="FangSong" w:eastAsia="FangSong" w:cs="FangSong"/>
          <w:sz w:val="30"/>
          <w:szCs w:val="30"/>
          <w:spacing w:val="10"/>
        </w:rPr>
        <w:t xml:space="preserve"> </w:t>
      </w:r>
      <w:r>
        <w:rPr>
          <w:rFonts w:ascii="FangSong" w:hAnsi="FangSong" w:eastAsia="FangSong" w:cs="FangSong"/>
          <w:sz w:val="24"/>
          <w:szCs w:val="24"/>
          <w:spacing w:val="-11"/>
        </w:rPr>
        <w:t>责</w:t>
      </w:r>
      <w:r>
        <w:rPr>
          <w:rFonts w:ascii="FangSong" w:hAnsi="FangSong" w:eastAsia="FangSong" w:cs="FangSong"/>
          <w:sz w:val="24"/>
          <w:szCs w:val="24"/>
          <w:spacing w:val="-11"/>
        </w:rPr>
        <w:t xml:space="preserve"> </w:t>
      </w:r>
      <w:r>
        <w:rPr>
          <w:rFonts w:ascii="FangSong" w:hAnsi="FangSong" w:eastAsia="FangSong" w:cs="FangSong"/>
          <w:sz w:val="24"/>
          <w:szCs w:val="24"/>
          <w:spacing w:val="-11"/>
        </w:rPr>
        <w:t>任</w:t>
      </w:r>
      <w:r>
        <w:rPr>
          <w:rFonts w:ascii="FangSong" w:hAnsi="FangSong" w:eastAsia="FangSong" w:cs="FangSong"/>
          <w:sz w:val="24"/>
          <w:szCs w:val="24"/>
          <w:spacing w:val="-24"/>
        </w:rPr>
        <w:t xml:space="preserve"> </w:t>
      </w:r>
      <w:r>
        <w:rPr>
          <w:rFonts w:ascii="FangSong" w:hAnsi="FangSong" w:eastAsia="FangSong" w:cs="FangSong"/>
          <w:sz w:val="24"/>
          <w:szCs w:val="24"/>
          <w:spacing w:val="-11"/>
        </w:rPr>
        <w:t>：</w:t>
      </w:r>
    </w:p>
    <w:p>
      <w:pPr>
        <w:ind w:left="894"/>
        <w:spacing w:before="13" w:line="220" w:lineRule="auto"/>
        <w:rPr>
          <w:rFonts w:ascii="FangSong" w:hAnsi="FangSong" w:eastAsia="FangSong" w:cs="FangSong"/>
          <w:sz w:val="30"/>
          <w:szCs w:val="30"/>
        </w:rPr>
      </w:pPr>
      <w:r>
        <w:rPr>
          <w:rFonts w:ascii="FangSong" w:hAnsi="FangSong" w:eastAsia="FangSong" w:cs="FangSong"/>
          <w:sz w:val="30"/>
          <w:szCs w:val="30"/>
          <w:spacing w:val="22"/>
        </w:rPr>
        <w:t>(七)违反输血技术操作规程、有关质量规范和标准的；</w:t>
      </w:r>
    </w:p>
    <w:p>
      <w:pPr>
        <w:ind w:left="6539"/>
        <w:spacing w:before="151"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405"/>
          <w:pgSz w:w="16830" w:h="11900"/>
          <w:pgMar w:top="1011" w:right="1335" w:bottom="1130" w:left="1314" w:header="0" w:footer="806" w:gutter="0"/>
        </w:sectPr>
        <w:rPr>
          <w:rFonts w:ascii="SimHei" w:hAnsi="SimHei" w:eastAsia="SimHei" w:cs="SimHei"/>
          <w:sz w:val="30"/>
          <w:szCs w:val="30"/>
        </w:rPr>
      </w:pPr>
    </w:p>
    <w:p>
      <w:pPr>
        <w:spacing w:before="20"/>
        <w:rPr/>
      </w:pPr>
      <w:r/>
    </w:p>
    <w:p>
      <w:pPr>
        <w:spacing w:before="20"/>
        <w:rPr/>
      </w:pPr>
      <w:r/>
    </w:p>
    <w:p>
      <w:pPr>
        <w:spacing w:before="19"/>
        <w:rPr/>
      </w:pPr>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3"/>
        <w:gridCol w:w="5606"/>
        <w:gridCol w:w="7140"/>
      </w:tblGrid>
      <w:tr>
        <w:trPr>
          <w:trHeight w:val="431" w:hRule="atLeast"/>
        </w:trPr>
        <w:tc>
          <w:tcPr>
            <w:tcW w:w="1413" w:type="dxa"/>
            <w:vAlign w:val="top"/>
          </w:tcPr>
          <w:p>
            <w:pPr>
              <w:pStyle w:val="TableText"/>
              <w:ind w:left="178"/>
              <w:spacing w:before="92" w:line="220" w:lineRule="auto"/>
              <w:rPr>
                <w:sz w:val="26"/>
                <w:szCs w:val="26"/>
              </w:rPr>
            </w:pPr>
            <w:r>
              <w:rPr>
                <w:sz w:val="26"/>
                <w:szCs w:val="26"/>
                <w:b/>
                <w:bCs/>
                <w:spacing w:val="-5"/>
              </w:rPr>
              <w:t>违法程度</w:t>
            </w:r>
          </w:p>
        </w:tc>
        <w:tc>
          <w:tcPr>
            <w:tcW w:w="5606" w:type="dxa"/>
            <w:vAlign w:val="top"/>
          </w:tcPr>
          <w:p>
            <w:pPr>
              <w:pStyle w:val="TableText"/>
              <w:ind w:left="2275"/>
              <w:spacing w:before="92" w:line="220" w:lineRule="auto"/>
              <w:rPr>
                <w:sz w:val="26"/>
                <w:szCs w:val="26"/>
              </w:rPr>
            </w:pPr>
            <w:r>
              <w:rPr>
                <w:sz w:val="26"/>
                <w:szCs w:val="26"/>
                <w:b/>
                <w:bCs/>
                <w:spacing w:val="-5"/>
              </w:rPr>
              <w:t>情节后果</w:t>
            </w:r>
          </w:p>
        </w:tc>
        <w:tc>
          <w:tcPr>
            <w:tcW w:w="7140" w:type="dxa"/>
            <w:vAlign w:val="top"/>
          </w:tcPr>
          <w:p>
            <w:pPr>
              <w:pStyle w:val="TableText"/>
              <w:ind w:left="3009"/>
              <w:spacing w:before="89" w:line="218" w:lineRule="auto"/>
              <w:rPr>
                <w:sz w:val="26"/>
                <w:szCs w:val="26"/>
              </w:rPr>
            </w:pPr>
            <w:r>
              <w:rPr>
                <w:sz w:val="26"/>
                <w:szCs w:val="26"/>
                <w:b/>
                <w:bCs/>
                <w:spacing w:val="-5"/>
              </w:rPr>
              <w:t>裁量幅度</w:t>
            </w:r>
          </w:p>
        </w:tc>
      </w:tr>
      <w:tr>
        <w:trPr>
          <w:trHeight w:val="679" w:hRule="atLeast"/>
        </w:trPr>
        <w:tc>
          <w:tcPr>
            <w:tcW w:w="1413" w:type="dxa"/>
            <w:vAlign w:val="top"/>
          </w:tcPr>
          <w:p>
            <w:pPr>
              <w:pStyle w:val="TableText"/>
              <w:ind w:left="438"/>
              <w:spacing w:before="212" w:line="221" w:lineRule="auto"/>
              <w:rPr>
                <w:sz w:val="26"/>
                <w:szCs w:val="26"/>
              </w:rPr>
            </w:pPr>
            <w:r>
              <w:rPr>
                <w:sz w:val="26"/>
                <w:szCs w:val="26"/>
                <w:b/>
                <w:bCs/>
                <w:spacing w:val="-10"/>
              </w:rPr>
              <w:t>一般</w:t>
            </w:r>
          </w:p>
        </w:tc>
        <w:tc>
          <w:tcPr>
            <w:tcW w:w="5606" w:type="dxa"/>
            <w:vAlign w:val="top"/>
          </w:tcPr>
          <w:p>
            <w:pPr>
              <w:pStyle w:val="TableText"/>
              <w:spacing w:before="71" w:line="219" w:lineRule="auto"/>
              <w:jc w:val="right"/>
              <w:rPr>
                <w:sz w:val="26"/>
                <w:szCs w:val="26"/>
              </w:rPr>
            </w:pPr>
            <w:r>
              <w:rPr>
                <w:sz w:val="26"/>
                <w:szCs w:val="26"/>
                <w:b/>
                <w:bCs/>
                <w:spacing w:val="-9"/>
              </w:rPr>
              <w:t>血站违反输血技术操作规程、有关质量规范</w:t>
            </w:r>
            <w:r>
              <w:rPr>
                <w:sz w:val="26"/>
                <w:szCs w:val="26"/>
                <w:b/>
                <w:bCs/>
                <w:spacing w:val="-10"/>
              </w:rPr>
              <w:t>和标准</w:t>
            </w:r>
          </w:p>
          <w:p>
            <w:pPr>
              <w:pStyle w:val="TableText"/>
              <w:ind w:left="135"/>
              <w:spacing w:before="24" w:line="188" w:lineRule="auto"/>
              <w:rPr>
                <w:sz w:val="26"/>
                <w:szCs w:val="26"/>
              </w:rPr>
            </w:pPr>
            <w:r>
              <w:rPr>
                <w:sz w:val="26"/>
                <w:szCs w:val="26"/>
                <w:b/>
                <w:bCs/>
                <w:color w:val="506070"/>
                <w:spacing w:val="-3"/>
              </w:rPr>
              <w:t>的</w:t>
            </w:r>
          </w:p>
        </w:tc>
        <w:tc>
          <w:tcPr>
            <w:tcW w:w="7140" w:type="dxa"/>
            <w:vAlign w:val="top"/>
          </w:tcPr>
          <w:p>
            <w:pPr>
              <w:pStyle w:val="TableText"/>
              <w:spacing w:before="208" w:line="218" w:lineRule="auto"/>
              <w:jc w:val="right"/>
              <w:rPr>
                <w:sz w:val="26"/>
                <w:szCs w:val="26"/>
              </w:rPr>
            </w:pPr>
            <w:r>
              <w:rPr>
                <w:sz w:val="26"/>
                <w:szCs w:val="26"/>
                <w:b/>
                <w:bCs/>
                <w:spacing w:val="-4"/>
              </w:rPr>
              <w:t>由县级以上地方人民政府卫生行政部门予以警告、责令改正。</w:t>
            </w:r>
          </w:p>
        </w:tc>
      </w:tr>
    </w:tbl>
    <w:p>
      <w:pPr>
        <w:pStyle w:val="BodyText"/>
        <w:spacing w:line="456" w:lineRule="auto"/>
        <w:rPr/>
      </w:pPr>
      <w:r/>
    </w:p>
    <w:p>
      <w:pPr>
        <w:ind w:left="74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第三百六十六条血站采血前未向献血者、特殊血液成分捐赠者履行规定的告知义务的</w:t>
      </w:r>
    </w:p>
    <w:p>
      <w:pPr>
        <w:ind w:left="744"/>
        <w:spacing w:before="110" w:line="222" w:lineRule="auto"/>
        <w:rPr>
          <w:rFonts w:ascii="FangSong" w:hAnsi="FangSong" w:eastAsia="FangSong" w:cs="FangSong"/>
          <w:sz w:val="30"/>
          <w:szCs w:val="30"/>
        </w:rPr>
      </w:pPr>
      <w:r>
        <w:rPr>
          <w:rFonts w:ascii="FangSong" w:hAnsi="FangSong" w:eastAsia="FangSong" w:cs="FangSong"/>
          <w:sz w:val="30"/>
          <w:szCs w:val="30"/>
          <w:spacing w:val="37"/>
        </w:rPr>
        <w:t>法律依据</w:t>
      </w:r>
      <w:r>
        <w:rPr>
          <w:rFonts w:ascii="FangSong" w:hAnsi="FangSong" w:eastAsia="FangSong" w:cs="FangSong"/>
          <w:sz w:val="30"/>
          <w:szCs w:val="30"/>
          <w:spacing w:val="-79"/>
        </w:rPr>
        <w:t xml:space="preserve"> </w:t>
      </w:r>
      <w:r>
        <w:rPr>
          <w:rFonts w:ascii="FangSong" w:hAnsi="FangSong" w:eastAsia="FangSong" w:cs="FangSong"/>
          <w:sz w:val="30"/>
          <w:szCs w:val="30"/>
          <w:spacing w:val="37"/>
        </w:rPr>
        <w:t>：</w:t>
      </w:r>
    </w:p>
    <w:p>
      <w:pPr>
        <w:ind w:left="124" w:right="118" w:firstLine="609"/>
        <w:spacing w:before="44" w:line="284" w:lineRule="auto"/>
        <w:jc w:val="both"/>
        <w:rPr>
          <w:rFonts w:ascii="FangSong" w:hAnsi="FangSong" w:eastAsia="FangSong" w:cs="FangSong"/>
          <w:sz w:val="25"/>
          <w:szCs w:val="25"/>
        </w:rPr>
      </w:pPr>
      <w:r>
        <w:rPr>
          <w:rFonts w:ascii="FangSong" w:hAnsi="FangSong" w:eastAsia="FangSong" w:cs="FangSong"/>
          <w:sz w:val="30"/>
          <w:szCs w:val="30"/>
          <w:spacing w:val="24"/>
        </w:rPr>
        <w:t>《血站管理办法》第六十一条第(八)项</w:t>
      </w:r>
      <w:r>
        <w:rPr>
          <w:rFonts w:ascii="FangSong" w:hAnsi="FangSong" w:eastAsia="FangSong" w:cs="FangSong"/>
          <w:sz w:val="30"/>
          <w:szCs w:val="30"/>
          <w:spacing w:val="24"/>
        </w:rPr>
        <w:t xml:space="preserve">  </w:t>
      </w:r>
      <w:r>
        <w:rPr>
          <w:rFonts w:ascii="FangSong" w:hAnsi="FangSong" w:eastAsia="FangSong" w:cs="FangSong"/>
          <w:sz w:val="30"/>
          <w:szCs w:val="30"/>
          <w:spacing w:val="24"/>
        </w:rPr>
        <w:t>血</w:t>
      </w:r>
      <w:r>
        <w:rPr>
          <w:rFonts w:ascii="FangSong" w:hAnsi="FangSong" w:eastAsia="FangSong" w:cs="FangSong"/>
          <w:sz w:val="30"/>
          <w:szCs w:val="30"/>
          <w:spacing w:val="23"/>
        </w:rPr>
        <w:t>站有下列行为之一的，由县级以上地方人民政府卫</w:t>
      </w:r>
      <w:r>
        <w:rPr>
          <w:rFonts w:ascii="FangSong" w:hAnsi="FangSong" w:eastAsia="FangSong" w:cs="FangSong"/>
          <w:sz w:val="30"/>
          <w:szCs w:val="30"/>
        </w:rPr>
        <w:t xml:space="preserve"> </w:t>
      </w:r>
      <w:r>
        <w:rPr>
          <w:rFonts w:ascii="FangSong" w:hAnsi="FangSong" w:eastAsia="FangSong" w:cs="FangSong"/>
          <w:sz w:val="30"/>
          <w:szCs w:val="30"/>
          <w:spacing w:val="17"/>
        </w:rPr>
        <w:t>生计生行政部门予以警告、责令改正；逾期不</w:t>
      </w:r>
      <w:r>
        <w:rPr>
          <w:rFonts w:ascii="FangSong" w:hAnsi="FangSong" w:eastAsia="FangSong" w:cs="FangSong"/>
          <w:sz w:val="30"/>
          <w:szCs w:val="30"/>
          <w:spacing w:val="16"/>
        </w:rPr>
        <w:t>改正，或者造成经血液传播疾病发生，或者其他严重后</w:t>
      </w:r>
      <w:r>
        <w:rPr>
          <w:rFonts w:ascii="FangSong" w:hAnsi="FangSong" w:eastAsia="FangSong" w:cs="FangSong"/>
          <w:sz w:val="30"/>
          <w:szCs w:val="30"/>
        </w:rPr>
        <w:t xml:space="preserve"> </w:t>
      </w:r>
      <w:r>
        <w:rPr>
          <w:rFonts w:ascii="FangSong" w:hAnsi="FangSong" w:eastAsia="FangSong" w:cs="FangSong"/>
          <w:sz w:val="30"/>
          <w:szCs w:val="30"/>
          <w:spacing w:val="17"/>
        </w:rPr>
        <w:t>果的，对负有责任的主管人员和其他直接负责</w:t>
      </w:r>
      <w:r>
        <w:rPr>
          <w:rFonts w:ascii="FangSong" w:hAnsi="FangSong" w:eastAsia="FangSong" w:cs="FangSong"/>
          <w:sz w:val="30"/>
          <w:szCs w:val="30"/>
          <w:spacing w:val="16"/>
        </w:rPr>
        <w:t>人员，依法给予行政处分；构成犯罪的，依法追究刑事</w:t>
      </w:r>
      <w:r>
        <w:rPr>
          <w:rFonts w:ascii="FangSong" w:hAnsi="FangSong" w:eastAsia="FangSong" w:cs="FangSong"/>
          <w:sz w:val="30"/>
          <w:szCs w:val="30"/>
        </w:rPr>
        <w:t xml:space="preserve"> </w:t>
      </w:r>
      <w:r>
        <w:rPr>
          <w:rFonts w:ascii="FangSong" w:hAnsi="FangSong" w:eastAsia="FangSong" w:cs="FangSong"/>
          <w:sz w:val="25"/>
          <w:szCs w:val="25"/>
          <w:spacing w:val="-12"/>
        </w:rPr>
        <w:t>责</w:t>
      </w:r>
      <w:r>
        <w:rPr>
          <w:rFonts w:ascii="FangSong" w:hAnsi="FangSong" w:eastAsia="FangSong" w:cs="FangSong"/>
          <w:sz w:val="25"/>
          <w:szCs w:val="25"/>
          <w:spacing w:val="-24"/>
        </w:rPr>
        <w:t xml:space="preserve"> </w:t>
      </w:r>
      <w:r>
        <w:rPr>
          <w:rFonts w:ascii="FangSong" w:hAnsi="FangSong" w:eastAsia="FangSong" w:cs="FangSong"/>
          <w:sz w:val="25"/>
          <w:szCs w:val="25"/>
          <w:spacing w:val="-12"/>
        </w:rPr>
        <w:t>任</w:t>
      </w:r>
      <w:r>
        <w:rPr>
          <w:rFonts w:ascii="FangSong" w:hAnsi="FangSong" w:eastAsia="FangSong" w:cs="FangSong"/>
          <w:sz w:val="25"/>
          <w:szCs w:val="25"/>
          <w:spacing w:val="-41"/>
        </w:rPr>
        <w:t xml:space="preserve"> </w:t>
      </w:r>
      <w:r>
        <w:rPr>
          <w:rFonts w:ascii="FangSong" w:hAnsi="FangSong" w:eastAsia="FangSong" w:cs="FangSong"/>
          <w:sz w:val="25"/>
          <w:szCs w:val="25"/>
          <w:spacing w:val="-12"/>
        </w:rPr>
        <w:t>：</w:t>
      </w:r>
    </w:p>
    <w:p>
      <w:pPr>
        <w:ind w:left="884"/>
        <w:spacing w:before="2" w:line="221" w:lineRule="auto"/>
        <w:rPr>
          <w:rFonts w:ascii="FangSong" w:hAnsi="FangSong" w:eastAsia="FangSong" w:cs="FangSong"/>
          <w:sz w:val="30"/>
          <w:szCs w:val="30"/>
        </w:rPr>
      </w:pPr>
      <w:r>
        <w:rPr>
          <w:rFonts w:ascii="FangSong" w:hAnsi="FangSong" w:eastAsia="FangSong" w:cs="FangSong"/>
          <w:sz w:val="30"/>
          <w:szCs w:val="30"/>
          <w:spacing w:val="22"/>
        </w:rPr>
        <w:t>(八)采血前未向献血者、特殊血液成分捐赠者履行规定的告知义务的；</w:t>
      </w:r>
    </w:p>
    <w:p>
      <w:pPr>
        <w:ind w:left="6518"/>
        <w:spacing w:before="149"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80" w:lineRule="exact"/>
        <w:rPr/>
      </w:pPr>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3"/>
        <w:gridCol w:w="5606"/>
        <w:gridCol w:w="7140"/>
      </w:tblGrid>
      <w:tr>
        <w:trPr>
          <w:trHeight w:val="441" w:hRule="atLeast"/>
        </w:trPr>
        <w:tc>
          <w:tcPr>
            <w:tcW w:w="1413" w:type="dxa"/>
            <w:vAlign w:val="top"/>
          </w:tcPr>
          <w:p>
            <w:pPr>
              <w:pStyle w:val="TableText"/>
              <w:ind w:left="178"/>
              <w:spacing w:before="92" w:line="220" w:lineRule="auto"/>
              <w:rPr>
                <w:sz w:val="26"/>
                <w:szCs w:val="26"/>
              </w:rPr>
            </w:pPr>
            <w:r>
              <w:rPr>
                <w:sz w:val="26"/>
                <w:szCs w:val="26"/>
                <w:b/>
                <w:bCs/>
                <w:spacing w:val="-5"/>
              </w:rPr>
              <w:t>违法程度</w:t>
            </w:r>
          </w:p>
        </w:tc>
        <w:tc>
          <w:tcPr>
            <w:tcW w:w="5606" w:type="dxa"/>
            <w:vAlign w:val="top"/>
          </w:tcPr>
          <w:p>
            <w:pPr>
              <w:pStyle w:val="TableText"/>
              <w:ind w:left="2275"/>
              <w:spacing w:before="92" w:line="220" w:lineRule="auto"/>
              <w:rPr>
                <w:sz w:val="26"/>
                <w:szCs w:val="26"/>
              </w:rPr>
            </w:pPr>
            <w:r>
              <w:rPr>
                <w:sz w:val="26"/>
                <w:szCs w:val="26"/>
                <w:b/>
                <w:bCs/>
                <w:spacing w:val="-5"/>
              </w:rPr>
              <w:t>情节后果</w:t>
            </w:r>
          </w:p>
        </w:tc>
        <w:tc>
          <w:tcPr>
            <w:tcW w:w="7140" w:type="dxa"/>
            <w:vAlign w:val="top"/>
          </w:tcPr>
          <w:p>
            <w:pPr>
              <w:pStyle w:val="TableText"/>
              <w:ind w:left="3009"/>
              <w:spacing w:before="89" w:line="218" w:lineRule="auto"/>
              <w:rPr>
                <w:sz w:val="26"/>
                <w:szCs w:val="26"/>
              </w:rPr>
            </w:pPr>
            <w:r>
              <w:rPr>
                <w:sz w:val="26"/>
                <w:szCs w:val="26"/>
                <w:b/>
                <w:bCs/>
                <w:spacing w:val="-5"/>
              </w:rPr>
              <w:t>裁量幅度</w:t>
            </w:r>
          </w:p>
        </w:tc>
      </w:tr>
      <w:tr>
        <w:trPr>
          <w:trHeight w:val="669" w:hRule="atLeast"/>
        </w:trPr>
        <w:tc>
          <w:tcPr>
            <w:tcW w:w="1413" w:type="dxa"/>
            <w:vAlign w:val="top"/>
          </w:tcPr>
          <w:p>
            <w:pPr>
              <w:pStyle w:val="TableText"/>
              <w:ind w:left="438"/>
              <w:spacing w:before="212" w:line="221" w:lineRule="auto"/>
              <w:rPr>
                <w:sz w:val="26"/>
                <w:szCs w:val="26"/>
              </w:rPr>
            </w:pPr>
            <w:r>
              <w:rPr>
                <w:sz w:val="26"/>
                <w:szCs w:val="26"/>
                <w:b/>
                <w:bCs/>
                <w:spacing w:val="-10"/>
              </w:rPr>
              <w:t>一般</w:t>
            </w:r>
          </w:p>
        </w:tc>
        <w:tc>
          <w:tcPr>
            <w:tcW w:w="5606" w:type="dxa"/>
            <w:vAlign w:val="top"/>
          </w:tcPr>
          <w:p>
            <w:pPr>
              <w:pStyle w:val="TableText"/>
              <w:ind w:left="125" w:hanging="110"/>
              <w:spacing w:before="70" w:line="209" w:lineRule="auto"/>
              <w:rPr>
                <w:sz w:val="26"/>
                <w:szCs w:val="26"/>
              </w:rPr>
            </w:pPr>
            <w:r>
              <w:rPr>
                <w:sz w:val="26"/>
                <w:szCs w:val="26"/>
                <w:b/>
                <w:bCs/>
                <w:spacing w:val="-9"/>
              </w:rPr>
              <w:t>血站采血前未向献血者、特殊血液成分捐赠</w:t>
            </w:r>
            <w:r>
              <w:rPr>
                <w:sz w:val="26"/>
                <w:szCs w:val="26"/>
                <w:b/>
                <w:bCs/>
                <w:spacing w:val="-10"/>
              </w:rPr>
              <w:t>者履行</w:t>
            </w:r>
            <w:r>
              <w:rPr>
                <w:sz w:val="26"/>
                <w:szCs w:val="26"/>
              </w:rPr>
              <w:t xml:space="preserve"> </w:t>
            </w:r>
            <w:r>
              <w:rPr>
                <w:sz w:val="26"/>
                <w:szCs w:val="26"/>
                <w:b/>
                <w:bCs/>
                <w:spacing w:val="-2"/>
              </w:rPr>
              <w:t>规定的告知义务的</w:t>
            </w:r>
          </w:p>
        </w:tc>
        <w:tc>
          <w:tcPr>
            <w:tcW w:w="7140" w:type="dxa"/>
            <w:vAlign w:val="top"/>
          </w:tcPr>
          <w:p>
            <w:pPr>
              <w:pStyle w:val="TableText"/>
              <w:ind w:left="129"/>
              <w:spacing w:before="208" w:line="218" w:lineRule="auto"/>
              <w:rPr>
                <w:sz w:val="26"/>
                <w:szCs w:val="26"/>
              </w:rPr>
            </w:pPr>
            <w:r>
              <w:rPr>
                <w:sz w:val="26"/>
                <w:szCs w:val="26"/>
                <w:b/>
                <w:bCs/>
                <w:spacing w:val="-3"/>
              </w:rPr>
              <w:t>由县级以上地方人民政府卫生行政部门予以警告、责令改正</w:t>
            </w:r>
          </w:p>
        </w:tc>
      </w:tr>
    </w:tbl>
    <w:p>
      <w:pPr>
        <w:pStyle w:val="BodyText"/>
        <w:spacing w:line="456" w:lineRule="auto"/>
        <w:rPr/>
      </w:pPr>
      <w:r/>
    </w:p>
    <w:p>
      <w:pPr>
        <w:ind w:left="749"/>
        <w:spacing w:before="98" w:line="219" w:lineRule="auto"/>
        <w:rPr>
          <w:rFonts w:ascii="FangSong" w:hAnsi="FangSong" w:eastAsia="FangSong" w:cs="FangSong"/>
          <w:sz w:val="30"/>
          <w:szCs w:val="30"/>
        </w:rPr>
      </w:pPr>
      <w:r>
        <w:rPr>
          <w:rFonts w:ascii="FangSong" w:hAnsi="FangSong" w:eastAsia="FangSong" w:cs="FangSong"/>
          <w:sz w:val="30"/>
          <w:szCs w:val="30"/>
          <w:b/>
          <w:bCs/>
          <w:spacing w:val="22"/>
        </w:rPr>
        <w:t>第三百六十七条血站擅自涂改、毁损或者不按规定保存工作记录的</w:t>
      </w:r>
    </w:p>
    <w:p>
      <w:pPr>
        <w:ind w:left="744"/>
        <w:spacing w:before="63" w:line="222" w:lineRule="auto"/>
        <w:rPr>
          <w:rFonts w:ascii="FangSong" w:hAnsi="FangSong" w:eastAsia="FangSong" w:cs="FangSong"/>
          <w:sz w:val="30"/>
          <w:szCs w:val="30"/>
        </w:rPr>
      </w:pPr>
      <w:r>
        <w:rPr>
          <w:rFonts w:ascii="FangSong" w:hAnsi="FangSong" w:eastAsia="FangSong" w:cs="FangSong"/>
          <w:sz w:val="30"/>
          <w:szCs w:val="30"/>
          <w:spacing w:val="30"/>
        </w:rPr>
        <w:t>法律依据：</w:t>
      </w:r>
    </w:p>
    <w:p>
      <w:pPr>
        <w:ind w:left="734"/>
        <w:spacing w:before="106" w:line="221" w:lineRule="auto"/>
        <w:rPr>
          <w:rFonts w:ascii="FangSong" w:hAnsi="FangSong" w:eastAsia="FangSong" w:cs="FangSong"/>
          <w:sz w:val="30"/>
          <w:szCs w:val="30"/>
        </w:rPr>
      </w:pPr>
      <w:r>
        <w:rPr>
          <w:rFonts w:ascii="FangSong" w:hAnsi="FangSong" w:eastAsia="FangSong" w:cs="FangSong"/>
          <w:sz w:val="30"/>
          <w:szCs w:val="30"/>
          <w:spacing w:val="23"/>
        </w:rPr>
        <w:t>《血站管理办法》第六十一条第(九)项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血站有下列行为之一的，由县级以上地方人民政府卫</w:t>
      </w:r>
    </w:p>
    <w:p>
      <w:pPr>
        <w:spacing w:line="221" w:lineRule="auto"/>
        <w:sectPr>
          <w:footerReference w:type="default" r:id="rId406"/>
          <w:pgSz w:w="16830" w:h="11900"/>
          <w:pgMar w:top="1011" w:right="1335" w:bottom="1126" w:left="1325" w:header="0" w:footer="802" w:gutter="0"/>
        </w:sectPr>
        <w:rPr>
          <w:rFonts w:ascii="FangSong" w:hAnsi="FangSong" w:eastAsia="FangSong" w:cs="FangSong"/>
          <w:sz w:val="30"/>
          <w:szCs w:val="30"/>
        </w:rPr>
      </w:pPr>
    </w:p>
    <w:p>
      <w:pPr>
        <w:pStyle w:val="BodyText"/>
        <w:spacing w:line="262" w:lineRule="auto"/>
        <w:rPr/>
      </w:pPr>
      <w:r/>
    </w:p>
    <w:p>
      <w:pPr>
        <w:pStyle w:val="BodyText"/>
        <w:spacing w:line="262" w:lineRule="auto"/>
        <w:rPr/>
      </w:pPr>
      <w:r/>
    </w:p>
    <w:p>
      <w:pPr>
        <w:pStyle w:val="BodyText"/>
        <w:spacing w:line="262" w:lineRule="auto"/>
        <w:rPr/>
      </w:pPr>
      <w:r/>
    </w:p>
    <w:p>
      <w:pPr>
        <w:ind w:left="145" w:right="138"/>
        <w:spacing w:before="94" w:line="302" w:lineRule="auto"/>
        <w:jc w:val="both"/>
        <w:rPr>
          <w:rFonts w:ascii="FangSong" w:hAnsi="FangSong" w:eastAsia="FangSong" w:cs="FangSong"/>
          <w:sz w:val="25"/>
          <w:szCs w:val="25"/>
        </w:rPr>
      </w:pPr>
      <w:r>
        <w:rPr>
          <w:rFonts w:ascii="FangSong" w:hAnsi="FangSong" w:eastAsia="FangSong" w:cs="FangSong"/>
          <w:sz w:val="29"/>
          <w:szCs w:val="29"/>
          <w:spacing w:val="26"/>
        </w:rPr>
        <w:t>生计生行政部门予以警告、责令改正；逾期不改正，或者造成经血液传播疾病发生，或者其他严重后</w:t>
      </w:r>
      <w:r>
        <w:rPr>
          <w:rFonts w:ascii="FangSong" w:hAnsi="FangSong" w:eastAsia="FangSong" w:cs="FangSong"/>
          <w:sz w:val="29"/>
          <w:szCs w:val="29"/>
          <w:spacing w:val="9"/>
        </w:rPr>
        <w:t xml:space="preserve"> </w:t>
      </w:r>
      <w:r>
        <w:rPr>
          <w:rFonts w:ascii="FangSong" w:hAnsi="FangSong" w:eastAsia="FangSong" w:cs="FangSong"/>
          <w:sz w:val="29"/>
          <w:szCs w:val="29"/>
          <w:spacing w:val="26"/>
        </w:rPr>
        <w:t>果的，对负有责任的主管人员和其他直接负责人员，依法给予行政处分；构成犯罪的，依法追究刑事</w:t>
      </w:r>
      <w:r>
        <w:rPr>
          <w:rFonts w:ascii="FangSong" w:hAnsi="FangSong" w:eastAsia="FangSong" w:cs="FangSong"/>
          <w:sz w:val="29"/>
          <w:szCs w:val="29"/>
          <w:spacing w:val="10"/>
        </w:rPr>
        <w:t xml:space="preserve"> </w:t>
      </w:r>
      <w:r>
        <w:rPr>
          <w:rFonts w:ascii="FangSong" w:hAnsi="FangSong" w:eastAsia="FangSong" w:cs="FangSong"/>
          <w:sz w:val="25"/>
          <w:szCs w:val="25"/>
          <w:spacing w:val="-12"/>
        </w:rPr>
        <w:t>责</w:t>
      </w:r>
      <w:r>
        <w:rPr>
          <w:rFonts w:ascii="FangSong" w:hAnsi="FangSong" w:eastAsia="FangSong" w:cs="FangSong"/>
          <w:sz w:val="25"/>
          <w:szCs w:val="25"/>
          <w:spacing w:val="-24"/>
        </w:rPr>
        <w:t xml:space="preserve"> </w:t>
      </w:r>
      <w:r>
        <w:rPr>
          <w:rFonts w:ascii="FangSong" w:hAnsi="FangSong" w:eastAsia="FangSong" w:cs="FangSong"/>
          <w:sz w:val="25"/>
          <w:szCs w:val="25"/>
          <w:spacing w:val="-12"/>
        </w:rPr>
        <w:t>任</w:t>
      </w:r>
      <w:r>
        <w:rPr>
          <w:rFonts w:ascii="FangSong" w:hAnsi="FangSong" w:eastAsia="FangSong" w:cs="FangSong"/>
          <w:sz w:val="25"/>
          <w:szCs w:val="25"/>
          <w:spacing w:val="-41"/>
        </w:rPr>
        <w:t xml:space="preserve"> </w:t>
      </w:r>
      <w:r>
        <w:rPr>
          <w:rFonts w:ascii="FangSong" w:hAnsi="FangSong" w:eastAsia="FangSong" w:cs="FangSong"/>
          <w:sz w:val="25"/>
          <w:szCs w:val="25"/>
          <w:spacing w:val="-12"/>
        </w:rPr>
        <w:t>：</w:t>
      </w:r>
    </w:p>
    <w:p>
      <w:pPr>
        <w:ind w:left="924"/>
        <w:spacing w:line="219" w:lineRule="auto"/>
        <w:rPr>
          <w:rFonts w:ascii="FangSong" w:hAnsi="FangSong" w:eastAsia="FangSong" w:cs="FangSong"/>
          <w:sz w:val="29"/>
          <w:szCs w:val="29"/>
        </w:rPr>
      </w:pPr>
      <w:r>
        <w:rPr>
          <w:rFonts w:ascii="FangSong" w:hAnsi="FangSong" w:eastAsia="FangSong" w:cs="FangSong"/>
          <w:sz w:val="29"/>
          <w:szCs w:val="29"/>
          <w:spacing w:val="33"/>
        </w:rPr>
        <w:t>(九)擅自涂改、毁损或者不按规定保存工作记录的；</w:t>
      </w:r>
    </w:p>
    <w:p>
      <w:pPr>
        <w:ind w:left="6539"/>
        <w:spacing w:before="145" w:line="221" w:lineRule="auto"/>
        <w:rPr>
          <w:rFonts w:ascii="SimHei" w:hAnsi="SimHei" w:eastAsia="SimHei" w:cs="SimHei"/>
          <w:sz w:val="29"/>
          <w:szCs w:val="29"/>
        </w:rPr>
      </w:pPr>
      <w:r>
        <w:rPr>
          <w:rFonts w:ascii="SimHei" w:hAnsi="SimHei" w:eastAsia="SimHei" w:cs="SimHei"/>
          <w:sz w:val="29"/>
          <w:szCs w:val="29"/>
          <w:b/>
          <w:bCs/>
          <w:spacing w:val="-6"/>
        </w:rPr>
        <w:t>裁量标准</w:t>
      </w:r>
    </w:p>
    <w:p>
      <w:pPr>
        <w:spacing w:line="82" w:lineRule="exact"/>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4"/>
        <w:gridCol w:w="5586"/>
        <w:gridCol w:w="7130"/>
      </w:tblGrid>
      <w:tr>
        <w:trPr>
          <w:trHeight w:val="441" w:hRule="atLeast"/>
        </w:trPr>
        <w:tc>
          <w:tcPr>
            <w:tcW w:w="1454" w:type="dxa"/>
            <w:vAlign w:val="top"/>
          </w:tcPr>
          <w:p>
            <w:pPr>
              <w:pStyle w:val="TableText"/>
              <w:ind w:left="198"/>
              <w:spacing w:before="92" w:line="220" w:lineRule="auto"/>
              <w:rPr>
                <w:sz w:val="26"/>
                <w:szCs w:val="26"/>
              </w:rPr>
            </w:pPr>
            <w:r>
              <w:rPr>
                <w:sz w:val="26"/>
                <w:szCs w:val="26"/>
                <w:b/>
                <w:bCs/>
                <w:spacing w:val="-5"/>
              </w:rPr>
              <w:t>违法程度</w:t>
            </w:r>
          </w:p>
        </w:tc>
        <w:tc>
          <w:tcPr>
            <w:tcW w:w="5586" w:type="dxa"/>
            <w:vAlign w:val="top"/>
          </w:tcPr>
          <w:p>
            <w:pPr>
              <w:pStyle w:val="TableText"/>
              <w:ind w:left="2264"/>
              <w:spacing w:before="92" w:line="220" w:lineRule="auto"/>
              <w:rPr>
                <w:sz w:val="26"/>
                <w:szCs w:val="26"/>
              </w:rPr>
            </w:pPr>
            <w:r>
              <w:rPr>
                <w:sz w:val="26"/>
                <w:szCs w:val="26"/>
                <w:b/>
                <w:bCs/>
                <w:spacing w:val="-5"/>
              </w:rPr>
              <w:t>情节后果</w:t>
            </w:r>
          </w:p>
        </w:tc>
        <w:tc>
          <w:tcPr>
            <w:tcW w:w="7130" w:type="dxa"/>
            <w:vAlign w:val="top"/>
          </w:tcPr>
          <w:p>
            <w:pPr>
              <w:pStyle w:val="TableText"/>
              <w:ind w:left="2998"/>
              <w:spacing w:before="89" w:line="218" w:lineRule="auto"/>
              <w:rPr>
                <w:sz w:val="26"/>
                <w:szCs w:val="26"/>
              </w:rPr>
            </w:pPr>
            <w:r>
              <w:rPr>
                <w:sz w:val="26"/>
                <w:szCs w:val="26"/>
                <w:b/>
                <w:bCs/>
                <w:spacing w:val="-5"/>
              </w:rPr>
              <w:t>裁量幅度</w:t>
            </w:r>
          </w:p>
        </w:tc>
      </w:tr>
      <w:tr>
        <w:trPr>
          <w:trHeight w:val="589" w:hRule="atLeast"/>
        </w:trPr>
        <w:tc>
          <w:tcPr>
            <w:tcW w:w="1454" w:type="dxa"/>
            <w:vAlign w:val="top"/>
          </w:tcPr>
          <w:p>
            <w:pPr>
              <w:pStyle w:val="TableText"/>
              <w:ind w:left="458"/>
              <w:spacing w:before="172" w:line="221" w:lineRule="auto"/>
              <w:rPr>
                <w:sz w:val="26"/>
                <w:szCs w:val="26"/>
              </w:rPr>
            </w:pPr>
            <w:r>
              <w:rPr>
                <w:sz w:val="26"/>
                <w:szCs w:val="26"/>
                <w:b/>
                <w:bCs/>
                <w:spacing w:val="-10"/>
              </w:rPr>
              <w:t>一般</w:t>
            </w:r>
          </w:p>
        </w:tc>
        <w:tc>
          <w:tcPr>
            <w:tcW w:w="5586" w:type="dxa"/>
            <w:vAlign w:val="top"/>
          </w:tcPr>
          <w:p>
            <w:pPr>
              <w:pStyle w:val="TableText"/>
              <w:spacing w:before="171" w:line="219" w:lineRule="auto"/>
              <w:jc w:val="right"/>
              <w:rPr>
                <w:sz w:val="26"/>
                <w:szCs w:val="26"/>
              </w:rPr>
            </w:pPr>
            <w:r>
              <w:rPr>
                <w:sz w:val="26"/>
                <w:szCs w:val="26"/>
                <w:b/>
                <w:bCs/>
                <w:spacing w:val="-10"/>
              </w:rPr>
              <w:t>血站擅自涂改、毁损或者不按规定保存工作记录的</w:t>
            </w:r>
          </w:p>
        </w:tc>
        <w:tc>
          <w:tcPr>
            <w:tcW w:w="7130" w:type="dxa"/>
            <w:vAlign w:val="top"/>
          </w:tcPr>
          <w:p>
            <w:pPr>
              <w:pStyle w:val="TableText"/>
              <w:ind w:left="118"/>
              <w:spacing w:before="168" w:line="218" w:lineRule="auto"/>
              <w:rPr>
                <w:sz w:val="26"/>
                <w:szCs w:val="26"/>
              </w:rPr>
            </w:pPr>
            <w:r>
              <w:rPr>
                <w:sz w:val="26"/>
                <w:szCs w:val="26"/>
                <w:b/>
                <w:bCs/>
                <w:spacing w:val="-3"/>
              </w:rPr>
              <w:t>由县级以上地方人民政府卫生行政部门予以警告、责令改正</w:t>
            </w:r>
          </w:p>
        </w:tc>
      </w:tr>
    </w:tbl>
    <w:p>
      <w:pPr>
        <w:pStyle w:val="BodyText"/>
        <w:spacing w:line="392" w:lineRule="auto"/>
        <w:rPr/>
      </w:pPr>
      <w:r/>
    </w:p>
    <w:p>
      <w:pPr>
        <w:ind w:left="809"/>
        <w:spacing w:before="108" w:line="219" w:lineRule="auto"/>
        <w:rPr>
          <w:rFonts w:ascii="SimSun" w:hAnsi="SimSun" w:eastAsia="SimSun" w:cs="SimSun"/>
          <w:sz w:val="33"/>
          <w:szCs w:val="33"/>
        </w:rPr>
      </w:pPr>
      <w:r>
        <w:rPr>
          <w:rFonts w:ascii="SimSun" w:hAnsi="SimSun" w:eastAsia="SimSun" w:cs="SimSun"/>
          <w:sz w:val="33"/>
          <w:szCs w:val="33"/>
          <w:b/>
          <w:bCs/>
          <w:spacing w:val="-3"/>
        </w:rPr>
        <w:t>第三百六十八条血站使用的药品、体外诊断试剂、一次性卫生器材不符合国家有</w:t>
      </w:r>
      <w:r>
        <w:rPr>
          <w:rFonts w:ascii="SimSun" w:hAnsi="SimSun" w:eastAsia="SimSun" w:cs="SimSun"/>
          <w:sz w:val="33"/>
          <w:szCs w:val="33"/>
          <w:b/>
          <w:bCs/>
          <w:spacing w:val="-4"/>
        </w:rPr>
        <w:t>关规定的</w:t>
      </w:r>
    </w:p>
    <w:p>
      <w:pPr>
        <w:ind w:left="804"/>
        <w:spacing w:before="63" w:line="219" w:lineRule="auto"/>
        <w:rPr>
          <w:rFonts w:ascii="SimSun" w:hAnsi="SimSun" w:eastAsia="SimSun" w:cs="SimSun"/>
          <w:sz w:val="33"/>
          <w:szCs w:val="33"/>
        </w:rPr>
      </w:pPr>
      <w:r>
        <w:rPr>
          <w:rFonts w:ascii="SimSun" w:hAnsi="SimSun" w:eastAsia="SimSun" w:cs="SimSun"/>
          <w:sz w:val="33"/>
          <w:szCs w:val="33"/>
          <w:spacing w:val="-1"/>
        </w:rPr>
        <w:t>法律依据：</w:t>
      </w:r>
    </w:p>
    <w:p>
      <w:pPr>
        <w:ind w:left="145" w:firstLine="604"/>
        <w:spacing w:before="47" w:line="245" w:lineRule="auto"/>
        <w:jc w:val="both"/>
        <w:rPr>
          <w:rFonts w:ascii="SimSun" w:hAnsi="SimSun" w:eastAsia="SimSun" w:cs="SimSun"/>
          <w:sz w:val="33"/>
          <w:szCs w:val="33"/>
        </w:rPr>
      </w:pPr>
      <w:r>
        <w:rPr>
          <w:rFonts w:ascii="SimSun" w:hAnsi="SimSun" w:eastAsia="SimSun" w:cs="SimSun"/>
          <w:sz w:val="33"/>
          <w:szCs w:val="33"/>
        </w:rPr>
        <w:t>《血站管理办法》第六十一条第(十)项 血站有下列行为之一的，由县级以上地方人民政府卫</w:t>
      </w:r>
      <w:r>
        <w:rPr>
          <w:rFonts w:ascii="SimSun" w:hAnsi="SimSun" w:eastAsia="SimSun" w:cs="SimSun"/>
          <w:sz w:val="33"/>
          <w:szCs w:val="33"/>
          <w:spacing w:val="14"/>
        </w:rPr>
        <w:t xml:space="preserve"> </w:t>
      </w:r>
      <w:r>
        <w:rPr>
          <w:rFonts w:ascii="SimSun" w:hAnsi="SimSun" w:eastAsia="SimSun" w:cs="SimSun"/>
          <w:sz w:val="33"/>
          <w:szCs w:val="33"/>
          <w:spacing w:val="-11"/>
        </w:rPr>
        <w:t>生计生行政部门予以警告、责令改正；逾期不改正，或者造成经血液传播疾病发生，或者其他严重后</w:t>
      </w:r>
      <w:r>
        <w:rPr>
          <w:rFonts w:ascii="SimSun" w:hAnsi="SimSun" w:eastAsia="SimSun" w:cs="SimSun"/>
          <w:sz w:val="33"/>
          <w:szCs w:val="33"/>
          <w:spacing w:val="16"/>
        </w:rPr>
        <w:t xml:space="preserve"> </w:t>
      </w:r>
      <w:r>
        <w:rPr>
          <w:rFonts w:ascii="SimSun" w:hAnsi="SimSun" w:eastAsia="SimSun" w:cs="SimSun"/>
          <w:sz w:val="33"/>
          <w:szCs w:val="33"/>
          <w:spacing w:val="-11"/>
        </w:rPr>
        <w:t>果的，对负有责任的主管人员和其他直接负责人员，依法给予行政处分；构成犯罪的，依法追究刑事</w:t>
      </w:r>
      <w:r>
        <w:rPr>
          <w:rFonts w:ascii="SimSun" w:hAnsi="SimSun" w:eastAsia="SimSun" w:cs="SimSun"/>
          <w:sz w:val="33"/>
          <w:szCs w:val="33"/>
          <w:spacing w:val="8"/>
        </w:rPr>
        <w:t xml:space="preserve"> </w:t>
      </w:r>
      <w:r>
        <w:rPr>
          <w:rFonts w:ascii="SimSun" w:hAnsi="SimSun" w:eastAsia="SimSun" w:cs="SimSun"/>
          <w:sz w:val="33"/>
          <w:szCs w:val="33"/>
          <w:spacing w:val="-2"/>
        </w:rPr>
        <w:t>责任：</w:t>
      </w:r>
    </w:p>
    <w:p>
      <w:pPr>
        <w:ind w:left="924"/>
        <w:spacing w:before="1" w:line="218" w:lineRule="auto"/>
        <w:rPr>
          <w:rFonts w:ascii="SimSun" w:hAnsi="SimSun" w:eastAsia="SimSun" w:cs="SimSun"/>
          <w:sz w:val="33"/>
          <w:szCs w:val="33"/>
        </w:rPr>
      </w:pPr>
      <w:r>
        <w:rPr>
          <w:rFonts w:ascii="SimSun" w:hAnsi="SimSun" w:eastAsia="SimSun" w:cs="SimSun"/>
          <w:sz w:val="33"/>
          <w:szCs w:val="33"/>
          <w:spacing w:val="2"/>
        </w:rPr>
        <w:t>(十)使用的药品、体外诊断试剂、</w:t>
      </w:r>
      <w:r>
        <w:rPr>
          <w:rFonts w:ascii="SimSun" w:hAnsi="SimSun" w:eastAsia="SimSun" w:cs="SimSun"/>
          <w:sz w:val="33"/>
          <w:szCs w:val="33"/>
          <w:spacing w:val="-66"/>
        </w:rPr>
        <w:t xml:space="preserve"> </w:t>
      </w:r>
      <w:r>
        <w:rPr>
          <w:rFonts w:ascii="SimSun" w:hAnsi="SimSun" w:eastAsia="SimSun" w:cs="SimSun"/>
          <w:sz w:val="33"/>
          <w:szCs w:val="33"/>
          <w:spacing w:val="2"/>
        </w:rPr>
        <w:t>一次性卫生器材不符合国家有关规</w:t>
      </w:r>
      <w:r>
        <w:rPr>
          <w:rFonts w:ascii="SimSun" w:hAnsi="SimSun" w:eastAsia="SimSun" w:cs="SimSun"/>
          <w:sz w:val="33"/>
          <w:szCs w:val="33"/>
          <w:spacing w:val="1"/>
        </w:rPr>
        <w:t>定的；</w:t>
      </w:r>
    </w:p>
    <w:p>
      <w:pPr>
        <w:ind w:left="6549"/>
        <w:spacing w:before="157" w:line="220" w:lineRule="auto"/>
        <w:rPr>
          <w:rFonts w:ascii="SimSun" w:hAnsi="SimSun" w:eastAsia="SimSun" w:cs="SimSun"/>
          <w:sz w:val="33"/>
          <w:szCs w:val="33"/>
        </w:rPr>
      </w:pPr>
      <w:r>
        <w:rPr>
          <w:rFonts w:ascii="SimSun" w:hAnsi="SimSun" w:eastAsia="SimSun" w:cs="SimSun"/>
          <w:sz w:val="33"/>
          <w:szCs w:val="33"/>
          <w:b/>
          <w:bCs/>
          <w:spacing w:val="-2"/>
        </w:rPr>
        <w:t>裁量标准</w:t>
      </w:r>
    </w:p>
    <w:p>
      <w:pPr>
        <w:spacing w:line="62" w:lineRule="exact"/>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4"/>
        <w:gridCol w:w="6525"/>
        <w:gridCol w:w="6191"/>
      </w:tblGrid>
      <w:tr>
        <w:trPr>
          <w:trHeight w:val="409" w:hRule="atLeast"/>
        </w:trPr>
        <w:tc>
          <w:tcPr>
            <w:tcW w:w="1454" w:type="dxa"/>
            <w:vAlign w:val="top"/>
          </w:tcPr>
          <w:p>
            <w:pPr>
              <w:pStyle w:val="TableText"/>
              <w:ind w:left="159"/>
              <w:spacing w:before="62" w:line="214" w:lineRule="auto"/>
              <w:rPr>
                <w:sz w:val="29"/>
                <w:szCs w:val="29"/>
              </w:rPr>
            </w:pPr>
            <w:r>
              <w:rPr>
                <w:sz w:val="29"/>
                <w:szCs w:val="29"/>
                <w:b/>
                <w:bCs/>
                <w:spacing w:val="-1"/>
              </w:rPr>
              <w:t>违法程度</w:t>
            </w:r>
          </w:p>
        </w:tc>
        <w:tc>
          <w:tcPr>
            <w:tcW w:w="6525" w:type="dxa"/>
            <w:vAlign w:val="top"/>
          </w:tcPr>
          <w:p>
            <w:pPr>
              <w:pStyle w:val="TableText"/>
              <w:ind w:left="2695"/>
              <w:spacing w:before="62" w:line="214" w:lineRule="auto"/>
              <w:rPr>
                <w:sz w:val="29"/>
                <w:szCs w:val="29"/>
              </w:rPr>
            </w:pPr>
            <w:r>
              <w:rPr>
                <w:sz w:val="29"/>
                <w:szCs w:val="29"/>
                <w:b/>
                <w:bCs/>
                <w:spacing w:val="-1"/>
              </w:rPr>
              <w:t>情节后果</w:t>
            </w:r>
          </w:p>
        </w:tc>
        <w:tc>
          <w:tcPr>
            <w:tcW w:w="6191" w:type="dxa"/>
            <w:vAlign w:val="top"/>
          </w:tcPr>
          <w:p>
            <w:pPr>
              <w:pStyle w:val="TableText"/>
              <w:ind w:left="2540"/>
              <w:spacing w:before="59" w:line="216" w:lineRule="auto"/>
              <w:rPr>
                <w:sz w:val="29"/>
                <w:szCs w:val="29"/>
              </w:rPr>
            </w:pPr>
            <w:r>
              <w:rPr>
                <w:sz w:val="29"/>
                <w:szCs w:val="29"/>
                <w:b/>
                <w:bCs/>
                <w:spacing w:val="-1"/>
              </w:rPr>
              <w:t>裁量幅度</w:t>
            </w:r>
          </w:p>
        </w:tc>
      </w:tr>
    </w:tbl>
    <w:p>
      <w:pPr>
        <w:pStyle w:val="BodyText"/>
        <w:rPr/>
      </w:pPr>
      <w:r/>
    </w:p>
    <w:p>
      <w:pPr>
        <w:sectPr>
          <w:footerReference w:type="default" r:id="rId407"/>
          <w:pgSz w:w="16830" w:h="11900"/>
          <w:pgMar w:top="1011" w:right="1326" w:bottom="1117" w:left="1305" w:header="0" w:footer="784" w:gutter="0"/>
        </w:sectPr>
        <w:rPr/>
      </w:pPr>
    </w:p>
    <w:p>
      <w:pPr>
        <w:spacing w:before="13"/>
        <w:rPr/>
      </w:pPr>
      <w:r/>
    </w:p>
    <w:p>
      <w:pPr>
        <w:spacing w:before="13"/>
        <w:rPr/>
      </w:pPr>
      <w:r/>
    </w:p>
    <w:p>
      <w:pPr>
        <w:spacing w:before="13"/>
        <w:rPr/>
      </w:pPr>
      <w:r/>
    </w:p>
    <w:tbl>
      <w:tblPr>
        <w:tblStyle w:val="TableNormal"/>
        <w:tblW w:w="14159"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6535"/>
        <w:gridCol w:w="6190"/>
      </w:tblGrid>
      <w:tr>
        <w:trPr>
          <w:trHeight w:val="679" w:hRule="atLeast"/>
        </w:trPr>
        <w:tc>
          <w:tcPr>
            <w:tcW w:w="1434" w:type="dxa"/>
            <w:vAlign w:val="top"/>
          </w:tcPr>
          <w:p>
            <w:pPr>
              <w:pStyle w:val="TableText"/>
              <w:ind w:left="468"/>
              <w:spacing w:before="222" w:line="221" w:lineRule="auto"/>
              <w:rPr/>
            </w:pPr>
            <w:bookmarkStart w:name="bookmark1054" w:id="425"/>
            <w:bookmarkEnd w:id="425"/>
            <w:r>
              <w:rPr>
                <w:b/>
                <w:bCs/>
                <w:spacing w:val="-10"/>
              </w:rPr>
              <w:t>一般</w:t>
            </w:r>
          </w:p>
        </w:tc>
        <w:tc>
          <w:tcPr>
            <w:tcW w:w="6535" w:type="dxa"/>
            <w:vAlign w:val="top"/>
          </w:tcPr>
          <w:p>
            <w:pPr>
              <w:pStyle w:val="TableText"/>
              <w:ind w:left="110" w:right="149"/>
              <w:spacing w:before="84" w:line="225" w:lineRule="auto"/>
              <w:rPr/>
            </w:pPr>
            <w:r>
              <w:rPr>
                <w:spacing w:val="1"/>
              </w:rPr>
              <w:t>血站使用的药品、体外诊断试剂、一次性卫生器材不</w:t>
            </w:r>
            <w:r>
              <w:rPr/>
              <w:t>符合国 </w:t>
            </w:r>
            <w:r>
              <w:rPr>
                <w:spacing w:val="3"/>
              </w:rPr>
              <w:t>家有关规定的</w:t>
            </w:r>
          </w:p>
        </w:tc>
        <w:tc>
          <w:tcPr>
            <w:tcW w:w="6190" w:type="dxa"/>
            <w:vAlign w:val="top"/>
          </w:tcPr>
          <w:p>
            <w:pPr>
              <w:pStyle w:val="TableText"/>
              <w:ind w:right="23"/>
              <w:spacing w:before="72" w:line="218" w:lineRule="auto"/>
              <w:jc w:val="right"/>
              <w:rPr/>
            </w:pPr>
            <w:r>
              <w:rPr/>
              <w:t>由县级以上地方人民政府卫生行政部门予以警告、责令改</w:t>
            </w:r>
          </w:p>
          <w:p>
            <w:pPr>
              <w:pStyle w:val="TableText"/>
              <w:ind w:left="125"/>
              <w:spacing w:before="74" w:line="183" w:lineRule="auto"/>
              <w:rPr/>
            </w:pPr>
            <w:r>
              <w:rPr>
                <w:color w:val="505060"/>
              </w:rPr>
              <w:t>正</w:t>
            </w:r>
          </w:p>
        </w:tc>
      </w:tr>
    </w:tbl>
    <w:p>
      <w:pPr>
        <w:pStyle w:val="BodyText"/>
        <w:spacing w:line="437" w:lineRule="auto"/>
        <w:rPr/>
      </w:pPr>
      <w:r/>
    </w:p>
    <w:p>
      <w:pPr>
        <w:ind w:left="789"/>
        <w:spacing w:before="97" w:line="220" w:lineRule="auto"/>
        <w:rPr>
          <w:rFonts w:ascii="FangSong" w:hAnsi="FangSong" w:eastAsia="FangSong" w:cs="FangSong"/>
          <w:sz w:val="30"/>
          <w:szCs w:val="30"/>
        </w:rPr>
      </w:pPr>
      <w:r>
        <w:rPr>
          <w:rFonts w:ascii="FangSong" w:hAnsi="FangSong" w:eastAsia="FangSong" w:cs="FangSong"/>
          <w:sz w:val="30"/>
          <w:szCs w:val="30"/>
          <w:b/>
          <w:bCs/>
          <w:spacing w:val="24"/>
        </w:rPr>
        <w:t>第三百六十九条血站重复使用一次性卫生器材的</w:t>
      </w:r>
    </w:p>
    <w:p>
      <w:pPr>
        <w:ind w:left="784"/>
        <w:spacing w:before="120" w:line="222" w:lineRule="auto"/>
        <w:rPr>
          <w:rFonts w:ascii="FangSong" w:hAnsi="FangSong" w:eastAsia="FangSong" w:cs="FangSong"/>
          <w:sz w:val="30"/>
          <w:szCs w:val="30"/>
        </w:rPr>
      </w:pPr>
      <w:r>
        <w:rPr>
          <w:rFonts w:ascii="FangSong" w:hAnsi="FangSong" w:eastAsia="FangSong" w:cs="FangSong"/>
          <w:sz w:val="30"/>
          <w:szCs w:val="30"/>
          <w:spacing w:val="30"/>
        </w:rPr>
        <w:t>法律依据：</w:t>
      </w:r>
    </w:p>
    <w:p>
      <w:pPr>
        <w:ind w:left="145" w:right="89" w:firstLine="609"/>
        <w:spacing w:before="83" w:line="271" w:lineRule="auto"/>
        <w:jc w:val="both"/>
        <w:rPr>
          <w:rFonts w:ascii="FangSong" w:hAnsi="FangSong" w:eastAsia="FangSong" w:cs="FangSong"/>
          <w:sz w:val="30"/>
          <w:szCs w:val="30"/>
        </w:rPr>
      </w:pPr>
      <w:r>
        <w:rPr>
          <w:rFonts w:ascii="FangSong" w:hAnsi="FangSong" w:eastAsia="FangSong" w:cs="FangSong"/>
          <w:sz w:val="30"/>
          <w:szCs w:val="30"/>
          <w:spacing w:val="24"/>
        </w:rPr>
        <w:t>《血站管理办法》第六十一条第(十一)项</w:t>
      </w:r>
      <w:r>
        <w:rPr>
          <w:rFonts w:ascii="FangSong" w:hAnsi="FangSong" w:eastAsia="FangSong" w:cs="FangSong"/>
          <w:sz w:val="30"/>
          <w:szCs w:val="30"/>
          <w:spacing w:val="24"/>
        </w:rPr>
        <w:t xml:space="preserve">  </w:t>
      </w:r>
      <w:r>
        <w:rPr>
          <w:rFonts w:ascii="FangSong" w:hAnsi="FangSong" w:eastAsia="FangSong" w:cs="FangSong"/>
          <w:sz w:val="30"/>
          <w:szCs w:val="30"/>
          <w:spacing w:val="24"/>
        </w:rPr>
        <w:t>血站有下</w:t>
      </w:r>
      <w:r>
        <w:rPr>
          <w:rFonts w:ascii="FangSong" w:hAnsi="FangSong" w:eastAsia="FangSong" w:cs="FangSong"/>
          <w:sz w:val="30"/>
          <w:szCs w:val="30"/>
          <w:spacing w:val="23"/>
        </w:rPr>
        <w:t>列行为之一的，由县级以上地方人民政府</w:t>
      </w:r>
      <w:r>
        <w:rPr>
          <w:rFonts w:ascii="FangSong" w:hAnsi="FangSong" w:eastAsia="FangSong" w:cs="FangSong"/>
          <w:sz w:val="30"/>
          <w:szCs w:val="30"/>
        </w:rPr>
        <w:t xml:space="preserve"> </w:t>
      </w:r>
      <w:r>
        <w:rPr>
          <w:rFonts w:ascii="FangSong" w:hAnsi="FangSong" w:eastAsia="FangSong" w:cs="FangSong"/>
          <w:sz w:val="30"/>
          <w:szCs w:val="30"/>
          <w:spacing w:val="17"/>
        </w:rPr>
        <w:t>卫生计生行政部门予以警告、责令改正；逾期不改</w:t>
      </w:r>
      <w:r>
        <w:rPr>
          <w:rFonts w:ascii="FangSong" w:hAnsi="FangSong" w:eastAsia="FangSong" w:cs="FangSong"/>
          <w:sz w:val="30"/>
          <w:szCs w:val="30"/>
          <w:spacing w:val="16"/>
        </w:rPr>
        <w:t>正，或者造成经血液传播疾病发生，或者其他严重</w:t>
      </w:r>
      <w:r>
        <w:rPr>
          <w:rFonts w:ascii="FangSong" w:hAnsi="FangSong" w:eastAsia="FangSong" w:cs="FangSong"/>
          <w:sz w:val="30"/>
          <w:szCs w:val="30"/>
        </w:rPr>
        <w:t xml:space="preserve"> </w:t>
      </w:r>
      <w:r>
        <w:rPr>
          <w:rFonts w:ascii="FangSong" w:hAnsi="FangSong" w:eastAsia="FangSong" w:cs="FangSong"/>
          <w:sz w:val="30"/>
          <w:szCs w:val="30"/>
          <w:spacing w:val="17"/>
        </w:rPr>
        <w:t>后果的，对负有责任的主管人员和其他直接负责人员，依法给予行政处分；构成犯罪的，依法追究刑</w:t>
      </w:r>
      <w:r>
        <w:rPr>
          <w:rFonts w:ascii="FangSong" w:hAnsi="FangSong" w:eastAsia="FangSong" w:cs="FangSong"/>
          <w:sz w:val="30"/>
          <w:szCs w:val="30"/>
          <w:spacing w:val="6"/>
        </w:rPr>
        <w:t xml:space="preserve"> </w:t>
      </w:r>
      <w:r>
        <w:rPr>
          <w:rFonts w:ascii="FangSong" w:hAnsi="FangSong" w:eastAsia="FangSong" w:cs="FangSong"/>
          <w:sz w:val="30"/>
          <w:szCs w:val="30"/>
          <w:spacing w:val="-2"/>
        </w:rPr>
        <w:t>事责任：</w:t>
      </w:r>
    </w:p>
    <w:p>
      <w:pPr>
        <w:ind w:left="904"/>
        <w:spacing w:line="220" w:lineRule="auto"/>
        <w:rPr>
          <w:rFonts w:ascii="FangSong" w:hAnsi="FangSong" w:eastAsia="FangSong" w:cs="FangSong"/>
          <w:sz w:val="30"/>
          <w:szCs w:val="30"/>
        </w:rPr>
      </w:pPr>
      <w:r>
        <w:rPr>
          <w:rFonts w:ascii="FangSong" w:hAnsi="FangSong" w:eastAsia="FangSong" w:cs="FangSong"/>
          <w:sz w:val="30"/>
          <w:szCs w:val="30"/>
          <w:spacing w:val="24"/>
        </w:rPr>
        <w:t>(十一)重复使用一次性卫生器材的；</w:t>
      </w:r>
    </w:p>
    <w:p>
      <w:pPr>
        <w:ind w:left="6538"/>
        <w:spacing w:before="151"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80" w:lineRule="exact"/>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5596"/>
        <w:gridCol w:w="7130"/>
      </w:tblGrid>
      <w:tr>
        <w:trPr>
          <w:trHeight w:val="420" w:hRule="atLeast"/>
        </w:trPr>
        <w:tc>
          <w:tcPr>
            <w:tcW w:w="1444" w:type="dxa"/>
            <w:vAlign w:val="top"/>
          </w:tcPr>
          <w:p>
            <w:pPr>
              <w:pStyle w:val="TableText"/>
              <w:ind w:left="198"/>
              <w:spacing w:before="82" w:line="220" w:lineRule="auto"/>
              <w:rPr>
                <w:sz w:val="26"/>
                <w:szCs w:val="26"/>
              </w:rPr>
            </w:pPr>
            <w:r>
              <w:rPr>
                <w:sz w:val="26"/>
                <w:szCs w:val="26"/>
                <w:b/>
                <w:bCs/>
                <w:spacing w:val="-5"/>
              </w:rPr>
              <w:t>违法程度</w:t>
            </w:r>
          </w:p>
        </w:tc>
        <w:tc>
          <w:tcPr>
            <w:tcW w:w="5596" w:type="dxa"/>
            <w:vAlign w:val="top"/>
          </w:tcPr>
          <w:p>
            <w:pPr>
              <w:pStyle w:val="TableText"/>
              <w:ind w:left="2224"/>
              <w:spacing w:before="82" w:line="220" w:lineRule="auto"/>
              <w:rPr>
                <w:sz w:val="26"/>
                <w:szCs w:val="26"/>
              </w:rPr>
            </w:pPr>
            <w:r>
              <w:rPr>
                <w:sz w:val="26"/>
                <w:szCs w:val="26"/>
                <w:b/>
                <w:bCs/>
                <w:spacing w:val="-5"/>
              </w:rPr>
              <w:t>情节后果</w:t>
            </w:r>
          </w:p>
        </w:tc>
        <w:tc>
          <w:tcPr>
            <w:tcW w:w="7130" w:type="dxa"/>
            <w:vAlign w:val="top"/>
          </w:tcPr>
          <w:p>
            <w:pPr>
              <w:pStyle w:val="TableText"/>
              <w:ind w:left="2998"/>
              <w:spacing w:before="79" w:line="218" w:lineRule="auto"/>
              <w:rPr>
                <w:sz w:val="26"/>
                <w:szCs w:val="26"/>
              </w:rPr>
            </w:pPr>
            <w:r>
              <w:rPr>
                <w:sz w:val="26"/>
                <w:szCs w:val="26"/>
                <w:b/>
                <w:bCs/>
                <w:spacing w:val="-5"/>
              </w:rPr>
              <w:t>裁量幅度</w:t>
            </w:r>
          </w:p>
        </w:tc>
      </w:tr>
      <w:tr>
        <w:trPr>
          <w:trHeight w:val="459" w:hRule="atLeast"/>
        </w:trPr>
        <w:tc>
          <w:tcPr>
            <w:tcW w:w="1444" w:type="dxa"/>
            <w:vAlign w:val="top"/>
          </w:tcPr>
          <w:p>
            <w:pPr>
              <w:pStyle w:val="TableText"/>
              <w:ind w:left="458"/>
              <w:spacing w:before="103" w:line="221" w:lineRule="auto"/>
              <w:rPr>
                <w:sz w:val="26"/>
                <w:szCs w:val="26"/>
              </w:rPr>
            </w:pPr>
            <w:r>
              <w:rPr>
                <w:sz w:val="26"/>
                <w:szCs w:val="26"/>
                <w:b/>
                <w:bCs/>
                <w:spacing w:val="-10"/>
              </w:rPr>
              <w:t>一般</w:t>
            </w:r>
          </w:p>
        </w:tc>
        <w:tc>
          <w:tcPr>
            <w:tcW w:w="5596" w:type="dxa"/>
            <w:vAlign w:val="top"/>
          </w:tcPr>
          <w:p>
            <w:pPr>
              <w:pStyle w:val="TableText"/>
              <w:ind w:left="114"/>
              <w:spacing w:before="100" w:line="219" w:lineRule="auto"/>
              <w:rPr>
                <w:sz w:val="26"/>
                <w:szCs w:val="26"/>
              </w:rPr>
            </w:pPr>
            <w:r>
              <w:rPr>
                <w:sz w:val="26"/>
                <w:szCs w:val="26"/>
                <w:b/>
                <w:bCs/>
                <w:spacing w:val="-2"/>
              </w:rPr>
              <w:t>血站重复使用一次性卫生器材的</w:t>
            </w:r>
          </w:p>
        </w:tc>
        <w:tc>
          <w:tcPr>
            <w:tcW w:w="7130" w:type="dxa"/>
            <w:vAlign w:val="top"/>
          </w:tcPr>
          <w:p>
            <w:pPr>
              <w:pStyle w:val="TableText"/>
              <w:ind w:left="138"/>
              <w:spacing w:before="99" w:line="218" w:lineRule="auto"/>
              <w:rPr>
                <w:sz w:val="26"/>
                <w:szCs w:val="26"/>
              </w:rPr>
            </w:pPr>
            <w:r>
              <w:rPr>
                <w:sz w:val="26"/>
                <w:szCs w:val="26"/>
                <w:b/>
                <w:bCs/>
                <w:spacing w:val="-3"/>
              </w:rPr>
              <w:t>由县级以上地方人民政府卫生行政部门予以警告、责令改正</w:t>
            </w:r>
          </w:p>
        </w:tc>
      </w:tr>
    </w:tbl>
    <w:p>
      <w:pPr>
        <w:pStyle w:val="BodyText"/>
        <w:spacing w:line="427" w:lineRule="auto"/>
        <w:rPr/>
      </w:pPr>
      <w:r/>
    </w:p>
    <w:p>
      <w:pPr>
        <w:ind w:left="78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第三百七十条血站对检测不合格或者报废的血液，未按有关规定处理的</w:t>
      </w:r>
    </w:p>
    <w:p>
      <w:pPr>
        <w:ind w:left="784"/>
        <w:spacing w:before="81" w:line="222" w:lineRule="auto"/>
        <w:rPr>
          <w:rFonts w:ascii="FangSong" w:hAnsi="FangSong" w:eastAsia="FangSong" w:cs="FangSong"/>
          <w:sz w:val="30"/>
          <w:szCs w:val="30"/>
        </w:rPr>
      </w:pPr>
      <w:r>
        <w:rPr>
          <w:rFonts w:ascii="FangSong" w:hAnsi="FangSong" w:eastAsia="FangSong" w:cs="FangSong"/>
          <w:sz w:val="30"/>
          <w:szCs w:val="30"/>
          <w:spacing w:val="30"/>
        </w:rPr>
        <w:t>法律依据：</w:t>
      </w:r>
    </w:p>
    <w:p>
      <w:pPr>
        <w:ind w:left="145" w:right="117" w:firstLine="609"/>
        <w:spacing w:before="87" w:line="277" w:lineRule="auto"/>
        <w:rPr>
          <w:rFonts w:ascii="FangSong" w:hAnsi="FangSong" w:eastAsia="FangSong" w:cs="FangSong"/>
          <w:sz w:val="30"/>
          <w:szCs w:val="30"/>
        </w:rPr>
      </w:pPr>
      <w:r>
        <w:rPr>
          <w:rFonts w:ascii="FangSong" w:hAnsi="FangSong" w:eastAsia="FangSong" w:cs="FangSong"/>
          <w:sz w:val="30"/>
          <w:szCs w:val="30"/>
          <w:spacing w:val="24"/>
        </w:rPr>
        <w:t>《血站管理办法》第六十一条第(十二)项</w:t>
      </w:r>
      <w:r>
        <w:rPr>
          <w:rFonts w:ascii="FangSong" w:hAnsi="FangSong" w:eastAsia="FangSong" w:cs="FangSong"/>
          <w:sz w:val="30"/>
          <w:szCs w:val="30"/>
          <w:spacing w:val="24"/>
        </w:rPr>
        <w:t xml:space="preserve">  </w:t>
      </w:r>
      <w:r>
        <w:rPr>
          <w:rFonts w:ascii="FangSong" w:hAnsi="FangSong" w:eastAsia="FangSong" w:cs="FangSong"/>
          <w:sz w:val="30"/>
          <w:szCs w:val="30"/>
          <w:spacing w:val="24"/>
        </w:rPr>
        <w:t>血站有下</w:t>
      </w:r>
      <w:r>
        <w:rPr>
          <w:rFonts w:ascii="FangSong" w:hAnsi="FangSong" w:eastAsia="FangSong" w:cs="FangSong"/>
          <w:sz w:val="30"/>
          <w:szCs w:val="30"/>
          <w:spacing w:val="23"/>
        </w:rPr>
        <w:t>列行为之一的，由县级以上地方人民政府</w:t>
      </w:r>
      <w:r>
        <w:rPr>
          <w:rFonts w:ascii="FangSong" w:hAnsi="FangSong" w:eastAsia="FangSong" w:cs="FangSong"/>
          <w:sz w:val="30"/>
          <w:szCs w:val="30"/>
        </w:rPr>
        <w:t xml:space="preserve"> </w:t>
      </w:r>
      <w:r>
        <w:rPr>
          <w:rFonts w:ascii="FangSong" w:hAnsi="FangSong" w:eastAsia="FangSong" w:cs="FangSong"/>
          <w:sz w:val="30"/>
          <w:szCs w:val="30"/>
          <w:spacing w:val="17"/>
        </w:rPr>
        <w:t>卫生计生行政部门予以警告、责令改正；逾期不改</w:t>
      </w:r>
      <w:r>
        <w:rPr>
          <w:rFonts w:ascii="FangSong" w:hAnsi="FangSong" w:eastAsia="FangSong" w:cs="FangSong"/>
          <w:sz w:val="30"/>
          <w:szCs w:val="30"/>
          <w:spacing w:val="16"/>
        </w:rPr>
        <w:t>正，或者造成经血液传播疾病发生，或者其他严重</w:t>
      </w:r>
    </w:p>
    <w:p>
      <w:pPr>
        <w:spacing w:line="277" w:lineRule="auto"/>
        <w:sectPr>
          <w:footerReference w:type="default" r:id="rId408"/>
          <w:pgSz w:w="16830" w:h="11900"/>
          <w:pgMar w:top="1011" w:right="1335" w:bottom="1107" w:left="1305" w:header="0" w:footer="774" w:gutter="0"/>
        </w:sectPr>
        <w:rPr>
          <w:rFonts w:ascii="FangSong" w:hAnsi="FangSong" w:eastAsia="FangSong" w:cs="FangSong"/>
          <w:sz w:val="30"/>
          <w:szCs w:val="30"/>
        </w:rPr>
      </w:pPr>
    </w:p>
    <w:p>
      <w:pPr>
        <w:pStyle w:val="BodyText"/>
        <w:spacing w:line="271" w:lineRule="auto"/>
        <w:rPr/>
      </w:pPr>
      <w:r/>
    </w:p>
    <w:p>
      <w:pPr>
        <w:pStyle w:val="BodyText"/>
        <w:spacing w:line="272" w:lineRule="auto"/>
        <w:rPr/>
      </w:pPr>
      <w:r/>
    </w:p>
    <w:p>
      <w:pPr>
        <w:pStyle w:val="BodyText"/>
        <w:spacing w:line="272" w:lineRule="auto"/>
        <w:rPr/>
      </w:pPr>
      <w:r/>
    </w:p>
    <w:p>
      <w:pPr>
        <w:ind w:left="124" w:right="111"/>
        <w:spacing w:before="94" w:line="280" w:lineRule="auto"/>
        <w:rPr>
          <w:rFonts w:ascii="FangSong" w:hAnsi="FangSong" w:eastAsia="FangSong" w:cs="FangSong"/>
          <w:sz w:val="29"/>
          <w:szCs w:val="29"/>
        </w:rPr>
      </w:pPr>
      <w:bookmarkStart w:name="bookmark1055" w:id="426"/>
      <w:bookmarkEnd w:id="426"/>
      <w:r>
        <w:rPr>
          <w:rFonts w:ascii="FangSong" w:hAnsi="FangSong" w:eastAsia="FangSong" w:cs="FangSong"/>
          <w:sz w:val="29"/>
          <w:szCs w:val="29"/>
          <w:spacing w:val="27"/>
        </w:rPr>
        <w:t>后果的，对负有责任的主管人员和其他直接负责人员，依法给予行政处分；构成犯罪的，依法追究刑</w:t>
      </w:r>
      <w:r>
        <w:rPr>
          <w:rFonts w:ascii="FangSong" w:hAnsi="FangSong" w:eastAsia="FangSong" w:cs="FangSong"/>
          <w:sz w:val="29"/>
          <w:szCs w:val="29"/>
          <w:spacing w:val="4"/>
        </w:rPr>
        <w:t xml:space="preserve"> </w:t>
      </w:r>
      <w:r>
        <w:rPr>
          <w:rFonts w:ascii="FangSong" w:hAnsi="FangSong" w:eastAsia="FangSong" w:cs="FangSong"/>
          <w:sz w:val="29"/>
          <w:szCs w:val="29"/>
          <w:spacing w:val="6"/>
        </w:rPr>
        <w:t>事责任：</w:t>
      </w:r>
    </w:p>
    <w:p>
      <w:pPr>
        <w:ind w:left="904"/>
        <w:spacing w:line="220" w:lineRule="auto"/>
        <w:rPr>
          <w:rFonts w:ascii="FangSong" w:hAnsi="FangSong" w:eastAsia="FangSong" w:cs="FangSong"/>
          <w:sz w:val="29"/>
          <w:szCs w:val="29"/>
        </w:rPr>
      </w:pPr>
      <w:r>
        <w:rPr>
          <w:rFonts w:ascii="FangSong" w:hAnsi="FangSong" w:eastAsia="FangSong" w:cs="FangSong"/>
          <w:sz w:val="29"/>
          <w:szCs w:val="29"/>
          <w:spacing w:val="32"/>
        </w:rPr>
        <w:t>(十二)对检测不合格或者报废的血液，未按有关规定处理的；</w:t>
      </w:r>
    </w:p>
    <w:p>
      <w:pPr>
        <w:ind w:left="6539"/>
        <w:spacing w:before="173" w:line="221" w:lineRule="auto"/>
        <w:rPr>
          <w:rFonts w:ascii="SimHei" w:hAnsi="SimHei" w:eastAsia="SimHei" w:cs="SimHei"/>
          <w:sz w:val="29"/>
          <w:szCs w:val="29"/>
        </w:rPr>
      </w:pPr>
      <w:r>
        <w:rPr>
          <w:rFonts w:ascii="SimHei" w:hAnsi="SimHei" w:eastAsia="SimHei" w:cs="SimHei"/>
          <w:sz w:val="29"/>
          <w:szCs w:val="29"/>
          <w:b/>
          <w:bCs/>
          <w:spacing w:val="-6"/>
        </w:rPr>
        <w:t>裁量标准</w:t>
      </w:r>
    </w:p>
    <w:p>
      <w:pPr>
        <w:spacing w:line="72" w:lineRule="exact"/>
        <w:rPr/>
      </w:pPr>
      <w:r/>
    </w:p>
    <w:tbl>
      <w:tblPr>
        <w:tblStyle w:val="TableNormal"/>
        <w:tblW w:w="141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6305"/>
        <w:gridCol w:w="6430"/>
      </w:tblGrid>
      <w:tr>
        <w:trPr>
          <w:trHeight w:val="410" w:hRule="atLeast"/>
        </w:trPr>
        <w:tc>
          <w:tcPr>
            <w:tcW w:w="1444" w:type="dxa"/>
            <w:vAlign w:val="top"/>
          </w:tcPr>
          <w:p>
            <w:pPr>
              <w:pStyle w:val="TableText"/>
              <w:ind w:left="198"/>
              <w:spacing w:before="82" w:line="220" w:lineRule="auto"/>
              <w:rPr>
                <w:sz w:val="26"/>
                <w:szCs w:val="26"/>
              </w:rPr>
            </w:pPr>
            <w:r>
              <w:rPr>
                <w:sz w:val="26"/>
                <w:szCs w:val="26"/>
                <w:b/>
                <w:bCs/>
                <w:spacing w:val="-5"/>
              </w:rPr>
              <w:t>违法程度</w:t>
            </w:r>
          </w:p>
        </w:tc>
        <w:tc>
          <w:tcPr>
            <w:tcW w:w="6305" w:type="dxa"/>
            <w:vAlign w:val="top"/>
          </w:tcPr>
          <w:p>
            <w:pPr>
              <w:pStyle w:val="TableText"/>
              <w:ind w:left="2624"/>
              <w:spacing w:before="82" w:line="220" w:lineRule="auto"/>
              <w:rPr>
                <w:sz w:val="26"/>
                <w:szCs w:val="26"/>
              </w:rPr>
            </w:pPr>
            <w:r>
              <w:rPr>
                <w:sz w:val="26"/>
                <w:szCs w:val="26"/>
                <w:b/>
                <w:bCs/>
                <w:spacing w:val="-5"/>
              </w:rPr>
              <w:t>情节后果</w:t>
            </w:r>
          </w:p>
        </w:tc>
        <w:tc>
          <w:tcPr>
            <w:tcW w:w="6430" w:type="dxa"/>
            <w:vAlign w:val="top"/>
          </w:tcPr>
          <w:p>
            <w:pPr>
              <w:pStyle w:val="TableText"/>
              <w:ind w:left="2689"/>
              <w:spacing w:before="79" w:line="218" w:lineRule="auto"/>
              <w:rPr>
                <w:sz w:val="26"/>
                <w:szCs w:val="26"/>
              </w:rPr>
            </w:pPr>
            <w:r>
              <w:rPr>
                <w:sz w:val="26"/>
                <w:szCs w:val="26"/>
                <w:b/>
                <w:bCs/>
                <w:spacing w:val="-5"/>
              </w:rPr>
              <w:t>裁量幅度</w:t>
            </w:r>
          </w:p>
        </w:tc>
      </w:tr>
      <w:tr>
        <w:trPr>
          <w:trHeight w:val="569" w:hRule="atLeast"/>
        </w:trPr>
        <w:tc>
          <w:tcPr>
            <w:tcW w:w="1444" w:type="dxa"/>
            <w:vAlign w:val="top"/>
          </w:tcPr>
          <w:p>
            <w:pPr>
              <w:pStyle w:val="TableText"/>
              <w:ind w:left="458"/>
              <w:spacing w:before="163" w:line="221" w:lineRule="auto"/>
              <w:rPr>
                <w:sz w:val="26"/>
                <w:szCs w:val="26"/>
              </w:rPr>
            </w:pPr>
            <w:r>
              <w:rPr>
                <w:sz w:val="26"/>
                <w:szCs w:val="26"/>
                <w:b/>
                <w:bCs/>
                <w:spacing w:val="-10"/>
              </w:rPr>
              <w:t>一般</w:t>
            </w:r>
          </w:p>
        </w:tc>
        <w:tc>
          <w:tcPr>
            <w:tcW w:w="6305" w:type="dxa"/>
            <w:vAlign w:val="top"/>
          </w:tcPr>
          <w:p>
            <w:pPr>
              <w:pStyle w:val="TableText"/>
              <w:spacing w:before="162" w:line="219" w:lineRule="auto"/>
              <w:jc w:val="right"/>
              <w:rPr>
                <w:sz w:val="26"/>
                <w:szCs w:val="26"/>
              </w:rPr>
            </w:pPr>
            <w:r>
              <w:rPr>
                <w:sz w:val="26"/>
                <w:szCs w:val="26"/>
                <w:b/>
                <w:bCs/>
                <w:spacing w:val="-12"/>
              </w:rPr>
              <w:t>血站对检测不合格或者报废的血液，未按有关规定处理的</w:t>
            </w:r>
          </w:p>
        </w:tc>
        <w:tc>
          <w:tcPr>
            <w:tcW w:w="6430" w:type="dxa"/>
            <w:vAlign w:val="top"/>
          </w:tcPr>
          <w:p>
            <w:pPr>
              <w:pStyle w:val="TableText"/>
              <w:spacing w:before="159" w:line="218" w:lineRule="auto"/>
              <w:jc w:val="right"/>
              <w:rPr>
                <w:sz w:val="26"/>
                <w:szCs w:val="26"/>
              </w:rPr>
            </w:pPr>
            <w:r>
              <w:rPr>
                <w:sz w:val="26"/>
                <w:szCs w:val="26"/>
                <w:b/>
                <w:bCs/>
                <w:spacing w:val="-18"/>
              </w:rPr>
              <w:t>由</w:t>
            </w:r>
            <w:r>
              <w:rPr>
                <w:sz w:val="26"/>
                <w:szCs w:val="26"/>
                <w:b/>
                <w:bCs/>
                <w:spacing w:val="-17"/>
              </w:rPr>
              <w:t>县级以上地方人民政府卫生行政部门予以警告、责令改</w:t>
            </w:r>
            <w:r>
              <w:rPr>
                <w:sz w:val="26"/>
                <w:szCs w:val="26"/>
                <w:b/>
                <w:bCs/>
                <w:spacing w:val="-16"/>
              </w:rPr>
              <w:t>正</w:t>
            </w:r>
          </w:p>
        </w:tc>
      </w:tr>
    </w:tbl>
    <w:p>
      <w:pPr>
        <w:pStyle w:val="BodyText"/>
        <w:spacing w:line="470" w:lineRule="auto"/>
        <w:rPr/>
      </w:pPr>
      <w:r/>
    </w:p>
    <w:p>
      <w:pPr>
        <w:ind w:left="789"/>
        <w:spacing w:before="94" w:line="220" w:lineRule="auto"/>
        <w:rPr>
          <w:rFonts w:ascii="FangSong" w:hAnsi="FangSong" w:eastAsia="FangSong" w:cs="FangSong"/>
          <w:sz w:val="29"/>
          <w:szCs w:val="29"/>
        </w:rPr>
      </w:pPr>
      <w:r>
        <w:rPr>
          <w:rFonts w:ascii="FangSong" w:hAnsi="FangSong" w:eastAsia="FangSong" w:cs="FangSong"/>
          <w:sz w:val="29"/>
          <w:szCs w:val="29"/>
          <w:b/>
          <w:bCs/>
          <w:spacing w:val="28"/>
        </w:rPr>
        <w:t>第三百七十</w:t>
      </w:r>
      <w:r>
        <w:rPr>
          <w:rFonts w:ascii="FangSong" w:hAnsi="FangSong" w:eastAsia="FangSong" w:cs="FangSong"/>
          <w:sz w:val="29"/>
          <w:szCs w:val="29"/>
          <w:spacing w:val="-79"/>
        </w:rPr>
        <w:t xml:space="preserve"> </w:t>
      </w:r>
      <w:r>
        <w:rPr>
          <w:rFonts w:ascii="FangSong" w:hAnsi="FangSong" w:eastAsia="FangSong" w:cs="FangSong"/>
          <w:sz w:val="29"/>
          <w:szCs w:val="29"/>
          <w:b/>
          <w:bCs/>
          <w:spacing w:val="28"/>
        </w:rPr>
        <w:t>一</w:t>
      </w:r>
      <w:r>
        <w:rPr>
          <w:rFonts w:ascii="FangSong" w:hAnsi="FangSong" w:eastAsia="FangSong" w:cs="FangSong"/>
          <w:sz w:val="29"/>
          <w:szCs w:val="29"/>
          <w:spacing w:val="-85"/>
        </w:rPr>
        <w:t xml:space="preserve"> </w:t>
      </w:r>
      <w:r>
        <w:rPr>
          <w:rFonts w:ascii="FangSong" w:hAnsi="FangSong" w:eastAsia="FangSong" w:cs="FangSong"/>
          <w:sz w:val="29"/>
          <w:szCs w:val="29"/>
          <w:b/>
          <w:bCs/>
          <w:spacing w:val="28"/>
        </w:rPr>
        <w:t>条血站未经批准擅自与外省、自治区、直辖市调配血液的</w:t>
      </w:r>
    </w:p>
    <w:p>
      <w:pPr>
        <w:ind w:left="804"/>
        <w:spacing w:before="112" w:line="222" w:lineRule="auto"/>
        <w:rPr>
          <w:rFonts w:ascii="FangSong" w:hAnsi="FangSong" w:eastAsia="FangSong" w:cs="FangSong"/>
          <w:sz w:val="29"/>
          <w:szCs w:val="29"/>
        </w:rPr>
      </w:pPr>
      <w:r>
        <w:rPr>
          <w:rFonts w:ascii="FangSong" w:hAnsi="FangSong" w:eastAsia="FangSong" w:cs="FangSong"/>
          <w:sz w:val="29"/>
          <w:szCs w:val="29"/>
          <w:spacing w:val="37"/>
        </w:rPr>
        <w:t>法律依据</w:t>
      </w:r>
      <w:r>
        <w:rPr>
          <w:rFonts w:ascii="FangSong" w:hAnsi="FangSong" w:eastAsia="FangSong" w:cs="FangSong"/>
          <w:sz w:val="29"/>
          <w:szCs w:val="29"/>
          <w:spacing w:val="-72"/>
        </w:rPr>
        <w:t xml:space="preserve"> </w:t>
      </w:r>
      <w:r>
        <w:rPr>
          <w:rFonts w:ascii="FangSong" w:hAnsi="FangSong" w:eastAsia="FangSong" w:cs="FangSong"/>
          <w:sz w:val="29"/>
          <w:szCs w:val="29"/>
          <w:spacing w:val="37"/>
        </w:rPr>
        <w:t>：</w:t>
      </w:r>
    </w:p>
    <w:p>
      <w:pPr>
        <w:ind w:left="124" w:right="111" w:firstLine="634"/>
        <w:spacing w:before="99" w:line="280" w:lineRule="auto"/>
        <w:jc w:val="both"/>
        <w:rPr>
          <w:rFonts w:ascii="FangSong" w:hAnsi="FangSong" w:eastAsia="FangSong" w:cs="FangSong"/>
          <w:sz w:val="29"/>
          <w:szCs w:val="29"/>
        </w:rPr>
      </w:pPr>
      <w:r>
        <w:rPr>
          <w:rFonts w:ascii="FangSong" w:hAnsi="FangSong" w:eastAsia="FangSong" w:cs="FangSong"/>
          <w:sz w:val="29"/>
          <w:szCs w:val="29"/>
          <w:spacing w:val="29"/>
        </w:rPr>
        <w:t>《血站管理办法》第六十</w:t>
      </w:r>
      <w:r>
        <w:rPr>
          <w:rFonts w:ascii="FangSong" w:hAnsi="FangSong" w:eastAsia="FangSong" w:cs="FangSong"/>
          <w:sz w:val="29"/>
          <w:szCs w:val="29"/>
          <w:spacing w:val="-38"/>
        </w:rPr>
        <w:t xml:space="preserve"> </w:t>
      </w:r>
      <w:r>
        <w:rPr>
          <w:rFonts w:ascii="FangSong" w:hAnsi="FangSong" w:eastAsia="FangSong" w:cs="FangSong"/>
          <w:sz w:val="29"/>
          <w:szCs w:val="29"/>
          <w:spacing w:val="29"/>
        </w:rPr>
        <w:t>一</w:t>
      </w:r>
      <w:r>
        <w:rPr>
          <w:rFonts w:ascii="FangSong" w:hAnsi="FangSong" w:eastAsia="FangSong" w:cs="FangSong"/>
          <w:sz w:val="29"/>
          <w:szCs w:val="29"/>
          <w:spacing w:val="-80"/>
        </w:rPr>
        <w:t xml:space="preserve"> </w:t>
      </w:r>
      <w:r>
        <w:rPr>
          <w:rFonts w:ascii="FangSong" w:hAnsi="FangSong" w:eastAsia="FangSong" w:cs="FangSong"/>
          <w:sz w:val="29"/>
          <w:szCs w:val="29"/>
          <w:spacing w:val="29"/>
        </w:rPr>
        <w:t>条第(十三)项</w:t>
      </w:r>
      <w:r>
        <w:rPr>
          <w:rFonts w:ascii="FangSong" w:hAnsi="FangSong" w:eastAsia="FangSong" w:cs="FangSong"/>
          <w:sz w:val="29"/>
          <w:szCs w:val="29"/>
          <w:spacing w:val="29"/>
        </w:rPr>
        <w:t xml:space="preserve">  </w:t>
      </w:r>
      <w:r>
        <w:rPr>
          <w:rFonts w:ascii="FangSong" w:hAnsi="FangSong" w:eastAsia="FangSong" w:cs="FangSong"/>
          <w:sz w:val="29"/>
          <w:szCs w:val="29"/>
          <w:spacing w:val="29"/>
        </w:rPr>
        <w:t>血站有下列行为之一的，由县级以上地方人民政府</w:t>
      </w:r>
      <w:r>
        <w:rPr>
          <w:rFonts w:ascii="FangSong" w:hAnsi="FangSong" w:eastAsia="FangSong" w:cs="FangSong"/>
          <w:sz w:val="29"/>
          <w:szCs w:val="29"/>
        </w:rPr>
        <w:t xml:space="preserve"> </w:t>
      </w:r>
      <w:r>
        <w:rPr>
          <w:rFonts w:ascii="FangSong" w:hAnsi="FangSong" w:eastAsia="FangSong" w:cs="FangSong"/>
          <w:sz w:val="29"/>
          <w:szCs w:val="29"/>
          <w:spacing w:val="26"/>
        </w:rPr>
        <w:t>卫生计生行政部门予以警告、责令改正；逾期不改正，或者造成经血液传播疾病发生，或者其他严重</w:t>
      </w:r>
      <w:r>
        <w:rPr>
          <w:rFonts w:ascii="FangSong" w:hAnsi="FangSong" w:eastAsia="FangSong" w:cs="FangSong"/>
          <w:sz w:val="29"/>
          <w:szCs w:val="29"/>
          <w:spacing w:val="11"/>
        </w:rPr>
        <w:t xml:space="preserve"> </w:t>
      </w:r>
      <w:r>
        <w:rPr>
          <w:rFonts w:ascii="FangSong" w:hAnsi="FangSong" w:eastAsia="FangSong" w:cs="FangSong"/>
          <w:sz w:val="29"/>
          <w:szCs w:val="29"/>
          <w:spacing w:val="27"/>
        </w:rPr>
        <w:t>后果的，对负有责任的主管人员和其他直接负责人员，依法给予行政处分；构成犯罪的，依法追究刑</w:t>
      </w:r>
      <w:r>
        <w:rPr>
          <w:rFonts w:ascii="FangSong" w:hAnsi="FangSong" w:eastAsia="FangSong" w:cs="FangSong"/>
          <w:sz w:val="29"/>
          <w:szCs w:val="29"/>
          <w:spacing w:val="4"/>
        </w:rPr>
        <w:t xml:space="preserve"> </w:t>
      </w:r>
      <w:r>
        <w:rPr>
          <w:rFonts w:ascii="FangSong" w:hAnsi="FangSong" w:eastAsia="FangSong" w:cs="FangSong"/>
          <w:sz w:val="29"/>
          <w:szCs w:val="29"/>
          <w:spacing w:val="6"/>
        </w:rPr>
        <w:t>事责任：</w:t>
      </w:r>
    </w:p>
    <w:p>
      <w:pPr>
        <w:ind w:left="904"/>
        <w:spacing w:before="2" w:line="220" w:lineRule="auto"/>
        <w:rPr>
          <w:rFonts w:ascii="FangSong" w:hAnsi="FangSong" w:eastAsia="FangSong" w:cs="FangSong"/>
          <w:sz w:val="29"/>
          <w:szCs w:val="29"/>
        </w:rPr>
      </w:pPr>
      <w:r>
        <w:rPr>
          <w:rFonts w:ascii="FangSong" w:hAnsi="FangSong" w:eastAsia="FangSong" w:cs="FangSong"/>
          <w:sz w:val="29"/>
          <w:szCs w:val="29"/>
          <w:spacing w:val="32"/>
        </w:rPr>
        <w:t>(十三)未经批准擅自与外省、自治区、直辖市调配血液的；</w:t>
      </w:r>
    </w:p>
    <w:p>
      <w:pPr>
        <w:ind w:left="6539"/>
        <w:spacing w:before="171" w:line="221" w:lineRule="auto"/>
        <w:rPr>
          <w:rFonts w:ascii="SimHei" w:hAnsi="SimHei" w:eastAsia="SimHei" w:cs="SimHei"/>
          <w:sz w:val="29"/>
          <w:szCs w:val="29"/>
        </w:rPr>
      </w:pPr>
      <w:r>
        <w:rPr>
          <w:rFonts w:ascii="SimHei" w:hAnsi="SimHei" w:eastAsia="SimHei" w:cs="SimHei"/>
          <w:sz w:val="29"/>
          <w:szCs w:val="29"/>
          <w:b/>
          <w:bCs/>
          <w:spacing w:val="-6"/>
        </w:rPr>
        <w:t>裁量标准</w:t>
      </w:r>
    </w:p>
    <w:p>
      <w:pPr>
        <w:spacing w:line="62" w:lineRule="exact"/>
        <w:rPr/>
      </w:pPr>
      <w:r/>
    </w:p>
    <w:tbl>
      <w:tblPr>
        <w:tblStyle w:val="TableNormal"/>
        <w:tblW w:w="1416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4"/>
        <w:gridCol w:w="6146"/>
        <w:gridCol w:w="6560"/>
      </w:tblGrid>
      <w:tr>
        <w:trPr>
          <w:trHeight w:val="450" w:hRule="atLeast"/>
        </w:trPr>
        <w:tc>
          <w:tcPr>
            <w:tcW w:w="1454" w:type="dxa"/>
            <w:vAlign w:val="top"/>
          </w:tcPr>
          <w:p>
            <w:pPr>
              <w:pStyle w:val="TableText"/>
              <w:ind w:left="198"/>
              <w:spacing w:before="102" w:line="220" w:lineRule="auto"/>
              <w:rPr>
                <w:sz w:val="26"/>
                <w:szCs w:val="26"/>
              </w:rPr>
            </w:pPr>
            <w:r>
              <w:rPr>
                <w:sz w:val="26"/>
                <w:szCs w:val="26"/>
                <w:b/>
                <w:bCs/>
                <w:spacing w:val="-5"/>
              </w:rPr>
              <w:t>违法程度</w:t>
            </w:r>
          </w:p>
        </w:tc>
        <w:tc>
          <w:tcPr>
            <w:tcW w:w="6146" w:type="dxa"/>
            <w:vAlign w:val="top"/>
          </w:tcPr>
          <w:p>
            <w:pPr>
              <w:pStyle w:val="TableText"/>
              <w:ind w:left="2544"/>
              <w:spacing w:before="102" w:line="220" w:lineRule="auto"/>
              <w:rPr>
                <w:sz w:val="26"/>
                <w:szCs w:val="26"/>
              </w:rPr>
            </w:pPr>
            <w:r>
              <w:rPr>
                <w:sz w:val="26"/>
                <w:szCs w:val="26"/>
                <w:b/>
                <w:bCs/>
                <w:spacing w:val="-5"/>
              </w:rPr>
              <w:t>情节后果</w:t>
            </w:r>
          </w:p>
        </w:tc>
        <w:tc>
          <w:tcPr>
            <w:tcW w:w="6560" w:type="dxa"/>
            <w:vAlign w:val="top"/>
          </w:tcPr>
          <w:p>
            <w:pPr>
              <w:pStyle w:val="TableText"/>
              <w:ind w:left="2758"/>
              <w:spacing w:before="99" w:line="218" w:lineRule="auto"/>
              <w:rPr>
                <w:sz w:val="26"/>
                <w:szCs w:val="26"/>
              </w:rPr>
            </w:pPr>
            <w:r>
              <w:rPr>
                <w:sz w:val="26"/>
                <w:szCs w:val="26"/>
                <w:b/>
                <w:bCs/>
                <w:spacing w:val="-5"/>
              </w:rPr>
              <w:t>裁量幅度</w:t>
            </w:r>
          </w:p>
        </w:tc>
      </w:tr>
      <w:tr>
        <w:trPr>
          <w:trHeight w:val="420" w:hRule="atLeast"/>
        </w:trPr>
        <w:tc>
          <w:tcPr>
            <w:tcW w:w="1454" w:type="dxa"/>
            <w:vAlign w:val="top"/>
          </w:tcPr>
          <w:p>
            <w:pPr>
              <w:pStyle w:val="TableText"/>
              <w:ind w:left="458"/>
              <w:spacing w:before="83" w:line="221" w:lineRule="auto"/>
              <w:rPr>
                <w:sz w:val="26"/>
                <w:szCs w:val="26"/>
              </w:rPr>
            </w:pPr>
            <w:r>
              <w:rPr>
                <w:sz w:val="26"/>
                <w:szCs w:val="26"/>
                <w:b/>
                <w:bCs/>
                <w:spacing w:val="-10"/>
              </w:rPr>
              <w:t>一般</w:t>
            </w:r>
          </w:p>
        </w:tc>
        <w:tc>
          <w:tcPr>
            <w:tcW w:w="6146" w:type="dxa"/>
            <w:vAlign w:val="top"/>
          </w:tcPr>
          <w:p>
            <w:pPr>
              <w:pStyle w:val="TableText"/>
              <w:spacing w:before="80" w:line="219" w:lineRule="auto"/>
              <w:jc w:val="right"/>
              <w:rPr>
                <w:sz w:val="26"/>
                <w:szCs w:val="26"/>
              </w:rPr>
            </w:pPr>
            <w:r>
              <w:rPr>
                <w:sz w:val="26"/>
                <w:szCs w:val="26"/>
                <w:b/>
                <w:bCs/>
                <w:spacing w:val="-8"/>
              </w:rPr>
              <w:t>血站未经批准擅自与外省、自治区、直辖市调配血液的</w:t>
            </w:r>
          </w:p>
        </w:tc>
        <w:tc>
          <w:tcPr>
            <w:tcW w:w="6560" w:type="dxa"/>
            <w:vAlign w:val="top"/>
          </w:tcPr>
          <w:p>
            <w:pPr>
              <w:pStyle w:val="TableText"/>
              <w:spacing w:before="79" w:line="218" w:lineRule="auto"/>
              <w:jc w:val="right"/>
              <w:rPr>
                <w:sz w:val="26"/>
                <w:szCs w:val="26"/>
              </w:rPr>
            </w:pPr>
            <w:r>
              <w:rPr>
                <w:sz w:val="26"/>
                <w:szCs w:val="26"/>
                <w:b/>
                <w:bCs/>
                <w:spacing w:val="-12"/>
              </w:rPr>
              <w:t>由县级以上地方人民政府卫生行政部门予以警告、责令改正</w:t>
            </w:r>
          </w:p>
        </w:tc>
      </w:tr>
    </w:tbl>
    <w:p>
      <w:pPr>
        <w:pStyle w:val="BodyText"/>
        <w:rPr/>
      </w:pPr>
      <w:r/>
    </w:p>
    <w:p>
      <w:pPr>
        <w:sectPr>
          <w:footerReference w:type="default" r:id="rId409"/>
          <w:pgSz w:w="16830" w:h="11900"/>
          <w:pgMar w:top="1011" w:right="1335" w:bottom="1131" w:left="1305" w:header="0" w:footer="807" w:gutter="0"/>
        </w:sectPr>
        <w:rPr/>
      </w:pPr>
    </w:p>
    <w:p>
      <w:pPr>
        <w:pStyle w:val="BodyText"/>
        <w:spacing w:line="296" w:lineRule="auto"/>
        <w:rPr/>
      </w:pPr>
      <w:r/>
    </w:p>
    <w:p>
      <w:pPr>
        <w:pStyle w:val="BodyText"/>
        <w:spacing w:line="296" w:lineRule="auto"/>
        <w:rPr/>
      </w:pPr>
      <w:r/>
    </w:p>
    <w:p>
      <w:pPr>
        <w:pStyle w:val="BodyText"/>
        <w:spacing w:line="296" w:lineRule="auto"/>
        <w:rPr/>
      </w:pPr>
      <w:r/>
    </w:p>
    <w:p>
      <w:pPr>
        <w:pStyle w:val="BodyText"/>
        <w:spacing w:line="297" w:lineRule="auto"/>
        <w:rPr/>
      </w:pPr>
      <w:r/>
    </w:p>
    <w:p>
      <w:pPr>
        <w:ind w:left="789"/>
        <w:spacing w:before="98" w:line="220" w:lineRule="auto"/>
        <w:rPr>
          <w:rFonts w:ascii="FangSong" w:hAnsi="FangSong" w:eastAsia="FangSong" w:cs="FangSong"/>
          <w:sz w:val="30"/>
          <w:szCs w:val="30"/>
        </w:rPr>
      </w:pPr>
      <w:bookmarkStart w:name="bookmark1056" w:id="427"/>
      <w:bookmarkEnd w:id="427"/>
      <w:r>
        <w:rPr>
          <w:rFonts w:ascii="FangSong" w:hAnsi="FangSong" w:eastAsia="FangSong" w:cs="FangSong"/>
          <w:sz w:val="30"/>
          <w:szCs w:val="30"/>
          <w:b/>
          <w:bCs/>
          <w:spacing w:val="22"/>
        </w:rPr>
        <w:t>第三百七十二条血站未经批准向境外医疗机构提供血</w:t>
      </w:r>
      <w:r>
        <w:rPr>
          <w:rFonts w:ascii="FangSong" w:hAnsi="FangSong" w:eastAsia="FangSong" w:cs="FangSong"/>
          <w:sz w:val="30"/>
          <w:szCs w:val="30"/>
          <w:b/>
          <w:bCs/>
          <w:spacing w:val="21"/>
        </w:rPr>
        <w:t>液或者特殊血液成分的</w:t>
      </w:r>
    </w:p>
    <w:p>
      <w:pPr>
        <w:ind w:left="784"/>
        <w:spacing w:before="90" w:line="222" w:lineRule="auto"/>
        <w:rPr>
          <w:rFonts w:ascii="FangSong" w:hAnsi="FangSong" w:eastAsia="FangSong" w:cs="FangSong"/>
          <w:sz w:val="30"/>
          <w:szCs w:val="30"/>
        </w:rPr>
      </w:pPr>
      <w:r>
        <w:rPr>
          <w:rFonts w:ascii="FangSong" w:hAnsi="FangSong" w:eastAsia="FangSong" w:cs="FangSong"/>
          <w:sz w:val="30"/>
          <w:szCs w:val="30"/>
          <w:spacing w:val="30"/>
        </w:rPr>
        <w:t>法律依据：</w:t>
      </w:r>
    </w:p>
    <w:p>
      <w:pPr>
        <w:ind w:left="124" w:right="99" w:firstLine="629"/>
        <w:spacing w:before="98" w:line="271" w:lineRule="auto"/>
        <w:jc w:val="both"/>
        <w:rPr>
          <w:rFonts w:ascii="FangSong" w:hAnsi="FangSong" w:eastAsia="FangSong" w:cs="FangSong"/>
          <w:sz w:val="30"/>
          <w:szCs w:val="30"/>
        </w:rPr>
      </w:pPr>
      <w:r>
        <w:rPr>
          <w:rFonts w:ascii="FangSong" w:hAnsi="FangSong" w:eastAsia="FangSong" w:cs="FangSong"/>
          <w:sz w:val="30"/>
          <w:szCs w:val="30"/>
          <w:spacing w:val="24"/>
        </w:rPr>
        <w:t>《血站管理办法》第六十一条第(十四)项</w:t>
      </w:r>
      <w:r>
        <w:rPr>
          <w:rFonts w:ascii="FangSong" w:hAnsi="FangSong" w:eastAsia="FangSong" w:cs="FangSong"/>
          <w:sz w:val="30"/>
          <w:szCs w:val="30"/>
          <w:spacing w:val="24"/>
        </w:rPr>
        <w:t xml:space="preserve">  </w:t>
      </w:r>
      <w:r>
        <w:rPr>
          <w:rFonts w:ascii="FangSong" w:hAnsi="FangSong" w:eastAsia="FangSong" w:cs="FangSong"/>
          <w:sz w:val="30"/>
          <w:szCs w:val="30"/>
          <w:spacing w:val="24"/>
        </w:rPr>
        <w:t>血站有下</w:t>
      </w:r>
      <w:r>
        <w:rPr>
          <w:rFonts w:ascii="FangSong" w:hAnsi="FangSong" w:eastAsia="FangSong" w:cs="FangSong"/>
          <w:sz w:val="30"/>
          <w:szCs w:val="30"/>
          <w:spacing w:val="23"/>
        </w:rPr>
        <w:t>列行为之一的，由县级以上地方人民政府</w:t>
      </w:r>
      <w:r>
        <w:rPr>
          <w:rFonts w:ascii="FangSong" w:hAnsi="FangSong" w:eastAsia="FangSong" w:cs="FangSong"/>
          <w:sz w:val="30"/>
          <w:szCs w:val="30"/>
        </w:rPr>
        <w:t xml:space="preserve"> </w:t>
      </w:r>
      <w:r>
        <w:rPr>
          <w:rFonts w:ascii="FangSong" w:hAnsi="FangSong" w:eastAsia="FangSong" w:cs="FangSong"/>
          <w:sz w:val="30"/>
          <w:szCs w:val="30"/>
          <w:spacing w:val="17"/>
        </w:rPr>
        <w:t>卫生计生行政部门予以警告、责令改正；逾期不改</w:t>
      </w:r>
      <w:r>
        <w:rPr>
          <w:rFonts w:ascii="FangSong" w:hAnsi="FangSong" w:eastAsia="FangSong" w:cs="FangSong"/>
          <w:sz w:val="30"/>
          <w:szCs w:val="30"/>
          <w:spacing w:val="16"/>
        </w:rPr>
        <w:t>正，或者造成经血液传播疾病发生，或者其他严重</w:t>
      </w:r>
      <w:r>
        <w:rPr>
          <w:rFonts w:ascii="FangSong" w:hAnsi="FangSong" w:eastAsia="FangSong" w:cs="FangSong"/>
          <w:sz w:val="30"/>
          <w:szCs w:val="30"/>
        </w:rPr>
        <w:t xml:space="preserve"> </w:t>
      </w:r>
      <w:r>
        <w:rPr>
          <w:rFonts w:ascii="FangSong" w:hAnsi="FangSong" w:eastAsia="FangSong" w:cs="FangSong"/>
          <w:sz w:val="30"/>
          <w:szCs w:val="30"/>
          <w:spacing w:val="17"/>
        </w:rPr>
        <w:t>后果的，对负有责任的主管人员和其他直接负责人员，依法给予行政处分；构成犯罪的，依法追究刑</w:t>
      </w:r>
      <w:r>
        <w:rPr>
          <w:rFonts w:ascii="FangSong" w:hAnsi="FangSong" w:eastAsia="FangSong" w:cs="FangSong"/>
          <w:sz w:val="30"/>
          <w:szCs w:val="30"/>
          <w:spacing w:val="6"/>
        </w:rPr>
        <w:t xml:space="preserve"> </w:t>
      </w:r>
      <w:r>
        <w:rPr>
          <w:rFonts w:ascii="FangSong" w:hAnsi="FangSong" w:eastAsia="FangSong" w:cs="FangSong"/>
          <w:sz w:val="30"/>
          <w:szCs w:val="30"/>
          <w:spacing w:val="21"/>
        </w:rPr>
        <w:t>事责任：</w:t>
      </w:r>
      <w:r>
        <w:rPr>
          <w:rFonts w:ascii="FangSong" w:hAnsi="FangSong" w:eastAsia="FangSong" w:cs="FangSong"/>
          <w:sz w:val="30"/>
          <w:szCs w:val="30"/>
          <w:spacing w:val="21"/>
        </w:rPr>
        <w:t xml:space="preserve"> </w:t>
      </w:r>
      <w:r>
        <w:rPr>
          <w:rFonts w:ascii="FangSong" w:hAnsi="FangSong" w:eastAsia="FangSong" w:cs="FangSong"/>
          <w:sz w:val="30"/>
          <w:szCs w:val="30"/>
          <w:spacing w:val="21"/>
        </w:rPr>
        <w:t>(十四)未经批准向境外医疗机构提供血液或者特殊血液成分的；</w:t>
      </w:r>
    </w:p>
    <w:p>
      <w:pPr>
        <w:ind w:left="6549"/>
        <w:spacing w:before="64"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90" w:lineRule="exact"/>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5596"/>
        <w:gridCol w:w="7130"/>
      </w:tblGrid>
      <w:tr>
        <w:trPr>
          <w:trHeight w:val="441" w:hRule="atLeast"/>
        </w:trPr>
        <w:tc>
          <w:tcPr>
            <w:tcW w:w="1444" w:type="dxa"/>
            <w:vAlign w:val="top"/>
          </w:tcPr>
          <w:p>
            <w:pPr>
              <w:pStyle w:val="TableText"/>
              <w:ind w:left="198"/>
              <w:spacing w:before="92" w:line="220" w:lineRule="auto"/>
              <w:rPr>
                <w:sz w:val="26"/>
                <w:szCs w:val="26"/>
              </w:rPr>
            </w:pPr>
            <w:r>
              <w:rPr>
                <w:sz w:val="26"/>
                <w:szCs w:val="26"/>
                <w:b/>
                <w:bCs/>
                <w:spacing w:val="-5"/>
              </w:rPr>
              <w:t>违法程度</w:t>
            </w:r>
          </w:p>
        </w:tc>
        <w:tc>
          <w:tcPr>
            <w:tcW w:w="5596" w:type="dxa"/>
            <w:vAlign w:val="top"/>
          </w:tcPr>
          <w:p>
            <w:pPr>
              <w:pStyle w:val="TableText"/>
              <w:ind w:left="2274"/>
              <w:spacing w:before="92" w:line="220" w:lineRule="auto"/>
              <w:rPr>
                <w:sz w:val="26"/>
                <w:szCs w:val="26"/>
              </w:rPr>
            </w:pPr>
            <w:r>
              <w:rPr>
                <w:sz w:val="26"/>
                <w:szCs w:val="26"/>
                <w:b/>
                <w:bCs/>
                <w:spacing w:val="-5"/>
              </w:rPr>
              <w:t>情节后果</w:t>
            </w:r>
          </w:p>
        </w:tc>
        <w:tc>
          <w:tcPr>
            <w:tcW w:w="7130" w:type="dxa"/>
            <w:vAlign w:val="top"/>
          </w:tcPr>
          <w:p>
            <w:pPr>
              <w:pStyle w:val="TableText"/>
              <w:ind w:left="2998"/>
              <w:spacing w:before="89" w:line="218" w:lineRule="auto"/>
              <w:rPr>
                <w:sz w:val="26"/>
                <w:szCs w:val="26"/>
              </w:rPr>
            </w:pPr>
            <w:r>
              <w:rPr>
                <w:sz w:val="26"/>
                <w:szCs w:val="26"/>
                <w:b/>
                <w:bCs/>
                <w:spacing w:val="-5"/>
              </w:rPr>
              <w:t>裁量幅度</w:t>
            </w:r>
          </w:p>
        </w:tc>
      </w:tr>
      <w:tr>
        <w:trPr>
          <w:trHeight w:val="689" w:hRule="atLeast"/>
        </w:trPr>
        <w:tc>
          <w:tcPr>
            <w:tcW w:w="1444" w:type="dxa"/>
            <w:vAlign w:val="top"/>
          </w:tcPr>
          <w:p>
            <w:pPr>
              <w:pStyle w:val="TableText"/>
              <w:ind w:left="458"/>
              <w:spacing w:before="222" w:line="221" w:lineRule="auto"/>
              <w:rPr>
                <w:sz w:val="26"/>
                <w:szCs w:val="26"/>
              </w:rPr>
            </w:pPr>
            <w:r>
              <w:rPr>
                <w:sz w:val="26"/>
                <w:szCs w:val="26"/>
                <w:b/>
                <w:bCs/>
                <w:spacing w:val="-10"/>
              </w:rPr>
              <w:t>一般</w:t>
            </w:r>
          </w:p>
        </w:tc>
        <w:tc>
          <w:tcPr>
            <w:tcW w:w="5596" w:type="dxa"/>
            <w:vAlign w:val="top"/>
          </w:tcPr>
          <w:p>
            <w:pPr>
              <w:pStyle w:val="TableText"/>
              <w:ind w:left="123" w:hanging="109"/>
              <w:spacing w:before="70" w:line="216" w:lineRule="auto"/>
              <w:rPr>
                <w:sz w:val="26"/>
                <w:szCs w:val="26"/>
              </w:rPr>
            </w:pPr>
            <w:r>
              <w:rPr>
                <w:sz w:val="26"/>
                <w:szCs w:val="26"/>
                <w:b/>
                <w:bCs/>
                <w:spacing w:val="-10"/>
              </w:rPr>
              <w:t>血站未经批准向境外医疗机构提供血液或者特殊血</w:t>
            </w:r>
            <w:r>
              <w:rPr>
                <w:sz w:val="26"/>
                <w:szCs w:val="26"/>
                <w:spacing w:val="10"/>
              </w:rPr>
              <w:t xml:space="preserve"> </w:t>
            </w:r>
            <w:r>
              <w:rPr>
                <w:sz w:val="26"/>
                <w:szCs w:val="26"/>
                <w:b/>
                <w:bCs/>
              </w:rPr>
              <w:t>液成分的</w:t>
            </w:r>
          </w:p>
        </w:tc>
        <w:tc>
          <w:tcPr>
            <w:tcW w:w="7130" w:type="dxa"/>
            <w:vAlign w:val="top"/>
          </w:tcPr>
          <w:p>
            <w:pPr>
              <w:pStyle w:val="TableText"/>
              <w:ind w:left="118"/>
              <w:spacing w:before="218" w:line="218" w:lineRule="auto"/>
              <w:rPr>
                <w:sz w:val="26"/>
                <w:szCs w:val="26"/>
              </w:rPr>
            </w:pPr>
            <w:r>
              <w:rPr>
                <w:sz w:val="26"/>
                <w:szCs w:val="26"/>
                <w:b/>
                <w:bCs/>
                <w:spacing w:val="-3"/>
              </w:rPr>
              <w:t>由县级以上地方人民政府卫生行政部门予以警告、责令改正</w:t>
            </w:r>
          </w:p>
        </w:tc>
      </w:tr>
    </w:tbl>
    <w:p>
      <w:pPr>
        <w:pStyle w:val="BodyText"/>
        <w:spacing w:line="426" w:lineRule="auto"/>
        <w:rPr/>
      </w:pPr>
      <w:r/>
    </w:p>
    <w:p>
      <w:pPr>
        <w:ind w:left="789"/>
        <w:spacing w:before="98" w:line="219" w:lineRule="auto"/>
        <w:rPr>
          <w:rFonts w:ascii="FangSong" w:hAnsi="FangSong" w:eastAsia="FangSong" w:cs="FangSong"/>
          <w:sz w:val="30"/>
          <w:szCs w:val="30"/>
        </w:rPr>
      </w:pPr>
      <w:r>
        <w:rPr>
          <w:rFonts w:ascii="FangSong" w:hAnsi="FangSong" w:eastAsia="FangSong" w:cs="FangSong"/>
          <w:sz w:val="30"/>
          <w:szCs w:val="30"/>
          <w:b/>
          <w:bCs/>
          <w:spacing w:val="23"/>
        </w:rPr>
        <w:t>第三百七十三条血站未按规定保存血液标本的</w:t>
      </w:r>
    </w:p>
    <w:p>
      <w:pPr>
        <w:ind w:left="784"/>
        <w:spacing w:before="83" w:line="222" w:lineRule="auto"/>
        <w:rPr>
          <w:rFonts w:ascii="FangSong" w:hAnsi="FangSong" w:eastAsia="FangSong" w:cs="FangSong"/>
          <w:sz w:val="30"/>
          <w:szCs w:val="30"/>
        </w:rPr>
      </w:pPr>
      <w:r>
        <w:rPr>
          <w:rFonts w:ascii="FangSong" w:hAnsi="FangSong" w:eastAsia="FangSong" w:cs="FangSong"/>
          <w:sz w:val="30"/>
          <w:szCs w:val="30"/>
          <w:spacing w:val="30"/>
        </w:rPr>
        <w:t>法律依据：</w:t>
      </w:r>
    </w:p>
    <w:p>
      <w:pPr>
        <w:ind w:left="124" w:right="99" w:firstLine="629"/>
        <w:spacing w:before="97" w:line="272" w:lineRule="auto"/>
        <w:jc w:val="both"/>
        <w:rPr>
          <w:rFonts w:ascii="FangSong" w:hAnsi="FangSong" w:eastAsia="FangSong" w:cs="FangSong"/>
          <w:sz w:val="30"/>
          <w:szCs w:val="30"/>
        </w:rPr>
      </w:pPr>
      <w:r>
        <w:rPr>
          <w:rFonts w:ascii="FangSong" w:hAnsi="FangSong" w:eastAsia="FangSong" w:cs="FangSong"/>
          <w:sz w:val="30"/>
          <w:szCs w:val="30"/>
          <w:spacing w:val="24"/>
        </w:rPr>
        <w:t>《血站管理办法》第六十一条第(十五)项</w:t>
      </w:r>
      <w:r>
        <w:rPr>
          <w:rFonts w:ascii="FangSong" w:hAnsi="FangSong" w:eastAsia="FangSong" w:cs="FangSong"/>
          <w:sz w:val="30"/>
          <w:szCs w:val="30"/>
          <w:spacing w:val="24"/>
        </w:rPr>
        <w:t xml:space="preserve">  </w:t>
      </w:r>
      <w:r>
        <w:rPr>
          <w:rFonts w:ascii="FangSong" w:hAnsi="FangSong" w:eastAsia="FangSong" w:cs="FangSong"/>
          <w:sz w:val="30"/>
          <w:szCs w:val="30"/>
          <w:spacing w:val="24"/>
        </w:rPr>
        <w:t>血站有下</w:t>
      </w:r>
      <w:r>
        <w:rPr>
          <w:rFonts w:ascii="FangSong" w:hAnsi="FangSong" w:eastAsia="FangSong" w:cs="FangSong"/>
          <w:sz w:val="30"/>
          <w:szCs w:val="30"/>
          <w:spacing w:val="23"/>
        </w:rPr>
        <w:t>列行为之一的，由县级以上地方人民政府</w:t>
      </w:r>
      <w:r>
        <w:rPr>
          <w:rFonts w:ascii="FangSong" w:hAnsi="FangSong" w:eastAsia="FangSong" w:cs="FangSong"/>
          <w:sz w:val="30"/>
          <w:szCs w:val="30"/>
        </w:rPr>
        <w:t xml:space="preserve"> </w:t>
      </w:r>
      <w:r>
        <w:rPr>
          <w:rFonts w:ascii="FangSong" w:hAnsi="FangSong" w:eastAsia="FangSong" w:cs="FangSong"/>
          <w:sz w:val="30"/>
          <w:szCs w:val="30"/>
          <w:spacing w:val="17"/>
        </w:rPr>
        <w:t>卫生计生行政部门予以警告、责令改正；逾期不改</w:t>
      </w:r>
      <w:r>
        <w:rPr>
          <w:rFonts w:ascii="FangSong" w:hAnsi="FangSong" w:eastAsia="FangSong" w:cs="FangSong"/>
          <w:sz w:val="30"/>
          <w:szCs w:val="30"/>
          <w:spacing w:val="16"/>
        </w:rPr>
        <w:t>正，或者造成经血液传播疾病发生，或者其他严重</w:t>
      </w:r>
      <w:r>
        <w:rPr>
          <w:rFonts w:ascii="FangSong" w:hAnsi="FangSong" w:eastAsia="FangSong" w:cs="FangSong"/>
          <w:sz w:val="30"/>
          <w:szCs w:val="30"/>
        </w:rPr>
        <w:t xml:space="preserve"> </w:t>
      </w:r>
      <w:r>
        <w:rPr>
          <w:rFonts w:ascii="FangSong" w:hAnsi="FangSong" w:eastAsia="FangSong" w:cs="FangSong"/>
          <w:sz w:val="30"/>
          <w:szCs w:val="30"/>
          <w:spacing w:val="17"/>
        </w:rPr>
        <w:t>后果的，对负有责任的主管人员和其他直接负责人员，依法给予行政处分；构成犯罪的，依法追究刑</w:t>
      </w:r>
      <w:r>
        <w:rPr>
          <w:rFonts w:ascii="FangSong" w:hAnsi="FangSong" w:eastAsia="FangSong" w:cs="FangSong"/>
          <w:sz w:val="30"/>
          <w:szCs w:val="30"/>
          <w:spacing w:val="6"/>
        </w:rPr>
        <w:t xml:space="preserve"> </w:t>
      </w:r>
      <w:r>
        <w:rPr>
          <w:rFonts w:ascii="FangSong" w:hAnsi="FangSong" w:eastAsia="FangSong" w:cs="FangSong"/>
          <w:sz w:val="30"/>
          <w:szCs w:val="30"/>
          <w:spacing w:val="-2"/>
        </w:rPr>
        <w:t>事责任：</w:t>
      </w:r>
    </w:p>
    <w:p>
      <w:pPr>
        <w:pStyle w:val="BodyText"/>
        <w:spacing w:line="281" w:lineRule="auto"/>
        <w:rPr/>
      </w:pPr>
      <w:r/>
    </w:p>
    <w:p>
      <w:pPr>
        <w:pStyle w:val="BodyText"/>
        <w:spacing w:line="281" w:lineRule="auto"/>
        <w:rPr/>
      </w:pPr>
      <w:r/>
    </w:p>
    <w:p>
      <w:pPr>
        <w:pStyle w:val="BodyText"/>
        <w:spacing w:line="282" w:lineRule="auto"/>
        <w:rPr/>
      </w:pPr>
      <w:r/>
    </w:p>
    <w:p>
      <w:pPr>
        <w:ind w:left="6484"/>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w w:val="99"/>
        </w:rPr>
        <w:t>—448—</w:t>
      </w:r>
    </w:p>
    <w:p>
      <w:pPr>
        <w:spacing w:line="188" w:lineRule="auto"/>
        <w:sectPr>
          <w:footerReference w:type="default" r:id="rId24"/>
          <w:pgSz w:w="16830" w:h="11900"/>
          <w:pgMar w:top="1011" w:right="1344" w:bottom="400" w:left="1305" w:header="0" w:footer="0" w:gutter="0"/>
        </w:sectPr>
        <w:rPr>
          <w:rFonts w:ascii="Times New Roman" w:hAnsi="Times New Roman" w:eastAsia="Times New Roman" w:cs="Times New Roman"/>
          <w:sz w:val="37"/>
          <w:szCs w:val="37"/>
        </w:rPr>
      </w:pPr>
    </w:p>
    <w:p>
      <w:pPr>
        <w:pStyle w:val="BodyText"/>
        <w:spacing w:line="270" w:lineRule="auto"/>
        <w:rPr/>
      </w:pPr>
      <w:r/>
    </w:p>
    <w:p>
      <w:pPr>
        <w:pStyle w:val="BodyText"/>
        <w:spacing w:line="270" w:lineRule="auto"/>
        <w:rPr/>
      </w:pPr>
      <w:r/>
    </w:p>
    <w:p>
      <w:pPr>
        <w:pStyle w:val="BodyText"/>
        <w:spacing w:line="271" w:lineRule="auto"/>
        <w:rPr/>
      </w:pPr>
      <w:r/>
    </w:p>
    <w:p>
      <w:pPr>
        <w:ind w:left="904"/>
        <w:spacing w:before="98" w:line="219" w:lineRule="auto"/>
        <w:rPr>
          <w:rFonts w:ascii="FangSong" w:hAnsi="FangSong" w:eastAsia="FangSong" w:cs="FangSong"/>
          <w:sz w:val="30"/>
          <w:szCs w:val="30"/>
        </w:rPr>
      </w:pPr>
      <w:r>
        <w:rPr>
          <w:rFonts w:ascii="FangSong" w:hAnsi="FangSong" w:eastAsia="FangSong" w:cs="FangSong"/>
          <w:sz w:val="30"/>
          <w:szCs w:val="30"/>
          <w:spacing w:val="25"/>
        </w:rPr>
        <w:t>(十五)未按规定保存血液标本的；</w:t>
      </w:r>
    </w:p>
    <w:p>
      <w:pPr>
        <w:pStyle w:val="BodyText"/>
        <w:spacing w:line="340" w:lineRule="auto"/>
        <w:rPr/>
      </w:pPr>
      <w:r/>
    </w:p>
    <w:p>
      <w:pPr>
        <w:pStyle w:val="BodyText"/>
        <w:spacing w:line="341" w:lineRule="auto"/>
        <w:rPr/>
      </w:pPr>
      <w:r/>
    </w:p>
    <w:p>
      <w:pPr>
        <w:ind w:left="6529"/>
        <w:spacing w:before="98"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60" w:lineRule="exact"/>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5596"/>
        <w:gridCol w:w="7130"/>
      </w:tblGrid>
      <w:tr>
        <w:trPr>
          <w:trHeight w:val="420" w:hRule="atLeast"/>
        </w:trPr>
        <w:tc>
          <w:tcPr>
            <w:tcW w:w="1444" w:type="dxa"/>
            <w:vAlign w:val="top"/>
          </w:tcPr>
          <w:p>
            <w:pPr>
              <w:pStyle w:val="TableText"/>
              <w:ind w:left="198"/>
              <w:spacing w:before="82" w:line="220" w:lineRule="auto"/>
              <w:rPr>
                <w:sz w:val="26"/>
                <w:szCs w:val="26"/>
              </w:rPr>
            </w:pPr>
            <w:r>
              <w:rPr>
                <w:sz w:val="26"/>
                <w:szCs w:val="26"/>
                <w:b/>
                <w:bCs/>
                <w:spacing w:val="-5"/>
              </w:rPr>
              <w:t>违法程度</w:t>
            </w:r>
          </w:p>
        </w:tc>
        <w:tc>
          <w:tcPr>
            <w:tcW w:w="5596" w:type="dxa"/>
            <w:vAlign w:val="top"/>
          </w:tcPr>
          <w:p>
            <w:pPr>
              <w:pStyle w:val="TableText"/>
              <w:ind w:left="2224"/>
              <w:spacing w:before="82" w:line="220" w:lineRule="auto"/>
              <w:rPr>
                <w:sz w:val="26"/>
                <w:szCs w:val="26"/>
              </w:rPr>
            </w:pPr>
            <w:r>
              <w:rPr>
                <w:sz w:val="26"/>
                <w:szCs w:val="26"/>
                <w:b/>
                <w:bCs/>
                <w:spacing w:val="-5"/>
              </w:rPr>
              <w:t>情节后果</w:t>
            </w:r>
          </w:p>
        </w:tc>
        <w:tc>
          <w:tcPr>
            <w:tcW w:w="7130" w:type="dxa"/>
            <w:vAlign w:val="top"/>
          </w:tcPr>
          <w:p>
            <w:pPr>
              <w:pStyle w:val="TableText"/>
              <w:ind w:left="2998"/>
              <w:spacing w:before="79" w:line="218" w:lineRule="auto"/>
              <w:rPr>
                <w:sz w:val="26"/>
                <w:szCs w:val="26"/>
              </w:rPr>
            </w:pPr>
            <w:r>
              <w:rPr>
                <w:sz w:val="26"/>
                <w:szCs w:val="26"/>
                <w:b/>
                <w:bCs/>
                <w:spacing w:val="-5"/>
              </w:rPr>
              <w:t>裁量幅度</w:t>
            </w:r>
          </w:p>
        </w:tc>
      </w:tr>
      <w:tr>
        <w:trPr>
          <w:trHeight w:val="539" w:hRule="atLeast"/>
        </w:trPr>
        <w:tc>
          <w:tcPr>
            <w:tcW w:w="1444" w:type="dxa"/>
            <w:vAlign w:val="top"/>
          </w:tcPr>
          <w:p>
            <w:pPr>
              <w:pStyle w:val="TableText"/>
              <w:ind w:left="458"/>
              <w:spacing w:before="143" w:line="221" w:lineRule="auto"/>
              <w:rPr>
                <w:sz w:val="26"/>
                <w:szCs w:val="26"/>
              </w:rPr>
            </w:pPr>
            <w:r>
              <w:rPr>
                <w:sz w:val="26"/>
                <w:szCs w:val="26"/>
                <w:b/>
                <w:bCs/>
                <w:spacing w:val="-10"/>
              </w:rPr>
              <w:t>一般</w:t>
            </w:r>
          </w:p>
        </w:tc>
        <w:tc>
          <w:tcPr>
            <w:tcW w:w="5596" w:type="dxa"/>
            <w:vAlign w:val="top"/>
          </w:tcPr>
          <w:p>
            <w:pPr>
              <w:pStyle w:val="TableText"/>
              <w:ind w:left="104"/>
              <w:spacing w:before="140" w:line="219" w:lineRule="auto"/>
              <w:rPr>
                <w:sz w:val="26"/>
                <w:szCs w:val="26"/>
              </w:rPr>
            </w:pPr>
            <w:r>
              <w:rPr>
                <w:sz w:val="26"/>
                <w:szCs w:val="26"/>
                <w:b/>
                <w:bCs/>
                <w:spacing w:val="-2"/>
              </w:rPr>
              <w:t>血站未按规定保存血液标本的</w:t>
            </w:r>
          </w:p>
        </w:tc>
        <w:tc>
          <w:tcPr>
            <w:tcW w:w="7130" w:type="dxa"/>
            <w:vAlign w:val="top"/>
          </w:tcPr>
          <w:p>
            <w:pPr>
              <w:pStyle w:val="TableText"/>
              <w:ind w:left="118"/>
              <w:spacing w:before="139" w:line="218" w:lineRule="auto"/>
              <w:rPr>
                <w:sz w:val="26"/>
                <w:szCs w:val="26"/>
              </w:rPr>
            </w:pPr>
            <w:r>
              <w:rPr>
                <w:sz w:val="26"/>
                <w:szCs w:val="26"/>
                <w:b/>
                <w:bCs/>
                <w:spacing w:val="-3"/>
              </w:rPr>
              <w:t>由县级以上地方人民政府卫生行政部门予以警告、责令改正</w:t>
            </w:r>
          </w:p>
        </w:tc>
      </w:tr>
    </w:tbl>
    <w:p>
      <w:pPr>
        <w:pStyle w:val="BodyText"/>
        <w:spacing w:line="476" w:lineRule="auto"/>
        <w:rPr/>
      </w:pPr>
      <w:r/>
    </w:p>
    <w:p>
      <w:pPr>
        <w:ind w:left="80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第三百七十四条脐带血造血干细胞库等特殊血站违反有关</w:t>
      </w:r>
      <w:r>
        <w:rPr>
          <w:rFonts w:ascii="FangSong" w:hAnsi="FangSong" w:eastAsia="FangSong" w:cs="FangSong"/>
          <w:sz w:val="30"/>
          <w:szCs w:val="30"/>
          <w:b/>
          <w:bCs/>
          <w:spacing w:val="21"/>
        </w:rPr>
        <w:t>技术规范的</w:t>
      </w:r>
    </w:p>
    <w:p>
      <w:pPr>
        <w:ind w:left="794"/>
        <w:spacing w:before="80" w:line="222" w:lineRule="auto"/>
        <w:rPr>
          <w:rFonts w:ascii="FangSong" w:hAnsi="FangSong" w:eastAsia="FangSong" w:cs="FangSong"/>
          <w:sz w:val="30"/>
          <w:szCs w:val="30"/>
        </w:rPr>
      </w:pPr>
      <w:r>
        <w:rPr>
          <w:rFonts w:ascii="FangSong" w:hAnsi="FangSong" w:eastAsia="FangSong" w:cs="FangSong"/>
          <w:sz w:val="30"/>
          <w:szCs w:val="30"/>
          <w:spacing w:val="29"/>
        </w:rPr>
        <w:t>法律依据：</w:t>
      </w:r>
    </w:p>
    <w:p>
      <w:pPr>
        <w:ind w:left="134" w:right="119" w:firstLine="619"/>
        <w:spacing w:before="77" w:line="272" w:lineRule="auto"/>
        <w:jc w:val="both"/>
        <w:rPr>
          <w:rFonts w:ascii="FangSong" w:hAnsi="FangSong" w:eastAsia="FangSong" w:cs="FangSong"/>
          <w:sz w:val="30"/>
          <w:szCs w:val="30"/>
        </w:rPr>
      </w:pPr>
      <w:r>
        <w:rPr>
          <w:rFonts w:ascii="FangSong" w:hAnsi="FangSong" w:eastAsia="FangSong" w:cs="FangSong"/>
          <w:sz w:val="30"/>
          <w:szCs w:val="30"/>
          <w:spacing w:val="22"/>
        </w:rPr>
        <w:t>《血站管理办法》第六十</w:t>
      </w:r>
      <w:r>
        <w:rPr>
          <w:rFonts w:ascii="FangSong" w:hAnsi="FangSong" w:eastAsia="FangSong" w:cs="FangSong"/>
          <w:sz w:val="30"/>
          <w:szCs w:val="30"/>
          <w:spacing w:val="-70"/>
        </w:rPr>
        <w:t xml:space="preserve"> </w:t>
      </w:r>
      <w:r>
        <w:rPr>
          <w:rFonts w:ascii="FangSong" w:hAnsi="FangSong" w:eastAsia="FangSong" w:cs="FangSong"/>
          <w:sz w:val="30"/>
          <w:szCs w:val="30"/>
          <w:spacing w:val="22"/>
        </w:rPr>
        <w:t>一条第(十六)项</w:t>
      </w:r>
      <w:r>
        <w:rPr>
          <w:rFonts w:ascii="FangSong" w:hAnsi="FangSong" w:eastAsia="FangSong" w:cs="FangSong"/>
          <w:sz w:val="30"/>
          <w:szCs w:val="30"/>
          <w:spacing w:val="22"/>
        </w:rPr>
        <w:t xml:space="preserve">  </w:t>
      </w:r>
      <w:r>
        <w:rPr>
          <w:rFonts w:ascii="FangSong" w:hAnsi="FangSong" w:eastAsia="FangSong" w:cs="FangSong"/>
          <w:sz w:val="30"/>
          <w:szCs w:val="30"/>
          <w:spacing w:val="22"/>
        </w:rPr>
        <w:t>血站有下列行为之一的，由县级以上地方人民</w:t>
      </w:r>
      <w:r>
        <w:rPr>
          <w:rFonts w:ascii="FangSong" w:hAnsi="FangSong" w:eastAsia="FangSong" w:cs="FangSong"/>
          <w:sz w:val="30"/>
          <w:szCs w:val="30"/>
          <w:spacing w:val="21"/>
        </w:rPr>
        <w:t>政府</w:t>
      </w:r>
      <w:r>
        <w:rPr>
          <w:rFonts w:ascii="FangSong" w:hAnsi="FangSong" w:eastAsia="FangSong" w:cs="FangSong"/>
          <w:sz w:val="30"/>
          <w:szCs w:val="30"/>
        </w:rPr>
        <w:t xml:space="preserve"> </w:t>
      </w:r>
      <w:r>
        <w:rPr>
          <w:rFonts w:ascii="FangSong" w:hAnsi="FangSong" w:eastAsia="FangSong" w:cs="FangSong"/>
          <w:sz w:val="30"/>
          <w:szCs w:val="30"/>
          <w:spacing w:val="16"/>
        </w:rPr>
        <w:t>卫生计生行政部门予以警告、责令改正；逾期不改正，或者造成经血液传播疾病发生，或者其他严重</w:t>
      </w:r>
      <w:r>
        <w:rPr>
          <w:rFonts w:ascii="FangSong" w:hAnsi="FangSong" w:eastAsia="FangSong" w:cs="FangSong"/>
          <w:sz w:val="30"/>
          <w:szCs w:val="30"/>
          <w:spacing w:val="11"/>
        </w:rPr>
        <w:t xml:space="preserve"> </w:t>
      </w:r>
      <w:r>
        <w:rPr>
          <w:rFonts w:ascii="FangSong" w:hAnsi="FangSong" w:eastAsia="FangSong" w:cs="FangSong"/>
          <w:sz w:val="30"/>
          <w:szCs w:val="30"/>
          <w:spacing w:val="17"/>
        </w:rPr>
        <w:t>后果的，对负有责任的主管人员和其他直接负责人员，依法给予行政处分；构成犯罪的，依法追究刑</w:t>
      </w:r>
      <w:r>
        <w:rPr>
          <w:rFonts w:ascii="FangSong" w:hAnsi="FangSong" w:eastAsia="FangSong" w:cs="FangSong"/>
          <w:sz w:val="30"/>
          <w:szCs w:val="30"/>
          <w:spacing w:val="6"/>
        </w:rPr>
        <w:t xml:space="preserve"> </w:t>
      </w:r>
      <w:r>
        <w:rPr>
          <w:rFonts w:ascii="FangSong" w:hAnsi="FangSong" w:eastAsia="FangSong" w:cs="FangSong"/>
          <w:sz w:val="30"/>
          <w:szCs w:val="30"/>
          <w:spacing w:val="-2"/>
        </w:rPr>
        <w:t>事责任：</w:t>
      </w:r>
    </w:p>
    <w:p>
      <w:pPr>
        <w:ind w:left="904"/>
        <w:spacing w:line="220" w:lineRule="auto"/>
        <w:rPr>
          <w:rFonts w:ascii="FangSong" w:hAnsi="FangSong" w:eastAsia="FangSong" w:cs="FangSong"/>
          <w:sz w:val="30"/>
          <w:szCs w:val="30"/>
        </w:rPr>
      </w:pPr>
      <w:r>
        <w:rPr>
          <w:rFonts w:ascii="FangSong" w:hAnsi="FangSong" w:eastAsia="FangSong" w:cs="FangSong"/>
          <w:sz w:val="30"/>
          <w:szCs w:val="30"/>
          <w:spacing w:val="23"/>
        </w:rPr>
        <w:t>(十六)脐带血造血干细胞库等特殊血站违反有关技术规范的；</w:t>
      </w:r>
    </w:p>
    <w:p>
      <w:pPr>
        <w:ind w:left="6529"/>
        <w:spacing w:before="152"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70" w:lineRule="exact"/>
        <w:rPr/>
      </w:pPr>
      <w:r/>
    </w:p>
    <w:tbl>
      <w:tblPr>
        <w:tblStyle w:val="TableNormal"/>
        <w:tblW w:w="14170" w:type="dxa"/>
        <w:tblInd w:w="3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6166"/>
        <w:gridCol w:w="6560"/>
      </w:tblGrid>
      <w:tr>
        <w:trPr>
          <w:trHeight w:val="440" w:hRule="atLeast"/>
        </w:trPr>
        <w:tc>
          <w:tcPr>
            <w:tcW w:w="1444" w:type="dxa"/>
            <w:vAlign w:val="top"/>
          </w:tcPr>
          <w:p>
            <w:pPr>
              <w:pStyle w:val="TableText"/>
              <w:ind w:left="198"/>
              <w:spacing w:before="92" w:line="220" w:lineRule="auto"/>
              <w:rPr>
                <w:sz w:val="26"/>
                <w:szCs w:val="26"/>
              </w:rPr>
            </w:pPr>
            <w:r>
              <w:rPr>
                <w:sz w:val="26"/>
                <w:szCs w:val="26"/>
                <w:b/>
                <w:bCs/>
                <w:spacing w:val="-5"/>
              </w:rPr>
              <w:t>违法程度</w:t>
            </w:r>
          </w:p>
        </w:tc>
        <w:tc>
          <w:tcPr>
            <w:tcW w:w="6166" w:type="dxa"/>
            <w:vAlign w:val="top"/>
          </w:tcPr>
          <w:p>
            <w:pPr>
              <w:pStyle w:val="TableText"/>
              <w:ind w:left="2514"/>
              <w:spacing w:before="92" w:line="220" w:lineRule="auto"/>
              <w:rPr>
                <w:sz w:val="26"/>
                <w:szCs w:val="26"/>
              </w:rPr>
            </w:pPr>
            <w:r>
              <w:rPr>
                <w:sz w:val="26"/>
                <w:szCs w:val="26"/>
                <w:b/>
                <w:bCs/>
                <w:spacing w:val="-5"/>
              </w:rPr>
              <w:t>情节后果</w:t>
            </w:r>
          </w:p>
        </w:tc>
        <w:tc>
          <w:tcPr>
            <w:tcW w:w="6560" w:type="dxa"/>
            <w:vAlign w:val="top"/>
          </w:tcPr>
          <w:p>
            <w:pPr>
              <w:pStyle w:val="TableText"/>
              <w:ind w:left="2758"/>
              <w:spacing w:before="89" w:line="218" w:lineRule="auto"/>
              <w:rPr>
                <w:sz w:val="26"/>
                <w:szCs w:val="26"/>
              </w:rPr>
            </w:pPr>
            <w:r>
              <w:rPr>
                <w:sz w:val="26"/>
                <w:szCs w:val="26"/>
                <w:b/>
                <w:bCs/>
                <w:spacing w:val="-5"/>
              </w:rPr>
              <w:t>裁量幅度</w:t>
            </w:r>
          </w:p>
        </w:tc>
      </w:tr>
      <w:tr>
        <w:trPr>
          <w:trHeight w:val="509" w:hRule="atLeast"/>
        </w:trPr>
        <w:tc>
          <w:tcPr>
            <w:tcW w:w="1444" w:type="dxa"/>
            <w:vAlign w:val="top"/>
          </w:tcPr>
          <w:p>
            <w:pPr>
              <w:pStyle w:val="TableText"/>
              <w:ind w:left="458"/>
              <w:spacing w:before="33" w:line="221" w:lineRule="auto"/>
              <w:rPr>
                <w:sz w:val="26"/>
                <w:szCs w:val="26"/>
              </w:rPr>
            </w:pPr>
            <w:r>
              <w:rPr>
                <w:sz w:val="26"/>
                <w:szCs w:val="26"/>
                <w:b/>
                <w:bCs/>
                <w:spacing w:val="-10"/>
              </w:rPr>
              <w:t>一般</w:t>
            </w:r>
          </w:p>
        </w:tc>
        <w:tc>
          <w:tcPr>
            <w:tcW w:w="6166" w:type="dxa"/>
            <w:vAlign w:val="top"/>
          </w:tcPr>
          <w:p>
            <w:pPr>
              <w:pStyle w:val="TableText"/>
              <w:ind w:left="104"/>
              <w:spacing w:before="130" w:line="219" w:lineRule="auto"/>
              <w:rPr>
                <w:sz w:val="26"/>
                <w:szCs w:val="26"/>
              </w:rPr>
            </w:pPr>
            <w:r>
              <w:rPr>
                <w:sz w:val="26"/>
                <w:szCs w:val="26"/>
                <w:b/>
                <w:bCs/>
                <w:spacing w:val="-3"/>
              </w:rPr>
              <w:t>脐带血造血干细胞库等特殊血站违反有关技术规范的</w:t>
            </w:r>
          </w:p>
        </w:tc>
        <w:tc>
          <w:tcPr>
            <w:tcW w:w="6560" w:type="dxa"/>
            <w:vAlign w:val="top"/>
          </w:tcPr>
          <w:p>
            <w:pPr>
              <w:pStyle w:val="TableText"/>
              <w:spacing w:before="129" w:line="218" w:lineRule="auto"/>
              <w:jc w:val="right"/>
              <w:rPr>
                <w:sz w:val="26"/>
                <w:szCs w:val="26"/>
              </w:rPr>
            </w:pPr>
            <w:r>
              <w:rPr>
                <w:sz w:val="26"/>
                <w:szCs w:val="26"/>
                <w:b/>
                <w:bCs/>
                <w:spacing w:val="-12"/>
              </w:rPr>
              <w:t>由县级以上地方人民政府卫生行政部门予以警告、责令改正</w:t>
            </w:r>
          </w:p>
        </w:tc>
      </w:tr>
    </w:tbl>
    <w:p>
      <w:pPr>
        <w:pStyle w:val="BodyText"/>
        <w:spacing w:line="263" w:lineRule="auto"/>
        <w:rPr/>
      </w:pPr>
      <w:r/>
    </w:p>
    <w:p>
      <w:pPr>
        <w:pStyle w:val="BodyText"/>
        <w:spacing w:line="263" w:lineRule="auto"/>
        <w:rPr/>
      </w:pPr>
      <w:r/>
    </w:p>
    <w:p>
      <w:pPr>
        <w:pStyle w:val="BodyText"/>
        <w:spacing w:line="263" w:lineRule="auto"/>
        <w:rPr/>
      </w:pPr>
      <w:r/>
    </w:p>
    <w:p>
      <w:pPr>
        <w:pStyle w:val="BodyText"/>
        <w:spacing w:line="264" w:lineRule="auto"/>
        <w:rPr/>
      </w:pPr>
      <w:r/>
    </w:p>
    <w:p>
      <w:pPr>
        <w:ind w:left="6524"/>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6"/>
          <w:w w:val="96"/>
        </w:rPr>
        <w:t>—449—</w:t>
      </w:r>
    </w:p>
    <w:p>
      <w:pPr>
        <w:spacing w:line="188" w:lineRule="auto"/>
        <w:sectPr>
          <w:pgSz w:w="16830" w:h="11900"/>
          <w:pgMar w:top="1011" w:right="1314" w:bottom="400" w:left="1305" w:header="0" w:footer="0" w:gutter="0"/>
        </w:sectPr>
        <w:rPr>
          <w:rFonts w:ascii="Times New Roman" w:hAnsi="Times New Roman" w:eastAsia="Times New Roman" w:cs="Times New Roman"/>
          <w:sz w:val="37"/>
          <w:szCs w:val="37"/>
        </w:rPr>
      </w:pPr>
    </w:p>
    <w:p>
      <w:pPr>
        <w:pStyle w:val="BodyText"/>
        <w:spacing w:line="262" w:lineRule="auto"/>
        <w:rPr/>
      </w:pPr>
      <w:r/>
    </w:p>
    <w:p>
      <w:pPr>
        <w:pStyle w:val="BodyText"/>
        <w:spacing w:line="262" w:lineRule="auto"/>
        <w:rPr/>
      </w:pPr>
      <w:r/>
    </w:p>
    <w:p>
      <w:pPr>
        <w:pStyle w:val="BodyText"/>
        <w:spacing w:line="262" w:lineRule="auto"/>
        <w:rPr/>
      </w:pPr>
      <w:r/>
    </w:p>
    <w:p>
      <w:pPr>
        <w:ind w:left="909"/>
        <w:spacing w:before="98" w:line="223" w:lineRule="auto"/>
        <w:outlineLvl w:val="0"/>
        <w:rPr>
          <w:rFonts w:ascii="KaiTi" w:hAnsi="KaiTi" w:eastAsia="KaiTi" w:cs="KaiTi"/>
          <w:sz w:val="30"/>
          <w:szCs w:val="30"/>
        </w:rPr>
      </w:pPr>
      <w:bookmarkStart w:name="bookmark1057" w:id="428"/>
      <w:bookmarkEnd w:id="428"/>
      <w:bookmarkStart w:name="bookmark410" w:id="429"/>
      <w:bookmarkEnd w:id="429"/>
      <w:bookmarkStart w:name="bookmark411" w:id="430"/>
      <w:bookmarkEnd w:id="430"/>
      <w:r>
        <w:rPr>
          <w:rFonts w:ascii="KaiTi" w:hAnsi="KaiTi" w:eastAsia="KaiTi" w:cs="KaiTi"/>
          <w:sz w:val="30"/>
          <w:szCs w:val="30"/>
          <w:b/>
          <w:bCs/>
          <w:spacing w:val="26"/>
        </w:rPr>
        <w:t>(三十三)《医疗机构临床用血管理办法》</w:t>
      </w:r>
    </w:p>
    <w:p>
      <w:pPr>
        <w:ind w:left="799"/>
        <w:spacing w:before="309" w:line="220" w:lineRule="auto"/>
        <w:rPr>
          <w:rFonts w:ascii="FangSong" w:hAnsi="FangSong" w:eastAsia="FangSong" w:cs="FangSong"/>
          <w:sz w:val="30"/>
          <w:szCs w:val="30"/>
        </w:rPr>
      </w:pPr>
      <w:r>
        <w:rPr>
          <w:rFonts w:ascii="FangSong" w:hAnsi="FangSong" w:eastAsia="FangSong" w:cs="FangSong"/>
          <w:sz w:val="30"/>
          <w:szCs w:val="30"/>
          <w:b/>
          <w:bCs/>
          <w:spacing w:val="22"/>
        </w:rPr>
        <w:t>第三百七十五条医疗机构未设立临床用血管理委员会或者工作组的</w:t>
      </w:r>
    </w:p>
    <w:p>
      <w:pPr>
        <w:ind w:left="904"/>
        <w:spacing w:before="11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45" w:right="5" w:firstLine="609"/>
        <w:spacing w:before="108" w:line="264" w:lineRule="auto"/>
        <w:jc w:val="both"/>
        <w:rPr>
          <w:rFonts w:ascii="FangSong" w:hAnsi="FangSong" w:eastAsia="FangSong" w:cs="FangSong"/>
          <w:sz w:val="30"/>
          <w:szCs w:val="30"/>
        </w:rPr>
      </w:pPr>
      <w:r>
        <w:rPr>
          <w:rFonts w:ascii="FangSong" w:hAnsi="FangSong" w:eastAsia="FangSong" w:cs="FangSong"/>
          <w:sz w:val="30"/>
          <w:szCs w:val="30"/>
          <w:spacing w:val="24"/>
        </w:rPr>
        <w:t>《医疗机构临床用血管理办法》第三十五条第(一)项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医疗机构有下列情形之一的，由县级以</w:t>
      </w:r>
      <w:r>
        <w:rPr>
          <w:rFonts w:ascii="FangSong" w:hAnsi="FangSong" w:eastAsia="FangSong" w:cs="FangSong"/>
          <w:sz w:val="30"/>
          <w:szCs w:val="30"/>
          <w:spacing w:val="2"/>
        </w:rPr>
        <w:t xml:space="preserve"> </w:t>
      </w:r>
      <w:r>
        <w:rPr>
          <w:rFonts w:ascii="FangSong" w:hAnsi="FangSong" w:eastAsia="FangSong" w:cs="FangSong"/>
          <w:sz w:val="30"/>
          <w:szCs w:val="30"/>
          <w:spacing w:val="17"/>
        </w:rPr>
        <w:t>上人民政府卫生行政部门责令限期改正；逾期不改的，进行</w:t>
      </w:r>
      <w:r>
        <w:rPr>
          <w:rFonts w:ascii="FangSong" w:hAnsi="FangSong" w:eastAsia="FangSong" w:cs="FangSong"/>
          <w:sz w:val="30"/>
          <w:szCs w:val="30"/>
          <w:spacing w:val="16"/>
        </w:rPr>
        <w:t>通报批评，并予以警告；情节严重或者造</w:t>
      </w:r>
      <w:r>
        <w:rPr>
          <w:rFonts w:ascii="FangSong" w:hAnsi="FangSong" w:eastAsia="FangSong" w:cs="FangSong"/>
          <w:sz w:val="30"/>
          <w:szCs w:val="30"/>
        </w:rPr>
        <w:t xml:space="preserve"> </w:t>
      </w:r>
      <w:r>
        <w:rPr>
          <w:rFonts w:ascii="FangSong" w:hAnsi="FangSong" w:eastAsia="FangSong" w:cs="FangSong"/>
          <w:sz w:val="30"/>
          <w:szCs w:val="30"/>
          <w:spacing w:val="18"/>
        </w:rPr>
        <w:t>成严重后果的，可处3</w:t>
      </w:r>
      <w:r>
        <w:rPr>
          <w:rFonts w:ascii="FangSong" w:hAnsi="FangSong" w:eastAsia="FangSong" w:cs="FangSong"/>
          <w:sz w:val="30"/>
          <w:szCs w:val="30"/>
          <w:spacing w:val="18"/>
        </w:rPr>
        <w:t xml:space="preserve"> </w:t>
      </w:r>
      <w:r>
        <w:rPr>
          <w:rFonts w:ascii="FangSong" w:hAnsi="FangSong" w:eastAsia="FangSong" w:cs="FangSong"/>
          <w:sz w:val="30"/>
          <w:szCs w:val="30"/>
          <w:spacing w:val="18"/>
        </w:rPr>
        <w:t>万元以下的罚款，对负有责任的主管人员和其他直接责任人员依法给予处分：</w:t>
      </w:r>
    </w:p>
    <w:p>
      <w:pPr>
        <w:ind w:left="904"/>
        <w:spacing w:line="220" w:lineRule="auto"/>
        <w:rPr>
          <w:rFonts w:ascii="FangSong" w:hAnsi="FangSong" w:eastAsia="FangSong" w:cs="FangSong"/>
          <w:sz w:val="30"/>
          <w:szCs w:val="30"/>
        </w:rPr>
      </w:pPr>
      <w:r>
        <w:rPr>
          <w:rFonts w:ascii="FangSong" w:hAnsi="FangSong" w:eastAsia="FangSong" w:cs="FangSong"/>
          <w:sz w:val="30"/>
          <w:szCs w:val="30"/>
          <w:spacing w:val="23"/>
        </w:rPr>
        <w:t>(一)未设立临床用血管理委员会或者工作组的；</w:t>
      </w:r>
    </w:p>
    <w:p>
      <w:pPr>
        <w:ind w:left="6538"/>
        <w:spacing w:before="181"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70" w:lineRule="exact"/>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245"/>
        <w:gridCol w:w="5481"/>
      </w:tblGrid>
      <w:tr>
        <w:trPr>
          <w:trHeight w:val="423" w:hRule="atLeast"/>
        </w:trPr>
        <w:tc>
          <w:tcPr>
            <w:tcW w:w="1444" w:type="dxa"/>
            <w:vAlign w:val="top"/>
          </w:tcPr>
          <w:p>
            <w:pPr>
              <w:pStyle w:val="TableText"/>
              <w:ind w:left="218"/>
              <w:spacing w:before="92" w:line="220" w:lineRule="auto"/>
              <w:rPr>
                <w:sz w:val="25"/>
                <w:szCs w:val="25"/>
              </w:rPr>
            </w:pPr>
            <w:r>
              <w:rPr>
                <w:sz w:val="25"/>
                <w:szCs w:val="25"/>
                <w:b/>
                <w:bCs/>
                <w:spacing w:val="-5"/>
              </w:rPr>
              <w:t>违法程度</w:t>
            </w:r>
          </w:p>
        </w:tc>
        <w:tc>
          <w:tcPr>
            <w:tcW w:w="7245" w:type="dxa"/>
            <w:vAlign w:val="top"/>
          </w:tcPr>
          <w:p>
            <w:pPr>
              <w:pStyle w:val="TableText"/>
              <w:ind w:left="3114"/>
              <w:spacing w:before="92" w:line="220" w:lineRule="auto"/>
              <w:rPr>
                <w:sz w:val="25"/>
                <w:szCs w:val="25"/>
              </w:rPr>
            </w:pPr>
            <w:r>
              <w:rPr>
                <w:sz w:val="25"/>
                <w:szCs w:val="25"/>
                <w:b/>
                <w:bCs/>
                <w:spacing w:val="-5"/>
              </w:rPr>
              <w:t>情节后果</w:t>
            </w:r>
          </w:p>
        </w:tc>
        <w:tc>
          <w:tcPr>
            <w:tcW w:w="5481" w:type="dxa"/>
            <w:vAlign w:val="top"/>
          </w:tcPr>
          <w:p>
            <w:pPr>
              <w:pStyle w:val="TableText"/>
              <w:ind w:left="2179"/>
              <w:spacing w:before="89" w:line="218" w:lineRule="auto"/>
              <w:rPr>
                <w:sz w:val="25"/>
                <w:szCs w:val="25"/>
              </w:rPr>
            </w:pPr>
            <w:r>
              <w:rPr>
                <w:sz w:val="25"/>
                <w:szCs w:val="25"/>
                <w:b/>
                <w:bCs/>
                <w:spacing w:val="-5"/>
              </w:rPr>
              <w:t>裁量幅度</w:t>
            </w:r>
          </w:p>
        </w:tc>
      </w:tr>
      <w:tr>
        <w:trPr>
          <w:trHeight w:val="676" w:hRule="atLeast"/>
        </w:trPr>
        <w:tc>
          <w:tcPr>
            <w:tcW w:w="1444" w:type="dxa"/>
            <w:vAlign w:val="top"/>
          </w:tcPr>
          <w:p>
            <w:pPr>
              <w:pStyle w:val="TableText"/>
              <w:ind w:left="468"/>
              <w:spacing w:before="220" w:line="221" w:lineRule="auto"/>
              <w:rPr>
                <w:sz w:val="25"/>
                <w:szCs w:val="25"/>
              </w:rPr>
            </w:pPr>
            <w:r>
              <w:rPr>
                <w:sz w:val="25"/>
                <w:szCs w:val="25"/>
                <w:b/>
                <w:bCs/>
                <w:spacing w:val="-10"/>
              </w:rPr>
              <w:t>一般</w:t>
            </w:r>
          </w:p>
        </w:tc>
        <w:tc>
          <w:tcPr>
            <w:tcW w:w="7245" w:type="dxa"/>
            <w:vAlign w:val="top"/>
          </w:tcPr>
          <w:p>
            <w:pPr>
              <w:pStyle w:val="TableText"/>
              <w:ind w:left="119" w:hanging="108"/>
              <w:spacing w:before="81" w:line="216" w:lineRule="auto"/>
              <w:rPr>
                <w:sz w:val="25"/>
                <w:szCs w:val="25"/>
              </w:rPr>
            </w:pPr>
            <w:r>
              <w:rPr>
                <w:sz w:val="25"/>
                <w:szCs w:val="25"/>
                <w:spacing w:val="-9"/>
              </w:rPr>
              <w:t>医疗机构未设立临床用血管理委员会或者工作组，经</w:t>
            </w:r>
            <w:r>
              <w:rPr>
                <w:sz w:val="25"/>
                <w:szCs w:val="25"/>
                <w:spacing w:val="-10"/>
              </w:rPr>
              <w:t>责令限期改正，</w:t>
            </w:r>
            <w:r>
              <w:rPr>
                <w:sz w:val="25"/>
                <w:szCs w:val="25"/>
              </w:rPr>
              <w:t xml:space="preserve"> </w:t>
            </w:r>
            <w:r>
              <w:rPr>
                <w:sz w:val="25"/>
                <w:szCs w:val="25"/>
                <w:spacing w:val="-1"/>
              </w:rPr>
              <w:t>逾期不改的</w:t>
            </w:r>
          </w:p>
        </w:tc>
        <w:tc>
          <w:tcPr>
            <w:tcW w:w="5481" w:type="dxa"/>
            <w:vAlign w:val="top"/>
          </w:tcPr>
          <w:p>
            <w:pPr>
              <w:pStyle w:val="TableText"/>
              <w:ind w:left="136"/>
              <w:spacing w:before="220" w:line="218" w:lineRule="auto"/>
              <w:rPr>
                <w:sz w:val="25"/>
                <w:szCs w:val="25"/>
              </w:rPr>
            </w:pPr>
            <w:r>
              <w:rPr>
                <w:sz w:val="25"/>
                <w:szCs w:val="25"/>
                <w:spacing w:val="1"/>
              </w:rPr>
              <w:t>通报批评，予以警告</w:t>
            </w:r>
          </w:p>
        </w:tc>
      </w:tr>
      <w:tr>
        <w:trPr>
          <w:trHeight w:val="701" w:hRule="atLeast"/>
        </w:trPr>
        <w:tc>
          <w:tcPr>
            <w:tcW w:w="1444" w:type="dxa"/>
            <w:vAlign w:val="top"/>
          </w:tcPr>
          <w:p>
            <w:pPr>
              <w:pStyle w:val="TableText"/>
              <w:ind w:left="468"/>
              <w:spacing w:before="233" w:line="220" w:lineRule="auto"/>
              <w:rPr>
                <w:sz w:val="25"/>
                <w:szCs w:val="25"/>
              </w:rPr>
            </w:pPr>
            <w:r>
              <w:rPr>
                <w:sz w:val="25"/>
                <w:szCs w:val="25"/>
                <w:b/>
                <w:bCs/>
                <w:spacing w:val="-6"/>
              </w:rPr>
              <w:t>严重</w:t>
            </w:r>
          </w:p>
        </w:tc>
        <w:tc>
          <w:tcPr>
            <w:tcW w:w="7245" w:type="dxa"/>
            <w:vAlign w:val="top"/>
          </w:tcPr>
          <w:p>
            <w:pPr>
              <w:pStyle w:val="TableText"/>
              <w:spacing w:before="84" w:line="219" w:lineRule="auto"/>
              <w:jc w:val="right"/>
              <w:rPr>
                <w:sz w:val="25"/>
                <w:szCs w:val="25"/>
              </w:rPr>
            </w:pPr>
            <w:r>
              <w:rPr>
                <w:sz w:val="25"/>
                <w:szCs w:val="25"/>
                <w:spacing w:val="-1"/>
              </w:rPr>
              <w:t>医疗机构未设立临床用血管理委员会或者工作组情节严重或者造成</w:t>
            </w:r>
          </w:p>
          <w:p>
            <w:pPr>
              <w:pStyle w:val="TableText"/>
              <w:ind w:left="110"/>
              <w:spacing w:before="45" w:line="195" w:lineRule="auto"/>
              <w:rPr>
                <w:sz w:val="25"/>
                <w:szCs w:val="25"/>
              </w:rPr>
            </w:pPr>
            <w:r>
              <w:rPr>
                <w:sz w:val="25"/>
                <w:szCs w:val="25"/>
                <w:color w:val="404030"/>
                <w:spacing w:val="3"/>
              </w:rPr>
              <w:t>严重后果的</w:t>
            </w:r>
          </w:p>
        </w:tc>
        <w:tc>
          <w:tcPr>
            <w:tcW w:w="5481" w:type="dxa"/>
            <w:vAlign w:val="top"/>
          </w:tcPr>
          <w:p>
            <w:pPr>
              <w:pStyle w:val="TableText"/>
              <w:ind w:left="136"/>
              <w:spacing w:before="237" w:line="220" w:lineRule="auto"/>
              <w:rPr>
                <w:sz w:val="25"/>
                <w:szCs w:val="25"/>
              </w:rPr>
            </w:pPr>
            <w:r>
              <w:rPr>
                <w:sz w:val="25"/>
                <w:szCs w:val="25"/>
                <w:spacing w:val="1"/>
              </w:rPr>
              <w:t>可处3万元以下的罚款</w:t>
            </w:r>
          </w:p>
        </w:tc>
      </w:tr>
    </w:tbl>
    <w:p>
      <w:pPr>
        <w:pStyle w:val="BodyText"/>
        <w:spacing w:line="427" w:lineRule="auto"/>
        <w:rPr/>
      </w:pPr>
      <w:r/>
    </w:p>
    <w:p>
      <w:pPr>
        <w:ind w:left="799"/>
        <w:spacing w:before="97" w:line="220" w:lineRule="auto"/>
        <w:rPr>
          <w:rFonts w:ascii="FangSong" w:hAnsi="FangSong" w:eastAsia="FangSong" w:cs="FangSong"/>
          <w:sz w:val="30"/>
          <w:szCs w:val="30"/>
        </w:rPr>
      </w:pPr>
      <w:r>
        <w:rPr>
          <w:rFonts w:ascii="FangSong" w:hAnsi="FangSong" w:eastAsia="FangSong" w:cs="FangSong"/>
          <w:sz w:val="30"/>
          <w:szCs w:val="30"/>
          <w:b/>
          <w:bCs/>
          <w:spacing w:val="21"/>
        </w:rPr>
        <w:t>第三百七十六条医疗机构未拟定临床用血计划或者一年内未对计划实施情况</w:t>
      </w:r>
      <w:r>
        <w:rPr>
          <w:rFonts w:ascii="FangSong" w:hAnsi="FangSong" w:eastAsia="FangSong" w:cs="FangSong"/>
          <w:sz w:val="30"/>
          <w:szCs w:val="30"/>
          <w:b/>
          <w:bCs/>
          <w:spacing w:val="20"/>
        </w:rPr>
        <w:t>进行评估和考核</w:t>
      </w:r>
    </w:p>
    <w:p>
      <w:pPr>
        <w:ind w:left="145"/>
        <w:spacing w:before="87" w:line="227" w:lineRule="auto"/>
        <w:rPr>
          <w:rFonts w:ascii="FangSong" w:hAnsi="FangSong" w:eastAsia="FangSong" w:cs="FangSong"/>
          <w:sz w:val="30"/>
          <w:szCs w:val="30"/>
        </w:rPr>
      </w:pPr>
      <w:r>
        <w:rPr>
          <w:rFonts w:ascii="FangSong" w:hAnsi="FangSong" w:eastAsia="FangSong" w:cs="FangSong"/>
          <w:sz w:val="30"/>
          <w:szCs w:val="30"/>
        </w:rPr>
        <w:t>的</w:t>
      </w:r>
    </w:p>
    <w:p>
      <w:pPr>
        <w:ind w:left="904"/>
        <w:spacing w:before="55"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754"/>
        <w:spacing w:before="109" w:line="222" w:lineRule="auto"/>
        <w:rPr>
          <w:rFonts w:ascii="FangSong" w:hAnsi="FangSong" w:eastAsia="FangSong" w:cs="FangSong"/>
          <w:sz w:val="30"/>
          <w:szCs w:val="30"/>
        </w:rPr>
      </w:pPr>
      <w:r>
        <w:rPr>
          <w:rFonts w:ascii="FangSong" w:hAnsi="FangSong" w:eastAsia="FangSong" w:cs="FangSong"/>
          <w:sz w:val="30"/>
          <w:szCs w:val="30"/>
          <w:spacing w:val="24"/>
        </w:rPr>
        <w:t>《医疗机构临床用血管理办法》第三十五条第(二)项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医疗机构有下列情形之一的，由县级以</w:t>
      </w:r>
    </w:p>
    <w:p>
      <w:pPr>
        <w:pStyle w:val="BodyText"/>
        <w:spacing w:line="279" w:lineRule="auto"/>
        <w:rPr/>
      </w:pPr>
      <w:r/>
    </w:p>
    <w:p>
      <w:pPr>
        <w:pStyle w:val="BodyText"/>
        <w:spacing w:line="280" w:lineRule="auto"/>
        <w:rPr/>
      </w:pPr>
      <w:r/>
    </w:p>
    <w:p>
      <w:pPr>
        <w:pStyle w:val="BodyText"/>
        <w:spacing w:line="280" w:lineRule="auto"/>
        <w:rPr/>
      </w:pPr>
      <w:r/>
    </w:p>
    <w:p>
      <w:pPr>
        <w:ind w:left="6524"/>
        <w:spacing w:before="108"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w w:val="98"/>
        </w:rPr>
        <w:t>—450—</w:t>
      </w:r>
    </w:p>
    <w:p>
      <w:pPr>
        <w:spacing w:line="188" w:lineRule="auto"/>
        <w:sectPr>
          <w:pgSz w:w="16830" w:h="11900"/>
          <w:pgMar w:top="1011" w:right="1344" w:bottom="400" w:left="1305" w:header="0" w:footer="0" w:gutter="0"/>
        </w:sectPr>
        <w:rPr>
          <w:rFonts w:ascii="Times New Roman" w:hAnsi="Times New Roman" w:eastAsia="Times New Roman" w:cs="Times New Roman"/>
          <w:sz w:val="37"/>
          <w:szCs w:val="37"/>
        </w:rPr>
      </w:pPr>
    </w:p>
    <w:p>
      <w:pPr>
        <w:pStyle w:val="BodyText"/>
        <w:spacing w:line="265" w:lineRule="auto"/>
        <w:rPr/>
      </w:pPr>
      <w:r/>
    </w:p>
    <w:p>
      <w:pPr>
        <w:pStyle w:val="BodyText"/>
        <w:spacing w:line="265" w:lineRule="auto"/>
        <w:rPr/>
      </w:pPr>
      <w:r/>
    </w:p>
    <w:p>
      <w:pPr>
        <w:pStyle w:val="BodyText"/>
        <w:spacing w:line="266" w:lineRule="auto"/>
        <w:rPr/>
      </w:pPr>
      <w:r/>
    </w:p>
    <w:p>
      <w:pPr>
        <w:ind w:left="114" w:right="50"/>
        <w:spacing w:before="95" w:line="286" w:lineRule="auto"/>
        <w:rPr>
          <w:rFonts w:ascii="FangSong" w:hAnsi="FangSong" w:eastAsia="FangSong" w:cs="FangSong"/>
          <w:sz w:val="29"/>
          <w:szCs w:val="29"/>
        </w:rPr>
      </w:pPr>
      <w:bookmarkStart w:name="bookmark1058" w:id="431"/>
      <w:bookmarkEnd w:id="431"/>
      <w:r>
        <w:rPr>
          <w:rFonts w:ascii="FangSong" w:hAnsi="FangSong" w:eastAsia="FangSong" w:cs="FangSong"/>
          <w:sz w:val="29"/>
          <w:szCs w:val="29"/>
          <w:spacing w:val="27"/>
        </w:rPr>
        <w:t>上人民政府卫生行政部门责令限期改正；逾期不改的，进行通报批评，并予以警</w:t>
      </w:r>
      <w:r>
        <w:rPr>
          <w:rFonts w:ascii="FangSong" w:hAnsi="FangSong" w:eastAsia="FangSong" w:cs="FangSong"/>
          <w:sz w:val="29"/>
          <w:szCs w:val="29"/>
          <w:spacing w:val="26"/>
        </w:rPr>
        <w:t>告；情节严重或者造</w:t>
      </w:r>
      <w:r>
        <w:rPr>
          <w:rFonts w:ascii="FangSong" w:hAnsi="FangSong" w:eastAsia="FangSong" w:cs="FangSong"/>
          <w:sz w:val="29"/>
          <w:szCs w:val="29"/>
        </w:rPr>
        <w:t xml:space="preserve"> </w:t>
      </w:r>
      <w:r>
        <w:rPr>
          <w:rFonts w:ascii="FangSong" w:hAnsi="FangSong" w:eastAsia="FangSong" w:cs="FangSong"/>
          <w:sz w:val="29"/>
          <w:szCs w:val="29"/>
          <w:spacing w:val="28"/>
        </w:rPr>
        <w:t>成严重后果的，可处3</w:t>
      </w:r>
      <w:r>
        <w:rPr>
          <w:rFonts w:ascii="FangSong" w:hAnsi="FangSong" w:eastAsia="FangSong" w:cs="FangSong"/>
          <w:sz w:val="29"/>
          <w:szCs w:val="29"/>
          <w:spacing w:val="28"/>
        </w:rPr>
        <w:t xml:space="preserve"> </w:t>
      </w:r>
      <w:r>
        <w:rPr>
          <w:rFonts w:ascii="FangSong" w:hAnsi="FangSong" w:eastAsia="FangSong" w:cs="FangSong"/>
          <w:sz w:val="29"/>
          <w:szCs w:val="29"/>
          <w:spacing w:val="28"/>
        </w:rPr>
        <w:t>万元以下的罚款，对负有责任的主管人员和其他直接责任人员依法给予处分：</w:t>
      </w:r>
    </w:p>
    <w:p>
      <w:pPr>
        <w:ind w:left="884"/>
        <w:spacing w:line="220" w:lineRule="auto"/>
        <w:rPr>
          <w:rFonts w:ascii="FangSong" w:hAnsi="FangSong" w:eastAsia="FangSong" w:cs="FangSong"/>
          <w:sz w:val="29"/>
          <w:szCs w:val="29"/>
        </w:rPr>
      </w:pPr>
      <w:r>
        <w:rPr>
          <w:rFonts w:ascii="FangSong" w:hAnsi="FangSong" w:eastAsia="FangSong" w:cs="FangSong"/>
          <w:sz w:val="29"/>
          <w:szCs w:val="29"/>
          <w:spacing w:val="31"/>
        </w:rPr>
        <w:t>(二)未拟定临床用血计划或者一年内未对计划实施情况进行评估和考核的；</w:t>
      </w:r>
    </w:p>
    <w:p>
      <w:pPr>
        <w:ind w:left="6518"/>
        <w:spacing w:before="173" w:line="221" w:lineRule="auto"/>
        <w:rPr>
          <w:rFonts w:ascii="SimHei" w:hAnsi="SimHei" w:eastAsia="SimHei" w:cs="SimHei"/>
          <w:sz w:val="29"/>
          <w:szCs w:val="29"/>
        </w:rPr>
      </w:pPr>
      <w:r>
        <w:rPr>
          <w:rFonts w:ascii="SimHei" w:hAnsi="SimHei" w:eastAsia="SimHei" w:cs="SimHei"/>
          <w:sz w:val="29"/>
          <w:szCs w:val="29"/>
          <w:b/>
          <w:bCs/>
          <w:spacing w:val="-6"/>
        </w:rPr>
        <w:t>裁量标准</w:t>
      </w:r>
    </w:p>
    <w:p>
      <w:pPr>
        <w:spacing w:line="72" w:lineRule="exact"/>
        <w:rPr/>
      </w:pPr>
      <w:r/>
    </w:p>
    <w:tbl>
      <w:tblPr>
        <w:tblStyle w:val="TableNormal"/>
        <w:tblW w:w="1417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325"/>
        <w:gridCol w:w="5401"/>
      </w:tblGrid>
      <w:tr>
        <w:trPr>
          <w:trHeight w:val="432" w:hRule="atLeast"/>
        </w:trPr>
        <w:tc>
          <w:tcPr>
            <w:tcW w:w="1444" w:type="dxa"/>
            <w:vAlign w:val="top"/>
          </w:tcPr>
          <w:p>
            <w:pPr>
              <w:pStyle w:val="TableText"/>
              <w:ind w:left="218"/>
              <w:spacing w:before="92" w:line="220" w:lineRule="auto"/>
              <w:rPr>
                <w:sz w:val="25"/>
                <w:szCs w:val="25"/>
              </w:rPr>
            </w:pPr>
            <w:r>
              <w:rPr>
                <w:sz w:val="25"/>
                <w:szCs w:val="25"/>
                <w:b/>
                <w:bCs/>
                <w:spacing w:val="-5"/>
              </w:rPr>
              <w:t>违法程度</w:t>
            </w:r>
          </w:p>
        </w:tc>
        <w:tc>
          <w:tcPr>
            <w:tcW w:w="7325" w:type="dxa"/>
            <w:vAlign w:val="top"/>
          </w:tcPr>
          <w:p>
            <w:pPr>
              <w:pStyle w:val="TableText"/>
              <w:ind w:left="3154"/>
              <w:spacing w:before="92" w:line="220" w:lineRule="auto"/>
              <w:rPr>
                <w:sz w:val="25"/>
                <w:szCs w:val="25"/>
              </w:rPr>
            </w:pPr>
            <w:r>
              <w:rPr>
                <w:sz w:val="25"/>
                <w:szCs w:val="25"/>
                <w:b/>
                <w:bCs/>
                <w:spacing w:val="-5"/>
              </w:rPr>
              <w:t>情节后果</w:t>
            </w:r>
          </w:p>
        </w:tc>
        <w:tc>
          <w:tcPr>
            <w:tcW w:w="5401" w:type="dxa"/>
            <w:vAlign w:val="top"/>
          </w:tcPr>
          <w:p>
            <w:pPr>
              <w:pStyle w:val="TableText"/>
              <w:ind w:left="2129"/>
              <w:spacing w:before="89" w:line="218" w:lineRule="auto"/>
              <w:rPr>
                <w:sz w:val="25"/>
                <w:szCs w:val="25"/>
              </w:rPr>
            </w:pPr>
            <w:r>
              <w:rPr>
                <w:sz w:val="25"/>
                <w:szCs w:val="25"/>
                <w:b/>
                <w:bCs/>
                <w:spacing w:val="-5"/>
              </w:rPr>
              <w:t>裁量幅度</w:t>
            </w:r>
          </w:p>
        </w:tc>
      </w:tr>
      <w:tr>
        <w:trPr>
          <w:trHeight w:val="676" w:hRule="atLeast"/>
        </w:trPr>
        <w:tc>
          <w:tcPr>
            <w:tcW w:w="1444" w:type="dxa"/>
            <w:vAlign w:val="top"/>
          </w:tcPr>
          <w:p>
            <w:pPr>
              <w:pStyle w:val="TableText"/>
              <w:ind w:left="468"/>
              <w:spacing w:before="221" w:line="221" w:lineRule="auto"/>
              <w:rPr>
                <w:sz w:val="25"/>
                <w:szCs w:val="25"/>
              </w:rPr>
            </w:pPr>
            <w:r>
              <w:rPr>
                <w:sz w:val="25"/>
                <w:szCs w:val="25"/>
                <w:b/>
                <w:bCs/>
                <w:spacing w:val="-10"/>
              </w:rPr>
              <w:t>一般</w:t>
            </w:r>
          </w:p>
        </w:tc>
        <w:tc>
          <w:tcPr>
            <w:tcW w:w="7325" w:type="dxa"/>
            <w:vAlign w:val="top"/>
          </w:tcPr>
          <w:p>
            <w:pPr>
              <w:pStyle w:val="TableText"/>
              <w:ind w:left="110" w:right="24" w:hanging="79"/>
              <w:spacing w:before="72" w:line="219" w:lineRule="auto"/>
              <w:rPr>
                <w:sz w:val="25"/>
                <w:szCs w:val="25"/>
              </w:rPr>
            </w:pPr>
            <w:r>
              <w:rPr>
                <w:sz w:val="25"/>
                <w:szCs w:val="25"/>
              </w:rPr>
              <w:t>医疗机构未拟定临床用血计划或者一年内未对计划实施情况进行评</w:t>
            </w:r>
            <w:r>
              <w:rPr>
                <w:sz w:val="25"/>
                <w:szCs w:val="25"/>
                <w:spacing w:val="8"/>
              </w:rPr>
              <w:t xml:space="preserve"> </w:t>
            </w:r>
            <w:r>
              <w:rPr>
                <w:sz w:val="25"/>
                <w:szCs w:val="25"/>
                <w:spacing w:val="1"/>
              </w:rPr>
              <w:t>估和考核，经责令限期改正，逾期不改的</w:t>
            </w:r>
          </w:p>
        </w:tc>
        <w:tc>
          <w:tcPr>
            <w:tcW w:w="5401" w:type="dxa"/>
            <w:vAlign w:val="top"/>
          </w:tcPr>
          <w:p>
            <w:pPr>
              <w:pStyle w:val="TableText"/>
              <w:ind w:left="115"/>
              <w:spacing w:before="221" w:line="218" w:lineRule="auto"/>
              <w:rPr>
                <w:sz w:val="25"/>
                <w:szCs w:val="25"/>
              </w:rPr>
            </w:pPr>
            <w:r>
              <w:rPr>
                <w:sz w:val="25"/>
                <w:szCs w:val="25"/>
                <w:spacing w:val="1"/>
              </w:rPr>
              <w:t>通报批评，予以警告</w:t>
            </w:r>
          </w:p>
        </w:tc>
      </w:tr>
      <w:tr>
        <w:trPr>
          <w:trHeight w:val="671" w:hRule="atLeast"/>
        </w:trPr>
        <w:tc>
          <w:tcPr>
            <w:tcW w:w="1444" w:type="dxa"/>
            <w:vAlign w:val="top"/>
          </w:tcPr>
          <w:p>
            <w:pPr>
              <w:pStyle w:val="TableText"/>
              <w:ind w:left="468"/>
              <w:spacing w:before="214" w:line="220" w:lineRule="auto"/>
              <w:rPr>
                <w:sz w:val="25"/>
                <w:szCs w:val="25"/>
              </w:rPr>
            </w:pPr>
            <w:r>
              <w:rPr>
                <w:sz w:val="25"/>
                <w:szCs w:val="25"/>
                <w:b/>
                <w:bCs/>
                <w:spacing w:val="-6"/>
              </w:rPr>
              <w:t>严重</w:t>
            </w:r>
          </w:p>
        </w:tc>
        <w:tc>
          <w:tcPr>
            <w:tcW w:w="7325" w:type="dxa"/>
            <w:vAlign w:val="top"/>
          </w:tcPr>
          <w:p>
            <w:pPr>
              <w:pStyle w:val="TableText"/>
              <w:ind w:left="110" w:right="24" w:hanging="79"/>
              <w:spacing w:before="94" w:line="209" w:lineRule="auto"/>
              <w:rPr>
                <w:sz w:val="25"/>
                <w:szCs w:val="25"/>
              </w:rPr>
            </w:pPr>
            <w:r>
              <w:rPr>
                <w:sz w:val="25"/>
                <w:szCs w:val="25"/>
              </w:rPr>
              <w:t>医疗机构未拟定临床用血计划或者一年内未对计划实施情况进行评</w:t>
            </w:r>
            <w:r>
              <w:rPr>
                <w:sz w:val="25"/>
                <w:szCs w:val="25"/>
                <w:spacing w:val="8"/>
              </w:rPr>
              <w:t xml:space="preserve"> </w:t>
            </w:r>
            <w:r>
              <w:rPr>
                <w:sz w:val="25"/>
                <w:szCs w:val="25"/>
                <w:spacing w:val="1"/>
              </w:rPr>
              <w:t>估和考核情节严重的或者造成严重后果的</w:t>
            </w:r>
          </w:p>
        </w:tc>
        <w:tc>
          <w:tcPr>
            <w:tcW w:w="5401" w:type="dxa"/>
            <w:vAlign w:val="top"/>
          </w:tcPr>
          <w:p>
            <w:pPr>
              <w:pStyle w:val="TableText"/>
              <w:ind w:left="115"/>
              <w:spacing w:before="218" w:line="220" w:lineRule="auto"/>
              <w:rPr>
                <w:sz w:val="25"/>
                <w:szCs w:val="25"/>
              </w:rPr>
            </w:pPr>
            <w:r>
              <w:rPr>
                <w:sz w:val="25"/>
                <w:szCs w:val="25"/>
                <w:spacing w:val="1"/>
              </w:rPr>
              <w:t>可处3万元以下的罚款</w:t>
            </w:r>
          </w:p>
        </w:tc>
      </w:tr>
    </w:tbl>
    <w:p>
      <w:pPr>
        <w:pStyle w:val="BodyText"/>
        <w:spacing w:line="479" w:lineRule="auto"/>
        <w:rPr/>
      </w:pPr>
      <w:r/>
    </w:p>
    <w:p>
      <w:pPr>
        <w:ind w:left="779"/>
        <w:spacing w:before="95" w:line="220" w:lineRule="auto"/>
        <w:rPr>
          <w:rFonts w:ascii="FangSong" w:hAnsi="FangSong" w:eastAsia="FangSong" w:cs="FangSong"/>
          <w:sz w:val="29"/>
          <w:szCs w:val="29"/>
        </w:rPr>
      </w:pPr>
      <w:r>
        <w:rPr>
          <w:rFonts w:ascii="FangSong" w:hAnsi="FangSong" w:eastAsia="FangSong" w:cs="FangSong"/>
          <w:sz w:val="29"/>
          <w:szCs w:val="29"/>
          <w:b/>
          <w:bCs/>
          <w:spacing w:val="32"/>
        </w:rPr>
        <w:t>第三百七十七条医疗机构未建立血液发放和输血核对制度的</w:t>
      </w:r>
    </w:p>
    <w:p>
      <w:pPr>
        <w:ind w:left="774"/>
        <w:spacing w:before="102" w:line="222" w:lineRule="auto"/>
        <w:rPr>
          <w:rFonts w:ascii="FangSong" w:hAnsi="FangSong" w:eastAsia="FangSong" w:cs="FangSong"/>
          <w:sz w:val="29"/>
          <w:szCs w:val="29"/>
        </w:rPr>
      </w:pPr>
      <w:r>
        <w:rPr>
          <w:rFonts w:ascii="FangSong" w:hAnsi="FangSong" w:eastAsia="FangSong" w:cs="FangSong"/>
          <w:sz w:val="29"/>
          <w:szCs w:val="29"/>
          <w:spacing w:val="8"/>
        </w:rPr>
        <w:t>法律依据：</w:t>
      </w:r>
    </w:p>
    <w:p>
      <w:pPr>
        <w:ind w:left="114" w:right="50" w:firstLine="624"/>
        <w:spacing w:before="90" w:line="280" w:lineRule="auto"/>
        <w:jc w:val="both"/>
        <w:rPr>
          <w:rFonts w:ascii="FangSong" w:hAnsi="FangSong" w:eastAsia="FangSong" w:cs="FangSong"/>
          <w:sz w:val="29"/>
          <w:szCs w:val="29"/>
        </w:rPr>
      </w:pPr>
      <w:r>
        <w:rPr>
          <w:rFonts w:ascii="FangSong" w:hAnsi="FangSong" w:eastAsia="FangSong" w:cs="FangSong"/>
          <w:sz w:val="29"/>
          <w:szCs w:val="29"/>
          <w:spacing w:val="34"/>
        </w:rPr>
        <w:t>《医疗机构临床用血管理办法》第三十五条</w:t>
      </w:r>
      <w:r>
        <w:rPr>
          <w:rFonts w:ascii="FangSong" w:hAnsi="FangSong" w:eastAsia="FangSong" w:cs="FangSong"/>
          <w:sz w:val="29"/>
          <w:szCs w:val="29"/>
          <w:spacing w:val="33"/>
        </w:rPr>
        <w:t>第(三)项</w:t>
      </w:r>
      <w:r>
        <w:rPr>
          <w:rFonts w:ascii="FangSong" w:hAnsi="FangSong" w:eastAsia="FangSong" w:cs="FangSong"/>
          <w:sz w:val="29"/>
          <w:szCs w:val="29"/>
          <w:spacing w:val="33"/>
        </w:rPr>
        <w:t xml:space="preserve">  </w:t>
      </w:r>
      <w:r>
        <w:rPr>
          <w:rFonts w:ascii="FangSong" w:hAnsi="FangSong" w:eastAsia="FangSong" w:cs="FangSong"/>
          <w:sz w:val="29"/>
          <w:szCs w:val="29"/>
          <w:spacing w:val="33"/>
        </w:rPr>
        <w:t>医疗机构有下列情形之一的，由县级以</w:t>
      </w:r>
      <w:r>
        <w:rPr>
          <w:rFonts w:ascii="FangSong" w:hAnsi="FangSong" w:eastAsia="FangSong" w:cs="FangSong"/>
          <w:sz w:val="29"/>
          <w:szCs w:val="29"/>
        </w:rPr>
        <w:t xml:space="preserve"> </w:t>
      </w:r>
      <w:r>
        <w:rPr>
          <w:rFonts w:ascii="FangSong" w:hAnsi="FangSong" w:eastAsia="FangSong" w:cs="FangSong"/>
          <w:sz w:val="29"/>
          <w:szCs w:val="29"/>
          <w:spacing w:val="27"/>
        </w:rPr>
        <w:t>上人民政府卫生行政部门责令限期改正；逾期不改的，进行通报批评，并予以警</w:t>
      </w:r>
      <w:r>
        <w:rPr>
          <w:rFonts w:ascii="FangSong" w:hAnsi="FangSong" w:eastAsia="FangSong" w:cs="FangSong"/>
          <w:sz w:val="29"/>
          <w:szCs w:val="29"/>
          <w:spacing w:val="26"/>
        </w:rPr>
        <w:t>告；情节严重或者造</w:t>
      </w:r>
      <w:r>
        <w:rPr>
          <w:rFonts w:ascii="FangSong" w:hAnsi="FangSong" w:eastAsia="FangSong" w:cs="FangSong"/>
          <w:sz w:val="29"/>
          <w:szCs w:val="29"/>
        </w:rPr>
        <w:t xml:space="preserve"> </w:t>
      </w:r>
      <w:r>
        <w:rPr>
          <w:rFonts w:ascii="FangSong" w:hAnsi="FangSong" w:eastAsia="FangSong" w:cs="FangSong"/>
          <w:sz w:val="29"/>
          <w:szCs w:val="29"/>
          <w:spacing w:val="28"/>
        </w:rPr>
        <w:t>成严重后果的，可处3</w:t>
      </w:r>
      <w:r>
        <w:rPr>
          <w:rFonts w:ascii="FangSong" w:hAnsi="FangSong" w:eastAsia="FangSong" w:cs="FangSong"/>
          <w:sz w:val="29"/>
          <w:szCs w:val="29"/>
          <w:spacing w:val="28"/>
        </w:rPr>
        <w:t xml:space="preserve"> </w:t>
      </w:r>
      <w:r>
        <w:rPr>
          <w:rFonts w:ascii="FangSong" w:hAnsi="FangSong" w:eastAsia="FangSong" w:cs="FangSong"/>
          <w:sz w:val="29"/>
          <w:szCs w:val="29"/>
          <w:spacing w:val="28"/>
        </w:rPr>
        <w:t>万元以下的罚款，对负有责任的主管人员和其他直接责任人员依法给予处分：</w:t>
      </w:r>
    </w:p>
    <w:p>
      <w:pPr>
        <w:ind w:left="884"/>
        <w:spacing w:line="221" w:lineRule="auto"/>
        <w:rPr>
          <w:rFonts w:ascii="FangSong" w:hAnsi="FangSong" w:eastAsia="FangSong" w:cs="FangSong"/>
          <w:sz w:val="29"/>
          <w:szCs w:val="29"/>
        </w:rPr>
      </w:pPr>
      <w:r>
        <w:rPr>
          <w:rFonts w:ascii="FangSong" w:hAnsi="FangSong" w:eastAsia="FangSong" w:cs="FangSong"/>
          <w:sz w:val="29"/>
          <w:szCs w:val="29"/>
          <w:spacing w:val="33"/>
        </w:rPr>
        <w:t>(三)未建立血液发放和输血核对制度的；</w:t>
      </w:r>
    </w:p>
    <w:p>
      <w:pPr>
        <w:ind w:left="6518"/>
        <w:spacing w:before="179" w:line="221" w:lineRule="auto"/>
        <w:rPr>
          <w:rFonts w:ascii="SimHei" w:hAnsi="SimHei" w:eastAsia="SimHei" w:cs="SimHei"/>
          <w:sz w:val="29"/>
          <w:szCs w:val="29"/>
        </w:rPr>
      </w:pPr>
      <w:r>
        <w:rPr>
          <w:rFonts w:ascii="SimHei" w:hAnsi="SimHei" w:eastAsia="SimHei" w:cs="SimHei"/>
          <w:sz w:val="29"/>
          <w:szCs w:val="29"/>
          <w:b/>
          <w:bCs/>
          <w:spacing w:val="-6"/>
        </w:rPr>
        <w:t>裁量标准</w:t>
      </w:r>
    </w:p>
    <w:p>
      <w:pPr>
        <w:spacing w:line="63" w:lineRule="exact"/>
        <w:rPr/>
      </w:pPr>
      <w:r/>
    </w:p>
    <w:tbl>
      <w:tblPr>
        <w:tblStyle w:val="TableNormal"/>
        <w:tblW w:w="141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6655"/>
        <w:gridCol w:w="6080"/>
      </w:tblGrid>
      <w:tr>
        <w:trPr>
          <w:trHeight w:val="439" w:hRule="atLeast"/>
        </w:trPr>
        <w:tc>
          <w:tcPr>
            <w:tcW w:w="1444" w:type="dxa"/>
            <w:vAlign w:val="top"/>
          </w:tcPr>
          <w:p>
            <w:pPr>
              <w:pStyle w:val="TableText"/>
              <w:ind w:left="198"/>
              <w:spacing w:before="92" w:line="220" w:lineRule="auto"/>
              <w:rPr>
                <w:sz w:val="26"/>
                <w:szCs w:val="26"/>
              </w:rPr>
            </w:pPr>
            <w:r>
              <w:rPr>
                <w:sz w:val="26"/>
                <w:szCs w:val="26"/>
                <w:b/>
                <w:bCs/>
                <w:spacing w:val="-5"/>
              </w:rPr>
              <w:t>违法程度</w:t>
            </w:r>
          </w:p>
        </w:tc>
        <w:tc>
          <w:tcPr>
            <w:tcW w:w="6655" w:type="dxa"/>
            <w:vAlign w:val="top"/>
          </w:tcPr>
          <w:p>
            <w:pPr>
              <w:pStyle w:val="TableText"/>
              <w:ind w:left="2804"/>
              <w:spacing w:before="92" w:line="220" w:lineRule="auto"/>
              <w:rPr>
                <w:sz w:val="26"/>
                <w:szCs w:val="26"/>
              </w:rPr>
            </w:pPr>
            <w:r>
              <w:rPr>
                <w:sz w:val="26"/>
                <w:szCs w:val="26"/>
                <w:b/>
                <w:bCs/>
                <w:spacing w:val="-5"/>
              </w:rPr>
              <w:t>情节后果</w:t>
            </w:r>
          </w:p>
        </w:tc>
        <w:tc>
          <w:tcPr>
            <w:tcW w:w="6080" w:type="dxa"/>
            <w:vAlign w:val="top"/>
          </w:tcPr>
          <w:p>
            <w:pPr>
              <w:pStyle w:val="TableText"/>
              <w:ind w:left="2469"/>
              <w:spacing w:before="89" w:line="218" w:lineRule="auto"/>
              <w:rPr>
                <w:sz w:val="26"/>
                <w:szCs w:val="26"/>
              </w:rPr>
            </w:pPr>
            <w:r>
              <w:rPr>
                <w:sz w:val="26"/>
                <w:szCs w:val="26"/>
                <w:b/>
                <w:bCs/>
                <w:spacing w:val="-5"/>
              </w:rPr>
              <w:t>裁量幅度</w:t>
            </w:r>
          </w:p>
        </w:tc>
      </w:tr>
      <w:tr>
        <w:trPr>
          <w:trHeight w:val="331" w:hRule="atLeast"/>
        </w:trPr>
        <w:tc>
          <w:tcPr>
            <w:tcW w:w="1444" w:type="dxa"/>
            <w:vAlign w:val="top"/>
          </w:tcPr>
          <w:p>
            <w:pPr>
              <w:pStyle w:val="TableText"/>
              <w:ind w:left="458"/>
              <w:spacing w:before="44" w:line="196" w:lineRule="auto"/>
              <w:rPr>
                <w:sz w:val="26"/>
                <w:szCs w:val="26"/>
              </w:rPr>
            </w:pPr>
            <w:r>
              <w:rPr>
                <w:sz w:val="26"/>
                <w:szCs w:val="26"/>
                <w:b/>
                <w:bCs/>
                <w:spacing w:val="-10"/>
              </w:rPr>
              <w:t>一般</w:t>
            </w:r>
          </w:p>
        </w:tc>
        <w:tc>
          <w:tcPr>
            <w:tcW w:w="6655" w:type="dxa"/>
            <w:vAlign w:val="top"/>
          </w:tcPr>
          <w:p>
            <w:pPr>
              <w:pStyle w:val="TableText"/>
              <w:spacing w:before="42" w:line="198" w:lineRule="auto"/>
              <w:jc w:val="right"/>
              <w:rPr>
                <w:sz w:val="26"/>
                <w:szCs w:val="26"/>
              </w:rPr>
            </w:pPr>
            <w:r>
              <w:rPr>
                <w:sz w:val="26"/>
                <w:szCs w:val="26"/>
                <w:b/>
                <w:bCs/>
                <w:spacing w:val="-17"/>
              </w:rPr>
              <w:t>医疗机构未建立血液发放和输血核对制度，经责</w:t>
            </w:r>
            <w:r>
              <w:rPr>
                <w:sz w:val="26"/>
                <w:szCs w:val="26"/>
                <w:b/>
                <w:bCs/>
                <w:spacing w:val="-18"/>
              </w:rPr>
              <w:t>令限期改正，</w:t>
            </w:r>
          </w:p>
        </w:tc>
        <w:tc>
          <w:tcPr>
            <w:tcW w:w="6080" w:type="dxa"/>
            <w:vAlign w:val="top"/>
          </w:tcPr>
          <w:p>
            <w:pPr>
              <w:pStyle w:val="TableText"/>
              <w:ind w:left="99"/>
              <w:spacing w:before="40" w:line="199" w:lineRule="auto"/>
              <w:rPr>
                <w:sz w:val="26"/>
                <w:szCs w:val="26"/>
              </w:rPr>
            </w:pPr>
            <w:r>
              <w:rPr>
                <w:sz w:val="26"/>
                <w:szCs w:val="26"/>
                <w:b/>
                <w:bCs/>
                <w:spacing w:val="-2"/>
              </w:rPr>
              <w:t>通报批评，予以警告</w:t>
            </w:r>
          </w:p>
        </w:tc>
      </w:tr>
    </w:tbl>
    <w:p>
      <w:pPr>
        <w:pStyle w:val="BodyText"/>
        <w:rPr/>
      </w:pPr>
      <w:r/>
    </w:p>
    <w:p>
      <w:pPr>
        <w:sectPr>
          <w:footerReference w:type="default" r:id="rId410"/>
          <w:pgSz w:w="16830" w:h="11900"/>
          <w:pgMar w:top="1011" w:right="1314" w:bottom="1130" w:left="1325" w:header="0" w:footer="806" w:gutter="0"/>
        </w:sectPr>
        <w:rPr/>
      </w:pPr>
    </w:p>
    <w:p>
      <w:pPr>
        <w:spacing w:before="17"/>
        <w:rPr/>
      </w:pPr>
      <w:r/>
    </w:p>
    <w:p>
      <w:pPr>
        <w:spacing w:before="16"/>
        <w:rPr/>
      </w:pPr>
      <w:r/>
    </w:p>
    <w:p>
      <w:pPr>
        <w:spacing w:before="16"/>
        <w:rPr/>
      </w:pPr>
      <w:r/>
    </w:p>
    <w:tbl>
      <w:tblPr>
        <w:tblStyle w:val="TableNormal"/>
        <w:tblW w:w="1417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6645"/>
        <w:gridCol w:w="6081"/>
      </w:tblGrid>
      <w:tr>
        <w:trPr>
          <w:trHeight w:val="331" w:hRule="atLeast"/>
        </w:trPr>
        <w:tc>
          <w:tcPr>
            <w:tcW w:w="1444" w:type="dxa"/>
            <w:vAlign w:val="top"/>
          </w:tcPr>
          <w:p>
            <w:pPr>
              <w:rPr>
                <w:rFonts w:ascii="Arial"/>
                <w:sz w:val="21"/>
              </w:rPr>
            </w:pPr>
            <w:r/>
          </w:p>
        </w:tc>
        <w:tc>
          <w:tcPr>
            <w:tcW w:w="6645" w:type="dxa"/>
            <w:vAlign w:val="top"/>
          </w:tcPr>
          <w:p>
            <w:pPr>
              <w:pStyle w:val="TableText"/>
              <w:ind w:left="110"/>
              <w:spacing w:before="54" w:line="205" w:lineRule="auto"/>
              <w:rPr/>
            </w:pPr>
            <w:r>
              <w:rPr>
                <w:spacing w:val="3"/>
              </w:rPr>
              <w:t>逾期不改的</w:t>
            </w:r>
          </w:p>
        </w:tc>
        <w:tc>
          <w:tcPr>
            <w:tcW w:w="6081" w:type="dxa"/>
            <w:vAlign w:val="top"/>
          </w:tcPr>
          <w:p>
            <w:pPr>
              <w:rPr>
                <w:rFonts w:ascii="Arial"/>
                <w:sz w:val="21"/>
              </w:rPr>
            </w:pPr>
            <w:r/>
          </w:p>
        </w:tc>
      </w:tr>
      <w:tr>
        <w:trPr>
          <w:trHeight w:val="678" w:hRule="atLeast"/>
        </w:trPr>
        <w:tc>
          <w:tcPr>
            <w:tcW w:w="1444" w:type="dxa"/>
            <w:vAlign w:val="top"/>
          </w:tcPr>
          <w:p>
            <w:pPr>
              <w:pStyle w:val="TableText"/>
              <w:ind w:left="458"/>
              <w:spacing w:before="221" w:line="220" w:lineRule="auto"/>
              <w:rPr/>
            </w:pPr>
            <w:r>
              <w:rPr>
                <w:b/>
                <w:bCs/>
                <w:spacing w:val="-6"/>
              </w:rPr>
              <w:t>严重</w:t>
            </w:r>
          </w:p>
        </w:tc>
        <w:tc>
          <w:tcPr>
            <w:tcW w:w="6645" w:type="dxa"/>
            <w:vAlign w:val="top"/>
          </w:tcPr>
          <w:p>
            <w:pPr>
              <w:pStyle w:val="TableText"/>
              <w:ind w:left="110" w:right="262" w:firstLine="10"/>
              <w:spacing w:before="82" w:line="225" w:lineRule="auto"/>
              <w:rPr/>
            </w:pPr>
            <w:r>
              <w:rPr/>
              <w:t>医疗机构未建立血液发放和输血核对制度情节严重或者造成</w:t>
            </w:r>
            <w:r>
              <w:rPr>
                <w:spacing w:val="10"/>
              </w:rPr>
              <w:t xml:space="preserve"> </w:t>
            </w:r>
            <w:r>
              <w:rPr>
                <w:spacing w:val="3"/>
              </w:rPr>
              <w:t>严重后果的</w:t>
            </w:r>
          </w:p>
        </w:tc>
        <w:tc>
          <w:tcPr>
            <w:tcW w:w="6081" w:type="dxa"/>
            <w:vAlign w:val="top"/>
          </w:tcPr>
          <w:p>
            <w:pPr>
              <w:pStyle w:val="TableText"/>
              <w:ind w:left="136"/>
              <w:spacing w:before="224" w:line="220" w:lineRule="auto"/>
              <w:rPr/>
            </w:pPr>
            <w:r>
              <w:rPr>
                <w:spacing w:val="1"/>
              </w:rPr>
              <w:t>可处3万元以下的罚款</w:t>
            </w:r>
          </w:p>
        </w:tc>
      </w:tr>
    </w:tbl>
    <w:p>
      <w:pPr>
        <w:pStyle w:val="BodyText"/>
        <w:spacing w:line="466" w:lineRule="auto"/>
        <w:rPr/>
      </w:pPr>
      <w:r/>
    </w:p>
    <w:p>
      <w:pPr>
        <w:ind w:left="799"/>
        <w:spacing w:before="98" w:line="220" w:lineRule="auto"/>
        <w:rPr>
          <w:rFonts w:ascii="FangSong" w:hAnsi="FangSong" w:eastAsia="FangSong" w:cs="FangSong"/>
          <w:sz w:val="30"/>
          <w:szCs w:val="30"/>
        </w:rPr>
      </w:pPr>
      <w:bookmarkStart w:name="bookmark1059" w:id="432"/>
      <w:bookmarkEnd w:id="432"/>
      <w:r>
        <w:rPr>
          <w:rFonts w:ascii="FangSong" w:hAnsi="FangSong" w:eastAsia="FangSong" w:cs="FangSong"/>
          <w:sz w:val="30"/>
          <w:szCs w:val="30"/>
          <w:b/>
          <w:bCs/>
          <w:spacing w:val="22"/>
        </w:rPr>
        <w:t>第三百七十八条医疗机构未建立临床用血申请管理制度的</w:t>
      </w:r>
    </w:p>
    <w:p>
      <w:pPr>
        <w:ind w:left="904"/>
        <w:spacing w:before="120" w:line="222" w:lineRule="auto"/>
        <w:rPr>
          <w:rFonts w:ascii="FangSong" w:hAnsi="FangSong" w:eastAsia="FangSong" w:cs="FangSong"/>
          <w:sz w:val="30"/>
          <w:szCs w:val="30"/>
        </w:rPr>
      </w:pPr>
      <w:r>
        <w:rPr>
          <w:rFonts w:ascii="FangSong" w:hAnsi="FangSong" w:eastAsia="FangSong" w:cs="FangSong"/>
          <w:sz w:val="30"/>
          <w:szCs w:val="30"/>
        </w:rPr>
        <w:t>法律依据：</w:t>
      </w:r>
    </w:p>
    <w:p>
      <w:pPr>
        <w:ind w:left="145" w:right="15" w:firstLine="609"/>
        <w:spacing w:before="88" w:line="270" w:lineRule="auto"/>
        <w:jc w:val="both"/>
        <w:rPr>
          <w:rFonts w:ascii="FangSong" w:hAnsi="FangSong" w:eastAsia="FangSong" w:cs="FangSong"/>
          <w:sz w:val="30"/>
          <w:szCs w:val="30"/>
        </w:rPr>
      </w:pPr>
      <w:r>
        <w:rPr>
          <w:rFonts w:ascii="FangSong" w:hAnsi="FangSong" w:eastAsia="FangSong" w:cs="FangSong"/>
          <w:sz w:val="30"/>
          <w:szCs w:val="30"/>
          <w:spacing w:val="24"/>
        </w:rPr>
        <w:t>《医疗机构临床用血管理办法》第三十五条第(四)项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医疗机构有下列情</w:t>
      </w:r>
      <w:r>
        <w:rPr>
          <w:rFonts w:ascii="FangSong" w:hAnsi="FangSong" w:eastAsia="FangSong" w:cs="FangSong"/>
          <w:sz w:val="30"/>
          <w:szCs w:val="30"/>
          <w:spacing w:val="23"/>
        </w:rPr>
        <w:t>形之一的，由县级以</w:t>
      </w:r>
      <w:r>
        <w:rPr>
          <w:rFonts w:ascii="FangSong" w:hAnsi="FangSong" w:eastAsia="FangSong" w:cs="FangSong"/>
          <w:sz w:val="30"/>
          <w:szCs w:val="30"/>
        </w:rPr>
        <w:t xml:space="preserve"> </w:t>
      </w:r>
      <w:r>
        <w:rPr>
          <w:rFonts w:ascii="FangSong" w:hAnsi="FangSong" w:eastAsia="FangSong" w:cs="FangSong"/>
          <w:sz w:val="30"/>
          <w:szCs w:val="30"/>
          <w:spacing w:val="16"/>
        </w:rPr>
        <w:t>上人民政府卫生行政部门责令限期改正；逾期不改的，进行通报批评，并予以警告；情节严重或者造</w:t>
      </w:r>
      <w:r>
        <w:rPr>
          <w:rFonts w:ascii="FangSong" w:hAnsi="FangSong" w:eastAsia="FangSong" w:cs="FangSong"/>
          <w:sz w:val="30"/>
          <w:szCs w:val="30"/>
          <w:spacing w:val="16"/>
        </w:rPr>
        <w:t xml:space="preserve"> </w:t>
      </w:r>
      <w:r>
        <w:rPr>
          <w:rFonts w:ascii="FangSong" w:hAnsi="FangSong" w:eastAsia="FangSong" w:cs="FangSong"/>
          <w:sz w:val="30"/>
          <w:szCs w:val="30"/>
          <w:spacing w:val="18"/>
        </w:rPr>
        <w:t>成严重后果的，可处3</w:t>
      </w:r>
      <w:r>
        <w:rPr>
          <w:rFonts w:ascii="FangSong" w:hAnsi="FangSong" w:eastAsia="FangSong" w:cs="FangSong"/>
          <w:sz w:val="30"/>
          <w:szCs w:val="30"/>
          <w:spacing w:val="18"/>
        </w:rPr>
        <w:t xml:space="preserve"> </w:t>
      </w:r>
      <w:r>
        <w:rPr>
          <w:rFonts w:ascii="FangSong" w:hAnsi="FangSong" w:eastAsia="FangSong" w:cs="FangSong"/>
          <w:sz w:val="30"/>
          <w:szCs w:val="30"/>
          <w:spacing w:val="18"/>
        </w:rPr>
        <w:t>万元以下的罚款，对负有责任的主管人员和其他直接责任人员依法给予处分：</w:t>
      </w:r>
    </w:p>
    <w:p>
      <w:pPr>
        <w:ind w:left="904"/>
        <w:spacing w:line="220" w:lineRule="auto"/>
        <w:rPr>
          <w:rFonts w:ascii="FangSong" w:hAnsi="FangSong" w:eastAsia="FangSong" w:cs="FangSong"/>
          <w:sz w:val="30"/>
          <w:szCs w:val="30"/>
        </w:rPr>
      </w:pPr>
      <w:r>
        <w:rPr>
          <w:rFonts w:ascii="FangSong" w:hAnsi="FangSong" w:eastAsia="FangSong" w:cs="FangSong"/>
          <w:sz w:val="30"/>
          <w:szCs w:val="30"/>
          <w:spacing w:val="25"/>
        </w:rPr>
        <w:t>(四)未建立临床用血申请管理制度的；</w:t>
      </w:r>
    </w:p>
    <w:p>
      <w:pPr>
        <w:ind w:left="6538"/>
        <w:spacing w:before="141"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71" w:lineRule="exact"/>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6955"/>
        <w:gridCol w:w="5771"/>
      </w:tblGrid>
      <w:tr>
        <w:trPr>
          <w:trHeight w:val="442" w:hRule="atLeast"/>
        </w:trPr>
        <w:tc>
          <w:tcPr>
            <w:tcW w:w="1444" w:type="dxa"/>
            <w:vAlign w:val="top"/>
          </w:tcPr>
          <w:p>
            <w:pPr>
              <w:pStyle w:val="TableText"/>
              <w:ind w:left="218"/>
              <w:spacing w:before="102" w:line="220" w:lineRule="auto"/>
              <w:rPr>
                <w:sz w:val="25"/>
                <w:szCs w:val="25"/>
              </w:rPr>
            </w:pPr>
            <w:r>
              <w:rPr>
                <w:sz w:val="25"/>
                <w:szCs w:val="25"/>
                <w:b/>
                <w:bCs/>
                <w:spacing w:val="-5"/>
              </w:rPr>
              <w:t>违法程度</w:t>
            </w:r>
          </w:p>
        </w:tc>
        <w:tc>
          <w:tcPr>
            <w:tcW w:w="6955" w:type="dxa"/>
            <w:vAlign w:val="top"/>
          </w:tcPr>
          <w:p>
            <w:pPr>
              <w:pStyle w:val="TableText"/>
              <w:ind w:left="2974"/>
              <w:spacing w:before="102" w:line="220" w:lineRule="auto"/>
              <w:rPr>
                <w:sz w:val="25"/>
                <w:szCs w:val="25"/>
              </w:rPr>
            </w:pPr>
            <w:r>
              <w:rPr>
                <w:sz w:val="25"/>
                <w:szCs w:val="25"/>
                <w:b/>
                <w:bCs/>
                <w:spacing w:val="-5"/>
              </w:rPr>
              <w:t>情节后果</w:t>
            </w:r>
          </w:p>
        </w:tc>
        <w:tc>
          <w:tcPr>
            <w:tcW w:w="5771" w:type="dxa"/>
            <w:vAlign w:val="top"/>
          </w:tcPr>
          <w:p>
            <w:pPr>
              <w:pStyle w:val="TableText"/>
              <w:ind w:left="2319"/>
              <w:spacing w:before="99" w:line="218" w:lineRule="auto"/>
              <w:rPr>
                <w:sz w:val="25"/>
                <w:szCs w:val="25"/>
              </w:rPr>
            </w:pPr>
            <w:r>
              <w:rPr>
                <w:sz w:val="25"/>
                <w:szCs w:val="25"/>
                <w:b/>
                <w:bCs/>
                <w:spacing w:val="-5"/>
              </w:rPr>
              <w:t>裁量幅度</w:t>
            </w:r>
          </w:p>
        </w:tc>
      </w:tr>
      <w:tr>
        <w:trPr>
          <w:trHeight w:val="666" w:hRule="atLeast"/>
        </w:trPr>
        <w:tc>
          <w:tcPr>
            <w:tcW w:w="1444" w:type="dxa"/>
            <w:vAlign w:val="top"/>
          </w:tcPr>
          <w:p>
            <w:pPr>
              <w:pStyle w:val="TableText"/>
              <w:ind w:left="468"/>
              <w:spacing w:before="211" w:line="221" w:lineRule="auto"/>
              <w:rPr>
                <w:sz w:val="25"/>
                <w:szCs w:val="25"/>
              </w:rPr>
            </w:pPr>
            <w:r>
              <w:rPr>
                <w:sz w:val="25"/>
                <w:szCs w:val="25"/>
                <w:b/>
                <w:bCs/>
                <w:spacing w:val="-10"/>
              </w:rPr>
              <w:t>一般</w:t>
            </w:r>
          </w:p>
        </w:tc>
        <w:tc>
          <w:tcPr>
            <w:tcW w:w="6955" w:type="dxa"/>
            <w:vAlign w:val="top"/>
          </w:tcPr>
          <w:p>
            <w:pPr>
              <w:pStyle w:val="TableText"/>
              <w:ind w:left="110" w:hanging="99"/>
              <w:spacing w:before="62" w:line="219" w:lineRule="auto"/>
              <w:rPr>
                <w:sz w:val="25"/>
                <w:szCs w:val="25"/>
              </w:rPr>
            </w:pPr>
            <w:r>
              <w:rPr>
                <w:sz w:val="25"/>
                <w:szCs w:val="25"/>
                <w:spacing w:val="-3"/>
              </w:rPr>
              <w:t>医疗机构未建立临床用血申请管理制度，经责令限期改正，逾期</w:t>
            </w:r>
            <w:r>
              <w:rPr>
                <w:sz w:val="25"/>
                <w:szCs w:val="25"/>
                <w:spacing w:val="16"/>
              </w:rPr>
              <w:t xml:space="preserve"> </w:t>
            </w:r>
            <w:r>
              <w:rPr>
                <w:sz w:val="25"/>
                <w:szCs w:val="25"/>
                <w:spacing w:val="6"/>
              </w:rPr>
              <w:t>不改的</w:t>
            </w:r>
          </w:p>
        </w:tc>
        <w:tc>
          <w:tcPr>
            <w:tcW w:w="5771" w:type="dxa"/>
            <w:vAlign w:val="top"/>
          </w:tcPr>
          <w:p>
            <w:pPr>
              <w:pStyle w:val="TableText"/>
              <w:ind w:left="95"/>
              <w:spacing w:before="211" w:line="218" w:lineRule="auto"/>
              <w:rPr>
                <w:sz w:val="25"/>
                <w:szCs w:val="25"/>
              </w:rPr>
            </w:pPr>
            <w:r>
              <w:rPr>
                <w:sz w:val="25"/>
                <w:szCs w:val="25"/>
                <w:spacing w:val="1"/>
              </w:rPr>
              <w:t>通报批评，予以警告</w:t>
            </w:r>
          </w:p>
        </w:tc>
      </w:tr>
      <w:tr>
        <w:trPr>
          <w:trHeight w:val="681" w:hRule="atLeast"/>
        </w:trPr>
        <w:tc>
          <w:tcPr>
            <w:tcW w:w="1444" w:type="dxa"/>
            <w:vAlign w:val="top"/>
          </w:tcPr>
          <w:p>
            <w:pPr>
              <w:pStyle w:val="TableText"/>
              <w:ind w:left="468"/>
              <w:spacing w:before="224" w:line="220" w:lineRule="auto"/>
              <w:rPr>
                <w:sz w:val="25"/>
                <w:szCs w:val="25"/>
              </w:rPr>
            </w:pPr>
            <w:r>
              <w:rPr>
                <w:sz w:val="25"/>
                <w:szCs w:val="25"/>
                <w:b/>
                <w:bCs/>
                <w:spacing w:val="-6"/>
              </w:rPr>
              <w:t>严重</w:t>
            </w:r>
          </w:p>
        </w:tc>
        <w:tc>
          <w:tcPr>
            <w:tcW w:w="6955" w:type="dxa"/>
            <w:vAlign w:val="top"/>
          </w:tcPr>
          <w:p>
            <w:pPr>
              <w:pStyle w:val="TableText"/>
              <w:spacing w:before="65" w:line="219" w:lineRule="auto"/>
              <w:jc w:val="right"/>
              <w:rPr>
                <w:sz w:val="25"/>
                <w:szCs w:val="25"/>
              </w:rPr>
            </w:pPr>
            <w:r>
              <w:rPr>
                <w:sz w:val="25"/>
                <w:szCs w:val="25"/>
                <w:spacing w:val="-3"/>
              </w:rPr>
              <w:t>医疗机构未建立临床用血申请管理制度情节严重或者造成严重后</w:t>
            </w:r>
          </w:p>
          <w:p>
            <w:pPr>
              <w:pStyle w:val="TableText"/>
              <w:ind w:left="110"/>
              <w:spacing w:before="45" w:line="194" w:lineRule="auto"/>
              <w:rPr>
                <w:sz w:val="25"/>
                <w:szCs w:val="25"/>
              </w:rPr>
            </w:pPr>
            <w:r>
              <w:rPr>
                <w:sz w:val="25"/>
                <w:szCs w:val="25"/>
                <w:color w:val="404040"/>
                <w:spacing w:val="9"/>
              </w:rPr>
              <w:t>果的</w:t>
            </w:r>
          </w:p>
        </w:tc>
        <w:tc>
          <w:tcPr>
            <w:tcW w:w="5771" w:type="dxa"/>
            <w:vAlign w:val="top"/>
          </w:tcPr>
          <w:p>
            <w:pPr>
              <w:pStyle w:val="TableText"/>
              <w:ind w:left="95"/>
              <w:spacing w:before="228" w:line="220" w:lineRule="auto"/>
              <w:rPr>
                <w:sz w:val="25"/>
                <w:szCs w:val="25"/>
              </w:rPr>
            </w:pPr>
            <w:r>
              <w:rPr>
                <w:sz w:val="25"/>
                <w:szCs w:val="25"/>
                <w:spacing w:val="1"/>
              </w:rPr>
              <w:t>可处3万元以下的罚款</w:t>
            </w:r>
          </w:p>
        </w:tc>
      </w:tr>
    </w:tbl>
    <w:p>
      <w:pPr>
        <w:pStyle w:val="BodyText"/>
        <w:spacing w:line="476" w:lineRule="auto"/>
        <w:rPr/>
      </w:pPr>
      <w:r/>
    </w:p>
    <w:p>
      <w:pPr>
        <w:ind w:left="47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第三百七十九条医疗机构未建立医务人员临</w:t>
      </w:r>
      <w:r>
        <w:rPr>
          <w:rFonts w:ascii="FangSong" w:hAnsi="FangSong" w:eastAsia="FangSong" w:cs="FangSong"/>
          <w:sz w:val="30"/>
          <w:szCs w:val="30"/>
          <w:b/>
          <w:bCs/>
          <w:spacing w:val="21"/>
        </w:rPr>
        <w:t>床用血和无偿献血知识培训制度的</w:t>
      </w:r>
    </w:p>
    <w:p>
      <w:pPr>
        <w:ind w:left="904"/>
        <w:spacing w:before="81" w:line="222" w:lineRule="auto"/>
        <w:rPr>
          <w:rFonts w:ascii="FangSong" w:hAnsi="FangSong" w:eastAsia="FangSong" w:cs="FangSong"/>
          <w:sz w:val="30"/>
          <w:szCs w:val="30"/>
        </w:rPr>
      </w:pPr>
      <w:r>
        <w:rPr>
          <w:rFonts w:ascii="FangSong" w:hAnsi="FangSong" w:eastAsia="FangSong" w:cs="FangSong"/>
          <w:sz w:val="30"/>
          <w:szCs w:val="30"/>
        </w:rPr>
        <w:t>法律依据：</w:t>
      </w:r>
    </w:p>
    <w:p>
      <w:pPr>
        <w:spacing w:line="222" w:lineRule="auto"/>
        <w:sectPr>
          <w:footerReference w:type="default" r:id="rId411"/>
          <w:pgSz w:w="16830" w:h="11900"/>
          <w:pgMar w:top="1011" w:right="1335" w:bottom="1107" w:left="1305" w:header="0" w:footer="774" w:gutter="0"/>
        </w:sectPr>
        <w:rPr>
          <w:rFonts w:ascii="FangSong" w:hAnsi="FangSong" w:eastAsia="FangSong" w:cs="FangSong"/>
          <w:sz w:val="30"/>
          <w:szCs w:val="30"/>
        </w:rPr>
      </w:pPr>
    </w:p>
    <w:p>
      <w:pPr>
        <w:pStyle w:val="BodyText"/>
        <w:spacing w:line="261" w:lineRule="auto"/>
        <w:rPr/>
      </w:pPr>
      <w:r/>
    </w:p>
    <w:p>
      <w:pPr>
        <w:pStyle w:val="BodyText"/>
        <w:spacing w:line="261" w:lineRule="auto"/>
        <w:rPr/>
      </w:pPr>
      <w:r/>
    </w:p>
    <w:p>
      <w:pPr>
        <w:pStyle w:val="BodyText"/>
        <w:spacing w:line="261" w:lineRule="auto"/>
        <w:rPr/>
      </w:pPr>
      <w:r/>
    </w:p>
    <w:p>
      <w:pPr>
        <w:ind w:left="124" w:right="5" w:firstLine="629"/>
        <w:spacing w:before="98" w:line="271" w:lineRule="auto"/>
        <w:jc w:val="both"/>
        <w:rPr>
          <w:rFonts w:ascii="FangSong" w:hAnsi="FangSong" w:eastAsia="FangSong" w:cs="FangSong"/>
          <w:sz w:val="30"/>
          <w:szCs w:val="30"/>
        </w:rPr>
      </w:pPr>
      <w:bookmarkStart w:name="bookmark1060" w:id="433"/>
      <w:bookmarkEnd w:id="433"/>
      <w:r>
        <w:rPr>
          <w:rFonts w:ascii="FangSong" w:hAnsi="FangSong" w:eastAsia="FangSong" w:cs="FangSong"/>
          <w:sz w:val="30"/>
          <w:szCs w:val="30"/>
          <w:spacing w:val="24"/>
        </w:rPr>
        <w:t>《医疗机构临床用血管理办法》第三十五条第(五)项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医疗机构有下列情形</w:t>
      </w:r>
      <w:r>
        <w:rPr>
          <w:rFonts w:ascii="FangSong" w:hAnsi="FangSong" w:eastAsia="FangSong" w:cs="FangSong"/>
          <w:sz w:val="30"/>
          <w:szCs w:val="30"/>
          <w:spacing w:val="23"/>
        </w:rPr>
        <w:t>之一的，由县级以</w:t>
      </w:r>
      <w:r>
        <w:rPr>
          <w:rFonts w:ascii="FangSong" w:hAnsi="FangSong" w:eastAsia="FangSong" w:cs="FangSong"/>
          <w:sz w:val="30"/>
          <w:szCs w:val="30"/>
        </w:rPr>
        <w:t xml:space="preserve"> </w:t>
      </w:r>
      <w:r>
        <w:rPr>
          <w:rFonts w:ascii="FangSong" w:hAnsi="FangSong" w:eastAsia="FangSong" w:cs="FangSong"/>
          <w:sz w:val="30"/>
          <w:szCs w:val="30"/>
          <w:spacing w:val="17"/>
        </w:rPr>
        <w:t>上人民政府卫生行政部门责令限期改正；逾期不改的，进行通报批评，并予以警</w:t>
      </w:r>
      <w:r>
        <w:rPr>
          <w:rFonts w:ascii="FangSong" w:hAnsi="FangSong" w:eastAsia="FangSong" w:cs="FangSong"/>
          <w:sz w:val="30"/>
          <w:szCs w:val="30"/>
          <w:spacing w:val="16"/>
        </w:rPr>
        <w:t>告；情节严重或者造</w:t>
      </w:r>
      <w:r>
        <w:rPr>
          <w:rFonts w:ascii="FangSong" w:hAnsi="FangSong" w:eastAsia="FangSong" w:cs="FangSong"/>
          <w:sz w:val="30"/>
          <w:szCs w:val="30"/>
        </w:rPr>
        <w:t xml:space="preserve"> </w:t>
      </w:r>
      <w:r>
        <w:rPr>
          <w:rFonts w:ascii="FangSong" w:hAnsi="FangSong" w:eastAsia="FangSong" w:cs="FangSong"/>
          <w:sz w:val="30"/>
          <w:szCs w:val="30"/>
          <w:spacing w:val="18"/>
        </w:rPr>
        <w:t>成严重后果的，可处3</w:t>
      </w:r>
      <w:r>
        <w:rPr>
          <w:rFonts w:ascii="FangSong" w:hAnsi="FangSong" w:eastAsia="FangSong" w:cs="FangSong"/>
          <w:sz w:val="30"/>
          <w:szCs w:val="30"/>
          <w:spacing w:val="18"/>
        </w:rPr>
        <w:t xml:space="preserve"> </w:t>
      </w:r>
      <w:r>
        <w:rPr>
          <w:rFonts w:ascii="FangSong" w:hAnsi="FangSong" w:eastAsia="FangSong" w:cs="FangSong"/>
          <w:sz w:val="30"/>
          <w:szCs w:val="30"/>
          <w:spacing w:val="18"/>
        </w:rPr>
        <w:t>万元以下的罚款，对负有责任的主管人员和其他直接责任人员依法给予处分：</w:t>
      </w:r>
    </w:p>
    <w:p>
      <w:pPr>
        <w:ind w:left="904"/>
        <w:spacing w:line="221" w:lineRule="auto"/>
        <w:rPr>
          <w:rFonts w:ascii="FangSong" w:hAnsi="FangSong" w:eastAsia="FangSong" w:cs="FangSong"/>
          <w:sz w:val="30"/>
          <w:szCs w:val="30"/>
        </w:rPr>
      </w:pPr>
      <w:r>
        <w:rPr>
          <w:rFonts w:ascii="FangSong" w:hAnsi="FangSong" w:eastAsia="FangSong" w:cs="FangSong"/>
          <w:sz w:val="30"/>
          <w:szCs w:val="30"/>
          <w:spacing w:val="22"/>
        </w:rPr>
        <w:t>(五)未建立医务人员临床用血和无偿献血知识培训制度的；</w:t>
      </w:r>
    </w:p>
    <w:p>
      <w:pPr>
        <w:ind w:left="6529"/>
        <w:spacing w:before="136"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10" w:lineRule="exact"/>
        <w:rPr/>
      </w:pPr>
      <w:r/>
    </w:p>
    <w:tbl>
      <w:tblPr>
        <w:tblStyle w:val="TableNormal"/>
        <w:tblW w:w="141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3"/>
        <w:gridCol w:w="6925"/>
        <w:gridCol w:w="5791"/>
      </w:tblGrid>
      <w:tr>
        <w:trPr>
          <w:trHeight w:val="433" w:hRule="atLeast"/>
        </w:trPr>
        <w:tc>
          <w:tcPr>
            <w:tcW w:w="1433" w:type="dxa"/>
            <w:vAlign w:val="top"/>
          </w:tcPr>
          <w:p>
            <w:pPr>
              <w:pStyle w:val="TableText"/>
              <w:ind w:left="208"/>
              <w:spacing w:before="92" w:line="220" w:lineRule="auto"/>
              <w:rPr>
                <w:sz w:val="25"/>
                <w:szCs w:val="25"/>
              </w:rPr>
            </w:pPr>
            <w:r>
              <w:rPr>
                <w:sz w:val="25"/>
                <w:szCs w:val="25"/>
                <w:b/>
                <w:bCs/>
                <w:spacing w:val="-5"/>
              </w:rPr>
              <w:t>违法程度</w:t>
            </w:r>
          </w:p>
        </w:tc>
        <w:tc>
          <w:tcPr>
            <w:tcW w:w="6925" w:type="dxa"/>
            <w:vAlign w:val="top"/>
          </w:tcPr>
          <w:p>
            <w:pPr>
              <w:pStyle w:val="TableText"/>
              <w:ind w:left="2955"/>
              <w:spacing w:before="92" w:line="220" w:lineRule="auto"/>
              <w:rPr>
                <w:sz w:val="25"/>
                <w:szCs w:val="25"/>
              </w:rPr>
            </w:pPr>
            <w:r>
              <w:rPr>
                <w:sz w:val="25"/>
                <w:szCs w:val="25"/>
                <w:b/>
                <w:bCs/>
                <w:spacing w:val="-5"/>
              </w:rPr>
              <w:t>情节后果</w:t>
            </w:r>
          </w:p>
        </w:tc>
        <w:tc>
          <w:tcPr>
            <w:tcW w:w="5791" w:type="dxa"/>
            <w:vAlign w:val="top"/>
          </w:tcPr>
          <w:p>
            <w:pPr>
              <w:pStyle w:val="TableText"/>
              <w:ind w:left="2340"/>
              <w:spacing w:before="89" w:line="218" w:lineRule="auto"/>
              <w:rPr>
                <w:sz w:val="25"/>
                <w:szCs w:val="25"/>
              </w:rPr>
            </w:pPr>
            <w:r>
              <w:rPr>
                <w:sz w:val="25"/>
                <w:szCs w:val="25"/>
                <w:b/>
                <w:bCs/>
                <w:spacing w:val="-5"/>
              </w:rPr>
              <w:t>裁量幅度</w:t>
            </w:r>
          </w:p>
        </w:tc>
      </w:tr>
      <w:tr>
        <w:trPr>
          <w:trHeight w:val="756" w:hRule="atLeast"/>
        </w:trPr>
        <w:tc>
          <w:tcPr>
            <w:tcW w:w="1433" w:type="dxa"/>
            <w:vAlign w:val="top"/>
          </w:tcPr>
          <w:p>
            <w:pPr>
              <w:pStyle w:val="TableText"/>
              <w:ind w:left="458"/>
              <w:spacing w:before="260" w:line="221" w:lineRule="auto"/>
              <w:rPr>
                <w:sz w:val="25"/>
                <w:szCs w:val="25"/>
              </w:rPr>
            </w:pPr>
            <w:r>
              <w:rPr>
                <w:sz w:val="25"/>
                <w:szCs w:val="25"/>
                <w:b/>
                <w:bCs/>
                <w:spacing w:val="-10"/>
              </w:rPr>
              <w:t>一般</w:t>
            </w:r>
          </w:p>
        </w:tc>
        <w:tc>
          <w:tcPr>
            <w:tcW w:w="6925" w:type="dxa"/>
            <w:vAlign w:val="top"/>
          </w:tcPr>
          <w:p>
            <w:pPr>
              <w:pStyle w:val="TableText"/>
              <w:ind w:left="120" w:hanging="109"/>
              <w:spacing w:before="71" w:line="249" w:lineRule="auto"/>
              <w:rPr>
                <w:sz w:val="25"/>
                <w:szCs w:val="25"/>
              </w:rPr>
            </w:pPr>
            <w:r>
              <w:rPr>
                <w:sz w:val="25"/>
                <w:szCs w:val="25"/>
                <w:spacing w:val="-4"/>
              </w:rPr>
              <w:t>医疗机构未建立医务人员临床用血和无偿献血知识培训制度，经</w:t>
            </w:r>
            <w:r>
              <w:rPr>
                <w:sz w:val="25"/>
                <w:szCs w:val="25"/>
                <w:spacing w:val="14"/>
              </w:rPr>
              <w:t xml:space="preserve"> </w:t>
            </w:r>
            <w:r>
              <w:rPr>
                <w:sz w:val="25"/>
                <w:szCs w:val="25"/>
                <w:spacing w:val="1"/>
              </w:rPr>
              <w:t>责令限期改正，逾期不改的</w:t>
            </w:r>
          </w:p>
        </w:tc>
        <w:tc>
          <w:tcPr>
            <w:tcW w:w="5791" w:type="dxa"/>
            <w:vAlign w:val="top"/>
          </w:tcPr>
          <w:p>
            <w:pPr>
              <w:pStyle w:val="TableText"/>
              <w:ind w:left="116"/>
              <w:spacing w:before="260" w:line="218" w:lineRule="auto"/>
              <w:rPr>
                <w:sz w:val="25"/>
                <w:szCs w:val="25"/>
              </w:rPr>
            </w:pPr>
            <w:r>
              <w:rPr>
                <w:sz w:val="25"/>
                <w:szCs w:val="25"/>
                <w:spacing w:val="1"/>
              </w:rPr>
              <w:t>予通报批评，予以警告</w:t>
            </w:r>
          </w:p>
        </w:tc>
      </w:tr>
      <w:tr>
        <w:trPr>
          <w:trHeight w:val="701" w:hRule="atLeast"/>
        </w:trPr>
        <w:tc>
          <w:tcPr>
            <w:tcW w:w="1433" w:type="dxa"/>
            <w:vAlign w:val="top"/>
          </w:tcPr>
          <w:p>
            <w:pPr>
              <w:pStyle w:val="TableText"/>
              <w:ind w:left="458"/>
              <w:spacing w:before="233" w:line="220" w:lineRule="auto"/>
              <w:rPr>
                <w:sz w:val="25"/>
                <w:szCs w:val="25"/>
              </w:rPr>
            </w:pPr>
            <w:r>
              <w:rPr>
                <w:sz w:val="25"/>
                <w:szCs w:val="25"/>
                <w:b/>
                <w:bCs/>
                <w:spacing w:val="-6"/>
              </w:rPr>
              <w:t>严重</w:t>
            </w:r>
          </w:p>
        </w:tc>
        <w:tc>
          <w:tcPr>
            <w:tcW w:w="6925" w:type="dxa"/>
            <w:vAlign w:val="top"/>
          </w:tcPr>
          <w:p>
            <w:pPr>
              <w:pStyle w:val="TableText"/>
              <w:ind w:left="110" w:hanging="99"/>
              <w:spacing w:before="76" w:line="227" w:lineRule="auto"/>
              <w:rPr>
                <w:sz w:val="25"/>
                <w:szCs w:val="25"/>
              </w:rPr>
            </w:pPr>
            <w:r>
              <w:rPr>
                <w:sz w:val="25"/>
                <w:szCs w:val="25"/>
                <w:spacing w:val="-4"/>
              </w:rPr>
              <w:t>医疗机构未建立医务人员临床用血和无偿献血知识培训制度情节</w:t>
            </w:r>
            <w:r>
              <w:rPr>
                <w:sz w:val="25"/>
                <w:szCs w:val="25"/>
                <w:spacing w:val="14"/>
              </w:rPr>
              <w:t xml:space="preserve"> </w:t>
            </w:r>
            <w:r>
              <w:rPr>
                <w:sz w:val="25"/>
                <w:szCs w:val="25"/>
                <w:spacing w:val="1"/>
              </w:rPr>
              <w:t>严重或者造成严重后果的</w:t>
            </w:r>
          </w:p>
        </w:tc>
        <w:tc>
          <w:tcPr>
            <w:tcW w:w="5791" w:type="dxa"/>
            <w:vAlign w:val="top"/>
          </w:tcPr>
          <w:p>
            <w:pPr>
              <w:pStyle w:val="TableText"/>
              <w:ind w:left="116"/>
              <w:spacing w:before="237" w:line="220" w:lineRule="auto"/>
              <w:rPr>
                <w:sz w:val="25"/>
                <w:szCs w:val="25"/>
              </w:rPr>
            </w:pPr>
            <w:r>
              <w:rPr>
                <w:sz w:val="25"/>
                <w:szCs w:val="25"/>
                <w:spacing w:val="1"/>
              </w:rPr>
              <w:t>可处3万元以下的罚款</w:t>
            </w:r>
          </w:p>
        </w:tc>
      </w:tr>
    </w:tbl>
    <w:p>
      <w:pPr>
        <w:pStyle w:val="BodyText"/>
        <w:spacing w:line="436" w:lineRule="auto"/>
        <w:rPr/>
      </w:pPr>
      <w:r/>
    </w:p>
    <w:p>
      <w:pPr>
        <w:ind w:left="77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第三百八十条医疗机构未建立科室和医师临床用血评价及公示制度的</w:t>
      </w:r>
    </w:p>
    <w:p>
      <w:pPr>
        <w:ind w:left="904"/>
        <w:spacing w:before="101" w:line="222" w:lineRule="auto"/>
        <w:rPr>
          <w:rFonts w:ascii="FangSong" w:hAnsi="FangSong" w:eastAsia="FangSong" w:cs="FangSong"/>
          <w:sz w:val="30"/>
          <w:szCs w:val="30"/>
        </w:rPr>
      </w:pPr>
      <w:r>
        <w:rPr>
          <w:rFonts w:ascii="FangSong" w:hAnsi="FangSong" w:eastAsia="FangSong" w:cs="FangSong"/>
          <w:sz w:val="30"/>
          <w:szCs w:val="30"/>
        </w:rPr>
        <w:t>法律依据：</w:t>
      </w:r>
    </w:p>
    <w:p>
      <w:pPr>
        <w:ind w:left="124" w:right="5" w:firstLine="629"/>
        <w:spacing w:before="66" w:line="271" w:lineRule="auto"/>
        <w:jc w:val="both"/>
        <w:rPr>
          <w:rFonts w:ascii="FangSong" w:hAnsi="FangSong" w:eastAsia="FangSong" w:cs="FangSong"/>
          <w:sz w:val="30"/>
          <w:szCs w:val="30"/>
        </w:rPr>
      </w:pPr>
      <w:r>
        <w:rPr>
          <w:rFonts w:ascii="FangSong" w:hAnsi="FangSong" w:eastAsia="FangSong" w:cs="FangSong"/>
          <w:sz w:val="30"/>
          <w:szCs w:val="30"/>
          <w:spacing w:val="24"/>
        </w:rPr>
        <w:t>《医疗机构临床用血管理办法》第三十五条第(六)项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医疗机构有下列情形</w:t>
      </w:r>
      <w:r>
        <w:rPr>
          <w:rFonts w:ascii="FangSong" w:hAnsi="FangSong" w:eastAsia="FangSong" w:cs="FangSong"/>
          <w:sz w:val="30"/>
          <w:szCs w:val="30"/>
          <w:spacing w:val="23"/>
        </w:rPr>
        <w:t>之一的，由县级以</w:t>
      </w:r>
      <w:r>
        <w:rPr>
          <w:rFonts w:ascii="FangSong" w:hAnsi="FangSong" w:eastAsia="FangSong" w:cs="FangSong"/>
          <w:sz w:val="30"/>
          <w:szCs w:val="30"/>
        </w:rPr>
        <w:t xml:space="preserve"> </w:t>
      </w:r>
      <w:r>
        <w:rPr>
          <w:rFonts w:ascii="FangSong" w:hAnsi="FangSong" w:eastAsia="FangSong" w:cs="FangSong"/>
          <w:sz w:val="30"/>
          <w:szCs w:val="30"/>
          <w:spacing w:val="17"/>
        </w:rPr>
        <w:t>上人民政府卫生行政部门责令限期改正；逾期不改的，进行通报批评，并予以警</w:t>
      </w:r>
      <w:r>
        <w:rPr>
          <w:rFonts w:ascii="FangSong" w:hAnsi="FangSong" w:eastAsia="FangSong" w:cs="FangSong"/>
          <w:sz w:val="30"/>
          <w:szCs w:val="30"/>
          <w:spacing w:val="16"/>
        </w:rPr>
        <w:t>告；情节严重或者造</w:t>
      </w:r>
      <w:r>
        <w:rPr>
          <w:rFonts w:ascii="FangSong" w:hAnsi="FangSong" w:eastAsia="FangSong" w:cs="FangSong"/>
          <w:sz w:val="30"/>
          <w:szCs w:val="30"/>
        </w:rPr>
        <w:t xml:space="preserve"> </w:t>
      </w:r>
      <w:r>
        <w:rPr>
          <w:rFonts w:ascii="FangSong" w:hAnsi="FangSong" w:eastAsia="FangSong" w:cs="FangSong"/>
          <w:sz w:val="30"/>
          <w:szCs w:val="30"/>
          <w:spacing w:val="18"/>
        </w:rPr>
        <w:t>成严重后果的，可处3</w:t>
      </w:r>
      <w:r>
        <w:rPr>
          <w:rFonts w:ascii="FangSong" w:hAnsi="FangSong" w:eastAsia="FangSong" w:cs="FangSong"/>
          <w:sz w:val="30"/>
          <w:szCs w:val="30"/>
          <w:spacing w:val="18"/>
        </w:rPr>
        <w:t xml:space="preserve"> </w:t>
      </w:r>
      <w:r>
        <w:rPr>
          <w:rFonts w:ascii="FangSong" w:hAnsi="FangSong" w:eastAsia="FangSong" w:cs="FangSong"/>
          <w:sz w:val="30"/>
          <w:szCs w:val="30"/>
          <w:spacing w:val="18"/>
        </w:rPr>
        <w:t>万元以下的罚款，对负有责任的主管人员和其他直接责任人员依法给予处分：</w:t>
      </w:r>
    </w:p>
    <w:p>
      <w:pPr>
        <w:ind w:left="884"/>
        <w:spacing w:before="1" w:line="221" w:lineRule="auto"/>
        <w:rPr>
          <w:rFonts w:ascii="FangSong" w:hAnsi="FangSong" w:eastAsia="FangSong" w:cs="FangSong"/>
          <w:sz w:val="30"/>
          <w:szCs w:val="30"/>
        </w:rPr>
      </w:pPr>
      <w:r>
        <w:rPr>
          <w:rFonts w:ascii="FangSong" w:hAnsi="FangSong" w:eastAsia="FangSong" w:cs="FangSong"/>
          <w:sz w:val="30"/>
          <w:szCs w:val="30"/>
          <w:spacing w:val="23"/>
        </w:rPr>
        <w:t>(六)未建立科室和医师临床用血评价及公示制度的；</w:t>
      </w:r>
    </w:p>
    <w:p>
      <w:pPr>
        <w:ind w:left="6529"/>
        <w:spacing w:before="137"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412"/>
          <w:pgSz w:w="16830" w:h="11900"/>
          <w:pgMar w:top="1011" w:right="1344" w:bottom="1117" w:left="1325" w:header="0" w:footer="784" w:gutter="0"/>
        </w:sectPr>
        <w:rPr>
          <w:rFonts w:ascii="SimHei" w:hAnsi="SimHei" w:eastAsia="SimHei" w:cs="SimHei"/>
          <w:sz w:val="30"/>
          <w:szCs w:val="30"/>
        </w:rPr>
      </w:pPr>
    </w:p>
    <w:p>
      <w:pPr>
        <w:spacing w:before="17"/>
        <w:rPr/>
      </w:pPr>
      <w:r/>
    </w:p>
    <w:p>
      <w:pPr>
        <w:spacing w:before="16"/>
        <w:rPr/>
      </w:pPr>
      <w:r/>
    </w:p>
    <w:p>
      <w:pPr>
        <w:spacing w:before="16"/>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6985"/>
        <w:gridCol w:w="5741"/>
      </w:tblGrid>
      <w:tr>
        <w:trPr>
          <w:trHeight w:val="452" w:hRule="atLeast"/>
        </w:trPr>
        <w:tc>
          <w:tcPr>
            <w:tcW w:w="1444" w:type="dxa"/>
            <w:vAlign w:val="top"/>
          </w:tcPr>
          <w:p>
            <w:pPr>
              <w:pStyle w:val="TableText"/>
              <w:ind w:left="218"/>
              <w:spacing w:before="102" w:line="220" w:lineRule="auto"/>
              <w:rPr>
                <w:sz w:val="25"/>
                <w:szCs w:val="25"/>
              </w:rPr>
            </w:pPr>
            <w:bookmarkStart w:name="bookmark1061" w:id="434"/>
            <w:bookmarkEnd w:id="434"/>
            <w:r>
              <w:rPr>
                <w:sz w:val="25"/>
                <w:szCs w:val="25"/>
                <w:b/>
                <w:bCs/>
                <w:spacing w:val="-5"/>
              </w:rPr>
              <w:t>违法程度</w:t>
            </w:r>
          </w:p>
        </w:tc>
        <w:tc>
          <w:tcPr>
            <w:tcW w:w="6985" w:type="dxa"/>
            <w:vAlign w:val="top"/>
          </w:tcPr>
          <w:p>
            <w:pPr>
              <w:pStyle w:val="TableText"/>
              <w:ind w:left="2984"/>
              <w:spacing w:before="102" w:line="220" w:lineRule="auto"/>
              <w:rPr>
                <w:sz w:val="25"/>
                <w:szCs w:val="25"/>
              </w:rPr>
            </w:pPr>
            <w:r>
              <w:rPr>
                <w:sz w:val="25"/>
                <w:szCs w:val="25"/>
                <w:b/>
                <w:bCs/>
                <w:spacing w:val="-5"/>
              </w:rPr>
              <w:t>情节后果</w:t>
            </w:r>
          </w:p>
        </w:tc>
        <w:tc>
          <w:tcPr>
            <w:tcW w:w="5741" w:type="dxa"/>
            <w:vAlign w:val="top"/>
          </w:tcPr>
          <w:p>
            <w:pPr>
              <w:pStyle w:val="TableText"/>
              <w:ind w:left="2299"/>
              <w:spacing w:before="99" w:line="218" w:lineRule="auto"/>
              <w:rPr>
                <w:sz w:val="25"/>
                <w:szCs w:val="25"/>
              </w:rPr>
            </w:pPr>
            <w:r>
              <w:rPr>
                <w:sz w:val="25"/>
                <w:szCs w:val="25"/>
                <w:b/>
                <w:bCs/>
                <w:spacing w:val="-5"/>
              </w:rPr>
              <w:t>裁量幅度</w:t>
            </w:r>
          </w:p>
        </w:tc>
      </w:tr>
      <w:tr>
        <w:trPr>
          <w:trHeight w:val="666" w:hRule="atLeast"/>
        </w:trPr>
        <w:tc>
          <w:tcPr>
            <w:tcW w:w="1444" w:type="dxa"/>
            <w:vAlign w:val="top"/>
          </w:tcPr>
          <w:p>
            <w:pPr>
              <w:pStyle w:val="TableText"/>
              <w:ind w:left="468"/>
              <w:spacing w:before="211" w:line="221" w:lineRule="auto"/>
              <w:rPr>
                <w:sz w:val="25"/>
                <w:szCs w:val="25"/>
              </w:rPr>
            </w:pPr>
            <w:r>
              <w:rPr>
                <w:sz w:val="25"/>
                <w:szCs w:val="25"/>
                <w:b/>
                <w:bCs/>
                <w:spacing w:val="-10"/>
              </w:rPr>
              <w:t>一般</w:t>
            </w:r>
          </w:p>
        </w:tc>
        <w:tc>
          <w:tcPr>
            <w:tcW w:w="6985" w:type="dxa"/>
            <w:vAlign w:val="top"/>
          </w:tcPr>
          <w:p>
            <w:pPr>
              <w:pStyle w:val="TableText"/>
              <w:ind w:left="110" w:hanging="99"/>
              <w:spacing w:before="60" w:line="220" w:lineRule="auto"/>
              <w:rPr>
                <w:sz w:val="25"/>
                <w:szCs w:val="25"/>
              </w:rPr>
            </w:pPr>
            <w:r>
              <w:rPr>
                <w:sz w:val="25"/>
                <w:szCs w:val="25"/>
                <w:spacing w:val="-2"/>
              </w:rPr>
              <w:t>医疗机构未建立科室和医师临床用血评价及公示制度，经责令限</w:t>
            </w:r>
            <w:r>
              <w:rPr>
                <w:sz w:val="25"/>
                <w:szCs w:val="25"/>
                <w:spacing w:val="18"/>
              </w:rPr>
              <w:t xml:space="preserve"> </w:t>
            </w:r>
            <w:r>
              <w:rPr>
                <w:sz w:val="25"/>
                <w:szCs w:val="25"/>
                <w:spacing w:val="1"/>
              </w:rPr>
              <w:t>期改正，逾期不改的</w:t>
            </w:r>
          </w:p>
        </w:tc>
        <w:tc>
          <w:tcPr>
            <w:tcW w:w="5741" w:type="dxa"/>
            <w:vAlign w:val="top"/>
          </w:tcPr>
          <w:p>
            <w:pPr>
              <w:pStyle w:val="TableText"/>
              <w:ind w:left="105"/>
              <w:spacing w:before="211" w:line="218" w:lineRule="auto"/>
              <w:rPr>
                <w:sz w:val="25"/>
                <w:szCs w:val="25"/>
              </w:rPr>
            </w:pPr>
            <w:r>
              <w:rPr>
                <w:sz w:val="25"/>
                <w:szCs w:val="25"/>
                <w:spacing w:val="1"/>
              </w:rPr>
              <w:t>通报批评，予以警告</w:t>
            </w:r>
          </w:p>
        </w:tc>
      </w:tr>
      <w:tr>
        <w:trPr>
          <w:trHeight w:val="671" w:hRule="atLeast"/>
        </w:trPr>
        <w:tc>
          <w:tcPr>
            <w:tcW w:w="1444" w:type="dxa"/>
            <w:vAlign w:val="top"/>
          </w:tcPr>
          <w:p>
            <w:pPr>
              <w:pStyle w:val="TableText"/>
              <w:ind w:left="468"/>
              <w:spacing w:before="214" w:line="220" w:lineRule="auto"/>
              <w:rPr>
                <w:sz w:val="25"/>
                <w:szCs w:val="25"/>
              </w:rPr>
            </w:pPr>
            <w:r>
              <w:rPr>
                <w:sz w:val="25"/>
                <w:szCs w:val="25"/>
                <w:b/>
                <w:bCs/>
                <w:spacing w:val="-6"/>
              </w:rPr>
              <w:t>严重</w:t>
            </w:r>
          </w:p>
        </w:tc>
        <w:tc>
          <w:tcPr>
            <w:tcW w:w="6985" w:type="dxa"/>
            <w:vAlign w:val="top"/>
          </w:tcPr>
          <w:p>
            <w:pPr>
              <w:pStyle w:val="TableText"/>
              <w:ind w:left="110" w:hanging="99"/>
              <w:spacing w:before="75" w:line="216" w:lineRule="auto"/>
              <w:rPr>
                <w:sz w:val="25"/>
                <w:szCs w:val="25"/>
              </w:rPr>
            </w:pPr>
            <w:r>
              <w:rPr>
                <w:sz w:val="25"/>
                <w:szCs w:val="25"/>
                <w:spacing w:val="-2"/>
              </w:rPr>
              <w:t>医疗机构未建立科室和医师临床用血评价及公示制度情节严重或</w:t>
            </w:r>
            <w:r>
              <w:rPr>
                <w:sz w:val="25"/>
                <w:szCs w:val="25"/>
                <w:spacing w:val="18"/>
              </w:rPr>
              <w:t xml:space="preserve"> </w:t>
            </w:r>
            <w:r>
              <w:rPr>
                <w:sz w:val="25"/>
                <w:szCs w:val="25"/>
                <w:spacing w:val="1"/>
              </w:rPr>
              <w:t>者造成严重后果的</w:t>
            </w:r>
          </w:p>
        </w:tc>
        <w:tc>
          <w:tcPr>
            <w:tcW w:w="5741" w:type="dxa"/>
            <w:vAlign w:val="top"/>
          </w:tcPr>
          <w:p>
            <w:pPr>
              <w:pStyle w:val="TableText"/>
              <w:ind w:left="105"/>
              <w:spacing w:before="218" w:line="220" w:lineRule="auto"/>
              <w:rPr>
                <w:sz w:val="25"/>
                <w:szCs w:val="25"/>
              </w:rPr>
            </w:pPr>
            <w:r>
              <w:rPr>
                <w:sz w:val="25"/>
                <w:szCs w:val="25"/>
                <w:spacing w:val="1"/>
              </w:rPr>
              <w:t>可处3万元以下的罚款</w:t>
            </w:r>
          </w:p>
        </w:tc>
      </w:tr>
    </w:tbl>
    <w:p>
      <w:pPr>
        <w:pStyle w:val="BodyText"/>
        <w:spacing w:line="470" w:lineRule="auto"/>
        <w:rPr/>
      </w:pPr>
      <w:r/>
    </w:p>
    <w:p>
      <w:pPr>
        <w:ind w:left="799"/>
        <w:spacing w:before="94" w:line="220" w:lineRule="auto"/>
        <w:rPr>
          <w:rFonts w:ascii="FangSong" w:hAnsi="FangSong" w:eastAsia="FangSong" w:cs="FangSong"/>
          <w:sz w:val="29"/>
          <w:szCs w:val="29"/>
        </w:rPr>
      </w:pPr>
      <w:r>
        <w:rPr>
          <w:rFonts w:ascii="FangSong" w:hAnsi="FangSong" w:eastAsia="FangSong" w:cs="FangSong"/>
          <w:sz w:val="29"/>
          <w:szCs w:val="29"/>
          <w:b/>
          <w:bCs/>
          <w:spacing w:val="28"/>
        </w:rPr>
        <w:t>第三百八十</w:t>
      </w:r>
      <w:r>
        <w:rPr>
          <w:rFonts w:ascii="FangSong" w:hAnsi="FangSong" w:eastAsia="FangSong" w:cs="FangSong"/>
          <w:sz w:val="29"/>
          <w:szCs w:val="29"/>
          <w:spacing w:val="-85"/>
        </w:rPr>
        <w:t xml:space="preserve"> </w:t>
      </w:r>
      <w:r>
        <w:rPr>
          <w:rFonts w:ascii="FangSong" w:hAnsi="FangSong" w:eastAsia="FangSong" w:cs="FangSong"/>
          <w:sz w:val="29"/>
          <w:szCs w:val="29"/>
          <w:b/>
          <w:bCs/>
          <w:spacing w:val="28"/>
        </w:rPr>
        <w:t>一</w:t>
      </w:r>
      <w:r>
        <w:rPr>
          <w:rFonts w:ascii="FangSong" w:hAnsi="FangSong" w:eastAsia="FangSong" w:cs="FangSong"/>
          <w:sz w:val="29"/>
          <w:szCs w:val="29"/>
          <w:spacing w:val="-87"/>
        </w:rPr>
        <w:t xml:space="preserve"> </w:t>
      </w:r>
      <w:r>
        <w:rPr>
          <w:rFonts w:ascii="FangSong" w:hAnsi="FangSong" w:eastAsia="FangSong" w:cs="FangSong"/>
          <w:sz w:val="29"/>
          <w:szCs w:val="29"/>
          <w:b/>
          <w:bCs/>
          <w:spacing w:val="28"/>
        </w:rPr>
        <w:t>条医疗机构将经济收入作为对</w:t>
      </w:r>
      <w:r>
        <w:rPr>
          <w:rFonts w:ascii="FangSong" w:hAnsi="FangSong" w:eastAsia="FangSong" w:cs="FangSong"/>
          <w:sz w:val="29"/>
          <w:szCs w:val="29"/>
          <w:b/>
          <w:bCs/>
          <w:spacing w:val="27"/>
        </w:rPr>
        <w:t>输血科或者血库工作的考核指标的</w:t>
      </w:r>
    </w:p>
    <w:p>
      <w:pPr>
        <w:ind w:left="954"/>
        <w:spacing w:before="112" w:line="222" w:lineRule="auto"/>
        <w:rPr>
          <w:rFonts w:ascii="FangSong" w:hAnsi="FangSong" w:eastAsia="FangSong" w:cs="FangSong"/>
          <w:sz w:val="29"/>
          <w:szCs w:val="29"/>
        </w:rPr>
      </w:pPr>
      <w:r>
        <w:rPr>
          <w:rFonts w:ascii="FangSong" w:hAnsi="FangSong" w:eastAsia="FangSong" w:cs="FangSong"/>
          <w:sz w:val="29"/>
          <w:szCs w:val="29"/>
          <w:spacing w:val="9"/>
        </w:rPr>
        <w:t>法律依据：</w:t>
      </w:r>
    </w:p>
    <w:p>
      <w:pPr>
        <w:ind w:left="145" w:right="20" w:firstLine="614"/>
        <w:spacing w:before="100" w:line="273" w:lineRule="auto"/>
        <w:jc w:val="both"/>
        <w:rPr>
          <w:rFonts w:ascii="FangSong" w:hAnsi="FangSong" w:eastAsia="FangSong" w:cs="FangSong"/>
          <w:sz w:val="29"/>
          <w:szCs w:val="29"/>
        </w:rPr>
      </w:pPr>
      <w:r>
        <w:rPr>
          <w:rFonts w:ascii="FangSong" w:hAnsi="FangSong" w:eastAsia="FangSong" w:cs="FangSong"/>
          <w:sz w:val="29"/>
          <w:szCs w:val="29"/>
          <w:spacing w:val="34"/>
        </w:rPr>
        <w:t>《医疗机构临床用血管理办法》第三十五条</w:t>
      </w:r>
      <w:r>
        <w:rPr>
          <w:rFonts w:ascii="FangSong" w:hAnsi="FangSong" w:eastAsia="FangSong" w:cs="FangSong"/>
          <w:sz w:val="29"/>
          <w:szCs w:val="29"/>
          <w:spacing w:val="33"/>
        </w:rPr>
        <w:t>第(七)项</w:t>
      </w:r>
      <w:r>
        <w:rPr>
          <w:rFonts w:ascii="FangSong" w:hAnsi="FangSong" w:eastAsia="FangSong" w:cs="FangSong"/>
          <w:sz w:val="29"/>
          <w:szCs w:val="29"/>
          <w:spacing w:val="33"/>
        </w:rPr>
        <w:t xml:space="preserve">  </w:t>
      </w:r>
      <w:r>
        <w:rPr>
          <w:rFonts w:ascii="FangSong" w:hAnsi="FangSong" w:eastAsia="FangSong" w:cs="FangSong"/>
          <w:sz w:val="29"/>
          <w:szCs w:val="29"/>
          <w:spacing w:val="33"/>
        </w:rPr>
        <w:t>医疗机构有下列情形之一的，由县级以</w:t>
      </w:r>
      <w:r>
        <w:rPr>
          <w:rFonts w:ascii="FangSong" w:hAnsi="FangSong" w:eastAsia="FangSong" w:cs="FangSong"/>
          <w:sz w:val="29"/>
          <w:szCs w:val="29"/>
        </w:rPr>
        <w:t xml:space="preserve"> </w:t>
      </w:r>
      <w:r>
        <w:rPr>
          <w:rFonts w:ascii="FangSong" w:hAnsi="FangSong" w:eastAsia="FangSong" w:cs="FangSong"/>
          <w:sz w:val="29"/>
          <w:szCs w:val="29"/>
          <w:spacing w:val="27"/>
        </w:rPr>
        <w:t>上人民政府卫生行政部门责令限期改正；逾期不改的，进</w:t>
      </w:r>
      <w:r>
        <w:rPr>
          <w:rFonts w:ascii="FangSong" w:hAnsi="FangSong" w:eastAsia="FangSong" w:cs="FangSong"/>
          <w:sz w:val="29"/>
          <w:szCs w:val="29"/>
          <w:spacing w:val="26"/>
        </w:rPr>
        <w:t>行通报批评，并予以警告；情节严重或者造</w:t>
      </w:r>
      <w:r>
        <w:rPr>
          <w:rFonts w:ascii="FangSong" w:hAnsi="FangSong" w:eastAsia="FangSong" w:cs="FangSong"/>
          <w:sz w:val="29"/>
          <w:szCs w:val="29"/>
        </w:rPr>
        <w:t xml:space="preserve"> </w:t>
      </w:r>
      <w:r>
        <w:rPr>
          <w:rFonts w:ascii="FangSong" w:hAnsi="FangSong" w:eastAsia="FangSong" w:cs="FangSong"/>
          <w:sz w:val="29"/>
          <w:szCs w:val="29"/>
          <w:spacing w:val="28"/>
        </w:rPr>
        <w:t>成严重后果的，可处3</w:t>
      </w:r>
      <w:r>
        <w:rPr>
          <w:rFonts w:ascii="FangSong" w:hAnsi="FangSong" w:eastAsia="FangSong" w:cs="FangSong"/>
          <w:sz w:val="29"/>
          <w:szCs w:val="29"/>
          <w:spacing w:val="28"/>
        </w:rPr>
        <w:t xml:space="preserve"> </w:t>
      </w:r>
      <w:r>
        <w:rPr>
          <w:rFonts w:ascii="FangSong" w:hAnsi="FangSong" w:eastAsia="FangSong" w:cs="FangSong"/>
          <w:sz w:val="29"/>
          <w:szCs w:val="29"/>
          <w:spacing w:val="28"/>
        </w:rPr>
        <w:t>万元以下的罚款，对负有责任的主管人员和其他直接责任人员依法给予处分：</w:t>
      </w:r>
    </w:p>
    <w:p>
      <w:pPr>
        <w:ind w:left="914"/>
        <w:spacing w:line="220" w:lineRule="auto"/>
        <w:rPr>
          <w:rFonts w:ascii="FangSong" w:hAnsi="FangSong" w:eastAsia="FangSong" w:cs="FangSong"/>
          <w:sz w:val="29"/>
          <w:szCs w:val="29"/>
        </w:rPr>
      </w:pPr>
      <w:r>
        <w:rPr>
          <w:rFonts w:ascii="FangSong" w:hAnsi="FangSong" w:eastAsia="FangSong" w:cs="FangSong"/>
          <w:sz w:val="29"/>
          <w:szCs w:val="29"/>
          <w:spacing w:val="32"/>
        </w:rPr>
        <w:t>(七)将经济收入作为对输血科或者血库工作的考核指标的；</w:t>
      </w:r>
    </w:p>
    <w:p>
      <w:pPr>
        <w:ind w:left="6539"/>
        <w:spacing w:before="203" w:line="221" w:lineRule="auto"/>
        <w:rPr>
          <w:rFonts w:ascii="SimHei" w:hAnsi="SimHei" w:eastAsia="SimHei" w:cs="SimHei"/>
          <w:sz w:val="29"/>
          <w:szCs w:val="29"/>
        </w:rPr>
      </w:pPr>
      <w:r>
        <w:rPr>
          <w:rFonts w:ascii="SimHei" w:hAnsi="SimHei" w:eastAsia="SimHei" w:cs="SimHei"/>
          <w:sz w:val="29"/>
          <w:szCs w:val="29"/>
          <w:b/>
          <w:bCs/>
          <w:spacing w:val="-6"/>
        </w:rPr>
        <w:t>裁量标准</w:t>
      </w:r>
    </w:p>
    <w:p>
      <w:pPr>
        <w:spacing w:line="72" w:lineRule="exact"/>
        <w:rPr/>
      </w:pPr>
      <w:r/>
    </w:p>
    <w:tbl>
      <w:tblPr>
        <w:tblStyle w:val="TableNormal"/>
        <w:tblW w:w="1417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015"/>
        <w:gridCol w:w="5711"/>
      </w:tblGrid>
      <w:tr>
        <w:trPr>
          <w:trHeight w:val="412" w:hRule="atLeast"/>
        </w:trPr>
        <w:tc>
          <w:tcPr>
            <w:tcW w:w="1444" w:type="dxa"/>
            <w:vAlign w:val="top"/>
          </w:tcPr>
          <w:p>
            <w:pPr>
              <w:pStyle w:val="TableText"/>
              <w:ind w:left="218"/>
              <w:spacing w:before="82" w:line="220" w:lineRule="auto"/>
              <w:rPr>
                <w:sz w:val="25"/>
                <w:szCs w:val="25"/>
              </w:rPr>
            </w:pPr>
            <w:r>
              <w:rPr>
                <w:sz w:val="25"/>
                <w:szCs w:val="25"/>
                <w:b/>
                <w:bCs/>
                <w:spacing w:val="-5"/>
              </w:rPr>
              <w:t>违法程度</w:t>
            </w:r>
          </w:p>
        </w:tc>
        <w:tc>
          <w:tcPr>
            <w:tcW w:w="7015" w:type="dxa"/>
            <w:vAlign w:val="top"/>
          </w:tcPr>
          <w:p>
            <w:pPr>
              <w:pStyle w:val="TableText"/>
              <w:ind w:left="3004"/>
              <w:spacing w:before="82" w:line="220" w:lineRule="auto"/>
              <w:rPr>
                <w:sz w:val="25"/>
                <w:szCs w:val="25"/>
              </w:rPr>
            </w:pPr>
            <w:r>
              <w:rPr>
                <w:sz w:val="25"/>
                <w:szCs w:val="25"/>
                <w:b/>
                <w:bCs/>
                <w:spacing w:val="-5"/>
              </w:rPr>
              <w:t>情节后果</w:t>
            </w:r>
          </w:p>
        </w:tc>
        <w:tc>
          <w:tcPr>
            <w:tcW w:w="5711" w:type="dxa"/>
            <w:vAlign w:val="top"/>
          </w:tcPr>
          <w:p>
            <w:pPr>
              <w:pStyle w:val="TableText"/>
              <w:ind w:left="2299"/>
              <w:spacing w:before="79" w:line="218" w:lineRule="auto"/>
              <w:rPr>
                <w:sz w:val="25"/>
                <w:szCs w:val="25"/>
              </w:rPr>
            </w:pPr>
            <w:r>
              <w:rPr>
                <w:sz w:val="25"/>
                <w:szCs w:val="25"/>
                <w:b/>
                <w:bCs/>
                <w:spacing w:val="-5"/>
              </w:rPr>
              <w:t>裁量幅度</w:t>
            </w:r>
          </w:p>
        </w:tc>
      </w:tr>
      <w:tr>
        <w:trPr>
          <w:trHeight w:val="686" w:hRule="atLeast"/>
        </w:trPr>
        <w:tc>
          <w:tcPr>
            <w:tcW w:w="1444" w:type="dxa"/>
            <w:vAlign w:val="top"/>
          </w:tcPr>
          <w:p>
            <w:pPr>
              <w:pStyle w:val="TableText"/>
              <w:ind w:left="468"/>
              <w:spacing w:before="221" w:line="221" w:lineRule="auto"/>
              <w:rPr>
                <w:sz w:val="25"/>
                <w:szCs w:val="25"/>
              </w:rPr>
            </w:pPr>
            <w:r>
              <w:rPr>
                <w:sz w:val="25"/>
                <w:szCs w:val="25"/>
                <w:b/>
                <w:bCs/>
                <w:spacing w:val="-10"/>
              </w:rPr>
              <w:t>一般</w:t>
            </w:r>
          </w:p>
        </w:tc>
        <w:tc>
          <w:tcPr>
            <w:tcW w:w="7015" w:type="dxa"/>
            <w:vAlign w:val="top"/>
          </w:tcPr>
          <w:p>
            <w:pPr>
              <w:pStyle w:val="TableText"/>
              <w:ind w:left="110" w:hanging="99"/>
              <w:spacing w:before="91" w:line="216" w:lineRule="auto"/>
              <w:rPr>
                <w:sz w:val="25"/>
                <w:szCs w:val="25"/>
              </w:rPr>
            </w:pPr>
            <w:r>
              <w:rPr>
                <w:sz w:val="25"/>
                <w:szCs w:val="25"/>
              </w:rPr>
              <w:t>医疗机构将经济收入作为对输血科或者血库工</w:t>
            </w:r>
            <w:r>
              <w:rPr>
                <w:sz w:val="25"/>
                <w:szCs w:val="25"/>
                <w:spacing w:val="-1"/>
              </w:rPr>
              <w:t>作的考核指标，经</w:t>
            </w:r>
            <w:r>
              <w:rPr>
                <w:sz w:val="25"/>
                <w:szCs w:val="25"/>
              </w:rPr>
              <w:t xml:space="preserve"> </w:t>
            </w:r>
            <w:r>
              <w:rPr>
                <w:sz w:val="25"/>
                <w:szCs w:val="25"/>
                <w:spacing w:val="1"/>
              </w:rPr>
              <w:t>责令限期改正，逾期不改的</w:t>
            </w:r>
          </w:p>
        </w:tc>
        <w:tc>
          <w:tcPr>
            <w:tcW w:w="5711" w:type="dxa"/>
            <w:vAlign w:val="top"/>
          </w:tcPr>
          <w:p>
            <w:pPr>
              <w:pStyle w:val="TableText"/>
              <w:ind w:left="126"/>
              <w:spacing w:before="221" w:line="218" w:lineRule="auto"/>
              <w:rPr>
                <w:sz w:val="25"/>
                <w:szCs w:val="25"/>
              </w:rPr>
            </w:pPr>
            <w:r>
              <w:rPr>
                <w:sz w:val="25"/>
                <w:szCs w:val="25"/>
                <w:spacing w:val="1"/>
              </w:rPr>
              <w:t>通报批评，予以警告</w:t>
            </w:r>
          </w:p>
        </w:tc>
      </w:tr>
      <w:tr>
        <w:trPr>
          <w:trHeight w:val="681" w:hRule="atLeast"/>
        </w:trPr>
        <w:tc>
          <w:tcPr>
            <w:tcW w:w="1444" w:type="dxa"/>
            <w:vAlign w:val="top"/>
          </w:tcPr>
          <w:p>
            <w:pPr>
              <w:pStyle w:val="TableText"/>
              <w:ind w:left="468"/>
              <w:spacing w:before="224" w:line="220" w:lineRule="auto"/>
              <w:rPr>
                <w:sz w:val="25"/>
                <w:szCs w:val="25"/>
              </w:rPr>
            </w:pPr>
            <w:r>
              <w:rPr>
                <w:sz w:val="25"/>
                <w:szCs w:val="25"/>
                <w:b/>
                <w:bCs/>
                <w:spacing w:val="-6"/>
              </w:rPr>
              <w:t>严重</w:t>
            </w:r>
          </w:p>
        </w:tc>
        <w:tc>
          <w:tcPr>
            <w:tcW w:w="7015" w:type="dxa"/>
            <w:vAlign w:val="top"/>
          </w:tcPr>
          <w:p>
            <w:pPr>
              <w:pStyle w:val="TableText"/>
              <w:ind w:left="100" w:hanging="89"/>
              <w:spacing w:before="75" w:line="220" w:lineRule="auto"/>
              <w:rPr>
                <w:sz w:val="25"/>
                <w:szCs w:val="25"/>
              </w:rPr>
            </w:pPr>
            <w:r>
              <w:rPr>
                <w:sz w:val="25"/>
                <w:szCs w:val="25"/>
              </w:rPr>
              <w:t>医疗机构将经济收入作为对输血科或者血库工</w:t>
            </w:r>
            <w:r>
              <w:rPr>
                <w:sz w:val="25"/>
                <w:szCs w:val="25"/>
                <w:spacing w:val="-1"/>
              </w:rPr>
              <w:t>作的考核指标情节</w:t>
            </w:r>
            <w:r>
              <w:rPr>
                <w:sz w:val="25"/>
                <w:szCs w:val="25"/>
              </w:rPr>
              <w:t xml:space="preserve"> </w:t>
            </w:r>
            <w:r>
              <w:rPr>
                <w:sz w:val="25"/>
                <w:szCs w:val="25"/>
                <w:spacing w:val="1"/>
              </w:rPr>
              <w:t>严重或者造成严重后果的</w:t>
            </w:r>
          </w:p>
        </w:tc>
        <w:tc>
          <w:tcPr>
            <w:tcW w:w="5711" w:type="dxa"/>
            <w:vAlign w:val="top"/>
          </w:tcPr>
          <w:p>
            <w:pPr>
              <w:pStyle w:val="TableText"/>
              <w:ind w:left="126"/>
              <w:spacing w:before="228" w:line="220" w:lineRule="auto"/>
              <w:rPr>
                <w:sz w:val="25"/>
                <w:szCs w:val="25"/>
              </w:rPr>
            </w:pPr>
            <w:r>
              <w:rPr>
                <w:sz w:val="25"/>
                <w:szCs w:val="25"/>
                <w:spacing w:val="-2"/>
              </w:rPr>
              <w:t>可处3万元以下的罚款</w:t>
            </w:r>
          </w:p>
        </w:tc>
      </w:tr>
    </w:tbl>
    <w:p>
      <w:pPr>
        <w:pStyle w:val="BodyText"/>
        <w:spacing w:line="244" w:lineRule="auto"/>
        <w:rPr/>
      </w:pPr>
      <w:r/>
    </w:p>
    <w:p>
      <w:pPr>
        <w:pStyle w:val="BodyText"/>
        <w:spacing w:line="245" w:lineRule="auto"/>
        <w:rPr/>
      </w:pPr>
      <w:r/>
    </w:p>
    <w:p>
      <w:pPr>
        <w:ind w:left="489"/>
        <w:spacing w:before="95" w:line="220" w:lineRule="auto"/>
        <w:rPr>
          <w:rFonts w:ascii="FangSong" w:hAnsi="FangSong" w:eastAsia="FangSong" w:cs="FangSong"/>
          <w:sz w:val="29"/>
          <w:szCs w:val="29"/>
        </w:rPr>
      </w:pPr>
      <w:r>
        <w:rPr>
          <w:rFonts w:ascii="FangSong" w:hAnsi="FangSong" w:eastAsia="FangSong" w:cs="FangSong"/>
          <w:sz w:val="29"/>
          <w:szCs w:val="29"/>
          <w:b/>
          <w:bCs/>
          <w:spacing w:val="32"/>
        </w:rPr>
        <w:t>第三百八十二条医疗机构违反《医疗机构临床用血管理办法》的其他行为</w:t>
      </w:r>
    </w:p>
    <w:p>
      <w:pPr>
        <w:spacing w:line="220" w:lineRule="auto"/>
        <w:sectPr>
          <w:footerReference w:type="default" r:id="rId413"/>
          <w:pgSz w:w="16830" w:h="11900"/>
          <w:pgMar w:top="1011" w:right="1335" w:bottom="1130" w:left="1305" w:header="0" w:footer="806" w:gutter="0"/>
        </w:sectPr>
        <w:rPr>
          <w:rFonts w:ascii="FangSong" w:hAnsi="FangSong" w:eastAsia="FangSong" w:cs="FangSong"/>
          <w:sz w:val="29"/>
          <w:szCs w:val="29"/>
        </w:rPr>
      </w:pPr>
    </w:p>
    <w:p>
      <w:pPr>
        <w:pStyle w:val="BodyText"/>
        <w:spacing w:line="259" w:lineRule="auto"/>
        <w:rPr/>
      </w:pPr>
      <w:r/>
    </w:p>
    <w:p>
      <w:pPr>
        <w:pStyle w:val="BodyText"/>
        <w:spacing w:line="260" w:lineRule="auto"/>
        <w:rPr/>
      </w:pPr>
      <w:r/>
    </w:p>
    <w:p>
      <w:pPr>
        <w:pStyle w:val="BodyText"/>
        <w:spacing w:line="260" w:lineRule="auto"/>
        <w:rPr/>
      </w:pPr>
      <w:r/>
    </w:p>
    <w:p>
      <w:pPr>
        <w:ind w:left="894"/>
        <w:spacing w:before="94" w:line="222" w:lineRule="auto"/>
        <w:rPr>
          <w:rFonts w:ascii="FangSong" w:hAnsi="FangSong" w:eastAsia="FangSong" w:cs="FangSong"/>
          <w:sz w:val="29"/>
          <w:szCs w:val="29"/>
        </w:rPr>
      </w:pPr>
      <w:bookmarkStart w:name="bookmark1062" w:id="435"/>
      <w:bookmarkEnd w:id="435"/>
      <w:r>
        <w:rPr>
          <w:rFonts w:ascii="FangSong" w:hAnsi="FangSong" w:eastAsia="FangSong" w:cs="FangSong"/>
          <w:sz w:val="29"/>
          <w:szCs w:val="29"/>
          <w:spacing w:val="6"/>
        </w:rPr>
        <w:t>法律依据：</w:t>
      </w:r>
    </w:p>
    <w:p>
      <w:pPr>
        <w:ind w:left="124" w:right="30" w:firstLine="624"/>
        <w:spacing w:before="101" w:line="273" w:lineRule="auto"/>
        <w:jc w:val="both"/>
        <w:rPr>
          <w:rFonts w:ascii="FangSong" w:hAnsi="FangSong" w:eastAsia="FangSong" w:cs="FangSong"/>
          <w:sz w:val="29"/>
          <w:szCs w:val="29"/>
        </w:rPr>
      </w:pPr>
      <w:r>
        <w:rPr>
          <w:rFonts w:ascii="FangSong" w:hAnsi="FangSong" w:eastAsia="FangSong" w:cs="FangSong"/>
          <w:sz w:val="29"/>
          <w:szCs w:val="29"/>
          <w:spacing w:val="33"/>
        </w:rPr>
        <w:t>《医疗机构临床用血管理办法》第三十五条第(八)项</w:t>
      </w:r>
      <w:r>
        <w:rPr>
          <w:rFonts w:ascii="FangSong" w:hAnsi="FangSong" w:eastAsia="FangSong" w:cs="FangSong"/>
          <w:sz w:val="29"/>
          <w:szCs w:val="29"/>
          <w:spacing w:val="33"/>
        </w:rPr>
        <w:t xml:space="preserve">  </w:t>
      </w:r>
      <w:r>
        <w:rPr>
          <w:rFonts w:ascii="FangSong" w:hAnsi="FangSong" w:eastAsia="FangSong" w:cs="FangSong"/>
          <w:sz w:val="29"/>
          <w:szCs w:val="29"/>
          <w:spacing w:val="33"/>
        </w:rPr>
        <w:t>医疗机构有下列情形之一的，由县级以</w:t>
      </w:r>
      <w:r>
        <w:rPr>
          <w:rFonts w:ascii="FangSong" w:hAnsi="FangSong" w:eastAsia="FangSong" w:cs="FangSong"/>
          <w:sz w:val="29"/>
          <w:szCs w:val="29"/>
          <w:spacing w:val="9"/>
        </w:rPr>
        <w:t xml:space="preserve"> </w:t>
      </w:r>
      <w:r>
        <w:rPr>
          <w:rFonts w:ascii="FangSong" w:hAnsi="FangSong" w:eastAsia="FangSong" w:cs="FangSong"/>
          <w:sz w:val="29"/>
          <w:szCs w:val="29"/>
          <w:spacing w:val="27"/>
        </w:rPr>
        <w:t>上人民政府卫生行政部门责令限期改正；逾期不改的，进</w:t>
      </w:r>
      <w:r>
        <w:rPr>
          <w:rFonts w:ascii="FangSong" w:hAnsi="FangSong" w:eastAsia="FangSong" w:cs="FangSong"/>
          <w:sz w:val="29"/>
          <w:szCs w:val="29"/>
          <w:spacing w:val="26"/>
        </w:rPr>
        <w:t>行通报批评，并予以警告；情节严重或者造</w:t>
      </w:r>
      <w:r>
        <w:rPr>
          <w:rFonts w:ascii="FangSong" w:hAnsi="FangSong" w:eastAsia="FangSong" w:cs="FangSong"/>
          <w:sz w:val="29"/>
          <w:szCs w:val="29"/>
        </w:rPr>
        <w:t xml:space="preserve"> </w:t>
      </w:r>
      <w:r>
        <w:rPr>
          <w:rFonts w:ascii="FangSong" w:hAnsi="FangSong" w:eastAsia="FangSong" w:cs="FangSong"/>
          <w:sz w:val="29"/>
          <w:szCs w:val="29"/>
          <w:spacing w:val="28"/>
        </w:rPr>
        <w:t>成严重后果的，可处3</w:t>
      </w:r>
      <w:r>
        <w:rPr>
          <w:rFonts w:ascii="FangSong" w:hAnsi="FangSong" w:eastAsia="FangSong" w:cs="FangSong"/>
          <w:sz w:val="29"/>
          <w:szCs w:val="29"/>
          <w:spacing w:val="28"/>
        </w:rPr>
        <w:t xml:space="preserve"> </w:t>
      </w:r>
      <w:r>
        <w:rPr>
          <w:rFonts w:ascii="FangSong" w:hAnsi="FangSong" w:eastAsia="FangSong" w:cs="FangSong"/>
          <w:sz w:val="29"/>
          <w:szCs w:val="29"/>
          <w:spacing w:val="28"/>
        </w:rPr>
        <w:t>万元以下的罚款，对负有责任的主管人员和其他直接责任人员依法给予处分：</w:t>
      </w:r>
    </w:p>
    <w:p>
      <w:pPr>
        <w:ind w:left="894"/>
        <w:spacing w:before="1" w:line="220" w:lineRule="auto"/>
        <w:rPr>
          <w:rFonts w:ascii="FangSong" w:hAnsi="FangSong" w:eastAsia="FangSong" w:cs="FangSong"/>
          <w:sz w:val="29"/>
          <w:szCs w:val="29"/>
        </w:rPr>
      </w:pPr>
      <w:r>
        <w:rPr>
          <w:rFonts w:ascii="FangSong" w:hAnsi="FangSong" w:eastAsia="FangSong" w:cs="FangSong"/>
          <w:sz w:val="29"/>
          <w:szCs w:val="29"/>
          <w:spacing w:val="35"/>
        </w:rPr>
        <w:t>(八)违反本办法的其他行为。</w:t>
      </w:r>
    </w:p>
    <w:p>
      <w:pPr>
        <w:ind w:left="6539"/>
        <w:spacing w:before="191" w:line="221" w:lineRule="auto"/>
        <w:rPr>
          <w:rFonts w:ascii="SimHei" w:hAnsi="SimHei" w:eastAsia="SimHei" w:cs="SimHei"/>
          <w:sz w:val="29"/>
          <w:szCs w:val="29"/>
        </w:rPr>
      </w:pPr>
      <w:r>
        <w:rPr>
          <w:rFonts w:ascii="SimHei" w:hAnsi="SimHei" w:eastAsia="SimHei" w:cs="SimHei"/>
          <w:sz w:val="29"/>
          <w:szCs w:val="29"/>
          <w:b/>
          <w:bCs/>
          <w:spacing w:val="-6"/>
        </w:rPr>
        <w:t>裁量标准</w:t>
      </w:r>
    </w:p>
    <w:p>
      <w:pPr>
        <w:spacing w:line="92" w:lineRule="exact"/>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675"/>
        <w:gridCol w:w="5051"/>
      </w:tblGrid>
      <w:tr>
        <w:trPr>
          <w:trHeight w:val="453" w:hRule="atLeast"/>
        </w:trPr>
        <w:tc>
          <w:tcPr>
            <w:tcW w:w="1444" w:type="dxa"/>
            <w:vAlign w:val="top"/>
          </w:tcPr>
          <w:p>
            <w:pPr>
              <w:pStyle w:val="TableText"/>
              <w:ind w:left="218"/>
              <w:spacing w:before="102" w:line="220" w:lineRule="auto"/>
              <w:rPr>
                <w:sz w:val="25"/>
                <w:szCs w:val="25"/>
              </w:rPr>
            </w:pPr>
            <w:r>
              <w:rPr>
                <w:sz w:val="25"/>
                <w:szCs w:val="25"/>
                <w:b/>
                <w:bCs/>
                <w:spacing w:val="-5"/>
              </w:rPr>
              <w:t>违法程度</w:t>
            </w:r>
          </w:p>
        </w:tc>
        <w:tc>
          <w:tcPr>
            <w:tcW w:w="7675" w:type="dxa"/>
            <w:vAlign w:val="top"/>
          </w:tcPr>
          <w:p>
            <w:pPr>
              <w:pStyle w:val="TableText"/>
              <w:ind w:left="3334"/>
              <w:spacing w:before="102" w:line="220" w:lineRule="auto"/>
              <w:rPr>
                <w:sz w:val="25"/>
                <w:szCs w:val="25"/>
              </w:rPr>
            </w:pPr>
            <w:r>
              <w:rPr>
                <w:sz w:val="25"/>
                <w:szCs w:val="25"/>
                <w:b/>
                <w:bCs/>
                <w:spacing w:val="-5"/>
              </w:rPr>
              <w:t>情节后果</w:t>
            </w:r>
          </w:p>
        </w:tc>
        <w:tc>
          <w:tcPr>
            <w:tcW w:w="5051" w:type="dxa"/>
            <w:vAlign w:val="top"/>
          </w:tcPr>
          <w:p>
            <w:pPr>
              <w:pStyle w:val="TableText"/>
              <w:ind w:left="1969"/>
              <w:spacing w:before="99" w:line="218" w:lineRule="auto"/>
              <w:rPr>
                <w:sz w:val="25"/>
                <w:szCs w:val="25"/>
              </w:rPr>
            </w:pPr>
            <w:r>
              <w:rPr>
                <w:sz w:val="25"/>
                <w:szCs w:val="25"/>
                <w:b/>
                <w:bCs/>
                <w:spacing w:val="-5"/>
              </w:rPr>
              <w:t>裁量幅度</w:t>
            </w:r>
          </w:p>
        </w:tc>
      </w:tr>
      <w:tr>
        <w:trPr>
          <w:trHeight w:val="676" w:hRule="atLeast"/>
        </w:trPr>
        <w:tc>
          <w:tcPr>
            <w:tcW w:w="1444" w:type="dxa"/>
            <w:vAlign w:val="top"/>
          </w:tcPr>
          <w:p>
            <w:pPr>
              <w:pStyle w:val="TableText"/>
              <w:ind w:left="468"/>
              <w:spacing w:before="220" w:line="221" w:lineRule="auto"/>
              <w:rPr>
                <w:sz w:val="25"/>
                <w:szCs w:val="25"/>
              </w:rPr>
            </w:pPr>
            <w:r>
              <w:rPr>
                <w:sz w:val="25"/>
                <w:szCs w:val="25"/>
                <w:b/>
                <w:bCs/>
                <w:spacing w:val="-10"/>
              </w:rPr>
              <w:t>一般</w:t>
            </w:r>
          </w:p>
        </w:tc>
        <w:tc>
          <w:tcPr>
            <w:tcW w:w="7675" w:type="dxa"/>
            <w:vAlign w:val="top"/>
          </w:tcPr>
          <w:p>
            <w:pPr>
              <w:pStyle w:val="TableText"/>
              <w:ind w:left="100" w:hanging="89"/>
              <w:spacing w:before="70" w:line="220" w:lineRule="auto"/>
              <w:rPr>
                <w:sz w:val="25"/>
                <w:szCs w:val="25"/>
              </w:rPr>
            </w:pPr>
            <w:r>
              <w:rPr>
                <w:sz w:val="25"/>
                <w:szCs w:val="25"/>
                <w:spacing w:val="-3"/>
              </w:rPr>
              <w:t>医疗机构违反《医疗机构临床用血管理办法》的其他行为，</w:t>
            </w:r>
            <w:r>
              <w:rPr>
                <w:sz w:val="25"/>
                <w:szCs w:val="25"/>
                <w:spacing w:val="-4"/>
              </w:rPr>
              <w:t>经责令限期</w:t>
            </w:r>
            <w:r>
              <w:rPr>
                <w:sz w:val="25"/>
                <w:szCs w:val="25"/>
              </w:rPr>
              <w:t xml:space="preserve"> </w:t>
            </w:r>
            <w:r>
              <w:rPr>
                <w:sz w:val="25"/>
                <w:szCs w:val="25"/>
                <w:spacing w:val="2"/>
              </w:rPr>
              <w:t>改正，逾期不改的</w:t>
            </w:r>
          </w:p>
        </w:tc>
        <w:tc>
          <w:tcPr>
            <w:tcW w:w="5051" w:type="dxa"/>
            <w:vAlign w:val="top"/>
          </w:tcPr>
          <w:p>
            <w:pPr>
              <w:pStyle w:val="TableText"/>
              <w:ind w:left="126"/>
              <w:spacing w:before="70" w:line="218" w:lineRule="auto"/>
              <w:rPr>
                <w:sz w:val="25"/>
                <w:szCs w:val="25"/>
              </w:rPr>
            </w:pPr>
            <w:r>
              <w:rPr>
                <w:sz w:val="25"/>
                <w:szCs w:val="25"/>
                <w:spacing w:val="1"/>
              </w:rPr>
              <w:t>通报批评，予以警告</w:t>
            </w:r>
          </w:p>
        </w:tc>
      </w:tr>
      <w:tr>
        <w:trPr>
          <w:trHeight w:val="681" w:hRule="atLeast"/>
        </w:trPr>
        <w:tc>
          <w:tcPr>
            <w:tcW w:w="1444" w:type="dxa"/>
            <w:vAlign w:val="top"/>
          </w:tcPr>
          <w:p>
            <w:pPr>
              <w:pStyle w:val="TableText"/>
              <w:ind w:left="468"/>
              <w:spacing w:before="223" w:line="220" w:lineRule="auto"/>
              <w:rPr>
                <w:sz w:val="25"/>
                <w:szCs w:val="25"/>
              </w:rPr>
            </w:pPr>
            <w:r>
              <w:rPr>
                <w:sz w:val="25"/>
                <w:szCs w:val="25"/>
                <w:b/>
                <w:bCs/>
                <w:spacing w:val="-6"/>
              </w:rPr>
              <w:t>严重</w:t>
            </w:r>
          </w:p>
        </w:tc>
        <w:tc>
          <w:tcPr>
            <w:tcW w:w="7675" w:type="dxa"/>
            <w:vAlign w:val="top"/>
          </w:tcPr>
          <w:p>
            <w:pPr>
              <w:pStyle w:val="TableText"/>
              <w:ind w:left="100" w:hanging="89"/>
              <w:spacing w:before="75" w:line="220" w:lineRule="auto"/>
              <w:rPr>
                <w:sz w:val="25"/>
                <w:szCs w:val="25"/>
              </w:rPr>
            </w:pPr>
            <w:r>
              <w:rPr>
                <w:sz w:val="25"/>
                <w:szCs w:val="25"/>
                <w:spacing w:val="-3"/>
              </w:rPr>
              <w:t>医疗机构违反《医疗机构临床用血管理办法》的其他行为，</w:t>
            </w:r>
            <w:r>
              <w:rPr>
                <w:sz w:val="25"/>
                <w:szCs w:val="25"/>
                <w:spacing w:val="-4"/>
              </w:rPr>
              <w:t>经责令限期</w:t>
            </w:r>
            <w:r>
              <w:rPr>
                <w:sz w:val="25"/>
                <w:szCs w:val="25"/>
              </w:rPr>
              <w:t xml:space="preserve"> </w:t>
            </w:r>
            <w:r>
              <w:rPr>
                <w:sz w:val="25"/>
                <w:szCs w:val="25"/>
                <w:spacing w:val="2"/>
              </w:rPr>
              <w:t>改正，逾期不改的</w:t>
            </w:r>
          </w:p>
        </w:tc>
        <w:tc>
          <w:tcPr>
            <w:tcW w:w="5051" w:type="dxa"/>
            <w:vAlign w:val="top"/>
          </w:tcPr>
          <w:p>
            <w:pPr>
              <w:pStyle w:val="TableText"/>
              <w:ind w:left="126"/>
              <w:spacing w:before="77" w:line="220" w:lineRule="auto"/>
              <w:rPr>
                <w:sz w:val="25"/>
                <w:szCs w:val="25"/>
              </w:rPr>
            </w:pPr>
            <w:r>
              <w:rPr>
                <w:sz w:val="25"/>
                <w:szCs w:val="25"/>
                <w:spacing w:val="1"/>
              </w:rPr>
              <w:t>可处3万元以下的罚款</w:t>
            </w:r>
          </w:p>
        </w:tc>
      </w:tr>
    </w:tbl>
    <w:p>
      <w:pPr>
        <w:pStyle w:val="BodyText"/>
        <w:spacing w:line="479" w:lineRule="auto"/>
        <w:rPr/>
      </w:pPr>
      <w:r/>
    </w:p>
    <w:p>
      <w:pPr>
        <w:ind w:left="779"/>
        <w:spacing w:before="95" w:line="220" w:lineRule="auto"/>
        <w:rPr>
          <w:rFonts w:ascii="FangSong" w:hAnsi="FangSong" w:eastAsia="FangSong" w:cs="FangSong"/>
          <w:sz w:val="29"/>
          <w:szCs w:val="29"/>
        </w:rPr>
      </w:pPr>
      <w:r>
        <w:rPr>
          <w:rFonts w:ascii="FangSong" w:hAnsi="FangSong" w:eastAsia="FangSong" w:cs="FangSong"/>
          <w:sz w:val="29"/>
          <w:szCs w:val="29"/>
          <w:b/>
          <w:bCs/>
          <w:spacing w:val="32"/>
        </w:rPr>
        <w:t>第三百八十三条医疗机构使用未经卫生行政部门指定的血站供应的</w:t>
      </w:r>
      <w:r>
        <w:rPr>
          <w:rFonts w:ascii="FangSong" w:hAnsi="FangSong" w:eastAsia="FangSong" w:cs="FangSong"/>
          <w:sz w:val="29"/>
          <w:szCs w:val="29"/>
          <w:b/>
          <w:bCs/>
          <w:spacing w:val="31"/>
        </w:rPr>
        <w:t>血液的</w:t>
      </w:r>
    </w:p>
    <w:p>
      <w:pPr>
        <w:ind w:left="894"/>
        <w:spacing w:before="63" w:line="222" w:lineRule="auto"/>
        <w:rPr>
          <w:rFonts w:ascii="FangSong" w:hAnsi="FangSong" w:eastAsia="FangSong" w:cs="FangSong"/>
          <w:sz w:val="29"/>
          <w:szCs w:val="29"/>
        </w:rPr>
      </w:pPr>
      <w:r>
        <w:rPr>
          <w:rFonts w:ascii="FangSong" w:hAnsi="FangSong" w:eastAsia="FangSong" w:cs="FangSong"/>
          <w:sz w:val="29"/>
          <w:szCs w:val="29"/>
          <w:spacing w:val="6"/>
        </w:rPr>
        <w:t>法律依据：</w:t>
      </w:r>
    </w:p>
    <w:p>
      <w:pPr>
        <w:ind w:left="124" w:right="116" w:firstLine="624"/>
        <w:spacing w:before="98" w:line="281" w:lineRule="auto"/>
        <w:jc w:val="both"/>
        <w:rPr>
          <w:rFonts w:ascii="FangSong" w:hAnsi="FangSong" w:eastAsia="FangSong" w:cs="FangSong"/>
          <w:sz w:val="29"/>
          <w:szCs w:val="29"/>
        </w:rPr>
      </w:pPr>
      <w:r>
        <w:rPr>
          <w:rFonts w:ascii="FangSong" w:hAnsi="FangSong" w:eastAsia="FangSong" w:cs="FangSong"/>
          <w:sz w:val="29"/>
          <w:szCs w:val="29"/>
          <w:spacing w:val="24"/>
        </w:rPr>
        <w:t>《医疗机构临床用血管理办法》第三十六条</w:t>
      </w:r>
      <w:r>
        <w:rPr>
          <w:rFonts w:ascii="FangSong" w:hAnsi="FangSong" w:eastAsia="FangSong" w:cs="FangSong"/>
          <w:sz w:val="29"/>
          <w:szCs w:val="29"/>
          <w:spacing w:val="1"/>
        </w:rPr>
        <w:t xml:space="preserve">   </w:t>
      </w:r>
      <w:r>
        <w:rPr>
          <w:rFonts w:ascii="FangSong" w:hAnsi="FangSong" w:eastAsia="FangSong" w:cs="FangSong"/>
          <w:sz w:val="29"/>
          <w:szCs w:val="29"/>
          <w:spacing w:val="24"/>
        </w:rPr>
        <w:t>医疗机构使用未经卫生行政部门指定的血站供</w:t>
      </w:r>
      <w:r>
        <w:rPr>
          <w:rFonts w:ascii="FangSong" w:hAnsi="FangSong" w:eastAsia="FangSong" w:cs="FangSong"/>
          <w:sz w:val="29"/>
          <w:szCs w:val="29"/>
          <w:spacing w:val="23"/>
        </w:rPr>
        <w:t>应的</w:t>
      </w:r>
      <w:r>
        <w:rPr>
          <w:rFonts w:ascii="FangSong" w:hAnsi="FangSong" w:eastAsia="FangSong" w:cs="FangSong"/>
          <w:sz w:val="29"/>
          <w:szCs w:val="29"/>
          <w:spacing w:val="2"/>
        </w:rPr>
        <w:t xml:space="preserve"> </w:t>
      </w:r>
      <w:r>
        <w:rPr>
          <w:rFonts w:ascii="FangSong" w:hAnsi="FangSong" w:eastAsia="FangSong" w:cs="FangSong"/>
          <w:sz w:val="29"/>
          <w:szCs w:val="29"/>
          <w:spacing w:val="33"/>
        </w:rPr>
        <w:t>血液的，由县级以上地方人民政府卫生行政部门给予警告，并处3</w:t>
      </w:r>
      <w:r>
        <w:rPr>
          <w:rFonts w:ascii="FangSong" w:hAnsi="FangSong" w:eastAsia="FangSong" w:cs="FangSong"/>
          <w:sz w:val="29"/>
          <w:szCs w:val="29"/>
          <w:spacing w:val="33"/>
        </w:rPr>
        <w:t xml:space="preserve"> </w:t>
      </w:r>
      <w:r>
        <w:rPr>
          <w:rFonts w:ascii="FangSong" w:hAnsi="FangSong" w:eastAsia="FangSong" w:cs="FangSong"/>
          <w:sz w:val="29"/>
          <w:szCs w:val="29"/>
          <w:spacing w:val="33"/>
        </w:rPr>
        <w:t>万元以下罚款；情节严重或者造</w:t>
      </w:r>
      <w:r>
        <w:rPr>
          <w:rFonts w:ascii="FangSong" w:hAnsi="FangSong" w:eastAsia="FangSong" w:cs="FangSong"/>
          <w:sz w:val="29"/>
          <w:szCs w:val="29"/>
          <w:spacing w:val="7"/>
        </w:rPr>
        <w:t xml:space="preserve"> </w:t>
      </w:r>
      <w:r>
        <w:rPr>
          <w:rFonts w:ascii="FangSong" w:hAnsi="FangSong" w:eastAsia="FangSong" w:cs="FangSong"/>
          <w:sz w:val="29"/>
          <w:szCs w:val="29"/>
          <w:spacing w:val="27"/>
        </w:rPr>
        <w:t>成严重后果的，对负有责任的主管人员和其他直接责任人员依法给予处分。</w:t>
      </w:r>
    </w:p>
    <w:p>
      <w:pPr>
        <w:ind w:left="6539"/>
        <w:spacing w:before="64" w:line="221" w:lineRule="auto"/>
        <w:rPr>
          <w:rFonts w:ascii="SimHei" w:hAnsi="SimHei" w:eastAsia="SimHei" w:cs="SimHei"/>
          <w:sz w:val="29"/>
          <w:szCs w:val="29"/>
        </w:rPr>
      </w:pPr>
      <w:r>
        <w:rPr>
          <w:rFonts w:ascii="SimHei" w:hAnsi="SimHei" w:eastAsia="SimHei" w:cs="SimHei"/>
          <w:sz w:val="29"/>
          <w:szCs w:val="29"/>
          <w:b/>
          <w:bCs/>
          <w:spacing w:val="-6"/>
        </w:rPr>
        <w:t>裁量标准</w:t>
      </w:r>
    </w:p>
    <w:p>
      <w:pPr>
        <w:spacing w:line="221" w:lineRule="auto"/>
        <w:sectPr>
          <w:footerReference w:type="default" r:id="rId414"/>
          <w:pgSz w:w="16830" w:h="11900"/>
          <w:pgMar w:top="1011" w:right="1335" w:bottom="1117" w:left="1314" w:header="0" w:footer="784" w:gutter="0"/>
        </w:sectPr>
        <w:rPr>
          <w:rFonts w:ascii="SimHei" w:hAnsi="SimHei" w:eastAsia="SimHei" w:cs="SimHei"/>
          <w:sz w:val="29"/>
          <w:szCs w:val="29"/>
        </w:rPr>
      </w:pPr>
    </w:p>
    <w:p>
      <w:pPr>
        <w:spacing w:before="20"/>
        <w:rPr/>
      </w:pPr>
      <w:r/>
    </w:p>
    <w:p>
      <w:pPr>
        <w:spacing w:before="20"/>
        <w:rPr/>
      </w:pPr>
      <w:r/>
    </w:p>
    <w:p>
      <w:pPr>
        <w:spacing w:before="19"/>
        <w:rPr/>
      </w:pPr>
      <w:r/>
    </w:p>
    <w:tbl>
      <w:tblPr>
        <w:tblStyle w:val="TableNormal"/>
        <w:tblW w:w="14159"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3"/>
        <w:gridCol w:w="5606"/>
        <w:gridCol w:w="7140"/>
      </w:tblGrid>
      <w:tr>
        <w:trPr>
          <w:trHeight w:val="431" w:hRule="atLeast"/>
        </w:trPr>
        <w:tc>
          <w:tcPr>
            <w:tcW w:w="1413" w:type="dxa"/>
            <w:vAlign w:val="top"/>
          </w:tcPr>
          <w:p>
            <w:pPr>
              <w:pStyle w:val="TableText"/>
              <w:ind w:left="178"/>
              <w:spacing w:before="92" w:line="220" w:lineRule="auto"/>
              <w:rPr>
                <w:sz w:val="26"/>
                <w:szCs w:val="26"/>
              </w:rPr>
            </w:pPr>
            <w:bookmarkStart w:name="bookmark1063" w:id="436"/>
            <w:bookmarkEnd w:id="436"/>
            <w:r>
              <w:rPr>
                <w:sz w:val="26"/>
                <w:szCs w:val="26"/>
                <w:b/>
                <w:bCs/>
                <w:spacing w:val="-5"/>
              </w:rPr>
              <w:t>违法程度</w:t>
            </w:r>
          </w:p>
        </w:tc>
        <w:tc>
          <w:tcPr>
            <w:tcW w:w="5606" w:type="dxa"/>
            <w:vAlign w:val="top"/>
          </w:tcPr>
          <w:p>
            <w:pPr>
              <w:pStyle w:val="TableText"/>
              <w:ind w:left="2275"/>
              <w:spacing w:before="92" w:line="220" w:lineRule="auto"/>
              <w:rPr>
                <w:sz w:val="26"/>
                <w:szCs w:val="26"/>
              </w:rPr>
            </w:pPr>
            <w:r>
              <w:rPr>
                <w:sz w:val="26"/>
                <w:szCs w:val="26"/>
                <w:b/>
                <w:bCs/>
                <w:spacing w:val="-5"/>
              </w:rPr>
              <w:t>情节后果</w:t>
            </w:r>
          </w:p>
        </w:tc>
        <w:tc>
          <w:tcPr>
            <w:tcW w:w="7140" w:type="dxa"/>
            <w:vAlign w:val="top"/>
          </w:tcPr>
          <w:p>
            <w:pPr>
              <w:pStyle w:val="TableText"/>
              <w:ind w:left="3049"/>
              <w:spacing w:before="89" w:line="218" w:lineRule="auto"/>
              <w:rPr>
                <w:sz w:val="26"/>
                <w:szCs w:val="26"/>
              </w:rPr>
            </w:pPr>
            <w:r>
              <w:rPr>
                <w:sz w:val="26"/>
                <w:szCs w:val="26"/>
                <w:b/>
                <w:bCs/>
                <w:spacing w:val="-5"/>
              </w:rPr>
              <w:t>裁量幅度</w:t>
            </w:r>
          </w:p>
        </w:tc>
      </w:tr>
      <w:tr>
        <w:trPr>
          <w:trHeight w:val="679" w:hRule="atLeast"/>
        </w:trPr>
        <w:tc>
          <w:tcPr>
            <w:tcW w:w="1413" w:type="dxa"/>
            <w:vAlign w:val="top"/>
          </w:tcPr>
          <w:p>
            <w:pPr>
              <w:pStyle w:val="TableText"/>
              <w:ind w:left="438"/>
              <w:spacing w:before="212" w:line="221" w:lineRule="auto"/>
              <w:rPr>
                <w:sz w:val="26"/>
                <w:szCs w:val="26"/>
              </w:rPr>
            </w:pPr>
            <w:r>
              <w:rPr>
                <w:sz w:val="26"/>
                <w:szCs w:val="26"/>
                <w:b/>
                <w:bCs/>
                <w:spacing w:val="-10"/>
              </w:rPr>
              <w:t>一般</w:t>
            </w:r>
          </w:p>
        </w:tc>
        <w:tc>
          <w:tcPr>
            <w:tcW w:w="5606" w:type="dxa"/>
            <w:vAlign w:val="top"/>
          </w:tcPr>
          <w:p>
            <w:pPr>
              <w:pStyle w:val="TableText"/>
              <w:ind w:left="124" w:hanging="109"/>
              <w:spacing w:before="69" w:line="213" w:lineRule="auto"/>
              <w:rPr>
                <w:sz w:val="26"/>
                <w:szCs w:val="26"/>
              </w:rPr>
            </w:pPr>
            <w:r>
              <w:rPr>
                <w:sz w:val="26"/>
                <w:szCs w:val="26"/>
                <w:b/>
                <w:bCs/>
                <w:spacing w:val="-9"/>
              </w:rPr>
              <w:t>医疗机构使用未经卫生行政部门指定的血站</w:t>
            </w:r>
            <w:r>
              <w:rPr>
                <w:sz w:val="26"/>
                <w:szCs w:val="26"/>
                <w:b/>
                <w:bCs/>
                <w:spacing w:val="-10"/>
              </w:rPr>
              <w:t>供应的</w:t>
            </w:r>
            <w:r>
              <w:rPr>
                <w:sz w:val="26"/>
                <w:szCs w:val="26"/>
              </w:rPr>
              <w:t xml:space="preserve"> </w:t>
            </w:r>
            <w:r>
              <w:rPr>
                <w:sz w:val="26"/>
                <w:szCs w:val="26"/>
                <w:b/>
                <w:bCs/>
              </w:rPr>
              <w:t>血液的</w:t>
            </w:r>
          </w:p>
        </w:tc>
        <w:tc>
          <w:tcPr>
            <w:tcW w:w="7140" w:type="dxa"/>
            <w:vAlign w:val="top"/>
          </w:tcPr>
          <w:p>
            <w:pPr>
              <w:pStyle w:val="TableText"/>
              <w:ind w:left="138" w:right="1" w:hanging="119"/>
              <w:spacing w:before="69" w:line="213" w:lineRule="auto"/>
              <w:rPr>
                <w:sz w:val="26"/>
                <w:szCs w:val="26"/>
              </w:rPr>
            </w:pPr>
            <w:r>
              <w:rPr>
                <w:sz w:val="26"/>
                <w:szCs w:val="26"/>
                <w:b/>
                <w:bCs/>
                <w:spacing w:val="-4"/>
              </w:rPr>
              <w:t>由县级以上地方人民政府卫生行政部门给予警</w:t>
            </w:r>
            <w:r>
              <w:rPr>
                <w:sz w:val="26"/>
                <w:szCs w:val="26"/>
                <w:b/>
                <w:bCs/>
                <w:spacing w:val="-5"/>
              </w:rPr>
              <w:t>告，并处3万元以</w:t>
            </w:r>
            <w:r>
              <w:rPr>
                <w:sz w:val="26"/>
                <w:szCs w:val="26"/>
              </w:rPr>
              <w:t xml:space="preserve"> </w:t>
            </w:r>
            <w:r>
              <w:rPr>
                <w:sz w:val="26"/>
                <w:szCs w:val="26"/>
                <w:b/>
                <w:bCs/>
                <w:spacing w:val="-2"/>
              </w:rPr>
              <w:t>下罚款</w:t>
            </w:r>
          </w:p>
        </w:tc>
      </w:tr>
    </w:tbl>
    <w:p>
      <w:pPr>
        <w:pStyle w:val="BodyText"/>
        <w:spacing w:line="456" w:lineRule="auto"/>
        <w:rPr/>
      </w:pPr>
      <w:r/>
    </w:p>
    <w:p>
      <w:pPr>
        <w:ind w:left="78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第三百八十四条医疗机构违反本办法关于应急用血采血规定的</w:t>
      </w:r>
    </w:p>
    <w:p>
      <w:pPr>
        <w:ind w:left="954"/>
        <w:spacing w:before="90" w:line="222" w:lineRule="auto"/>
        <w:rPr>
          <w:rFonts w:ascii="FangSong" w:hAnsi="FangSong" w:eastAsia="FangSong" w:cs="FangSong"/>
          <w:sz w:val="30"/>
          <w:szCs w:val="30"/>
        </w:rPr>
      </w:pPr>
      <w:r>
        <w:rPr>
          <w:rFonts w:ascii="FangSong" w:hAnsi="FangSong" w:eastAsia="FangSong" w:cs="FangSong"/>
          <w:sz w:val="30"/>
          <w:szCs w:val="30"/>
        </w:rPr>
        <w:t>法律依据：</w:t>
      </w:r>
    </w:p>
    <w:p>
      <w:pPr>
        <w:ind w:left="134" w:right="114" w:firstLine="630"/>
        <w:spacing w:before="68" w:line="277" w:lineRule="auto"/>
        <w:jc w:val="both"/>
        <w:rPr>
          <w:rFonts w:ascii="FangSong" w:hAnsi="FangSong" w:eastAsia="FangSong" w:cs="FangSong"/>
          <w:sz w:val="30"/>
          <w:szCs w:val="30"/>
        </w:rPr>
      </w:pPr>
      <w:r>
        <w:rPr>
          <w:rFonts w:ascii="FangSong" w:hAnsi="FangSong" w:eastAsia="FangSong" w:cs="FangSong"/>
          <w:sz w:val="30"/>
          <w:szCs w:val="30"/>
          <w:spacing w:val="16"/>
        </w:rPr>
        <w:t>《医疗机构临床用血管理办法》第三十七条</w:t>
      </w:r>
      <w:r>
        <w:rPr>
          <w:rFonts w:ascii="FangSong" w:hAnsi="FangSong" w:eastAsia="FangSong" w:cs="FangSong"/>
          <w:sz w:val="30"/>
          <w:szCs w:val="30"/>
          <w:spacing w:val="16"/>
        </w:rPr>
        <w:t xml:space="preserve">  </w:t>
      </w:r>
      <w:r>
        <w:rPr>
          <w:rFonts w:ascii="FangSong" w:hAnsi="FangSong" w:eastAsia="FangSong" w:cs="FangSong"/>
          <w:sz w:val="30"/>
          <w:szCs w:val="30"/>
          <w:spacing w:val="16"/>
        </w:rPr>
        <w:t>医疗机构违反《医疗机构临床用血管理办法》关于</w:t>
      </w:r>
      <w:r>
        <w:rPr>
          <w:rFonts w:ascii="FangSong" w:hAnsi="FangSong" w:eastAsia="FangSong" w:cs="FangSong"/>
          <w:sz w:val="30"/>
          <w:szCs w:val="30"/>
          <w:spacing w:val="5"/>
        </w:rPr>
        <w:t xml:space="preserve"> </w:t>
      </w:r>
      <w:r>
        <w:rPr>
          <w:rFonts w:ascii="FangSong" w:hAnsi="FangSong" w:eastAsia="FangSong" w:cs="FangSong"/>
          <w:sz w:val="30"/>
          <w:szCs w:val="30"/>
          <w:spacing w:val="17"/>
        </w:rPr>
        <w:t>应急用血采血规定的，由县级以上人民政府卫生行政部门责令限期改正，给予警</w:t>
      </w:r>
      <w:r>
        <w:rPr>
          <w:rFonts w:ascii="FangSong" w:hAnsi="FangSong" w:eastAsia="FangSong" w:cs="FangSong"/>
          <w:sz w:val="30"/>
          <w:szCs w:val="30"/>
          <w:spacing w:val="16"/>
        </w:rPr>
        <w:t>告；情节严重或者造</w:t>
      </w:r>
      <w:r>
        <w:rPr>
          <w:rFonts w:ascii="FangSong" w:hAnsi="FangSong" w:eastAsia="FangSong" w:cs="FangSong"/>
          <w:sz w:val="30"/>
          <w:szCs w:val="30"/>
        </w:rPr>
        <w:t xml:space="preserve"> </w:t>
      </w:r>
      <w:r>
        <w:rPr>
          <w:rFonts w:ascii="FangSong" w:hAnsi="FangSong" w:eastAsia="FangSong" w:cs="FangSong"/>
          <w:sz w:val="30"/>
          <w:szCs w:val="30"/>
          <w:spacing w:val="21"/>
        </w:rPr>
        <w:t>成严重后果的，处3</w:t>
      </w:r>
      <w:r>
        <w:rPr>
          <w:rFonts w:ascii="FangSong" w:hAnsi="FangSong" w:eastAsia="FangSong" w:cs="FangSong"/>
          <w:sz w:val="30"/>
          <w:szCs w:val="30"/>
          <w:spacing w:val="21"/>
        </w:rPr>
        <w:t xml:space="preserve"> </w:t>
      </w:r>
      <w:r>
        <w:rPr>
          <w:rFonts w:ascii="FangSong" w:hAnsi="FangSong" w:eastAsia="FangSong" w:cs="FangSong"/>
          <w:sz w:val="30"/>
          <w:szCs w:val="30"/>
          <w:spacing w:val="21"/>
        </w:rPr>
        <w:t>万元以下罚款，对负有责任的主管人员和其他直接责任人员依法给予处分。</w:t>
      </w:r>
    </w:p>
    <w:p>
      <w:pPr>
        <w:ind w:left="6538"/>
        <w:spacing w:before="45"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80" w:lineRule="exact"/>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6046"/>
        <w:gridCol w:w="6680"/>
      </w:tblGrid>
      <w:tr>
        <w:trPr>
          <w:trHeight w:val="442" w:hRule="atLeast"/>
        </w:trPr>
        <w:tc>
          <w:tcPr>
            <w:tcW w:w="1444" w:type="dxa"/>
            <w:vAlign w:val="top"/>
          </w:tcPr>
          <w:p>
            <w:pPr>
              <w:pStyle w:val="TableText"/>
              <w:ind w:left="218"/>
              <w:spacing w:before="102" w:line="220" w:lineRule="auto"/>
              <w:rPr>
                <w:sz w:val="25"/>
                <w:szCs w:val="25"/>
              </w:rPr>
            </w:pPr>
            <w:r>
              <w:rPr>
                <w:sz w:val="25"/>
                <w:szCs w:val="25"/>
                <w:b/>
                <w:bCs/>
                <w:spacing w:val="-5"/>
              </w:rPr>
              <w:t>违法程度</w:t>
            </w:r>
          </w:p>
        </w:tc>
        <w:tc>
          <w:tcPr>
            <w:tcW w:w="6046" w:type="dxa"/>
            <w:vAlign w:val="top"/>
          </w:tcPr>
          <w:p>
            <w:pPr>
              <w:pStyle w:val="TableText"/>
              <w:ind w:left="2454"/>
              <w:spacing w:before="102" w:line="220" w:lineRule="auto"/>
              <w:rPr>
                <w:sz w:val="25"/>
                <w:szCs w:val="25"/>
              </w:rPr>
            </w:pPr>
            <w:r>
              <w:rPr>
                <w:sz w:val="25"/>
                <w:szCs w:val="25"/>
                <w:b/>
                <w:bCs/>
                <w:spacing w:val="-5"/>
              </w:rPr>
              <w:t>情节后果</w:t>
            </w:r>
          </w:p>
        </w:tc>
        <w:tc>
          <w:tcPr>
            <w:tcW w:w="6680" w:type="dxa"/>
            <w:vAlign w:val="top"/>
          </w:tcPr>
          <w:p>
            <w:pPr>
              <w:pStyle w:val="TableText"/>
              <w:ind w:left="2838"/>
              <w:spacing w:before="99" w:line="218" w:lineRule="auto"/>
              <w:rPr>
                <w:sz w:val="25"/>
                <w:szCs w:val="25"/>
              </w:rPr>
            </w:pPr>
            <w:r>
              <w:rPr>
                <w:sz w:val="25"/>
                <w:szCs w:val="25"/>
                <w:b/>
                <w:bCs/>
                <w:spacing w:val="-5"/>
              </w:rPr>
              <w:t>裁量幅度</w:t>
            </w:r>
          </w:p>
        </w:tc>
      </w:tr>
      <w:tr>
        <w:trPr>
          <w:trHeight w:val="328" w:hRule="atLeast"/>
        </w:trPr>
        <w:tc>
          <w:tcPr>
            <w:tcW w:w="1444" w:type="dxa"/>
            <w:vAlign w:val="top"/>
          </w:tcPr>
          <w:p>
            <w:pPr>
              <w:pStyle w:val="TableText"/>
              <w:ind w:left="468"/>
              <w:spacing w:before="41" w:line="204" w:lineRule="auto"/>
              <w:rPr>
                <w:sz w:val="25"/>
                <w:szCs w:val="25"/>
              </w:rPr>
            </w:pPr>
            <w:r>
              <w:rPr>
                <w:sz w:val="25"/>
                <w:szCs w:val="25"/>
                <w:b/>
                <w:bCs/>
                <w:spacing w:val="-10"/>
              </w:rPr>
              <w:t>一般</w:t>
            </w:r>
          </w:p>
        </w:tc>
        <w:tc>
          <w:tcPr>
            <w:tcW w:w="6046" w:type="dxa"/>
            <w:vAlign w:val="top"/>
          </w:tcPr>
          <w:p>
            <w:pPr>
              <w:pStyle w:val="TableText"/>
              <w:ind w:left="110"/>
              <w:spacing w:before="41" w:line="204" w:lineRule="auto"/>
              <w:rPr>
                <w:sz w:val="25"/>
                <w:szCs w:val="25"/>
              </w:rPr>
            </w:pPr>
            <w:r>
              <w:rPr>
                <w:sz w:val="25"/>
                <w:szCs w:val="25"/>
              </w:rPr>
              <w:t>医疗机构违反本办法关于应急用血采血规定的</w:t>
            </w:r>
          </w:p>
        </w:tc>
        <w:tc>
          <w:tcPr>
            <w:tcW w:w="6680" w:type="dxa"/>
            <w:vAlign w:val="top"/>
          </w:tcPr>
          <w:p>
            <w:pPr>
              <w:pStyle w:val="TableText"/>
              <w:spacing w:before="41" w:line="204" w:lineRule="auto"/>
              <w:jc w:val="right"/>
              <w:rPr>
                <w:sz w:val="25"/>
                <w:szCs w:val="25"/>
              </w:rPr>
            </w:pPr>
            <w:r>
              <w:rPr>
                <w:sz w:val="25"/>
                <w:szCs w:val="25"/>
                <w:spacing w:val="-4"/>
              </w:rPr>
              <w:t>由县级以上人民政府卫生行政部门责令限期改正，给予警告。</w:t>
            </w:r>
          </w:p>
        </w:tc>
      </w:tr>
      <w:tr>
        <w:trPr>
          <w:trHeight w:val="680" w:hRule="atLeast"/>
        </w:trPr>
        <w:tc>
          <w:tcPr>
            <w:tcW w:w="1444" w:type="dxa"/>
            <w:vAlign w:val="top"/>
          </w:tcPr>
          <w:p>
            <w:pPr>
              <w:pStyle w:val="TableText"/>
              <w:ind w:left="468"/>
              <w:spacing w:before="222" w:line="220" w:lineRule="auto"/>
              <w:rPr>
                <w:sz w:val="25"/>
                <w:szCs w:val="25"/>
              </w:rPr>
            </w:pPr>
            <w:r>
              <w:rPr>
                <w:sz w:val="25"/>
                <w:szCs w:val="25"/>
                <w:b/>
                <w:bCs/>
                <w:spacing w:val="-6"/>
              </w:rPr>
              <w:t>严重</w:t>
            </w:r>
          </w:p>
        </w:tc>
        <w:tc>
          <w:tcPr>
            <w:tcW w:w="6046" w:type="dxa"/>
            <w:vAlign w:val="top"/>
          </w:tcPr>
          <w:p>
            <w:pPr>
              <w:pStyle w:val="TableText"/>
              <w:ind w:left="110" w:firstLine="20"/>
              <w:spacing w:before="74" w:line="220" w:lineRule="auto"/>
              <w:rPr>
                <w:sz w:val="25"/>
                <w:szCs w:val="25"/>
              </w:rPr>
            </w:pPr>
            <w:r>
              <w:rPr>
                <w:sz w:val="25"/>
                <w:szCs w:val="25"/>
                <w:spacing w:val="-4"/>
              </w:rPr>
              <w:t>医疗机构违反本办法关于应急用血采血规定的，情节严</w:t>
            </w:r>
            <w:r>
              <w:rPr>
                <w:sz w:val="25"/>
                <w:szCs w:val="25"/>
              </w:rPr>
              <w:t xml:space="preserve"> </w:t>
            </w:r>
            <w:r>
              <w:rPr>
                <w:sz w:val="25"/>
                <w:szCs w:val="25"/>
                <w:spacing w:val="1"/>
              </w:rPr>
              <w:t>重或者造成严重后果的</w:t>
            </w:r>
          </w:p>
        </w:tc>
        <w:tc>
          <w:tcPr>
            <w:tcW w:w="6680" w:type="dxa"/>
            <w:vAlign w:val="top"/>
          </w:tcPr>
          <w:p>
            <w:pPr>
              <w:pStyle w:val="TableText"/>
              <w:ind w:left="124"/>
              <w:spacing w:before="76" w:line="220" w:lineRule="auto"/>
              <w:rPr>
                <w:sz w:val="25"/>
                <w:szCs w:val="25"/>
              </w:rPr>
            </w:pPr>
            <w:r>
              <w:rPr>
                <w:sz w:val="25"/>
                <w:szCs w:val="25"/>
              </w:rPr>
              <w:t>处3万元以下罚款。</w:t>
            </w:r>
          </w:p>
        </w:tc>
      </w:tr>
    </w:tbl>
    <w:p>
      <w:pPr>
        <w:pStyle w:val="BodyText"/>
        <w:spacing w:line="350" w:lineRule="auto"/>
        <w:rPr/>
      </w:pPr>
      <w:r/>
    </w:p>
    <w:p>
      <w:pPr>
        <w:pStyle w:val="BodyText"/>
        <w:spacing w:line="350" w:lineRule="auto"/>
        <w:rPr/>
      </w:pPr>
      <w:r/>
    </w:p>
    <w:p>
      <w:pPr>
        <w:ind w:left="909"/>
        <w:spacing w:before="98" w:line="221" w:lineRule="auto"/>
        <w:rPr>
          <w:rFonts w:ascii="KaiTi" w:hAnsi="KaiTi" w:eastAsia="KaiTi" w:cs="KaiTi"/>
          <w:sz w:val="30"/>
          <w:szCs w:val="30"/>
        </w:rPr>
      </w:pPr>
      <w:r>
        <w:rPr>
          <w:rFonts w:ascii="KaiTi" w:hAnsi="KaiTi" w:eastAsia="KaiTi" w:cs="KaiTi"/>
          <w:sz w:val="30"/>
          <w:szCs w:val="30"/>
          <w:b/>
          <w:bCs/>
          <w:spacing w:val="37"/>
        </w:rPr>
        <w:t>(三十四)《脐带血造血干细胞库管理办法(</w:t>
      </w:r>
      <w:r>
        <w:rPr>
          <w:rFonts w:ascii="KaiTi" w:hAnsi="KaiTi" w:eastAsia="KaiTi" w:cs="KaiTi"/>
          <w:sz w:val="30"/>
          <w:szCs w:val="30"/>
          <w:b/>
          <w:bCs/>
          <w:spacing w:val="36"/>
        </w:rPr>
        <w:t>试行)》</w:t>
      </w:r>
    </w:p>
    <w:p>
      <w:pPr>
        <w:pStyle w:val="BodyText"/>
        <w:spacing w:line="256" w:lineRule="auto"/>
        <w:rPr/>
      </w:pPr>
      <w:r/>
    </w:p>
    <w:p>
      <w:pPr>
        <w:ind w:left="784" w:right="750" w:firstLine="4"/>
        <w:spacing w:before="97"/>
        <w:rPr>
          <w:rFonts w:ascii="FangSong" w:hAnsi="FangSong" w:eastAsia="FangSong" w:cs="FangSong"/>
          <w:sz w:val="30"/>
          <w:szCs w:val="30"/>
        </w:rPr>
      </w:pPr>
      <w:r>
        <w:rPr>
          <w:rFonts w:ascii="FangSong" w:hAnsi="FangSong" w:eastAsia="FangSong" w:cs="FangSong"/>
          <w:sz w:val="30"/>
          <w:szCs w:val="30"/>
          <w:b/>
          <w:bCs/>
          <w:spacing w:val="21"/>
        </w:rPr>
        <w:t>第三百八十五条未经批准擅自设置和开办脐带血造血干细胞库，非法采集、提供脐带血的</w:t>
      </w:r>
      <w:r>
        <w:rPr>
          <w:rFonts w:ascii="FangSong" w:hAnsi="FangSong" w:eastAsia="FangSong" w:cs="FangSong"/>
          <w:sz w:val="30"/>
          <w:szCs w:val="30"/>
          <w:spacing w:val="7"/>
        </w:rPr>
        <w:t xml:space="preserve"> </w:t>
      </w:r>
      <w:r>
        <w:rPr>
          <w:rFonts w:ascii="FangSong" w:hAnsi="FangSong" w:eastAsia="FangSong" w:cs="FangSong"/>
          <w:sz w:val="30"/>
          <w:szCs w:val="30"/>
          <w:spacing w:val="-2"/>
        </w:rPr>
        <w:t>法律依据：</w:t>
      </w:r>
    </w:p>
    <w:p>
      <w:pPr>
        <w:sectPr>
          <w:footerReference w:type="default" r:id="rId415"/>
          <w:pgSz w:w="16830" w:h="11900"/>
          <w:pgMar w:top="1011" w:right="1335" w:bottom="1130" w:left="1305" w:header="0" w:footer="806" w:gutter="0"/>
        </w:sectPr>
        <w:rPr>
          <w:rFonts w:ascii="FangSong" w:hAnsi="FangSong" w:eastAsia="FangSong" w:cs="FangSong"/>
          <w:sz w:val="30"/>
          <w:szCs w:val="30"/>
        </w:rPr>
      </w:pPr>
    </w:p>
    <w:p>
      <w:pPr>
        <w:pStyle w:val="BodyText"/>
        <w:spacing w:line="257" w:lineRule="auto"/>
        <w:rPr/>
      </w:pPr>
      <w:r/>
    </w:p>
    <w:p>
      <w:pPr>
        <w:pStyle w:val="BodyText"/>
        <w:spacing w:line="257" w:lineRule="auto"/>
        <w:rPr/>
      </w:pPr>
      <w:r/>
    </w:p>
    <w:p>
      <w:pPr>
        <w:pStyle w:val="BodyText"/>
        <w:spacing w:line="258" w:lineRule="auto"/>
        <w:rPr/>
      </w:pPr>
      <w:r/>
    </w:p>
    <w:p>
      <w:pPr>
        <w:ind w:left="25" w:right="19" w:firstLine="599"/>
        <w:spacing w:before="98" w:line="272" w:lineRule="auto"/>
        <w:jc w:val="both"/>
        <w:rPr>
          <w:rFonts w:ascii="FangSong" w:hAnsi="FangSong" w:eastAsia="FangSong" w:cs="FangSong"/>
          <w:sz w:val="30"/>
          <w:szCs w:val="30"/>
        </w:rPr>
      </w:pPr>
      <w:bookmarkStart w:name="bookmark1064" w:id="437"/>
      <w:bookmarkEnd w:id="437"/>
      <w:r>
        <w:rPr>
          <w:rFonts w:ascii="FangSong" w:hAnsi="FangSong" w:eastAsia="FangSong" w:cs="FangSong"/>
          <w:sz w:val="30"/>
          <w:szCs w:val="30"/>
          <w:spacing w:val="23"/>
        </w:rPr>
        <w:t>《脐带血造血干细胞库管理办法(试行)》第三十二条</w:t>
      </w:r>
      <w:r>
        <w:rPr>
          <w:rFonts w:ascii="FangSong" w:hAnsi="FangSong" w:eastAsia="FangSong" w:cs="FangSong"/>
          <w:sz w:val="30"/>
          <w:szCs w:val="30"/>
          <w:spacing w:val="23"/>
        </w:rPr>
        <w:t xml:space="preserve">  </w:t>
      </w:r>
      <w:r>
        <w:rPr>
          <w:rFonts w:ascii="FangSong" w:hAnsi="FangSong" w:eastAsia="FangSong" w:cs="FangSong"/>
          <w:sz w:val="30"/>
          <w:szCs w:val="30"/>
          <w:spacing w:val="23"/>
        </w:rPr>
        <w:t>违反本办法有关规定，未经批准擅自设</w:t>
      </w:r>
      <w:r>
        <w:rPr>
          <w:rFonts w:ascii="FangSong" w:hAnsi="FangSong" w:eastAsia="FangSong" w:cs="FangSong"/>
          <w:sz w:val="30"/>
          <w:szCs w:val="30"/>
          <w:spacing w:val="1"/>
        </w:rPr>
        <w:t xml:space="preserve"> </w:t>
      </w:r>
      <w:r>
        <w:rPr>
          <w:rFonts w:ascii="FangSong" w:hAnsi="FangSong" w:eastAsia="FangSong" w:cs="FangSong"/>
          <w:sz w:val="30"/>
          <w:szCs w:val="30"/>
          <w:spacing w:val="18"/>
        </w:rPr>
        <w:t>置和开办脐带血造血干细胞库，非法采集、提供脐带血的，由省级人民政府卫生行政部门予以取缔，</w:t>
      </w:r>
      <w:r>
        <w:rPr>
          <w:rFonts w:ascii="FangSong" w:hAnsi="FangSong" w:eastAsia="FangSong" w:cs="FangSong"/>
          <w:sz w:val="30"/>
          <w:szCs w:val="30"/>
          <w:spacing w:val="7"/>
        </w:rPr>
        <w:t xml:space="preserve"> </w:t>
      </w:r>
      <w:r>
        <w:rPr>
          <w:rFonts w:ascii="FangSong" w:hAnsi="FangSong" w:eastAsia="FangSong" w:cs="FangSong"/>
          <w:sz w:val="30"/>
          <w:szCs w:val="30"/>
          <w:spacing w:val="20"/>
        </w:rPr>
        <w:t>没收擅自开办脐带血造血干细胞库的违法所得和设备、器材以及采集的脐带血，并处以3万元以</w:t>
      </w:r>
      <w:r>
        <w:rPr>
          <w:rFonts w:ascii="FangSong" w:hAnsi="FangSong" w:eastAsia="FangSong" w:cs="FangSong"/>
          <w:sz w:val="30"/>
          <w:szCs w:val="30"/>
          <w:spacing w:val="19"/>
        </w:rPr>
        <w:t>下的</w:t>
      </w:r>
      <w:r>
        <w:rPr>
          <w:rFonts w:ascii="FangSong" w:hAnsi="FangSong" w:eastAsia="FangSong" w:cs="FangSong"/>
          <w:sz w:val="30"/>
          <w:szCs w:val="30"/>
        </w:rPr>
        <w:t xml:space="preserve"> </w:t>
      </w:r>
      <w:r>
        <w:rPr>
          <w:rFonts w:ascii="FangSong" w:hAnsi="FangSong" w:eastAsia="FangSong" w:cs="FangSong"/>
          <w:sz w:val="30"/>
          <w:szCs w:val="30"/>
          <w:spacing w:val="15"/>
        </w:rPr>
        <w:t>罚款；构成犯罪的，依法追究刑事责任。</w:t>
      </w:r>
    </w:p>
    <w:p>
      <w:pPr>
        <w:ind w:left="6419"/>
        <w:spacing w:before="164"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00"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84"/>
        <w:gridCol w:w="8084"/>
        <w:gridCol w:w="4432"/>
      </w:tblGrid>
      <w:tr>
        <w:trPr>
          <w:trHeight w:val="441" w:hRule="atLeast"/>
        </w:trPr>
        <w:tc>
          <w:tcPr>
            <w:tcW w:w="1384" w:type="dxa"/>
            <w:vAlign w:val="top"/>
          </w:tcPr>
          <w:p>
            <w:pPr>
              <w:pStyle w:val="TableText"/>
              <w:ind w:left="108"/>
              <w:spacing w:before="10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8084" w:type="dxa"/>
            <w:vAlign w:val="top"/>
          </w:tcPr>
          <w:p>
            <w:pPr>
              <w:pStyle w:val="TableText"/>
              <w:ind w:left="3454"/>
              <w:spacing w:before="102" w:line="220" w:lineRule="auto"/>
              <w:rPr/>
            </w:pPr>
            <w:r>
              <w:rPr>
                <w:b/>
                <w:bCs/>
                <w:spacing w:val="-11"/>
              </w:rPr>
              <w:t>情</w:t>
            </w:r>
            <w:r>
              <w:rPr>
                <w:spacing w:val="-37"/>
              </w:rPr>
              <w:t xml:space="preserve"> </w:t>
            </w:r>
            <w:r>
              <w:rPr>
                <w:b/>
                <w:bCs/>
                <w:spacing w:val="-11"/>
              </w:rPr>
              <w:t>节</w:t>
            </w:r>
            <w:r>
              <w:rPr>
                <w:spacing w:val="-36"/>
              </w:rPr>
              <w:t xml:space="preserve"> </w:t>
            </w:r>
            <w:r>
              <w:rPr>
                <w:b/>
                <w:bCs/>
                <w:spacing w:val="-11"/>
              </w:rPr>
              <w:t>后</w:t>
            </w:r>
            <w:r>
              <w:rPr>
                <w:spacing w:val="-33"/>
              </w:rPr>
              <w:t xml:space="preserve"> </w:t>
            </w:r>
            <w:r>
              <w:rPr>
                <w:b/>
                <w:bCs/>
                <w:spacing w:val="-11"/>
              </w:rPr>
              <w:t>果</w:t>
            </w:r>
          </w:p>
        </w:tc>
        <w:tc>
          <w:tcPr>
            <w:tcW w:w="4432" w:type="dxa"/>
            <w:vAlign w:val="top"/>
          </w:tcPr>
          <w:p>
            <w:pPr>
              <w:pStyle w:val="TableText"/>
              <w:ind w:left="1640"/>
              <w:spacing w:before="99" w:line="218" w:lineRule="auto"/>
              <w:rPr/>
            </w:pPr>
            <w:r>
              <w:rPr>
                <w:b/>
                <w:bCs/>
                <w:spacing w:val="46"/>
              </w:rPr>
              <w:t>裁量幅度</w:t>
            </w:r>
          </w:p>
        </w:tc>
      </w:tr>
      <w:tr>
        <w:trPr>
          <w:trHeight w:val="778" w:hRule="atLeast"/>
        </w:trPr>
        <w:tc>
          <w:tcPr>
            <w:tcW w:w="1384" w:type="dxa"/>
            <w:vAlign w:val="top"/>
          </w:tcPr>
          <w:p>
            <w:pPr>
              <w:spacing w:line="241" w:lineRule="auto"/>
              <w:rPr>
                <w:rFonts w:ascii="Arial"/>
                <w:sz w:val="21"/>
              </w:rPr>
            </w:pPr>
            <w:r/>
          </w:p>
          <w:p>
            <w:pPr>
              <w:pStyle w:val="TableText"/>
              <w:ind w:left="448"/>
              <w:spacing w:before="78" w:line="220" w:lineRule="auto"/>
              <w:rPr/>
            </w:pPr>
            <w:r>
              <w:rPr>
                <w:b/>
                <w:bCs/>
                <w:spacing w:val="-6"/>
              </w:rPr>
              <w:t>严重</w:t>
            </w:r>
          </w:p>
        </w:tc>
        <w:tc>
          <w:tcPr>
            <w:tcW w:w="8084" w:type="dxa"/>
            <w:vAlign w:val="top"/>
          </w:tcPr>
          <w:p>
            <w:pPr>
              <w:pStyle w:val="TableText"/>
              <w:ind w:left="194"/>
              <w:spacing w:before="268" w:line="219" w:lineRule="auto"/>
              <w:rPr/>
            </w:pPr>
            <w:r>
              <w:rPr>
                <w:b/>
                <w:bCs/>
                <w:spacing w:val="-2"/>
              </w:rPr>
              <w:t>未经批准擅自设置和开办脐带血造血干细胞库，非法采集</w:t>
            </w:r>
            <w:r>
              <w:rPr>
                <w:b/>
                <w:bCs/>
                <w:spacing w:val="-3"/>
              </w:rPr>
              <w:t>、提供脐带血的</w:t>
            </w:r>
          </w:p>
        </w:tc>
        <w:tc>
          <w:tcPr>
            <w:tcW w:w="4432" w:type="dxa"/>
            <w:vAlign w:val="top"/>
          </w:tcPr>
          <w:p>
            <w:pPr>
              <w:pStyle w:val="TableText"/>
              <w:ind w:left="139" w:right="64" w:hanging="89"/>
              <w:spacing w:before="139" w:line="241" w:lineRule="auto"/>
              <w:rPr/>
            </w:pPr>
            <w:r>
              <w:rPr>
                <w:b/>
                <w:bCs/>
                <w:spacing w:val="-4"/>
              </w:rPr>
              <w:t>没收违法所得、设备、器材以及采集的脐</w:t>
            </w:r>
            <w:r>
              <w:rPr>
                <w:spacing w:val="12"/>
              </w:rPr>
              <w:t xml:space="preserve"> </w:t>
            </w:r>
            <w:r>
              <w:rPr>
                <w:b/>
                <w:bCs/>
                <w:spacing w:val="-4"/>
              </w:rPr>
              <w:t>带血，并处以3万元以下的罚款</w:t>
            </w:r>
          </w:p>
        </w:tc>
      </w:tr>
    </w:tbl>
    <w:p>
      <w:pPr>
        <w:pStyle w:val="BodyText"/>
        <w:spacing w:line="356" w:lineRule="auto"/>
        <w:rPr/>
      </w:pPr>
      <w:r/>
    </w:p>
    <w:p>
      <w:pPr>
        <w:pStyle w:val="BodyText"/>
        <w:spacing w:line="357" w:lineRule="auto"/>
        <w:rPr/>
      </w:pPr>
      <w:r/>
    </w:p>
    <w:p>
      <w:pPr>
        <w:ind w:left="779"/>
        <w:spacing w:before="98" w:line="223" w:lineRule="auto"/>
        <w:rPr>
          <w:rFonts w:ascii="KaiTi" w:hAnsi="KaiTi" w:eastAsia="KaiTi" w:cs="KaiTi"/>
          <w:sz w:val="30"/>
          <w:szCs w:val="30"/>
        </w:rPr>
      </w:pPr>
      <w:r>
        <w:rPr>
          <w:rFonts w:ascii="KaiTi" w:hAnsi="KaiTi" w:eastAsia="KaiTi" w:cs="KaiTi"/>
          <w:sz w:val="30"/>
          <w:szCs w:val="30"/>
          <w:b/>
          <w:bCs/>
          <w:spacing w:val="26"/>
        </w:rPr>
        <w:t>(三十五)《药品不良反应报告和监测管理办法》</w:t>
      </w:r>
    </w:p>
    <w:p>
      <w:pPr>
        <w:pStyle w:val="BodyText"/>
        <w:spacing w:line="259" w:lineRule="auto"/>
        <w:rPr/>
      </w:pPr>
      <w:r/>
    </w:p>
    <w:p>
      <w:pPr>
        <w:ind w:right="104" w:firstLine="670"/>
        <w:spacing w:before="97" w:line="261" w:lineRule="auto"/>
        <w:rPr>
          <w:rFonts w:ascii="FangSong" w:hAnsi="FangSong" w:eastAsia="FangSong" w:cs="FangSong"/>
          <w:sz w:val="30"/>
          <w:szCs w:val="30"/>
        </w:rPr>
      </w:pPr>
      <w:r>
        <w:rPr>
          <w:rFonts w:ascii="FangSong" w:hAnsi="FangSong" w:eastAsia="FangSong" w:cs="FangSong"/>
          <w:sz w:val="30"/>
          <w:szCs w:val="30"/>
          <w:b/>
          <w:bCs/>
          <w:spacing w:val="28"/>
        </w:rPr>
        <w:t>第三百八十六条医疗机构未设立或者指定机构并配备专(兼)职人员，承担本</w:t>
      </w:r>
      <w:r>
        <w:rPr>
          <w:rFonts w:ascii="FangSong" w:hAnsi="FangSong" w:eastAsia="FangSong" w:cs="FangSong"/>
          <w:sz w:val="30"/>
          <w:szCs w:val="30"/>
          <w:b/>
          <w:bCs/>
          <w:spacing w:val="27"/>
        </w:rPr>
        <w:t>单位的药品不良</w:t>
      </w:r>
      <w:r>
        <w:rPr>
          <w:rFonts w:ascii="FangSong" w:hAnsi="FangSong" w:eastAsia="FangSong" w:cs="FangSong"/>
          <w:sz w:val="30"/>
          <w:szCs w:val="30"/>
        </w:rPr>
        <w:t xml:space="preserve"> </w:t>
      </w:r>
      <w:r>
        <w:rPr>
          <w:rFonts w:ascii="FangSong" w:hAnsi="FangSong" w:eastAsia="FangSong" w:cs="FangSong"/>
          <w:sz w:val="30"/>
          <w:szCs w:val="30"/>
          <w:b/>
          <w:bCs/>
          <w:spacing w:val="16"/>
        </w:rPr>
        <w:t>反应报告和监测工作的</w:t>
      </w:r>
    </w:p>
    <w:p>
      <w:pPr>
        <w:ind w:left="655"/>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firstLine="599"/>
        <w:spacing w:before="90" w:line="273" w:lineRule="auto"/>
        <w:rPr>
          <w:rFonts w:ascii="FangSong" w:hAnsi="FangSong" w:eastAsia="FangSong" w:cs="FangSong"/>
          <w:sz w:val="30"/>
          <w:szCs w:val="30"/>
        </w:rPr>
      </w:pPr>
      <w:r>
        <w:rPr>
          <w:rFonts w:ascii="FangSong" w:hAnsi="FangSong" w:eastAsia="FangSong" w:cs="FangSong"/>
          <w:sz w:val="30"/>
          <w:szCs w:val="30"/>
          <w:spacing w:val="19"/>
        </w:rPr>
        <w:t>《药品不良反应报告和监测管理办法》第六十条第一款第(</w:t>
      </w:r>
      <w:r>
        <w:rPr>
          <w:rFonts w:ascii="FangSong" w:hAnsi="FangSong" w:eastAsia="FangSong" w:cs="FangSong"/>
          <w:sz w:val="30"/>
          <w:szCs w:val="30"/>
          <w:spacing w:val="18"/>
        </w:rPr>
        <w:t>一)项</w:t>
      </w:r>
      <w:r>
        <w:rPr>
          <w:rFonts w:ascii="FangSong" w:hAnsi="FangSong" w:eastAsia="FangSong" w:cs="FangSong"/>
          <w:sz w:val="30"/>
          <w:szCs w:val="30"/>
          <w:spacing w:val="18"/>
        </w:rPr>
        <w:t xml:space="preserve">  </w:t>
      </w:r>
      <w:r>
        <w:rPr>
          <w:rFonts w:ascii="FangSong" w:hAnsi="FangSong" w:eastAsia="FangSong" w:cs="FangSong"/>
          <w:sz w:val="30"/>
          <w:szCs w:val="30"/>
          <w:spacing w:val="18"/>
        </w:rPr>
        <w:t>医疗机构有下列情形之一的，</w:t>
      </w:r>
      <w:r>
        <w:rPr>
          <w:rFonts w:ascii="FangSong" w:hAnsi="FangSong" w:eastAsia="FangSong" w:cs="FangSong"/>
          <w:sz w:val="30"/>
          <w:szCs w:val="30"/>
        </w:rPr>
        <w:t xml:space="preserve"> </w:t>
      </w:r>
      <w:r>
        <w:rPr>
          <w:rFonts w:ascii="FangSong" w:hAnsi="FangSong" w:eastAsia="FangSong" w:cs="FangSong"/>
          <w:sz w:val="30"/>
          <w:szCs w:val="30"/>
          <w:spacing w:val="21"/>
        </w:rPr>
        <w:t>由所在地卫生行政部门给予警告，责令限期改正；逾期不改的，</w:t>
      </w:r>
      <w:r>
        <w:rPr>
          <w:rFonts w:ascii="FangSong" w:hAnsi="FangSong" w:eastAsia="FangSong" w:cs="FangSong"/>
          <w:sz w:val="30"/>
          <w:szCs w:val="30"/>
          <w:spacing w:val="20"/>
        </w:rPr>
        <w:t>处3万元以下的罚款：</w:t>
      </w:r>
    </w:p>
    <w:p>
      <w:pPr>
        <w:ind w:left="775"/>
        <w:spacing w:before="8" w:line="220" w:lineRule="auto"/>
        <w:rPr>
          <w:rFonts w:ascii="FangSong" w:hAnsi="FangSong" w:eastAsia="FangSong" w:cs="FangSong"/>
          <w:sz w:val="30"/>
          <w:szCs w:val="30"/>
        </w:rPr>
      </w:pPr>
      <w:r>
        <w:rPr>
          <w:rFonts w:ascii="FangSong" w:hAnsi="FangSong" w:eastAsia="FangSong" w:cs="FangSong"/>
          <w:sz w:val="30"/>
          <w:szCs w:val="30"/>
          <w:spacing w:val="23"/>
        </w:rPr>
        <w:t>(一)无专职或者兼职人员负责本单位药品不良反应监测工作的；</w:t>
      </w:r>
    </w:p>
    <w:p>
      <w:pPr>
        <w:ind w:left="6419"/>
        <w:spacing w:before="221"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416"/>
          <w:pgSz w:w="16830" w:h="11900"/>
          <w:pgMar w:top="1011" w:right="1350" w:bottom="1108" w:left="1434" w:header="0" w:footer="775" w:gutter="0"/>
        </w:sectPr>
        <w:rPr>
          <w:rFonts w:ascii="SimHei" w:hAnsi="SimHei" w:eastAsia="SimHei" w:cs="SimHei"/>
          <w:sz w:val="30"/>
          <w:szCs w:val="30"/>
        </w:rPr>
      </w:pPr>
    </w:p>
    <w:p>
      <w:pPr>
        <w:spacing w:before="20"/>
        <w:rPr/>
      </w:pPr>
      <w:r/>
    </w:p>
    <w:p>
      <w:pPr>
        <w:spacing w:before="20"/>
        <w:rPr/>
      </w:pPr>
      <w:r/>
    </w:p>
    <w:p>
      <w:pPr>
        <w:spacing w:before="19"/>
        <w:rPr/>
      </w:pPr>
      <w:r/>
    </w:p>
    <w:tbl>
      <w:tblPr>
        <w:tblStyle w:val="TableNormal"/>
        <w:tblW w:w="13690" w:type="dxa"/>
        <w:tblInd w:w="7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944"/>
        <w:gridCol w:w="4302"/>
      </w:tblGrid>
      <w:tr>
        <w:trPr>
          <w:trHeight w:val="432" w:hRule="atLeast"/>
        </w:trPr>
        <w:tc>
          <w:tcPr>
            <w:tcW w:w="1444" w:type="dxa"/>
            <w:vAlign w:val="top"/>
          </w:tcPr>
          <w:p>
            <w:pPr>
              <w:pStyle w:val="TableText"/>
              <w:ind w:left="218"/>
              <w:spacing w:before="92" w:line="220" w:lineRule="auto"/>
              <w:rPr>
                <w:sz w:val="25"/>
                <w:szCs w:val="25"/>
              </w:rPr>
            </w:pPr>
            <w:bookmarkStart w:name="bookmark1065" w:id="438"/>
            <w:bookmarkEnd w:id="438"/>
            <w:r>
              <w:rPr>
                <w:sz w:val="25"/>
                <w:szCs w:val="25"/>
                <w:b/>
                <w:bCs/>
                <w:spacing w:val="-5"/>
              </w:rPr>
              <w:t>违法程度</w:t>
            </w:r>
          </w:p>
        </w:tc>
        <w:tc>
          <w:tcPr>
            <w:tcW w:w="7944" w:type="dxa"/>
            <w:vAlign w:val="top"/>
          </w:tcPr>
          <w:p>
            <w:pPr>
              <w:pStyle w:val="TableText"/>
              <w:ind w:left="3464"/>
              <w:spacing w:before="92" w:line="220" w:lineRule="auto"/>
              <w:rPr>
                <w:sz w:val="25"/>
                <w:szCs w:val="25"/>
              </w:rPr>
            </w:pPr>
            <w:r>
              <w:rPr>
                <w:sz w:val="25"/>
                <w:szCs w:val="25"/>
                <w:b/>
                <w:bCs/>
                <w:spacing w:val="-5"/>
              </w:rPr>
              <w:t>情节后果</w:t>
            </w:r>
          </w:p>
        </w:tc>
        <w:tc>
          <w:tcPr>
            <w:tcW w:w="4302" w:type="dxa"/>
            <w:vAlign w:val="top"/>
          </w:tcPr>
          <w:p>
            <w:pPr>
              <w:pStyle w:val="TableText"/>
              <w:ind w:left="1600"/>
              <w:spacing w:before="89" w:line="218" w:lineRule="auto"/>
              <w:rPr>
                <w:sz w:val="25"/>
                <w:szCs w:val="25"/>
              </w:rPr>
            </w:pPr>
            <w:r>
              <w:rPr>
                <w:sz w:val="25"/>
                <w:szCs w:val="25"/>
                <w:b/>
                <w:bCs/>
                <w:spacing w:val="-5"/>
              </w:rPr>
              <w:t>裁量幅度</w:t>
            </w:r>
          </w:p>
        </w:tc>
      </w:tr>
      <w:tr>
        <w:trPr>
          <w:trHeight w:val="686" w:hRule="atLeast"/>
        </w:trPr>
        <w:tc>
          <w:tcPr>
            <w:tcW w:w="1444" w:type="dxa"/>
            <w:vAlign w:val="top"/>
          </w:tcPr>
          <w:p>
            <w:pPr>
              <w:pStyle w:val="TableText"/>
              <w:ind w:left="468"/>
              <w:spacing w:before="221" w:line="221" w:lineRule="auto"/>
              <w:rPr>
                <w:sz w:val="25"/>
                <w:szCs w:val="25"/>
              </w:rPr>
            </w:pPr>
            <w:r>
              <w:rPr>
                <w:sz w:val="25"/>
                <w:szCs w:val="25"/>
                <w:b/>
                <w:bCs/>
                <w:spacing w:val="-10"/>
              </w:rPr>
              <w:t>一般</w:t>
            </w:r>
          </w:p>
        </w:tc>
        <w:tc>
          <w:tcPr>
            <w:tcW w:w="7944" w:type="dxa"/>
            <w:vAlign w:val="top"/>
          </w:tcPr>
          <w:p>
            <w:pPr>
              <w:pStyle w:val="TableText"/>
              <w:ind w:left="100" w:right="82" w:hanging="10"/>
              <w:spacing w:before="61" w:line="227" w:lineRule="auto"/>
              <w:rPr>
                <w:sz w:val="25"/>
                <w:szCs w:val="25"/>
              </w:rPr>
            </w:pPr>
            <w:r>
              <w:rPr>
                <w:sz w:val="25"/>
                <w:szCs w:val="25"/>
              </w:rPr>
              <w:t>未设立或者指定机构并配备专(兼)职人员，承担本单位的药品不良反应</w:t>
            </w:r>
            <w:r>
              <w:rPr>
                <w:sz w:val="25"/>
                <w:szCs w:val="25"/>
                <w:spacing w:val="10"/>
              </w:rPr>
              <w:t xml:space="preserve"> </w:t>
            </w:r>
            <w:r>
              <w:rPr>
                <w:sz w:val="25"/>
                <w:szCs w:val="25"/>
                <w:spacing w:val="2"/>
              </w:rPr>
              <w:t>报告和监测工作的</w:t>
            </w:r>
          </w:p>
        </w:tc>
        <w:tc>
          <w:tcPr>
            <w:tcW w:w="4302" w:type="dxa"/>
            <w:vAlign w:val="top"/>
          </w:tcPr>
          <w:p>
            <w:pPr>
              <w:pStyle w:val="TableText"/>
              <w:ind w:left="116"/>
              <w:spacing w:before="221" w:line="218" w:lineRule="auto"/>
              <w:rPr>
                <w:sz w:val="25"/>
                <w:szCs w:val="25"/>
              </w:rPr>
            </w:pPr>
            <w:r>
              <w:rPr>
                <w:sz w:val="25"/>
                <w:szCs w:val="25"/>
                <w:spacing w:val="4"/>
              </w:rPr>
              <w:t>给予警告</w:t>
            </w:r>
          </w:p>
        </w:tc>
      </w:tr>
      <w:tr>
        <w:trPr>
          <w:trHeight w:val="671" w:hRule="atLeast"/>
        </w:trPr>
        <w:tc>
          <w:tcPr>
            <w:tcW w:w="1444" w:type="dxa"/>
            <w:vAlign w:val="top"/>
          </w:tcPr>
          <w:p>
            <w:pPr>
              <w:pStyle w:val="TableText"/>
              <w:ind w:left="468"/>
              <w:spacing w:before="264" w:line="220" w:lineRule="auto"/>
              <w:rPr>
                <w:sz w:val="25"/>
                <w:szCs w:val="25"/>
              </w:rPr>
            </w:pPr>
            <w:r>
              <w:rPr>
                <w:sz w:val="25"/>
                <w:szCs w:val="25"/>
                <w:b/>
                <w:bCs/>
                <w:spacing w:val="-6"/>
              </w:rPr>
              <w:t>严重</w:t>
            </w:r>
          </w:p>
        </w:tc>
        <w:tc>
          <w:tcPr>
            <w:tcW w:w="7944" w:type="dxa"/>
            <w:vAlign w:val="top"/>
          </w:tcPr>
          <w:p>
            <w:pPr>
              <w:pStyle w:val="TableText"/>
              <w:ind w:left="100" w:right="82" w:hanging="10"/>
              <w:spacing w:before="65" w:line="220" w:lineRule="auto"/>
              <w:rPr>
                <w:sz w:val="25"/>
                <w:szCs w:val="25"/>
              </w:rPr>
            </w:pPr>
            <w:r>
              <w:rPr>
                <w:sz w:val="25"/>
                <w:szCs w:val="25"/>
              </w:rPr>
              <w:t>未设立或者指定机构并配备专(兼)职人员，承担本单位的药品不良反应</w:t>
            </w:r>
            <w:r>
              <w:rPr>
                <w:sz w:val="25"/>
                <w:szCs w:val="25"/>
                <w:spacing w:val="10"/>
              </w:rPr>
              <w:t xml:space="preserve"> </w:t>
            </w:r>
            <w:r>
              <w:rPr>
                <w:sz w:val="25"/>
                <w:szCs w:val="25"/>
              </w:rPr>
              <w:t>报告和监测工作的，责令限期改正，逾期不改的</w:t>
            </w:r>
          </w:p>
        </w:tc>
        <w:tc>
          <w:tcPr>
            <w:tcW w:w="4302" w:type="dxa"/>
            <w:vAlign w:val="top"/>
          </w:tcPr>
          <w:p>
            <w:pPr>
              <w:pStyle w:val="TableText"/>
              <w:ind w:left="116"/>
              <w:spacing w:before="215" w:line="218" w:lineRule="auto"/>
              <w:rPr>
                <w:sz w:val="25"/>
                <w:szCs w:val="25"/>
              </w:rPr>
            </w:pPr>
            <w:r>
              <w:rPr>
                <w:sz w:val="25"/>
                <w:szCs w:val="25"/>
                <w:spacing w:val="-2"/>
              </w:rPr>
              <w:t>警告，处3万以下罚款</w:t>
            </w:r>
          </w:p>
        </w:tc>
      </w:tr>
    </w:tbl>
    <w:p>
      <w:pPr>
        <w:pStyle w:val="BodyText"/>
        <w:spacing w:line="456" w:lineRule="auto"/>
        <w:rPr/>
      </w:pPr>
      <w:r/>
    </w:p>
    <w:p>
      <w:pPr>
        <w:ind w:left="604"/>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第三百八十七条医疗机构未按照要求开展药品不良反应</w:t>
      </w:r>
      <w:r>
        <w:rPr>
          <w:rFonts w:ascii="FangSong" w:hAnsi="FangSong" w:eastAsia="FangSong" w:cs="FangSong"/>
          <w:sz w:val="30"/>
          <w:szCs w:val="30"/>
          <w:b/>
          <w:bCs/>
          <w:spacing w:val="21"/>
        </w:rPr>
        <w:t>或者群体不良事件报告的</w:t>
      </w:r>
    </w:p>
    <w:p>
      <w:pPr>
        <w:ind w:left="599"/>
        <w:spacing w:before="9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firstLine="599"/>
        <w:spacing w:before="79" w:line="267" w:lineRule="auto"/>
        <w:rPr>
          <w:rFonts w:ascii="FangSong" w:hAnsi="FangSong" w:eastAsia="FangSong" w:cs="FangSong"/>
          <w:sz w:val="30"/>
          <w:szCs w:val="30"/>
        </w:rPr>
      </w:pPr>
      <w:r>
        <w:rPr>
          <w:rFonts w:ascii="FangSong" w:hAnsi="FangSong" w:eastAsia="FangSong" w:cs="FangSong"/>
          <w:sz w:val="30"/>
          <w:szCs w:val="30"/>
          <w:spacing w:val="19"/>
        </w:rPr>
        <w:t>《药品不良反应报告和监测管理办法》第六十条第一款第(</w:t>
      </w:r>
      <w:r>
        <w:rPr>
          <w:rFonts w:ascii="FangSong" w:hAnsi="FangSong" w:eastAsia="FangSong" w:cs="FangSong"/>
          <w:sz w:val="30"/>
          <w:szCs w:val="30"/>
          <w:spacing w:val="18"/>
        </w:rPr>
        <w:t>二)项</w:t>
      </w:r>
      <w:r>
        <w:rPr>
          <w:rFonts w:ascii="FangSong" w:hAnsi="FangSong" w:eastAsia="FangSong" w:cs="FangSong"/>
          <w:sz w:val="30"/>
          <w:szCs w:val="30"/>
          <w:spacing w:val="18"/>
        </w:rPr>
        <w:t xml:space="preserve">  </w:t>
      </w:r>
      <w:r>
        <w:rPr>
          <w:rFonts w:ascii="FangSong" w:hAnsi="FangSong" w:eastAsia="FangSong" w:cs="FangSong"/>
          <w:sz w:val="30"/>
          <w:szCs w:val="30"/>
          <w:spacing w:val="18"/>
        </w:rPr>
        <w:t>医疗机构有下列情形之一的，</w:t>
      </w:r>
      <w:r>
        <w:rPr>
          <w:rFonts w:ascii="FangSong" w:hAnsi="FangSong" w:eastAsia="FangSong" w:cs="FangSong"/>
          <w:sz w:val="30"/>
          <w:szCs w:val="30"/>
        </w:rPr>
        <w:t xml:space="preserve"> </w:t>
      </w:r>
      <w:r>
        <w:rPr>
          <w:rFonts w:ascii="FangSong" w:hAnsi="FangSong" w:eastAsia="FangSong" w:cs="FangSong"/>
          <w:sz w:val="30"/>
          <w:szCs w:val="30"/>
          <w:spacing w:val="21"/>
        </w:rPr>
        <w:t>由所在地卫生行政部门给予警告，责令限期改正；逾期不改的，</w:t>
      </w:r>
      <w:r>
        <w:rPr>
          <w:rFonts w:ascii="FangSong" w:hAnsi="FangSong" w:eastAsia="FangSong" w:cs="FangSong"/>
          <w:sz w:val="30"/>
          <w:szCs w:val="30"/>
          <w:spacing w:val="20"/>
        </w:rPr>
        <w:t>处3万元以下的罚款：</w:t>
      </w:r>
    </w:p>
    <w:p>
      <w:pPr>
        <w:ind w:left="740"/>
        <w:spacing w:before="11" w:line="222" w:lineRule="auto"/>
        <w:rPr>
          <w:rFonts w:ascii="FangSong" w:hAnsi="FangSong" w:eastAsia="FangSong" w:cs="FangSong"/>
          <w:sz w:val="30"/>
          <w:szCs w:val="30"/>
        </w:rPr>
      </w:pPr>
      <w:r>
        <w:rPr>
          <w:rFonts w:ascii="FangSong" w:hAnsi="FangSong" w:eastAsia="FangSong" w:cs="FangSong"/>
          <w:sz w:val="30"/>
          <w:szCs w:val="30"/>
          <w:spacing w:val="22"/>
        </w:rPr>
        <w:t>(二)未按照要求开展药品不良反应或者群体不良事件报告、调查、评</w:t>
      </w:r>
      <w:r>
        <w:rPr>
          <w:rFonts w:ascii="FangSong" w:hAnsi="FangSong" w:eastAsia="FangSong" w:cs="FangSong"/>
          <w:sz w:val="30"/>
          <w:szCs w:val="30"/>
          <w:spacing w:val="21"/>
        </w:rPr>
        <w:t>价和处理的；</w:t>
      </w:r>
    </w:p>
    <w:p>
      <w:pPr>
        <w:ind w:left="6383"/>
        <w:spacing w:before="217"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40" w:lineRule="auto"/>
        <w:rPr>
          <w:rFonts w:ascii="Arial"/>
          <w:sz w:val="2"/>
        </w:rPr>
      </w:pPr>
      <w:r>
        <w:rPr>
          <w:rFonts w:ascii="Arial"/>
          <w:sz w:val="2"/>
        </w:rPr>
      </w:r>
    </w:p>
    <w:tbl>
      <w:tblPr>
        <w:tblStyle w:val="TableNormal"/>
        <w:tblW w:w="13690" w:type="dxa"/>
        <w:tblInd w:w="7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954"/>
        <w:gridCol w:w="4302"/>
      </w:tblGrid>
      <w:tr>
        <w:trPr>
          <w:trHeight w:val="552" w:hRule="atLeast"/>
        </w:trPr>
        <w:tc>
          <w:tcPr>
            <w:tcW w:w="1434" w:type="dxa"/>
            <w:vAlign w:val="top"/>
          </w:tcPr>
          <w:p>
            <w:pPr>
              <w:pStyle w:val="TableText"/>
              <w:ind w:left="208"/>
              <w:spacing w:before="152" w:line="220" w:lineRule="auto"/>
              <w:rPr>
                <w:sz w:val="25"/>
                <w:szCs w:val="25"/>
              </w:rPr>
            </w:pPr>
            <w:r>
              <w:rPr>
                <w:sz w:val="25"/>
                <w:szCs w:val="25"/>
                <w:b/>
                <w:bCs/>
                <w:spacing w:val="-5"/>
              </w:rPr>
              <w:t>违法程度</w:t>
            </w:r>
          </w:p>
        </w:tc>
        <w:tc>
          <w:tcPr>
            <w:tcW w:w="7954" w:type="dxa"/>
            <w:vAlign w:val="top"/>
          </w:tcPr>
          <w:p>
            <w:pPr>
              <w:pStyle w:val="TableText"/>
              <w:ind w:left="3414"/>
              <w:spacing w:before="152" w:line="220" w:lineRule="auto"/>
              <w:rPr>
                <w:sz w:val="25"/>
                <w:szCs w:val="25"/>
              </w:rPr>
            </w:pPr>
            <w:r>
              <w:rPr>
                <w:sz w:val="25"/>
                <w:szCs w:val="25"/>
                <w:b/>
                <w:bCs/>
                <w:spacing w:val="-5"/>
              </w:rPr>
              <w:t>情节后果</w:t>
            </w:r>
          </w:p>
        </w:tc>
        <w:tc>
          <w:tcPr>
            <w:tcW w:w="4302" w:type="dxa"/>
            <w:vAlign w:val="top"/>
          </w:tcPr>
          <w:p>
            <w:pPr>
              <w:pStyle w:val="TableText"/>
              <w:ind w:left="1600"/>
              <w:spacing w:before="149" w:line="218" w:lineRule="auto"/>
              <w:rPr>
                <w:sz w:val="25"/>
                <w:szCs w:val="25"/>
              </w:rPr>
            </w:pPr>
            <w:r>
              <w:rPr>
                <w:sz w:val="25"/>
                <w:szCs w:val="25"/>
                <w:b/>
                <w:bCs/>
                <w:spacing w:val="-5"/>
              </w:rPr>
              <w:t>裁量幅度</w:t>
            </w:r>
          </w:p>
        </w:tc>
      </w:tr>
      <w:tr>
        <w:trPr>
          <w:trHeight w:val="517" w:hRule="atLeast"/>
        </w:trPr>
        <w:tc>
          <w:tcPr>
            <w:tcW w:w="1434" w:type="dxa"/>
            <w:vAlign w:val="top"/>
          </w:tcPr>
          <w:p>
            <w:pPr>
              <w:pStyle w:val="TableText"/>
              <w:ind w:left="458"/>
              <w:spacing w:before="141" w:line="221" w:lineRule="auto"/>
              <w:rPr>
                <w:sz w:val="25"/>
                <w:szCs w:val="25"/>
              </w:rPr>
            </w:pPr>
            <w:r>
              <w:rPr>
                <w:sz w:val="25"/>
                <w:szCs w:val="25"/>
                <w:b/>
                <w:bCs/>
                <w:spacing w:val="-10"/>
              </w:rPr>
              <w:t>一般</w:t>
            </w:r>
          </w:p>
        </w:tc>
        <w:tc>
          <w:tcPr>
            <w:tcW w:w="7954" w:type="dxa"/>
            <w:vAlign w:val="top"/>
          </w:tcPr>
          <w:p>
            <w:pPr>
              <w:pStyle w:val="TableText"/>
              <w:ind w:left="81"/>
              <w:spacing w:before="141" w:line="218" w:lineRule="auto"/>
              <w:rPr>
                <w:sz w:val="25"/>
                <w:szCs w:val="25"/>
              </w:rPr>
            </w:pPr>
            <w:r>
              <w:rPr>
                <w:sz w:val="25"/>
                <w:szCs w:val="25"/>
              </w:rPr>
              <w:t>未按照要求开展药品不良反应或者群体不良事件报告的</w:t>
            </w:r>
          </w:p>
        </w:tc>
        <w:tc>
          <w:tcPr>
            <w:tcW w:w="4302" w:type="dxa"/>
            <w:vAlign w:val="top"/>
          </w:tcPr>
          <w:p>
            <w:pPr>
              <w:pStyle w:val="TableText"/>
              <w:ind w:left="116"/>
              <w:spacing w:before="141" w:line="218" w:lineRule="auto"/>
              <w:rPr>
                <w:sz w:val="25"/>
                <w:szCs w:val="25"/>
              </w:rPr>
            </w:pPr>
            <w:r>
              <w:rPr>
                <w:sz w:val="25"/>
                <w:szCs w:val="25"/>
                <w:spacing w:val="4"/>
              </w:rPr>
              <w:t>给予警告</w:t>
            </w:r>
          </w:p>
        </w:tc>
      </w:tr>
      <w:tr>
        <w:trPr>
          <w:trHeight w:val="661" w:hRule="atLeast"/>
        </w:trPr>
        <w:tc>
          <w:tcPr>
            <w:tcW w:w="1434" w:type="dxa"/>
            <w:vAlign w:val="top"/>
          </w:tcPr>
          <w:p>
            <w:pPr>
              <w:pStyle w:val="TableText"/>
              <w:ind w:left="458"/>
              <w:spacing w:before="263" w:line="220" w:lineRule="auto"/>
              <w:rPr>
                <w:sz w:val="25"/>
                <w:szCs w:val="25"/>
              </w:rPr>
            </w:pPr>
            <w:r>
              <w:rPr>
                <w:sz w:val="25"/>
                <w:szCs w:val="25"/>
                <w:b/>
                <w:bCs/>
                <w:spacing w:val="-6"/>
              </w:rPr>
              <w:t>严重</w:t>
            </w:r>
          </w:p>
        </w:tc>
        <w:tc>
          <w:tcPr>
            <w:tcW w:w="7954" w:type="dxa"/>
            <w:vAlign w:val="top"/>
          </w:tcPr>
          <w:p>
            <w:pPr>
              <w:pStyle w:val="TableText"/>
              <w:ind w:left="81"/>
              <w:spacing w:before="74" w:line="213" w:lineRule="auto"/>
              <w:rPr>
                <w:sz w:val="25"/>
                <w:szCs w:val="25"/>
              </w:rPr>
            </w:pPr>
            <w:r>
              <w:rPr>
                <w:sz w:val="25"/>
                <w:szCs w:val="25"/>
                <w:spacing w:val="-4"/>
              </w:rPr>
              <w:t>未按照要求开展药品不良反应或者群体不良事件</w:t>
            </w:r>
            <w:r>
              <w:rPr>
                <w:sz w:val="25"/>
                <w:szCs w:val="25"/>
                <w:spacing w:val="-5"/>
              </w:rPr>
              <w:t>报告的，责令限期改正，</w:t>
            </w:r>
            <w:r>
              <w:rPr>
                <w:sz w:val="25"/>
                <w:szCs w:val="25"/>
              </w:rPr>
              <w:t xml:space="preserve"> </w:t>
            </w:r>
            <w:r>
              <w:rPr>
                <w:sz w:val="25"/>
                <w:szCs w:val="25"/>
              </w:rPr>
              <w:t>逾期不改的</w:t>
            </w:r>
          </w:p>
        </w:tc>
        <w:tc>
          <w:tcPr>
            <w:tcW w:w="4302" w:type="dxa"/>
            <w:vAlign w:val="top"/>
          </w:tcPr>
          <w:p>
            <w:pPr>
              <w:pStyle w:val="TableText"/>
              <w:ind w:left="116"/>
              <w:spacing w:before="214" w:line="218" w:lineRule="auto"/>
              <w:rPr>
                <w:sz w:val="25"/>
                <w:szCs w:val="25"/>
              </w:rPr>
            </w:pPr>
            <w:r>
              <w:rPr>
                <w:sz w:val="25"/>
                <w:szCs w:val="25"/>
                <w:spacing w:val="-2"/>
              </w:rPr>
              <w:t>警告，处3万以下罚款</w:t>
            </w:r>
          </w:p>
        </w:tc>
      </w:tr>
    </w:tbl>
    <w:p>
      <w:pPr>
        <w:pStyle w:val="BodyText"/>
        <w:spacing w:line="476" w:lineRule="auto"/>
        <w:rPr/>
      </w:pPr>
      <w:r/>
    </w:p>
    <w:p>
      <w:pPr>
        <w:ind w:left="604"/>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第三百八十八条医疗机构不配合严重药品不良反应和群体不良事件相</w:t>
      </w:r>
      <w:r>
        <w:rPr>
          <w:rFonts w:ascii="FangSong" w:hAnsi="FangSong" w:eastAsia="FangSong" w:cs="FangSong"/>
          <w:sz w:val="30"/>
          <w:szCs w:val="30"/>
          <w:b/>
          <w:bCs/>
          <w:spacing w:val="21"/>
        </w:rPr>
        <w:t>关调查工作的</w:t>
      </w:r>
    </w:p>
    <w:p>
      <w:pPr>
        <w:ind w:left="599"/>
        <w:spacing w:before="4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spacing w:line="222" w:lineRule="auto"/>
        <w:sectPr>
          <w:footerReference w:type="default" r:id="rId417"/>
          <w:pgSz w:w="16830" w:h="11900"/>
          <w:pgMar w:top="1011" w:right="1330" w:bottom="1144" w:left="1480" w:header="0" w:footer="802" w:gutter="0"/>
        </w:sectPr>
        <w:rPr>
          <w:rFonts w:ascii="FangSong" w:hAnsi="FangSong" w:eastAsia="FangSong" w:cs="FangSong"/>
          <w:sz w:val="30"/>
          <w:szCs w:val="30"/>
        </w:rPr>
      </w:pPr>
    </w:p>
    <w:p>
      <w:pPr>
        <w:pStyle w:val="BodyText"/>
        <w:spacing w:line="259" w:lineRule="auto"/>
        <w:rPr/>
      </w:pPr>
      <w:r/>
    </w:p>
    <w:p>
      <w:pPr>
        <w:pStyle w:val="BodyText"/>
        <w:spacing w:line="259" w:lineRule="auto"/>
        <w:rPr/>
      </w:pPr>
      <w:r/>
    </w:p>
    <w:p>
      <w:pPr>
        <w:pStyle w:val="BodyText"/>
        <w:spacing w:line="259" w:lineRule="auto"/>
        <w:rPr/>
      </w:pPr>
      <w:r/>
    </w:p>
    <w:p>
      <w:pPr>
        <w:ind w:left="49" w:firstLine="569"/>
        <w:spacing w:before="97" w:line="267" w:lineRule="auto"/>
        <w:rPr>
          <w:rFonts w:ascii="FangSong" w:hAnsi="FangSong" w:eastAsia="FangSong" w:cs="FangSong"/>
          <w:sz w:val="30"/>
          <w:szCs w:val="30"/>
        </w:rPr>
      </w:pPr>
      <w:bookmarkStart w:name="bookmark1066" w:id="439"/>
      <w:bookmarkEnd w:id="439"/>
      <w:r>
        <w:rPr>
          <w:rFonts w:ascii="FangSong" w:hAnsi="FangSong" w:eastAsia="FangSong" w:cs="FangSong"/>
          <w:sz w:val="30"/>
          <w:szCs w:val="30"/>
          <w:spacing w:val="18"/>
        </w:rPr>
        <w:t>《药品不良反应报告和监测管理办法》第六十条第一款第(三)项</w:t>
      </w:r>
      <w:r>
        <w:rPr>
          <w:rFonts w:ascii="FangSong" w:hAnsi="FangSong" w:eastAsia="FangSong" w:cs="FangSong"/>
          <w:sz w:val="30"/>
          <w:szCs w:val="30"/>
          <w:spacing w:val="18"/>
        </w:rPr>
        <w:t xml:space="preserve">  </w:t>
      </w:r>
      <w:r>
        <w:rPr>
          <w:rFonts w:ascii="FangSong" w:hAnsi="FangSong" w:eastAsia="FangSong" w:cs="FangSong"/>
          <w:sz w:val="30"/>
          <w:szCs w:val="30"/>
          <w:spacing w:val="18"/>
        </w:rPr>
        <w:t>医疗机构有下列情形之一的，</w:t>
      </w:r>
      <w:r>
        <w:rPr>
          <w:rFonts w:ascii="FangSong" w:hAnsi="FangSong" w:eastAsia="FangSong" w:cs="FangSong"/>
          <w:sz w:val="30"/>
          <w:szCs w:val="30"/>
          <w:spacing w:val="17"/>
        </w:rPr>
        <w:t xml:space="preserve"> </w:t>
      </w:r>
      <w:r>
        <w:rPr>
          <w:rFonts w:ascii="FangSong" w:hAnsi="FangSong" w:eastAsia="FangSong" w:cs="FangSong"/>
          <w:sz w:val="30"/>
          <w:szCs w:val="30"/>
          <w:spacing w:val="20"/>
        </w:rPr>
        <w:t>由所在地卫生行政部门给予警告，责令限期改正；逾期不改的，处3万元以下的罚款：</w:t>
      </w:r>
    </w:p>
    <w:p>
      <w:pPr>
        <w:ind w:left="769"/>
        <w:spacing w:before="7" w:line="220" w:lineRule="auto"/>
        <w:rPr>
          <w:rFonts w:ascii="FangSong" w:hAnsi="FangSong" w:eastAsia="FangSong" w:cs="FangSong"/>
          <w:sz w:val="30"/>
          <w:szCs w:val="30"/>
        </w:rPr>
      </w:pPr>
      <w:r>
        <w:rPr>
          <w:rFonts w:ascii="FangSong" w:hAnsi="FangSong" w:eastAsia="FangSong" w:cs="FangSong"/>
          <w:sz w:val="30"/>
          <w:szCs w:val="30"/>
          <w:spacing w:val="23"/>
        </w:rPr>
        <w:t>(三)不配合严重药品不良反应和群体不良事件相关调查工作的。</w:t>
      </w:r>
    </w:p>
    <w:p>
      <w:pPr>
        <w:ind w:left="6414"/>
        <w:spacing w:before="254"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699" w:type="dxa"/>
        <w:tblInd w:w="11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974"/>
        <w:gridCol w:w="4301"/>
      </w:tblGrid>
      <w:tr>
        <w:trPr>
          <w:trHeight w:val="562" w:hRule="atLeast"/>
        </w:trPr>
        <w:tc>
          <w:tcPr>
            <w:tcW w:w="1424" w:type="dxa"/>
            <w:vAlign w:val="top"/>
          </w:tcPr>
          <w:p>
            <w:pPr>
              <w:pStyle w:val="TableText"/>
              <w:ind w:left="208"/>
              <w:spacing w:before="162" w:line="220" w:lineRule="auto"/>
              <w:rPr>
                <w:sz w:val="25"/>
                <w:szCs w:val="25"/>
              </w:rPr>
            </w:pPr>
            <w:r>
              <w:rPr>
                <w:sz w:val="25"/>
                <w:szCs w:val="25"/>
                <w:b/>
                <w:bCs/>
                <w:spacing w:val="-5"/>
              </w:rPr>
              <w:t>违法程度</w:t>
            </w:r>
          </w:p>
        </w:tc>
        <w:tc>
          <w:tcPr>
            <w:tcW w:w="7974" w:type="dxa"/>
            <w:vAlign w:val="top"/>
          </w:tcPr>
          <w:p>
            <w:pPr>
              <w:pStyle w:val="TableText"/>
              <w:ind w:left="3424"/>
              <w:spacing w:before="162" w:line="220" w:lineRule="auto"/>
              <w:rPr>
                <w:sz w:val="25"/>
                <w:szCs w:val="25"/>
              </w:rPr>
            </w:pPr>
            <w:r>
              <w:rPr>
                <w:sz w:val="25"/>
                <w:szCs w:val="25"/>
                <w:b/>
                <w:bCs/>
                <w:spacing w:val="-5"/>
              </w:rPr>
              <w:t>情节后果</w:t>
            </w:r>
          </w:p>
        </w:tc>
        <w:tc>
          <w:tcPr>
            <w:tcW w:w="4301" w:type="dxa"/>
            <w:vAlign w:val="top"/>
          </w:tcPr>
          <w:p>
            <w:pPr>
              <w:pStyle w:val="TableText"/>
              <w:ind w:left="1590"/>
              <w:spacing w:before="159" w:line="218" w:lineRule="auto"/>
              <w:rPr>
                <w:sz w:val="25"/>
                <w:szCs w:val="25"/>
              </w:rPr>
            </w:pPr>
            <w:r>
              <w:rPr>
                <w:sz w:val="25"/>
                <w:szCs w:val="25"/>
                <w:b/>
                <w:bCs/>
                <w:spacing w:val="-5"/>
              </w:rPr>
              <w:t>裁量幅度</w:t>
            </w:r>
          </w:p>
        </w:tc>
      </w:tr>
      <w:tr>
        <w:trPr>
          <w:trHeight w:val="647" w:hRule="atLeast"/>
        </w:trPr>
        <w:tc>
          <w:tcPr>
            <w:tcW w:w="1424" w:type="dxa"/>
            <w:vAlign w:val="top"/>
          </w:tcPr>
          <w:p>
            <w:pPr>
              <w:pStyle w:val="TableText"/>
              <w:ind w:left="458"/>
              <w:spacing w:before="201" w:line="221" w:lineRule="auto"/>
              <w:rPr>
                <w:sz w:val="25"/>
                <w:szCs w:val="25"/>
              </w:rPr>
            </w:pPr>
            <w:r>
              <w:rPr>
                <w:sz w:val="25"/>
                <w:szCs w:val="25"/>
                <w:b/>
                <w:bCs/>
                <w:spacing w:val="-10"/>
              </w:rPr>
              <w:t>一般</w:t>
            </w:r>
          </w:p>
        </w:tc>
        <w:tc>
          <w:tcPr>
            <w:tcW w:w="7974" w:type="dxa"/>
            <w:vAlign w:val="top"/>
          </w:tcPr>
          <w:p>
            <w:pPr>
              <w:pStyle w:val="TableText"/>
              <w:ind w:left="110"/>
              <w:spacing w:before="203" w:line="219" w:lineRule="auto"/>
              <w:rPr>
                <w:sz w:val="25"/>
                <w:szCs w:val="25"/>
              </w:rPr>
            </w:pPr>
            <w:r>
              <w:rPr>
                <w:sz w:val="25"/>
                <w:szCs w:val="25"/>
              </w:rPr>
              <w:t>不配合严重药品不良反应和群体不良事件相关调查工作的</w:t>
            </w:r>
          </w:p>
        </w:tc>
        <w:tc>
          <w:tcPr>
            <w:tcW w:w="4301" w:type="dxa"/>
            <w:vAlign w:val="top"/>
          </w:tcPr>
          <w:p>
            <w:pPr>
              <w:pStyle w:val="TableText"/>
              <w:ind w:left="126"/>
              <w:spacing w:before="201" w:line="218" w:lineRule="auto"/>
              <w:rPr>
                <w:sz w:val="25"/>
                <w:szCs w:val="25"/>
              </w:rPr>
            </w:pPr>
            <w:r>
              <w:rPr>
                <w:sz w:val="25"/>
                <w:szCs w:val="25"/>
                <w:spacing w:val="4"/>
              </w:rPr>
              <w:t>给予警告</w:t>
            </w:r>
          </w:p>
        </w:tc>
      </w:tr>
      <w:tr>
        <w:trPr>
          <w:trHeight w:val="671" w:hRule="atLeast"/>
        </w:trPr>
        <w:tc>
          <w:tcPr>
            <w:tcW w:w="1424" w:type="dxa"/>
            <w:vAlign w:val="top"/>
          </w:tcPr>
          <w:p>
            <w:pPr>
              <w:pStyle w:val="TableText"/>
              <w:ind w:left="458"/>
              <w:spacing w:before="283" w:line="220" w:lineRule="auto"/>
              <w:rPr>
                <w:sz w:val="25"/>
                <w:szCs w:val="25"/>
              </w:rPr>
            </w:pPr>
            <w:r>
              <w:rPr>
                <w:sz w:val="25"/>
                <w:szCs w:val="25"/>
                <w:b/>
                <w:bCs/>
                <w:spacing w:val="-6"/>
              </w:rPr>
              <w:t>严重</w:t>
            </w:r>
          </w:p>
        </w:tc>
        <w:tc>
          <w:tcPr>
            <w:tcW w:w="7974" w:type="dxa"/>
            <w:vAlign w:val="top"/>
          </w:tcPr>
          <w:p>
            <w:pPr>
              <w:pStyle w:val="TableText"/>
              <w:spacing w:before="84" w:line="219" w:lineRule="auto"/>
              <w:jc w:val="right"/>
              <w:rPr>
                <w:sz w:val="25"/>
                <w:szCs w:val="25"/>
              </w:rPr>
            </w:pPr>
            <w:r>
              <w:rPr>
                <w:sz w:val="25"/>
                <w:szCs w:val="25"/>
                <w:spacing w:val="-12"/>
              </w:rPr>
              <w:t>不配合严重药品不良反应和群体不良事件相关调查工作的，责令限期改</w:t>
            </w:r>
            <w:r>
              <w:rPr>
                <w:sz w:val="25"/>
                <w:szCs w:val="25"/>
                <w:spacing w:val="-13"/>
              </w:rPr>
              <w:t>正，</w:t>
            </w:r>
          </w:p>
          <w:p>
            <w:pPr>
              <w:pStyle w:val="TableText"/>
              <w:ind w:left="110"/>
              <w:spacing w:before="14" w:line="196" w:lineRule="auto"/>
              <w:rPr>
                <w:sz w:val="25"/>
                <w:szCs w:val="25"/>
              </w:rPr>
            </w:pPr>
            <w:r>
              <w:rPr>
                <w:sz w:val="25"/>
                <w:szCs w:val="25"/>
                <w:color w:val="404040"/>
                <w:spacing w:val="3"/>
              </w:rPr>
              <w:t>逾期不改的</w:t>
            </w:r>
          </w:p>
        </w:tc>
        <w:tc>
          <w:tcPr>
            <w:tcW w:w="4301" w:type="dxa"/>
            <w:vAlign w:val="top"/>
          </w:tcPr>
          <w:p>
            <w:pPr>
              <w:pStyle w:val="TableText"/>
              <w:ind w:left="126"/>
              <w:spacing w:before="214" w:line="218" w:lineRule="auto"/>
              <w:rPr>
                <w:sz w:val="25"/>
                <w:szCs w:val="25"/>
              </w:rPr>
            </w:pPr>
            <w:r>
              <w:rPr>
                <w:sz w:val="25"/>
                <w:szCs w:val="25"/>
                <w:spacing w:val="1"/>
              </w:rPr>
              <w:t>警告，处3万以下罚款</w:t>
            </w:r>
          </w:p>
        </w:tc>
      </w:tr>
    </w:tbl>
    <w:p>
      <w:pPr>
        <w:pStyle w:val="BodyText"/>
        <w:spacing w:line="272" w:lineRule="auto"/>
        <w:rPr/>
      </w:pPr>
      <w:r/>
    </w:p>
    <w:p>
      <w:pPr>
        <w:pStyle w:val="BodyText"/>
        <w:spacing w:line="272" w:lineRule="auto"/>
        <w:rPr/>
      </w:pPr>
      <w:r/>
    </w:p>
    <w:p>
      <w:pPr>
        <w:ind w:left="774"/>
        <w:spacing w:before="98" w:line="223" w:lineRule="auto"/>
        <w:rPr>
          <w:rFonts w:ascii="KaiTi" w:hAnsi="KaiTi" w:eastAsia="KaiTi" w:cs="KaiTi"/>
          <w:sz w:val="30"/>
          <w:szCs w:val="30"/>
        </w:rPr>
      </w:pPr>
      <w:r>
        <w:rPr>
          <w:rFonts w:ascii="KaiTi" w:hAnsi="KaiTi" w:eastAsia="KaiTi" w:cs="KaiTi"/>
          <w:sz w:val="30"/>
          <w:szCs w:val="30"/>
          <w:b/>
          <w:bCs/>
          <w:spacing w:val="20"/>
        </w:rPr>
        <w:t>(三十六</w:t>
      </w:r>
      <w:r>
        <w:rPr>
          <w:rFonts w:ascii="KaiTi" w:hAnsi="KaiTi" w:eastAsia="KaiTi" w:cs="KaiTi"/>
          <w:sz w:val="30"/>
          <w:szCs w:val="30"/>
          <w:spacing w:val="-42"/>
        </w:rPr>
        <w:t xml:space="preserve"> </w:t>
      </w:r>
      <w:r>
        <w:rPr>
          <w:rFonts w:ascii="KaiTi" w:hAnsi="KaiTi" w:eastAsia="KaiTi" w:cs="KaiTi"/>
          <w:sz w:val="30"/>
          <w:szCs w:val="30"/>
          <w:b/>
          <w:bCs/>
          <w:spacing w:val="20"/>
        </w:rPr>
        <w:t>)《涉及人的生物医学研究伦理审查办法》</w:t>
      </w:r>
    </w:p>
    <w:p>
      <w:pPr>
        <w:ind w:left="4" w:right="254" w:firstLine="660"/>
        <w:spacing w:before="329" w:line="276" w:lineRule="auto"/>
        <w:rPr>
          <w:rFonts w:ascii="FangSong" w:hAnsi="FangSong" w:eastAsia="FangSong" w:cs="FangSong"/>
          <w:sz w:val="30"/>
          <w:szCs w:val="30"/>
        </w:rPr>
      </w:pPr>
      <w:r>
        <w:rPr>
          <w:rFonts w:ascii="FangSong" w:hAnsi="FangSong" w:eastAsia="FangSong" w:cs="FangSong"/>
          <w:sz w:val="30"/>
          <w:szCs w:val="30"/>
          <w:b/>
          <w:bCs/>
          <w:spacing w:val="17"/>
        </w:rPr>
        <w:t>第三百八十九条医疗卫生机构未按照规定设立伦理委员会</w:t>
      </w:r>
      <w:r>
        <w:rPr>
          <w:rFonts w:ascii="FangSong" w:hAnsi="FangSong" w:eastAsia="FangSong" w:cs="FangSong"/>
          <w:sz w:val="30"/>
          <w:szCs w:val="30"/>
          <w:b/>
          <w:bCs/>
          <w:spacing w:val="16"/>
        </w:rPr>
        <w:t>擅自开展涉及人的生物医学研究，逾</w:t>
      </w:r>
      <w:r>
        <w:rPr>
          <w:rFonts w:ascii="FangSong" w:hAnsi="FangSong" w:eastAsia="FangSong" w:cs="FangSong"/>
          <w:sz w:val="30"/>
          <w:szCs w:val="30"/>
        </w:rPr>
        <w:t xml:space="preserve"> </w:t>
      </w:r>
      <w:r>
        <w:rPr>
          <w:rFonts w:ascii="FangSong" w:hAnsi="FangSong" w:eastAsia="FangSong" w:cs="FangSong"/>
          <w:sz w:val="30"/>
          <w:szCs w:val="30"/>
          <w:b/>
          <w:bCs/>
          <w:spacing w:val="7"/>
        </w:rPr>
        <w:t>期不改的</w:t>
      </w:r>
    </w:p>
    <w:p>
      <w:pPr>
        <w:ind w:left="649"/>
        <w:spacing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right="29" w:firstLine="619"/>
        <w:spacing w:before="104" w:line="266" w:lineRule="auto"/>
        <w:jc w:val="both"/>
        <w:rPr>
          <w:rFonts w:ascii="FangSong" w:hAnsi="FangSong" w:eastAsia="FangSong" w:cs="FangSong"/>
          <w:sz w:val="30"/>
          <w:szCs w:val="30"/>
        </w:rPr>
      </w:pPr>
      <w:r>
        <w:rPr>
          <w:rFonts w:ascii="FangSong" w:hAnsi="FangSong" w:eastAsia="FangSong" w:cs="FangSong"/>
          <w:sz w:val="30"/>
          <w:szCs w:val="30"/>
          <w:spacing w:val="24"/>
        </w:rPr>
        <w:t>《涉及人的生物医学研究伦理审查办法》第四十五条医疗卫生机构未按照规定设立伦理委员会</w:t>
      </w:r>
      <w:r>
        <w:rPr>
          <w:rFonts w:ascii="FangSong" w:hAnsi="FangSong" w:eastAsia="FangSong" w:cs="FangSong"/>
          <w:sz w:val="30"/>
          <w:szCs w:val="30"/>
          <w:spacing w:val="5"/>
        </w:rPr>
        <w:t xml:space="preserve"> </w:t>
      </w:r>
      <w:r>
        <w:rPr>
          <w:rFonts w:ascii="FangSong" w:hAnsi="FangSong" w:eastAsia="FangSong" w:cs="FangSong"/>
          <w:sz w:val="30"/>
          <w:szCs w:val="30"/>
          <w:spacing w:val="18"/>
        </w:rPr>
        <w:t>擅自开展涉及人的生物医学研究的，由县级以上地方卫生计生行政部门责令限期整改；逾期不改的，</w:t>
      </w:r>
      <w:r>
        <w:rPr>
          <w:rFonts w:ascii="FangSong" w:hAnsi="FangSong" w:eastAsia="FangSong" w:cs="FangSong"/>
          <w:sz w:val="30"/>
          <w:szCs w:val="30"/>
          <w:spacing w:val="7"/>
        </w:rPr>
        <w:t xml:space="preserve"> </w:t>
      </w:r>
      <w:r>
        <w:rPr>
          <w:rFonts w:ascii="FangSong" w:hAnsi="FangSong" w:eastAsia="FangSong" w:cs="FangSong"/>
          <w:sz w:val="30"/>
          <w:szCs w:val="30"/>
          <w:spacing w:val="20"/>
        </w:rPr>
        <w:t>由县级以上地方卫生计生行政部门予以警告，并可处以3万元以下罚款；对机构主要负责人和其他责</w:t>
      </w:r>
      <w:r>
        <w:rPr>
          <w:rFonts w:ascii="FangSong" w:hAnsi="FangSong" w:eastAsia="FangSong" w:cs="FangSong"/>
          <w:sz w:val="30"/>
          <w:szCs w:val="30"/>
          <w:spacing w:val="6"/>
        </w:rPr>
        <w:t xml:space="preserve"> </w:t>
      </w:r>
      <w:r>
        <w:rPr>
          <w:rFonts w:ascii="FangSong" w:hAnsi="FangSong" w:eastAsia="FangSong" w:cs="FangSong"/>
          <w:sz w:val="30"/>
          <w:szCs w:val="30"/>
          <w:spacing w:val="12"/>
        </w:rPr>
        <w:t>任人员，依法给予处分。</w:t>
      </w:r>
    </w:p>
    <w:p>
      <w:pPr>
        <w:spacing w:line="266" w:lineRule="auto"/>
        <w:sectPr>
          <w:footerReference w:type="default" r:id="rId418"/>
          <w:pgSz w:w="16830" w:h="11900"/>
          <w:pgMar w:top="1011" w:right="1360" w:bottom="1108" w:left="1439" w:header="0" w:footer="775" w:gutter="0"/>
        </w:sectPr>
        <w:rPr>
          <w:rFonts w:ascii="FangSong" w:hAnsi="FangSong" w:eastAsia="FangSong" w:cs="FangSong"/>
          <w:sz w:val="30"/>
          <w:szCs w:val="30"/>
        </w:rPr>
      </w:pPr>
    </w:p>
    <w:p>
      <w:pPr>
        <w:pStyle w:val="BodyText"/>
        <w:spacing w:line="260" w:lineRule="auto"/>
        <w:rPr/>
      </w:pPr>
      <w:r/>
    </w:p>
    <w:p>
      <w:pPr>
        <w:pStyle w:val="BodyText"/>
        <w:spacing w:line="260" w:lineRule="auto"/>
        <w:rPr/>
      </w:pPr>
      <w:r/>
    </w:p>
    <w:p>
      <w:pPr>
        <w:pStyle w:val="BodyText"/>
        <w:spacing w:line="261" w:lineRule="auto"/>
        <w:rPr/>
      </w:pPr>
      <w:r/>
    </w:p>
    <w:p>
      <w:pPr>
        <w:ind w:left="6449"/>
        <w:spacing w:before="91" w:line="220" w:lineRule="auto"/>
        <w:rPr>
          <w:rFonts w:ascii="SimSun" w:hAnsi="SimSun" w:eastAsia="SimSun" w:cs="SimSun"/>
          <w:sz w:val="28"/>
          <w:szCs w:val="28"/>
        </w:rPr>
      </w:pPr>
      <w:bookmarkStart w:name="bookmark1067" w:id="440"/>
      <w:bookmarkEnd w:id="440"/>
      <w:r>
        <w:rPr>
          <w:rFonts w:ascii="SimSun" w:hAnsi="SimSun" w:eastAsia="SimSun" w:cs="SimSun"/>
          <w:sz w:val="28"/>
          <w:szCs w:val="28"/>
          <w:b/>
          <w:bCs/>
          <w:spacing w:val="-6"/>
        </w:rPr>
        <w:t>裁量标准</w:t>
      </w:r>
    </w:p>
    <w:p>
      <w:pPr>
        <w:spacing w:line="135" w:lineRule="auto"/>
        <w:rPr>
          <w:rFonts w:ascii="Arial"/>
          <w:sz w:val="2"/>
        </w:rPr>
      </w:pPr>
      <w:r>
        <w:rPr>
          <w:rFonts w:ascii="Arial"/>
          <w:sz w:val="2"/>
        </w:rPr>
      </w:r>
    </w:p>
    <w:tbl>
      <w:tblPr>
        <w:tblStyle w:val="TableNormal"/>
        <w:tblW w:w="140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8334"/>
        <w:gridCol w:w="4241"/>
      </w:tblGrid>
      <w:tr>
        <w:trPr>
          <w:trHeight w:val="560" w:hRule="atLeast"/>
        </w:trPr>
        <w:tc>
          <w:tcPr>
            <w:tcW w:w="1434" w:type="dxa"/>
            <w:vAlign w:val="top"/>
          </w:tcPr>
          <w:p>
            <w:pPr>
              <w:pStyle w:val="TableText"/>
              <w:ind w:left="188"/>
              <w:spacing w:before="152" w:line="220" w:lineRule="auto"/>
              <w:rPr>
                <w:sz w:val="26"/>
                <w:szCs w:val="26"/>
              </w:rPr>
            </w:pPr>
            <w:r>
              <w:rPr>
                <w:sz w:val="26"/>
                <w:szCs w:val="26"/>
                <w:b/>
                <w:bCs/>
                <w:spacing w:val="-5"/>
              </w:rPr>
              <w:t>违法程度</w:t>
            </w:r>
          </w:p>
        </w:tc>
        <w:tc>
          <w:tcPr>
            <w:tcW w:w="8334" w:type="dxa"/>
            <w:vAlign w:val="top"/>
          </w:tcPr>
          <w:p>
            <w:pPr>
              <w:pStyle w:val="TableText"/>
              <w:ind w:left="3644"/>
              <w:spacing w:before="152" w:line="220" w:lineRule="auto"/>
              <w:rPr>
                <w:sz w:val="26"/>
                <w:szCs w:val="26"/>
              </w:rPr>
            </w:pPr>
            <w:r>
              <w:rPr>
                <w:sz w:val="26"/>
                <w:szCs w:val="26"/>
                <w:b/>
                <w:bCs/>
                <w:spacing w:val="-5"/>
              </w:rPr>
              <w:t>情节后果</w:t>
            </w:r>
          </w:p>
        </w:tc>
        <w:tc>
          <w:tcPr>
            <w:tcW w:w="4241" w:type="dxa"/>
            <w:vAlign w:val="top"/>
          </w:tcPr>
          <w:p>
            <w:pPr>
              <w:pStyle w:val="TableText"/>
              <w:ind w:left="1560"/>
              <w:spacing w:before="149" w:line="218" w:lineRule="auto"/>
              <w:rPr>
                <w:sz w:val="26"/>
                <w:szCs w:val="26"/>
              </w:rPr>
            </w:pPr>
            <w:r>
              <w:rPr>
                <w:sz w:val="26"/>
                <w:szCs w:val="26"/>
                <w:b/>
                <w:bCs/>
                <w:spacing w:val="-5"/>
              </w:rPr>
              <w:t>裁量幅度</w:t>
            </w:r>
          </w:p>
        </w:tc>
      </w:tr>
      <w:tr>
        <w:trPr>
          <w:trHeight w:val="719" w:hRule="atLeast"/>
        </w:trPr>
        <w:tc>
          <w:tcPr>
            <w:tcW w:w="1434" w:type="dxa"/>
            <w:vAlign w:val="top"/>
          </w:tcPr>
          <w:p>
            <w:pPr>
              <w:pStyle w:val="TableText"/>
              <w:ind w:left="448"/>
              <w:spacing w:before="232" w:line="220" w:lineRule="auto"/>
              <w:rPr>
                <w:sz w:val="26"/>
                <w:szCs w:val="26"/>
              </w:rPr>
            </w:pPr>
            <w:r>
              <w:rPr>
                <w:sz w:val="26"/>
                <w:szCs w:val="26"/>
                <w:b/>
                <w:bCs/>
                <w:spacing w:val="-6"/>
              </w:rPr>
              <w:t>严重</w:t>
            </w:r>
          </w:p>
        </w:tc>
        <w:tc>
          <w:tcPr>
            <w:tcW w:w="8334" w:type="dxa"/>
            <w:vAlign w:val="top"/>
          </w:tcPr>
          <w:p>
            <w:pPr>
              <w:pStyle w:val="TableText"/>
              <w:spacing w:before="230" w:line="219" w:lineRule="auto"/>
              <w:jc w:val="right"/>
              <w:rPr>
                <w:sz w:val="26"/>
                <w:szCs w:val="26"/>
              </w:rPr>
            </w:pPr>
            <w:r>
              <w:rPr>
                <w:sz w:val="26"/>
                <w:szCs w:val="26"/>
                <w:b/>
                <w:bCs/>
                <w:spacing w:val="-11"/>
              </w:rPr>
              <w:t>未按照规定设立伦理委员会擅自开展涉及人的生物医学研究，且逾期不改的</w:t>
            </w:r>
          </w:p>
        </w:tc>
        <w:tc>
          <w:tcPr>
            <w:tcW w:w="4241" w:type="dxa"/>
            <w:vAlign w:val="top"/>
          </w:tcPr>
          <w:p>
            <w:pPr>
              <w:pStyle w:val="TableText"/>
              <w:ind w:left="110"/>
              <w:spacing w:before="229" w:line="218" w:lineRule="auto"/>
              <w:rPr>
                <w:sz w:val="26"/>
                <w:szCs w:val="26"/>
              </w:rPr>
            </w:pPr>
            <w:r>
              <w:rPr>
                <w:sz w:val="26"/>
                <w:szCs w:val="26"/>
                <w:b/>
                <w:bCs/>
                <w:spacing w:val="-4"/>
              </w:rPr>
              <w:t>警告，并处以3万元以下罚款</w:t>
            </w:r>
          </w:p>
        </w:tc>
      </w:tr>
    </w:tbl>
    <w:p>
      <w:pPr>
        <w:pStyle w:val="BodyText"/>
        <w:spacing w:line="243" w:lineRule="auto"/>
        <w:rPr/>
      </w:pPr>
      <w:r/>
    </w:p>
    <w:p>
      <w:pPr>
        <w:pStyle w:val="BodyText"/>
        <w:spacing w:line="243" w:lineRule="auto"/>
        <w:rPr/>
      </w:pPr>
      <w:r/>
    </w:p>
    <w:p>
      <w:pPr>
        <w:ind w:left="699"/>
        <w:spacing w:before="98" w:line="220" w:lineRule="auto"/>
        <w:rPr>
          <w:rFonts w:ascii="FangSong" w:hAnsi="FangSong" w:eastAsia="FangSong" w:cs="FangSong"/>
          <w:sz w:val="30"/>
          <w:szCs w:val="30"/>
        </w:rPr>
      </w:pPr>
      <w:r>
        <w:rPr>
          <w:rFonts w:ascii="FangSong" w:hAnsi="FangSong" w:eastAsia="FangSong" w:cs="FangSong"/>
          <w:sz w:val="30"/>
          <w:szCs w:val="30"/>
          <w:b/>
          <w:bCs/>
          <w:spacing w:val="17"/>
        </w:rPr>
        <w:t>第三百九十条</w:t>
      </w:r>
      <w:r>
        <w:rPr>
          <w:rFonts w:ascii="FangSong" w:hAnsi="FangSong" w:eastAsia="FangSong" w:cs="FangSong"/>
          <w:sz w:val="30"/>
          <w:szCs w:val="30"/>
          <w:spacing w:val="7"/>
        </w:rPr>
        <w:t xml:space="preserve">  </w:t>
      </w:r>
      <w:r>
        <w:rPr>
          <w:rFonts w:ascii="FangSong" w:hAnsi="FangSong" w:eastAsia="FangSong" w:cs="FangSong"/>
          <w:sz w:val="30"/>
          <w:szCs w:val="30"/>
          <w:b/>
          <w:bCs/>
          <w:spacing w:val="17"/>
        </w:rPr>
        <w:t>医疗卫生机构及其伦理委员会不符合相关管理规定的</w:t>
      </w:r>
    </w:p>
    <w:p>
      <w:pPr>
        <w:ind w:left="614"/>
        <w:spacing w:before="18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45" w:right="22" w:firstLine="539"/>
        <w:spacing w:before="173" w:line="265" w:lineRule="auto"/>
        <w:jc w:val="both"/>
        <w:rPr>
          <w:rFonts w:ascii="FangSong" w:hAnsi="FangSong" w:eastAsia="FangSong" w:cs="FangSong"/>
          <w:sz w:val="30"/>
          <w:szCs w:val="30"/>
        </w:rPr>
      </w:pPr>
      <w:r>
        <w:rPr>
          <w:rFonts w:ascii="FangSong" w:hAnsi="FangSong" w:eastAsia="FangSong" w:cs="FangSong"/>
          <w:sz w:val="30"/>
          <w:szCs w:val="30"/>
          <w:spacing w:val="18"/>
        </w:rPr>
        <w:t>《涉及人的生物医学研究伦理审查办法》第四十六条医疗卫生机构及其伦理委员会违反本办法规</w:t>
      </w:r>
      <w:r>
        <w:rPr>
          <w:rFonts w:ascii="FangSong" w:hAnsi="FangSong" w:eastAsia="FangSong" w:cs="FangSong"/>
          <w:sz w:val="30"/>
          <w:szCs w:val="30"/>
          <w:spacing w:val="3"/>
        </w:rPr>
        <w:t xml:space="preserve"> </w:t>
      </w:r>
      <w:r>
        <w:rPr>
          <w:rFonts w:ascii="FangSong" w:hAnsi="FangSong" w:eastAsia="FangSong" w:cs="FangSong"/>
          <w:sz w:val="30"/>
          <w:szCs w:val="30"/>
          <w:spacing w:val="16"/>
        </w:rPr>
        <w:t>定，有下列情形之一的，由县级以上地方卫生计生行政部门责令限期整改</w:t>
      </w:r>
      <w:r>
        <w:rPr>
          <w:rFonts w:ascii="FangSong" w:hAnsi="FangSong" w:eastAsia="FangSong" w:cs="FangSong"/>
          <w:sz w:val="30"/>
          <w:szCs w:val="30"/>
          <w:spacing w:val="15"/>
        </w:rPr>
        <w:t>，并可根据情节轻重给予通</w:t>
      </w:r>
      <w:r>
        <w:rPr>
          <w:rFonts w:ascii="FangSong" w:hAnsi="FangSong" w:eastAsia="FangSong" w:cs="FangSong"/>
          <w:sz w:val="30"/>
          <w:szCs w:val="30"/>
        </w:rPr>
        <w:t xml:space="preserve"> </w:t>
      </w:r>
      <w:r>
        <w:rPr>
          <w:rFonts w:ascii="FangSong" w:hAnsi="FangSong" w:eastAsia="FangSong" w:cs="FangSong"/>
          <w:sz w:val="30"/>
          <w:szCs w:val="30"/>
          <w:spacing w:val="23"/>
        </w:rPr>
        <w:t>报批评、警告；对机构主要负责人和其他责任人员，依法给予处分：(一</w:t>
      </w:r>
      <w:r>
        <w:rPr>
          <w:rFonts w:ascii="FangSong" w:hAnsi="FangSong" w:eastAsia="FangSong" w:cs="FangSong"/>
          <w:sz w:val="30"/>
          <w:szCs w:val="30"/>
          <w:spacing w:val="22"/>
        </w:rPr>
        <w:t>)伦理委员会组成、委员资</w:t>
      </w:r>
      <w:r>
        <w:rPr>
          <w:rFonts w:ascii="FangSong" w:hAnsi="FangSong" w:eastAsia="FangSong" w:cs="FangSong"/>
          <w:sz w:val="30"/>
          <w:szCs w:val="30"/>
        </w:rPr>
        <w:t xml:space="preserve"> </w:t>
      </w:r>
      <w:r>
        <w:rPr>
          <w:rFonts w:ascii="FangSong" w:hAnsi="FangSong" w:eastAsia="FangSong" w:cs="FangSong"/>
          <w:sz w:val="30"/>
          <w:szCs w:val="30"/>
          <w:spacing w:val="31"/>
        </w:rPr>
        <w:t>质不符合要求的；(二)未建立伦理审查工作制度或者操作规程的；(</w:t>
      </w:r>
      <w:r>
        <w:rPr>
          <w:rFonts w:ascii="FangSong" w:hAnsi="FangSong" w:eastAsia="FangSong" w:cs="FangSong"/>
          <w:sz w:val="30"/>
          <w:szCs w:val="30"/>
          <w:spacing w:val="30"/>
        </w:rPr>
        <w:t>三)未按照伦理审查原则和相</w:t>
      </w:r>
      <w:r>
        <w:rPr>
          <w:rFonts w:ascii="FangSong" w:hAnsi="FangSong" w:eastAsia="FangSong" w:cs="FangSong"/>
          <w:sz w:val="30"/>
          <w:szCs w:val="30"/>
        </w:rPr>
        <w:t xml:space="preserve"> </w:t>
      </w:r>
      <w:r>
        <w:rPr>
          <w:rFonts w:ascii="FangSong" w:hAnsi="FangSong" w:eastAsia="FangSong" w:cs="FangSong"/>
          <w:sz w:val="30"/>
          <w:szCs w:val="30"/>
          <w:spacing w:val="30"/>
        </w:rPr>
        <w:t>关规章制度进行审查的；(四)泄露研究项目方案、受试者个人信息以及委员审查意见的；(五</w:t>
      </w:r>
      <w:r>
        <w:rPr>
          <w:rFonts w:ascii="FangSong" w:hAnsi="FangSong" w:eastAsia="FangSong" w:cs="FangSong"/>
          <w:sz w:val="30"/>
          <w:szCs w:val="30"/>
          <w:spacing w:val="29"/>
        </w:rPr>
        <w:t>)未</w:t>
      </w:r>
      <w:r>
        <w:rPr>
          <w:rFonts w:ascii="FangSong" w:hAnsi="FangSong" w:eastAsia="FangSong" w:cs="FangSong"/>
          <w:sz w:val="30"/>
          <w:szCs w:val="30"/>
        </w:rPr>
        <w:t xml:space="preserve"> </w:t>
      </w:r>
      <w:r>
        <w:rPr>
          <w:rFonts w:ascii="FangSong" w:hAnsi="FangSong" w:eastAsia="FangSong" w:cs="FangSong"/>
          <w:sz w:val="30"/>
          <w:szCs w:val="30"/>
          <w:spacing w:val="17"/>
        </w:rPr>
        <w:t>按照规定进行备案的；</w:t>
      </w:r>
      <w:r>
        <w:rPr>
          <w:rFonts w:ascii="FangSong" w:hAnsi="FangSong" w:eastAsia="FangSong" w:cs="FangSong"/>
          <w:sz w:val="30"/>
          <w:szCs w:val="30"/>
          <w:spacing w:val="17"/>
        </w:rPr>
        <w:t xml:space="preserve">  </w:t>
      </w:r>
      <w:r>
        <w:rPr>
          <w:rFonts w:ascii="FangSong" w:hAnsi="FangSong" w:eastAsia="FangSong" w:cs="FangSong"/>
          <w:sz w:val="30"/>
          <w:szCs w:val="30"/>
          <w:spacing w:val="17"/>
        </w:rPr>
        <w:t>(六)其他违反本办法规定的情形。</w:t>
      </w:r>
    </w:p>
    <w:p>
      <w:pPr>
        <w:ind w:left="6189"/>
        <w:spacing w:before="236"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31" w:lineRule="exact"/>
        <w:rPr/>
      </w:pPr>
      <w:r/>
    </w:p>
    <w:tbl>
      <w:tblPr>
        <w:tblStyle w:val="TableNormal"/>
        <w:tblW w:w="1400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8354"/>
        <w:gridCol w:w="4212"/>
      </w:tblGrid>
      <w:tr>
        <w:trPr>
          <w:trHeight w:val="799" w:hRule="atLeast"/>
        </w:trPr>
        <w:tc>
          <w:tcPr>
            <w:tcW w:w="1434" w:type="dxa"/>
            <w:vAlign w:val="top"/>
          </w:tcPr>
          <w:p>
            <w:pPr>
              <w:pStyle w:val="TableText"/>
              <w:ind w:left="109"/>
              <w:spacing w:before="263" w:line="220" w:lineRule="auto"/>
              <w:rPr>
                <w:sz w:val="28"/>
                <w:szCs w:val="28"/>
              </w:rPr>
            </w:pPr>
            <w:r>
              <w:rPr>
                <w:sz w:val="28"/>
                <w:szCs w:val="28"/>
                <w:b/>
                <w:bCs/>
                <w:spacing w:val="-5"/>
              </w:rPr>
              <w:t>违法程度</w:t>
            </w:r>
          </w:p>
        </w:tc>
        <w:tc>
          <w:tcPr>
            <w:tcW w:w="8354" w:type="dxa"/>
            <w:vAlign w:val="top"/>
          </w:tcPr>
          <w:p>
            <w:pPr>
              <w:pStyle w:val="TableText"/>
              <w:ind w:left="3605"/>
              <w:spacing w:before="263" w:line="220" w:lineRule="auto"/>
              <w:rPr>
                <w:sz w:val="28"/>
                <w:szCs w:val="28"/>
              </w:rPr>
            </w:pPr>
            <w:r>
              <w:rPr>
                <w:sz w:val="28"/>
                <w:szCs w:val="28"/>
                <w:b/>
                <w:bCs/>
                <w:spacing w:val="-1"/>
              </w:rPr>
              <w:t>情节后果</w:t>
            </w:r>
          </w:p>
        </w:tc>
        <w:tc>
          <w:tcPr>
            <w:tcW w:w="4212" w:type="dxa"/>
            <w:vAlign w:val="top"/>
          </w:tcPr>
          <w:p>
            <w:pPr>
              <w:pStyle w:val="TableText"/>
              <w:ind w:left="1551"/>
              <w:spacing w:before="259" w:line="218" w:lineRule="auto"/>
              <w:rPr>
                <w:sz w:val="28"/>
                <w:szCs w:val="28"/>
              </w:rPr>
            </w:pPr>
            <w:r>
              <w:rPr>
                <w:sz w:val="28"/>
                <w:szCs w:val="28"/>
                <w:b/>
                <w:bCs/>
                <w:spacing w:val="-1"/>
              </w:rPr>
              <w:t>裁量幅度</w:t>
            </w:r>
          </w:p>
        </w:tc>
      </w:tr>
      <w:tr>
        <w:trPr>
          <w:trHeight w:val="641" w:hRule="atLeast"/>
        </w:trPr>
        <w:tc>
          <w:tcPr>
            <w:tcW w:w="1434" w:type="dxa"/>
            <w:vAlign w:val="top"/>
          </w:tcPr>
          <w:p>
            <w:pPr>
              <w:pStyle w:val="TableText"/>
              <w:ind w:left="109"/>
              <w:spacing w:before="115" w:line="221" w:lineRule="auto"/>
              <w:rPr>
                <w:sz w:val="28"/>
                <w:szCs w:val="28"/>
              </w:rPr>
            </w:pPr>
            <w:r>
              <w:rPr>
                <w:sz w:val="28"/>
                <w:szCs w:val="28"/>
                <w:b/>
                <w:bCs/>
                <w:spacing w:val="-11"/>
              </w:rPr>
              <w:t>一般</w:t>
            </w:r>
          </w:p>
        </w:tc>
        <w:tc>
          <w:tcPr>
            <w:tcW w:w="8354" w:type="dxa"/>
            <w:vAlign w:val="top"/>
          </w:tcPr>
          <w:p>
            <w:pPr>
              <w:pStyle w:val="TableText"/>
              <w:ind w:left="95"/>
              <w:spacing w:before="94" w:line="220" w:lineRule="auto"/>
              <w:rPr>
                <w:sz w:val="28"/>
                <w:szCs w:val="28"/>
              </w:rPr>
            </w:pPr>
            <w:r>
              <w:rPr>
                <w:sz w:val="28"/>
                <w:szCs w:val="28"/>
                <w:b/>
                <w:bCs/>
                <w:spacing w:val="-2"/>
              </w:rPr>
              <w:t>有1-2种上述情形的</w:t>
            </w:r>
          </w:p>
        </w:tc>
        <w:tc>
          <w:tcPr>
            <w:tcW w:w="4212" w:type="dxa"/>
            <w:vAlign w:val="top"/>
          </w:tcPr>
          <w:p>
            <w:pPr>
              <w:pStyle w:val="TableText"/>
              <w:ind w:left="121"/>
              <w:spacing w:before="123" w:line="219" w:lineRule="auto"/>
              <w:rPr>
                <w:sz w:val="28"/>
                <w:szCs w:val="28"/>
              </w:rPr>
            </w:pPr>
            <w:r>
              <w:rPr>
                <w:sz w:val="28"/>
                <w:szCs w:val="28"/>
                <w:b/>
                <w:bCs/>
                <w:spacing w:val="-5"/>
              </w:rPr>
              <w:t>通报批评</w:t>
            </w:r>
          </w:p>
        </w:tc>
      </w:tr>
    </w:tbl>
    <w:p>
      <w:pPr>
        <w:pStyle w:val="BodyText"/>
        <w:rPr/>
      </w:pPr>
      <w:r/>
    </w:p>
    <w:p>
      <w:pPr>
        <w:sectPr>
          <w:footerReference w:type="default" r:id="rId419"/>
          <w:pgSz w:w="16830" w:h="11900"/>
          <w:pgMar w:top="1011" w:right="1405" w:bottom="1134" w:left="1405" w:header="0" w:footer="792" w:gutter="0"/>
        </w:sectPr>
        <w:rPr/>
      </w:pPr>
    </w:p>
    <w:p>
      <w:pPr>
        <w:spacing w:before="13"/>
        <w:rPr/>
      </w:pPr>
      <w:r/>
    </w:p>
    <w:p>
      <w:pPr>
        <w:spacing w:before="13"/>
        <w:rPr/>
      </w:pPr>
      <w:r/>
    </w:p>
    <w:p>
      <w:pPr>
        <w:spacing w:before="13"/>
        <w:rPr/>
      </w:pPr>
      <w:r/>
    </w:p>
    <w:tbl>
      <w:tblPr>
        <w:tblStyle w:val="TableNormal"/>
        <w:tblW w:w="139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8364"/>
        <w:gridCol w:w="4192"/>
      </w:tblGrid>
      <w:tr>
        <w:trPr>
          <w:trHeight w:val="669" w:hRule="atLeast"/>
        </w:trPr>
        <w:tc>
          <w:tcPr>
            <w:tcW w:w="1434" w:type="dxa"/>
            <w:vAlign w:val="top"/>
          </w:tcPr>
          <w:p>
            <w:pPr>
              <w:pStyle w:val="TableText"/>
              <w:ind w:left="108"/>
              <w:spacing w:before="102" w:line="220" w:lineRule="auto"/>
              <w:rPr>
                <w:sz w:val="25"/>
                <w:szCs w:val="25"/>
              </w:rPr>
            </w:pPr>
            <w:r>
              <w:rPr>
                <w:sz w:val="25"/>
                <w:szCs w:val="25"/>
                <w:b/>
                <w:bCs/>
                <w:spacing w:val="-6"/>
              </w:rPr>
              <w:t>严重</w:t>
            </w:r>
          </w:p>
        </w:tc>
        <w:tc>
          <w:tcPr>
            <w:tcW w:w="8364" w:type="dxa"/>
            <w:vAlign w:val="top"/>
          </w:tcPr>
          <w:p>
            <w:pPr>
              <w:pStyle w:val="TableText"/>
              <w:ind w:left="111"/>
              <w:spacing w:before="106" w:line="220" w:lineRule="auto"/>
              <w:rPr>
                <w:sz w:val="25"/>
                <w:szCs w:val="25"/>
              </w:rPr>
            </w:pPr>
            <w:r>
              <w:rPr>
                <w:sz w:val="25"/>
                <w:szCs w:val="25"/>
                <w:spacing w:val="1"/>
              </w:rPr>
              <w:t>有3种及以上上述情形的</w:t>
            </w:r>
          </w:p>
        </w:tc>
        <w:tc>
          <w:tcPr>
            <w:tcW w:w="4192" w:type="dxa"/>
            <w:vAlign w:val="top"/>
          </w:tcPr>
          <w:p>
            <w:pPr>
              <w:pStyle w:val="TableText"/>
              <w:ind w:left="107"/>
              <w:spacing w:before="103" w:line="218" w:lineRule="auto"/>
              <w:rPr>
                <w:sz w:val="25"/>
                <w:szCs w:val="25"/>
              </w:rPr>
            </w:pPr>
            <w:r>
              <w:rPr>
                <w:sz w:val="25"/>
                <w:szCs w:val="25"/>
                <w:color w:val="505060"/>
                <w:spacing w:val="8"/>
              </w:rPr>
              <w:t>警告</w:t>
            </w:r>
          </w:p>
        </w:tc>
      </w:tr>
    </w:tbl>
    <w:p>
      <w:pPr>
        <w:pStyle w:val="BodyText"/>
        <w:spacing w:line="304" w:lineRule="auto"/>
        <w:rPr/>
      </w:pPr>
      <w:r/>
    </w:p>
    <w:p>
      <w:pPr>
        <w:pStyle w:val="BodyText"/>
        <w:spacing w:line="305" w:lineRule="auto"/>
        <w:rPr/>
      </w:pPr>
      <w:r/>
    </w:p>
    <w:p>
      <w:pPr>
        <w:ind w:left="679"/>
        <w:spacing w:before="94" w:line="220" w:lineRule="auto"/>
        <w:rPr>
          <w:rFonts w:ascii="FangSong" w:hAnsi="FangSong" w:eastAsia="FangSong" w:cs="FangSong"/>
          <w:sz w:val="29"/>
          <w:szCs w:val="29"/>
        </w:rPr>
      </w:pPr>
      <w:r>
        <w:rPr>
          <w:rFonts w:ascii="FangSong" w:hAnsi="FangSong" w:eastAsia="FangSong" w:cs="FangSong"/>
          <w:sz w:val="29"/>
          <w:szCs w:val="29"/>
          <w:b/>
          <w:bCs/>
          <w:spacing w:val="24"/>
        </w:rPr>
        <w:t>第三百九十一条</w:t>
      </w:r>
      <w:r>
        <w:rPr>
          <w:rFonts w:ascii="FangSong" w:hAnsi="FangSong" w:eastAsia="FangSong" w:cs="FangSong"/>
          <w:sz w:val="29"/>
          <w:szCs w:val="29"/>
          <w:spacing w:val="24"/>
        </w:rPr>
        <w:t xml:space="preserve">  </w:t>
      </w:r>
      <w:r>
        <w:rPr>
          <w:rFonts w:ascii="FangSong" w:hAnsi="FangSong" w:eastAsia="FangSong" w:cs="FangSong"/>
          <w:sz w:val="29"/>
          <w:szCs w:val="29"/>
          <w:b/>
          <w:bCs/>
          <w:spacing w:val="24"/>
        </w:rPr>
        <w:t>项目研究者违反相关规定的</w:t>
      </w:r>
    </w:p>
    <w:p>
      <w:pPr>
        <w:ind w:left="585"/>
        <w:spacing w:before="202" w:line="222" w:lineRule="auto"/>
        <w:rPr>
          <w:rFonts w:ascii="FangSong" w:hAnsi="FangSong" w:eastAsia="FangSong" w:cs="FangSong"/>
          <w:sz w:val="29"/>
          <w:szCs w:val="29"/>
        </w:rPr>
      </w:pPr>
      <w:r>
        <w:rPr>
          <w:rFonts w:ascii="FangSong" w:hAnsi="FangSong" w:eastAsia="FangSong" w:cs="FangSong"/>
          <w:sz w:val="29"/>
          <w:szCs w:val="29"/>
          <w:spacing w:val="14"/>
        </w:rPr>
        <w:t>法律依据：</w:t>
      </w:r>
    </w:p>
    <w:p>
      <w:pPr>
        <w:ind w:left="25" w:firstLine="624"/>
        <w:spacing w:before="174" w:line="281" w:lineRule="auto"/>
        <w:jc w:val="both"/>
        <w:rPr>
          <w:rFonts w:ascii="FangSong" w:hAnsi="FangSong" w:eastAsia="FangSong" w:cs="FangSong"/>
          <w:sz w:val="29"/>
          <w:szCs w:val="29"/>
        </w:rPr>
      </w:pPr>
      <w:r>
        <w:rPr>
          <w:rFonts w:ascii="FangSong" w:hAnsi="FangSong" w:eastAsia="FangSong" w:cs="FangSong"/>
          <w:sz w:val="29"/>
          <w:szCs w:val="29"/>
          <w:spacing w:val="34"/>
        </w:rPr>
        <w:t>《涉及人的生物医学研究伦理审查办法》第四十七条项目研究者违反本办法规定，有下列情形</w:t>
      </w:r>
      <w:r>
        <w:rPr>
          <w:rFonts w:ascii="FangSong" w:hAnsi="FangSong" w:eastAsia="FangSong" w:cs="FangSong"/>
          <w:sz w:val="29"/>
          <w:szCs w:val="29"/>
        </w:rPr>
        <w:t xml:space="preserve"> </w:t>
      </w:r>
      <w:r>
        <w:rPr>
          <w:rFonts w:ascii="FangSong" w:hAnsi="FangSong" w:eastAsia="FangSong" w:cs="FangSong"/>
          <w:sz w:val="29"/>
          <w:szCs w:val="29"/>
          <w:spacing w:val="29"/>
        </w:rPr>
        <w:t>之一的，由县级以上地方卫生计生行政部门责令限期整改，并可根据情</w:t>
      </w:r>
      <w:r>
        <w:rPr>
          <w:rFonts w:ascii="FangSong" w:hAnsi="FangSong" w:eastAsia="FangSong" w:cs="FangSong"/>
          <w:sz w:val="29"/>
          <w:szCs w:val="29"/>
          <w:spacing w:val="28"/>
        </w:rPr>
        <w:t>节轻重给予通报批评、警告；</w:t>
      </w:r>
      <w:r>
        <w:rPr>
          <w:rFonts w:ascii="FangSong" w:hAnsi="FangSong" w:eastAsia="FangSong" w:cs="FangSong"/>
          <w:sz w:val="29"/>
          <w:szCs w:val="29"/>
        </w:rPr>
        <w:t xml:space="preserve"> </w:t>
      </w:r>
      <w:r>
        <w:rPr>
          <w:rFonts w:ascii="FangSong" w:hAnsi="FangSong" w:eastAsia="FangSong" w:cs="FangSong"/>
          <w:sz w:val="29"/>
          <w:szCs w:val="29"/>
          <w:spacing w:val="33"/>
        </w:rPr>
        <w:t>对主要负责人和其他责任人员，依法给予处分：(一)研究项目或者研究方案未获得伦理委员会审查</w:t>
      </w:r>
      <w:r>
        <w:rPr>
          <w:rFonts w:ascii="FangSong" w:hAnsi="FangSong" w:eastAsia="FangSong" w:cs="FangSong"/>
          <w:sz w:val="29"/>
          <w:szCs w:val="29"/>
          <w:spacing w:val="4"/>
        </w:rPr>
        <w:t xml:space="preserve"> </w:t>
      </w:r>
      <w:r>
        <w:rPr>
          <w:rFonts w:ascii="FangSong" w:hAnsi="FangSong" w:eastAsia="FangSong" w:cs="FangSong"/>
          <w:sz w:val="29"/>
          <w:szCs w:val="29"/>
          <w:spacing w:val="33"/>
        </w:rPr>
        <w:t>批准擅自开展项目研究工作的；(二)研究过程中发生严重不良反应或者严重不良事件未及时报告伦</w:t>
      </w:r>
      <w:r>
        <w:rPr>
          <w:rFonts w:ascii="FangSong" w:hAnsi="FangSong" w:eastAsia="FangSong" w:cs="FangSong"/>
          <w:sz w:val="29"/>
          <w:szCs w:val="29"/>
          <w:spacing w:val="4"/>
        </w:rPr>
        <w:t xml:space="preserve"> </w:t>
      </w:r>
      <w:r>
        <w:rPr>
          <w:rFonts w:ascii="FangSong" w:hAnsi="FangSong" w:eastAsia="FangSong" w:cs="FangSong"/>
          <w:sz w:val="29"/>
          <w:szCs w:val="29"/>
          <w:spacing w:val="42"/>
        </w:rPr>
        <w:t>理委员会的；(三)违反知情同意相关规定开展项目研究的；(四)</w:t>
      </w:r>
      <w:r>
        <w:rPr>
          <w:rFonts w:ascii="FangSong" w:hAnsi="FangSong" w:eastAsia="FangSong" w:cs="FangSong"/>
          <w:sz w:val="29"/>
          <w:szCs w:val="29"/>
          <w:spacing w:val="41"/>
        </w:rPr>
        <w:t>其他违反本办法规定的情形。</w:t>
      </w:r>
    </w:p>
    <w:p>
      <w:pPr>
        <w:ind w:left="5899"/>
        <w:spacing w:before="164" w:line="221" w:lineRule="auto"/>
        <w:rPr>
          <w:rFonts w:ascii="SimHei" w:hAnsi="SimHei" w:eastAsia="SimHei" w:cs="SimHei"/>
          <w:sz w:val="29"/>
          <w:szCs w:val="29"/>
        </w:rPr>
      </w:pPr>
      <w:r>
        <w:rPr>
          <w:rFonts w:ascii="SimHei" w:hAnsi="SimHei" w:eastAsia="SimHei" w:cs="SimHei"/>
          <w:sz w:val="29"/>
          <w:szCs w:val="29"/>
          <w:b/>
          <w:bCs/>
          <w:spacing w:val="-6"/>
        </w:rPr>
        <w:t>裁量标准</w:t>
      </w:r>
    </w:p>
    <w:p>
      <w:pPr>
        <w:spacing w:line="152" w:lineRule="exact"/>
        <w:rPr/>
      </w:pPr>
      <w:r/>
    </w:p>
    <w:tbl>
      <w:tblPr>
        <w:tblStyle w:val="TableNormal"/>
        <w:tblW w:w="139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8344"/>
        <w:gridCol w:w="4212"/>
      </w:tblGrid>
      <w:tr>
        <w:trPr>
          <w:trHeight w:val="781" w:hRule="atLeast"/>
        </w:trPr>
        <w:tc>
          <w:tcPr>
            <w:tcW w:w="1434" w:type="dxa"/>
            <w:vAlign w:val="top"/>
          </w:tcPr>
          <w:p>
            <w:pPr>
              <w:pStyle w:val="TableText"/>
              <w:ind w:left="88"/>
              <w:spacing w:before="262" w:line="220" w:lineRule="auto"/>
              <w:rPr>
                <w:sz w:val="26"/>
                <w:szCs w:val="26"/>
              </w:rPr>
            </w:pPr>
            <w:r>
              <w:rPr>
                <w:sz w:val="26"/>
                <w:szCs w:val="26"/>
                <w:b/>
                <w:bCs/>
                <w:spacing w:val="-5"/>
              </w:rPr>
              <w:t>违法程度</w:t>
            </w:r>
          </w:p>
        </w:tc>
        <w:tc>
          <w:tcPr>
            <w:tcW w:w="8344" w:type="dxa"/>
            <w:vAlign w:val="top"/>
          </w:tcPr>
          <w:p>
            <w:pPr>
              <w:pStyle w:val="TableText"/>
              <w:ind w:left="3604"/>
              <w:spacing w:before="262" w:line="220" w:lineRule="auto"/>
              <w:rPr>
                <w:sz w:val="26"/>
                <w:szCs w:val="26"/>
              </w:rPr>
            </w:pPr>
            <w:r>
              <w:rPr>
                <w:sz w:val="26"/>
                <w:szCs w:val="26"/>
                <w:b/>
                <w:bCs/>
                <w:spacing w:val="-5"/>
              </w:rPr>
              <w:t>情节后果</w:t>
            </w:r>
          </w:p>
        </w:tc>
        <w:tc>
          <w:tcPr>
            <w:tcW w:w="4212" w:type="dxa"/>
            <w:vAlign w:val="top"/>
          </w:tcPr>
          <w:p>
            <w:pPr>
              <w:pStyle w:val="TableText"/>
              <w:ind w:left="1550"/>
              <w:spacing w:before="259" w:line="218" w:lineRule="auto"/>
              <w:rPr>
                <w:sz w:val="26"/>
                <w:szCs w:val="26"/>
              </w:rPr>
            </w:pPr>
            <w:r>
              <w:rPr>
                <w:sz w:val="26"/>
                <w:szCs w:val="26"/>
                <w:b/>
                <w:bCs/>
                <w:spacing w:val="-5"/>
              </w:rPr>
              <w:t>裁量幅度</w:t>
            </w:r>
          </w:p>
        </w:tc>
      </w:tr>
      <w:tr>
        <w:trPr>
          <w:trHeight w:val="637" w:hRule="atLeast"/>
        </w:trPr>
        <w:tc>
          <w:tcPr>
            <w:tcW w:w="1434" w:type="dxa"/>
            <w:vAlign w:val="top"/>
          </w:tcPr>
          <w:p>
            <w:pPr>
              <w:pStyle w:val="TableText"/>
              <w:ind w:left="88"/>
              <w:spacing w:before="102" w:line="221" w:lineRule="auto"/>
              <w:rPr>
                <w:sz w:val="26"/>
                <w:szCs w:val="26"/>
              </w:rPr>
            </w:pPr>
            <w:r>
              <w:rPr>
                <w:sz w:val="26"/>
                <w:szCs w:val="26"/>
                <w:b/>
                <w:bCs/>
                <w:spacing w:val="-10"/>
              </w:rPr>
              <w:t>一般</w:t>
            </w:r>
          </w:p>
        </w:tc>
        <w:tc>
          <w:tcPr>
            <w:tcW w:w="8344" w:type="dxa"/>
            <w:vAlign w:val="top"/>
          </w:tcPr>
          <w:p>
            <w:pPr>
              <w:pStyle w:val="TableText"/>
              <w:ind w:left="111"/>
              <w:spacing w:before="105" w:line="220" w:lineRule="auto"/>
              <w:rPr>
                <w:sz w:val="26"/>
                <w:szCs w:val="26"/>
              </w:rPr>
            </w:pPr>
            <w:r>
              <w:rPr>
                <w:sz w:val="26"/>
                <w:szCs w:val="26"/>
                <w:spacing w:val="2"/>
              </w:rPr>
              <w:t>有1-2种上述情形的</w:t>
            </w:r>
          </w:p>
        </w:tc>
        <w:tc>
          <w:tcPr>
            <w:tcW w:w="4212" w:type="dxa"/>
            <w:vAlign w:val="top"/>
          </w:tcPr>
          <w:p>
            <w:pPr>
              <w:pStyle w:val="TableText"/>
              <w:ind w:left="117"/>
              <w:spacing w:before="104" w:line="219" w:lineRule="auto"/>
              <w:rPr>
                <w:sz w:val="26"/>
                <w:szCs w:val="26"/>
              </w:rPr>
            </w:pPr>
            <w:r>
              <w:rPr>
                <w:sz w:val="26"/>
                <w:szCs w:val="26"/>
                <w:spacing w:val="2"/>
              </w:rPr>
              <w:t>通报批评</w:t>
            </w:r>
          </w:p>
        </w:tc>
      </w:tr>
      <w:tr>
        <w:trPr>
          <w:trHeight w:val="661" w:hRule="atLeast"/>
        </w:trPr>
        <w:tc>
          <w:tcPr>
            <w:tcW w:w="1434" w:type="dxa"/>
            <w:vAlign w:val="top"/>
          </w:tcPr>
          <w:p>
            <w:pPr>
              <w:pStyle w:val="TableText"/>
              <w:ind w:left="88"/>
              <w:spacing w:before="114" w:line="220" w:lineRule="auto"/>
              <w:rPr>
                <w:sz w:val="26"/>
                <w:szCs w:val="26"/>
              </w:rPr>
            </w:pPr>
            <w:r>
              <w:rPr>
                <w:sz w:val="26"/>
                <w:szCs w:val="26"/>
                <w:b/>
                <w:bCs/>
                <w:spacing w:val="-6"/>
              </w:rPr>
              <w:t>严重</w:t>
            </w:r>
          </w:p>
        </w:tc>
        <w:tc>
          <w:tcPr>
            <w:tcW w:w="8344" w:type="dxa"/>
            <w:vAlign w:val="top"/>
          </w:tcPr>
          <w:p>
            <w:pPr>
              <w:pStyle w:val="TableText"/>
              <w:ind w:left="111"/>
              <w:spacing w:before="118" w:line="220" w:lineRule="auto"/>
              <w:rPr>
                <w:sz w:val="26"/>
                <w:szCs w:val="26"/>
              </w:rPr>
            </w:pPr>
            <w:r>
              <w:rPr>
                <w:sz w:val="26"/>
                <w:szCs w:val="26"/>
                <w:spacing w:val="1"/>
              </w:rPr>
              <w:t>有3种及以上上述情形的</w:t>
            </w:r>
          </w:p>
        </w:tc>
        <w:tc>
          <w:tcPr>
            <w:tcW w:w="4212" w:type="dxa"/>
            <w:vAlign w:val="top"/>
          </w:tcPr>
          <w:p>
            <w:pPr>
              <w:pStyle w:val="TableText"/>
              <w:ind w:left="117"/>
              <w:spacing w:before="115" w:line="218" w:lineRule="auto"/>
              <w:rPr>
                <w:sz w:val="26"/>
                <w:szCs w:val="26"/>
              </w:rPr>
            </w:pPr>
            <w:r>
              <w:rPr>
                <w:sz w:val="26"/>
                <w:szCs w:val="26"/>
                <w:color w:val="606060"/>
                <w:spacing w:val="9"/>
              </w:rPr>
              <w:t>警告</w:t>
            </w:r>
          </w:p>
        </w:tc>
      </w:tr>
    </w:tbl>
    <w:p>
      <w:pPr>
        <w:pStyle w:val="BodyText"/>
        <w:rPr/>
      </w:pPr>
      <w:r/>
    </w:p>
    <w:p>
      <w:pPr>
        <w:sectPr>
          <w:footerReference w:type="default" r:id="rId420"/>
          <w:pgSz w:w="16830" w:h="11900"/>
          <w:pgMar w:top="1011" w:right="1365" w:bottom="1117" w:left="1414" w:header="0" w:footer="784" w:gutter="0"/>
        </w:sectPr>
        <w:rPr/>
      </w:pPr>
    </w:p>
    <w:p>
      <w:pPr>
        <w:pStyle w:val="BodyText"/>
        <w:spacing w:line="258" w:lineRule="auto"/>
        <w:rPr/>
      </w:pPr>
      <w:r/>
    </w:p>
    <w:p>
      <w:pPr>
        <w:pStyle w:val="BodyText"/>
        <w:spacing w:line="259" w:lineRule="auto"/>
        <w:rPr/>
      </w:pPr>
      <w:r/>
    </w:p>
    <w:p>
      <w:pPr>
        <w:pStyle w:val="BodyText"/>
        <w:spacing w:line="259" w:lineRule="auto"/>
        <w:rPr/>
      </w:pPr>
      <w:r/>
    </w:p>
    <w:p>
      <w:pPr>
        <w:ind w:left="169"/>
        <w:spacing w:before="98" w:line="223" w:lineRule="auto"/>
        <w:rPr>
          <w:rFonts w:ascii="KaiTi" w:hAnsi="KaiTi" w:eastAsia="KaiTi" w:cs="KaiTi"/>
          <w:sz w:val="30"/>
          <w:szCs w:val="30"/>
        </w:rPr>
      </w:pPr>
      <w:bookmarkStart w:name="bookmark1068" w:id="441"/>
      <w:bookmarkEnd w:id="441"/>
      <w:r>
        <w:rPr>
          <w:rFonts w:ascii="KaiTi" w:hAnsi="KaiTi" w:eastAsia="KaiTi" w:cs="KaiTi"/>
          <w:sz w:val="30"/>
          <w:szCs w:val="30"/>
          <w:b/>
          <w:bCs/>
          <w:spacing w:val="24"/>
        </w:rPr>
        <w:t>(三十七)《外国医师来华短期行医暂行管理办法》</w:t>
      </w:r>
    </w:p>
    <w:p>
      <w:pPr>
        <w:pStyle w:val="BodyText"/>
        <w:spacing w:line="249" w:lineRule="auto"/>
        <w:rPr/>
      </w:pPr>
      <w:r/>
    </w:p>
    <w:p>
      <w:pPr>
        <w:ind w:left="665" w:right="689" w:firstLine="4"/>
        <w:spacing w:before="98" w:line="249" w:lineRule="auto"/>
        <w:rPr>
          <w:rFonts w:ascii="FangSong" w:hAnsi="FangSong" w:eastAsia="FangSong" w:cs="FangSong"/>
          <w:sz w:val="30"/>
          <w:szCs w:val="30"/>
        </w:rPr>
      </w:pPr>
      <w:r>
        <w:rPr>
          <w:rFonts w:ascii="FangSong" w:hAnsi="FangSong" w:eastAsia="FangSong" w:cs="FangSong"/>
          <w:sz w:val="30"/>
          <w:szCs w:val="30"/>
          <w:b/>
          <w:bCs/>
          <w:spacing w:val="21"/>
        </w:rPr>
        <w:t>第三百九十二条外国医师未经注册取得《外国医师短期行医许可证》擅自来华短期行医的</w:t>
      </w:r>
      <w:r>
        <w:rPr>
          <w:rFonts w:ascii="FangSong" w:hAnsi="FangSong" w:eastAsia="FangSong" w:cs="FangSong"/>
          <w:sz w:val="30"/>
          <w:szCs w:val="30"/>
          <w:spacing w:val="7"/>
        </w:rPr>
        <w:t xml:space="preserve"> </w:t>
      </w:r>
      <w:r>
        <w:rPr>
          <w:rFonts w:ascii="FangSong" w:hAnsi="FangSong" w:eastAsia="FangSong" w:cs="FangSong"/>
          <w:sz w:val="30"/>
          <w:szCs w:val="30"/>
          <w:spacing w:val="-1"/>
        </w:rPr>
        <w:t>法律依据：</w:t>
      </w:r>
    </w:p>
    <w:p>
      <w:pPr>
        <w:ind w:left="35" w:right="20" w:firstLine="629"/>
        <w:spacing w:before="84" w:line="254" w:lineRule="auto"/>
        <w:rPr>
          <w:rFonts w:ascii="FangSong" w:hAnsi="FangSong" w:eastAsia="FangSong" w:cs="FangSong"/>
          <w:sz w:val="30"/>
          <w:szCs w:val="30"/>
        </w:rPr>
      </w:pPr>
      <w:r>
        <w:rPr>
          <w:rFonts w:ascii="FangSong" w:hAnsi="FangSong" w:eastAsia="FangSong" w:cs="FangSong"/>
          <w:sz w:val="30"/>
          <w:szCs w:val="30"/>
          <w:spacing w:val="12"/>
        </w:rPr>
        <w:t>1.</w:t>
      </w:r>
      <w:r>
        <w:rPr>
          <w:rFonts w:ascii="FangSong" w:hAnsi="FangSong" w:eastAsia="FangSong" w:cs="FangSong"/>
          <w:sz w:val="30"/>
          <w:szCs w:val="30"/>
          <w:spacing w:val="12"/>
        </w:rPr>
        <w:t xml:space="preserve"> </w:t>
      </w:r>
      <w:r>
        <w:rPr>
          <w:rFonts w:ascii="FangSong" w:hAnsi="FangSong" w:eastAsia="FangSong" w:cs="FangSong"/>
          <w:sz w:val="30"/>
          <w:szCs w:val="30"/>
          <w:spacing w:val="12"/>
        </w:rPr>
        <w:t>《外国医师来华短期行医暂行管理办法》第十五条</w:t>
      </w:r>
      <w:r>
        <w:rPr>
          <w:rFonts w:ascii="FangSong" w:hAnsi="FangSong" w:eastAsia="FangSong" w:cs="FangSong"/>
          <w:sz w:val="30"/>
          <w:szCs w:val="30"/>
          <w:spacing w:val="12"/>
        </w:rPr>
        <w:t xml:space="preserve">  </w:t>
      </w:r>
      <w:r>
        <w:rPr>
          <w:rFonts w:ascii="FangSong" w:hAnsi="FangSong" w:eastAsia="FangSong" w:cs="FangSong"/>
          <w:sz w:val="30"/>
          <w:szCs w:val="30"/>
          <w:spacing w:val="12"/>
        </w:rPr>
        <w:t>违反本办法第</w:t>
      </w:r>
      <w:r>
        <w:rPr>
          <w:rFonts w:ascii="FangSong" w:hAnsi="FangSong" w:eastAsia="FangSong" w:cs="FangSong"/>
          <w:sz w:val="30"/>
          <w:szCs w:val="30"/>
          <w:spacing w:val="11"/>
        </w:rPr>
        <w:t>三条规定的，由所在地设区</w:t>
      </w:r>
      <w:r>
        <w:rPr>
          <w:rFonts w:ascii="FangSong" w:hAnsi="FangSong" w:eastAsia="FangSong" w:cs="FangSong"/>
          <w:sz w:val="30"/>
          <w:szCs w:val="30"/>
        </w:rPr>
        <w:t xml:space="preserve"> </w:t>
      </w:r>
      <w:r>
        <w:rPr>
          <w:rFonts w:ascii="FangSong" w:hAnsi="FangSong" w:eastAsia="FangSong" w:cs="FangSong"/>
          <w:sz w:val="30"/>
          <w:szCs w:val="30"/>
          <w:spacing w:val="27"/>
        </w:rPr>
        <w:t>的市级以上卫生计生行政部门予以取缔，没收非法所得，并处以10000</w:t>
      </w:r>
      <w:r>
        <w:rPr>
          <w:rFonts w:ascii="FangSong" w:hAnsi="FangSong" w:eastAsia="FangSong" w:cs="FangSong"/>
          <w:sz w:val="30"/>
          <w:szCs w:val="30"/>
          <w:spacing w:val="26"/>
        </w:rPr>
        <w:t>元以下罚款；对邀请、聘用</w:t>
      </w:r>
      <w:r>
        <w:rPr>
          <w:rFonts w:ascii="FangSong" w:hAnsi="FangSong" w:eastAsia="FangSong" w:cs="FangSong"/>
          <w:sz w:val="30"/>
          <w:szCs w:val="30"/>
        </w:rPr>
        <w:t xml:space="preserve"> </w:t>
      </w:r>
      <w:r>
        <w:rPr>
          <w:rFonts w:ascii="FangSong" w:hAnsi="FangSong" w:eastAsia="FangSong" w:cs="FangSong"/>
          <w:sz w:val="30"/>
          <w:szCs w:val="30"/>
          <w:spacing w:val="24"/>
        </w:rPr>
        <w:t>或提供场所的单位，处以警告，没收非法所得，并处以500</w:t>
      </w:r>
      <w:r>
        <w:rPr>
          <w:rFonts w:ascii="FangSong" w:hAnsi="FangSong" w:eastAsia="FangSong" w:cs="FangSong"/>
          <w:sz w:val="30"/>
          <w:szCs w:val="30"/>
          <w:spacing w:val="23"/>
        </w:rPr>
        <w:t>0元以下罚款。</w:t>
      </w:r>
    </w:p>
    <w:p>
      <w:pPr>
        <w:ind w:left="35" w:right="36" w:firstLine="629"/>
        <w:spacing w:before="63" w:line="249" w:lineRule="auto"/>
        <w:rPr>
          <w:rFonts w:ascii="FangSong" w:hAnsi="FangSong" w:eastAsia="FangSong" w:cs="FangSong"/>
          <w:sz w:val="30"/>
          <w:szCs w:val="30"/>
        </w:rPr>
      </w:pPr>
      <w:r>
        <w:rPr>
          <w:rFonts w:ascii="FangSong" w:hAnsi="FangSong" w:eastAsia="FangSong" w:cs="FangSong"/>
          <w:sz w:val="30"/>
          <w:szCs w:val="30"/>
          <w:spacing w:val="20"/>
        </w:rPr>
        <w:t>2.</w:t>
      </w:r>
      <w:r>
        <w:rPr>
          <w:rFonts w:ascii="FangSong" w:hAnsi="FangSong" w:eastAsia="FangSong" w:cs="FangSong"/>
          <w:sz w:val="30"/>
          <w:szCs w:val="30"/>
          <w:spacing w:val="20"/>
        </w:rPr>
        <w:t xml:space="preserve"> </w:t>
      </w:r>
      <w:r>
        <w:rPr>
          <w:rFonts w:ascii="FangSong" w:hAnsi="FangSong" w:eastAsia="FangSong" w:cs="FangSong"/>
          <w:sz w:val="30"/>
          <w:szCs w:val="30"/>
          <w:spacing w:val="20"/>
        </w:rPr>
        <w:t>《外国医师来华短期行医暂行管理办法》</w:t>
      </w:r>
      <w:r>
        <w:rPr>
          <w:rFonts w:ascii="FangSong" w:hAnsi="FangSong" w:eastAsia="FangSong" w:cs="FangSong"/>
          <w:sz w:val="30"/>
          <w:szCs w:val="30"/>
          <w:spacing w:val="19"/>
        </w:rPr>
        <w:t>第三条</w:t>
      </w:r>
      <w:r>
        <w:rPr>
          <w:rFonts w:ascii="FangSong" w:hAnsi="FangSong" w:eastAsia="FangSong" w:cs="FangSong"/>
          <w:sz w:val="30"/>
          <w:szCs w:val="30"/>
          <w:spacing w:val="19"/>
        </w:rPr>
        <w:t xml:space="preserve">  </w:t>
      </w:r>
      <w:r>
        <w:rPr>
          <w:rFonts w:ascii="FangSong" w:hAnsi="FangSong" w:eastAsia="FangSong" w:cs="FangSong"/>
          <w:sz w:val="30"/>
          <w:szCs w:val="30"/>
          <w:spacing w:val="19"/>
        </w:rPr>
        <w:t>外国医师来华短期行医必须经过注册，取</w:t>
      </w:r>
      <w:r>
        <w:rPr>
          <w:rFonts w:ascii="FangSong" w:hAnsi="FangSong" w:eastAsia="FangSong" w:cs="FangSong"/>
          <w:sz w:val="30"/>
          <w:szCs w:val="30"/>
        </w:rPr>
        <w:t xml:space="preserve"> </w:t>
      </w:r>
      <w:r>
        <w:rPr>
          <w:rFonts w:ascii="FangSong" w:hAnsi="FangSong" w:eastAsia="FangSong" w:cs="FangSong"/>
          <w:sz w:val="30"/>
          <w:szCs w:val="30"/>
          <w:spacing w:val="11"/>
        </w:rPr>
        <w:t>得《外国医师短期行医许可证》。</w:t>
      </w:r>
      <w:r>
        <w:rPr>
          <w:rFonts w:ascii="FangSong" w:hAnsi="FangSong" w:eastAsia="FangSong" w:cs="FangSong"/>
          <w:sz w:val="30"/>
          <w:szCs w:val="30"/>
          <w:spacing w:val="11"/>
        </w:rPr>
        <w:t xml:space="preserve">  </w:t>
      </w:r>
      <w:r>
        <w:rPr>
          <w:rFonts w:ascii="FangSong" w:hAnsi="FangSong" w:eastAsia="FangSong" w:cs="FangSong"/>
          <w:sz w:val="30"/>
          <w:szCs w:val="30"/>
          <w:spacing w:val="11"/>
        </w:rPr>
        <w:t>《外</w:t>
      </w:r>
      <w:r>
        <w:rPr>
          <w:rFonts w:ascii="FangSong" w:hAnsi="FangSong" w:eastAsia="FangSong" w:cs="FangSong"/>
          <w:sz w:val="30"/>
          <w:szCs w:val="30"/>
          <w:spacing w:val="10"/>
        </w:rPr>
        <w:t>国医师短期行医许可证》由国家卫生计生委统一印制。</w:t>
      </w:r>
    </w:p>
    <w:p>
      <w:pPr>
        <w:ind w:left="5898"/>
        <w:spacing w:before="231"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5" w:lineRule="auto"/>
        <w:rPr>
          <w:rFonts w:ascii="Arial"/>
          <w:sz w:val="2"/>
        </w:rPr>
      </w:pPr>
      <w:r>
        <w:rPr>
          <w:rFonts w:ascii="Arial"/>
          <w:sz w:val="2"/>
        </w:rPr>
      </w:r>
    </w:p>
    <w:tbl>
      <w:tblPr>
        <w:tblStyle w:val="TableNormal"/>
        <w:tblW w:w="140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54"/>
        <w:gridCol w:w="7535"/>
        <w:gridCol w:w="5111"/>
      </w:tblGrid>
      <w:tr>
        <w:trPr>
          <w:trHeight w:val="434" w:hRule="atLeast"/>
        </w:trPr>
        <w:tc>
          <w:tcPr>
            <w:tcW w:w="1354" w:type="dxa"/>
            <w:vAlign w:val="top"/>
          </w:tcPr>
          <w:p>
            <w:pPr>
              <w:pStyle w:val="TableText"/>
              <w:ind w:left="88"/>
              <w:spacing w:before="10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7535" w:type="dxa"/>
            <w:vAlign w:val="top"/>
          </w:tcPr>
          <w:p>
            <w:pPr>
              <w:pStyle w:val="TableText"/>
              <w:ind w:left="3204"/>
              <w:spacing w:before="102" w:line="220" w:lineRule="auto"/>
              <w:rPr/>
            </w:pPr>
            <w:r>
              <w:rPr>
                <w:b/>
                <w:bCs/>
                <w:spacing w:val="-5"/>
              </w:rPr>
              <w:t>情节后果</w:t>
            </w:r>
          </w:p>
        </w:tc>
        <w:tc>
          <w:tcPr>
            <w:tcW w:w="5111" w:type="dxa"/>
            <w:vAlign w:val="top"/>
          </w:tcPr>
          <w:p>
            <w:pPr>
              <w:pStyle w:val="TableText"/>
              <w:ind w:left="1969"/>
              <w:spacing w:before="9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725" w:hRule="atLeast"/>
        </w:trPr>
        <w:tc>
          <w:tcPr>
            <w:tcW w:w="1354" w:type="dxa"/>
            <w:vAlign w:val="top"/>
          </w:tcPr>
          <w:p>
            <w:pPr>
              <w:spacing w:line="333" w:lineRule="auto"/>
              <w:rPr>
                <w:rFonts w:ascii="Arial"/>
                <w:sz w:val="21"/>
              </w:rPr>
            </w:pPr>
            <w:r/>
          </w:p>
          <w:p>
            <w:pPr>
              <w:spacing w:line="333" w:lineRule="auto"/>
              <w:rPr>
                <w:rFonts w:ascii="Arial"/>
                <w:sz w:val="21"/>
              </w:rPr>
            </w:pPr>
            <w:r/>
          </w:p>
          <w:p>
            <w:pPr>
              <w:pStyle w:val="TableText"/>
              <w:ind w:left="428"/>
              <w:spacing w:before="78" w:line="221" w:lineRule="auto"/>
              <w:rPr/>
            </w:pPr>
            <w:r>
              <w:rPr>
                <w:b/>
                <w:bCs/>
                <w:spacing w:val="-10"/>
              </w:rPr>
              <w:t>一般</w:t>
            </w:r>
          </w:p>
        </w:tc>
        <w:tc>
          <w:tcPr>
            <w:tcW w:w="7535" w:type="dxa"/>
            <w:vAlign w:val="top"/>
          </w:tcPr>
          <w:p>
            <w:pPr>
              <w:pStyle w:val="TableText"/>
              <w:ind w:left="91" w:right="183" w:firstLine="40"/>
              <w:spacing w:before="250" w:line="254" w:lineRule="auto"/>
              <w:rPr/>
            </w:pPr>
            <w:r>
              <w:rPr/>
              <w:t>外国医师来华短期行医未经过注册，未取得《外国医师短期行医许可</w:t>
            </w:r>
            <w:r>
              <w:rPr>
                <w:spacing w:val="9"/>
              </w:rPr>
              <w:t xml:space="preserve"> </w:t>
            </w:r>
            <w:r>
              <w:rPr>
                <w:spacing w:val="1"/>
              </w:rPr>
              <w:t>证》擅自执业，有下列情形之一的：</w:t>
            </w:r>
          </w:p>
          <w:p>
            <w:pPr>
              <w:pStyle w:val="TableText"/>
              <w:ind w:left="91"/>
              <w:spacing w:line="219" w:lineRule="auto"/>
              <w:rPr/>
            </w:pPr>
            <w:r>
              <w:rPr>
                <w:spacing w:val="1"/>
              </w:rPr>
              <w:t>A.执业时间累计在1个月以内的</w:t>
            </w:r>
          </w:p>
          <w:p>
            <w:pPr>
              <w:pStyle w:val="TableText"/>
              <w:ind w:left="91"/>
              <w:spacing w:before="65" w:line="219" w:lineRule="auto"/>
              <w:rPr/>
            </w:pPr>
            <w:r>
              <w:rPr>
                <w:spacing w:val="1"/>
              </w:rPr>
              <w:t>B.外国医师违法所得不足3000元的</w:t>
            </w:r>
          </w:p>
        </w:tc>
        <w:tc>
          <w:tcPr>
            <w:tcW w:w="5111" w:type="dxa"/>
            <w:vAlign w:val="top"/>
          </w:tcPr>
          <w:p>
            <w:pPr>
              <w:pStyle w:val="TableText"/>
              <w:ind w:left="126" w:right="133" w:firstLine="20"/>
              <w:spacing w:before="250" w:line="263" w:lineRule="auto"/>
              <w:jc w:val="both"/>
              <w:rPr/>
            </w:pPr>
            <w:r>
              <w:rPr>
                <w:spacing w:val="1"/>
              </w:rPr>
              <w:t>对外国医师予以取缔，没收非法所得，并处以</w:t>
            </w:r>
            <w:r>
              <w:rPr/>
              <w:t xml:space="preserve"> </w:t>
            </w:r>
            <w:r>
              <w:rPr>
                <w:spacing w:val="1"/>
              </w:rPr>
              <w:t>3000元以下罚款；对邀请、聘用或提供场所的</w:t>
            </w:r>
            <w:r>
              <w:rPr>
                <w:spacing w:val="15"/>
              </w:rPr>
              <w:t xml:space="preserve"> </w:t>
            </w:r>
            <w:r>
              <w:rPr>
                <w:spacing w:val="1"/>
              </w:rPr>
              <w:t>单位，处以警告，没收非法所得，并处以2000</w:t>
            </w:r>
            <w:r>
              <w:rPr>
                <w:spacing w:val="9"/>
              </w:rPr>
              <w:t xml:space="preserve"> </w:t>
            </w:r>
            <w:r>
              <w:rPr>
                <w:spacing w:val="2"/>
              </w:rPr>
              <w:t>元以下罚款</w:t>
            </w:r>
          </w:p>
        </w:tc>
      </w:tr>
      <w:tr>
        <w:trPr>
          <w:trHeight w:val="1341" w:hRule="atLeast"/>
        </w:trPr>
        <w:tc>
          <w:tcPr>
            <w:tcW w:w="1354" w:type="dxa"/>
            <w:vAlign w:val="top"/>
          </w:tcPr>
          <w:p>
            <w:pPr>
              <w:spacing w:line="474" w:lineRule="auto"/>
              <w:rPr>
                <w:rFonts w:ascii="Arial"/>
                <w:sz w:val="21"/>
              </w:rPr>
            </w:pPr>
            <w:r/>
          </w:p>
          <w:p>
            <w:pPr>
              <w:pStyle w:val="TableText"/>
              <w:ind w:left="428"/>
              <w:spacing w:before="78" w:line="221" w:lineRule="auto"/>
              <w:rPr/>
            </w:pPr>
            <w:r>
              <w:rPr>
                <w:b/>
                <w:bCs/>
                <w:spacing w:val="-5"/>
              </w:rPr>
              <w:t>较重</w:t>
            </w:r>
          </w:p>
        </w:tc>
        <w:tc>
          <w:tcPr>
            <w:tcW w:w="7535" w:type="dxa"/>
            <w:vAlign w:val="top"/>
          </w:tcPr>
          <w:p>
            <w:pPr>
              <w:pStyle w:val="TableText"/>
              <w:ind w:left="91" w:right="143" w:firstLine="79"/>
              <w:spacing w:before="66" w:line="265" w:lineRule="auto"/>
              <w:rPr/>
            </w:pPr>
            <w:r>
              <w:rPr/>
              <w:t>外国医师来华短期行医未经过注册，未取得《外国医师短期行医许可</w:t>
            </w:r>
            <w:r>
              <w:rPr>
                <w:spacing w:val="9"/>
              </w:rPr>
              <w:t xml:space="preserve"> </w:t>
            </w:r>
            <w:r>
              <w:rPr>
                <w:spacing w:val="1"/>
              </w:rPr>
              <w:t>证》擅自执业，有下列情形之一的：</w:t>
            </w:r>
          </w:p>
          <w:p>
            <w:pPr>
              <w:pStyle w:val="TableText"/>
              <w:ind w:left="91"/>
              <w:spacing w:line="219" w:lineRule="auto"/>
              <w:rPr/>
            </w:pPr>
            <w:r>
              <w:rPr/>
              <w:t>A.执业时间累计在1个月以上3个月以下的</w:t>
            </w:r>
          </w:p>
          <w:p>
            <w:pPr>
              <w:pStyle w:val="TableText"/>
              <w:ind w:left="91"/>
              <w:spacing w:before="25" w:line="204" w:lineRule="auto"/>
              <w:rPr/>
            </w:pPr>
            <w:r>
              <w:rPr/>
              <w:t>B.外国医师违法所得在3000元以上5000元以下的</w:t>
            </w:r>
          </w:p>
        </w:tc>
        <w:tc>
          <w:tcPr>
            <w:tcW w:w="5111" w:type="dxa"/>
            <w:vAlign w:val="top"/>
          </w:tcPr>
          <w:p>
            <w:pPr>
              <w:pStyle w:val="TableText"/>
              <w:ind w:left="126" w:right="95" w:firstLine="20"/>
              <w:spacing w:before="67" w:line="243" w:lineRule="auto"/>
              <w:jc w:val="both"/>
              <w:rPr/>
            </w:pPr>
            <w:r>
              <w:rPr>
                <w:spacing w:val="1"/>
              </w:rPr>
              <w:t>对外国医师予以取缔，没收非法所得，并处以</w:t>
            </w:r>
            <w:r>
              <w:rPr/>
              <w:t xml:space="preserve"> </w:t>
            </w:r>
            <w:r>
              <w:rPr>
                <w:spacing w:val="1"/>
              </w:rPr>
              <w:t>3000元以上8000元以下罚款；对邀请、聘用或</w:t>
            </w:r>
            <w:r>
              <w:rPr>
                <w:spacing w:val="6"/>
              </w:rPr>
              <w:t xml:space="preserve"> </w:t>
            </w:r>
            <w:r>
              <w:rPr>
                <w:spacing w:val="3"/>
              </w:rPr>
              <w:t>提供场所的单位，处以警告，没收非法所得，</w:t>
            </w:r>
            <w:r>
              <w:rPr>
                <w:spacing w:val="18"/>
              </w:rPr>
              <w:t xml:space="preserve"> </w:t>
            </w:r>
            <w:r>
              <w:rPr/>
              <w:t>并处以2000元以上4000元以下罚款</w:t>
            </w:r>
          </w:p>
        </w:tc>
      </w:tr>
    </w:tbl>
    <w:p>
      <w:pPr>
        <w:pStyle w:val="BodyText"/>
        <w:rPr/>
      </w:pPr>
      <w:r/>
    </w:p>
    <w:p>
      <w:pPr>
        <w:sectPr>
          <w:footerReference w:type="default" r:id="rId421"/>
          <w:pgSz w:w="16830" w:h="11900"/>
          <w:pgMar w:top="1011" w:right="1405" w:bottom="1097" w:left="1414" w:header="0" w:footer="764" w:gutter="0"/>
        </w:sectPr>
        <w:rPr/>
      </w:pPr>
    </w:p>
    <w:p>
      <w:pPr>
        <w:spacing w:before="20"/>
        <w:rPr/>
      </w:pPr>
      <w:r/>
    </w:p>
    <w:p>
      <w:pPr>
        <w:spacing w:before="20"/>
        <w:rPr/>
      </w:pPr>
      <w:r/>
    </w:p>
    <w:p>
      <w:pPr>
        <w:spacing w:before="19"/>
        <w:rPr/>
      </w:pPr>
      <w:r/>
    </w:p>
    <w:tbl>
      <w:tblPr>
        <w:tblStyle w:val="TableNormal"/>
        <w:tblW w:w="139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64"/>
        <w:gridCol w:w="7525"/>
        <w:gridCol w:w="5101"/>
      </w:tblGrid>
      <w:tr>
        <w:trPr>
          <w:trHeight w:val="2649" w:hRule="atLeast"/>
        </w:trPr>
        <w:tc>
          <w:tcPr>
            <w:tcW w:w="1364" w:type="dxa"/>
            <w:vAlign w:val="top"/>
          </w:tcPr>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438"/>
              <w:spacing w:before="78" w:line="220" w:lineRule="auto"/>
              <w:rPr/>
            </w:pPr>
            <w:bookmarkStart w:name="bookmark1069" w:id="442"/>
            <w:bookmarkEnd w:id="442"/>
            <w:r>
              <w:rPr>
                <w:b/>
                <w:bCs/>
                <w:spacing w:val="-6"/>
              </w:rPr>
              <w:t>严重</w:t>
            </w:r>
          </w:p>
        </w:tc>
        <w:tc>
          <w:tcPr>
            <w:tcW w:w="7525" w:type="dxa"/>
            <w:vAlign w:val="top"/>
          </w:tcPr>
          <w:p>
            <w:pPr>
              <w:spacing w:line="263" w:lineRule="auto"/>
              <w:rPr>
                <w:rFonts w:ascii="Arial"/>
                <w:sz w:val="21"/>
              </w:rPr>
            </w:pPr>
            <w:r/>
          </w:p>
          <w:p>
            <w:pPr>
              <w:pStyle w:val="TableText"/>
              <w:ind w:left="101" w:right="143" w:firstLine="59"/>
              <w:spacing w:before="78" w:line="264" w:lineRule="auto"/>
              <w:rPr/>
            </w:pPr>
            <w:r>
              <w:rPr/>
              <w:t>外国医师来华短期行医未经过注册，未取得《外国医师短期行医许可</w:t>
            </w:r>
            <w:r>
              <w:rPr>
                <w:spacing w:val="9"/>
              </w:rPr>
              <w:t xml:space="preserve"> </w:t>
            </w:r>
            <w:r>
              <w:rPr>
                <w:spacing w:val="1"/>
              </w:rPr>
              <w:t>证》擅自执业，有下列情形之一的：</w:t>
            </w:r>
          </w:p>
          <w:p>
            <w:pPr>
              <w:pStyle w:val="TableText"/>
              <w:ind w:left="101"/>
              <w:spacing w:before="5" w:line="219" w:lineRule="auto"/>
              <w:rPr/>
            </w:pPr>
            <w:r>
              <w:rPr/>
              <w:t>A.执业时间累计在3个月以上5个月以下的</w:t>
            </w:r>
          </w:p>
          <w:p>
            <w:pPr>
              <w:pStyle w:val="TableText"/>
              <w:ind w:left="101"/>
              <w:spacing w:before="65" w:line="219" w:lineRule="auto"/>
              <w:rPr/>
            </w:pPr>
            <w:r>
              <w:rPr/>
              <w:t>B.外国医师违法所得在5000元以上1万以下的</w:t>
            </w:r>
          </w:p>
          <w:p>
            <w:pPr>
              <w:pStyle w:val="TableText"/>
              <w:ind w:left="101"/>
              <w:spacing w:before="55" w:line="219" w:lineRule="auto"/>
              <w:rPr/>
            </w:pPr>
            <w:r>
              <w:rPr>
                <w:spacing w:val="1"/>
              </w:rPr>
              <w:t>C.因擅自执业曾受过卫生行政部门处罚</w:t>
            </w:r>
          </w:p>
          <w:p>
            <w:pPr>
              <w:pStyle w:val="TableText"/>
              <w:ind w:left="101"/>
              <w:spacing w:before="45" w:line="219" w:lineRule="auto"/>
              <w:rPr/>
            </w:pPr>
            <w:r>
              <w:rPr>
                <w:spacing w:val="1"/>
              </w:rPr>
              <w:t>D.给患者造成伤害的</w:t>
            </w:r>
          </w:p>
        </w:tc>
        <w:tc>
          <w:tcPr>
            <w:tcW w:w="5101" w:type="dxa"/>
            <w:vAlign w:val="top"/>
          </w:tcPr>
          <w:p>
            <w:pPr>
              <w:spacing w:line="306" w:lineRule="auto"/>
              <w:rPr>
                <w:rFonts w:ascii="Arial"/>
                <w:sz w:val="21"/>
              </w:rPr>
            </w:pPr>
            <w:r/>
          </w:p>
          <w:p>
            <w:pPr>
              <w:spacing w:line="307" w:lineRule="auto"/>
              <w:rPr>
                <w:rFonts w:ascii="Arial"/>
                <w:sz w:val="21"/>
              </w:rPr>
            </w:pPr>
            <w:r/>
          </w:p>
          <w:p>
            <w:pPr>
              <w:pStyle w:val="TableText"/>
              <w:ind w:left="126" w:right="85" w:firstLine="140"/>
              <w:spacing w:before="78" w:line="265" w:lineRule="auto"/>
              <w:jc w:val="both"/>
              <w:rPr/>
            </w:pPr>
            <w:r>
              <w:rPr>
                <w:spacing w:val="-1"/>
              </w:rPr>
              <w:t>对外国医师予以取缔，没收非法所得，并处</w:t>
            </w:r>
            <w:r>
              <w:rPr>
                <w:spacing w:val="4"/>
              </w:rPr>
              <w:t xml:space="preserve">  </w:t>
            </w:r>
            <w:r>
              <w:rPr>
                <w:spacing w:val="4"/>
              </w:rPr>
              <w:t>8000元以上1万元以下罚款；对邀请、聘用或</w:t>
            </w:r>
            <w:r>
              <w:rPr>
                <w:spacing w:val="1"/>
              </w:rPr>
              <w:t xml:space="preserve">  </w:t>
            </w:r>
            <w:r>
              <w:rPr>
                <w:spacing w:val="3"/>
              </w:rPr>
              <w:t>提供场所的单位，处以警告，没收非法所得，</w:t>
            </w:r>
            <w:r>
              <w:rPr>
                <w:spacing w:val="18"/>
              </w:rPr>
              <w:t xml:space="preserve"> </w:t>
            </w:r>
            <w:r>
              <w:rPr/>
              <w:t>并处以4000元以上5000元以下罚款</w:t>
            </w:r>
          </w:p>
        </w:tc>
      </w:tr>
      <w:tr>
        <w:trPr>
          <w:trHeight w:val="1701" w:hRule="atLeast"/>
        </w:trPr>
        <w:tc>
          <w:tcPr>
            <w:tcW w:w="1364" w:type="dxa"/>
            <w:vAlign w:val="top"/>
          </w:tcPr>
          <w:p>
            <w:pPr>
              <w:spacing w:line="325" w:lineRule="auto"/>
              <w:rPr>
                <w:rFonts w:ascii="Arial"/>
                <w:sz w:val="21"/>
              </w:rPr>
            </w:pPr>
            <w:r/>
          </w:p>
          <w:p>
            <w:pPr>
              <w:spacing w:line="325" w:lineRule="auto"/>
              <w:rPr>
                <w:rFonts w:ascii="Arial"/>
                <w:sz w:val="21"/>
              </w:rPr>
            </w:pPr>
            <w:r/>
          </w:p>
          <w:p>
            <w:pPr>
              <w:pStyle w:val="TableText"/>
              <w:ind w:left="198"/>
              <w:spacing w:before="78" w:line="219" w:lineRule="auto"/>
              <w:rPr/>
            </w:pPr>
            <w:r>
              <w:rPr>
                <w:b/>
                <w:bCs/>
                <w:spacing w:val="-5"/>
              </w:rPr>
              <w:t>特别严重</w:t>
            </w:r>
          </w:p>
        </w:tc>
        <w:tc>
          <w:tcPr>
            <w:tcW w:w="7525" w:type="dxa"/>
            <w:vAlign w:val="top"/>
          </w:tcPr>
          <w:p>
            <w:pPr>
              <w:pStyle w:val="TableText"/>
              <w:ind w:left="101" w:right="143" w:firstLine="59"/>
              <w:spacing w:before="56" w:line="269" w:lineRule="auto"/>
              <w:rPr/>
            </w:pPr>
            <w:r>
              <w:rPr/>
              <w:t>外国医师来华短期行医未经过注册，未取得《外国医师短期行医许可</w:t>
            </w:r>
            <w:r>
              <w:rPr>
                <w:spacing w:val="9"/>
              </w:rPr>
              <w:t xml:space="preserve"> </w:t>
            </w:r>
            <w:r>
              <w:rPr>
                <w:spacing w:val="1"/>
              </w:rPr>
              <w:t>证》擅自执业，有下列情形之一的：</w:t>
            </w:r>
          </w:p>
          <w:p>
            <w:pPr>
              <w:pStyle w:val="TableText"/>
              <w:ind w:left="101"/>
              <w:spacing w:line="219" w:lineRule="auto"/>
              <w:rPr/>
            </w:pPr>
            <w:r>
              <w:rPr>
                <w:spacing w:val="1"/>
              </w:rPr>
              <w:t>A.执业时间累计在5个月以上的</w:t>
            </w:r>
          </w:p>
          <w:p>
            <w:pPr>
              <w:pStyle w:val="TableText"/>
              <w:ind w:left="101"/>
              <w:spacing w:before="45" w:line="219" w:lineRule="auto"/>
              <w:rPr/>
            </w:pPr>
            <w:r>
              <w:rPr>
                <w:spacing w:val="1"/>
              </w:rPr>
              <w:t>B.外国医师违法所得在1万以上的</w:t>
            </w:r>
          </w:p>
          <w:p>
            <w:pPr>
              <w:pStyle w:val="TableText"/>
              <w:ind w:left="101"/>
              <w:spacing w:before="56" w:line="203" w:lineRule="auto"/>
              <w:rPr/>
            </w:pPr>
            <w:r>
              <w:rPr>
                <w:spacing w:val="1"/>
              </w:rPr>
              <w:t>C.给患者造成死亡的</w:t>
            </w:r>
          </w:p>
        </w:tc>
        <w:tc>
          <w:tcPr>
            <w:tcW w:w="5101" w:type="dxa"/>
            <w:vAlign w:val="top"/>
          </w:tcPr>
          <w:p>
            <w:pPr>
              <w:spacing w:line="326" w:lineRule="auto"/>
              <w:rPr>
                <w:rFonts w:ascii="Arial"/>
                <w:sz w:val="21"/>
              </w:rPr>
            </w:pPr>
            <w:r/>
          </w:p>
          <w:p>
            <w:pPr>
              <w:pStyle w:val="TableText"/>
              <w:ind w:left="146"/>
              <w:spacing w:before="78" w:line="219" w:lineRule="auto"/>
              <w:rPr/>
            </w:pPr>
            <w:r>
              <w:rPr>
                <w:spacing w:val="1"/>
              </w:rPr>
              <w:t>对外国医师予以取缔，没收非法所得，并处以</w:t>
            </w:r>
          </w:p>
          <w:p>
            <w:pPr>
              <w:pStyle w:val="TableText"/>
              <w:spacing w:before="63" w:line="219" w:lineRule="auto"/>
              <w:jc w:val="right"/>
              <w:rPr/>
            </w:pPr>
            <w:r>
              <w:rPr>
                <w:spacing w:val="-4"/>
              </w:rPr>
              <w:t>10000元罚款。对邀请、聘用或提供场所的单位，</w:t>
            </w:r>
          </w:p>
          <w:p>
            <w:pPr>
              <w:pStyle w:val="TableText"/>
              <w:ind w:left="146"/>
              <w:spacing w:before="54" w:line="218" w:lineRule="auto"/>
              <w:rPr/>
            </w:pPr>
            <w:r>
              <w:rPr/>
              <w:t>处以警告，没收非法所得，并处以5000元罚款</w:t>
            </w:r>
          </w:p>
        </w:tc>
      </w:tr>
    </w:tbl>
    <w:p>
      <w:pPr>
        <w:pStyle w:val="BodyText"/>
        <w:spacing w:line="336" w:lineRule="auto"/>
        <w:rPr/>
      </w:pPr>
      <w:r/>
    </w:p>
    <w:p>
      <w:pPr>
        <w:pStyle w:val="BodyText"/>
        <w:spacing w:line="337" w:lineRule="auto"/>
        <w:rPr/>
      </w:pPr>
      <w:r/>
    </w:p>
    <w:p>
      <w:pPr>
        <w:ind w:left="819"/>
        <w:spacing w:before="101" w:line="224" w:lineRule="auto"/>
        <w:rPr>
          <w:rFonts w:ascii="KaiTi" w:hAnsi="KaiTi" w:eastAsia="KaiTi" w:cs="KaiTi"/>
          <w:sz w:val="31"/>
          <w:szCs w:val="31"/>
        </w:rPr>
      </w:pPr>
      <w:r>
        <w:rPr>
          <w:rFonts w:ascii="KaiTi" w:hAnsi="KaiTi" w:eastAsia="KaiTi" w:cs="KaiTi"/>
          <w:sz w:val="31"/>
          <w:szCs w:val="31"/>
          <w:b/>
          <w:bCs/>
          <w:spacing w:val="19"/>
        </w:rPr>
        <w:t>(三十八)《艾滋病防治条例》</w:t>
      </w:r>
    </w:p>
    <w:p>
      <w:pPr>
        <w:ind w:left="39" w:right="11" w:firstLine="325"/>
        <w:spacing w:before="313" w:line="267" w:lineRule="auto"/>
        <w:rPr>
          <w:rFonts w:ascii="FangSong" w:hAnsi="FangSong" w:eastAsia="FangSong" w:cs="FangSong"/>
          <w:sz w:val="31"/>
          <w:szCs w:val="31"/>
        </w:rPr>
      </w:pPr>
      <w:r>
        <w:rPr>
          <w:rFonts w:ascii="FangSong" w:hAnsi="FangSong" w:eastAsia="FangSong" w:cs="FangSong"/>
          <w:sz w:val="31"/>
          <w:szCs w:val="31"/>
          <w:spacing w:val="11"/>
        </w:rPr>
        <w:t>第</w:t>
      </w:r>
      <w:r>
        <w:rPr>
          <w:rFonts w:ascii="FangSong" w:hAnsi="FangSong" w:eastAsia="FangSong" w:cs="FangSong"/>
          <w:sz w:val="31"/>
          <w:szCs w:val="31"/>
          <w:b/>
          <w:bCs/>
          <w:spacing w:val="11"/>
        </w:rPr>
        <w:t>三百九十三条医疗卫生机构未经本人或者其监护人同意公开艾滋病病毒感染者、艾滋病病人或</w:t>
      </w:r>
      <w:r>
        <w:rPr>
          <w:rFonts w:ascii="FangSong" w:hAnsi="FangSong" w:eastAsia="FangSong" w:cs="FangSong"/>
          <w:sz w:val="31"/>
          <w:szCs w:val="31"/>
          <w:spacing w:val="7"/>
        </w:rPr>
        <w:t xml:space="preserve"> </w:t>
      </w:r>
      <w:r>
        <w:rPr>
          <w:rFonts w:ascii="FangSong" w:hAnsi="FangSong" w:eastAsia="FangSong" w:cs="FangSong"/>
          <w:sz w:val="31"/>
          <w:szCs w:val="31"/>
          <w:b/>
          <w:bCs/>
          <w:spacing w:val="4"/>
        </w:rPr>
        <w:t>者其家属的信息的</w:t>
      </w:r>
    </w:p>
    <w:p>
      <w:pPr>
        <w:ind w:left="794"/>
        <w:spacing w:line="222" w:lineRule="auto"/>
        <w:rPr>
          <w:rFonts w:ascii="FangSong" w:hAnsi="FangSong" w:eastAsia="FangSong" w:cs="FangSong"/>
          <w:sz w:val="31"/>
          <w:szCs w:val="31"/>
        </w:rPr>
      </w:pPr>
      <w:r>
        <w:rPr>
          <w:rFonts w:ascii="FangSong" w:hAnsi="FangSong" w:eastAsia="FangSong" w:cs="FangSong"/>
          <w:sz w:val="31"/>
          <w:szCs w:val="31"/>
          <w:spacing w:val="21"/>
        </w:rPr>
        <w:t>(</w:t>
      </w:r>
      <w:r>
        <w:rPr>
          <w:rFonts w:ascii="FangSong" w:hAnsi="FangSong" w:eastAsia="FangSong" w:cs="FangSong"/>
          <w:sz w:val="31"/>
          <w:szCs w:val="31"/>
          <w:spacing w:val="-82"/>
        </w:rPr>
        <w:t xml:space="preserve"> </w:t>
      </w:r>
      <w:r>
        <w:rPr>
          <w:rFonts w:ascii="FangSong" w:hAnsi="FangSong" w:eastAsia="FangSong" w:cs="FangSong"/>
          <w:sz w:val="31"/>
          <w:szCs w:val="31"/>
          <w:spacing w:val="21"/>
        </w:rPr>
        <w:t>一)法律依据</w:t>
      </w:r>
    </w:p>
    <w:p>
      <w:pPr>
        <w:ind w:left="35" w:right="13" w:firstLine="649"/>
        <w:spacing w:before="56" w:line="280" w:lineRule="auto"/>
        <w:rPr>
          <w:rFonts w:ascii="FangSong" w:hAnsi="FangSong" w:eastAsia="FangSong" w:cs="FangSong"/>
          <w:sz w:val="31"/>
          <w:szCs w:val="31"/>
        </w:rPr>
      </w:pPr>
      <w:r>
        <w:rPr>
          <w:rFonts w:ascii="FangSong" w:hAnsi="FangSong" w:eastAsia="FangSong" w:cs="FangSong"/>
          <w:sz w:val="31"/>
          <w:szCs w:val="31"/>
          <w:spacing w:val="6"/>
        </w:rPr>
        <w:t>1.《艾滋病防治条例》第五十六条第一款</w:t>
      </w:r>
      <w:r>
        <w:rPr>
          <w:rFonts w:ascii="FangSong" w:hAnsi="FangSong" w:eastAsia="FangSong" w:cs="FangSong"/>
          <w:sz w:val="31"/>
          <w:szCs w:val="31"/>
          <w:spacing w:val="6"/>
        </w:rPr>
        <w:t xml:space="preserve">  </w:t>
      </w:r>
      <w:r>
        <w:rPr>
          <w:rFonts w:ascii="FangSong" w:hAnsi="FangSong" w:eastAsia="FangSong" w:cs="FangSong"/>
          <w:sz w:val="31"/>
          <w:szCs w:val="31"/>
          <w:spacing w:val="6"/>
        </w:rPr>
        <w:t>医疗卫生机构违反本条例第三十九条第二款规定，公</w:t>
      </w:r>
      <w:r>
        <w:rPr>
          <w:rFonts w:ascii="FangSong" w:hAnsi="FangSong" w:eastAsia="FangSong" w:cs="FangSong"/>
          <w:sz w:val="31"/>
          <w:szCs w:val="31"/>
          <w:spacing w:val="16"/>
        </w:rPr>
        <w:t xml:space="preserve"> </w:t>
      </w:r>
      <w:r>
        <w:rPr>
          <w:rFonts w:ascii="FangSong" w:hAnsi="FangSong" w:eastAsia="FangSong" w:cs="FangSong"/>
          <w:sz w:val="31"/>
          <w:szCs w:val="31"/>
          <w:spacing w:val="8"/>
        </w:rPr>
        <w:t>开艾滋病病毒感染者、艾滋病病人或者其家属的信息的，依照传染病防治法的规定予以处罚。</w:t>
      </w:r>
    </w:p>
    <w:p>
      <w:pPr>
        <w:spacing w:line="280" w:lineRule="auto"/>
        <w:sectPr>
          <w:footerReference w:type="default" r:id="rId422"/>
          <w:pgSz w:w="16830" w:h="11900"/>
          <w:pgMar w:top="1011" w:right="1414" w:bottom="1097" w:left="1414" w:header="0" w:footer="764" w:gutter="0"/>
        </w:sectPr>
        <w:rPr>
          <w:rFonts w:ascii="FangSong" w:hAnsi="FangSong" w:eastAsia="FangSong" w:cs="FangSong"/>
          <w:sz w:val="31"/>
          <w:szCs w:val="31"/>
        </w:rPr>
      </w:pPr>
    </w:p>
    <w:p>
      <w:pPr>
        <w:pStyle w:val="BodyText"/>
        <w:spacing w:line="249" w:lineRule="auto"/>
        <w:rPr/>
      </w:pPr>
      <w:r/>
    </w:p>
    <w:p>
      <w:pPr>
        <w:pStyle w:val="BodyText"/>
        <w:spacing w:line="250" w:lineRule="auto"/>
        <w:rPr/>
      </w:pPr>
      <w:r/>
    </w:p>
    <w:p>
      <w:pPr>
        <w:pStyle w:val="BodyText"/>
        <w:spacing w:line="250" w:lineRule="auto"/>
        <w:rPr/>
      </w:pPr>
      <w:r/>
    </w:p>
    <w:p>
      <w:pPr>
        <w:ind w:left="114" w:right="116" w:firstLine="629"/>
        <w:spacing w:before="101" w:line="265" w:lineRule="auto"/>
        <w:jc w:val="both"/>
        <w:rPr>
          <w:rFonts w:ascii="FangSong" w:hAnsi="FangSong" w:eastAsia="FangSong" w:cs="FangSong"/>
          <w:sz w:val="31"/>
          <w:szCs w:val="31"/>
        </w:rPr>
      </w:pPr>
      <w:bookmarkStart w:name="bookmark1070" w:id="443"/>
      <w:bookmarkEnd w:id="443"/>
      <w:r>
        <w:rPr>
          <w:rFonts w:ascii="FangSong" w:hAnsi="FangSong" w:eastAsia="FangSong" w:cs="FangSong"/>
          <w:sz w:val="31"/>
          <w:szCs w:val="31"/>
          <w:spacing w:val="10"/>
        </w:rPr>
        <w:t>2.</w:t>
      </w:r>
      <w:r>
        <w:rPr>
          <w:rFonts w:ascii="FangSong" w:hAnsi="FangSong" w:eastAsia="FangSong" w:cs="FangSong"/>
          <w:sz w:val="31"/>
          <w:szCs w:val="31"/>
          <w:spacing w:val="10"/>
        </w:rPr>
        <w:t xml:space="preserve"> </w:t>
      </w:r>
      <w:r>
        <w:rPr>
          <w:rFonts w:ascii="FangSong" w:hAnsi="FangSong" w:eastAsia="FangSong" w:cs="FangSong"/>
          <w:sz w:val="31"/>
          <w:szCs w:val="31"/>
          <w:spacing w:val="10"/>
        </w:rPr>
        <w:t>《中华人民共和国传染病防治法》第六十九条第(七)项</w:t>
      </w:r>
      <w:r>
        <w:rPr>
          <w:rFonts w:ascii="FangSong" w:hAnsi="FangSong" w:eastAsia="FangSong" w:cs="FangSong"/>
          <w:sz w:val="31"/>
          <w:szCs w:val="31"/>
          <w:spacing w:val="9"/>
        </w:rPr>
        <w:t xml:space="preserve">  </w:t>
      </w:r>
      <w:r>
        <w:rPr>
          <w:rFonts w:ascii="FangSong" w:hAnsi="FangSong" w:eastAsia="FangSong" w:cs="FangSong"/>
          <w:sz w:val="31"/>
          <w:szCs w:val="31"/>
          <w:spacing w:val="9"/>
        </w:rPr>
        <w:t>医疗机构违反本法规定，有下列情</w:t>
      </w:r>
      <w:r>
        <w:rPr>
          <w:rFonts w:ascii="FangSong" w:hAnsi="FangSong" w:eastAsia="FangSong" w:cs="FangSong"/>
          <w:sz w:val="31"/>
          <w:szCs w:val="31"/>
        </w:rPr>
        <w:t xml:space="preserve"> </w:t>
      </w:r>
      <w:r>
        <w:rPr>
          <w:rFonts w:ascii="FangSong" w:hAnsi="FangSong" w:eastAsia="FangSong" w:cs="FangSong"/>
          <w:sz w:val="31"/>
          <w:szCs w:val="31"/>
          <w:spacing w:val="7"/>
        </w:rPr>
        <w:t>形之一的，由县级以上人民政府卫生行政部门责令改正，通</w:t>
      </w:r>
      <w:r>
        <w:rPr>
          <w:rFonts w:ascii="FangSong" w:hAnsi="FangSong" w:eastAsia="FangSong" w:cs="FangSong"/>
          <w:sz w:val="31"/>
          <w:szCs w:val="31"/>
          <w:spacing w:val="6"/>
        </w:rPr>
        <w:t>报批评，给予警告；造成传染病传播、流</w:t>
      </w:r>
      <w:r>
        <w:rPr>
          <w:rFonts w:ascii="FangSong" w:hAnsi="FangSong" w:eastAsia="FangSong" w:cs="FangSong"/>
          <w:sz w:val="31"/>
          <w:szCs w:val="31"/>
        </w:rPr>
        <w:t xml:space="preserve"> </w:t>
      </w:r>
      <w:r>
        <w:rPr>
          <w:rFonts w:ascii="FangSong" w:hAnsi="FangSong" w:eastAsia="FangSong" w:cs="FangSong"/>
          <w:sz w:val="31"/>
          <w:szCs w:val="31"/>
          <w:spacing w:val="7"/>
        </w:rPr>
        <w:t>行或者其他严重后果的，对负有责任的主管人员和其他直接责任人员，依法给予</w:t>
      </w:r>
      <w:r>
        <w:rPr>
          <w:rFonts w:ascii="FangSong" w:hAnsi="FangSong" w:eastAsia="FangSong" w:cs="FangSong"/>
          <w:sz w:val="31"/>
          <w:szCs w:val="31"/>
          <w:spacing w:val="6"/>
        </w:rPr>
        <w:t>降级、撤职、开除的</w:t>
      </w:r>
      <w:r>
        <w:rPr>
          <w:rFonts w:ascii="FangSong" w:hAnsi="FangSong" w:eastAsia="FangSong" w:cs="FangSong"/>
          <w:sz w:val="31"/>
          <w:szCs w:val="31"/>
        </w:rPr>
        <w:t xml:space="preserve"> </w:t>
      </w:r>
      <w:r>
        <w:rPr>
          <w:rFonts w:ascii="FangSong" w:hAnsi="FangSong" w:eastAsia="FangSong" w:cs="FangSong"/>
          <w:sz w:val="31"/>
          <w:szCs w:val="31"/>
          <w:spacing w:val="8"/>
        </w:rPr>
        <w:t>处分，并可以依法吊销有关责任人员的执业证书；构成犯</w:t>
      </w:r>
      <w:r>
        <w:rPr>
          <w:rFonts w:ascii="FangSong" w:hAnsi="FangSong" w:eastAsia="FangSong" w:cs="FangSong"/>
          <w:sz w:val="31"/>
          <w:szCs w:val="31"/>
          <w:spacing w:val="7"/>
        </w:rPr>
        <w:t>罪的，依法追究刑事责任：</w:t>
      </w:r>
    </w:p>
    <w:p>
      <w:pPr>
        <w:ind w:left="114" w:right="126" w:firstLine="769"/>
        <w:spacing w:before="3" w:line="267" w:lineRule="auto"/>
        <w:rPr>
          <w:rFonts w:ascii="FangSong" w:hAnsi="FangSong" w:eastAsia="FangSong" w:cs="FangSong"/>
          <w:sz w:val="31"/>
          <w:szCs w:val="31"/>
        </w:rPr>
      </w:pPr>
      <w:r>
        <w:rPr>
          <w:rFonts w:ascii="FangSong" w:hAnsi="FangSong" w:eastAsia="FangSong" w:cs="FangSong"/>
          <w:sz w:val="31"/>
          <w:szCs w:val="31"/>
          <w:spacing w:val="11"/>
        </w:rPr>
        <w:t>(七)故意泄露传染病病人、病原携带者、疑似传染病病人、密切</w:t>
      </w:r>
      <w:r>
        <w:rPr>
          <w:rFonts w:ascii="FangSong" w:hAnsi="FangSong" w:eastAsia="FangSong" w:cs="FangSong"/>
          <w:sz w:val="31"/>
          <w:szCs w:val="31"/>
          <w:spacing w:val="10"/>
        </w:rPr>
        <w:t>接触者涉及个人隐私的有关信</w:t>
      </w:r>
      <w:r>
        <w:rPr>
          <w:rFonts w:ascii="FangSong" w:hAnsi="FangSong" w:eastAsia="FangSong" w:cs="FangSong"/>
          <w:sz w:val="31"/>
          <w:szCs w:val="31"/>
        </w:rPr>
        <w:t xml:space="preserve"> </w:t>
      </w:r>
      <w:r>
        <w:rPr>
          <w:rFonts w:ascii="FangSong" w:hAnsi="FangSong" w:eastAsia="FangSong" w:cs="FangSong"/>
          <w:sz w:val="31"/>
          <w:szCs w:val="31"/>
          <w:spacing w:val="-1"/>
        </w:rPr>
        <w:t>息、资料的。</w:t>
      </w:r>
    </w:p>
    <w:p>
      <w:pPr>
        <w:ind w:left="6528"/>
        <w:spacing w:before="14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34" w:lineRule="auto"/>
        <w:rPr>
          <w:rFonts w:ascii="Arial"/>
          <w:sz w:val="2"/>
        </w:rPr>
      </w:pPr>
      <w:r>
        <w:rPr>
          <w:rFonts w:ascii="Arial"/>
          <w:sz w:val="2"/>
        </w:rPr>
      </w:r>
    </w:p>
    <w:tbl>
      <w:tblPr>
        <w:tblStyle w:val="TableNormal"/>
        <w:tblW w:w="14161"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604"/>
        <w:gridCol w:w="5133"/>
      </w:tblGrid>
      <w:tr>
        <w:trPr>
          <w:trHeight w:val="423" w:hRule="atLeast"/>
        </w:trPr>
        <w:tc>
          <w:tcPr>
            <w:tcW w:w="1424" w:type="dxa"/>
            <w:vAlign w:val="top"/>
          </w:tcPr>
          <w:p>
            <w:pPr>
              <w:pStyle w:val="TableText"/>
              <w:ind w:left="208"/>
              <w:spacing w:before="92" w:line="220" w:lineRule="auto"/>
              <w:rPr>
                <w:sz w:val="25"/>
                <w:szCs w:val="25"/>
              </w:rPr>
            </w:pPr>
            <w:r>
              <w:rPr>
                <w:sz w:val="25"/>
                <w:szCs w:val="25"/>
                <w:b/>
                <w:bCs/>
                <w:spacing w:val="-5"/>
              </w:rPr>
              <w:t>违法程度</w:t>
            </w:r>
          </w:p>
        </w:tc>
        <w:tc>
          <w:tcPr>
            <w:tcW w:w="7604" w:type="dxa"/>
            <w:vAlign w:val="top"/>
          </w:tcPr>
          <w:p>
            <w:pPr>
              <w:pStyle w:val="TableText"/>
              <w:ind w:left="3294"/>
              <w:spacing w:before="92" w:line="220" w:lineRule="auto"/>
              <w:rPr>
                <w:sz w:val="25"/>
                <w:szCs w:val="25"/>
              </w:rPr>
            </w:pPr>
            <w:r>
              <w:rPr>
                <w:sz w:val="25"/>
                <w:szCs w:val="25"/>
                <w:b/>
                <w:bCs/>
                <w:spacing w:val="-5"/>
              </w:rPr>
              <w:t>违法后果</w:t>
            </w:r>
          </w:p>
        </w:tc>
        <w:tc>
          <w:tcPr>
            <w:tcW w:w="5133" w:type="dxa"/>
            <w:vAlign w:val="top"/>
          </w:tcPr>
          <w:p>
            <w:pPr>
              <w:pStyle w:val="TableText"/>
              <w:ind w:left="2010"/>
              <w:spacing w:before="89" w:line="218" w:lineRule="auto"/>
              <w:rPr>
                <w:sz w:val="25"/>
                <w:szCs w:val="25"/>
              </w:rPr>
            </w:pPr>
            <w:r>
              <w:rPr>
                <w:sz w:val="25"/>
                <w:szCs w:val="25"/>
                <w:b/>
                <w:bCs/>
                <w:spacing w:val="-5"/>
              </w:rPr>
              <w:t>裁量幅度</w:t>
            </w:r>
          </w:p>
        </w:tc>
      </w:tr>
      <w:tr>
        <w:trPr>
          <w:trHeight w:val="686" w:hRule="atLeast"/>
        </w:trPr>
        <w:tc>
          <w:tcPr>
            <w:tcW w:w="1424" w:type="dxa"/>
            <w:vAlign w:val="top"/>
          </w:tcPr>
          <w:p>
            <w:pPr>
              <w:pStyle w:val="TableText"/>
              <w:ind w:left="458"/>
              <w:spacing w:before="220" w:line="221" w:lineRule="auto"/>
              <w:rPr>
                <w:sz w:val="25"/>
                <w:szCs w:val="25"/>
              </w:rPr>
            </w:pPr>
            <w:r>
              <w:rPr>
                <w:sz w:val="25"/>
                <w:szCs w:val="25"/>
                <w:b/>
                <w:bCs/>
                <w:spacing w:val="-10"/>
              </w:rPr>
              <w:t>一般</w:t>
            </w:r>
          </w:p>
        </w:tc>
        <w:tc>
          <w:tcPr>
            <w:tcW w:w="7604" w:type="dxa"/>
            <w:vAlign w:val="top"/>
          </w:tcPr>
          <w:p>
            <w:pPr>
              <w:pStyle w:val="TableText"/>
              <w:ind w:left="119" w:hanging="109"/>
              <w:spacing w:before="80" w:line="220" w:lineRule="auto"/>
              <w:rPr>
                <w:sz w:val="25"/>
                <w:szCs w:val="25"/>
              </w:rPr>
            </w:pPr>
            <w:r>
              <w:rPr>
                <w:sz w:val="25"/>
                <w:szCs w:val="25"/>
                <w:spacing w:val="-6"/>
              </w:rPr>
              <w:t>医疗卫生机构未经本人或者其监护人同意，公开艾滋病病毒感染者、艾</w:t>
            </w:r>
            <w:r>
              <w:rPr>
                <w:sz w:val="25"/>
                <w:szCs w:val="25"/>
                <w:spacing w:val="18"/>
              </w:rPr>
              <w:t xml:space="preserve"> </w:t>
            </w:r>
            <w:r>
              <w:rPr>
                <w:sz w:val="25"/>
                <w:szCs w:val="25"/>
              </w:rPr>
              <w:t>滋病病人或者其家属的信息的，未造成严重后果的</w:t>
            </w:r>
          </w:p>
        </w:tc>
        <w:tc>
          <w:tcPr>
            <w:tcW w:w="5133" w:type="dxa"/>
            <w:vAlign w:val="top"/>
          </w:tcPr>
          <w:p>
            <w:pPr>
              <w:pStyle w:val="TableText"/>
              <w:ind w:left="106"/>
              <w:spacing w:before="220" w:line="218" w:lineRule="auto"/>
              <w:rPr>
                <w:sz w:val="25"/>
                <w:szCs w:val="25"/>
              </w:rPr>
            </w:pPr>
            <w:r>
              <w:rPr>
                <w:sz w:val="25"/>
                <w:szCs w:val="25"/>
                <w:spacing w:val="1"/>
              </w:rPr>
              <w:t>责令改正，给予警告</w:t>
            </w:r>
          </w:p>
        </w:tc>
      </w:tr>
      <w:tr>
        <w:trPr>
          <w:trHeight w:val="1020" w:hRule="atLeast"/>
        </w:trPr>
        <w:tc>
          <w:tcPr>
            <w:tcW w:w="1424" w:type="dxa"/>
            <w:vAlign w:val="top"/>
          </w:tcPr>
          <w:p>
            <w:pPr>
              <w:spacing w:line="310"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7604" w:type="dxa"/>
            <w:vAlign w:val="top"/>
          </w:tcPr>
          <w:p>
            <w:pPr>
              <w:pStyle w:val="TableText"/>
              <w:ind w:left="10"/>
              <w:spacing w:before="63" w:line="233" w:lineRule="auto"/>
              <w:jc w:val="both"/>
              <w:rPr>
                <w:sz w:val="25"/>
                <w:szCs w:val="25"/>
              </w:rPr>
            </w:pPr>
            <w:r>
              <w:rPr>
                <w:sz w:val="25"/>
                <w:szCs w:val="25"/>
                <w:spacing w:val="-6"/>
              </w:rPr>
              <w:t>医疗卫生机构未经本人或者其监护人同意，公开艾滋病病毒感染者、艾</w:t>
            </w:r>
            <w:r>
              <w:rPr>
                <w:sz w:val="25"/>
                <w:szCs w:val="25"/>
                <w:spacing w:val="18"/>
              </w:rPr>
              <w:t xml:space="preserve"> </w:t>
            </w:r>
            <w:r>
              <w:rPr>
                <w:sz w:val="25"/>
                <w:szCs w:val="25"/>
                <w:spacing w:val="-6"/>
              </w:rPr>
              <w:t>滋病病人或者其家属的信息，给艾滋病病毒感染者、艾滋病病人或者其</w:t>
            </w:r>
            <w:r>
              <w:rPr>
                <w:sz w:val="25"/>
                <w:szCs w:val="25"/>
                <w:spacing w:val="17"/>
              </w:rPr>
              <w:t xml:space="preserve"> </w:t>
            </w:r>
            <w:r>
              <w:rPr>
                <w:sz w:val="25"/>
                <w:szCs w:val="25"/>
                <w:spacing w:val="8"/>
              </w:rPr>
              <w:t>家属造成伤害或者其他严重后果的</w:t>
            </w:r>
          </w:p>
        </w:tc>
        <w:tc>
          <w:tcPr>
            <w:tcW w:w="5133" w:type="dxa"/>
            <w:vAlign w:val="top"/>
          </w:tcPr>
          <w:p>
            <w:pPr>
              <w:pStyle w:val="TableText"/>
              <w:ind w:left="106" w:firstLine="10"/>
              <w:spacing w:before="223" w:line="261" w:lineRule="auto"/>
              <w:rPr>
                <w:sz w:val="25"/>
                <w:szCs w:val="25"/>
              </w:rPr>
            </w:pPr>
            <w:r>
              <w:rPr>
                <w:sz w:val="25"/>
                <w:szCs w:val="25"/>
              </w:rPr>
              <w:t>责令改正，给予警告；并可以依法吊销有关责</w:t>
            </w:r>
            <w:r>
              <w:rPr>
                <w:sz w:val="25"/>
                <w:szCs w:val="25"/>
                <w:spacing w:val="5"/>
              </w:rPr>
              <w:t xml:space="preserve"> </w:t>
            </w:r>
            <w:r>
              <w:rPr>
                <w:sz w:val="25"/>
                <w:szCs w:val="25"/>
                <w:spacing w:val="1"/>
              </w:rPr>
              <w:t>任人员的执业证书</w:t>
            </w:r>
          </w:p>
        </w:tc>
      </w:tr>
    </w:tbl>
    <w:p>
      <w:pPr>
        <w:pStyle w:val="BodyText"/>
        <w:spacing w:line="415" w:lineRule="auto"/>
        <w:rPr/>
      </w:pPr>
      <w:r/>
    </w:p>
    <w:p>
      <w:pPr>
        <w:ind w:left="119" w:right="135" w:firstLine="339"/>
        <w:spacing w:before="101" w:line="264" w:lineRule="auto"/>
        <w:rPr>
          <w:rFonts w:ascii="FangSong" w:hAnsi="FangSong" w:eastAsia="FangSong" w:cs="FangSong"/>
          <w:sz w:val="31"/>
          <w:szCs w:val="31"/>
        </w:rPr>
      </w:pPr>
      <w:r>
        <w:rPr>
          <w:rFonts w:ascii="FangSong" w:hAnsi="FangSong" w:eastAsia="FangSong" w:cs="FangSong"/>
          <w:sz w:val="31"/>
          <w:szCs w:val="31"/>
          <w:b/>
          <w:bCs/>
          <w:spacing w:val="10"/>
        </w:rPr>
        <w:t>第三百九十四条提供、使用未经出入境检验检疫机构检疫的进口人体血液、血浆、组织、器</w:t>
      </w:r>
      <w:r>
        <w:rPr>
          <w:rFonts w:ascii="FangSong" w:hAnsi="FangSong" w:eastAsia="FangSong" w:cs="FangSong"/>
          <w:sz w:val="31"/>
          <w:szCs w:val="31"/>
          <w:b/>
          <w:bCs/>
          <w:spacing w:val="9"/>
        </w:rPr>
        <w:t>官、</w:t>
      </w:r>
      <w:r>
        <w:rPr>
          <w:rFonts w:ascii="FangSong" w:hAnsi="FangSong" w:eastAsia="FangSong" w:cs="FangSong"/>
          <w:sz w:val="31"/>
          <w:szCs w:val="31"/>
        </w:rPr>
        <w:t xml:space="preserve"> </w:t>
      </w:r>
      <w:r>
        <w:rPr>
          <w:rFonts w:ascii="FangSong" w:hAnsi="FangSong" w:eastAsia="FangSong" w:cs="FangSong"/>
          <w:sz w:val="31"/>
          <w:szCs w:val="31"/>
          <w:b/>
          <w:bCs/>
          <w:spacing w:val="5"/>
        </w:rPr>
        <w:t>细胞、骨髓等的</w:t>
      </w:r>
    </w:p>
    <w:p>
      <w:pPr>
        <w:ind w:left="744"/>
        <w:spacing w:line="222" w:lineRule="auto"/>
        <w:rPr>
          <w:rFonts w:ascii="FangSong" w:hAnsi="FangSong" w:eastAsia="FangSong" w:cs="FangSong"/>
          <w:sz w:val="31"/>
          <w:szCs w:val="31"/>
        </w:rPr>
      </w:pPr>
      <w:r>
        <w:rPr>
          <w:rFonts w:ascii="FangSong" w:hAnsi="FangSong" w:eastAsia="FangSong" w:cs="FangSong"/>
          <w:sz w:val="31"/>
          <w:szCs w:val="31"/>
          <w:spacing w:val="7"/>
        </w:rPr>
        <w:t>法律依据</w:t>
      </w:r>
    </w:p>
    <w:p>
      <w:pPr>
        <w:ind w:left="114" w:right="113" w:firstLine="625"/>
        <w:spacing w:before="84" w:line="261" w:lineRule="auto"/>
        <w:rPr>
          <w:rFonts w:ascii="FangSong" w:hAnsi="FangSong" w:eastAsia="FangSong" w:cs="FangSong"/>
          <w:sz w:val="31"/>
          <w:szCs w:val="31"/>
        </w:rPr>
      </w:pPr>
      <w:r>
        <w:rPr>
          <w:rFonts w:ascii="FangSong" w:hAnsi="FangSong" w:eastAsia="FangSong" w:cs="FangSong"/>
          <w:sz w:val="31"/>
          <w:szCs w:val="31"/>
          <w:spacing w:val="7"/>
        </w:rPr>
        <w:t>《艾滋病防治条例》第五十九条第一款“对不符合本条例第三十七条第</w:t>
      </w:r>
      <w:r>
        <w:rPr>
          <w:rFonts w:ascii="FangSong" w:hAnsi="FangSong" w:eastAsia="FangSong" w:cs="FangSong"/>
          <w:sz w:val="31"/>
          <w:szCs w:val="31"/>
          <w:spacing w:val="6"/>
        </w:rPr>
        <w:t>二款规定进出口的人体血</w:t>
      </w:r>
      <w:r>
        <w:rPr>
          <w:rFonts w:ascii="FangSong" w:hAnsi="FangSong" w:eastAsia="FangSong" w:cs="FangSong"/>
          <w:sz w:val="31"/>
          <w:szCs w:val="31"/>
        </w:rPr>
        <w:t xml:space="preserve"> </w:t>
      </w:r>
      <w:r>
        <w:rPr>
          <w:rFonts w:ascii="FangSong" w:hAnsi="FangSong" w:eastAsia="FangSong" w:cs="FangSong"/>
          <w:sz w:val="31"/>
          <w:szCs w:val="31"/>
          <w:spacing w:val="7"/>
        </w:rPr>
        <w:t>液、血浆、组织、器官、细胞、骨髓等，进出口口岸出入境检验检疫机构应当禁止出入</w:t>
      </w:r>
      <w:r>
        <w:rPr>
          <w:rFonts w:ascii="FangSong" w:hAnsi="FangSong" w:eastAsia="FangSong" w:cs="FangSong"/>
          <w:sz w:val="31"/>
          <w:szCs w:val="31"/>
          <w:spacing w:val="6"/>
        </w:rPr>
        <w:t>境或者监督销</w:t>
      </w:r>
    </w:p>
    <w:p>
      <w:pPr>
        <w:spacing w:line="261" w:lineRule="auto"/>
        <w:sectPr>
          <w:footerReference w:type="default" r:id="rId423"/>
          <w:pgSz w:w="16830" w:h="11900"/>
          <w:pgMar w:top="1011" w:right="1333" w:bottom="1130" w:left="1325" w:header="0" w:footer="806" w:gutter="0"/>
        </w:sectPr>
        <w:rPr>
          <w:rFonts w:ascii="FangSong" w:hAnsi="FangSong" w:eastAsia="FangSong" w:cs="FangSong"/>
          <w:sz w:val="31"/>
          <w:szCs w:val="31"/>
        </w:rPr>
      </w:pPr>
    </w:p>
    <w:p>
      <w:pPr>
        <w:pStyle w:val="BodyText"/>
        <w:spacing w:line="255" w:lineRule="auto"/>
        <w:rPr/>
      </w:pPr>
      <w:r/>
    </w:p>
    <w:p>
      <w:pPr>
        <w:pStyle w:val="BodyText"/>
        <w:spacing w:line="255" w:lineRule="auto"/>
        <w:rPr/>
      </w:pPr>
      <w:r/>
    </w:p>
    <w:p>
      <w:pPr>
        <w:pStyle w:val="BodyText"/>
        <w:spacing w:line="256" w:lineRule="auto"/>
        <w:rPr/>
      </w:pPr>
      <w:r/>
    </w:p>
    <w:p>
      <w:pPr>
        <w:ind w:left="145"/>
        <w:spacing w:before="98" w:line="222" w:lineRule="auto"/>
        <w:rPr>
          <w:rFonts w:ascii="FangSong" w:hAnsi="FangSong" w:eastAsia="FangSong" w:cs="FangSong"/>
          <w:sz w:val="30"/>
          <w:szCs w:val="30"/>
        </w:rPr>
      </w:pPr>
      <w:bookmarkStart w:name="bookmark1071" w:id="444"/>
      <w:bookmarkEnd w:id="444"/>
      <w:r>
        <w:rPr>
          <w:rFonts w:ascii="FangSong" w:hAnsi="FangSong" w:eastAsia="FangSong" w:cs="FangSong"/>
          <w:sz w:val="30"/>
          <w:szCs w:val="30"/>
          <w:spacing w:val="16"/>
        </w:rPr>
        <w:t>毁。提供、使用未</w:t>
      </w:r>
    </w:p>
    <w:p>
      <w:pPr>
        <w:ind w:left="145" w:right="95" w:firstLine="639"/>
        <w:spacing w:before="85" w:line="270" w:lineRule="auto"/>
        <w:jc w:val="both"/>
        <w:rPr>
          <w:rFonts w:ascii="FangSong" w:hAnsi="FangSong" w:eastAsia="FangSong" w:cs="FangSong"/>
          <w:sz w:val="30"/>
          <w:szCs w:val="30"/>
        </w:rPr>
      </w:pPr>
      <w:r>
        <w:rPr>
          <w:rFonts w:ascii="FangSong" w:hAnsi="FangSong" w:eastAsia="FangSong" w:cs="FangSong"/>
          <w:sz w:val="30"/>
          <w:szCs w:val="30"/>
          <w:spacing w:val="16"/>
        </w:rPr>
        <w:t>经出入境检验检疫机构检疫的进口人体血液、血浆、组织、器官、细胞、骨髓等的，由县级以上</w:t>
      </w:r>
      <w:r>
        <w:rPr>
          <w:rFonts w:ascii="FangSong" w:hAnsi="FangSong" w:eastAsia="FangSong" w:cs="FangSong"/>
          <w:sz w:val="30"/>
          <w:szCs w:val="30"/>
          <w:spacing w:val="6"/>
        </w:rPr>
        <w:t xml:space="preserve"> </w:t>
      </w:r>
      <w:r>
        <w:rPr>
          <w:rFonts w:ascii="FangSong" w:hAnsi="FangSong" w:eastAsia="FangSong" w:cs="FangSong"/>
          <w:sz w:val="30"/>
          <w:szCs w:val="30"/>
          <w:spacing w:val="15"/>
        </w:rPr>
        <w:t>人民政府卫生主管部门没收违法物品以及违法所得，并处违法物品货值金额3</w:t>
      </w:r>
      <w:r>
        <w:rPr>
          <w:rFonts w:ascii="FangSong" w:hAnsi="FangSong" w:eastAsia="FangSong" w:cs="FangSong"/>
          <w:sz w:val="30"/>
          <w:szCs w:val="30"/>
          <w:spacing w:val="15"/>
        </w:rPr>
        <w:t xml:space="preserve"> </w:t>
      </w:r>
      <w:r>
        <w:rPr>
          <w:rFonts w:ascii="FangSong" w:hAnsi="FangSong" w:eastAsia="FangSong" w:cs="FangSong"/>
          <w:sz w:val="30"/>
          <w:szCs w:val="30"/>
          <w:spacing w:val="15"/>
        </w:rPr>
        <w:t>倍</w:t>
      </w:r>
      <w:r>
        <w:rPr>
          <w:rFonts w:ascii="FangSong" w:hAnsi="FangSong" w:eastAsia="FangSong" w:cs="FangSong"/>
          <w:sz w:val="30"/>
          <w:szCs w:val="30"/>
          <w:spacing w:val="15"/>
        </w:rPr>
        <w:t xml:space="preserve"> </w:t>
      </w:r>
      <w:r>
        <w:rPr>
          <w:rFonts w:ascii="FangSong" w:hAnsi="FangSong" w:eastAsia="FangSong" w:cs="FangSong"/>
          <w:sz w:val="30"/>
          <w:szCs w:val="30"/>
          <w:spacing w:val="15"/>
        </w:rPr>
        <w:t>以</w:t>
      </w:r>
      <w:r>
        <w:rPr>
          <w:rFonts w:ascii="FangSong" w:hAnsi="FangSong" w:eastAsia="FangSong" w:cs="FangSong"/>
          <w:sz w:val="30"/>
          <w:szCs w:val="30"/>
          <w:spacing w:val="-41"/>
        </w:rPr>
        <w:t xml:space="preserve"> </w:t>
      </w:r>
      <w:r>
        <w:rPr>
          <w:rFonts w:ascii="FangSong" w:hAnsi="FangSong" w:eastAsia="FangSong" w:cs="FangSong"/>
          <w:sz w:val="30"/>
          <w:szCs w:val="30"/>
          <w:spacing w:val="15"/>
        </w:rPr>
        <w:t>上</w:t>
      </w:r>
      <w:r>
        <w:rPr>
          <w:rFonts w:ascii="FangSong" w:hAnsi="FangSong" w:eastAsia="FangSong" w:cs="FangSong"/>
          <w:sz w:val="30"/>
          <w:szCs w:val="30"/>
          <w:spacing w:val="-47"/>
        </w:rPr>
        <w:t xml:space="preserve"> </w:t>
      </w:r>
      <w:r>
        <w:rPr>
          <w:rFonts w:ascii="FangSong" w:hAnsi="FangSong" w:eastAsia="FangSong" w:cs="FangSong"/>
          <w:sz w:val="30"/>
          <w:szCs w:val="30"/>
          <w:spacing w:val="15"/>
        </w:rPr>
        <w:t>5</w:t>
      </w:r>
      <w:r>
        <w:rPr>
          <w:rFonts w:ascii="FangSong" w:hAnsi="FangSong" w:eastAsia="FangSong" w:cs="FangSong"/>
          <w:sz w:val="30"/>
          <w:szCs w:val="30"/>
          <w:spacing w:val="15"/>
        </w:rPr>
        <w:t xml:space="preserve"> </w:t>
      </w:r>
      <w:r>
        <w:rPr>
          <w:rFonts w:ascii="FangSong" w:hAnsi="FangSong" w:eastAsia="FangSong" w:cs="FangSong"/>
          <w:sz w:val="30"/>
          <w:szCs w:val="30"/>
          <w:spacing w:val="15"/>
        </w:rPr>
        <w:t>倍以下的罚</w:t>
      </w:r>
      <w:r>
        <w:rPr>
          <w:rFonts w:ascii="FangSong" w:hAnsi="FangSong" w:eastAsia="FangSong" w:cs="FangSong"/>
          <w:sz w:val="30"/>
          <w:szCs w:val="30"/>
        </w:rPr>
        <w:t xml:space="preserve"> </w:t>
      </w:r>
      <w:r>
        <w:rPr>
          <w:rFonts w:ascii="FangSong" w:hAnsi="FangSong" w:eastAsia="FangSong" w:cs="FangSong"/>
          <w:sz w:val="30"/>
          <w:szCs w:val="30"/>
          <w:spacing w:val="18"/>
        </w:rPr>
        <w:t>款；对负有责任的主管人员和其他直接责任人员由其所在单位或者上级主管部门依法给予处分。</w:t>
      </w:r>
    </w:p>
    <w:p>
      <w:pPr>
        <w:ind w:left="6538"/>
        <w:spacing w:before="182"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before="44"/>
        <w:rPr/>
      </w:pPr>
      <w:r/>
    </w:p>
    <w:p>
      <w:pPr>
        <w:spacing w:before="43"/>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5596"/>
        <w:gridCol w:w="7130"/>
      </w:tblGrid>
      <w:tr>
        <w:trPr>
          <w:trHeight w:val="423" w:hRule="atLeast"/>
        </w:trPr>
        <w:tc>
          <w:tcPr>
            <w:tcW w:w="1444" w:type="dxa"/>
            <w:vAlign w:val="top"/>
          </w:tcPr>
          <w:p>
            <w:pPr>
              <w:pStyle w:val="TableText"/>
              <w:ind w:left="218"/>
              <w:spacing w:before="92" w:line="220" w:lineRule="auto"/>
              <w:rPr>
                <w:sz w:val="25"/>
                <w:szCs w:val="25"/>
              </w:rPr>
            </w:pPr>
            <w:r>
              <w:rPr>
                <w:sz w:val="25"/>
                <w:szCs w:val="25"/>
                <w:b/>
                <w:bCs/>
                <w:spacing w:val="-5"/>
              </w:rPr>
              <w:t>违法程度</w:t>
            </w:r>
          </w:p>
        </w:tc>
        <w:tc>
          <w:tcPr>
            <w:tcW w:w="5596" w:type="dxa"/>
            <w:vAlign w:val="top"/>
          </w:tcPr>
          <w:p>
            <w:pPr>
              <w:pStyle w:val="TableText"/>
              <w:ind w:left="2224"/>
              <w:spacing w:before="92" w:line="220" w:lineRule="auto"/>
              <w:rPr>
                <w:sz w:val="25"/>
                <w:szCs w:val="25"/>
              </w:rPr>
            </w:pPr>
            <w:r>
              <w:rPr>
                <w:sz w:val="25"/>
                <w:szCs w:val="25"/>
                <w:b/>
                <w:bCs/>
                <w:spacing w:val="-5"/>
              </w:rPr>
              <w:t>违法后果</w:t>
            </w:r>
          </w:p>
        </w:tc>
        <w:tc>
          <w:tcPr>
            <w:tcW w:w="7130" w:type="dxa"/>
            <w:vAlign w:val="top"/>
          </w:tcPr>
          <w:p>
            <w:pPr>
              <w:pStyle w:val="TableText"/>
              <w:ind w:left="3058"/>
              <w:spacing w:before="89" w:line="218" w:lineRule="auto"/>
              <w:rPr>
                <w:sz w:val="25"/>
                <w:szCs w:val="25"/>
              </w:rPr>
            </w:pPr>
            <w:r>
              <w:rPr>
                <w:sz w:val="25"/>
                <w:szCs w:val="25"/>
                <w:b/>
                <w:bCs/>
                <w:spacing w:val="-5"/>
              </w:rPr>
              <w:t>裁量幅度</w:t>
            </w:r>
          </w:p>
        </w:tc>
      </w:tr>
      <w:tr>
        <w:trPr>
          <w:trHeight w:val="696" w:hRule="atLeast"/>
        </w:trPr>
        <w:tc>
          <w:tcPr>
            <w:tcW w:w="1444" w:type="dxa"/>
            <w:vAlign w:val="top"/>
          </w:tcPr>
          <w:p>
            <w:pPr>
              <w:pStyle w:val="TableText"/>
              <w:ind w:left="468"/>
              <w:spacing w:before="230" w:line="221" w:lineRule="auto"/>
              <w:rPr>
                <w:sz w:val="25"/>
                <w:szCs w:val="25"/>
              </w:rPr>
            </w:pPr>
            <w:r>
              <w:rPr>
                <w:sz w:val="25"/>
                <w:szCs w:val="25"/>
                <w:b/>
                <w:bCs/>
                <w:spacing w:val="-10"/>
              </w:rPr>
              <w:t>一般</w:t>
            </w:r>
          </w:p>
        </w:tc>
        <w:tc>
          <w:tcPr>
            <w:tcW w:w="5596" w:type="dxa"/>
            <w:vAlign w:val="top"/>
          </w:tcPr>
          <w:p>
            <w:pPr>
              <w:pStyle w:val="TableText"/>
              <w:ind w:left="100"/>
              <w:spacing w:before="70" w:line="219" w:lineRule="auto"/>
              <w:rPr>
                <w:sz w:val="25"/>
                <w:szCs w:val="25"/>
              </w:rPr>
            </w:pPr>
            <w:r>
              <w:rPr>
                <w:sz w:val="25"/>
                <w:szCs w:val="25"/>
                <w:spacing w:val="2"/>
              </w:rPr>
              <w:t>违法物品货值不足1万元的</w:t>
            </w:r>
          </w:p>
        </w:tc>
        <w:tc>
          <w:tcPr>
            <w:tcW w:w="7130" w:type="dxa"/>
            <w:vAlign w:val="top"/>
          </w:tcPr>
          <w:p>
            <w:pPr>
              <w:pStyle w:val="TableText"/>
              <w:ind w:left="244"/>
              <w:spacing w:before="230" w:line="219" w:lineRule="auto"/>
              <w:rPr>
                <w:sz w:val="25"/>
                <w:szCs w:val="25"/>
              </w:rPr>
            </w:pPr>
            <w:r>
              <w:rPr>
                <w:sz w:val="25"/>
                <w:szCs w:val="25"/>
                <w:spacing w:val="-1"/>
              </w:rPr>
              <w:t>没收违法物品，没收违法所得，并处以违法物品货值3倍罚款</w:t>
            </w:r>
          </w:p>
        </w:tc>
      </w:tr>
      <w:tr>
        <w:trPr>
          <w:trHeight w:val="328" w:hRule="atLeast"/>
        </w:trPr>
        <w:tc>
          <w:tcPr>
            <w:tcW w:w="1444" w:type="dxa"/>
            <w:vAlign w:val="top"/>
          </w:tcPr>
          <w:p>
            <w:pPr>
              <w:pStyle w:val="TableText"/>
              <w:ind w:left="468"/>
              <w:spacing w:before="45" w:line="201" w:lineRule="auto"/>
              <w:rPr>
                <w:sz w:val="25"/>
                <w:szCs w:val="25"/>
              </w:rPr>
            </w:pPr>
            <w:r>
              <w:rPr>
                <w:sz w:val="25"/>
                <w:szCs w:val="25"/>
                <w:b/>
                <w:bCs/>
                <w:spacing w:val="-6"/>
              </w:rPr>
              <w:t>较重</w:t>
            </w:r>
          </w:p>
        </w:tc>
        <w:tc>
          <w:tcPr>
            <w:tcW w:w="5596" w:type="dxa"/>
            <w:vAlign w:val="top"/>
          </w:tcPr>
          <w:p>
            <w:pPr>
              <w:pStyle w:val="TableText"/>
              <w:ind w:left="100"/>
              <w:spacing w:before="45" w:line="201" w:lineRule="auto"/>
              <w:rPr>
                <w:sz w:val="25"/>
                <w:szCs w:val="25"/>
              </w:rPr>
            </w:pPr>
            <w:r>
              <w:rPr>
                <w:sz w:val="25"/>
                <w:szCs w:val="25"/>
                <w:spacing w:val="1"/>
              </w:rPr>
              <w:t>违法物品货值1万元以上不足2万元的</w:t>
            </w:r>
          </w:p>
        </w:tc>
        <w:tc>
          <w:tcPr>
            <w:tcW w:w="7130" w:type="dxa"/>
            <w:vAlign w:val="top"/>
          </w:tcPr>
          <w:p>
            <w:pPr>
              <w:pStyle w:val="TableText"/>
              <w:ind w:left="244"/>
              <w:spacing w:before="45" w:line="201" w:lineRule="auto"/>
              <w:rPr>
                <w:sz w:val="25"/>
                <w:szCs w:val="25"/>
              </w:rPr>
            </w:pPr>
            <w:r>
              <w:rPr>
                <w:sz w:val="25"/>
                <w:szCs w:val="25"/>
                <w:spacing w:val="-1"/>
              </w:rPr>
              <w:t>没收违法物品，没收违法所得，并处以违法物品货值4倍罚款</w:t>
            </w:r>
          </w:p>
        </w:tc>
      </w:tr>
      <w:tr>
        <w:trPr>
          <w:trHeight w:val="672" w:hRule="atLeast"/>
        </w:trPr>
        <w:tc>
          <w:tcPr>
            <w:tcW w:w="1444" w:type="dxa"/>
            <w:vAlign w:val="top"/>
          </w:tcPr>
          <w:p>
            <w:pPr>
              <w:pStyle w:val="TableText"/>
              <w:ind w:left="468"/>
              <w:spacing w:before="215" w:line="220" w:lineRule="auto"/>
              <w:rPr>
                <w:sz w:val="25"/>
                <w:szCs w:val="25"/>
              </w:rPr>
            </w:pPr>
            <w:r>
              <w:rPr>
                <w:sz w:val="25"/>
                <w:szCs w:val="25"/>
                <w:b/>
                <w:bCs/>
                <w:spacing w:val="-6"/>
              </w:rPr>
              <w:t>严重</w:t>
            </w:r>
          </w:p>
        </w:tc>
        <w:tc>
          <w:tcPr>
            <w:tcW w:w="5596" w:type="dxa"/>
            <w:vAlign w:val="top"/>
          </w:tcPr>
          <w:p>
            <w:pPr>
              <w:pStyle w:val="TableText"/>
              <w:ind w:left="100"/>
              <w:spacing w:before="56" w:line="219" w:lineRule="auto"/>
              <w:rPr>
                <w:sz w:val="25"/>
                <w:szCs w:val="25"/>
              </w:rPr>
            </w:pPr>
            <w:r>
              <w:rPr>
                <w:sz w:val="25"/>
                <w:szCs w:val="25"/>
                <w:spacing w:val="2"/>
              </w:rPr>
              <w:t>违法物品货值2万元以上的</w:t>
            </w:r>
          </w:p>
        </w:tc>
        <w:tc>
          <w:tcPr>
            <w:tcW w:w="7130" w:type="dxa"/>
            <w:vAlign w:val="top"/>
          </w:tcPr>
          <w:p>
            <w:pPr>
              <w:pStyle w:val="TableText"/>
              <w:ind w:left="244"/>
              <w:spacing w:before="216" w:line="219" w:lineRule="auto"/>
              <w:rPr>
                <w:sz w:val="25"/>
                <w:szCs w:val="25"/>
              </w:rPr>
            </w:pPr>
            <w:r>
              <w:rPr>
                <w:sz w:val="25"/>
                <w:szCs w:val="25"/>
                <w:spacing w:val="-1"/>
              </w:rPr>
              <w:t>没收违法物品，没收违法所得，并处以违法物品货值5倍罚款</w:t>
            </w:r>
          </w:p>
        </w:tc>
      </w:tr>
    </w:tbl>
    <w:p>
      <w:pPr>
        <w:pStyle w:val="BodyText"/>
        <w:spacing w:line="259" w:lineRule="auto"/>
        <w:rPr/>
      </w:pPr>
      <w:r/>
    </w:p>
    <w:p>
      <w:pPr>
        <w:ind w:left="919"/>
        <w:spacing w:before="98" w:line="224" w:lineRule="auto"/>
        <w:rPr>
          <w:rFonts w:ascii="KaiTi" w:hAnsi="KaiTi" w:eastAsia="KaiTi" w:cs="KaiTi"/>
          <w:sz w:val="30"/>
          <w:szCs w:val="30"/>
        </w:rPr>
      </w:pPr>
      <w:r>
        <w:rPr>
          <w:rFonts w:ascii="KaiTi" w:hAnsi="KaiTi" w:eastAsia="KaiTi" w:cs="KaiTi"/>
          <w:sz w:val="30"/>
          <w:szCs w:val="30"/>
          <w:b/>
          <w:bCs/>
          <w:spacing w:val="30"/>
        </w:rPr>
        <w:t>(三十九)《反兴奋剂条例》</w:t>
      </w:r>
    </w:p>
    <w:p>
      <w:pPr>
        <w:ind w:left="713" w:right="1214" w:hanging="239"/>
        <w:spacing w:before="314" w:line="337" w:lineRule="auto"/>
        <w:rPr>
          <w:rFonts w:ascii="FangSong" w:hAnsi="FangSong" w:eastAsia="FangSong" w:cs="FangSong"/>
          <w:sz w:val="30"/>
          <w:szCs w:val="30"/>
        </w:rPr>
      </w:pPr>
      <w:r>
        <w:rPr>
          <w:rFonts w:ascii="FangSong" w:hAnsi="FangSong" w:eastAsia="FangSong" w:cs="FangSong"/>
          <w:sz w:val="30"/>
          <w:szCs w:val="30"/>
          <w:spacing w:val="18"/>
        </w:rPr>
        <w:t>第三百九十五条</w:t>
      </w:r>
      <w:r>
        <w:rPr>
          <w:rFonts w:ascii="FangSong" w:hAnsi="FangSong" w:eastAsia="FangSong" w:cs="FangSong"/>
          <w:sz w:val="30"/>
          <w:szCs w:val="30"/>
          <w:spacing w:val="18"/>
        </w:rPr>
        <w:t xml:space="preserve">  </w:t>
      </w:r>
      <w:r>
        <w:rPr>
          <w:rFonts w:ascii="FangSong" w:hAnsi="FangSong" w:eastAsia="FangSong" w:cs="FangSong"/>
          <w:sz w:val="30"/>
          <w:szCs w:val="30"/>
          <w:b/>
          <w:bCs/>
          <w:spacing w:val="18"/>
        </w:rPr>
        <w:t>医师未按照《反兴奋剂条例》的规定使</w:t>
      </w:r>
      <w:r>
        <w:rPr>
          <w:rFonts w:ascii="FangSong" w:hAnsi="FangSong" w:eastAsia="FangSong" w:cs="FangSong"/>
          <w:sz w:val="30"/>
          <w:szCs w:val="30"/>
          <w:b/>
          <w:bCs/>
          <w:spacing w:val="17"/>
        </w:rPr>
        <w:t>用药品，或者未履行告知义务的</w:t>
      </w:r>
      <w:r>
        <w:rPr>
          <w:rFonts w:ascii="FangSong" w:hAnsi="FangSong" w:eastAsia="FangSong" w:cs="FangSong"/>
          <w:sz w:val="30"/>
          <w:szCs w:val="30"/>
        </w:rPr>
        <w:t xml:space="preserve"> </w:t>
      </w:r>
      <w:r>
        <w:rPr>
          <w:rFonts w:ascii="FangSong" w:hAnsi="FangSong" w:eastAsia="FangSong" w:cs="FangSong"/>
          <w:sz w:val="30"/>
          <w:szCs w:val="30"/>
        </w:rPr>
        <w:t>法律依据：</w:t>
      </w:r>
    </w:p>
    <w:p>
      <w:pPr>
        <w:ind w:left="145" w:firstLine="619"/>
        <w:spacing w:line="272" w:lineRule="auto"/>
        <w:rPr>
          <w:rFonts w:ascii="FangSong" w:hAnsi="FangSong" w:eastAsia="FangSong" w:cs="FangSong"/>
          <w:sz w:val="30"/>
          <w:szCs w:val="30"/>
        </w:rPr>
      </w:pPr>
      <w:r>
        <w:rPr>
          <w:rFonts w:ascii="FangSong" w:hAnsi="FangSong" w:eastAsia="FangSong" w:cs="FangSong"/>
          <w:sz w:val="30"/>
          <w:szCs w:val="30"/>
          <w:spacing w:val="15"/>
        </w:rPr>
        <w:t>《反兴奋剂条例》第四十四条</w:t>
      </w:r>
      <w:r>
        <w:rPr>
          <w:rFonts w:ascii="FangSong" w:hAnsi="FangSong" w:eastAsia="FangSong" w:cs="FangSong"/>
          <w:sz w:val="30"/>
          <w:szCs w:val="30"/>
          <w:spacing w:val="65"/>
        </w:rPr>
        <w:t xml:space="preserve">  </w:t>
      </w:r>
      <w:r>
        <w:rPr>
          <w:rFonts w:ascii="FangSong" w:hAnsi="FangSong" w:eastAsia="FangSong" w:cs="FangSong"/>
          <w:sz w:val="30"/>
          <w:szCs w:val="30"/>
          <w:spacing w:val="15"/>
        </w:rPr>
        <w:t>医师未按照本条</w:t>
      </w:r>
      <w:r>
        <w:rPr>
          <w:rFonts w:ascii="FangSong" w:hAnsi="FangSong" w:eastAsia="FangSong" w:cs="FangSong"/>
          <w:sz w:val="30"/>
          <w:szCs w:val="30"/>
          <w:spacing w:val="14"/>
        </w:rPr>
        <w:t>例的规定使用药品，或者未履行告知义务的，由</w:t>
      </w:r>
      <w:r>
        <w:rPr>
          <w:rFonts w:ascii="FangSong" w:hAnsi="FangSong" w:eastAsia="FangSong" w:cs="FangSong"/>
          <w:sz w:val="30"/>
          <w:szCs w:val="30"/>
        </w:rPr>
        <w:t xml:space="preserve"> </w:t>
      </w:r>
      <w:r>
        <w:rPr>
          <w:rFonts w:ascii="FangSong" w:hAnsi="FangSong" w:eastAsia="FangSong" w:cs="FangSong"/>
          <w:sz w:val="30"/>
          <w:szCs w:val="30"/>
          <w:spacing w:val="19"/>
        </w:rPr>
        <w:t>县级以上人民政府卫生主管部门给予警告；造成严重后果的，责令暂停6个月以上1年</w:t>
      </w:r>
      <w:r>
        <w:rPr>
          <w:rFonts w:ascii="FangSong" w:hAnsi="FangSong" w:eastAsia="FangSong" w:cs="FangSong"/>
          <w:sz w:val="30"/>
          <w:szCs w:val="30"/>
          <w:spacing w:val="18"/>
        </w:rPr>
        <w:t>以下执业活动。</w:t>
      </w:r>
    </w:p>
    <w:p>
      <w:pPr>
        <w:spacing w:line="272" w:lineRule="auto"/>
        <w:sectPr>
          <w:footerReference w:type="default" r:id="rId424"/>
          <w:pgSz w:w="16830" w:h="11900"/>
          <w:pgMar w:top="1011" w:right="1330" w:bottom="1117" w:left="1305" w:header="0" w:footer="784" w:gutter="0"/>
        </w:sectPr>
        <w:rPr>
          <w:rFonts w:ascii="FangSong" w:hAnsi="FangSong" w:eastAsia="FangSong" w:cs="FangSong"/>
          <w:sz w:val="30"/>
          <w:szCs w:val="30"/>
        </w:rPr>
      </w:pPr>
    </w:p>
    <w:p>
      <w:pPr>
        <w:pStyle w:val="BodyText"/>
        <w:spacing w:line="263" w:lineRule="auto"/>
        <w:rPr/>
      </w:pPr>
      <w:r/>
    </w:p>
    <w:p>
      <w:pPr>
        <w:pStyle w:val="BodyText"/>
        <w:spacing w:line="264" w:lineRule="auto"/>
        <w:rPr/>
      </w:pPr>
      <w:r/>
    </w:p>
    <w:p>
      <w:pPr>
        <w:pStyle w:val="BodyText"/>
        <w:spacing w:line="264" w:lineRule="auto"/>
        <w:rPr/>
      </w:pPr>
      <w:r/>
    </w:p>
    <w:p>
      <w:pPr>
        <w:ind w:left="6249"/>
        <w:spacing w:before="91" w:line="215" w:lineRule="auto"/>
        <w:outlineLvl w:val="0"/>
        <w:rPr>
          <w:rFonts w:ascii="SimSun" w:hAnsi="SimSun" w:eastAsia="SimSun" w:cs="SimSun"/>
          <w:sz w:val="28"/>
          <w:szCs w:val="28"/>
        </w:rPr>
      </w:pPr>
      <w:bookmarkStart w:name="bookmark431" w:id="445"/>
      <w:bookmarkEnd w:id="445"/>
      <w:r>
        <w:rPr>
          <w:rFonts w:ascii="SimSun" w:hAnsi="SimSun" w:eastAsia="SimSun" w:cs="SimSun"/>
          <w:sz w:val="28"/>
          <w:szCs w:val="28"/>
          <w:b/>
          <w:bCs/>
          <w:spacing w:val="-6"/>
        </w:rPr>
        <w:t>裁量标准</w:t>
      </w:r>
    </w:p>
    <w:tbl>
      <w:tblPr>
        <w:tblStyle w:val="TableNormal"/>
        <w:tblW w:w="135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64"/>
        <w:gridCol w:w="8114"/>
        <w:gridCol w:w="4112"/>
      </w:tblGrid>
      <w:tr>
        <w:trPr>
          <w:trHeight w:val="563" w:hRule="atLeast"/>
        </w:trPr>
        <w:tc>
          <w:tcPr>
            <w:tcW w:w="1364" w:type="dxa"/>
            <w:vAlign w:val="top"/>
          </w:tcPr>
          <w:p>
            <w:pPr>
              <w:pStyle w:val="TableText"/>
              <w:ind w:left="198"/>
              <w:spacing w:before="62" w:line="220" w:lineRule="auto"/>
              <w:rPr/>
            </w:pPr>
            <w:r>
              <w:rPr>
                <w:b/>
                <w:bCs/>
                <w:spacing w:val="-5"/>
              </w:rPr>
              <w:t>违法程度</w:t>
            </w:r>
          </w:p>
        </w:tc>
        <w:tc>
          <w:tcPr>
            <w:tcW w:w="8114" w:type="dxa"/>
            <w:vAlign w:val="top"/>
          </w:tcPr>
          <w:p>
            <w:pPr>
              <w:pStyle w:val="TableText"/>
              <w:ind w:left="3474"/>
              <w:spacing w:before="62" w:line="220" w:lineRule="auto"/>
              <w:rPr/>
            </w:pPr>
            <w:r>
              <w:rPr>
                <w:b/>
                <w:bCs/>
                <w:spacing w:val="-5"/>
              </w:rPr>
              <w:t>情节后果</w:t>
            </w:r>
          </w:p>
        </w:tc>
        <w:tc>
          <w:tcPr>
            <w:tcW w:w="4112" w:type="dxa"/>
            <w:vAlign w:val="top"/>
          </w:tcPr>
          <w:p>
            <w:pPr>
              <w:pStyle w:val="TableText"/>
              <w:ind w:left="1470"/>
              <w:spacing w:before="4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846" w:hRule="atLeast"/>
        </w:trPr>
        <w:tc>
          <w:tcPr>
            <w:tcW w:w="1364" w:type="dxa"/>
            <w:vAlign w:val="top"/>
          </w:tcPr>
          <w:p>
            <w:pPr>
              <w:pStyle w:val="TableText"/>
              <w:ind w:left="438"/>
              <w:spacing w:before="309" w:line="221" w:lineRule="auto"/>
              <w:rPr/>
            </w:pPr>
            <w:r>
              <w:rPr>
                <w:b/>
                <w:bCs/>
                <w:spacing w:val="-10"/>
              </w:rPr>
              <w:t>一般</w:t>
            </w:r>
          </w:p>
        </w:tc>
        <w:tc>
          <w:tcPr>
            <w:tcW w:w="8114" w:type="dxa"/>
            <w:vAlign w:val="top"/>
          </w:tcPr>
          <w:p>
            <w:pPr>
              <w:pStyle w:val="TableText"/>
              <w:ind w:left="91"/>
              <w:spacing w:before="309" w:line="218" w:lineRule="auto"/>
              <w:rPr/>
            </w:pPr>
            <w:r>
              <w:rPr/>
              <w:t>医师未按照本条例的规定使用药品，或者未履行告知义务的</w:t>
            </w:r>
          </w:p>
        </w:tc>
        <w:tc>
          <w:tcPr>
            <w:tcW w:w="4112" w:type="dxa"/>
            <w:vAlign w:val="top"/>
          </w:tcPr>
          <w:p>
            <w:pPr>
              <w:pStyle w:val="TableText"/>
              <w:ind w:left="107" w:right="124" w:firstLine="20"/>
              <w:spacing w:before="69" w:line="255" w:lineRule="auto"/>
              <w:rPr/>
            </w:pPr>
            <w:r>
              <w:rPr/>
              <w:t>由县级以上卫生行政部门责令限期改</w:t>
            </w:r>
            <w:r>
              <w:rPr>
                <w:spacing w:val="9"/>
              </w:rPr>
              <w:t xml:space="preserve"> </w:t>
            </w:r>
            <w:r>
              <w:rPr/>
              <w:t>正，给予警告。</w:t>
            </w:r>
          </w:p>
        </w:tc>
      </w:tr>
      <w:tr>
        <w:trPr>
          <w:trHeight w:val="841" w:hRule="atLeast"/>
        </w:trPr>
        <w:tc>
          <w:tcPr>
            <w:tcW w:w="1364" w:type="dxa"/>
            <w:vAlign w:val="top"/>
          </w:tcPr>
          <w:p>
            <w:pPr>
              <w:pStyle w:val="TableText"/>
              <w:ind w:left="438"/>
              <w:spacing w:before="303" w:line="220" w:lineRule="auto"/>
              <w:rPr/>
            </w:pPr>
            <w:r>
              <w:rPr>
                <w:b/>
                <w:bCs/>
                <w:spacing w:val="-6"/>
              </w:rPr>
              <w:t>严重</w:t>
            </w:r>
          </w:p>
        </w:tc>
        <w:tc>
          <w:tcPr>
            <w:tcW w:w="8114" w:type="dxa"/>
            <w:vAlign w:val="top"/>
          </w:tcPr>
          <w:p>
            <w:pPr>
              <w:pStyle w:val="TableText"/>
              <w:ind w:left="91"/>
              <w:spacing w:before="83" w:line="218" w:lineRule="auto"/>
              <w:rPr/>
            </w:pPr>
            <w:r>
              <w:rPr/>
              <w:t>医师未按照本条例的规定使用药品，或者未履行告知义务的，造成严重后果</w:t>
            </w:r>
          </w:p>
          <w:p>
            <w:pPr>
              <w:pStyle w:val="TableText"/>
              <w:ind w:left="91"/>
              <w:spacing w:before="42" w:line="222" w:lineRule="auto"/>
              <w:rPr/>
            </w:pPr>
            <w:r>
              <w:rPr>
                <w:color w:val="606060"/>
              </w:rPr>
              <w:t>的</w:t>
            </w:r>
          </w:p>
        </w:tc>
        <w:tc>
          <w:tcPr>
            <w:tcW w:w="4112" w:type="dxa"/>
            <w:vAlign w:val="top"/>
          </w:tcPr>
          <w:p>
            <w:pPr>
              <w:pStyle w:val="TableText"/>
              <w:ind w:left="247"/>
              <w:spacing w:before="84" w:line="219" w:lineRule="auto"/>
              <w:rPr/>
            </w:pPr>
            <w:r>
              <w:rPr/>
              <w:t>责令暂停6个月以上1年以下执业活</w:t>
            </w:r>
          </w:p>
          <w:p>
            <w:pPr>
              <w:pStyle w:val="TableText"/>
              <w:ind w:left="96"/>
              <w:spacing w:before="27" w:line="220" w:lineRule="auto"/>
              <w:rPr/>
            </w:pPr>
            <w:r>
              <w:rPr>
                <w:color w:val="304050"/>
              </w:rPr>
              <w:t>动。</w:t>
            </w:r>
          </w:p>
        </w:tc>
      </w:tr>
    </w:tbl>
    <w:p>
      <w:pPr>
        <w:pStyle w:val="BodyText"/>
        <w:rPr/>
      </w:pPr>
      <w:r/>
    </w:p>
    <w:p>
      <w:pPr>
        <w:sectPr>
          <w:footerReference w:type="default" r:id="rId425"/>
          <w:pgSz w:w="16830" w:h="11900"/>
          <w:pgMar w:top="1011" w:right="1624" w:bottom="1113" w:left="1604" w:header="0" w:footer="798" w:gutter="0"/>
        </w:sectPr>
        <w:rPr/>
      </w:pPr>
    </w:p>
    <w:p>
      <w:pPr>
        <w:pStyle w:val="BodyText"/>
        <w:spacing w:line="252" w:lineRule="auto"/>
        <w:rPr/>
      </w:pPr>
      <w:r/>
    </w:p>
    <w:p>
      <w:pPr>
        <w:pStyle w:val="BodyText"/>
        <w:spacing w:line="253" w:lineRule="auto"/>
        <w:rPr/>
      </w:pPr>
      <w:r/>
    </w:p>
    <w:p>
      <w:pPr>
        <w:pStyle w:val="BodyText"/>
        <w:spacing w:line="253" w:lineRule="auto"/>
        <w:rPr/>
      </w:pPr>
      <w:r/>
    </w:p>
    <w:p>
      <w:pPr>
        <w:ind w:left="5049"/>
        <w:spacing w:before="101" w:line="221" w:lineRule="auto"/>
        <w:rPr>
          <w:rFonts w:ascii="SimHei" w:hAnsi="SimHei" w:eastAsia="SimHei" w:cs="SimHei"/>
          <w:sz w:val="31"/>
          <w:szCs w:val="31"/>
        </w:rPr>
      </w:pPr>
      <w:bookmarkStart w:name="bookmark1072" w:id="446"/>
      <w:bookmarkEnd w:id="446"/>
      <w:r>
        <w:rPr>
          <w:rFonts w:ascii="SimHei" w:hAnsi="SimHei" w:eastAsia="SimHei" w:cs="SimHei"/>
          <w:sz w:val="31"/>
          <w:szCs w:val="31"/>
          <w:b/>
          <w:bCs/>
          <w:spacing w:val="8"/>
        </w:rPr>
        <w:t>三、计划生育与母婴保健类</w:t>
      </w:r>
    </w:p>
    <w:p>
      <w:pPr>
        <w:pStyle w:val="BodyText"/>
        <w:spacing w:line="286" w:lineRule="auto"/>
        <w:rPr/>
      </w:pPr>
      <w:r/>
    </w:p>
    <w:p>
      <w:pPr>
        <w:pStyle w:val="BodyText"/>
        <w:spacing w:line="286" w:lineRule="auto"/>
        <w:rPr/>
      </w:pPr>
      <w:r/>
    </w:p>
    <w:p>
      <w:pPr>
        <w:pStyle w:val="BodyText"/>
        <w:spacing w:line="286" w:lineRule="auto"/>
        <w:rPr/>
      </w:pPr>
      <w:r/>
    </w:p>
    <w:p>
      <w:pPr>
        <w:ind w:left="789"/>
        <w:spacing w:before="100" w:line="223" w:lineRule="auto"/>
        <w:rPr>
          <w:rFonts w:ascii="KaiTi" w:hAnsi="KaiTi" w:eastAsia="KaiTi" w:cs="KaiTi"/>
          <w:sz w:val="31"/>
          <w:szCs w:val="31"/>
        </w:rPr>
      </w:pPr>
      <w:r>
        <w:rPr>
          <w:rFonts w:ascii="KaiTi" w:hAnsi="KaiTi" w:eastAsia="KaiTi" w:cs="KaiTi"/>
          <w:sz w:val="31"/>
          <w:szCs w:val="31"/>
          <w:b/>
          <w:bCs/>
          <w:spacing w:val="17"/>
        </w:rPr>
        <w:t>(一)《人类辅助生殖技术管理办法》</w:t>
      </w:r>
    </w:p>
    <w:p>
      <w:pPr>
        <w:ind w:left="669"/>
        <w:spacing w:before="317" w:line="220" w:lineRule="auto"/>
        <w:rPr>
          <w:rFonts w:ascii="FangSong" w:hAnsi="FangSong" w:eastAsia="FangSong" w:cs="FangSong"/>
          <w:sz w:val="31"/>
          <w:szCs w:val="31"/>
        </w:rPr>
      </w:pPr>
      <w:r>
        <w:rPr>
          <w:rFonts w:ascii="FangSong" w:hAnsi="FangSong" w:eastAsia="FangSong" w:cs="FangSong"/>
          <w:sz w:val="31"/>
          <w:szCs w:val="31"/>
          <w:b/>
          <w:bCs/>
          <w:spacing w:val="11"/>
        </w:rPr>
        <w:t>第三百九十六条开展人类辅助生殖技术的医疗机构买卖配子</w:t>
      </w:r>
      <w:r>
        <w:rPr>
          <w:rFonts w:ascii="FangSong" w:hAnsi="FangSong" w:eastAsia="FangSong" w:cs="FangSong"/>
          <w:sz w:val="31"/>
          <w:szCs w:val="31"/>
          <w:spacing w:val="11"/>
        </w:rPr>
        <w:t>、合子、胚胎的</w:t>
      </w:r>
    </w:p>
    <w:p>
      <w:pPr>
        <w:ind w:left="654"/>
        <w:spacing w:before="137"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15" w:right="29" w:firstLine="614"/>
        <w:spacing w:before="71" w:line="262" w:lineRule="auto"/>
        <w:jc w:val="both"/>
        <w:rPr>
          <w:rFonts w:ascii="FangSong" w:hAnsi="FangSong" w:eastAsia="FangSong" w:cs="FangSong"/>
          <w:sz w:val="31"/>
          <w:szCs w:val="31"/>
        </w:rPr>
      </w:pPr>
      <w:r>
        <w:rPr>
          <w:rFonts w:ascii="FangSong" w:hAnsi="FangSong" w:eastAsia="FangSong" w:cs="FangSong"/>
          <w:sz w:val="31"/>
          <w:szCs w:val="31"/>
          <w:spacing w:val="14"/>
        </w:rPr>
        <w:t>《人类辅助生殖技术管理办法》第二十二条第(一)项</w:t>
      </w:r>
      <w:r>
        <w:rPr>
          <w:rFonts w:ascii="FangSong" w:hAnsi="FangSong" w:eastAsia="FangSong" w:cs="FangSong"/>
          <w:sz w:val="31"/>
          <w:szCs w:val="31"/>
          <w:spacing w:val="13"/>
        </w:rPr>
        <w:t xml:space="preserve">  </w:t>
      </w:r>
      <w:r>
        <w:rPr>
          <w:rFonts w:ascii="FangSong" w:hAnsi="FangSong" w:eastAsia="FangSong" w:cs="FangSong"/>
          <w:sz w:val="31"/>
          <w:szCs w:val="31"/>
          <w:spacing w:val="13"/>
        </w:rPr>
        <w:t>开展人类辅助生殖技术的医疗机构违反</w:t>
      </w:r>
      <w:r>
        <w:rPr>
          <w:rFonts w:ascii="FangSong" w:hAnsi="FangSong" w:eastAsia="FangSong" w:cs="FangSong"/>
          <w:sz w:val="31"/>
          <w:szCs w:val="31"/>
        </w:rPr>
        <w:t xml:space="preserve"> </w:t>
      </w:r>
      <w:r>
        <w:rPr>
          <w:rFonts w:ascii="FangSong" w:hAnsi="FangSong" w:eastAsia="FangSong" w:cs="FangSong"/>
          <w:sz w:val="31"/>
          <w:szCs w:val="31"/>
          <w:spacing w:val="11"/>
        </w:rPr>
        <w:t>本办法，有下列行为之一的，由省、自治区</w:t>
      </w:r>
      <w:r>
        <w:rPr>
          <w:rFonts w:ascii="FangSong" w:hAnsi="FangSong" w:eastAsia="FangSong" w:cs="FangSong"/>
          <w:sz w:val="31"/>
          <w:szCs w:val="31"/>
          <w:spacing w:val="10"/>
        </w:rPr>
        <w:t>、直辖市人民政府卫生行政部门给予警告、3万元以下罚</w:t>
      </w:r>
      <w:r>
        <w:rPr>
          <w:rFonts w:ascii="FangSong" w:hAnsi="FangSong" w:eastAsia="FangSong" w:cs="FangSong"/>
          <w:sz w:val="31"/>
          <w:szCs w:val="31"/>
        </w:rPr>
        <w:t xml:space="preserve"> </w:t>
      </w:r>
      <w:r>
        <w:rPr>
          <w:rFonts w:ascii="FangSong" w:hAnsi="FangSong" w:eastAsia="FangSong" w:cs="FangSong"/>
          <w:sz w:val="31"/>
          <w:szCs w:val="31"/>
          <w:spacing w:val="7"/>
        </w:rPr>
        <w:t>款，并给予有关责任人行政处分；构成犯罪的，依法追究刑事责任：</w:t>
      </w:r>
    </w:p>
    <w:p>
      <w:pPr>
        <w:ind w:left="785"/>
        <w:spacing w:before="15" w:line="222" w:lineRule="auto"/>
        <w:rPr>
          <w:rFonts w:ascii="FangSong" w:hAnsi="FangSong" w:eastAsia="FangSong" w:cs="FangSong"/>
          <w:sz w:val="31"/>
          <w:szCs w:val="31"/>
        </w:rPr>
      </w:pPr>
      <w:r>
        <w:rPr>
          <w:rFonts w:ascii="FangSong" w:hAnsi="FangSong" w:eastAsia="FangSong" w:cs="FangSong"/>
          <w:sz w:val="31"/>
          <w:szCs w:val="31"/>
          <w:spacing w:val="16"/>
        </w:rPr>
        <w:t>(一)买卖配子、合子、胚胎的；</w:t>
      </w:r>
    </w:p>
    <w:p>
      <w:pPr>
        <w:ind w:left="6419"/>
        <w:spacing w:before="205"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8" w:lineRule="auto"/>
        <w:rPr>
          <w:rFonts w:ascii="Arial"/>
          <w:sz w:val="2"/>
        </w:rPr>
      </w:pPr>
      <w:r>
        <w:rPr>
          <w:rFonts w:ascii="Arial"/>
          <w:sz w:val="2"/>
        </w:rPr>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974"/>
        <w:gridCol w:w="4222"/>
      </w:tblGrid>
      <w:tr>
        <w:trPr>
          <w:trHeight w:val="553" w:hRule="atLeast"/>
        </w:trPr>
        <w:tc>
          <w:tcPr>
            <w:tcW w:w="1784" w:type="dxa"/>
            <w:vAlign w:val="top"/>
          </w:tcPr>
          <w:p>
            <w:pPr>
              <w:pStyle w:val="TableText"/>
              <w:ind w:left="388"/>
              <w:spacing w:before="152" w:line="220" w:lineRule="auto"/>
              <w:rPr>
                <w:sz w:val="25"/>
                <w:szCs w:val="25"/>
              </w:rPr>
            </w:pPr>
            <w:r>
              <w:rPr>
                <w:sz w:val="25"/>
                <w:szCs w:val="25"/>
                <w:b/>
                <w:bCs/>
                <w:spacing w:val="-5"/>
              </w:rPr>
              <w:t>违法程度</w:t>
            </w:r>
          </w:p>
        </w:tc>
        <w:tc>
          <w:tcPr>
            <w:tcW w:w="7974" w:type="dxa"/>
            <w:vAlign w:val="top"/>
          </w:tcPr>
          <w:p>
            <w:pPr>
              <w:pStyle w:val="TableText"/>
              <w:ind w:left="3424"/>
              <w:spacing w:before="152" w:line="220" w:lineRule="auto"/>
              <w:rPr>
                <w:sz w:val="25"/>
                <w:szCs w:val="25"/>
              </w:rPr>
            </w:pPr>
            <w:r>
              <w:rPr>
                <w:sz w:val="25"/>
                <w:szCs w:val="25"/>
                <w:b/>
                <w:bCs/>
                <w:spacing w:val="-5"/>
              </w:rPr>
              <w:t>情节后果</w:t>
            </w:r>
          </w:p>
        </w:tc>
        <w:tc>
          <w:tcPr>
            <w:tcW w:w="4222" w:type="dxa"/>
            <w:vAlign w:val="top"/>
          </w:tcPr>
          <w:p>
            <w:pPr>
              <w:pStyle w:val="TableText"/>
              <w:ind w:left="1610"/>
              <w:spacing w:before="149" w:line="218" w:lineRule="auto"/>
              <w:rPr>
                <w:sz w:val="25"/>
                <w:szCs w:val="25"/>
              </w:rPr>
            </w:pPr>
            <w:r>
              <w:rPr>
                <w:sz w:val="25"/>
                <w:szCs w:val="25"/>
                <w:b/>
                <w:bCs/>
                <w:spacing w:val="-5"/>
              </w:rPr>
              <w:t>裁量幅度</w:t>
            </w:r>
          </w:p>
        </w:tc>
      </w:tr>
      <w:tr>
        <w:trPr>
          <w:trHeight w:val="438" w:hRule="atLeast"/>
        </w:trPr>
        <w:tc>
          <w:tcPr>
            <w:tcW w:w="1784" w:type="dxa"/>
            <w:vAlign w:val="top"/>
          </w:tcPr>
          <w:p>
            <w:pPr>
              <w:pStyle w:val="TableText"/>
              <w:ind w:left="638"/>
              <w:spacing w:before="98" w:line="219" w:lineRule="auto"/>
              <w:rPr>
                <w:sz w:val="25"/>
                <w:szCs w:val="25"/>
              </w:rPr>
            </w:pPr>
            <w:r>
              <w:rPr>
                <w:sz w:val="25"/>
                <w:szCs w:val="25"/>
                <w:b/>
                <w:bCs/>
                <w:spacing w:val="-6"/>
              </w:rPr>
              <w:t>较轻</w:t>
            </w:r>
          </w:p>
        </w:tc>
        <w:tc>
          <w:tcPr>
            <w:tcW w:w="7974" w:type="dxa"/>
            <w:vAlign w:val="top"/>
          </w:tcPr>
          <w:p>
            <w:pPr>
              <w:pStyle w:val="TableText"/>
              <w:ind w:left="111"/>
              <w:spacing w:before="102" w:line="219" w:lineRule="auto"/>
              <w:rPr>
                <w:sz w:val="25"/>
                <w:szCs w:val="25"/>
              </w:rPr>
            </w:pPr>
            <w:r>
              <w:rPr>
                <w:sz w:val="25"/>
                <w:szCs w:val="25"/>
                <w:spacing w:val="1"/>
              </w:rPr>
              <w:t>买卖配子、合子、胚胎1例，或违法所得5000元</w:t>
            </w:r>
            <w:r>
              <w:rPr>
                <w:sz w:val="25"/>
                <w:szCs w:val="25"/>
              </w:rPr>
              <w:t>以下的</w:t>
            </w:r>
          </w:p>
        </w:tc>
        <w:tc>
          <w:tcPr>
            <w:tcW w:w="4222" w:type="dxa"/>
            <w:vAlign w:val="top"/>
          </w:tcPr>
          <w:p>
            <w:pPr>
              <w:pStyle w:val="TableText"/>
              <w:ind w:left="117"/>
              <w:spacing w:before="100" w:line="218" w:lineRule="auto"/>
              <w:rPr>
                <w:sz w:val="25"/>
                <w:szCs w:val="25"/>
              </w:rPr>
            </w:pPr>
            <w:r>
              <w:rPr>
                <w:sz w:val="25"/>
                <w:szCs w:val="25"/>
                <w:spacing w:val="-2"/>
              </w:rPr>
              <w:t>警告，罚款10000元</w:t>
            </w:r>
          </w:p>
        </w:tc>
      </w:tr>
      <w:tr>
        <w:trPr>
          <w:trHeight w:val="657" w:hRule="atLeast"/>
        </w:trPr>
        <w:tc>
          <w:tcPr>
            <w:tcW w:w="1784" w:type="dxa"/>
            <w:vAlign w:val="top"/>
          </w:tcPr>
          <w:p>
            <w:pPr>
              <w:pStyle w:val="TableText"/>
              <w:ind w:left="638"/>
              <w:spacing w:before="212" w:line="221" w:lineRule="auto"/>
              <w:rPr>
                <w:sz w:val="25"/>
                <w:szCs w:val="25"/>
              </w:rPr>
            </w:pPr>
            <w:r>
              <w:rPr>
                <w:sz w:val="25"/>
                <w:szCs w:val="25"/>
                <w:b/>
                <w:bCs/>
                <w:spacing w:val="-10"/>
              </w:rPr>
              <w:t>一般</w:t>
            </w:r>
          </w:p>
        </w:tc>
        <w:tc>
          <w:tcPr>
            <w:tcW w:w="7974" w:type="dxa"/>
            <w:vAlign w:val="top"/>
          </w:tcPr>
          <w:p>
            <w:pPr>
              <w:pStyle w:val="TableText"/>
              <w:ind w:left="111"/>
              <w:spacing w:before="214" w:line="219" w:lineRule="auto"/>
              <w:rPr>
                <w:sz w:val="25"/>
                <w:szCs w:val="25"/>
              </w:rPr>
            </w:pPr>
            <w:r>
              <w:rPr>
                <w:sz w:val="25"/>
                <w:szCs w:val="25"/>
              </w:rPr>
              <w:t>买卖配子、合子、胚胎2例，或违法所得5000元以上10000元以下的</w:t>
            </w:r>
          </w:p>
        </w:tc>
        <w:tc>
          <w:tcPr>
            <w:tcW w:w="4222" w:type="dxa"/>
            <w:vAlign w:val="top"/>
          </w:tcPr>
          <w:p>
            <w:pPr>
              <w:pStyle w:val="TableText"/>
              <w:ind w:left="106"/>
              <w:spacing w:before="212" w:line="218" w:lineRule="auto"/>
              <w:rPr>
                <w:sz w:val="25"/>
                <w:szCs w:val="25"/>
              </w:rPr>
            </w:pPr>
            <w:r>
              <w:rPr>
                <w:sz w:val="25"/>
                <w:szCs w:val="25"/>
              </w:rPr>
              <w:t>警告，罚款10000元以上20000元以下</w:t>
            </w:r>
          </w:p>
        </w:tc>
      </w:tr>
      <w:tr>
        <w:trPr>
          <w:trHeight w:val="672" w:hRule="atLeast"/>
        </w:trPr>
        <w:tc>
          <w:tcPr>
            <w:tcW w:w="1784" w:type="dxa"/>
            <w:vAlign w:val="top"/>
          </w:tcPr>
          <w:p>
            <w:pPr>
              <w:pStyle w:val="TableText"/>
              <w:ind w:left="638"/>
              <w:spacing w:before="217" w:line="221" w:lineRule="auto"/>
              <w:rPr>
                <w:sz w:val="25"/>
                <w:szCs w:val="25"/>
              </w:rPr>
            </w:pPr>
            <w:r>
              <w:rPr>
                <w:sz w:val="25"/>
                <w:szCs w:val="25"/>
                <w:b/>
                <w:bCs/>
                <w:spacing w:val="-6"/>
              </w:rPr>
              <w:t>较重</w:t>
            </w:r>
          </w:p>
        </w:tc>
        <w:tc>
          <w:tcPr>
            <w:tcW w:w="7974" w:type="dxa"/>
            <w:vAlign w:val="top"/>
          </w:tcPr>
          <w:p>
            <w:pPr>
              <w:pStyle w:val="TableText"/>
              <w:ind w:left="111" w:right="93"/>
              <w:spacing w:before="66" w:line="220" w:lineRule="auto"/>
              <w:rPr>
                <w:sz w:val="25"/>
                <w:szCs w:val="25"/>
              </w:rPr>
            </w:pPr>
            <w:r>
              <w:rPr>
                <w:sz w:val="25"/>
                <w:szCs w:val="25"/>
              </w:rPr>
              <w:t>买卖配子、合子、胚胎3例及以上，或违法所得10000元以上，或造成他</w:t>
            </w:r>
            <w:r>
              <w:rPr>
                <w:sz w:val="25"/>
                <w:szCs w:val="25"/>
                <w:spacing w:val="8"/>
              </w:rPr>
              <w:t xml:space="preserve"> </w:t>
            </w:r>
            <w:r>
              <w:rPr>
                <w:sz w:val="25"/>
                <w:szCs w:val="25"/>
                <w:spacing w:val="2"/>
              </w:rPr>
              <w:t>人健康损害等后果的</w:t>
            </w:r>
          </w:p>
        </w:tc>
        <w:tc>
          <w:tcPr>
            <w:tcW w:w="4222" w:type="dxa"/>
            <w:vAlign w:val="top"/>
          </w:tcPr>
          <w:p>
            <w:pPr>
              <w:pStyle w:val="TableText"/>
              <w:ind w:left="106"/>
              <w:spacing w:before="215" w:line="218" w:lineRule="auto"/>
              <w:rPr>
                <w:sz w:val="25"/>
                <w:szCs w:val="25"/>
              </w:rPr>
            </w:pPr>
            <w:r>
              <w:rPr>
                <w:sz w:val="25"/>
                <w:szCs w:val="25"/>
              </w:rPr>
              <w:t>警告，罚款20000元以上30000元以下</w:t>
            </w:r>
          </w:p>
        </w:tc>
      </w:tr>
    </w:tbl>
    <w:p>
      <w:pPr>
        <w:pStyle w:val="BodyText"/>
        <w:rPr/>
      </w:pPr>
      <w:r/>
    </w:p>
    <w:p>
      <w:pPr>
        <w:sectPr>
          <w:footerReference w:type="default" r:id="rId426"/>
          <w:pgSz w:w="16830" w:h="11900"/>
          <w:pgMar w:top="1011" w:right="1405" w:bottom="1118" w:left="1434" w:header="0" w:footer="785" w:gutter="0"/>
        </w:sectPr>
        <w:rPr/>
      </w:pPr>
    </w:p>
    <w:p>
      <w:pPr>
        <w:pStyle w:val="BodyText"/>
        <w:spacing w:line="251" w:lineRule="auto"/>
        <w:rPr/>
      </w:pPr>
      <w:r/>
    </w:p>
    <w:p>
      <w:pPr>
        <w:pStyle w:val="BodyText"/>
        <w:spacing w:line="252" w:lineRule="auto"/>
        <w:rPr/>
      </w:pPr>
      <w:r/>
    </w:p>
    <w:p>
      <w:pPr>
        <w:pStyle w:val="BodyText"/>
        <w:spacing w:line="252" w:lineRule="auto"/>
        <w:rPr/>
      </w:pPr>
      <w:r/>
    </w:p>
    <w:p>
      <w:pPr>
        <w:ind w:left="664"/>
        <w:spacing w:before="101" w:line="220" w:lineRule="auto"/>
        <w:rPr>
          <w:rFonts w:ascii="FangSong" w:hAnsi="FangSong" w:eastAsia="FangSong" w:cs="FangSong"/>
          <w:sz w:val="31"/>
          <w:szCs w:val="31"/>
        </w:rPr>
      </w:pPr>
      <w:bookmarkStart w:name="bookmark1073" w:id="447"/>
      <w:bookmarkEnd w:id="447"/>
      <w:r>
        <w:rPr>
          <w:rFonts w:ascii="FangSong" w:hAnsi="FangSong" w:eastAsia="FangSong" w:cs="FangSong"/>
          <w:sz w:val="31"/>
          <w:szCs w:val="31"/>
          <w:b/>
          <w:bCs/>
          <w:spacing w:val="12"/>
        </w:rPr>
        <w:t>第三百九十七条开展人类辅助生殖技术的医疗机构实施代孕技术的</w:t>
      </w:r>
    </w:p>
    <w:p>
      <w:pPr>
        <w:ind w:left="659"/>
        <w:spacing w:before="97"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firstLine="635"/>
        <w:spacing w:before="91" w:line="262" w:lineRule="auto"/>
        <w:jc w:val="both"/>
        <w:rPr>
          <w:rFonts w:ascii="FangSong" w:hAnsi="FangSong" w:eastAsia="FangSong" w:cs="FangSong"/>
          <w:sz w:val="31"/>
          <w:szCs w:val="31"/>
        </w:rPr>
      </w:pPr>
      <w:r>
        <w:rPr>
          <w:rFonts w:ascii="FangSong" w:hAnsi="FangSong" w:eastAsia="FangSong" w:cs="FangSong"/>
          <w:sz w:val="31"/>
          <w:szCs w:val="31"/>
          <w:spacing w:val="14"/>
        </w:rPr>
        <w:t>《人类辅助生殖技术管理办法》第二十二条第(二)项</w:t>
      </w:r>
      <w:r>
        <w:rPr>
          <w:rFonts w:ascii="FangSong" w:hAnsi="FangSong" w:eastAsia="FangSong" w:cs="FangSong"/>
          <w:sz w:val="31"/>
          <w:szCs w:val="31"/>
          <w:spacing w:val="14"/>
        </w:rPr>
        <w:t xml:space="preserve">  </w:t>
      </w:r>
      <w:r>
        <w:rPr>
          <w:rFonts w:ascii="FangSong" w:hAnsi="FangSong" w:eastAsia="FangSong" w:cs="FangSong"/>
          <w:sz w:val="31"/>
          <w:szCs w:val="31"/>
          <w:spacing w:val="14"/>
        </w:rPr>
        <w:t>开展人类辅助生殖技术的医疗机构违反</w:t>
      </w:r>
      <w:r>
        <w:rPr>
          <w:rFonts w:ascii="FangSong" w:hAnsi="FangSong" w:eastAsia="FangSong" w:cs="FangSong"/>
          <w:sz w:val="31"/>
          <w:szCs w:val="31"/>
          <w:spacing w:val="11"/>
        </w:rPr>
        <w:t xml:space="preserve"> </w:t>
      </w:r>
      <w:r>
        <w:rPr>
          <w:rFonts w:ascii="FangSong" w:hAnsi="FangSong" w:eastAsia="FangSong" w:cs="FangSong"/>
          <w:sz w:val="31"/>
          <w:szCs w:val="31"/>
          <w:spacing w:val="11"/>
        </w:rPr>
        <w:t>本办法，有下列行为之一的，由省、自治区</w:t>
      </w:r>
      <w:r>
        <w:rPr>
          <w:rFonts w:ascii="FangSong" w:hAnsi="FangSong" w:eastAsia="FangSong" w:cs="FangSong"/>
          <w:sz w:val="31"/>
          <w:szCs w:val="31"/>
          <w:spacing w:val="10"/>
        </w:rPr>
        <w:t>、直辖市人民政府卫生行政部门给予警告、3万元以下罚</w:t>
      </w:r>
      <w:r>
        <w:rPr>
          <w:rFonts w:ascii="FangSong" w:hAnsi="FangSong" w:eastAsia="FangSong" w:cs="FangSong"/>
          <w:sz w:val="31"/>
          <w:szCs w:val="31"/>
        </w:rPr>
        <w:t xml:space="preserve"> </w:t>
      </w:r>
      <w:r>
        <w:rPr>
          <w:rFonts w:ascii="FangSong" w:hAnsi="FangSong" w:eastAsia="FangSong" w:cs="FangSong"/>
          <w:sz w:val="31"/>
          <w:szCs w:val="31"/>
          <w:spacing w:val="6"/>
        </w:rPr>
        <w:t>款，并给予有关责任人行政处分；构成犯罪的，依法追究刑事责任：</w:t>
      </w:r>
    </w:p>
    <w:p>
      <w:pPr>
        <w:ind w:left="790"/>
        <w:spacing w:before="35" w:line="222" w:lineRule="auto"/>
        <w:rPr>
          <w:rFonts w:ascii="FangSong" w:hAnsi="FangSong" w:eastAsia="FangSong" w:cs="FangSong"/>
          <w:sz w:val="31"/>
          <w:szCs w:val="31"/>
        </w:rPr>
      </w:pPr>
      <w:r>
        <w:rPr>
          <w:rFonts w:ascii="FangSong" w:hAnsi="FangSong" w:eastAsia="FangSong" w:cs="FangSong"/>
          <w:sz w:val="31"/>
          <w:szCs w:val="31"/>
          <w:spacing w:val="17"/>
        </w:rPr>
        <w:t>(二)实施代孕技术的；</w:t>
      </w:r>
    </w:p>
    <w:p>
      <w:pPr>
        <w:ind w:left="6424"/>
        <w:spacing w:before="195"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70" w:type="dxa"/>
        <w:tblInd w:w="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54"/>
        <w:gridCol w:w="8054"/>
        <w:gridCol w:w="4262"/>
      </w:tblGrid>
      <w:tr>
        <w:trPr>
          <w:trHeight w:val="642" w:hRule="atLeast"/>
        </w:trPr>
        <w:tc>
          <w:tcPr>
            <w:tcW w:w="1554" w:type="dxa"/>
            <w:vAlign w:val="top"/>
          </w:tcPr>
          <w:p>
            <w:pPr>
              <w:pStyle w:val="TableText"/>
              <w:ind w:left="268"/>
              <w:spacing w:before="202" w:line="220" w:lineRule="auto"/>
              <w:rPr>
                <w:sz w:val="25"/>
                <w:szCs w:val="25"/>
              </w:rPr>
            </w:pPr>
            <w:r>
              <w:rPr>
                <w:sz w:val="25"/>
                <w:szCs w:val="25"/>
                <w:b/>
                <w:bCs/>
                <w:spacing w:val="-5"/>
              </w:rPr>
              <w:t>违法程度</w:t>
            </w:r>
          </w:p>
        </w:tc>
        <w:tc>
          <w:tcPr>
            <w:tcW w:w="8054" w:type="dxa"/>
            <w:vAlign w:val="top"/>
          </w:tcPr>
          <w:p>
            <w:pPr>
              <w:pStyle w:val="TableText"/>
              <w:ind w:left="3474"/>
              <w:spacing w:before="202" w:line="220" w:lineRule="auto"/>
              <w:rPr>
                <w:sz w:val="25"/>
                <w:szCs w:val="25"/>
              </w:rPr>
            </w:pPr>
            <w:r>
              <w:rPr>
                <w:sz w:val="25"/>
                <w:szCs w:val="25"/>
                <w:b/>
                <w:bCs/>
                <w:spacing w:val="-5"/>
              </w:rPr>
              <w:t>情节后果</w:t>
            </w:r>
          </w:p>
        </w:tc>
        <w:tc>
          <w:tcPr>
            <w:tcW w:w="4262" w:type="dxa"/>
            <w:vAlign w:val="top"/>
          </w:tcPr>
          <w:p>
            <w:pPr>
              <w:pStyle w:val="TableText"/>
              <w:ind w:left="1630"/>
              <w:spacing w:before="199" w:line="218" w:lineRule="auto"/>
              <w:rPr>
                <w:sz w:val="25"/>
                <w:szCs w:val="25"/>
              </w:rPr>
            </w:pPr>
            <w:r>
              <w:rPr>
                <w:sz w:val="25"/>
                <w:szCs w:val="25"/>
                <w:b/>
                <w:bCs/>
                <w:spacing w:val="-5"/>
              </w:rPr>
              <w:t>裁量幅度</w:t>
            </w:r>
          </w:p>
        </w:tc>
      </w:tr>
      <w:tr>
        <w:trPr>
          <w:trHeight w:val="428" w:hRule="atLeast"/>
        </w:trPr>
        <w:tc>
          <w:tcPr>
            <w:tcW w:w="1554" w:type="dxa"/>
            <w:vAlign w:val="top"/>
          </w:tcPr>
          <w:p>
            <w:pPr>
              <w:pStyle w:val="TableText"/>
              <w:ind w:left="518"/>
              <w:spacing w:before="89" w:line="219" w:lineRule="auto"/>
              <w:rPr>
                <w:sz w:val="25"/>
                <w:szCs w:val="25"/>
              </w:rPr>
            </w:pPr>
            <w:r>
              <w:rPr>
                <w:sz w:val="25"/>
                <w:szCs w:val="25"/>
                <w:b/>
                <w:bCs/>
                <w:spacing w:val="-6"/>
              </w:rPr>
              <w:t>较轻</w:t>
            </w:r>
          </w:p>
        </w:tc>
        <w:tc>
          <w:tcPr>
            <w:tcW w:w="8054" w:type="dxa"/>
            <w:vAlign w:val="top"/>
          </w:tcPr>
          <w:p>
            <w:pPr>
              <w:pStyle w:val="TableText"/>
              <w:ind w:left="120"/>
              <w:spacing w:before="93" w:line="219" w:lineRule="auto"/>
              <w:rPr>
                <w:sz w:val="25"/>
                <w:szCs w:val="25"/>
              </w:rPr>
            </w:pPr>
            <w:r>
              <w:rPr>
                <w:sz w:val="25"/>
                <w:szCs w:val="25"/>
                <w:spacing w:val="1"/>
              </w:rPr>
              <w:t>实施代孕技术1例，或违法所得5000元以下的</w:t>
            </w:r>
          </w:p>
        </w:tc>
        <w:tc>
          <w:tcPr>
            <w:tcW w:w="4262" w:type="dxa"/>
            <w:vAlign w:val="top"/>
          </w:tcPr>
          <w:p>
            <w:pPr>
              <w:pStyle w:val="TableText"/>
              <w:ind w:left="127"/>
              <w:spacing w:before="91" w:line="218" w:lineRule="auto"/>
              <w:rPr>
                <w:sz w:val="25"/>
                <w:szCs w:val="25"/>
              </w:rPr>
            </w:pPr>
            <w:r>
              <w:rPr>
                <w:sz w:val="25"/>
                <w:szCs w:val="25"/>
                <w:spacing w:val="-2"/>
              </w:rPr>
              <w:t>警告，罚款10000元</w:t>
            </w:r>
          </w:p>
        </w:tc>
      </w:tr>
      <w:tr>
        <w:trPr>
          <w:trHeight w:val="637" w:hRule="atLeast"/>
        </w:trPr>
        <w:tc>
          <w:tcPr>
            <w:tcW w:w="1554" w:type="dxa"/>
            <w:vAlign w:val="top"/>
          </w:tcPr>
          <w:p>
            <w:pPr>
              <w:pStyle w:val="TableText"/>
              <w:ind w:left="518"/>
              <w:spacing w:before="203" w:line="221" w:lineRule="auto"/>
              <w:rPr>
                <w:sz w:val="25"/>
                <w:szCs w:val="25"/>
              </w:rPr>
            </w:pPr>
            <w:r>
              <w:rPr>
                <w:sz w:val="25"/>
                <w:szCs w:val="25"/>
                <w:b/>
                <w:bCs/>
                <w:spacing w:val="-10"/>
              </w:rPr>
              <w:t>一般</w:t>
            </w:r>
          </w:p>
        </w:tc>
        <w:tc>
          <w:tcPr>
            <w:tcW w:w="8054" w:type="dxa"/>
            <w:vAlign w:val="top"/>
          </w:tcPr>
          <w:p>
            <w:pPr>
              <w:pStyle w:val="TableText"/>
              <w:ind w:left="120"/>
              <w:spacing w:before="205" w:line="219" w:lineRule="auto"/>
              <w:rPr>
                <w:sz w:val="25"/>
                <w:szCs w:val="25"/>
              </w:rPr>
            </w:pPr>
            <w:r>
              <w:rPr>
                <w:sz w:val="25"/>
                <w:szCs w:val="25"/>
              </w:rPr>
              <w:t>实施代孕技术2例，或违法所得5000元以上10000元以下的</w:t>
            </w:r>
          </w:p>
        </w:tc>
        <w:tc>
          <w:tcPr>
            <w:tcW w:w="4262" w:type="dxa"/>
            <w:vAlign w:val="top"/>
          </w:tcPr>
          <w:p>
            <w:pPr>
              <w:pStyle w:val="TableText"/>
              <w:ind w:left="127"/>
              <w:spacing w:before="203" w:line="218" w:lineRule="auto"/>
              <w:rPr>
                <w:sz w:val="25"/>
                <w:szCs w:val="25"/>
              </w:rPr>
            </w:pPr>
            <w:r>
              <w:rPr>
                <w:sz w:val="25"/>
                <w:szCs w:val="25"/>
              </w:rPr>
              <w:t>警告，罚款10000元以上20000元以下</w:t>
            </w:r>
          </w:p>
        </w:tc>
      </w:tr>
      <w:tr>
        <w:trPr>
          <w:trHeight w:val="662" w:hRule="atLeast"/>
        </w:trPr>
        <w:tc>
          <w:tcPr>
            <w:tcW w:w="1554" w:type="dxa"/>
            <w:vAlign w:val="top"/>
          </w:tcPr>
          <w:p>
            <w:pPr>
              <w:pStyle w:val="TableText"/>
              <w:ind w:left="518"/>
              <w:spacing w:before="218" w:line="221" w:lineRule="auto"/>
              <w:rPr>
                <w:sz w:val="25"/>
                <w:szCs w:val="25"/>
              </w:rPr>
            </w:pPr>
            <w:r>
              <w:rPr>
                <w:sz w:val="25"/>
                <w:szCs w:val="25"/>
                <w:b/>
                <w:bCs/>
                <w:spacing w:val="-6"/>
              </w:rPr>
              <w:t>较重</w:t>
            </w:r>
          </w:p>
        </w:tc>
        <w:tc>
          <w:tcPr>
            <w:tcW w:w="8054" w:type="dxa"/>
            <w:vAlign w:val="top"/>
          </w:tcPr>
          <w:p>
            <w:pPr>
              <w:pStyle w:val="TableText"/>
              <w:ind w:left="120"/>
              <w:spacing w:before="48" w:line="223" w:lineRule="auto"/>
              <w:rPr>
                <w:sz w:val="25"/>
                <w:szCs w:val="25"/>
              </w:rPr>
            </w:pPr>
            <w:r>
              <w:rPr>
                <w:sz w:val="25"/>
                <w:szCs w:val="25"/>
                <w:spacing w:val="-2"/>
              </w:rPr>
              <w:t>实施代孕技术3例及以上，或违法所得10000元以上，或</w:t>
            </w:r>
            <w:r>
              <w:rPr>
                <w:sz w:val="25"/>
                <w:szCs w:val="25"/>
                <w:spacing w:val="-3"/>
              </w:rPr>
              <w:t>造成他人健康损害</w:t>
            </w:r>
            <w:r>
              <w:rPr>
                <w:sz w:val="25"/>
                <w:szCs w:val="25"/>
              </w:rPr>
              <w:t xml:space="preserve"> </w:t>
            </w:r>
            <w:r>
              <w:rPr>
                <w:sz w:val="25"/>
                <w:szCs w:val="25"/>
                <w:spacing w:val="4"/>
              </w:rPr>
              <w:t>等后果的</w:t>
            </w:r>
          </w:p>
        </w:tc>
        <w:tc>
          <w:tcPr>
            <w:tcW w:w="4262" w:type="dxa"/>
            <w:vAlign w:val="top"/>
          </w:tcPr>
          <w:p>
            <w:pPr>
              <w:pStyle w:val="TableText"/>
              <w:ind w:left="127"/>
              <w:spacing w:before="216" w:line="218" w:lineRule="auto"/>
              <w:rPr>
                <w:sz w:val="25"/>
                <w:szCs w:val="25"/>
              </w:rPr>
            </w:pPr>
            <w:r>
              <w:rPr>
                <w:sz w:val="25"/>
                <w:szCs w:val="25"/>
              </w:rPr>
              <w:t>警告，罚款20000元以上30000元以下</w:t>
            </w:r>
          </w:p>
        </w:tc>
      </w:tr>
    </w:tbl>
    <w:p>
      <w:pPr>
        <w:pStyle w:val="BodyText"/>
        <w:spacing w:line="404" w:lineRule="auto"/>
        <w:rPr/>
      </w:pPr>
      <w:r/>
    </w:p>
    <w:p>
      <w:pPr>
        <w:ind w:left="4" w:right="1" w:firstLine="659"/>
        <w:spacing w:before="101" w:line="277" w:lineRule="auto"/>
        <w:rPr>
          <w:rFonts w:ascii="FangSong" w:hAnsi="FangSong" w:eastAsia="FangSong" w:cs="FangSong"/>
          <w:sz w:val="31"/>
          <w:szCs w:val="31"/>
        </w:rPr>
      </w:pPr>
      <w:r>
        <w:rPr>
          <w:rFonts w:ascii="FangSong" w:hAnsi="FangSong" w:eastAsia="FangSong" w:cs="FangSong"/>
          <w:sz w:val="31"/>
          <w:szCs w:val="31"/>
          <w:b/>
          <w:bCs/>
          <w:spacing w:val="11"/>
        </w:rPr>
        <w:t>第三百九十八条开展人类辅助生殖技术的医疗机构使用不具有《人类精子库批准证书》机</w:t>
      </w:r>
      <w:r>
        <w:rPr>
          <w:rFonts w:ascii="FangSong" w:hAnsi="FangSong" w:eastAsia="FangSong" w:cs="FangSong"/>
          <w:sz w:val="31"/>
          <w:szCs w:val="31"/>
          <w:b/>
          <w:bCs/>
          <w:spacing w:val="10"/>
        </w:rPr>
        <w:t>构提</w:t>
      </w:r>
      <w:r>
        <w:rPr>
          <w:rFonts w:ascii="FangSong" w:hAnsi="FangSong" w:eastAsia="FangSong" w:cs="FangSong"/>
          <w:sz w:val="31"/>
          <w:szCs w:val="31"/>
        </w:rPr>
        <w:t xml:space="preserve"> </w:t>
      </w:r>
      <w:r>
        <w:rPr>
          <w:rFonts w:ascii="FangSong" w:hAnsi="FangSong" w:eastAsia="FangSong" w:cs="FangSong"/>
          <w:sz w:val="31"/>
          <w:szCs w:val="31"/>
          <w:b/>
          <w:bCs/>
          <w:spacing w:val="9"/>
        </w:rPr>
        <w:t>供的精子的</w:t>
      </w:r>
    </w:p>
    <w:p>
      <w:pPr>
        <w:ind w:left="659"/>
        <w:spacing w:before="6"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firstLine="635"/>
        <w:spacing w:before="85" w:line="268" w:lineRule="auto"/>
        <w:rPr>
          <w:rFonts w:ascii="FangSong" w:hAnsi="FangSong" w:eastAsia="FangSong" w:cs="FangSong"/>
          <w:sz w:val="31"/>
          <w:szCs w:val="31"/>
        </w:rPr>
      </w:pPr>
      <w:r>
        <w:rPr>
          <w:rFonts w:ascii="FangSong" w:hAnsi="FangSong" w:eastAsia="FangSong" w:cs="FangSong"/>
          <w:sz w:val="31"/>
          <w:szCs w:val="31"/>
          <w:spacing w:val="14"/>
        </w:rPr>
        <w:t>《人类辅助生殖技术管理办法》第二十二条第(三)项</w:t>
      </w:r>
      <w:r>
        <w:rPr>
          <w:rFonts w:ascii="FangSong" w:hAnsi="FangSong" w:eastAsia="FangSong" w:cs="FangSong"/>
          <w:sz w:val="31"/>
          <w:szCs w:val="31"/>
          <w:spacing w:val="14"/>
        </w:rPr>
        <w:t xml:space="preserve">  </w:t>
      </w:r>
      <w:r>
        <w:rPr>
          <w:rFonts w:ascii="FangSong" w:hAnsi="FangSong" w:eastAsia="FangSong" w:cs="FangSong"/>
          <w:sz w:val="31"/>
          <w:szCs w:val="31"/>
          <w:spacing w:val="14"/>
        </w:rPr>
        <w:t>开展人类辅助生殖技术的医疗机构违反</w:t>
      </w:r>
      <w:r>
        <w:rPr>
          <w:rFonts w:ascii="FangSong" w:hAnsi="FangSong" w:eastAsia="FangSong" w:cs="FangSong"/>
          <w:sz w:val="31"/>
          <w:szCs w:val="31"/>
          <w:spacing w:val="11"/>
        </w:rPr>
        <w:t xml:space="preserve"> </w:t>
      </w:r>
      <w:r>
        <w:rPr>
          <w:rFonts w:ascii="FangSong" w:hAnsi="FangSong" w:eastAsia="FangSong" w:cs="FangSong"/>
          <w:sz w:val="31"/>
          <w:szCs w:val="31"/>
          <w:spacing w:val="11"/>
        </w:rPr>
        <w:t>本办法，有下列行为之一的，由省、自治区</w:t>
      </w:r>
      <w:r>
        <w:rPr>
          <w:rFonts w:ascii="FangSong" w:hAnsi="FangSong" w:eastAsia="FangSong" w:cs="FangSong"/>
          <w:sz w:val="31"/>
          <w:szCs w:val="31"/>
          <w:spacing w:val="10"/>
        </w:rPr>
        <w:t>、直辖市人民政府卫生行政部门给予警告、3万元以下罚</w:t>
      </w:r>
    </w:p>
    <w:p>
      <w:pPr>
        <w:spacing w:line="268" w:lineRule="auto"/>
        <w:sectPr>
          <w:footerReference w:type="default" r:id="rId427"/>
          <w:pgSz w:w="16830" w:h="11900"/>
          <w:pgMar w:top="1011" w:right="1440" w:bottom="1107" w:left="1430" w:header="0" w:footer="774" w:gutter="0"/>
        </w:sectPr>
        <w:rPr>
          <w:rFonts w:ascii="FangSong" w:hAnsi="FangSong" w:eastAsia="FangSong" w:cs="FangSong"/>
          <w:sz w:val="31"/>
          <w:szCs w:val="31"/>
        </w:rPr>
      </w:pPr>
    </w:p>
    <w:p>
      <w:pPr>
        <w:pStyle w:val="BodyText"/>
        <w:spacing w:line="253" w:lineRule="auto"/>
        <w:rPr/>
      </w:pPr>
      <w:r/>
    </w:p>
    <w:p>
      <w:pPr>
        <w:pStyle w:val="BodyText"/>
        <w:spacing w:line="253" w:lineRule="auto"/>
        <w:rPr/>
      </w:pPr>
      <w:r/>
    </w:p>
    <w:p>
      <w:pPr>
        <w:pStyle w:val="BodyText"/>
        <w:spacing w:line="253" w:lineRule="auto"/>
        <w:rPr/>
      </w:pPr>
      <w:r/>
    </w:p>
    <w:p>
      <w:pPr>
        <w:ind w:left="15"/>
        <w:spacing w:before="101" w:line="220" w:lineRule="auto"/>
        <w:rPr>
          <w:rFonts w:ascii="FangSong" w:hAnsi="FangSong" w:eastAsia="FangSong" w:cs="FangSong"/>
          <w:sz w:val="31"/>
          <w:szCs w:val="31"/>
        </w:rPr>
      </w:pPr>
      <w:bookmarkStart w:name="bookmark1074" w:id="448"/>
      <w:bookmarkEnd w:id="448"/>
      <w:r>
        <w:rPr>
          <w:rFonts w:ascii="FangSong" w:hAnsi="FangSong" w:eastAsia="FangSong" w:cs="FangSong"/>
          <w:sz w:val="31"/>
          <w:szCs w:val="31"/>
          <w:spacing w:val="6"/>
        </w:rPr>
        <w:t>款，并给予有关责任人行政处分；构成犯罪的，依法追究刑事责任：</w:t>
      </w:r>
    </w:p>
    <w:p>
      <w:pPr>
        <w:ind w:left="6419" w:right="4450" w:hanging="5634"/>
        <w:spacing w:before="82" w:line="288" w:lineRule="auto"/>
        <w:rPr>
          <w:rFonts w:ascii="SimSun" w:hAnsi="SimSun" w:eastAsia="SimSun" w:cs="SimSun"/>
          <w:sz w:val="29"/>
          <w:szCs w:val="29"/>
        </w:rPr>
      </w:pPr>
      <w:r>
        <w:rPr>
          <w:rFonts w:ascii="FangSong" w:hAnsi="FangSong" w:eastAsia="FangSong" w:cs="FangSong"/>
          <w:sz w:val="31"/>
          <w:szCs w:val="31"/>
          <w:spacing w:val="12"/>
        </w:rPr>
        <w:t>(三)使用不具有《人类精子库批准证书》机构提供的精子的；</w:t>
      </w:r>
      <w:r>
        <w:rPr>
          <w:rFonts w:ascii="FangSong" w:hAnsi="FangSong" w:eastAsia="FangSong" w:cs="FangSong"/>
          <w:sz w:val="31"/>
          <w:szCs w:val="31"/>
          <w:spacing w:val="17"/>
        </w:rPr>
        <w:t xml:space="preserve"> </w:t>
      </w:r>
      <w:r>
        <w:rPr>
          <w:rFonts w:ascii="SimSun" w:hAnsi="SimSun" w:eastAsia="SimSun" w:cs="SimSun"/>
          <w:sz w:val="29"/>
          <w:szCs w:val="29"/>
          <w:b/>
          <w:bCs/>
          <w:spacing w:val="-6"/>
        </w:rPr>
        <w:t>裁量标准</w:t>
      </w:r>
    </w:p>
    <w:tbl>
      <w:tblPr>
        <w:tblStyle w:val="TableNormal"/>
        <w:tblW w:w="13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8494"/>
        <w:gridCol w:w="3952"/>
      </w:tblGrid>
      <w:tr>
        <w:trPr>
          <w:trHeight w:val="633" w:hRule="atLeast"/>
        </w:trPr>
        <w:tc>
          <w:tcPr>
            <w:tcW w:w="1424" w:type="dxa"/>
            <w:vAlign w:val="top"/>
          </w:tcPr>
          <w:p>
            <w:pPr>
              <w:pStyle w:val="TableText"/>
              <w:ind w:left="208"/>
              <w:spacing w:before="192" w:line="220" w:lineRule="auto"/>
              <w:rPr>
                <w:sz w:val="25"/>
                <w:szCs w:val="25"/>
              </w:rPr>
            </w:pPr>
            <w:r>
              <w:rPr>
                <w:sz w:val="25"/>
                <w:szCs w:val="25"/>
                <w:b/>
                <w:bCs/>
                <w:spacing w:val="-5"/>
              </w:rPr>
              <w:t>违法程度</w:t>
            </w:r>
          </w:p>
        </w:tc>
        <w:tc>
          <w:tcPr>
            <w:tcW w:w="8494" w:type="dxa"/>
            <w:vAlign w:val="top"/>
          </w:tcPr>
          <w:p>
            <w:pPr>
              <w:pStyle w:val="TableText"/>
              <w:ind w:left="3744"/>
              <w:spacing w:before="192" w:line="220" w:lineRule="auto"/>
              <w:rPr>
                <w:sz w:val="25"/>
                <w:szCs w:val="25"/>
              </w:rPr>
            </w:pPr>
            <w:r>
              <w:rPr>
                <w:sz w:val="25"/>
                <w:szCs w:val="25"/>
                <w:b/>
                <w:bCs/>
                <w:spacing w:val="-5"/>
              </w:rPr>
              <w:t>情节后果</w:t>
            </w:r>
          </w:p>
        </w:tc>
        <w:tc>
          <w:tcPr>
            <w:tcW w:w="3952" w:type="dxa"/>
            <w:vAlign w:val="top"/>
          </w:tcPr>
          <w:p>
            <w:pPr>
              <w:pStyle w:val="TableText"/>
              <w:ind w:left="1410"/>
              <w:spacing w:before="189" w:line="218" w:lineRule="auto"/>
              <w:rPr>
                <w:sz w:val="25"/>
                <w:szCs w:val="25"/>
              </w:rPr>
            </w:pPr>
            <w:r>
              <w:rPr>
                <w:sz w:val="25"/>
                <w:szCs w:val="25"/>
                <w:b/>
                <w:bCs/>
                <w:spacing w:val="-5"/>
              </w:rPr>
              <w:t>裁量幅度</w:t>
            </w:r>
          </w:p>
        </w:tc>
      </w:tr>
      <w:tr>
        <w:trPr>
          <w:trHeight w:val="598" w:hRule="atLeast"/>
        </w:trPr>
        <w:tc>
          <w:tcPr>
            <w:tcW w:w="1424" w:type="dxa"/>
            <w:vAlign w:val="top"/>
          </w:tcPr>
          <w:p>
            <w:pPr>
              <w:pStyle w:val="TableText"/>
              <w:ind w:left="458"/>
              <w:spacing w:before="178" w:line="219" w:lineRule="auto"/>
              <w:rPr>
                <w:sz w:val="25"/>
                <w:szCs w:val="25"/>
              </w:rPr>
            </w:pPr>
            <w:r>
              <w:rPr>
                <w:sz w:val="25"/>
                <w:szCs w:val="25"/>
                <w:b/>
                <w:bCs/>
                <w:spacing w:val="-6"/>
              </w:rPr>
              <w:t>较轻</w:t>
            </w:r>
          </w:p>
        </w:tc>
        <w:tc>
          <w:tcPr>
            <w:tcW w:w="8494" w:type="dxa"/>
            <w:vAlign w:val="top"/>
          </w:tcPr>
          <w:p>
            <w:pPr>
              <w:pStyle w:val="TableText"/>
              <w:ind w:left="51"/>
              <w:spacing w:before="180" w:line="219" w:lineRule="auto"/>
              <w:rPr>
                <w:sz w:val="25"/>
                <w:szCs w:val="25"/>
              </w:rPr>
            </w:pPr>
            <w:r>
              <w:rPr>
                <w:sz w:val="25"/>
                <w:szCs w:val="25"/>
              </w:rPr>
              <w:t>发现该行为且使用该机构提供的精子实施手术1例，或违法所得5000元以下的</w:t>
            </w:r>
          </w:p>
        </w:tc>
        <w:tc>
          <w:tcPr>
            <w:tcW w:w="3952" w:type="dxa"/>
            <w:vAlign w:val="top"/>
          </w:tcPr>
          <w:p>
            <w:pPr>
              <w:pStyle w:val="TableText"/>
              <w:ind w:left="107"/>
              <w:spacing w:before="180" w:line="218" w:lineRule="auto"/>
              <w:rPr>
                <w:sz w:val="25"/>
                <w:szCs w:val="25"/>
              </w:rPr>
            </w:pPr>
            <w:r>
              <w:rPr>
                <w:sz w:val="25"/>
                <w:szCs w:val="25"/>
                <w:spacing w:val="1"/>
              </w:rPr>
              <w:t>警告，罚款10000元</w:t>
            </w:r>
          </w:p>
        </w:tc>
      </w:tr>
      <w:tr>
        <w:trPr>
          <w:trHeight w:val="657" w:hRule="atLeast"/>
        </w:trPr>
        <w:tc>
          <w:tcPr>
            <w:tcW w:w="1424" w:type="dxa"/>
            <w:vAlign w:val="top"/>
          </w:tcPr>
          <w:p>
            <w:pPr>
              <w:pStyle w:val="TableText"/>
              <w:ind w:left="458"/>
              <w:spacing w:before="212" w:line="221" w:lineRule="auto"/>
              <w:rPr>
                <w:sz w:val="25"/>
                <w:szCs w:val="25"/>
              </w:rPr>
            </w:pPr>
            <w:r>
              <w:rPr>
                <w:sz w:val="25"/>
                <w:szCs w:val="25"/>
                <w:b/>
                <w:bCs/>
                <w:spacing w:val="-10"/>
              </w:rPr>
              <w:t>一般</w:t>
            </w:r>
          </w:p>
        </w:tc>
        <w:tc>
          <w:tcPr>
            <w:tcW w:w="8494" w:type="dxa"/>
            <w:vAlign w:val="top"/>
          </w:tcPr>
          <w:p>
            <w:pPr>
              <w:pStyle w:val="TableText"/>
              <w:ind w:left="110"/>
              <w:spacing w:before="212" w:line="219" w:lineRule="auto"/>
              <w:rPr>
                <w:sz w:val="25"/>
                <w:szCs w:val="25"/>
              </w:rPr>
            </w:pPr>
            <w:r>
              <w:rPr>
                <w:sz w:val="25"/>
                <w:szCs w:val="25"/>
              </w:rPr>
              <w:t>使用该机构提供的精子实施手术2例，或违法所得5000元以上10000元以下的</w:t>
            </w:r>
          </w:p>
        </w:tc>
        <w:tc>
          <w:tcPr>
            <w:tcW w:w="3952" w:type="dxa"/>
            <w:vAlign w:val="top"/>
          </w:tcPr>
          <w:p>
            <w:pPr>
              <w:pStyle w:val="TableText"/>
              <w:ind w:left="106" w:right="72" w:hanging="9"/>
              <w:spacing w:before="51" w:line="220" w:lineRule="auto"/>
              <w:rPr>
                <w:sz w:val="25"/>
                <w:szCs w:val="25"/>
              </w:rPr>
            </w:pPr>
            <w:r>
              <w:rPr>
                <w:sz w:val="25"/>
                <w:szCs w:val="25"/>
                <w:spacing w:val="1"/>
              </w:rPr>
              <w:t>警告，罚款10000元以上20000元以 </w:t>
            </w:r>
            <w:r>
              <w:rPr>
                <w:sz w:val="25"/>
                <w:szCs w:val="25"/>
              </w:rPr>
              <w:t>下</w:t>
            </w:r>
          </w:p>
        </w:tc>
      </w:tr>
      <w:tr>
        <w:trPr>
          <w:trHeight w:val="692" w:hRule="atLeast"/>
        </w:trPr>
        <w:tc>
          <w:tcPr>
            <w:tcW w:w="1424" w:type="dxa"/>
            <w:vAlign w:val="top"/>
          </w:tcPr>
          <w:p>
            <w:pPr>
              <w:pStyle w:val="TableText"/>
              <w:ind w:left="458"/>
              <w:spacing w:before="227" w:line="221" w:lineRule="auto"/>
              <w:rPr>
                <w:sz w:val="25"/>
                <w:szCs w:val="25"/>
              </w:rPr>
            </w:pPr>
            <w:r>
              <w:rPr>
                <w:sz w:val="25"/>
                <w:szCs w:val="25"/>
                <w:b/>
                <w:bCs/>
                <w:spacing w:val="-6"/>
              </w:rPr>
              <w:t>较重</w:t>
            </w:r>
          </w:p>
        </w:tc>
        <w:tc>
          <w:tcPr>
            <w:tcW w:w="8494" w:type="dxa"/>
            <w:vAlign w:val="top"/>
          </w:tcPr>
          <w:p>
            <w:pPr>
              <w:pStyle w:val="TableText"/>
              <w:ind w:left="99" w:hanging="89"/>
              <w:spacing w:before="86" w:line="220" w:lineRule="auto"/>
              <w:rPr>
                <w:sz w:val="25"/>
                <w:szCs w:val="25"/>
              </w:rPr>
            </w:pPr>
            <w:r>
              <w:rPr>
                <w:sz w:val="25"/>
                <w:szCs w:val="25"/>
                <w:spacing w:val="-1"/>
              </w:rPr>
              <w:t>使用该机构提供的精子实施手术3例及以上，或违法所得10000元以上，或造成</w:t>
            </w:r>
            <w:r>
              <w:rPr>
                <w:sz w:val="25"/>
                <w:szCs w:val="25"/>
                <w:spacing w:val="9"/>
              </w:rPr>
              <w:t xml:space="preserve"> </w:t>
            </w:r>
            <w:r>
              <w:rPr>
                <w:sz w:val="25"/>
                <w:szCs w:val="25"/>
                <w:spacing w:val="1"/>
              </w:rPr>
              <w:t>他人健康损害等后果的</w:t>
            </w:r>
          </w:p>
        </w:tc>
        <w:tc>
          <w:tcPr>
            <w:tcW w:w="3952" w:type="dxa"/>
            <w:vAlign w:val="top"/>
          </w:tcPr>
          <w:p>
            <w:pPr>
              <w:pStyle w:val="TableText"/>
              <w:ind w:left="106" w:right="72" w:hanging="9"/>
              <w:spacing w:before="86" w:line="220" w:lineRule="auto"/>
              <w:rPr>
                <w:sz w:val="25"/>
                <w:szCs w:val="25"/>
              </w:rPr>
            </w:pPr>
            <w:r>
              <w:rPr>
                <w:sz w:val="25"/>
                <w:szCs w:val="25"/>
                <w:spacing w:val="1"/>
              </w:rPr>
              <w:t>警告，罚款20000元以上30000元以 </w:t>
            </w:r>
            <w:r>
              <w:rPr>
                <w:sz w:val="25"/>
                <w:szCs w:val="25"/>
              </w:rPr>
              <w:t>下</w:t>
            </w:r>
          </w:p>
        </w:tc>
      </w:tr>
    </w:tbl>
    <w:p>
      <w:pPr>
        <w:pStyle w:val="BodyText"/>
        <w:spacing w:line="433" w:lineRule="auto"/>
        <w:rPr/>
      </w:pPr>
      <w:r/>
    </w:p>
    <w:p>
      <w:pPr>
        <w:ind w:left="659"/>
        <w:spacing w:before="101" w:line="220" w:lineRule="auto"/>
        <w:rPr>
          <w:rFonts w:ascii="FangSong" w:hAnsi="FangSong" w:eastAsia="FangSong" w:cs="FangSong"/>
          <w:sz w:val="31"/>
          <w:szCs w:val="31"/>
        </w:rPr>
      </w:pPr>
      <w:r>
        <w:rPr>
          <w:rFonts w:ascii="FangSong" w:hAnsi="FangSong" w:eastAsia="FangSong" w:cs="FangSong"/>
          <w:sz w:val="31"/>
          <w:szCs w:val="31"/>
          <w:b/>
          <w:bCs/>
          <w:spacing w:val="11"/>
        </w:rPr>
        <w:t>第三百九十九条开展人类辅助生殖技术的医疗机构擅自进行性别选择的</w:t>
      </w:r>
    </w:p>
    <w:p>
      <w:pPr>
        <w:ind w:left="654"/>
        <w:spacing w:before="97"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15" w:firstLine="614"/>
        <w:spacing w:before="93" w:line="260" w:lineRule="auto"/>
        <w:jc w:val="both"/>
        <w:rPr>
          <w:rFonts w:ascii="FangSong" w:hAnsi="FangSong" w:eastAsia="FangSong" w:cs="FangSong"/>
          <w:sz w:val="31"/>
          <w:szCs w:val="31"/>
        </w:rPr>
      </w:pPr>
      <w:r>
        <w:rPr>
          <w:rFonts w:ascii="FangSong" w:hAnsi="FangSong" w:eastAsia="FangSong" w:cs="FangSong"/>
          <w:sz w:val="31"/>
          <w:szCs w:val="31"/>
          <w:spacing w:val="14"/>
        </w:rPr>
        <w:t>《人类辅助生殖技术管理办法》第二十二条第(四)项</w:t>
      </w:r>
      <w:r>
        <w:rPr>
          <w:rFonts w:ascii="FangSong" w:hAnsi="FangSong" w:eastAsia="FangSong" w:cs="FangSong"/>
          <w:sz w:val="31"/>
          <w:szCs w:val="31"/>
          <w:spacing w:val="14"/>
        </w:rPr>
        <w:t xml:space="preserve">  </w:t>
      </w:r>
      <w:r>
        <w:rPr>
          <w:rFonts w:ascii="FangSong" w:hAnsi="FangSong" w:eastAsia="FangSong" w:cs="FangSong"/>
          <w:sz w:val="31"/>
          <w:szCs w:val="31"/>
          <w:spacing w:val="14"/>
        </w:rPr>
        <w:t>开展人类辅助生殖技术的医疗机构违反</w:t>
      </w:r>
      <w:r>
        <w:rPr>
          <w:rFonts w:ascii="FangSong" w:hAnsi="FangSong" w:eastAsia="FangSong" w:cs="FangSong"/>
          <w:sz w:val="31"/>
          <w:szCs w:val="31"/>
          <w:spacing w:val="11"/>
        </w:rPr>
        <w:t xml:space="preserve"> </w:t>
      </w:r>
      <w:r>
        <w:rPr>
          <w:rFonts w:ascii="FangSong" w:hAnsi="FangSong" w:eastAsia="FangSong" w:cs="FangSong"/>
          <w:sz w:val="31"/>
          <w:szCs w:val="31"/>
          <w:spacing w:val="11"/>
        </w:rPr>
        <w:t>本办法，有下列行为之一的，由省、自治区</w:t>
      </w:r>
      <w:r>
        <w:rPr>
          <w:rFonts w:ascii="FangSong" w:hAnsi="FangSong" w:eastAsia="FangSong" w:cs="FangSong"/>
          <w:sz w:val="31"/>
          <w:szCs w:val="31"/>
          <w:spacing w:val="10"/>
        </w:rPr>
        <w:t>、直辖市人民政府卫生行政部门给予警告、3万元以下罚</w:t>
      </w:r>
      <w:r>
        <w:rPr>
          <w:rFonts w:ascii="FangSong" w:hAnsi="FangSong" w:eastAsia="FangSong" w:cs="FangSong"/>
          <w:sz w:val="31"/>
          <w:szCs w:val="31"/>
        </w:rPr>
        <w:t xml:space="preserve"> </w:t>
      </w:r>
      <w:r>
        <w:rPr>
          <w:rFonts w:ascii="FangSong" w:hAnsi="FangSong" w:eastAsia="FangSong" w:cs="FangSong"/>
          <w:sz w:val="31"/>
          <w:szCs w:val="31"/>
          <w:spacing w:val="6"/>
        </w:rPr>
        <w:t>款，并给予有关责任人行政处分；构成犯罪的，依法追究刑事责任：</w:t>
      </w:r>
    </w:p>
    <w:p>
      <w:pPr>
        <w:ind w:left="785"/>
        <w:spacing w:line="220" w:lineRule="auto"/>
        <w:rPr>
          <w:rFonts w:ascii="FangSong" w:hAnsi="FangSong" w:eastAsia="FangSong" w:cs="FangSong"/>
          <w:sz w:val="31"/>
          <w:szCs w:val="31"/>
        </w:rPr>
      </w:pPr>
      <w:r>
        <w:rPr>
          <w:rFonts w:ascii="FangSong" w:hAnsi="FangSong" w:eastAsia="FangSong" w:cs="FangSong"/>
          <w:sz w:val="31"/>
          <w:szCs w:val="31"/>
          <w:spacing w:val="16"/>
        </w:rPr>
        <w:t>(四)擅自进行性别选择的；</w:t>
      </w:r>
    </w:p>
    <w:p>
      <w:pPr>
        <w:spacing w:line="220" w:lineRule="auto"/>
        <w:sectPr>
          <w:footerReference w:type="default" r:id="rId428"/>
          <w:pgSz w:w="16830" w:h="11900"/>
          <w:pgMar w:top="1011" w:right="1434" w:bottom="1108" w:left="1434" w:header="0" w:footer="775" w:gutter="0"/>
        </w:sectPr>
        <w:rPr>
          <w:rFonts w:ascii="FangSong" w:hAnsi="FangSong" w:eastAsia="FangSong" w:cs="FangSong"/>
          <w:sz w:val="31"/>
          <w:szCs w:val="31"/>
        </w:rPr>
      </w:pPr>
    </w:p>
    <w:p>
      <w:pPr>
        <w:pStyle w:val="BodyText"/>
        <w:spacing w:line="262" w:lineRule="auto"/>
        <w:rPr/>
      </w:pPr>
      <w:r/>
    </w:p>
    <w:p>
      <w:pPr>
        <w:pStyle w:val="BodyText"/>
        <w:spacing w:line="263" w:lineRule="auto"/>
        <w:rPr/>
      </w:pPr>
      <w:r/>
    </w:p>
    <w:p>
      <w:pPr>
        <w:pStyle w:val="BodyText"/>
        <w:spacing w:line="263" w:lineRule="auto"/>
        <w:rPr/>
      </w:pPr>
      <w:r/>
    </w:p>
    <w:p>
      <w:pPr>
        <w:ind w:left="6439"/>
        <w:spacing w:before="94" w:line="214" w:lineRule="auto"/>
        <w:rPr>
          <w:rFonts w:ascii="SimSun" w:hAnsi="SimSun" w:eastAsia="SimSun" w:cs="SimSun"/>
          <w:sz w:val="29"/>
          <w:szCs w:val="29"/>
        </w:rPr>
      </w:pPr>
      <w:bookmarkStart w:name="bookmark1075" w:id="449"/>
      <w:bookmarkEnd w:id="449"/>
      <w:r>
        <w:rPr>
          <w:rFonts w:ascii="SimSun" w:hAnsi="SimSun" w:eastAsia="SimSun" w:cs="SimSun"/>
          <w:sz w:val="29"/>
          <w:szCs w:val="29"/>
          <w:b/>
          <w:bCs/>
          <w:spacing w:val="-6"/>
        </w:rPr>
        <w:t>裁量标准</w:t>
      </w:r>
    </w:p>
    <w:tbl>
      <w:tblPr>
        <w:tblStyle w:val="TableNormal"/>
        <w:tblW w:w="139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8074"/>
        <w:gridCol w:w="4462"/>
      </w:tblGrid>
      <w:tr>
        <w:trPr>
          <w:trHeight w:val="553" w:hRule="atLeast"/>
        </w:trPr>
        <w:tc>
          <w:tcPr>
            <w:tcW w:w="1434" w:type="dxa"/>
            <w:vAlign w:val="top"/>
          </w:tcPr>
          <w:p>
            <w:pPr>
              <w:pStyle w:val="TableText"/>
              <w:ind w:left="208"/>
              <w:spacing w:before="152" w:line="220" w:lineRule="auto"/>
              <w:rPr>
                <w:sz w:val="25"/>
                <w:szCs w:val="25"/>
              </w:rPr>
            </w:pPr>
            <w:r>
              <w:rPr>
                <w:sz w:val="25"/>
                <w:szCs w:val="25"/>
                <w:b/>
                <w:bCs/>
                <w:spacing w:val="-5"/>
              </w:rPr>
              <w:t>违法程度</w:t>
            </w:r>
          </w:p>
        </w:tc>
        <w:tc>
          <w:tcPr>
            <w:tcW w:w="8074" w:type="dxa"/>
            <w:vAlign w:val="top"/>
          </w:tcPr>
          <w:p>
            <w:pPr>
              <w:pStyle w:val="TableText"/>
              <w:ind w:left="3454"/>
              <w:spacing w:before="152" w:line="220" w:lineRule="auto"/>
              <w:rPr>
                <w:sz w:val="25"/>
                <w:szCs w:val="25"/>
              </w:rPr>
            </w:pPr>
            <w:r>
              <w:rPr>
                <w:sz w:val="25"/>
                <w:szCs w:val="25"/>
                <w:b/>
                <w:bCs/>
                <w:spacing w:val="-5"/>
              </w:rPr>
              <w:t>情节后果</w:t>
            </w:r>
          </w:p>
        </w:tc>
        <w:tc>
          <w:tcPr>
            <w:tcW w:w="4462" w:type="dxa"/>
            <w:vAlign w:val="top"/>
          </w:tcPr>
          <w:p>
            <w:pPr>
              <w:pStyle w:val="TableText"/>
              <w:ind w:left="1670"/>
              <w:spacing w:before="149" w:line="218" w:lineRule="auto"/>
              <w:rPr>
                <w:sz w:val="25"/>
                <w:szCs w:val="25"/>
              </w:rPr>
            </w:pPr>
            <w:r>
              <w:rPr>
                <w:sz w:val="25"/>
                <w:szCs w:val="25"/>
                <w:b/>
                <w:bCs/>
                <w:spacing w:val="-5"/>
              </w:rPr>
              <w:t>裁量幅度</w:t>
            </w:r>
          </w:p>
        </w:tc>
      </w:tr>
      <w:tr>
        <w:trPr>
          <w:trHeight w:val="548" w:hRule="atLeast"/>
        </w:trPr>
        <w:tc>
          <w:tcPr>
            <w:tcW w:w="1434" w:type="dxa"/>
            <w:vAlign w:val="top"/>
          </w:tcPr>
          <w:p>
            <w:pPr>
              <w:pStyle w:val="TableText"/>
              <w:ind w:left="458"/>
              <w:spacing w:before="148" w:line="219" w:lineRule="auto"/>
              <w:rPr>
                <w:sz w:val="25"/>
                <w:szCs w:val="25"/>
              </w:rPr>
            </w:pPr>
            <w:r>
              <w:rPr>
                <w:sz w:val="25"/>
                <w:szCs w:val="25"/>
                <w:b/>
                <w:bCs/>
                <w:spacing w:val="-6"/>
              </w:rPr>
              <w:t>较轻</w:t>
            </w:r>
          </w:p>
        </w:tc>
        <w:tc>
          <w:tcPr>
            <w:tcW w:w="8074" w:type="dxa"/>
            <w:vAlign w:val="top"/>
          </w:tcPr>
          <w:p>
            <w:pPr>
              <w:pStyle w:val="TableText"/>
              <w:ind w:left="91"/>
              <w:spacing w:before="152" w:line="219" w:lineRule="auto"/>
              <w:rPr>
                <w:sz w:val="25"/>
                <w:szCs w:val="25"/>
              </w:rPr>
            </w:pPr>
            <w:r>
              <w:rPr>
                <w:sz w:val="25"/>
                <w:szCs w:val="25"/>
                <w:spacing w:val="1"/>
              </w:rPr>
              <w:t>擅自进行非医学需要的性别选择1例，或违法所得5</w:t>
            </w:r>
            <w:r>
              <w:rPr>
                <w:sz w:val="25"/>
                <w:szCs w:val="25"/>
              </w:rPr>
              <w:t>000元以下的</w:t>
            </w:r>
          </w:p>
        </w:tc>
        <w:tc>
          <w:tcPr>
            <w:tcW w:w="4462" w:type="dxa"/>
            <w:vAlign w:val="top"/>
          </w:tcPr>
          <w:p>
            <w:pPr>
              <w:pStyle w:val="TableText"/>
              <w:ind w:left="107"/>
              <w:spacing w:before="150" w:line="218" w:lineRule="auto"/>
              <w:rPr>
                <w:sz w:val="25"/>
                <w:szCs w:val="25"/>
              </w:rPr>
            </w:pPr>
            <w:r>
              <w:rPr>
                <w:sz w:val="25"/>
                <w:szCs w:val="25"/>
                <w:spacing w:val="-2"/>
              </w:rPr>
              <w:t>警告，罚款10000元</w:t>
            </w:r>
          </w:p>
        </w:tc>
      </w:tr>
      <w:tr>
        <w:trPr>
          <w:trHeight w:val="667" w:hRule="atLeast"/>
        </w:trPr>
        <w:tc>
          <w:tcPr>
            <w:tcW w:w="1434" w:type="dxa"/>
            <w:vAlign w:val="top"/>
          </w:tcPr>
          <w:p>
            <w:pPr>
              <w:pStyle w:val="TableText"/>
              <w:ind w:left="458"/>
              <w:spacing w:before="212" w:line="221" w:lineRule="auto"/>
              <w:rPr>
                <w:sz w:val="25"/>
                <w:szCs w:val="25"/>
              </w:rPr>
            </w:pPr>
            <w:r>
              <w:rPr>
                <w:sz w:val="25"/>
                <w:szCs w:val="25"/>
                <w:b/>
                <w:bCs/>
                <w:spacing w:val="-10"/>
              </w:rPr>
              <w:t>一般</w:t>
            </w:r>
          </w:p>
        </w:tc>
        <w:tc>
          <w:tcPr>
            <w:tcW w:w="8074" w:type="dxa"/>
            <w:vAlign w:val="top"/>
          </w:tcPr>
          <w:p>
            <w:pPr>
              <w:pStyle w:val="TableText"/>
              <w:ind w:left="91" w:right="200"/>
              <w:spacing w:before="63" w:line="219" w:lineRule="auto"/>
              <w:rPr>
                <w:sz w:val="25"/>
                <w:szCs w:val="25"/>
              </w:rPr>
            </w:pPr>
            <w:r>
              <w:rPr>
                <w:sz w:val="25"/>
                <w:szCs w:val="25"/>
                <w:spacing w:val="1"/>
              </w:rPr>
              <w:t>擅自进行非医学需要的性别选择2例，或违法所</w:t>
            </w:r>
            <w:r>
              <w:rPr>
                <w:sz w:val="25"/>
                <w:szCs w:val="25"/>
              </w:rPr>
              <w:t>得5000元以上10000元以 </w:t>
            </w:r>
            <w:r>
              <w:rPr>
                <w:sz w:val="25"/>
                <w:szCs w:val="25"/>
                <w:spacing w:val="9"/>
              </w:rPr>
              <w:t>下的</w:t>
            </w:r>
          </w:p>
        </w:tc>
        <w:tc>
          <w:tcPr>
            <w:tcW w:w="4462" w:type="dxa"/>
            <w:vAlign w:val="top"/>
          </w:tcPr>
          <w:p>
            <w:pPr>
              <w:pStyle w:val="TableText"/>
              <w:ind w:left="107"/>
              <w:spacing w:before="212" w:line="218" w:lineRule="auto"/>
              <w:rPr>
                <w:sz w:val="25"/>
                <w:szCs w:val="25"/>
              </w:rPr>
            </w:pPr>
            <w:r>
              <w:rPr>
                <w:sz w:val="25"/>
                <w:szCs w:val="25"/>
              </w:rPr>
              <w:t>警告，罚款10000元以上20000元以下</w:t>
            </w:r>
          </w:p>
        </w:tc>
      </w:tr>
      <w:tr>
        <w:trPr>
          <w:trHeight w:val="831" w:hRule="atLeast"/>
        </w:trPr>
        <w:tc>
          <w:tcPr>
            <w:tcW w:w="1434" w:type="dxa"/>
            <w:vAlign w:val="top"/>
          </w:tcPr>
          <w:p>
            <w:pPr>
              <w:pStyle w:val="TableText"/>
              <w:ind w:left="458"/>
              <w:spacing w:before="296" w:line="221" w:lineRule="auto"/>
              <w:rPr>
                <w:sz w:val="25"/>
                <w:szCs w:val="25"/>
              </w:rPr>
            </w:pPr>
            <w:r>
              <w:rPr>
                <w:sz w:val="25"/>
                <w:szCs w:val="25"/>
                <w:b/>
                <w:bCs/>
                <w:spacing w:val="-6"/>
              </w:rPr>
              <w:t>较重</w:t>
            </w:r>
          </w:p>
        </w:tc>
        <w:tc>
          <w:tcPr>
            <w:tcW w:w="8074" w:type="dxa"/>
            <w:vAlign w:val="top"/>
          </w:tcPr>
          <w:p>
            <w:pPr>
              <w:pStyle w:val="TableText"/>
              <w:ind w:left="91"/>
              <w:spacing w:before="157" w:line="245" w:lineRule="auto"/>
              <w:rPr>
                <w:sz w:val="25"/>
                <w:szCs w:val="25"/>
              </w:rPr>
            </w:pPr>
            <w:r>
              <w:rPr>
                <w:sz w:val="25"/>
                <w:szCs w:val="25"/>
                <w:spacing w:val="-1"/>
              </w:rPr>
              <w:t>擅自进行非医学需要的性别选择3例及以上，或违法所得10000元以上，或</w:t>
            </w:r>
            <w:r>
              <w:rPr>
                <w:sz w:val="25"/>
                <w:szCs w:val="25"/>
                <w:spacing w:val="6"/>
              </w:rPr>
              <w:t xml:space="preserve"> </w:t>
            </w:r>
            <w:r>
              <w:rPr>
                <w:sz w:val="25"/>
                <w:szCs w:val="25"/>
                <w:spacing w:val="1"/>
              </w:rPr>
              <w:t>造成他人健康损害等后果的</w:t>
            </w:r>
          </w:p>
        </w:tc>
        <w:tc>
          <w:tcPr>
            <w:tcW w:w="4462" w:type="dxa"/>
            <w:vAlign w:val="top"/>
          </w:tcPr>
          <w:p>
            <w:pPr>
              <w:pStyle w:val="TableText"/>
              <w:ind w:left="107"/>
              <w:spacing w:before="295" w:line="218" w:lineRule="auto"/>
              <w:rPr>
                <w:sz w:val="25"/>
                <w:szCs w:val="25"/>
              </w:rPr>
            </w:pPr>
            <w:r>
              <w:rPr>
                <w:sz w:val="25"/>
                <w:szCs w:val="25"/>
              </w:rPr>
              <w:t>警告，罚款20000元以上30000元以下</w:t>
            </w:r>
          </w:p>
        </w:tc>
      </w:tr>
    </w:tbl>
    <w:p>
      <w:pPr>
        <w:pStyle w:val="BodyText"/>
        <w:spacing w:line="453" w:lineRule="auto"/>
        <w:rPr/>
      </w:pPr>
      <w:r/>
    </w:p>
    <w:p>
      <w:pPr>
        <w:ind w:left="689"/>
        <w:spacing w:before="101" w:line="220" w:lineRule="auto"/>
        <w:rPr>
          <w:rFonts w:ascii="FangSong" w:hAnsi="FangSong" w:eastAsia="FangSong" w:cs="FangSong"/>
          <w:sz w:val="31"/>
          <w:szCs w:val="31"/>
        </w:rPr>
      </w:pPr>
      <w:r>
        <w:rPr>
          <w:rFonts w:ascii="FangSong" w:hAnsi="FangSong" w:eastAsia="FangSong" w:cs="FangSong"/>
          <w:sz w:val="31"/>
          <w:szCs w:val="31"/>
          <w:b/>
          <w:bCs/>
          <w:spacing w:val="11"/>
        </w:rPr>
        <w:t>第四百条开展人类辅助生殖技术的医疗机构实施人类辅助生殖技术档案不健全的</w:t>
      </w:r>
    </w:p>
    <w:p>
      <w:pPr>
        <w:ind w:left="665"/>
        <w:spacing w:before="117"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ind w:left="35" w:firstLine="614"/>
        <w:spacing w:before="71" w:line="262" w:lineRule="auto"/>
        <w:jc w:val="both"/>
        <w:rPr>
          <w:rFonts w:ascii="FangSong" w:hAnsi="FangSong" w:eastAsia="FangSong" w:cs="FangSong"/>
          <w:sz w:val="31"/>
          <w:szCs w:val="31"/>
        </w:rPr>
      </w:pPr>
      <w:r>
        <w:rPr>
          <w:rFonts w:ascii="FangSong" w:hAnsi="FangSong" w:eastAsia="FangSong" w:cs="FangSong"/>
          <w:sz w:val="31"/>
          <w:szCs w:val="31"/>
          <w:spacing w:val="14"/>
        </w:rPr>
        <w:t>《人类辅助生殖技术管理办法》第二十二条第(五)项</w:t>
      </w:r>
      <w:r>
        <w:rPr>
          <w:rFonts w:ascii="FangSong" w:hAnsi="FangSong" w:eastAsia="FangSong" w:cs="FangSong"/>
          <w:sz w:val="31"/>
          <w:szCs w:val="31"/>
          <w:spacing w:val="13"/>
        </w:rPr>
        <w:t xml:space="preserve">  </w:t>
      </w:r>
      <w:r>
        <w:rPr>
          <w:rFonts w:ascii="FangSong" w:hAnsi="FangSong" w:eastAsia="FangSong" w:cs="FangSong"/>
          <w:sz w:val="31"/>
          <w:szCs w:val="31"/>
          <w:spacing w:val="13"/>
        </w:rPr>
        <w:t>开展人类辅助生殖技术的医疗机构违反</w:t>
      </w:r>
      <w:r>
        <w:rPr>
          <w:rFonts w:ascii="FangSong" w:hAnsi="FangSong" w:eastAsia="FangSong" w:cs="FangSong"/>
          <w:sz w:val="31"/>
          <w:szCs w:val="31"/>
        </w:rPr>
        <w:t xml:space="preserve"> </w:t>
      </w:r>
      <w:r>
        <w:rPr>
          <w:rFonts w:ascii="FangSong" w:hAnsi="FangSong" w:eastAsia="FangSong" w:cs="FangSong"/>
          <w:sz w:val="31"/>
          <w:szCs w:val="31"/>
          <w:spacing w:val="11"/>
        </w:rPr>
        <w:t>本办法，有下列行为之一的，由省、自治区</w:t>
      </w:r>
      <w:r>
        <w:rPr>
          <w:rFonts w:ascii="FangSong" w:hAnsi="FangSong" w:eastAsia="FangSong" w:cs="FangSong"/>
          <w:sz w:val="31"/>
          <w:szCs w:val="31"/>
          <w:spacing w:val="10"/>
        </w:rPr>
        <w:t>、直辖市人民政府卫生行政部门给予警告、3万元以下罚</w:t>
      </w:r>
      <w:r>
        <w:rPr>
          <w:rFonts w:ascii="FangSong" w:hAnsi="FangSong" w:eastAsia="FangSong" w:cs="FangSong"/>
          <w:sz w:val="31"/>
          <w:szCs w:val="31"/>
        </w:rPr>
        <w:t xml:space="preserve"> </w:t>
      </w:r>
      <w:r>
        <w:rPr>
          <w:rFonts w:ascii="FangSong" w:hAnsi="FangSong" w:eastAsia="FangSong" w:cs="FangSong"/>
          <w:sz w:val="31"/>
          <w:szCs w:val="31"/>
          <w:spacing w:val="7"/>
        </w:rPr>
        <w:t>款，并给予有关责任人行政处分；构成犯罪的，依法追究刑事责任：</w:t>
      </w:r>
    </w:p>
    <w:p>
      <w:pPr>
        <w:ind w:left="805"/>
        <w:spacing w:before="12" w:line="221" w:lineRule="auto"/>
        <w:rPr>
          <w:rFonts w:ascii="FangSong" w:hAnsi="FangSong" w:eastAsia="FangSong" w:cs="FangSong"/>
          <w:sz w:val="31"/>
          <w:szCs w:val="31"/>
        </w:rPr>
      </w:pPr>
      <w:r>
        <w:rPr>
          <w:rFonts w:ascii="FangSong" w:hAnsi="FangSong" w:eastAsia="FangSong" w:cs="FangSong"/>
          <w:sz w:val="31"/>
          <w:szCs w:val="31"/>
          <w:spacing w:val="14"/>
        </w:rPr>
        <w:t>(五)实施人类辅助生殖技术档案不健全的；</w:t>
      </w:r>
    </w:p>
    <w:p>
      <w:pPr>
        <w:ind w:left="6449"/>
        <w:spacing w:before="200"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2" w:lineRule="auto"/>
        <w:rPr>
          <w:rFonts w:ascii="Arial"/>
          <w:sz w:val="2"/>
        </w:rPr>
      </w:pPr>
      <w:r>
        <w:rPr>
          <w:rFonts w:ascii="Arial"/>
          <w:sz w:val="2"/>
        </w:rPr>
      </w:r>
    </w:p>
    <w:tbl>
      <w:tblPr>
        <w:tblStyle w:val="TableNormal"/>
        <w:tblW w:w="139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4"/>
        <w:gridCol w:w="7684"/>
        <w:gridCol w:w="4412"/>
      </w:tblGrid>
      <w:tr>
        <w:trPr>
          <w:trHeight w:val="441" w:hRule="atLeast"/>
        </w:trPr>
        <w:tc>
          <w:tcPr>
            <w:tcW w:w="1804" w:type="dxa"/>
            <w:vAlign w:val="top"/>
          </w:tcPr>
          <w:p>
            <w:pPr>
              <w:pStyle w:val="TableText"/>
              <w:ind w:left="378"/>
              <w:spacing w:before="92" w:line="220" w:lineRule="auto"/>
              <w:rPr>
                <w:sz w:val="26"/>
                <w:szCs w:val="26"/>
              </w:rPr>
            </w:pPr>
            <w:r>
              <w:rPr>
                <w:sz w:val="26"/>
                <w:szCs w:val="26"/>
                <w:b/>
                <w:bCs/>
                <w:spacing w:val="-5"/>
              </w:rPr>
              <w:t>违法程度</w:t>
            </w:r>
          </w:p>
        </w:tc>
        <w:tc>
          <w:tcPr>
            <w:tcW w:w="7684" w:type="dxa"/>
            <w:vAlign w:val="top"/>
          </w:tcPr>
          <w:p>
            <w:pPr>
              <w:pStyle w:val="TableText"/>
              <w:ind w:left="3274"/>
              <w:spacing w:before="92" w:line="220" w:lineRule="auto"/>
              <w:rPr>
                <w:sz w:val="26"/>
                <w:szCs w:val="26"/>
              </w:rPr>
            </w:pPr>
            <w:r>
              <w:rPr>
                <w:sz w:val="26"/>
                <w:szCs w:val="26"/>
                <w:b/>
                <w:bCs/>
                <w:spacing w:val="-5"/>
              </w:rPr>
              <w:t>情节后果</w:t>
            </w:r>
          </w:p>
        </w:tc>
        <w:tc>
          <w:tcPr>
            <w:tcW w:w="4412" w:type="dxa"/>
            <w:vAlign w:val="top"/>
          </w:tcPr>
          <w:p>
            <w:pPr>
              <w:pStyle w:val="TableText"/>
              <w:ind w:left="1650"/>
              <w:spacing w:before="89" w:line="218" w:lineRule="auto"/>
              <w:rPr>
                <w:sz w:val="26"/>
                <w:szCs w:val="26"/>
              </w:rPr>
            </w:pPr>
            <w:r>
              <w:rPr>
                <w:sz w:val="26"/>
                <w:szCs w:val="26"/>
                <w:b/>
                <w:bCs/>
                <w:spacing w:val="-5"/>
              </w:rPr>
              <w:t>裁量幅度</w:t>
            </w:r>
          </w:p>
        </w:tc>
      </w:tr>
      <w:tr>
        <w:trPr>
          <w:trHeight w:val="679" w:hRule="atLeast"/>
        </w:trPr>
        <w:tc>
          <w:tcPr>
            <w:tcW w:w="1804" w:type="dxa"/>
            <w:vAlign w:val="top"/>
          </w:tcPr>
          <w:p>
            <w:pPr>
              <w:pStyle w:val="TableText"/>
              <w:ind w:left="638"/>
              <w:spacing w:before="211" w:line="219" w:lineRule="auto"/>
              <w:rPr>
                <w:sz w:val="26"/>
                <w:szCs w:val="26"/>
              </w:rPr>
            </w:pPr>
            <w:r>
              <w:rPr>
                <w:sz w:val="26"/>
                <w:szCs w:val="26"/>
                <w:b/>
                <w:bCs/>
                <w:spacing w:val="-6"/>
              </w:rPr>
              <w:t>较轻</w:t>
            </w:r>
          </w:p>
        </w:tc>
        <w:tc>
          <w:tcPr>
            <w:tcW w:w="7684" w:type="dxa"/>
            <w:vAlign w:val="top"/>
          </w:tcPr>
          <w:p>
            <w:pPr>
              <w:pStyle w:val="TableText"/>
              <w:ind w:left="114"/>
              <w:spacing w:before="211" w:line="219" w:lineRule="auto"/>
              <w:rPr>
                <w:sz w:val="26"/>
                <w:szCs w:val="26"/>
              </w:rPr>
            </w:pPr>
            <w:r>
              <w:rPr>
                <w:sz w:val="26"/>
                <w:szCs w:val="26"/>
                <w:b/>
                <w:bCs/>
                <w:spacing w:val="-3"/>
              </w:rPr>
              <w:t>建有人类辅助生殖技术档案但档案不全、不规范的</w:t>
            </w:r>
          </w:p>
        </w:tc>
        <w:tc>
          <w:tcPr>
            <w:tcW w:w="4412" w:type="dxa"/>
            <w:vAlign w:val="top"/>
          </w:tcPr>
          <w:p>
            <w:pPr>
              <w:pStyle w:val="TableText"/>
              <w:ind w:left="120"/>
              <w:spacing w:before="208" w:line="218" w:lineRule="auto"/>
              <w:rPr>
                <w:sz w:val="26"/>
                <w:szCs w:val="26"/>
              </w:rPr>
            </w:pPr>
            <w:r>
              <w:rPr>
                <w:sz w:val="26"/>
                <w:szCs w:val="26"/>
                <w:b/>
                <w:bCs/>
                <w:spacing w:val="-4"/>
              </w:rPr>
              <w:t>警告，罚款10000元</w:t>
            </w:r>
          </w:p>
        </w:tc>
      </w:tr>
    </w:tbl>
    <w:p>
      <w:pPr>
        <w:pStyle w:val="BodyText"/>
        <w:rPr/>
      </w:pPr>
      <w:r/>
    </w:p>
    <w:p>
      <w:pPr>
        <w:sectPr>
          <w:footerReference w:type="default" r:id="rId429"/>
          <w:pgSz w:w="16830" w:h="11900"/>
          <w:pgMar w:top="1011" w:right="1434" w:bottom="1115" w:left="1414" w:header="0" w:footer="773" w:gutter="0"/>
        </w:sectPr>
        <w:rPr/>
      </w:pPr>
    </w:p>
    <w:p>
      <w:pPr>
        <w:spacing w:before="20"/>
        <w:rPr/>
      </w:pPr>
      <w:r/>
    </w:p>
    <w:p>
      <w:pPr>
        <w:spacing w:before="20"/>
        <w:rPr/>
      </w:pPr>
      <w:r/>
    </w:p>
    <w:p>
      <w:pPr>
        <w:spacing w:before="19"/>
        <w:rPr/>
      </w:pPr>
      <w:r/>
    </w:p>
    <w:tbl>
      <w:tblPr>
        <w:tblStyle w:val="TableNormal"/>
        <w:tblW w:w="138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4"/>
        <w:gridCol w:w="7694"/>
        <w:gridCol w:w="4392"/>
      </w:tblGrid>
      <w:tr>
        <w:trPr>
          <w:trHeight w:val="411" w:hRule="atLeast"/>
        </w:trPr>
        <w:tc>
          <w:tcPr>
            <w:tcW w:w="1804" w:type="dxa"/>
            <w:vAlign w:val="top"/>
          </w:tcPr>
          <w:p>
            <w:pPr>
              <w:pStyle w:val="TableText"/>
              <w:ind w:left="648"/>
              <w:spacing w:before="83" w:line="221" w:lineRule="auto"/>
              <w:rPr>
                <w:sz w:val="25"/>
                <w:szCs w:val="25"/>
              </w:rPr>
            </w:pPr>
            <w:bookmarkStart w:name="bookmark1076" w:id="450"/>
            <w:bookmarkEnd w:id="450"/>
            <w:r>
              <w:rPr>
                <w:sz w:val="25"/>
                <w:szCs w:val="25"/>
                <w:b/>
                <w:bCs/>
                <w:spacing w:val="-10"/>
              </w:rPr>
              <w:t>一般</w:t>
            </w:r>
          </w:p>
        </w:tc>
        <w:tc>
          <w:tcPr>
            <w:tcW w:w="7694" w:type="dxa"/>
            <w:vAlign w:val="top"/>
          </w:tcPr>
          <w:p>
            <w:pPr>
              <w:pStyle w:val="TableText"/>
              <w:ind w:left="111"/>
              <w:spacing w:before="85" w:line="219" w:lineRule="auto"/>
              <w:rPr>
                <w:sz w:val="25"/>
                <w:szCs w:val="25"/>
              </w:rPr>
            </w:pPr>
            <w:r>
              <w:rPr>
                <w:sz w:val="25"/>
                <w:szCs w:val="25"/>
                <w:spacing w:val="1"/>
              </w:rPr>
              <w:t>未建立人类辅助生殖技术档案的</w:t>
            </w:r>
          </w:p>
        </w:tc>
        <w:tc>
          <w:tcPr>
            <w:tcW w:w="4392" w:type="dxa"/>
            <w:vAlign w:val="top"/>
          </w:tcPr>
          <w:p>
            <w:pPr>
              <w:pStyle w:val="TableText"/>
              <w:ind w:left="187"/>
              <w:spacing w:before="83" w:line="218" w:lineRule="auto"/>
              <w:rPr>
                <w:sz w:val="25"/>
                <w:szCs w:val="25"/>
              </w:rPr>
            </w:pPr>
            <w:r>
              <w:rPr>
                <w:sz w:val="25"/>
                <w:szCs w:val="25"/>
              </w:rPr>
              <w:t>警告，罚款10000元以上20000元以下</w:t>
            </w:r>
          </w:p>
        </w:tc>
      </w:tr>
      <w:tr>
        <w:trPr>
          <w:trHeight w:val="699" w:hRule="atLeast"/>
        </w:trPr>
        <w:tc>
          <w:tcPr>
            <w:tcW w:w="1804" w:type="dxa"/>
            <w:vAlign w:val="top"/>
          </w:tcPr>
          <w:p>
            <w:pPr>
              <w:pStyle w:val="TableText"/>
              <w:ind w:left="648"/>
              <w:spacing w:before="234" w:line="221" w:lineRule="auto"/>
              <w:rPr>
                <w:sz w:val="25"/>
                <w:szCs w:val="25"/>
              </w:rPr>
            </w:pPr>
            <w:r>
              <w:rPr>
                <w:sz w:val="25"/>
                <w:szCs w:val="25"/>
                <w:b/>
                <w:bCs/>
                <w:spacing w:val="-6"/>
              </w:rPr>
              <w:t>较重</w:t>
            </w:r>
          </w:p>
        </w:tc>
        <w:tc>
          <w:tcPr>
            <w:tcW w:w="7694" w:type="dxa"/>
            <w:vAlign w:val="top"/>
          </w:tcPr>
          <w:p>
            <w:pPr>
              <w:pStyle w:val="TableText"/>
              <w:ind w:left="111"/>
              <w:spacing w:before="74" w:line="227" w:lineRule="auto"/>
              <w:rPr>
                <w:sz w:val="25"/>
                <w:szCs w:val="25"/>
              </w:rPr>
            </w:pPr>
            <w:r>
              <w:rPr>
                <w:sz w:val="25"/>
                <w:szCs w:val="25"/>
                <w:spacing w:val="-6"/>
              </w:rPr>
              <w:t>未建立人类辅助生殖技术档案或人类辅助生殖技术档案不健全，严重影</w:t>
            </w:r>
            <w:r>
              <w:rPr>
                <w:sz w:val="25"/>
                <w:szCs w:val="25"/>
                <w:spacing w:val="7"/>
              </w:rPr>
              <w:t xml:space="preserve"> </w:t>
            </w:r>
            <w:r>
              <w:rPr>
                <w:sz w:val="25"/>
                <w:szCs w:val="25"/>
              </w:rPr>
              <w:t>响他人合法权益的，或擅自销毁医疗技术档案和法律文书的</w:t>
            </w:r>
          </w:p>
        </w:tc>
        <w:tc>
          <w:tcPr>
            <w:tcW w:w="4392" w:type="dxa"/>
            <w:vAlign w:val="top"/>
          </w:tcPr>
          <w:p>
            <w:pPr>
              <w:pStyle w:val="TableText"/>
              <w:ind w:left="187"/>
              <w:spacing w:before="232" w:line="218" w:lineRule="auto"/>
              <w:rPr>
                <w:sz w:val="25"/>
                <w:szCs w:val="25"/>
              </w:rPr>
            </w:pPr>
            <w:r>
              <w:rPr>
                <w:sz w:val="25"/>
                <w:szCs w:val="25"/>
              </w:rPr>
              <w:t>警告，罚款20000元以上30000元以下</w:t>
            </w:r>
          </w:p>
        </w:tc>
      </w:tr>
    </w:tbl>
    <w:p>
      <w:pPr>
        <w:pStyle w:val="BodyText"/>
        <w:spacing w:line="244" w:lineRule="auto"/>
        <w:rPr/>
      </w:pPr>
      <w:r/>
    </w:p>
    <w:p>
      <w:pPr>
        <w:pStyle w:val="BodyText"/>
        <w:spacing w:line="245" w:lineRule="auto"/>
        <w:rPr/>
      </w:pPr>
      <w:r/>
    </w:p>
    <w:p>
      <w:pPr>
        <w:ind w:left="689"/>
        <w:spacing w:before="98" w:line="218" w:lineRule="auto"/>
        <w:rPr>
          <w:rFonts w:ascii="SimSun" w:hAnsi="SimSun" w:eastAsia="SimSun" w:cs="SimSun"/>
          <w:sz w:val="30"/>
          <w:szCs w:val="30"/>
        </w:rPr>
      </w:pPr>
      <w:r>
        <w:rPr>
          <w:rFonts w:ascii="SimSun" w:hAnsi="SimSun" w:eastAsia="SimSun" w:cs="SimSun"/>
          <w:sz w:val="30"/>
          <w:szCs w:val="30"/>
          <w:b/>
          <w:bCs/>
          <w:spacing w:val="21"/>
        </w:rPr>
        <w:t>第四百零一条开展人类辅助生殖技术的医疗机构的技术质量经指定技术评估机构检查不合格</w:t>
      </w:r>
    </w:p>
    <w:p>
      <w:pPr>
        <w:ind w:left="35"/>
        <w:spacing w:before="117" w:line="222" w:lineRule="auto"/>
        <w:rPr>
          <w:rFonts w:ascii="SimSun" w:hAnsi="SimSun" w:eastAsia="SimSun" w:cs="SimSun"/>
          <w:sz w:val="30"/>
          <w:szCs w:val="30"/>
        </w:rPr>
      </w:pPr>
      <w:r>
        <w:rPr>
          <w:rFonts w:ascii="SimSun" w:hAnsi="SimSun" w:eastAsia="SimSun" w:cs="SimSun"/>
          <w:sz w:val="30"/>
          <w:szCs w:val="30"/>
        </w:rPr>
        <w:t>的</w:t>
      </w:r>
    </w:p>
    <w:p>
      <w:pPr>
        <w:ind w:left="675"/>
        <w:spacing w:before="52" w:line="222" w:lineRule="auto"/>
        <w:rPr>
          <w:rFonts w:ascii="FangSong" w:hAnsi="FangSong" w:eastAsia="FangSong" w:cs="FangSong"/>
          <w:sz w:val="30"/>
          <w:szCs w:val="30"/>
        </w:rPr>
      </w:pPr>
      <w:r>
        <w:rPr>
          <w:rFonts w:ascii="FangSong" w:hAnsi="FangSong" w:eastAsia="FangSong" w:cs="FangSong"/>
          <w:sz w:val="30"/>
          <w:szCs w:val="30"/>
        </w:rPr>
        <w:t>法律依据：</w:t>
      </w:r>
    </w:p>
    <w:p>
      <w:pPr>
        <w:ind w:left="35" w:firstLine="619"/>
        <w:spacing w:before="88" w:line="268" w:lineRule="auto"/>
        <w:jc w:val="both"/>
        <w:rPr>
          <w:rFonts w:ascii="FangSong" w:hAnsi="FangSong" w:eastAsia="FangSong" w:cs="FangSong"/>
          <w:sz w:val="30"/>
          <w:szCs w:val="30"/>
        </w:rPr>
      </w:pPr>
      <w:r>
        <w:rPr>
          <w:rFonts w:ascii="FangSong" w:hAnsi="FangSong" w:eastAsia="FangSong" w:cs="FangSong"/>
          <w:sz w:val="30"/>
          <w:szCs w:val="30"/>
          <w:spacing w:val="23"/>
        </w:rPr>
        <w:t>《人类辅助生殖技术管理办法》第二十二条第(六)项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开展人类辅助生殖技术的医疗机构</w:t>
      </w:r>
      <w:r>
        <w:rPr>
          <w:rFonts w:ascii="FangSong" w:hAnsi="FangSong" w:eastAsia="FangSong" w:cs="FangSong"/>
          <w:sz w:val="30"/>
          <w:szCs w:val="30"/>
          <w:spacing w:val="22"/>
        </w:rPr>
        <w:t>违反</w:t>
      </w:r>
      <w:r>
        <w:rPr>
          <w:rFonts w:ascii="FangSong" w:hAnsi="FangSong" w:eastAsia="FangSong" w:cs="FangSong"/>
          <w:sz w:val="30"/>
          <w:szCs w:val="30"/>
        </w:rPr>
        <w:t xml:space="preserve"> </w:t>
      </w:r>
      <w:r>
        <w:rPr>
          <w:rFonts w:ascii="FangSong" w:hAnsi="FangSong" w:eastAsia="FangSong" w:cs="FangSong"/>
          <w:sz w:val="30"/>
          <w:szCs w:val="30"/>
          <w:spacing w:val="20"/>
        </w:rPr>
        <w:t>本办法，有下列行为之一的，由省、自治区、直辖市人民政府卫生行政部门给予警告、3万元以下罚</w:t>
      </w:r>
      <w:r>
        <w:rPr>
          <w:rFonts w:ascii="FangSong" w:hAnsi="FangSong" w:eastAsia="FangSong" w:cs="FangSong"/>
          <w:sz w:val="30"/>
          <w:szCs w:val="30"/>
          <w:spacing w:val="13"/>
        </w:rPr>
        <w:t xml:space="preserve"> </w:t>
      </w:r>
      <w:r>
        <w:rPr>
          <w:rFonts w:ascii="FangSong" w:hAnsi="FangSong" w:eastAsia="FangSong" w:cs="FangSong"/>
          <w:sz w:val="30"/>
          <w:szCs w:val="30"/>
          <w:spacing w:val="17"/>
        </w:rPr>
        <w:t>款，并给予有关责任人行政处分；构成犯罪</w:t>
      </w:r>
      <w:r>
        <w:rPr>
          <w:rFonts w:ascii="FangSong" w:hAnsi="FangSong" w:eastAsia="FangSong" w:cs="FangSong"/>
          <w:sz w:val="30"/>
          <w:szCs w:val="30"/>
          <w:spacing w:val="16"/>
        </w:rPr>
        <w:t>的，依法追究刑事责任：</w:t>
      </w:r>
    </w:p>
    <w:p>
      <w:pPr>
        <w:ind w:left="805"/>
        <w:spacing w:line="220" w:lineRule="auto"/>
        <w:rPr>
          <w:rFonts w:ascii="FangSong" w:hAnsi="FangSong" w:eastAsia="FangSong" w:cs="FangSong"/>
          <w:sz w:val="30"/>
          <w:szCs w:val="30"/>
        </w:rPr>
      </w:pPr>
      <w:r>
        <w:rPr>
          <w:rFonts w:ascii="FangSong" w:hAnsi="FangSong" w:eastAsia="FangSong" w:cs="FangSong"/>
          <w:sz w:val="30"/>
          <w:szCs w:val="30"/>
          <w:spacing w:val="24"/>
        </w:rPr>
        <w:t>(六)经指定技术评估机构检查技术质量不</w:t>
      </w:r>
      <w:r>
        <w:rPr>
          <w:rFonts w:ascii="FangSong" w:hAnsi="FangSong" w:eastAsia="FangSong" w:cs="FangSong"/>
          <w:sz w:val="30"/>
          <w:szCs w:val="30"/>
          <w:spacing w:val="23"/>
        </w:rPr>
        <w:t>合格的。</w:t>
      </w:r>
    </w:p>
    <w:p>
      <w:pPr>
        <w:ind w:left="6439"/>
        <w:spacing w:before="225"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74"/>
        <w:gridCol w:w="8054"/>
        <w:gridCol w:w="4252"/>
      </w:tblGrid>
      <w:tr>
        <w:trPr>
          <w:trHeight w:val="552" w:hRule="atLeast"/>
        </w:trPr>
        <w:tc>
          <w:tcPr>
            <w:tcW w:w="1574" w:type="dxa"/>
            <w:vAlign w:val="top"/>
          </w:tcPr>
          <w:p>
            <w:pPr>
              <w:pStyle w:val="TableText"/>
              <w:ind w:left="258"/>
              <w:spacing w:before="152" w:line="220" w:lineRule="auto"/>
              <w:rPr>
                <w:sz w:val="26"/>
                <w:szCs w:val="26"/>
              </w:rPr>
            </w:pPr>
            <w:r>
              <w:rPr>
                <w:sz w:val="26"/>
                <w:szCs w:val="26"/>
                <w:b/>
                <w:bCs/>
                <w:spacing w:val="-5"/>
              </w:rPr>
              <w:t>违法程度</w:t>
            </w:r>
          </w:p>
        </w:tc>
        <w:tc>
          <w:tcPr>
            <w:tcW w:w="8054" w:type="dxa"/>
            <w:vAlign w:val="top"/>
          </w:tcPr>
          <w:p>
            <w:pPr>
              <w:pStyle w:val="TableText"/>
              <w:ind w:left="3454"/>
              <w:spacing w:before="152" w:line="220" w:lineRule="auto"/>
              <w:rPr>
                <w:sz w:val="26"/>
                <w:szCs w:val="26"/>
              </w:rPr>
            </w:pPr>
            <w:r>
              <w:rPr>
                <w:sz w:val="26"/>
                <w:szCs w:val="26"/>
                <w:b/>
                <w:bCs/>
                <w:spacing w:val="-5"/>
              </w:rPr>
              <w:t>情节后果</w:t>
            </w:r>
          </w:p>
        </w:tc>
        <w:tc>
          <w:tcPr>
            <w:tcW w:w="4252" w:type="dxa"/>
            <w:vAlign w:val="top"/>
          </w:tcPr>
          <w:p>
            <w:pPr>
              <w:pStyle w:val="TableText"/>
              <w:ind w:left="1600"/>
              <w:spacing w:before="149" w:line="218" w:lineRule="auto"/>
              <w:rPr>
                <w:sz w:val="26"/>
                <w:szCs w:val="26"/>
              </w:rPr>
            </w:pPr>
            <w:r>
              <w:rPr>
                <w:sz w:val="26"/>
                <w:szCs w:val="26"/>
                <w:b/>
                <w:bCs/>
                <w:spacing w:val="-5"/>
              </w:rPr>
              <w:t>裁量幅度</w:t>
            </w:r>
          </w:p>
        </w:tc>
      </w:tr>
      <w:tr>
        <w:trPr>
          <w:trHeight w:val="548" w:hRule="atLeast"/>
        </w:trPr>
        <w:tc>
          <w:tcPr>
            <w:tcW w:w="1574" w:type="dxa"/>
            <w:vAlign w:val="top"/>
          </w:tcPr>
          <w:p>
            <w:pPr>
              <w:pStyle w:val="TableText"/>
              <w:ind w:left="518"/>
              <w:spacing w:before="150" w:line="219" w:lineRule="auto"/>
              <w:rPr>
                <w:sz w:val="26"/>
                <w:szCs w:val="26"/>
              </w:rPr>
            </w:pPr>
            <w:r>
              <w:rPr>
                <w:sz w:val="26"/>
                <w:szCs w:val="26"/>
                <w:b/>
                <w:bCs/>
                <w:spacing w:val="-6"/>
              </w:rPr>
              <w:t>较轻</w:t>
            </w:r>
          </w:p>
        </w:tc>
        <w:tc>
          <w:tcPr>
            <w:tcW w:w="8054" w:type="dxa"/>
            <w:vAlign w:val="top"/>
          </w:tcPr>
          <w:p>
            <w:pPr>
              <w:pStyle w:val="TableText"/>
              <w:ind w:left="91"/>
              <w:spacing w:before="151" w:line="218" w:lineRule="auto"/>
              <w:rPr>
                <w:sz w:val="26"/>
                <w:szCs w:val="26"/>
              </w:rPr>
            </w:pPr>
            <w:r>
              <w:rPr>
                <w:sz w:val="26"/>
                <w:szCs w:val="26"/>
                <w:spacing w:val="1"/>
              </w:rPr>
              <w:t>经指定技术评估机构检查，有1项技术质量</w:t>
            </w:r>
            <w:r>
              <w:rPr>
                <w:sz w:val="26"/>
                <w:szCs w:val="26"/>
              </w:rPr>
              <w:t>不合格项的</w:t>
            </w:r>
          </w:p>
        </w:tc>
        <w:tc>
          <w:tcPr>
            <w:tcW w:w="4252" w:type="dxa"/>
            <w:vAlign w:val="top"/>
          </w:tcPr>
          <w:p>
            <w:pPr>
              <w:pStyle w:val="TableText"/>
              <w:ind w:left="136"/>
              <w:spacing w:before="151" w:line="218" w:lineRule="auto"/>
              <w:rPr>
                <w:sz w:val="26"/>
                <w:szCs w:val="26"/>
              </w:rPr>
            </w:pPr>
            <w:r>
              <w:rPr>
                <w:sz w:val="26"/>
                <w:szCs w:val="26"/>
                <w:spacing w:val="1"/>
              </w:rPr>
              <w:t>警告，罚款10000元</w:t>
            </w:r>
          </w:p>
        </w:tc>
      </w:tr>
      <w:tr>
        <w:trPr>
          <w:trHeight w:val="547" w:hRule="atLeast"/>
        </w:trPr>
        <w:tc>
          <w:tcPr>
            <w:tcW w:w="1574" w:type="dxa"/>
            <w:vAlign w:val="top"/>
          </w:tcPr>
          <w:p>
            <w:pPr>
              <w:pStyle w:val="TableText"/>
              <w:ind w:left="518"/>
              <w:spacing w:before="153" w:line="221" w:lineRule="auto"/>
              <w:rPr>
                <w:sz w:val="26"/>
                <w:szCs w:val="26"/>
              </w:rPr>
            </w:pPr>
            <w:r>
              <w:rPr>
                <w:sz w:val="26"/>
                <w:szCs w:val="26"/>
                <w:b/>
                <w:bCs/>
                <w:spacing w:val="-10"/>
              </w:rPr>
              <w:t>一般</w:t>
            </w:r>
          </w:p>
        </w:tc>
        <w:tc>
          <w:tcPr>
            <w:tcW w:w="8054" w:type="dxa"/>
            <w:vAlign w:val="top"/>
          </w:tcPr>
          <w:p>
            <w:pPr>
              <w:pStyle w:val="TableText"/>
              <w:ind w:left="91"/>
              <w:spacing w:before="153" w:line="218" w:lineRule="auto"/>
              <w:rPr>
                <w:sz w:val="26"/>
                <w:szCs w:val="26"/>
              </w:rPr>
            </w:pPr>
            <w:r>
              <w:rPr>
                <w:sz w:val="26"/>
                <w:szCs w:val="26"/>
                <w:spacing w:val="1"/>
              </w:rPr>
              <w:t>经指定技术评估机构检查，有2项以上4项</w:t>
            </w:r>
            <w:r>
              <w:rPr>
                <w:sz w:val="26"/>
                <w:szCs w:val="26"/>
              </w:rPr>
              <w:t>以下技术质量不合格项有的</w:t>
            </w:r>
          </w:p>
        </w:tc>
        <w:tc>
          <w:tcPr>
            <w:tcW w:w="4252" w:type="dxa"/>
            <w:vAlign w:val="top"/>
          </w:tcPr>
          <w:p>
            <w:pPr>
              <w:pStyle w:val="TableText"/>
              <w:ind w:left="37"/>
              <w:spacing w:before="153" w:line="218" w:lineRule="auto"/>
              <w:rPr>
                <w:sz w:val="26"/>
                <w:szCs w:val="26"/>
              </w:rPr>
            </w:pPr>
            <w:r>
              <w:rPr>
                <w:sz w:val="26"/>
                <w:szCs w:val="26"/>
              </w:rPr>
              <w:t>警告，罚款10000元以上20000元以下</w:t>
            </w:r>
          </w:p>
        </w:tc>
      </w:tr>
      <w:tr>
        <w:trPr>
          <w:trHeight w:val="552" w:hRule="atLeast"/>
        </w:trPr>
        <w:tc>
          <w:tcPr>
            <w:tcW w:w="1574" w:type="dxa"/>
            <w:vAlign w:val="top"/>
          </w:tcPr>
          <w:p>
            <w:pPr>
              <w:pStyle w:val="TableText"/>
              <w:ind w:left="518"/>
              <w:spacing w:before="158" w:line="221" w:lineRule="auto"/>
              <w:rPr>
                <w:sz w:val="26"/>
                <w:szCs w:val="26"/>
              </w:rPr>
            </w:pPr>
            <w:r>
              <w:rPr>
                <w:sz w:val="26"/>
                <w:szCs w:val="26"/>
                <w:b/>
                <w:bCs/>
                <w:spacing w:val="-6"/>
              </w:rPr>
              <w:t>较重</w:t>
            </w:r>
          </w:p>
        </w:tc>
        <w:tc>
          <w:tcPr>
            <w:tcW w:w="8054" w:type="dxa"/>
            <w:vAlign w:val="top"/>
          </w:tcPr>
          <w:p>
            <w:pPr>
              <w:pStyle w:val="TableText"/>
              <w:ind w:left="91"/>
              <w:spacing w:before="156" w:line="218" w:lineRule="auto"/>
              <w:rPr>
                <w:sz w:val="26"/>
                <w:szCs w:val="26"/>
              </w:rPr>
            </w:pPr>
            <w:r>
              <w:rPr>
                <w:sz w:val="26"/>
                <w:szCs w:val="26"/>
                <w:spacing w:val="1"/>
              </w:rPr>
              <w:t>经指定技术评估机构检查，有4项以上技术</w:t>
            </w:r>
            <w:r>
              <w:rPr>
                <w:sz w:val="26"/>
                <w:szCs w:val="26"/>
              </w:rPr>
              <w:t>质量不合格项的</w:t>
            </w:r>
          </w:p>
        </w:tc>
        <w:tc>
          <w:tcPr>
            <w:tcW w:w="4252" w:type="dxa"/>
            <w:vAlign w:val="top"/>
          </w:tcPr>
          <w:p>
            <w:pPr>
              <w:pStyle w:val="TableText"/>
              <w:ind w:left="37"/>
              <w:spacing w:before="156" w:line="218" w:lineRule="auto"/>
              <w:rPr>
                <w:sz w:val="26"/>
                <w:szCs w:val="26"/>
              </w:rPr>
            </w:pPr>
            <w:r>
              <w:rPr>
                <w:sz w:val="26"/>
                <w:szCs w:val="26"/>
              </w:rPr>
              <w:t>警告，罚款20000元以上30000元以下</w:t>
            </w:r>
          </w:p>
        </w:tc>
      </w:tr>
    </w:tbl>
    <w:p>
      <w:pPr>
        <w:pStyle w:val="BodyText"/>
        <w:rPr/>
      </w:pPr>
      <w:r/>
    </w:p>
    <w:p>
      <w:pPr>
        <w:sectPr>
          <w:footerReference w:type="default" r:id="rId430"/>
          <w:pgSz w:w="16830" w:h="11900"/>
          <w:pgMar w:top="1011" w:right="1435" w:bottom="1079" w:left="1414" w:header="0" w:footer="809" w:gutter="0"/>
        </w:sectPr>
        <w:rPr/>
      </w:pPr>
    </w:p>
    <w:p>
      <w:pPr>
        <w:pStyle w:val="BodyText"/>
        <w:spacing w:line="255" w:lineRule="auto"/>
        <w:rPr/>
      </w:pPr>
      <w:r/>
    </w:p>
    <w:p>
      <w:pPr>
        <w:pStyle w:val="BodyText"/>
        <w:spacing w:line="255" w:lineRule="auto"/>
        <w:rPr/>
      </w:pPr>
      <w:r/>
    </w:p>
    <w:p>
      <w:pPr>
        <w:pStyle w:val="BodyText"/>
        <w:spacing w:line="255" w:lineRule="auto"/>
        <w:rPr/>
      </w:pPr>
      <w:r/>
    </w:p>
    <w:p>
      <w:pPr>
        <w:ind w:left="659"/>
        <w:spacing w:before="101" w:line="220" w:lineRule="auto"/>
        <w:rPr>
          <w:rFonts w:ascii="FangSong" w:hAnsi="FangSong" w:eastAsia="FangSong" w:cs="FangSong"/>
          <w:sz w:val="31"/>
          <w:szCs w:val="31"/>
        </w:rPr>
      </w:pPr>
      <w:bookmarkStart w:name="bookmark1077" w:id="451"/>
      <w:bookmarkEnd w:id="451"/>
      <w:r>
        <w:rPr>
          <w:rFonts w:ascii="FangSong" w:hAnsi="FangSong" w:eastAsia="FangSong" w:cs="FangSong"/>
          <w:sz w:val="31"/>
          <w:szCs w:val="31"/>
          <w:b/>
          <w:bCs/>
          <w:spacing w:val="10"/>
        </w:rPr>
        <w:t>第四百零二条开展人类辅助生殖技术的医疗机构违反其他本办法</w:t>
      </w:r>
      <w:r>
        <w:rPr>
          <w:rFonts w:ascii="FangSong" w:hAnsi="FangSong" w:eastAsia="FangSong" w:cs="FangSong"/>
          <w:sz w:val="31"/>
          <w:szCs w:val="31"/>
          <w:b/>
          <w:bCs/>
          <w:spacing w:val="9"/>
        </w:rPr>
        <w:t>规定的行为。</w:t>
      </w:r>
    </w:p>
    <w:p>
      <w:pPr>
        <w:ind w:left="654"/>
        <w:spacing w:before="127"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25" w:firstLine="605"/>
        <w:spacing w:before="61" w:line="262" w:lineRule="auto"/>
        <w:jc w:val="both"/>
        <w:rPr>
          <w:rFonts w:ascii="FangSong" w:hAnsi="FangSong" w:eastAsia="FangSong" w:cs="FangSong"/>
          <w:sz w:val="31"/>
          <w:szCs w:val="31"/>
        </w:rPr>
      </w:pPr>
      <w:r>
        <w:rPr>
          <w:rFonts w:ascii="FangSong" w:hAnsi="FangSong" w:eastAsia="FangSong" w:cs="FangSong"/>
          <w:sz w:val="31"/>
          <w:szCs w:val="31"/>
          <w:spacing w:val="14"/>
        </w:rPr>
        <w:t>《人类辅助生殖技术管理办法》第二十二条第(七)项</w:t>
      </w:r>
      <w:r>
        <w:rPr>
          <w:rFonts w:ascii="FangSong" w:hAnsi="FangSong" w:eastAsia="FangSong" w:cs="FangSong"/>
          <w:sz w:val="31"/>
          <w:szCs w:val="31"/>
          <w:spacing w:val="14"/>
        </w:rPr>
        <w:t xml:space="preserve">  </w:t>
      </w:r>
      <w:r>
        <w:rPr>
          <w:rFonts w:ascii="FangSong" w:hAnsi="FangSong" w:eastAsia="FangSong" w:cs="FangSong"/>
          <w:sz w:val="31"/>
          <w:szCs w:val="31"/>
          <w:spacing w:val="14"/>
        </w:rPr>
        <w:t>开展人类辅助生殖</w:t>
      </w:r>
      <w:r>
        <w:rPr>
          <w:rFonts w:ascii="FangSong" w:hAnsi="FangSong" w:eastAsia="FangSong" w:cs="FangSong"/>
          <w:sz w:val="31"/>
          <w:szCs w:val="31"/>
          <w:spacing w:val="13"/>
        </w:rPr>
        <w:t>技术的医疗机构违反</w:t>
      </w:r>
      <w:r>
        <w:rPr>
          <w:rFonts w:ascii="FangSong" w:hAnsi="FangSong" w:eastAsia="FangSong" w:cs="FangSong"/>
          <w:sz w:val="31"/>
          <w:szCs w:val="31"/>
        </w:rPr>
        <w:t xml:space="preserve"> </w:t>
      </w:r>
      <w:r>
        <w:rPr>
          <w:rFonts w:ascii="FangSong" w:hAnsi="FangSong" w:eastAsia="FangSong" w:cs="FangSong"/>
          <w:sz w:val="31"/>
          <w:szCs w:val="31"/>
          <w:spacing w:val="11"/>
        </w:rPr>
        <w:t>本办法，有下列行为之一的，由省、自治区</w:t>
      </w:r>
      <w:r>
        <w:rPr>
          <w:rFonts w:ascii="FangSong" w:hAnsi="FangSong" w:eastAsia="FangSong" w:cs="FangSong"/>
          <w:sz w:val="31"/>
          <w:szCs w:val="31"/>
          <w:spacing w:val="10"/>
        </w:rPr>
        <w:t>、直辖市人民政府卫生行政部门给予警告、3万元以下罚</w:t>
      </w:r>
      <w:r>
        <w:rPr>
          <w:rFonts w:ascii="FangSong" w:hAnsi="FangSong" w:eastAsia="FangSong" w:cs="FangSong"/>
          <w:sz w:val="31"/>
          <w:szCs w:val="31"/>
        </w:rPr>
        <w:t xml:space="preserve"> </w:t>
      </w:r>
      <w:r>
        <w:rPr>
          <w:rFonts w:ascii="FangSong" w:hAnsi="FangSong" w:eastAsia="FangSong" w:cs="FangSong"/>
          <w:sz w:val="31"/>
          <w:szCs w:val="31"/>
          <w:spacing w:val="7"/>
        </w:rPr>
        <w:t>款，并给予有关责任人行政处分；构成犯罪的，依法</w:t>
      </w:r>
      <w:r>
        <w:rPr>
          <w:rFonts w:ascii="FangSong" w:hAnsi="FangSong" w:eastAsia="FangSong" w:cs="FangSong"/>
          <w:sz w:val="31"/>
          <w:szCs w:val="31"/>
          <w:spacing w:val="6"/>
        </w:rPr>
        <w:t>追究刑事责任：</w:t>
      </w:r>
    </w:p>
    <w:p>
      <w:pPr>
        <w:ind w:left="785"/>
        <w:spacing w:before="22" w:line="221" w:lineRule="auto"/>
        <w:rPr>
          <w:rFonts w:ascii="FangSong" w:hAnsi="FangSong" w:eastAsia="FangSong" w:cs="FangSong"/>
          <w:sz w:val="31"/>
          <w:szCs w:val="31"/>
        </w:rPr>
      </w:pPr>
      <w:r>
        <w:rPr>
          <w:rFonts w:ascii="FangSong" w:hAnsi="FangSong" w:eastAsia="FangSong" w:cs="FangSong"/>
          <w:sz w:val="31"/>
          <w:szCs w:val="31"/>
          <w:spacing w:val="16"/>
        </w:rPr>
        <w:t>(七)其他违反本办法规定的行为。</w:t>
      </w:r>
    </w:p>
    <w:p>
      <w:pPr>
        <w:ind w:left="6419"/>
        <w:spacing w:before="200"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54"/>
        <w:gridCol w:w="8054"/>
        <w:gridCol w:w="4262"/>
      </w:tblGrid>
      <w:tr>
        <w:trPr>
          <w:trHeight w:val="582" w:hRule="atLeast"/>
        </w:trPr>
        <w:tc>
          <w:tcPr>
            <w:tcW w:w="1554" w:type="dxa"/>
            <w:vAlign w:val="top"/>
          </w:tcPr>
          <w:p>
            <w:pPr>
              <w:pStyle w:val="TableText"/>
              <w:ind w:left="268"/>
              <w:spacing w:before="172" w:line="220" w:lineRule="auto"/>
              <w:rPr>
                <w:sz w:val="25"/>
                <w:szCs w:val="25"/>
              </w:rPr>
            </w:pPr>
            <w:r>
              <w:rPr>
                <w:sz w:val="25"/>
                <w:szCs w:val="25"/>
                <w:b/>
                <w:bCs/>
                <w:spacing w:val="-5"/>
              </w:rPr>
              <w:t>违法程度</w:t>
            </w:r>
          </w:p>
        </w:tc>
        <w:tc>
          <w:tcPr>
            <w:tcW w:w="8054" w:type="dxa"/>
            <w:vAlign w:val="top"/>
          </w:tcPr>
          <w:p>
            <w:pPr>
              <w:pStyle w:val="TableText"/>
              <w:ind w:left="3474"/>
              <w:spacing w:before="172" w:line="220" w:lineRule="auto"/>
              <w:rPr>
                <w:sz w:val="25"/>
                <w:szCs w:val="25"/>
              </w:rPr>
            </w:pPr>
            <w:r>
              <w:rPr>
                <w:sz w:val="25"/>
                <w:szCs w:val="25"/>
                <w:b/>
                <w:bCs/>
                <w:spacing w:val="-5"/>
              </w:rPr>
              <w:t>情节后果</w:t>
            </w:r>
          </w:p>
        </w:tc>
        <w:tc>
          <w:tcPr>
            <w:tcW w:w="4262" w:type="dxa"/>
            <w:vAlign w:val="top"/>
          </w:tcPr>
          <w:p>
            <w:pPr>
              <w:pStyle w:val="TableText"/>
              <w:ind w:left="1630"/>
              <w:spacing w:before="169" w:line="218" w:lineRule="auto"/>
              <w:rPr>
                <w:sz w:val="25"/>
                <w:szCs w:val="25"/>
              </w:rPr>
            </w:pPr>
            <w:r>
              <w:rPr>
                <w:sz w:val="25"/>
                <w:szCs w:val="25"/>
                <w:b/>
                <w:bCs/>
                <w:spacing w:val="-5"/>
              </w:rPr>
              <w:t>裁量幅度</w:t>
            </w:r>
          </w:p>
        </w:tc>
      </w:tr>
      <w:tr>
        <w:trPr>
          <w:trHeight w:val="518" w:hRule="atLeast"/>
        </w:trPr>
        <w:tc>
          <w:tcPr>
            <w:tcW w:w="1554" w:type="dxa"/>
            <w:vAlign w:val="top"/>
          </w:tcPr>
          <w:p>
            <w:pPr>
              <w:pStyle w:val="TableText"/>
              <w:ind w:left="518"/>
              <w:spacing w:before="139" w:line="219" w:lineRule="auto"/>
              <w:rPr>
                <w:sz w:val="25"/>
                <w:szCs w:val="25"/>
              </w:rPr>
            </w:pPr>
            <w:r>
              <w:rPr>
                <w:sz w:val="25"/>
                <w:szCs w:val="25"/>
                <w:b/>
                <w:bCs/>
                <w:spacing w:val="-6"/>
              </w:rPr>
              <w:t>较轻</w:t>
            </w:r>
          </w:p>
        </w:tc>
        <w:tc>
          <w:tcPr>
            <w:tcW w:w="8054" w:type="dxa"/>
            <w:vAlign w:val="top"/>
          </w:tcPr>
          <w:p>
            <w:pPr>
              <w:pStyle w:val="TableText"/>
              <w:spacing w:before="141" w:line="219" w:lineRule="auto"/>
              <w:jc w:val="right"/>
              <w:rPr>
                <w:sz w:val="25"/>
                <w:szCs w:val="25"/>
              </w:rPr>
            </w:pPr>
            <w:r>
              <w:rPr>
                <w:sz w:val="25"/>
                <w:szCs w:val="25"/>
                <w:spacing w:val="-2"/>
              </w:rPr>
              <w:t>开展人类辅助生殖技术的医疗机构首次有违反《办法》规定的其他行为的</w:t>
            </w:r>
          </w:p>
        </w:tc>
        <w:tc>
          <w:tcPr>
            <w:tcW w:w="4262" w:type="dxa"/>
            <w:vAlign w:val="top"/>
          </w:tcPr>
          <w:p>
            <w:pPr>
              <w:pStyle w:val="TableText"/>
              <w:ind w:left="127"/>
              <w:spacing w:before="141" w:line="218" w:lineRule="auto"/>
              <w:rPr>
                <w:sz w:val="25"/>
                <w:szCs w:val="25"/>
              </w:rPr>
            </w:pPr>
            <w:r>
              <w:rPr>
                <w:sz w:val="25"/>
                <w:szCs w:val="25"/>
                <w:spacing w:val="-2"/>
              </w:rPr>
              <w:t>警告，罚款10000元</w:t>
            </w:r>
          </w:p>
        </w:tc>
      </w:tr>
      <w:tr>
        <w:trPr>
          <w:trHeight w:val="577" w:hRule="atLeast"/>
        </w:trPr>
        <w:tc>
          <w:tcPr>
            <w:tcW w:w="1554" w:type="dxa"/>
            <w:vAlign w:val="top"/>
          </w:tcPr>
          <w:p>
            <w:pPr>
              <w:pStyle w:val="TableText"/>
              <w:ind w:left="518"/>
              <w:spacing w:before="173" w:line="221" w:lineRule="auto"/>
              <w:rPr>
                <w:sz w:val="25"/>
                <w:szCs w:val="25"/>
              </w:rPr>
            </w:pPr>
            <w:r>
              <w:rPr>
                <w:sz w:val="25"/>
                <w:szCs w:val="25"/>
                <w:b/>
                <w:bCs/>
                <w:spacing w:val="-10"/>
              </w:rPr>
              <w:t>一般</w:t>
            </w:r>
          </w:p>
        </w:tc>
        <w:tc>
          <w:tcPr>
            <w:tcW w:w="8054" w:type="dxa"/>
            <w:vAlign w:val="top"/>
          </w:tcPr>
          <w:p>
            <w:pPr>
              <w:pStyle w:val="TableText"/>
              <w:ind w:left="100"/>
              <w:spacing w:before="173" w:line="219" w:lineRule="auto"/>
              <w:rPr>
                <w:sz w:val="25"/>
                <w:szCs w:val="25"/>
              </w:rPr>
            </w:pPr>
            <w:r>
              <w:rPr>
                <w:sz w:val="25"/>
                <w:szCs w:val="25"/>
              </w:rPr>
              <w:t>开展人类辅助生殖技术的医疗机构再次违反《办法》规定的其他行为的</w:t>
            </w:r>
          </w:p>
        </w:tc>
        <w:tc>
          <w:tcPr>
            <w:tcW w:w="4262" w:type="dxa"/>
            <w:vAlign w:val="top"/>
          </w:tcPr>
          <w:p>
            <w:pPr>
              <w:pStyle w:val="TableText"/>
              <w:ind w:left="127"/>
              <w:spacing w:before="173" w:line="218" w:lineRule="auto"/>
              <w:rPr>
                <w:sz w:val="25"/>
                <w:szCs w:val="25"/>
              </w:rPr>
            </w:pPr>
            <w:r>
              <w:rPr>
                <w:sz w:val="25"/>
                <w:szCs w:val="25"/>
              </w:rPr>
              <w:t>警告，罚款10000元以上20000元以下</w:t>
            </w:r>
          </w:p>
        </w:tc>
      </w:tr>
      <w:tr>
        <w:trPr>
          <w:trHeight w:val="662" w:hRule="atLeast"/>
        </w:trPr>
        <w:tc>
          <w:tcPr>
            <w:tcW w:w="1554" w:type="dxa"/>
            <w:vAlign w:val="top"/>
          </w:tcPr>
          <w:p>
            <w:pPr>
              <w:pStyle w:val="TableText"/>
              <w:ind w:left="518"/>
              <w:spacing w:before="218" w:line="221" w:lineRule="auto"/>
              <w:rPr>
                <w:sz w:val="25"/>
                <w:szCs w:val="25"/>
              </w:rPr>
            </w:pPr>
            <w:r>
              <w:rPr>
                <w:sz w:val="25"/>
                <w:szCs w:val="25"/>
                <w:b/>
                <w:bCs/>
                <w:spacing w:val="-6"/>
              </w:rPr>
              <w:t>较重</w:t>
            </w:r>
          </w:p>
        </w:tc>
        <w:tc>
          <w:tcPr>
            <w:tcW w:w="8054" w:type="dxa"/>
            <w:vAlign w:val="top"/>
          </w:tcPr>
          <w:p>
            <w:pPr>
              <w:pStyle w:val="TableText"/>
              <w:ind w:left="100" w:hanging="9"/>
              <w:spacing w:before="67" w:line="216" w:lineRule="auto"/>
              <w:rPr>
                <w:sz w:val="25"/>
                <w:szCs w:val="25"/>
              </w:rPr>
            </w:pPr>
            <w:r>
              <w:rPr>
                <w:sz w:val="25"/>
                <w:szCs w:val="25"/>
                <w:spacing w:val="-9"/>
              </w:rPr>
              <w:t>开展人类辅助生殖技术的医疗机构有违反《办法》规定的其他违法行为</w:t>
            </w:r>
            <w:r>
              <w:rPr>
                <w:sz w:val="25"/>
                <w:szCs w:val="25"/>
                <w:spacing w:val="-10"/>
              </w:rPr>
              <w:t>，造</w:t>
            </w:r>
            <w:r>
              <w:rPr>
                <w:sz w:val="25"/>
                <w:szCs w:val="25"/>
              </w:rPr>
              <w:t xml:space="preserve"> </w:t>
            </w:r>
            <w:r>
              <w:rPr>
                <w:sz w:val="25"/>
                <w:szCs w:val="25"/>
                <w:spacing w:val="3"/>
              </w:rPr>
              <w:t>成严重后果的</w:t>
            </w:r>
          </w:p>
        </w:tc>
        <w:tc>
          <w:tcPr>
            <w:tcW w:w="4262" w:type="dxa"/>
            <w:vAlign w:val="top"/>
          </w:tcPr>
          <w:p>
            <w:pPr>
              <w:pStyle w:val="TableText"/>
              <w:ind w:left="127"/>
              <w:spacing w:before="216" w:line="218" w:lineRule="auto"/>
              <w:rPr>
                <w:sz w:val="25"/>
                <w:szCs w:val="25"/>
              </w:rPr>
            </w:pPr>
            <w:r>
              <w:rPr>
                <w:sz w:val="25"/>
                <w:szCs w:val="25"/>
              </w:rPr>
              <w:t>警告，罚款20000元以上30000元以下</w:t>
            </w:r>
          </w:p>
        </w:tc>
      </w:tr>
    </w:tbl>
    <w:p>
      <w:pPr>
        <w:pStyle w:val="BodyText"/>
        <w:spacing w:line="270" w:lineRule="auto"/>
        <w:rPr/>
      </w:pPr>
      <w:r/>
    </w:p>
    <w:p>
      <w:pPr>
        <w:pStyle w:val="BodyText"/>
        <w:spacing w:line="271" w:lineRule="auto"/>
        <w:rPr/>
      </w:pPr>
      <w:r/>
    </w:p>
    <w:p>
      <w:pPr>
        <w:ind w:left="789"/>
        <w:spacing w:before="101" w:line="223" w:lineRule="auto"/>
        <w:rPr>
          <w:rFonts w:ascii="KaiTi" w:hAnsi="KaiTi" w:eastAsia="KaiTi" w:cs="KaiTi"/>
          <w:sz w:val="31"/>
          <w:szCs w:val="31"/>
        </w:rPr>
      </w:pPr>
      <w:r>
        <w:rPr>
          <w:rFonts w:ascii="KaiTi" w:hAnsi="KaiTi" w:eastAsia="KaiTi" w:cs="KaiTi"/>
          <w:sz w:val="31"/>
          <w:szCs w:val="31"/>
          <w:b/>
          <w:bCs/>
          <w:spacing w:val="19"/>
        </w:rPr>
        <w:t>(二)《产前诊断技术管理办法》</w:t>
      </w:r>
    </w:p>
    <w:p>
      <w:pPr>
        <w:ind w:left="659"/>
        <w:spacing w:before="307" w:line="220" w:lineRule="auto"/>
        <w:rPr>
          <w:rFonts w:ascii="FangSong" w:hAnsi="FangSong" w:eastAsia="FangSong" w:cs="FangSong"/>
          <w:sz w:val="31"/>
          <w:szCs w:val="31"/>
        </w:rPr>
      </w:pPr>
      <w:r>
        <w:rPr>
          <w:rFonts w:ascii="FangSong" w:hAnsi="FangSong" w:eastAsia="FangSong" w:cs="FangSong"/>
          <w:sz w:val="31"/>
          <w:szCs w:val="31"/>
          <w:b/>
          <w:bCs/>
          <w:spacing w:val="11"/>
        </w:rPr>
        <w:t>第四百零三条医疗保健机构未取得产前诊断执业许可或超越许可范围擅自从事产前诊断的</w:t>
      </w:r>
    </w:p>
    <w:p>
      <w:pPr>
        <w:ind w:left="654"/>
        <w:spacing w:before="117"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right="28"/>
        <w:spacing w:before="74" w:line="221" w:lineRule="auto"/>
        <w:jc w:val="right"/>
        <w:rPr>
          <w:rFonts w:ascii="FangSong" w:hAnsi="FangSong" w:eastAsia="FangSong" w:cs="FangSong"/>
          <w:sz w:val="31"/>
          <w:szCs w:val="31"/>
        </w:rPr>
      </w:pPr>
      <w:r>
        <w:rPr>
          <w:rFonts w:ascii="FangSong" w:hAnsi="FangSong" w:eastAsia="FangSong" w:cs="FangSong"/>
          <w:sz w:val="31"/>
          <w:szCs w:val="31"/>
          <w:spacing w:val="5"/>
        </w:rPr>
        <w:t>《产前诊断技术管理办法》第三十条</w:t>
      </w:r>
      <w:r>
        <w:rPr>
          <w:rFonts w:ascii="FangSong" w:hAnsi="FangSong" w:eastAsia="FangSong" w:cs="FangSong"/>
          <w:sz w:val="31"/>
          <w:szCs w:val="31"/>
          <w:spacing w:val="45"/>
        </w:rPr>
        <w:t xml:space="preserve">  </w:t>
      </w:r>
      <w:r>
        <w:rPr>
          <w:rFonts w:ascii="FangSong" w:hAnsi="FangSong" w:eastAsia="FangSong" w:cs="FangSong"/>
          <w:sz w:val="31"/>
          <w:szCs w:val="31"/>
          <w:spacing w:val="5"/>
        </w:rPr>
        <w:t>对违反本办法，医疗保健机构未取得产前诊断执</w:t>
      </w:r>
      <w:r>
        <w:rPr>
          <w:rFonts w:ascii="FangSong" w:hAnsi="FangSong" w:eastAsia="FangSong" w:cs="FangSong"/>
          <w:sz w:val="31"/>
          <w:szCs w:val="31"/>
          <w:spacing w:val="4"/>
        </w:rPr>
        <w:t>业许可或</w:t>
      </w:r>
    </w:p>
    <w:p>
      <w:pPr>
        <w:pStyle w:val="BodyText"/>
        <w:spacing w:line="341" w:lineRule="auto"/>
        <w:rPr/>
      </w:pPr>
      <w:r/>
    </w:p>
    <w:p>
      <w:pPr>
        <w:pStyle w:val="BodyText"/>
        <w:spacing w:line="341" w:lineRule="auto"/>
        <w:rPr/>
      </w:pPr>
      <w:r/>
    </w:p>
    <w:p>
      <w:pPr>
        <w:ind w:left="6385"/>
        <w:spacing w:before="110" w:line="188"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7"/>
          <w:w w:val="94"/>
        </w:rPr>
        <w:t>—472—</w:t>
      </w:r>
    </w:p>
    <w:p>
      <w:pPr>
        <w:spacing w:line="188" w:lineRule="auto"/>
        <w:sectPr>
          <w:footerReference w:type="default" r:id="rId24"/>
          <w:pgSz w:w="16830" w:h="11900"/>
          <w:pgMar w:top="1011" w:right="1424" w:bottom="400" w:left="1434" w:header="0" w:footer="0" w:gutter="0"/>
        </w:sectPr>
        <w:rPr>
          <w:rFonts w:ascii="Times New Roman" w:hAnsi="Times New Roman" w:eastAsia="Times New Roman" w:cs="Times New Roman"/>
          <w:sz w:val="38"/>
          <w:szCs w:val="38"/>
        </w:rPr>
      </w:pPr>
    </w:p>
    <w:p>
      <w:pPr>
        <w:pStyle w:val="BodyText"/>
        <w:spacing w:line="264" w:lineRule="auto"/>
        <w:rPr/>
      </w:pPr>
      <w:r/>
    </w:p>
    <w:p>
      <w:pPr>
        <w:pStyle w:val="BodyText"/>
        <w:spacing w:line="264" w:lineRule="auto"/>
        <w:rPr/>
      </w:pPr>
      <w:r/>
    </w:p>
    <w:p>
      <w:pPr>
        <w:pStyle w:val="BodyText"/>
        <w:spacing w:line="264" w:lineRule="auto"/>
        <w:rPr/>
      </w:pPr>
      <w:r/>
    </w:p>
    <w:p>
      <w:pPr>
        <w:ind w:left="15"/>
        <w:spacing w:before="97" w:line="272" w:lineRule="auto"/>
        <w:jc w:val="both"/>
        <w:rPr>
          <w:rFonts w:ascii="FangSong" w:hAnsi="FangSong" w:eastAsia="FangSong" w:cs="FangSong"/>
          <w:sz w:val="30"/>
          <w:szCs w:val="30"/>
        </w:rPr>
      </w:pPr>
      <w:r>
        <w:rPr>
          <w:rFonts w:ascii="FangSong" w:hAnsi="FangSong" w:eastAsia="FangSong" w:cs="FangSong"/>
          <w:sz w:val="30"/>
          <w:szCs w:val="30"/>
          <w:spacing w:val="19"/>
        </w:rPr>
        <w:t>超越许可范围，擅自从事产前诊断的，按照《中华人民共和国母婴保健法实施办法》</w:t>
      </w:r>
      <w:r>
        <w:rPr>
          <w:rFonts w:ascii="FangSong" w:hAnsi="FangSong" w:eastAsia="FangSong" w:cs="FangSong"/>
          <w:sz w:val="30"/>
          <w:szCs w:val="30"/>
          <w:spacing w:val="18"/>
        </w:rPr>
        <w:t>有关规定处罚，</w:t>
      </w:r>
      <w:r>
        <w:rPr>
          <w:rFonts w:ascii="FangSong" w:hAnsi="FangSong" w:eastAsia="FangSong" w:cs="FangSong"/>
          <w:sz w:val="30"/>
          <w:szCs w:val="30"/>
        </w:rPr>
        <w:t xml:space="preserve"> </w:t>
      </w:r>
      <w:r>
        <w:rPr>
          <w:rFonts w:ascii="FangSong" w:hAnsi="FangSong" w:eastAsia="FangSong" w:cs="FangSong"/>
          <w:sz w:val="30"/>
          <w:szCs w:val="30"/>
          <w:spacing w:val="22"/>
        </w:rPr>
        <w:t>由卫生行政部门给予警告，责令停止违法行为，没收违法所得；违法所得5000元以上的，并处违法</w:t>
      </w:r>
      <w:r>
        <w:rPr>
          <w:rFonts w:ascii="FangSong" w:hAnsi="FangSong" w:eastAsia="FangSong" w:cs="FangSong"/>
          <w:sz w:val="30"/>
          <w:szCs w:val="30"/>
          <w:spacing w:val="4"/>
        </w:rPr>
        <w:t xml:space="preserve">  </w:t>
      </w:r>
      <w:r>
        <w:rPr>
          <w:rFonts w:ascii="FangSong" w:hAnsi="FangSong" w:eastAsia="FangSong" w:cs="FangSong"/>
          <w:sz w:val="30"/>
          <w:szCs w:val="30"/>
          <w:spacing w:val="32"/>
        </w:rPr>
        <w:t>所得3倍以上5倍以下的罚款；违法所得不足5000元的，并处50</w:t>
      </w:r>
      <w:r>
        <w:rPr>
          <w:rFonts w:ascii="FangSong" w:hAnsi="FangSong" w:eastAsia="FangSong" w:cs="FangSong"/>
          <w:sz w:val="30"/>
          <w:szCs w:val="30"/>
          <w:spacing w:val="31"/>
        </w:rPr>
        <w:t>00元以上2万元以下的罚款。情节</w:t>
      </w:r>
      <w:r>
        <w:rPr>
          <w:rFonts w:ascii="FangSong" w:hAnsi="FangSong" w:eastAsia="FangSong" w:cs="FangSong"/>
          <w:sz w:val="30"/>
          <w:szCs w:val="30"/>
        </w:rPr>
        <w:t xml:space="preserve"> </w:t>
      </w:r>
      <w:r>
        <w:rPr>
          <w:rFonts w:ascii="FangSong" w:hAnsi="FangSong" w:eastAsia="FangSong" w:cs="FangSong"/>
          <w:sz w:val="30"/>
          <w:szCs w:val="30"/>
          <w:spacing w:val="18"/>
        </w:rPr>
        <w:t>严重的，依据《医疗机构管理条例》依法吊销医疗机构执业许可证。</w:t>
      </w:r>
    </w:p>
    <w:p>
      <w:pPr>
        <w:ind w:left="6439"/>
        <w:spacing w:before="18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40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64"/>
        <w:gridCol w:w="8644"/>
        <w:gridCol w:w="3512"/>
      </w:tblGrid>
      <w:tr>
        <w:trPr>
          <w:trHeight w:val="554" w:hRule="atLeast"/>
        </w:trPr>
        <w:tc>
          <w:tcPr>
            <w:tcW w:w="1864" w:type="dxa"/>
            <w:vAlign w:val="top"/>
          </w:tcPr>
          <w:p>
            <w:pPr>
              <w:pStyle w:val="TableText"/>
              <w:ind w:left="348"/>
              <w:spacing w:before="16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8644" w:type="dxa"/>
            <w:vAlign w:val="top"/>
          </w:tcPr>
          <w:p>
            <w:pPr>
              <w:pStyle w:val="TableText"/>
              <w:ind w:left="3744"/>
              <w:spacing w:before="162" w:line="220" w:lineRule="auto"/>
              <w:rPr/>
            </w:pPr>
            <w:r>
              <w:rPr>
                <w:b/>
                <w:bCs/>
                <w:spacing w:val="-5"/>
              </w:rPr>
              <w:t>情节后果</w:t>
            </w:r>
          </w:p>
        </w:tc>
        <w:tc>
          <w:tcPr>
            <w:tcW w:w="3512" w:type="dxa"/>
            <w:vAlign w:val="top"/>
          </w:tcPr>
          <w:p>
            <w:pPr>
              <w:pStyle w:val="TableText"/>
              <w:ind w:left="1170"/>
              <w:spacing w:before="15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007" w:hRule="atLeast"/>
        </w:trPr>
        <w:tc>
          <w:tcPr>
            <w:tcW w:w="1864" w:type="dxa"/>
            <w:vAlign w:val="top"/>
            <w:vMerge w:val="restart"/>
            <w:tcBorders>
              <w:bottom w:val="nil"/>
            </w:tcBorders>
          </w:tcPr>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688"/>
              <w:spacing w:before="78" w:line="219" w:lineRule="auto"/>
              <w:rPr/>
            </w:pPr>
            <w:r>
              <w:rPr>
                <w:b/>
                <w:bCs/>
                <w:spacing w:val="-5"/>
              </w:rPr>
              <w:t>较轻</w:t>
            </w:r>
          </w:p>
        </w:tc>
        <w:tc>
          <w:tcPr>
            <w:tcW w:w="8644" w:type="dxa"/>
            <w:vAlign w:val="top"/>
          </w:tcPr>
          <w:p>
            <w:pPr>
              <w:pStyle w:val="TableText"/>
              <w:ind w:left="111" w:right="122"/>
              <w:spacing w:before="238" w:line="280" w:lineRule="auto"/>
              <w:rPr/>
            </w:pPr>
            <w:r>
              <w:rPr/>
              <w:t>医疗保健机构未取得产前诊断执业许可或超越许可范围，擅自从事产前诊断</w:t>
            </w:r>
            <w:r>
              <w:rPr>
                <w:spacing w:val="-1"/>
              </w:rPr>
              <w:t>的，</w:t>
            </w:r>
            <w:r>
              <w:rPr/>
              <w:t xml:space="preserve"> </w:t>
            </w:r>
            <w:r>
              <w:rPr/>
              <w:t>违法所得3000元以下或者无法确认违法所得的</w:t>
            </w:r>
          </w:p>
        </w:tc>
        <w:tc>
          <w:tcPr>
            <w:tcW w:w="3512" w:type="dxa"/>
            <w:vAlign w:val="top"/>
          </w:tcPr>
          <w:p>
            <w:pPr>
              <w:pStyle w:val="TableText"/>
              <w:ind w:left="306" w:right="65" w:hanging="239"/>
              <w:spacing w:before="68" w:line="255" w:lineRule="auto"/>
              <w:rPr/>
            </w:pPr>
            <w:r>
              <w:rPr/>
              <w:t>警告，责令停止违法行为，没收</w:t>
            </w:r>
            <w:r>
              <w:rPr>
                <w:spacing w:val="8"/>
              </w:rPr>
              <w:t xml:space="preserve"> </w:t>
            </w:r>
            <w:r>
              <w:rPr>
                <w:spacing w:val="-1"/>
              </w:rPr>
              <w:t>违法所得，并处5000元以上</w:t>
            </w:r>
          </w:p>
          <w:p>
            <w:pPr>
              <w:pStyle w:val="TableText"/>
              <w:ind w:left="97"/>
              <w:spacing w:line="204" w:lineRule="auto"/>
              <w:rPr/>
            </w:pPr>
            <w:r>
              <w:rPr>
                <w:spacing w:val="1"/>
              </w:rPr>
              <w:t>12000元以下罚款</w:t>
            </w:r>
          </w:p>
        </w:tc>
      </w:tr>
      <w:tr>
        <w:trPr>
          <w:trHeight w:val="1038" w:hRule="atLeast"/>
        </w:trPr>
        <w:tc>
          <w:tcPr>
            <w:tcW w:w="1864" w:type="dxa"/>
            <w:vAlign w:val="top"/>
            <w:vMerge w:val="continue"/>
            <w:tcBorders>
              <w:top w:val="nil"/>
            </w:tcBorders>
          </w:tcPr>
          <w:p>
            <w:pPr>
              <w:rPr>
                <w:rFonts w:ascii="Arial"/>
                <w:sz w:val="21"/>
              </w:rPr>
            </w:pPr>
            <w:r/>
          </w:p>
        </w:tc>
        <w:tc>
          <w:tcPr>
            <w:tcW w:w="8644" w:type="dxa"/>
            <w:vAlign w:val="top"/>
          </w:tcPr>
          <w:p>
            <w:pPr>
              <w:pStyle w:val="TableText"/>
              <w:ind w:left="114" w:right="126"/>
              <w:spacing w:before="249" w:line="264" w:lineRule="auto"/>
              <w:rPr/>
            </w:pPr>
            <w:r>
              <w:rPr>
                <w:b/>
                <w:bCs/>
                <w:spacing w:val="-3"/>
              </w:rPr>
              <w:t>医疗保健机构未取得产前诊断执业许可或超越许可范围，擅自从事产前诊断的，</w:t>
            </w:r>
            <w:r>
              <w:rPr>
                <w:spacing w:val="8"/>
              </w:rPr>
              <w:t xml:space="preserve"> </w:t>
            </w:r>
            <w:r>
              <w:rPr>
                <w:b/>
                <w:bCs/>
                <w:spacing w:val="-2"/>
              </w:rPr>
              <w:t>违法所得3000元以上5000元以下的</w:t>
            </w:r>
          </w:p>
        </w:tc>
        <w:tc>
          <w:tcPr>
            <w:tcW w:w="3512" w:type="dxa"/>
            <w:vAlign w:val="top"/>
          </w:tcPr>
          <w:p>
            <w:pPr>
              <w:pStyle w:val="TableText"/>
              <w:ind w:left="247" w:right="65" w:hanging="180"/>
              <w:spacing w:before="81" w:line="259" w:lineRule="auto"/>
              <w:rPr/>
            </w:pPr>
            <w:r>
              <w:rPr/>
              <w:t>警告，责令停止违法行为，没收</w:t>
            </w:r>
            <w:r>
              <w:rPr>
                <w:spacing w:val="8"/>
              </w:rPr>
              <w:t xml:space="preserve"> </w:t>
            </w:r>
            <w:r>
              <w:rPr>
                <w:spacing w:val="-1"/>
              </w:rPr>
              <w:t>违法所得，并处12000元以上</w:t>
            </w:r>
          </w:p>
          <w:p>
            <w:pPr>
              <w:pStyle w:val="TableText"/>
              <w:ind w:left="97"/>
              <w:spacing w:line="210" w:lineRule="auto"/>
              <w:rPr/>
            </w:pPr>
            <w:r>
              <w:rPr>
                <w:spacing w:val="1"/>
              </w:rPr>
              <w:t>20000元以下罚款</w:t>
            </w:r>
          </w:p>
        </w:tc>
      </w:tr>
      <w:tr>
        <w:trPr>
          <w:trHeight w:val="998" w:hRule="atLeast"/>
        </w:trPr>
        <w:tc>
          <w:tcPr>
            <w:tcW w:w="1864" w:type="dxa"/>
            <w:vAlign w:val="top"/>
          </w:tcPr>
          <w:p>
            <w:pPr>
              <w:spacing w:line="303" w:lineRule="auto"/>
              <w:rPr>
                <w:rFonts w:ascii="Arial"/>
                <w:sz w:val="21"/>
              </w:rPr>
            </w:pPr>
            <w:r/>
          </w:p>
          <w:p>
            <w:pPr>
              <w:pStyle w:val="TableText"/>
              <w:ind w:left="688"/>
              <w:spacing w:before="78" w:line="221" w:lineRule="auto"/>
              <w:rPr/>
            </w:pPr>
            <w:r>
              <w:rPr>
                <w:b/>
                <w:bCs/>
                <w:spacing w:val="-10"/>
              </w:rPr>
              <w:t>一般</w:t>
            </w:r>
          </w:p>
        </w:tc>
        <w:tc>
          <w:tcPr>
            <w:tcW w:w="8644" w:type="dxa"/>
            <w:vAlign w:val="top"/>
          </w:tcPr>
          <w:p>
            <w:pPr>
              <w:pStyle w:val="TableText"/>
              <w:ind w:left="111" w:right="122"/>
              <w:spacing w:before="244" w:line="249" w:lineRule="auto"/>
              <w:rPr/>
            </w:pPr>
            <w:r>
              <w:rPr/>
              <w:t>医疗保健机构未取得产前诊断执业许可或超越许可范围，擅自从事产前诊断</w:t>
            </w:r>
            <w:r>
              <w:rPr>
                <w:spacing w:val="-1"/>
              </w:rPr>
              <w:t>的，</w:t>
            </w:r>
            <w:r>
              <w:rPr/>
              <w:t xml:space="preserve"> </w:t>
            </w:r>
            <w:r>
              <w:rPr/>
              <w:t>违法所得5000元以上10000元以下的</w:t>
            </w:r>
          </w:p>
        </w:tc>
        <w:tc>
          <w:tcPr>
            <w:tcW w:w="3512" w:type="dxa"/>
            <w:vAlign w:val="top"/>
          </w:tcPr>
          <w:p>
            <w:pPr>
              <w:pStyle w:val="TableText"/>
              <w:ind w:left="127" w:right="65" w:hanging="60"/>
              <w:spacing w:before="75" w:line="234" w:lineRule="auto"/>
              <w:jc w:val="both"/>
              <w:rPr/>
            </w:pPr>
            <w:r>
              <w:rPr/>
              <w:t>警告，责令停止违法行为，没收</w:t>
            </w:r>
            <w:r>
              <w:rPr>
                <w:spacing w:val="8"/>
              </w:rPr>
              <w:t xml:space="preserve"> </w:t>
            </w:r>
            <w:r>
              <w:rPr>
                <w:spacing w:val="1"/>
              </w:rPr>
              <w:t>违法所得，并处违法所得3倍以</w:t>
            </w:r>
            <w:r>
              <w:rPr>
                <w:spacing w:val="6"/>
              </w:rPr>
              <w:t xml:space="preserve"> </w:t>
            </w:r>
            <w:r>
              <w:rPr>
                <w:spacing w:val="1"/>
              </w:rPr>
              <w:t>上4倍以下罚款</w:t>
            </w:r>
          </w:p>
        </w:tc>
      </w:tr>
      <w:tr>
        <w:trPr>
          <w:trHeight w:val="1043" w:hRule="atLeast"/>
        </w:trPr>
        <w:tc>
          <w:tcPr>
            <w:tcW w:w="1864" w:type="dxa"/>
            <w:vAlign w:val="top"/>
          </w:tcPr>
          <w:p>
            <w:pPr>
              <w:spacing w:line="327" w:lineRule="auto"/>
              <w:rPr>
                <w:rFonts w:ascii="Arial"/>
                <w:sz w:val="21"/>
              </w:rPr>
            </w:pPr>
            <w:r/>
          </w:p>
          <w:p>
            <w:pPr>
              <w:pStyle w:val="TableText"/>
              <w:ind w:left="688"/>
              <w:spacing w:before="78" w:line="221" w:lineRule="auto"/>
              <w:rPr/>
            </w:pPr>
            <w:r>
              <w:rPr>
                <w:b/>
                <w:bCs/>
                <w:spacing w:val="-5"/>
              </w:rPr>
              <w:t>较重</w:t>
            </w:r>
          </w:p>
        </w:tc>
        <w:tc>
          <w:tcPr>
            <w:tcW w:w="8644" w:type="dxa"/>
            <w:vAlign w:val="top"/>
          </w:tcPr>
          <w:p>
            <w:pPr>
              <w:pStyle w:val="TableText"/>
              <w:ind w:left="111" w:right="122"/>
              <w:spacing w:before="276" w:line="249" w:lineRule="auto"/>
              <w:rPr/>
            </w:pPr>
            <w:r>
              <w:rPr/>
              <w:t>医疗保健机构未取得产前诊断执业许可或超越许可范围，擅自从事产前诊断</w:t>
            </w:r>
            <w:r>
              <w:rPr>
                <w:spacing w:val="-1"/>
              </w:rPr>
              <w:t>的，</w:t>
            </w:r>
            <w:r>
              <w:rPr/>
              <w:t xml:space="preserve"> </w:t>
            </w:r>
            <w:r>
              <w:rPr>
                <w:spacing w:val="1"/>
              </w:rPr>
              <w:t>违法所得10000元以上的</w:t>
            </w:r>
          </w:p>
        </w:tc>
        <w:tc>
          <w:tcPr>
            <w:tcW w:w="3512" w:type="dxa"/>
            <w:vAlign w:val="top"/>
          </w:tcPr>
          <w:p>
            <w:pPr>
              <w:pStyle w:val="TableText"/>
              <w:ind w:left="97" w:right="65" w:hanging="30"/>
              <w:spacing w:before="85" w:line="243" w:lineRule="auto"/>
              <w:jc w:val="both"/>
              <w:rPr/>
            </w:pPr>
            <w:r>
              <w:rPr/>
              <w:t>警告，责令停止违法行为，没收</w:t>
            </w:r>
            <w:r>
              <w:rPr>
                <w:spacing w:val="8"/>
              </w:rPr>
              <w:t xml:space="preserve"> </w:t>
            </w:r>
            <w:r>
              <w:rPr>
                <w:spacing w:val="3"/>
              </w:rPr>
              <w:t>违法所得，并处违法所得4倍以</w:t>
            </w:r>
            <w:r>
              <w:rPr>
                <w:spacing w:val="8"/>
              </w:rPr>
              <w:t xml:space="preserve"> </w:t>
            </w:r>
            <w:r>
              <w:rPr>
                <w:spacing w:val="1"/>
              </w:rPr>
              <w:t>上5倍以下罚款</w:t>
            </w:r>
          </w:p>
        </w:tc>
      </w:tr>
    </w:tbl>
    <w:p>
      <w:pPr>
        <w:pStyle w:val="BodyText"/>
        <w:rPr/>
      </w:pPr>
      <w:r/>
    </w:p>
    <w:p>
      <w:pPr>
        <w:sectPr>
          <w:footerReference w:type="default" r:id="rId431"/>
          <w:pgSz w:w="16830" w:h="11900"/>
          <w:pgMar w:top="1011" w:right="1369" w:bottom="1114" w:left="1414" w:header="0" w:footer="799" w:gutter="0"/>
        </w:sectPr>
        <w:rPr/>
      </w:pPr>
    </w:p>
    <w:p>
      <w:pPr>
        <w:pStyle w:val="BodyText"/>
        <w:spacing w:line="257" w:lineRule="auto"/>
        <w:rPr/>
      </w:pPr>
      <w:r/>
    </w:p>
    <w:p>
      <w:pPr>
        <w:pStyle w:val="BodyText"/>
        <w:spacing w:line="258" w:lineRule="auto"/>
        <w:rPr/>
      </w:pPr>
      <w:r/>
    </w:p>
    <w:p>
      <w:pPr>
        <w:pStyle w:val="BodyText"/>
        <w:spacing w:line="258" w:lineRule="auto"/>
        <w:rPr/>
      </w:pPr>
      <w:r/>
    </w:p>
    <w:p>
      <w:pPr>
        <w:ind w:left="479"/>
        <w:spacing w:before="97" w:line="221" w:lineRule="auto"/>
        <w:rPr>
          <w:rFonts w:ascii="KaiTi" w:hAnsi="KaiTi" w:eastAsia="KaiTi" w:cs="KaiTi"/>
          <w:sz w:val="30"/>
          <w:szCs w:val="30"/>
        </w:rPr>
      </w:pPr>
      <w:bookmarkStart w:name="bookmark1078" w:id="452"/>
      <w:bookmarkEnd w:id="452"/>
      <w:r>
        <w:rPr>
          <w:rFonts w:ascii="KaiTi" w:hAnsi="KaiTi" w:eastAsia="KaiTi" w:cs="KaiTi"/>
          <w:sz w:val="30"/>
          <w:szCs w:val="30"/>
          <w:b/>
          <w:bCs/>
          <w:spacing w:val="29"/>
        </w:rPr>
        <w:t>(三)《人类精子库管理办法》</w:t>
      </w:r>
    </w:p>
    <w:p>
      <w:pPr>
        <w:ind w:left="659"/>
        <w:spacing w:before="326" w:line="220" w:lineRule="auto"/>
        <w:rPr>
          <w:rFonts w:ascii="FangSong" w:hAnsi="FangSong" w:eastAsia="FangSong" w:cs="FangSong"/>
          <w:sz w:val="30"/>
          <w:szCs w:val="30"/>
        </w:rPr>
      </w:pPr>
      <w:r>
        <w:rPr>
          <w:rFonts w:ascii="FangSong" w:hAnsi="FangSong" w:eastAsia="FangSong" w:cs="FangSong"/>
          <w:sz w:val="30"/>
          <w:szCs w:val="30"/>
          <w:b/>
          <w:bCs/>
          <w:spacing w:val="21"/>
        </w:rPr>
        <w:t>第四百零四条设置人类精子库的医疗机构采集精液前，未按规定对供精者进行健康检查的</w:t>
      </w:r>
    </w:p>
    <w:p>
      <w:pPr>
        <w:ind w:left="654"/>
        <w:spacing w:before="11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5" w:firstLine="619"/>
        <w:spacing w:before="79" w:line="274" w:lineRule="auto"/>
        <w:jc w:val="both"/>
        <w:rPr>
          <w:rFonts w:ascii="FangSong" w:hAnsi="FangSong" w:eastAsia="FangSong" w:cs="FangSong"/>
          <w:sz w:val="30"/>
          <w:szCs w:val="30"/>
        </w:rPr>
      </w:pPr>
      <w:r>
        <w:rPr>
          <w:rFonts w:ascii="FangSong" w:hAnsi="FangSong" w:eastAsia="FangSong" w:cs="FangSong"/>
          <w:sz w:val="30"/>
          <w:szCs w:val="30"/>
          <w:spacing w:val="23"/>
        </w:rPr>
        <w:t>《人类精子库管理办法》第二十四条第(一)项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设置人类精子库的医疗机构违反本办法，有下</w:t>
      </w:r>
      <w:r>
        <w:rPr>
          <w:rFonts w:ascii="FangSong" w:hAnsi="FangSong" w:eastAsia="FangSong" w:cs="FangSong"/>
          <w:sz w:val="30"/>
          <w:szCs w:val="30"/>
          <w:spacing w:val="13"/>
        </w:rPr>
        <w:t xml:space="preserve"> </w:t>
      </w:r>
      <w:r>
        <w:rPr>
          <w:rFonts w:ascii="FangSong" w:hAnsi="FangSong" w:eastAsia="FangSong" w:cs="FangSong"/>
          <w:sz w:val="30"/>
          <w:szCs w:val="30"/>
          <w:spacing w:val="20"/>
        </w:rPr>
        <w:t>列行为之一的，省、自治区、直辖市人民政府卫生行政部门给予警告、1万元以下</w:t>
      </w:r>
      <w:r>
        <w:rPr>
          <w:rFonts w:ascii="FangSong" w:hAnsi="FangSong" w:eastAsia="FangSong" w:cs="FangSong"/>
          <w:sz w:val="30"/>
          <w:szCs w:val="30"/>
          <w:spacing w:val="19"/>
        </w:rPr>
        <w:t>罚款，并给予有关</w:t>
      </w:r>
      <w:r>
        <w:rPr>
          <w:rFonts w:ascii="FangSong" w:hAnsi="FangSong" w:eastAsia="FangSong" w:cs="FangSong"/>
          <w:sz w:val="30"/>
          <w:szCs w:val="30"/>
        </w:rPr>
        <w:t xml:space="preserve"> </w:t>
      </w:r>
      <w:r>
        <w:rPr>
          <w:rFonts w:ascii="FangSong" w:hAnsi="FangSong" w:eastAsia="FangSong" w:cs="FangSong"/>
          <w:sz w:val="30"/>
          <w:szCs w:val="30"/>
          <w:spacing w:val="16"/>
        </w:rPr>
        <w:t>责任人员行政处分；构成犯罪的，依法追究刑事责任：</w:t>
      </w:r>
    </w:p>
    <w:p>
      <w:pPr>
        <w:ind w:left="785"/>
        <w:spacing w:line="220" w:lineRule="auto"/>
        <w:rPr>
          <w:rFonts w:ascii="FangSong" w:hAnsi="FangSong" w:eastAsia="FangSong" w:cs="FangSong"/>
          <w:sz w:val="30"/>
          <w:szCs w:val="30"/>
        </w:rPr>
      </w:pPr>
      <w:r>
        <w:rPr>
          <w:rFonts w:ascii="FangSong" w:hAnsi="FangSong" w:eastAsia="FangSong" w:cs="FangSong"/>
          <w:sz w:val="30"/>
          <w:szCs w:val="30"/>
          <w:spacing w:val="22"/>
        </w:rPr>
        <w:t>(一)采集精液前，未按规定对供精者进行健康检查的；</w:t>
      </w:r>
    </w:p>
    <w:p>
      <w:pPr>
        <w:ind w:left="6419"/>
        <w:spacing w:before="264"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7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404"/>
        <w:gridCol w:w="4542"/>
      </w:tblGrid>
      <w:tr>
        <w:trPr>
          <w:trHeight w:val="572" w:hRule="atLeast"/>
        </w:trPr>
        <w:tc>
          <w:tcPr>
            <w:tcW w:w="1784" w:type="dxa"/>
            <w:vAlign w:val="top"/>
          </w:tcPr>
          <w:p>
            <w:pPr>
              <w:pStyle w:val="TableText"/>
              <w:ind w:left="388"/>
              <w:spacing w:before="162" w:line="220" w:lineRule="auto"/>
              <w:rPr>
                <w:sz w:val="25"/>
                <w:szCs w:val="25"/>
              </w:rPr>
            </w:pPr>
            <w:r>
              <w:rPr>
                <w:sz w:val="25"/>
                <w:szCs w:val="25"/>
                <w:b/>
                <w:bCs/>
                <w:spacing w:val="-5"/>
              </w:rPr>
              <w:t>违法程度</w:t>
            </w:r>
          </w:p>
        </w:tc>
        <w:tc>
          <w:tcPr>
            <w:tcW w:w="7404" w:type="dxa"/>
            <w:vAlign w:val="top"/>
          </w:tcPr>
          <w:p>
            <w:pPr>
              <w:pStyle w:val="TableText"/>
              <w:ind w:left="3154"/>
              <w:spacing w:before="162" w:line="220" w:lineRule="auto"/>
              <w:rPr>
                <w:sz w:val="25"/>
                <w:szCs w:val="25"/>
              </w:rPr>
            </w:pPr>
            <w:r>
              <w:rPr>
                <w:sz w:val="25"/>
                <w:szCs w:val="25"/>
                <w:b/>
                <w:bCs/>
                <w:spacing w:val="-5"/>
              </w:rPr>
              <w:t>情节后果</w:t>
            </w:r>
          </w:p>
        </w:tc>
        <w:tc>
          <w:tcPr>
            <w:tcW w:w="4542" w:type="dxa"/>
            <w:vAlign w:val="top"/>
          </w:tcPr>
          <w:p>
            <w:pPr>
              <w:pStyle w:val="TableText"/>
              <w:ind w:left="1710"/>
              <w:spacing w:before="159" w:line="218" w:lineRule="auto"/>
              <w:rPr>
                <w:sz w:val="25"/>
                <w:szCs w:val="25"/>
              </w:rPr>
            </w:pPr>
            <w:r>
              <w:rPr>
                <w:sz w:val="25"/>
                <w:szCs w:val="25"/>
                <w:b/>
                <w:bCs/>
                <w:spacing w:val="-5"/>
              </w:rPr>
              <w:t>裁量幅度</w:t>
            </w:r>
          </w:p>
        </w:tc>
      </w:tr>
      <w:tr>
        <w:trPr>
          <w:trHeight w:val="538" w:hRule="atLeast"/>
        </w:trPr>
        <w:tc>
          <w:tcPr>
            <w:tcW w:w="1784" w:type="dxa"/>
            <w:vAlign w:val="top"/>
          </w:tcPr>
          <w:p>
            <w:pPr>
              <w:pStyle w:val="TableText"/>
              <w:ind w:left="638"/>
              <w:spacing w:before="149" w:line="219" w:lineRule="auto"/>
              <w:rPr>
                <w:sz w:val="25"/>
                <w:szCs w:val="25"/>
              </w:rPr>
            </w:pPr>
            <w:r>
              <w:rPr>
                <w:sz w:val="25"/>
                <w:szCs w:val="25"/>
                <w:b/>
                <w:bCs/>
                <w:spacing w:val="-6"/>
              </w:rPr>
              <w:t>较轻</w:t>
            </w:r>
          </w:p>
        </w:tc>
        <w:tc>
          <w:tcPr>
            <w:tcW w:w="7404" w:type="dxa"/>
            <w:vAlign w:val="top"/>
          </w:tcPr>
          <w:p>
            <w:pPr>
              <w:pStyle w:val="TableText"/>
              <w:ind w:left="121"/>
              <w:spacing w:before="151" w:line="219" w:lineRule="auto"/>
              <w:rPr>
                <w:sz w:val="25"/>
                <w:szCs w:val="25"/>
              </w:rPr>
            </w:pPr>
            <w:r>
              <w:rPr>
                <w:sz w:val="25"/>
                <w:szCs w:val="25"/>
              </w:rPr>
              <w:t>有1例未对供精者进行健康检查行为的</w:t>
            </w:r>
          </w:p>
        </w:tc>
        <w:tc>
          <w:tcPr>
            <w:tcW w:w="4542" w:type="dxa"/>
            <w:vAlign w:val="top"/>
          </w:tcPr>
          <w:p>
            <w:pPr>
              <w:pStyle w:val="TableText"/>
              <w:ind w:left="117"/>
              <w:spacing w:before="151" w:line="218" w:lineRule="auto"/>
              <w:rPr>
                <w:sz w:val="25"/>
                <w:szCs w:val="25"/>
              </w:rPr>
            </w:pPr>
            <w:r>
              <w:rPr>
                <w:sz w:val="25"/>
                <w:szCs w:val="25"/>
                <w:spacing w:val="1"/>
              </w:rPr>
              <w:t>警告，罚款5000元</w:t>
            </w:r>
          </w:p>
        </w:tc>
      </w:tr>
      <w:tr>
        <w:trPr>
          <w:trHeight w:val="488" w:hRule="atLeast"/>
        </w:trPr>
        <w:tc>
          <w:tcPr>
            <w:tcW w:w="1784" w:type="dxa"/>
            <w:vAlign w:val="top"/>
          </w:tcPr>
          <w:p>
            <w:pPr>
              <w:pStyle w:val="TableText"/>
              <w:ind w:left="638"/>
              <w:spacing w:before="123" w:line="221" w:lineRule="auto"/>
              <w:rPr>
                <w:sz w:val="25"/>
                <w:szCs w:val="25"/>
              </w:rPr>
            </w:pPr>
            <w:r>
              <w:rPr>
                <w:sz w:val="25"/>
                <w:szCs w:val="25"/>
                <w:b/>
                <w:bCs/>
                <w:spacing w:val="-10"/>
              </w:rPr>
              <w:t>一般</w:t>
            </w:r>
          </w:p>
        </w:tc>
        <w:tc>
          <w:tcPr>
            <w:tcW w:w="7404" w:type="dxa"/>
            <w:vAlign w:val="top"/>
          </w:tcPr>
          <w:p>
            <w:pPr>
              <w:pStyle w:val="TableText"/>
              <w:ind w:left="121"/>
              <w:spacing w:before="123" w:line="219" w:lineRule="auto"/>
              <w:rPr>
                <w:sz w:val="25"/>
                <w:szCs w:val="25"/>
              </w:rPr>
            </w:pPr>
            <w:r>
              <w:rPr>
                <w:sz w:val="25"/>
                <w:szCs w:val="25"/>
              </w:rPr>
              <w:t>有2例未对供精者进行健康检查行为的</w:t>
            </w:r>
          </w:p>
        </w:tc>
        <w:tc>
          <w:tcPr>
            <w:tcW w:w="4542" w:type="dxa"/>
            <w:vAlign w:val="top"/>
          </w:tcPr>
          <w:p>
            <w:pPr>
              <w:pStyle w:val="TableText"/>
              <w:ind w:left="117"/>
              <w:spacing w:before="123" w:line="218" w:lineRule="auto"/>
              <w:rPr>
                <w:sz w:val="25"/>
                <w:szCs w:val="25"/>
              </w:rPr>
            </w:pPr>
            <w:r>
              <w:rPr>
                <w:sz w:val="25"/>
                <w:szCs w:val="25"/>
              </w:rPr>
              <w:t>警告，罚款5000元以上7000元以下</w:t>
            </w:r>
          </w:p>
        </w:tc>
      </w:tr>
      <w:tr>
        <w:trPr>
          <w:trHeight w:val="732" w:hRule="atLeast"/>
        </w:trPr>
        <w:tc>
          <w:tcPr>
            <w:tcW w:w="1784" w:type="dxa"/>
            <w:vAlign w:val="top"/>
          </w:tcPr>
          <w:p>
            <w:pPr>
              <w:pStyle w:val="TableText"/>
              <w:ind w:left="638"/>
              <w:spacing w:before="247" w:line="221" w:lineRule="auto"/>
              <w:rPr>
                <w:sz w:val="25"/>
                <w:szCs w:val="25"/>
              </w:rPr>
            </w:pPr>
            <w:r>
              <w:rPr>
                <w:sz w:val="25"/>
                <w:szCs w:val="25"/>
                <w:b/>
                <w:bCs/>
                <w:spacing w:val="-6"/>
              </w:rPr>
              <w:t>较重</w:t>
            </w:r>
          </w:p>
        </w:tc>
        <w:tc>
          <w:tcPr>
            <w:tcW w:w="7404" w:type="dxa"/>
            <w:vAlign w:val="top"/>
          </w:tcPr>
          <w:p>
            <w:pPr>
              <w:pStyle w:val="TableText"/>
              <w:ind w:left="121"/>
              <w:spacing w:before="85" w:line="235" w:lineRule="auto"/>
              <w:rPr>
                <w:sz w:val="25"/>
                <w:szCs w:val="25"/>
              </w:rPr>
            </w:pPr>
            <w:r>
              <w:rPr>
                <w:sz w:val="25"/>
                <w:szCs w:val="25"/>
                <w:spacing w:val="-4"/>
              </w:rPr>
              <w:t>有3例及以上未对供精者进行健康检查行为的，或未按规定对供精者</w:t>
            </w:r>
            <w:r>
              <w:rPr>
                <w:sz w:val="25"/>
                <w:szCs w:val="25"/>
                <w:spacing w:val="16"/>
              </w:rPr>
              <w:t xml:space="preserve"> </w:t>
            </w:r>
            <w:r>
              <w:rPr>
                <w:sz w:val="25"/>
                <w:szCs w:val="25"/>
              </w:rPr>
              <w:t>进行健康检查造成他人健康损害等后果的</w:t>
            </w:r>
          </w:p>
        </w:tc>
        <w:tc>
          <w:tcPr>
            <w:tcW w:w="4542" w:type="dxa"/>
            <w:vAlign w:val="top"/>
          </w:tcPr>
          <w:p>
            <w:pPr>
              <w:pStyle w:val="TableText"/>
              <w:ind w:left="117"/>
              <w:spacing w:before="245" w:line="218" w:lineRule="auto"/>
              <w:rPr>
                <w:sz w:val="25"/>
                <w:szCs w:val="25"/>
              </w:rPr>
            </w:pPr>
            <w:r>
              <w:rPr>
                <w:sz w:val="25"/>
                <w:szCs w:val="25"/>
                <w:spacing w:val="1"/>
              </w:rPr>
              <w:t>警告，罚款7000元以上10000元以下</w:t>
            </w:r>
          </w:p>
        </w:tc>
      </w:tr>
    </w:tbl>
    <w:p>
      <w:pPr>
        <w:pStyle w:val="BodyText"/>
        <w:spacing w:line="476" w:lineRule="auto"/>
        <w:rPr/>
      </w:pPr>
      <w:r/>
    </w:p>
    <w:p>
      <w:pPr>
        <w:ind w:left="659"/>
        <w:spacing w:before="99" w:line="220" w:lineRule="auto"/>
        <w:rPr>
          <w:rFonts w:ascii="FangSong" w:hAnsi="FangSong" w:eastAsia="FangSong" w:cs="FangSong"/>
          <w:sz w:val="30"/>
          <w:szCs w:val="30"/>
        </w:rPr>
      </w:pPr>
      <w:r>
        <w:rPr>
          <w:rFonts w:ascii="FangSong" w:hAnsi="FangSong" w:eastAsia="FangSong" w:cs="FangSong"/>
          <w:sz w:val="30"/>
          <w:szCs w:val="30"/>
          <w:b/>
          <w:bCs/>
          <w:spacing w:val="22"/>
        </w:rPr>
        <w:t>第四百零五条设置人类精子库的医疗机构向其他医疗机构提供未经检验的精子的</w:t>
      </w:r>
    </w:p>
    <w:p>
      <w:pPr>
        <w:ind w:left="654"/>
        <w:spacing w:before="61"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right="33"/>
        <w:spacing w:before="99" w:line="222" w:lineRule="auto"/>
        <w:jc w:val="right"/>
        <w:rPr>
          <w:rFonts w:ascii="FangSong" w:hAnsi="FangSong" w:eastAsia="FangSong" w:cs="FangSong"/>
          <w:sz w:val="30"/>
          <w:szCs w:val="30"/>
        </w:rPr>
      </w:pPr>
      <w:r>
        <w:rPr>
          <w:rFonts w:ascii="FangSong" w:hAnsi="FangSong" w:eastAsia="FangSong" w:cs="FangSong"/>
          <w:sz w:val="30"/>
          <w:szCs w:val="30"/>
          <w:spacing w:val="26"/>
        </w:rPr>
        <w:t>《人类精子库管理办法》第二十四条第(二)项</w:t>
      </w:r>
      <w:r>
        <w:rPr>
          <w:rFonts w:ascii="FangSong" w:hAnsi="FangSong" w:eastAsia="FangSong" w:cs="FangSong"/>
          <w:sz w:val="30"/>
          <w:szCs w:val="30"/>
          <w:spacing w:val="26"/>
        </w:rPr>
        <w:t xml:space="preserve">   </w:t>
      </w:r>
      <w:r>
        <w:rPr>
          <w:rFonts w:ascii="FangSong" w:hAnsi="FangSong" w:eastAsia="FangSong" w:cs="FangSong"/>
          <w:sz w:val="30"/>
          <w:szCs w:val="30"/>
          <w:spacing w:val="26"/>
        </w:rPr>
        <w:t>设置人类精子库的医疗机构违反本办法，有</w:t>
      </w:r>
    </w:p>
    <w:p>
      <w:pPr>
        <w:spacing w:line="222" w:lineRule="auto"/>
        <w:sectPr>
          <w:footerReference w:type="default" r:id="rId432"/>
          <w:pgSz w:w="16830" w:h="11900"/>
          <w:pgMar w:top="1011" w:right="1456" w:bottom="1115" w:left="1434" w:header="0" w:footer="773" w:gutter="0"/>
        </w:sectPr>
        <w:rPr>
          <w:rFonts w:ascii="FangSong" w:hAnsi="FangSong" w:eastAsia="FangSong" w:cs="FangSong"/>
          <w:sz w:val="30"/>
          <w:szCs w:val="30"/>
        </w:rPr>
      </w:pPr>
    </w:p>
    <w:p>
      <w:pPr>
        <w:pStyle w:val="BodyText"/>
        <w:spacing w:line="256" w:lineRule="auto"/>
        <w:rPr/>
      </w:pPr>
      <w:r/>
    </w:p>
    <w:p>
      <w:pPr>
        <w:pStyle w:val="BodyText"/>
        <w:spacing w:line="256" w:lineRule="auto"/>
        <w:rPr/>
      </w:pPr>
      <w:r/>
    </w:p>
    <w:p>
      <w:pPr>
        <w:pStyle w:val="BodyText"/>
        <w:spacing w:line="257" w:lineRule="auto"/>
        <w:rPr/>
      </w:pPr>
      <w:r/>
    </w:p>
    <w:p>
      <w:pPr>
        <w:ind w:left="15"/>
        <w:spacing w:before="101" w:line="268" w:lineRule="auto"/>
        <w:rPr>
          <w:rFonts w:ascii="FangSong" w:hAnsi="FangSong" w:eastAsia="FangSong" w:cs="FangSong"/>
          <w:sz w:val="31"/>
          <w:szCs w:val="31"/>
        </w:rPr>
      </w:pPr>
      <w:bookmarkStart w:name="bookmark1079" w:id="453"/>
      <w:bookmarkEnd w:id="453"/>
      <w:r>
        <w:rPr>
          <w:rFonts w:ascii="FangSong" w:hAnsi="FangSong" w:eastAsia="FangSong" w:cs="FangSong"/>
          <w:sz w:val="31"/>
          <w:szCs w:val="31"/>
          <w:spacing w:val="10"/>
        </w:rPr>
        <w:t>下列行为之一的，省、自治区、直辖市人民政府卫生行政部门给予警告、1万元以下罚款，并给予有</w:t>
      </w:r>
      <w:r>
        <w:rPr>
          <w:rFonts w:ascii="FangSong" w:hAnsi="FangSong" w:eastAsia="FangSong" w:cs="FangSong"/>
          <w:sz w:val="31"/>
          <w:szCs w:val="31"/>
          <w:spacing w:val="5"/>
        </w:rPr>
        <w:t xml:space="preserve"> </w:t>
      </w:r>
      <w:r>
        <w:rPr>
          <w:rFonts w:ascii="FangSong" w:hAnsi="FangSong" w:eastAsia="FangSong" w:cs="FangSong"/>
          <w:sz w:val="31"/>
          <w:szCs w:val="31"/>
          <w:spacing w:val="6"/>
        </w:rPr>
        <w:t>关责任人员行政处分；构成犯罪的，依法追究刑事责任：</w:t>
      </w:r>
    </w:p>
    <w:p>
      <w:pPr>
        <w:ind w:left="785"/>
        <w:spacing w:line="220" w:lineRule="auto"/>
        <w:rPr>
          <w:rFonts w:ascii="FangSong" w:hAnsi="FangSong" w:eastAsia="FangSong" w:cs="FangSong"/>
          <w:sz w:val="31"/>
          <w:szCs w:val="31"/>
        </w:rPr>
      </w:pPr>
      <w:r>
        <w:rPr>
          <w:rFonts w:ascii="FangSong" w:hAnsi="FangSong" w:eastAsia="FangSong" w:cs="FangSong"/>
          <w:sz w:val="31"/>
          <w:szCs w:val="31"/>
          <w:spacing w:val="15"/>
        </w:rPr>
        <w:t>(二)向医疗机构提供未经检验的精子的；</w:t>
      </w:r>
    </w:p>
    <w:p>
      <w:pPr>
        <w:ind w:left="6419"/>
        <w:spacing w:before="21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54"/>
        <w:gridCol w:w="8194"/>
        <w:gridCol w:w="4122"/>
      </w:tblGrid>
      <w:tr>
        <w:trPr>
          <w:trHeight w:val="443" w:hRule="atLeast"/>
        </w:trPr>
        <w:tc>
          <w:tcPr>
            <w:tcW w:w="1554" w:type="dxa"/>
            <w:vAlign w:val="top"/>
          </w:tcPr>
          <w:p>
            <w:pPr>
              <w:pStyle w:val="TableText"/>
              <w:ind w:left="248"/>
              <w:spacing w:before="92" w:line="220" w:lineRule="auto"/>
              <w:rPr>
                <w:sz w:val="26"/>
                <w:szCs w:val="26"/>
              </w:rPr>
            </w:pPr>
            <w:r>
              <w:rPr>
                <w:sz w:val="26"/>
                <w:szCs w:val="26"/>
                <w:b/>
                <w:bCs/>
                <w:spacing w:val="-5"/>
              </w:rPr>
              <w:t>违法程度</w:t>
            </w:r>
          </w:p>
        </w:tc>
        <w:tc>
          <w:tcPr>
            <w:tcW w:w="8194" w:type="dxa"/>
            <w:vAlign w:val="top"/>
          </w:tcPr>
          <w:p>
            <w:pPr>
              <w:pStyle w:val="TableText"/>
              <w:ind w:left="3524"/>
              <w:spacing w:before="92" w:line="220" w:lineRule="auto"/>
              <w:rPr>
                <w:sz w:val="26"/>
                <w:szCs w:val="26"/>
              </w:rPr>
            </w:pPr>
            <w:r>
              <w:rPr>
                <w:sz w:val="26"/>
                <w:szCs w:val="26"/>
                <w:b/>
                <w:bCs/>
                <w:spacing w:val="-5"/>
              </w:rPr>
              <w:t>情节后果</w:t>
            </w:r>
          </w:p>
        </w:tc>
        <w:tc>
          <w:tcPr>
            <w:tcW w:w="4122" w:type="dxa"/>
            <w:vAlign w:val="top"/>
          </w:tcPr>
          <w:p>
            <w:pPr>
              <w:pStyle w:val="TableText"/>
              <w:ind w:left="1540"/>
              <w:spacing w:before="89" w:line="218" w:lineRule="auto"/>
              <w:rPr>
                <w:sz w:val="26"/>
                <w:szCs w:val="26"/>
              </w:rPr>
            </w:pPr>
            <w:r>
              <w:rPr>
                <w:sz w:val="26"/>
                <w:szCs w:val="26"/>
                <w:b/>
                <w:bCs/>
                <w:spacing w:val="-5"/>
              </w:rPr>
              <w:t>裁量幅度</w:t>
            </w:r>
          </w:p>
        </w:tc>
      </w:tr>
      <w:tr>
        <w:trPr>
          <w:trHeight w:val="457" w:hRule="atLeast"/>
        </w:trPr>
        <w:tc>
          <w:tcPr>
            <w:tcW w:w="1554" w:type="dxa"/>
            <w:vAlign w:val="top"/>
          </w:tcPr>
          <w:p>
            <w:pPr>
              <w:pStyle w:val="TableText"/>
              <w:ind w:left="508"/>
              <w:spacing w:before="99" w:line="219" w:lineRule="auto"/>
              <w:rPr>
                <w:sz w:val="26"/>
                <w:szCs w:val="26"/>
              </w:rPr>
            </w:pPr>
            <w:r>
              <w:rPr>
                <w:sz w:val="26"/>
                <w:szCs w:val="26"/>
                <w:b/>
                <w:bCs/>
                <w:spacing w:val="-6"/>
              </w:rPr>
              <w:t>较轻</w:t>
            </w:r>
          </w:p>
        </w:tc>
        <w:tc>
          <w:tcPr>
            <w:tcW w:w="8194" w:type="dxa"/>
            <w:vAlign w:val="top"/>
          </w:tcPr>
          <w:p>
            <w:pPr>
              <w:pStyle w:val="TableText"/>
              <w:ind w:left="91"/>
              <w:spacing w:before="101" w:line="219" w:lineRule="auto"/>
              <w:rPr>
                <w:sz w:val="26"/>
                <w:szCs w:val="26"/>
              </w:rPr>
            </w:pPr>
            <w:r>
              <w:rPr>
                <w:sz w:val="26"/>
                <w:szCs w:val="26"/>
                <w:spacing w:val="1"/>
              </w:rPr>
              <w:t>提供1份未经检验的精子</w:t>
            </w:r>
          </w:p>
        </w:tc>
        <w:tc>
          <w:tcPr>
            <w:tcW w:w="4122" w:type="dxa"/>
            <w:vAlign w:val="top"/>
          </w:tcPr>
          <w:p>
            <w:pPr>
              <w:pStyle w:val="TableText"/>
              <w:ind w:left="136"/>
              <w:spacing w:before="100" w:line="218" w:lineRule="auto"/>
              <w:rPr>
                <w:sz w:val="26"/>
                <w:szCs w:val="26"/>
              </w:rPr>
            </w:pPr>
            <w:r>
              <w:rPr>
                <w:sz w:val="26"/>
                <w:szCs w:val="26"/>
                <w:spacing w:val="1"/>
              </w:rPr>
              <w:t>警告，罚款5000元</w:t>
            </w:r>
          </w:p>
        </w:tc>
      </w:tr>
      <w:tr>
        <w:trPr>
          <w:trHeight w:val="408" w:hRule="atLeast"/>
        </w:trPr>
        <w:tc>
          <w:tcPr>
            <w:tcW w:w="1554" w:type="dxa"/>
            <w:vAlign w:val="top"/>
          </w:tcPr>
          <w:p>
            <w:pPr>
              <w:pStyle w:val="TableText"/>
              <w:ind w:left="508"/>
              <w:spacing w:before="83" w:line="221" w:lineRule="auto"/>
              <w:rPr>
                <w:sz w:val="26"/>
                <w:szCs w:val="26"/>
              </w:rPr>
            </w:pPr>
            <w:r>
              <w:rPr>
                <w:sz w:val="26"/>
                <w:szCs w:val="26"/>
                <w:b/>
                <w:bCs/>
                <w:spacing w:val="-10"/>
              </w:rPr>
              <w:t>一般</w:t>
            </w:r>
          </w:p>
        </w:tc>
        <w:tc>
          <w:tcPr>
            <w:tcW w:w="8194" w:type="dxa"/>
            <w:vAlign w:val="top"/>
          </w:tcPr>
          <w:p>
            <w:pPr>
              <w:pStyle w:val="TableText"/>
              <w:ind w:left="91"/>
              <w:spacing w:before="84" w:line="219" w:lineRule="auto"/>
              <w:rPr>
                <w:sz w:val="26"/>
                <w:szCs w:val="26"/>
              </w:rPr>
            </w:pPr>
            <w:r>
              <w:rPr>
                <w:sz w:val="26"/>
                <w:szCs w:val="26"/>
                <w:spacing w:val="1"/>
              </w:rPr>
              <w:t>提供2份未经检验的精子</w:t>
            </w:r>
          </w:p>
        </w:tc>
        <w:tc>
          <w:tcPr>
            <w:tcW w:w="4122" w:type="dxa"/>
            <w:vAlign w:val="top"/>
          </w:tcPr>
          <w:p>
            <w:pPr>
              <w:pStyle w:val="TableText"/>
              <w:ind w:left="107"/>
              <w:spacing w:before="83" w:line="218" w:lineRule="auto"/>
              <w:rPr>
                <w:sz w:val="26"/>
                <w:szCs w:val="26"/>
              </w:rPr>
            </w:pPr>
            <w:r>
              <w:rPr>
                <w:sz w:val="26"/>
                <w:szCs w:val="26"/>
              </w:rPr>
              <w:t>警告，罚款5000元以上7000元以下</w:t>
            </w:r>
          </w:p>
        </w:tc>
      </w:tr>
      <w:tr>
        <w:trPr>
          <w:trHeight w:val="602" w:hRule="atLeast"/>
        </w:trPr>
        <w:tc>
          <w:tcPr>
            <w:tcW w:w="1554" w:type="dxa"/>
            <w:vAlign w:val="top"/>
          </w:tcPr>
          <w:p>
            <w:pPr>
              <w:pStyle w:val="TableText"/>
              <w:ind w:left="508"/>
              <w:spacing w:before="177" w:line="221" w:lineRule="auto"/>
              <w:rPr>
                <w:sz w:val="26"/>
                <w:szCs w:val="26"/>
              </w:rPr>
            </w:pPr>
            <w:r>
              <w:rPr>
                <w:sz w:val="26"/>
                <w:szCs w:val="26"/>
                <w:b/>
                <w:bCs/>
                <w:spacing w:val="-6"/>
              </w:rPr>
              <w:t>较重</w:t>
            </w:r>
          </w:p>
        </w:tc>
        <w:tc>
          <w:tcPr>
            <w:tcW w:w="8194" w:type="dxa"/>
            <w:vAlign w:val="top"/>
          </w:tcPr>
          <w:p>
            <w:pPr>
              <w:pStyle w:val="TableText"/>
              <w:ind w:left="91"/>
              <w:spacing w:before="176" w:line="219" w:lineRule="auto"/>
              <w:rPr>
                <w:sz w:val="26"/>
                <w:szCs w:val="26"/>
              </w:rPr>
            </w:pPr>
            <w:r>
              <w:rPr>
                <w:sz w:val="26"/>
                <w:szCs w:val="26"/>
                <w:spacing w:val="1"/>
              </w:rPr>
              <w:t>提供3份及以上未经检验的精子，或造成他</w:t>
            </w:r>
            <w:r>
              <w:rPr>
                <w:sz w:val="26"/>
                <w:szCs w:val="26"/>
              </w:rPr>
              <w:t>人健康损害等后果的</w:t>
            </w:r>
          </w:p>
        </w:tc>
        <w:tc>
          <w:tcPr>
            <w:tcW w:w="4122" w:type="dxa"/>
            <w:vAlign w:val="top"/>
          </w:tcPr>
          <w:p>
            <w:pPr>
              <w:pStyle w:val="TableText"/>
              <w:ind w:left="37"/>
              <w:spacing w:before="175" w:line="218" w:lineRule="auto"/>
              <w:rPr>
                <w:sz w:val="26"/>
                <w:szCs w:val="26"/>
              </w:rPr>
            </w:pPr>
            <w:r>
              <w:rPr>
                <w:sz w:val="26"/>
                <w:szCs w:val="26"/>
              </w:rPr>
              <w:t>警告，罚款7000元以上10000元以下</w:t>
            </w:r>
          </w:p>
        </w:tc>
      </w:tr>
    </w:tbl>
    <w:p>
      <w:pPr>
        <w:pStyle w:val="BodyText"/>
        <w:spacing w:line="246" w:lineRule="auto"/>
        <w:rPr/>
      </w:pPr>
      <w:r/>
    </w:p>
    <w:p>
      <w:pPr>
        <w:pStyle w:val="BodyText"/>
        <w:spacing w:line="247" w:lineRule="auto"/>
        <w:rPr/>
      </w:pPr>
      <w:r/>
    </w:p>
    <w:p>
      <w:pPr>
        <w:ind w:left="19" w:right="325" w:firstLine="639"/>
        <w:spacing w:before="101" w:line="264" w:lineRule="auto"/>
        <w:rPr>
          <w:rFonts w:ascii="FangSong" w:hAnsi="FangSong" w:eastAsia="FangSong" w:cs="FangSong"/>
          <w:sz w:val="31"/>
          <w:szCs w:val="31"/>
        </w:rPr>
      </w:pPr>
      <w:r>
        <w:rPr>
          <w:rFonts w:ascii="FangSong" w:hAnsi="FangSong" w:eastAsia="FangSong" w:cs="FangSong"/>
          <w:sz w:val="31"/>
          <w:szCs w:val="31"/>
          <w:b/>
          <w:bCs/>
          <w:spacing w:val="11"/>
        </w:rPr>
        <w:t>第四百零六条设置人类精子库的医疗机构向不具有人类辅助生殖技术</w:t>
      </w:r>
      <w:r>
        <w:rPr>
          <w:rFonts w:ascii="FangSong" w:hAnsi="FangSong" w:eastAsia="FangSong" w:cs="FangSong"/>
          <w:sz w:val="31"/>
          <w:szCs w:val="31"/>
          <w:b/>
          <w:bCs/>
          <w:spacing w:val="10"/>
        </w:rPr>
        <w:t>批准证书的机构提供精</w:t>
      </w:r>
      <w:r>
        <w:rPr>
          <w:rFonts w:ascii="FangSong" w:hAnsi="FangSong" w:eastAsia="FangSong" w:cs="FangSong"/>
          <w:sz w:val="31"/>
          <w:szCs w:val="31"/>
        </w:rPr>
        <w:t xml:space="preserve"> </w:t>
      </w:r>
      <w:r>
        <w:rPr>
          <w:rFonts w:ascii="FangSong" w:hAnsi="FangSong" w:eastAsia="FangSong" w:cs="FangSong"/>
          <w:sz w:val="31"/>
          <w:szCs w:val="31"/>
          <w:b/>
          <w:bCs/>
          <w:spacing w:val="-6"/>
        </w:rPr>
        <w:t>子的</w:t>
      </w:r>
    </w:p>
    <w:p>
      <w:pPr>
        <w:ind w:left="654"/>
        <w:spacing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15" w:firstLine="614"/>
        <w:spacing w:before="88" w:line="261" w:lineRule="auto"/>
        <w:jc w:val="both"/>
        <w:rPr>
          <w:rFonts w:ascii="FangSong" w:hAnsi="FangSong" w:eastAsia="FangSong" w:cs="FangSong"/>
          <w:sz w:val="31"/>
          <w:szCs w:val="31"/>
        </w:rPr>
      </w:pPr>
      <w:r>
        <w:rPr>
          <w:rFonts w:ascii="FangSong" w:hAnsi="FangSong" w:eastAsia="FangSong" w:cs="FangSong"/>
          <w:sz w:val="31"/>
          <w:szCs w:val="31"/>
          <w:spacing w:val="17"/>
        </w:rPr>
        <w:t>《人类精子库管理办法》第二十四条第(三)项</w:t>
      </w:r>
      <w:r>
        <w:rPr>
          <w:rFonts w:ascii="FangSong" w:hAnsi="FangSong" w:eastAsia="FangSong" w:cs="FangSong"/>
          <w:sz w:val="31"/>
          <w:szCs w:val="31"/>
          <w:spacing w:val="17"/>
        </w:rPr>
        <w:t xml:space="preserve">   </w:t>
      </w:r>
      <w:r>
        <w:rPr>
          <w:rFonts w:ascii="FangSong" w:hAnsi="FangSong" w:eastAsia="FangSong" w:cs="FangSong"/>
          <w:sz w:val="31"/>
          <w:szCs w:val="31"/>
          <w:spacing w:val="17"/>
        </w:rPr>
        <w:t>设置人类精子库的</w:t>
      </w:r>
      <w:r>
        <w:rPr>
          <w:rFonts w:ascii="FangSong" w:hAnsi="FangSong" w:eastAsia="FangSong" w:cs="FangSong"/>
          <w:sz w:val="31"/>
          <w:szCs w:val="31"/>
          <w:spacing w:val="16"/>
        </w:rPr>
        <w:t>医疗机构违反本办法，有</w:t>
      </w:r>
      <w:r>
        <w:rPr>
          <w:rFonts w:ascii="FangSong" w:hAnsi="FangSong" w:eastAsia="FangSong" w:cs="FangSong"/>
          <w:sz w:val="31"/>
          <w:szCs w:val="31"/>
        </w:rPr>
        <w:t xml:space="preserve"> </w:t>
      </w:r>
      <w:r>
        <w:rPr>
          <w:rFonts w:ascii="FangSong" w:hAnsi="FangSong" w:eastAsia="FangSong" w:cs="FangSong"/>
          <w:sz w:val="31"/>
          <w:szCs w:val="31"/>
          <w:spacing w:val="10"/>
        </w:rPr>
        <w:t>下列行为之一的，省、自治区、直辖市人民政府卫生行政部门给予警告、1万元以下罚款，并给予有</w:t>
      </w:r>
      <w:r>
        <w:rPr>
          <w:rFonts w:ascii="FangSong" w:hAnsi="FangSong" w:eastAsia="FangSong" w:cs="FangSong"/>
          <w:sz w:val="31"/>
          <w:szCs w:val="31"/>
          <w:spacing w:val="5"/>
        </w:rPr>
        <w:t xml:space="preserve"> </w:t>
      </w:r>
      <w:r>
        <w:rPr>
          <w:rFonts w:ascii="FangSong" w:hAnsi="FangSong" w:eastAsia="FangSong" w:cs="FangSong"/>
          <w:sz w:val="31"/>
          <w:szCs w:val="31"/>
          <w:spacing w:val="6"/>
        </w:rPr>
        <w:t>关责任人员行政处分；构成犯罪的，依法追</w:t>
      </w:r>
      <w:r>
        <w:rPr>
          <w:rFonts w:ascii="FangSong" w:hAnsi="FangSong" w:eastAsia="FangSong" w:cs="FangSong"/>
          <w:sz w:val="31"/>
          <w:szCs w:val="31"/>
          <w:spacing w:val="5"/>
        </w:rPr>
        <w:t>究刑事责任：</w:t>
      </w:r>
    </w:p>
    <w:p>
      <w:pPr>
        <w:ind w:left="785"/>
        <w:spacing w:before="30" w:line="221" w:lineRule="auto"/>
        <w:rPr>
          <w:rFonts w:ascii="FangSong" w:hAnsi="FangSong" w:eastAsia="FangSong" w:cs="FangSong"/>
          <w:sz w:val="31"/>
          <w:szCs w:val="31"/>
        </w:rPr>
      </w:pPr>
      <w:r>
        <w:rPr>
          <w:rFonts w:ascii="FangSong" w:hAnsi="FangSong" w:eastAsia="FangSong" w:cs="FangSong"/>
          <w:sz w:val="31"/>
          <w:szCs w:val="31"/>
          <w:spacing w:val="13"/>
        </w:rPr>
        <w:t>(三)向不具有人类辅助生殖技术批准证书的机构提供精子的；</w:t>
      </w:r>
    </w:p>
    <w:p>
      <w:pPr>
        <w:spacing w:line="221" w:lineRule="auto"/>
        <w:sectPr>
          <w:footerReference w:type="default" r:id="rId433"/>
          <w:pgSz w:w="16830" w:h="11900"/>
          <w:pgMar w:top="1011" w:right="1448" w:bottom="1108" w:left="1434" w:header="0" w:footer="775" w:gutter="0"/>
        </w:sectPr>
        <w:rPr>
          <w:rFonts w:ascii="FangSong" w:hAnsi="FangSong" w:eastAsia="FangSong" w:cs="FangSong"/>
          <w:sz w:val="31"/>
          <w:szCs w:val="31"/>
        </w:rPr>
      </w:pPr>
    </w:p>
    <w:p>
      <w:pPr>
        <w:pStyle w:val="BodyText"/>
        <w:spacing w:line="262" w:lineRule="auto"/>
        <w:rPr/>
      </w:pPr>
      <w:r/>
    </w:p>
    <w:p>
      <w:pPr>
        <w:pStyle w:val="BodyText"/>
        <w:spacing w:line="263" w:lineRule="auto"/>
        <w:rPr/>
      </w:pPr>
      <w:r/>
    </w:p>
    <w:p>
      <w:pPr>
        <w:pStyle w:val="BodyText"/>
        <w:spacing w:line="263" w:lineRule="auto"/>
        <w:rPr/>
      </w:pPr>
      <w:r/>
    </w:p>
    <w:p>
      <w:pPr>
        <w:ind w:left="6429"/>
        <w:spacing w:before="94" w:line="214" w:lineRule="auto"/>
        <w:rPr>
          <w:rFonts w:ascii="SimSun" w:hAnsi="SimSun" w:eastAsia="SimSun" w:cs="SimSun"/>
          <w:sz w:val="29"/>
          <w:szCs w:val="29"/>
        </w:rPr>
      </w:pPr>
      <w:bookmarkStart w:name="bookmark1080" w:id="454"/>
      <w:bookmarkEnd w:id="454"/>
      <w:r>
        <w:rPr>
          <w:rFonts w:ascii="SimSun" w:hAnsi="SimSun" w:eastAsia="SimSun" w:cs="SimSun"/>
          <w:sz w:val="29"/>
          <w:szCs w:val="29"/>
          <w:b/>
          <w:bCs/>
          <w:spacing w:val="-6"/>
        </w:rPr>
        <w:t>裁量标准</w:t>
      </w:r>
    </w:p>
    <w:tbl>
      <w:tblPr>
        <w:tblStyle w:val="TableNormal"/>
        <w:tblW w:w="139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23"/>
        <w:gridCol w:w="8044"/>
        <w:gridCol w:w="4252"/>
      </w:tblGrid>
      <w:tr>
        <w:trPr>
          <w:trHeight w:val="493" w:hRule="atLeast"/>
        </w:trPr>
        <w:tc>
          <w:tcPr>
            <w:tcW w:w="1623" w:type="dxa"/>
            <w:vAlign w:val="top"/>
          </w:tcPr>
          <w:p>
            <w:pPr>
              <w:pStyle w:val="TableText"/>
              <w:ind w:left="308"/>
              <w:spacing w:before="122" w:line="220" w:lineRule="auto"/>
              <w:rPr>
                <w:sz w:val="25"/>
                <w:szCs w:val="25"/>
              </w:rPr>
            </w:pPr>
            <w:r>
              <w:rPr>
                <w:sz w:val="25"/>
                <w:szCs w:val="25"/>
                <w:b/>
                <w:bCs/>
                <w:spacing w:val="-5"/>
              </w:rPr>
              <w:t>违法程度</w:t>
            </w:r>
          </w:p>
        </w:tc>
        <w:tc>
          <w:tcPr>
            <w:tcW w:w="8044" w:type="dxa"/>
            <w:vAlign w:val="top"/>
          </w:tcPr>
          <w:p>
            <w:pPr>
              <w:pStyle w:val="TableText"/>
              <w:ind w:left="3445"/>
              <w:spacing w:before="122" w:line="220" w:lineRule="auto"/>
              <w:rPr>
                <w:sz w:val="25"/>
                <w:szCs w:val="25"/>
              </w:rPr>
            </w:pPr>
            <w:r>
              <w:rPr>
                <w:sz w:val="25"/>
                <w:szCs w:val="25"/>
                <w:b/>
                <w:bCs/>
                <w:spacing w:val="-5"/>
              </w:rPr>
              <w:t>情节后果</w:t>
            </w:r>
          </w:p>
        </w:tc>
        <w:tc>
          <w:tcPr>
            <w:tcW w:w="4252" w:type="dxa"/>
            <w:vAlign w:val="top"/>
          </w:tcPr>
          <w:p>
            <w:pPr>
              <w:pStyle w:val="TableText"/>
              <w:ind w:left="1571"/>
              <w:spacing w:before="119" w:line="218" w:lineRule="auto"/>
              <w:rPr>
                <w:sz w:val="25"/>
                <w:szCs w:val="25"/>
              </w:rPr>
            </w:pPr>
            <w:r>
              <w:rPr>
                <w:sz w:val="25"/>
                <w:szCs w:val="25"/>
                <w:b/>
                <w:bCs/>
                <w:spacing w:val="-5"/>
              </w:rPr>
              <w:t>裁量幅度</w:t>
            </w:r>
          </w:p>
        </w:tc>
      </w:tr>
      <w:tr>
        <w:trPr>
          <w:trHeight w:val="687" w:hRule="atLeast"/>
        </w:trPr>
        <w:tc>
          <w:tcPr>
            <w:tcW w:w="1623" w:type="dxa"/>
            <w:vAlign w:val="top"/>
          </w:tcPr>
          <w:p>
            <w:pPr>
              <w:pStyle w:val="TableText"/>
              <w:ind w:left="558"/>
              <w:spacing w:before="218" w:line="219" w:lineRule="auto"/>
              <w:rPr>
                <w:sz w:val="25"/>
                <w:szCs w:val="25"/>
              </w:rPr>
            </w:pPr>
            <w:r>
              <w:rPr>
                <w:sz w:val="25"/>
                <w:szCs w:val="25"/>
                <w:b/>
                <w:bCs/>
                <w:spacing w:val="-6"/>
              </w:rPr>
              <w:t>较轻</w:t>
            </w:r>
          </w:p>
        </w:tc>
        <w:tc>
          <w:tcPr>
            <w:tcW w:w="8044" w:type="dxa"/>
            <w:vAlign w:val="top"/>
          </w:tcPr>
          <w:p>
            <w:pPr>
              <w:pStyle w:val="TableText"/>
              <w:ind w:left="121"/>
              <w:spacing w:before="220" w:line="219" w:lineRule="auto"/>
              <w:rPr>
                <w:sz w:val="25"/>
                <w:szCs w:val="25"/>
              </w:rPr>
            </w:pPr>
            <w:r>
              <w:rPr>
                <w:sz w:val="25"/>
                <w:szCs w:val="25"/>
              </w:rPr>
              <w:t>向不具有人类辅助生殖技术批准证书的机构提供1份精子</w:t>
            </w:r>
          </w:p>
        </w:tc>
        <w:tc>
          <w:tcPr>
            <w:tcW w:w="4252" w:type="dxa"/>
            <w:vAlign w:val="top"/>
          </w:tcPr>
          <w:p>
            <w:pPr>
              <w:pStyle w:val="TableText"/>
              <w:ind w:left="118"/>
              <w:spacing w:before="220" w:line="218" w:lineRule="auto"/>
              <w:rPr>
                <w:sz w:val="25"/>
                <w:szCs w:val="25"/>
              </w:rPr>
            </w:pPr>
            <w:r>
              <w:rPr>
                <w:sz w:val="25"/>
                <w:szCs w:val="25"/>
                <w:spacing w:val="1"/>
              </w:rPr>
              <w:t>警告，罚款5000元</w:t>
            </w:r>
          </w:p>
        </w:tc>
      </w:tr>
      <w:tr>
        <w:trPr>
          <w:trHeight w:val="557" w:hRule="atLeast"/>
        </w:trPr>
        <w:tc>
          <w:tcPr>
            <w:tcW w:w="1623" w:type="dxa"/>
            <w:vAlign w:val="top"/>
          </w:tcPr>
          <w:p>
            <w:pPr>
              <w:pStyle w:val="TableText"/>
              <w:ind w:left="558"/>
              <w:spacing w:before="163" w:line="221" w:lineRule="auto"/>
              <w:rPr>
                <w:sz w:val="25"/>
                <w:szCs w:val="25"/>
              </w:rPr>
            </w:pPr>
            <w:r>
              <w:rPr>
                <w:sz w:val="25"/>
                <w:szCs w:val="25"/>
                <w:b/>
                <w:bCs/>
                <w:spacing w:val="-10"/>
              </w:rPr>
              <w:t>一般</w:t>
            </w:r>
          </w:p>
        </w:tc>
        <w:tc>
          <w:tcPr>
            <w:tcW w:w="8044" w:type="dxa"/>
            <w:vAlign w:val="top"/>
          </w:tcPr>
          <w:p>
            <w:pPr>
              <w:pStyle w:val="TableText"/>
              <w:ind w:left="121"/>
              <w:spacing w:before="163" w:line="219" w:lineRule="auto"/>
              <w:rPr>
                <w:sz w:val="25"/>
                <w:szCs w:val="25"/>
              </w:rPr>
            </w:pPr>
            <w:r>
              <w:rPr>
                <w:sz w:val="25"/>
                <w:szCs w:val="25"/>
              </w:rPr>
              <w:t>向不具有人类辅助生殖技术批准证书的机构提供2份精子</w:t>
            </w:r>
          </w:p>
        </w:tc>
        <w:tc>
          <w:tcPr>
            <w:tcW w:w="4252" w:type="dxa"/>
            <w:vAlign w:val="top"/>
          </w:tcPr>
          <w:p>
            <w:pPr>
              <w:pStyle w:val="TableText"/>
              <w:ind w:left="118"/>
              <w:spacing w:before="163" w:line="218" w:lineRule="auto"/>
              <w:rPr>
                <w:sz w:val="25"/>
                <w:szCs w:val="25"/>
              </w:rPr>
            </w:pPr>
            <w:r>
              <w:rPr>
                <w:sz w:val="25"/>
                <w:szCs w:val="25"/>
              </w:rPr>
              <w:t>警告，罚款5000元以上7000元以下</w:t>
            </w:r>
          </w:p>
        </w:tc>
      </w:tr>
      <w:tr>
        <w:trPr>
          <w:trHeight w:val="682" w:hRule="atLeast"/>
        </w:trPr>
        <w:tc>
          <w:tcPr>
            <w:tcW w:w="1623" w:type="dxa"/>
            <w:vAlign w:val="top"/>
          </w:tcPr>
          <w:p>
            <w:pPr>
              <w:pStyle w:val="TableText"/>
              <w:ind w:left="558"/>
              <w:spacing w:before="228" w:line="221" w:lineRule="auto"/>
              <w:rPr>
                <w:sz w:val="25"/>
                <w:szCs w:val="25"/>
              </w:rPr>
            </w:pPr>
            <w:r>
              <w:rPr>
                <w:sz w:val="25"/>
                <w:szCs w:val="25"/>
                <w:b/>
                <w:bCs/>
                <w:spacing w:val="-6"/>
              </w:rPr>
              <w:t>较重</w:t>
            </w:r>
          </w:p>
        </w:tc>
        <w:tc>
          <w:tcPr>
            <w:tcW w:w="8044" w:type="dxa"/>
            <w:vAlign w:val="top"/>
          </w:tcPr>
          <w:p>
            <w:pPr>
              <w:pStyle w:val="TableText"/>
              <w:ind w:left="121"/>
              <w:spacing w:before="68" w:line="223" w:lineRule="auto"/>
              <w:rPr>
                <w:sz w:val="25"/>
                <w:szCs w:val="25"/>
              </w:rPr>
            </w:pPr>
            <w:r>
              <w:rPr>
                <w:sz w:val="25"/>
                <w:szCs w:val="25"/>
                <w:spacing w:val="-7"/>
              </w:rPr>
              <w:t>向不具有人类辅助生殖技术批准证书的机构提供3份及以上精子，或造成他</w:t>
            </w:r>
            <w:r>
              <w:rPr>
                <w:sz w:val="25"/>
                <w:szCs w:val="25"/>
                <w:spacing w:val="17"/>
              </w:rPr>
              <w:t xml:space="preserve"> </w:t>
            </w:r>
            <w:r>
              <w:rPr>
                <w:sz w:val="25"/>
                <w:szCs w:val="25"/>
                <w:spacing w:val="1"/>
              </w:rPr>
              <w:t>人健康损害等后果的</w:t>
            </w:r>
          </w:p>
        </w:tc>
        <w:tc>
          <w:tcPr>
            <w:tcW w:w="4252" w:type="dxa"/>
            <w:vAlign w:val="top"/>
          </w:tcPr>
          <w:p>
            <w:pPr>
              <w:pStyle w:val="TableText"/>
              <w:ind w:left="118"/>
              <w:spacing w:before="226" w:line="218" w:lineRule="auto"/>
              <w:rPr>
                <w:sz w:val="25"/>
                <w:szCs w:val="25"/>
              </w:rPr>
            </w:pPr>
            <w:r>
              <w:rPr>
                <w:sz w:val="25"/>
                <w:szCs w:val="25"/>
              </w:rPr>
              <w:t>警告，罚款7000元以上10000元以下</w:t>
            </w:r>
          </w:p>
        </w:tc>
      </w:tr>
    </w:tbl>
    <w:p>
      <w:pPr>
        <w:pStyle w:val="BodyText"/>
        <w:spacing w:line="473" w:lineRule="auto"/>
        <w:rPr/>
      </w:pPr>
      <w:r/>
    </w:p>
    <w:p>
      <w:pPr>
        <w:ind w:left="669"/>
        <w:spacing w:before="101" w:line="220" w:lineRule="auto"/>
        <w:rPr>
          <w:rFonts w:ascii="FangSong" w:hAnsi="FangSong" w:eastAsia="FangSong" w:cs="FangSong"/>
          <w:sz w:val="31"/>
          <w:szCs w:val="31"/>
        </w:rPr>
      </w:pPr>
      <w:r>
        <w:rPr>
          <w:rFonts w:ascii="FangSong" w:hAnsi="FangSong" w:eastAsia="FangSong" w:cs="FangSong"/>
          <w:sz w:val="31"/>
          <w:szCs w:val="31"/>
          <w:b/>
          <w:bCs/>
          <w:spacing w:val="16"/>
        </w:rPr>
        <w:t>第四百零七条供精者档案不健全的</w:t>
      </w:r>
    </w:p>
    <w:p>
      <w:pPr>
        <w:ind w:left="664"/>
        <w:spacing w:before="107"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25" w:firstLine="624"/>
        <w:spacing w:before="78" w:line="261" w:lineRule="auto"/>
        <w:jc w:val="both"/>
        <w:rPr>
          <w:rFonts w:ascii="FangSong" w:hAnsi="FangSong" w:eastAsia="FangSong" w:cs="FangSong"/>
          <w:sz w:val="31"/>
          <w:szCs w:val="31"/>
        </w:rPr>
      </w:pPr>
      <w:r>
        <w:rPr>
          <w:rFonts w:ascii="FangSong" w:hAnsi="FangSong" w:eastAsia="FangSong" w:cs="FangSong"/>
          <w:sz w:val="31"/>
          <w:szCs w:val="31"/>
          <w:spacing w:val="17"/>
        </w:rPr>
        <w:t>《人类精子库管理办法》第二十四条第(四)项</w:t>
      </w:r>
      <w:r>
        <w:rPr>
          <w:rFonts w:ascii="FangSong" w:hAnsi="FangSong" w:eastAsia="FangSong" w:cs="FangSong"/>
          <w:sz w:val="31"/>
          <w:szCs w:val="31"/>
          <w:spacing w:val="17"/>
        </w:rPr>
        <w:t xml:space="preserve">   </w:t>
      </w:r>
      <w:r>
        <w:rPr>
          <w:rFonts w:ascii="FangSong" w:hAnsi="FangSong" w:eastAsia="FangSong" w:cs="FangSong"/>
          <w:sz w:val="31"/>
          <w:szCs w:val="31"/>
          <w:spacing w:val="17"/>
        </w:rPr>
        <w:t>设置人类精子库的</w:t>
      </w:r>
      <w:r>
        <w:rPr>
          <w:rFonts w:ascii="FangSong" w:hAnsi="FangSong" w:eastAsia="FangSong" w:cs="FangSong"/>
          <w:sz w:val="31"/>
          <w:szCs w:val="31"/>
          <w:spacing w:val="16"/>
        </w:rPr>
        <w:t>医疗机构违反本办法，有</w:t>
      </w:r>
      <w:r>
        <w:rPr>
          <w:rFonts w:ascii="FangSong" w:hAnsi="FangSong" w:eastAsia="FangSong" w:cs="FangSong"/>
          <w:sz w:val="31"/>
          <w:szCs w:val="31"/>
        </w:rPr>
        <w:t xml:space="preserve"> </w:t>
      </w:r>
      <w:r>
        <w:rPr>
          <w:rFonts w:ascii="FangSong" w:hAnsi="FangSong" w:eastAsia="FangSong" w:cs="FangSong"/>
          <w:sz w:val="31"/>
          <w:szCs w:val="31"/>
          <w:spacing w:val="11"/>
        </w:rPr>
        <w:t>下列行为之一的，省、自治区、直辖市人民政府卫生行政</w:t>
      </w:r>
      <w:r>
        <w:rPr>
          <w:rFonts w:ascii="FangSong" w:hAnsi="FangSong" w:eastAsia="FangSong" w:cs="FangSong"/>
          <w:sz w:val="31"/>
          <w:szCs w:val="31"/>
          <w:spacing w:val="10"/>
        </w:rPr>
        <w:t>部门给予警告、1万元以下罚款，并给予有</w:t>
      </w:r>
      <w:r>
        <w:rPr>
          <w:rFonts w:ascii="FangSong" w:hAnsi="FangSong" w:eastAsia="FangSong" w:cs="FangSong"/>
          <w:sz w:val="31"/>
          <w:szCs w:val="31"/>
        </w:rPr>
        <w:t xml:space="preserve"> </w:t>
      </w:r>
      <w:r>
        <w:rPr>
          <w:rFonts w:ascii="FangSong" w:hAnsi="FangSong" w:eastAsia="FangSong" w:cs="FangSong"/>
          <w:sz w:val="31"/>
          <w:szCs w:val="31"/>
          <w:spacing w:val="6"/>
        </w:rPr>
        <w:t>关责任人员行政处分；构成犯罪的，依法追究刑事责任：</w:t>
      </w:r>
    </w:p>
    <w:p>
      <w:pPr>
        <w:ind w:left="804"/>
        <w:spacing w:before="13" w:line="222" w:lineRule="auto"/>
        <w:rPr>
          <w:rFonts w:ascii="FangSong" w:hAnsi="FangSong" w:eastAsia="FangSong" w:cs="FangSong"/>
          <w:sz w:val="31"/>
          <w:szCs w:val="31"/>
        </w:rPr>
      </w:pPr>
      <w:r>
        <w:rPr>
          <w:rFonts w:ascii="FangSong" w:hAnsi="FangSong" w:eastAsia="FangSong" w:cs="FangSong"/>
          <w:sz w:val="31"/>
          <w:szCs w:val="31"/>
          <w:spacing w:val="17"/>
        </w:rPr>
        <w:t>(四)供精者档案不健全的；</w:t>
      </w:r>
    </w:p>
    <w:p>
      <w:pPr>
        <w:ind w:left="6429"/>
        <w:spacing w:before="215"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7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04"/>
        <w:gridCol w:w="8094"/>
        <w:gridCol w:w="4172"/>
      </w:tblGrid>
      <w:tr>
        <w:trPr>
          <w:trHeight w:val="580" w:hRule="atLeast"/>
        </w:trPr>
        <w:tc>
          <w:tcPr>
            <w:tcW w:w="1604" w:type="dxa"/>
            <w:vAlign w:val="top"/>
          </w:tcPr>
          <w:p>
            <w:pPr>
              <w:pStyle w:val="TableText"/>
              <w:ind w:left="278"/>
              <w:spacing w:before="162" w:line="220" w:lineRule="auto"/>
              <w:rPr>
                <w:sz w:val="26"/>
                <w:szCs w:val="26"/>
              </w:rPr>
            </w:pPr>
            <w:r>
              <w:rPr>
                <w:sz w:val="26"/>
                <w:szCs w:val="26"/>
                <w:b/>
                <w:bCs/>
                <w:spacing w:val="-5"/>
              </w:rPr>
              <w:t>违法程度</w:t>
            </w:r>
          </w:p>
        </w:tc>
        <w:tc>
          <w:tcPr>
            <w:tcW w:w="8094" w:type="dxa"/>
            <w:vAlign w:val="top"/>
          </w:tcPr>
          <w:p>
            <w:pPr>
              <w:pStyle w:val="TableText"/>
              <w:ind w:left="3484"/>
              <w:spacing w:before="162" w:line="220" w:lineRule="auto"/>
              <w:rPr>
                <w:sz w:val="26"/>
                <w:szCs w:val="26"/>
              </w:rPr>
            </w:pPr>
            <w:r>
              <w:rPr>
                <w:sz w:val="26"/>
                <w:szCs w:val="26"/>
                <w:b/>
                <w:bCs/>
                <w:spacing w:val="-5"/>
              </w:rPr>
              <w:t>情节后果</w:t>
            </w:r>
          </w:p>
        </w:tc>
        <w:tc>
          <w:tcPr>
            <w:tcW w:w="4172" w:type="dxa"/>
            <w:vAlign w:val="top"/>
          </w:tcPr>
          <w:p>
            <w:pPr>
              <w:pStyle w:val="TableText"/>
              <w:ind w:left="1520"/>
              <w:spacing w:before="159" w:line="218" w:lineRule="auto"/>
              <w:rPr>
                <w:sz w:val="26"/>
                <w:szCs w:val="26"/>
              </w:rPr>
            </w:pPr>
            <w:r>
              <w:rPr>
                <w:sz w:val="26"/>
                <w:szCs w:val="26"/>
                <w:b/>
                <w:bCs/>
                <w:spacing w:val="-5"/>
              </w:rPr>
              <w:t>裁量幅度</w:t>
            </w:r>
          </w:p>
        </w:tc>
      </w:tr>
      <w:tr>
        <w:trPr>
          <w:trHeight w:val="680" w:hRule="atLeast"/>
        </w:trPr>
        <w:tc>
          <w:tcPr>
            <w:tcW w:w="1604" w:type="dxa"/>
            <w:vAlign w:val="top"/>
          </w:tcPr>
          <w:p>
            <w:pPr>
              <w:pStyle w:val="TableText"/>
              <w:ind w:left="538"/>
              <w:spacing w:before="212" w:line="219" w:lineRule="auto"/>
              <w:rPr>
                <w:sz w:val="26"/>
                <w:szCs w:val="26"/>
              </w:rPr>
            </w:pPr>
            <w:r>
              <w:rPr>
                <w:sz w:val="26"/>
                <w:szCs w:val="26"/>
                <w:b/>
                <w:bCs/>
                <w:spacing w:val="-6"/>
              </w:rPr>
              <w:t>较轻</w:t>
            </w:r>
          </w:p>
        </w:tc>
        <w:tc>
          <w:tcPr>
            <w:tcW w:w="8094" w:type="dxa"/>
            <w:vAlign w:val="top"/>
          </w:tcPr>
          <w:p>
            <w:pPr>
              <w:pStyle w:val="TableText"/>
              <w:ind w:left="124"/>
              <w:spacing w:before="210" w:line="219" w:lineRule="auto"/>
              <w:rPr>
                <w:sz w:val="26"/>
                <w:szCs w:val="26"/>
              </w:rPr>
            </w:pPr>
            <w:r>
              <w:rPr>
                <w:sz w:val="26"/>
                <w:szCs w:val="26"/>
                <w:b/>
                <w:bCs/>
                <w:spacing w:val="-2"/>
              </w:rPr>
              <w:t>建有供精者档案但档案不全、不规范的</w:t>
            </w:r>
          </w:p>
        </w:tc>
        <w:tc>
          <w:tcPr>
            <w:tcW w:w="4172" w:type="dxa"/>
            <w:vAlign w:val="top"/>
          </w:tcPr>
          <w:p>
            <w:pPr>
              <w:pStyle w:val="TableText"/>
              <w:ind w:left="120"/>
              <w:spacing w:before="209" w:line="218" w:lineRule="auto"/>
              <w:rPr>
                <w:sz w:val="26"/>
                <w:szCs w:val="26"/>
              </w:rPr>
            </w:pPr>
            <w:r>
              <w:rPr>
                <w:sz w:val="26"/>
                <w:szCs w:val="26"/>
                <w:b/>
                <w:bCs/>
                <w:spacing w:val="-4"/>
              </w:rPr>
              <w:t>警告，罚款5000元</w:t>
            </w:r>
          </w:p>
        </w:tc>
      </w:tr>
    </w:tbl>
    <w:p>
      <w:pPr>
        <w:pStyle w:val="BodyText"/>
        <w:rPr/>
      </w:pPr>
      <w:r/>
    </w:p>
    <w:p>
      <w:pPr>
        <w:sectPr>
          <w:footerReference w:type="default" r:id="rId434"/>
          <w:pgSz w:w="16830" w:h="11900"/>
          <w:pgMar w:top="1011" w:right="1428" w:bottom="1108" w:left="1425" w:header="0" w:footer="775" w:gutter="0"/>
        </w:sectPr>
        <w:rPr/>
      </w:pPr>
    </w:p>
    <w:p>
      <w:pPr>
        <w:spacing w:before="20"/>
        <w:rPr/>
      </w:pPr>
      <w:r/>
    </w:p>
    <w:p>
      <w:pPr>
        <w:spacing w:before="20"/>
        <w:rPr/>
      </w:pPr>
      <w:r/>
    </w:p>
    <w:p>
      <w:pPr>
        <w:spacing w:before="19"/>
        <w:rPr/>
      </w:pPr>
      <w:r/>
    </w:p>
    <w:tbl>
      <w:tblPr>
        <w:tblStyle w:val="TableNormal"/>
        <w:tblW w:w="138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24"/>
        <w:gridCol w:w="8094"/>
        <w:gridCol w:w="4162"/>
      </w:tblGrid>
      <w:tr>
        <w:trPr>
          <w:trHeight w:val="550" w:hRule="atLeast"/>
        </w:trPr>
        <w:tc>
          <w:tcPr>
            <w:tcW w:w="1624" w:type="dxa"/>
            <w:vAlign w:val="top"/>
          </w:tcPr>
          <w:p>
            <w:pPr>
              <w:pStyle w:val="TableText"/>
              <w:ind w:left="568"/>
              <w:spacing w:before="162" w:line="221" w:lineRule="auto"/>
              <w:rPr/>
            </w:pPr>
            <w:r>
              <w:rPr>
                <w:b/>
                <w:bCs/>
                <w:spacing w:val="-10"/>
              </w:rPr>
              <w:t>一般</w:t>
            </w:r>
          </w:p>
        </w:tc>
        <w:tc>
          <w:tcPr>
            <w:tcW w:w="8094" w:type="dxa"/>
            <w:vAlign w:val="top"/>
          </w:tcPr>
          <w:p>
            <w:pPr>
              <w:pStyle w:val="TableText"/>
              <w:ind w:left="120"/>
              <w:spacing w:before="163" w:line="219" w:lineRule="auto"/>
              <w:rPr/>
            </w:pPr>
            <w:r>
              <w:rPr>
                <w:spacing w:val="2"/>
              </w:rPr>
              <w:t>未建立供精者档案的</w:t>
            </w:r>
          </w:p>
        </w:tc>
        <w:tc>
          <w:tcPr>
            <w:tcW w:w="4162" w:type="dxa"/>
            <w:vAlign w:val="top"/>
          </w:tcPr>
          <w:p>
            <w:pPr>
              <w:pStyle w:val="TableText"/>
              <w:ind w:left="277"/>
              <w:spacing w:before="162" w:line="218" w:lineRule="auto"/>
              <w:rPr/>
            </w:pPr>
            <w:r>
              <w:rPr/>
              <w:t>警告，罚款5000元以上7000元以下</w:t>
            </w:r>
          </w:p>
        </w:tc>
      </w:tr>
      <w:tr>
        <w:trPr>
          <w:trHeight w:val="689" w:hRule="atLeast"/>
        </w:trPr>
        <w:tc>
          <w:tcPr>
            <w:tcW w:w="1624" w:type="dxa"/>
            <w:vAlign w:val="top"/>
          </w:tcPr>
          <w:p>
            <w:pPr>
              <w:pStyle w:val="TableText"/>
              <w:ind w:left="568"/>
              <w:spacing w:before="234" w:line="221" w:lineRule="auto"/>
              <w:rPr/>
            </w:pPr>
            <w:r>
              <w:rPr>
                <w:b/>
                <w:bCs/>
                <w:spacing w:val="-5"/>
              </w:rPr>
              <w:t>较重</w:t>
            </w:r>
          </w:p>
        </w:tc>
        <w:tc>
          <w:tcPr>
            <w:tcW w:w="8094" w:type="dxa"/>
            <w:vAlign w:val="top"/>
          </w:tcPr>
          <w:p>
            <w:pPr>
              <w:pStyle w:val="TableText"/>
              <w:ind w:left="120" w:right="2"/>
              <w:spacing w:before="83" w:line="229" w:lineRule="auto"/>
              <w:rPr/>
            </w:pPr>
            <w:r>
              <w:rPr>
                <w:spacing w:val="1"/>
              </w:rPr>
              <w:t>未建立供精者档案或供精者档案不健全，严重影响他人合法权益的，或擅自</w:t>
            </w:r>
            <w:r>
              <w:rPr>
                <w:spacing w:val="6"/>
              </w:rPr>
              <w:t xml:space="preserve"> </w:t>
            </w:r>
            <w:r>
              <w:rPr>
                <w:spacing w:val="1"/>
              </w:rPr>
              <w:t>销毁医疗技术档案和法律文书的</w:t>
            </w:r>
          </w:p>
        </w:tc>
        <w:tc>
          <w:tcPr>
            <w:tcW w:w="4162" w:type="dxa"/>
            <w:vAlign w:val="top"/>
          </w:tcPr>
          <w:p>
            <w:pPr>
              <w:pStyle w:val="TableText"/>
              <w:ind w:left="217"/>
              <w:spacing w:before="232" w:line="218" w:lineRule="auto"/>
              <w:rPr/>
            </w:pPr>
            <w:r>
              <w:rPr/>
              <w:t>警告，罚款7000元以上10000元以下</w:t>
            </w:r>
          </w:p>
        </w:tc>
      </w:tr>
    </w:tbl>
    <w:p>
      <w:pPr>
        <w:pStyle w:val="BodyText"/>
        <w:spacing w:line="248" w:lineRule="auto"/>
        <w:rPr/>
      </w:pPr>
      <w:r/>
    </w:p>
    <w:p>
      <w:pPr>
        <w:pStyle w:val="BodyText"/>
        <w:spacing w:line="248" w:lineRule="auto"/>
        <w:rPr/>
      </w:pPr>
      <w:r/>
    </w:p>
    <w:p>
      <w:pPr>
        <w:ind w:left="679"/>
        <w:spacing w:before="98" w:line="220" w:lineRule="auto"/>
        <w:rPr>
          <w:rFonts w:ascii="FangSong" w:hAnsi="FangSong" w:eastAsia="FangSong" w:cs="FangSong"/>
          <w:sz w:val="30"/>
          <w:szCs w:val="30"/>
        </w:rPr>
      </w:pPr>
      <w:r>
        <w:rPr>
          <w:rFonts w:ascii="FangSong" w:hAnsi="FangSong" w:eastAsia="FangSong" w:cs="FangSong"/>
          <w:sz w:val="30"/>
          <w:szCs w:val="30"/>
          <w:b/>
          <w:bCs/>
          <w:spacing w:val="23"/>
        </w:rPr>
        <w:t>第四百零八条人类精子库中精子经评估机构检查质量不合格的</w:t>
      </w:r>
    </w:p>
    <w:p>
      <w:pPr>
        <w:ind w:left="665"/>
        <w:spacing w:before="9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45" w:firstLine="619"/>
        <w:spacing w:before="88" w:line="264" w:lineRule="auto"/>
        <w:jc w:val="both"/>
        <w:rPr>
          <w:rFonts w:ascii="FangSong" w:hAnsi="FangSong" w:eastAsia="FangSong" w:cs="FangSong"/>
          <w:sz w:val="30"/>
          <w:szCs w:val="30"/>
        </w:rPr>
      </w:pPr>
      <w:r>
        <w:rPr>
          <w:rFonts w:ascii="FangSong" w:hAnsi="FangSong" w:eastAsia="FangSong" w:cs="FangSong"/>
          <w:sz w:val="30"/>
          <w:szCs w:val="30"/>
          <w:spacing w:val="26"/>
        </w:rPr>
        <w:t>《人类精子库管理办法》第二十四条第(五)项</w:t>
      </w:r>
      <w:r>
        <w:rPr>
          <w:rFonts w:ascii="FangSong" w:hAnsi="FangSong" w:eastAsia="FangSong" w:cs="FangSong"/>
          <w:sz w:val="30"/>
          <w:szCs w:val="30"/>
          <w:spacing w:val="26"/>
        </w:rPr>
        <w:t xml:space="preserve">   </w:t>
      </w:r>
      <w:r>
        <w:rPr>
          <w:rFonts w:ascii="FangSong" w:hAnsi="FangSong" w:eastAsia="FangSong" w:cs="FangSong"/>
          <w:sz w:val="30"/>
          <w:szCs w:val="30"/>
          <w:spacing w:val="26"/>
        </w:rPr>
        <w:t>设置人类精子库的医疗机构违反本办法，有</w:t>
      </w:r>
      <w:r>
        <w:rPr>
          <w:rFonts w:ascii="FangSong" w:hAnsi="FangSong" w:eastAsia="FangSong" w:cs="FangSong"/>
          <w:sz w:val="30"/>
          <w:szCs w:val="30"/>
          <w:spacing w:val="1"/>
        </w:rPr>
        <w:t xml:space="preserve"> </w:t>
      </w:r>
      <w:r>
        <w:rPr>
          <w:rFonts w:ascii="FangSong" w:hAnsi="FangSong" w:eastAsia="FangSong" w:cs="FangSong"/>
          <w:sz w:val="30"/>
          <w:szCs w:val="30"/>
          <w:spacing w:val="20"/>
        </w:rPr>
        <w:t>下列行为之一的，省、自治区、直辖市人民政府卫生行政部门给予警告、1万元以下罚款，并给予有</w:t>
      </w:r>
      <w:r>
        <w:rPr>
          <w:rFonts w:ascii="FangSong" w:hAnsi="FangSong" w:eastAsia="FangSong" w:cs="FangSong"/>
          <w:sz w:val="30"/>
          <w:szCs w:val="30"/>
          <w:spacing w:val="9"/>
        </w:rPr>
        <w:t xml:space="preserve"> </w:t>
      </w:r>
      <w:r>
        <w:rPr>
          <w:rFonts w:ascii="FangSong" w:hAnsi="FangSong" w:eastAsia="FangSong" w:cs="FangSong"/>
          <w:sz w:val="30"/>
          <w:szCs w:val="30"/>
          <w:spacing w:val="16"/>
        </w:rPr>
        <w:t>关责任人员行政处分；构成犯罪的，依法追究刑事责任：</w:t>
      </w:r>
    </w:p>
    <w:p>
      <w:pPr>
        <w:ind w:left="805"/>
        <w:spacing w:before="19" w:line="220" w:lineRule="auto"/>
        <w:rPr>
          <w:rFonts w:ascii="FangSong" w:hAnsi="FangSong" w:eastAsia="FangSong" w:cs="FangSong"/>
          <w:sz w:val="30"/>
          <w:szCs w:val="30"/>
        </w:rPr>
      </w:pPr>
      <w:r>
        <w:rPr>
          <w:rFonts w:ascii="FangSong" w:hAnsi="FangSong" w:eastAsia="FangSong" w:cs="FangSong"/>
          <w:sz w:val="30"/>
          <w:szCs w:val="30"/>
          <w:spacing w:val="24"/>
        </w:rPr>
        <w:t>(五)经评估机构检查质量不合格的；</w:t>
      </w:r>
    </w:p>
    <w:p>
      <w:pPr>
        <w:ind w:left="6439"/>
        <w:spacing w:before="21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7" w:lineRule="auto"/>
        <w:rPr>
          <w:rFonts w:ascii="Arial"/>
          <w:sz w:val="2"/>
        </w:rPr>
      </w:pPr>
      <w:r>
        <w:rPr>
          <w:rFonts w:ascii="Arial"/>
          <w:sz w:val="2"/>
        </w:rPr>
      </w:r>
    </w:p>
    <w:tbl>
      <w:tblPr>
        <w:tblStyle w:val="TableNormal"/>
        <w:tblW w:w="13909"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24"/>
        <w:gridCol w:w="7864"/>
        <w:gridCol w:w="4521"/>
      </w:tblGrid>
      <w:tr>
        <w:trPr>
          <w:trHeight w:val="552" w:hRule="atLeast"/>
        </w:trPr>
        <w:tc>
          <w:tcPr>
            <w:tcW w:w="1524" w:type="dxa"/>
            <w:vAlign w:val="top"/>
          </w:tcPr>
          <w:p>
            <w:pPr>
              <w:pStyle w:val="TableText"/>
              <w:ind w:left="238"/>
              <w:spacing w:before="152" w:line="220" w:lineRule="auto"/>
              <w:rPr>
                <w:sz w:val="26"/>
                <w:szCs w:val="26"/>
              </w:rPr>
            </w:pPr>
            <w:r>
              <w:rPr>
                <w:sz w:val="26"/>
                <w:szCs w:val="26"/>
                <w:b/>
                <w:bCs/>
                <w:spacing w:val="-5"/>
              </w:rPr>
              <w:t>违法程度</w:t>
            </w:r>
          </w:p>
        </w:tc>
        <w:tc>
          <w:tcPr>
            <w:tcW w:w="7864" w:type="dxa"/>
            <w:vAlign w:val="top"/>
          </w:tcPr>
          <w:p>
            <w:pPr>
              <w:pStyle w:val="TableText"/>
              <w:ind w:left="3364"/>
              <w:spacing w:before="152" w:line="220" w:lineRule="auto"/>
              <w:rPr>
                <w:sz w:val="26"/>
                <w:szCs w:val="26"/>
              </w:rPr>
            </w:pPr>
            <w:r>
              <w:rPr>
                <w:sz w:val="26"/>
                <w:szCs w:val="26"/>
                <w:b/>
                <w:bCs/>
                <w:spacing w:val="-5"/>
              </w:rPr>
              <w:t>情节后果</w:t>
            </w:r>
          </w:p>
        </w:tc>
        <w:tc>
          <w:tcPr>
            <w:tcW w:w="4521" w:type="dxa"/>
            <w:vAlign w:val="top"/>
          </w:tcPr>
          <w:p>
            <w:pPr>
              <w:pStyle w:val="TableText"/>
              <w:ind w:left="1710"/>
              <w:spacing w:before="149" w:line="218" w:lineRule="auto"/>
              <w:rPr>
                <w:sz w:val="26"/>
                <w:szCs w:val="26"/>
              </w:rPr>
            </w:pPr>
            <w:r>
              <w:rPr>
                <w:sz w:val="26"/>
                <w:szCs w:val="26"/>
                <w:b/>
                <w:bCs/>
                <w:spacing w:val="-5"/>
              </w:rPr>
              <w:t>裁量幅度</w:t>
            </w:r>
          </w:p>
        </w:tc>
      </w:tr>
      <w:tr>
        <w:trPr>
          <w:trHeight w:val="657" w:hRule="atLeast"/>
        </w:trPr>
        <w:tc>
          <w:tcPr>
            <w:tcW w:w="1524" w:type="dxa"/>
            <w:vAlign w:val="top"/>
          </w:tcPr>
          <w:p>
            <w:pPr>
              <w:pStyle w:val="TableText"/>
              <w:ind w:left="498"/>
              <w:spacing w:before="200" w:line="219" w:lineRule="auto"/>
              <w:rPr>
                <w:sz w:val="26"/>
                <w:szCs w:val="26"/>
              </w:rPr>
            </w:pPr>
            <w:r>
              <w:rPr>
                <w:sz w:val="26"/>
                <w:szCs w:val="26"/>
                <w:b/>
                <w:bCs/>
                <w:spacing w:val="-6"/>
              </w:rPr>
              <w:t>较轻</w:t>
            </w:r>
          </w:p>
        </w:tc>
        <w:tc>
          <w:tcPr>
            <w:tcW w:w="7864" w:type="dxa"/>
            <w:vAlign w:val="top"/>
          </w:tcPr>
          <w:p>
            <w:pPr>
              <w:pStyle w:val="TableText"/>
              <w:ind w:left="111"/>
              <w:spacing w:before="201" w:line="218" w:lineRule="auto"/>
              <w:rPr>
                <w:sz w:val="26"/>
                <w:szCs w:val="26"/>
              </w:rPr>
            </w:pPr>
            <w:r>
              <w:rPr>
                <w:sz w:val="26"/>
                <w:szCs w:val="26"/>
                <w:spacing w:val="1"/>
              </w:rPr>
              <w:t>经评估机构检查，精子库中精子质量不合格</w:t>
            </w:r>
            <w:r>
              <w:rPr>
                <w:sz w:val="26"/>
                <w:szCs w:val="26"/>
              </w:rPr>
              <w:t>项为1项的</w:t>
            </w:r>
          </w:p>
        </w:tc>
        <w:tc>
          <w:tcPr>
            <w:tcW w:w="4521" w:type="dxa"/>
            <w:vAlign w:val="top"/>
          </w:tcPr>
          <w:p>
            <w:pPr>
              <w:pStyle w:val="TableText"/>
              <w:ind w:left="127"/>
              <w:spacing w:before="201" w:line="218" w:lineRule="auto"/>
              <w:rPr>
                <w:sz w:val="26"/>
                <w:szCs w:val="26"/>
              </w:rPr>
            </w:pPr>
            <w:r>
              <w:rPr>
                <w:sz w:val="26"/>
                <w:szCs w:val="26"/>
                <w:spacing w:val="1"/>
              </w:rPr>
              <w:t>警告，罚款5000元</w:t>
            </w:r>
          </w:p>
        </w:tc>
      </w:tr>
      <w:tr>
        <w:trPr>
          <w:trHeight w:val="547" w:hRule="atLeast"/>
        </w:trPr>
        <w:tc>
          <w:tcPr>
            <w:tcW w:w="1524" w:type="dxa"/>
            <w:vAlign w:val="top"/>
          </w:tcPr>
          <w:p>
            <w:pPr>
              <w:pStyle w:val="TableText"/>
              <w:ind w:left="498"/>
              <w:spacing w:before="154" w:line="221" w:lineRule="auto"/>
              <w:rPr>
                <w:sz w:val="26"/>
                <w:szCs w:val="26"/>
              </w:rPr>
            </w:pPr>
            <w:r>
              <w:rPr>
                <w:sz w:val="26"/>
                <w:szCs w:val="26"/>
                <w:b/>
                <w:bCs/>
                <w:spacing w:val="-10"/>
              </w:rPr>
              <w:t>一般</w:t>
            </w:r>
          </w:p>
        </w:tc>
        <w:tc>
          <w:tcPr>
            <w:tcW w:w="7864" w:type="dxa"/>
            <w:vAlign w:val="top"/>
          </w:tcPr>
          <w:p>
            <w:pPr>
              <w:pStyle w:val="TableText"/>
              <w:spacing w:before="154" w:line="218" w:lineRule="auto"/>
              <w:jc w:val="right"/>
              <w:rPr>
                <w:sz w:val="26"/>
                <w:szCs w:val="26"/>
              </w:rPr>
            </w:pPr>
            <w:r>
              <w:rPr>
                <w:sz w:val="26"/>
                <w:szCs w:val="26"/>
                <w:spacing w:val="-2"/>
              </w:rPr>
              <w:t>经评估机构检查，精子库中精子质量不合格项为2项及以上4项以下的</w:t>
            </w:r>
          </w:p>
        </w:tc>
        <w:tc>
          <w:tcPr>
            <w:tcW w:w="4521" w:type="dxa"/>
            <w:vAlign w:val="top"/>
          </w:tcPr>
          <w:p>
            <w:pPr>
              <w:pStyle w:val="TableText"/>
              <w:ind w:left="127"/>
              <w:spacing w:before="154" w:line="218" w:lineRule="auto"/>
              <w:rPr>
                <w:sz w:val="26"/>
                <w:szCs w:val="26"/>
              </w:rPr>
            </w:pPr>
            <w:r>
              <w:rPr>
                <w:sz w:val="26"/>
                <w:szCs w:val="26"/>
              </w:rPr>
              <w:t>警告，罚款5000元以上7000元以下</w:t>
            </w:r>
          </w:p>
        </w:tc>
      </w:tr>
      <w:tr>
        <w:trPr>
          <w:trHeight w:val="463" w:hRule="atLeast"/>
        </w:trPr>
        <w:tc>
          <w:tcPr>
            <w:tcW w:w="1524" w:type="dxa"/>
            <w:vAlign w:val="top"/>
          </w:tcPr>
          <w:p>
            <w:pPr>
              <w:pStyle w:val="TableText"/>
              <w:ind w:left="498"/>
              <w:spacing w:before="109" w:line="221" w:lineRule="auto"/>
              <w:rPr>
                <w:sz w:val="26"/>
                <w:szCs w:val="26"/>
              </w:rPr>
            </w:pPr>
            <w:r>
              <w:rPr>
                <w:sz w:val="26"/>
                <w:szCs w:val="26"/>
                <w:b/>
                <w:bCs/>
                <w:spacing w:val="-6"/>
              </w:rPr>
              <w:t>较重</w:t>
            </w:r>
          </w:p>
        </w:tc>
        <w:tc>
          <w:tcPr>
            <w:tcW w:w="7864" w:type="dxa"/>
            <w:vAlign w:val="top"/>
          </w:tcPr>
          <w:p>
            <w:pPr>
              <w:pStyle w:val="TableText"/>
              <w:ind w:left="111"/>
              <w:spacing w:before="107" w:line="218" w:lineRule="auto"/>
              <w:rPr>
                <w:sz w:val="26"/>
                <w:szCs w:val="26"/>
              </w:rPr>
            </w:pPr>
            <w:r>
              <w:rPr>
                <w:sz w:val="26"/>
                <w:szCs w:val="26"/>
                <w:spacing w:val="1"/>
              </w:rPr>
              <w:t>经评估机构检查，精子库中精子质量不合格</w:t>
            </w:r>
            <w:r>
              <w:rPr>
                <w:sz w:val="26"/>
                <w:szCs w:val="26"/>
              </w:rPr>
              <w:t>项在4项及以上的</w:t>
            </w:r>
          </w:p>
        </w:tc>
        <w:tc>
          <w:tcPr>
            <w:tcW w:w="4521" w:type="dxa"/>
            <w:vAlign w:val="top"/>
          </w:tcPr>
          <w:p>
            <w:pPr>
              <w:pStyle w:val="TableText"/>
              <w:ind w:left="127"/>
              <w:spacing w:before="107" w:line="218" w:lineRule="auto"/>
              <w:rPr>
                <w:sz w:val="26"/>
                <w:szCs w:val="26"/>
              </w:rPr>
            </w:pPr>
            <w:r>
              <w:rPr>
                <w:sz w:val="26"/>
                <w:szCs w:val="26"/>
              </w:rPr>
              <w:t>警告，罚款7000元以上10000元以下</w:t>
            </w:r>
          </w:p>
        </w:tc>
      </w:tr>
    </w:tbl>
    <w:p>
      <w:pPr>
        <w:pStyle w:val="BodyText"/>
        <w:rPr/>
      </w:pPr>
      <w:r/>
    </w:p>
    <w:p>
      <w:pPr>
        <w:sectPr>
          <w:footerReference w:type="default" r:id="rId435"/>
          <w:pgSz w:w="16830" w:h="11900"/>
          <w:pgMar w:top="1011" w:right="1429" w:bottom="1108" w:left="1414" w:header="0" w:footer="775" w:gutter="0"/>
        </w:sectPr>
        <w:rPr/>
      </w:pPr>
    </w:p>
    <w:p>
      <w:pPr>
        <w:pStyle w:val="BodyText"/>
        <w:spacing w:line="251" w:lineRule="auto"/>
        <w:rPr/>
      </w:pPr>
      <w:r/>
    </w:p>
    <w:p>
      <w:pPr>
        <w:pStyle w:val="BodyText"/>
        <w:spacing w:line="252" w:lineRule="auto"/>
        <w:rPr/>
      </w:pPr>
      <w:r/>
    </w:p>
    <w:p>
      <w:pPr>
        <w:pStyle w:val="BodyText"/>
        <w:spacing w:line="252" w:lineRule="auto"/>
        <w:rPr/>
      </w:pPr>
      <w:r/>
    </w:p>
    <w:p>
      <w:pPr>
        <w:ind w:left="659"/>
        <w:spacing w:before="101" w:line="220" w:lineRule="auto"/>
        <w:rPr>
          <w:rFonts w:ascii="FangSong" w:hAnsi="FangSong" w:eastAsia="FangSong" w:cs="FangSong"/>
          <w:sz w:val="31"/>
          <w:szCs w:val="31"/>
        </w:rPr>
      </w:pPr>
      <w:bookmarkStart w:name="bookmark1081" w:id="455"/>
      <w:bookmarkEnd w:id="455"/>
      <w:r>
        <w:rPr>
          <w:rFonts w:ascii="FangSong" w:hAnsi="FangSong" w:eastAsia="FangSong" w:cs="FangSong"/>
          <w:sz w:val="31"/>
          <w:szCs w:val="31"/>
          <w:b/>
          <w:bCs/>
          <w:spacing w:val="13"/>
        </w:rPr>
        <w:t>第四百零九条违反《人类精子库管理办法》其他规定的行为</w:t>
      </w:r>
    </w:p>
    <w:p>
      <w:pPr>
        <w:ind w:left="654"/>
        <w:spacing w:before="137"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25" w:firstLine="605"/>
        <w:spacing w:before="53" w:line="264" w:lineRule="auto"/>
        <w:jc w:val="both"/>
        <w:rPr>
          <w:rFonts w:ascii="FangSong" w:hAnsi="FangSong" w:eastAsia="FangSong" w:cs="FangSong"/>
          <w:sz w:val="31"/>
          <w:szCs w:val="31"/>
        </w:rPr>
      </w:pPr>
      <w:r>
        <w:rPr>
          <w:rFonts w:ascii="FangSong" w:hAnsi="FangSong" w:eastAsia="FangSong" w:cs="FangSong"/>
          <w:sz w:val="31"/>
          <w:szCs w:val="31"/>
          <w:spacing w:val="17"/>
        </w:rPr>
        <w:t>《人类精子库管理办法》第二十四条第(六)项</w:t>
      </w:r>
      <w:r>
        <w:rPr>
          <w:rFonts w:ascii="FangSong" w:hAnsi="FangSong" w:eastAsia="FangSong" w:cs="FangSong"/>
          <w:sz w:val="31"/>
          <w:szCs w:val="31"/>
          <w:spacing w:val="17"/>
        </w:rPr>
        <w:t xml:space="preserve">   </w:t>
      </w:r>
      <w:r>
        <w:rPr>
          <w:rFonts w:ascii="FangSong" w:hAnsi="FangSong" w:eastAsia="FangSong" w:cs="FangSong"/>
          <w:sz w:val="31"/>
          <w:szCs w:val="31"/>
          <w:spacing w:val="17"/>
        </w:rPr>
        <w:t>设置人类精子库的</w:t>
      </w:r>
      <w:r>
        <w:rPr>
          <w:rFonts w:ascii="FangSong" w:hAnsi="FangSong" w:eastAsia="FangSong" w:cs="FangSong"/>
          <w:sz w:val="31"/>
          <w:szCs w:val="31"/>
          <w:spacing w:val="16"/>
        </w:rPr>
        <w:t>医疗机构违反本办法，有</w:t>
      </w:r>
      <w:r>
        <w:rPr>
          <w:rFonts w:ascii="FangSong" w:hAnsi="FangSong" w:eastAsia="FangSong" w:cs="FangSong"/>
          <w:sz w:val="31"/>
          <w:szCs w:val="31"/>
        </w:rPr>
        <w:t xml:space="preserve"> </w:t>
      </w:r>
      <w:r>
        <w:rPr>
          <w:rFonts w:ascii="FangSong" w:hAnsi="FangSong" w:eastAsia="FangSong" w:cs="FangSong"/>
          <w:sz w:val="31"/>
          <w:szCs w:val="31"/>
          <w:spacing w:val="10"/>
        </w:rPr>
        <w:t>下列行为之一的，省、自治区、直辖市人民政府卫生行政部门给予警告、1万元以下罚款，并给予有</w:t>
      </w:r>
      <w:r>
        <w:rPr>
          <w:rFonts w:ascii="FangSong" w:hAnsi="FangSong" w:eastAsia="FangSong" w:cs="FangSong"/>
          <w:sz w:val="31"/>
          <w:szCs w:val="31"/>
          <w:spacing w:val="15"/>
        </w:rPr>
        <w:t xml:space="preserve"> </w:t>
      </w:r>
      <w:r>
        <w:rPr>
          <w:rFonts w:ascii="FangSong" w:hAnsi="FangSong" w:eastAsia="FangSong" w:cs="FangSong"/>
          <w:sz w:val="31"/>
          <w:szCs w:val="31"/>
          <w:spacing w:val="6"/>
        </w:rPr>
        <w:t>关责任人员行政处分；构成犯罪的，依法追究刑事责任：</w:t>
      </w:r>
    </w:p>
    <w:p>
      <w:pPr>
        <w:ind w:left="785"/>
        <w:spacing w:before="1" w:line="220" w:lineRule="auto"/>
        <w:rPr>
          <w:rFonts w:ascii="FangSong" w:hAnsi="FangSong" w:eastAsia="FangSong" w:cs="FangSong"/>
          <w:sz w:val="31"/>
          <w:szCs w:val="31"/>
        </w:rPr>
      </w:pPr>
      <w:r>
        <w:rPr>
          <w:rFonts w:ascii="FangSong" w:hAnsi="FangSong" w:eastAsia="FangSong" w:cs="FangSong"/>
          <w:sz w:val="31"/>
          <w:szCs w:val="31"/>
          <w:spacing w:val="16"/>
        </w:rPr>
        <w:t>(六)其他违反本办法规定的行为。</w:t>
      </w:r>
    </w:p>
    <w:p>
      <w:pPr>
        <w:ind w:left="6419"/>
        <w:spacing w:before="220"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24"/>
        <w:gridCol w:w="7864"/>
        <w:gridCol w:w="4521"/>
      </w:tblGrid>
      <w:tr>
        <w:trPr>
          <w:trHeight w:val="582" w:hRule="atLeast"/>
        </w:trPr>
        <w:tc>
          <w:tcPr>
            <w:tcW w:w="1524" w:type="dxa"/>
            <w:vAlign w:val="top"/>
          </w:tcPr>
          <w:p>
            <w:pPr>
              <w:pStyle w:val="TableText"/>
              <w:ind w:left="258"/>
              <w:spacing w:before="202" w:line="220" w:lineRule="auto"/>
              <w:rPr>
                <w:sz w:val="25"/>
                <w:szCs w:val="25"/>
              </w:rPr>
            </w:pPr>
            <w:r>
              <w:rPr>
                <w:sz w:val="25"/>
                <w:szCs w:val="25"/>
                <w:b/>
                <w:bCs/>
                <w:spacing w:val="-5"/>
              </w:rPr>
              <w:t>违法程度</w:t>
            </w:r>
          </w:p>
        </w:tc>
        <w:tc>
          <w:tcPr>
            <w:tcW w:w="7864" w:type="dxa"/>
            <w:vAlign w:val="top"/>
          </w:tcPr>
          <w:p>
            <w:pPr>
              <w:pStyle w:val="TableText"/>
              <w:ind w:left="3364"/>
              <w:spacing w:before="202" w:line="220" w:lineRule="auto"/>
              <w:rPr>
                <w:sz w:val="25"/>
                <w:szCs w:val="25"/>
              </w:rPr>
            </w:pPr>
            <w:r>
              <w:rPr>
                <w:sz w:val="25"/>
                <w:szCs w:val="25"/>
                <w:b/>
                <w:bCs/>
                <w:spacing w:val="-5"/>
              </w:rPr>
              <w:t>情节后果</w:t>
            </w:r>
          </w:p>
        </w:tc>
        <w:tc>
          <w:tcPr>
            <w:tcW w:w="4521" w:type="dxa"/>
            <w:vAlign w:val="top"/>
          </w:tcPr>
          <w:p>
            <w:pPr>
              <w:pStyle w:val="TableText"/>
              <w:ind w:left="1700"/>
              <w:spacing w:before="199" w:line="218" w:lineRule="auto"/>
              <w:rPr>
                <w:sz w:val="25"/>
                <w:szCs w:val="25"/>
              </w:rPr>
            </w:pPr>
            <w:r>
              <w:rPr>
                <w:sz w:val="25"/>
                <w:szCs w:val="25"/>
                <w:b/>
                <w:bCs/>
                <w:spacing w:val="-5"/>
              </w:rPr>
              <w:t>裁量幅度</w:t>
            </w:r>
          </w:p>
        </w:tc>
      </w:tr>
      <w:tr>
        <w:trPr>
          <w:trHeight w:val="538" w:hRule="atLeast"/>
        </w:trPr>
        <w:tc>
          <w:tcPr>
            <w:tcW w:w="1524" w:type="dxa"/>
            <w:vAlign w:val="top"/>
          </w:tcPr>
          <w:p>
            <w:pPr>
              <w:pStyle w:val="TableText"/>
              <w:ind w:left="508"/>
              <w:spacing w:before="149" w:line="219" w:lineRule="auto"/>
              <w:rPr>
                <w:sz w:val="25"/>
                <w:szCs w:val="25"/>
              </w:rPr>
            </w:pPr>
            <w:r>
              <w:rPr>
                <w:sz w:val="25"/>
                <w:szCs w:val="25"/>
                <w:b/>
                <w:bCs/>
                <w:spacing w:val="-6"/>
              </w:rPr>
              <w:t>较轻</w:t>
            </w:r>
          </w:p>
        </w:tc>
        <w:tc>
          <w:tcPr>
            <w:tcW w:w="7864" w:type="dxa"/>
            <w:vAlign w:val="top"/>
          </w:tcPr>
          <w:p>
            <w:pPr>
              <w:pStyle w:val="TableText"/>
              <w:ind w:left="121"/>
              <w:spacing w:before="151" w:line="219" w:lineRule="auto"/>
              <w:rPr>
                <w:sz w:val="25"/>
                <w:szCs w:val="25"/>
              </w:rPr>
            </w:pPr>
            <w:r>
              <w:rPr>
                <w:sz w:val="25"/>
                <w:szCs w:val="25"/>
              </w:rPr>
              <w:t>开展人类精子库的医疗机构首次有违反《办法》规定的其他行为的</w:t>
            </w:r>
          </w:p>
        </w:tc>
        <w:tc>
          <w:tcPr>
            <w:tcW w:w="4521" w:type="dxa"/>
            <w:vAlign w:val="top"/>
          </w:tcPr>
          <w:p>
            <w:pPr>
              <w:pStyle w:val="TableText"/>
              <w:ind w:left="127"/>
              <w:spacing w:before="151" w:line="218" w:lineRule="auto"/>
              <w:rPr>
                <w:sz w:val="25"/>
                <w:szCs w:val="25"/>
              </w:rPr>
            </w:pPr>
            <w:r>
              <w:rPr>
                <w:sz w:val="25"/>
                <w:szCs w:val="25"/>
                <w:spacing w:val="1"/>
              </w:rPr>
              <w:t>警告，罚款5000元</w:t>
            </w:r>
          </w:p>
        </w:tc>
      </w:tr>
      <w:tr>
        <w:trPr>
          <w:trHeight w:val="547" w:hRule="atLeast"/>
        </w:trPr>
        <w:tc>
          <w:tcPr>
            <w:tcW w:w="1524" w:type="dxa"/>
            <w:vAlign w:val="top"/>
          </w:tcPr>
          <w:p>
            <w:pPr>
              <w:pStyle w:val="TableText"/>
              <w:ind w:left="508"/>
              <w:spacing w:before="153" w:line="221" w:lineRule="auto"/>
              <w:rPr>
                <w:sz w:val="25"/>
                <w:szCs w:val="25"/>
              </w:rPr>
            </w:pPr>
            <w:r>
              <w:rPr>
                <w:sz w:val="25"/>
                <w:szCs w:val="25"/>
                <w:b/>
                <w:bCs/>
                <w:spacing w:val="-10"/>
              </w:rPr>
              <w:t>一般</w:t>
            </w:r>
          </w:p>
        </w:tc>
        <w:tc>
          <w:tcPr>
            <w:tcW w:w="7864" w:type="dxa"/>
            <w:vAlign w:val="top"/>
          </w:tcPr>
          <w:p>
            <w:pPr>
              <w:pStyle w:val="TableText"/>
              <w:ind w:left="121"/>
              <w:spacing w:before="153" w:line="219" w:lineRule="auto"/>
              <w:rPr>
                <w:sz w:val="25"/>
                <w:szCs w:val="25"/>
              </w:rPr>
            </w:pPr>
            <w:r>
              <w:rPr>
                <w:sz w:val="25"/>
                <w:szCs w:val="25"/>
              </w:rPr>
              <w:t>开展人类精子库的医疗机构再次有违反《办法》规定的其他行为的</w:t>
            </w:r>
          </w:p>
        </w:tc>
        <w:tc>
          <w:tcPr>
            <w:tcW w:w="4521" w:type="dxa"/>
            <w:vAlign w:val="top"/>
          </w:tcPr>
          <w:p>
            <w:pPr>
              <w:pStyle w:val="TableText"/>
              <w:ind w:left="127"/>
              <w:spacing w:before="153" w:line="218" w:lineRule="auto"/>
              <w:rPr>
                <w:sz w:val="25"/>
                <w:szCs w:val="25"/>
              </w:rPr>
            </w:pPr>
            <w:r>
              <w:rPr>
                <w:sz w:val="25"/>
                <w:szCs w:val="25"/>
              </w:rPr>
              <w:t>警告，罚款5000元以上7000元以下</w:t>
            </w:r>
          </w:p>
        </w:tc>
      </w:tr>
      <w:tr>
        <w:trPr>
          <w:trHeight w:val="692" w:hRule="atLeast"/>
        </w:trPr>
        <w:tc>
          <w:tcPr>
            <w:tcW w:w="1524" w:type="dxa"/>
            <w:vAlign w:val="top"/>
          </w:tcPr>
          <w:p>
            <w:pPr>
              <w:pStyle w:val="TableText"/>
              <w:ind w:left="508"/>
              <w:spacing w:before="228" w:line="221" w:lineRule="auto"/>
              <w:rPr>
                <w:sz w:val="25"/>
                <w:szCs w:val="25"/>
              </w:rPr>
            </w:pPr>
            <w:r>
              <w:rPr>
                <w:sz w:val="25"/>
                <w:szCs w:val="25"/>
                <w:b/>
                <w:bCs/>
                <w:spacing w:val="-6"/>
              </w:rPr>
              <w:t>较重</w:t>
            </w:r>
          </w:p>
        </w:tc>
        <w:tc>
          <w:tcPr>
            <w:tcW w:w="7864" w:type="dxa"/>
            <w:vAlign w:val="top"/>
          </w:tcPr>
          <w:p>
            <w:pPr>
              <w:pStyle w:val="TableText"/>
              <w:ind w:left="121"/>
              <w:spacing w:before="86" w:line="220" w:lineRule="auto"/>
              <w:rPr>
                <w:sz w:val="25"/>
                <w:szCs w:val="25"/>
              </w:rPr>
            </w:pPr>
            <w:r>
              <w:rPr>
                <w:sz w:val="25"/>
                <w:szCs w:val="25"/>
                <w:spacing w:val="-8"/>
              </w:rPr>
              <w:t>开展人类精子库的医疗机构有违反《办法》</w:t>
            </w:r>
            <w:r>
              <w:rPr>
                <w:sz w:val="25"/>
                <w:szCs w:val="25"/>
                <w:spacing w:val="-9"/>
              </w:rPr>
              <w:t>规定的其他违法行为，造成严</w:t>
            </w:r>
            <w:r>
              <w:rPr>
                <w:sz w:val="25"/>
                <w:szCs w:val="25"/>
              </w:rPr>
              <w:t xml:space="preserve"> </w:t>
            </w:r>
            <w:r>
              <w:rPr>
                <w:sz w:val="25"/>
                <w:szCs w:val="25"/>
                <w:spacing w:val="4"/>
              </w:rPr>
              <w:t>重后果的</w:t>
            </w:r>
          </w:p>
        </w:tc>
        <w:tc>
          <w:tcPr>
            <w:tcW w:w="4521" w:type="dxa"/>
            <w:vAlign w:val="top"/>
          </w:tcPr>
          <w:p>
            <w:pPr>
              <w:pStyle w:val="TableText"/>
              <w:ind w:left="127"/>
              <w:spacing w:before="226" w:line="218" w:lineRule="auto"/>
              <w:rPr>
                <w:sz w:val="25"/>
                <w:szCs w:val="25"/>
              </w:rPr>
            </w:pPr>
            <w:r>
              <w:rPr>
                <w:sz w:val="25"/>
                <w:szCs w:val="25"/>
              </w:rPr>
              <w:t>警告，罚款7000元以上10000元以下</w:t>
            </w:r>
          </w:p>
        </w:tc>
      </w:tr>
    </w:tbl>
    <w:p>
      <w:pPr>
        <w:pStyle w:val="BodyText"/>
        <w:spacing w:line="259" w:lineRule="auto"/>
        <w:rPr/>
      </w:pPr>
      <w:r/>
    </w:p>
    <w:p>
      <w:pPr>
        <w:pStyle w:val="BodyText"/>
        <w:spacing w:line="260" w:lineRule="auto"/>
        <w:rPr/>
      </w:pPr>
      <w:r/>
    </w:p>
    <w:p>
      <w:pPr>
        <w:ind w:left="785"/>
        <w:spacing w:before="101" w:line="222" w:lineRule="auto"/>
        <w:rPr>
          <w:rFonts w:ascii="FangSong" w:hAnsi="FangSong" w:eastAsia="FangSong" w:cs="FangSong"/>
          <w:sz w:val="31"/>
          <w:szCs w:val="31"/>
        </w:rPr>
      </w:pPr>
      <w:r>
        <w:rPr>
          <w:rFonts w:ascii="FangSong" w:hAnsi="FangSong" w:eastAsia="FangSong" w:cs="FangSong"/>
          <w:sz w:val="31"/>
          <w:szCs w:val="31"/>
          <w:spacing w:val="19"/>
        </w:rPr>
        <w:t>(四)《中华人民共和国人口与计划生育法》</w:t>
      </w:r>
    </w:p>
    <w:p>
      <w:pPr>
        <w:ind w:left="654" w:right="6751"/>
        <w:spacing w:before="337" w:line="280" w:lineRule="auto"/>
        <w:rPr>
          <w:rFonts w:ascii="FangSong" w:hAnsi="FangSong" w:eastAsia="FangSong" w:cs="FangSong"/>
          <w:sz w:val="27"/>
          <w:szCs w:val="27"/>
        </w:rPr>
      </w:pPr>
      <w:r>
        <w:rPr>
          <w:rFonts w:ascii="FangSong" w:hAnsi="FangSong" w:eastAsia="FangSong" w:cs="FangSong"/>
          <w:sz w:val="31"/>
          <w:szCs w:val="31"/>
          <w:spacing w:val="18"/>
        </w:rPr>
        <w:t>第四百一十条非法为他人施行计划生育手术的</w:t>
      </w:r>
      <w:r>
        <w:rPr>
          <w:rFonts w:ascii="FangSong" w:hAnsi="FangSong" w:eastAsia="FangSong" w:cs="FangSong"/>
          <w:sz w:val="31"/>
          <w:szCs w:val="31"/>
        </w:rPr>
        <w:t xml:space="preserve"> </w:t>
      </w:r>
      <w:r>
        <w:rPr>
          <w:rFonts w:ascii="FangSong" w:hAnsi="FangSong" w:eastAsia="FangSong" w:cs="FangSong"/>
          <w:sz w:val="27"/>
          <w:szCs w:val="27"/>
          <w:spacing w:val="27"/>
        </w:rPr>
        <w:t>法律依据：</w:t>
      </w:r>
    </w:p>
    <w:p>
      <w:pPr>
        <w:pStyle w:val="BodyText"/>
        <w:spacing w:line="260" w:lineRule="auto"/>
        <w:rPr/>
      </w:pPr>
      <w:r/>
    </w:p>
    <w:p>
      <w:pPr>
        <w:pStyle w:val="BodyText"/>
        <w:spacing w:line="260" w:lineRule="auto"/>
        <w:rPr/>
      </w:pPr>
      <w:r/>
    </w:p>
    <w:p>
      <w:pPr>
        <w:pStyle w:val="BodyText"/>
        <w:spacing w:line="260" w:lineRule="auto"/>
        <w:rPr/>
      </w:pPr>
      <w:r/>
    </w:p>
    <w:p>
      <w:pPr>
        <w:pStyle w:val="BodyText"/>
        <w:spacing w:line="261" w:lineRule="auto"/>
        <w:rPr/>
      </w:pPr>
      <w:r/>
    </w:p>
    <w:p>
      <w:pPr>
        <w:ind w:left="6345"/>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—478—</w:t>
      </w:r>
    </w:p>
    <w:p>
      <w:pPr>
        <w:spacing w:line="188" w:lineRule="auto"/>
        <w:sectPr>
          <w:footerReference w:type="default" r:id="rId24"/>
          <w:pgSz w:w="16830" w:h="11900"/>
          <w:pgMar w:top="1011" w:right="1428" w:bottom="400" w:left="1434" w:header="0" w:footer="0" w:gutter="0"/>
        </w:sectPr>
        <w:rPr>
          <w:rFonts w:ascii="Times New Roman" w:hAnsi="Times New Roman" w:eastAsia="Times New Roman" w:cs="Times New Roman"/>
          <w:sz w:val="37"/>
          <w:szCs w:val="37"/>
        </w:rPr>
      </w:pPr>
    </w:p>
    <w:p>
      <w:pPr>
        <w:pStyle w:val="BodyText"/>
        <w:spacing w:line="261" w:lineRule="auto"/>
        <w:rPr/>
      </w:pPr>
      <w:r/>
    </w:p>
    <w:p>
      <w:pPr>
        <w:pStyle w:val="BodyText"/>
        <w:spacing w:line="262" w:lineRule="auto"/>
        <w:rPr/>
      </w:pPr>
      <w:r/>
    </w:p>
    <w:p>
      <w:pPr>
        <w:pStyle w:val="BodyText"/>
        <w:spacing w:line="262" w:lineRule="auto"/>
        <w:rPr/>
      </w:pPr>
      <w:r/>
    </w:p>
    <w:p>
      <w:pPr>
        <w:ind w:left="15" w:firstLine="619"/>
        <w:spacing w:before="98" w:line="271" w:lineRule="auto"/>
        <w:jc w:val="both"/>
        <w:rPr>
          <w:rFonts w:ascii="FangSong" w:hAnsi="FangSong" w:eastAsia="FangSong" w:cs="FangSong"/>
          <w:sz w:val="30"/>
          <w:szCs w:val="30"/>
        </w:rPr>
      </w:pPr>
      <w:r>
        <w:rPr>
          <w:rFonts w:ascii="FangSong" w:hAnsi="FangSong" w:eastAsia="FangSong" w:cs="FangSong"/>
          <w:sz w:val="30"/>
          <w:szCs w:val="30"/>
          <w:spacing w:val="19"/>
        </w:rPr>
        <w:t>《中华人民共和国人口与计划生育法》第四十条第(一)项</w:t>
      </w:r>
      <w:r>
        <w:rPr>
          <w:rFonts w:ascii="FangSong" w:hAnsi="FangSong" w:eastAsia="FangSong" w:cs="FangSong"/>
          <w:sz w:val="30"/>
          <w:szCs w:val="30"/>
          <w:spacing w:val="19"/>
        </w:rPr>
        <w:t xml:space="preserve">  </w:t>
      </w:r>
      <w:r>
        <w:rPr>
          <w:rFonts w:ascii="FangSong" w:hAnsi="FangSong" w:eastAsia="FangSong" w:cs="FangSong"/>
          <w:sz w:val="30"/>
          <w:szCs w:val="30"/>
          <w:spacing w:val="19"/>
        </w:rPr>
        <w:t>违反本法规定，有</w:t>
      </w:r>
      <w:r>
        <w:rPr>
          <w:rFonts w:ascii="FangSong" w:hAnsi="FangSong" w:eastAsia="FangSong" w:cs="FangSong"/>
          <w:sz w:val="30"/>
          <w:szCs w:val="30"/>
          <w:spacing w:val="18"/>
        </w:rPr>
        <w:t>下列行为之一的，</w:t>
      </w:r>
      <w:r>
        <w:rPr>
          <w:rFonts w:ascii="FangSong" w:hAnsi="FangSong" w:eastAsia="FangSong" w:cs="FangSong"/>
          <w:sz w:val="30"/>
          <w:szCs w:val="30"/>
        </w:rPr>
        <w:t xml:space="preserve"> </w:t>
      </w:r>
      <w:r>
        <w:rPr>
          <w:rFonts w:ascii="FangSong" w:hAnsi="FangSong" w:eastAsia="FangSong" w:cs="FangSong"/>
          <w:sz w:val="30"/>
          <w:szCs w:val="30"/>
          <w:spacing w:val="16"/>
        </w:rPr>
        <w:t>由卫生健康主管部门责令改正，给予警告，没收违法所得；违法所得一万元以上的，处违法所得二倍</w:t>
      </w:r>
      <w:r>
        <w:rPr>
          <w:rFonts w:ascii="FangSong" w:hAnsi="FangSong" w:eastAsia="FangSong" w:cs="FangSong"/>
          <w:sz w:val="30"/>
          <w:szCs w:val="30"/>
          <w:spacing w:val="6"/>
        </w:rPr>
        <w:t xml:space="preserve">  </w:t>
      </w:r>
      <w:r>
        <w:rPr>
          <w:rFonts w:ascii="FangSong" w:hAnsi="FangSong" w:eastAsia="FangSong" w:cs="FangSong"/>
          <w:sz w:val="30"/>
          <w:szCs w:val="30"/>
          <w:spacing w:val="18"/>
        </w:rPr>
        <w:t>以上六倍以下的罚款；没有违法所得或者违法所得不足一万元的，处一万元以上三万元以下的</w:t>
      </w:r>
      <w:r>
        <w:rPr>
          <w:rFonts w:ascii="FangSong" w:hAnsi="FangSong" w:eastAsia="FangSong" w:cs="FangSong"/>
          <w:sz w:val="30"/>
          <w:szCs w:val="30"/>
          <w:spacing w:val="17"/>
        </w:rPr>
        <w:t>罚款；</w:t>
      </w:r>
      <w:r>
        <w:rPr>
          <w:rFonts w:ascii="FangSong" w:hAnsi="FangSong" w:eastAsia="FangSong" w:cs="FangSong"/>
          <w:sz w:val="30"/>
          <w:szCs w:val="30"/>
        </w:rPr>
        <w:t xml:space="preserve"> </w:t>
      </w:r>
      <w:r>
        <w:rPr>
          <w:rFonts w:ascii="FangSong" w:hAnsi="FangSong" w:eastAsia="FangSong" w:cs="FangSong"/>
          <w:sz w:val="30"/>
          <w:szCs w:val="30"/>
          <w:spacing w:val="17"/>
        </w:rPr>
        <w:t>情节严重的，由原发证机关吊销执业证书；构成犯罪的，依法追究刑事责任：</w:t>
      </w:r>
    </w:p>
    <w:p>
      <w:pPr>
        <w:ind w:left="785"/>
        <w:spacing w:before="16" w:line="221" w:lineRule="auto"/>
        <w:rPr>
          <w:rFonts w:ascii="FangSong" w:hAnsi="FangSong" w:eastAsia="FangSong" w:cs="FangSong"/>
          <w:sz w:val="30"/>
          <w:szCs w:val="30"/>
        </w:rPr>
      </w:pPr>
      <w:r>
        <w:rPr>
          <w:rFonts w:ascii="FangSong" w:hAnsi="FangSong" w:eastAsia="FangSong" w:cs="FangSong"/>
          <w:sz w:val="30"/>
          <w:szCs w:val="30"/>
          <w:spacing w:val="24"/>
        </w:rPr>
        <w:t>(一)非法为他人施行计划生育手术的；</w:t>
      </w:r>
    </w:p>
    <w:p>
      <w:pPr>
        <w:ind w:left="6419"/>
        <w:spacing w:before="232" w:line="202"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402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8344"/>
        <w:gridCol w:w="4271"/>
      </w:tblGrid>
      <w:tr>
        <w:trPr>
          <w:trHeight w:val="584" w:hRule="atLeast"/>
        </w:trPr>
        <w:tc>
          <w:tcPr>
            <w:tcW w:w="1414" w:type="dxa"/>
            <w:vAlign w:val="top"/>
          </w:tcPr>
          <w:p>
            <w:pPr>
              <w:pStyle w:val="TableText"/>
              <w:ind w:left="198"/>
              <w:spacing w:before="172" w:line="220" w:lineRule="auto"/>
              <w:rPr>
                <w:sz w:val="25"/>
                <w:szCs w:val="25"/>
              </w:rPr>
            </w:pPr>
            <w:r>
              <w:rPr>
                <w:sz w:val="25"/>
                <w:szCs w:val="25"/>
                <w:b/>
                <w:bCs/>
                <w:spacing w:val="-5"/>
              </w:rPr>
              <w:t>违法程度</w:t>
            </w:r>
          </w:p>
        </w:tc>
        <w:tc>
          <w:tcPr>
            <w:tcW w:w="8344" w:type="dxa"/>
            <w:vAlign w:val="top"/>
          </w:tcPr>
          <w:p>
            <w:pPr>
              <w:pStyle w:val="TableText"/>
              <w:ind w:left="3874"/>
              <w:spacing w:before="172" w:line="220" w:lineRule="auto"/>
              <w:rPr>
                <w:sz w:val="25"/>
                <w:szCs w:val="25"/>
              </w:rPr>
            </w:pPr>
            <w:r>
              <w:rPr>
                <w:sz w:val="25"/>
                <w:szCs w:val="25"/>
                <w:b/>
                <w:bCs/>
                <w:spacing w:val="-5"/>
              </w:rPr>
              <w:t>情节后果</w:t>
            </w:r>
          </w:p>
        </w:tc>
        <w:tc>
          <w:tcPr>
            <w:tcW w:w="4271" w:type="dxa"/>
            <w:vAlign w:val="top"/>
          </w:tcPr>
          <w:p>
            <w:pPr>
              <w:pStyle w:val="TableText"/>
              <w:ind w:left="1860"/>
              <w:spacing w:before="169" w:line="218" w:lineRule="auto"/>
              <w:rPr>
                <w:sz w:val="25"/>
                <w:szCs w:val="25"/>
              </w:rPr>
            </w:pPr>
            <w:r>
              <w:rPr>
                <w:sz w:val="25"/>
                <w:szCs w:val="25"/>
                <w:b/>
                <w:bCs/>
                <w:spacing w:val="-5"/>
              </w:rPr>
              <w:t>裁量幅度</w:t>
            </w:r>
          </w:p>
        </w:tc>
      </w:tr>
      <w:tr>
        <w:trPr>
          <w:trHeight w:val="669" w:hRule="atLeast"/>
        </w:trPr>
        <w:tc>
          <w:tcPr>
            <w:tcW w:w="1414" w:type="dxa"/>
            <w:vAlign w:val="top"/>
            <w:vMerge w:val="restart"/>
            <w:tcBorders>
              <w:bottom w:val="nil"/>
            </w:tcBorders>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TableText"/>
              <w:ind w:left="448"/>
              <w:spacing w:before="81" w:line="219" w:lineRule="auto"/>
              <w:rPr>
                <w:sz w:val="25"/>
                <w:szCs w:val="25"/>
              </w:rPr>
            </w:pPr>
            <w:r>
              <w:rPr>
                <w:sz w:val="25"/>
                <w:szCs w:val="25"/>
                <w:b/>
                <w:bCs/>
                <w:spacing w:val="-6"/>
              </w:rPr>
              <w:t>较轻</w:t>
            </w:r>
          </w:p>
        </w:tc>
        <w:tc>
          <w:tcPr>
            <w:tcW w:w="8344" w:type="dxa"/>
            <w:vAlign w:val="top"/>
          </w:tcPr>
          <w:p>
            <w:pPr>
              <w:pStyle w:val="TableText"/>
              <w:ind w:left="111"/>
              <w:spacing w:before="211" w:line="219" w:lineRule="auto"/>
              <w:rPr>
                <w:sz w:val="25"/>
                <w:szCs w:val="25"/>
              </w:rPr>
            </w:pPr>
            <w:r>
              <w:rPr>
                <w:sz w:val="25"/>
                <w:szCs w:val="25"/>
                <w:spacing w:val="1"/>
              </w:rPr>
              <w:t>非法为他人施行计划生育手术1例或违法所得不足3</w:t>
            </w:r>
            <w:r>
              <w:rPr>
                <w:sz w:val="25"/>
                <w:szCs w:val="25"/>
              </w:rPr>
              <w:t>000元的</w:t>
            </w:r>
          </w:p>
        </w:tc>
        <w:tc>
          <w:tcPr>
            <w:tcW w:w="4271" w:type="dxa"/>
            <w:vAlign w:val="top"/>
          </w:tcPr>
          <w:p>
            <w:pPr>
              <w:pStyle w:val="TableText"/>
              <w:ind w:left="97" w:right="11"/>
              <w:spacing w:before="60" w:line="221" w:lineRule="auto"/>
              <w:rPr>
                <w:sz w:val="25"/>
                <w:szCs w:val="25"/>
              </w:rPr>
            </w:pPr>
            <w:r>
              <w:rPr>
                <w:sz w:val="25"/>
                <w:szCs w:val="25"/>
                <w:spacing w:val="1"/>
              </w:rPr>
              <w:t>警告，没收违法所得，罚款10000元以</w:t>
            </w:r>
            <w:r>
              <w:rPr>
                <w:sz w:val="25"/>
                <w:szCs w:val="25"/>
                <w:spacing w:val="7"/>
              </w:rPr>
              <w:t xml:space="preserve"> </w:t>
            </w:r>
            <w:r>
              <w:rPr>
                <w:sz w:val="25"/>
                <w:szCs w:val="25"/>
                <w:spacing w:val="2"/>
              </w:rPr>
              <w:t>上18000元以下</w:t>
            </w:r>
          </w:p>
        </w:tc>
      </w:tr>
      <w:tr>
        <w:trPr>
          <w:trHeight w:val="668" w:hRule="atLeast"/>
        </w:trPr>
        <w:tc>
          <w:tcPr>
            <w:tcW w:w="1414" w:type="dxa"/>
            <w:vAlign w:val="top"/>
            <w:vMerge w:val="continue"/>
            <w:tcBorders>
              <w:top w:val="nil"/>
              <w:bottom w:val="nil"/>
            </w:tcBorders>
          </w:tcPr>
          <w:p>
            <w:pPr>
              <w:rPr>
                <w:rFonts w:ascii="Arial"/>
                <w:sz w:val="21"/>
              </w:rPr>
            </w:pPr>
            <w:r/>
          </w:p>
        </w:tc>
        <w:tc>
          <w:tcPr>
            <w:tcW w:w="8344" w:type="dxa"/>
            <w:vAlign w:val="top"/>
          </w:tcPr>
          <w:p>
            <w:pPr>
              <w:pStyle w:val="TableText"/>
              <w:ind w:left="114"/>
              <w:spacing w:before="208" w:line="219" w:lineRule="auto"/>
              <w:rPr>
                <w:sz w:val="25"/>
                <w:szCs w:val="25"/>
              </w:rPr>
            </w:pPr>
            <w:r>
              <w:rPr>
                <w:sz w:val="25"/>
                <w:szCs w:val="25"/>
                <w:b/>
                <w:bCs/>
                <w:spacing w:val="-2"/>
              </w:rPr>
              <w:t>非法为他人施行计划生育手术1例或违法所得3000元以上70</w:t>
            </w:r>
            <w:r>
              <w:rPr>
                <w:sz w:val="25"/>
                <w:szCs w:val="25"/>
                <w:b/>
                <w:bCs/>
                <w:spacing w:val="-3"/>
              </w:rPr>
              <w:t>00元以下的</w:t>
            </w:r>
          </w:p>
        </w:tc>
        <w:tc>
          <w:tcPr>
            <w:tcW w:w="4271" w:type="dxa"/>
            <w:vAlign w:val="top"/>
          </w:tcPr>
          <w:p>
            <w:pPr>
              <w:pStyle w:val="TableText"/>
              <w:ind w:left="97" w:right="11"/>
              <w:spacing w:before="59" w:line="221" w:lineRule="auto"/>
              <w:rPr>
                <w:sz w:val="25"/>
                <w:szCs w:val="25"/>
              </w:rPr>
            </w:pPr>
            <w:r>
              <w:rPr>
                <w:sz w:val="25"/>
                <w:szCs w:val="25"/>
                <w:spacing w:val="1"/>
              </w:rPr>
              <w:t>警告，没收违法所得，罚款18000元以</w:t>
            </w:r>
            <w:r>
              <w:rPr>
                <w:sz w:val="25"/>
                <w:szCs w:val="25"/>
                <w:spacing w:val="7"/>
              </w:rPr>
              <w:t xml:space="preserve"> </w:t>
            </w:r>
            <w:r>
              <w:rPr>
                <w:sz w:val="25"/>
                <w:szCs w:val="25"/>
                <w:spacing w:val="2"/>
              </w:rPr>
              <w:t>上24000元以下</w:t>
            </w:r>
          </w:p>
        </w:tc>
      </w:tr>
      <w:tr>
        <w:trPr>
          <w:trHeight w:val="688" w:hRule="atLeast"/>
        </w:trPr>
        <w:tc>
          <w:tcPr>
            <w:tcW w:w="1414" w:type="dxa"/>
            <w:vAlign w:val="top"/>
            <w:vMerge w:val="continue"/>
            <w:tcBorders>
              <w:top w:val="nil"/>
            </w:tcBorders>
          </w:tcPr>
          <w:p>
            <w:pPr>
              <w:rPr>
                <w:rFonts w:ascii="Arial"/>
                <w:sz w:val="21"/>
              </w:rPr>
            </w:pPr>
            <w:r/>
          </w:p>
        </w:tc>
        <w:tc>
          <w:tcPr>
            <w:tcW w:w="8344" w:type="dxa"/>
            <w:vAlign w:val="top"/>
          </w:tcPr>
          <w:p>
            <w:pPr>
              <w:pStyle w:val="TableText"/>
              <w:ind w:left="114"/>
              <w:spacing w:before="220" w:line="219" w:lineRule="auto"/>
              <w:rPr>
                <w:sz w:val="25"/>
                <w:szCs w:val="25"/>
              </w:rPr>
            </w:pPr>
            <w:r>
              <w:rPr>
                <w:sz w:val="25"/>
                <w:szCs w:val="25"/>
                <w:b/>
                <w:bCs/>
                <w:spacing w:val="-2"/>
              </w:rPr>
              <w:t>非法为他人施行计划生育手术1例或违法所得7000</w:t>
            </w:r>
            <w:r>
              <w:rPr>
                <w:sz w:val="25"/>
                <w:szCs w:val="25"/>
                <w:b/>
                <w:bCs/>
                <w:spacing w:val="-3"/>
              </w:rPr>
              <w:t>元以上10000元以下的</w:t>
            </w:r>
          </w:p>
        </w:tc>
        <w:tc>
          <w:tcPr>
            <w:tcW w:w="4271" w:type="dxa"/>
            <w:vAlign w:val="top"/>
          </w:tcPr>
          <w:p>
            <w:pPr>
              <w:pStyle w:val="TableText"/>
              <w:ind w:left="97" w:right="11"/>
              <w:spacing w:before="82" w:line="220" w:lineRule="auto"/>
              <w:rPr>
                <w:sz w:val="25"/>
                <w:szCs w:val="25"/>
              </w:rPr>
            </w:pPr>
            <w:r>
              <w:rPr>
                <w:sz w:val="25"/>
                <w:szCs w:val="25"/>
                <w:spacing w:val="1"/>
              </w:rPr>
              <w:t>警告，没收违法所得，罚款24000元以</w:t>
            </w:r>
            <w:r>
              <w:rPr>
                <w:sz w:val="25"/>
                <w:szCs w:val="25"/>
                <w:spacing w:val="7"/>
              </w:rPr>
              <w:t xml:space="preserve"> </w:t>
            </w:r>
            <w:r>
              <w:rPr>
                <w:sz w:val="25"/>
                <w:szCs w:val="25"/>
                <w:spacing w:val="2"/>
              </w:rPr>
              <w:t>上30000元以下</w:t>
            </w:r>
          </w:p>
        </w:tc>
      </w:tr>
      <w:tr>
        <w:trPr>
          <w:trHeight w:val="669" w:hRule="atLeast"/>
        </w:trPr>
        <w:tc>
          <w:tcPr>
            <w:tcW w:w="1414" w:type="dxa"/>
            <w:vAlign w:val="top"/>
          </w:tcPr>
          <w:p>
            <w:pPr>
              <w:pStyle w:val="TableText"/>
              <w:ind w:left="448"/>
              <w:spacing w:before="214" w:line="221" w:lineRule="auto"/>
              <w:rPr>
                <w:sz w:val="25"/>
                <w:szCs w:val="25"/>
              </w:rPr>
            </w:pPr>
            <w:r>
              <w:rPr>
                <w:sz w:val="25"/>
                <w:szCs w:val="25"/>
                <w:b/>
                <w:bCs/>
                <w:spacing w:val="-10"/>
              </w:rPr>
              <w:t>一般</w:t>
            </w:r>
          </w:p>
        </w:tc>
        <w:tc>
          <w:tcPr>
            <w:tcW w:w="8344" w:type="dxa"/>
            <w:vAlign w:val="top"/>
          </w:tcPr>
          <w:p>
            <w:pPr>
              <w:pStyle w:val="TableText"/>
              <w:ind w:left="111" w:firstLine="20"/>
              <w:spacing w:before="55" w:line="223" w:lineRule="auto"/>
              <w:rPr>
                <w:sz w:val="25"/>
                <w:szCs w:val="25"/>
              </w:rPr>
            </w:pPr>
            <w:r>
              <w:rPr>
                <w:sz w:val="25"/>
                <w:szCs w:val="25"/>
                <w:spacing w:val="-1"/>
              </w:rPr>
              <w:t>非法为他人施行计划生育手术2例以上5例以下或违法所得100</w:t>
            </w:r>
            <w:r>
              <w:rPr>
                <w:sz w:val="25"/>
                <w:szCs w:val="25"/>
                <w:spacing w:val="-2"/>
              </w:rPr>
              <w:t>00元以上30000</w:t>
            </w:r>
            <w:r>
              <w:rPr>
                <w:sz w:val="25"/>
                <w:szCs w:val="25"/>
              </w:rPr>
              <w:t xml:space="preserve"> </w:t>
            </w:r>
            <w:r>
              <w:rPr>
                <w:sz w:val="25"/>
                <w:szCs w:val="25"/>
                <w:spacing w:val="5"/>
              </w:rPr>
              <w:t>元以下</w:t>
            </w:r>
          </w:p>
        </w:tc>
        <w:tc>
          <w:tcPr>
            <w:tcW w:w="4271" w:type="dxa"/>
            <w:vAlign w:val="top"/>
          </w:tcPr>
          <w:p>
            <w:pPr>
              <w:pStyle w:val="TableText"/>
              <w:ind w:left="97" w:right="18"/>
              <w:spacing w:before="63" w:line="220" w:lineRule="auto"/>
              <w:rPr>
                <w:sz w:val="25"/>
                <w:szCs w:val="25"/>
              </w:rPr>
            </w:pPr>
            <w:r>
              <w:rPr>
                <w:sz w:val="25"/>
                <w:szCs w:val="25"/>
                <w:spacing w:val="1"/>
              </w:rPr>
              <w:t>警告，没收违法所得，罚款违法所得2</w:t>
            </w:r>
            <w:r>
              <w:rPr>
                <w:sz w:val="25"/>
                <w:szCs w:val="25"/>
                <w:spacing w:val="2"/>
              </w:rPr>
              <w:t xml:space="preserve"> </w:t>
            </w:r>
            <w:r>
              <w:rPr>
                <w:sz w:val="25"/>
                <w:szCs w:val="25"/>
                <w:spacing w:val="3"/>
              </w:rPr>
              <w:t>倍以上4倍以下</w:t>
            </w:r>
          </w:p>
        </w:tc>
      </w:tr>
      <w:tr>
        <w:trPr>
          <w:trHeight w:val="698" w:hRule="atLeast"/>
        </w:trPr>
        <w:tc>
          <w:tcPr>
            <w:tcW w:w="1414" w:type="dxa"/>
            <w:vAlign w:val="top"/>
          </w:tcPr>
          <w:p>
            <w:pPr>
              <w:pStyle w:val="TableText"/>
              <w:ind w:left="448"/>
              <w:spacing w:before="237" w:line="221" w:lineRule="auto"/>
              <w:rPr>
                <w:sz w:val="25"/>
                <w:szCs w:val="25"/>
              </w:rPr>
            </w:pPr>
            <w:r>
              <w:rPr>
                <w:sz w:val="25"/>
                <w:szCs w:val="25"/>
                <w:b/>
                <w:bCs/>
                <w:spacing w:val="-6"/>
              </w:rPr>
              <w:t>较重</w:t>
            </w:r>
          </w:p>
        </w:tc>
        <w:tc>
          <w:tcPr>
            <w:tcW w:w="8344" w:type="dxa"/>
            <w:vAlign w:val="top"/>
          </w:tcPr>
          <w:p>
            <w:pPr>
              <w:pStyle w:val="TableText"/>
              <w:ind w:left="111"/>
              <w:spacing w:before="237" w:line="219" w:lineRule="auto"/>
              <w:rPr>
                <w:sz w:val="25"/>
                <w:szCs w:val="25"/>
              </w:rPr>
            </w:pPr>
            <w:r>
              <w:rPr>
                <w:sz w:val="25"/>
                <w:szCs w:val="25"/>
              </w:rPr>
              <w:t>非法为他人施行计划生育手术5例以上或违法所得30000元上的</w:t>
            </w:r>
          </w:p>
        </w:tc>
        <w:tc>
          <w:tcPr>
            <w:tcW w:w="4271" w:type="dxa"/>
            <w:vAlign w:val="top"/>
          </w:tcPr>
          <w:p>
            <w:pPr>
              <w:pStyle w:val="TableText"/>
              <w:ind w:left="97" w:right="25"/>
              <w:spacing w:before="75" w:line="226" w:lineRule="auto"/>
              <w:rPr>
                <w:sz w:val="25"/>
                <w:szCs w:val="25"/>
              </w:rPr>
            </w:pPr>
            <w:r>
              <w:rPr>
                <w:sz w:val="25"/>
                <w:szCs w:val="25"/>
              </w:rPr>
              <w:t>警告，没收违法所得，罚款违法所得4</w:t>
            </w:r>
            <w:r>
              <w:rPr>
                <w:sz w:val="25"/>
                <w:szCs w:val="25"/>
                <w:spacing w:val="12"/>
              </w:rPr>
              <w:t xml:space="preserve"> </w:t>
            </w:r>
            <w:r>
              <w:rPr>
                <w:sz w:val="25"/>
                <w:szCs w:val="25"/>
                <w:spacing w:val="3"/>
              </w:rPr>
              <w:t>倍以上6倍以下</w:t>
            </w:r>
          </w:p>
        </w:tc>
      </w:tr>
      <w:tr>
        <w:trPr>
          <w:trHeight w:val="644" w:hRule="atLeast"/>
        </w:trPr>
        <w:tc>
          <w:tcPr>
            <w:tcW w:w="1414" w:type="dxa"/>
            <w:vAlign w:val="top"/>
          </w:tcPr>
          <w:p>
            <w:pPr>
              <w:pStyle w:val="TableText"/>
              <w:ind w:left="448"/>
              <w:spacing w:before="206" w:line="220" w:lineRule="auto"/>
              <w:rPr>
                <w:sz w:val="25"/>
                <w:szCs w:val="25"/>
              </w:rPr>
            </w:pPr>
            <w:r>
              <w:rPr>
                <w:sz w:val="25"/>
                <w:szCs w:val="25"/>
                <w:b/>
                <w:bCs/>
                <w:spacing w:val="-6"/>
              </w:rPr>
              <w:t>严重</w:t>
            </w:r>
          </w:p>
        </w:tc>
        <w:tc>
          <w:tcPr>
            <w:tcW w:w="8344" w:type="dxa"/>
            <w:vAlign w:val="top"/>
          </w:tcPr>
          <w:p>
            <w:pPr>
              <w:pStyle w:val="TableText"/>
              <w:ind w:left="111"/>
              <w:spacing w:before="210" w:line="220" w:lineRule="auto"/>
              <w:rPr>
                <w:sz w:val="25"/>
                <w:szCs w:val="25"/>
              </w:rPr>
            </w:pPr>
            <w:r>
              <w:rPr>
                <w:sz w:val="25"/>
                <w:szCs w:val="25"/>
                <w:spacing w:val="2"/>
              </w:rPr>
              <w:t>造成严重后果的</w:t>
            </w:r>
          </w:p>
        </w:tc>
        <w:tc>
          <w:tcPr>
            <w:tcW w:w="4271" w:type="dxa"/>
            <w:vAlign w:val="top"/>
          </w:tcPr>
          <w:p>
            <w:pPr>
              <w:pStyle w:val="TableText"/>
              <w:ind w:left="97"/>
              <w:spacing w:before="207" w:line="219" w:lineRule="auto"/>
              <w:rPr>
                <w:sz w:val="25"/>
                <w:szCs w:val="25"/>
              </w:rPr>
            </w:pPr>
            <w:r>
              <w:rPr>
                <w:sz w:val="25"/>
                <w:szCs w:val="25"/>
                <w:spacing w:val="2"/>
              </w:rPr>
              <w:t>吊销执业证书</w:t>
            </w:r>
          </w:p>
        </w:tc>
      </w:tr>
    </w:tbl>
    <w:p>
      <w:pPr>
        <w:ind w:left="484"/>
        <w:spacing w:before="170" w:line="220" w:lineRule="auto"/>
        <w:rPr>
          <w:rFonts w:ascii="FangSong" w:hAnsi="FangSong" w:eastAsia="FangSong" w:cs="FangSong"/>
          <w:sz w:val="24"/>
          <w:szCs w:val="24"/>
        </w:rPr>
      </w:pPr>
      <w:r>
        <w:rPr>
          <w:rFonts w:ascii="FangSong" w:hAnsi="FangSong" w:eastAsia="FangSong" w:cs="FangSong"/>
          <w:sz w:val="24"/>
          <w:szCs w:val="24"/>
          <w:spacing w:val="-1"/>
        </w:rPr>
        <w:t>备注：当医疗机构非法为他人施行计划生育手术的例数与违法所得不属于同一违法程度区间时，择重处</w:t>
      </w:r>
      <w:r>
        <w:rPr>
          <w:rFonts w:ascii="FangSong" w:hAnsi="FangSong" w:eastAsia="FangSong" w:cs="FangSong"/>
          <w:sz w:val="24"/>
          <w:szCs w:val="24"/>
          <w:spacing w:val="-2"/>
        </w:rPr>
        <w:t>罚。</w:t>
      </w:r>
    </w:p>
    <w:p>
      <w:pPr>
        <w:spacing w:line="220" w:lineRule="auto"/>
        <w:sectPr>
          <w:footerReference w:type="default" r:id="rId436"/>
          <w:pgSz w:w="16830" w:h="11900"/>
          <w:pgMar w:top="1011" w:right="1330" w:bottom="1125" w:left="1434" w:header="0" w:footer="783" w:gutter="0"/>
        </w:sectPr>
        <w:rPr>
          <w:rFonts w:ascii="FangSong" w:hAnsi="FangSong" w:eastAsia="FangSong" w:cs="FangSong"/>
          <w:sz w:val="24"/>
          <w:szCs w:val="24"/>
        </w:rPr>
      </w:pPr>
    </w:p>
    <w:p>
      <w:pPr>
        <w:pStyle w:val="BodyText"/>
        <w:spacing w:line="262" w:lineRule="auto"/>
        <w:rPr/>
      </w:pPr>
      <w:r/>
    </w:p>
    <w:p>
      <w:pPr>
        <w:pStyle w:val="BodyText"/>
        <w:spacing w:line="262" w:lineRule="auto"/>
        <w:rPr/>
      </w:pPr>
      <w:r/>
    </w:p>
    <w:p>
      <w:pPr>
        <w:pStyle w:val="BodyText"/>
        <w:spacing w:line="263" w:lineRule="auto"/>
        <w:rPr/>
      </w:pPr>
      <w:r/>
    </w:p>
    <w:p>
      <w:pPr>
        <w:ind w:left="29" w:right="412" w:firstLine="670"/>
        <w:spacing w:before="97" w:line="271" w:lineRule="auto"/>
        <w:rPr>
          <w:rFonts w:ascii="FangSong" w:hAnsi="FangSong" w:eastAsia="FangSong" w:cs="FangSong"/>
          <w:sz w:val="30"/>
          <w:szCs w:val="30"/>
        </w:rPr>
      </w:pPr>
      <w:bookmarkStart w:name="bookmark1082" w:id="456"/>
      <w:bookmarkEnd w:id="456"/>
      <w:r>
        <w:rPr>
          <w:rFonts w:ascii="FangSong" w:hAnsi="FangSong" w:eastAsia="FangSong" w:cs="FangSong"/>
          <w:sz w:val="30"/>
          <w:szCs w:val="30"/>
          <w:b/>
          <w:bCs/>
          <w:spacing w:val="21"/>
        </w:rPr>
        <w:t>第四百一十一条利用超声技术和其他技术手段为他人进行非医学需要的胎儿性别鉴</w:t>
      </w:r>
      <w:r>
        <w:rPr>
          <w:rFonts w:ascii="FangSong" w:hAnsi="FangSong" w:eastAsia="FangSong" w:cs="FangSong"/>
          <w:sz w:val="30"/>
          <w:szCs w:val="30"/>
          <w:b/>
          <w:bCs/>
          <w:spacing w:val="20"/>
        </w:rPr>
        <w:t>定或者选</w:t>
      </w:r>
      <w:r>
        <w:rPr>
          <w:rFonts w:ascii="FangSong" w:hAnsi="FangSong" w:eastAsia="FangSong" w:cs="FangSong"/>
          <w:sz w:val="30"/>
          <w:szCs w:val="30"/>
        </w:rPr>
        <w:t xml:space="preserve"> </w:t>
      </w:r>
      <w:r>
        <w:rPr>
          <w:rFonts w:ascii="FangSong" w:hAnsi="FangSong" w:eastAsia="FangSong" w:cs="FangSong"/>
          <w:sz w:val="30"/>
          <w:szCs w:val="30"/>
          <w:b/>
          <w:bCs/>
          <w:spacing w:val="16"/>
        </w:rPr>
        <w:t>择性别的人工终止妊娠的</w:t>
      </w:r>
    </w:p>
    <w:p>
      <w:pPr>
        <w:ind w:left="675"/>
        <w:spacing w:before="28"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firstLine="630"/>
        <w:spacing w:before="67" w:line="265" w:lineRule="auto"/>
        <w:jc w:val="both"/>
        <w:rPr>
          <w:rFonts w:ascii="FangSong" w:hAnsi="FangSong" w:eastAsia="FangSong" w:cs="FangSong"/>
          <w:sz w:val="30"/>
          <w:szCs w:val="30"/>
        </w:rPr>
      </w:pPr>
      <w:r>
        <w:rPr>
          <w:rFonts w:ascii="FangSong" w:hAnsi="FangSong" w:eastAsia="FangSong" w:cs="FangSong"/>
          <w:sz w:val="30"/>
          <w:szCs w:val="30"/>
          <w:spacing w:val="19"/>
        </w:rPr>
        <w:t>《中华人民共和国人口与计划生育法》第四十条第(二)项</w:t>
      </w:r>
      <w:r>
        <w:rPr>
          <w:rFonts w:ascii="FangSong" w:hAnsi="FangSong" w:eastAsia="FangSong" w:cs="FangSong"/>
          <w:sz w:val="30"/>
          <w:szCs w:val="30"/>
          <w:spacing w:val="18"/>
        </w:rPr>
        <w:t xml:space="preserve">  </w:t>
      </w:r>
      <w:r>
        <w:rPr>
          <w:rFonts w:ascii="FangSong" w:hAnsi="FangSong" w:eastAsia="FangSong" w:cs="FangSong"/>
          <w:sz w:val="30"/>
          <w:szCs w:val="30"/>
          <w:spacing w:val="18"/>
        </w:rPr>
        <w:t>违反本法规定，有下列行为之一的，</w:t>
      </w:r>
      <w:r>
        <w:rPr>
          <w:rFonts w:ascii="FangSong" w:hAnsi="FangSong" w:eastAsia="FangSong" w:cs="FangSong"/>
          <w:sz w:val="30"/>
          <w:szCs w:val="30"/>
        </w:rPr>
        <w:t xml:space="preserve"> </w:t>
      </w:r>
      <w:r>
        <w:rPr>
          <w:rFonts w:ascii="FangSong" w:hAnsi="FangSong" w:eastAsia="FangSong" w:cs="FangSong"/>
          <w:sz w:val="30"/>
          <w:szCs w:val="30"/>
          <w:spacing w:val="16"/>
        </w:rPr>
        <w:t>由卫生健康主管部门责令改正，给予警告，没收违法所得；违法所得一万元以上的，处违法所得二倍</w:t>
      </w:r>
      <w:r>
        <w:rPr>
          <w:rFonts w:ascii="FangSong" w:hAnsi="FangSong" w:eastAsia="FangSong" w:cs="FangSong"/>
          <w:sz w:val="30"/>
          <w:szCs w:val="30"/>
          <w:spacing w:val="6"/>
        </w:rPr>
        <w:t xml:space="preserve">  </w:t>
      </w:r>
      <w:r>
        <w:rPr>
          <w:rFonts w:ascii="FangSong" w:hAnsi="FangSong" w:eastAsia="FangSong" w:cs="FangSong"/>
          <w:sz w:val="30"/>
          <w:szCs w:val="30"/>
          <w:spacing w:val="18"/>
        </w:rPr>
        <w:t>以上六倍以下的罚款；没有违法所得或者违法所得不足一万元的，处一万元以上三万元以下的</w:t>
      </w:r>
      <w:r>
        <w:rPr>
          <w:rFonts w:ascii="FangSong" w:hAnsi="FangSong" w:eastAsia="FangSong" w:cs="FangSong"/>
          <w:sz w:val="30"/>
          <w:szCs w:val="30"/>
          <w:spacing w:val="17"/>
        </w:rPr>
        <w:t>罚款；</w:t>
      </w:r>
      <w:r>
        <w:rPr>
          <w:rFonts w:ascii="FangSong" w:hAnsi="FangSong" w:eastAsia="FangSong" w:cs="FangSong"/>
          <w:sz w:val="30"/>
          <w:szCs w:val="30"/>
        </w:rPr>
        <w:t xml:space="preserve"> </w:t>
      </w:r>
      <w:r>
        <w:rPr>
          <w:rFonts w:ascii="FangSong" w:hAnsi="FangSong" w:eastAsia="FangSong" w:cs="FangSong"/>
          <w:sz w:val="30"/>
          <w:szCs w:val="30"/>
          <w:spacing w:val="17"/>
        </w:rPr>
        <w:t>情节严重的，由原发证机关吊销执业证书；构成犯罪的，依法追究刑事责任：</w:t>
      </w:r>
    </w:p>
    <w:p>
      <w:pPr>
        <w:ind w:left="25" w:right="129" w:firstLine="769"/>
        <w:spacing w:before="35" w:line="280" w:lineRule="auto"/>
        <w:rPr>
          <w:rFonts w:ascii="FangSong" w:hAnsi="FangSong" w:eastAsia="FangSong" w:cs="FangSong"/>
          <w:sz w:val="30"/>
          <w:szCs w:val="30"/>
        </w:rPr>
      </w:pPr>
      <w:r>
        <w:rPr>
          <w:rFonts w:ascii="FangSong" w:hAnsi="FangSong" w:eastAsia="FangSong" w:cs="FangSong"/>
          <w:sz w:val="30"/>
          <w:szCs w:val="30"/>
          <w:spacing w:val="20"/>
        </w:rPr>
        <w:t>(二)利用超声技术和其他技术手段为他人进行非医学需要的胎儿性别鉴定或者选择性别的人工</w:t>
      </w:r>
      <w:r>
        <w:rPr>
          <w:rFonts w:ascii="FangSong" w:hAnsi="FangSong" w:eastAsia="FangSong" w:cs="FangSong"/>
          <w:sz w:val="30"/>
          <w:szCs w:val="30"/>
          <w:spacing w:val="9"/>
        </w:rPr>
        <w:t xml:space="preserve"> </w:t>
      </w:r>
      <w:r>
        <w:rPr>
          <w:rFonts w:ascii="FangSong" w:hAnsi="FangSong" w:eastAsia="FangSong" w:cs="FangSong"/>
          <w:sz w:val="30"/>
          <w:szCs w:val="30"/>
          <w:spacing w:val="6"/>
        </w:rPr>
        <w:t>终止妊娠的；</w:t>
      </w:r>
    </w:p>
    <w:p>
      <w:pPr>
        <w:ind w:left="6439"/>
        <w:spacing w:before="11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40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8324"/>
        <w:gridCol w:w="4282"/>
      </w:tblGrid>
      <w:tr>
        <w:trPr>
          <w:trHeight w:val="553" w:hRule="atLeast"/>
        </w:trPr>
        <w:tc>
          <w:tcPr>
            <w:tcW w:w="1444" w:type="dxa"/>
            <w:vAlign w:val="top"/>
          </w:tcPr>
          <w:p>
            <w:pPr>
              <w:pStyle w:val="TableText"/>
              <w:ind w:left="218"/>
              <w:spacing w:before="152" w:line="220" w:lineRule="auto"/>
              <w:rPr>
                <w:sz w:val="25"/>
                <w:szCs w:val="25"/>
              </w:rPr>
            </w:pPr>
            <w:r>
              <w:rPr>
                <w:sz w:val="25"/>
                <w:szCs w:val="25"/>
                <w:b/>
                <w:bCs/>
                <w:spacing w:val="-5"/>
              </w:rPr>
              <w:t>违法程度</w:t>
            </w:r>
          </w:p>
        </w:tc>
        <w:tc>
          <w:tcPr>
            <w:tcW w:w="8324" w:type="dxa"/>
            <w:vAlign w:val="top"/>
          </w:tcPr>
          <w:p>
            <w:pPr>
              <w:pStyle w:val="TableText"/>
              <w:ind w:left="3654"/>
              <w:spacing w:before="152" w:line="220" w:lineRule="auto"/>
              <w:rPr>
                <w:sz w:val="25"/>
                <w:szCs w:val="25"/>
              </w:rPr>
            </w:pPr>
            <w:r>
              <w:rPr>
                <w:sz w:val="25"/>
                <w:szCs w:val="25"/>
                <w:b/>
                <w:bCs/>
                <w:spacing w:val="-5"/>
              </w:rPr>
              <w:t>情节后果</w:t>
            </w:r>
          </w:p>
        </w:tc>
        <w:tc>
          <w:tcPr>
            <w:tcW w:w="4282" w:type="dxa"/>
            <w:vAlign w:val="top"/>
          </w:tcPr>
          <w:p>
            <w:pPr>
              <w:pStyle w:val="TableText"/>
              <w:ind w:left="1640"/>
              <w:spacing w:before="149" w:line="218" w:lineRule="auto"/>
              <w:rPr>
                <w:sz w:val="25"/>
                <w:szCs w:val="25"/>
              </w:rPr>
            </w:pPr>
            <w:r>
              <w:rPr>
                <w:sz w:val="25"/>
                <w:szCs w:val="25"/>
                <w:b/>
                <w:bCs/>
                <w:spacing w:val="-5"/>
              </w:rPr>
              <w:t>裁量幅度</w:t>
            </w:r>
          </w:p>
        </w:tc>
      </w:tr>
      <w:tr>
        <w:trPr>
          <w:trHeight w:val="787" w:hRule="atLeast"/>
        </w:trPr>
        <w:tc>
          <w:tcPr>
            <w:tcW w:w="1444"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pStyle w:val="TableText"/>
              <w:ind w:left="468"/>
              <w:spacing w:before="81" w:line="219" w:lineRule="auto"/>
              <w:rPr>
                <w:sz w:val="25"/>
                <w:szCs w:val="25"/>
              </w:rPr>
            </w:pPr>
            <w:r>
              <w:rPr>
                <w:sz w:val="25"/>
                <w:szCs w:val="25"/>
                <w:b/>
                <w:bCs/>
                <w:spacing w:val="-6"/>
              </w:rPr>
              <w:t>较轻</w:t>
            </w:r>
          </w:p>
        </w:tc>
        <w:tc>
          <w:tcPr>
            <w:tcW w:w="8324" w:type="dxa"/>
            <w:vAlign w:val="top"/>
          </w:tcPr>
          <w:p>
            <w:pPr>
              <w:pStyle w:val="TableText"/>
              <w:ind w:left="91" w:right="108"/>
              <w:spacing w:before="102" w:line="249" w:lineRule="auto"/>
              <w:rPr>
                <w:sz w:val="25"/>
                <w:szCs w:val="25"/>
              </w:rPr>
            </w:pPr>
            <w:r>
              <w:rPr>
                <w:sz w:val="25"/>
                <w:szCs w:val="25"/>
              </w:rPr>
              <w:t>利用超声技术和其他技术手段为1人(次)进行非</w:t>
            </w:r>
            <w:r>
              <w:rPr>
                <w:sz w:val="25"/>
                <w:szCs w:val="25"/>
                <w:spacing w:val="-1"/>
              </w:rPr>
              <w:t>医学需要的胎儿性别鉴定或</w:t>
            </w:r>
            <w:r>
              <w:rPr>
                <w:sz w:val="25"/>
                <w:szCs w:val="25"/>
              </w:rPr>
              <w:t xml:space="preserve"> </w:t>
            </w:r>
            <w:r>
              <w:rPr>
                <w:sz w:val="25"/>
                <w:szCs w:val="25"/>
              </w:rPr>
              <w:t>者选择性别的人工终止妊娠，没有违法所得或违法所得不足10000元的</w:t>
            </w:r>
          </w:p>
        </w:tc>
        <w:tc>
          <w:tcPr>
            <w:tcW w:w="4282" w:type="dxa"/>
            <w:vAlign w:val="top"/>
          </w:tcPr>
          <w:p>
            <w:pPr>
              <w:pStyle w:val="TableText"/>
              <w:ind w:left="125" w:hanging="59"/>
              <w:spacing w:before="110" w:line="246" w:lineRule="auto"/>
              <w:rPr>
                <w:sz w:val="25"/>
                <w:szCs w:val="25"/>
              </w:rPr>
            </w:pPr>
            <w:r>
              <w:rPr>
                <w:sz w:val="25"/>
                <w:szCs w:val="25"/>
                <w:spacing w:val="-3"/>
              </w:rPr>
              <w:t>责令改正，给予警告，没收违法所得，</w:t>
            </w:r>
            <w:r>
              <w:rPr>
                <w:sz w:val="25"/>
                <w:szCs w:val="25"/>
                <w:spacing w:val="5"/>
              </w:rPr>
              <w:t xml:space="preserve"> </w:t>
            </w:r>
            <w:r>
              <w:rPr>
                <w:sz w:val="25"/>
                <w:szCs w:val="25"/>
                <w:spacing w:val="-2"/>
              </w:rPr>
              <w:t>处以罚款10000元以上20000元以下</w:t>
            </w:r>
          </w:p>
        </w:tc>
      </w:tr>
      <w:tr>
        <w:trPr>
          <w:trHeight w:val="668" w:hRule="atLeast"/>
        </w:trPr>
        <w:tc>
          <w:tcPr>
            <w:tcW w:w="1444" w:type="dxa"/>
            <w:vAlign w:val="top"/>
            <w:vMerge w:val="continue"/>
            <w:tcBorders>
              <w:top w:val="nil"/>
            </w:tcBorders>
          </w:tcPr>
          <w:p>
            <w:pPr>
              <w:rPr>
                <w:rFonts w:ascii="Arial"/>
                <w:sz w:val="21"/>
              </w:rPr>
            </w:pPr>
            <w:r/>
          </w:p>
        </w:tc>
        <w:tc>
          <w:tcPr>
            <w:tcW w:w="8324" w:type="dxa"/>
            <w:vAlign w:val="top"/>
          </w:tcPr>
          <w:p>
            <w:pPr>
              <w:pStyle w:val="TableText"/>
              <w:ind w:left="94" w:right="105"/>
              <w:spacing w:before="62" w:line="220" w:lineRule="auto"/>
              <w:rPr>
                <w:sz w:val="25"/>
                <w:szCs w:val="25"/>
              </w:rPr>
            </w:pPr>
            <w:r>
              <w:rPr>
                <w:sz w:val="25"/>
                <w:szCs w:val="25"/>
                <w:b/>
                <w:bCs/>
                <w:spacing w:val="-3"/>
              </w:rPr>
              <w:t>利用超声技术和其他技术手段为1人(次)进行非医学需要的胎儿性别鉴定或</w:t>
            </w:r>
            <w:r>
              <w:rPr>
                <w:sz w:val="25"/>
                <w:szCs w:val="25"/>
              </w:rPr>
              <w:t xml:space="preserve"> </w:t>
            </w:r>
            <w:r>
              <w:rPr>
                <w:sz w:val="25"/>
                <w:szCs w:val="25"/>
                <w:b/>
                <w:bCs/>
                <w:spacing w:val="-3"/>
              </w:rPr>
              <w:t>者选择性别的人工终止妊娠，违法所得10000元</w:t>
            </w:r>
            <w:r>
              <w:rPr>
                <w:sz w:val="25"/>
                <w:szCs w:val="25"/>
                <w:b/>
                <w:bCs/>
                <w:spacing w:val="-4"/>
              </w:rPr>
              <w:t>以上的</w:t>
            </w:r>
          </w:p>
        </w:tc>
        <w:tc>
          <w:tcPr>
            <w:tcW w:w="4282" w:type="dxa"/>
            <w:vAlign w:val="top"/>
          </w:tcPr>
          <w:p>
            <w:pPr>
              <w:pStyle w:val="TableText"/>
              <w:ind w:left="145" w:hanging="79"/>
              <w:spacing w:before="62" w:line="220" w:lineRule="auto"/>
              <w:rPr>
                <w:sz w:val="25"/>
                <w:szCs w:val="25"/>
              </w:rPr>
            </w:pPr>
            <w:r>
              <w:rPr>
                <w:sz w:val="25"/>
                <w:szCs w:val="25"/>
                <w:spacing w:val="-3"/>
              </w:rPr>
              <w:t>责令改正，给予警告，没收违法所得，</w:t>
            </w:r>
            <w:r>
              <w:rPr>
                <w:sz w:val="25"/>
                <w:szCs w:val="25"/>
                <w:spacing w:val="5"/>
              </w:rPr>
              <w:t xml:space="preserve"> </w:t>
            </w:r>
            <w:r>
              <w:rPr>
                <w:sz w:val="25"/>
                <w:szCs w:val="25"/>
                <w:spacing w:val="-2"/>
              </w:rPr>
              <w:t>罚款违法所得2倍以上4倍以下</w:t>
            </w:r>
          </w:p>
        </w:tc>
      </w:tr>
      <w:tr>
        <w:trPr>
          <w:trHeight w:val="1012" w:hRule="atLeast"/>
        </w:trPr>
        <w:tc>
          <w:tcPr>
            <w:tcW w:w="1444" w:type="dxa"/>
            <w:vAlign w:val="top"/>
          </w:tcPr>
          <w:p>
            <w:pPr>
              <w:spacing w:line="302" w:lineRule="auto"/>
              <w:rPr>
                <w:rFonts w:ascii="Arial"/>
                <w:sz w:val="21"/>
              </w:rPr>
            </w:pPr>
            <w:r/>
          </w:p>
          <w:p>
            <w:pPr>
              <w:pStyle w:val="TableText"/>
              <w:ind w:left="468"/>
              <w:spacing w:before="81" w:line="221" w:lineRule="auto"/>
              <w:rPr>
                <w:sz w:val="25"/>
                <w:szCs w:val="25"/>
              </w:rPr>
            </w:pPr>
            <w:r>
              <w:rPr>
                <w:sz w:val="25"/>
                <w:szCs w:val="25"/>
                <w:b/>
                <w:bCs/>
                <w:spacing w:val="-10"/>
              </w:rPr>
              <w:t>一般</w:t>
            </w:r>
          </w:p>
        </w:tc>
        <w:tc>
          <w:tcPr>
            <w:tcW w:w="8324" w:type="dxa"/>
            <w:vAlign w:val="top"/>
          </w:tcPr>
          <w:p>
            <w:pPr>
              <w:pStyle w:val="TableText"/>
              <w:ind w:left="281"/>
              <w:spacing w:before="77" w:line="219" w:lineRule="auto"/>
              <w:rPr>
                <w:sz w:val="25"/>
                <w:szCs w:val="25"/>
              </w:rPr>
            </w:pPr>
            <w:r>
              <w:rPr>
                <w:sz w:val="25"/>
                <w:szCs w:val="25"/>
              </w:rPr>
              <w:t>利用超声技术和其他技术手段为1人(次)以上3人(次)以下进行非医学需</w:t>
            </w:r>
          </w:p>
          <w:p>
            <w:pPr>
              <w:pStyle w:val="TableText"/>
              <w:ind w:left="110" w:hanging="99"/>
              <w:spacing w:before="42" w:line="216" w:lineRule="auto"/>
              <w:rPr>
                <w:sz w:val="25"/>
                <w:szCs w:val="25"/>
              </w:rPr>
            </w:pPr>
            <w:r>
              <w:rPr>
                <w:sz w:val="25"/>
                <w:szCs w:val="25"/>
                <w:spacing w:val="-6"/>
              </w:rPr>
              <w:t>要的胎儿性别鉴定或者选择性别的人工终止妊娠，没有违法所得或违法所得不</w:t>
            </w:r>
            <w:r>
              <w:rPr>
                <w:sz w:val="25"/>
                <w:szCs w:val="25"/>
                <w:spacing w:val="6"/>
              </w:rPr>
              <w:t xml:space="preserve"> </w:t>
            </w:r>
            <w:r>
              <w:rPr>
                <w:sz w:val="25"/>
                <w:szCs w:val="25"/>
                <w:spacing w:val="1"/>
              </w:rPr>
              <w:t>足10000元的</w:t>
            </w:r>
          </w:p>
        </w:tc>
        <w:tc>
          <w:tcPr>
            <w:tcW w:w="4282" w:type="dxa"/>
            <w:vAlign w:val="top"/>
          </w:tcPr>
          <w:p>
            <w:pPr>
              <w:pStyle w:val="TableText"/>
              <w:ind w:left="125" w:hanging="59"/>
              <w:spacing w:before="244" w:line="256" w:lineRule="auto"/>
              <w:rPr>
                <w:sz w:val="25"/>
                <w:szCs w:val="25"/>
              </w:rPr>
            </w:pPr>
            <w:r>
              <w:rPr>
                <w:sz w:val="25"/>
                <w:szCs w:val="25"/>
                <w:spacing w:val="-3"/>
              </w:rPr>
              <w:t>责令改正，给予警告，没收违法所得，</w:t>
            </w:r>
            <w:r>
              <w:rPr>
                <w:sz w:val="25"/>
                <w:szCs w:val="25"/>
                <w:spacing w:val="5"/>
              </w:rPr>
              <w:t xml:space="preserve"> </w:t>
            </w:r>
            <w:r>
              <w:rPr>
                <w:sz w:val="25"/>
                <w:szCs w:val="25"/>
                <w:spacing w:val="-2"/>
              </w:rPr>
              <w:t>处以罚款20000元以上30000元以下</w:t>
            </w:r>
          </w:p>
        </w:tc>
      </w:tr>
    </w:tbl>
    <w:p>
      <w:pPr>
        <w:pStyle w:val="BodyText"/>
        <w:rPr/>
      </w:pPr>
      <w:r/>
    </w:p>
    <w:p>
      <w:pPr>
        <w:sectPr>
          <w:footerReference w:type="default" r:id="rId437"/>
          <w:pgSz w:w="16830" w:h="11900"/>
          <w:pgMar w:top="1011" w:right="1340" w:bottom="1117" w:left="1414" w:header="0" w:footer="784" w:gutter="0"/>
        </w:sectPr>
        <w:rPr/>
      </w:pPr>
    </w:p>
    <w:p>
      <w:pPr>
        <w:spacing w:before="20"/>
        <w:rPr/>
      </w:pPr>
      <w:r/>
    </w:p>
    <w:p>
      <w:pPr>
        <w:spacing w:before="20"/>
        <w:rPr/>
      </w:pPr>
      <w:r/>
    </w:p>
    <w:p>
      <w:pPr>
        <w:spacing w:before="19"/>
        <w:rPr/>
      </w:pPr>
      <w:r/>
    </w:p>
    <w:tbl>
      <w:tblPr>
        <w:tblStyle w:val="TableNormal"/>
        <w:tblW w:w="14029"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8363"/>
        <w:gridCol w:w="4262"/>
      </w:tblGrid>
      <w:tr>
        <w:trPr>
          <w:trHeight w:val="1001" w:hRule="atLeast"/>
        </w:trPr>
        <w:tc>
          <w:tcPr>
            <w:tcW w:w="1404" w:type="dxa"/>
            <w:vAlign w:val="top"/>
          </w:tcPr>
          <w:p>
            <w:pPr>
              <w:rPr>
                <w:rFonts w:ascii="Arial"/>
                <w:sz w:val="21"/>
              </w:rPr>
            </w:pPr>
            <w:r/>
          </w:p>
        </w:tc>
        <w:tc>
          <w:tcPr>
            <w:tcW w:w="8363" w:type="dxa"/>
            <w:vAlign w:val="top"/>
          </w:tcPr>
          <w:p>
            <w:pPr>
              <w:pStyle w:val="TableText"/>
              <w:ind w:left="121" w:right="413" w:firstLine="330"/>
              <w:spacing w:before="223" w:line="264" w:lineRule="auto"/>
              <w:rPr/>
            </w:pPr>
            <w:bookmarkStart w:name="bookmark1083" w:id="457"/>
            <w:bookmarkEnd w:id="457"/>
            <w:r>
              <w:rPr/>
              <w:t>利用超声技术和其他技术手段为1人(次)以上3人(次)以下进行非医学需</w:t>
            </w:r>
            <w:r>
              <w:rPr>
                <w:spacing w:val="13"/>
              </w:rPr>
              <w:t xml:space="preserve"> </w:t>
            </w:r>
            <w:r>
              <w:rPr/>
              <w:t>要的胎儿性别鉴定或者选择性别的人工终止妊娠，违法所得10000元以上的</w:t>
            </w:r>
          </w:p>
        </w:tc>
        <w:tc>
          <w:tcPr>
            <w:tcW w:w="4262" w:type="dxa"/>
            <w:vAlign w:val="top"/>
          </w:tcPr>
          <w:p>
            <w:pPr>
              <w:pStyle w:val="TableText"/>
              <w:ind w:left="138" w:right="23" w:firstLine="10"/>
              <w:spacing w:before="222" w:line="288" w:lineRule="auto"/>
              <w:rPr/>
            </w:pPr>
            <w:r>
              <w:rPr/>
              <w:t>责令改正，给予警告，没收违法所得， </w:t>
            </w:r>
            <w:r>
              <w:rPr>
                <w:spacing w:val="1"/>
              </w:rPr>
              <w:t>罚款违法所得4倍以上5倍以下</w:t>
            </w:r>
          </w:p>
        </w:tc>
      </w:tr>
      <w:tr>
        <w:trPr>
          <w:trHeight w:val="1027" w:hRule="atLeast"/>
        </w:trPr>
        <w:tc>
          <w:tcPr>
            <w:tcW w:w="1404" w:type="dxa"/>
            <w:vAlign w:val="top"/>
            <w:vMerge w:val="restart"/>
            <w:tcBorders>
              <w:bottom w:val="nil"/>
            </w:tcBorders>
          </w:tcPr>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458"/>
              <w:spacing w:before="78" w:line="221" w:lineRule="auto"/>
              <w:rPr/>
            </w:pPr>
            <w:r>
              <w:rPr>
                <w:b/>
                <w:bCs/>
                <w:spacing w:val="-5"/>
              </w:rPr>
              <w:t>较重</w:t>
            </w:r>
          </w:p>
        </w:tc>
        <w:tc>
          <w:tcPr>
            <w:tcW w:w="8363" w:type="dxa"/>
            <w:vAlign w:val="top"/>
          </w:tcPr>
          <w:p>
            <w:pPr>
              <w:pStyle w:val="TableText"/>
              <w:ind w:left="100" w:right="101" w:firstLine="169"/>
              <w:spacing w:before="84" w:line="239" w:lineRule="auto"/>
              <w:jc w:val="both"/>
              <w:rPr/>
            </w:pPr>
            <w:r>
              <w:rPr/>
              <w:t>利用超声技术和其他技术手段为3人(次)以上进行非医学需要的胎儿性别鉴</w:t>
            </w:r>
            <w:r>
              <w:rPr>
                <w:spacing w:val="5"/>
              </w:rPr>
              <w:t xml:space="preserve">  </w:t>
            </w:r>
            <w:r>
              <w:rPr>
                <w:spacing w:val="3"/>
              </w:rPr>
              <w:t>定或者选择性别的人工终止妊娠，没有违法所得或违法所得不足10000元的，</w:t>
            </w:r>
            <w:r>
              <w:rPr>
                <w:spacing w:val="1"/>
              </w:rPr>
              <w:t xml:space="preserve"> </w:t>
            </w:r>
            <w:r>
              <w:rPr>
                <w:spacing w:val="2"/>
              </w:rPr>
              <w:t>或造成严重后果的</w:t>
            </w:r>
          </w:p>
        </w:tc>
        <w:tc>
          <w:tcPr>
            <w:tcW w:w="4262" w:type="dxa"/>
            <w:vAlign w:val="top"/>
          </w:tcPr>
          <w:p>
            <w:pPr>
              <w:pStyle w:val="TableText"/>
              <w:ind w:left="117" w:right="23" w:firstLine="30"/>
              <w:spacing w:before="251" w:line="264" w:lineRule="auto"/>
              <w:rPr/>
            </w:pPr>
            <w:r>
              <w:rPr/>
              <w:t>责令改正，给予警告，没收违法所得， </w:t>
            </w:r>
            <w:r>
              <w:rPr/>
              <w:t>处以罚款30000元，并吊销执业证书</w:t>
            </w:r>
          </w:p>
        </w:tc>
      </w:tr>
      <w:tr>
        <w:trPr>
          <w:trHeight w:val="1021" w:hRule="atLeast"/>
        </w:trPr>
        <w:tc>
          <w:tcPr>
            <w:tcW w:w="1404" w:type="dxa"/>
            <w:vAlign w:val="top"/>
            <w:vMerge w:val="continue"/>
            <w:tcBorders>
              <w:top w:val="nil"/>
            </w:tcBorders>
          </w:tcPr>
          <w:p>
            <w:pPr>
              <w:rPr>
                <w:rFonts w:ascii="Arial"/>
                <w:sz w:val="21"/>
              </w:rPr>
            </w:pPr>
            <w:r/>
          </w:p>
        </w:tc>
        <w:tc>
          <w:tcPr>
            <w:tcW w:w="8363" w:type="dxa"/>
            <w:vAlign w:val="top"/>
          </w:tcPr>
          <w:p>
            <w:pPr>
              <w:pStyle w:val="TableText"/>
              <w:ind w:left="150" w:right="147" w:firstLine="119"/>
              <w:spacing w:before="76" w:line="256" w:lineRule="auto"/>
              <w:rPr/>
            </w:pPr>
            <w:r>
              <w:rPr/>
              <w:t>利用超声技术和其他技术手段为3人(次)以上进行非医学需要的胎儿性别鉴</w:t>
            </w:r>
            <w:r>
              <w:rPr>
                <w:spacing w:val="5"/>
              </w:rPr>
              <w:t xml:space="preserve">  </w:t>
            </w:r>
            <w:r>
              <w:rPr/>
              <w:t>定或者选择性别的人工终止妊娠，违法所得10000元以上的，或造成严重后果</w:t>
            </w:r>
          </w:p>
          <w:p>
            <w:pPr>
              <w:pStyle w:val="TableText"/>
              <w:ind w:left="100"/>
              <w:spacing w:before="9" w:line="200" w:lineRule="auto"/>
              <w:rPr/>
            </w:pPr>
            <w:r>
              <w:rPr>
                <w:color w:val="505060"/>
              </w:rPr>
              <w:t>的</w:t>
            </w:r>
          </w:p>
        </w:tc>
        <w:tc>
          <w:tcPr>
            <w:tcW w:w="4262" w:type="dxa"/>
            <w:vAlign w:val="top"/>
          </w:tcPr>
          <w:p>
            <w:pPr>
              <w:pStyle w:val="TableText"/>
              <w:ind w:left="108" w:right="23" w:firstLine="40"/>
              <w:spacing w:before="74"/>
              <w:jc w:val="both"/>
              <w:rPr/>
            </w:pPr>
            <w:r>
              <w:rPr/>
              <w:t>责令改正，给予警告，没收违法所得， </w:t>
            </w:r>
            <w:r>
              <w:rPr>
                <w:spacing w:val="7"/>
              </w:rPr>
              <w:t>罚款违法所得5倍以上6倍以下，并吊</w:t>
            </w:r>
            <w:r>
              <w:rPr>
                <w:spacing w:val="4"/>
              </w:rPr>
              <w:t xml:space="preserve">  </w:t>
            </w:r>
            <w:r>
              <w:rPr>
                <w:spacing w:val="3"/>
              </w:rPr>
              <w:t>销执业证书</w:t>
            </w:r>
          </w:p>
        </w:tc>
      </w:tr>
    </w:tbl>
    <w:p>
      <w:pPr>
        <w:pStyle w:val="BodyText"/>
        <w:spacing w:line="456" w:lineRule="auto"/>
        <w:rPr/>
      </w:pPr>
      <w:r/>
    </w:p>
    <w:p>
      <w:pPr>
        <w:ind w:left="67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第四百一十二条托育机构违反托育服务违反相关标准和规范的</w:t>
      </w:r>
    </w:p>
    <w:p>
      <w:pPr>
        <w:ind w:left="664"/>
        <w:spacing w:before="110" w:line="222" w:lineRule="auto"/>
        <w:rPr>
          <w:rFonts w:ascii="FangSong" w:hAnsi="FangSong" w:eastAsia="FangSong" w:cs="FangSong"/>
          <w:sz w:val="30"/>
          <w:szCs w:val="30"/>
        </w:rPr>
      </w:pPr>
      <w:r>
        <w:rPr>
          <w:rFonts w:ascii="FangSong" w:hAnsi="FangSong" w:eastAsia="FangSong" w:cs="FangSong"/>
          <w:sz w:val="30"/>
          <w:szCs w:val="30"/>
        </w:rPr>
        <w:t>法律依据：</w:t>
      </w:r>
    </w:p>
    <w:p>
      <w:pPr>
        <w:ind w:left="25" w:right="72" w:firstLine="619"/>
        <w:spacing w:before="76" w:line="264" w:lineRule="auto"/>
        <w:jc w:val="both"/>
        <w:rPr>
          <w:rFonts w:ascii="FangSong" w:hAnsi="FangSong" w:eastAsia="FangSong" w:cs="FangSong"/>
          <w:sz w:val="30"/>
          <w:szCs w:val="30"/>
        </w:rPr>
      </w:pPr>
      <w:r>
        <w:rPr>
          <w:rFonts w:ascii="FangSong" w:hAnsi="FangSong" w:eastAsia="FangSong" w:cs="FangSong"/>
          <w:sz w:val="30"/>
          <w:szCs w:val="30"/>
          <w:spacing w:val="17"/>
        </w:rPr>
        <w:t>《中华人民共和国人口与计划生育法》第四十一条第一款</w:t>
      </w:r>
      <w:r>
        <w:rPr>
          <w:rFonts w:ascii="FangSong" w:hAnsi="FangSong" w:eastAsia="FangSong" w:cs="FangSong"/>
          <w:sz w:val="30"/>
          <w:szCs w:val="30"/>
          <w:spacing w:val="17"/>
        </w:rPr>
        <w:t xml:space="preserve">  </w:t>
      </w:r>
      <w:r>
        <w:rPr>
          <w:rFonts w:ascii="FangSong" w:hAnsi="FangSong" w:eastAsia="FangSong" w:cs="FangSong"/>
          <w:sz w:val="30"/>
          <w:szCs w:val="30"/>
          <w:spacing w:val="17"/>
        </w:rPr>
        <w:t>托育机构违反托育服务相关标准和规</w:t>
      </w:r>
      <w:r>
        <w:rPr>
          <w:rFonts w:ascii="FangSong" w:hAnsi="FangSong" w:eastAsia="FangSong" w:cs="FangSong"/>
          <w:sz w:val="30"/>
          <w:szCs w:val="30"/>
        </w:rPr>
        <w:t xml:space="preserve"> </w:t>
      </w:r>
      <w:r>
        <w:rPr>
          <w:rFonts w:ascii="FangSong" w:hAnsi="FangSong" w:eastAsia="FangSong" w:cs="FangSong"/>
          <w:sz w:val="30"/>
          <w:szCs w:val="30"/>
          <w:spacing w:val="16"/>
        </w:rPr>
        <w:t>范的，由卫生健康主管部门责令改正，给于警告；拒不改正的，处五千元以上五万元以下的罚款；情</w:t>
      </w:r>
      <w:r>
        <w:rPr>
          <w:rFonts w:ascii="FangSong" w:hAnsi="FangSong" w:eastAsia="FangSong" w:cs="FangSong"/>
          <w:sz w:val="30"/>
          <w:szCs w:val="30"/>
          <w:spacing w:val="13"/>
        </w:rPr>
        <w:t xml:space="preserve"> </w:t>
      </w:r>
      <w:r>
        <w:rPr>
          <w:rFonts w:ascii="FangSong" w:hAnsi="FangSong" w:eastAsia="FangSong" w:cs="FangSong"/>
          <w:sz w:val="30"/>
          <w:szCs w:val="30"/>
          <w:spacing w:val="17"/>
        </w:rPr>
        <w:t>节严重的，责令停止托育服务，并处五万元以上十万元以下的罚款。</w:t>
      </w:r>
    </w:p>
    <w:p>
      <w:pPr>
        <w:ind w:left="6428"/>
        <w:spacing w:before="184"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6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53"/>
        <w:gridCol w:w="6705"/>
        <w:gridCol w:w="5011"/>
      </w:tblGrid>
      <w:tr>
        <w:trPr>
          <w:trHeight w:val="591" w:hRule="atLeast"/>
        </w:trPr>
        <w:tc>
          <w:tcPr>
            <w:tcW w:w="1953" w:type="dxa"/>
            <w:vAlign w:val="top"/>
          </w:tcPr>
          <w:p>
            <w:pPr>
              <w:pStyle w:val="TableText"/>
              <w:ind w:left="448"/>
              <w:spacing w:before="212" w:line="220" w:lineRule="auto"/>
              <w:rPr>
                <w:sz w:val="26"/>
                <w:szCs w:val="26"/>
              </w:rPr>
            </w:pPr>
            <w:r>
              <w:rPr>
                <w:sz w:val="26"/>
                <w:szCs w:val="26"/>
                <w:b/>
                <w:bCs/>
                <w:spacing w:val="-5"/>
              </w:rPr>
              <w:t>违法程度</w:t>
            </w:r>
          </w:p>
        </w:tc>
        <w:tc>
          <w:tcPr>
            <w:tcW w:w="6705" w:type="dxa"/>
            <w:vAlign w:val="top"/>
          </w:tcPr>
          <w:p>
            <w:pPr>
              <w:pStyle w:val="TableText"/>
              <w:ind w:left="2785"/>
              <w:spacing w:before="212" w:line="220" w:lineRule="auto"/>
              <w:rPr>
                <w:sz w:val="26"/>
                <w:szCs w:val="26"/>
              </w:rPr>
            </w:pPr>
            <w:r>
              <w:rPr>
                <w:sz w:val="26"/>
                <w:szCs w:val="26"/>
                <w:b/>
                <w:bCs/>
                <w:spacing w:val="-5"/>
              </w:rPr>
              <w:t>情节后果</w:t>
            </w:r>
          </w:p>
        </w:tc>
        <w:tc>
          <w:tcPr>
            <w:tcW w:w="5011" w:type="dxa"/>
            <w:vAlign w:val="top"/>
          </w:tcPr>
          <w:p>
            <w:pPr>
              <w:pStyle w:val="TableText"/>
              <w:ind w:left="1940"/>
              <w:spacing w:before="209" w:line="218" w:lineRule="auto"/>
              <w:rPr>
                <w:sz w:val="26"/>
                <w:szCs w:val="26"/>
              </w:rPr>
            </w:pPr>
            <w:r>
              <w:rPr>
                <w:sz w:val="26"/>
                <w:szCs w:val="26"/>
                <w:b/>
                <w:bCs/>
                <w:spacing w:val="-5"/>
              </w:rPr>
              <w:t>裁量幅度</w:t>
            </w:r>
          </w:p>
        </w:tc>
      </w:tr>
      <w:tr>
        <w:trPr>
          <w:trHeight w:val="1059" w:hRule="atLeast"/>
        </w:trPr>
        <w:tc>
          <w:tcPr>
            <w:tcW w:w="1953" w:type="dxa"/>
            <w:vAlign w:val="top"/>
          </w:tcPr>
          <w:p>
            <w:pPr>
              <w:spacing w:line="314" w:lineRule="auto"/>
              <w:rPr>
                <w:rFonts w:ascii="Arial"/>
                <w:sz w:val="21"/>
              </w:rPr>
            </w:pPr>
            <w:r/>
          </w:p>
          <w:p>
            <w:pPr>
              <w:pStyle w:val="TableText"/>
              <w:ind w:left="708"/>
              <w:spacing w:before="85" w:line="219" w:lineRule="auto"/>
              <w:rPr>
                <w:sz w:val="26"/>
                <w:szCs w:val="26"/>
              </w:rPr>
            </w:pPr>
            <w:r>
              <w:rPr>
                <w:sz w:val="26"/>
                <w:szCs w:val="26"/>
                <w:b/>
                <w:bCs/>
                <w:spacing w:val="-6"/>
              </w:rPr>
              <w:t>较轻</w:t>
            </w:r>
          </w:p>
        </w:tc>
        <w:tc>
          <w:tcPr>
            <w:tcW w:w="6705" w:type="dxa"/>
            <w:vAlign w:val="top"/>
          </w:tcPr>
          <w:p>
            <w:pPr>
              <w:spacing w:line="313" w:lineRule="auto"/>
              <w:rPr>
                <w:rFonts w:ascii="Arial"/>
                <w:sz w:val="21"/>
              </w:rPr>
            </w:pPr>
            <w:r/>
          </w:p>
          <w:p>
            <w:pPr>
              <w:pStyle w:val="TableText"/>
              <w:ind w:left="115"/>
              <w:spacing w:before="84" w:line="219" w:lineRule="auto"/>
              <w:rPr>
                <w:sz w:val="26"/>
                <w:szCs w:val="26"/>
              </w:rPr>
            </w:pPr>
            <w:r>
              <w:rPr>
                <w:sz w:val="26"/>
                <w:szCs w:val="26"/>
                <w:b/>
                <w:bCs/>
                <w:spacing w:val="-3"/>
              </w:rPr>
              <w:t>首次发现托育机构违反托育服务相关标准和规范的</w:t>
            </w:r>
          </w:p>
        </w:tc>
        <w:tc>
          <w:tcPr>
            <w:tcW w:w="5011" w:type="dxa"/>
            <w:vAlign w:val="top"/>
          </w:tcPr>
          <w:p>
            <w:pPr>
              <w:spacing w:line="312" w:lineRule="auto"/>
              <w:rPr>
                <w:rFonts w:ascii="Arial"/>
                <w:sz w:val="21"/>
              </w:rPr>
            </w:pPr>
            <w:r/>
          </w:p>
          <w:p>
            <w:pPr>
              <w:pStyle w:val="TableText"/>
              <w:ind w:left="90"/>
              <w:spacing w:before="84" w:line="218" w:lineRule="auto"/>
              <w:rPr>
                <w:sz w:val="26"/>
                <w:szCs w:val="26"/>
              </w:rPr>
            </w:pPr>
            <w:r>
              <w:rPr>
                <w:sz w:val="26"/>
                <w:szCs w:val="26"/>
                <w:b/>
                <w:bCs/>
                <w:color w:val="405050"/>
                <w:spacing w:val="2"/>
              </w:rPr>
              <w:t>警告</w:t>
            </w:r>
          </w:p>
        </w:tc>
      </w:tr>
    </w:tbl>
    <w:p>
      <w:pPr>
        <w:pStyle w:val="BodyText"/>
        <w:rPr/>
      </w:pPr>
      <w:r/>
    </w:p>
    <w:p>
      <w:pPr>
        <w:sectPr>
          <w:footerReference w:type="default" r:id="rId438"/>
          <w:pgSz w:w="16830" w:h="11900"/>
          <w:pgMar w:top="1011" w:right="1355" w:bottom="1124" w:left="1425" w:header="0" w:footer="782" w:gutter="0"/>
        </w:sectPr>
        <w:rPr/>
      </w:pPr>
    </w:p>
    <w:p>
      <w:pPr>
        <w:spacing w:before="13"/>
        <w:rPr/>
      </w:pPr>
      <w:r/>
    </w:p>
    <w:p>
      <w:pPr>
        <w:spacing w:before="13"/>
        <w:rPr/>
      </w:pPr>
      <w:r/>
    </w:p>
    <w:p>
      <w:pPr>
        <w:spacing w:before="13"/>
        <w:rPr/>
      </w:pPr>
      <w:r/>
    </w:p>
    <w:tbl>
      <w:tblPr>
        <w:tblStyle w:val="TableNormal"/>
        <w:tblW w:w="136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53"/>
        <w:gridCol w:w="6685"/>
        <w:gridCol w:w="5011"/>
      </w:tblGrid>
      <w:tr>
        <w:trPr>
          <w:trHeight w:val="703" w:hRule="atLeast"/>
        </w:trPr>
        <w:tc>
          <w:tcPr>
            <w:tcW w:w="1953" w:type="dxa"/>
            <w:vAlign w:val="top"/>
            <w:vMerge w:val="restart"/>
            <w:tcBorders>
              <w:bottom w:val="nil"/>
            </w:tcBorders>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pStyle w:val="TableText"/>
              <w:ind w:left="718"/>
              <w:spacing w:before="81" w:line="221" w:lineRule="auto"/>
              <w:rPr>
                <w:sz w:val="25"/>
                <w:szCs w:val="25"/>
              </w:rPr>
            </w:pPr>
            <w:bookmarkStart w:name="bookmark1084" w:id="458"/>
            <w:bookmarkEnd w:id="458"/>
            <w:r>
              <w:rPr>
                <w:sz w:val="25"/>
                <w:szCs w:val="25"/>
                <w:b/>
                <w:bCs/>
                <w:spacing w:val="-10"/>
              </w:rPr>
              <w:t>一般</w:t>
            </w:r>
          </w:p>
        </w:tc>
        <w:tc>
          <w:tcPr>
            <w:tcW w:w="6685" w:type="dxa"/>
            <w:vAlign w:val="top"/>
          </w:tcPr>
          <w:p>
            <w:pPr>
              <w:pStyle w:val="TableText"/>
              <w:ind w:left="92"/>
              <w:spacing w:before="94" w:line="221" w:lineRule="auto"/>
              <w:rPr>
                <w:sz w:val="25"/>
                <w:szCs w:val="25"/>
              </w:rPr>
            </w:pPr>
            <w:r>
              <w:rPr>
                <w:sz w:val="25"/>
                <w:szCs w:val="25"/>
                <w:spacing w:val="-6"/>
              </w:rPr>
              <w:t>托育机构违反托育服务相关标准和规范，首次</w:t>
            </w:r>
            <w:r>
              <w:rPr>
                <w:sz w:val="25"/>
                <w:szCs w:val="25"/>
                <w:spacing w:val="-7"/>
              </w:rPr>
              <w:t>发现未改正，违</w:t>
            </w:r>
            <w:r>
              <w:rPr>
                <w:sz w:val="25"/>
                <w:szCs w:val="25"/>
              </w:rPr>
              <w:t xml:space="preserve"> </w:t>
            </w:r>
            <w:r>
              <w:rPr>
                <w:sz w:val="25"/>
                <w:szCs w:val="25"/>
                <w:spacing w:val="1"/>
              </w:rPr>
              <w:t>反托育服务相关标准和规范其中1条的</w:t>
            </w:r>
          </w:p>
        </w:tc>
        <w:tc>
          <w:tcPr>
            <w:tcW w:w="5011" w:type="dxa"/>
            <w:vAlign w:val="top"/>
          </w:tcPr>
          <w:p>
            <w:pPr>
              <w:pStyle w:val="TableText"/>
              <w:ind w:left="107"/>
              <w:spacing w:before="236" w:line="220" w:lineRule="auto"/>
              <w:rPr>
                <w:sz w:val="25"/>
                <w:szCs w:val="25"/>
              </w:rPr>
            </w:pPr>
            <w:r>
              <w:rPr>
                <w:sz w:val="25"/>
                <w:szCs w:val="25"/>
                <w:spacing w:val="1"/>
              </w:rPr>
              <w:t>罚款5000元以上10000元以下</w:t>
            </w:r>
          </w:p>
        </w:tc>
      </w:tr>
      <w:tr>
        <w:trPr>
          <w:trHeight w:val="679" w:hRule="atLeast"/>
        </w:trPr>
        <w:tc>
          <w:tcPr>
            <w:tcW w:w="1953" w:type="dxa"/>
            <w:vAlign w:val="top"/>
            <w:vMerge w:val="continue"/>
            <w:tcBorders>
              <w:top w:val="nil"/>
              <w:bottom w:val="nil"/>
            </w:tcBorders>
          </w:tcPr>
          <w:p>
            <w:pPr>
              <w:rPr>
                <w:rFonts w:ascii="Arial"/>
                <w:sz w:val="21"/>
              </w:rPr>
            </w:pPr>
            <w:r/>
          </w:p>
        </w:tc>
        <w:tc>
          <w:tcPr>
            <w:tcW w:w="6685" w:type="dxa"/>
            <w:vAlign w:val="top"/>
          </w:tcPr>
          <w:p>
            <w:pPr>
              <w:pStyle w:val="TableText"/>
              <w:ind w:left="92"/>
              <w:spacing w:before="81" w:line="217" w:lineRule="auto"/>
              <w:rPr>
                <w:sz w:val="25"/>
                <w:szCs w:val="25"/>
              </w:rPr>
            </w:pPr>
            <w:r>
              <w:rPr>
                <w:sz w:val="25"/>
                <w:szCs w:val="25"/>
                <w:spacing w:val="-6"/>
              </w:rPr>
              <w:t>托育机构违反托育服务相关标准和规范，首次</w:t>
            </w:r>
            <w:r>
              <w:rPr>
                <w:sz w:val="25"/>
                <w:szCs w:val="25"/>
                <w:spacing w:val="-7"/>
              </w:rPr>
              <w:t>发现未改正，违</w:t>
            </w:r>
            <w:r>
              <w:rPr>
                <w:sz w:val="25"/>
                <w:szCs w:val="25"/>
              </w:rPr>
              <w:t xml:space="preserve"> </w:t>
            </w:r>
            <w:r>
              <w:rPr>
                <w:sz w:val="25"/>
                <w:szCs w:val="25"/>
                <w:spacing w:val="1"/>
              </w:rPr>
              <w:t>反托育服务相关标准和规范其中2条的</w:t>
            </w:r>
          </w:p>
        </w:tc>
        <w:tc>
          <w:tcPr>
            <w:tcW w:w="5011" w:type="dxa"/>
            <w:vAlign w:val="top"/>
          </w:tcPr>
          <w:p>
            <w:pPr>
              <w:pStyle w:val="TableText"/>
              <w:ind w:left="107"/>
              <w:spacing w:before="223" w:line="220" w:lineRule="auto"/>
              <w:rPr>
                <w:sz w:val="25"/>
                <w:szCs w:val="25"/>
              </w:rPr>
            </w:pPr>
            <w:r>
              <w:rPr>
                <w:sz w:val="25"/>
                <w:szCs w:val="25"/>
              </w:rPr>
              <w:t>罚款10000元以上20000以下</w:t>
            </w:r>
          </w:p>
        </w:tc>
      </w:tr>
      <w:tr>
        <w:trPr>
          <w:trHeight w:val="698" w:hRule="atLeast"/>
        </w:trPr>
        <w:tc>
          <w:tcPr>
            <w:tcW w:w="1953" w:type="dxa"/>
            <w:vAlign w:val="top"/>
            <w:vMerge w:val="continue"/>
            <w:tcBorders>
              <w:top w:val="nil"/>
            </w:tcBorders>
          </w:tcPr>
          <w:p>
            <w:pPr>
              <w:rPr>
                <w:rFonts w:ascii="Arial"/>
                <w:sz w:val="21"/>
              </w:rPr>
            </w:pPr>
            <w:r/>
          </w:p>
        </w:tc>
        <w:tc>
          <w:tcPr>
            <w:tcW w:w="6685" w:type="dxa"/>
            <w:vAlign w:val="top"/>
          </w:tcPr>
          <w:p>
            <w:pPr>
              <w:pStyle w:val="TableText"/>
              <w:ind w:left="92"/>
              <w:spacing w:before="73" w:line="227" w:lineRule="auto"/>
              <w:rPr>
                <w:sz w:val="25"/>
                <w:szCs w:val="25"/>
              </w:rPr>
            </w:pPr>
            <w:r>
              <w:rPr>
                <w:sz w:val="25"/>
                <w:szCs w:val="25"/>
                <w:spacing w:val="-6"/>
              </w:rPr>
              <w:t>托育机构违反托育服务相关标准和规范，首次</w:t>
            </w:r>
            <w:r>
              <w:rPr>
                <w:sz w:val="25"/>
                <w:szCs w:val="25"/>
                <w:spacing w:val="-7"/>
              </w:rPr>
              <w:t>发现未改正，违</w:t>
            </w:r>
            <w:r>
              <w:rPr>
                <w:sz w:val="25"/>
                <w:szCs w:val="25"/>
              </w:rPr>
              <w:t xml:space="preserve"> </w:t>
            </w:r>
            <w:r>
              <w:rPr>
                <w:sz w:val="25"/>
                <w:szCs w:val="25"/>
                <w:spacing w:val="1"/>
              </w:rPr>
              <w:t>反托育服务相关标准和规范其中3条的</w:t>
            </w:r>
          </w:p>
        </w:tc>
        <w:tc>
          <w:tcPr>
            <w:tcW w:w="5011" w:type="dxa"/>
            <w:vAlign w:val="top"/>
          </w:tcPr>
          <w:p>
            <w:pPr>
              <w:pStyle w:val="TableText"/>
              <w:ind w:left="107"/>
              <w:spacing w:before="234" w:line="220" w:lineRule="auto"/>
              <w:rPr>
                <w:sz w:val="25"/>
                <w:szCs w:val="25"/>
              </w:rPr>
            </w:pPr>
            <w:r>
              <w:rPr>
                <w:sz w:val="25"/>
                <w:szCs w:val="25"/>
              </w:rPr>
              <w:t>罚款20000元以上30000以下</w:t>
            </w:r>
          </w:p>
        </w:tc>
      </w:tr>
      <w:tr>
        <w:trPr>
          <w:trHeight w:val="679" w:hRule="atLeast"/>
        </w:trPr>
        <w:tc>
          <w:tcPr>
            <w:tcW w:w="1953" w:type="dxa"/>
            <w:vAlign w:val="top"/>
            <w:vMerge w:val="restart"/>
            <w:tcBorders>
              <w:bottom w:val="nil"/>
            </w:tcBorders>
          </w:tcPr>
          <w:p>
            <w:pPr>
              <w:rPr>
                <w:rFonts w:ascii="Arial"/>
                <w:sz w:val="21"/>
              </w:rPr>
            </w:pPr>
            <w:r/>
          </w:p>
          <w:p>
            <w:pPr>
              <w:rPr>
                <w:rFonts w:ascii="Arial"/>
                <w:sz w:val="21"/>
              </w:rPr>
            </w:pPr>
            <w:r/>
          </w:p>
          <w:p>
            <w:pPr>
              <w:pStyle w:val="TableText"/>
              <w:ind w:left="718"/>
              <w:spacing w:before="82" w:line="221" w:lineRule="auto"/>
              <w:rPr>
                <w:sz w:val="25"/>
                <w:szCs w:val="25"/>
              </w:rPr>
            </w:pPr>
            <w:r>
              <w:rPr>
                <w:sz w:val="25"/>
                <w:szCs w:val="25"/>
                <w:b/>
                <w:bCs/>
                <w:spacing w:val="-6"/>
              </w:rPr>
              <w:t>较重</w:t>
            </w:r>
          </w:p>
        </w:tc>
        <w:tc>
          <w:tcPr>
            <w:tcW w:w="6685" w:type="dxa"/>
            <w:vAlign w:val="top"/>
          </w:tcPr>
          <w:p>
            <w:pPr>
              <w:pStyle w:val="TableText"/>
              <w:ind w:left="92"/>
              <w:spacing w:before="65" w:line="223" w:lineRule="auto"/>
              <w:rPr>
                <w:sz w:val="25"/>
                <w:szCs w:val="25"/>
              </w:rPr>
            </w:pPr>
            <w:r>
              <w:rPr>
                <w:sz w:val="25"/>
                <w:szCs w:val="25"/>
                <w:spacing w:val="-6"/>
              </w:rPr>
              <w:t>托育机构违反托育服务相关标准和规范的首次</w:t>
            </w:r>
            <w:r>
              <w:rPr>
                <w:sz w:val="25"/>
                <w:szCs w:val="25"/>
                <w:spacing w:val="-7"/>
              </w:rPr>
              <w:t>发现未改正，违</w:t>
            </w:r>
            <w:r>
              <w:rPr>
                <w:sz w:val="25"/>
                <w:szCs w:val="25"/>
              </w:rPr>
              <w:t xml:space="preserve"> </w:t>
            </w:r>
            <w:r>
              <w:rPr>
                <w:sz w:val="25"/>
                <w:szCs w:val="25"/>
                <w:spacing w:val="1"/>
              </w:rPr>
              <w:t>反托育服务相关标准和规范其中4条的</w:t>
            </w:r>
          </w:p>
        </w:tc>
        <w:tc>
          <w:tcPr>
            <w:tcW w:w="5011" w:type="dxa"/>
            <w:vAlign w:val="top"/>
          </w:tcPr>
          <w:p>
            <w:pPr>
              <w:pStyle w:val="TableText"/>
              <w:ind w:left="107"/>
              <w:spacing w:before="226" w:line="220" w:lineRule="auto"/>
              <w:rPr>
                <w:sz w:val="25"/>
                <w:szCs w:val="25"/>
              </w:rPr>
            </w:pPr>
            <w:r>
              <w:rPr>
                <w:sz w:val="25"/>
                <w:szCs w:val="25"/>
              </w:rPr>
              <w:t>罚款30000元以上40000元以下</w:t>
            </w:r>
          </w:p>
        </w:tc>
      </w:tr>
      <w:tr>
        <w:trPr>
          <w:trHeight w:val="669" w:hRule="atLeast"/>
        </w:trPr>
        <w:tc>
          <w:tcPr>
            <w:tcW w:w="1953" w:type="dxa"/>
            <w:vAlign w:val="top"/>
            <w:vMerge w:val="continue"/>
            <w:tcBorders>
              <w:top w:val="nil"/>
            </w:tcBorders>
          </w:tcPr>
          <w:p>
            <w:pPr>
              <w:rPr>
                <w:rFonts w:ascii="Arial"/>
                <w:sz w:val="21"/>
              </w:rPr>
            </w:pPr>
            <w:r/>
          </w:p>
        </w:tc>
        <w:tc>
          <w:tcPr>
            <w:tcW w:w="6685" w:type="dxa"/>
            <w:vAlign w:val="top"/>
          </w:tcPr>
          <w:p>
            <w:pPr>
              <w:pStyle w:val="TableText"/>
              <w:ind w:left="92"/>
              <w:spacing w:before="65" w:line="219" w:lineRule="auto"/>
              <w:rPr>
                <w:sz w:val="25"/>
                <w:szCs w:val="25"/>
              </w:rPr>
            </w:pPr>
            <w:r>
              <w:rPr>
                <w:sz w:val="25"/>
                <w:szCs w:val="25"/>
                <w:spacing w:val="-6"/>
              </w:rPr>
              <w:t>托育机构违反托育服务相关标准和规范的首次</w:t>
            </w:r>
            <w:r>
              <w:rPr>
                <w:sz w:val="25"/>
                <w:szCs w:val="25"/>
                <w:spacing w:val="-7"/>
              </w:rPr>
              <w:t>发现未改正，违</w:t>
            </w:r>
            <w:r>
              <w:rPr>
                <w:sz w:val="25"/>
                <w:szCs w:val="25"/>
              </w:rPr>
              <w:t xml:space="preserve"> </w:t>
            </w:r>
            <w:r>
              <w:rPr>
                <w:sz w:val="25"/>
                <w:szCs w:val="25"/>
                <w:spacing w:val="1"/>
              </w:rPr>
              <w:t>反托育服务相关标准和规范其中5条的</w:t>
            </w:r>
          </w:p>
        </w:tc>
        <w:tc>
          <w:tcPr>
            <w:tcW w:w="5011" w:type="dxa"/>
            <w:vAlign w:val="top"/>
          </w:tcPr>
          <w:p>
            <w:pPr>
              <w:pStyle w:val="TableText"/>
              <w:ind w:left="107"/>
              <w:spacing w:before="217" w:line="220" w:lineRule="auto"/>
              <w:rPr>
                <w:sz w:val="25"/>
                <w:szCs w:val="25"/>
              </w:rPr>
            </w:pPr>
            <w:r>
              <w:rPr>
                <w:sz w:val="25"/>
                <w:szCs w:val="25"/>
              </w:rPr>
              <w:t>罚款40000元以上50000元以下</w:t>
            </w:r>
          </w:p>
        </w:tc>
      </w:tr>
      <w:tr>
        <w:trPr>
          <w:trHeight w:val="679" w:hRule="atLeast"/>
        </w:trPr>
        <w:tc>
          <w:tcPr>
            <w:tcW w:w="1953" w:type="dxa"/>
            <w:vAlign w:val="top"/>
            <w:vMerge w:val="restart"/>
            <w:tcBorders>
              <w:bottom w:val="nil"/>
            </w:tcBorders>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718"/>
              <w:spacing w:before="81" w:line="220" w:lineRule="auto"/>
              <w:rPr>
                <w:sz w:val="25"/>
                <w:szCs w:val="25"/>
              </w:rPr>
            </w:pPr>
            <w:r>
              <w:rPr>
                <w:sz w:val="25"/>
                <w:szCs w:val="25"/>
                <w:b/>
                <w:bCs/>
                <w:spacing w:val="-6"/>
              </w:rPr>
              <w:t>严重</w:t>
            </w:r>
          </w:p>
        </w:tc>
        <w:tc>
          <w:tcPr>
            <w:tcW w:w="6685" w:type="dxa"/>
            <w:vAlign w:val="top"/>
          </w:tcPr>
          <w:p>
            <w:pPr>
              <w:pStyle w:val="TableText"/>
              <w:ind w:left="92"/>
              <w:spacing w:before="86" w:line="215" w:lineRule="auto"/>
              <w:rPr>
                <w:sz w:val="25"/>
                <w:szCs w:val="25"/>
              </w:rPr>
            </w:pPr>
            <w:r>
              <w:rPr>
                <w:sz w:val="25"/>
                <w:szCs w:val="25"/>
                <w:spacing w:val="-6"/>
              </w:rPr>
              <w:t>托育机构违反托育服务相关标准和规范的首次</w:t>
            </w:r>
            <w:r>
              <w:rPr>
                <w:sz w:val="25"/>
                <w:szCs w:val="25"/>
                <w:spacing w:val="-7"/>
              </w:rPr>
              <w:t>发现未改正，违</w:t>
            </w:r>
            <w:r>
              <w:rPr>
                <w:sz w:val="25"/>
                <w:szCs w:val="25"/>
              </w:rPr>
              <w:t xml:space="preserve"> </w:t>
            </w:r>
            <w:r>
              <w:rPr>
                <w:sz w:val="25"/>
                <w:szCs w:val="25"/>
              </w:rPr>
              <w:t>反托育服务相关标准和规范其中的6条</w:t>
            </w:r>
          </w:p>
        </w:tc>
        <w:tc>
          <w:tcPr>
            <w:tcW w:w="5011" w:type="dxa"/>
            <w:vAlign w:val="top"/>
          </w:tcPr>
          <w:p>
            <w:pPr>
              <w:pStyle w:val="TableText"/>
              <w:ind w:left="107" w:right="253"/>
              <w:spacing w:before="56" w:line="226" w:lineRule="auto"/>
              <w:rPr>
                <w:sz w:val="25"/>
                <w:szCs w:val="25"/>
              </w:rPr>
            </w:pPr>
            <w:r>
              <w:rPr>
                <w:sz w:val="25"/>
                <w:szCs w:val="25"/>
              </w:rPr>
              <w:t>责令停止托育服务，并处罚款50000元以上</w:t>
            </w:r>
            <w:r>
              <w:rPr>
                <w:sz w:val="25"/>
                <w:szCs w:val="25"/>
                <w:spacing w:val="14"/>
              </w:rPr>
              <w:t xml:space="preserve"> </w:t>
            </w:r>
            <w:r>
              <w:rPr>
                <w:sz w:val="25"/>
                <w:szCs w:val="25"/>
                <w:spacing w:val="2"/>
              </w:rPr>
              <w:t>70000元以下</w:t>
            </w:r>
          </w:p>
        </w:tc>
      </w:tr>
      <w:tr>
        <w:trPr>
          <w:trHeight w:val="679" w:hRule="atLeast"/>
        </w:trPr>
        <w:tc>
          <w:tcPr>
            <w:tcW w:w="1953" w:type="dxa"/>
            <w:vAlign w:val="top"/>
            <w:vMerge w:val="continue"/>
            <w:tcBorders>
              <w:top w:val="nil"/>
              <w:bottom w:val="nil"/>
            </w:tcBorders>
          </w:tcPr>
          <w:p>
            <w:pPr>
              <w:rPr>
                <w:rFonts w:ascii="Arial"/>
                <w:sz w:val="21"/>
              </w:rPr>
            </w:pPr>
            <w:r/>
          </w:p>
        </w:tc>
        <w:tc>
          <w:tcPr>
            <w:tcW w:w="6685" w:type="dxa"/>
            <w:vAlign w:val="top"/>
          </w:tcPr>
          <w:p>
            <w:pPr>
              <w:pStyle w:val="TableText"/>
              <w:ind w:left="92"/>
              <w:spacing w:before="78" w:line="218" w:lineRule="auto"/>
              <w:rPr>
                <w:sz w:val="25"/>
                <w:szCs w:val="25"/>
              </w:rPr>
            </w:pPr>
            <w:r>
              <w:rPr>
                <w:sz w:val="25"/>
                <w:szCs w:val="25"/>
                <w:spacing w:val="-6"/>
              </w:rPr>
              <w:t>托育机构违反托育服务相关标准和规范的首次</w:t>
            </w:r>
            <w:r>
              <w:rPr>
                <w:sz w:val="25"/>
                <w:szCs w:val="25"/>
                <w:spacing w:val="-7"/>
              </w:rPr>
              <w:t>发现未改正，违</w:t>
            </w:r>
            <w:r>
              <w:rPr>
                <w:sz w:val="25"/>
                <w:szCs w:val="25"/>
              </w:rPr>
              <w:t xml:space="preserve"> </w:t>
            </w:r>
            <w:r>
              <w:rPr>
                <w:sz w:val="25"/>
                <w:szCs w:val="25"/>
              </w:rPr>
              <w:t>反托育服务相关标准和规范其中的7条</w:t>
            </w:r>
          </w:p>
        </w:tc>
        <w:tc>
          <w:tcPr>
            <w:tcW w:w="5011" w:type="dxa"/>
            <w:vAlign w:val="top"/>
          </w:tcPr>
          <w:p>
            <w:pPr>
              <w:pStyle w:val="TableText"/>
              <w:ind w:left="107" w:right="253"/>
              <w:spacing w:before="78" w:line="218" w:lineRule="auto"/>
              <w:rPr>
                <w:sz w:val="25"/>
                <w:szCs w:val="25"/>
              </w:rPr>
            </w:pPr>
            <w:r>
              <w:rPr>
                <w:sz w:val="25"/>
                <w:szCs w:val="25"/>
              </w:rPr>
              <w:t>责令停止托育服务，并处罚款70000元以上</w:t>
            </w:r>
            <w:r>
              <w:rPr>
                <w:sz w:val="25"/>
                <w:szCs w:val="25"/>
                <w:spacing w:val="14"/>
              </w:rPr>
              <w:t xml:space="preserve"> </w:t>
            </w:r>
            <w:r>
              <w:rPr>
                <w:sz w:val="25"/>
                <w:szCs w:val="25"/>
                <w:spacing w:val="1"/>
              </w:rPr>
              <w:t>100000元以下</w:t>
            </w:r>
          </w:p>
        </w:tc>
      </w:tr>
      <w:tr>
        <w:trPr>
          <w:trHeight w:val="674" w:hRule="atLeast"/>
        </w:trPr>
        <w:tc>
          <w:tcPr>
            <w:tcW w:w="1953" w:type="dxa"/>
            <w:vAlign w:val="top"/>
            <w:vMerge w:val="continue"/>
            <w:tcBorders>
              <w:top w:val="nil"/>
            </w:tcBorders>
          </w:tcPr>
          <w:p>
            <w:pPr>
              <w:rPr>
                <w:rFonts w:ascii="Arial"/>
                <w:sz w:val="21"/>
              </w:rPr>
            </w:pPr>
            <w:r/>
          </w:p>
        </w:tc>
        <w:tc>
          <w:tcPr>
            <w:tcW w:w="6685" w:type="dxa"/>
            <w:vAlign w:val="top"/>
          </w:tcPr>
          <w:p>
            <w:pPr>
              <w:pStyle w:val="TableText"/>
              <w:ind w:left="92"/>
              <w:spacing w:before="78" w:line="216" w:lineRule="auto"/>
              <w:rPr>
                <w:sz w:val="25"/>
                <w:szCs w:val="25"/>
              </w:rPr>
            </w:pPr>
            <w:r>
              <w:rPr>
                <w:sz w:val="25"/>
                <w:szCs w:val="25"/>
                <w:spacing w:val="-6"/>
              </w:rPr>
              <w:t>托育机构违反托育服务相关标准和规范的首次</w:t>
            </w:r>
            <w:r>
              <w:rPr>
                <w:sz w:val="25"/>
                <w:szCs w:val="25"/>
                <w:spacing w:val="-7"/>
              </w:rPr>
              <w:t>发现未改正，违</w:t>
            </w:r>
            <w:r>
              <w:rPr>
                <w:sz w:val="25"/>
                <w:szCs w:val="25"/>
              </w:rPr>
              <w:t xml:space="preserve"> </w:t>
            </w:r>
            <w:r>
              <w:rPr>
                <w:sz w:val="25"/>
                <w:szCs w:val="25"/>
              </w:rPr>
              <w:t>反托育服务相关标准和规范其中的8条以上</w:t>
            </w:r>
          </w:p>
        </w:tc>
        <w:tc>
          <w:tcPr>
            <w:tcW w:w="5011" w:type="dxa"/>
            <w:vAlign w:val="top"/>
          </w:tcPr>
          <w:p>
            <w:pPr>
              <w:pStyle w:val="TableText"/>
              <w:ind w:left="107"/>
              <w:spacing w:before="217" w:line="219" w:lineRule="auto"/>
              <w:rPr>
                <w:sz w:val="25"/>
                <w:szCs w:val="25"/>
              </w:rPr>
            </w:pPr>
            <w:r>
              <w:rPr>
                <w:sz w:val="25"/>
                <w:szCs w:val="25"/>
              </w:rPr>
              <w:t>责令停止托育服务，并处罚款100000元</w:t>
            </w:r>
          </w:p>
        </w:tc>
      </w:tr>
    </w:tbl>
    <w:p>
      <w:pPr>
        <w:pStyle w:val="BodyText"/>
        <w:spacing w:line="460" w:lineRule="auto"/>
        <w:rPr/>
      </w:pPr>
      <w:r/>
    </w:p>
    <w:p>
      <w:pPr>
        <w:ind w:left="659"/>
        <w:spacing w:before="94" w:line="220" w:lineRule="auto"/>
        <w:rPr>
          <w:rFonts w:ascii="FangSong" w:hAnsi="FangSong" w:eastAsia="FangSong" w:cs="FangSong"/>
          <w:sz w:val="29"/>
          <w:szCs w:val="29"/>
        </w:rPr>
      </w:pPr>
      <w:r>
        <w:rPr>
          <w:rFonts w:ascii="FangSong" w:hAnsi="FangSong" w:eastAsia="FangSong" w:cs="FangSong"/>
          <w:sz w:val="29"/>
          <w:szCs w:val="29"/>
          <w:b/>
          <w:bCs/>
          <w:spacing w:val="27"/>
        </w:rPr>
        <w:t>第四百</w:t>
      </w:r>
      <w:r>
        <w:rPr>
          <w:rFonts w:ascii="FangSong" w:hAnsi="FangSong" w:eastAsia="FangSong" w:cs="FangSong"/>
          <w:sz w:val="29"/>
          <w:szCs w:val="29"/>
          <w:spacing w:val="-66"/>
        </w:rPr>
        <w:t xml:space="preserve"> </w:t>
      </w:r>
      <w:r>
        <w:rPr>
          <w:rFonts w:ascii="FangSong" w:hAnsi="FangSong" w:eastAsia="FangSong" w:cs="FangSong"/>
          <w:sz w:val="29"/>
          <w:szCs w:val="29"/>
          <w:b/>
          <w:bCs/>
          <w:spacing w:val="27"/>
        </w:rPr>
        <w:t>一</w:t>
      </w:r>
      <w:r>
        <w:rPr>
          <w:rFonts w:ascii="FangSong" w:hAnsi="FangSong" w:eastAsia="FangSong" w:cs="FangSong"/>
          <w:sz w:val="29"/>
          <w:szCs w:val="29"/>
          <w:spacing w:val="-76"/>
        </w:rPr>
        <w:t xml:space="preserve"> </w:t>
      </w:r>
      <w:r>
        <w:rPr>
          <w:rFonts w:ascii="FangSong" w:hAnsi="FangSong" w:eastAsia="FangSong" w:cs="FangSong"/>
          <w:sz w:val="29"/>
          <w:szCs w:val="29"/>
          <w:b/>
          <w:bCs/>
          <w:spacing w:val="27"/>
        </w:rPr>
        <w:t>十三条托育机构有虐待婴幼儿行为的</w:t>
      </w:r>
    </w:p>
    <w:p>
      <w:pPr>
        <w:ind w:left="654"/>
        <w:spacing w:before="92" w:line="222" w:lineRule="auto"/>
        <w:rPr>
          <w:rFonts w:ascii="FangSong" w:hAnsi="FangSong" w:eastAsia="FangSong" w:cs="FangSong"/>
          <w:sz w:val="29"/>
          <w:szCs w:val="29"/>
        </w:rPr>
      </w:pPr>
      <w:r>
        <w:rPr>
          <w:rFonts w:ascii="FangSong" w:hAnsi="FangSong" w:eastAsia="FangSong" w:cs="FangSong"/>
          <w:sz w:val="29"/>
          <w:szCs w:val="29"/>
          <w:spacing w:val="6"/>
        </w:rPr>
        <w:t>法律依据：</w:t>
      </w:r>
    </w:p>
    <w:p>
      <w:pPr>
        <w:ind w:left="15" w:firstLine="634"/>
        <w:spacing w:before="87" w:line="276" w:lineRule="auto"/>
        <w:jc w:val="both"/>
        <w:rPr>
          <w:rFonts w:ascii="FangSong" w:hAnsi="FangSong" w:eastAsia="FangSong" w:cs="FangSong"/>
          <w:sz w:val="29"/>
          <w:szCs w:val="29"/>
        </w:rPr>
      </w:pPr>
      <w:r>
        <w:rPr>
          <w:rFonts w:ascii="FangSong" w:hAnsi="FangSong" w:eastAsia="FangSong" w:cs="FangSong"/>
          <w:sz w:val="29"/>
          <w:szCs w:val="29"/>
          <w:spacing w:val="26"/>
        </w:rPr>
        <w:t>《中华人民共和国人口与计划生育法》第四十一条第二款</w:t>
      </w:r>
      <w:r>
        <w:rPr>
          <w:rFonts w:ascii="FangSong" w:hAnsi="FangSong" w:eastAsia="FangSong" w:cs="FangSong"/>
          <w:sz w:val="29"/>
          <w:szCs w:val="29"/>
          <w:spacing w:val="26"/>
        </w:rPr>
        <w:t xml:space="preserve">  </w:t>
      </w:r>
      <w:r>
        <w:rPr>
          <w:rFonts w:ascii="FangSong" w:hAnsi="FangSong" w:eastAsia="FangSong" w:cs="FangSong"/>
          <w:sz w:val="29"/>
          <w:szCs w:val="29"/>
          <w:spacing w:val="26"/>
        </w:rPr>
        <w:t>托育机构有虐待婴幼儿行为的，其直</w:t>
      </w:r>
      <w:r>
        <w:rPr>
          <w:rFonts w:ascii="FangSong" w:hAnsi="FangSong" w:eastAsia="FangSong" w:cs="FangSong"/>
          <w:sz w:val="29"/>
          <w:szCs w:val="29"/>
          <w:spacing w:val="9"/>
        </w:rPr>
        <w:t xml:space="preserve"> </w:t>
      </w:r>
      <w:r>
        <w:rPr>
          <w:rFonts w:ascii="FangSong" w:hAnsi="FangSong" w:eastAsia="FangSong" w:cs="FangSong"/>
          <w:sz w:val="29"/>
          <w:szCs w:val="29"/>
          <w:spacing w:val="27"/>
        </w:rPr>
        <w:t>接负责的主管人员和其他直接责任人员终身不得</w:t>
      </w:r>
      <w:r>
        <w:rPr>
          <w:rFonts w:ascii="FangSong" w:hAnsi="FangSong" w:eastAsia="FangSong" w:cs="FangSong"/>
          <w:sz w:val="29"/>
          <w:szCs w:val="29"/>
          <w:spacing w:val="26"/>
        </w:rPr>
        <w:t>从事婴幼儿照护服务；构成犯罪的，依法追究刑事责</w:t>
      </w:r>
      <w:r>
        <w:rPr>
          <w:rFonts w:ascii="FangSong" w:hAnsi="FangSong" w:eastAsia="FangSong" w:cs="FangSong"/>
          <w:sz w:val="29"/>
          <w:szCs w:val="29"/>
        </w:rPr>
        <w:t xml:space="preserve"> </w:t>
      </w:r>
      <w:r>
        <w:rPr>
          <w:rFonts w:ascii="FangSong" w:hAnsi="FangSong" w:eastAsia="FangSong" w:cs="FangSong"/>
          <w:sz w:val="29"/>
          <w:szCs w:val="29"/>
          <w:spacing w:val="-7"/>
        </w:rPr>
        <w:t>任。</w:t>
      </w:r>
    </w:p>
    <w:p>
      <w:pPr>
        <w:spacing w:line="276" w:lineRule="auto"/>
        <w:sectPr>
          <w:footerReference w:type="default" r:id="rId439"/>
          <w:pgSz w:w="16830" w:h="11900"/>
          <w:pgMar w:top="1011" w:right="1436" w:bottom="1107" w:left="1434" w:header="0" w:footer="774" w:gutter="0"/>
        </w:sectPr>
        <w:rPr>
          <w:rFonts w:ascii="FangSong" w:hAnsi="FangSong" w:eastAsia="FangSong" w:cs="FangSong"/>
          <w:sz w:val="29"/>
          <w:szCs w:val="29"/>
        </w:rPr>
      </w:pPr>
    </w:p>
    <w:p>
      <w:pPr>
        <w:pStyle w:val="BodyText"/>
        <w:spacing w:line="276" w:lineRule="auto"/>
        <w:rPr/>
      </w:pPr>
      <w:r/>
    </w:p>
    <w:p>
      <w:pPr>
        <w:pStyle w:val="BodyText"/>
        <w:spacing w:line="277" w:lineRule="auto"/>
        <w:rPr/>
      </w:pPr>
      <w:r/>
    </w:p>
    <w:p>
      <w:pPr>
        <w:pStyle w:val="BodyText"/>
        <w:spacing w:line="277" w:lineRule="auto"/>
        <w:rPr/>
      </w:pPr>
      <w:r/>
    </w:p>
    <w:p>
      <w:pPr>
        <w:pStyle w:val="BodyText"/>
        <w:spacing w:line="277" w:lineRule="auto"/>
        <w:rPr/>
      </w:pPr>
      <w:r/>
    </w:p>
    <w:p>
      <w:pPr>
        <w:pStyle w:val="BodyText"/>
        <w:spacing w:line="277" w:lineRule="auto"/>
        <w:rPr/>
      </w:pPr>
      <w:r/>
    </w:p>
    <w:p>
      <w:pPr>
        <w:ind w:left="6419"/>
        <w:spacing w:before="94" w:line="208" w:lineRule="auto"/>
        <w:rPr>
          <w:rFonts w:ascii="SimSun" w:hAnsi="SimSun" w:eastAsia="SimSun" w:cs="SimSun"/>
          <w:sz w:val="29"/>
          <w:szCs w:val="29"/>
        </w:rPr>
      </w:pPr>
      <w:bookmarkStart w:name="bookmark1085" w:id="459"/>
      <w:bookmarkEnd w:id="459"/>
      <w:r>
        <w:rPr>
          <w:rFonts w:ascii="SimSun" w:hAnsi="SimSun" w:eastAsia="SimSun" w:cs="SimSun"/>
          <w:sz w:val="29"/>
          <w:szCs w:val="29"/>
          <w:b/>
          <w:bCs/>
          <w:spacing w:val="-6"/>
        </w:rPr>
        <w:t>裁量标准</w:t>
      </w:r>
    </w:p>
    <w:tbl>
      <w:tblPr>
        <w:tblStyle w:val="TableNormal"/>
        <w:tblW w:w="136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53"/>
        <w:gridCol w:w="5726"/>
        <w:gridCol w:w="5990"/>
      </w:tblGrid>
      <w:tr>
        <w:trPr>
          <w:trHeight w:val="620" w:hRule="atLeast"/>
        </w:trPr>
        <w:tc>
          <w:tcPr>
            <w:tcW w:w="1953" w:type="dxa"/>
            <w:vAlign w:val="top"/>
          </w:tcPr>
          <w:p>
            <w:pPr>
              <w:pStyle w:val="TableText"/>
              <w:ind w:left="468"/>
              <w:spacing w:before="192" w:line="220" w:lineRule="auto"/>
              <w:rPr>
                <w:sz w:val="25"/>
                <w:szCs w:val="25"/>
              </w:rPr>
            </w:pPr>
            <w:r>
              <w:rPr>
                <w:sz w:val="25"/>
                <w:szCs w:val="25"/>
                <w:b/>
                <w:bCs/>
                <w:spacing w:val="-5"/>
              </w:rPr>
              <w:t>违法程度</w:t>
            </w:r>
          </w:p>
        </w:tc>
        <w:tc>
          <w:tcPr>
            <w:tcW w:w="5726" w:type="dxa"/>
            <w:vAlign w:val="top"/>
          </w:tcPr>
          <w:p>
            <w:pPr>
              <w:pStyle w:val="TableText"/>
              <w:ind w:left="2355"/>
              <w:spacing w:before="192" w:line="220" w:lineRule="auto"/>
              <w:rPr>
                <w:sz w:val="25"/>
                <w:szCs w:val="25"/>
              </w:rPr>
            </w:pPr>
            <w:r>
              <w:rPr>
                <w:sz w:val="25"/>
                <w:szCs w:val="25"/>
                <w:b/>
                <w:bCs/>
                <w:spacing w:val="-5"/>
              </w:rPr>
              <w:t>情节后果</w:t>
            </w:r>
          </w:p>
        </w:tc>
        <w:tc>
          <w:tcPr>
            <w:tcW w:w="5990" w:type="dxa"/>
            <w:vAlign w:val="top"/>
          </w:tcPr>
          <w:p>
            <w:pPr>
              <w:pStyle w:val="TableText"/>
              <w:ind w:left="2489"/>
              <w:spacing w:before="189" w:line="218" w:lineRule="auto"/>
              <w:rPr>
                <w:sz w:val="25"/>
                <w:szCs w:val="25"/>
              </w:rPr>
            </w:pPr>
            <w:r>
              <w:rPr>
                <w:sz w:val="25"/>
                <w:szCs w:val="25"/>
                <w:b/>
                <w:bCs/>
                <w:spacing w:val="-5"/>
              </w:rPr>
              <w:t>裁量幅度</w:t>
            </w:r>
          </w:p>
        </w:tc>
      </w:tr>
      <w:tr>
        <w:trPr>
          <w:trHeight w:val="679" w:hRule="atLeast"/>
        </w:trPr>
        <w:tc>
          <w:tcPr>
            <w:tcW w:w="1953" w:type="dxa"/>
            <w:vAlign w:val="top"/>
          </w:tcPr>
          <w:p>
            <w:pPr>
              <w:pStyle w:val="TableText"/>
              <w:ind w:left="718"/>
              <w:spacing w:before="222" w:line="220" w:lineRule="auto"/>
              <w:rPr>
                <w:sz w:val="25"/>
                <w:szCs w:val="25"/>
              </w:rPr>
            </w:pPr>
            <w:r>
              <w:rPr>
                <w:sz w:val="25"/>
                <w:szCs w:val="25"/>
                <w:b/>
                <w:bCs/>
                <w:spacing w:val="-6"/>
              </w:rPr>
              <w:t>严重</w:t>
            </w:r>
          </w:p>
        </w:tc>
        <w:tc>
          <w:tcPr>
            <w:tcW w:w="5726" w:type="dxa"/>
            <w:vAlign w:val="top"/>
          </w:tcPr>
          <w:p>
            <w:pPr>
              <w:pStyle w:val="TableText"/>
              <w:ind w:left="1235"/>
              <w:spacing w:before="220" w:line="219" w:lineRule="auto"/>
              <w:rPr>
                <w:sz w:val="25"/>
                <w:szCs w:val="25"/>
              </w:rPr>
            </w:pPr>
            <w:r>
              <w:rPr>
                <w:sz w:val="25"/>
                <w:szCs w:val="25"/>
                <w:b/>
                <w:bCs/>
                <w:spacing w:val="-2"/>
              </w:rPr>
              <w:t>托育机构有虐待婴幼儿行为的</w:t>
            </w:r>
          </w:p>
        </w:tc>
        <w:tc>
          <w:tcPr>
            <w:tcW w:w="5990" w:type="dxa"/>
            <w:vAlign w:val="top"/>
          </w:tcPr>
          <w:p>
            <w:pPr>
              <w:pStyle w:val="TableText"/>
              <w:ind w:left="108" w:hanging="89"/>
              <w:spacing w:before="70" w:line="221" w:lineRule="auto"/>
              <w:rPr>
                <w:sz w:val="25"/>
                <w:szCs w:val="25"/>
              </w:rPr>
            </w:pPr>
            <w:r>
              <w:rPr>
                <w:sz w:val="25"/>
                <w:szCs w:val="25"/>
                <w:b/>
                <w:bCs/>
                <w:spacing w:val="-5"/>
              </w:rPr>
              <w:t>直接负责的主管人员和其他直接责任人员终身不得从事</w:t>
            </w:r>
            <w:r>
              <w:rPr>
                <w:sz w:val="25"/>
                <w:szCs w:val="25"/>
                <w:spacing w:val="16"/>
              </w:rPr>
              <w:t xml:space="preserve"> </w:t>
            </w:r>
            <w:r>
              <w:rPr>
                <w:sz w:val="25"/>
                <w:szCs w:val="25"/>
                <w:b/>
                <w:bCs/>
                <w:spacing w:val="-4"/>
              </w:rPr>
              <w:t>婴幼儿照护服务；构成犯罪的，依法追究刑事责任</w:t>
            </w:r>
          </w:p>
        </w:tc>
      </w:tr>
    </w:tbl>
    <w:p>
      <w:pPr>
        <w:pStyle w:val="BodyText"/>
        <w:spacing w:line="278" w:lineRule="auto"/>
        <w:rPr/>
      </w:pPr>
      <w:r/>
    </w:p>
    <w:p>
      <w:pPr>
        <w:pStyle w:val="BodyText"/>
        <w:spacing w:line="279" w:lineRule="auto"/>
        <w:rPr/>
      </w:pPr>
      <w:r/>
    </w:p>
    <w:p>
      <w:pPr>
        <w:ind w:left="765"/>
        <w:spacing w:before="98" w:line="224" w:lineRule="auto"/>
        <w:rPr>
          <w:rFonts w:ascii="KaiTi" w:hAnsi="KaiTi" w:eastAsia="KaiTi" w:cs="KaiTi"/>
          <w:sz w:val="30"/>
          <w:szCs w:val="30"/>
        </w:rPr>
      </w:pPr>
      <w:r>
        <w:rPr>
          <w:rFonts w:ascii="KaiTi" w:hAnsi="KaiTi" w:eastAsia="KaiTi" w:cs="KaiTi"/>
          <w:sz w:val="30"/>
          <w:szCs w:val="30"/>
          <w:spacing w:val="21"/>
        </w:rPr>
        <w:t>(</w:t>
      </w:r>
      <w:r>
        <w:rPr>
          <w:rFonts w:ascii="KaiTi" w:hAnsi="KaiTi" w:eastAsia="KaiTi" w:cs="KaiTi"/>
          <w:sz w:val="30"/>
          <w:szCs w:val="30"/>
          <w:spacing w:val="-67"/>
        </w:rPr>
        <w:t xml:space="preserve"> </w:t>
      </w:r>
      <w:r>
        <w:rPr>
          <w:rFonts w:ascii="KaiTi" w:hAnsi="KaiTi" w:eastAsia="KaiTi" w:cs="KaiTi"/>
          <w:sz w:val="30"/>
          <w:szCs w:val="30"/>
          <w:b/>
          <w:bCs/>
          <w:spacing w:val="21"/>
        </w:rPr>
        <w:t>五)《中华人民共和国母婴保健法》及《中华人民共和国母婴保健法</w:t>
      </w:r>
      <w:r>
        <w:rPr>
          <w:rFonts w:ascii="KaiTi" w:hAnsi="KaiTi" w:eastAsia="KaiTi" w:cs="KaiTi"/>
          <w:sz w:val="30"/>
          <w:szCs w:val="30"/>
          <w:b/>
          <w:bCs/>
          <w:spacing w:val="20"/>
        </w:rPr>
        <w:t>实施办法》</w:t>
      </w:r>
    </w:p>
    <w:p>
      <w:pPr>
        <w:ind w:left="19" w:right="40" w:firstLine="639"/>
        <w:spacing w:before="311" w:line="274" w:lineRule="auto"/>
        <w:rPr>
          <w:rFonts w:ascii="KaiTi" w:hAnsi="KaiTi" w:eastAsia="KaiTi" w:cs="KaiTi"/>
          <w:sz w:val="30"/>
          <w:szCs w:val="30"/>
        </w:rPr>
      </w:pPr>
      <w:r>
        <w:rPr>
          <w:rFonts w:ascii="KaiTi" w:hAnsi="KaiTi" w:eastAsia="KaiTi" w:cs="KaiTi"/>
          <w:sz w:val="30"/>
          <w:szCs w:val="30"/>
          <w:b/>
          <w:bCs/>
          <w:spacing w:val="20"/>
        </w:rPr>
        <w:t>第四百一十四条未取得国家颁发的有关合格证书从事婚前医学检查、遗传病诊断、产前诊断或</w:t>
      </w:r>
      <w:r>
        <w:rPr>
          <w:rFonts w:ascii="KaiTi" w:hAnsi="KaiTi" w:eastAsia="KaiTi" w:cs="KaiTi"/>
          <w:sz w:val="30"/>
          <w:szCs w:val="30"/>
          <w:spacing w:val="16"/>
        </w:rPr>
        <w:t xml:space="preserve"> </w:t>
      </w:r>
      <w:r>
        <w:rPr>
          <w:rFonts w:ascii="KaiTi" w:hAnsi="KaiTi" w:eastAsia="KaiTi" w:cs="KaiTi"/>
          <w:sz w:val="30"/>
          <w:szCs w:val="30"/>
          <w:b/>
          <w:bCs/>
          <w:spacing w:val="13"/>
        </w:rPr>
        <w:t>者医学技术鉴定的</w:t>
      </w:r>
    </w:p>
    <w:p>
      <w:pPr>
        <w:ind w:left="654"/>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5" w:right="60" w:firstLine="599"/>
        <w:spacing w:before="74" w:line="267" w:lineRule="auto"/>
        <w:jc w:val="both"/>
        <w:rPr>
          <w:rFonts w:ascii="FangSong" w:hAnsi="FangSong" w:eastAsia="FangSong" w:cs="FangSong"/>
          <w:sz w:val="30"/>
          <w:szCs w:val="30"/>
        </w:rPr>
      </w:pPr>
      <w:r>
        <w:rPr>
          <w:rFonts w:ascii="FangSong" w:hAnsi="FangSong" w:eastAsia="FangSong" w:cs="FangSong"/>
          <w:sz w:val="30"/>
          <w:szCs w:val="30"/>
          <w:spacing w:val="26"/>
        </w:rPr>
        <w:t>《中华人民共和国母婴保健法》第三十五条第一款第(一)项</w:t>
      </w:r>
      <w:r>
        <w:rPr>
          <w:rFonts w:ascii="FangSong" w:hAnsi="FangSong" w:eastAsia="FangSong" w:cs="FangSong"/>
          <w:sz w:val="30"/>
          <w:szCs w:val="30"/>
          <w:spacing w:val="26"/>
        </w:rPr>
        <w:t xml:space="preserve">   </w:t>
      </w:r>
      <w:r>
        <w:rPr>
          <w:rFonts w:ascii="FangSong" w:hAnsi="FangSong" w:eastAsia="FangSong" w:cs="FangSong"/>
          <w:sz w:val="30"/>
          <w:szCs w:val="30"/>
          <w:spacing w:val="26"/>
        </w:rPr>
        <w:t>未取得</w:t>
      </w:r>
      <w:r>
        <w:rPr>
          <w:rFonts w:ascii="FangSong" w:hAnsi="FangSong" w:eastAsia="FangSong" w:cs="FangSong"/>
          <w:sz w:val="30"/>
          <w:szCs w:val="30"/>
          <w:spacing w:val="25"/>
        </w:rPr>
        <w:t>国家颁发的有关合格证</w:t>
      </w:r>
      <w:r>
        <w:rPr>
          <w:rFonts w:ascii="FangSong" w:hAnsi="FangSong" w:eastAsia="FangSong" w:cs="FangSong"/>
          <w:sz w:val="30"/>
          <w:szCs w:val="30"/>
        </w:rPr>
        <w:t xml:space="preserve"> </w:t>
      </w:r>
      <w:r>
        <w:rPr>
          <w:rFonts w:ascii="FangSong" w:hAnsi="FangSong" w:eastAsia="FangSong" w:cs="FangSong"/>
          <w:sz w:val="30"/>
          <w:szCs w:val="30"/>
          <w:spacing w:val="16"/>
        </w:rPr>
        <w:t>书的，有下列行为之一，县级以上地方人民政府卫生行政部门应当</w:t>
      </w:r>
      <w:r>
        <w:rPr>
          <w:rFonts w:ascii="FangSong" w:hAnsi="FangSong" w:eastAsia="FangSong" w:cs="FangSong"/>
          <w:sz w:val="30"/>
          <w:szCs w:val="30"/>
          <w:spacing w:val="15"/>
        </w:rPr>
        <w:t>予以制止，并可以根据情节给予警</w:t>
      </w:r>
      <w:r>
        <w:rPr>
          <w:rFonts w:ascii="FangSong" w:hAnsi="FangSong" w:eastAsia="FangSong" w:cs="FangSong"/>
          <w:sz w:val="30"/>
          <w:szCs w:val="30"/>
        </w:rPr>
        <w:t xml:space="preserve"> </w:t>
      </w:r>
      <w:r>
        <w:rPr>
          <w:rFonts w:ascii="FangSong" w:hAnsi="FangSong" w:eastAsia="FangSong" w:cs="FangSong"/>
          <w:sz w:val="30"/>
          <w:szCs w:val="30"/>
          <w:spacing w:val="7"/>
        </w:rPr>
        <w:t>告或者处以罚款：</w:t>
      </w:r>
    </w:p>
    <w:p>
      <w:pPr>
        <w:ind w:left="765"/>
        <w:spacing w:before="29" w:line="220" w:lineRule="auto"/>
        <w:rPr>
          <w:rFonts w:ascii="FangSong" w:hAnsi="FangSong" w:eastAsia="FangSong" w:cs="FangSong"/>
          <w:sz w:val="30"/>
          <w:szCs w:val="30"/>
        </w:rPr>
      </w:pPr>
      <w:r>
        <w:rPr>
          <w:rFonts w:ascii="FangSong" w:hAnsi="FangSong" w:eastAsia="FangSong" w:cs="FangSong"/>
          <w:sz w:val="30"/>
          <w:szCs w:val="30"/>
          <w:spacing w:val="22"/>
        </w:rPr>
        <w:t>(一)医疗保健机构从事婚前医学检查、遗传病诊断、产前诊断或者医</w:t>
      </w:r>
      <w:r>
        <w:rPr>
          <w:rFonts w:ascii="FangSong" w:hAnsi="FangSong" w:eastAsia="FangSong" w:cs="FangSong"/>
          <w:sz w:val="30"/>
          <w:szCs w:val="30"/>
          <w:spacing w:val="21"/>
        </w:rPr>
        <w:t>学技术鉴定的；</w:t>
      </w:r>
    </w:p>
    <w:p>
      <w:pPr>
        <w:ind w:left="15" w:firstLine="599"/>
        <w:spacing w:before="83" w:line="265" w:lineRule="auto"/>
        <w:rPr>
          <w:rFonts w:ascii="FangSong" w:hAnsi="FangSong" w:eastAsia="FangSong" w:cs="FangSong"/>
          <w:sz w:val="30"/>
          <w:szCs w:val="30"/>
        </w:rPr>
      </w:pPr>
      <w:r>
        <w:rPr>
          <w:rFonts w:ascii="FangSong" w:hAnsi="FangSong" w:eastAsia="FangSong" w:cs="FangSong"/>
          <w:sz w:val="30"/>
          <w:szCs w:val="30"/>
          <w:spacing w:val="17"/>
        </w:rPr>
        <w:t>《中华人民共和国母婴保健法实施办法》第四十条</w:t>
      </w:r>
      <w:r>
        <w:rPr>
          <w:rFonts w:ascii="FangSong" w:hAnsi="FangSong" w:eastAsia="FangSong" w:cs="FangSong"/>
          <w:sz w:val="30"/>
          <w:szCs w:val="30"/>
        </w:rPr>
        <w:t xml:space="preserve">    </w:t>
      </w:r>
      <w:r>
        <w:rPr>
          <w:rFonts w:ascii="FangSong" w:hAnsi="FangSong" w:eastAsia="FangSong" w:cs="FangSong"/>
          <w:sz w:val="30"/>
          <w:szCs w:val="30"/>
          <w:spacing w:val="17"/>
        </w:rPr>
        <w:t>医疗保健机构或者人员未取得母婴保健技</w:t>
      </w:r>
      <w:r>
        <w:rPr>
          <w:rFonts w:ascii="FangSong" w:hAnsi="FangSong" w:eastAsia="FangSong" w:cs="FangSong"/>
          <w:sz w:val="30"/>
          <w:szCs w:val="30"/>
          <w:spacing w:val="1"/>
        </w:rPr>
        <w:t xml:space="preserve"> </w:t>
      </w:r>
      <w:r>
        <w:rPr>
          <w:rFonts w:ascii="FangSong" w:hAnsi="FangSong" w:eastAsia="FangSong" w:cs="FangSong"/>
          <w:sz w:val="30"/>
          <w:szCs w:val="30"/>
          <w:spacing w:val="17"/>
        </w:rPr>
        <w:t>术许可，擅自从事婚前医学检查、遗传病诊断、产前诊断、终止妊娠手术和医学技术鉴定或者出具有</w:t>
      </w:r>
      <w:r>
        <w:rPr>
          <w:rFonts w:ascii="FangSong" w:hAnsi="FangSong" w:eastAsia="FangSong" w:cs="FangSong"/>
          <w:sz w:val="30"/>
          <w:szCs w:val="30"/>
          <w:spacing w:val="1"/>
        </w:rPr>
        <w:t xml:space="preserve"> </w:t>
      </w:r>
      <w:r>
        <w:rPr>
          <w:rFonts w:ascii="FangSong" w:hAnsi="FangSong" w:eastAsia="FangSong" w:cs="FangSong"/>
          <w:sz w:val="30"/>
          <w:szCs w:val="30"/>
          <w:spacing w:val="22"/>
        </w:rPr>
        <w:t>关医学证明的，由卫生行政部门给予警告，责令停止违法行为，没收违法所得；违法所得5000元以</w:t>
      </w:r>
    </w:p>
    <w:p>
      <w:pPr>
        <w:spacing w:line="265" w:lineRule="auto"/>
        <w:sectPr>
          <w:footerReference w:type="default" r:id="rId440"/>
          <w:pgSz w:w="16830" w:h="11900"/>
          <w:pgMar w:top="1011" w:right="1429" w:bottom="1089" w:left="1434" w:header="0" w:footer="818" w:gutter="0"/>
        </w:sectPr>
        <w:rPr>
          <w:rFonts w:ascii="FangSong" w:hAnsi="FangSong" w:eastAsia="FangSong" w:cs="FangSong"/>
          <w:sz w:val="30"/>
          <w:szCs w:val="30"/>
        </w:rPr>
      </w:pPr>
    </w:p>
    <w:p>
      <w:pPr>
        <w:pStyle w:val="BodyText"/>
        <w:spacing w:line="263" w:lineRule="auto"/>
        <w:rPr/>
      </w:pPr>
      <w:r/>
    </w:p>
    <w:p>
      <w:pPr>
        <w:pStyle w:val="BodyText"/>
        <w:spacing w:line="263" w:lineRule="auto"/>
        <w:rPr/>
      </w:pPr>
      <w:r/>
    </w:p>
    <w:p>
      <w:pPr>
        <w:pStyle w:val="BodyText"/>
        <w:spacing w:line="264" w:lineRule="auto"/>
        <w:rPr/>
      </w:pPr>
      <w:r/>
    </w:p>
    <w:p>
      <w:pPr>
        <w:ind w:left="34"/>
        <w:spacing w:before="101" w:line="265" w:lineRule="auto"/>
        <w:rPr>
          <w:rFonts w:ascii="FangSong" w:hAnsi="FangSong" w:eastAsia="FangSong" w:cs="FangSong"/>
          <w:sz w:val="31"/>
          <w:szCs w:val="31"/>
        </w:rPr>
      </w:pPr>
      <w:r>
        <w:rPr>
          <w:rFonts w:ascii="FangSong" w:hAnsi="FangSong" w:eastAsia="FangSong" w:cs="FangSong"/>
          <w:sz w:val="31"/>
          <w:szCs w:val="31"/>
          <w:spacing w:val="13"/>
        </w:rPr>
        <w:t>上的，并处违法所得3倍以上5倍以下的罚款，没有违法所得或者违法所得不足5000元的，并处5000</w:t>
      </w:r>
      <w:r>
        <w:rPr>
          <w:rFonts w:ascii="FangSong" w:hAnsi="FangSong" w:eastAsia="FangSong" w:cs="FangSong"/>
          <w:sz w:val="31"/>
          <w:szCs w:val="31"/>
          <w:spacing w:val="1"/>
        </w:rPr>
        <w:t xml:space="preserve"> </w:t>
      </w:r>
      <w:r>
        <w:rPr>
          <w:rFonts w:ascii="FangSong" w:hAnsi="FangSong" w:eastAsia="FangSong" w:cs="FangSong"/>
          <w:sz w:val="31"/>
          <w:szCs w:val="31"/>
          <w:spacing w:val="16"/>
        </w:rPr>
        <w:t>元以上2万元以下的罚款。</w:t>
      </w:r>
    </w:p>
    <w:p>
      <w:pPr>
        <w:ind w:left="6428"/>
        <w:spacing w:before="131"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8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9193"/>
        <w:gridCol w:w="3292"/>
      </w:tblGrid>
      <w:tr>
        <w:trPr>
          <w:trHeight w:val="634" w:hRule="atLeast"/>
        </w:trPr>
        <w:tc>
          <w:tcPr>
            <w:tcW w:w="1414" w:type="dxa"/>
            <w:vAlign w:val="top"/>
          </w:tcPr>
          <w:p>
            <w:pPr>
              <w:pStyle w:val="TableText"/>
              <w:ind w:left="128"/>
              <w:spacing w:before="202" w:line="220" w:lineRule="auto"/>
              <w:rPr/>
            </w:pPr>
            <w:r>
              <w:rPr>
                <w:b/>
                <w:bCs/>
                <w:spacing w:val="46"/>
              </w:rPr>
              <w:t>违法程度</w:t>
            </w:r>
          </w:p>
        </w:tc>
        <w:tc>
          <w:tcPr>
            <w:tcW w:w="9193" w:type="dxa"/>
            <w:vAlign w:val="top"/>
          </w:tcPr>
          <w:p>
            <w:pPr>
              <w:pStyle w:val="TableText"/>
              <w:ind w:left="4014"/>
              <w:spacing w:before="202" w:line="220" w:lineRule="auto"/>
              <w:rPr/>
            </w:pPr>
            <w:r>
              <w:rPr>
                <w:b/>
                <w:bCs/>
                <w:spacing w:val="-11"/>
              </w:rPr>
              <w:t>情</w:t>
            </w:r>
            <w:r>
              <w:rPr>
                <w:spacing w:val="-37"/>
              </w:rPr>
              <w:t xml:space="preserve"> </w:t>
            </w:r>
            <w:r>
              <w:rPr>
                <w:b/>
                <w:bCs/>
                <w:spacing w:val="-11"/>
              </w:rPr>
              <w:t>节</w:t>
            </w:r>
            <w:r>
              <w:rPr>
                <w:spacing w:val="-36"/>
              </w:rPr>
              <w:t xml:space="preserve"> </w:t>
            </w:r>
            <w:r>
              <w:rPr>
                <w:b/>
                <w:bCs/>
                <w:spacing w:val="-11"/>
              </w:rPr>
              <w:t>后</w:t>
            </w:r>
            <w:r>
              <w:rPr>
                <w:spacing w:val="-33"/>
              </w:rPr>
              <w:t xml:space="preserve"> </w:t>
            </w:r>
            <w:r>
              <w:rPr>
                <w:b/>
                <w:bCs/>
                <w:spacing w:val="-11"/>
              </w:rPr>
              <w:t>果</w:t>
            </w:r>
          </w:p>
        </w:tc>
        <w:tc>
          <w:tcPr>
            <w:tcW w:w="3292" w:type="dxa"/>
            <w:vAlign w:val="top"/>
          </w:tcPr>
          <w:p>
            <w:pPr>
              <w:pStyle w:val="TableText"/>
              <w:ind w:left="1061"/>
              <w:spacing w:before="19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89" w:hRule="atLeast"/>
        </w:trPr>
        <w:tc>
          <w:tcPr>
            <w:tcW w:w="1414" w:type="dxa"/>
            <w:vAlign w:val="top"/>
          </w:tcPr>
          <w:p>
            <w:pPr>
              <w:pStyle w:val="TableText"/>
              <w:ind w:left="458"/>
              <w:spacing w:before="227" w:line="219" w:lineRule="auto"/>
              <w:rPr/>
            </w:pPr>
            <w:r>
              <w:rPr>
                <w:b/>
                <w:bCs/>
                <w:spacing w:val="-5"/>
              </w:rPr>
              <w:t>较轻</w:t>
            </w:r>
          </w:p>
        </w:tc>
        <w:tc>
          <w:tcPr>
            <w:tcW w:w="9193" w:type="dxa"/>
            <w:vAlign w:val="top"/>
          </w:tcPr>
          <w:p>
            <w:pPr>
              <w:pStyle w:val="TableText"/>
              <w:ind w:left="100" w:right="141" w:firstLine="49"/>
              <w:spacing w:before="60" w:line="238" w:lineRule="auto"/>
              <w:rPr/>
            </w:pPr>
            <w:r>
              <w:rPr/>
              <w:t>医疗保健机构未取得母婴保健技术许可，擅自从事婚前医学检查、遗传病诊断、终止</w:t>
            </w:r>
            <w:r>
              <w:rPr>
                <w:spacing w:val="10"/>
              </w:rPr>
              <w:t xml:space="preserve"> </w:t>
            </w:r>
            <w:r>
              <w:rPr/>
              <w:t>妊娠手术和医学技术鉴定或者出具有关医学证明，没有违法所得的</w:t>
            </w:r>
          </w:p>
        </w:tc>
        <w:tc>
          <w:tcPr>
            <w:tcW w:w="3292" w:type="dxa"/>
            <w:vAlign w:val="top"/>
          </w:tcPr>
          <w:p>
            <w:pPr>
              <w:pStyle w:val="TableText"/>
              <w:ind w:left="137" w:right="73" w:hanging="60"/>
              <w:spacing w:before="57" w:line="239" w:lineRule="auto"/>
              <w:rPr/>
            </w:pPr>
            <w:r>
              <w:rPr/>
              <w:t>警告，责令停止违法行为，并</w:t>
            </w:r>
            <w:r>
              <w:rPr>
                <w:spacing w:val="9"/>
              </w:rPr>
              <w:t xml:space="preserve"> </w:t>
            </w:r>
            <w:r>
              <w:rPr>
                <w:spacing w:val="1"/>
              </w:rPr>
              <w:t>罚款5000元</w:t>
            </w:r>
          </w:p>
        </w:tc>
      </w:tr>
      <w:tr>
        <w:trPr>
          <w:trHeight w:val="999" w:hRule="atLeast"/>
        </w:trPr>
        <w:tc>
          <w:tcPr>
            <w:tcW w:w="1414"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458"/>
              <w:spacing w:before="78" w:line="221" w:lineRule="auto"/>
              <w:rPr/>
            </w:pPr>
            <w:r>
              <w:rPr>
                <w:b/>
                <w:bCs/>
                <w:spacing w:val="-10"/>
              </w:rPr>
              <w:t>一般</w:t>
            </w:r>
          </w:p>
        </w:tc>
        <w:tc>
          <w:tcPr>
            <w:tcW w:w="9193" w:type="dxa"/>
            <w:vAlign w:val="top"/>
          </w:tcPr>
          <w:p>
            <w:pPr>
              <w:pStyle w:val="TableText"/>
              <w:ind w:left="100" w:right="141" w:firstLine="49"/>
              <w:spacing w:before="231" w:line="264" w:lineRule="auto"/>
              <w:rPr/>
            </w:pPr>
            <w:r>
              <w:rPr/>
              <w:t>医疗保健机构未取得母婴保健技术许可，擅自从事婚前医学检查、遗传病诊断、终止</w:t>
            </w:r>
            <w:r>
              <w:rPr>
                <w:spacing w:val="10"/>
              </w:rPr>
              <w:t xml:space="preserve"> </w:t>
            </w:r>
            <w:r>
              <w:rPr/>
              <w:t>妊娠手术和医学技术鉴定或者出具有关医学证明，违法所得1000元以下的</w:t>
            </w:r>
          </w:p>
        </w:tc>
        <w:tc>
          <w:tcPr>
            <w:tcW w:w="3292" w:type="dxa"/>
            <w:vAlign w:val="top"/>
          </w:tcPr>
          <w:p>
            <w:pPr>
              <w:pStyle w:val="TableText"/>
              <w:ind w:left="196" w:right="72" w:hanging="119"/>
              <w:spacing w:before="59" w:line="255" w:lineRule="auto"/>
              <w:rPr/>
            </w:pPr>
            <w:r>
              <w:rPr/>
              <w:t>警告，责令停止违法行为，没</w:t>
            </w:r>
            <w:r>
              <w:rPr>
                <w:spacing w:val="10"/>
              </w:rPr>
              <w:t xml:space="preserve"> </w:t>
            </w:r>
            <w:r>
              <w:rPr/>
              <w:t>收违法所得，并罚款5000元</w:t>
            </w:r>
          </w:p>
          <w:p>
            <w:pPr>
              <w:pStyle w:val="TableText"/>
              <w:ind w:left="147"/>
              <w:spacing w:before="1" w:line="204" w:lineRule="auto"/>
              <w:rPr/>
            </w:pPr>
            <w:r>
              <w:rPr>
                <w:spacing w:val="1"/>
              </w:rPr>
              <w:t>以上10000元以下</w:t>
            </w:r>
          </w:p>
        </w:tc>
      </w:tr>
      <w:tr>
        <w:trPr>
          <w:trHeight w:val="1018" w:hRule="atLeast"/>
        </w:trPr>
        <w:tc>
          <w:tcPr>
            <w:tcW w:w="1414" w:type="dxa"/>
            <w:vAlign w:val="top"/>
            <w:vMerge w:val="continue"/>
            <w:tcBorders>
              <w:top w:val="nil"/>
              <w:bottom w:val="nil"/>
            </w:tcBorders>
          </w:tcPr>
          <w:p>
            <w:pPr>
              <w:rPr>
                <w:rFonts w:ascii="Arial"/>
                <w:sz w:val="21"/>
              </w:rPr>
            </w:pPr>
            <w:r/>
          </w:p>
        </w:tc>
        <w:tc>
          <w:tcPr>
            <w:tcW w:w="9193" w:type="dxa"/>
            <w:vAlign w:val="top"/>
          </w:tcPr>
          <w:p>
            <w:pPr>
              <w:pStyle w:val="TableText"/>
              <w:ind w:left="273" w:right="144" w:hanging="119"/>
              <w:spacing w:before="69" w:line="259" w:lineRule="auto"/>
              <w:rPr/>
            </w:pPr>
            <w:r>
              <w:rPr>
                <w:b/>
                <w:bCs/>
                <w:spacing w:val="-2"/>
              </w:rPr>
              <w:t>医疗保健机构未取得母婴保健技术许可，擅自从</w:t>
            </w:r>
            <w:r>
              <w:rPr>
                <w:b/>
                <w:bCs/>
                <w:spacing w:val="-3"/>
              </w:rPr>
              <w:t>事婚前医学检查、遗传病诊断、终止</w:t>
            </w:r>
            <w:r>
              <w:rPr/>
              <w:t xml:space="preserve"> </w:t>
            </w:r>
            <w:r>
              <w:rPr>
                <w:b/>
                <w:bCs/>
                <w:spacing w:val="-3"/>
              </w:rPr>
              <w:t>妊娠手术和医学技术鉴定或者出具有关医学证明，违法所得1000元以上3000元以下</w:t>
            </w:r>
          </w:p>
          <w:p>
            <w:pPr>
              <w:pStyle w:val="TableText"/>
              <w:ind w:left="104"/>
              <w:spacing w:before="1" w:line="203" w:lineRule="auto"/>
              <w:rPr/>
            </w:pPr>
            <w:r>
              <w:rPr>
                <w:b/>
                <w:bCs/>
                <w:color w:val="405060"/>
                <w:spacing w:val="-3"/>
              </w:rPr>
              <w:t>的</w:t>
            </w:r>
          </w:p>
        </w:tc>
        <w:tc>
          <w:tcPr>
            <w:tcW w:w="3292" w:type="dxa"/>
            <w:vAlign w:val="top"/>
          </w:tcPr>
          <w:p>
            <w:pPr>
              <w:pStyle w:val="TableText"/>
              <w:ind w:left="137" w:right="72" w:hanging="60"/>
              <w:spacing w:before="71"/>
              <w:jc w:val="both"/>
              <w:rPr/>
            </w:pPr>
            <w:r>
              <w:rPr/>
              <w:t>警告，责令停止违法行为，没</w:t>
            </w:r>
            <w:r>
              <w:rPr>
                <w:spacing w:val="10"/>
              </w:rPr>
              <w:t xml:space="preserve"> </w:t>
            </w:r>
            <w:r>
              <w:rPr/>
              <w:t>收违法所得，并罚款10000元</w:t>
            </w:r>
            <w:r>
              <w:rPr>
                <w:spacing w:val="9"/>
              </w:rPr>
              <w:t xml:space="preserve"> </w:t>
            </w:r>
            <w:r>
              <w:rPr>
                <w:spacing w:val="2"/>
              </w:rPr>
              <w:t>以上15000元以下</w:t>
            </w:r>
          </w:p>
        </w:tc>
      </w:tr>
      <w:tr>
        <w:trPr>
          <w:trHeight w:val="1018" w:hRule="atLeast"/>
        </w:trPr>
        <w:tc>
          <w:tcPr>
            <w:tcW w:w="1414" w:type="dxa"/>
            <w:vAlign w:val="top"/>
            <w:vMerge w:val="continue"/>
            <w:tcBorders>
              <w:top w:val="nil"/>
            </w:tcBorders>
          </w:tcPr>
          <w:p>
            <w:pPr>
              <w:rPr>
                <w:rFonts w:ascii="Arial"/>
                <w:sz w:val="21"/>
              </w:rPr>
            </w:pPr>
            <w:r/>
          </w:p>
        </w:tc>
        <w:tc>
          <w:tcPr>
            <w:tcW w:w="9193" w:type="dxa"/>
            <w:vAlign w:val="top"/>
          </w:tcPr>
          <w:p>
            <w:pPr>
              <w:pStyle w:val="TableText"/>
              <w:ind w:left="273" w:right="144" w:hanging="119"/>
              <w:spacing w:before="79" w:line="257" w:lineRule="auto"/>
              <w:rPr/>
            </w:pPr>
            <w:r>
              <w:rPr>
                <w:b/>
                <w:bCs/>
                <w:spacing w:val="-2"/>
              </w:rPr>
              <w:t>医疗保健机构未取得母婴保健技术许可，擅自从</w:t>
            </w:r>
            <w:r>
              <w:rPr>
                <w:b/>
                <w:bCs/>
                <w:spacing w:val="-3"/>
              </w:rPr>
              <w:t>事婚前医学检查、遗传病诊断、终止</w:t>
            </w:r>
            <w:r>
              <w:rPr/>
              <w:t xml:space="preserve"> </w:t>
            </w:r>
            <w:r>
              <w:rPr>
                <w:b/>
                <w:bCs/>
                <w:spacing w:val="-3"/>
              </w:rPr>
              <w:t>妊娠手术和医学技术鉴定或者出具有关医学证明，违法所得3000元以上5000元以下</w:t>
            </w:r>
          </w:p>
          <w:p>
            <w:pPr>
              <w:pStyle w:val="TableText"/>
              <w:ind w:left="114"/>
              <w:spacing w:before="7" w:line="195" w:lineRule="auto"/>
              <w:rPr/>
            </w:pPr>
            <w:r>
              <w:rPr>
                <w:b/>
                <w:bCs/>
                <w:color w:val="405050"/>
                <w:spacing w:val="-3"/>
              </w:rPr>
              <w:t>的</w:t>
            </w:r>
          </w:p>
        </w:tc>
        <w:tc>
          <w:tcPr>
            <w:tcW w:w="3292" w:type="dxa"/>
            <w:vAlign w:val="top"/>
          </w:tcPr>
          <w:p>
            <w:pPr>
              <w:pStyle w:val="TableText"/>
              <w:ind w:left="137" w:right="72" w:hanging="60"/>
              <w:spacing w:before="83" w:line="237" w:lineRule="auto"/>
              <w:jc w:val="both"/>
              <w:rPr/>
            </w:pPr>
            <w:r>
              <w:rPr/>
              <w:t>警告，责令停止违法行为，没</w:t>
            </w:r>
            <w:r>
              <w:rPr>
                <w:spacing w:val="10"/>
              </w:rPr>
              <w:t xml:space="preserve"> </w:t>
            </w:r>
            <w:r>
              <w:rPr/>
              <w:t>收违法所得，并罚款15000元</w:t>
            </w:r>
            <w:r>
              <w:rPr>
                <w:spacing w:val="9"/>
              </w:rPr>
              <w:t xml:space="preserve"> </w:t>
            </w:r>
            <w:r>
              <w:rPr>
                <w:spacing w:val="2"/>
              </w:rPr>
              <w:t>以上20000元以下</w:t>
            </w:r>
          </w:p>
        </w:tc>
      </w:tr>
      <w:tr>
        <w:trPr>
          <w:trHeight w:val="1138" w:hRule="atLeast"/>
        </w:trPr>
        <w:tc>
          <w:tcPr>
            <w:tcW w:w="1414" w:type="dxa"/>
            <w:vAlign w:val="top"/>
          </w:tcPr>
          <w:p>
            <w:pPr>
              <w:spacing w:line="376" w:lineRule="auto"/>
              <w:rPr>
                <w:rFonts w:ascii="Arial"/>
                <w:sz w:val="21"/>
              </w:rPr>
            </w:pPr>
            <w:r/>
          </w:p>
          <w:p>
            <w:pPr>
              <w:pStyle w:val="TableText"/>
              <w:ind w:left="458"/>
              <w:spacing w:before="78" w:line="221" w:lineRule="auto"/>
              <w:rPr/>
            </w:pPr>
            <w:r>
              <w:rPr>
                <w:b/>
                <w:bCs/>
                <w:spacing w:val="-5"/>
              </w:rPr>
              <w:t>较重</w:t>
            </w:r>
          </w:p>
        </w:tc>
        <w:tc>
          <w:tcPr>
            <w:tcW w:w="9193" w:type="dxa"/>
            <w:vAlign w:val="top"/>
          </w:tcPr>
          <w:p>
            <w:pPr>
              <w:pStyle w:val="TableText"/>
              <w:ind w:left="130" w:right="141" w:firstLine="20"/>
              <w:spacing w:before="125" w:line="257" w:lineRule="auto"/>
              <w:jc w:val="both"/>
              <w:rPr/>
            </w:pPr>
            <w:r>
              <w:rPr/>
              <w:t>医疗保健机构未取得母婴保健技术许可，擅自从事婚前医学检查、遗传病诊断、终止</w:t>
            </w:r>
            <w:r>
              <w:rPr>
                <w:spacing w:val="10"/>
              </w:rPr>
              <w:t xml:space="preserve"> </w:t>
            </w:r>
            <w:r>
              <w:rPr/>
              <w:t>妊娠手术和医学技术鉴定或者出具有关医学证明，没有违法所得或者违法所得5000元</w:t>
            </w:r>
            <w:r>
              <w:rPr>
                <w:spacing w:val="9"/>
              </w:rPr>
              <w:t xml:space="preserve"> </w:t>
            </w:r>
            <w:r>
              <w:rPr>
                <w:spacing w:val="1"/>
              </w:rPr>
              <w:t>以上10000元以下的</w:t>
            </w:r>
          </w:p>
        </w:tc>
        <w:tc>
          <w:tcPr>
            <w:tcW w:w="3292" w:type="dxa"/>
            <w:vAlign w:val="top"/>
          </w:tcPr>
          <w:p>
            <w:pPr>
              <w:pStyle w:val="TableText"/>
              <w:ind w:left="77" w:right="72"/>
              <w:spacing w:before="125" w:line="257" w:lineRule="auto"/>
              <w:jc w:val="both"/>
              <w:rPr/>
            </w:pPr>
            <w:r>
              <w:rPr/>
              <w:t>警告，责令停止违法行为，没</w:t>
            </w:r>
            <w:r>
              <w:rPr>
                <w:spacing w:val="10"/>
              </w:rPr>
              <w:t xml:space="preserve"> </w:t>
            </w:r>
            <w:r>
              <w:rPr/>
              <w:t>收违法所得，并处以违法所得</w:t>
            </w:r>
            <w:r>
              <w:rPr>
                <w:spacing w:val="8"/>
              </w:rPr>
              <w:t xml:space="preserve"> </w:t>
            </w:r>
            <w:r>
              <w:rPr>
                <w:spacing w:val="5"/>
              </w:rPr>
              <w:t>3倍以上4倍以下罚款</w:t>
            </w:r>
          </w:p>
        </w:tc>
      </w:tr>
      <w:tr>
        <w:trPr>
          <w:trHeight w:val="1103" w:hRule="atLeast"/>
        </w:trPr>
        <w:tc>
          <w:tcPr>
            <w:tcW w:w="1414" w:type="dxa"/>
            <w:vAlign w:val="top"/>
          </w:tcPr>
          <w:p>
            <w:pPr>
              <w:spacing w:line="356" w:lineRule="auto"/>
              <w:rPr>
                <w:rFonts w:ascii="Arial"/>
                <w:sz w:val="21"/>
              </w:rPr>
            </w:pPr>
            <w:r/>
          </w:p>
          <w:p>
            <w:pPr>
              <w:pStyle w:val="TableText"/>
              <w:ind w:left="458"/>
              <w:spacing w:before="78" w:line="220" w:lineRule="auto"/>
              <w:rPr/>
            </w:pPr>
            <w:r>
              <w:rPr>
                <w:b/>
                <w:bCs/>
                <w:spacing w:val="-6"/>
              </w:rPr>
              <w:t>严重</w:t>
            </w:r>
          </w:p>
        </w:tc>
        <w:tc>
          <w:tcPr>
            <w:tcW w:w="9193" w:type="dxa"/>
            <w:vAlign w:val="top"/>
          </w:tcPr>
          <w:p>
            <w:pPr>
              <w:pStyle w:val="TableText"/>
              <w:ind w:left="111" w:right="141" w:firstLine="39"/>
              <w:spacing w:before="118" w:line="250" w:lineRule="auto"/>
              <w:jc w:val="both"/>
              <w:rPr/>
            </w:pPr>
            <w:r>
              <w:rPr/>
              <w:t>医疗保健机构未取得母婴保健技术许可，擅自从事婚前医学检查、遗传病诊断、终止</w:t>
            </w:r>
            <w:r>
              <w:rPr>
                <w:spacing w:val="10"/>
              </w:rPr>
              <w:t xml:space="preserve"> </w:t>
            </w:r>
            <w:r>
              <w:rPr>
                <w:spacing w:val="3"/>
              </w:rPr>
              <w:t>妊娠手术和医学技术鉴定或者出具有关医学证明，没有违法所得或者违法</w:t>
            </w:r>
            <w:r>
              <w:rPr>
                <w:spacing w:val="2"/>
              </w:rPr>
              <w:t>所得10000</w:t>
            </w:r>
            <w:r>
              <w:rPr/>
              <w:t xml:space="preserve"> </w:t>
            </w:r>
            <w:r>
              <w:rPr>
                <w:spacing w:val="4"/>
              </w:rPr>
              <w:t>元以上的</w:t>
            </w:r>
          </w:p>
        </w:tc>
        <w:tc>
          <w:tcPr>
            <w:tcW w:w="3292" w:type="dxa"/>
            <w:vAlign w:val="top"/>
          </w:tcPr>
          <w:p>
            <w:pPr>
              <w:pStyle w:val="TableText"/>
              <w:ind w:left="77" w:right="72"/>
              <w:spacing w:before="118" w:line="250" w:lineRule="auto"/>
              <w:jc w:val="both"/>
              <w:rPr/>
            </w:pPr>
            <w:r>
              <w:rPr/>
              <w:t>警告，责令停止违法行为，没</w:t>
            </w:r>
            <w:r>
              <w:rPr>
                <w:spacing w:val="10"/>
              </w:rPr>
              <w:t xml:space="preserve"> </w:t>
            </w:r>
            <w:r>
              <w:rPr/>
              <w:t>收违法所得，并处以违法所得</w:t>
            </w:r>
            <w:r>
              <w:rPr>
                <w:spacing w:val="8"/>
              </w:rPr>
              <w:t xml:space="preserve"> </w:t>
            </w:r>
            <w:r>
              <w:rPr>
                <w:spacing w:val="3"/>
              </w:rPr>
              <w:t>4倍以上5倍以下罚款</w:t>
            </w:r>
          </w:p>
        </w:tc>
      </w:tr>
    </w:tbl>
    <w:p>
      <w:pPr>
        <w:pStyle w:val="BodyText"/>
        <w:rPr/>
      </w:pPr>
      <w:r/>
    </w:p>
    <w:p>
      <w:pPr>
        <w:sectPr>
          <w:footerReference w:type="default" r:id="rId441"/>
          <w:pgSz w:w="16830" w:h="11900"/>
          <w:pgMar w:top="1011" w:right="1413" w:bottom="1107" w:left="1425" w:header="0" w:footer="774" w:gutter="0"/>
        </w:sectPr>
        <w:rPr/>
      </w:pPr>
    </w:p>
    <w:p>
      <w:pPr>
        <w:spacing w:before="13"/>
        <w:rPr/>
      </w:pPr>
      <w:r/>
    </w:p>
    <w:p>
      <w:pPr>
        <w:spacing w:before="13"/>
        <w:rPr/>
      </w:pPr>
      <w:r/>
    </w:p>
    <w:p>
      <w:pPr>
        <w:spacing w:before="13"/>
        <w:rPr/>
      </w:pPr>
      <w:r/>
    </w:p>
    <w:tbl>
      <w:tblPr>
        <w:tblStyle w:val="TableNormal"/>
        <w:tblW w:w="138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9223"/>
        <w:gridCol w:w="3262"/>
      </w:tblGrid>
      <w:tr>
        <w:trPr>
          <w:trHeight w:val="1040" w:hRule="atLeast"/>
        </w:trPr>
        <w:tc>
          <w:tcPr>
            <w:tcW w:w="1414"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218"/>
              <w:spacing w:before="78" w:line="219" w:lineRule="auto"/>
              <w:rPr/>
            </w:pPr>
            <w:bookmarkStart w:name="bookmark1086" w:id="460"/>
            <w:bookmarkEnd w:id="460"/>
            <w:r>
              <w:rPr>
                <w:b/>
                <w:bCs/>
                <w:spacing w:val="-5"/>
              </w:rPr>
              <w:t>特别严重</w:t>
            </w:r>
          </w:p>
        </w:tc>
        <w:tc>
          <w:tcPr>
            <w:tcW w:w="9223" w:type="dxa"/>
            <w:vAlign w:val="top"/>
          </w:tcPr>
          <w:p>
            <w:pPr>
              <w:pStyle w:val="TableText"/>
              <w:ind w:left="160" w:right="160"/>
              <w:spacing w:before="52" w:line="278" w:lineRule="auto"/>
              <w:rPr/>
            </w:pPr>
            <w:r>
              <w:rPr/>
              <w:t>医疗保健机构未取得母婴保健技术许可，擅自从事婚前医学检查、遗传病诊断、终止</w:t>
            </w:r>
            <w:r>
              <w:rPr>
                <w:spacing w:val="10"/>
              </w:rPr>
              <w:t xml:space="preserve"> </w:t>
            </w:r>
            <w:r>
              <w:rPr/>
              <w:t>妊娠手术和医学技术鉴定或者出具有关医学证明，违法所得不足5000元的，造成严重</w:t>
            </w:r>
          </w:p>
          <w:p>
            <w:pPr>
              <w:pStyle w:val="TableText"/>
              <w:ind w:left="100"/>
              <w:spacing w:line="195" w:lineRule="auto"/>
              <w:rPr/>
            </w:pPr>
            <w:r>
              <w:rPr>
                <w:color w:val="404040"/>
                <w:spacing w:val="6"/>
              </w:rPr>
              <w:t>后果的</w:t>
            </w:r>
          </w:p>
        </w:tc>
        <w:tc>
          <w:tcPr>
            <w:tcW w:w="3262" w:type="dxa"/>
            <w:vAlign w:val="top"/>
          </w:tcPr>
          <w:p>
            <w:pPr>
              <w:pStyle w:val="TableText"/>
              <w:ind w:left="127" w:right="52" w:hanging="60"/>
              <w:spacing w:before="233" w:line="280" w:lineRule="auto"/>
              <w:rPr/>
            </w:pPr>
            <w:r>
              <w:rPr/>
              <w:t>警告，责令停止违法行为，没</w:t>
            </w:r>
            <w:r>
              <w:rPr>
                <w:spacing w:val="10"/>
              </w:rPr>
              <w:t xml:space="preserve"> </w:t>
            </w:r>
            <w:r>
              <w:rPr/>
              <w:t>收违法所得，并罚款20000元</w:t>
            </w:r>
          </w:p>
        </w:tc>
      </w:tr>
      <w:tr>
        <w:trPr>
          <w:trHeight w:val="1000" w:hRule="atLeast"/>
        </w:trPr>
        <w:tc>
          <w:tcPr>
            <w:tcW w:w="1414" w:type="dxa"/>
            <w:vAlign w:val="top"/>
            <w:vMerge w:val="continue"/>
            <w:tcBorders>
              <w:top w:val="nil"/>
            </w:tcBorders>
          </w:tcPr>
          <w:p>
            <w:pPr>
              <w:rPr>
                <w:rFonts w:ascii="Arial"/>
                <w:sz w:val="21"/>
              </w:rPr>
            </w:pPr>
            <w:r/>
          </w:p>
        </w:tc>
        <w:tc>
          <w:tcPr>
            <w:tcW w:w="9223" w:type="dxa"/>
            <w:vAlign w:val="top"/>
          </w:tcPr>
          <w:p>
            <w:pPr>
              <w:pStyle w:val="TableText"/>
              <w:ind w:left="160" w:right="160"/>
              <w:spacing w:before="64" w:line="262" w:lineRule="auto"/>
              <w:rPr/>
            </w:pPr>
            <w:r>
              <w:rPr/>
              <w:t>医疗保健机构未取得母婴保健技术许可，擅自从事婚前医学检查、遗传病诊断、终止</w:t>
            </w:r>
            <w:r>
              <w:rPr>
                <w:spacing w:val="10"/>
              </w:rPr>
              <w:t xml:space="preserve"> </w:t>
            </w:r>
            <w:r>
              <w:rPr/>
              <w:t>妊娠手术和医学技术鉴定或者出具有关医学证明，违法所得5000元以上的，造成严重</w:t>
            </w:r>
          </w:p>
          <w:p>
            <w:pPr>
              <w:pStyle w:val="TableText"/>
              <w:ind w:left="111"/>
              <w:spacing w:line="188" w:lineRule="auto"/>
              <w:rPr/>
            </w:pPr>
            <w:r>
              <w:rPr>
                <w:color w:val="405040"/>
                <w:spacing w:val="6"/>
              </w:rPr>
              <w:t>后果的</w:t>
            </w:r>
          </w:p>
        </w:tc>
        <w:tc>
          <w:tcPr>
            <w:tcW w:w="3262" w:type="dxa"/>
            <w:vAlign w:val="top"/>
          </w:tcPr>
          <w:p>
            <w:pPr>
              <w:pStyle w:val="TableText"/>
              <w:ind w:left="67" w:right="52"/>
              <w:spacing w:before="61" w:line="238" w:lineRule="auto"/>
              <w:jc w:val="both"/>
              <w:rPr/>
            </w:pPr>
            <w:r>
              <w:rPr/>
              <w:t>警告，责令停止违法行为，没</w:t>
            </w:r>
            <w:r>
              <w:rPr>
                <w:spacing w:val="10"/>
              </w:rPr>
              <w:t xml:space="preserve"> </w:t>
            </w:r>
            <w:r>
              <w:rPr/>
              <w:t>收违法所得，并处以违法所得</w:t>
            </w:r>
            <w:r>
              <w:rPr>
                <w:spacing w:val="8"/>
              </w:rPr>
              <w:t xml:space="preserve"> </w:t>
            </w:r>
            <w:r>
              <w:rPr>
                <w:spacing w:val="12"/>
              </w:rPr>
              <w:t>5倍罚款</w:t>
            </w:r>
          </w:p>
        </w:tc>
      </w:tr>
    </w:tbl>
    <w:p>
      <w:pPr>
        <w:pStyle w:val="BodyText"/>
        <w:spacing w:line="253" w:lineRule="auto"/>
        <w:rPr/>
      </w:pPr>
      <w:r/>
    </w:p>
    <w:p>
      <w:pPr>
        <w:pStyle w:val="BodyText"/>
        <w:spacing w:line="253" w:lineRule="auto"/>
        <w:rPr/>
      </w:pPr>
      <w:r/>
    </w:p>
    <w:p>
      <w:pPr>
        <w:ind w:left="675"/>
        <w:spacing w:before="98" w:line="220" w:lineRule="auto"/>
        <w:rPr>
          <w:rFonts w:ascii="FangSong" w:hAnsi="FangSong" w:eastAsia="FangSong" w:cs="FangSong"/>
          <w:sz w:val="30"/>
          <w:szCs w:val="30"/>
        </w:rPr>
      </w:pPr>
      <w:r>
        <w:rPr>
          <w:rFonts w:ascii="FangSong" w:hAnsi="FangSong" w:eastAsia="FangSong" w:cs="FangSong"/>
          <w:sz w:val="30"/>
          <w:szCs w:val="30"/>
          <w:spacing w:val="22"/>
        </w:rPr>
        <w:t>第</w:t>
      </w:r>
      <w:r>
        <w:rPr>
          <w:rFonts w:ascii="FangSong" w:hAnsi="FangSong" w:eastAsia="FangSong" w:cs="FangSong"/>
          <w:sz w:val="30"/>
          <w:szCs w:val="30"/>
          <w:b/>
          <w:bCs/>
          <w:spacing w:val="22"/>
        </w:rPr>
        <w:t>四百一十五条人员未取得母婴保健技术许可从事</w:t>
      </w:r>
      <w:r>
        <w:rPr>
          <w:rFonts w:ascii="FangSong" w:hAnsi="FangSong" w:eastAsia="FangSong" w:cs="FangSong"/>
          <w:sz w:val="30"/>
          <w:szCs w:val="30"/>
          <w:b/>
          <w:bCs/>
          <w:spacing w:val="21"/>
        </w:rPr>
        <w:t>婚前医学检查、遗传病诊断的</w:t>
      </w:r>
    </w:p>
    <w:p>
      <w:pPr>
        <w:ind w:left="654"/>
        <w:spacing w:before="9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firstLine="629"/>
        <w:spacing w:before="89" w:line="265" w:lineRule="auto"/>
        <w:jc w:val="both"/>
        <w:rPr>
          <w:rFonts w:ascii="FangSong" w:hAnsi="FangSong" w:eastAsia="FangSong" w:cs="FangSong"/>
          <w:sz w:val="30"/>
          <w:szCs w:val="30"/>
        </w:rPr>
      </w:pPr>
      <w:r>
        <w:rPr>
          <w:rFonts w:ascii="FangSong" w:hAnsi="FangSong" w:eastAsia="FangSong" w:cs="FangSong"/>
          <w:sz w:val="30"/>
          <w:szCs w:val="30"/>
          <w:spacing w:val="20"/>
        </w:rPr>
        <w:t>《中华人民共和国母婴保健法实施办法》第四十条</w:t>
      </w:r>
      <w:r>
        <w:rPr>
          <w:rFonts w:ascii="FangSong" w:hAnsi="FangSong" w:eastAsia="FangSong" w:cs="FangSong"/>
          <w:sz w:val="30"/>
          <w:szCs w:val="30"/>
          <w:spacing w:val="20"/>
        </w:rPr>
        <w:t xml:space="preserve">  </w:t>
      </w:r>
      <w:r>
        <w:rPr>
          <w:rFonts w:ascii="FangSong" w:hAnsi="FangSong" w:eastAsia="FangSong" w:cs="FangSong"/>
          <w:sz w:val="30"/>
          <w:szCs w:val="30"/>
          <w:spacing w:val="19"/>
        </w:rPr>
        <w:t xml:space="preserve"> </w:t>
      </w:r>
      <w:r>
        <w:rPr>
          <w:rFonts w:ascii="FangSong" w:hAnsi="FangSong" w:eastAsia="FangSong" w:cs="FangSong"/>
          <w:sz w:val="30"/>
          <w:szCs w:val="30"/>
          <w:spacing w:val="19"/>
        </w:rPr>
        <w:t>医疗保健机构或者人员未取得母婴保健技</w:t>
      </w:r>
      <w:r>
        <w:rPr>
          <w:rFonts w:ascii="FangSong" w:hAnsi="FangSong" w:eastAsia="FangSong" w:cs="FangSong"/>
          <w:sz w:val="30"/>
          <w:szCs w:val="30"/>
        </w:rPr>
        <w:t xml:space="preserve"> </w:t>
      </w:r>
      <w:r>
        <w:rPr>
          <w:rFonts w:ascii="FangSong" w:hAnsi="FangSong" w:eastAsia="FangSong" w:cs="FangSong"/>
          <w:sz w:val="30"/>
          <w:szCs w:val="30"/>
          <w:spacing w:val="17"/>
        </w:rPr>
        <w:t>术许可，擅自从事婚前医学检查、遗传病诊断、产前诊断</w:t>
      </w:r>
      <w:r>
        <w:rPr>
          <w:rFonts w:ascii="FangSong" w:hAnsi="FangSong" w:eastAsia="FangSong" w:cs="FangSong"/>
          <w:sz w:val="30"/>
          <w:szCs w:val="30"/>
          <w:spacing w:val="16"/>
        </w:rPr>
        <w:t>、终止妊娠手术和医学技术鉴定或者出具有</w:t>
      </w:r>
      <w:r>
        <w:rPr>
          <w:rFonts w:ascii="FangSong" w:hAnsi="FangSong" w:eastAsia="FangSong" w:cs="FangSong"/>
          <w:sz w:val="30"/>
          <w:szCs w:val="30"/>
        </w:rPr>
        <w:t xml:space="preserve"> </w:t>
      </w:r>
      <w:r>
        <w:rPr>
          <w:rFonts w:ascii="FangSong" w:hAnsi="FangSong" w:eastAsia="FangSong" w:cs="FangSong"/>
          <w:sz w:val="30"/>
          <w:szCs w:val="30"/>
          <w:spacing w:val="22"/>
        </w:rPr>
        <w:t>关医学证明的，由卫生行政部门给予警告，责令停止违法行为，没收违法所得；违法所得5000元以</w:t>
      </w:r>
      <w:r>
        <w:rPr>
          <w:rFonts w:ascii="FangSong" w:hAnsi="FangSong" w:eastAsia="FangSong" w:cs="FangSong"/>
          <w:sz w:val="30"/>
          <w:szCs w:val="30"/>
          <w:spacing w:val="13"/>
        </w:rPr>
        <w:t xml:space="preserve"> </w:t>
      </w:r>
      <w:r>
        <w:rPr>
          <w:rFonts w:ascii="FangSong" w:hAnsi="FangSong" w:eastAsia="FangSong" w:cs="FangSong"/>
          <w:sz w:val="30"/>
          <w:szCs w:val="30"/>
          <w:spacing w:val="22"/>
        </w:rPr>
        <w:t>上的，并处违法所得3倍以上5倍以下的罚款，没有违法所得或者违法所得不足5000元的，并处5000</w:t>
      </w:r>
      <w:r>
        <w:rPr>
          <w:rFonts w:ascii="FangSong" w:hAnsi="FangSong" w:eastAsia="FangSong" w:cs="FangSong"/>
          <w:sz w:val="30"/>
          <w:szCs w:val="30"/>
        </w:rPr>
        <w:t xml:space="preserve"> </w:t>
      </w:r>
      <w:r>
        <w:rPr>
          <w:rFonts w:ascii="FangSong" w:hAnsi="FangSong" w:eastAsia="FangSong" w:cs="FangSong"/>
          <w:sz w:val="30"/>
          <w:szCs w:val="30"/>
          <w:spacing w:val="25"/>
        </w:rPr>
        <w:t>元以上2万元以下的罚款。</w:t>
      </w:r>
    </w:p>
    <w:p>
      <w:pPr>
        <w:ind w:left="6428"/>
        <w:spacing w:before="16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889"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7624"/>
        <w:gridCol w:w="4851"/>
      </w:tblGrid>
      <w:tr>
        <w:trPr>
          <w:trHeight w:val="631" w:hRule="atLeast"/>
        </w:trPr>
        <w:tc>
          <w:tcPr>
            <w:tcW w:w="1414" w:type="dxa"/>
            <w:vAlign w:val="top"/>
          </w:tcPr>
          <w:p>
            <w:pPr>
              <w:pStyle w:val="TableText"/>
              <w:ind w:left="178"/>
              <w:spacing w:before="192" w:line="220" w:lineRule="auto"/>
              <w:rPr>
                <w:sz w:val="26"/>
                <w:szCs w:val="26"/>
              </w:rPr>
            </w:pPr>
            <w:r>
              <w:rPr>
                <w:sz w:val="26"/>
                <w:szCs w:val="26"/>
                <w:b/>
                <w:bCs/>
                <w:spacing w:val="-5"/>
              </w:rPr>
              <w:t>违法程度</w:t>
            </w:r>
          </w:p>
        </w:tc>
        <w:tc>
          <w:tcPr>
            <w:tcW w:w="7624" w:type="dxa"/>
            <w:vAlign w:val="top"/>
          </w:tcPr>
          <w:p>
            <w:pPr>
              <w:pStyle w:val="TableText"/>
              <w:ind w:left="3254"/>
              <w:spacing w:before="192" w:line="220" w:lineRule="auto"/>
              <w:rPr>
                <w:sz w:val="26"/>
                <w:szCs w:val="26"/>
              </w:rPr>
            </w:pPr>
            <w:r>
              <w:rPr>
                <w:sz w:val="26"/>
                <w:szCs w:val="26"/>
                <w:b/>
                <w:bCs/>
                <w:spacing w:val="-5"/>
              </w:rPr>
              <w:t>情节后果</w:t>
            </w:r>
          </w:p>
        </w:tc>
        <w:tc>
          <w:tcPr>
            <w:tcW w:w="4851" w:type="dxa"/>
            <w:vAlign w:val="top"/>
          </w:tcPr>
          <w:p>
            <w:pPr>
              <w:pStyle w:val="TableText"/>
              <w:ind w:left="1900"/>
              <w:spacing w:before="189" w:line="218" w:lineRule="auto"/>
              <w:rPr>
                <w:sz w:val="26"/>
                <w:szCs w:val="26"/>
              </w:rPr>
            </w:pPr>
            <w:r>
              <w:rPr>
                <w:sz w:val="26"/>
                <w:szCs w:val="26"/>
                <w:b/>
                <w:bCs/>
                <w:spacing w:val="-5"/>
              </w:rPr>
              <w:t>裁量幅度</w:t>
            </w:r>
          </w:p>
        </w:tc>
      </w:tr>
      <w:tr>
        <w:trPr>
          <w:trHeight w:val="799" w:hRule="atLeast"/>
        </w:trPr>
        <w:tc>
          <w:tcPr>
            <w:tcW w:w="1414" w:type="dxa"/>
            <w:vAlign w:val="top"/>
          </w:tcPr>
          <w:p>
            <w:pPr>
              <w:pStyle w:val="TableText"/>
              <w:ind w:left="438"/>
              <w:spacing w:before="271" w:line="219" w:lineRule="auto"/>
              <w:rPr>
                <w:sz w:val="26"/>
                <w:szCs w:val="26"/>
              </w:rPr>
            </w:pPr>
            <w:r>
              <w:rPr>
                <w:sz w:val="26"/>
                <w:szCs w:val="26"/>
                <w:b/>
                <w:bCs/>
                <w:spacing w:val="-6"/>
              </w:rPr>
              <w:t>较轻</w:t>
            </w:r>
          </w:p>
        </w:tc>
        <w:tc>
          <w:tcPr>
            <w:tcW w:w="7624" w:type="dxa"/>
            <w:vAlign w:val="top"/>
          </w:tcPr>
          <w:p>
            <w:pPr>
              <w:pStyle w:val="TableText"/>
              <w:ind w:left="94"/>
              <w:spacing w:before="129" w:line="234" w:lineRule="auto"/>
              <w:rPr>
                <w:sz w:val="26"/>
                <w:szCs w:val="26"/>
              </w:rPr>
            </w:pPr>
            <w:r>
              <w:rPr>
                <w:sz w:val="26"/>
                <w:szCs w:val="26"/>
                <w:b/>
                <w:bCs/>
                <w:spacing w:val="-20"/>
              </w:rPr>
              <w:t>人员未取得母婴保健技术许可，擅自从事婚前医学检查</w:t>
            </w:r>
            <w:r>
              <w:rPr>
                <w:sz w:val="26"/>
                <w:szCs w:val="26"/>
                <w:b/>
                <w:bCs/>
                <w:spacing w:val="-21"/>
              </w:rPr>
              <w:t>、遗传病诊断，</w:t>
            </w:r>
            <w:r>
              <w:rPr>
                <w:sz w:val="26"/>
                <w:szCs w:val="26"/>
              </w:rPr>
              <w:t xml:space="preserve"> </w:t>
            </w:r>
            <w:r>
              <w:rPr>
                <w:sz w:val="26"/>
                <w:szCs w:val="26"/>
                <w:b/>
                <w:bCs/>
                <w:spacing w:val="-5"/>
              </w:rPr>
              <w:t>没有违法所得的</w:t>
            </w:r>
          </w:p>
        </w:tc>
        <w:tc>
          <w:tcPr>
            <w:tcW w:w="4851" w:type="dxa"/>
            <w:vAlign w:val="top"/>
          </w:tcPr>
          <w:p>
            <w:pPr>
              <w:pStyle w:val="TableText"/>
              <w:ind w:left="80"/>
              <w:spacing w:before="268" w:line="218" w:lineRule="auto"/>
              <w:rPr>
                <w:sz w:val="26"/>
                <w:szCs w:val="26"/>
              </w:rPr>
            </w:pPr>
            <w:r>
              <w:rPr>
                <w:sz w:val="26"/>
                <w:szCs w:val="26"/>
                <w:b/>
                <w:bCs/>
                <w:spacing w:val="-4"/>
              </w:rPr>
              <w:t>警告，责令停止违法行为，并罚款5000元</w:t>
            </w:r>
          </w:p>
        </w:tc>
      </w:tr>
    </w:tbl>
    <w:p>
      <w:pPr>
        <w:pStyle w:val="BodyText"/>
        <w:rPr/>
      </w:pPr>
      <w:r/>
    </w:p>
    <w:p>
      <w:pPr>
        <w:sectPr>
          <w:footerReference w:type="default" r:id="rId442"/>
          <w:pgSz w:w="16830" w:h="11900"/>
          <w:pgMar w:top="1011" w:right="1423" w:bottom="1107" w:left="1425" w:header="0" w:footer="774" w:gutter="0"/>
        </w:sectPr>
        <w:rPr/>
      </w:pPr>
    </w:p>
    <w:p>
      <w:pPr>
        <w:spacing w:before="17"/>
        <w:rPr/>
      </w:pPr>
      <w:r/>
    </w:p>
    <w:p>
      <w:pPr>
        <w:spacing w:before="16"/>
        <w:rPr/>
      </w:pPr>
      <w:r/>
    </w:p>
    <w:p>
      <w:pPr>
        <w:spacing w:before="16"/>
        <w:rPr/>
      </w:pPr>
      <w:r/>
    </w:p>
    <w:tbl>
      <w:tblPr>
        <w:tblStyle w:val="TableNormal"/>
        <w:tblW w:w="139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654"/>
        <w:gridCol w:w="4831"/>
      </w:tblGrid>
      <w:tr>
        <w:trPr>
          <w:trHeight w:val="693" w:hRule="atLeast"/>
        </w:trPr>
        <w:tc>
          <w:tcPr>
            <w:tcW w:w="1424" w:type="dxa"/>
            <w:vAlign w:val="top"/>
            <w:vMerge w:val="restart"/>
            <w:tcBorders>
              <w:bottom w:val="nil"/>
            </w:tcBorders>
          </w:tcPr>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468"/>
              <w:spacing w:before="78" w:line="221" w:lineRule="auto"/>
              <w:rPr/>
            </w:pPr>
            <w:bookmarkStart w:name="bookmark1087" w:id="461"/>
            <w:bookmarkEnd w:id="461"/>
            <w:r>
              <w:rPr>
                <w:b/>
                <w:bCs/>
                <w:spacing w:val="-10"/>
              </w:rPr>
              <w:t>一般</w:t>
            </w:r>
          </w:p>
        </w:tc>
        <w:tc>
          <w:tcPr>
            <w:tcW w:w="7654" w:type="dxa"/>
            <w:vAlign w:val="top"/>
          </w:tcPr>
          <w:p>
            <w:pPr>
              <w:pStyle w:val="TableText"/>
              <w:ind w:left="111" w:right="92"/>
              <w:spacing w:before="84" w:line="230" w:lineRule="auto"/>
              <w:rPr/>
            </w:pPr>
            <w:r>
              <w:rPr/>
              <w:t>人员未取得母婴保健技术许可，擅自从事婚前医学检查、遗传病诊断， </w:t>
            </w:r>
            <w:r>
              <w:rPr>
                <w:spacing w:val="1"/>
              </w:rPr>
              <w:t>违法所得1000元以下的</w:t>
            </w:r>
          </w:p>
        </w:tc>
        <w:tc>
          <w:tcPr>
            <w:tcW w:w="4831" w:type="dxa"/>
            <w:vAlign w:val="top"/>
          </w:tcPr>
          <w:p>
            <w:pPr>
              <w:pStyle w:val="TableText"/>
              <w:ind w:left="97" w:right="164"/>
              <w:spacing w:before="64" w:line="238" w:lineRule="auto"/>
              <w:rPr/>
            </w:pPr>
            <w:r>
              <w:rPr>
                <w:spacing w:val="-1"/>
              </w:rPr>
              <w:t>警告，责令停止违法行为，没收违法所得，</w:t>
            </w:r>
            <w:r>
              <w:rPr>
                <w:spacing w:val="17"/>
              </w:rPr>
              <w:t xml:space="preserve"> </w:t>
            </w:r>
            <w:r>
              <w:rPr/>
              <w:t>并罚款5000元以上10000元以下</w:t>
            </w:r>
          </w:p>
        </w:tc>
      </w:tr>
      <w:tr>
        <w:trPr>
          <w:trHeight w:val="689" w:hRule="atLeast"/>
        </w:trPr>
        <w:tc>
          <w:tcPr>
            <w:tcW w:w="1424" w:type="dxa"/>
            <w:vAlign w:val="top"/>
            <w:vMerge w:val="continue"/>
            <w:tcBorders>
              <w:top w:val="nil"/>
              <w:bottom w:val="nil"/>
            </w:tcBorders>
          </w:tcPr>
          <w:p>
            <w:pPr>
              <w:rPr>
                <w:rFonts w:ascii="Arial"/>
                <w:sz w:val="21"/>
              </w:rPr>
            </w:pPr>
            <w:r/>
          </w:p>
        </w:tc>
        <w:tc>
          <w:tcPr>
            <w:tcW w:w="7654" w:type="dxa"/>
            <w:vAlign w:val="top"/>
          </w:tcPr>
          <w:p>
            <w:pPr>
              <w:pStyle w:val="TableText"/>
              <w:ind w:left="114" w:right="96"/>
              <w:spacing w:before="78" w:line="231" w:lineRule="auto"/>
              <w:rPr/>
            </w:pPr>
            <w:r>
              <w:rPr>
                <w:b/>
                <w:bCs/>
                <w:spacing w:val="-3"/>
              </w:rPr>
              <w:t>人员未取得母婴保健技术许可，擅自从事婚前医学检查、遗传病诊断，</w:t>
            </w:r>
            <w:r>
              <w:rPr>
                <w:spacing w:val="6"/>
              </w:rPr>
              <w:t xml:space="preserve"> </w:t>
            </w:r>
            <w:r>
              <w:rPr>
                <w:b/>
                <w:bCs/>
                <w:spacing w:val="-2"/>
              </w:rPr>
              <w:t>违法所得1000元以上3000元以下的</w:t>
            </w:r>
          </w:p>
        </w:tc>
        <w:tc>
          <w:tcPr>
            <w:tcW w:w="4831" w:type="dxa"/>
            <w:vAlign w:val="top"/>
          </w:tcPr>
          <w:p>
            <w:pPr>
              <w:pStyle w:val="TableText"/>
              <w:ind w:left="97" w:right="164"/>
              <w:spacing w:before="81" w:line="230" w:lineRule="auto"/>
              <w:rPr/>
            </w:pPr>
            <w:r>
              <w:rPr>
                <w:spacing w:val="-1"/>
              </w:rPr>
              <w:t>警告，责令停止违法行为，没收违法所得，</w:t>
            </w:r>
            <w:r>
              <w:rPr>
                <w:spacing w:val="17"/>
              </w:rPr>
              <w:t xml:space="preserve"> </w:t>
            </w:r>
            <w:r>
              <w:rPr/>
              <w:t>并罚款10000元以上15000元以下</w:t>
            </w:r>
          </w:p>
        </w:tc>
      </w:tr>
      <w:tr>
        <w:trPr>
          <w:trHeight w:val="669" w:hRule="atLeast"/>
        </w:trPr>
        <w:tc>
          <w:tcPr>
            <w:tcW w:w="1424" w:type="dxa"/>
            <w:vAlign w:val="top"/>
            <w:vMerge w:val="continue"/>
            <w:tcBorders>
              <w:top w:val="nil"/>
            </w:tcBorders>
          </w:tcPr>
          <w:p>
            <w:pPr>
              <w:rPr>
                <w:rFonts w:ascii="Arial"/>
                <w:sz w:val="21"/>
              </w:rPr>
            </w:pPr>
            <w:r/>
          </w:p>
        </w:tc>
        <w:tc>
          <w:tcPr>
            <w:tcW w:w="7654" w:type="dxa"/>
            <w:vAlign w:val="top"/>
          </w:tcPr>
          <w:p>
            <w:pPr>
              <w:pStyle w:val="TableText"/>
              <w:ind w:left="114" w:right="96"/>
              <w:spacing w:before="48" w:line="235" w:lineRule="auto"/>
              <w:rPr/>
            </w:pPr>
            <w:r>
              <w:rPr>
                <w:b/>
                <w:bCs/>
                <w:spacing w:val="-3"/>
              </w:rPr>
              <w:t>人员未取得母婴保健技术许可，擅自从事婚前医学检查、遗传病诊断，</w:t>
            </w:r>
            <w:r>
              <w:rPr>
                <w:spacing w:val="6"/>
              </w:rPr>
              <w:t xml:space="preserve"> </w:t>
            </w:r>
            <w:r>
              <w:rPr>
                <w:b/>
                <w:bCs/>
                <w:spacing w:val="-2"/>
              </w:rPr>
              <w:t>违法所得3000元以上5000元以下的</w:t>
            </w:r>
          </w:p>
        </w:tc>
        <w:tc>
          <w:tcPr>
            <w:tcW w:w="4831" w:type="dxa"/>
            <w:vAlign w:val="top"/>
          </w:tcPr>
          <w:p>
            <w:pPr>
              <w:pStyle w:val="TableText"/>
              <w:ind w:left="97" w:right="164"/>
              <w:spacing w:before="61" w:line="230" w:lineRule="auto"/>
              <w:rPr/>
            </w:pPr>
            <w:r>
              <w:rPr>
                <w:spacing w:val="-1"/>
              </w:rPr>
              <w:t>警告，责令停止违法行为，没收违法所得，</w:t>
            </w:r>
            <w:r>
              <w:rPr>
                <w:spacing w:val="17"/>
              </w:rPr>
              <w:t xml:space="preserve"> </w:t>
            </w:r>
            <w:r>
              <w:rPr/>
              <w:t>并罚款15000元以上20000元以下</w:t>
            </w:r>
          </w:p>
        </w:tc>
      </w:tr>
      <w:tr>
        <w:trPr>
          <w:trHeight w:val="998" w:hRule="atLeast"/>
        </w:trPr>
        <w:tc>
          <w:tcPr>
            <w:tcW w:w="1424" w:type="dxa"/>
            <w:vAlign w:val="top"/>
          </w:tcPr>
          <w:p>
            <w:pPr>
              <w:spacing w:line="303" w:lineRule="auto"/>
              <w:rPr>
                <w:rFonts w:ascii="Arial"/>
                <w:sz w:val="21"/>
              </w:rPr>
            </w:pPr>
            <w:r/>
          </w:p>
          <w:p>
            <w:pPr>
              <w:pStyle w:val="TableText"/>
              <w:ind w:left="468"/>
              <w:spacing w:before="78" w:line="221" w:lineRule="auto"/>
              <w:rPr/>
            </w:pPr>
            <w:r>
              <w:rPr>
                <w:b/>
                <w:bCs/>
                <w:spacing w:val="-5"/>
              </w:rPr>
              <w:t>较重</w:t>
            </w:r>
          </w:p>
        </w:tc>
        <w:tc>
          <w:tcPr>
            <w:tcW w:w="7654" w:type="dxa"/>
            <w:vAlign w:val="top"/>
          </w:tcPr>
          <w:p>
            <w:pPr>
              <w:pStyle w:val="TableText"/>
              <w:ind w:left="111" w:right="82" w:firstLine="9"/>
              <w:spacing w:before="221" w:line="280" w:lineRule="auto"/>
              <w:rPr/>
            </w:pPr>
            <w:r>
              <w:rPr/>
              <w:t>人员未取得母婴保健技术许可，擅自从事婚前医学检查、遗传病诊断， </w:t>
            </w:r>
            <w:r>
              <w:rPr/>
              <w:t>没有违法所得或者违法所得5000元以上10000元以下的</w:t>
            </w:r>
          </w:p>
        </w:tc>
        <w:tc>
          <w:tcPr>
            <w:tcW w:w="4831" w:type="dxa"/>
            <w:vAlign w:val="top"/>
          </w:tcPr>
          <w:p>
            <w:pPr>
              <w:pStyle w:val="TableText"/>
              <w:ind w:left="97" w:right="164"/>
              <w:spacing w:before="222" w:line="280" w:lineRule="auto"/>
              <w:rPr/>
            </w:pPr>
            <w:r>
              <w:rPr>
                <w:spacing w:val="-1"/>
              </w:rPr>
              <w:t>警告，责令停止违法行为，没收违法所得，</w:t>
            </w:r>
            <w:r>
              <w:rPr>
                <w:spacing w:val="17"/>
              </w:rPr>
              <w:t xml:space="preserve"> </w:t>
            </w:r>
            <w:r>
              <w:rPr/>
              <w:t>并处以违法所得3倍以上4倍以下罚款</w:t>
            </w:r>
          </w:p>
        </w:tc>
      </w:tr>
      <w:tr>
        <w:trPr>
          <w:trHeight w:val="1138" w:hRule="atLeast"/>
        </w:trPr>
        <w:tc>
          <w:tcPr>
            <w:tcW w:w="1424" w:type="dxa"/>
            <w:vAlign w:val="top"/>
          </w:tcPr>
          <w:p>
            <w:pPr>
              <w:spacing w:line="372" w:lineRule="auto"/>
              <w:rPr>
                <w:rFonts w:ascii="Arial"/>
                <w:sz w:val="21"/>
              </w:rPr>
            </w:pPr>
            <w:r/>
          </w:p>
          <w:p>
            <w:pPr>
              <w:pStyle w:val="TableText"/>
              <w:ind w:left="468"/>
              <w:spacing w:before="78" w:line="220" w:lineRule="auto"/>
              <w:rPr/>
            </w:pPr>
            <w:r>
              <w:rPr>
                <w:b/>
                <w:bCs/>
                <w:spacing w:val="-6"/>
              </w:rPr>
              <w:t>严重</w:t>
            </w:r>
          </w:p>
        </w:tc>
        <w:tc>
          <w:tcPr>
            <w:tcW w:w="7654" w:type="dxa"/>
            <w:vAlign w:val="top"/>
          </w:tcPr>
          <w:p>
            <w:pPr>
              <w:pStyle w:val="TableText"/>
              <w:ind w:left="111" w:right="82" w:firstLine="9"/>
              <w:spacing w:before="305" w:line="264" w:lineRule="auto"/>
              <w:rPr/>
            </w:pPr>
            <w:r>
              <w:rPr/>
              <w:t>人员未取得母婴保健技术许可，擅自从事婚前医学检查、遗传病诊断， </w:t>
            </w:r>
            <w:r>
              <w:rPr/>
              <w:t>没有违法所得或者违法所得10000元以上</w:t>
            </w:r>
          </w:p>
        </w:tc>
        <w:tc>
          <w:tcPr>
            <w:tcW w:w="4831" w:type="dxa"/>
            <w:vAlign w:val="top"/>
          </w:tcPr>
          <w:p>
            <w:pPr>
              <w:pStyle w:val="TableText"/>
              <w:ind w:left="97" w:right="164"/>
              <w:spacing w:before="303" w:line="265" w:lineRule="auto"/>
              <w:rPr/>
            </w:pPr>
            <w:r>
              <w:rPr>
                <w:spacing w:val="-1"/>
              </w:rPr>
              <w:t>警告，责令停止违法行为，没收违法所得，</w:t>
            </w:r>
            <w:r>
              <w:rPr>
                <w:spacing w:val="17"/>
              </w:rPr>
              <w:t xml:space="preserve"> </w:t>
            </w:r>
            <w:r>
              <w:rPr/>
              <w:t>并处以违法所得4倍以上5倍以下罚款</w:t>
            </w:r>
          </w:p>
        </w:tc>
      </w:tr>
      <w:tr>
        <w:trPr>
          <w:trHeight w:val="689" w:hRule="atLeast"/>
        </w:trPr>
        <w:tc>
          <w:tcPr>
            <w:tcW w:w="1424" w:type="dxa"/>
            <w:vAlign w:val="top"/>
            <w:vMerge w:val="restart"/>
            <w:tcBorders>
              <w:bottom w:val="nil"/>
            </w:tcBorders>
          </w:tcPr>
          <w:p>
            <w:pPr>
              <w:spacing w:line="241" w:lineRule="auto"/>
              <w:rPr>
                <w:rFonts w:ascii="Arial"/>
                <w:sz w:val="21"/>
              </w:rPr>
            </w:pPr>
            <w:r/>
          </w:p>
          <w:p>
            <w:pPr>
              <w:spacing w:line="242" w:lineRule="auto"/>
              <w:rPr>
                <w:rFonts w:ascii="Arial"/>
                <w:sz w:val="21"/>
              </w:rPr>
            </w:pPr>
            <w:r/>
          </w:p>
          <w:p>
            <w:pPr>
              <w:pStyle w:val="TableText"/>
              <w:ind w:left="228"/>
              <w:spacing w:before="78" w:line="219" w:lineRule="auto"/>
              <w:rPr/>
            </w:pPr>
            <w:r>
              <w:rPr>
                <w:b/>
                <w:bCs/>
                <w:spacing w:val="-5"/>
              </w:rPr>
              <w:t>特别严重</w:t>
            </w:r>
          </w:p>
        </w:tc>
        <w:tc>
          <w:tcPr>
            <w:tcW w:w="7654" w:type="dxa"/>
            <w:vAlign w:val="top"/>
          </w:tcPr>
          <w:p>
            <w:pPr>
              <w:pStyle w:val="TableText"/>
              <w:ind w:left="111" w:right="82" w:firstLine="9"/>
              <w:spacing w:before="86" w:line="228" w:lineRule="auto"/>
              <w:rPr/>
            </w:pPr>
            <w:r>
              <w:rPr/>
              <w:t>人员未取得母婴保健技术许可，擅自从事婚前医学检查、遗传病诊断， </w:t>
            </w:r>
            <w:r>
              <w:rPr/>
              <w:t>违法所得不足5000元的，或造成严重后果的</w:t>
            </w:r>
          </w:p>
        </w:tc>
        <w:tc>
          <w:tcPr>
            <w:tcW w:w="4831" w:type="dxa"/>
            <w:vAlign w:val="top"/>
          </w:tcPr>
          <w:p>
            <w:pPr>
              <w:pStyle w:val="TableText"/>
              <w:ind w:left="97" w:right="164"/>
              <w:spacing w:before="75" w:line="232" w:lineRule="auto"/>
              <w:rPr/>
            </w:pPr>
            <w:r>
              <w:rPr>
                <w:spacing w:val="-1"/>
              </w:rPr>
              <w:t>警告，责令停止违法行为，没收违法所得，</w:t>
            </w:r>
            <w:r>
              <w:rPr>
                <w:spacing w:val="17"/>
              </w:rPr>
              <w:t xml:space="preserve"> </w:t>
            </w:r>
            <w:r>
              <w:rPr>
                <w:spacing w:val="1"/>
              </w:rPr>
              <w:t>并罚款20000元</w:t>
            </w:r>
          </w:p>
        </w:tc>
      </w:tr>
      <w:tr>
        <w:trPr>
          <w:trHeight w:val="664" w:hRule="atLeast"/>
        </w:trPr>
        <w:tc>
          <w:tcPr>
            <w:tcW w:w="1424" w:type="dxa"/>
            <w:vAlign w:val="top"/>
            <w:vMerge w:val="continue"/>
            <w:tcBorders>
              <w:top w:val="nil"/>
            </w:tcBorders>
          </w:tcPr>
          <w:p>
            <w:pPr>
              <w:rPr>
                <w:rFonts w:ascii="Arial"/>
                <w:sz w:val="21"/>
              </w:rPr>
            </w:pPr>
            <w:r/>
          </w:p>
        </w:tc>
        <w:tc>
          <w:tcPr>
            <w:tcW w:w="7654" w:type="dxa"/>
            <w:vAlign w:val="top"/>
          </w:tcPr>
          <w:p>
            <w:pPr>
              <w:pStyle w:val="TableText"/>
              <w:ind w:left="114" w:right="96"/>
              <w:spacing w:before="74" w:line="223" w:lineRule="auto"/>
              <w:rPr/>
            </w:pPr>
            <w:r>
              <w:rPr>
                <w:b/>
                <w:bCs/>
                <w:spacing w:val="-3"/>
              </w:rPr>
              <w:t>人员未取得母婴保健技术许可，擅自从事婚前医学检查、遗传病诊断，</w:t>
            </w:r>
            <w:r>
              <w:rPr>
                <w:spacing w:val="6"/>
              </w:rPr>
              <w:t xml:space="preserve"> </w:t>
            </w:r>
            <w:r>
              <w:rPr>
                <w:b/>
                <w:bCs/>
                <w:spacing w:val="-2"/>
              </w:rPr>
              <w:t>违法所得5000元以上的，或造成严重后果的</w:t>
            </w:r>
          </w:p>
        </w:tc>
        <w:tc>
          <w:tcPr>
            <w:tcW w:w="4831" w:type="dxa"/>
            <w:vAlign w:val="top"/>
          </w:tcPr>
          <w:p>
            <w:pPr>
              <w:pStyle w:val="TableText"/>
              <w:ind w:left="97" w:right="164"/>
              <w:spacing w:before="76" w:line="222" w:lineRule="auto"/>
              <w:rPr/>
            </w:pPr>
            <w:r>
              <w:rPr>
                <w:spacing w:val="-1"/>
              </w:rPr>
              <w:t>警告，责令停止违法行为，没收违法所得，</w:t>
            </w:r>
            <w:r>
              <w:rPr>
                <w:spacing w:val="17"/>
              </w:rPr>
              <w:t xml:space="preserve"> </w:t>
            </w:r>
            <w:r>
              <w:rPr/>
              <w:t>并处以违法所得5倍罚款</w:t>
            </w:r>
          </w:p>
        </w:tc>
      </w:tr>
    </w:tbl>
    <w:p>
      <w:pPr>
        <w:pStyle w:val="BodyText"/>
        <w:spacing w:line="360" w:lineRule="auto"/>
        <w:rPr/>
      </w:pPr>
      <w:r/>
    </w:p>
    <w:p>
      <w:pPr>
        <w:ind w:left="689"/>
        <w:spacing w:before="94" w:line="220" w:lineRule="auto"/>
        <w:rPr>
          <w:rFonts w:ascii="FangSong" w:hAnsi="FangSong" w:eastAsia="FangSong" w:cs="FangSong"/>
          <w:sz w:val="29"/>
          <w:szCs w:val="29"/>
        </w:rPr>
      </w:pPr>
      <w:r>
        <w:rPr>
          <w:rFonts w:ascii="FangSong" w:hAnsi="FangSong" w:eastAsia="FangSong" w:cs="FangSong"/>
          <w:sz w:val="29"/>
          <w:szCs w:val="29"/>
          <w:b/>
          <w:bCs/>
          <w:spacing w:val="28"/>
        </w:rPr>
        <w:t>第四百</w:t>
      </w:r>
      <w:r>
        <w:rPr>
          <w:rFonts w:ascii="FangSong" w:hAnsi="FangSong" w:eastAsia="FangSong" w:cs="FangSong"/>
          <w:sz w:val="29"/>
          <w:szCs w:val="29"/>
          <w:spacing w:val="-74"/>
        </w:rPr>
        <w:t xml:space="preserve"> </w:t>
      </w:r>
      <w:r>
        <w:rPr>
          <w:rFonts w:ascii="FangSong" w:hAnsi="FangSong" w:eastAsia="FangSong" w:cs="FangSong"/>
          <w:sz w:val="29"/>
          <w:szCs w:val="29"/>
          <w:b/>
          <w:bCs/>
          <w:spacing w:val="28"/>
        </w:rPr>
        <w:t>一</w:t>
      </w:r>
      <w:r>
        <w:rPr>
          <w:rFonts w:ascii="FangSong" w:hAnsi="FangSong" w:eastAsia="FangSong" w:cs="FangSong"/>
          <w:sz w:val="29"/>
          <w:szCs w:val="29"/>
          <w:spacing w:val="-80"/>
        </w:rPr>
        <w:t xml:space="preserve"> </w:t>
      </w:r>
      <w:r>
        <w:rPr>
          <w:rFonts w:ascii="FangSong" w:hAnsi="FangSong" w:eastAsia="FangSong" w:cs="FangSong"/>
          <w:sz w:val="29"/>
          <w:szCs w:val="29"/>
          <w:b/>
          <w:bCs/>
          <w:spacing w:val="28"/>
        </w:rPr>
        <w:t>十六条未取得国家颁发的有关合格证书而施行终止妊娠手术的</w:t>
      </w:r>
    </w:p>
    <w:p>
      <w:pPr>
        <w:ind w:left="675"/>
        <w:spacing w:before="82" w:line="222" w:lineRule="auto"/>
        <w:rPr>
          <w:rFonts w:ascii="FangSong" w:hAnsi="FangSong" w:eastAsia="FangSong" w:cs="FangSong"/>
          <w:sz w:val="29"/>
          <w:szCs w:val="29"/>
        </w:rPr>
      </w:pPr>
      <w:r>
        <w:rPr>
          <w:rFonts w:ascii="FangSong" w:hAnsi="FangSong" w:eastAsia="FangSong" w:cs="FangSong"/>
          <w:sz w:val="29"/>
          <w:szCs w:val="29"/>
          <w:spacing w:val="6"/>
        </w:rPr>
        <w:t>法律依据：</w:t>
      </w:r>
    </w:p>
    <w:p>
      <w:pPr>
        <w:ind w:left="15" w:firstLine="645"/>
        <w:spacing w:before="107" w:line="276" w:lineRule="auto"/>
        <w:jc w:val="both"/>
        <w:rPr>
          <w:rFonts w:ascii="FangSong" w:hAnsi="FangSong" w:eastAsia="FangSong" w:cs="FangSong"/>
          <w:sz w:val="29"/>
          <w:szCs w:val="29"/>
        </w:rPr>
      </w:pPr>
      <w:r>
        <w:rPr>
          <w:rFonts w:ascii="FangSong" w:hAnsi="FangSong" w:eastAsia="FangSong" w:cs="FangSong"/>
          <w:sz w:val="29"/>
          <w:szCs w:val="29"/>
          <w:spacing w:val="31"/>
        </w:rPr>
        <w:t>《中华人民共和国母婴保健法》第三十五条第</w:t>
      </w:r>
      <w:r>
        <w:rPr>
          <w:rFonts w:ascii="FangSong" w:hAnsi="FangSong" w:eastAsia="FangSong" w:cs="FangSong"/>
          <w:sz w:val="29"/>
          <w:szCs w:val="29"/>
          <w:spacing w:val="-48"/>
        </w:rPr>
        <w:t xml:space="preserve"> </w:t>
      </w:r>
      <w:r>
        <w:rPr>
          <w:rFonts w:ascii="FangSong" w:hAnsi="FangSong" w:eastAsia="FangSong" w:cs="FangSong"/>
          <w:sz w:val="29"/>
          <w:szCs w:val="29"/>
          <w:spacing w:val="31"/>
        </w:rPr>
        <w:t>一款第(二)项</w:t>
      </w:r>
      <w:r>
        <w:rPr>
          <w:rFonts w:ascii="FangSong" w:hAnsi="FangSong" w:eastAsia="FangSong" w:cs="FangSong"/>
          <w:sz w:val="29"/>
          <w:szCs w:val="29"/>
          <w:spacing w:val="31"/>
        </w:rPr>
        <w:t xml:space="preserve">  </w:t>
      </w:r>
      <w:r>
        <w:rPr>
          <w:rFonts w:ascii="FangSong" w:hAnsi="FangSong" w:eastAsia="FangSong" w:cs="FangSong"/>
          <w:sz w:val="29"/>
          <w:szCs w:val="29"/>
          <w:spacing w:val="31"/>
        </w:rPr>
        <w:t>未取得国家颁发的有关合格证书</w:t>
      </w:r>
      <w:r>
        <w:rPr>
          <w:rFonts w:ascii="FangSong" w:hAnsi="FangSong" w:eastAsia="FangSong" w:cs="FangSong"/>
          <w:sz w:val="29"/>
          <w:szCs w:val="29"/>
        </w:rPr>
        <w:t xml:space="preserve"> </w:t>
      </w:r>
      <w:r>
        <w:rPr>
          <w:rFonts w:ascii="FangSong" w:hAnsi="FangSong" w:eastAsia="FangSong" w:cs="FangSong"/>
          <w:sz w:val="29"/>
          <w:szCs w:val="29"/>
          <w:spacing w:val="26"/>
        </w:rPr>
        <w:t>的，有下列行为之一，县级以上地方人民政府卫生行政部门应当予以制止，并可以根据</w:t>
      </w:r>
      <w:r>
        <w:rPr>
          <w:rFonts w:ascii="FangSong" w:hAnsi="FangSong" w:eastAsia="FangSong" w:cs="FangSong"/>
          <w:sz w:val="29"/>
          <w:szCs w:val="29"/>
          <w:spacing w:val="25"/>
        </w:rPr>
        <w:t>情节给予警告</w:t>
      </w:r>
      <w:r>
        <w:rPr>
          <w:rFonts w:ascii="FangSong" w:hAnsi="FangSong" w:eastAsia="FangSong" w:cs="FangSong"/>
          <w:sz w:val="29"/>
          <w:szCs w:val="29"/>
        </w:rPr>
        <w:t xml:space="preserve"> </w:t>
      </w:r>
      <w:r>
        <w:rPr>
          <w:rFonts w:ascii="FangSong" w:hAnsi="FangSong" w:eastAsia="FangSong" w:cs="FangSong"/>
          <w:sz w:val="29"/>
          <w:szCs w:val="29"/>
          <w:spacing w:val="16"/>
        </w:rPr>
        <w:t>或者处以罚款：</w:t>
      </w:r>
    </w:p>
    <w:p>
      <w:pPr>
        <w:spacing w:line="276" w:lineRule="auto"/>
        <w:sectPr>
          <w:footerReference w:type="default" r:id="rId443"/>
          <w:pgSz w:w="16830" w:h="11900"/>
          <w:pgMar w:top="1011" w:right="1433" w:bottom="1107" w:left="1414" w:header="0" w:footer="774" w:gutter="0"/>
        </w:sectPr>
        <w:rPr>
          <w:rFonts w:ascii="FangSong" w:hAnsi="FangSong" w:eastAsia="FangSong" w:cs="FangSong"/>
          <w:sz w:val="29"/>
          <w:szCs w:val="29"/>
        </w:rPr>
      </w:pPr>
    </w:p>
    <w:p>
      <w:pPr>
        <w:pStyle w:val="BodyText"/>
        <w:spacing w:line="267" w:lineRule="auto"/>
        <w:rPr/>
      </w:pPr>
      <w:r/>
    </w:p>
    <w:p>
      <w:pPr>
        <w:pStyle w:val="BodyText"/>
        <w:spacing w:line="268" w:lineRule="auto"/>
        <w:rPr/>
      </w:pPr>
      <w:r/>
    </w:p>
    <w:p>
      <w:pPr>
        <w:pStyle w:val="BodyText"/>
        <w:spacing w:line="268" w:lineRule="auto"/>
        <w:rPr/>
      </w:pPr>
      <w:r/>
    </w:p>
    <w:p>
      <w:pPr>
        <w:ind w:left="795"/>
        <w:spacing w:before="97" w:line="221" w:lineRule="auto"/>
        <w:rPr>
          <w:rFonts w:ascii="FangSong" w:hAnsi="FangSong" w:eastAsia="FangSong" w:cs="FangSong"/>
          <w:sz w:val="30"/>
          <w:szCs w:val="30"/>
        </w:rPr>
      </w:pPr>
      <w:r>
        <w:rPr>
          <w:rFonts w:ascii="FangSong" w:hAnsi="FangSong" w:eastAsia="FangSong" w:cs="FangSong"/>
          <w:sz w:val="30"/>
          <w:szCs w:val="30"/>
          <w:spacing w:val="25"/>
        </w:rPr>
        <w:t>(二)施行终止妊娠手术的；</w:t>
      </w:r>
    </w:p>
    <w:p>
      <w:pPr>
        <w:ind w:left="15" w:firstLine="640"/>
        <w:spacing w:before="77" w:line="272" w:lineRule="auto"/>
        <w:jc w:val="both"/>
        <w:rPr>
          <w:rFonts w:ascii="FangSong" w:hAnsi="FangSong" w:eastAsia="FangSong" w:cs="FangSong"/>
          <w:sz w:val="30"/>
          <w:szCs w:val="30"/>
        </w:rPr>
      </w:pPr>
      <w:r>
        <w:rPr>
          <w:rFonts w:ascii="FangSong" w:hAnsi="FangSong" w:eastAsia="FangSong" w:cs="FangSong"/>
          <w:sz w:val="30"/>
          <w:szCs w:val="30"/>
          <w:spacing w:val="23"/>
        </w:rPr>
        <w:t>《中华人民共和国母婴保健法实施办法》第四十条医疗保健机构或者人员未取得母婴保健技术</w:t>
      </w:r>
      <w:r>
        <w:rPr>
          <w:rFonts w:ascii="FangSong" w:hAnsi="FangSong" w:eastAsia="FangSong" w:cs="FangSong"/>
          <w:sz w:val="30"/>
          <w:szCs w:val="30"/>
          <w:spacing w:val="15"/>
        </w:rPr>
        <w:t xml:space="preserve"> </w:t>
      </w:r>
      <w:r>
        <w:rPr>
          <w:rFonts w:ascii="FangSong" w:hAnsi="FangSong" w:eastAsia="FangSong" w:cs="FangSong"/>
          <w:sz w:val="30"/>
          <w:szCs w:val="30"/>
          <w:spacing w:val="16"/>
        </w:rPr>
        <w:t>许可，擅自从事婚前医学检查、遗传病诊断、产前诊断、终止妊娠手术和医学技术鉴定或者出具有关</w:t>
      </w:r>
      <w:r>
        <w:rPr>
          <w:rFonts w:ascii="FangSong" w:hAnsi="FangSong" w:eastAsia="FangSong" w:cs="FangSong"/>
          <w:sz w:val="30"/>
          <w:szCs w:val="30"/>
          <w:spacing w:val="18"/>
        </w:rPr>
        <w:t xml:space="preserve"> </w:t>
      </w:r>
      <w:r>
        <w:rPr>
          <w:rFonts w:ascii="FangSong" w:hAnsi="FangSong" w:eastAsia="FangSong" w:cs="FangSong"/>
          <w:sz w:val="30"/>
          <w:szCs w:val="30"/>
          <w:spacing w:val="22"/>
        </w:rPr>
        <w:t>医学证明的，由卫生行政部门给予警告，责令停止违法行为，没收违法所得；违法所得5000元以上</w:t>
      </w:r>
      <w:r>
        <w:rPr>
          <w:rFonts w:ascii="FangSong" w:hAnsi="FangSong" w:eastAsia="FangSong" w:cs="FangSong"/>
          <w:sz w:val="30"/>
          <w:szCs w:val="30"/>
        </w:rPr>
        <w:t xml:space="preserve"> </w:t>
      </w:r>
      <w:r>
        <w:rPr>
          <w:rFonts w:ascii="FangSong" w:hAnsi="FangSong" w:eastAsia="FangSong" w:cs="FangSong"/>
          <w:sz w:val="30"/>
          <w:szCs w:val="30"/>
          <w:spacing w:val="29"/>
        </w:rPr>
        <w:t>的，并处违法所得3倍以上5倍以下的罚款，没有违法所得或者违</w:t>
      </w:r>
      <w:r>
        <w:rPr>
          <w:rFonts w:ascii="FangSong" w:hAnsi="FangSong" w:eastAsia="FangSong" w:cs="FangSong"/>
          <w:sz w:val="30"/>
          <w:szCs w:val="30"/>
          <w:spacing w:val="28"/>
        </w:rPr>
        <w:t>法所得不足5000元的，并处5000</w:t>
      </w:r>
      <w:r>
        <w:rPr>
          <w:rFonts w:ascii="FangSong" w:hAnsi="FangSong" w:eastAsia="FangSong" w:cs="FangSong"/>
          <w:sz w:val="30"/>
          <w:szCs w:val="30"/>
        </w:rPr>
        <w:t xml:space="preserve"> </w:t>
      </w:r>
      <w:r>
        <w:rPr>
          <w:rFonts w:ascii="FangSong" w:hAnsi="FangSong" w:eastAsia="FangSong" w:cs="FangSong"/>
          <w:sz w:val="30"/>
          <w:szCs w:val="30"/>
          <w:spacing w:val="25"/>
        </w:rPr>
        <w:t>元以上2万元以下的罚款。</w:t>
      </w:r>
    </w:p>
    <w:p>
      <w:pPr>
        <w:ind w:left="6419"/>
        <w:spacing w:before="115"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934"/>
        <w:gridCol w:w="4502"/>
      </w:tblGrid>
      <w:tr>
        <w:trPr>
          <w:trHeight w:val="524" w:hRule="atLeast"/>
        </w:trPr>
        <w:tc>
          <w:tcPr>
            <w:tcW w:w="1424" w:type="dxa"/>
            <w:vAlign w:val="top"/>
          </w:tcPr>
          <w:p>
            <w:pPr>
              <w:pStyle w:val="TableText"/>
              <w:ind w:left="208"/>
              <w:spacing w:before="142" w:line="220" w:lineRule="auto"/>
              <w:rPr>
                <w:sz w:val="25"/>
                <w:szCs w:val="25"/>
              </w:rPr>
            </w:pPr>
            <w:r>
              <w:rPr>
                <w:sz w:val="25"/>
                <w:szCs w:val="25"/>
                <w:b/>
                <w:bCs/>
                <w:spacing w:val="-5"/>
              </w:rPr>
              <w:t>违法程度</w:t>
            </w:r>
          </w:p>
        </w:tc>
        <w:tc>
          <w:tcPr>
            <w:tcW w:w="7934" w:type="dxa"/>
            <w:vAlign w:val="top"/>
          </w:tcPr>
          <w:p>
            <w:pPr>
              <w:pStyle w:val="TableText"/>
              <w:ind w:left="3464"/>
              <w:spacing w:before="142" w:line="220" w:lineRule="auto"/>
              <w:rPr>
                <w:sz w:val="25"/>
                <w:szCs w:val="25"/>
              </w:rPr>
            </w:pPr>
            <w:r>
              <w:rPr>
                <w:sz w:val="25"/>
                <w:szCs w:val="25"/>
                <w:b/>
                <w:bCs/>
                <w:spacing w:val="-5"/>
              </w:rPr>
              <w:t>情节后果</w:t>
            </w:r>
          </w:p>
        </w:tc>
        <w:tc>
          <w:tcPr>
            <w:tcW w:w="4502" w:type="dxa"/>
            <w:vAlign w:val="top"/>
          </w:tcPr>
          <w:p>
            <w:pPr>
              <w:pStyle w:val="TableText"/>
              <w:ind w:left="1750"/>
              <w:spacing w:before="139" w:line="218" w:lineRule="auto"/>
              <w:rPr>
                <w:sz w:val="25"/>
                <w:szCs w:val="25"/>
              </w:rPr>
            </w:pPr>
            <w:r>
              <w:rPr>
                <w:sz w:val="25"/>
                <w:szCs w:val="25"/>
                <w:b/>
                <w:bCs/>
                <w:spacing w:val="-5"/>
              </w:rPr>
              <w:t>裁量幅度</w:t>
            </w:r>
          </w:p>
        </w:tc>
      </w:tr>
      <w:tr>
        <w:trPr>
          <w:trHeight w:val="678" w:hRule="atLeast"/>
        </w:trPr>
        <w:tc>
          <w:tcPr>
            <w:tcW w:w="1424" w:type="dxa"/>
            <w:vAlign w:val="top"/>
            <w:vMerge w:val="restart"/>
            <w:tcBorders>
              <w:bottom w:val="nil"/>
            </w:tcBorders>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TableText"/>
              <w:ind w:left="458"/>
              <w:spacing w:before="81" w:line="219" w:lineRule="auto"/>
              <w:rPr>
                <w:sz w:val="25"/>
                <w:szCs w:val="25"/>
              </w:rPr>
            </w:pPr>
            <w:r>
              <w:rPr>
                <w:sz w:val="25"/>
                <w:szCs w:val="25"/>
                <w:b/>
                <w:bCs/>
                <w:spacing w:val="-6"/>
              </w:rPr>
              <w:t>较轻</w:t>
            </w:r>
          </w:p>
        </w:tc>
        <w:tc>
          <w:tcPr>
            <w:tcW w:w="7934" w:type="dxa"/>
            <w:vAlign w:val="top"/>
          </w:tcPr>
          <w:p>
            <w:pPr>
              <w:pStyle w:val="TableText"/>
              <w:ind w:left="121"/>
              <w:spacing w:before="221" w:line="219" w:lineRule="auto"/>
              <w:rPr>
                <w:sz w:val="25"/>
                <w:szCs w:val="25"/>
              </w:rPr>
            </w:pPr>
            <w:r>
              <w:rPr>
                <w:sz w:val="25"/>
                <w:szCs w:val="25"/>
              </w:rPr>
              <w:t>非法为他人施行终止妊娠手术1例或违法所得不足1000元的</w:t>
            </w:r>
          </w:p>
        </w:tc>
        <w:tc>
          <w:tcPr>
            <w:tcW w:w="4502" w:type="dxa"/>
            <w:vAlign w:val="top"/>
          </w:tcPr>
          <w:p>
            <w:pPr>
              <w:pStyle w:val="TableText"/>
              <w:ind w:left="107" w:right="114" w:firstLine="9"/>
              <w:spacing w:before="69" w:line="221" w:lineRule="auto"/>
              <w:rPr>
                <w:sz w:val="25"/>
                <w:szCs w:val="25"/>
              </w:rPr>
            </w:pPr>
            <w:r>
              <w:rPr>
                <w:sz w:val="25"/>
                <w:szCs w:val="25"/>
              </w:rPr>
              <w:t>警告，没收违法所得，罚款5000元以上</w:t>
            </w:r>
            <w:r>
              <w:rPr>
                <w:sz w:val="25"/>
                <w:szCs w:val="25"/>
                <w:spacing w:val="9"/>
              </w:rPr>
              <w:t xml:space="preserve"> </w:t>
            </w:r>
            <w:r>
              <w:rPr>
                <w:sz w:val="25"/>
                <w:szCs w:val="25"/>
                <w:spacing w:val="1"/>
              </w:rPr>
              <w:t>10000元以下</w:t>
            </w:r>
          </w:p>
        </w:tc>
      </w:tr>
      <w:tr>
        <w:trPr>
          <w:trHeight w:val="659" w:hRule="atLeast"/>
        </w:trPr>
        <w:tc>
          <w:tcPr>
            <w:tcW w:w="1424" w:type="dxa"/>
            <w:vAlign w:val="top"/>
            <w:vMerge w:val="continue"/>
            <w:tcBorders>
              <w:top w:val="nil"/>
              <w:bottom w:val="nil"/>
            </w:tcBorders>
          </w:tcPr>
          <w:p>
            <w:pPr>
              <w:rPr>
                <w:rFonts w:ascii="Arial"/>
                <w:sz w:val="21"/>
              </w:rPr>
            </w:pPr>
            <w:r/>
          </w:p>
        </w:tc>
        <w:tc>
          <w:tcPr>
            <w:tcW w:w="7934" w:type="dxa"/>
            <w:vAlign w:val="top"/>
          </w:tcPr>
          <w:p>
            <w:pPr>
              <w:pStyle w:val="TableText"/>
              <w:ind w:left="144"/>
              <w:spacing w:before="209" w:line="219" w:lineRule="auto"/>
              <w:rPr>
                <w:sz w:val="25"/>
                <w:szCs w:val="25"/>
              </w:rPr>
            </w:pPr>
            <w:r>
              <w:rPr>
                <w:sz w:val="25"/>
                <w:szCs w:val="25"/>
                <w:b/>
                <w:bCs/>
                <w:spacing w:val="-2"/>
              </w:rPr>
              <w:t>非法为他人施行终止妊娠手术1例或违法所得1000元以上30</w:t>
            </w:r>
            <w:r>
              <w:rPr>
                <w:sz w:val="25"/>
                <w:szCs w:val="25"/>
                <w:b/>
                <w:bCs/>
                <w:spacing w:val="-3"/>
              </w:rPr>
              <w:t>00元以下的</w:t>
            </w:r>
          </w:p>
        </w:tc>
        <w:tc>
          <w:tcPr>
            <w:tcW w:w="4502" w:type="dxa"/>
            <w:vAlign w:val="top"/>
          </w:tcPr>
          <w:p>
            <w:pPr>
              <w:pStyle w:val="TableText"/>
              <w:ind w:left="106" w:right="73" w:hanging="49"/>
              <w:spacing w:before="50" w:line="221" w:lineRule="auto"/>
              <w:rPr>
                <w:sz w:val="25"/>
                <w:szCs w:val="25"/>
              </w:rPr>
            </w:pPr>
            <w:r>
              <w:rPr>
                <w:sz w:val="25"/>
                <w:szCs w:val="25"/>
                <w:spacing w:val="-1"/>
              </w:rPr>
              <w:t>警告，没收违法所得，罚款10000元以上</w:t>
            </w:r>
            <w:r>
              <w:rPr>
                <w:sz w:val="25"/>
                <w:szCs w:val="25"/>
                <w:spacing w:val="5"/>
              </w:rPr>
              <w:t xml:space="preserve"> </w:t>
            </w:r>
            <w:r>
              <w:rPr>
                <w:sz w:val="25"/>
                <w:szCs w:val="25"/>
                <w:spacing w:val="1"/>
              </w:rPr>
              <w:t>15000元以下</w:t>
            </w:r>
          </w:p>
        </w:tc>
      </w:tr>
      <w:tr>
        <w:trPr>
          <w:trHeight w:val="689" w:hRule="atLeast"/>
        </w:trPr>
        <w:tc>
          <w:tcPr>
            <w:tcW w:w="1424" w:type="dxa"/>
            <w:vAlign w:val="top"/>
            <w:vMerge w:val="continue"/>
            <w:tcBorders>
              <w:top w:val="nil"/>
            </w:tcBorders>
          </w:tcPr>
          <w:p>
            <w:pPr>
              <w:rPr>
                <w:rFonts w:ascii="Arial"/>
                <w:sz w:val="21"/>
              </w:rPr>
            </w:pPr>
            <w:r/>
          </w:p>
        </w:tc>
        <w:tc>
          <w:tcPr>
            <w:tcW w:w="7934" w:type="dxa"/>
            <w:vAlign w:val="top"/>
          </w:tcPr>
          <w:p>
            <w:pPr>
              <w:pStyle w:val="TableText"/>
              <w:ind w:left="144"/>
              <w:spacing w:before="220" w:line="219" w:lineRule="auto"/>
              <w:rPr>
                <w:sz w:val="25"/>
                <w:szCs w:val="25"/>
              </w:rPr>
            </w:pPr>
            <w:r>
              <w:rPr>
                <w:sz w:val="25"/>
                <w:szCs w:val="25"/>
                <w:b/>
                <w:bCs/>
                <w:spacing w:val="-2"/>
              </w:rPr>
              <w:t>非法为他人施行终止妊娠手术1例或违法所得3000元以上50</w:t>
            </w:r>
            <w:r>
              <w:rPr>
                <w:sz w:val="25"/>
                <w:szCs w:val="25"/>
                <w:b/>
                <w:bCs/>
                <w:spacing w:val="-3"/>
              </w:rPr>
              <w:t>00元以下的</w:t>
            </w:r>
          </w:p>
        </w:tc>
        <w:tc>
          <w:tcPr>
            <w:tcW w:w="4502" w:type="dxa"/>
            <w:vAlign w:val="top"/>
          </w:tcPr>
          <w:p>
            <w:pPr>
              <w:pStyle w:val="TableText"/>
              <w:ind w:left="106" w:right="73" w:hanging="49"/>
              <w:spacing w:before="91" w:line="217" w:lineRule="auto"/>
              <w:rPr>
                <w:sz w:val="25"/>
                <w:szCs w:val="25"/>
              </w:rPr>
            </w:pPr>
            <w:r>
              <w:rPr>
                <w:sz w:val="25"/>
                <w:szCs w:val="25"/>
                <w:spacing w:val="-1"/>
              </w:rPr>
              <w:t>警告，没收违法所得，罚款15000元以上</w:t>
            </w:r>
            <w:r>
              <w:rPr>
                <w:sz w:val="25"/>
                <w:szCs w:val="25"/>
                <w:spacing w:val="5"/>
              </w:rPr>
              <w:t xml:space="preserve"> </w:t>
            </w:r>
            <w:r>
              <w:rPr>
                <w:sz w:val="25"/>
                <w:szCs w:val="25"/>
                <w:spacing w:val="1"/>
              </w:rPr>
              <w:t>20000元以下</w:t>
            </w:r>
          </w:p>
        </w:tc>
      </w:tr>
      <w:tr>
        <w:trPr>
          <w:trHeight w:val="688" w:hRule="atLeast"/>
        </w:trPr>
        <w:tc>
          <w:tcPr>
            <w:tcW w:w="1424" w:type="dxa"/>
            <w:vAlign w:val="top"/>
          </w:tcPr>
          <w:p>
            <w:pPr>
              <w:pStyle w:val="TableText"/>
              <w:ind w:left="458"/>
              <w:spacing w:before="223" w:line="221" w:lineRule="auto"/>
              <w:rPr>
                <w:sz w:val="25"/>
                <w:szCs w:val="25"/>
              </w:rPr>
            </w:pPr>
            <w:r>
              <w:rPr>
                <w:sz w:val="25"/>
                <w:szCs w:val="25"/>
                <w:b/>
                <w:bCs/>
                <w:spacing w:val="-10"/>
              </w:rPr>
              <w:t>一般</w:t>
            </w:r>
          </w:p>
        </w:tc>
        <w:tc>
          <w:tcPr>
            <w:tcW w:w="7934" w:type="dxa"/>
            <w:vAlign w:val="top"/>
          </w:tcPr>
          <w:p>
            <w:pPr>
              <w:pStyle w:val="TableText"/>
              <w:ind w:left="110" w:right="202" w:firstLine="100"/>
              <w:spacing w:before="84" w:line="219" w:lineRule="auto"/>
              <w:rPr>
                <w:sz w:val="25"/>
                <w:szCs w:val="25"/>
              </w:rPr>
            </w:pPr>
            <w:r>
              <w:rPr>
                <w:sz w:val="25"/>
                <w:szCs w:val="25"/>
              </w:rPr>
              <w:t>非法为他人施行终止妊娠手术2例以上5例以下或违法所得5000元以上</w:t>
            </w:r>
            <w:r>
              <w:rPr>
                <w:sz w:val="25"/>
                <w:szCs w:val="25"/>
                <w:spacing w:val="9"/>
              </w:rPr>
              <w:t xml:space="preserve"> </w:t>
            </w:r>
            <w:r>
              <w:rPr>
                <w:sz w:val="25"/>
                <w:szCs w:val="25"/>
                <w:spacing w:val="1"/>
              </w:rPr>
              <w:t>10000元以下</w:t>
            </w:r>
          </w:p>
        </w:tc>
        <w:tc>
          <w:tcPr>
            <w:tcW w:w="4502" w:type="dxa"/>
            <w:vAlign w:val="top"/>
          </w:tcPr>
          <w:p>
            <w:pPr>
              <w:pStyle w:val="TableText"/>
              <w:ind w:left="106" w:right="73" w:hanging="49"/>
              <w:spacing w:before="82" w:line="220" w:lineRule="auto"/>
              <w:rPr>
                <w:sz w:val="25"/>
                <w:szCs w:val="25"/>
              </w:rPr>
            </w:pPr>
            <w:r>
              <w:rPr>
                <w:sz w:val="25"/>
                <w:szCs w:val="25"/>
                <w:spacing w:val="-1"/>
              </w:rPr>
              <w:t>警告，没收违法所得，罚款违法所得3倍</w:t>
            </w:r>
            <w:r>
              <w:rPr>
                <w:sz w:val="25"/>
                <w:szCs w:val="25"/>
                <w:spacing w:val="3"/>
              </w:rPr>
              <w:t xml:space="preserve"> </w:t>
            </w:r>
            <w:r>
              <w:rPr>
                <w:sz w:val="25"/>
                <w:szCs w:val="25"/>
                <w:spacing w:val="1"/>
              </w:rPr>
              <w:t>以上4倍以下</w:t>
            </w:r>
          </w:p>
        </w:tc>
      </w:tr>
      <w:tr>
        <w:trPr>
          <w:trHeight w:val="1432" w:hRule="atLeast"/>
        </w:trPr>
        <w:tc>
          <w:tcPr>
            <w:tcW w:w="1424" w:type="dxa"/>
            <w:vAlign w:val="top"/>
          </w:tcPr>
          <w:p>
            <w:pPr>
              <w:spacing w:line="256" w:lineRule="auto"/>
              <w:rPr>
                <w:rFonts w:ascii="Arial"/>
                <w:sz w:val="21"/>
              </w:rPr>
            </w:pPr>
            <w:r/>
          </w:p>
          <w:p>
            <w:pPr>
              <w:spacing w:line="256" w:lineRule="auto"/>
              <w:rPr>
                <w:rFonts w:ascii="Arial"/>
                <w:sz w:val="21"/>
              </w:rPr>
            </w:pPr>
            <w:r/>
          </w:p>
          <w:p>
            <w:pPr>
              <w:pStyle w:val="TableText"/>
              <w:ind w:left="458"/>
              <w:spacing w:before="81" w:line="221" w:lineRule="auto"/>
              <w:rPr>
                <w:sz w:val="25"/>
                <w:szCs w:val="25"/>
              </w:rPr>
            </w:pPr>
            <w:r>
              <w:rPr>
                <w:sz w:val="25"/>
                <w:szCs w:val="25"/>
                <w:b/>
                <w:bCs/>
                <w:spacing w:val="-6"/>
              </w:rPr>
              <w:t>较重</w:t>
            </w:r>
          </w:p>
        </w:tc>
        <w:tc>
          <w:tcPr>
            <w:tcW w:w="7934" w:type="dxa"/>
            <w:vAlign w:val="top"/>
          </w:tcPr>
          <w:p>
            <w:pPr>
              <w:spacing w:line="256" w:lineRule="auto"/>
              <w:rPr>
                <w:rFonts w:ascii="Arial"/>
                <w:sz w:val="21"/>
              </w:rPr>
            </w:pPr>
            <w:r/>
          </w:p>
          <w:p>
            <w:pPr>
              <w:spacing w:line="257" w:lineRule="auto"/>
              <w:rPr>
                <w:rFonts w:ascii="Arial"/>
                <w:sz w:val="21"/>
              </w:rPr>
            </w:pPr>
            <w:r/>
          </w:p>
          <w:p>
            <w:pPr>
              <w:pStyle w:val="TableText"/>
              <w:ind w:left="121"/>
              <w:spacing w:before="81" w:line="219" w:lineRule="auto"/>
              <w:rPr>
                <w:sz w:val="25"/>
                <w:szCs w:val="25"/>
              </w:rPr>
            </w:pPr>
            <w:r>
              <w:rPr>
                <w:sz w:val="25"/>
                <w:szCs w:val="25"/>
              </w:rPr>
              <w:t>非法为他人施行计划生育手术5例以上或违法所得10000元上的</w:t>
            </w:r>
          </w:p>
        </w:tc>
        <w:tc>
          <w:tcPr>
            <w:tcW w:w="4502" w:type="dxa"/>
            <w:vAlign w:val="top"/>
          </w:tcPr>
          <w:p>
            <w:pPr>
              <w:spacing w:line="380" w:lineRule="auto"/>
              <w:rPr>
                <w:rFonts w:ascii="Arial"/>
                <w:sz w:val="21"/>
              </w:rPr>
            </w:pPr>
            <w:r/>
          </w:p>
          <w:p>
            <w:pPr>
              <w:pStyle w:val="TableText"/>
              <w:ind w:left="106" w:right="73" w:hanging="49"/>
              <w:spacing w:before="81" w:line="256" w:lineRule="auto"/>
              <w:rPr>
                <w:sz w:val="25"/>
                <w:szCs w:val="25"/>
              </w:rPr>
            </w:pPr>
            <w:r>
              <w:rPr>
                <w:sz w:val="25"/>
                <w:szCs w:val="25"/>
                <w:spacing w:val="-1"/>
              </w:rPr>
              <w:t>警告，没收违法所得，罚款违法所得4倍</w:t>
            </w:r>
            <w:r>
              <w:rPr>
                <w:sz w:val="25"/>
                <w:szCs w:val="25"/>
                <w:spacing w:val="3"/>
              </w:rPr>
              <w:t xml:space="preserve"> </w:t>
            </w:r>
            <w:r>
              <w:rPr>
                <w:sz w:val="25"/>
                <w:szCs w:val="25"/>
                <w:spacing w:val="1"/>
              </w:rPr>
              <w:t>以上5倍以下</w:t>
            </w:r>
          </w:p>
        </w:tc>
      </w:tr>
    </w:tbl>
    <w:p>
      <w:pPr>
        <w:pStyle w:val="BodyText"/>
        <w:rPr/>
      </w:pPr>
      <w:r/>
    </w:p>
    <w:p>
      <w:pPr>
        <w:sectPr>
          <w:footerReference w:type="default" r:id="rId444"/>
          <w:pgSz w:w="16830" w:h="11900"/>
          <w:pgMar w:top="1011" w:right="1433" w:bottom="1108" w:left="1434" w:header="0" w:footer="775" w:gutter="0"/>
        </w:sectPr>
        <w:rPr/>
      </w:pPr>
    </w:p>
    <w:p>
      <w:pPr>
        <w:spacing w:before="20"/>
        <w:rPr/>
      </w:pPr>
      <w:r/>
    </w:p>
    <w:p>
      <w:pPr>
        <w:spacing w:before="20"/>
        <w:rPr/>
      </w:pPr>
      <w:r/>
    </w:p>
    <w:p>
      <w:pPr>
        <w:spacing w:before="19"/>
        <w:rPr/>
      </w:pPr>
      <w:r/>
    </w:p>
    <w:tbl>
      <w:tblPr>
        <w:tblStyle w:val="TableNormal"/>
        <w:tblW w:w="138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7924"/>
        <w:gridCol w:w="4542"/>
      </w:tblGrid>
      <w:tr>
        <w:trPr>
          <w:trHeight w:val="560" w:hRule="atLeast"/>
        </w:trPr>
        <w:tc>
          <w:tcPr>
            <w:tcW w:w="1414" w:type="dxa"/>
            <w:vAlign w:val="top"/>
            <w:vMerge w:val="restart"/>
            <w:tcBorders>
              <w:bottom w:val="nil"/>
            </w:tcBorders>
          </w:tcPr>
          <w:p>
            <w:pPr>
              <w:spacing w:line="339" w:lineRule="auto"/>
              <w:rPr>
                <w:rFonts w:ascii="Arial"/>
                <w:sz w:val="21"/>
              </w:rPr>
            </w:pPr>
            <w:r/>
          </w:p>
          <w:p>
            <w:pPr>
              <w:pStyle w:val="TableText"/>
              <w:ind w:left="448"/>
              <w:spacing w:before="81" w:line="220" w:lineRule="auto"/>
              <w:rPr>
                <w:sz w:val="25"/>
                <w:szCs w:val="25"/>
              </w:rPr>
            </w:pPr>
            <w:bookmarkStart w:name="bookmark1088" w:id="462"/>
            <w:bookmarkEnd w:id="462"/>
            <w:r>
              <w:rPr>
                <w:sz w:val="25"/>
                <w:szCs w:val="25"/>
                <w:b/>
                <w:bCs/>
                <w:spacing w:val="-6"/>
              </w:rPr>
              <w:t>严重</w:t>
            </w:r>
          </w:p>
        </w:tc>
        <w:tc>
          <w:tcPr>
            <w:tcW w:w="7924" w:type="dxa"/>
            <w:vAlign w:val="top"/>
          </w:tcPr>
          <w:p>
            <w:pPr>
              <w:pStyle w:val="TableText"/>
              <w:ind w:left="111"/>
              <w:spacing w:before="165" w:line="219" w:lineRule="auto"/>
              <w:rPr>
                <w:sz w:val="25"/>
                <w:szCs w:val="25"/>
              </w:rPr>
            </w:pPr>
            <w:r>
              <w:rPr>
                <w:sz w:val="25"/>
                <w:szCs w:val="25"/>
              </w:rPr>
              <w:t>违法所得不足5000元的，且造成患者人身损害等严重后果的</w:t>
            </w:r>
          </w:p>
        </w:tc>
        <w:tc>
          <w:tcPr>
            <w:tcW w:w="4542" w:type="dxa"/>
            <w:vAlign w:val="top"/>
          </w:tcPr>
          <w:p>
            <w:pPr>
              <w:pStyle w:val="TableText"/>
              <w:ind w:left="126"/>
              <w:spacing w:before="163" w:line="218" w:lineRule="auto"/>
              <w:rPr>
                <w:sz w:val="25"/>
                <w:szCs w:val="25"/>
              </w:rPr>
            </w:pPr>
            <w:r>
              <w:rPr>
                <w:sz w:val="25"/>
                <w:szCs w:val="25"/>
                <w:spacing w:val="-1"/>
              </w:rPr>
              <w:t>警告，没收违法所得，罚款20000元</w:t>
            </w:r>
          </w:p>
        </w:tc>
      </w:tr>
      <w:tr>
        <w:trPr>
          <w:trHeight w:val="520" w:hRule="atLeast"/>
        </w:trPr>
        <w:tc>
          <w:tcPr>
            <w:tcW w:w="1414" w:type="dxa"/>
            <w:vAlign w:val="top"/>
            <w:vMerge w:val="continue"/>
            <w:tcBorders>
              <w:top w:val="nil"/>
            </w:tcBorders>
          </w:tcPr>
          <w:p>
            <w:pPr>
              <w:rPr>
                <w:rFonts w:ascii="Arial"/>
                <w:sz w:val="21"/>
              </w:rPr>
            </w:pPr>
            <w:r/>
          </w:p>
        </w:tc>
        <w:tc>
          <w:tcPr>
            <w:tcW w:w="7924" w:type="dxa"/>
            <w:vAlign w:val="top"/>
          </w:tcPr>
          <w:p>
            <w:pPr>
              <w:pStyle w:val="TableText"/>
              <w:ind w:left="111"/>
              <w:spacing w:before="145" w:line="219" w:lineRule="auto"/>
              <w:rPr>
                <w:sz w:val="25"/>
                <w:szCs w:val="25"/>
              </w:rPr>
            </w:pPr>
            <w:r>
              <w:rPr>
                <w:sz w:val="25"/>
                <w:szCs w:val="25"/>
              </w:rPr>
              <w:t>违法所得5000元以上的，且造成患者人身损害等严重后果的</w:t>
            </w:r>
          </w:p>
        </w:tc>
        <w:tc>
          <w:tcPr>
            <w:tcW w:w="4542" w:type="dxa"/>
            <w:vAlign w:val="top"/>
          </w:tcPr>
          <w:p>
            <w:pPr>
              <w:pStyle w:val="TableText"/>
              <w:ind w:left="126"/>
              <w:spacing w:before="143" w:line="218" w:lineRule="auto"/>
              <w:rPr>
                <w:sz w:val="25"/>
                <w:szCs w:val="25"/>
              </w:rPr>
            </w:pPr>
            <w:r>
              <w:rPr>
                <w:sz w:val="25"/>
                <w:szCs w:val="25"/>
                <w:spacing w:val="-1"/>
              </w:rPr>
              <w:t>警告，没收违法所得，罚款违法所得5倍</w:t>
            </w:r>
          </w:p>
        </w:tc>
      </w:tr>
    </w:tbl>
    <w:p>
      <w:pPr>
        <w:ind w:left="494"/>
        <w:spacing w:before="150" w:line="220" w:lineRule="auto"/>
        <w:rPr>
          <w:rFonts w:ascii="FangSong" w:hAnsi="FangSong" w:eastAsia="FangSong" w:cs="FangSong"/>
          <w:sz w:val="24"/>
          <w:szCs w:val="24"/>
        </w:rPr>
      </w:pPr>
      <w:r>
        <w:rPr>
          <w:rFonts w:ascii="FangSong" w:hAnsi="FangSong" w:eastAsia="FangSong" w:cs="FangSong"/>
          <w:sz w:val="24"/>
          <w:szCs w:val="24"/>
          <w:spacing w:val="-1"/>
        </w:rPr>
        <w:t>备注：当医疗机构非法为他人施行终止妊娠手术的例数与违法所得不属于同一违法程度区间时，择重处</w:t>
      </w:r>
      <w:r>
        <w:rPr>
          <w:rFonts w:ascii="FangSong" w:hAnsi="FangSong" w:eastAsia="FangSong" w:cs="FangSong"/>
          <w:sz w:val="24"/>
          <w:szCs w:val="24"/>
          <w:spacing w:val="-2"/>
        </w:rPr>
        <w:t>罚。</w:t>
      </w:r>
    </w:p>
    <w:p>
      <w:pPr>
        <w:pStyle w:val="BodyText"/>
        <w:rPr/>
      </w:pPr>
      <w:r/>
    </w:p>
    <w:p>
      <w:pPr>
        <w:pStyle w:val="BodyText"/>
        <w:rPr/>
      </w:pPr>
      <w:r/>
    </w:p>
    <w:p>
      <w:pPr>
        <w:ind w:left="66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第四百一十七条未取得国家颁发的有关合格证书出具《母婴保健法》规定的有关医学证明的</w:t>
      </w:r>
    </w:p>
    <w:p>
      <w:pPr>
        <w:ind w:left="664"/>
        <w:spacing w:before="7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4" w:right="25" w:firstLine="619"/>
        <w:spacing w:before="77" w:line="273" w:lineRule="auto"/>
        <w:jc w:val="both"/>
        <w:rPr>
          <w:rFonts w:ascii="FangSong" w:hAnsi="FangSong" w:eastAsia="FangSong" w:cs="FangSong"/>
          <w:sz w:val="30"/>
          <w:szCs w:val="30"/>
        </w:rPr>
      </w:pPr>
      <w:r>
        <w:rPr>
          <w:rFonts w:ascii="FangSong" w:hAnsi="FangSong" w:eastAsia="FangSong" w:cs="FangSong"/>
          <w:sz w:val="30"/>
          <w:szCs w:val="30"/>
          <w:spacing w:val="23"/>
        </w:rPr>
        <w:t>《中华人民共和国母婴保健法》第三十五条第一款第(三)项、第二款</w:t>
      </w:r>
      <w:r>
        <w:rPr>
          <w:rFonts w:ascii="FangSong" w:hAnsi="FangSong" w:eastAsia="FangSong" w:cs="FangSong"/>
          <w:sz w:val="30"/>
          <w:szCs w:val="30"/>
          <w:spacing w:val="23"/>
        </w:rPr>
        <w:t xml:space="preserve">  </w:t>
      </w:r>
      <w:r>
        <w:rPr>
          <w:rFonts w:ascii="FangSong" w:hAnsi="FangSong" w:eastAsia="FangSong" w:cs="FangSong"/>
          <w:sz w:val="30"/>
          <w:szCs w:val="30"/>
          <w:spacing w:val="23"/>
        </w:rPr>
        <w:t>未取得国家颁发的有关</w:t>
      </w:r>
      <w:r>
        <w:rPr>
          <w:rFonts w:ascii="FangSong" w:hAnsi="FangSong" w:eastAsia="FangSong" w:cs="FangSong"/>
          <w:sz w:val="30"/>
          <w:szCs w:val="30"/>
          <w:spacing w:val="3"/>
        </w:rPr>
        <w:t xml:space="preserve"> </w:t>
      </w:r>
      <w:r>
        <w:rPr>
          <w:rFonts w:ascii="FangSong" w:hAnsi="FangSong" w:eastAsia="FangSong" w:cs="FangSong"/>
          <w:sz w:val="30"/>
          <w:szCs w:val="30"/>
          <w:spacing w:val="16"/>
        </w:rPr>
        <w:t>合格证书的，有下列行为之一，县级以上地方人民政府卫生行政</w:t>
      </w:r>
      <w:r>
        <w:rPr>
          <w:rFonts w:ascii="FangSong" w:hAnsi="FangSong" w:eastAsia="FangSong" w:cs="FangSong"/>
          <w:sz w:val="30"/>
          <w:szCs w:val="30"/>
          <w:spacing w:val="15"/>
        </w:rPr>
        <w:t>部门应当予以制止，并可以根据情节</w:t>
      </w:r>
      <w:r>
        <w:rPr>
          <w:rFonts w:ascii="FangSong" w:hAnsi="FangSong" w:eastAsia="FangSong" w:cs="FangSong"/>
          <w:sz w:val="30"/>
          <w:szCs w:val="30"/>
        </w:rPr>
        <w:t xml:space="preserve"> </w:t>
      </w:r>
      <w:r>
        <w:rPr>
          <w:rFonts w:ascii="FangSong" w:hAnsi="FangSong" w:eastAsia="FangSong" w:cs="FangSong"/>
          <w:sz w:val="30"/>
          <w:szCs w:val="30"/>
          <w:spacing w:val="9"/>
        </w:rPr>
        <w:t>给予警告或者处以罚款：</w:t>
      </w:r>
    </w:p>
    <w:p>
      <w:pPr>
        <w:ind w:left="784"/>
        <w:spacing w:line="222" w:lineRule="auto"/>
        <w:rPr>
          <w:rFonts w:ascii="FangSong" w:hAnsi="FangSong" w:eastAsia="FangSong" w:cs="FangSong"/>
          <w:sz w:val="30"/>
          <w:szCs w:val="30"/>
        </w:rPr>
      </w:pPr>
      <w:r>
        <w:rPr>
          <w:rFonts w:ascii="FangSong" w:hAnsi="FangSong" w:eastAsia="FangSong" w:cs="FangSong"/>
          <w:sz w:val="30"/>
          <w:szCs w:val="30"/>
          <w:spacing w:val="33"/>
        </w:rPr>
        <w:t>(三)出具本法规定的有关医学证明的。</w:t>
      </w:r>
    </w:p>
    <w:p>
      <w:pPr>
        <w:ind w:left="664"/>
        <w:spacing w:before="119" w:line="222" w:lineRule="auto"/>
        <w:rPr>
          <w:rFonts w:ascii="FangSong" w:hAnsi="FangSong" w:eastAsia="FangSong" w:cs="FangSong"/>
          <w:sz w:val="30"/>
          <w:szCs w:val="30"/>
        </w:rPr>
      </w:pPr>
      <w:r>
        <w:rPr>
          <w:rFonts w:ascii="FangSong" w:hAnsi="FangSong" w:eastAsia="FangSong" w:cs="FangSong"/>
          <w:sz w:val="30"/>
          <w:szCs w:val="30"/>
          <w:spacing w:val="31"/>
        </w:rPr>
        <w:t>上款第(三)项出具的有关医学证明无效。</w:t>
      </w:r>
    </w:p>
    <w:p>
      <w:pPr>
        <w:ind w:left="14" w:firstLine="619"/>
        <w:spacing w:before="43" w:line="272" w:lineRule="auto"/>
        <w:rPr>
          <w:rFonts w:ascii="FangSong" w:hAnsi="FangSong" w:eastAsia="FangSong" w:cs="FangSong"/>
          <w:sz w:val="30"/>
          <w:szCs w:val="30"/>
        </w:rPr>
      </w:pPr>
      <w:r>
        <w:rPr>
          <w:rFonts w:ascii="FangSong" w:hAnsi="FangSong" w:eastAsia="FangSong" w:cs="FangSong"/>
          <w:sz w:val="30"/>
          <w:szCs w:val="30"/>
          <w:spacing w:val="17"/>
        </w:rPr>
        <w:t>《中华人民共和国母婴保健法实施办法》第四十条</w:t>
      </w:r>
      <w:r>
        <w:rPr>
          <w:rFonts w:ascii="FangSong" w:hAnsi="FangSong" w:eastAsia="FangSong" w:cs="FangSong"/>
          <w:sz w:val="30"/>
          <w:szCs w:val="30"/>
          <w:spacing w:val="17"/>
        </w:rPr>
        <w:t xml:space="preserve">  </w:t>
      </w:r>
      <w:r>
        <w:rPr>
          <w:rFonts w:ascii="FangSong" w:hAnsi="FangSong" w:eastAsia="FangSong" w:cs="FangSong"/>
          <w:sz w:val="30"/>
          <w:szCs w:val="30"/>
          <w:spacing w:val="17"/>
        </w:rPr>
        <w:t>医疗保健机</w:t>
      </w:r>
      <w:r>
        <w:rPr>
          <w:rFonts w:ascii="FangSong" w:hAnsi="FangSong" w:eastAsia="FangSong" w:cs="FangSong"/>
          <w:sz w:val="30"/>
          <w:szCs w:val="30"/>
          <w:spacing w:val="16"/>
        </w:rPr>
        <w:t>构或者人员未取得母婴保健技术</w:t>
      </w:r>
      <w:r>
        <w:rPr>
          <w:rFonts w:ascii="FangSong" w:hAnsi="FangSong" w:eastAsia="FangSong" w:cs="FangSong"/>
          <w:sz w:val="30"/>
          <w:szCs w:val="30"/>
        </w:rPr>
        <w:t xml:space="preserve"> </w:t>
      </w:r>
      <w:r>
        <w:rPr>
          <w:rFonts w:ascii="FangSong" w:hAnsi="FangSong" w:eastAsia="FangSong" w:cs="FangSong"/>
          <w:sz w:val="30"/>
          <w:szCs w:val="30"/>
          <w:spacing w:val="16"/>
        </w:rPr>
        <w:t>许可，擅自从事婚前医学检查、遗传病诊断、产前诊断、终止妊娠手术和医学技术鉴定或者出具有关</w:t>
      </w:r>
      <w:r>
        <w:rPr>
          <w:rFonts w:ascii="FangSong" w:hAnsi="FangSong" w:eastAsia="FangSong" w:cs="FangSong"/>
          <w:sz w:val="30"/>
          <w:szCs w:val="30"/>
          <w:spacing w:val="8"/>
        </w:rPr>
        <w:t xml:space="preserve"> </w:t>
      </w:r>
      <w:r>
        <w:rPr>
          <w:rFonts w:ascii="FangSong" w:hAnsi="FangSong" w:eastAsia="FangSong" w:cs="FangSong"/>
          <w:sz w:val="30"/>
          <w:szCs w:val="30"/>
          <w:spacing w:val="22"/>
        </w:rPr>
        <w:t>医学证明的，由卫生行政部门给予警告，责令停止违法行为，没收违法所得</w:t>
      </w:r>
      <w:r>
        <w:rPr>
          <w:rFonts w:ascii="FangSong" w:hAnsi="FangSong" w:eastAsia="FangSong" w:cs="FangSong"/>
          <w:sz w:val="30"/>
          <w:szCs w:val="30"/>
          <w:spacing w:val="21"/>
        </w:rPr>
        <w:t>；违法所得5000元以上</w:t>
      </w:r>
      <w:r>
        <w:rPr>
          <w:rFonts w:ascii="FangSong" w:hAnsi="FangSong" w:eastAsia="FangSong" w:cs="FangSong"/>
          <w:sz w:val="30"/>
          <w:szCs w:val="30"/>
        </w:rPr>
        <w:t xml:space="preserve"> </w:t>
      </w:r>
      <w:r>
        <w:rPr>
          <w:rFonts w:ascii="FangSong" w:hAnsi="FangSong" w:eastAsia="FangSong" w:cs="FangSong"/>
          <w:sz w:val="30"/>
          <w:szCs w:val="30"/>
          <w:spacing w:val="29"/>
        </w:rPr>
        <w:t>的，并处违法所得3倍以上5倍以下的罚款</w:t>
      </w:r>
      <w:r>
        <w:rPr>
          <w:rFonts w:ascii="FangSong" w:hAnsi="FangSong" w:eastAsia="FangSong" w:cs="FangSong"/>
          <w:sz w:val="30"/>
          <w:szCs w:val="30"/>
          <w:spacing w:val="28"/>
        </w:rPr>
        <w:t>，没有违法所得或者违法所得不足5000元的，并处5000</w:t>
      </w:r>
      <w:r>
        <w:rPr>
          <w:rFonts w:ascii="FangSong" w:hAnsi="FangSong" w:eastAsia="FangSong" w:cs="FangSong"/>
          <w:sz w:val="30"/>
          <w:szCs w:val="30"/>
        </w:rPr>
        <w:t xml:space="preserve"> </w:t>
      </w:r>
      <w:r>
        <w:rPr>
          <w:rFonts w:ascii="FangSong" w:hAnsi="FangSong" w:eastAsia="FangSong" w:cs="FangSong"/>
          <w:sz w:val="30"/>
          <w:szCs w:val="30"/>
          <w:spacing w:val="29"/>
        </w:rPr>
        <w:t>元以上2万元以下的罚款</w:t>
      </w:r>
    </w:p>
    <w:p>
      <w:pPr>
        <w:spacing w:line="272" w:lineRule="auto"/>
        <w:sectPr>
          <w:footerReference w:type="default" r:id="rId445"/>
          <w:pgSz w:w="16830" w:h="11900"/>
          <w:pgMar w:top="1011" w:right="1451" w:bottom="1107" w:left="1425" w:header="0" w:footer="774" w:gutter="0"/>
        </w:sectPr>
        <w:rPr>
          <w:rFonts w:ascii="FangSong" w:hAnsi="FangSong" w:eastAsia="FangSong" w:cs="FangSong"/>
          <w:sz w:val="30"/>
          <w:szCs w:val="30"/>
        </w:rPr>
      </w:pPr>
    </w:p>
    <w:p>
      <w:pPr>
        <w:pStyle w:val="BodyText"/>
        <w:spacing w:line="274" w:lineRule="auto"/>
        <w:rPr/>
      </w:pPr>
      <w:r/>
    </w:p>
    <w:p>
      <w:pPr>
        <w:pStyle w:val="BodyText"/>
        <w:spacing w:line="275" w:lineRule="auto"/>
        <w:rPr/>
      </w:pPr>
      <w:r/>
    </w:p>
    <w:p>
      <w:pPr>
        <w:pStyle w:val="BodyText"/>
        <w:spacing w:line="275" w:lineRule="auto"/>
        <w:rPr/>
      </w:pPr>
      <w:r/>
    </w:p>
    <w:p>
      <w:pPr>
        <w:pStyle w:val="BodyText"/>
        <w:spacing w:line="275" w:lineRule="auto"/>
        <w:rPr/>
      </w:pPr>
      <w:r/>
    </w:p>
    <w:p>
      <w:pPr>
        <w:pStyle w:val="BodyText"/>
        <w:spacing w:line="275" w:lineRule="auto"/>
        <w:rPr/>
      </w:pPr>
      <w:r/>
    </w:p>
    <w:p>
      <w:pPr>
        <w:ind w:left="6419"/>
        <w:spacing w:before="94" w:line="214" w:lineRule="auto"/>
        <w:rPr>
          <w:rFonts w:ascii="SimSun" w:hAnsi="SimSun" w:eastAsia="SimSun" w:cs="SimSun"/>
          <w:sz w:val="29"/>
          <w:szCs w:val="29"/>
        </w:rPr>
      </w:pPr>
      <w:bookmarkStart w:name="bookmark1089" w:id="463"/>
      <w:bookmarkEnd w:id="463"/>
      <w:r>
        <w:rPr>
          <w:rFonts w:ascii="SimSun" w:hAnsi="SimSun" w:eastAsia="SimSun" w:cs="SimSun"/>
          <w:sz w:val="29"/>
          <w:szCs w:val="29"/>
          <w:b/>
          <w:bCs/>
          <w:spacing w:val="-6"/>
        </w:rPr>
        <w:t>裁量标准</w:t>
      </w:r>
    </w:p>
    <w:tbl>
      <w:tblPr>
        <w:tblStyle w:val="TableNormal"/>
        <w:tblW w:w="139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94"/>
        <w:gridCol w:w="7525"/>
        <w:gridCol w:w="4981"/>
      </w:tblGrid>
      <w:tr>
        <w:trPr>
          <w:trHeight w:val="664" w:hRule="atLeast"/>
        </w:trPr>
        <w:tc>
          <w:tcPr>
            <w:tcW w:w="1394" w:type="dxa"/>
            <w:vAlign w:val="top"/>
          </w:tcPr>
          <w:p>
            <w:pPr>
              <w:pStyle w:val="TableText"/>
              <w:ind w:left="188"/>
              <w:spacing w:before="212" w:line="220" w:lineRule="auto"/>
              <w:rPr>
                <w:sz w:val="25"/>
                <w:szCs w:val="25"/>
              </w:rPr>
            </w:pPr>
            <w:r>
              <w:rPr>
                <w:sz w:val="25"/>
                <w:szCs w:val="25"/>
                <w:b/>
                <w:bCs/>
                <w:spacing w:val="-5"/>
              </w:rPr>
              <w:t>违法程度</w:t>
            </w:r>
          </w:p>
        </w:tc>
        <w:tc>
          <w:tcPr>
            <w:tcW w:w="7525" w:type="dxa"/>
            <w:vAlign w:val="top"/>
          </w:tcPr>
          <w:p>
            <w:pPr>
              <w:pStyle w:val="TableText"/>
              <w:ind w:left="3254"/>
              <w:spacing w:before="212" w:line="220" w:lineRule="auto"/>
              <w:rPr>
                <w:sz w:val="25"/>
                <w:szCs w:val="25"/>
              </w:rPr>
            </w:pPr>
            <w:r>
              <w:rPr>
                <w:sz w:val="25"/>
                <w:szCs w:val="25"/>
                <w:b/>
                <w:bCs/>
                <w:spacing w:val="-5"/>
              </w:rPr>
              <w:t>情节后果</w:t>
            </w:r>
          </w:p>
        </w:tc>
        <w:tc>
          <w:tcPr>
            <w:tcW w:w="4981" w:type="dxa"/>
            <w:vAlign w:val="top"/>
          </w:tcPr>
          <w:p>
            <w:pPr>
              <w:pStyle w:val="TableText"/>
              <w:ind w:left="1919"/>
              <w:spacing w:before="209" w:line="218" w:lineRule="auto"/>
              <w:rPr>
                <w:sz w:val="25"/>
                <w:szCs w:val="25"/>
              </w:rPr>
            </w:pPr>
            <w:r>
              <w:rPr>
                <w:sz w:val="25"/>
                <w:szCs w:val="25"/>
                <w:b/>
                <w:bCs/>
                <w:spacing w:val="-5"/>
              </w:rPr>
              <w:t>裁量幅度</w:t>
            </w:r>
          </w:p>
        </w:tc>
      </w:tr>
      <w:tr>
        <w:trPr>
          <w:trHeight w:val="688" w:hRule="atLeast"/>
        </w:trPr>
        <w:tc>
          <w:tcPr>
            <w:tcW w:w="1394" w:type="dxa"/>
            <w:vAlign w:val="top"/>
            <w:vMerge w:val="restart"/>
            <w:tcBorders>
              <w:bottom w:val="nil"/>
            </w:tcBorders>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438"/>
              <w:spacing w:before="81" w:line="219" w:lineRule="auto"/>
              <w:rPr>
                <w:sz w:val="25"/>
                <w:szCs w:val="25"/>
              </w:rPr>
            </w:pPr>
            <w:r>
              <w:rPr>
                <w:sz w:val="25"/>
                <w:szCs w:val="25"/>
                <w:b/>
                <w:bCs/>
                <w:spacing w:val="-6"/>
              </w:rPr>
              <w:t>较轻</w:t>
            </w:r>
          </w:p>
        </w:tc>
        <w:tc>
          <w:tcPr>
            <w:tcW w:w="7525" w:type="dxa"/>
            <w:vAlign w:val="top"/>
          </w:tcPr>
          <w:p>
            <w:pPr>
              <w:pStyle w:val="TableText"/>
              <w:ind w:left="121" w:right="250" w:firstLine="129"/>
              <w:spacing w:before="46" w:line="233" w:lineRule="auto"/>
              <w:rPr>
                <w:sz w:val="25"/>
                <w:szCs w:val="25"/>
              </w:rPr>
            </w:pPr>
            <w:r>
              <w:rPr>
                <w:sz w:val="25"/>
                <w:szCs w:val="25"/>
              </w:rPr>
              <w:t>进行医学技术鉴定或者出具有关医学证明1人(次),或违法所得不</w:t>
            </w:r>
            <w:r>
              <w:rPr>
                <w:sz w:val="25"/>
                <w:szCs w:val="25"/>
                <w:spacing w:val="12"/>
              </w:rPr>
              <w:t xml:space="preserve"> </w:t>
            </w:r>
            <w:r>
              <w:rPr>
                <w:sz w:val="25"/>
                <w:szCs w:val="25"/>
                <w:spacing w:val="2"/>
              </w:rPr>
              <w:t>足1000元的</w:t>
            </w:r>
          </w:p>
        </w:tc>
        <w:tc>
          <w:tcPr>
            <w:tcW w:w="4981" w:type="dxa"/>
            <w:vAlign w:val="top"/>
          </w:tcPr>
          <w:p>
            <w:pPr>
              <w:pStyle w:val="TableText"/>
              <w:ind w:left="96"/>
              <w:spacing w:before="60" w:line="228" w:lineRule="auto"/>
              <w:rPr>
                <w:sz w:val="25"/>
                <w:szCs w:val="25"/>
              </w:rPr>
            </w:pPr>
            <w:r>
              <w:rPr>
                <w:sz w:val="25"/>
                <w:szCs w:val="25"/>
              </w:rPr>
              <w:t>警告，没收违法所得，罚款5000元以上100</w:t>
            </w:r>
            <w:r>
              <w:rPr>
                <w:sz w:val="25"/>
                <w:szCs w:val="25"/>
                <w:spacing w:val="-1"/>
              </w:rPr>
              <w:t>00</w:t>
            </w:r>
            <w:r>
              <w:rPr>
                <w:sz w:val="25"/>
                <w:szCs w:val="25"/>
              </w:rPr>
              <w:t xml:space="preserve"> </w:t>
            </w:r>
            <w:r>
              <w:rPr>
                <w:sz w:val="25"/>
                <w:szCs w:val="25"/>
                <w:spacing w:val="5"/>
              </w:rPr>
              <w:t>元以下</w:t>
            </w:r>
          </w:p>
        </w:tc>
      </w:tr>
      <w:tr>
        <w:trPr>
          <w:trHeight w:val="688" w:hRule="atLeast"/>
        </w:trPr>
        <w:tc>
          <w:tcPr>
            <w:tcW w:w="1394" w:type="dxa"/>
            <w:vAlign w:val="top"/>
            <w:vMerge w:val="continue"/>
            <w:tcBorders>
              <w:top w:val="nil"/>
              <w:bottom w:val="nil"/>
            </w:tcBorders>
          </w:tcPr>
          <w:p>
            <w:pPr>
              <w:rPr>
                <w:rFonts w:ascii="Arial"/>
                <w:sz w:val="21"/>
              </w:rPr>
            </w:pPr>
            <w:r/>
          </w:p>
        </w:tc>
        <w:tc>
          <w:tcPr>
            <w:tcW w:w="7525" w:type="dxa"/>
            <w:vAlign w:val="top"/>
          </w:tcPr>
          <w:p>
            <w:pPr>
              <w:pStyle w:val="TableText"/>
              <w:ind w:left="104" w:right="138" w:firstLine="29"/>
              <w:spacing w:before="65" w:line="226" w:lineRule="auto"/>
              <w:rPr>
                <w:sz w:val="25"/>
                <w:szCs w:val="25"/>
              </w:rPr>
            </w:pPr>
            <w:r>
              <w:rPr>
                <w:sz w:val="25"/>
                <w:szCs w:val="25"/>
                <w:b/>
                <w:bCs/>
                <w:spacing w:val="-3"/>
              </w:rPr>
              <w:t>进行医学技术鉴定或者出具有关医学证明1人(次),或违法所得1000</w:t>
            </w:r>
            <w:r>
              <w:rPr>
                <w:sz w:val="25"/>
                <w:szCs w:val="25"/>
                <w:spacing w:val="3"/>
              </w:rPr>
              <w:t xml:space="preserve"> </w:t>
            </w:r>
            <w:r>
              <w:rPr>
                <w:sz w:val="25"/>
                <w:szCs w:val="25"/>
                <w:b/>
                <w:bCs/>
                <w:spacing w:val="-2"/>
              </w:rPr>
              <w:t>元以上3000元以下的</w:t>
            </w:r>
          </w:p>
        </w:tc>
        <w:tc>
          <w:tcPr>
            <w:tcW w:w="4981" w:type="dxa"/>
            <w:vAlign w:val="top"/>
          </w:tcPr>
          <w:p>
            <w:pPr>
              <w:pStyle w:val="TableText"/>
              <w:ind w:left="96"/>
              <w:spacing w:before="71" w:line="224" w:lineRule="auto"/>
              <w:rPr>
                <w:sz w:val="25"/>
                <w:szCs w:val="25"/>
              </w:rPr>
            </w:pPr>
            <w:r>
              <w:rPr>
                <w:sz w:val="25"/>
                <w:szCs w:val="25"/>
                <w:spacing w:val="-5"/>
              </w:rPr>
              <w:t>警告，没收违法所得，罚款10000元以上150</w:t>
            </w:r>
            <w:r>
              <w:rPr>
                <w:sz w:val="25"/>
                <w:szCs w:val="25"/>
                <w:spacing w:val="-6"/>
              </w:rPr>
              <w:t>00</w:t>
            </w:r>
            <w:r>
              <w:rPr>
                <w:sz w:val="25"/>
                <w:szCs w:val="25"/>
              </w:rPr>
              <w:t xml:space="preserve"> </w:t>
            </w:r>
            <w:r>
              <w:rPr>
                <w:sz w:val="25"/>
                <w:szCs w:val="25"/>
                <w:spacing w:val="5"/>
              </w:rPr>
              <w:t>元以下</w:t>
            </w:r>
          </w:p>
        </w:tc>
      </w:tr>
      <w:tr>
        <w:trPr>
          <w:trHeight w:val="659" w:hRule="atLeast"/>
        </w:trPr>
        <w:tc>
          <w:tcPr>
            <w:tcW w:w="1394" w:type="dxa"/>
            <w:vAlign w:val="top"/>
            <w:vMerge w:val="continue"/>
            <w:tcBorders>
              <w:top w:val="nil"/>
            </w:tcBorders>
          </w:tcPr>
          <w:p>
            <w:pPr>
              <w:rPr>
                <w:rFonts w:ascii="Arial"/>
                <w:sz w:val="21"/>
              </w:rPr>
            </w:pPr>
            <w:r/>
          </w:p>
        </w:tc>
        <w:tc>
          <w:tcPr>
            <w:tcW w:w="7525" w:type="dxa"/>
            <w:vAlign w:val="top"/>
          </w:tcPr>
          <w:p>
            <w:pPr>
              <w:pStyle w:val="TableText"/>
              <w:ind w:left="124" w:right="138" w:firstLine="9"/>
              <w:spacing w:before="47" w:line="222" w:lineRule="auto"/>
              <w:rPr>
                <w:sz w:val="25"/>
                <w:szCs w:val="25"/>
              </w:rPr>
            </w:pPr>
            <w:r>
              <w:rPr>
                <w:sz w:val="25"/>
                <w:szCs w:val="25"/>
                <w:b/>
                <w:bCs/>
                <w:spacing w:val="-3"/>
              </w:rPr>
              <w:t>进行医学技术鉴定或者出具有关医学证明1人(次),或违法所得3000</w:t>
            </w:r>
            <w:r>
              <w:rPr>
                <w:sz w:val="25"/>
                <w:szCs w:val="25"/>
                <w:spacing w:val="3"/>
              </w:rPr>
              <w:t xml:space="preserve"> </w:t>
            </w:r>
            <w:r>
              <w:rPr>
                <w:sz w:val="25"/>
                <w:szCs w:val="25"/>
                <w:b/>
                <w:bCs/>
                <w:spacing w:val="-2"/>
              </w:rPr>
              <w:t>元以上5000元以下的</w:t>
            </w:r>
          </w:p>
        </w:tc>
        <w:tc>
          <w:tcPr>
            <w:tcW w:w="4981" w:type="dxa"/>
            <w:vAlign w:val="top"/>
          </w:tcPr>
          <w:p>
            <w:pPr>
              <w:pStyle w:val="TableText"/>
              <w:ind w:left="96" w:firstLine="9"/>
              <w:spacing w:before="53" w:line="220" w:lineRule="auto"/>
              <w:rPr>
                <w:sz w:val="25"/>
                <w:szCs w:val="25"/>
              </w:rPr>
            </w:pPr>
            <w:r>
              <w:rPr>
                <w:sz w:val="25"/>
                <w:szCs w:val="25"/>
                <w:spacing w:val="-6"/>
              </w:rPr>
              <w:t>警告，没收违法所得，罚款15000元以上20000</w:t>
            </w:r>
            <w:r>
              <w:rPr>
                <w:sz w:val="25"/>
                <w:szCs w:val="25"/>
                <w:spacing w:val="14"/>
              </w:rPr>
              <w:t xml:space="preserve"> </w:t>
            </w:r>
            <w:r>
              <w:rPr>
                <w:sz w:val="25"/>
                <w:szCs w:val="25"/>
                <w:spacing w:val="5"/>
              </w:rPr>
              <w:t>元以下</w:t>
            </w:r>
          </w:p>
        </w:tc>
      </w:tr>
      <w:tr>
        <w:trPr>
          <w:trHeight w:val="688" w:hRule="atLeast"/>
        </w:trPr>
        <w:tc>
          <w:tcPr>
            <w:tcW w:w="1394" w:type="dxa"/>
            <w:vAlign w:val="top"/>
          </w:tcPr>
          <w:p>
            <w:pPr>
              <w:pStyle w:val="TableText"/>
              <w:ind w:left="438"/>
              <w:spacing w:before="124" w:line="221" w:lineRule="auto"/>
              <w:rPr>
                <w:sz w:val="25"/>
                <w:szCs w:val="25"/>
              </w:rPr>
            </w:pPr>
            <w:r>
              <w:rPr>
                <w:sz w:val="25"/>
                <w:szCs w:val="25"/>
                <w:b/>
                <w:bCs/>
                <w:spacing w:val="-10"/>
              </w:rPr>
              <w:t>一般</w:t>
            </w:r>
          </w:p>
        </w:tc>
        <w:tc>
          <w:tcPr>
            <w:tcW w:w="7525" w:type="dxa"/>
            <w:vAlign w:val="top"/>
          </w:tcPr>
          <w:p>
            <w:pPr>
              <w:pStyle w:val="TableText"/>
              <w:ind w:left="121" w:right="329" w:firstLine="260"/>
              <w:spacing w:before="65" w:line="226" w:lineRule="auto"/>
              <w:rPr>
                <w:sz w:val="25"/>
                <w:szCs w:val="25"/>
              </w:rPr>
            </w:pPr>
            <w:r>
              <w:rPr>
                <w:sz w:val="25"/>
                <w:szCs w:val="25"/>
                <w:spacing w:val="2"/>
              </w:rPr>
              <w:t>进行医学技术鉴定或者出具有关医学证明1人(次)</w:t>
            </w:r>
            <w:r>
              <w:rPr>
                <w:sz w:val="25"/>
                <w:szCs w:val="25"/>
                <w:spacing w:val="1"/>
              </w:rPr>
              <w:t>以上5人(次)</w:t>
            </w:r>
            <w:r>
              <w:rPr>
                <w:sz w:val="25"/>
                <w:szCs w:val="25"/>
              </w:rPr>
              <w:t xml:space="preserve"> </w:t>
            </w:r>
            <w:r>
              <w:rPr>
                <w:sz w:val="25"/>
                <w:szCs w:val="25"/>
              </w:rPr>
              <w:t>以下的，或违法所得5000元以上10000元以下的</w:t>
            </w:r>
          </w:p>
        </w:tc>
        <w:tc>
          <w:tcPr>
            <w:tcW w:w="4981" w:type="dxa"/>
            <w:vAlign w:val="top"/>
          </w:tcPr>
          <w:p>
            <w:pPr>
              <w:pStyle w:val="TableText"/>
              <w:ind w:left="96" w:right="13"/>
              <w:spacing w:before="63" w:line="227" w:lineRule="auto"/>
              <w:rPr>
                <w:sz w:val="25"/>
                <w:szCs w:val="25"/>
              </w:rPr>
            </w:pPr>
            <w:r>
              <w:rPr>
                <w:sz w:val="25"/>
                <w:szCs w:val="25"/>
                <w:spacing w:val="-1"/>
              </w:rPr>
              <w:t>警告，没收违法所得，罚款违法所得3倍以上</w:t>
            </w:r>
            <w:r>
              <w:rPr>
                <w:sz w:val="25"/>
                <w:szCs w:val="25"/>
                <w:spacing w:val="5"/>
              </w:rPr>
              <w:t xml:space="preserve"> </w:t>
            </w:r>
            <w:r>
              <w:rPr>
                <w:sz w:val="25"/>
                <w:szCs w:val="25"/>
                <w:spacing w:val="5"/>
              </w:rPr>
              <w:t>4倍以下</w:t>
            </w:r>
          </w:p>
        </w:tc>
      </w:tr>
      <w:tr>
        <w:trPr>
          <w:trHeight w:val="678" w:hRule="atLeast"/>
        </w:trPr>
        <w:tc>
          <w:tcPr>
            <w:tcW w:w="1394" w:type="dxa"/>
            <w:vAlign w:val="top"/>
          </w:tcPr>
          <w:p>
            <w:pPr>
              <w:pStyle w:val="TableText"/>
              <w:ind w:left="438"/>
              <w:spacing w:before="128" w:line="221" w:lineRule="auto"/>
              <w:rPr>
                <w:sz w:val="25"/>
                <w:szCs w:val="25"/>
              </w:rPr>
            </w:pPr>
            <w:r>
              <w:rPr>
                <w:sz w:val="25"/>
                <w:szCs w:val="25"/>
                <w:b/>
                <w:bCs/>
                <w:spacing w:val="-6"/>
              </w:rPr>
              <w:t>较重</w:t>
            </w:r>
          </w:p>
        </w:tc>
        <w:tc>
          <w:tcPr>
            <w:tcW w:w="7525" w:type="dxa"/>
            <w:vAlign w:val="top"/>
          </w:tcPr>
          <w:p>
            <w:pPr>
              <w:pStyle w:val="TableText"/>
              <w:ind w:left="121" w:right="269" w:firstLine="190"/>
              <w:spacing w:before="66" w:line="222" w:lineRule="auto"/>
              <w:rPr>
                <w:sz w:val="25"/>
                <w:szCs w:val="25"/>
              </w:rPr>
            </w:pPr>
            <w:r>
              <w:rPr>
                <w:sz w:val="25"/>
                <w:szCs w:val="25"/>
                <w:spacing w:val="2"/>
              </w:rPr>
              <w:t>进行医学技术鉴定或者出具有关医学证明5人(次)以上10</w:t>
            </w:r>
            <w:r>
              <w:rPr>
                <w:sz w:val="25"/>
                <w:szCs w:val="25"/>
                <w:spacing w:val="1"/>
              </w:rPr>
              <w:t>人(次)</w:t>
            </w:r>
            <w:r>
              <w:rPr>
                <w:sz w:val="25"/>
                <w:szCs w:val="25"/>
              </w:rPr>
              <w:t xml:space="preserve"> </w:t>
            </w:r>
            <w:r>
              <w:rPr>
                <w:sz w:val="25"/>
                <w:szCs w:val="25"/>
              </w:rPr>
              <w:t>以下的，或违法所得10000元以上50000元以下的</w:t>
            </w:r>
          </w:p>
        </w:tc>
        <w:tc>
          <w:tcPr>
            <w:tcW w:w="4981" w:type="dxa"/>
            <w:vAlign w:val="top"/>
          </w:tcPr>
          <w:p>
            <w:pPr>
              <w:pStyle w:val="TableText"/>
              <w:ind w:left="96" w:right="13"/>
              <w:spacing w:before="66" w:line="222" w:lineRule="auto"/>
              <w:rPr>
                <w:sz w:val="25"/>
                <w:szCs w:val="25"/>
              </w:rPr>
            </w:pPr>
            <w:r>
              <w:rPr>
                <w:sz w:val="25"/>
                <w:szCs w:val="25"/>
                <w:spacing w:val="-1"/>
              </w:rPr>
              <w:t>警告，没收违法所得，罚款违法所得4倍以上</w:t>
            </w:r>
            <w:r>
              <w:rPr>
                <w:sz w:val="25"/>
                <w:szCs w:val="25"/>
                <w:spacing w:val="5"/>
              </w:rPr>
              <w:t xml:space="preserve"> </w:t>
            </w:r>
            <w:r>
              <w:rPr>
                <w:sz w:val="25"/>
                <w:szCs w:val="25"/>
                <w:spacing w:val="5"/>
              </w:rPr>
              <w:t>5倍以下</w:t>
            </w:r>
          </w:p>
        </w:tc>
      </w:tr>
      <w:tr>
        <w:trPr>
          <w:trHeight w:val="674" w:hRule="atLeast"/>
        </w:trPr>
        <w:tc>
          <w:tcPr>
            <w:tcW w:w="1394" w:type="dxa"/>
            <w:vAlign w:val="top"/>
          </w:tcPr>
          <w:p>
            <w:pPr>
              <w:pStyle w:val="TableText"/>
              <w:ind w:left="438"/>
              <w:spacing w:before="217" w:line="220" w:lineRule="auto"/>
              <w:rPr>
                <w:sz w:val="25"/>
                <w:szCs w:val="25"/>
              </w:rPr>
            </w:pPr>
            <w:r>
              <w:rPr>
                <w:sz w:val="25"/>
                <w:szCs w:val="25"/>
                <w:b/>
                <w:bCs/>
                <w:spacing w:val="-6"/>
              </w:rPr>
              <w:t>严重</w:t>
            </w:r>
          </w:p>
        </w:tc>
        <w:tc>
          <w:tcPr>
            <w:tcW w:w="7525" w:type="dxa"/>
            <w:vAlign w:val="top"/>
          </w:tcPr>
          <w:p>
            <w:pPr>
              <w:pStyle w:val="TableText"/>
              <w:ind w:left="121" w:right="141" w:firstLine="9"/>
              <w:spacing w:before="70" w:line="219" w:lineRule="auto"/>
              <w:rPr>
                <w:sz w:val="25"/>
                <w:szCs w:val="25"/>
              </w:rPr>
            </w:pPr>
            <w:r>
              <w:rPr>
                <w:sz w:val="25"/>
                <w:szCs w:val="25"/>
              </w:rPr>
              <w:t>进行医学技术鉴定或者出具有关医学证明10人(</w:t>
            </w:r>
            <w:r>
              <w:rPr>
                <w:sz w:val="25"/>
                <w:szCs w:val="25"/>
                <w:spacing w:val="-1"/>
              </w:rPr>
              <w:t>次)的，或违法所得</w:t>
            </w:r>
            <w:r>
              <w:rPr>
                <w:sz w:val="25"/>
                <w:szCs w:val="25"/>
              </w:rPr>
              <w:t xml:space="preserve"> </w:t>
            </w:r>
            <w:r>
              <w:rPr>
                <w:sz w:val="25"/>
                <w:szCs w:val="25"/>
              </w:rPr>
              <w:t>50000元以上的，或造成严重后果的</w:t>
            </w:r>
          </w:p>
        </w:tc>
        <w:tc>
          <w:tcPr>
            <w:tcW w:w="4981" w:type="dxa"/>
            <w:vAlign w:val="top"/>
          </w:tcPr>
          <w:p>
            <w:pPr>
              <w:pStyle w:val="TableText"/>
              <w:ind w:left="96"/>
              <w:spacing w:before="218" w:line="218" w:lineRule="auto"/>
              <w:rPr>
                <w:sz w:val="25"/>
                <w:szCs w:val="25"/>
              </w:rPr>
            </w:pPr>
            <w:r>
              <w:rPr>
                <w:sz w:val="25"/>
                <w:szCs w:val="25"/>
              </w:rPr>
              <w:t>警告，没收违法所得，罚款违法所得5倍</w:t>
            </w:r>
          </w:p>
        </w:tc>
      </w:tr>
    </w:tbl>
    <w:p>
      <w:pPr>
        <w:ind w:left="5" w:firstLine="479"/>
        <w:spacing w:before="169" w:line="355" w:lineRule="auto"/>
        <w:rPr>
          <w:rFonts w:ascii="FangSong" w:hAnsi="FangSong" w:eastAsia="FangSong" w:cs="FangSong"/>
          <w:sz w:val="21"/>
          <w:szCs w:val="21"/>
        </w:rPr>
      </w:pPr>
      <w:r>
        <w:rPr>
          <w:rFonts w:ascii="FangSong" w:hAnsi="FangSong" w:eastAsia="FangSong" w:cs="FangSong"/>
          <w:sz w:val="21"/>
          <w:szCs w:val="21"/>
          <w:spacing w:val="27"/>
        </w:rPr>
        <w:t>备注：当医疗保健机构或者人员非法进行医学技术鉴定或者出具有关医学证明的人(次)与违</w:t>
      </w:r>
      <w:r>
        <w:rPr>
          <w:rFonts w:ascii="FangSong" w:hAnsi="FangSong" w:eastAsia="FangSong" w:cs="FangSong"/>
          <w:sz w:val="21"/>
          <w:szCs w:val="21"/>
          <w:spacing w:val="89"/>
        </w:rPr>
        <w:t xml:space="preserve"> </w:t>
      </w:r>
      <w:r>
        <w:rPr>
          <w:rFonts w:ascii="FangSong" w:hAnsi="FangSong" w:eastAsia="FangSong" w:cs="FangSong"/>
          <w:sz w:val="21"/>
          <w:szCs w:val="21"/>
          <w:spacing w:val="27"/>
        </w:rPr>
        <w:t>法所得</w:t>
      </w:r>
      <w:r>
        <w:rPr>
          <w:rFonts w:ascii="FangSong" w:hAnsi="FangSong" w:eastAsia="FangSong" w:cs="FangSong"/>
          <w:sz w:val="21"/>
          <w:szCs w:val="21"/>
          <w:spacing w:val="26"/>
        </w:rPr>
        <w:t>不属于同</w:t>
      </w:r>
      <w:r>
        <w:rPr>
          <w:rFonts w:ascii="FangSong" w:hAnsi="FangSong" w:eastAsia="FangSong" w:cs="FangSong"/>
          <w:sz w:val="21"/>
          <w:szCs w:val="21"/>
          <w:spacing w:val="-61"/>
        </w:rPr>
        <w:t xml:space="preserve"> </w:t>
      </w:r>
      <w:r>
        <w:rPr>
          <w:rFonts w:ascii="FangSong" w:hAnsi="FangSong" w:eastAsia="FangSong" w:cs="FangSong"/>
          <w:sz w:val="21"/>
          <w:szCs w:val="21"/>
          <w:spacing w:val="26"/>
        </w:rPr>
        <w:t>一违法程度区间时，</w:t>
      </w:r>
      <w:r>
        <w:rPr>
          <w:rFonts w:ascii="FangSong" w:hAnsi="FangSong" w:eastAsia="FangSong" w:cs="FangSong"/>
          <w:sz w:val="21"/>
          <w:szCs w:val="21"/>
        </w:rPr>
        <w:t xml:space="preserve"> </w:t>
      </w:r>
      <w:r>
        <w:rPr>
          <w:rFonts w:ascii="FangSong" w:hAnsi="FangSong" w:eastAsia="FangSong" w:cs="FangSong"/>
          <w:sz w:val="21"/>
          <w:szCs w:val="21"/>
          <w:spacing w:val="19"/>
        </w:rPr>
        <w:t>择重处罚。</w:t>
      </w:r>
    </w:p>
    <w:p>
      <w:pPr>
        <w:ind w:left="19" w:right="41" w:firstLine="649"/>
        <w:spacing w:line="265" w:lineRule="auto"/>
        <w:rPr>
          <w:rFonts w:ascii="FangSong" w:hAnsi="FangSong" w:eastAsia="FangSong" w:cs="FangSong"/>
          <w:sz w:val="31"/>
          <w:szCs w:val="31"/>
        </w:rPr>
      </w:pPr>
      <w:r>
        <w:rPr>
          <w:rFonts w:ascii="FangSong" w:hAnsi="FangSong" w:eastAsia="FangSong" w:cs="FangSong"/>
          <w:sz w:val="31"/>
          <w:szCs w:val="31"/>
          <w:b/>
          <w:bCs/>
          <w:spacing w:val="11"/>
        </w:rPr>
        <w:t>第四百一十八条对未取得产前诊断类母婴保健技术考核合格证书的个人，擅自从事产前诊断或</w:t>
      </w:r>
      <w:r>
        <w:rPr>
          <w:rFonts w:ascii="FangSong" w:hAnsi="FangSong" w:eastAsia="FangSong" w:cs="FangSong"/>
          <w:sz w:val="31"/>
          <w:szCs w:val="31"/>
          <w:spacing w:val="3"/>
        </w:rPr>
        <w:t xml:space="preserve"> </w:t>
      </w:r>
      <w:r>
        <w:rPr>
          <w:rFonts w:ascii="FangSong" w:hAnsi="FangSong" w:eastAsia="FangSong" w:cs="FangSong"/>
          <w:sz w:val="31"/>
          <w:szCs w:val="31"/>
          <w:b/>
          <w:bCs/>
          <w:spacing w:val="5"/>
        </w:rPr>
        <w:t>超越许可范围的</w:t>
      </w:r>
    </w:p>
    <w:p>
      <w:pPr>
        <w:ind w:left="754"/>
        <w:spacing w:before="6"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spacing w:line="222" w:lineRule="auto"/>
        <w:sectPr>
          <w:footerReference w:type="default" r:id="rId446"/>
          <w:pgSz w:w="16830" w:h="11900"/>
          <w:pgMar w:top="1011" w:right="1384" w:bottom="1124" w:left="1434" w:header="0" w:footer="809" w:gutter="0"/>
        </w:sectPr>
        <w:rPr>
          <w:rFonts w:ascii="FangSong" w:hAnsi="FangSong" w:eastAsia="FangSong" w:cs="FangSong"/>
          <w:sz w:val="27"/>
          <w:szCs w:val="27"/>
        </w:rPr>
      </w:pPr>
    </w:p>
    <w:p>
      <w:pPr>
        <w:pStyle w:val="BodyText"/>
        <w:spacing w:line="250" w:lineRule="auto"/>
        <w:rPr/>
      </w:pPr>
      <w:r/>
    </w:p>
    <w:p>
      <w:pPr>
        <w:pStyle w:val="BodyText"/>
        <w:spacing w:line="251" w:lineRule="auto"/>
        <w:rPr/>
      </w:pPr>
      <w:r/>
    </w:p>
    <w:p>
      <w:pPr>
        <w:pStyle w:val="BodyText"/>
        <w:spacing w:line="251" w:lineRule="auto"/>
        <w:rPr/>
      </w:pPr>
      <w:r/>
    </w:p>
    <w:p>
      <w:pPr>
        <w:ind w:left="5" w:firstLine="649"/>
        <w:spacing w:before="98" w:line="253" w:lineRule="auto"/>
        <w:jc w:val="both"/>
        <w:rPr>
          <w:rFonts w:ascii="FangSong" w:hAnsi="FangSong" w:eastAsia="FangSong" w:cs="FangSong"/>
          <w:sz w:val="30"/>
          <w:szCs w:val="30"/>
        </w:rPr>
      </w:pPr>
      <w:bookmarkStart w:name="bookmark1090" w:id="464"/>
      <w:bookmarkEnd w:id="464"/>
      <w:r>
        <w:rPr>
          <w:rFonts w:ascii="FangSong" w:hAnsi="FangSong" w:eastAsia="FangSong" w:cs="FangSong"/>
          <w:sz w:val="30"/>
          <w:szCs w:val="30"/>
          <w:spacing w:val="17"/>
        </w:rPr>
        <w:t>《产前诊断技术管理办法》第三十一条</w:t>
      </w:r>
      <w:r>
        <w:rPr>
          <w:rFonts w:ascii="FangSong" w:hAnsi="FangSong" w:eastAsia="FangSong" w:cs="FangSong"/>
          <w:sz w:val="30"/>
          <w:szCs w:val="30"/>
          <w:spacing w:val="17"/>
        </w:rPr>
        <w:t xml:space="preserve">  </w:t>
      </w:r>
      <w:r>
        <w:rPr>
          <w:rFonts w:ascii="FangSong" w:hAnsi="FangSong" w:eastAsia="FangSong" w:cs="FangSong"/>
          <w:sz w:val="30"/>
          <w:szCs w:val="30"/>
          <w:spacing w:val="17"/>
        </w:rPr>
        <w:t>对未取得《母</w:t>
      </w:r>
      <w:r>
        <w:rPr>
          <w:rFonts w:ascii="FangSong" w:hAnsi="FangSong" w:eastAsia="FangSong" w:cs="FangSong"/>
          <w:sz w:val="30"/>
          <w:szCs w:val="30"/>
          <w:spacing w:val="16"/>
        </w:rPr>
        <w:t>婴保健技术考核合格证书》或者《医师执</w:t>
      </w:r>
      <w:r>
        <w:rPr>
          <w:rFonts w:ascii="FangSong" w:hAnsi="FangSong" w:eastAsia="FangSong" w:cs="FangSong"/>
          <w:sz w:val="30"/>
          <w:szCs w:val="30"/>
        </w:rPr>
        <w:t xml:space="preserve"> </w:t>
      </w:r>
      <w:r>
        <w:rPr>
          <w:rFonts w:ascii="FangSong" w:hAnsi="FangSong" w:eastAsia="FangSong" w:cs="FangSong"/>
          <w:sz w:val="30"/>
          <w:szCs w:val="30"/>
          <w:spacing w:val="23"/>
        </w:rPr>
        <w:t>业证书》中未加注母婴保健技术(产前诊断类)考核合格的个人，擅自从事产前诊断或者超范围执业</w:t>
      </w:r>
      <w:r>
        <w:rPr>
          <w:rFonts w:ascii="FangSong" w:hAnsi="FangSong" w:eastAsia="FangSong" w:cs="FangSong"/>
          <w:sz w:val="30"/>
          <w:szCs w:val="30"/>
          <w:spacing w:val="16"/>
        </w:rPr>
        <w:t xml:space="preserve"> </w:t>
      </w:r>
      <w:r>
        <w:rPr>
          <w:rFonts w:ascii="FangSong" w:hAnsi="FangSong" w:eastAsia="FangSong" w:cs="FangSong"/>
          <w:sz w:val="30"/>
          <w:szCs w:val="30"/>
          <w:spacing w:val="16"/>
        </w:rPr>
        <w:t>的，由县级以上人民政府卫生健康主管部门给予警告或者责令暂停六个月以上一年以</w:t>
      </w:r>
      <w:r>
        <w:rPr>
          <w:rFonts w:ascii="FangSong" w:hAnsi="FangSong" w:eastAsia="FangSong" w:cs="FangSong"/>
          <w:sz w:val="30"/>
          <w:szCs w:val="30"/>
          <w:spacing w:val="15"/>
        </w:rPr>
        <w:t>下执业活动；情</w:t>
      </w:r>
      <w:r>
        <w:rPr>
          <w:rFonts w:ascii="FangSong" w:hAnsi="FangSong" w:eastAsia="FangSong" w:cs="FangSong"/>
          <w:sz w:val="30"/>
          <w:szCs w:val="30"/>
        </w:rPr>
        <w:t xml:space="preserve">  </w:t>
      </w:r>
      <w:r>
        <w:rPr>
          <w:rFonts w:ascii="FangSong" w:hAnsi="FangSong" w:eastAsia="FangSong" w:cs="FangSong"/>
          <w:sz w:val="30"/>
          <w:szCs w:val="30"/>
          <w:spacing w:val="19"/>
        </w:rPr>
        <w:t>节严重的，按照《中华人民共和国医师法》吊销其医师执业证书。构成犯罪的，依法</w:t>
      </w:r>
      <w:r>
        <w:rPr>
          <w:rFonts w:ascii="FangSong" w:hAnsi="FangSong" w:eastAsia="FangSong" w:cs="FangSong"/>
          <w:sz w:val="30"/>
          <w:szCs w:val="30"/>
          <w:spacing w:val="18"/>
        </w:rPr>
        <w:t>追究刑事责任。</w:t>
      </w:r>
    </w:p>
    <w:p>
      <w:pPr>
        <w:ind w:left="6408"/>
        <w:spacing w:before="247"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72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93"/>
        <w:gridCol w:w="8084"/>
        <w:gridCol w:w="3852"/>
      </w:tblGrid>
      <w:tr>
        <w:trPr>
          <w:trHeight w:val="573" w:hRule="atLeast"/>
        </w:trPr>
        <w:tc>
          <w:tcPr>
            <w:tcW w:w="1793" w:type="dxa"/>
            <w:vAlign w:val="top"/>
          </w:tcPr>
          <w:p>
            <w:pPr>
              <w:pStyle w:val="TableText"/>
              <w:ind w:left="388"/>
              <w:spacing w:before="162" w:line="220" w:lineRule="auto"/>
              <w:rPr>
                <w:sz w:val="25"/>
                <w:szCs w:val="25"/>
              </w:rPr>
            </w:pPr>
            <w:r>
              <w:rPr>
                <w:sz w:val="25"/>
                <w:szCs w:val="25"/>
                <w:b/>
                <w:bCs/>
                <w:spacing w:val="-5"/>
              </w:rPr>
              <w:t>违法程度</w:t>
            </w:r>
          </w:p>
        </w:tc>
        <w:tc>
          <w:tcPr>
            <w:tcW w:w="8084" w:type="dxa"/>
            <w:vAlign w:val="top"/>
          </w:tcPr>
          <w:p>
            <w:pPr>
              <w:pStyle w:val="TableText"/>
              <w:ind w:left="3535"/>
              <w:spacing w:before="212" w:line="220" w:lineRule="auto"/>
              <w:rPr>
                <w:sz w:val="25"/>
                <w:szCs w:val="25"/>
              </w:rPr>
            </w:pPr>
            <w:r>
              <w:rPr>
                <w:sz w:val="25"/>
                <w:szCs w:val="25"/>
                <w:b/>
                <w:bCs/>
                <w:spacing w:val="-5"/>
              </w:rPr>
              <w:t>情节后果</w:t>
            </w:r>
          </w:p>
        </w:tc>
        <w:tc>
          <w:tcPr>
            <w:tcW w:w="3852" w:type="dxa"/>
            <w:vAlign w:val="top"/>
          </w:tcPr>
          <w:p>
            <w:pPr>
              <w:pStyle w:val="TableText"/>
              <w:ind w:left="1381"/>
              <w:spacing w:before="199" w:line="218" w:lineRule="auto"/>
              <w:rPr>
                <w:sz w:val="25"/>
                <w:szCs w:val="25"/>
              </w:rPr>
            </w:pPr>
            <w:r>
              <w:rPr>
                <w:sz w:val="25"/>
                <w:szCs w:val="25"/>
                <w:b/>
                <w:bCs/>
                <w:spacing w:val="-5"/>
              </w:rPr>
              <w:t>裁量幅度</w:t>
            </w:r>
          </w:p>
        </w:tc>
      </w:tr>
      <w:tr>
        <w:trPr>
          <w:trHeight w:val="1007" w:hRule="atLeast"/>
        </w:trPr>
        <w:tc>
          <w:tcPr>
            <w:tcW w:w="1793" w:type="dxa"/>
            <w:vAlign w:val="top"/>
          </w:tcPr>
          <w:p>
            <w:pPr>
              <w:spacing w:line="295" w:lineRule="auto"/>
              <w:rPr>
                <w:rFonts w:ascii="Arial"/>
                <w:sz w:val="21"/>
              </w:rPr>
            </w:pPr>
            <w:r/>
          </w:p>
          <w:p>
            <w:pPr>
              <w:pStyle w:val="TableText"/>
              <w:ind w:left="638"/>
              <w:spacing w:before="82" w:line="219" w:lineRule="auto"/>
              <w:rPr>
                <w:sz w:val="25"/>
                <w:szCs w:val="25"/>
              </w:rPr>
            </w:pPr>
            <w:r>
              <w:rPr>
                <w:sz w:val="25"/>
                <w:szCs w:val="25"/>
                <w:b/>
                <w:bCs/>
                <w:spacing w:val="-6"/>
              </w:rPr>
              <w:t>较轻</w:t>
            </w:r>
          </w:p>
        </w:tc>
        <w:tc>
          <w:tcPr>
            <w:tcW w:w="8084" w:type="dxa"/>
            <w:vAlign w:val="top"/>
          </w:tcPr>
          <w:p>
            <w:pPr>
              <w:pStyle w:val="TableText"/>
              <w:ind w:left="31" w:hanging="20"/>
              <w:spacing w:before="62" w:line="230" w:lineRule="auto"/>
              <w:jc w:val="both"/>
              <w:rPr>
                <w:sz w:val="25"/>
                <w:szCs w:val="25"/>
              </w:rPr>
            </w:pPr>
            <w:r>
              <w:rPr>
                <w:sz w:val="25"/>
                <w:szCs w:val="25"/>
                <w:spacing w:val="-6"/>
              </w:rPr>
              <w:t>对未取得《母婴保健技术考核合格证书》或者《医师执业证书》中未加注母</w:t>
            </w:r>
            <w:r>
              <w:rPr>
                <w:sz w:val="25"/>
                <w:szCs w:val="25"/>
                <w:spacing w:val="9"/>
              </w:rPr>
              <w:t xml:space="preserve"> </w:t>
            </w:r>
            <w:r>
              <w:rPr>
                <w:sz w:val="25"/>
                <w:szCs w:val="25"/>
              </w:rPr>
              <w:t>婴保健技术(产前诊断类)考核合格的个人，擅自从事产前诊断或者超范围</w:t>
            </w:r>
            <w:r>
              <w:rPr>
                <w:sz w:val="25"/>
                <w:szCs w:val="25"/>
                <w:spacing w:val="13"/>
              </w:rPr>
              <w:t xml:space="preserve"> </w:t>
            </w:r>
            <w:r>
              <w:rPr>
                <w:sz w:val="25"/>
                <w:szCs w:val="25"/>
                <w:spacing w:val="13"/>
              </w:rPr>
              <w:t>执业首次发现的</w:t>
            </w:r>
          </w:p>
        </w:tc>
        <w:tc>
          <w:tcPr>
            <w:tcW w:w="3852" w:type="dxa"/>
            <w:vAlign w:val="top"/>
          </w:tcPr>
          <w:p>
            <w:pPr>
              <w:spacing w:line="297" w:lineRule="auto"/>
              <w:rPr>
                <w:rFonts w:ascii="Arial"/>
                <w:sz w:val="21"/>
              </w:rPr>
            </w:pPr>
            <w:r/>
          </w:p>
          <w:p>
            <w:pPr>
              <w:pStyle w:val="TableText"/>
              <w:ind w:left="237"/>
              <w:spacing w:before="81" w:line="218" w:lineRule="auto"/>
              <w:rPr>
                <w:sz w:val="25"/>
                <w:szCs w:val="25"/>
              </w:rPr>
            </w:pPr>
            <w:r>
              <w:rPr>
                <w:sz w:val="25"/>
                <w:szCs w:val="25"/>
                <w:spacing w:val="4"/>
              </w:rPr>
              <w:t>给予警告</w:t>
            </w:r>
          </w:p>
        </w:tc>
      </w:tr>
      <w:tr>
        <w:trPr>
          <w:trHeight w:val="1017" w:hRule="atLeast"/>
        </w:trPr>
        <w:tc>
          <w:tcPr>
            <w:tcW w:w="1793" w:type="dxa"/>
            <w:vAlign w:val="top"/>
          </w:tcPr>
          <w:p>
            <w:pPr>
              <w:spacing w:line="311" w:lineRule="auto"/>
              <w:rPr>
                <w:rFonts w:ascii="Arial"/>
                <w:sz w:val="21"/>
              </w:rPr>
            </w:pPr>
            <w:r/>
          </w:p>
          <w:p>
            <w:pPr>
              <w:pStyle w:val="TableText"/>
              <w:ind w:left="638"/>
              <w:spacing w:before="82" w:line="221" w:lineRule="auto"/>
              <w:rPr>
                <w:sz w:val="25"/>
                <w:szCs w:val="25"/>
              </w:rPr>
            </w:pPr>
            <w:r>
              <w:rPr>
                <w:sz w:val="25"/>
                <w:szCs w:val="25"/>
                <w:b/>
                <w:bCs/>
                <w:spacing w:val="-6"/>
              </w:rPr>
              <w:t>较重</w:t>
            </w:r>
          </w:p>
        </w:tc>
        <w:tc>
          <w:tcPr>
            <w:tcW w:w="8084" w:type="dxa"/>
            <w:vAlign w:val="top"/>
          </w:tcPr>
          <w:p>
            <w:pPr>
              <w:pStyle w:val="TableText"/>
              <w:ind w:left="31" w:hanging="20"/>
              <w:spacing w:before="64" w:line="232" w:lineRule="auto"/>
              <w:jc w:val="both"/>
              <w:rPr>
                <w:sz w:val="25"/>
                <w:szCs w:val="25"/>
              </w:rPr>
            </w:pPr>
            <w:r>
              <w:rPr>
                <w:sz w:val="25"/>
                <w:szCs w:val="25"/>
                <w:spacing w:val="-6"/>
              </w:rPr>
              <w:t>对未取得《母婴保健技术考核合格证书》或者《医师执业证书》中未加注母</w:t>
            </w:r>
            <w:r>
              <w:rPr>
                <w:sz w:val="25"/>
                <w:szCs w:val="25"/>
                <w:spacing w:val="9"/>
              </w:rPr>
              <w:t xml:space="preserve"> </w:t>
            </w:r>
            <w:r>
              <w:rPr>
                <w:sz w:val="25"/>
                <w:szCs w:val="25"/>
              </w:rPr>
              <w:t>婴保健技术(产前诊断类)考核合格的个人，擅自从事产前诊断或者超范围</w:t>
            </w:r>
            <w:r>
              <w:rPr>
                <w:sz w:val="25"/>
                <w:szCs w:val="25"/>
                <w:spacing w:val="13"/>
              </w:rPr>
              <w:t xml:space="preserve"> </w:t>
            </w:r>
            <w:r>
              <w:rPr>
                <w:sz w:val="25"/>
                <w:szCs w:val="25"/>
                <w:spacing w:val="8"/>
              </w:rPr>
              <w:t>执业曾受行政处罚再次发现的</w:t>
            </w:r>
          </w:p>
        </w:tc>
        <w:tc>
          <w:tcPr>
            <w:tcW w:w="3852" w:type="dxa"/>
            <w:vAlign w:val="top"/>
          </w:tcPr>
          <w:p>
            <w:pPr>
              <w:pStyle w:val="TableText"/>
              <w:ind w:left="237" w:right="93"/>
              <w:spacing w:before="233" w:line="255" w:lineRule="auto"/>
              <w:rPr>
                <w:sz w:val="25"/>
                <w:szCs w:val="25"/>
              </w:rPr>
            </w:pPr>
            <w:r>
              <w:rPr>
                <w:sz w:val="25"/>
                <w:szCs w:val="25"/>
              </w:rPr>
              <w:t>责令暂停六个月以上一年以下执</w:t>
            </w:r>
            <w:r>
              <w:rPr>
                <w:sz w:val="25"/>
                <w:szCs w:val="25"/>
                <w:spacing w:val="9"/>
              </w:rPr>
              <w:t xml:space="preserve"> </w:t>
            </w:r>
            <w:r>
              <w:rPr>
                <w:sz w:val="25"/>
                <w:szCs w:val="25"/>
                <w:spacing w:val="5"/>
              </w:rPr>
              <w:t>业活动</w:t>
            </w:r>
          </w:p>
        </w:tc>
      </w:tr>
      <w:tr>
        <w:trPr>
          <w:trHeight w:val="1102" w:hRule="atLeast"/>
        </w:trPr>
        <w:tc>
          <w:tcPr>
            <w:tcW w:w="1793" w:type="dxa"/>
            <w:vAlign w:val="top"/>
          </w:tcPr>
          <w:p>
            <w:pPr>
              <w:spacing w:line="352" w:lineRule="auto"/>
              <w:rPr>
                <w:rFonts w:ascii="Arial"/>
                <w:sz w:val="21"/>
              </w:rPr>
            </w:pPr>
            <w:r/>
          </w:p>
          <w:p>
            <w:pPr>
              <w:pStyle w:val="TableText"/>
              <w:ind w:left="638"/>
              <w:spacing w:before="81" w:line="220" w:lineRule="auto"/>
              <w:rPr>
                <w:sz w:val="25"/>
                <w:szCs w:val="25"/>
              </w:rPr>
            </w:pPr>
            <w:r>
              <w:rPr>
                <w:sz w:val="25"/>
                <w:szCs w:val="25"/>
                <w:b/>
                <w:bCs/>
                <w:spacing w:val="-6"/>
              </w:rPr>
              <w:t>严重</w:t>
            </w:r>
          </w:p>
        </w:tc>
        <w:tc>
          <w:tcPr>
            <w:tcW w:w="8084" w:type="dxa"/>
            <w:vAlign w:val="top"/>
          </w:tcPr>
          <w:p>
            <w:pPr>
              <w:pStyle w:val="TableText"/>
              <w:ind w:left="31" w:hanging="20"/>
              <w:spacing w:before="117"/>
              <w:jc w:val="both"/>
              <w:rPr>
                <w:sz w:val="25"/>
                <w:szCs w:val="25"/>
              </w:rPr>
            </w:pPr>
            <w:r>
              <w:rPr>
                <w:sz w:val="25"/>
                <w:szCs w:val="25"/>
                <w:spacing w:val="-6"/>
              </w:rPr>
              <w:t>对未取得《母婴保健技术考核合格证书》或者《医师执业证书》中未加注母</w:t>
            </w:r>
            <w:r>
              <w:rPr>
                <w:sz w:val="25"/>
                <w:szCs w:val="25"/>
                <w:spacing w:val="9"/>
              </w:rPr>
              <w:t xml:space="preserve"> </w:t>
            </w:r>
            <w:r>
              <w:rPr>
                <w:sz w:val="25"/>
                <w:szCs w:val="25"/>
              </w:rPr>
              <w:t>婴保健技术(产前诊断类)考核合格的个人，擅自从事产前诊断或者超范围</w:t>
            </w:r>
            <w:r>
              <w:rPr>
                <w:sz w:val="25"/>
                <w:szCs w:val="25"/>
                <w:spacing w:val="13"/>
              </w:rPr>
              <w:t xml:space="preserve"> </w:t>
            </w:r>
            <w:r>
              <w:rPr>
                <w:sz w:val="25"/>
                <w:szCs w:val="25"/>
                <w:spacing w:val="13"/>
              </w:rPr>
              <w:t>执业情节严重的</w:t>
            </w:r>
          </w:p>
        </w:tc>
        <w:tc>
          <w:tcPr>
            <w:tcW w:w="3852" w:type="dxa"/>
            <w:vAlign w:val="top"/>
          </w:tcPr>
          <w:p>
            <w:pPr>
              <w:spacing w:line="353" w:lineRule="auto"/>
              <w:rPr>
                <w:rFonts w:ascii="Arial"/>
                <w:sz w:val="21"/>
              </w:rPr>
            </w:pPr>
            <w:r/>
          </w:p>
          <w:p>
            <w:pPr>
              <w:pStyle w:val="TableText"/>
              <w:ind w:left="237"/>
              <w:spacing w:before="81" w:line="219" w:lineRule="auto"/>
              <w:rPr>
                <w:sz w:val="25"/>
                <w:szCs w:val="25"/>
              </w:rPr>
            </w:pPr>
            <w:r>
              <w:rPr>
                <w:sz w:val="25"/>
                <w:szCs w:val="25"/>
                <w:spacing w:val="1"/>
              </w:rPr>
              <w:t>吊销其医师执业证书</w:t>
            </w:r>
          </w:p>
        </w:tc>
      </w:tr>
    </w:tbl>
    <w:p>
      <w:pPr>
        <w:pStyle w:val="BodyText"/>
        <w:spacing w:line="267" w:lineRule="auto"/>
        <w:rPr/>
      </w:pPr>
      <w:r/>
    </w:p>
    <w:p>
      <w:pPr>
        <w:ind w:left="779"/>
        <w:spacing w:before="97" w:line="224" w:lineRule="auto"/>
        <w:rPr>
          <w:rFonts w:ascii="KaiTi" w:hAnsi="KaiTi" w:eastAsia="KaiTi" w:cs="KaiTi"/>
          <w:sz w:val="30"/>
          <w:szCs w:val="30"/>
        </w:rPr>
      </w:pPr>
      <w:r>
        <w:rPr>
          <w:rFonts w:ascii="KaiTi" w:hAnsi="KaiTi" w:eastAsia="KaiTi" w:cs="KaiTi"/>
          <w:sz w:val="30"/>
          <w:szCs w:val="30"/>
          <w:b/>
          <w:bCs/>
          <w:spacing w:val="22"/>
        </w:rPr>
        <w:t>(六)《禁止非医学需要的胎儿性别鉴定和选择性别人工终止妊娠的规定》</w:t>
      </w:r>
    </w:p>
    <w:p>
      <w:pPr>
        <w:pStyle w:val="BodyText"/>
        <w:spacing w:line="246" w:lineRule="auto"/>
        <w:rPr/>
      </w:pPr>
      <w:r/>
    </w:p>
    <w:p>
      <w:pPr>
        <w:ind w:left="9" w:right="414" w:firstLine="639"/>
        <w:spacing w:before="98" w:line="268" w:lineRule="auto"/>
        <w:rPr>
          <w:rFonts w:ascii="FangSong" w:hAnsi="FangSong" w:eastAsia="FangSong" w:cs="FangSong"/>
          <w:sz w:val="30"/>
          <w:szCs w:val="30"/>
        </w:rPr>
      </w:pPr>
      <w:r>
        <w:rPr>
          <w:rFonts w:ascii="FangSong" w:hAnsi="FangSong" w:eastAsia="FangSong" w:cs="FangSong"/>
          <w:sz w:val="30"/>
          <w:szCs w:val="30"/>
          <w:b/>
          <w:bCs/>
          <w:spacing w:val="21"/>
        </w:rPr>
        <w:t>第四百一十九条未建立真实完整的终止妊娠药品购进记录或者未按照规定为终止妊娠药品使</w:t>
      </w:r>
      <w:r>
        <w:rPr>
          <w:rFonts w:ascii="FangSong" w:hAnsi="FangSong" w:eastAsia="FangSong" w:cs="FangSong"/>
          <w:sz w:val="30"/>
          <w:szCs w:val="30"/>
          <w:spacing w:val="4"/>
        </w:rPr>
        <w:t xml:space="preserve"> </w:t>
      </w:r>
      <w:r>
        <w:rPr>
          <w:rFonts w:ascii="FangSong" w:hAnsi="FangSong" w:eastAsia="FangSong" w:cs="FangSong"/>
          <w:sz w:val="30"/>
          <w:szCs w:val="30"/>
          <w:b/>
          <w:bCs/>
          <w:spacing w:val="15"/>
        </w:rPr>
        <w:t>用者建立完整用药档案的</w:t>
      </w:r>
    </w:p>
    <w:p>
      <w:pPr>
        <w:spacing w:line="268" w:lineRule="auto"/>
        <w:sectPr>
          <w:footerReference w:type="default" r:id="rId447"/>
          <w:pgSz w:w="16830" w:h="11900"/>
          <w:pgMar w:top="1011" w:right="1349" w:bottom="1108" w:left="1445" w:header="0" w:footer="775" w:gutter="0"/>
        </w:sectPr>
        <w:rPr>
          <w:rFonts w:ascii="FangSong" w:hAnsi="FangSong" w:eastAsia="FangSong" w:cs="FangSong"/>
          <w:sz w:val="30"/>
          <w:szCs w:val="30"/>
        </w:rPr>
      </w:pPr>
    </w:p>
    <w:p>
      <w:pPr>
        <w:pStyle w:val="BodyText"/>
        <w:spacing w:line="268" w:lineRule="auto"/>
        <w:rPr/>
      </w:pPr>
      <w:r/>
    </w:p>
    <w:p>
      <w:pPr>
        <w:pStyle w:val="BodyText"/>
        <w:spacing w:line="269" w:lineRule="auto"/>
        <w:rPr/>
      </w:pPr>
      <w:r/>
    </w:p>
    <w:p>
      <w:pPr>
        <w:pStyle w:val="BodyText"/>
        <w:spacing w:line="269" w:lineRule="auto"/>
        <w:rPr/>
      </w:pPr>
      <w:r/>
    </w:p>
    <w:p>
      <w:pPr>
        <w:ind w:left="754"/>
        <w:spacing w:before="97" w:line="222" w:lineRule="auto"/>
        <w:rPr>
          <w:rFonts w:ascii="FangSong" w:hAnsi="FangSong" w:eastAsia="FangSong" w:cs="FangSong"/>
          <w:sz w:val="30"/>
          <w:szCs w:val="30"/>
        </w:rPr>
      </w:pPr>
      <w:bookmarkStart w:name="bookmark1091" w:id="465"/>
      <w:bookmarkEnd w:id="465"/>
      <w:r>
        <w:rPr>
          <w:rFonts w:ascii="FangSong" w:hAnsi="FangSong" w:eastAsia="FangSong" w:cs="FangSong"/>
          <w:sz w:val="30"/>
          <w:szCs w:val="30"/>
          <w:spacing w:val="2"/>
        </w:rPr>
        <w:t>法律依据：</w:t>
      </w:r>
    </w:p>
    <w:p>
      <w:pPr>
        <w:ind w:left="115" w:firstLine="629"/>
        <w:spacing w:before="75" w:line="271" w:lineRule="auto"/>
        <w:jc w:val="both"/>
        <w:rPr>
          <w:rFonts w:ascii="FangSong" w:hAnsi="FangSong" w:eastAsia="FangSong" w:cs="FangSong"/>
          <w:sz w:val="30"/>
          <w:szCs w:val="30"/>
        </w:rPr>
      </w:pPr>
      <w:r>
        <w:rPr>
          <w:rFonts w:ascii="FangSong" w:hAnsi="FangSong" w:eastAsia="FangSong" w:cs="FangSong"/>
          <w:sz w:val="30"/>
          <w:szCs w:val="30"/>
          <w:spacing w:val="19"/>
        </w:rPr>
        <w:t>《禁止非医学需要的胎儿性别鉴定和选择性别人工终止妊娠的规定》第二十条</w:t>
      </w:r>
      <w:r>
        <w:rPr>
          <w:rFonts w:ascii="FangSong" w:hAnsi="FangSong" w:eastAsia="FangSong" w:cs="FangSong"/>
          <w:sz w:val="30"/>
          <w:szCs w:val="30"/>
          <w:spacing w:val="19"/>
        </w:rPr>
        <w:t xml:space="preserve">  </w:t>
      </w:r>
      <w:r>
        <w:rPr>
          <w:rFonts w:ascii="FangSong" w:hAnsi="FangSong" w:eastAsia="FangSong" w:cs="FangSong"/>
          <w:sz w:val="30"/>
          <w:szCs w:val="30"/>
          <w:spacing w:val="19"/>
        </w:rPr>
        <w:t>经批准实施人</w:t>
      </w:r>
      <w:r>
        <w:rPr>
          <w:rFonts w:ascii="FangSong" w:hAnsi="FangSong" w:eastAsia="FangSong" w:cs="FangSong"/>
          <w:sz w:val="30"/>
          <w:szCs w:val="30"/>
          <w:spacing w:val="9"/>
        </w:rPr>
        <w:t xml:space="preserve"> </w:t>
      </w:r>
      <w:r>
        <w:rPr>
          <w:rFonts w:ascii="FangSong" w:hAnsi="FangSong" w:eastAsia="FangSong" w:cs="FangSong"/>
          <w:sz w:val="30"/>
          <w:szCs w:val="30"/>
          <w:spacing w:val="20"/>
        </w:rPr>
        <w:t>工终止妊娠手术的机构未建立真实完整的终止妊</w:t>
      </w:r>
      <w:r>
        <w:rPr>
          <w:rFonts w:ascii="FangSong" w:hAnsi="FangSong" w:eastAsia="FangSong" w:cs="FangSong"/>
          <w:sz w:val="30"/>
          <w:szCs w:val="30"/>
          <w:spacing w:val="19"/>
        </w:rPr>
        <w:t>娠药品购进记录，或者未按照规定为终止妊娠药品</w:t>
      </w:r>
      <w:r>
        <w:rPr>
          <w:rFonts w:ascii="FangSong" w:hAnsi="FangSong" w:eastAsia="FangSong" w:cs="FangSong"/>
          <w:sz w:val="30"/>
          <w:szCs w:val="30"/>
        </w:rPr>
        <w:t xml:space="preserve"> </w:t>
      </w:r>
      <w:r>
        <w:rPr>
          <w:rFonts w:ascii="FangSong" w:hAnsi="FangSong" w:eastAsia="FangSong" w:cs="FangSong"/>
          <w:sz w:val="30"/>
          <w:szCs w:val="30"/>
          <w:spacing w:val="20"/>
        </w:rPr>
        <w:t>使用者建立完整用药档案的，由县级以上卫生</w:t>
      </w:r>
      <w:r>
        <w:rPr>
          <w:rFonts w:ascii="FangSong" w:hAnsi="FangSong" w:eastAsia="FangSong" w:cs="FangSong"/>
          <w:sz w:val="30"/>
          <w:szCs w:val="30"/>
          <w:spacing w:val="19"/>
        </w:rPr>
        <w:t>计生行政部门责令改正；拒不改正的，给予警告，并</w:t>
      </w:r>
      <w:r>
        <w:rPr>
          <w:rFonts w:ascii="FangSong" w:hAnsi="FangSong" w:eastAsia="FangSong" w:cs="FangSong"/>
          <w:sz w:val="30"/>
          <w:szCs w:val="30"/>
        </w:rPr>
        <w:t xml:space="preserve"> </w:t>
      </w:r>
      <w:r>
        <w:rPr>
          <w:rFonts w:ascii="FangSong" w:hAnsi="FangSong" w:eastAsia="FangSong" w:cs="FangSong"/>
          <w:sz w:val="30"/>
          <w:szCs w:val="30"/>
          <w:spacing w:val="26"/>
        </w:rPr>
        <w:t>可处1万元以上3万元以下罚款；对医疗卫生机构的主要负责人、直接负责的主管人</w:t>
      </w:r>
      <w:r>
        <w:rPr>
          <w:rFonts w:ascii="FangSong" w:hAnsi="FangSong" w:eastAsia="FangSong" w:cs="FangSong"/>
          <w:sz w:val="30"/>
          <w:szCs w:val="30"/>
          <w:spacing w:val="25"/>
        </w:rPr>
        <w:t>员和直接责任</w:t>
      </w:r>
      <w:r>
        <w:rPr>
          <w:rFonts w:ascii="FangSong" w:hAnsi="FangSong" w:eastAsia="FangSong" w:cs="FangSong"/>
          <w:sz w:val="30"/>
          <w:szCs w:val="30"/>
        </w:rPr>
        <w:t xml:space="preserve"> </w:t>
      </w:r>
      <w:r>
        <w:rPr>
          <w:rFonts w:ascii="FangSong" w:hAnsi="FangSong" w:eastAsia="FangSong" w:cs="FangSong"/>
          <w:sz w:val="30"/>
          <w:szCs w:val="30"/>
          <w:spacing w:val="12"/>
        </w:rPr>
        <w:t>人员，依法进行处理。</w:t>
      </w:r>
    </w:p>
    <w:p>
      <w:pPr>
        <w:ind w:left="6419"/>
        <w:spacing w:before="140"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7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8094"/>
        <w:gridCol w:w="3852"/>
      </w:tblGrid>
      <w:tr>
        <w:trPr>
          <w:trHeight w:val="574" w:hRule="atLeast"/>
        </w:trPr>
        <w:tc>
          <w:tcPr>
            <w:tcW w:w="1784" w:type="dxa"/>
            <w:vAlign w:val="top"/>
          </w:tcPr>
          <w:p>
            <w:pPr>
              <w:pStyle w:val="TableText"/>
              <w:ind w:left="388"/>
              <w:spacing w:before="202" w:line="220" w:lineRule="auto"/>
              <w:rPr>
                <w:sz w:val="25"/>
                <w:szCs w:val="25"/>
              </w:rPr>
            </w:pPr>
            <w:r>
              <w:rPr>
                <w:sz w:val="25"/>
                <w:szCs w:val="25"/>
                <w:b/>
                <w:bCs/>
                <w:spacing w:val="-5"/>
              </w:rPr>
              <w:t>违法程度</w:t>
            </w:r>
          </w:p>
        </w:tc>
        <w:tc>
          <w:tcPr>
            <w:tcW w:w="8094" w:type="dxa"/>
            <w:vAlign w:val="top"/>
          </w:tcPr>
          <w:p>
            <w:pPr>
              <w:pStyle w:val="TableText"/>
              <w:ind w:left="3544"/>
              <w:spacing w:before="202" w:line="220" w:lineRule="auto"/>
              <w:rPr>
                <w:sz w:val="25"/>
                <w:szCs w:val="25"/>
              </w:rPr>
            </w:pPr>
            <w:r>
              <w:rPr>
                <w:sz w:val="25"/>
                <w:szCs w:val="25"/>
                <w:b/>
                <w:bCs/>
                <w:spacing w:val="-5"/>
              </w:rPr>
              <w:t>情节后果</w:t>
            </w:r>
          </w:p>
        </w:tc>
        <w:tc>
          <w:tcPr>
            <w:tcW w:w="3852" w:type="dxa"/>
            <w:vAlign w:val="top"/>
          </w:tcPr>
          <w:p>
            <w:pPr>
              <w:pStyle w:val="TableText"/>
              <w:ind w:left="1370"/>
              <w:spacing w:before="199" w:line="218" w:lineRule="auto"/>
              <w:rPr>
                <w:sz w:val="25"/>
                <w:szCs w:val="25"/>
              </w:rPr>
            </w:pPr>
            <w:r>
              <w:rPr>
                <w:sz w:val="25"/>
                <w:szCs w:val="25"/>
                <w:b/>
                <w:bCs/>
                <w:spacing w:val="-5"/>
              </w:rPr>
              <w:t>裁量幅度</w:t>
            </w:r>
          </w:p>
        </w:tc>
      </w:tr>
      <w:tr>
        <w:trPr>
          <w:trHeight w:val="1007" w:hRule="atLeast"/>
        </w:trPr>
        <w:tc>
          <w:tcPr>
            <w:tcW w:w="1784" w:type="dxa"/>
            <w:vAlign w:val="top"/>
          </w:tcPr>
          <w:p>
            <w:pPr>
              <w:spacing w:line="295" w:lineRule="auto"/>
              <w:rPr>
                <w:rFonts w:ascii="Arial"/>
                <w:sz w:val="21"/>
              </w:rPr>
            </w:pPr>
            <w:r/>
          </w:p>
          <w:p>
            <w:pPr>
              <w:pStyle w:val="TableText"/>
              <w:ind w:left="388"/>
              <w:spacing w:before="81" w:line="220" w:lineRule="auto"/>
              <w:rPr>
                <w:sz w:val="25"/>
                <w:szCs w:val="25"/>
              </w:rPr>
            </w:pPr>
            <w:r>
              <w:rPr>
                <w:sz w:val="25"/>
                <w:szCs w:val="25"/>
                <w:b/>
                <w:bCs/>
                <w:spacing w:val="3"/>
              </w:rPr>
              <w:t>首违不罚</w:t>
            </w:r>
          </w:p>
        </w:tc>
        <w:tc>
          <w:tcPr>
            <w:tcW w:w="8094" w:type="dxa"/>
            <w:vAlign w:val="top"/>
          </w:tcPr>
          <w:p>
            <w:pPr>
              <w:pStyle w:val="TableText"/>
              <w:ind w:left="99" w:hanging="89"/>
              <w:spacing w:before="231" w:line="253" w:lineRule="auto"/>
              <w:rPr>
                <w:sz w:val="25"/>
                <w:szCs w:val="25"/>
              </w:rPr>
            </w:pPr>
            <w:r>
              <w:rPr>
                <w:sz w:val="25"/>
                <w:szCs w:val="25"/>
                <w:spacing w:val="-5"/>
              </w:rPr>
              <w:t>首次发现未建立真是完整的终止妊娠药品购进</w:t>
            </w:r>
            <w:r>
              <w:rPr>
                <w:sz w:val="25"/>
                <w:szCs w:val="25"/>
                <w:spacing w:val="-6"/>
              </w:rPr>
              <w:t>记录，或者未按照规定为终止</w:t>
            </w:r>
            <w:r>
              <w:rPr>
                <w:sz w:val="25"/>
                <w:szCs w:val="25"/>
              </w:rPr>
              <w:t xml:space="preserve"> </w:t>
            </w:r>
            <w:r>
              <w:rPr>
                <w:sz w:val="25"/>
                <w:szCs w:val="25"/>
              </w:rPr>
              <w:t>妊娠药品使用者建立完整用药档案</w:t>
            </w:r>
          </w:p>
        </w:tc>
        <w:tc>
          <w:tcPr>
            <w:tcW w:w="3852" w:type="dxa"/>
            <w:vAlign w:val="top"/>
          </w:tcPr>
          <w:p>
            <w:pPr>
              <w:spacing w:line="296" w:lineRule="auto"/>
              <w:rPr>
                <w:rFonts w:ascii="Arial"/>
                <w:sz w:val="21"/>
              </w:rPr>
            </w:pPr>
            <w:r/>
          </w:p>
          <w:p>
            <w:pPr>
              <w:pStyle w:val="TableText"/>
              <w:ind w:left="237"/>
              <w:spacing w:before="81" w:line="219" w:lineRule="auto"/>
              <w:rPr>
                <w:sz w:val="25"/>
                <w:szCs w:val="25"/>
              </w:rPr>
            </w:pPr>
            <w:r>
              <w:rPr>
                <w:sz w:val="25"/>
                <w:szCs w:val="25"/>
                <w:spacing w:val="3"/>
              </w:rPr>
              <w:t>责令改正</w:t>
            </w:r>
          </w:p>
        </w:tc>
      </w:tr>
      <w:tr>
        <w:trPr>
          <w:trHeight w:val="1007" w:hRule="atLeast"/>
        </w:trPr>
        <w:tc>
          <w:tcPr>
            <w:tcW w:w="1784" w:type="dxa"/>
            <w:vAlign w:val="top"/>
          </w:tcPr>
          <w:p>
            <w:pPr>
              <w:spacing w:line="297" w:lineRule="auto"/>
              <w:rPr>
                <w:rFonts w:ascii="Arial"/>
                <w:sz w:val="21"/>
              </w:rPr>
            </w:pPr>
            <w:r/>
          </w:p>
          <w:p>
            <w:pPr>
              <w:pStyle w:val="TableText"/>
              <w:ind w:left="638"/>
              <w:spacing w:before="81" w:line="219" w:lineRule="auto"/>
              <w:rPr>
                <w:sz w:val="25"/>
                <w:szCs w:val="25"/>
              </w:rPr>
            </w:pPr>
            <w:r>
              <w:rPr>
                <w:sz w:val="25"/>
                <w:szCs w:val="25"/>
                <w:b/>
                <w:bCs/>
                <w:spacing w:val="-6"/>
              </w:rPr>
              <w:t>较轻</w:t>
            </w:r>
          </w:p>
        </w:tc>
        <w:tc>
          <w:tcPr>
            <w:tcW w:w="8094" w:type="dxa"/>
            <w:vAlign w:val="top"/>
          </w:tcPr>
          <w:p>
            <w:pPr>
              <w:pStyle w:val="TableText"/>
              <w:ind w:left="119" w:hanging="109"/>
              <w:spacing w:before="244" w:line="253" w:lineRule="auto"/>
              <w:rPr>
                <w:sz w:val="25"/>
                <w:szCs w:val="25"/>
              </w:rPr>
            </w:pPr>
            <w:r>
              <w:rPr>
                <w:sz w:val="25"/>
                <w:szCs w:val="25"/>
                <w:spacing w:val="-5"/>
              </w:rPr>
              <w:t>未建立真实完整的终止妊娠药品购进记录，或</w:t>
            </w:r>
            <w:r>
              <w:rPr>
                <w:sz w:val="25"/>
                <w:szCs w:val="25"/>
                <w:spacing w:val="-6"/>
              </w:rPr>
              <w:t>者未按照规定为终止妊娠药品</w:t>
            </w:r>
            <w:r>
              <w:rPr>
                <w:sz w:val="25"/>
                <w:szCs w:val="25"/>
              </w:rPr>
              <w:t xml:space="preserve"> </w:t>
            </w:r>
            <w:r>
              <w:rPr>
                <w:sz w:val="25"/>
                <w:szCs w:val="25"/>
              </w:rPr>
              <w:t>使用者建立完整用药档案，首次发现未改正的</w:t>
            </w:r>
          </w:p>
        </w:tc>
        <w:tc>
          <w:tcPr>
            <w:tcW w:w="3852" w:type="dxa"/>
            <w:vAlign w:val="top"/>
          </w:tcPr>
          <w:p>
            <w:pPr>
              <w:pStyle w:val="TableText"/>
              <w:ind w:left="237" w:right="84" w:firstLine="9"/>
              <w:spacing w:before="71" w:line="257" w:lineRule="auto"/>
              <w:rPr>
                <w:sz w:val="25"/>
                <w:szCs w:val="25"/>
              </w:rPr>
            </w:pPr>
            <w:r>
              <w:rPr>
                <w:sz w:val="25"/>
                <w:szCs w:val="25"/>
              </w:rPr>
              <w:t>警告，罚款10000元以上20000元</w:t>
            </w:r>
            <w:r>
              <w:rPr>
                <w:sz w:val="25"/>
                <w:szCs w:val="25"/>
                <w:spacing w:val="9"/>
              </w:rPr>
              <w:t xml:space="preserve"> </w:t>
            </w:r>
            <w:r>
              <w:rPr>
                <w:sz w:val="25"/>
                <w:szCs w:val="25"/>
                <w:spacing w:val="8"/>
              </w:rPr>
              <w:t>以下</w:t>
            </w:r>
          </w:p>
        </w:tc>
      </w:tr>
      <w:tr>
        <w:trPr>
          <w:trHeight w:val="1122" w:hRule="atLeast"/>
        </w:trPr>
        <w:tc>
          <w:tcPr>
            <w:tcW w:w="1784" w:type="dxa"/>
            <w:vAlign w:val="top"/>
          </w:tcPr>
          <w:p>
            <w:pPr>
              <w:spacing w:line="363" w:lineRule="auto"/>
              <w:rPr>
                <w:rFonts w:ascii="Arial"/>
                <w:sz w:val="21"/>
              </w:rPr>
            </w:pPr>
            <w:r/>
          </w:p>
          <w:p>
            <w:pPr>
              <w:pStyle w:val="TableText"/>
              <w:ind w:left="638"/>
              <w:spacing w:before="81" w:line="221" w:lineRule="auto"/>
              <w:rPr>
                <w:sz w:val="25"/>
                <w:szCs w:val="25"/>
              </w:rPr>
            </w:pPr>
            <w:r>
              <w:rPr>
                <w:sz w:val="25"/>
                <w:szCs w:val="25"/>
                <w:b/>
                <w:bCs/>
                <w:spacing w:val="-6"/>
              </w:rPr>
              <w:t>较重</w:t>
            </w:r>
          </w:p>
        </w:tc>
        <w:tc>
          <w:tcPr>
            <w:tcW w:w="8094" w:type="dxa"/>
            <w:vAlign w:val="top"/>
          </w:tcPr>
          <w:p>
            <w:pPr>
              <w:pStyle w:val="TableText"/>
              <w:ind w:left="10"/>
              <w:spacing w:before="137"/>
              <w:jc w:val="both"/>
              <w:rPr>
                <w:sz w:val="25"/>
                <w:szCs w:val="25"/>
              </w:rPr>
            </w:pPr>
            <w:r>
              <w:rPr>
                <w:sz w:val="25"/>
                <w:szCs w:val="25"/>
                <w:spacing w:val="-5"/>
              </w:rPr>
              <w:t>未建立真实完整的终止妊娠药品购进记录，或</w:t>
            </w:r>
            <w:r>
              <w:rPr>
                <w:sz w:val="25"/>
                <w:szCs w:val="25"/>
                <w:spacing w:val="-6"/>
              </w:rPr>
              <w:t>者未按照规定为终止妊娠药品</w:t>
            </w:r>
            <w:r>
              <w:rPr>
                <w:sz w:val="25"/>
                <w:szCs w:val="25"/>
              </w:rPr>
              <w:t xml:space="preserve"> </w:t>
            </w:r>
            <w:r>
              <w:rPr>
                <w:sz w:val="25"/>
                <w:szCs w:val="25"/>
                <w:spacing w:val="-6"/>
              </w:rPr>
              <w:t>使用者建立完整用药档案，造成终止妊娠药品流失等严重后果的；或再次发</w:t>
            </w:r>
            <w:r>
              <w:rPr>
                <w:sz w:val="25"/>
                <w:szCs w:val="25"/>
                <w:spacing w:val="5"/>
              </w:rPr>
              <w:t xml:space="preserve"> </w:t>
            </w:r>
            <w:r>
              <w:rPr>
                <w:sz w:val="25"/>
                <w:szCs w:val="25"/>
                <w:spacing w:val="9"/>
              </w:rPr>
              <w:t>现上述可处罚款违法行为的</w:t>
            </w:r>
          </w:p>
        </w:tc>
        <w:tc>
          <w:tcPr>
            <w:tcW w:w="3852" w:type="dxa"/>
            <w:vAlign w:val="top"/>
          </w:tcPr>
          <w:p>
            <w:pPr>
              <w:pStyle w:val="TableText"/>
              <w:ind w:left="237" w:right="94"/>
              <w:spacing w:before="295" w:line="249" w:lineRule="auto"/>
              <w:rPr>
                <w:sz w:val="25"/>
                <w:szCs w:val="25"/>
              </w:rPr>
            </w:pPr>
            <w:r>
              <w:rPr>
                <w:sz w:val="25"/>
                <w:szCs w:val="25"/>
              </w:rPr>
              <w:t>警告，罚款20000元以上30000元</w:t>
            </w:r>
            <w:r>
              <w:rPr>
                <w:sz w:val="25"/>
                <w:szCs w:val="25"/>
                <w:spacing w:val="9"/>
              </w:rPr>
              <w:t xml:space="preserve"> </w:t>
            </w:r>
            <w:r>
              <w:rPr>
                <w:sz w:val="25"/>
                <w:szCs w:val="25"/>
                <w:spacing w:val="8"/>
              </w:rPr>
              <w:t>以下</w:t>
            </w:r>
          </w:p>
        </w:tc>
      </w:tr>
    </w:tbl>
    <w:p>
      <w:pPr>
        <w:pStyle w:val="BodyText"/>
        <w:spacing w:line="434" w:lineRule="auto"/>
        <w:rPr/>
      </w:pPr>
      <w:r/>
    </w:p>
    <w:p>
      <w:pPr>
        <w:ind w:left="659"/>
        <w:spacing w:before="98" w:line="222" w:lineRule="auto"/>
        <w:rPr>
          <w:rFonts w:ascii="KaiTi" w:hAnsi="KaiTi" w:eastAsia="KaiTi" w:cs="KaiTi"/>
          <w:sz w:val="30"/>
          <w:szCs w:val="30"/>
        </w:rPr>
      </w:pPr>
      <w:r>
        <w:rPr>
          <w:rFonts w:ascii="KaiTi" w:hAnsi="KaiTi" w:eastAsia="KaiTi" w:cs="KaiTi"/>
          <w:sz w:val="30"/>
          <w:szCs w:val="30"/>
          <w:b/>
          <w:bCs/>
          <w:spacing w:val="21"/>
        </w:rPr>
        <w:t>第四百二十条介绍、组织孕妇实施非医学需要的胎儿性别鉴定或者选择性别人工终止妊娠的</w:t>
      </w:r>
    </w:p>
    <w:p>
      <w:pPr>
        <w:spacing w:line="222" w:lineRule="auto"/>
        <w:sectPr>
          <w:footerReference w:type="default" r:id="rId448"/>
          <w:pgSz w:w="16830" w:h="11900"/>
          <w:pgMar w:top="1011" w:right="1540" w:bottom="1115" w:left="1434" w:header="0" w:footer="773" w:gutter="0"/>
        </w:sectPr>
        <w:rPr>
          <w:rFonts w:ascii="KaiTi" w:hAnsi="KaiTi" w:eastAsia="KaiTi" w:cs="KaiTi"/>
          <w:sz w:val="30"/>
          <w:szCs w:val="30"/>
        </w:rPr>
      </w:pPr>
    </w:p>
    <w:p>
      <w:pPr>
        <w:pStyle w:val="BodyText"/>
        <w:spacing w:line="278" w:lineRule="auto"/>
        <w:rPr/>
      </w:pPr>
      <w:r/>
    </w:p>
    <w:p>
      <w:pPr>
        <w:pStyle w:val="BodyText"/>
        <w:spacing w:line="278" w:lineRule="auto"/>
        <w:rPr/>
      </w:pPr>
      <w:r/>
    </w:p>
    <w:p>
      <w:pPr>
        <w:pStyle w:val="BodyText"/>
        <w:spacing w:line="278" w:lineRule="auto"/>
        <w:rPr/>
      </w:pPr>
      <w:r/>
    </w:p>
    <w:p>
      <w:pPr>
        <w:ind w:left="765"/>
        <w:spacing w:before="88"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ind w:left="124" w:firstLine="479"/>
        <w:spacing w:before="71" w:line="277" w:lineRule="auto"/>
        <w:jc w:val="both"/>
        <w:rPr>
          <w:rFonts w:ascii="FangSong" w:hAnsi="FangSong" w:eastAsia="FangSong" w:cs="FangSong"/>
          <w:sz w:val="30"/>
          <w:szCs w:val="30"/>
        </w:rPr>
      </w:pPr>
      <w:r>
        <w:rPr>
          <w:rFonts w:ascii="FangSong" w:hAnsi="FangSong" w:eastAsia="FangSong" w:cs="FangSong"/>
          <w:sz w:val="30"/>
          <w:szCs w:val="30"/>
          <w:spacing w:val="18"/>
        </w:rPr>
        <w:t>《禁止非医学需要的胎儿性别鉴定和选择性别人工终止妊</w:t>
      </w:r>
      <w:r>
        <w:rPr>
          <w:rFonts w:ascii="FangSong" w:hAnsi="FangSong" w:eastAsia="FangSong" w:cs="FangSong"/>
          <w:sz w:val="30"/>
          <w:szCs w:val="30"/>
          <w:spacing w:val="17"/>
        </w:rPr>
        <w:t>娠的规定》第二十三条</w:t>
      </w:r>
      <w:r>
        <w:rPr>
          <w:rFonts w:ascii="FangSong" w:hAnsi="FangSong" w:eastAsia="FangSong" w:cs="FangSong"/>
          <w:sz w:val="30"/>
          <w:szCs w:val="30"/>
          <w:spacing w:val="17"/>
        </w:rPr>
        <w:t xml:space="preserve">  </w:t>
      </w:r>
      <w:r>
        <w:rPr>
          <w:rFonts w:ascii="FangSong" w:hAnsi="FangSong" w:eastAsia="FangSong" w:cs="FangSong"/>
          <w:sz w:val="30"/>
          <w:szCs w:val="30"/>
          <w:spacing w:val="17"/>
        </w:rPr>
        <w:t>介绍、组织孕</w:t>
      </w:r>
      <w:r>
        <w:rPr>
          <w:rFonts w:ascii="FangSong" w:hAnsi="FangSong" w:eastAsia="FangSong" w:cs="FangSong"/>
          <w:sz w:val="30"/>
          <w:szCs w:val="30"/>
        </w:rPr>
        <w:t xml:space="preserve"> </w:t>
      </w:r>
      <w:r>
        <w:rPr>
          <w:rFonts w:ascii="FangSong" w:hAnsi="FangSong" w:eastAsia="FangSong" w:cs="FangSong"/>
          <w:sz w:val="30"/>
          <w:szCs w:val="30"/>
          <w:spacing w:val="20"/>
        </w:rPr>
        <w:t>妇实施非医学需要的胎儿性别鉴定或者选择性别人工终止妊娠的，</w:t>
      </w:r>
      <w:r>
        <w:rPr>
          <w:rFonts w:ascii="FangSong" w:hAnsi="FangSong" w:eastAsia="FangSong" w:cs="FangSong"/>
          <w:sz w:val="30"/>
          <w:szCs w:val="30"/>
          <w:spacing w:val="19"/>
        </w:rPr>
        <w:t>由县级以上卫生计生行政部门责</w:t>
      </w:r>
      <w:r>
        <w:rPr>
          <w:rFonts w:ascii="FangSong" w:hAnsi="FangSong" w:eastAsia="FangSong" w:cs="FangSong"/>
          <w:sz w:val="30"/>
          <w:szCs w:val="30"/>
        </w:rPr>
        <w:t xml:space="preserve"> </w:t>
      </w:r>
      <w:r>
        <w:rPr>
          <w:rFonts w:ascii="FangSong" w:hAnsi="FangSong" w:eastAsia="FangSong" w:cs="FangSong"/>
          <w:sz w:val="30"/>
          <w:szCs w:val="30"/>
          <w:spacing w:val="25"/>
        </w:rPr>
        <w:t>令改正，给予警告；情节严重的，没收违法所得，并处5000元以上3万</w:t>
      </w:r>
      <w:r>
        <w:rPr>
          <w:rFonts w:ascii="FangSong" w:hAnsi="FangSong" w:eastAsia="FangSong" w:cs="FangSong"/>
          <w:sz w:val="30"/>
          <w:szCs w:val="30"/>
          <w:spacing w:val="24"/>
        </w:rPr>
        <w:t>元以下罚款。</w:t>
      </w:r>
    </w:p>
    <w:p>
      <w:pPr>
        <w:ind w:left="6419"/>
        <w:spacing w:before="122"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8104"/>
        <w:gridCol w:w="3982"/>
      </w:tblGrid>
      <w:tr>
        <w:trPr>
          <w:trHeight w:val="554" w:hRule="atLeast"/>
        </w:trPr>
        <w:tc>
          <w:tcPr>
            <w:tcW w:w="1784" w:type="dxa"/>
            <w:vAlign w:val="top"/>
          </w:tcPr>
          <w:p>
            <w:pPr>
              <w:pStyle w:val="TableText"/>
              <w:ind w:left="308"/>
              <w:spacing w:before="18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8104" w:type="dxa"/>
            <w:vAlign w:val="top"/>
          </w:tcPr>
          <w:p>
            <w:pPr>
              <w:pStyle w:val="TableText"/>
              <w:ind w:left="3564"/>
              <w:spacing w:before="162" w:line="220" w:lineRule="auto"/>
              <w:rPr/>
            </w:pPr>
            <w:r>
              <w:rPr>
                <w:b/>
                <w:bCs/>
                <w:spacing w:val="-5"/>
              </w:rPr>
              <w:t>情节后果</w:t>
            </w:r>
          </w:p>
        </w:tc>
        <w:tc>
          <w:tcPr>
            <w:tcW w:w="3982" w:type="dxa"/>
            <w:vAlign w:val="top"/>
          </w:tcPr>
          <w:p>
            <w:pPr>
              <w:pStyle w:val="TableText"/>
              <w:ind w:left="1430"/>
              <w:spacing w:before="18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88" w:hRule="atLeast"/>
        </w:trPr>
        <w:tc>
          <w:tcPr>
            <w:tcW w:w="1784" w:type="dxa"/>
            <w:vAlign w:val="top"/>
          </w:tcPr>
          <w:p>
            <w:pPr>
              <w:pStyle w:val="TableText"/>
              <w:ind w:left="648"/>
              <w:spacing w:before="227" w:line="219" w:lineRule="auto"/>
              <w:rPr/>
            </w:pPr>
            <w:r>
              <w:rPr>
                <w:b/>
                <w:bCs/>
                <w:spacing w:val="-5"/>
              </w:rPr>
              <w:t>较轻</w:t>
            </w:r>
          </w:p>
        </w:tc>
        <w:tc>
          <w:tcPr>
            <w:tcW w:w="8104" w:type="dxa"/>
            <w:vAlign w:val="top"/>
          </w:tcPr>
          <w:p>
            <w:pPr>
              <w:pStyle w:val="TableText"/>
              <w:ind w:left="121" w:right="141" w:firstLine="20"/>
              <w:spacing w:before="69" w:line="234" w:lineRule="auto"/>
              <w:rPr/>
            </w:pPr>
            <w:r>
              <w:rPr/>
              <w:t>介绍、组织1名孕妇实施非医学需要的胎儿性别鉴定或者选择性别人工终止</w:t>
            </w:r>
            <w:r>
              <w:rPr>
                <w:spacing w:val="10"/>
              </w:rPr>
              <w:t xml:space="preserve"> </w:t>
            </w:r>
            <w:r>
              <w:rPr>
                <w:spacing w:val="6"/>
              </w:rPr>
              <w:t>妊娠的</w:t>
            </w:r>
          </w:p>
        </w:tc>
        <w:tc>
          <w:tcPr>
            <w:tcW w:w="3982" w:type="dxa"/>
            <w:vAlign w:val="top"/>
          </w:tcPr>
          <w:p>
            <w:pPr>
              <w:pStyle w:val="TableText"/>
              <w:ind w:left="227"/>
              <w:spacing w:before="228" w:line="218" w:lineRule="auto"/>
              <w:rPr/>
            </w:pPr>
            <w:r>
              <w:rPr>
                <w:color w:val="404050"/>
                <w:spacing w:val="8"/>
              </w:rPr>
              <w:t>警告</w:t>
            </w:r>
          </w:p>
        </w:tc>
      </w:tr>
      <w:tr>
        <w:trPr>
          <w:trHeight w:val="689" w:hRule="atLeast"/>
        </w:trPr>
        <w:tc>
          <w:tcPr>
            <w:tcW w:w="1784" w:type="dxa"/>
            <w:vAlign w:val="top"/>
            <w:vMerge w:val="restart"/>
            <w:tcBorders>
              <w:bottom w:val="nil"/>
            </w:tcBorders>
          </w:tcPr>
          <w:p>
            <w:pPr>
              <w:spacing w:line="302" w:lineRule="auto"/>
              <w:rPr>
                <w:rFonts w:ascii="Arial"/>
                <w:sz w:val="21"/>
              </w:rPr>
            </w:pPr>
            <w:r/>
          </w:p>
          <w:p>
            <w:pPr>
              <w:spacing w:line="302" w:lineRule="auto"/>
              <w:rPr>
                <w:rFonts w:ascii="Arial"/>
                <w:sz w:val="21"/>
              </w:rPr>
            </w:pPr>
            <w:r/>
          </w:p>
          <w:p>
            <w:pPr>
              <w:spacing w:line="303" w:lineRule="auto"/>
              <w:rPr>
                <w:rFonts w:ascii="Arial"/>
                <w:sz w:val="21"/>
              </w:rPr>
            </w:pPr>
            <w:r/>
          </w:p>
          <w:p>
            <w:pPr>
              <w:pStyle w:val="TableText"/>
              <w:ind w:left="648"/>
              <w:spacing w:before="78" w:line="221" w:lineRule="auto"/>
              <w:rPr/>
            </w:pPr>
            <w:r>
              <w:rPr>
                <w:b/>
                <w:bCs/>
                <w:spacing w:val="-10"/>
              </w:rPr>
              <w:t>一般</w:t>
            </w:r>
          </w:p>
        </w:tc>
        <w:tc>
          <w:tcPr>
            <w:tcW w:w="8104" w:type="dxa"/>
            <w:vAlign w:val="top"/>
          </w:tcPr>
          <w:p>
            <w:pPr>
              <w:pStyle w:val="TableText"/>
              <w:ind w:left="91" w:right="141" w:firstLine="49"/>
              <w:spacing w:before="62" w:line="237" w:lineRule="auto"/>
              <w:rPr/>
            </w:pPr>
            <w:r>
              <w:rPr/>
              <w:t>介绍、组织2名孕妇实施非医学需要的胎儿性别鉴定或者选择性别人工终止</w:t>
            </w:r>
            <w:r>
              <w:rPr>
                <w:spacing w:val="10"/>
              </w:rPr>
              <w:t xml:space="preserve"> </w:t>
            </w:r>
            <w:r>
              <w:rPr>
                <w:spacing w:val="6"/>
              </w:rPr>
              <w:t>妊娠的</w:t>
            </w:r>
          </w:p>
        </w:tc>
        <w:tc>
          <w:tcPr>
            <w:tcW w:w="3982" w:type="dxa"/>
            <w:vAlign w:val="top"/>
          </w:tcPr>
          <w:p>
            <w:pPr>
              <w:pStyle w:val="TableText"/>
              <w:ind w:left="227" w:right="374"/>
              <w:spacing w:before="62" w:line="237" w:lineRule="auto"/>
              <w:rPr/>
            </w:pPr>
            <w:r>
              <w:rPr/>
              <w:t>没收违法所得，罚款5000元以上</w:t>
            </w:r>
            <w:r>
              <w:rPr>
                <w:spacing w:val="9"/>
              </w:rPr>
              <w:t xml:space="preserve"> </w:t>
            </w:r>
            <w:r>
              <w:rPr>
                <w:spacing w:val="2"/>
              </w:rPr>
              <w:t>8000元以下</w:t>
            </w:r>
          </w:p>
        </w:tc>
      </w:tr>
      <w:tr>
        <w:trPr>
          <w:trHeight w:val="818" w:hRule="atLeast"/>
        </w:trPr>
        <w:tc>
          <w:tcPr>
            <w:tcW w:w="1784" w:type="dxa"/>
            <w:vAlign w:val="top"/>
            <w:vMerge w:val="continue"/>
            <w:tcBorders>
              <w:top w:val="nil"/>
              <w:bottom w:val="nil"/>
            </w:tcBorders>
          </w:tcPr>
          <w:p>
            <w:pPr>
              <w:rPr>
                <w:rFonts w:ascii="Arial"/>
                <w:sz w:val="21"/>
              </w:rPr>
            </w:pPr>
            <w:r/>
          </w:p>
        </w:tc>
        <w:tc>
          <w:tcPr>
            <w:tcW w:w="8104" w:type="dxa"/>
            <w:vAlign w:val="top"/>
          </w:tcPr>
          <w:p>
            <w:pPr>
              <w:pStyle w:val="TableText"/>
              <w:ind w:left="94" w:right="158" w:firstLine="49"/>
              <w:spacing w:before="129" w:line="252" w:lineRule="auto"/>
              <w:rPr/>
            </w:pPr>
            <w:r>
              <w:rPr>
                <w:b/>
                <w:bCs/>
                <w:spacing w:val="-3"/>
              </w:rPr>
              <w:t>介绍、组织3名孕妇实施非医学需要的胎儿性别鉴定或者选择性别人工终止</w:t>
            </w:r>
            <w:r>
              <w:rPr>
                <w:spacing w:val="5"/>
              </w:rPr>
              <w:t xml:space="preserve"> </w:t>
            </w:r>
            <w:r>
              <w:rPr>
                <w:b/>
                <w:bCs/>
                <w:spacing w:val="1"/>
              </w:rPr>
              <w:t>妊娠的</w:t>
            </w:r>
          </w:p>
        </w:tc>
        <w:tc>
          <w:tcPr>
            <w:tcW w:w="3982" w:type="dxa"/>
            <w:vAlign w:val="top"/>
          </w:tcPr>
          <w:p>
            <w:pPr>
              <w:pStyle w:val="TableText"/>
              <w:ind w:left="227" w:right="374"/>
              <w:spacing w:before="133" w:line="257" w:lineRule="auto"/>
              <w:rPr/>
            </w:pPr>
            <w:r>
              <w:rPr/>
              <w:t>没收违法所得，罚款8000元以上</w:t>
            </w:r>
            <w:r>
              <w:rPr>
                <w:spacing w:val="9"/>
              </w:rPr>
              <w:t xml:space="preserve"> </w:t>
            </w:r>
            <w:r>
              <w:rPr>
                <w:spacing w:val="1"/>
              </w:rPr>
              <w:t>12000元以下</w:t>
            </w:r>
          </w:p>
        </w:tc>
      </w:tr>
      <w:tr>
        <w:trPr>
          <w:trHeight w:val="689" w:hRule="atLeast"/>
        </w:trPr>
        <w:tc>
          <w:tcPr>
            <w:tcW w:w="1784" w:type="dxa"/>
            <w:vAlign w:val="top"/>
            <w:vMerge w:val="continue"/>
            <w:tcBorders>
              <w:top w:val="nil"/>
            </w:tcBorders>
          </w:tcPr>
          <w:p>
            <w:pPr>
              <w:rPr>
                <w:rFonts w:ascii="Arial"/>
                <w:sz w:val="21"/>
              </w:rPr>
            </w:pPr>
            <w:r/>
          </w:p>
        </w:tc>
        <w:tc>
          <w:tcPr>
            <w:tcW w:w="8104" w:type="dxa"/>
            <w:vAlign w:val="top"/>
          </w:tcPr>
          <w:p>
            <w:pPr>
              <w:pStyle w:val="TableText"/>
              <w:ind w:left="104" w:right="158" w:firstLine="40"/>
              <w:spacing w:before="60" w:line="238" w:lineRule="auto"/>
              <w:rPr/>
            </w:pPr>
            <w:r>
              <w:rPr>
                <w:b/>
                <w:bCs/>
                <w:spacing w:val="-3"/>
              </w:rPr>
              <w:t>介绍、组织4名孕妇实施非医学需要的胎儿性别鉴定或者选择性别人工终止</w:t>
            </w:r>
            <w:r>
              <w:rPr>
                <w:spacing w:val="5"/>
              </w:rPr>
              <w:t xml:space="preserve"> </w:t>
            </w:r>
            <w:r>
              <w:rPr>
                <w:b/>
                <w:bCs/>
                <w:spacing w:val="1"/>
              </w:rPr>
              <w:t>妊娠的</w:t>
            </w:r>
          </w:p>
        </w:tc>
        <w:tc>
          <w:tcPr>
            <w:tcW w:w="3982" w:type="dxa"/>
            <w:vAlign w:val="top"/>
          </w:tcPr>
          <w:p>
            <w:pPr>
              <w:pStyle w:val="TableText"/>
              <w:ind w:left="227" w:right="254"/>
              <w:spacing w:before="65" w:line="236" w:lineRule="auto"/>
              <w:rPr/>
            </w:pPr>
            <w:r>
              <w:rPr/>
              <w:t>没收违法所得，罚款12000元以上</w:t>
            </w:r>
            <w:r>
              <w:rPr>
                <w:spacing w:val="9"/>
              </w:rPr>
              <w:t xml:space="preserve"> </w:t>
            </w:r>
            <w:r>
              <w:rPr>
                <w:spacing w:val="1"/>
              </w:rPr>
              <w:t>15000元以下</w:t>
            </w:r>
          </w:p>
        </w:tc>
      </w:tr>
      <w:tr>
        <w:trPr>
          <w:trHeight w:val="888" w:hRule="atLeast"/>
        </w:trPr>
        <w:tc>
          <w:tcPr>
            <w:tcW w:w="1784" w:type="dxa"/>
            <w:vAlign w:val="top"/>
            <w:vMerge w:val="restart"/>
            <w:tcBorders>
              <w:bottom w:val="nil"/>
            </w:tcBorders>
          </w:tcPr>
          <w:p>
            <w:pPr>
              <w:spacing w:line="312" w:lineRule="auto"/>
              <w:rPr>
                <w:rFonts w:ascii="Arial"/>
                <w:sz w:val="21"/>
              </w:rPr>
            </w:pPr>
            <w:r/>
          </w:p>
          <w:p>
            <w:pPr>
              <w:spacing w:line="312" w:lineRule="auto"/>
              <w:rPr>
                <w:rFonts w:ascii="Arial"/>
                <w:sz w:val="21"/>
              </w:rPr>
            </w:pPr>
            <w:r/>
          </w:p>
          <w:p>
            <w:pPr>
              <w:pStyle w:val="TableText"/>
              <w:ind w:left="648"/>
              <w:spacing w:before="78" w:line="221" w:lineRule="auto"/>
              <w:rPr/>
            </w:pPr>
            <w:r>
              <w:rPr>
                <w:b/>
                <w:bCs/>
                <w:spacing w:val="-5"/>
              </w:rPr>
              <w:t>较重</w:t>
            </w:r>
          </w:p>
        </w:tc>
        <w:tc>
          <w:tcPr>
            <w:tcW w:w="8104" w:type="dxa"/>
            <w:vAlign w:val="top"/>
          </w:tcPr>
          <w:p>
            <w:pPr>
              <w:pStyle w:val="TableText"/>
              <w:ind w:left="91" w:right="141" w:firstLine="49"/>
              <w:spacing w:before="177" w:line="267" w:lineRule="auto"/>
              <w:rPr/>
            </w:pPr>
            <w:r>
              <w:rPr/>
              <w:t>介绍、组织5名孕妇实施非医学需要的胎儿性别鉴定或者选择性别人工终止</w:t>
            </w:r>
            <w:r>
              <w:rPr>
                <w:spacing w:val="10"/>
              </w:rPr>
              <w:t xml:space="preserve"> </w:t>
            </w:r>
            <w:r>
              <w:rPr>
                <w:spacing w:val="6"/>
              </w:rPr>
              <w:t>妊娠的</w:t>
            </w:r>
          </w:p>
        </w:tc>
        <w:tc>
          <w:tcPr>
            <w:tcW w:w="3982" w:type="dxa"/>
            <w:vAlign w:val="top"/>
          </w:tcPr>
          <w:p>
            <w:pPr>
              <w:pStyle w:val="TableText"/>
              <w:ind w:left="226" w:right="264" w:hanging="10"/>
              <w:spacing w:before="176" w:line="270" w:lineRule="auto"/>
              <w:rPr/>
            </w:pPr>
            <w:r>
              <w:rPr/>
              <w:t>没收违法所得，罚款15000元以上</w:t>
            </w:r>
            <w:r>
              <w:rPr>
                <w:spacing w:val="9"/>
              </w:rPr>
              <w:t xml:space="preserve"> </w:t>
            </w:r>
            <w:r>
              <w:rPr>
                <w:spacing w:val="1"/>
              </w:rPr>
              <w:t>18000元以下</w:t>
            </w:r>
          </w:p>
        </w:tc>
      </w:tr>
      <w:tr>
        <w:trPr>
          <w:trHeight w:val="743" w:hRule="atLeast"/>
        </w:trPr>
        <w:tc>
          <w:tcPr>
            <w:tcW w:w="1784" w:type="dxa"/>
            <w:vAlign w:val="top"/>
            <w:vMerge w:val="continue"/>
            <w:tcBorders>
              <w:top w:val="nil"/>
            </w:tcBorders>
          </w:tcPr>
          <w:p>
            <w:pPr>
              <w:rPr>
                <w:rFonts w:ascii="Arial"/>
                <w:sz w:val="21"/>
              </w:rPr>
            </w:pPr>
            <w:r/>
          </w:p>
        </w:tc>
        <w:tc>
          <w:tcPr>
            <w:tcW w:w="8104" w:type="dxa"/>
            <w:vAlign w:val="top"/>
          </w:tcPr>
          <w:p>
            <w:pPr>
              <w:pStyle w:val="TableText"/>
              <w:ind w:left="104" w:right="158" w:firstLine="40"/>
              <w:spacing w:before="114" w:line="238" w:lineRule="auto"/>
              <w:rPr/>
            </w:pPr>
            <w:r>
              <w:rPr>
                <w:b/>
                <w:bCs/>
                <w:spacing w:val="-3"/>
              </w:rPr>
              <w:t>介绍、组织6名孕妇实施非医学需要的胎儿性别鉴定或者选择性别人工终止</w:t>
            </w:r>
            <w:r>
              <w:rPr>
                <w:spacing w:val="5"/>
              </w:rPr>
              <w:t xml:space="preserve"> </w:t>
            </w:r>
            <w:r>
              <w:rPr>
                <w:b/>
                <w:bCs/>
                <w:spacing w:val="1"/>
              </w:rPr>
              <w:t>妊娠的</w:t>
            </w:r>
          </w:p>
        </w:tc>
        <w:tc>
          <w:tcPr>
            <w:tcW w:w="3982" w:type="dxa"/>
            <w:vAlign w:val="top"/>
          </w:tcPr>
          <w:p>
            <w:pPr>
              <w:pStyle w:val="TableText"/>
              <w:ind w:left="226" w:right="264" w:hanging="10"/>
              <w:spacing w:before="119" w:line="236" w:lineRule="auto"/>
              <w:rPr/>
            </w:pPr>
            <w:r>
              <w:rPr/>
              <w:t>没收违法所得，罚款15000元以上</w:t>
            </w:r>
            <w:r>
              <w:rPr>
                <w:spacing w:val="9"/>
              </w:rPr>
              <w:t xml:space="preserve"> </w:t>
            </w:r>
            <w:r>
              <w:rPr>
                <w:spacing w:val="1"/>
              </w:rPr>
              <w:t>18000元以下</w:t>
            </w:r>
          </w:p>
        </w:tc>
      </w:tr>
    </w:tbl>
    <w:p>
      <w:pPr>
        <w:pStyle w:val="BodyText"/>
        <w:rPr/>
      </w:pPr>
      <w:r/>
    </w:p>
    <w:p>
      <w:pPr>
        <w:sectPr>
          <w:footerReference w:type="default" r:id="rId449"/>
          <w:pgSz w:w="16830" w:h="11900"/>
          <w:pgMar w:top="1011" w:right="1432" w:bottom="1108" w:left="1434" w:header="0" w:footer="775" w:gutter="0"/>
        </w:sectPr>
        <w:rPr/>
      </w:pPr>
    </w:p>
    <w:p>
      <w:pPr>
        <w:spacing w:before="17"/>
        <w:rPr/>
      </w:pPr>
      <w:r/>
    </w:p>
    <w:p>
      <w:pPr>
        <w:spacing w:before="16"/>
        <w:rPr/>
      </w:pPr>
      <w:r/>
    </w:p>
    <w:p>
      <w:pPr>
        <w:spacing w:before="16"/>
        <w:rPr/>
      </w:pPr>
      <w:r/>
    </w:p>
    <w:tbl>
      <w:tblPr>
        <w:tblStyle w:val="TableNormal"/>
        <w:tblW w:w="138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4"/>
        <w:gridCol w:w="8084"/>
        <w:gridCol w:w="3972"/>
      </w:tblGrid>
      <w:tr>
        <w:trPr>
          <w:trHeight w:val="772" w:hRule="atLeast"/>
        </w:trPr>
        <w:tc>
          <w:tcPr>
            <w:tcW w:w="1804" w:type="dxa"/>
            <w:vAlign w:val="top"/>
          </w:tcPr>
          <w:p>
            <w:pPr>
              <w:rPr>
                <w:rFonts w:ascii="Arial"/>
                <w:sz w:val="21"/>
              </w:rPr>
            </w:pPr>
            <w:r/>
          </w:p>
        </w:tc>
        <w:tc>
          <w:tcPr>
            <w:tcW w:w="8084" w:type="dxa"/>
            <w:vAlign w:val="top"/>
          </w:tcPr>
          <w:p>
            <w:pPr>
              <w:pStyle w:val="TableText"/>
              <w:ind w:left="81" w:right="181"/>
              <w:spacing w:before="104" w:line="253" w:lineRule="auto"/>
              <w:rPr/>
            </w:pPr>
            <w:bookmarkStart w:name="bookmark1092" w:id="466"/>
            <w:bookmarkEnd w:id="466"/>
            <w:r>
              <w:rPr/>
              <w:t>介绍、组织7名孕妇实施非医学需要的胎儿性别鉴定或者选择性别人工终止</w:t>
            </w:r>
            <w:r>
              <w:rPr>
                <w:spacing w:val="10"/>
              </w:rPr>
              <w:t xml:space="preserve"> </w:t>
            </w:r>
            <w:r>
              <w:rPr>
                <w:spacing w:val="6"/>
              </w:rPr>
              <w:t>妊娠的</w:t>
            </w:r>
          </w:p>
        </w:tc>
        <w:tc>
          <w:tcPr>
            <w:tcW w:w="3972" w:type="dxa"/>
            <w:vAlign w:val="top"/>
          </w:tcPr>
          <w:p>
            <w:pPr>
              <w:pStyle w:val="TableText"/>
              <w:ind w:left="216" w:right="244" w:firstLine="10"/>
              <w:spacing w:before="114" w:line="249" w:lineRule="auto"/>
              <w:rPr/>
            </w:pPr>
            <w:r>
              <w:rPr/>
              <w:t>没收违法所得，罚款22000元以上</w:t>
            </w:r>
            <w:r>
              <w:rPr>
                <w:spacing w:val="9"/>
              </w:rPr>
              <w:t xml:space="preserve"> </w:t>
            </w:r>
            <w:r>
              <w:rPr>
                <w:spacing w:val="2"/>
              </w:rPr>
              <w:t>25000元以下</w:t>
            </w:r>
          </w:p>
        </w:tc>
      </w:tr>
      <w:tr>
        <w:trPr>
          <w:trHeight w:val="1057" w:hRule="atLeast"/>
        </w:trPr>
        <w:tc>
          <w:tcPr>
            <w:tcW w:w="1804"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pStyle w:val="TableText"/>
              <w:ind w:left="698"/>
              <w:spacing w:before="78" w:line="220" w:lineRule="auto"/>
              <w:rPr/>
            </w:pPr>
            <w:r>
              <w:rPr>
                <w:b/>
                <w:bCs/>
                <w:spacing w:val="-6"/>
              </w:rPr>
              <w:t>严重</w:t>
            </w:r>
          </w:p>
        </w:tc>
        <w:tc>
          <w:tcPr>
            <w:tcW w:w="8084" w:type="dxa"/>
            <w:vAlign w:val="top"/>
          </w:tcPr>
          <w:p>
            <w:pPr>
              <w:pStyle w:val="TableText"/>
              <w:ind w:left="81" w:right="171" w:firstLine="10"/>
              <w:spacing w:before="252" w:line="275" w:lineRule="auto"/>
              <w:rPr/>
            </w:pPr>
            <w:r>
              <w:rPr/>
              <w:t>介绍、组织8名孕妇实施非医学需要的胎儿性别鉴定或者选择性别人工终止</w:t>
            </w:r>
            <w:r>
              <w:rPr>
                <w:spacing w:val="10"/>
              </w:rPr>
              <w:t xml:space="preserve"> </w:t>
            </w:r>
            <w:r>
              <w:rPr>
                <w:spacing w:val="6"/>
              </w:rPr>
              <w:t>妊娠的</w:t>
            </w:r>
          </w:p>
        </w:tc>
        <w:tc>
          <w:tcPr>
            <w:tcW w:w="3972" w:type="dxa"/>
            <w:vAlign w:val="top"/>
          </w:tcPr>
          <w:p>
            <w:pPr>
              <w:pStyle w:val="TableText"/>
              <w:ind w:left="216" w:right="254"/>
              <w:spacing w:before="252" w:line="280" w:lineRule="auto"/>
              <w:rPr/>
            </w:pPr>
            <w:r>
              <w:rPr/>
              <w:t>没收违法所得，罚款15000元以上</w:t>
            </w:r>
            <w:r>
              <w:rPr>
                <w:spacing w:val="9"/>
              </w:rPr>
              <w:t xml:space="preserve"> </w:t>
            </w:r>
            <w:r>
              <w:rPr>
                <w:spacing w:val="1"/>
              </w:rPr>
              <w:t>18000元以下</w:t>
            </w:r>
          </w:p>
        </w:tc>
      </w:tr>
      <w:tr>
        <w:trPr>
          <w:trHeight w:val="688" w:hRule="atLeast"/>
        </w:trPr>
        <w:tc>
          <w:tcPr>
            <w:tcW w:w="1804" w:type="dxa"/>
            <w:vAlign w:val="top"/>
            <w:vMerge w:val="continue"/>
            <w:tcBorders>
              <w:top w:val="nil"/>
              <w:bottom w:val="nil"/>
            </w:tcBorders>
          </w:tcPr>
          <w:p>
            <w:pPr>
              <w:rPr>
                <w:rFonts w:ascii="Arial"/>
                <w:sz w:val="21"/>
              </w:rPr>
            </w:pPr>
            <w:r/>
          </w:p>
        </w:tc>
        <w:tc>
          <w:tcPr>
            <w:tcW w:w="8084" w:type="dxa"/>
            <w:vAlign w:val="top"/>
          </w:tcPr>
          <w:p>
            <w:pPr>
              <w:pStyle w:val="TableText"/>
              <w:ind w:left="81" w:right="181"/>
              <w:spacing w:before="85" w:line="228" w:lineRule="auto"/>
              <w:rPr/>
            </w:pPr>
            <w:r>
              <w:rPr/>
              <w:t>介绍、组织9名孕妇实施非医学需要的胎儿性别鉴定或者选择性别人工终止</w:t>
            </w:r>
            <w:r>
              <w:rPr>
                <w:spacing w:val="10"/>
              </w:rPr>
              <w:t xml:space="preserve"> </w:t>
            </w:r>
            <w:r>
              <w:rPr>
                <w:spacing w:val="6"/>
              </w:rPr>
              <w:t>妊娠的</w:t>
            </w:r>
          </w:p>
        </w:tc>
        <w:tc>
          <w:tcPr>
            <w:tcW w:w="3972" w:type="dxa"/>
            <w:vAlign w:val="top"/>
          </w:tcPr>
          <w:p>
            <w:pPr>
              <w:pStyle w:val="TableText"/>
              <w:ind w:left="216" w:right="254"/>
              <w:spacing w:before="85" w:line="228" w:lineRule="auto"/>
              <w:rPr/>
            </w:pPr>
            <w:r>
              <w:rPr/>
              <w:t>没收违法所得，罚款15000元以上</w:t>
            </w:r>
            <w:r>
              <w:rPr>
                <w:spacing w:val="9"/>
              </w:rPr>
              <w:t xml:space="preserve"> </w:t>
            </w:r>
            <w:r>
              <w:rPr>
                <w:spacing w:val="1"/>
              </w:rPr>
              <w:t>18000元以下</w:t>
            </w:r>
          </w:p>
        </w:tc>
      </w:tr>
      <w:tr>
        <w:trPr>
          <w:trHeight w:val="683" w:hRule="atLeast"/>
        </w:trPr>
        <w:tc>
          <w:tcPr>
            <w:tcW w:w="1804" w:type="dxa"/>
            <w:vAlign w:val="top"/>
            <w:vMerge w:val="continue"/>
            <w:tcBorders>
              <w:top w:val="nil"/>
            </w:tcBorders>
          </w:tcPr>
          <w:p>
            <w:pPr>
              <w:rPr>
                <w:rFonts w:ascii="Arial"/>
                <w:sz w:val="21"/>
              </w:rPr>
            </w:pPr>
            <w:r/>
          </w:p>
        </w:tc>
        <w:tc>
          <w:tcPr>
            <w:tcW w:w="8084" w:type="dxa"/>
            <w:vAlign w:val="top"/>
          </w:tcPr>
          <w:p>
            <w:pPr>
              <w:pStyle w:val="TableText"/>
              <w:ind w:left="81" w:right="312" w:firstLine="10"/>
              <w:spacing w:before="67" w:line="233" w:lineRule="auto"/>
              <w:rPr/>
            </w:pPr>
            <w:r>
              <w:rPr/>
              <w:t>介绍、组织10名以上孕妇实施非医学需要的胎儿</w:t>
            </w:r>
            <w:r>
              <w:rPr>
                <w:spacing w:val="-1"/>
              </w:rPr>
              <w:t>性别鉴定或者选择性别人</w:t>
            </w:r>
            <w:r>
              <w:rPr/>
              <w:t xml:space="preserve"> </w:t>
            </w:r>
            <w:r>
              <w:rPr>
                <w:spacing w:val="3"/>
              </w:rPr>
              <w:t>工终止妊娠的</w:t>
            </w:r>
          </w:p>
        </w:tc>
        <w:tc>
          <w:tcPr>
            <w:tcW w:w="3972" w:type="dxa"/>
            <w:vAlign w:val="top"/>
          </w:tcPr>
          <w:p>
            <w:pPr>
              <w:pStyle w:val="TableText"/>
              <w:ind w:left="216" w:right="244" w:firstLine="10"/>
              <w:spacing w:before="67" w:line="233" w:lineRule="auto"/>
              <w:rPr/>
            </w:pPr>
            <w:r>
              <w:rPr/>
              <w:t>没收违法所得，罚款22000元以上</w:t>
            </w:r>
            <w:r>
              <w:rPr>
                <w:spacing w:val="9"/>
              </w:rPr>
              <w:t xml:space="preserve"> </w:t>
            </w:r>
            <w:r>
              <w:rPr>
                <w:spacing w:val="2"/>
              </w:rPr>
              <w:t>25000元以下</w:t>
            </w:r>
          </w:p>
        </w:tc>
      </w:tr>
    </w:tbl>
    <w:p>
      <w:pPr>
        <w:pStyle w:val="BodyText"/>
        <w:spacing w:line="447" w:lineRule="auto"/>
        <w:rPr/>
      </w:pPr>
      <w:r/>
    </w:p>
    <w:p>
      <w:pPr>
        <w:ind w:left="659"/>
        <w:spacing w:before="97" w:line="220" w:lineRule="auto"/>
        <w:rPr>
          <w:rFonts w:ascii="FangSong" w:hAnsi="FangSong" w:eastAsia="FangSong" w:cs="FangSong"/>
          <w:sz w:val="30"/>
          <w:szCs w:val="30"/>
        </w:rPr>
      </w:pPr>
      <w:r>
        <w:rPr>
          <w:rFonts w:ascii="FangSong" w:hAnsi="FangSong" w:eastAsia="FangSong" w:cs="FangSong"/>
          <w:sz w:val="30"/>
          <w:szCs w:val="30"/>
          <w:b/>
          <w:bCs/>
          <w:spacing w:val="21"/>
        </w:rPr>
        <w:t>第四百二十一条开展新生儿疾病筛查的医疗机构违反《新生儿疾病筛查技术规范》的</w:t>
      </w:r>
    </w:p>
    <w:p>
      <w:pPr>
        <w:ind w:left="645"/>
        <w:spacing w:before="7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5" w:firstLine="619"/>
        <w:spacing w:before="228" w:line="325" w:lineRule="auto"/>
        <w:rPr>
          <w:rFonts w:ascii="FangSong" w:hAnsi="FangSong" w:eastAsia="FangSong" w:cs="FangSong"/>
          <w:sz w:val="30"/>
          <w:szCs w:val="30"/>
        </w:rPr>
      </w:pPr>
      <w:r>
        <w:rPr>
          <w:rFonts w:ascii="FangSong" w:hAnsi="FangSong" w:eastAsia="FangSong" w:cs="FangSong"/>
          <w:sz w:val="30"/>
          <w:szCs w:val="30"/>
          <w:spacing w:val="23"/>
        </w:rPr>
        <w:t>《新生儿疾病筛查管理办法》第十七条第(一)项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开展新生儿疾病筛查的医疗机构违反本办法</w:t>
      </w:r>
      <w:r>
        <w:rPr>
          <w:rFonts w:ascii="FangSong" w:hAnsi="FangSong" w:eastAsia="FangSong" w:cs="FangSong"/>
          <w:sz w:val="30"/>
          <w:szCs w:val="30"/>
          <w:spacing w:val="9"/>
        </w:rPr>
        <w:t xml:space="preserve"> </w:t>
      </w:r>
      <w:r>
        <w:rPr>
          <w:rFonts w:ascii="FangSong" w:hAnsi="FangSong" w:eastAsia="FangSong" w:cs="FangSong"/>
          <w:sz w:val="30"/>
          <w:szCs w:val="30"/>
          <w:spacing w:val="18"/>
        </w:rPr>
        <w:t>规定，有下列行为之一的，由县级以上地方人民政府卫生行政部门责令</w:t>
      </w:r>
      <w:r>
        <w:rPr>
          <w:rFonts w:ascii="FangSong" w:hAnsi="FangSong" w:eastAsia="FangSong" w:cs="FangSong"/>
          <w:sz w:val="30"/>
          <w:szCs w:val="30"/>
          <w:spacing w:val="17"/>
        </w:rPr>
        <w:t>改正，通报批评，给予警告：</w:t>
      </w:r>
    </w:p>
    <w:p>
      <w:pPr>
        <w:ind w:left="145"/>
        <w:spacing w:before="4" w:line="222" w:lineRule="auto"/>
        <w:rPr>
          <w:rFonts w:ascii="FangSong" w:hAnsi="FangSong" w:eastAsia="FangSong" w:cs="FangSong"/>
          <w:sz w:val="30"/>
          <w:szCs w:val="30"/>
        </w:rPr>
      </w:pPr>
      <w:r>
        <w:rPr>
          <w:rFonts w:ascii="FangSong" w:hAnsi="FangSong" w:eastAsia="FangSong" w:cs="FangSong"/>
          <w:sz w:val="30"/>
          <w:szCs w:val="30"/>
          <w:spacing w:val="24"/>
        </w:rPr>
        <w:t>(一)违反《新生儿疾病筛查技术规范》的；</w:t>
      </w:r>
    </w:p>
    <w:p>
      <w:pPr>
        <w:ind w:left="6419" w:right="300" w:hanging="5774"/>
        <w:spacing w:before="228" w:line="392" w:lineRule="auto"/>
        <w:rPr>
          <w:rFonts w:ascii="SimHei" w:hAnsi="SimHei" w:eastAsia="SimHei" w:cs="SimHei"/>
          <w:sz w:val="30"/>
          <w:szCs w:val="30"/>
        </w:rPr>
      </w:pPr>
      <w:r>
        <w:rPr>
          <w:rFonts w:ascii="FangSong" w:hAnsi="FangSong" w:eastAsia="FangSong" w:cs="FangSong"/>
          <w:sz w:val="30"/>
          <w:szCs w:val="30"/>
          <w:spacing w:val="25"/>
        </w:rPr>
        <w:t>《医疗纠纷预防和处理条例》第四十七条第(九)项</w:t>
      </w:r>
      <w:r>
        <w:rPr>
          <w:rFonts w:ascii="FangSong" w:hAnsi="FangSong" w:eastAsia="FangSong" w:cs="FangSong"/>
          <w:sz w:val="30"/>
          <w:szCs w:val="30"/>
          <w:spacing w:val="25"/>
        </w:rPr>
        <w:t xml:space="preserve">  </w:t>
      </w:r>
      <w:r>
        <w:rPr>
          <w:rFonts w:ascii="FangSong" w:hAnsi="FangSong" w:eastAsia="FangSong" w:cs="FangSong"/>
          <w:sz w:val="30"/>
          <w:szCs w:val="30"/>
          <w:spacing w:val="25"/>
        </w:rPr>
        <w:t>其他未履行本条例规定的义务的情</w:t>
      </w:r>
      <w:r>
        <w:rPr>
          <w:rFonts w:ascii="FangSong" w:hAnsi="FangSong" w:eastAsia="FangSong" w:cs="FangSong"/>
          <w:sz w:val="30"/>
          <w:szCs w:val="30"/>
          <w:spacing w:val="24"/>
        </w:rPr>
        <w:t>形。</w:t>
      </w:r>
      <w:r>
        <w:rPr>
          <w:rFonts w:ascii="FangSong" w:hAnsi="FangSong" w:eastAsia="FangSong" w:cs="FangSong"/>
          <w:sz w:val="30"/>
          <w:szCs w:val="30"/>
        </w:rPr>
        <w:t xml:space="preserve"> </w:t>
      </w:r>
      <w:r>
        <w:rPr>
          <w:rFonts w:ascii="SimHei" w:hAnsi="SimHei" w:eastAsia="SimHei" w:cs="SimHei"/>
          <w:sz w:val="30"/>
          <w:szCs w:val="30"/>
          <w:b/>
          <w:bCs/>
          <w:spacing w:val="-17"/>
        </w:rPr>
        <w:t>裁量标准</w:t>
      </w:r>
    </w:p>
    <w:p>
      <w:pPr>
        <w:spacing w:line="392" w:lineRule="auto"/>
        <w:sectPr>
          <w:footerReference w:type="default" r:id="rId450"/>
          <w:pgSz w:w="16830" w:h="11900"/>
          <w:pgMar w:top="1011" w:right="1399" w:bottom="1108" w:left="1434" w:header="0" w:footer="775" w:gutter="0"/>
        </w:sectPr>
        <w:rPr>
          <w:rFonts w:ascii="SimHei" w:hAnsi="SimHei" w:eastAsia="SimHei" w:cs="SimHei"/>
          <w:sz w:val="30"/>
          <w:szCs w:val="30"/>
        </w:rPr>
      </w:pPr>
    </w:p>
    <w:p>
      <w:pPr>
        <w:spacing w:before="60"/>
        <w:rPr/>
      </w:pPr>
      <w:r/>
    </w:p>
    <w:p>
      <w:pPr>
        <w:spacing w:before="59"/>
        <w:rPr/>
      </w:pPr>
      <w:r/>
    </w:p>
    <w:p>
      <w:pPr>
        <w:spacing w:before="59"/>
        <w:rPr/>
      </w:pPr>
      <w:r/>
    </w:p>
    <w:p>
      <w:pPr>
        <w:spacing w:before="59"/>
        <w:rPr/>
      </w:pPr>
      <w:r/>
    </w:p>
    <w:tbl>
      <w:tblPr>
        <w:tblStyle w:val="TableNormal"/>
        <w:tblW w:w="136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54"/>
        <w:gridCol w:w="5696"/>
        <w:gridCol w:w="6010"/>
      </w:tblGrid>
      <w:tr>
        <w:trPr>
          <w:trHeight w:val="653" w:hRule="atLeast"/>
        </w:trPr>
        <w:tc>
          <w:tcPr>
            <w:tcW w:w="1954" w:type="dxa"/>
            <w:vAlign w:val="top"/>
          </w:tcPr>
          <w:p>
            <w:pPr>
              <w:pStyle w:val="TableText"/>
              <w:ind w:left="468"/>
              <w:spacing w:before="202" w:line="220" w:lineRule="auto"/>
              <w:rPr>
                <w:sz w:val="25"/>
                <w:szCs w:val="25"/>
              </w:rPr>
            </w:pPr>
            <w:bookmarkStart w:name="bookmark1093" w:id="467"/>
            <w:bookmarkEnd w:id="467"/>
            <w:r>
              <w:rPr>
                <w:sz w:val="25"/>
                <w:szCs w:val="25"/>
                <w:b/>
                <w:bCs/>
                <w:spacing w:val="-5"/>
              </w:rPr>
              <w:t>违法程度</w:t>
            </w:r>
          </w:p>
        </w:tc>
        <w:tc>
          <w:tcPr>
            <w:tcW w:w="5696" w:type="dxa"/>
            <w:vAlign w:val="top"/>
          </w:tcPr>
          <w:p>
            <w:pPr>
              <w:pStyle w:val="TableText"/>
              <w:ind w:left="2344"/>
              <w:spacing w:before="242" w:line="220" w:lineRule="auto"/>
              <w:rPr>
                <w:sz w:val="25"/>
                <w:szCs w:val="25"/>
              </w:rPr>
            </w:pPr>
            <w:r>
              <w:rPr>
                <w:sz w:val="25"/>
                <w:szCs w:val="25"/>
                <w:b/>
                <w:bCs/>
                <w:spacing w:val="-5"/>
              </w:rPr>
              <w:t>情节后果</w:t>
            </w:r>
          </w:p>
        </w:tc>
        <w:tc>
          <w:tcPr>
            <w:tcW w:w="6010" w:type="dxa"/>
            <w:vAlign w:val="top"/>
          </w:tcPr>
          <w:p>
            <w:pPr>
              <w:pStyle w:val="TableText"/>
              <w:ind w:left="2498"/>
              <w:spacing w:before="239" w:line="218" w:lineRule="auto"/>
              <w:rPr>
                <w:sz w:val="25"/>
                <w:szCs w:val="25"/>
              </w:rPr>
            </w:pPr>
            <w:r>
              <w:rPr>
                <w:sz w:val="25"/>
                <w:szCs w:val="25"/>
                <w:b/>
                <w:bCs/>
                <w:spacing w:val="-5"/>
              </w:rPr>
              <w:t>裁量幅度</w:t>
            </w:r>
          </w:p>
        </w:tc>
      </w:tr>
      <w:tr>
        <w:trPr>
          <w:trHeight w:val="2357" w:hRule="atLeast"/>
        </w:trPr>
        <w:tc>
          <w:tcPr>
            <w:tcW w:w="1954"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718"/>
              <w:spacing w:before="82" w:line="221" w:lineRule="auto"/>
              <w:rPr>
                <w:sz w:val="25"/>
                <w:szCs w:val="25"/>
              </w:rPr>
            </w:pPr>
            <w:r>
              <w:rPr>
                <w:sz w:val="25"/>
                <w:szCs w:val="25"/>
                <w:b/>
                <w:bCs/>
                <w:spacing w:val="-10"/>
              </w:rPr>
              <w:t>一般</w:t>
            </w:r>
          </w:p>
        </w:tc>
        <w:tc>
          <w:tcPr>
            <w:tcW w:w="5696" w:type="dxa"/>
            <w:vAlign w:val="top"/>
          </w:tcPr>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TableText"/>
              <w:ind w:left="124" w:hanging="110"/>
              <w:spacing w:before="81" w:line="254" w:lineRule="auto"/>
              <w:rPr>
                <w:sz w:val="25"/>
                <w:szCs w:val="25"/>
              </w:rPr>
            </w:pPr>
            <w:r>
              <w:rPr>
                <w:sz w:val="25"/>
                <w:szCs w:val="25"/>
                <w:b/>
                <w:bCs/>
                <w:spacing w:val="-6"/>
              </w:rPr>
              <w:t>开展新生儿疾病筛查的医疗机构违反《新生儿疾</w:t>
            </w:r>
            <w:r>
              <w:rPr>
                <w:sz w:val="25"/>
                <w:szCs w:val="25"/>
                <w:b/>
                <w:bCs/>
                <w:spacing w:val="-7"/>
              </w:rPr>
              <w:t>病筛</w:t>
            </w:r>
            <w:r>
              <w:rPr>
                <w:sz w:val="25"/>
                <w:szCs w:val="25"/>
              </w:rPr>
              <w:t xml:space="preserve"> </w:t>
            </w:r>
            <w:r>
              <w:rPr>
                <w:sz w:val="25"/>
                <w:szCs w:val="25"/>
                <w:b/>
                <w:bCs/>
                <w:spacing w:val="-2"/>
              </w:rPr>
              <w:t>查技术规范》的</w:t>
            </w:r>
          </w:p>
        </w:tc>
        <w:tc>
          <w:tcPr>
            <w:tcW w:w="6010" w:type="dxa"/>
            <w:vAlign w:val="top"/>
          </w:tcPr>
          <w:p>
            <w:pPr>
              <w:pStyle w:val="TableText"/>
              <w:spacing w:before="57" w:line="219" w:lineRule="auto"/>
              <w:jc w:val="right"/>
              <w:rPr>
                <w:sz w:val="25"/>
                <w:szCs w:val="25"/>
              </w:rPr>
            </w:pPr>
            <w:r>
              <w:rPr>
                <w:sz w:val="25"/>
                <w:szCs w:val="25"/>
                <w:b/>
                <w:bCs/>
                <w:spacing w:val="-9"/>
              </w:rPr>
              <w:t>由县级以上地方人民政府卫生行政部门责令改正，通报</w:t>
            </w:r>
          </w:p>
          <w:p>
            <w:pPr>
              <w:pStyle w:val="TableText"/>
              <w:spacing w:before="42" w:line="218" w:lineRule="auto"/>
              <w:jc w:val="right"/>
              <w:rPr>
                <w:sz w:val="25"/>
                <w:szCs w:val="25"/>
              </w:rPr>
            </w:pPr>
            <w:r>
              <w:rPr>
                <w:sz w:val="25"/>
                <w:szCs w:val="25"/>
                <w:b/>
                <w:bCs/>
                <w:spacing w:val="-4"/>
              </w:rPr>
              <w:t>批评，给予警告；由县级以上人民政府卫生主管部门责</w:t>
            </w:r>
          </w:p>
          <w:p>
            <w:pPr>
              <w:pStyle w:val="TableText"/>
              <w:ind w:right="3"/>
              <w:spacing w:before="44" w:line="218" w:lineRule="auto"/>
              <w:jc w:val="right"/>
              <w:rPr>
                <w:sz w:val="25"/>
                <w:szCs w:val="25"/>
              </w:rPr>
            </w:pPr>
            <w:r>
              <w:rPr>
                <w:sz w:val="25"/>
                <w:szCs w:val="25"/>
                <w:b/>
                <w:bCs/>
                <w:spacing w:val="2"/>
              </w:rPr>
              <w:t>令改正，给予警告，并处1万元以上5万元以下罚款；</w:t>
            </w:r>
          </w:p>
          <w:p>
            <w:pPr>
              <w:pStyle w:val="TableText"/>
              <w:spacing w:before="47" w:line="219" w:lineRule="auto"/>
              <w:jc w:val="right"/>
              <w:rPr>
                <w:sz w:val="25"/>
                <w:szCs w:val="25"/>
              </w:rPr>
            </w:pPr>
            <w:r>
              <w:rPr>
                <w:sz w:val="25"/>
                <w:szCs w:val="25"/>
                <w:b/>
                <w:bCs/>
                <w:spacing w:val="-4"/>
              </w:rPr>
              <w:t>情节严重的，对直接负责的主管人员和其他直接责任人</w:t>
            </w:r>
          </w:p>
          <w:p>
            <w:pPr>
              <w:pStyle w:val="TableText"/>
              <w:spacing w:before="41" w:line="219" w:lineRule="auto"/>
              <w:jc w:val="right"/>
              <w:rPr>
                <w:sz w:val="25"/>
                <w:szCs w:val="25"/>
              </w:rPr>
            </w:pPr>
            <w:r>
              <w:rPr>
                <w:sz w:val="25"/>
                <w:szCs w:val="25"/>
                <w:b/>
                <w:bCs/>
                <w:spacing w:val="-9"/>
              </w:rPr>
              <w:t>员给予或者责令给予降低岗位等级或者撤职的处分，对</w:t>
            </w:r>
          </w:p>
          <w:p>
            <w:pPr>
              <w:pStyle w:val="TableText"/>
              <w:ind w:left="128"/>
              <w:spacing w:before="44" w:line="219" w:lineRule="auto"/>
              <w:rPr>
                <w:sz w:val="25"/>
                <w:szCs w:val="25"/>
              </w:rPr>
            </w:pPr>
            <w:r>
              <w:rPr>
                <w:sz w:val="25"/>
                <w:szCs w:val="25"/>
                <w:b/>
                <w:bCs/>
                <w:spacing w:val="-3"/>
              </w:rPr>
              <w:t>有关医务人员可以责令暂停1个月以上6个月以</w:t>
            </w:r>
            <w:r>
              <w:rPr>
                <w:sz w:val="25"/>
                <w:szCs w:val="25"/>
                <w:b/>
                <w:bCs/>
                <w:spacing w:val="-4"/>
              </w:rPr>
              <w:t>下执业</w:t>
            </w:r>
          </w:p>
          <w:p>
            <w:pPr>
              <w:pStyle w:val="TableText"/>
              <w:ind w:left="128"/>
              <w:spacing w:before="23" w:line="199" w:lineRule="auto"/>
              <w:rPr>
                <w:sz w:val="25"/>
                <w:szCs w:val="25"/>
              </w:rPr>
            </w:pPr>
            <w:r>
              <w:rPr>
                <w:sz w:val="25"/>
                <w:szCs w:val="25"/>
                <w:b/>
                <w:bCs/>
                <w:spacing w:val="-4"/>
              </w:rPr>
              <w:t>活动；构成犯罪的，依法追究刑事责任</w:t>
            </w:r>
          </w:p>
        </w:tc>
      </w:tr>
    </w:tbl>
    <w:p>
      <w:pPr>
        <w:ind w:left="669"/>
        <w:spacing w:before="107" w:line="220" w:lineRule="auto"/>
        <w:rPr>
          <w:rFonts w:ascii="FangSong" w:hAnsi="FangSong" w:eastAsia="FangSong" w:cs="FangSong"/>
          <w:sz w:val="30"/>
          <w:szCs w:val="30"/>
        </w:rPr>
      </w:pPr>
      <w:r>
        <w:rPr>
          <w:rFonts w:ascii="FangSong" w:hAnsi="FangSong" w:eastAsia="FangSong" w:cs="FangSong"/>
          <w:sz w:val="30"/>
          <w:szCs w:val="30"/>
          <w:b/>
          <w:bCs/>
          <w:spacing w:val="21"/>
        </w:rPr>
        <w:t>第四百二十二条开展新生儿疾病筛查的医疗机构未履行告知程序擅自进行新生儿疾病筛查的</w:t>
      </w:r>
    </w:p>
    <w:p>
      <w:pPr>
        <w:ind w:left="654"/>
        <w:spacing w:before="8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5" w:firstLine="619"/>
        <w:spacing w:before="210" w:line="319" w:lineRule="auto"/>
        <w:jc w:val="both"/>
        <w:rPr>
          <w:rFonts w:ascii="FangSong" w:hAnsi="FangSong" w:eastAsia="FangSong" w:cs="FangSong"/>
          <w:sz w:val="30"/>
          <w:szCs w:val="30"/>
        </w:rPr>
      </w:pPr>
      <w:r>
        <w:rPr>
          <w:rFonts w:ascii="FangSong" w:hAnsi="FangSong" w:eastAsia="FangSong" w:cs="FangSong"/>
          <w:sz w:val="30"/>
          <w:szCs w:val="30"/>
          <w:spacing w:val="23"/>
        </w:rPr>
        <w:t>《新生儿疾病筛查管理办法》第十七条第(二)项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开展新生儿疾病筛查的医疗机构违反本办法</w:t>
      </w:r>
      <w:r>
        <w:rPr>
          <w:rFonts w:ascii="FangSong" w:hAnsi="FangSong" w:eastAsia="FangSong" w:cs="FangSong"/>
          <w:sz w:val="30"/>
          <w:szCs w:val="30"/>
          <w:spacing w:val="9"/>
        </w:rPr>
        <w:t xml:space="preserve"> </w:t>
      </w:r>
      <w:r>
        <w:rPr>
          <w:rFonts w:ascii="FangSong" w:hAnsi="FangSong" w:eastAsia="FangSong" w:cs="FangSong"/>
          <w:sz w:val="30"/>
          <w:szCs w:val="30"/>
          <w:spacing w:val="18"/>
        </w:rPr>
        <w:t>规定，有下列行为之一的，由县级以上地方人民政府卫生行政部门责令</w:t>
      </w:r>
      <w:r>
        <w:rPr>
          <w:rFonts w:ascii="FangSong" w:hAnsi="FangSong" w:eastAsia="FangSong" w:cs="FangSong"/>
          <w:sz w:val="30"/>
          <w:szCs w:val="30"/>
          <w:spacing w:val="17"/>
        </w:rPr>
        <w:t>改正，通报批评，给予警告：</w:t>
      </w:r>
      <w:r>
        <w:rPr>
          <w:rFonts w:ascii="FangSong" w:hAnsi="FangSong" w:eastAsia="FangSong" w:cs="FangSong"/>
          <w:sz w:val="30"/>
          <w:szCs w:val="30"/>
        </w:rPr>
        <w:t xml:space="preserve"> </w:t>
      </w:r>
      <w:r>
        <w:rPr>
          <w:rFonts w:ascii="FangSong" w:hAnsi="FangSong" w:eastAsia="FangSong" w:cs="FangSong"/>
          <w:sz w:val="30"/>
          <w:szCs w:val="30"/>
          <w:spacing w:val="14"/>
        </w:rPr>
        <w:t>未履行告知程序擅自进行新生儿疾病筛查的；</w:t>
      </w:r>
    </w:p>
    <w:p>
      <w:pPr>
        <w:ind w:left="645"/>
        <w:spacing w:before="110" w:line="221" w:lineRule="auto"/>
        <w:rPr>
          <w:rFonts w:ascii="FangSong" w:hAnsi="FangSong" w:eastAsia="FangSong" w:cs="FangSong"/>
          <w:sz w:val="30"/>
          <w:szCs w:val="30"/>
        </w:rPr>
      </w:pPr>
      <w:r>
        <w:rPr>
          <w:rFonts w:ascii="FangSong" w:hAnsi="FangSong" w:eastAsia="FangSong" w:cs="FangSong"/>
          <w:sz w:val="30"/>
          <w:szCs w:val="30"/>
          <w:spacing w:val="25"/>
        </w:rPr>
        <w:t>《医疗纠纷预防和处理条例》第四十七条第(九)项</w:t>
      </w:r>
      <w:r>
        <w:rPr>
          <w:rFonts w:ascii="FangSong" w:hAnsi="FangSong" w:eastAsia="FangSong" w:cs="FangSong"/>
          <w:sz w:val="30"/>
          <w:szCs w:val="30"/>
          <w:spacing w:val="25"/>
        </w:rPr>
        <w:t xml:space="preserve">  </w:t>
      </w:r>
      <w:r>
        <w:rPr>
          <w:rFonts w:ascii="FangSong" w:hAnsi="FangSong" w:eastAsia="FangSong" w:cs="FangSong"/>
          <w:sz w:val="30"/>
          <w:szCs w:val="30"/>
          <w:spacing w:val="25"/>
        </w:rPr>
        <w:t>其他未履行本条例规定的义务的情形。</w:t>
      </w:r>
    </w:p>
    <w:p>
      <w:pPr>
        <w:pStyle w:val="BodyText"/>
        <w:spacing w:line="258" w:lineRule="auto"/>
        <w:rPr/>
      </w:pPr>
      <w:r/>
    </w:p>
    <w:p>
      <w:pPr>
        <w:pStyle w:val="BodyText"/>
        <w:spacing w:line="259" w:lineRule="auto"/>
        <w:rPr/>
      </w:pPr>
      <w:r/>
    </w:p>
    <w:p>
      <w:pPr>
        <w:pStyle w:val="BodyText"/>
        <w:spacing w:line="259" w:lineRule="auto"/>
        <w:rPr/>
      </w:pPr>
      <w:r/>
    </w:p>
    <w:p>
      <w:pPr>
        <w:ind w:left="6419"/>
        <w:spacing w:before="98" w:line="221" w:lineRule="auto"/>
        <w:rPr>
          <w:rFonts w:ascii="SimHei" w:hAnsi="SimHei" w:eastAsia="SimHei" w:cs="SimHei"/>
          <w:sz w:val="30"/>
          <w:szCs w:val="30"/>
        </w:rPr>
      </w:pPr>
      <w:r>
        <w:rPr>
          <w:rFonts w:ascii="SimHei" w:hAnsi="SimHei" w:eastAsia="SimHei" w:cs="SimHei"/>
          <w:sz w:val="30"/>
          <w:szCs w:val="30"/>
          <w:b/>
          <w:bCs/>
          <w:spacing w:val="-17"/>
        </w:rPr>
        <w:t>裁量标准</w:t>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ind w:left="6345"/>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6"/>
          <w:w w:val="98"/>
        </w:rPr>
        <w:t>—494—</w:t>
      </w:r>
    </w:p>
    <w:p>
      <w:pPr>
        <w:spacing w:line="188" w:lineRule="auto"/>
        <w:sectPr>
          <w:footerReference w:type="default" r:id="rId24"/>
          <w:pgSz w:w="16830" w:h="11900"/>
          <w:pgMar w:top="1011" w:right="1399" w:bottom="400" w:left="1434" w:header="0" w:footer="0" w:gutter="0"/>
        </w:sectPr>
        <w:rPr>
          <w:rFonts w:ascii="Times New Roman" w:hAnsi="Times New Roman" w:eastAsia="Times New Roman" w:cs="Times New Roman"/>
          <w:sz w:val="37"/>
          <w:szCs w:val="37"/>
        </w:rPr>
      </w:pPr>
    </w:p>
    <w:p>
      <w:pPr>
        <w:spacing w:before="17"/>
        <w:rPr/>
      </w:pPr>
      <w:r/>
    </w:p>
    <w:p>
      <w:pPr>
        <w:spacing w:before="16"/>
        <w:rPr/>
      </w:pPr>
      <w:r/>
    </w:p>
    <w:p>
      <w:pPr>
        <w:spacing w:before="16"/>
        <w:rPr/>
      </w:pPr>
      <w:r/>
    </w:p>
    <w:tbl>
      <w:tblPr>
        <w:tblStyle w:val="TableNormal"/>
        <w:tblW w:w="136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53"/>
        <w:gridCol w:w="5726"/>
        <w:gridCol w:w="6010"/>
      </w:tblGrid>
      <w:tr>
        <w:trPr>
          <w:trHeight w:val="622" w:hRule="atLeast"/>
        </w:trPr>
        <w:tc>
          <w:tcPr>
            <w:tcW w:w="1953" w:type="dxa"/>
            <w:vAlign w:val="top"/>
          </w:tcPr>
          <w:p>
            <w:pPr>
              <w:pStyle w:val="TableText"/>
              <w:ind w:left="468"/>
              <w:spacing w:before="192" w:line="220" w:lineRule="auto"/>
              <w:rPr>
                <w:sz w:val="25"/>
                <w:szCs w:val="25"/>
              </w:rPr>
            </w:pPr>
            <w:bookmarkStart w:name="bookmark1094" w:id="468"/>
            <w:bookmarkEnd w:id="468"/>
            <w:r>
              <w:rPr>
                <w:sz w:val="25"/>
                <w:szCs w:val="25"/>
                <w:b/>
                <w:bCs/>
                <w:spacing w:val="-5"/>
              </w:rPr>
              <w:t>违法程度</w:t>
            </w:r>
          </w:p>
        </w:tc>
        <w:tc>
          <w:tcPr>
            <w:tcW w:w="5726" w:type="dxa"/>
            <w:vAlign w:val="top"/>
          </w:tcPr>
          <w:p>
            <w:pPr>
              <w:pStyle w:val="TableText"/>
              <w:ind w:left="2505"/>
              <w:spacing w:before="232" w:line="220" w:lineRule="auto"/>
              <w:rPr>
                <w:sz w:val="25"/>
                <w:szCs w:val="25"/>
              </w:rPr>
            </w:pPr>
            <w:r>
              <w:rPr>
                <w:sz w:val="25"/>
                <w:szCs w:val="25"/>
                <w:b/>
                <w:bCs/>
                <w:spacing w:val="-5"/>
              </w:rPr>
              <w:t>情节后果</w:t>
            </w:r>
          </w:p>
        </w:tc>
        <w:tc>
          <w:tcPr>
            <w:tcW w:w="6010" w:type="dxa"/>
            <w:vAlign w:val="top"/>
          </w:tcPr>
          <w:p>
            <w:pPr>
              <w:pStyle w:val="TableText"/>
              <w:ind w:left="2499"/>
              <w:spacing w:before="229" w:line="218" w:lineRule="auto"/>
              <w:rPr>
                <w:sz w:val="25"/>
                <w:szCs w:val="25"/>
              </w:rPr>
            </w:pPr>
            <w:r>
              <w:rPr>
                <w:sz w:val="25"/>
                <w:szCs w:val="25"/>
                <w:b/>
                <w:bCs/>
                <w:spacing w:val="-5"/>
              </w:rPr>
              <w:t>裁量幅度</w:t>
            </w:r>
          </w:p>
        </w:tc>
      </w:tr>
      <w:tr>
        <w:trPr>
          <w:trHeight w:val="2377" w:hRule="atLeast"/>
        </w:trPr>
        <w:tc>
          <w:tcPr>
            <w:tcW w:w="1953" w:type="dxa"/>
            <w:vAlign w:val="top"/>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718"/>
              <w:spacing w:before="82" w:line="221" w:lineRule="auto"/>
              <w:rPr>
                <w:sz w:val="25"/>
                <w:szCs w:val="25"/>
              </w:rPr>
            </w:pPr>
            <w:r>
              <w:rPr>
                <w:sz w:val="25"/>
                <w:szCs w:val="25"/>
                <w:b/>
                <w:bCs/>
                <w:spacing w:val="-10"/>
              </w:rPr>
              <w:t>一般</w:t>
            </w:r>
          </w:p>
        </w:tc>
        <w:tc>
          <w:tcPr>
            <w:tcW w:w="5726" w:type="dxa"/>
            <w:vAlign w:val="top"/>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pStyle w:val="TableText"/>
              <w:ind w:left="125" w:right="101"/>
              <w:spacing w:before="81" w:line="247" w:lineRule="auto"/>
              <w:rPr>
                <w:sz w:val="25"/>
                <w:szCs w:val="25"/>
              </w:rPr>
            </w:pPr>
            <w:r>
              <w:rPr>
                <w:sz w:val="25"/>
                <w:szCs w:val="25"/>
                <w:b/>
                <w:bCs/>
                <w:spacing w:val="-4"/>
              </w:rPr>
              <w:t>开展新生儿疾病筛查的医疗机构未履行告知程序擅</w:t>
            </w:r>
            <w:r>
              <w:rPr>
                <w:sz w:val="25"/>
                <w:szCs w:val="25"/>
                <w:spacing w:val="18"/>
              </w:rPr>
              <w:t xml:space="preserve"> </w:t>
            </w:r>
            <w:r>
              <w:rPr>
                <w:sz w:val="25"/>
                <w:szCs w:val="25"/>
                <w:b/>
                <w:bCs/>
                <w:spacing w:val="-2"/>
              </w:rPr>
              <w:t>自进行新生儿疾病筛查的</w:t>
            </w:r>
          </w:p>
        </w:tc>
        <w:tc>
          <w:tcPr>
            <w:tcW w:w="6010" w:type="dxa"/>
            <w:vAlign w:val="top"/>
          </w:tcPr>
          <w:p>
            <w:pPr>
              <w:pStyle w:val="TableText"/>
              <w:ind w:left="19"/>
              <w:spacing w:before="82" w:line="241" w:lineRule="auto"/>
              <w:rPr>
                <w:sz w:val="25"/>
                <w:szCs w:val="25"/>
              </w:rPr>
            </w:pPr>
            <w:r>
              <w:rPr>
                <w:sz w:val="25"/>
                <w:szCs w:val="25"/>
                <w:b/>
                <w:bCs/>
                <w:spacing w:val="-5"/>
              </w:rPr>
              <w:t>由县级以上地方人民政府卫生行政部门责令改正，通报</w:t>
            </w:r>
            <w:r>
              <w:rPr>
                <w:sz w:val="25"/>
                <w:szCs w:val="25"/>
                <w:spacing w:val="5"/>
              </w:rPr>
              <w:t xml:space="preserve"> </w:t>
            </w:r>
            <w:r>
              <w:rPr>
                <w:sz w:val="25"/>
                <w:szCs w:val="25"/>
                <w:b/>
                <w:bCs/>
                <w:spacing w:val="-4"/>
              </w:rPr>
              <w:t>批评，给予警告；由县级以上人民政府卫生主管部门责</w:t>
            </w:r>
            <w:r>
              <w:rPr>
                <w:sz w:val="25"/>
                <w:szCs w:val="25"/>
                <w:spacing w:val="12"/>
              </w:rPr>
              <w:t xml:space="preserve"> </w:t>
            </w:r>
            <w:r>
              <w:rPr>
                <w:sz w:val="25"/>
                <w:szCs w:val="25"/>
                <w:b/>
                <w:bCs/>
                <w:spacing w:val="6"/>
              </w:rPr>
              <w:t>令改正，给予警告，并处1万元以上5万元以下罚款；</w:t>
            </w:r>
            <w:r>
              <w:rPr>
                <w:sz w:val="25"/>
                <w:szCs w:val="25"/>
              </w:rPr>
              <w:t xml:space="preserve"> </w:t>
            </w:r>
            <w:r>
              <w:rPr>
                <w:sz w:val="25"/>
                <w:szCs w:val="25"/>
                <w:b/>
                <w:bCs/>
                <w:spacing w:val="-4"/>
              </w:rPr>
              <w:t>情节严重的，对直接负责的主管人员和其他直接责任人</w:t>
            </w:r>
            <w:r>
              <w:rPr>
                <w:sz w:val="25"/>
                <w:szCs w:val="25"/>
                <w:spacing w:val="10"/>
              </w:rPr>
              <w:t xml:space="preserve"> </w:t>
            </w:r>
            <w:r>
              <w:rPr>
                <w:sz w:val="25"/>
                <w:szCs w:val="25"/>
                <w:b/>
                <w:bCs/>
                <w:spacing w:val="-5"/>
              </w:rPr>
              <w:t>员给予或者责令给予降低岗位等级或者撤职的处分，对</w:t>
            </w:r>
            <w:r>
              <w:rPr>
                <w:sz w:val="25"/>
                <w:szCs w:val="25"/>
                <w:spacing w:val="18"/>
              </w:rPr>
              <w:t xml:space="preserve"> </w:t>
            </w:r>
            <w:r>
              <w:rPr>
                <w:sz w:val="25"/>
                <w:szCs w:val="25"/>
                <w:b/>
                <w:bCs/>
              </w:rPr>
              <w:t>有关医务人员可以责令暂停1个月以上6个月以下执业</w:t>
            </w:r>
            <w:r>
              <w:rPr>
                <w:sz w:val="25"/>
                <w:szCs w:val="25"/>
                <w:spacing w:val="7"/>
              </w:rPr>
              <w:t xml:space="preserve">  </w:t>
            </w:r>
            <w:r>
              <w:rPr>
                <w:sz w:val="25"/>
                <w:szCs w:val="25"/>
                <w:b/>
                <w:bCs/>
                <w:spacing w:val="2"/>
              </w:rPr>
              <w:t>活动；构成犯罪的，依法追究刑事责任</w:t>
            </w:r>
          </w:p>
        </w:tc>
      </w:tr>
    </w:tbl>
    <w:p>
      <w:pPr>
        <w:pStyle w:val="BodyText"/>
        <w:spacing w:line="466" w:lineRule="auto"/>
        <w:rPr/>
      </w:pPr>
      <w:r/>
    </w:p>
    <w:p>
      <w:pPr>
        <w:ind w:left="67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第四百二十三条开展新生儿疾病筛查的医疗机构未按规定进行实验室质量监测、检查的</w:t>
      </w:r>
    </w:p>
    <w:p>
      <w:pPr>
        <w:ind w:left="654"/>
        <w:spacing w:before="10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firstLine="619"/>
        <w:spacing w:before="67" w:line="270" w:lineRule="auto"/>
        <w:rPr>
          <w:rFonts w:ascii="FangSong" w:hAnsi="FangSong" w:eastAsia="FangSong" w:cs="FangSong"/>
          <w:sz w:val="30"/>
          <w:szCs w:val="30"/>
        </w:rPr>
      </w:pPr>
      <w:r>
        <w:rPr>
          <w:rFonts w:ascii="FangSong" w:hAnsi="FangSong" w:eastAsia="FangSong" w:cs="FangSong"/>
          <w:sz w:val="30"/>
          <w:szCs w:val="30"/>
          <w:spacing w:val="23"/>
        </w:rPr>
        <w:t>《新生儿疾病筛查管理办法》第十七条第(三)项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开展新生儿疾病筛查的医疗机构违反本办法</w:t>
      </w:r>
      <w:r>
        <w:rPr>
          <w:rFonts w:ascii="FangSong" w:hAnsi="FangSong" w:eastAsia="FangSong" w:cs="FangSong"/>
          <w:sz w:val="30"/>
          <w:szCs w:val="30"/>
          <w:spacing w:val="9"/>
        </w:rPr>
        <w:t xml:space="preserve"> </w:t>
      </w:r>
      <w:r>
        <w:rPr>
          <w:rFonts w:ascii="FangSong" w:hAnsi="FangSong" w:eastAsia="FangSong" w:cs="FangSong"/>
          <w:sz w:val="30"/>
          <w:szCs w:val="30"/>
          <w:spacing w:val="18"/>
        </w:rPr>
        <w:t>规定，有下列行为之一的，由县级以上地方人民政府卫生行政部门责令</w:t>
      </w:r>
      <w:r>
        <w:rPr>
          <w:rFonts w:ascii="FangSong" w:hAnsi="FangSong" w:eastAsia="FangSong" w:cs="FangSong"/>
          <w:sz w:val="30"/>
          <w:szCs w:val="30"/>
          <w:spacing w:val="17"/>
        </w:rPr>
        <w:t>改正，通报批评，给予警告：</w:t>
      </w:r>
    </w:p>
    <w:p>
      <w:pPr>
        <w:ind w:left="794"/>
        <w:spacing w:line="220" w:lineRule="auto"/>
        <w:rPr>
          <w:rFonts w:ascii="FangSong" w:hAnsi="FangSong" w:eastAsia="FangSong" w:cs="FangSong"/>
          <w:sz w:val="30"/>
          <w:szCs w:val="30"/>
        </w:rPr>
      </w:pPr>
      <w:r>
        <w:rPr>
          <w:rFonts w:ascii="FangSong" w:hAnsi="FangSong" w:eastAsia="FangSong" w:cs="FangSong"/>
          <w:sz w:val="30"/>
          <w:szCs w:val="30"/>
          <w:spacing w:val="23"/>
        </w:rPr>
        <w:t>(三)未按规定进行实验室质量监测、检查的；</w:t>
      </w:r>
    </w:p>
    <w:p>
      <w:pPr>
        <w:ind w:left="6427" w:right="310" w:hanging="5783"/>
        <w:spacing w:before="74" w:line="295" w:lineRule="auto"/>
        <w:rPr>
          <w:rFonts w:ascii="SimSun" w:hAnsi="SimSun" w:eastAsia="SimSun" w:cs="SimSun"/>
          <w:sz w:val="28"/>
          <w:szCs w:val="28"/>
        </w:rPr>
      </w:pPr>
      <w:r>
        <w:rPr>
          <w:rFonts w:ascii="FangSong" w:hAnsi="FangSong" w:eastAsia="FangSong" w:cs="FangSong"/>
          <w:sz w:val="30"/>
          <w:szCs w:val="30"/>
          <w:spacing w:val="25"/>
        </w:rPr>
        <w:t>《医疗纠纷预防和处理条例》第四十七条第(九)项</w:t>
      </w:r>
      <w:r>
        <w:rPr>
          <w:rFonts w:ascii="FangSong" w:hAnsi="FangSong" w:eastAsia="FangSong" w:cs="FangSong"/>
          <w:sz w:val="30"/>
          <w:szCs w:val="30"/>
          <w:spacing w:val="25"/>
        </w:rPr>
        <w:t xml:space="preserve">  </w:t>
      </w:r>
      <w:r>
        <w:rPr>
          <w:rFonts w:ascii="FangSong" w:hAnsi="FangSong" w:eastAsia="FangSong" w:cs="FangSong"/>
          <w:sz w:val="30"/>
          <w:szCs w:val="30"/>
          <w:spacing w:val="25"/>
        </w:rPr>
        <w:t>其他未履行本条例规定的义务的情</w:t>
      </w:r>
      <w:r>
        <w:rPr>
          <w:rFonts w:ascii="FangSong" w:hAnsi="FangSong" w:eastAsia="FangSong" w:cs="FangSong"/>
          <w:sz w:val="30"/>
          <w:szCs w:val="30"/>
          <w:spacing w:val="24"/>
        </w:rPr>
        <w:t>形。</w:t>
      </w:r>
      <w:r>
        <w:rPr>
          <w:rFonts w:ascii="FangSong" w:hAnsi="FangSong" w:eastAsia="FangSong" w:cs="FangSong"/>
          <w:sz w:val="30"/>
          <w:szCs w:val="30"/>
        </w:rPr>
        <w:t xml:space="preserve"> </w:t>
      </w:r>
      <w:r>
        <w:rPr>
          <w:rFonts w:ascii="SimSun" w:hAnsi="SimSun" w:eastAsia="SimSun" w:cs="SimSun"/>
          <w:sz w:val="28"/>
          <w:szCs w:val="28"/>
          <w:b/>
          <w:bCs/>
          <w:spacing w:val="-6"/>
        </w:rPr>
        <w:t>裁量标准</w:t>
      </w:r>
    </w:p>
    <w:tbl>
      <w:tblPr>
        <w:tblStyle w:val="TableNormal"/>
        <w:tblW w:w="136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63"/>
        <w:gridCol w:w="5716"/>
        <w:gridCol w:w="5990"/>
      </w:tblGrid>
      <w:tr>
        <w:trPr>
          <w:trHeight w:val="599" w:hRule="atLeast"/>
        </w:trPr>
        <w:tc>
          <w:tcPr>
            <w:tcW w:w="1963" w:type="dxa"/>
            <w:vAlign w:val="top"/>
          </w:tcPr>
          <w:p>
            <w:pPr>
              <w:pStyle w:val="TableText"/>
              <w:ind w:left="409"/>
              <w:spacing w:before="213" w:line="220" w:lineRule="auto"/>
              <w:rPr>
                <w:sz w:val="29"/>
                <w:szCs w:val="29"/>
              </w:rPr>
            </w:pPr>
            <w:r>
              <w:rPr>
                <w:sz w:val="29"/>
                <w:szCs w:val="29"/>
                <w:b/>
                <w:bCs/>
                <w:spacing w:val="-1"/>
              </w:rPr>
              <w:t>违法程度</w:t>
            </w:r>
          </w:p>
        </w:tc>
        <w:tc>
          <w:tcPr>
            <w:tcW w:w="5716" w:type="dxa"/>
            <w:vAlign w:val="top"/>
          </w:tcPr>
          <w:p>
            <w:pPr>
              <w:pStyle w:val="TableText"/>
              <w:ind w:left="2496"/>
              <w:spacing w:before="223" w:line="220" w:lineRule="auto"/>
              <w:rPr>
                <w:sz w:val="29"/>
                <w:szCs w:val="29"/>
              </w:rPr>
            </w:pPr>
            <w:r>
              <w:rPr>
                <w:sz w:val="29"/>
                <w:szCs w:val="29"/>
                <w:b/>
                <w:bCs/>
                <w:spacing w:val="-1"/>
              </w:rPr>
              <w:t>情节后果</w:t>
            </w:r>
          </w:p>
        </w:tc>
        <w:tc>
          <w:tcPr>
            <w:tcW w:w="5990" w:type="dxa"/>
            <w:vAlign w:val="top"/>
          </w:tcPr>
          <w:p>
            <w:pPr>
              <w:pStyle w:val="TableText"/>
              <w:ind w:left="2650"/>
              <w:spacing w:before="220" w:line="218" w:lineRule="auto"/>
              <w:rPr>
                <w:sz w:val="29"/>
                <w:szCs w:val="29"/>
              </w:rPr>
            </w:pPr>
            <w:r>
              <w:rPr>
                <w:sz w:val="29"/>
                <w:szCs w:val="29"/>
                <w:b/>
                <w:bCs/>
                <w:spacing w:val="-1"/>
              </w:rPr>
              <w:t>裁量幅度</w:t>
            </w:r>
          </w:p>
        </w:tc>
      </w:tr>
    </w:tbl>
    <w:p>
      <w:pPr>
        <w:pStyle w:val="BodyText"/>
        <w:rPr/>
      </w:pPr>
      <w:r/>
    </w:p>
    <w:p>
      <w:pPr>
        <w:sectPr>
          <w:footerReference w:type="default" r:id="rId451"/>
          <w:pgSz w:w="16830" w:h="11900"/>
          <w:pgMar w:top="1011" w:right="1399" w:bottom="1108" w:left="1425" w:header="0" w:footer="775" w:gutter="0"/>
        </w:sectPr>
        <w:rPr/>
      </w:pPr>
    </w:p>
    <w:p>
      <w:pPr>
        <w:spacing w:before="17"/>
        <w:rPr/>
      </w:pPr>
      <w:r/>
    </w:p>
    <w:p>
      <w:pPr>
        <w:spacing w:before="16"/>
        <w:rPr/>
      </w:pPr>
      <w:r/>
    </w:p>
    <w:p>
      <w:pPr>
        <w:spacing w:before="16"/>
        <w:rPr/>
      </w:pPr>
      <w:r/>
    </w:p>
    <w:tbl>
      <w:tblPr>
        <w:tblStyle w:val="TableNormal"/>
        <w:tblW w:w="1368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63"/>
        <w:gridCol w:w="5716"/>
        <w:gridCol w:w="6005"/>
      </w:tblGrid>
      <w:tr>
        <w:trPr>
          <w:trHeight w:val="2399" w:hRule="atLeast"/>
        </w:trPr>
        <w:tc>
          <w:tcPr>
            <w:tcW w:w="1963"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788"/>
              <w:spacing w:before="81" w:line="221" w:lineRule="auto"/>
              <w:rPr>
                <w:sz w:val="25"/>
                <w:szCs w:val="25"/>
              </w:rPr>
            </w:pPr>
            <w:r>
              <w:rPr>
                <w:sz w:val="25"/>
                <w:szCs w:val="25"/>
                <w:b/>
                <w:bCs/>
                <w:spacing w:val="-10"/>
              </w:rPr>
              <w:t>一般</w:t>
            </w:r>
          </w:p>
        </w:tc>
        <w:tc>
          <w:tcPr>
            <w:tcW w:w="5716" w:type="dxa"/>
            <w:vAlign w:val="top"/>
          </w:tcPr>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121" w:right="73"/>
              <w:spacing w:before="81" w:line="268" w:lineRule="auto"/>
              <w:rPr>
                <w:sz w:val="25"/>
                <w:szCs w:val="25"/>
              </w:rPr>
            </w:pPr>
            <w:r>
              <w:rPr>
                <w:sz w:val="25"/>
                <w:szCs w:val="25"/>
              </w:rPr>
              <w:t>开展新生儿疾病筛查的医疗机构未按规定进行实验</w:t>
            </w:r>
            <w:r>
              <w:rPr>
                <w:sz w:val="25"/>
                <w:szCs w:val="25"/>
                <w:spacing w:val="9"/>
              </w:rPr>
              <w:t xml:space="preserve"> </w:t>
            </w:r>
            <w:r>
              <w:rPr>
                <w:sz w:val="25"/>
                <w:szCs w:val="25"/>
                <w:spacing w:val="2"/>
              </w:rPr>
              <w:t>室质量监测、检查的</w:t>
            </w:r>
          </w:p>
        </w:tc>
        <w:tc>
          <w:tcPr>
            <w:tcW w:w="6005" w:type="dxa"/>
            <w:vAlign w:val="top"/>
          </w:tcPr>
          <w:p>
            <w:pPr>
              <w:pStyle w:val="TableText"/>
              <w:ind w:left="16"/>
              <w:spacing w:before="76" w:line="244" w:lineRule="auto"/>
              <w:rPr>
                <w:sz w:val="25"/>
                <w:szCs w:val="25"/>
              </w:rPr>
            </w:pPr>
            <w:r>
              <w:rPr>
                <w:sz w:val="25"/>
                <w:szCs w:val="25"/>
                <w:spacing w:val="-2"/>
              </w:rPr>
              <w:t>由县级以上地方人民政府卫生行政部门责令改</w:t>
            </w:r>
            <w:r>
              <w:rPr>
                <w:sz w:val="25"/>
                <w:szCs w:val="25"/>
                <w:spacing w:val="-3"/>
              </w:rPr>
              <w:t>正，通报</w:t>
            </w:r>
            <w:r>
              <w:rPr>
                <w:sz w:val="25"/>
                <w:szCs w:val="25"/>
              </w:rPr>
              <w:t xml:space="preserve"> </w:t>
            </w:r>
            <w:r>
              <w:rPr>
                <w:sz w:val="25"/>
                <w:szCs w:val="25"/>
                <w:spacing w:val="-2"/>
              </w:rPr>
              <w:t>批评，给予警告；由县级以上人民政府卫生主管部门责</w:t>
            </w:r>
            <w:r>
              <w:rPr>
                <w:sz w:val="25"/>
                <w:szCs w:val="25"/>
                <w:spacing w:val="12"/>
              </w:rPr>
              <w:t xml:space="preserve"> </w:t>
            </w:r>
            <w:r>
              <w:rPr>
                <w:sz w:val="25"/>
                <w:szCs w:val="25"/>
                <w:spacing w:val="9"/>
              </w:rPr>
              <w:t>令改正，给予警告，并处1万元以上5万元以下</w:t>
            </w:r>
            <w:r>
              <w:rPr>
                <w:sz w:val="25"/>
                <w:szCs w:val="25"/>
                <w:spacing w:val="8"/>
              </w:rPr>
              <w:t>罚款；</w:t>
            </w:r>
            <w:r>
              <w:rPr>
                <w:sz w:val="25"/>
                <w:szCs w:val="25"/>
              </w:rPr>
              <w:t xml:space="preserve"> </w:t>
            </w:r>
            <w:r>
              <w:rPr>
                <w:sz w:val="25"/>
                <w:szCs w:val="25"/>
                <w:spacing w:val="-1"/>
              </w:rPr>
              <w:t>情节严重的，对直接负责的主管人员和其他直接责任人</w:t>
            </w:r>
            <w:r>
              <w:rPr>
                <w:sz w:val="25"/>
                <w:szCs w:val="25"/>
                <w:spacing w:val="1"/>
              </w:rPr>
              <w:t xml:space="preserve"> </w:t>
            </w:r>
            <w:r>
              <w:rPr>
                <w:sz w:val="25"/>
                <w:szCs w:val="25"/>
                <w:spacing w:val="-2"/>
              </w:rPr>
              <w:t>员给予或者责令给予降低岗位等级或者撤职的处分，对</w:t>
            </w:r>
            <w:r>
              <w:rPr>
                <w:sz w:val="25"/>
                <w:szCs w:val="25"/>
                <w:spacing w:val="17"/>
              </w:rPr>
              <w:t xml:space="preserve"> </w:t>
            </w:r>
            <w:r>
              <w:rPr>
                <w:sz w:val="25"/>
                <w:szCs w:val="25"/>
                <w:spacing w:val="3"/>
              </w:rPr>
              <w:t>有关医务人员可以责令暂停1个月以上6个月以下执业  </w:t>
            </w:r>
            <w:r>
              <w:rPr>
                <w:sz w:val="25"/>
                <w:szCs w:val="25"/>
                <w:spacing w:val="6"/>
              </w:rPr>
              <w:t>活动；构成犯罪的，依法追究刑事责任</w:t>
            </w:r>
          </w:p>
        </w:tc>
      </w:tr>
    </w:tbl>
    <w:p>
      <w:pPr>
        <w:pStyle w:val="BodyText"/>
        <w:rPr/>
      </w:pPr>
      <w:r/>
    </w:p>
    <w:p>
      <w:pPr>
        <w:sectPr>
          <w:footerReference w:type="default" r:id="rId452"/>
          <w:pgSz w:w="16830" w:h="11900"/>
          <w:pgMar w:top="1011" w:right="1700" w:bottom="1118" w:left="1434" w:header="0" w:footer="785" w:gutter="0"/>
        </w:sectPr>
        <w:rPr/>
      </w:pPr>
    </w:p>
    <w:p>
      <w:pPr>
        <w:pStyle w:val="BodyText"/>
        <w:spacing w:line="267" w:lineRule="auto"/>
        <w:rPr/>
      </w:pPr>
      <w:r/>
    </w:p>
    <w:p>
      <w:pPr>
        <w:pStyle w:val="BodyText"/>
        <w:spacing w:line="267" w:lineRule="auto"/>
        <w:rPr/>
      </w:pPr>
      <w:r/>
    </w:p>
    <w:p>
      <w:pPr>
        <w:pStyle w:val="BodyText"/>
        <w:spacing w:line="267" w:lineRule="auto"/>
        <w:rPr/>
      </w:pPr>
      <w:r/>
    </w:p>
    <w:p>
      <w:pPr>
        <w:ind w:left="5949"/>
        <w:spacing w:before="97" w:line="221" w:lineRule="auto"/>
        <w:rPr>
          <w:rFonts w:ascii="SimHei" w:hAnsi="SimHei" w:eastAsia="SimHei" w:cs="SimHei"/>
          <w:sz w:val="30"/>
          <w:szCs w:val="30"/>
        </w:rPr>
      </w:pPr>
      <w:bookmarkStart w:name="bookmark1095" w:id="469"/>
      <w:bookmarkEnd w:id="469"/>
      <w:r>
        <w:rPr>
          <w:rFonts w:ascii="SimHei" w:hAnsi="SimHei" w:eastAsia="SimHei" w:cs="SimHei"/>
          <w:sz w:val="30"/>
          <w:szCs w:val="30"/>
          <w:b/>
          <w:bCs/>
          <w:spacing w:val="4"/>
        </w:rPr>
        <w:t>四</w:t>
      </w:r>
      <w:r>
        <w:rPr>
          <w:rFonts w:ascii="SimHei" w:hAnsi="SimHei" w:eastAsia="SimHei" w:cs="SimHei"/>
          <w:sz w:val="30"/>
          <w:szCs w:val="30"/>
          <w:spacing w:val="-64"/>
        </w:rPr>
        <w:t xml:space="preserve"> </w:t>
      </w:r>
      <w:r>
        <w:rPr>
          <w:rFonts w:ascii="SimHei" w:hAnsi="SimHei" w:eastAsia="SimHei" w:cs="SimHei"/>
          <w:sz w:val="30"/>
          <w:szCs w:val="30"/>
          <w:b/>
          <w:bCs/>
          <w:spacing w:val="4"/>
        </w:rPr>
        <w:t>、公共卫生类</w:t>
      </w:r>
    </w:p>
    <w:p>
      <w:pPr>
        <w:pStyle w:val="BodyText"/>
        <w:spacing w:line="296" w:lineRule="auto"/>
        <w:rPr/>
      </w:pPr>
      <w:r/>
    </w:p>
    <w:p>
      <w:pPr>
        <w:ind w:left="789"/>
        <w:spacing w:before="98" w:line="223" w:lineRule="auto"/>
        <w:rPr>
          <w:rFonts w:ascii="KaiTi" w:hAnsi="KaiTi" w:eastAsia="KaiTi" w:cs="KaiTi"/>
          <w:sz w:val="30"/>
          <w:szCs w:val="30"/>
        </w:rPr>
      </w:pPr>
      <w:r>
        <w:rPr>
          <w:rFonts w:ascii="KaiTi" w:hAnsi="KaiTi" w:eastAsia="KaiTi" w:cs="KaiTi"/>
          <w:sz w:val="30"/>
          <w:szCs w:val="30"/>
          <w:b/>
          <w:bCs/>
          <w:spacing w:val="23"/>
        </w:rPr>
        <w:t>(一)《公共场所卫生管理条例》及《公共场所卫生管理条例实施细则》</w:t>
      </w:r>
    </w:p>
    <w:p>
      <w:pPr>
        <w:pStyle w:val="BodyText"/>
        <w:spacing w:line="248" w:lineRule="auto"/>
        <w:rPr/>
      </w:pPr>
      <w:r/>
    </w:p>
    <w:p>
      <w:pPr>
        <w:ind w:left="19" w:right="283" w:firstLine="639"/>
        <w:spacing w:before="98" w:line="271" w:lineRule="auto"/>
        <w:rPr>
          <w:rFonts w:ascii="FangSong" w:hAnsi="FangSong" w:eastAsia="FangSong" w:cs="FangSong"/>
          <w:sz w:val="30"/>
          <w:szCs w:val="30"/>
        </w:rPr>
      </w:pPr>
      <w:r>
        <w:rPr>
          <w:rFonts w:ascii="FangSong" w:hAnsi="FangSong" w:eastAsia="FangSong" w:cs="FangSong"/>
          <w:sz w:val="30"/>
          <w:szCs w:val="30"/>
          <w:b/>
          <w:bCs/>
          <w:spacing w:val="22"/>
        </w:rPr>
        <w:t>第四百二十四条公共场所经营者安排未获得有效健康合格证明的从业人员从事</w:t>
      </w:r>
      <w:r>
        <w:rPr>
          <w:rFonts w:ascii="FangSong" w:hAnsi="FangSong" w:eastAsia="FangSong" w:cs="FangSong"/>
          <w:sz w:val="30"/>
          <w:szCs w:val="30"/>
          <w:b/>
          <w:bCs/>
          <w:spacing w:val="21"/>
        </w:rPr>
        <w:t>直接为顾客服</w:t>
      </w:r>
      <w:r>
        <w:rPr>
          <w:rFonts w:ascii="FangSong" w:hAnsi="FangSong" w:eastAsia="FangSong" w:cs="FangSong"/>
          <w:sz w:val="30"/>
          <w:szCs w:val="30"/>
        </w:rPr>
        <w:t xml:space="preserve"> </w:t>
      </w:r>
      <w:r>
        <w:rPr>
          <w:rFonts w:ascii="FangSong" w:hAnsi="FangSong" w:eastAsia="FangSong" w:cs="FangSong"/>
          <w:sz w:val="30"/>
          <w:szCs w:val="30"/>
          <w:b/>
          <w:bCs/>
          <w:spacing w:val="9"/>
        </w:rPr>
        <w:t>务工作的</w:t>
      </w:r>
    </w:p>
    <w:p>
      <w:pPr>
        <w:ind w:left="645"/>
        <w:spacing w:before="8"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5" w:right="18" w:firstLine="619"/>
        <w:spacing w:before="76" w:line="271" w:lineRule="auto"/>
        <w:rPr>
          <w:rFonts w:ascii="FangSong" w:hAnsi="FangSong" w:eastAsia="FangSong" w:cs="FangSong"/>
          <w:sz w:val="30"/>
          <w:szCs w:val="30"/>
        </w:rPr>
      </w:pPr>
      <w:r>
        <w:rPr>
          <w:rFonts w:ascii="FangSong" w:hAnsi="FangSong" w:eastAsia="FangSong" w:cs="FangSong"/>
          <w:sz w:val="30"/>
          <w:szCs w:val="30"/>
          <w:spacing w:val="23"/>
        </w:rPr>
        <w:t>《公共场所卫生管理条例》第十四条第一款第(二)项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凡有下列行为之一的单位或者个人，卫</w:t>
      </w:r>
      <w:r>
        <w:rPr>
          <w:rFonts w:ascii="FangSong" w:hAnsi="FangSong" w:eastAsia="FangSong" w:cs="FangSong"/>
          <w:sz w:val="30"/>
          <w:szCs w:val="30"/>
        </w:rPr>
        <w:t xml:space="preserve"> </w:t>
      </w:r>
      <w:r>
        <w:rPr>
          <w:rFonts w:ascii="FangSong" w:hAnsi="FangSong" w:eastAsia="FangSong" w:cs="FangSong"/>
          <w:sz w:val="30"/>
          <w:szCs w:val="30"/>
          <w:spacing w:val="18"/>
        </w:rPr>
        <w:t>生防疫机构可以根据情节轻重，给予警告、罚款、停业整顿、吊</w:t>
      </w:r>
      <w:r>
        <w:rPr>
          <w:rFonts w:ascii="FangSong" w:hAnsi="FangSong" w:eastAsia="FangSong" w:cs="FangSong"/>
          <w:sz w:val="30"/>
          <w:szCs w:val="30"/>
          <w:spacing w:val="17"/>
        </w:rPr>
        <w:t>销卫生许可证的行政处罚：</w:t>
      </w:r>
    </w:p>
    <w:p>
      <w:pPr>
        <w:ind w:left="785"/>
        <w:spacing w:before="2" w:line="222" w:lineRule="auto"/>
        <w:rPr>
          <w:rFonts w:ascii="FangSong" w:hAnsi="FangSong" w:eastAsia="FangSong" w:cs="FangSong"/>
          <w:sz w:val="30"/>
          <w:szCs w:val="30"/>
        </w:rPr>
      </w:pPr>
      <w:r>
        <w:rPr>
          <w:rFonts w:ascii="FangSong" w:hAnsi="FangSong" w:eastAsia="FangSong" w:cs="FangSong"/>
          <w:sz w:val="30"/>
          <w:szCs w:val="30"/>
          <w:spacing w:val="23"/>
        </w:rPr>
        <w:t>(二)未获得健康合格证，而从事直接为顾客服务的。</w:t>
      </w:r>
    </w:p>
    <w:p>
      <w:pPr>
        <w:ind w:left="15" w:firstLine="619"/>
        <w:spacing w:before="67" w:line="270" w:lineRule="auto"/>
        <w:jc w:val="both"/>
        <w:rPr>
          <w:rFonts w:ascii="FangSong" w:hAnsi="FangSong" w:eastAsia="FangSong" w:cs="FangSong"/>
          <w:sz w:val="30"/>
          <w:szCs w:val="30"/>
        </w:rPr>
      </w:pPr>
      <w:r>
        <w:rPr>
          <w:rFonts w:ascii="FangSong" w:hAnsi="FangSong" w:eastAsia="FangSong" w:cs="FangSong"/>
          <w:sz w:val="30"/>
          <w:szCs w:val="30"/>
          <w:spacing w:val="15"/>
        </w:rPr>
        <w:t>《公共场所卫生管理条例实施细则》第三十八条</w:t>
      </w:r>
      <w:r>
        <w:rPr>
          <w:rFonts w:ascii="FangSong" w:hAnsi="FangSong" w:eastAsia="FangSong" w:cs="FangSong"/>
          <w:sz w:val="30"/>
          <w:szCs w:val="30"/>
          <w:spacing w:val="55"/>
        </w:rPr>
        <w:t xml:space="preserve">  </w:t>
      </w:r>
      <w:r>
        <w:rPr>
          <w:rFonts w:ascii="FangSong" w:hAnsi="FangSong" w:eastAsia="FangSong" w:cs="FangSong"/>
          <w:sz w:val="30"/>
          <w:szCs w:val="30"/>
          <w:spacing w:val="15"/>
        </w:rPr>
        <w:t>公共场</w:t>
      </w:r>
      <w:r>
        <w:rPr>
          <w:rFonts w:ascii="FangSong" w:hAnsi="FangSong" w:eastAsia="FangSong" w:cs="FangSong"/>
          <w:sz w:val="30"/>
          <w:szCs w:val="30"/>
          <w:spacing w:val="14"/>
        </w:rPr>
        <w:t>所经营者安排未获得有效健康合格证明</w:t>
      </w:r>
      <w:r>
        <w:rPr>
          <w:rFonts w:ascii="FangSong" w:hAnsi="FangSong" w:eastAsia="FangSong" w:cs="FangSong"/>
          <w:sz w:val="30"/>
          <w:szCs w:val="30"/>
        </w:rPr>
        <w:t xml:space="preserve"> </w:t>
      </w:r>
      <w:r>
        <w:rPr>
          <w:rFonts w:ascii="FangSong" w:hAnsi="FangSong" w:eastAsia="FangSong" w:cs="FangSong"/>
          <w:sz w:val="30"/>
          <w:szCs w:val="30"/>
          <w:spacing w:val="17"/>
        </w:rPr>
        <w:t>的从业人员从事直接为顾客服务工作的，由县</w:t>
      </w:r>
      <w:r>
        <w:rPr>
          <w:rFonts w:ascii="FangSong" w:hAnsi="FangSong" w:eastAsia="FangSong" w:cs="FangSong"/>
          <w:sz w:val="30"/>
          <w:szCs w:val="30"/>
          <w:spacing w:val="16"/>
        </w:rPr>
        <w:t>级以上地方人民政府卫生行政部门责令限期改正，给予</w:t>
      </w:r>
      <w:r>
        <w:rPr>
          <w:rFonts w:ascii="FangSong" w:hAnsi="FangSong" w:eastAsia="FangSong" w:cs="FangSong"/>
          <w:sz w:val="30"/>
          <w:szCs w:val="30"/>
        </w:rPr>
        <w:t xml:space="preserve"> </w:t>
      </w:r>
      <w:r>
        <w:rPr>
          <w:rFonts w:ascii="FangSong" w:hAnsi="FangSong" w:eastAsia="FangSong" w:cs="FangSong"/>
          <w:sz w:val="30"/>
          <w:szCs w:val="30"/>
          <w:spacing w:val="18"/>
        </w:rPr>
        <w:t>警告，并处以五百元以上五千元以下罚款；逾期不改正的，处以五千元以上一万五千元以下罚款。</w:t>
      </w:r>
    </w:p>
    <w:p>
      <w:pPr>
        <w:ind w:left="6419"/>
        <w:spacing w:before="14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9" w:lineRule="auto"/>
        <w:rPr>
          <w:rFonts w:ascii="Arial"/>
          <w:sz w:val="2"/>
        </w:rPr>
      </w:pPr>
      <w:r>
        <w:rPr>
          <w:rFonts w:ascii="Arial"/>
          <w:sz w:val="2"/>
        </w:rPr>
      </w:r>
    </w:p>
    <w:tbl>
      <w:tblPr>
        <w:tblStyle w:val="TableNormal"/>
        <w:tblW w:w="13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94"/>
        <w:gridCol w:w="7914"/>
        <w:gridCol w:w="4262"/>
      </w:tblGrid>
      <w:tr>
        <w:trPr>
          <w:trHeight w:val="552" w:hRule="atLeast"/>
        </w:trPr>
        <w:tc>
          <w:tcPr>
            <w:tcW w:w="1694" w:type="dxa"/>
            <w:vAlign w:val="top"/>
          </w:tcPr>
          <w:p>
            <w:pPr>
              <w:pStyle w:val="TableText"/>
              <w:ind w:left="338"/>
              <w:spacing w:before="152" w:line="220" w:lineRule="auto"/>
              <w:rPr>
                <w:sz w:val="25"/>
                <w:szCs w:val="25"/>
              </w:rPr>
            </w:pPr>
            <w:r>
              <w:rPr>
                <w:sz w:val="25"/>
                <w:szCs w:val="25"/>
                <w:b/>
                <w:bCs/>
                <w:spacing w:val="-5"/>
              </w:rPr>
              <w:t>违法程度</w:t>
            </w:r>
          </w:p>
        </w:tc>
        <w:tc>
          <w:tcPr>
            <w:tcW w:w="7914" w:type="dxa"/>
            <w:vAlign w:val="top"/>
          </w:tcPr>
          <w:p>
            <w:pPr>
              <w:pStyle w:val="TableText"/>
              <w:ind w:left="3454"/>
              <w:spacing w:before="152" w:line="220" w:lineRule="auto"/>
              <w:rPr>
                <w:sz w:val="25"/>
                <w:szCs w:val="25"/>
              </w:rPr>
            </w:pPr>
            <w:r>
              <w:rPr>
                <w:sz w:val="25"/>
                <w:szCs w:val="25"/>
                <w:b/>
                <w:bCs/>
                <w:spacing w:val="-5"/>
              </w:rPr>
              <w:t>情节后果</w:t>
            </w:r>
          </w:p>
        </w:tc>
        <w:tc>
          <w:tcPr>
            <w:tcW w:w="4262" w:type="dxa"/>
            <w:vAlign w:val="top"/>
          </w:tcPr>
          <w:p>
            <w:pPr>
              <w:pStyle w:val="TableText"/>
              <w:ind w:left="1630"/>
              <w:spacing w:before="149" w:line="218" w:lineRule="auto"/>
              <w:rPr>
                <w:sz w:val="25"/>
                <w:szCs w:val="25"/>
              </w:rPr>
            </w:pPr>
            <w:r>
              <w:rPr>
                <w:sz w:val="25"/>
                <w:szCs w:val="25"/>
                <w:b/>
                <w:bCs/>
                <w:spacing w:val="-5"/>
              </w:rPr>
              <w:t>裁量幅度</w:t>
            </w:r>
          </w:p>
        </w:tc>
      </w:tr>
      <w:tr>
        <w:trPr>
          <w:trHeight w:val="686" w:hRule="atLeast"/>
        </w:trPr>
        <w:tc>
          <w:tcPr>
            <w:tcW w:w="1694" w:type="dxa"/>
            <w:vAlign w:val="top"/>
          </w:tcPr>
          <w:p>
            <w:pPr>
              <w:pStyle w:val="TableText"/>
              <w:ind w:left="588"/>
              <w:spacing w:before="219" w:line="219" w:lineRule="auto"/>
              <w:rPr>
                <w:sz w:val="25"/>
                <w:szCs w:val="25"/>
              </w:rPr>
            </w:pPr>
            <w:r>
              <w:rPr>
                <w:sz w:val="25"/>
                <w:szCs w:val="25"/>
                <w:b/>
                <w:bCs/>
                <w:spacing w:val="-6"/>
              </w:rPr>
              <w:t>较轻</w:t>
            </w:r>
          </w:p>
        </w:tc>
        <w:tc>
          <w:tcPr>
            <w:tcW w:w="7914" w:type="dxa"/>
            <w:vAlign w:val="top"/>
          </w:tcPr>
          <w:p>
            <w:pPr>
              <w:pStyle w:val="TableText"/>
              <w:ind w:left="100" w:right="11" w:hanging="89"/>
              <w:spacing w:before="93" w:line="215" w:lineRule="auto"/>
              <w:rPr>
                <w:sz w:val="25"/>
                <w:szCs w:val="25"/>
              </w:rPr>
            </w:pPr>
            <w:r>
              <w:rPr>
                <w:sz w:val="25"/>
                <w:szCs w:val="25"/>
              </w:rPr>
              <w:t>公共场所经营者安排3名以下未获得有效健康合格证明的从业人员从事直</w:t>
            </w:r>
            <w:r>
              <w:rPr>
                <w:sz w:val="25"/>
                <w:szCs w:val="25"/>
                <w:spacing w:val="5"/>
              </w:rPr>
              <w:t xml:space="preserve"> </w:t>
            </w:r>
            <w:r>
              <w:rPr>
                <w:sz w:val="25"/>
                <w:szCs w:val="25"/>
                <w:spacing w:val="2"/>
              </w:rPr>
              <w:t>接为顾客服务工作的</w:t>
            </w:r>
          </w:p>
        </w:tc>
        <w:tc>
          <w:tcPr>
            <w:tcW w:w="4262" w:type="dxa"/>
            <w:vAlign w:val="top"/>
          </w:tcPr>
          <w:p>
            <w:pPr>
              <w:pStyle w:val="TableText"/>
              <w:ind w:left="117"/>
              <w:spacing w:before="221" w:line="218" w:lineRule="auto"/>
              <w:rPr>
                <w:sz w:val="25"/>
                <w:szCs w:val="25"/>
              </w:rPr>
            </w:pPr>
            <w:r>
              <w:rPr>
                <w:sz w:val="25"/>
                <w:szCs w:val="25"/>
              </w:rPr>
              <w:t>警告，罚款500元以上2000元以下</w:t>
            </w:r>
          </w:p>
        </w:tc>
      </w:tr>
      <w:tr>
        <w:trPr>
          <w:trHeight w:val="831" w:hRule="atLeast"/>
        </w:trPr>
        <w:tc>
          <w:tcPr>
            <w:tcW w:w="1694" w:type="dxa"/>
            <w:vAlign w:val="top"/>
          </w:tcPr>
          <w:p>
            <w:pPr>
              <w:pStyle w:val="TableText"/>
              <w:ind w:left="588"/>
              <w:spacing w:before="295" w:line="221" w:lineRule="auto"/>
              <w:rPr>
                <w:sz w:val="25"/>
                <w:szCs w:val="25"/>
              </w:rPr>
            </w:pPr>
            <w:r>
              <w:rPr>
                <w:sz w:val="25"/>
                <w:szCs w:val="25"/>
                <w:b/>
                <w:bCs/>
                <w:spacing w:val="-10"/>
              </w:rPr>
              <w:t>一般</w:t>
            </w:r>
          </w:p>
        </w:tc>
        <w:tc>
          <w:tcPr>
            <w:tcW w:w="7914" w:type="dxa"/>
            <w:vAlign w:val="top"/>
          </w:tcPr>
          <w:p>
            <w:pPr>
              <w:pStyle w:val="TableText"/>
              <w:ind w:left="100" w:right="11" w:hanging="89"/>
              <w:spacing w:before="135" w:line="253" w:lineRule="auto"/>
              <w:rPr>
                <w:sz w:val="25"/>
                <w:szCs w:val="25"/>
              </w:rPr>
            </w:pPr>
            <w:r>
              <w:rPr>
                <w:sz w:val="25"/>
                <w:szCs w:val="25"/>
              </w:rPr>
              <w:t>公共场所经营者安排3名以上未获得有效健康合格证明的从业人员从事直</w:t>
            </w:r>
            <w:r>
              <w:rPr>
                <w:sz w:val="25"/>
                <w:szCs w:val="25"/>
                <w:spacing w:val="5"/>
              </w:rPr>
              <w:t xml:space="preserve"> </w:t>
            </w:r>
            <w:r>
              <w:rPr>
                <w:sz w:val="25"/>
                <w:szCs w:val="25"/>
                <w:spacing w:val="2"/>
              </w:rPr>
              <w:t>接为顾客服务工作的</w:t>
            </w:r>
          </w:p>
        </w:tc>
        <w:tc>
          <w:tcPr>
            <w:tcW w:w="4262" w:type="dxa"/>
            <w:vAlign w:val="top"/>
          </w:tcPr>
          <w:p>
            <w:pPr>
              <w:pStyle w:val="TableText"/>
              <w:ind w:left="127"/>
              <w:spacing w:before="295" w:line="218" w:lineRule="auto"/>
              <w:rPr>
                <w:sz w:val="25"/>
                <w:szCs w:val="25"/>
              </w:rPr>
            </w:pPr>
            <w:r>
              <w:rPr>
                <w:sz w:val="25"/>
                <w:szCs w:val="25"/>
              </w:rPr>
              <w:t>警告，罚款2000元以上5000元及以下</w:t>
            </w:r>
          </w:p>
        </w:tc>
      </w:tr>
    </w:tbl>
    <w:p>
      <w:pPr>
        <w:pStyle w:val="BodyText"/>
        <w:rPr/>
      </w:pPr>
      <w:r/>
    </w:p>
    <w:p>
      <w:pPr>
        <w:sectPr>
          <w:footerReference w:type="default" r:id="rId453"/>
          <w:pgSz w:w="16830" w:h="11900"/>
          <w:pgMar w:top="1011" w:right="1450" w:bottom="1108" w:left="1434" w:header="0" w:footer="775" w:gutter="0"/>
        </w:sectPr>
        <w:rPr/>
      </w:pPr>
    </w:p>
    <w:p>
      <w:pPr>
        <w:spacing w:before="20"/>
        <w:rPr/>
      </w:pPr>
      <w:r/>
    </w:p>
    <w:p>
      <w:pPr>
        <w:spacing w:before="20"/>
        <w:rPr/>
      </w:pPr>
      <w:r/>
    </w:p>
    <w:p>
      <w:pPr>
        <w:spacing w:before="19"/>
        <w:rPr/>
      </w:pPr>
      <w:r/>
    </w:p>
    <w:tbl>
      <w:tblPr>
        <w:tblStyle w:val="TableNormal"/>
        <w:tblW w:w="138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14"/>
        <w:gridCol w:w="7924"/>
        <w:gridCol w:w="4252"/>
      </w:tblGrid>
      <w:tr>
        <w:trPr>
          <w:trHeight w:val="839" w:hRule="atLeast"/>
        </w:trPr>
        <w:tc>
          <w:tcPr>
            <w:tcW w:w="1714" w:type="dxa"/>
            <w:vAlign w:val="top"/>
          </w:tcPr>
          <w:p>
            <w:pPr>
              <w:pStyle w:val="TableText"/>
              <w:ind w:left="608"/>
              <w:spacing w:before="304" w:line="221" w:lineRule="auto"/>
              <w:rPr/>
            </w:pPr>
            <w:bookmarkStart w:name="bookmark1096" w:id="470"/>
            <w:bookmarkEnd w:id="470"/>
            <w:r>
              <w:rPr>
                <w:b/>
                <w:bCs/>
                <w:spacing w:val="-5"/>
              </w:rPr>
              <w:t>较重</w:t>
            </w:r>
          </w:p>
        </w:tc>
        <w:tc>
          <w:tcPr>
            <w:tcW w:w="7924" w:type="dxa"/>
            <w:vAlign w:val="top"/>
          </w:tcPr>
          <w:p>
            <w:pPr>
              <w:pStyle w:val="TableText"/>
              <w:ind w:left="100" w:right="241"/>
              <w:spacing w:before="133" w:line="264" w:lineRule="auto"/>
              <w:rPr/>
            </w:pPr>
            <w:r>
              <w:rPr/>
              <w:t>公共场所经营者安排3名以下未获得有效健康合格证明的从业人员从事直</w:t>
            </w:r>
            <w:r>
              <w:rPr>
                <w:spacing w:val="10"/>
              </w:rPr>
              <w:t xml:space="preserve"> </w:t>
            </w:r>
            <w:r>
              <w:rPr>
                <w:spacing w:val="1"/>
              </w:rPr>
              <w:t>接为顾客服务工作的，逾期不改正的</w:t>
            </w:r>
          </w:p>
        </w:tc>
        <w:tc>
          <w:tcPr>
            <w:tcW w:w="4252" w:type="dxa"/>
            <w:vAlign w:val="top"/>
          </w:tcPr>
          <w:p>
            <w:pPr>
              <w:pStyle w:val="TableText"/>
              <w:ind w:left="126"/>
              <w:spacing w:before="305" w:line="220" w:lineRule="auto"/>
              <w:rPr/>
            </w:pPr>
            <w:r>
              <w:rPr/>
              <w:t>罚款5000元以上10000元以下</w:t>
            </w:r>
          </w:p>
        </w:tc>
      </w:tr>
      <w:tr>
        <w:trPr>
          <w:trHeight w:val="690" w:hRule="atLeast"/>
        </w:trPr>
        <w:tc>
          <w:tcPr>
            <w:tcW w:w="1714" w:type="dxa"/>
            <w:vAlign w:val="top"/>
          </w:tcPr>
          <w:p>
            <w:pPr>
              <w:pStyle w:val="TableText"/>
              <w:ind w:left="608"/>
              <w:spacing w:before="233" w:line="220" w:lineRule="auto"/>
              <w:rPr/>
            </w:pPr>
            <w:r>
              <w:rPr>
                <w:b/>
                <w:bCs/>
                <w:spacing w:val="-6"/>
              </w:rPr>
              <w:t>严重</w:t>
            </w:r>
          </w:p>
        </w:tc>
        <w:tc>
          <w:tcPr>
            <w:tcW w:w="7924" w:type="dxa"/>
            <w:vAlign w:val="top"/>
          </w:tcPr>
          <w:p>
            <w:pPr>
              <w:pStyle w:val="TableText"/>
              <w:ind w:left="100" w:right="241"/>
              <w:spacing w:before="84" w:line="229" w:lineRule="auto"/>
              <w:rPr/>
            </w:pPr>
            <w:r>
              <w:rPr/>
              <w:t>公共场所经营者安排3名以上未获得有效健康合格证明的从业人员从事直</w:t>
            </w:r>
            <w:r>
              <w:rPr>
                <w:spacing w:val="10"/>
              </w:rPr>
              <w:t xml:space="preserve"> </w:t>
            </w:r>
            <w:r>
              <w:rPr>
                <w:spacing w:val="1"/>
              </w:rPr>
              <w:t>接为顾客服务工作的，逾期不改正的</w:t>
            </w:r>
          </w:p>
        </w:tc>
        <w:tc>
          <w:tcPr>
            <w:tcW w:w="4252" w:type="dxa"/>
            <w:vAlign w:val="top"/>
          </w:tcPr>
          <w:p>
            <w:pPr>
              <w:pStyle w:val="TableText"/>
              <w:ind w:left="126"/>
              <w:spacing w:before="236" w:line="220" w:lineRule="auto"/>
              <w:rPr/>
            </w:pPr>
            <w:r>
              <w:rPr/>
              <w:t>罚款10000元以上15000元以下</w:t>
            </w:r>
          </w:p>
        </w:tc>
      </w:tr>
    </w:tbl>
    <w:p>
      <w:pPr>
        <w:pStyle w:val="BodyText"/>
        <w:spacing w:line="454" w:lineRule="auto"/>
        <w:rPr/>
      </w:pPr>
      <w:r/>
    </w:p>
    <w:p>
      <w:pPr>
        <w:ind w:left="39" w:right="10" w:firstLine="649"/>
        <w:spacing w:before="97" w:line="274" w:lineRule="auto"/>
        <w:rPr>
          <w:rFonts w:ascii="FangSong" w:hAnsi="FangSong" w:eastAsia="FangSong" w:cs="FangSong"/>
          <w:sz w:val="30"/>
          <w:szCs w:val="30"/>
        </w:rPr>
      </w:pPr>
      <w:r>
        <w:rPr>
          <w:rFonts w:ascii="FangSong" w:hAnsi="FangSong" w:eastAsia="FangSong" w:cs="FangSong"/>
          <w:sz w:val="30"/>
          <w:szCs w:val="30"/>
          <w:b/>
          <w:bCs/>
          <w:spacing w:val="20"/>
        </w:rPr>
        <w:t>第四百二十五条公共场所经营者未取得公共场所卫生许可证擅自营业，或涂改、转让、倒卖、</w:t>
      </w:r>
      <w:r>
        <w:rPr>
          <w:rFonts w:ascii="FangSong" w:hAnsi="FangSong" w:eastAsia="FangSong" w:cs="FangSong"/>
          <w:sz w:val="30"/>
          <w:szCs w:val="30"/>
          <w:spacing w:val="11"/>
        </w:rPr>
        <w:t xml:space="preserve"> </w:t>
      </w:r>
      <w:r>
        <w:rPr>
          <w:rFonts w:ascii="FangSong" w:hAnsi="FangSong" w:eastAsia="FangSong" w:cs="FangSong"/>
          <w:sz w:val="30"/>
          <w:szCs w:val="30"/>
          <w:b/>
          <w:bCs/>
          <w:spacing w:val="17"/>
        </w:rPr>
        <w:t>伪造的卫生许可证擅自营业的，或未办理卫</w:t>
      </w:r>
      <w:r>
        <w:rPr>
          <w:rFonts w:ascii="FangSong" w:hAnsi="FangSong" w:eastAsia="FangSong" w:cs="FangSong"/>
          <w:sz w:val="30"/>
          <w:szCs w:val="30"/>
          <w:b/>
          <w:bCs/>
          <w:spacing w:val="16"/>
        </w:rPr>
        <w:t>生备案的</w:t>
      </w:r>
    </w:p>
    <w:p>
      <w:pPr>
        <w:ind w:left="675"/>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35" w:right="5" w:firstLine="619"/>
        <w:spacing w:before="86" w:line="271" w:lineRule="auto"/>
        <w:rPr>
          <w:rFonts w:ascii="FangSong" w:hAnsi="FangSong" w:eastAsia="FangSong" w:cs="FangSong"/>
          <w:sz w:val="30"/>
          <w:szCs w:val="30"/>
        </w:rPr>
      </w:pPr>
      <w:r>
        <w:rPr>
          <w:rFonts w:ascii="FangSong" w:hAnsi="FangSong" w:eastAsia="FangSong" w:cs="FangSong"/>
          <w:sz w:val="30"/>
          <w:szCs w:val="30"/>
          <w:spacing w:val="23"/>
        </w:rPr>
        <w:t>《公共场所卫生管理条例》第十四条第一款第(四)项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凡有下列行为之一的单位或者个人，卫</w:t>
      </w:r>
      <w:r>
        <w:rPr>
          <w:rFonts w:ascii="FangSong" w:hAnsi="FangSong" w:eastAsia="FangSong" w:cs="FangSong"/>
          <w:sz w:val="30"/>
          <w:szCs w:val="30"/>
          <w:spacing w:val="10"/>
        </w:rPr>
        <w:t xml:space="preserve"> </w:t>
      </w:r>
      <w:r>
        <w:rPr>
          <w:rFonts w:ascii="FangSong" w:hAnsi="FangSong" w:eastAsia="FangSong" w:cs="FangSong"/>
          <w:sz w:val="30"/>
          <w:szCs w:val="30"/>
          <w:spacing w:val="17"/>
        </w:rPr>
        <w:t>生防疫机构可以根据情节轻重，给予警告、罚款、停业整顿、吊销卫生许可证的行政处罚：</w:t>
      </w:r>
    </w:p>
    <w:p>
      <w:pPr>
        <w:ind w:left="805"/>
        <w:spacing w:before="2" w:line="222" w:lineRule="auto"/>
        <w:rPr>
          <w:rFonts w:ascii="FangSong" w:hAnsi="FangSong" w:eastAsia="FangSong" w:cs="FangSong"/>
          <w:sz w:val="30"/>
          <w:szCs w:val="30"/>
        </w:rPr>
      </w:pPr>
      <w:r>
        <w:rPr>
          <w:rFonts w:ascii="FangSong" w:hAnsi="FangSong" w:eastAsia="FangSong" w:cs="FangSong"/>
          <w:sz w:val="30"/>
          <w:szCs w:val="30"/>
          <w:spacing w:val="23"/>
        </w:rPr>
        <w:t>(四)未取得“卫生许可证”擅自营业，或者未</w:t>
      </w:r>
      <w:r>
        <w:rPr>
          <w:rFonts w:ascii="FangSong" w:hAnsi="FangSong" w:eastAsia="FangSong" w:cs="FangSong"/>
          <w:sz w:val="30"/>
          <w:szCs w:val="30"/>
          <w:spacing w:val="22"/>
        </w:rPr>
        <w:t>办理卫生备案的。</w:t>
      </w:r>
    </w:p>
    <w:p>
      <w:pPr>
        <w:ind w:left="35" w:firstLine="619"/>
        <w:spacing w:before="89" w:line="259" w:lineRule="auto"/>
        <w:jc w:val="both"/>
        <w:rPr>
          <w:rFonts w:ascii="FangSong" w:hAnsi="FangSong" w:eastAsia="FangSong" w:cs="FangSong"/>
          <w:sz w:val="30"/>
          <w:szCs w:val="30"/>
        </w:rPr>
      </w:pPr>
      <w:r>
        <w:rPr>
          <w:rFonts w:ascii="FangSong" w:hAnsi="FangSong" w:eastAsia="FangSong" w:cs="FangSong"/>
          <w:sz w:val="30"/>
          <w:szCs w:val="30"/>
          <w:spacing w:val="16"/>
        </w:rPr>
        <w:t>《公共场所卫生管理条例实施细则》第三十五条第一款</w:t>
      </w:r>
      <w:r>
        <w:rPr>
          <w:rFonts w:ascii="FangSong" w:hAnsi="FangSong" w:eastAsia="FangSong" w:cs="FangSong"/>
          <w:sz w:val="30"/>
          <w:szCs w:val="30"/>
          <w:spacing w:val="16"/>
        </w:rPr>
        <w:t xml:space="preserve">  </w:t>
      </w:r>
      <w:r>
        <w:rPr>
          <w:rFonts w:ascii="FangSong" w:hAnsi="FangSong" w:eastAsia="FangSong" w:cs="FangSong"/>
          <w:sz w:val="30"/>
          <w:szCs w:val="30"/>
          <w:spacing w:val="16"/>
        </w:rPr>
        <w:t>对未依法取得公共场所卫生许可证擅自</w:t>
      </w:r>
      <w:r>
        <w:rPr>
          <w:rFonts w:ascii="FangSong" w:hAnsi="FangSong" w:eastAsia="FangSong" w:cs="FangSong"/>
          <w:sz w:val="30"/>
          <w:szCs w:val="30"/>
          <w:spacing w:val="8"/>
        </w:rPr>
        <w:t xml:space="preserve"> </w:t>
      </w:r>
      <w:r>
        <w:rPr>
          <w:rFonts w:ascii="FangSong" w:hAnsi="FangSong" w:eastAsia="FangSong" w:cs="FangSong"/>
          <w:sz w:val="30"/>
          <w:szCs w:val="30"/>
          <w:spacing w:val="17"/>
        </w:rPr>
        <w:t>营业的，由县级以上地方人民政府卫生行政部门</w:t>
      </w:r>
      <w:r>
        <w:rPr>
          <w:rFonts w:ascii="FangSong" w:hAnsi="FangSong" w:eastAsia="FangSong" w:cs="FangSong"/>
          <w:sz w:val="30"/>
          <w:szCs w:val="30"/>
          <w:spacing w:val="16"/>
        </w:rPr>
        <w:t>责令限期改正，给予警告，并处以五百元以上五千元</w:t>
      </w:r>
      <w:r>
        <w:rPr>
          <w:rFonts w:ascii="FangSong" w:hAnsi="FangSong" w:eastAsia="FangSong" w:cs="FangSong"/>
          <w:sz w:val="30"/>
          <w:szCs w:val="30"/>
        </w:rPr>
        <w:t xml:space="preserve"> </w:t>
      </w:r>
      <w:r>
        <w:rPr>
          <w:rFonts w:ascii="FangSong" w:hAnsi="FangSong" w:eastAsia="FangSong" w:cs="FangSong"/>
          <w:sz w:val="30"/>
          <w:szCs w:val="30"/>
          <w:spacing w:val="16"/>
        </w:rPr>
        <w:t>以下罚款；有下列情形之一的，处以五千元以上三万元</w:t>
      </w:r>
      <w:r>
        <w:rPr>
          <w:rFonts w:ascii="FangSong" w:hAnsi="FangSong" w:eastAsia="FangSong" w:cs="FangSong"/>
          <w:sz w:val="30"/>
          <w:szCs w:val="30"/>
          <w:spacing w:val="15"/>
        </w:rPr>
        <w:t>以下罚款：</w:t>
      </w:r>
    </w:p>
    <w:p>
      <w:pPr>
        <w:ind w:left="805"/>
        <w:spacing w:before="64" w:line="221" w:lineRule="auto"/>
        <w:rPr>
          <w:rFonts w:ascii="FangSong" w:hAnsi="FangSong" w:eastAsia="FangSong" w:cs="FangSong"/>
          <w:sz w:val="30"/>
          <w:szCs w:val="30"/>
        </w:rPr>
      </w:pPr>
      <w:r>
        <w:rPr>
          <w:rFonts w:ascii="FangSong" w:hAnsi="FangSong" w:eastAsia="FangSong" w:cs="FangSong"/>
          <w:sz w:val="30"/>
          <w:szCs w:val="30"/>
          <w:spacing w:val="24"/>
        </w:rPr>
        <w:t>(一)擅自营业曾受过卫生行政部门处罚的；</w:t>
      </w:r>
    </w:p>
    <w:p>
      <w:pPr>
        <w:ind w:left="805"/>
        <w:spacing w:before="29" w:line="219" w:lineRule="auto"/>
        <w:rPr>
          <w:rFonts w:ascii="FangSong" w:hAnsi="FangSong" w:eastAsia="FangSong" w:cs="FangSong"/>
          <w:sz w:val="30"/>
          <w:szCs w:val="30"/>
        </w:rPr>
      </w:pPr>
      <w:r>
        <w:rPr>
          <w:rFonts w:ascii="FangSong" w:hAnsi="FangSong" w:eastAsia="FangSong" w:cs="FangSong"/>
          <w:sz w:val="30"/>
          <w:szCs w:val="30"/>
          <w:spacing w:val="23"/>
        </w:rPr>
        <w:t>(二)擅自营业时间在三个月以上的；</w:t>
      </w:r>
    </w:p>
    <w:p>
      <w:pPr>
        <w:ind w:left="805"/>
        <w:spacing w:before="122" w:line="219" w:lineRule="auto"/>
        <w:rPr>
          <w:rFonts w:ascii="FangSong" w:hAnsi="FangSong" w:eastAsia="FangSong" w:cs="FangSong"/>
          <w:sz w:val="30"/>
          <w:szCs w:val="30"/>
        </w:rPr>
      </w:pPr>
      <w:r>
        <w:rPr>
          <w:rFonts w:ascii="FangSong" w:hAnsi="FangSong" w:eastAsia="FangSong" w:cs="FangSong"/>
          <w:sz w:val="30"/>
          <w:szCs w:val="30"/>
          <w:spacing w:val="23"/>
        </w:rPr>
        <w:t>(三)以涂改、转让、倒卖、伪造的卫生许可证擅自营业的。</w:t>
      </w:r>
    </w:p>
    <w:p>
      <w:pPr>
        <w:ind w:left="6439"/>
        <w:spacing w:before="206" w:line="221" w:lineRule="auto"/>
        <w:rPr>
          <w:rFonts w:ascii="SimHei" w:hAnsi="SimHei" w:eastAsia="SimHei" w:cs="SimHei"/>
          <w:sz w:val="30"/>
          <w:szCs w:val="30"/>
        </w:rPr>
      </w:pPr>
      <w:r>
        <w:rPr>
          <w:rFonts w:ascii="SimHei" w:hAnsi="SimHei" w:eastAsia="SimHei" w:cs="SimHei"/>
          <w:sz w:val="30"/>
          <w:szCs w:val="30"/>
          <w:b/>
          <w:bCs/>
          <w:spacing w:val="-17"/>
        </w:rPr>
        <w:t>裁量标准</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6374"/>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—498—</w:t>
      </w:r>
    </w:p>
    <w:p>
      <w:pPr>
        <w:spacing w:line="188" w:lineRule="auto"/>
        <w:sectPr>
          <w:footerReference w:type="default" r:id="rId24"/>
          <w:pgSz w:w="16830" w:h="11900"/>
          <w:pgMar w:top="1011" w:right="1453" w:bottom="400" w:left="1414" w:header="0" w:footer="0" w:gutter="0"/>
        </w:sectPr>
        <w:rPr>
          <w:rFonts w:ascii="Times New Roman" w:hAnsi="Times New Roman" w:eastAsia="Times New Roman" w:cs="Times New Roman"/>
          <w:sz w:val="37"/>
          <w:szCs w:val="37"/>
        </w:rPr>
      </w:pPr>
    </w:p>
    <w:p>
      <w:pPr>
        <w:spacing w:before="17"/>
        <w:rPr/>
      </w:pPr>
      <w:r/>
    </w:p>
    <w:p>
      <w:pPr>
        <w:spacing w:before="16"/>
        <w:rPr/>
      </w:pPr>
      <w:r/>
    </w:p>
    <w:p>
      <w:pPr>
        <w:spacing w:before="16"/>
        <w:rPr/>
      </w:pPr>
      <w:r/>
    </w:p>
    <w:tbl>
      <w:tblPr>
        <w:tblStyle w:val="TableNormal"/>
        <w:tblW w:w="138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93"/>
        <w:gridCol w:w="7924"/>
        <w:gridCol w:w="4252"/>
      </w:tblGrid>
      <w:tr>
        <w:trPr>
          <w:trHeight w:val="554" w:hRule="atLeast"/>
        </w:trPr>
        <w:tc>
          <w:tcPr>
            <w:tcW w:w="1693" w:type="dxa"/>
            <w:vAlign w:val="top"/>
          </w:tcPr>
          <w:p>
            <w:pPr>
              <w:pStyle w:val="TableText"/>
              <w:ind w:left="258"/>
              <w:spacing w:before="162" w:line="220" w:lineRule="auto"/>
              <w:rPr/>
            </w:pPr>
            <w:bookmarkStart w:name="bookmark1097" w:id="471"/>
            <w:bookmarkEnd w:id="471"/>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924" w:type="dxa"/>
            <w:vAlign w:val="top"/>
          </w:tcPr>
          <w:p>
            <w:pPr>
              <w:pStyle w:val="TableText"/>
              <w:ind w:left="3475"/>
              <w:spacing w:before="162" w:line="220" w:lineRule="auto"/>
              <w:rPr/>
            </w:pPr>
            <w:r>
              <w:rPr>
                <w:b/>
                <w:bCs/>
                <w:spacing w:val="-5"/>
              </w:rPr>
              <w:t>情节后果</w:t>
            </w:r>
          </w:p>
        </w:tc>
        <w:tc>
          <w:tcPr>
            <w:tcW w:w="4252" w:type="dxa"/>
            <w:vAlign w:val="top"/>
          </w:tcPr>
          <w:p>
            <w:pPr>
              <w:pStyle w:val="TableText"/>
              <w:ind w:left="1581"/>
              <w:spacing w:before="159" w:line="218" w:lineRule="auto"/>
              <w:rPr/>
            </w:pPr>
            <w:r>
              <w:rPr>
                <w:b/>
                <w:bCs/>
                <w:spacing w:val="-5"/>
              </w:rPr>
              <w:t>裁量幅度</w:t>
            </w:r>
          </w:p>
        </w:tc>
      </w:tr>
      <w:tr>
        <w:trPr>
          <w:trHeight w:val="1017" w:hRule="atLeast"/>
        </w:trPr>
        <w:tc>
          <w:tcPr>
            <w:tcW w:w="1693" w:type="dxa"/>
            <w:vAlign w:val="top"/>
          </w:tcPr>
          <w:p>
            <w:pPr>
              <w:spacing w:line="307" w:lineRule="auto"/>
              <w:rPr>
                <w:rFonts w:ascii="Arial"/>
                <w:sz w:val="21"/>
              </w:rPr>
            </w:pPr>
            <w:r/>
          </w:p>
          <w:p>
            <w:pPr>
              <w:pStyle w:val="TableText"/>
              <w:ind w:left="598"/>
              <w:spacing w:before="78" w:line="219" w:lineRule="auto"/>
              <w:rPr/>
            </w:pPr>
            <w:r>
              <w:rPr>
                <w:b/>
                <w:bCs/>
                <w:spacing w:val="-5"/>
              </w:rPr>
              <w:t>较轻</w:t>
            </w:r>
          </w:p>
        </w:tc>
        <w:tc>
          <w:tcPr>
            <w:tcW w:w="7924" w:type="dxa"/>
            <w:vAlign w:val="top"/>
          </w:tcPr>
          <w:p>
            <w:pPr>
              <w:pStyle w:val="TableText"/>
              <w:ind w:left="121" w:right="190" w:firstLine="49"/>
              <w:spacing w:before="90" w:line="235" w:lineRule="auto"/>
              <w:jc w:val="both"/>
              <w:rPr/>
            </w:pPr>
            <w:r>
              <w:rPr/>
              <w:t>对未依法取得公共场所卫生许可证擅自营业时间1</w:t>
            </w:r>
            <w:r>
              <w:rPr>
                <w:spacing w:val="-1"/>
              </w:rPr>
              <w:t>个月及以下的；或录像</w:t>
            </w:r>
            <w:r>
              <w:rPr/>
              <w:t xml:space="preserve"> </w:t>
            </w:r>
            <w:r>
              <w:rPr>
                <w:spacing w:val="4"/>
              </w:rPr>
              <w:t>厅(室)、音乐厅、展览馆、博物馆、美术馆、图</w:t>
            </w:r>
            <w:r>
              <w:rPr>
                <w:spacing w:val="3"/>
              </w:rPr>
              <w:t>书馆、书店的经营单位</w:t>
            </w:r>
            <w:r>
              <w:rPr/>
              <w:t xml:space="preserve"> </w:t>
            </w:r>
            <w:r>
              <w:rPr>
                <w:spacing w:val="1"/>
              </w:rPr>
              <w:t>在营业之日起30天内未办理卫生备案的</w:t>
            </w:r>
          </w:p>
        </w:tc>
        <w:tc>
          <w:tcPr>
            <w:tcW w:w="4252" w:type="dxa"/>
            <w:vAlign w:val="top"/>
          </w:tcPr>
          <w:p>
            <w:pPr>
              <w:spacing w:line="308" w:lineRule="auto"/>
              <w:rPr>
                <w:rFonts w:ascii="Arial"/>
                <w:sz w:val="21"/>
              </w:rPr>
            </w:pPr>
            <w:r/>
          </w:p>
          <w:p>
            <w:pPr>
              <w:pStyle w:val="TableText"/>
              <w:ind w:left="127"/>
              <w:spacing w:before="78" w:line="218" w:lineRule="auto"/>
              <w:rPr/>
            </w:pPr>
            <w:r>
              <w:rPr/>
              <w:t>警告，罚款500元以上3000元以下</w:t>
            </w:r>
          </w:p>
        </w:tc>
      </w:tr>
      <w:tr>
        <w:trPr>
          <w:trHeight w:val="688" w:hRule="atLeast"/>
        </w:trPr>
        <w:tc>
          <w:tcPr>
            <w:tcW w:w="1693" w:type="dxa"/>
            <w:vAlign w:val="top"/>
          </w:tcPr>
          <w:p>
            <w:pPr>
              <w:pStyle w:val="TableText"/>
              <w:ind w:left="598"/>
              <w:spacing w:before="231" w:line="221" w:lineRule="auto"/>
              <w:rPr/>
            </w:pPr>
            <w:r>
              <w:rPr>
                <w:b/>
                <w:bCs/>
                <w:spacing w:val="-10"/>
              </w:rPr>
              <w:t>一般</w:t>
            </w:r>
          </w:p>
        </w:tc>
        <w:tc>
          <w:tcPr>
            <w:tcW w:w="7924" w:type="dxa"/>
            <w:vAlign w:val="top"/>
          </w:tcPr>
          <w:p>
            <w:pPr>
              <w:pStyle w:val="TableText"/>
              <w:ind w:left="121" w:right="226" w:firstLine="109"/>
              <w:spacing w:before="72" w:line="233" w:lineRule="auto"/>
              <w:rPr/>
            </w:pPr>
            <w:r>
              <w:rPr/>
              <w:t>对未依法取得公共场所卫生许可证擅自营业时间在1个月以上3个月以下</w:t>
            </w:r>
            <w:r>
              <w:rPr>
                <w:spacing w:val="14"/>
              </w:rPr>
              <w:t xml:space="preserve"> </w:t>
            </w:r>
            <w:r>
              <w:rPr/>
              <w:t>的</w:t>
            </w:r>
          </w:p>
        </w:tc>
        <w:tc>
          <w:tcPr>
            <w:tcW w:w="4252" w:type="dxa"/>
            <w:vAlign w:val="top"/>
          </w:tcPr>
          <w:p>
            <w:pPr>
              <w:pStyle w:val="TableText"/>
              <w:ind w:left="127"/>
              <w:spacing w:before="231" w:line="218" w:lineRule="auto"/>
              <w:rPr/>
            </w:pPr>
            <w:r>
              <w:rPr/>
              <w:t>警告，罚款3000元以上5000元以下</w:t>
            </w:r>
          </w:p>
        </w:tc>
      </w:tr>
      <w:tr>
        <w:trPr>
          <w:trHeight w:val="578" w:hRule="atLeast"/>
        </w:trPr>
        <w:tc>
          <w:tcPr>
            <w:tcW w:w="1693" w:type="dxa"/>
            <w:vAlign w:val="top"/>
          </w:tcPr>
          <w:p>
            <w:pPr>
              <w:pStyle w:val="TableText"/>
              <w:ind w:left="598"/>
              <w:spacing w:before="175" w:line="221" w:lineRule="auto"/>
              <w:rPr/>
            </w:pPr>
            <w:r>
              <w:rPr>
                <w:b/>
                <w:bCs/>
                <w:spacing w:val="-5"/>
              </w:rPr>
              <w:t>较重</w:t>
            </w:r>
          </w:p>
        </w:tc>
        <w:tc>
          <w:tcPr>
            <w:tcW w:w="7924" w:type="dxa"/>
            <w:vAlign w:val="top"/>
          </w:tcPr>
          <w:p>
            <w:pPr>
              <w:pStyle w:val="TableText"/>
              <w:ind w:left="121"/>
              <w:spacing w:before="174" w:line="219" w:lineRule="auto"/>
              <w:rPr/>
            </w:pPr>
            <w:r>
              <w:rPr/>
              <w:t>对未依法取得公共场所卫生许可证擅自营业时间在3个月以上的</w:t>
            </w:r>
          </w:p>
        </w:tc>
        <w:tc>
          <w:tcPr>
            <w:tcW w:w="4252" w:type="dxa"/>
            <w:vAlign w:val="top"/>
          </w:tcPr>
          <w:p>
            <w:pPr>
              <w:pStyle w:val="TableText"/>
              <w:ind w:left="127"/>
              <w:spacing w:before="176" w:line="220" w:lineRule="auto"/>
              <w:rPr/>
            </w:pPr>
            <w:r>
              <w:rPr/>
              <w:t>罚款5000元以上20000元以下</w:t>
            </w:r>
          </w:p>
        </w:tc>
      </w:tr>
      <w:tr>
        <w:trPr>
          <w:trHeight w:val="663" w:hRule="atLeast"/>
        </w:trPr>
        <w:tc>
          <w:tcPr>
            <w:tcW w:w="1693" w:type="dxa"/>
            <w:vAlign w:val="top"/>
          </w:tcPr>
          <w:p>
            <w:pPr>
              <w:pStyle w:val="TableText"/>
              <w:ind w:left="598"/>
              <w:spacing w:before="215" w:line="220" w:lineRule="auto"/>
              <w:rPr/>
            </w:pPr>
            <w:r>
              <w:rPr>
                <w:b/>
                <w:bCs/>
                <w:spacing w:val="-6"/>
              </w:rPr>
              <w:t>严重</w:t>
            </w:r>
          </w:p>
        </w:tc>
        <w:tc>
          <w:tcPr>
            <w:tcW w:w="7924" w:type="dxa"/>
            <w:vAlign w:val="top"/>
          </w:tcPr>
          <w:p>
            <w:pPr>
              <w:pStyle w:val="TableText"/>
              <w:ind w:left="121" w:right="105" w:hanging="10"/>
              <w:spacing w:before="67" w:line="225" w:lineRule="auto"/>
              <w:rPr/>
            </w:pPr>
            <w:r>
              <w:rPr/>
              <w:t>擅自营业曾受过卫生行政部门处罚，且现擅自营业；或以涂改、转让、倒</w:t>
            </w:r>
            <w:r>
              <w:rPr>
                <w:spacing w:val="15"/>
              </w:rPr>
              <w:t xml:space="preserve"> </w:t>
            </w:r>
            <w:r>
              <w:rPr>
                <w:spacing w:val="-1"/>
              </w:rPr>
              <w:t>卖、伪造卫生许可证擅自营业</w:t>
            </w:r>
          </w:p>
        </w:tc>
        <w:tc>
          <w:tcPr>
            <w:tcW w:w="4252" w:type="dxa"/>
            <w:vAlign w:val="top"/>
          </w:tcPr>
          <w:p>
            <w:pPr>
              <w:pStyle w:val="TableText"/>
              <w:ind w:left="127"/>
              <w:spacing w:before="218" w:line="220" w:lineRule="auto"/>
              <w:rPr/>
            </w:pPr>
            <w:r>
              <w:rPr/>
              <w:t>罚款20000元以上30000元以下</w:t>
            </w:r>
          </w:p>
        </w:tc>
      </w:tr>
    </w:tbl>
    <w:p>
      <w:pPr>
        <w:ind w:left="679"/>
        <w:spacing w:before="97" w:line="220" w:lineRule="auto"/>
        <w:rPr>
          <w:rFonts w:ascii="FangSong" w:hAnsi="FangSong" w:eastAsia="FangSong" w:cs="FangSong"/>
          <w:sz w:val="31"/>
          <w:szCs w:val="31"/>
        </w:rPr>
      </w:pPr>
      <w:r>
        <w:rPr>
          <w:rFonts w:ascii="FangSong" w:hAnsi="FangSong" w:eastAsia="FangSong" w:cs="FangSong"/>
          <w:sz w:val="31"/>
          <w:szCs w:val="31"/>
          <w:b/>
          <w:bCs/>
          <w:spacing w:val="11"/>
        </w:rPr>
        <w:t>第四百二十六条公共场所经营者未按规定对公共场所卫生质量进行卫生检测的</w:t>
      </w:r>
    </w:p>
    <w:p>
      <w:pPr>
        <w:ind w:left="664"/>
        <w:spacing w:before="97"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25" w:right="93" w:firstLine="624"/>
        <w:spacing w:before="83" w:line="268" w:lineRule="auto"/>
        <w:rPr>
          <w:rFonts w:ascii="FangSong" w:hAnsi="FangSong" w:eastAsia="FangSong" w:cs="FangSong"/>
          <w:sz w:val="31"/>
          <w:szCs w:val="31"/>
        </w:rPr>
      </w:pPr>
      <w:r>
        <w:rPr>
          <w:rFonts w:ascii="FangSong" w:hAnsi="FangSong" w:eastAsia="FangSong" w:cs="FangSong"/>
          <w:sz w:val="31"/>
          <w:szCs w:val="31"/>
          <w:spacing w:val="14"/>
        </w:rPr>
        <w:t>《公共场所卫生管理条例》第十四条第一款第(一)项</w:t>
      </w:r>
      <w:r>
        <w:rPr>
          <w:rFonts w:ascii="FangSong" w:hAnsi="FangSong" w:eastAsia="FangSong" w:cs="FangSong"/>
          <w:sz w:val="31"/>
          <w:szCs w:val="31"/>
          <w:spacing w:val="14"/>
        </w:rPr>
        <w:t xml:space="preserve">  </w:t>
      </w:r>
      <w:r>
        <w:rPr>
          <w:rFonts w:ascii="FangSong" w:hAnsi="FangSong" w:eastAsia="FangSong" w:cs="FangSong"/>
          <w:sz w:val="31"/>
          <w:szCs w:val="31"/>
          <w:spacing w:val="14"/>
        </w:rPr>
        <w:t>凡有下列行为之一的单位或者个人，卫</w:t>
      </w:r>
      <w:r>
        <w:rPr>
          <w:rFonts w:ascii="FangSong" w:hAnsi="FangSong" w:eastAsia="FangSong" w:cs="FangSong"/>
          <w:sz w:val="31"/>
          <w:szCs w:val="31"/>
          <w:spacing w:val="3"/>
        </w:rPr>
        <w:t xml:space="preserve"> </w:t>
      </w:r>
      <w:r>
        <w:rPr>
          <w:rFonts w:ascii="FangSong" w:hAnsi="FangSong" w:eastAsia="FangSong" w:cs="FangSong"/>
          <w:sz w:val="31"/>
          <w:szCs w:val="31"/>
          <w:spacing w:val="8"/>
        </w:rPr>
        <w:t>生防疫机构可以根据情节轻重，给予警告、罚款、停</w:t>
      </w:r>
      <w:r>
        <w:rPr>
          <w:rFonts w:ascii="FangSong" w:hAnsi="FangSong" w:eastAsia="FangSong" w:cs="FangSong"/>
          <w:sz w:val="31"/>
          <w:szCs w:val="31"/>
          <w:spacing w:val="7"/>
        </w:rPr>
        <w:t>业整顿、吊销卫生许可证的行政处罚：</w:t>
      </w:r>
    </w:p>
    <w:p>
      <w:pPr>
        <w:ind w:left="804"/>
        <w:spacing w:before="1" w:line="220" w:lineRule="auto"/>
        <w:rPr>
          <w:rFonts w:ascii="FangSong" w:hAnsi="FangSong" w:eastAsia="FangSong" w:cs="FangSong"/>
          <w:sz w:val="31"/>
          <w:szCs w:val="31"/>
        </w:rPr>
      </w:pPr>
      <w:r>
        <w:rPr>
          <w:rFonts w:ascii="FangSong" w:hAnsi="FangSong" w:eastAsia="FangSong" w:cs="FangSong"/>
          <w:sz w:val="31"/>
          <w:szCs w:val="31"/>
          <w:spacing w:val="13"/>
        </w:rPr>
        <w:t>(一)卫生质量不符合国家卫生标准和要求，而继续营业的；</w:t>
      </w:r>
    </w:p>
    <w:p>
      <w:pPr>
        <w:ind w:left="25" w:firstLine="624"/>
        <w:spacing w:before="70" w:line="262" w:lineRule="auto"/>
        <w:jc w:val="both"/>
        <w:rPr>
          <w:rFonts w:ascii="FangSong" w:hAnsi="FangSong" w:eastAsia="FangSong" w:cs="FangSong"/>
          <w:sz w:val="31"/>
          <w:szCs w:val="31"/>
        </w:rPr>
      </w:pPr>
      <w:r>
        <w:rPr>
          <w:rFonts w:ascii="FangSong" w:hAnsi="FangSong" w:eastAsia="FangSong" w:cs="FangSong"/>
          <w:sz w:val="31"/>
          <w:szCs w:val="31"/>
          <w:spacing w:val="9"/>
        </w:rPr>
        <w:t>《公共场所卫生管理条例实施细则》第三十六条第(一)项</w:t>
      </w:r>
      <w:r>
        <w:rPr>
          <w:rFonts w:ascii="FangSong" w:hAnsi="FangSong" w:eastAsia="FangSong" w:cs="FangSong"/>
          <w:sz w:val="31"/>
          <w:szCs w:val="31"/>
          <w:spacing w:val="9"/>
        </w:rPr>
        <w:t xml:space="preserve">  </w:t>
      </w:r>
      <w:r>
        <w:rPr>
          <w:rFonts w:ascii="FangSong" w:hAnsi="FangSong" w:eastAsia="FangSong" w:cs="FangSong"/>
          <w:sz w:val="31"/>
          <w:szCs w:val="31"/>
          <w:spacing w:val="9"/>
        </w:rPr>
        <w:t>公共场所经营者有</w:t>
      </w:r>
      <w:r>
        <w:rPr>
          <w:rFonts w:ascii="FangSong" w:hAnsi="FangSong" w:eastAsia="FangSong" w:cs="FangSong"/>
          <w:sz w:val="31"/>
          <w:szCs w:val="31"/>
          <w:spacing w:val="8"/>
        </w:rPr>
        <w:t>下列情形之一的，</w:t>
      </w:r>
      <w:r>
        <w:rPr>
          <w:rFonts w:ascii="FangSong" w:hAnsi="FangSong" w:eastAsia="FangSong" w:cs="FangSong"/>
          <w:sz w:val="31"/>
          <w:szCs w:val="31"/>
        </w:rPr>
        <w:t xml:space="preserve"> </w:t>
      </w:r>
      <w:r>
        <w:rPr>
          <w:rFonts w:ascii="FangSong" w:hAnsi="FangSong" w:eastAsia="FangSong" w:cs="FangSong"/>
          <w:sz w:val="31"/>
          <w:szCs w:val="31"/>
          <w:spacing w:val="6"/>
        </w:rPr>
        <w:t>由县级以上地方人民政府卫生行政部门责令限期改正，给予警告，并可处以二千元以下罚款；逾期不</w:t>
      </w:r>
      <w:r>
        <w:rPr>
          <w:rFonts w:ascii="FangSong" w:hAnsi="FangSong" w:eastAsia="FangSong" w:cs="FangSong"/>
          <w:sz w:val="31"/>
          <w:szCs w:val="31"/>
          <w:spacing w:val="3"/>
        </w:rPr>
        <w:t xml:space="preserve"> </w:t>
      </w:r>
      <w:r>
        <w:rPr>
          <w:rFonts w:ascii="FangSong" w:hAnsi="FangSong" w:eastAsia="FangSong" w:cs="FangSong"/>
          <w:sz w:val="31"/>
          <w:szCs w:val="31"/>
          <w:spacing w:val="6"/>
        </w:rPr>
        <w:t>改正，造成公共场所卫生质量不符合卫生标准和要求的，处以二千元以上二万元以下罚款；情节严重</w:t>
      </w:r>
      <w:r>
        <w:rPr>
          <w:rFonts w:ascii="FangSong" w:hAnsi="FangSong" w:eastAsia="FangSong" w:cs="FangSong"/>
          <w:sz w:val="31"/>
          <w:szCs w:val="31"/>
          <w:spacing w:val="2"/>
        </w:rPr>
        <w:t xml:space="preserve"> </w:t>
      </w:r>
      <w:r>
        <w:rPr>
          <w:rFonts w:ascii="FangSong" w:hAnsi="FangSong" w:eastAsia="FangSong" w:cs="FangSong"/>
          <w:sz w:val="31"/>
          <w:szCs w:val="31"/>
          <w:spacing w:val="5"/>
        </w:rPr>
        <w:t>的，可以依法责令停业整顿，直至吊销卫生许可</w:t>
      </w:r>
      <w:r>
        <w:rPr>
          <w:rFonts w:ascii="FangSong" w:hAnsi="FangSong" w:eastAsia="FangSong" w:cs="FangSong"/>
          <w:sz w:val="31"/>
          <w:szCs w:val="31"/>
          <w:spacing w:val="4"/>
        </w:rPr>
        <w:t>证：</w:t>
      </w:r>
    </w:p>
    <w:p>
      <w:pPr>
        <w:ind w:left="804"/>
        <w:spacing w:before="1" w:line="221" w:lineRule="auto"/>
        <w:rPr>
          <w:rFonts w:ascii="FangSong" w:hAnsi="FangSong" w:eastAsia="FangSong" w:cs="FangSong"/>
          <w:sz w:val="31"/>
          <w:szCs w:val="31"/>
        </w:rPr>
      </w:pPr>
      <w:r>
        <w:rPr>
          <w:rFonts w:ascii="FangSong" w:hAnsi="FangSong" w:eastAsia="FangSong" w:cs="FangSong"/>
          <w:sz w:val="31"/>
          <w:szCs w:val="31"/>
          <w:spacing w:val="11"/>
        </w:rPr>
        <w:t>(一)未按照规定对公共场所的空气、微小气候、水质、采光、照明、</w:t>
      </w:r>
      <w:r>
        <w:rPr>
          <w:rFonts w:ascii="FangSong" w:hAnsi="FangSong" w:eastAsia="FangSong" w:cs="FangSong"/>
          <w:sz w:val="31"/>
          <w:szCs w:val="31"/>
          <w:spacing w:val="10"/>
        </w:rPr>
        <w:t>噪声、顾客用品用具等进</w:t>
      </w:r>
    </w:p>
    <w:p>
      <w:pPr>
        <w:spacing w:line="221" w:lineRule="auto"/>
        <w:sectPr>
          <w:footerReference w:type="default" r:id="rId454"/>
          <w:pgSz w:w="16830" w:h="11900"/>
          <w:pgMar w:top="1011" w:right="1345" w:bottom="1115" w:left="1425" w:header="0" w:footer="773" w:gutter="0"/>
        </w:sectPr>
        <w:rPr>
          <w:rFonts w:ascii="FangSong" w:hAnsi="FangSong" w:eastAsia="FangSong" w:cs="FangSong"/>
          <w:sz w:val="31"/>
          <w:szCs w:val="31"/>
        </w:rPr>
      </w:pPr>
    </w:p>
    <w:p>
      <w:pPr>
        <w:pStyle w:val="BodyText"/>
        <w:spacing w:line="271" w:lineRule="auto"/>
        <w:rPr/>
      </w:pPr>
      <w:r/>
    </w:p>
    <w:p>
      <w:pPr>
        <w:pStyle w:val="BodyText"/>
        <w:spacing w:line="272" w:lineRule="auto"/>
        <w:rPr/>
      </w:pPr>
      <w:r/>
    </w:p>
    <w:p>
      <w:pPr>
        <w:pStyle w:val="BodyText"/>
        <w:spacing w:line="272" w:lineRule="auto"/>
        <w:rPr/>
      </w:pPr>
      <w:r/>
    </w:p>
    <w:p>
      <w:pPr>
        <w:ind w:left="35"/>
        <w:spacing w:before="94" w:line="220" w:lineRule="auto"/>
        <w:rPr>
          <w:rFonts w:ascii="FangSong" w:hAnsi="FangSong" w:eastAsia="FangSong" w:cs="FangSong"/>
          <w:sz w:val="29"/>
          <w:szCs w:val="29"/>
        </w:rPr>
      </w:pPr>
      <w:r>
        <w:rPr>
          <w:rFonts w:ascii="FangSong" w:hAnsi="FangSong" w:eastAsia="FangSong" w:cs="FangSong"/>
          <w:sz w:val="29"/>
          <w:szCs w:val="29"/>
          <w:spacing w:val="17"/>
        </w:rPr>
        <w:t>行卫生检测的；</w:t>
      </w:r>
    </w:p>
    <w:p>
      <w:pPr>
        <w:ind w:left="6439"/>
        <w:spacing w:before="216" w:line="220" w:lineRule="auto"/>
        <w:rPr>
          <w:rFonts w:ascii="SimSun" w:hAnsi="SimSun" w:eastAsia="SimSun" w:cs="SimSun"/>
          <w:sz w:val="28"/>
          <w:szCs w:val="28"/>
        </w:rPr>
      </w:pPr>
      <w:bookmarkStart w:name="bookmark1098" w:id="472"/>
      <w:bookmarkEnd w:id="472"/>
      <w:r>
        <w:rPr>
          <w:rFonts w:ascii="SimSun" w:hAnsi="SimSun" w:eastAsia="SimSun" w:cs="SimSun"/>
          <w:sz w:val="28"/>
          <w:szCs w:val="28"/>
          <w:b/>
          <w:bCs/>
          <w:spacing w:val="-6"/>
        </w:rPr>
        <w:t>裁量标准</w:t>
      </w:r>
    </w:p>
    <w:p>
      <w:pPr>
        <w:spacing w:line="31" w:lineRule="auto"/>
        <w:rPr>
          <w:rFonts w:ascii="Arial"/>
          <w:sz w:val="2"/>
        </w:rPr>
      </w:pPr>
      <w:r>
        <w:rPr>
          <w:rFonts w:ascii="Arial"/>
          <w:sz w:val="2"/>
        </w:rPr>
      </w:r>
    </w:p>
    <w:tbl>
      <w:tblPr>
        <w:tblStyle w:val="TableNormal"/>
        <w:tblW w:w="139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8234"/>
        <w:gridCol w:w="4261"/>
      </w:tblGrid>
      <w:tr>
        <w:trPr>
          <w:trHeight w:val="444" w:hRule="atLeast"/>
        </w:trPr>
        <w:tc>
          <w:tcPr>
            <w:tcW w:w="1414" w:type="dxa"/>
            <w:vAlign w:val="top"/>
          </w:tcPr>
          <w:p>
            <w:pPr>
              <w:pStyle w:val="TableText"/>
              <w:ind w:left="198"/>
              <w:spacing w:before="102" w:line="220" w:lineRule="auto"/>
              <w:rPr>
                <w:sz w:val="25"/>
                <w:szCs w:val="25"/>
              </w:rPr>
            </w:pPr>
            <w:r>
              <w:rPr>
                <w:sz w:val="25"/>
                <w:szCs w:val="25"/>
                <w:b/>
                <w:bCs/>
                <w:spacing w:val="-5"/>
              </w:rPr>
              <w:t>违法程度</w:t>
            </w:r>
          </w:p>
        </w:tc>
        <w:tc>
          <w:tcPr>
            <w:tcW w:w="8234" w:type="dxa"/>
            <w:vAlign w:val="top"/>
          </w:tcPr>
          <w:p>
            <w:pPr>
              <w:pStyle w:val="TableText"/>
              <w:ind w:left="3614"/>
              <w:spacing w:before="102" w:line="220" w:lineRule="auto"/>
              <w:rPr>
                <w:sz w:val="25"/>
                <w:szCs w:val="25"/>
              </w:rPr>
            </w:pPr>
            <w:r>
              <w:rPr>
                <w:sz w:val="25"/>
                <w:szCs w:val="25"/>
                <w:b/>
                <w:bCs/>
                <w:spacing w:val="-5"/>
              </w:rPr>
              <w:t>情节后果</w:t>
            </w:r>
          </w:p>
        </w:tc>
        <w:tc>
          <w:tcPr>
            <w:tcW w:w="4261" w:type="dxa"/>
            <w:vAlign w:val="top"/>
          </w:tcPr>
          <w:p>
            <w:pPr>
              <w:pStyle w:val="TableText"/>
              <w:ind w:left="1570"/>
              <w:spacing w:before="99" w:line="218" w:lineRule="auto"/>
              <w:rPr>
                <w:sz w:val="25"/>
                <w:szCs w:val="25"/>
              </w:rPr>
            </w:pPr>
            <w:r>
              <w:rPr>
                <w:sz w:val="25"/>
                <w:szCs w:val="25"/>
                <w:b/>
                <w:bCs/>
                <w:spacing w:val="-5"/>
              </w:rPr>
              <w:t>裁量幅度</w:t>
            </w:r>
          </w:p>
        </w:tc>
      </w:tr>
      <w:tr>
        <w:trPr>
          <w:trHeight w:val="798" w:hRule="atLeast"/>
        </w:trPr>
        <w:tc>
          <w:tcPr>
            <w:tcW w:w="1414" w:type="dxa"/>
            <w:vAlign w:val="top"/>
          </w:tcPr>
          <w:p>
            <w:pPr>
              <w:pStyle w:val="TableText"/>
              <w:ind w:left="448"/>
              <w:spacing w:before="277" w:line="219" w:lineRule="auto"/>
              <w:rPr>
                <w:sz w:val="25"/>
                <w:szCs w:val="25"/>
              </w:rPr>
            </w:pPr>
            <w:r>
              <w:rPr>
                <w:sz w:val="25"/>
                <w:szCs w:val="25"/>
                <w:b/>
                <w:bCs/>
                <w:spacing w:val="-6"/>
              </w:rPr>
              <w:t>较轻</w:t>
            </w:r>
          </w:p>
        </w:tc>
        <w:tc>
          <w:tcPr>
            <w:tcW w:w="8234" w:type="dxa"/>
            <w:vAlign w:val="top"/>
          </w:tcPr>
          <w:p>
            <w:pPr>
              <w:pStyle w:val="TableText"/>
              <w:ind w:left="90" w:hanging="79"/>
              <w:spacing w:before="140" w:line="239" w:lineRule="auto"/>
              <w:rPr>
                <w:sz w:val="25"/>
                <w:szCs w:val="25"/>
              </w:rPr>
            </w:pPr>
            <w:r>
              <w:rPr>
                <w:sz w:val="25"/>
                <w:szCs w:val="25"/>
                <w:spacing w:val="-1"/>
              </w:rPr>
              <w:t>对公共场所的空气、微小气候、水质、采光、照明、噪声、顾</w:t>
            </w:r>
            <w:r>
              <w:rPr>
                <w:sz w:val="25"/>
                <w:szCs w:val="25"/>
                <w:spacing w:val="-2"/>
              </w:rPr>
              <w:t>客用品用具等</w:t>
            </w:r>
            <w:r>
              <w:rPr>
                <w:sz w:val="25"/>
                <w:szCs w:val="25"/>
              </w:rPr>
              <w:t xml:space="preserve"> </w:t>
            </w:r>
            <w:r>
              <w:rPr>
                <w:sz w:val="25"/>
                <w:szCs w:val="25"/>
              </w:rPr>
              <w:t>进行卫生检测的项目或指标不符合有关规定的</w:t>
            </w:r>
          </w:p>
        </w:tc>
        <w:tc>
          <w:tcPr>
            <w:tcW w:w="4261" w:type="dxa"/>
            <w:vAlign w:val="top"/>
          </w:tcPr>
          <w:p>
            <w:pPr>
              <w:pStyle w:val="TableText"/>
              <w:ind w:left="97"/>
              <w:spacing w:before="279" w:line="218" w:lineRule="auto"/>
              <w:rPr>
                <w:sz w:val="25"/>
                <w:szCs w:val="25"/>
              </w:rPr>
            </w:pPr>
            <w:r>
              <w:rPr>
                <w:sz w:val="25"/>
                <w:szCs w:val="25"/>
                <w:color w:val="505050"/>
                <w:spacing w:val="8"/>
              </w:rPr>
              <w:t>警告</w:t>
            </w:r>
          </w:p>
        </w:tc>
      </w:tr>
      <w:tr>
        <w:trPr>
          <w:trHeight w:val="1027" w:hRule="atLeast"/>
        </w:trPr>
        <w:tc>
          <w:tcPr>
            <w:tcW w:w="1414" w:type="dxa"/>
            <w:vAlign w:val="top"/>
          </w:tcPr>
          <w:p>
            <w:pPr>
              <w:spacing w:line="307" w:lineRule="auto"/>
              <w:rPr>
                <w:rFonts w:ascii="Arial"/>
                <w:sz w:val="21"/>
              </w:rPr>
            </w:pPr>
            <w:r/>
          </w:p>
          <w:p>
            <w:pPr>
              <w:pStyle w:val="TableText"/>
              <w:ind w:left="448"/>
              <w:spacing w:before="82" w:line="221" w:lineRule="auto"/>
              <w:rPr>
                <w:sz w:val="25"/>
                <w:szCs w:val="25"/>
              </w:rPr>
            </w:pPr>
            <w:r>
              <w:rPr>
                <w:sz w:val="25"/>
                <w:szCs w:val="25"/>
                <w:b/>
                <w:bCs/>
                <w:spacing w:val="-10"/>
              </w:rPr>
              <w:t>一般</w:t>
            </w:r>
          </w:p>
        </w:tc>
        <w:tc>
          <w:tcPr>
            <w:tcW w:w="8234" w:type="dxa"/>
            <w:vAlign w:val="top"/>
          </w:tcPr>
          <w:p>
            <w:pPr>
              <w:pStyle w:val="TableText"/>
              <w:ind w:left="11"/>
              <w:spacing w:before="74" w:line="232" w:lineRule="auto"/>
              <w:jc w:val="both"/>
              <w:rPr>
                <w:sz w:val="25"/>
                <w:szCs w:val="25"/>
              </w:rPr>
            </w:pPr>
            <w:r>
              <w:rPr>
                <w:sz w:val="25"/>
                <w:szCs w:val="25"/>
                <w:spacing w:val="-1"/>
              </w:rPr>
              <w:t>首次发现卫生质量不符合卫生标准和要求，而继续</w:t>
            </w:r>
            <w:r>
              <w:rPr>
                <w:sz w:val="25"/>
                <w:szCs w:val="25"/>
                <w:spacing w:val="-2"/>
              </w:rPr>
              <w:t>营业的；未按照规定对公</w:t>
            </w:r>
            <w:r>
              <w:rPr>
                <w:sz w:val="25"/>
                <w:szCs w:val="25"/>
              </w:rPr>
              <w:t xml:space="preserve"> </w:t>
            </w:r>
            <w:r>
              <w:rPr>
                <w:sz w:val="25"/>
                <w:szCs w:val="25"/>
                <w:spacing w:val="-1"/>
              </w:rPr>
              <w:t>共场所的空气、微小气候、水质、采光、照明、噪声、顾客用</w:t>
            </w:r>
            <w:r>
              <w:rPr>
                <w:sz w:val="25"/>
                <w:szCs w:val="25"/>
                <w:spacing w:val="-2"/>
              </w:rPr>
              <w:t>品用具等进行</w:t>
            </w:r>
            <w:r>
              <w:rPr>
                <w:sz w:val="25"/>
                <w:szCs w:val="25"/>
              </w:rPr>
              <w:t xml:space="preserve"> </w:t>
            </w:r>
            <w:r>
              <w:rPr>
                <w:sz w:val="25"/>
                <w:szCs w:val="25"/>
                <w:spacing w:val="31"/>
              </w:rPr>
              <w:t>卫生检测</w:t>
            </w:r>
          </w:p>
        </w:tc>
        <w:tc>
          <w:tcPr>
            <w:tcW w:w="4261" w:type="dxa"/>
            <w:vAlign w:val="top"/>
          </w:tcPr>
          <w:p>
            <w:pPr>
              <w:spacing w:line="307" w:lineRule="auto"/>
              <w:rPr>
                <w:rFonts w:ascii="Arial"/>
                <w:sz w:val="21"/>
              </w:rPr>
            </w:pPr>
            <w:r/>
          </w:p>
          <w:p>
            <w:pPr>
              <w:pStyle w:val="TableText"/>
              <w:ind w:left="97"/>
              <w:spacing w:before="82" w:line="218" w:lineRule="auto"/>
              <w:rPr>
                <w:sz w:val="25"/>
                <w:szCs w:val="25"/>
              </w:rPr>
            </w:pPr>
            <w:r>
              <w:rPr>
                <w:sz w:val="25"/>
                <w:szCs w:val="25"/>
                <w:spacing w:val="1"/>
              </w:rPr>
              <w:t>警告，罚款2000元以下</w:t>
            </w:r>
          </w:p>
        </w:tc>
      </w:tr>
      <w:tr>
        <w:trPr>
          <w:trHeight w:val="998" w:hRule="atLeast"/>
        </w:trPr>
        <w:tc>
          <w:tcPr>
            <w:tcW w:w="1414" w:type="dxa"/>
            <w:vAlign w:val="top"/>
          </w:tcPr>
          <w:p>
            <w:pPr>
              <w:spacing w:line="302" w:lineRule="auto"/>
              <w:rPr>
                <w:rFonts w:ascii="Arial"/>
                <w:sz w:val="21"/>
              </w:rPr>
            </w:pPr>
            <w:r/>
          </w:p>
          <w:p>
            <w:pPr>
              <w:pStyle w:val="TableText"/>
              <w:ind w:left="448"/>
              <w:spacing w:before="82" w:line="221" w:lineRule="auto"/>
              <w:rPr>
                <w:sz w:val="25"/>
                <w:szCs w:val="25"/>
              </w:rPr>
            </w:pPr>
            <w:r>
              <w:rPr>
                <w:sz w:val="25"/>
                <w:szCs w:val="25"/>
                <w:b/>
                <w:bCs/>
                <w:spacing w:val="-6"/>
              </w:rPr>
              <w:t>较重</w:t>
            </w:r>
          </w:p>
        </w:tc>
        <w:tc>
          <w:tcPr>
            <w:tcW w:w="8234" w:type="dxa"/>
            <w:vAlign w:val="top"/>
          </w:tcPr>
          <w:p>
            <w:pPr>
              <w:pStyle w:val="TableText"/>
              <w:ind w:left="11"/>
              <w:spacing w:before="53" w:line="230" w:lineRule="auto"/>
              <w:jc w:val="both"/>
              <w:rPr>
                <w:sz w:val="25"/>
                <w:szCs w:val="25"/>
              </w:rPr>
            </w:pPr>
            <w:r>
              <w:rPr>
                <w:sz w:val="25"/>
                <w:szCs w:val="25"/>
                <w:spacing w:val="-1"/>
              </w:rPr>
              <w:t>未按照规定对公共场所的空气、微小气候、水质、采光、</w:t>
            </w:r>
            <w:r>
              <w:rPr>
                <w:sz w:val="25"/>
                <w:szCs w:val="25"/>
                <w:spacing w:val="-2"/>
              </w:rPr>
              <w:t>照明、噪声、顾客</w:t>
            </w:r>
            <w:r>
              <w:rPr>
                <w:sz w:val="25"/>
                <w:szCs w:val="25"/>
              </w:rPr>
              <w:t xml:space="preserve"> </w:t>
            </w:r>
            <w:r>
              <w:rPr>
                <w:sz w:val="25"/>
                <w:szCs w:val="25"/>
                <w:spacing w:val="-1"/>
              </w:rPr>
              <w:t>用品用具等进行卫生检测，逾期不改正的；或者卫生质量不符</w:t>
            </w:r>
            <w:r>
              <w:rPr>
                <w:sz w:val="25"/>
                <w:szCs w:val="25"/>
                <w:spacing w:val="-2"/>
              </w:rPr>
              <w:t>合卫生标准和</w:t>
            </w:r>
            <w:r>
              <w:rPr>
                <w:sz w:val="25"/>
                <w:szCs w:val="25"/>
              </w:rPr>
              <w:t xml:space="preserve"> </w:t>
            </w:r>
            <w:r>
              <w:rPr>
                <w:sz w:val="25"/>
                <w:szCs w:val="25"/>
                <w:spacing w:val="7"/>
              </w:rPr>
              <w:t>要求，逾期不改正，而继续营业的</w:t>
            </w:r>
          </w:p>
        </w:tc>
        <w:tc>
          <w:tcPr>
            <w:tcW w:w="4261" w:type="dxa"/>
            <w:vAlign w:val="top"/>
          </w:tcPr>
          <w:p>
            <w:pPr>
              <w:spacing w:line="300" w:lineRule="auto"/>
              <w:rPr>
                <w:rFonts w:ascii="Arial"/>
                <w:sz w:val="21"/>
              </w:rPr>
            </w:pPr>
            <w:r/>
          </w:p>
          <w:p>
            <w:pPr>
              <w:pStyle w:val="TableText"/>
              <w:ind w:left="97"/>
              <w:spacing w:before="82" w:line="218" w:lineRule="auto"/>
              <w:rPr>
                <w:sz w:val="25"/>
                <w:szCs w:val="25"/>
              </w:rPr>
            </w:pPr>
            <w:r>
              <w:rPr>
                <w:sz w:val="25"/>
                <w:szCs w:val="25"/>
                <w:spacing w:val="1"/>
              </w:rPr>
              <w:t>警告，罚款2000元以上20000元以下</w:t>
            </w:r>
          </w:p>
        </w:tc>
      </w:tr>
      <w:tr>
        <w:trPr>
          <w:trHeight w:val="1022" w:hRule="atLeast"/>
        </w:trPr>
        <w:tc>
          <w:tcPr>
            <w:tcW w:w="1414" w:type="dxa"/>
            <w:vAlign w:val="top"/>
          </w:tcPr>
          <w:p>
            <w:pPr>
              <w:spacing w:line="312" w:lineRule="auto"/>
              <w:rPr>
                <w:rFonts w:ascii="Arial"/>
                <w:sz w:val="21"/>
              </w:rPr>
            </w:pPr>
            <w:r/>
          </w:p>
          <w:p>
            <w:pPr>
              <w:pStyle w:val="TableText"/>
              <w:ind w:left="448"/>
              <w:spacing w:before="81" w:line="220" w:lineRule="auto"/>
              <w:rPr>
                <w:sz w:val="25"/>
                <w:szCs w:val="25"/>
              </w:rPr>
            </w:pPr>
            <w:r>
              <w:rPr>
                <w:sz w:val="25"/>
                <w:szCs w:val="25"/>
                <w:b/>
                <w:bCs/>
                <w:spacing w:val="-6"/>
              </w:rPr>
              <w:t>严重</w:t>
            </w:r>
          </w:p>
        </w:tc>
        <w:tc>
          <w:tcPr>
            <w:tcW w:w="8234" w:type="dxa"/>
            <w:vAlign w:val="top"/>
          </w:tcPr>
          <w:p>
            <w:pPr>
              <w:pStyle w:val="TableText"/>
              <w:ind w:left="11"/>
              <w:spacing w:before="97" w:line="225" w:lineRule="auto"/>
              <w:jc w:val="both"/>
              <w:rPr>
                <w:sz w:val="25"/>
                <w:szCs w:val="25"/>
              </w:rPr>
            </w:pPr>
            <w:r>
              <w:rPr>
                <w:sz w:val="25"/>
                <w:szCs w:val="25"/>
                <w:spacing w:val="-1"/>
              </w:rPr>
              <w:t>未按照规定对公共场所的空气、微小气候、水质、采光、</w:t>
            </w:r>
            <w:r>
              <w:rPr>
                <w:sz w:val="25"/>
                <w:szCs w:val="25"/>
                <w:spacing w:val="-2"/>
              </w:rPr>
              <w:t>照明、噪声、顾客</w:t>
            </w:r>
            <w:r>
              <w:rPr>
                <w:sz w:val="25"/>
                <w:szCs w:val="25"/>
              </w:rPr>
              <w:t xml:space="preserve"> </w:t>
            </w:r>
            <w:r>
              <w:rPr>
                <w:sz w:val="25"/>
                <w:szCs w:val="25"/>
                <w:spacing w:val="-1"/>
              </w:rPr>
              <w:t>用品用具等进行卫生检测，或者卫生质量不符合卫生标准和要</w:t>
            </w:r>
            <w:r>
              <w:rPr>
                <w:sz w:val="25"/>
                <w:szCs w:val="25"/>
                <w:spacing w:val="-2"/>
              </w:rPr>
              <w:t>求，而继续营</w:t>
            </w:r>
            <w:r>
              <w:rPr>
                <w:sz w:val="25"/>
                <w:szCs w:val="25"/>
              </w:rPr>
              <w:t xml:space="preserve"> </w:t>
            </w:r>
            <w:r>
              <w:rPr>
                <w:sz w:val="25"/>
                <w:szCs w:val="25"/>
                <w:spacing w:val="11"/>
              </w:rPr>
              <w:t>业，造成严重后果的</w:t>
            </w:r>
          </w:p>
        </w:tc>
        <w:tc>
          <w:tcPr>
            <w:tcW w:w="4261" w:type="dxa"/>
            <w:vAlign w:val="top"/>
          </w:tcPr>
          <w:p>
            <w:pPr>
              <w:pStyle w:val="TableText"/>
              <w:ind w:left="97"/>
              <w:spacing w:before="256" w:line="253" w:lineRule="auto"/>
              <w:rPr>
                <w:sz w:val="25"/>
                <w:szCs w:val="25"/>
              </w:rPr>
            </w:pPr>
            <w:r>
              <w:rPr>
                <w:sz w:val="25"/>
                <w:szCs w:val="25"/>
                <w:spacing w:val="-6"/>
              </w:rPr>
              <w:t>责令限期改正，处以二万元罚款，依法</w:t>
            </w:r>
            <w:r>
              <w:rPr>
                <w:sz w:val="25"/>
                <w:szCs w:val="25"/>
                <w:spacing w:val="4"/>
              </w:rPr>
              <w:t xml:space="preserve"> </w:t>
            </w:r>
            <w:r>
              <w:rPr>
                <w:sz w:val="25"/>
                <w:szCs w:val="25"/>
              </w:rPr>
              <w:t>责令停业整顿，直至吊销卫生许可证</w:t>
            </w:r>
          </w:p>
        </w:tc>
      </w:tr>
    </w:tbl>
    <w:p>
      <w:pPr>
        <w:pStyle w:val="BodyText"/>
        <w:spacing w:line="438" w:lineRule="auto"/>
        <w:rPr/>
      </w:pPr>
      <w:r/>
    </w:p>
    <w:p>
      <w:pPr>
        <w:ind w:left="39" w:right="18" w:firstLine="649"/>
        <w:spacing w:before="94" w:line="283" w:lineRule="auto"/>
        <w:rPr>
          <w:rFonts w:ascii="FangSong" w:hAnsi="FangSong" w:eastAsia="FangSong" w:cs="FangSong"/>
          <w:sz w:val="29"/>
          <w:szCs w:val="29"/>
        </w:rPr>
      </w:pPr>
      <w:r>
        <w:rPr>
          <w:rFonts w:ascii="FangSong" w:hAnsi="FangSong" w:eastAsia="FangSong" w:cs="FangSong"/>
          <w:sz w:val="29"/>
          <w:szCs w:val="29"/>
          <w:b/>
          <w:bCs/>
          <w:spacing w:val="30"/>
        </w:rPr>
        <w:t>第四百二十七条公共场所经营者未按照规定对顾客用品用具进行清洗、消毒、保洁的，或者重</w:t>
      </w:r>
      <w:r>
        <w:rPr>
          <w:rFonts w:ascii="FangSong" w:hAnsi="FangSong" w:eastAsia="FangSong" w:cs="FangSong"/>
          <w:sz w:val="29"/>
          <w:szCs w:val="29"/>
          <w:spacing w:val="11"/>
        </w:rPr>
        <w:t xml:space="preserve"> </w:t>
      </w:r>
      <w:r>
        <w:rPr>
          <w:rFonts w:ascii="FangSong" w:hAnsi="FangSong" w:eastAsia="FangSong" w:cs="FangSong"/>
          <w:sz w:val="29"/>
          <w:szCs w:val="29"/>
          <w:b/>
          <w:bCs/>
          <w:spacing w:val="24"/>
        </w:rPr>
        <w:t>复使用一次性用品用具的</w:t>
      </w:r>
    </w:p>
    <w:p>
      <w:pPr>
        <w:ind w:left="675"/>
        <w:spacing w:line="222" w:lineRule="auto"/>
        <w:rPr>
          <w:rFonts w:ascii="FangSong" w:hAnsi="FangSong" w:eastAsia="FangSong" w:cs="FangSong"/>
          <w:sz w:val="29"/>
          <w:szCs w:val="29"/>
        </w:rPr>
      </w:pPr>
      <w:r>
        <w:rPr>
          <w:rFonts w:ascii="FangSong" w:hAnsi="FangSong" w:eastAsia="FangSong" w:cs="FangSong"/>
          <w:sz w:val="29"/>
          <w:szCs w:val="29"/>
          <w:spacing w:val="6"/>
        </w:rPr>
        <w:t>法律依据：</w:t>
      </w:r>
    </w:p>
    <w:p>
      <w:pPr>
        <w:ind w:left="35" w:firstLine="634"/>
        <w:spacing w:before="119" w:line="274" w:lineRule="auto"/>
        <w:rPr>
          <w:rFonts w:ascii="FangSong" w:hAnsi="FangSong" w:eastAsia="FangSong" w:cs="FangSong"/>
          <w:sz w:val="29"/>
          <w:szCs w:val="29"/>
        </w:rPr>
      </w:pPr>
      <w:r>
        <w:rPr>
          <w:rFonts w:ascii="FangSong" w:hAnsi="FangSong" w:eastAsia="FangSong" w:cs="FangSong"/>
          <w:sz w:val="29"/>
          <w:szCs w:val="29"/>
          <w:spacing w:val="29"/>
        </w:rPr>
        <w:t>《公共场所卫生管理条例》第十四条第</w:t>
      </w:r>
      <w:r>
        <w:rPr>
          <w:rFonts w:ascii="FangSong" w:hAnsi="FangSong" w:eastAsia="FangSong" w:cs="FangSong"/>
          <w:sz w:val="29"/>
          <w:szCs w:val="29"/>
          <w:spacing w:val="-51"/>
        </w:rPr>
        <w:t xml:space="preserve"> </w:t>
      </w:r>
      <w:r>
        <w:rPr>
          <w:rFonts w:ascii="FangSong" w:hAnsi="FangSong" w:eastAsia="FangSong" w:cs="FangSong"/>
          <w:sz w:val="29"/>
          <w:szCs w:val="29"/>
          <w:spacing w:val="29"/>
        </w:rPr>
        <w:t>一款第(</w:t>
      </w:r>
      <w:r>
        <w:rPr>
          <w:rFonts w:ascii="FangSong" w:hAnsi="FangSong" w:eastAsia="FangSong" w:cs="FangSong"/>
          <w:sz w:val="29"/>
          <w:szCs w:val="29"/>
          <w:spacing w:val="-82"/>
        </w:rPr>
        <w:t xml:space="preserve"> </w:t>
      </w:r>
      <w:r>
        <w:rPr>
          <w:rFonts w:ascii="FangSong" w:hAnsi="FangSong" w:eastAsia="FangSong" w:cs="FangSong"/>
          <w:sz w:val="29"/>
          <w:szCs w:val="29"/>
          <w:spacing w:val="29"/>
        </w:rPr>
        <w:t>一)项</w:t>
      </w:r>
      <w:r>
        <w:rPr>
          <w:rFonts w:ascii="FangSong" w:hAnsi="FangSong" w:eastAsia="FangSong" w:cs="FangSong"/>
          <w:sz w:val="29"/>
          <w:szCs w:val="29"/>
          <w:spacing w:val="29"/>
        </w:rPr>
        <w:t xml:space="preserve">  </w:t>
      </w:r>
      <w:r>
        <w:rPr>
          <w:rFonts w:ascii="FangSong" w:hAnsi="FangSong" w:eastAsia="FangSong" w:cs="FangSong"/>
          <w:sz w:val="29"/>
          <w:szCs w:val="29"/>
          <w:spacing w:val="29"/>
        </w:rPr>
        <w:t>凡有下列行为之一的单位或者个人，卫</w:t>
      </w:r>
      <w:r>
        <w:rPr>
          <w:rFonts w:ascii="FangSong" w:hAnsi="FangSong" w:eastAsia="FangSong" w:cs="FangSong"/>
          <w:sz w:val="29"/>
          <w:szCs w:val="29"/>
        </w:rPr>
        <w:t xml:space="preserve"> </w:t>
      </w:r>
      <w:r>
        <w:rPr>
          <w:rFonts w:ascii="FangSong" w:hAnsi="FangSong" w:eastAsia="FangSong" w:cs="FangSong"/>
          <w:sz w:val="29"/>
          <w:szCs w:val="29"/>
          <w:spacing w:val="27"/>
        </w:rPr>
        <w:t>生防疫机构可以根据情节轻重，给予警告、罚款、停业整顿、吊销卫生许可证的行政处罚：</w:t>
      </w:r>
    </w:p>
    <w:p>
      <w:pPr>
        <w:pStyle w:val="BodyText"/>
        <w:spacing w:line="251" w:lineRule="auto"/>
        <w:rPr/>
      </w:pPr>
      <w:r/>
    </w:p>
    <w:p>
      <w:pPr>
        <w:pStyle w:val="BodyText"/>
        <w:spacing w:line="251" w:lineRule="auto"/>
        <w:rPr/>
      </w:pPr>
      <w:r/>
    </w:p>
    <w:p>
      <w:pPr>
        <w:pStyle w:val="BodyText"/>
        <w:spacing w:line="251" w:lineRule="auto"/>
        <w:rPr/>
      </w:pPr>
      <w:r/>
    </w:p>
    <w:p>
      <w:pPr>
        <w:ind w:left="6365"/>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—500—</w:t>
      </w:r>
    </w:p>
    <w:p>
      <w:pPr>
        <w:spacing w:line="188" w:lineRule="auto"/>
        <w:sectPr>
          <w:footerReference w:type="default" r:id="rId24"/>
          <w:pgSz w:w="16830" w:h="11900"/>
          <w:pgMar w:top="1011" w:right="1449" w:bottom="400" w:left="1414" w:header="0" w:footer="0" w:gutter="0"/>
        </w:sectPr>
        <w:rPr>
          <w:rFonts w:ascii="Times New Roman" w:hAnsi="Times New Roman" w:eastAsia="Times New Roman" w:cs="Times New Roman"/>
          <w:sz w:val="37"/>
          <w:szCs w:val="37"/>
        </w:rPr>
      </w:pPr>
    </w:p>
    <w:p>
      <w:pPr>
        <w:pStyle w:val="BodyText"/>
        <w:spacing w:line="263" w:lineRule="auto"/>
        <w:rPr/>
      </w:pPr>
      <w:r/>
    </w:p>
    <w:p>
      <w:pPr>
        <w:pStyle w:val="BodyText"/>
        <w:spacing w:line="263" w:lineRule="auto"/>
        <w:rPr/>
      </w:pPr>
      <w:r/>
    </w:p>
    <w:p>
      <w:pPr>
        <w:pStyle w:val="BodyText"/>
        <w:spacing w:line="264" w:lineRule="auto"/>
        <w:rPr/>
      </w:pPr>
      <w:r/>
    </w:p>
    <w:p>
      <w:pPr>
        <w:ind w:left="795"/>
        <w:spacing w:before="101" w:line="221" w:lineRule="auto"/>
        <w:rPr>
          <w:rFonts w:ascii="FangSong" w:hAnsi="FangSong" w:eastAsia="FangSong" w:cs="FangSong"/>
          <w:sz w:val="31"/>
          <w:szCs w:val="31"/>
        </w:rPr>
      </w:pPr>
      <w:bookmarkStart w:name="bookmark1099" w:id="473"/>
      <w:bookmarkEnd w:id="473"/>
      <w:r>
        <w:rPr>
          <w:rFonts w:ascii="FangSong" w:hAnsi="FangSong" w:eastAsia="FangSong" w:cs="FangSong"/>
          <w:sz w:val="31"/>
          <w:szCs w:val="31"/>
          <w:spacing w:val="13"/>
        </w:rPr>
        <w:t>(一)卫生质量不符合国家卫生标准和要求，而继续营业的；</w:t>
      </w:r>
    </w:p>
    <w:p>
      <w:pPr>
        <w:ind w:left="15" w:firstLine="624"/>
        <w:spacing w:before="54" w:line="261" w:lineRule="auto"/>
        <w:jc w:val="both"/>
        <w:rPr>
          <w:rFonts w:ascii="FangSong" w:hAnsi="FangSong" w:eastAsia="FangSong" w:cs="FangSong"/>
          <w:sz w:val="31"/>
          <w:szCs w:val="31"/>
        </w:rPr>
      </w:pPr>
      <w:r>
        <w:rPr>
          <w:rFonts w:ascii="FangSong" w:hAnsi="FangSong" w:eastAsia="FangSong" w:cs="FangSong"/>
          <w:sz w:val="31"/>
          <w:szCs w:val="31"/>
          <w:spacing w:val="9"/>
        </w:rPr>
        <w:t>《公共场所卫生管理条例实施细则》第三十六条第(二)项</w:t>
      </w:r>
      <w:r>
        <w:rPr>
          <w:rFonts w:ascii="FangSong" w:hAnsi="FangSong" w:eastAsia="FangSong" w:cs="FangSong"/>
          <w:sz w:val="31"/>
          <w:szCs w:val="31"/>
          <w:spacing w:val="9"/>
        </w:rPr>
        <w:t xml:space="preserve">  </w:t>
      </w:r>
      <w:r>
        <w:rPr>
          <w:rFonts w:ascii="FangSong" w:hAnsi="FangSong" w:eastAsia="FangSong" w:cs="FangSong"/>
          <w:sz w:val="31"/>
          <w:szCs w:val="31"/>
          <w:spacing w:val="9"/>
        </w:rPr>
        <w:t>公共场所经营者有</w:t>
      </w:r>
      <w:r>
        <w:rPr>
          <w:rFonts w:ascii="FangSong" w:hAnsi="FangSong" w:eastAsia="FangSong" w:cs="FangSong"/>
          <w:sz w:val="31"/>
          <w:szCs w:val="31"/>
          <w:spacing w:val="8"/>
        </w:rPr>
        <w:t>下列情形之一的，</w:t>
      </w:r>
      <w:r>
        <w:rPr>
          <w:rFonts w:ascii="FangSong" w:hAnsi="FangSong" w:eastAsia="FangSong" w:cs="FangSong"/>
          <w:sz w:val="31"/>
          <w:szCs w:val="31"/>
        </w:rPr>
        <w:t xml:space="preserve"> </w:t>
      </w:r>
      <w:r>
        <w:rPr>
          <w:rFonts w:ascii="FangSong" w:hAnsi="FangSong" w:eastAsia="FangSong" w:cs="FangSong"/>
          <w:sz w:val="31"/>
          <w:szCs w:val="31"/>
          <w:spacing w:val="6"/>
        </w:rPr>
        <w:t>由县级以上地方人民政府卫生行政部门责令限期改正，给予警告，并可处以二千元以下罚款；逾期不</w:t>
      </w:r>
      <w:r>
        <w:rPr>
          <w:rFonts w:ascii="FangSong" w:hAnsi="FangSong" w:eastAsia="FangSong" w:cs="FangSong"/>
          <w:sz w:val="31"/>
          <w:szCs w:val="31"/>
          <w:spacing w:val="3"/>
        </w:rPr>
        <w:t xml:space="preserve"> </w:t>
      </w:r>
      <w:r>
        <w:rPr>
          <w:rFonts w:ascii="FangSong" w:hAnsi="FangSong" w:eastAsia="FangSong" w:cs="FangSong"/>
          <w:sz w:val="31"/>
          <w:szCs w:val="31"/>
          <w:spacing w:val="6"/>
        </w:rPr>
        <w:t>改正，造成公共场所卫生质量不符合卫生标准和要求的，处以二千元以上二万元以下罚款；情节严重</w:t>
      </w:r>
      <w:r>
        <w:rPr>
          <w:rFonts w:ascii="FangSong" w:hAnsi="FangSong" w:eastAsia="FangSong" w:cs="FangSong"/>
          <w:sz w:val="31"/>
          <w:szCs w:val="31"/>
          <w:spacing w:val="2"/>
        </w:rPr>
        <w:t xml:space="preserve"> </w:t>
      </w:r>
      <w:r>
        <w:rPr>
          <w:rFonts w:ascii="FangSong" w:hAnsi="FangSong" w:eastAsia="FangSong" w:cs="FangSong"/>
          <w:sz w:val="31"/>
          <w:szCs w:val="31"/>
          <w:spacing w:val="5"/>
        </w:rPr>
        <w:t>的，可以依法责令停业整顿，直至吊销卫生许可证：</w:t>
      </w:r>
    </w:p>
    <w:p>
      <w:pPr>
        <w:ind w:left="6419" w:right="340" w:hanging="5624"/>
        <w:spacing w:before="2" w:line="267" w:lineRule="auto"/>
        <w:rPr>
          <w:rFonts w:ascii="SimSun" w:hAnsi="SimSun" w:eastAsia="SimSun" w:cs="SimSun"/>
          <w:sz w:val="33"/>
          <w:szCs w:val="33"/>
        </w:rPr>
      </w:pPr>
      <w:r>
        <w:rPr>
          <w:rFonts w:ascii="FangSong" w:hAnsi="FangSong" w:eastAsia="FangSong" w:cs="FangSong"/>
          <w:sz w:val="31"/>
          <w:szCs w:val="31"/>
          <w:spacing w:val="13"/>
        </w:rPr>
        <w:t>(二)未按照规定对顾客用品用具进行清洗、消</w:t>
      </w:r>
      <w:r>
        <w:rPr>
          <w:rFonts w:ascii="FangSong" w:hAnsi="FangSong" w:eastAsia="FangSong" w:cs="FangSong"/>
          <w:sz w:val="31"/>
          <w:szCs w:val="31"/>
          <w:spacing w:val="12"/>
        </w:rPr>
        <w:t>毒、保洁，或者重复使用一次性用品用具的。</w:t>
      </w:r>
      <w:r>
        <w:rPr>
          <w:rFonts w:ascii="FangSong" w:hAnsi="FangSong" w:eastAsia="FangSong" w:cs="FangSong"/>
          <w:sz w:val="31"/>
          <w:szCs w:val="31"/>
        </w:rPr>
        <w:t xml:space="preserve"> </w:t>
      </w:r>
      <w:r>
        <w:rPr>
          <w:rFonts w:ascii="SimSun" w:hAnsi="SimSun" w:eastAsia="SimSun" w:cs="SimSun"/>
          <w:sz w:val="33"/>
          <w:szCs w:val="33"/>
          <w:b/>
          <w:bCs/>
          <w:spacing w:val="-2"/>
        </w:rPr>
        <w:t>裁量标准</w:t>
      </w:r>
    </w:p>
    <w:tbl>
      <w:tblPr>
        <w:tblStyle w:val="TableNormal"/>
        <w:tblW w:w="139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8214"/>
        <w:gridCol w:w="4282"/>
      </w:tblGrid>
      <w:tr>
        <w:trPr>
          <w:trHeight w:val="443" w:hRule="atLeast"/>
        </w:trPr>
        <w:tc>
          <w:tcPr>
            <w:tcW w:w="1404" w:type="dxa"/>
            <w:vAlign w:val="top"/>
          </w:tcPr>
          <w:p>
            <w:pPr>
              <w:pStyle w:val="TableText"/>
              <w:ind w:left="198"/>
              <w:spacing w:before="102" w:line="220" w:lineRule="auto"/>
              <w:rPr>
                <w:sz w:val="25"/>
                <w:szCs w:val="25"/>
              </w:rPr>
            </w:pPr>
            <w:r>
              <w:rPr>
                <w:sz w:val="25"/>
                <w:szCs w:val="25"/>
                <w:b/>
                <w:bCs/>
                <w:spacing w:val="-5"/>
              </w:rPr>
              <w:t>违法程度</w:t>
            </w:r>
          </w:p>
        </w:tc>
        <w:tc>
          <w:tcPr>
            <w:tcW w:w="8214" w:type="dxa"/>
            <w:vAlign w:val="top"/>
          </w:tcPr>
          <w:p>
            <w:pPr>
              <w:pStyle w:val="TableText"/>
              <w:ind w:left="3604"/>
              <w:spacing w:before="102" w:line="220" w:lineRule="auto"/>
              <w:rPr>
                <w:sz w:val="25"/>
                <w:szCs w:val="25"/>
              </w:rPr>
            </w:pPr>
            <w:r>
              <w:rPr>
                <w:sz w:val="25"/>
                <w:szCs w:val="25"/>
                <w:b/>
                <w:bCs/>
                <w:spacing w:val="-5"/>
              </w:rPr>
              <w:t>情节后果</w:t>
            </w:r>
          </w:p>
        </w:tc>
        <w:tc>
          <w:tcPr>
            <w:tcW w:w="4282" w:type="dxa"/>
            <w:vAlign w:val="top"/>
          </w:tcPr>
          <w:p>
            <w:pPr>
              <w:pStyle w:val="TableText"/>
              <w:ind w:left="1640"/>
              <w:spacing w:before="99" w:line="218" w:lineRule="auto"/>
              <w:rPr>
                <w:sz w:val="25"/>
                <w:szCs w:val="25"/>
              </w:rPr>
            </w:pPr>
            <w:r>
              <w:rPr>
                <w:sz w:val="25"/>
                <w:szCs w:val="25"/>
                <w:b/>
                <w:bCs/>
                <w:spacing w:val="-5"/>
              </w:rPr>
              <w:t>裁量幅度</w:t>
            </w:r>
          </w:p>
        </w:tc>
      </w:tr>
      <w:tr>
        <w:trPr>
          <w:trHeight w:val="768" w:hRule="atLeast"/>
        </w:trPr>
        <w:tc>
          <w:tcPr>
            <w:tcW w:w="1404" w:type="dxa"/>
            <w:vAlign w:val="top"/>
          </w:tcPr>
          <w:p>
            <w:pPr>
              <w:pStyle w:val="TableText"/>
              <w:ind w:left="448"/>
              <w:spacing w:before="258" w:line="219" w:lineRule="auto"/>
              <w:rPr>
                <w:sz w:val="25"/>
                <w:szCs w:val="25"/>
              </w:rPr>
            </w:pPr>
            <w:r>
              <w:rPr>
                <w:sz w:val="25"/>
                <w:szCs w:val="25"/>
                <w:b/>
                <w:bCs/>
                <w:spacing w:val="-6"/>
              </w:rPr>
              <w:t>较轻</w:t>
            </w:r>
          </w:p>
        </w:tc>
        <w:tc>
          <w:tcPr>
            <w:tcW w:w="8214" w:type="dxa"/>
            <w:vAlign w:val="top"/>
          </w:tcPr>
          <w:p>
            <w:pPr>
              <w:pStyle w:val="TableText"/>
              <w:ind w:left="129" w:hanging="119"/>
              <w:spacing w:before="110" w:line="239" w:lineRule="auto"/>
              <w:rPr>
                <w:sz w:val="25"/>
                <w:szCs w:val="25"/>
              </w:rPr>
            </w:pPr>
            <w:r>
              <w:rPr>
                <w:sz w:val="25"/>
                <w:szCs w:val="25"/>
                <w:spacing w:val="-2"/>
              </w:rPr>
              <w:t>未按照规定对顾客用品用具进行清洗、消毒、保洁，或者重复使用一次性用</w:t>
            </w:r>
            <w:r>
              <w:rPr>
                <w:sz w:val="25"/>
                <w:szCs w:val="25"/>
                <w:spacing w:val="8"/>
              </w:rPr>
              <w:t xml:space="preserve"> </w:t>
            </w:r>
            <w:r>
              <w:rPr>
                <w:sz w:val="25"/>
                <w:szCs w:val="25"/>
                <w:spacing w:val="3"/>
              </w:rPr>
              <w:t>品用具的</w:t>
            </w:r>
          </w:p>
        </w:tc>
        <w:tc>
          <w:tcPr>
            <w:tcW w:w="4282" w:type="dxa"/>
            <w:vAlign w:val="top"/>
          </w:tcPr>
          <w:p>
            <w:pPr>
              <w:pStyle w:val="TableText"/>
              <w:ind w:left="117"/>
              <w:spacing w:before="260" w:line="218" w:lineRule="auto"/>
              <w:rPr>
                <w:sz w:val="25"/>
                <w:szCs w:val="25"/>
              </w:rPr>
            </w:pPr>
            <w:r>
              <w:rPr>
                <w:sz w:val="25"/>
                <w:szCs w:val="25"/>
                <w:spacing w:val="1"/>
              </w:rPr>
              <w:t>警告，并可处罚款2000元以下</w:t>
            </w:r>
          </w:p>
        </w:tc>
      </w:tr>
      <w:tr>
        <w:trPr>
          <w:trHeight w:val="698" w:hRule="atLeast"/>
        </w:trPr>
        <w:tc>
          <w:tcPr>
            <w:tcW w:w="1404" w:type="dxa"/>
            <w:vAlign w:val="top"/>
          </w:tcPr>
          <w:p>
            <w:pPr>
              <w:pStyle w:val="TableText"/>
              <w:ind w:left="448"/>
              <w:spacing w:before="232" w:line="221" w:lineRule="auto"/>
              <w:rPr>
                <w:sz w:val="25"/>
                <w:szCs w:val="25"/>
              </w:rPr>
            </w:pPr>
            <w:r>
              <w:rPr>
                <w:sz w:val="25"/>
                <w:szCs w:val="25"/>
                <w:b/>
                <w:bCs/>
                <w:spacing w:val="-10"/>
              </w:rPr>
              <w:t>一般</w:t>
            </w:r>
          </w:p>
        </w:tc>
        <w:tc>
          <w:tcPr>
            <w:tcW w:w="8214" w:type="dxa"/>
            <w:vAlign w:val="top"/>
          </w:tcPr>
          <w:p>
            <w:pPr>
              <w:pStyle w:val="TableText"/>
              <w:ind w:left="119" w:hanging="109"/>
              <w:spacing w:before="54" w:line="234" w:lineRule="auto"/>
              <w:rPr>
                <w:sz w:val="25"/>
                <w:szCs w:val="25"/>
              </w:rPr>
            </w:pPr>
            <w:r>
              <w:rPr>
                <w:sz w:val="25"/>
                <w:szCs w:val="25"/>
                <w:spacing w:val="-2"/>
              </w:rPr>
              <w:t>未按照规定对顾客用品用具进行清洗、消毒、保洁，或者重复使用一次性用</w:t>
            </w:r>
            <w:r>
              <w:rPr>
                <w:sz w:val="25"/>
                <w:szCs w:val="25"/>
                <w:spacing w:val="8"/>
              </w:rPr>
              <w:t xml:space="preserve"> </w:t>
            </w:r>
            <w:r>
              <w:rPr>
                <w:sz w:val="25"/>
                <w:szCs w:val="25"/>
              </w:rPr>
              <w:t>品用具的，逾期不改正的</w:t>
            </w:r>
          </w:p>
        </w:tc>
        <w:tc>
          <w:tcPr>
            <w:tcW w:w="4282" w:type="dxa"/>
            <w:vAlign w:val="top"/>
          </w:tcPr>
          <w:p>
            <w:pPr>
              <w:pStyle w:val="TableText"/>
              <w:ind w:left="196"/>
              <w:spacing w:before="232" w:line="218" w:lineRule="auto"/>
              <w:rPr>
                <w:sz w:val="25"/>
                <w:szCs w:val="25"/>
              </w:rPr>
            </w:pPr>
            <w:r>
              <w:rPr>
                <w:sz w:val="25"/>
                <w:szCs w:val="25"/>
              </w:rPr>
              <w:t>警告，罚款2000元以上10000元以下</w:t>
            </w:r>
          </w:p>
        </w:tc>
      </w:tr>
      <w:tr>
        <w:trPr>
          <w:trHeight w:val="828" w:hRule="atLeast"/>
        </w:trPr>
        <w:tc>
          <w:tcPr>
            <w:tcW w:w="1404" w:type="dxa"/>
            <w:vAlign w:val="top"/>
          </w:tcPr>
          <w:p>
            <w:pPr>
              <w:pStyle w:val="TableText"/>
              <w:ind w:left="448"/>
              <w:spacing w:before="296" w:line="221" w:lineRule="auto"/>
              <w:rPr>
                <w:sz w:val="25"/>
                <w:szCs w:val="25"/>
              </w:rPr>
            </w:pPr>
            <w:r>
              <w:rPr>
                <w:sz w:val="25"/>
                <w:szCs w:val="25"/>
                <w:b/>
                <w:bCs/>
                <w:spacing w:val="-6"/>
              </w:rPr>
              <w:t>较重</w:t>
            </w:r>
          </w:p>
        </w:tc>
        <w:tc>
          <w:tcPr>
            <w:tcW w:w="8214" w:type="dxa"/>
            <w:vAlign w:val="top"/>
          </w:tcPr>
          <w:p>
            <w:pPr>
              <w:pStyle w:val="TableText"/>
              <w:ind w:left="10"/>
              <w:spacing w:before="135" w:line="252" w:lineRule="auto"/>
              <w:rPr>
                <w:sz w:val="25"/>
                <w:szCs w:val="25"/>
              </w:rPr>
            </w:pPr>
            <w:r>
              <w:rPr>
                <w:sz w:val="25"/>
                <w:szCs w:val="25"/>
                <w:spacing w:val="-2"/>
              </w:rPr>
              <w:t>未按照规定对顾客用品用具进行清洗、消毒、保洁，或者重复使用一次性用</w:t>
            </w:r>
            <w:r>
              <w:rPr>
                <w:sz w:val="25"/>
                <w:szCs w:val="25"/>
                <w:spacing w:val="8"/>
              </w:rPr>
              <w:t xml:space="preserve"> </w:t>
            </w:r>
            <w:r>
              <w:rPr>
                <w:sz w:val="25"/>
                <w:szCs w:val="25"/>
                <w:spacing w:val="-2"/>
              </w:rPr>
              <w:t>品用具的，逾期不改正的，造成公共场所卫生质量不符合卫</w:t>
            </w:r>
            <w:r>
              <w:rPr>
                <w:sz w:val="25"/>
                <w:szCs w:val="25"/>
                <w:spacing w:val="-3"/>
              </w:rPr>
              <w:t>生标准和要求的</w:t>
            </w:r>
          </w:p>
        </w:tc>
        <w:tc>
          <w:tcPr>
            <w:tcW w:w="4282" w:type="dxa"/>
            <w:vAlign w:val="top"/>
          </w:tcPr>
          <w:p>
            <w:pPr>
              <w:pStyle w:val="TableText"/>
              <w:ind w:left="137"/>
              <w:spacing w:before="294" w:line="218" w:lineRule="auto"/>
              <w:rPr>
                <w:sz w:val="25"/>
                <w:szCs w:val="25"/>
              </w:rPr>
            </w:pPr>
            <w:r>
              <w:rPr>
                <w:sz w:val="25"/>
                <w:szCs w:val="25"/>
              </w:rPr>
              <w:t>警告，罚款10000元以上20000元以下</w:t>
            </w:r>
          </w:p>
        </w:tc>
      </w:tr>
      <w:tr>
        <w:trPr>
          <w:trHeight w:val="852" w:hRule="atLeast"/>
        </w:trPr>
        <w:tc>
          <w:tcPr>
            <w:tcW w:w="1404" w:type="dxa"/>
            <w:vAlign w:val="top"/>
          </w:tcPr>
          <w:p>
            <w:pPr>
              <w:pStyle w:val="TableText"/>
              <w:ind w:left="448"/>
              <w:spacing w:before="305" w:line="220" w:lineRule="auto"/>
              <w:rPr>
                <w:sz w:val="25"/>
                <w:szCs w:val="25"/>
              </w:rPr>
            </w:pPr>
            <w:r>
              <w:rPr>
                <w:sz w:val="25"/>
                <w:szCs w:val="25"/>
                <w:b/>
                <w:bCs/>
                <w:spacing w:val="-6"/>
              </w:rPr>
              <w:t>严重</w:t>
            </w:r>
          </w:p>
        </w:tc>
        <w:tc>
          <w:tcPr>
            <w:tcW w:w="8214" w:type="dxa"/>
            <w:vAlign w:val="top"/>
          </w:tcPr>
          <w:p>
            <w:pPr>
              <w:pStyle w:val="TableText"/>
              <w:ind w:left="119" w:hanging="109"/>
              <w:spacing w:before="178" w:line="245" w:lineRule="auto"/>
              <w:rPr>
                <w:sz w:val="25"/>
                <w:szCs w:val="25"/>
              </w:rPr>
            </w:pPr>
            <w:r>
              <w:rPr>
                <w:sz w:val="25"/>
                <w:szCs w:val="25"/>
                <w:spacing w:val="-2"/>
              </w:rPr>
              <w:t>未按照规定对顾客用品用具进行清洗、消毒、保洁，或者重复使用一次性用</w:t>
            </w:r>
            <w:r>
              <w:rPr>
                <w:sz w:val="25"/>
                <w:szCs w:val="25"/>
                <w:spacing w:val="8"/>
              </w:rPr>
              <w:t xml:space="preserve"> </w:t>
            </w:r>
            <w:r>
              <w:rPr>
                <w:sz w:val="25"/>
                <w:szCs w:val="25"/>
              </w:rPr>
              <w:t>品用具，造成严重后果的</w:t>
            </w:r>
          </w:p>
        </w:tc>
        <w:tc>
          <w:tcPr>
            <w:tcW w:w="4282" w:type="dxa"/>
            <w:vAlign w:val="top"/>
          </w:tcPr>
          <w:p>
            <w:pPr>
              <w:pStyle w:val="TableText"/>
              <w:ind w:left="126" w:hanging="59"/>
              <w:spacing w:before="156" w:line="253" w:lineRule="auto"/>
              <w:rPr>
                <w:sz w:val="25"/>
                <w:szCs w:val="25"/>
              </w:rPr>
            </w:pPr>
            <w:r>
              <w:rPr>
                <w:sz w:val="25"/>
                <w:szCs w:val="25"/>
                <w:spacing w:val="-3"/>
              </w:rPr>
              <w:t>处以二万元罚款，依法责令停业整顿，</w:t>
            </w:r>
            <w:r>
              <w:rPr>
                <w:sz w:val="25"/>
                <w:szCs w:val="25"/>
                <w:spacing w:val="4"/>
              </w:rPr>
              <w:t xml:space="preserve"> </w:t>
            </w:r>
            <w:r>
              <w:rPr>
                <w:sz w:val="25"/>
                <w:szCs w:val="25"/>
                <w:spacing w:val="-2"/>
              </w:rPr>
              <w:t>直至吊销卫生许可证</w:t>
            </w:r>
          </w:p>
        </w:tc>
      </w:tr>
    </w:tbl>
    <w:p>
      <w:pPr>
        <w:ind w:left="19" w:right="88" w:firstLine="650"/>
        <w:spacing w:before="92" w:line="241" w:lineRule="auto"/>
        <w:rPr>
          <w:rFonts w:ascii="FangSong" w:hAnsi="FangSong" w:eastAsia="FangSong" w:cs="FangSong"/>
          <w:sz w:val="31"/>
          <w:szCs w:val="31"/>
        </w:rPr>
      </w:pPr>
      <w:r>
        <w:rPr>
          <w:rFonts w:ascii="SimSun" w:hAnsi="SimSun" w:eastAsia="SimSun" w:cs="SimSun"/>
          <w:sz w:val="33"/>
          <w:szCs w:val="33"/>
          <w:b/>
          <w:bCs/>
          <w:spacing w:val="-9"/>
        </w:rPr>
        <w:t>第四百二十八条公共场所经营者未按照规定建立卫生管理制度的，</w:t>
      </w:r>
      <w:r>
        <w:rPr>
          <w:rFonts w:ascii="SimSun" w:hAnsi="SimSun" w:eastAsia="SimSun" w:cs="SimSun"/>
          <w:sz w:val="33"/>
          <w:szCs w:val="33"/>
          <w:b/>
          <w:bCs/>
          <w:spacing w:val="-10"/>
        </w:rPr>
        <w:t>或未按照规定设立卫生管理</w:t>
      </w:r>
      <w:r>
        <w:rPr>
          <w:rFonts w:ascii="SimSun" w:hAnsi="SimSun" w:eastAsia="SimSun" w:cs="SimSun"/>
          <w:sz w:val="33"/>
          <w:szCs w:val="33"/>
        </w:rPr>
        <w:t xml:space="preserve"> </w:t>
      </w:r>
      <w:r>
        <w:rPr>
          <w:rFonts w:ascii="FangSong" w:hAnsi="FangSong" w:eastAsia="FangSong" w:cs="FangSong"/>
          <w:sz w:val="31"/>
          <w:szCs w:val="31"/>
          <w:b/>
          <w:bCs/>
          <w:spacing w:val="15"/>
        </w:rPr>
        <w:t>部门的，或未按照规定配备专(兼)职卫生管理人员的，或未按照规</w:t>
      </w:r>
      <w:r>
        <w:rPr>
          <w:rFonts w:ascii="FangSong" w:hAnsi="FangSong" w:eastAsia="FangSong" w:cs="FangSong"/>
          <w:sz w:val="31"/>
          <w:szCs w:val="31"/>
          <w:b/>
          <w:bCs/>
          <w:spacing w:val="14"/>
        </w:rPr>
        <w:t>定建立卫生管理档案的</w:t>
      </w:r>
    </w:p>
    <w:p>
      <w:pPr>
        <w:ind w:left="634"/>
        <w:spacing w:before="76"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spacing w:line="222" w:lineRule="auto"/>
        <w:sectPr>
          <w:footerReference w:type="default" r:id="rId455"/>
          <w:pgSz w:w="16830" w:h="11900"/>
          <w:pgMar w:top="1011" w:right="1345" w:bottom="1107" w:left="1434" w:header="0" w:footer="774" w:gutter="0"/>
        </w:sectPr>
        <w:rPr>
          <w:rFonts w:ascii="FangSong" w:hAnsi="FangSong" w:eastAsia="FangSong" w:cs="FangSong"/>
          <w:sz w:val="27"/>
          <w:szCs w:val="27"/>
        </w:rPr>
      </w:pPr>
    </w:p>
    <w:p>
      <w:pPr>
        <w:pStyle w:val="BodyText"/>
        <w:spacing w:line="262" w:lineRule="auto"/>
        <w:rPr/>
      </w:pPr>
      <w:r/>
    </w:p>
    <w:p>
      <w:pPr>
        <w:pStyle w:val="BodyText"/>
        <w:spacing w:line="262" w:lineRule="auto"/>
        <w:rPr/>
      </w:pPr>
      <w:r/>
    </w:p>
    <w:p>
      <w:pPr>
        <w:pStyle w:val="BodyText"/>
        <w:spacing w:line="263" w:lineRule="auto"/>
        <w:rPr/>
      </w:pPr>
      <w:r/>
    </w:p>
    <w:p>
      <w:pPr>
        <w:ind w:firstLine="630"/>
        <w:spacing w:before="98" w:line="271" w:lineRule="auto"/>
        <w:jc w:val="both"/>
        <w:rPr>
          <w:rFonts w:ascii="FangSong" w:hAnsi="FangSong" w:eastAsia="FangSong" w:cs="FangSong"/>
          <w:sz w:val="30"/>
          <w:szCs w:val="30"/>
        </w:rPr>
      </w:pPr>
      <w:bookmarkStart w:name="bookmark1100" w:id="474"/>
      <w:bookmarkEnd w:id="474"/>
      <w:r>
        <w:rPr>
          <w:rFonts w:ascii="FangSong" w:hAnsi="FangSong" w:eastAsia="FangSong" w:cs="FangSong"/>
          <w:sz w:val="30"/>
          <w:szCs w:val="30"/>
          <w:spacing w:val="19"/>
        </w:rPr>
        <w:t>《公共场所卫生管理条例实施细则》第三十七条第(一)项</w:t>
      </w:r>
      <w:r>
        <w:rPr>
          <w:rFonts w:ascii="FangSong" w:hAnsi="FangSong" w:eastAsia="FangSong" w:cs="FangSong"/>
          <w:sz w:val="30"/>
          <w:szCs w:val="30"/>
          <w:spacing w:val="19"/>
        </w:rPr>
        <w:t xml:space="preserve">  </w:t>
      </w:r>
      <w:r>
        <w:rPr>
          <w:rFonts w:ascii="FangSong" w:hAnsi="FangSong" w:eastAsia="FangSong" w:cs="FangSong"/>
          <w:sz w:val="30"/>
          <w:szCs w:val="30"/>
          <w:spacing w:val="19"/>
        </w:rPr>
        <w:t>公共场所经营者有下</w:t>
      </w:r>
      <w:r>
        <w:rPr>
          <w:rFonts w:ascii="FangSong" w:hAnsi="FangSong" w:eastAsia="FangSong" w:cs="FangSong"/>
          <w:sz w:val="30"/>
          <w:szCs w:val="30"/>
          <w:spacing w:val="18"/>
        </w:rPr>
        <w:t>列情形之一的，</w:t>
      </w:r>
      <w:r>
        <w:rPr>
          <w:rFonts w:ascii="FangSong" w:hAnsi="FangSong" w:eastAsia="FangSong" w:cs="FangSong"/>
          <w:sz w:val="30"/>
          <w:szCs w:val="30"/>
        </w:rPr>
        <w:t xml:space="preserve"> </w:t>
      </w:r>
      <w:r>
        <w:rPr>
          <w:rFonts w:ascii="FangSong" w:hAnsi="FangSong" w:eastAsia="FangSong" w:cs="FangSong"/>
          <w:sz w:val="30"/>
          <w:szCs w:val="30"/>
          <w:spacing w:val="16"/>
        </w:rPr>
        <w:t>由县级以上地方人民政府卫生行政部门责令限期改正；逾期不改的，给予警告，并处以一千元以上一</w:t>
      </w:r>
      <w:r>
        <w:rPr>
          <w:rFonts w:ascii="FangSong" w:hAnsi="FangSong" w:eastAsia="FangSong" w:cs="FangSong"/>
          <w:sz w:val="30"/>
          <w:szCs w:val="30"/>
          <w:spacing w:val="4"/>
        </w:rPr>
        <w:t xml:space="preserve">  </w:t>
      </w:r>
      <w:r>
        <w:rPr>
          <w:rFonts w:ascii="FangSong" w:hAnsi="FangSong" w:eastAsia="FangSong" w:cs="FangSong"/>
          <w:sz w:val="30"/>
          <w:szCs w:val="30"/>
          <w:spacing w:val="17"/>
        </w:rPr>
        <w:t>万元以下罚款；对拒绝监督的，处以一万元以上三万元以下</w:t>
      </w:r>
      <w:r>
        <w:rPr>
          <w:rFonts w:ascii="FangSong" w:hAnsi="FangSong" w:eastAsia="FangSong" w:cs="FangSong"/>
          <w:sz w:val="30"/>
          <w:szCs w:val="30"/>
          <w:spacing w:val="16"/>
        </w:rPr>
        <w:t>罚款；情节严重的，可以依法责令停业整</w:t>
      </w:r>
      <w:r>
        <w:rPr>
          <w:rFonts w:ascii="FangSong" w:hAnsi="FangSong" w:eastAsia="FangSong" w:cs="FangSong"/>
          <w:sz w:val="30"/>
          <w:szCs w:val="30"/>
        </w:rPr>
        <w:t xml:space="preserve"> </w:t>
      </w:r>
      <w:r>
        <w:rPr>
          <w:rFonts w:ascii="FangSong" w:hAnsi="FangSong" w:eastAsia="FangSong" w:cs="FangSong"/>
          <w:sz w:val="30"/>
          <w:szCs w:val="30"/>
          <w:spacing w:val="12"/>
        </w:rPr>
        <w:t>顿，直至吊销卫生许可证：</w:t>
      </w:r>
    </w:p>
    <w:p>
      <w:pPr>
        <w:ind w:right="123" w:firstLine="780"/>
        <w:spacing w:before="3" w:line="280" w:lineRule="auto"/>
        <w:rPr>
          <w:rFonts w:ascii="FangSong" w:hAnsi="FangSong" w:eastAsia="FangSong" w:cs="FangSong"/>
          <w:sz w:val="30"/>
          <w:szCs w:val="30"/>
        </w:rPr>
      </w:pPr>
      <w:r>
        <w:rPr>
          <w:rFonts w:ascii="FangSong" w:hAnsi="FangSong" w:eastAsia="FangSong" w:cs="FangSong"/>
          <w:sz w:val="30"/>
          <w:szCs w:val="30"/>
          <w:spacing w:val="28"/>
        </w:rPr>
        <w:t>(一)未按照规定建立卫生管理制度、设立卫生</w:t>
      </w:r>
      <w:r>
        <w:rPr>
          <w:rFonts w:ascii="FangSong" w:hAnsi="FangSong" w:eastAsia="FangSong" w:cs="FangSong"/>
          <w:sz w:val="30"/>
          <w:szCs w:val="30"/>
          <w:spacing w:val="27"/>
        </w:rPr>
        <w:t>管理部门或者配备专(兼)职卫生管理人员，或</w:t>
      </w:r>
      <w:r>
        <w:rPr>
          <w:rFonts w:ascii="FangSong" w:hAnsi="FangSong" w:eastAsia="FangSong" w:cs="FangSong"/>
          <w:sz w:val="30"/>
          <w:szCs w:val="30"/>
        </w:rPr>
        <w:t xml:space="preserve"> </w:t>
      </w:r>
      <w:r>
        <w:rPr>
          <w:rFonts w:ascii="FangSong" w:hAnsi="FangSong" w:eastAsia="FangSong" w:cs="FangSong"/>
          <w:sz w:val="30"/>
          <w:szCs w:val="30"/>
          <w:spacing w:val="12"/>
        </w:rPr>
        <w:t>者未建立卫生管理档案的；</w:t>
      </w:r>
    </w:p>
    <w:p>
      <w:pPr>
        <w:ind w:left="6414"/>
        <w:spacing w:before="111" w:line="208"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789" w:type="dxa"/>
        <w:tblInd w:w="7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8104"/>
        <w:gridCol w:w="4241"/>
      </w:tblGrid>
      <w:tr>
        <w:trPr>
          <w:trHeight w:val="483" w:hRule="atLeast"/>
        </w:trPr>
        <w:tc>
          <w:tcPr>
            <w:tcW w:w="1444" w:type="dxa"/>
            <w:vAlign w:val="top"/>
          </w:tcPr>
          <w:p>
            <w:pPr>
              <w:pStyle w:val="TableText"/>
              <w:ind w:left="218"/>
              <w:spacing w:before="122" w:line="220" w:lineRule="auto"/>
              <w:rPr>
                <w:sz w:val="25"/>
                <w:szCs w:val="25"/>
              </w:rPr>
            </w:pPr>
            <w:r>
              <w:rPr>
                <w:sz w:val="25"/>
                <w:szCs w:val="25"/>
                <w:b/>
                <w:bCs/>
                <w:spacing w:val="-5"/>
              </w:rPr>
              <w:t>违法程度</w:t>
            </w:r>
          </w:p>
        </w:tc>
        <w:tc>
          <w:tcPr>
            <w:tcW w:w="8104" w:type="dxa"/>
            <w:vAlign w:val="top"/>
          </w:tcPr>
          <w:p>
            <w:pPr>
              <w:pStyle w:val="TableText"/>
              <w:ind w:left="3484"/>
              <w:spacing w:before="122" w:line="220" w:lineRule="auto"/>
              <w:rPr>
                <w:sz w:val="25"/>
                <w:szCs w:val="25"/>
              </w:rPr>
            </w:pPr>
            <w:r>
              <w:rPr>
                <w:sz w:val="25"/>
                <w:szCs w:val="25"/>
                <w:b/>
                <w:bCs/>
                <w:spacing w:val="-5"/>
              </w:rPr>
              <w:t>情节后果</w:t>
            </w:r>
          </w:p>
        </w:tc>
        <w:tc>
          <w:tcPr>
            <w:tcW w:w="4241" w:type="dxa"/>
            <w:vAlign w:val="top"/>
          </w:tcPr>
          <w:p>
            <w:pPr>
              <w:pStyle w:val="TableText"/>
              <w:ind w:left="1620"/>
              <w:spacing w:before="119" w:line="218" w:lineRule="auto"/>
              <w:rPr>
                <w:sz w:val="25"/>
                <w:szCs w:val="25"/>
              </w:rPr>
            </w:pPr>
            <w:r>
              <w:rPr>
                <w:sz w:val="25"/>
                <w:szCs w:val="25"/>
                <w:b/>
                <w:bCs/>
                <w:spacing w:val="-5"/>
              </w:rPr>
              <w:t>裁量幅度</w:t>
            </w:r>
          </w:p>
        </w:tc>
      </w:tr>
      <w:tr>
        <w:trPr>
          <w:trHeight w:val="628" w:hRule="atLeast"/>
        </w:trPr>
        <w:tc>
          <w:tcPr>
            <w:tcW w:w="1444" w:type="dxa"/>
            <w:vAlign w:val="top"/>
          </w:tcPr>
          <w:p>
            <w:pPr>
              <w:pStyle w:val="TableText"/>
              <w:ind w:left="468"/>
              <w:spacing w:before="188" w:line="219" w:lineRule="auto"/>
              <w:rPr>
                <w:sz w:val="25"/>
                <w:szCs w:val="25"/>
              </w:rPr>
            </w:pPr>
            <w:r>
              <w:rPr>
                <w:sz w:val="25"/>
                <w:szCs w:val="25"/>
                <w:b/>
                <w:bCs/>
                <w:spacing w:val="-6"/>
              </w:rPr>
              <w:t>较轻</w:t>
            </w:r>
          </w:p>
        </w:tc>
        <w:tc>
          <w:tcPr>
            <w:tcW w:w="8104" w:type="dxa"/>
            <w:vAlign w:val="top"/>
          </w:tcPr>
          <w:p>
            <w:pPr>
              <w:pStyle w:val="TableText"/>
              <w:ind w:left="121"/>
              <w:spacing w:before="190" w:line="219" w:lineRule="auto"/>
              <w:rPr>
                <w:sz w:val="25"/>
                <w:szCs w:val="25"/>
              </w:rPr>
            </w:pPr>
            <w:r>
              <w:rPr>
                <w:sz w:val="25"/>
                <w:szCs w:val="25"/>
                <w:spacing w:val="1"/>
              </w:rPr>
              <w:t>有上述违法情节1项，经责令限期改正，逾期不改正的</w:t>
            </w:r>
          </w:p>
        </w:tc>
        <w:tc>
          <w:tcPr>
            <w:tcW w:w="4241" w:type="dxa"/>
            <w:vAlign w:val="top"/>
          </w:tcPr>
          <w:p>
            <w:pPr>
              <w:pStyle w:val="TableText"/>
              <w:ind w:left="237"/>
              <w:spacing w:before="190" w:line="218" w:lineRule="auto"/>
              <w:rPr>
                <w:sz w:val="25"/>
                <w:szCs w:val="25"/>
              </w:rPr>
            </w:pPr>
            <w:r>
              <w:rPr>
                <w:sz w:val="25"/>
                <w:szCs w:val="25"/>
              </w:rPr>
              <w:t>警告，罚款1000元以上5000元以下</w:t>
            </w:r>
          </w:p>
        </w:tc>
      </w:tr>
      <w:tr>
        <w:trPr>
          <w:trHeight w:val="658" w:hRule="atLeast"/>
        </w:trPr>
        <w:tc>
          <w:tcPr>
            <w:tcW w:w="1444" w:type="dxa"/>
            <w:vAlign w:val="top"/>
          </w:tcPr>
          <w:p>
            <w:pPr>
              <w:pStyle w:val="TableText"/>
              <w:ind w:left="468"/>
              <w:spacing w:before="212" w:line="221" w:lineRule="auto"/>
              <w:rPr>
                <w:sz w:val="25"/>
                <w:szCs w:val="25"/>
              </w:rPr>
            </w:pPr>
            <w:r>
              <w:rPr>
                <w:sz w:val="25"/>
                <w:szCs w:val="25"/>
                <w:b/>
                <w:bCs/>
                <w:spacing w:val="-10"/>
              </w:rPr>
              <w:t>一般</w:t>
            </w:r>
          </w:p>
        </w:tc>
        <w:tc>
          <w:tcPr>
            <w:tcW w:w="8104" w:type="dxa"/>
            <w:vAlign w:val="top"/>
          </w:tcPr>
          <w:p>
            <w:pPr>
              <w:pStyle w:val="TableText"/>
              <w:ind w:left="121"/>
              <w:spacing w:before="212" w:line="219" w:lineRule="auto"/>
              <w:rPr>
                <w:sz w:val="25"/>
                <w:szCs w:val="25"/>
              </w:rPr>
            </w:pPr>
            <w:r>
              <w:rPr>
                <w:sz w:val="25"/>
                <w:szCs w:val="25"/>
                <w:spacing w:val="1"/>
              </w:rPr>
              <w:t>有上述违法情节2项及以上，经责令限期改正，逾期</w:t>
            </w:r>
            <w:r>
              <w:rPr>
                <w:sz w:val="25"/>
                <w:szCs w:val="25"/>
              </w:rPr>
              <w:t>不改正的</w:t>
            </w:r>
          </w:p>
        </w:tc>
        <w:tc>
          <w:tcPr>
            <w:tcW w:w="4241" w:type="dxa"/>
            <w:vAlign w:val="top"/>
          </w:tcPr>
          <w:p>
            <w:pPr>
              <w:pStyle w:val="TableText"/>
              <w:ind w:left="177"/>
              <w:spacing w:before="212" w:line="218" w:lineRule="auto"/>
              <w:rPr>
                <w:sz w:val="25"/>
                <w:szCs w:val="25"/>
              </w:rPr>
            </w:pPr>
            <w:r>
              <w:rPr>
                <w:sz w:val="25"/>
                <w:szCs w:val="25"/>
              </w:rPr>
              <w:t>警告，罚款5000元以上10000元以下</w:t>
            </w:r>
          </w:p>
        </w:tc>
      </w:tr>
      <w:tr>
        <w:trPr>
          <w:trHeight w:val="677" w:hRule="atLeast"/>
        </w:trPr>
        <w:tc>
          <w:tcPr>
            <w:tcW w:w="1444" w:type="dxa"/>
            <w:vAlign w:val="top"/>
          </w:tcPr>
          <w:p>
            <w:pPr>
              <w:pStyle w:val="TableText"/>
              <w:ind w:left="468"/>
              <w:spacing w:before="226" w:line="221" w:lineRule="auto"/>
              <w:rPr>
                <w:sz w:val="25"/>
                <w:szCs w:val="25"/>
              </w:rPr>
            </w:pPr>
            <w:r>
              <w:rPr>
                <w:sz w:val="25"/>
                <w:szCs w:val="25"/>
                <w:b/>
                <w:bCs/>
                <w:spacing w:val="-6"/>
              </w:rPr>
              <w:t>较重</w:t>
            </w:r>
          </w:p>
        </w:tc>
        <w:tc>
          <w:tcPr>
            <w:tcW w:w="8104" w:type="dxa"/>
            <w:vAlign w:val="top"/>
          </w:tcPr>
          <w:p>
            <w:pPr>
              <w:pStyle w:val="TableText"/>
              <w:ind w:left="120" w:right="221" w:hanging="10"/>
              <w:spacing w:before="54" w:line="226" w:lineRule="auto"/>
              <w:rPr>
                <w:sz w:val="25"/>
                <w:szCs w:val="25"/>
              </w:rPr>
            </w:pPr>
            <w:r>
              <w:rPr>
                <w:sz w:val="25"/>
                <w:szCs w:val="25"/>
              </w:rPr>
              <w:t>未按照规定建立卫生管理制度、设立卫生管理部门或者配备专(兼)职卫</w:t>
            </w:r>
            <w:r>
              <w:rPr>
                <w:sz w:val="25"/>
                <w:szCs w:val="25"/>
                <w:spacing w:val="10"/>
              </w:rPr>
              <w:t xml:space="preserve"> </w:t>
            </w:r>
            <w:r>
              <w:rPr>
                <w:sz w:val="25"/>
                <w:szCs w:val="25"/>
              </w:rPr>
              <w:t>生管理人员，或者未建立卫生管理档案，拒绝监督的</w:t>
            </w:r>
          </w:p>
        </w:tc>
        <w:tc>
          <w:tcPr>
            <w:tcW w:w="4241" w:type="dxa"/>
            <w:vAlign w:val="top"/>
          </w:tcPr>
          <w:p>
            <w:pPr>
              <w:pStyle w:val="TableText"/>
              <w:ind w:left="117"/>
              <w:spacing w:before="224" w:line="218" w:lineRule="auto"/>
              <w:rPr>
                <w:sz w:val="25"/>
                <w:szCs w:val="25"/>
              </w:rPr>
            </w:pPr>
            <w:r>
              <w:rPr>
                <w:sz w:val="25"/>
                <w:szCs w:val="25"/>
              </w:rPr>
              <w:t>警告，罚款10000元以上30000元以下</w:t>
            </w:r>
          </w:p>
        </w:tc>
      </w:tr>
      <w:tr>
        <w:trPr>
          <w:trHeight w:val="653" w:hRule="atLeast"/>
        </w:trPr>
        <w:tc>
          <w:tcPr>
            <w:tcW w:w="1444" w:type="dxa"/>
            <w:vAlign w:val="top"/>
          </w:tcPr>
          <w:p>
            <w:pPr>
              <w:pStyle w:val="TableText"/>
              <w:ind w:left="468"/>
              <w:spacing w:before="206" w:line="220" w:lineRule="auto"/>
              <w:rPr>
                <w:sz w:val="25"/>
                <w:szCs w:val="25"/>
              </w:rPr>
            </w:pPr>
            <w:r>
              <w:rPr>
                <w:sz w:val="25"/>
                <w:szCs w:val="25"/>
                <w:b/>
                <w:bCs/>
                <w:spacing w:val="-6"/>
              </w:rPr>
              <w:t>严重</w:t>
            </w:r>
          </w:p>
        </w:tc>
        <w:tc>
          <w:tcPr>
            <w:tcW w:w="8104" w:type="dxa"/>
            <w:vAlign w:val="top"/>
          </w:tcPr>
          <w:p>
            <w:pPr>
              <w:pStyle w:val="TableText"/>
              <w:ind w:left="120" w:hanging="10"/>
              <w:spacing w:before="68" w:line="212" w:lineRule="auto"/>
              <w:rPr>
                <w:sz w:val="25"/>
                <w:szCs w:val="25"/>
              </w:rPr>
            </w:pPr>
            <w:r>
              <w:rPr>
                <w:sz w:val="25"/>
                <w:szCs w:val="25"/>
                <w:spacing w:val="-1"/>
              </w:rPr>
              <w:t>未按照规定建立卫生管理制度、设立卫生管理部门或者配备专(兼)职卫生</w:t>
            </w:r>
            <w:r>
              <w:rPr>
                <w:sz w:val="25"/>
                <w:szCs w:val="25"/>
                <w:spacing w:val="15"/>
              </w:rPr>
              <w:t xml:space="preserve"> </w:t>
            </w:r>
            <w:r>
              <w:rPr>
                <w:sz w:val="25"/>
                <w:szCs w:val="25"/>
              </w:rPr>
              <w:t>管理人员，或者未建立卫生管理档案，情节恶劣或后果严重的</w:t>
            </w:r>
          </w:p>
        </w:tc>
        <w:tc>
          <w:tcPr>
            <w:tcW w:w="4241" w:type="dxa"/>
            <w:vAlign w:val="top"/>
          </w:tcPr>
          <w:p>
            <w:pPr>
              <w:pStyle w:val="TableText"/>
              <w:ind w:left="136" w:hanging="19"/>
              <w:spacing w:before="66" w:line="213" w:lineRule="auto"/>
              <w:rPr>
                <w:sz w:val="25"/>
                <w:szCs w:val="25"/>
              </w:rPr>
            </w:pPr>
            <w:r>
              <w:rPr>
                <w:sz w:val="25"/>
                <w:szCs w:val="25"/>
                <w:spacing w:val="-1"/>
              </w:rPr>
              <w:t>警告，罚款30000元，责令停业整顿，</w:t>
            </w:r>
            <w:r>
              <w:rPr>
                <w:sz w:val="25"/>
                <w:szCs w:val="25"/>
                <w:spacing w:val="6"/>
              </w:rPr>
              <w:t xml:space="preserve"> </w:t>
            </w:r>
            <w:r>
              <w:rPr>
                <w:sz w:val="25"/>
                <w:szCs w:val="25"/>
              </w:rPr>
              <w:t>直至吊销卫生许可证</w:t>
            </w:r>
          </w:p>
        </w:tc>
      </w:tr>
    </w:tbl>
    <w:p>
      <w:pPr>
        <w:pStyle w:val="BodyText"/>
        <w:spacing w:line="440" w:lineRule="auto"/>
        <w:rPr/>
      </w:pPr>
      <w:r/>
    </w:p>
    <w:p>
      <w:pPr>
        <w:ind w:left="4" w:right="110" w:firstLine="660"/>
        <w:spacing w:before="97" w:line="281" w:lineRule="auto"/>
        <w:rPr>
          <w:rFonts w:ascii="KaiTi" w:hAnsi="KaiTi" w:eastAsia="KaiTi" w:cs="KaiTi"/>
          <w:sz w:val="30"/>
          <w:szCs w:val="30"/>
        </w:rPr>
      </w:pPr>
      <w:r>
        <w:rPr>
          <w:rFonts w:ascii="KaiTi" w:hAnsi="KaiTi" w:eastAsia="KaiTi" w:cs="KaiTi"/>
          <w:sz w:val="30"/>
          <w:szCs w:val="30"/>
          <w:b/>
          <w:bCs/>
          <w:spacing w:val="21"/>
        </w:rPr>
        <w:t>第四百二十九条公共场所经营者未按照规定组织培训的，或安排未经相关卫生法</w:t>
      </w:r>
      <w:r>
        <w:rPr>
          <w:rFonts w:ascii="KaiTi" w:hAnsi="KaiTi" w:eastAsia="KaiTi" w:cs="KaiTi"/>
          <w:sz w:val="30"/>
          <w:szCs w:val="30"/>
          <w:b/>
          <w:bCs/>
          <w:spacing w:val="20"/>
        </w:rPr>
        <w:t>律知识和公共</w:t>
      </w:r>
      <w:r>
        <w:rPr>
          <w:rFonts w:ascii="KaiTi" w:hAnsi="KaiTi" w:eastAsia="KaiTi" w:cs="KaiTi"/>
          <w:sz w:val="30"/>
          <w:szCs w:val="30"/>
        </w:rPr>
        <w:t xml:space="preserve"> </w:t>
      </w:r>
      <w:r>
        <w:rPr>
          <w:rFonts w:ascii="KaiTi" w:hAnsi="KaiTi" w:eastAsia="KaiTi" w:cs="KaiTi"/>
          <w:sz w:val="30"/>
          <w:szCs w:val="30"/>
          <w:b/>
          <w:bCs/>
          <w:spacing w:val="16"/>
        </w:rPr>
        <w:t>场所卫生知识培训考核的从业人员上岗的</w:t>
      </w:r>
    </w:p>
    <w:p>
      <w:pPr>
        <w:ind w:left="649"/>
        <w:spacing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spacing w:line="222" w:lineRule="auto"/>
        <w:sectPr>
          <w:footerReference w:type="default" r:id="rId456"/>
          <w:pgSz w:w="16830" w:h="11900"/>
          <w:pgMar w:top="1011" w:right="1329" w:bottom="1107" w:left="1439" w:header="0" w:footer="774" w:gutter="0"/>
        </w:sectPr>
        <w:rPr>
          <w:rFonts w:ascii="FangSong" w:hAnsi="FangSong" w:eastAsia="FangSong" w:cs="FangSong"/>
          <w:sz w:val="27"/>
          <w:szCs w:val="27"/>
        </w:rPr>
      </w:pPr>
    </w:p>
    <w:p>
      <w:pPr>
        <w:pStyle w:val="BodyText"/>
        <w:spacing w:line="262" w:lineRule="auto"/>
        <w:rPr/>
      </w:pPr>
      <w:r/>
    </w:p>
    <w:p>
      <w:pPr>
        <w:pStyle w:val="BodyText"/>
        <w:spacing w:line="262" w:lineRule="auto"/>
        <w:rPr/>
      </w:pPr>
      <w:r/>
    </w:p>
    <w:p>
      <w:pPr>
        <w:pStyle w:val="BodyText"/>
        <w:spacing w:line="263" w:lineRule="auto"/>
        <w:rPr/>
      </w:pPr>
      <w:r/>
    </w:p>
    <w:p>
      <w:pPr>
        <w:ind w:firstLine="640"/>
        <w:spacing w:before="98" w:line="271" w:lineRule="auto"/>
        <w:jc w:val="both"/>
        <w:rPr>
          <w:rFonts w:ascii="FangSong" w:hAnsi="FangSong" w:eastAsia="FangSong" w:cs="FangSong"/>
          <w:sz w:val="30"/>
          <w:szCs w:val="30"/>
        </w:rPr>
      </w:pPr>
      <w:bookmarkStart w:name="bookmark1101" w:id="475"/>
      <w:bookmarkEnd w:id="475"/>
      <w:r>
        <w:rPr>
          <w:rFonts w:ascii="FangSong" w:hAnsi="FangSong" w:eastAsia="FangSong" w:cs="FangSong"/>
          <w:sz w:val="30"/>
          <w:szCs w:val="30"/>
          <w:spacing w:val="19"/>
        </w:rPr>
        <w:t>《公共场所卫生管理条例实施细则》第三十七条第(二)项</w:t>
      </w:r>
      <w:r>
        <w:rPr>
          <w:rFonts w:ascii="FangSong" w:hAnsi="FangSong" w:eastAsia="FangSong" w:cs="FangSong"/>
          <w:sz w:val="30"/>
          <w:szCs w:val="30"/>
          <w:spacing w:val="19"/>
        </w:rPr>
        <w:t xml:space="preserve">  </w:t>
      </w:r>
      <w:r>
        <w:rPr>
          <w:rFonts w:ascii="FangSong" w:hAnsi="FangSong" w:eastAsia="FangSong" w:cs="FangSong"/>
          <w:sz w:val="30"/>
          <w:szCs w:val="30"/>
          <w:spacing w:val="19"/>
        </w:rPr>
        <w:t>公共场所经营者有下列情形之一的，</w:t>
      </w:r>
      <w:r>
        <w:rPr>
          <w:rFonts w:ascii="FangSong" w:hAnsi="FangSong" w:eastAsia="FangSong" w:cs="FangSong"/>
          <w:sz w:val="30"/>
          <w:szCs w:val="30"/>
          <w:spacing w:val="2"/>
        </w:rPr>
        <w:t xml:space="preserve"> </w:t>
      </w:r>
      <w:r>
        <w:rPr>
          <w:rFonts w:ascii="FangSong" w:hAnsi="FangSong" w:eastAsia="FangSong" w:cs="FangSong"/>
          <w:sz w:val="30"/>
          <w:szCs w:val="30"/>
          <w:spacing w:val="16"/>
        </w:rPr>
        <w:t>由县级以上地方人民政府卫生行政部门责令限期改正；逾期不改的，给予警告，并处以一千元以上一</w:t>
      </w:r>
      <w:r>
        <w:rPr>
          <w:rFonts w:ascii="FangSong" w:hAnsi="FangSong" w:eastAsia="FangSong" w:cs="FangSong"/>
          <w:sz w:val="30"/>
          <w:szCs w:val="30"/>
          <w:spacing w:val="4"/>
        </w:rPr>
        <w:t xml:space="preserve">  </w:t>
      </w:r>
      <w:r>
        <w:rPr>
          <w:rFonts w:ascii="FangSong" w:hAnsi="FangSong" w:eastAsia="FangSong" w:cs="FangSong"/>
          <w:sz w:val="30"/>
          <w:szCs w:val="30"/>
          <w:spacing w:val="17"/>
        </w:rPr>
        <w:t>万元以下罚款；对拒绝监督的，处以一万元以上三万元以下</w:t>
      </w:r>
      <w:r>
        <w:rPr>
          <w:rFonts w:ascii="FangSong" w:hAnsi="FangSong" w:eastAsia="FangSong" w:cs="FangSong"/>
          <w:sz w:val="30"/>
          <w:szCs w:val="30"/>
          <w:spacing w:val="16"/>
        </w:rPr>
        <w:t>罚款；情节严重的，可以依法责令停业整</w:t>
      </w:r>
      <w:r>
        <w:rPr>
          <w:rFonts w:ascii="FangSong" w:hAnsi="FangSong" w:eastAsia="FangSong" w:cs="FangSong"/>
          <w:sz w:val="30"/>
          <w:szCs w:val="30"/>
        </w:rPr>
        <w:t xml:space="preserve">  </w:t>
      </w:r>
      <w:r>
        <w:rPr>
          <w:rFonts w:ascii="FangSong" w:hAnsi="FangSong" w:eastAsia="FangSong" w:cs="FangSong"/>
          <w:sz w:val="30"/>
          <w:szCs w:val="30"/>
          <w:spacing w:val="12"/>
        </w:rPr>
        <w:t>顿，直至吊销卫生许可证：</w:t>
      </w:r>
    </w:p>
    <w:p>
      <w:pPr>
        <w:ind w:right="129" w:firstLine="799"/>
        <w:spacing w:before="5" w:line="278" w:lineRule="auto"/>
        <w:rPr>
          <w:rFonts w:ascii="FangSong" w:hAnsi="FangSong" w:eastAsia="FangSong" w:cs="FangSong"/>
          <w:sz w:val="30"/>
          <w:szCs w:val="30"/>
        </w:rPr>
      </w:pPr>
      <w:r>
        <w:rPr>
          <w:rFonts w:ascii="FangSong" w:hAnsi="FangSong" w:eastAsia="FangSong" w:cs="FangSong"/>
          <w:sz w:val="30"/>
          <w:szCs w:val="30"/>
          <w:spacing w:val="20"/>
        </w:rPr>
        <w:t>(二)未按照规定组织从业人员进行相关卫生法律知识和公共场所卫生知识培训，或者安排未经</w:t>
      </w:r>
      <w:r>
        <w:rPr>
          <w:rFonts w:ascii="FangSong" w:hAnsi="FangSong" w:eastAsia="FangSong" w:cs="FangSong"/>
          <w:sz w:val="30"/>
          <w:szCs w:val="30"/>
          <w:spacing w:val="9"/>
        </w:rPr>
        <w:t xml:space="preserve"> </w:t>
      </w:r>
      <w:r>
        <w:rPr>
          <w:rFonts w:ascii="FangSong" w:hAnsi="FangSong" w:eastAsia="FangSong" w:cs="FangSong"/>
          <w:sz w:val="30"/>
          <w:szCs w:val="30"/>
          <w:spacing w:val="17"/>
        </w:rPr>
        <w:t>相关卫生法律知识和公共场所卫生知识培训考核的从业人员上岗的；</w:t>
      </w:r>
    </w:p>
    <w:p>
      <w:pPr>
        <w:ind w:left="6424"/>
        <w:spacing w:before="116" w:line="208"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789" w:type="dxa"/>
        <w:tblInd w:w="7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8124"/>
        <w:gridCol w:w="4231"/>
      </w:tblGrid>
      <w:tr>
        <w:trPr>
          <w:trHeight w:val="484" w:hRule="atLeast"/>
        </w:trPr>
        <w:tc>
          <w:tcPr>
            <w:tcW w:w="1434" w:type="dxa"/>
            <w:vAlign w:val="top"/>
          </w:tcPr>
          <w:p>
            <w:pPr>
              <w:pStyle w:val="TableText"/>
              <w:ind w:left="208"/>
              <w:spacing w:before="122" w:line="220" w:lineRule="auto"/>
              <w:rPr>
                <w:sz w:val="25"/>
                <w:szCs w:val="25"/>
              </w:rPr>
            </w:pPr>
            <w:r>
              <w:rPr>
                <w:sz w:val="25"/>
                <w:szCs w:val="25"/>
                <w:b/>
                <w:bCs/>
                <w:spacing w:val="-5"/>
              </w:rPr>
              <w:t>违法程度</w:t>
            </w:r>
          </w:p>
        </w:tc>
        <w:tc>
          <w:tcPr>
            <w:tcW w:w="8124" w:type="dxa"/>
            <w:vAlign w:val="top"/>
          </w:tcPr>
          <w:p>
            <w:pPr>
              <w:pStyle w:val="TableText"/>
              <w:ind w:left="3554"/>
              <w:spacing w:before="122" w:line="220" w:lineRule="auto"/>
              <w:rPr>
                <w:sz w:val="25"/>
                <w:szCs w:val="25"/>
              </w:rPr>
            </w:pPr>
            <w:r>
              <w:rPr>
                <w:sz w:val="25"/>
                <w:szCs w:val="25"/>
                <w:b/>
                <w:bCs/>
                <w:spacing w:val="-5"/>
              </w:rPr>
              <w:t>情节后果</w:t>
            </w:r>
          </w:p>
        </w:tc>
        <w:tc>
          <w:tcPr>
            <w:tcW w:w="4231" w:type="dxa"/>
            <w:vAlign w:val="top"/>
          </w:tcPr>
          <w:p>
            <w:pPr>
              <w:pStyle w:val="TableText"/>
              <w:ind w:left="1610"/>
              <w:spacing w:before="119" w:line="218" w:lineRule="auto"/>
              <w:rPr>
                <w:sz w:val="25"/>
                <w:szCs w:val="25"/>
              </w:rPr>
            </w:pPr>
            <w:r>
              <w:rPr>
                <w:sz w:val="25"/>
                <w:szCs w:val="25"/>
                <w:b/>
                <w:bCs/>
                <w:spacing w:val="-5"/>
              </w:rPr>
              <w:t>裁量幅度</w:t>
            </w:r>
          </w:p>
        </w:tc>
      </w:tr>
      <w:tr>
        <w:trPr>
          <w:trHeight w:val="518" w:hRule="atLeast"/>
        </w:trPr>
        <w:tc>
          <w:tcPr>
            <w:tcW w:w="1434" w:type="dxa"/>
            <w:vAlign w:val="top"/>
          </w:tcPr>
          <w:p>
            <w:pPr>
              <w:pStyle w:val="TableText"/>
              <w:ind w:left="458"/>
              <w:spacing w:before="137" w:line="219" w:lineRule="auto"/>
              <w:rPr>
                <w:sz w:val="25"/>
                <w:szCs w:val="25"/>
              </w:rPr>
            </w:pPr>
            <w:r>
              <w:rPr>
                <w:sz w:val="25"/>
                <w:szCs w:val="25"/>
                <w:b/>
                <w:bCs/>
                <w:spacing w:val="-6"/>
              </w:rPr>
              <w:t>较轻</w:t>
            </w:r>
          </w:p>
        </w:tc>
        <w:tc>
          <w:tcPr>
            <w:tcW w:w="8124" w:type="dxa"/>
            <w:vAlign w:val="top"/>
          </w:tcPr>
          <w:p>
            <w:pPr>
              <w:pStyle w:val="TableText"/>
              <w:ind w:left="131"/>
              <w:spacing w:before="139" w:line="219" w:lineRule="auto"/>
              <w:rPr>
                <w:sz w:val="25"/>
                <w:szCs w:val="25"/>
              </w:rPr>
            </w:pPr>
            <w:r>
              <w:rPr>
                <w:sz w:val="25"/>
                <w:szCs w:val="25"/>
              </w:rPr>
              <w:t>有上述违法情节1项，经责令限期改正，逾期不改正的</w:t>
            </w:r>
          </w:p>
        </w:tc>
        <w:tc>
          <w:tcPr>
            <w:tcW w:w="4231" w:type="dxa"/>
            <w:vAlign w:val="top"/>
          </w:tcPr>
          <w:p>
            <w:pPr>
              <w:pStyle w:val="TableText"/>
              <w:ind w:left="236"/>
              <w:spacing w:before="139" w:line="218" w:lineRule="auto"/>
              <w:rPr>
                <w:sz w:val="25"/>
                <w:szCs w:val="25"/>
              </w:rPr>
            </w:pPr>
            <w:r>
              <w:rPr>
                <w:sz w:val="25"/>
                <w:szCs w:val="25"/>
              </w:rPr>
              <w:t>警告，罚款1000元以上5000元以下</w:t>
            </w:r>
          </w:p>
        </w:tc>
      </w:tr>
      <w:tr>
        <w:trPr>
          <w:trHeight w:val="538" w:hRule="atLeast"/>
        </w:trPr>
        <w:tc>
          <w:tcPr>
            <w:tcW w:w="1434" w:type="dxa"/>
            <w:vAlign w:val="top"/>
          </w:tcPr>
          <w:p>
            <w:pPr>
              <w:pStyle w:val="TableText"/>
              <w:ind w:left="458"/>
              <w:spacing w:before="151" w:line="221" w:lineRule="auto"/>
              <w:rPr>
                <w:sz w:val="25"/>
                <w:szCs w:val="25"/>
              </w:rPr>
            </w:pPr>
            <w:r>
              <w:rPr>
                <w:sz w:val="25"/>
                <w:szCs w:val="25"/>
                <w:b/>
                <w:bCs/>
                <w:spacing w:val="-10"/>
              </w:rPr>
              <w:t>一般</w:t>
            </w:r>
          </w:p>
        </w:tc>
        <w:tc>
          <w:tcPr>
            <w:tcW w:w="8124" w:type="dxa"/>
            <w:vAlign w:val="top"/>
          </w:tcPr>
          <w:p>
            <w:pPr>
              <w:pStyle w:val="TableText"/>
              <w:ind w:left="131"/>
              <w:spacing w:before="151" w:line="219" w:lineRule="auto"/>
              <w:rPr>
                <w:sz w:val="25"/>
                <w:szCs w:val="25"/>
              </w:rPr>
            </w:pPr>
            <w:r>
              <w:rPr>
                <w:sz w:val="25"/>
                <w:szCs w:val="25"/>
              </w:rPr>
              <w:t>有上述违法情节2项及以上，经责令限期改正，逾期不改正的</w:t>
            </w:r>
          </w:p>
        </w:tc>
        <w:tc>
          <w:tcPr>
            <w:tcW w:w="4231" w:type="dxa"/>
            <w:vAlign w:val="top"/>
          </w:tcPr>
          <w:p>
            <w:pPr>
              <w:pStyle w:val="TableText"/>
              <w:ind w:left="167"/>
              <w:spacing w:before="151" w:line="218" w:lineRule="auto"/>
              <w:rPr>
                <w:sz w:val="25"/>
                <w:szCs w:val="25"/>
              </w:rPr>
            </w:pPr>
            <w:r>
              <w:rPr>
                <w:sz w:val="25"/>
                <w:szCs w:val="25"/>
                <w:spacing w:val="1"/>
              </w:rPr>
              <w:t>警告，罚款5000元以上10000元以下</w:t>
            </w:r>
          </w:p>
        </w:tc>
      </w:tr>
      <w:tr>
        <w:trPr>
          <w:trHeight w:val="1017" w:hRule="atLeast"/>
        </w:trPr>
        <w:tc>
          <w:tcPr>
            <w:tcW w:w="1434" w:type="dxa"/>
            <w:vAlign w:val="top"/>
          </w:tcPr>
          <w:p>
            <w:pPr>
              <w:spacing w:line="311" w:lineRule="auto"/>
              <w:rPr>
                <w:rFonts w:ascii="Arial"/>
                <w:sz w:val="21"/>
              </w:rPr>
            </w:pPr>
            <w:r/>
          </w:p>
          <w:p>
            <w:pPr>
              <w:pStyle w:val="TableText"/>
              <w:ind w:left="458"/>
              <w:spacing w:before="82" w:line="221" w:lineRule="auto"/>
              <w:rPr>
                <w:sz w:val="25"/>
                <w:szCs w:val="25"/>
              </w:rPr>
            </w:pPr>
            <w:r>
              <w:rPr>
                <w:sz w:val="25"/>
                <w:szCs w:val="25"/>
                <w:b/>
                <w:bCs/>
                <w:spacing w:val="-6"/>
              </w:rPr>
              <w:t>较重</w:t>
            </w:r>
          </w:p>
        </w:tc>
        <w:tc>
          <w:tcPr>
            <w:tcW w:w="8124" w:type="dxa"/>
            <w:vAlign w:val="top"/>
          </w:tcPr>
          <w:p>
            <w:pPr>
              <w:pStyle w:val="TableText"/>
              <w:spacing w:before="75" w:line="219" w:lineRule="auto"/>
              <w:jc w:val="right"/>
              <w:rPr>
                <w:sz w:val="25"/>
                <w:szCs w:val="25"/>
              </w:rPr>
            </w:pPr>
            <w:r>
              <w:rPr>
                <w:sz w:val="25"/>
                <w:szCs w:val="25"/>
                <w:spacing w:val="-5"/>
              </w:rPr>
              <w:t>按照规定组织从业人员进行相关卫生法律知识和公共场所卫生知识培训，或</w:t>
            </w:r>
          </w:p>
          <w:p>
            <w:pPr>
              <w:pStyle w:val="TableText"/>
              <w:ind w:left="140" w:right="52" w:hanging="90"/>
              <w:spacing w:before="52" w:line="215" w:lineRule="auto"/>
              <w:rPr>
                <w:sz w:val="25"/>
                <w:szCs w:val="25"/>
              </w:rPr>
            </w:pPr>
            <w:r>
              <w:rPr>
                <w:sz w:val="25"/>
                <w:szCs w:val="25"/>
              </w:rPr>
              <w:t>者安排未经相关卫生法律知识和公共场所卫生知识培训考核的从业人员上</w:t>
            </w:r>
            <w:r>
              <w:rPr>
                <w:sz w:val="25"/>
                <w:szCs w:val="25"/>
                <w:spacing w:val="9"/>
              </w:rPr>
              <w:t xml:space="preserve"> </w:t>
            </w:r>
            <w:r>
              <w:rPr>
                <w:sz w:val="25"/>
                <w:szCs w:val="25"/>
                <w:spacing w:val="2"/>
              </w:rPr>
              <w:t>岗的，拒绝监督的</w:t>
            </w:r>
          </w:p>
        </w:tc>
        <w:tc>
          <w:tcPr>
            <w:tcW w:w="4231" w:type="dxa"/>
            <w:vAlign w:val="top"/>
          </w:tcPr>
          <w:p>
            <w:pPr>
              <w:spacing w:line="309" w:lineRule="auto"/>
              <w:rPr>
                <w:rFonts w:ascii="Arial"/>
                <w:sz w:val="21"/>
              </w:rPr>
            </w:pPr>
            <w:r/>
          </w:p>
          <w:p>
            <w:pPr>
              <w:pStyle w:val="TableText"/>
              <w:ind w:left="107"/>
              <w:spacing w:before="82" w:line="218" w:lineRule="auto"/>
              <w:rPr>
                <w:sz w:val="25"/>
                <w:szCs w:val="25"/>
              </w:rPr>
            </w:pPr>
            <w:r>
              <w:rPr>
                <w:sz w:val="25"/>
                <w:szCs w:val="25"/>
              </w:rPr>
              <w:t>警告，罚款10000元以上30000元以下</w:t>
            </w:r>
          </w:p>
        </w:tc>
      </w:tr>
      <w:tr>
        <w:trPr>
          <w:trHeight w:val="1012" w:hRule="atLeast"/>
        </w:trPr>
        <w:tc>
          <w:tcPr>
            <w:tcW w:w="1434" w:type="dxa"/>
            <w:vAlign w:val="top"/>
          </w:tcPr>
          <w:p>
            <w:pPr>
              <w:spacing w:line="302"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8124" w:type="dxa"/>
            <w:vAlign w:val="top"/>
          </w:tcPr>
          <w:p>
            <w:pPr>
              <w:pStyle w:val="TableText"/>
              <w:spacing w:before="78" w:line="219" w:lineRule="auto"/>
              <w:jc w:val="right"/>
              <w:rPr>
                <w:sz w:val="25"/>
                <w:szCs w:val="25"/>
              </w:rPr>
            </w:pPr>
            <w:r>
              <w:rPr>
                <w:sz w:val="25"/>
                <w:szCs w:val="25"/>
                <w:spacing w:val="-5"/>
              </w:rPr>
              <w:t>按照规定组织从业人员进行相关卫生法律知识和公共场所卫生知识培训，或</w:t>
            </w:r>
          </w:p>
          <w:p>
            <w:pPr>
              <w:pStyle w:val="TableText"/>
              <w:ind w:left="140" w:right="52" w:hanging="90"/>
              <w:spacing w:before="33" w:line="219" w:lineRule="auto"/>
              <w:rPr>
                <w:sz w:val="25"/>
                <w:szCs w:val="25"/>
              </w:rPr>
            </w:pPr>
            <w:r>
              <w:rPr>
                <w:sz w:val="25"/>
                <w:szCs w:val="25"/>
              </w:rPr>
              <w:t>者安排未经相关卫生法律知识和公共场所卫生知识培训考核的从业人员上</w:t>
            </w:r>
            <w:r>
              <w:rPr>
                <w:sz w:val="25"/>
                <w:szCs w:val="25"/>
                <w:spacing w:val="9"/>
              </w:rPr>
              <w:t xml:space="preserve"> </w:t>
            </w:r>
            <w:r>
              <w:rPr>
                <w:sz w:val="25"/>
                <w:szCs w:val="25"/>
                <w:spacing w:val="1"/>
              </w:rPr>
              <w:t>岗的，情节恶劣或后果严重的</w:t>
            </w:r>
          </w:p>
        </w:tc>
        <w:tc>
          <w:tcPr>
            <w:tcW w:w="4231" w:type="dxa"/>
            <w:vAlign w:val="top"/>
          </w:tcPr>
          <w:p>
            <w:pPr>
              <w:pStyle w:val="TableText"/>
              <w:ind w:left="107"/>
              <w:spacing w:before="244" w:line="256" w:lineRule="auto"/>
              <w:rPr>
                <w:sz w:val="25"/>
                <w:szCs w:val="25"/>
              </w:rPr>
            </w:pPr>
            <w:r>
              <w:rPr>
                <w:sz w:val="25"/>
                <w:szCs w:val="25"/>
                <w:spacing w:val="-1"/>
              </w:rPr>
              <w:t>警告，罚款30000元，责令停业整顿，</w:t>
            </w:r>
            <w:r>
              <w:rPr>
                <w:sz w:val="25"/>
                <w:szCs w:val="25"/>
                <w:spacing w:val="6"/>
              </w:rPr>
              <w:t xml:space="preserve"> </w:t>
            </w:r>
            <w:r>
              <w:rPr>
                <w:sz w:val="25"/>
                <w:szCs w:val="25"/>
              </w:rPr>
              <w:t>直至吊销卫生许可证</w:t>
            </w:r>
          </w:p>
        </w:tc>
      </w:tr>
    </w:tbl>
    <w:p>
      <w:pPr>
        <w:pStyle w:val="BodyText"/>
        <w:spacing w:line="436" w:lineRule="auto"/>
        <w:rPr/>
      </w:pPr>
      <w:r/>
    </w:p>
    <w:p>
      <w:pPr>
        <w:ind w:left="4" w:right="4" w:firstLine="659"/>
        <w:spacing w:before="98" w:line="283" w:lineRule="auto"/>
        <w:rPr>
          <w:rFonts w:ascii="FangSong" w:hAnsi="FangSong" w:eastAsia="FangSong" w:cs="FangSong"/>
          <w:sz w:val="30"/>
          <w:szCs w:val="30"/>
        </w:rPr>
      </w:pPr>
      <w:r>
        <w:rPr>
          <w:rFonts w:ascii="FangSong" w:hAnsi="FangSong" w:eastAsia="FangSong" w:cs="FangSong"/>
          <w:sz w:val="30"/>
          <w:szCs w:val="30"/>
          <w:b/>
          <w:bCs/>
          <w:spacing w:val="16"/>
        </w:rPr>
        <w:t>第四百三十条公共场所经营者未按照规定设置与其经营规模、项目相适应的清洗、消毒、保洁、</w:t>
      </w:r>
      <w:r>
        <w:rPr>
          <w:rFonts w:ascii="FangSong" w:hAnsi="FangSong" w:eastAsia="FangSong" w:cs="FangSong"/>
          <w:sz w:val="30"/>
          <w:szCs w:val="30"/>
          <w:spacing w:val="6"/>
        </w:rPr>
        <w:t xml:space="preserve"> </w:t>
      </w:r>
      <w:r>
        <w:rPr>
          <w:rFonts w:ascii="FangSong" w:hAnsi="FangSong" w:eastAsia="FangSong" w:cs="FangSong"/>
          <w:sz w:val="30"/>
          <w:szCs w:val="30"/>
          <w:b/>
          <w:bCs/>
          <w:spacing w:val="17"/>
        </w:rPr>
        <w:t>盥洗等设施设备和公共卫生间的，或擅自停止使用、拆除上述设施设备，或者挪作他用的</w:t>
      </w:r>
    </w:p>
    <w:p>
      <w:pPr>
        <w:spacing w:line="283" w:lineRule="auto"/>
        <w:sectPr>
          <w:footerReference w:type="default" r:id="rId457"/>
          <w:pgSz w:w="16830" w:h="11900"/>
          <w:pgMar w:top="1011" w:right="1320" w:bottom="1107" w:left="1430" w:header="0" w:footer="774" w:gutter="0"/>
        </w:sectPr>
        <w:rPr>
          <w:rFonts w:ascii="FangSong" w:hAnsi="FangSong" w:eastAsia="FangSong" w:cs="FangSong"/>
          <w:sz w:val="30"/>
          <w:szCs w:val="30"/>
        </w:rPr>
      </w:pPr>
    </w:p>
    <w:p>
      <w:pPr>
        <w:pStyle w:val="BodyText"/>
        <w:spacing w:line="278" w:lineRule="auto"/>
        <w:rPr/>
      </w:pPr>
      <w:r/>
    </w:p>
    <w:p>
      <w:pPr>
        <w:pStyle w:val="BodyText"/>
        <w:spacing w:line="278" w:lineRule="auto"/>
        <w:rPr/>
      </w:pPr>
      <w:r/>
    </w:p>
    <w:p>
      <w:pPr>
        <w:pStyle w:val="BodyText"/>
        <w:spacing w:line="278" w:lineRule="auto"/>
        <w:rPr/>
      </w:pPr>
      <w:r/>
    </w:p>
    <w:p>
      <w:pPr>
        <w:ind w:left="640"/>
        <w:spacing w:before="88"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firstLine="599"/>
        <w:spacing w:before="98" w:line="270" w:lineRule="auto"/>
        <w:jc w:val="both"/>
        <w:rPr>
          <w:rFonts w:ascii="FangSong" w:hAnsi="FangSong" w:eastAsia="FangSong" w:cs="FangSong"/>
          <w:sz w:val="30"/>
          <w:szCs w:val="30"/>
        </w:rPr>
      </w:pPr>
      <w:r>
        <w:rPr>
          <w:rFonts w:ascii="FangSong" w:hAnsi="FangSong" w:eastAsia="FangSong" w:cs="FangSong"/>
          <w:sz w:val="30"/>
          <w:szCs w:val="30"/>
          <w:spacing w:val="19"/>
        </w:rPr>
        <w:t>《公共场所卫生管理条例实施细则》第三十七条第(三)项</w:t>
      </w:r>
      <w:r>
        <w:rPr>
          <w:rFonts w:ascii="FangSong" w:hAnsi="FangSong" w:eastAsia="FangSong" w:cs="FangSong"/>
          <w:sz w:val="30"/>
          <w:szCs w:val="30"/>
          <w:spacing w:val="19"/>
        </w:rPr>
        <w:t xml:space="preserve">  </w:t>
      </w:r>
      <w:r>
        <w:rPr>
          <w:rFonts w:ascii="FangSong" w:hAnsi="FangSong" w:eastAsia="FangSong" w:cs="FangSong"/>
          <w:sz w:val="30"/>
          <w:szCs w:val="30"/>
          <w:spacing w:val="19"/>
        </w:rPr>
        <w:t>公共场所经营者有下</w:t>
      </w:r>
      <w:r>
        <w:rPr>
          <w:rFonts w:ascii="FangSong" w:hAnsi="FangSong" w:eastAsia="FangSong" w:cs="FangSong"/>
          <w:sz w:val="30"/>
          <w:szCs w:val="30"/>
          <w:spacing w:val="18"/>
        </w:rPr>
        <w:t>列情形之一的，</w:t>
      </w:r>
      <w:r>
        <w:rPr>
          <w:rFonts w:ascii="FangSong" w:hAnsi="FangSong" w:eastAsia="FangSong" w:cs="FangSong"/>
          <w:sz w:val="30"/>
          <w:szCs w:val="30"/>
        </w:rPr>
        <w:t xml:space="preserve"> </w:t>
      </w:r>
      <w:r>
        <w:rPr>
          <w:rFonts w:ascii="FangSong" w:hAnsi="FangSong" w:eastAsia="FangSong" w:cs="FangSong"/>
          <w:sz w:val="30"/>
          <w:szCs w:val="30"/>
          <w:spacing w:val="16"/>
        </w:rPr>
        <w:t>由县级以上地方人民政府卫生行政部门责令限期改正；逾期不改的，给予警告，并处以一千元以上一</w:t>
      </w:r>
      <w:r>
        <w:rPr>
          <w:rFonts w:ascii="FangSong" w:hAnsi="FangSong" w:eastAsia="FangSong" w:cs="FangSong"/>
          <w:sz w:val="30"/>
          <w:szCs w:val="30"/>
        </w:rPr>
        <w:t xml:space="preserve"> </w:t>
      </w:r>
      <w:r>
        <w:rPr>
          <w:rFonts w:ascii="FangSong" w:hAnsi="FangSong" w:eastAsia="FangSong" w:cs="FangSong"/>
          <w:sz w:val="30"/>
          <w:szCs w:val="30"/>
          <w:spacing w:val="16"/>
        </w:rPr>
        <w:t>万元以下罚款；对拒绝监督的，处以一万元以上三万元以下罚款；情节严重的，可以依法责令停业整</w:t>
      </w:r>
      <w:r>
        <w:rPr>
          <w:rFonts w:ascii="FangSong" w:hAnsi="FangSong" w:eastAsia="FangSong" w:cs="FangSong"/>
          <w:sz w:val="30"/>
          <w:szCs w:val="30"/>
          <w:spacing w:val="15"/>
        </w:rPr>
        <w:t xml:space="preserve"> </w:t>
      </w:r>
      <w:r>
        <w:rPr>
          <w:rFonts w:ascii="FangSong" w:hAnsi="FangSong" w:eastAsia="FangSong" w:cs="FangSong"/>
          <w:sz w:val="30"/>
          <w:szCs w:val="30"/>
          <w:spacing w:val="11"/>
        </w:rPr>
        <w:t>顿，直至吊销卫生许可证：</w:t>
      </w:r>
    </w:p>
    <w:p>
      <w:pPr>
        <w:ind w:right="109" w:firstLine="769"/>
        <w:spacing w:line="276" w:lineRule="auto"/>
        <w:rPr>
          <w:rFonts w:ascii="FangSong" w:hAnsi="FangSong" w:eastAsia="FangSong" w:cs="FangSong"/>
          <w:sz w:val="30"/>
          <w:szCs w:val="30"/>
        </w:rPr>
      </w:pPr>
      <w:r>
        <w:rPr>
          <w:rFonts w:ascii="FangSong" w:hAnsi="FangSong" w:eastAsia="FangSong" w:cs="FangSong"/>
          <w:sz w:val="30"/>
          <w:szCs w:val="30"/>
          <w:spacing w:val="20"/>
        </w:rPr>
        <w:t>(三)未按照规定设置与其经营规模、项目相适应的清洗、消毒、保洁、盥洗等设施设备和公共</w:t>
      </w:r>
      <w:r>
        <w:rPr>
          <w:rFonts w:ascii="FangSong" w:hAnsi="FangSong" w:eastAsia="FangSong" w:cs="FangSong"/>
          <w:sz w:val="30"/>
          <w:szCs w:val="30"/>
          <w:spacing w:val="9"/>
        </w:rPr>
        <w:t xml:space="preserve"> </w:t>
      </w:r>
      <w:r>
        <w:rPr>
          <w:rFonts w:ascii="FangSong" w:hAnsi="FangSong" w:eastAsia="FangSong" w:cs="FangSong"/>
          <w:sz w:val="30"/>
          <w:szCs w:val="30"/>
          <w:spacing w:val="16"/>
        </w:rPr>
        <w:t>卫生间，或者擅自停止使用、拆除上述设施设备，或者挪作他用的；</w:t>
      </w:r>
    </w:p>
    <w:p>
      <w:pPr>
        <w:ind w:left="6394"/>
        <w:spacing w:before="124"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789" w:type="dxa"/>
        <w:tblInd w:w="4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8114"/>
        <w:gridCol w:w="4251"/>
      </w:tblGrid>
      <w:tr>
        <w:trPr>
          <w:trHeight w:val="454" w:hRule="atLeast"/>
        </w:trPr>
        <w:tc>
          <w:tcPr>
            <w:tcW w:w="1424" w:type="dxa"/>
            <w:vAlign w:val="top"/>
          </w:tcPr>
          <w:p>
            <w:pPr>
              <w:pStyle w:val="TableText"/>
              <w:ind w:left="208"/>
              <w:spacing w:before="102" w:line="220" w:lineRule="auto"/>
              <w:rPr>
                <w:sz w:val="25"/>
                <w:szCs w:val="25"/>
              </w:rPr>
            </w:pPr>
            <w:r>
              <w:rPr>
                <w:sz w:val="25"/>
                <w:szCs w:val="25"/>
                <w:b/>
                <w:bCs/>
                <w:spacing w:val="-5"/>
              </w:rPr>
              <w:t>违法程度</w:t>
            </w:r>
          </w:p>
        </w:tc>
        <w:tc>
          <w:tcPr>
            <w:tcW w:w="8114" w:type="dxa"/>
            <w:vAlign w:val="top"/>
          </w:tcPr>
          <w:p>
            <w:pPr>
              <w:pStyle w:val="TableText"/>
              <w:ind w:left="3554"/>
              <w:spacing w:before="102" w:line="220" w:lineRule="auto"/>
              <w:rPr>
                <w:sz w:val="25"/>
                <w:szCs w:val="25"/>
              </w:rPr>
            </w:pPr>
            <w:r>
              <w:rPr>
                <w:sz w:val="25"/>
                <w:szCs w:val="25"/>
                <w:b/>
                <w:bCs/>
                <w:spacing w:val="-5"/>
              </w:rPr>
              <w:t>情节后果</w:t>
            </w:r>
          </w:p>
        </w:tc>
        <w:tc>
          <w:tcPr>
            <w:tcW w:w="4251" w:type="dxa"/>
            <w:vAlign w:val="top"/>
          </w:tcPr>
          <w:p>
            <w:pPr>
              <w:pStyle w:val="TableText"/>
              <w:ind w:left="1620"/>
              <w:spacing w:before="99" w:line="218" w:lineRule="auto"/>
              <w:rPr>
                <w:sz w:val="25"/>
                <w:szCs w:val="25"/>
              </w:rPr>
            </w:pPr>
            <w:r>
              <w:rPr>
                <w:sz w:val="25"/>
                <w:szCs w:val="25"/>
                <w:b/>
                <w:bCs/>
                <w:spacing w:val="-5"/>
              </w:rPr>
              <w:t>裁量幅度</w:t>
            </w:r>
          </w:p>
        </w:tc>
      </w:tr>
      <w:tr>
        <w:trPr>
          <w:trHeight w:val="519" w:hRule="atLeast"/>
        </w:trPr>
        <w:tc>
          <w:tcPr>
            <w:tcW w:w="1424" w:type="dxa"/>
            <w:vAlign w:val="top"/>
          </w:tcPr>
          <w:p>
            <w:pPr>
              <w:pStyle w:val="TableText"/>
              <w:ind w:left="458"/>
              <w:spacing w:before="137" w:line="219" w:lineRule="auto"/>
              <w:rPr>
                <w:sz w:val="25"/>
                <w:szCs w:val="25"/>
              </w:rPr>
            </w:pPr>
            <w:r>
              <w:rPr>
                <w:sz w:val="25"/>
                <w:szCs w:val="25"/>
                <w:b/>
                <w:bCs/>
                <w:spacing w:val="-6"/>
              </w:rPr>
              <w:t>较轻</w:t>
            </w:r>
          </w:p>
        </w:tc>
        <w:tc>
          <w:tcPr>
            <w:tcW w:w="8114" w:type="dxa"/>
            <w:vAlign w:val="top"/>
          </w:tcPr>
          <w:p>
            <w:pPr>
              <w:pStyle w:val="TableText"/>
              <w:ind w:left="110"/>
              <w:spacing w:before="139" w:line="219" w:lineRule="auto"/>
              <w:rPr>
                <w:sz w:val="25"/>
                <w:szCs w:val="25"/>
              </w:rPr>
            </w:pPr>
            <w:r>
              <w:rPr>
                <w:sz w:val="25"/>
                <w:szCs w:val="25"/>
              </w:rPr>
              <w:t>有上述违法情节1项，经责令限期改正，逾期不改正的</w:t>
            </w:r>
          </w:p>
        </w:tc>
        <w:tc>
          <w:tcPr>
            <w:tcW w:w="4251" w:type="dxa"/>
            <w:vAlign w:val="top"/>
          </w:tcPr>
          <w:p>
            <w:pPr>
              <w:pStyle w:val="TableText"/>
              <w:ind w:left="247"/>
              <w:spacing w:before="139" w:line="218" w:lineRule="auto"/>
              <w:rPr>
                <w:sz w:val="25"/>
                <w:szCs w:val="25"/>
              </w:rPr>
            </w:pPr>
            <w:r>
              <w:rPr>
                <w:sz w:val="25"/>
                <w:szCs w:val="25"/>
              </w:rPr>
              <w:t>警告，罚款1000元以上5000元以下</w:t>
            </w:r>
          </w:p>
        </w:tc>
      </w:tr>
      <w:tr>
        <w:trPr>
          <w:trHeight w:val="568" w:hRule="atLeast"/>
        </w:trPr>
        <w:tc>
          <w:tcPr>
            <w:tcW w:w="1424" w:type="dxa"/>
            <w:vAlign w:val="top"/>
          </w:tcPr>
          <w:p>
            <w:pPr>
              <w:pStyle w:val="TableText"/>
              <w:ind w:left="458"/>
              <w:spacing w:before="160" w:line="221" w:lineRule="auto"/>
              <w:rPr>
                <w:sz w:val="25"/>
                <w:szCs w:val="25"/>
              </w:rPr>
            </w:pPr>
            <w:r>
              <w:rPr>
                <w:sz w:val="25"/>
                <w:szCs w:val="25"/>
                <w:b/>
                <w:bCs/>
                <w:spacing w:val="-10"/>
              </w:rPr>
              <w:t>一般</w:t>
            </w:r>
          </w:p>
        </w:tc>
        <w:tc>
          <w:tcPr>
            <w:tcW w:w="8114" w:type="dxa"/>
            <w:vAlign w:val="top"/>
          </w:tcPr>
          <w:p>
            <w:pPr>
              <w:pStyle w:val="TableText"/>
              <w:ind w:left="130"/>
              <w:spacing w:before="160" w:line="219" w:lineRule="auto"/>
              <w:rPr>
                <w:sz w:val="25"/>
                <w:szCs w:val="25"/>
              </w:rPr>
            </w:pPr>
            <w:r>
              <w:rPr>
                <w:sz w:val="25"/>
                <w:szCs w:val="25"/>
              </w:rPr>
              <w:t>有上述违法情节2项及以上，经责令限期改正，逾期不改正的</w:t>
            </w:r>
          </w:p>
        </w:tc>
        <w:tc>
          <w:tcPr>
            <w:tcW w:w="4251" w:type="dxa"/>
            <w:vAlign w:val="top"/>
          </w:tcPr>
          <w:p>
            <w:pPr>
              <w:pStyle w:val="TableText"/>
              <w:ind w:left="176"/>
              <w:spacing w:before="160" w:line="218" w:lineRule="auto"/>
              <w:rPr>
                <w:sz w:val="25"/>
                <w:szCs w:val="25"/>
              </w:rPr>
            </w:pPr>
            <w:r>
              <w:rPr>
                <w:sz w:val="25"/>
                <w:szCs w:val="25"/>
                <w:spacing w:val="1"/>
              </w:rPr>
              <w:t>警告，罚款5000元以上10000元以下</w:t>
            </w:r>
          </w:p>
        </w:tc>
      </w:tr>
      <w:tr>
        <w:trPr>
          <w:trHeight w:val="1007" w:hRule="atLeast"/>
        </w:trPr>
        <w:tc>
          <w:tcPr>
            <w:tcW w:w="1424" w:type="dxa"/>
            <w:vAlign w:val="top"/>
          </w:tcPr>
          <w:p>
            <w:pPr>
              <w:spacing w:line="301" w:lineRule="auto"/>
              <w:rPr>
                <w:rFonts w:ascii="Arial"/>
                <w:sz w:val="21"/>
              </w:rPr>
            </w:pPr>
            <w:r/>
          </w:p>
          <w:p>
            <w:pPr>
              <w:pStyle w:val="TableText"/>
              <w:ind w:left="458"/>
              <w:spacing w:before="81" w:line="221" w:lineRule="auto"/>
              <w:rPr>
                <w:sz w:val="25"/>
                <w:szCs w:val="25"/>
              </w:rPr>
            </w:pPr>
            <w:r>
              <w:rPr>
                <w:sz w:val="25"/>
                <w:szCs w:val="25"/>
                <w:b/>
                <w:bCs/>
                <w:spacing w:val="-6"/>
              </w:rPr>
              <w:t>较重</w:t>
            </w:r>
          </w:p>
        </w:tc>
        <w:tc>
          <w:tcPr>
            <w:tcW w:w="8114" w:type="dxa"/>
            <w:vAlign w:val="top"/>
          </w:tcPr>
          <w:p>
            <w:pPr>
              <w:pStyle w:val="TableText"/>
              <w:ind w:left="10"/>
              <w:spacing w:before="62" w:line="230" w:lineRule="auto"/>
              <w:jc w:val="both"/>
              <w:rPr>
                <w:sz w:val="25"/>
                <w:szCs w:val="25"/>
              </w:rPr>
            </w:pPr>
            <w:r>
              <w:rPr>
                <w:sz w:val="25"/>
                <w:szCs w:val="25"/>
                <w:spacing w:val="-5"/>
              </w:rPr>
              <w:t>未未按照规定设置与其经营规模、项目相适应的清洗、消毒、保洁、盥洗等</w:t>
            </w:r>
            <w:r>
              <w:rPr>
                <w:sz w:val="25"/>
                <w:szCs w:val="25"/>
                <w:spacing w:val="2"/>
              </w:rPr>
              <w:t xml:space="preserve"> </w:t>
            </w:r>
            <w:r>
              <w:rPr>
                <w:sz w:val="25"/>
                <w:szCs w:val="25"/>
                <w:spacing w:val="-5"/>
              </w:rPr>
              <w:t>设施设备和公共卫生间，或者擅自停止使用、拆除上述设施设备，或者挪作</w:t>
            </w:r>
            <w:r>
              <w:rPr>
                <w:sz w:val="25"/>
                <w:szCs w:val="25"/>
                <w:spacing w:val="7"/>
              </w:rPr>
              <w:t xml:space="preserve"> </w:t>
            </w:r>
            <w:r>
              <w:rPr>
                <w:sz w:val="25"/>
                <w:szCs w:val="25"/>
                <w:spacing w:val="12"/>
              </w:rPr>
              <w:t>他用的，拒绝监督的</w:t>
            </w:r>
          </w:p>
        </w:tc>
        <w:tc>
          <w:tcPr>
            <w:tcW w:w="4251" w:type="dxa"/>
            <w:vAlign w:val="top"/>
          </w:tcPr>
          <w:p>
            <w:pPr>
              <w:spacing w:line="299" w:lineRule="auto"/>
              <w:rPr>
                <w:rFonts w:ascii="Arial"/>
                <w:sz w:val="21"/>
              </w:rPr>
            </w:pPr>
            <w:r/>
          </w:p>
          <w:p>
            <w:pPr>
              <w:pStyle w:val="TableText"/>
              <w:ind w:left="117"/>
              <w:spacing w:before="81" w:line="218" w:lineRule="auto"/>
              <w:rPr>
                <w:sz w:val="25"/>
                <w:szCs w:val="25"/>
              </w:rPr>
            </w:pPr>
            <w:r>
              <w:rPr>
                <w:sz w:val="25"/>
                <w:szCs w:val="25"/>
              </w:rPr>
              <w:t>警告，罚款10000元以上30000元以下</w:t>
            </w:r>
          </w:p>
        </w:tc>
      </w:tr>
      <w:tr>
        <w:trPr>
          <w:trHeight w:val="1012" w:hRule="atLeast"/>
        </w:trPr>
        <w:tc>
          <w:tcPr>
            <w:tcW w:w="1424" w:type="dxa"/>
            <w:vAlign w:val="top"/>
          </w:tcPr>
          <w:p>
            <w:pPr>
              <w:spacing w:line="301"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8114" w:type="dxa"/>
            <w:vAlign w:val="top"/>
          </w:tcPr>
          <w:p>
            <w:pPr>
              <w:pStyle w:val="TableText"/>
              <w:ind w:left="10"/>
              <w:spacing w:before="55" w:line="233" w:lineRule="auto"/>
              <w:jc w:val="both"/>
              <w:rPr>
                <w:sz w:val="25"/>
                <w:szCs w:val="25"/>
              </w:rPr>
            </w:pPr>
            <w:r>
              <w:rPr>
                <w:sz w:val="25"/>
                <w:szCs w:val="25"/>
                <w:spacing w:val="-5"/>
              </w:rPr>
              <w:t>未未按照规定设置与其经营规模、项目相适应的清洗、消毒、保洁、盥洗等</w:t>
            </w:r>
            <w:r>
              <w:rPr>
                <w:sz w:val="25"/>
                <w:szCs w:val="25"/>
                <w:spacing w:val="2"/>
              </w:rPr>
              <w:t xml:space="preserve"> </w:t>
            </w:r>
            <w:r>
              <w:rPr>
                <w:sz w:val="25"/>
                <w:szCs w:val="25"/>
                <w:spacing w:val="-5"/>
              </w:rPr>
              <w:t>设施设备和公共卫生间，或者擅自停止使用、拆除上述设施设备，或者挪作</w:t>
            </w:r>
            <w:r>
              <w:rPr>
                <w:sz w:val="25"/>
                <w:szCs w:val="25"/>
                <w:spacing w:val="7"/>
              </w:rPr>
              <w:t xml:space="preserve"> </w:t>
            </w:r>
            <w:r>
              <w:rPr>
                <w:sz w:val="25"/>
                <w:szCs w:val="25"/>
                <w:spacing w:val="9"/>
              </w:rPr>
              <w:t>他用的，情节恶劣或后果严重的</w:t>
            </w:r>
          </w:p>
        </w:tc>
        <w:tc>
          <w:tcPr>
            <w:tcW w:w="4251" w:type="dxa"/>
            <w:vAlign w:val="top"/>
          </w:tcPr>
          <w:p>
            <w:pPr>
              <w:pStyle w:val="TableText"/>
              <w:ind w:left="146" w:hanging="29"/>
              <w:spacing w:before="224" w:line="278" w:lineRule="auto"/>
              <w:rPr>
                <w:sz w:val="25"/>
                <w:szCs w:val="25"/>
              </w:rPr>
            </w:pPr>
            <w:r>
              <w:rPr>
                <w:sz w:val="25"/>
                <w:szCs w:val="25"/>
                <w:spacing w:val="-1"/>
              </w:rPr>
              <w:t>警告，罚款30000元，责令停业整顿，</w:t>
            </w:r>
            <w:r>
              <w:rPr>
                <w:sz w:val="25"/>
                <w:szCs w:val="25"/>
                <w:spacing w:val="16"/>
              </w:rPr>
              <w:t xml:space="preserve"> </w:t>
            </w:r>
            <w:r>
              <w:rPr>
                <w:sz w:val="25"/>
                <w:szCs w:val="25"/>
                <w:spacing w:val="1"/>
              </w:rPr>
              <w:t>直至吊销卫生许可证</w:t>
            </w:r>
          </w:p>
        </w:tc>
      </w:tr>
    </w:tbl>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6" w:lineRule="auto"/>
        <w:rPr/>
      </w:pPr>
      <w:r/>
    </w:p>
    <w:p>
      <w:pPr>
        <w:ind w:left="6320"/>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—504—</w:t>
      </w:r>
    </w:p>
    <w:p>
      <w:pPr>
        <w:spacing w:line="188" w:lineRule="auto"/>
        <w:sectPr>
          <w:footerReference w:type="default" r:id="rId24"/>
          <w:pgSz w:w="16830" w:h="11900"/>
          <w:pgMar w:top="1011" w:right="1339" w:bottom="400" w:left="1460" w:header="0" w:footer="0" w:gutter="0"/>
        </w:sectPr>
        <w:rPr>
          <w:rFonts w:ascii="Times New Roman" w:hAnsi="Times New Roman" w:eastAsia="Times New Roman" w:cs="Times New Roman"/>
          <w:sz w:val="37"/>
          <w:szCs w:val="37"/>
        </w:rPr>
      </w:pPr>
    </w:p>
    <w:p>
      <w:pPr>
        <w:pStyle w:val="BodyText"/>
        <w:spacing w:line="268" w:lineRule="auto"/>
        <w:rPr/>
      </w:pPr>
      <w:r/>
    </w:p>
    <w:p>
      <w:pPr>
        <w:pStyle w:val="BodyText"/>
        <w:spacing w:line="268" w:lineRule="auto"/>
        <w:rPr/>
      </w:pPr>
      <w:r/>
    </w:p>
    <w:p>
      <w:pPr>
        <w:pStyle w:val="BodyText"/>
        <w:spacing w:line="268" w:lineRule="auto"/>
        <w:rPr/>
      </w:pPr>
      <w:r/>
    </w:p>
    <w:p>
      <w:pPr>
        <w:ind w:right="119" w:firstLine="670"/>
        <w:spacing w:before="98" w:line="265" w:lineRule="auto"/>
        <w:rPr>
          <w:rFonts w:ascii="KaiTi" w:hAnsi="KaiTi" w:eastAsia="KaiTi" w:cs="KaiTi"/>
          <w:sz w:val="30"/>
          <w:szCs w:val="30"/>
        </w:rPr>
      </w:pPr>
      <w:bookmarkStart w:name="bookmark1102" w:id="476"/>
      <w:bookmarkEnd w:id="476"/>
      <w:r>
        <w:rPr>
          <w:rFonts w:ascii="KaiTi" w:hAnsi="KaiTi" w:eastAsia="KaiTi" w:cs="KaiTi"/>
          <w:sz w:val="30"/>
          <w:szCs w:val="30"/>
          <w:spacing w:val="24"/>
        </w:rPr>
        <w:t>第四百三十一条公共场所经营者未按照规定配备预防控制鼠、蚊、蝇、蟑螂和其他</w:t>
      </w:r>
      <w:r>
        <w:rPr>
          <w:rFonts w:ascii="KaiTi" w:hAnsi="KaiTi" w:eastAsia="KaiTi" w:cs="KaiTi"/>
          <w:sz w:val="30"/>
          <w:szCs w:val="30"/>
          <w:spacing w:val="23"/>
        </w:rPr>
        <w:t>病媒生物的</w:t>
      </w:r>
      <w:r>
        <w:rPr>
          <w:rFonts w:ascii="KaiTi" w:hAnsi="KaiTi" w:eastAsia="KaiTi" w:cs="KaiTi"/>
          <w:sz w:val="30"/>
          <w:szCs w:val="30"/>
        </w:rPr>
        <w:t xml:space="preserve"> </w:t>
      </w:r>
      <w:r>
        <w:rPr>
          <w:rFonts w:ascii="KaiTi" w:hAnsi="KaiTi" w:eastAsia="KaiTi" w:cs="KaiTi"/>
          <w:sz w:val="30"/>
          <w:szCs w:val="30"/>
          <w:spacing w:val="21"/>
        </w:rPr>
        <w:t>设施设备以及废弃物存放专用设施设备，或者擅自停止使用、</w:t>
      </w:r>
      <w:r>
        <w:rPr>
          <w:rFonts w:ascii="KaiTi" w:hAnsi="KaiTi" w:eastAsia="KaiTi" w:cs="KaiTi"/>
          <w:sz w:val="30"/>
          <w:szCs w:val="30"/>
          <w:spacing w:val="20"/>
        </w:rPr>
        <w:t>拆除预防控制鼠、蚊、蝇、嶂螂和其</w:t>
      </w:r>
      <w:r>
        <w:rPr>
          <w:rFonts w:ascii="KaiTi" w:hAnsi="KaiTi" w:eastAsia="KaiTi" w:cs="KaiTi"/>
          <w:sz w:val="30"/>
          <w:szCs w:val="30"/>
        </w:rPr>
        <w:t xml:space="preserve">  </w:t>
      </w:r>
      <w:r>
        <w:rPr>
          <w:rFonts w:ascii="KaiTi" w:hAnsi="KaiTi" w:eastAsia="KaiTi" w:cs="KaiTi"/>
          <w:sz w:val="30"/>
          <w:szCs w:val="30"/>
          <w:spacing w:val="20"/>
        </w:rPr>
        <w:t>他病媒生物的设施设备以及废弃物存放专用设施设备的</w:t>
      </w:r>
    </w:p>
    <w:p>
      <w:pPr>
        <w:ind w:left="649"/>
        <w:spacing w:before="3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firstLine="629"/>
        <w:spacing w:before="89" w:line="265" w:lineRule="auto"/>
        <w:jc w:val="both"/>
        <w:rPr>
          <w:rFonts w:ascii="FangSong" w:hAnsi="FangSong" w:eastAsia="FangSong" w:cs="FangSong"/>
          <w:sz w:val="30"/>
          <w:szCs w:val="30"/>
        </w:rPr>
      </w:pPr>
      <w:r>
        <w:rPr>
          <w:rFonts w:ascii="FangSong" w:hAnsi="FangSong" w:eastAsia="FangSong" w:cs="FangSong"/>
          <w:sz w:val="30"/>
          <w:szCs w:val="30"/>
          <w:spacing w:val="19"/>
        </w:rPr>
        <w:t>《公共场所卫生管理条例实施细则》第三十七条第(四)项</w:t>
      </w:r>
      <w:r>
        <w:rPr>
          <w:rFonts w:ascii="FangSong" w:hAnsi="FangSong" w:eastAsia="FangSong" w:cs="FangSong"/>
          <w:sz w:val="30"/>
          <w:szCs w:val="30"/>
          <w:spacing w:val="19"/>
        </w:rPr>
        <w:t xml:space="preserve">  </w:t>
      </w:r>
      <w:r>
        <w:rPr>
          <w:rFonts w:ascii="FangSong" w:hAnsi="FangSong" w:eastAsia="FangSong" w:cs="FangSong"/>
          <w:sz w:val="30"/>
          <w:szCs w:val="30"/>
          <w:spacing w:val="19"/>
        </w:rPr>
        <w:t>公共场所经营者有下列情形之一的，</w:t>
      </w:r>
      <w:r>
        <w:rPr>
          <w:rFonts w:ascii="FangSong" w:hAnsi="FangSong" w:eastAsia="FangSong" w:cs="FangSong"/>
          <w:sz w:val="30"/>
          <w:szCs w:val="30"/>
          <w:spacing w:val="3"/>
        </w:rPr>
        <w:t xml:space="preserve"> </w:t>
      </w:r>
      <w:r>
        <w:rPr>
          <w:rFonts w:ascii="FangSong" w:hAnsi="FangSong" w:eastAsia="FangSong" w:cs="FangSong"/>
          <w:sz w:val="30"/>
          <w:szCs w:val="30"/>
          <w:spacing w:val="16"/>
        </w:rPr>
        <w:t>由县级以上地方人民政府卫生行政部门责令限期改正；逾期不改的，给予警告，并处以一千元以上一</w:t>
      </w:r>
      <w:r>
        <w:rPr>
          <w:rFonts w:ascii="FangSong" w:hAnsi="FangSong" w:eastAsia="FangSong" w:cs="FangSong"/>
          <w:sz w:val="30"/>
          <w:szCs w:val="30"/>
          <w:spacing w:val="4"/>
        </w:rPr>
        <w:t xml:space="preserve">  </w:t>
      </w:r>
      <w:r>
        <w:rPr>
          <w:rFonts w:ascii="FangSong" w:hAnsi="FangSong" w:eastAsia="FangSong" w:cs="FangSong"/>
          <w:sz w:val="30"/>
          <w:szCs w:val="30"/>
          <w:spacing w:val="17"/>
        </w:rPr>
        <w:t>万元以下罚款；对拒绝监督的，处以一万元以上三万元以下罚款；情节严重的，</w:t>
      </w:r>
      <w:r>
        <w:rPr>
          <w:rFonts w:ascii="FangSong" w:hAnsi="FangSong" w:eastAsia="FangSong" w:cs="FangSong"/>
          <w:sz w:val="30"/>
          <w:szCs w:val="30"/>
          <w:spacing w:val="16"/>
        </w:rPr>
        <w:t>可以依法责令停业整</w:t>
      </w:r>
      <w:r>
        <w:rPr>
          <w:rFonts w:ascii="FangSong" w:hAnsi="FangSong" w:eastAsia="FangSong" w:cs="FangSong"/>
          <w:sz w:val="30"/>
          <w:szCs w:val="30"/>
        </w:rPr>
        <w:t xml:space="preserve"> </w:t>
      </w:r>
      <w:r>
        <w:rPr>
          <w:rFonts w:ascii="FangSong" w:hAnsi="FangSong" w:eastAsia="FangSong" w:cs="FangSong"/>
          <w:sz w:val="30"/>
          <w:szCs w:val="30"/>
          <w:spacing w:val="10"/>
        </w:rPr>
        <w:t>顿，直至吊销卫生许可证：</w:t>
      </w:r>
    </w:p>
    <w:p>
      <w:pPr>
        <w:ind w:right="126" w:firstLine="779"/>
        <w:spacing w:before="4" w:line="270" w:lineRule="auto"/>
        <w:jc w:val="both"/>
        <w:rPr>
          <w:rFonts w:ascii="FangSong" w:hAnsi="FangSong" w:eastAsia="FangSong" w:cs="FangSong"/>
          <w:sz w:val="30"/>
          <w:szCs w:val="30"/>
        </w:rPr>
      </w:pPr>
      <w:r>
        <w:rPr>
          <w:rFonts w:ascii="FangSong" w:hAnsi="FangSong" w:eastAsia="FangSong" w:cs="FangSong"/>
          <w:sz w:val="30"/>
          <w:szCs w:val="30"/>
          <w:spacing w:val="21"/>
        </w:rPr>
        <w:t>(四)未按照规定配备预防控制鼠、蚊、蝇、蟑螂</w:t>
      </w:r>
      <w:r>
        <w:rPr>
          <w:rFonts w:ascii="FangSong" w:hAnsi="FangSong" w:eastAsia="FangSong" w:cs="FangSong"/>
          <w:sz w:val="30"/>
          <w:szCs w:val="30"/>
          <w:spacing w:val="20"/>
        </w:rPr>
        <w:t>和其他病媒生物的设施设备以及废弃物存放专</w:t>
      </w:r>
      <w:r>
        <w:rPr>
          <w:rFonts w:ascii="FangSong" w:hAnsi="FangSong" w:eastAsia="FangSong" w:cs="FangSong"/>
          <w:sz w:val="30"/>
          <w:szCs w:val="30"/>
        </w:rPr>
        <w:t xml:space="preserve"> </w:t>
      </w:r>
      <w:r>
        <w:rPr>
          <w:rFonts w:ascii="FangSong" w:hAnsi="FangSong" w:eastAsia="FangSong" w:cs="FangSong"/>
          <w:sz w:val="30"/>
          <w:szCs w:val="30"/>
          <w:spacing w:val="17"/>
        </w:rPr>
        <w:t>用设施设备，或者擅自停止使用、拆除预防控制鼠、蚊、蝇、蟑螂和其他病媒生物的设</w:t>
      </w:r>
      <w:r>
        <w:rPr>
          <w:rFonts w:ascii="FangSong" w:hAnsi="FangSong" w:eastAsia="FangSong" w:cs="FangSong"/>
          <w:sz w:val="30"/>
          <w:szCs w:val="30"/>
          <w:spacing w:val="16"/>
        </w:rPr>
        <w:t>施设备以及废</w:t>
      </w:r>
      <w:r>
        <w:rPr>
          <w:rFonts w:ascii="FangSong" w:hAnsi="FangSong" w:eastAsia="FangSong" w:cs="FangSong"/>
          <w:sz w:val="30"/>
          <w:szCs w:val="30"/>
        </w:rPr>
        <w:t xml:space="preserve"> </w:t>
      </w:r>
      <w:r>
        <w:rPr>
          <w:rFonts w:ascii="FangSong" w:hAnsi="FangSong" w:eastAsia="FangSong" w:cs="FangSong"/>
          <w:sz w:val="30"/>
          <w:szCs w:val="30"/>
          <w:spacing w:val="10"/>
        </w:rPr>
        <w:t>弃物存放专用设施设备的；</w:t>
      </w:r>
    </w:p>
    <w:p>
      <w:pPr>
        <w:ind w:left="6423"/>
        <w:spacing w:before="155"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509" w:type="dxa"/>
        <w:tblInd w:w="2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554"/>
        <w:gridCol w:w="4521"/>
      </w:tblGrid>
      <w:tr>
        <w:trPr>
          <w:trHeight w:val="483" w:hRule="atLeast"/>
        </w:trPr>
        <w:tc>
          <w:tcPr>
            <w:tcW w:w="1434" w:type="dxa"/>
            <w:vAlign w:val="top"/>
          </w:tcPr>
          <w:p>
            <w:pPr>
              <w:pStyle w:val="TableText"/>
              <w:ind w:left="128"/>
              <w:spacing w:before="12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554" w:type="dxa"/>
            <w:vAlign w:val="top"/>
          </w:tcPr>
          <w:p>
            <w:pPr>
              <w:pStyle w:val="TableText"/>
              <w:ind w:left="3194"/>
              <w:spacing w:before="122" w:line="220" w:lineRule="auto"/>
              <w:rPr/>
            </w:pPr>
            <w:r>
              <w:rPr>
                <w:b/>
                <w:bCs/>
                <w:spacing w:val="-11"/>
              </w:rPr>
              <w:t>情</w:t>
            </w:r>
            <w:r>
              <w:rPr>
                <w:spacing w:val="-37"/>
              </w:rPr>
              <w:t xml:space="preserve"> </w:t>
            </w:r>
            <w:r>
              <w:rPr>
                <w:b/>
                <w:bCs/>
                <w:spacing w:val="-11"/>
              </w:rPr>
              <w:t>节</w:t>
            </w:r>
            <w:r>
              <w:rPr>
                <w:spacing w:val="-36"/>
              </w:rPr>
              <w:t xml:space="preserve"> </w:t>
            </w:r>
            <w:r>
              <w:rPr>
                <w:b/>
                <w:bCs/>
                <w:spacing w:val="-11"/>
              </w:rPr>
              <w:t>后</w:t>
            </w:r>
            <w:r>
              <w:rPr>
                <w:spacing w:val="-33"/>
              </w:rPr>
              <w:t xml:space="preserve"> </w:t>
            </w:r>
            <w:r>
              <w:rPr>
                <w:b/>
                <w:bCs/>
                <w:spacing w:val="-11"/>
              </w:rPr>
              <w:t>果</w:t>
            </w:r>
          </w:p>
        </w:tc>
        <w:tc>
          <w:tcPr>
            <w:tcW w:w="4521" w:type="dxa"/>
            <w:vAlign w:val="top"/>
          </w:tcPr>
          <w:p>
            <w:pPr>
              <w:pStyle w:val="TableText"/>
              <w:ind w:left="1700"/>
              <w:spacing w:before="11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388" w:hRule="atLeast"/>
        </w:trPr>
        <w:tc>
          <w:tcPr>
            <w:tcW w:w="1434" w:type="dxa"/>
            <w:vAlign w:val="top"/>
          </w:tcPr>
          <w:p>
            <w:pPr>
              <w:pStyle w:val="TableText"/>
              <w:ind w:left="468"/>
              <w:spacing w:before="78" w:line="219" w:lineRule="auto"/>
              <w:rPr/>
            </w:pPr>
            <w:r>
              <w:rPr>
                <w:b/>
                <w:bCs/>
                <w:spacing w:val="-5"/>
              </w:rPr>
              <w:t>较轻</w:t>
            </w:r>
          </w:p>
        </w:tc>
        <w:tc>
          <w:tcPr>
            <w:tcW w:w="7554" w:type="dxa"/>
            <w:vAlign w:val="top"/>
          </w:tcPr>
          <w:p>
            <w:pPr>
              <w:pStyle w:val="TableText"/>
              <w:ind w:left="100"/>
              <w:spacing w:before="80" w:line="219" w:lineRule="auto"/>
              <w:rPr/>
            </w:pPr>
            <w:r>
              <w:rPr/>
              <w:t>有上述违法情节1项，经责令限期改正，逾期不改正的</w:t>
            </w:r>
          </w:p>
        </w:tc>
        <w:tc>
          <w:tcPr>
            <w:tcW w:w="4521" w:type="dxa"/>
            <w:vAlign w:val="top"/>
          </w:tcPr>
          <w:p>
            <w:pPr>
              <w:pStyle w:val="TableText"/>
              <w:ind w:left="116"/>
              <w:spacing w:before="79" w:line="218" w:lineRule="auto"/>
              <w:rPr/>
            </w:pPr>
            <w:r>
              <w:rPr/>
              <w:t>警告，罚款1000元以上5000元以下</w:t>
            </w:r>
          </w:p>
        </w:tc>
      </w:tr>
      <w:tr>
        <w:trPr>
          <w:trHeight w:val="349" w:hRule="atLeast"/>
        </w:trPr>
        <w:tc>
          <w:tcPr>
            <w:tcW w:w="1434" w:type="dxa"/>
            <w:vAlign w:val="top"/>
          </w:tcPr>
          <w:p>
            <w:pPr>
              <w:pStyle w:val="TableText"/>
              <w:ind w:left="468"/>
              <w:spacing w:before="62" w:line="213" w:lineRule="auto"/>
              <w:rPr/>
            </w:pPr>
            <w:r>
              <w:rPr>
                <w:b/>
                <w:bCs/>
                <w:spacing w:val="-10"/>
              </w:rPr>
              <w:t>一般</w:t>
            </w:r>
          </w:p>
        </w:tc>
        <w:tc>
          <w:tcPr>
            <w:tcW w:w="7554" w:type="dxa"/>
            <w:vAlign w:val="top"/>
          </w:tcPr>
          <w:p>
            <w:pPr>
              <w:pStyle w:val="TableText"/>
              <w:ind w:left="110"/>
              <w:spacing w:before="63" w:line="212" w:lineRule="auto"/>
              <w:rPr/>
            </w:pPr>
            <w:r>
              <w:rPr/>
              <w:t>有上述违法情节2项及以上，经责令限期改正，逾期不改正的</w:t>
            </w:r>
          </w:p>
        </w:tc>
        <w:tc>
          <w:tcPr>
            <w:tcW w:w="4521" w:type="dxa"/>
            <w:vAlign w:val="top"/>
          </w:tcPr>
          <w:p>
            <w:pPr>
              <w:pStyle w:val="TableText"/>
              <w:ind w:left="116"/>
              <w:spacing w:before="62" w:line="213" w:lineRule="auto"/>
              <w:rPr/>
            </w:pPr>
            <w:r>
              <w:rPr/>
              <w:t>警告，罚款5000元以上10000元以下</w:t>
            </w:r>
          </w:p>
        </w:tc>
      </w:tr>
      <w:tr>
        <w:trPr>
          <w:trHeight w:val="1340" w:hRule="atLeast"/>
        </w:trPr>
        <w:tc>
          <w:tcPr>
            <w:tcW w:w="1434" w:type="dxa"/>
            <w:vAlign w:val="top"/>
          </w:tcPr>
          <w:p>
            <w:pPr>
              <w:spacing w:line="473" w:lineRule="auto"/>
              <w:rPr>
                <w:rFonts w:ascii="Arial"/>
                <w:sz w:val="21"/>
              </w:rPr>
            </w:pPr>
            <w:r/>
          </w:p>
          <w:p>
            <w:pPr>
              <w:pStyle w:val="TableText"/>
              <w:ind w:left="468"/>
              <w:spacing w:before="78" w:line="221" w:lineRule="auto"/>
              <w:rPr/>
            </w:pPr>
            <w:r>
              <w:rPr>
                <w:b/>
                <w:bCs/>
                <w:spacing w:val="-5"/>
              </w:rPr>
              <w:t>较重</w:t>
            </w:r>
          </w:p>
        </w:tc>
        <w:tc>
          <w:tcPr>
            <w:tcW w:w="7554" w:type="dxa"/>
            <w:vAlign w:val="top"/>
          </w:tcPr>
          <w:p>
            <w:pPr>
              <w:pStyle w:val="TableText"/>
              <w:ind w:left="50"/>
              <w:spacing w:before="66" w:line="243" w:lineRule="auto"/>
              <w:jc w:val="both"/>
              <w:rPr/>
            </w:pPr>
            <w:r>
              <w:rPr>
                <w:spacing w:val="-2"/>
              </w:rPr>
              <w:t>未按照规定配备预防控制鼠、蚊、蝇、蟑螂和其他病媒生物的设施设备</w:t>
            </w:r>
            <w:r>
              <w:rPr>
                <w:spacing w:val="3"/>
              </w:rPr>
              <w:t xml:space="preserve">  </w:t>
            </w:r>
            <w:r>
              <w:rPr>
                <w:spacing w:val="2"/>
              </w:rPr>
              <w:t>以及废弃物存放专用设施设备，或者擅自停止使</w:t>
            </w:r>
            <w:r>
              <w:rPr>
                <w:spacing w:val="1"/>
              </w:rPr>
              <w:t>用、拆除预防控制鼠、</w:t>
            </w:r>
            <w:r>
              <w:rPr/>
              <w:t xml:space="preserve"> </w:t>
            </w:r>
            <w:r>
              <w:rPr>
                <w:spacing w:val="-3"/>
              </w:rPr>
              <w:t>蚊、蝇、蟑螂和其他病媒生物的设施设备以及废弃物存放专用设施设备</w:t>
            </w:r>
            <w:r>
              <w:rPr>
                <w:spacing w:val="8"/>
              </w:rPr>
              <w:t xml:space="preserve">  </w:t>
            </w:r>
            <w:r>
              <w:rPr>
                <w:spacing w:val="7"/>
              </w:rPr>
              <w:t>的，拒绝监督的</w:t>
            </w:r>
          </w:p>
        </w:tc>
        <w:tc>
          <w:tcPr>
            <w:tcW w:w="4521" w:type="dxa"/>
            <w:vAlign w:val="top"/>
          </w:tcPr>
          <w:p>
            <w:pPr>
              <w:spacing w:line="471" w:lineRule="auto"/>
              <w:rPr>
                <w:rFonts w:ascii="Arial"/>
                <w:sz w:val="21"/>
              </w:rPr>
            </w:pPr>
            <w:r/>
          </w:p>
          <w:p>
            <w:pPr>
              <w:pStyle w:val="TableText"/>
              <w:ind w:left="116"/>
              <w:spacing w:before="78" w:line="218" w:lineRule="auto"/>
              <w:rPr/>
            </w:pPr>
            <w:r>
              <w:rPr/>
              <w:t>警告，罚款10000元以上30000元以下</w:t>
            </w:r>
          </w:p>
        </w:tc>
      </w:tr>
    </w:tbl>
    <w:p>
      <w:pPr>
        <w:pStyle w:val="BodyText"/>
        <w:rPr/>
      </w:pPr>
      <w:r/>
    </w:p>
    <w:p>
      <w:pPr>
        <w:sectPr>
          <w:footerReference w:type="default" r:id="rId458"/>
          <w:pgSz w:w="16830" w:h="11900"/>
          <w:pgMar w:top="1011" w:right="1329" w:bottom="1107" w:left="1430" w:header="0" w:footer="774" w:gutter="0"/>
        </w:sectPr>
        <w:rPr/>
      </w:pPr>
    </w:p>
    <w:p>
      <w:pPr>
        <w:spacing w:before="13"/>
        <w:rPr/>
      </w:pPr>
      <w:r/>
    </w:p>
    <w:p>
      <w:pPr>
        <w:spacing w:before="13"/>
        <w:rPr/>
      </w:pPr>
      <w:r/>
    </w:p>
    <w:p>
      <w:pPr>
        <w:spacing w:before="13"/>
        <w:rPr/>
      </w:pPr>
      <w:r/>
    </w:p>
    <w:tbl>
      <w:tblPr>
        <w:tblStyle w:val="TableNormal"/>
        <w:tblW w:w="13500" w:type="dxa"/>
        <w:tblInd w:w="32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7564"/>
        <w:gridCol w:w="4522"/>
      </w:tblGrid>
      <w:tr>
        <w:trPr>
          <w:trHeight w:val="1360" w:hRule="atLeast"/>
        </w:trPr>
        <w:tc>
          <w:tcPr>
            <w:tcW w:w="1414" w:type="dxa"/>
            <w:vAlign w:val="top"/>
          </w:tcPr>
          <w:p>
            <w:pPr>
              <w:rPr>
                <w:rFonts w:ascii="Arial"/>
                <w:sz w:val="21"/>
              </w:rPr>
            </w:pPr>
            <w:r/>
          </w:p>
          <w:p>
            <w:pPr>
              <w:spacing w:line="241" w:lineRule="auto"/>
              <w:rPr>
                <w:rFonts w:ascii="Arial"/>
                <w:sz w:val="21"/>
              </w:rPr>
            </w:pPr>
            <w:r/>
          </w:p>
          <w:p>
            <w:pPr>
              <w:pStyle w:val="TableText"/>
              <w:ind w:left="448"/>
              <w:spacing w:before="78" w:line="220" w:lineRule="auto"/>
              <w:rPr/>
            </w:pPr>
            <w:bookmarkStart w:name="bookmark1103" w:id="477"/>
            <w:bookmarkEnd w:id="477"/>
            <w:r>
              <w:rPr>
                <w:b/>
                <w:bCs/>
                <w:spacing w:val="-6"/>
              </w:rPr>
              <w:t>严重</w:t>
            </w:r>
          </w:p>
        </w:tc>
        <w:tc>
          <w:tcPr>
            <w:tcW w:w="7564" w:type="dxa"/>
            <w:vAlign w:val="top"/>
          </w:tcPr>
          <w:p>
            <w:pPr>
              <w:pStyle w:val="TableText"/>
              <w:ind w:left="50"/>
              <w:spacing w:before="65" w:line="247" w:lineRule="auto"/>
              <w:jc w:val="both"/>
              <w:rPr/>
            </w:pPr>
            <w:r>
              <w:rPr>
                <w:spacing w:val="-2"/>
              </w:rPr>
              <w:t>未按照规定配备预防控制鼠、蚊、蝇、嶂螂和其他病媒生物的设施设备</w:t>
            </w:r>
            <w:r>
              <w:rPr>
                <w:spacing w:val="8"/>
              </w:rPr>
              <w:t xml:space="preserve">  </w:t>
            </w:r>
            <w:r>
              <w:rPr>
                <w:spacing w:val="2"/>
              </w:rPr>
              <w:t>以及废弃物存放专用设施设备，或者擅自停止使用、拆除预防控制鼠、</w:t>
            </w:r>
            <w:r>
              <w:rPr/>
              <w:t xml:space="preserve"> </w:t>
            </w:r>
            <w:r>
              <w:rPr>
                <w:spacing w:val="-2"/>
              </w:rPr>
              <w:t>蚊、蝇、蟑螂和其他病媒生物的设施设备以及废弃物存放专用</w:t>
            </w:r>
            <w:r>
              <w:rPr>
                <w:spacing w:val="-3"/>
              </w:rPr>
              <w:t>设施设备</w:t>
            </w:r>
            <w:r>
              <w:rPr/>
              <w:t xml:space="preserve">  </w:t>
            </w:r>
            <w:r>
              <w:rPr>
                <w:spacing w:val="5"/>
              </w:rPr>
              <w:t>的，情节恶劣或后果严重的</w:t>
            </w:r>
          </w:p>
        </w:tc>
        <w:tc>
          <w:tcPr>
            <w:tcW w:w="4522" w:type="dxa"/>
            <w:vAlign w:val="top"/>
          </w:tcPr>
          <w:p>
            <w:pPr>
              <w:spacing w:line="332" w:lineRule="auto"/>
              <w:rPr>
                <w:rFonts w:ascii="Arial"/>
                <w:sz w:val="21"/>
              </w:rPr>
            </w:pPr>
            <w:r/>
          </w:p>
          <w:p>
            <w:pPr>
              <w:pStyle w:val="TableText"/>
              <w:ind w:left="136" w:right="173" w:hanging="10"/>
              <w:spacing w:before="78" w:line="274" w:lineRule="auto"/>
              <w:rPr/>
            </w:pPr>
            <w:r>
              <w:rPr/>
              <w:t>警告，罚款30000元，责令停业整顿，直</w:t>
            </w:r>
            <w:r>
              <w:rPr>
                <w:spacing w:val="10"/>
              </w:rPr>
              <w:t xml:space="preserve"> </w:t>
            </w:r>
            <w:r>
              <w:rPr>
                <w:spacing w:val="1"/>
              </w:rPr>
              <w:t>至吊销卫生许可证</w:t>
            </w:r>
          </w:p>
        </w:tc>
      </w:tr>
    </w:tbl>
    <w:p>
      <w:pPr>
        <w:pStyle w:val="BodyText"/>
        <w:spacing w:line="472" w:lineRule="auto"/>
        <w:rPr/>
      </w:pPr>
      <w:r/>
    </w:p>
    <w:p>
      <w:pPr>
        <w:ind w:left="769"/>
        <w:spacing w:before="98" w:line="219" w:lineRule="auto"/>
        <w:rPr>
          <w:rFonts w:ascii="SimSun" w:hAnsi="SimSun" w:eastAsia="SimSun" w:cs="SimSun"/>
          <w:sz w:val="30"/>
          <w:szCs w:val="30"/>
        </w:rPr>
      </w:pPr>
      <w:r>
        <w:rPr>
          <w:rFonts w:ascii="SimSun" w:hAnsi="SimSun" w:eastAsia="SimSun" w:cs="SimSun"/>
          <w:sz w:val="30"/>
          <w:szCs w:val="30"/>
          <w:b/>
          <w:bCs/>
          <w:spacing w:val="21"/>
        </w:rPr>
        <w:t>第四百三十二条公共场所经营者未按照规定索取公共卫生用品检验合格证明和其他相关资料</w:t>
      </w:r>
    </w:p>
    <w:p>
      <w:pPr>
        <w:ind w:left="114"/>
        <w:spacing w:before="92" w:line="222" w:lineRule="auto"/>
        <w:rPr>
          <w:rFonts w:ascii="SimSun" w:hAnsi="SimSun" w:eastAsia="SimSun" w:cs="SimSun"/>
          <w:sz w:val="30"/>
          <w:szCs w:val="30"/>
        </w:rPr>
      </w:pPr>
      <w:r>
        <w:rPr>
          <w:rFonts w:ascii="SimSun" w:hAnsi="SimSun" w:eastAsia="SimSun" w:cs="SimSun"/>
          <w:sz w:val="30"/>
          <w:szCs w:val="30"/>
        </w:rPr>
        <w:t>的</w:t>
      </w:r>
    </w:p>
    <w:p>
      <w:pPr>
        <w:ind w:left="774"/>
        <w:spacing w:before="101"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114" w:firstLine="619"/>
        <w:spacing w:before="96" w:line="265" w:lineRule="auto"/>
        <w:jc w:val="both"/>
        <w:rPr>
          <w:rFonts w:ascii="FangSong" w:hAnsi="FangSong" w:eastAsia="FangSong" w:cs="FangSong"/>
          <w:sz w:val="30"/>
          <w:szCs w:val="30"/>
        </w:rPr>
      </w:pPr>
      <w:r>
        <w:rPr>
          <w:rFonts w:ascii="FangSong" w:hAnsi="FangSong" w:eastAsia="FangSong" w:cs="FangSong"/>
          <w:sz w:val="30"/>
          <w:szCs w:val="30"/>
          <w:spacing w:val="19"/>
        </w:rPr>
        <w:t>《公共场所卫生管理条例实施细则》第三十七条第(五)项</w:t>
      </w:r>
      <w:r>
        <w:rPr>
          <w:rFonts w:ascii="FangSong" w:hAnsi="FangSong" w:eastAsia="FangSong" w:cs="FangSong"/>
          <w:sz w:val="30"/>
          <w:szCs w:val="30"/>
          <w:spacing w:val="19"/>
        </w:rPr>
        <w:t xml:space="preserve"> </w:t>
      </w:r>
      <w:r>
        <w:rPr>
          <w:rFonts w:ascii="FangSong" w:hAnsi="FangSong" w:eastAsia="FangSong" w:cs="FangSong"/>
          <w:sz w:val="30"/>
          <w:szCs w:val="30"/>
          <w:spacing w:val="18"/>
        </w:rPr>
        <w:t xml:space="preserve"> </w:t>
      </w:r>
      <w:r>
        <w:rPr>
          <w:rFonts w:ascii="FangSong" w:hAnsi="FangSong" w:eastAsia="FangSong" w:cs="FangSong"/>
          <w:sz w:val="30"/>
          <w:szCs w:val="30"/>
          <w:spacing w:val="18"/>
        </w:rPr>
        <w:t>公共场所经营者有下列情形之一的，</w:t>
      </w:r>
      <w:r>
        <w:rPr>
          <w:rFonts w:ascii="FangSong" w:hAnsi="FangSong" w:eastAsia="FangSong" w:cs="FangSong"/>
          <w:sz w:val="30"/>
          <w:szCs w:val="30"/>
        </w:rPr>
        <w:t xml:space="preserve"> </w:t>
      </w:r>
      <w:r>
        <w:rPr>
          <w:rFonts w:ascii="FangSong" w:hAnsi="FangSong" w:eastAsia="FangSong" w:cs="FangSong"/>
          <w:sz w:val="30"/>
          <w:szCs w:val="30"/>
          <w:spacing w:val="16"/>
        </w:rPr>
        <w:t>由县级以上地方人民政府卫生行政部门责令限期改正；逾期不改的，给予警告，并处以一千元以上一</w:t>
      </w:r>
      <w:r>
        <w:rPr>
          <w:rFonts w:ascii="FangSong" w:hAnsi="FangSong" w:eastAsia="FangSong" w:cs="FangSong"/>
          <w:sz w:val="30"/>
          <w:szCs w:val="30"/>
          <w:spacing w:val="9"/>
        </w:rPr>
        <w:t xml:space="preserve"> </w:t>
      </w:r>
      <w:r>
        <w:rPr>
          <w:rFonts w:ascii="FangSong" w:hAnsi="FangSong" w:eastAsia="FangSong" w:cs="FangSong"/>
          <w:sz w:val="30"/>
          <w:szCs w:val="30"/>
          <w:spacing w:val="16"/>
        </w:rPr>
        <w:t>万元以下罚款；对拒绝监督的，处以一万元以上三万元以下罚款；情节严重的，可以依法责令停业整</w:t>
      </w:r>
      <w:r>
        <w:rPr>
          <w:rFonts w:ascii="FangSong" w:hAnsi="FangSong" w:eastAsia="FangSong" w:cs="FangSong"/>
          <w:sz w:val="30"/>
          <w:szCs w:val="30"/>
          <w:spacing w:val="6"/>
        </w:rPr>
        <w:t xml:space="preserve"> </w:t>
      </w:r>
      <w:r>
        <w:rPr>
          <w:rFonts w:ascii="FangSong" w:hAnsi="FangSong" w:eastAsia="FangSong" w:cs="FangSong"/>
          <w:sz w:val="30"/>
          <w:szCs w:val="30"/>
          <w:spacing w:val="12"/>
        </w:rPr>
        <w:t>顿，直至吊销卫生许可证：</w:t>
      </w:r>
    </w:p>
    <w:p>
      <w:pPr>
        <w:ind w:left="894"/>
        <w:spacing w:before="33" w:line="220" w:lineRule="auto"/>
        <w:rPr>
          <w:rFonts w:ascii="FangSong" w:hAnsi="FangSong" w:eastAsia="FangSong" w:cs="FangSong"/>
          <w:sz w:val="30"/>
          <w:szCs w:val="30"/>
        </w:rPr>
      </w:pPr>
      <w:r>
        <w:rPr>
          <w:rFonts w:ascii="FangSong" w:hAnsi="FangSong" w:eastAsia="FangSong" w:cs="FangSong"/>
          <w:sz w:val="30"/>
          <w:szCs w:val="30"/>
          <w:spacing w:val="22"/>
        </w:rPr>
        <w:t>(五)未按照规定索取公共卫生用品检验合格证明和其他相关资料的；</w:t>
      </w:r>
    </w:p>
    <w:p>
      <w:pPr>
        <w:ind w:left="6528"/>
        <w:spacing w:before="215"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2" w:lineRule="auto"/>
        <w:rPr>
          <w:rFonts w:ascii="Arial"/>
          <w:sz w:val="2"/>
        </w:rPr>
      </w:pPr>
      <w:r>
        <w:rPr>
          <w:rFonts w:ascii="Arial"/>
          <w:sz w:val="2"/>
        </w:rPr>
      </w:r>
    </w:p>
    <w:tbl>
      <w:tblPr>
        <w:tblStyle w:val="TableNormal"/>
        <w:tblW w:w="137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3"/>
        <w:gridCol w:w="8114"/>
        <w:gridCol w:w="4252"/>
      </w:tblGrid>
      <w:tr>
        <w:trPr>
          <w:trHeight w:val="463" w:hRule="atLeast"/>
        </w:trPr>
        <w:tc>
          <w:tcPr>
            <w:tcW w:w="1433" w:type="dxa"/>
            <w:vAlign w:val="top"/>
          </w:tcPr>
          <w:p>
            <w:pPr>
              <w:pStyle w:val="TableText"/>
              <w:ind w:left="208"/>
              <w:spacing w:before="112" w:line="220" w:lineRule="auto"/>
              <w:rPr>
                <w:sz w:val="25"/>
                <w:szCs w:val="25"/>
              </w:rPr>
            </w:pPr>
            <w:r>
              <w:rPr>
                <w:sz w:val="25"/>
                <w:szCs w:val="25"/>
                <w:b/>
                <w:bCs/>
                <w:spacing w:val="-5"/>
              </w:rPr>
              <w:t>违法程度</w:t>
            </w:r>
          </w:p>
        </w:tc>
        <w:tc>
          <w:tcPr>
            <w:tcW w:w="8114" w:type="dxa"/>
            <w:vAlign w:val="top"/>
          </w:tcPr>
          <w:p>
            <w:pPr>
              <w:pStyle w:val="TableText"/>
              <w:ind w:left="3495"/>
              <w:spacing w:before="112" w:line="220" w:lineRule="auto"/>
              <w:rPr>
                <w:sz w:val="25"/>
                <w:szCs w:val="25"/>
              </w:rPr>
            </w:pPr>
            <w:r>
              <w:rPr>
                <w:sz w:val="25"/>
                <w:szCs w:val="25"/>
                <w:b/>
                <w:bCs/>
                <w:spacing w:val="-5"/>
              </w:rPr>
              <w:t>情节后果</w:t>
            </w:r>
          </w:p>
        </w:tc>
        <w:tc>
          <w:tcPr>
            <w:tcW w:w="4252" w:type="dxa"/>
            <w:vAlign w:val="top"/>
          </w:tcPr>
          <w:p>
            <w:pPr>
              <w:pStyle w:val="TableText"/>
              <w:ind w:left="1621"/>
              <w:spacing w:before="109" w:line="218" w:lineRule="auto"/>
              <w:rPr>
                <w:sz w:val="25"/>
                <w:szCs w:val="25"/>
              </w:rPr>
            </w:pPr>
            <w:r>
              <w:rPr>
                <w:sz w:val="25"/>
                <w:szCs w:val="25"/>
                <w:b/>
                <w:bCs/>
                <w:spacing w:val="-5"/>
              </w:rPr>
              <w:t>裁量幅度</w:t>
            </w:r>
          </w:p>
        </w:tc>
      </w:tr>
      <w:tr>
        <w:trPr>
          <w:trHeight w:val="517" w:hRule="atLeast"/>
        </w:trPr>
        <w:tc>
          <w:tcPr>
            <w:tcW w:w="1433" w:type="dxa"/>
            <w:vAlign w:val="top"/>
          </w:tcPr>
          <w:p>
            <w:pPr>
              <w:pStyle w:val="TableText"/>
              <w:ind w:left="458"/>
              <w:spacing w:before="138" w:line="219" w:lineRule="auto"/>
              <w:rPr>
                <w:sz w:val="25"/>
                <w:szCs w:val="25"/>
              </w:rPr>
            </w:pPr>
            <w:r>
              <w:rPr>
                <w:sz w:val="25"/>
                <w:szCs w:val="25"/>
                <w:b/>
                <w:bCs/>
                <w:spacing w:val="-6"/>
              </w:rPr>
              <w:t>较轻</w:t>
            </w:r>
          </w:p>
        </w:tc>
        <w:tc>
          <w:tcPr>
            <w:tcW w:w="8114" w:type="dxa"/>
            <w:vAlign w:val="top"/>
          </w:tcPr>
          <w:p>
            <w:pPr>
              <w:pStyle w:val="TableText"/>
              <w:ind w:left="121"/>
              <w:spacing w:before="140" w:line="219" w:lineRule="auto"/>
              <w:rPr>
                <w:sz w:val="25"/>
                <w:szCs w:val="25"/>
              </w:rPr>
            </w:pPr>
            <w:r>
              <w:rPr>
                <w:sz w:val="25"/>
                <w:szCs w:val="25"/>
                <w:spacing w:val="1"/>
              </w:rPr>
              <w:t>有上述违法情节1项，经责令限期改正，逾期不改正的</w:t>
            </w:r>
          </w:p>
        </w:tc>
        <w:tc>
          <w:tcPr>
            <w:tcW w:w="4252" w:type="dxa"/>
            <w:vAlign w:val="top"/>
          </w:tcPr>
          <w:p>
            <w:pPr>
              <w:pStyle w:val="TableText"/>
              <w:ind w:left="247"/>
              <w:spacing w:before="140" w:line="218" w:lineRule="auto"/>
              <w:rPr>
                <w:sz w:val="25"/>
                <w:szCs w:val="25"/>
              </w:rPr>
            </w:pPr>
            <w:r>
              <w:rPr>
                <w:sz w:val="25"/>
                <w:szCs w:val="25"/>
              </w:rPr>
              <w:t>警告，罚款1000元以上5000元以下</w:t>
            </w:r>
          </w:p>
        </w:tc>
      </w:tr>
      <w:tr>
        <w:trPr>
          <w:trHeight w:val="537" w:hRule="atLeast"/>
        </w:trPr>
        <w:tc>
          <w:tcPr>
            <w:tcW w:w="1433" w:type="dxa"/>
            <w:vAlign w:val="top"/>
          </w:tcPr>
          <w:p>
            <w:pPr>
              <w:pStyle w:val="TableText"/>
              <w:ind w:left="458"/>
              <w:spacing w:before="153" w:line="221" w:lineRule="auto"/>
              <w:rPr>
                <w:sz w:val="25"/>
                <w:szCs w:val="25"/>
              </w:rPr>
            </w:pPr>
            <w:r>
              <w:rPr>
                <w:sz w:val="25"/>
                <w:szCs w:val="25"/>
                <w:b/>
                <w:bCs/>
                <w:spacing w:val="-10"/>
              </w:rPr>
              <w:t>一般</w:t>
            </w:r>
          </w:p>
        </w:tc>
        <w:tc>
          <w:tcPr>
            <w:tcW w:w="8114" w:type="dxa"/>
            <w:vAlign w:val="top"/>
          </w:tcPr>
          <w:p>
            <w:pPr>
              <w:pStyle w:val="TableText"/>
              <w:ind w:left="121"/>
              <w:spacing w:before="153" w:line="219" w:lineRule="auto"/>
              <w:rPr>
                <w:sz w:val="25"/>
                <w:szCs w:val="25"/>
              </w:rPr>
            </w:pPr>
            <w:r>
              <w:rPr>
                <w:sz w:val="25"/>
                <w:szCs w:val="25"/>
                <w:spacing w:val="1"/>
              </w:rPr>
              <w:t>有上述违法情节2项及以上，经责令限期改正，逾期</w:t>
            </w:r>
            <w:r>
              <w:rPr>
                <w:sz w:val="25"/>
                <w:szCs w:val="25"/>
              </w:rPr>
              <w:t>不改正的</w:t>
            </w:r>
          </w:p>
        </w:tc>
        <w:tc>
          <w:tcPr>
            <w:tcW w:w="4252" w:type="dxa"/>
            <w:vAlign w:val="top"/>
          </w:tcPr>
          <w:p>
            <w:pPr>
              <w:pStyle w:val="TableText"/>
              <w:ind w:left="177"/>
              <w:spacing w:before="153" w:line="218" w:lineRule="auto"/>
              <w:rPr>
                <w:sz w:val="25"/>
                <w:szCs w:val="25"/>
              </w:rPr>
            </w:pPr>
            <w:r>
              <w:rPr>
                <w:sz w:val="25"/>
                <w:szCs w:val="25"/>
                <w:spacing w:val="1"/>
              </w:rPr>
              <w:t>警告，罚款5000元以上10000元以下</w:t>
            </w:r>
          </w:p>
        </w:tc>
      </w:tr>
      <w:tr>
        <w:trPr>
          <w:trHeight w:val="493" w:hRule="atLeast"/>
        </w:trPr>
        <w:tc>
          <w:tcPr>
            <w:tcW w:w="1433" w:type="dxa"/>
            <w:vAlign w:val="top"/>
          </w:tcPr>
          <w:p>
            <w:pPr>
              <w:pStyle w:val="TableText"/>
              <w:ind w:left="458"/>
              <w:spacing w:before="128" w:line="221" w:lineRule="auto"/>
              <w:rPr>
                <w:sz w:val="25"/>
                <w:szCs w:val="25"/>
              </w:rPr>
            </w:pPr>
            <w:r>
              <w:rPr>
                <w:sz w:val="25"/>
                <w:szCs w:val="25"/>
                <w:b/>
                <w:bCs/>
                <w:spacing w:val="-6"/>
              </w:rPr>
              <w:t>较重</w:t>
            </w:r>
          </w:p>
        </w:tc>
        <w:tc>
          <w:tcPr>
            <w:tcW w:w="8114" w:type="dxa"/>
            <w:vAlign w:val="top"/>
          </w:tcPr>
          <w:p>
            <w:pPr>
              <w:pStyle w:val="TableText"/>
              <w:spacing w:before="128" w:line="219" w:lineRule="auto"/>
              <w:jc w:val="right"/>
              <w:rPr>
                <w:sz w:val="25"/>
                <w:szCs w:val="25"/>
              </w:rPr>
            </w:pPr>
            <w:r>
              <w:rPr>
                <w:sz w:val="25"/>
                <w:szCs w:val="25"/>
                <w:spacing w:val="-8"/>
              </w:rPr>
              <w:t>未按照规定索取公共卫生用品检验合格证明和其他相关资料的，</w:t>
            </w:r>
            <w:r>
              <w:rPr>
                <w:sz w:val="25"/>
                <w:szCs w:val="25"/>
                <w:spacing w:val="-9"/>
              </w:rPr>
              <w:t>拒绝监督的</w:t>
            </w:r>
          </w:p>
        </w:tc>
        <w:tc>
          <w:tcPr>
            <w:tcW w:w="4252" w:type="dxa"/>
            <w:vAlign w:val="top"/>
          </w:tcPr>
          <w:p>
            <w:pPr>
              <w:pStyle w:val="TableText"/>
              <w:ind w:left="117"/>
              <w:spacing w:before="126" w:line="218" w:lineRule="auto"/>
              <w:rPr>
                <w:sz w:val="25"/>
                <w:szCs w:val="25"/>
              </w:rPr>
            </w:pPr>
            <w:r>
              <w:rPr>
                <w:sz w:val="25"/>
                <w:szCs w:val="25"/>
              </w:rPr>
              <w:t>警告，罚款10000元以上30000元以下</w:t>
            </w:r>
          </w:p>
        </w:tc>
      </w:tr>
    </w:tbl>
    <w:p>
      <w:pPr>
        <w:pStyle w:val="BodyText"/>
        <w:rPr/>
      </w:pPr>
      <w:r/>
    </w:p>
    <w:p>
      <w:pPr>
        <w:sectPr>
          <w:footerReference w:type="default" r:id="rId459"/>
          <w:pgSz w:w="16830" w:h="11900"/>
          <w:pgMar w:top="1011" w:right="1350" w:bottom="1140" w:left="1325" w:header="0" w:footer="816" w:gutter="0"/>
        </w:sectPr>
        <w:rPr/>
      </w:pPr>
    </w:p>
    <w:p>
      <w:pPr>
        <w:spacing w:before="13"/>
        <w:rPr/>
      </w:pPr>
      <w:r/>
    </w:p>
    <w:p>
      <w:pPr>
        <w:spacing w:before="13"/>
        <w:rPr/>
      </w:pPr>
      <w:r/>
    </w:p>
    <w:p>
      <w:pPr>
        <w:spacing w:before="13"/>
        <w:rPr/>
      </w:pPr>
      <w:r/>
    </w:p>
    <w:tbl>
      <w:tblPr>
        <w:tblStyle w:val="TableNormal"/>
        <w:tblW w:w="13809"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8124"/>
        <w:gridCol w:w="4241"/>
      </w:tblGrid>
      <w:tr>
        <w:trPr>
          <w:trHeight w:val="679" w:hRule="atLeast"/>
        </w:trPr>
        <w:tc>
          <w:tcPr>
            <w:tcW w:w="1444" w:type="dxa"/>
            <w:vAlign w:val="top"/>
          </w:tcPr>
          <w:p>
            <w:pPr>
              <w:pStyle w:val="TableText"/>
              <w:ind w:left="458"/>
              <w:spacing w:before="222" w:line="220" w:lineRule="auto"/>
              <w:rPr/>
            </w:pPr>
            <w:bookmarkStart w:name="bookmark1104" w:id="478"/>
            <w:bookmarkEnd w:id="478"/>
            <w:r>
              <w:rPr>
                <w:b/>
                <w:bCs/>
                <w:spacing w:val="-6"/>
              </w:rPr>
              <w:t>严重</w:t>
            </w:r>
          </w:p>
        </w:tc>
        <w:tc>
          <w:tcPr>
            <w:tcW w:w="8124" w:type="dxa"/>
            <w:vAlign w:val="top"/>
          </w:tcPr>
          <w:p>
            <w:pPr>
              <w:pStyle w:val="TableText"/>
              <w:ind w:left="100" w:right="82"/>
              <w:spacing w:before="73" w:line="229" w:lineRule="auto"/>
              <w:rPr/>
            </w:pPr>
            <w:r>
              <w:rPr/>
              <w:t>未按照规定索取公共卫生用品检验合格证明和其他相关资料的，情节恶劣或</w:t>
            </w:r>
            <w:r>
              <w:rPr>
                <w:spacing w:val="10"/>
              </w:rPr>
              <w:t xml:space="preserve"> </w:t>
            </w:r>
            <w:r>
              <w:rPr>
                <w:spacing w:val="3"/>
              </w:rPr>
              <w:t>后果严重的</w:t>
            </w:r>
          </w:p>
        </w:tc>
        <w:tc>
          <w:tcPr>
            <w:tcW w:w="4241" w:type="dxa"/>
            <w:vAlign w:val="top"/>
          </w:tcPr>
          <w:p>
            <w:pPr>
              <w:pStyle w:val="TableText"/>
              <w:ind w:left="96" w:right="164" w:firstLine="10"/>
              <w:spacing w:before="73" w:line="229" w:lineRule="auto"/>
              <w:rPr/>
            </w:pPr>
            <w:r>
              <w:rPr>
                <w:spacing w:val="-1"/>
              </w:rPr>
              <w:t>警告，罚款30000元，责令停业整顿，</w:t>
            </w:r>
            <w:r>
              <w:rPr>
                <w:spacing w:val="17"/>
              </w:rPr>
              <w:t xml:space="preserve"> </w:t>
            </w:r>
            <w:r>
              <w:rPr>
                <w:spacing w:val="1"/>
              </w:rPr>
              <w:t>直至吊销卫生许可证</w:t>
            </w:r>
          </w:p>
        </w:tc>
      </w:tr>
    </w:tbl>
    <w:p>
      <w:pPr>
        <w:pStyle w:val="BodyText"/>
        <w:spacing w:line="466" w:lineRule="auto"/>
        <w:rPr/>
      </w:pPr>
      <w:r/>
    </w:p>
    <w:p>
      <w:pPr>
        <w:ind w:left="149" w:right="129" w:firstLine="639"/>
        <w:spacing w:before="98" w:line="274" w:lineRule="auto"/>
        <w:rPr>
          <w:rFonts w:ascii="FangSong" w:hAnsi="FangSong" w:eastAsia="FangSong" w:cs="FangSong"/>
          <w:sz w:val="30"/>
          <w:szCs w:val="30"/>
        </w:rPr>
      </w:pPr>
      <w:r>
        <w:rPr>
          <w:rFonts w:ascii="FangSong" w:hAnsi="FangSong" w:eastAsia="FangSong" w:cs="FangSong"/>
          <w:sz w:val="30"/>
          <w:szCs w:val="30"/>
          <w:b/>
          <w:bCs/>
          <w:spacing w:val="21"/>
        </w:rPr>
        <w:t>第四百三十三条公共场所经营者未按照规定对公共场所新</w:t>
      </w:r>
      <w:r>
        <w:rPr>
          <w:rFonts w:ascii="FangSong" w:hAnsi="FangSong" w:eastAsia="FangSong" w:cs="FangSong"/>
          <w:sz w:val="30"/>
          <w:szCs w:val="30"/>
          <w:b/>
          <w:bCs/>
          <w:spacing w:val="20"/>
        </w:rPr>
        <w:t>建、改建、扩建项目办理预防性卫生</w:t>
      </w:r>
      <w:r>
        <w:rPr>
          <w:rFonts w:ascii="FangSong" w:hAnsi="FangSong" w:eastAsia="FangSong" w:cs="FangSong"/>
          <w:sz w:val="30"/>
          <w:szCs w:val="30"/>
        </w:rPr>
        <w:t xml:space="preserve"> </w:t>
      </w:r>
      <w:r>
        <w:rPr>
          <w:rFonts w:ascii="FangSong" w:hAnsi="FangSong" w:eastAsia="FangSong" w:cs="FangSong"/>
          <w:sz w:val="30"/>
          <w:szCs w:val="30"/>
          <w:b/>
          <w:bCs/>
          <w:spacing w:val="10"/>
        </w:rPr>
        <w:t>审查手续的</w:t>
      </w:r>
    </w:p>
    <w:p>
      <w:pPr>
        <w:ind w:left="794"/>
        <w:spacing w:before="26"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145" w:firstLine="619"/>
        <w:spacing w:before="77" w:line="271" w:lineRule="auto"/>
        <w:jc w:val="both"/>
        <w:rPr>
          <w:rFonts w:ascii="FangSong" w:hAnsi="FangSong" w:eastAsia="FangSong" w:cs="FangSong"/>
          <w:sz w:val="30"/>
          <w:szCs w:val="30"/>
        </w:rPr>
      </w:pPr>
      <w:r>
        <w:rPr>
          <w:rFonts w:ascii="FangSong" w:hAnsi="FangSong" w:eastAsia="FangSong" w:cs="FangSong"/>
          <w:sz w:val="30"/>
          <w:szCs w:val="30"/>
          <w:spacing w:val="19"/>
        </w:rPr>
        <w:t>《公共场所卫生管理条例实施细则》第三十七条第(六)项</w:t>
      </w:r>
      <w:r>
        <w:rPr>
          <w:rFonts w:ascii="FangSong" w:hAnsi="FangSong" w:eastAsia="FangSong" w:cs="FangSong"/>
          <w:sz w:val="30"/>
          <w:szCs w:val="30"/>
          <w:spacing w:val="19"/>
        </w:rPr>
        <w:t xml:space="preserve">  </w:t>
      </w:r>
      <w:r>
        <w:rPr>
          <w:rFonts w:ascii="FangSong" w:hAnsi="FangSong" w:eastAsia="FangSong" w:cs="FangSong"/>
          <w:sz w:val="30"/>
          <w:szCs w:val="30"/>
          <w:spacing w:val="19"/>
        </w:rPr>
        <w:t>公共场所经营者有下</w:t>
      </w:r>
      <w:r>
        <w:rPr>
          <w:rFonts w:ascii="FangSong" w:hAnsi="FangSong" w:eastAsia="FangSong" w:cs="FangSong"/>
          <w:sz w:val="30"/>
          <w:szCs w:val="30"/>
          <w:spacing w:val="18"/>
        </w:rPr>
        <w:t>列情形之一的，</w:t>
      </w:r>
      <w:r>
        <w:rPr>
          <w:rFonts w:ascii="FangSong" w:hAnsi="FangSong" w:eastAsia="FangSong" w:cs="FangSong"/>
          <w:sz w:val="30"/>
          <w:szCs w:val="30"/>
        </w:rPr>
        <w:t xml:space="preserve"> </w:t>
      </w:r>
      <w:r>
        <w:rPr>
          <w:rFonts w:ascii="FangSong" w:hAnsi="FangSong" w:eastAsia="FangSong" w:cs="FangSong"/>
          <w:sz w:val="30"/>
          <w:szCs w:val="30"/>
          <w:spacing w:val="17"/>
        </w:rPr>
        <w:t>由县级以上地方人民政府卫生行政部门责令</w:t>
      </w:r>
      <w:r>
        <w:rPr>
          <w:rFonts w:ascii="FangSong" w:hAnsi="FangSong" w:eastAsia="FangSong" w:cs="FangSong"/>
          <w:sz w:val="30"/>
          <w:szCs w:val="30"/>
          <w:spacing w:val="16"/>
        </w:rPr>
        <w:t>限期改正；逾期不改的，给予警告，并处以一千元以上一</w:t>
      </w:r>
      <w:r>
        <w:rPr>
          <w:rFonts w:ascii="FangSong" w:hAnsi="FangSong" w:eastAsia="FangSong" w:cs="FangSong"/>
          <w:sz w:val="30"/>
          <w:szCs w:val="30"/>
        </w:rPr>
        <w:t xml:space="preserve"> </w:t>
      </w:r>
      <w:r>
        <w:rPr>
          <w:rFonts w:ascii="FangSong" w:hAnsi="FangSong" w:eastAsia="FangSong" w:cs="FangSong"/>
          <w:sz w:val="30"/>
          <w:szCs w:val="30"/>
          <w:spacing w:val="16"/>
        </w:rPr>
        <w:t>万元以下罚款；对拒绝监督的，处以一万元以上三万元以下罚款；情节严重的，可以依法责令停业整</w:t>
      </w:r>
      <w:r>
        <w:rPr>
          <w:rFonts w:ascii="FangSong" w:hAnsi="FangSong" w:eastAsia="FangSong" w:cs="FangSong"/>
          <w:sz w:val="30"/>
          <w:szCs w:val="30"/>
          <w:spacing w:val="15"/>
        </w:rPr>
        <w:t xml:space="preserve"> </w:t>
      </w:r>
      <w:r>
        <w:rPr>
          <w:rFonts w:ascii="FangSong" w:hAnsi="FangSong" w:eastAsia="FangSong" w:cs="FangSong"/>
          <w:sz w:val="30"/>
          <w:szCs w:val="30"/>
          <w:spacing w:val="12"/>
        </w:rPr>
        <w:t>顿，直至吊销卫生许可证：</w:t>
      </w:r>
    </w:p>
    <w:p>
      <w:pPr>
        <w:ind w:left="914"/>
        <w:spacing w:before="3" w:line="220" w:lineRule="auto"/>
        <w:rPr>
          <w:rFonts w:ascii="FangSong" w:hAnsi="FangSong" w:eastAsia="FangSong" w:cs="FangSong"/>
          <w:sz w:val="30"/>
          <w:szCs w:val="30"/>
        </w:rPr>
      </w:pPr>
      <w:r>
        <w:rPr>
          <w:rFonts w:ascii="FangSong" w:hAnsi="FangSong" w:eastAsia="FangSong" w:cs="FangSong"/>
          <w:sz w:val="30"/>
          <w:szCs w:val="30"/>
          <w:spacing w:val="22"/>
        </w:rPr>
        <w:t>(六)未按照规定对公共场所新建、改建、扩建项目办理预防性卫生审查手续的；</w:t>
      </w:r>
    </w:p>
    <w:p>
      <w:pPr>
        <w:ind w:left="6549"/>
        <w:spacing w:before="214"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73"/>
        <w:gridCol w:w="8094"/>
        <w:gridCol w:w="4252"/>
      </w:tblGrid>
      <w:tr>
        <w:trPr>
          <w:trHeight w:val="493" w:hRule="atLeast"/>
        </w:trPr>
        <w:tc>
          <w:tcPr>
            <w:tcW w:w="1473" w:type="dxa"/>
            <w:vAlign w:val="top"/>
          </w:tcPr>
          <w:p>
            <w:pPr>
              <w:pStyle w:val="TableText"/>
              <w:ind w:left="228"/>
              <w:spacing w:before="122" w:line="220" w:lineRule="auto"/>
              <w:rPr>
                <w:sz w:val="25"/>
                <w:szCs w:val="25"/>
              </w:rPr>
            </w:pPr>
            <w:r>
              <w:rPr>
                <w:sz w:val="25"/>
                <w:szCs w:val="25"/>
                <w:b/>
                <w:bCs/>
                <w:spacing w:val="-5"/>
              </w:rPr>
              <w:t>违法程度</w:t>
            </w:r>
          </w:p>
        </w:tc>
        <w:tc>
          <w:tcPr>
            <w:tcW w:w="8094" w:type="dxa"/>
            <w:vAlign w:val="top"/>
          </w:tcPr>
          <w:p>
            <w:pPr>
              <w:pStyle w:val="TableText"/>
              <w:ind w:left="3465"/>
              <w:spacing w:before="122" w:line="220" w:lineRule="auto"/>
              <w:rPr>
                <w:sz w:val="25"/>
                <w:szCs w:val="25"/>
              </w:rPr>
            </w:pPr>
            <w:r>
              <w:rPr>
                <w:sz w:val="25"/>
                <w:szCs w:val="25"/>
                <w:b/>
                <w:bCs/>
                <w:spacing w:val="-5"/>
              </w:rPr>
              <w:t>情节后果</w:t>
            </w:r>
          </w:p>
        </w:tc>
        <w:tc>
          <w:tcPr>
            <w:tcW w:w="4252" w:type="dxa"/>
            <w:vAlign w:val="top"/>
          </w:tcPr>
          <w:p>
            <w:pPr>
              <w:pStyle w:val="TableText"/>
              <w:ind w:left="1621"/>
              <w:spacing w:before="119" w:line="218" w:lineRule="auto"/>
              <w:rPr>
                <w:sz w:val="25"/>
                <w:szCs w:val="25"/>
              </w:rPr>
            </w:pPr>
            <w:r>
              <w:rPr>
                <w:sz w:val="25"/>
                <w:szCs w:val="25"/>
                <w:b/>
                <w:bCs/>
                <w:spacing w:val="-5"/>
              </w:rPr>
              <w:t>裁量幅度</w:t>
            </w:r>
          </w:p>
        </w:tc>
      </w:tr>
      <w:tr>
        <w:trPr>
          <w:trHeight w:val="488" w:hRule="atLeast"/>
        </w:trPr>
        <w:tc>
          <w:tcPr>
            <w:tcW w:w="1473" w:type="dxa"/>
            <w:vAlign w:val="top"/>
          </w:tcPr>
          <w:p>
            <w:pPr>
              <w:pStyle w:val="TableText"/>
              <w:ind w:left="478"/>
              <w:spacing w:before="118" w:line="219" w:lineRule="auto"/>
              <w:rPr>
                <w:sz w:val="25"/>
                <w:szCs w:val="25"/>
              </w:rPr>
            </w:pPr>
            <w:r>
              <w:rPr>
                <w:sz w:val="25"/>
                <w:szCs w:val="25"/>
                <w:b/>
                <w:bCs/>
                <w:spacing w:val="-6"/>
              </w:rPr>
              <w:t>较轻</w:t>
            </w:r>
          </w:p>
        </w:tc>
        <w:tc>
          <w:tcPr>
            <w:tcW w:w="8094" w:type="dxa"/>
            <w:vAlign w:val="top"/>
          </w:tcPr>
          <w:p>
            <w:pPr>
              <w:pStyle w:val="TableText"/>
              <w:ind w:left="101"/>
              <w:spacing w:before="120" w:line="219" w:lineRule="auto"/>
              <w:rPr>
                <w:sz w:val="25"/>
                <w:szCs w:val="25"/>
              </w:rPr>
            </w:pPr>
            <w:r>
              <w:rPr>
                <w:sz w:val="25"/>
                <w:szCs w:val="25"/>
                <w:spacing w:val="1"/>
              </w:rPr>
              <w:t>有上述违法情节1项，经责令限期改正，逾期不改正的</w:t>
            </w:r>
          </w:p>
        </w:tc>
        <w:tc>
          <w:tcPr>
            <w:tcW w:w="4252" w:type="dxa"/>
            <w:vAlign w:val="top"/>
          </w:tcPr>
          <w:p>
            <w:pPr>
              <w:pStyle w:val="TableText"/>
              <w:ind w:left="117"/>
              <w:spacing w:before="120" w:line="218" w:lineRule="auto"/>
              <w:rPr>
                <w:sz w:val="25"/>
                <w:szCs w:val="25"/>
              </w:rPr>
            </w:pPr>
            <w:r>
              <w:rPr>
                <w:sz w:val="25"/>
                <w:szCs w:val="25"/>
              </w:rPr>
              <w:t>警告，罚款1000元以上5000元以下</w:t>
            </w:r>
          </w:p>
        </w:tc>
      </w:tr>
      <w:tr>
        <w:trPr>
          <w:trHeight w:val="548" w:hRule="atLeast"/>
        </w:trPr>
        <w:tc>
          <w:tcPr>
            <w:tcW w:w="1473" w:type="dxa"/>
            <w:vAlign w:val="top"/>
          </w:tcPr>
          <w:p>
            <w:pPr>
              <w:pStyle w:val="TableText"/>
              <w:ind w:left="478"/>
              <w:spacing w:before="152" w:line="221" w:lineRule="auto"/>
              <w:rPr>
                <w:sz w:val="25"/>
                <w:szCs w:val="25"/>
              </w:rPr>
            </w:pPr>
            <w:r>
              <w:rPr>
                <w:sz w:val="25"/>
                <w:szCs w:val="25"/>
                <w:b/>
                <w:bCs/>
                <w:spacing w:val="-10"/>
              </w:rPr>
              <w:t>一般</w:t>
            </w:r>
          </w:p>
        </w:tc>
        <w:tc>
          <w:tcPr>
            <w:tcW w:w="8094" w:type="dxa"/>
            <w:vAlign w:val="top"/>
          </w:tcPr>
          <w:p>
            <w:pPr>
              <w:pStyle w:val="TableText"/>
              <w:ind w:left="101"/>
              <w:spacing w:before="152" w:line="219" w:lineRule="auto"/>
              <w:rPr>
                <w:sz w:val="25"/>
                <w:szCs w:val="25"/>
              </w:rPr>
            </w:pPr>
            <w:r>
              <w:rPr>
                <w:sz w:val="25"/>
                <w:szCs w:val="25"/>
                <w:spacing w:val="1"/>
              </w:rPr>
              <w:t>有上述违法情节2项及以上，经责令限期改正，逾期</w:t>
            </w:r>
            <w:r>
              <w:rPr>
                <w:sz w:val="25"/>
                <w:szCs w:val="25"/>
              </w:rPr>
              <w:t>不改正的</w:t>
            </w:r>
          </w:p>
        </w:tc>
        <w:tc>
          <w:tcPr>
            <w:tcW w:w="4252" w:type="dxa"/>
            <w:vAlign w:val="top"/>
          </w:tcPr>
          <w:p>
            <w:pPr>
              <w:pStyle w:val="TableText"/>
              <w:ind w:left="177"/>
              <w:spacing w:before="152" w:line="218" w:lineRule="auto"/>
              <w:rPr>
                <w:sz w:val="25"/>
                <w:szCs w:val="25"/>
              </w:rPr>
            </w:pPr>
            <w:r>
              <w:rPr>
                <w:sz w:val="25"/>
                <w:szCs w:val="25"/>
                <w:spacing w:val="1"/>
              </w:rPr>
              <w:t>警告，罚款5000元以上10000元以下</w:t>
            </w:r>
          </w:p>
        </w:tc>
      </w:tr>
      <w:tr>
        <w:trPr>
          <w:trHeight w:val="688" w:hRule="atLeast"/>
        </w:trPr>
        <w:tc>
          <w:tcPr>
            <w:tcW w:w="1473" w:type="dxa"/>
            <w:vAlign w:val="top"/>
          </w:tcPr>
          <w:p>
            <w:pPr>
              <w:pStyle w:val="TableText"/>
              <w:ind w:left="478"/>
              <w:spacing w:before="226" w:line="221" w:lineRule="auto"/>
              <w:rPr>
                <w:sz w:val="25"/>
                <w:szCs w:val="25"/>
              </w:rPr>
            </w:pPr>
            <w:r>
              <w:rPr>
                <w:sz w:val="25"/>
                <w:szCs w:val="25"/>
                <w:b/>
                <w:bCs/>
                <w:spacing w:val="-6"/>
              </w:rPr>
              <w:t>较重</w:t>
            </w:r>
          </w:p>
        </w:tc>
        <w:tc>
          <w:tcPr>
            <w:tcW w:w="8094" w:type="dxa"/>
            <w:vAlign w:val="top"/>
          </w:tcPr>
          <w:p>
            <w:pPr>
              <w:pStyle w:val="TableText"/>
              <w:ind w:left="101" w:firstLine="9"/>
              <w:spacing w:before="76" w:line="222" w:lineRule="auto"/>
              <w:rPr>
                <w:sz w:val="25"/>
                <w:szCs w:val="25"/>
              </w:rPr>
            </w:pPr>
            <w:r>
              <w:rPr>
                <w:sz w:val="25"/>
                <w:szCs w:val="25"/>
                <w:spacing w:val="-9"/>
              </w:rPr>
              <w:t>未按照规定对公共场所新建、改建、扩建项目办理预防性卫生审查手续的，</w:t>
            </w:r>
            <w:r>
              <w:rPr>
                <w:sz w:val="25"/>
                <w:szCs w:val="25"/>
                <w:spacing w:val="18"/>
              </w:rPr>
              <w:t xml:space="preserve"> </w:t>
            </w:r>
            <w:r>
              <w:rPr>
                <w:sz w:val="25"/>
                <w:szCs w:val="25"/>
              </w:rPr>
              <w:t>拒绝监督的</w:t>
            </w:r>
          </w:p>
        </w:tc>
        <w:tc>
          <w:tcPr>
            <w:tcW w:w="4252" w:type="dxa"/>
            <w:vAlign w:val="top"/>
          </w:tcPr>
          <w:p>
            <w:pPr>
              <w:pStyle w:val="TableText"/>
              <w:ind w:left="117"/>
              <w:spacing w:before="224" w:line="218" w:lineRule="auto"/>
              <w:rPr>
                <w:sz w:val="25"/>
                <w:szCs w:val="25"/>
              </w:rPr>
            </w:pPr>
            <w:r>
              <w:rPr>
                <w:sz w:val="25"/>
                <w:szCs w:val="25"/>
              </w:rPr>
              <w:t>警告，罚款10000元以上30000元以下</w:t>
            </w:r>
          </w:p>
        </w:tc>
      </w:tr>
      <w:tr>
        <w:trPr>
          <w:trHeight w:val="683" w:hRule="atLeast"/>
        </w:trPr>
        <w:tc>
          <w:tcPr>
            <w:tcW w:w="1473" w:type="dxa"/>
            <w:vAlign w:val="top"/>
          </w:tcPr>
          <w:p>
            <w:pPr>
              <w:pStyle w:val="TableText"/>
              <w:ind w:left="478"/>
              <w:spacing w:before="225" w:line="220" w:lineRule="auto"/>
              <w:rPr>
                <w:sz w:val="25"/>
                <w:szCs w:val="25"/>
              </w:rPr>
            </w:pPr>
            <w:r>
              <w:rPr>
                <w:sz w:val="25"/>
                <w:szCs w:val="25"/>
                <w:b/>
                <w:bCs/>
                <w:spacing w:val="-6"/>
              </w:rPr>
              <w:t>严重</w:t>
            </w:r>
          </w:p>
        </w:tc>
        <w:tc>
          <w:tcPr>
            <w:tcW w:w="8094" w:type="dxa"/>
            <w:vAlign w:val="top"/>
          </w:tcPr>
          <w:p>
            <w:pPr>
              <w:pStyle w:val="TableText"/>
              <w:ind w:left="101" w:firstLine="9"/>
              <w:spacing w:before="77" w:line="220" w:lineRule="auto"/>
              <w:rPr>
                <w:sz w:val="25"/>
                <w:szCs w:val="25"/>
              </w:rPr>
            </w:pPr>
            <w:r>
              <w:rPr>
                <w:sz w:val="25"/>
                <w:szCs w:val="25"/>
                <w:spacing w:val="-9"/>
              </w:rPr>
              <w:t>未按照规定对公共场所新建、改建、扩建项目办理预防性卫生审查手续的，</w:t>
            </w:r>
            <w:r>
              <w:rPr>
                <w:sz w:val="25"/>
                <w:szCs w:val="25"/>
                <w:spacing w:val="18"/>
              </w:rPr>
              <w:t xml:space="preserve"> </w:t>
            </w:r>
            <w:r>
              <w:rPr>
                <w:sz w:val="25"/>
                <w:szCs w:val="25"/>
                <w:spacing w:val="-2"/>
              </w:rPr>
              <w:t>情节恶劣或后果严重的</w:t>
            </w:r>
          </w:p>
        </w:tc>
        <w:tc>
          <w:tcPr>
            <w:tcW w:w="4252" w:type="dxa"/>
            <w:vAlign w:val="top"/>
          </w:tcPr>
          <w:p>
            <w:pPr>
              <w:pStyle w:val="TableText"/>
              <w:ind w:left="117"/>
              <w:spacing w:before="66" w:line="224" w:lineRule="auto"/>
              <w:rPr>
                <w:sz w:val="25"/>
                <w:szCs w:val="25"/>
              </w:rPr>
            </w:pPr>
            <w:r>
              <w:rPr>
                <w:sz w:val="25"/>
                <w:szCs w:val="25"/>
                <w:spacing w:val="-1"/>
              </w:rPr>
              <w:t>警告，罚款30000元，责令停业整顿，</w:t>
            </w:r>
            <w:r>
              <w:rPr>
                <w:sz w:val="25"/>
                <w:szCs w:val="25"/>
                <w:spacing w:val="17"/>
              </w:rPr>
              <w:t xml:space="preserve"> </w:t>
            </w:r>
            <w:r>
              <w:rPr>
                <w:sz w:val="25"/>
                <w:szCs w:val="25"/>
                <w:spacing w:val="1"/>
              </w:rPr>
              <w:t>直至吊销卫生许可证</w:t>
            </w:r>
          </w:p>
        </w:tc>
      </w:tr>
    </w:tbl>
    <w:p>
      <w:pPr>
        <w:pStyle w:val="BodyText"/>
        <w:rPr/>
      </w:pPr>
      <w:r/>
    </w:p>
    <w:p>
      <w:pPr>
        <w:sectPr>
          <w:footerReference w:type="default" r:id="rId460"/>
          <w:pgSz w:w="16830" w:h="11900"/>
          <w:pgMar w:top="1011" w:right="1329" w:bottom="1125" w:left="1305" w:header="0" w:footer="783" w:gutter="0"/>
        </w:sectPr>
        <w:rPr/>
      </w:pP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ind w:left="119" w:right="410" w:firstLine="649"/>
        <w:spacing w:before="97" w:line="285" w:lineRule="auto"/>
        <w:rPr>
          <w:rFonts w:ascii="FangSong" w:hAnsi="FangSong" w:eastAsia="FangSong" w:cs="FangSong"/>
          <w:sz w:val="30"/>
          <w:szCs w:val="30"/>
        </w:rPr>
      </w:pPr>
      <w:bookmarkStart w:name="bookmark1105" w:id="479"/>
      <w:bookmarkEnd w:id="479"/>
      <w:r>
        <w:rPr>
          <w:rFonts w:ascii="FangSong" w:hAnsi="FangSong" w:eastAsia="FangSong" w:cs="FangSong"/>
          <w:sz w:val="30"/>
          <w:szCs w:val="30"/>
          <w:b/>
          <w:bCs/>
          <w:spacing w:val="21"/>
        </w:rPr>
        <w:t>第四百三十四条公共场所经营者使用未经卫生检测或者评价不合格而投入使用的集中空调通</w:t>
      </w:r>
      <w:r>
        <w:rPr>
          <w:rFonts w:ascii="FangSong" w:hAnsi="FangSong" w:eastAsia="FangSong" w:cs="FangSong"/>
          <w:sz w:val="30"/>
          <w:szCs w:val="30"/>
          <w:spacing w:val="8"/>
        </w:rPr>
        <w:t xml:space="preserve"> </w:t>
      </w:r>
      <w:r>
        <w:rPr>
          <w:rFonts w:ascii="FangSong" w:hAnsi="FangSong" w:eastAsia="FangSong" w:cs="FangSong"/>
          <w:sz w:val="30"/>
          <w:szCs w:val="30"/>
          <w:b/>
          <w:bCs/>
          <w:spacing w:val="9"/>
        </w:rPr>
        <w:t>风系统的</w:t>
      </w:r>
    </w:p>
    <w:p>
      <w:pPr>
        <w:ind w:left="774"/>
        <w:spacing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114" w:firstLine="619"/>
        <w:spacing w:before="86" w:line="265" w:lineRule="auto"/>
        <w:jc w:val="both"/>
        <w:rPr>
          <w:rFonts w:ascii="FangSong" w:hAnsi="FangSong" w:eastAsia="FangSong" w:cs="FangSong"/>
          <w:sz w:val="30"/>
          <w:szCs w:val="30"/>
        </w:rPr>
      </w:pPr>
      <w:r>
        <w:rPr>
          <w:rFonts w:ascii="FangSong" w:hAnsi="FangSong" w:eastAsia="FangSong" w:cs="FangSong"/>
          <w:sz w:val="30"/>
          <w:szCs w:val="30"/>
          <w:spacing w:val="19"/>
        </w:rPr>
        <w:t>《公共场所卫生管理条例实施细则》第三十七条第(七)项</w:t>
      </w:r>
      <w:r>
        <w:rPr>
          <w:rFonts w:ascii="FangSong" w:hAnsi="FangSong" w:eastAsia="FangSong" w:cs="FangSong"/>
          <w:sz w:val="30"/>
          <w:szCs w:val="30"/>
          <w:spacing w:val="19"/>
        </w:rPr>
        <w:t xml:space="preserve"> </w:t>
      </w:r>
      <w:r>
        <w:rPr>
          <w:rFonts w:ascii="FangSong" w:hAnsi="FangSong" w:eastAsia="FangSong" w:cs="FangSong"/>
          <w:sz w:val="30"/>
          <w:szCs w:val="30"/>
          <w:spacing w:val="18"/>
        </w:rPr>
        <w:t xml:space="preserve"> </w:t>
      </w:r>
      <w:r>
        <w:rPr>
          <w:rFonts w:ascii="FangSong" w:hAnsi="FangSong" w:eastAsia="FangSong" w:cs="FangSong"/>
          <w:sz w:val="30"/>
          <w:szCs w:val="30"/>
          <w:spacing w:val="18"/>
        </w:rPr>
        <w:t>公共场所经营者有下列情形之一的，</w:t>
      </w:r>
      <w:r>
        <w:rPr>
          <w:rFonts w:ascii="FangSong" w:hAnsi="FangSong" w:eastAsia="FangSong" w:cs="FangSong"/>
          <w:sz w:val="30"/>
          <w:szCs w:val="30"/>
        </w:rPr>
        <w:t xml:space="preserve"> </w:t>
      </w:r>
      <w:r>
        <w:rPr>
          <w:rFonts w:ascii="FangSong" w:hAnsi="FangSong" w:eastAsia="FangSong" w:cs="FangSong"/>
          <w:sz w:val="30"/>
          <w:szCs w:val="30"/>
          <w:spacing w:val="16"/>
        </w:rPr>
        <w:t>由县级以上地方人民政府卫生行政部门责令限期改正；逾期不改的，给予警告，并处以一千元以上一</w:t>
      </w:r>
      <w:r>
        <w:rPr>
          <w:rFonts w:ascii="FangSong" w:hAnsi="FangSong" w:eastAsia="FangSong" w:cs="FangSong"/>
          <w:sz w:val="30"/>
          <w:szCs w:val="30"/>
          <w:spacing w:val="9"/>
        </w:rPr>
        <w:t xml:space="preserve"> </w:t>
      </w:r>
      <w:r>
        <w:rPr>
          <w:rFonts w:ascii="FangSong" w:hAnsi="FangSong" w:eastAsia="FangSong" w:cs="FangSong"/>
          <w:sz w:val="30"/>
          <w:szCs w:val="30"/>
          <w:spacing w:val="16"/>
        </w:rPr>
        <w:t>万元以下罚款；对拒绝监督的，处以一万元以上三万元以下罚款；情节严重的，可以依法责令停业整</w:t>
      </w:r>
      <w:r>
        <w:rPr>
          <w:rFonts w:ascii="FangSong" w:hAnsi="FangSong" w:eastAsia="FangSong" w:cs="FangSong"/>
          <w:sz w:val="30"/>
          <w:szCs w:val="30"/>
          <w:spacing w:val="6"/>
        </w:rPr>
        <w:t xml:space="preserve"> </w:t>
      </w:r>
      <w:r>
        <w:rPr>
          <w:rFonts w:ascii="FangSong" w:hAnsi="FangSong" w:eastAsia="FangSong" w:cs="FangSong"/>
          <w:sz w:val="30"/>
          <w:szCs w:val="30"/>
          <w:spacing w:val="11"/>
        </w:rPr>
        <w:t>顿，直至吊销卫生许可证：</w:t>
      </w:r>
    </w:p>
    <w:p>
      <w:pPr>
        <w:ind w:left="904"/>
        <w:spacing w:before="43" w:line="220" w:lineRule="auto"/>
        <w:rPr>
          <w:rFonts w:ascii="FangSong" w:hAnsi="FangSong" w:eastAsia="FangSong" w:cs="FangSong"/>
          <w:sz w:val="30"/>
          <w:szCs w:val="30"/>
        </w:rPr>
      </w:pPr>
      <w:r>
        <w:rPr>
          <w:rFonts w:ascii="FangSong" w:hAnsi="FangSong" w:eastAsia="FangSong" w:cs="FangSong"/>
          <w:sz w:val="30"/>
          <w:szCs w:val="30"/>
          <w:spacing w:val="22"/>
        </w:rPr>
        <w:t>(七)公共场所集中空调通风系统未经卫生检测或者评价不合格而投入使用的；</w:t>
      </w:r>
    </w:p>
    <w:p>
      <w:pPr>
        <w:ind w:left="6528"/>
        <w:spacing w:before="20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4" w:lineRule="auto"/>
        <w:rPr>
          <w:rFonts w:ascii="Arial"/>
          <w:sz w:val="2"/>
        </w:rPr>
      </w:pPr>
      <w:r>
        <w:rPr>
          <w:rFonts w:ascii="Arial"/>
          <w:sz w:val="2"/>
        </w:rPr>
      </w:r>
    </w:p>
    <w:tbl>
      <w:tblPr>
        <w:tblStyle w:val="TableNormal"/>
        <w:tblW w:w="137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3"/>
        <w:gridCol w:w="8114"/>
        <w:gridCol w:w="4252"/>
      </w:tblGrid>
      <w:tr>
        <w:trPr>
          <w:trHeight w:val="463" w:hRule="atLeast"/>
        </w:trPr>
        <w:tc>
          <w:tcPr>
            <w:tcW w:w="1433" w:type="dxa"/>
            <w:vAlign w:val="top"/>
          </w:tcPr>
          <w:p>
            <w:pPr>
              <w:pStyle w:val="TableText"/>
              <w:ind w:left="208"/>
              <w:spacing w:before="112" w:line="220" w:lineRule="auto"/>
              <w:rPr>
                <w:sz w:val="25"/>
                <w:szCs w:val="25"/>
              </w:rPr>
            </w:pPr>
            <w:r>
              <w:rPr>
                <w:sz w:val="25"/>
                <w:szCs w:val="25"/>
                <w:b/>
                <w:bCs/>
                <w:spacing w:val="-5"/>
              </w:rPr>
              <w:t>违法程度</w:t>
            </w:r>
          </w:p>
        </w:tc>
        <w:tc>
          <w:tcPr>
            <w:tcW w:w="8114" w:type="dxa"/>
            <w:vAlign w:val="top"/>
          </w:tcPr>
          <w:p>
            <w:pPr>
              <w:pStyle w:val="TableText"/>
              <w:ind w:left="3485"/>
              <w:spacing w:before="112" w:line="220" w:lineRule="auto"/>
              <w:rPr>
                <w:sz w:val="25"/>
                <w:szCs w:val="25"/>
              </w:rPr>
            </w:pPr>
            <w:r>
              <w:rPr>
                <w:sz w:val="25"/>
                <w:szCs w:val="25"/>
                <w:b/>
                <w:bCs/>
                <w:spacing w:val="-5"/>
              </w:rPr>
              <w:t>情节后果</w:t>
            </w:r>
          </w:p>
        </w:tc>
        <w:tc>
          <w:tcPr>
            <w:tcW w:w="4252" w:type="dxa"/>
            <w:vAlign w:val="top"/>
          </w:tcPr>
          <w:p>
            <w:pPr>
              <w:pStyle w:val="TableText"/>
              <w:ind w:left="1621"/>
              <w:spacing w:before="109" w:line="218" w:lineRule="auto"/>
              <w:rPr>
                <w:sz w:val="25"/>
                <w:szCs w:val="25"/>
              </w:rPr>
            </w:pPr>
            <w:r>
              <w:rPr>
                <w:sz w:val="25"/>
                <w:szCs w:val="25"/>
                <w:b/>
                <w:bCs/>
                <w:spacing w:val="-5"/>
              </w:rPr>
              <w:t>裁量幅度</w:t>
            </w:r>
          </w:p>
        </w:tc>
      </w:tr>
      <w:tr>
        <w:trPr>
          <w:trHeight w:val="518" w:hRule="atLeast"/>
        </w:trPr>
        <w:tc>
          <w:tcPr>
            <w:tcW w:w="1433" w:type="dxa"/>
            <w:vAlign w:val="top"/>
          </w:tcPr>
          <w:p>
            <w:pPr>
              <w:pStyle w:val="TableText"/>
              <w:ind w:left="458"/>
              <w:spacing w:before="138" w:line="219" w:lineRule="auto"/>
              <w:rPr>
                <w:sz w:val="25"/>
                <w:szCs w:val="25"/>
              </w:rPr>
            </w:pPr>
            <w:r>
              <w:rPr>
                <w:sz w:val="25"/>
                <w:szCs w:val="25"/>
                <w:b/>
                <w:bCs/>
                <w:spacing w:val="-6"/>
              </w:rPr>
              <w:t>较轻</w:t>
            </w:r>
          </w:p>
        </w:tc>
        <w:tc>
          <w:tcPr>
            <w:tcW w:w="8114" w:type="dxa"/>
            <w:vAlign w:val="top"/>
          </w:tcPr>
          <w:p>
            <w:pPr>
              <w:pStyle w:val="TableText"/>
              <w:ind w:left="111"/>
              <w:spacing w:before="140" w:line="219" w:lineRule="auto"/>
              <w:rPr>
                <w:sz w:val="25"/>
                <w:szCs w:val="25"/>
              </w:rPr>
            </w:pPr>
            <w:r>
              <w:rPr>
                <w:sz w:val="25"/>
                <w:szCs w:val="25"/>
                <w:spacing w:val="1"/>
              </w:rPr>
              <w:t>有上述违法情节1项，经责令限期改正，逾期不改正的</w:t>
            </w:r>
          </w:p>
        </w:tc>
        <w:tc>
          <w:tcPr>
            <w:tcW w:w="4252" w:type="dxa"/>
            <w:vAlign w:val="top"/>
          </w:tcPr>
          <w:p>
            <w:pPr>
              <w:pStyle w:val="TableText"/>
              <w:ind w:left="117"/>
              <w:spacing w:before="140" w:line="218" w:lineRule="auto"/>
              <w:rPr>
                <w:sz w:val="25"/>
                <w:szCs w:val="25"/>
              </w:rPr>
            </w:pPr>
            <w:r>
              <w:rPr>
                <w:sz w:val="25"/>
                <w:szCs w:val="25"/>
              </w:rPr>
              <w:t>警告，罚款1000元以上5000元以下</w:t>
            </w:r>
          </w:p>
        </w:tc>
      </w:tr>
      <w:tr>
        <w:trPr>
          <w:trHeight w:val="538" w:hRule="atLeast"/>
        </w:trPr>
        <w:tc>
          <w:tcPr>
            <w:tcW w:w="1433" w:type="dxa"/>
            <w:vAlign w:val="top"/>
          </w:tcPr>
          <w:p>
            <w:pPr>
              <w:pStyle w:val="TableText"/>
              <w:ind w:left="458"/>
              <w:spacing w:before="152" w:line="221" w:lineRule="auto"/>
              <w:rPr>
                <w:sz w:val="25"/>
                <w:szCs w:val="25"/>
              </w:rPr>
            </w:pPr>
            <w:r>
              <w:rPr>
                <w:sz w:val="25"/>
                <w:szCs w:val="25"/>
                <w:b/>
                <w:bCs/>
                <w:spacing w:val="-10"/>
              </w:rPr>
              <w:t>一般</w:t>
            </w:r>
          </w:p>
        </w:tc>
        <w:tc>
          <w:tcPr>
            <w:tcW w:w="8114" w:type="dxa"/>
            <w:vAlign w:val="top"/>
          </w:tcPr>
          <w:p>
            <w:pPr>
              <w:pStyle w:val="TableText"/>
              <w:ind w:left="111"/>
              <w:spacing w:before="152" w:line="219" w:lineRule="auto"/>
              <w:rPr>
                <w:sz w:val="25"/>
                <w:szCs w:val="25"/>
              </w:rPr>
            </w:pPr>
            <w:r>
              <w:rPr>
                <w:sz w:val="25"/>
                <w:szCs w:val="25"/>
                <w:spacing w:val="1"/>
              </w:rPr>
              <w:t>有上述违法情节2项及以上，经责令限期改正，逾期</w:t>
            </w:r>
            <w:r>
              <w:rPr>
                <w:sz w:val="25"/>
                <w:szCs w:val="25"/>
              </w:rPr>
              <w:t>不改正的</w:t>
            </w:r>
          </w:p>
        </w:tc>
        <w:tc>
          <w:tcPr>
            <w:tcW w:w="4252" w:type="dxa"/>
            <w:vAlign w:val="top"/>
          </w:tcPr>
          <w:p>
            <w:pPr>
              <w:pStyle w:val="TableText"/>
              <w:ind w:left="177"/>
              <w:spacing w:before="152" w:line="218" w:lineRule="auto"/>
              <w:rPr>
                <w:sz w:val="25"/>
                <w:szCs w:val="25"/>
              </w:rPr>
            </w:pPr>
            <w:r>
              <w:rPr>
                <w:sz w:val="25"/>
                <w:szCs w:val="25"/>
                <w:spacing w:val="1"/>
              </w:rPr>
              <w:t>警告，罚款5000元以上10000元以下</w:t>
            </w:r>
          </w:p>
        </w:tc>
      </w:tr>
      <w:tr>
        <w:trPr>
          <w:trHeight w:val="688" w:hRule="atLeast"/>
        </w:trPr>
        <w:tc>
          <w:tcPr>
            <w:tcW w:w="1433" w:type="dxa"/>
            <w:vAlign w:val="top"/>
          </w:tcPr>
          <w:p>
            <w:pPr>
              <w:pStyle w:val="TableText"/>
              <w:ind w:left="458"/>
              <w:spacing w:before="226" w:line="221" w:lineRule="auto"/>
              <w:rPr>
                <w:sz w:val="25"/>
                <w:szCs w:val="25"/>
              </w:rPr>
            </w:pPr>
            <w:r>
              <w:rPr>
                <w:sz w:val="25"/>
                <w:szCs w:val="25"/>
                <w:b/>
                <w:bCs/>
                <w:spacing w:val="-6"/>
              </w:rPr>
              <w:t>较重</w:t>
            </w:r>
          </w:p>
        </w:tc>
        <w:tc>
          <w:tcPr>
            <w:tcW w:w="8114" w:type="dxa"/>
            <w:vAlign w:val="top"/>
          </w:tcPr>
          <w:p>
            <w:pPr>
              <w:pStyle w:val="TableText"/>
              <w:ind w:left="111"/>
              <w:spacing w:before="74" w:line="223" w:lineRule="auto"/>
              <w:rPr>
                <w:sz w:val="25"/>
                <w:szCs w:val="25"/>
              </w:rPr>
            </w:pPr>
            <w:r>
              <w:rPr>
                <w:sz w:val="25"/>
                <w:szCs w:val="25"/>
                <w:spacing w:val="-8"/>
              </w:rPr>
              <w:t>公共场所集中空调通风系统未经卫生检测或者评价不合格而投入使用的，拒</w:t>
            </w:r>
            <w:r>
              <w:rPr>
                <w:sz w:val="25"/>
                <w:szCs w:val="25"/>
                <w:spacing w:val="5"/>
              </w:rPr>
              <w:t xml:space="preserve"> </w:t>
            </w:r>
            <w:r>
              <w:rPr>
                <w:sz w:val="25"/>
                <w:szCs w:val="25"/>
                <w:spacing w:val="4"/>
              </w:rPr>
              <w:t>绝监督的</w:t>
            </w:r>
          </w:p>
        </w:tc>
        <w:tc>
          <w:tcPr>
            <w:tcW w:w="4252" w:type="dxa"/>
            <w:vAlign w:val="top"/>
          </w:tcPr>
          <w:p>
            <w:pPr>
              <w:pStyle w:val="TableText"/>
              <w:ind w:left="117"/>
              <w:spacing w:before="224" w:line="218" w:lineRule="auto"/>
              <w:rPr>
                <w:sz w:val="25"/>
                <w:szCs w:val="25"/>
              </w:rPr>
            </w:pPr>
            <w:r>
              <w:rPr>
                <w:sz w:val="25"/>
                <w:szCs w:val="25"/>
              </w:rPr>
              <w:t>警告，罚款10000元以上30000元以下</w:t>
            </w:r>
          </w:p>
        </w:tc>
      </w:tr>
      <w:tr>
        <w:trPr>
          <w:trHeight w:val="683" w:hRule="atLeast"/>
        </w:trPr>
        <w:tc>
          <w:tcPr>
            <w:tcW w:w="1433" w:type="dxa"/>
            <w:vAlign w:val="top"/>
          </w:tcPr>
          <w:p>
            <w:pPr>
              <w:pStyle w:val="TableText"/>
              <w:ind w:left="458"/>
              <w:spacing w:before="225" w:line="220" w:lineRule="auto"/>
              <w:rPr>
                <w:sz w:val="25"/>
                <w:szCs w:val="25"/>
              </w:rPr>
            </w:pPr>
            <w:r>
              <w:rPr>
                <w:sz w:val="25"/>
                <w:szCs w:val="25"/>
                <w:b/>
                <w:bCs/>
                <w:spacing w:val="-6"/>
              </w:rPr>
              <w:t>严重</w:t>
            </w:r>
          </w:p>
        </w:tc>
        <w:tc>
          <w:tcPr>
            <w:tcW w:w="8114" w:type="dxa"/>
            <w:vAlign w:val="top"/>
          </w:tcPr>
          <w:p>
            <w:pPr>
              <w:pStyle w:val="TableText"/>
              <w:ind w:left="111"/>
              <w:spacing w:before="66" w:line="224" w:lineRule="auto"/>
              <w:rPr>
                <w:sz w:val="25"/>
                <w:szCs w:val="25"/>
              </w:rPr>
            </w:pPr>
            <w:r>
              <w:rPr>
                <w:sz w:val="25"/>
                <w:szCs w:val="25"/>
                <w:spacing w:val="-8"/>
              </w:rPr>
              <w:t>公共场所集中空调通风系统未经卫生检测或者评价不合格而投入使用的，情</w:t>
            </w:r>
            <w:r>
              <w:rPr>
                <w:sz w:val="25"/>
                <w:szCs w:val="25"/>
                <w:spacing w:val="5"/>
              </w:rPr>
              <w:t xml:space="preserve"> </w:t>
            </w:r>
            <w:r>
              <w:rPr>
                <w:sz w:val="25"/>
                <w:szCs w:val="25"/>
                <w:spacing w:val="1"/>
              </w:rPr>
              <w:t>节恶劣或后果严重的</w:t>
            </w:r>
          </w:p>
        </w:tc>
        <w:tc>
          <w:tcPr>
            <w:tcW w:w="4252" w:type="dxa"/>
            <w:vAlign w:val="top"/>
          </w:tcPr>
          <w:p>
            <w:pPr>
              <w:pStyle w:val="TableText"/>
              <w:ind w:left="117"/>
              <w:spacing w:before="66" w:line="224" w:lineRule="auto"/>
              <w:rPr>
                <w:sz w:val="25"/>
                <w:szCs w:val="25"/>
              </w:rPr>
            </w:pPr>
            <w:r>
              <w:rPr>
                <w:sz w:val="25"/>
                <w:szCs w:val="25"/>
                <w:spacing w:val="-1"/>
              </w:rPr>
              <w:t>警告，罚款30000元，责令停业整顿，</w:t>
            </w:r>
            <w:r>
              <w:rPr>
                <w:sz w:val="25"/>
                <w:szCs w:val="25"/>
                <w:spacing w:val="17"/>
              </w:rPr>
              <w:t xml:space="preserve"> </w:t>
            </w:r>
            <w:r>
              <w:rPr>
                <w:sz w:val="25"/>
                <w:szCs w:val="25"/>
                <w:spacing w:val="1"/>
              </w:rPr>
              <w:t>直至吊销卫生许可证</w:t>
            </w:r>
          </w:p>
        </w:tc>
      </w:tr>
    </w:tbl>
    <w:p>
      <w:pPr>
        <w:pStyle w:val="BodyText"/>
        <w:rPr/>
      </w:pPr>
      <w:r/>
    </w:p>
    <w:p>
      <w:pPr>
        <w:sectPr>
          <w:footerReference w:type="default" r:id="rId461"/>
          <w:pgSz w:w="16830" w:h="11900"/>
          <w:pgMar w:top="1011" w:right="1350" w:bottom="1117" w:left="1325" w:header="0" w:footer="784" w:gutter="0"/>
        </w:sectPr>
        <w:rPr/>
      </w:pPr>
    </w:p>
    <w:p>
      <w:pPr>
        <w:pStyle w:val="BodyText"/>
        <w:spacing w:line="263" w:lineRule="auto"/>
        <w:rPr/>
      </w:pPr>
      <w:r/>
    </w:p>
    <w:p>
      <w:pPr>
        <w:pStyle w:val="BodyText"/>
        <w:spacing w:line="263" w:lineRule="auto"/>
        <w:rPr/>
      </w:pPr>
      <w:r/>
    </w:p>
    <w:p>
      <w:pPr>
        <w:pStyle w:val="BodyText"/>
        <w:spacing w:line="263" w:lineRule="auto"/>
        <w:rPr/>
      </w:pPr>
      <w:r/>
    </w:p>
    <w:p>
      <w:pPr>
        <w:ind w:left="119" w:right="132" w:firstLine="649"/>
        <w:spacing w:before="98" w:line="283" w:lineRule="auto"/>
        <w:rPr>
          <w:rFonts w:ascii="KaiTi" w:hAnsi="KaiTi" w:eastAsia="KaiTi" w:cs="KaiTi"/>
          <w:sz w:val="30"/>
          <w:szCs w:val="30"/>
        </w:rPr>
      </w:pPr>
      <w:bookmarkStart w:name="bookmark1106" w:id="480"/>
      <w:bookmarkEnd w:id="480"/>
      <w:r>
        <w:rPr>
          <w:rFonts w:ascii="KaiTi" w:hAnsi="KaiTi" w:eastAsia="KaiTi" w:cs="KaiTi"/>
          <w:sz w:val="30"/>
          <w:szCs w:val="30"/>
          <w:b/>
          <w:bCs/>
          <w:spacing w:val="20"/>
        </w:rPr>
        <w:t>第四百三十五条公共场所经营者未按照规定公示公共场所卫生许可证、卫生检测结果和卫生信</w:t>
      </w:r>
      <w:r>
        <w:rPr>
          <w:rFonts w:ascii="KaiTi" w:hAnsi="KaiTi" w:eastAsia="KaiTi" w:cs="KaiTi"/>
          <w:sz w:val="30"/>
          <w:szCs w:val="30"/>
          <w:spacing w:val="13"/>
        </w:rPr>
        <w:t xml:space="preserve"> </w:t>
      </w:r>
      <w:r>
        <w:rPr>
          <w:rFonts w:ascii="KaiTi" w:hAnsi="KaiTi" w:eastAsia="KaiTi" w:cs="KaiTi"/>
          <w:sz w:val="30"/>
          <w:szCs w:val="30"/>
          <w:b/>
          <w:bCs/>
          <w:spacing w:val="11"/>
        </w:rPr>
        <w:t>誉度等级的</w:t>
      </w:r>
    </w:p>
    <w:p>
      <w:pPr>
        <w:ind w:left="774"/>
        <w:spacing w:before="6"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114" w:firstLine="630"/>
        <w:spacing w:before="86" w:line="265" w:lineRule="auto"/>
        <w:jc w:val="both"/>
        <w:rPr>
          <w:rFonts w:ascii="FangSong" w:hAnsi="FangSong" w:eastAsia="FangSong" w:cs="FangSong"/>
          <w:sz w:val="30"/>
          <w:szCs w:val="30"/>
        </w:rPr>
      </w:pPr>
      <w:r>
        <w:rPr>
          <w:rFonts w:ascii="FangSong" w:hAnsi="FangSong" w:eastAsia="FangSong" w:cs="FangSong"/>
          <w:sz w:val="30"/>
          <w:szCs w:val="30"/>
          <w:spacing w:val="19"/>
        </w:rPr>
        <w:t>《公共场所卫生管理条例实施细则》第三十七条第(八)项</w:t>
      </w:r>
      <w:r>
        <w:rPr>
          <w:rFonts w:ascii="FangSong" w:hAnsi="FangSong" w:eastAsia="FangSong" w:cs="FangSong"/>
          <w:sz w:val="30"/>
          <w:szCs w:val="30"/>
          <w:spacing w:val="19"/>
        </w:rPr>
        <w:t xml:space="preserve"> </w:t>
      </w:r>
      <w:r>
        <w:rPr>
          <w:rFonts w:ascii="FangSong" w:hAnsi="FangSong" w:eastAsia="FangSong" w:cs="FangSong"/>
          <w:sz w:val="30"/>
          <w:szCs w:val="30"/>
          <w:spacing w:val="18"/>
        </w:rPr>
        <w:t xml:space="preserve"> </w:t>
      </w:r>
      <w:r>
        <w:rPr>
          <w:rFonts w:ascii="FangSong" w:hAnsi="FangSong" w:eastAsia="FangSong" w:cs="FangSong"/>
          <w:sz w:val="30"/>
          <w:szCs w:val="30"/>
          <w:spacing w:val="18"/>
        </w:rPr>
        <w:t>公共场所经营者有下列情形之一的，</w:t>
      </w:r>
      <w:r>
        <w:rPr>
          <w:rFonts w:ascii="FangSong" w:hAnsi="FangSong" w:eastAsia="FangSong" w:cs="FangSong"/>
          <w:sz w:val="30"/>
          <w:szCs w:val="30"/>
        </w:rPr>
        <w:t xml:space="preserve"> </w:t>
      </w:r>
      <w:r>
        <w:rPr>
          <w:rFonts w:ascii="FangSong" w:hAnsi="FangSong" w:eastAsia="FangSong" w:cs="FangSong"/>
          <w:sz w:val="30"/>
          <w:szCs w:val="30"/>
          <w:spacing w:val="17"/>
        </w:rPr>
        <w:t>由县级以上地方人民政府卫生行政部门责令</w:t>
      </w:r>
      <w:r>
        <w:rPr>
          <w:rFonts w:ascii="FangSong" w:hAnsi="FangSong" w:eastAsia="FangSong" w:cs="FangSong"/>
          <w:sz w:val="30"/>
          <w:szCs w:val="30"/>
          <w:spacing w:val="16"/>
        </w:rPr>
        <w:t>限期改正；逾期不改的，给予警告，并处以一千元以上一</w:t>
      </w:r>
      <w:r>
        <w:rPr>
          <w:rFonts w:ascii="FangSong" w:hAnsi="FangSong" w:eastAsia="FangSong" w:cs="FangSong"/>
          <w:sz w:val="30"/>
          <w:szCs w:val="30"/>
        </w:rPr>
        <w:t xml:space="preserve"> </w:t>
      </w:r>
      <w:r>
        <w:rPr>
          <w:rFonts w:ascii="FangSong" w:hAnsi="FangSong" w:eastAsia="FangSong" w:cs="FangSong"/>
          <w:sz w:val="30"/>
          <w:szCs w:val="30"/>
          <w:spacing w:val="16"/>
        </w:rPr>
        <w:t>万元以下罚款；对拒绝监督的，处以一万元以上三万元以下罚款；情节严重的，可以依法责令停业整</w:t>
      </w:r>
      <w:r>
        <w:rPr>
          <w:rFonts w:ascii="FangSong" w:hAnsi="FangSong" w:eastAsia="FangSong" w:cs="FangSong"/>
          <w:sz w:val="30"/>
          <w:szCs w:val="30"/>
          <w:spacing w:val="15"/>
        </w:rPr>
        <w:t xml:space="preserve"> </w:t>
      </w:r>
      <w:r>
        <w:rPr>
          <w:rFonts w:ascii="FangSong" w:hAnsi="FangSong" w:eastAsia="FangSong" w:cs="FangSong"/>
          <w:sz w:val="30"/>
          <w:szCs w:val="30"/>
          <w:spacing w:val="12"/>
        </w:rPr>
        <w:t>顿，直至吊销卫生许可证：</w:t>
      </w:r>
    </w:p>
    <w:p>
      <w:pPr>
        <w:ind w:left="894"/>
        <w:spacing w:before="33" w:line="220" w:lineRule="auto"/>
        <w:rPr>
          <w:rFonts w:ascii="FangSong" w:hAnsi="FangSong" w:eastAsia="FangSong" w:cs="FangSong"/>
          <w:sz w:val="30"/>
          <w:szCs w:val="30"/>
        </w:rPr>
      </w:pPr>
      <w:r>
        <w:rPr>
          <w:rFonts w:ascii="FangSong" w:hAnsi="FangSong" w:eastAsia="FangSong" w:cs="FangSong"/>
          <w:sz w:val="30"/>
          <w:szCs w:val="30"/>
          <w:spacing w:val="22"/>
        </w:rPr>
        <w:t>(八)未按照规定公示公共场所卫生许可证、卫生检测结果和卫生信誉度等级的；</w:t>
      </w:r>
    </w:p>
    <w:p>
      <w:pPr>
        <w:ind w:left="6528"/>
        <w:spacing w:before="21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7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3"/>
        <w:gridCol w:w="8114"/>
        <w:gridCol w:w="4252"/>
      </w:tblGrid>
      <w:tr>
        <w:trPr>
          <w:trHeight w:val="463" w:hRule="atLeast"/>
        </w:trPr>
        <w:tc>
          <w:tcPr>
            <w:tcW w:w="1433" w:type="dxa"/>
            <w:vAlign w:val="top"/>
          </w:tcPr>
          <w:p>
            <w:pPr>
              <w:pStyle w:val="TableText"/>
              <w:ind w:left="208"/>
              <w:spacing w:before="112" w:line="220" w:lineRule="auto"/>
              <w:rPr>
                <w:sz w:val="25"/>
                <w:szCs w:val="25"/>
              </w:rPr>
            </w:pPr>
            <w:r>
              <w:rPr>
                <w:sz w:val="25"/>
                <w:szCs w:val="25"/>
                <w:b/>
                <w:bCs/>
                <w:spacing w:val="-5"/>
              </w:rPr>
              <w:t>违法程度</w:t>
            </w:r>
          </w:p>
        </w:tc>
        <w:tc>
          <w:tcPr>
            <w:tcW w:w="8114" w:type="dxa"/>
            <w:vAlign w:val="top"/>
          </w:tcPr>
          <w:p>
            <w:pPr>
              <w:pStyle w:val="TableText"/>
              <w:ind w:left="3485"/>
              <w:spacing w:before="112" w:line="220" w:lineRule="auto"/>
              <w:rPr>
                <w:sz w:val="25"/>
                <w:szCs w:val="25"/>
              </w:rPr>
            </w:pPr>
            <w:r>
              <w:rPr>
                <w:sz w:val="25"/>
                <w:szCs w:val="25"/>
                <w:b/>
                <w:bCs/>
                <w:spacing w:val="-5"/>
              </w:rPr>
              <w:t>情节后果</w:t>
            </w:r>
          </w:p>
        </w:tc>
        <w:tc>
          <w:tcPr>
            <w:tcW w:w="4252" w:type="dxa"/>
            <w:vAlign w:val="top"/>
          </w:tcPr>
          <w:p>
            <w:pPr>
              <w:pStyle w:val="TableText"/>
              <w:ind w:left="1621"/>
              <w:spacing w:before="109" w:line="218" w:lineRule="auto"/>
              <w:rPr>
                <w:sz w:val="25"/>
                <w:szCs w:val="25"/>
              </w:rPr>
            </w:pPr>
            <w:r>
              <w:rPr>
                <w:sz w:val="25"/>
                <w:szCs w:val="25"/>
                <w:b/>
                <w:bCs/>
                <w:spacing w:val="-5"/>
              </w:rPr>
              <w:t>裁量幅度</w:t>
            </w:r>
          </w:p>
        </w:tc>
      </w:tr>
      <w:tr>
        <w:trPr>
          <w:trHeight w:val="518" w:hRule="atLeast"/>
        </w:trPr>
        <w:tc>
          <w:tcPr>
            <w:tcW w:w="1433" w:type="dxa"/>
            <w:vAlign w:val="top"/>
          </w:tcPr>
          <w:p>
            <w:pPr>
              <w:pStyle w:val="TableText"/>
              <w:ind w:left="458"/>
              <w:spacing w:before="138" w:line="219" w:lineRule="auto"/>
              <w:rPr>
                <w:sz w:val="25"/>
                <w:szCs w:val="25"/>
              </w:rPr>
            </w:pPr>
            <w:r>
              <w:rPr>
                <w:sz w:val="25"/>
                <w:szCs w:val="25"/>
                <w:b/>
                <w:bCs/>
                <w:spacing w:val="-6"/>
              </w:rPr>
              <w:t>较轻</w:t>
            </w:r>
          </w:p>
        </w:tc>
        <w:tc>
          <w:tcPr>
            <w:tcW w:w="8114" w:type="dxa"/>
            <w:vAlign w:val="top"/>
          </w:tcPr>
          <w:p>
            <w:pPr>
              <w:pStyle w:val="TableText"/>
              <w:ind w:left="111"/>
              <w:spacing w:before="140" w:line="219" w:lineRule="auto"/>
              <w:rPr>
                <w:sz w:val="25"/>
                <w:szCs w:val="25"/>
              </w:rPr>
            </w:pPr>
            <w:r>
              <w:rPr>
                <w:sz w:val="25"/>
                <w:szCs w:val="25"/>
                <w:spacing w:val="1"/>
              </w:rPr>
              <w:t>有上述违法情节1项，经责令限期改正，逾期不改正的</w:t>
            </w:r>
          </w:p>
        </w:tc>
        <w:tc>
          <w:tcPr>
            <w:tcW w:w="4252" w:type="dxa"/>
            <w:vAlign w:val="top"/>
          </w:tcPr>
          <w:p>
            <w:pPr>
              <w:pStyle w:val="TableText"/>
              <w:ind w:left="117"/>
              <w:spacing w:before="140" w:line="218" w:lineRule="auto"/>
              <w:rPr>
                <w:sz w:val="25"/>
                <w:szCs w:val="25"/>
              </w:rPr>
            </w:pPr>
            <w:r>
              <w:rPr>
                <w:sz w:val="25"/>
                <w:szCs w:val="25"/>
              </w:rPr>
              <w:t>警告，罚款1000元以上5000元以下</w:t>
            </w:r>
          </w:p>
        </w:tc>
      </w:tr>
      <w:tr>
        <w:trPr>
          <w:trHeight w:val="538" w:hRule="atLeast"/>
        </w:trPr>
        <w:tc>
          <w:tcPr>
            <w:tcW w:w="1433" w:type="dxa"/>
            <w:vAlign w:val="top"/>
          </w:tcPr>
          <w:p>
            <w:pPr>
              <w:pStyle w:val="TableText"/>
              <w:ind w:left="458"/>
              <w:spacing w:before="152" w:line="221" w:lineRule="auto"/>
              <w:rPr>
                <w:sz w:val="25"/>
                <w:szCs w:val="25"/>
              </w:rPr>
            </w:pPr>
            <w:r>
              <w:rPr>
                <w:sz w:val="25"/>
                <w:szCs w:val="25"/>
                <w:b/>
                <w:bCs/>
                <w:spacing w:val="-10"/>
              </w:rPr>
              <w:t>一般</w:t>
            </w:r>
          </w:p>
        </w:tc>
        <w:tc>
          <w:tcPr>
            <w:tcW w:w="8114" w:type="dxa"/>
            <w:vAlign w:val="top"/>
          </w:tcPr>
          <w:p>
            <w:pPr>
              <w:pStyle w:val="TableText"/>
              <w:ind w:left="111"/>
              <w:spacing w:before="152" w:line="219" w:lineRule="auto"/>
              <w:rPr>
                <w:sz w:val="25"/>
                <w:szCs w:val="25"/>
              </w:rPr>
            </w:pPr>
            <w:r>
              <w:rPr>
                <w:sz w:val="25"/>
                <w:szCs w:val="25"/>
                <w:spacing w:val="1"/>
              </w:rPr>
              <w:t>有上述违法情节2项及以上，经责令限期改正，逾期</w:t>
            </w:r>
            <w:r>
              <w:rPr>
                <w:sz w:val="25"/>
                <w:szCs w:val="25"/>
              </w:rPr>
              <w:t>不改正的</w:t>
            </w:r>
          </w:p>
        </w:tc>
        <w:tc>
          <w:tcPr>
            <w:tcW w:w="4252" w:type="dxa"/>
            <w:vAlign w:val="top"/>
          </w:tcPr>
          <w:p>
            <w:pPr>
              <w:pStyle w:val="TableText"/>
              <w:ind w:left="177"/>
              <w:spacing w:before="152" w:line="218" w:lineRule="auto"/>
              <w:rPr>
                <w:sz w:val="25"/>
                <w:szCs w:val="25"/>
              </w:rPr>
            </w:pPr>
            <w:r>
              <w:rPr>
                <w:sz w:val="25"/>
                <w:szCs w:val="25"/>
                <w:spacing w:val="1"/>
              </w:rPr>
              <w:t>警告，罚款5000元以上10000元以下</w:t>
            </w:r>
          </w:p>
        </w:tc>
      </w:tr>
      <w:tr>
        <w:trPr>
          <w:trHeight w:val="688" w:hRule="atLeast"/>
        </w:trPr>
        <w:tc>
          <w:tcPr>
            <w:tcW w:w="1433" w:type="dxa"/>
            <w:vAlign w:val="top"/>
          </w:tcPr>
          <w:p>
            <w:pPr>
              <w:pStyle w:val="TableText"/>
              <w:ind w:left="458"/>
              <w:spacing w:before="226" w:line="221" w:lineRule="auto"/>
              <w:rPr>
                <w:sz w:val="25"/>
                <w:szCs w:val="25"/>
              </w:rPr>
            </w:pPr>
            <w:r>
              <w:rPr>
                <w:sz w:val="25"/>
                <w:szCs w:val="25"/>
                <w:b/>
                <w:bCs/>
                <w:spacing w:val="-6"/>
              </w:rPr>
              <w:t>较重</w:t>
            </w:r>
          </w:p>
        </w:tc>
        <w:tc>
          <w:tcPr>
            <w:tcW w:w="8114" w:type="dxa"/>
            <w:vAlign w:val="top"/>
          </w:tcPr>
          <w:p>
            <w:pPr>
              <w:pStyle w:val="TableText"/>
              <w:ind w:left="111" w:firstLine="19"/>
              <w:spacing w:before="65" w:line="226" w:lineRule="auto"/>
              <w:rPr>
                <w:sz w:val="25"/>
                <w:szCs w:val="25"/>
              </w:rPr>
            </w:pPr>
            <w:r>
              <w:rPr>
                <w:sz w:val="25"/>
                <w:szCs w:val="25"/>
                <w:spacing w:val="-9"/>
              </w:rPr>
              <w:t>未按照规定公示公共场所卫生许可证、卫生检测结果和卫生信誉度等级的，</w:t>
            </w:r>
            <w:r>
              <w:rPr>
                <w:sz w:val="25"/>
                <w:szCs w:val="25"/>
                <w:spacing w:val="18"/>
              </w:rPr>
              <w:t xml:space="preserve"> </w:t>
            </w:r>
            <w:r>
              <w:rPr>
                <w:sz w:val="25"/>
                <w:szCs w:val="25"/>
              </w:rPr>
              <w:t>拒绝监督的</w:t>
            </w:r>
          </w:p>
        </w:tc>
        <w:tc>
          <w:tcPr>
            <w:tcW w:w="4252" w:type="dxa"/>
            <w:vAlign w:val="top"/>
          </w:tcPr>
          <w:p>
            <w:pPr>
              <w:pStyle w:val="TableText"/>
              <w:ind w:left="117"/>
              <w:spacing w:before="224" w:line="218" w:lineRule="auto"/>
              <w:rPr>
                <w:sz w:val="25"/>
                <w:szCs w:val="25"/>
              </w:rPr>
            </w:pPr>
            <w:r>
              <w:rPr>
                <w:sz w:val="25"/>
                <w:szCs w:val="25"/>
              </w:rPr>
              <w:t>警告，罚款10000元以上30000元以下</w:t>
            </w:r>
          </w:p>
        </w:tc>
      </w:tr>
      <w:tr>
        <w:trPr>
          <w:trHeight w:val="683" w:hRule="atLeast"/>
        </w:trPr>
        <w:tc>
          <w:tcPr>
            <w:tcW w:w="1433" w:type="dxa"/>
            <w:vAlign w:val="top"/>
          </w:tcPr>
          <w:p>
            <w:pPr>
              <w:pStyle w:val="TableText"/>
              <w:ind w:left="458"/>
              <w:spacing w:before="225" w:line="220" w:lineRule="auto"/>
              <w:rPr>
                <w:sz w:val="25"/>
                <w:szCs w:val="25"/>
              </w:rPr>
            </w:pPr>
            <w:r>
              <w:rPr>
                <w:sz w:val="25"/>
                <w:szCs w:val="25"/>
                <w:b/>
                <w:bCs/>
                <w:spacing w:val="-6"/>
              </w:rPr>
              <w:t>严重</w:t>
            </w:r>
          </w:p>
        </w:tc>
        <w:tc>
          <w:tcPr>
            <w:tcW w:w="8114" w:type="dxa"/>
            <w:vAlign w:val="top"/>
          </w:tcPr>
          <w:p>
            <w:pPr>
              <w:pStyle w:val="TableText"/>
              <w:ind w:left="111" w:firstLine="19"/>
              <w:spacing w:before="66" w:line="224" w:lineRule="auto"/>
              <w:rPr>
                <w:sz w:val="25"/>
                <w:szCs w:val="25"/>
              </w:rPr>
            </w:pPr>
            <w:r>
              <w:rPr>
                <w:sz w:val="25"/>
                <w:szCs w:val="25"/>
                <w:spacing w:val="-9"/>
              </w:rPr>
              <w:t>未按照规定公示公共场所卫生许可证、卫生检测结果和卫生信誉度等级的，</w:t>
            </w:r>
            <w:r>
              <w:rPr>
                <w:sz w:val="25"/>
                <w:szCs w:val="25"/>
                <w:spacing w:val="18"/>
              </w:rPr>
              <w:t xml:space="preserve"> </w:t>
            </w:r>
            <w:r>
              <w:rPr>
                <w:sz w:val="25"/>
                <w:szCs w:val="25"/>
                <w:spacing w:val="-2"/>
              </w:rPr>
              <w:t>情节恶劣或后果严重的</w:t>
            </w:r>
          </w:p>
        </w:tc>
        <w:tc>
          <w:tcPr>
            <w:tcW w:w="4252" w:type="dxa"/>
            <w:vAlign w:val="top"/>
          </w:tcPr>
          <w:p>
            <w:pPr>
              <w:pStyle w:val="TableText"/>
              <w:ind w:left="117"/>
              <w:spacing w:before="66" w:line="224" w:lineRule="auto"/>
              <w:rPr>
                <w:sz w:val="25"/>
                <w:szCs w:val="25"/>
              </w:rPr>
            </w:pPr>
            <w:r>
              <w:rPr>
                <w:sz w:val="25"/>
                <w:szCs w:val="25"/>
                <w:spacing w:val="-1"/>
              </w:rPr>
              <w:t>警告，罚款30000元，责令停业整顿，</w:t>
            </w:r>
            <w:r>
              <w:rPr>
                <w:sz w:val="25"/>
                <w:szCs w:val="25"/>
                <w:spacing w:val="17"/>
              </w:rPr>
              <w:t xml:space="preserve"> </w:t>
            </w:r>
            <w:r>
              <w:rPr>
                <w:sz w:val="25"/>
                <w:szCs w:val="25"/>
                <w:spacing w:val="1"/>
              </w:rPr>
              <w:t>直至吊销卫生许可证</w:t>
            </w:r>
          </w:p>
        </w:tc>
      </w:tr>
    </w:tbl>
    <w:p>
      <w:pPr>
        <w:pStyle w:val="BodyText"/>
        <w:rPr/>
      </w:pPr>
      <w:r/>
    </w:p>
    <w:p>
      <w:pPr>
        <w:sectPr>
          <w:footerReference w:type="default" r:id="rId462"/>
          <w:pgSz w:w="16830" w:h="11900"/>
          <w:pgMar w:top="1011" w:right="1339" w:bottom="1114" w:left="1325" w:header="0" w:footer="799" w:gutter="0"/>
        </w:sectPr>
        <w:rPr/>
      </w:pPr>
    </w:p>
    <w:p>
      <w:pPr>
        <w:pStyle w:val="BodyText"/>
        <w:spacing w:line="262" w:lineRule="auto"/>
        <w:rPr/>
      </w:pPr>
      <w:r/>
    </w:p>
    <w:p>
      <w:pPr>
        <w:pStyle w:val="BodyText"/>
        <w:spacing w:line="263" w:lineRule="auto"/>
        <w:rPr/>
      </w:pPr>
      <w:r/>
    </w:p>
    <w:p>
      <w:pPr>
        <w:pStyle w:val="BodyText"/>
        <w:spacing w:line="263" w:lineRule="auto"/>
        <w:rPr/>
      </w:pPr>
      <w:r/>
    </w:p>
    <w:p>
      <w:pPr>
        <w:ind w:left="19" w:right="17" w:firstLine="639"/>
        <w:spacing w:before="98" w:line="280" w:lineRule="auto"/>
        <w:rPr>
          <w:rFonts w:ascii="FangSong" w:hAnsi="FangSong" w:eastAsia="FangSong" w:cs="FangSong"/>
          <w:sz w:val="30"/>
          <w:szCs w:val="30"/>
        </w:rPr>
      </w:pPr>
      <w:bookmarkStart w:name="bookmark1107" w:id="481"/>
      <w:bookmarkEnd w:id="481"/>
      <w:r>
        <w:rPr>
          <w:rFonts w:ascii="FangSong" w:hAnsi="FangSong" w:eastAsia="FangSong" w:cs="FangSong"/>
          <w:sz w:val="30"/>
          <w:szCs w:val="30"/>
          <w:b/>
          <w:bCs/>
          <w:spacing w:val="21"/>
        </w:rPr>
        <w:t>第四百三十六条公共场所经营者对发生的危害健康事故未立即采取处置措施导致危害扩</w:t>
      </w:r>
      <w:r>
        <w:rPr>
          <w:rFonts w:ascii="FangSong" w:hAnsi="FangSong" w:eastAsia="FangSong" w:cs="FangSong"/>
          <w:sz w:val="30"/>
          <w:szCs w:val="30"/>
          <w:b/>
          <w:bCs/>
          <w:spacing w:val="20"/>
        </w:rPr>
        <w:t>大，或</w:t>
      </w:r>
      <w:r>
        <w:rPr>
          <w:rFonts w:ascii="FangSong" w:hAnsi="FangSong" w:eastAsia="FangSong" w:cs="FangSong"/>
          <w:sz w:val="30"/>
          <w:szCs w:val="30"/>
        </w:rPr>
        <w:t xml:space="preserve"> </w:t>
      </w:r>
      <w:r>
        <w:rPr>
          <w:rFonts w:ascii="FangSong" w:hAnsi="FangSong" w:eastAsia="FangSong" w:cs="FangSong"/>
          <w:sz w:val="30"/>
          <w:szCs w:val="30"/>
          <w:b/>
          <w:bCs/>
          <w:spacing w:val="16"/>
        </w:rPr>
        <w:t>隐瞒、缓报、谎报危害健康事故的</w:t>
      </w:r>
    </w:p>
    <w:p>
      <w:pPr>
        <w:ind w:left="654"/>
        <w:spacing w:before="6"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15" w:firstLine="640"/>
        <w:spacing w:before="67" w:line="271" w:lineRule="auto"/>
        <w:jc w:val="both"/>
        <w:rPr>
          <w:rFonts w:ascii="FangSong" w:hAnsi="FangSong" w:eastAsia="FangSong" w:cs="FangSong"/>
          <w:sz w:val="30"/>
          <w:szCs w:val="30"/>
        </w:rPr>
      </w:pPr>
      <w:r>
        <w:rPr>
          <w:rFonts w:ascii="FangSong" w:hAnsi="FangSong" w:eastAsia="FangSong" w:cs="FangSong"/>
          <w:sz w:val="30"/>
          <w:szCs w:val="30"/>
          <w:spacing w:val="16"/>
        </w:rPr>
        <w:t>《公共场所卫生管理条例实施细则》第三十九条</w:t>
      </w:r>
      <w:r>
        <w:rPr>
          <w:rFonts w:ascii="FangSong" w:hAnsi="FangSong" w:eastAsia="FangSong" w:cs="FangSong"/>
          <w:sz w:val="30"/>
          <w:szCs w:val="30"/>
          <w:spacing w:val="16"/>
        </w:rPr>
        <w:t xml:space="preserve">  </w:t>
      </w:r>
      <w:r>
        <w:rPr>
          <w:rFonts w:ascii="FangSong" w:hAnsi="FangSong" w:eastAsia="FangSong" w:cs="FangSong"/>
          <w:sz w:val="30"/>
          <w:szCs w:val="30"/>
          <w:spacing w:val="16"/>
        </w:rPr>
        <w:t>公共场所经营者对发生的危害健康事故未立即</w:t>
      </w:r>
      <w:r>
        <w:rPr>
          <w:rFonts w:ascii="FangSong" w:hAnsi="FangSong" w:eastAsia="FangSong" w:cs="FangSong"/>
          <w:sz w:val="30"/>
          <w:szCs w:val="30"/>
          <w:spacing w:val="12"/>
        </w:rPr>
        <w:t xml:space="preserve"> </w:t>
      </w:r>
      <w:r>
        <w:rPr>
          <w:rFonts w:ascii="FangSong" w:hAnsi="FangSong" w:eastAsia="FangSong" w:cs="FangSong"/>
          <w:sz w:val="30"/>
          <w:szCs w:val="30"/>
          <w:spacing w:val="17"/>
        </w:rPr>
        <w:t>采取处置措施，导致危害扩大，或者隐瞒、缓报、谎报的，由县级以上地方人民政府卫生行政部门处</w:t>
      </w:r>
      <w:r>
        <w:rPr>
          <w:rFonts w:ascii="FangSong" w:hAnsi="FangSong" w:eastAsia="FangSong" w:cs="FangSong"/>
          <w:sz w:val="30"/>
          <w:szCs w:val="30"/>
          <w:spacing w:val="1"/>
        </w:rPr>
        <w:t xml:space="preserve"> </w:t>
      </w:r>
      <w:r>
        <w:rPr>
          <w:rFonts w:ascii="FangSong" w:hAnsi="FangSong" w:eastAsia="FangSong" w:cs="FangSong"/>
          <w:sz w:val="30"/>
          <w:szCs w:val="30"/>
          <w:spacing w:val="17"/>
        </w:rPr>
        <w:t>以五千元以上三万元以下罚款；情节严重的，可以依法</w:t>
      </w:r>
      <w:r>
        <w:rPr>
          <w:rFonts w:ascii="FangSong" w:hAnsi="FangSong" w:eastAsia="FangSong" w:cs="FangSong"/>
          <w:sz w:val="30"/>
          <w:szCs w:val="30"/>
          <w:spacing w:val="16"/>
        </w:rPr>
        <w:t>责令停业整顿，直至吊销卫生许可证。构成犯</w:t>
      </w:r>
      <w:r>
        <w:rPr>
          <w:rFonts w:ascii="FangSong" w:hAnsi="FangSong" w:eastAsia="FangSong" w:cs="FangSong"/>
          <w:sz w:val="30"/>
          <w:szCs w:val="30"/>
        </w:rPr>
        <w:t xml:space="preserve"> </w:t>
      </w:r>
      <w:r>
        <w:rPr>
          <w:rFonts w:ascii="FangSong" w:hAnsi="FangSong" w:eastAsia="FangSong" w:cs="FangSong"/>
          <w:sz w:val="30"/>
          <w:szCs w:val="30"/>
          <w:spacing w:val="13"/>
        </w:rPr>
        <w:t>罪的，依法追究刑事责任。</w:t>
      </w:r>
    </w:p>
    <w:p>
      <w:pPr>
        <w:ind w:left="6419"/>
        <w:spacing w:before="145"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54"/>
        <w:gridCol w:w="8074"/>
        <w:gridCol w:w="4172"/>
      </w:tblGrid>
      <w:tr>
        <w:trPr>
          <w:trHeight w:val="523" w:hRule="atLeast"/>
        </w:trPr>
        <w:tc>
          <w:tcPr>
            <w:tcW w:w="1654" w:type="dxa"/>
            <w:vAlign w:val="top"/>
          </w:tcPr>
          <w:p>
            <w:pPr>
              <w:pStyle w:val="TableText"/>
              <w:ind w:left="238"/>
              <w:spacing w:before="14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8074" w:type="dxa"/>
            <w:vAlign w:val="top"/>
          </w:tcPr>
          <w:p>
            <w:pPr>
              <w:pStyle w:val="TableText"/>
              <w:ind w:left="3464"/>
              <w:spacing w:before="142" w:line="220" w:lineRule="auto"/>
              <w:rPr/>
            </w:pPr>
            <w:r>
              <w:rPr>
                <w:b/>
                <w:bCs/>
                <w:spacing w:val="-5"/>
              </w:rPr>
              <w:t>情节后果</w:t>
            </w:r>
          </w:p>
        </w:tc>
        <w:tc>
          <w:tcPr>
            <w:tcW w:w="4172" w:type="dxa"/>
            <w:vAlign w:val="top"/>
          </w:tcPr>
          <w:p>
            <w:pPr>
              <w:pStyle w:val="TableText"/>
              <w:ind w:left="1600"/>
              <w:spacing w:before="139" w:line="218" w:lineRule="auto"/>
              <w:rPr/>
            </w:pPr>
            <w:r>
              <w:rPr>
                <w:b/>
                <w:bCs/>
                <w:spacing w:val="-5"/>
              </w:rPr>
              <w:t>裁量幅度</w:t>
            </w:r>
          </w:p>
        </w:tc>
      </w:tr>
      <w:tr>
        <w:trPr>
          <w:trHeight w:val="658" w:hRule="atLeast"/>
        </w:trPr>
        <w:tc>
          <w:tcPr>
            <w:tcW w:w="1654" w:type="dxa"/>
            <w:vAlign w:val="top"/>
          </w:tcPr>
          <w:p>
            <w:pPr>
              <w:pStyle w:val="TableText"/>
              <w:ind w:left="578"/>
              <w:spacing w:before="208" w:line="219" w:lineRule="auto"/>
              <w:rPr/>
            </w:pPr>
            <w:r>
              <w:rPr>
                <w:b/>
                <w:bCs/>
                <w:spacing w:val="-5"/>
              </w:rPr>
              <w:t>较轻</w:t>
            </w:r>
          </w:p>
        </w:tc>
        <w:tc>
          <w:tcPr>
            <w:tcW w:w="8074" w:type="dxa"/>
            <w:vAlign w:val="top"/>
          </w:tcPr>
          <w:p>
            <w:pPr>
              <w:pStyle w:val="TableText"/>
              <w:ind w:left="111"/>
              <w:spacing w:before="210" w:line="219" w:lineRule="auto"/>
              <w:rPr/>
            </w:pPr>
            <w:r>
              <w:rPr/>
              <w:t>公共场所经营者对发生的危害健康事故未立即采取处置措施</w:t>
            </w:r>
          </w:p>
        </w:tc>
        <w:tc>
          <w:tcPr>
            <w:tcW w:w="4172" w:type="dxa"/>
            <w:vAlign w:val="top"/>
          </w:tcPr>
          <w:p>
            <w:pPr>
              <w:pStyle w:val="TableText"/>
              <w:ind w:left="136"/>
              <w:spacing w:before="212" w:line="220" w:lineRule="auto"/>
              <w:rPr/>
            </w:pPr>
            <w:r>
              <w:rPr/>
              <w:t>罚款5000元以上10000元以下</w:t>
            </w:r>
          </w:p>
        </w:tc>
      </w:tr>
      <w:tr>
        <w:trPr>
          <w:trHeight w:val="658" w:hRule="atLeast"/>
        </w:trPr>
        <w:tc>
          <w:tcPr>
            <w:tcW w:w="1654" w:type="dxa"/>
            <w:vAlign w:val="top"/>
          </w:tcPr>
          <w:p>
            <w:pPr>
              <w:pStyle w:val="TableText"/>
              <w:ind w:left="578"/>
              <w:spacing w:before="211" w:line="221" w:lineRule="auto"/>
              <w:rPr/>
            </w:pPr>
            <w:r>
              <w:rPr>
                <w:b/>
                <w:bCs/>
                <w:spacing w:val="-10"/>
              </w:rPr>
              <w:t>一般</w:t>
            </w:r>
          </w:p>
        </w:tc>
        <w:tc>
          <w:tcPr>
            <w:tcW w:w="8074" w:type="dxa"/>
            <w:vAlign w:val="top"/>
          </w:tcPr>
          <w:p>
            <w:pPr>
              <w:pStyle w:val="TableText"/>
              <w:ind w:left="110" w:right="271" w:hanging="9"/>
              <w:spacing w:before="73" w:line="221" w:lineRule="auto"/>
              <w:rPr/>
            </w:pPr>
            <w:r>
              <w:rPr/>
              <w:t>公共场所经营者对发生的危害健康事故未立即采取处置措施，导致危害扩</w:t>
            </w:r>
            <w:r>
              <w:rPr>
                <w:spacing w:val="10"/>
              </w:rPr>
              <w:t xml:space="preserve"> </w:t>
            </w:r>
            <w:r>
              <w:rPr>
                <w:spacing w:val="1"/>
              </w:rPr>
              <w:t>大，或隐瞒、缓报、谎报的</w:t>
            </w:r>
          </w:p>
        </w:tc>
        <w:tc>
          <w:tcPr>
            <w:tcW w:w="4172" w:type="dxa"/>
            <w:vAlign w:val="top"/>
          </w:tcPr>
          <w:p>
            <w:pPr>
              <w:pStyle w:val="TableText"/>
              <w:ind w:left="136"/>
              <w:spacing w:before="214" w:line="220" w:lineRule="auto"/>
              <w:rPr/>
            </w:pPr>
            <w:r>
              <w:rPr/>
              <w:t>罚款10000元以上20000元以下</w:t>
            </w:r>
          </w:p>
        </w:tc>
      </w:tr>
      <w:tr>
        <w:trPr>
          <w:trHeight w:val="718" w:hRule="atLeast"/>
        </w:trPr>
        <w:tc>
          <w:tcPr>
            <w:tcW w:w="1654" w:type="dxa"/>
            <w:vAlign w:val="top"/>
          </w:tcPr>
          <w:p>
            <w:pPr>
              <w:pStyle w:val="TableText"/>
              <w:ind w:left="578"/>
              <w:spacing w:before="245" w:line="221" w:lineRule="auto"/>
              <w:rPr/>
            </w:pPr>
            <w:r>
              <w:rPr>
                <w:b/>
                <w:bCs/>
                <w:spacing w:val="-5"/>
              </w:rPr>
              <w:t>较重</w:t>
            </w:r>
          </w:p>
        </w:tc>
        <w:tc>
          <w:tcPr>
            <w:tcW w:w="8074" w:type="dxa"/>
            <w:vAlign w:val="top"/>
          </w:tcPr>
          <w:p>
            <w:pPr>
              <w:pStyle w:val="TableText"/>
              <w:ind w:left="110" w:right="271" w:hanging="9"/>
              <w:spacing w:before="94" w:line="236" w:lineRule="auto"/>
              <w:rPr/>
            </w:pPr>
            <w:r>
              <w:rPr/>
              <w:t>公共场所经营者对发生的危害健康事故未立即采取处置措施，导致危害扩</w:t>
            </w:r>
            <w:r>
              <w:rPr>
                <w:spacing w:val="10"/>
              </w:rPr>
              <w:t xml:space="preserve"> </w:t>
            </w:r>
            <w:r>
              <w:rPr>
                <w:spacing w:val="1"/>
              </w:rPr>
              <w:t>大，并隐瞒、缓报、谎报的</w:t>
            </w:r>
          </w:p>
        </w:tc>
        <w:tc>
          <w:tcPr>
            <w:tcW w:w="4172" w:type="dxa"/>
            <w:vAlign w:val="top"/>
          </w:tcPr>
          <w:p>
            <w:pPr>
              <w:pStyle w:val="TableText"/>
              <w:ind w:left="136"/>
              <w:spacing w:before="246" w:line="220" w:lineRule="auto"/>
              <w:rPr/>
            </w:pPr>
            <w:r>
              <w:rPr/>
              <w:t>罚款20000元以上30000元以下</w:t>
            </w:r>
          </w:p>
        </w:tc>
      </w:tr>
      <w:tr>
        <w:trPr>
          <w:trHeight w:val="853" w:hRule="atLeast"/>
        </w:trPr>
        <w:tc>
          <w:tcPr>
            <w:tcW w:w="1654" w:type="dxa"/>
            <w:vAlign w:val="top"/>
          </w:tcPr>
          <w:p>
            <w:pPr>
              <w:pStyle w:val="TableText"/>
              <w:ind w:left="578"/>
              <w:spacing w:before="315" w:line="220" w:lineRule="auto"/>
              <w:rPr/>
            </w:pPr>
            <w:r>
              <w:rPr>
                <w:b/>
                <w:bCs/>
                <w:spacing w:val="-6"/>
              </w:rPr>
              <w:t>严重</w:t>
            </w:r>
          </w:p>
        </w:tc>
        <w:tc>
          <w:tcPr>
            <w:tcW w:w="8074" w:type="dxa"/>
            <w:vAlign w:val="top"/>
          </w:tcPr>
          <w:p>
            <w:pPr>
              <w:pStyle w:val="TableText"/>
              <w:ind w:left="111" w:right="142" w:firstLine="10"/>
              <w:spacing w:before="165" w:line="257" w:lineRule="auto"/>
              <w:rPr/>
            </w:pPr>
            <w:r>
              <w:rPr>
                <w:spacing w:val="4"/>
              </w:rPr>
              <w:t>公共场所经营者对发生的危害健康事故未及时采取措</w:t>
            </w:r>
            <w:r>
              <w:rPr>
                <w:spacing w:val="3"/>
              </w:rPr>
              <w:t>施，并隐瞒、缓报、</w:t>
            </w:r>
            <w:r>
              <w:rPr/>
              <w:t xml:space="preserve"> </w:t>
            </w:r>
            <w:r>
              <w:rPr>
                <w:spacing w:val="1"/>
              </w:rPr>
              <w:t>谎报的，导致危害扩大，造成严重后果的</w:t>
            </w:r>
          </w:p>
        </w:tc>
        <w:tc>
          <w:tcPr>
            <w:tcW w:w="4172" w:type="dxa"/>
            <w:vAlign w:val="top"/>
          </w:tcPr>
          <w:p>
            <w:pPr>
              <w:pStyle w:val="TableText"/>
              <w:ind w:left="136" w:right="36"/>
              <w:spacing w:before="156" w:line="264" w:lineRule="auto"/>
              <w:rPr/>
            </w:pPr>
            <w:r>
              <w:rPr>
                <w:spacing w:val="1"/>
              </w:rPr>
              <w:t>30000元罚款，责令停业整顿，直至吊</w:t>
            </w:r>
            <w:r>
              <w:rPr>
                <w:spacing w:val="9"/>
              </w:rPr>
              <w:t xml:space="preserve"> </w:t>
            </w:r>
            <w:r>
              <w:rPr>
                <w:spacing w:val="1"/>
              </w:rPr>
              <w:t>销卫生许可证</w:t>
            </w:r>
          </w:p>
        </w:tc>
      </w:tr>
    </w:tbl>
    <w:p>
      <w:pPr>
        <w:pStyle w:val="BodyText"/>
        <w:rPr/>
      </w:pPr>
      <w:r/>
    </w:p>
    <w:p>
      <w:pPr>
        <w:sectPr>
          <w:footerReference w:type="default" r:id="rId463"/>
          <w:pgSz w:w="16830" w:h="11900"/>
          <w:pgMar w:top="1011" w:right="1428" w:bottom="1107" w:left="1434" w:header="0" w:footer="774" w:gutter="0"/>
        </w:sectPr>
        <w:rPr/>
      </w:pPr>
    </w:p>
    <w:p>
      <w:pPr>
        <w:pStyle w:val="BodyText"/>
        <w:spacing w:line="257" w:lineRule="auto"/>
        <w:rPr/>
      </w:pPr>
      <w:r/>
    </w:p>
    <w:p>
      <w:pPr>
        <w:pStyle w:val="BodyText"/>
        <w:spacing w:line="258" w:lineRule="auto"/>
        <w:rPr/>
      </w:pPr>
      <w:r/>
    </w:p>
    <w:p>
      <w:pPr>
        <w:pStyle w:val="BodyText"/>
        <w:spacing w:line="258" w:lineRule="auto"/>
        <w:rPr/>
      </w:pPr>
      <w:r/>
    </w:p>
    <w:p>
      <w:pPr>
        <w:ind w:left="889"/>
        <w:spacing w:before="101" w:line="223" w:lineRule="auto"/>
        <w:rPr>
          <w:rFonts w:ascii="KaiTi" w:hAnsi="KaiTi" w:eastAsia="KaiTi" w:cs="KaiTi"/>
          <w:sz w:val="31"/>
          <w:szCs w:val="31"/>
        </w:rPr>
      </w:pPr>
      <w:bookmarkStart w:name="bookmark1108" w:id="482"/>
      <w:bookmarkEnd w:id="482"/>
      <w:r>
        <w:rPr>
          <w:rFonts w:ascii="KaiTi" w:hAnsi="KaiTi" w:eastAsia="KaiTi" w:cs="KaiTi"/>
          <w:sz w:val="31"/>
          <w:szCs w:val="31"/>
          <w:b/>
          <w:bCs/>
          <w:spacing w:val="17"/>
        </w:rPr>
        <w:t>(二)《生活饮用水卫生监督管理办法》</w:t>
      </w:r>
    </w:p>
    <w:p>
      <w:pPr>
        <w:ind w:left="129" w:right="284" w:firstLine="649"/>
        <w:spacing w:before="326" w:line="261" w:lineRule="auto"/>
        <w:rPr>
          <w:rFonts w:ascii="KaiTi" w:hAnsi="KaiTi" w:eastAsia="KaiTi" w:cs="KaiTi"/>
          <w:sz w:val="31"/>
          <w:szCs w:val="31"/>
        </w:rPr>
      </w:pPr>
      <w:r>
        <w:rPr>
          <w:rFonts w:ascii="KaiTi" w:hAnsi="KaiTi" w:eastAsia="KaiTi" w:cs="KaiTi"/>
          <w:sz w:val="31"/>
          <w:szCs w:val="31"/>
          <w:b/>
          <w:bCs/>
          <w:spacing w:val="6"/>
        </w:rPr>
        <w:t>第四百三十七条</w:t>
      </w:r>
      <w:r>
        <w:rPr>
          <w:rFonts w:ascii="KaiTi" w:hAnsi="KaiTi" w:eastAsia="KaiTi" w:cs="KaiTi"/>
          <w:sz w:val="31"/>
          <w:szCs w:val="31"/>
          <w:spacing w:val="6"/>
        </w:rPr>
        <w:t xml:space="preserve">  </w:t>
      </w:r>
      <w:r>
        <w:rPr>
          <w:rFonts w:ascii="KaiTi" w:hAnsi="KaiTi" w:eastAsia="KaiTi" w:cs="KaiTi"/>
          <w:sz w:val="31"/>
          <w:szCs w:val="31"/>
          <w:b/>
          <w:bCs/>
          <w:spacing w:val="6"/>
        </w:rPr>
        <w:t>集中式供水单位安排未取得体检合格证的人员从事直接供、管水工作或安排</w:t>
      </w:r>
      <w:r>
        <w:rPr>
          <w:rFonts w:ascii="KaiTi" w:hAnsi="KaiTi" w:eastAsia="KaiTi" w:cs="KaiTi"/>
          <w:sz w:val="31"/>
          <w:szCs w:val="31"/>
          <w:spacing w:val="12"/>
        </w:rPr>
        <w:t xml:space="preserve"> </w:t>
      </w:r>
      <w:r>
        <w:rPr>
          <w:rFonts w:ascii="KaiTi" w:hAnsi="KaiTi" w:eastAsia="KaiTi" w:cs="KaiTi"/>
          <w:sz w:val="31"/>
          <w:szCs w:val="31"/>
          <w:b/>
          <w:bCs/>
          <w:spacing w:val="7"/>
        </w:rPr>
        <w:t>患有有碍饮用水卫生疾病的或病原携带者从事直接供</w:t>
      </w:r>
      <w:r>
        <w:rPr>
          <w:rFonts w:ascii="KaiTi" w:hAnsi="KaiTi" w:eastAsia="KaiTi" w:cs="KaiTi"/>
          <w:sz w:val="31"/>
          <w:szCs w:val="31"/>
          <w:b/>
          <w:bCs/>
          <w:spacing w:val="6"/>
        </w:rPr>
        <w:t>、管水工作的</w:t>
      </w:r>
    </w:p>
    <w:p>
      <w:pPr>
        <w:ind w:left="764"/>
        <w:spacing w:before="46" w:line="224" w:lineRule="auto"/>
        <w:rPr>
          <w:rFonts w:ascii="KaiTi" w:hAnsi="KaiTi" w:eastAsia="KaiTi" w:cs="KaiTi"/>
          <w:sz w:val="27"/>
          <w:szCs w:val="27"/>
        </w:rPr>
      </w:pPr>
      <w:r>
        <w:rPr>
          <w:rFonts w:ascii="KaiTi" w:hAnsi="KaiTi" w:eastAsia="KaiTi" w:cs="KaiTi"/>
          <w:sz w:val="27"/>
          <w:szCs w:val="27"/>
          <w:spacing w:val="27"/>
        </w:rPr>
        <w:t>法律依据：</w:t>
      </w:r>
    </w:p>
    <w:p>
      <w:pPr>
        <w:ind w:left="124" w:right="95" w:firstLine="604"/>
        <w:spacing w:before="42" w:line="255" w:lineRule="auto"/>
        <w:jc w:val="both"/>
        <w:rPr>
          <w:rFonts w:ascii="FangSong" w:hAnsi="FangSong" w:eastAsia="FangSong" w:cs="FangSong"/>
          <w:sz w:val="27"/>
          <w:szCs w:val="27"/>
        </w:rPr>
      </w:pPr>
      <w:r>
        <w:rPr>
          <w:rFonts w:ascii="FangSong" w:hAnsi="FangSong" w:eastAsia="FangSong" w:cs="FangSong"/>
          <w:sz w:val="31"/>
          <w:szCs w:val="31"/>
          <w:spacing w:val="8"/>
        </w:rPr>
        <w:t>《生活饮用水卫生监督管理办法》第二十五条</w:t>
      </w:r>
      <w:r>
        <w:rPr>
          <w:rFonts w:ascii="FangSong" w:hAnsi="FangSong" w:eastAsia="FangSong" w:cs="FangSong"/>
          <w:sz w:val="31"/>
          <w:szCs w:val="31"/>
          <w:spacing w:val="8"/>
        </w:rPr>
        <w:t xml:space="preserve">  </w:t>
      </w:r>
      <w:r>
        <w:rPr>
          <w:rFonts w:ascii="FangSong" w:hAnsi="FangSong" w:eastAsia="FangSong" w:cs="FangSong"/>
          <w:sz w:val="31"/>
          <w:szCs w:val="31"/>
          <w:spacing w:val="7"/>
        </w:rPr>
        <w:t>集中式供水单位安排未取得体检合格证的人员从</w:t>
      </w:r>
      <w:r>
        <w:rPr>
          <w:rFonts w:ascii="FangSong" w:hAnsi="FangSong" w:eastAsia="FangSong" w:cs="FangSong"/>
          <w:sz w:val="31"/>
          <w:szCs w:val="31"/>
        </w:rPr>
        <w:t xml:space="preserve"> </w:t>
      </w:r>
      <w:r>
        <w:rPr>
          <w:rFonts w:ascii="FangSong" w:hAnsi="FangSong" w:eastAsia="FangSong" w:cs="FangSong"/>
          <w:sz w:val="31"/>
          <w:szCs w:val="31"/>
          <w:spacing w:val="6"/>
        </w:rPr>
        <w:t>事直接供、管水工作或安排患有有碍饮用水卫生疾病的或病原携带者从事直接供、管水工作的，县级</w:t>
      </w:r>
      <w:r>
        <w:rPr>
          <w:rFonts w:ascii="FangSong" w:hAnsi="FangSong" w:eastAsia="FangSong" w:cs="FangSong"/>
          <w:sz w:val="31"/>
          <w:szCs w:val="31"/>
          <w:spacing w:val="18"/>
        </w:rPr>
        <w:t xml:space="preserve"> </w:t>
      </w:r>
      <w:r>
        <w:rPr>
          <w:rFonts w:ascii="FangSong" w:hAnsi="FangSong" w:eastAsia="FangSong" w:cs="FangSong"/>
          <w:sz w:val="31"/>
          <w:szCs w:val="31"/>
          <w:spacing w:val="13"/>
        </w:rPr>
        <w:t>以上地方人民政府卫生计生主管部门应当责令限期改进，并可对供水单位处以20元以上10</w:t>
      </w:r>
      <w:r>
        <w:rPr>
          <w:rFonts w:ascii="FangSong" w:hAnsi="FangSong" w:eastAsia="FangSong" w:cs="FangSong"/>
          <w:sz w:val="31"/>
          <w:szCs w:val="31"/>
          <w:spacing w:val="12"/>
        </w:rPr>
        <w:t>00元以下</w:t>
      </w:r>
      <w:r>
        <w:rPr>
          <w:rFonts w:ascii="FangSong" w:hAnsi="FangSong" w:eastAsia="FangSong" w:cs="FangSong"/>
          <w:sz w:val="31"/>
          <w:szCs w:val="31"/>
        </w:rPr>
        <w:t xml:space="preserve"> </w:t>
      </w:r>
      <w:r>
        <w:rPr>
          <w:rFonts w:ascii="FangSong" w:hAnsi="FangSong" w:eastAsia="FangSong" w:cs="FangSong"/>
          <w:sz w:val="27"/>
          <w:szCs w:val="27"/>
          <w:spacing w:val="26"/>
        </w:rPr>
        <w:t>的罚款。</w:t>
      </w:r>
    </w:p>
    <w:p>
      <w:pPr>
        <w:spacing w:line="132" w:lineRule="exact"/>
        <w:rPr/>
      </w:pPr>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13"/>
        <w:gridCol w:w="7864"/>
        <w:gridCol w:w="4382"/>
      </w:tblGrid>
      <w:tr>
        <w:trPr>
          <w:trHeight w:val="543" w:hRule="atLeast"/>
        </w:trPr>
        <w:tc>
          <w:tcPr>
            <w:tcW w:w="1913" w:type="dxa"/>
            <w:vAlign w:val="top"/>
          </w:tcPr>
          <w:p>
            <w:pPr>
              <w:pStyle w:val="TableText"/>
              <w:ind w:left="358"/>
              <w:spacing w:before="15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864" w:type="dxa"/>
            <w:vAlign w:val="top"/>
          </w:tcPr>
          <w:p>
            <w:pPr>
              <w:pStyle w:val="TableText"/>
              <w:ind w:left="3445"/>
              <w:spacing w:before="152" w:line="220" w:lineRule="auto"/>
              <w:rPr/>
            </w:pPr>
            <w:r>
              <w:rPr>
                <w:b/>
                <w:bCs/>
                <w:spacing w:val="-5"/>
              </w:rPr>
              <w:t>情节后果</w:t>
            </w:r>
          </w:p>
        </w:tc>
        <w:tc>
          <w:tcPr>
            <w:tcW w:w="4382" w:type="dxa"/>
            <w:vAlign w:val="top"/>
          </w:tcPr>
          <w:p>
            <w:pPr>
              <w:pStyle w:val="TableText"/>
              <w:ind w:left="1621"/>
              <w:spacing w:before="14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98" w:hRule="atLeast"/>
        </w:trPr>
        <w:tc>
          <w:tcPr>
            <w:tcW w:w="1913" w:type="dxa"/>
            <w:vAlign w:val="top"/>
          </w:tcPr>
          <w:p>
            <w:pPr>
              <w:pStyle w:val="TableText"/>
              <w:ind w:left="94"/>
              <w:spacing w:before="232" w:line="219" w:lineRule="auto"/>
              <w:rPr/>
            </w:pPr>
            <w:r>
              <w:rPr>
                <w:spacing w:val="-3"/>
              </w:rPr>
              <w:t>较轻</w:t>
            </w:r>
          </w:p>
        </w:tc>
        <w:tc>
          <w:tcPr>
            <w:tcW w:w="7864" w:type="dxa"/>
            <w:vAlign w:val="top"/>
          </w:tcPr>
          <w:p>
            <w:pPr>
              <w:pStyle w:val="TableText"/>
              <w:ind w:left="101"/>
              <w:spacing w:before="230" w:line="219" w:lineRule="auto"/>
              <w:rPr/>
            </w:pPr>
            <w:r>
              <w:rPr/>
              <w:t>安排3名以下未取得体检合格证明人员从事直接供、管水工作的</w:t>
            </w:r>
          </w:p>
        </w:tc>
        <w:tc>
          <w:tcPr>
            <w:tcW w:w="4382" w:type="dxa"/>
            <w:vAlign w:val="top"/>
          </w:tcPr>
          <w:p>
            <w:pPr>
              <w:pStyle w:val="TableText"/>
              <w:ind w:left="128"/>
              <w:spacing w:before="232" w:line="220" w:lineRule="auto"/>
              <w:rPr/>
            </w:pPr>
            <w:r>
              <w:rPr>
                <w:spacing w:val="1"/>
              </w:rPr>
              <w:t>罚款20元以上350元以下</w:t>
            </w:r>
          </w:p>
        </w:tc>
      </w:tr>
      <w:tr>
        <w:trPr>
          <w:trHeight w:val="678" w:hRule="atLeast"/>
        </w:trPr>
        <w:tc>
          <w:tcPr>
            <w:tcW w:w="1913" w:type="dxa"/>
            <w:vAlign w:val="top"/>
          </w:tcPr>
          <w:p>
            <w:pPr>
              <w:pStyle w:val="TableText"/>
              <w:ind w:left="94"/>
              <w:spacing w:before="225" w:line="221" w:lineRule="auto"/>
              <w:rPr/>
            </w:pPr>
            <w:r>
              <w:rPr>
                <w:spacing w:val="5"/>
              </w:rPr>
              <w:t>一般</w:t>
            </w:r>
          </w:p>
        </w:tc>
        <w:tc>
          <w:tcPr>
            <w:tcW w:w="7864" w:type="dxa"/>
            <w:vAlign w:val="top"/>
          </w:tcPr>
          <w:p>
            <w:pPr>
              <w:pStyle w:val="TableText"/>
              <w:ind w:left="201"/>
              <w:spacing w:before="222" w:line="219" w:lineRule="auto"/>
              <w:rPr/>
            </w:pPr>
            <w:r>
              <w:rPr/>
              <w:t>安排3名以上5名以下未取得体检合格证明人员从事直接供、管水工作的</w:t>
            </w:r>
          </w:p>
        </w:tc>
        <w:tc>
          <w:tcPr>
            <w:tcW w:w="4382" w:type="dxa"/>
            <w:vAlign w:val="top"/>
          </w:tcPr>
          <w:p>
            <w:pPr>
              <w:pStyle w:val="TableText"/>
              <w:ind w:left="128"/>
              <w:spacing w:before="224" w:line="220" w:lineRule="auto"/>
              <w:rPr/>
            </w:pPr>
            <w:r>
              <w:rPr>
                <w:spacing w:val="1"/>
              </w:rPr>
              <w:t>罚款350元以上700元以下</w:t>
            </w:r>
          </w:p>
        </w:tc>
      </w:tr>
      <w:tr>
        <w:trPr>
          <w:trHeight w:val="1650" w:hRule="atLeast"/>
        </w:trPr>
        <w:tc>
          <w:tcPr>
            <w:tcW w:w="1913" w:type="dxa"/>
            <w:vAlign w:val="top"/>
          </w:tcPr>
          <w:p>
            <w:pPr>
              <w:spacing w:line="318" w:lineRule="auto"/>
              <w:rPr>
                <w:rFonts w:ascii="Arial"/>
                <w:sz w:val="21"/>
              </w:rPr>
            </w:pPr>
            <w:r/>
          </w:p>
          <w:p>
            <w:pPr>
              <w:spacing w:line="319" w:lineRule="auto"/>
              <w:rPr>
                <w:rFonts w:ascii="Arial"/>
                <w:sz w:val="21"/>
              </w:rPr>
            </w:pPr>
            <w:r/>
          </w:p>
          <w:p>
            <w:pPr>
              <w:pStyle w:val="TableText"/>
              <w:ind w:left="94"/>
              <w:spacing w:before="78" w:line="221" w:lineRule="auto"/>
              <w:rPr/>
            </w:pPr>
            <w:r>
              <w:rPr>
                <w:spacing w:val="5"/>
              </w:rPr>
              <w:t>较重</w:t>
            </w:r>
          </w:p>
        </w:tc>
        <w:tc>
          <w:tcPr>
            <w:tcW w:w="7864" w:type="dxa"/>
            <w:vAlign w:val="top"/>
          </w:tcPr>
          <w:p>
            <w:pPr>
              <w:pStyle w:val="TableText"/>
              <w:ind w:left="81" w:right="62" w:firstLine="60"/>
              <w:spacing w:before="202" w:line="268" w:lineRule="auto"/>
              <w:jc w:val="both"/>
              <w:rPr/>
            </w:pPr>
            <w:r>
              <w:rPr/>
              <w:t>安排5名以上未取得体检合格证明人员从事直接供、管水工作，或在未取</w:t>
            </w:r>
            <w:r>
              <w:rPr>
                <w:spacing w:val="10"/>
              </w:rPr>
              <w:t xml:space="preserve"> </w:t>
            </w:r>
            <w:r>
              <w:rPr>
                <w:spacing w:val="1"/>
              </w:rPr>
              <w:t>得体检合格证明的从事直接供、管水工作人员中经体检发现患有</w:t>
            </w:r>
            <w:r>
              <w:rPr/>
              <w:t>有碍饮用 </w:t>
            </w:r>
            <w:r>
              <w:rPr/>
              <w:t>水卫生疾病者或病原携带者，或安排明知患有有碍饮用水卫生疾病的或病</w:t>
            </w:r>
            <w:r>
              <w:rPr>
                <w:spacing w:val="15"/>
              </w:rPr>
              <w:t xml:space="preserve"> </w:t>
            </w:r>
            <w:r>
              <w:rPr>
                <w:spacing w:val="2"/>
              </w:rPr>
              <w:t>原携带者从事直接供、管水工作的</w:t>
            </w:r>
          </w:p>
        </w:tc>
        <w:tc>
          <w:tcPr>
            <w:tcW w:w="4382" w:type="dxa"/>
            <w:vAlign w:val="top"/>
          </w:tcPr>
          <w:p>
            <w:pPr>
              <w:spacing w:line="317" w:lineRule="auto"/>
              <w:rPr>
                <w:rFonts w:ascii="Arial"/>
                <w:sz w:val="21"/>
              </w:rPr>
            </w:pPr>
            <w:r/>
          </w:p>
          <w:p>
            <w:pPr>
              <w:spacing w:line="317" w:lineRule="auto"/>
              <w:rPr>
                <w:rFonts w:ascii="Arial"/>
                <w:sz w:val="21"/>
              </w:rPr>
            </w:pPr>
            <w:r/>
          </w:p>
          <w:p>
            <w:pPr>
              <w:pStyle w:val="TableText"/>
              <w:ind w:left="128"/>
              <w:spacing w:before="78" w:line="220" w:lineRule="auto"/>
              <w:rPr/>
            </w:pPr>
            <w:r>
              <w:rPr>
                <w:spacing w:val="1"/>
              </w:rPr>
              <w:t>罚款700元以上1000元以下</w:t>
            </w:r>
          </w:p>
        </w:tc>
      </w:tr>
    </w:tbl>
    <w:p>
      <w:pPr>
        <w:pStyle w:val="BodyText"/>
        <w:rPr/>
      </w:pPr>
      <w:r/>
    </w:p>
    <w:p>
      <w:pPr>
        <w:sectPr>
          <w:footerReference w:type="default" r:id="rId464"/>
          <w:pgSz w:w="16830" w:h="11900"/>
          <w:pgMar w:top="1011" w:right="1335" w:bottom="1117" w:left="1325" w:header="0" w:footer="784" w:gutter="0"/>
        </w:sectPr>
        <w:rPr/>
      </w:pPr>
    </w:p>
    <w:p>
      <w:pPr>
        <w:pStyle w:val="BodyText"/>
        <w:spacing w:line="251" w:lineRule="auto"/>
        <w:rPr/>
      </w:pPr>
      <w:r/>
    </w:p>
    <w:p>
      <w:pPr>
        <w:pStyle w:val="BodyText"/>
        <w:spacing w:line="251" w:lineRule="auto"/>
        <w:rPr/>
      </w:pPr>
      <w:r/>
    </w:p>
    <w:p>
      <w:pPr>
        <w:pStyle w:val="BodyText"/>
        <w:spacing w:line="252" w:lineRule="auto"/>
        <w:rPr/>
      </w:pPr>
      <w:r/>
    </w:p>
    <w:p>
      <w:pPr>
        <w:ind w:left="779"/>
        <w:spacing w:before="101" w:line="219" w:lineRule="auto"/>
        <w:outlineLvl w:val="2"/>
        <w:rPr>
          <w:rFonts w:ascii="FangSong" w:hAnsi="FangSong" w:eastAsia="FangSong" w:cs="FangSong"/>
          <w:sz w:val="31"/>
          <w:szCs w:val="31"/>
        </w:rPr>
      </w:pPr>
      <w:bookmarkStart w:name="bookmark1109" w:id="483"/>
      <w:bookmarkEnd w:id="483"/>
      <w:bookmarkStart w:name="bookmark504" w:id="484"/>
      <w:bookmarkEnd w:id="484"/>
      <w:r>
        <w:rPr>
          <w:rFonts w:ascii="FangSong" w:hAnsi="FangSong" w:eastAsia="FangSong" w:cs="FangSong"/>
          <w:sz w:val="31"/>
          <w:szCs w:val="31"/>
          <w:b/>
          <w:bCs/>
          <w:spacing w:val="11"/>
        </w:rPr>
        <w:t>第四百三十八条在饮用水水源保护区修建危害水源水质卫生的设施或进行有碍水</w:t>
      </w:r>
      <w:r>
        <w:rPr>
          <w:rFonts w:ascii="FangSong" w:hAnsi="FangSong" w:eastAsia="FangSong" w:cs="FangSong"/>
          <w:sz w:val="31"/>
          <w:szCs w:val="31"/>
          <w:b/>
          <w:bCs/>
          <w:spacing w:val="10"/>
        </w:rPr>
        <w:t>源水质卫生</w:t>
      </w:r>
    </w:p>
    <w:p>
      <w:pPr>
        <w:ind w:left="109"/>
        <w:spacing w:before="103" w:line="220" w:lineRule="auto"/>
        <w:rPr>
          <w:rFonts w:ascii="FangSong" w:hAnsi="FangSong" w:eastAsia="FangSong" w:cs="FangSong"/>
          <w:sz w:val="31"/>
          <w:szCs w:val="31"/>
        </w:rPr>
      </w:pPr>
      <w:r>
        <w:rPr>
          <w:rFonts w:ascii="FangSong" w:hAnsi="FangSong" w:eastAsia="FangSong" w:cs="FangSong"/>
          <w:sz w:val="31"/>
          <w:szCs w:val="31"/>
          <w:b/>
          <w:bCs/>
        </w:rPr>
        <w:t>作业的</w:t>
      </w:r>
    </w:p>
    <w:p>
      <w:pPr>
        <w:ind w:left="774"/>
        <w:spacing w:before="117"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104" w:firstLine="635"/>
        <w:spacing w:before="65" w:line="260" w:lineRule="auto"/>
        <w:rPr>
          <w:rFonts w:ascii="FangSong" w:hAnsi="FangSong" w:eastAsia="FangSong" w:cs="FangSong"/>
          <w:sz w:val="31"/>
          <w:szCs w:val="31"/>
        </w:rPr>
      </w:pPr>
      <w:r>
        <w:rPr>
          <w:rFonts w:ascii="FangSong" w:hAnsi="FangSong" w:eastAsia="FangSong" w:cs="FangSong"/>
          <w:sz w:val="31"/>
          <w:szCs w:val="31"/>
          <w:spacing w:val="10"/>
        </w:rPr>
        <w:t>《生活饮用水卫生监督管理办法》第二十六条第(一</w:t>
      </w:r>
      <w:r>
        <w:rPr>
          <w:rFonts w:ascii="FangSong" w:hAnsi="FangSong" w:eastAsia="FangSong" w:cs="FangSong"/>
          <w:sz w:val="31"/>
          <w:szCs w:val="31"/>
          <w:spacing w:val="9"/>
        </w:rPr>
        <w:t>)项</w:t>
      </w:r>
      <w:r>
        <w:rPr>
          <w:rFonts w:ascii="FangSong" w:hAnsi="FangSong" w:eastAsia="FangSong" w:cs="FangSong"/>
          <w:sz w:val="31"/>
          <w:szCs w:val="31"/>
          <w:spacing w:val="9"/>
        </w:rPr>
        <w:t xml:space="preserve">  </w:t>
      </w:r>
      <w:r>
        <w:rPr>
          <w:rFonts w:ascii="FangSong" w:hAnsi="FangSong" w:eastAsia="FangSong" w:cs="FangSong"/>
          <w:sz w:val="31"/>
          <w:szCs w:val="31"/>
          <w:spacing w:val="9"/>
        </w:rPr>
        <w:t>违反本办法规定，有下列情形之一的，</w:t>
      </w:r>
      <w:r>
        <w:rPr>
          <w:rFonts w:ascii="FangSong" w:hAnsi="FangSong" w:eastAsia="FangSong" w:cs="FangSong"/>
          <w:sz w:val="31"/>
          <w:szCs w:val="31"/>
        </w:rPr>
        <w:t xml:space="preserve"> </w:t>
      </w:r>
      <w:r>
        <w:rPr>
          <w:rFonts w:ascii="FangSong" w:hAnsi="FangSong" w:eastAsia="FangSong" w:cs="FangSong"/>
          <w:sz w:val="31"/>
          <w:szCs w:val="31"/>
          <w:spacing w:val="15"/>
        </w:rPr>
        <w:t>县级以上地方人民政府卫生行政部门应当责令限期改进</w:t>
      </w:r>
      <w:r>
        <w:rPr>
          <w:rFonts w:ascii="FangSong" w:hAnsi="FangSong" w:eastAsia="FangSong" w:cs="FangSong"/>
          <w:sz w:val="31"/>
          <w:szCs w:val="31"/>
          <w:spacing w:val="14"/>
        </w:rPr>
        <w:t>，并可处以20元以上5000元以下的罚款：</w:t>
      </w:r>
    </w:p>
    <w:p>
      <w:pPr>
        <w:ind w:left="6518" w:right="370" w:hanging="5624"/>
        <w:spacing w:before="3" w:line="289" w:lineRule="auto"/>
        <w:rPr>
          <w:rFonts w:ascii="SimSun" w:hAnsi="SimSun" w:eastAsia="SimSun" w:cs="SimSun"/>
          <w:sz w:val="29"/>
          <w:szCs w:val="29"/>
        </w:rPr>
      </w:pPr>
      <w:r>
        <w:rPr>
          <w:rFonts w:ascii="FangSong" w:hAnsi="FangSong" w:eastAsia="FangSong" w:cs="FangSong"/>
          <w:sz w:val="31"/>
          <w:szCs w:val="31"/>
          <w:spacing w:val="13"/>
        </w:rPr>
        <w:t>(一)在饮用水水源保护区修建危害水源水质卫</w:t>
      </w:r>
      <w:r>
        <w:rPr>
          <w:rFonts w:ascii="FangSong" w:hAnsi="FangSong" w:eastAsia="FangSong" w:cs="FangSong"/>
          <w:sz w:val="31"/>
          <w:szCs w:val="31"/>
          <w:spacing w:val="12"/>
        </w:rPr>
        <w:t>生的设施或进行有碍水源水质卫生的作业的；</w:t>
      </w:r>
      <w:r>
        <w:rPr>
          <w:rFonts w:ascii="FangSong" w:hAnsi="FangSong" w:eastAsia="FangSong" w:cs="FangSong"/>
          <w:sz w:val="31"/>
          <w:szCs w:val="31"/>
        </w:rPr>
        <w:t xml:space="preserve"> </w:t>
      </w:r>
      <w:r>
        <w:rPr>
          <w:rFonts w:ascii="SimSun" w:hAnsi="SimSun" w:eastAsia="SimSun" w:cs="SimSun"/>
          <w:sz w:val="29"/>
          <w:szCs w:val="29"/>
          <w:b/>
          <w:bCs/>
          <w:spacing w:val="-6"/>
        </w:rPr>
        <w:t>裁量标准</w:t>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13"/>
        <w:gridCol w:w="9004"/>
        <w:gridCol w:w="3242"/>
      </w:tblGrid>
      <w:tr>
        <w:trPr>
          <w:trHeight w:val="564" w:hRule="atLeast"/>
        </w:trPr>
        <w:tc>
          <w:tcPr>
            <w:tcW w:w="1913" w:type="dxa"/>
            <w:vAlign w:val="top"/>
          </w:tcPr>
          <w:p>
            <w:pPr>
              <w:pStyle w:val="TableText"/>
              <w:ind w:left="378"/>
              <w:spacing w:before="162" w:line="220" w:lineRule="auto"/>
              <w:rPr>
                <w:sz w:val="25"/>
                <w:szCs w:val="25"/>
              </w:rPr>
            </w:pPr>
            <w:r>
              <w:rPr>
                <w:sz w:val="25"/>
                <w:szCs w:val="25"/>
                <w:b/>
                <w:bCs/>
                <w:spacing w:val="-5"/>
              </w:rPr>
              <w:t>违法程度</w:t>
            </w:r>
          </w:p>
        </w:tc>
        <w:tc>
          <w:tcPr>
            <w:tcW w:w="9004" w:type="dxa"/>
            <w:vAlign w:val="top"/>
          </w:tcPr>
          <w:p>
            <w:pPr>
              <w:pStyle w:val="TableText"/>
              <w:ind w:left="3995"/>
              <w:spacing w:before="162" w:line="220" w:lineRule="auto"/>
              <w:rPr>
                <w:sz w:val="25"/>
                <w:szCs w:val="25"/>
              </w:rPr>
            </w:pPr>
            <w:r>
              <w:rPr>
                <w:sz w:val="25"/>
                <w:szCs w:val="25"/>
                <w:b/>
                <w:bCs/>
                <w:spacing w:val="-5"/>
              </w:rPr>
              <w:t>情节后果</w:t>
            </w:r>
          </w:p>
        </w:tc>
        <w:tc>
          <w:tcPr>
            <w:tcW w:w="3242" w:type="dxa"/>
            <w:vAlign w:val="top"/>
          </w:tcPr>
          <w:p>
            <w:pPr>
              <w:pStyle w:val="TableText"/>
              <w:ind w:left="1121"/>
              <w:spacing w:before="159" w:line="218" w:lineRule="auto"/>
              <w:rPr>
                <w:sz w:val="25"/>
                <w:szCs w:val="25"/>
              </w:rPr>
            </w:pPr>
            <w:r>
              <w:rPr>
                <w:sz w:val="25"/>
                <w:szCs w:val="25"/>
                <w:b/>
                <w:bCs/>
                <w:spacing w:val="-5"/>
              </w:rPr>
              <w:t>裁量幅度</w:t>
            </w:r>
          </w:p>
        </w:tc>
      </w:tr>
      <w:tr>
        <w:trPr>
          <w:trHeight w:val="1007" w:hRule="atLeast"/>
        </w:trPr>
        <w:tc>
          <w:tcPr>
            <w:tcW w:w="1913" w:type="dxa"/>
            <w:vAlign w:val="top"/>
          </w:tcPr>
          <w:p>
            <w:pPr>
              <w:spacing w:line="298" w:lineRule="auto"/>
              <w:rPr>
                <w:rFonts w:ascii="Arial"/>
                <w:sz w:val="21"/>
              </w:rPr>
            </w:pPr>
            <w:r/>
          </w:p>
          <w:p>
            <w:pPr>
              <w:pStyle w:val="TableText"/>
              <w:ind w:left="94"/>
              <w:spacing w:before="81" w:line="219" w:lineRule="auto"/>
              <w:rPr>
                <w:sz w:val="25"/>
                <w:szCs w:val="25"/>
              </w:rPr>
            </w:pPr>
            <w:r>
              <w:rPr>
                <w:sz w:val="25"/>
                <w:szCs w:val="25"/>
                <w:color w:val="404040"/>
                <w:spacing w:val="-3"/>
              </w:rPr>
              <w:t>较轻</w:t>
            </w:r>
          </w:p>
        </w:tc>
        <w:tc>
          <w:tcPr>
            <w:tcW w:w="9004" w:type="dxa"/>
            <w:vAlign w:val="top"/>
          </w:tcPr>
          <w:p>
            <w:pPr>
              <w:pStyle w:val="TableText"/>
              <w:ind w:left="11"/>
              <w:spacing w:before="62" w:line="230" w:lineRule="auto"/>
              <w:jc w:val="both"/>
              <w:rPr>
                <w:sz w:val="25"/>
                <w:szCs w:val="25"/>
              </w:rPr>
            </w:pPr>
            <w:r>
              <w:rPr>
                <w:sz w:val="25"/>
                <w:szCs w:val="25"/>
                <w:spacing w:val="-1"/>
              </w:rPr>
              <w:t>在饮用水水源保护区修建危害水源水质卫生的设施或进行有碍水源水质卫生的作业</w:t>
            </w:r>
            <w:r>
              <w:rPr>
                <w:sz w:val="25"/>
                <w:szCs w:val="25"/>
                <w:spacing w:val="17"/>
              </w:rPr>
              <w:t xml:space="preserve"> </w:t>
            </w:r>
            <w:r>
              <w:rPr>
                <w:sz w:val="25"/>
                <w:szCs w:val="25"/>
                <w:spacing w:val="-4"/>
              </w:rPr>
              <w:t>的持续时间1个月以下，经发现后立即停止并改进，且未造成水源水实质性水质污染</w:t>
            </w:r>
            <w:r>
              <w:rPr>
                <w:sz w:val="25"/>
                <w:szCs w:val="25"/>
                <w:spacing w:val="3"/>
              </w:rPr>
              <w:t xml:space="preserve"> </w:t>
            </w:r>
            <w:r>
              <w:rPr>
                <w:sz w:val="25"/>
                <w:szCs w:val="25"/>
                <w:spacing w:val="59"/>
              </w:rPr>
              <w:t>的</w:t>
            </w:r>
          </w:p>
        </w:tc>
        <w:tc>
          <w:tcPr>
            <w:tcW w:w="3242" w:type="dxa"/>
            <w:vAlign w:val="top"/>
          </w:tcPr>
          <w:p>
            <w:pPr>
              <w:spacing w:line="298" w:lineRule="auto"/>
              <w:rPr>
                <w:rFonts w:ascii="Arial"/>
                <w:sz w:val="21"/>
              </w:rPr>
            </w:pPr>
            <w:r/>
          </w:p>
          <w:p>
            <w:pPr>
              <w:pStyle w:val="TableText"/>
              <w:ind w:left="237"/>
              <w:spacing w:before="82" w:line="220" w:lineRule="auto"/>
              <w:rPr>
                <w:sz w:val="25"/>
                <w:szCs w:val="25"/>
              </w:rPr>
            </w:pPr>
            <w:r>
              <w:rPr>
                <w:sz w:val="25"/>
                <w:szCs w:val="25"/>
                <w:spacing w:val="1"/>
              </w:rPr>
              <w:t>罚款20元以上1500元以下</w:t>
            </w:r>
          </w:p>
        </w:tc>
      </w:tr>
      <w:tr>
        <w:trPr>
          <w:trHeight w:val="1017" w:hRule="atLeast"/>
        </w:trPr>
        <w:tc>
          <w:tcPr>
            <w:tcW w:w="1913" w:type="dxa"/>
            <w:vAlign w:val="top"/>
          </w:tcPr>
          <w:p>
            <w:pPr>
              <w:spacing w:line="312" w:lineRule="auto"/>
              <w:rPr>
                <w:rFonts w:ascii="Arial"/>
                <w:sz w:val="21"/>
              </w:rPr>
            </w:pPr>
            <w:r/>
          </w:p>
          <w:p>
            <w:pPr>
              <w:pStyle w:val="TableText"/>
              <w:ind w:left="94"/>
              <w:spacing w:before="81" w:line="221" w:lineRule="auto"/>
              <w:rPr>
                <w:sz w:val="25"/>
                <w:szCs w:val="25"/>
              </w:rPr>
            </w:pPr>
            <w:r>
              <w:rPr>
                <w:sz w:val="25"/>
                <w:szCs w:val="25"/>
                <w:spacing w:val="5"/>
              </w:rPr>
              <w:t>一般</w:t>
            </w:r>
          </w:p>
        </w:tc>
        <w:tc>
          <w:tcPr>
            <w:tcW w:w="9004" w:type="dxa"/>
            <w:vAlign w:val="top"/>
          </w:tcPr>
          <w:p>
            <w:pPr>
              <w:pStyle w:val="TableText"/>
              <w:ind w:left="11"/>
              <w:spacing w:before="52" w:line="235" w:lineRule="auto"/>
              <w:jc w:val="both"/>
              <w:rPr>
                <w:sz w:val="25"/>
                <w:szCs w:val="25"/>
              </w:rPr>
            </w:pPr>
            <w:r>
              <w:rPr>
                <w:sz w:val="25"/>
                <w:szCs w:val="25"/>
                <w:spacing w:val="-1"/>
              </w:rPr>
              <w:t>在饮用水水源保护区修建危害水源水质卫生的设施或进行有碍水源水质卫生的作业</w:t>
            </w:r>
            <w:r>
              <w:rPr>
                <w:sz w:val="25"/>
                <w:szCs w:val="25"/>
              </w:rPr>
              <w:t xml:space="preserve"> </w:t>
            </w:r>
            <w:r>
              <w:rPr>
                <w:sz w:val="25"/>
                <w:szCs w:val="25"/>
                <w:spacing w:val="-1"/>
              </w:rPr>
              <w:t>的持续时间1个月以上3个月以下，经发现后立即停止并改进，且未造成水源水实质</w:t>
            </w:r>
            <w:r>
              <w:rPr>
                <w:sz w:val="25"/>
                <w:szCs w:val="25"/>
                <w:spacing w:val="18"/>
              </w:rPr>
              <w:t xml:space="preserve"> </w:t>
            </w:r>
            <w:r>
              <w:rPr>
                <w:sz w:val="25"/>
                <w:szCs w:val="25"/>
                <w:spacing w:val="19"/>
              </w:rPr>
              <w:t>性水质污染的</w:t>
            </w:r>
          </w:p>
        </w:tc>
        <w:tc>
          <w:tcPr>
            <w:tcW w:w="3242" w:type="dxa"/>
            <w:vAlign w:val="top"/>
          </w:tcPr>
          <w:p>
            <w:pPr>
              <w:spacing w:line="311" w:lineRule="auto"/>
              <w:rPr>
                <w:rFonts w:ascii="Arial"/>
                <w:sz w:val="21"/>
              </w:rPr>
            </w:pPr>
            <w:r/>
          </w:p>
          <w:p>
            <w:pPr>
              <w:pStyle w:val="TableText"/>
              <w:ind w:left="117"/>
              <w:spacing w:before="82" w:line="220" w:lineRule="auto"/>
              <w:rPr>
                <w:sz w:val="25"/>
                <w:szCs w:val="25"/>
              </w:rPr>
            </w:pPr>
            <w:r>
              <w:rPr>
                <w:sz w:val="25"/>
                <w:szCs w:val="25"/>
                <w:spacing w:val="1"/>
              </w:rPr>
              <w:t>罚款1500元以上3500元以下</w:t>
            </w:r>
          </w:p>
        </w:tc>
      </w:tr>
      <w:tr>
        <w:trPr>
          <w:trHeight w:val="932" w:hRule="atLeast"/>
        </w:trPr>
        <w:tc>
          <w:tcPr>
            <w:tcW w:w="1913" w:type="dxa"/>
            <w:vAlign w:val="top"/>
          </w:tcPr>
          <w:p>
            <w:pPr>
              <w:spacing w:line="267" w:lineRule="auto"/>
              <w:rPr>
                <w:rFonts w:ascii="Arial"/>
                <w:sz w:val="21"/>
              </w:rPr>
            </w:pPr>
            <w:r/>
          </w:p>
          <w:p>
            <w:pPr>
              <w:pStyle w:val="TableText"/>
              <w:ind w:left="94"/>
              <w:spacing w:before="82" w:line="221" w:lineRule="auto"/>
              <w:rPr>
                <w:sz w:val="25"/>
                <w:szCs w:val="25"/>
              </w:rPr>
            </w:pPr>
            <w:r>
              <w:rPr>
                <w:sz w:val="25"/>
                <w:szCs w:val="25"/>
                <w:spacing w:val="5"/>
              </w:rPr>
              <w:t>较重</w:t>
            </w:r>
          </w:p>
        </w:tc>
        <w:tc>
          <w:tcPr>
            <w:tcW w:w="9004" w:type="dxa"/>
            <w:vAlign w:val="top"/>
          </w:tcPr>
          <w:p>
            <w:pPr>
              <w:pStyle w:val="TableText"/>
              <w:ind w:left="11"/>
              <w:spacing w:before="187" w:line="252" w:lineRule="auto"/>
              <w:rPr>
                <w:sz w:val="25"/>
                <w:szCs w:val="25"/>
              </w:rPr>
            </w:pPr>
            <w:r>
              <w:rPr>
                <w:sz w:val="25"/>
                <w:szCs w:val="25"/>
                <w:spacing w:val="-1"/>
              </w:rPr>
              <w:t>在饮用水水源保护区修建危害水源水质卫生的设施或进行有碍水源水质卫生的作业</w:t>
            </w:r>
            <w:r>
              <w:rPr>
                <w:sz w:val="25"/>
                <w:szCs w:val="25"/>
                <w:spacing w:val="9"/>
              </w:rPr>
              <w:t xml:space="preserve"> </w:t>
            </w:r>
            <w:r>
              <w:rPr>
                <w:sz w:val="25"/>
                <w:szCs w:val="25"/>
                <w:spacing w:val="-4"/>
              </w:rPr>
              <w:t>的持续时间3个月以上，或经责令改正而拒绝改正的，或已经造成水源水水质污染的</w:t>
            </w:r>
          </w:p>
        </w:tc>
        <w:tc>
          <w:tcPr>
            <w:tcW w:w="3242" w:type="dxa"/>
            <w:vAlign w:val="top"/>
          </w:tcPr>
          <w:p>
            <w:pPr>
              <w:spacing w:line="265" w:lineRule="auto"/>
              <w:rPr>
                <w:rFonts w:ascii="Arial"/>
                <w:sz w:val="21"/>
              </w:rPr>
            </w:pPr>
            <w:r/>
          </w:p>
          <w:p>
            <w:pPr>
              <w:pStyle w:val="TableText"/>
              <w:ind w:left="117"/>
              <w:spacing w:before="81" w:line="220" w:lineRule="auto"/>
              <w:rPr>
                <w:sz w:val="25"/>
                <w:szCs w:val="25"/>
              </w:rPr>
            </w:pPr>
            <w:r>
              <w:rPr>
                <w:sz w:val="25"/>
                <w:szCs w:val="25"/>
                <w:spacing w:val="1"/>
              </w:rPr>
              <w:t>罚款3500元以上5000元以下</w:t>
            </w:r>
          </w:p>
        </w:tc>
      </w:tr>
    </w:tbl>
    <w:p>
      <w:pPr>
        <w:pStyle w:val="BodyText"/>
        <w:spacing w:line="424" w:lineRule="auto"/>
        <w:rPr/>
      </w:pPr>
      <w:r/>
    </w:p>
    <w:p>
      <w:pPr>
        <w:ind w:left="109" w:right="105" w:firstLine="665"/>
        <w:spacing w:before="101" w:line="272" w:lineRule="auto"/>
        <w:rPr>
          <w:rFonts w:ascii="FangSong" w:hAnsi="FangSong" w:eastAsia="FangSong" w:cs="FangSong"/>
          <w:sz w:val="31"/>
          <w:szCs w:val="31"/>
        </w:rPr>
      </w:pPr>
      <w:r>
        <w:rPr>
          <w:rFonts w:ascii="FangSong" w:hAnsi="FangSong" w:eastAsia="FangSong" w:cs="FangSong"/>
          <w:sz w:val="31"/>
          <w:szCs w:val="31"/>
          <w:spacing w:val="11"/>
        </w:rPr>
        <w:t>第</w:t>
      </w:r>
      <w:r>
        <w:rPr>
          <w:rFonts w:ascii="FangSong" w:hAnsi="FangSong" w:eastAsia="FangSong" w:cs="FangSong"/>
          <w:sz w:val="31"/>
          <w:szCs w:val="31"/>
          <w:b/>
          <w:bCs/>
          <w:spacing w:val="11"/>
        </w:rPr>
        <w:t>四百三十九条新建、改建、扩建的饮用水供水项目未经卫生行政部门参加选址、设计审查和</w:t>
      </w:r>
      <w:r>
        <w:rPr>
          <w:rFonts w:ascii="FangSong" w:hAnsi="FangSong" w:eastAsia="FangSong" w:cs="FangSong"/>
          <w:sz w:val="31"/>
          <w:szCs w:val="31"/>
          <w:spacing w:val="7"/>
        </w:rPr>
        <w:t xml:space="preserve"> </w:t>
      </w:r>
      <w:r>
        <w:rPr>
          <w:rFonts w:ascii="FangSong" w:hAnsi="FangSong" w:eastAsia="FangSong" w:cs="FangSong"/>
          <w:sz w:val="31"/>
          <w:szCs w:val="31"/>
          <w:b/>
          <w:bCs/>
          <w:spacing w:val="5"/>
        </w:rPr>
        <w:t>竣工验收而擅自供水的</w:t>
      </w:r>
    </w:p>
    <w:p>
      <w:pPr>
        <w:spacing w:line="272" w:lineRule="auto"/>
        <w:sectPr>
          <w:footerReference w:type="default" r:id="rId465"/>
          <w:pgSz w:w="16830" w:h="11900"/>
          <w:pgMar w:top="1011" w:right="1324" w:bottom="1117" w:left="1325" w:header="0" w:footer="784" w:gutter="0"/>
        </w:sectPr>
        <w:rPr>
          <w:rFonts w:ascii="FangSong" w:hAnsi="FangSong" w:eastAsia="FangSong" w:cs="FangSong"/>
          <w:sz w:val="31"/>
          <w:szCs w:val="31"/>
        </w:rPr>
      </w:pPr>
    </w:p>
    <w:p>
      <w:pPr>
        <w:pStyle w:val="BodyText"/>
        <w:spacing w:line="255" w:lineRule="auto"/>
        <w:rPr/>
      </w:pPr>
      <w:r/>
    </w:p>
    <w:p>
      <w:pPr>
        <w:pStyle w:val="BodyText"/>
        <w:spacing w:line="255" w:lineRule="auto"/>
        <w:rPr/>
      </w:pPr>
      <w:r/>
    </w:p>
    <w:p>
      <w:pPr>
        <w:pStyle w:val="BodyText"/>
        <w:spacing w:line="256" w:lineRule="auto"/>
        <w:rPr/>
      </w:pPr>
      <w:r/>
    </w:p>
    <w:p>
      <w:pPr>
        <w:ind w:left="744"/>
        <w:spacing w:before="98" w:line="222" w:lineRule="auto"/>
        <w:rPr>
          <w:rFonts w:ascii="FangSong" w:hAnsi="FangSong" w:eastAsia="FangSong" w:cs="FangSong"/>
          <w:sz w:val="30"/>
          <w:szCs w:val="30"/>
        </w:rPr>
      </w:pPr>
      <w:bookmarkStart w:name="bookmark1110" w:id="485"/>
      <w:bookmarkEnd w:id="485"/>
      <w:r>
        <w:rPr>
          <w:rFonts w:ascii="FangSong" w:hAnsi="FangSong" w:eastAsia="FangSong" w:cs="FangSong"/>
          <w:sz w:val="30"/>
          <w:szCs w:val="30"/>
          <w:spacing w:val="2"/>
        </w:rPr>
        <w:t>法律依据：</w:t>
      </w:r>
    </w:p>
    <w:p>
      <w:pPr>
        <w:ind w:left="114" w:right="14" w:firstLine="619"/>
        <w:spacing w:before="100" w:line="268" w:lineRule="auto"/>
        <w:rPr>
          <w:rFonts w:ascii="FangSong" w:hAnsi="FangSong" w:eastAsia="FangSong" w:cs="FangSong"/>
          <w:sz w:val="30"/>
          <w:szCs w:val="30"/>
        </w:rPr>
      </w:pPr>
      <w:r>
        <w:rPr>
          <w:rFonts w:ascii="FangSong" w:hAnsi="FangSong" w:eastAsia="FangSong" w:cs="FangSong"/>
          <w:sz w:val="30"/>
          <w:szCs w:val="30"/>
          <w:spacing w:val="17"/>
        </w:rPr>
        <w:t>《生活饮用水卫生监督管理办法》第二十六条第(二)项</w:t>
      </w:r>
      <w:r>
        <w:rPr>
          <w:rFonts w:ascii="FangSong" w:hAnsi="FangSong" w:eastAsia="FangSong" w:cs="FangSong"/>
          <w:sz w:val="30"/>
          <w:szCs w:val="30"/>
          <w:spacing w:val="52"/>
        </w:rPr>
        <w:t xml:space="preserve">  </w:t>
      </w:r>
      <w:r>
        <w:rPr>
          <w:rFonts w:ascii="FangSong" w:hAnsi="FangSong" w:eastAsia="FangSong" w:cs="FangSong"/>
          <w:sz w:val="30"/>
          <w:szCs w:val="30"/>
          <w:spacing w:val="17"/>
        </w:rPr>
        <w:t>违反本办法规定，有下列情形之一的，</w:t>
      </w:r>
      <w:r>
        <w:rPr>
          <w:rFonts w:ascii="FangSong" w:hAnsi="FangSong" w:eastAsia="FangSong" w:cs="FangSong"/>
          <w:sz w:val="30"/>
          <w:szCs w:val="30"/>
          <w:spacing w:val="1"/>
        </w:rPr>
        <w:t xml:space="preserve"> </w:t>
      </w:r>
      <w:r>
        <w:rPr>
          <w:rFonts w:ascii="FangSong" w:hAnsi="FangSong" w:eastAsia="FangSong" w:cs="FangSong"/>
          <w:sz w:val="30"/>
          <w:szCs w:val="30"/>
          <w:spacing w:val="24"/>
        </w:rPr>
        <w:t>县级以上地方人民政府卫生行政部门应当责令限期改进，并可处以20元以</w:t>
      </w:r>
      <w:r>
        <w:rPr>
          <w:rFonts w:ascii="FangSong" w:hAnsi="FangSong" w:eastAsia="FangSong" w:cs="FangSong"/>
          <w:sz w:val="30"/>
          <w:szCs w:val="30"/>
          <w:spacing w:val="23"/>
        </w:rPr>
        <w:t>上5000元以下的罚款：</w:t>
      </w:r>
    </w:p>
    <w:p>
      <w:pPr>
        <w:ind w:left="114" w:right="119" w:firstLine="769"/>
        <w:spacing w:before="5" w:line="273" w:lineRule="auto"/>
        <w:rPr>
          <w:rFonts w:ascii="FangSong" w:hAnsi="FangSong" w:eastAsia="FangSong" w:cs="FangSong"/>
          <w:sz w:val="30"/>
          <w:szCs w:val="30"/>
        </w:rPr>
      </w:pPr>
      <w:r>
        <w:rPr>
          <w:rFonts w:ascii="FangSong" w:hAnsi="FangSong" w:eastAsia="FangSong" w:cs="FangSong"/>
          <w:sz w:val="30"/>
          <w:szCs w:val="30"/>
          <w:spacing w:val="21"/>
        </w:rPr>
        <w:t>(二)新建、改建、扩建的饮用水供水项目未经卫生行</w:t>
      </w:r>
      <w:r>
        <w:rPr>
          <w:rFonts w:ascii="FangSong" w:hAnsi="FangSong" w:eastAsia="FangSong" w:cs="FangSong"/>
          <w:sz w:val="30"/>
          <w:szCs w:val="30"/>
          <w:spacing w:val="20"/>
        </w:rPr>
        <w:t>政部门参加选址、设计审查和竣工验收而</w:t>
      </w:r>
      <w:r>
        <w:rPr>
          <w:rFonts w:ascii="FangSong" w:hAnsi="FangSong" w:eastAsia="FangSong" w:cs="FangSong"/>
          <w:sz w:val="30"/>
          <w:szCs w:val="30"/>
        </w:rPr>
        <w:t xml:space="preserve"> </w:t>
      </w:r>
      <w:r>
        <w:rPr>
          <w:rFonts w:ascii="FangSong" w:hAnsi="FangSong" w:eastAsia="FangSong" w:cs="FangSong"/>
          <w:sz w:val="30"/>
          <w:szCs w:val="30"/>
          <w:spacing w:val="5"/>
        </w:rPr>
        <w:t>擅自供水的；</w:t>
      </w:r>
    </w:p>
    <w:p>
      <w:pPr>
        <w:ind w:left="6528"/>
        <w:spacing w:before="15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1" w:lineRule="auto"/>
        <w:rPr>
          <w:rFonts w:ascii="Arial"/>
          <w:sz w:val="2"/>
        </w:rPr>
      </w:pPr>
      <w:r>
        <w:rPr>
          <w:rFonts w:ascii="Arial"/>
          <w:sz w:val="2"/>
        </w:rPr>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13"/>
        <w:gridCol w:w="8804"/>
        <w:gridCol w:w="3442"/>
      </w:tblGrid>
      <w:tr>
        <w:trPr>
          <w:trHeight w:val="413" w:hRule="atLeast"/>
        </w:trPr>
        <w:tc>
          <w:tcPr>
            <w:tcW w:w="1913" w:type="dxa"/>
            <w:vAlign w:val="top"/>
          </w:tcPr>
          <w:p>
            <w:pPr>
              <w:pStyle w:val="TableText"/>
              <w:ind w:left="368"/>
              <w:spacing w:before="82" w:line="220" w:lineRule="auto"/>
              <w:rPr>
                <w:sz w:val="25"/>
                <w:szCs w:val="25"/>
              </w:rPr>
            </w:pPr>
            <w:r>
              <w:rPr>
                <w:sz w:val="25"/>
                <w:szCs w:val="25"/>
                <w:b/>
                <w:bCs/>
                <w:spacing w:val="-5"/>
              </w:rPr>
              <w:t>违法程度</w:t>
            </w:r>
          </w:p>
        </w:tc>
        <w:tc>
          <w:tcPr>
            <w:tcW w:w="8804" w:type="dxa"/>
            <w:vAlign w:val="top"/>
          </w:tcPr>
          <w:p>
            <w:pPr>
              <w:pStyle w:val="TableText"/>
              <w:ind w:left="3895"/>
              <w:spacing w:before="82" w:line="220" w:lineRule="auto"/>
              <w:rPr>
                <w:sz w:val="25"/>
                <w:szCs w:val="25"/>
              </w:rPr>
            </w:pPr>
            <w:r>
              <w:rPr>
                <w:sz w:val="25"/>
                <w:szCs w:val="25"/>
                <w:b/>
                <w:bCs/>
                <w:spacing w:val="-5"/>
              </w:rPr>
              <w:t>情节后果</w:t>
            </w:r>
          </w:p>
        </w:tc>
        <w:tc>
          <w:tcPr>
            <w:tcW w:w="3442" w:type="dxa"/>
            <w:vAlign w:val="top"/>
          </w:tcPr>
          <w:p>
            <w:pPr>
              <w:pStyle w:val="TableText"/>
              <w:ind w:left="1221"/>
              <w:spacing w:before="79" w:line="218" w:lineRule="auto"/>
              <w:rPr>
                <w:sz w:val="25"/>
                <w:szCs w:val="25"/>
              </w:rPr>
            </w:pPr>
            <w:r>
              <w:rPr>
                <w:sz w:val="25"/>
                <w:szCs w:val="25"/>
                <w:b/>
                <w:bCs/>
                <w:spacing w:val="-5"/>
              </w:rPr>
              <w:t>裁量幅度</w:t>
            </w:r>
          </w:p>
        </w:tc>
      </w:tr>
      <w:tr>
        <w:trPr>
          <w:trHeight w:val="937" w:hRule="atLeast"/>
        </w:trPr>
        <w:tc>
          <w:tcPr>
            <w:tcW w:w="1913" w:type="dxa"/>
            <w:vAlign w:val="top"/>
          </w:tcPr>
          <w:p>
            <w:pPr>
              <w:spacing w:line="269" w:lineRule="auto"/>
              <w:rPr>
                <w:rFonts w:ascii="Arial"/>
                <w:sz w:val="21"/>
              </w:rPr>
            </w:pPr>
            <w:r/>
          </w:p>
          <w:p>
            <w:pPr>
              <w:pStyle w:val="TableText"/>
              <w:ind w:left="94"/>
              <w:spacing w:before="81" w:line="219" w:lineRule="auto"/>
              <w:rPr>
                <w:sz w:val="25"/>
                <w:szCs w:val="25"/>
              </w:rPr>
            </w:pPr>
            <w:r>
              <w:rPr>
                <w:sz w:val="25"/>
                <w:szCs w:val="25"/>
                <w:color w:val="404040"/>
                <w:spacing w:val="-3"/>
              </w:rPr>
              <w:t>较轻</w:t>
            </w:r>
          </w:p>
        </w:tc>
        <w:tc>
          <w:tcPr>
            <w:tcW w:w="8804" w:type="dxa"/>
            <w:vAlign w:val="top"/>
          </w:tcPr>
          <w:p>
            <w:pPr>
              <w:pStyle w:val="TableText"/>
              <w:ind w:left="120" w:hanging="109"/>
              <w:spacing w:before="201" w:line="260" w:lineRule="auto"/>
              <w:rPr>
                <w:sz w:val="25"/>
                <w:szCs w:val="25"/>
              </w:rPr>
            </w:pPr>
            <w:r>
              <w:rPr>
                <w:sz w:val="25"/>
                <w:szCs w:val="25"/>
                <w:spacing w:val="-6"/>
              </w:rPr>
              <w:t>新建、改建、扩建的饮用水供水项目虽未经卫生行政部门参加选址、设计审</w:t>
            </w:r>
            <w:r>
              <w:rPr>
                <w:sz w:val="25"/>
                <w:szCs w:val="25"/>
                <w:spacing w:val="-7"/>
              </w:rPr>
              <w:t>查和竣</w:t>
            </w:r>
            <w:r>
              <w:rPr>
                <w:sz w:val="25"/>
                <w:szCs w:val="25"/>
              </w:rPr>
              <w:t xml:space="preserve"> </w:t>
            </w:r>
            <w:r>
              <w:rPr>
                <w:sz w:val="25"/>
                <w:szCs w:val="25"/>
              </w:rPr>
              <w:t>工验收而擅自供水，但各项设施完善，且供水水质符合国家卫生标准的</w:t>
            </w:r>
          </w:p>
        </w:tc>
        <w:tc>
          <w:tcPr>
            <w:tcW w:w="3442" w:type="dxa"/>
            <w:vAlign w:val="top"/>
          </w:tcPr>
          <w:p>
            <w:pPr>
              <w:spacing w:line="270" w:lineRule="auto"/>
              <w:rPr>
                <w:rFonts w:ascii="Arial"/>
                <w:sz w:val="21"/>
              </w:rPr>
            </w:pPr>
            <w:r/>
          </w:p>
          <w:p>
            <w:pPr>
              <w:pStyle w:val="TableText"/>
              <w:ind w:left="147"/>
              <w:spacing w:before="81" w:line="220" w:lineRule="auto"/>
              <w:rPr>
                <w:sz w:val="25"/>
                <w:szCs w:val="25"/>
              </w:rPr>
            </w:pPr>
            <w:r>
              <w:rPr>
                <w:sz w:val="25"/>
                <w:szCs w:val="25"/>
                <w:spacing w:val="1"/>
              </w:rPr>
              <w:t>罚款20元以上1500元以下</w:t>
            </w:r>
          </w:p>
        </w:tc>
      </w:tr>
      <w:tr>
        <w:trPr>
          <w:trHeight w:val="927" w:hRule="atLeast"/>
        </w:trPr>
        <w:tc>
          <w:tcPr>
            <w:tcW w:w="1913" w:type="dxa"/>
            <w:vAlign w:val="top"/>
          </w:tcPr>
          <w:p>
            <w:pPr>
              <w:spacing w:line="263" w:lineRule="auto"/>
              <w:rPr>
                <w:rFonts w:ascii="Arial"/>
                <w:sz w:val="21"/>
              </w:rPr>
            </w:pPr>
            <w:r/>
          </w:p>
          <w:p>
            <w:pPr>
              <w:pStyle w:val="TableText"/>
              <w:ind w:left="94"/>
              <w:spacing w:before="82" w:line="221" w:lineRule="auto"/>
              <w:rPr>
                <w:sz w:val="25"/>
                <w:szCs w:val="25"/>
              </w:rPr>
            </w:pPr>
            <w:r>
              <w:rPr>
                <w:sz w:val="25"/>
                <w:szCs w:val="25"/>
                <w:spacing w:val="5"/>
              </w:rPr>
              <w:t>一般</w:t>
            </w:r>
          </w:p>
        </w:tc>
        <w:tc>
          <w:tcPr>
            <w:tcW w:w="8804" w:type="dxa"/>
            <w:vAlign w:val="top"/>
          </w:tcPr>
          <w:p>
            <w:pPr>
              <w:pStyle w:val="TableText"/>
              <w:ind w:left="120" w:hanging="109"/>
              <w:spacing w:before="203" w:line="253" w:lineRule="auto"/>
              <w:rPr>
                <w:sz w:val="25"/>
                <w:szCs w:val="25"/>
              </w:rPr>
            </w:pPr>
            <w:r>
              <w:rPr>
                <w:sz w:val="25"/>
                <w:szCs w:val="25"/>
                <w:spacing w:val="-6"/>
              </w:rPr>
              <w:t>新建、改建、扩建的饮用水供水项目虽未经卫生行政部门参加选址、设计审</w:t>
            </w:r>
            <w:r>
              <w:rPr>
                <w:sz w:val="25"/>
                <w:szCs w:val="25"/>
                <w:spacing w:val="-7"/>
              </w:rPr>
              <w:t>查和竣</w:t>
            </w:r>
            <w:r>
              <w:rPr>
                <w:sz w:val="25"/>
                <w:szCs w:val="25"/>
              </w:rPr>
              <w:t xml:space="preserve"> </w:t>
            </w:r>
            <w:r>
              <w:rPr>
                <w:sz w:val="25"/>
                <w:szCs w:val="25"/>
              </w:rPr>
              <w:t>工验收而擅自供水，且各项设施相对缺少，但供水水质符合国家卫生标准的</w:t>
            </w:r>
          </w:p>
        </w:tc>
        <w:tc>
          <w:tcPr>
            <w:tcW w:w="3442" w:type="dxa"/>
            <w:vAlign w:val="top"/>
          </w:tcPr>
          <w:p>
            <w:pPr>
              <w:spacing w:line="263" w:lineRule="auto"/>
              <w:rPr>
                <w:rFonts w:ascii="Arial"/>
                <w:sz w:val="21"/>
              </w:rPr>
            </w:pPr>
            <w:r/>
          </w:p>
          <w:p>
            <w:pPr>
              <w:pStyle w:val="TableText"/>
              <w:ind w:left="218"/>
              <w:spacing w:before="81" w:line="220" w:lineRule="auto"/>
              <w:rPr>
                <w:sz w:val="25"/>
                <w:szCs w:val="25"/>
              </w:rPr>
            </w:pPr>
            <w:r>
              <w:rPr>
                <w:sz w:val="25"/>
                <w:szCs w:val="25"/>
                <w:spacing w:val="1"/>
              </w:rPr>
              <w:t>罚款1500元以上3500元以下</w:t>
            </w:r>
          </w:p>
        </w:tc>
      </w:tr>
      <w:tr>
        <w:trPr>
          <w:trHeight w:val="693" w:hRule="atLeast"/>
        </w:trPr>
        <w:tc>
          <w:tcPr>
            <w:tcW w:w="1913" w:type="dxa"/>
            <w:vAlign w:val="top"/>
          </w:tcPr>
          <w:p>
            <w:pPr>
              <w:pStyle w:val="TableText"/>
              <w:ind w:left="94"/>
              <w:spacing w:before="231" w:line="221" w:lineRule="auto"/>
              <w:rPr>
                <w:sz w:val="25"/>
                <w:szCs w:val="25"/>
              </w:rPr>
            </w:pPr>
            <w:r>
              <w:rPr>
                <w:sz w:val="25"/>
                <w:szCs w:val="25"/>
                <w:spacing w:val="5"/>
              </w:rPr>
              <w:t>较重</w:t>
            </w:r>
          </w:p>
        </w:tc>
        <w:tc>
          <w:tcPr>
            <w:tcW w:w="8804" w:type="dxa"/>
            <w:vAlign w:val="top"/>
          </w:tcPr>
          <w:p>
            <w:pPr>
              <w:pStyle w:val="TableText"/>
              <w:ind w:left="100" w:hanging="89"/>
              <w:spacing w:before="97" w:line="216" w:lineRule="auto"/>
              <w:rPr>
                <w:sz w:val="25"/>
                <w:szCs w:val="25"/>
              </w:rPr>
            </w:pPr>
            <w:r>
              <w:rPr>
                <w:sz w:val="25"/>
                <w:szCs w:val="25"/>
                <w:spacing w:val="-6"/>
              </w:rPr>
              <w:t>新建、改建、扩建的饮用水供水项目未经卫生行政部门参加选址、设计审查</w:t>
            </w:r>
            <w:r>
              <w:rPr>
                <w:sz w:val="25"/>
                <w:szCs w:val="25"/>
                <w:spacing w:val="-7"/>
              </w:rPr>
              <w:t>和竣工</w:t>
            </w:r>
            <w:r>
              <w:rPr>
                <w:sz w:val="25"/>
                <w:szCs w:val="25"/>
              </w:rPr>
              <w:t xml:space="preserve"> </w:t>
            </w:r>
            <w:r>
              <w:rPr>
                <w:sz w:val="25"/>
                <w:szCs w:val="25"/>
              </w:rPr>
              <w:t>验收而擅自供水，供水水质又不符合国家卫生标准的</w:t>
            </w:r>
          </w:p>
        </w:tc>
        <w:tc>
          <w:tcPr>
            <w:tcW w:w="3442" w:type="dxa"/>
            <w:vAlign w:val="top"/>
          </w:tcPr>
          <w:p>
            <w:pPr>
              <w:pStyle w:val="TableText"/>
              <w:ind w:left="218"/>
              <w:spacing w:before="229" w:line="220" w:lineRule="auto"/>
              <w:rPr>
                <w:sz w:val="25"/>
                <w:szCs w:val="25"/>
              </w:rPr>
            </w:pPr>
            <w:r>
              <w:rPr>
                <w:sz w:val="25"/>
                <w:szCs w:val="25"/>
                <w:spacing w:val="1"/>
              </w:rPr>
              <w:t>罚款3500元以上5000元以下</w:t>
            </w:r>
          </w:p>
        </w:tc>
      </w:tr>
    </w:tbl>
    <w:p>
      <w:pPr>
        <w:ind w:left="749"/>
        <w:spacing w:before="77" w:line="220" w:lineRule="auto"/>
        <w:rPr>
          <w:rFonts w:ascii="FangSong" w:hAnsi="FangSong" w:eastAsia="FangSong" w:cs="FangSong"/>
          <w:sz w:val="30"/>
          <w:szCs w:val="30"/>
        </w:rPr>
      </w:pPr>
      <w:r>
        <w:rPr>
          <w:rFonts w:ascii="FangSong" w:hAnsi="FangSong" w:eastAsia="FangSong" w:cs="FangSong"/>
          <w:sz w:val="30"/>
          <w:szCs w:val="30"/>
          <w:b/>
          <w:bCs/>
          <w:spacing w:val="23"/>
        </w:rPr>
        <w:t>第四百四十条供水单位未取得卫生许可证而擅自供水的</w:t>
      </w:r>
    </w:p>
    <w:p>
      <w:pPr>
        <w:ind w:left="744"/>
        <w:spacing w:before="9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14" w:right="14" w:firstLine="619"/>
        <w:spacing w:before="91" w:line="268" w:lineRule="auto"/>
        <w:rPr>
          <w:rFonts w:ascii="FangSong" w:hAnsi="FangSong" w:eastAsia="FangSong" w:cs="FangSong"/>
          <w:sz w:val="30"/>
          <w:szCs w:val="30"/>
        </w:rPr>
      </w:pPr>
      <w:r>
        <w:rPr>
          <w:rFonts w:ascii="FangSong" w:hAnsi="FangSong" w:eastAsia="FangSong" w:cs="FangSong"/>
          <w:sz w:val="30"/>
          <w:szCs w:val="30"/>
          <w:spacing w:val="17"/>
        </w:rPr>
        <w:t>《生活饮用水卫生监督管理办法》第二十六条第(三)项</w:t>
      </w:r>
      <w:r>
        <w:rPr>
          <w:rFonts w:ascii="FangSong" w:hAnsi="FangSong" w:eastAsia="FangSong" w:cs="FangSong"/>
          <w:sz w:val="30"/>
          <w:szCs w:val="30"/>
          <w:spacing w:val="52"/>
        </w:rPr>
        <w:t xml:space="preserve">  </w:t>
      </w:r>
      <w:r>
        <w:rPr>
          <w:rFonts w:ascii="FangSong" w:hAnsi="FangSong" w:eastAsia="FangSong" w:cs="FangSong"/>
          <w:sz w:val="30"/>
          <w:szCs w:val="30"/>
          <w:spacing w:val="17"/>
        </w:rPr>
        <w:t>违反本办法规定，有下列情形之一的，</w:t>
      </w:r>
      <w:r>
        <w:rPr>
          <w:rFonts w:ascii="FangSong" w:hAnsi="FangSong" w:eastAsia="FangSong" w:cs="FangSong"/>
          <w:sz w:val="30"/>
          <w:szCs w:val="30"/>
          <w:spacing w:val="1"/>
        </w:rPr>
        <w:t xml:space="preserve"> </w:t>
      </w:r>
      <w:r>
        <w:rPr>
          <w:rFonts w:ascii="FangSong" w:hAnsi="FangSong" w:eastAsia="FangSong" w:cs="FangSong"/>
          <w:sz w:val="30"/>
          <w:szCs w:val="30"/>
          <w:spacing w:val="24"/>
        </w:rPr>
        <w:t>县级以上地方人民政府卫生行政部门应当责令限期改进，并可处以20元以</w:t>
      </w:r>
      <w:r>
        <w:rPr>
          <w:rFonts w:ascii="FangSong" w:hAnsi="FangSong" w:eastAsia="FangSong" w:cs="FangSong"/>
          <w:sz w:val="30"/>
          <w:szCs w:val="30"/>
          <w:spacing w:val="23"/>
        </w:rPr>
        <w:t>上5000元以下的罚款：</w:t>
      </w:r>
    </w:p>
    <w:p>
      <w:pPr>
        <w:ind w:left="884"/>
        <w:spacing w:before="5" w:line="221" w:lineRule="auto"/>
        <w:rPr>
          <w:rFonts w:ascii="FangSong" w:hAnsi="FangSong" w:eastAsia="FangSong" w:cs="FangSong"/>
          <w:sz w:val="30"/>
          <w:szCs w:val="30"/>
        </w:rPr>
      </w:pPr>
      <w:r>
        <w:rPr>
          <w:rFonts w:ascii="FangSong" w:hAnsi="FangSong" w:eastAsia="FangSong" w:cs="FangSong"/>
          <w:sz w:val="30"/>
          <w:szCs w:val="30"/>
          <w:spacing w:val="23"/>
        </w:rPr>
        <w:t>(三)供水单位未取得卫生许可证而擅自供水的；</w:t>
      </w:r>
    </w:p>
    <w:p>
      <w:pPr>
        <w:spacing w:line="221" w:lineRule="auto"/>
        <w:sectPr>
          <w:footerReference w:type="default" r:id="rId466"/>
          <w:pgSz w:w="16830" w:h="11900"/>
          <w:pgMar w:top="1011" w:right="1335" w:bottom="1117" w:left="1325" w:header="0" w:footer="784" w:gutter="0"/>
        </w:sectPr>
        <w:rPr>
          <w:rFonts w:ascii="FangSong" w:hAnsi="FangSong" w:eastAsia="FangSong" w:cs="FangSong"/>
          <w:sz w:val="30"/>
          <w:szCs w:val="30"/>
        </w:rPr>
      </w:pPr>
    </w:p>
    <w:p>
      <w:pPr>
        <w:pStyle w:val="BodyText"/>
        <w:spacing w:line="260" w:lineRule="auto"/>
        <w:rPr/>
      </w:pPr>
      <w:r/>
    </w:p>
    <w:p>
      <w:pPr>
        <w:pStyle w:val="BodyText"/>
        <w:spacing w:line="260" w:lineRule="auto"/>
        <w:rPr/>
      </w:pPr>
      <w:r/>
    </w:p>
    <w:p>
      <w:pPr>
        <w:pStyle w:val="BodyText"/>
        <w:spacing w:line="261" w:lineRule="auto"/>
        <w:rPr/>
      </w:pPr>
      <w:r/>
    </w:p>
    <w:p>
      <w:pPr>
        <w:ind w:left="6539"/>
        <w:spacing w:before="91" w:line="220" w:lineRule="auto"/>
        <w:rPr>
          <w:rFonts w:ascii="SimSun" w:hAnsi="SimSun" w:eastAsia="SimSun" w:cs="SimSun"/>
          <w:sz w:val="28"/>
          <w:szCs w:val="28"/>
        </w:rPr>
      </w:pPr>
      <w:bookmarkStart w:name="bookmark1111" w:id="486"/>
      <w:bookmarkEnd w:id="486"/>
      <w:r>
        <w:rPr>
          <w:rFonts w:ascii="SimSun" w:hAnsi="SimSun" w:eastAsia="SimSun" w:cs="SimSun"/>
          <w:sz w:val="28"/>
          <w:szCs w:val="28"/>
          <w:b/>
          <w:bCs/>
          <w:spacing w:val="-6"/>
        </w:rPr>
        <w:t>裁量标准</w:t>
      </w:r>
    </w:p>
    <w:p>
      <w:pPr>
        <w:spacing w:line="135" w:lineRule="auto"/>
        <w:rPr>
          <w:rFonts w:ascii="Arial"/>
          <w:sz w:val="2"/>
        </w:rPr>
      </w:pPr>
      <w:r>
        <w:rPr>
          <w:rFonts w:ascii="Arial"/>
          <w:sz w:val="2"/>
        </w:r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94"/>
        <w:gridCol w:w="7485"/>
        <w:gridCol w:w="4791"/>
      </w:tblGrid>
      <w:tr>
        <w:trPr>
          <w:trHeight w:val="423" w:hRule="atLeast"/>
        </w:trPr>
        <w:tc>
          <w:tcPr>
            <w:tcW w:w="1894" w:type="dxa"/>
            <w:vAlign w:val="top"/>
          </w:tcPr>
          <w:p>
            <w:pPr>
              <w:pStyle w:val="TableText"/>
              <w:ind w:left="378"/>
              <w:spacing w:before="92" w:line="220" w:lineRule="auto"/>
              <w:rPr>
                <w:sz w:val="25"/>
                <w:szCs w:val="25"/>
              </w:rPr>
            </w:pPr>
            <w:r>
              <w:rPr>
                <w:sz w:val="25"/>
                <w:szCs w:val="25"/>
                <w:b/>
                <w:bCs/>
                <w:spacing w:val="-5"/>
              </w:rPr>
              <w:t>违法程度</w:t>
            </w:r>
          </w:p>
        </w:tc>
        <w:tc>
          <w:tcPr>
            <w:tcW w:w="7485" w:type="dxa"/>
            <w:vAlign w:val="top"/>
          </w:tcPr>
          <w:p>
            <w:pPr>
              <w:pStyle w:val="TableText"/>
              <w:ind w:left="3174"/>
              <w:spacing w:before="92" w:line="220" w:lineRule="auto"/>
              <w:rPr>
                <w:sz w:val="25"/>
                <w:szCs w:val="25"/>
              </w:rPr>
            </w:pPr>
            <w:r>
              <w:rPr>
                <w:sz w:val="25"/>
                <w:szCs w:val="25"/>
                <w:b/>
                <w:bCs/>
                <w:spacing w:val="-5"/>
              </w:rPr>
              <w:t>情节后果</w:t>
            </w:r>
          </w:p>
        </w:tc>
        <w:tc>
          <w:tcPr>
            <w:tcW w:w="4791" w:type="dxa"/>
            <w:vAlign w:val="top"/>
          </w:tcPr>
          <w:p>
            <w:pPr>
              <w:pStyle w:val="TableText"/>
              <w:ind w:left="1839"/>
              <w:spacing w:before="89" w:line="218" w:lineRule="auto"/>
              <w:rPr>
                <w:sz w:val="25"/>
                <w:szCs w:val="25"/>
              </w:rPr>
            </w:pPr>
            <w:r>
              <w:rPr>
                <w:sz w:val="25"/>
                <w:szCs w:val="25"/>
                <w:b/>
                <w:bCs/>
                <w:spacing w:val="-5"/>
              </w:rPr>
              <w:t>裁量幅度</w:t>
            </w:r>
          </w:p>
        </w:tc>
      </w:tr>
      <w:tr>
        <w:trPr>
          <w:trHeight w:val="527" w:hRule="atLeast"/>
        </w:trPr>
        <w:tc>
          <w:tcPr>
            <w:tcW w:w="1894" w:type="dxa"/>
            <w:vAlign w:val="top"/>
          </w:tcPr>
          <w:p>
            <w:pPr>
              <w:pStyle w:val="TableText"/>
              <w:ind w:left="94"/>
              <w:spacing w:before="142" w:line="219" w:lineRule="auto"/>
              <w:rPr>
                <w:sz w:val="25"/>
                <w:szCs w:val="25"/>
              </w:rPr>
            </w:pPr>
            <w:r>
              <w:rPr>
                <w:sz w:val="25"/>
                <w:szCs w:val="25"/>
                <w:color w:val="404040"/>
                <w:spacing w:val="-3"/>
              </w:rPr>
              <w:t>较轻</w:t>
            </w:r>
          </w:p>
        </w:tc>
        <w:tc>
          <w:tcPr>
            <w:tcW w:w="7485" w:type="dxa"/>
            <w:vAlign w:val="top"/>
          </w:tcPr>
          <w:p>
            <w:pPr>
              <w:pStyle w:val="TableText"/>
              <w:ind w:left="111"/>
              <w:spacing w:before="140" w:line="219" w:lineRule="auto"/>
              <w:rPr>
                <w:sz w:val="25"/>
                <w:szCs w:val="25"/>
              </w:rPr>
            </w:pPr>
            <w:r>
              <w:rPr>
                <w:sz w:val="25"/>
                <w:szCs w:val="25"/>
                <w:spacing w:val="1"/>
              </w:rPr>
              <w:t>供水单位未取得卫生许可证而擅自供水1个月以下的</w:t>
            </w:r>
          </w:p>
        </w:tc>
        <w:tc>
          <w:tcPr>
            <w:tcW w:w="4791" w:type="dxa"/>
            <w:vAlign w:val="top"/>
          </w:tcPr>
          <w:p>
            <w:pPr>
              <w:pStyle w:val="TableText"/>
              <w:ind w:left="125"/>
              <w:spacing w:before="142" w:line="220" w:lineRule="auto"/>
              <w:rPr>
                <w:sz w:val="25"/>
                <w:szCs w:val="25"/>
              </w:rPr>
            </w:pPr>
            <w:r>
              <w:rPr>
                <w:sz w:val="25"/>
                <w:szCs w:val="25"/>
                <w:spacing w:val="1"/>
              </w:rPr>
              <w:t>罚款20元以上1500元以下</w:t>
            </w:r>
          </w:p>
        </w:tc>
      </w:tr>
      <w:tr>
        <w:trPr>
          <w:trHeight w:val="557" w:hRule="atLeast"/>
        </w:trPr>
        <w:tc>
          <w:tcPr>
            <w:tcW w:w="1894" w:type="dxa"/>
            <w:vAlign w:val="top"/>
          </w:tcPr>
          <w:p>
            <w:pPr>
              <w:pStyle w:val="TableText"/>
              <w:ind w:left="94"/>
              <w:spacing w:before="166" w:line="221" w:lineRule="auto"/>
              <w:rPr>
                <w:sz w:val="25"/>
                <w:szCs w:val="25"/>
              </w:rPr>
            </w:pPr>
            <w:r>
              <w:rPr>
                <w:sz w:val="25"/>
                <w:szCs w:val="25"/>
                <w:spacing w:val="5"/>
              </w:rPr>
              <w:t>一般</w:t>
            </w:r>
          </w:p>
        </w:tc>
        <w:tc>
          <w:tcPr>
            <w:tcW w:w="7485" w:type="dxa"/>
            <w:vAlign w:val="top"/>
          </w:tcPr>
          <w:p>
            <w:pPr>
              <w:pStyle w:val="TableText"/>
              <w:ind w:left="111"/>
              <w:spacing w:before="163" w:line="219" w:lineRule="auto"/>
              <w:rPr>
                <w:sz w:val="25"/>
                <w:szCs w:val="25"/>
              </w:rPr>
            </w:pPr>
            <w:r>
              <w:rPr>
                <w:sz w:val="25"/>
                <w:szCs w:val="25"/>
              </w:rPr>
              <w:t>供水单位未取得卫生许可证而擅自供水1个月以上3个月以下的</w:t>
            </w:r>
          </w:p>
        </w:tc>
        <w:tc>
          <w:tcPr>
            <w:tcW w:w="4791" w:type="dxa"/>
            <w:vAlign w:val="top"/>
          </w:tcPr>
          <w:p>
            <w:pPr>
              <w:pStyle w:val="TableText"/>
              <w:ind w:left="125"/>
              <w:spacing w:before="165" w:line="220" w:lineRule="auto"/>
              <w:rPr>
                <w:sz w:val="25"/>
                <w:szCs w:val="25"/>
              </w:rPr>
            </w:pPr>
            <w:r>
              <w:rPr>
                <w:sz w:val="25"/>
                <w:szCs w:val="25"/>
                <w:spacing w:val="1"/>
              </w:rPr>
              <w:t>罚款1500元以上3500元以下</w:t>
            </w:r>
          </w:p>
        </w:tc>
      </w:tr>
      <w:tr>
        <w:trPr>
          <w:trHeight w:val="592" w:hRule="atLeast"/>
        </w:trPr>
        <w:tc>
          <w:tcPr>
            <w:tcW w:w="1894" w:type="dxa"/>
            <w:vAlign w:val="top"/>
          </w:tcPr>
          <w:p>
            <w:pPr>
              <w:pStyle w:val="TableText"/>
              <w:ind w:left="94"/>
              <w:spacing w:before="181" w:line="221" w:lineRule="auto"/>
              <w:rPr>
                <w:sz w:val="25"/>
                <w:szCs w:val="25"/>
              </w:rPr>
            </w:pPr>
            <w:r>
              <w:rPr>
                <w:sz w:val="25"/>
                <w:szCs w:val="25"/>
                <w:spacing w:val="5"/>
              </w:rPr>
              <w:t>较重</w:t>
            </w:r>
          </w:p>
        </w:tc>
        <w:tc>
          <w:tcPr>
            <w:tcW w:w="7485" w:type="dxa"/>
            <w:vAlign w:val="top"/>
          </w:tcPr>
          <w:p>
            <w:pPr>
              <w:pStyle w:val="TableText"/>
              <w:ind w:left="111"/>
              <w:spacing w:before="176" w:line="219" w:lineRule="auto"/>
              <w:rPr>
                <w:sz w:val="25"/>
                <w:szCs w:val="25"/>
              </w:rPr>
            </w:pPr>
            <w:r>
              <w:rPr>
                <w:sz w:val="25"/>
                <w:szCs w:val="25"/>
                <w:spacing w:val="1"/>
              </w:rPr>
              <w:t>供水单位未取得卫生许可证而擅自供水3个月以上的</w:t>
            </w:r>
          </w:p>
        </w:tc>
        <w:tc>
          <w:tcPr>
            <w:tcW w:w="4791" w:type="dxa"/>
            <w:vAlign w:val="top"/>
          </w:tcPr>
          <w:p>
            <w:pPr>
              <w:pStyle w:val="TableText"/>
              <w:ind w:left="125"/>
              <w:spacing w:before="179" w:line="220" w:lineRule="auto"/>
              <w:rPr>
                <w:sz w:val="25"/>
                <w:szCs w:val="25"/>
              </w:rPr>
            </w:pPr>
            <w:r>
              <w:rPr>
                <w:sz w:val="25"/>
                <w:szCs w:val="25"/>
                <w:spacing w:val="1"/>
              </w:rPr>
              <w:t>罚款3500元以上5000元以下</w:t>
            </w:r>
          </w:p>
        </w:tc>
      </w:tr>
    </w:tbl>
    <w:p>
      <w:pPr>
        <w:pStyle w:val="BodyText"/>
        <w:spacing w:line="443" w:lineRule="auto"/>
        <w:rPr/>
      </w:pPr>
      <w:r/>
    </w:p>
    <w:p>
      <w:pPr>
        <w:ind w:left="789"/>
        <w:spacing w:before="101" w:line="220" w:lineRule="auto"/>
        <w:rPr>
          <w:rFonts w:ascii="FangSong" w:hAnsi="FangSong" w:eastAsia="FangSong" w:cs="FangSong"/>
          <w:sz w:val="31"/>
          <w:szCs w:val="31"/>
        </w:rPr>
      </w:pPr>
      <w:r>
        <w:rPr>
          <w:rFonts w:ascii="FangSong" w:hAnsi="FangSong" w:eastAsia="FangSong" w:cs="FangSong"/>
          <w:sz w:val="31"/>
          <w:szCs w:val="31"/>
          <w:b/>
          <w:bCs/>
          <w:spacing w:val="7"/>
        </w:rPr>
        <w:t>第四百四十一条</w:t>
      </w:r>
      <w:r>
        <w:rPr>
          <w:rFonts w:ascii="FangSong" w:hAnsi="FangSong" w:eastAsia="FangSong" w:cs="FangSong"/>
          <w:sz w:val="31"/>
          <w:szCs w:val="31"/>
          <w:spacing w:val="7"/>
        </w:rPr>
        <w:t xml:space="preserve">  </w:t>
      </w:r>
      <w:r>
        <w:rPr>
          <w:rFonts w:ascii="FangSong" w:hAnsi="FangSong" w:eastAsia="FangSong" w:cs="FangSong"/>
          <w:sz w:val="31"/>
          <w:szCs w:val="31"/>
          <w:b/>
          <w:bCs/>
          <w:spacing w:val="7"/>
        </w:rPr>
        <w:t>供水单位供应的饮用水不符合国家</w:t>
      </w:r>
      <w:r>
        <w:rPr>
          <w:rFonts w:ascii="FangSong" w:hAnsi="FangSong" w:eastAsia="FangSong" w:cs="FangSong"/>
          <w:sz w:val="31"/>
          <w:szCs w:val="31"/>
          <w:b/>
          <w:bCs/>
          <w:spacing w:val="6"/>
        </w:rPr>
        <w:t>规定的生活饮用水卫生标准的</w:t>
      </w:r>
    </w:p>
    <w:p>
      <w:pPr>
        <w:ind w:left="785"/>
        <w:spacing w:before="78" w:line="222" w:lineRule="auto"/>
        <w:rPr>
          <w:rFonts w:ascii="FangSong" w:hAnsi="FangSong" w:eastAsia="FangSong" w:cs="FangSong"/>
          <w:sz w:val="31"/>
          <w:szCs w:val="31"/>
        </w:rPr>
      </w:pPr>
      <w:r>
        <w:rPr>
          <w:rFonts w:ascii="FangSong" w:hAnsi="FangSong" w:eastAsia="FangSong" w:cs="FangSong"/>
          <w:sz w:val="31"/>
          <w:szCs w:val="31"/>
          <w:spacing w:val="2"/>
        </w:rPr>
        <w:t>法律依据</w:t>
      </w:r>
    </w:p>
    <w:p>
      <w:pPr>
        <w:ind w:left="135" w:firstLine="614"/>
        <w:spacing w:before="75" w:line="260" w:lineRule="auto"/>
        <w:rPr>
          <w:rFonts w:ascii="FangSong" w:hAnsi="FangSong" w:eastAsia="FangSong" w:cs="FangSong"/>
          <w:sz w:val="31"/>
          <w:szCs w:val="31"/>
        </w:rPr>
      </w:pPr>
      <w:r>
        <w:rPr>
          <w:rFonts w:ascii="FangSong" w:hAnsi="FangSong" w:eastAsia="FangSong" w:cs="FangSong"/>
          <w:sz w:val="31"/>
          <w:szCs w:val="31"/>
          <w:spacing w:val="10"/>
        </w:rPr>
        <w:t>《生活饮用水卫生监督管理办法》第二十六条第(四)项</w:t>
      </w:r>
      <w:r>
        <w:rPr>
          <w:rFonts w:ascii="FangSong" w:hAnsi="FangSong" w:eastAsia="FangSong" w:cs="FangSong"/>
          <w:sz w:val="31"/>
          <w:szCs w:val="31"/>
          <w:spacing w:val="10"/>
        </w:rPr>
        <w:t xml:space="preserve">  </w:t>
      </w:r>
      <w:r>
        <w:rPr>
          <w:rFonts w:ascii="FangSong" w:hAnsi="FangSong" w:eastAsia="FangSong" w:cs="FangSong"/>
          <w:sz w:val="31"/>
          <w:szCs w:val="31"/>
          <w:spacing w:val="10"/>
        </w:rPr>
        <w:t>违反本办法</w:t>
      </w:r>
      <w:r>
        <w:rPr>
          <w:rFonts w:ascii="FangSong" w:hAnsi="FangSong" w:eastAsia="FangSong" w:cs="FangSong"/>
          <w:sz w:val="31"/>
          <w:szCs w:val="31"/>
          <w:spacing w:val="9"/>
        </w:rPr>
        <w:t>规定，有下列情形之一的，</w:t>
      </w:r>
      <w:r>
        <w:rPr>
          <w:rFonts w:ascii="FangSong" w:hAnsi="FangSong" w:eastAsia="FangSong" w:cs="FangSong"/>
          <w:sz w:val="31"/>
          <w:szCs w:val="31"/>
        </w:rPr>
        <w:t xml:space="preserve"> </w:t>
      </w:r>
      <w:r>
        <w:rPr>
          <w:rFonts w:ascii="FangSong" w:hAnsi="FangSong" w:eastAsia="FangSong" w:cs="FangSong"/>
          <w:sz w:val="31"/>
          <w:szCs w:val="31"/>
          <w:spacing w:val="15"/>
        </w:rPr>
        <w:t>县级以上地方人民政府卫生行政部门应当责令限期改进</w:t>
      </w:r>
      <w:r>
        <w:rPr>
          <w:rFonts w:ascii="FangSong" w:hAnsi="FangSong" w:eastAsia="FangSong" w:cs="FangSong"/>
          <w:sz w:val="31"/>
          <w:szCs w:val="31"/>
          <w:spacing w:val="14"/>
        </w:rPr>
        <w:t>，并可处以20元以上5000元以下的罚款：</w:t>
      </w:r>
    </w:p>
    <w:p>
      <w:pPr>
        <w:ind w:left="894"/>
        <w:spacing w:before="5" w:line="221" w:lineRule="auto"/>
        <w:rPr>
          <w:rFonts w:ascii="FangSong" w:hAnsi="FangSong" w:eastAsia="FangSong" w:cs="FangSong"/>
          <w:sz w:val="31"/>
          <w:szCs w:val="31"/>
        </w:rPr>
      </w:pPr>
      <w:r>
        <w:rPr>
          <w:rFonts w:ascii="FangSong" w:hAnsi="FangSong" w:eastAsia="FangSong" w:cs="FangSong"/>
          <w:sz w:val="31"/>
          <w:szCs w:val="31"/>
          <w:spacing w:val="13"/>
        </w:rPr>
        <w:t>(四)供水单位供应的饮用水不符合国家规定的生活饮用水卫生标准的；</w:t>
      </w:r>
    </w:p>
    <w:p>
      <w:pPr>
        <w:ind w:left="6479"/>
        <w:spacing w:before="12" w:line="216" w:lineRule="auto"/>
        <w:rPr>
          <w:rFonts w:ascii="SimSun" w:hAnsi="SimSun" w:eastAsia="SimSun" w:cs="SimSun"/>
          <w:sz w:val="32"/>
          <w:szCs w:val="32"/>
        </w:rPr>
      </w:pPr>
      <w:r>
        <w:rPr>
          <w:rFonts w:ascii="SimSun" w:hAnsi="SimSun" w:eastAsia="SimSun" w:cs="SimSun"/>
          <w:sz w:val="32"/>
          <w:szCs w:val="32"/>
          <w:b/>
          <w:bCs/>
          <w:spacing w:val="-6"/>
        </w:rPr>
        <w:t>裁量基准</w:t>
      </w:r>
    </w:p>
    <w:tbl>
      <w:tblPr>
        <w:tblStyle w:val="TableNormal"/>
        <w:tblW w:w="1415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23"/>
        <w:gridCol w:w="7524"/>
        <w:gridCol w:w="4712"/>
      </w:tblGrid>
      <w:tr>
        <w:trPr>
          <w:trHeight w:val="452" w:hRule="atLeast"/>
        </w:trPr>
        <w:tc>
          <w:tcPr>
            <w:tcW w:w="1923" w:type="dxa"/>
            <w:vAlign w:val="top"/>
          </w:tcPr>
          <w:p>
            <w:pPr>
              <w:pStyle w:val="TableText"/>
              <w:ind w:left="378"/>
              <w:spacing w:before="102" w:line="220" w:lineRule="auto"/>
              <w:rPr>
                <w:sz w:val="25"/>
                <w:szCs w:val="25"/>
              </w:rPr>
            </w:pPr>
            <w:r>
              <w:rPr>
                <w:sz w:val="25"/>
                <w:szCs w:val="25"/>
                <w:b/>
                <w:bCs/>
                <w:spacing w:val="-5"/>
              </w:rPr>
              <w:t>违法程度</w:t>
            </w:r>
          </w:p>
        </w:tc>
        <w:tc>
          <w:tcPr>
            <w:tcW w:w="7524" w:type="dxa"/>
            <w:vAlign w:val="top"/>
          </w:tcPr>
          <w:p>
            <w:pPr>
              <w:pStyle w:val="TableText"/>
              <w:ind w:left="3195"/>
              <w:spacing w:before="102" w:line="220" w:lineRule="auto"/>
              <w:rPr>
                <w:sz w:val="25"/>
                <w:szCs w:val="25"/>
              </w:rPr>
            </w:pPr>
            <w:r>
              <w:rPr>
                <w:sz w:val="25"/>
                <w:szCs w:val="25"/>
                <w:b/>
                <w:bCs/>
                <w:spacing w:val="-5"/>
              </w:rPr>
              <w:t>情节后果</w:t>
            </w:r>
          </w:p>
        </w:tc>
        <w:tc>
          <w:tcPr>
            <w:tcW w:w="4712" w:type="dxa"/>
            <w:vAlign w:val="top"/>
          </w:tcPr>
          <w:p>
            <w:pPr>
              <w:pStyle w:val="TableText"/>
              <w:ind w:left="1781"/>
              <w:spacing w:before="99" w:line="218" w:lineRule="auto"/>
              <w:rPr>
                <w:sz w:val="25"/>
                <w:szCs w:val="25"/>
              </w:rPr>
            </w:pPr>
            <w:r>
              <w:rPr>
                <w:sz w:val="25"/>
                <w:szCs w:val="25"/>
                <w:b/>
                <w:bCs/>
                <w:spacing w:val="-5"/>
              </w:rPr>
              <w:t>裁量幅度</w:t>
            </w:r>
          </w:p>
        </w:tc>
      </w:tr>
      <w:tr>
        <w:trPr>
          <w:trHeight w:val="587" w:hRule="atLeast"/>
        </w:trPr>
        <w:tc>
          <w:tcPr>
            <w:tcW w:w="1923" w:type="dxa"/>
            <w:vAlign w:val="top"/>
          </w:tcPr>
          <w:p>
            <w:pPr>
              <w:pStyle w:val="TableText"/>
              <w:ind w:left="84"/>
              <w:spacing w:before="173" w:line="219" w:lineRule="auto"/>
              <w:rPr>
                <w:sz w:val="25"/>
                <w:szCs w:val="25"/>
              </w:rPr>
            </w:pPr>
            <w:r>
              <w:rPr>
                <w:sz w:val="25"/>
                <w:szCs w:val="25"/>
                <w:color w:val="404040"/>
                <w:spacing w:val="-3"/>
              </w:rPr>
              <w:t>较轻</w:t>
            </w:r>
          </w:p>
        </w:tc>
        <w:tc>
          <w:tcPr>
            <w:tcW w:w="7524" w:type="dxa"/>
            <w:vAlign w:val="top"/>
          </w:tcPr>
          <w:p>
            <w:pPr>
              <w:pStyle w:val="TableText"/>
              <w:ind w:left="101"/>
              <w:spacing w:before="173" w:line="219" w:lineRule="auto"/>
              <w:rPr>
                <w:sz w:val="25"/>
                <w:szCs w:val="25"/>
              </w:rPr>
            </w:pPr>
            <w:r>
              <w:rPr>
                <w:sz w:val="25"/>
                <w:szCs w:val="25"/>
                <w:spacing w:val="1"/>
              </w:rPr>
              <w:t>生活饮用水指标检测项目不符合国家标准的项目1项的</w:t>
            </w:r>
          </w:p>
        </w:tc>
        <w:tc>
          <w:tcPr>
            <w:tcW w:w="4712" w:type="dxa"/>
            <w:vAlign w:val="top"/>
          </w:tcPr>
          <w:p>
            <w:pPr>
              <w:pStyle w:val="TableText"/>
              <w:ind w:left="117"/>
              <w:spacing w:before="174" w:line="220" w:lineRule="auto"/>
              <w:rPr>
                <w:sz w:val="25"/>
                <w:szCs w:val="25"/>
              </w:rPr>
            </w:pPr>
            <w:r>
              <w:rPr>
                <w:sz w:val="25"/>
                <w:szCs w:val="25"/>
                <w:spacing w:val="1"/>
              </w:rPr>
              <w:t>罚款20元以上1500元以下</w:t>
            </w:r>
          </w:p>
        </w:tc>
      </w:tr>
      <w:tr>
        <w:trPr>
          <w:trHeight w:val="388" w:hRule="atLeast"/>
        </w:trPr>
        <w:tc>
          <w:tcPr>
            <w:tcW w:w="1923" w:type="dxa"/>
            <w:vAlign w:val="top"/>
          </w:tcPr>
          <w:p>
            <w:pPr>
              <w:pStyle w:val="TableText"/>
              <w:ind w:left="84"/>
              <w:spacing w:before="77" w:line="221" w:lineRule="auto"/>
              <w:rPr>
                <w:sz w:val="25"/>
                <w:szCs w:val="25"/>
              </w:rPr>
            </w:pPr>
            <w:r>
              <w:rPr>
                <w:sz w:val="25"/>
                <w:szCs w:val="25"/>
                <w:spacing w:val="5"/>
              </w:rPr>
              <w:t>一般</w:t>
            </w:r>
          </w:p>
        </w:tc>
        <w:tc>
          <w:tcPr>
            <w:tcW w:w="7524" w:type="dxa"/>
            <w:vAlign w:val="top"/>
          </w:tcPr>
          <w:p>
            <w:pPr>
              <w:pStyle w:val="TableText"/>
              <w:ind w:left="101"/>
              <w:spacing w:before="76" w:line="219" w:lineRule="auto"/>
              <w:rPr>
                <w:sz w:val="25"/>
                <w:szCs w:val="25"/>
              </w:rPr>
            </w:pPr>
            <w:r>
              <w:rPr>
                <w:sz w:val="25"/>
                <w:szCs w:val="25"/>
                <w:spacing w:val="1"/>
              </w:rPr>
              <w:t>生活饮用水指标检测项目不符合国家标准的项目2项的</w:t>
            </w:r>
          </w:p>
        </w:tc>
        <w:tc>
          <w:tcPr>
            <w:tcW w:w="4712" w:type="dxa"/>
            <w:vAlign w:val="top"/>
          </w:tcPr>
          <w:p>
            <w:pPr>
              <w:pStyle w:val="TableText"/>
              <w:ind w:left="117"/>
              <w:spacing w:before="77" w:line="220" w:lineRule="auto"/>
              <w:rPr>
                <w:sz w:val="25"/>
                <w:szCs w:val="25"/>
              </w:rPr>
            </w:pPr>
            <w:r>
              <w:rPr>
                <w:sz w:val="25"/>
                <w:szCs w:val="25"/>
                <w:spacing w:val="1"/>
              </w:rPr>
              <w:t>罚款1500元以上3500元以下</w:t>
            </w:r>
          </w:p>
        </w:tc>
      </w:tr>
      <w:tr>
        <w:trPr>
          <w:trHeight w:val="622" w:hRule="atLeast"/>
        </w:trPr>
        <w:tc>
          <w:tcPr>
            <w:tcW w:w="1923" w:type="dxa"/>
            <w:vAlign w:val="top"/>
          </w:tcPr>
          <w:p>
            <w:pPr>
              <w:pStyle w:val="TableText"/>
              <w:ind w:left="84"/>
              <w:spacing w:before="201" w:line="221" w:lineRule="auto"/>
              <w:rPr>
                <w:sz w:val="25"/>
                <w:szCs w:val="25"/>
              </w:rPr>
            </w:pPr>
            <w:r>
              <w:rPr>
                <w:sz w:val="25"/>
                <w:szCs w:val="25"/>
                <w:spacing w:val="5"/>
              </w:rPr>
              <w:t>较重</w:t>
            </w:r>
          </w:p>
        </w:tc>
        <w:tc>
          <w:tcPr>
            <w:tcW w:w="7524" w:type="dxa"/>
            <w:vAlign w:val="top"/>
          </w:tcPr>
          <w:p>
            <w:pPr>
              <w:pStyle w:val="TableText"/>
              <w:ind w:left="101"/>
              <w:spacing w:before="198" w:line="219" w:lineRule="auto"/>
              <w:rPr>
                <w:sz w:val="25"/>
                <w:szCs w:val="25"/>
              </w:rPr>
            </w:pPr>
            <w:r>
              <w:rPr>
                <w:sz w:val="25"/>
                <w:szCs w:val="25"/>
                <w:spacing w:val="1"/>
              </w:rPr>
              <w:t>生活饮用水指标检测项目不符合国家标准的项目3项</w:t>
            </w:r>
            <w:r>
              <w:rPr>
                <w:sz w:val="25"/>
                <w:szCs w:val="25"/>
              </w:rPr>
              <w:t>以上的</w:t>
            </w:r>
          </w:p>
        </w:tc>
        <w:tc>
          <w:tcPr>
            <w:tcW w:w="4712" w:type="dxa"/>
            <w:vAlign w:val="top"/>
          </w:tcPr>
          <w:p>
            <w:pPr>
              <w:pStyle w:val="TableText"/>
              <w:ind w:left="117"/>
              <w:spacing w:before="199" w:line="220" w:lineRule="auto"/>
              <w:rPr>
                <w:sz w:val="25"/>
                <w:szCs w:val="25"/>
              </w:rPr>
            </w:pPr>
            <w:r>
              <w:rPr>
                <w:sz w:val="25"/>
                <w:szCs w:val="25"/>
                <w:spacing w:val="1"/>
              </w:rPr>
              <w:t>罚款3500元以上5000元以下</w:t>
            </w:r>
          </w:p>
        </w:tc>
      </w:tr>
    </w:tbl>
    <w:p>
      <w:pPr>
        <w:pStyle w:val="BodyText"/>
        <w:rPr/>
      </w:pPr>
      <w:r/>
    </w:p>
    <w:p>
      <w:pPr>
        <w:sectPr>
          <w:footerReference w:type="default" r:id="rId467"/>
          <w:pgSz w:w="16830" w:h="11900"/>
          <w:pgMar w:top="1011" w:right="1314" w:bottom="1140" w:left="1314" w:header="0" w:footer="816" w:gutter="0"/>
        </w:sectPr>
        <w:rPr/>
      </w:pPr>
    </w:p>
    <w:p>
      <w:pPr>
        <w:pStyle w:val="BodyText"/>
        <w:spacing w:line="259" w:lineRule="auto"/>
        <w:rPr/>
      </w:pPr>
      <w:r/>
    </w:p>
    <w:p>
      <w:pPr>
        <w:pStyle w:val="BodyText"/>
        <w:spacing w:line="259" w:lineRule="auto"/>
        <w:rPr/>
      </w:pPr>
      <w:r/>
    </w:p>
    <w:p>
      <w:pPr>
        <w:pStyle w:val="BodyText"/>
        <w:spacing w:line="260" w:lineRule="auto"/>
        <w:rPr/>
      </w:pPr>
      <w:r/>
    </w:p>
    <w:p>
      <w:pPr>
        <w:ind w:left="779"/>
        <w:spacing w:before="97" w:line="220" w:lineRule="auto"/>
        <w:rPr>
          <w:rFonts w:ascii="FangSong" w:hAnsi="FangSong" w:eastAsia="FangSong" w:cs="FangSong"/>
          <w:sz w:val="30"/>
          <w:szCs w:val="30"/>
        </w:rPr>
      </w:pPr>
      <w:bookmarkStart w:name="bookmark1112" w:id="487"/>
      <w:bookmarkEnd w:id="487"/>
      <w:r>
        <w:rPr>
          <w:rFonts w:ascii="FangSong" w:hAnsi="FangSong" w:eastAsia="FangSong" w:cs="FangSong"/>
          <w:sz w:val="30"/>
          <w:szCs w:val="30"/>
          <w:b/>
          <w:bCs/>
          <w:spacing w:val="22"/>
        </w:rPr>
        <w:t>第四百四十二条生产或者销售无卫生许可批准文件的涉及饮用水卫生</w:t>
      </w:r>
      <w:r>
        <w:rPr>
          <w:rFonts w:ascii="FangSong" w:hAnsi="FangSong" w:eastAsia="FangSong" w:cs="FangSong"/>
          <w:sz w:val="30"/>
          <w:szCs w:val="30"/>
          <w:b/>
          <w:bCs/>
          <w:spacing w:val="21"/>
        </w:rPr>
        <w:t>安全的产品的</w:t>
      </w:r>
    </w:p>
    <w:p>
      <w:pPr>
        <w:ind w:left="774"/>
        <w:spacing w:before="110"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114" w:firstLine="619"/>
        <w:spacing w:before="64" w:line="272" w:lineRule="auto"/>
        <w:jc w:val="both"/>
        <w:rPr>
          <w:rFonts w:ascii="FangSong" w:hAnsi="FangSong" w:eastAsia="FangSong" w:cs="FangSong"/>
          <w:sz w:val="30"/>
          <w:szCs w:val="30"/>
        </w:rPr>
      </w:pPr>
      <w:r>
        <w:rPr>
          <w:rFonts w:ascii="FangSong" w:hAnsi="FangSong" w:eastAsia="FangSong" w:cs="FangSong"/>
          <w:sz w:val="30"/>
          <w:szCs w:val="30"/>
          <w:spacing w:val="17"/>
        </w:rPr>
        <w:t>《生活饮用水卫生监督管理办法》第二十七</w:t>
      </w:r>
      <w:r>
        <w:rPr>
          <w:rFonts w:ascii="FangSong" w:hAnsi="FangSong" w:eastAsia="FangSong" w:cs="FangSong"/>
          <w:sz w:val="30"/>
          <w:szCs w:val="30"/>
          <w:spacing w:val="16"/>
        </w:rPr>
        <w:t>条</w:t>
      </w:r>
      <w:r>
        <w:rPr>
          <w:rFonts w:ascii="FangSong" w:hAnsi="FangSong" w:eastAsia="FangSong" w:cs="FangSong"/>
          <w:sz w:val="30"/>
          <w:szCs w:val="30"/>
          <w:spacing w:val="16"/>
        </w:rPr>
        <w:t xml:space="preserve">  </w:t>
      </w:r>
      <w:r>
        <w:rPr>
          <w:rFonts w:ascii="FangSong" w:hAnsi="FangSong" w:eastAsia="FangSong" w:cs="FangSong"/>
          <w:sz w:val="30"/>
          <w:szCs w:val="30"/>
          <w:spacing w:val="16"/>
        </w:rPr>
        <w:t>违反本办法规定，生产或者销售无卫生许可批准</w:t>
      </w:r>
      <w:r>
        <w:rPr>
          <w:rFonts w:ascii="FangSong" w:hAnsi="FangSong" w:eastAsia="FangSong" w:cs="FangSong"/>
          <w:sz w:val="30"/>
          <w:szCs w:val="30"/>
        </w:rPr>
        <w:t xml:space="preserve"> </w:t>
      </w:r>
      <w:r>
        <w:rPr>
          <w:rFonts w:ascii="FangSong" w:hAnsi="FangSong" w:eastAsia="FangSong" w:cs="FangSong"/>
          <w:sz w:val="30"/>
          <w:szCs w:val="30"/>
          <w:spacing w:val="17"/>
        </w:rPr>
        <w:t>文件的涉及饮用水卫生安全的产品的，县级以上地方人民政府卫生行政部门应当责令改进，并可处以</w:t>
      </w:r>
      <w:r>
        <w:rPr>
          <w:rFonts w:ascii="FangSong" w:hAnsi="FangSong" w:eastAsia="FangSong" w:cs="FangSong"/>
          <w:sz w:val="30"/>
          <w:szCs w:val="30"/>
          <w:spacing w:val="16"/>
        </w:rPr>
        <w:t xml:space="preserve"> </w:t>
      </w:r>
      <w:r>
        <w:rPr>
          <w:rFonts w:ascii="FangSong" w:hAnsi="FangSong" w:eastAsia="FangSong" w:cs="FangSong"/>
          <w:sz w:val="30"/>
          <w:szCs w:val="30"/>
          <w:spacing w:val="29"/>
        </w:rPr>
        <w:t>违法所得3倍以下的罚款，但最高不超过30000元，或处以500元以上10000元以下的罚款。</w:t>
      </w:r>
    </w:p>
    <w:p>
      <w:pPr>
        <w:ind w:left="6528"/>
        <w:spacing w:before="147"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798"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6165"/>
        <w:gridCol w:w="6189"/>
      </w:tblGrid>
      <w:tr>
        <w:trPr>
          <w:trHeight w:val="464" w:hRule="atLeast"/>
        </w:trPr>
        <w:tc>
          <w:tcPr>
            <w:tcW w:w="1444" w:type="dxa"/>
            <w:vAlign w:val="top"/>
          </w:tcPr>
          <w:p>
            <w:pPr>
              <w:pStyle w:val="TableText"/>
              <w:ind w:left="198"/>
              <w:spacing w:before="102" w:line="220" w:lineRule="auto"/>
              <w:rPr>
                <w:sz w:val="26"/>
                <w:szCs w:val="26"/>
              </w:rPr>
            </w:pPr>
            <w:r>
              <w:rPr>
                <w:sz w:val="26"/>
                <w:szCs w:val="26"/>
                <w:b/>
                <w:bCs/>
                <w:spacing w:val="-5"/>
              </w:rPr>
              <w:t>违法程度</w:t>
            </w:r>
          </w:p>
        </w:tc>
        <w:tc>
          <w:tcPr>
            <w:tcW w:w="6165" w:type="dxa"/>
            <w:vAlign w:val="top"/>
          </w:tcPr>
          <w:p>
            <w:pPr>
              <w:pStyle w:val="TableText"/>
              <w:ind w:left="2554"/>
              <w:spacing w:before="102" w:line="220" w:lineRule="auto"/>
              <w:rPr>
                <w:sz w:val="26"/>
                <w:szCs w:val="26"/>
              </w:rPr>
            </w:pPr>
            <w:r>
              <w:rPr>
                <w:sz w:val="26"/>
                <w:szCs w:val="26"/>
                <w:b/>
                <w:bCs/>
                <w:spacing w:val="-5"/>
              </w:rPr>
              <w:t>情节后果</w:t>
            </w:r>
          </w:p>
        </w:tc>
        <w:tc>
          <w:tcPr>
            <w:tcW w:w="6189" w:type="dxa"/>
            <w:vAlign w:val="top"/>
          </w:tcPr>
          <w:p>
            <w:pPr>
              <w:pStyle w:val="TableText"/>
              <w:ind w:left="2529"/>
              <w:spacing w:before="99" w:line="218" w:lineRule="auto"/>
              <w:rPr>
                <w:sz w:val="26"/>
                <w:szCs w:val="26"/>
              </w:rPr>
            </w:pPr>
            <w:r>
              <w:rPr>
                <w:sz w:val="26"/>
                <w:szCs w:val="26"/>
                <w:b/>
                <w:bCs/>
                <w:spacing w:val="-5"/>
              </w:rPr>
              <w:t>裁量幅度</w:t>
            </w:r>
          </w:p>
        </w:tc>
      </w:tr>
      <w:tr>
        <w:trPr>
          <w:trHeight w:val="1377" w:hRule="atLeast"/>
        </w:trPr>
        <w:tc>
          <w:tcPr>
            <w:tcW w:w="1444" w:type="dxa"/>
            <w:vAlign w:val="top"/>
          </w:tcPr>
          <w:p>
            <w:pPr>
              <w:spacing w:line="470" w:lineRule="auto"/>
              <w:rPr>
                <w:rFonts w:ascii="Arial"/>
                <w:sz w:val="21"/>
              </w:rPr>
            </w:pPr>
            <w:r/>
          </w:p>
          <w:p>
            <w:pPr>
              <w:pStyle w:val="TableText"/>
              <w:ind w:left="458"/>
              <w:spacing w:before="85" w:line="219" w:lineRule="auto"/>
              <w:rPr>
                <w:sz w:val="26"/>
                <w:szCs w:val="26"/>
              </w:rPr>
            </w:pPr>
            <w:r>
              <w:rPr>
                <w:sz w:val="26"/>
                <w:szCs w:val="26"/>
                <w:b/>
                <w:bCs/>
                <w:spacing w:val="-6"/>
              </w:rPr>
              <w:t>较轻</w:t>
            </w:r>
          </w:p>
        </w:tc>
        <w:tc>
          <w:tcPr>
            <w:tcW w:w="6165" w:type="dxa"/>
            <w:vAlign w:val="top"/>
          </w:tcPr>
          <w:p>
            <w:pPr>
              <w:spacing w:line="335" w:lineRule="auto"/>
              <w:rPr>
                <w:rFonts w:ascii="Arial"/>
                <w:sz w:val="21"/>
              </w:rPr>
            </w:pPr>
            <w:r/>
          </w:p>
          <w:p>
            <w:pPr>
              <w:pStyle w:val="TableText"/>
              <w:ind w:left="100" w:hanging="89"/>
              <w:spacing w:before="85" w:line="236" w:lineRule="auto"/>
              <w:rPr>
                <w:sz w:val="26"/>
                <w:szCs w:val="26"/>
              </w:rPr>
            </w:pPr>
            <w:r>
              <w:rPr>
                <w:sz w:val="26"/>
                <w:szCs w:val="26"/>
                <w:spacing w:val="-4"/>
              </w:rPr>
              <w:t>生产或者销售无卫生许可批准文件的涉及饮用水卫</w:t>
            </w:r>
            <w:r>
              <w:rPr>
                <w:sz w:val="26"/>
                <w:szCs w:val="26"/>
                <w:spacing w:val="-5"/>
              </w:rPr>
              <w:t>生安</w:t>
            </w:r>
            <w:r>
              <w:rPr>
                <w:sz w:val="26"/>
                <w:szCs w:val="26"/>
              </w:rPr>
              <w:t xml:space="preserve"> </w:t>
            </w:r>
            <w:r>
              <w:rPr>
                <w:sz w:val="26"/>
                <w:szCs w:val="26"/>
                <w:spacing w:val="1"/>
              </w:rPr>
              <w:t>全产品持续时间不足3个月的</w:t>
            </w:r>
          </w:p>
        </w:tc>
        <w:tc>
          <w:tcPr>
            <w:tcW w:w="6189" w:type="dxa"/>
            <w:vAlign w:val="top"/>
          </w:tcPr>
          <w:p>
            <w:pPr>
              <w:pStyle w:val="TableText"/>
              <w:ind w:left="105" w:firstLine="29"/>
              <w:spacing w:before="81" w:line="241" w:lineRule="auto"/>
              <w:rPr>
                <w:sz w:val="26"/>
                <w:szCs w:val="26"/>
              </w:rPr>
            </w:pPr>
            <w:r>
              <w:rPr>
                <w:sz w:val="26"/>
                <w:szCs w:val="26"/>
                <w:spacing w:val="-3"/>
              </w:rPr>
              <w:t>没有违法所得：责令改进，并处以500元以上3000元以</w:t>
            </w:r>
            <w:r>
              <w:rPr>
                <w:sz w:val="26"/>
                <w:szCs w:val="26"/>
                <w:spacing w:val="13"/>
              </w:rPr>
              <w:t xml:space="preserve"> </w:t>
            </w:r>
            <w:r>
              <w:rPr>
                <w:sz w:val="26"/>
                <w:szCs w:val="26"/>
                <w:spacing w:val="2"/>
              </w:rPr>
              <w:t>下的罚款</w:t>
            </w:r>
          </w:p>
          <w:p>
            <w:pPr>
              <w:pStyle w:val="TableText"/>
              <w:ind w:left="105"/>
              <w:spacing w:line="215" w:lineRule="auto"/>
              <w:rPr>
                <w:sz w:val="26"/>
                <w:szCs w:val="26"/>
              </w:rPr>
            </w:pPr>
            <w:r>
              <w:rPr>
                <w:sz w:val="26"/>
                <w:szCs w:val="26"/>
                <w:spacing w:val="-2"/>
              </w:rPr>
              <w:t>有违法所得：责令改进，并处以违法所得1倍以下，不</w:t>
            </w:r>
            <w:r>
              <w:rPr>
                <w:sz w:val="26"/>
                <w:szCs w:val="26"/>
                <w:spacing w:val="10"/>
              </w:rPr>
              <w:t xml:space="preserve"> </w:t>
            </w:r>
            <w:r>
              <w:rPr>
                <w:sz w:val="26"/>
                <w:szCs w:val="26"/>
              </w:rPr>
              <w:t>低于500元的罚款，最高不超过30000元</w:t>
            </w:r>
          </w:p>
        </w:tc>
      </w:tr>
      <w:tr>
        <w:trPr>
          <w:trHeight w:val="1347" w:hRule="atLeast"/>
        </w:trPr>
        <w:tc>
          <w:tcPr>
            <w:tcW w:w="1444" w:type="dxa"/>
            <w:vAlign w:val="top"/>
          </w:tcPr>
          <w:p>
            <w:pPr>
              <w:spacing w:line="465" w:lineRule="auto"/>
              <w:rPr>
                <w:rFonts w:ascii="Arial"/>
                <w:sz w:val="21"/>
              </w:rPr>
            </w:pPr>
            <w:r/>
          </w:p>
          <w:p>
            <w:pPr>
              <w:pStyle w:val="TableText"/>
              <w:ind w:left="458"/>
              <w:spacing w:before="84" w:line="221" w:lineRule="auto"/>
              <w:rPr>
                <w:sz w:val="26"/>
                <w:szCs w:val="26"/>
              </w:rPr>
            </w:pPr>
            <w:r>
              <w:rPr>
                <w:sz w:val="26"/>
                <w:szCs w:val="26"/>
                <w:b/>
                <w:bCs/>
                <w:spacing w:val="-10"/>
              </w:rPr>
              <w:t>一般</w:t>
            </w:r>
          </w:p>
        </w:tc>
        <w:tc>
          <w:tcPr>
            <w:tcW w:w="6165" w:type="dxa"/>
            <w:vAlign w:val="top"/>
          </w:tcPr>
          <w:p>
            <w:pPr>
              <w:spacing w:line="309" w:lineRule="auto"/>
              <w:rPr>
                <w:rFonts w:ascii="Arial"/>
                <w:sz w:val="21"/>
              </w:rPr>
            </w:pPr>
            <w:r/>
          </w:p>
          <w:p>
            <w:pPr>
              <w:pStyle w:val="TableText"/>
              <w:ind w:left="110" w:hanging="99"/>
              <w:spacing w:before="84" w:line="243" w:lineRule="auto"/>
              <w:rPr>
                <w:sz w:val="26"/>
                <w:szCs w:val="26"/>
              </w:rPr>
            </w:pPr>
            <w:r>
              <w:rPr>
                <w:sz w:val="26"/>
                <w:szCs w:val="26"/>
                <w:spacing w:val="-4"/>
              </w:rPr>
              <w:t>生产或者销售无卫生许可批准文件的涉及饮用水卫</w:t>
            </w:r>
            <w:r>
              <w:rPr>
                <w:sz w:val="26"/>
                <w:szCs w:val="26"/>
                <w:spacing w:val="-5"/>
              </w:rPr>
              <w:t>生安</w:t>
            </w:r>
            <w:r>
              <w:rPr>
                <w:sz w:val="26"/>
                <w:szCs w:val="26"/>
              </w:rPr>
              <w:t xml:space="preserve"> </w:t>
            </w:r>
            <w:r>
              <w:rPr>
                <w:sz w:val="26"/>
                <w:szCs w:val="26"/>
                <w:spacing w:val="1"/>
              </w:rPr>
              <w:t>全产品持续时间3到6个月的</w:t>
            </w:r>
          </w:p>
        </w:tc>
        <w:tc>
          <w:tcPr>
            <w:tcW w:w="6189" w:type="dxa"/>
            <w:vAlign w:val="top"/>
          </w:tcPr>
          <w:p>
            <w:pPr>
              <w:pStyle w:val="TableText"/>
              <w:ind w:left="105"/>
              <w:spacing w:before="63" w:line="238" w:lineRule="auto"/>
              <w:rPr>
                <w:sz w:val="26"/>
                <w:szCs w:val="26"/>
              </w:rPr>
            </w:pPr>
            <w:r>
              <w:rPr>
                <w:sz w:val="26"/>
                <w:szCs w:val="26"/>
                <w:spacing w:val="-6"/>
              </w:rPr>
              <w:t>没有违法所得：责令改进，并处以3000元以上6000元以</w:t>
            </w:r>
            <w:r>
              <w:rPr>
                <w:sz w:val="26"/>
                <w:szCs w:val="26"/>
              </w:rPr>
              <w:t xml:space="preserve"> </w:t>
            </w:r>
            <w:r>
              <w:rPr>
                <w:sz w:val="26"/>
                <w:szCs w:val="26"/>
                <w:spacing w:val="2"/>
              </w:rPr>
              <w:t>下的罚款</w:t>
            </w:r>
          </w:p>
          <w:p>
            <w:pPr>
              <w:pStyle w:val="TableText"/>
              <w:ind w:left="125" w:right="83" w:hanging="20"/>
              <w:spacing w:line="214" w:lineRule="auto"/>
              <w:rPr>
                <w:sz w:val="26"/>
                <w:szCs w:val="26"/>
              </w:rPr>
            </w:pPr>
            <w:r>
              <w:rPr>
                <w:sz w:val="26"/>
                <w:szCs w:val="26"/>
              </w:rPr>
              <w:t>有违法所得：责令改进，并处以违法所得1倍以上2倍</w:t>
            </w:r>
            <w:r>
              <w:rPr>
                <w:sz w:val="26"/>
                <w:szCs w:val="26"/>
                <w:spacing w:val="8"/>
              </w:rPr>
              <w:t xml:space="preserve"> </w:t>
            </w:r>
            <w:r>
              <w:rPr>
                <w:sz w:val="26"/>
                <w:szCs w:val="26"/>
              </w:rPr>
              <w:t>以下，但不低于3000元的罚款，最高不超过30000元</w:t>
            </w:r>
          </w:p>
        </w:tc>
      </w:tr>
      <w:tr>
        <w:trPr>
          <w:trHeight w:val="1342" w:hRule="atLeast"/>
        </w:trPr>
        <w:tc>
          <w:tcPr>
            <w:tcW w:w="1444" w:type="dxa"/>
            <w:vAlign w:val="top"/>
          </w:tcPr>
          <w:p>
            <w:pPr>
              <w:spacing w:line="460" w:lineRule="auto"/>
              <w:rPr>
                <w:rFonts w:ascii="Arial"/>
                <w:sz w:val="21"/>
              </w:rPr>
            </w:pPr>
            <w:r/>
          </w:p>
          <w:p>
            <w:pPr>
              <w:pStyle w:val="TableText"/>
              <w:ind w:left="458"/>
              <w:spacing w:before="84" w:line="221" w:lineRule="auto"/>
              <w:rPr>
                <w:sz w:val="26"/>
                <w:szCs w:val="26"/>
              </w:rPr>
            </w:pPr>
            <w:r>
              <w:rPr>
                <w:sz w:val="26"/>
                <w:szCs w:val="26"/>
                <w:b/>
                <w:bCs/>
                <w:spacing w:val="-6"/>
              </w:rPr>
              <w:t>较重</w:t>
            </w:r>
          </w:p>
        </w:tc>
        <w:tc>
          <w:tcPr>
            <w:tcW w:w="6165" w:type="dxa"/>
            <w:vAlign w:val="top"/>
          </w:tcPr>
          <w:p>
            <w:pPr>
              <w:spacing w:line="320" w:lineRule="auto"/>
              <w:rPr>
                <w:rFonts w:ascii="Arial"/>
                <w:sz w:val="21"/>
              </w:rPr>
            </w:pPr>
            <w:r/>
          </w:p>
          <w:p>
            <w:pPr>
              <w:pStyle w:val="TableText"/>
              <w:ind w:left="110" w:hanging="99"/>
              <w:spacing w:before="84" w:line="251" w:lineRule="auto"/>
              <w:rPr>
                <w:sz w:val="26"/>
                <w:szCs w:val="26"/>
              </w:rPr>
            </w:pPr>
            <w:r>
              <w:rPr>
                <w:sz w:val="26"/>
                <w:szCs w:val="26"/>
                <w:spacing w:val="-4"/>
              </w:rPr>
              <w:t>生产或者销售无卫生许可批准文件的涉及饮用水卫</w:t>
            </w:r>
            <w:r>
              <w:rPr>
                <w:sz w:val="26"/>
                <w:szCs w:val="26"/>
                <w:spacing w:val="-5"/>
              </w:rPr>
              <w:t>生安</w:t>
            </w:r>
            <w:r>
              <w:rPr>
                <w:sz w:val="26"/>
                <w:szCs w:val="26"/>
              </w:rPr>
              <w:t xml:space="preserve"> </w:t>
            </w:r>
            <w:r>
              <w:rPr>
                <w:sz w:val="26"/>
                <w:szCs w:val="26"/>
                <w:spacing w:val="1"/>
              </w:rPr>
              <w:t>全产品持续时间超过6个月的</w:t>
            </w:r>
          </w:p>
        </w:tc>
        <w:tc>
          <w:tcPr>
            <w:tcW w:w="6189" w:type="dxa"/>
            <w:vAlign w:val="top"/>
          </w:tcPr>
          <w:p>
            <w:pPr>
              <w:pStyle w:val="TableText"/>
              <w:ind w:left="135" w:right="2"/>
              <w:spacing w:before="77" w:line="241" w:lineRule="auto"/>
              <w:rPr>
                <w:sz w:val="26"/>
                <w:szCs w:val="26"/>
              </w:rPr>
            </w:pPr>
            <w:r>
              <w:rPr>
                <w:sz w:val="26"/>
                <w:szCs w:val="26"/>
                <w:spacing w:val="-3"/>
              </w:rPr>
              <w:t>没有违法所得：责令改进，并处以6000元以上10000元</w:t>
            </w:r>
            <w:r>
              <w:rPr>
                <w:sz w:val="26"/>
                <w:szCs w:val="26"/>
                <w:spacing w:val="14"/>
              </w:rPr>
              <w:t xml:space="preserve"> </w:t>
            </w:r>
            <w:r>
              <w:rPr>
                <w:sz w:val="26"/>
                <w:szCs w:val="26"/>
                <w:spacing w:val="1"/>
              </w:rPr>
              <w:t>以下的元罚款</w:t>
            </w:r>
          </w:p>
          <w:p>
            <w:pPr>
              <w:pStyle w:val="TableText"/>
              <w:ind w:left="125" w:right="83" w:hanging="20"/>
              <w:spacing w:line="204" w:lineRule="auto"/>
              <w:rPr>
                <w:sz w:val="26"/>
                <w:szCs w:val="26"/>
              </w:rPr>
            </w:pPr>
            <w:r>
              <w:rPr>
                <w:sz w:val="26"/>
                <w:szCs w:val="26"/>
              </w:rPr>
              <w:t>有违法所得：责令改进，并处以违法所得2倍以上3倍</w:t>
            </w:r>
            <w:r>
              <w:rPr>
                <w:sz w:val="26"/>
                <w:szCs w:val="26"/>
                <w:spacing w:val="8"/>
              </w:rPr>
              <w:t xml:space="preserve"> </w:t>
            </w:r>
            <w:r>
              <w:rPr>
                <w:sz w:val="26"/>
                <w:szCs w:val="26"/>
              </w:rPr>
              <w:t>以下，但不低于6000元的罚款，最高不超过30000元</w:t>
            </w:r>
          </w:p>
        </w:tc>
      </w:tr>
    </w:tbl>
    <w:p>
      <w:pPr>
        <w:pStyle w:val="BodyText"/>
        <w:rPr/>
      </w:pPr>
      <w:r/>
    </w:p>
    <w:p>
      <w:pPr>
        <w:sectPr>
          <w:footerReference w:type="default" r:id="rId468"/>
          <w:pgSz w:w="16830" w:h="11900"/>
          <w:pgMar w:top="1011" w:right="1424" w:bottom="1117" w:left="1325" w:header="0" w:footer="784" w:gutter="0"/>
        </w:sectPr>
        <w:rPr/>
      </w:pPr>
    </w:p>
    <w:p>
      <w:pPr>
        <w:pStyle w:val="BodyText"/>
        <w:spacing w:line="263" w:lineRule="auto"/>
        <w:rPr/>
      </w:pPr>
      <w:r/>
    </w:p>
    <w:p>
      <w:pPr>
        <w:pStyle w:val="BodyText"/>
        <w:spacing w:line="263" w:lineRule="auto"/>
        <w:rPr/>
      </w:pPr>
      <w:r/>
    </w:p>
    <w:p>
      <w:pPr>
        <w:pStyle w:val="BodyText"/>
        <w:spacing w:line="263" w:lineRule="auto"/>
        <w:rPr/>
      </w:pPr>
      <w:r/>
    </w:p>
    <w:p>
      <w:pPr>
        <w:ind w:left="899"/>
        <w:spacing w:before="98" w:line="224" w:lineRule="auto"/>
        <w:rPr>
          <w:rFonts w:ascii="KaiTi" w:hAnsi="KaiTi" w:eastAsia="KaiTi" w:cs="KaiTi"/>
          <w:sz w:val="30"/>
          <w:szCs w:val="30"/>
        </w:rPr>
      </w:pPr>
      <w:bookmarkStart w:name="bookmark1113" w:id="488"/>
      <w:bookmarkEnd w:id="488"/>
      <w:r>
        <w:rPr>
          <w:rFonts w:ascii="KaiTi" w:hAnsi="KaiTi" w:eastAsia="KaiTi" w:cs="KaiTi"/>
          <w:sz w:val="30"/>
          <w:szCs w:val="30"/>
          <w:b/>
          <w:bCs/>
          <w:spacing w:val="26"/>
        </w:rPr>
        <w:t>(三)《中华人民共和国传染病防治法》</w:t>
      </w:r>
    </w:p>
    <w:p>
      <w:pPr>
        <w:ind w:left="119" w:right="112" w:firstLine="660"/>
        <w:spacing w:before="324" w:line="284" w:lineRule="auto"/>
        <w:rPr>
          <w:rFonts w:ascii="FangSong" w:hAnsi="FangSong" w:eastAsia="FangSong" w:cs="FangSong"/>
          <w:sz w:val="30"/>
          <w:szCs w:val="30"/>
        </w:rPr>
      </w:pPr>
      <w:r>
        <w:rPr>
          <w:rFonts w:ascii="FangSong" w:hAnsi="FangSong" w:eastAsia="FangSong" w:cs="FangSong"/>
          <w:sz w:val="30"/>
          <w:szCs w:val="30"/>
          <w:b/>
          <w:bCs/>
          <w:spacing w:val="21"/>
        </w:rPr>
        <w:t>第四百四十三条饮用水供水单位供应的饮用水不符合国家卫生标</w:t>
      </w:r>
      <w:r>
        <w:rPr>
          <w:rFonts w:ascii="FangSong" w:hAnsi="FangSong" w:eastAsia="FangSong" w:cs="FangSong"/>
          <w:sz w:val="30"/>
          <w:szCs w:val="30"/>
          <w:b/>
          <w:bCs/>
          <w:spacing w:val="20"/>
        </w:rPr>
        <w:t>准和卫生规范，导致或者可能</w:t>
      </w:r>
      <w:r>
        <w:rPr>
          <w:rFonts w:ascii="FangSong" w:hAnsi="FangSong" w:eastAsia="FangSong" w:cs="FangSong"/>
          <w:sz w:val="30"/>
          <w:szCs w:val="30"/>
        </w:rPr>
        <w:t xml:space="preserve"> </w:t>
      </w:r>
      <w:r>
        <w:rPr>
          <w:rFonts w:ascii="FangSong" w:hAnsi="FangSong" w:eastAsia="FangSong" w:cs="FangSong"/>
          <w:sz w:val="30"/>
          <w:szCs w:val="30"/>
          <w:b/>
          <w:bCs/>
          <w:spacing w:val="12"/>
        </w:rPr>
        <w:t>导致传染病传播、流行的</w:t>
      </w:r>
    </w:p>
    <w:p>
      <w:pPr>
        <w:ind w:left="774"/>
        <w:spacing w:before="4"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114" w:right="95" w:firstLine="660"/>
        <w:spacing w:before="97" w:line="265" w:lineRule="auto"/>
        <w:jc w:val="both"/>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《中华人民共和国传染病防治法》第七十三条第(一)项</w:t>
      </w:r>
      <w:r>
        <w:rPr>
          <w:rFonts w:ascii="FangSong" w:hAnsi="FangSong" w:eastAsia="FangSong" w:cs="FangSong"/>
          <w:sz w:val="30"/>
          <w:szCs w:val="30"/>
          <w:spacing w:val="19"/>
        </w:rPr>
        <w:t xml:space="preserve">  </w:t>
      </w:r>
      <w:r>
        <w:rPr>
          <w:rFonts w:ascii="FangSong" w:hAnsi="FangSong" w:eastAsia="FangSong" w:cs="FangSong"/>
          <w:sz w:val="30"/>
          <w:szCs w:val="30"/>
          <w:spacing w:val="19"/>
        </w:rPr>
        <w:t>违反本法规定，有</w:t>
      </w:r>
      <w:r>
        <w:rPr>
          <w:rFonts w:ascii="FangSong" w:hAnsi="FangSong" w:eastAsia="FangSong" w:cs="FangSong"/>
          <w:sz w:val="30"/>
          <w:szCs w:val="30"/>
          <w:spacing w:val="18"/>
        </w:rPr>
        <w:t>下列情形之一，</w:t>
      </w:r>
      <w:r>
        <w:rPr>
          <w:rFonts w:ascii="FangSong" w:hAnsi="FangSong" w:eastAsia="FangSong" w:cs="FangSong"/>
          <w:sz w:val="30"/>
          <w:szCs w:val="30"/>
        </w:rPr>
        <w:t xml:space="preserve"> </w:t>
      </w:r>
      <w:r>
        <w:rPr>
          <w:rFonts w:ascii="FangSong" w:hAnsi="FangSong" w:eastAsia="FangSong" w:cs="FangSong"/>
          <w:sz w:val="30"/>
          <w:szCs w:val="30"/>
          <w:spacing w:val="16"/>
        </w:rPr>
        <w:t>导致或者可能导致传染病传播、流行的，由县级以上人民政府卫生行政部门责令限期改正，没收违法</w:t>
      </w:r>
      <w:r>
        <w:rPr>
          <w:rFonts w:ascii="FangSong" w:hAnsi="FangSong" w:eastAsia="FangSong" w:cs="FangSong"/>
          <w:sz w:val="30"/>
          <w:szCs w:val="30"/>
          <w:spacing w:val="14"/>
        </w:rPr>
        <w:t xml:space="preserve"> </w:t>
      </w:r>
      <w:r>
        <w:rPr>
          <w:rFonts w:ascii="FangSong" w:hAnsi="FangSong" w:eastAsia="FangSong" w:cs="FangSong"/>
          <w:sz w:val="30"/>
          <w:szCs w:val="30"/>
          <w:spacing w:val="17"/>
        </w:rPr>
        <w:t>所得，可以并处五万元以下的罚款；已取得许可证的，原发证部门可以依法暂扣或者吊销许可证；构</w:t>
      </w:r>
      <w:r>
        <w:rPr>
          <w:rFonts w:ascii="FangSong" w:hAnsi="FangSong" w:eastAsia="FangSong" w:cs="FangSong"/>
          <w:sz w:val="30"/>
          <w:szCs w:val="30"/>
          <w:spacing w:val="4"/>
        </w:rPr>
        <w:t xml:space="preserve"> </w:t>
      </w:r>
      <w:r>
        <w:rPr>
          <w:rFonts w:ascii="FangSong" w:hAnsi="FangSong" w:eastAsia="FangSong" w:cs="FangSong"/>
          <w:sz w:val="30"/>
          <w:szCs w:val="30"/>
          <w:spacing w:val="13"/>
        </w:rPr>
        <w:t>成犯罪的，依法追究刑事责任：</w:t>
      </w:r>
    </w:p>
    <w:p>
      <w:pPr>
        <w:ind w:left="894"/>
        <w:spacing w:before="33" w:line="221" w:lineRule="auto"/>
        <w:rPr>
          <w:rFonts w:ascii="FangSong" w:hAnsi="FangSong" w:eastAsia="FangSong" w:cs="FangSong"/>
          <w:sz w:val="30"/>
          <w:szCs w:val="30"/>
        </w:rPr>
      </w:pPr>
      <w:r>
        <w:rPr>
          <w:rFonts w:ascii="FangSong" w:hAnsi="FangSong" w:eastAsia="FangSong" w:cs="FangSong"/>
          <w:sz w:val="30"/>
          <w:szCs w:val="30"/>
          <w:spacing w:val="22"/>
        </w:rPr>
        <w:t>(一)饮用水供水单位供应的饮用水不符合国家卫生标准和卫生规范的；</w:t>
      </w:r>
    </w:p>
    <w:p>
      <w:pPr>
        <w:ind w:left="6528"/>
        <w:spacing w:before="211"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42" w:lineRule="auto"/>
        <w:rPr>
          <w:rFonts w:ascii="Arial"/>
          <w:sz w:val="2"/>
        </w:rPr>
      </w:pPr>
      <w:r>
        <w:rPr>
          <w:rFonts w:ascii="Arial"/>
          <w:sz w:val="2"/>
        </w:rPr>
      </w:r>
    </w:p>
    <w:tbl>
      <w:tblPr>
        <w:tblStyle w:val="TableNormal"/>
        <w:tblW w:w="141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53"/>
        <w:gridCol w:w="8094"/>
        <w:gridCol w:w="4412"/>
      </w:tblGrid>
      <w:tr>
        <w:trPr>
          <w:trHeight w:val="424" w:hRule="atLeast"/>
        </w:trPr>
        <w:tc>
          <w:tcPr>
            <w:tcW w:w="1653" w:type="dxa"/>
            <w:vAlign w:val="top"/>
          </w:tcPr>
          <w:p>
            <w:pPr>
              <w:pStyle w:val="TableText"/>
              <w:ind w:left="318"/>
              <w:spacing w:before="92" w:line="220" w:lineRule="auto"/>
              <w:rPr>
                <w:sz w:val="25"/>
                <w:szCs w:val="25"/>
              </w:rPr>
            </w:pPr>
            <w:r>
              <w:rPr>
                <w:sz w:val="25"/>
                <w:szCs w:val="25"/>
                <w:b/>
                <w:bCs/>
                <w:spacing w:val="-5"/>
              </w:rPr>
              <w:t>违法程度</w:t>
            </w:r>
          </w:p>
        </w:tc>
        <w:tc>
          <w:tcPr>
            <w:tcW w:w="8094" w:type="dxa"/>
            <w:vAlign w:val="top"/>
          </w:tcPr>
          <w:p>
            <w:pPr>
              <w:pStyle w:val="TableText"/>
              <w:ind w:left="3485"/>
              <w:spacing w:before="92" w:line="220" w:lineRule="auto"/>
              <w:rPr>
                <w:sz w:val="25"/>
                <w:szCs w:val="25"/>
              </w:rPr>
            </w:pPr>
            <w:r>
              <w:rPr>
                <w:sz w:val="25"/>
                <w:szCs w:val="25"/>
                <w:b/>
                <w:bCs/>
                <w:spacing w:val="-5"/>
              </w:rPr>
              <w:t>情节后果</w:t>
            </w:r>
          </w:p>
        </w:tc>
        <w:tc>
          <w:tcPr>
            <w:tcW w:w="4412" w:type="dxa"/>
            <w:vAlign w:val="top"/>
          </w:tcPr>
          <w:p>
            <w:pPr>
              <w:pStyle w:val="TableText"/>
              <w:ind w:left="1701"/>
              <w:spacing w:before="89" w:line="218" w:lineRule="auto"/>
              <w:rPr>
                <w:sz w:val="25"/>
                <w:szCs w:val="25"/>
              </w:rPr>
            </w:pPr>
            <w:r>
              <w:rPr>
                <w:sz w:val="25"/>
                <w:szCs w:val="25"/>
                <w:b/>
                <w:bCs/>
                <w:spacing w:val="-5"/>
              </w:rPr>
              <w:t>裁量幅度</w:t>
            </w:r>
          </w:p>
        </w:tc>
      </w:tr>
      <w:tr>
        <w:trPr>
          <w:trHeight w:val="678" w:hRule="atLeast"/>
        </w:trPr>
        <w:tc>
          <w:tcPr>
            <w:tcW w:w="1653" w:type="dxa"/>
            <w:vAlign w:val="top"/>
          </w:tcPr>
          <w:p>
            <w:pPr>
              <w:pStyle w:val="TableText"/>
              <w:ind w:left="568"/>
              <w:spacing w:before="219" w:line="221" w:lineRule="auto"/>
              <w:rPr>
                <w:sz w:val="25"/>
                <w:szCs w:val="25"/>
              </w:rPr>
            </w:pPr>
            <w:r>
              <w:rPr>
                <w:sz w:val="25"/>
                <w:szCs w:val="25"/>
                <w:b/>
                <w:bCs/>
                <w:spacing w:val="-10"/>
              </w:rPr>
              <w:t>一般</w:t>
            </w:r>
          </w:p>
        </w:tc>
        <w:tc>
          <w:tcPr>
            <w:tcW w:w="8094" w:type="dxa"/>
            <w:vAlign w:val="top"/>
          </w:tcPr>
          <w:p>
            <w:pPr>
              <w:pStyle w:val="TableText"/>
              <w:ind w:left="111" w:right="106"/>
              <w:spacing w:before="69" w:line="221" w:lineRule="auto"/>
              <w:rPr>
                <w:sz w:val="25"/>
                <w:szCs w:val="25"/>
              </w:rPr>
            </w:pPr>
            <w:r>
              <w:rPr>
                <w:sz w:val="25"/>
                <w:szCs w:val="25"/>
              </w:rPr>
              <w:t>饮用水供水单位供应的饮用水3项指标以下不符</w:t>
            </w:r>
            <w:r>
              <w:rPr>
                <w:sz w:val="25"/>
                <w:szCs w:val="25"/>
                <w:spacing w:val="-1"/>
              </w:rPr>
              <w:t>合国家卫生标准和卫生规</w:t>
            </w:r>
            <w:r>
              <w:rPr>
                <w:sz w:val="25"/>
                <w:szCs w:val="25"/>
              </w:rPr>
              <w:t xml:space="preserve"> </w:t>
            </w:r>
            <w:r>
              <w:rPr>
                <w:sz w:val="25"/>
                <w:szCs w:val="25"/>
                <w:spacing w:val="1"/>
              </w:rPr>
              <w:t>范，可能导致传染病传播、流行的</w:t>
            </w:r>
          </w:p>
        </w:tc>
        <w:tc>
          <w:tcPr>
            <w:tcW w:w="4412" w:type="dxa"/>
            <w:vAlign w:val="top"/>
          </w:tcPr>
          <w:p>
            <w:pPr>
              <w:pStyle w:val="TableText"/>
              <w:ind w:left="117" w:right="63" w:hanging="40"/>
              <w:spacing w:before="69" w:line="221" w:lineRule="auto"/>
              <w:rPr>
                <w:sz w:val="25"/>
                <w:szCs w:val="25"/>
              </w:rPr>
            </w:pPr>
            <w:r>
              <w:rPr>
                <w:sz w:val="25"/>
                <w:szCs w:val="25"/>
              </w:rPr>
              <w:t>责令限期改正，没收违法所得，可以并</w:t>
            </w:r>
            <w:r>
              <w:rPr>
                <w:sz w:val="25"/>
                <w:szCs w:val="25"/>
                <w:spacing w:val="9"/>
              </w:rPr>
              <w:t xml:space="preserve"> </w:t>
            </w:r>
            <w:r>
              <w:rPr>
                <w:sz w:val="25"/>
                <w:szCs w:val="25"/>
              </w:rPr>
              <w:t>处以15000元以下罚款</w:t>
            </w:r>
          </w:p>
        </w:tc>
      </w:tr>
      <w:tr>
        <w:trPr>
          <w:trHeight w:val="668" w:hRule="atLeast"/>
        </w:trPr>
        <w:tc>
          <w:tcPr>
            <w:tcW w:w="1653" w:type="dxa"/>
            <w:vAlign w:val="top"/>
          </w:tcPr>
          <w:p>
            <w:pPr>
              <w:pStyle w:val="TableText"/>
              <w:ind w:left="568"/>
              <w:spacing w:before="209" w:line="219" w:lineRule="auto"/>
              <w:rPr>
                <w:sz w:val="25"/>
                <w:szCs w:val="25"/>
              </w:rPr>
            </w:pPr>
            <w:r>
              <w:rPr>
                <w:sz w:val="25"/>
                <w:szCs w:val="25"/>
                <w:b/>
                <w:bCs/>
                <w:spacing w:val="-6"/>
              </w:rPr>
              <w:t>较轻</w:t>
            </w:r>
          </w:p>
        </w:tc>
        <w:tc>
          <w:tcPr>
            <w:tcW w:w="8094" w:type="dxa"/>
            <w:vAlign w:val="top"/>
          </w:tcPr>
          <w:p>
            <w:pPr>
              <w:pStyle w:val="TableText"/>
              <w:ind w:left="111" w:right="106"/>
              <w:spacing w:before="91" w:line="209" w:lineRule="auto"/>
              <w:rPr>
                <w:sz w:val="25"/>
                <w:szCs w:val="25"/>
              </w:rPr>
            </w:pPr>
            <w:r>
              <w:rPr>
                <w:sz w:val="25"/>
                <w:szCs w:val="25"/>
              </w:rPr>
              <w:t>饮用水供水单位供应的饮用水3项以上指标不符</w:t>
            </w:r>
            <w:r>
              <w:rPr>
                <w:sz w:val="25"/>
                <w:szCs w:val="25"/>
                <w:spacing w:val="-1"/>
              </w:rPr>
              <w:t>合国家卫生标准和卫生规</w:t>
            </w:r>
            <w:r>
              <w:rPr>
                <w:sz w:val="25"/>
                <w:szCs w:val="25"/>
              </w:rPr>
              <w:t xml:space="preserve"> </w:t>
            </w:r>
            <w:r>
              <w:rPr>
                <w:sz w:val="25"/>
                <w:szCs w:val="25"/>
                <w:spacing w:val="1"/>
              </w:rPr>
              <w:t>范，可能导致传染病传播、流行的</w:t>
            </w:r>
          </w:p>
        </w:tc>
        <w:tc>
          <w:tcPr>
            <w:tcW w:w="4412" w:type="dxa"/>
            <w:vAlign w:val="top"/>
          </w:tcPr>
          <w:p>
            <w:pPr>
              <w:pStyle w:val="TableText"/>
              <w:ind w:left="117" w:right="193" w:firstLine="79"/>
              <w:spacing w:before="81" w:line="213" w:lineRule="auto"/>
              <w:rPr>
                <w:sz w:val="25"/>
                <w:szCs w:val="25"/>
              </w:rPr>
            </w:pPr>
            <w:r>
              <w:rPr>
                <w:sz w:val="25"/>
                <w:szCs w:val="25"/>
              </w:rPr>
              <w:t>责令限期改正，没收违法所得，罚款</w:t>
            </w:r>
            <w:r>
              <w:rPr>
                <w:sz w:val="25"/>
                <w:szCs w:val="25"/>
                <w:spacing w:val="9"/>
              </w:rPr>
              <w:t xml:space="preserve"> </w:t>
            </w:r>
            <w:r>
              <w:rPr>
                <w:sz w:val="25"/>
                <w:szCs w:val="25"/>
                <w:spacing w:val="1"/>
              </w:rPr>
              <w:t>15000元以上35000元以下</w:t>
            </w:r>
          </w:p>
        </w:tc>
      </w:tr>
      <w:tr>
        <w:trPr>
          <w:trHeight w:val="1370" w:hRule="atLeast"/>
        </w:trPr>
        <w:tc>
          <w:tcPr>
            <w:tcW w:w="1653" w:type="dxa"/>
            <w:vAlign w:val="top"/>
          </w:tcPr>
          <w:p>
            <w:pPr>
              <w:spacing w:line="478" w:lineRule="auto"/>
              <w:rPr>
                <w:rFonts w:ascii="Arial"/>
                <w:sz w:val="21"/>
              </w:rPr>
            </w:pPr>
            <w:r/>
          </w:p>
          <w:p>
            <w:pPr>
              <w:pStyle w:val="TableText"/>
              <w:ind w:left="568"/>
              <w:spacing w:before="81" w:line="220" w:lineRule="auto"/>
              <w:rPr>
                <w:sz w:val="25"/>
                <w:szCs w:val="25"/>
              </w:rPr>
            </w:pPr>
            <w:r>
              <w:rPr>
                <w:sz w:val="25"/>
                <w:szCs w:val="25"/>
                <w:b/>
                <w:bCs/>
                <w:spacing w:val="-6"/>
              </w:rPr>
              <w:t>严重</w:t>
            </w:r>
          </w:p>
        </w:tc>
        <w:tc>
          <w:tcPr>
            <w:tcW w:w="8094" w:type="dxa"/>
            <w:vAlign w:val="top"/>
          </w:tcPr>
          <w:p>
            <w:pPr>
              <w:spacing w:line="479" w:lineRule="auto"/>
              <w:rPr>
                <w:rFonts w:ascii="Arial"/>
                <w:sz w:val="21"/>
              </w:rPr>
            </w:pPr>
            <w:r/>
          </w:p>
          <w:p>
            <w:pPr>
              <w:pStyle w:val="TableText"/>
              <w:ind w:left="111"/>
              <w:spacing w:before="81" w:line="219" w:lineRule="auto"/>
              <w:rPr>
                <w:sz w:val="25"/>
                <w:szCs w:val="25"/>
              </w:rPr>
            </w:pPr>
            <w:r>
              <w:rPr>
                <w:sz w:val="25"/>
                <w:szCs w:val="25"/>
              </w:rPr>
              <w:t>生活饮用水不符合国家卫生标准和卫生规范，导致传染病传播、流行的</w:t>
            </w:r>
          </w:p>
        </w:tc>
        <w:tc>
          <w:tcPr>
            <w:tcW w:w="4412" w:type="dxa"/>
            <w:vAlign w:val="top"/>
          </w:tcPr>
          <w:p>
            <w:pPr>
              <w:pStyle w:val="TableText"/>
              <w:ind w:left="77" w:right="63" w:firstLine="119"/>
              <w:spacing w:before="81" w:line="236" w:lineRule="auto"/>
              <w:rPr>
                <w:sz w:val="25"/>
                <w:szCs w:val="25"/>
              </w:rPr>
            </w:pPr>
            <w:r>
              <w:rPr>
                <w:sz w:val="25"/>
                <w:szCs w:val="25"/>
              </w:rPr>
              <w:t>责令限期改正，没收违法所得，并处</w:t>
            </w:r>
            <w:r>
              <w:rPr>
                <w:sz w:val="25"/>
                <w:szCs w:val="25"/>
                <w:spacing w:val="4"/>
              </w:rPr>
              <w:t xml:space="preserve">  </w:t>
            </w:r>
            <w:r>
              <w:rPr>
                <w:sz w:val="25"/>
                <w:szCs w:val="25"/>
              </w:rPr>
              <w:t>30000元以上50000元以下罚款；已取得</w:t>
            </w:r>
            <w:r>
              <w:rPr>
                <w:sz w:val="25"/>
                <w:szCs w:val="25"/>
                <w:spacing w:val="9"/>
              </w:rPr>
              <w:t xml:space="preserve"> </w:t>
            </w:r>
            <w:r>
              <w:rPr>
                <w:sz w:val="25"/>
                <w:szCs w:val="25"/>
              </w:rPr>
              <w:t>许可证的，原发证部门可以依法吊销许</w:t>
            </w:r>
            <w:r>
              <w:rPr>
                <w:sz w:val="25"/>
                <w:szCs w:val="25"/>
                <w:spacing w:val="8"/>
              </w:rPr>
              <w:t xml:space="preserve"> </w:t>
            </w:r>
            <w:r>
              <w:rPr>
                <w:sz w:val="25"/>
                <w:szCs w:val="25"/>
              </w:rPr>
              <w:t>可证；构成犯罪的，依法追究刑事责任</w:t>
            </w:r>
          </w:p>
        </w:tc>
      </w:tr>
    </w:tbl>
    <w:p>
      <w:pPr>
        <w:pStyle w:val="BodyText"/>
        <w:rPr/>
      </w:pPr>
      <w:r/>
    </w:p>
    <w:p>
      <w:pPr>
        <w:sectPr>
          <w:footerReference w:type="default" r:id="rId469"/>
          <w:pgSz w:w="16830" w:h="11900"/>
          <w:pgMar w:top="1011" w:right="1335" w:bottom="1117" w:left="1325" w:header="0" w:footer="784" w:gutter="0"/>
        </w:sectPr>
        <w:rPr/>
      </w:pPr>
    </w:p>
    <w:p>
      <w:pPr>
        <w:pStyle w:val="BodyText"/>
        <w:spacing w:line="265" w:lineRule="auto"/>
        <w:rPr/>
      </w:pPr>
      <w:r/>
    </w:p>
    <w:p>
      <w:pPr>
        <w:pStyle w:val="BodyText"/>
        <w:spacing w:line="265" w:lineRule="auto"/>
        <w:rPr/>
      </w:pPr>
      <w:r/>
    </w:p>
    <w:p>
      <w:pPr>
        <w:pStyle w:val="BodyText"/>
        <w:spacing w:line="266" w:lineRule="auto"/>
        <w:rPr/>
      </w:pPr>
      <w:r/>
    </w:p>
    <w:p>
      <w:pPr>
        <w:ind w:left="19" w:right="12" w:firstLine="639"/>
        <w:spacing w:before="98" w:line="266" w:lineRule="auto"/>
        <w:rPr>
          <w:rFonts w:ascii="FangSong" w:hAnsi="FangSong" w:eastAsia="FangSong" w:cs="FangSong"/>
          <w:sz w:val="30"/>
          <w:szCs w:val="30"/>
        </w:rPr>
      </w:pPr>
      <w:bookmarkStart w:name="bookmark1114" w:id="489"/>
      <w:bookmarkEnd w:id="489"/>
      <w:r>
        <w:rPr>
          <w:rFonts w:ascii="FangSong" w:hAnsi="FangSong" w:eastAsia="FangSong" w:cs="FangSong"/>
          <w:sz w:val="30"/>
          <w:szCs w:val="30"/>
          <w:b/>
          <w:bCs/>
          <w:spacing w:val="20"/>
        </w:rPr>
        <w:t>第四百四十四条涉及饮用水卫生安全的产品不符合国家卫生标准和卫生规范，导致或者可能导</w:t>
      </w:r>
      <w:r>
        <w:rPr>
          <w:rFonts w:ascii="FangSong" w:hAnsi="FangSong" w:eastAsia="FangSong" w:cs="FangSong"/>
          <w:sz w:val="30"/>
          <w:szCs w:val="30"/>
          <w:spacing w:val="13"/>
        </w:rPr>
        <w:t xml:space="preserve"> </w:t>
      </w:r>
      <w:r>
        <w:rPr>
          <w:rFonts w:ascii="FangSong" w:hAnsi="FangSong" w:eastAsia="FangSong" w:cs="FangSong"/>
          <w:sz w:val="30"/>
          <w:szCs w:val="30"/>
          <w:b/>
          <w:bCs/>
          <w:spacing w:val="13"/>
        </w:rPr>
        <w:t>致传染病传播、流行的</w:t>
      </w:r>
    </w:p>
    <w:p>
      <w:pPr>
        <w:ind w:left="645"/>
        <w:spacing w:before="25"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5" w:firstLine="629"/>
        <w:spacing w:before="69" w:line="265" w:lineRule="auto"/>
        <w:jc w:val="both"/>
        <w:rPr>
          <w:rFonts w:ascii="FangSong" w:hAnsi="FangSong" w:eastAsia="FangSong" w:cs="FangSong"/>
          <w:sz w:val="30"/>
          <w:szCs w:val="30"/>
        </w:rPr>
      </w:pPr>
      <w:r>
        <w:rPr>
          <w:rFonts w:ascii="FangSong" w:hAnsi="FangSong" w:eastAsia="FangSong" w:cs="FangSong"/>
          <w:sz w:val="30"/>
          <w:szCs w:val="30"/>
          <w:spacing w:val="22"/>
        </w:rPr>
        <w:t>《中华人民共和国传染病防治法》第七十三条第(二)项</w:t>
      </w:r>
      <w:r>
        <w:rPr>
          <w:rFonts w:ascii="FangSong" w:hAnsi="FangSong" w:eastAsia="FangSong" w:cs="FangSong"/>
          <w:sz w:val="30"/>
          <w:szCs w:val="30"/>
          <w:spacing w:val="22"/>
        </w:rPr>
        <w:t xml:space="preserve">  </w:t>
      </w:r>
      <w:r>
        <w:rPr>
          <w:rFonts w:ascii="FangSong" w:hAnsi="FangSong" w:eastAsia="FangSong" w:cs="FangSong"/>
          <w:sz w:val="30"/>
          <w:szCs w:val="30"/>
          <w:spacing w:val="22"/>
        </w:rPr>
        <w:t>违反本法规定，有下列情形之一，导</w:t>
      </w:r>
      <w:r>
        <w:rPr>
          <w:rFonts w:ascii="FangSong" w:hAnsi="FangSong" w:eastAsia="FangSong" w:cs="FangSong"/>
          <w:sz w:val="30"/>
          <w:szCs w:val="30"/>
          <w:spacing w:val="13"/>
        </w:rPr>
        <w:t xml:space="preserve"> </w:t>
      </w:r>
      <w:r>
        <w:rPr>
          <w:rFonts w:ascii="FangSong" w:hAnsi="FangSong" w:eastAsia="FangSong" w:cs="FangSong"/>
          <w:sz w:val="30"/>
          <w:szCs w:val="30"/>
          <w:spacing w:val="16"/>
        </w:rPr>
        <w:t>致或者可能导致传染病传播、流行的，由县级以上人民政府卫生行政部门责令限期改正，没收违法所</w:t>
      </w:r>
      <w:r>
        <w:rPr>
          <w:rFonts w:ascii="FangSong" w:hAnsi="FangSong" w:eastAsia="FangSong" w:cs="FangSong"/>
          <w:sz w:val="30"/>
          <w:szCs w:val="30"/>
          <w:spacing w:val="5"/>
        </w:rPr>
        <w:t xml:space="preserve"> </w:t>
      </w:r>
      <w:r>
        <w:rPr>
          <w:rFonts w:ascii="FangSong" w:hAnsi="FangSong" w:eastAsia="FangSong" w:cs="FangSong"/>
          <w:sz w:val="30"/>
          <w:szCs w:val="30"/>
          <w:spacing w:val="16"/>
        </w:rPr>
        <w:t>得，可以并处五万元以下的罚款；已取得许可证的，原发证部门可以依法暂扣或者吊销许可证；构成</w:t>
      </w:r>
      <w:r>
        <w:rPr>
          <w:rFonts w:ascii="FangSong" w:hAnsi="FangSong" w:eastAsia="FangSong" w:cs="FangSong"/>
          <w:sz w:val="30"/>
          <w:szCs w:val="30"/>
          <w:spacing w:val="15"/>
        </w:rPr>
        <w:t xml:space="preserve"> </w:t>
      </w:r>
      <w:r>
        <w:rPr>
          <w:rFonts w:ascii="FangSong" w:hAnsi="FangSong" w:eastAsia="FangSong" w:cs="FangSong"/>
          <w:sz w:val="30"/>
          <w:szCs w:val="30"/>
          <w:spacing w:val="13"/>
        </w:rPr>
        <w:t>犯罪的，依法追究刑事责任：</w:t>
      </w:r>
    </w:p>
    <w:p>
      <w:pPr>
        <w:ind w:left="795"/>
        <w:spacing w:before="43" w:line="221" w:lineRule="auto"/>
        <w:rPr>
          <w:rFonts w:ascii="FangSong" w:hAnsi="FangSong" w:eastAsia="FangSong" w:cs="FangSong"/>
          <w:sz w:val="30"/>
          <w:szCs w:val="30"/>
        </w:rPr>
      </w:pPr>
      <w:r>
        <w:rPr>
          <w:rFonts w:ascii="FangSong" w:hAnsi="FangSong" w:eastAsia="FangSong" w:cs="FangSong"/>
          <w:sz w:val="30"/>
          <w:szCs w:val="30"/>
          <w:spacing w:val="22"/>
        </w:rPr>
        <w:t>(二)涉及饮用水卫生安全的产品不符合国家卫生标准和卫生规范的；</w:t>
      </w:r>
    </w:p>
    <w:p>
      <w:pPr>
        <w:ind w:left="6419"/>
        <w:spacing w:before="21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2" w:lineRule="auto"/>
        <w:rPr>
          <w:rFonts w:ascii="Arial"/>
          <w:sz w:val="2"/>
        </w:rPr>
      </w:pPr>
      <w:r>
        <w:rPr>
          <w:rFonts w:ascii="Arial"/>
          <w:sz w:val="2"/>
        </w:rPr>
      </w:r>
    </w:p>
    <w:tbl>
      <w:tblPr>
        <w:tblStyle w:val="TableNormal"/>
        <w:tblW w:w="139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84"/>
        <w:gridCol w:w="8114"/>
        <w:gridCol w:w="4402"/>
      </w:tblGrid>
      <w:tr>
        <w:trPr>
          <w:trHeight w:val="443" w:hRule="atLeast"/>
        </w:trPr>
        <w:tc>
          <w:tcPr>
            <w:tcW w:w="1384" w:type="dxa"/>
            <w:vAlign w:val="top"/>
          </w:tcPr>
          <w:p>
            <w:pPr>
              <w:pStyle w:val="TableText"/>
              <w:ind w:left="108"/>
              <w:spacing w:before="10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8114" w:type="dxa"/>
            <w:vAlign w:val="top"/>
          </w:tcPr>
          <w:p>
            <w:pPr>
              <w:pStyle w:val="TableText"/>
              <w:ind w:left="3484"/>
              <w:spacing w:before="102" w:line="220" w:lineRule="auto"/>
              <w:rPr/>
            </w:pPr>
            <w:r>
              <w:rPr>
                <w:b/>
                <w:bCs/>
                <w:spacing w:val="-5"/>
              </w:rPr>
              <w:t>情节后果</w:t>
            </w:r>
          </w:p>
        </w:tc>
        <w:tc>
          <w:tcPr>
            <w:tcW w:w="4402" w:type="dxa"/>
            <w:vAlign w:val="top"/>
          </w:tcPr>
          <w:p>
            <w:pPr>
              <w:pStyle w:val="TableText"/>
              <w:ind w:left="1620"/>
              <w:spacing w:before="9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738" w:hRule="atLeast"/>
        </w:trPr>
        <w:tc>
          <w:tcPr>
            <w:tcW w:w="1384" w:type="dxa"/>
            <w:vAlign w:val="top"/>
          </w:tcPr>
          <w:p>
            <w:pPr>
              <w:pStyle w:val="TableText"/>
              <w:ind w:left="448"/>
              <w:spacing w:before="249" w:line="221" w:lineRule="auto"/>
              <w:rPr/>
            </w:pPr>
            <w:r>
              <w:rPr>
                <w:b/>
                <w:bCs/>
                <w:spacing w:val="-10"/>
              </w:rPr>
              <w:t>一般</w:t>
            </w:r>
          </w:p>
        </w:tc>
        <w:tc>
          <w:tcPr>
            <w:tcW w:w="8114" w:type="dxa"/>
            <w:vAlign w:val="top"/>
          </w:tcPr>
          <w:p>
            <w:pPr>
              <w:pStyle w:val="TableText"/>
              <w:ind w:left="120" w:right="173" w:firstLine="10"/>
              <w:spacing w:before="101" w:line="241" w:lineRule="auto"/>
              <w:rPr/>
            </w:pPr>
            <w:r>
              <w:rPr/>
              <w:t>涉及饮用水卫生安全的产品3项以下指标不符合国家卫生标准和卫生规</w:t>
            </w:r>
            <w:r>
              <w:rPr>
                <w:spacing w:val="-1"/>
              </w:rPr>
              <w:t>范，</w:t>
            </w:r>
            <w:r>
              <w:rPr/>
              <w:t xml:space="preserve"> </w:t>
            </w:r>
            <w:r>
              <w:rPr>
                <w:spacing w:val="1"/>
              </w:rPr>
              <w:t>可能导致传染病传播、流行的</w:t>
            </w:r>
          </w:p>
        </w:tc>
        <w:tc>
          <w:tcPr>
            <w:tcW w:w="4402" w:type="dxa"/>
            <w:vAlign w:val="top"/>
          </w:tcPr>
          <w:p>
            <w:pPr>
              <w:pStyle w:val="TableText"/>
              <w:ind w:left="116" w:right="13" w:hanging="79"/>
              <w:spacing w:before="111" w:line="237" w:lineRule="auto"/>
              <w:rPr/>
            </w:pPr>
            <w:r>
              <w:rPr>
                <w:spacing w:val="1"/>
              </w:rPr>
              <w:t>责令限期改正，没收违法所得，可以处以</w:t>
            </w:r>
            <w:r>
              <w:rPr>
                <w:spacing w:val="2"/>
              </w:rPr>
              <w:t xml:space="preserve"> </w:t>
            </w:r>
            <w:r>
              <w:rPr>
                <w:spacing w:val="1"/>
              </w:rPr>
              <w:t>15000元以下罚款</w:t>
            </w:r>
          </w:p>
        </w:tc>
      </w:tr>
      <w:tr>
        <w:trPr>
          <w:trHeight w:val="857" w:hRule="atLeast"/>
        </w:trPr>
        <w:tc>
          <w:tcPr>
            <w:tcW w:w="1384" w:type="dxa"/>
            <w:vAlign w:val="top"/>
          </w:tcPr>
          <w:p>
            <w:pPr>
              <w:pStyle w:val="TableText"/>
              <w:ind w:left="448"/>
              <w:spacing w:before="313" w:line="221" w:lineRule="auto"/>
              <w:rPr/>
            </w:pPr>
            <w:r>
              <w:rPr>
                <w:b/>
                <w:bCs/>
                <w:spacing w:val="-5"/>
              </w:rPr>
              <w:t>较重</w:t>
            </w:r>
          </w:p>
        </w:tc>
        <w:tc>
          <w:tcPr>
            <w:tcW w:w="8114" w:type="dxa"/>
            <w:vAlign w:val="top"/>
          </w:tcPr>
          <w:p>
            <w:pPr>
              <w:pStyle w:val="TableText"/>
              <w:ind w:left="120" w:right="173" w:firstLine="10"/>
              <w:spacing w:before="173" w:line="259" w:lineRule="auto"/>
              <w:rPr/>
            </w:pPr>
            <w:r>
              <w:rPr/>
              <w:t>涉及饮用水卫生安全的产品3项以上指标不符合国家卫生标准和卫生规</w:t>
            </w:r>
            <w:r>
              <w:rPr>
                <w:spacing w:val="-1"/>
              </w:rPr>
              <w:t>范，</w:t>
            </w:r>
            <w:r>
              <w:rPr/>
              <w:t xml:space="preserve"> </w:t>
            </w:r>
            <w:r>
              <w:rPr>
                <w:spacing w:val="1"/>
              </w:rPr>
              <w:t>可能导致传染病传播、流行的</w:t>
            </w:r>
          </w:p>
        </w:tc>
        <w:tc>
          <w:tcPr>
            <w:tcW w:w="4402" w:type="dxa"/>
            <w:vAlign w:val="top"/>
          </w:tcPr>
          <w:p>
            <w:pPr>
              <w:pStyle w:val="TableText"/>
              <w:ind w:left="116" w:right="24" w:hanging="79"/>
              <w:spacing w:before="173" w:line="259" w:lineRule="auto"/>
              <w:rPr/>
            </w:pPr>
            <w:r>
              <w:rPr/>
              <w:t>责令限期改正，没收违法所得，可以并处</w:t>
            </w:r>
            <w:r>
              <w:rPr>
                <w:spacing w:val="9"/>
              </w:rPr>
              <w:t xml:space="preserve"> </w:t>
            </w:r>
            <w:r>
              <w:rPr/>
              <w:t>15000元以上35000元以下罚款</w:t>
            </w:r>
          </w:p>
        </w:tc>
      </w:tr>
      <w:tr>
        <w:trPr>
          <w:trHeight w:val="1361" w:hRule="atLeast"/>
        </w:trPr>
        <w:tc>
          <w:tcPr>
            <w:tcW w:w="1384" w:type="dxa"/>
            <w:vAlign w:val="top"/>
          </w:tcPr>
          <w:p>
            <w:pPr>
              <w:spacing w:line="241" w:lineRule="auto"/>
              <w:rPr>
                <w:rFonts w:ascii="Arial"/>
                <w:sz w:val="21"/>
              </w:rPr>
            </w:pPr>
            <w:r/>
          </w:p>
          <w:p>
            <w:pPr>
              <w:spacing w:line="242" w:lineRule="auto"/>
              <w:rPr>
                <w:rFonts w:ascii="Arial"/>
                <w:sz w:val="21"/>
              </w:rPr>
            </w:pPr>
            <w:r/>
          </w:p>
          <w:p>
            <w:pPr>
              <w:pStyle w:val="TableText"/>
              <w:ind w:left="448"/>
              <w:spacing w:before="78" w:line="220" w:lineRule="auto"/>
              <w:rPr/>
            </w:pPr>
            <w:r>
              <w:rPr>
                <w:b/>
                <w:bCs/>
                <w:spacing w:val="-6"/>
              </w:rPr>
              <w:t>严重</w:t>
            </w:r>
          </w:p>
        </w:tc>
        <w:tc>
          <w:tcPr>
            <w:tcW w:w="8114" w:type="dxa"/>
            <w:vAlign w:val="top"/>
          </w:tcPr>
          <w:p>
            <w:pPr>
              <w:spacing w:line="326" w:lineRule="auto"/>
              <w:rPr>
                <w:rFonts w:ascii="Arial"/>
                <w:sz w:val="21"/>
              </w:rPr>
            </w:pPr>
            <w:r/>
          </w:p>
          <w:p>
            <w:pPr>
              <w:pStyle w:val="TableText"/>
              <w:ind w:left="120" w:right="770"/>
              <w:spacing w:before="78" w:line="263" w:lineRule="auto"/>
              <w:rPr/>
            </w:pPr>
            <w:r>
              <w:rPr/>
              <w:t>涉及饮用水卫生安全的产品不符合国家卫生标准和卫生规范，导致传</w:t>
            </w:r>
            <w:r>
              <w:rPr>
                <w:spacing w:val="11"/>
              </w:rPr>
              <w:t xml:space="preserve"> </w:t>
            </w:r>
            <w:r>
              <w:rPr>
                <w:spacing w:val="2"/>
              </w:rPr>
              <w:t>染病传播、流行的</w:t>
            </w:r>
          </w:p>
        </w:tc>
        <w:tc>
          <w:tcPr>
            <w:tcW w:w="4402" w:type="dxa"/>
            <w:vAlign w:val="top"/>
          </w:tcPr>
          <w:p>
            <w:pPr>
              <w:pStyle w:val="TableText"/>
              <w:ind w:left="277"/>
              <w:spacing w:before="65" w:line="219" w:lineRule="auto"/>
              <w:rPr/>
            </w:pPr>
            <w:r>
              <w:rPr/>
              <w:t>责令限期改正，没收违法所得，并处</w:t>
            </w:r>
          </w:p>
          <w:p>
            <w:pPr>
              <w:pStyle w:val="TableText"/>
              <w:ind w:left="157"/>
              <w:spacing w:before="56" w:line="219" w:lineRule="auto"/>
              <w:rPr/>
            </w:pPr>
            <w:r>
              <w:rPr/>
              <w:t>35000元以上50000元以下罚款；已取得</w:t>
            </w:r>
          </w:p>
          <w:p>
            <w:pPr>
              <w:pStyle w:val="TableText"/>
              <w:ind w:left="37"/>
              <w:spacing w:before="83" w:line="219" w:lineRule="auto"/>
              <w:rPr/>
            </w:pPr>
            <w:r>
              <w:rPr/>
              <w:t>许可证的，原发证部门可以依法吊销许可</w:t>
            </w:r>
          </w:p>
          <w:p>
            <w:pPr>
              <w:pStyle w:val="TableText"/>
              <w:ind w:left="107"/>
              <w:spacing w:before="25" w:line="204" w:lineRule="auto"/>
              <w:rPr/>
            </w:pPr>
            <w:r>
              <w:rPr>
                <w:spacing w:val="-1"/>
              </w:rPr>
              <w:t>证；构成犯罪的，依法追究刑事责任</w:t>
            </w:r>
          </w:p>
        </w:tc>
      </w:tr>
    </w:tbl>
    <w:p>
      <w:pPr>
        <w:pStyle w:val="BodyText"/>
        <w:rPr/>
      </w:pPr>
      <w:r/>
    </w:p>
    <w:p>
      <w:pPr>
        <w:sectPr>
          <w:footerReference w:type="default" r:id="rId470"/>
          <w:pgSz w:w="16830" w:h="11900"/>
          <w:pgMar w:top="1011" w:right="1459" w:bottom="1108" w:left="1434" w:header="0" w:footer="775" w:gutter="0"/>
        </w:sectPr>
        <w:rPr/>
      </w:pPr>
    </w:p>
    <w:p>
      <w:pPr>
        <w:pStyle w:val="BodyText"/>
        <w:spacing w:line="258" w:lineRule="auto"/>
        <w:rPr/>
      </w:pPr>
      <w:r/>
    </w:p>
    <w:p>
      <w:pPr>
        <w:pStyle w:val="BodyText"/>
        <w:spacing w:line="258" w:lineRule="auto"/>
        <w:rPr/>
      </w:pPr>
      <w:r/>
    </w:p>
    <w:p>
      <w:pPr>
        <w:pStyle w:val="BodyText"/>
        <w:spacing w:line="259" w:lineRule="auto"/>
        <w:rPr/>
      </w:pPr>
      <w:r/>
    </w:p>
    <w:p>
      <w:pPr>
        <w:ind w:left="4" w:right="209" w:firstLine="670"/>
        <w:spacing w:before="101" w:line="271" w:lineRule="auto"/>
        <w:rPr>
          <w:rFonts w:ascii="FangSong" w:hAnsi="FangSong" w:eastAsia="FangSong" w:cs="FangSong"/>
          <w:sz w:val="31"/>
          <w:szCs w:val="31"/>
        </w:rPr>
      </w:pPr>
      <w:bookmarkStart w:name="bookmark1115" w:id="490"/>
      <w:bookmarkEnd w:id="490"/>
      <w:r>
        <w:rPr>
          <w:rFonts w:ascii="FangSong" w:hAnsi="FangSong" w:eastAsia="FangSong" w:cs="FangSong"/>
          <w:sz w:val="31"/>
          <w:szCs w:val="31"/>
          <w:b/>
          <w:bCs/>
          <w:spacing w:val="7"/>
        </w:rPr>
        <w:t>第四百四十五条</w:t>
      </w:r>
      <w:r>
        <w:rPr>
          <w:rFonts w:ascii="FangSong" w:hAnsi="FangSong" w:eastAsia="FangSong" w:cs="FangSong"/>
          <w:sz w:val="31"/>
          <w:szCs w:val="31"/>
          <w:spacing w:val="7"/>
        </w:rPr>
        <w:t xml:space="preserve">  </w:t>
      </w:r>
      <w:r>
        <w:rPr>
          <w:rFonts w:ascii="FangSong" w:hAnsi="FangSong" w:eastAsia="FangSong" w:cs="FangSong"/>
          <w:sz w:val="31"/>
          <w:szCs w:val="31"/>
          <w:b/>
          <w:bCs/>
          <w:spacing w:val="7"/>
        </w:rPr>
        <w:t>集中式供水单位供应的饮用水不符合国家规</w:t>
      </w:r>
      <w:r>
        <w:rPr>
          <w:rFonts w:ascii="FangSong" w:hAnsi="FangSong" w:eastAsia="FangSong" w:cs="FangSong"/>
          <w:sz w:val="31"/>
          <w:szCs w:val="31"/>
          <w:b/>
          <w:bCs/>
          <w:spacing w:val="6"/>
        </w:rPr>
        <w:t>定的《生活饮用水卫生标准》的</w:t>
      </w:r>
      <w:r>
        <w:rPr>
          <w:rFonts w:ascii="FangSong" w:hAnsi="FangSong" w:eastAsia="FangSong" w:cs="FangSong"/>
          <w:sz w:val="31"/>
          <w:szCs w:val="31"/>
        </w:rPr>
        <w:t xml:space="preserve"> </w:t>
      </w:r>
      <w:r>
        <w:rPr>
          <w:rFonts w:ascii="FangSong" w:hAnsi="FangSong" w:eastAsia="FangSong" w:cs="FangSong"/>
          <w:sz w:val="31"/>
          <w:szCs w:val="31"/>
          <w:b/>
          <w:bCs/>
          <w:spacing w:val="2"/>
        </w:rPr>
        <w:t>法律依据</w:t>
      </w:r>
    </w:p>
    <w:p>
      <w:pPr>
        <w:ind w:firstLine="635"/>
        <w:spacing w:before="33" w:line="386" w:lineRule="auto"/>
        <w:jc w:val="both"/>
        <w:rPr>
          <w:rFonts w:ascii="FangSong" w:hAnsi="FangSong" w:eastAsia="FangSong" w:cs="FangSong"/>
          <w:sz w:val="27"/>
          <w:szCs w:val="27"/>
        </w:rPr>
      </w:pPr>
      <w:r>
        <w:rPr>
          <w:rFonts w:ascii="FangSong" w:hAnsi="FangSong" w:eastAsia="FangSong" w:cs="FangSong"/>
          <w:sz w:val="31"/>
          <w:szCs w:val="31"/>
          <w:spacing w:val="18"/>
        </w:rPr>
        <w:t>《中华人民共和国传染病防治法实施办法》</w:t>
      </w:r>
      <w:r>
        <w:rPr>
          <w:rFonts w:ascii="FangSong" w:hAnsi="FangSong" w:eastAsia="FangSong" w:cs="FangSong"/>
          <w:sz w:val="31"/>
          <w:szCs w:val="31"/>
          <w:spacing w:val="17"/>
        </w:rPr>
        <w:t>第六十六条第一款第(一)项、第二款</w:t>
      </w:r>
      <w:r>
        <w:rPr>
          <w:rFonts w:ascii="FangSong" w:hAnsi="FangSong" w:eastAsia="FangSong" w:cs="FangSong"/>
          <w:sz w:val="31"/>
          <w:szCs w:val="31"/>
          <w:spacing w:val="17"/>
        </w:rPr>
        <w:t xml:space="preserve">   </w:t>
      </w:r>
      <w:r>
        <w:rPr>
          <w:rFonts w:ascii="FangSong" w:hAnsi="FangSong" w:eastAsia="FangSong" w:cs="FangSong"/>
          <w:sz w:val="31"/>
          <w:szCs w:val="31"/>
          <w:spacing w:val="17"/>
        </w:rPr>
        <w:t>有下列行</w:t>
      </w:r>
      <w:r>
        <w:rPr>
          <w:rFonts w:ascii="FangSong" w:hAnsi="FangSong" w:eastAsia="FangSong" w:cs="FangSong"/>
          <w:sz w:val="31"/>
          <w:szCs w:val="31"/>
        </w:rPr>
        <w:t xml:space="preserve"> </w:t>
      </w:r>
      <w:r>
        <w:rPr>
          <w:rFonts w:ascii="FangSong" w:hAnsi="FangSong" w:eastAsia="FangSong" w:cs="FangSong"/>
          <w:sz w:val="31"/>
          <w:szCs w:val="31"/>
          <w:spacing w:val="8"/>
        </w:rPr>
        <w:t>为之一的，由县级以上政府卫生行政部门责令限期改正，可以处五千元以下的罚款；情节较严重的，</w:t>
      </w:r>
      <w:r>
        <w:rPr>
          <w:rFonts w:ascii="FangSong" w:hAnsi="FangSong" w:eastAsia="FangSong" w:cs="FangSong"/>
          <w:sz w:val="31"/>
          <w:szCs w:val="31"/>
          <w:spacing w:val="12"/>
        </w:rPr>
        <w:t xml:space="preserve"> </w:t>
      </w:r>
      <w:r>
        <w:rPr>
          <w:rFonts w:ascii="FangSong" w:hAnsi="FangSong" w:eastAsia="FangSong" w:cs="FangSong"/>
          <w:sz w:val="31"/>
          <w:szCs w:val="31"/>
          <w:spacing w:val="6"/>
        </w:rPr>
        <w:t>可以处五千元以上二万元以下的罚款，对主管人员和直接责任人员由其所在单位或者上级机关给予行</w:t>
      </w:r>
      <w:r>
        <w:rPr>
          <w:rFonts w:ascii="FangSong" w:hAnsi="FangSong" w:eastAsia="FangSong" w:cs="FangSong"/>
          <w:sz w:val="31"/>
          <w:szCs w:val="31"/>
          <w:spacing w:val="16"/>
        </w:rPr>
        <w:t xml:space="preserve"> </w:t>
      </w:r>
      <w:r>
        <w:rPr>
          <w:rFonts w:ascii="FangSong" w:hAnsi="FangSong" w:eastAsia="FangSong" w:cs="FangSong"/>
          <w:sz w:val="27"/>
          <w:szCs w:val="27"/>
          <w:spacing w:val="26"/>
        </w:rPr>
        <w:t>政处分：</w:t>
      </w:r>
    </w:p>
    <w:p>
      <w:pPr>
        <w:ind w:left="599" w:right="1720" w:firstLine="70"/>
        <w:spacing w:before="2" w:line="295" w:lineRule="auto"/>
        <w:rPr>
          <w:rFonts w:ascii="FangSong" w:hAnsi="FangSong" w:eastAsia="FangSong" w:cs="FangSong"/>
          <w:sz w:val="31"/>
          <w:szCs w:val="31"/>
        </w:rPr>
      </w:pPr>
      <w:r>
        <w:rPr>
          <w:rFonts w:ascii="FangSong" w:hAnsi="FangSong" w:eastAsia="FangSong" w:cs="FangSong"/>
          <w:sz w:val="31"/>
          <w:szCs w:val="31"/>
          <w:spacing w:val="12"/>
        </w:rPr>
        <w:t>(一)集中式供水单位供应的饮用水不符合国家规定的《生活饮用水卫生标准》的；</w:t>
      </w:r>
      <w:r>
        <w:rPr>
          <w:rFonts w:ascii="FangSong" w:hAnsi="FangSong" w:eastAsia="FangSong" w:cs="FangSong"/>
          <w:sz w:val="31"/>
          <w:szCs w:val="31"/>
          <w:spacing w:val="9"/>
        </w:rPr>
        <w:t xml:space="preserve"> </w:t>
      </w:r>
      <w:r>
        <w:rPr>
          <w:rFonts w:ascii="FangSong" w:hAnsi="FangSong" w:eastAsia="FangSong" w:cs="FangSong"/>
          <w:sz w:val="31"/>
          <w:szCs w:val="31"/>
          <w:spacing w:val="7"/>
        </w:rPr>
        <w:t>前款所称情节较严重的，是指下列情形之一：</w:t>
      </w:r>
    </w:p>
    <w:p>
      <w:pPr>
        <w:ind w:left="670"/>
        <w:spacing w:before="252" w:line="222" w:lineRule="auto"/>
        <w:rPr>
          <w:rFonts w:ascii="FangSong" w:hAnsi="FangSong" w:eastAsia="FangSong" w:cs="FangSong"/>
          <w:sz w:val="31"/>
          <w:szCs w:val="31"/>
        </w:rPr>
      </w:pPr>
      <w:r>
        <w:rPr>
          <w:rFonts w:ascii="FangSong" w:hAnsi="FangSong" w:eastAsia="FangSong" w:cs="FangSong"/>
          <w:sz w:val="31"/>
          <w:szCs w:val="31"/>
          <w:spacing w:val="14"/>
        </w:rPr>
        <w:t>(一)造成甲类传染病、艾滋病、肺炭疽传播危</w:t>
      </w:r>
      <w:r>
        <w:rPr>
          <w:rFonts w:ascii="FangSong" w:hAnsi="FangSong" w:eastAsia="FangSong" w:cs="FangSong"/>
          <w:sz w:val="31"/>
          <w:szCs w:val="31"/>
          <w:spacing w:val="13"/>
        </w:rPr>
        <w:t>险的；</w:t>
      </w:r>
    </w:p>
    <w:p>
      <w:pPr>
        <w:ind w:left="670"/>
        <w:spacing w:before="243" w:line="221" w:lineRule="auto"/>
        <w:rPr>
          <w:rFonts w:ascii="FangSong" w:hAnsi="FangSong" w:eastAsia="FangSong" w:cs="FangSong"/>
          <w:sz w:val="31"/>
          <w:szCs w:val="31"/>
        </w:rPr>
      </w:pPr>
      <w:r>
        <w:rPr>
          <w:rFonts w:ascii="FangSong" w:hAnsi="FangSong" w:eastAsia="FangSong" w:cs="FangSong"/>
          <w:sz w:val="31"/>
          <w:szCs w:val="31"/>
          <w:spacing w:val="13"/>
        </w:rPr>
        <w:t>(二)造成除艾滋病、肺炭疽之外的乙、丙类传染病暴</w:t>
      </w:r>
      <w:r>
        <w:rPr>
          <w:rFonts w:ascii="FangSong" w:hAnsi="FangSong" w:eastAsia="FangSong" w:cs="FangSong"/>
          <w:sz w:val="31"/>
          <w:szCs w:val="31"/>
          <w:spacing w:val="12"/>
        </w:rPr>
        <w:t>发、流行的；</w:t>
      </w:r>
    </w:p>
    <w:p>
      <w:pPr>
        <w:ind w:left="670"/>
        <w:spacing w:before="249" w:line="221" w:lineRule="auto"/>
        <w:rPr>
          <w:rFonts w:ascii="FangSong" w:hAnsi="FangSong" w:eastAsia="FangSong" w:cs="FangSong"/>
          <w:sz w:val="31"/>
          <w:szCs w:val="31"/>
        </w:rPr>
      </w:pPr>
      <w:r>
        <w:rPr>
          <w:rFonts w:ascii="FangSong" w:hAnsi="FangSong" w:eastAsia="FangSong" w:cs="FangSong"/>
          <w:sz w:val="31"/>
          <w:szCs w:val="31"/>
          <w:spacing w:val="33"/>
        </w:rPr>
        <w:t>(三)造成传染病菌(毒)种扩散的；</w:t>
      </w:r>
    </w:p>
    <w:p>
      <w:pPr>
        <w:ind w:left="670"/>
        <w:spacing w:before="252" w:line="222" w:lineRule="auto"/>
        <w:rPr>
          <w:rFonts w:ascii="FangSong" w:hAnsi="FangSong" w:eastAsia="FangSong" w:cs="FangSong"/>
          <w:sz w:val="31"/>
          <w:szCs w:val="31"/>
        </w:rPr>
      </w:pPr>
      <w:r>
        <w:rPr>
          <w:rFonts w:ascii="FangSong" w:hAnsi="FangSong" w:eastAsia="FangSong" w:cs="FangSong"/>
          <w:sz w:val="31"/>
          <w:szCs w:val="31"/>
          <w:spacing w:val="15"/>
        </w:rPr>
        <w:t>(四)造成病人残废、死亡的；</w:t>
      </w:r>
    </w:p>
    <w:p>
      <w:pPr>
        <w:ind w:left="670"/>
        <w:spacing w:before="244" w:line="221" w:lineRule="auto"/>
        <w:rPr>
          <w:rFonts w:ascii="FangSong" w:hAnsi="FangSong" w:eastAsia="FangSong" w:cs="FangSong"/>
          <w:sz w:val="31"/>
          <w:szCs w:val="31"/>
        </w:rPr>
      </w:pPr>
      <w:r>
        <w:rPr>
          <w:rFonts w:ascii="FangSong" w:hAnsi="FangSong" w:eastAsia="FangSong" w:cs="FangSong"/>
          <w:sz w:val="31"/>
          <w:szCs w:val="31"/>
          <w:spacing w:val="13"/>
        </w:rPr>
        <w:t>(五)拒绝执行《传染病防治法》及本办法的规定，屡经教</w:t>
      </w:r>
      <w:r>
        <w:rPr>
          <w:rFonts w:ascii="FangSong" w:hAnsi="FangSong" w:eastAsia="FangSong" w:cs="FangSong"/>
          <w:sz w:val="31"/>
          <w:szCs w:val="31"/>
          <w:spacing w:val="12"/>
        </w:rPr>
        <w:t>育仍继续违法的。</w:t>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6340"/>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—518—</w:t>
      </w:r>
    </w:p>
    <w:p>
      <w:pPr>
        <w:spacing w:line="188" w:lineRule="auto"/>
        <w:sectPr>
          <w:footerReference w:type="default" r:id="rId24"/>
          <w:pgSz w:w="16830" w:h="11900"/>
          <w:pgMar w:top="1011" w:right="1384" w:bottom="400" w:left="1439" w:header="0" w:footer="0" w:gutter="0"/>
        </w:sectPr>
        <w:rPr>
          <w:rFonts w:ascii="Times New Roman" w:hAnsi="Times New Roman" w:eastAsia="Times New Roman" w:cs="Times New Roman"/>
          <w:sz w:val="37"/>
          <w:szCs w:val="37"/>
        </w:rPr>
      </w:pPr>
    </w:p>
    <w:p>
      <w:pPr>
        <w:pStyle w:val="BodyText"/>
        <w:spacing w:line="263" w:lineRule="auto"/>
        <w:rPr/>
      </w:pPr>
      <w:r/>
    </w:p>
    <w:p>
      <w:pPr>
        <w:pStyle w:val="BodyText"/>
        <w:spacing w:line="263" w:lineRule="auto"/>
        <w:rPr/>
      </w:pPr>
      <w:r/>
    </w:p>
    <w:p>
      <w:pPr>
        <w:pStyle w:val="BodyText"/>
        <w:spacing w:line="264" w:lineRule="auto"/>
        <w:rPr/>
      </w:pPr>
      <w:r/>
    </w:p>
    <w:p>
      <w:pPr>
        <w:ind w:left="6539"/>
        <w:spacing w:before="91"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1" w:lineRule="auto"/>
        <w:rPr>
          <w:rFonts w:ascii="Arial"/>
          <w:sz w:val="2"/>
        </w:rPr>
      </w:pPr>
      <w:r>
        <w:rPr>
          <w:rFonts w:ascii="Arial"/>
          <w:sz w:val="2"/>
        </w:r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53"/>
        <w:gridCol w:w="8724"/>
        <w:gridCol w:w="3293"/>
      </w:tblGrid>
      <w:tr>
        <w:trPr>
          <w:trHeight w:val="553" w:hRule="atLeast"/>
        </w:trPr>
        <w:tc>
          <w:tcPr>
            <w:tcW w:w="2153" w:type="dxa"/>
            <w:vAlign w:val="top"/>
          </w:tcPr>
          <w:p>
            <w:pPr>
              <w:pStyle w:val="TableText"/>
              <w:ind w:left="488"/>
              <w:spacing w:before="16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8724" w:type="dxa"/>
            <w:vAlign w:val="top"/>
          </w:tcPr>
          <w:p>
            <w:pPr>
              <w:pStyle w:val="TableText"/>
              <w:ind w:left="3875"/>
              <w:spacing w:before="162" w:line="220" w:lineRule="auto"/>
              <w:rPr/>
            </w:pPr>
            <w:r>
              <w:rPr>
                <w:b/>
                <w:bCs/>
                <w:spacing w:val="-5"/>
              </w:rPr>
              <w:t>情节后果</w:t>
            </w:r>
          </w:p>
        </w:tc>
        <w:tc>
          <w:tcPr>
            <w:tcW w:w="3293" w:type="dxa"/>
            <w:vAlign w:val="top"/>
          </w:tcPr>
          <w:p>
            <w:pPr>
              <w:pStyle w:val="TableText"/>
              <w:ind w:left="1071"/>
              <w:spacing w:before="15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927" w:hRule="atLeast"/>
        </w:trPr>
        <w:tc>
          <w:tcPr>
            <w:tcW w:w="2153" w:type="dxa"/>
            <w:vAlign w:val="top"/>
          </w:tcPr>
          <w:p>
            <w:pPr>
              <w:spacing w:line="270" w:lineRule="auto"/>
              <w:rPr>
                <w:rFonts w:ascii="Arial"/>
                <w:sz w:val="21"/>
              </w:rPr>
            </w:pPr>
            <w:r/>
          </w:p>
          <w:p>
            <w:pPr>
              <w:pStyle w:val="TableText"/>
              <w:ind w:left="828"/>
              <w:spacing w:before="78" w:line="221" w:lineRule="auto"/>
              <w:rPr/>
            </w:pPr>
            <w:r>
              <w:rPr>
                <w:b/>
                <w:bCs/>
                <w:spacing w:val="-10"/>
              </w:rPr>
              <w:t>一般</w:t>
            </w:r>
          </w:p>
        </w:tc>
        <w:tc>
          <w:tcPr>
            <w:tcW w:w="8724" w:type="dxa"/>
            <w:vAlign w:val="top"/>
          </w:tcPr>
          <w:p>
            <w:pPr>
              <w:spacing w:line="270" w:lineRule="auto"/>
              <w:rPr>
                <w:rFonts w:ascii="Arial"/>
                <w:sz w:val="21"/>
              </w:rPr>
            </w:pPr>
            <w:r/>
          </w:p>
          <w:p>
            <w:pPr>
              <w:pStyle w:val="TableText"/>
              <w:ind w:left="132"/>
              <w:spacing w:before="78" w:line="219" w:lineRule="auto"/>
              <w:rPr/>
            </w:pPr>
            <w:r>
              <w:rPr>
                <w:spacing w:val="-1"/>
              </w:rPr>
              <w:t>集中式供水单位供应的饮用水不符合国家规定的《生活饮用水卫生标准》</w:t>
            </w:r>
          </w:p>
        </w:tc>
        <w:tc>
          <w:tcPr>
            <w:tcW w:w="3293" w:type="dxa"/>
            <w:vAlign w:val="top"/>
          </w:tcPr>
          <w:p>
            <w:pPr>
              <w:spacing w:line="272" w:lineRule="auto"/>
              <w:rPr>
                <w:rFonts w:ascii="Arial"/>
                <w:sz w:val="21"/>
              </w:rPr>
            </w:pPr>
            <w:r/>
          </w:p>
          <w:p>
            <w:pPr>
              <w:pStyle w:val="TableText"/>
              <w:ind w:left="98"/>
              <w:spacing w:before="78" w:line="220" w:lineRule="auto"/>
              <w:rPr/>
            </w:pPr>
            <w:r>
              <w:rPr>
                <w:spacing w:val="1"/>
              </w:rPr>
              <w:t>罚款5000元以下</w:t>
            </w:r>
          </w:p>
        </w:tc>
      </w:tr>
      <w:tr>
        <w:trPr>
          <w:trHeight w:val="927" w:hRule="atLeast"/>
        </w:trPr>
        <w:tc>
          <w:tcPr>
            <w:tcW w:w="2153" w:type="dxa"/>
            <w:vAlign w:val="top"/>
          </w:tcPr>
          <w:p>
            <w:pPr>
              <w:spacing w:line="274" w:lineRule="auto"/>
              <w:rPr>
                <w:rFonts w:ascii="Arial"/>
                <w:sz w:val="21"/>
              </w:rPr>
            </w:pPr>
            <w:r/>
          </w:p>
          <w:p>
            <w:pPr>
              <w:pStyle w:val="TableText"/>
              <w:ind w:left="828"/>
              <w:spacing w:before="79" w:line="221" w:lineRule="auto"/>
              <w:rPr/>
            </w:pPr>
            <w:r>
              <w:rPr>
                <w:b/>
                <w:bCs/>
                <w:spacing w:val="-5"/>
              </w:rPr>
              <w:t>较重</w:t>
            </w:r>
          </w:p>
        </w:tc>
        <w:tc>
          <w:tcPr>
            <w:tcW w:w="8724" w:type="dxa"/>
            <w:vAlign w:val="top"/>
          </w:tcPr>
          <w:p>
            <w:pPr>
              <w:pStyle w:val="TableText"/>
              <w:ind w:left="271" w:right="15" w:hanging="239"/>
              <w:spacing w:before="194" w:line="263" w:lineRule="auto"/>
              <w:rPr/>
            </w:pPr>
            <w:r>
              <w:rPr>
                <w:spacing w:val="1"/>
              </w:rPr>
              <w:t>集中式供水单位供应的饮用水不符合国家规定的《生活饮</w:t>
            </w:r>
            <w:r>
              <w:rPr/>
              <w:t>用水卫生标准》且有《中 </w:t>
            </w:r>
            <w:r>
              <w:rPr/>
              <w:t>华人民共和国传染病防治法实施办法》第六十六条第二款第(五)项规定情形的</w:t>
            </w:r>
          </w:p>
        </w:tc>
        <w:tc>
          <w:tcPr>
            <w:tcW w:w="3293" w:type="dxa"/>
            <w:vAlign w:val="top"/>
          </w:tcPr>
          <w:p>
            <w:pPr>
              <w:pStyle w:val="TableText"/>
              <w:ind w:left="98" w:right="403"/>
              <w:spacing w:before="194" w:line="273" w:lineRule="auto"/>
              <w:rPr/>
            </w:pPr>
            <w:r>
              <w:rPr>
                <w:spacing w:val="1"/>
              </w:rPr>
              <w:t>罚款5000元以上10000元以</w:t>
            </w:r>
            <w:r>
              <w:rPr>
                <w:spacing w:val="4"/>
              </w:rPr>
              <w:t xml:space="preserve"> </w:t>
            </w:r>
            <w:r>
              <w:rPr/>
              <w:t>下</w:t>
            </w:r>
          </w:p>
        </w:tc>
      </w:tr>
      <w:tr>
        <w:trPr>
          <w:trHeight w:val="692" w:hRule="atLeast"/>
        </w:trPr>
        <w:tc>
          <w:tcPr>
            <w:tcW w:w="2153" w:type="dxa"/>
            <w:vAlign w:val="top"/>
          </w:tcPr>
          <w:p>
            <w:pPr>
              <w:pStyle w:val="TableText"/>
              <w:ind w:left="828"/>
              <w:spacing w:before="275" w:line="220" w:lineRule="auto"/>
              <w:rPr/>
            </w:pPr>
            <w:r>
              <w:rPr>
                <w:b/>
                <w:bCs/>
                <w:spacing w:val="-6"/>
              </w:rPr>
              <w:t>严重</w:t>
            </w:r>
          </w:p>
        </w:tc>
        <w:tc>
          <w:tcPr>
            <w:tcW w:w="8724" w:type="dxa"/>
            <w:vAlign w:val="top"/>
          </w:tcPr>
          <w:p>
            <w:pPr>
              <w:pStyle w:val="TableText"/>
              <w:ind w:left="151" w:right="15" w:hanging="119"/>
              <w:spacing w:before="65" w:line="237" w:lineRule="auto"/>
              <w:rPr/>
            </w:pPr>
            <w:r>
              <w:rPr>
                <w:spacing w:val="1"/>
              </w:rPr>
              <w:t>集中式供水单位供应的饮用水不符合国家规定的《生活饮</w:t>
            </w:r>
            <w:r>
              <w:rPr/>
              <w:t>用水卫生标准》且有《中 </w:t>
            </w:r>
            <w:r>
              <w:rPr/>
              <w:t>华人民共和国传染病防治法实施办法》第六十六条第二款前四项规定情形之一的</w:t>
            </w:r>
          </w:p>
        </w:tc>
        <w:tc>
          <w:tcPr>
            <w:tcW w:w="3293" w:type="dxa"/>
            <w:vAlign w:val="top"/>
          </w:tcPr>
          <w:p>
            <w:pPr>
              <w:pStyle w:val="TableText"/>
              <w:ind w:left="98" w:right="243" w:firstLine="39"/>
              <w:spacing w:before="99" w:line="224" w:lineRule="auto"/>
              <w:rPr/>
            </w:pPr>
            <w:r>
              <w:rPr>
                <w:spacing w:val="1"/>
              </w:rPr>
              <w:t>罚款10000元以上20000元以</w:t>
            </w:r>
            <w:r>
              <w:rPr>
                <w:spacing w:val="3"/>
              </w:rPr>
              <w:t xml:space="preserve"> </w:t>
            </w:r>
            <w:r>
              <w:rPr/>
              <w:t>下</w:t>
            </w:r>
          </w:p>
        </w:tc>
      </w:tr>
    </w:tbl>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pStyle w:val="BodyText"/>
        <w:spacing w:line="251" w:lineRule="auto"/>
        <w:rPr/>
      </w:pPr>
      <w:r/>
    </w:p>
    <w:p>
      <w:pPr>
        <w:ind w:left="6474"/>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—519—</w:t>
      </w:r>
    </w:p>
    <w:p>
      <w:pPr>
        <w:spacing w:line="188" w:lineRule="auto"/>
        <w:sectPr>
          <w:pgSz w:w="16830" w:h="11900"/>
          <w:pgMar w:top="1011" w:right="1335" w:bottom="400" w:left="1314" w:header="0" w:footer="0" w:gutter="0"/>
        </w:sectPr>
        <w:rPr>
          <w:rFonts w:ascii="Times New Roman" w:hAnsi="Times New Roman" w:eastAsia="Times New Roman" w:cs="Times New Roman"/>
          <w:sz w:val="37"/>
          <w:szCs w:val="37"/>
        </w:rPr>
      </w:pPr>
    </w:p>
    <w:p>
      <w:pPr>
        <w:pStyle w:val="BodyText"/>
        <w:spacing w:line="268" w:lineRule="auto"/>
        <w:rPr/>
      </w:pPr>
      <w:r/>
    </w:p>
    <w:p>
      <w:pPr>
        <w:pStyle w:val="BodyText"/>
        <w:spacing w:line="268" w:lineRule="auto"/>
        <w:rPr/>
      </w:pPr>
      <w:r/>
    </w:p>
    <w:p>
      <w:pPr>
        <w:pStyle w:val="BodyText"/>
        <w:spacing w:line="269" w:lineRule="auto"/>
        <w:rPr/>
      </w:pPr>
      <w:r/>
    </w:p>
    <w:p>
      <w:pPr>
        <w:ind w:left="6024"/>
        <w:spacing w:before="98" w:line="224" w:lineRule="auto"/>
        <w:rPr>
          <w:rFonts w:ascii="SimHei" w:hAnsi="SimHei" w:eastAsia="SimHei" w:cs="SimHei"/>
          <w:sz w:val="30"/>
          <w:szCs w:val="30"/>
        </w:rPr>
      </w:pPr>
      <w:bookmarkStart w:name="bookmark1116" w:id="491"/>
      <w:bookmarkEnd w:id="491"/>
      <w:r>
        <w:rPr>
          <w:rFonts w:ascii="SimHei" w:hAnsi="SimHei" w:eastAsia="SimHei" w:cs="SimHei"/>
          <w:sz w:val="30"/>
          <w:szCs w:val="30"/>
          <w:b/>
          <w:bCs/>
          <w:spacing w:val="4"/>
        </w:rPr>
        <w:t>五</w:t>
      </w:r>
      <w:r>
        <w:rPr>
          <w:rFonts w:ascii="SimHei" w:hAnsi="SimHei" w:eastAsia="SimHei" w:cs="SimHei"/>
          <w:sz w:val="30"/>
          <w:szCs w:val="30"/>
          <w:spacing w:val="-68"/>
        </w:rPr>
        <w:t xml:space="preserve"> </w:t>
      </w:r>
      <w:r>
        <w:rPr>
          <w:rFonts w:ascii="SimHei" w:hAnsi="SimHei" w:eastAsia="SimHei" w:cs="SimHei"/>
          <w:sz w:val="30"/>
          <w:szCs w:val="30"/>
          <w:b/>
          <w:bCs/>
          <w:spacing w:val="4"/>
        </w:rPr>
        <w:t>、职业卫生</w:t>
      </w:r>
    </w:p>
    <w:p>
      <w:pPr>
        <w:pStyle w:val="BodyText"/>
        <w:spacing w:line="290" w:lineRule="auto"/>
        <w:rPr/>
      </w:pPr>
      <w:r/>
    </w:p>
    <w:p>
      <w:pPr>
        <w:ind w:left="784"/>
        <w:spacing w:before="98" w:line="224" w:lineRule="auto"/>
        <w:rPr>
          <w:rFonts w:ascii="KaiTi" w:hAnsi="KaiTi" w:eastAsia="KaiTi" w:cs="KaiTi"/>
          <w:sz w:val="30"/>
          <w:szCs w:val="30"/>
        </w:rPr>
      </w:pPr>
      <w:r>
        <w:rPr>
          <w:rFonts w:ascii="KaiTi" w:hAnsi="KaiTi" w:eastAsia="KaiTi" w:cs="KaiTi"/>
          <w:sz w:val="30"/>
          <w:szCs w:val="30"/>
          <w:b/>
          <w:bCs/>
          <w:spacing w:val="26"/>
        </w:rPr>
        <w:t>(一)《中华人民共和国职业病防治法》</w:t>
      </w:r>
    </w:p>
    <w:p>
      <w:pPr>
        <w:pStyle w:val="BodyText"/>
        <w:spacing w:line="243" w:lineRule="auto"/>
        <w:rPr/>
      </w:pPr>
      <w:r/>
    </w:p>
    <w:p>
      <w:pPr>
        <w:ind w:left="664"/>
        <w:spacing w:before="98" w:line="223" w:lineRule="auto"/>
        <w:rPr>
          <w:rFonts w:ascii="KaiTi" w:hAnsi="KaiTi" w:eastAsia="KaiTi" w:cs="KaiTi"/>
          <w:sz w:val="30"/>
          <w:szCs w:val="30"/>
        </w:rPr>
      </w:pPr>
      <w:r>
        <w:rPr>
          <w:rFonts w:ascii="KaiTi" w:hAnsi="KaiTi" w:eastAsia="KaiTi" w:cs="KaiTi"/>
          <w:sz w:val="30"/>
          <w:szCs w:val="30"/>
          <w:b/>
          <w:bCs/>
          <w:spacing w:val="22"/>
        </w:rPr>
        <w:t>第四百四十六条建设单位未按照规定进行职业病危害预评价的</w:t>
      </w:r>
    </w:p>
    <w:p>
      <w:pPr>
        <w:ind w:left="779"/>
        <w:spacing w:before="87" w:line="222" w:lineRule="auto"/>
        <w:rPr>
          <w:rFonts w:ascii="FangSong" w:hAnsi="FangSong" w:eastAsia="FangSong" w:cs="FangSong"/>
          <w:sz w:val="30"/>
          <w:szCs w:val="30"/>
        </w:rPr>
      </w:pPr>
      <w:r>
        <w:rPr>
          <w:rFonts w:ascii="FangSong" w:hAnsi="FangSong" w:eastAsia="FangSong" w:cs="FangSong"/>
          <w:sz w:val="30"/>
          <w:szCs w:val="30"/>
          <w:spacing w:val="14"/>
        </w:rPr>
        <w:t>(</w:t>
      </w:r>
      <w:r>
        <w:rPr>
          <w:rFonts w:ascii="FangSong" w:hAnsi="FangSong" w:eastAsia="FangSong" w:cs="FangSong"/>
          <w:sz w:val="30"/>
          <w:szCs w:val="30"/>
          <w:spacing w:val="-70"/>
        </w:rPr>
        <w:t xml:space="preserve"> </w:t>
      </w:r>
      <w:r>
        <w:rPr>
          <w:rFonts w:ascii="FangSong" w:hAnsi="FangSong" w:eastAsia="FangSong" w:cs="FangSong"/>
          <w:sz w:val="30"/>
          <w:szCs w:val="30"/>
          <w:spacing w:val="14"/>
        </w:rPr>
        <w:t>一</w:t>
      </w:r>
      <w:r>
        <w:rPr>
          <w:rFonts w:ascii="FangSong" w:hAnsi="FangSong" w:eastAsia="FangSong" w:cs="FangSong"/>
          <w:sz w:val="30"/>
          <w:szCs w:val="30"/>
          <w:spacing w:val="-83"/>
        </w:rPr>
        <w:t xml:space="preserve"> </w:t>
      </w:r>
      <w:r>
        <w:rPr>
          <w:rFonts w:ascii="FangSong" w:hAnsi="FangSong" w:eastAsia="FangSong" w:cs="FangSong"/>
          <w:sz w:val="30"/>
          <w:szCs w:val="30"/>
          <w:spacing w:val="14"/>
        </w:rPr>
        <w:t>)法律依据：</w:t>
      </w:r>
    </w:p>
    <w:p>
      <w:pPr>
        <w:ind w:right="128" w:firstLine="659"/>
        <w:spacing w:before="55" w:line="274" w:lineRule="auto"/>
        <w:jc w:val="both"/>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《中华人民共和国职业病防治法》第六</w:t>
      </w:r>
      <w:r>
        <w:rPr>
          <w:rFonts w:ascii="FangSong" w:hAnsi="FangSong" w:eastAsia="FangSong" w:cs="FangSong"/>
          <w:sz w:val="30"/>
          <w:szCs w:val="30"/>
          <w:spacing w:val="18"/>
        </w:rPr>
        <w:t>十九条第(一)项</w:t>
      </w:r>
      <w:r>
        <w:rPr>
          <w:rFonts w:ascii="FangSong" w:hAnsi="FangSong" w:eastAsia="FangSong" w:cs="FangSong"/>
          <w:sz w:val="30"/>
          <w:szCs w:val="30"/>
          <w:spacing w:val="18"/>
        </w:rPr>
        <w:t xml:space="preserve">  </w:t>
      </w:r>
      <w:r>
        <w:rPr>
          <w:rFonts w:ascii="FangSong" w:hAnsi="FangSong" w:eastAsia="FangSong" w:cs="FangSong"/>
          <w:sz w:val="30"/>
          <w:szCs w:val="30"/>
          <w:spacing w:val="18"/>
        </w:rPr>
        <w:t>建设单位违反本法规定，有下列行</w:t>
      </w:r>
      <w:r>
        <w:rPr>
          <w:rFonts w:ascii="FangSong" w:hAnsi="FangSong" w:eastAsia="FangSong" w:cs="FangSong"/>
          <w:sz w:val="30"/>
          <w:szCs w:val="30"/>
        </w:rPr>
        <w:t xml:space="preserve"> </w:t>
      </w:r>
      <w:r>
        <w:rPr>
          <w:rFonts w:ascii="FangSong" w:hAnsi="FangSong" w:eastAsia="FangSong" w:cs="FangSong"/>
          <w:sz w:val="30"/>
          <w:szCs w:val="30"/>
          <w:spacing w:val="16"/>
        </w:rPr>
        <w:t>为之一的，由卫生行政部门给予警告，责令限期改正；逾期不改正的，处十万元以上五十万元以下的</w:t>
      </w:r>
      <w:r>
        <w:rPr>
          <w:rFonts w:ascii="FangSong" w:hAnsi="FangSong" w:eastAsia="FangSong" w:cs="FangSong"/>
          <w:sz w:val="30"/>
          <w:szCs w:val="30"/>
          <w:spacing w:val="4"/>
        </w:rPr>
        <w:t xml:space="preserve"> </w:t>
      </w:r>
      <w:r>
        <w:rPr>
          <w:rFonts w:ascii="FangSong" w:hAnsi="FangSong" w:eastAsia="FangSong" w:cs="FangSong"/>
          <w:sz w:val="30"/>
          <w:szCs w:val="30"/>
          <w:spacing w:val="17"/>
        </w:rPr>
        <w:t>罚款；情节严重的，责令停止产生职业病危害的作业，或者提请有关人民政府按</w:t>
      </w:r>
      <w:r>
        <w:rPr>
          <w:rFonts w:ascii="FangSong" w:hAnsi="FangSong" w:eastAsia="FangSong" w:cs="FangSong"/>
          <w:sz w:val="30"/>
          <w:szCs w:val="30"/>
          <w:spacing w:val="16"/>
        </w:rPr>
        <w:t>照国务院规定的权限</w:t>
      </w:r>
      <w:r>
        <w:rPr>
          <w:rFonts w:ascii="FangSong" w:hAnsi="FangSong" w:eastAsia="FangSong" w:cs="FangSong"/>
          <w:sz w:val="30"/>
          <w:szCs w:val="30"/>
        </w:rPr>
        <w:t xml:space="preserve"> </w:t>
      </w:r>
      <w:r>
        <w:rPr>
          <w:rFonts w:ascii="FangSong" w:hAnsi="FangSong" w:eastAsia="FangSong" w:cs="FangSong"/>
          <w:sz w:val="30"/>
          <w:szCs w:val="30"/>
          <w:spacing w:val="7"/>
        </w:rPr>
        <w:t>责令停建、关闭：</w:t>
      </w:r>
    </w:p>
    <w:p>
      <w:pPr>
        <w:ind w:left="779"/>
        <w:spacing w:before="1" w:line="220" w:lineRule="auto"/>
        <w:rPr>
          <w:rFonts w:ascii="FangSong" w:hAnsi="FangSong" w:eastAsia="FangSong" w:cs="FangSong"/>
          <w:sz w:val="30"/>
          <w:szCs w:val="30"/>
        </w:rPr>
      </w:pPr>
      <w:r>
        <w:rPr>
          <w:rFonts w:ascii="FangSong" w:hAnsi="FangSong" w:eastAsia="FangSong" w:cs="FangSong"/>
          <w:sz w:val="30"/>
          <w:szCs w:val="30"/>
          <w:spacing w:val="24"/>
        </w:rPr>
        <w:t>(一)未按照规定进行职业病危害预评价的；</w:t>
      </w:r>
    </w:p>
    <w:p>
      <w:pPr>
        <w:ind w:firstLine="659"/>
        <w:spacing w:before="77" w:line="265" w:lineRule="auto"/>
        <w:rPr>
          <w:rFonts w:ascii="FangSong" w:hAnsi="FangSong" w:eastAsia="FangSong" w:cs="FangSong"/>
          <w:sz w:val="30"/>
          <w:szCs w:val="30"/>
        </w:rPr>
      </w:pPr>
      <w:r>
        <w:rPr>
          <w:rFonts w:ascii="FangSong" w:hAnsi="FangSong" w:eastAsia="FangSong" w:cs="FangSong"/>
          <w:sz w:val="30"/>
          <w:szCs w:val="30"/>
          <w:spacing w:val="14"/>
        </w:rPr>
        <w:t>2.</w:t>
      </w:r>
      <w:r>
        <w:rPr>
          <w:rFonts w:ascii="FangSong" w:hAnsi="FangSong" w:eastAsia="FangSong" w:cs="FangSong"/>
          <w:sz w:val="30"/>
          <w:szCs w:val="30"/>
          <w:spacing w:val="14"/>
        </w:rPr>
        <w:t xml:space="preserve"> </w:t>
      </w:r>
      <w:r>
        <w:rPr>
          <w:rFonts w:ascii="FangSong" w:hAnsi="FangSong" w:eastAsia="FangSong" w:cs="FangSong"/>
          <w:sz w:val="30"/>
          <w:szCs w:val="30"/>
          <w:spacing w:val="14"/>
        </w:rPr>
        <w:t>《使用有毒物品作业场所劳动保护条例》第五十八条第(一)项</w:t>
      </w:r>
      <w:r>
        <w:rPr>
          <w:rFonts w:ascii="FangSong" w:hAnsi="FangSong" w:eastAsia="FangSong" w:cs="FangSong"/>
          <w:sz w:val="30"/>
          <w:szCs w:val="30"/>
          <w:spacing w:val="14"/>
        </w:rPr>
        <w:t xml:space="preserve">  </w:t>
      </w:r>
      <w:r>
        <w:rPr>
          <w:rFonts w:ascii="FangSong" w:hAnsi="FangSong" w:eastAsia="FangSong" w:cs="FangSong"/>
          <w:sz w:val="30"/>
          <w:szCs w:val="30"/>
          <w:spacing w:val="14"/>
        </w:rPr>
        <w:t>用人单位违反本条例的规定，</w:t>
      </w:r>
      <w:r>
        <w:rPr>
          <w:rFonts w:ascii="FangSong" w:hAnsi="FangSong" w:eastAsia="FangSong" w:cs="FangSong"/>
          <w:sz w:val="30"/>
          <w:szCs w:val="30"/>
          <w:spacing w:val="15"/>
        </w:rPr>
        <w:t xml:space="preserve"> </w:t>
      </w:r>
      <w:r>
        <w:rPr>
          <w:rFonts w:ascii="FangSong" w:hAnsi="FangSong" w:eastAsia="FangSong" w:cs="FangSong"/>
          <w:sz w:val="30"/>
          <w:szCs w:val="30"/>
          <w:spacing w:val="23"/>
        </w:rPr>
        <w:t>有下列情形之一的，由疾病预防控制部门给予警告，责令限期改正；逾</w:t>
      </w:r>
      <w:r>
        <w:rPr>
          <w:rFonts w:ascii="FangSong" w:hAnsi="FangSong" w:eastAsia="FangSong" w:cs="FangSong"/>
          <w:sz w:val="30"/>
          <w:szCs w:val="30"/>
          <w:spacing w:val="22"/>
        </w:rPr>
        <w:t>期不改正的，处10万元以上</w:t>
      </w:r>
      <w:r>
        <w:rPr>
          <w:rFonts w:ascii="FangSong" w:hAnsi="FangSong" w:eastAsia="FangSong" w:cs="FangSong"/>
          <w:sz w:val="30"/>
          <w:szCs w:val="30"/>
        </w:rPr>
        <w:t xml:space="preserve">  </w:t>
      </w:r>
      <w:r>
        <w:rPr>
          <w:rFonts w:ascii="FangSong" w:hAnsi="FangSong" w:eastAsia="FangSong" w:cs="FangSong"/>
          <w:sz w:val="30"/>
          <w:szCs w:val="30"/>
          <w:spacing w:val="20"/>
        </w:rPr>
        <w:t>50万元以下的罚款；情节严重的，提请有关人民</w:t>
      </w:r>
      <w:r>
        <w:rPr>
          <w:rFonts w:ascii="FangSong" w:hAnsi="FangSong" w:eastAsia="FangSong" w:cs="FangSong"/>
          <w:sz w:val="30"/>
          <w:szCs w:val="30"/>
          <w:spacing w:val="19"/>
        </w:rPr>
        <w:t>政府按照国务院规定的权限责令停建、予以关闭；</w:t>
      </w:r>
    </w:p>
    <w:p>
      <w:pPr>
        <w:ind w:right="128"/>
        <w:spacing w:before="4" w:line="264" w:lineRule="auto"/>
        <w:rPr>
          <w:rFonts w:ascii="FangSong" w:hAnsi="FangSong" w:eastAsia="FangSong" w:cs="FangSong"/>
          <w:sz w:val="30"/>
          <w:szCs w:val="30"/>
        </w:rPr>
      </w:pPr>
      <w:r>
        <w:rPr>
          <w:rFonts w:ascii="FangSong" w:hAnsi="FangSong" w:eastAsia="FangSong" w:cs="FangSong"/>
          <w:sz w:val="30"/>
          <w:szCs w:val="30"/>
          <w:spacing w:val="17"/>
        </w:rPr>
        <w:t>造成严重职业中毒危害或者导致职业中毒事故发生的，对负有责任的主管人员和其</w:t>
      </w:r>
      <w:r>
        <w:rPr>
          <w:rFonts w:ascii="FangSong" w:hAnsi="FangSong" w:eastAsia="FangSong" w:cs="FangSong"/>
          <w:sz w:val="30"/>
          <w:szCs w:val="30"/>
          <w:spacing w:val="16"/>
        </w:rPr>
        <w:t>他直接责任人员依</w:t>
      </w:r>
      <w:r>
        <w:rPr>
          <w:rFonts w:ascii="FangSong" w:hAnsi="FangSong" w:eastAsia="FangSong" w:cs="FangSong"/>
          <w:sz w:val="30"/>
          <w:szCs w:val="30"/>
        </w:rPr>
        <w:t xml:space="preserve"> </w:t>
      </w:r>
      <w:r>
        <w:rPr>
          <w:rFonts w:ascii="FangSong" w:hAnsi="FangSong" w:eastAsia="FangSong" w:cs="FangSong"/>
          <w:sz w:val="30"/>
          <w:szCs w:val="30"/>
          <w:spacing w:val="16"/>
        </w:rPr>
        <w:t>照刑法关于重大劳动安全事故罪或者其他罪的规定，依法追究刑事责任：</w:t>
      </w:r>
    </w:p>
    <w:p>
      <w:pPr>
        <w:ind w:right="129" w:firstLine="779"/>
        <w:spacing w:before="2" w:line="254" w:lineRule="auto"/>
        <w:rPr>
          <w:rFonts w:ascii="FangSong" w:hAnsi="FangSong" w:eastAsia="FangSong" w:cs="FangSong"/>
          <w:sz w:val="30"/>
          <w:szCs w:val="30"/>
        </w:rPr>
      </w:pPr>
      <w:r>
        <w:rPr>
          <w:rFonts w:ascii="FangSong" w:hAnsi="FangSong" w:eastAsia="FangSong" w:cs="FangSong"/>
          <w:sz w:val="30"/>
          <w:szCs w:val="30"/>
          <w:spacing w:val="21"/>
        </w:rPr>
        <w:t>(一)可能产生职业中毒危害的建设项目，</w:t>
      </w:r>
      <w:r>
        <w:rPr>
          <w:rFonts w:ascii="FangSong" w:hAnsi="FangSong" w:eastAsia="FangSong" w:cs="FangSong"/>
          <w:sz w:val="30"/>
          <w:szCs w:val="30"/>
          <w:spacing w:val="20"/>
        </w:rPr>
        <w:t>未依照职业病防治法的规定进行职业中毒危害预评价</w:t>
      </w:r>
      <w:r>
        <w:rPr>
          <w:rFonts w:ascii="FangSong" w:hAnsi="FangSong" w:eastAsia="FangSong" w:cs="FangSong"/>
          <w:sz w:val="30"/>
          <w:szCs w:val="30"/>
        </w:rPr>
        <w:t xml:space="preserve"> </w:t>
      </w:r>
      <w:r>
        <w:rPr>
          <w:rFonts w:ascii="FangSong" w:hAnsi="FangSong" w:eastAsia="FangSong" w:cs="FangSong"/>
          <w:sz w:val="30"/>
          <w:szCs w:val="30"/>
          <w:spacing w:val="-18"/>
        </w:rPr>
        <w:t>的；</w:t>
      </w:r>
    </w:p>
    <w:p>
      <w:pPr>
        <w:ind w:left="659"/>
        <w:spacing w:before="262" w:line="221" w:lineRule="auto"/>
        <w:rPr>
          <w:rFonts w:ascii="FangSong" w:hAnsi="FangSong" w:eastAsia="FangSong" w:cs="FangSong"/>
          <w:sz w:val="30"/>
          <w:szCs w:val="30"/>
        </w:rPr>
      </w:pPr>
      <w:r>
        <w:rPr>
          <w:rFonts w:ascii="FangSong" w:hAnsi="FangSong" w:eastAsia="FangSong" w:cs="FangSong"/>
          <w:sz w:val="30"/>
          <w:szCs w:val="30"/>
          <w:spacing w:val="19"/>
        </w:rPr>
        <w:t>3.</w:t>
      </w:r>
      <w:r>
        <w:rPr>
          <w:rFonts w:ascii="FangSong" w:hAnsi="FangSong" w:eastAsia="FangSong" w:cs="FangSong"/>
          <w:sz w:val="30"/>
          <w:szCs w:val="30"/>
          <w:spacing w:val="19"/>
        </w:rPr>
        <w:t xml:space="preserve"> </w:t>
      </w:r>
      <w:r>
        <w:rPr>
          <w:rFonts w:ascii="FangSong" w:hAnsi="FangSong" w:eastAsia="FangSong" w:cs="FangSong"/>
          <w:sz w:val="30"/>
          <w:szCs w:val="30"/>
          <w:spacing w:val="19"/>
        </w:rPr>
        <w:t>《建设项目职业病防护设施“三同时”监督</w:t>
      </w:r>
      <w:r>
        <w:rPr>
          <w:rFonts w:ascii="FangSong" w:hAnsi="FangSong" w:eastAsia="FangSong" w:cs="FangSong"/>
          <w:sz w:val="30"/>
          <w:szCs w:val="30"/>
          <w:spacing w:val="18"/>
        </w:rPr>
        <w:t>管理办法》第三十九条第(一)项</w:t>
      </w:r>
      <w:r>
        <w:rPr>
          <w:rFonts w:ascii="FangSong" w:hAnsi="FangSong" w:eastAsia="FangSong" w:cs="FangSong"/>
          <w:sz w:val="30"/>
          <w:szCs w:val="30"/>
          <w:spacing w:val="18"/>
        </w:rPr>
        <w:t xml:space="preserve">  </w:t>
      </w:r>
      <w:r>
        <w:rPr>
          <w:rFonts w:ascii="FangSong" w:hAnsi="FangSong" w:eastAsia="FangSong" w:cs="FangSong"/>
          <w:sz w:val="30"/>
          <w:szCs w:val="30"/>
          <w:spacing w:val="18"/>
        </w:rPr>
        <w:t>建设单位有下</w:t>
      </w:r>
    </w:p>
    <w:p>
      <w:pPr>
        <w:spacing w:line="221" w:lineRule="auto"/>
        <w:sectPr>
          <w:footerReference w:type="default" r:id="rId471"/>
          <w:pgSz w:w="16830" w:h="11900"/>
          <w:pgMar w:top="1011" w:right="1330" w:bottom="1114" w:left="1430" w:header="0" w:footer="772" w:gutter="0"/>
        </w:sectPr>
        <w:rPr>
          <w:rFonts w:ascii="FangSong" w:hAnsi="FangSong" w:eastAsia="FangSong" w:cs="FangSong"/>
          <w:sz w:val="30"/>
          <w:szCs w:val="30"/>
        </w:rPr>
      </w:pPr>
    </w:p>
    <w:p>
      <w:pPr>
        <w:pStyle w:val="BodyText"/>
        <w:spacing w:line="264" w:lineRule="auto"/>
        <w:rPr/>
      </w:pPr>
      <w:r/>
    </w:p>
    <w:p>
      <w:pPr>
        <w:pStyle w:val="BodyText"/>
        <w:spacing w:line="264" w:lineRule="auto"/>
        <w:rPr/>
      </w:pPr>
      <w:r/>
    </w:p>
    <w:p>
      <w:pPr>
        <w:pStyle w:val="BodyText"/>
        <w:spacing w:line="264" w:lineRule="auto"/>
        <w:rPr/>
      </w:pPr>
      <w:r/>
    </w:p>
    <w:p>
      <w:pPr>
        <w:ind w:left="25" w:right="33"/>
        <w:spacing w:before="98" w:line="271" w:lineRule="auto"/>
        <w:jc w:val="both"/>
        <w:rPr>
          <w:rFonts w:ascii="FangSong" w:hAnsi="FangSong" w:eastAsia="FangSong" w:cs="FangSong"/>
          <w:sz w:val="30"/>
          <w:szCs w:val="30"/>
        </w:rPr>
      </w:pPr>
      <w:bookmarkStart w:name="bookmark1117" w:id="492"/>
      <w:bookmarkEnd w:id="492"/>
      <w:r>
        <w:rPr>
          <w:rFonts w:ascii="FangSong" w:hAnsi="FangSong" w:eastAsia="FangSong" w:cs="FangSong"/>
          <w:sz w:val="30"/>
          <w:szCs w:val="30"/>
          <w:spacing w:val="23"/>
        </w:rPr>
        <w:t>列行为之一的，由安全生产监督管理部门给予警</w:t>
      </w:r>
      <w:r>
        <w:rPr>
          <w:rFonts w:ascii="FangSong" w:hAnsi="FangSong" w:eastAsia="FangSong" w:cs="FangSong"/>
          <w:sz w:val="30"/>
          <w:szCs w:val="30"/>
          <w:spacing w:val="22"/>
        </w:rPr>
        <w:t>告，责令限期改正；逾期不改正的，处10万元以上</w:t>
      </w:r>
      <w:r>
        <w:rPr>
          <w:rFonts w:ascii="FangSong" w:hAnsi="FangSong" w:eastAsia="FangSong" w:cs="FangSong"/>
          <w:sz w:val="30"/>
          <w:szCs w:val="30"/>
        </w:rPr>
        <w:t xml:space="preserve"> </w:t>
      </w:r>
      <w:r>
        <w:rPr>
          <w:rFonts w:ascii="FangSong" w:hAnsi="FangSong" w:eastAsia="FangSong" w:cs="FangSong"/>
          <w:sz w:val="30"/>
          <w:szCs w:val="30"/>
          <w:spacing w:val="21"/>
        </w:rPr>
        <w:t>50万元以下的罚款；情节严重的，责令停止产生职业病危害的作业，或者提请有关人民政府按照国</w:t>
      </w:r>
      <w:r>
        <w:rPr>
          <w:rFonts w:ascii="FangSong" w:hAnsi="FangSong" w:eastAsia="FangSong" w:cs="FangSong"/>
          <w:sz w:val="30"/>
          <w:szCs w:val="30"/>
          <w:spacing w:val="2"/>
        </w:rPr>
        <w:t xml:space="preserve"> </w:t>
      </w:r>
      <w:r>
        <w:rPr>
          <w:rFonts w:ascii="FangSong" w:hAnsi="FangSong" w:eastAsia="FangSong" w:cs="FangSong"/>
          <w:sz w:val="30"/>
          <w:szCs w:val="30"/>
          <w:spacing w:val="13"/>
        </w:rPr>
        <w:t>务院规定的权限责令停建、关闭：</w:t>
      </w:r>
    </w:p>
    <w:p>
      <w:pPr>
        <w:ind w:left="804"/>
        <w:spacing w:before="1" w:line="220" w:lineRule="auto"/>
        <w:rPr>
          <w:rFonts w:ascii="FangSong" w:hAnsi="FangSong" w:eastAsia="FangSong" w:cs="FangSong"/>
          <w:sz w:val="30"/>
          <w:szCs w:val="30"/>
        </w:rPr>
      </w:pPr>
      <w:r>
        <w:rPr>
          <w:rFonts w:ascii="FangSong" w:hAnsi="FangSong" w:eastAsia="FangSong" w:cs="FangSong"/>
          <w:sz w:val="30"/>
          <w:szCs w:val="30"/>
          <w:spacing w:val="23"/>
        </w:rPr>
        <w:t>(一)未按照规定进行职业病危害预评价的；</w:t>
      </w:r>
    </w:p>
    <w:p>
      <w:pPr>
        <w:ind w:left="6429"/>
        <w:spacing w:before="222"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187"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94"/>
        <w:gridCol w:w="7734"/>
        <w:gridCol w:w="3759"/>
      </w:tblGrid>
      <w:tr>
        <w:trPr>
          <w:trHeight w:val="633" w:hRule="atLeast"/>
        </w:trPr>
        <w:tc>
          <w:tcPr>
            <w:tcW w:w="1694" w:type="dxa"/>
            <w:vAlign w:val="top"/>
          </w:tcPr>
          <w:p>
            <w:pPr>
              <w:pStyle w:val="TableText"/>
              <w:ind w:left="338"/>
              <w:spacing w:before="192" w:line="220" w:lineRule="auto"/>
              <w:rPr>
                <w:sz w:val="25"/>
                <w:szCs w:val="25"/>
              </w:rPr>
            </w:pPr>
            <w:r>
              <w:rPr>
                <w:sz w:val="25"/>
                <w:szCs w:val="25"/>
                <w:b/>
                <w:bCs/>
                <w:spacing w:val="-5"/>
              </w:rPr>
              <w:t>违法程度</w:t>
            </w:r>
          </w:p>
        </w:tc>
        <w:tc>
          <w:tcPr>
            <w:tcW w:w="7734" w:type="dxa"/>
            <w:vAlign w:val="top"/>
          </w:tcPr>
          <w:p>
            <w:pPr>
              <w:pStyle w:val="TableText"/>
              <w:ind w:left="3314"/>
              <w:spacing w:before="192" w:line="220" w:lineRule="auto"/>
              <w:rPr>
                <w:sz w:val="25"/>
                <w:szCs w:val="25"/>
              </w:rPr>
            </w:pPr>
            <w:r>
              <w:rPr>
                <w:sz w:val="25"/>
                <w:szCs w:val="25"/>
                <w:b/>
                <w:bCs/>
                <w:spacing w:val="-5"/>
              </w:rPr>
              <w:t>情节后果</w:t>
            </w:r>
          </w:p>
        </w:tc>
        <w:tc>
          <w:tcPr>
            <w:tcW w:w="3759" w:type="dxa"/>
            <w:vAlign w:val="top"/>
          </w:tcPr>
          <w:p>
            <w:pPr>
              <w:pStyle w:val="TableText"/>
              <w:ind w:left="1320"/>
              <w:spacing w:before="189" w:line="218" w:lineRule="auto"/>
              <w:rPr>
                <w:sz w:val="25"/>
                <w:szCs w:val="25"/>
              </w:rPr>
            </w:pPr>
            <w:r>
              <w:rPr>
                <w:sz w:val="25"/>
                <w:szCs w:val="25"/>
                <w:b/>
                <w:bCs/>
                <w:spacing w:val="-5"/>
              </w:rPr>
              <w:t>裁量幅度</w:t>
            </w:r>
          </w:p>
        </w:tc>
      </w:tr>
      <w:tr>
        <w:trPr>
          <w:trHeight w:val="489" w:hRule="atLeast"/>
        </w:trPr>
        <w:tc>
          <w:tcPr>
            <w:tcW w:w="1694" w:type="dxa"/>
            <w:vAlign w:val="top"/>
          </w:tcPr>
          <w:p>
            <w:pPr>
              <w:pStyle w:val="TableText"/>
              <w:ind w:left="588"/>
              <w:spacing w:before="118" w:line="219" w:lineRule="auto"/>
              <w:rPr>
                <w:sz w:val="25"/>
                <w:szCs w:val="25"/>
              </w:rPr>
            </w:pPr>
            <w:r>
              <w:rPr>
                <w:sz w:val="25"/>
                <w:szCs w:val="25"/>
                <w:b/>
                <w:bCs/>
                <w:spacing w:val="-6"/>
              </w:rPr>
              <w:t>较轻</w:t>
            </w:r>
          </w:p>
        </w:tc>
        <w:tc>
          <w:tcPr>
            <w:tcW w:w="7734" w:type="dxa"/>
            <w:vAlign w:val="top"/>
          </w:tcPr>
          <w:p>
            <w:pPr>
              <w:pStyle w:val="TableText"/>
              <w:ind w:left="110"/>
              <w:spacing w:before="120" w:line="218" w:lineRule="auto"/>
              <w:rPr>
                <w:sz w:val="25"/>
                <w:szCs w:val="25"/>
              </w:rPr>
            </w:pPr>
            <w:r>
              <w:rPr>
                <w:sz w:val="25"/>
                <w:szCs w:val="25"/>
              </w:rPr>
              <w:t>建设单位未按照规定进行职业病危害预评价的</w:t>
            </w:r>
          </w:p>
        </w:tc>
        <w:tc>
          <w:tcPr>
            <w:tcW w:w="3759" w:type="dxa"/>
            <w:vAlign w:val="top"/>
          </w:tcPr>
          <w:p>
            <w:pPr>
              <w:pStyle w:val="TableText"/>
              <w:ind w:left="96"/>
              <w:spacing w:before="120" w:line="218" w:lineRule="auto"/>
              <w:rPr>
                <w:sz w:val="25"/>
                <w:szCs w:val="25"/>
              </w:rPr>
            </w:pPr>
            <w:r>
              <w:rPr>
                <w:sz w:val="25"/>
                <w:szCs w:val="25"/>
                <w:spacing w:val="1"/>
              </w:rPr>
              <w:t>警告，责令限期改正</w:t>
            </w:r>
          </w:p>
        </w:tc>
      </w:tr>
      <w:tr>
        <w:trPr>
          <w:trHeight w:val="1686" w:hRule="atLeast"/>
        </w:trPr>
        <w:tc>
          <w:tcPr>
            <w:tcW w:w="1694" w:type="dxa"/>
            <w:vAlign w:val="top"/>
          </w:tcPr>
          <w:p>
            <w:pPr>
              <w:spacing w:line="317" w:lineRule="auto"/>
              <w:rPr>
                <w:rFonts w:ascii="Arial"/>
                <w:sz w:val="21"/>
              </w:rPr>
            </w:pPr>
            <w:r/>
          </w:p>
          <w:p>
            <w:pPr>
              <w:spacing w:line="318" w:lineRule="auto"/>
              <w:rPr>
                <w:rFonts w:ascii="Arial"/>
                <w:sz w:val="21"/>
              </w:rPr>
            </w:pPr>
            <w:r/>
          </w:p>
          <w:p>
            <w:pPr>
              <w:pStyle w:val="TableText"/>
              <w:ind w:left="588"/>
              <w:spacing w:before="82" w:line="221" w:lineRule="auto"/>
              <w:rPr>
                <w:sz w:val="25"/>
                <w:szCs w:val="25"/>
              </w:rPr>
            </w:pPr>
            <w:r>
              <w:rPr>
                <w:sz w:val="25"/>
                <w:szCs w:val="25"/>
                <w:b/>
                <w:bCs/>
                <w:spacing w:val="-10"/>
              </w:rPr>
              <w:t>一般</w:t>
            </w:r>
          </w:p>
        </w:tc>
        <w:tc>
          <w:tcPr>
            <w:tcW w:w="7734" w:type="dxa"/>
            <w:vAlign w:val="top"/>
          </w:tcPr>
          <w:p>
            <w:pPr>
              <w:pStyle w:val="TableText"/>
              <w:spacing w:before="51" w:line="218" w:lineRule="auto"/>
              <w:jc w:val="right"/>
              <w:rPr>
                <w:sz w:val="25"/>
                <w:szCs w:val="25"/>
              </w:rPr>
            </w:pPr>
            <w:r>
              <w:rPr>
                <w:sz w:val="25"/>
                <w:szCs w:val="25"/>
                <w:spacing w:val="-5"/>
              </w:rPr>
              <w:t>存在以下未按照规定进行职业病危害预评价行为，经警告，逾期不改正</w:t>
            </w:r>
          </w:p>
          <w:p>
            <w:pPr>
              <w:pStyle w:val="TableText"/>
              <w:ind w:left="110"/>
              <w:spacing w:before="50" w:line="222" w:lineRule="auto"/>
              <w:rPr>
                <w:sz w:val="25"/>
                <w:szCs w:val="25"/>
              </w:rPr>
            </w:pPr>
            <w:r>
              <w:rPr>
                <w:sz w:val="25"/>
                <w:szCs w:val="25"/>
                <w:color w:val="405050"/>
                <w:spacing w:val="-16"/>
              </w:rPr>
              <w:t>的</w:t>
            </w:r>
            <w:r>
              <w:rPr>
                <w:sz w:val="25"/>
                <w:szCs w:val="25"/>
                <w:color w:val="405050"/>
                <w:spacing w:val="-42"/>
              </w:rPr>
              <w:t xml:space="preserve"> </w:t>
            </w:r>
            <w:r>
              <w:rPr>
                <w:sz w:val="25"/>
                <w:szCs w:val="25"/>
                <w:color w:val="405050"/>
                <w:spacing w:val="-16"/>
              </w:rPr>
              <w:t>：</w:t>
            </w:r>
          </w:p>
          <w:p>
            <w:pPr>
              <w:pStyle w:val="TableText"/>
              <w:ind w:left="110"/>
              <w:spacing w:before="33" w:line="218" w:lineRule="auto"/>
              <w:rPr>
                <w:sz w:val="25"/>
                <w:szCs w:val="25"/>
              </w:rPr>
            </w:pPr>
            <w:r>
              <w:rPr>
                <w:sz w:val="25"/>
                <w:szCs w:val="25"/>
              </w:rPr>
              <w:t>A.职业病危害一般类的建设项目未按规定进行职业病危害预评价的</w:t>
            </w:r>
          </w:p>
          <w:p>
            <w:pPr>
              <w:pStyle w:val="TableText"/>
              <w:ind w:left="110"/>
              <w:spacing w:before="64" w:line="216" w:lineRule="auto"/>
              <w:rPr>
                <w:sz w:val="25"/>
                <w:szCs w:val="25"/>
              </w:rPr>
            </w:pPr>
            <w:r>
              <w:rPr>
                <w:sz w:val="25"/>
                <w:szCs w:val="25"/>
              </w:rPr>
              <w:t>B.GBZ181《职业病危害放射防护评价报告</w:t>
            </w:r>
            <w:r>
              <w:rPr>
                <w:sz w:val="25"/>
                <w:szCs w:val="25"/>
                <w:spacing w:val="-1"/>
              </w:rPr>
              <w:t>编制规范》中所列C类建设项</w:t>
            </w:r>
            <w:r>
              <w:rPr>
                <w:sz w:val="25"/>
                <w:szCs w:val="25"/>
              </w:rPr>
              <w:t xml:space="preserve"> </w:t>
            </w:r>
            <w:r>
              <w:rPr>
                <w:sz w:val="25"/>
                <w:szCs w:val="25"/>
              </w:rPr>
              <w:t>目未按规定进行职业病危害预评价的</w:t>
            </w:r>
          </w:p>
        </w:tc>
        <w:tc>
          <w:tcPr>
            <w:tcW w:w="3759" w:type="dxa"/>
            <w:vAlign w:val="top"/>
          </w:tcPr>
          <w:p>
            <w:pPr>
              <w:spacing w:line="476" w:lineRule="auto"/>
              <w:rPr>
                <w:rFonts w:ascii="Arial"/>
                <w:sz w:val="21"/>
              </w:rPr>
            </w:pPr>
            <w:r/>
          </w:p>
          <w:p>
            <w:pPr>
              <w:pStyle w:val="TableText"/>
              <w:ind w:left="96"/>
              <w:spacing w:before="81" w:line="257" w:lineRule="auto"/>
              <w:rPr>
                <w:sz w:val="25"/>
                <w:szCs w:val="25"/>
              </w:rPr>
            </w:pPr>
            <w:r>
              <w:rPr>
                <w:sz w:val="25"/>
                <w:szCs w:val="25"/>
                <w:spacing w:val="-7"/>
              </w:rPr>
              <w:t>警告，罚款十万元以上二十万元以</w:t>
            </w:r>
            <w:r>
              <w:rPr>
                <w:sz w:val="25"/>
                <w:szCs w:val="25"/>
                <w:spacing w:val="6"/>
              </w:rPr>
              <w:t xml:space="preserve"> </w:t>
            </w:r>
            <w:r>
              <w:rPr>
                <w:sz w:val="25"/>
                <w:szCs w:val="25"/>
              </w:rPr>
              <w:t>下</w:t>
            </w:r>
          </w:p>
        </w:tc>
      </w:tr>
      <w:tr>
        <w:trPr>
          <w:trHeight w:val="838" w:hRule="atLeast"/>
        </w:trPr>
        <w:tc>
          <w:tcPr>
            <w:tcW w:w="1694" w:type="dxa"/>
            <w:vAlign w:val="top"/>
          </w:tcPr>
          <w:p>
            <w:pPr>
              <w:pStyle w:val="TableText"/>
              <w:ind w:left="588"/>
              <w:spacing w:before="307" w:line="221" w:lineRule="auto"/>
              <w:rPr>
                <w:sz w:val="25"/>
                <w:szCs w:val="25"/>
              </w:rPr>
            </w:pPr>
            <w:r>
              <w:rPr>
                <w:sz w:val="25"/>
                <w:szCs w:val="25"/>
                <w:b/>
                <w:bCs/>
                <w:spacing w:val="-6"/>
              </w:rPr>
              <w:t>较重</w:t>
            </w:r>
          </w:p>
        </w:tc>
        <w:tc>
          <w:tcPr>
            <w:tcW w:w="7734" w:type="dxa"/>
            <w:vAlign w:val="top"/>
          </w:tcPr>
          <w:p>
            <w:pPr>
              <w:pStyle w:val="TableText"/>
              <w:ind w:left="110"/>
              <w:spacing w:before="145" w:line="252" w:lineRule="auto"/>
              <w:rPr>
                <w:sz w:val="25"/>
                <w:szCs w:val="25"/>
              </w:rPr>
            </w:pPr>
            <w:r>
              <w:rPr>
                <w:sz w:val="25"/>
                <w:szCs w:val="25"/>
                <w:spacing w:val="-5"/>
              </w:rPr>
              <w:t>可能产生职业病危害严重的建设项目未按照规定进行职业病危害预评价</w:t>
            </w:r>
            <w:r>
              <w:rPr>
                <w:sz w:val="25"/>
                <w:szCs w:val="25"/>
                <w:spacing w:val="17"/>
              </w:rPr>
              <w:t xml:space="preserve"> </w:t>
            </w:r>
            <w:r>
              <w:rPr>
                <w:sz w:val="25"/>
                <w:szCs w:val="25"/>
                <w:spacing w:val="1"/>
              </w:rPr>
              <w:t>的，经警告，逾期不改正的</w:t>
            </w:r>
          </w:p>
        </w:tc>
        <w:tc>
          <w:tcPr>
            <w:tcW w:w="3759" w:type="dxa"/>
            <w:vAlign w:val="top"/>
          </w:tcPr>
          <w:p>
            <w:pPr>
              <w:pStyle w:val="TableText"/>
              <w:ind w:left="96" w:right="1"/>
              <w:spacing w:before="145" w:line="252" w:lineRule="auto"/>
              <w:rPr>
                <w:sz w:val="25"/>
                <w:szCs w:val="25"/>
              </w:rPr>
            </w:pPr>
            <w:r>
              <w:rPr>
                <w:sz w:val="25"/>
                <w:szCs w:val="25"/>
                <w:spacing w:val="-7"/>
              </w:rPr>
              <w:t>警告，罚款二十万元以上五十万元</w:t>
            </w:r>
            <w:r>
              <w:rPr>
                <w:sz w:val="25"/>
                <w:szCs w:val="25"/>
                <w:spacing w:val="4"/>
              </w:rPr>
              <w:t xml:space="preserve"> </w:t>
            </w:r>
            <w:r>
              <w:rPr>
                <w:sz w:val="25"/>
                <w:szCs w:val="25"/>
                <w:spacing w:val="8"/>
              </w:rPr>
              <w:t>以下</w:t>
            </w:r>
          </w:p>
        </w:tc>
      </w:tr>
      <w:tr>
        <w:trPr>
          <w:trHeight w:val="553" w:hRule="atLeast"/>
        </w:trPr>
        <w:tc>
          <w:tcPr>
            <w:tcW w:w="1694" w:type="dxa"/>
            <w:vAlign w:val="top"/>
          </w:tcPr>
          <w:p>
            <w:pPr>
              <w:pStyle w:val="TableText"/>
              <w:ind w:left="588"/>
              <w:spacing w:before="156" w:line="220" w:lineRule="auto"/>
              <w:rPr>
                <w:sz w:val="25"/>
                <w:szCs w:val="25"/>
              </w:rPr>
            </w:pPr>
            <w:r>
              <w:rPr>
                <w:sz w:val="25"/>
                <w:szCs w:val="25"/>
                <w:b/>
                <w:bCs/>
                <w:spacing w:val="-6"/>
              </w:rPr>
              <w:t>严重</w:t>
            </w:r>
          </w:p>
        </w:tc>
        <w:tc>
          <w:tcPr>
            <w:tcW w:w="7734" w:type="dxa"/>
            <w:vAlign w:val="top"/>
          </w:tcPr>
          <w:p>
            <w:pPr>
              <w:pStyle w:val="TableText"/>
              <w:spacing w:before="157" w:line="218" w:lineRule="auto"/>
              <w:jc w:val="right"/>
              <w:rPr>
                <w:sz w:val="25"/>
                <w:szCs w:val="25"/>
              </w:rPr>
            </w:pPr>
            <w:r>
              <w:rPr>
                <w:sz w:val="25"/>
                <w:szCs w:val="25"/>
                <w:spacing w:val="-5"/>
              </w:rPr>
              <w:t>建设单位未按照规定对建设项目进行职业病危害预评价，造成严重后果</w:t>
            </w:r>
          </w:p>
        </w:tc>
        <w:tc>
          <w:tcPr>
            <w:tcW w:w="3759" w:type="dxa"/>
            <w:vAlign w:val="top"/>
          </w:tcPr>
          <w:p>
            <w:pPr>
              <w:pStyle w:val="TableText"/>
              <w:ind w:left="96"/>
              <w:spacing w:before="157" w:line="219" w:lineRule="auto"/>
              <w:rPr>
                <w:sz w:val="25"/>
                <w:szCs w:val="25"/>
              </w:rPr>
            </w:pPr>
            <w:r>
              <w:rPr>
                <w:sz w:val="25"/>
                <w:szCs w:val="25"/>
                <w:spacing w:val="2"/>
              </w:rPr>
              <w:t>责令停业或停建、关闭</w:t>
            </w:r>
          </w:p>
        </w:tc>
      </w:tr>
    </w:tbl>
    <w:p>
      <w:pPr>
        <w:pStyle w:val="BodyText"/>
        <w:spacing w:line="456" w:lineRule="auto"/>
        <w:rPr/>
      </w:pPr>
      <w:r/>
    </w:p>
    <w:p>
      <w:pPr>
        <w:ind w:left="29" w:firstLine="649"/>
        <w:spacing w:before="97" w:line="268" w:lineRule="auto"/>
        <w:rPr>
          <w:rFonts w:ascii="FangSong" w:hAnsi="FangSong" w:eastAsia="FangSong" w:cs="FangSong"/>
          <w:sz w:val="30"/>
          <w:szCs w:val="30"/>
        </w:rPr>
      </w:pPr>
      <w:r>
        <w:rPr>
          <w:rFonts w:ascii="FangSong" w:hAnsi="FangSong" w:eastAsia="FangSong" w:cs="FangSong"/>
          <w:sz w:val="30"/>
          <w:szCs w:val="30"/>
          <w:b/>
          <w:bCs/>
          <w:spacing w:val="21"/>
        </w:rPr>
        <w:t>第四百四十七条建设项目的职业病防护设施</w:t>
      </w:r>
      <w:r>
        <w:rPr>
          <w:rFonts w:ascii="FangSong" w:hAnsi="FangSong" w:eastAsia="FangSong" w:cs="FangSong"/>
          <w:sz w:val="30"/>
          <w:szCs w:val="30"/>
          <w:b/>
          <w:bCs/>
          <w:spacing w:val="20"/>
        </w:rPr>
        <w:t>未按照规定与主体工程同时设计、同时施工、同时</w:t>
      </w:r>
      <w:r>
        <w:rPr>
          <w:rFonts w:ascii="FangSong" w:hAnsi="FangSong" w:eastAsia="FangSong" w:cs="FangSong"/>
          <w:sz w:val="30"/>
          <w:szCs w:val="30"/>
        </w:rPr>
        <w:t xml:space="preserve"> </w:t>
      </w:r>
      <w:r>
        <w:rPr>
          <w:rFonts w:ascii="FangSong" w:hAnsi="FangSong" w:eastAsia="FangSong" w:cs="FangSong"/>
          <w:sz w:val="30"/>
          <w:szCs w:val="30"/>
          <w:b/>
          <w:bCs/>
          <w:spacing w:val="14"/>
        </w:rPr>
        <w:t>投入生产和使用的</w:t>
      </w:r>
    </w:p>
    <w:p>
      <w:pPr>
        <w:spacing w:line="268" w:lineRule="auto"/>
        <w:sectPr>
          <w:footerReference w:type="default" r:id="rId472"/>
          <w:pgSz w:w="16830" w:h="11900"/>
          <w:pgMar w:top="1011" w:right="1455" w:bottom="1107" w:left="1425" w:header="0" w:footer="774" w:gutter="0"/>
        </w:sectPr>
        <w:rPr>
          <w:rFonts w:ascii="FangSong" w:hAnsi="FangSong" w:eastAsia="FangSong" w:cs="FangSong"/>
          <w:sz w:val="30"/>
          <w:szCs w:val="30"/>
        </w:rPr>
      </w:pPr>
    </w:p>
    <w:p>
      <w:pPr>
        <w:pStyle w:val="BodyText"/>
        <w:spacing w:line="265" w:lineRule="auto"/>
        <w:rPr/>
      </w:pPr>
      <w:r/>
    </w:p>
    <w:p>
      <w:pPr>
        <w:pStyle w:val="BodyText"/>
        <w:spacing w:line="265" w:lineRule="auto"/>
        <w:rPr/>
      </w:pPr>
      <w:r/>
    </w:p>
    <w:p>
      <w:pPr>
        <w:pStyle w:val="BodyText"/>
        <w:spacing w:line="266" w:lineRule="auto"/>
        <w:rPr/>
      </w:pPr>
      <w:r/>
    </w:p>
    <w:p>
      <w:pPr>
        <w:ind w:left="639"/>
        <w:spacing w:before="97" w:line="222" w:lineRule="auto"/>
        <w:rPr>
          <w:rFonts w:ascii="FangSong" w:hAnsi="FangSong" w:eastAsia="FangSong" w:cs="FangSong"/>
          <w:sz w:val="30"/>
          <w:szCs w:val="30"/>
        </w:rPr>
      </w:pPr>
      <w:r>
        <w:rPr>
          <w:rFonts w:ascii="FangSong" w:hAnsi="FangSong" w:eastAsia="FangSong" w:cs="FangSong"/>
          <w:sz w:val="30"/>
          <w:szCs w:val="30"/>
          <w:spacing w:val="4"/>
        </w:rPr>
        <w:t>法律依据：</w:t>
      </w:r>
    </w:p>
    <w:p>
      <w:pPr>
        <w:ind w:right="128" w:firstLine="639"/>
        <w:spacing w:before="67" w:line="274" w:lineRule="auto"/>
        <w:jc w:val="both"/>
        <w:rPr>
          <w:rFonts w:ascii="FangSong" w:hAnsi="FangSong" w:eastAsia="FangSong" w:cs="FangSong"/>
          <w:sz w:val="30"/>
          <w:szCs w:val="30"/>
        </w:rPr>
      </w:pPr>
      <w:r>
        <w:rPr>
          <w:rFonts w:ascii="FangSong" w:hAnsi="FangSong" w:eastAsia="FangSong" w:cs="FangSong"/>
          <w:sz w:val="30"/>
          <w:szCs w:val="30"/>
          <w:spacing w:val="17"/>
        </w:rPr>
        <w:t>1.</w:t>
      </w:r>
      <w:r>
        <w:rPr>
          <w:rFonts w:ascii="FangSong" w:hAnsi="FangSong" w:eastAsia="FangSong" w:cs="FangSong"/>
          <w:sz w:val="30"/>
          <w:szCs w:val="30"/>
          <w:spacing w:val="17"/>
        </w:rPr>
        <w:t xml:space="preserve"> </w:t>
      </w:r>
      <w:r>
        <w:rPr>
          <w:rFonts w:ascii="FangSong" w:hAnsi="FangSong" w:eastAsia="FangSong" w:cs="FangSong"/>
          <w:sz w:val="30"/>
          <w:szCs w:val="30"/>
          <w:spacing w:val="17"/>
        </w:rPr>
        <w:t>《中华人民共和国职业病防治法》第六十九条第(三)项</w:t>
      </w:r>
      <w:r>
        <w:rPr>
          <w:rFonts w:ascii="FangSong" w:hAnsi="FangSong" w:eastAsia="FangSong" w:cs="FangSong"/>
          <w:sz w:val="30"/>
          <w:szCs w:val="30"/>
          <w:spacing w:val="59"/>
        </w:rPr>
        <w:t xml:space="preserve">  </w:t>
      </w:r>
      <w:r>
        <w:rPr>
          <w:rFonts w:ascii="FangSong" w:hAnsi="FangSong" w:eastAsia="FangSong" w:cs="FangSong"/>
          <w:sz w:val="30"/>
          <w:szCs w:val="30"/>
          <w:spacing w:val="17"/>
        </w:rPr>
        <w:t>建设单位违反本法规定，有下列行</w:t>
      </w:r>
      <w:r>
        <w:rPr>
          <w:rFonts w:ascii="FangSong" w:hAnsi="FangSong" w:eastAsia="FangSong" w:cs="FangSong"/>
          <w:sz w:val="30"/>
          <w:szCs w:val="30"/>
          <w:spacing w:val="1"/>
        </w:rPr>
        <w:t xml:space="preserve"> </w:t>
      </w:r>
      <w:r>
        <w:rPr>
          <w:rFonts w:ascii="FangSong" w:hAnsi="FangSong" w:eastAsia="FangSong" w:cs="FangSong"/>
          <w:sz w:val="30"/>
          <w:szCs w:val="30"/>
          <w:spacing w:val="17"/>
        </w:rPr>
        <w:t>为之一的，由卫生行政部门给予警告，责令限期改正；</w:t>
      </w:r>
      <w:r>
        <w:rPr>
          <w:rFonts w:ascii="FangSong" w:hAnsi="FangSong" w:eastAsia="FangSong" w:cs="FangSong"/>
          <w:sz w:val="30"/>
          <w:szCs w:val="30"/>
          <w:spacing w:val="16"/>
        </w:rPr>
        <w:t>逾期不改正的，处十万元以上五十万元以下的</w:t>
      </w:r>
      <w:r>
        <w:rPr>
          <w:rFonts w:ascii="FangSong" w:hAnsi="FangSong" w:eastAsia="FangSong" w:cs="FangSong"/>
          <w:sz w:val="30"/>
          <w:szCs w:val="30"/>
        </w:rPr>
        <w:t xml:space="preserve"> </w:t>
      </w:r>
      <w:r>
        <w:rPr>
          <w:rFonts w:ascii="FangSong" w:hAnsi="FangSong" w:eastAsia="FangSong" w:cs="FangSong"/>
          <w:sz w:val="30"/>
          <w:szCs w:val="30"/>
          <w:spacing w:val="17"/>
        </w:rPr>
        <w:t>罚款；情节严重的，责令停止产生职业病危害的作业，或者提请有关人民政府按</w:t>
      </w:r>
      <w:r>
        <w:rPr>
          <w:rFonts w:ascii="FangSong" w:hAnsi="FangSong" w:eastAsia="FangSong" w:cs="FangSong"/>
          <w:sz w:val="30"/>
          <w:szCs w:val="30"/>
          <w:spacing w:val="16"/>
        </w:rPr>
        <w:t>照国务院规定的权限</w:t>
      </w:r>
      <w:r>
        <w:rPr>
          <w:rFonts w:ascii="FangSong" w:hAnsi="FangSong" w:eastAsia="FangSong" w:cs="FangSong"/>
          <w:sz w:val="30"/>
          <w:szCs w:val="30"/>
        </w:rPr>
        <w:t xml:space="preserve"> </w:t>
      </w:r>
      <w:r>
        <w:rPr>
          <w:rFonts w:ascii="FangSong" w:hAnsi="FangSong" w:eastAsia="FangSong" w:cs="FangSong"/>
          <w:sz w:val="30"/>
          <w:szCs w:val="30"/>
          <w:spacing w:val="6"/>
        </w:rPr>
        <w:t>责令停建、关闭：</w:t>
      </w:r>
    </w:p>
    <w:p>
      <w:pPr>
        <w:ind w:right="117" w:firstLine="779"/>
        <w:spacing w:before="1" w:line="263" w:lineRule="auto"/>
        <w:rPr>
          <w:rFonts w:ascii="FangSong" w:hAnsi="FangSong" w:eastAsia="FangSong" w:cs="FangSong"/>
          <w:sz w:val="30"/>
          <w:szCs w:val="30"/>
        </w:rPr>
      </w:pPr>
      <w:r>
        <w:rPr>
          <w:rFonts w:ascii="FangSong" w:hAnsi="FangSong" w:eastAsia="FangSong" w:cs="FangSong"/>
          <w:sz w:val="30"/>
          <w:szCs w:val="30"/>
          <w:spacing w:val="21"/>
        </w:rPr>
        <w:t>(三)建设项目的职业病防护设施未按照规定与主体工程同时设计、同</w:t>
      </w:r>
      <w:r>
        <w:rPr>
          <w:rFonts w:ascii="FangSong" w:hAnsi="FangSong" w:eastAsia="FangSong" w:cs="FangSong"/>
          <w:sz w:val="30"/>
          <w:szCs w:val="30"/>
          <w:spacing w:val="20"/>
        </w:rPr>
        <w:t>时施工、同时投入生产和</w:t>
      </w:r>
      <w:r>
        <w:rPr>
          <w:rFonts w:ascii="FangSong" w:hAnsi="FangSong" w:eastAsia="FangSong" w:cs="FangSong"/>
          <w:sz w:val="30"/>
          <w:szCs w:val="30"/>
        </w:rPr>
        <w:t xml:space="preserve"> </w:t>
      </w:r>
      <w:r>
        <w:rPr>
          <w:rFonts w:ascii="FangSong" w:hAnsi="FangSong" w:eastAsia="FangSong" w:cs="FangSong"/>
          <w:sz w:val="30"/>
          <w:szCs w:val="30"/>
          <w:spacing w:val="4"/>
        </w:rPr>
        <w:t>使用的；</w:t>
      </w:r>
    </w:p>
    <w:p>
      <w:pPr>
        <w:ind w:firstLine="639"/>
        <w:spacing w:before="3" w:line="270" w:lineRule="auto"/>
        <w:rPr>
          <w:rFonts w:ascii="FangSong" w:hAnsi="FangSong" w:eastAsia="FangSong" w:cs="FangSong"/>
          <w:sz w:val="30"/>
          <w:szCs w:val="30"/>
        </w:rPr>
      </w:pPr>
      <w:r>
        <w:rPr>
          <w:rFonts w:ascii="FangSong" w:hAnsi="FangSong" w:eastAsia="FangSong" w:cs="FangSong"/>
          <w:sz w:val="30"/>
          <w:szCs w:val="30"/>
          <w:spacing w:val="15"/>
        </w:rPr>
        <w:t>2.</w:t>
      </w:r>
      <w:r>
        <w:rPr>
          <w:rFonts w:ascii="FangSong" w:hAnsi="FangSong" w:eastAsia="FangSong" w:cs="FangSong"/>
          <w:sz w:val="30"/>
          <w:szCs w:val="30"/>
          <w:spacing w:val="15"/>
        </w:rPr>
        <w:t xml:space="preserve"> </w:t>
      </w:r>
      <w:r>
        <w:rPr>
          <w:rFonts w:ascii="FangSong" w:hAnsi="FangSong" w:eastAsia="FangSong" w:cs="FangSong"/>
          <w:sz w:val="30"/>
          <w:szCs w:val="30"/>
          <w:spacing w:val="15"/>
        </w:rPr>
        <w:t>《使用有毒物品作业场所劳动保护条例》第五十八条第(二)项</w:t>
      </w:r>
      <w:r>
        <w:rPr>
          <w:rFonts w:ascii="FangSong" w:hAnsi="FangSong" w:eastAsia="FangSong" w:cs="FangSong"/>
          <w:sz w:val="30"/>
          <w:szCs w:val="30"/>
          <w:spacing w:val="15"/>
        </w:rPr>
        <w:t xml:space="preserve">  </w:t>
      </w:r>
      <w:r>
        <w:rPr>
          <w:rFonts w:ascii="FangSong" w:hAnsi="FangSong" w:eastAsia="FangSong" w:cs="FangSong"/>
          <w:sz w:val="30"/>
          <w:szCs w:val="30"/>
          <w:spacing w:val="15"/>
        </w:rPr>
        <w:t>用</w:t>
      </w:r>
      <w:r>
        <w:rPr>
          <w:rFonts w:ascii="FangSong" w:hAnsi="FangSong" w:eastAsia="FangSong" w:cs="FangSong"/>
          <w:sz w:val="30"/>
          <w:szCs w:val="30"/>
          <w:spacing w:val="14"/>
        </w:rPr>
        <w:t>人单位违反本条例的规定，</w:t>
      </w:r>
      <w:r>
        <w:rPr>
          <w:rFonts w:ascii="FangSong" w:hAnsi="FangSong" w:eastAsia="FangSong" w:cs="FangSong"/>
          <w:sz w:val="30"/>
          <w:szCs w:val="30"/>
        </w:rPr>
        <w:t xml:space="preserve"> </w:t>
      </w:r>
      <w:r>
        <w:rPr>
          <w:rFonts w:ascii="FangSong" w:hAnsi="FangSong" w:eastAsia="FangSong" w:cs="FangSong"/>
          <w:sz w:val="30"/>
          <w:szCs w:val="30"/>
          <w:spacing w:val="23"/>
        </w:rPr>
        <w:t>有下列情形之一的，由疾病预防控制部门给予</w:t>
      </w:r>
      <w:r>
        <w:rPr>
          <w:rFonts w:ascii="FangSong" w:hAnsi="FangSong" w:eastAsia="FangSong" w:cs="FangSong"/>
          <w:sz w:val="30"/>
          <w:szCs w:val="30"/>
          <w:spacing w:val="22"/>
        </w:rPr>
        <w:t>警告，责令限期改正；逾期不改正的，处10万元以上</w:t>
      </w:r>
      <w:r>
        <w:rPr>
          <w:rFonts w:ascii="FangSong" w:hAnsi="FangSong" w:eastAsia="FangSong" w:cs="FangSong"/>
          <w:sz w:val="30"/>
          <w:szCs w:val="30"/>
        </w:rPr>
        <w:t xml:space="preserve">  </w:t>
      </w:r>
      <w:r>
        <w:rPr>
          <w:rFonts w:ascii="FangSong" w:hAnsi="FangSong" w:eastAsia="FangSong" w:cs="FangSong"/>
          <w:sz w:val="30"/>
          <w:szCs w:val="30"/>
          <w:spacing w:val="19"/>
        </w:rPr>
        <w:t>50万元以下的罚款；情节严重的，提请有关人民政府按照国务院规定的权限责令停建、予以关闭；</w:t>
      </w:r>
    </w:p>
    <w:p>
      <w:pPr>
        <w:ind w:right="99"/>
        <w:spacing w:before="3" w:line="265" w:lineRule="auto"/>
        <w:rPr>
          <w:rFonts w:ascii="FangSong" w:hAnsi="FangSong" w:eastAsia="FangSong" w:cs="FangSong"/>
          <w:sz w:val="30"/>
          <w:szCs w:val="30"/>
        </w:rPr>
      </w:pPr>
      <w:r>
        <w:rPr>
          <w:rFonts w:ascii="FangSong" w:hAnsi="FangSong" w:eastAsia="FangSong" w:cs="FangSong"/>
          <w:sz w:val="30"/>
          <w:szCs w:val="30"/>
          <w:spacing w:val="18"/>
        </w:rPr>
        <w:t>造成严重职业中毒危害或者导致职业中毒事故发</w:t>
      </w:r>
      <w:r>
        <w:rPr>
          <w:rFonts w:ascii="FangSong" w:hAnsi="FangSong" w:eastAsia="FangSong" w:cs="FangSong"/>
          <w:sz w:val="30"/>
          <w:szCs w:val="30"/>
          <w:spacing w:val="17"/>
        </w:rPr>
        <w:t>生的，对负有责任的主管人员和其他直接责任人员依</w:t>
      </w:r>
      <w:r>
        <w:rPr>
          <w:rFonts w:ascii="FangSong" w:hAnsi="FangSong" w:eastAsia="FangSong" w:cs="FangSong"/>
          <w:sz w:val="30"/>
          <w:szCs w:val="30"/>
        </w:rPr>
        <w:t xml:space="preserve"> </w:t>
      </w:r>
      <w:r>
        <w:rPr>
          <w:rFonts w:ascii="FangSong" w:hAnsi="FangSong" w:eastAsia="FangSong" w:cs="FangSong"/>
          <w:sz w:val="30"/>
          <w:szCs w:val="30"/>
          <w:spacing w:val="17"/>
        </w:rPr>
        <w:t>照刑法关于重大劳动安全事故罪或者其他罪的规定，依法追究刑事责任：</w:t>
      </w:r>
    </w:p>
    <w:p>
      <w:pPr>
        <w:ind w:left="779"/>
        <w:spacing w:before="1" w:line="222" w:lineRule="auto"/>
        <w:rPr>
          <w:rFonts w:ascii="FangSong" w:hAnsi="FangSong" w:eastAsia="FangSong" w:cs="FangSong"/>
          <w:sz w:val="30"/>
          <w:szCs w:val="30"/>
        </w:rPr>
      </w:pPr>
      <w:r>
        <w:rPr>
          <w:rFonts w:ascii="FangSong" w:hAnsi="FangSong" w:eastAsia="FangSong" w:cs="FangSong"/>
          <w:sz w:val="30"/>
          <w:szCs w:val="30"/>
          <w:spacing w:val="22"/>
        </w:rPr>
        <w:t>(二)职业中毒危害防护设施未与主体工程同时设计，同时施工，同时投入生产和使用的；</w:t>
      </w:r>
    </w:p>
    <w:p>
      <w:pPr>
        <w:ind w:right="146" w:firstLine="639"/>
        <w:spacing w:before="77" w:line="271" w:lineRule="auto"/>
        <w:jc w:val="both"/>
        <w:rPr>
          <w:rFonts w:ascii="FangSong" w:hAnsi="FangSong" w:eastAsia="FangSong" w:cs="FangSong"/>
          <w:sz w:val="30"/>
          <w:szCs w:val="30"/>
        </w:rPr>
      </w:pPr>
      <w:r>
        <w:rPr>
          <w:rFonts w:ascii="FangSong" w:hAnsi="FangSong" w:eastAsia="FangSong" w:cs="FangSong"/>
          <w:sz w:val="30"/>
          <w:szCs w:val="30"/>
          <w:spacing w:val="19"/>
        </w:rPr>
        <w:t>3.</w:t>
      </w:r>
      <w:r>
        <w:rPr>
          <w:rFonts w:ascii="FangSong" w:hAnsi="FangSong" w:eastAsia="FangSong" w:cs="FangSong"/>
          <w:sz w:val="30"/>
          <w:szCs w:val="30"/>
          <w:spacing w:val="19"/>
        </w:rPr>
        <w:t xml:space="preserve"> </w:t>
      </w:r>
      <w:r>
        <w:rPr>
          <w:rFonts w:ascii="FangSong" w:hAnsi="FangSong" w:eastAsia="FangSong" w:cs="FangSong"/>
          <w:sz w:val="30"/>
          <w:szCs w:val="30"/>
          <w:spacing w:val="19"/>
        </w:rPr>
        <w:t>《建设项目职业病防护设施“三同时”监督</w:t>
      </w:r>
      <w:r>
        <w:rPr>
          <w:rFonts w:ascii="FangSong" w:hAnsi="FangSong" w:eastAsia="FangSong" w:cs="FangSong"/>
          <w:sz w:val="30"/>
          <w:szCs w:val="30"/>
          <w:spacing w:val="18"/>
        </w:rPr>
        <w:t>管理办法》第三十九条第(二)项</w:t>
      </w:r>
      <w:r>
        <w:rPr>
          <w:rFonts w:ascii="FangSong" w:hAnsi="FangSong" w:eastAsia="FangSong" w:cs="FangSong"/>
          <w:sz w:val="30"/>
          <w:szCs w:val="30"/>
          <w:spacing w:val="18"/>
        </w:rPr>
        <w:t xml:space="preserve">  </w:t>
      </w:r>
      <w:r>
        <w:rPr>
          <w:rFonts w:ascii="FangSong" w:hAnsi="FangSong" w:eastAsia="FangSong" w:cs="FangSong"/>
          <w:sz w:val="30"/>
          <w:szCs w:val="30"/>
          <w:spacing w:val="18"/>
        </w:rPr>
        <w:t>建设单位有下</w:t>
      </w:r>
      <w:r>
        <w:rPr>
          <w:rFonts w:ascii="FangSong" w:hAnsi="FangSong" w:eastAsia="FangSong" w:cs="FangSong"/>
          <w:sz w:val="30"/>
          <w:szCs w:val="30"/>
        </w:rPr>
        <w:t xml:space="preserve"> </w:t>
      </w:r>
      <w:r>
        <w:rPr>
          <w:rFonts w:ascii="FangSong" w:hAnsi="FangSong" w:eastAsia="FangSong" w:cs="FangSong"/>
          <w:sz w:val="30"/>
          <w:szCs w:val="30"/>
          <w:spacing w:val="23"/>
        </w:rPr>
        <w:t>列行为之一的，由安全生产监督管理部门给予警</w:t>
      </w:r>
      <w:r>
        <w:rPr>
          <w:rFonts w:ascii="FangSong" w:hAnsi="FangSong" w:eastAsia="FangSong" w:cs="FangSong"/>
          <w:sz w:val="30"/>
          <w:szCs w:val="30"/>
          <w:spacing w:val="22"/>
        </w:rPr>
        <w:t>告，责令限期改正；逾期不改正的，处10万元以上</w:t>
      </w:r>
      <w:r>
        <w:rPr>
          <w:rFonts w:ascii="FangSong" w:hAnsi="FangSong" w:eastAsia="FangSong" w:cs="FangSong"/>
          <w:sz w:val="30"/>
          <w:szCs w:val="30"/>
        </w:rPr>
        <w:t xml:space="preserve"> </w:t>
      </w:r>
      <w:r>
        <w:rPr>
          <w:rFonts w:ascii="SimSun" w:hAnsi="SimSun" w:eastAsia="SimSun" w:cs="SimSun"/>
          <w:sz w:val="30"/>
          <w:szCs w:val="30"/>
          <w:spacing w:val="19"/>
        </w:rPr>
        <w:t>50 </w:t>
      </w:r>
      <w:r>
        <w:rPr>
          <w:rFonts w:ascii="FangSong" w:hAnsi="FangSong" w:eastAsia="FangSong" w:cs="FangSong"/>
          <w:sz w:val="30"/>
          <w:szCs w:val="30"/>
          <w:spacing w:val="19"/>
        </w:rPr>
        <w:t>万元以下的罚款；情节严重的，责令停止产生职业病</w:t>
      </w:r>
      <w:r>
        <w:rPr>
          <w:rFonts w:ascii="FangSong" w:hAnsi="FangSong" w:eastAsia="FangSong" w:cs="FangSong"/>
          <w:sz w:val="30"/>
          <w:szCs w:val="30"/>
          <w:spacing w:val="18"/>
        </w:rPr>
        <w:t>危害的作业，或者提请有关人民政府按照国</w:t>
      </w:r>
      <w:r>
        <w:rPr>
          <w:rFonts w:ascii="FangSong" w:hAnsi="FangSong" w:eastAsia="FangSong" w:cs="FangSong"/>
          <w:sz w:val="30"/>
          <w:szCs w:val="30"/>
        </w:rPr>
        <w:t xml:space="preserve"> </w:t>
      </w:r>
      <w:r>
        <w:rPr>
          <w:rFonts w:ascii="FangSong" w:hAnsi="FangSong" w:eastAsia="FangSong" w:cs="FangSong"/>
          <w:sz w:val="30"/>
          <w:szCs w:val="30"/>
          <w:spacing w:val="12"/>
        </w:rPr>
        <w:t>务院规定的权限责令停建、关闭：</w:t>
      </w:r>
    </w:p>
    <w:p>
      <w:pPr>
        <w:ind w:left="779"/>
        <w:spacing w:line="222" w:lineRule="auto"/>
        <w:rPr>
          <w:rFonts w:ascii="FangSong" w:hAnsi="FangSong" w:eastAsia="FangSong" w:cs="FangSong"/>
          <w:sz w:val="30"/>
          <w:szCs w:val="30"/>
        </w:rPr>
      </w:pPr>
      <w:r>
        <w:rPr>
          <w:rFonts w:ascii="FangSong" w:hAnsi="FangSong" w:eastAsia="FangSong" w:cs="FangSong"/>
          <w:sz w:val="30"/>
          <w:szCs w:val="30"/>
          <w:spacing w:val="21"/>
        </w:rPr>
        <w:t>(二)建设项目的职业病防护设施未按照规定与主体工程同时设计、同</w:t>
      </w:r>
      <w:r>
        <w:rPr>
          <w:rFonts w:ascii="FangSong" w:hAnsi="FangSong" w:eastAsia="FangSong" w:cs="FangSong"/>
          <w:sz w:val="30"/>
          <w:szCs w:val="30"/>
          <w:spacing w:val="20"/>
        </w:rPr>
        <w:t>时施工、同时投入生产和</w:t>
      </w:r>
    </w:p>
    <w:p>
      <w:pPr>
        <w:spacing w:line="222" w:lineRule="auto"/>
        <w:sectPr>
          <w:footerReference w:type="default" r:id="rId473"/>
          <w:pgSz w:w="16830" w:h="11900"/>
          <w:pgMar w:top="1011" w:right="1330" w:bottom="1107" w:left="1430" w:header="0" w:footer="774" w:gutter="0"/>
        </w:sectPr>
        <w:rPr>
          <w:rFonts w:ascii="FangSong" w:hAnsi="FangSong" w:eastAsia="FangSong" w:cs="FangSong"/>
          <w:sz w:val="30"/>
          <w:szCs w:val="30"/>
        </w:rPr>
      </w:pPr>
    </w:p>
    <w:p>
      <w:pPr>
        <w:pStyle w:val="BodyText"/>
        <w:spacing w:line="283" w:lineRule="auto"/>
        <w:rPr/>
      </w:pPr>
      <w:r/>
    </w:p>
    <w:p>
      <w:pPr>
        <w:pStyle w:val="BodyText"/>
        <w:spacing w:line="283" w:lineRule="auto"/>
        <w:rPr/>
      </w:pPr>
      <w:r/>
    </w:p>
    <w:p>
      <w:pPr>
        <w:pStyle w:val="BodyText"/>
        <w:spacing w:line="284" w:lineRule="auto"/>
        <w:rPr/>
      </w:pPr>
      <w:r/>
    </w:p>
    <w:p>
      <w:pPr>
        <w:ind w:left="128"/>
        <w:spacing w:before="88" w:line="222" w:lineRule="auto"/>
        <w:rPr>
          <w:rFonts w:ascii="FangSong" w:hAnsi="FangSong" w:eastAsia="FangSong" w:cs="FangSong"/>
          <w:sz w:val="27"/>
          <w:szCs w:val="27"/>
        </w:rPr>
      </w:pPr>
      <w:r>
        <w:rPr>
          <w:rFonts w:ascii="FangSong" w:hAnsi="FangSong" w:eastAsia="FangSong" w:cs="FangSong"/>
          <w:sz w:val="27"/>
          <w:szCs w:val="27"/>
          <w:b/>
          <w:bCs/>
          <w:spacing w:val="23"/>
        </w:rPr>
        <w:t>使用的；</w:t>
      </w:r>
    </w:p>
    <w:p>
      <w:pPr>
        <w:ind w:left="6539"/>
        <w:spacing w:before="48"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8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84"/>
        <w:gridCol w:w="8144"/>
        <w:gridCol w:w="4141"/>
      </w:tblGrid>
      <w:tr>
        <w:trPr>
          <w:trHeight w:val="634" w:hRule="atLeast"/>
        </w:trPr>
        <w:tc>
          <w:tcPr>
            <w:tcW w:w="1584" w:type="dxa"/>
            <w:vAlign w:val="top"/>
          </w:tcPr>
          <w:p>
            <w:pPr>
              <w:pStyle w:val="TableText"/>
              <w:ind w:left="288"/>
              <w:spacing w:before="192" w:line="220" w:lineRule="auto"/>
              <w:rPr>
                <w:sz w:val="25"/>
                <w:szCs w:val="25"/>
              </w:rPr>
            </w:pPr>
            <w:r>
              <w:rPr>
                <w:sz w:val="25"/>
                <w:szCs w:val="25"/>
                <w:b/>
                <w:bCs/>
                <w:spacing w:val="-5"/>
              </w:rPr>
              <w:t>违法程度</w:t>
            </w:r>
          </w:p>
        </w:tc>
        <w:tc>
          <w:tcPr>
            <w:tcW w:w="8144" w:type="dxa"/>
            <w:vAlign w:val="top"/>
          </w:tcPr>
          <w:p>
            <w:pPr>
              <w:pStyle w:val="TableText"/>
              <w:ind w:left="3564"/>
              <w:spacing w:before="192" w:line="220" w:lineRule="auto"/>
              <w:rPr>
                <w:sz w:val="25"/>
                <w:szCs w:val="25"/>
              </w:rPr>
            </w:pPr>
            <w:r>
              <w:rPr>
                <w:sz w:val="25"/>
                <w:szCs w:val="25"/>
                <w:b/>
                <w:bCs/>
                <w:spacing w:val="-5"/>
              </w:rPr>
              <w:t>情节后果</w:t>
            </w:r>
          </w:p>
        </w:tc>
        <w:tc>
          <w:tcPr>
            <w:tcW w:w="4141" w:type="dxa"/>
            <w:vAlign w:val="top"/>
          </w:tcPr>
          <w:p>
            <w:pPr>
              <w:pStyle w:val="TableText"/>
              <w:ind w:left="1510"/>
              <w:spacing w:before="189" w:line="218" w:lineRule="auto"/>
              <w:rPr>
                <w:sz w:val="25"/>
                <w:szCs w:val="25"/>
              </w:rPr>
            </w:pPr>
            <w:r>
              <w:rPr>
                <w:sz w:val="25"/>
                <w:szCs w:val="25"/>
                <w:b/>
                <w:bCs/>
                <w:spacing w:val="-5"/>
              </w:rPr>
              <w:t>裁量幅度</w:t>
            </w:r>
          </w:p>
        </w:tc>
      </w:tr>
      <w:tr>
        <w:trPr>
          <w:trHeight w:val="689" w:hRule="atLeast"/>
        </w:trPr>
        <w:tc>
          <w:tcPr>
            <w:tcW w:w="1584" w:type="dxa"/>
            <w:vAlign w:val="top"/>
          </w:tcPr>
          <w:p>
            <w:pPr>
              <w:pStyle w:val="TableText"/>
              <w:ind w:left="538"/>
              <w:spacing w:before="219" w:line="221" w:lineRule="auto"/>
              <w:rPr>
                <w:sz w:val="25"/>
                <w:szCs w:val="25"/>
              </w:rPr>
            </w:pPr>
            <w:r>
              <w:rPr>
                <w:sz w:val="25"/>
                <w:szCs w:val="25"/>
                <w:b/>
                <w:bCs/>
                <w:spacing w:val="-10"/>
              </w:rPr>
              <w:t>一般</w:t>
            </w:r>
          </w:p>
        </w:tc>
        <w:tc>
          <w:tcPr>
            <w:tcW w:w="8144" w:type="dxa"/>
            <w:vAlign w:val="top"/>
          </w:tcPr>
          <w:p>
            <w:pPr>
              <w:pStyle w:val="TableText"/>
              <w:ind w:left="120" w:hanging="109"/>
              <w:spacing w:before="91" w:line="217" w:lineRule="auto"/>
              <w:rPr>
                <w:sz w:val="25"/>
                <w:szCs w:val="25"/>
              </w:rPr>
            </w:pPr>
            <w:r>
              <w:rPr>
                <w:sz w:val="25"/>
                <w:szCs w:val="25"/>
                <w:spacing w:val="-4"/>
              </w:rPr>
              <w:t>建设项目的职业病防护设施未按照规定与主体工程同时设计、同时施工、同</w:t>
            </w:r>
            <w:r>
              <w:rPr>
                <w:sz w:val="25"/>
                <w:szCs w:val="25"/>
                <w:spacing w:val="3"/>
              </w:rPr>
              <w:t xml:space="preserve"> </w:t>
            </w:r>
            <w:r>
              <w:rPr>
                <w:sz w:val="25"/>
                <w:szCs w:val="25"/>
                <w:spacing w:val="1"/>
              </w:rPr>
              <w:t>时投入生产和使用的</w:t>
            </w:r>
          </w:p>
        </w:tc>
        <w:tc>
          <w:tcPr>
            <w:tcW w:w="4141" w:type="dxa"/>
            <w:vAlign w:val="top"/>
          </w:tcPr>
          <w:p>
            <w:pPr>
              <w:pStyle w:val="TableText"/>
              <w:ind w:left="106"/>
              <w:spacing w:before="219" w:line="218" w:lineRule="auto"/>
              <w:rPr>
                <w:sz w:val="25"/>
                <w:szCs w:val="25"/>
              </w:rPr>
            </w:pPr>
            <w:r>
              <w:rPr>
                <w:sz w:val="25"/>
                <w:szCs w:val="25"/>
                <w:spacing w:val="1"/>
              </w:rPr>
              <w:t>给予警告，责令限期改正</w:t>
            </w:r>
          </w:p>
        </w:tc>
      </w:tr>
      <w:tr>
        <w:trPr>
          <w:trHeight w:val="1997" w:hRule="atLeast"/>
        </w:trPr>
        <w:tc>
          <w:tcPr>
            <w:tcW w:w="1584"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538"/>
              <w:spacing w:before="82" w:line="221" w:lineRule="auto"/>
              <w:rPr>
                <w:sz w:val="25"/>
                <w:szCs w:val="25"/>
              </w:rPr>
            </w:pPr>
            <w:r>
              <w:rPr>
                <w:sz w:val="25"/>
                <w:szCs w:val="25"/>
                <w:b/>
                <w:bCs/>
                <w:spacing w:val="-6"/>
              </w:rPr>
              <w:t>较重</w:t>
            </w:r>
          </w:p>
        </w:tc>
        <w:tc>
          <w:tcPr>
            <w:tcW w:w="8144" w:type="dxa"/>
            <w:vAlign w:val="top"/>
          </w:tcPr>
          <w:p>
            <w:pPr>
              <w:pStyle w:val="TableText"/>
              <w:ind w:left="110"/>
              <w:spacing w:before="210" w:line="219" w:lineRule="auto"/>
              <w:rPr>
                <w:sz w:val="25"/>
                <w:szCs w:val="25"/>
              </w:rPr>
            </w:pPr>
            <w:r>
              <w:rPr>
                <w:sz w:val="25"/>
                <w:szCs w:val="25"/>
                <w:spacing w:val="-1"/>
              </w:rPr>
              <w:t>有下列情形之一的，经责令限期改正，逾期不改正的：</w:t>
            </w:r>
          </w:p>
          <w:p>
            <w:pPr>
              <w:pStyle w:val="TableText"/>
              <w:ind w:left="110" w:hanging="99"/>
              <w:spacing w:before="74" w:line="231" w:lineRule="auto"/>
              <w:rPr>
                <w:sz w:val="25"/>
                <w:szCs w:val="25"/>
              </w:rPr>
            </w:pPr>
            <w:r>
              <w:rPr>
                <w:sz w:val="25"/>
                <w:szCs w:val="25"/>
                <w:spacing w:val="-4"/>
              </w:rPr>
              <w:t>A.职业病危害一般类别的建设项目职业病危害防护设施未与主体工程同时设</w:t>
            </w:r>
            <w:r>
              <w:rPr>
                <w:sz w:val="25"/>
                <w:szCs w:val="25"/>
                <w:spacing w:val="7"/>
              </w:rPr>
              <w:t xml:space="preserve"> </w:t>
            </w:r>
            <w:r>
              <w:rPr>
                <w:sz w:val="25"/>
                <w:szCs w:val="25"/>
              </w:rPr>
              <w:t>计、同时施工、同时投入生产和使用的</w:t>
            </w:r>
          </w:p>
          <w:p>
            <w:pPr>
              <w:pStyle w:val="TableText"/>
              <w:ind w:left="60" w:right="11" w:hanging="59"/>
              <w:spacing w:before="42" w:line="247" w:lineRule="auto"/>
              <w:rPr>
                <w:sz w:val="25"/>
                <w:szCs w:val="25"/>
              </w:rPr>
            </w:pPr>
            <w:r>
              <w:rPr>
                <w:sz w:val="25"/>
                <w:szCs w:val="25"/>
              </w:rPr>
              <w:t>B.GBZ181《职业病危害放射防护评价报告编制规范》中所列C类</w:t>
            </w:r>
            <w:r>
              <w:rPr>
                <w:sz w:val="25"/>
                <w:szCs w:val="25"/>
                <w:spacing w:val="-1"/>
              </w:rPr>
              <w:t>建设项目职</w:t>
            </w:r>
            <w:r>
              <w:rPr>
                <w:sz w:val="25"/>
                <w:szCs w:val="25"/>
              </w:rPr>
              <w:t xml:space="preserve"> </w:t>
            </w:r>
            <w:r>
              <w:rPr>
                <w:sz w:val="25"/>
                <w:szCs w:val="25"/>
              </w:rPr>
              <w:t>业病防护设施未与主体工程同时设计、同时施工、同时投入生产和使用的</w:t>
            </w:r>
          </w:p>
        </w:tc>
        <w:tc>
          <w:tcPr>
            <w:tcW w:w="4141" w:type="dxa"/>
            <w:vAlign w:val="top"/>
          </w:tcPr>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TableText"/>
              <w:ind w:left="106"/>
              <w:spacing w:before="82" w:line="220" w:lineRule="auto"/>
              <w:rPr>
                <w:sz w:val="25"/>
                <w:szCs w:val="25"/>
              </w:rPr>
            </w:pPr>
            <w:r>
              <w:rPr>
                <w:sz w:val="25"/>
                <w:szCs w:val="25"/>
              </w:rPr>
              <w:t>处十万元以上二十万元以下的罚款</w:t>
            </w:r>
          </w:p>
        </w:tc>
      </w:tr>
      <w:tr>
        <w:trPr>
          <w:trHeight w:val="2386" w:hRule="atLeast"/>
        </w:trPr>
        <w:tc>
          <w:tcPr>
            <w:tcW w:w="1584"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538"/>
              <w:spacing w:before="81" w:line="220" w:lineRule="auto"/>
              <w:rPr>
                <w:sz w:val="25"/>
                <w:szCs w:val="25"/>
              </w:rPr>
            </w:pPr>
            <w:r>
              <w:rPr>
                <w:sz w:val="25"/>
                <w:szCs w:val="25"/>
                <w:b/>
                <w:bCs/>
                <w:spacing w:val="-6"/>
              </w:rPr>
              <w:t>严重</w:t>
            </w:r>
          </w:p>
        </w:tc>
        <w:tc>
          <w:tcPr>
            <w:tcW w:w="8144" w:type="dxa"/>
            <w:vAlign w:val="top"/>
          </w:tcPr>
          <w:p>
            <w:pPr>
              <w:pStyle w:val="TableText"/>
              <w:ind w:left="110"/>
              <w:spacing w:before="73" w:line="219" w:lineRule="auto"/>
              <w:rPr>
                <w:sz w:val="25"/>
                <w:szCs w:val="25"/>
              </w:rPr>
            </w:pPr>
            <w:r>
              <w:rPr>
                <w:sz w:val="25"/>
                <w:szCs w:val="25"/>
                <w:spacing w:val="-1"/>
              </w:rPr>
              <w:t>有下列情形之一的，经责令限期改正，逾期不改正的：</w:t>
            </w:r>
          </w:p>
          <w:p>
            <w:pPr>
              <w:pStyle w:val="TableText"/>
              <w:ind w:left="110"/>
              <w:spacing w:before="45" w:line="250" w:lineRule="auto"/>
              <w:rPr>
                <w:sz w:val="25"/>
                <w:szCs w:val="25"/>
              </w:rPr>
            </w:pPr>
            <w:r>
              <w:rPr>
                <w:sz w:val="25"/>
                <w:szCs w:val="25"/>
                <w:spacing w:val="-7"/>
              </w:rPr>
              <w:t>A.职业病危害严重类别的建设项目职业病危害防护设施未与主体工程同时设</w:t>
            </w:r>
            <w:r>
              <w:rPr>
                <w:sz w:val="25"/>
                <w:szCs w:val="25"/>
                <w:spacing w:val="9"/>
              </w:rPr>
              <w:t xml:space="preserve"> </w:t>
            </w:r>
            <w:r>
              <w:rPr>
                <w:sz w:val="25"/>
                <w:szCs w:val="25"/>
              </w:rPr>
              <w:t>计、同时施工、同时投入生产和使用的</w:t>
            </w:r>
          </w:p>
          <w:p>
            <w:pPr>
              <w:pStyle w:val="TableText"/>
              <w:ind w:left="101" w:firstLine="89"/>
              <w:spacing w:before="1" w:line="249" w:lineRule="auto"/>
              <w:rPr>
                <w:sz w:val="25"/>
                <w:szCs w:val="25"/>
              </w:rPr>
            </w:pPr>
            <w:r>
              <w:rPr>
                <w:sz w:val="25"/>
                <w:szCs w:val="25"/>
              </w:rPr>
              <w:t>B.GBZ181《职业病危害放射防护评价报告</w:t>
            </w:r>
            <w:r>
              <w:rPr>
                <w:sz w:val="25"/>
                <w:szCs w:val="25"/>
                <w:spacing w:val="-1"/>
              </w:rPr>
              <w:t>编制规范》中所列A类或B类建</w:t>
            </w:r>
            <w:r>
              <w:rPr>
                <w:sz w:val="25"/>
                <w:szCs w:val="25"/>
              </w:rPr>
              <w:t xml:space="preserve">  </w:t>
            </w:r>
            <w:r>
              <w:rPr>
                <w:sz w:val="25"/>
                <w:szCs w:val="25"/>
                <w:spacing w:val="-7"/>
              </w:rPr>
              <w:t>设项目职业病危害防护设施未与主体工程同时设计、同时施工、同时投入生</w:t>
            </w:r>
            <w:r>
              <w:rPr>
                <w:sz w:val="25"/>
                <w:szCs w:val="25"/>
                <w:spacing w:val="12"/>
              </w:rPr>
              <w:t xml:space="preserve"> </w:t>
            </w:r>
            <w:r>
              <w:rPr>
                <w:sz w:val="25"/>
                <w:szCs w:val="25"/>
                <w:spacing w:val="3"/>
              </w:rPr>
              <w:t>产和使用的</w:t>
            </w:r>
          </w:p>
          <w:p>
            <w:pPr>
              <w:pStyle w:val="TableText"/>
              <w:spacing w:before="19" w:line="185" w:lineRule="auto"/>
              <w:jc w:val="right"/>
              <w:rPr>
                <w:sz w:val="25"/>
                <w:szCs w:val="25"/>
              </w:rPr>
            </w:pPr>
            <w:r>
              <w:rPr>
                <w:sz w:val="25"/>
                <w:szCs w:val="25"/>
                <w:spacing w:val="-6"/>
              </w:rPr>
              <w:t>C.曾因违反建设项目职业卫生“三同时”</w:t>
            </w:r>
            <w:r>
              <w:rPr>
                <w:sz w:val="25"/>
                <w:szCs w:val="25"/>
                <w:spacing w:val="-7"/>
              </w:rPr>
              <w:t>规定，受到“罚款”类行政处罚的</w:t>
            </w:r>
          </w:p>
        </w:tc>
        <w:tc>
          <w:tcPr>
            <w:tcW w:w="4141" w:type="dxa"/>
            <w:vAlign w:val="top"/>
          </w:tcPr>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spacing w:before="81" w:line="220" w:lineRule="auto"/>
              <w:jc w:val="right"/>
              <w:rPr>
                <w:sz w:val="25"/>
                <w:szCs w:val="25"/>
              </w:rPr>
            </w:pPr>
            <w:r>
              <w:rPr>
                <w:sz w:val="25"/>
                <w:szCs w:val="25"/>
                <w:spacing w:val="-2"/>
              </w:rPr>
              <w:t>处二十万万元以上五十万元以下的罚</w:t>
            </w:r>
          </w:p>
          <w:p>
            <w:pPr>
              <w:pStyle w:val="TableText"/>
              <w:ind w:left="106"/>
              <w:spacing w:before="12" w:line="221" w:lineRule="auto"/>
              <w:rPr>
                <w:sz w:val="25"/>
                <w:szCs w:val="25"/>
              </w:rPr>
            </w:pPr>
            <w:r>
              <w:rPr>
                <w:sz w:val="25"/>
                <w:szCs w:val="25"/>
                <w:color w:val="404050"/>
              </w:rPr>
              <w:t>款</w:t>
            </w:r>
          </w:p>
        </w:tc>
      </w:tr>
      <w:tr>
        <w:trPr>
          <w:trHeight w:val="994" w:hRule="atLeast"/>
        </w:trPr>
        <w:tc>
          <w:tcPr>
            <w:tcW w:w="1584" w:type="dxa"/>
            <w:vAlign w:val="top"/>
          </w:tcPr>
          <w:p>
            <w:pPr>
              <w:spacing w:line="292" w:lineRule="auto"/>
              <w:rPr>
                <w:rFonts w:ascii="Arial"/>
                <w:sz w:val="21"/>
              </w:rPr>
            </w:pPr>
            <w:r/>
          </w:p>
          <w:p>
            <w:pPr>
              <w:pStyle w:val="TableText"/>
              <w:ind w:left="288"/>
              <w:spacing w:before="82" w:line="219" w:lineRule="auto"/>
              <w:rPr>
                <w:sz w:val="25"/>
                <w:szCs w:val="25"/>
              </w:rPr>
            </w:pPr>
            <w:r>
              <w:rPr>
                <w:sz w:val="25"/>
                <w:szCs w:val="25"/>
                <w:b/>
                <w:bCs/>
                <w:spacing w:val="-5"/>
              </w:rPr>
              <w:t>特别严重</w:t>
            </w:r>
          </w:p>
        </w:tc>
        <w:tc>
          <w:tcPr>
            <w:tcW w:w="8144" w:type="dxa"/>
            <w:vAlign w:val="top"/>
          </w:tcPr>
          <w:p>
            <w:pPr>
              <w:pStyle w:val="TableText"/>
              <w:ind w:left="11" w:firstLine="49"/>
              <w:spacing w:before="69" w:line="225" w:lineRule="auto"/>
              <w:jc w:val="both"/>
              <w:rPr>
                <w:sz w:val="25"/>
                <w:szCs w:val="25"/>
              </w:rPr>
            </w:pPr>
            <w:r>
              <w:rPr>
                <w:sz w:val="25"/>
                <w:szCs w:val="25"/>
              </w:rPr>
              <w:t>职业病危害严重类别的建设项目职业病危害防护设施未与主体工程同时设</w:t>
            </w:r>
            <w:r>
              <w:rPr>
                <w:sz w:val="25"/>
                <w:szCs w:val="25"/>
                <w:spacing w:val="4"/>
              </w:rPr>
              <w:t xml:space="preserve"> </w:t>
            </w:r>
            <w:r>
              <w:rPr>
                <w:sz w:val="25"/>
                <w:szCs w:val="25"/>
                <w:spacing w:val="-4"/>
              </w:rPr>
              <w:t>计、同时施工、同时投入生产和使用，经责令限期改正，逾期不改正，并造</w:t>
            </w:r>
            <w:r>
              <w:rPr>
                <w:sz w:val="25"/>
                <w:szCs w:val="25"/>
                <w:spacing w:val="3"/>
              </w:rPr>
              <w:t xml:space="preserve"> </w:t>
            </w:r>
            <w:r>
              <w:rPr>
                <w:sz w:val="25"/>
                <w:szCs w:val="25"/>
                <w:spacing w:val="21"/>
              </w:rPr>
              <w:t>成严重后果的</w:t>
            </w:r>
          </w:p>
        </w:tc>
        <w:tc>
          <w:tcPr>
            <w:tcW w:w="4141" w:type="dxa"/>
            <w:vAlign w:val="top"/>
          </w:tcPr>
          <w:p>
            <w:pPr>
              <w:pStyle w:val="TableText"/>
              <w:ind w:left="106" w:firstLine="40"/>
              <w:spacing w:before="69" w:line="225" w:lineRule="auto"/>
              <w:jc w:val="both"/>
              <w:rPr>
                <w:sz w:val="25"/>
                <w:szCs w:val="25"/>
              </w:rPr>
            </w:pPr>
            <w:r>
              <w:rPr>
                <w:sz w:val="25"/>
                <w:szCs w:val="25"/>
                <w:spacing w:val="-2"/>
              </w:rPr>
              <w:t>责令停止产生职业病危害的作业，或</w:t>
            </w:r>
            <w:r>
              <w:rPr>
                <w:sz w:val="25"/>
                <w:szCs w:val="25"/>
                <w:spacing w:val="8"/>
              </w:rPr>
              <w:t xml:space="preserve"> </w:t>
            </w:r>
            <w:r>
              <w:rPr>
                <w:sz w:val="25"/>
                <w:szCs w:val="25"/>
                <w:spacing w:val="1"/>
              </w:rPr>
              <w:t>者提请有关人民政府按照国务院规定</w:t>
            </w:r>
            <w:r>
              <w:rPr>
                <w:sz w:val="25"/>
                <w:szCs w:val="25"/>
                <w:spacing w:val="7"/>
              </w:rPr>
              <w:t xml:space="preserve"> </w:t>
            </w:r>
            <w:r>
              <w:rPr>
                <w:sz w:val="25"/>
                <w:szCs w:val="25"/>
                <w:spacing w:val="1"/>
              </w:rPr>
              <w:t>的权限责令停建、关闭</w:t>
            </w:r>
          </w:p>
        </w:tc>
      </w:tr>
    </w:tbl>
    <w:p>
      <w:pPr>
        <w:pStyle w:val="BodyText"/>
        <w:rPr/>
      </w:pPr>
      <w:r/>
    </w:p>
    <w:p>
      <w:pPr>
        <w:sectPr>
          <w:footerReference w:type="default" r:id="rId474"/>
          <w:pgSz w:w="16830" w:h="11900"/>
          <w:pgMar w:top="1011" w:right="1635" w:bottom="1123" w:left="1314" w:header="0" w:footer="808" w:gutter="0"/>
        </w:sectPr>
        <w:rPr/>
      </w:pPr>
    </w:p>
    <w:p>
      <w:pPr>
        <w:pStyle w:val="BodyText"/>
        <w:spacing w:line="266" w:lineRule="auto"/>
        <w:rPr/>
      </w:pPr>
      <w:r/>
    </w:p>
    <w:p>
      <w:pPr>
        <w:pStyle w:val="BodyText"/>
        <w:spacing w:line="266" w:lineRule="auto"/>
        <w:rPr/>
      </w:pPr>
      <w:r/>
    </w:p>
    <w:p>
      <w:pPr>
        <w:pStyle w:val="BodyText"/>
        <w:spacing w:line="266" w:lineRule="auto"/>
        <w:rPr/>
      </w:pPr>
      <w:r/>
    </w:p>
    <w:p>
      <w:pPr>
        <w:ind w:left="669"/>
        <w:spacing w:before="97" w:line="220" w:lineRule="auto"/>
        <w:rPr>
          <w:rFonts w:ascii="FangSong" w:hAnsi="FangSong" w:eastAsia="FangSong" w:cs="FangSong"/>
          <w:sz w:val="30"/>
          <w:szCs w:val="30"/>
        </w:rPr>
      </w:pPr>
      <w:bookmarkStart w:name="bookmark1118" w:id="493"/>
      <w:bookmarkEnd w:id="493"/>
      <w:r>
        <w:rPr>
          <w:rFonts w:ascii="FangSong" w:hAnsi="FangSong" w:eastAsia="FangSong" w:cs="FangSong"/>
          <w:sz w:val="30"/>
          <w:szCs w:val="30"/>
          <w:b/>
          <w:bCs/>
          <w:spacing w:val="22"/>
        </w:rPr>
        <w:t>第四百四十八条建设项目的职业病防护设施设</w:t>
      </w:r>
      <w:r>
        <w:rPr>
          <w:rFonts w:ascii="FangSong" w:hAnsi="FangSong" w:eastAsia="FangSong" w:cs="FangSong"/>
          <w:sz w:val="30"/>
          <w:szCs w:val="30"/>
          <w:b/>
          <w:bCs/>
          <w:spacing w:val="21"/>
        </w:rPr>
        <w:t>计不符合国家职业卫生标准和卫生要求</w:t>
      </w:r>
    </w:p>
    <w:p>
      <w:pPr>
        <w:ind w:left="664"/>
        <w:spacing w:before="80" w:line="222" w:lineRule="auto"/>
        <w:rPr>
          <w:rFonts w:ascii="FangSong" w:hAnsi="FangSong" w:eastAsia="FangSong" w:cs="FangSong"/>
          <w:sz w:val="30"/>
          <w:szCs w:val="30"/>
        </w:rPr>
      </w:pPr>
      <w:r>
        <w:rPr>
          <w:rFonts w:ascii="FangSong" w:hAnsi="FangSong" w:eastAsia="FangSong" w:cs="FangSong"/>
          <w:sz w:val="30"/>
          <w:szCs w:val="30"/>
        </w:rPr>
        <w:t>法律依据：</w:t>
      </w:r>
    </w:p>
    <w:p>
      <w:pPr>
        <w:ind w:left="25" w:right="25" w:firstLine="639"/>
        <w:spacing w:before="68" w:line="271" w:lineRule="auto"/>
        <w:jc w:val="both"/>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《中华人民共和国职业病防治法》第六十九条第(四)项</w:t>
      </w:r>
      <w:r>
        <w:rPr>
          <w:rFonts w:ascii="FangSong" w:hAnsi="FangSong" w:eastAsia="FangSong" w:cs="FangSong"/>
          <w:sz w:val="30"/>
          <w:szCs w:val="30"/>
          <w:spacing w:val="19"/>
        </w:rPr>
        <w:t xml:space="preserve">  </w:t>
      </w:r>
      <w:r>
        <w:rPr>
          <w:rFonts w:ascii="FangSong" w:hAnsi="FangSong" w:eastAsia="FangSong" w:cs="FangSong"/>
          <w:sz w:val="30"/>
          <w:szCs w:val="30"/>
          <w:spacing w:val="18"/>
        </w:rPr>
        <w:t>建设单位违反本法规定，有下列行</w:t>
      </w:r>
      <w:r>
        <w:rPr>
          <w:rFonts w:ascii="FangSong" w:hAnsi="FangSong" w:eastAsia="FangSong" w:cs="FangSong"/>
          <w:sz w:val="30"/>
          <w:szCs w:val="30"/>
        </w:rPr>
        <w:t xml:space="preserve"> </w:t>
      </w:r>
      <w:r>
        <w:rPr>
          <w:rFonts w:ascii="FangSong" w:hAnsi="FangSong" w:eastAsia="FangSong" w:cs="FangSong"/>
          <w:sz w:val="30"/>
          <w:szCs w:val="30"/>
          <w:spacing w:val="16"/>
        </w:rPr>
        <w:t>为之一的，由卫生行政部门给予警告，责令限期改正；逾期不改正的，处十万元以上五十万元以下的</w:t>
      </w:r>
      <w:r>
        <w:rPr>
          <w:rFonts w:ascii="FangSong" w:hAnsi="FangSong" w:eastAsia="FangSong" w:cs="FangSong"/>
          <w:sz w:val="30"/>
          <w:szCs w:val="30"/>
          <w:spacing w:val="14"/>
        </w:rPr>
        <w:t xml:space="preserve"> </w:t>
      </w:r>
      <w:r>
        <w:rPr>
          <w:rFonts w:ascii="FangSong" w:hAnsi="FangSong" w:eastAsia="FangSong" w:cs="FangSong"/>
          <w:sz w:val="30"/>
          <w:szCs w:val="30"/>
          <w:spacing w:val="17"/>
        </w:rPr>
        <w:t>罚款；情节严重的，责令停止产生职业病危害的作业，或者</w:t>
      </w:r>
      <w:r>
        <w:rPr>
          <w:rFonts w:ascii="FangSong" w:hAnsi="FangSong" w:eastAsia="FangSong" w:cs="FangSong"/>
          <w:sz w:val="30"/>
          <w:szCs w:val="30"/>
          <w:spacing w:val="16"/>
        </w:rPr>
        <w:t>提请有关人民政府按照国务院规定的权限</w:t>
      </w:r>
      <w:r>
        <w:rPr>
          <w:rFonts w:ascii="FangSong" w:hAnsi="FangSong" w:eastAsia="FangSong" w:cs="FangSong"/>
          <w:sz w:val="30"/>
          <w:szCs w:val="30"/>
        </w:rPr>
        <w:t xml:space="preserve"> </w:t>
      </w:r>
      <w:r>
        <w:rPr>
          <w:rFonts w:ascii="FangSong" w:hAnsi="FangSong" w:eastAsia="FangSong" w:cs="FangSong"/>
          <w:sz w:val="30"/>
          <w:szCs w:val="30"/>
          <w:spacing w:val="7"/>
        </w:rPr>
        <w:t>责令停建、关闭：</w:t>
      </w:r>
    </w:p>
    <w:p>
      <w:pPr>
        <w:ind w:left="25" w:right="27" w:firstLine="759"/>
        <w:spacing w:before="16" w:line="270" w:lineRule="auto"/>
        <w:rPr>
          <w:rFonts w:ascii="FangSong" w:hAnsi="FangSong" w:eastAsia="FangSong" w:cs="FangSong"/>
          <w:sz w:val="30"/>
          <w:szCs w:val="30"/>
        </w:rPr>
      </w:pPr>
      <w:r>
        <w:rPr>
          <w:rFonts w:ascii="FangSong" w:hAnsi="FangSong" w:eastAsia="FangSong" w:cs="FangSong"/>
          <w:sz w:val="30"/>
          <w:szCs w:val="30"/>
          <w:spacing w:val="21"/>
        </w:rPr>
        <w:t>(四)建设项目的职业病防护设施设计不符合国家职业卫生标准</w:t>
      </w:r>
      <w:r>
        <w:rPr>
          <w:rFonts w:ascii="FangSong" w:hAnsi="FangSong" w:eastAsia="FangSong" w:cs="FangSong"/>
          <w:sz w:val="30"/>
          <w:szCs w:val="30"/>
          <w:spacing w:val="20"/>
        </w:rPr>
        <w:t>和卫生要求，或者医疗机构放射</w:t>
      </w:r>
      <w:r>
        <w:rPr>
          <w:rFonts w:ascii="FangSong" w:hAnsi="FangSong" w:eastAsia="FangSong" w:cs="FangSong"/>
          <w:sz w:val="30"/>
          <w:szCs w:val="30"/>
        </w:rPr>
        <w:t xml:space="preserve"> </w:t>
      </w:r>
      <w:r>
        <w:rPr>
          <w:rFonts w:ascii="FangSong" w:hAnsi="FangSong" w:eastAsia="FangSong" w:cs="FangSong"/>
          <w:sz w:val="30"/>
          <w:szCs w:val="30"/>
          <w:spacing w:val="18"/>
        </w:rPr>
        <w:t>性职业病危害严重的建设项目的防护设施设计未经卫生行政部门审查同意擅</w:t>
      </w:r>
      <w:r>
        <w:rPr>
          <w:rFonts w:ascii="FangSong" w:hAnsi="FangSong" w:eastAsia="FangSong" w:cs="FangSong"/>
          <w:sz w:val="30"/>
          <w:szCs w:val="30"/>
          <w:spacing w:val="17"/>
        </w:rPr>
        <w:t>自施工的；</w:t>
      </w:r>
    </w:p>
    <w:p>
      <w:pPr>
        <w:ind w:left="25" w:firstLine="639"/>
        <w:spacing w:before="4" w:line="265" w:lineRule="auto"/>
        <w:jc w:val="both"/>
        <w:rPr>
          <w:rFonts w:ascii="FangSong" w:hAnsi="FangSong" w:eastAsia="FangSong" w:cs="FangSong"/>
          <w:sz w:val="30"/>
          <w:szCs w:val="30"/>
        </w:rPr>
      </w:pPr>
      <w:r>
        <w:rPr>
          <w:rFonts w:ascii="FangSong" w:hAnsi="FangSong" w:eastAsia="FangSong" w:cs="FangSong"/>
          <w:sz w:val="30"/>
          <w:szCs w:val="30"/>
          <w:spacing w:val="19"/>
        </w:rPr>
        <w:t>2.</w:t>
      </w:r>
      <w:r>
        <w:rPr>
          <w:rFonts w:ascii="FangSong" w:hAnsi="FangSong" w:eastAsia="FangSong" w:cs="FangSong"/>
          <w:sz w:val="30"/>
          <w:szCs w:val="30"/>
          <w:spacing w:val="19"/>
        </w:rPr>
        <w:t xml:space="preserve"> </w:t>
      </w:r>
      <w:r>
        <w:rPr>
          <w:rFonts w:ascii="FangSong" w:hAnsi="FangSong" w:eastAsia="FangSong" w:cs="FangSong"/>
          <w:sz w:val="30"/>
          <w:szCs w:val="30"/>
          <w:spacing w:val="19"/>
        </w:rPr>
        <w:t>《建设项目职业病防护设施“三同时”监督管理办法》第三十九条</w:t>
      </w:r>
      <w:r>
        <w:rPr>
          <w:rFonts w:ascii="FangSong" w:hAnsi="FangSong" w:eastAsia="FangSong" w:cs="FangSong"/>
          <w:sz w:val="30"/>
          <w:szCs w:val="30"/>
          <w:spacing w:val="18"/>
        </w:rPr>
        <w:t>第(三)项</w:t>
      </w:r>
      <w:r>
        <w:rPr>
          <w:rFonts w:ascii="FangSong" w:hAnsi="FangSong" w:eastAsia="FangSong" w:cs="FangSong"/>
          <w:sz w:val="30"/>
          <w:szCs w:val="30"/>
          <w:spacing w:val="18"/>
        </w:rPr>
        <w:t xml:space="preserve">  </w:t>
      </w:r>
      <w:r>
        <w:rPr>
          <w:rFonts w:ascii="FangSong" w:hAnsi="FangSong" w:eastAsia="FangSong" w:cs="FangSong"/>
          <w:sz w:val="30"/>
          <w:szCs w:val="30"/>
          <w:spacing w:val="18"/>
        </w:rPr>
        <w:t>建设单位有下</w:t>
      </w:r>
      <w:r>
        <w:rPr>
          <w:rFonts w:ascii="FangSong" w:hAnsi="FangSong" w:eastAsia="FangSong" w:cs="FangSong"/>
          <w:sz w:val="30"/>
          <w:szCs w:val="30"/>
        </w:rPr>
        <w:t xml:space="preserve"> </w:t>
      </w:r>
      <w:r>
        <w:rPr>
          <w:rFonts w:ascii="FangSong" w:hAnsi="FangSong" w:eastAsia="FangSong" w:cs="FangSong"/>
          <w:sz w:val="30"/>
          <w:szCs w:val="30"/>
          <w:spacing w:val="17"/>
        </w:rPr>
        <w:t>列行为之一的，由安全生产监督管理部门给</w:t>
      </w:r>
      <w:r>
        <w:rPr>
          <w:rFonts w:ascii="FangSong" w:hAnsi="FangSong" w:eastAsia="FangSong" w:cs="FangSong"/>
          <w:sz w:val="30"/>
          <w:szCs w:val="30"/>
          <w:spacing w:val="16"/>
        </w:rPr>
        <w:t>予警告，责令限期改正；逾期不改正的，处10万元以上50</w:t>
      </w:r>
      <w:r>
        <w:rPr>
          <w:rFonts w:ascii="FangSong" w:hAnsi="FangSong" w:eastAsia="FangSong" w:cs="FangSong"/>
          <w:sz w:val="30"/>
          <w:szCs w:val="30"/>
        </w:rPr>
        <w:t xml:space="preserve"> </w:t>
      </w:r>
      <w:r>
        <w:rPr>
          <w:rFonts w:ascii="FangSong" w:hAnsi="FangSong" w:eastAsia="FangSong" w:cs="FangSong"/>
          <w:sz w:val="30"/>
          <w:szCs w:val="30"/>
          <w:spacing w:val="17"/>
        </w:rPr>
        <w:t>万元以下的罚款；情节严重的，责令停止产生职业病危害的作业，</w:t>
      </w:r>
      <w:r>
        <w:rPr>
          <w:rFonts w:ascii="FangSong" w:hAnsi="FangSong" w:eastAsia="FangSong" w:cs="FangSong"/>
          <w:sz w:val="30"/>
          <w:szCs w:val="30"/>
          <w:spacing w:val="16"/>
        </w:rPr>
        <w:t>或者提请有关人民政府按照国务院</w:t>
      </w:r>
      <w:r>
        <w:rPr>
          <w:rFonts w:ascii="FangSong" w:hAnsi="FangSong" w:eastAsia="FangSong" w:cs="FangSong"/>
          <w:sz w:val="30"/>
          <w:szCs w:val="30"/>
        </w:rPr>
        <w:t xml:space="preserve"> </w:t>
      </w:r>
      <w:r>
        <w:rPr>
          <w:rFonts w:ascii="FangSong" w:hAnsi="FangSong" w:eastAsia="FangSong" w:cs="FangSong"/>
          <w:sz w:val="30"/>
          <w:szCs w:val="30"/>
          <w:spacing w:val="13"/>
        </w:rPr>
        <w:t>规定的权限责令停建、关闭：</w:t>
      </w:r>
    </w:p>
    <w:p>
      <w:pPr>
        <w:ind w:left="794"/>
        <w:spacing w:before="36" w:line="221" w:lineRule="auto"/>
        <w:rPr>
          <w:rFonts w:ascii="FangSong" w:hAnsi="FangSong" w:eastAsia="FangSong" w:cs="FangSong"/>
          <w:sz w:val="30"/>
          <w:szCs w:val="30"/>
        </w:rPr>
      </w:pPr>
      <w:r>
        <w:rPr>
          <w:rFonts w:ascii="FangSong" w:hAnsi="FangSong" w:eastAsia="FangSong" w:cs="FangSong"/>
          <w:sz w:val="30"/>
          <w:szCs w:val="30"/>
          <w:spacing w:val="22"/>
        </w:rPr>
        <w:t>(三)建设项目的职业病防护设施设计不符合国家职业卫生标准和卫生要求的；</w:t>
      </w:r>
    </w:p>
    <w:p>
      <w:pPr>
        <w:ind w:left="6429"/>
        <w:spacing w:before="212"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63"/>
        <w:gridCol w:w="8324"/>
        <w:gridCol w:w="3952"/>
      </w:tblGrid>
      <w:tr>
        <w:trPr>
          <w:trHeight w:val="552" w:hRule="atLeast"/>
        </w:trPr>
        <w:tc>
          <w:tcPr>
            <w:tcW w:w="1563" w:type="dxa"/>
            <w:vAlign w:val="top"/>
          </w:tcPr>
          <w:p>
            <w:pPr>
              <w:pStyle w:val="TableText"/>
              <w:ind w:left="278"/>
              <w:spacing w:before="152" w:line="220" w:lineRule="auto"/>
              <w:rPr>
                <w:sz w:val="25"/>
                <w:szCs w:val="25"/>
              </w:rPr>
            </w:pPr>
            <w:r>
              <w:rPr>
                <w:sz w:val="25"/>
                <w:szCs w:val="25"/>
                <w:b/>
                <w:bCs/>
                <w:spacing w:val="-5"/>
              </w:rPr>
              <w:t>违法程度</w:t>
            </w:r>
          </w:p>
        </w:tc>
        <w:tc>
          <w:tcPr>
            <w:tcW w:w="8324" w:type="dxa"/>
            <w:vAlign w:val="top"/>
          </w:tcPr>
          <w:p>
            <w:pPr>
              <w:pStyle w:val="TableText"/>
              <w:ind w:left="3655"/>
              <w:spacing w:before="152" w:line="220" w:lineRule="auto"/>
              <w:rPr>
                <w:sz w:val="25"/>
                <w:szCs w:val="25"/>
              </w:rPr>
            </w:pPr>
            <w:r>
              <w:rPr>
                <w:sz w:val="25"/>
                <w:szCs w:val="25"/>
                <w:b/>
                <w:bCs/>
                <w:spacing w:val="-5"/>
              </w:rPr>
              <w:t>情节后果</w:t>
            </w:r>
          </w:p>
        </w:tc>
        <w:tc>
          <w:tcPr>
            <w:tcW w:w="3952" w:type="dxa"/>
            <w:vAlign w:val="top"/>
          </w:tcPr>
          <w:p>
            <w:pPr>
              <w:pStyle w:val="TableText"/>
              <w:ind w:left="1401"/>
              <w:spacing w:before="149" w:line="218" w:lineRule="auto"/>
              <w:rPr>
                <w:sz w:val="25"/>
                <w:szCs w:val="25"/>
              </w:rPr>
            </w:pPr>
            <w:r>
              <w:rPr>
                <w:sz w:val="25"/>
                <w:szCs w:val="25"/>
                <w:b/>
                <w:bCs/>
                <w:spacing w:val="-5"/>
              </w:rPr>
              <w:t>裁量幅度</w:t>
            </w:r>
          </w:p>
        </w:tc>
      </w:tr>
      <w:tr>
        <w:trPr>
          <w:trHeight w:val="1108" w:hRule="atLeast"/>
        </w:trPr>
        <w:tc>
          <w:tcPr>
            <w:tcW w:w="1563" w:type="dxa"/>
            <w:vAlign w:val="top"/>
          </w:tcPr>
          <w:p>
            <w:pPr>
              <w:spacing w:line="347" w:lineRule="auto"/>
              <w:rPr>
                <w:rFonts w:ascii="Arial"/>
                <w:sz w:val="21"/>
              </w:rPr>
            </w:pPr>
            <w:r/>
          </w:p>
          <w:p>
            <w:pPr>
              <w:pStyle w:val="TableText"/>
              <w:ind w:left="528"/>
              <w:spacing w:before="81" w:line="221" w:lineRule="auto"/>
              <w:rPr>
                <w:sz w:val="25"/>
                <w:szCs w:val="25"/>
              </w:rPr>
            </w:pPr>
            <w:r>
              <w:rPr>
                <w:sz w:val="25"/>
                <w:szCs w:val="25"/>
                <w:b/>
                <w:bCs/>
                <w:spacing w:val="-10"/>
              </w:rPr>
              <w:t>一般</w:t>
            </w:r>
          </w:p>
        </w:tc>
        <w:tc>
          <w:tcPr>
            <w:tcW w:w="8324" w:type="dxa"/>
            <w:vAlign w:val="top"/>
          </w:tcPr>
          <w:p>
            <w:pPr>
              <w:pStyle w:val="TableText"/>
              <w:ind w:left="35" w:hanging="20"/>
              <w:spacing w:before="110" w:line="243" w:lineRule="auto"/>
              <w:jc w:val="both"/>
              <w:rPr>
                <w:sz w:val="25"/>
                <w:szCs w:val="25"/>
              </w:rPr>
            </w:pPr>
            <w:r>
              <w:rPr>
                <w:sz w:val="25"/>
                <w:szCs w:val="25"/>
                <w:b/>
                <w:bCs/>
                <w:spacing w:val="-9"/>
              </w:rPr>
              <w:t>建设项目的职业病防护设施设计不符合国家职业卫生标准和卫生要求的，或者</w:t>
            </w:r>
            <w:r>
              <w:rPr>
                <w:sz w:val="25"/>
                <w:szCs w:val="25"/>
                <w:spacing w:val="14"/>
              </w:rPr>
              <w:t xml:space="preserve"> </w:t>
            </w:r>
            <w:r>
              <w:rPr>
                <w:sz w:val="25"/>
                <w:szCs w:val="25"/>
                <w:b/>
                <w:bCs/>
                <w:spacing w:val="-3"/>
              </w:rPr>
              <w:t>医疗机构放射性职业病危害严重的建设项目的防护设施设计未经卫生行政部</w:t>
            </w:r>
            <w:r>
              <w:rPr>
                <w:sz w:val="25"/>
                <w:szCs w:val="25"/>
                <w:spacing w:val="12"/>
              </w:rPr>
              <w:t xml:space="preserve"> </w:t>
            </w:r>
            <w:r>
              <w:rPr>
                <w:sz w:val="25"/>
                <w:szCs w:val="25"/>
                <w:b/>
                <w:bCs/>
                <w:spacing w:val="8"/>
              </w:rPr>
              <w:t>门审查同意擅自施工的</w:t>
            </w:r>
          </w:p>
        </w:tc>
        <w:tc>
          <w:tcPr>
            <w:tcW w:w="3952" w:type="dxa"/>
            <w:vAlign w:val="top"/>
          </w:tcPr>
          <w:p>
            <w:pPr>
              <w:spacing w:line="344" w:lineRule="auto"/>
              <w:rPr>
                <w:rFonts w:ascii="Arial"/>
                <w:sz w:val="21"/>
              </w:rPr>
            </w:pPr>
            <w:r/>
          </w:p>
          <w:p>
            <w:pPr>
              <w:pStyle w:val="TableText"/>
              <w:ind w:left="101"/>
              <w:spacing w:before="81" w:line="218" w:lineRule="auto"/>
              <w:rPr>
                <w:sz w:val="25"/>
                <w:szCs w:val="25"/>
              </w:rPr>
            </w:pPr>
            <w:r>
              <w:rPr>
                <w:sz w:val="25"/>
                <w:szCs w:val="25"/>
                <w:b/>
                <w:bCs/>
                <w:spacing w:val="-4"/>
              </w:rPr>
              <w:t>给予警告，责令限期改正</w:t>
            </w:r>
          </w:p>
        </w:tc>
      </w:tr>
    </w:tbl>
    <w:p>
      <w:pPr>
        <w:pStyle w:val="BodyText"/>
        <w:rPr/>
      </w:pPr>
      <w:r/>
    </w:p>
    <w:p>
      <w:pPr>
        <w:sectPr>
          <w:footerReference w:type="default" r:id="rId475"/>
          <w:pgSz w:w="16830" w:h="11900"/>
          <w:pgMar w:top="1011" w:right="1423" w:bottom="1107" w:left="1425" w:header="0" w:footer="774" w:gutter="0"/>
        </w:sectPr>
        <w:rPr/>
      </w:pPr>
    </w:p>
    <w:p>
      <w:pPr>
        <w:spacing w:before="17"/>
        <w:rPr/>
      </w:pPr>
      <w:r/>
    </w:p>
    <w:p>
      <w:pPr>
        <w:spacing w:before="16"/>
        <w:rPr/>
      </w:pPr>
      <w:r/>
    </w:p>
    <w:p>
      <w:pPr>
        <w:spacing w:before="16"/>
        <w:rPr/>
      </w:pPr>
      <w:r/>
    </w:p>
    <w:tbl>
      <w:tblPr>
        <w:tblStyle w:val="TableNormal"/>
        <w:tblW w:w="138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43"/>
        <w:gridCol w:w="8314"/>
        <w:gridCol w:w="3962"/>
      </w:tblGrid>
      <w:tr>
        <w:trPr>
          <w:trHeight w:val="1692" w:hRule="atLeast"/>
        </w:trPr>
        <w:tc>
          <w:tcPr>
            <w:tcW w:w="1543" w:type="dxa"/>
            <w:vAlign w:val="top"/>
          </w:tcPr>
          <w:p>
            <w:pPr>
              <w:spacing w:line="319" w:lineRule="auto"/>
              <w:rPr>
                <w:rFonts w:ascii="Arial"/>
                <w:sz w:val="21"/>
              </w:rPr>
            </w:pPr>
            <w:r/>
          </w:p>
          <w:p>
            <w:pPr>
              <w:spacing w:line="320" w:lineRule="auto"/>
              <w:rPr>
                <w:rFonts w:ascii="Arial"/>
                <w:sz w:val="21"/>
              </w:rPr>
            </w:pPr>
            <w:r/>
          </w:p>
          <w:p>
            <w:pPr>
              <w:pStyle w:val="TableText"/>
              <w:ind w:left="518"/>
              <w:spacing w:before="82" w:line="221" w:lineRule="auto"/>
              <w:rPr>
                <w:sz w:val="25"/>
                <w:szCs w:val="25"/>
              </w:rPr>
            </w:pPr>
            <w:bookmarkStart w:name="bookmark1119" w:id="494"/>
            <w:bookmarkEnd w:id="494"/>
            <w:r>
              <w:rPr>
                <w:sz w:val="25"/>
                <w:szCs w:val="25"/>
                <w:b/>
                <w:bCs/>
                <w:spacing w:val="-6"/>
              </w:rPr>
              <w:t>较重</w:t>
            </w:r>
          </w:p>
        </w:tc>
        <w:tc>
          <w:tcPr>
            <w:tcW w:w="8314" w:type="dxa"/>
            <w:vAlign w:val="top"/>
          </w:tcPr>
          <w:p>
            <w:pPr>
              <w:pStyle w:val="TableText"/>
              <w:ind w:left="111"/>
              <w:spacing w:before="43" w:line="219" w:lineRule="auto"/>
              <w:rPr>
                <w:sz w:val="25"/>
                <w:szCs w:val="25"/>
              </w:rPr>
            </w:pPr>
            <w:r>
              <w:rPr>
                <w:sz w:val="25"/>
                <w:szCs w:val="25"/>
                <w:spacing w:val="-1"/>
              </w:rPr>
              <w:t>有下列情形之一的，经责令限期改正，逾期不改正的：</w:t>
            </w:r>
          </w:p>
          <w:p>
            <w:pPr>
              <w:pStyle w:val="TableText"/>
              <w:ind w:left="111" w:hanging="9"/>
              <w:spacing w:before="73" w:line="247" w:lineRule="auto"/>
              <w:rPr>
                <w:sz w:val="25"/>
                <w:szCs w:val="25"/>
              </w:rPr>
            </w:pPr>
            <w:r>
              <w:rPr>
                <w:sz w:val="25"/>
                <w:szCs w:val="25"/>
                <w:spacing w:val="-2"/>
              </w:rPr>
              <w:t>A.职业病危害一般类别的建设项目的职业病防护设施设计不符合国家职业卫</w:t>
            </w:r>
            <w:r>
              <w:rPr>
                <w:sz w:val="25"/>
                <w:szCs w:val="25"/>
                <w:spacing w:val="18"/>
              </w:rPr>
              <w:t xml:space="preserve"> </w:t>
            </w:r>
            <w:r>
              <w:rPr>
                <w:sz w:val="25"/>
                <w:szCs w:val="25"/>
                <w:spacing w:val="1"/>
              </w:rPr>
              <w:t>生标准和卫生要求</w:t>
            </w:r>
          </w:p>
          <w:p>
            <w:pPr>
              <w:pStyle w:val="TableText"/>
              <w:ind w:left="111" w:right="80" w:hanging="9"/>
              <w:spacing w:line="221" w:lineRule="auto"/>
              <w:rPr>
                <w:sz w:val="25"/>
                <w:szCs w:val="25"/>
              </w:rPr>
            </w:pPr>
            <w:r>
              <w:rPr>
                <w:sz w:val="25"/>
                <w:szCs w:val="25"/>
              </w:rPr>
              <w:t>B.GBZ181《职业病危害放射防护评价报告编制规范》中所列C类</w:t>
            </w:r>
            <w:r>
              <w:rPr>
                <w:sz w:val="25"/>
                <w:szCs w:val="25"/>
                <w:spacing w:val="-1"/>
              </w:rPr>
              <w:t>建设项目的</w:t>
            </w:r>
            <w:r>
              <w:rPr>
                <w:sz w:val="25"/>
                <w:szCs w:val="25"/>
              </w:rPr>
              <w:t xml:space="preserve"> </w:t>
            </w:r>
            <w:r>
              <w:rPr>
                <w:sz w:val="25"/>
                <w:szCs w:val="25"/>
              </w:rPr>
              <w:t>职业病防护设施设计不符合国家职业卫生标准和卫生要求</w:t>
            </w:r>
          </w:p>
        </w:tc>
        <w:tc>
          <w:tcPr>
            <w:tcW w:w="3962" w:type="dxa"/>
            <w:vAlign w:val="top"/>
          </w:tcPr>
          <w:p>
            <w:pPr>
              <w:spacing w:line="320" w:lineRule="auto"/>
              <w:rPr>
                <w:rFonts w:ascii="Arial"/>
                <w:sz w:val="21"/>
              </w:rPr>
            </w:pPr>
            <w:r/>
          </w:p>
          <w:p>
            <w:pPr>
              <w:spacing w:line="320" w:lineRule="auto"/>
              <w:rPr>
                <w:rFonts w:ascii="Arial"/>
                <w:sz w:val="21"/>
              </w:rPr>
            </w:pPr>
            <w:r/>
          </w:p>
          <w:p>
            <w:pPr>
              <w:pStyle w:val="TableText"/>
              <w:ind w:left="97"/>
              <w:spacing w:before="82" w:line="220" w:lineRule="auto"/>
              <w:rPr>
                <w:sz w:val="25"/>
                <w:szCs w:val="25"/>
              </w:rPr>
            </w:pPr>
            <w:r>
              <w:rPr>
                <w:sz w:val="25"/>
                <w:szCs w:val="25"/>
              </w:rPr>
              <w:t>处十万元以上二十万元以下的罚款</w:t>
            </w:r>
          </w:p>
        </w:tc>
      </w:tr>
      <w:tr>
        <w:trPr>
          <w:trHeight w:val="2375" w:hRule="atLeast"/>
        </w:trPr>
        <w:tc>
          <w:tcPr>
            <w:tcW w:w="1543" w:type="dxa"/>
            <w:vAlign w:val="top"/>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518"/>
              <w:spacing w:before="81" w:line="220" w:lineRule="auto"/>
              <w:rPr>
                <w:sz w:val="25"/>
                <w:szCs w:val="25"/>
              </w:rPr>
            </w:pPr>
            <w:r>
              <w:rPr>
                <w:sz w:val="25"/>
                <w:szCs w:val="25"/>
                <w:b/>
                <w:bCs/>
                <w:spacing w:val="-6"/>
              </w:rPr>
              <w:t>严重</w:t>
            </w:r>
          </w:p>
        </w:tc>
        <w:tc>
          <w:tcPr>
            <w:tcW w:w="8314" w:type="dxa"/>
            <w:vAlign w:val="top"/>
          </w:tcPr>
          <w:p>
            <w:pPr>
              <w:pStyle w:val="TableText"/>
              <w:ind w:left="111"/>
              <w:spacing w:before="81" w:line="219" w:lineRule="auto"/>
              <w:rPr>
                <w:sz w:val="25"/>
                <w:szCs w:val="25"/>
              </w:rPr>
            </w:pPr>
            <w:r>
              <w:rPr>
                <w:sz w:val="25"/>
                <w:szCs w:val="25"/>
                <w:spacing w:val="-1"/>
              </w:rPr>
              <w:t>有下列情形之一的，经责令限期改正，逾期不改正的：</w:t>
            </w:r>
          </w:p>
          <w:p>
            <w:pPr>
              <w:pStyle w:val="TableText"/>
              <w:ind w:left="111" w:hanging="9"/>
              <w:spacing w:before="43" w:line="251" w:lineRule="auto"/>
              <w:jc w:val="both"/>
              <w:rPr>
                <w:sz w:val="25"/>
                <w:szCs w:val="25"/>
              </w:rPr>
            </w:pPr>
            <w:r>
              <w:rPr>
                <w:sz w:val="25"/>
                <w:szCs w:val="25"/>
                <w:spacing w:val="-2"/>
              </w:rPr>
              <w:t>A.职业病危害严重类别的建设项目的职业病防护设施设计不符合国家职业卫</w:t>
            </w:r>
            <w:r>
              <w:rPr>
                <w:sz w:val="25"/>
                <w:szCs w:val="25"/>
                <w:spacing w:val="18"/>
              </w:rPr>
              <w:t xml:space="preserve"> </w:t>
            </w:r>
            <w:r>
              <w:rPr>
                <w:sz w:val="25"/>
                <w:szCs w:val="25"/>
                <w:spacing w:val="-9"/>
              </w:rPr>
              <w:t>生标准和卫生要求，或者医疗机构放射性职业病危害严重的建设项目</w:t>
            </w:r>
            <w:r>
              <w:rPr>
                <w:sz w:val="25"/>
                <w:szCs w:val="25"/>
                <w:spacing w:val="-10"/>
              </w:rPr>
              <w:t>的防护设</w:t>
            </w:r>
            <w:r>
              <w:rPr>
                <w:sz w:val="25"/>
                <w:szCs w:val="25"/>
              </w:rPr>
              <w:t xml:space="preserve"> </w:t>
            </w:r>
            <w:r>
              <w:rPr>
                <w:sz w:val="25"/>
                <w:szCs w:val="25"/>
              </w:rPr>
              <w:t>施设计未经卫生行政部门审查同意擅自施工的</w:t>
            </w:r>
          </w:p>
          <w:p>
            <w:pPr>
              <w:pStyle w:val="TableText"/>
              <w:ind w:left="111" w:right="196"/>
              <w:spacing w:before="1" w:line="244" w:lineRule="auto"/>
              <w:jc w:val="both"/>
              <w:rPr>
                <w:sz w:val="25"/>
                <w:szCs w:val="25"/>
              </w:rPr>
            </w:pPr>
            <w:r>
              <w:rPr>
                <w:sz w:val="25"/>
                <w:szCs w:val="25"/>
              </w:rPr>
              <w:t>B.GBZ181《职业病危害放射防护评价报告编制规范》中所列A类</w:t>
            </w:r>
            <w:r>
              <w:rPr>
                <w:sz w:val="25"/>
                <w:szCs w:val="25"/>
                <w:spacing w:val="-1"/>
              </w:rPr>
              <w:t>或B类建设</w:t>
            </w:r>
            <w:r>
              <w:rPr>
                <w:sz w:val="25"/>
                <w:szCs w:val="25"/>
              </w:rPr>
              <w:t xml:space="preserve"> </w:t>
            </w:r>
            <w:r>
              <w:rPr>
                <w:sz w:val="25"/>
                <w:szCs w:val="25"/>
              </w:rPr>
              <w:t>项目的职业病防护设施设计不符合国家职业卫生标准和卫生要求</w:t>
            </w:r>
          </w:p>
          <w:p>
            <w:pPr>
              <w:pStyle w:val="TableText"/>
              <w:spacing w:line="193" w:lineRule="auto"/>
              <w:jc w:val="right"/>
              <w:rPr>
                <w:sz w:val="25"/>
                <w:szCs w:val="25"/>
              </w:rPr>
            </w:pPr>
            <w:r>
              <w:rPr>
                <w:sz w:val="25"/>
                <w:szCs w:val="25"/>
                <w:spacing w:val="-2"/>
              </w:rPr>
              <w:t>C.曾因违反建设项目职业卫生“三同时”规定，受到“罚款”类行政处罚的</w:t>
            </w:r>
          </w:p>
        </w:tc>
        <w:tc>
          <w:tcPr>
            <w:tcW w:w="3962" w:type="dxa"/>
            <w:vAlign w:val="top"/>
          </w:tcPr>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pStyle w:val="TableText"/>
              <w:ind w:left="97"/>
              <w:spacing w:before="81" w:line="220" w:lineRule="auto"/>
              <w:rPr>
                <w:sz w:val="25"/>
                <w:szCs w:val="25"/>
              </w:rPr>
            </w:pPr>
            <w:r>
              <w:rPr>
                <w:sz w:val="25"/>
                <w:szCs w:val="25"/>
                <w:spacing w:val="2"/>
              </w:rPr>
              <w:t>处二十万元以上五十万元以下的罚</w:t>
            </w:r>
          </w:p>
          <w:p>
            <w:pPr>
              <w:pStyle w:val="TableText"/>
              <w:ind w:left="108"/>
              <w:spacing w:before="32" w:line="221" w:lineRule="auto"/>
              <w:rPr>
                <w:sz w:val="25"/>
                <w:szCs w:val="25"/>
              </w:rPr>
            </w:pPr>
            <w:r>
              <w:rPr>
                <w:sz w:val="25"/>
                <w:szCs w:val="25"/>
                <w:color w:val="404050"/>
              </w:rPr>
              <w:t>款</w:t>
            </w:r>
          </w:p>
        </w:tc>
      </w:tr>
      <w:tr>
        <w:trPr>
          <w:trHeight w:val="1362" w:hRule="atLeast"/>
        </w:trPr>
        <w:tc>
          <w:tcPr>
            <w:tcW w:w="1543" w:type="dxa"/>
            <w:vAlign w:val="top"/>
          </w:tcPr>
          <w:p>
            <w:pPr>
              <w:spacing w:line="290" w:lineRule="auto"/>
              <w:rPr>
                <w:rFonts w:ascii="Arial"/>
                <w:sz w:val="21"/>
              </w:rPr>
            </w:pPr>
            <w:r/>
          </w:p>
          <w:p>
            <w:pPr>
              <w:spacing w:line="290" w:lineRule="auto"/>
              <w:rPr>
                <w:rFonts w:ascii="Arial"/>
                <w:sz w:val="21"/>
              </w:rPr>
            </w:pPr>
            <w:r/>
          </w:p>
          <w:p>
            <w:pPr>
              <w:pStyle w:val="TableText"/>
              <w:ind w:left="268"/>
              <w:spacing w:before="81" w:line="219" w:lineRule="auto"/>
              <w:rPr>
                <w:sz w:val="25"/>
                <w:szCs w:val="25"/>
              </w:rPr>
            </w:pPr>
            <w:r>
              <w:rPr>
                <w:sz w:val="25"/>
                <w:szCs w:val="25"/>
                <w:b/>
                <w:bCs/>
                <w:spacing w:val="-5"/>
              </w:rPr>
              <w:t>特别严重</w:t>
            </w:r>
          </w:p>
        </w:tc>
        <w:tc>
          <w:tcPr>
            <w:tcW w:w="8314" w:type="dxa"/>
            <w:vAlign w:val="top"/>
          </w:tcPr>
          <w:p>
            <w:pPr>
              <w:pStyle w:val="TableText"/>
              <w:ind w:left="111" w:firstLine="30"/>
              <w:spacing w:before="89" w:line="233" w:lineRule="auto"/>
              <w:jc w:val="both"/>
              <w:rPr>
                <w:sz w:val="25"/>
                <w:szCs w:val="25"/>
              </w:rPr>
            </w:pPr>
            <w:r>
              <w:rPr>
                <w:sz w:val="25"/>
                <w:szCs w:val="25"/>
                <w:spacing w:val="-3"/>
              </w:rPr>
              <w:t>职业病危害严重类别的建设项目职业病防护设施设计不符合国家职业卫生标</w:t>
            </w:r>
            <w:r>
              <w:rPr>
                <w:sz w:val="25"/>
                <w:szCs w:val="25"/>
                <w:spacing w:val="8"/>
              </w:rPr>
              <w:t xml:space="preserve"> </w:t>
            </w:r>
            <w:r>
              <w:rPr>
                <w:sz w:val="25"/>
                <w:szCs w:val="25"/>
                <w:spacing w:val="-9"/>
              </w:rPr>
              <w:t>准和卫生要求，或者医疗机构放射性职业病危害严重的建设项目的防护</w:t>
            </w:r>
            <w:r>
              <w:rPr>
                <w:sz w:val="25"/>
                <w:szCs w:val="25"/>
                <w:spacing w:val="-10"/>
              </w:rPr>
              <w:t>设施设</w:t>
            </w:r>
            <w:r>
              <w:rPr>
                <w:sz w:val="25"/>
                <w:szCs w:val="25"/>
              </w:rPr>
              <w:t xml:space="preserve"> </w:t>
            </w:r>
            <w:r>
              <w:rPr>
                <w:sz w:val="25"/>
                <w:szCs w:val="25"/>
                <w:spacing w:val="-9"/>
              </w:rPr>
              <w:t>计未经卫生行政部门审查同意擅自施工的，经责令限期改正，逾期不</w:t>
            </w:r>
            <w:r>
              <w:rPr>
                <w:sz w:val="25"/>
                <w:szCs w:val="25"/>
                <w:spacing w:val="-10"/>
              </w:rPr>
              <w:t>改正，并</w:t>
            </w:r>
            <w:r>
              <w:rPr>
                <w:sz w:val="25"/>
                <w:szCs w:val="25"/>
              </w:rPr>
              <w:t xml:space="preserve"> </w:t>
            </w:r>
            <w:r>
              <w:rPr>
                <w:sz w:val="25"/>
                <w:szCs w:val="25"/>
                <w:spacing w:val="2"/>
              </w:rPr>
              <w:t>造成严重后果的</w:t>
            </w:r>
          </w:p>
        </w:tc>
        <w:tc>
          <w:tcPr>
            <w:tcW w:w="3962" w:type="dxa"/>
            <w:vAlign w:val="top"/>
          </w:tcPr>
          <w:p>
            <w:pPr>
              <w:pStyle w:val="TableText"/>
              <w:ind w:left="97" w:hanging="79"/>
              <w:spacing w:before="258" w:line="252" w:lineRule="auto"/>
              <w:jc w:val="both"/>
              <w:rPr>
                <w:sz w:val="25"/>
                <w:szCs w:val="25"/>
              </w:rPr>
            </w:pPr>
            <w:r>
              <w:rPr>
                <w:sz w:val="25"/>
                <w:szCs w:val="25"/>
                <w:spacing w:val="-5"/>
              </w:rPr>
              <w:t>责令停止产生职业病危害的作业，或</w:t>
            </w:r>
            <w:r>
              <w:rPr>
                <w:sz w:val="25"/>
                <w:szCs w:val="25"/>
                <w:spacing w:val="12"/>
              </w:rPr>
              <w:t xml:space="preserve"> </w:t>
            </w:r>
            <w:r>
              <w:rPr>
                <w:sz w:val="25"/>
                <w:szCs w:val="25"/>
              </w:rPr>
              <w:t>者提请有关人民政府按照国务院规</w:t>
            </w:r>
            <w:r>
              <w:rPr>
                <w:sz w:val="25"/>
                <w:szCs w:val="25"/>
                <w:spacing w:val="2"/>
              </w:rPr>
              <w:t xml:space="preserve"> </w:t>
            </w:r>
            <w:r>
              <w:rPr>
                <w:sz w:val="25"/>
                <w:szCs w:val="25"/>
                <w:spacing w:val="4"/>
              </w:rPr>
              <w:t>定的权限责令停建、关闭</w:t>
            </w:r>
          </w:p>
        </w:tc>
      </w:tr>
    </w:tbl>
    <w:p>
      <w:pPr>
        <w:pStyle w:val="BodyText"/>
        <w:spacing w:line="447" w:lineRule="auto"/>
        <w:rPr/>
      </w:pPr>
      <w:r/>
    </w:p>
    <w:p>
      <w:pPr>
        <w:ind w:left="659"/>
        <w:spacing w:before="97" w:line="220" w:lineRule="auto"/>
        <w:rPr>
          <w:rFonts w:ascii="FangSong" w:hAnsi="FangSong" w:eastAsia="FangSong" w:cs="FangSong"/>
          <w:sz w:val="30"/>
          <w:szCs w:val="30"/>
        </w:rPr>
      </w:pPr>
      <w:r>
        <w:rPr>
          <w:rFonts w:ascii="FangSong" w:hAnsi="FangSong" w:eastAsia="FangSong" w:cs="FangSong"/>
          <w:sz w:val="30"/>
          <w:szCs w:val="30"/>
          <w:b/>
          <w:bCs/>
          <w:spacing w:val="22"/>
        </w:rPr>
        <w:t>第四百四十九条未按照规定对职业病防护设</w:t>
      </w:r>
      <w:r>
        <w:rPr>
          <w:rFonts w:ascii="FangSong" w:hAnsi="FangSong" w:eastAsia="FangSong" w:cs="FangSong"/>
          <w:sz w:val="30"/>
          <w:szCs w:val="30"/>
          <w:b/>
          <w:bCs/>
          <w:spacing w:val="21"/>
        </w:rPr>
        <w:t>施进行职业病危害控制效果评价的</w:t>
      </w:r>
    </w:p>
    <w:p>
      <w:pPr>
        <w:ind w:left="654"/>
        <w:spacing w:before="80" w:line="222" w:lineRule="auto"/>
        <w:rPr>
          <w:rFonts w:ascii="FangSong" w:hAnsi="FangSong" w:eastAsia="FangSong" w:cs="FangSong"/>
          <w:sz w:val="30"/>
          <w:szCs w:val="30"/>
        </w:rPr>
      </w:pPr>
      <w:r>
        <w:rPr>
          <w:rFonts w:ascii="FangSong" w:hAnsi="FangSong" w:eastAsia="FangSong" w:cs="FangSong"/>
          <w:sz w:val="30"/>
          <w:szCs w:val="30"/>
        </w:rPr>
        <w:t>法律依据：</w:t>
      </w:r>
    </w:p>
    <w:p>
      <w:pPr>
        <w:ind w:left="34" w:firstLine="620"/>
        <w:spacing w:before="87" w:line="270" w:lineRule="auto"/>
        <w:jc w:val="both"/>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《中华人民共和国职业病防治法》第六十九条第(五)项</w:t>
      </w:r>
      <w:r>
        <w:rPr>
          <w:rFonts w:ascii="FangSong" w:hAnsi="FangSong" w:eastAsia="FangSong" w:cs="FangSong"/>
          <w:sz w:val="30"/>
          <w:szCs w:val="30"/>
          <w:spacing w:val="19"/>
        </w:rPr>
        <w:t xml:space="preserve">  </w:t>
      </w:r>
      <w:r>
        <w:rPr>
          <w:rFonts w:ascii="FangSong" w:hAnsi="FangSong" w:eastAsia="FangSong" w:cs="FangSong"/>
          <w:sz w:val="30"/>
          <w:szCs w:val="30"/>
          <w:spacing w:val="19"/>
        </w:rPr>
        <w:t>建设单位违反本法规定</w:t>
      </w:r>
      <w:r>
        <w:rPr>
          <w:rFonts w:ascii="FangSong" w:hAnsi="FangSong" w:eastAsia="FangSong" w:cs="FangSong"/>
          <w:sz w:val="30"/>
          <w:szCs w:val="30"/>
          <w:spacing w:val="18"/>
        </w:rPr>
        <w:t>，有下列行</w:t>
      </w:r>
      <w:r>
        <w:rPr>
          <w:rFonts w:ascii="FangSong" w:hAnsi="FangSong" w:eastAsia="FangSong" w:cs="FangSong"/>
          <w:sz w:val="30"/>
          <w:szCs w:val="30"/>
        </w:rPr>
        <w:t xml:space="preserve"> </w:t>
      </w:r>
      <w:r>
        <w:rPr>
          <w:rFonts w:ascii="FangSong" w:hAnsi="FangSong" w:eastAsia="FangSong" w:cs="FangSong"/>
          <w:sz w:val="30"/>
          <w:szCs w:val="30"/>
          <w:spacing w:val="16"/>
        </w:rPr>
        <w:t>为之一的，由卫生行政部门给予警告，责令限期改正；逾期不改正的，处十万元以上五十万元以下的</w:t>
      </w:r>
      <w:r>
        <w:rPr>
          <w:rFonts w:ascii="FangSong" w:hAnsi="FangSong" w:eastAsia="FangSong" w:cs="FangSong"/>
          <w:sz w:val="30"/>
          <w:szCs w:val="30"/>
          <w:spacing w:val="4"/>
        </w:rPr>
        <w:t xml:space="preserve"> </w:t>
      </w:r>
      <w:r>
        <w:rPr>
          <w:rFonts w:ascii="FangSong" w:hAnsi="FangSong" w:eastAsia="FangSong" w:cs="FangSong"/>
          <w:sz w:val="30"/>
          <w:szCs w:val="30"/>
          <w:spacing w:val="16"/>
        </w:rPr>
        <w:t>罚款；情节严重的，责令停止产生职业病危害的作业，或者提请有关人民政府按照国务院规</w:t>
      </w:r>
      <w:r>
        <w:rPr>
          <w:rFonts w:ascii="FangSong" w:hAnsi="FangSong" w:eastAsia="FangSong" w:cs="FangSong"/>
          <w:sz w:val="30"/>
          <w:szCs w:val="30"/>
          <w:spacing w:val="15"/>
        </w:rPr>
        <w:t>定的权限</w:t>
      </w:r>
    </w:p>
    <w:p>
      <w:pPr>
        <w:pStyle w:val="BodyText"/>
        <w:spacing w:line="338" w:lineRule="auto"/>
        <w:rPr/>
      </w:pPr>
      <w:r/>
    </w:p>
    <w:p>
      <w:pPr>
        <w:pStyle w:val="BodyText"/>
        <w:spacing w:line="338" w:lineRule="auto"/>
        <w:rPr/>
      </w:pPr>
      <w:r/>
    </w:p>
    <w:p>
      <w:pPr>
        <w:ind w:left="6345"/>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—525—</w:t>
      </w:r>
    </w:p>
    <w:p>
      <w:pPr>
        <w:spacing w:line="188" w:lineRule="auto"/>
        <w:sectPr>
          <w:footerReference w:type="default" r:id="rId24"/>
          <w:pgSz w:w="16830" w:h="11900"/>
          <w:pgMar w:top="1011" w:right="1438" w:bottom="400" w:left="1434" w:header="0" w:footer="0" w:gutter="0"/>
        </w:sectPr>
        <w:rPr>
          <w:rFonts w:ascii="Times New Roman" w:hAnsi="Times New Roman" w:eastAsia="Times New Roman" w:cs="Times New Roman"/>
          <w:sz w:val="37"/>
          <w:szCs w:val="37"/>
        </w:rPr>
      </w:pPr>
    </w:p>
    <w:p>
      <w:pPr>
        <w:pStyle w:val="BodyText"/>
        <w:spacing w:line="264" w:lineRule="auto"/>
        <w:rPr/>
      </w:pPr>
      <w:r/>
    </w:p>
    <w:p>
      <w:pPr>
        <w:pStyle w:val="BodyText"/>
        <w:spacing w:line="265" w:lineRule="auto"/>
        <w:rPr/>
      </w:pPr>
      <w:r/>
    </w:p>
    <w:p>
      <w:pPr>
        <w:pStyle w:val="BodyText"/>
        <w:spacing w:line="265" w:lineRule="auto"/>
        <w:rPr/>
      </w:pPr>
      <w:r/>
    </w:p>
    <w:p>
      <w:pPr>
        <w:ind w:left="134"/>
        <w:spacing w:before="97" w:line="222" w:lineRule="auto"/>
        <w:rPr>
          <w:rFonts w:ascii="FangSong" w:hAnsi="FangSong" w:eastAsia="FangSong" w:cs="FangSong"/>
          <w:sz w:val="30"/>
          <w:szCs w:val="30"/>
        </w:rPr>
      </w:pPr>
      <w:r>
        <w:rPr>
          <w:rFonts w:ascii="FangSong" w:hAnsi="FangSong" w:eastAsia="FangSong" w:cs="FangSong"/>
          <w:sz w:val="30"/>
          <w:szCs w:val="30"/>
          <w:spacing w:val="8"/>
        </w:rPr>
        <w:t>责令停建、关闭：</w:t>
      </w:r>
    </w:p>
    <w:p>
      <w:pPr>
        <w:ind w:left="904"/>
        <w:spacing w:before="88" w:line="221" w:lineRule="auto"/>
        <w:rPr>
          <w:rFonts w:ascii="FangSong" w:hAnsi="FangSong" w:eastAsia="FangSong" w:cs="FangSong"/>
          <w:sz w:val="30"/>
          <w:szCs w:val="30"/>
        </w:rPr>
      </w:pPr>
      <w:r>
        <w:rPr>
          <w:rFonts w:ascii="FangSong" w:hAnsi="FangSong" w:eastAsia="FangSong" w:cs="FangSong"/>
          <w:sz w:val="30"/>
          <w:szCs w:val="30"/>
          <w:spacing w:val="23"/>
        </w:rPr>
        <w:t>(五)未按照规定对职业病防护设施进行职业病危害控制效果</w:t>
      </w:r>
      <w:r>
        <w:rPr>
          <w:rFonts w:ascii="FangSong" w:hAnsi="FangSong" w:eastAsia="FangSong" w:cs="FangSong"/>
          <w:sz w:val="30"/>
          <w:szCs w:val="30"/>
          <w:spacing w:val="22"/>
        </w:rPr>
        <w:t>评价的；</w:t>
      </w:r>
    </w:p>
    <w:p>
      <w:pPr>
        <w:ind w:left="134" w:firstLine="629"/>
        <w:spacing w:before="78" w:line="271" w:lineRule="auto"/>
        <w:rPr>
          <w:rFonts w:ascii="FangSong" w:hAnsi="FangSong" w:eastAsia="FangSong" w:cs="FangSong"/>
          <w:sz w:val="30"/>
          <w:szCs w:val="30"/>
        </w:rPr>
      </w:pPr>
      <w:r>
        <w:rPr>
          <w:rFonts w:ascii="FangSong" w:hAnsi="FangSong" w:eastAsia="FangSong" w:cs="FangSong"/>
          <w:sz w:val="30"/>
          <w:szCs w:val="30"/>
          <w:spacing w:val="15"/>
        </w:rPr>
        <w:t>2.</w:t>
      </w:r>
      <w:r>
        <w:rPr>
          <w:rFonts w:ascii="FangSong" w:hAnsi="FangSong" w:eastAsia="FangSong" w:cs="FangSong"/>
          <w:sz w:val="30"/>
          <w:szCs w:val="30"/>
          <w:spacing w:val="15"/>
        </w:rPr>
        <w:t xml:space="preserve"> </w:t>
      </w:r>
      <w:r>
        <w:rPr>
          <w:rFonts w:ascii="FangSong" w:hAnsi="FangSong" w:eastAsia="FangSong" w:cs="FangSong"/>
          <w:sz w:val="30"/>
          <w:szCs w:val="30"/>
          <w:spacing w:val="15"/>
        </w:rPr>
        <w:t>《使用有毒物品作业场所劳动保护条例》第五十八条第(三)项</w:t>
      </w:r>
      <w:r>
        <w:rPr>
          <w:rFonts w:ascii="FangSong" w:hAnsi="FangSong" w:eastAsia="FangSong" w:cs="FangSong"/>
          <w:sz w:val="30"/>
          <w:szCs w:val="30"/>
          <w:spacing w:val="15"/>
        </w:rPr>
        <w:t xml:space="preserve">  </w:t>
      </w:r>
      <w:r>
        <w:rPr>
          <w:rFonts w:ascii="FangSong" w:hAnsi="FangSong" w:eastAsia="FangSong" w:cs="FangSong"/>
          <w:sz w:val="30"/>
          <w:szCs w:val="30"/>
          <w:spacing w:val="15"/>
        </w:rPr>
        <w:t>用</w:t>
      </w:r>
      <w:r>
        <w:rPr>
          <w:rFonts w:ascii="FangSong" w:hAnsi="FangSong" w:eastAsia="FangSong" w:cs="FangSong"/>
          <w:sz w:val="30"/>
          <w:szCs w:val="30"/>
          <w:spacing w:val="14"/>
        </w:rPr>
        <w:t>人单位违反本条例的规定，</w:t>
      </w:r>
      <w:r>
        <w:rPr>
          <w:rFonts w:ascii="FangSong" w:hAnsi="FangSong" w:eastAsia="FangSong" w:cs="FangSong"/>
          <w:sz w:val="30"/>
          <w:szCs w:val="30"/>
        </w:rPr>
        <w:t xml:space="preserve"> </w:t>
      </w:r>
      <w:r>
        <w:rPr>
          <w:rFonts w:ascii="FangSong" w:hAnsi="FangSong" w:eastAsia="FangSong" w:cs="FangSong"/>
          <w:sz w:val="30"/>
          <w:szCs w:val="30"/>
          <w:spacing w:val="23"/>
        </w:rPr>
        <w:t>有下列情形之一的，由疾病预防控制部门给予警告，责令限期改正；逾</w:t>
      </w:r>
      <w:r>
        <w:rPr>
          <w:rFonts w:ascii="FangSong" w:hAnsi="FangSong" w:eastAsia="FangSong" w:cs="FangSong"/>
          <w:sz w:val="30"/>
          <w:szCs w:val="30"/>
          <w:spacing w:val="22"/>
        </w:rPr>
        <w:t>期不改正的，处10万元以上</w:t>
      </w:r>
      <w:r>
        <w:rPr>
          <w:rFonts w:ascii="FangSong" w:hAnsi="FangSong" w:eastAsia="FangSong" w:cs="FangSong"/>
          <w:sz w:val="30"/>
          <w:szCs w:val="30"/>
        </w:rPr>
        <w:t xml:space="preserve">  </w:t>
      </w:r>
      <w:r>
        <w:rPr>
          <w:rFonts w:ascii="FangSong" w:hAnsi="FangSong" w:eastAsia="FangSong" w:cs="FangSong"/>
          <w:sz w:val="30"/>
          <w:szCs w:val="30"/>
          <w:spacing w:val="20"/>
        </w:rPr>
        <w:t>50万元以下的罚款；情节严重的，提请有关人民政府按照国务院规定的</w:t>
      </w:r>
      <w:r>
        <w:rPr>
          <w:rFonts w:ascii="FangSong" w:hAnsi="FangSong" w:eastAsia="FangSong" w:cs="FangSong"/>
          <w:sz w:val="30"/>
          <w:szCs w:val="30"/>
          <w:spacing w:val="19"/>
        </w:rPr>
        <w:t>权限责令停建、予以关闭；</w:t>
      </w:r>
    </w:p>
    <w:p>
      <w:pPr>
        <w:ind w:left="134" w:right="128"/>
        <w:spacing w:before="4" w:line="270" w:lineRule="auto"/>
        <w:rPr>
          <w:rFonts w:ascii="FangSong" w:hAnsi="FangSong" w:eastAsia="FangSong" w:cs="FangSong"/>
          <w:sz w:val="30"/>
          <w:szCs w:val="30"/>
        </w:rPr>
      </w:pPr>
      <w:r>
        <w:rPr>
          <w:rFonts w:ascii="FangSong" w:hAnsi="FangSong" w:eastAsia="FangSong" w:cs="FangSong"/>
          <w:sz w:val="30"/>
          <w:szCs w:val="30"/>
          <w:spacing w:val="17"/>
        </w:rPr>
        <w:t>造成严重职业中毒危害或者导致职业中毒事故发生的，对负</w:t>
      </w:r>
      <w:r>
        <w:rPr>
          <w:rFonts w:ascii="FangSong" w:hAnsi="FangSong" w:eastAsia="FangSong" w:cs="FangSong"/>
          <w:sz w:val="30"/>
          <w:szCs w:val="30"/>
          <w:spacing w:val="16"/>
        </w:rPr>
        <w:t>有责任的主管人员和其他直接责任人员依</w:t>
      </w:r>
      <w:r>
        <w:rPr>
          <w:rFonts w:ascii="FangSong" w:hAnsi="FangSong" w:eastAsia="FangSong" w:cs="FangSong"/>
          <w:sz w:val="30"/>
          <w:szCs w:val="30"/>
        </w:rPr>
        <w:t xml:space="preserve"> </w:t>
      </w:r>
      <w:r>
        <w:rPr>
          <w:rFonts w:ascii="FangSong" w:hAnsi="FangSong" w:eastAsia="FangSong" w:cs="FangSong"/>
          <w:sz w:val="30"/>
          <w:szCs w:val="30"/>
          <w:spacing w:val="17"/>
        </w:rPr>
        <w:t>照刑法关于重大劳动安全事故罪或者其他罪的规定，依法追究刑事责任：</w:t>
      </w:r>
    </w:p>
    <w:p>
      <w:pPr>
        <w:ind w:left="134" w:right="129" w:firstLine="769"/>
        <w:spacing w:before="2" w:line="264" w:lineRule="auto"/>
        <w:rPr>
          <w:rFonts w:ascii="FangSong" w:hAnsi="FangSong" w:eastAsia="FangSong" w:cs="FangSong"/>
          <w:sz w:val="30"/>
          <w:szCs w:val="30"/>
        </w:rPr>
      </w:pPr>
      <w:r>
        <w:rPr>
          <w:rFonts w:ascii="FangSong" w:hAnsi="FangSong" w:eastAsia="FangSong" w:cs="FangSong"/>
          <w:sz w:val="30"/>
          <w:szCs w:val="30"/>
          <w:spacing w:val="21"/>
        </w:rPr>
        <w:t>(三)建设项目竣工验收前，未进行职业中</w:t>
      </w:r>
      <w:r>
        <w:rPr>
          <w:rFonts w:ascii="FangSong" w:hAnsi="FangSong" w:eastAsia="FangSong" w:cs="FangSong"/>
          <w:sz w:val="30"/>
          <w:szCs w:val="30"/>
          <w:spacing w:val="20"/>
        </w:rPr>
        <w:t>毒危害控制效果评价，或者职业中毒危害防护设施未</w:t>
      </w:r>
      <w:r>
        <w:rPr>
          <w:rFonts w:ascii="FangSong" w:hAnsi="FangSong" w:eastAsia="FangSong" w:cs="FangSong"/>
          <w:sz w:val="30"/>
          <w:szCs w:val="30"/>
        </w:rPr>
        <w:t xml:space="preserve"> </w:t>
      </w:r>
      <w:r>
        <w:rPr>
          <w:rFonts w:ascii="FangSong" w:hAnsi="FangSong" w:eastAsia="FangSong" w:cs="FangSong"/>
          <w:sz w:val="30"/>
          <w:szCs w:val="30"/>
          <w:spacing w:val="16"/>
        </w:rPr>
        <w:t>经依法组织验收合格，擅自投入生产和使用的；</w:t>
      </w:r>
    </w:p>
    <w:p>
      <w:pPr>
        <w:ind w:left="134" w:right="126" w:firstLine="649"/>
        <w:spacing w:before="5" w:line="270" w:lineRule="auto"/>
        <w:jc w:val="both"/>
        <w:rPr>
          <w:rFonts w:ascii="FangSong" w:hAnsi="FangSong" w:eastAsia="FangSong" w:cs="FangSong"/>
          <w:sz w:val="30"/>
          <w:szCs w:val="30"/>
        </w:rPr>
      </w:pPr>
      <w:r>
        <w:rPr>
          <w:rFonts w:ascii="FangSong" w:hAnsi="FangSong" w:eastAsia="FangSong" w:cs="FangSong"/>
          <w:sz w:val="30"/>
          <w:szCs w:val="30"/>
          <w:spacing w:val="19"/>
        </w:rPr>
        <w:t>3.</w:t>
      </w:r>
      <w:r>
        <w:rPr>
          <w:rFonts w:ascii="FangSong" w:hAnsi="FangSong" w:eastAsia="FangSong" w:cs="FangSong"/>
          <w:sz w:val="30"/>
          <w:szCs w:val="30"/>
          <w:spacing w:val="19"/>
        </w:rPr>
        <w:t xml:space="preserve"> </w:t>
      </w:r>
      <w:r>
        <w:rPr>
          <w:rFonts w:ascii="FangSong" w:hAnsi="FangSong" w:eastAsia="FangSong" w:cs="FangSong"/>
          <w:sz w:val="30"/>
          <w:szCs w:val="30"/>
          <w:spacing w:val="19"/>
        </w:rPr>
        <w:t>《建设项目职业病防护设施“三同时”监督</w:t>
      </w:r>
      <w:r>
        <w:rPr>
          <w:rFonts w:ascii="FangSong" w:hAnsi="FangSong" w:eastAsia="FangSong" w:cs="FangSong"/>
          <w:sz w:val="30"/>
          <w:szCs w:val="30"/>
          <w:spacing w:val="18"/>
        </w:rPr>
        <w:t>管理办法》第三十九条第(四)项</w:t>
      </w:r>
      <w:r>
        <w:rPr>
          <w:rFonts w:ascii="FangSong" w:hAnsi="FangSong" w:eastAsia="FangSong" w:cs="FangSong"/>
          <w:sz w:val="30"/>
          <w:szCs w:val="30"/>
          <w:spacing w:val="18"/>
        </w:rPr>
        <w:t xml:space="preserve">  </w:t>
      </w:r>
      <w:r>
        <w:rPr>
          <w:rFonts w:ascii="FangSong" w:hAnsi="FangSong" w:eastAsia="FangSong" w:cs="FangSong"/>
          <w:sz w:val="30"/>
          <w:szCs w:val="30"/>
          <w:spacing w:val="18"/>
        </w:rPr>
        <w:t>建设单位有下</w:t>
      </w:r>
      <w:r>
        <w:rPr>
          <w:rFonts w:ascii="FangSong" w:hAnsi="FangSong" w:eastAsia="FangSong" w:cs="FangSong"/>
          <w:sz w:val="30"/>
          <w:szCs w:val="30"/>
        </w:rPr>
        <w:t xml:space="preserve"> </w:t>
      </w:r>
      <w:r>
        <w:rPr>
          <w:rFonts w:ascii="FangSong" w:hAnsi="FangSong" w:eastAsia="FangSong" w:cs="FangSong"/>
          <w:sz w:val="30"/>
          <w:szCs w:val="30"/>
          <w:spacing w:val="23"/>
        </w:rPr>
        <w:t>列行为之一的，由安全生产监督管理部门给予警告，责令限期改正；</w:t>
      </w:r>
      <w:r>
        <w:rPr>
          <w:rFonts w:ascii="FangSong" w:hAnsi="FangSong" w:eastAsia="FangSong" w:cs="FangSong"/>
          <w:sz w:val="30"/>
          <w:szCs w:val="30"/>
          <w:spacing w:val="22"/>
        </w:rPr>
        <w:t>逾期不改正的，处10万元以上</w:t>
      </w:r>
      <w:r>
        <w:rPr>
          <w:rFonts w:ascii="FangSong" w:hAnsi="FangSong" w:eastAsia="FangSong" w:cs="FangSong"/>
          <w:sz w:val="30"/>
          <w:szCs w:val="30"/>
        </w:rPr>
        <w:t xml:space="preserve"> </w:t>
      </w:r>
      <w:r>
        <w:rPr>
          <w:rFonts w:ascii="SimSun" w:hAnsi="SimSun" w:eastAsia="SimSun" w:cs="SimSun"/>
          <w:sz w:val="30"/>
          <w:szCs w:val="30"/>
          <w:spacing w:val="19"/>
        </w:rPr>
        <w:t>50 </w:t>
      </w:r>
      <w:r>
        <w:rPr>
          <w:rFonts w:ascii="FangSong" w:hAnsi="FangSong" w:eastAsia="FangSong" w:cs="FangSong"/>
          <w:sz w:val="30"/>
          <w:szCs w:val="30"/>
          <w:spacing w:val="19"/>
        </w:rPr>
        <w:t>万元以下的罚款；情节严重的，责令停止产生职业病危害的作业，或者提请</w:t>
      </w:r>
      <w:r>
        <w:rPr>
          <w:rFonts w:ascii="FangSong" w:hAnsi="FangSong" w:eastAsia="FangSong" w:cs="FangSong"/>
          <w:sz w:val="30"/>
          <w:szCs w:val="30"/>
          <w:spacing w:val="18"/>
        </w:rPr>
        <w:t>有关人民政府按照国</w:t>
      </w:r>
      <w:r>
        <w:rPr>
          <w:rFonts w:ascii="FangSong" w:hAnsi="FangSong" w:eastAsia="FangSong" w:cs="FangSong"/>
          <w:sz w:val="30"/>
          <w:szCs w:val="30"/>
        </w:rPr>
        <w:t xml:space="preserve"> </w:t>
      </w:r>
      <w:r>
        <w:rPr>
          <w:rFonts w:ascii="FangSong" w:hAnsi="FangSong" w:eastAsia="FangSong" w:cs="FangSong"/>
          <w:sz w:val="30"/>
          <w:szCs w:val="30"/>
          <w:spacing w:val="14"/>
        </w:rPr>
        <w:t>务院规定的权限责令停建、关闭：</w:t>
      </w:r>
    </w:p>
    <w:p>
      <w:pPr>
        <w:ind w:left="904"/>
        <w:spacing w:before="1" w:line="220" w:lineRule="auto"/>
        <w:rPr>
          <w:rFonts w:ascii="FangSong" w:hAnsi="FangSong" w:eastAsia="FangSong" w:cs="FangSong"/>
          <w:sz w:val="30"/>
          <w:szCs w:val="30"/>
        </w:rPr>
      </w:pPr>
      <w:r>
        <w:rPr>
          <w:rFonts w:ascii="FangSong" w:hAnsi="FangSong" w:eastAsia="FangSong" w:cs="FangSong"/>
          <w:sz w:val="30"/>
          <w:szCs w:val="30"/>
          <w:spacing w:val="22"/>
        </w:rPr>
        <w:t>(四)未按照本办法规定对职业病防护设施进行职业病危害控制效果评价的；</w:t>
      </w:r>
    </w:p>
    <w:p>
      <w:pPr>
        <w:ind w:left="6548"/>
        <w:spacing w:before="23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35" w:lineRule="auto"/>
        <w:rPr>
          <w:rFonts w:ascii="Arial"/>
          <w:sz w:val="2"/>
        </w:rPr>
      </w:pPr>
      <w:r>
        <w:rPr>
          <w:rFonts w:ascii="Arial"/>
          <w:sz w:val="2"/>
        </w:rPr>
      </w:r>
    </w:p>
    <w:tbl>
      <w:tblPr>
        <w:tblStyle w:val="TableNormal"/>
        <w:tblW w:w="141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3"/>
        <w:gridCol w:w="7844"/>
        <w:gridCol w:w="3872"/>
      </w:tblGrid>
      <w:tr>
        <w:trPr>
          <w:trHeight w:val="649" w:hRule="atLeast"/>
        </w:trPr>
        <w:tc>
          <w:tcPr>
            <w:tcW w:w="2463" w:type="dxa"/>
            <w:vAlign w:val="top"/>
          </w:tcPr>
          <w:p>
            <w:pPr>
              <w:pStyle w:val="TableText"/>
              <w:ind w:left="708"/>
              <w:spacing w:before="202" w:line="220" w:lineRule="auto"/>
              <w:rPr>
                <w:sz w:val="26"/>
                <w:szCs w:val="26"/>
              </w:rPr>
            </w:pPr>
            <w:r>
              <w:rPr>
                <w:sz w:val="26"/>
                <w:szCs w:val="26"/>
                <w:b/>
                <w:bCs/>
                <w:spacing w:val="-5"/>
              </w:rPr>
              <w:t>违法程度</w:t>
            </w:r>
          </w:p>
        </w:tc>
        <w:tc>
          <w:tcPr>
            <w:tcW w:w="7844" w:type="dxa"/>
            <w:vAlign w:val="top"/>
          </w:tcPr>
          <w:p>
            <w:pPr>
              <w:pStyle w:val="TableText"/>
              <w:ind w:left="3355"/>
              <w:spacing w:before="202" w:line="220" w:lineRule="auto"/>
              <w:rPr>
                <w:sz w:val="26"/>
                <w:szCs w:val="26"/>
              </w:rPr>
            </w:pPr>
            <w:r>
              <w:rPr>
                <w:sz w:val="26"/>
                <w:szCs w:val="26"/>
                <w:b/>
                <w:bCs/>
                <w:spacing w:val="-5"/>
              </w:rPr>
              <w:t>情节后果</w:t>
            </w:r>
          </w:p>
        </w:tc>
        <w:tc>
          <w:tcPr>
            <w:tcW w:w="3872" w:type="dxa"/>
            <w:vAlign w:val="top"/>
          </w:tcPr>
          <w:p>
            <w:pPr>
              <w:pStyle w:val="TableText"/>
              <w:ind w:left="1381"/>
              <w:spacing w:before="199" w:line="218" w:lineRule="auto"/>
              <w:rPr>
                <w:sz w:val="26"/>
                <w:szCs w:val="26"/>
              </w:rPr>
            </w:pPr>
            <w:r>
              <w:rPr>
                <w:sz w:val="26"/>
                <w:szCs w:val="26"/>
                <w:b/>
                <w:bCs/>
                <w:spacing w:val="-5"/>
              </w:rPr>
              <w:t>裁量幅度</w:t>
            </w:r>
          </w:p>
        </w:tc>
      </w:tr>
      <w:tr>
        <w:trPr>
          <w:trHeight w:val="560" w:hRule="atLeast"/>
        </w:trPr>
        <w:tc>
          <w:tcPr>
            <w:tcW w:w="2463" w:type="dxa"/>
            <w:vAlign w:val="top"/>
          </w:tcPr>
          <w:p>
            <w:pPr>
              <w:pStyle w:val="TableText"/>
              <w:ind w:left="968"/>
              <w:spacing w:before="154" w:line="221" w:lineRule="auto"/>
              <w:rPr>
                <w:sz w:val="26"/>
                <w:szCs w:val="26"/>
              </w:rPr>
            </w:pPr>
            <w:r>
              <w:rPr>
                <w:sz w:val="26"/>
                <w:szCs w:val="26"/>
                <w:b/>
                <w:bCs/>
                <w:spacing w:val="-10"/>
              </w:rPr>
              <w:t>一般</w:t>
            </w:r>
          </w:p>
        </w:tc>
        <w:tc>
          <w:tcPr>
            <w:tcW w:w="7844" w:type="dxa"/>
            <w:vAlign w:val="top"/>
          </w:tcPr>
          <w:p>
            <w:pPr>
              <w:pStyle w:val="TableText"/>
              <w:ind w:left="85"/>
              <w:spacing w:before="150" w:line="218" w:lineRule="auto"/>
              <w:rPr>
                <w:sz w:val="26"/>
                <w:szCs w:val="26"/>
              </w:rPr>
            </w:pPr>
            <w:r>
              <w:rPr>
                <w:sz w:val="26"/>
                <w:szCs w:val="26"/>
                <w:b/>
                <w:bCs/>
                <w:spacing w:val="-2"/>
              </w:rPr>
              <w:t>未按照规定对职业病防护设施进行职业病危</w:t>
            </w:r>
            <w:r>
              <w:rPr>
                <w:sz w:val="26"/>
                <w:szCs w:val="26"/>
                <w:b/>
                <w:bCs/>
                <w:spacing w:val="-3"/>
              </w:rPr>
              <w:t>害控制效果评价的</w:t>
            </w:r>
          </w:p>
        </w:tc>
        <w:tc>
          <w:tcPr>
            <w:tcW w:w="3872" w:type="dxa"/>
            <w:vAlign w:val="top"/>
          </w:tcPr>
          <w:p>
            <w:pPr>
              <w:pStyle w:val="TableText"/>
              <w:ind w:left="131"/>
              <w:spacing w:before="150" w:line="218" w:lineRule="auto"/>
              <w:rPr>
                <w:sz w:val="26"/>
                <w:szCs w:val="26"/>
              </w:rPr>
            </w:pPr>
            <w:r>
              <w:rPr>
                <w:sz w:val="26"/>
                <w:szCs w:val="26"/>
                <w:b/>
                <w:bCs/>
                <w:spacing w:val="-4"/>
              </w:rPr>
              <w:t>给予警告，责令限期改正</w:t>
            </w:r>
          </w:p>
        </w:tc>
      </w:tr>
    </w:tbl>
    <w:p>
      <w:pPr>
        <w:pStyle w:val="BodyText"/>
        <w:rPr/>
      </w:pPr>
      <w:r/>
    </w:p>
    <w:p>
      <w:pPr>
        <w:sectPr>
          <w:footerReference w:type="default" r:id="rId476"/>
          <w:pgSz w:w="16830" w:h="11900"/>
          <w:pgMar w:top="1011" w:right="1330" w:bottom="1117" w:left="1305" w:header="0" w:footer="784" w:gutter="0"/>
        </w:sectPr>
        <w:rPr/>
      </w:pPr>
    </w:p>
    <w:p>
      <w:pPr>
        <w:spacing w:before="20"/>
        <w:rPr/>
      </w:pPr>
      <w:r/>
    </w:p>
    <w:p>
      <w:pPr>
        <w:spacing w:before="20"/>
        <w:rPr/>
      </w:pPr>
      <w:r/>
    </w:p>
    <w:p>
      <w:pPr>
        <w:spacing w:before="19"/>
        <w:rPr/>
      </w:pPr>
      <w:r/>
    </w:p>
    <w:tbl>
      <w:tblPr>
        <w:tblStyle w:val="TableNormal"/>
        <w:tblW w:w="141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3"/>
        <w:gridCol w:w="7845"/>
        <w:gridCol w:w="3862"/>
      </w:tblGrid>
      <w:tr>
        <w:trPr>
          <w:trHeight w:val="1701" w:hRule="atLeast"/>
        </w:trPr>
        <w:tc>
          <w:tcPr>
            <w:tcW w:w="2463" w:type="dxa"/>
            <w:vAlign w:val="top"/>
          </w:tcPr>
          <w:p>
            <w:pPr>
              <w:spacing w:line="324" w:lineRule="auto"/>
              <w:rPr>
                <w:rFonts w:ascii="Arial"/>
                <w:sz w:val="21"/>
              </w:rPr>
            </w:pPr>
            <w:r/>
          </w:p>
          <w:p>
            <w:pPr>
              <w:spacing w:line="325" w:lineRule="auto"/>
              <w:rPr>
                <w:rFonts w:ascii="Arial"/>
                <w:sz w:val="21"/>
              </w:rPr>
            </w:pPr>
            <w:r/>
          </w:p>
          <w:p>
            <w:pPr>
              <w:pStyle w:val="TableText"/>
              <w:ind w:left="978"/>
              <w:spacing w:before="82" w:line="221" w:lineRule="auto"/>
              <w:rPr>
                <w:sz w:val="25"/>
                <w:szCs w:val="25"/>
              </w:rPr>
            </w:pPr>
            <w:bookmarkStart w:name="bookmark1120" w:id="495"/>
            <w:bookmarkEnd w:id="495"/>
            <w:r>
              <w:rPr>
                <w:sz w:val="25"/>
                <w:szCs w:val="25"/>
                <w:b/>
                <w:bCs/>
                <w:spacing w:val="-6"/>
              </w:rPr>
              <w:t>较重</w:t>
            </w:r>
          </w:p>
        </w:tc>
        <w:tc>
          <w:tcPr>
            <w:tcW w:w="7845" w:type="dxa"/>
            <w:vAlign w:val="top"/>
          </w:tcPr>
          <w:p>
            <w:pPr>
              <w:pStyle w:val="TableText"/>
              <w:ind w:left="92"/>
              <w:spacing w:before="53" w:line="219" w:lineRule="auto"/>
              <w:rPr>
                <w:sz w:val="25"/>
                <w:szCs w:val="25"/>
              </w:rPr>
            </w:pPr>
            <w:r>
              <w:rPr>
                <w:sz w:val="25"/>
                <w:szCs w:val="25"/>
              </w:rPr>
              <w:t>有下列情形之一的，经责令限期改正，逾期不改正的：</w:t>
            </w:r>
          </w:p>
          <w:p>
            <w:pPr>
              <w:pStyle w:val="TableText"/>
              <w:ind w:left="92"/>
              <w:spacing w:before="45" w:line="250" w:lineRule="auto"/>
              <w:rPr>
                <w:sz w:val="25"/>
                <w:szCs w:val="25"/>
              </w:rPr>
            </w:pPr>
            <w:r>
              <w:rPr>
                <w:sz w:val="25"/>
                <w:szCs w:val="25"/>
              </w:rPr>
              <w:t>A.职业病危害一般类别的建设项目未按规定进行职</w:t>
            </w:r>
            <w:r>
              <w:rPr>
                <w:sz w:val="25"/>
                <w:szCs w:val="25"/>
                <w:spacing w:val="-1"/>
              </w:rPr>
              <w:t>业病危害控制效果评</w:t>
            </w:r>
            <w:r>
              <w:rPr>
                <w:sz w:val="25"/>
                <w:szCs w:val="25"/>
              </w:rPr>
              <w:t xml:space="preserve"> </w:t>
            </w:r>
            <w:r>
              <w:rPr>
                <w:sz w:val="25"/>
                <w:szCs w:val="25"/>
                <w:spacing w:val="9"/>
              </w:rPr>
              <w:t>价的</w:t>
            </w:r>
          </w:p>
          <w:p>
            <w:pPr>
              <w:pStyle w:val="TableText"/>
              <w:ind w:left="91" w:right="142" w:hanging="20"/>
              <w:spacing w:line="228" w:lineRule="auto"/>
              <w:rPr>
                <w:sz w:val="25"/>
                <w:szCs w:val="25"/>
              </w:rPr>
            </w:pPr>
            <w:r>
              <w:rPr>
                <w:sz w:val="25"/>
                <w:szCs w:val="25"/>
              </w:rPr>
              <w:t>B.GBZ181《职业病危害放射防护评价报告编制规范》中所列</w:t>
            </w:r>
            <w:r>
              <w:rPr>
                <w:sz w:val="25"/>
                <w:szCs w:val="25"/>
                <w:spacing w:val="-1"/>
              </w:rPr>
              <w:t>C类建设项</w:t>
            </w:r>
            <w:r>
              <w:rPr>
                <w:sz w:val="25"/>
                <w:szCs w:val="25"/>
              </w:rPr>
              <w:t xml:space="preserve"> </w:t>
            </w:r>
            <w:r>
              <w:rPr>
                <w:sz w:val="25"/>
                <w:szCs w:val="25"/>
                <w:spacing w:val="1"/>
              </w:rPr>
              <w:t>目未按规定进行职业病危害控制效果评价的</w:t>
            </w:r>
          </w:p>
        </w:tc>
        <w:tc>
          <w:tcPr>
            <w:tcW w:w="3862" w:type="dxa"/>
            <w:vAlign w:val="top"/>
          </w:tcPr>
          <w:p>
            <w:pPr>
              <w:spacing w:line="325" w:lineRule="auto"/>
              <w:rPr>
                <w:rFonts w:ascii="Arial"/>
                <w:sz w:val="21"/>
              </w:rPr>
            </w:pPr>
            <w:r/>
          </w:p>
          <w:p>
            <w:pPr>
              <w:spacing w:line="325" w:lineRule="auto"/>
              <w:rPr>
                <w:rFonts w:ascii="Arial"/>
                <w:sz w:val="21"/>
              </w:rPr>
            </w:pPr>
            <w:r/>
          </w:p>
          <w:p>
            <w:pPr>
              <w:pStyle w:val="TableText"/>
              <w:ind w:left="46"/>
              <w:spacing w:before="82" w:line="220" w:lineRule="auto"/>
              <w:rPr>
                <w:sz w:val="25"/>
                <w:szCs w:val="25"/>
              </w:rPr>
            </w:pPr>
            <w:r>
              <w:rPr>
                <w:sz w:val="25"/>
                <w:szCs w:val="25"/>
              </w:rPr>
              <w:t>处十万元以上二十万元以下的罚款</w:t>
            </w:r>
          </w:p>
        </w:tc>
      </w:tr>
      <w:tr>
        <w:trPr>
          <w:trHeight w:val="2355" w:hRule="atLeast"/>
        </w:trPr>
        <w:tc>
          <w:tcPr>
            <w:tcW w:w="2463" w:type="dxa"/>
            <w:vAlign w:val="top"/>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978"/>
              <w:spacing w:before="81" w:line="220" w:lineRule="auto"/>
              <w:rPr>
                <w:sz w:val="25"/>
                <w:szCs w:val="25"/>
              </w:rPr>
            </w:pPr>
            <w:r>
              <w:rPr>
                <w:sz w:val="25"/>
                <w:szCs w:val="25"/>
                <w:b/>
                <w:bCs/>
                <w:spacing w:val="-6"/>
              </w:rPr>
              <w:t>严重</w:t>
            </w:r>
          </w:p>
        </w:tc>
        <w:tc>
          <w:tcPr>
            <w:tcW w:w="7845" w:type="dxa"/>
            <w:vAlign w:val="top"/>
          </w:tcPr>
          <w:p>
            <w:pPr>
              <w:pStyle w:val="TableText"/>
              <w:ind w:left="92"/>
              <w:spacing w:before="62" w:line="219" w:lineRule="auto"/>
              <w:rPr>
                <w:sz w:val="25"/>
                <w:szCs w:val="25"/>
              </w:rPr>
            </w:pPr>
            <w:r>
              <w:rPr>
                <w:sz w:val="25"/>
                <w:szCs w:val="25"/>
              </w:rPr>
              <w:t>有下列情形之一的，经责令限期改正，逾期不改正的：</w:t>
            </w:r>
          </w:p>
          <w:p>
            <w:pPr>
              <w:pStyle w:val="TableText"/>
              <w:ind w:left="92"/>
              <w:spacing w:before="45" w:line="250" w:lineRule="auto"/>
              <w:rPr>
                <w:sz w:val="25"/>
                <w:szCs w:val="25"/>
              </w:rPr>
            </w:pPr>
            <w:r>
              <w:rPr>
                <w:sz w:val="25"/>
                <w:szCs w:val="25"/>
              </w:rPr>
              <w:t>A.职业病危害严重类别的建设项目未按规定进行职</w:t>
            </w:r>
            <w:r>
              <w:rPr>
                <w:sz w:val="25"/>
                <w:szCs w:val="25"/>
                <w:spacing w:val="-1"/>
              </w:rPr>
              <w:t>业病危害控制效果评</w:t>
            </w:r>
            <w:r>
              <w:rPr>
                <w:sz w:val="25"/>
                <w:szCs w:val="25"/>
              </w:rPr>
              <w:t xml:space="preserve"> </w:t>
            </w:r>
            <w:r>
              <w:rPr>
                <w:sz w:val="25"/>
                <w:szCs w:val="25"/>
                <w:spacing w:val="9"/>
              </w:rPr>
              <w:t>价的</w:t>
            </w:r>
          </w:p>
          <w:p>
            <w:pPr>
              <w:pStyle w:val="TableText"/>
              <w:ind w:left="91" w:right="257" w:hanging="10"/>
              <w:spacing w:before="2" w:line="251" w:lineRule="auto"/>
              <w:rPr>
                <w:sz w:val="25"/>
                <w:szCs w:val="25"/>
              </w:rPr>
            </w:pPr>
            <w:r>
              <w:rPr>
                <w:sz w:val="25"/>
                <w:szCs w:val="25"/>
              </w:rPr>
              <w:t>B.GBZ181《职业病危害放射防护评价报告编制规范》中所</w:t>
            </w:r>
            <w:r>
              <w:rPr>
                <w:sz w:val="25"/>
                <w:szCs w:val="25"/>
                <w:spacing w:val="-1"/>
              </w:rPr>
              <w:t>列A类或B类</w:t>
            </w:r>
            <w:r>
              <w:rPr>
                <w:sz w:val="25"/>
                <w:szCs w:val="25"/>
              </w:rPr>
              <w:t xml:space="preserve"> </w:t>
            </w:r>
            <w:r>
              <w:rPr>
                <w:sz w:val="25"/>
                <w:szCs w:val="25"/>
              </w:rPr>
              <w:t>建设项目未按规定进行职业病危害控制效果评价的</w:t>
            </w:r>
          </w:p>
          <w:p>
            <w:pPr>
              <w:pStyle w:val="TableText"/>
              <w:ind w:left="92"/>
              <w:spacing w:before="1" w:line="214" w:lineRule="auto"/>
              <w:rPr>
                <w:sz w:val="25"/>
                <w:szCs w:val="25"/>
              </w:rPr>
            </w:pPr>
            <w:r>
              <w:rPr>
                <w:sz w:val="25"/>
                <w:szCs w:val="25"/>
                <w:spacing w:val="-8"/>
              </w:rPr>
              <w:t>C.曾因违反建设项目职业卫生“三同时”规定，受到“罚款”类行政处罚</w:t>
            </w:r>
            <w:r>
              <w:rPr>
                <w:sz w:val="25"/>
                <w:szCs w:val="25"/>
                <w:spacing w:val="5"/>
              </w:rPr>
              <w:t xml:space="preserve"> </w:t>
            </w:r>
            <w:r>
              <w:rPr>
                <w:sz w:val="25"/>
                <w:szCs w:val="25"/>
              </w:rPr>
              <w:t>的</w:t>
            </w:r>
          </w:p>
        </w:tc>
        <w:tc>
          <w:tcPr>
            <w:tcW w:w="3862" w:type="dxa"/>
            <w:vAlign w:val="top"/>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46"/>
              <w:spacing w:before="82" w:line="220" w:lineRule="auto"/>
              <w:rPr>
                <w:sz w:val="25"/>
                <w:szCs w:val="25"/>
              </w:rPr>
            </w:pPr>
            <w:r>
              <w:rPr>
                <w:sz w:val="25"/>
                <w:szCs w:val="25"/>
                <w:spacing w:val="2"/>
              </w:rPr>
              <w:t>处二十万元以上五十万元以下的罚</w:t>
            </w:r>
          </w:p>
          <w:p>
            <w:pPr>
              <w:pStyle w:val="TableText"/>
              <w:ind w:left="106"/>
              <w:spacing w:before="42" w:line="221" w:lineRule="auto"/>
              <w:rPr>
                <w:sz w:val="25"/>
                <w:szCs w:val="25"/>
              </w:rPr>
            </w:pPr>
            <w:r>
              <w:rPr>
                <w:sz w:val="25"/>
                <w:szCs w:val="25"/>
                <w:color w:val="303040"/>
              </w:rPr>
              <w:t>款</w:t>
            </w:r>
          </w:p>
        </w:tc>
      </w:tr>
      <w:tr>
        <w:trPr>
          <w:trHeight w:val="1043" w:hRule="atLeast"/>
        </w:trPr>
        <w:tc>
          <w:tcPr>
            <w:tcW w:w="2463" w:type="dxa"/>
            <w:vAlign w:val="top"/>
          </w:tcPr>
          <w:p>
            <w:pPr>
              <w:spacing w:line="322" w:lineRule="auto"/>
              <w:rPr>
                <w:rFonts w:ascii="Arial"/>
                <w:sz w:val="21"/>
              </w:rPr>
            </w:pPr>
            <w:r/>
          </w:p>
          <w:p>
            <w:pPr>
              <w:pStyle w:val="TableText"/>
              <w:ind w:left="728"/>
              <w:spacing w:before="81" w:line="219" w:lineRule="auto"/>
              <w:rPr>
                <w:sz w:val="25"/>
                <w:szCs w:val="25"/>
              </w:rPr>
            </w:pPr>
            <w:r>
              <w:rPr>
                <w:sz w:val="25"/>
                <w:szCs w:val="25"/>
                <w:b/>
                <w:bCs/>
                <w:spacing w:val="-5"/>
              </w:rPr>
              <w:t>特别严重</w:t>
            </w:r>
          </w:p>
        </w:tc>
        <w:tc>
          <w:tcPr>
            <w:tcW w:w="7845" w:type="dxa"/>
            <w:vAlign w:val="top"/>
          </w:tcPr>
          <w:p>
            <w:pPr>
              <w:pStyle w:val="TableText"/>
              <w:ind w:left="92"/>
              <w:spacing w:before="256" w:line="276" w:lineRule="auto"/>
              <w:rPr>
                <w:sz w:val="25"/>
                <w:szCs w:val="25"/>
              </w:rPr>
            </w:pPr>
            <w:r>
              <w:rPr>
                <w:sz w:val="25"/>
                <w:szCs w:val="25"/>
                <w:spacing w:val="-8"/>
              </w:rPr>
              <w:t>职业病危害严重类别的建设项目未按规定进行职业病危害控制效果</w:t>
            </w:r>
            <w:r>
              <w:rPr>
                <w:sz w:val="25"/>
                <w:szCs w:val="25"/>
                <w:spacing w:val="-9"/>
              </w:rPr>
              <w:t>评价，</w:t>
            </w:r>
            <w:r>
              <w:rPr>
                <w:sz w:val="25"/>
                <w:szCs w:val="25"/>
              </w:rPr>
              <w:t xml:space="preserve"> </w:t>
            </w:r>
            <w:r>
              <w:rPr>
                <w:sz w:val="25"/>
                <w:szCs w:val="25"/>
                <w:spacing w:val="-3"/>
              </w:rPr>
              <w:t>经责令限期改正，逾期不改正，并造成严重后果的</w:t>
            </w:r>
          </w:p>
        </w:tc>
        <w:tc>
          <w:tcPr>
            <w:tcW w:w="3862" w:type="dxa"/>
            <w:vAlign w:val="top"/>
          </w:tcPr>
          <w:p>
            <w:pPr>
              <w:pStyle w:val="TableText"/>
              <w:ind w:left="46" w:firstLine="59"/>
              <w:spacing w:before="78" w:line="235" w:lineRule="auto"/>
              <w:jc w:val="both"/>
              <w:rPr>
                <w:sz w:val="25"/>
                <w:szCs w:val="25"/>
              </w:rPr>
            </w:pPr>
            <w:r>
              <w:rPr>
                <w:sz w:val="25"/>
                <w:szCs w:val="25"/>
                <w:spacing w:val="-1"/>
              </w:rPr>
              <w:t>责令停止产生职业病危害的作业，</w:t>
            </w:r>
            <w:r>
              <w:rPr>
                <w:sz w:val="25"/>
                <w:szCs w:val="25"/>
                <w:spacing w:val="9"/>
              </w:rPr>
              <w:t xml:space="preserve"> </w:t>
            </w:r>
            <w:r>
              <w:rPr>
                <w:sz w:val="25"/>
                <w:szCs w:val="25"/>
              </w:rPr>
              <w:t>或者提请有关人民政府按照国务院</w:t>
            </w:r>
            <w:r>
              <w:rPr>
                <w:sz w:val="25"/>
                <w:szCs w:val="25"/>
                <w:spacing w:val="3"/>
              </w:rPr>
              <w:t xml:space="preserve"> </w:t>
            </w:r>
            <w:r>
              <w:rPr>
                <w:sz w:val="25"/>
                <w:szCs w:val="25"/>
                <w:spacing w:val="6"/>
              </w:rPr>
              <w:t>规定的权限责令停建、关闭</w:t>
            </w:r>
          </w:p>
        </w:tc>
      </w:tr>
    </w:tbl>
    <w:p>
      <w:pPr>
        <w:pStyle w:val="BodyText"/>
        <w:spacing w:line="450" w:lineRule="auto"/>
        <w:rPr/>
      </w:pPr>
      <w:r/>
    </w:p>
    <w:p>
      <w:pPr>
        <w:ind w:left="769"/>
        <w:spacing w:before="94" w:line="220" w:lineRule="auto"/>
        <w:rPr>
          <w:rFonts w:ascii="FangSong" w:hAnsi="FangSong" w:eastAsia="FangSong" w:cs="FangSong"/>
          <w:sz w:val="29"/>
          <w:szCs w:val="29"/>
        </w:rPr>
      </w:pPr>
      <w:r>
        <w:rPr>
          <w:rFonts w:ascii="FangSong" w:hAnsi="FangSong" w:eastAsia="FangSong" w:cs="FangSong"/>
          <w:sz w:val="29"/>
          <w:szCs w:val="29"/>
          <w:b/>
          <w:bCs/>
          <w:spacing w:val="31"/>
        </w:rPr>
        <w:t>第四百五十条建设项目竣工投入生产和使用前，职业病防护设施未按照规定验收合格的</w:t>
      </w:r>
    </w:p>
    <w:p>
      <w:pPr>
        <w:ind w:left="764"/>
        <w:spacing w:before="82" w:line="222" w:lineRule="auto"/>
        <w:rPr>
          <w:rFonts w:ascii="FangSong" w:hAnsi="FangSong" w:eastAsia="FangSong" w:cs="FangSong"/>
          <w:sz w:val="29"/>
          <w:szCs w:val="29"/>
        </w:rPr>
      </w:pPr>
      <w:r>
        <w:rPr>
          <w:rFonts w:ascii="FangSong" w:hAnsi="FangSong" w:eastAsia="FangSong" w:cs="FangSong"/>
          <w:sz w:val="29"/>
          <w:szCs w:val="29"/>
          <w:spacing w:val="11"/>
        </w:rPr>
        <w:t>法律依据：</w:t>
      </w:r>
    </w:p>
    <w:p>
      <w:pPr>
        <w:ind w:left="145" w:right="124" w:firstLine="619"/>
        <w:spacing w:before="86" w:line="281" w:lineRule="auto"/>
        <w:jc w:val="both"/>
        <w:rPr>
          <w:rFonts w:ascii="FangSong" w:hAnsi="FangSong" w:eastAsia="FangSong" w:cs="FangSong"/>
          <w:sz w:val="29"/>
          <w:szCs w:val="29"/>
        </w:rPr>
      </w:pPr>
      <w:r>
        <w:rPr>
          <w:rFonts w:ascii="FangSong" w:hAnsi="FangSong" w:eastAsia="FangSong" w:cs="FangSong"/>
          <w:sz w:val="29"/>
          <w:szCs w:val="29"/>
          <w:spacing w:val="28"/>
        </w:rPr>
        <w:t>1.</w:t>
      </w:r>
      <w:r>
        <w:rPr>
          <w:rFonts w:ascii="FangSong" w:hAnsi="FangSong" w:eastAsia="FangSong" w:cs="FangSong"/>
          <w:sz w:val="29"/>
          <w:szCs w:val="29"/>
          <w:spacing w:val="28"/>
        </w:rPr>
        <w:t xml:space="preserve"> </w:t>
      </w:r>
      <w:r>
        <w:rPr>
          <w:rFonts w:ascii="FangSong" w:hAnsi="FangSong" w:eastAsia="FangSong" w:cs="FangSong"/>
          <w:sz w:val="29"/>
          <w:szCs w:val="29"/>
          <w:spacing w:val="28"/>
        </w:rPr>
        <w:t>《中华人民共和国职业病防治法》第六十九条第(六)项</w:t>
      </w:r>
      <w:r>
        <w:rPr>
          <w:rFonts w:ascii="FangSong" w:hAnsi="FangSong" w:eastAsia="FangSong" w:cs="FangSong"/>
          <w:sz w:val="29"/>
          <w:szCs w:val="29"/>
          <w:spacing w:val="28"/>
        </w:rPr>
        <w:t xml:space="preserve">  </w:t>
      </w:r>
      <w:r>
        <w:rPr>
          <w:rFonts w:ascii="FangSong" w:hAnsi="FangSong" w:eastAsia="FangSong" w:cs="FangSong"/>
          <w:sz w:val="29"/>
          <w:szCs w:val="29"/>
          <w:spacing w:val="28"/>
        </w:rPr>
        <w:t>建设单位违反本法规</w:t>
      </w:r>
      <w:r>
        <w:rPr>
          <w:rFonts w:ascii="FangSong" w:hAnsi="FangSong" w:eastAsia="FangSong" w:cs="FangSong"/>
          <w:sz w:val="29"/>
          <w:szCs w:val="29"/>
          <w:spacing w:val="27"/>
        </w:rPr>
        <w:t>定，有下列行</w:t>
      </w:r>
      <w:r>
        <w:rPr>
          <w:rFonts w:ascii="FangSong" w:hAnsi="FangSong" w:eastAsia="FangSong" w:cs="FangSong"/>
          <w:sz w:val="29"/>
          <w:szCs w:val="29"/>
        </w:rPr>
        <w:t xml:space="preserve"> </w:t>
      </w:r>
      <w:r>
        <w:rPr>
          <w:rFonts w:ascii="FangSong" w:hAnsi="FangSong" w:eastAsia="FangSong" w:cs="FangSong"/>
          <w:sz w:val="29"/>
          <w:szCs w:val="29"/>
          <w:spacing w:val="26"/>
        </w:rPr>
        <w:t>为之一的，由卫生行政部门给予警告，责令限期改正；逾期不改正的，处十万元以上</w:t>
      </w:r>
      <w:r>
        <w:rPr>
          <w:rFonts w:ascii="FangSong" w:hAnsi="FangSong" w:eastAsia="FangSong" w:cs="FangSong"/>
          <w:sz w:val="29"/>
          <w:szCs w:val="29"/>
          <w:spacing w:val="25"/>
        </w:rPr>
        <w:t>五十万元以下的</w:t>
      </w:r>
      <w:r>
        <w:rPr>
          <w:rFonts w:ascii="FangSong" w:hAnsi="FangSong" w:eastAsia="FangSong" w:cs="FangSong"/>
          <w:sz w:val="29"/>
          <w:szCs w:val="29"/>
        </w:rPr>
        <w:t xml:space="preserve"> </w:t>
      </w:r>
      <w:r>
        <w:rPr>
          <w:rFonts w:ascii="FangSong" w:hAnsi="FangSong" w:eastAsia="FangSong" w:cs="FangSong"/>
          <w:sz w:val="29"/>
          <w:szCs w:val="29"/>
          <w:spacing w:val="26"/>
        </w:rPr>
        <w:t>罚款；情节严重的，责令停止产生职业病危害的作业，或者提请有</w:t>
      </w:r>
      <w:r>
        <w:rPr>
          <w:rFonts w:ascii="FangSong" w:hAnsi="FangSong" w:eastAsia="FangSong" w:cs="FangSong"/>
          <w:sz w:val="29"/>
          <w:szCs w:val="29"/>
          <w:spacing w:val="25"/>
        </w:rPr>
        <w:t>关人民政府按照国务院规定的权限</w:t>
      </w:r>
      <w:r>
        <w:rPr>
          <w:rFonts w:ascii="FangSong" w:hAnsi="FangSong" w:eastAsia="FangSong" w:cs="FangSong"/>
          <w:sz w:val="29"/>
          <w:szCs w:val="29"/>
        </w:rPr>
        <w:t xml:space="preserve"> </w:t>
      </w:r>
      <w:r>
        <w:rPr>
          <w:rFonts w:ascii="FangSong" w:hAnsi="FangSong" w:eastAsia="FangSong" w:cs="FangSong"/>
          <w:sz w:val="29"/>
          <w:szCs w:val="29"/>
          <w:spacing w:val="15"/>
        </w:rPr>
        <w:t>责令停建、关闭：</w:t>
      </w:r>
    </w:p>
    <w:p>
      <w:pPr>
        <w:spacing w:line="281" w:lineRule="auto"/>
        <w:sectPr>
          <w:footerReference w:type="default" r:id="rId477"/>
          <w:pgSz w:w="16830" w:h="11900"/>
          <w:pgMar w:top="1011" w:right="1344" w:bottom="1118" w:left="1305" w:header="0" w:footer="785" w:gutter="0"/>
        </w:sectPr>
        <w:rPr>
          <w:rFonts w:ascii="FangSong" w:hAnsi="FangSong" w:eastAsia="FangSong" w:cs="FangSong"/>
          <w:sz w:val="29"/>
          <w:szCs w:val="29"/>
        </w:rPr>
      </w:pPr>
    </w:p>
    <w:p>
      <w:pPr>
        <w:pStyle w:val="BodyText"/>
        <w:spacing w:line="268" w:lineRule="auto"/>
        <w:rPr/>
      </w:pPr>
      <w:r/>
    </w:p>
    <w:p>
      <w:pPr>
        <w:pStyle w:val="BodyText"/>
        <w:spacing w:line="268" w:lineRule="auto"/>
        <w:rPr/>
      </w:pPr>
      <w:r/>
    </w:p>
    <w:p>
      <w:pPr>
        <w:pStyle w:val="BodyText"/>
        <w:spacing w:line="268" w:lineRule="auto"/>
        <w:rPr/>
      </w:pPr>
      <w:r/>
    </w:p>
    <w:p>
      <w:pPr>
        <w:ind w:left="894"/>
        <w:spacing w:before="97" w:line="222" w:lineRule="auto"/>
        <w:rPr>
          <w:rFonts w:ascii="FangSong" w:hAnsi="FangSong" w:eastAsia="FangSong" w:cs="FangSong"/>
          <w:sz w:val="30"/>
          <w:szCs w:val="30"/>
        </w:rPr>
      </w:pPr>
      <w:r>
        <w:rPr>
          <w:rFonts w:ascii="FangSong" w:hAnsi="FangSong" w:eastAsia="FangSong" w:cs="FangSong"/>
          <w:sz w:val="30"/>
          <w:szCs w:val="30"/>
          <w:spacing w:val="23"/>
        </w:rPr>
        <w:t>(六)建设项目竣工投入生产和使用前，职业病防护设施未按照规定验收合格的。</w:t>
      </w:r>
    </w:p>
    <w:p>
      <w:pPr>
        <w:ind w:left="135" w:firstLine="639"/>
        <w:spacing w:before="68" w:line="271" w:lineRule="auto"/>
        <w:jc w:val="both"/>
        <w:rPr>
          <w:rFonts w:ascii="FangSong" w:hAnsi="FangSong" w:eastAsia="FangSong" w:cs="FangSong"/>
          <w:sz w:val="30"/>
          <w:szCs w:val="30"/>
        </w:rPr>
      </w:pPr>
      <w:r>
        <w:rPr>
          <w:rFonts w:ascii="FangSong" w:hAnsi="FangSong" w:eastAsia="FangSong" w:cs="FangSong"/>
          <w:sz w:val="30"/>
          <w:szCs w:val="30"/>
          <w:spacing w:val="19"/>
        </w:rPr>
        <w:t>2.</w:t>
      </w:r>
      <w:r>
        <w:rPr>
          <w:rFonts w:ascii="FangSong" w:hAnsi="FangSong" w:eastAsia="FangSong" w:cs="FangSong"/>
          <w:sz w:val="30"/>
          <w:szCs w:val="30"/>
          <w:spacing w:val="19"/>
        </w:rPr>
        <w:t xml:space="preserve"> </w:t>
      </w:r>
      <w:r>
        <w:rPr>
          <w:rFonts w:ascii="FangSong" w:hAnsi="FangSong" w:eastAsia="FangSong" w:cs="FangSong"/>
          <w:sz w:val="30"/>
          <w:szCs w:val="30"/>
          <w:spacing w:val="19"/>
        </w:rPr>
        <w:t>《建设项目职业病防护设施“三同时”监督管理办法》第三十九条第(五)项</w:t>
      </w:r>
      <w:r>
        <w:rPr>
          <w:rFonts w:ascii="FangSong" w:hAnsi="FangSong" w:eastAsia="FangSong" w:cs="FangSong"/>
          <w:sz w:val="30"/>
          <w:szCs w:val="30"/>
          <w:spacing w:val="19"/>
        </w:rPr>
        <w:t xml:space="preserve">  </w:t>
      </w:r>
      <w:r>
        <w:rPr>
          <w:rFonts w:ascii="FangSong" w:hAnsi="FangSong" w:eastAsia="FangSong" w:cs="FangSong"/>
          <w:sz w:val="30"/>
          <w:szCs w:val="30"/>
          <w:spacing w:val="19"/>
        </w:rPr>
        <w:t>建设单</w:t>
      </w:r>
      <w:r>
        <w:rPr>
          <w:rFonts w:ascii="FangSong" w:hAnsi="FangSong" w:eastAsia="FangSong" w:cs="FangSong"/>
          <w:sz w:val="30"/>
          <w:szCs w:val="30"/>
          <w:spacing w:val="18"/>
        </w:rPr>
        <w:t>位有下</w:t>
      </w:r>
      <w:r>
        <w:rPr>
          <w:rFonts w:ascii="FangSong" w:hAnsi="FangSong" w:eastAsia="FangSong" w:cs="FangSong"/>
          <w:sz w:val="30"/>
          <w:szCs w:val="30"/>
        </w:rPr>
        <w:t xml:space="preserve"> </w:t>
      </w:r>
      <w:r>
        <w:rPr>
          <w:rFonts w:ascii="FangSong" w:hAnsi="FangSong" w:eastAsia="FangSong" w:cs="FangSong"/>
          <w:sz w:val="30"/>
          <w:szCs w:val="30"/>
          <w:spacing w:val="16"/>
        </w:rPr>
        <w:t>列行为之一的，由安全生产监督管理部门给予警告，责令限期改正；逾期不改正的，处10万元以上50</w:t>
      </w:r>
      <w:r>
        <w:rPr>
          <w:rFonts w:ascii="FangSong" w:hAnsi="FangSong" w:eastAsia="FangSong" w:cs="FangSong"/>
          <w:sz w:val="30"/>
          <w:szCs w:val="30"/>
        </w:rPr>
        <w:t xml:space="preserve"> </w:t>
      </w:r>
      <w:r>
        <w:rPr>
          <w:rFonts w:ascii="FangSong" w:hAnsi="FangSong" w:eastAsia="FangSong" w:cs="FangSong"/>
          <w:sz w:val="30"/>
          <w:szCs w:val="30"/>
          <w:spacing w:val="17"/>
        </w:rPr>
        <w:t>万元以下的罚款；情节严重的，责令停止产生职业病危害的作业，或者提请有关人民政府</w:t>
      </w:r>
      <w:r>
        <w:rPr>
          <w:rFonts w:ascii="FangSong" w:hAnsi="FangSong" w:eastAsia="FangSong" w:cs="FangSong"/>
          <w:sz w:val="30"/>
          <w:szCs w:val="30"/>
          <w:spacing w:val="16"/>
        </w:rPr>
        <w:t>按照国务院</w:t>
      </w:r>
      <w:r>
        <w:rPr>
          <w:rFonts w:ascii="FangSong" w:hAnsi="FangSong" w:eastAsia="FangSong" w:cs="FangSong"/>
          <w:sz w:val="30"/>
          <w:szCs w:val="30"/>
        </w:rPr>
        <w:t xml:space="preserve"> </w:t>
      </w:r>
      <w:r>
        <w:rPr>
          <w:rFonts w:ascii="FangSong" w:hAnsi="FangSong" w:eastAsia="FangSong" w:cs="FangSong"/>
          <w:sz w:val="30"/>
          <w:szCs w:val="30"/>
          <w:spacing w:val="13"/>
        </w:rPr>
        <w:t>规定的权限责令停建、关闭：</w:t>
      </w:r>
    </w:p>
    <w:p>
      <w:pPr>
        <w:ind w:left="905"/>
        <w:spacing w:line="221" w:lineRule="auto"/>
        <w:rPr>
          <w:rFonts w:ascii="FangSong" w:hAnsi="FangSong" w:eastAsia="FangSong" w:cs="FangSong"/>
          <w:sz w:val="30"/>
          <w:szCs w:val="30"/>
        </w:rPr>
      </w:pPr>
      <w:r>
        <w:rPr>
          <w:rFonts w:ascii="FangSong" w:hAnsi="FangSong" w:eastAsia="FangSong" w:cs="FangSong"/>
          <w:sz w:val="30"/>
          <w:szCs w:val="30"/>
          <w:spacing w:val="23"/>
        </w:rPr>
        <w:t>(五)建设项目竣工投入生产和使用前，职业病防护设施未按照本办法</w:t>
      </w:r>
      <w:r>
        <w:rPr>
          <w:rFonts w:ascii="FangSong" w:hAnsi="FangSong" w:eastAsia="FangSong" w:cs="FangSong"/>
          <w:sz w:val="30"/>
          <w:szCs w:val="30"/>
          <w:spacing w:val="22"/>
        </w:rPr>
        <w:t>规定验收合格的。</w:t>
      </w:r>
    </w:p>
    <w:p>
      <w:pPr>
        <w:ind w:left="6529"/>
        <w:spacing w:before="256"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15" w:lineRule="auto"/>
        <w:rPr>
          <w:rFonts w:ascii="Arial"/>
          <w:sz w:val="2"/>
        </w:rPr>
      </w:pPr>
      <w:r>
        <w:rPr>
          <w:rFonts w:ascii="Arial"/>
          <w:sz w:val="2"/>
        </w:rPr>
      </w:r>
    </w:p>
    <w:tbl>
      <w:tblPr>
        <w:tblStyle w:val="TableNormal"/>
        <w:tblW w:w="138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24"/>
        <w:gridCol w:w="7944"/>
        <w:gridCol w:w="4401"/>
      </w:tblGrid>
      <w:tr>
        <w:trPr>
          <w:trHeight w:val="693" w:hRule="atLeast"/>
        </w:trPr>
        <w:tc>
          <w:tcPr>
            <w:tcW w:w="1524" w:type="dxa"/>
            <w:vAlign w:val="top"/>
          </w:tcPr>
          <w:p>
            <w:pPr>
              <w:pStyle w:val="TableText"/>
              <w:ind w:left="258"/>
              <w:spacing w:before="222" w:line="220" w:lineRule="auto"/>
              <w:rPr>
                <w:sz w:val="25"/>
                <w:szCs w:val="25"/>
              </w:rPr>
            </w:pPr>
            <w:r>
              <w:rPr>
                <w:sz w:val="25"/>
                <w:szCs w:val="25"/>
                <w:b/>
                <w:bCs/>
                <w:spacing w:val="-5"/>
              </w:rPr>
              <w:t>违法程度</w:t>
            </w:r>
          </w:p>
        </w:tc>
        <w:tc>
          <w:tcPr>
            <w:tcW w:w="7944" w:type="dxa"/>
            <w:vAlign w:val="top"/>
          </w:tcPr>
          <w:p>
            <w:pPr>
              <w:pStyle w:val="TableText"/>
              <w:ind w:left="3464"/>
              <w:spacing w:before="222" w:line="220" w:lineRule="auto"/>
              <w:rPr>
                <w:sz w:val="25"/>
                <w:szCs w:val="25"/>
              </w:rPr>
            </w:pPr>
            <w:r>
              <w:rPr>
                <w:sz w:val="25"/>
                <w:szCs w:val="25"/>
                <w:b/>
                <w:bCs/>
                <w:spacing w:val="-5"/>
              </w:rPr>
              <w:t>情节后果</w:t>
            </w:r>
          </w:p>
        </w:tc>
        <w:tc>
          <w:tcPr>
            <w:tcW w:w="4401" w:type="dxa"/>
            <w:vAlign w:val="top"/>
          </w:tcPr>
          <w:p>
            <w:pPr>
              <w:pStyle w:val="TableText"/>
              <w:ind w:left="1630"/>
              <w:spacing w:before="219" w:line="218" w:lineRule="auto"/>
              <w:rPr>
                <w:sz w:val="25"/>
                <w:szCs w:val="25"/>
              </w:rPr>
            </w:pPr>
            <w:r>
              <w:rPr>
                <w:sz w:val="25"/>
                <w:szCs w:val="25"/>
                <w:b/>
                <w:bCs/>
                <w:spacing w:val="-5"/>
              </w:rPr>
              <w:t>裁量幅度</w:t>
            </w:r>
          </w:p>
        </w:tc>
      </w:tr>
      <w:tr>
        <w:trPr>
          <w:trHeight w:val="659" w:hRule="atLeast"/>
        </w:trPr>
        <w:tc>
          <w:tcPr>
            <w:tcW w:w="1524" w:type="dxa"/>
            <w:vAlign w:val="top"/>
          </w:tcPr>
          <w:p>
            <w:pPr>
              <w:pStyle w:val="TableText"/>
              <w:ind w:left="508"/>
              <w:spacing w:before="210" w:line="221" w:lineRule="auto"/>
              <w:rPr>
                <w:sz w:val="25"/>
                <w:szCs w:val="25"/>
              </w:rPr>
            </w:pPr>
            <w:r>
              <w:rPr>
                <w:sz w:val="25"/>
                <w:szCs w:val="25"/>
                <w:b/>
                <w:bCs/>
                <w:spacing w:val="-10"/>
              </w:rPr>
              <w:t>一般</w:t>
            </w:r>
          </w:p>
        </w:tc>
        <w:tc>
          <w:tcPr>
            <w:tcW w:w="7944" w:type="dxa"/>
            <w:vAlign w:val="top"/>
          </w:tcPr>
          <w:p>
            <w:pPr>
              <w:pStyle w:val="TableText"/>
              <w:spacing w:before="212" w:line="219" w:lineRule="auto"/>
              <w:jc w:val="right"/>
              <w:rPr>
                <w:sz w:val="25"/>
                <w:szCs w:val="25"/>
              </w:rPr>
            </w:pPr>
            <w:r>
              <w:rPr>
                <w:sz w:val="25"/>
                <w:szCs w:val="25"/>
                <w:spacing w:val="-3"/>
              </w:rPr>
              <w:t>建设项目竣工投入生产和使用前，职业病防护设施未按照规定验收合格的</w:t>
            </w:r>
          </w:p>
        </w:tc>
        <w:tc>
          <w:tcPr>
            <w:tcW w:w="4401" w:type="dxa"/>
            <w:vAlign w:val="top"/>
          </w:tcPr>
          <w:p>
            <w:pPr>
              <w:pStyle w:val="TableText"/>
              <w:ind w:left="97"/>
              <w:spacing w:before="210" w:line="218" w:lineRule="auto"/>
              <w:rPr>
                <w:sz w:val="25"/>
                <w:szCs w:val="25"/>
              </w:rPr>
            </w:pPr>
            <w:r>
              <w:rPr>
                <w:sz w:val="25"/>
                <w:szCs w:val="25"/>
                <w:spacing w:val="1"/>
              </w:rPr>
              <w:t>给予警告，责令限期改正</w:t>
            </w:r>
          </w:p>
        </w:tc>
      </w:tr>
      <w:tr>
        <w:trPr>
          <w:trHeight w:val="1696" w:hRule="atLeast"/>
        </w:trPr>
        <w:tc>
          <w:tcPr>
            <w:tcW w:w="1524" w:type="dxa"/>
            <w:vAlign w:val="top"/>
          </w:tcPr>
          <w:p>
            <w:pPr>
              <w:spacing w:line="323" w:lineRule="auto"/>
              <w:rPr>
                <w:rFonts w:ascii="Arial"/>
                <w:sz w:val="21"/>
              </w:rPr>
            </w:pPr>
            <w:r/>
          </w:p>
          <w:p>
            <w:pPr>
              <w:spacing w:line="324" w:lineRule="auto"/>
              <w:rPr>
                <w:rFonts w:ascii="Arial"/>
                <w:sz w:val="21"/>
              </w:rPr>
            </w:pPr>
            <w:r/>
          </w:p>
          <w:p>
            <w:pPr>
              <w:pStyle w:val="TableText"/>
              <w:ind w:left="508"/>
              <w:spacing w:before="82" w:line="221" w:lineRule="auto"/>
              <w:rPr>
                <w:sz w:val="25"/>
                <w:szCs w:val="25"/>
              </w:rPr>
            </w:pPr>
            <w:r>
              <w:rPr>
                <w:sz w:val="25"/>
                <w:szCs w:val="25"/>
                <w:b/>
                <w:bCs/>
                <w:spacing w:val="-6"/>
              </w:rPr>
              <w:t>较重</w:t>
            </w:r>
          </w:p>
        </w:tc>
        <w:tc>
          <w:tcPr>
            <w:tcW w:w="7944" w:type="dxa"/>
            <w:vAlign w:val="top"/>
          </w:tcPr>
          <w:p>
            <w:pPr>
              <w:pStyle w:val="TableText"/>
              <w:ind w:left="121"/>
              <w:spacing w:before="61" w:line="219" w:lineRule="auto"/>
              <w:rPr>
                <w:sz w:val="25"/>
                <w:szCs w:val="25"/>
              </w:rPr>
            </w:pPr>
            <w:r>
              <w:rPr>
                <w:sz w:val="25"/>
                <w:szCs w:val="25"/>
                <w:spacing w:val="-1"/>
              </w:rPr>
              <w:t>有下列情形之一的，经责令限期改正，逾期不改正的：</w:t>
            </w:r>
          </w:p>
          <w:p>
            <w:pPr>
              <w:pStyle w:val="TableText"/>
              <w:ind w:left="91"/>
              <w:spacing w:before="45" w:line="219" w:lineRule="auto"/>
              <w:rPr>
                <w:sz w:val="25"/>
                <w:szCs w:val="25"/>
              </w:rPr>
            </w:pPr>
            <w:r>
              <w:rPr>
                <w:sz w:val="25"/>
                <w:szCs w:val="25"/>
              </w:rPr>
              <w:t>A.职业病危害一般类别的建设项目职业病防护设施未按照规定验</w:t>
            </w:r>
            <w:r>
              <w:rPr>
                <w:sz w:val="25"/>
                <w:szCs w:val="25"/>
                <w:spacing w:val="-1"/>
              </w:rPr>
              <w:t>收合格</w:t>
            </w:r>
          </w:p>
          <w:p>
            <w:pPr>
              <w:pStyle w:val="TableText"/>
              <w:ind w:left="111"/>
              <w:spacing w:before="46" w:line="221" w:lineRule="auto"/>
              <w:rPr>
                <w:sz w:val="25"/>
                <w:szCs w:val="25"/>
              </w:rPr>
            </w:pPr>
            <w:r>
              <w:rPr>
                <w:sz w:val="25"/>
                <w:szCs w:val="25"/>
                <w:color w:val="404040"/>
                <w:spacing w:val="-16"/>
              </w:rPr>
              <w:t>的</w:t>
            </w:r>
            <w:r>
              <w:rPr>
                <w:sz w:val="25"/>
                <w:szCs w:val="25"/>
                <w:color w:val="404040"/>
                <w:spacing w:val="89"/>
              </w:rPr>
              <w:t xml:space="preserve"> </w:t>
            </w:r>
            <w:r>
              <w:rPr>
                <w:sz w:val="25"/>
                <w:szCs w:val="25"/>
                <w:color w:val="404040"/>
                <w:spacing w:val="-16"/>
              </w:rPr>
              <w:t>；</w:t>
            </w:r>
          </w:p>
          <w:p>
            <w:pPr>
              <w:pStyle w:val="TableText"/>
              <w:ind w:left="140" w:hanging="119"/>
              <w:spacing w:before="36" w:line="223" w:lineRule="auto"/>
              <w:rPr>
                <w:sz w:val="25"/>
                <w:szCs w:val="25"/>
              </w:rPr>
            </w:pPr>
            <w:r>
              <w:rPr>
                <w:sz w:val="25"/>
                <w:szCs w:val="25"/>
                <w:spacing w:val="1"/>
              </w:rPr>
              <w:t>B.</w:t>
            </w:r>
            <w:r>
              <w:rPr>
                <w:sz w:val="25"/>
                <w:szCs w:val="25"/>
              </w:rPr>
              <w:t>GBZ</w:t>
            </w:r>
            <w:r>
              <w:rPr>
                <w:sz w:val="25"/>
                <w:szCs w:val="25"/>
                <w:spacing w:val="1"/>
              </w:rPr>
              <w:t>181《职业病危害放射防护评价报告编制规范》中所列C类建设项目</w:t>
            </w:r>
            <w:r>
              <w:rPr>
                <w:sz w:val="25"/>
                <w:szCs w:val="25"/>
                <w:spacing w:val="3"/>
              </w:rPr>
              <w:t xml:space="preserve"> </w:t>
            </w:r>
            <w:r>
              <w:rPr>
                <w:sz w:val="25"/>
                <w:szCs w:val="25"/>
              </w:rPr>
              <w:t>职业病防护设施未按照规定验收合格的</w:t>
            </w:r>
          </w:p>
        </w:tc>
        <w:tc>
          <w:tcPr>
            <w:tcW w:w="4401" w:type="dxa"/>
            <w:vAlign w:val="top"/>
          </w:tcPr>
          <w:p>
            <w:pPr>
              <w:spacing w:line="324" w:lineRule="auto"/>
              <w:rPr>
                <w:rFonts w:ascii="Arial"/>
                <w:sz w:val="21"/>
              </w:rPr>
            </w:pPr>
            <w:r/>
          </w:p>
          <w:p>
            <w:pPr>
              <w:spacing w:line="324" w:lineRule="auto"/>
              <w:rPr>
                <w:rFonts w:ascii="Arial"/>
                <w:sz w:val="21"/>
              </w:rPr>
            </w:pPr>
            <w:r/>
          </w:p>
          <w:p>
            <w:pPr>
              <w:pStyle w:val="TableText"/>
              <w:ind w:left="97"/>
              <w:spacing w:before="82" w:line="220" w:lineRule="auto"/>
              <w:rPr>
                <w:sz w:val="25"/>
                <w:szCs w:val="25"/>
              </w:rPr>
            </w:pPr>
            <w:r>
              <w:rPr>
                <w:sz w:val="25"/>
                <w:szCs w:val="25"/>
              </w:rPr>
              <w:t>处十万元以上二十万元以下的罚款</w:t>
            </w:r>
          </w:p>
        </w:tc>
      </w:tr>
      <w:tr>
        <w:trPr>
          <w:trHeight w:val="1662" w:hRule="atLeast"/>
        </w:trPr>
        <w:tc>
          <w:tcPr>
            <w:tcW w:w="1524" w:type="dxa"/>
            <w:vAlign w:val="top"/>
          </w:tcPr>
          <w:p>
            <w:pPr>
              <w:spacing w:line="314" w:lineRule="auto"/>
              <w:rPr>
                <w:rFonts w:ascii="Arial"/>
                <w:sz w:val="21"/>
              </w:rPr>
            </w:pPr>
            <w:r/>
          </w:p>
          <w:p>
            <w:pPr>
              <w:spacing w:line="315" w:lineRule="auto"/>
              <w:rPr>
                <w:rFonts w:ascii="Arial"/>
                <w:sz w:val="21"/>
              </w:rPr>
            </w:pPr>
            <w:r/>
          </w:p>
          <w:p>
            <w:pPr>
              <w:pStyle w:val="TableText"/>
              <w:ind w:left="508"/>
              <w:spacing w:before="81" w:line="220" w:lineRule="auto"/>
              <w:rPr>
                <w:sz w:val="25"/>
                <w:szCs w:val="25"/>
              </w:rPr>
            </w:pPr>
            <w:r>
              <w:rPr>
                <w:sz w:val="25"/>
                <w:szCs w:val="25"/>
                <w:b/>
                <w:bCs/>
                <w:spacing w:val="-6"/>
              </w:rPr>
              <w:t>严重</w:t>
            </w:r>
          </w:p>
        </w:tc>
        <w:tc>
          <w:tcPr>
            <w:tcW w:w="7944" w:type="dxa"/>
            <w:vAlign w:val="top"/>
          </w:tcPr>
          <w:p>
            <w:pPr>
              <w:pStyle w:val="TableText"/>
              <w:ind w:left="121"/>
              <w:spacing w:before="55" w:line="219" w:lineRule="auto"/>
              <w:rPr>
                <w:sz w:val="25"/>
                <w:szCs w:val="25"/>
              </w:rPr>
            </w:pPr>
            <w:r>
              <w:rPr>
                <w:sz w:val="25"/>
                <w:szCs w:val="25"/>
                <w:spacing w:val="-1"/>
              </w:rPr>
              <w:t>有下列情形之一的，经责令限期改正，逾期不改正的：</w:t>
            </w:r>
          </w:p>
          <w:p>
            <w:pPr>
              <w:pStyle w:val="TableText"/>
              <w:ind w:left="209" w:hanging="199"/>
              <w:spacing w:before="54" w:line="234" w:lineRule="auto"/>
              <w:rPr>
                <w:sz w:val="25"/>
                <w:szCs w:val="25"/>
              </w:rPr>
            </w:pPr>
            <w:r>
              <w:rPr>
                <w:sz w:val="25"/>
                <w:szCs w:val="25"/>
                <w:spacing w:val="-2"/>
              </w:rPr>
              <w:t>A.职业病危害严重类别的建设项目职业病防护</w:t>
            </w:r>
            <w:r>
              <w:rPr>
                <w:sz w:val="25"/>
                <w:szCs w:val="25"/>
                <w:spacing w:val="-3"/>
              </w:rPr>
              <w:t>设施未按照规定验收合格的</w:t>
            </w:r>
            <w:r>
              <w:rPr>
                <w:sz w:val="25"/>
                <w:szCs w:val="25"/>
              </w:rPr>
              <w:t xml:space="preserve"> </w:t>
            </w:r>
            <w:r>
              <w:rPr>
                <w:sz w:val="25"/>
                <w:szCs w:val="25"/>
                <w:spacing w:val="-1"/>
              </w:rPr>
              <w:t>B.GBZ181《职业病危害放射防护评价报告编制规范》中所列A类或B类</w:t>
            </w:r>
          </w:p>
          <w:p>
            <w:pPr>
              <w:pStyle w:val="TableText"/>
              <w:ind w:left="121"/>
              <w:spacing w:before="66" w:line="207" w:lineRule="auto"/>
              <w:rPr>
                <w:sz w:val="25"/>
                <w:szCs w:val="25"/>
              </w:rPr>
            </w:pPr>
            <w:r>
              <w:rPr>
                <w:sz w:val="25"/>
                <w:szCs w:val="25"/>
              </w:rPr>
              <w:t>建设项目职业病防护设施未按照规定验收合格的</w:t>
            </w:r>
          </w:p>
          <w:p>
            <w:pPr>
              <w:pStyle w:val="TableText"/>
              <w:spacing w:line="195" w:lineRule="auto"/>
              <w:jc w:val="right"/>
              <w:rPr>
                <w:sz w:val="25"/>
                <w:szCs w:val="25"/>
              </w:rPr>
            </w:pPr>
            <w:r>
              <w:rPr>
                <w:sz w:val="25"/>
                <w:szCs w:val="25"/>
                <w:spacing w:val="-2"/>
              </w:rPr>
              <w:t>C.曾因违反建设项目职业卫生“三同时”规定</w:t>
            </w:r>
            <w:r>
              <w:rPr>
                <w:sz w:val="25"/>
                <w:szCs w:val="25"/>
                <w:spacing w:val="-3"/>
              </w:rPr>
              <w:t>，受到“罚款”类行政处罚</w:t>
            </w:r>
          </w:p>
        </w:tc>
        <w:tc>
          <w:tcPr>
            <w:tcW w:w="4401" w:type="dxa"/>
            <w:vAlign w:val="top"/>
          </w:tcPr>
          <w:p>
            <w:pPr>
              <w:spacing w:line="316" w:lineRule="auto"/>
              <w:rPr>
                <w:rFonts w:ascii="Arial"/>
                <w:sz w:val="21"/>
              </w:rPr>
            </w:pPr>
            <w:r/>
          </w:p>
          <w:p>
            <w:pPr>
              <w:spacing w:line="316" w:lineRule="auto"/>
              <w:rPr>
                <w:rFonts w:ascii="Arial"/>
                <w:sz w:val="21"/>
              </w:rPr>
            </w:pPr>
            <w:r/>
          </w:p>
          <w:p>
            <w:pPr>
              <w:pStyle w:val="TableText"/>
              <w:ind w:left="97"/>
              <w:spacing w:before="82" w:line="220" w:lineRule="auto"/>
              <w:rPr>
                <w:sz w:val="25"/>
                <w:szCs w:val="25"/>
              </w:rPr>
            </w:pPr>
            <w:r>
              <w:rPr>
                <w:sz w:val="25"/>
                <w:szCs w:val="25"/>
              </w:rPr>
              <w:t>处二十万元以上五十万元以下的罚款</w:t>
            </w:r>
          </w:p>
        </w:tc>
      </w:tr>
    </w:tbl>
    <w:p>
      <w:pPr>
        <w:pStyle w:val="BodyText"/>
        <w:rPr/>
      </w:pPr>
      <w:r/>
    </w:p>
    <w:p>
      <w:pPr>
        <w:sectPr>
          <w:footerReference w:type="default" r:id="rId478"/>
          <w:pgSz w:w="16830" w:h="11900"/>
          <w:pgMar w:top="1011" w:right="1435" w:bottom="1124" w:left="1314" w:header="0" w:footer="782" w:gutter="0"/>
        </w:sectPr>
        <w:rPr/>
      </w:pPr>
    </w:p>
    <w:p>
      <w:pPr>
        <w:spacing w:before="13"/>
        <w:rPr/>
      </w:pPr>
      <w:r/>
    </w:p>
    <w:p>
      <w:pPr>
        <w:spacing w:before="13"/>
        <w:rPr/>
      </w:pPr>
      <w:r/>
    </w:p>
    <w:p>
      <w:pPr>
        <w:spacing w:before="13"/>
        <w:rPr/>
      </w:pPr>
      <w:r/>
    </w:p>
    <w:tbl>
      <w:tblPr>
        <w:tblStyle w:val="TableNormal"/>
        <w:tblW w:w="138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34"/>
        <w:gridCol w:w="7914"/>
        <w:gridCol w:w="4432"/>
      </w:tblGrid>
      <w:tr>
        <w:trPr>
          <w:trHeight w:val="442" w:hRule="atLeast"/>
        </w:trPr>
        <w:tc>
          <w:tcPr>
            <w:tcW w:w="1534" w:type="dxa"/>
            <w:vAlign w:val="top"/>
          </w:tcPr>
          <w:p>
            <w:pPr>
              <w:rPr>
                <w:rFonts w:ascii="Arial"/>
                <w:sz w:val="21"/>
              </w:rPr>
            </w:pPr>
            <w:r/>
          </w:p>
        </w:tc>
        <w:tc>
          <w:tcPr>
            <w:tcW w:w="7914" w:type="dxa"/>
            <w:vAlign w:val="top"/>
          </w:tcPr>
          <w:p>
            <w:pPr>
              <w:pStyle w:val="TableText"/>
              <w:ind w:left="111"/>
              <w:spacing w:before="109" w:line="222" w:lineRule="auto"/>
              <w:rPr>
                <w:sz w:val="25"/>
                <w:szCs w:val="25"/>
              </w:rPr>
            </w:pPr>
            <w:r>
              <w:rPr>
                <w:sz w:val="25"/>
                <w:szCs w:val="25"/>
                <w:color w:val="506080"/>
              </w:rPr>
              <w:t>的</w:t>
            </w:r>
          </w:p>
        </w:tc>
        <w:tc>
          <w:tcPr>
            <w:tcW w:w="4432" w:type="dxa"/>
            <w:vAlign w:val="top"/>
          </w:tcPr>
          <w:p>
            <w:pPr>
              <w:rPr>
                <w:rFonts w:ascii="Arial"/>
                <w:sz w:val="21"/>
              </w:rPr>
            </w:pPr>
            <w:r/>
          </w:p>
        </w:tc>
      </w:tr>
      <w:tr>
        <w:trPr>
          <w:trHeight w:val="998" w:hRule="atLeast"/>
        </w:trPr>
        <w:tc>
          <w:tcPr>
            <w:tcW w:w="1534" w:type="dxa"/>
            <w:vAlign w:val="top"/>
          </w:tcPr>
          <w:p>
            <w:pPr>
              <w:pStyle w:val="TableText"/>
              <w:ind w:left="508" w:right="502"/>
              <w:spacing w:before="230" w:line="254" w:lineRule="auto"/>
              <w:rPr>
                <w:sz w:val="25"/>
                <w:szCs w:val="25"/>
              </w:rPr>
            </w:pPr>
            <w:bookmarkStart w:name="bookmark1121" w:id="496"/>
            <w:bookmarkEnd w:id="496"/>
            <w:r>
              <w:rPr>
                <w:sz w:val="25"/>
                <w:szCs w:val="25"/>
                <w:b/>
                <w:bCs/>
                <w:spacing w:val="4"/>
              </w:rPr>
              <w:t>特别</w:t>
            </w:r>
            <w:r>
              <w:rPr>
                <w:sz w:val="25"/>
                <w:szCs w:val="25"/>
              </w:rPr>
              <w:t xml:space="preserve"> </w:t>
            </w:r>
            <w:r>
              <w:rPr>
                <w:sz w:val="25"/>
                <w:szCs w:val="25"/>
                <w:b/>
                <w:bCs/>
                <w:spacing w:val="-6"/>
              </w:rPr>
              <w:t>严重</w:t>
            </w:r>
          </w:p>
        </w:tc>
        <w:tc>
          <w:tcPr>
            <w:tcW w:w="7914" w:type="dxa"/>
            <w:vAlign w:val="top"/>
          </w:tcPr>
          <w:p>
            <w:pPr>
              <w:pStyle w:val="TableText"/>
              <w:ind w:left="111"/>
              <w:spacing w:before="233" w:line="252" w:lineRule="auto"/>
              <w:rPr>
                <w:sz w:val="25"/>
                <w:szCs w:val="25"/>
              </w:rPr>
            </w:pPr>
            <w:r>
              <w:rPr>
                <w:sz w:val="25"/>
                <w:szCs w:val="25"/>
                <w:spacing w:val="-7"/>
              </w:rPr>
              <w:t>职业病危害严重类别的建设项目职业病防护设施未按照规定验收合格，经</w:t>
            </w:r>
            <w:r>
              <w:rPr>
                <w:sz w:val="25"/>
                <w:szCs w:val="25"/>
                <w:spacing w:val="15"/>
              </w:rPr>
              <w:t xml:space="preserve"> </w:t>
            </w:r>
            <w:r>
              <w:rPr>
                <w:sz w:val="25"/>
                <w:szCs w:val="25"/>
              </w:rPr>
              <w:t>责令限期改正，逾期不改正，并造成严重后果的</w:t>
            </w:r>
          </w:p>
        </w:tc>
        <w:tc>
          <w:tcPr>
            <w:tcW w:w="4432" w:type="dxa"/>
            <w:vAlign w:val="top"/>
          </w:tcPr>
          <w:p>
            <w:pPr>
              <w:pStyle w:val="TableText"/>
              <w:ind w:left="86" w:hanging="69"/>
              <w:spacing w:before="61" w:line="228" w:lineRule="auto"/>
              <w:jc w:val="both"/>
              <w:rPr>
                <w:sz w:val="25"/>
                <w:szCs w:val="25"/>
              </w:rPr>
            </w:pPr>
            <w:r>
              <w:rPr>
                <w:sz w:val="25"/>
                <w:szCs w:val="25"/>
                <w:spacing w:val="-6"/>
              </w:rPr>
              <w:t>责令停止产生职业病危害的作业，或者提</w:t>
            </w:r>
            <w:r>
              <w:rPr>
                <w:sz w:val="25"/>
                <w:szCs w:val="25"/>
                <w:spacing w:val="11"/>
              </w:rPr>
              <w:t xml:space="preserve"> </w:t>
            </w:r>
            <w:r>
              <w:rPr>
                <w:sz w:val="25"/>
                <w:szCs w:val="25"/>
              </w:rPr>
              <w:t>请有关人民政府按照国务院规定的权限</w:t>
            </w:r>
            <w:r>
              <w:rPr>
                <w:sz w:val="25"/>
                <w:szCs w:val="25"/>
                <w:spacing w:val="7"/>
              </w:rPr>
              <w:t xml:space="preserve"> </w:t>
            </w:r>
            <w:r>
              <w:rPr>
                <w:sz w:val="25"/>
                <w:szCs w:val="25"/>
                <w:spacing w:val="8"/>
              </w:rPr>
              <w:t>责令停建、关闭</w:t>
            </w:r>
          </w:p>
        </w:tc>
      </w:tr>
    </w:tbl>
    <w:p>
      <w:pPr>
        <w:pStyle w:val="BodyText"/>
        <w:spacing w:line="466" w:lineRule="auto"/>
        <w:rPr/>
      </w:pPr>
      <w:r/>
    </w:p>
    <w:p>
      <w:pPr>
        <w:ind w:left="765" w:right="1664" w:firstLine="4"/>
        <w:spacing w:before="98" w:line="249" w:lineRule="auto"/>
        <w:rPr>
          <w:rFonts w:ascii="FangSong" w:hAnsi="FangSong" w:eastAsia="FangSong" w:cs="FangSong"/>
          <w:sz w:val="30"/>
          <w:szCs w:val="30"/>
        </w:rPr>
      </w:pPr>
      <w:r>
        <w:rPr>
          <w:rFonts w:ascii="FangSong" w:hAnsi="FangSong" w:eastAsia="FangSong" w:cs="FangSong"/>
          <w:sz w:val="30"/>
          <w:szCs w:val="30"/>
          <w:b/>
          <w:bCs/>
          <w:spacing w:val="21"/>
        </w:rPr>
        <w:t>第四百五十一条工作场所职业病危害因素检测、评价结果没有存档、上报、公布的</w:t>
      </w:r>
      <w:r>
        <w:rPr>
          <w:rFonts w:ascii="FangSong" w:hAnsi="FangSong" w:eastAsia="FangSong" w:cs="FangSong"/>
          <w:sz w:val="30"/>
          <w:szCs w:val="30"/>
          <w:spacing w:val="10"/>
        </w:rPr>
        <w:t xml:space="preserve"> </w:t>
      </w:r>
      <w:r>
        <w:rPr>
          <w:rFonts w:ascii="FangSong" w:hAnsi="FangSong" w:eastAsia="FangSong" w:cs="FangSong"/>
          <w:sz w:val="30"/>
          <w:szCs w:val="30"/>
          <w:spacing w:val="-1"/>
        </w:rPr>
        <w:t>法律依据：</w:t>
      </w:r>
    </w:p>
    <w:p>
      <w:pPr>
        <w:ind w:left="174" w:firstLine="590"/>
        <w:spacing w:before="76" w:line="270" w:lineRule="auto"/>
        <w:rPr>
          <w:rFonts w:ascii="FangSong" w:hAnsi="FangSong" w:eastAsia="FangSong" w:cs="FangSong"/>
          <w:sz w:val="30"/>
          <w:szCs w:val="30"/>
        </w:rPr>
      </w:pPr>
      <w:r>
        <w:rPr>
          <w:rFonts w:ascii="FangSong" w:hAnsi="FangSong" w:eastAsia="FangSong" w:cs="FangSong"/>
          <w:sz w:val="30"/>
          <w:szCs w:val="30"/>
          <w:spacing w:val="20"/>
        </w:rPr>
        <w:t>1.</w:t>
      </w:r>
      <w:r>
        <w:rPr>
          <w:rFonts w:ascii="FangSong" w:hAnsi="FangSong" w:eastAsia="FangSong" w:cs="FangSong"/>
          <w:sz w:val="30"/>
          <w:szCs w:val="30"/>
          <w:spacing w:val="20"/>
        </w:rPr>
        <w:t xml:space="preserve"> </w:t>
      </w:r>
      <w:r>
        <w:rPr>
          <w:rFonts w:ascii="FangSong" w:hAnsi="FangSong" w:eastAsia="FangSong" w:cs="FangSong"/>
          <w:sz w:val="30"/>
          <w:szCs w:val="30"/>
          <w:spacing w:val="20"/>
        </w:rPr>
        <w:t>《中华人民共和国职业病防治法》第七十条第(一)项</w:t>
      </w:r>
      <w:r>
        <w:rPr>
          <w:rFonts w:ascii="FangSong" w:hAnsi="FangSong" w:eastAsia="FangSong" w:cs="FangSong"/>
          <w:sz w:val="30"/>
          <w:szCs w:val="30"/>
          <w:spacing w:val="20"/>
        </w:rPr>
        <w:t xml:space="preserve">  </w:t>
      </w:r>
      <w:r>
        <w:rPr>
          <w:rFonts w:ascii="FangSong" w:hAnsi="FangSong" w:eastAsia="FangSong" w:cs="FangSong"/>
          <w:sz w:val="30"/>
          <w:szCs w:val="30"/>
          <w:spacing w:val="20"/>
        </w:rPr>
        <w:t>违反本法规定，有下列行为之一</w:t>
      </w:r>
      <w:r>
        <w:rPr>
          <w:rFonts w:ascii="FangSong" w:hAnsi="FangSong" w:eastAsia="FangSong" w:cs="FangSong"/>
          <w:sz w:val="30"/>
          <w:szCs w:val="30"/>
          <w:spacing w:val="19"/>
        </w:rPr>
        <w:t>的，</w:t>
      </w:r>
      <w:r>
        <w:rPr>
          <w:rFonts w:ascii="FangSong" w:hAnsi="FangSong" w:eastAsia="FangSong" w:cs="FangSong"/>
          <w:sz w:val="30"/>
          <w:szCs w:val="30"/>
        </w:rPr>
        <w:t xml:space="preserve"> </w:t>
      </w:r>
      <w:r>
        <w:rPr>
          <w:rFonts w:ascii="FangSong" w:hAnsi="FangSong" w:eastAsia="FangSong" w:cs="FangSong"/>
          <w:sz w:val="30"/>
          <w:szCs w:val="30"/>
          <w:spacing w:val="16"/>
        </w:rPr>
        <w:t>由卫生行政部门给予警告，责令限期改正；逾期不改正的，处十万元以下的罚款：</w:t>
      </w:r>
    </w:p>
    <w:p>
      <w:pPr>
        <w:ind w:left="894"/>
        <w:spacing w:line="219" w:lineRule="auto"/>
        <w:rPr>
          <w:rFonts w:ascii="FangSong" w:hAnsi="FangSong" w:eastAsia="FangSong" w:cs="FangSong"/>
          <w:sz w:val="30"/>
          <w:szCs w:val="30"/>
        </w:rPr>
      </w:pPr>
      <w:r>
        <w:rPr>
          <w:rFonts w:ascii="FangSong" w:hAnsi="FangSong" w:eastAsia="FangSong" w:cs="FangSong"/>
          <w:sz w:val="30"/>
          <w:szCs w:val="30"/>
          <w:spacing w:val="23"/>
        </w:rPr>
        <w:t>(一)工作场所职业病危害因素检测、评价结果没有存档、上报、公布的；</w:t>
      </w:r>
    </w:p>
    <w:p>
      <w:pPr>
        <w:ind w:left="135" w:right="59" w:firstLine="629"/>
        <w:spacing w:before="85" w:line="270" w:lineRule="auto"/>
        <w:rPr>
          <w:rFonts w:ascii="FangSong" w:hAnsi="FangSong" w:eastAsia="FangSong" w:cs="FangSong"/>
          <w:sz w:val="30"/>
          <w:szCs w:val="30"/>
        </w:rPr>
      </w:pPr>
      <w:r>
        <w:rPr>
          <w:rFonts w:ascii="FangSong" w:hAnsi="FangSong" w:eastAsia="FangSong" w:cs="FangSong"/>
          <w:sz w:val="30"/>
          <w:szCs w:val="30"/>
          <w:spacing w:val="19"/>
        </w:rPr>
        <w:t>2.</w:t>
      </w:r>
      <w:r>
        <w:rPr>
          <w:rFonts w:ascii="FangSong" w:hAnsi="FangSong" w:eastAsia="FangSong" w:cs="FangSong"/>
          <w:sz w:val="30"/>
          <w:szCs w:val="30"/>
          <w:spacing w:val="19"/>
        </w:rPr>
        <w:t xml:space="preserve"> </w:t>
      </w:r>
      <w:r>
        <w:rPr>
          <w:rFonts w:ascii="FangSong" w:hAnsi="FangSong" w:eastAsia="FangSong" w:cs="FangSong"/>
          <w:sz w:val="30"/>
          <w:szCs w:val="30"/>
          <w:spacing w:val="19"/>
        </w:rPr>
        <w:t>《工作场所职业卫生管理规定》第四十八条第(八)项</w:t>
      </w:r>
      <w:r>
        <w:rPr>
          <w:rFonts w:ascii="FangSong" w:hAnsi="FangSong" w:eastAsia="FangSong" w:cs="FangSong"/>
          <w:sz w:val="30"/>
          <w:szCs w:val="30"/>
          <w:spacing w:val="19"/>
        </w:rPr>
        <w:t xml:space="preserve">  </w:t>
      </w:r>
      <w:r>
        <w:rPr>
          <w:rFonts w:ascii="FangSong" w:hAnsi="FangSong" w:eastAsia="FangSong" w:cs="FangSong"/>
          <w:sz w:val="30"/>
          <w:szCs w:val="30"/>
          <w:spacing w:val="18"/>
        </w:rPr>
        <w:t>用人单位有下列情形之一的，责令限</w:t>
      </w:r>
      <w:r>
        <w:rPr>
          <w:rFonts w:ascii="FangSong" w:hAnsi="FangSong" w:eastAsia="FangSong" w:cs="FangSong"/>
          <w:sz w:val="30"/>
          <w:szCs w:val="30"/>
        </w:rPr>
        <w:t xml:space="preserve"> </w:t>
      </w:r>
      <w:r>
        <w:rPr>
          <w:rFonts w:ascii="FangSong" w:hAnsi="FangSong" w:eastAsia="FangSong" w:cs="FangSong"/>
          <w:sz w:val="30"/>
          <w:szCs w:val="30"/>
          <w:spacing w:val="17"/>
        </w:rPr>
        <w:t>期改正，给予警告；逾期未改正的，处十万元以下的罚款；</w:t>
      </w:r>
    </w:p>
    <w:p>
      <w:pPr>
        <w:ind w:left="894"/>
        <w:spacing w:line="219" w:lineRule="auto"/>
        <w:rPr>
          <w:rFonts w:ascii="FangSong" w:hAnsi="FangSong" w:eastAsia="FangSong" w:cs="FangSong"/>
          <w:sz w:val="30"/>
          <w:szCs w:val="30"/>
        </w:rPr>
      </w:pPr>
      <w:r>
        <w:rPr>
          <w:rFonts w:ascii="FangSong" w:hAnsi="FangSong" w:eastAsia="FangSong" w:cs="FangSong"/>
          <w:sz w:val="30"/>
          <w:szCs w:val="30"/>
          <w:spacing w:val="23"/>
        </w:rPr>
        <w:t>(八)工作场所职业病危害因素检测、评价结果未按照规定存档、上报和公布的。</w:t>
      </w:r>
    </w:p>
    <w:p>
      <w:pPr>
        <w:ind w:left="6539"/>
        <w:spacing w:before="238"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599" w:type="dxa"/>
        <w:tblInd w:w="12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84"/>
        <w:gridCol w:w="8233"/>
        <w:gridCol w:w="3882"/>
      </w:tblGrid>
      <w:tr>
        <w:trPr>
          <w:trHeight w:val="640" w:hRule="atLeast"/>
        </w:trPr>
        <w:tc>
          <w:tcPr>
            <w:tcW w:w="1484" w:type="dxa"/>
            <w:vAlign w:val="top"/>
          </w:tcPr>
          <w:p>
            <w:pPr>
              <w:pStyle w:val="TableText"/>
              <w:ind w:left="218"/>
              <w:spacing w:before="192" w:line="220" w:lineRule="auto"/>
              <w:rPr>
                <w:sz w:val="26"/>
                <w:szCs w:val="26"/>
              </w:rPr>
            </w:pPr>
            <w:r>
              <w:rPr>
                <w:sz w:val="26"/>
                <w:szCs w:val="26"/>
                <w:b/>
                <w:bCs/>
                <w:spacing w:val="-5"/>
              </w:rPr>
              <w:t>违法程度</w:t>
            </w:r>
          </w:p>
        </w:tc>
        <w:tc>
          <w:tcPr>
            <w:tcW w:w="8233" w:type="dxa"/>
            <w:vAlign w:val="top"/>
          </w:tcPr>
          <w:p>
            <w:pPr>
              <w:pStyle w:val="TableText"/>
              <w:ind w:left="3544"/>
              <w:spacing w:before="192" w:line="220" w:lineRule="auto"/>
              <w:rPr>
                <w:sz w:val="26"/>
                <w:szCs w:val="26"/>
              </w:rPr>
            </w:pPr>
            <w:r>
              <w:rPr>
                <w:sz w:val="26"/>
                <w:szCs w:val="26"/>
                <w:b/>
                <w:bCs/>
                <w:spacing w:val="-5"/>
              </w:rPr>
              <w:t>情节后果</w:t>
            </w:r>
          </w:p>
        </w:tc>
        <w:tc>
          <w:tcPr>
            <w:tcW w:w="3882" w:type="dxa"/>
            <w:vAlign w:val="top"/>
          </w:tcPr>
          <w:p>
            <w:pPr>
              <w:pStyle w:val="TableText"/>
              <w:ind w:left="1371"/>
              <w:spacing w:before="189" w:line="218" w:lineRule="auto"/>
              <w:rPr>
                <w:sz w:val="26"/>
                <w:szCs w:val="26"/>
              </w:rPr>
            </w:pPr>
            <w:r>
              <w:rPr>
                <w:sz w:val="26"/>
                <w:szCs w:val="26"/>
                <w:b/>
                <w:bCs/>
                <w:spacing w:val="-5"/>
              </w:rPr>
              <w:t>裁量幅度</w:t>
            </w:r>
          </w:p>
        </w:tc>
      </w:tr>
      <w:tr>
        <w:trPr>
          <w:trHeight w:val="770" w:hRule="atLeast"/>
        </w:trPr>
        <w:tc>
          <w:tcPr>
            <w:tcW w:w="1484" w:type="dxa"/>
            <w:vAlign w:val="top"/>
          </w:tcPr>
          <w:p>
            <w:pPr>
              <w:pStyle w:val="TableText"/>
              <w:ind w:left="478"/>
              <w:spacing w:before="262" w:line="219" w:lineRule="auto"/>
              <w:rPr>
                <w:sz w:val="26"/>
                <w:szCs w:val="26"/>
              </w:rPr>
            </w:pPr>
            <w:r>
              <w:rPr>
                <w:sz w:val="26"/>
                <w:szCs w:val="26"/>
                <w:b/>
                <w:bCs/>
                <w:spacing w:val="-6"/>
              </w:rPr>
              <w:t>轻微</w:t>
            </w:r>
          </w:p>
        </w:tc>
        <w:tc>
          <w:tcPr>
            <w:tcW w:w="8233" w:type="dxa"/>
            <w:vAlign w:val="top"/>
          </w:tcPr>
          <w:p>
            <w:pPr>
              <w:pStyle w:val="TableText"/>
              <w:ind w:left="124"/>
              <w:spacing w:before="259" w:line="218" w:lineRule="auto"/>
              <w:rPr>
                <w:sz w:val="26"/>
                <w:szCs w:val="26"/>
              </w:rPr>
            </w:pPr>
            <w:r>
              <w:rPr>
                <w:sz w:val="26"/>
                <w:szCs w:val="26"/>
                <w:b/>
                <w:bCs/>
                <w:spacing w:val="-2"/>
              </w:rPr>
              <w:t>工作场所职业病危害因素检测、评价结果没</w:t>
            </w:r>
            <w:r>
              <w:rPr>
                <w:sz w:val="26"/>
                <w:szCs w:val="26"/>
                <w:b/>
                <w:bCs/>
                <w:spacing w:val="-3"/>
              </w:rPr>
              <w:t>有存档、上报、公布的</w:t>
            </w:r>
          </w:p>
        </w:tc>
        <w:tc>
          <w:tcPr>
            <w:tcW w:w="3882" w:type="dxa"/>
            <w:vAlign w:val="top"/>
          </w:tcPr>
          <w:p>
            <w:pPr>
              <w:pStyle w:val="TableText"/>
              <w:ind w:left="101"/>
              <w:spacing w:before="259" w:line="218" w:lineRule="auto"/>
              <w:rPr>
                <w:sz w:val="26"/>
                <w:szCs w:val="26"/>
              </w:rPr>
            </w:pPr>
            <w:r>
              <w:rPr>
                <w:sz w:val="26"/>
                <w:szCs w:val="26"/>
                <w:b/>
                <w:bCs/>
                <w:spacing w:val="-4"/>
              </w:rPr>
              <w:t>给予警告，责令限期改正</w:t>
            </w:r>
          </w:p>
        </w:tc>
      </w:tr>
    </w:tbl>
    <w:p>
      <w:pPr>
        <w:pStyle w:val="BodyText"/>
        <w:rPr/>
      </w:pPr>
      <w:r/>
    </w:p>
    <w:p>
      <w:pPr>
        <w:sectPr>
          <w:footerReference w:type="default" r:id="rId479"/>
          <w:pgSz w:w="16830" w:h="11900"/>
          <w:pgMar w:top="1011" w:right="1400" w:bottom="1118" w:left="1314" w:header="0" w:footer="785" w:gutter="0"/>
        </w:sectPr>
        <w:rPr/>
      </w:pPr>
    </w:p>
    <w:p>
      <w:pPr>
        <w:spacing w:before="13"/>
        <w:rPr/>
      </w:pPr>
      <w:r/>
    </w:p>
    <w:p>
      <w:pPr>
        <w:spacing w:before="13"/>
        <w:rPr/>
      </w:pPr>
      <w:r/>
    </w:p>
    <w:p>
      <w:pPr>
        <w:spacing w:before="13"/>
        <w:rPr/>
      </w:pPr>
      <w:r/>
    </w:p>
    <w:tbl>
      <w:tblPr>
        <w:tblStyle w:val="TableNormal"/>
        <w:tblW w:w="135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03"/>
        <w:gridCol w:w="8214"/>
        <w:gridCol w:w="3882"/>
      </w:tblGrid>
      <w:tr>
        <w:trPr>
          <w:trHeight w:val="1202" w:hRule="atLeast"/>
        </w:trPr>
        <w:tc>
          <w:tcPr>
            <w:tcW w:w="1503" w:type="dxa"/>
            <w:vAlign w:val="top"/>
          </w:tcPr>
          <w:p>
            <w:pPr>
              <w:spacing w:line="244" w:lineRule="auto"/>
              <w:rPr>
                <w:rFonts w:ascii="Arial"/>
                <w:sz w:val="21"/>
              </w:rPr>
            </w:pPr>
            <w:r/>
          </w:p>
          <w:p>
            <w:pPr>
              <w:spacing w:line="244" w:lineRule="auto"/>
              <w:rPr>
                <w:rFonts w:ascii="Arial"/>
                <w:sz w:val="21"/>
              </w:rPr>
            </w:pPr>
            <w:r/>
          </w:p>
          <w:p>
            <w:pPr>
              <w:pStyle w:val="TableText"/>
              <w:ind w:left="498"/>
              <w:spacing w:before="82" w:line="221" w:lineRule="auto"/>
              <w:rPr>
                <w:sz w:val="25"/>
                <w:szCs w:val="25"/>
              </w:rPr>
            </w:pPr>
            <w:bookmarkStart w:name="bookmark1122" w:id="497"/>
            <w:bookmarkEnd w:id="497"/>
            <w:r>
              <w:rPr>
                <w:sz w:val="25"/>
                <w:szCs w:val="25"/>
                <w:b/>
                <w:bCs/>
                <w:spacing w:val="-10"/>
              </w:rPr>
              <w:t>一般</w:t>
            </w:r>
          </w:p>
        </w:tc>
        <w:tc>
          <w:tcPr>
            <w:tcW w:w="8214" w:type="dxa"/>
            <w:vAlign w:val="top"/>
          </w:tcPr>
          <w:p>
            <w:pPr>
              <w:pStyle w:val="TableText"/>
              <w:ind w:left="11" w:firstLine="19"/>
              <w:spacing w:before="152" w:line="256" w:lineRule="auto"/>
              <w:jc w:val="both"/>
              <w:rPr>
                <w:sz w:val="25"/>
                <w:szCs w:val="25"/>
              </w:rPr>
            </w:pPr>
            <w:r>
              <w:rPr>
                <w:sz w:val="25"/>
                <w:szCs w:val="25"/>
                <w:spacing w:val="-2"/>
              </w:rPr>
              <w:t>工作场所职业病危害因素检测、评价结果没有</w:t>
            </w:r>
            <w:r>
              <w:rPr>
                <w:sz w:val="25"/>
                <w:szCs w:val="25"/>
                <w:spacing w:val="-3"/>
              </w:rPr>
              <w:t>存档、上报、公布，经警告，</w:t>
            </w:r>
            <w:r>
              <w:rPr>
                <w:sz w:val="25"/>
                <w:szCs w:val="25"/>
              </w:rPr>
              <w:t xml:space="preserve"> </w:t>
            </w:r>
            <w:r>
              <w:rPr>
                <w:sz w:val="25"/>
                <w:szCs w:val="25"/>
                <w:spacing w:val="-4"/>
              </w:rPr>
              <w:t>逾期不改正，仍存在工作场所职业病危害因素检测、评价结果的存档、上报</w:t>
            </w:r>
            <w:r>
              <w:rPr>
                <w:sz w:val="25"/>
                <w:szCs w:val="25"/>
              </w:rPr>
              <w:t xml:space="preserve"> </w:t>
            </w:r>
            <w:r>
              <w:rPr>
                <w:sz w:val="25"/>
                <w:szCs w:val="25"/>
                <w:spacing w:val="3"/>
              </w:rPr>
              <w:t>和公布三项行为中有一项违反本规定的</w:t>
            </w:r>
          </w:p>
        </w:tc>
        <w:tc>
          <w:tcPr>
            <w:tcW w:w="3882" w:type="dxa"/>
            <w:vAlign w:val="top"/>
          </w:tcPr>
          <w:p>
            <w:pPr>
              <w:spacing w:line="402" w:lineRule="auto"/>
              <w:rPr>
                <w:rFonts w:ascii="Arial"/>
                <w:sz w:val="21"/>
              </w:rPr>
            </w:pPr>
            <w:r/>
          </w:p>
          <w:p>
            <w:pPr>
              <w:pStyle w:val="TableText"/>
              <w:ind w:left="117"/>
              <w:spacing w:before="81" w:line="220" w:lineRule="auto"/>
              <w:rPr>
                <w:sz w:val="25"/>
                <w:szCs w:val="25"/>
              </w:rPr>
            </w:pPr>
            <w:r>
              <w:rPr>
                <w:sz w:val="25"/>
                <w:szCs w:val="25"/>
                <w:spacing w:val="1"/>
              </w:rPr>
              <w:t>处三万元以下的罚款</w:t>
            </w:r>
          </w:p>
        </w:tc>
      </w:tr>
      <w:tr>
        <w:trPr>
          <w:trHeight w:val="1198" w:hRule="atLeast"/>
        </w:trPr>
        <w:tc>
          <w:tcPr>
            <w:tcW w:w="1503" w:type="dxa"/>
            <w:vAlign w:val="top"/>
          </w:tcPr>
          <w:p>
            <w:pPr>
              <w:spacing w:line="244" w:lineRule="auto"/>
              <w:rPr>
                <w:rFonts w:ascii="Arial"/>
                <w:sz w:val="21"/>
              </w:rPr>
            </w:pPr>
            <w:r/>
          </w:p>
          <w:p>
            <w:pPr>
              <w:spacing w:line="244" w:lineRule="auto"/>
              <w:rPr>
                <w:rFonts w:ascii="Arial"/>
                <w:sz w:val="21"/>
              </w:rPr>
            </w:pPr>
            <w:r/>
          </w:p>
          <w:p>
            <w:pPr>
              <w:pStyle w:val="TableText"/>
              <w:ind w:left="498"/>
              <w:spacing w:before="82" w:line="221" w:lineRule="auto"/>
              <w:rPr>
                <w:sz w:val="25"/>
                <w:szCs w:val="25"/>
              </w:rPr>
            </w:pPr>
            <w:r>
              <w:rPr>
                <w:sz w:val="25"/>
                <w:szCs w:val="25"/>
                <w:b/>
                <w:bCs/>
                <w:spacing w:val="-6"/>
              </w:rPr>
              <w:t>较重</w:t>
            </w:r>
          </w:p>
        </w:tc>
        <w:tc>
          <w:tcPr>
            <w:tcW w:w="8214" w:type="dxa"/>
            <w:vAlign w:val="top"/>
          </w:tcPr>
          <w:p>
            <w:pPr>
              <w:pStyle w:val="TableText"/>
              <w:ind w:left="11"/>
              <w:spacing w:before="159" w:line="253" w:lineRule="auto"/>
              <w:jc w:val="both"/>
              <w:rPr>
                <w:sz w:val="25"/>
                <w:szCs w:val="25"/>
              </w:rPr>
            </w:pPr>
            <w:r>
              <w:rPr>
                <w:sz w:val="25"/>
                <w:szCs w:val="25"/>
                <w:spacing w:val="-2"/>
              </w:rPr>
              <w:t>工作场所职业病危害因素检测、评价结果没有存档、上报、公布，经责令限</w:t>
            </w:r>
            <w:r>
              <w:rPr>
                <w:sz w:val="25"/>
                <w:szCs w:val="25"/>
                <w:spacing w:val="7"/>
              </w:rPr>
              <w:t xml:space="preserve"> </w:t>
            </w:r>
            <w:r>
              <w:rPr>
                <w:sz w:val="25"/>
                <w:szCs w:val="25"/>
                <w:spacing w:val="-2"/>
              </w:rPr>
              <w:t>期改正，逾期不改正，仍存在工作场所职业病危害因素检测、评价结果的存</w:t>
            </w:r>
            <w:r>
              <w:rPr>
                <w:sz w:val="25"/>
                <w:szCs w:val="25"/>
                <w:spacing w:val="4"/>
              </w:rPr>
              <w:t xml:space="preserve"> </w:t>
            </w:r>
            <w:r>
              <w:rPr>
                <w:sz w:val="25"/>
                <w:szCs w:val="25"/>
                <w:spacing w:val="4"/>
              </w:rPr>
              <w:t>档、上报和公布三项行为中有二项违反本规定的</w:t>
            </w:r>
          </w:p>
        </w:tc>
        <w:tc>
          <w:tcPr>
            <w:tcW w:w="3882" w:type="dxa"/>
            <w:vAlign w:val="top"/>
          </w:tcPr>
          <w:p>
            <w:pPr>
              <w:spacing w:line="400" w:lineRule="auto"/>
              <w:rPr>
                <w:rFonts w:ascii="Arial"/>
                <w:sz w:val="21"/>
              </w:rPr>
            </w:pPr>
            <w:r/>
          </w:p>
          <w:p>
            <w:pPr>
              <w:pStyle w:val="TableText"/>
              <w:ind w:left="117"/>
              <w:spacing w:before="81" w:line="220" w:lineRule="auto"/>
              <w:rPr>
                <w:sz w:val="25"/>
                <w:szCs w:val="25"/>
              </w:rPr>
            </w:pPr>
            <w:r>
              <w:rPr>
                <w:sz w:val="25"/>
                <w:szCs w:val="25"/>
              </w:rPr>
              <w:t>处三万元以上六万元以下的罚款</w:t>
            </w:r>
          </w:p>
        </w:tc>
      </w:tr>
      <w:tr>
        <w:trPr>
          <w:trHeight w:val="1008" w:hRule="atLeast"/>
        </w:trPr>
        <w:tc>
          <w:tcPr>
            <w:tcW w:w="1503" w:type="dxa"/>
            <w:vAlign w:val="top"/>
          </w:tcPr>
          <w:p>
            <w:pPr>
              <w:spacing w:line="398" w:lineRule="auto"/>
              <w:rPr>
                <w:rFonts w:ascii="Arial"/>
                <w:sz w:val="21"/>
              </w:rPr>
            </w:pPr>
            <w:r/>
          </w:p>
          <w:p>
            <w:pPr>
              <w:pStyle w:val="TableText"/>
              <w:ind w:left="498"/>
              <w:spacing w:before="82" w:line="220" w:lineRule="auto"/>
              <w:rPr>
                <w:sz w:val="25"/>
                <w:szCs w:val="25"/>
              </w:rPr>
            </w:pPr>
            <w:r>
              <w:rPr>
                <w:sz w:val="25"/>
                <w:szCs w:val="25"/>
                <w:b/>
                <w:bCs/>
                <w:spacing w:val="-6"/>
              </w:rPr>
              <w:t>严重</w:t>
            </w:r>
          </w:p>
        </w:tc>
        <w:tc>
          <w:tcPr>
            <w:tcW w:w="8214" w:type="dxa"/>
            <w:vAlign w:val="top"/>
          </w:tcPr>
          <w:p>
            <w:pPr>
              <w:pStyle w:val="TableText"/>
              <w:ind w:left="11" w:firstLine="19"/>
              <w:spacing w:before="71" w:line="228" w:lineRule="auto"/>
              <w:jc w:val="both"/>
              <w:rPr>
                <w:sz w:val="25"/>
                <w:szCs w:val="25"/>
              </w:rPr>
            </w:pPr>
            <w:r>
              <w:rPr>
                <w:sz w:val="25"/>
                <w:szCs w:val="25"/>
                <w:spacing w:val="-2"/>
              </w:rPr>
              <w:t>工作场所职业病危害因素检测、评价结果没有</w:t>
            </w:r>
            <w:r>
              <w:rPr>
                <w:sz w:val="25"/>
                <w:szCs w:val="25"/>
                <w:spacing w:val="-3"/>
              </w:rPr>
              <w:t>存档、上报、公布，经警告，</w:t>
            </w:r>
            <w:r>
              <w:rPr>
                <w:sz w:val="25"/>
                <w:szCs w:val="25"/>
              </w:rPr>
              <w:t xml:space="preserve"> </w:t>
            </w:r>
            <w:r>
              <w:rPr>
                <w:sz w:val="25"/>
                <w:szCs w:val="25"/>
                <w:spacing w:val="-4"/>
              </w:rPr>
              <w:t>逾期不改正，仍存在工作场所职业病危害因素检测、评价结果的存档、上报</w:t>
            </w:r>
            <w:r>
              <w:rPr>
                <w:sz w:val="25"/>
                <w:szCs w:val="25"/>
              </w:rPr>
              <w:t xml:space="preserve"> </w:t>
            </w:r>
            <w:r>
              <w:rPr>
                <w:sz w:val="25"/>
                <w:szCs w:val="25"/>
                <w:spacing w:val="9"/>
              </w:rPr>
              <w:t>和公布均违反本规定的</w:t>
            </w:r>
          </w:p>
        </w:tc>
        <w:tc>
          <w:tcPr>
            <w:tcW w:w="3882" w:type="dxa"/>
            <w:vAlign w:val="top"/>
          </w:tcPr>
          <w:p>
            <w:pPr>
              <w:spacing w:line="302" w:lineRule="auto"/>
              <w:rPr>
                <w:rFonts w:ascii="Arial"/>
                <w:sz w:val="21"/>
              </w:rPr>
            </w:pPr>
            <w:r/>
          </w:p>
          <w:p>
            <w:pPr>
              <w:pStyle w:val="TableText"/>
              <w:ind w:left="117"/>
              <w:spacing w:before="82" w:line="220" w:lineRule="auto"/>
              <w:rPr>
                <w:sz w:val="25"/>
                <w:szCs w:val="25"/>
              </w:rPr>
            </w:pPr>
            <w:r>
              <w:rPr>
                <w:sz w:val="25"/>
                <w:szCs w:val="25"/>
              </w:rPr>
              <w:t>处六万元以上八万元以下的罚款</w:t>
            </w:r>
          </w:p>
        </w:tc>
      </w:tr>
      <w:tr>
        <w:trPr>
          <w:trHeight w:val="1262" w:hRule="atLeast"/>
        </w:trPr>
        <w:tc>
          <w:tcPr>
            <w:tcW w:w="1503" w:type="dxa"/>
            <w:vAlign w:val="top"/>
          </w:tcPr>
          <w:p>
            <w:pPr>
              <w:spacing w:line="429" w:lineRule="auto"/>
              <w:rPr>
                <w:rFonts w:ascii="Arial"/>
                <w:sz w:val="21"/>
              </w:rPr>
            </w:pPr>
            <w:r/>
          </w:p>
          <w:p>
            <w:pPr>
              <w:pStyle w:val="TableText"/>
              <w:ind w:left="248"/>
              <w:spacing w:before="82" w:line="219" w:lineRule="auto"/>
              <w:rPr>
                <w:sz w:val="25"/>
                <w:szCs w:val="25"/>
              </w:rPr>
            </w:pPr>
            <w:r>
              <w:rPr>
                <w:sz w:val="25"/>
                <w:szCs w:val="25"/>
                <w:b/>
                <w:bCs/>
                <w:spacing w:val="-5"/>
              </w:rPr>
              <w:t>特别严重</w:t>
            </w:r>
          </w:p>
        </w:tc>
        <w:tc>
          <w:tcPr>
            <w:tcW w:w="8214" w:type="dxa"/>
            <w:vAlign w:val="top"/>
          </w:tcPr>
          <w:p>
            <w:pPr>
              <w:pStyle w:val="TableText"/>
              <w:ind w:left="11" w:firstLine="19"/>
              <w:spacing w:before="203" w:line="253" w:lineRule="auto"/>
              <w:jc w:val="both"/>
              <w:rPr>
                <w:sz w:val="25"/>
                <w:szCs w:val="25"/>
              </w:rPr>
            </w:pPr>
            <w:r>
              <w:rPr>
                <w:sz w:val="25"/>
                <w:szCs w:val="25"/>
                <w:spacing w:val="-2"/>
              </w:rPr>
              <w:t>工作场所职业病危害因素检测、评价结果没有</w:t>
            </w:r>
            <w:r>
              <w:rPr>
                <w:sz w:val="25"/>
                <w:szCs w:val="25"/>
                <w:spacing w:val="-3"/>
              </w:rPr>
              <w:t>存档、上报、公布，经警告，</w:t>
            </w:r>
            <w:r>
              <w:rPr>
                <w:sz w:val="25"/>
                <w:szCs w:val="25"/>
              </w:rPr>
              <w:t xml:space="preserve"> </w:t>
            </w:r>
            <w:r>
              <w:rPr>
                <w:sz w:val="25"/>
                <w:szCs w:val="25"/>
                <w:spacing w:val="-4"/>
              </w:rPr>
              <w:t>逾期不改正，仍存在工作场所职业病危害因素检测、评价结果的存档、上报</w:t>
            </w:r>
            <w:r>
              <w:rPr>
                <w:sz w:val="25"/>
                <w:szCs w:val="25"/>
              </w:rPr>
              <w:t xml:space="preserve"> </w:t>
            </w:r>
            <w:r>
              <w:rPr>
                <w:sz w:val="25"/>
                <w:szCs w:val="25"/>
                <w:spacing w:val="-4"/>
              </w:rPr>
              <w:t>和公布三项行为之一，且导致影响劳动者进行诊断确定接害</w:t>
            </w:r>
            <w:r>
              <w:rPr>
                <w:sz w:val="25"/>
                <w:szCs w:val="25"/>
                <w:spacing w:val="-5"/>
              </w:rPr>
              <w:t>史等不良后果的</w:t>
            </w:r>
          </w:p>
        </w:tc>
        <w:tc>
          <w:tcPr>
            <w:tcW w:w="3882" w:type="dxa"/>
            <w:vAlign w:val="top"/>
          </w:tcPr>
          <w:p>
            <w:pPr>
              <w:spacing w:line="434" w:lineRule="auto"/>
              <w:rPr>
                <w:rFonts w:ascii="Arial"/>
                <w:sz w:val="21"/>
              </w:rPr>
            </w:pPr>
            <w:r/>
          </w:p>
          <w:p>
            <w:pPr>
              <w:pStyle w:val="TableText"/>
              <w:ind w:left="117"/>
              <w:spacing w:before="81" w:line="220" w:lineRule="auto"/>
              <w:rPr>
                <w:sz w:val="25"/>
                <w:szCs w:val="25"/>
              </w:rPr>
            </w:pPr>
            <w:r>
              <w:rPr>
                <w:sz w:val="25"/>
                <w:szCs w:val="25"/>
              </w:rPr>
              <w:t>处八万元以上十万元以下的罚款</w:t>
            </w:r>
          </w:p>
        </w:tc>
      </w:tr>
    </w:tbl>
    <w:p>
      <w:pPr>
        <w:pStyle w:val="BodyText"/>
        <w:spacing w:line="456" w:lineRule="auto"/>
        <w:rPr/>
      </w:pPr>
      <w:r/>
    </w:p>
    <w:p>
      <w:pPr>
        <w:ind w:left="659"/>
        <w:spacing w:before="98" w:line="220" w:lineRule="auto"/>
        <w:rPr>
          <w:rFonts w:ascii="FangSong" w:hAnsi="FangSong" w:eastAsia="FangSong" w:cs="FangSong"/>
          <w:sz w:val="30"/>
          <w:szCs w:val="30"/>
        </w:rPr>
      </w:pPr>
      <w:r>
        <w:rPr>
          <w:rFonts w:ascii="FangSong" w:hAnsi="FangSong" w:eastAsia="FangSong" w:cs="FangSong"/>
          <w:sz w:val="30"/>
          <w:szCs w:val="30"/>
          <w:b/>
          <w:bCs/>
          <w:spacing w:val="23"/>
        </w:rPr>
        <w:t>第四百五十二条未按规定采取职业病防治管理措施的</w:t>
      </w:r>
    </w:p>
    <w:p>
      <w:pPr>
        <w:ind w:left="654"/>
        <w:spacing w:before="10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44" w:right="39" w:firstLine="610"/>
        <w:spacing w:before="66" w:line="277" w:lineRule="auto"/>
        <w:rPr>
          <w:rFonts w:ascii="FangSong" w:hAnsi="FangSong" w:eastAsia="FangSong" w:cs="FangSong"/>
          <w:sz w:val="30"/>
          <w:szCs w:val="30"/>
        </w:rPr>
      </w:pPr>
      <w:r>
        <w:rPr>
          <w:rFonts w:ascii="FangSong" w:hAnsi="FangSong" w:eastAsia="FangSong" w:cs="FangSong"/>
          <w:sz w:val="30"/>
          <w:szCs w:val="30"/>
          <w:spacing w:val="20"/>
        </w:rPr>
        <w:t>1.</w:t>
      </w:r>
      <w:r>
        <w:rPr>
          <w:rFonts w:ascii="FangSong" w:hAnsi="FangSong" w:eastAsia="FangSong" w:cs="FangSong"/>
          <w:sz w:val="30"/>
          <w:szCs w:val="30"/>
          <w:spacing w:val="20"/>
        </w:rPr>
        <w:t xml:space="preserve"> </w:t>
      </w:r>
      <w:r>
        <w:rPr>
          <w:rFonts w:ascii="FangSong" w:hAnsi="FangSong" w:eastAsia="FangSong" w:cs="FangSong"/>
          <w:sz w:val="30"/>
          <w:szCs w:val="30"/>
          <w:spacing w:val="20"/>
        </w:rPr>
        <w:t>《中华人民共和国职业病防治法》第七十条第(二)项</w:t>
      </w:r>
      <w:r>
        <w:rPr>
          <w:rFonts w:ascii="FangSong" w:hAnsi="FangSong" w:eastAsia="FangSong" w:cs="FangSong"/>
          <w:sz w:val="30"/>
          <w:szCs w:val="30"/>
          <w:spacing w:val="20"/>
        </w:rPr>
        <w:t xml:space="preserve">  </w:t>
      </w:r>
      <w:r>
        <w:rPr>
          <w:rFonts w:ascii="FangSong" w:hAnsi="FangSong" w:eastAsia="FangSong" w:cs="FangSong"/>
          <w:sz w:val="30"/>
          <w:szCs w:val="30"/>
          <w:spacing w:val="20"/>
        </w:rPr>
        <w:t>违反本法规定，有下列行为之一的，</w:t>
      </w:r>
      <w:r>
        <w:rPr>
          <w:rFonts w:ascii="FangSong" w:hAnsi="FangSong" w:eastAsia="FangSong" w:cs="FangSong"/>
          <w:sz w:val="30"/>
          <w:szCs w:val="30"/>
          <w:spacing w:val="8"/>
        </w:rPr>
        <w:t xml:space="preserve"> </w:t>
      </w:r>
      <w:r>
        <w:rPr>
          <w:rFonts w:ascii="FangSong" w:hAnsi="FangSong" w:eastAsia="FangSong" w:cs="FangSong"/>
          <w:sz w:val="30"/>
          <w:szCs w:val="30"/>
          <w:spacing w:val="16"/>
        </w:rPr>
        <w:t>由卫生行政部门给予警告，责令限期改正；逾期不改正的，处十万元以下的罚款：</w:t>
      </w:r>
    </w:p>
    <w:p>
      <w:pPr>
        <w:ind w:left="794"/>
        <w:spacing w:before="2" w:line="222" w:lineRule="auto"/>
        <w:rPr>
          <w:rFonts w:ascii="FangSong" w:hAnsi="FangSong" w:eastAsia="FangSong" w:cs="FangSong"/>
          <w:sz w:val="30"/>
          <w:szCs w:val="30"/>
        </w:rPr>
      </w:pPr>
      <w:r>
        <w:rPr>
          <w:rFonts w:ascii="FangSong" w:hAnsi="FangSong" w:eastAsia="FangSong" w:cs="FangSong"/>
          <w:sz w:val="30"/>
          <w:szCs w:val="30"/>
          <w:spacing w:val="23"/>
        </w:rPr>
        <w:t>(二)未采取本法第二十条规定的职业病防治管理措施的；</w:t>
      </w:r>
    </w:p>
    <w:p>
      <w:pPr>
        <w:ind w:left="25" w:firstLine="629"/>
        <w:spacing w:before="54" w:line="266" w:lineRule="auto"/>
        <w:rPr>
          <w:rFonts w:ascii="FangSong" w:hAnsi="FangSong" w:eastAsia="FangSong" w:cs="FangSong"/>
          <w:sz w:val="30"/>
          <w:szCs w:val="30"/>
        </w:rPr>
      </w:pPr>
      <w:r>
        <w:rPr>
          <w:rFonts w:ascii="FangSong" w:hAnsi="FangSong" w:eastAsia="FangSong" w:cs="FangSong"/>
          <w:sz w:val="30"/>
          <w:szCs w:val="30"/>
          <w:spacing w:val="14"/>
        </w:rPr>
        <w:t>2.</w:t>
      </w:r>
      <w:r>
        <w:rPr>
          <w:rFonts w:ascii="FangSong" w:hAnsi="FangSong" w:eastAsia="FangSong" w:cs="FangSong"/>
          <w:sz w:val="30"/>
          <w:szCs w:val="30"/>
          <w:spacing w:val="14"/>
        </w:rPr>
        <w:t xml:space="preserve"> </w:t>
      </w:r>
      <w:r>
        <w:rPr>
          <w:rFonts w:ascii="FangSong" w:hAnsi="FangSong" w:eastAsia="FangSong" w:cs="FangSong"/>
          <w:sz w:val="30"/>
          <w:szCs w:val="30"/>
          <w:spacing w:val="14"/>
        </w:rPr>
        <w:t>《使用有毒物品作业场所劳动保护条例》第六十八条第(一)项</w:t>
      </w:r>
      <w:r>
        <w:rPr>
          <w:rFonts w:ascii="FangSong" w:hAnsi="FangSong" w:eastAsia="FangSong" w:cs="FangSong"/>
          <w:sz w:val="30"/>
          <w:szCs w:val="30"/>
          <w:spacing w:val="14"/>
        </w:rPr>
        <w:t xml:space="preserve">  </w:t>
      </w:r>
      <w:r>
        <w:rPr>
          <w:rFonts w:ascii="FangSong" w:hAnsi="FangSong" w:eastAsia="FangSong" w:cs="FangSong"/>
          <w:sz w:val="30"/>
          <w:szCs w:val="30"/>
          <w:spacing w:val="14"/>
        </w:rPr>
        <w:t>用人单位违反本条例的规定，</w:t>
      </w:r>
      <w:r>
        <w:rPr>
          <w:rFonts w:ascii="FangSong" w:hAnsi="FangSong" w:eastAsia="FangSong" w:cs="FangSong"/>
          <w:sz w:val="30"/>
          <w:szCs w:val="30"/>
          <w:spacing w:val="4"/>
        </w:rPr>
        <w:t xml:space="preserve"> </w:t>
      </w:r>
      <w:r>
        <w:rPr>
          <w:rFonts w:ascii="FangSong" w:hAnsi="FangSong" w:eastAsia="FangSong" w:cs="FangSong"/>
          <w:sz w:val="30"/>
          <w:szCs w:val="30"/>
          <w:spacing w:val="25"/>
        </w:rPr>
        <w:t>有下列行为之一的，由疾病预防控制部门给予警告，责令限期改正，处5000元以上2万元以下的罚</w:t>
      </w:r>
    </w:p>
    <w:p>
      <w:pPr>
        <w:spacing w:line="266" w:lineRule="auto"/>
        <w:sectPr>
          <w:footerReference w:type="default" r:id="rId480"/>
          <w:pgSz w:w="16830" w:h="11900"/>
          <w:pgMar w:top="1011" w:right="1350" w:bottom="1123" w:left="1425" w:header="0" w:footer="808" w:gutter="0"/>
        </w:sectPr>
        <w:rPr>
          <w:rFonts w:ascii="FangSong" w:hAnsi="FangSong" w:eastAsia="FangSong" w:cs="FangSong"/>
          <w:sz w:val="30"/>
          <w:szCs w:val="30"/>
        </w:rPr>
      </w:pPr>
    </w:p>
    <w:p>
      <w:pPr>
        <w:pStyle w:val="BodyText"/>
        <w:spacing w:line="257" w:lineRule="auto"/>
        <w:rPr/>
      </w:pPr>
      <w:r/>
    </w:p>
    <w:p>
      <w:pPr>
        <w:pStyle w:val="BodyText"/>
        <w:spacing w:line="257" w:lineRule="auto"/>
        <w:rPr/>
      </w:pPr>
      <w:r/>
    </w:p>
    <w:p>
      <w:pPr>
        <w:pStyle w:val="BodyText"/>
        <w:spacing w:line="258" w:lineRule="auto"/>
        <w:rPr/>
      </w:pPr>
      <w:r/>
    </w:p>
    <w:p>
      <w:pPr>
        <w:ind w:right="61"/>
        <w:spacing w:before="97" w:line="301" w:lineRule="auto"/>
        <w:rPr>
          <w:rFonts w:ascii="FangSong" w:hAnsi="FangSong" w:eastAsia="FangSong" w:cs="FangSong"/>
          <w:sz w:val="24"/>
          <w:szCs w:val="24"/>
        </w:rPr>
      </w:pPr>
      <w:r>
        <w:rPr>
          <w:rFonts w:ascii="FangSong" w:hAnsi="FangSong" w:eastAsia="FangSong" w:cs="FangSong"/>
          <w:sz w:val="30"/>
          <w:szCs w:val="30"/>
          <w:spacing w:val="17"/>
        </w:rPr>
        <w:t>款；逾期不改正的，责令停止使用有毒物品作业，或者提请有关人民政府按照国务院规定的权限予以</w:t>
      </w:r>
      <w:r>
        <w:rPr>
          <w:rFonts w:ascii="FangSong" w:hAnsi="FangSong" w:eastAsia="FangSong" w:cs="FangSong"/>
          <w:sz w:val="30"/>
          <w:szCs w:val="30"/>
          <w:spacing w:val="6"/>
        </w:rPr>
        <w:t xml:space="preserve"> </w:t>
      </w:r>
      <w:r>
        <w:rPr>
          <w:rFonts w:ascii="FangSong" w:hAnsi="FangSong" w:eastAsia="FangSong" w:cs="FangSong"/>
          <w:sz w:val="24"/>
          <w:szCs w:val="24"/>
          <w:spacing w:val="-21"/>
        </w:rPr>
        <w:t>关</w:t>
      </w:r>
      <w:r>
        <w:rPr>
          <w:rFonts w:ascii="FangSong" w:hAnsi="FangSong" w:eastAsia="FangSong" w:cs="FangSong"/>
          <w:sz w:val="24"/>
          <w:szCs w:val="24"/>
          <w:spacing w:val="17"/>
        </w:rPr>
        <w:t xml:space="preserve"> </w:t>
      </w:r>
      <w:r>
        <w:rPr>
          <w:rFonts w:ascii="FangSong" w:hAnsi="FangSong" w:eastAsia="FangSong" w:cs="FangSong"/>
          <w:sz w:val="24"/>
          <w:szCs w:val="24"/>
          <w:spacing w:val="-21"/>
        </w:rPr>
        <w:t>闭</w:t>
      </w:r>
      <w:r>
        <w:rPr>
          <w:rFonts w:ascii="FangSong" w:hAnsi="FangSong" w:eastAsia="FangSong" w:cs="FangSong"/>
          <w:sz w:val="24"/>
          <w:szCs w:val="24"/>
          <w:spacing w:val="-22"/>
        </w:rPr>
        <w:t xml:space="preserve"> </w:t>
      </w:r>
      <w:r>
        <w:rPr>
          <w:rFonts w:ascii="FangSong" w:hAnsi="FangSong" w:eastAsia="FangSong" w:cs="FangSong"/>
          <w:sz w:val="24"/>
          <w:szCs w:val="24"/>
          <w:spacing w:val="-21"/>
        </w:rPr>
        <w:t>：</w:t>
      </w:r>
    </w:p>
    <w:p>
      <w:pPr>
        <w:ind w:left="779"/>
        <w:spacing w:line="220" w:lineRule="auto"/>
        <w:rPr>
          <w:rFonts w:ascii="FangSong" w:hAnsi="FangSong" w:eastAsia="FangSong" w:cs="FangSong"/>
          <w:sz w:val="30"/>
          <w:szCs w:val="30"/>
        </w:rPr>
      </w:pPr>
      <w:r>
        <w:rPr>
          <w:rFonts w:ascii="FangSong" w:hAnsi="FangSong" w:eastAsia="FangSong" w:cs="FangSong"/>
          <w:sz w:val="30"/>
          <w:szCs w:val="30"/>
          <w:spacing w:val="22"/>
        </w:rPr>
        <w:t>(一)未按照规定配备或者聘请职业卫生医师和护士的；</w:t>
      </w:r>
    </w:p>
    <w:p>
      <w:pPr>
        <w:ind w:right="26" w:firstLine="629"/>
        <w:spacing w:before="72" w:line="271" w:lineRule="auto"/>
        <w:jc w:val="both"/>
        <w:rPr>
          <w:rFonts w:ascii="FangSong" w:hAnsi="FangSong" w:eastAsia="FangSong" w:cs="FangSong"/>
          <w:sz w:val="30"/>
          <w:szCs w:val="30"/>
        </w:rPr>
      </w:pPr>
      <w:r>
        <w:rPr>
          <w:rFonts w:ascii="FangSong" w:hAnsi="FangSong" w:eastAsia="FangSong" w:cs="FangSong"/>
          <w:sz w:val="30"/>
          <w:szCs w:val="30"/>
          <w:spacing w:val="25"/>
        </w:rPr>
        <w:t>《使用有毒物品作业场所劳动保护条例》第六十五条第(四)</w:t>
      </w:r>
      <w:r>
        <w:rPr>
          <w:rFonts w:ascii="FangSong" w:hAnsi="FangSong" w:eastAsia="FangSong" w:cs="FangSong"/>
          <w:sz w:val="30"/>
          <w:szCs w:val="30"/>
          <w:spacing w:val="24"/>
        </w:rPr>
        <w:t>项</w:t>
      </w:r>
      <w:r>
        <w:rPr>
          <w:rFonts w:ascii="FangSong" w:hAnsi="FangSong" w:eastAsia="FangSong" w:cs="FangSong"/>
          <w:sz w:val="30"/>
          <w:szCs w:val="30"/>
          <w:spacing w:val="24"/>
        </w:rPr>
        <w:t xml:space="preserve">  </w:t>
      </w:r>
      <w:r>
        <w:rPr>
          <w:rFonts w:ascii="FangSong" w:hAnsi="FangSong" w:eastAsia="FangSong" w:cs="FangSong"/>
          <w:sz w:val="30"/>
          <w:szCs w:val="30"/>
          <w:spacing w:val="24"/>
        </w:rPr>
        <w:t>用人单位违反本条例的规定，</w:t>
      </w:r>
      <w:r>
        <w:rPr>
          <w:rFonts w:ascii="FangSong" w:hAnsi="FangSong" w:eastAsia="FangSong" w:cs="FangSong"/>
          <w:sz w:val="30"/>
          <w:szCs w:val="30"/>
        </w:rPr>
        <w:t xml:space="preserve"> </w:t>
      </w:r>
      <w:r>
        <w:rPr>
          <w:rFonts w:ascii="FangSong" w:hAnsi="FangSong" w:eastAsia="FangSong" w:cs="FangSong"/>
          <w:sz w:val="30"/>
          <w:szCs w:val="30"/>
          <w:spacing w:val="25"/>
        </w:rPr>
        <w:t>有下列情形之一的，由疾病预防控制部门给予警告，责令限期改正，处5000元以上2万元以下的罚</w:t>
      </w:r>
      <w:r>
        <w:rPr>
          <w:rFonts w:ascii="FangSong" w:hAnsi="FangSong" w:eastAsia="FangSong" w:cs="FangSong"/>
          <w:sz w:val="30"/>
          <w:szCs w:val="30"/>
          <w:spacing w:val="18"/>
        </w:rPr>
        <w:t xml:space="preserve"> </w:t>
      </w:r>
      <w:r>
        <w:rPr>
          <w:rFonts w:ascii="FangSong" w:hAnsi="FangSong" w:eastAsia="FangSong" w:cs="FangSong"/>
          <w:sz w:val="30"/>
          <w:szCs w:val="30"/>
          <w:spacing w:val="17"/>
        </w:rPr>
        <w:t>款；逾期不改正的，责令停止使用有毒物品作业，或者提请有关人民政府按照国务院规定的权限予以</w:t>
      </w:r>
      <w:r>
        <w:rPr>
          <w:rFonts w:ascii="FangSong" w:hAnsi="FangSong" w:eastAsia="FangSong" w:cs="FangSong"/>
          <w:sz w:val="30"/>
          <w:szCs w:val="30"/>
          <w:spacing w:val="6"/>
        </w:rPr>
        <w:t xml:space="preserve"> </w:t>
      </w:r>
      <w:r>
        <w:rPr>
          <w:rFonts w:ascii="FangSong" w:hAnsi="FangSong" w:eastAsia="FangSong" w:cs="FangSong"/>
          <w:sz w:val="30"/>
          <w:szCs w:val="30"/>
          <w:spacing w:val="17"/>
        </w:rPr>
        <w:t>关闭；造成严重职业中毒危害或者导致职业中毒事故发生的，对负有责任的主管人员和</w:t>
      </w:r>
      <w:r>
        <w:rPr>
          <w:rFonts w:ascii="FangSong" w:hAnsi="FangSong" w:eastAsia="FangSong" w:cs="FangSong"/>
          <w:sz w:val="30"/>
          <w:szCs w:val="30"/>
          <w:spacing w:val="16"/>
        </w:rPr>
        <w:t>其他直接责任</w:t>
      </w:r>
      <w:r>
        <w:rPr>
          <w:rFonts w:ascii="FangSong" w:hAnsi="FangSong" w:eastAsia="FangSong" w:cs="FangSong"/>
          <w:sz w:val="30"/>
          <w:szCs w:val="30"/>
        </w:rPr>
        <w:t xml:space="preserve"> </w:t>
      </w:r>
      <w:r>
        <w:rPr>
          <w:rFonts w:ascii="FangSong" w:hAnsi="FangSong" w:eastAsia="FangSong" w:cs="FangSong"/>
          <w:sz w:val="30"/>
          <w:szCs w:val="30"/>
          <w:spacing w:val="18"/>
        </w:rPr>
        <w:t>人员依照刑法关于重大劳动安全事故罪、危险物品肇事罪或者其他罪的规定，依法追究刑事责任：</w:t>
      </w:r>
    </w:p>
    <w:p>
      <w:pPr>
        <w:ind w:left="779"/>
        <w:spacing w:before="17" w:line="220" w:lineRule="auto"/>
        <w:rPr>
          <w:rFonts w:ascii="FangSong" w:hAnsi="FangSong" w:eastAsia="FangSong" w:cs="FangSong"/>
          <w:sz w:val="30"/>
          <w:szCs w:val="30"/>
        </w:rPr>
      </w:pPr>
      <w:r>
        <w:rPr>
          <w:rFonts w:ascii="FangSong" w:hAnsi="FangSong" w:eastAsia="FangSong" w:cs="FangSong"/>
          <w:sz w:val="30"/>
          <w:szCs w:val="30"/>
          <w:spacing w:val="22"/>
        </w:rPr>
        <w:t>(四)从事高毒作业未按照规定配备应急救援设施或者制定事故应急救援预案的。</w:t>
      </w:r>
    </w:p>
    <w:p>
      <w:pPr>
        <w:ind w:firstLine="670"/>
        <w:spacing w:before="60" w:line="273" w:lineRule="auto"/>
        <w:jc w:val="both"/>
        <w:rPr>
          <w:rFonts w:ascii="FangSong" w:hAnsi="FangSong" w:eastAsia="FangSong" w:cs="FangSong"/>
          <w:sz w:val="30"/>
          <w:szCs w:val="30"/>
        </w:rPr>
      </w:pPr>
      <w:r>
        <w:rPr>
          <w:rFonts w:ascii="FangSong" w:hAnsi="FangSong" w:eastAsia="FangSong" w:cs="FangSong"/>
          <w:sz w:val="30"/>
          <w:szCs w:val="30"/>
          <w:spacing w:val="37"/>
        </w:rPr>
        <w:t>3</w:t>
      </w:r>
      <w:r>
        <w:rPr>
          <w:rFonts w:ascii="FangSong" w:hAnsi="FangSong" w:eastAsia="FangSong" w:cs="FangSong"/>
          <w:sz w:val="30"/>
          <w:szCs w:val="30"/>
          <w:spacing w:val="-70"/>
        </w:rPr>
        <w:t xml:space="preserve"> </w:t>
      </w:r>
      <w:r>
        <w:rPr>
          <w:rFonts w:ascii="FangSong" w:hAnsi="FangSong" w:eastAsia="FangSong" w:cs="FangSong"/>
          <w:sz w:val="30"/>
          <w:szCs w:val="30"/>
          <w:spacing w:val="37"/>
        </w:rPr>
        <w:t>.</w:t>
      </w:r>
      <w:r>
        <w:rPr>
          <w:rFonts w:ascii="FangSong" w:hAnsi="FangSong" w:eastAsia="FangSong" w:cs="FangSong"/>
          <w:sz w:val="30"/>
          <w:szCs w:val="30"/>
          <w:spacing w:val="37"/>
        </w:rPr>
        <w:t xml:space="preserve"> </w:t>
      </w:r>
      <w:r>
        <w:rPr>
          <w:rFonts w:ascii="FangSong" w:hAnsi="FangSong" w:eastAsia="FangSong" w:cs="FangSong"/>
          <w:sz w:val="30"/>
          <w:szCs w:val="30"/>
          <w:spacing w:val="37"/>
        </w:rPr>
        <w:t>《工作场所职业卫生管理规定》第四十八条第(</w:t>
      </w:r>
      <w:r>
        <w:rPr>
          <w:rFonts w:ascii="FangSong" w:hAnsi="FangSong" w:eastAsia="FangSong" w:cs="FangSong"/>
          <w:sz w:val="30"/>
          <w:szCs w:val="30"/>
          <w:spacing w:val="-63"/>
        </w:rPr>
        <w:t xml:space="preserve"> </w:t>
      </w:r>
      <w:r>
        <w:rPr>
          <w:rFonts w:ascii="FangSong" w:hAnsi="FangSong" w:eastAsia="FangSong" w:cs="FangSong"/>
          <w:sz w:val="30"/>
          <w:szCs w:val="30"/>
          <w:spacing w:val="37"/>
        </w:rPr>
        <w:t>一)项、第(二)项、第(三)项、第(四)</w:t>
      </w:r>
      <w:r>
        <w:rPr>
          <w:rFonts w:ascii="FangSong" w:hAnsi="FangSong" w:eastAsia="FangSong" w:cs="FangSong"/>
          <w:sz w:val="30"/>
          <w:szCs w:val="30"/>
        </w:rPr>
        <w:t xml:space="preserve"> </w:t>
      </w:r>
      <w:r>
        <w:rPr>
          <w:rFonts w:ascii="FangSong" w:hAnsi="FangSong" w:eastAsia="FangSong" w:cs="FangSong"/>
          <w:sz w:val="30"/>
          <w:szCs w:val="30"/>
          <w:spacing w:val="23"/>
        </w:rPr>
        <w:t>项、第(五)项</w:t>
      </w:r>
      <w:r>
        <w:rPr>
          <w:rFonts w:ascii="FangSong" w:hAnsi="FangSong" w:eastAsia="FangSong" w:cs="FangSong"/>
          <w:sz w:val="30"/>
          <w:szCs w:val="30"/>
          <w:spacing w:val="23"/>
        </w:rPr>
        <w:t xml:space="preserve">  </w:t>
      </w:r>
      <w:r>
        <w:rPr>
          <w:rFonts w:ascii="FangSong" w:hAnsi="FangSong" w:eastAsia="FangSong" w:cs="FangSong"/>
          <w:sz w:val="30"/>
          <w:szCs w:val="30"/>
          <w:spacing w:val="23"/>
        </w:rPr>
        <w:t>用人单位有下列情形之一的，责令限期改正，给予警告；逾期未改正的，处十万元</w:t>
      </w:r>
      <w:r>
        <w:rPr>
          <w:rFonts w:ascii="FangSong" w:hAnsi="FangSong" w:eastAsia="FangSong" w:cs="FangSong"/>
          <w:sz w:val="30"/>
          <w:szCs w:val="30"/>
          <w:spacing w:val="9"/>
        </w:rPr>
        <w:t xml:space="preserve"> </w:t>
      </w:r>
      <w:r>
        <w:rPr>
          <w:rFonts w:ascii="FangSong" w:hAnsi="FangSong" w:eastAsia="FangSong" w:cs="FangSong"/>
          <w:sz w:val="30"/>
          <w:szCs w:val="30"/>
        </w:rPr>
        <w:t>以下的罚款：</w:t>
      </w:r>
    </w:p>
    <w:p>
      <w:pPr>
        <w:ind w:left="779"/>
        <w:spacing w:before="33" w:line="222" w:lineRule="auto"/>
        <w:rPr>
          <w:rFonts w:ascii="FangSong" w:hAnsi="FangSong" w:eastAsia="FangSong" w:cs="FangSong"/>
          <w:sz w:val="30"/>
          <w:szCs w:val="30"/>
        </w:rPr>
      </w:pPr>
      <w:r>
        <w:rPr>
          <w:rFonts w:ascii="FangSong" w:hAnsi="FangSong" w:eastAsia="FangSong" w:cs="FangSong"/>
          <w:sz w:val="30"/>
          <w:szCs w:val="30"/>
          <w:spacing w:val="23"/>
        </w:rPr>
        <w:t>(一)未按照规定制定职业病防治计划和实施方案的；</w:t>
      </w:r>
    </w:p>
    <w:p>
      <w:pPr>
        <w:ind w:right="75" w:firstLine="779"/>
        <w:spacing w:before="46" w:line="248" w:lineRule="auto"/>
        <w:rPr>
          <w:rFonts w:ascii="FangSong" w:hAnsi="FangSong" w:eastAsia="FangSong" w:cs="FangSong"/>
          <w:sz w:val="30"/>
          <w:szCs w:val="30"/>
        </w:rPr>
      </w:pPr>
      <w:r>
        <w:rPr>
          <w:rFonts w:ascii="FangSong" w:hAnsi="FangSong" w:eastAsia="FangSong" w:cs="FangSong"/>
          <w:sz w:val="30"/>
          <w:szCs w:val="30"/>
          <w:spacing w:val="21"/>
        </w:rPr>
        <w:t>(二)未按照规定设置或者指定职业卫生管</w:t>
      </w:r>
      <w:r>
        <w:rPr>
          <w:rFonts w:ascii="FangSong" w:hAnsi="FangSong" w:eastAsia="FangSong" w:cs="FangSong"/>
          <w:sz w:val="30"/>
          <w:szCs w:val="30"/>
          <w:spacing w:val="20"/>
        </w:rPr>
        <w:t>理机构或者组织，或者未配备专职或者兼职的职业卫</w:t>
      </w:r>
      <w:r>
        <w:rPr>
          <w:rFonts w:ascii="FangSong" w:hAnsi="FangSong" w:eastAsia="FangSong" w:cs="FangSong"/>
          <w:sz w:val="30"/>
          <w:szCs w:val="30"/>
        </w:rPr>
        <w:t xml:space="preserve"> </w:t>
      </w:r>
      <w:r>
        <w:rPr>
          <w:rFonts w:ascii="FangSong" w:hAnsi="FangSong" w:eastAsia="FangSong" w:cs="FangSong"/>
          <w:sz w:val="30"/>
          <w:szCs w:val="30"/>
          <w:spacing w:val="4"/>
        </w:rPr>
        <w:t>生管理人员的；</w:t>
      </w:r>
    </w:p>
    <w:p>
      <w:pPr>
        <w:ind w:left="779"/>
        <w:spacing w:before="76" w:line="220" w:lineRule="auto"/>
        <w:rPr>
          <w:rFonts w:ascii="FangSong" w:hAnsi="FangSong" w:eastAsia="FangSong" w:cs="FangSong"/>
          <w:sz w:val="30"/>
          <w:szCs w:val="30"/>
        </w:rPr>
      </w:pPr>
      <w:r>
        <w:rPr>
          <w:rFonts w:ascii="FangSong" w:hAnsi="FangSong" w:eastAsia="FangSong" w:cs="FangSong"/>
          <w:sz w:val="30"/>
          <w:szCs w:val="30"/>
          <w:spacing w:val="22"/>
        </w:rPr>
        <w:t>(三)未按照规定建立、健全职业卫生管理制度和操作规程的；</w:t>
      </w:r>
    </w:p>
    <w:p>
      <w:pPr>
        <w:ind w:left="779"/>
        <w:spacing w:before="86" w:line="222" w:lineRule="auto"/>
        <w:rPr>
          <w:rFonts w:ascii="FangSong" w:hAnsi="FangSong" w:eastAsia="FangSong" w:cs="FangSong"/>
          <w:sz w:val="30"/>
          <w:szCs w:val="30"/>
        </w:rPr>
      </w:pPr>
      <w:r>
        <w:rPr>
          <w:rFonts w:ascii="FangSong" w:hAnsi="FangSong" w:eastAsia="FangSong" w:cs="FangSong"/>
          <w:sz w:val="30"/>
          <w:szCs w:val="30"/>
          <w:spacing w:val="22"/>
        </w:rPr>
        <w:t>(四)未按照规定建立、健全职业卫生档案和劳动者健康监护档案的；</w:t>
      </w:r>
    </w:p>
    <w:p>
      <w:pPr>
        <w:ind w:left="779"/>
        <w:spacing w:before="76" w:line="220" w:lineRule="auto"/>
        <w:rPr>
          <w:rFonts w:ascii="FangSong" w:hAnsi="FangSong" w:eastAsia="FangSong" w:cs="FangSong"/>
          <w:sz w:val="30"/>
          <w:szCs w:val="30"/>
        </w:rPr>
      </w:pPr>
      <w:r>
        <w:rPr>
          <w:rFonts w:ascii="FangSong" w:hAnsi="FangSong" w:eastAsia="FangSong" w:cs="FangSong"/>
          <w:sz w:val="30"/>
          <w:szCs w:val="30"/>
          <w:spacing w:val="22"/>
        </w:rPr>
        <w:t>(五)未建立、健全工作场所职业病危害因素监测及评价制度的；</w:t>
      </w:r>
    </w:p>
    <w:p>
      <w:pPr>
        <w:pStyle w:val="BodyText"/>
        <w:spacing w:line="318" w:lineRule="auto"/>
        <w:rPr/>
      </w:pPr>
      <w:r/>
    </w:p>
    <w:p>
      <w:pPr>
        <w:pStyle w:val="BodyText"/>
        <w:spacing w:line="319" w:lineRule="auto"/>
        <w:rPr/>
      </w:pPr>
      <w:r/>
    </w:p>
    <w:p>
      <w:pPr>
        <w:pStyle w:val="BodyText"/>
        <w:spacing w:line="319" w:lineRule="auto"/>
        <w:rPr/>
      </w:pPr>
      <w:r/>
    </w:p>
    <w:p>
      <w:pPr>
        <w:ind w:left="6349"/>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—531—</w:t>
      </w:r>
    </w:p>
    <w:p>
      <w:pPr>
        <w:spacing w:line="188" w:lineRule="auto"/>
        <w:sectPr>
          <w:footerReference w:type="default" r:id="rId24"/>
          <w:pgSz w:w="16830" w:h="11900"/>
          <w:pgMar w:top="1011" w:right="1383" w:bottom="400" w:left="1430" w:header="0" w:footer="0" w:gutter="0"/>
        </w:sectPr>
        <w:rPr>
          <w:rFonts w:ascii="Times New Roman" w:hAnsi="Times New Roman" w:eastAsia="Times New Roman" w:cs="Times New Roman"/>
          <w:sz w:val="37"/>
          <w:szCs w:val="37"/>
        </w:rPr>
      </w:pPr>
    </w:p>
    <w:p>
      <w:pPr>
        <w:pStyle w:val="BodyText"/>
        <w:spacing w:line="259" w:lineRule="auto"/>
        <w:rPr/>
      </w:pPr>
      <w:r/>
    </w:p>
    <w:p>
      <w:pPr>
        <w:pStyle w:val="BodyText"/>
        <w:spacing w:line="259" w:lineRule="auto"/>
        <w:rPr/>
      </w:pPr>
      <w:r/>
    </w:p>
    <w:p>
      <w:pPr>
        <w:pStyle w:val="BodyText"/>
        <w:spacing w:line="260" w:lineRule="auto"/>
        <w:rPr/>
      </w:pPr>
      <w:r/>
    </w:p>
    <w:p>
      <w:pPr>
        <w:ind w:left="6419"/>
        <w:spacing w:before="94" w:line="214" w:lineRule="auto"/>
        <w:rPr>
          <w:rFonts w:ascii="SimSun" w:hAnsi="SimSun" w:eastAsia="SimSun" w:cs="SimSun"/>
          <w:sz w:val="29"/>
          <w:szCs w:val="29"/>
        </w:rPr>
      </w:pPr>
      <w:bookmarkStart w:name="bookmark1123" w:id="498"/>
      <w:bookmarkEnd w:id="498"/>
      <w:r>
        <w:rPr>
          <w:rFonts w:ascii="SimSun" w:hAnsi="SimSun" w:eastAsia="SimSun" w:cs="SimSun"/>
          <w:sz w:val="29"/>
          <w:szCs w:val="29"/>
          <w:b/>
          <w:bCs/>
          <w:spacing w:val="-6"/>
        </w:rPr>
        <w:t>裁量标准</w:t>
      </w:r>
    </w:p>
    <w:tbl>
      <w:tblPr>
        <w:tblStyle w:val="TableNormal"/>
        <w:tblW w:w="138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33"/>
        <w:gridCol w:w="8334"/>
        <w:gridCol w:w="3972"/>
      </w:tblGrid>
      <w:tr>
        <w:trPr>
          <w:trHeight w:val="664" w:hRule="atLeast"/>
        </w:trPr>
        <w:tc>
          <w:tcPr>
            <w:tcW w:w="1533" w:type="dxa"/>
            <w:vAlign w:val="top"/>
          </w:tcPr>
          <w:p>
            <w:pPr>
              <w:pStyle w:val="TableText"/>
              <w:ind w:left="258"/>
              <w:spacing w:before="212" w:line="220" w:lineRule="auto"/>
              <w:rPr>
                <w:sz w:val="25"/>
                <w:szCs w:val="25"/>
              </w:rPr>
            </w:pPr>
            <w:r>
              <w:rPr>
                <w:sz w:val="25"/>
                <w:szCs w:val="25"/>
                <w:b/>
                <w:bCs/>
                <w:spacing w:val="-5"/>
              </w:rPr>
              <w:t>违法程度</w:t>
            </w:r>
          </w:p>
        </w:tc>
        <w:tc>
          <w:tcPr>
            <w:tcW w:w="8334" w:type="dxa"/>
            <w:vAlign w:val="top"/>
          </w:tcPr>
          <w:p>
            <w:pPr>
              <w:pStyle w:val="TableText"/>
              <w:ind w:left="3595"/>
              <w:spacing w:before="212" w:line="220" w:lineRule="auto"/>
              <w:rPr>
                <w:sz w:val="25"/>
                <w:szCs w:val="25"/>
              </w:rPr>
            </w:pPr>
            <w:r>
              <w:rPr>
                <w:sz w:val="25"/>
                <w:szCs w:val="25"/>
                <w:b/>
                <w:bCs/>
                <w:spacing w:val="-5"/>
              </w:rPr>
              <w:t>情节后果</w:t>
            </w:r>
          </w:p>
        </w:tc>
        <w:tc>
          <w:tcPr>
            <w:tcW w:w="3972" w:type="dxa"/>
            <w:vAlign w:val="top"/>
          </w:tcPr>
          <w:p>
            <w:pPr>
              <w:pStyle w:val="TableText"/>
              <w:ind w:left="1431"/>
              <w:spacing w:before="209" w:line="218" w:lineRule="auto"/>
              <w:rPr>
                <w:sz w:val="25"/>
                <w:szCs w:val="25"/>
              </w:rPr>
            </w:pPr>
            <w:r>
              <w:rPr>
                <w:sz w:val="25"/>
                <w:szCs w:val="25"/>
                <w:b/>
                <w:bCs/>
                <w:spacing w:val="-5"/>
              </w:rPr>
              <w:t>裁量幅度</w:t>
            </w:r>
          </w:p>
        </w:tc>
      </w:tr>
      <w:tr>
        <w:trPr>
          <w:trHeight w:val="509" w:hRule="atLeast"/>
        </w:trPr>
        <w:tc>
          <w:tcPr>
            <w:tcW w:w="1533" w:type="dxa"/>
            <w:vAlign w:val="top"/>
          </w:tcPr>
          <w:p>
            <w:pPr>
              <w:pStyle w:val="TableText"/>
              <w:ind w:left="508"/>
              <w:spacing w:before="127" w:line="219" w:lineRule="auto"/>
              <w:rPr>
                <w:sz w:val="25"/>
                <w:szCs w:val="25"/>
              </w:rPr>
            </w:pPr>
            <w:r>
              <w:rPr>
                <w:sz w:val="25"/>
                <w:szCs w:val="25"/>
                <w:b/>
                <w:bCs/>
                <w:spacing w:val="-6"/>
              </w:rPr>
              <w:t>轻微</w:t>
            </w:r>
          </w:p>
        </w:tc>
        <w:tc>
          <w:tcPr>
            <w:tcW w:w="8334" w:type="dxa"/>
            <w:vAlign w:val="top"/>
          </w:tcPr>
          <w:p>
            <w:pPr>
              <w:pStyle w:val="TableText"/>
              <w:ind w:left="82"/>
              <w:spacing w:before="129" w:line="219" w:lineRule="auto"/>
              <w:rPr>
                <w:sz w:val="25"/>
                <w:szCs w:val="25"/>
              </w:rPr>
            </w:pPr>
            <w:r>
              <w:rPr>
                <w:sz w:val="25"/>
                <w:szCs w:val="25"/>
                <w:spacing w:val="1"/>
              </w:rPr>
              <w:t>未按照规定采取职业病防治管理措施的</w:t>
            </w:r>
          </w:p>
        </w:tc>
        <w:tc>
          <w:tcPr>
            <w:tcW w:w="3972" w:type="dxa"/>
            <w:vAlign w:val="top"/>
          </w:tcPr>
          <w:p>
            <w:pPr>
              <w:pStyle w:val="TableText"/>
              <w:ind w:left="128"/>
              <w:spacing w:before="129" w:line="218" w:lineRule="auto"/>
              <w:rPr>
                <w:sz w:val="25"/>
                <w:szCs w:val="25"/>
              </w:rPr>
            </w:pPr>
            <w:r>
              <w:rPr>
                <w:sz w:val="25"/>
                <w:szCs w:val="25"/>
                <w:spacing w:val="1"/>
              </w:rPr>
              <w:t>给予警告，责令限期改正</w:t>
            </w:r>
          </w:p>
        </w:tc>
      </w:tr>
      <w:tr>
        <w:trPr>
          <w:trHeight w:val="1107" w:hRule="atLeast"/>
        </w:trPr>
        <w:tc>
          <w:tcPr>
            <w:tcW w:w="1533" w:type="dxa"/>
            <w:vAlign w:val="top"/>
          </w:tcPr>
          <w:p>
            <w:pPr>
              <w:spacing w:line="346" w:lineRule="auto"/>
              <w:rPr>
                <w:rFonts w:ascii="Arial"/>
                <w:sz w:val="21"/>
              </w:rPr>
            </w:pPr>
            <w:r/>
          </w:p>
          <w:p>
            <w:pPr>
              <w:pStyle w:val="TableText"/>
              <w:ind w:left="508"/>
              <w:spacing w:before="82" w:line="221" w:lineRule="auto"/>
              <w:rPr>
                <w:sz w:val="25"/>
                <w:szCs w:val="25"/>
              </w:rPr>
            </w:pPr>
            <w:r>
              <w:rPr>
                <w:sz w:val="25"/>
                <w:szCs w:val="25"/>
                <w:b/>
                <w:bCs/>
                <w:spacing w:val="-10"/>
              </w:rPr>
              <w:t>一般</w:t>
            </w:r>
          </w:p>
        </w:tc>
        <w:tc>
          <w:tcPr>
            <w:tcW w:w="8334" w:type="dxa"/>
            <w:vAlign w:val="top"/>
          </w:tcPr>
          <w:p>
            <w:pPr>
              <w:pStyle w:val="TableText"/>
              <w:spacing w:before="110" w:line="219" w:lineRule="auto"/>
              <w:jc w:val="right"/>
              <w:rPr>
                <w:sz w:val="25"/>
                <w:szCs w:val="25"/>
              </w:rPr>
            </w:pPr>
            <w:r>
              <w:rPr>
                <w:sz w:val="25"/>
                <w:szCs w:val="25"/>
                <w:spacing w:val="-9"/>
              </w:rPr>
              <w:t>有下列情形之一的，经责令限期改正，逾期不改正，仍存在以下违法情形的：</w:t>
            </w:r>
          </w:p>
          <w:p>
            <w:pPr>
              <w:pStyle w:val="TableText"/>
              <w:ind w:left="82"/>
              <w:spacing w:before="53" w:line="219" w:lineRule="auto"/>
              <w:rPr>
                <w:sz w:val="25"/>
                <w:szCs w:val="25"/>
              </w:rPr>
            </w:pPr>
            <w:r>
              <w:rPr>
                <w:sz w:val="25"/>
                <w:szCs w:val="25"/>
                <w:spacing w:val="1"/>
              </w:rPr>
              <w:t>A.未按照规定采取职业病防治管理措施任意1-2</w:t>
            </w:r>
            <w:r>
              <w:rPr>
                <w:sz w:val="25"/>
                <w:szCs w:val="25"/>
              </w:rPr>
              <w:t>项的</w:t>
            </w:r>
          </w:p>
          <w:p>
            <w:pPr>
              <w:pStyle w:val="TableText"/>
              <w:ind w:left="82"/>
              <w:spacing w:before="44" w:line="218" w:lineRule="auto"/>
              <w:rPr>
                <w:sz w:val="25"/>
                <w:szCs w:val="25"/>
              </w:rPr>
            </w:pPr>
            <w:r>
              <w:rPr>
                <w:sz w:val="25"/>
                <w:szCs w:val="25"/>
                <w:spacing w:val="1"/>
              </w:rPr>
              <w:t>B.未按照规定建立、健全职业卫生管理制度和操作</w:t>
            </w:r>
            <w:r>
              <w:rPr>
                <w:sz w:val="25"/>
                <w:szCs w:val="25"/>
              </w:rPr>
              <w:t>规程，缺少1-2项的</w:t>
            </w:r>
          </w:p>
        </w:tc>
        <w:tc>
          <w:tcPr>
            <w:tcW w:w="3972" w:type="dxa"/>
            <w:vAlign w:val="top"/>
          </w:tcPr>
          <w:p>
            <w:pPr>
              <w:spacing w:line="349" w:lineRule="auto"/>
              <w:rPr>
                <w:rFonts w:ascii="Arial"/>
                <w:sz w:val="21"/>
              </w:rPr>
            </w:pPr>
            <w:r/>
          </w:p>
          <w:p>
            <w:pPr>
              <w:pStyle w:val="TableText"/>
              <w:ind w:left="128"/>
              <w:spacing w:before="82" w:line="220" w:lineRule="auto"/>
              <w:rPr>
                <w:sz w:val="25"/>
                <w:szCs w:val="25"/>
              </w:rPr>
            </w:pPr>
            <w:r>
              <w:rPr>
                <w:sz w:val="25"/>
                <w:szCs w:val="25"/>
                <w:spacing w:val="1"/>
              </w:rPr>
              <w:t>处三万元以下的罚款</w:t>
            </w:r>
          </w:p>
        </w:tc>
      </w:tr>
      <w:tr>
        <w:trPr>
          <w:trHeight w:val="1038" w:hRule="atLeast"/>
        </w:trPr>
        <w:tc>
          <w:tcPr>
            <w:tcW w:w="1533" w:type="dxa"/>
            <w:vAlign w:val="top"/>
          </w:tcPr>
          <w:p>
            <w:pPr>
              <w:spacing w:line="321" w:lineRule="auto"/>
              <w:rPr>
                <w:rFonts w:ascii="Arial"/>
                <w:sz w:val="21"/>
              </w:rPr>
            </w:pPr>
            <w:r/>
          </w:p>
          <w:p>
            <w:pPr>
              <w:pStyle w:val="TableText"/>
              <w:ind w:left="508"/>
              <w:spacing w:before="82" w:line="221" w:lineRule="auto"/>
              <w:rPr>
                <w:sz w:val="25"/>
                <w:szCs w:val="25"/>
              </w:rPr>
            </w:pPr>
            <w:r>
              <w:rPr>
                <w:sz w:val="25"/>
                <w:szCs w:val="25"/>
                <w:b/>
                <w:bCs/>
                <w:spacing w:val="-6"/>
              </w:rPr>
              <w:t>较重</w:t>
            </w:r>
          </w:p>
        </w:tc>
        <w:tc>
          <w:tcPr>
            <w:tcW w:w="8334" w:type="dxa"/>
            <w:vAlign w:val="top"/>
          </w:tcPr>
          <w:p>
            <w:pPr>
              <w:pStyle w:val="TableText"/>
              <w:spacing w:before="73" w:line="219" w:lineRule="auto"/>
              <w:jc w:val="right"/>
              <w:rPr>
                <w:sz w:val="25"/>
                <w:szCs w:val="25"/>
              </w:rPr>
            </w:pPr>
            <w:r>
              <w:rPr>
                <w:sz w:val="25"/>
                <w:szCs w:val="25"/>
                <w:spacing w:val="-9"/>
              </w:rPr>
              <w:t>有下列情形之一的，经责令限期改正，逾期不改正，仍存在以下违法情形的：</w:t>
            </w:r>
          </w:p>
          <w:p>
            <w:pPr>
              <w:pStyle w:val="TableText"/>
              <w:ind w:left="82"/>
              <w:spacing w:before="33" w:line="219" w:lineRule="auto"/>
              <w:rPr>
                <w:sz w:val="25"/>
                <w:szCs w:val="25"/>
              </w:rPr>
            </w:pPr>
            <w:r>
              <w:rPr>
                <w:sz w:val="25"/>
                <w:szCs w:val="25"/>
                <w:spacing w:val="1"/>
              </w:rPr>
              <w:t>A.未按照规定采取职业病防治管理措施任意3-4</w:t>
            </w:r>
            <w:r>
              <w:rPr>
                <w:sz w:val="25"/>
                <w:szCs w:val="25"/>
              </w:rPr>
              <w:t>项的</w:t>
            </w:r>
          </w:p>
          <w:p>
            <w:pPr>
              <w:pStyle w:val="TableText"/>
              <w:ind w:left="82"/>
              <w:spacing w:before="44" w:line="209" w:lineRule="auto"/>
              <w:rPr>
                <w:sz w:val="25"/>
                <w:szCs w:val="25"/>
              </w:rPr>
            </w:pPr>
            <w:r>
              <w:rPr>
                <w:sz w:val="25"/>
                <w:szCs w:val="25"/>
                <w:spacing w:val="1"/>
              </w:rPr>
              <w:t>B.未按照规定建立、健全职业卫生管理制度和操作</w:t>
            </w:r>
            <w:r>
              <w:rPr>
                <w:sz w:val="25"/>
                <w:szCs w:val="25"/>
              </w:rPr>
              <w:t>规程，缺少3-5项的</w:t>
            </w:r>
          </w:p>
        </w:tc>
        <w:tc>
          <w:tcPr>
            <w:tcW w:w="3972" w:type="dxa"/>
            <w:vAlign w:val="top"/>
          </w:tcPr>
          <w:p>
            <w:pPr>
              <w:spacing w:line="322" w:lineRule="auto"/>
              <w:rPr>
                <w:rFonts w:ascii="Arial"/>
                <w:sz w:val="21"/>
              </w:rPr>
            </w:pPr>
            <w:r/>
          </w:p>
          <w:p>
            <w:pPr>
              <w:pStyle w:val="TableText"/>
              <w:ind w:left="128"/>
              <w:spacing w:before="82" w:line="220" w:lineRule="auto"/>
              <w:rPr>
                <w:sz w:val="25"/>
                <w:szCs w:val="25"/>
              </w:rPr>
            </w:pPr>
            <w:r>
              <w:rPr>
                <w:sz w:val="25"/>
                <w:szCs w:val="25"/>
              </w:rPr>
              <w:t>处三万元以上六万元以下的罚款</w:t>
            </w:r>
          </w:p>
        </w:tc>
      </w:tr>
      <w:tr>
        <w:trPr>
          <w:trHeight w:val="1152" w:hRule="atLeast"/>
        </w:trPr>
        <w:tc>
          <w:tcPr>
            <w:tcW w:w="1533" w:type="dxa"/>
            <w:vAlign w:val="top"/>
          </w:tcPr>
          <w:p>
            <w:pPr>
              <w:spacing w:line="371" w:lineRule="auto"/>
              <w:rPr>
                <w:rFonts w:ascii="Arial"/>
                <w:sz w:val="21"/>
              </w:rPr>
            </w:pPr>
            <w:r/>
          </w:p>
          <w:p>
            <w:pPr>
              <w:pStyle w:val="TableText"/>
              <w:ind w:left="508"/>
              <w:spacing w:before="81" w:line="220" w:lineRule="auto"/>
              <w:rPr>
                <w:sz w:val="25"/>
                <w:szCs w:val="25"/>
              </w:rPr>
            </w:pPr>
            <w:r>
              <w:rPr>
                <w:sz w:val="25"/>
                <w:szCs w:val="25"/>
                <w:b/>
                <w:bCs/>
                <w:spacing w:val="-6"/>
              </w:rPr>
              <w:t>严重</w:t>
            </w:r>
          </w:p>
        </w:tc>
        <w:tc>
          <w:tcPr>
            <w:tcW w:w="8334" w:type="dxa"/>
            <w:vAlign w:val="top"/>
          </w:tcPr>
          <w:p>
            <w:pPr>
              <w:pStyle w:val="TableText"/>
              <w:spacing w:before="125" w:line="219" w:lineRule="auto"/>
              <w:jc w:val="right"/>
              <w:rPr>
                <w:sz w:val="25"/>
                <w:szCs w:val="25"/>
              </w:rPr>
            </w:pPr>
            <w:r>
              <w:rPr>
                <w:sz w:val="25"/>
                <w:szCs w:val="25"/>
                <w:spacing w:val="-9"/>
              </w:rPr>
              <w:t>有下列情形之一的，经责令限期改正，逾期不改正，仍存在以下违法情形的：</w:t>
            </w:r>
          </w:p>
          <w:p>
            <w:pPr>
              <w:pStyle w:val="TableText"/>
              <w:ind w:left="82"/>
              <w:spacing w:before="63" w:line="219" w:lineRule="auto"/>
              <w:rPr>
                <w:sz w:val="25"/>
                <w:szCs w:val="25"/>
              </w:rPr>
            </w:pPr>
            <w:r>
              <w:rPr>
                <w:sz w:val="25"/>
                <w:szCs w:val="25"/>
                <w:spacing w:val="1"/>
              </w:rPr>
              <w:t>A.未按照规定采取职业病防治管理措施5项以上的</w:t>
            </w:r>
          </w:p>
          <w:p>
            <w:pPr>
              <w:pStyle w:val="TableText"/>
              <w:ind w:left="82"/>
              <w:spacing w:before="45" w:line="219" w:lineRule="auto"/>
              <w:rPr>
                <w:sz w:val="25"/>
                <w:szCs w:val="25"/>
              </w:rPr>
            </w:pPr>
            <w:r>
              <w:rPr>
                <w:sz w:val="25"/>
                <w:szCs w:val="25"/>
                <w:spacing w:val="1"/>
              </w:rPr>
              <w:t>B.未按照规定建立、健全职业卫生管理制度和操作</w:t>
            </w:r>
            <w:r>
              <w:rPr>
                <w:sz w:val="25"/>
                <w:szCs w:val="25"/>
              </w:rPr>
              <w:t>规程，缺少6项的</w:t>
            </w:r>
          </w:p>
        </w:tc>
        <w:tc>
          <w:tcPr>
            <w:tcW w:w="3972" w:type="dxa"/>
            <w:vAlign w:val="top"/>
          </w:tcPr>
          <w:p>
            <w:pPr>
              <w:spacing w:line="374" w:lineRule="auto"/>
              <w:rPr>
                <w:rFonts w:ascii="Arial"/>
                <w:sz w:val="21"/>
              </w:rPr>
            </w:pPr>
            <w:r/>
          </w:p>
          <w:p>
            <w:pPr>
              <w:pStyle w:val="TableText"/>
              <w:ind w:left="128"/>
              <w:spacing w:before="81" w:line="220" w:lineRule="auto"/>
              <w:rPr>
                <w:sz w:val="25"/>
                <w:szCs w:val="25"/>
              </w:rPr>
            </w:pPr>
            <w:r>
              <w:rPr>
                <w:sz w:val="25"/>
                <w:szCs w:val="25"/>
              </w:rPr>
              <w:t>处六万元以上十万元以下的罚款</w:t>
            </w:r>
          </w:p>
        </w:tc>
      </w:tr>
    </w:tbl>
    <w:p>
      <w:pPr>
        <w:pStyle w:val="BodyText"/>
        <w:spacing w:line="426" w:lineRule="auto"/>
        <w:rPr/>
      </w:pPr>
      <w:r/>
    </w:p>
    <w:p>
      <w:pPr>
        <w:ind w:left="19" w:right="122" w:firstLine="639"/>
        <w:spacing w:before="98" w:line="279" w:lineRule="auto"/>
        <w:rPr>
          <w:rFonts w:ascii="FangSong" w:hAnsi="FangSong" w:eastAsia="FangSong" w:cs="FangSong"/>
          <w:sz w:val="30"/>
          <w:szCs w:val="30"/>
        </w:rPr>
      </w:pPr>
      <w:r>
        <w:rPr>
          <w:rFonts w:ascii="FangSong" w:hAnsi="FangSong" w:eastAsia="FangSong" w:cs="FangSong"/>
          <w:sz w:val="30"/>
          <w:szCs w:val="30"/>
          <w:b/>
          <w:bCs/>
          <w:spacing w:val="21"/>
        </w:rPr>
        <w:t>第四百五十三条未按照规定公布有关职业病防治的</w:t>
      </w:r>
      <w:r>
        <w:rPr>
          <w:rFonts w:ascii="FangSong" w:hAnsi="FangSong" w:eastAsia="FangSong" w:cs="FangSong"/>
          <w:sz w:val="30"/>
          <w:szCs w:val="30"/>
          <w:b/>
          <w:bCs/>
          <w:spacing w:val="20"/>
        </w:rPr>
        <w:t>规章制度、操作规程、职业病危害事故应急</w:t>
      </w:r>
      <w:r>
        <w:rPr>
          <w:rFonts w:ascii="FangSong" w:hAnsi="FangSong" w:eastAsia="FangSong" w:cs="FangSong"/>
          <w:sz w:val="30"/>
          <w:szCs w:val="30"/>
        </w:rPr>
        <w:t xml:space="preserve"> </w:t>
      </w:r>
      <w:r>
        <w:rPr>
          <w:rFonts w:ascii="FangSong" w:hAnsi="FangSong" w:eastAsia="FangSong" w:cs="FangSong"/>
          <w:sz w:val="30"/>
          <w:szCs w:val="30"/>
          <w:b/>
          <w:bCs/>
          <w:spacing w:val="13"/>
        </w:rPr>
        <w:t>救援措施的</w:t>
      </w:r>
    </w:p>
    <w:p>
      <w:pPr>
        <w:ind w:left="654"/>
        <w:spacing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15" w:firstLine="639"/>
        <w:spacing w:before="85" w:line="276" w:lineRule="auto"/>
        <w:jc w:val="both"/>
        <w:rPr>
          <w:rFonts w:ascii="FangSong" w:hAnsi="FangSong" w:eastAsia="FangSong" w:cs="FangSong"/>
          <w:sz w:val="30"/>
          <w:szCs w:val="30"/>
        </w:rPr>
      </w:pPr>
      <w:r>
        <w:rPr>
          <w:rFonts w:ascii="FangSong" w:hAnsi="FangSong" w:eastAsia="FangSong" w:cs="FangSong"/>
          <w:sz w:val="30"/>
          <w:szCs w:val="30"/>
          <w:spacing w:val="17"/>
        </w:rPr>
        <w:t>1.</w:t>
      </w:r>
      <w:r>
        <w:rPr>
          <w:rFonts w:ascii="FangSong" w:hAnsi="FangSong" w:eastAsia="FangSong" w:cs="FangSong"/>
          <w:sz w:val="30"/>
          <w:szCs w:val="30"/>
          <w:spacing w:val="17"/>
        </w:rPr>
        <w:t xml:space="preserve"> </w:t>
      </w:r>
      <w:r>
        <w:rPr>
          <w:rFonts w:ascii="FangSong" w:hAnsi="FangSong" w:eastAsia="FangSong" w:cs="FangSong"/>
          <w:sz w:val="30"/>
          <w:szCs w:val="30"/>
          <w:spacing w:val="17"/>
        </w:rPr>
        <w:t>《中华人民共和国职业病防治法》第七十条第(三)项</w:t>
      </w:r>
      <w:r>
        <w:rPr>
          <w:rFonts w:ascii="FangSong" w:hAnsi="FangSong" w:eastAsia="FangSong" w:cs="FangSong"/>
          <w:sz w:val="30"/>
          <w:szCs w:val="30"/>
          <w:spacing w:val="17"/>
        </w:rPr>
        <w:t xml:space="preserve">   </w:t>
      </w:r>
      <w:r>
        <w:rPr>
          <w:rFonts w:ascii="FangSong" w:hAnsi="FangSong" w:eastAsia="FangSong" w:cs="FangSong"/>
          <w:sz w:val="30"/>
          <w:szCs w:val="30"/>
          <w:spacing w:val="17"/>
        </w:rPr>
        <w:t>违反本法规定，有下列行为之一的，</w:t>
      </w:r>
      <w:r>
        <w:rPr>
          <w:rFonts w:ascii="FangSong" w:hAnsi="FangSong" w:eastAsia="FangSong" w:cs="FangSong"/>
          <w:sz w:val="30"/>
          <w:szCs w:val="30"/>
          <w:spacing w:val="17"/>
        </w:rPr>
        <w:t xml:space="preserve"> </w:t>
      </w:r>
      <w:r>
        <w:rPr>
          <w:rFonts w:ascii="FangSong" w:hAnsi="FangSong" w:eastAsia="FangSong" w:cs="FangSong"/>
          <w:sz w:val="30"/>
          <w:szCs w:val="30"/>
          <w:spacing w:val="23"/>
        </w:rPr>
        <w:t>由卫生行政部门给予警告，责令限期改正；逾期不改正的，处十万以下的罚款：(三)未按照规定公</w:t>
      </w:r>
      <w:r>
        <w:rPr>
          <w:rFonts w:ascii="FangSong" w:hAnsi="FangSong" w:eastAsia="FangSong" w:cs="FangSong"/>
          <w:sz w:val="30"/>
          <w:szCs w:val="30"/>
          <w:spacing w:val="18"/>
        </w:rPr>
        <w:t xml:space="preserve"> </w:t>
      </w:r>
      <w:r>
        <w:rPr>
          <w:rFonts w:ascii="FangSong" w:hAnsi="FangSong" w:eastAsia="FangSong" w:cs="FangSong"/>
          <w:sz w:val="30"/>
          <w:szCs w:val="30"/>
          <w:spacing w:val="17"/>
        </w:rPr>
        <w:t>布有关职业病防治的规章制度、操作规程、职业</w:t>
      </w:r>
      <w:r>
        <w:rPr>
          <w:rFonts w:ascii="FangSong" w:hAnsi="FangSong" w:eastAsia="FangSong" w:cs="FangSong"/>
          <w:sz w:val="30"/>
          <w:szCs w:val="30"/>
          <w:spacing w:val="16"/>
        </w:rPr>
        <w:t>病危害事故应急救援措施；</w:t>
      </w:r>
    </w:p>
    <w:p>
      <w:pPr>
        <w:spacing w:line="276" w:lineRule="auto"/>
        <w:sectPr>
          <w:footerReference w:type="default" r:id="rId481"/>
          <w:pgSz w:w="16830" w:h="11900"/>
          <w:pgMar w:top="1011" w:right="1339" w:bottom="1107" w:left="1434" w:header="0" w:footer="774" w:gutter="0"/>
        </w:sectPr>
        <w:rPr>
          <w:rFonts w:ascii="FangSong" w:hAnsi="FangSong" w:eastAsia="FangSong" w:cs="FangSong"/>
          <w:sz w:val="30"/>
          <w:szCs w:val="30"/>
        </w:rPr>
      </w:pPr>
    </w:p>
    <w:p>
      <w:pPr>
        <w:pStyle w:val="BodyText"/>
        <w:spacing w:line="263" w:lineRule="auto"/>
        <w:rPr/>
      </w:pPr>
      <w:r/>
    </w:p>
    <w:p>
      <w:pPr>
        <w:pStyle w:val="BodyText"/>
        <w:spacing w:line="264" w:lineRule="auto"/>
        <w:rPr/>
      </w:pPr>
      <w:r/>
    </w:p>
    <w:p>
      <w:pPr>
        <w:pStyle w:val="BodyText"/>
        <w:spacing w:line="264" w:lineRule="auto"/>
        <w:rPr/>
      </w:pPr>
      <w:r/>
    </w:p>
    <w:p>
      <w:pPr>
        <w:ind w:left="345" w:right="88" w:firstLine="629"/>
        <w:spacing w:before="98" w:line="271" w:lineRule="auto"/>
        <w:rPr>
          <w:rFonts w:ascii="FangSong" w:hAnsi="FangSong" w:eastAsia="FangSong" w:cs="FangSong"/>
          <w:sz w:val="30"/>
          <w:szCs w:val="30"/>
        </w:rPr>
      </w:pPr>
      <w:r>
        <w:rPr>
          <w:rFonts w:ascii="FangSong" w:hAnsi="FangSong" w:eastAsia="FangSong" w:cs="FangSong"/>
          <w:sz w:val="30"/>
          <w:szCs w:val="30"/>
          <w:spacing w:val="19"/>
        </w:rPr>
        <w:t>2.</w:t>
      </w:r>
      <w:r>
        <w:rPr>
          <w:rFonts w:ascii="FangSong" w:hAnsi="FangSong" w:eastAsia="FangSong" w:cs="FangSong"/>
          <w:sz w:val="30"/>
          <w:szCs w:val="30"/>
          <w:spacing w:val="19"/>
        </w:rPr>
        <w:t xml:space="preserve"> </w:t>
      </w:r>
      <w:r>
        <w:rPr>
          <w:rFonts w:ascii="FangSong" w:hAnsi="FangSong" w:eastAsia="FangSong" w:cs="FangSong"/>
          <w:sz w:val="30"/>
          <w:szCs w:val="30"/>
          <w:spacing w:val="19"/>
        </w:rPr>
        <w:t>《工作场所职业卫生管理规定》第四十八条第(六)项</w:t>
      </w:r>
      <w:r>
        <w:rPr>
          <w:rFonts w:ascii="FangSong" w:hAnsi="FangSong" w:eastAsia="FangSong" w:cs="FangSong"/>
          <w:sz w:val="30"/>
          <w:szCs w:val="30"/>
          <w:spacing w:val="19"/>
        </w:rPr>
        <w:t xml:space="preserve">  </w:t>
      </w:r>
      <w:r>
        <w:rPr>
          <w:rFonts w:ascii="FangSong" w:hAnsi="FangSong" w:eastAsia="FangSong" w:cs="FangSong"/>
          <w:sz w:val="30"/>
          <w:szCs w:val="30"/>
          <w:spacing w:val="19"/>
        </w:rPr>
        <w:t>用人单位有下列情形之一的，责令限</w:t>
      </w:r>
      <w:r>
        <w:rPr>
          <w:rFonts w:ascii="FangSong" w:hAnsi="FangSong" w:eastAsia="FangSong" w:cs="FangSong"/>
          <w:sz w:val="30"/>
          <w:szCs w:val="30"/>
          <w:spacing w:val="5"/>
        </w:rPr>
        <w:t xml:space="preserve"> </w:t>
      </w:r>
      <w:r>
        <w:rPr>
          <w:rFonts w:ascii="FangSong" w:hAnsi="FangSong" w:eastAsia="FangSong" w:cs="FangSong"/>
          <w:sz w:val="30"/>
          <w:szCs w:val="30"/>
          <w:spacing w:val="15"/>
        </w:rPr>
        <w:t>期改正，给予警告；逾期未改正的，处十万元以下的罚款：</w:t>
      </w:r>
    </w:p>
    <w:p>
      <w:pPr>
        <w:ind w:left="6738" w:hanging="5623"/>
        <w:spacing w:before="1" w:line="350" w:lineRule="auto"/>
        <w:rPr>
          <w:rFonts w:ascii="SimHei" w:hAnsi="SimHei" w:eastAsia="SimHei" w:cs="SimHei"/>
          <w:sz w:val="30"/>
          <w:szCs w:val="30"/>
        </w:rPr>
      </w:pPr>
      <w:r>
        <w:rPr>
          <w:rFonts w:ascii="FangSong" w:hAnsi="FangSong" w:eastAsia="FangSong" w:cs="FangSong"/>
          <w:sz w:val="30"/>
          <w:szCs w:val="30"/>
          <w:spacing w:val="15"/>
        </w:rPr>
        <w:t>(六)未按照规定公布有关职业病防治的规章制度、操作规程、职业病危害事故应急救援措施的；</w:t>
      </w:r>
      <w:r>
        <w:rPr>
          <w:rFonts w:ascii="FangSong" w:hAnsi="FangSong" w:eastAsia="FangSong" w:cs="FangSong"/>
          <w:sz w:val="30"/>
          <w:szCs w:val="30"/>
          <w:spacing w:val="13"/>
        </w:rPr>
        <w:t xml:space="preserve"> </w:t>
      </w:r>
      <w:r>
        <w:rPr>
          <w:rFonts w:ascii="SimHei" w:hAnsi="SimHei" w:eastAsia="SimHei" w:cs="SimHei"/>
          <w:sz w:val="30"/>
          <w:szCs w:val="30"/>
          <w:b/>
          <w:bCs/>
          <w:spacing w:val="-17"/>
        </w:rPr>
        <w:t>裁量标准</w:t>
      </w:r>
    </w:p>
    <w:tbl>
      <w:tblPr>
        <w:tblStyle w:val="TableNormal"/>
        <w:tblW w:w="141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64"/>
        <w:gridCol w:w="8574"/>
        <w:gridCol w:w="4042"/>
      </w:tblGrid>
      <w:tr>
        <w:trPr>
          <w:trHeight w:val="654" w:hRule="atLeast"/>
        </w:trPr>
        <w:tc>
          <w:tcPr>
            <w:tcW w:w="1564" w:type="dxa"/>
            <w:vAlign w:val="top"/>
          </w:tcPr>
          <w:p>
            <w:pPr>
              <w:pStyle w:val="TableText"/>
              <w:ind w:left="278"/>
              <w:spacing w:before="202" w:line="220" w:lineRule="auto"/>
              <w:rPr>
                <w:sz w:val="25"/>
                <w:szCs w:val="25"/>
              </w:rPr>
            </w:pPr>
            <w:r>
              <w:rPr>
                <w:sz w:val="25"/>
                <w:szCs w:val="25"/>
                <w:b/>
                <w:bCs/>
                <w:spacing w:val="-5"/>
              </w:rPr>
              <w:t>违法程度</w:t>
            </w:r>
          </w:p>
        </w:tc>
        <w:tc>
          <w:tcPr>
            <w:tcW w:w="8574" w:type="dxa"/>
            <w:vAlign w:val="top"/>
          </w:tcPr>
          <w:p>
            <w:pPr>
              <w:pStyle w:val="TableText"/>
              <w:ind w:left="3784"/>
              <w:spacing w:before="202" w:line="220" w:lineRule="auto"/>
              <w:rPr>
                <w:sz w:val="25"/>
                <w:szCs w:val="25"/>
              </w:rPr>
            </w:pPr>
            <w:r>
              <w:rPr>
                <w:sz w:val="25"/>
                <w:szCs w:val="25"/>
                <w:b/>
                <w:bCs/>
                <w:spacing w:val="-5"/>
              </w:rPr>
              <w:t>情节后果</w:t>
            </w:r>
          </w:p>
        </w:tc>
        <w:tc>
          <w:tcPr>
            <w:tcW w:w="4042" w:type="dxa"/>
            <w:vAlign w:val="top"/>
          </w:tcPr>
          <w:p>
            <w:pPr>
              <w:pStyle w:val="TableText"/>
              <w:ind w:left="1450"/>
              <w:spacing w:before="199" w:line="218" w:lineRule="auto"/>
              <w:rPr>
                <w:sz w:val="25"/>
                <w:szCs w:val="25"/>
              </w:rPr>
            </w:pPr>
            <w:r>
              <w:rPr>
                <w:sz w:val="25"/>
                <w:szCs w:val="25"/>
                <w:b/>
                <w:bCs/>
                <w:spacing w:val="-5"/>
              </w:rPr>
              <w:t>裁量幅度</w:t>
            </w:r>
          </w:p>
        </w:tc>
      </w:tr>
      <w:tr>
        <w:trPr>
          <w:trHeight w:val="679" w:hRule="atLeast"/>
        </w:trPr>
        <w:tc>
          <w:tcPr>
            <w:tcW w:w="1564" w:type="dxa"/>
            <w:vAlign w:val="top"/>
          </w:tcPr>
          <w:p>
            <w:pPr>
              <w:pStyle w:val="TableText"/>
              <w:ind w:left="528"/>
              <w:spacing w:before="217" w:line="219" w:lineRule="auto"/>
              <w:rPr>
                <w:sz w:val="25"/>
                <w:szCs w:val="25"/>
              </w:rPr>
            </w:pPr>
            <w:r>
              <w:rPr>
                <w:sz w:val="25"/>
                <w:szCs w:val="25"/>
                <w:b/>
                <w:bCs/>
                <w:spacing w:val="-6"/>
              </w:rPr>
              <w:t>轻微</w:t>
            </w:r>
          </w:p>
        </w:tc>
        <w:tc>
          <w:tcPr>
            <w:tcW w:w="8574" w:type="dxa"/>
            <w:vAlign w:val="top"/>
          </w:tcPr>
          <w:p>
            <w:pPr>
              <w:pStyle w:val="TableText"/>
              <w:ind w:left="100" w:hanging="89"/>
              <w:spacing w:before="59" w:line="225" w:lineRule="auto"/>
              <w:rPr>
                <w:sz w:val="25"/>
                <w:szCs w:val="25"/>
              </w:rPr>
            </w:pPr>
            <w:r>
              <w:rPr>
                <w:sz w:val="25"/>
                <w:szCs w:val="25"/>
                <w:spacing w:val="-6"/>
              </w:rPr>
              <w:t>未按照规定公布有关职业病防治的规章制度、操作规程、职业病危害事故应急救</w:t>
            </w:r>
            <w:r>
              <w:rPr>
                <w:sz w:val="25"/>
                <w:szCs w:val="25"/>
                <w:spacing w:val="11"/>
              </w:rPr>
              <w:t xml:space="preserve"> </w:t>
            </w:r>
            <w:r>
              <w:rPr>
                <w:sz w:val="25"/>
                <w:szCs w:val="25"/>
                <w:spacing w:val="4"/>
              </w:rPr>
              <w:t>援措施的</w:t>
            </w:r>
          </w:p>
        </w:tc>
        <w:tc>
          <w:tcPr>
            <w:tcW w:w="4042" w:type="dxa"/>
            <w:vAlign w:val="top"/>
          </w:tcPr>
          <w:p>
            <w:pPr>
              <w:pStyle w:val="TableText"/>
              <w:ind w:left="107"/>
              <w:spacing w:before="219" w:line="218" w:lineRule="auto"/>
              <w:rPr>
                <w:sz w:val="25"/>
                <w:szCs w:val="25"/>
              </w:rPr>
            </w:pPr>
            <w:r>
              <w:rPr>
                <w:sz w:val="25"/>
                <w:szCs w:val="25"/>
                <w:spacing w:val="1"/>
              </w:rPr>
              <w:t>给予警告，责令限期改正</w:t>
            </w:r>
          </w:p>
        </w:tc>
      </w:tr>
      <w:tr>
        <w:trPr>
          <w:trHeight w:val="1208" w:hRule="atLeast"/>
        </w:trPr>
        <w:tc>
          <w:tcPr>
            <w:tcW w:w="1564" w:type="dxa"/>
            <w:vAlign w:val="top"/>
          </w:tcPr>
          <w:p>
            <w:pPr>
              <w:spacing w:line="396" w:lineRule="auto"/>
              <w:rPr>
                <w:rFonts w:ascii="Arial"/>
                <w:sz w:val="21"/>
              </w:rPr>
            </w:pPr>
            <w:r/>
          </w:p>
          <w:p>
            <w:pPr>
              <w:pStyle w:val="TableText"/>
              <w:ind w:left="528"/>
              <w:spacing w:before="81" w:line="221" w:lineRule="auto"/>
              <w:rPr>
                <w:sz w:val="25"/>
                <w:szCs w:val="25"/>
              </w:rPr>
            </w:pPr>
            <w:r>
              <w:rPr>
                <w:sz w:val="25"/>
                <w:szCs w:val="25"/>
                <w:b/>
                <w:bCs/>
                <w:spacing w:val="-10"/>
              </w:rPr>
              <w:t>一般</w:t>
            </w:r>
          </w:p>
        </w:tc>
        <w:tc>
          <w:tcPr>
            <w:tcW w:w="8574" w:type="dxa"/>
            <w:vAlign w:val="top"/>
          </w:tcPr>
          <w:p>
            <w:pPr>
              <w:pStyle w:val="TableText"/>
              <w:ind w:left="11"/>
              <w:spacing w:before="162" w:line="252" w:lineRule="auto"/>
              <w:jc w:val="both"/>
              <w:rPr>
                <w:sz w:val="25"/>
                <w:szCs w:val="25"/>
              </w:rPr>
            </w:pPr>
            <w:r>
              <w:rPr>
                <w:sz w:val="25"/>
                <w:szCs w:val="25"/>
                <w:spacing w:val="-9"/>
              </w:rPr>
              <w:t>未按照规定公布有关职业病防治的规章制度、操作规程、职业病危害事故应急救</w:t>
            </w:r>
            <w:r>
              <w:rPr>
                <w:sz w:val="25"/>
                <w:szCs w:val="25"/>
                <w:spacing w:val="1"/>
              </w:rPr>
              <w:t xml:space="preserve">  </w:t>
            </w:r>
            <w:r>
              <w:rPr>
                <w:sz w:val="25"/>
                <w:szCs w:val="25"/>
                <w:spacing w:val="-6"/>
              </w:rPr>
              <w:t>援措施，经警告，逾期不改正，仍存在有关职业病防治的规章制度、操作规程、</w:t>
            </w:r>
            <w:r>
              <w:rPr>
                <w:sz w:val="25"/>
                <w:szCs w:val="25"/>
                <w:spacing w:val="11"/>
              </w:rPr>
              <w:t xml:space="preserve"> </w:t>
            </w:r>
            <w:r>
              <w:rPr>
                <w:sz w:val="25"/>
                <w:szCs w:val="25"/>
                <w:spacing w:val="1"/>
              </w:rPr>
              <w:t>职业病危害事故应急救援措施中有一项未按照规定公布的</w:t>
            </w:r>
          </w:p>
        </w:tc>
        <w:tc>
          <w:tcPr>
            <w:tcW w:w="4042" w:type="dxa"/>
            <w:vAlign w:val="top"/>
          </w:tcPr>
          <w:p>
            <w:pPr>
              <w:spacing w:line="399" w:lineRule="auto"/>
              <w:rPr>
                <w:rFonts w:ascii="Arial"/>
                <w:sz w:val="21"/>
              </w:rPr>
            </w:pPr>
            <w:r/>
          </w:p>
          <w:p>
            <w:pPr>
              <w:pStyle w:val="TableText"/>
              <w:ind w:left="107"/>
              <w:spacing w:before="81" w:line="220" w:lineRule="auto"/>
              <w:rPr>
                <w:sz w:val="25"/>
                <w:szCs w:val="25"/>
              </w:rPr>
            </w:pPr>
            <w:r>
              <w:rPr>
                <w:sz w:val="25"/>
                <w:szCs w:val="25"/>
                <w:spacing w:val="1"/>
              </w:rPr>
              <w:t>处三万元以下的罚款</w:t>
            </w:r>
          </w:p>
        </w:tc>
      </w:tr>
      <w:tr>
        <w:trPr>
          <w:trHeight w:val="1217" w:hRule="atLeast"/>
        </w:trPr>
        <w:tc>
          <w:tcPr>
            <w:tcW w:w="1564" w:type="dxa"/>
            <w:vAlign w:val="top"/>
          </w:tcPr>
          <w:p>
            <w:pPr>
              <w:spacing w:line="410" w:lineRule="auto"/>
              <w:rPr>
                <w:rFonts w:ascii="Arial"/>
                <w:sz w:val="21"/>
              </w:rPr>
            </w:pPr>
            <w:r/>
          </w:p>
          <w:p>
            <w:pPr>
              <w:pStyle w:val="TableText"/>
              <w:ind w:left="528"/>
              <w:spacing w:before="81" w:line="221" w:lineRule="auto"/>
              <w:rPr>
                <w:sz w:val="25"/>
                <w:szCs w:val="25"/>
              </w:rPr>
            </w:pPr>
            <w:r>
              <w:rPr>
                <w:sz w:val="25"/>
                <w:szCs w:val="25"/>
                <w:b/>
                <w:bCs/>
                <w:spacing w:val="-6"/>
              </w:rPr>
              <w:t>较重</w:t>
            </w:r>
          </w:p>
        </w:tc>
        <w:tc>
          <w:tcPr>
            <w:tcW w:w="8574" w:type="dxa"/>
            <w:vAlign w:val="top"/>
          </w:tcPr>
          <w:p>
            <w:pPr>
              <w:pStyle w:val="TableText"/>
              <w:ind w:left="11"/>
              <w:spacing w:before="172" w:line="245" w:lineRule="auto"/>
              <w:jc w:val="both"/>
              <w:rPr>
                <w:sz w:val="25"/>
                <w:szCs w:val="25"/>
              </w:rPr>
            </w:pPr>
            <w:r>
              <w:rPr>
                <w:sz w:val="25"/>
                <w:szCs w:val="25"/>
                <w:spacing w:val="-9"/>
              </w:rPr>
              <w:t>未按照规定公布有关职业病防治的规章制度、操作规程、职业病危害事故应急救</w:t>
            </w:r>
            <w:r>
              <w:rPr>
                <w:sz w:val="25"/>
                <w:szCs w:val="25"/>
                <w:spacing w:val="1"/>
              </w:rPr>
              <w:t xml:space="preserve">  </w:t>
            </w:r>
            <w:r>
              <w:rPr>
                <w:sz w:val="25"/>
                <w:szCs w:val="25"/>
                <w:spacing w:val="-6"/>
              </w:rPr>
              <w:t>援措施，经警告，逾期不改正，仍存在有关职业病防治的规章制度、操作规程、</w:t>
            </w:r>
            <w:r>
              <w:rPr>
                <w:sz w:val="25"/>
                <w:szCs w:val="25"/>
                <w:spacing w:val="11"/>
              </w:rPr>
              <w:t xml:space="preserve"> </w:t>
            </w:r>
            <w:r>
              <w:rPr>
                <w:sz w:val="25"/>
                <w:szCs w:val="25"/>
                <w:spacing w:val="1"/>
              </w:rPr>
              <w:t>职业病危害事故应急救援措施中有二项未按照规定公布的</w:t>
            </w:r>
          </w:p>
        </w:tc>
        <w:tc>
          <w:tcPr>
            <w:tcW w:w="4042" w:type="dxa"/>
            <w:vAlign w:val="top"/>
          </w:tcPr>
          <w:p>
            <w:pPr>
              <w:spacing w:line="411" w:lineRule="auto"/>
              <w:rPr>
                <w:rFonts w:ascii="Arial"/>
                <w:sz w:val="21"/>
              </w:rPr>
            </w:pPr>
            <w:r/>
          </w:p>
          <w:p>
            <w:pPr>
              <w:pStyle w:val="TableText"/>
              <w:ind w:left="107"/>
              <w:spacing w:before="81" w:line="220" w:lineRule="auto"/>
              <w:rPr>
                <w:sz w:val="25"/>
                <w:szCs w:val="25"/>
              </w:rPr>
            </w:pPr>
            <w:r>
              <w:rPr>
                <w:sz w:val="25"/>
                <w:szCs w:val="25"/>
              </w:rPr>
              <w:t>处三万元以上六万元以下的罚款</w:t>
            </w:r>
          </w:p>
        </w:tc>
      </w:tr>
      <w:tr>
        <w:trPr>
          <w:trHeight w:val="1242" w:hRule="atLeast"/>
        </w:trPr>
        <w:tc>
          <w:tcPr>
            <w:tcW w:w="1564" w:type="dxa"/>
            <w:vAlign w:val="top"/>
          </w:tcPr>
          <w:p>
            <w:pPr>
              <w:spacing w:line="420" w:lineRule="auto"/>
              <w:rPr>
                <w:rFonts w:ascii="Arial"/>
                <w:sz w:val="21"/>
              </w:rPr>
            </w:pPr>
            <w:r/>
          </w:p>
          <w:p>
            <w:pPr>
              <w:pStyle w:val="TableText"/>
              <w:ind w:left="528"/>
              <w:spacing w:before="81" w:line="220" w:lineRule="auto"/>
              <w:rPr>
                <w:sz w:val="25"/>
                <w:szCs w:val="25"/>
              </w:rPr>
            </w:pPr>
            <w:r>
              <w:rPr>
                <w:sz w:val="25"/>
                <w:szCs w:val="25"/>
                <w:b/>
                <w:bCs/>
                <w:spacing w:val="-6"/>
              </w:rPr>
              <w:t>严重</w:t>
            </w:r>
          </w:p>
        </w:tc>
        <w:tc>
          <w:tcPr>
            <w:tcW w:w="8574" w:type="dxa"/>
            <w:vAlign w:val="top"/>
          </w:tcPr>
          <w:p>
            <w:pPr>
              <w:pStyle w:val="TableText"/>
              <w:ind w:left="11"/>
              <w:spacing w:before="164" w:line="260" w:lineRule="auto"/>
              <w:jc w:val="both"/>
              <w:rPr>
                <w:sz w:val="25"/>
                <w:szCs w:val="25"/>
              </w:rPr>
            </w:pPr>
            <w:r>
              <w:rPr>
                <w:sz w:val="25"/>
                <w:szCs w:val="25"/>
                <w:spacing w:val="-9"/>
              </w:rPr>
              <w:t>未按照规定公布有关职业病防治的规章制度、操作规程、职业病危害事故应急救</w:t>
            </w:r>
            <w:r>
              <w:rPr>
                <w:sz w:val="25"/>
                <w:szCs w:val="25"/>
                <w:spacing w:val="1"/>
              </w:rPr>
              <w:t xml:space="preserve">  </w:t>
            </w:r>
            <w:r>
              <w:rPr>
                <w:sz w:val="25"/>
                <w:szCs w:val="25"/>
                <w:spacing w:val="-6"/>
              </w:rPr>
              <w:t>援措施，经警告，逾期不改正，仍存在有关职业病防治的规章制度、操作规程、</w:t>
            </w:r>
            <w:r>
              <w:rPr>
                <w:sz w:val="25"/>
                <w:szCs w:val="25"/>
                <w:spacing w:val="11"/>
              </w:rPr>
              <w:t xml:space="preserve"> </w:t>
            </w:r>
            <w:r>
              <w:rPr>
                <w:sz w:val="25"/>
                <w:szCs w:val="25"/>
                <w:spacing w:val="1"/>
              </w:rPr>
              <w:t>职业病危害事故应急救援措施均未按照规定公布的</w:t>
            </w:r>
          </w:p>
        </w:tc>
        <w:tc>
          <w:tcPr>
            <w:tcW w:w="4042" w:type="dxa"/>
            <w:vAlign w:val="top"/>
          </w:tcPr>
          <w:p>
            <w:pPr>
              <w:spacing w:line="424" w:lineRule="auto"/>
              <w:rPr>
                <w:rFonts w:ascii="Arial"/>
                <w:sz w:val="21"/>
              </w:rPr>
            </w:pPr>
            <w:r/>
          </w:p>
          <w:p>
            <w:pPr>
              <w:pStyle w:val="TableText"/>
              <w:ind w:left="107"/>
              <w:spacing w:before="81" w:line="220" w:lineRule="auto"/>
              <w:rPr>
                <w:sz w:val="25"/>
                <w:szCs w:val="25"/>
              </w:rPr>
            </w:pPr>
            <w:r>
              <w:rPr>
                <w:sz w:val="25"/>
                <w:szCs w:val="25"/>
              </w:rPr>
              <w:t>处六万元以上十万元以下的罚款</w:t>
            </w:r>
          </w:p>
        </w:tc>
      </w:tr>
    </w:tbl>
    <w:p>
      <w:pPr>
        <w:pStyle w:val="BodyText"/>
        <w:rPr/>
      </w:pPr>
      <w:r/>
    </w:p>
    <w:p>
      <w:pPr>
        <w:sectPr>
          <w:footerReference w:type="default" r:id="rId482"/>
          <w:pgSz w:w="16830" w:h="11900"/>
          <w:pgMar w:top="1011" w:right="1350" w:bottom="1140" w:left="1104" w:header="0" w:footer="816" w:gutter="0"/>
        </w:sectPr>
        <w:rPr/>
      </w:pPr>
    </w:p>
    <w:p>
      <w:pPr>
        <w:pStyle w:val="BodyText"/>
        <w:spacing w:line="260" w:lineRule="auto"/>
        <w:rPr/>
      </w:pPr>
      <w:r/>
    </w:p>
    <w:p>
      <w:pPr>
        <w:pStyle w:val="BodyText"/>
        <w:spacing w:line="261" w:lineRule="auto"/>
        <w:rPr/>
      </w:pPr>
      <w:r/>
    </w:p>
    <w:p>
      <w:pPr>
        <w:pStyle w:val="BodyText"/>
        <w:spacing w:line="261" w:lineRule="auto"/>
        <w:rPr/>
      </w:pPr>
      <w:r/>
    </w:p>
    <w:p>
      <w:pPr>
        <w:ind w:left="4" w:right="128" w:firstLine="649"/>
        <w:spacing w:before="98" w:line="278" w:lineRule="auto"/>
        <w:rPr>
          <w:rFonts w:ascii="KaiTi" w:hAnsi="KaiTi" w:eastAsia="KaiTi" w:cs="KaiTi"/>
          <w:sz w:val="30"/>
          <w:szCs w:val="30"/>
        </w:rPr>
      </w:pPr>
      <w:bookmarkStart w:name="bookmark1124" w:id="499"/>
      <w:bookmarkEnd w:id="499"/>
      <w:r>
        <w:rPr>
          <w:rFonts w:ascii="KaiTi" w:hAnsi="KaiTi" w:eastAsia="KaiTi" w:cs="KaiTi"/>
          <w:sz w:val="30"/>
          <w:szCs w:val="30"/>
          <w:b/>
          <w:bCs/>
          <w:spacing w:val="20"/>
        </w:rPr>
        <w:t>第四百五十四条未按照规定组织劳动者进行职业卫生培训，或者未对劳动者个人职业病防护采</w:t>
      </w:r>
      <w:r>
        <w:rPr>
          <w:rFonts w:ascii="KaiTi" w:hAnsi="KaiTi" w:eastAsia="KaiTi" w:cs="KaiTi"/>
          <w:sz w:val="30"/>
          <w:szCs w:val="30"/>
          <w:spacing w:val="16"/>
        </w:rPr>
        <w:t xml:space="preserve"> </w:t>
      </w:r>
      <w:r>
        <w:rPr>
          <w:rFonts w:ascii="KaiTi" w:hAnsi="KaiTi" w:eastAsia="KaiTi" w:cs="KaiTi"/>
          <w:sz w:val="30"/>
          <w:szCs w:val="30"/>
          <w:b/>
          <w:bCs/>
          <w:spacing w:val="12"/>
        </w:rPr>
        <w:t>取指导、督促措施的</w:t>
      </w:r>
    </w:p>
    <w:p>
      <w:pPr>
        <w:ind w:left="649"/>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firstLine="649"/>
        <w:spacing w:before="45" w:line="274" w:lineRule="auto"/>
        <w:rPr>
          <w:rFonts w:ascii="FangSong" w:hAnsi="FangSong" w:eastAsia="FangSong" w:cs="FangSong"/>
          <w:sz w:val="30"/>
          <w:szCs w:val="30"/>
        </w:rPr>
      </w:pPr>
      <w:r>
        <w:rPr>
          <w:rFonts w:ascii="FangSong" w:hAnsi="FangSong" w:eastAsia="FangSong" w:cs="FangSong"/>
          <w:sz w:val="30"/>
          <w:szCs w:val="30"/>
          <w:spacing w:val="17"/>
        </w:rPr>
        <w:t>1.</w:t>
      </w:r>
      <w:r>
        <w:rPr>
          <w:rFonts w:ascii="FangSong" w:hAnsi="FangSong" w:eastAsia="FangSong" w:cs="FangSong"/>
          <w:sz w:val="30"/>
          <w:szCs w:val="30"/>
          <w:spacing w:val="17"/>
        </w:rPr>
        <w:t xml:space="preserve"> </w:t>
      </w:r>
      <w:r>
        <w:rPr>
          <w:rFonts w:ascii="FangSong" w:hAnsi="FangSong" w:eastAsia="FangSong" w:cs="FangSong"/>
          <w:sz w:val="30"/>
          <w:szCs w:val="30"/>
          <w:spacing w:val="17"/>
        </w:rPr>
        <w:t>《中华人民共和国职业病防治法》第七十条第(四)项</w:t>
      </w:r>
      <w:r>
        <w:rPr>
          <w:rFonts w:ascii="FangSong" w:hAnsi="FangSong" w:eastAsia="FangSong" w:cs="FangSong"/>
          <w:sz w:val="30"/>
          <w:szCs w:val="30"/>
          <w:spacing w:val="17"/>
        </w:rPr>
        <w:t xml:space="preserve">   </w:t>
      </w:r>
      <w:r>
        <w:rPr>
          <w:rFonts w:ascii="FangSong" w:hAnsi="FangSong" w:eastAsia="FangSong" w:cs="FangSong"/>
          <w:sz w:val="30"/>
          <w:szCs w:val="30"/>
          <w:spacing w:val="17"/>
        </w:rPr>
        <w:t>违反本法规定，有下列行为之一的，</w:t>
      </w:r>
      <w:r>
        <w:rPr>
          <w:rFonts w:ascii="FangSong" w:hAnsi="FangSong" w:eastAsia="FangSong" w:cs="FangSong"/>
          <w:sz w:val="30"/>
          <w:szCs w:val="30"/>
          <w:spacing w:val="16"/>
        </w:rPr>
        <w:t xml:space="preserve"> </w:t>
      </w:r>
      <w:r>
        <w:rPr>
          <w:rFonts w:ascii="FangSong" w:hAnsi="FangSong" w:eastAsia="FangSong" w:cs="FangSong"/>
          <w:sz w:val="30"/>
          <w:szCs w:val="30"/>
          <w:spacing w:val="16"/>
        </w:rPr>
        <w:t>由卫生行政部门给予警告，责令限期改正；逾期不改正的，处十万以下的罚款：</w:t>
      </w:r>
    </w:p>
    <w:p>
      <w:pPr>
        <w:ind w:right="130" w:firstLine="779"/>
        <w:spacing w:before="1" w:line="273" w:lineRule="auto"/>
        <w:rPr>
          <w:rFonts w:ascii="FangSong" w:hAnsi="FangSong" w:eastAsia="FangSong" w:cs="FangSong"/>
          <w:sz w:val="30"/>
          <w:szCs w:val="30"/>
        </w:rPr>
      </w:pPr>
      <w:r>
        <w:rPr>
          <w:rFonts w:ascii="FangSong" w:hAnsi="FangSong" w:eastAsia="FangSong" w:cs="FangSong"/>
          <w:sz w:val="30"/>
          <w:szCs w:val="30"/>
          <w:spacing w:val="20"/>
        </w:rPr>
        <w:t>(四)未按照规定组织劳动者进行职业卫生培训，或者未对劳动者个人职业病防护采取指导</w:t>
      </w:r>
      <w:r>
        <w:rPr>
          <w:rFonts w:ascii="FangSong" w:hAnsi="FangSong" w:eastAsia="FangSong" w:cs="FangSong"/>
          <w:sz w:val="30"/>
          <w:szCs w:val="30"/>
          <w:spacing w:val="19"/>
        </w:rPr>
        <w:t>、督</w:t>
      </w:r>
      <w:r>
        <w:rPr>
          <w:rFonts w:ascii="FangSong" w:hAnsi="FangSong" w:eastAsia="FangSong" w:cs="FangSong"/>
          <w:sz w:val="30"/>
          <w:szCs w:val="30"/>
        </w:rPr>
        <w:t xml:space="preserve"> </w:t>
      </w:r>
      <w:r>
        <w:rPr>
          <w:rFonts w:ascii="FangSong" w:hAnsi="FangSong" w:eastAsia="FangSong" w:cs="FangSong"/>
          <w:sz w:val="30"/>
          <w:szCs w:val="30"/>
          <w:spacing w:val="3"/>
        </w:rPr>
        <w:t>促措施的；</w:t>
      </w:r>
    </w:p>
    <w:p>
      <w:pPr>
        <w:ind w:right="90" w:firstLine="649"/>
        <w:spacing w:before="1" w:line="265" w:lineRule="auto"/>
        <w:jc w:val="both"/>
        <w:rPr>
          <w:rFonts w:ascii="FangSong" w:hAnsi="FangSong" w:eastAsia="FangSong" w:cs="FangSong"/>
          <w:sz w:val="30"/>
          <w:szCs w:val="30"/>
        </w:rPr>
      </w:pPr>
      <w:r>
        <w:rPr>
          <w:rFonts w:ascii="FangSong" w:hAnsi="FangSong" w:eastAsia="FangSong" w:cs="FangSong"/>
          <w:sz w:val="30"/>
          <w:szCs w:val="30"/>
          <w:spacing w:val="22"/>
        </w:rPr>
        <w:t>2.</w:t>
      </w:r>
      <w:r>
        <w:rPr>
          <w:rFonts w:ascii="FangSong" w:hAnsi="FangSong" w:eastAsia="FangSong" w:cs="FangSong"/>
          <w:sz w:val="30"/>
          <w:szCs w:val="30"/>
          <w:spacing w:val="22"/>
        </w:rPr>
        <w:t xml:space="preserve"> </w:t>
      </w:r>
      <w:r>
        <w:rPr>
          <w:rFonts w:ascii="FangSong" w:hAnsi="FangSong" w:eastAsia="FangSong" w:cs="FangSong"/>
          <w:sz w:val="30"/>
          <w:szCs w:val="30"/>
          <w:spacing w:val="22"/>
        </w:rPr>
        <w:t>《使用有毒物品作业场所劳动保护条例》第五十九条</w:t>
      </w:r>
      <w:r>
        <w:rPr>
          <w:rFonts w:ascii="FangSong" w:hAnsi="FangSong" w:eastAsia="FangSong" w:cs="FangSong"/>
          <w:sz w:val="30"/>
          <w:szCs w:val="30"/>
          <w:spacing w:val="21"/>
        </w:rPr>
        <w:t>第一款第(四)项</w:t>
      </w:r>
      <w:r>
        <w:rPr>
          <w:rFonts w:ascii="FangSong" w:hAnsi="FangSong" w:eastAsia="FangSong" w:cs="FangSong"/>
          <w:sz w:val="30"/>
          <w:szCs w:val="30"/>
          <w:spacing w:val="21"/>
        </w:rPr>
        <w:t xml:space="preserve">   </w:t>
      </w:r>
      <w:r>
        <w:rPr>
          <w:rFonts w:ascii="FangSong" w:hAnsi="FangSong" w:eastAsia="FangSong" w:cs="FangSong"/>
          <w:sz w:val="30"/>
          <w:szCs w:val="30"/>
          <w:spacing w:val="21"/>
        </w:rPr>
        <w:t>用人单位违反本条</w:t>
      </w:r>
      <w:r>
        <w:rPr>
          <w:rFonts w:ascii="FangSong" w:hAnsi="FangSong" w:eastAsia="FangSong" w:cs="FangSong"/>
          <w:sz w:val="30"/>
          <w:szCs w:val="30"/>
        </w:rPr>
        <w:t xml:space="preserve"> </w:t>
      </w:r>
      <w:r>
        <w:rPr>
          <w:rFonts w:ascii="FangSong" w:hAnsi="FangSong" w:eastAsia="FangSong" w:cs="FangSong"/>
          <w:sz w:val="30"/>
          <w:szCs w:val="30"/>
          <w:spacing w:val="21"/>
        </w:rPr>
        <w:t>例的规定，有下列情形之一的，由疾病预防控制部门给予警告，</w:t>
      </w:r>
      <w:r>
        <w:rPr>
          <w:rFonts w:ascii="FangSong" w:hAnsi="FangSong" w:eastAsia="FangSong" w:cs="FangSong"/>
          <w:sz w:val="30"/>
          <w:szCs w:val="30"/>
          <w:spacing w:val="20"/>
        </w:rPr>
        <w:t>责令限期改正；逾期不改正的，处5</w:t>
      </w:r>
      <w:r>
        <w:rPr>
          <w:rFonts w:ascii="FangSong" w:hAnsi="FangSong" w:eastAsia="FangSong" w:cs="FangSong"/>
          <w:sz w:val="30"/>
          <w:szCs w:val="30"/>
        </w:rPr>
        <w:t xml:space="preserve"> </w:t>
      </w:r>
      <w:r>
        <w:rPr>
          <w:rFonts w:ascii="FangSong" w:hAnsi="FangSong" w:eastAsia="FangSong" w:cs="FangSong"/>
          <w:sz w:val="30"/>
          <w:szCs w:val="30"/>
          <w:spacing w:val="23"/>
        </w:rPr>
        <w:t>万元以上20万元以下的罚款；情节严重的，提请有关人民政府按照国务</w:t>
      </w:r>
      <w:r>
        <w:rPr>
          <w:rFonts w:ascii="FangSong" w:hAnsi="FangSong" w:eastAsia="FangSong" w:cs="FangSong"/>
          <w:sz w:val="30"/>
          <w:szCs w:val="30"/>
          <w:spacing w:val="22"/>
        </w:rPr>
        <w:t>院规定的权限予以关闭；造</w:t>
      </w:r>
      <w:r>
        <w:rPr>
          <w:rFonts w:ascii="FangSong" w:hAnsi="FangSong" w:eastAsia="FangSong" w:cs="FangSong"/>
          <w:sz w:val="30"/>
          <w:szCs w:val="30"/>
        </w:rPr>
        <w:t xml:space="preserve"> </w:t>
      </w:r>
      <w:r>
        <w:rPr>
          <w:rFonts w:ascii="FangSong" w:hAnsi="FangSong" w:eastAsia="FangSong" w:cs="FangSong"/>
          <w:sz w:val="30"/>
          <w:szCs w:val="30"/>
          <w:spacing w:val="17"/>
        </w:rPr>
        <w:t>成严重职业中毒危害或者导致职业中毒事故发生的，对</w:t>
      </w:r>
      <w:r>
        <w:rPr>
          <w:rFonts w:ascii="FangSong" w:hAnsi="FangSong" w:eastAsia="FangSong" w:cs="FangSong"/>
          <w:sz w:val="30"/>
          <w:szCs w:val="30"/>
          <w:spacing w:val="16"/>
        </w:rPr>
        <w:t>负有责任的主管人员和其他直接责任人员依照</w:t>
      </w:r>
      <w:r>
        <w:rPr>
          <w:rFonts w:ascii="FangSong" w:hAnsi="FangSong" w:eastAsia="FangSong" w:cs="FangSong"/>
          <w:sz w:val="30"/>
          <w:szCs w:val="30"/>
        </w:rPr>
        <w:t xml:space="preserve"> </w:t>
      </w:r>
      <w:r>
        <w:rPr>
          <w:rFonts w:ascii="FangSong" w:hAnsi="FangSong" w:eastAsia="FangSong" w:cs="FangSong"/>
          <w:sz w:val="30"/>
          <w:szCs w:val="30"/>
          <w:spacing w:val="17"/>
        </w:rPr>
        <w:t>刑法关于重大劳动安全事故罪或者其他罪的规定，依法追究刑事责任：</w:t>
      </w:r>
    </w:p>
    <w:p>
      <w:pPr>
        <w:ind w:right="109" w:firstLine="779"/>
        <w:spacing w:before="34" w:line="262" w:lineRule="auto"/>
        <w:rPr>
          <w:rFonts w:ascii="FangSong" w:hAnsi="FangSong" w:eastAsia="FangSong" w:cs="FangSong"/>
          <w:sz w:val="30"/>
          <w:szCs w:val="30"/>
        </w:rPr>
      </w:pPr>
      <w:r>
        <w:rPr>
          <w:rFonts w:ascii="FangSong" w:hAnsi="FangSong" w:eastAsia="FangSong" w:cs="FangSong"/>
          <w:sz w:val="30"/>
          <w:szCs w:val="30"/>
          <w:spacing w:val="21"/>
        </w:rPr>
        <w:t>(四)未向从事使用有毒物品作业的劳动者</w:t>
      </w:r>
      <w:r>
        <w:rPr>
          <w:rFonts w:ascii="FangSong" w:hAnsi="FangSong" w:eastAsia="FangSong" w:cs="FangSong"/>
          <w:sz w:val="30"/>
          <w:szCs w:val="30"/>
          <w:spacing w:val="20"/>
        </w:rPr>
        <w:t>提供符合国家职业卫生标准的防护用品，或者未保证</w:t>
      </w:r>
      <w:r>
        <w:rPr>
          <w:rFonts w:ascii="FangSong" w:hAnsi="FangSong" w:eastAsia="FangSong" w:cs="FangSong"/>
          <w:sz w:val="30"/>
          <w:szCs w:val="30"/>
        </w:rPr>
        <w:t xml:space="preserve"> </w:t>
      </w:r>
      <w:r>
        <w:rPr>
          <w:rFonts w:ascii="FangSong" w:hAnsi="FangSong" w:eastAsia="FangSong" w:cs="FangSong"/>
          <w:sz w:val="30"/>
          <w:szCs w:val="30"/>
          <w:spacing w:val="9"/>
        </w:rPr>
        <w:t>劳动者正确使用的。</w:t>
      </w:r>
    </w:p>
    <w:p>
      <w:pPr>
        <w:ind w:right="128" w:firstLine="649"/>
        <w:spacing w:before="39" w:line="268" w:lineRule="auto"/>
        <w:rPr>
          <w:rFonts w:ascii="FangSong" w:hAnsi="FangSong" w:eastAsia="FangSong" w:cs="FangSong"/>
          <w:sz w:val="30"/>
          <w:szCs w:val="30"/>
        </w:rPr>
      </w:pPr>
      <w:r>
        <w:rPr>
          <w:rFonts w:ascii="FangSong" w:hAnsi="FangSong" w:eastAsia="FangSong" w:cs="FangSong"/>
          <w:sz w:val="30"/>
          <w:szCs w:val="30"/>
          <w:spacing w:val="18"/>
        </w:rPr>
        <w:t>3.</w:t>
      </w:r>
      <w:r>
        <w:rPr>
          <w:rFonts w:ascii="FangSong" w:hAnsi="FangSong" w:eastAsia="FangSong" w:cs="FangSong"/>
          <w:sz w:val="30"/>
          <w:szCs w:val="30"/>
          <w:spacing w:val="18"/>
        </w:rPr>
        <w:t xml:space="preserve"> </w:t>
      </w:r>
      <w:r>
        <w:rPr>
          <w:rFonts w:ascii="FangSong" w:hAnsi="FangSong" w:eastAsia="FangSong" w:cs="FangSong"/>
          <w:sz w:val="30"/>
          <w:szCs w:val="30"/>
          <w:spacing w:val="18"/>
        </w:rPr>
        <w:t>《工作场所职业卫生管理规定》第四十八条第(七)项</w:t>
      </w:r>
      <w:r>
        <w:rPr>
          <w:rFonts w:ascii="FangSong" w:hAnsi="FangSong" w:eastAsia="FangSong" w:cs="FangSong"/>
          <w:sz w:val="30"/>
          <w:szCs w:val="30"/>
          <w:spacing w:val="18"/>
        </w:rPr>
        <w:t xml:space="preserve">  </w:t>
      </w:r>
      <w:r>
        <w:rPr>
          <w:rFonts w:ascii="FangSong" w:hAnsi="FangSong" w:eastAsia="FangSong" w:cs="FangSong"/>
          <w:sz w:val="30"/>
          <w:szCs w:val="30"/>
          <w:spacing w:val="18"/>
        </w:rPr>
        <w:t>用人单位有下列情形之一的，责令限</w:t>
      </w:r>
      <w:r>
        <w:rPr>
          <w:rFonts w:ascii="FangSong" w:hAnsi="FangSong" w:eastAsia="FangSong" w:cs="FangSong"/>
          <w:sz w:val="30"/>
          <w:szCs w:val="30"/>
          <w:spacing w:val="10"/>
        </w:rPr>
        <w:t xml:space="preserve"> </w:t>
      </w:r>
      <w:r>
        <w:rPr>
          <w:rFonts w:ascii="FangSong" w:hAnsi="FangSong" w:eastAsia="FangSong" w:cs="FangSong"/>
          <w:sz w:val="30"/>
          <w:szCs w:val="30"/>
          <w:spacing w:val="15"/>
        </w:rPr>
        <w:t>期改正，给予警告；逾期未改正的，处十万元以下的罚款：</w:t>
      </w:r>
    </w:p>
    <w:p>
      <w:pPr>
        <w:ind w:right="130" w:firstLine="779"/>
        <w:spacing w:before="2" w:line="272" w:lineRule="auto"/>
        <w:rPr>
          <w:rFonts w:ascii="FangSong" w:hAnsi="FangSong" w:eastAsia="FangSong" w:cs="FangSong"/>
          <w:sz w:val="30"/>
          <w:szCs w:val="30"/>
        </w:rPr>
      </w:pPr>
      <w:r>
        <w:rPr>
          <w:rFonts w:ascii="FangSong" w:hAnsi="FangSong" w:eastAsia="FangSong" w:cs="FangSong"/>
          <w:sz w:val="30"/>
          <w:szCs w:val="30"/>
          <w:spacing w:val="20"/>
        </w:rPr>
        <w:t>(七)未按照规定组织劳动者进行职业卫生培训，或者未对劳动者个人职业病防护采取指导</w:t>
      </w:r>
      <w:r>
        <w:rPr>
          <w:rFonts w:ascii="FangSong" w:hAnsi="FangSong" w:eastAsia="FangSong" w:cs="FangSong"/>
          <w:sz w:val="30"/>
          <w:szCs w:val="30"/>
          <w:spacing w:val="19"/>
        </w:rPr>
        <w:t>、督</w:t>
      </w:r>
      <w:r>
        <w:rPr>
          <w:rFonts w:ascii="FangSong" w:hAnsi="FangSong" w:eastAsia="FangSong" w:cs="FangSong"/>
          <w:sz w:val="30"/>
          <w:szCs w:val="30"/>
        </w:rPr>
        <w:t xml:space="preserve"> </w:t>
      </w:r>
      <w:r>
        <w:rPr>
          <w:rFonts w:ascii="FangSong" w:hAnsi="FangSong" w:eastAsia="FangSong" w:cs="FangSong"/>
          <w:sz w:val="30"/>
          <w:szCs w:val="30"/>
          <w:spacing w:val="3"/>
        </w:rPr>
        <w:t>促措施的；</w:t>
      </w:r>
    </w:p>
    <w:p>
      <w:pPr>
        <w:spacing w:line="272" w:lineRule="auto"/>
        <w:sectPr>
          <w:footerReference w:type="default" r:id="rId483"/>
          <w:pgSz w:w="16830" w:h="11900"/>
          <w:pgMar w:top="1011" w:right="1350" w:bottom="1107" w:left="1430" w:header="0" w:footer="774" w:gutter="0"/>
        </w:sectPr>
        <w:rPr>
          <w:rFonts w:ascii="FangSong" w:hAnsi="FangSong" w:eastAsia="FangSong" w:cs="FangSong"/>
          <w:sz w:val="30"/>
          <w:szCs w:val="30"/>
        </w:rPr>
      </w:pPr>
    </w:p>
    <w:p>
      <w:pPr>
        <w:pStyle w:val="BodyText"/>
        <w:spacing w:line="262" w:lineRule="auto"/>
        <w:rPr/>
      </w:pPr>
      <w:r/>
    </w:p>
    <w:p>
      <w:pPr>
        <w:pStyle w:val="BodyText"/>
        <w:spacing w:line="262" w:lineRule="auto"/>
        <w:rPr/>
      </w:pPr>
      <w:r/>
    </w:p>
    <w:p>
      <w:pPr>
        <w:pStyle w:val="BodyText"/>
        <w:spacing w:line="263" w:lineRule="auto"/>
        <w:rPr/>
      </w:pPr>
      <w:r/>
    </w:p>
    <w:p>
      <w:pPr>
        <w:ind w:left="6419"/>
        <w:spacing w:before="94" w:line="208" w:lineRule="auto"/>
        <w:rPr>
          <w:rFonts w:ascii="SimSun" w:hAnsi="SimSun" w:eastAsia="SimSun" w:cs="SimSun"/>
          <w:sz w:val="29"/>
          <w:szCs w:val="29"/>
        </w:rPr>
      </w:pPr>
      <w:bookmarkStart w:name="bookmark1125" w:id="500"/>
      <w:bookmarkEnd w:id="500"/>
      <w:r>
        <w:rPr>
          <w:rFonts w:ascii="SimSun" w:hAnsi="SimSun" w:eastAsia="SimSun" w:cs="SimSun"/>
          <w:sz w:val="29"/>
          <w:szCs w:val="29"/>
          <w:b/>
          <w:bCs/>
          <w:spacing w:val="-6"/>
        </w:rPr>
        <w:t>裁量标准</w:t>
      </w:r>
    </w:p>
    <w:tbl>
      <w:tblPr>
        <w:tblStyle w:val="TableNormal"/>
        <w:tblW w:w="137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04"/>
        <w:gridCol w:w="8283"/>
        <w:gridCol w:w="3962"/>
      </w:tblGrid>
      <w:tr>
        <w:trPr>
          <w:trHeight w:val="594" w:hRule="atLeast"/>
        </w:trPr>
        <w:tc>
          <w:tcPr>
            <w:tcW w:w="1504" w:type="dxa"/>
            <w:vAlign w:val="top"/>
          </w:tcPr>
          <w:p>
            <w:pPr>
              <w:pStyle w:val="TableText"/>
              <w:ind w:left="168"/>
              <w:spacing w:before="18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8283" w:type="dxa"/>
            <w:vAlign w:val="top"/>
          </w:tcPr>
          <w:p>
            <w:pPr>
              <w:pStyle w:val="TableText"/>
              <w:ind w:left="3554"/>
              <w:spacing w:before="182" w:line="220" w:lineRule="auto"/>
              <w:rPr/>
            </w:pPr>
            <w:r>
              <w:rPr>
                <w:b/>
                <w:bCs/>
                <w:spacing w:val="-11"/>
              </w:rPr>
              <w:t>情</w:t>
            </w:r>
            <w:r>
              <w:rPr>
                <w:spacing w:val="-37"/>
              </w:rPr>
              <w:t xml:space="preserve"> </w:t>
            </w:r>
            <w:r>
              <w:rPr>
                <w:b/>
                <w:bCs/>
                <w:spacing w:val="-11"/>
              </w:rPr>
              <w:t>节</w:t>
            </w:r>
            <w:r>
              <w:rPr>
                <w:spacing w:val="-36"/>
              </w:rPr>
              <w:t xml:space="preserve"> </w:t>
            </w:r>
            <w:r>
              <w:rPr>
                <w:b/>
                <w:bCs/>
                <w:spacing w:val="-11"/>
              </w:rPr>
              <w:t>后</w:t>
            </w:r>
            <w:r>
              <w:rPr>
                <w:spacing w:val="-33"/>
              </w:rPr>
              <w:t xml:space="preserve"> </w:t>
            </w:r>
            <w:r>
              <w:rPr>
                <w:b/>
                <w:bCs/>
                <w:spacing w:val="-11"/>
              </w:rPr>
              <w:t>果</w:t>
            </w:r>
          </w:p>
        </w:tc>
        <w:tc>
          <w:tcPr>
            <w:tcW w:w="3962" w:type="dxa"/>
            <w:vAlign w:val="top"/>
          </w:tcPr>
          <w:p>
            <w:pPr>
              <w:pStyle w:val="TableText"/>
              <w:ind w:left="1421"/>
              <w:spacing w:before="17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78" w:hRule="atLeast"/>
        </w:trPr>
        <w:tc>
          <w:tcPr>
            <w:tcW w:w="1504" w:type="dxa"/>
            <w:vAlign w:val="top"/>
          </w:tcPr>
          <w:p>
            <w:pPr>
              <w:pStyle w:val="TableText"/>
              <w:ind w:left="508"/>
              <w:spacing w:before="217" w:line="219" w:lineRule="auto"/>
              <w:rPr/>
            </w:pPr>
            <w:r>
              <w:rPr>
                <w:b/>
                <w:bCs/>
                <w:spacing w:val="-6"/>
              </w:rPr>
              <w:t>轻微</w:t>
            </w:r>
          </w:p>
        </w:tc>
        <w:tc>
          <w:tcPr>
            <w:tcW w:w="8283" w:type="dxa"/>
            <w:vAlign w:val="top"/>
          </w:tcPr>
          <w:p>
            <w:pPr>
              <w:pStyle w:val="TableText"/>
              <w:ind w:left="99" w:right="51" w:hanging="49"/>
              <w:spacing w:before="59" w:line="234" w:lineRule="auto"/>
              <w:rPr/>
            </w:pPr>
            <w:r>
              <w:rPr/>
              <w:t>未按照规定组织劳动者进行职业卫生培训，或者未对劳动者个人职业病防护采</w:t>
            </w:r>
            <w:r>
              <w:rPr>
                <w:spacing w:val="9"/>
              </w:rPr>
              <w:t xml:space="preserve"> </w:t>
            </w:r>
            <w:r>
              <w:rPr>
                <w:spacing w:val="2"/>
              </w:rPr>
              <w:t>取指导、督促措施的</w:t>
            </w:r>
          </w:p>
        </w:tc>
        <w:tc>
          <w:tcPr>
            <w:tcW w:w="3962" w:type="dxa"/>
            <w:vAlign w:val="top"/>
          </w:tcPr>
          <w:p>
            <w:pPr>
              <w:pStyle w:val="TableText"/>
              <w:ind w:left="118"/>
              <w:spacing w:before="218" w:line="218" w:lineRule="auto"/>
              <w:rPr/>
            </w:pPr>
            <w:r>
              <w:rPr>
                <w:spacing w:val="1"/>
              </w:rPr>
              <w:t>给予警告，责令限期改正</w:t>
            </w:r>
          </w:p>
        </w:tc>
      </w:tr>
      <w:tr>
        <w:trPr>
          <w:trHeight w:val="1018" w:hRule="atLeast"/>
        </w:trPr>
        <w:tc>
          <w:tcPr>
            <w:tcW w:w="1504" w:type="dxa"/>
            <w:vAlign w:val="top"/>
          </w:tcPr>
          <w:p>
            <w:pPr>
              <w:spacing w:line="380" w:lineRule="auto"/>
              <w:rPr>
                <w:rFonts w:ascii="Arial"/>
                <w:sz w:val="21"/>
              </w:rPr>
            </w:pPr>
            <w:r/>
          </w:p>
          <w:p>
            <w:pPr>
              <w:pStyle w:val="TableText"/>
              <w:ind w:left="508"/>
              <w:spacing w:before="78" w:line="221" w:lineRule="auto"/>
              <w:rPr/>
            </w:pPr>
            <w:r>
              <w:rPr>
                <w:b/>
                <w:bCs/>
                <w:spacing w:val="-10"/>
              </w:rPr>
              <w:t>一般</w:t>
            </w:r>
          </w:p>
        </w:tc>
        <w:tc>
          <w:tcPr>
            <w:tcW w:w="8283" w:type="dxa"/>
            <w:vAlign w:val="top"/>
          </w:tcPr>
          <w:p>
            <w:pPr>
              <w:pStyle w:val="TableText"/>
              <w:ind w:left="50" w:right="50"/>
              <w:spacing w:before="83" w:line="237" w:lineRule="auto"/>
              <w:jc w:val="both"/>
              <w:rPr/>
            </w:pPr>
            <w:r>
              <w:rPr/>
              <w:t>未按照规定组织劳动者进行职业卫生培训，或者未对劳动者个体防护采取有效</w:t>
            </w:r>
            <w:r>
              <w:rPr>
                <w:spacing w:val="9"/>
              </w:rPr>
              <w:t xml:space="preserve"> </w:t>
            </w:r>
            <w:r>
              <w:rPr/>
              <w:t>的指导、督促措施，经警告，逾期不改正，仍存在以上违法情形，涉及劳动者</w:t>
            </w:r>
            <w:r>
              <w:rPr>
                <w:spacing w:val="10"/>
              </w:rPr>
              <w:t xml:space="preserve"> </w:t>
            </w:r>
            <w:r>
              <w:rPr>
                <w:spacing w:val="16"/>
              </w:rPr>
              <w:t>10名以下的</w:t>
            </w:r>
          </w:p>
        </w:tc>
        <w:tc>
          <w:tcPr>
            <w:tcW w:w="3962" w:type="dxa"/>
            <w:vAlign w:val="top"/>
          </w:tcPr>
          <w:p>
            <w:pPr>
              <w:spacing w:line="313" w:lineRule="auto"/>
              <w:rPr>
                <w:rFonts w:ascii="Arial"/>
                <w:sz w:val="21"/>
              </w:rPr>
            </w:pPr>
            <w:r/>
          </w:p>
          <w:p>
            <w:pPr>
              <w:pStyle w:val="TableText"/>
              <w:ind w:left="118"/>
              <w:spacing w:before="78" w:line="220" w:lineRule="auto"/>
              <w:rPr/>
            </w:pPr>
            <w:r>
              <w:rPr>
                <w:spacing w:val="1"/>
              </w:rPr>
              <w:t>处三万元以下的罚款</w:t>
            </w:r>
          </w:p>
        </w:tc>
      </w:tr>
      <w:tr>
        <w:trPr>
          <w:trHeight w:val="1117" w:hRule="atLeast"/>
        </w:trPr>
        <w:tc>
          <w:tcPr>
            <w:tcW w:w="1504" w:type="dxa"/>
            <w:vAlign w:val="top"/>
          </w:tcPr>
          <w:p>
            <w:pPr>
              <w:spacing w:line="444" w:lineRule="auto"/>
              <w:rPr>
                <w:rFonts w:ascii="Arial"/>
                <w:sz w:val="21"/>
              </w:rPr>
            </w:pPr>
            <w:r/>
          </w:p>
          <w:p>
            <w:pPr>
              <w:pStyle w:val="TableText"/>
              <w:ind w:left="508"/>
              <w:spacing w:before="78" w:line="221" w:lineRule="auto"/>
              <w:rPr/>
            </w:pPr>
            <w:r>
              <w:rPr>
                <w:b/>
                <w:bCs/>
                <w:spacing w:val="-5"/>
              </w:rPr>
              <w:t>较重</w:t>
            </w:r>
          </w:p>
        </w:tc>
        <w:tc>
          <w:tcPr>
            <w:tcW w:w="8283" w:type="dxa"/>
            <w:vAlign w:val="top"/>
          </w:tcPr>
          <w:p>
            <w:pPr>
              <w:pStyle w:val="TableText"/>
              <w:ind w:left="50" w:right="50"/>
              <w:spacing w:before="135" w:line="249" w:lineRule="auto"/>
              <w:jc w:val="both"/>
              <w:rPr/>
            </w:pPr>
            <w:r>
              <w:rPr/>
              <w:t>未按照规定组织劳动者进行职业卫生培训，或者未对劳动者个体防护采取有效</w:t>
            </w:r>
            <w:r>
              <w:rPr>
                <w:spacing w:val="9"/>
              </w:rPr>
              <w:t xml:space="preserve"> </w:t>
            </w:r>
            <w:r>
              <w:rPr/>
              <w:t>的指导、督促措施，经警告，逾期不改正，仍存在以上违法情形，涉及劳动者</w:t>
            </w:r>
            <w:r>
              <w:rPr>
                <w:spacing w:val="10"/>
              </w:rPr>
              <w:t xml:space="preserve"> </w:t>
            </w:r>
            <w:r>
              <w:rPr>
                <w:spacing w:val="8"/>
              </w:rPr>
              <w:t>11名以上50名以下的</w:t>
            </w:r>
          </w:p>
        </w:tc>
        <w:tc>
          <w:tcPr>
            <w:tcW w:w="3962" w:type="dxa"/>
            <w:vAlign w:val="top"/>
          </w:tcPr>
          <w:p>
            <w:pPr>
              <w:spacing w:line="365" w:lineRule="auto"/>
              <w:rPr>
                <w:rFonts w:ascii="Arial"/>
                <w:sz w:val="21"/>
              </w:rPr>
            </w:pPr>
            <w:r/>
          </w:p>
          <w:p>
            <w:pPr>
              <w:pStyle w:val="TableText"/>
              <w:ind w:left="118"/>
              <w:spacing w:before="78" w:line="220" w:lineRule="auto"/>
              <w:rPr/>
            </w:pPr>
            <w:r>
              <w:rPr/>
              <w:t>处三万元以上六万元以下的罚款</w:t>
            </w:r>
          </w:p>
        </w:tc>
      </w:tr>
      <w:tr>
        <w:trPr>
          <w:trHeight w:val="1023" w:hRule="atLeast"/>
        </w:trPr>
        <w:tc>
          <w:tcPr>
            <w:tcW w:w="1504" w:type="dxa"/>
            <w:vAlign w:val="top"/>
          </w:tcPr>
          <w:p>
            <w:pPr>
              <w:spacing w:line="394" w:lineRule="auto"/>
              <w:rPr>
                <w:rFonts w:ascii="Arial"/>
                <w:sz w:val="21"/>
              </w:rPr>
            </w:pPr>
            <w:r/>
          </w:p>
          <w:p>
            <w:pPr>
              <w:pStyle w:val="TableText"/>
              <w:ind w:left="508"/>
              <w:spacing w:before="78" w:line="220" w:lineRule="auto"/>
              <w:rPr/>
            </w:pPr>
            <w:r>
              <w:rPr>
                <w:b/>
                <w:bCs/>
                <w:spacing w:val="-6"/>
              </w:rPr>
              <w:t>严重</w:t>
            </w:r>
          </w:p>
        </w:tc>
        <w:tc>
          <w:tcPr>
            <w:tcW w:w="8283" w:type="dxa"/>
            <w:vAlign w:val="top"/>
          </w:tcPr>
          <w:p>
            <w:pPr>
              <w:pStyle w:val="TableText"/>
              <w:ind w:left="50" w:right="50"/>
              <w:spacing w:before="88" w:line="237" w:lineRule="auto"/>
              <w:jc w:val="both"/>
              <w:rPr/>
            </w:pPr>
            <w:r>
              <w:rPr/>
              <w:t>未按照规定组织劳动者进行职业卫生培训，或者未对劳动者个体防护采取有效</w:t>
            </w:r>
            <w:r>
              <w:rPr>
                <w:spacing w:val="9"/>
              </w:rPr>
              <w:t xml:space="preserve"> </w:t>
            </w:r>
            <w:r>
              <w:rPr/>
              <w:t>的指导、督促措施，经警告，逾期不改正，仍存在以上违法情形，涉及劳动者</w:t>
            </w:r>
            <w:r>
              <w:rPr>
                <w:spacing w:val="10"/>
              </w:rPr>
              <w:t xml:space="preserve"> </w:t>
            </w:r>
            <w:r>
              <w:rPr>
                <w:spacing w:val="14"/>
              </w:rPr>
              <w:t>51名以上的</w:t>
            </w:r>
          </w:p>
        </w:tc>
        <w:tc>
          <w:tcPr>
            <w:tcW w:w="3962" w:type="dxa"/>
            <w:vAlign w:val="top"/>
          </w:tcPr>
          <w:p>
            <w:pPr>
              <w:spacing w:line="318" w:lineRule="auto"/>
              <w:rPr>
                <w:rFonts w:ascii="Arial"/>
                <w:sz w:val="21"/>
              </w:rPr>
            </w:pPr>
            <w:r/>
          </w:p>
          <w:p>
            <w:pPr>
              <w:pStyle w:val="TableText"/>
              <w:ind w:left="118"/>
              <w:spacing w:before="78" w:line="220" w:lineRule="auto"/>
              <w:rPr/>
            </w:pPr>
            <w:r>
              <w:rPr/>
              <w:t>处六万元以上十万元以下的罚款</w:t>
            </w:r>
          </w:p>
        </w:tc>
      </w:tr>
    </w:tbl>
    <w:p>
      <w:pPr>
        <w:pStyle w:val="BodyText"/>
        <w:spacing w:line="418" w:lineRule="auto"/>
        <w:rPr/>
      </w:pPr>
      <w:r/>
    </w:p>
    <w:p>
      <w:pPr>
        <w:ind w:left="19" w:right="9" w:firstLine="649"/>
        <w:spacing w:before="101" w:line="272" w:lineRule="auto"/>
        <w:rPr>
          <w:rFonts w:ascii="KaiTi" w:hAnsi="KaiTi" w:eastAsia="KaiTi" w:cs="KaiTi"/>
          <w:sz w:val="31"/>
          <w:szCs w:val="31"/>
        </w:rPr>
      </w:pPr>
      <w:r>
        <w:rPr>
          <w:rFonts w:ascii="KaiTi" w:hAnsi="KaiTi" w:eastAsia="KaiTi" w:cs="KaiTi"/>
          <w:sz w:val="31"/>
          <w:szCs w:val="31"/>
          <w:b/>
          <w:bCs/>
          <w:spacing w:val="10"/>
        </w:rPr>
        <w:t>第四百五十五条国内首次使用或者首次进口与职业病危害有关的化学材料，未按照规定报送毒</w:t>
      </w:r>
      <w:r>
        <w:rPr>
          <w:rFonts w:ascii="KaiTi" w:hAnsi="KaiTi" w:eastAsia="KaiTi" w:cs="KaiTi"/>
          <w:sz w:val="31"/>
          <w:szCs w:val="31"/>
          <w:spacing w:val="11"/>
        </w:rPr>
        <w:t xml:space="preserve"> </w:t>
      </w:r>
      <w:r>
        <w:rPr>
          <w:rFonts w:ascii="KaiTi" w:hAnsi="KaiTi" w:eastAsia="KaiTi" w:cs="KaiTi"/>
          <w:sz w:val="31"/>
          <w:szCs w:val="31"/>
          <w:b/>
          <w:bCs/>
          <w:spacing w:val="7"/>
        </w:rPr>
        <w:t>性鉴定资料以及经有关部门登记注册或者批准进口的文件的</w:t>
      </w:r>
    </w:p>
    <w:p>
      <w:pPr>
        <w:ind w:left="654"/>
        <w:spacing w:before="18"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630"/>
        <w:spacing w:before="73" w:line="221" w:lineRule="auto"/>
        <w:rPr>
          <w:rFonts w:ascii="FangSong" w:hAnsi="FangSong" w:eastAsia="FangSong" w:cs="FangSong"/>
          <w:sz w:val="31"/>
          <w:szCs w:val="31"/>
        </w:rPr>
      </w:pPr>
      <w:r>
        <w:rPr>
          <w:rFonts w:ascii="FangSong" w:hAnsi="FangSong" w:eastAsia="FangSong" w:cs="FangSong"/>
          <w:sz w:val="31"/>
          <w:szCs w:val="31"/>
          <w:spacing w:val="16"/>
        </w:rPr>
        <w:t>《中华人民共和国职业病防治法》第七十条第(五)项</w:t>
      </w:r>
      <w:r>
        <w:rPr>
          <w:rFonts w:ascii="FangSong" w:hAnsi="FangSong" w:eastAsia="FangSong" w:cs="FangSong"/>
          <w:sz w:val="31"/>
          <w:szCs w:val="31"/>
          <w:spacing w:val="16"/>
        </w:rPr>
        <w:t xml:space="preserve">   </w:t>
      </w:r>
      <w:r>
        <w:rPr>
          <w:rFonts w:ascii="FangSong" w:hAnsi="FangSong" w:eastAsia="FangSong" w:cs="FangSong"/>
          <w:sz w:val="31"/>
          <w:szCs w:val="31"/>
          <w:spacing w:val="16"/>
        </w:rPr>
        <w:t>违反本法规定，有下列行</w:t>
      </w:r>
      <w:r>
        <w:rPr>
          <w:rFonts w:ascii="FangSong" w:hAnsi="FangSong" w:eastAsia="FangSong" w:cs="FangSong"/>
          <w:sz w:val="31"/>
          <w:szCs w:val="31"/>
          <w:spacing w:val="15"/>
        </w:rPr>
        <w:t>为之一的，</w:t>
      </w:r>
    </w:p>
    <w:p>
      <w:pPr>
        <w:ind w:left="34"/>
        <w:spacing w:before="89" w:line="221" w:lineRule="auto"/>
        <w:rPr>
          <w:rFonts w:ascii="FangSong" w:hAnsi="FangSong" w:eastAsia="FangSong" w:cs="FangSong"/>
          <w:sz w:val="31"/>
          <w:szCs w:val="31"/>
        </w:rPr>
      </w:pPr>
      <w:r>
        <w:rPr>
          <w:rFonts w:ascii="FangSong" w:hAnsi="FangSong" w:eastAsia="FangSong" w:cs="FangSong"/>
          <w:sz w:val="31"/>
          <w:szCs w:val="31"/>
          <w:spacing w:val="7"/>
        </w:rPr>
        <w:t>由卫生行政部门给予警告，责令限期改正；逾期不改</w:t>
      </w:r>
      <w:r>
        <w:rPr>
          <w:rFonts w:ascii="FangSong" w:hAnsi="FangSong" w:eastAsia="FangSong" w:cs="FangSong"/>
          <w:sz w:val="31"/>
          <w:szCs w:val="31"/>
          <w:spacing w:val="6"/>
        </w:rPr>
        <w:t>正的，处十万以下的罚款：</w:t>
      </w:r>
    </w:p>
    <w:p>
      <w:pPr>
        <w:spacing w:before="68" w:line="220" w:lineRule="auto"/>
        <w:jc w:val="right"/>
        <w:rPr>
          <w:rFonts w:ascii="FangSong" w:hAnsi="FangSong" w:eastAsia="FangSong" w:cs="FangSong"/>
          <w:sz w:val="31"/>
          <w:szCs w:val="31"/>
        </w:rPr>
      </w:pPr>
      <w:r>
        <w:rPr>
          <w:rFonts w:ascii="FangSong" w:hAnsi="FangSong" w:eastAsia="FangSong" w:cs="FangSong"/>
          <w:sz w:val="31"/>
          <w:szCs w:val="31"/>
          <w:spacing w:val="10"/>
        </w:rPr>
        <w:t>(五)国内首次使用或者首次进口与职业病危害有关的化学材料，未按照规定报送毒性鉴定资料</w:t>
      </w:r>
    </w:p>
    <w:p>
      <w:pPr>
        <w:spacing w:line="220" w:lineRule="auto"/>
        <w:sectPr>
          <w:footerReference w:type="default" r:id="rId484"/>
          <w:pgSz w:w="16830" w:h="11900"/>
          <w:pgMar w:top="1011" w:right="1450" w:bottom="1107" w:left="1434" w:header="0" w:footer="774" w:gutter="0"/>
        </w:sectPr>
        <w:rPr>
          <w:rFonts w:ascii="FangSong" w:hAnsi="FangSong" w:eastAsia="FangSong" w:cs="FangSong"/>
          <w:sz w:val="31"/>
          <w:szCs w:val="31"/>
        </w:rPr>
      </w:pPr>
    </w:p>
    <w:p>
      <w:pPr>
        <w:pStyle w:val="BodyText"/>
        <w:spacing w:line="260" w:lineRule="auto"/>
        <w:rPr/>
      </w:pPr>
      <w:r/>
    </w:p>
    <w:p>
      <w:pPr>
        <w:pStyle w:val="BodyText"/>
        <w:spacing w:line="260" w:lineRule="auto"/>
        <w:rPr/>
      </w:pPr>
      <w:r/>
    </w:p>
    <w:p>
      <w:pPr>
        <w:pStyle w:val="BodyText"/>
        <w:spacing w:line="261" w:lineRule="auto"/>
        <w:rPr/>
      </w:pPr>
      <w:r/>
    </w:p>
    <w:p>
      <w:pPr>
        <w:ind w:left="44"/>
        <w:spacing w:before="100" w:line="222" w:lineRule="auto"/>
        <w:rPr>
          <w:rFonts w:ascii="FangSong" w:hAnsi="FangSong" w:eastAsia="FangSong" w:cs="FangSong"/>
          <w:sz w:val="31"/>
          <w:szCs w:val="31"/>
        </w:rPr>
      </w:pPr>
      <w:r>
        <w:rPr>
          <w:rFonts w:ascii="FangSong" w:hAnsi="FangSong" w:eastAsia="FangSong" w:cs="FangSong"/>
          <w:sz w:val="31"/>
          <w:szCs w:val="31"/>
          <w:spacing w:val="5"/>
        </w:rPr>
        <w:t>以及经有关部门登记注册或者批准进口的文件的。</w:t>
      </w:r>
    </w:p>
    <w:p>
      <w:pPr>
        <w:ind w:left="6428"/>
        <w:spacing w:before="227"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6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13"/>
        <w:gridCol w:w="8264"/>
        <w:gridCol w:w="3902"/>
      </w:tblGrid>
      <w:tr>
        <w:trPr>
          <w:trHeight w:val="704" w:hRule="atLeast"/>
        </w:trPr>
        <w:tc>
          <w:tcPr>
            <w:tcW w:w="1513" w:type="dxa"/>
            <w:vAlign w:val="top"/>
          </w:tcPr>
          <w:p>
            <w:pPr>
              <w:pStyle w:val="TableText"/>
              <w:ind w:left="248"/>
              <w:spacing w:before="232" w:line="220" w:lineRule="auto"/>
              <w:rPr>
                <w:sz w:val="25"/>
                <w:szCs w:val="25"/>
              </w:rPr>
            </w:pPr>
            <w:r>
              <w:rPr>
                <w:sz w:val="25"/>
                <w:szCs w:val="25"/>
                <w:b/>
                <w:bCs/>
                <w:spacing w:val="-5"/>
              </w:rPr>
              <w:t>违法程度</w:t>
            </w:r>
          </w:p>
        </w:tc>
        <w:tc>
          <w:tcPr>
            <w:tcW w:w="8264" w:type="dxa"/>
            <w:vAlign w:val="top"/>
          </w:tcPr>
          <w:p>
            <w:pPr>
              <w:pStyle w:val="TableText"/>
              <w:ind w:left="3625"/>
              <w:spacing w:before="232" w:line="220" w:lineRule="auto"/>
              <w:rPr>
                <w:sz w:val="25"/>
                <w:szCs w:val="25"/>
              </w:rPr>
            </w:pPr>
            <w:r>
              <w:rPr>
                <w:sz w:val="25"/>
                <w:szCs w:val="25"/>
                <w:b/>
                <w:bCs/>
                <w:spacing w:val="-5"/>
              </w:rPr>
              <w:t>情节后果</w:t>
            </w:r>
          </w:p>
        </w:tc>
        <w:tc>
          <w:tcPr>
            <w:tcW w:w="3902" w:type="dxa"/>
            <w:vAlign w:val="top"/>
          </w:tcPr>
          <w:p>
            <w:pPr>
              <w:pStyle w:val="TableText"/>
              <w:ind w:left="1391"/>
              <w:spacing w:before="229" w:line="218" w:lineRule="auto"/>
              <w:rPr>
                <w:sz w:val="25"/>
                <w:szCs w:val="25"/>
              </w:rPr>
            </w:pPr>
            <w:r>
              <w:rPr>
                <w:sz w:val="25"/>
                <w:szCs w:val="25"/>
                <w:b/>
                <w:bCs/>
                <w:spacing w:val="-5"/>
              </w:rPr>
              <w:t>裁量幅度</w:t>
            </w:r>
          </w:p>
        </w:tc>
      </w:tr>
      <w:tr>
        <w:trPr>
          <w:trHeight w:val="1028" w:hRule="atLeast"/>
        </w:trPr>
        <w:tc>
          <w:tcPr>
            <w:tcW w:w="1513" w:type="dxa"/>
            <w:vAlign w:val="top"/>
          </w:tcPr>
          <w:p>
            <w:pPr>
              <w:spacing w:line="304" w:lineRule="auto"/>
              <w:rPr>
                <w:rFonts w:ascii="Arial"/>
                <w:sz w:val="21"/>
              </w:rPr>
            </w:pPr>
            <w:r/>
          </w:p>
          <w:p>
            <w:pPr>
              <w:pStyle w:val="TableText"/>
              <w:ind w:left="498"/>
              <w:spacing w:before="81" w:line="219" w:lineRule="auto"/>
              <w:rPr>
                <w:sz w:val="25"/>
                <w:szCs w:val="25"/>
              </w:rPr>
            </w:pPr>
            <w:r>
              <w:rPr>
                <w:sz w:val="25"/>
                <w:szCs w:val="25"/>
                <w:b/>
                <w:bCs/>
                <w:spacing w:val="-6"/>
              </w:rPr>
              <w:t>轻微</w:t>
            </w:r>
          </w:p>
        </w:tc>
        <w:tc>
          <w:tcPr>
            <w:tcW w:w="8264" w:type="dxa"/>
            <w:vAlign w:val="top"/>
          </w:tcPr>
          <w:p>
            <w:pPr>
              <w:pStyle w:val="TableText"/>
              <w:ind w:left="91" w:hanging="79"/>
              <w:spacing w:before="269" w:line="232" w:lineRule="auto"/>
              <w:rPr>
                <w:sz w:val="25"/>
                <w:szCs w:val="25"/>
              </w:rPr>
            </w:pPr>
            <w:r>
              <w:rPr>
                <w:sz w:val="25"/>
                <w:szCs w:val="25"/>
                <w:spacing w:val="-8"/>
              </w:rPr>
              <w:t>国内首次使用或者首次进口与职业病危害有关的化学材料，未按照规定报送毒</w:t>
            </w:r>
            <w:r>
              <w:rPr>
                <w:sz w:val="25"/>
                <w:szCs w:val="25"/>
                <w:spacing w:val="12"/>
              </w:rPr>
              <w:t xml:space="preserve"> </w:t>
            </w:r>
            <w:r>
              <w:rPr>
                <w:sz w:val="25"/>
                <w:szCs w:val="25"/>
              </w:rPr>
              <w:t>性鉴定资料以及经有关部门登记注册或者批准进口的文件的</w:t>
            </w:r>
          </w:p>
        </w:tc>
        <w:tc>
          <w:tcPr>
            <w:tcW w:w="3902" w:type="dxa"/>
            <w:vAlign w:val="top"/>
          </w:tcPr>
          <w:p>
            <w:pPr>
              <w:spacing w:line="305" w:lineRule="auto"/>
              <w:rPr>
                <w:rFonts w:ascii="Arial"/>
                <w:sz w:val="21"/>
              </w:rPr>
            </w:pPr>
            <w:r/>
          </w:p>
          <w:p>
            <w:pPr>
              <w:pStyle w:val="TableText"/>
              <w:ind w:left="117"/>
              <w:spacing w:before="82" w:line="218" w:lineRule="auto"/>
              <w:rPr>
                <w:sz w:val="25"/>
                <w:szCs w:val="25"/>
              </w:rPr>
            </w:pPr>
            <w:r>
              <w:rPr>
                <w:sz w:val="25"/>
                <w:szCs w:val="25"/>
                <w:spacing w:val="1"/>
              </w:rPr>
              <w:t>给予警告，责令限期改正</w:t>
            </w:r>
          </w:p>
        </w:tc>
      </w:tr>
      <w:tr>
        <w:trPr>
          <w:trHeight w:val="1588" w:hRule="atLeast"/>
        </w:trPr>
        <w:tc>
          <w:tcPr>
            <w:tcW w:w="1513" w:type="dxa"/>
            <w:vAlign w:val="top"/>
          </w:tcPr>
          <w:p>
            <w:pPr>
              <w:spacing w:line="293" w:lineRule="auto"/>
              <w:rPr>
                <w:rFonts w:ascii="Arial"/>
                <w:sz w:val="21"/>
              </w:rPr>
            </w:pPr>
            <w:r/>
          </w:p>
          <w:p>
            <w:pPr>
              <w:spacing w:line="293" w:lineRule="auto"/>
              <w:rPr>
                <w:rFonts w:ascii="Arial"/>
                <w:sz w:val="21"/>
              </w:rPr>
            </w:pPr>
            <w:r/>
          </w:p>
          <w:p>
            <w:pPr>
              <w:pStyle w:val="TableText"/>
              <w:ind w:left="498"/>
              <w:spacing w:before="81" w:line="221" w:lineRule="auto"/>
              <w:rPr>
                <w:sz w:val="25"/>
                <w:szCs w:val="25"/>
              </w:rPr>
            </w:pPr>
            <w:r>
              <w:rPr>
                <w:sz w:val="25"/>
                <w:szCs w:val="25"/>
                <w:b/>
                <w:bCs/>
                <w:spacing w:val="-10"/>
              </w:rPr>
              <w:t>一般</w:t>
            </w:r>
          </w:p>
        </w:tc>
        <w:tc>
          <w:tcPr>
            <w:tcW w:w="8264" w:type="dxa"/>
            <w:vAlign w:val="top"/>
          </w:tcPr>
          <w:p>
            <w:pPr>
              <w:pStyle w:val="TableText"/>
              <w:ind w:left="12"/>
              <w:spacing w:before="191" w:line="250" w:lineRule="auto"/>
              <w:jc w:val="both"/>
              <w:rPr>
                <w:sz w:val="25"/>
                <w:szCs w:val="25"/>
              </w:rPr>
            </w:pPr>
            <w:r>
              <w:rPr>
                <w:sz w:val="25"/>
                <w:szCs w:val="25"/>
                <w:spacing w:val="-11"/>
              </w:rPr>
              <w:t>国内首次使用或者首次进口与职业病危害有关的化学材料，未按照规定报送毒</w:t>
            </w:r>
            <w:r>
              <w:rPr>
                <w:sz w:val="25"/>
                <w:szCs w:val="25"/>
                <w:spacing w:val="2"/>
              </w:rPr>
              <w:t xml:space="preserve">  </w:t>
            </w:r>
            <w:r>
              <w:rPr>
                <w:sz w:val="25"/>
                <w:szCs w:val="25"/>
                <w:spacing w:val="-8"/>
              </w:rPr>
              <w:t>性鉴定资料以及经有关部门登记注册或者批准进口的文件，经责令限期改正，</w:t>
            </w:r>
            <w:r>
              <w:rPr>
                <w:sz w:val="25"/>
                <w:szCs w:val="25"/>
                <w:spacing w:val="12"/>
              </w:rPr>
              <w:t xml:space="preserve"> </w:t>
            </w:r>
            <w:r>
              <w:rPr>
                <w:sz w:val="25"/>
                <w:szCs w:val="25"/>
                <w:spacing w:val="-2"/>
              </w:rPr>
              <w:t>逾期不改正，仍存在有1种未按规定报送毒性</w:t>
            </w:r>
            <w:r>
              <w:rPr>
                <w:sz w:val="25"/>
                <w:szCs w:val="25"/>
                <w:spacing w:val="-3"/>
              </w:rPr>
              <w:t>鉴定资料以及经有关部门登记</w:t>
            </w:r>
            <w:r>
              <w:rPr>
                <w:sz w:val="25"/>
                <w:szCs w:val="25"/>
              </w:rPr>
              <w:t xml:space="preserve">  </w:t>
            </w:r>
            <w:r>
              <w:rPr>
                <w:sz w:val="25"/>
                <w:szCs w:val="25"/>
                <w:spacing w:val="5"/>
              </w:rPr>
              <w:t>注册或者批准进口的文件的</w:t>
            </w:r>
          </w:p>
        </w:tc>
        <w:tc>
          <w:tcPr>
            <w:tcW w:w="3902" w:type="dxa"/>
            <w:vAlign w:val="top"/>
          </w:tcPr>
          <w:p>
            <w:pPr>
              <w:spacing w:line="294" w:lineRule="auto"/>
              <w:rPr>
                <w:rFonts w:ascii="Arial"/>
                <w:sz w:val="21"/>
              </w:rPr>
            </w:pPr>
            <w:r/>
          </w:p>
          <w:p>
            <w:pPr>
              <w:spacing w:line="295" w:lineRule="auto"/>
              <w:rPr>
                <w:rFonts w:ascii="Arial"/>
                <w:sz w:val="21"/>
              </w:rPr>
            </w:pPr>
            <w:r/>
          </w:p>
          <w:p>
            <w:pPr>
              <w:pStyle w:val="TableText"/>
              <w:ind w:left="117"/>
              <w:spacing w:before="81" w:line="220" w:lineRule="auto"/>
              <w:rPr>
                <w:sz w:val="25"/>
                <w:szCs w:val="25"/>
              </w:rPr>
            </w:pPr>
            <w:r>
              <w:rPr>
                <w:sz w:val="25"/>
                <w:szCs w:val="25"/>
                <w:spacing w:val="1"/>
              </w:rPr>
              <w:t>处三万元以下的罚款</w:t>
            </w:r>
          </w:p>
        </w:tc>
      </w:tr>
      <w:tr>
        <w:trPr>
          <w:trHeight w:val="1557" w:hRule="atLeast"/>
        </w:trPr>
        <w:tc>
          <w:tcPr>
            <w:tcW w:w="1513" w:type="dxa"/>
            <w:vAlign w:val="top"/>
          </w:tcPr>
          <w:p>
            <w:pPr>
              <w:spacing w:line="290" w:lineRule="auto"/>
              <w:rPr>
                <w:rFonts w:ascii="Arial"/>
                <w:sz w:val="21"/>
              </w:rPr>
            </w:pPr>
            <w:r/>
          </w:p>
          <w:p>
            <w:pPr>
              <w:spacing w:line="290" w:lineRule="auto"/>
              <w:rPr>
                <w:rFonts w:ascii="Arial"/>
                <w:sz w:val="21"/>
              </w:rPr>
            </w:pPr>
            <w:r/>
          </w:p>
          <w:p>
            <w:pPr>
              <w:pStyle w:val="TableText"/>
              <w:ind w:left="498"/>
              <w:spacing w:before="81" w:line="221" w:lineRule="auto"/>
              <w:rPr>
                <w:sz w:val="25"/>
                <w:szCs w:val="25"/>
              </w:rPr>
            </w:pPr>
            <w:r>
              <w:rPr>
                <w:sz w:val="25"/>
                <w:szCs w:val="25"/>
                <w:b/>
                <w:bCs/>
                <w:spacing w:val="-6"/>
              </w:rPr>
              <w:t>较重</w:t>
            </w:r>
          </w:p>
        </w:tc>
        <w:tc>
          <w:tcPr>
            <w:tcW w:w="8264" w:type="dxa"/>
            <w:vAlign w:val="top"/>
          </w:tcPr>
          <w:p>
            <w:pPr>
              <w:pStyle w:val="TableText"/>
              <w:ind w:left="12"/>
              <w:spacing w:before="165" w:line="255" w:lineRule="auto"/>
              <w:jc w:val="both"/>
              <w:rPr>
                <w:sz w:val="25"/>
                <w:szCs w:val="25"/>
              </w:rPr>
            </w:pPr>
            <w:r>
              <w:rPr>
                <w:sz w:val="25"/>
                <w:szCs w:val="25"/>
                <w:spacing w:val="-11"/>
              </w:rPr>
              <w:t>国内首次使用或者首次进口与职业病危害有关的化学材料，未按照规定报送毒</w:t>
            </w:r>
            <w:r>
              <w:rPr>
                <w:sz w:val="25"/>
                <w:szCs w:val="25"/>
                <w:spacing w:val="2"/>
              </w:rPr>
              <w:t xml:space="preserve">  </w:t>
            </w:r>
            <w:r>
              <w:rPr>
                <w:sz w:val="25"/>
                <w:szCs w:val="25"/>
                <w:spacing w:val="-8"/>
              </w:rPr>
              <w:t>性鉴定资料以及经有关部门登记注册或者批准进口的文件，经责令限期改正，</w:t>
            </w:r>
            <w:r>
              <w:rPr>
                <w:sz w:val="25"/>
                <w:szCs w:val="25"/>
                <w:spacing w:val="12"/>
              </w:rPr>
              <w:t xml:space="preserve"> </w:t>
            </w:r>
            <w:r>
              <w:rPr>
                <w:sz w:val="25"/>
                <w:szCs w:val="25"/>
                <w:spacing w:val="-2"/>
              </w:rPr>
              <w:t>逾期不改正，仍存在有2种未按规定报送毒性</w:t>
            </w:r>
            <w:r>
              <w:rPr>
                <w:sz w:val="25"/>
                <w:szCs w:val="25"/>
                <w:spacing w:val="-3"/>
              </w:rPr>
              <w:t>鉴定资料以及经有关部门登记</w:t>
            </w:r>
            <w:r>
              <w:rPr>
                <w:sz w:val="25"/>
                <w:szCs w:val="25"/>
              </w:rPr>
              <w:t xml:space="preserve">  </w:t>
            </w:r>
            <w:r>
              <w:rPr>
                <w:sz w:val="25"/>
                <w:szCs w:val="25"/>
                <w:spacing w:val="5"/>
              </w:rPr>
              <w:t>注册或者批准进口的文件的</w:t>
            </w:r>
          </w:p>
        </w:tc>
        <w:tc>
          <w:tcPr>
            <w:tcW w:w="3902" w:type="dxa"/>
            <w:vAlign w:val="top"/>
          </w:tcPr>
          <w:p>
            <w:pPr>
              <w:spacing w:line="290" w:lineRule="auto"/>
              <w:rPr>
                <w:rFonts w:ascii="Arial"/>
                <w:sz w:val="21"/>
              </w:rPr>
            </w:pPr>
            <w:r/>
          </w:p>
          <w:p>
            <w:pPr>
              <w:spacing w:line="291" w:lineRule="auto"/>
              <w:rPr>
                <w:rFonts w:ascii="Arial"/>
                <w:sz w:val="21"/>
              </w:rPr>
            </w:pPr>
            <w:r/>
          </w:p>
          <w:p>
            <w:pPr>
              <w:pStyle w:val="TableText"/>
              <w:ind w:left="117"/>
              <w:spacing w:before="81" w:line="220" w:lineRule="auto"/>
              <w:rPr>
                <w:sz w:val="25"/>
                <w:szCs w:val="25"/>
              </w:rPr>
            </w:pPr>
            <w:r>
              <w:rPr>
                <w:sz w:val="25"/>
                <w:szCs w:val="25"/>
              </w:rPr>
              <w:t>处三万元以上六万元以下的罚款</w:t>
            </w:r>
          </w:p>
        </w:tc>
      </w:tr>
      <w:tr>
        <w:trPr>
          <w:trHeight w:val="1582" w:hRule="atLeast"/>
        </w:trPr>
        <w:tc>
          <w:tcPr>
            <w:tcW w:w="1513" w:type="dxa"/>
            <w:vAlign w:val="top"/>
          </w:tcPr>
          <w:p>
            <w:pPr>
              <w:spacing w:line="295" w:lineRule="auto"/>
              <w:rPr>
                <w:rFonts w:ascii="Arial"/>
                <w:sz w:val="21"/>
              </w:rPr>
            </w:pPr>
            <w:r/>
          </w:p>
          <w:p>
            <w:pPr>
              <w:spacing w:line="295" w:lineRule="auto"/>
              <w:rPr>
                <w:rFonts w:ascii="Arial"/>
                <w:sz w:val="21"/>
              </w:rPr>
            </w:pPr>
            <w:r/>
          </w:p>
          <w:p>
            <w:pPr>
              <w:pStyle w:val="TableText"/>
              <w:ind w:left="498"/>
              <w:spacing w:before="81" w:line="220" w:lineRule="auto"/>
              <w:rPr>
                <w:sz w:val="25"/>
                <w:szCs w:val="25"/>
              </w:rPr>
            </w:pPr>
            <w:r>
              <w:rPr>
                <w:sz w:val="25"/>
                <w:szCs w:val="25"/>
                <w:b/>
                <w:bCs/>
                <w:spacing w:val="-6"/>
              </w:rPr>
              <w:t>严重</w:t>
            </w:r>
          </w:p>
        </w:tc>
        <w:tc>
          <w:tcPr>
            <w:tcW w:w="8264" w:type="dxa"/>
            <w:vAlign w:val="top"/>
          </w:tcPr>
          <w:p>
            <w:pPr>
              <w:pStyle w:val="TableText"/>
              <w:ind w:left="12"/>
              <w:spacing w:before="188" w:line="252" w:lineRule="auto"/>
              <w:jc w:val="both"/>
              <w:rPr>
                <w:sz w:val="25"/>
                <w:szCs w:val="25"/>
              </w:rPr>
            </w:pPr>
            <w:r>
              <w:rPr>
                <w:sz w:val="25"/>
                <w:szCs w:val="25"/>
                <w:spacing w:val="-11"/>
              </w:rPr>
              <w:t>国内首次使用或者首次进口与职业病危害有关的化学材料，未按照规定报送毒</w:t>
            </w:r>
            <w:r>
              <w:rPr>
                <w:sz w:val="25"/>
                <w:szCs w:val="25"/>
                <w:spacing w:val="2"/>
              </w:rPr>
              <w:t xml:space="preserve">  </w:t>
            </w:r>
            <w:r>
              <w:rPr>
                <w:sz w:val="25"/>
                <w:szCs w:val="25"/>
                <w:spacing w:val="-8"/>
              </w:rPr>
              <w:t>性鉴定资料以及经有关部门登记注册或者批准进口的文件，经责令限期改正，</w:t>
            </w:r>
            <w:r>
              <w:rPr>
                <w:sz w:val="25"/>
                <w:szCs w:val="25"/>
                <w:spacing w:val="12"/>
              </w:rPr>
              <w:t xml:space="preserve"> </w:t>
            </w:r>
            <w:r>
              <w:rPr>
                <w:sz w:val="25"/>
                <w:szCs w:val="25"/>
                <w:spacing w:val="-2"/>
              </w:rPr>
              <w:t>逾期不改正，仍存在有3种以上未按规定报送毒性鉴定资料以及经有关部门</w:t>
            </w:r>
            <w:r>
              <w:rPr>
                <w:sz w:val="25"/>
                <w:szCs w:val="25"/>
                <w:spacing w:val="8"/>
              </w:rPr>
              <w:t xml:space="preserve">  </w:t>
            </w:r>
            <w:r>
              <w:rPr>
                <w:sz w:val="25"/>
                <w:szCs w:val="25"/>
                <w:spacing w:val="4"/>
              </w:rPr>
              <w:t>登记注册或者批准进口的文件的</w:t>
            </w:r>
          </w:p>
        </w:tc>
        <w:tc>
          <w:tcPr>
            <w:tcW w:w="3902" w:type="dxa"/>
            <w:vAlign w:val="top"/>
          </w:tcPr>
          <w:p>
            <w:pPr>
              <w:spacing w:line="297" w:lineRule="auto"/>
              <w:rPr>
                <w:rFonts w:ascii="Arial"/>
                <w:sz w:val="21"/>
              </w:rPr>
            </w:pPr>
            <w:r/>
          </w:p>
          <w:p>
            <w:pPr>
              <w:spacing w:line="297" w:lineRule="auto"/>
              <w:rPr>
                <w:rFonts w:ascii="Arial"/>
                <w:sz w:val="21"/>
              </w:rPr>
            </w:pPr>
            <w:r/>
          </w:p>
          <w:p>
            <w:pPr>
              <w:pStyle w:val="TableText"/>
              <w:ind w:left="117"/>
              <w:spacing w:before="81" w:line="220" w:lineRule="auto"/>
              <w:rPr>
                <w:sz w:val="25"/>
                <w:szCs w:val="25"/>
              </w:rPr>
            </w:pPr>
            <w:r>
              <w:rPr>
                <w:sz w:val="25"/>
                <w:szCs w:val="25"/>
              </w:rPr>
              <w:t>处六万元以上十万元以下的罚款</w:t>
            </w:r>
          </w:p>
        </w:tc>
      </w:tr>
    </w:tbl>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pStyle w:val="BodyText"/>
        <w:spacing w:line="265" w:lineRule="auto"/>
        <w:rPr/>
      </w:pPr>
      <w:r/>
    </w:p>
    <w:p>
      <w:pPr>
        <w:ind w:left="6414"/>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w w:val="99"/>
        </w:rPr>
        <w:t>—536—</w:t>
      </w:r>
    </w:p>
    <w:p>
      <w:pPr>
        <w:spacing w:line="188" w:lineRule="auto"/>
        <w:sectPr>
          <w:footerReference w:type="default" r:id="rId24"/>
          <w:pgSz w:w="16830" w:h="11900"/>
          <w:pgMar w:top="1011" w:right="1715" w:bottom="400" w:left="1425" w:header="0" w:footer="0" w:gutter="0"/>
        </w:sectPr>
        <w:rPr>
          <w:rFonts w:ascii="Times New Roman" w:hAnsi="Times New Roman" w:eastAsia="Times New Roman" w:cs="Times New Roman"/>
          <w:sz w:val="37"/>
          <w:szCs w:val="37"/>
        </w:rPr>
      </w:pPr>
    </w:p>
    <w:p>
      <w:pPr>
        <w:pStyle w:val="BodyText"/>
        <w:spacing w:line="262" w:lineRule="auto"/>
        <w:rPr/>
      </w:pPr>
      <w:r/>
    </w:p>
    <w:p>
      <w:pPr>
        <w:pStyle w:val="BodyText"/>
        <w:spacing w:line="263" w:lineRule="auto"/>
        <w:rPr/>
      </w:pPr>
      <w:r/>
    </w:p>
    <w:p>
      <w:pPr>
        <w:pStyle w:val="BodyText"/>
        <w:spacing w:line="263" w:lineRule="auto"/>
        <w:rPr/>
      </w:pPr>
      <w:r/>
    </w:p>
    <w:p>
      <w:pPr>
        <w:ind w:left="654" w:right="1395" w:firstLine="4"/>
        <w:spacing w:before="97" w:line="249" w:lineRule="auto"/>
        <w:rPr>
          <w:rFonts w:ascii="FangSong" w:hAnsi="FangSong" w:eastAsia="FangSong" w:cs="FangSong"/>
          <w:sz w:val="30"/>
          <w:szCs w:val="30"/>
        </w:rPr>
      </w:pPr>
      <w:bookmarkStart w:name="bookmark1126" w:id="501"/>
      <w:bookmarkEnd w:id="501"/>
      <w:r>
        <w:rPr>
          <w:rFonts w:ascii="FangSong" w:hAnsi="FangSong" w:eastAsia="FangSong" w:cs="FangSong"/>
          <w:sz w:val="30"/>
          <w:szCs w:val="30"/>
          <w:b/>
          <w:bCs/>
          <w:spacing w:val="21"/>
        </w:rPr>
        <w:t>第四百五十六条未按照规定及时、如实向卫生行政部门申报产生职业病危害的项目的</w:t>
      </w:r>
      <w:r>
        <w:rPr>
          <w:rFonts w:ascii="FangSong" w:hAnsi="FangSong" w:eastAsia="FangSong" w:cs="FangSong"/>
          <w:sz w:val="30"/>
          <w:szCs w:val="30"/>
          <w:spacing w:val="15"/>
        </w:rPr>
        <w:t xml:space="preserve"> </w:t>
      </w:r>
      <w:r>
        <w:rPr>
          <w:rFonts w:ascii="FangSong" w:hAnsi="FangSong" w:eastAsia="FangSong" w:cs="FangSong"/>
          <w:sz w:val="30"/>
          <w:szCs w:val="30"/>
        </w:rPr>
        <w:t>法律依据：</w:t>
      </w:r>
    </w:p>
    <w:p>
      <w:pPr>
        <w:ind w:left="25" w:right="129" w:firstLine="629"/>
        <w:spacing w:before="56" w:line="276" w:lineRule="auto"/>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《中华人民共和国职业病防治法》第七</w:t>
      </w:r>
      <w:r>
        <w:rPr>
          <w:rFonts w:ascii="FangSong" w:hAnsi="FangSong" w:eastAsia="FangSong" w:cs="FangSong"/>
          <w:sz w:val="30"/>
          <w:szCs w:val="30"/>
          <w:spacing w:val="18"/>
        </w:rPr>
        <w:t>十一条第(一)项</w:t>
      </w:r>
      <w:r>
        <w:rPr>
          <w:rFonts w:ascii="FangSong" w:hAnsi="FangSong" w:eastAsia="FangSong" w:cs="FangSong"/>
          <w:sz w:val="30"/>
          <w:szCs w:val="30"/>
          <w:spacing w:val="18"/>
        </w:rPr>
        <w:t xml:space="preserve">  </w:t>
      </w:r>
      <w:r>
        <w:rPr>
          <w:rFonts w:ascii="FangSong" w:hAnsi="FangSong" w:eastAsia="FangSong" w:cs="FangSong"/>
          <w:sz w:val="30"/>
          <w:szCs w:val="30"/>
          <w:spacing w:val="18"/>
        </w:rPr>
        <w:t>用人单位违反本法规定，有下列行</w:t>
      </w:r>
      <w:r>
        <w:rPr>
          <w:rFonts w:ascii="FangSong" w:hAnsi="FangSong" w:eastAsia="FangSong" w:cs="FangSong"/>
          <w:sz w:val="30"/>
          <w:szCs w:val="30"/>
        </w:rPr>
        <w:t xml:space="preserve"> </w:t>
      </w:r>
      <w:r>
        <w:rPr>
          <w:rFonts w:ascii="FangSong" w:hAnsi="FangSong" w:eastAsia="FangSong" w:cs="FangSong"/>
          <w:sz w:val="30"/>
          <w:szCs w:val="30"/>
          <w:spacing w:val="17"/>
        </w:rPr>
        <w:t>为之一的，由卫生行政部门责令限期改正，给予警告，可以并处五万元以上十万元以下的罚款：</w:t>
      </w:r>
    </w:p>
    <w:p>
      <w:pPr>
        <w:ind w:left="785"/>
        <w:spacing w:before="2" w:line="221" w:lineRule="auto"/>
        <w:rPr>
          <w:rFonts w:ascii="FangSong" w:hAnsi="FangSong" w:eastAsia="FangSong" w:cs="FangSong"/>
          <w:sz w:val="30"/>
          <w:szCs w:val="30"/>
        </w:rPr>
      </w:pPr>
      <w:r>
        <w:rPr>
          <w:rFonts w:ascii="FangSong" w:hAnsi="FangSong" w:eastAsia="FangSong" w:cs="FangSong"/>
          <w:sz w:val="30"/>
          <w:szCs w:val="30"/>
          <w:spacing w:val="23"/>
        </w:rPr>
        <w:t>(一)未按照规定及时、如实向卫生行政部门</w:t>
      </w:r>
      <w:r>
        <w:rPr>
          <w:rFonts w:ascii="FangSong" w:hAnsi="FangSong" w:eastAsia="FangSong" w:cs="FangSong"/>
          <w:sz w:val="30"/>
          <w:szCs w:val="30"/>
          <w:spacing w:val="22"/>
        </w:rPr>
        <w:t>申报产生职业病危害的项目的；</w:t>
      </w:r>
    </w:p>
    <w:p>
      <w:pPr>
        <w:ind w:left="25" w:firstLine="629"/>
        <w:spacing w:before="68" w:line="271" w:lineRule="auto"/>
        <w:jc w:val="both"/>
        <w:rPr>
          <w:rFonts w:ascii="FangSong" w:hAnsi="FangSong" w:eastAsia="FangSong" w:cs="FangSong"/>
          <w:sz w:val="30"/>
          <w:szCs w:val="30"/>
        </w:rPr>
      </w:pPr>
      <w:r>
        <w:rPr>
          <w:rFonts w:ascii="FangSong" w:hAnsi="FangSong" w:eastAsia="FangSong" w:cs="FangSong"/>
          <w:sz w:val="30"/>
          <w:szCs w:val="30"/>
          <w:spacing w:val="14"/>
        </w:rPr>
        <w:t>2.</w:t>
      </w:r>
      <w:r>
        <w:rPr>
          <w:rFonts w:ascii="FangSong" w:hAnsi="FangSong" w:eastAsia="FangSong" w:cs="FangSong"/>
          <w:sz w:val="30"/>
          <w:szCs w:val="30"/>
          <w:spacing w:val="14"/>
        </w:rPr>
        <w:t xml:space="preserve"> </w:t>
      </w:r>
      <w:r>
        <w:rPr>
          <w:rFonts w:ascii="FangSong" w:hAnsi="FangSong" w:eastAsia="FangSong" w:cs="FangSong"/>
          <w:sz w:val="30"/>
          <w:szCs w:val="30"/>
          <w:spacing w:val="14"/>
        </w:rPr>
        <w:t>《使用有毒物品作业场所劳动保护条例》第六十六条第(一)项</w:t>
      </w:r>
      <w:r>
        <w:rPr>
          <w:rFonts w:ascii="FangSong" w:hAnsi="FangSong" w:eastAsia="FangSong" w:cs="FangSong"/>
          <w:sz w:val="30"/>
          <w:szCs w:val="30"/>
          <w:spacing w:val="14"/>
        </w:rPr>
        <w:t xml:space="preserve">  </w:t>
      </w:r>
      <w:r>
        <w:rPr>
          <w:rFonts w:ascii="FangSong" w:hAnsi="FangSong" w:eastAsia="FangSong" w:cs="FangSong"/>
          <w:sz w:val="30"/>
          <w:szCs w:val="30"/>
          <w:spacing w:val="14"/>
        </w:rPr>
        <w:t>用人单位违反本条例的规定，</w:t>
      </w:r>
      <w:r>
        <w:rPr>
          <w:rFonts w:ascii="FangSong" w:hAnsi="FangSong" w:eastAsia="FangSong" w:cs="FangSong"/>
          <w:sz w:val="30"/>
          <w:szCs w:val="30"/>
          <w:spacing w:val="14"/>
        </w:rPr>
        <w:t xml:space="preserve"> </w:t>
      </w:r>
      <w:r>
        <w:rPr>
          <w:rFonts w:ascii="FangSong" w:hAnsi="FangSong" w:eastAsia="FangSong" w:cs="FangSong"/>
          <w:sz w:val="30"/>
          <w:szCs w:val="30"/>
          <w:spacing w:val="19"/>
        </w:rPr>
        <w:t>有下列情形之一的，由疾病预防控制部门给予警告，责令限期改正</w:t>
      </w:r>
      <w:r>
        <w:rPr>
          <w:rFonts w:ascii="FangSong" w:hAnsi="FangSong" w:eastAsia="FangSong" w:cs="FangSong"/>
          <w:sz w:val="30"/>
          <w:szCs w:val="30"/>
          <w:spacing w:val="18"/>
        </w:rPr>
        <w:t>，处2万元以上5万元以下的罚款；</w:t>
      </w:r>
      <w:r>
        <w:rPr>
          <w:rFonts w:ascii="FangSong" w:hAnsi="FangSong" w:eastAsia="FangSong" w:cs="FangSong"/>
          <w:sz w:val="30"/>
          <w:szCs w:val="30"/>
        </w:rPr>
        <w:t xml:space="preserve"> </w:t>
      </w:r>
      <w:r>
        <w:rPr>
          <w:rFonts w:ascii="FangSong" w:hAnsi="FangSong" w:eastAsia="FangSong" w:cs="FangSong"/>
          <w:sz w:val="30"/>
          <w:szCs w:val="30"/>
          <w:spacing w:val="17"/>
        </w:rPr>
        <w:t>逾期不改正的，提请有关人民政府按照国务院规定的权限予以关</w:t>
      </w:r>
      <w:r>
        <w:rPr>
          <w:rFonts w:ascii="FangSong" w:hAnsi="FangSong" w:eastAsia="FangSong" w:cs="FangSong"/>
          <w:sz w:val="30"/>
          <w:szCs w:val="30"/>
          <w:spacing w:val="16"/>
        </w:rPr>
        <w:t>闭：</w:t>
      </w:r>
    </w:p>
    <w:p>
      <w:pPr>
        <w:ind w:left="785"/>
        <w:spacing w:line="220" w:lineRule="auto"/>
        <w:rPr>
          <w:rFonts w:ascii="FangSong" w:hAnsi="FangSong" w:eastAsia="FangSong" w:cs="FangSong"/>
          <w:sz w:val="30"/>
          <w:szCs w:val="30"/>
        </w:rPr>
      </w:pPr>
      <w:r>
        <w:rPr>
          <w:rFonts w:ascii="FangSong" w:hAnsi="FangSong" w:eastAsia="FangSong" w:cs="FangSong"/>
          <w:sz w:val="30"/>
          <w:szCs w:val="30"/>
          <w:spacing w:val="22"/>
        </w:rPr>
        <w:t>(一)未按照规定向卫生行政部门申报高毒作业项目的；</w:t>
      </w:r>
    </w:p>
    <w:p>
      <w:pPr>
        <w:ind w:left="25" w:right="129" w:firstLine="629"/>
        <w:spacing w:before="93" w:line="274" w:lineRule="auto"/>
        <w:rPr>
          <w:rFonts w:ascii="FangSong" w:hAnsi="FangSong" w:eastAsia="FangSong" w:cs="FangSong"/>
          <w:sz w:val="30"/>
          <w:szCs w:val="30"/>
        </w:rPr>
      </w:pPr>
      <w:r>
        <w:rPr>
          <w:rFonts w:ascii="FangSong" w:hAnsi="FangSong" w:eastAsia="FangSong" w:cs="FangSong"/>
          <w:sz w:val="30"/>
          <w:szCs w:val="30"/>
          <w:spacing w:val="19"/>
        </w:rPr>
        <w:t>3.</w:t>
      </w:r>
      <w:r>
        <w:rPr>
          <w:rFonts w:ascii="FangSong" w:hAnsi="FangSong" w:eastAsia="FangSong" w:cs="FangSong"/>
          <w:sz w:val="30"/>
          <w:szCs w:val="30"/>
          <w:spacing w:val="19"/>
        </w:rPr>
        <w:t xml:space="preserve"> </w:t>
      </w:r>
      <w:r>
        <w:rPr>
          <w:rFonts w:ascii="FangSong" w:hAnsi="FangSong" w:eastAsia="FangSong" w:cs="FangSong"/>
          <w:sz w:val="30"/>
          <w:szCs w:val="30"/>
          <w:spacing w:val="19"/>
        </w:rPr>
        <w:t>《工作场所职业卫生管理规定》第四</w:t>
      </w:r>
      <w:r>
        <w:rPr>
          <w:rFonts w:ascii="FangSong" w:hAnsi="FangSong" w:eastAsia="FangSong" w:cs="FangSong"/>
          <w:sz w:val="30"/>
          <w:szCs w:val="30"/>
          <w:spacing w:val="18"/>
        </w:rPr>
        <w:t>十九条第(一)项</w:t>
      </w:r>
      <w:r>
        <w:rPr>
          <w:rFonts w:ascii="FangSong" w:hAnsi="FangSong" w:eastAsia="FangSong" w:cs="FangSong"/>
          <w:sz w:val="30"/>
          <w:szCs w:val="30"/>
          <w:spacing w:val="18"/>
        </w:rPr>
        <w:t xml:space="preserve">  </w:t>
      </w:r>
      <w:r>
        <w:rPr>
          <w:rFonts w:ascii="FangSong" w:hAnsi="FangSong" w:eastAsia="FangSong" w:cs="FangSong"/>
          <w:sz w:val="30"/>
          <w:szCs w:val="30"/>
          <w:spacing w:val="18"/>
        </w:rPr>
        <w:t>用人单位有下列情形之一的，责令限</w:t>
      </w:r>
      <w:r>
        <w:rPr>
          <w:rFonts w:ascii="FangSong" w:hAnsi="FangSong" w:eastAsia="FangSong" w:cs="FangSong"/>
          <w:sz w:val="30"/>
          <w:szCs w:val="30"/>
        </w:rPr>
        <w:t xml:space="preserve"> </w:t>
      </w:r>
      <w:r>
        <w:rPr>
          <w:rFonts w:ascii="FangSong" w:hAnsi="FangSong" w:eastAsia="FangSong" w:cs="FangSong"/>
          <w:sz w:val="30"/>
          <w:szCs w:val="30"/>
          <w:spacing w:val="16"/>
        </w:rPr>
        <w:t>期改正，给予警告，可以并处五万元以上十万元以下的</w:t>
      </w:r>
      <w:r>
        <w:rPr>
          <w:rFonts w:ascii="FangSong" w:hAnsi="FangSong" w:eastAsia="FangSong" w:cs="FangSong"/>
          <w:sz w:val="30"/>
          <w:szCs w:val="30"/>
          <w:spacing w:val="15"/>
        </w:rPr>
        <w:t>罚款：</w:t>
      </w:r>
    </w:p>
    <w:p>
      <w:pPr>
        <w:ind w:left="785"/>
        <w:spacing w:before="2" w:line="220" w:lineRule="auto"/>
        <w:rPr>
          <w:rFonts w:ascii="FangSong" w:hAnsi="FangSong" w:eastAsia="FangSong" w:cs="FangSong"/>
          <w:sz w:val="30"/>
          <w:szCs w:val="30"/>
        </w:rPr>
      </w:pPr>
      <w:r>
        <w:rPr>
          <w:rFonts w:ascii="FangSong" w:hAnsi="FangSong" w:eastAsia="FangSong" w:cs="FangSong"/>
          <w:sz w:val="30"/>
          <w:szCs w:val="30"/>
          <w:spacing w:val="22"/>
        </w:rPr>
        <w:t>(一)未按照规定及时、如实向卫生行政部门申报产生职业病危害的项目的；</w:t>
      </w:r>
    </w:p>
    <w:p>
      <w:pPr>
        <w:ind w:left="25" w:right="121" w:firstLine="629"/>
        <w:spacing w:before="70" w:line="264" w:lineRule="auto"/>
        <w:rPr>
          <w:rFonts w:ascii="FangSong" w:hAnsi="FangSong" w:eastAsia="FangSong" w:cs="FangSong"/>
          <w:sz w:val="30"/>
          <w:szCs w:val="30"/>
        </w:rPr>
      </w:pPr>
      <w:r>
        <w:rPr>
          <w:rFonts w:ascii="FangSong" w:hAnsi="FangSong" w:eastAsia="FangSong" w:cs="FangSong"/>
          <w:sz w:val="30"/>
          <w:szCs w:val="30"/>
          <w:spacing w:val="12"/>
        </w:rPr>
        <w:t>4.</w:t>
      </w:r>
      <w:r>
        <w:rPr>
          <w:rFonts w:ascii="FangSong" w:hAnsi="FangSong" w:eastAsia="FangSong" w:cs="FangSong"/>
          <w:sz w:val="30"/>
          <w:szCs w:val="30"/>
          <w:spacing w:val="12"/>
        </w:rPr>
        <w:t xml:space="preserve"> </w:t>
      </w:r>
      <w:r>
        <w:rPr>
          <w:rFonts w:ascii="FangSong" w:hAnsi="FangSong" w:eastAsia="FangSong" w:cs="FangSong"/>
          <w:sz w:val="30"/>
          <w:szCs w:val="30"/>
          <w:spacing w:val="12"/>
        </w:rPr>
        <w:t>《职业病危害项目申报办法》第十四条</w:t>
      </w:r>
      <w:r>
        <w:rPr>
          <w:rFonts w:ascii="FangSong" w:hAnsi="FangSong" w:eastAsia="FangSong" w:cs="FangSong"/>
          <w:sz w:val="30"/>
          <w:szCs w:val="30"/>
          <w:spacing w:val="12"/>
        </w:rPr>
        <w:t xml:space="preserve">  </w:t>
      </w:r>
      <w:r>
        <w:rPr>
          <w:rFonts w:ascii="FangSong" w:hAnsi="FangSong" w:eastAsia="FangSong" w:cs="FangSong"/>
          <w:sz w:val="30"/>
          <w:szCs w:val="30"/>
          <w:spacing w:val="12"/>
        </w:rPr>
        <w:t>用人单位未按照本办法规定及时、如实地申报</w:t>
      </w:r>
      <w:r>
        <w:rPr>
          <w:rFonts w:ascii="FangSong" w:hAnsi="FangSong" w:eastAsia="FangSong" w:cs="FangSong"/>
          <w:sz w:val="30"/>
          <w:szCs w:val="30"/>
          <w:spacing w:val="11"/>
        </w:rPr>
        <w:t>职业病</w:t>
      </w:r>
      <w:r>
        <w:rPr>
          <w:rFonts w:ascii="FangSong" w:hAnsi="FangSong" w:eastAsia="FangSong" w:cs="FangSong"/>
          <w:sz w:val="30"/>
          <w:szCs w:val="30"/>
        </w:rPr>
        <w:t xml:space="preserve"> </w:t>
      </w:r>
      <w:r>
        <w:rPr>
          <w:rFonts w:ascii="FangSong" w:hAnsi="FangSong" w:eastAsia="FangSong" w:cs="FangSong"/>
          <w:sz w:val="30"/>
          <w:szCs w:val="30"/>
          <w:spacing w:val="30"/>
        </w:rPr>
        <w:t>危害项目的，责令限期改正，给予警告，可以并处5万元以上10万元以下的罚款。</w:t>
      </w:r>
    </w:p>
    <w:p>
      <w:pPr>
        <w:ind w:left="6439"/>
        <w:spacing w:before="154"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54"/>
        <w:gridCol w:w="8394"/>
        <w:gridCol w:w="3992"/>
      </w:tblGrid>
      <w:tr>
        <w:trPr>
          <w:trHeight w:val="649" w:hRule="atLeast"/>
        </w:trPr>
        <w:tc>
          <w:tcPr>
            <w:tcW w:w="1554" w:type="dxa"/>
            <w:vAlign w:val="top"/>
          </w:tcPr>
          <w:p>
            <w:pPr>
              <w:pStyle w:val="TableText"/>
              <w:ind w:left="189"/>
              <w:spacing w:before="183" w:line="220" w:lineRule="auto"/>
              <w:rPr>
                <w:sz w:val="29"/>
                <w:szCs w:val="29"/>
              </w:rPr>
            </w:pPr>
            <w:r>
              <w:rPr>
                <w:sz w:val="29"/>
                <w:szCs w:val="29"/>
                <w:b/>
                <w:bCs/>
                <w:spacing w:val="-1"/>
              </w:rPr>
              <w:t>违法程度</w:t>
            </w:r>
          </w:p>
        </w:tc>
        <w:tc>
          <w:tcPr>
            <w:tcW w:w="8394" w:type="dxa"/>
            <w:vAlign w:val="top"/>
          </w:tcPr>
          <w:p>
            <w:pPr>
              <w:pStyle w:val="TableText"/>
              <w:ind w:left="3635"/>
              <w:spacing w:before="183" w:line="220" w:lineRule="auto"/>
              <w:rPr>
                <w:sz w:val="29"/>
                <w:szCs w:val="29"/>
              </w:rPr>
            </w:pPr>
            <w:r>
              <w:rPr>
                <w:sz w:val="29"/>
                <w:szCs w:val="29"/>
                <w:b/>
                <w:bCs/>
                <w:spacing w:val="-1"/>
              </w:rPr>
              <w:t>情节后果</w:t>
            </w:r>
          </w:p>
        </w:tc>
        <w:tc>
          <w:tcPr>
            <w:tcW w:w="3992" w:type="dxa"/>
            <w:vAlign w:val="top"/>
          </w:tcPr>
          <w:p>
            <w:pPr>
              <w:pStyle w:val="TableText"/>
              <w:ind w:left="1441"/>
              <w:spacing w:before="180" w:line="218" w:lineRule="auto"/>
              <w:rPr>
                <w:sz w:val="29"/>
                <w:szCs w:val="29"/>
              </w:rPr>
            </w:pPr>
            <w:r>
              <w:rPr>
                <w:sz w:val="29"/>
                <w:szCs w:val="29"/>
                <w:b/>
                <w:bCs/>
                <w:spacing w:val="-1"/>
              </w:rPr>
              <w:t>裁量幅度</w:t>
            </w:r>
          </w:p>
        </w:tc>
      </w:tr>
    </w:tbl>
    <w:p>
      <w:pPr>
        <w:pStyle w:val="BodyText"/>
        <w:rPr/>
      </w:pPr>
      <w:r/>
    </w:p>
    <w:p>
      <w:pPr>
        <w:sectPr>
          <w:footerReference w:type="default" r:id="rId485"/>
          <w:pgSz w:w="16830" w:h="11900"/>
          <w:pgMar w:top="1011" w:right="1349" w:bottom="1108" w:left="1414" w:header="0" w:footer="775" w:gutter="0"/>
        </w:sectPr>
        <w:rPr/>
      </w:pPr>
    </w:p>
    <w:p>
      <w:pPr>
        <w:spacing w:before="17"/>
        <w:rPr/>
      </w:pPr>
      <w:r/>
    </w:p>
    <w:p>
      <w:pPr>
        <w:spacing w:before="16"/>
        <w:rPr/>
      </w:pPr>
      <w:r/>
    </w:p>
    <w:p>
      <w:pPr>
        <w:spacing w:before="16"/>
        <w:rPr/>
      </w:pPr>
      <w:r/>
    </w:p>
    <w:tbl>
      <w:tblPr>
        <w:tblStyle w:val="TableNormal"/>
        <w:tblW w:w="139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34"/>
        <w:gridCol w:w="8404"/>
        <w:gridCol w:w="3992"/>
      </w:tblGrid>
      <w:tr>
        <w:trPr>
          <w:trHeight w:val="972" w:hRule="atLeast"/>
        </w:trPr>
        <w:tc>
          <w:tcPr>
            <w:tcW w:w="1534" w:type="dxa"/>
            <w:vAlign w:val="top"/>
          </w:tcPr>
          <w:p>
            <w:pPr>
              <w:spacing w:line="280" w:lineRule="auto"/>
              <w:rPr>
                <w:rFonts w:ascii="Arial"/>
                <w:sz w:val="21"/>
              </w:rPr>
            </w:pPr>
            <w:r/>
          </w:p>
          <w:p>
            <w:pPr>
              <w:pStyle w:val="TableText"/>
              <w:ind w:left="508"/>
              <w:spacing w:before="81" w:line="221" w:lineRule="auto"/>
              <w:rPr>
                <w:sz w:val="25"/>
                <w:szCs w:val="25"/>
              </w:rPr>
            </w:pPr>
            <w:bookmarkStart w:name="bookmark1127" w:id="502"/>
            <w:bookmarkEnd w:id="502"/>
            <w:r>
              <w:rPr>
                <w:sz w:val="25"/>
                <w:szCs w:val="25"/>
                <w:b/>
                <w:bCs/>
                <w:spacing w:val="-10"/>
              </w:rPr>
              <w:t>一般</w:t>
            </w:r>
          </w:p>
        </w:tc>
        <w:tc>
          <w:tcPr>
            <w:tcW w:w="8404" w:type="dxa"/>
            <w:vAlign w:val="top"/>
          </w:tcPr>
          <w:p>
            <w:pPr>
              <w:pStyle w:val="TableText"/>
              <w:ind w:left="111" w:right="262" w:firstLine="9"/>
              <w:spacing w:before="205" w:line="253" w:lineRule="auto"/>
              <w:rPr>
                <w:sz w:val="25"/>
                <w:szCs w:val="25"/>
              </w:rPr>
            </w:pPr>
            <w:r>
              <w:rPr>
                <w:sz w:val="25"/>
                <w:szCs w:val="25"/>
              </w:rPr>
              <w:t>有5种以下危害因素未按照规定申报或有1项变更职业病危害项目未按照规</w:t>
            </w:r>
            <w:r>
              <w:rPr>
                <w:sz w:val="25"/>
                <w:szCs w:val="25"/>
                <w:spacing w:val="10"/>
              </w:rPr>
              <w:t xml:space="preserve"> </w:t>
            </w:r>
            <w:r>
              <w:rPr>
                <w:sz w:val="25"/>
                <w:szCs w:val="25"/>
                <w:spacing w:val="2"/>
              </w:rPr>
              <w:t>定及时、如实申报的</w:t>
            </w:r>
          </w:p>
        </w:tc>
        <w:tc>
          <w:tcPr>
            <w:tcW w:w="3992" w:type="dxa"/>
            <w:vAlign w:val="top"/>
          </w:tcPr>
          <w:p>
            <w:pPr>
              <w:pStyle w:val="TableText"/>
              <w:ind w:left="126" w:firstLine="10"/>
              <w:spacing w:before="203" w:line="263" w:lineRule="auto"/>
              <w:rPr>
                <w:sz w:val="25"/>
                <w:szCs w:val="25"/>
              </w:rPr>
            </w:pPr>
            <w:r>
              <w:rPr>
                <w:sz w:val="25"/>
                <w:szCs w:val="25"/>
                <w:spacing w:val="-10"/>
              </w:rPr>
              <w:t>给予警告，责令限期改正，可以并处</w:t>
            </w:r>
            <w:r>
              <w:rPr>
                <w:sz w:val="25"/>
                <w:szCs w:val="25"/>
                <w:spacing w:val="4"/>
              </w:rPr>
              <w:t xml:space="preserve"> </w:t>
            </w:r>
            <w:r>
              <w:rPr>
                <w:sz w:val="25"/>
                <w:szCs w:val="25"/>
              </w:rPr>
              <w:t>五万元以上六万元以下的罚款</w:t>
            </w:r>
          </w:p>
        </w:tc>
      </w:tr>
      <w:tr>
        <w:trPr>
          <w:trHeight w:val="708" w:hRule="atLeast"/>
        </w:trPr>
        <w:tc>
          <w:tcPr>
            <w:tcW w:w="1534" w:type="dxa"/>
            <w:vAlign w:val="top"/>
          </w:tcPr>
          <w:p>
            <w:pPr>
              <w:pStyle w:val="TableText"/>
              <w:ind w:left="508"/>
              <w:spacing w:before="293" w:line="221" w:lineRule="auto"/>
              <w:rPr>
                <w:sz w:val="25"/>
                <w:szCs w:val="25"/>
              </w:rPr>
            </w:pPr>
            <w:r>
              <w:rPr>
                <w:sz w:val="25"/>
                <w:szCs w:val="25"/>
                <w:b/>
                <w:bCs/>
                <w:spacing w:val="-6"/>
              </w:rPr>
              <w:t>较重</w:t>
            </w:r>
          </w:p>
        </w:tc>
        <w:tc>
          <w:tcPr>
            <w:tcW w:w="8404" w:type="dxa"/>
            <w:vAlign w:val="top"/>
          </w:tcPr>
          <w:p>
            <w:pPr>
              <w:pStyle w:val="TableText"/>
              <w:ind w:left="111"/>
              <w:spacing w:before="83" w:line="227" w:lineRule="auto"/>
              <w:rPr>
                <w:sz w:val="25"/>
                <w:szCs w:val="25"/>
              </w:rPr>
            </w:pPr>
            <w:r>
              <w:rPr>
                <w:sz w:val="25"/>
                <w:szCs w:val="25"/>
                <w:spacing w:val="1"/>
              </w:rPr>
              <w:t>有6种以上10种以下危害因素未按照规定申报或有2-3项变更职业</w:t>
            </w:r>
            <w:r>
              <w:rPr>
                <w:sz w:val="25"/>
                <w:szCs w:val="25"/>
              </w:rPr>
              <w:t>病危害项目 </w:t>
            </w:r>
            <w:r>
              <w:rPr>
                <w:sz w:val="25"/>
                <w:szCs w:val="25"/>
                <w:spacing w:val="1"/>
              </w:rPr>
              <w:t>未按照规定及时、如实申报的</w:t>
            </w:r>
          </w:p>
        </w:tc>
        <w:tc>
          <w:tcPr>
            <w:tcW w:w="3992" w:type="dxa"/>
            <w:vAlign w:val="top"/>
          </w:tcPr>
          <w:p>
            <w:pPr>
              <w:pStyle w:val="TableText"/>
              <w:ind w:left="126"/>
              <w:spacing w:before="80" w:line="228" w:lineRule="auto"/>
              <w:rPr>
                <w:sz w:val="25"/>
                <w:szCs w:val="25"/>
              </w:rPr>
            </w:pPr>
            <w:r>
              <w:rPr>
                <w:sz w:val="25"/>
                <w:szCs w:val="25"/>
                <w:spacing w:val="-10"/>
              </w:rPr>
              <w:t>给予警告，责令限期改正，并处六万</w:t>
            </w:r>
            <w:r>
              <w:rPr>
                <w:sz w:val="25"/>
                <w:szCs w:val="25"/>
                <w:spacing w:val="14"/>
              </w:rPr>
              <w:t xml:space="preserve"> </w:t>
            </w:r>
            <w:r>
              <w:rPr>
                <w:sz w:val="25"/>
                <w:szCs w:val="25"/>
              </w:rPr>
              <w:t>元以上八万元以下的罚款</w:t>
            </w:r>
          </w:p>
        </w:tc>
      </w:tr>
      <w:tr>
        <w:trPr>
          <w:trHeight w:val="1720" w:hRule="atLeast"/>
        </w:trPr>
        <w:tc>
          <w:tcPr>
            <w:tcW w:w="1534" w:type="dxa"/>
            <w:vAlign w:val="top"/>
          </w:tcPr>
          <w:p>
            <w:pPr>
              <w:spacing w:line="328" w:lineRule="auto"/>
              <w:rPr>
                <w:rFonts w:ascii="Arial"/>
                <w:sz w:val="21"/>
              </w:rPr>
            </w:pPr>
            <w:r/>
          </w:p>
          <w:p>
            <w:pPr>
              <w:spacing w:line="329" w:lineRule="auto"/>
              <w:rPr>
                <w:rFonts w:ascii="Arial"/>
                <w:sz w:val="21"/>
              </w:rPr>
            </w:pPr>
            <w:r/>
          </w:p>
          <w:p>
            <w:pPr>
              <w:pStyle w:val="TableText"/>
              <w:ind w:left="508"/>
              <w:spacing w:before="81" w:line="220" w:lineRule="auto"/>
              <w:rPr>
                <w:sz w:val="25"/>
                <w:szCs w:val="25"/>
              </w:rPr>
            </w:pPr>
            <w:r>
              <w:rPr>
                <w:sz w:val="25"/>
                <w:szCs w:val="25"/>
                <w:b/>
                <w:bCs/>
                <w:spacing w:val="-6"/>
              </w:rPr>
              <w:t>严重</w:t>
            </w:r>
          </w:p>
        </w:tc>
        <w:tc>
          <w:tcPr>
            <w:tcW w:w="8404" w:type="dxa"/>
            <w:vAlign w:val="top"/>
          </w:tcPr>
          <w:p>
            <w:pPr>
              <w:pStyle w:val="TableText"/>
              <w:ind w:left="111"/>
              <w:spacing w:before="76" w:line="220" w:lineRule="auto"/>
              <w:rPr>
                <w:sz w:val="25"/>
                <w:szCs w:val="25"/>
              </w:rPr>
            </w:pPr>
            <w:r>
              <w:rPr>
                <w:sz w:val="25"/>
                <w:szCs w:val="25"/>
                <w:spacing w:val="2"/>
              </w:rPr>
              <w:t>有下列情形之一的：</w:t>
            </w:r>
          </w:p>
          <w:p>
            <w:pPr>
              <w:pStyle w:val="TableText"/>
              <w:ind w:left="111" w:right="2"/>
              <w:spacing w:before="71" w:line="235" w:lineRule="auto"/>
              <w:rPr>
                <w:sz w:val="25"/>
                <w:szCs w:val="25"/>
              </w:rPr>
            </w:pPr>
            <w:r>
              <w:rPr>
                <w:sz w:val="25"/>
                <w:szCs w:val="25"/>
                <w:spacing w:val="-6"/>
              </w:rPr>
              <w:t>A.《高毒物品目录》中高毒物品、矽尘以及放射性职</w:t>
            </w:r>
            <w:r>
              <w:rPr>
                <w:sz w:val="25"/>
                <w:szCs w:val="25"/>
                <w:spacing w:val="-7"/>
              </w:rPr>
              <w:t>业病危害项目未按规定及</w:t>
            </w:r>
            <w:r>
              <w:rPr>
                <w:sz w:val="25"/>
                <w:szCs w:val="25"/>
              </w:rPr>
              <w:t xml:space="preserve"> </w:t>
            </w:r>
            <w:r>
              <w:rPr>
                <w:sz w:val="25"/>
                <w:szCs w:val="25"/>
                <w:spacing w:val="2"/>
              </w:rPr>
              <w:t>时、如实申报的</w:t>
            </w:r>
          </w:p>
          <w:p>
            <w:pPr>
              <w:pStyle w:val="TableText"/>
              <w:ind w:left="111"/>
              <w:spacing w:before="32" w:line="220" w:lineRule="auto"/>
              <w:rPr>
                <w:sz w:val="25"/>
                <w:szCs w:val="25"/>
              </w:rPr>
            </w:pPr>
            <w:r>
              <w:rPr>
                <w:sz w:val="25"/>
                <w:szCs w:val="25"/>
                <w:spacing w:val="-3"/>
              </w:rPr>
              <w:t>B.有10种以上危害因素未按照规定申报或有4项以上变更职业病危害项目未按</w:t>
            </w:r>
            <w:r>
              <w:rPr>
                <w:sz w:val="25"/>
                <w:szCs w:val="25"/>
                <w:spacing w:val="14"/>
              </w:rPr>
              <w:t xml:space="preserve"> </w:t>
            </w:r>
            <w:r>
              <w:rPr>
                <w:sz w:val="25"/>
                <w:szCs w:val="25"/>
                <w:spacing w:val="1"/>
              </w:rPr>
              <w:t>照规定及时、如实申报的</w:t>
            </w:r>
          </w:p>
        </w:tc>
        <w:tc>
          <w:tcPr>
            <w:tcW w:w="3992" w:type="dxa"/>
            <w:vAlign w:val="top"/>
          </w:tcPr>
          <w:p>
            <w:pPr>
              <w:spacing w:line="264" w:lineRule="auto"/>
              <w:rPr>
                <w:rFonts w:ascii="Arial"/>
                <w:sz w:val="21"/>
              </w:rPr>
            </w:pPr>
            <w:r/>
          </w:p>
          <w:p>
            <w:pPr>
              <w:spacing w:line="265" w:lineRule="auto"/>
              <w:rPr>
                <w:rFonts w:ascii="Arial"/>
                <w:sz w:val="21"/>
              </w:rPr>
            </w:pPr>
            <w:r/>
          </w:p>
          <w:p>
            <w:pPr>
              <w:pStyle w:val="TableText"/>
              <w:ind w:left="126"/>
              <w:spacing w:before="81" w:line="248" w:lineRule="auto"/>
              <w:rPr>
                <w:sz w:val="25"/>
                <w:szCs w:val="25"/>
              </w:rPr>
            </w:pPr>
            <w:r>
              <w:rPr>
                <w:sz w:val="25"/>
                <w:szCs w:val="25"/>
                <w:spacing w:val="-10"/>
              </w:rPr>
              <w:t>给予警告，责令限期改正，并处八万</w:t>
            </w:r>
            <w:r>
              <w:rPr>
                <w:sz w:val="25"/>
                <w:szCs w:val="25"/>
                <w:spacing w:val="14"/>
              </w:rPr>
              <w:t xml:space="preserve"> </w:t>
            </w:r>
            <w:r>
              <w:rPr>
                <w:sz w:val="25"/>
                <w:szCs w:val="25"/>
              </w:rPr>
              <w:t>元以上十万元以下的罚款</w:t>
            </w:r>
          </w:p>
        </w:tc>
      </w:tr>
    </w:tbl>
    <w:p>
      <w:pPr>
        <w:pStyle w:val="BodyText"/>
        <w:spacing w:line="455" w:lineRule="auto"/>
        <w:rPr/>
      </w:pPr>
      <w:r/>
    </w:p>
    <w:p>
      <w:pPr>
        <w:ind w:left="654" w:right="26"/>
        <w:spacing w:before="97" w:line="276" w:lineRule="auto"/>
        <w:rPr>
          <w:rFonts w:ascii="FangSong" w:hAnsi="FangSong" w:eastAsia="FangSong" w:cs="FangSong"/>
          <w:sz w:val="30"/>
          <w:szCs w:val="30"/>
        </w:rPr>
      </w:pPr>
      <w:r>
        <w:rPr>
          <w:rFonts w:ascii="FangSong" w:hAnsi="FangSong" w:eastAsia="FangSong" w:cs="FangSong"/>
          <w:sz w:val="30"/>
          <w:szCs w:val="30"/>
          <w:spacing w:val="21"/>
        </w:rPr>
        <w:t>第</w:t>
      </w:r>
      <w:r>
        <w:rPr>
          <w:rFonts w:ascii="FangSong" w:hAnsi="FangSong" w:eastAsia="FangSong" w:cs="FangSong"/>
          <w:sz w:val="30"/>
          <w:szCs w:val="30"/>
          <w:b/>
          <w:bCs/>
          <w:spacing w:val="21"/>
        </w:rPr>
        <w:t>四百五十七条未实施由专人负责的职业病危害因素日常监测</w:t>
      </w:r>
      <w:r>
        <w:rPr>
          <w:rFonts w:ascii="FangSong" w:hAnsi="FangSong" w:eastAsia="FangSong" w:cs="FangSong"/>
          <w:sz w:val="30"/>
          <w:szCs w:val="30"/>
          <w:b/>
          <w:bCs/>
          <w:spacing w:val="20"/>
        </w:rPr>
        <w:t>，或者监测系统不能正常监测的</w:t>
      </w:r>
      <w:r>
        <w:rPr>
          <w:rFonts w:ascii="FangSong" w:hAnsi="FangSong" w:eastAsia="FangSong" w:cs="FangSong"/>
          <w:sz w:val="30"/>
          <w:szCs w:val="30"/>
        </w:rPr>
        <w:t xml:space="preserve"> </w:t>
      </w:r>
      <w:r>
        <w:rPr>
          <w:rFonts w:ascii="FangSong" w:hAnsi="FangSong" w:eastAsia="FangSong" w:cs="FangSong"/>
          <w:sz w:val="30"/>
          <w:szCs w:val="30"/>
          <w:spacing w:val="6"/>
        </w:rPr>
        <w:t>法律依据：</w:t>
      </w:r>
    </w:p>
    <w:p>
      <w:pPr>
        <w:ind w:left="25" w:firstLine="629"/>
        <w:spacing w:before="3" w:line="269" w:lineRule="auto"/>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《中华人民共和国职业病防治法》第七十一条第(二)项</w:t>
      </w:r>
      <w:r>
        <w:rPr>
          <w:rFonts w:ascii="FangSong" w:hAnsi="FangSong" w:eastAsia="FangSong" w:cs="FangSong"/>
          <w:sz w:val="30"/>
          <w:szCs w:val="30"/>
          <w:spacing w:val="19"/>
        </w:rPr>
        <w:t xml:space="preserve">  </w:t>
      </w:r>
      <w:r>
        <w:rPr>
          <w:rFonts w:ascii="FangSong" w:hAnsi="FangSong" w:eastAsia="FangSong" w:cs="FangSong"/>
          <w:sz w:val="30"/>
          <w:szCs w:val="30"/>
          <w:spacing w:val="19"/>
        </w:rPr>
        <w:t>用人单位违反本法规</w:t>
      </w:r>
      <w:r>
        <w:rPr>
          <w:rFonts w:ascii="FangSong" w:hAnsi="FangSong" w:eastAsia="FangSong" w:cs="FangSong"/>
          <w:sz w:val="30"/>
          <w:szCs w:val="30"/>
          <w:spacing w:val="18"/>
        </w:rPr>
        <w:t>定，有下列行</w:t>
      </w:r>
      <w:r>
        <w:rPr>
          <w:rFonts w:ascii="FangSong" w:hAnsi="FangSong" w:eastAsia="FangSong" w:cs="FangSong"/>
          <w:sz w:val="30"/>
          <w:szCs w:val="30"/>
        </w:rPr>
        <w:t xml:space="preserve"> </w:t>
      </w:r>
      <w:r>
        <w:rPr>
          <w:rFonts w:ascii="FangSong" w:hAnsi="FangSong" w:eastAsia="FangSong" w:cs="FangSong"/>
          <w:sz w:val="30"/>
          <w:szCs w:val="30"/>
          <w:spacing w:val="18"/>
        </w:rPr>
        <w:t>为之一的，由卫生行政部门责令限期改正，给予警告，</w:t>
      </w:r>
      <w:r>
        <w:rPr>
          <w:rFonts w:ascii="FangSong" w:hAnsi="FangSong" w:eastAsia="FangSong" w:cs="FangSong"/>
          <w:sz w:val="30"/>
          <w:szCs w:val="30"/>
          <w:spacing w:val="17"/>
        </w:rPr>
        <w:t>可以并处五万元以上十万元以下的罚款：</w:t>
      </w:r>
    </w:p>
    <w:p>
      <w:pPr>
        <w:ind w:left="794"/>
        <w:spacing w:before="3" w:line="222" w:lineRule="auto"/>
        <w:rPr>
          <w:rFonts w:ascii="FangSong" w:hAnsi="FangSong" w:eastAsia="FangSong" w:cs="FangSong"/>
          <w:sz w:val="30"/>
          <w:szCs w:val="30"/>
        </w:rPr>
      </w:pPr>
      <w:r>
        <w:rPr>
          <w:rFonts w:ascii="FangSong" w:hAnsi="FangSong" w:eastAsia="FangSong" w:cs="FangSong"/>
          <w:sz w:val="30"/>
          <w:szCs w:val="30"/>
          <w:spacing w:val="22"/>
        </w:rPr>
        <w:t>(二)未实施由专人负责的职业病危害因素日常监测，或者监测系统不</w:t>
      </w:r>
      <w:r>
        <w:rPr>
          <w:rFonts w:ascii="FangSong" w:hAnsi="FangSong" w:eastAsia="FangSong" w:cs="FangSong"/>
          <w:sz w:val="30"/>
          <w:szCs w:val="30"/>
          <w:spacing w:val="21"/>
        </w:rPr>
        <w:t>能正常监测的；</w:t>
      </w:r>
    </w:p>
    <w:p>
      <w:pPr>
        <w:ind w:left="25" w:firstLine="629"/>
        <w:spacing w:before="46" w:line="271" w:lineRule="auto"/>
        <w:rPr>
          <w:rFonts w:ascii="FangSong" w:hAnsi="FangSong" w:eastAsia="FangSong" w:cs="FangSong"/>
          <w:sz w:val="30"/>
          <w:szCs w:val="30"/>
        </w:rPr>
      </w:pPr>
      <w:r>
        <w:rPr>
          <w:rFonts w:ascii="FangSong" w:hAnsi="FangSong" w:eastAsia="FangSong" w:cs="FangSong"/>
          <w:sz w:val="30"/>
          <w:szCs w:val="30"/>
          <w:spacing w:val="19"/>
        </w:rPr>
        <w:t>2.</w:t>
      </w:r>
      <w:r>
        <w:rPr>
          <w:rFonts w:ascii="FangSong" w:hAnsi="FangSong" w:eastAsia="FangSong" w:cs="FangSong"/>
          <w:sz w:val="30"/>
          <w:szCs w:val="30"/>
          <w:spacing w:val="19"/>
        </w:rPr>
        <w:t xml:space="preserve"> </w:t>
      </w:r>
      <w:r>
        <w:rPr>
          <w:rFonts w:ascii="FangSong" w:hAnsi="FangSong" w:eastAsia="FangSong" w:cs="FangSong"/>
          <w:sz w:val="30"/>
          <w:szCs w:val="30"/>
          <w:spacing w:val="19"/>
        </w:rPr>
        <w:t>《工作场所职业卫生管理规定》第四十九条第(二)项</w:t>
      </w:r>
      <w:r>
        <w:rPr>
          <w:rFonts w:ascii="FangSong" w:hAnsi="FangSong" w:eastAsia="FangSong" w:cs="FangSong"/>
          <w:sz w:val="30"/>
          <w:szCs w:val="30"/>
          <w:spacing w:val="19"/>
        </w:rPr>
        <w:t xml:space="preserve">  </w:t>
      </w:r>
      <w:r>
        <w:rPr>
          <w:rFonts w:ascii="FangSong" w:hAnsi="FangSong" w:eastAsia="FangSong" w:cs="FangSong"/>
          <w:sz w:val="30"/>
          <w:szCs w:val="30"/>
          <w:spacing w:val="19"/>
        </w:rPr>
        <w:t>用人单位有下列情形之一</w:t>
      </w:r>
      <w:r>
        <w:rPr>
          <w:rFonts w:ascii="FangSong" w:hAnsi="FangSong" w:eastAsia="FangSong" w:cs="FangSong"/>
          <w:sz w:val="30"/>
          <w:szCs w:val="30"/>
          <w:spacing w:val="18"/>
        </w:rPr>
        <w:t>的，责令限</w:t>
      </w:r>
      <w:r>
        <w:rPr>
          <w:rFonts w:ascii="FangSong" w:hAnsi="FangSong" w:eastAsia="FangSong" w:cs="FangSong"/>
          <w:sz w:val="30"/>
          <w:szCs w:val="30"/>
        </w:rPr>
        <w:t xml:space="preserve"> </w:t>
      </w:r>
      <w:r>
        <w:rPr>
          <w:rFonts w:ascii="FangSong" w:hAnsi="FangSong" w:eastAsia="FangSong" w:cs="FangSong"/>
          <w:sz w:val="30"/>
          <w:szCs w:val="30"/>
          <w:spacing w:val="16"/>
        </w:rPr>
        <w:t>期改正，给予警告，可以并处五万元以上十万元以下的罚款：</w:t>
      </w:r>
    </w:p>
    <w:p>
      <w:pPr>
        <w:ind w:left="784"/>
        <w:spacing w:before="2" w:line="222" w:lineRule="auto"/>
        <w:rPr>
          <w:rFonts w:ascii="FangSong" w:hAnsi="FangSong" w:eastAsia="FangSong" w:cs="FangSong"/>
          <w:sz w:val="30"/>
          <w:szCs w:val="30"/>
        </w:rPr>
      </w:pPr>
      <w:r>
        <w:rPr>
          <w:rFonts w:ascii="FangSong" w:hAnsi="FangSong" w:eastAsia="FangSong" w:cs="FangSong"/>
          <w:sz w:val="30"/>
          <w:szCs w:val="30"/>
          <w:spacing w:val="22"/>
        </w:rPr>
        <w:t>(二)未实施由专人负责职业病危害因素日常监测，或者监测系统不能</w:t>
      </w:r>
      <w:r>
        <w:rPr>
          <w:rFonts w:ascii="FangSong" w:hAnsi="FangSong" w:eastAsia="FangSong" w:cs="FangSong"/>
          <w:sz w:val="30"/>
          <w:szCs w:val="30"/>
          <w:spacing w:val="21"/>
        </w:rPr>
        <w:t>正常监测的；</w:t>
      </w:r>
    </w:p>
    <w:p>
      <w:pPr>
        <w:ind w:left="6429"/>
        <w:spacing w:before="236"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486"/>
          <w:pgSz w:w="16830" w:h="11900"/>
          <w:pgMar w:top="1011" w:right="1448" w:bottom="1117" w:left="1425" w:header="0" w:footer="784" w:gutter="0"/>
        </w:sectPr>
        <w:rPr>
          <w:rFonts w:ascii="SimHei" w:hAnsi="SimHei" w:eastAsia="SimHei" w:cs="SimHei"/>
          <w:sz w:val="30"/>
          <w:szCs w:val="30"/>
        </w:rPr>
      </w:pPr>
    </w:p>
    <w:p>
      <w:pPr>
        <w:spacing w:before="20"/>
        <w:rPr/>
      </w:pPr>
      <w:r/>
    </w:p>
    <w:p>
      <w:pPr>
        <w:spacing w:before="20"/>
        <w:rPr/>
      </w:pPr>
      <w:r/>
    </w:p>
    <w:p>
      <w:pPr>
        <w:spacing w:before="19"/>
        <w:rPr/>
      </w:pPr>
      <w:r/>
    </w:p>
    <w:tbl>
      <w:tblPr>
        <w:tblStyle w:val="TableNormal"/>
        <w:tblW w:w="133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74"/>
        <w:gridCol w:w="8014"/>
        <w:gridCol w:w="3812"/>
      </w:tblGrid>
      <w:tr>
        <w:trPr>
          <w:trHeight w:val="712" w:hRule="atLeast"/>
        </w:trPr>
        <w:tc>
          <w:tcPr>
            <w:tcW w:w="1474" w:type="dxa"/>
            <w:vAlign w:val="top"/>
          </w:tcPr>
          <w:p>
            <w:pPr>
              <w:pStyle w:val="TableText"/>
              <w:ind w:left="228"/>
              <w:spacing w:before="232" w:line="220" w:lineRule="auto"/>
              <w:rPr>
                <w:sz w:val="25"/>
                <w:szCs w:val="25"/>
              </w:rPr>
            </w:pPr>
            <w:bookmarkStart w:name="bookmark1128" w:id="503"/>
            <w:bookmarkEnd w:id="503"/>
            <w:r>
              <w:rPr>
                <w:sz w:val="25"/>
                <w:szCs w:val="25"/>
                <w:b/>
                <w:bCs/>
                <w:spacing w:val="-5"/>
              </w:rPr>
              <w:t>违法程度</w:t>
            </w:r>
          </w:p>
        </w:tc>
        <w:tc>
          <w:tcPr>
            <w:tcW w:w="8014" w:type="dxa"/>
            <w:vAlign w:val="top"/>
          </w:tcPr>
          <w:p>
            <w:pPr>
              <w:pStyle w:val="TableText"/>
              <w:ind w:left="3504"/>
              <w:spacing w:before="232" w:line="220" w:lineRule="auto"/>
              <w:rPr>
                <w:sz w:val="25"/>
                <w:szCs w:val="25"/>
              </w:rPr>
            </w:pPr>
            <w:r>
              <w:rPr>
                <w:sz w:val="25"/>
                <w:szCs w:val="25"/>
                <w:b/>
                <w:bCs/>
                <w:spacing w:val="-5"/>
              </w:rPr>
              <w:t>情节后果</w:t>
            </w:r>
          </w:p>
        </w:tc>
        <w:tc>
          <w:tcPr>
            <w:tcW w:w="3812" w:type="dxa"/>
            <w:vAlign w:val="top"/>
          </w:tcPr>
          <w:p>
            <w:pPr>
              <w:pStyle w:val="TableText"/>
              <w:ind w:left="1400"/>
              <w:spacing w:before="229" w:line="218" w:lineRule="auto"/>
              <w:rPr>
                <w:sz w:val="25"/>
                <w:szCs w:val="25"/>
              </w:rPr>
            </w:pPr>
            <w:r>
              <w:rPr>
                <w:sz w:val="25"/>
                <w:szCs w:val="25"/>
                <w:b/>
                <w:bCs/>
                <w:spacing w:val="-5"/>
              </w:rPr>
              <w:t>裁量幅度</w:t>
            </w:r>
          </w:p>
        </w:tc>
      </w:tr>
      <w:tr>
        <w:trPr>
          <w:trHeight w:val="896" w:hRule="atLeast"/>
        </w:trPr>
        <w:tc>
          <w:tcPr>
            <w:tcW w:w="1474" w:type="dxa"/>
            <w:vAlign w:val="top"/>
          </w:tcPr>
          <w:p>
            <w:pPr>
              <w:spacing w:line="308" w:lineRule="auto"/>
              <w:rPr>
                <w:rFonts w:ascii="Arial"/>
                <w:sz w:val="21"/>
              </w:rPr>
            </w:pPr>
            <w:r/>
          </w:p>
          <w:p>
            <w:pPr>
              <w:pStyle w:val="TableText"/>
              <w:ind w:left="478"/>
              <w:spacing w:before="81" w:line="221" w:lineRule="auto"/>
              <w:rPr>
                <w:sz w:val="25"/>
                <w:szCs w:val="25"/>
              </w:rPr>
            </w:pPr>
            <w:r>
              <w:rPr>
                <w:sz w:val="25"/>
                <w:szCs w:val="25"/>
                <w:b/>
                <w:bCs/>
                <w:spacing w:val="-10"/>
              </w:rPr>
              <w:t>一般</w:t>
            </w:r>
          </w:p>
        </w:tc>
        <w:tc>
          <w:tcPr>
            <w:tcW w:w="8014" w:type="dxa"/>
            <w:vAlign w:val="top"/>
          </w:tcPr>
          <w:p>
            <w:pPr>
              <w:pStyle w:val="TableText"/>
              <w:ind w:left="130" w:hanging="119"/>
              <w:spacing w:before="172" w:line="247" w:lineRule="auto"/>
              <w:rPr>
                <w:sz w:val="25"/>
                <w:szCs w:val="25"/>
              </w:rPr>
            </w:pPr>
            <w:r>
              <w:rPr>
                <w:sz w:val="25"/>
                <w:szCs w:val="25"/>
              </w:rPr>
              <w:t>职业病危害一般类别的用人单位未实施由专人负责的</w:t>
            </w:r>
            <w:r>
              <w:rPr>
                <w:sz w:val="25"/>
                <w:szCs w:val="25"/>
                <w:spacing w:val="-1"/>
              </w:rPr>
              <w:t>职业病危害因素日常</w:t>
            </w:r>
            <w:r>
              <w:rPr>
                <w:sz w:val="25"/>
                <w:szCs w:val="25"/>
              </w:rPr>
              <w:t xml:space="preserve"> </w:t>
            </w:r>
            <w:r>
              <w:rPr>
                <w:sz w:val="25"/>
                <w:szCs w:val="25"/>
              </w:rPr>
              <w:t>监测，或者监测系统不能正常监测的</w:t>
            </w:r>
          </w:p>
        </w:tc>
        <w:tc>
          <w:tcPr>
            <w:tcW w:w="3812" w:type="dxa"/>
            <w:vAlign w:val="top"/>
          </w:tcPr>
          <w:p>
            <w:pPr>
              <w:pStyle w:val="TableText"/>
              <w:ind w:left="146" w:right="14" w:hanging="119"/>
              <w:spacing w:before="160" w:line="268" w:lineRule="auto"/>
              <w:rPr>
                <w:sz w:val="25"/>
                <w:szCs w:val="25"/>
              </w:rPr>
            </w:pPr>
            <w:r>
              <w:rPr>
                <w:sz w:val="25"/>
                <w:szCs w:val="25"/>
              </w:rPr>
              <w:t>给予警告，责令限期改正，可以并</w:t>
            </w:r>
            <w:r>
              <w:rPr>
                <w:sz w:val="25"/>
                <w:szCs w:val="25"/>
                <w:spacing w:val="9"/>
              </w:rPr>
              <w:t xml:space="preserve"> </w:t>
            </w:r>
            <w:r>
              <w:rPr>
                <w:sz w:val="25"/>
                <w:szCs w:val="25"/>
              </w:rPr>
              <w:t>处五万元以上六万元以下的罚款</w:t>
            </w:r>
          </w:p>
        </w:tc>
      </w:tr>
      <w:tr>
        <w:trPr>
          <w:trHeight w:val="811" w:hRule="atLeast"/>
        </w:trPr>
        <w:tc>
          <w:tcPr>
            <w:tcW w:w="1474" w:type="dxa"/>
            <w:vAlign w:val="top"/>
          </w:tcPr>
          <w:p>
            <w:pPr>
              <w:spacing w:line="281" w:lineRule="auto"/>
              <w:rPr>
                <w:rFonts w:ascii="Arial"/>
                <w:sz w:val="21"/>
              </w:rPr>
            </w:pPr>
            <w:r/>
          </w:p>
          <w:p>
            <w:pPr>
              <w:pStyle w:val="TableText"/>
              <w:ind w:left="478"/>
              <w:spacing w:before="81" w:line="220" w:lineRule="auto"/>
              <w:rPr>
                <w:sz w:val="25"/>
                <w:szCs w:val="25"/>
              </w:rPr>
            </w:pPr>
            <w:r>
              <w:rPr>
                <w:sz w:val="25"/>
                <w:szCs w:val="25"/>
                <w:b/>
                <w:bCs/>
                <w:spacing w:val="-6"/>
              </w:rPr>
              <w:t>严重</w:t>
            </w:r>
          </w:p>
        </w:tc>
        <w:tc>
          <w:tcPr>
            <w:tcW w:w="8014" w:type="dxa"/>
            <w:vAlign w:val="top"/>
          </w:tcPr>
          <w:p>
            <w:pPr>
              <w:pStyle w:val="TableText"/>
              <w:ind w:left="130" w:hanging="119"/>
              <w:spacing w:before="148" w:line="241" w:lineRule="auto"/>
              <w:rPr>
                <w:sz w:val="25"/>
                <w:szCs w:val="25"/>
              </w:rPr>
            </w:pPr>
            <w:r>
              <w:rPr>
                <w:sz w:val="25"/>
                <w:szCs w:val="25"/>
              </w:rPr>
              <w:t>职业病危害严重类别的用人单位未实施由专人负责的</w:t>
            </w:r>
            <w:r>
              <w:rPr>
                <w:sz w:val="25"/>
                <w:szCs w:val="25"/>
                <w:spacing w:val="-1"/>
              </w:rPr>
              <w:t>职业病危害因素日常</w:t>
            </w:r>
            <w:r>
              <w:rPr>
                <w:sz w:val="25"/>
                <w:szCs w:val="25"/>
              </w:rPr>
              <w:t xml:space="preserve"> </w:t>
            </w:r>
            <w:r>
              <w:rPr>
                <w:sz w:val="25"/>
                <w:szCs w:val="25"/>
              </w:rPr>
              <w:t>监测，或者监测系统不能正常监测的</w:t>
            </w:r>
          </w:p>
        </w:tc>
        <w:tc>
          <w:tcPr>
            <w:tcW w:w="3812" w:type="dxa"/>
            <w:vAlign w:val="top"/>
          </w:tcPr>
          <w:p>
            <w:pPr>
              <w:pStyle w:val="TableText"/>
              <w:ind w:left="126" w:right="14" w:hanging="99"/>
              <w:spacing w:before="145" w:line="242" w:lineRule="auto"/>
              <w:rPr>
                <w:sz w:val="25"/>
                <w:szCs w:val="25"/>
              </w:rPr>
            </w:pPr>
            <w:r>
              <w:rPr>
                <w:sz w:val="25"/>
                <w:szCs w:val="25"/>
              </w:rPr>
              <w:t>给予警告，责令限期改正，并处六</w:t>
            </w:r>
            <w:r>
              <w:rPr>
                <w:sz w:val="25"/>
                <w:szCs w:val="25"/>
                <w:spacing w:val="9"/>
              </w:rPr>
              <w:t xml:space="preserve"> </w:t>
            </w:r>
            <w:r>
              <w:rPr>
                <w:sz w:val="25"/>
                <w:szCs w:val="25"/>
              </w:rPr>
              <w:t>万元以上十万元以下的罚款</w:t>
            </w:r>
          </w:p>
        </w:tc>
      </w:tr>
    </w:tbl>
    <w:p>
      <w:pPr>
        <w:pStyle w:val="BodyText"/>
        <w:spacing w:line="456" w:lineRule="auto"/>
        <w:rPr/>
      </w:pPr>
      <w:r/>
    </w:p>
    <w:p>
      <w:pPr>
        <w:ind w:left="67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第四百五十八条订立或者变更劳动合同时，未告知劳动者职业病危害真实情况的</w:t>
      </w:r>
    </w:p>
    <w:p>
      <w:pPr>
        <w:ind w:left="675"/>
        <w:spacing w:before="80" w:line="222" w:lineRule="auto"/>
        <w:rPr>
          <w:rFonts w:ascii="FangSong" w:hAnsi="FangSong" w:eastAsia="FangSong" w:cs="FangSong"/>
          <w:sz w:val="30"/>
          <w:szCs w:val="30"/>
        </w:rPr>
      </w:pPr>
      <w:r>
        <w:rPr>
          <w:rFonts w:ascii="FangSong" w:hAnsi="FangSong" w:eastAsia="FangSong" w:cs="FangSong"/>
          <w:sz w:val="30"/>
          <w:szCs w:val="30"/>
        </w:rPr>
        <w:t>法律依据：</w:t>
      </w:r>
    </w:p>
    <w:p>
      <w:pPr>
        <w:ind w:left="35" w:firstLine="639"/>
        <w:spacing w:before="76" w:line="276" w:lineRule="auto"/>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《中华人民共和国职业病防治法》第七十一条第(三)项</w:t>
      </w:r>
      <w:r>
        <w:rPr>
          <w:rFonts w:ascii="FangSong" w:hAnsi="FangSong" w:eastAsia="FangSong" w:cs="FangSong"/>
          <w:sz w:val="30"/>
          <w:szCs w:val="30"/>
          <w:spacing w:val="19"/>
        </w:rPr>
        <w:t xml:space="preserve">  </w:t>
      </w:r>
      <w:r>
        <w:rPr>
          <w:rFonts w:ascii="FangSong" w:hAnsi="FangSong" w:eastAsia="FangSong" w:cs="FangSong"/>
          <w:sz w:val="30"/>
          <w:szCs w:val="30"/>
          <w:spacing w:val="19"/>
        </w:rPr>
        <w:t>用人单位违反本法规</w:t>
      </w:r>
      <w:r>
        <w:rPr>
          <w:rFonts w:ascii="FangSong" w:hAnsi="FangSong" w:eastAsia="FangSong" w:cs="FangSong"/>
          <w:sz w:val="30"/>
          <w:szCs w:val="30"/>
          <w:spacing w:val="18"/>
        </w:rPr>
        <w:t>定，有下列行</w:t>
      </w:r>
      <w:r>
        <w:rPr>
          <w:rFonts w:ascii="FangSong" w:hAnsi="FangSong" w:eastAsia="FangSong" w:cs="FangSong"/>
          <w:sz w:val="30"/>
          <w:szCs w:val="30"/>
        </w:rPr>
        <w:t xml:space="preserve"> </w:t>
      </w:r>
      <w:r>
        <w:rPr>
          <w:rFonts w:ascii="FangSong" w:hAnsi="FangSong" w:eastAsia="FangSong" w:cs="FangSong"/>
          <w:sz w:val="30"/>
          <w:szCs w:val="30"/>
          <w:spacing w:val="17"/>
        </w:rPr>
        <w:t>为之一的，由卫生行政部门责令限期改正，给予警告，可以并处五万元以上十万元以下的罚款：</w:t>
      </w:r>
    </w:p>
    <w:p>
      <w:pPr>
        <w:ind w:left="815"/>
        <w:spacing w:before="5" w:line="222" w:lineRule="auto"/>
        <w:rPr>
          <w:rFonts w:ascii="FangSong" w:hAnsi="FangSong" w:eastAsia="FangSong" w:cs="FangSong"/>
          <w:sz w:val="30"/>
          <w:szCs w:val="30"/>
        </w:rPr>
      </w:pPr>
      <w:r>
        <w:rPr>
          <w:rFonts w:ascii="FangSong" w:hAnsi="FangSong" w:eastAsia="FangSong" w:cs="FangSong"/>
          <w:sz w:val="30"/>
          <w:szCs w:val="30"/>
          <w:spacing w:val="22"/>
        </w:rPr>
        <w:t>(三)订立或者变更劳动合同时，未告知劳动者职业病危害</w:t>
      </w:r>
      <w:r>
        <w:rPr>
          <w:rFonts w:ascii="FangSong" w:hAnsi="FangSong" w:eastAsia="FangSong" w:cs="FangSong"/>
          <w:sz w:val="30"/>
          <w:szCs w:val="30"/>
          <w:spacing w:val="21"/>
        </w:rPr>
        <w:t>真实情况的；</w:t>
      </w:r>
    </w:p>
    <w:p>
      <w:pPr>
        <w:ind w:left="35" w:firstLine="639"/>
        <w:spacing w:before="54" w:line="271" w:lineRule="auto"/>
        <w:jc w:val="both"/>
        <w:rPr>
          <w:rFonts w:ascii="FangSong" w:hAnsi="FangSong" w:eastAsia="FangSong" w:cs="FangSong"/>
          <w:sz w:val="30"/>
          <w:szCs w:val="30"/>
        </w:rPr>
      </w:pPr>
      <w:r>
        <w:rPr>
          <w:rFonts w:ascii="FangSong" w:hAnsi="FangSong" w:eastAsia="FangSong" w:cs="FangSong"/>
          <w:sz w:val="30"/>
          <w:szCs w:val="30"/>
          <w:spacing w:val="18"/>
        </w:rPr>
        <w:t>2.</w:t>
      </w:r>
      <w:r>
        <w:rPr>
          <w:rFonts w:ascii="FangSong" w:hAnsi="FangSong" w:eastAsia="FangSong" w:cs="FangSong"/>
          <w:sz w:val="30"/>
          <w:szCs w:val="30"/>
          <w:spacing w:val="18"/>
        </w:rPr>
        <w:t xml:space="preserve"> </w:t>
      </w:r>
      <w:r>
        <w:rPr>
          <w:rFonts w:ascii="FangSong" w:hAnsi="FangSong" w:eastAsia="FangSong" w:cs="FangSong"/>
          <w:sz w:val="30"/>
          <w:szCs w:val="30"/>
          <w:spacing w:val="18"/>
        </w:rPr>
        <w:t>《使用有毒物品作业场所劳动保护条例》第六十七条第(八)项</w:t>
      </w:r>
      <w:r>
        <w:rPr>
          <w:rFonts w:ascii="FangSong" w:hAnsi="FangSong" w:eastAsia="FangSong" w:cs="FangSong"/>
          <w:sz w:val="30"/>
          <w:szCs w:val="30"/>
          <w:spacing w:val="18"/>
        </w:rPr>
        <w:t xml:space="preserve">    </w:t>
      </w:r>
      <w:r>
        <w:rPr>
          <w:rFonts w:ascii="FangSong" w:hAnsi="FangSong" w:eastAsia="FangSong" w:cs="FangSong"/>
          <w:sz w:val="30"/>
          <w:szCs w:val="30"/>
          <w:spacing w:val="18"/>
        </w:rPr>
        <w:t>用人单位</w:t>
      </w:r>
      <w:r>
        <w:rPr>
          <w:rFonts w:ascii="FangSong" w:hAnsi="FangSong" w:eastAsia="FangSong" w:cs="FangSong"/>
          <w:sz w:val="30"/>
          <w:szCs w:val="30"/>
          <w:spacing w:val="17"/>
        </w:rPr>
        <w:t>违反本条例的规</w:t>
      </w:r>
      <w:r>
        <w:rPr>
          <w:rFonts w:ascii="FangSong" w:hAnsi="FangSong" w:eastAsia="FangSong" w:cs="FangSong"/>
          <w:sz w:val="30"/>
          <w:szCs w:val="30"/>
        </w:rPr>
        <w:t xml:space="preserve"> </w:t>
      </w:r>
      <w:r>
        <w:rPr>
          <w:rFonts w:ascii="FangSong" w:hAnsi="FangSong" w:eastAsia="FangSong" w:cs="FangSong"/>
          <w:sz w:val="30"/>
          <w:szCs w:val="30"/>
          <w:spacing w:val="26"/>
        </w:rPr>
        <w:t>定，有下列行为之一的，由疾病预防控制部</w:t>
      </w:r>
      <w:r>
        <w:rPr>
          <w:rFonts w:ascii="FangSong" w:hAnsi="FangSong" w:eastAsia="FangSong" w:cs="FangSong"/>
          <w:sz w:val="30"/>
          <w:szCs w:val="30"/>
          <w:spacing w:val="25"/>
        </w:rPr>
        <w:t>门给予警告，责令限期改正，可以并处5万元以上10万</w:t>
      </w:r>
      <w:r>
        <w:rPr>
          <w:rFonts w:ascii="FangSong" w:hAnsi="FangSong" w:eastAsia="FangSong" w:cs="FangSong"/>
          <w:sz w:val="30"/>
          <w:szCs w:val="30"/>
        </w:rPr>
        <w:t xml:space="preserve"> </w:t>
      </w:r>
      <w:r>
        <w:rPr>
          <w:rFonts w:ascii="FangSong" w:hAnsi="FangSong" w:eastAsia="FangSong" w:cs="FangSong"/>
          <w:sz w:val="30"/>
          <w:szCs w:val="30"/>
          <w:spacing w:val="17"/>
        </w:rPr>
        <w:t>元以下的罚款；逾期不改正的，责令停止使用有毒物品作业，或者提请有关人民</w:t>
      </w:r>
      <w:r>
        <w:rPr>
          <w:rFonts w:ascii="FangSong" w:hAnsi="FangSong" w:eastAsia="FangSong" w:cs="FangSong"/>
          <w:sz w:val="30"/>
          <w:szCs w:val="30"/>
          <w:spacing w:val="16"/>
        </w:rPr>
        <w:t>政府按照国务院规定</w:t>
      </w:r>
      <w:r>
        <w:rPr>
          <w:rFonts w:ascii="FangSong" w:hAnsi="FangSong" w:eastAsia="FangSong" w:cs="FangSong"/>
          <w:sz w:val="30"/>
          <w:szCs w:val="30"/>
        </w:rPr>
        <w:t xml:space="preserve"> </w:t>
      </w:r>
      <w:r>
        <w:rPr>
          <w:rFonts w:ascii="FangSong" w:hAnsi="FangSong" w:eastAsia="FangSong" w:cs="FangSong"/>
          <w:sz w:val="30"/>
          <w:szCs w:val="30"/>
          <w:spacing w:val="4"/>
        </w:rPr>
        <w:t>的权限予以关闭：</w:t>
      </w:r>
    </w:p>
    <w:p>
      <w:pPr>
        <w:ind w:left="35" w:right="19" w:firstLine="769"/>
        <w:spacing w:before="2" w:line="275" w:lineRule="auto"/>
        <w:rPr>
          <w:rFonts w:ascii="FangSong" w:hAnsi="FangSong" w:eastAsia="FangSong" w:cs="FangSong"/>
          <w:sz w:val="30"/>
          <w:szCs w:val="30"/>
        </w:rPr>
      </w:pPr>
      <w:r>
        <w:rPr>
          <w:rFonts w:ascii="FangSong" w:hAnsi="FangSong" w:eastAsia="FangSong" w:cs="FangSong"/>
          <w:sz w:val="30"/>
          <w:szCs w:val="30"/>
          <w:spacing w:val="20"/>
        </w:rPr>
        <w:t>(八)未依照职业病防治法和本条例的规定将工作过程中可能产生的职业中毒危害及其后果、有</w:t>
      </w:r>
      <w:r>
        <w:rPr>
          <w:rFonts w:ascii="FangSong" w:hAnsi="FangSong" w:eastAsia="FangSong" w:cs="FangSong"/>
          <w:sz w:val="30"/>
          <w:szCs w:val="30"/>
          <w:spacing w:val="9"/>
        </w:rPr>
        <w:t xml:space="preserve"> </w:t>
      </w:r>
      <w:r>
        <w:rPr>
          <w:rFonts w:ascii="FangSong" w:hAnsi="FangSong" w:eastAsia="FangSong" w:cs="FangSong"/>
          <w:sz w:val="30"/>
          <w:szCs w:val="30"/>
          <w:spacing w:val="16"/>
        </w:rPr>
        <w:t>关职业卫生防护措施和待遇等如实告知劳动者并在劳动合同中写明的；</w:t>
      </w:r>
    </w:p>
    <w:p>
      <w:pPr>
        <w:ind w:right="29"/>
        <w:spacing w:before="4" w:line="220" w:lineRule="auto"/>
        <w:jc w:val="right"/>
        <w:rPr>
          <w:rFonts w:ascii="FangSong" w:hAnsi="FangSong" w:eastAsia="FangSong" w:cs="FangSong"/>
          <w:sz w:val="30"/>
          <w:szCs w:val="30"/>
        </w:rPr>
      </w:pPr>
      <w:r>
        <w:rPr>
          <w:rFonts w:ascii="FangSong" w:hAnsi="FangSong" w:eastAsia="FangSong" w:cs="FangSong"/>
          <w:sz w:val="30"/>
          <w:szCs w:val="30"/>
          <w:spacing w:val="18"/>
        </w:rPr>
        <w:t>3.</w:t>
      </w:r>
      <w:r>
        <w:rPr>
          <w:rFonts w:ascii="FangSong" w:hAnsi="FangSong" w:eastAsia="FangSong" w:cs="FangSong"/>
          <w:sz w:val="30"/>
          <w:szCs w:val="30"/>
          <w:spacing w:val="18"/>
        </w:rPr>
        <w:t xml:space="preserve"> </w:t>
      </w:r>
      <w:r>
        <w:rPr>
          <w:rFonts w:ascii="FangSong" w:hAnsi="FangSong" w:eastAsia="FangSong" w:cs="FangSong"/>
          <w:sz w:val="30"/>
          <w:szCs w:val="30"/>
          <w:spacing w:val="18"/>
        </w:rPr>
        <w:t>《工作场所职业卫生管理规定》第四十九条第(三)项</w:t>
      </w:r>
      <w:r>
        <w:rPr>
          <w:rFonts w:ascii="FangSong" w:hAnsi="FangSong" w:eastAsia="FangSong" w:cs="FangSong"/>
          <w:sz w:val="30"/>
          <w:szCs w:val="30"/>
          <w:spacing w:val="18"/>
        </w:rPr>
        <w:t xml:space="preserve">  </w:t>
      </w:r>
      <w:r>
        <w:rPr>
          <w:rFonts w:ascii="FangSong" w:hAnsi="FangSong" w:eastAsia="FangSong" w:cs="FangSong"/>
          <w:sz w:val="30"/>
          <w:szCs w:val="30"/>
          <w:spacing w:val="18"/>
        </w:rPr>
        <w:t>用人单位有下列情形之一的，责令限</w:t>
      </w:r>
    </w:p>
    <w:p>
      <w:pPr>
        <w:spacing w:line="220" w:lineRule="auto"/>
        <w:sectPr>
          <w:footerReference w:type="default" r:id="rId487"/>
          <w:pgSz w:w="16830" w:h="11900"/>
          <w:pgMar w:top="1011" w:right="1439" w:bottom="1108" w:left="1414" w:header="0" w:footer="775" w:gutter="0"/>
        </w:sectPr>
        <w:rPr>
          <w:rFonts w:ascii="FangSong" w:hAnsi="FangSong" w:eastAsia="FangSong" w:cs="FangSong"/>
          <w:sz w:val="30"/>
          <w:szCs w:val="30"/>
        </w:rPr>
      </w:pPr>
    </w:p>
    <w:p>
      <w:pPr>
        <w:pStyle w:val="BodyText"/>
        <w:spacing w:line="267" w:lineRule="auto"/>
        <w:rPr/>
      </w:pPr>
      <w:r/>
    </w:p>
    <w:p>
      <w:pPr>
        <w:pStyle w:val="BodyText"/>
        <w:spacing w:line="267" w:lineRule="auto"/>
        <w:rPr/>
      </w:pPr>
      <w:r/>
    </w:p>
    <w:p>
      <w:pPr>
        <w:pStyle w:val="BodyText"/>
        <w:spacing w:line="268" w:lineRule="auto"/>
        <w:rPr/>
      </w:pPr>
      <w:r/>
    </w:p>
    <w:p>
      <w:pPr>
        <w:ind w:left="15"/>
        <w:spacing w:before="98" w:line="220" w:lineRule="auto"/>
        <w:rPr>
          <w:rFonts w:ascii="FangSong" w:hAnsi="FangSong" w:eastAsia="FangSong" w:cs="FangSong"/>
          <w:sz w:val="30"/>
          <w:szCs w:val="30"/>
        </w:rPr>
      </w:pPr>
      <w:bookmarkStart w:name="bookmark1129" w:id="504"/>
      <w:bookmarkEnd w:id="504"/>
      <w:r>
        <w:rPr>
          <w:rFonts w:ascii="FangSong" w:hAnsi="FangSong" w:eastAsia="FangSong" w:cs="FangSong"/>
          <w:sz w:val="30"/>
          <w:szCs w:val="30"/>
          <w:spacing w:val="16"/>
        </w:rPr>
        <w:t>期改正，给予警告，可以并处五万元以上十万元以下的罚款：</w:t>
      </w:r>
    </w:p>
    <w:p>
      <w:pPr>
        <w:ind w:left="6419" w:right="3123" w:hanging="5624"/>
        <w:spacing w:before="86" w:line="283" w:lineRule="auto"/>
        <w:rPr>
          <w:rFonts w:ascii="SimSun" w:hAnsi="SimSun" w:eastAsia="SimSun" w:cs="SimSun"/>
          <w:sz w:val="29"/>
          <w:szCs w:val="29"/>
        </w:rPr>
      </w:pPr>
      <w:r>
        <w:rPr>
          <w:rFonts w:ascii="FangSong" w:hAnsi="FangSong" w:eastAsia="FangSong" w:cs="FangSong"/>
          <w:sz w:val="30"/>
          <w:szCs w:val="30"/>
          <w:spacing w:val="22"/>
        </w:rPr>
        <w:t>(三)订立或者变更劳动合同时，未告知劳动者职业病危害真实情况的。</w:t>
      </w:r>
      <w:r>
        <w:rPr>
          <w:rFonts w:ascii="FangSong" w:hAnsi="FangSong" w:eastAsia="FangSong" w:cs="FangSong"/>
          <w:sz w:val="30"/>
          <w:szCs w:val="30"/>
          <w:spacing w:val="15"/>
        </w:rPr>
        <w:t xml:space="preserve"> </w:t>
      </w:r>
      <w:r>
        <w:rPr>
          <w:rFonts w:ascii="SimSun" w:hAnsi="SimSun" w:eastAsia="SimSun" w:cs="SimSun"/>
          <w:sz w:val="29"/>
          <w:szCs w:val="29"/>
          <w:b/>
          <w:bCs/>
          <w:spacing w:val="-6"/>
        </w:rPr>
        <w:t>裁量标准</w:t>
      </w:r>
    </w:p>
    <w:tbl>
      <w:tblPr>
        <w:tblStyle w:val="TableNormal"/>
        <w:tblW w:w="138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14"/>
        <w:gridCol w:w="8324"/>
        <w:gridCol w:w="3972"/>
      </w:tblGrid>
      <w:tr>
        <w:trPr>
          <w:trHeight w:val="653" w:hRule="atLeast"/>
        </w:trPr>
        <w:tc>
          <w:tcPr>
            <w:tcW w:w="1514" w:type="dxa"/>
            <w:vAlign w:val="top"/>
          </w:tcPr>
          <w:p>
            <w:pPr>
              <w:pStyle w:val="TableText"/>
              <w:ind w:left="168"/>
              <w:spacing w:before="21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8324" w:type="dxa"/>
            <w:vAlign w:val="top"/>
          </w:tcPr>
          <w:p>
            <w:pPr>
              <w:pStyle w:val="TableText"/>
              <w:ind w:left="3674"/>
              <w:spacing w:before="212" w:line="220" w:lineRule="auto"/>
              <w:rPr/>
            </w:pPr>
            <w:r>
              <w:rPr>
                <w:b/>
                <w:bCs/>
                <w:spacing w:val="-5"/>
              </w:rPr>
              <w:t>情节后果</w:t>
            </w:r>
          </w:p>
        </w:tc>
        <w:tc>
          <w:tcPr>
            <w:tcW w:w="3972" w:type="dxa"/>
            <w:vAlign w:val="top"/>
          </w:tcPr>
          <w:p>
            <w:pPr>
              <w:pStyle w:val="TableText"/>
              <w:ind w:left="1400"/>
              <w:spacing w:before="20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87" w:hRule="atLeast"/>
        </w:trPr>
        <w:tc>
          <w:tcPr>
            <w:tcW w:w="1514" w:type="dxa"/>
            <w:vAlign w:val="top"/>
          </w:tcPr>
          <w:p>
            <w:pPr>
              <w:pStyle w:val="TableText"/>
              <w:ind w:left="508"/>
              <w:spacing w:before="228" w:line="219" w:lineRule="auto"/>
              <w:rPr/>
            </w:pPr>
            <w:r>
              <w:rPr>
                <w:b/>
                <w:bCs/>
                <w:spacing w:val="-5"/>
              </w:rPr>
              <w:t>较轻</w:t>
            </w:r>
          </w:p>
        </w:tc>
        <w:tc>
          <w:tcPr>
            <w:tcW w:w="8324" w:type="dxa"/>
            <w:vAlign w:val="top"/>
          </w:tcPr>
          <w:p>
            <w:pPr>
              <w:pStyle w:val="TableText"/>
              <w:ind w:left="100" w:right="69" w:hanging="29"/>
              <w:spacing w:before="60" w:line="237" w:lineRule="auto"/>
              <w:rPr/>
            </w:pPr>
            <w:r>
              <w:rPr/>
              <w:t>在订立或者变更劳动合同时，未告知劳动者职业病危害真实情况，涉及人数在</w:t>
            </w:r>
            <w:r>
              <w:rPr>
                <w:spacing w:val="12"/>
              </w:rPr>
              <w:t xml:space="preserve"> </w:t>
            </w:r>
            <w:r>
              <w:rPr>
                <w:spacing w:val="3"/>
              </w:rPr>
              <w:t>10人以下的</w:t>
            </w:r>
          </w:p>
        </w:tc>
        <w:tc>
          <w:tcPr>
            <w:tcW w:w="3972" w:type="dxa"/>
            <w:vAlign w:val="top"/>
          </w:tcPr>
          <w:p>
            <w:pPr>
              <w:pStyle w:val="TableText"/>
              <w:ind w:left="176" w:right="54" w:hanging="119"/>
              <w:spacing w:before="60" w:line="237" w:lineRule="auto"/>
              <w:rPr/>
            </w:pPr>
            <w:r>
              <w:rPr/>
              <w:t>给予警告，责令限期改正，可以并处</w:t>
            </w:r>
            <w:r>
              <w:rPr>
                <w:spacing w:val="9"/>
              </w:rPr>
              <w:t xml:space="preserve"> </w:t>
            </w:r>
            <w:r>
              <w:rPr/>
              <w:t>五万元以上六万五千元以下的罚款</w:t>
            </w:r>
          </w:p>
        </w:tc>
      </w:tr>
      <w:tr>
        <w:trPr>
          <w:trHeight w:val="677" w:hRule="atLeast"/>
        </w:trPr>
        <w:tc>
          <w:tcPr>
            <w:tcW w:w="1514" w:type="dxa"/>
            <w:vAlign w:val="top"/>
          </w:tcPr>
          <w:p>
            <w:pPr>
              <w:pStyle w:val="TableText"/>
              <w:ind w:left="508"/>
              <w:spacing w:before="272" w:line="221" w:lineRule="auto"/>
              <w:rPr/>
            </w:pPr>
            <w:r>
              <w:rPr>
                <w:b/>
                <w:bCs/>
                <w:spacing w:val="-10"/>
              </w:rPr>
              <w:t>一般</w:t>
            </w:r>
          </w:p>
        </w:tc>
        <w:tc>
          <w:tcPr>
            <w:tcW w:w="8324" w:type="dxa"/>
            <w:vAlign w:val="top"/>
          </w:tcPr>
          <w:p>
            <w:pPr>
              <w:pStyle w:val="TableText"/>
              <w:ind w:left="110" w:right="69" w:hanging="39"/>
              <w:spacing w:before="53" w:line="236" w:lineRule="auto"/>
              <w:rPr/>
            </w:pPr>
            <w:r>
              <w:rPr/>
              <w:t>在订立或者变更劳动合同时，未告知劳动者职业病危害真实情况，涉及人数在</w:t>
            </w:r>
            <w:r>
              <w:rPr>
                <w:spacing w:val="12"/>
              </w:rPr>
              <w:t xml:space="preserve"> </w:t>
            </w:r>
            <w:r>
              <w:rPr>
                <w:spacing w:val="1"/>
              </w:rPr>
              <w:t>11人以上50人以下的</w:t>
            </w:r>
          </w:p>
        </w:tc>
        <w:tc>
          <w:tcPr>
            <w:tcW w:w="3972" w:type="dxa"/>
            <w:vAlign w:val="top"/>
          </w:tcPr>
          <w:p>
            <w:pPr>
              <w:pStyle w:val="TableText"/>
              <w:ind w:left="127" w:right="53" w:hanging="70"/>
              <w:spacing w:before="63" w:line="232" w:lineRule="auto"/>
              <w:rPr/>
            </w:pPr>
            <w:r>
              <w:rPr/>
              <w:t>警告，罚款六万五千元以上八万五千</w:t>
            </w:r>
            <w:r>
              <w:rPr>
                <w:spacing w:val="10"/>
              </w:rPr>
              <w:t xml:space="preserve"> </w:t>
            </w:r>
            <w:r>
              <w:rPr>
                <w:spacing w:val="5"/>
              </w:rPr>
              <w:t>元以下</w:t>
            </w:r>
          </w:p>
        </w:tc>
      </w:tr>
      <w:tr>
        <w:trPr>
          <w:trHeight w:val="682" w:hRule="atLeast"/>
        </w:trPr>
        <w:tc>
          <w:tcPr>
            <w:tcW w:w="1514" w:type="dxa"/>
            <w:vAlign w:val="top"/>
          </w:tcPr>
          <w:p>
            <w:pPr>
              <w:pStyle w:val="TableText"/>
              <w:ind w:left="508"/>
              <w:spacing w:before="297" w:line="221" w:lineRule="auto"/>
              <w:rPr/>
            </w:pPr>
            <w:r>
              <w:rPr>
                <w:b/>
                <w:bCs/>
                <w:spacing w:val="-5"/>
              </w:rPr>
              <w:t>较重</w:t>
            </w:r>
          </w:p>
        </w:tc>
        <w:tc>
          <w:tcPr>
            <w:tcW w:w="8324" w:type="dxa"/>
            <w:vAlign w:val="top"/>
          </w:tcPr>
          <w:p>
            <w:pPr>
              <w:pStyle w:val="TableText"/>
              <w:ind w:left="100" w:right="69" w:hanging="29"/>
              <w:spacing w:before="76" w:line="229" w:lineRule="auto"/>
              <w:rPr/>
            </w:pPr>
            <w:r>
              <w:rPr/>
              <w:t>在订立或者变更劳动合同时，未告知劳动者职业病危害真实情况，涉及人数在</w:t>
            </w:r>
            <w:r>
              <w:rPr>
                <w:spacing w:val="12"/>
              </w:rPr>
              <w:t xml:space="preserve"> </w:t>
            </w:r>
            <w:r>
              <w:rPr>
                <w:spacing w:val="3"/>
              </w:rPr>
              <w:t>51人以上的</w:t>
            </w:r>
          </w:p>
        </w:tc>
        <w:tc>
          <w:tcPr>
            <w:tcW w:w="3972" w:type="dxa"/>
            <w:vAlign w:val="top"/>
          </w:tcPr>
          <w:p>
            <w:pPr>
              <w:pStyle w:val="TableText"/>
              <w:ind w:left="127" w:right="43" w:hanging="70"/>
              <w:spacing w:before="76" w:line="229" w:lineRule="auto"/>
              <w:rPr/>
            </w:pPr>
            <w:r>
              <w:rPr>
                <w:spacing w:val="1"/>
              </w:rPr>
              <w:t>警告，罚款八万五千元以上十万元以</w:t>
            </w:r>
            <w:r>
              <w:rPr>
                <w:spacing w:val="4"/>
              </w:rPr>
              <w:t xml:space="preserve"> </w:t>
            </w:r>
            <w:r>
              <w:rPr/>
              <w:t>下</w:t>
            </w:r>
          </w:p>
        </w:tc>
      </w:tr>
    </w:tbl>
    <w:p>
      <w:pPr>
        <w:pStyle w:val="BodyText"/>
        <w:spacing w:line="467" w:lineRule="auto"/>
        <w:rPr/>
      </w:pPr>
      <w:r/>
    </w:p>
    <w:p>
      <w:pPr>
        <w:ind w:left="19" w:right="32" w:firstLine="629"/>
        <w:spacing w:before="97" w:line="273" w:lineRule="auto"/>
        <w:rPr>
          <w:rFonts w:ascii="FangSong" w:hAnsi="FangSong" w:eastAsia="FangSong" w:cs="FangSong"/>
          <w:sz w:val="30"/>
          <w:szCs w:val="30"/>
        </w:rPr>
      </w:pPr>
      <w:r>
        <w:rPr>
          <w:rFonts w:ascii="FangSong" w:hAnsi="FangSong" w:eastAsia="FangSong" w:cs="FangSong"/>
          <w:sz w:val="30"/>
          <w:szCs w:val="30"/>
          <w:b/>
          <w:bCs/>
          <w:spacing w:val="20"/>
        </w:rPr>
        <w:t>第四百五十九条未按照规定组织职业健康检查、建立职业健康监护档案或者未将检查结果书面</w:t>
      </w:r>
      <w:r>
        <w:rPr>
          <w:rFonts w:ascii="FangSong" w:hAnsi="FangSong" w:eastAsia="FangSong" w:cs="FangSong"/>
          <w:sz w:val="30"/>
          <w:szCs w:val="30"/>
          <w:spacing w:val="6"/>
        </w:rPr>
        <w:t xml:space="preserve"> </w:t>
      </w:r>
      <w:r>
        <w:rPr>
          <w:rFonts w:ascii="FangSong" w:hAnsi="FangSong" w:eastAsia="FangSong" w:cs="FangSong"/>
          <w:sz w:val="30"/>
          <w:szCs w:val="30"/>
          <w:b/>
          <w:bCs/>
          <w:spacing w:val="13"/>
        </w:rPr>
        <w:t>告知劳动者的</w:t>
      </w:r>
    </w:p>
    <w:p>
      <w:pPr>
        <w:ind w:left="645"/>
        <w:spacing w:line="222" w:lineRule="auto"/>
        <w:rPr>
          <w:rFonts w:ascii="FangSong" w:hAnsi="FangSong" w:eastAsia="FangSong" w:cs="FangSong"/>
          <w:sz w:val="30"/>
          <w:szCs w:val="30"/>
        </w:rPr>
      </w:pPr>
      <w:r>
        <w:rPr>
          <w:rFonts w:ascii="FangSong" w:hAnsi="FangSong" w:eastAsia="FangSong" w:cs="FangSong"/>
          <w:sz w:val="30"/>
          <w:szCs w:val="30"/>
          <w:spacing w:val="6"/>
        </w:rPr>
        <w:t>法律依据：</w:t>
      </w:r>
    </w:p>
    <w:p>
      <w:pPr>
        <w:ind w:left="15" w:right="2" w:firstLine="629"/>
        <w:spacing w:before="56" w:line="270" w:lineRule="auto"/>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《中华人民共和国职业病防治法》第七十一条第(四)项</w:t>
      </w:r>
      <w:r>
        <w:rPr>
          <w:rFonts w:ascii="FangSong" w:hAnsi="FangSong" w:eastAsia="FangSong" w:cs="FangSong"/>
          <w:sz w:val="30"/>
          <w:szCs w:val="30"/>
          <w:spacing w:val="19"/>
        </w:rPr>
        <w:t xml:space="preserve"> </w:t>
      </w:r>
      <w:r>
        <w:rPr>
          <w:rFonts w:ascii="FangSong" w:hAnsi="FangSong" w:eastAsia="FangSong" w:cs="FangSong"/>
          <w:sz w:val="30"/>
          <w:szCs w:val="30"/>
          <w:spacing w:val="18"/>
        </w:rPr>
        <w:t xml:space="preserve"> </w:t>
      </w:r>
      <w:r>
        <w:rPr>
          <w:rFonts w:ascii="FangSong" w:hAnsi="FangSong" w:eastAsia="FangSong" w:cs="FangSong"/>
          <w:sz w:val="30"/>
          <w:szCs w:val="30"/>
          <w:spacing w:val="18"/>
        </w:rPr>
        <w:t>用人单位违反本法规定，有下列行</w:t>
      </w:r>
      <w:r>
        <w:rPr>
          <w:rFonts w:ascii="FangSong" w:hAnsi="FangSong" w:eastAsia="FangSong" w:cs="FangSong"/>
          <w:sz w:val="30"/>
          <w:szCs w:val="30"/>
        </w:rPr>
        <w:t xml:space="preserve"> </w:t>
      </w:r>
      <w:r>
        <w:rPr>
          <w:rFonts w:ascii="FangSong" w:hAnsi="FangSong" w:eastAsia="FangSong" w:cs="FangSong"/>
          <w:sz w:val="30"/>
          <w:szCs w:val="30"/>
          <w:spacing w:val="18"/>
        </w:rPr>
        <w:t>为之一的，由卫生行政部门责令限期改正，给予警告，</w:t>
      </w:r>
      <w:r>
        <w:rPr>
          <w:rFonts w:ascii="FangSong" w:hAnsi="FangSong" w:eastAsia="FangSong" w:cs="FangSong"/>
          <w:sz w:val="30"/>
          <w:szCs w:val="30"/>
          <w:spacing w:val="17"/>
        </w:rPr>
        <w:t>可以并处五万元以上十万元以下的罚款：</w:t>
      </w:r>
    </w:p>
    <w:p>
      <w:pPr>
        <w:ind w:left="15" w:firstLine="779"/>
        <w:spacing w:before="1" w:line="274" w:lineRule="auto"/>
        <w:rPr>
          <w:rFonts w:ascii="FangSong" w:hAnsi="FangSong" w:eastAsia="FangSong" w:cs="FangSong"/>
          <w:sz w:val="30"/>
          <w:szCs w:val="30"/>
        </w:rPr>
      </w:pPr>
      <w:r>
        <w:rPr>
          <w:rFonts w:ascii="FangSong" w:hAnsi="FangSong" w:eastAsia="FangSong" w:cs="FangSong"/>
          <w:sz w:val="30"/>
          <w:szCs w:val="30"/>
          <w:spacing w:val="20"/>
        </w:rPr>
        <w:t>(四)未按照规定组织职业健康检查、建立职业健康监护档案或者未将检查结果书面告知劳动者</w:t>
      </w:r>
      <w:r>
        <w:rPr>
          <w:rFonts w:ascii="FangSong" w:hAnsi="FangSong" w:eastAsia="FangSong" w:cs="FangSong"/>
          <w:sz w:val="30"/>
          <w:szCs w:val="30"/>
          <w:spacing w:val="2"/>
        </w:rPr>
        <w:t xml:space="preserve"> </w:t>
      </w:r>
      <w:r>
        <w:rPr>
          <w:rFonts w:ascii="FangSong" w:hAnsi="FangSong" w:eastAsia="FangSong" w:cs="FangSong"/>
          <w:sz w:val="30"/>
          <w:szCs w:val="30"/>
          <w:spacing w:val="-18"/>
        </w:rPr>
        <w:t>的；</w:t>
      </w:r>
    </w:p>
    <w:p>
      <w:pPr>
        <w:ind w:right="10"/>
        <w:spacing w:before="21" w:line="222" w:lineRule="auto"/>
        <w:jc w:val="right"/>
        <w:rPr>
          <w:rFonts w:ascii="FangSong" w:hAnsi="FangSong" w:eastAsia="FangSong" w:cs="FangSong"/>
          <w:sz w:val="30"/>
          <w:szCs w:val="30"/>
        </w:rPr>
      </w:pPr>
      <w:r>
        <w:rPr>
          <w:rFonts w:ascii="FangSong" w:hAnsi="FangSong" w:eastAsia="FangSong" w:cs="FangSong"/>
          <w:sz w:val="30"/>
          <w:szCs w:val="30"/>
          <w:spacing w:val="21"/>
        </w:rPr>
        <w:t>2.</w:t>
      </w:r>
      <w:r>
        <w:rPr>
          <w:rFonts w:ascii="FangSong" w:hAnsi="FangSong" w:eastAsia="FangSong" w:cs="FangSong"/>
          <w:sz w:val="30"/>
          <w:szCs w:val="30"/>
          <w:spacing w:val="21"/>
        </w:rPr>
        <w:t xml:space="preserve"> </w:t>
      </w:r>
      <w:r>
        <w:rPr>
          <w:rFonts w:ascii="FangSong" w:hAnsi="FangSong" w:eastAsia="FangSong" w:cs="FangSong"/>
          <w:sz w:val="30"/>
          <w:szCs w:val="30"/>
          <w:spacing w:val="21"/>
        </w:rPr>
        <w:t>《中华人民共和国尘肺病防治条例》第二十三条第(六)项</w:t>
      </w:r>
      <w:r>
        <w:rPr>
          <w:rFonts w:ascii="FangSong" w:hAnsi="FangSong" w:eastAsia="FangSong" w:cs="FangSong"/>
          <w:sz w:val="30"/>
          <w:szCs w:val="30"/>
          <w:spacing w:val="21"/>
        </w:rPr>
        <w:t xml:space="preserve">   </w:t>
      </w:r>
      <w:r>
        <w:rPr>
          <w:rFonts w:ascii="FangSong" w:hAnsi="FangSong" w:eastAsia="FangSong" w:cs="FangSong"/>
          <w:sz w:val="30"/>
          <w:szCs w:val="30"/>
          <w:spacing w:val="21"/>
        </w:rPr>
        <w:t>凡违反本条</w:t>
      </w:r>
      <w:r>
        <w:rPr>
          <w:rFonts w:ascii="FangSong" w:hAnsi="FangSong" w:eastAsia="FangSong" w:cs="FangSong"/>
          <w:sz w:val="30"/>
          <w:szCs w:val="30"/>
          <w:spacing w:val="21"/>
        </w:rPr>
        <w:t xml:space="preserve">  </w:t>
      </w:r>
      <w:r>
        <w:rPr>
          <w:rFonts w:ascii="FangSong" w:hAnsi="FangSong" w:eastAsia="FangSong" w:cs="FangSong"/>
          <w:sz w:val="30"/>
          <w:szCs w:val="30"/>
          <w:spacing w:val="21"/>
        </w:rPr>
        <w:t>例规定，有下列</w:t>
      </w:r>
    </w:p>
    <w:p>
      <w:pPr>
        <w:pStyle w:val="BodyText"/>
        <w:spacing w:line="321" w:lineRule="auto"/>
        <w:rPr/>
      </w:pPr>
      <w:r/>
    </w:p>
    <w:p>
      <w:pPr>
        <w:pStyle w:val="BodyText"/>
        <w:spacing w:line="322" w:lineRule="auto"/>
        <w:rPr/>
      </w:pPr>
      <w:r/>
    </w:p>
    <w:p>
      <w:pPr>
        <w:ind w:left="6345"/>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—540—</w:t>
      </w:r>
    </w:p>
    <w:p>
      <w:pPr>
        <w:spacing w:line="188" w:lineRule="auto"/>
        <w:sectPr>
          <w:footerReference w:type="default" r:id="rId24"/>
          <w:pgSz w:w="16830" w:h="11900"/>
          <w:pgMar w:top="1011" w:right="1456" w:bottom="400" w:left="1434" w:header="0" w:footer="0" w:gutter="0"/>
        </w:sectPr>
        <w:rPr>
          <w:rFonts w:ascii="Times New Roman" w:hAnsi="Times New Roman" w:eastAsia="Times New Roman" w:cs="Times New Roman"/>
          <w:sz w:val="37"/>
          <w:szCs w:val="37"/>
        </w:rPr>
      </w:pPr>
    </w:p>
    <w:p>
      <w:pPr>
        <w:pStyle w:val="BodyText"/>
        <w:spacing w:line="268" w:lineRule="auto"/>
        <w:rPr/>
      </w:pPr>
      <w:r/>
    </w:p>
    <w:p>
      <w:pPr>
        <w:pStyle w:val="BodyText"/>
        <w:spacing w:line="268" w:lineRule="auto"/>
        <w:rPr/>
      </w:pPr>
      <w:r/>
    </w:p>
    <w:p>
      <w:pPr>
        <w:pStyle w:val="BodyText"/>
        <w:spacing w:line="268" w:lineRule="auto"/>
        <w:rPr/>
      </w:pPr>
      <w:r/>
    </w:p>
    <w:p>
      <w:pPr>
        <w:ind w:right="120"/>
        <w:spacing w:before="98" w:line="270" w:lineRule="auto"/>
        <w:rPr>
          <w:rFonts w:ascii="FangSong" w:hAnsi="FangSong" w:eastAsia="FangSong" w:cs="FangSong"/>
          <w:sz w:val="30"/>
          <w:szCs w:val="30"/>
        </w:rPr>
      </w:pPr>
      <w:r>
        <w:rPr>
          <w:rFonts w:ascii="FangSong" w:hAnsi="FangSong" w:eastAsia="FangSong" w:cs="FangSong"/>
          <w:sz w:val="30"/>
          <w:szCs w:val="30"/>
          <w:spacing w:val="17"/>
        </w:rPr>
        <w:t>行为之一的，卫生行政部门和劳动部门，可视其情节轻重，给予警告、限期治</w:t>
      </w:r>
      <w:r>
        <w:rPr>
          <w:rFonts w:ascii="FangSong" w:hAnsi="FangSong" w:eastAsia="FangSong" w:cs="FangSong"/>
          <w:sz w:val="30"/>
          <w:szCs w:val="30"/>
          <w:spacing w:val="16"/>
        </w:rPr>
        <w:t>理、罚款和停业整顿的</w:t>
      </w:r>
      <w:r>
        <w:rPr>
          <w:rFonts w:ascii="FangSong" w:hAnsi="FangSong" w:eastAsia="FangSong" w:cs="FangSong"/>
          <w:sz w:val="30"/>
          <w:szCs w:val="30"/>
        </w:rPr>
        <w:t xml:space="preserve"> </w:t>
      </w:r>
      <w:r>
        <w:rPr>
          <w:rFonts w:ascii="FangSong" w:hAnsi="FangSong" w:eastAsia="FangSong" w:cs="FangSong"/>
          <w:sz w:val="30"/>
          <w:szCs w:val="30"/>
          <w:spacing w:val="16"/>
        </w:rPr>
        <w:t>处罚。但停业整顿的处罚，需经当地人民政府同意。</w:t>
      </w:r>
    </w:p>
    <w:p>
      <w:pPr>
        <w:ind w:left="779"/>
        <w:spacing w:line="220" w:lineRule="auto"/>
        <w:rPr>
          <w:rFonts w:ascii="FangSong" w:hAnsi="FangSong" w:eastAsia="FangSong" w:cs="FangSong"/>
          <w:sz w:val="30"/>
          <w:szCs w:val="30"/>
        </w:rPr>
      </w:pPr>
      <w:r>
        <w:rPr>
          <w:rFonts w:ascii="FangSong" w:hAnsi="FangSong" w:eastAsia="FangSong" w:cs="FangSong"/>
          <w:sz w:val="30"/>
          <w:szCs w:val="30"/>
          <w:spacing w:val="25"/>
        </w:rPr>
        <w:t>(六)不执行健康检查制度的；</w:t>
      </w:r>
    </w:p>
    <w:p>
      <w:pPr>
        <w:ind w:right="19" w:firstLine="659"/>
        <w:spacing w:before="34" w:line="258" w:lineRule="auto"/>
        <w:jc w:val="both"/>
        <w:rPr>
          <w:rFonts w:ascii="FangSong" w:hAnsi="FangSong" w:eastAsia="FangSong" w:cs="FangSong"/>
          <w:sz w:val="30"/>
          <w:szCs w:val="30"/>
        </w:rPr>
      </w:pPr>
      <w:r>
        <w:rPr>
          <w:rFonts w:ascii="FangSong" w:hAnsi="FangSong" w:eastAsia="FangSong" w:cs="FangSong"/>
          <w:sz w:val="30"/>
          <w:szCs w:val="30"/>
          <w:spacing w:val="32"/>
        </w:rPr>
        <w:t>3</w:t>
      </w:r>
      <w:r>
        <w:rPr>
          <w:rFonts w:ascii="FangSong" w:hAnsi="FangSong" w:eastAsia="FangSong" w:cs="FangSong"/>
          <w:sz w:val="30"/>
          <w:szCs w:val="30"/>
          <w:spacing w:val="-89"/>
        </w:rPr>
        <w:t xml:space="preserve"> </w:t>
      </w:r>
      <w:r>
        <w:rPr>
          <w:rFonts w:ascii="FangSong" w:hAnsi="FangSong" w:eastAsia="FangSong" w:cs="FangSong"/>
          <w:sz w:val="30"/>
          <w:szCs w:val="30"/>
          <w:spacing w:val="32"/>
        </w:rPr>
        <w:t>.</w:t>
      </w:r>
      <w:r>
        <w:rPr>
          <w:rFonts w:ascii="FangSong" w:hAnsi="FangSong" w:eastAsia="FangSong" w:cs="FangSong"/>
          <w:sz w:val="30"/>
          <w:szCs w:val="30"/>
          <w:spacing w:val="32"/>
        </w:rPr>
        <w:t xml:space="preserve"> </w:t>
      </w:r>
      <w:r>
        <w:rPr>
          <w:rFonts w:ascii="FangSong" w:hAnsi="FangSong" w:eastAsia="FangSong" w:cs="FangSong"/>
          <w:sz w:val="30"/>
          <w:szCs w:val="30"/>
          <w:spacing w:val="32"/>
        </w:rPr>
        <w:t>《使用有毒物品作业场所劳动保护条例》第</w:t>
      </w:r>
      <w:r>
        <w:rPr>
          <w:rFonts w:ascii="FangSong" w:hAnsi="FangSong" w:eastAsia="FangSong" w:cs="FangSong"/>
          <w:sz w:val="30"/>
          <w:szCs w:val="30"/>
          <w:spacing w:val="31"/>
        </w:rPr>
        <w:t>六十七条第(</w:t>
      </w:r>
      <w:r>
        <w:rPr>
          <w:rFonts w:ascii="FangSong" w:hAnsi="FangSong" w:eastAsia="FangSong" w:cs="FangSong"/>
          <w:sz w:val="30"/>
          <w:szCs w:val="30"/>
          <w:spacing w:val="-68"/>
        </w:rPr>
        <w:t xml:space="preserve"> </w:t>
      </w:r>
      <w:r>
        <w:rPr>
          <w:rFonts w:ascii="FangSong" w:hAnsi="FangSong" w:eastAsia="FangSong" w:cs="FangSong"/>
          <w:sz w:val="30"/>
          <w:szCs w:val="30"/>
          <w:spacing w:val="31"/>
        </w:rPr>
        <w:t>一)项、第(二)项、第(五)项、</w:t>
      </w:r>
      <w:r>
        <w:rPr>
          <w:rFonts w:ascii="FangSong" w:hAnsi="FangSong" w:eastAsia="FangSong" w:cs="FangSong"/>
          <w:sz w:val="30"/>
          <w:szCs w:val="30"/>
        </w:rPr>
        <w:t xml:space="preserve"> </w:t>
      </w:r>
      <w:r>
        <w:rPr>
          <w:rFonts w:ascii="FangSong" w:hAnsi="FangSong" w:eastAsia="FangSong" w:cs="FangSong"/>
          <w:sz w:val="30"/>
          <w:szCs w:val="30"/>
          <w:spacing w:val="14"/>
        </w:rPr>
        <w:t>第</w:t>
      </w:r>
      <w:r>
        <w:rPr>
          <w:rFonts w:ascii="FangSong" w:hAnsi="FangSong" w:eastAsia="FangSong" w:cs="FangSong"/>
          <w:sz w:val="30"/>
          <w:szCs w:val="30"/>
          <w:spacing w:val="14"/>
        </w:rPr>
        <w:t xml:space="preserve"> </w:t>
      </w:r>
      <w:r>
        <w:rPr>
          <w:rFonts w:ascii="FangSong" w:hAnsi="FangSong" w:eastAsia="FangSong" w:cs="FangSong"/>
          <w:sz w:val="30"/>
          <w:szCs w:val="30"/>
          <w:spacing w:val="14"/>
        </w:rPr>
        <w:t>(</w:t>
      </w:r>
      <w:r>
        <w:rPr>
          <w:rFonts w:ascii="FangSong" w:hAnsi="FangSong" w:eastAsia="FangSong" w:cs="FangSong"/>
          <w:sz w:val="30"/>
          <w:szCs w:val="30"/>
          <w:spacing w:val="-37"/>
        </w:rPr>
        <w:t xml:space="preserve"> </w:t>
      </w:r>
      <w:r>
        <w:rPr>
          <w:rFonts w:ascii="FangSong" w:hAnsi="FangSong" w:eastAsia="FangSong" w:cs="FangSong"/>
          <w:sz w:val="30"/>
          <w:szCs w:val="30"/>
          <w:spacing w:val="14"/>
        </w:rPr>
        <w:t>六</w:t>
      </w:r>
      <w:r>
        <w:rPr>
          <w:rFonts w:ascii="FangSong" w:hAnsi="FangSong" w:eastAsia="FangSong" w:cs="FangSong"/>
          <w:sz w:val="30"/>
          <w:szCs w:val="30"/>
          <w:spacing w:val="-47"/>
        </w:rPr>
        <w:t xml:space="preserve"> </w:t>
      </w:r>
      <w:r>
        <w:rPr>
          <w:rFonts w:ascii="FangSong" w:hAnsi="FangSong" w:eastAsia="FangSong" w:cs="FangSong"/>
          <w:sz w:val="30"/>
          <w:szCs w:val="30"/>
          <w:spacing w:val="14"/>
        </w:rPr>
        <w:t>)</w:t>
      </w:r>
      <w:r>
        <w:rPr>
          <w:rFonts w:ascii="FangSong" w:hAnsi="FangSong" w:eastAsia="FangSong" w:cs="FangSong"/>
          <w:sz w:val="30"/>
          <w:szCs w:val="30"/>
          <w:spacing w:val="-38"/>
        </w:rPr>
        <w:t xml:space="preserve"> </w:t>
      </w:r>
      <w:r>
        <w:rPr>
          <w:rFonts w:ascii="FangSong" w:hAnsi="FangSong" w:eastAsia="FangSong" w:cs="FangSong"/>
          <w:sz w:val="30"/>
          <w:szCs w:val="30"/>
          <w:spacing w:val="14"/>
        </w:rPr>
        <w:t>项</w:t>
      </w:r>
      <w:r>
        <w:rPr>
          <w:rFonts w:ascii="FangSong" w:hAnsi="FangSong" w:eastAsia="FangSong" w:cs="FangSong"/>
          <w:sz w:val="30"/>
          <w:szCs w:val="30"/>
          <w:spacing w:val="14"/>
        </w:rPr>
        <w:t xml:space="preserve">   </w:t>
      </w:r>
      <w:r>
        <w:rPr>
          <w:rFonts w:ascii="FangSong" w:hAnsi="FangSong" w:eastAsia="FangSong" w:cs="FangSong"/>
          <w:sz w:val="30"/>
          <w:szCs w:val="30"/>
          <w:spacing w:val="14"/>
        </w:rPr>
        <w:t>用人单位违反本条例的规定，有下列行为之一的，由疾病预防控制部</w:t>
      </w:r>
      <w:r>
        <w:rPr>
          <w:rFonts w:ascii="FangSong" w:hAnsi="FangSong" w:eastAsia="FangSong" w:cs="FangSong"/>
          <w:sz w:val="30"/>
          <w:szCs w:val="30"/>
          <w:spacing w:val="13"/>
        </w:rPr>
        <w:t>门给予警告，责</w:t>
      </w:r>
      <w:r>
        <w:rPr>
          <w:rFonts w:ascii="FangSong" w:hAnsi="FangSong" w:eastAsia="FangSong" w:cs="FangSong"/>
          <w:sz w:val="30"/>
          <w:szCs w:val="30"/>
        </w:rPr>
        <w:t xml:space="preserve">  </w:t>
      </w:r>
      <w:r>
        <w:rPr>
          <w:rFonts w:ascii="FangSong" w:hAnsi="FangSong" w:eastAsia="FangSong" w:cs="FangSong"/>
          <w:sz w:val="30"/>
          <w:szCs w:val="30"/>
          <w:spacing w:val="22"/>
        </w:rPr>
        <w:t>令限期改正，可以并处5万元以上10万元以下的罚款；逾期不改正的，责令停止使用有毒物品作</w:t>
      </w:r>
      <w:r>
        <w:rPr>
          <w:rFonts w:ascii="FangSong" w:hAnsi="FangSong" w:eastAsia="FangSong" w:cs="FangSong"/>
          <w:sz w:val="30"/>
          <w:szCs w:val="30"/>
          <w:spacing w:val="21"/>
        </w:rPr>
        <w:t>业，</w:t>
      </w:r>
      <w:r>
        <w:rPr>
          <w:rFonts w:ascii="FangSong" w:hAnsi="FangSong" w:eastAsia="FangSong" w:cs="FangSong"/>
          <w:sz w:val="30"/>
          <w:szCs w:val="30"/>
        </w:rPr>
        <w:t xml:space="preserve"> </w:t>
      </w:r>
      <w:r>
        <w:rPr>
          <w:rFonts w:ascii="FangSong" w:hAnsi="FangSong" w:eastAsia="FangSong" w:cs="FangSong"/>
          <w:sz w:val="30"/>
          <w:szCs w:val="30"/>
          <w:spacing w:val="17"/>
        </w:rPr>
        <w:t>或者提请有关人民政府按照国务院规定的权限予以关闭：</w:t>
      </w:r>
    </w:p>
    <w:p>
      <w:pPr>
        <w:ind w:left="779"/>
        <w:spacing w:before="210" w:line="220" w:lineRule="auto"/>
        <w:rPr>
          <w:rFonts w:ascii="FangSong" w:hAnsi="FangSong" w:eastAsia="FangSong" w:cs="FangSong"/>
          <w:sz w:val="30"/>
          <w:szCs w:val="30"/>
        </w:rPr>
      </w:pPr>
      <w:r>
        <w:rPr>
          <w:rFonts w:ascii="FangSong" w:hAnsi="FangSong" w:eastAsia="FangSong" w:cs="FangSong"/>
          <w:sz w:val="30"/>
          <w:szCs w:val="30"/>
          <w:spacing w:val="21"/>
        </w:rPr>
        <w:t>(一)未组织从事使用有毒物品作业的劳动者进行定期职业健康检查的；</w:t>
      </w:r>
    </w:p>
    <w:p>
      <w:pPr>
        <w:ind w:left="779"/>
        <w:spacing w:before="92" w:line="220" w:lineRule="auto"/>
        <w:rPr>
          <w:rFonts w:ascii="FangSong" w:hAnsi="FangSong" w:eastAsia="FangSong" w:cs="FangSong"/>
          <w:sz w:val="30"/>
          <w:szCs w:val="30"/>
        </w:rPr>
      </w:pPr>
      <w:r>
        <w:rPr>
          <w:rFonts w:ascii="FangSong" w:hAnsi="FangSong" w:eastAsia="FangSong" w:cs="FangSong"/>
          <w:sz w:val="30"/>
          <w:szCs w:val="30"/>
          <w:spacing w:val="22"/>
        </w:rPr>
        <w:t>(二)未组织从事使用有毒物品作业的劳动者进行离岗职业健康检查的；</w:t>
      </w:r>
    </w:p>
    <w:p>
      <w:pPr>
        <w:spacing w:before="83" w:line="220" w:lineRule="auto"/>
        <w:jc w:val="right"/>
        <w:rPr>
          <w:rFonts w:ascii="FangSong" w:hAnsi="FangSong" w:eastAsia="FangSong" w:cs="FangSong"/>
          <w:sz w:val="30"/>
          <w:szCs w:val="30"/>
        </w:rPr>
      </w:pPr>
      <w:r>
        <w:rPr>
          <w:rFonts w:ascii="FangSong" w:hAnsi="FangSong" w:eastAsia="FangSong" w:cs="FangSong"/>
          <w:sz w:val="30"/>
          <w:szCs w:val="30"/>
          <w:spacing w:val="16"/>
        </w:rPr>
        <w:t>(五)对受到或者可能受到急性职业中毒危害的劳动者，未及时组织进行健</w:t>
      </w:r>
      <w:r>
        <w:rPr>
          <w:rFonts w:ascii="FangSong" w:hAnsi="FangSong" w:eastAsia="FangSong" w:cs="FangSong"/>
          <w:sz w:val="30"/>
          <w:szCs w:val="30"/>
          <w:spacing w:val="15"/>
        </w:rPr>
        <w:t>康检查和医学观察的；</w:t>
      </w:r>
    </w:p>
    <w:p>
      <w:pPr>
        <w:ind w:left="779"/>
        <w:spacing w:before="86" w:line="222" w:lineRule="auto"/>
        <w:rPr>
          <w:rFonts w:ascii="FangSong" w:hAnsi="FangSong" w:eastAsia="FangSong" w:cs="FangSong"/>
          <w:sz w:val="30"/>
          <w:szCs w:val="30"/>
        </w:rPr>
      </w:pPr>
      <w:r>
        <w:rPr>
          <w:rFonts w:ascii="FangSong" w:hAnsi="FangSong" w:eastAsia="FangSong" w:cs="FangSong"/>
          <w:sz w:val="30"/>
          <w:szCs w:val="30"/>
          <w:spacing w:val="25"/>
        </w:rPr>
        <w:t>(六)未建立职业健康监护档案的；</w:t>
      </w:r>
    </w:p>
    <w:p>
      <w:pPr>
        <w:ind w:right="128" w:firstLine="659"/>
        <w:spacing w:before="74" w:line="268" w:lineRule="auto"/>
        <w:rPr>
          <w:rFonts w:ascii="FangSong" w:hAnsi="FangSong" w:eastAsia="FangSong" w:cs="FangSong"/>
          <w:sz w:val="30"/>
          <w:szCs w:val="30"/>
        </w:rPr>
      </w:pPr>
      <w:r>
        <w:rPr>
          <w:rFonts w:ascii="FangSong" w:hAnsi="FangSong" w:eastAsia="FangSong" w:cs="FangSong"/>
          <w:sz w:val="30"/>
          <w:szCs w:val="30"/>
          <w:spacing w:val="18"/>
        </w:rPr>
        <w:t>4.</w:t>
      </w:r>
      <w:r>
        <w:rPr>
          <w:rFonts w:ascii="FangSong" w:hAnsi="FangSong" w:eastAsia="FangSong" w:cs="FangSong"/>
          <w:sz w:val="30"/>
          <w:szCs w:val="30"/>
          <w:spacing w:val="18"/>
        </w:rPr>
        <w:t xml:space="preserve"> </w:t>
      </w:r>
      <w:r>
        <w:rPr>
          <w:rFonts w:ascii="FangSong" w:hAnsi="FangSong" w:eastAsia="FangSong" w:cs="FangSong"/>
          <w:sz w:val="30"/>
          <w:szCs w:val="30"/>
          <w:spacing w:val="18"/>
        </w:rPr>
        <w:t>《工作场所职业卫生管理规定》第四十九条第(四)项</w:t>
      </w:r>
      <w:r>
        <w:rPr>
          <w:rFonts w:ascii="FangSong" w:hAnsi="FangSong" w:eastAsia="FangSong" w:cs="FangSong"/>
          <w:sz w:val="30"/>
          <w:szCs w:val="30"/>
          <w:spacing w:val="18"/>
        </w:rPr>
        <w:t xml:space="preserve">  </w:t>
      </w:r>
      <w:r>
        <w:rPr>
          <w:rFonts w:ascii="FangSong" w:hAnsi="FangSong" w:eastAsia="FangSong" w:cs="FangSong"/>
          <w:sz w:val="30"/>
          <w:szCs w:val="30"/>
          <w:spacing w:val="18"/>
        </w:rPr>
        <w:t>用人单位有下列情形之一的，责令限</w:t>
      </w:r>
      <w:r>
        <w:rPr>
          <w:rFonts w:ascii="FangSong" w:hAnsi="FangSong" w:eastAsia="FangSong" w:cs="FangSong"/>
          <w:sz w:val="30"/>
          <w:szCs w:val="30"/>
          <w:spacing w:val="10"/>
        </w:rPr>
        <w:t xml:space="preserve"> </w:t>
      </w:r>
      <w:r>
        <w:rPr>
          <w:rFonts w:ascii="FangSong" w:hAnsi="FangSong" w:eastAsia="FangSong" w:cs="FangSong"/>
          <w:sz w:val="30"/>
          <w:szCs w:val="30"/>
          <w:spacing w:val="16"/>
        </w:rPr>
        <w:t>期改正，给予警告，可以并处五万元以上十万元以下的罚款：</w:t>
      </w:r>
    </w:p>
    <w:p>
      <w:pPr>
        <w:ind w:right="124" w:firstLine="779"/>
        <w:spacing w:before="2" w:line="261" w:lineRule="auto"/>
        <w:rPr>
          <w:rFonts w:ascii="FangSong" w:hAnsi="FangSong" w:eastAsia="FangSong" w:cs="FangSong"/>
          <w:sz w:val="30"/>
          <w:szCs w:val="30"/>
        </w:rPr>
      </w:pPr>
      <w:r>
        <w:rPr>
          <w:rFonts w:ascii="FangSong" w:hAnsi="FangSong" w:eastAsia="FangSong" w:cs="FangSong"/>
          <w:sz w:val="30"/>
          <w:szCs w:val="30"/>
          <w:spacing w:val="20"/>
        </w:rPr>
        <w:t>(四)未按照规定组织劳动者进行职业健康检查、建立职业健康监护档案或者未将检查结果书面</w:t>
      </w:r>
      <w:r>
        <w:rPr>
          <w:rFonts w:ascii="FangSong" w:hAnsi="FangSong" w:eastAsia="FangSong" w:cs="FangSong"/>
          <w:sz w:val="30"/>
          <w:szCs w:val="30"/>
          <w:spacing w:val="14"/>
        </w:rPr>
        <w:t xml:space="preserve"> </w:t>
      </w:r>
      <w:r>
        <w:rPr>
          <w:rFonts w:ascii="FangSong" w:hAnsi="FangSong" w:eastAsia="FangSong" w:cs="FangSong"/>
          <w:sz w:val="30"/>
          <w:szCs w:val="30"/>
          <w:spacing w:val="4"/>
        </w:rPr>
        <w:t>告知劳动者的；</w:t>
      </w:r>
    </w:p>
    <w:p>
      <w:pPr>
        <w:ind w:right="145" w:firstLine="659"/>
        <w:spacing w:before="60" w:line="264" w:lineRule="auto"/>
        <w:rPr>
          <w:rFonts w:ascii="FangSong" w:hAnsi="FangSong" w:eastAsia="FangSong" w:cs="FangSong"/>
          <w:sz w:val="30"/>
          <w:szCs w:val="30"/>
        </w:rPr>
      </w:pPr>
      <w:r>
        <w:rPr>
          <w:rFonts w:ascii="FangSong" w:hAnsi="FangSong" w:eastAsia="FangSong" w:cs="FangSong"/>
          <w:sz w:val="30"/>
          <w:szCs w:val="30"/>
          <w:spacing w:val="26"/>
        </w:rPr>
        <w:t>5、《用人单位职业健康监护监督管理办法》第二十七条第(一</w:t>
      </w:r>
      <w:r>
        <w:rPr>
          <w:rFonts w:ascii="FangSong" w:hAnsi="FangSong" w:eastAsia="FangSong" w:cs="FangSong"/>
          <w:sz w:val="30"/>
          <w:szCs w:val="30"/>
          <w:spacing w:val="25"/>
        </w:rPr>
        <w:t>)项</w:t>
      </w:r>
      <w:r>
        <w:rPr>
          <w:rFonts w:ascii="FangSong" w:hAnsi="FangSong" w:eastAsia="FangSong" w:cs="FangSong"/>
          <w:sz w:val="30"/>
          <w:szCs w:val="30"/>
          <w:spacing w:val="25"/>
        </w:rPr>
        <w:t xml:space="preserve">  </w:t>
      </w:r>
      <w:r>
        <w:rPr>
          <w:rFonts w:ascii="FangSong" w:hAnsi="FangSong" w:eastAsia="FangSong" w:cs="FangSong"/>
          <w:sz w:val="30"/>
          <w:szCs w:val="30"/>
          <w:spacing w:val="25"/>
        </w:rPr>
        <w:t>用人单位有下列行为之一</w:t>
      </w:r>
      <w:r>
        <w:rPr>
          <w:rFonts w:ascii="FangSong" w:hAnsi="FangSong" w:eastAsia="FangSong" w:cs="FangSong"/>
          <w:sz w:val="30"/>
          <w:szCs w:val="30"/>
        </w:rPr>
        <w:t xml:space="preserve"> </w:t>
      </w:r>
      <w:r>
        <w:rPr>
          <w:rFonts w:ascii="FangSong" w:hAnsi="FangSong" w:eastAsia="FangSong" w:cs="FangSong"/>
          <w:sz w:val="30"/>
          <w:szCs w:val="30"/>
          <w:spacing w:val="25"/>
        </w:rPr>
        <w:t>的，责令限期改正，给予警告，可以并处5万元以上10万元以下的罚款：</w:t>
      </w:r>
    </w:p>
    <w:p>
      <w:pPr>
        <w:ind w:left="779"/>
        <w:spacing w:before="2" w:line="220" w:lineRule="auto"/>
        <w:rPr>
          <w:rFonts w:ascii="FangSong" w:hAnsi="FangSong" w:eastAsia="FangSong" w:cs="FangSong"/>
          <w:sz w:val="30"/>
          <w:szCs w:val="30"/>
        </w:rPr>
      </w:pPr>
      <w:r>
        <w:rPr>
          <w:rFonts w:ascii="FangSong" w:hAnsi="FangSong" w:eastAsia="FangSong" w:cs="FangSong"/>
          <w:sz w:val="30"/>
          <w:szCs w:val="30"/>
          <w:spacing w:val="20"/>
        </w:rPr>
        <w:t>(一)未按照规定组织职业健康检查、建立职业健康监护档案或者未将检查结果如实告知劳动者</w:t>
      </w:r>
    </w:p>
    <w:p>
      <w:pPr>
        <w:spacing w:line="220" w:lineRule="auto"/>
        <w:sectPr>
          <w:footerReference w:type="default" r:id="rId488"/>
          <w:pgSz w:w="16830" w:h="11900"/>
          <w:pgMar w:top="1011" w:right="1340" w:bottom="1107" w:left="1430" w:header="0" w:footer="774" w:gutter="0"/>
        </w:sectPr>
        <w:rPr>
          <w:rFonts w:ascii="FangSong" w:hAnsi="FangSong" w:eastAsia="FangSong" w:cs="FangSong"/>
          <w:sz w:val="30"/>
          <w:szCs w:val="30"/>
        </w:rPr>
      </w:pPr>
    </w:p>
    <w:p>
      <w:pPr>
        <w:pStyle w:val="BodyText"/>
        <w:spacing w:line="260" w:lineRule="auto"/>
        <w:rPr/>
      </w:pPr>
      <w:r/>
    </w:p>
    <w:p>
      <w:pPr>
        <w:pStyle w:val="BodyText"/>
        <w:spacing w:line="261" w:lineRule="auto"/>
        <w:rPr/>
      </w:pPr>
      <w:r/>
    </w:p>
    <w:p>
      <w:pPr>
        <w:pStyle w:val="BodyText"/>
        <w:spacing w:line="261" w:lineRule="auto"/>
        <w:rPr/>
      </w:pPr>
      <w:r/>
    </w:p>
    <w:p>
      <w:pPr>
        <w:ind w:left="15"/>
        <w:spacing w:before="97" w:line="227" w:lineRule="auto"/>
        <w:rPr>
          <w:rFonts w:ascii="FangSong" w:hAnsi="FangSong" w:eastAsia="FangSong" w:cs="FangSong"/>
          <w:sz w:val="30"/>
          <w:szCs w:val="30"/>
        </w:rPr>
      </w:pPr>
      <w:bookmarkStart w:name="bookmark1130" w:id="505"/>
      <w:bookmarkEnd w:id="505"/>
      <w:r>
        <w:rPr>
          <w:rFonts w:ascii="FangSong" w:hAnsi="FangSong" w:eastAsia="FangSong" w:cs="FangSong"/>
          <w:sz w:val="30"/>
          <w:szCs w:val="30"/>
          <w:spacing w:val="-13"/>
        </w:rPr>
        <w:t>的。</w:t>
      </w:r>
    </w:p>
    <w:p>
      <w:pPr>
        <w:ind w:left="6419"/>
        <w:spacing w:before="223"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1" w:lineRule="auto"/>
        <w:rPr>
          <w:rFonts w:ascii="Arial"/>
          <w:sz w:val="2"/>
        </w:rPr>
      </w:pPr>
      <w:r>
        <w:rPr>
          <w:rFonts w:ascii="Arial"/>
          <w:sz w:val="2"/>
        </w:rPr>
      </w:r>
    </w:p>
    <w:tbl>
      <w:tblPr>
        <w:tblStyle w:val="TableNormal"/>
        <w:tblW w:w="138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24"/>
        <w:gridCol w:w="8384"/>
        <w:gridCol w:w="3952"/>
      </w:tblGrid>
      <w:tr>
        <w:trPr>
          <w:trHeight w:val="523" w:hRule="atLeast"/>
        </w:trPr>
        <w:tc>
          <w:tcPr>
            <w:tcW w:w="1524" w:type="dxa"/>
            <w:vAlign w:val="top"/>
          </w:tcPr>
          <w:p>
            <w:pPr>
              <w:pStyle w:val="TableText"/>
              <w:ind w:left="258"/>
              <w:spacing w:before="142" w:line="220" w:lineRule="auto"/>
              <w:rPr>
                <w:sz w:val="25"/>
                <w:szCs w:val="25"/>
              </w:rPr>
            </w:pPr>
            <w:r>
              <w:rPr>
                <w:sz w:val="25"/>
                <w:szCs w:val="25"/>
                <w:b/>
                <w:bCs/>
                <w:spacing w:val="-5"/>
              </w:rPr>
              <w:t>违法程度</w:t>
            </w:r>
          </w:p>
        </w:tc>
        <w:tc>
          <w:tcPr>
            <w:tcW w:w="8384" w:type="dxa"/>
            <w:vAlign w:val="top"/>
          </w:tcPr>
          <w:p>
            <w:pPr>
              <w:pStyle w:val="TableText"/>
              <w:ind w:left="3684"/>
              <w:spacing w:before="142" w:line="220" w:lineRule="auto"/>
              <w:rPr>
                <w:sz w:val="25"/>
                <w:szCs w:val="25"/>
              </w:rPr>
            </w:pPr>
            <w:r>
              <w:rPr>
                <w:sz w:val="25"/>
                <w:szCs w:val="25"/>
                <w:b/>
                <w:bCs/>
                <w:spacing w:val="-5"/>
              </w:rPr>
              <w:t>情节后果</w:t>
            </w:r>
          </w:p>
        </w:tc>
        <w:tc>
          <w:tcPr>
            <w:tcW w:w="3952" w:type="dxa"/>
            <w:vAlign w:val="top"/>
          </w:tcPr>
          <w:p>
            <w:pPr>
              <w:pStyle w:val="TableText"/>
              <w:ind w:left="1470"/>
              <w:spacing w:before="139" w:line="218" w:lineRule="auto"/>
              <w:rPr>
                <w:sz w:val="25"/>
                <w:szCs w:val="25"/>
              </w:rPr>
            </w:pPr>
            <w:r>
              <w:rPr>
                <w:sz w:val="25"/>
                <w:szCs w:val="25"/>
                <w:b/>
                <w:bCs/>
                <w:spacing w:val="-5"/>
              </w:rPr>
              <w:t>裁量幅度</w:t>
            </w:r>
          </w:p>
        </w:tc>
      </w:tr>
      <w:tr>
        <w:trPr>
          <w:trHeight w:val="687" w:hRule="atLeast"/>
        </w:trPr>
        <w:tc>
          <w:tcPr>
            <w:tcW w:w="1524" w:type="dxa"/>
            <w:vAlign w:val="top"/>
          </w:tcPr>
          <w:p>
            <w:pPr>
              <w:pStyle w:val="TableText"/>
              <w:ind w:left="508"/>
              <w:spacing w:before="218" w:line="219" w:lineRule="auto"/>
              <w:rPr>
                <w:sz w:val="25"/>
                <w:szCs w:val="25"/>
              </w:rPr>
            </w:pPr>
            <w:r>
              <w:rPr>
                <w:sz w:val="25"/>
                <w:szCs w:val="25"/>
                <w:b/>
                <w:bCs/>
                <w:spacing w:val="-6"/>
              </w:rPr>
              <w:t>较轻</w:t>
            </w:r>
          </w:p>
        </w:tc>
        <w:tc>
          <w:tcPr>
            <w:tcW w:w="8384" w:type="dxa"/>
            <w:vAlign w:val="top"/>
          </w:tcPr>
          <w:p>
            <w:pPr>
              <w:pStyle w:val="TableText"/>
              <w:ind w:left="110" w:hanging="100"/>
              <w:spacing w:before="62" w:line="227" w:lineRule="auto"/>
              <w:rPr>
                <w:sz w:val="25"/>
                <w:szCs w:val="25"/>
              </w:rPr>
            </w:pPr>
            <w:r>
              <w:rPr>
                <w:sz w:val="25"/>
                <w:szCs w:val="25"/>
                <w:spacing w:val="-4"/>
              </w:rPr>
              <w:t>未按照规定组织职业健康检查，建立职业健康监护档案或者未将检查结果</w:t>
            </w:r>
            <w:r>
              <w:rPr>
                <w:sz w:val="25"/>
                <w:szCs w:val="25"/>
                <w:spacing w:val="-5"/>
              </w:rPr>
              <w:t>书面</w:t>
            </w:r>
            <w:r>
              <w:rPr>
                <w:sz w:val="25"/>
                <w:szCs w:val="25"/>
              </w:rPr>
              <w:t xml:space="preserve"> </w:t>
            </w:r>
            <w:r>
              <w:rPr>
                <w:sz w:val="25"/>
                <w:szCs w:val="25"/>
              </w:rPr>
              <w:t>告知劳动者，涉及人数在10人以下的</w:t>
            </w:r>
          </w:p>
        </w:tc>
        <w:tc>
          <w:tcPr>
            <w:tcW w:w="3952" w:type="dxa"/>
            <w:vAlign w:val="top"/>
          </w:tcPr>
          <w:p>
            <w:pPr>
              <w:pStyle w:val="TableText"/>
              <w:ind w:left="96" w:hanging="79"/>
              <w:spacing w:before="59" w:line="228" w:lineRule="auto"/>
              <w:rPr>
                <w:sz w:val="25"/>
                <w:szCs w:val="25"/>
              </w:rPr>
            </w:pPr>
            <w:r>
              <w:rPr>
                <w:sz w:val="25"/>
                <w:szCs w:val="25"/>
                <w:spacing w:val="-5"/>
              </w:rPr>
              <w:t>给予警告，责令限期改正，可以并处</w:t>
            </w:r>
            <w:r>
              <w:rPr>
                <w:sz w:val="25"/>
                <w:szCs w:val="25"/>
                <w:spacing w:val="3"/>
              </w:rPr>
              <w:t xml:space="preserve"> </w:t>
            </w:r>
            <w:r>
              <w:rPr>
                <w:sz w:val="25"/>
                <w:szCs w:val="25"/>
              </w:rPr>
              <w:t>五万元以上六万五千元以下的罚款</w:t>
            </w:r>
          </w:p>
        </w:tc>
      </w:tr>
      <w:tr>
        <w:trPr>
          <w:trHeight w:val="817" w:hRule="atLeast"/>
        </w:trPr>
        <w:tc>
          <w:tcPr>
            <w:tcW w:w="1524" w:type="dxa"/>
            <w:vAlign w:val="top"/>
          </w:tcPr>
          <w:p>
            <w:pPr>
              <w:spacing w:line="270" w:lineRule="auto"/>
              <w:rPr>
                <w:rFonts w:ascii="Arial"/>
                <w:sz w:val="21"/>
              </w:rPr>
            </w:pPr>
            <w:r/>
          </w:p>
          <w:p>
            <w:pPr>
              <w:pStyle w:val="TableText"/>
              <w:ind w:left="508"/>
              <w:spacing w:before="81" w:line="221" w:lineRule="auto"/>
              <w:rPr>
                <w:sz w:val="25"/>
                <w:szCs w:val="25"/>
              </w:rPr>
            </w:pPr>
            <w:r>
              <w:rPr>
                <w:sz w:val="25"/>
                <w:szCs w:val="25"/>
                <w:b/>
                <w:bCs/>
                <w:spacing w:val="-10"/>
              </w:rPr>
              <w:t>一般</w:t>
            </w:r>
          </w:p>
        </w:tc>
        <w:tc>
          <w:tcPr>
            <w:tcW w:w="8384" w:type="dxa"/>
            <w:vAlign w:val="top"/>
          </w:tcPr>
          <w:p>
            <w:pPr>
              <w:pStyle w:val="TableText"/>
              <w:ind w:left="99" w:hanging="89"/>
              <w:spacing w:before="145" w:line="244" w:lineRule="auto"/>
              <w:rPr>
                <w:sz w:val="25"/>
                <w:szCs w:val="25"/>
              </w:rPr>
            </w:pPr>
            <w:r>
              <w:rPr>
                <w:sz w:val="25"/>
                <w:szCs w:val="25"/>
                <w:spacing w:val="-4"/>
              </w:rPr>
              <w:t>未按照规定组织职业健康检查，建立职业健康监护档案或者未将检查结果</w:t>
            </w:r>
            <w:r>
              <w:rPr>
                <w:sz w:val="25"/>
                <w:szCs w:val="25"/>
                <w:spacing w:val="-5"/>
              </w:rPr>
              <w:t>书面</w:t>
            </w:r>
            <w:r>
              <w:rPr>
                <w:sz w:val="25"/>
                <w:szCs w:val="25"/>
              </w:rPr>
              <w:t xml:space="preserve"> </w:t>
            </w:r>
            <w:r>
              <w:rPr>
                <w:sz w:val="25"/>
                <w:szCs w:val="25"/>
              </w:rPr>
              <w:t>告知劳动者，涉及人数在11人以上50人以下的</w:t>
            </w:r>
          </w:p>
        </w:tc>
        <w:tc>
          <w:tcPr>
            <w:tcW w:w="3952" w:type="dxa"/>
            <w:vAlign w:val="top"/>
          </w:tcPr>
          <w:p>
            <w:pPr>
              <w:pStyle w:val="TableText"/>
              <w:ind w:left="116" w:hanging="99"/>
              <w:spacing w:before="143" w:line="245" w:lineRule="auto"/>
              <w:rPr>
                <w:sz w:val="25"/>
                <w:szCs w:val="25"/>
              </w:rPr>
            </w:pPr>
            <w:r>
              <w:rPr>
                <w:sz w:val="25"/>
                <w:szCs w:val="25"/>
                <w:spacing w:val="-5"/>
              </w:rPr>
              <w:t>警告，罚款六万五元以上八万五千元</w:t>
            </w:r>
            <w:r>
              <w:rPr>
                <w:sz w:val="25"/>
                <w:szCs w:val="25"/>
                <w:spacing w:val="3"/>
              </w:rPr>
              <w:t xml:space="preserve"> </w:t>
            </w:r>
            <w:r>
              <w:rPr>
                <w:sz w:val="25"/>
                <w:szCs w:val="25"/>
                <w:spacing w:val="7"/>
              </w:rPr>
              <w:t>以下</w:t>
            </w:r>
          </w:p>
        </w:tc>
      </w:tr>
      <w:tr>
        <w:trPr>
          <w:trHeight w:val="712" w:hRule="atLeast"/>
        </w:trPr>
        <w:tc>
          <w:tcPr>
            <w:tcW w:w="1524" w:type="dxa"/>
            <w:vAlign w:val="top"/>
          </w:tcPr>
          <w:p>
            <w:pPr>
              <w:pStyle w:val="TableText"/>
              <w:ind w:left="508"/>
              <w:spacing w:before="318" w:line="221" w:lineRule="auto"/>
              <w:rPr>
                <w:sz w:val="25"/>
                <w:szCs w:val="25"/>
              </w:rPr>
            </w:pPr>
            <w:r>
              <w:rPr>
                <w:sz w:val="25"/>
                <w:szCs w:val="25"/>
                <w:b/>
                <w:bCs/>
                <w:spacing w:val="-6"/>
              </w:rPr>
              <w:t>较重</w:t>
            </w:r>
          </w:p>
        </w:tc>
        <w:tc>
          <w:tcPr>
            <w:tcW w:w="8384" w:type="dxa"/>
            <w:vAlign w:val="top"/>
          </w:tcPr>
          <w:p>
            <w:pPr>
              <w:pStyle w:val="TableText"/>
              <w:ind w:left="99" w:hanging="89"/>
              <w:spacing w:before="98" w:line="223" w:lineRule="auto"/>
              <w:rPr>
                <w:sz w:val="25"/>
                <w:szCs w:val="25"/>
              </w:rPr>
            </w:pPr>
            <w:r>
              <w:rPr>
                <w:sz w:val="25"/>
                <w:szCs w:val="25"/>
                <w:spacing w:val="-4"/>
              </w:rPr>
              <w:t>未按照规定组织职业健康检查，建立职业健康监护档案或者未将检查结果</w:t>
            </w:r>
            <w:r>
              <w:rPr>
                <w:sz w:val="25"/>
                <w:szCs w:val="25"/>
                <w:spacing w:val="-5"/>
              </w:rPr>
              <w:t>书面</w:t>
            </w:r>
            <w:r>
              <w:rPr>
                <w:sz w:val="25"/>
                <w:szCs w:val="25"/>
              </w:rPr>
              <w:t xml:space="preserve"> </w:t>
            </w:r>
            <w:r>
              <w:rPr>
                <w:sz w:val="25"/>
                <w:szCs w:val="25"/>
              </w:rPr>
              <w:t>告知劳动者，涉及人数在51人以上的</w:t>
            </w:r>
          </w:p>
        </w:tc>
        <w:tc>
          <w:tcPr>
            <w:tcW w:w="3952" w:type="dxa"/>
            <w:vAlign w:val="top"/>
          </w:tcPr>
          <w:p>
            <w:pPr>
              <w:pStyle w:val="TableText"/>
              <w:ind w:left="106" w:hanging="89"/>
              <w:spacing w:before="87" w:line="227" w:lineRule="auto"/>
              <w:rPr>
                <w:sz w:val="25"/>
                <w:szCs w:val="25"/>
              </w:rPr>
            </w:pPr>
            <w:r>
              <w:rPr>
                <w:sz w:val="25"/>
                <w:szCs w:val="25"/>
                <w:spacing w:val="-5"/>
              </w:rPr>
              <w:t>警告，罚款八万五千元以上十万元以</w:t>
            </w:r>
            <w:r>
              <w:rPr>
                <w:sz w:val="25"/>
                <w:szCs w:val="25"/>
                <w:spacing w:val="3"/>
              </w:rPr>
              <w:t xml:space="preserve"> </w:t>
            </w:r>
            <w:r>
              <w:rPr>
                <w:sz w:val="25"/>
                <w:szCs w:val="25"/>
              </w:rPr>
              <w:t>下</w:t>
            </w:r>
          </w:p>
        </w:tc>
      </w:tr>
    </w:tbl>
    <w:p>
      <w:pPr>
        <w:pStyle w:val="BodyText"/>
        <w:spacing w:line="426" w:lineRule="auto"/>
        <w:rPr/>
      </w:pPr>
      <w:r/>
    </w:p>
    <w:p>
      <w:pPr>
        <w:ind w:left="639"/>
        <w:spacing w:before="97" w:line="219" w:lineRule="auto"/>
        <w:rPr>
          <w:rFonts w:ascii="FangSong" w:hAnsi="FangSong" w:eastAsia="FangSong" w:cs="FangSong"/>
          <w:sz w:val="30"/>
          <w:szCs w:val="30"/>
        </w:rPr>
      </w:pPr>
      <w:r>
        <w:rPr>
          <w:rFonts w:ascii="FangSong" w:hAnsi="FangSong" w:eastAsia="FangSong" w:cs="FangSong"/>
          <w:sz w:val="30"/>
          <w:szCs w:val="30"/>
          <w:b/>
          <w:bCs/>
          <w:spacing w:val="22"/>
        </w:rPr>
        <w:t>第四百六十条未依照本法规定在劳动者离开用人单</w:t>
      </w:r>
      <w:r>
        <w:rPr>
          <w:rFonts w:ascii="FangSong" w:hAnsi="FangSong" w:eastAsia="FangSong" w:cs="FangSong"/>
          <w:sz w:val="30"/>
          <w:szCs w:val="30"/>
          <w:b/>
          <w:bCs/>
          <w:spacing w:val="21"/>
        </w:rPr>
        <w:t>位时提供职业健康监护档案复印件的</w:t>
      </w:r>
    </w:p>
    <w:p>
      <w:pPr>
        <w:ind w:left="634"/>
        <w:spacing w:before="93"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5" w:right="99" w:firstLine="619"/>
        <w:spacing w:before="66" w:line="270" w:lineRule="auto"/>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《中华人民共和国职业病防治法》第七十一条第(五)项</w:t>
      </w:r>
      <w:r>
        <w:rPr>
          <w:rFonts w:ascii="FangSong" w:hAnsi="FangSong" w:eastAsia="FangSong" w:cs="FangSong"/>
          <w:sz w:val="30"/>
          <w:szCs w:val="30"/>
          <w:spacing w:val="19"/>
        </w:rPr>
        <w:t xml:space="preserve">  </w:t>
      </w:r>
      <w:r>
        <w:rPr>
          <w:rFonts w:ascii="FangSong" w:hAnsi="FangSong" w:eastAsia="FangSong" w:cs="FangSong"/>
          <w:sz w:val="30"/>
          <w:szCs w:val="30"/>
          <w:spacing w:val="19"/>
        </w:rPr>
        <w:t>用人单位违反本法规</w:t>
      </w:r>
      <w:r>
        <w:rPr>
          <w:rFonts w:ascii="FangSong" w:hAnsi="FangSong" w:eastAsia="FangSong" w:cs="FangSong"/>
          <w:sz w:val="30"/>
          <w:szCs w:val="30"/>
          <w:spacing w:val="18"/>
        </w:rPr>
        <w:t>定，有下列行</w:t>
      </w:r>
      <w:r>
        <w:rPr>
          <w:rFonts w:ascii="FangSong" w:hAnsi="FangSong" w:eastAsia="FangSong" w:cs="FangSong"/>
          <w:sz w:val="30"/>
          <w:szCs w:val="30"/>
        </w:rPr>
        <w:t xml:space="preserve"> </w:t>
      </w:r>
      <w:r>
        <w:rPr>
          <w:rFonts w:ascii="FangSong" w:hAnsi="FangSong" w:eastAsia="FangSong" w:cs="FangSong"/>
          <w:sz w:val="30"/>
          <w:szCs w:val="30"/>
          <w:spacing w:val="17"/>
        </w:rPr>
        <w:t>为之一的，由卫生行政部门责令限期改正，给予警告，可以并处五万元以上十万元以下的罚款：</w:t>
      </w:r>
    </w:p>
    <w:p>
      <w:pPr>
        <w:ind w:left="774"/>
        <w:spacing w:before="1" w:line="219" w:lineRule="auto"/>
        <w:rPr>
          <w:rFonts w:ascii="FangSong" w:hAnsi="FangSong" w:eastAsia="FangSong" w:cs="FangSong"/>
          <w:sz w:val="30"/>
          <w:szCs w:val="30"/>
        </w:rPr>
      </w:pPr>
      <w:r>
        <w:rPr>
          <w:rFonts w:ascii="FangSong" w:hAnsi="FangSong" w:eastAsia="FangSong" w:cs="FangSong"/>
          <w:sz w:val="30"/>
          <w:szCs w:val="30"/>
          <w:spacing w:val="23"/>
        </w:rPr>
        <w:t>(五)未依照本法规定在劳动者离开用人单位时提供职业健康</w:t>
      </w:r>
      <w:r>
        <w:rPr>
          <w:rFonts w:ascii="FangSong" w:hAnsi="FangSong" w:eastAsia="FangSong" w:cs="FangSong"/>
          <w:sz w:val="30"/>
          <w:szCs w:val="30"/>
          <w:spacing w:val="22"/>
        </w:rPr>
        <w:t>监护档案复印件的。</w:t>
      </w:r>
    </w:p>
    <w:p>
      <w:pPr>
        <w:ind w:left="15" w:firstLine="619"/>
        <w:spacing w:before="82" w:line="272" w:lineRule="auto"/>
        <w:jc w:val="both"/>
        <w:rPr>
          <w:rFonts w:ascii="FangSong" w:hAnsi="FangSong" w:eastAsia="FangSong" w:cs="FangSong"/>
          <w:sz w:val="30"/>
          <w:szCs w:val="30"/>
        </w:rPr>
      </w:pPr>
      <w:r>
        <w:rPr>
          <w:rFonts w:ascii="FangSong" w:hAnsi="FangSong" w:eastAsia="FangSong" w:cs="FangSong"/>
          <w:sz w:val="30"/>
          <w:szCs w:val="30"/>
          <w:spacing w:val="14"/>
        </w:rPr>
        <w:t>2.</w:t>
      </w:r>
      <w:r>
        <w:rPr>
          <w:rFonts w:ascii="FangSong" w:hAnsi="FangSong" w:eastAsia="FangSong" w:cs="FangSong"/>
          <w:sz w:val="30"/>
          <w:szCs w:val="30"/>
          <w:spacing w:val="14"/>
        </w:rPr>
        <w:t xml:space="preserve"> </w:t>
      </w:r>
      <w:r>
        <w:rPr>
          <w:rFonts w:ascii="FangSong" w:hAnsi="FangSong" w:eastAsia="FangSong" w:cs="FangSong"/>
          <w:sz w:val="30"/>
          <w:szCs w:val="30"/>
          <w:spacing w:val="14"/>
        </w:rPr>
        <w:t>《使用有毒物品作业场所劳动保护条例》第六十七条第(七)项</w:t>
      </w:r>
      <w:r>
        <w:rPr>
          <w:rFonts w:ascii="FangSong" w:hAnsi="FangSong" w:eastAsia="FangSong" w:cs="FangSong"/>
          <w:sz w:val="30"/>
          <w:szCs w:val="30"/>
          <w:spacing w:val="14"/>
        </w:rPr>
        <w:t xml:space="preserve">  </w:t>
      </w:r>
      <w:r>
        <w:rPr>
          <w:rFonts w:ascii="FangSong" w:hAnsi="FangSong" w:eastAsia="FangSong" w:cs="FangSong"/>
          <w:sz w:val="30"/>
          <w:szCs w:val="30"/>
          <w:spacing w:val="14"/>
        </w:rPr>
        <w:t>用人单位违反本条例的规定，</w:t>
      </w:r>
      <w:r>
        <w:rPr>
          <w:rFonts w:ascii="FangSong" w:hAnsi="FangSong" w:eastAsia="FangSong" w:cs="FangSong"/>
          <w:sz w:val="30"/>
          <w:szCs w:val="30"/>
          <w:spacing w:val="5"/>
        </w:rPr>
        <w:t xml:space="preserve"> </w:t>
      </w:r>
      <w:r>
        <w:rPr>
          <w:rFonts w:ascii="FangSong" w:hAnsi="FangSong" w:eastAsia="FangSong" w:cs="FangSong"/>
          <w:sz w:val="30"/>
          <w:szCs w:val="30"/>
          <w:spacing w:val="26"/>
        </w:rPr>
        <w:t>有下列行为之一的，由疾病预防控制部门给予警告，责令限期改正，可以并处5万元以上10万元以</w:t>
      </w:r>
      <w:r>
        <w:rPr>
          <w:rFonts w:ascii="FangSong" w:hAnsi="FangSong" w:eastAsia="FangSong" w:cs="FangSong"/>
          <w:sz w:val="30"/>
          <w:szCs w:val="30"/>
          <w:spacing w:val="9"/>
        </w:rPr>
        <w:t xml:space="preserve"> </w:t>
      </w:r>
      <w:r>
        <w:rPr>
          <w:rFonts w:ascii="FangSong" w:hAnsi="FangSong" w:eastAsia="FangSong" w:cs="FangSong"/>
          <w:sz w:val="30"/>
          <w:szCs w:val="30"/>
          <w:spacing w:val="17"/>
        </w:rPr>
        <w:t>下的罚款；逾期不改正的，责令停止使用有毒物品作业，或者提请有关人民政</w:t>
      </w:r>
      <w:r>
        <w:rPr>
          <w:rFonts w:ascii="FangSong" w:hAnsi="FangSong" w:eastAsia="FangSong" w:cs="FangSong"/>
          <w:sz w:val="30"/>
          <w:szCs w:val="30"/>
          <w:spacing w:val="16"/>
        </w:rPr>
        <w:t>府按照国务院规定的权</w:t>
      </w:r>
      <w:r>
        <w:rPr>
          <w:rFonts w:ascii="FangSong" w:hAnsi="FangSong" w:eastAsia="FangSong" w:cs="FangSong"/>
          <w:sz w:val="30"/>
          <w:szCs w:val="30"/>
        </w:rPr>
        <w:t xml:space="preserve"> </w:t>
      </w:r>
      <w:r>
        <w:rPr>
          <w:rFonts w:ascii="FangSong" w:hAnsi="FangSong" w:eastAsia="FangSong" w:cs="FangSong"/>
          <w:sz w:val="30"/>
          <w:szCs w:val="30"/>
          <w:spacing w:val="1"/>
        </w:rPr>
        <w:t>限予以关闭：</w:t>
      </w:r>
    </w:p>
    <w:p>
      <w:pPr>
        <w:spacing w:line="272" w:lineRule="auto"/>
        <w:sectPr>
          <w:footerReference w:type="default" r:id="rId489"/>
          <w:pgSz w:w="16830" w:h="11900"/>
          <w:pgMar w:top="1011" w:right="1359" w:bottom="1107" w:left="1434" w:header="0" w:footer="774" w:gutter="0"/>
        </w:sectPr>
        <w:rPr>
          <w:rFonts w:ascii="FangSong" w:hAnsi="FangSong" w:eastAsia="FangSong" w:cs="FangSong"/>
          <w:sz w:val="30"/>
          <w:szCs w:val="30"/>
        </w:rPr>
      </w:pPr>
    </w:p>
    <w:p>
      <w:pPr>
        <w:pStyle w:val="BodyText"/>
        <w:spacing w:line="263" w:lineRule="auto"/>
        <w:rPr/>
      </w:pPr>
      <w:r/>
    </w:p>
    <w:p>
      <w:pPr>
        <w:pStyle w:val="BodyText"/>
        <w:spacing w:line="263" w:lineRule="auto"/>
        <w:rPr/>
      </w:pPr>
      <w:r/>
    </w:p>
    <w:p>
      <w:pPr>
        <w:pStyle w:val="BodyText"/>
        <w:spacing w:line="264" w:lineRule="auto"/>
        <w:rPr/>
      </w:pPr>
      <w:r/>
    </w:p>
    <w:p>
      <w:pPr>
        <w:ind w:left="805"/>
        <w:spacing w:before="101" w:line="221" w:lineRule="auto"/>
        <w:rPr>
          <w:rFonts w:ascii="FangSong" w:hAnsi="FangSong" w:eastAsia="FangSong" w:cs="FangSong"/>
          <w:sz w:val="31"/>
          <w:szCs w:val="31"/>
        </w:rPr>
      </w:pPr>
      <w:bookmarkStart w:name="bookmark1131" w:id="506"/>
      <w:bookmarkEnd w:id="506"/>
      <w:r>
        <w:rPr>
          <w:rFonts w:ascii="FangSong" w:hAnsi="FangSong" w:eastAsia="FangSong" w:cs="FangSong"/>
          <w:sz w:val="31"/>
          <w:szCs w:val="31"/>
          <w:spacing w:val="12"/>
        </w:rPr>
        <w:t>(七)劳动者离开用人单位时，用人单位未如实、无偿提供职业健康监护档案的；</w:t>
      </w:r>
    </w:p>
    <w:p>
      <w:pPr>
        <w:ind w:left="45" w:right="133" w:firstLine="629"/>
        <w:spacing w:before="46" w:line="265" w:lineRule="auto"/>
        <w:rPr>
          <w:rFonts w:ascii="FangSong" w:hAnsi="FangSong" w:eastAsia="FangSong" w:cs="FangSong"/>
          <w:sz w:val="31"/>
          <w:szCs w:val="31"/>
        </w:rPr>
      </w:pPr>
      <w:r>
        <w:rPr>
          <w:rFonts w:ascii="FangSong" w:hAnsi="FangSong" w:eastAsia="FangSong" w:cs="FangSong"/>
          <w:sz w:val="31"/>
          <w:szCs w:val="31"/>
          <w:spacing w:val="9"/>
        </w:rPr>
        <w:t>3.</w:t>
      </w:r>
      <w:r>
        <w:rPr>
          <w:rFonts w:ascii="FangSong" w:hAnsi="FangSong" w:eastAsia="FangSong" w:cs="FangSong"/>
          <w:sz w:val="31"/>
          <w:szCs w:val="31"/>
          <w:spacing w:val="9"/>
        </w:rPr>
        <w:t xml:space="preserve"> </w:t>
      </w:r>
      <w:r>
        <w:rPr>
          <w:rFonts w:ascii="FangSong" w:hAnsi="FangSong" w:eastAsia="FangSong" w:cs="FangSong"/>
          <w:sz w:val="31"/>
          <w:szCs w:val="31"/>
          <w:spacing w:val="9"/>
        </w:rPr>
        <w:t>《工作场所职业卫生管理规定》第四十九条第(五)项</w:t>
      </w:r>
      <w:r>
        <w:rPr>
          <w:rFonts w:ascii="FangSong" w:hAnsi="FangSong" w:eastAsia="FangSong" w:cs="FangSong"/>
          <w:sz w:val="31"/>
          <w:szCs w:val="31"/>
          <w:spacing w:val="9"/>
        </w:rPr>
        <w:t xml:space="preserve">  </w:t>
      </w:r>
      <w:r>
        <w:rPr>
          <w:rFonts w:ascii="FangSong" w:hAnsi="FangSong" w:eastAsia="FangSong" w:cs="FangSong"/>
          <w:sz w:val="31"/>
          <w:szCs w:val="31"/>
          <w:spacing w:val="9"/>
        </w:rPr>
        <w:t>用人单位有下列情形之一的，责令限</w:t>
      </w:r>
      <w:r>
        <w:rPr>
          <w:rFonts w:ascii="FangSong" w:hAnsi="FangSong" w:eastAsia="FangSong" w:cs="FangSong"/>
          <w:sz w:val="31"/>
          <w:szCs w:val="31"/>
        </w:rPr>
        <w:t xml:space="preserve"> </w:t>
      </w:r>
      <w:r>
        <w:rPr>
          <w:rFonts w:ascii="FangSong" w:hAnsi="FangSong" w:eastAsia="FangSong" w:cs="FangSong"/>
          <w:sz w:val="31"/>
          <w:szCs w:val="31"/>
          <w:spacing w:val="6"/>
        </w:rPr>
        <w:t>期改正，给予警告，可以并处五万元以上十万元以下的罚款：</w:t>
      </w:r>
    </w:p>
    <w:p>
      <w:pPr>
        <w:ind w:left="805"/>
        <w:spacing w:line="219" w:lineRule="auto"/>
        <w:rPr>
          <w:rFonts w:ascii="FangSong" w:hAnsi="FangSong" w:eastAsia="FangSong" w:cs="FangSong"/>
          <w:sz w:val="31"/>
          <w:szCs w:val="31"/>
        </w:rPr>
      </w:pPr>
      <w:r>
        <w:rPr>
          <w:rFonts w:ascii="FangSong" w:hAnsi="FangSong" w:eastAsia="FangSong" w:cs="FangSong"/>
          <w:sz w:val="31"/>
          <w:szCs w:val="31"/>
          <w:spacing w:val="13"/>
        </w:rPr>
        <w:t>(五)未按照规定在劳动者离开用人单位时提供职业健康</w:t>
      </w:r>
      <w:r>
        <w:rPr>
          <w:rFonts w:ascii="FangSong" w:hAnsi="FangSong" w:eastAsia="FangSong" w:cs="FangSong"/>
          <w:sz w:val="31"/>
          <w:szCs w:val="31"/>
          <w:spacing w:val="12"/>
        </w:rPr>
        <w:t>监护档案复印件的；</w:t>
      </w:r>
    </w:p>
    <w:p>
      <w:pPr>
        <w:ind w:left="45" w:firstLine="629"/>
        <w:spacing w:before="74" w:line="261" w:lineRule="auto"/>
        <w:rPr>
          <w:rFonts w:ascii="FangSong" w:hAnsi="FangSong" w:eastAsia="FangSong" w:cs="FangSong"/>
          <w:sz w:val="31"/>
          <w:szCs w:val="31"/>
        </w:rPr>
      </w:pPr>
      <w:r>
        <w:rPr>
          <w:rFonts w:ascii="FangSong" w:hAnsi="FangSong" w:eastAsia="FangSong" w:cs="FangSong"/>
          <w:sz w:val="31"/>
          <w:szCs w:val="31"/>
          <w:spacing w:val="5"/>
        </w:rPr>
        <w:t>4.</w:t>
      </w:r>
      <w:r>
        <w:rPr>
          <w:rFonts w:ascii="FangSong" w:hAnsi="FangSong" w:eastAsia="FangSong" w:cs="FangSong"/>
          <w:sz w:val="31"/>
          <w:szCs w:val="31"/>
          <w:spacing w:val="5"/>
        </w:rPr>
        <w:t xml:space="preserve"> </w:t>
      </w:r>
      <w:r>
        <w:rPr>
          <w:rFonts w:ascii="FangSong" w:hAnsi="FangSong" w:eastAsia="FangSong" w:cs="FangSong"/>
          <w:sz w:val="31"/>
          <w:szCs w:val="31"/>
          <w:spacing w:val="5"/>
        </w:rPr>
        <w:t>《用人单位职业健康监护监督管理办法》第二十七条第(二)项</w:t>
      </w:r>
      <w:r>
        <w:rPr>
          <w:rFonts w:ascii="FangSong" w:hAnsi="FangSong" w:eastAsia="FangSong" w:cs="FangSong"/>
          <w:sz w:val="31"/>
          <w:szCs w:val="31"/>
          <w:spacing w:val="5"/>
        </w:rPr>
        <w:t xml:space="preserve">  </w:t>
      </w:r>
      <w:r>
        <w:rPr>
          <w:rFonts w:ascii="FangSong" w:hAnsi="FangSong" w:eastAsia="FangSong" w:cs="FangSong"/>
          <w:sz w:val="31"/>
          <w:szCs w:val="31"/>
          <w:spacing w:val="5"/>
        </w:rPr>
        <w:t>用人单位有下列行为之一的，</w:t>
      </w:r>
      <w:r>
        <w:rPr>
          <w:rFonts w:ascii="FangSong" w:hAnsi="FangSong" w:eastAsia="FangSong" w:cs="FangSong"/>
          <w:sz w:val="31"/>
          <w:szCs w:val="31"/>
        </w:rPr>
        <w:t xml:space="preserve"> </w:t>
      </w:r>
      <w:r>
        <w:rPr>
          <w:rFonts w:ascii="FangSong" w:hAnsi="FangSong" w:eastAsia="FangSong" w:cs="FangSong"/>
          <w:sz w:val="31"/>
          <w:szCs w:val="31"/>
          <w:spacing w:val="16"/>
        </w:rPr>
        <w:t>责令限期改正，给予警告，可以并处5</w:t>
      </w:r>
      <w:r>
        <w:rPr>
          <w:rFonts w:ascii="FangSong" w:hAnsi="FangSong" w:eastAsia="FangSong" w:cs="FangSong"/>
          <w:sz w:val="31"/>
          <w:szCs w:val="31"/>
          <w:spacing w:val="16"/>
        </w:rPr>
        <w:t xml:space="preserve"> </w:t>
      </w:r>
      <w:r>
        <w:rPr>
          <w:rFonts w:ascii="FangSong" w:hAnsi="FangSong" w:eastAsia="FangSong" w:cs="FangSong"/>
          <w:sz w:val="31"/>
          <w:szCs w:val="31"/>
          <w:spacing w:val="16"/>
        </w:rPr>
        <w:t>万元以上10</w:t>
      </w:r>
      <w:r>
        <w:rPr>
          <w:rFonts w:ascii="FangSong" w:hAnsi="FangSong" w:eastAsia="FangSong" w:cs="FangSong"/>
          <w:sz w:val="31"/>
          <w:szCs w:val="31"/>
          <w:spacing w:val="16"/>
        </w:rPr>
        <w:t xml:space="preserve"> </w:t>
      </w:r>
      <w:r>
        <w:rPr>
          <w:rFonts w:ascii="FangSong" w:hAnsi="FangSong" w:eastAsia="FangSong" w:cs="FangSong"/>
          <w:sz w:val="31"/>
          <w:szCs w:val="31"/>
          <w:spacing w:val="16"/>
        </w:rPr>
        <w:t>万元以下的罚款：</w:t>
      </w:r>
    </w:p>
    <w:p>
      <w:pPr>
        <w:ind w:left="805"/>
        <w:spacing w:before="1" w:line="219" w:lineRule="auto"/>
        <w:rPr>
          <w:rFonts w:ascii="FangSong" w:hAnsi="FangSong" w:eastAsia="FangSong" w:cs="FangSong"/>
          <w:sz w:val="31"/>
          <w:szCs w:val="31"/>
        </w:rPr>
      </w:pPr>
      <w:r>
        <w:rPr>
          <w:rFonts w:ascii="FangSong" w:hAnsi="FangSong" w:eastAsia="FangSong" w:cs="FangSong"/>
          <w:sz w:val="31"/>
          <w:szCs w:val="31"/>
          <w:spacing w:val="13"/>
        </w:rPr>
        <w:t>(二)未按照规定在劳动者离开用人单位时提供职业健康监</w:t>
      </w:r>
      <w:r>
        <w:rPr>
          <w:rFonts w:ascii="FangSong" w:hAnsi="FangSong" w:eastAsia="FangSong" w:cs="FangSong"/>
          <w:sz w:val="31"/>
          <w:szCs w:val="31"/>
          <w:spacing w:val="12"/>
        </w:rPr>
        <w:t>护档案复印件的。</w:t>
      </w:r>
    </w:p>
    <w:p>
      <w:pPr>
        <w:ind w:left="6439"/>
        <w:spacing w:before="235"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6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14"/>
        <w:gridCol w:w="8514"/>
        <w:gridCol w:w="3662"/>
      </w:tblGrid>
      <w:tr>
        <w:trPr>
          <w:trHeight w:val="573" w:hRule="atLeast"/>
        </w:trPr>
        <w:tc>
          <w:tcPr>
            <w:tcW w:w="1514" w:type="dxa"/>
            <w:vAlign w:val="top"/>
          </w:tcPr>
          <w:p>
            <w:pPr>
              <w:pStyle w:val="TableText"/>
              <w:ind w:left="168"/>
              <w:spacing w:before="17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8514" w:type="dxa"/>
            <w:vAlign w:val="top"/>
          </w:tcPr>
          <w:p>
            <w:pPr>
              <w:pStyle w:val="TableText"/>
              <w:ind w:left="3774"/>
              <w:spacing w:before="172" w:line="220" w:lineRule="auto"/>
              <w:rPr/>
            </w:pPr>
            <w:r>
              <w:rPr>
                <w:b/>
                <w:bCs/>
                <w:spacing w:val="-5"/>
              </w:rPr>
              <w:t>情节后果</w:t>
            </w:r>
          </w:p>
        </w:tc>
        <w:tc>
          <w:tcPr>
            <w:tcW w:w="3662" w:type="dxa"/>
            <w:vAlign w:val="top"/>
          </w:tcPr>
          <w:p>
            <w:pPr>
              <w:pStyle w:val="TableText"/>
              <w:ind w:left="1250"/>
              <w:spacing w:before="16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007" w:hRule="atLeast"/>
        </w:trPr>
        <w:tc>
          <w:tcPr>
            <w:tcW w:w="1514" w:type="dxa"/>
            <w:vAlign w:val="top"/>
          </w:tcPr>
          <w:p>
            <w:pPr>
              <w:spacing w:line="309" w:lineRule="auto"/>
              <w:rPr>
                <w:rFonts w:ascii="Arial"/>
                <w:sz w:val="21"/>
              </w:rPr>
            </w:pPr>
            <w:r/>
          </w:p>
          <w:p>
            <w:pPr>
              <w:pStyle w:val="TableText"/>
              <w:ind w:left="508"/>
              <w:spacing w:before="78" w:line="221" w:lineRule="auto"/>
              <w:rPr/>
            </w:pPr>
            <w:r>
              <w:rPr>
                <w:b/>
                <w:bCs/>
                <w:spacing w:val="-10"/>
              </w:rPr>
              <w:t>一般</w:t>
            </w:r>
          </w:p>
        </w:tc>
        <w:tc>
          <w:tcPr>
            <w:tcW w:w="8514" w:type="dxa"/>
            <w:vAlign w:val="top"/>
          </w:tcPr>
          <w:p>
            <w:pPr>
              <w:pStyle w:val="TableText"/>
              <w:ind w:left="100" w:right="39" w:hanging="49"/>
              <w:spacing w:before="232" w:line="256" w:lineRule="auto"/>
              <w:rPr/>
            </w:pPr>
            <w:r>
              <w:rPr/>
              <w:t>未依照本法规定在劳动者离开用人单位时提供职业健康监护档案复印件的，涉及</w:t>
            </w:r>
            <w:r>
              <w:rPr>
                <w:spacing w:val="12"/>
              </w:rPr>
              <w:t xml:space="preserve"> </w:t>
            </w:r>
            <w:r>
              <w:rPr>
                <w:spacing w:val="2"/>
              </w:rPr>
              <w:t>人数5人以下的</w:t>
            </w:r>
          </w:p>
        </w:tc>
        <w:tc>
          <w:tcPr>
            <w:tcW w:w="3662" w:type="dxa"/>
            <w:vAlign w:val="top"/>
          </w:tcPr>
          <w:p>
            <w:pPr>
              <w:pStyle w:val="TableText"/>
              <w:ind w:left="127" w:right="123" w:firstLine="20"/>
              <w:spacing w:before="61"/>
              <w:jc w:val="both"/>
              <w:rPr/>
            </w:pPr>
            <w:r>
              <w:rPr>
                <w:spacing w:val="1"/>
              </w:rPr>
              <w:t>给予警告，责令限期改正，可以</w:t>
            </w:r>
            <w:r>
              <w:rPr>
                <w:spacing w:val="6"/>
              </w:rPr>
              <w:t xml:space="preserve"> </w:t>
            </w:r>
            <w:r>
              <w:rPr>
                <w:spacing w:val="2"/>
              </w:rPr>
              <w:t>并处五万元以上六万五千元以下</w:t>
            </w:r>
            <w:r>
              <w:rPr>
                <w:spacing w:val="6"/>
              </w:rPr>
              <w:t xml:space="preserve"> </w:t>
            </w:r>
            <w:r>
              <w:rPr>
                <w:spacing w:val="3"/>
              </w:rPr>
              <w:t>的罚款</w:t>
            </w:r>
          </w:p>
        </w:tc>
      </w:tr>
      <w:tr>
        <w:trPr>
          <w:trHeight w:val="697" w:hRule="atLeast"/>
        </w:trPr>
        <w:tc>
          <w:tcPr>
            <w:tcW w:w="1514" w:type="dxa"/>
            <w:vAlign w:val="top"/>
          </w:tcPr>
          <w:p>
            <w:pPr>
              <w:pStyle w:val="TableText"/>
              <w:ind w:left="508"/>
              <w:spacing w:before="284" w:line="221" w:lineRule="auto"/>
              <w:rPr/>
            </w:pPr>
            <w:r>
              <w:rPr>
                <w:b/>
                <w:bCs/>
                <w:spacing w:val="-5"/>
              </w:rPr>
              <w:t>较重</w:t>
            </w:r>
          </w:p>
        </w:tc>
        <w:tc>
          <w:tcPr>
            <w:tcW w:w="8514" w:type="dxa"/>
            <w:vAlign w:val="top"/>
          </w:tcPr>
          <w:p>
            <w:pPr>
              <w:pStyle w:val="TableText"/>
              <w:ind w:left="100" w:right="39" w:hanging="49"/>
              <w:spacing w:before="63"/>
              <w:rPr/>
            </w:pPr>
            <w:r>
              <w:rPr/>
              <w:t>未依照本法规定在劳动者离开用人单位时提供职业健康监护档案复印件的，涉及</w:t>
            </w:r>
            <w:r>
              <w:rPr>
                <w:spacing w:val="12"/>
              </w:rPr>
              <w:t xml:space="preserve"> </w:t>
            </w:r>
            <w:r>
              <w:rPr>
                <w:spacing w:val="1"/>
              </w:rPr>
              <w:t>人数在6人以上10人以下的</w:t>
            </w:r>
          </w:p>
        </w:tc>
        <w:tc>
          <w:tcPr>
            <w:tcW w:w="3662" w:type="dxa"/>
            <w:vAlign w:val="top"/>
          </w:tcPr>
          <w:p>
            <w:pPr>
              <w:pStyle w:val="TableText"/>
              <w:ind w:left="117" w:right="129" w:firstLine="30"/>
              <w:spacing w:before="63"/>
              <w:rPr/>
            </w:pPr>
            <w:r>
              <w:rPr>
                <w:spacing w:val="1"/>
              </w:rPr>
              <w:t>警告，罚款六万五千元以上八万</w:t>
            </w:r>
            <w:r>
              <w:rPr/>
              <w:t xml:space="preserve"> </w:t>
            </w:r>
            <w:r>
              <w:rPr>
                <w:spacing w:val="3"/>
              </w:rPr>
              <w:t>五千元以下</w:t>
            </w:r>
          </w:p>
        </w:tc>
      </w:tr>
      <w:tr>
        <w:trPr>
          <w:trHeight w:val="693" w:hRule="atLeast"/>
        </w:trPr>
        <w:tc>
          <w:tcPr>
            <w:tcW w:w="1514" w:type="dxa"/>
            <w:vAlign w:val="top"/>
          </w:tcPr>
          <w:p>
            <w:pPr>
              <w:pStyle w:val="TableText"/>
              <w:ind w:left="508"/>
              <w:spacing w:before="305" w:line="220" w:lineRule="auto"/>
              <w:rPr/>
            </w:pPr>
            <w:r>
              <w:rPr>
                <w:b/>
                <w:bCs/>
                <w:spacing w:val="-6"/>
              </w:rPr>
              <w:t>严重</w:t>
            </w:r>
          </w:p>
        </w:tc>
        <w:tc>
          <w:tcPr>
            <w:tcW w:w="8514" w:type="dxa"/>
            <w:vAlign w:val="top"/>
          </w:tcPr>
          <w:p>
            <w:pPr>
              <w:pStyle w:val="TableText"/>
              <w:ind w:left="110" w:right="39" w:hanging="59"/>
              <w:spacing w:before="87" w:line="229" w:lineRule="auto"/>
              <w:rPr/>
            </w:pPr>
            <w:r>
              <w:rPr/>
              <w:t>未依照本法规定在劳动者离开用人单位时提供职业健康监护档案复印件的，涉及</w:t>
            </w:r>
            <w:r>
              <w:rPr>
                <w:spacing w:val="12"/>
              </w:rPr>
              <w:t xml:space="preserve"> </w:t>
            </w:r>
            <w:r>
              <w:rPr>
                <w:spacing w:val="2"/>
              </w:rPr>
              <w:t>人数在11人以上的</w:t>
            </w:r>
          </w:p>
        </w:tc>
        <w:tc>
          <w:tcPr>
            <w:tcW w:w="3662" w:type="dxa"/>
            <w:vAlign w:val="top"/>
          </w:tcPr>
          <w:p>
            <w:pPr>
              <w:pStyle w:val="TableText"/>
              <w:ind w:left="127" w:right="129" w:firstLine="20"/>
              <w:spacing w:before="84" w:line="230" w:lineRule="auto"/>
              <w:rPr/>
            </w:pPr>
            <w:r>
              <w:rPr>
                <w:spacing w:val="1"/>
              </w:rPr>
              <w:t>警告，罚款八万五千元以上十万</w:t>
            </w:r>
            <w:r>
              <w:rPr/>
              <w:t xml:space="preserve"> </w:t>
            </w:r>
            <w:r>
              <w:rPr>
                <w:spacing w:val="5"/>
              </w:rPr>
              <w:t>元以下</w:t>
            </w:r>
          </w:p>
        </w:tc>
      </w:tr>
    </w:tbl>
    <w:p>
      <w:pPr>
        <w:pStyle w:val="BodyText"/>
        <w:spacing w:line="423" w:lineRule="auto"/>
        <w:rPr/>
      </w:pPr>
      <w:r/>
    </w:p>
    <w:p>
      <w:pPr>
        <w:ind w:left="679"/>
        <w:spacing w:before="102" w:line="220" w:lineRule="auto"/>
        <w:rPr>
          <w:rFonts w:ascii="FangSong" w:hAnsi="FangSong" w:eastAsia="FangSong" w:cs="FangSong"/>
          <w:sz w:val="31"/>
          <w:szCs w:val="31"/>
        </w:rPr>
      </w:pPr>
      <w:r>
        <w:rPr>
          <w:rFonts w:ascii="FangSong" w:hAnsi="FangSong" w:eastAsia="FangSong" w:cs="FangSong"/>
          <w:sz w:val="31"/>
          <w:szCs w:val="31"/>
          <w:b/>
          <w:bCs/>
          <w:spacing w:val="12"/>
        </w:rPr>
        <w:t>第四百六十一条工作场所职业病危害因素的强度或者浓度超过</w:t>
      </w:r>
      <w:r>
        <w:rPr>
          <w:rFonts w:ascii="FangSong" w:hAnsi="FangSong" w:eastAsia="FangSong" w:cs="FangSong"/>
          <w:sz w:val="31"/>
          <w:szCs w:val="31"/>
          <w:b/>
          <w:bCs/>
          <w:spacing w:val="11"/>
        </w:rPr>
        <w:t>国家职业卫生标准的</w:t>
      </w:r>
    </w:p>
    <w:p>
      <w:pPr>
        <w:ind w:left="675"/>
        <w:spacing w:before="117"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spacing w:line="222" w:lineRule="auto"/>
        <w:sectPr>
          <w:footerReference w:type="default" r:id="rId490"/>
          <w:pgSz w:w="16830" w:h="11900"/>
          <w:pgMar w:top="1011" w:right="1335" w:bottom="1107" w:left="1414" w:header="0" w:footer="774" w:gutter="0"/>
        </w:sectPr>
        <w:rPr>
          <w:rFonts w:ascii="FangSong" w:hAnsi="FangSong" w:eastAsia="FangSong" w:cs="FangSong"/>
          <w:sz w:val="27"/>
          <w:szCs w:val="27"/>
        </w:rPr>
      </w:pPr>
    </w:p>
    <w:p>
      <w:pPr>
        <w:pStyle w:val="BodyText"/>
        <w:spacing w:line="263" w:lineRule="auto"/>
        <w:rPr/>
      </w:pPr>
      <w:r/>
    </w:p>
    <w:p>
      <w:pPr>
        <w:pStyle w:val="BodyText"/>
        <w:spacing w:line="263" w:lineRule="auto"/>
        <w:rPr/>
      </w:pPr>
      <w:r/>
    </w:p>
    <w:p>
      <w:pPr>
        <w:pStyle w:val="BodyText"/>
        <w:spacing w:line="264" w:lineRule="auto"/>
        <w:rPr/>
      </w:pPr>
      <w:r/>
    </w:p>
    <w:p>
      <w:pPr>
        <w:ind w:right="248" w:firstLine="629"/>
        <w:spacing w:before="98" w:line="271" w:lineRule="auto"/>
        <w:jc w:val="both"/>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《中华人民共和国职业病防治法》第七</w:t>
      </w:r>
      <w:r>
        <w:rPr>
          <w:rFonts w:ascii="FangSong" w:hAnsi="FangSong" w:eastAsia="FangSong" w:cs="FangSong"/>
          <w:sz w:val="30"/>
          <w:szCs w:val="30"/>
          <w:spacing w:val="18"/>
        </w:rPr>
        <w:t>十二条第(一)项</w:t>
      </w:r>
      <w:r>
        <w:rPr>
          <w:rFonts w:ascii="FangSong" w:hAnsi="FangSong" w:eastAsia="FangSong" w:cs="FangSong"/>
          <w:sz w:val="30"/>
          <w:szCs w:val="30"/>
          <w:spacing w:val="18"/>
        </w:rPr>
        <w:t xml:space="preserve">  </w:t>
      </w:r>
      <w:r>
        <w:rPr>
          <w:rFonts w:ascii="FangSong" w:hAnsi="FangSong" w:eastAsia="FangSong" w:cs="FangSong"/>
          <w:sz w:val="30"/>
          <w:szCs w:val="30"/>
          <w:spacing w:val="18"/>
        </w:rPr>
        <w:t>用人单位违反本法规定，有下列行</w:t>
      </w:r>
      <w:r>
        <w:rPr>
          <w:rFonts w:ascii="FangSong" w:hAnsi="FangSong" w:eastAsia="FangSong" w:cs="FangSong"/>
          <w:sz w:val="30"/>
          <w:szCs w:val="30"/>
        </w:rPr>
        <w:t xml:space="preserve"> </w:t>
      </w:r>
      <w:r>
        <w:rPr>
          <w:rFonts w:ascii="FangSong" w:hAnsi="FangSong" w:eastAsia="FangSong" w:cs="FangSong"/>
          <w:sz w:val="30"/>
          <w:szCs w:val="30"/>
          <w:spacing w:val="16"/>
        </w:rPr>
        <w:t>为之一的，由卫生行政部门给予警告，责令限期改正，逾期不改正的，处五万元以上二十万元以下的</w:t>
      </w:r>
      <w:r>
        <w:rPr>
          <w:rFonts w:ascii="FangSong" w:hAnsi="FangSong" w:eastAsia="FangSong" w:cs="FangSong"/>
          <w:sz w:val="30"/>
          <w:szCs w:val="30"/>
          <w:spacing w:val="14"/>
        </w:rPr>
        <w:t xml:space="preserve"> </w:t>
      </w:r>
      <w:r>
        <w:rPr>
          <w:rFonts w:ascii="FangSong" w:hAnsi="FangSong" w:eastAsia="FangSong" w:cs="FangSong"/>
          <w:sz w:val="30"/>
          <w:szCs w:val="30"/>
          <w:spacing w:val="17"/>
        </w:rPr>
        <w:t>罚款；情节严重的，责令停止产生职业病危害的作业，或者提请有关人民政府按照</w:t>
      </w:r>
      <w:r>
        <w:rPr>
          <w:rFonts w:ascii="FangSong" w:hAnsi="FangSong" w:eastAsia="FangSong" w:cs="FangSong"/>
          <w:sz w:val="30"/>
          <w:szCs w:val="30"/>
          <w:spacing w:val="16"/>
        </w:rPr>
        <w:t>国务院规定的权限</w:t>
      </w:r>
      <w:r>
        <w:rPr>
          <w:rFonts w:ascii="FangSong" w:hAnsi="FangSong" w:eastAsia="FangSong" w:cs="FangSong"/>
          <w:sz w:val="30"/>
          <w:szCs w:val="30"/>
        </w:rPr>
        <w:t xml:space="preserve"> </w:t>
      </w:r>
      <w:r>
        <w:rPr>
          <w:rFonts w:ascii="FangSong" w:hAnsi="FangSong" w:eastAsia="FangSong" w:cs="FangSong"/>
          <w:sz w:val="30"/>
          <w:szCs w:val="30"/>
          <w:spacing w:val="2"/>
        </w:rPr>
        <w:t>责令关闭：</w:t>
      </w:r>
    </w:p>
    <w:p>
      <w:pPr>
        <w:ind w:left="769"/>
        <w:spacing w:line="220" w:lineRule="auto"/>
        <w:rPr>
          <w:rFonts w:ascii="FangSong" w:hAnsi="FangSong" w:eastAsia="FangSong" w:cs="FangSong"/>
          <w:sz w:val="30"/>
          <w:szCs w:val="30"/>
        </w:rPr>
      </w:pPr>
      <w:r>
        <w:rPr>
          <w:rFonts w:ascii="FangSong" w:hAnsi="FangSong" w:eastAsia="FangSong" w:cs="FangSong"/>
          <w:sz w:val="30"/>
          <w:szCs w:val="30"/>
          <w:spacing w:val="22"/>
        </w:rPr>
        <w:t>(一)工作场所职业病危害因素的强度或者浓度超过国家职业卫生标准的；</w:t>
      </w:r>
    </w:p>
    <w:p>
      <w:pPr>
        <w:ind w:right="249" w:firstLine="629"/>
        <w:spacing w:before="71" w:line="275" w:lineRule="auto"/>
        <w:jc w:val="both"/>
        <w:rPr>
          <w:rFonts w:ascii="FangSong" w:hAnsi="FangSong" w:eastAsia="FangSong" w:cs="FangSong"/>
          <w:sz w:val="30"/>
          <w:szCs w:val="30"/>
        </w:rPr>
      </w:pPr>
      <w:r>
        <w:rPr>
          <w:rFonts w:ascii="FangSong" w:hAnsi="FangSong" w:eastAsia="FangSong" w:cs="FangSong"/>
          <w:sz w:val="30"/>
          <w:szCs w:val="30"/>
          <w:spacing w:val="20"/>
        </w:rPr>
        <w:t>2.</w:t>
      </w:r>
      <w:r>
        <w:rPr>
          <w:rFonts w:ascii="FangSong" w:hAnsi="FangSong" w:eastAsia="FangSong" w:cs="FangSong"/>
          <w:sz w:val="30"/>
          <w:szCs w:val="30"/>
          <w:spacing w:val="20"/>
        </w:rPr>
        <w:t xml:space="preserve"> </w:t>
      </w:r>
      <w:r>
        <w:rPr>
          <w:rFonts w:ascii="FangSong" w:hAnsi="FangSong" w:eastAsia="FangSong" w:cs="FangSong"/>
          <w:sz w:val="30"/>
          <w:szCs w:val="30"/>
          <w:spacing w:val="20"/>
        </w:rPr>
        <w:t>《中华人民共和国尘肺病防治条例》第二十三条第(</w:t>
      </w:r>
      <w:r>
        <w:rPr>
          <w:rFonts w:ascii="FangSong" w:hAnsi="FangSong" w:eastAsia="FangSong" w:cs="FangSong"/>
          <w:sz w:val="30"/>
          <w:szCs w:val="30"/>
          <w:spacing w:val="-70"/>
        </w:rPr>
        <w:t xml:space="preserve"> </w:t>
      </w:r>
      <w:r>
        <w:rPr>
          <w:rFonts w:ascii="FangSong" w:hAnsi="FangSong" w:eastAsia="FangSong" w:cs="FangSong"/>
          <w:sz w:val="30"/>
          <w:szCs w:val="30"/>
          <w:spacing w:val="20"/>
        </w:rPr>
        <w:t>一)项</w:t>
      </w:r>
      <w:r>
        <w:rPr>
          <w:rFonts w:ascii="FangSong" w:hAnsi="FangSong" w:eastAsia="FangSong" w:cs="FangSong"/>
          <w:sz w:val="30"/>
          <w:szCs w:val="30"/>
          <w:spacing w:val="20"/>
        </w:rPr>
        <w:t xml:space="preserve">   </w:t>
      </w:r>
      <w:r>
        <w:rPr>
          <w:rFonts w:ascii="FangSong" w:hAnsi="FangSong" w:eastAsia="FangSong" w:cs="FangSong"/>
          <w:sz w:val="30"/>
          <w:szCs w:val="30"/>
          <w:spacing w:val="20"/>
        </w:rPr>
        <w:t>凡违反本条例规定，有下列行</w:t>
      </w:r>
      <w:r>
        <w:rPr>
          <w:rFonts w:ascii="FangSong" w:hAnsi="FangSong" w:eastAsia="FangSong" w:cs="FangSong"/>
          <w:sz w:val="30"/>
          <w:szCs w:val="30"/>
        </w:rPr>
        <w:t xml:space="preserve"> </w:t>
      </w:r>
      <w:r>
        <w:rPr>
          <w:rFonts w:ascii="FangSong" w:hAnsi="FangSong" w:eastAsia="FangSong" w:cs="FangSong"/>
          <w:sz w:val="30"/>
          <w:szCs w:val="30"/>
          <w:spacing w:val="17"/>
        </w:rPr>
        <w:t>为之一的，卫生行政部门和劳动部门，可视其情节轻重，给予警告、限期治理、</w:t>
      </w:r>
      <w:r>
        <w:rPr>
          <w:rFonts w:ascii="FangSong" w:hAnsi="FangSong" w:eastAsia="FangSong" w:cs="FangSong"/>
          <w:sz w:val="30"/>
          <w:szCs w:val="30"/>
          <w:spacing w:val="16"/>
        </w:rPr>
        <w:t>罚款和停业整顿的处</w:t>
      </w:r>
      <w:r>
        <w:rPr>
          <w:rFonts w:ascii="FangSong" w:hAnsi="FangSong" w:eastAsia="FangSong" w:cs="FangSong"/>
          <w:sz w:val="30"/>
          <w:szCs w:val="30"/>
        </w:rPr>
        <w:t xml:space="preserve"> </w:t>
      </w:r>
      <w:r>
        <w:rPr>
          <w:rFonts w:ascii="FangSong" w:hAnsi="FangSong" w:eastAsia="FangSong" w:cs="FangSong"/>
          <w:sz w:val="30"/>
          <w:szCs w:val="30"/>
          <w:spacing w:val="15"/>
        </w:rPr>
        <w:t>罚。但停业整顿的处罚，需经当地人民政府同意。</w:t>
      </w:r>
    </w:p>
    <w:p>
      <w:pPr>
        <w:ind w:left="769"/>
        <w:spacing w:line="220" w:lineRule="auto"/>
        <w:rPr>
          <w:rFonts w:ascii="FangSong" w:hAnsi="FangSong" w:eastAsia="FangSong" w:cs="FangSong"/>
          <w:sz w:val="30"/>
          <w:szCs w:val="30"/>
        </w:rPr>
      </w:pPr>
      <w:r>
        <w:rPr>
          <w:rFonts w:ascii="FangSong" w:hAnsi="FangSong" w:eastAsia="FangSong" w:cs="FangSong"/>
          <w:sz w:val="30"/>
          <w:szCs w:val="30"/>
          <w:spacing w:val="23"/>
        </w:rPr>
        <w:t>(一)作业场所粉尘浓度超过国家卫生标准，逾期不采取措施的；</w:t>
      </w:r>
    </w:p>
    <w:p>
      <w:pPr>
        <w:ind w:right="119" w:firstLine="629"/>
        <w:spacing w:before="31" w:line="253" w:lineRule="auto"/>
        <w:jc w:val="both"/>
        <w:rPr>
          <w:rFonts w:ascii="FangSong" w:hAnsi="FangSong" w:eastAsia="FangSong" w:cs="FangSong"/>
          <w:sz w:val="30"/>
          <w:szCs w:val="30"/>
        </w:rPr>
      </w:pPr>
      <w:r>
        <w:rPr>
          <w:rFonts w:ascii="FangSong" w:hAnsi="FangSong" w:eastAsia="FangSong" w:cs="FangSong"/>
          <w:sz w:val="30"/>
          <w:szCs w:val="30"/>
          <w:spacing w:val="19"/>
        </w:rPr>
        <w:t>3.</w:t>
      </w:r>
      <w:r>
        <w:rPr>
          <w:rFonts w:ascii="FangSong" w:hAnsi="FangSong" w:eastAsia="FangSong" w:cs="FangSong"/>
          <w:sz w:val="30"/>
          <w:szCs w:val="30"/>
          <w:spacing w:val="19"/>
        </w:rPr>
        <w:t xml:space="preserve"> </w:t>
      </w:r>
      <w:r>
        <w:rPr>
          <w:rFonts w:ascii="FangSong" w:hAnsi="FangSong" w:eastAsia="FangSong" w:cs="FangSong"/>
          <w:sz w:val="30"/>
          <w:szCs w:val="30"/>
          <w:spacing w:val="19"/>
        </w:rPr>
        <w:t>《使用有毒物品作业场所劳动保护条例》第六十</w:t>
      </w:r>
      <w:r>
        <w:rPr>
          <w:rFonts w:ascii="FangSong" w:hAnsi="FangSong" w:eastAsia="FangSong" w:cs="FangSong"/>
          <w:sz w:val="30"/>
          <w:szCs w:val="30"/>
          <w:spacing w:val="-67"/>
        </w:rPr>
        <w:t xml:space="preserve"> </w:t>
      </w:r>
      <w:r>
        <w:rPr>
          <w:rFonts w:ascii="FangSong" w:hAnsi="FangSong" w:eastAsia="FangSong" w:cs="FangSong"/>
          <w:sz w:val="30"/>
          <w:szCs w:val="30"/>
          <w:spacing w:val="19"/>
        </w:rPr>
        <w:t>一条第(一)项</w:t>
      </w:r>
      <w:r>
        <w:rPr>
          <w:rFonts w:ascii="FangSong" w:hAnsi="FangSong" w:eastAsia="FangSong" w:cs="FangSong"/>
          <w:sz w:val="30"/>
          <w:szCs w:val="30"/>
          <w:spacing w:val="19"/>
        </w:rPr>
        <w:t xml:space="preserve">   </w:t>
      </w:r>
      <w:r>
        <w:rPr>
          <w:rFonts w:ascii="FangSong" w:hAnsi="FangSong" w:eastAsia="FangSong" w:cs="FangSong"/>
          <w:sz w:val="30"/>
          <w:szCs w:val="30"/>
          <w:spacing w:val="19"/>
        </w:rPr>
        <w:t>从事使用高毒物品作业的</w:t>
      </w:r>
      <w:r>
        <w:rPr>
          <w:rFonts w:ascii="FangSong" w:hAnsi="FangSong" w:eastAsia="FangSong" w:cs="FangSong"/>
          <w:sz w:val="30"/>
          <w:szCs w:val="30"/>
        </w:rPr>
        <w:t xml:space="preserve">  </w:t>
      </w:r>
      <w:r>
        <w:rPr>
          <w:rFonts w:ascii="FangSong" w:hAnsi="FangSong" w:eastAsia="FangSong" w:cs="FangSong"/>
          <w:sz w:val="30"/>
          <w:szCs w:val="30"/>
          <w:spacing w:val="17"/>
        </w:rPr>
        <w:t>用人单位违反本条例的规定，有下列行为之一的，由疾病预防控制部门给予警告，</w:t>
      </w:r>
      <w:r>
        <w:rPr>
          <w:rFonts w:ascii="FangSong" w:hAnsi="FangSong" w:eastAsia="FangSong" w:cs="FangSong"/>
          <w:sz w:val="30"/>
          <w:szCs w:val="30"/>
          <w:spacing w:val="16"/>
        </w:rPr>
        <w:t>责令限期改正，处</w:t>
      </w:r>
      <w:r>
        <w:rPr>
          <w:rFonts w:ascii="FangSong" w:hAnsi="FangSong" w:eastAsia="FangSong" w:cs="FangSong"/>
          <w:sz w:val="30"/>
          <w:szCs w:val="30"/>
        </w:rPr>
        <w:t xml:space="preserve"> </w:t>
      </w:r>
      <w:r>
        <w:rPr>
          <w:rFonts w:ascii="FangSong" w:hAnsi="FangSong" w:eastAsia="FangSong" w:cs="FangSong"/>
          <w:sz w:val="30"/>
          <w:szCs w:val="30"/>
          <w:spacing w:val="23"/>
        </w:rPr>
        <w:t>5万元以上20万元以下的罚款；逾期不改正的，提请有关人民政</w:t>
      </w:r>
      <w:r>
        <w:rPr>
          <w:rFonts w:ascii="FangSong" w:hAnsi="FangSong" w:eastAsia="FangSong" w:cs="FangSong"/>
          <w:sz w:val="30"/>
          <w:szCs w:val="30"/>
          <w:spacing w:val="22"/>
        </w:rPr>
        <w:t>府按照国务院规定的权限予以关闭；</w:t>
      </w:r>
      <w:r>
        <w:rPr>
          <w:rFonts w:ascii="FangSong" w:hAnsi="FangSong" w:eastAsia="FangSong" w:cs="FangSong"/>
          <w:sz w:val="30"/>
          <w:szCs w:val="30"/>
        </w:rPr>
        <w:t xml:space="preserve"> </w:t>
      </w:r>
      <w:r>
        <w:rPr>
          <w:rFonts w:ascii="FangSong" w:hAnsi="FangSong" w:eastAsia="FangSong" w:cs="FangSong"/>
          <w:sz w:val="30"/>
          <w:szCs w:val="30"/>
          <w:spacing w:val="17"/>
        </w:rPr>
        <w:t>造成严重职业中毒危害或者导致职业中毒事故发生的，对负有责任的主管人员和其他直接责任人员依</w:t>
      </w:r>
      <w:r>
        <w:rPr>
          <w:rFonts w:ascii="FangSong" w:hAnsi="FangSong" w:eastAsia="FangSong" w:cs="FangSong"/>
          <w:sz w:val="30"/>
          <w:szCs w:val="30"/>
          <w:spacing w:val="12"/>
        </w:rPr>
        <w:t xml:space="preserve"> </w:t>
      </w:r>
      <w:r>
        <w:rPr>
          <w:rFonts w:ascii="FangSong" w:hAnsi="FangSong" w:eastAsia="FangSong" w:cs="FangSong"/>
          <w:sz w:val="30"/>
          <w:szCs w:val="30"/>
          <w:spacing w:val="16"/>
        </w:rPr>
        <w:t>照刑法关于重大责任事故罪或者其他罪的规定，依法追究刑事责任：</w:t>
      </w:r>
    </w:p>
    <w:p>
      <w:pPr>
        <w:ind w:firstLine="769"/>
        <w:spacing w:before="263" w:line="265" w:lineRule="auto"/>
        <w:rPr>
          <w:rFonts w:ascii="FangSong" w:hAnsi="FangSong" w:eastAsia="FangSong" w:cs="FangSong"/>
          <w:sz w:val="30"/>
          <w:szCs w:val="30"/>
        </w:rPr>
      </w:pPr>
      <w:r>
        <w:rPr>
          <w:rFonts w:ascii="FangSong" w:hAnsi="FangSong" w:eastAsia="FangSong" w:cs="FangSong"/>
          <w:sz w:val="30"/>
          <w:szCs w:val="30"/>
          <w:spacing w:val="20"/>
        </w:rPr>
        <w:t>(一)作业场所职业中毒危害因素不符合国家职业卫生标准和卫生要求而不立即停止高毒</w:t>
      </w:r>
      <w:r>
        <w:rPr>
          <w:rFonts w:ascii="FangSong" w:hAnsi="FangSong" w:eastAsia="FangSong" w:cs="FangSong"/>
          <w:sz w:val="30"/>
          <w:szCs w:val="30"/>
          <w:spacing w:val="19"/>
        </w:rPr>
        <w:t>作业并</w:t>
      </w:r>
      <w:r>
        <w:rPr>
          <w:rFonts w:ascii="FangSong" w:hAnsi="FangSong" w:eastAsia="FangSong" w:cs="FangSong"/>
          <w:sz w:val="30"/>
          <w:szCs w:val="30"/>
        </w:rPr>
        <w:t xml:space="preserve">   </w:t>
      </w:r>
      <w:r>
        <w:rPr>
          <w:rFonts w:ascii="FangSong" w:hAnsi="FangSong" w:eastAsia="FangSong" w:cs="FangSong"/>
          <w:sz w:val="30"/>
          <w:szCs w:val="30"/>
          <w:spacing w:val="15"/>
        </w:rPr>
        <w:t>采取相应的治理措施的，或者职业中毒危害因素治理不符合国家职业卫生标准和卫生要求重新作业的；</w:t>
      </w:r>
    </w:p>
    <w:p>
      <w:pPr>
        <w:ind w:right="266" w:firstLine="629"/>
        <w:spacing w:before="32" w:line="254" w:lineRule="auto"/>
        <w:rPr>
          <w:rFonts w:ascii="FangSong" w:hAnsi="FangSong" w:eastAsia="FangSong" w:cs="FangSong"/>
          <w:sz w:val="30"/>
          <w:szCs w:val="30"/>
        </w:rPr>
      </w:pPr>
      <w:r>
        <w:rPr>
          <w:rFonts w:ascii="FangSong" w:hAnsi="FangSong" w:eastAsia="FangSong" w:cs="FangSong"/>
          <w:sz w:val="30"/>
          <w:szCs w:val="30"/>
          <w:spacing w:val="19"/>
        </w:rPr>
        <w:t>4.</w:t>
      </w:r>
      <w:r>
        <w:rPr>
          <w:rFonts w:ascii="FangSong" w:hAnsi="FangSong" w:eastAsia="FangSong" w:cs="FangSong"/>
          <w:sz w:val="30"/>
          <w:szCs w:val="30"/>
          <w:spacing w:val="19"/>
        </w:rPr>
        <w:t xml:space="preserve"> </w:t>
      </w:r>
      <w:r>
        <w:rPr>
          <w:rFonts w:ascii="FangSong" w:hAnsi="FangSong" w:eastAsia="FangSong" w:cs="FangSong"/>
          <w:sz w:val="30"/>
          <w:szCs w:val="30"/>
          <w:spacing w:val="19"/>
        </w:rPr>
        <w:t>《工作场所职业卫生管理规定》第五十条第(一)项</w:t>
      </w:r>
      <w:r>
        <w:rPr>
          <w:rFonts w:ascii="FangSong" w:hAnsi="FangSong" w:eastAsia="FangSong" w:cs="FangSong"/>
          <w:sz w:val="30"/>
          <w:szCs w:val="30"/>
          <w:spacing w:val="19"/>
        </w:rPr>
        <w:t xml:space="preserve">  </w:t>
      </w:r>
      <w:r>
        <w:rPr>
          <w:rFonts w:ascii="FangSong" w:hAnsi="FangSong" w:eastAsia="FangSong" w:cs="FangSong"/>
          <w:sz w:val="30"/>
          <w:szCs w:val="30"/>
          <w:spacing w:val="19"/>
        </w:rPr>
        <w:t>用人单位</w:t>
      </w:r>
      <w:r>
        <w:rPr>
          <w:rFonts w:ascii="FangSong" w:hAnsi="FangSong" w:eastAsia="FangSong" w:cs="FangSong"/>
          <w:sz w:val="30"/>
          <w:szCs w:val="30"/>
          <w:spacing w:val="18"/>
        </w:rPr>
        <w:t>有下列情形之一的，责令限期</w:t>
      </w:r>
      <w:r>
        <w:rPr>
          <w:rFonts w:ascii="FangSong" w:hAnsi="FangSong" w:eastAsia="FangSong" w:cs="FangSong"/>
          <w:sz w:val="30"/>
          <w:szCs w:val="30"/>
        </w:rPr>
        <w:t xml:space="preserve"> </w:t>
      </w:r>
      <w:r>
        <w:rPr>
          <w:rFonts w:ascii="FangSong" w:hAnsi="FangSong" w:eastAsia="FangSong" w:cs="FangSong"/>
          <w:sz w:val="30"/>
          <w:szCs w:val="30"/>
          <w:spacing w:val="16"/>
        </w:rPr>
        <w:t>改正，给予警告；逾期未改正的，处五万元以上二十万元以下的罚款；情节严重的，责令停止产生职</w:t>
      </w:r>
    </w:p>
    <w:p>
      <w:pPr>
        <w:spacing w:line="254" w:lineRule="auto"/>
        <w:sectPr>
          <w:footerReference w:type="default" r:id="rId491"/>
          <w:pgSz w:w="16830" w:h="11900"/>
          <w:pgMar w:top="1011" w:right="1200" w:bottom="1104" w:left="1439" w:header="0" w:footer="762" w:gutter="0"/>
        </w:sectPr>
        <w:rPr>
          <w:rFonts w:ascii="FangSong" w:hAnsi="FangSong" w:eastAsia="FangSong" w:cs="FangSong"/>
          <w:sz w:val="30"/>
          <w:szCs w:val="30"/>
        </w:rPr>
      </w:pPr>
    </w:p>
    <w:p>
      <w:pPr>
        <w:pStyle w:val="BodyText"/>
        <w:spacing w:line="259" w:lineRule="auto"/>
        <w:rPr/>
      </w:pPr>
      <w:r/>
    </w:p>
    <w:p>
      <w:pPr>
        <w:pStyle w:val="BodyText"/>
        <w:spacing w:line="260" w:lineRule="auto"/>
        <w:rPr/>
      </w:pPr>
      <w:r/>
    </w:p>
    <w:p>
      <w:pPr>
        <w:pStyle w:val="BodyText"/>
        <w:spacing w:line="260" w:lineRule="auto"/>
        <w:rPr/>
      </w:pPr>
      <w:r/>
    </w:p>
    <w:p>
      <w:pPr>
        <w:ind w:left="15"/>
        <w:spacing w:before="101" w:line="220" w:lineRule="auto"/>
        <w:rPr>
          <w:rFonts w:ascii="FangSong" w:hAnsi="FangSong" w:eastAsia="FangSong" w:cs="FangSong"/>
          <w:sz w:val="31"/>
          <w:szCs w:val="31"/>
        </w:rPr>
      </w:pPr>
      <w:bookmarkStart w:name="bookmark1132" w:id="507"/>
      <w:bookmarkEnd w:id="507"/>
      <w:r>
        <w:rPr>
          <w:rFonts w:ascii="FangSong" w:hAnsi="FangSong" w:eastAsia="FangSong" w:cs="FangSong"/>
          <w:sz w:val="31"/>
          <w:szCs w:val="31"/>
          <w:spacing w:val="7"/>
        </w:rPr>
        <w:t>业病危害的作业，或者提请有关人民政府按照国务院规定的权限责令关闭：</w:t>
      </w:r>
    </w:p>
    <w:p>
      <w:pPr>
        <w:ind w:left="795"/>
        <w:spacing w:before="80" w:line="220" w:lineRule="auto"/>
        <w:rPr>
          <w:rFonts w:ascii="FangSong" w:hAnsi="FangSong" w:eastAsia="FangSong" w:cs="FangSong"/>
          <w:sz w:val="31"/>
          <w:szCs w:val="31"/>
        </w:rPr>
      </w:pPr>
      <w:r>
        <w:rPr>
          <w:rFonts w:ascii="FangSong" w:hAnsi="FangSong" w:eastAsia="FangSong" w:cs="FangSong"/>
          <w:sz w:val="31"/>
          <w:szCs w:val="31"/>
          <w:spacing w:val="13"/>
        </w:rPr>
        <w:t>(一)工作场所职业病危害因素的强度或者浓度超过国家职业卫</w:t>
      </w:r>
      <w:r>
        <w:rPr>
          <w:rFonts w:ascii="FangSong" w:hAnsi="FangSong" w:eastAsia="FangSong" w:cs="FangSong"/>
          <w:sz w:val="31"/>
          <w:szCs w:val="31"/>
          <w:spacing w:val="12"/>
        </w:rPr>
        <w:t>生标准的。</w:t>
      </w:r>
    </w:p>
    <w:p>
      <w:pPr>
        <w:pStyle w:val="BodyText"/>
        <w:spacing w:line="358" w:lineRule="auto"/>
        <w:rPr/>
      </w:pPr>
      <w:r/>
    </w:p>
    <w:p>
      <w:pPr>
        <w:pStyle w:val="BodyText"/>
        <w:spacing w:line="359" w:lineRule="auto"/>
        <w:rPr/>
      </w:pPr>
      <w:r/>
    </w:p>
    <w:p>
      <w:pPr>
        <w:ind w:left="6419"/>
        <w:spacing w:before="91"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8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14"/>
        <w:gridCol w:w="8613"/>
        <w:gridCol w:w="3692"/>
      </w:tblGrid>
      <w:tr>
        <w:trPr>
          <w:trHeight w:val="624" w:hRule="atLeast"/>
        </w:trPr>
        <w:tc>
          <w:tcPr>
            <w:tcW w:w="1514" w:type="dxa"/>
            <w:vAlign w:val="top"/>
          </w:tcPr>
          <w:p>
            <w:pPr>
              <w:pStyle w:val="TableText"/>
              <w:ind w:left="248"/>
              <w:spacing w:before="192" w:line="220" w:lineRule="auto"/>
              <w:rPr>
                <w:sz w:val="25"/>
                <w:szCs w:val="25"/>
              </w:rPr>
            </w:pPr>
            <w:r>
              <w:rPr>
                <w:sz w:val="25"/>
                <w:szCs w:val="25"/>
                <w:b/>
                <w:bCs/>
                <w:spacing w:val="-5"/>
              </w:rPr>
              <w:t>违法程度</w:t>
            </w:r>
          </w:p>
        </w:tc>
        <w:tc>
          <w:tcPr>
            <w:tcW w:w="8613" w:type="dxa"/>
            <w:vAlign w:val="top"/>
          </w:tcPr>
          <w:p>
            <w:pPr>
              <w:pStyle w:val="TableText"/>
              <w:ind w:left="3734"/>
              <w:spacing w:before="192" w:line="220" w:lineRule="auto"/>
              <w:rPr>
                <w:sz w:val="25"/>
                <w:szCs w:val="25"/>
              </w:rPr>
            </w:pPr>
            <w:r>
              <w:rPr>
                <w:sz w:val="25"/>
                <w:szCs w:val="25"/>
                <w:b/>
                <w:bCs/>
                <w:spacing w:val="-5"/>
              </w:rPr>
              <w:t>情节后果</w:t>
            </w:r>
          </w:p>
        </w:tc>
        <w:tc>
          <w:tcPr>
            <w:tcW w:w="3692" w:type="dxa"/>
            <w:vAlign w:val="top"/>
          </w:tcPr>
          <w:p>
            <w:pPr>
              <w:pStyle w:val="TableText"/>
              <w:ind w:left="1291"/>
              <w:spacing w:before="189" w:line="218" w:lineRule="auto"/>
              <w:rPr>
                <w:sz w:val="25"/>
                <w:szCs w:val="25"/>
              </w:rPr>
            </w:pPr>
            <w:r>
              <w:rPr>
                <w:sz w:val="25"/>
                <w:szCs w:val="25"/>
                <w:b/>
                <w:bCs/>
                <w:spacing w:val="-5"/>
              </w:rPr>
              <w:t>裁量幅度</w:t>
            </w:r>
          </w:p>
        </w:tc>
      </w:tr>
      <w:tr>
        <w:trPr>
          <w:trHeight w:val="599" w:hRule="atLeast"/>
        </w:trPr>
        <w:tc>
          <w:tcPr>
            <w:tcW w:w="1514" w:type="dxa"/>
            <w:vAlign w:val="top"/>
          </w:tcPr>
          <w:p>
            <w:pPr>
              <w:pStyle w:val="TableText"/>
              <w:ind w:left="498"/>
              <w:spacing w:before="177" w:line="219" w:lineRule="auto"/>
              <w:rPr>
                <w:sz w:val="25"/>
                <w:szCs w:val="25"/>
              </w:rPr>
            </w:pPr>
            <w:r>
              <w:rPr>
                <w:sz w:val="25"/>
                <w:szCs w:val="25"/>
                <w:b/>
                <w:bCs/>
                <w:spacing w:val="-6"/>
              </w:rPr>
              <w:t>轻微</w:t>
            </w:r>
          </w:p>
        </w:tc>
        <w:tc>
          <w:tcPr>
            <w:tcW w:w="8613" w:type="dxa"/>
            <w:vAlign w:val="top"/>
          </w:tcPr>
          <w:p>
            <w:pPr>
              <w:pStyle w:val="TableText"/>
              <w:ind w:left="90"/>
              <w:spacing w:before="181" w:line="219" w:lineRule="auto"/>
              <w:rPr>
                <w:sz w:val="25"/>
                <w:szCs w:val="25"/>
              </w:rPr>
            </w:pPr>
            <w:r>
              <w:rPr>
                <w:sz w:val="25"/>
                <w:szCs w:val="25"/>
              </w:rPr>
              <w:t>工作场所职业病危害因素的强度或者浓度超过国家职业卫生标准的</w:t>
            </w:r>
          </w:p>
        </w:tc>
        <w:tc>
          <w:tcPr>
            <w:tcW w:w="3692" w:type="dxa"/>
            <w:vAlign w:val="top"/>
          </w:tcPr>
          <w:p>
            <w:pPr>
              <w:pStyle w:val="TableText"/>
              <w:ind w:left="117"/>
              <w:spacing w:before="179" w:line="218" w:lineRule="auto"/>
              <w:rPr>
                <w:sz w:val="25"/>
                <w:szCs w:val="25"/>
              </w:rPr>
            </w:pPr>
            <w:r>
              <w:rPr>
                <w:sz w:val="25"/>
                <w:szCs w:val="25"/>
                <w:spacing w:val="1"/>
              </w:rPr>
              <w:t>给予警告，责令限期改正</w:t>
            </w:r>
          </w:p>
        </w:tc>
      </w:tr>
      <w:tr>
        <w:trPr>
          <w:trHeight w:val="688" w:hRule="atLeast"/>
        </w:trPr>
        <w:tc>
          <w:tcPr>
            <w:tcW w:w="1514" w:type="dxa"/>
            <w:vAlign w:val="top"/>
          </w:tcPr>
          <w:p>
            <w:pPr>
              <w:pStyle w:val="TableText"/>
              <w:ind w:left="498"/>
              <w:spacing w:before="220" w:line="221" w:lineRule="auto"/>
              <w:rPr>
                <w:sz w:val="25"/>
                <w:szCs w:val="25"/>
              </w:rPr>
            </w:pPr>
            <w:r>
              <w:rPr>
                <w:sz w:val="25"/>
                <w:szCs w:val="25"/>
                <w:b/>
                <w:bCs/>
                <w:spacing w:val="-10"/>
              </w:rPr>
              <w:t>一般</w:t>
            </w:r>
          </w:p>
        </w:tc>
        <w:tc>
          <w:tcPr>
            <w:tcW w:w="8613" w:type="dxa"/>
            <w:vAlign w:val="top"/>
          </w:tcPr>
          <w:p>
            <w:pPr>
              <w:pStyle w:val="TableText"/>
              <w:ind w:left="90"/>
              <w:spacing w:before="71" w:line="224" w:lineRule="auto"/>
              <w:rPr>
                <w:sz w:val="25"/>
                <w:szCs w:val="25"/>
              </w:rPr>
            </w:pPr>
            <w:r>
              <w:rPr>
                <w:sz w:val="25"/>
                <w:szCs w:val="25"/>
                <w:spacing w:val="-7"/>
              </w:rPr>
              <w:t>工作场所职业病危害因素的强度或者浓度超过国家职业卫生标准，经责令限期改</w:t>
            </w:r>
            <w:r>
              <w:rPr>
                <w:sz w:val="25"/>
                <w:szCs w:val="25"/>
                <w:spacing w:val="6"/>
              </w:rPr>
              <w:t xml:space="preserve"> </w:t>
            </w:r>
            <w:r>
              <w:rPr>
                <w:sz w:val="25"/>
                <w:szCs w:val="25"/>
              </w:rPr>
              <w:t>正，逾期不改正，仍存在以上违法情形，涉及3个检测点(或工种)以下的</w:t>
            </w:r>
          </w:p>
        </w:tc>
        <w:tc>
          <w:tcPr>
            <w:tcW w:w="3692" w:type="dxa"/>
            <w:vAlign w:val="top"/>
          </w:tcPr>
          <w:p>
            <w:pPr>
              <w:pStyle w:val="TableText"/>
              <w:ind w:left="117"/>
              <w:spacing w:before="223" w:line="220" w:lineRule="auto"/>
              <w:rPr>
                <w:sz w:val="25"/>
                <w:szCs w:val="25"/>
              </w:rPr>
            </w:pPr>
            <w:r>
              <w:rPr>
                <w:sz w:val="25"/>
                <w:szCs w:val="25"/>
              </w:rPr>
              <w:t>处五万元以上十万元以下的罚款</w:t>
            </w:r>
          </w:p>
        </w:tc>
      </w:tr>
      <w:tr>
        <w:trPr>
          <w:trHeight w:val="708" w:hRule="atLeast"/>
        </w:trPr>
        <w:tc>
          <w:tcPr>
            <w:tcW w:w="1514" w:type="dxa"/>
            <w:vAlign w:val="top"/>
          </w:tcPr>
          <w:p>
            <w:pPr>
              <w:pStyle w:val="TableText"/>
              <w:ind w:left="498"/>
              <w:spacing w:before="314" w:line="221" w:lineRule="auto"/>
              <w:rPr>
                <w:sz w:val="25"/>
                <w:szCs w:val="25"/>
              </w:rPr>
            </w:pPr>
            <w:r>
              <w:rPr>
                <w:sz w:val="25"/>
                <w:szCs w:val="25"/>
                <w:b/>
                <w:bCs/>
                <w:spacing w:val="-6"/>
              </w:rPr>
              <w:t>较重</w:t>
            </w:r>
          </w:p>
        </w:tc>
        <w:tc>
          <w:tcPr>
            <w:tcW w:w="8613" w:type="dxa"/>
            <w:vAlign w:val="top"/>
          </w:tcPr>
          <w:p>
            <w:pPr>
              <w:pStyle w:val="TableText"/>
              <w:ind w:left="90"/>
              <w:spacing w:before="102" w:line="220" w:lineRule="auto"/>
              <w:rPr>
                <w:sz w:val="25"/>
                <w:szCs w:val="25"/>
              </w:rPr>
            </w:pPr>
            <w:r>
              <w:rPr>
                <w:sz w:val="25"/>
                <w:szCs w:val="25"/>
                <w:spacing w:val="-7"/>
              </w:rPr>
              <w:t>工作场所职业病危害因素的强度或者浓度超过国家职业卫生标准，经责令限期改</w:t>
            </w:r>
            <w:r>
              <w:rPr>
                <w:sz w:val="25"/>
                <w:szCs w:val="25"/>
                <w:spacing w:val="6"/>
              </w:rPr>
              <w:t xml:space="preserve"> </w:t>
            </w:r>
            <w:r>
              <w:rPr>
                <w:sz w:val="25"/>
                <w:szCs w:val="25"/>
              </w:rPr>
              <w:t>正，逾期不改正，仍存在以上违法情形，涉及4-6个检测点(或工种)的</w:t>
            </w:r>
          </w:p>
        </w:tc>
        <w:tc>
          <w:tcPr>
            <w:tcW w:w="3692" w:type="dxa"/>
            <w:vAlign w:val="top"/>
          </w:tcPr>
          <w:p>
            <w:pPr>
              <w:pStyle w:val="TableText"/>
              <w:ind w:left="117"/>
              <w:spacing w:before="95" w:line="220" w:lineRule="auto"/>
              <w:rPr>
                <w:sz w:val="25"/>
                <w:szCs w:val="25"/>
              </w:rPr>
            </w:pPr>
            <w:r>
              <w:rPr>
                <w:sz w:val="25"/>
                <w:szCs w:val="25"/>
                <w:spacing w:val="2"/>
              </w:rPr>
              <w:t>处十万元以上二十万元以下的罚</w:t>
            </w:r>
          </w:p>
          <w:p>
            <w:pPr>
              <w:pStyle w:val="TableText"/>
              <w:ind w:left="117"/>
              <w:spacing w:before="43" w:line="193" w:lineRule="auto"/>
              <w:rPr>
                <w:sz w:val="25"/>
                <w:szCs w:val="25"/>
              </w:rPr>
            </w:pPr>
            <w:r>
              <w:rPr>
                <w:sz w:val="25"/>
                <w:szCs w:val="25"/>
                <w:color w:val="304060"/>
              </w:rPr>
              <w:t>款</w:t>
            </w:r>
          </w:p>
        </w:tc>
      </w:tr>
      <w:tr>
        <w:trPr>
          <w:trHeight w:val="2051" w:hRule="atLeast"/>
        </w:trPr>
        <w:tc>
          <w:tcPr>
            <w:tcW w:w="1514" w:type="dxa"/>
            <w:vAlign w:val="top"/>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TableText"/>
              <w:ind w:left="498"/>
              <w:spacing w:before="81" w:line="220" w:lineRule="auto"/>
              <w:rPr>
                <w:sz w:val="25"/>
                <w:szCs w:val="25"/>
              </w:rPr>
            </w:pPr>
            <w:r>
              <w:rPr>
                <w:sz w:val="25"/>
                <w:szCs w:val="25"/>
                <w:b/>
                <w:bCs/>
                <w:spacing w:val="-6"/>
              </w:rPr>
              <w:t>严重</w:t>
            </w:r>
          </w:p>
        </w:tc>
        <w:tc>
          <w:tcPr>
            <w:tcW w:w="8613" w:type="dxa"/>
            <w:vAlign w:val="top"/>
          </w:tcPr>
          <w:p>
            <w:pPr>
              <w:pStyle w:val="TableText"/>
              <w:ind w:left="90"/>
              <w:spacing w:before="74" w:line="254" w:lineRule="auto"/>
              <w:rPr>
                <w:sz w:val="25"/>
                <w:szCs w:val="25"/>
              </w:rPr>
            </w:pPr>
            <w:r>
              <w:rPr>
                <w:sz w:val="25"/>
                <w:szCs w:val="25"/>
                <w:spacing w:val="-7"/>
              </w:rPr>
              <w:t>工作场所职业病危害因素的强度或者浓度超过国家职业卫生标准，经责令限期改</w:t>
            </w:r>
            <w:r>
              <w:rPr>
                <w:sz w:val="25"/>
                <w:szCs w:val="25"/>
                <w:spacing w:val="6"/>
              </w:rPr>
              <w:t xml:space="preserve"> </w:t>
            </w:r>
            <w:r>
              <w:rPr>
                <w:sz w:val="25"/>
                <w:szCs w:val="25"/>
                <w:spacing w:val="1"/>
              </w:rPr>
              <w:t>正，逾期不改正，仍存在以下违法情形之一的：</w:t>
            </w:r>
          </w:p>
          <w:p>
            <w:pPr>
              <w:pStyle w:val="TableText"/>
              <w:ind w:left="90"/>
              <w:spacing w:before="12"/>
              <w:rPr>
                <w:sz w:val="25"/>
                <w:szCs w:val="25"/>
              </w:rPr>
            </w:pPr>
            <w:r>
              <w:rPr>
                <w:sz w:val="25"/>
                <w:szCs w:val="25"/>
                <w:spacing w:val="-3"/>
              </w:rPr>
              <w:t>A.工作场所职业病危害因素的强度或者浓度超过国家职业卫生标准</w:t>
            </w:r>
            <w:r>
              <w:rPr>
                <w:sz w:val="25"/>
                <w:szCs w:val="25"/>
                <w:spacing w:val="-4"/>
              </w:rPr>
              <w:t>，涉及7个检</w:t>
            </w:r>
            <w:r>
              <w:rPr>
                <w:sz w:val="25"/>
                <w:szCs w:val="25"/>
              </w:rPr>
              <w:t xml:space="preserve"> </w:t>
            </w:r>
            <w:r>
              <w:rPr>
                <w:sz w:val="25"/>
                <w:szCs w:val="25"/>
                <w:spacing w:val="1"/>
              </w:rPr>
              <w:t>测点(或工种)以上的</w:t>
            </w:r>
          </w:p>
          <w:p>
            <w:pPr>
              <w:pStyle w:val="TableText"/>
              <w:spacing w:before="31" w:line="219" w:lineRule="auto"/>
              <w:jc w:val="right"/>
              <w:rPr>
                <w:sz w:val="25"/>
                <w:szCs w:val="25"/>
              </w:rPr>
            </w:pPr>
            <w:r>
              <w:rPr>
                <w:sz w:val="25"/>
                <w:szCs w:val="25"/>
              </w:rPr>
              <w:t>B.工作场所职业病危害因素的强度或者浓度超过国家职业卫生标准两倍以上的</w:t>
            </w:r>
          </w:p>
          <w:p>
            <w:pPr>
              <w:pStyle w:val="TableText"/>
              <w:ind w:left="90"/>
              <w:spacing w:before="22" w:line="196" w:lineRule="auto"/>
              <w:rPr>
                <w:sz w:val="25"/>
                <w:szCs w:val="25"/>
              </w:rPr>
            </w:pPr>
            <w:r>
              <w:rPr>
                <w:sz w:val="25"/>
                <w:szCs w:val="25"/>
              </w:rPr>
              <w:t>C.《高毒物品目录》中职业病危害因素或矽尘、放射职业病危害因素超</w:t>
            </w:r>
            <w:r>
              <w:rPr>
                <w:sz w:val="25"/>
                <w:szCs w:val="25"/>
                <w:spacing w:val="-1"/>
              </w:rPr>
              <w:t>标的</w:t>
            </w:r>
          </w:p>
        </w:tc>
        <w:tc>
          <w:tcPr>
            <w:tcW w:w="3692" w:type="dxa"/>
            <w:vAlign w:val="top"/>
          </w:tcPr>
          <w:p>
            <w:pPr>
              <w:spacing w:line="260" w:lineRule="auto"/>
              <w:rPr>
                <w:rFonts w:ascii="Arial"/>
                <w:sz w:val="21"/>
              </w:rPr>
            </w:pPr>
            <w:r/>
          </w:p>
          <w:p>
            <w:pPr>
              <w:spacing w:line="260" w:lineRule="auto"/>
              <w:rPr>
                <w:rFonts w:ascii="Arial"/>
                <w:sz w:val="21"/>
              </w:rPr>
            </w:pPr>
            <w:r/>
          </w:p>
          <w:p>
            <w:pPr>
              <w:pStyle w:val="TableText"/>
              <w:ind w:left="117"/>
              <w:spacing w:before="81" w:line="219" w:lineRule="auto"/>
              <w:rPr>
                <w:sz w:val="25"/>
                <w:szCs w:val="25"/>
              </w:rPr>
            </w:pPr>
            <w:r>
              <w:rPr>
                <w:sz w:val="25"/>
                <w:szCs w:val="25"/>
                <w:spacing w:val="1"/>
              </w:rPr>
              <w:t>责令停止产生职业病危害的作</w:t>
            </w:r>
          </w:p>
          <w:p>
            <w:pPr>
              <w:pStyle w:val="TableText"/>
              <w:ind w:left="117" w:right="43"/>
              <w:spacing w:before="43" w:line="253" w:lineRule="auto"/>
              <w:rPr>
                <w:sz w:val="25"/>
                <w:szCs w:val="25"/>
              </w:rPr>
            </w:pPr>
            <w:r>
              <w:rPr>
                <w:sz w:val="25"/>
                <w:szCs w:val="25"/>
                <w:spacing w:val="1"/>
              </w:rPr>
              <w:t>业，或者提请有关人民政府按照</w:t>
            </w:r>
            <w:r>
              <w:rPr>
                <w:sz w:val="25"/>
                <w:szCs w:val="25"/>
                <w:spacing w:val="5"/>
              </w:rPr>
              <w:t xml:space="preserve"> </w:t>
            </w:r>
            <w:r>
              <w:rPr>
                <w:sz w:val="25"/>
                <w:szCs w:val="25"/>
                <w:spacing w:val="1"/>
              </w:rPr>
              <w:t>国务院规定的权限责令关闭</w:t>
            </w:r>
          </w:p>
        </w:tc>
      </w:tr>
    </w:tbl>
    <w:p>
      <w:pPr>
        <w:pStyle w:val="BodyText"/>
        <w:spacing w:line="438" w:lineRule="auto"/>
        <w:rPr/>
      </w:pPr>
      <w:r/>
    </w:p>
    <w:p>
      <w:pPr>
        <w:ind w:left="29" w:firstLine="625"/>
        <w:spacing w:before="101" w:line="266" w:lineRule="auto"/>
        <w:rPr>
          <w:rFonts w:ascii="KaiTi" w:hAnsi="KaiTi" w:eastAsia="KaiTi" w:cs="KaiTi"/>
          <w:sz w:val="31"/>
          <w:szCs w:val="31"/>
        </w:rPr>
      </w:pPr>
      <w:r>
        <w:rPr>
          <w:rFonts w:ascii="KaiTi" w:hAnsi="KaiTi" w:eastAsia="KaiTi" w:cs="KaiTi"/>
          <w:sz w:val="31"/>
          <w:szCs w:val="31"/>
          <w:spacing w:val="11"/>
        </w:rPr>
        <w:t>第</w:t>
      </w:r>
      <w:r>
        <w:rPr>
          <w:rFonts w:ascii="KaiTi" w:hAnsi="KaiTi" w:eastAsia="KaiTi" w:cs="KaiTi"/>
          <w:sz w:val="31"/>
          <w:szCs w:val="31"/>
          <w:b/>
          <w:bCs/>
          <w:spacing w:val="11"/>
        </w:rPr>
        <w:t>四百六十二条未提供职业病防护设施和个人使用的职业病防护用品，或者提供的</w:t>
      </w:r>
      <w:r>
        <w:rPr>
          <w:rFonts w:ascii="KaiTi" w:hAnsi="KaiTi" w:eastAsia="KaiTi" w:cs="KaiTi"/>
          <w:sz w:val="31"/>
          <w:szCs w:val="31"/>
          <w:b/>
          <w:bCs/>
          <w:spacing w:val="10"/>
        </w:rPr>
        <w:t>职业病防护</w:t>
      </w:r>
      <w:r>
        <w:rPr>
          <w:rFonts w:ascii="KaiTi" w:hAnsi="KaiTi" w:eastAsia="KaiTi" w:cs="KaiTi"/>
          <w:sz w:val="31"/>
          <w:szCs w:val="31"/>
        </w:rPr>
        <w:t xml:space="preserve"> </w:t>
      </w:r>
      <w:r>
        <w:rPr>
          <w:rFonts w:ascii="KaiTi" w:hAnsi="KaiTi" w:eastAsia="KaiTi" w:cs="KaiTi"/>
          <w:sz w:val="31"/>
          <w:szCs w:val="31"/>
          <w:b/>
          <w:bCs/>
          <w:spacing w:val="7"/>
        </w:rPr>
        <w:t>设施和个人使用的职业病防护用品不符合国家职业卫生标准和卫生要求的</w:t>
      </w:r>
    </w:p>
    <w:p>
      <w:pPr>
        <w:pStyle w:val="BodyText"/>
        <w:spacing w:line="325" w:lineRule="auto"/>
        <w:rPr/>
      </w:pPr>
      <w:r/>
    </w:p>
    <w:p>
      <w:pPr>
        <w:pStyle w:val="BodyText"/>
        <w:spacing w:line="326" w:lineRule="auto"/>
        <w:rPr/>
      </w:pPr>
      <w:r/>
    </w:p>
    <w:p>
      <w:pPr>
        <w:ind w:left="6354"/>
        <w:spacing w:before="109" w:line="188"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3"/>
          <w:w w:val="98"/>
        </w:rPr>
        <w:t>—545—</w:t>
      </w:r>
    </w:p>
    <w:p>
      <w:pPr>
        <w:spacing w:line="188" w:lineRule="auto"/>
        <w:sectPr>
          <w:footerReference w:type="default" r:id="rId24"/>
          <w:pgSz w:w="16830" w:h="11900"/>
          <w:pgMar w:top="1011" w:right="1452" w:bottom="400" w:left="1434" w:header="0" w:footer="0" w:gutter="0"/>
        </w:sectPr>
        <w:rPr>
          <w:rFonts w:ascii="Times New Roman" w:hAnsi="Times New Roman" w:eastAsia="Times New Roman" w:cs="Times New Roman"/>
          <w:sz w:val="38"/>
          <w:szCs w:val="38"/>
        </w:rPr>
      </w:pPr>
    </w:p>
    <w:p>
      <w:pPr>
        <w:pStyle w:val="BodyText"/>
        <w:spacing w:line="252" w:lineRule="auto"/>
        <w:rPr/>
      </w:pPr>
      <w:r/>
    </w:p>
    <w:p>
      <w:pPr>
        <w:pStyle w:val="BodyText"/>
        <w:spacing w:line="252" w:lineRule="auto"/>
        <w:rPr/>
      </w:pPr>
      <w:r/>
    </w:p>
    <w:p>
      <w:pPr>
        <w:pStyle w:val="BodyText"/>
        <w:spacing w:line="252" w:lineRule="auto"/>
        <w:rPr/>
      </w:pPr>
      <w:r/>
    </w:p>
    <w:p>
      <w:pPr>
        <w:ind w:left="640"/>
        <w:spacing w:before="98"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right="59" w:firstLine="640"/>
        <w:spacing w:before="87" w:line="271" w:lineRule="auto"/>
        <w:jc w:val="both"/>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《中华人民共和国职业病防治法》第七十二条第(二)项</w:t>
      </w:r>
      <w:r>
        <w:rPr>
          <w:rFonts w:ascii="FangSong" w:hAnsi="FangSong" w:eastAsia="FangSong" w:cs="FangSong"/>
          <w:sz w:val="30"/>
          <w:szCs w:val="30"/>
          <w:spacing w:val="19"/>
        </w:rPr>
        <w:t xml:space="preserve">  </w:t>
      </w:r>
      <w:r>
        <w:rPr>
          <w:rFonts w:ascii="FangSong" w:hAnsi="FangSong" w:eastAsia="FangSong" w:cs="FangSong"/>
          <w:sz w:val="30"/>
          <w:szCs w:val="30"/>
          <w:spacing w:val="19"/>
        </w:rPr>
        <w:t>用人单位违反本法规</w:t>
      </w:r>
      <w:r>
        <w:rPr>
          <w:rFonts w:ascii="FangSong" w:hAnsi="FangSong" w:eastAsia="FangSong" w:cs="FangSong"/>
          <w:sz w:val="30"/>
          <w:szCs w:val="30"/>
          <w:spacing w:val="18"/>
        </w:rPr>
        <w:t>定，有下列行</w:t>
      </w:r>
      <w:r>
        <w:rPr>
          <w:rFonts w:ascii="FangSong" w:hAnsi="FangSong" w:eastAsia="FangSong" w:cs="FangSong"/>
          <w:sz w:val="30"/>
          <w:szCs w:val="30"/>
        </w:rPr>
        <w:t xml:space="preserve"> </w:t>
      </w:r>
      <w:r>
        <w:rPr>
          <w:rFonts w:ascii="FangSong" w:hAnsi="FangSong" w:eastAsia="FangSong" w:cs="FangSong"/>
          <w:sz w:val="30"/>
          <w:szCs w:val="30"/>
          <w:spacing w:val="16"/>
        </w:rPr>
        <w:t>为之一的，由卫生行政部门给予警告，责令限期改正，逾期不改正的，处五万元以上二十万元以下的</w:t>
      </w:r>
      <w:r>
        <w:rPr>
          <w:rFonts w:ascii="FangSong" w:hAnsi="FangSong" w:eastAsia="FangSong" w:cs="FangSong"/>
          <w:sz w:val="30"/>
          <w:szCs w:val="30"/>
          <w:spacing w:val="4"/>
        </w:rPr>
        <w:t xml:space="preserve"> </w:t>
      </w:r>
      <w:r>
        <w:rPr>
          <w:rFonts w:ascii="FangSong" w:hAnsi="FangSong" w:eastAsia="FangSong" w:cs="FangSong"/>
          <w:sz w:val="30"/>
          <w:szCs w:val="30"/>
          <w:spacing w:val="16"/>
        </w:rPr>
        <w:t>罚款；情节严重的，责令停止产生职业病危害的作业，或者提请有关人民政府按照国务院规</w:t>
      </w:r>
      <w:r>
        <w:rPr>
          <w:rFonts w:ascii="FangSong" w:hAnsi="FangSong" w:eastAsia="FangSong" w:cs="FangSong"/>
          <w:sz w:val="30"/>
          <w:szCs w:val="30"/>
          <w:spacing w:val="15"/>
        </w:rPr>
        <w:t>定的权限</w:t>
      </w:r>
      <w:r>
        <w:rPr>
          <w:rFonts w:ascii="FangSong" w:hAnsi="FangSong" w:eastAsia="FangSong" w:cs="FangSong"/>
          <w:sz w:val="30"/>
          <w:szCs w:val="30"/>
        </w:rPr>
        <w:t xml:space="preserve"> </w:t>
      </w:r>
      <w:r>
        <w:rPr>
          <w:rFonts w:ascii="FangSong" w:hAnsi="FangSong" w:eastAsia="FangSong" w:cs="FangSong"/>
          <w:sz w:val="30"/>
          <w:szCs w:val="30"/>
          <w:spacing w:val="-2"/>
        </w:rPr>
        <w:t>责令关闭：</w:t>
      </w:r>
    </w:p>
    <w:p>
      <w:pPr>
        <w:ind w:right="61" w:firstLine="780"/>
        <w:spacing w:before="2" w:line="269" w:lineRule="auto"/>
        <w:rPr>
          <w:rFonts w:ascii="FangSong" w:hAnsi="FangSong" w:eastAsia="FangSong" w:cs="FangSong"/>
          <w:sz w:val="30"/>
          <w:szCs w:val="30"/>
        </w:rPr>
      </w:pPr>
      <w:r>
        <w:rPr>
          <w:rFonts w:ascii="FangSong" w:hAnsi="FangSong" w:eastAsia="FangSong" w:cs="FangSong"/>
          <w:sz w:val="30"/>
          <w:szCs w:val="30"/>
          <w:spacing w:val="20"/>
        </w:rPr>
        <w:t>(二)未提供职业病防护设施和个人使用的职业病防护用品，或者提供的职业病防护设施和个人</w:t>
      </w:r>
      <w:r>
        <w:rPr>
          <w:rFonts w:ascii="FangSong" w:hAnsi="FangSong" w:eastAsia="FangSong" w:cs="FangSong"/>
          <w:sz w:val="30"/>
          <w:szCs w:val="30"/>
          <w:spacing w:val="17"/>
        </w:rPr>
        <w:t xml:space="preserve"> </w:t>
      </w:r>
      <w:r>
        <w:rPr>
          <w:rFonts w:ascii="FangSong" w:hAnsi="FangSong" w:eastAsia="FangSong" w:cs="FangSong"/>
          <w:sz w:val="30"/>
          <w:szCs w:val="30"/>
          <w:spacing w:val="16"/>
        </w:rPr>
        <w:t>使用的职业病防护用品不符合国家职业卫生标准和卫生要求的；</w:t>
      </w:r>
    </w:p>
    <w:p>
      <w:pPr>
        <w:ind w:right="42" w:firstLine="640"/>
        <w:spacing w:before="2" w:line="270" w:lineRule="auto"/>
        <w:rPr>
          <w:rFonts w:ascii="FangSong" w:hAnsi="FangSong" w:eastAsia="FangSong" w:cs="FangSong"/>
          <w:sz w:val="30"/>
          <w:szCs w:val="30"/>
        </w:rPr>
      </w:pPr>
      <w:r>
        <w:rPr>
          <w:rFonts w:ascii="FangSong" w:hAnsi="FangSong" w:eastAsia="FangSong" w:cs="FangSong"/>
          <w:sz w:val="30"/>
          <w:szCs w:val="30"/>
          <w:spacing w:val="19"/>
        </w:rPr>
        <w:t>2.</w:t>
      </w:r>
      <w:r>
        <w:rPr>
          <w:rFonts w:ascii="FangSong" w:hAnsi="FangSong" w:eastAsia="FangSong" w:cs="FangSong"/>
          <w:sz w:val="30"/>
          <w:szCs w:val="30"/>
          <w:spacing w:val="19"/>
        </w:rPr>
        <w:t xml:space="preserve"> </w:t>
      </w:r>
      <w:r>
        <w:rPr>
          <w:rFonts w:ascii="FangSong" w:hAnsi="FangSong" w:eastAsia="FangSong" w:cs="FangSong"/>
          <w:sz w:val="30"/>
          <w:szCs w:val="30"/>
          <w:spacing w:val="19"/>
        </w:rPr>
        <w:t>《使用有毒物品作业场所劳动保护条例》第五十九条第一款第(四)项</w:t>
      </w:r>
      <w:r>
        <w:rPr>
          <w:rFonts w:ascii="FangSong" w:hAnsi="FangSong" w:eastAsia="FangSong" w:cs="FangSong"/>
          <w:sz w:val="30"/>
          <w:szCs w:val="30"/>
          <w:spacing w:val="19"/>
        </w:rPr>
        <w:t xml:space="preserve">  </w:t>
      </w:r>
      <w:r>
        <w:rPr>
          <w:rFonts w:ascii="FangSong" w:hAnsi="FangSong" w:eastAsia="FangSong" w:cs="FangSong"/>
          <w:sz w:val="30"/>
          <w:szCs w:val="30"/>
          <w:spacing w:val="19"/>
        </w:rPr>
        <w:t>用人单位违反本条例</w:t>
      </w:r>
      <w:r>
        <w:rPr>
          <w:rFonts w:ascii="FangSong" w:hAnsi="FangSong" w:eastAsia="FangSong" w:cs="FangSong"/>
          <w:sz w:val="30"/>
          <w:szCs w:val="30"/>
          <w:spacing w:val="11"/>
        </w:rPr>
        <w:t xml:space="preserve"> </w:t>
      </w:r>
      <w:r>
        <w:rPr>
          <w:rFonts w:ascii="FangSong" w:hAnsi="FangSong" w:eastAsia="FangSong" w:cs="FangSong"/>
          <w:sz w:val="30"/>
          <w:szCs w:val="30"/>
          <w:spacing w:val="21"/>
        </w:rPr>
        <w:t>的规定，有下列情形之一的，由疾病预防控制部门给予警告，责令限期改正；逾期不改</w:t>
      </w:r>
      <w:r>
        <w:rPr>
          <w:rFonts w:ascii="FangSong" w:hAnsi="FangSong" w:eastAsia="FangSong" w:cs="FangSong"/>
          <w:sz w:val="30"/>
          <w:szCs w:val="30"/>
          <w:spacing w:val="20"/>
        </w:rPr>
        <w:t>正的，处5</w:t>
      </w:r>
    </w:p>
    <w:p>
      <w:pPr>
        <w:ind w:right="70"/>
        <w:spacing w:before="3" w:line="268" w:lineRule="auto"/>
        <w:rPr>
          <w:rFonts w:ascii="FangSong" w:hAnsi="FangSong" w:eastAsia="FangSong" w:cs="FangSong"/>
          <w:sz w:val="30"/>
          <w:szCs w:val="30"/>
        </w:rPr>
      </w:pPr>
      <w:r>
        <w:rPr>
          <w:rFonts w:ascii="FangSong" w:hAnsi="FangSong" w:eastAsia="FangSong" w:cs="FangSong"/>
          <w:sz w:val="30"/>
          <w:szCs w:val="30"/>
          <w:spacing w:val="23"/>
        </w:rPr>
        <w:t>万元以上20万元以下的罚款；情节严重的，提请有关人民政府按照国务</w:t>
      </w:r>
      <w:r>
        <w:rPr>
          <w:rFonts w:ascii="FangSong" w:hAnsi="FangSong" w:eastAsia="FangSong" w:cs="FangSong"/>
          <w:sz w:val="30"/>
          <w:szCs w:val="30"/>
          <w:spacing w:val="22"/>
        </w:rPr>
        <w:t>院规定的权限予以关闭；造</w:t>
      </w:r>
      <w:r>
        <w:rPr>
          <w:rFonts w:ascii="FangSong" w:hAnsi="FangSong" w:eastAsia="FangSong" w:cs="FangSong"/>
          <w:sz w:val="30"/>
          <w:szCs w:val="30"/>
        </w:rPr>
        <w:t xml:space="preserve"> </w:t>
      </w:r>
      <w:r>
        <w:rPr>
          <w:rFonts w:ascii="FangSong" w:hAnsi="FangSong" w:eastAsia="FangSong" w:cs="FangSong"/>
          <w:sz w:val="30"/>
          <w:szCs w:val="30"/>
          <w:spacing w:val="17"/>
        </w:rPr>
        <w:t>成严重职业中毒危害或者导致职业中毒事故发生的，对</w:t>
      </w:r>
      <w:r>
        <w:rPr>
          <w:rFonts w:ascii="FangSong" w:hAnsi="FangSong" w:eastAsia="FangSong" w:cs="FangSong"/>
          <w:sz w:val="30"/>
          <w:szCs w:val="30"/>
          <w:spacing w:val="16"/>
        </w:rPr>
        <w:t>负有责任的主管人员和其他直接责任人员依照</w:t>
      </w:r>
      <w:r>
        <w:rPr>
          <w:rFonts w:ascii="FangSong" w:hAnsi="FangSong" w:eastAsia="FangSong" w:cs="FangSong"/>
          <w:sz w:val="30"/>
          <w:szCs w:val="30"/>
        </w:rPr>
        <w:t xml:space="preserve"> </w:t>
      </w:r>
      <w:r>
        <w:rPr>
          <w:rFonts w:ascii="FangSong" w:hAnsi="FangSong" w:eastAsia="FangSong" w:cs="FangSong"/>
          <w:sz w:val="30"/>
          <w:szCs w:val="30"/>
          <w:spacing w:val="16"/>
        </w:rPr>
        <w:t>刑法关于重大劳动安全事故罪或者其他罪的规定，依法追究刑事责任：</w:t>
      </w:r>
    </w:p>
    <w:p>
      <w:pPr>
        <w:ind w:right="60" w:firstLine="790"/>
        <w:spacing w:before="3" w:line="264" w:lineRule="auto"/>
        <w:rPr>
          <w:rFonts w:ascii="FangSong" w:hAnsi="FangSong" w:eastAsia="FangSong" w:cs="FangSong"/>
          <w:sz w:val="30"/>
          <w:szCs w:val="30"/>
        </w:rPr>
      </w:pPr>
      <w:r>
        <w:rPr>
          <w:rFonts w:ascii="FangSong" w:hAnsi="FangSong" w:eastAsia="FangSong" w:cs="FangSong"/>
          <w:sz w:val="30"/>
          <w:szCs w:val="30"/>
          <w:spacing w:val="20"/>
        </w:rPr>
        <w:t>(四)未向从事使用有毒物品作业的劳动者提供符合国家职业卫生标准的防护用品，或者未保证</w:t>
      </w:r>
      <w:r>
        <w:rPr>
          <w:rFonts w:ascii="FangSong" w:hAnsi="FangSong" w:eastAsia="FangSong" w:cs="FangSong"/>
          <w:sz w:val="30"/>
          <w:szCs w:val="30"/>
          <w:spacing w:val="9"/>
        </w:rPr>
        <w:t xml:space="preserve"> </w:t>
      </w:r>
      <w:r>
        <w:rPr>
          <w:rFonts w:ascii="FangSong" w:hAnsi="FangSong" w:eastAsia="FangSong" w:cs="FangSong"/>
          <w:sz w:val="30"/>
          <w:szCs w:val="30"/>
          <w:spacing w:val="11"/>
        </w:rPr>
        <w:t>劳动者正确使用的。</w:t>
      </w:r>
    </w:p>
    <w:p>
      <w:pPr>
        <w:ind w:firstLine="640"/>
        <w:spacing w:before="4" w:line="259" w:lineRule="auto"/>
        <w:jc w:val="both"/>
        <w:rPr>
          <w:rFonts w:ascii="FangSong" w:hAnsi="FangSong" w:eastAsia="FangSong" w:cs="FangSong"/>
          <w:sz w:val="30"/>
          <w:szCs w:val="30"/>
        </w:rPr>
      </w:pPr>
      <w:r>
        <w:rPr>
          <w:rFonts w:ascii="FangSong" w:hAnsi="FangSong" w:eastAsia="FangSong" w:cs="FangSong"/>
          <w:sz w:val="30"/>
          <w:szCs w:val="30"/>
          <w:spacing w:val="20"/>
        </w:rPr>
        <w:t>第六十条第(</w:t>
      </w:r>
      <w:r>
        <w:rPr>
          <w:rFonts w:ascii="FangSong" w:hAnsi="FangSong" w:eastAsia="FangSong" w:cs="FangSong"/>
          <w:sz w:val="30"/>
          <w:szCs w:val="30"/>
          <w:spacing w:val="-75"/>
        </w:rPr>
        <w:t xml:space="preserve"> </w:t>
      </w:r>
      <w:r>
        <w:rPr>
          <w:rFonts w:ascii="FangSong" w:hAnsi="FangSong" w:eastAsia="FangSong" w:cs="FangSong"/>
          <w:sz w:val="30"/>
          <w:szCs w:val="30"/>
          <w:spacing w:val="20"/>
        </w:rPr>
        <w:t>一</w:t>
      </w:r>
      <w:r>
        <w:rPr>
          <w:rFonts w:ascii="FangSong" w:hAnsi="FangSong" w:eastAsia="FangSong" w:cs="FangSong"/>
          <w:sz w:val="30"/>
          <w:szCs w:val="30"/>
          <w:spacing w:val="-88"/>
        </w:rPr>
        <w:t xml:space="preserve"> </w:t>
      </w:r>
      <w:r>
        <w:rPr>
          <w:rFonts w:ascii="FangSong" w:hAnsi="FangSong" w:eastAsia="FangSong" w:cs="FangSong"/>
          <w:sz w:val="30"/>
          <w:szCs w:val="30"/>
          <w:spacing w:val="20"/>
        </w:rPr>
        <w:t>)项</w:t>
      </w:r>
      <w:r>
        <w:rPr>
          <w:rFonts w:ascii="FangSong" w:hAnsi="FangSong" w:eastAsia="FangSong" w:cs="FangSong"/>
          <w:sz w:val="30"/>
          <w:szCs w:val="30"/>
          <w:spacing w:val="20"/>
        </w:rPr>
        <w:t xml:space="preserve">  </w:t>
      </w:r>
      <w:r>
        <w:rPr>
          <w:rFonts w:ascii="FangSong" w:hAnsi="FangSong" w:eastAsia="FangSong" w:cs="FangSong"/>
          <w:sz w:val="30"/>
          <w:szCs w:val="30"/>
          <w:spacing w:val="20"/>
        </w:rPr>
        <w:t>用人单位违反本条例的规定，有下列情形之一的，由疾病预防控制部门给</w:t>
      </w:r>
      <w:r>
        <w:rPr>
          <w:rFonts w:ascii="FangSong" w:hAnsi="FangSong" w:eastAsia="FangSong" w:cs="FangSong"/>
          <w:sz w:val="30"/>
          <w:szCs w:val="30"/>
        </w:rPr>
        <w:t xml:space="preserve"> </w:t>
      </w:r>
      <w:r>
        <w:rPr>
          <w:rFonts w:ascii="FangSong" w:hAnsi="FangSong" w:eastAsia="FangSong" w:cs="FangSong"/>
          <w:sz w:val="30"/>
          <w:szCs w:val="30"/>
          <w:spacing w:val="26"/>
        </w:rPr>
        <w:t>予警告，责令限期改正，处5万元以上30万元以下的罚款；逾</w:t>
      </w:r>
      <w:r>
        <w:rPr>
          <w:rFonts w:ascii="FangSong" w:hAnsi="FangSong" w:eastAsia="FangSong" w:cs="FangSong"/>
          <w:sz w:val="30"/>
          <w:szCs w:val="30"/>
          <w:spacing w:val="25"/>
        </w:rPr>
        <w:t>期不改正的，提请有关人民政府按照</w:t>
      </w:r>
      <w:r>
        <w:rPr>
          <w:rFonts w:ascii="FangSong" w:hAnsi="FangSong" w:eastAsia="FangSong" w:cs="FangSong"/>
          <w:sz w:val="30"/>
          <w:szCs w:val="30"/>
        </w:rPr>
        <w:t xml:space="preserve"> </w:t>
      </w:r>
      <w:r>
        <w:rPr>
          <w:rFonts w:ascii="FangSong" w:hAnsi="FangSong" w:eastAsia="FangSong" w:cs="FangSong"/>
          <w:sz w:val="30"/>
          <w:szCs w:val="30"/>
          <w:spacing w:val="17"/>
        </w:rPr>
        <w:t>国务院规定的权限予以关闭；造成严重职业中毒危害或者导致职业中毒事故发生的，对负有</w:t>
      </w:r>
      <w:r>
        <w:rPr>
          <w:rFonts w:ascii="FangSong" w:hAnsi="FangSong" w:eastAsia="FangSong" w:cs="FangSong"/>
          <w:sz w:val="30"/>
          <w:szCs w:val="30"/>
          <w:spacing w:val="16"/>
        </w:rPr>
        <w:t>责任的主</w:t>
      </w:r>
      <w:r>
        <w:rPr>
          <w:rFonts w:ascii="FangSong" w:hAnsi="FangSong" w:eastAsia="FangSong" w:cs="FangSong"/>
          <w:sz w:val="30"/>
          <w:szCs w:val="30"/>
        </w:rPr>
        <w:t xml:space="preserve"> </w:t>
      </w:r>
      <w:r>
        <w:rPr>
          <w:rFonts w:ascii="FangSong" w:hAnsi="FangSong" w:eastAsia="FangSong" w:cs="FangSong"/>
          <w:sz w:val="30"/>
          <w:szCs w:val="30"/>
          <w:spacing w:val="18"/>
        </w:rPr>
        <w:t>管人员和其他直接责任人员依照刑法关于重大责任事故罪、重大劳动安全事故罪或者其他罪的规定，</w:t>
      </w:r>
      <w:r>
        <w:rPr>
          <w:rFonts w:ascii="FangSong" w:hAnsi="FangSong" w:eastAsia="FangSong" w:cs="FangSong"/>
          <w:sz w:val="30"/>
          <w:szCs w:val="30"/>
          <w:spacing w:val="7"/>
        </w:rPr>
        <w:t xml:space="preserve"> </w:t>
      </w:r>
      <w:r>
        <w:rPr>
          <w:rFonts w:ascii="FangSong" w:hAnsi="FangSong" w:eastAsia="FangSong" w:cs="FangSong"/>
          <w:sz w:val="30"/>
          <w:szCs w:val="30"/>
          <w:spacing w:val="8"/>
        </w:rPr>
        <w:t>依法追究刑事责任：</w:t>
      </w:r>
    </w:p>
    <w:p>
      <w:pPr>
        <w:pStyle w:val="BodyText"/>
        <w:spacing w:line="278" w:lineRule="auto"/>
        <w:rPr/>
      </w:pPr>
      <w:r/>
    </w:p>
    <w:p>
      <w:pPr>
        <w:pStyle w:val="BodyText"/>
        <w:spacing w:line="278" w:lineRule="auto"/>
        <w:rPr/>
      </w:pPr>
      <w:r/>
    </w:p>
    <w:p>
      <w:pPr>
        <w:ind w:left="6380"/>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w w:val="98"/>
        </w:rPr>
        <w:t>—546—</w:t>
      </w:r>
    </w:p>
    <w:p>
      <w:pPr>
        <w:spacing w:line="188" w:lineRule="auto"/>
        <w:sectPr>
          <w:pgSz w:w="16830" w:h="11900"/>
          <w:pgMar w:top="1011" w:right="1389" w:bottom="400" w:left="1439" w:header="0" w:footer="0" w:gutter="0"/>
        </w:sectPr>
        <w:rPr>
          <w:rFonts w:ascii="Times New Roman" w:hAnsi="Times New Roman" w:eastAsia="Times New Roman" w:cs="Times New Roman"/>
          <w:sz w:val="37"/>
          <w:szCs w:val="37"/>
        </w:rPr>
      </w:pPr>
    </w:p>
    <w:p>
      <w:pPr>
        <w:pStyle w:val="BodyText"/>
        <w:spacing w:line="257" w:lineRule="auto"/>
        <w:rPr/>
      </w:pPr>
      <w:r/>
    </w:p>
    <w:p>
      <w:pPr>
        <w:pStyle w:val="BodyText"/>
        <w:spacing w:line="258" w:lineRule="auto"/>
        <w:rPr/>
      </w:pPr>
      <w:r/>
    </w:p>
    <w:p>
      <w:pPr>
        <w:pStyle w:val="BodyText"/>
        <w:spacing w:line="258" w:lineRule="auto"/>
        <w:rPr/>
      </w:pPr>
      <w:r/>
    </w:p>
    <w:p>
      <w:pPr>
        <w:ind w:left="15" w:right="12" w:firstLine="769"/>
        <w:spacing w:before="97" w:line="252" w:lineRule="auto"/>
        <w:rPr>
          <w:rFonts w:ascii="FangSong" w:hAnsi="FangSong" w:eastAsia="FangSong" w:cs="FangSong"/>
          <w:sz w:val="30"/>
          <w:szCs w:val="30"/>
        </w:rPr>
      </w:pPr>
      <w:r>
        <w:rPr>
          <w:rFonts w:ascii="FangSong" w:hAnsi="FangSong" w:eastAsia="FangSong" w:cs="FangSong"/>
          <w:sz w:val="30"/>
          <w:szCs w:val="30"/>
          <w:spacing w:val="20"/>
        </w:rPr>
        <w:t>(一)使用有毒物品作业场所未设置有效通风装置的，或者可能突然泄漏大量有毒物品或者易造</w:t>
      </w:r>
      <w:r>
        <w:rPr>
          <w:rFonts w:ascii="FangSong" w:hAnsi="FangSong" w:eastAsia="FangSong" w:cs="FangSong"/>
          <w:sz w:val="30"/>
          <w:szCs w:val="30"/>
          <w:spacing w:val="9"/>
        </w:rPr>
        <w:t xml:space="preserve"> </w:t>
      </w:r>
      <w:r>
        <w:rPr>
          <w:rFonts w:ascii="FangSong" w:hAnsi="FangSong" w:eastAsia="FangSong" w:cs="FangSong"/>
          <w:sz w:val="30"/>
          <w:szCs w:val="30"/>
          <w:spacing w:val="17"/>
        </w:rPr>
        <w:t>成急性中毒的作业场所未设置自动报警装置或者事故通</w:t>
      </w:r>
      <w:r>
        <w:rPr>
          <w:rFonts w:ascii="FangSong" w:hAnsi="FangSong" w:eastAsia="FangSong" w:cs="FangSong"/>
          <w:sz w:val="30"/>
          <w:szCs w:val="30"/>
          <w:spacing w:val="16"/>
        </w:rPr>
        <w:t>风设施的；</w:t>
      </w:r>
    </w:p>
    <w:p>
      <w:pPr>
        <w:spacing w:line="178" w:lineRule="exact"/>
        <w:rPr/>
      </w:pPr>
      <w:r/>
    </w:p>
    <w:p>
      <w:pPr>
        <w:spacing w:line="178" w:lineRule="exact"/>
        <w:sectPr>
          <w:footerReference w:type="default" r:id="rId492"/>
          <w:pgSz w:w="16830" w:h="11900"/>
          <w:pgMar w:top="1011" w:right="1446" w:bottom="1108" w:left="1434" w:header="0" w:footer="775" w:gutter="0"/>
          <w:cols w:equalWidth="0" w:num="1">
            <w:col w:w="13949" w:space="0"/>
          </w:cols>
        </w:sectPr>
        <w:rPr/>
      </w:pPr>
    </w:p>
    <w:p>
      <w:pPr>
        <w:spacing w:before="60" w:line="227" w:lineRule="auto"/>
        <w:jc w:val="right"/>
        <w:rPr>
          <w:rFonts w:ascii="FangSong" w:hAnsi="FangSong" w:eastAsia="FangSong" w:cs="FangSong"/>
          <w:sz w:val="30"/>
          <w:szCs w:val="30"/>
        </w:rPr>
      </w:pPr>
      <w:r>
        <w:rPr>
          <w:rFonts w:ascii="FangSong" w:hAnsi="FangSong" w:eastAsia="FangSong" w:cs="FangSong"/>
          <w:sz w:val="30"/>
          <w:szCs w:val="30"/>
          <w:spacing w:val="5"/>
        </w:rPr>
        <w:t>3.</w:t>
      </w:r>
    </w:p>
    <w:p>
      <w:pPr>
        <w:pStyle w:val="BodyText"/>
        <w:spacing w:line="14" w:lineRule="auto"/>
        <w:rPr>
          <w:sz w:val="2"/>
        </w:rPr>
      </w:pPr>
      <w:r>
        <w:rPr>
          <w:sz w:val="2"/>
          <w:szCs w:val="2"/>
        </w:rPr>
        <w:br w:type="column"/>
      </w:r>
    </w:p>
    <w:p>
      <w:pPr>
        <w:spacing w:before="60" w:line="220" w:lineRule="auto"/>
        <w:rPr>
          <w:rFonts w:ascii="FangSong" w:hAnsi="FangSong" w:eastAsia="FangSong" w:cs="FangSong"/>
          <w:sz w:val="30"/>
          <w:szCs w:val="30"/>
        </w:rPr>
      </w:pPr>
      <w:r>
        <w:rPr>
          <w:rFonts w:ascii="FangSong" w:hAnsi="FangSong" w:eastAsia="FangSong" w:cs="FangSong"/>
          <w:sz w:val="30"/>
          <w:szCs w:val="30"/>
          <w:spacing w:val="24"/>
        </w:rPr>
        <w:t>《工作场所职业卫生管理规定》第五十条第(二)项</w:t>
      </w:r>
    </w:p>
    <w:p>
      <w:pPr>
        <w:pStyle w:val="BodyText"/>
        <w:spacing w:line="14" w:lineRule="auto"/>
        <w:rPr>
          <w:sz w:val="2"/>
        </w:rPr>
      </w:pPr>
      <w:r>
        <w:rPr>
          <w:sz w:val="2"/>
          <w:szCs w:val="2"/>
        </w:rPr>
        <w:br w:type="column"/>
      </w:r>
    </w:p>
    <w:p>
      <w:pPr>
        <w:spacing w:before="59" w:line="221" w:lineRule="auto"/>
        <w:jc w:val="right"/>
        <w:rPr>
          <w:rFonts w:ascii="FangSong" w:hAnsi="FangSong" w:eastAsia="FangSong" w:cs="FangSong"/>
          <w:sz w:val="30"/>
          <w:szCs w:val="30"/>
        </w:rPr>
      </w:pPr>
      <w:r>
        <w:rPr>
          <w:rFonts w:ascii="FangSong" w:hAnsi="FangSong" w:eastAsia="FangSong" w:cs="FangSong"/>
          <w:sz w:val="30"/>
          <w:szCs w:val="30"/>
          <w:spacing w:val="17"/>
        </w:rPr>
        <w:t>用人单位有下列情形之一的，责令限期</w:t>
      </w:r>
    </w:p>
    <w:p>
      <w:pPr>
        <w:spacing w:line="221" w:lineRule="auto"/>
        <w:sectPr>
          <w:type w:val="continuous"/>
          <w:pgSz w:w="16830" w:h="11900"/>
          <w:pgMar w:top="1011" w:right="1446" w:bottom="1108" w:left="1434" w:header="0" w:footer="775" w:gutter="0"/>
          <w:cols w:equalWidth="0" w:num="3">
            <w:col w:w="976" w:space="39"/>
            <w:col w:w="7430" w:space="100"/>
            <w:col w:w="5404" w:space="0"/>
          </w:cols>
        </w:sectPr>
        <w:rPr>
          <w:rFonts w:ascii="FangSong" w:hAnsi="FangSong" w:eastAsia="FangSong" w:cs="FangSong"/>
          <w:sz w:val="30"/>
          <w:szCs w:val="30"/>
        </w:rPr>
      </w:pPr>
    </w:p>
    <w:p>
      <w:pPr>
        <w:ind w:left="15" w:right="15"/>
        <w:spacing w:before="64" w:line="263" w:lineRule="auto"/>
        <w:rPr>
          <w:rFonts w:ascii="FangSong" w:hAnsi="FangSong" w:eastAsia="FangSong" w:cs="FangSong"/>
          <w:sz w:val="30"/>
          <w:szCs w:val="30"/>
        </w:rPr>
      </w:pPr>
      <w:r>
        <w:rPr>
          <w:rFonts w:ascii="FangSong" w:hAnsi="FangSong" w:eastAsia="FangSong" w:cs="FangSong"/>
          <w:sz w:val="30"/>
          <w:szCs w:val="30"/>
          <w:spacing w:val="16"/>
        </w:rPr>
        <w:t>改正，给予警告；逾期未改正的，处五万元以上二十万元以下的罚款；情节严重的，责令停止产生职</w:t>
      </w:r>
      <w:r>
        <w:rPr>
          <w:rFonts w:ascii="FangSong" w:hAnsi="FangSong" w:eastAsia="FangSong" w:cs="FangSong"/>
          <w:sz w:val="30"/>
          <w:szCs w:val="30"/>
          <w:spacing w:val="12"/>
        </w:rPr>
        <w:t xml:space="preserve"> </w:t>
      </w:r>
      <w:r>
        <w:rPr>
          <w:rFonts w:ascii="FangSong" w:hAnsi="FangSong" w:eastAsia="FangSong" w:cs="FangSong"/>
          <w:sz w:val="30"/>
          <w:szCs w:val="30"/>
          <w:spacing w:val="17"/>
        </w:rPr>
        <w:t>业病危害的作业，或者提请有关人民政府按照国务院规定的权限责令</w:t>
      </w:r>
      <w:r>
        <w:rPr>
          <w:rFonts w:ascii="FangSong" w:hAnsi="FangSong" w:eastAsia="FangSong" w:cs="FangSong"/>
          <w:sz w:val="30"/>
          <w:szCs w:val="30"/>
          <w:spacing w:val="16"/>
        </w:rPr>
        <w:t>关闭：</w:t>
      </w:r>
    </w:p>
    <w:p>
      <w:pPr>
        <w:ind w:left="15" w:right="4" w:firstLine="779"/>
        <w:spacing w:before="16" w:line="276" w:lineRule="auto"/>
        <w:rPr>
          <w:rFonts w:ascii="FangSong" w:hAnsi="FangSong" w:eastAsia="FangSong" w:cs="FangSong"/>
          <w:sz w:val="30"/>
          <w:szCs w:val="30"/>
        </w:rPr>
      </w:pPr>
      <w:r>
        <w:rPr>
          <w:rFonts w:ascii="FangSong" w:hAnsi="FangSong" w:eastAsia="FangSong" w:cs="FangSong"/>
          <w:sz w:val="30"/>
          <w:szCs w:val="30"/>
          <w:spacing w:val="20"/>
        </w:rPr>
        <w:t>(二)未提供职业病防护设施和劳动者使用的职业病防护用品，或者提供的职业病防护设施和劳</w:t>
      </w:r>
      <w:r>
        <w:rPr>
          <w:rFonts w:ascii="FangSong" w:hAnsi="FangSong" w:eastAsia="FangSong" w:cs="FangSong"/>
          <w:sz w:val="30"/>
          <w:szCs w:val="30"/>
          <w:spacing w:val="8"/>
        </w:rPr>
        <w:t xml:space="preserve"> </w:t>
      </w:r>
      <w:r>
        <w:rPr>
          <w:rFonts w:ascii="FangSong" w:hAnsi="FangSong" w:eastAsia="FangSong" w:cs="FangSong"/>
          <w:sz w:val="30"/>
          <w:szCs w:val="30"/>
          <w:spacing w:val="17"/>
        </w:rPr>
        <w:t>动者使用的职业病防护用品不符合国家职业卫生标准和卫生要求</w:t>
      </w:r>
      <w:r>
        <w:rPr>
          <w:rFonts w:ascii="FangSong" w:hAnsi="FangSong" w:eastAsia="FangSong" w:cs="FangSong"/>
          <w:sz w:val="30"/>
          <w:szCs w:val="30"/>
          <w:spacing w:val="16"/>
        </w:rPr>
        <w:t>的。</w:t>
      </w:r>
    </w:p>
    <w:p>
      <w:pPr>
        <w:ind w:left="6419"/>
        <w:spacing w:before="132"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24"/>
        <w:gridCol w:w="8664"/>
        <w:gridCol w:w="3712"/>
      </w:tblGrid>
      <w:tr>
        <w:trPr>
          <w:trHeight w:val="589" w:hRule="atLeast"/>
        </w:trPr>
        <w:tc>
          <w:tcPr>
            <w:tcW w:w="1524" w:type="dxa"/>
            <w:vAlign w:val="top"/>
            <w:tcBorders>
              <w:bottom w:val="single" w:color="000000" w:sz="2" w:space="0"/>
              <w:top w:val="single" w:color="000000" w:sz="2" w:space="0"/>
            </w:tcBorders>
          </w:tcPr>
          <w:p>
            <w:pPr>
              <w:pStyle w:val="TableText"/>
              <w:ind w:left="258"/>
              <w:spacing w:before="177" w:line="220" w:lineRule="auto"/>
              <w:rPr>
                <w:sz w:val="25"/>
                <w:szCs w:val="25"/>
              </w:rPr>
            </w:pPr>
            <w:r>
              <w:rPr>
                <w:sz w:val="25"/>
                <w:szCs w:val="25"/>
                <w:b/>
                <w:bCs/>
                <w:spacing w:val="-5"/>
              </w:rPr>
              <w:t>违法程度</w:t>
            </w:r>
          </w:p>
        </w:tc>
        <w:tc>
          <w:tcPr>
            <w:tcW w:w="8664" w:type="dxa"/>
            <w:vAlign w:val="top"/>
            <w:tcBorders>
              <w:bottom w:val="single" w:color="000000" w:sz="2" w:space="0"/>
              <w:top w:val="single" w:color="000000" w:sz="2" w:space="0"/>
            </w:tcBorders>
          </w:tcPr>
          <w:p>
            <w:pPr>
              <w:pStyle w:val="TableText"/>
              <w:ind w:left="3824"/>
              <w:spacing w:before="177" w:line="220" w:lineRule="auto"/>
              <w:rPr>
                <w:sz w:val="25"/>
                <w:szCs w:val="25"/>
              </w:rPr>
            </w:pPr>
            <w:r>
              <w:rPr>
                <w:sz w:val="25"/>
                <w:szCs w:val="25"/>
                <w:b/>
                <w:bCs/>
                <w:spacing w:val="-5"/>
              </w:rPr>
              <w:t>情节后果</w:t>
            </w:r>
          </w:p>
        </w:tc>
        <w:tc>
          <w:tcPr>
            <w:tcW w:w="3712" w:type="dxa"/>
            <w:vAlign w:val="top"/>
            <w:tcBorders>
              <w:bottom w:val="single" w:color="000000" w:sz="2" w:space="0"/>
              <w:top w:val="single" w:color="000000" w:sz="2" w:space="0"/>
            </w:tcBorders>
          </w:tcPr>
          <w:p>
            <w:pPr>
              <w:pStyle w:val="TableText"/>
              <w:ind w:left="1290"/>
              <w:spacing w:before="174" w:line="218" w:lineRule="auto"/>
              <w:rPr>
                <w:sz w:val="25"/>
                <w:szCs w:val="25"/>
              </w:rPr>
            </w:pPr>
            <w:r>
              <w:rPr>
                <w:sz w:val="25"/>
                <w:szCs w:val="25"/>
                <w:b/>
                <w:bCs/>
                <w:spacing w:val="-5"/>
              </w:rPr>
              <w:t>裁量幅度</w:t>
            </w:r>
          </w:p>
        </w:tc>
      </w:tr>
      <w:tr>
        <w:trPr>
          <w:trHeight w:val="713" w:hRule="atLeast"/>
        </w:trPr>
        <w:tc>
          <w:tcPr>
            <w:tcW w:w="1524" w:type="dxa"/>
            <w:vAlign w:val="top"/>
            <w:tcBorders>
              <w:bottom w:val="single" w:color="000000" w:sz="2" w:space="0"/>
              <w:top w:val="single" w:color="000000" w:sz="2" w:space="0"/>
            </w:tcBorders>
          </w:tcPr>
          <w:p>
            <w:pPr>
              <w:pStyle w:val="TableText"/>
              <w:ind w:left="508"/>
              <w:spacing w:before="232" w:line="219" w:lineRule="auto"/>
              <w:rPr>
                <w:sz w:val="25"/>
                <w:szCs w:val="25"/>
              </w:rPr>
            </w:pPr>
            <w:r>
              <w:rPr>
                <w:sz w:val="25"/>
                <w:szCs w:val="25"/>
                <w:b/>
                <w:bCs/>
                <w:spacing w:val="-6"/>
              </w:rPr>
              <w:t>轻微</w:t>
            </w:r>
          </w:p>
        </w:tc>
        <w:tc>
          <w:tcPr>
            <w:tcW w:w="8664" w:type="dxa"/>
            <w:vAlign w:val="top"/>
            <w:tcBorders>
              <w:bottom w:val="single" w:color="000000" w:sz="2" w:space="0"/>
              <w:top w:val="single" w:color="000000" w:sz="2" w:space="0"/>
            </w:tcBorders>
          </w:tcPr>
          <w:p>
            <w:pPr>
              <w:pStyle w:val="TableText"/>
              <w:ind w:left="90" w:hanging="80"/>
              <w:spacing w:before="114" w:line="217" w:lineRule="auto"/>
              <w:rPr>
                <w:sz w:val="25"/>
                <w:szCs w:val="25"/>
              </w:rPr>
            </w:pPr>
            <w:r>
              <w:rPr>
                <w:sz w:val="25"/>
                <w:szCs w:val="25"/>
                <w:spacing w:val="-3"/>
              </w:rPr>
              <w:t>未提供职业病防护设施和个人使用的职业病防护用品，或者提供的职业病</w:t>
            </w:r>
            <w:r>
              <w:rPr>
                <w:sz w:val="25"/>
                <w:szCs w:val="25"/>
                <w:spacing w:val="-4"/>
              </w:rPr>
              <w:t>防护设</w:t>
            </w:r>
            <w:r>
              <w:rPr>
                <w:sz w:val="25"/>
                <w:szCs w:val="25"/>
              </w:rPr>
              <w:t xml:space="preserve"> </w:t>
            </w:r>
            <w:r>
              <w:rPr>
                <w:sz w:val="25"/>
                <w:szCs w:val="25"/>
              </w:rPr>
              <w:t>施和个人使用的职业病防护用品不符合国家职业卫生标准和卫生要求的</w:t>
            </w:r>
          </w:p>
        </w:tc>
        <w:tc>
          <w:tcPr>
            <w:tcW w:w="3712" w:type="dxa"/>
            <w:vAlign w:val="top"/>
            <w:tcBorders>
              <w:bottom w:val="single" w:color="000000" w:sz="2" w:space="0"/>
              <w:top w:val="single" w:color="000000" w:sz="2" w:space="0"/>
            </w:tcBorders>
          </w:tcPr>
          <w:p>
            <w:pPr>
              <w:pStyle w:val="TableText"/>
              <w:ind w:left="106"/>
              <w:spacing w:before="233" w:line="218" w:lineRule="auto"/>
              <w:rPr>
                <w:sz w:val="25"/>
                <w:szCs w:val="25"/>
              </w:rPr>
            </w:pPr>
            <w:r>
              <w:rPr>
                <w:sz w:val="25"/>
                <w:szCs w:val="25"/>
                <w:spacing w:val="1"/>
              </w:rPr>
              <w:t>给予警告，责令限期改正</w:t>
            </w:r>
          </w:p>
        </w:tc>
      </w:tr>
      <w:tr>
        <w:trPr>
          <w:trHeight w:val="2256" w:hRule="atLeast"/>
        </w:trPr>
        <w:tc>
          <w:tcPr>
            <w:tcW w:w="1524" w:type="dxa"/>
            <w:vAlign w:val="top"/>
            <w:tcBorders>
              <w:bottom w:val="single" w:color="000000" w:sz="2" w:space="0"/>
              <w:top w:val="single" w:color="000000" w:sz="2" w:space="0"/>
            </w:tcBorders>
          </w:tcPr>
          <w:p>
            <w:pPr>
              <w:spacing w:line="306" w:lineRule="auto"/>
              <w:rPr>
                <w:rFonts w:ascii="Arial"/>
                <w:sz w:val="21"/>
              </w:rPr>
            </w:pPr>
            <w:r/>
          </w:p>
          <w:p>
            <w:pPr>
              <w:spacing w:line="306" w:lineRule="auto"/>
              <w:rPr>
                <w:rFonts w:ascii="Arial"/>
                <w:sz w:val="21"/>
              </w:rPr>
            </w:pPr>
            <w:r/>
          </w:p>
          <w:p>
            <w:pPr>
              <w:spacing w:line="306" w:lineRule="auto"/>
              <w:rPr>
                <w:rFonts w:ascii="Arial"/>
                <w:sz w:val="21"/>
              </w:rPr>
            </w:pPr>
            <w:r/>
          </w:p>
          <w:p>
            <w:pPr>
              <w:pStyle w:val="TableText"/>
              <w:ind w:left="508"/>
              <w:spacing w:before="81" w:line="221" w:lineRule="auto"/>
              <w:rPr>
                <w:sz w:val="25"/>
                <w:szCs w:val="25"/>
              </w:rPr>
            </w:pPr>
            <w:r>
              <w:rPr>
                <w:sz w:val="25"/>
                <w:szCs w:val="25"/>
                <w:b/>
                <w:bCs/>
                <w:spacing w:val="-10"/>
              </w:rPr>
              <w:t>一般</w:t>
            </w:r>
          </w:p>
        </w:tc>
        <w:tc>
          <w:tcPr>
            <w:tcW w:w="8664" w:type="dxa"/>
            <w:vAlign w:val="top"/>
            <w:tcBorders>
              <w:bottom w:val="single" w:color="000000" w:sz="2" w:space="0"/>
              <w:top w:val="single" w:color="000000" w:sz="2" w:space="0"/>
            </w:tcBorders>
          </w:tcPr>
          <w:p>
            <w:pPr>
              <w:pStyle w:val="TableText"/>
              <w:ind w:left="100" w:firstLine="10"/>
              <w:spacing w:before="67" w:line="241" w:lineRule="auto"/>
              <w:jc w:val="both"/>
              <w:rPr>
                <w:sz w:val="25"/>
                <w:szCs w:val="25"/>
              </w:rPr>
            </w:pPr>
            <w:r>
              <w:rPr>
                <w:sz w:val="25"/>
                <w:szCs w:val="25"/>
                <w:spacing w:val="-6"/>
              </w:rPr>
              <w:t>未提供职业病防护设施和个人使用的职业病防护用品，或者提供的职业病防护设</w:t>
            </w:r>
            <w:r>
              <w:rPr>
                <w:sz w:val="25"/>
                <w:szCs w:val="25"/>
              </w:rPr>
              <w:t xml:space="preserve"> </w:t>
            </w:r>
            <w:r>
              <w:rPr>
                <w:sz w:val="25"/>
                <w:szCs w:val="25"/>
                <w:spacing w:val="-6"/>
              </w:rPr>
              <w:t>施和个人使用的职业病防护用品不符合国家职业卫生标准和卫生要求，经责令限</w:t>
            </w:r>
            <w:r>
              <w:rPr>
                <w:sz w:val="25"/>
                <w:szCs w:val="25"/>
                <w:spacing w:val="12"/>
              </w:rPr>
              <w:t xml:space="preserve"> </w:t>
            </w:r>
            <w:r>
              <w:rPr>
                <w:sz w:val="25"/>
                <w:szCs w:val="25"/>
              </w:rPr>
              <w:t>期改正，逾期不改正，仍存在以下违法情形之一的：</w:t>
            </w:r>
          </w:p>
          <w:p>
            <w:pPr>
              <w:pStyle w:val="TableText"/>
              <w:ind w:left="120" w:hanging="20"/>
              <w:spacing w:before="1" w:line="232" w:lineRule="auto"/>
              <w:rPr>
                <w:sz w:val="25"/>
                <w:szCs w:val="25"/>
              </w:rPr>
            </w:pPr>
            <w:r>
              <w:rPr>
                <w:sz w:val="25"/>
                <w:szCs w:val="25"/>
                <w:spacing w:val="-6"/>
              </w:rPr>
              <w:t>A.用人单位未提供职业病防护设施或者提供的职业病防护设施不符合国家职业卫</w:t>
            </w:r>
            <w:r>
              <w:rPr>
                <w:sz w:val="25"/>
                <w:szCs w:val="25"/>
                <w:spacing w:val="18"/>
              </w:rPr>
              <w:t xml:space="preserve"> </w:t>
            </w:r>
            <w:r>
              <w:rPr>
                <w:sz w:val="25"/>
                <w:szCs w:val="25"/>
              </w:rPr>
              <w:t>生标准和卫生要求，涉及职业病防护设施1处的</w:t>
            </w:r>
          </w:p>
          <w:p>
            <w:pPr>
              <w:pStyle w:val="TableText"/>
              <w:ind w:left="100" w:hanging="9"/>
              <w:spacing w:before="1" w:line="210" w:lineRule="auto"/>
              <w:rPr>
                <w:sz w:val="25"/>
                <w:szCs w:val="25"/>
              </w:rPr>
            </w:pPr>
            <w:r>
              <w:rPr>
                <w:sz w:val="25"/>
                <w:szCs w:val="25"/>
                <w:spacing w:val="-5"/>
              </w:rPr>
              <w:t>B.用人单位未提供个人使用的职业病防护用品或个人使用的</w:t>
            </w:r>
            <w:r>
              <w:rPr>
                <w:sz w:val="25"/>
                <w:szCs w:val="25"/>
                <w:spacing w:val="-6"/>
              </w:rPr>
              <w:t>职业病防护用品不符</w:t>
            </w:r>
            <w:r>
              <w:rPr>
                <w:sz w:val="25"/>
                <w:szCs w:val="25"/>
              </w:rPr>
              <w:t xml:space="preserve"> </w:t>
            </w:r>
            <w:r>
              <w:rPr>
                <w:sz w:val="25"/>
                <w:szCs w:val="25"/>
              </w:rPr>
              <w:t>合国家职业卫生标准和卫生要求，涉及劳动者5人以下的</w:t>
            </w:r>
          </w:p>
        </w:tc>
        <w:tc>
          <w:tcPr>
            <w:tcW w:w="3712" w:type="dxa"/>
            <w:vAlign w:val="top"/>
            <w:tcBorders>
              <w:bottom w:val="single" w:color="000000" w:sz="2" w:space="0"/>
              <w:top w:val="single" w:color="000000" w:sz="2" w:space="0"/>
            </w:tcBorders>
          </w:tcPr>
          <w:p>
            <w:pPr>
              <w:spacing w:line="307" w:lineRule="auto"/>
              <w:rPr>
                <w:rFonts w:ascii="Arial"/>
                <w:sz w:val="21"/>
              </w:rPr>
            </w:pPr>
            <w:r/>
          </w:p>
          <w:p>
            <w:pPr>
              <w:spacing w:line="307" w:lineRule="auto"/>
              <w:rPr>
                <w:rFonts w:ascii="Arial"/>
                <w:sz w:val="21"/>
              </w:rPr>
            </w:pPr>
            <w:r/>
          </w:p>
          <w:p>
            <w:pPr>
              <w:spacing w:line="307" w:lineRule="auto"/>
              <w:rPr>
                <w:rFonts w:ascii="Arial"/>
                <w:sz w:val="21"/>
              </w:rPr>
            </w:pPr>
            <w:r/>
          </w:p>
          <w:p>
            <w:pPr>
              <w:pStyle w:val="TableText"/>
              <w:ind w:left="106"/>
              <w:spacing w:before="81" w:line="220" w:lineRule="auto"/>
              <w:rPr>
                <w:sz w:val="25"/>
                <w:szCs w:val="25"/>
              </w:rPr>
            </w:pPr>
            <w:r>
              <w:rPr>
                <w:sz w:val="25"/>
                <w:szCs w:val="25"/>
              </w:rPr>
              <w:t>处五万元以上十万元以下的罚款</w:t>
            </w:r>
          </w:p>
        </w:tc>
      </w:tr>
    </w:tbl>
    <w:p>
      <w:pPr>
        <w:pStyle w:val="BodyText"/>
        <w:spacing w:line="14" w:lineRule="auto"/>
        <w:rPr>
          <w:sz w:val="2"/>
        </w:rPr>
      </w:pPr>
      <w:r/>
    </w:p>
    <w:p>
      <w:pPr>
        <w:spacing w:line="14" w:lineRule="auto"/>
        <w:sectPr>
          <w:type w:val="continuous"/>
          <w:pgSz w:w="16830" w:h="11900"/>
          <w:pgMar w:top="1011" w:right="1446" w:bottom="1108" w:left="1434" w:header="0" w:footer="775" w:gutter="0"/>
          <w:cols w:equalWidth="0" w:num="1">
            <w:col w:w="13949" w:space="0"/>
          </w:cols>
        </w:sectPr>
        <w:rPr>
          <w:sz w:val="2"/>
          <w:szCs w:val="2"/>
        </w:rPr>
      </w:pPr>
    </w:p>
    <w:p>
      <w:pPr>
        <w:spacing w:before="20"/>
        <w:rPr/>
      </w:pPr>
      <w:r/>
    </w:p>
    <w:p>
      <w:pPr>
        <w:spacing w:before="20"/>
        <w:rPr/>
      </w:pPr>
      <w:r/>
    </w:p>
    <w:p>
      <w:pPr>
        <w:spacing w:before="19"/>
        <w:rPr/>
      </w:pPr>
      <w:r/>
    </w:p>
    <w:tbl>
      <w:tblPr>
        <w:tblStyle w:val="TableNormal"/>
        <w:tblW w:w="139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24"/>
        <w:gridCol w:w="8663"/>
        <w:gridCol w:w="3722"/>
      </w:tblGrid>
      <w:tr>
        <w:trPr>
          <w:trHeight w:val="2301" w:hRule="atLeast"/>
        </w:trPr>
        <w:tc>
          <w:tcPr>
            <w:tcW w:w="1524" w:type="dxa"/>
            <w:vAlign w:val="top"/>
          </w:tcPr>
          <w:p>
            <w:pPr>
              <w:spacing w:line="315" w:lineRule="auto"/>
              <w:rPr>
                <w:rFonts w:ascii="Arial"/>
                <w:sz w:val="21"/>
              </w:rPr>
            </w:pPr>
            <w:r/>
          </w:p>
          <w:p>
            <w:pPr>
              <w:spacing w:line="316" w:lineRule="auto"/>
              <w:rPr>
                <w:rFonts w:ascii="Arial"/>
                <w:sz w:val="21"/>
              </w:rPr>
            </w:pPr>
            <w:r/>
          </w:p>
          <w:p>
            <w:pPr>
              <w:spacing w:line="316" w:lineRule="auto"/>
              <w:rPr>
                <w:rFonts w:ascii="Arial"/>
                <w:sz w:val="21"/>
              </w:rPr>
            </w:pPr>
            <w:r/>
          </w:p>
          <w:p>
            <w:pPr>
              <w:pStyle w:val="TableText"/>
              <w:ind w:left="508"/>
              <w:spacing w:before="82" w:line="221" w:lineRule="auto"/>
              <w:rPr>
                <w:sz w:val="25"/>
                <w:szCs w:val="25"/>
              </w:rPr>
            </w:pPr>
            <w:bookmarkStart w:name="bookmark1133" w:id="508"/>
            <w:bookmarkEnd w:id="508"/>
            <w:r>
              <w:rPr>
                <w:sz w:val="25"/>
                <w:szCs w:val="25"/>
                <w:b/>
                <w:bCs/>
                <w:spacing w:val="-6"/>
              </w:rPr>
              <w:t>较重</w:t>
            </w:r>
          </w:p>
        </w:tc>
        <w:tc>
          <w:tcPr>
            <w:tcW w:w="8663" w:type="dxa"/>
            <w:vAlign w:val="top"/>
          </w:tcPr>
          <w:p>
            <w:pPr>
              <w:pStyle w:val="TableText"/>
              <w:ind w:left="100" w:firstLine="10"/>
              <w:spacing w:before="65" w:line="234" w:lineRule="auto"/>
              <w:jc w:val="both"/>
              <w:rPr>
                <w:sz w:val="25"/>
                <w:szCs w:val="25"/>
              </w:rPr>
            </w:pPr>
            <w:r>
              <w:rPr>
                <w:sz w:val="25"/>
                <w:szCs w:val="25"/>
                <w:spacing w:val="-6"/>
              </w:rPr>
              <w:t>未提供职业病防护设施和个人使用的职业病防护用品，或者提供的职业病防</w:t>
            </w:r>
            <w:r>
              <w:rPr>
                <w:sz w:val="25"/>
                <w:szCs w:val="25"/>
                <w:spacing w:val="-7"/>
              </w:rPr>
              <w:t>护设</w:t>
            </w:r>
            <w:r>
              <w:rPr>
                <w:sz w:val="25"/>
                <w:szCs w:val="25"/>
              </w:rPr>
              <w:t xml:space="preserve"> </w:t>
            </w:r>
            <w:r>
              <w:rPr>
                <w:sz w:val="25"/>
                <w:szCs w:val="25"/>
                <w:spacing w:val="-6"/>
              </w:rPr>
              <w:t>施和个人使用的职业病防护用品不符合国家职业卫生标准和卫生要求，经责令限</w:t>
            </w:r>
            <w:r>
              <w:rPr>
                <w:sz w:val="25"/>
                <w:szCs w:val="25"/>
                <w:spacing w:val="11"/>
              </w:rPr>
              <w:t xml:space="preserve"> </w:t>
            </w:r>
            <w:r>
              <w:rPr>
                <w:sz w:val="25"/>
                <w:szCs w:val="25"/>
              </w:rPr>
              <w:t>期改正，逾期不改正，仍存在以下违法情形之一的：</w:t>
            </w:r>
          </w:p>
          <w:p>
            <w:pPr>
              <w:pStyle w:val="TableText"/>
              <w:ind w:left="100"/>
              <w:spacing w:before="28" w:line="225" w:lineRule="auto"/>
              <w:rPr>
                <w:sz w:val="25"/>
                <w:szCs w:val="25"/>
              </w:rPr>
            </w:pPr>
            <w:r>
              <w:rPr>
                <w:sz w:val="25"/>
                <w:szCs w:val="25"/>
                <w:spacing w:val="-6"/>
              </w:rPr>
              <w:t>A.用人单位未提供职业病防护设施或者提供的职业病防护设施不符合国家职业卫</w:t>
            </w:r>
            <w:r>
              <w:rPr>
                <w:sz w:val="25"/>
                <w:szCs w:val="25"/>
                <w:spacing w:val="17"/>
              </w:rPr>
              <w:t xml:space="preserve"> </w:t>
            </w:r>
            <w:r>
              <w:rPr>
                <w:sz w:val="25"/>
                <w:szCs w:val="25"/>
              </w:rPr>
              <w:t>生标准和卫生要求，涉及职业病防护设施2处的</w:t>
            </w:r>
          </w:p>
          <w:p>
            <w:pPr>
              <w:pStyle w:val="TableText"/>
              <w:ind w:left="100" w:hanging="9"/>
              <w:spacing w:before="29" w:line="221" w:lineRule="auto"/>
              <w:rPr>
                <w:sz w:val="25"/>
                <w:szCs w:val="25"/>
              </w:rPr>
            </w:pPr>
            <w:r>
              <w:rPr>
                <w:sz w:val="25"/>
                <w:szCs w:val="25"/>
                <w:spacing w:val="-5"/>
              </w:rPr>
              <w:t>B.用人单位未提供个人使用的职业病防护用品或个人使用</w:t>
            </w:r>
            <w:r>
              <w:rPr>
                <w:sz w:val="25"/>
                <w:szCs w:val="25"/>
                <w:spacing w:val="-6"/>
              </w:rPr>
              <w:t>的职业病防护用品不符</w:t>
            </w:r>
            <w:r>
              <w:rPr>
                <w:sz w:val="25"/>
                <w:szCs w:val="25"/>
              </w:rPr>
              <w:t xml:space="preserve"> </w:t>
            </w:r>
            <w:r>
              <w:rPr>
                <w:sz w:val="25"/>
                <w:szCs w:val="25"/>
              </w:rPr>
              <w:t>合国家职业卫生标准和卫生要求，涉及劳动者6-10人的</w:t>
            </w:r>
          </w:p>
        </w:tc>
        <w:tc>
          <w:tcPr>
            <w:tcW w:w="3722"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18" w:right="63"/>
              <w:spacing w:before="81"/>
              <w:rPr>
                <w:sz w:val="25"/>
                <w:szCs w:val="25"/>
              </w:rPr>
            </w:pPr>
            <w:r>
              <w:rPr>
                <w:sz w:val="25"/>
                <w:szCs w:val="25"/>
                <w:spacing w:val="2"/>
              </w:rPr>
              <w:t>处十万元以上二十万元以下的罚</w:t>
            </w:r>
            <w:r>
              <w:rPr>
                <w:sz w:val="25"/>
                <w:szCs w:val="25"/>
                <w:spacing w:val="1"/>
              </w:rPr>
              <w:t xml:space="preserve"> </w:t>
            </w:r>
            <w:r>
              <w:rPr>
                <w:sz w:val="25"/>
                <w:szCs w:val="25"/>
              </w:rPr>
              <w:t>款</w:t>
            </w:r>
          </w:p>
        </w:tc>
      </w:tr>
      <w:tr>
        <w:trPr>
          <w:trHeight w:val="2979" w:hRule="atLeast"/>
        </w:trPr>
        <w:tc>
          <w:tcPr>
            <w:tcW w:w="1524"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508"/>
              <w:spacing w:before="81" w:line="220" w:lineRule="auto"/>
              <w:rPr>
                <w:sz w:val="25"/>
                <w:szCs w:val="25"/>
              </w:rPr>
            </w:pPr>
            <w:r>
              <w:rPr>
                <w:sz w:val="25"/>
                <w:szCs w:val="25"/>
                <w:b/>
                <w:bCs/>
                <w:spacing w:val="-6"/>
              </w:rPr>
              <w:t>严重</w:t>
            </w:r>
          </w:p>
        </w:tc>
        <w:tc>
          <w:tcPr>
            <w:tcW w:w="8663" w:type="dxa"/>
            <w:vAlign w:val="top"/>
          </w:tcPr>
          <w:p>
            <w:pPr>
              <w:pStyle w:val="TableText"/>
              <w:ind w:left="100" w:firstLine="10"/>
              <w:spacing w:before="104" w:line="234" w:lineRule="auto"/>
              <w:jc w:val="both"/>
              <w:rPr>
                <w:sz w:val="25"/>
                <w:szCs w:val="25"/>
              </w:rPr>
            </w:pPr>
            <w:r>
              <w:rPr>
                <w:sz w:val="25"/>
                <w:szCs w:val="25"/>
                <w:spacing w:val="-6"/>
              </w:rPr>
              <w:t>未提供职业病防护设施和个人使用的职业病防护用品，或者提供的职业病防</w:t>
            </w:r>
            <w:r>
              <w:rPr>
                <w:sz w:val="25"/>
                <w:szCs w:val="25"/>
                <w:spacing w:val="-7"/>
              </w:rPr>
              <w:t>护设</w:t>
            </w:r>
            <w:r>
              <w:rPr>
                <w:sz w:val="25"/>
                <w:szCs w:val="25"/>
              </w:rPr>
              <w:t xml:space="preserve"> </w:t>
            </w:r>
            <w:r>
              <w:rPr>
                <w:sz w:val="25"/>
                <w:szCs w:val="25"/>
                <w:spacing w:val="-6"/>
              </w:rPr>
              <w:t>施和个人使用的职业病防护用品不符合国家职业卫生标准和卫生要求，经责令限</w:t>
            </w:r>
            <w:r>
              <w:rPr>
                <w:sz w:val="25"/>
                <w:szCs w:val="25"/>
                <w:spacing w:val="11"/>
              </w:rPr>
              <w:t xml:space="preserve"> </w:t>
            </w:r>
            <w:r>
              <w:rPr>
                <w:sz w:val="25"/>
                <w:szCs w:val="25"/>
                <w:spacing w:val="-1"/>
              </w:rPr>
              <w:t>期改正，逾期不改正，仍存在以下违法情形的：</w:t>
            </w:r>
          </w:p>
          <w:p>
            <w:pPr>
              <w:pStyle w:val="TableText"/>
              <w:ind w:left="110" w:hanging="10"/>
              <w:spacing w:before="17" w:line="229" w:lineRule="auto"/>
              <w:rPr>
                <w:sz w:val="25"/>
                <w:szCs w:val="25"/>
              </w:rPr>
            </w:pPr>
            <w:r>
              <w:rPr>
                <w:sz w:val="25"/>
                <w:szCs w:val="25"/>
                <w:spacing w:val="-6"/>
              </w:rPr>
              <w:t>A.用人单位未提供职业病防护设施或者提供的职业病防护设施不符合国家职业卫</w:t>
            </w:r>
            <w:r>
              <w:rPr>
                <w:sz w:val="25"/>
                <w:szCs w:val="25"/>
                <w:spacing w:val="17"/>
              </w:rPr>
              <w:t xml:space="preserve"> </w:t>
            </w:r>
            <w:r>
              <w:rPr>
                <w:sz w:val="25"/>
                <w:szCs w:val="25"/>
              </w:rPr>
              <w:t>生标准和卫生要求，涉及职业病防护设施3处以上的</w:t>
            </w:r>
          </w:p>
          <w:p>
            <w:pPr>
              <w:pStyle w:val="TableText"/>
              <w:ind w:left="91"/>
              <w:spacing w:before="21" w:line="224" w:lineRule="auto"/>
              <w:rPr>
                <w:sz w:val="25"/>
                <w:szCs w:val="25"/>
              </w:rPr>
            </w:pPr>
            <w:r>
              <w:rPr>
                <w:sz w:val="25"/>
                <w:szCs w:val="25"/>
                <w:spacing w:val="-5"/>
              </w:rPr>
              <w:t>B.用人单位未提供个人使用的职业病防护用品或个人使用</w:t>
            </w:r>
            <w:r>
              <w:rPr>
                <w:sz w:val="25"/>
                <w:szCs w:val="25"/>
                <w:spacing w:val="-6"/>
              </w:rPr>
              <w:t>的职业病防护用品不符</w:t>
            </w:r>
            <w:r>
              <w:rPr>
                <w:sz w:val="25"/>
                <w:szCs w:val="25"/>
              </w:rPr>
              <w:t xml:space="preserve"> </w:t>
            </w:r>
            <w:r>
              <w:rPr>
                <w:sz w:val="25"/>
                <w:szCs w:val="25"/>
              </w:rPr>
              <w:t>合国家职业卫生标准和卫生要求，涉及劳动者11人以上的</w:t>
            </w:r>
          </w:p>
          <w:p>
            <w:pPr>
              <w:pStyle w:val="TableText"/>
              <w:ind w:left="110" w:hanging="10"/>
              <w:spacing w:before="33" w:line="227" w:lineRule="auto"/>
              <w:rPr>
                <w:sz w:val="25"/>
                <w:szCs w:val="25"/>
              </w:rPr>
            </w:pPr>
            <w:r>
              <w:rPr>
                <w:sz w:val="25"/>
                <w:szCs w:val="25"/>
                <w:spacing w:val="-6"/>
              </w:rPr>
              <w:t>C.对产生严重职业病危害的作业岗位未提供职业病防护设施或者提供的职业病防</w:t>
            </w:r>
            <w:r>
              <w:rPr>
                <w:sz w:val="25"/>
                <w:szCs w:val="25"/>
                <w:spacing w:val="17"/>
              </w:rPr>
              <w:t xml:space="preserve"> </w:t>
            </w:r>
            <w:r>
              <w:rPr>
                <w:sz w:val="25"/>
                <w:szCs w:val="25"/>
              </w:rPr>
              <w:t>护设施不符合国家职业卫生标准和卫生要求的</w:t>
            </w:r>
          </w:p>
        </w:tc>
        <w:tc>
          <w:tcPr>
            <w:tcW w:w="3722" w:type="dxa"/>
            <w:vAlign w:val="top"/>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18"/>
              <w:spacing w:before="81" w:line="219" w:lineRule="auto"/>
              <w:rPr>
                <w:sz w:val="25"/>
                <w:szCs w:val="25"/>
              </w:rPr>
            </w:pPr>
            <w:r>
              <w:rPr>
                <w:sz w:val="25"/>
                <w:szCs w:val="25"/>
                <w:spacing w:val="1"/>
              </w:rPr>
              <w:t>责令停止产生职业病危害的作</w:t>
            </w:r>
          </w:p>
          <w:p>
            <w:pPr>
              <w:pStyle w:val="TableText"/>
              <w:ind w:left="118"/>
              <w:spacing w:before="34" w:line="238" w:lineRule="auto"/>
              <w:rPr>
                <w:sz w:val="25"/>
                <w:szCs w:val="25"/>
              </w:rPr>
            </w:pPr>
            <w:r>
              <w:rPr>
                <w:sz w:val="25"/>
                <w:szCs w:val="25"/>
                <w:spacing w:val="-11"/>
              </w:rPr>
              <w:t>业，或者提请有关人民政府按照国</w:t>
            </w:r>
            <w:r>
              <w:rPr>
                <w:sz w:val="25"/>
                <w:szCs w:val="25"/>
                <w:spacing w:val="7"/>
              </w:rPr>
              <w:t xml:space="preserve"> </w:t>
            </w:r>
            <w:r>
              <w:rPr>
                <w:sz w:val="25"/>
                <w:szCs w:val="25"/>
                <w:spacing w:val="1"/>
              </w:rPr>
              <w:t>务院规定的权限责令关闭</w:t>
            </w:r>
          </w:p>
        </w:tc>
      </w:tr>
    </w:tbl>
    <w:p>
      <w:pPr>
        <w:pStyle w:val="BodyText"/>
        <w:spacing w:line="287" w:lineRule="auto"/>
        <w:rPr/>
      </w:pPr>
      <w:r/>
    </w:p>
    <w:p>
      <w:pPr>
        <w:pStyle w:val="BodyText"/>
        <w:spacing w:line="288" w:lineRule="auto"/>
        <w:rPr/>
      </w:pPr>
      <w:r/>
    </w:p>
    <w:p>
      <w:pPr>
        <w:pStyle w:val="BodyText"/>
        <w:spacing w:line="288" w:lineRule="auto"/>
        <w:rPr/>
      </w:pPr>
      <w:r/>
    </w:p>
    <w:p>
      <w:pPr>
        <w:ind w:left="19" w:right="4" w:firstLine="625"/>
        <w:spacing w:before="97" w:line="271" w:lineRule="auto"/>
        <w:rPr>
          <w:rFonts w:ascii="FangSong" w:hAnsi="FangSong" w:eastAsia="FangSong" w:cs="FangSong"/>
          <w:sz w:val="30"/>
          <w:szCs w:val="30"/>
        </w:rPr>
      </w:pPr>
      <w:r>
        <w:rPr>
          <w:rFonts w:ascii="FangSong" w:hAnsi="FangSong" w:eastAsia="FangSong" w:cs="FangSong"/>
          <w:sz w:val="30"/>
          <w:szCs w:val="30"/>
          <w:spacing w:val="21"/>
        </w:rPr>
        <w:t>第四</w:t>
      </w:r>
      <w:r>
        <w:rPr>
          <w:rFonts w:ascii="FangSong" w:hAnsi="FangSong" w:eastAsia="FangSong" w:cs="FangSong"/>
          <w:sz w:val="30"/>
          <w:szCs w:val="30"/>
          <w:b/>
          <w:bCs/>
          <w:spacing w:val="21"/>
        </w:rPr>
        <w:t>百六十三条对职业病防护设备、应急救援设施和个人使用的职业病防护用品未按照规定进</w:t>
      </w:r>
      <w:r>
        <w:rPr>
          <w:rFonts w:ascii="FangSong" w:hAnsi="FangSong" w:eastAsia="FangSong" w:cs="FangSong"/>
          <w:sz w:val="30"/>
          <w:szCs w:val="30"/>
          <w:spacing w:val="1"/>
        </w:rPr>
        <w:t xml:space="preserve"> </w:t>
      </w:r>
      <w:r>
        <w:rPr>
          <w:rFonts w:ascii="FangSong" w:hAnsi="FangSong" w:eastAsia="FangSong" w:cs="FangSong"/>
          <w:sz w:val="30"/>
          <w:szCs w:val="30"/>
          <w:b/>
          <w:bCs/>
          <w:spacing w:val="17"/>
        </w:rPr>
        <w:t>行维护、检修、检测，或者不能保持正常运行、使用状态的</w:t>
      </w:r>
    </w:p>
    <w:p>
      <w:pPr>
        <w:ind w:left="645"/>
        <w:spacing w:before="37"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spacing w:before="133" w:line="221" w:lineRule="auto"/>
        <w:jc w:val="right"/>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《中华人民共和国职业病防治法》第七十二条第(三)项</w:t>
      </w:r>
      <w:r>
        <w:rPr>
          <w:rFonts w:ascii="FangSong" w:hAnsi="FangSong" w:eastAsia="FangSong" w:cs="FangSong"/>
          <w:sz w:val="30"/>
          <w:szCs w:val="30"/>
          <w:spacing w:val="19"/>
        </w:rPr>
        <w:t xml:space="preserve">  </w:t>
      </w:r>
      <w:r>
        <w:rPr>
          <w:rFonts w:ascii="FangSong" w:hAnsi="FangSong" w:eastAsia="FangSong" w:cs="FangSong"/>
          <w:sz w:val="30"/>
          <w:szCs w:val="30"/>
          <w:spacing w:val="18"/>
        </w:rPr>
        <w:t>用人单位违反本法规定，有下列行</w:t>
      </w:r>
    </w:p>
    <w:p>
      <w:pPr>
        <w:spacing w:line="221" w:lineRule="auto"/>
        <w:sectPr>
          <w:footerReference w:type="default" r:id="rId493"/>
          <w:pgSz w:w="16830" w:h="11900"/>
          <w:pgMar w:top="1011" w:right="1458" w:bottom="1117" w:left="1434" w:header="0" w:footer="784" w:gutter="0"/>
        </w:sectPr>
        <w:rPr>
          <w:rFonts w:ascii="FangSong" w:hAnsi="FangSong" w:eastAsia="FangSong" w:cs="FangSong"/>
          <w:sz w:val="30"/>
          <w:szCs w:val="30"/>
        </w:rPr>
      </w:pPr>
    </w:p>
    <w:p>
      <w:pPr>
        <w:pStyle w:val="BodyText"/>
        <w:spacing w:line="258" w:lineRule="auto"/>
        <w:rPr/>
      </w:pPr>
      <w:r/>
    </w:p>
    <w:p>
      <w:pPr>
        <w:pStyle w:val="BodyText"/>
        <w:spacing w:line="258" w:lineRule="auto"/>
        <w:rPr/>
      </w:pPr>
      <w:r/>
    </w:p>
    <w:p>
      <w:pPr>
        <w:pStyle w:val="BodyText"/>
        <w:spacing w:line="259" w:lineRule="auto"/>
        <w:rPr/>
      </w:pPr>
      <w:r/>
    </w:p>
    <w:p>
      <w:pPr>
        <w:ind w:right="100"/>
        <w:spacing w:before="98" w:line="266" w:lineRule="auto"/>
        <w:jc w:val="both"/>
        <w:rPr>
          <w:rFonts w:ascii="FangSong" w:hAnsi="FangSong" w:eastAsia="FangSong" w:cs="FangSong"/>
          <w:sz w:val="30"/>
          <w:szCs w:val="30"/>
        </w:rPr>
      </w:pPr>
      <w:r>
        <w:rPr>
          <w:rFonts w:ascii="FangSong" w:hAnsi="FangSong" w:eastAsia="FangSong" w:cs="FangSong"/>
          <w:sz w:val="30"/>
          <w:szCs w:val="30"/>
          <w:spacing w:val="17"/>
        </w:rPr>
        <w:t>为之一</w:t>
      </w:r>
      <w:r>
        <w:rPr>
          <w:rFonts w:ascii="FangSong" w:hAnsi="FangSong" w:eastAsia="FangSong" w:cs="FangSong"/>
          <w:sz w:val="30"/>
          <w:szCs w:val="30"/>
          <w:u w:val="single" w:color="auto"/>
          <w:spacing w:val="17"/>
        </w:rPr>
        <w:t>的，由卫生行政部门给予警告，责令限期改正，逾期不改正的，处五万</w:t>
      </w:r>
      <w:r>
        <w:rPr>
          <w:rFonts w:ascii="FangSong" w:hAnsi="FangSong" w:eastAsia="FangSong" w:cs="FangSong"/>
          <w:sz w:val="30"/>
          <w:szCs w:val="30"/>
          <w:u w:val="single" w:color="auto"/>
          <w:spacing w:val="16"/>
        </w:rPr>
        <w:t>元以</w:t>
      </w:r>
      <w:r>
        <w:rPr>
          <w:rFonts w:ascii="FangSong" w:hAnsi="FangSong" w:eastAsia="FangSong" w:cs="FangSong"/>
          <w:sz w:val="30"/>
          <w:szCs w:val="30"/>
          <w:u w:val="single" w:color="auto"/>
          <w:spacing w:val="16"/>
        </w:rPr>
        <w:t>上</w:t>
      </w:r>
      <w:r>
        <w:rPr>
          <w:rFonts w:ascii="FangSong" w:hAnsi="FangSong" w:eastAsia="FangSong" w:cs="FangSong"/>
          <w:sz w:val="30"/>
          <w:szCs w:val="30"/>
          <w:spacing w:val="16"/>
        </w:rPr>
        <w:t>二十万示以下的</w:t>
      </w:r>
      <w:r>
        <w:rPr>
          <w:rFonts w:ascii="FangSong" w:hAnsi="FangSong" w:eastAsia="FangSong" w:cs="FangSong"/>
          <w:sz w:val="30"/>
          <w:szCs w:val="30"/>
        </w:rPr>
        <w:t xml:space="preserve"> </w:t>
      </w:r>
      <w:r>
        <w:rPr>
          <w:rFonts w:ascii="FangSong" w:hAnsi="FangSong" w:eastAsia="FangSong" w:cs="FangSong"/>
          <w:sz w:val="30"/>
          <w:szCs w:val="30"/>
          <w:spacing w:val="17"/>
        </w:rPr>
        <w:t>罚款；情节严重的，责令停止产生职业病危害的作业，或者</w:t>
      </w:r>
      <w:r>
        <w:rPr>
          <w:rFonts w:ascii="FangSong" w:hAnsi="FangSong" w:eastAsia="FangSong" w:cs="FangSong"/>
          <w:sz w:val="30"/>
          <w:szCs w:val="30"/>
          <w:spacing w:val="16"/>
        </w:rPr>
        <w:t>提请有关人民政府按照国务院规定的权限</w:t>
      </w:r>
      <w:r>
        <w:rPr>
          <w:rFonts w:ascii="FangSong" w:hAnsi="FangSong" w:eastAsia="FangSong" w:cs="FangSong"/>
          <w:sz w:val="30"/>
          <w:szCs w:val="30"/>
        </w:rPr>
        <w:t xml:space="preserve"> </w:t>
      </w:r>
      <w:r>
        <w:rPr>
          <w:rFonts w:ascii="FangSong" w:hAnsi="FangSong" w:eastAsia="FangSong" w:cs="FangSong"/>
          <w:sz w:val="30"/>
          <w:szCs w:val="30"/>
          <w:spacing w:val="-2"/>
        </w:rPr>
        <w:t>责令关闭：</w:t>
      </w:r>
    </w:p>
    <w:p>
      <w:pPr>
        <w:ind w:right="88" w:firstLine="779"/>
        <w:spacing w:before="2" w:line="264" w:lineRule="auto"/>
        <w:rPr>
          <w:rFonts w:ascii="FangSong" w:hAnsi="FangSong" w:eastAsia="FangSong" w:cs="FangSong"/>
          <w:sz w:val="30"/>
          <w:szCs w:val="30"/>
        </w:rPr>
      </w:pPr>
      <w:r>
        <w:rPr>
          <w:rFonts w:ascii="FangSong" w:hAnsi="FangSong" w:eastAsia="FangSong" w:cs="FangSong"/>
          <w:sz w:val="30"/>
          <w:szCs w:val="30"/>
          <w:spacing w:val="21"/>
        </w:rPr>
        <w:t>(三)对职业病防护设备、应急救援设施和个人使用的职业病防护用品</w:t>
      </w:r>
      <w:r>
        <w:rPr>
          <w:rFonts w:ascii="FangSong" w:hAnsi="FangSong" w:eastAsia="FangSong" w:cs="FangSong"/>
          <w:sz w:val="30"/>
          <w:szCs w:val="30"/>
          <w:spacing w:val="20"/>
        </w:rPr>
        <w:t>未按照规定进行维护、检</w:t>
      </w:r>
      <w:r>
        <w:rPr>
          <w:rFonts w:ascii="FangSong" w:hAnsi="FangSong" w:eastAsia="FangSong" w:cs="FangSong"/>
          <w:sz w:val="30"/>
          <w:szCs w:val="30"/>
        </w:rPr>
        <w:t xml:space="preserve"> </w:t>
      </w:r>
      <w:r>
        <w:rPr>
          <w:rFonts w:ascii="FangSong" w:hAnsi="FangSong" w:eastAsia="FangSong" w:cs="FangSong"/>
          <w:sz w:val="30"/>
          <w:szCs w:val="30"/>
          <w:spacing w:val="16"/>
        </w:rPr>
        <w:t>修、检测，或者不能保持正常运行、使用状</w:t>
      </w:r>
      <w:r>
        <w:rPr>
          <w:rFonts w:ascii="FangSong" w:hAnsi="FangSong" w:eastAsia="FangSong" w:cs="FangSong"/>
          <w:sz w:val="30"/>
          <w:szCs w:val="30"/>
          <w:spacing w:val="15"/>
        </w:rPr>
        <w:t>态的；</w:t>
      </w:r>
    </w:p>
    <w:p>
      <w:pPr>
        <w:ind w:right="92" w:firstLine="649"/>
        <w:spacing w:before="1" w:line="258" w:lineRule="auto"/>
        <w:rPr>
          <w:rFonts w:ascii="FangSong" w:hAnsi="FangSong" w:eastAsia="FangSong" w:cs="FangSong"/>
          <w:sz w:val="30"/>
          <w:szCs w:val="30"/>
        </w:rPr>
      </w:pPr>
      <w:r>
        <w:rPr>
          <w:rFonts w:ascii="FangSong" w:hAnsi="FangSong" w:eastAsia="FangSong" w:cs="FangSong"/>
          <w:sz w:val="30"/>
          <w:szCs w:val="30"/>
          <w:spacing w:val="19"/>
        </w:rPr>
        <w:t>2.</w:t>
      </w:r>
      <w:r>
        <w:rPr>
          <w:rFonts w:ascii="FangSong" w:hAnsi="FangSong" w:eastAsia="FangSong" w:cs="FangSong"/>
          <w:sz w:val="30"/>
          <w:szCs w:val="30"/>
          <w:spacing w:val="19"/>
        </w:rPr>
        <w:t xml:space="preserve"> </w:t>
      </w:r>
      <w:r>
        <w:rPr>
          <w:rFonts w:ascii="FangSong" w:hAnsi="FangSong" w:eastAsia="FangSong" w:cs="FangSong"/>
          <w:sz w:val="30"/>
          <w:szCs w:val="30"/>
          <w:spacing w:val="19"/>
        </w:rPr>
        <w:t>《使用有毒物品作业场所劳动保护条例》第五十九条第一款第(二)项</w:t>
      </w:r>
      <w:r>
        <w:rPr>
          <w:rFonts w:ascii="FangSong" w:hAnsi="FangSong" w:eastAsia="FangSong" w:cs="FangSong"/>
          <w:sz w:val="30"/>
          <w:szCs w:val="30"/>
          <w:spacing w:val="19"/>
        </w:rPr>
        <w:t xml:space="preserve">  </w:t>
      </w:r>
      <w:r>
        <w:rPr>
          <w:rFonts w:ascii="FangSong" w:hAnsi="FangSong" w:eastAsia="FangSong" w:cs="FangSong"/>
          <w:sz w:val="30"/>
          <w:szCs w:val="30"/>
          <w:spacing w:val="18"/>
        </w:rPr>
        <w:t>用人单位违反本条例</w:t>
      </w:r>
      <w:r>
        <w:rPr>
          <w:rFonts w:ascii="FangSong" w:hAnsi="FangSong" w:eastAsia="FangSong" w:cs="FangSong"/>
          <w:sz w:val="30"/>
          <w:szCs w:val="30"/>
        </w:rPr>
        <w:t xml:space="preserve"> </w:t>
      </w:r>
      <w:r>
        <w:rPr>
          <w:rFonts w:ascii="FangSong" w:hAnsi="FangSong" w:eastAsia="FangSong" w:cs="FangSong"/>
          <w:sz w:val="30"/>
          <w:szCs w:val="30"/>
          <w:spacing w:val="21"/>
        </w:rPr>
        <w:t>的规定，有下列情形之一的，由疾病预防控制部门给予警告，责令限期改正；逾期不改</w:t>
      </w:r>
      <w:r>
        <w:rPr>
          <w:rFonts w:ascii="FangSong" w:hAnsi="FangSong" w:eastAsia="FangSong" w:cs="FangSong"/>
          <w:sz w:val="30"/>
          <w:szCs w:val="30"/>
          <w:spacing w:val="20"/>
        </w:rPr>
        <w:t>正的，处5</w:t>
      </w:r>
    </w:p>
    <w:p>
      <w:pPr>
        <w:ind w:right="121"/>
        <w:spacing w:before="3" w:line="259" w:lineRule="auto"/>
        <w:rPr>
          <w:rFonts w:ascii="FangSong" w:hAnsi="FangSong" w:eastAsia="FangSong" w:cs="FangSong"/>
          <w:sz w:val="30"/>
          <w:szCs w:val="30"/>
        </w:rPr>
      </w:pPr>
      <w:r>
        <w:rPr>
          <w:rFonts w:ascii="FangSong" w:hAnsi="FangSong" w:eastAsia="FangSong" w:cs="FangSong"/>
          <w:sz w:val="30"/>
          <w:szCs w:val="30"/>
          <w:spacing w:val="22"/>
        </w:rPr>
        <w:t>万元以上20万元以下的罚款；情节严重的，提请有关人民政府按照国务院规定的权限予以关闭；造</w:t>
      </w:r>
      <w:r>
        <w:rPr>
          <w:rFonts w:ascii="FangSong" w:hAnsi="FangSong" w:eastAsia="FangSong" w:cs="FangSong"/>
          <w:sz w:val="30"/>
          <w:szCs w:val="30"/>
          <w:spacing w:val="12"/>
        </w:rPr>
        <w:t xml:space="preserve"> </w:t>
      </w:r>
      <w:r>
        <w:rPr>
          <w:rFonts w:ascii="FangSong" w:hAnsi="FangSong" w:eastAsia="FangSong" w:cs="FangSong"/>
          <w:sz w:val="30"/>
          <w:szCs w:val="30"/>
          <w:spacing w:val="16"/>
        </w:rPr>
        <w:t>成严重职业中毒危害或者导致职业中毒事故发生的，对负有责任的主管人员和其他直接责任人员依照</w:t>
      </w:r>
      <w:r>
        <w:rPr>
          <w:rFonts w:ascii="FangSong" w:hAnsi="FangSong" w:eastAsia="FangSong" w:cs="FangSong"/>
          <w:sz w:val="30"/>
          <w:szCs w:val="30"/>
          <w:spacing w:val="14"/>
        </w:rPr>
        <w:t xml:space="preserve"> </w:t>
      </w:r>
      <w:r>
        <w:rPr>
          <w:rFonts w:ascii="FangSong" w:hAnsi="FangSong" w:eastAsia="FangSong" w:cs="FangSong"/>
          <w:sz w:val="30"/>
          <w:szCs w:val="30"/>
          <w:spacing w:val="16"/>
        </w:rPr>
        <w:t>刑法关于重大劳动安全事故罪或者其他罪的规定，依法追究刑事责任：</w:t>
      </w:r>
    </w:p>
    <w:p>
      <w:pPr>
        <w:ind w:right="91" w:firstLine="779"/>
        <w:spacing w:before="213" w:line="268" w:lineRule="auto"/>
        <w:rPr>
          <w:rFonts w:ascii="FangSong" w:hAnsi="FangSong" w:eastAsia="FangSong" w:cs="FangSong"/>
          <w:sz w:val="30"/>
          <w:szCs w:val="30"/>
        </w:rPr>
      </w:pPr>
      <w:r>
        <w:rPr>
          <w:rFonts w:ascii="FangSong" w:hAnsi="FangSong" w:eastAsia="FangSong" w:cs="FangSong"/>
          <w:sz w:val="30"/>
          <w:szCs w:val="30"/>
          <w:spacing w:val="21"/>
        </w:rPr>
        <w:t>(二)未对职业卫生防护设备、应急救援设施、通讯报警装置进</w:t>
      </w:r>
      <w:r>
        <w:rPr>
          <w:rFonts w:ascii="FangSong" w:hAnsi="FangSong" w:eastAsia="FangSong" w:cs="FangSong"/>
          <w:sz w:val="30"/>
          <w:szCs w:val="30"/>
          <w:spacing w:val="20"/>
        </w:rPr>
        <w:t>行维护、检修和定期检测，导致</w:t>
      </w:r>
      <w:r>
        <w:rPr>
          <w:rFonts w:ascii="FangSong" w:hAnsi="FangSong" w:eastAsia="FangSong" w:cs="FangSong"/>
          <w:sz w:val="30"/>
          <w:szCs w:val="30"/>
        </w:rPr>
        <w:t xml:space="preserve"> </w:t>
      </w:r>
      <w:r>
        <w:rPr>
          <w:rFonts w:ascii="FangSong" w:hAnsi="FangSong" w:eastAsia="FangSong" w:cs="FangSong"/>
          <w:sz w:val="30"/>
          <w:szCs w:val="30"/>
          <w:spacing w:val="11"/>
        </w:rPr>
        <w:t>上述设施处于不正常状态的；</w:t>
      </w:r>
    </w:p>
    <w:p>
      <w:pPr>
        <w:ind w:right="96" w:firstLine="670"/>
        <w:spacing w:before="8" w:line="271" w:lineRule="auto"/>
        <w:jc w:val="both"/>
        <w:rPr>
          <w:rFonts w:ascii="FangSong" w:hAnsi="FangSong" w:eastAsia="FangSong" w:cs="FangSong"/>
          <w:sz w:val="30"/>
          <w:szCs w:val="30"/>
        </w:rPr>
      </w:pPr>
      <w:r>
        <w:rPr>
          <w:rFonts w:ascii="FangSong" w:hAnsi="FangSong" w:eastAsia="FangSong" w:cs="FangSong"/>
          <w:sz w:val="30"/>
          <w:szCs w:val="30"/>
          <w:spacing w:val="18"/>
        </w:rPr>
        <w:t>3.</w:t>
      </w:r>
      <w:r>
        <w:rPr>
          <w:rFonts w:ascii="FangSong" w:hAnsi="FangSong" w:eastAsia="FangSong" w:cs="FangSong"/>
          <w:sz w:val="30"/>
          <w:szCs w:val="30"/>
          <w:spacing w:val="18"/>
        </w:rPr>
        <w:t xml:space="preserve"> </w:t>
      </w:r>
      <w:r>
        <w:rPr>
          <w:rFonts w:ascii="FangSong" w:hAnsi="FangSong" w:eastAsia="FangSong" w:cs="FangSong"/>
          <w:sz w:val="30"/>
          <w:szCs w:val="30"/>
          <w:spacing w:val="18"/>
        </w:rPr>
        <w:t>《工作场所职业卫生管理规定》第五十条第(三)项</w:t>
      </w:r>
      <w:r>
        <w:rPr>
          <w:rFonts w:ascii="FangSong" w:hAnsi="FangSong" w:eastAsia="FangSong" w:cs="FangSong"/>
          <w:sz w:val="30"/>
          <w:szCs w:val="30"/>
          <w:spacing w:val="18"/>
        </w:rPr>
        <w:t xml:space="preserve">  </w:t>
      </w:r>
      <w:r>
        <w:rPr>
          <w:rFonts w:ascii="FangSong" w:hAnsi="FangSong" w:eastAsia="FangSong" w:cs="FangSong"/>
          <w:sz w:val="30"/>
          <w:szCs w:val="30"/>
          <w:spacing w:val="18"/>
        </w:rPr>
        <w:t>用人单位有下列情形之一的，责令限期</w:t>
      </w:r>
      <w:r>
        <w:rPr>
          <w:rFonts w:ascii="FangSong" w:hAnsi="FangSong" w:eastAsia="FangSong" w:cs="FangSong"/>
          <w:sz w:val="30"/>
          <w:szCs w:val="30"/>
          <w:spacing w:val="12"/>
        </w:rPr>
        <w:t xml:space="preserve"> </w:t>
      </w:r>
      <w:r>
        <w:rPr>
          <w:rFonts w:ascii="FangSong" w:hAnsi="FangSong" w:eastAsia="FangSong" w:cs="FangSong"/>
          <w:sz w:val="30"/>
          <w:szCs w:val="30"/>
          <w:spacing w:val="16"/>
        </w:rPr>
        <w:t>改正，给予警告；逾期未改正的，处五万元以上二十万元以下的罚款；情节严重的，责令停止产生职</w:t>
      </w:r>
      <w:r>
        <w:rPr>
          <w:rFonts w:ascii="FangSong" w:hAnsi="FangSong" w:eastAsia="FangSong" w:cs="FangSong"/>
          <w:sz w:val="30"/>
          <w:szCs w:val="30"/>
          <w:spacing w:val="2"/>
        </w:rPr>
        <w:t xml:space="preserve"> </w:t>
      </w:r>
      <w:r>
        <w:rPr>
          <w:rFonts w:ascii="FangSong" w:hAnsi="FangSong" w:eastAsia="FangSong" w:cs="FangSong"/>
          <w:sz w:val="30"/>
          <w:szCs w:val="30"/>
          <w:spacing w:val="16"/>
        </w:rPr>
        <w:t>业病危害的作业，或者提请有关人民政府按照国务院规定的权限责令关闭：</w:t>
      </w:r>
    </w:p>
    <w:p>
      <w:pPr>
        <w:ind w:firstLine="779"/>
        <w:spacing w:before="1" w:line="264" w:lineRule="auto"/>
        <w:rPr>
          <w:rFonts w:ascii="FangSong" w:hAnsi="FangSong" w:eastAsia="FangSong" w:cs="FangSong"/>
          <w:sz w:val="30"/>
          <w:szCs w:val="30"/>
        </w:rPr>
      </w:pPr>
      <w:r>
        <w:rPr>
          <w:rFonts w:ascii="FangSong" w:hAnsi="FangSong" w:eastAsia="FangSong" w:cs="FangSong"/>
          <w:sz w:val="30"/>
          <w:szCs w:val="30"/>
          <w:spacing w:val="23"/>
        </w:rPr>
        <w:t>(三)未按照规定对职业病防护设备、应急救援设施和劳动者职业病防护用品进</w:t>
      </w:r>
      <w:r>
        <w:rPr>
          <w:rFonts w:ascii="FangSong" w:hAnsi="FangSong" w:eastAsia="FangSong" w:cs="FangSong"/>
          <w:sz w:val="30"/>
          <w:szCs w:val="30"/>
          <w:spacing w:val="22"/>
        </w:rPr>
        <w:t>行维护、检修、</w:t>
      </w:r>
      <w:r>
        <w:rPr>
          <w:rFonts w:ascii="FangSong" w:hAnsi="FangSong" w:eastAsia="FangSong" w:cs="FangSong"/>
          <w:sz w:val="30"/>
          <w:szCs w:val="30"/>
        </w:rPr>
        <w:t xml:space="preserve"> </w:t>
      </w:r>
      <w:r>
        <w:rPr>
          <w:rFonts w:ascii="FangSong" w:hAnsi="FangSong" w:eastAsia="FangSong" w:cs="FangSong"/>
          <w:sz w:val="30"/>
          <w:szCs w:val="30"/>
          <w:spacing w:val="15"/>
        </w:rPr>
        <w:t>检测，或者不能保持正常运行、使用状态的；</w:t>
      </w:r>
    </w:p>
    <w:p>
      <w:pPr>
        <w:ind w:left="6424"/>
        <w:spacing w:before="170" w:line="221" w:lineRule="auto"/>
        <w:rPr>
          <w:rFonts w:ascii="SimHei" w:hAnsi="SimHei" w:eastAsia="SimHei" w:cs="SimHei"/>
          <w:sz w:val="30"/>
          <w:szCs w:val="30"/>
        </w:rPr>
      </w:pPr>
      <w:r>
        <w:rPr>
          <w:rFonts w:ascii="SimHei" w:hAnsi="SimHei" w:eastAsia="SimHei" w:cs="SimHei"/>
          <w:sz w:val="30"/>
          <w:szCs w:val="30"/>
          <w:b/>
          <w:bCs/>
          <w:spacing w:val="-17"/>
        </w:rPr>
        <w:t>裁量标准</w:t>
      </w:r>
    </w:p>
    <w:p>
      <w:pPr>
        <w:pStyle w:val="BodyText"/>
        <w:spacing w:line="242" w:lineRule="auto"/>
        <w:rPr/>
      </w:pPr>
      <w:r/>
    </w:p>
    <w:p>
      <w:pPr>
        <w:pStyle w:val="BodyText"/>
        <w:spacing w:line="242" w:lineRule="auto"/>
        <w:rPr/>
      </w:pPr>
      <w:r/>
    </w:p>
    <w:p>
      <w:pPr>
        <w:pStyle w:val="BodyText"/>
        <w:spacing w:line="242" w:lineRule="auto"/>
        <w:rPr/>
      </w:pPr>
      <w:r/>
    </w:p>
    <w:p>
      <w:pPr>
        <w:ind w:left="6349"/>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—549—</w:t>
      </w:r>
    </w:p>
    <w:p>
      <w:pPr>
        <w:spacing w:line="188" w:lineRule="auto"/>
        <w:sectPr>
          <w:footerReference w:type="default" r:id="rId24"/>
          <w:pgSz w:w="16830" w:h="11900"/>
          <w:pgMar w:top="1011" w:right="1359" w:bottom="400" w:left="1430" w:header="0" w:footer="0" w:gutter="0"/>
        </w:sectPr>
        <w:rPr>
          <w:rFonts w:ascii="Times New Roman" w:hAnsi="Times New Roman" w:eastAsia="Times New Roman" w:cs="Times New Roman"/>
          <w:sz w:val="37"/>
          <w:szCs w:val="37"/>
        </w:rPr>
      </w:pPr>
    </w:p>
    <w:p>
      <w:pPr>
        <w:spacing w:before="20"/>
        <w:rPr/>
      </w:pPr>
      <w:r/>
    </w:p>
    <w:p>
      <w:pPr>
        <w:spacing w:before="20"/>
        <w:rPr/>
      </w:pPr>
      <w:r/>
    </w:p>
    <w:p>
      <w:pPr>
        <w:spacing w:before="19"/>
        <w:rPr/>
      </w:pPr>
      <w:r/>
    </w:p>
    <w:tbl>
      <w:tblPr>
        <w:tblStyle w:val="TableNormal"/>
        <w:tblW w:w="136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04"/>
        <w:gridCol w:w="8704"/>
        <w:gridCol w:w="3422"/>
      </w:tblGrid>
      <w:tr>
        <w:trPr>
          <w:trHeight w:val="674" w:hRule="atLeast"/>
        </w:trPr>
        <w:tc>
          <w:tcPr>
            <w:tcW w:w="1504" w:type="dxa"/>
            <w:vAlign w:val="top"/>
          </w:tcPr>
          <w:p>
            <w:pPr>
              <w:pStyle w:val="TableText"/>
              <w:ind w:left="248"/>
              <w:spacing w:before="212" w:line="220" w:lineRule="auto"/>
              <w:rPr>
                <w:sz w:val="25"/>
                <w:szCs w:val="25"/>
              </w:rPr>
            </w:pPr>
            <w:r>
              <w:rPr>
                <w:sz w:val="25"/>
                <w:szCs w:val="25"/>
                <w:b/>
                <w:bCs/>
                <w:spacing w:val="-5"/>
              </w:rPr>
              <w:t>违法程度</w:t>
            </w:r>
          </w:p>
        </w:tc>
        <w:tc>
          <w:tcPr>
            <w:tcW w:w="8704" w:type="dxa"/>
            <w:vAlign w:val="top"/>
          </w:tcPr>
          <w:p>
            <w:pPr>
              <w:pStyle w:val="TableText"/>
              <w:ind w:left="3844"/>
              <w:spacing w:before="212" w:line="220" w:lineRule="auto"/>
              <w:rPr>
                <w:sz w:val="25"/>
                <w:szCs w:val="25"/>
              </w:rPr>
            </w:pPr>
            <w:r>
              <w:rPr>
                <w:sz w:val="25"/>
                <w:szCs w:val="25"/>
                <w:b/>
                <w:bCs/>
                <w:spacing w:val="-5"/>
              </w:rPr>
              <w:t>情节后果</w:t>
            </w:r>
          </w:p>
        </w:tc>
        <w:tc>
          <w:tcPr>
            <w:tcW w:w="3422" w:type="dxa"/>
            <w:vAlign w:val="top"/>
          </w:tcPr>
          <w:p>
            <w:pPr>
              <w:pStyle w:val="TableText"/>
              <w:ind w:left="1210"/>
              <w:spacing w:before="209" w:line="218" w:lineRule="auto"/>
              <w:rPr>
                <w:sz w:val="25"/>
                <w:szCs w:val="25"/>
              </w:rPr>
            </w:pPr>
            <w:r>
              <w:rPr>
                <w:sz w:val="25"/>
                <w:szCs w:val="25"/>
                <w:b/>
                <w:bCs/>
                <w:spacing w:val="-5"/>
              </w:rPr>
              <w:t>裁量幅度</w:t>
            </w:r>
          </w:p>
        </w:tc>
      </w:tr>
      <w:tr>
        <w:trPr>
          <w:trHeight w:val="889" w:hRule="atLeast"/>
        </w:trPr>
        <w:tc>
          <w:tcPr>
            <w:tcW w:w="1504" w:type="dxa"/>
            <w:vAlign w:val="top"/>
          </w:tcPr>
          <w:p>
            <w:pPr>
              <w:spacing w:line="304" w:lineRule="auto"/>
              <w:rPr>
                <w:rFonts w:ascii="Arial"/>
                <w:sz w:val="21"/>
              </w:rPr>
            </w:pPr>
            <w:r/>
          </w:p>
          <w:p>
            <w:pPr>
              <w:pStyle w:val="TableText"/>
              <w:ind w:left="498"/>
              <w:spacing w:before="81" w:line="219" w:lineRule="auto"/>
              <w:rPr>
                <w:sz w:val="25"/>
                <w:szCs w:val="25"/>
              </w:rPr>
            </w:pPr>
            <w:r>
              <w:rPr>
                <w:sz w:val="25"/>
                <w:szCs w:val="25"/>
                <w:b/>
                <w:bCs/>
                <w:spacing w:val="-6"/>
              </w:rPr>
              <w:t>轻微</w:t>
            </w:r>
          </w:p>
        </w:tc>
        <w:tc>
          <w:tcPr>
            <w:tcW w:w="8704" w:type="dxa"/>
            <w:vAlign w:val="top"/>
          </w:tcPr>
          <w:p>
            <w:pPr>
              <w:pStyle w:val="TableText"/>
              <w:ind w:left="110" w:hanging="99"/>
              <w:spacing w:before="169" w:line="261" w:lineRule="auto"/>
              <w:rPr>
                <w:sz w:val="25"/>
                <w:szCs w:val="25"/>
              </w:rPr>
            </w:pPr>
            <w:r>
              <w:rPr>
                <w:sz w:val="25"/>
                <w:szCs w:val="25"/>
                <w:spacing w:val="-2"/>
              </w:rPr>
              <w:t>对职业病防护设备、应急救援设施和个人使用的职业病防护用品未按照规定进行</w:t>
            </w:r>
            <w:r>
              <w:rPr>
                <w:sz w:val="25"/>
                <w:szCs w:val="25"/>
                <w:spacing w:val="1"/>
              </w:rPr>
              <w:t xml:space="preserve"> </w:t>
            </w:r>
            <w:r>
              <w:rPr>
                <w:sz w:val="25"/>
                <w:szCs w:val="25"/>
              </w:rPr>
              <w:t>维护、检修、检测，或者不能保持正常运行、使用状态的</w:t>
            </w:r>
          </w:p>
        </w:tc>
        <w:tc>
          <w:tcPr>
            <w:tcW w:w="3422" w:type="dxa"/>
            <w:vAlign w:val="top"/>
          </w:tcPr>
          <w:p>
            <w:pPr>
              <w:pStyle w:val="TableText"/>
              <w:ind w:left="106"/>
              <w:spacing w:before="319" w:line="218" w:lineRule="auto"/>
              <w:rPr>
                <w:sz w:val="25"/>
                <w:szCs w:val="25"/>
              </w:rPr>
            </w:pPr>
            <w:r>
              <w:rPr>
                <w:sz w:val="25"/>
                <w:szCs w:val="25"/>
                <w:spacing w:val="1"/>
              </w:rPr>
              <w:t>给予警告，责令限期改正</w:t>
            </w:r>
          </w:p>
        </w:tc>
      </w:tr>
      <w:tr>
        <w:trPr>
          <w:trHeight w:val="1708" w:hRule="atLeast"/>
        </w:trPr>
        <w:tc>
          <w:tcPr>
            <w:tcW w:w="1504" w:type="dxa"/>
            <w:vAlign w:val="top"/>
          </w:tcPr>
          <w:p>
            <w:pPr>
              <w:spacing w:line="322" w:lineRule="auto"/>
              <w:rPr>
                <w:rFonts w:ascii="Arial"/>
                <w:sz w:val="21"/>
              </w:rPr>
            </w:pPr>
            <w:r/>
          </w:p>
          <w:p>
            <w:pPr>
              <w:spacing w:line="322" w:lineRule="auto"/>
              <w:rPr>
                <w:rFonts w:ascii="Arial"/>
                <w:sz w:val="21"/>
              </w:rPr>
            </w:pPr>
            <w:r/>
          </w:p>
          <w:p>
            <w:pPr>
              <w:pStyle w:val="TableText"/>
              <w:ind w:left="498"/>
              <w:spacing w:before="82" w:line="221" w:lineRule="auto"/>
              <w:rPr>
                <w:sz w:val="25"/>
                <w:szCs w:val="25"/>
              </w:rPr>
            </w:pPr>
            <w:r>
              <w:rPr>
                <w:sz w:val="25"/>
                <w:szCs w:val="25"/>
                <w:b/>
                <w:bCs/>
                <w:spacing w:val="-10"/>
              </w:rPr>
              <w:t>一般</w:t>
            </w:r>
          </w:p>
        </w:tc>
        <w:tc>
          <w:tcPr>
            <w:tcW w:w="8704" w:type="dxa"/>
            <w:vAlign w:val="top"/>
          </w:tcPr>
          <w:p>
            <w:pPr>
              <w:pStyle w:val="TableText"/>
              <w:spacing w:before="72" w:line="219" w:lineRule="auto"/>
              <w:jc w:val="right"/>
              <w:rPr>
                <w:sz w:val="25"/>
                <w:szCs w:val="25"/>
              </w:rPr>
            </w:pPr>
            <w:r>
              <w:rPr>
                <w:sz w:val="25"/>
                <w:szCs w:val="25"/>
                <w:spacing w:val="-2"/>
              </w:rPr>
              <w:t>对职业病防护设备、应急救援设施和个人使用的职业病防护用品未按照规定进行</w:t>
            </w:r>
          </w:p>
          <w:p>
            <w:pPr>
              <w:pStyle w:val="TableText"/>
              <w:spacing w:before="51" w:line="219" w:lineRule="auto"/>
              <w:jc w:val="right"/>
              <w:rPr>
                <w:sz w:val="25"/>
                <w:szCs w:val="25"/>
              </w:rPr>
            </w:pPr>
            <w:r>
              <w:rPr>
                <w:sz w:val="25"/>
                <w:szCs w:val="25"/>
                <w:spacing w:val="-2"/>
              </w:rPr>
              <w:t>维护、检修、检测，或者不能保持正常运行、使用状态，经责令限期改正，逾期</w:t>
            </w:r>
          </w:p>
          <w:p>
            <w:pPr>
              <w:pStyle w:val="TableText"/>
              <w:ind w:left="221"/>
              <w:spacing w:before="35" w:line="219" w:lineRule="auto"/>
              <w:rPr>
                <w:sz w:val="25"/>
                <w:szCs w:val="25"/>
              </w:rPr>
            </w:pPr>
            <w:r>
              <w:rPr>
                <w:sz w:val="25"/>
                <w:szCs w:val="25"/>
              </w:rPr>
              <w:t>不改正，仍存在对3处以下职业病防护设备、应急救援设施或5人以下个人使</w:t>
            </w:r>
          </w:p>
          <w:p>
            <w:pPr>
              <w:pStyle w:val="TableText"/>
              <w:spacing w:before="53" w:line="219" w:lineRule="auto"/>
              <w:jc w:val="right"/>
              <w:rPr>
                <w:sz w:val="25"/>
                <w:szCs w:val="25"/>
              </w:rPr>
            </w:pPr>
            <w:r>
              <w:rPr>
                <w:sz w:val="25"/>
                <w:szCs w:val="25"/>
                <w:spacing w:val="-2"/>
              </w:rPr>
              <w:t>用的职业病防护用品未按照规定进行维护、检修、检测，但是能保持正常运行、</w:t>
            </w:r>
          </w:p>
          <w:p>
            <w:pPr>
              <w:pStyle w:val="TableText"/>
              <w:ind w:left="101"/>
              <w:spacing w:before="33" w:line="196" w:lineRule="auto"/>
              <w:rPr>
                <w:sz w:val="25"/>
                <w:szCs w:val="25"/>
              </w:rPr>
            </w:pPr>
            <w:r>
              <w:rPr>
                <w:sz w:val="25"/>
                <w:szCs w:val="25"/>
                <w:spacing w:val="3"/>
              </w:rPr>
              <w:t>使用状态的</w:t>
            </w:r>
          </w:p>
        </w:tc>
        <w:tc>
          <w:tcPr>
            <w:tcW w:w="3422" w:type="dxa"/>
            <w:vAlign w:val="top"/>
          </w:tcPr>
          <w:p>
            <w:pPr>
              <w:spacing w:line="249" w:lineRule="auto"/>
              <w:rPr>
                <w:rFonts w:ascii="Arial"/>
                <w:sz w:val="21"/>
              </w:rPr>
            </w:pPr>
            <w:r/>
          </w:p>
          <w:p>
            <w:pPr>
              <w:spacing w:line="249" w:lineRule="auto"/>
              <w:rPr>
                <w:rFonts w:ascii="Arial"/>
                <w:sz w:val="21"/>
              </w:rPr>
            </w:pPr>
            <w:r/>
          </w:p>
          <w:p>
            <w:pPr>
              <w:pStyle w:val="TableText"/>
              <w:ind w:left="77"/>
              <w:spacing w:before="81" w:line="220" w:lineRule="auto"/>
              <w:rPr>
                <w:sz w:val="25"/>
                <w:szCs w:val="25"/>
              </w:rPr>
            </w:pPr>
            <w:r>
              <w:rPr>
                <w:sz w:val="25"/>
                <w:szCs w:val="25"/>
                <w:spacing w:val="2"/>
              </w:rPr>
              <w:t>处五万元以上十万元以下的罚</w:t>
            </w:r>
          </w:p>
          <w:p>
            <w:pPr>
              <w:pStyle w:val="TableText"/>
              <w:ind w:left="87"/>
              <w:spacing w:before="32" w:line="221" w:lineRule="auto"/>
              <w:rPr>
                <w:sz w:val="25"/>
                <w:szCs w:val="25"/>
              </w:rPr>
            </w:pPr>
            <w:r>
              <w:rPr>
                <w:sz w:val="25"/>
                <w:szCs w:val="25"/>
                <w:color w:val="404050"/>
              </w:rPr>
              <w:t>款</w:t>
            </w:r>
          </w:p>
        </w:tc>
      </w:tr>
      <w:tr>
        <w:trPr>
          <w:trHeight w:val="1848" w:hRule="atLeast"/>
        </w:trPr>
        <w:tc>
          <w:tcPr>
            <w:tcW w:w="1504" w:type="dxa"/>
            <w:vAlign w:val="top"/>
          </w:tcPr>
          <w:p>
            <w:pPr>
              <w:spacing w:line="359" w:lineRule="auto"/>
              <w:rPr>
                <w:rFonts w:ascii="Arial"/>
                <w:sz w:val="21"/>
              </w:rPr>
            </w:pPr>
            <w:r/>
          </w:p>
          <w:p>
            <w:pPr>
              <w:spacing w:line="359" w:lineRule="auto"/>
              <w:rPr>
                <w:rFonts w:ascii="Arial"/>
                <w:sz w:val="21"/>
              </w:rPr>
            </w:pPr>
            <w:r/>
          </w:p>
          <w:p>
            <w:pPr>
              <w:pStyle w:val="TableText"/>
              <w:ind w:left="498"/>
              <w:spacing w:before="81" w:line="221" w:lineRule="auto"/>
              <w:rPr>
                <w:sz w:val="25"/>
                <w:szCs w:val="25"/>
              </w:rPr>
            </w:pPr>
            <w:r>
              <w:rPr>
                <w:sz w:val="25"/>
                <w:szCs w:val="25"/>
                <w:b/>
                <w:bCs/>
                <w:spacing w:val="-6"/>
              </w:rPr>
              <w:t>较重</w:t>
            </w:r>
          </w:p>
        </w:tc>
        <w:tc>
          <w:tcPr>
            <w:tcW w:w="8704" w:type="dxa"/>
            <w:vAlign w:val="top"/>
          </w:tcPr>
          <w:p>
            <w:pPr>
              <w:pStyle w:val="TableText"/>
              <w:spacing w:before="164" w:line="219" w:lineRule="auto"/>
              <w:jc w:val="right"/>
              <w:rPr>
                <w:sz w:val="25"/>
                <w:szCs w:val="25"/>
              </w:rPr>
            </w:pPr>
            <w:r>
              <w:rPr>
                <w:sz w:val="25"/>
                <w:szCs w:val="25"/>
                <w:spacing w:val="-2"/>
              </w:rPr>
              <w:t>对职业病防护设备、应急救援设施和个人使用的职业病防护用品未按照规定进行</w:t>
            </w:r>
          </w:p>
          <w:p>
            <w:pPr>
              <w:pStyle w:val="TableText"/>
              <w:spacing w:before="31" w:line="219" w:lineRule="auto"/>
              <w:jc w:val="right"/>
              <w:rPr>
                <w:sz w:val="25"/>
                <w:szCs w:val="25"/>
              </w:rPr>
            </w:pPr>
            <w:r>
              <w:rPr>
                <w:sz w:val="25"/>
                <w:szCs w:val="25"/>
                <w:spacing w:val="-2"/>
              </w:rPr>
              <w:t>维护、检修、检测，或者不能保持正常运行、使用状态，经责令限期改正，逾期</w:t>
            </w:r>
          </w:p>
          <w:p>
            <w:pPr>
              <w:pStyle w:val="TableText"/>
              <w:ind w:left="281"/>
              <w:spacing w:before="35" w:line="219" w:lineRule="auto"/>
              <w:rPr>
                <w:sz w:val="25"/>
                <w:szCs w:val="25"/>
              </w:rPr>
            </w:pPr>
            <w:r>
              <w:rPr>
                <w:sz w:val="25"/>
                <w:szCs w:val="25"/>
              </w:rPr>
              <w:t>不改正，仍存在对3处以上5处以下职业病防护设备、应急救援设施或5人以</w:t>
            </w:r>
          </w:p>
          <w:p>
            <w:pPr>
              <w:pStyle w:val="TableText"/>
              <w:spacing w:before="53" w:line="219" w:lineRule="auto"/>
              <w:jc w:val="right"/>
              <w:rPr>
                <w:sz w:val="25"/>
                <w:szCs w:val="25"/>
              </w:rPr>
            </w:pPr>
            <w:r>
              <w:rPr>
                <w:sz w:val="25"/>
                <w:szCs w:val="25"/>
                <w:spacing w:val="-2"/>
              </w:rPr>
              <w:t>上10人以下个人使用的职业病防护用品按照规定进行了维护、检修、检测，但是</w:t>
            </w:r>
          </w:p>
          <w:p>
            <w:pPr>
              <w:pStyle w:val="TableText"/>
              <w:ind w:left="120"/>
              <w:spacing w:before="33" w:line="219" w:lineRule="auto"/>
              <w:rPr>
                <w:sz w:val="25"/>
                <w:szCs w:val="25"/>
              </w:rPr>
            </w:pPr>
            <w:r>
              <w:rPr>
                <w:sz w:val="25"/>
                <w:szCs w:val="25"/>
                <w:spacing w:val="1"/>
              </w:rPr>
              <w:t>不能保持正常运行、使用状态的</w:t>
            </w:r>
          </w:p>
        </w:tc>
        <w:tc>
          <w:tcPr>
            <w:tcW w:w="3422" w:type="dxa"/>
            <w:vAlign w:val="top"/>
          </w:tcPr>
          <w:p>
            <w:pPr>
              <w:spacing w:line="285" w:lineRule="auto"/>
              <w:rPr>
                <w:rFonts w:ascii="Arial"/>
                <w:sz w:val="21"/>
              </w:rPr>
            </w:pPr>
            <w:r/>
          </w:p>
          <w:p>
            <w:pPr>
              <w:spacing w:line="285" w:lineRule="auto"/>
              <w:rPr>
                <w:rFonts w:ascii="Arial"/>
                <w:sz w:val="21"/>
              </w:rPr>
            </w:pPr>
            <w:r/>
          </w:p>
          <w:p>
            <w:pPr>
              <w:pStyle w:val="TableText"/>
              <w:ind w:left="77"/>
              <w:spacing w:before="81" w:line="220" w:lineRule="auto"/>
              <w:rPr>
                <w:sz w:val="25"/>
                <w:szCs w:val="25"/>
              </w:rPr>
            </w:pPr>
            <w:r>
              <w:rPr>
                <w:sz w:val="25"/>
                <w:szCs w:val="25"/>
                <w:spacing w:val="1"/>
              </w:rPr>
              <w:t>处十万元以上二十万元以下的</w:t>
            </w:r>
          </w:p>
          <w:p>
            <w:pPr>
              <w:pStyle w:val="TableText"/>
              <w:ind w:left="117"/>
              <w:spacing w:before="32" w:line="221" w:lineRule="auto"/>
              <w:rPr>
                <w:sz w:val="25"/>
                <w:szCs w:val="25"/>
              </w:rPr>
            </w:pPr>
            <w:r>
              <w:rPr>
                <w:sz w:val="25"/>
                <w:szCs w:val="25"/>
                <w:color w:val="504050"/>
                <w:spacing w:val="5"/>
              </w:rPr>
              <w:t>罚款</w:t>
            </w:r>
          </w:p>
        </w:tc>
      </w:tr>
      <w:tr>
        <w:trPr>
          <w:trHeight w:val="3041" w:hRule="atLeast"/>
        </w:trPr>
        <w:tc>
          <w:tcPr>
            <w:tcW w:w="1504"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498"/>
              <w:spacing w:before="81" w:line="220" w:lineRule="auto"/>
              <w:rPr>
                <w:sz w:val="25"/>
                <w:szCs w:val="25"/>
              </w:rPr>
            </w:pPr>
            <w:r>
              <w:rPr>
                <w:sz w:val="25"/>
                <w:szCs w:val="25"/>
                <w:b/>
                <w:bCs/>
                <w:spacing w:val="-6"/>
              </w:rPr>
              <w:t>严重</w:t>
            </w:r>
          </w:p>
        </w:tc>
        <w:tc>
          <w:tcPr>
            <w:tcW w:w="8704" w:type="dxa"/>
            <w:vAlign w:val="top"/>
          </w:tcPr>
          <w:p>
            <w:pPr>
              <w:pStyle w:val="TableText"/>
              <w:ind w:left="111"/>
              <w:spacing w:before="76" w:line="245" w:lineRule="auto"/>
              <w:jc w:val="both"/>
              <w:rPr>
                <w:sz w:val="25"/>
                <w:szCs w:val="25"/>
              </w:rPr>
            </w:pPr>
            <w:r>
              <w:rPr>
                <w:sz w:val="25"/>
                <w:szCs w:val="25"/>
                <w:spacing w:val="-5"/>
              </w:rPr>
              <w:t>对职业病防护设备、应急救援设施和个人使用的职业病防护用品未按照规定进行</w:t>
            </w:r>
            <w:r>
              <w:rPr>
                <w:sz w:val="25"/>
                <w:szCs w:val="25"/>
                <w:spacing w:val="3"/>
              </w:rPr>
              <w:t xml:space="preserve"> </w:t>
            </w:r>
            <w:r>
              <w:rPr>
                <w:sz w:val="25"/>
                <w:szCs w:val="25"/>
                <w:spacing w:val="-5"/>
              </w:rPr>
              <w:t>维护、检修、检测，或者不能保持正常运行、使用状态，经责令限期改正，逾期</w:t>
            </w:r>
            <w:r>
              <w:rPr>
                <w:sz w:val="25"/>
                <w:szCs w:val="25"/>
                <w:spacing w:val="6"/>
              </w:rPr>
              <w:t xml:space="preserve"> </w:t>
            </w:r>
            <w:r>
              <w:rPr>
                <w:sz w:val="25"/>
                <w:szCs w:val="25"/>
                <w:spacing w:val="-1"/>
              </w:rPr>
              <w:t>不改正，仍存在以下违法情形的：</w:t>
            </w:r>
          </w:p>
          <w:p>
            <w:pPr>
              <w:pStyle w:val="TableText"/>
              <w:ind w:left="91" w:right="83" w:firstLine="60"/>
              <w:spacing w:before="12" w:line="232" w:lineRule="auto"/>
              <w:rPr>
                <w:sz w:val="25"/>
                <w:szCs w:val="25"/>
              </w:rPr>
            </w:pPr>
            <w:r>
              <w:rPr>
                <w:sz w:val="25"/>
                <w:szCs w:val="25"/>
              </w:rPr>
              <w:t>A.对5处以上职业病防护设备、应急救援设施或10人以上个人使用的职业病防</w:t>
            </w:r>
            <w:r>
              <w:rPr>
                <w:sz w:val="25"/>
                <w:szCs w:val="25"/>
                <w:spacing w:val="17"/>
              </w:rPr>
              <w:t xml:space="preserve"> </w:t>
            </w:r>
            <w:r>
              <w:rPr>
                <w:sz w:val="25"/>
                <w:szCs w:val="25"/>
              </w:rPr>
              <w:t>护用品未按照规定进行维护、检修、检测，或不能保持正常运行、使用状态的</w:t>
            </w:r>
          </w:p>
          <w:p>
            <w:pPr>
              <w:pStyle w:val="TableText"/>
              <w:ind w:left="101"/>
              <w:spacing w:before="54"/>
              <w:rPr>
                <w:sz w:val="25"/>
                <w:szCs w:val="25"/>
              </w:rPr>
            </w:pPr>
            <w:r>
              <w:rPr>
                <w:sz w:val="25"/>
                <w:szCs w:val="25"/>
                <w:spacing w:val="-4"/>
              </w:rPr>
              <w:t>B.对产生严重职业病危害的作业岗位职业病防</w:t>
            </w:r>
            <w:r>
              <w:rPr>
                <w:sz w:val="25"/>
                <w:szCs w:val="25"/>
                <w:spacing w:val="-5"/>
              </w:rPr>
              <w:t>护设备、应急救援设施和个人使用</w:t>
            </w:r>
            <w:r>
              <w:rPr>
                <w:sz w:val="25"/>
                <w:szCs w:val="25"/>
              </w:rPr>
              <w:t xml:space="preserve"> </w:t>
            </w:r>
            <w:r>
              <w:rPr>
                <w:sz w:val="25"/>
                <w:szCs w:val="25"/>
                <w:spacing w:val="-5"/>
              </w:rPr>
              <w:t>的职业病防护用品未按照规定进行维护、检修、检测，或不能保持正常运行、使</w:t>
            </w:r>
            <w:r>
              <w:rPr>
                <w:sz w:val="25"/>
                <w:szCs w:val="25"/>
              </w:rPr>
              <w:t xml:space="preserve"> </w:t>
            </w:r>
            <w:r>
              <w:rPr>
                <w:sz w:val="25"/>
                <w:szCs w:val="25"/>
                <w:spacing w:val="4"/>
              </w:rPr>
              <w:t>用状态的</w:t>
            </w:r>
          </w:p>
        </w:tc>
        <w:tc>
          <w:tcPr>
            <w:tcW w:w="3422" w:type="dxa"/>
            <w:vAlign w:val="top"/>
          </w:tcPr>
          <w:p>
            <w:pPr>
              <w:spacing w:line="301" w:lineRule="auto"/>
              <w:rPr>
                <w:rFonts w:ascii="Arial"/>
                <w:sz w:val="21"/>
              </w:rPr>
            </w:pPr>
            <w:r/>
          </w:p>
          <w:p>
            <w:pPr>
              <w:spacing w:line="301" w:lineRule="auto"/>
              <w:rPr>
                <w:rFonts w:ascii="Arial"/>
                <w:sz w:val="21"/>
              </w:rPr>
            </w:pPr>
            <w:r/>
          </w:p>
          <w:p>
            <w:pPr>
              <w:pStyle w:val="TableText"/>
              <w:ind w:left="77" w:right="55" w:firstLine="509"/>
              <w:spacing w:before="81" w:line="225" w:lineRule="auto"/>
              <w:jc w:val="both"/>
              <w:rPr>
                <w:sz w:val="25"/>
                <w:szCs w:val="25"/>
              </w:rPr>
            </w:pPr>
            <w:r>
              <w:rPr>
                <w:sz w:val="25"/>
                <w:szCs w:val="25"/>
                <w:spacing w:val="1"/>
              </w:rPr>
              <w:t>责令停止产生职业危害的</w:t>
            </w:r>
            <w:r>
              <w:rPr>
                <w:sz w:val="25"/>
                <w:szCs w:val="25"/>
                <w:spacing w:val="7"/>
              </w:rPr>
              <w:t xml:space="preserve"> </w:t>
            </w:r>
            <w:r>
              <w:rPr>
                <w:sz w:val="25"/>
                <w:szCs w:val="25"/>
              </w:rPr>
              <w:t>作业，或者提请有关人民政府</w:t>
            </w:r>
            <w:r>
              <w:rPr>
                <w:sz w:val="25"/>
                <w:szCs w:val="25"/>
                <w:spacing w:val="9"/>
              </w:rPr>
              <w:t xml:space="preserve"> </w:t>
            </w:r>
            <w:r>
              <w:rPr>
                <w:sz w:val="25"/>
                <w:szCs w:val="25"/>
              </w:rPr>
              <w:t>按照国务院规定的权限责令关</w:t>
            </w:r>
          </w:p>
          <w:p>
            <w:pPr>
              <w:pStyle w:val="TableText"/>
              <w:ind w:left="106"/>
              <w:spacing w:before="1" w:line="222" w:lineRule="auto"/>
              <w:rPr>
                <w:sz w:val="25"/>
                <w:szCs w:val="25"/>
              </w:rPr>
            </w:pPr>
            <w:r>
              <w:rPr>
                <w:sz w:val="25"/>
                <w:szCs w:val="25"/>
                <w:color w:val="606060"/>
              </w:rPr>
              <w:t>闭</w:t>
            </w:r>
          </w:p>
        </w:tc>
      </w:tr>
    </w:tbl>
    <w:p>
      <w:pPr>
        <w:pStyle w:val="BodyText"/>
        <w:rPr/>
      </w:pPr>
      <w:r/>
    </w:p>
    <w:p>
      <w:pPr>
        <w:sectPr>
          <w:footerReference w:type="default" r:id="rId494"/>
          <w:pgSz w:w="16830" w:h="11900"/>
          <w:pgMar w:top="1011" w:right="1774" w:bottom="1117" w:left="1414" w:header="0" w:footer="784" w:gutter="0"/>
        </w:sectPr>
        <w:rPr/>
      </w:pPr>
    </w:p>
    <w:p>
      <w:pPr>
        <w:pStyle w:val="BodyText"/>
        <w:spacing w:line="262" w:lineRule="auto"/>
        <w:rPr/>
      </w:pPr>
      <w:r/>
    </w:p>
    <w:p>
      <w:pPr>
        <w:pStyle w:val="BodyText"/>
        <w:spacing w:line="263" w:lineRule="auto"/>
        <w:rPr/>
      </w:pPr>
      <w:r/>
    </w:p>
    <w:p>
      <w:pPr>
        <w:pStyle w:val="BodyText"/>
        <w:spacing w:line="263" w:lineRule="auto"/>
        <w:rPr/>
      </w:pPr>
      <w:r/>
    </w:p>
    <w:p>
      <w:pPr>
        <w:ind w:left="640" w:right="2916" w:firstLine="4"/>
        <w:spacing w:before="97" w:line="249" w:lineRule="auto"/>
        <w:rPr>
          <w:rFonts w:ascii="FangSong" w:hAnsi="FangSong" w:eastAsia="FangSong" w:cs="FangSong"/>
          <w:sz w:val="30"/>
          <w:szCs w:val="30"/>
        </w:rPr>
      </w:pPr>
      <w:bookmarkStart w:name="bookmark1134" w:id="509"/>
      <w:bookmarkEnd w:id="509"/>
      <w:r>
        <w:rPr>
          <w:rFonts w:ascii="FangSong" w:hAnsi="FangSong" w:eastAsia="FangSong" w:cs="FangSong"/>
          <w:sz w:val="30"/>
          <w:szCs w:val="30"/>
          <w:b/>
          <w:bCs/>
          <w:spacing w:val="21"/>
        </w:rPr>
        <w:t>第四百六十四条未按照规定对工作场所职业病危害因素进行检测、评价的</w:t>
      </w:r>
      <w:r>
        <w:rPr>
          <w:rFonts w:ascii="FangSong" w:hAnsi="FangSong" w:eastAsia="FangSong" w:cs="FangSong"/>
          <w:sz w:val="30"/>
          <w:szCs w:val="30"/>
          <w:spacing w:val="6"/>
        </w:rPr>
        <w:t xml:space="preserve"> </w:t>
      </w:r>
      <w:r>
        <w:rPr>
          <w:rFonts w:ascii="FangSong" w:hAnsi="FangSong" w:eastAsia="FangSong" w:cs="FangSong"/>
          <w:sz w:val="30"/>
          <w:szCs w:val="30"/>
          <w:spacing w:val="-1"/>
        </w:rPr>
        <w:t>法律依据：</w:t>
      </w:r>
    </w:p>
    <w:p>
      <w:pPr>
        <w:ind w:firstLine="640"/>
        <w:spacing w:before="54" w:line="274" w:lineRule="auto"/>
        <w:jc w:val="both"/>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《中华人民共和国职业病防治法》第七</w:t>
      </w:r>
      <w:r>
        <w:rPr>
          <w:rFonts w:ascii="FangSong" w:hAnsi="FangSong" w:eastAsia="FangSong" w:cs="FangSong"/>
          <w:sz w:val="30"/>
          <w:szCs w:val="30"/>
          <w:spacing w:val="18"/>
        </w:rPr>
        <w:t>十二条第(四)项</w:t>
      </w:r>
      <w:r>
        <w:rPr>
          <w:rFonts w:ascii="FangSong" w:hAnsi="FangSong" w:eastAsia="FangSong" w:cs="FangSong"/>
          <w:sz w:val="30"/>
          <w:szCs w:val="30"/>
          <w:spacing w:val="18"/>
        </w:rPr>
        <w:t xml:space="preserve">  </w:t>
      </w:r>
      <w:r>
        <w:rPr>
          <w:rFonts w:ascii="FangSong" w:hAnsi="FangSong" w:eastAsia="FangSong" w:cs="FangSong"/>
          <w:sz w:val="30"/>
          <w:szCs w:val="30"/>
          <w:spacing w:val="18"/>
        </w:rPr>
        <w:t>用人单位违反本法规定，有下列行</w:t>
      </w:r>
      <w:r>
        <w:rPr>
          <w:rFonts w:ascii="FangSong" w:hAnsi="FangSong" w:eastAsia="FangSong" w:cs="FangSong"/>
          <w:sz w:val="30"/>
          <w:szCs w:val="30"/>
        </w:rPr>
        <w:t xml:space="preserve"> </w:t>
      </w:r>
      <w:r>
        <w:rPr>
          <w:rFonts w:ascii="FangSong" w:hAnsi="FangSong" w:eastAsia="FangSong" w:cs="FangSong"/>
          <w:sz w:val="30"/>
          <w:szCs w:val="30"/>
          <w:spacing w:val="17"/>
        </w:rPr>
        <w:t>为之一的，由卫生行政部门给予警告，责令限期改正，</w:t>
      </w:r>
      <w:r>
        <w:rPr>
          <w:rFonts w:ascii="FangSong" w:hAnsi="FangSong" w:eastAsia="FangSong" w:cs="FangSong"/>
          <w:sz w:val="30"/>
          <w:szCs w:val="30"/>
          <w:spacing w:val="16"/>
        </w:rPr>
        <w:t>逾期不改正的，处五万元以上二十万元以下的</w:t>
      </w:r>
      <w:r>
        <w:rPr>
          <w:rFonts w:ascii="FangSong" w:hAnsi="FangSong" w:eastAsia="FangSong" w:cs="FangSong"/>
          <w:sz w:val="30"/>
          <w:szCs w:val="30"/>
        </w:rPr>
        <w:t xml:space="preserve"> </w:t>
      </w:r>
      <w:r>
        <w:rPr>
          <w:rFonts w:ascii="FangSong" w:hAnsi="FangSong" w:eastAsia="FangSong" w:cs="FangSong"/>
          <w:sz w:val="30"/>
          <w:szCs w:val="30"/>
          <w:spacing w:val="17"/>
        </w:rPr>
        <w:t>罚款；情节严重的，责令停止产生职业病危害的作业，或者提请有关人民政府按照</w:t>
      </w:r>
      <w:r>
        <w:rPr>
          <w:rFonts w:ascii="FangSong" w:hAnsi="FangSong" w:eastAsia="FangSong" w:cs="FangSong"/>
          <w:sz w:val="30"/>
          <w:szCs w:val="30"/>
          <w:spacing w:val="16"/>
        </w:rPr>
        <w:t>国务院规定的权限</w:t>
      </w:r>
      <w:r>
        <w:rPr>
          <w:rFonts w:ascii="FangSong" w:hAnsi="FangSong" w:eastAsia="FangSong" w:cs="FangSong"/>
          <w:sz w:val="30"/>
          <w:szCs w:val="30"/>
        </w:rPr>
        <w:t xml:space="preserve"> </w:t>
      </w:r>
      <w:r>
        <w:rPr>
          <w:rFonts w:ascii="FangSong" w:hAnsi="FangSong" w:eastAsia="FangSong" w:cs="FangSong"/>
          <w:sz w:val="30"/>
          <w:szCs w:val="30"/>
        </w:rPr>
        <w:t>责令关闭：</w:t>
      </w:r>
    </w:p>
    <w:p>
      <w:pPr>
        <w:ind w:left="769"/>
        <w:spacing w:line="220" w:lineRule="auto"/>
        <w:rPr>
          <w:rFonts w:ascii="FangSong" w:hAnsi="FangSong" w:eastAsia="FangSong" w:cs="FangSong"/>
          <w:sz w:val="30"/>
          <w:szCs w:val="30"/>
        </w:rPr>
      </w:pPr>
      <w:r>
        <w:rPr>
          <w:rFonts w:ascii="FangSong" w:hAnsi="FangSong" w:eastAsia="FangSong" w:cs="FangSong"/>
          <w:sz w:val="30"/>
          <w:szCs w:val="30"/>
          <w:spacing w:val="23"/>
        </w:rPr>
        <w:t>(四)未按照规定对工作场所职业病危害因素进行检测、评价的；</w:t>
      </w:r>
    </w:p>
    <w:p>
      <w:pPr>
        <w:ind w:right="20" w:firstLine="640"/>
        <w:spacing w:before="61" w:line="277" w:lineRule="auto"/>
        <w:jc w:val="both"/>
        <w:rPr>
          <w:rFonts w:ascii="FangSong" w:hAnsi="FangSong" w:eastAsia="FangSong" w:cs="FangSong"/>
          <w:sz w:val="30"/>
          <w:szCs w:val="30"/>
        </w:rPr>
      </w:pPr>
      <w:r>
        <w:rPr>
          <w:rFonts w:ascii="FangSong" w:hAnsi="FangSong" w:eastAsia="FangSong" w:cs="FangSong"/>
          <w:sz w:val="30"/>
          <w:szCs w:val="30"/>
          <w:spacing w:val="21"/>
        </w:rPr>
        <w:t>2.</w:t>
      </w:r>
      <w:r>
        <w:rPr>
          <w:rFonts w:ascii="FangSong" w:hAnsi="FangSong" w:eastAsia="FangSong" w:cs="FangSong"/>
          <w:sz w:val="30"/>
          <w:szCs w:val="30"/>
          <w:spacing w:val="21"/>
        </w:rPr>
        <w:t xml:space="preserve"> </w:t>
      </w:r>
      <w:r>
        <w:rPr>
          <w:rFonts w:ascii="FangSong" w:hAnsi="FangSong" w:eastAsia="FangSong" w:cs="FangSong"/>
          <w:sz w:val="30"/>
          <w:szCs w:val="30"/>
          <w:spacing w:val="21"/>
        </w:rPr>
        <w:t>《中华人民共和国尘肺病防治条例》第二十三条第(六)项</w:t>
      </w:r>
      <w:r>
        <w:rPr>
          <w:rFonts w:ascii="FangSong" w:hAnsi="FangSong" w:eastAsia="FangSong" w:cs="FangSong"/>
          <w:sz w:val="30"/>
          <w:szCs w:val="30"/>
          <w:spacing w:val="21"/>
        </w:rPr>
        <w:t xml:space="preserve">   </w:t>
      </w:r>
      <w:r>
        <w:rPr>
          <w:rFonts w:ascii="FangSong" w:hAnsi="FangSong" w:eastAsia="FangSong" w:cs="FangSong"/>
          <w:sz w:val="30"/>
          <w:szCs w:val="30"/>
          <w:spacing w:val="21"/>
        </w:rPr>
        <w:t>凡违反本条例规定，有下列行</w:t>
      </w:r>
      <w:r>
        <w:rPr>
          <w:rFonts w:ascii="FangSong" w:hAnsi="FangSong" w:eastAsia="FangSong" w:cs="FangSong"/>
          <w:sz w:val="30"/>
          <w:szCs w:val="30"/>
          <w:spacing w:val="14"/>
        </w:rPr>
        <w:t xml:space="preserve"> </w:t>
      </w:r>
      <w:r>
        <w:rPr>
          <w:rFonts w:ascii="FangSong" w:hAnsi="FangSong" w:eastAsia="FangSong" w:cs="FangSong"/>
          <w:sz w:val="30"/>
          <w:szCs w:val="30"/>
          <w:spacing w:val="16"/>
        </w:rPr>
        <w:t>为之一的，卫生行政部门和劳动部门，可视其情节轻重，给予警告、限期治理、罚款和停业整顿的处</w:t>
      </w:r>
      <w:r>
        <w:rPr>
          <w:rFonts w:ascii="FangSong" w:hAnsi="FangSong" w:eastAsia="FangSong" w:cs="FangSong"/>
          <w:sz w:val="30"/>
          <w:szCs w:val="30"/>
          <w:spacing w:val="16"/>
        </w:rPr>
        <w:t xml:space="preserve"> </w:t>
      </w:r>
      <w:r>
        <w:rPr>
          <w:rFonts w:ascii="FangSong" w:hAnsi="FangSong" w:eastAsia="FangSong" w:cs="FangSong"/>
          <w:sz w:val="30"/>
          <w:szCs w:val="30"/>
          <w:spacing w:val="15"/>
        </w:rPr>
        <w:t>罚。但停业整顿的处罚，需经当地人民政府同意。</w:t>
      </w:r>
    </w:p>
    <w:p>
      <w:pPr>
        <w:ind w:left="769"/>
        <w:spacing w:line="220" w:lineRule="auto"/>
        <w:rPr>
          <w:rFonts w:ascii="FangSong" w:hAnsi="FangSong" w:eastAsia="FangSong" w:cs="FangSong"/>
          <w:sz w:val="30"/>
          <w:szCs w:val="30"/>
        </w:rPr>
      </w:pPr>
      <w:r>
        <w:rPr>
          <w:rFonts w:ascii="FangSong" w:hAnsi="FangSong" w:eastAsia="FangSong" w:cs="FangSong"/>
          <w:sz w:val="30"/>
          <w:szCs w:val="30"/>
          <w:spacing w:val="24"/>
        </w:rPr>
        <w:t>(六)不执行健康检查制度和测尘制度的；</w:t>
      </w:r>
    </w:p>
    <w:p>
      <w:pPr>
        <w:ind w:right="24" w:firstLine="640"/>
        <w:spacing w:before="51" w:line="271" w:lineRule="auto"/>
        <w:rPr>
          <w:rFonts w:ascii="FangSong" w:hAnsi="FangSong" w:eastAsia="FangSong" w:cs="FangSong"/>
          <w:sz w:val="30"/>
          <w:szCs w:val="30"/>
        </w:rPr>
      </w:pPr>
      <w:r>
        <w:rPr>
          <w:rFonts w:ascii="FangSong" w:hAnsi="FangSong" w:eastAsia="FangSong" w:cs="FangSong"/>
          <w:sz w:val="30"/>
          <w:szCs w:val="30"/>
          <w:spacing w:val="18"/>
        </w:rPr>
        <w:t>3.</w:t>
      </w:r>
      <w:r>
        <w:rPr>
          <w:rFonts w:ascii="FangSong" w:hAnsi="FangSong" w:eastAsia="FangSong" w:cs="FangSong"/>
          <w:sz w:val="30"/>
          <w:szCs w:val="30"/>
          <w:spacing w:val="18"/>
        </w:rPr>
        <w:t xml:space="preserve"> </w:t>
      </w:r>
      <w:r>
        <w:rPr>
          <w:rFonts w:ascii="FangSong" w:hAnsi="FangSong" w:eastAsia="FangSong" w:cs="FangSong"/>
          <w:sz w:val="30"/>
          <w:szCs w:val="30"/>
          <w:spacing w:val="18"/>
        </w:rPr>
        <w:t>《使用有毒物品作业场所劳动保护条例》第五十九条第一款第(三)项</w:t>
      </w:r>
      <w:r>
        <w:rPr>
          <w:rFonts w:ascii="FangSong" w:hAnsi="FangSong" w:eastAsia="FangSong" w:cs="FangSong"/>
          <w:sz w:val="30"/>
          <w:szCs w:val="30"/>
          <w:spacing w:val="18"/>
        </w:rPr>
        <w:t xml:space="preserve">  </w:t>
      </w:r>
      <w:r>
        <w:rPr>
          <w:rFonts w:ascii="FangSong" w:hAnsi="FangSong" w:eastAsia="FangSong" w:cs="FangSong"/>
          <w:sz w:val="30"/>
          <w:szCs w:val="30"/>
          <w:spacing w:val="18"/>
        </w:rPr>
        <w:t>用人单位违反本条例</w:t>
      </w:r>
      <w:r>
        <w:rPr>
          <w:rFonts w:ascii="FangSong" w:hAnsi="FangSong" w:eastAsia="FangSong" w:cs="FangSong"/>
          <w:sz w:val="30"/>
          <w:szCs w:val="30"/>
          <w:spacing w:val="16"/>
        </w:rPr>
        <w:t xml:space="preserve"> </w:t>
      </w:r>
      <w:r>
        <w:rPr>
          <w:rFonts w:ascii="FangSong" w:hAnsi="FangSong" w:eastAsia="FangSong" w:cs="FangSong"/>
          <w:sz w:val="30"/>
          <w:szCs w:val="30"/>
          <w:spacing w:val="21"/>
        </w:rPr>
        <w:t>的规定，有下列情形之一的，由疾病预防控制部门给予警告，责令限期改正；逾期不改</w:t>
      </w:r>
      <w:r>
        <w:rPr>
          <w:rFonts w:ascii="FangSong" w:hAnsi="FangSong" w:eastAsia="FangSong" w:cs="FangSong"/>
          <w:sz w:val="30"/>
          <w:szCs w:val="30"/>
          <w:spacing w:val="20"/>
        </w:rPr>
        <w:t>正的，处5</w:t>
      </w:r>
    </w:p>
    <w:p>
      <w:pPr>
        <w:ind w:right="11"/>
        <w:spacing w:before="5" w:line="271" w:lineRule="auto"/>
        <w:rPr>
          <w:rFonts w:ascii="FangSong" w:hAnsi="FangSong" w:eastAsia="FangSong" w:cs="FangSong"/>
          <w:sz w:val="30"/>
          <w:szCs w:val="30"/>
        </w:rPr>
      </w:pPr>
      <w:r>
        <w:rPr>
          <w:rFonts w:ascii="FangSong" w:hAnsi="FangSong" w:eastAsia="FangSong" w:cs="FangSong"/>
          <w:sz w:val="30"/>
          <w:szCs w:val="30"/>
          <w:spacing w:val="23"/>
        </w:rPr>
        <w:t>万元以上20万元以下的罚款；情节严重的，提请有关人民政府按照国务院规定的权限予以关闭；造</w:t>
      </w:r>
      <w:r>
        <w:rPr>
          <w:rFonts w:ascii="FangSong" w:hAnsi="FangSong" w:eastAsia="FangSong" w:cs="FangSong"/>
          <w:sz w:val="30"/>
          <w:szCs w:val="30"/>
          <w:spacing w:val="7"/>
        </w:rPr>
        <w:t xml:space="preserve"> </w:t>
      </w:r>
      <w:r>
        <w:rPr>
          <w:rFonts w:ascii="FangSong" w:hAnsi="FangSong" w:eastAsia="FangSong" w:cs="FangSong"/>
          <w:sz w:val="30"/>
          <w:szCs w:val="30"/>
          <w:spacing w:val="17"/>
        </w:rPr>
        <w:t>成严重职业中毒危害或者导致职业中毒事故发生的，对</w:t>
      </w:r>
      <w:r>
        <w:rPr>
          <w:rFonts w:ascii="FangSong" w:hAnsi="FangSong" w:eastAsia="FangSong" w:cs="FangSong"/>
          <w:sz w:val="30"/>
          <w:szCs w:val="30"/>
          <w:spacing w:val="16"/>
        </w:rPr>
        <w:t>负有责任的主管人员和其他直接责任人员依照</w:t>
      </w:r>
      <w:r>
        <w:rPr>
          <w:rFonts w:ascii="FangSong" w:hAnsi="FangSong" w:eastAsia="FangSong" w:cs="FangSong"/>
          <w:sz w:val="30"/>
          <w:szCs w:val="30"/>
        </w:rPr>
        <w:t xml:space="preserve"> </w:t>
      </w:r>
      <w:r>
        <w:rPr>
          <w:rFonts w:ascii="FangSong" w:hAnsi="FangSong" w:eastAsia="FangSong" w:cs="FangSong"/>
          <w:sz w:val="30"/>
          <w:szCs w:val="30"/>
          <w:spacing w:val="17"/>
        </w:rPr>
        <w:t>刑法关于重大劳动安全事故罪或者其他罪的规定，</w:t>
      </w:r>
      <w:r>
        <w:rPr>
          <w:rFonts w:ascii="FangSong" w:hAnsi="FangSong" w:eastAsia="FangSong" w:cs="FangSong"/>
          <w:sz w:val="30"/>
          <w:szCs w:val="30"/>
          <w:spacing w:val="16"/>
        </w:rPr>
        <w:t>依法追究刑事责任：</w:t>
      </w:r>
    </w:p>
    <w:p>
      <w:pPr>
        <w:ind w:left="769"/>
        <w:spacing w:before="4" w:line="220" w:lineRule="auto"/>
        <w:rPr>
          <w:rFonts w:ascii="FangSong" w:hAnsi="FangSong" w:eastAsia="FangSong" w:cs="FangSong"/>
          <w:sz w:val="30"/>
          <w:szCs w:val="30"/>
        </w:rPr>
      </w:pPr>
      <w:r>
        <w:rPr>
          <w:rFonts w:ascii="FangSong" w:hAnsi="FangSong" w:eastAsia="FangSong" w:cs="FangSong"/>
          <w:sz w:val="30"/>
          <w:szCs w:val="30"/>
          <w:spacing w:val="22"/>
        </w:rPr>
        <w:t>(三)未依照本条例的规定进行职业中毒危害因素检测和职业中毒危害控制效果评价的；</w:t>
      </w:r>
    </w:p>
    <w:p>
      <w:pPr>
        <w:ind w:right="7"/>
        <w:spacing w:before="93" w:line="220" w:lineRule="auto"/>
        <w:jc w:val="right"/>
        <w:rPr>
          <w:rFonts w:ascii="FangSong" w:hAnsi="FangSong" w:eastAsia="FangSong" w:cs="FangSong"/>
          <w:sz w:val="30"/>
          <w:szCs w:val="30"/>
        </w:rPr>
      </w:pPr>
      <w:r>
        <w:rPr>
          <w:rFonts w:ascii="FangSong" w:hAnsi="FangSong" w:eastAsia="FangSong" w:cs="FangSong"/>
          <w:sz w:val="30"/>
          <w:szCs w:val="30"/>
          <w:spacing w:val="19"/>
        </w:rPr>
        <w:t>4.</w:t>
      </w:r>
      <w:r>
        <w:rPr>
          <w:rFonts w:ascii="FangSong" w:hAnsi="FangSong" w:eastAsia="FangSong" w:cs="FangSong"/>
          <w:sz w:val="30"/>
          <w:szCs w:val="30"/>
          <w:spacing w:val="19"/>
        </w:rPr>
        <w:t xml:space="preserve"> </w:t>
      </w:r>
      <w:r>
        <w:rPr>
          <w:rFonts w:ascii="FangSong" w:hAnsi="FangSong" w:eastAsia="FangSong" w:cs="FangSong"/>
          <w:sz w:val="30"/>
          <w:szCs w:val="30"/>
          <w:spacing w:val="19"/>
        </w:rPr>
        <w:t>《工作场所职业卫生管理规定》第五十条第(四)项</w:t>
      </w:r>
      <w:r>
        <w:rPr>
          <w:rFonts w:ascii="FangSong" w:hAnsi="FangSong" w:eastAsia="FangSong" w:cs="FangSong"/>
          <w:sz w:val="30"/>
          <w:szCs w:val="30"/>
          <w:spacing w:val="19"/>
        </w:rPr>
        <w:t xml:space="preserve">  </w:t>
      </w:r>
      <w:r>
        <w:rPr>
          <w:rFonts w:ascii="FangSong" w:hAnsi="FangSong" w:eastAsia="FangSong" w:cs="FangSong"/>
          <w:sz w:val="30"/>
          <w:szCs w:val="30"/>
          <w:spacing w:val="19"/>
        </w:rPr>
        <w:t>用人单位</w:t>
      </w:r>
      <w:r>
        <w:rPr>
          <w:rFonts w:ascii="FangSong" w:hAnsi="FangSong" w:eastAsia="FangSong" w:cs="FangSong"/>
          <w:sz w:val="30"/>
          <w:szCs w:val="30"/>
          <w:spacing w:val="18"/>
        </w:rPr>
        <w:t>有下列情形之一的，责令限期</w:t>
      </w:r>
    </w:p>
    <w:p>
      <w:pPr>
        <w:spacing w:line="220" w:lineRule="auto"/>
        <w:sectPr>
          <w:footerReference w:type="default" r:id="rId495"/>
          <w:pgSz w:w="16830" w:h="11900"/>
          <w:pgMar w:top="1011" w:right="1448" w:bottom="1107" w:left="1439" w:header="0" w:footer="774" w:gutter="0"/>
        </w:sectPr>
        <w:rPr>
          <w:rFonts w:ascii="FangSong" w:hAnsi="FangSong" w:eastAsia="FangSong" w:cs="FangSong"/>
          <w:sz w:val="30"/>
          <w:szCs w:val="30"/>
        </w:rPr>
      </w:pPr>
    </w:p>
    <w:p>
      <w:pPr>
        <w:pStyle w:val="BodyText"/>
        <w:spacing w:line="268" w:lineRule="auto"/>
        <w:rPr/>
      </w:pPr>
      <w:r/>
    </w:p>
    <w:p>
      <w:pPr>
        <w:pStyle w:val="BodyText"/>
        <w:spacing w:line="268" w:lineRule="auto"/>
        <w:rPr/>
      </w:pPr>
      <w:r/>
    </w:p>
    <w:p>
      <w:pPr>
        <w:pStyle w:val="BodyText"/>
        <w:spacing w:line="269" w:lineRule="auto"/>
        <w:rPr/>
      </w:pPr>
      <w:r/>
    </w:p>
    <w:p>
      <w:pPr>
        <w:ind w:left="15" w:firstLine="19"/>
        <w:spacing w:before="97" w:line="269" w:lineRule="auto"/>
        <w:rPr>
          <w:rFonts w:ascii="FangSong" w:hAnsi="FangSong" w:eastAsia="FangSong" w:cs="FangSong"/>
          <w:sz w:val="30"/>
          <w:szCs w:val="30"/>
        </w:rPr>
      </w:pPr>
      <w:r>
        <w:rPr>
          <w:rFonts w:ascii="FangSong" w:hAnsi="FangSong" w:eastAsia="FangSong" w:cs="FangSong"/>
          <w:sz w:val="30"/>
          <w:szCs w:val="30"/>
          <w:spacing w:val="16"/>
        </w:rPr>
        <w:t>改正，给予警告；逾期未改正的，处五万元以上二十万元以下的罚款；情节严重的，责令停止产生职</w:t>
      </w:r>
      <w:r>
        <w:rPr>
          <w:rFonts w:ascii="FangSong" w:hAnsi="FangSong" w:eastAsia="FangSong" w:cs="FangSong"/>
          <w:sz w:val="30"/>
          <w:szCs w:val="30"/>
          <w:spacing w:val="12"/>
        </w:rPr>
        <w:t xml:space="preserve"> </w:t>
      </w:r>
      <w:r>
        <w:rPr>
          <w:rFonts w:ascii="FangSong" w:hAnsi="FangSong" w:eastAsia="FangSong" w:cs="FangSong"/>
          <w:sz w:val="30"/>
          <w:szCs w:val="30"/>
          <w:spacing w:val="17"/>
        </w:rPr>
        <w:t>业病危害的作业，或者提请有关人民政府按照国务院规定的权限责令</w:t>
      </w:r>
      <w:r>
        <w:rPr>
          <w:rFonts w:ascii="FangSong" w:hAnsi="FangSong" w:eastAsia="FangSong" w:cs="FangSong"/>
          <w:sz w:val="30"/>
          <w:szCs w:val="30"/>
          <w:spacing w:val="16"/>
        </w:rPr>
        <w:t>关闭：</w:t>
      </w:r>
    </w:p>
    <w:p>
      <w:pPr>
        <w:ind w:left="785"/>
        <w:spacing w:before="2" w:line="220" w:lineRule="auto"/>
        <w:rPr>
          <w:rFonts w:ascii="FangSong" w:hAnsi="FangSong" w:eastAsia="FangSong" w:cs="FangSong"/>
          <w:sz w:val="30"/>
          <w:szCs w:val="30"/>
        </w:rPr>
      </w:pPr>
      <w:r>
        <w:rPr>
          <w:rFonts w:ascii="FangSong" w:hAnsi="FangSong" w:eastAsia="FangSong" w:cs="FangSong"/>
          <w:sz w:val="30"/>
          <w:szCs w:val="30"/>
          <w:spacing w:val="23"/>
        </w:rPr>
        <w:t>(四)未按照规定对工作场所职业病危害因素进行检测、现</w:t>
      </w:r>
      <w:r>
        <w:rPr>
          <w:rFonts w:ascii="FangSong" w:hAnsi="FangSong" w:eastAsia="FangSong" w:cs="FangSong"/>
          <w:sz w:val="30"/>
          <w:szCs w:val="30"/>
          <w:spacing w:val="22"/>
        </w:rPr>
        <w:t>状评价的。</w:t>
      </w:r>
    </w:p>
    <w:p>
      <w:pPr>
        <w:ind w:left="6419"/>
        <w:spacing w:before="214"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24"/>
        <w:gridCol w:w="9103"/>
        <w:gridCol w:w="3243"/>
      </w:tblGrid>
      <w:tr>
        <w:trPr>
          <w:trHeight w:val="634" w:hRule="atLeast"/>
        </w:trPr>
        <w:tc>
          <w:tcPr>
            <w:tcW w:w="1524" w:type="dxa"/>
            <w:vAlign w:val="top"/>
          </w:tcPr>
          <w:p>
            <w:pPr>
              <w:pStyle w:val="TableText"/>
              <w:ind w:left="258"/>
              <w:spacing w:before="192" w:line="220" w:lineRule="auto"/>
              <w:rPr>
                <w:sz w:val="25"/>
                <w:szCs w:val="25"/>
              </w:rPr>
            </w:pPr>
            <w:r>
              <w:rPr>
                <w:sz w:val="25"/>
                <w:szCs w:val="25"/>
                <w:b/>
                <w:bCs/>
                <w:spacing w:val="-5"/>
              </w:rPr>
              <w:t>违法程度</w:t>
            </w:r>
          </w:p>
        </w:tc>
        <w:tc>
          <w:tcPr>
            <w:tcW w:w="9103" w:type="dxa"/>
            <w:vAlign w:val="top"/>
          </w:tcPr>
          <w:p>
            <w:pPr>
              <w:pStyle w:val="TableText"/>
              <w:ind w:left="3984"/>
              <w:spacing w:before="192" w:line="220" w:lineRule="auto"/>
              <w:rPr>
                <w:sz w:val="25"/>
                <w:szCs w:val="25"/>
              </w:rPr>
            </w:pPr>
            <w:r>
              <w:rPr>
                <w:sz w:val="25"/>
                <w:szCs w:val="25"/>
                <w:b/>
                <w:bCs/>
                <w:spacing w:val="-5"/>
              </w:rPr>
              <w:t>情节后果</w:t>
            </w:r>
          </w:p>
        </w:tc>
        <w:tc>
          <w:tcPr>
            <w:tcW w:w="3243" w:type="dxa"/>
            <w:vAlign w:val="top"/>
          </w:tcPr>
          <w:p>
            <w:pPr>
              <w:pStyle w:val="TableText"/>
              <w:ind w:left="1121"/>
              <w:spacing w:before="189" w:line="218" w:lineRule="auto"/>
              <w:rPr>
                <w:sz w:val="25"/>
                <w:szCs w:val="25"/>
              </w:rPr>
            </w:pPr>
            <w:r>
              <w:rPr>
                <w:sz w:val="25"/>
                <w:szCs w:val="25"/>
                <w:b/>
                <w:bCs/>
                <w:spacing w:val="-5"/>
              </w:rPr>
              <w:t>裁量幅度</w:t>
            </w:r>
          </w:p>
        </w:tc>
      </w:tr>
      <w:tr>
        <w:trPr>
          <w:trHeight w:val="629" w:hRule="atLeast"/>
        </w:trPr>
        <w:tc>
          <w:tcPr>
            <w:tcW w:w="1524" w:type="dxa"/>
            <w:vAlign w:val="top"/>
          </w:tcPr>
          <w:p>
            <w:pPr>
              <w:pStyle w:val="TableText"/>
              <w:ind w:left="508"/>
              <w:spacing w:before="187" w:line="219" w:lineRule="auto"/>
              <w:rPr>
                <w:sz w:val="25"/>
                <w:szCs w:val="25"/>
              </w:rPr>
            </w:pPr>
            <w:r>
              <w:rPr>
                <w:sz w:val="25"/>
                <w:szCs w:val="25"/>
                <w:b/>
                <w:bCs/>
                <w:spacing w:val="-6"/>
              </w:rPr>
              <w:t>轻微</w:t>
            </w:r>
          </w:p>
        </w:tc>
        <w:tc>
          <w:tcPr>
            <w:tcW w:w="9103" w:type="dxa"/>
            <w:vAlign w:val="top"/>
          </w:tcPr>
          <w:p>
            <w:pPr>
              <w:pStyle w:val="TableText"/>
              <w:ind w:left="111"/>
              <w:spacing w:before="189" w:line="218" w:lineRule="auto"/>
              <w:rPr>
                <w:sz w:val="25"/>
                <w:szCs w:val="25"/>
              </w:rPr>
            </w:pPr>
            <w:r>
              <w:rPr>
                <w:sz w:val="25"/>
                <w:szCs w:val="25"/>
              </w:rPr>
              <w:t>未按照规定对工作场所职业病危害因素进行检测、评价的</w:t>
            </w:r>
          </w:p>
        </w:tc>
        <w:tc>
          <w:tcPr>
            <w:tcW w:w="3243" w:type="dxa"/>
            <w:vAlign w:val="top"/>
          </w:tcPr>
          <w:p>
            <w:pPr>
              <w:pStyle w:val="TableText"/>
              <w:ind w:left="108"/>
              <w:spacing w:before="189" w:line="218" w:lineRule="auto"/>
              <w:rPr>
                <w:sz w:val="25"/>
                <w:szCs w:val="25"/>
              </w:rPr>
            </w:pPr>
            <w:r>
              <w:rPr>
                <w:sz w:val="25"/>
                <w:szCs w:val="25"/>
                <w:spacing w:val="1"/>
              </w:rPr>
              <w:t>给予警告，责令限期改正</w:t>
            </w:r>
          </w:p>
        </w:tc>
      </w:tr>
      <w:tr>
        <w:trPr>
          <w:trHeight w:val="688" w:hRule="atLeast"/>
        </w:trPr>
        <w:tc>
          <w:tcPr>
            <w:tcW w:w="1524" w:type="dxa"/>
            <w:vAlign w:val="top"/>
          </w:tcPr>
          <w:p>
            <w:pPr>
              <w:pStyle w:val="TableText"/>
              <w:ind w:left="508"/>
              <w:spacing w:before="220" w:line="221" w:lineRule="auto"/>
              <w:rPr>
                <w:sz w:val="25"/>
                <w:szCs w:val="25"/>
              </w:rPr>
            </w:pPr>
            <w:r>
              <w:rPr>
                <w:sz w:val="25"/>
                <w:szCs w:val="25"/>
                <w:b/>
                <w:bCs/>
                <w:spacing w:val="-10"/>
              </w:rPr>
              <w:t>一般</w:t>
            </w:r>
          </w:p>
        </w:tc>
        <w:tc>
          <w:tcPr>
            <w:tcW w:w="9103" w:type="dxa"/>
            <w:vAlign w:val="top"/>
          </w:tcPr>
          <w:p>
            <w:pPr>
              <w:pStyle w:val="TableText"/>
              <w:ind w:left="111" w:firstLine="9"/>
              <w:spacing w:before="71" w:line="224" w:lineRule="auto"/>
              <w:rPr>
                <w:sz w:val="25"/>
                <w:szCs w:val="25"/>
              </w:rPr>
            </w:pPr>
            <w:r>
              <w:rPr>
                <w:sz w:val="25"/>
                <w:szCs w:val="25"/>
                <w:spacing w:val="-8"/>
              </w:rPr>
              <w:t>未按照规定对工作场所职业病危害因素进行检测、评价，经责令限期改正，逾期不改</w:t>
            </w:r>
            <w:r>
              <w:rPr>
                <w:sz w:val="25"/>
                <w:szCs w:val="25"/>
                <w:spacing w:val="16"/>
              </w:rPr>
              <w:t xml:space="preserve"> </w:t>
            </w:r>
            <w:r>
              <w:rPr>
                <w:sz w:val="25"/>
                <w:szCs w:val="25"/>
              </w:rPr>
              <w:t>正，仍存在工作场所职业病危害因素检测点(或工种)不全，缺检数量3个以下的</w:t>
            </w:r>
          </w:p>
        </w:tc>
        <w:tc>
          <w:tcPr>
            <w:tcW w:w="3243" w:type="dxa"/>
            <w:vAlign w:val="top"/>
          </w:tcPr>
          <w:p>
            <w:pPr>
              <w:pStyle w:val="TableText"/>
              <w:ind w:left="117"/>
              <w:spacing w:before="83" w:line="220" w:lineRule="auto"/>
              <w:rPr>
                <w:sz w:val="25"/>
                <w:szCs w:val="25"/>
              </w:rPr>
            </w:pPr>
            <w:r>
              <w:rPr>
                <w:sz w:val="25"/>
                <w:szCs w:val="25"/>
                <w:spacing w:val="2"/>
              </w:rPr>
              <w:t>处五万以上十万元以下的罚</w:t>
            </w:r>
          </w:p>
          <w:p>
            <w:pPr>
              <w:pStyle w:val="TableText"/>
              <w:ind w:left="88"/>
              <w:spacing w:before="12" w:line="210" w:lineRule="auto"/>
              <w:rPr>
                <w:sz w:val="25"/>
                <w:szCs w:val="25"/>
              </w:rPr>
            </w:pPr>
            <w:r>
              <w:rPr>
                <w:sz w:val="25"/>
                <w:szCs w:val="25"/>
                <w:color w:val="505060"/>
              </w:rPr>
              <w:t>款</w:t>
            </w:r>
          </w:p>
        </w:tc>
      </w:tr>
      <w:tr>
        <w:trPr>
          <w:trHeight w:val="1377" w:hRule="atLeast"/>
        </w:trPr>
        <w:tc>
          <w:tcPr>
            <w:tcW w:w="1524" w:type="dxa"/>
            <w:vAlign w:val="top"/>
          </w:tcPr>
          <w:p>
            <w:pPr>
              <w:spacing w:line="244" w:lineRule="auto"/>
              <w:rPr>
                <w:rFonts w:ascii="Arial"/>
                <w:sz w:val="21"/>
              </w:rPr>
            </w:pPr>
            <w:r/>
          </w:p>
          <w:p>
            <w:pPr>
              <w:spacing w:line="245" w:lineRule="auto"/>
              <w:rPr>
                <w:rFonts w:ascii="Arial"/>
                <w:sz w:val="21"/>
              </w:rPr>
            </w:pPr>
            <w:r/>
          </w:p>
          <w:p>
            <w:pPr>
              <w:pStyle w:val="TableText"/>
              <w:ind w:left="508"/>
              <w:spacing w:before="82" w:line="221" w:lineRule="auto"/>
              <w:rPr>
                <w:sz w:val="25"/>
                <w:szCs w:val="25"/>
              </w:rPr>
            </w:pPr>
            <w:r>
              <w:rPr>
                <w:sz w:val="25"/>
                <w:szCs w:val="25"/>
                <w:b/>
                <w:bCs/>
                <w:spacing w:val="-6"/>
              </w:rPr>
              <w:t>较重</w:t>
            </w:r>
          </w:p>
        </w:tc>
        <w:tc>
          <w:tcPr>
            <w:tcW w:w="9103" w:type="dxa"/>
            <w:vAlign w:val="top"/>
          </w:tcPr>
          <w:p>
            <w:pPr>
              <w:pStyle w:val="TableText"/>
              <w:ind w:left="111" w:firstLine="9"/>
              <w:spacing w:before="92" w:line="247" w:lineRule="auto"/>
              <w:rPr>
                <w:sz w:val="25"/>
                <w:szCs w:val="25"/>
              </w:rPr>
            </w:pPr>
            <w:r>
              <w:rPr>
                <w:sz w:val="25"/>
                <w:szCs w:val="25"/>
                <w:spacing w:val="-8"/>
              </w:rPr>
              <w:t>未按照规定对工作场所职业病危害因素进行检测、评价，经责令限期改正，逾期不改</w:t>
            </w:r>
            <w:r>
              <w:rPr>
                <w:sz w:val="25"/>
                <w:szCs w:val="25"/>
                <w:spacing w:val="16"/>
              </w:rPr>
              <w:t xml:space="preserve"> </w:t>
            </w:r>
            <w:r>
              <w:rPr>
                <w:sz w:val="25"/>
                <w:szCs w:val="25"/>
                <w:spacing w:val="1"/>
              </w:rPr>
              <w:t>正，仍存在以下违法情形之一的：</w:t>
            </w:r>
          </w:p>
          <w:p>
            <w:pPr>
              <w:pStyle w:val="TableText"/>
              <w:ind w:left="111"/>
              <w:spacing w:before="3" w:line="219" w:lineRule="auto"/>
              <w:rPr>
                <w:sz w:val="25"/>
                <w:szCs w:val="25"/>
              </w:rPr>
            </w:pPr>
            <w:r>
              <w:rPr>
                <w:sz w:val="25"/>
                <w:szCs w:val="25"/>
                <w:spacing w:val="1"/>
              </w:rPr>
              <w:t>A.工作场所职业病危害因素检测点(或工种)不全</w:t>
            </w:r>
            <w:r>
              <w:rPr>
                <w:sz w:val="25"/>
                <w:szCs w:val="25"/>
              </w:rPr>
              <w:t>，缺检数量4-6个的</w:t>
            </w:r>
          </w:p>
          <w:p>
            <w:pPr>
              <w:pStyle w:val="TableText"/>
              <w:ind w:left="111"/>
              <w:spacing w:before="41" w:line="195" w:lineRule="auto"/>
              <w:rPr>
                <w:sz w:val="25"/>
                <w:szCs w:val="25"/>
              </w:rPr>
            </w:pPr>
            <w:r>
              <w:rPr>
                <w:sz w:val="25"/>
                <w:szCs w:val="25"/>
              </w:rPr>
              <w:t>B.未按规定对工作场所职业病危害因素进行评价的</w:t>
            </w:r>
          </w:p>
        </w:tc>
        <w:tc>
          <w:tcPr>
            <w:tcW w:w="3243" w:type="dxa"/>
            <w:vAlign w:val="top"/>
          </w:tcPr>
          <w:p>
            <w:pPr>
              <w:spacing w:line="341" w:lineRule="auto"/>
              <w:rPr>
                <w:rFonts w:ascii="Arial"/>
                <w:sz w:val="21"/>
              </w:rPr>
            </w:pPr>
            <w:r/>
          </w:p>
          <w:p>
            <w:pPr>
              <w:pStyle w:val="TableText"/>
              <w:ind w:left="117"/>
              <w:spacing w:before="81" w:line="220" w:lineRule="auto"/>
              <w:rPr>
                <w:sz w:val="25"/>
                <w:szCs w:val="25"/>
              </w:rPr>
            </w:pPr>
            <w:r>
              <w:rPr>
                <w:sz w:val="25"/>
                <w:szCs w:val="25"/>
                <w:spacing w:val="1"/>
              </w:rPr>
              <w:t>处十万元以上二十万以下的</w:t>
            </w:r>
          </w:p>
          <w:p>
            <w:pPr>
              <w:pStyle w:val="TableText"/>
              <w:ind w:left="117"/>
              <w:spacing w:before="42" w:line="221" w:lineRule="auto"/>
              <w:rPr>
                <w:sz w:val="25"/>
                <w:szCs w:val="25"/>
              </w:rPr>
            </w:pPr>
            <w:r>
              <w:rPr>
                <w:sz w:val="25"/>
                <w:szCs w:val="25"/>
                <w:color w:val="505050"/>
                <w:spacing w:val="5"/>
              </w:rPr>
              <w:t>罚款</w:t>
            </w:r>
          </w:p>
        </w:tc>
      </w:tr>
      <w:tr>
        <w:trPr>
          <w:trHeight w:val="1712" w:hRule="atLeast"/>
        </w:trPr>
        <w:tc>
          <w:tcPr>
            <w:tcW w:w="1524" w:type="dxa"/>
            <w:vAlign w:val="top"/>
          </w:tcPr>
          <w:p>
            <w:pPr>
              <w:spacing w:line="324" w:lineRule="auto"/>
              <w:rPr>
                <w:rFonts w:ascii="Arial"/>
                <w:sz w:val="21"/>
              </w:rPr>
            </w:pPr>
            <w:r/>
          </w:p>
          <w:p>
            <w:pPr>
              <w:spacing w:line="325" w:lineRule="auto"/>
              <w:rPr>
                <w:rFonts w:ascii="Arial"/>
                <w:sz w:val="21"/>
              </w:rPr>
            </w:pPr>
            <w:r/>
          </w:p>
          <w:p>
            <w:pPr>
              <w:pStyle w:val="TableText"/>
              <w:ind w:left="508"/>
              <w:spacing w:before="81" w:line="220" w:lineRule="auto"/>
              <w:rPr>
                <w:sz w:val="25"/>
                <w:szCs w:val="25"/>
              </w:rPr>
            </w:pPr>
            <w:r>
              <w:rPr>
                <w:sz w:val="25"/>
                <w:szCs w:val="25"/>
                <w:b/>
                <w:bCs/>
                <w:spacing w:val="-6"/>
              </w:rPr>
              <w:t>严重</w:t>
            </w:r>
          </w:p>
        </w:tc>
        <w:tc>
          <w:tcPr>
            <w:tcW w:w="9103" w:type="dxa"/>
            <w:vAlign w:val="top"/>
          </w:tcPr>
          <w:p>
            <w:pPr>
              <w:pStyle w:val="TableText"/>
              <w:ind w:left="111" w:firstLine="9"/>
              <w:spacing w:before="76" w:line="254" w:lineRule="auto"/>
              <w:rPr>
                <w:sz w:val="25"/>
                <w:szCs w:val="25"/>
              </w:rPr>
            </w:pPr>
            <w:r>
              <w:rPr>
                <w:sz w:val="25"/>
                <w:szCs w:val="25"/>
                <w:spacing w:val="-8"/>
              </w:rPr>
              <w:t>未按照规定对工作场所职业病危害因素进行检测、评价，经责令限期改正，逾期不改</w:t>
            </w:r>
            <w:r>
              <w:rPr>
                <w:sz w:val="25"/>
                <w:szCs w:val="25"/>
                <w:spacing w:val="16"/>
              </w:rPr>
              <w:t xml:space="preserve"> </w:t>
            </w:r>
            <w:r>
              <w:rPr>
                <w:sz w:val="25"/>
                <w:szCs w:val="25"/>
                <w:spacing w:val="1"/>
              </w:rPr>
              <w:t>正，仍存在以下违法情形之一的：</w:t>
            </w:r>
          </w:p>
          <w:p>
            <w:pPr>
              <w:pStyle w:val="TableText"/>
              <w:ind w:left="111"/>
              <w:spacing w:before="13" w:line="219" w:lineRule="auto"/>
              <w:rPr>
                <w:sz w:val="25"/>
                <w:szCs w:val="25"/>
              </w:rPr>
            </w:pPr>
            <w:r>
              <w:rPr>
                <w:sz w:val="25"/>
                <w:szCs w:val="25"/>
                <w:spacing w:val="1"/>
              </w:rPr>
              <w:t>A.工作场所职业病危害因素检测点(或工种)不全</w:t>
            </w:r>
            <w:r>
              <w:rPr>
                <w:sz w:val="25"/>
                <w:szCs w:val="25"/>
              </w:rPr>
              <w:t>，缺检数量7个以上的</w:t>
            </w:r>
          </w:p>
          <w:p>
            <w:pPr>
              <w:pStyle w:val="TableText"/>
              <w:ind w:left="110" w:hanging="19"/>
              <w:spacing w:before="23" w:line="223" w:lineRule="auto"/>
              <w:rPr>
                <w:sz w:val="25"/>
                <w:szCs w:val="25"/>
              </w:rPr>
            </w:pPr>
            <w:r>
              <w:rPr>
                <w:sz w:val="25"/>
                <w:szCs w:val="25"/>
              </w:rPr>
              <w:t>B.工作场所职业病危害因素检测点(或工种)不全，危害因素为《高毒物品目录》中 </w:t>
            </w:r>
            <w:r>
              <w:rPr>
                <w:sz w:val="25"/>
                <w:szCs w:val="25"/>
              </w:rPr>
              <w:t>职业病危害因素或矽尘、放射职业病危害因素的</w:t>
            </w:r>
          </w:p>
        </w:tc>
        <w:tc>
          <w:tcPr>
            <w:tcW w:w="3243" w:type="dxa"/>
            <w:vAlign w:val="top"/>
          </w:tcPr>
          <w:p>
            <w:pPr>
              <w:pStyle w:val="TableText"/>
              <w:ind w:left="18" w:firstLine="99"/>
              <w:spacing w:before="246" w:line="249" w:lineRule="auto"/>
              <w:jc w:val="both"/>
              <w:rPr>
                <w:sz w:val="25"/>
                <w:szCs w:val="25"/>
              </w:rPr>
            </w:pPr>
            <w:r>
              <w:rPr>
                <w:sz w:val="25"/>
                <w:szCs w:val="25"/>
                <w:spacing w:val="-1"/>
              </w:rPr>
              <w:t>责令停止产生职业病危害的</w:t>
            </w:r>
            <w:r>
              <w:rPr>
                <w:sz w:val="25"/>
                <w:szCs w:val="25"/>
                <w:spacing w:val="3"/>
              </w:rPr>
              <w:t xml:space="preserve">  </w:t>
            </w:r>
            <w:r>
              <w:rPr>
                <w:sz w:val="25"/>
                <w:szCs w:val="25"/>
                <w:spacing w:val="-3"/>
              </w:rPr>
              <w:t>作业，或者提请有关人民政府</w:t>
            </w:r>
            <w:r>
              <w:rPr>
                <w:sz w:val="25"/>
                <w:szCs w:val="25"/>
                <w:spacing w:val="2"/>
              </w:rPr>
              <w:t xml:space="preserve"> </w:t>
            </w:r>
            <w:r>
              <w:rPr>
                <w:sz w:val="25"/>
                <w:szCs w:val="25"/>
                <w:spacing w:val="7"/>
              </w:rPr>
              <w:t>按照国务院规定的权限责令</w:t>
            </w:r>
          </w:p>
          <w:p>
            <w:pPr>
              <w:pStyle w:val="TableText"/>
              <w:ind w:left="108"/>
              <w:spacing w:line="220" w:lineRule="auto"/>
              <w:rPr>
                <w:sz w:val="25"/>
                <w:szCs w:val="25"/>
              </w:rPr>
            </w:pPr>
            <w:r>
              <w:rPr>
                <w:sz w:val="25"/>
                <w:szCs w:val="25"/>
                <w:color w:val="404040"/>
                <w:spacing w:val="10"/>
              </w:rPr>
              <w:t>关闭</w:t>
            </w:r>
          </w:p>
        </w:tc>
      </w:tr>
    </w:tbl>
    <w:p>
      <w:pPr>
        <w:pStyle w:val="BodyText"/>
        <w:rPr/>
      </w:pPr>
      <w:r/>
    </w:p>
    <w:p>
      <w:pPr>
        <w:sectPr>
          <w:footerReference w:type="default" r:id="rId496"/>
          <w:pgSz w:w="16830" w:h="11900"/>
          <w:pgMar w:top="1011" w:right="1442" w:bottom="1107" w:left="1434" w:header="0" w:footer="774" w:gutter="0"/>
        </w:sectPr>
        <w:rPr/>
      </w:pPr>
    </w:p>
    <w:p>
      <w:pPr>
        <w:pStyle w:val="BodyText"/>
        <w:spacing w:line="262" w:lineRule="auto"/>
        <w:rPr/>
      </w:pPr>
      <w:r/>
    </w:p>
    <w:p>
      <w:pPr>
        <w:pStyle w:val="BodyText"/>
        <w:spacing w:line="262" w:lineRule="auto"/>
        <w:rPr/>
      </w:pPr>
      <w:r/>
    </w:p>
    <w:p>
      <w:pPr>
        <w:pStyle w:val="BodyText"/>
        <w:spacing w:line="263" w:lineRule="auto"/>
        <w:rPr/>
      </w:pPr>
      <w:r/>
    </w:p>
    <w:p>
      <w:pPr>
        <w:ind w:left="4" w:right="314" w:firstLine="640"/>
        <w:spacing w:before="97" w:line="276" w:lineRule="auto"/>
        <w:rPr>
          <w:rFonts w:ascii="FangSong" w:hAnsi="FangSong" w:eastAsia="FangSong" w:cs="FangSong"/>
          <w:sz w:val="30"/>
          <w:szCs w:val="30"/>
        </w:rPr>
      </w:pPr>
      <w:r>
        <w:rPr>
          <w:rFonts w:ascii="FangSong" w:hAnsi="FangSong" w:eastAsia="FangSong" w:cs="FangSong"/>
          <w:sz w:val="30"/>
          <w:szCs w:val="30"/>
          <w:b/>
          <w:bCs/>
          <w:spacing w:val="20"/>
        </w:rPr>
        <w:t>第四百六十五条工作场所职业病危害因素经治理仍</w:t>
      </w:r>
      <w:r>
        <w:rPr>
          <w:rFonts w:ascii="FangSong" w:hAnsi="FangSong" w:eastAsia="FangSong" w:cs="FangSong"/>
          <w:sz w:val="30"/>
          <w:szCs w:val="30"/>
          <w:b/>
          <w:bCs/>
          <w:spacing w:val="19"/>
        </w:rPr>
        <w:t>然达不到国家职业卫生标准和卫生要求时，</w:t>
      </w:r>
      <w:r>
        <w:rPr>
          <w:rFonts w:ascii="FangSong" w:hAnsi="FangSong" w:eastAsia="FangSong" w:cs="FangSong"/>
          <w:sz w:val="30"/>
          <w:szCs w:val="30"/>
        </w:rPr>
        <w:t xml:space="preserve"> </w:t>
      </w:r>
      <w:r>
        <w:rPr>
          <w:rFonts w:ascii="FangSong" w:hAnsi="FangSong" w:eastAsia="FangSong" w:cs="FangSong"/>
          <w:sz w:val="30"/>
          <w:szCs w:val="30"/>
          <w:b/>
          <w:bCs/>
          <w:spacing w:val="15"/>
        </w:rPr>
        <w:t>未停止存在职业病危害因素的作业的</w:t>
      </w:r>
    </w:p>
    <w:p>
      <w:pPr>
        <w:ind w:left="640"/>
        <w:spacing w:before="31"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ind w:right="248" w:firstLine="640"/>
        <w:spacing w:before="66" w:line="270" w:lineRule="auto"/>
        <w:jc w:val="both"/>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《中华人民共和国职业病防治法》第七</w:t>
      </w:r>
      <w:r>
        <w:rPr>
          <w:rFonts w:ascii="FangSong" w:hAnsi="FangSong" w:eastAsia="FangSong" w:cs="FangSong"/>
          <w:sz w:val="30"/>
          <w:szCs w:val="30"/>
          <w:spacing w:val="18"/>
        </w:rPr>
        <w:t>十二条第(五)项</w:t>
      </w:r>
      <w:r>
        <w:rPr>
          <w:rFonts w:ascii="FangSong" w:hAnsi="FangSong" w:eastAsia="FangSong" w:cs="FangSong"/>
          <w:sz w:val="30"/>
          <w:szCs w:val="30"/>
          <w:spacing w:val="18"/>
        </w:rPr>
        <w:t xml:space="preserve">  </w:t>
      </w:r>
      <w:r>
        <w:rPr>
          <w:rFonts w:ascii="FangSong" w:hAnsi="FangSong" w:eastAsia="FangSong" w:cs="FangSong"/>
          <w:sz w:val="30"/>
          <w:szCs w:val="30"/>
          <w:spacing w:val="18"/>
        </w:rPr>
        <w:t>用人单位违反本法规定，有下列行</w:t>
      </w:r>
      <w:r>
        <w:rPr>
          <w:rFonts w:ascii="FangSong" w:hAnsi="FangSong" w:eastAsia="FangSong" w:cs="FangSong"/>
          <w:sz w:val="30"/>
          <w:szCs w:val="30"/>
        </w:rPr>
        <w:t xml:space="preserve"> </w:t>
      </w:r>
      <w:r>
        <w:rPr>
          <w:rFonts w:ascii="FangSong" w:hAnsi="FangSong" w:eastAsia="FangSong" w:cs="FangSong"/>
          <w:sz w:val="30"/>
          <w:szCs w:val="30"/>
          <w:spacing w:val="17"/>
        </w:rPr>
        <w:t>为之一的，由卫生行政部门给予警告，责令限期改正，</w:t>
      </w:r>
      <w:r>
        <w:rPr>
          <w:rFonts w:ascii="FangSong" w:hAnsi="FangSong" w:eastAsia="FangSong" w:cs="FangSong"/>
          <w:sz w:val="30"/>
          <w:szCs w:val="30"/>
          <w:spacing w:val="16"/>
        </w:rPr>
        <w:t>逾期不改正的，处五万元以上二十万元以下的</w:t>
      </w:r>
      <w:r>
        <w:rPr>
          <w:rFonts w:ascii="FangSong" w:hAnsi="FangSong" w:eastAsia="FangSong" w:cs="FangSong"/>
          <w:sz w:val="30"/>
          <w:szCs w:val="30"/>
        </w:rPr>
        <w:t xml:space="preserve"> </w:t>
      </w:r>
      <w:r>
        <w:rPr>
          <w:rFonts w:ascii="FangSong" w:hAnsi="FangSong" w:eastAsia="FangSong" w:cs="FangSong"/>
          <w:sz w:val="30"/>
          <w:szCs w:val="30"/>
          <w:spacing w:val="17"/>
        </w:rPr>
        <w:t>罚款；情节严重的，责令停止产生职业病危害的作业，或者提请有关人民政府按照</w:t>
      </w:r>
      <w:r>
        <w:rPr>
          <w:rFonts w:ascii="FangSong" w:hAnsi="FangSong" w:eastAsia="FangSong" w:cs="FangSong"/>
          <w:sz w:val="30"/>
          <w:szCs w:val="30"/>
          <w:spacing w:val="16"/>
        </w:rPr>
        <w:t>国务院规定的权限</w:t>
      </w:r>
      <w:r>
        <w:rPr>
          <w:rFonts w:ascii="FangSong" w:hAnsi="FangSong" w:eastAsia="FangSong" w:cs="FangSong"/>
          <w:sz w:val="30"/>
          <w:szCs w:val="30"/>
        </w:rPr>
        <w:t xml:space="preserve"> </w:t>
      </w:r>
      <w:r>
        <w:rPr>
          <w:rFonts w:ascii="FangSong" w:hAnsi="FangSong" w:eastAsia="FangSong" w:cs="FangSong"/>
          <w:sz w:val="30"/>
          <w:szCs w:val="30"/>
          <w:spacing w:val="2"/>
        </w:rPr>
        <w:t>责令关闭：</w:t>
      </w:r>
    </w:p>
    <w:p>
      <w:pPr>
        <w:ind w:right="247" w:firstLine="769"/>
        <w:spacing w:line="274" w:lineRule="auto"/>
        <w:rPr>
          <w:rFonts w:ascii="FangSong" w:hAnsi="FangSong" w:eastAsia="FangSong" w:cs="FangSong"/>
          <w:sz w:val="30"/>
          <w:szCs w:val="30"/>
        </w:rPr>
      </w:pPr>
      <w:r>
        <w:rPr>
          <w:rFonts w:ascii="FangSong" w:hAnsi="FangSong" w:eastAsia="FangSong" w:cs="FangSong"/>
          <w:sz w:val="30"/>
          <w:szCs w:val="30"/>
          <w:spacing w:val="21"/>
        </w:rPr>
        <w:t>(五)工作场所职业病危害因素经治理仍然达不到国家职业卫生标准和</w:t>
      </w:r>
      <w:r>
        <w:rPr>
          <w:rFonts w:ascii="FangSong" w:hAnsi="FangSong" w:eastAsia="FangSong" w:cs="FangSong"/>
          <w:sz w:val="30"/>
          <w:szCs w:val="30"/>
          <w:spacing w:val="20"/>
        </w:rPr>
        <w:t>卫生要求时，未停止存在</w:t>
      </w:r>
      <w:r>
        <w:rPr>
          <w:rFonts w:ascii="FangSong" w:hAnsi="FangSong" w:eastAsia="FangSong" w:cs="FangSong"/>
          <w:sz w:val="30"/>
          <w:szCs w:val="30"/>
        </w:rPr>
        <w:t xml:space="preserve"> </w:t>
      </w:r>
      <w:r>
        <w:rPr>
          <w:rFonts w:ascii="FangSong" w:hAnsi="FangSong" w:eastAsia="FangSong" w:cs="FangSong"/>
          <w:sz w:val="30"/>
          <w:szCs w:val="30"/>
          <w:spacing w:val="11"/>
        </w:rPr>
        <w:t>职业病危害因素的作业的；</w:t>
      </w:r>
    </w:p>
    <w:p>
      <w:pPr>
        <w:ind w:right="235" w:firstLine="640"/>
        <w:spacing w:before="2" w:line="264" w:lineRule="auto"/>
        <w:rPr>
          <w:rFonts w:ascii="FangSong" w:hAnsi="FangSong" w:eastAsia="FangSong" w:cs="FangSong"/>
          <w:sz w:val="30"/>
          <w:szCs w:val="30"/>
        </w:rPr>
      </w:pPr>
      <w:r>
        <w:rPr>
          <w:rFonts w:ascii="FangSong" w:hAnsi="FangSong" w:eastAsia="FangSong" w:cs="FangSong"/>
          <w:sz w:val="30"/>
          <w:szCs w:val="30"/>
          <w:spacing w:val="19"/>
        </w:rPr>
        <w:t>2.</w:t>
      </w:r>
      <w:r>
        <w:rPr>
          <w:rFonts w:ascii="FangSong" w:hAnsi="FangSong" w:eastAsia="FangSong" w:cs="FangSong"/>
          <w:sz w:val="30"/>
          <w:szCs w:val="30"/>
          <w:spacing w:val="19"/>
        </w:rPr>
        <w:t xml:space="preserve"> </w:t>
      </w:r>
      <w:r>
        <w:rPr>
          <w:rFonts w:ascii="FangSong" w:hAnsi="FangSong" w:eastAsia="FangSong" w:cs="FangSong"/>
          <w:sz w:val="30"/>
          <w:szCs w:val="30"/>
          <w:spacing w:val="19"/>
        </w:rPr>
        <w:t>《使用有毒物品作业场所劳动保护条例》第六十一条第(一)项</w:t>
      </w:r>
      <w:r>
        <w:rPr>
          <w:rFonts w:ascii="FangSong" w:hAnsi="FangSong" w:eastAsia="FangSong" w:cs="FangSong"/>
          <w:sz w:val="30"/>
          <w:szCs w:val="30"/>
          <w:spacing w:val="19"/>
        </w:rPr>
        <w:t xml:space="preserve">  </w:t>
      </w:r>
      <w:r>
        <w:rPr>
          <w:rFonts w:ascii="FangSong" w:hAnsi="FangSong" w:eastAsia="FangSong" w:cs="FangSong"/>
          <w:sz w:val="30"/>
          <w:szCs w:val="30"/>
          <w:spacing w:val="19"/>
        </w:rPr>
        <w:t>从事使用高毒物品作业的用</w:t>
      </w:r>
      <w:r>
        <w:rPr>
          <w:rFonts w:ascii="FangSong" w:hAnsi="FangSong" w:eastAsia="FangSong" w:cs="FangSong"/>
          <w:sz w:val="30"/>
          <w:szCs w:val="30"/>
          <w:spacing w:val="8"/>
        </w:rPr>
        <w:t xml:space="preserve"> </w:t>
      </w:r>
      <w:r>
        <w:rPr>
          <w:rFonts w:ascii="FangSong" w:hAnsi="FangSong" w:eastAsia="FangSong" w:cs="FangSong"/>
          <w:sz w:val="30"/>
          <w:szCs w:val="30"/>
          <w:spacing w:val="20"/>
        </w:rPr>
        <w:t>人单位违反本条例的规定，有下列行为之一的，由疾病预防控制部门给予警告，责令限期改正，处5</w:t>
      </w:r>
      <w:r>
        <w:rPr>
          <w:rFonts w:ascii="FangSong" w:hAnsi="FangSong" w:eastAsia="FangSong" w:cs="FangSong"/>
          <w:sz w:val="30"/>
          <w:szCs w:val="30"/>
          <w:spacing w:val="8"/>
        </w:rPr>
        <w:t xml:space="preserve"> </w:t>
      </w:r>
      <w:r>
        <w:rPr>
          <w:rFonts w:ascii="FangSong" w:hAnsi="FangSong" w:eastAsia="FangSong" w:cs="FangSong"/>
          <w:sz w:val="30"/>
          <w:szCs w:val="30"/>
          <w:spacing w:val="21"/>
        </w:rPr>
        <w:t>万元以上20万元以下的罚款；逾期不改正的，提请有关人民政府按照国务院规定的权限予以关闭；</w:t>
      </w:r>
    </w:p>
    <w:p>
      <w:pPr>
        <w:ind w:right="228"/>
        <w:spacing w:before="3" w:line="265" w:lineRule="auto"/>
        <w:rPr>
          <w:rFonts w:ascii="FangSong" w:hAnsi="FangSong" w:eastAsia="FangSong" w:cs="FangSong"/>
          <w:sz w:val="30"/>
          <w:szCs w:val="30"/>
        </w:rPr>
      </w:pPr>
      <w:r>
        <w:rPr>
          <w:rFonts w:ascii="FangSong" w:hAnsi="FangSong" w:eastAsia="FangSong" w:cs="FangSong"/>
          <w:sz w:val="30"/>
          <w:szCs w:val="30"/>
          <w:spacing w:val="17"/>
        </w:rPr>
        <w:t>造成严重职业中毒危害或者导致职业中毒事故发生的，对负有责任的主管人员和其他直接责任人员依</w:t>
      </w:r>
      <w:r>
        <w:rPr>
          <w:rFonts w:ascii="FangSong" w:hAnsi="FangSong" w:eastAsia="FangSong" w:cs="FangSong"/>
          <w:sz w:val="30"/>
          <w:szCs w:val="30"/>
          <w:spacing w:val="12"/>
        </w:rPr>
        <w:t xml:space="preserve"> </w:t>
      </w:r>
      <w:r>
        <w:rPr>
          <w:rFonts w:ascii="FangSong" w:hAnsi="FangSong" w:eastAsia="FangSong" w:cs="FangSong"/>
          <w:sz w:val="30"/>
          <w:szCs w:val="30"/>
          <w:spacing w:val="16"/>
        </w:rPr>
        <w:t>照刑法关于重大责任事故罪或者其他罪的规定，依法追究刑事责任：</w:t>
      </w:r>
    </w:p>
    <w:p>
      <w:pPr>
        <w:ind w:firstLine="790"/>
        <w:spacing w:before="57" w:line="252" w:lineRule="auto"/>
        <w:rPr>
          <w:rFonts w:ascii="FangSong" w:hAnsi="FangSong" w:eastAsia="FangSong" w:cs="FangSong"/>
          <w:sz w:val="30"/>
          <w:szCs w:val="30"/>
        </w:rPr>
      </w:pPr>
      <w:r>
        <w:rPr>
          <w:rFonts w:ascii="FangSong" w:hAnsi="FangSong" w:eastAsia="FangSong" w:cs="FangSong"/>
          <w:sz w:val="30"/>
          <w:szCs w:val="30"/>
          <w:spacing w:val="20"/>
        </w:rPr>
        <w:t>(一)作业场所职业中毒危害因素不符合国家职业卫生标准和卫生</w:t>
      </w:r>
      <w:r>
        <w:rPr>
          <w:rFonts w:ascii="FangSong" w:hAnsi="FangSong" w:eastAsia="FangSong" w:cs="FangSong"/>
          <w:sz w:val="30"/>
          <w:szCs w:val="30"/>
          <w:spacing w:val="19"/>
        </w:rPr>
        <w:t>要求而不立即停止高毒作业并</w:t>
      </w:r>
      <w:r>
        <w:rPr>
          <w:rFonts w:ascii="FangSong" w:hAnsi="FangSong" w:eastAsia="FangSong" w:cs="FangSong"/>
          <w:sz w:val="30"/>
          <w:szCs w:val="30"/>
        </w:rPr>
        <w:t xml:space="preserve">  </w:t>
      </w:r>
      <w:r>
        <w:rPr>
          <w:rFonts w:ascii="FangSong" w:hAnsi="FangSong" w:eastAsia="FangSong" w:cs="FangSong"/>
          <w:sz w:val="30"/>
          <w:szCs w:val="30"/>
          <w:spacing w:val="15"/>
        </w:rPr>
        <w:t>采取相应的治理措施的，或者职业中毒危害因素治理不符合国家职业卫生标准和卫生要求重新作业的；</w:t>
      </w:r>
    </w:p>
    <w:p>
      <w:pPr>
        <w:ind w:right="256" w:firstLine="640"/>
        <w:spacing w:before="49" w:line="267" w:lineRule="auto"/>
        <w:rPr>
          <w:rFonts w:ascii="FangSong" w:hAnsi="FangSong" w:eastAsia="FangSong" w:cs="FangSong"/>
          <w:sz w:val="30"/>
          <w:szCs w:val="30"/>
        </w:rPr>
      </w:pPr>
      <w:r>
        <w:rPr>
          <w:rFonts w:ascii="FangSong" w:hAnsi="FangSong" w:eastAsia="FangSong" w:cs="FangSong"/>
          <w:sz w:val="30"/>
          <w:szCs w:val="30"/>
          <w:spacing w:val="19"/>
        </w:rPr>
        <w:t>3.</w:t>
      </w:r>
      <w:r>
        <w:rPr>
          <w:rFonts w:ascii="FangSong" w:hAnsi="FangSong" w:eastAsia="FangSong" w:cs="FangSong"/>
          <w:sz w:val="30"/>
          <w:szCs w:val="30"/>
          <w:spacing w:val="19"/>
        </w:rPr>
        <w:t xml:space="preserve"> </w:t>
      </w:r>
      <w:r>
        <w:rPr>
          <w:rFonts w:ascii="FangSong" w:hAnsi="FangSong" w:eastAsia="FangSong" w:cs="FangSong"/>
          <w:sz w:val="30"/>
          <w:szCs w:val="30"/>
          <w:spacing w:val="19"/>
        </w:rPr>
        <w:t>《工作场所职业卫生管理规定》第五十条第(五)项</w:t>
      </w:r>
      <w:r>
        <w:rPr>
          <w:rFonts w:ascii="FangSong" w:hAnsi="FangSong" w:eastAsia="FangSong" w:cs="FangSong"/>
          <w:sz w:val="30"/>
          <w:szCs w:val="30"/>
          <w:spacing w:val="19"/>
        </w:rPr>
        <w:t xml:space="preserve">  </w:t>
      </w:r>
      <w:r>
        <w:rPr>
          <w:rFonts w:ascii="FangSong" w:hAnsi="FangSong" w:eastAsia="FangSong" w:cs="FangSong"/>
          <w:sz w:val="30"/>
          <w:szCs w:val="30"/>
          <w:spacing w:val="19"/>
        </w:rPr>
        <w:t>用人单位</w:t>
      </w:r>
      <w:r>
        <w:rPr>
          <w:rFonts w:ascii="FangSong" w:hAnsi="FangSong" w:eastAsia="FangSong" w:cs="FangSong"/>
          <w:sz w:val="30"/>
          <w:szCs w:val="30"/>
          <w:spacing w:val="18"/>
        </w:rPr>
        <w:t>有下列情形之一的，责令限期</w:t>
      </w:r>
      <w:r>
        <w:rPr>
          <w:rFonts w:ascii="FangSong" w:hAnsi="FangSong" w:eastAsia="FangSong" w:cs="FangSong"/>
          <w:sz w:val="30"/>
          <w:szCs w:val="30"/>
        </w:rPr>
        <w:t xml:space="preserve"> </w:t>
      </w:r>
      <w:r>
        <w:rPr>
          <w:rFonts w:ascii="FangSong" w:hAnsi="FangSong" w:eastAsia="FangSong" w:cs="FangSong"/>
          <w:sz w:val="30"/>
          <w:szCs w:val="30"/>
          <w:spacing w:val="16"/>
        </w:rPr>
        <w:t>改正，给予警告；逾期未改正的，处五万元以上二十万元以下的罚款；情节严重的，责令停止产生职</w:t>
      </w:r>
    </w:p>
    <w:p>
      <w:pPr>
        <w:spacing w:line="267" w:lineRule="auto"/>
        <w:sectPr>
          <w:footerReference w:type="default" r:id="rId497"/>
          <w:pgSz w:w="16830" w:h="11900"/>
          <w:pgMar w:top="1011" w:right="1200" w:bottom="1124" w:left="1439" w:header="0" w:footer="782" w:gutter="0"/>
        </w:sectPr>
        <w:rPr>
          <w:rFonts w:ascii="FangSong" w:hAnsi="FangSong" w:eastAsia="FangSong" w:cs="FangSong"/>
          <w:sz w:val="30"/>
          <w:szCs w:val="30"/>
        </w:rPr>
      </w:pPr>
    </w:p>
    <w:p>
      <w:pPr>
        <w:pStyle w:val="BodyText"/>
        <w:spacing w:line="267" w:lineRule="auto"/>
        <w:rPr/>
      </w:pPr>
      <w:r/>
    </w:p>
    <w:p>
      <w:pPr>
        <w:pStyle w:val="BodyText"/>
        <w:spacing w:line="267" w:lineRule="auto"/>
        <w:rPr/>
      </w:pPr>
      <w:r/>
    </w:p>
    <w:p>
      <w:pPr>
        <w:pStyle w:val="BodyText"/>
        <w:spacing w:line="268" w:lineRule="auto"/>
        <w:rPr/>
      </w:pPr>
      <w:r/>
    </w:p>
    <w:p>
      <w:pPr>
        <w:ind w:left="34"/>
        <w:spacing w:before="98" w:line="220" w:lineRule="auto"/>
        <w:rPr>
          <w:rFonts w:ascii="FangSong" w:hAnsi="FangSong" w:eastAsia="FangSong" w:cs="FangSong"/>
          <w:sz w:val="30"/>
          <w:szCs w:val="30"/>
        </w:rPr>
      </w:pPr>
      <w:r>
        <w:rPr>
          <w:rFonts w:ascii="FangSong" w:hAnsi="FangSong" w:eastAsia="FangSong" w:cs="FangSong"/>
          <w:sz w:val="30"/>
          <w:szCs w:val="30"/>
          <w:spacing w:val="17"/>
        </w:rPr>
        <w:t>业病危害的作业，或者提请有关人民政府按照国务院规定的权限责令关</w:t>
      </w:r>
      <w:r>
        <w:rPr>
          <w:rFonts w:ascii="FangSong" w:hAnsi="FangSong" w:eastAsia="FangSong" w:cs="FangSong"/>
          <w:sz w:val="30"/>
          <w:szCs w:val="30"/>
          <w:spacing w:val="16"/>
        </w:rPr>
        <w:t>闭：</w:t>
      </w:r>
    </w:p>
    <w:p>
      <w:pPr>
        <w:ind w:left="25" w:firstLine="769"/>
        <w:spacing w:before="82" w:line="271" w:lineRule="auto"/>
        <w:rPr>
          <w:rFonts w:ascii="FangSong" w:hAnsi="FangSong" w:eastAsia="FangSong" w:cs="FangSong"/>
          <w:sz w:val="30"/>
          <w:szCs w:val="30"/>
        </w:rPr>
      </w:pPr>
      <w:r>
        <w:rPr>
          <w:rFonts w:ascii="FangSong" w:hAnsi="FangSong" w:eastAsia="FangSong" w:cs="FangSong"/>
          <w:sz w:val="30"/>
          <w:szCs w:val="30"/>
          <w:spacing w:val="21"/>
        </w:rPr>
        <w:t>(五)工作场所职业病危害因素经治理仍然达不</w:t>
      </w:r>
      <w:r>
        <w:rPr>
          <w:rFonts w:ascii="FangSong" w:hAnsi="FangSong" w:eastAsia="FangSong" w:cs="FangSong"/>
          <w:sz w:val="30"/>
          <w:szCs w:val="30"/>
          <w:spacing w:val="20"/>
        </w:rPr>
        <w:t>到国家职业卫生标准和卫生要求时，未停止存在</w:t>
      </w:r>
      <w:r>
        <w:rPr>
          <w:rFonts w:ascii="FangSong" w:hAnsi="FangSong" w:eastAsia="FangSong" w:cs="FangSong"/>
          <w:sz w:val="30"/>
          <w:szCs w:val="30"/>
        </w:rPr>
        <w:t xml:space="preserve"> </w:t>
      </w:r>
      <w:r>
        <w:rPr>
          <w:rFonts w:ascii="FangSong" w:hAnsi="FangSong" w:eastAsia="FangSong" w:cs="FangSong"/>
          <w:sz w:val="30"/>
          <w:szCs w:val="30"/>
          <w:spacing w:val="11"/>
        </w:rPr>
        <w:t>职业病危害因素的作业的；</w:t>
      </w:r>
    </w:p>
    <w:p>
      <w:pPr>
        <w:ind w:left="6419"/>
        <w:spacing w:before="131"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14"/>
        <w:gridCol w:w="8944"/>
        <w:gridCol w:w="3442"/>
      </w:tblGrid>
      <w:tr>
        <w:trPr>
          <w:trHeight w:val="614" w:hRule="atLeast"/>
        </w:trPr>
        <w:tc>
          <w:tcPr>
            <w:tcW w:w="1514" w:type="dxa"/>
            <w:vAlign w:val="top"/>
          </w:tcPr>
          <w:p>
            <w:pPr>
              <w:pStyle w:val="TableText"/>
              <w:ind w:left="248"/>
              <w:spacing w:before="182" w:line="220" w:lineRule="auto"/>
              <w:rPr>
                <w:sz w:val="25"/>
                <w:szCs w:val="25"/>
              </w:rPr>
            </w:pPr>
            <w:r>
              <w:rPr>
                <w:sz w:val="25"/>
                <w:szCs w:val="25"/>
                <w:b/>
                <w:bCs/>
                <w:spacing w:val="-5"/>
              </w:rPr>
              <w:t>违法程度</w:t>
            </w:r>
          </w:p>
        </w:tc>
        <w:tc>
          <w:tcPr>
            <w:tcW w:w="8944" w:type="dxa"/>
            <w:vAlign w:val="top"/>
          </w:tcPr>
          <w:p>
            <w:pPr>
              <w:pStyle w:val="TableText"/>
              <w:ind w:left="3964"/>
              <w:spacing w:before="182" w:line="220" w:lineRule="auto"/>
              <w:rPr>
                <w:sz w:val="25"/>
                <w:szCs w:val="25"/>
              </w:rPr>
            </w:pPr>
            <w:r>
              <w:rPr>
                <w:sz w:val="25"/>
                <w:szCs w:val="25"/>
                <w:b/>
                <w:bCs/>
                <w:spacing w:val="-5"/>
              </w:rPr>
              <w:t>情节后果</w:t>
            </w:r>
          </w:p>
        </w:tc>
        <w:tc>
          <w:tcPr>
            <w:tcW w:w="3442" w:type="dxa"/>
            <w:vAlign w:val="top"/>
          </w:tcPr>
          <w:p>
            <w:pPr>
              <w:pStyle w:val="TableText"/>
              <w:ind w:left="1220"/>
              <w:spacing w:before="179" w:line="218" w:lineRule="auto"/>
              <w:rPr>
                <w:sz w:val="25"/>
                <w:szCs w:val="25"/>
              </w:rPr>
            </w:pPr>
            <w:r>
              <w:rPr>
                <w:sz w:val="25"/>
                <w:szCs w:val="25"/>
                <w:b/>
                <w:bCs/>
                <w:spacing w:val="-5"/>
              </w:rPr>
              <w:t>裁量幅度</w:t>
            </w:r>
          </w:p>
        </w:tc>
      </w:tr>
      <w:tr>
        <w:trPr>
          <w:trHeight w:val="828" w:hRule="atLeast"/>
        </w:trPr>
        <w:tc>
          <w:tcPr>
            <w:tcW w:w="1514" w:type="dxa"/>
            <w:vAlign w:val="top"/>
          </w:tcPr>
          <w:p>
            <w:pPr>
              <w:spacing w:line="265" w:lineRule="auto"/>
              <w:rPr>
                <w:rFonts w:ascii="Arial"/>
                <w:sz w:val="21"/>
              </w:rPr>
            </w:pPr>
            <w:r/>
          </w:p>
          <w:p>
            <w:pPr>
              <w:pStyle w:val="TableText"/>
              <w:ind w:left="498"/>
              <w:spacing w:before="81" w:line="219" w:lineRule="auto"/>
              <w:rPr>
                <w:sz w:val="25"/>
                <w:szCs w:val="25"/>
              </w:rPr>
            </w:pPr>
            <w:r>
              <w:rPr>
                <w:sz w:val="25"/>
                <w:szCs w:val="25"/>
                <w:b/>
                <w:bCs/>
                <w:spacing w:val="-6"/>
              </w:rPr>
              <w:t>轻微</w:t>
            </w:r>
          </w:p>
        </w:tc>
        <w:tc>
          <w:tcPr>
            <w:tcW w:w="8944" w:type="dxa"/>
            <w:vAlign w:val="top"/>
          </w:tcPr>
          <w:p>
            <w:pPr>
              <w:pStyle w:val="TableText"/>
              <w:ind w:left="120" w:hanging="109"/>
              <w:spacing w:before="130" w:line="254" w:lineRule="auto"/>
              <w:rPr>
                <w:sz w:val="25"/>
                <w:szCs w:val="25"/>
              </w:rPr>
            </w:pPr>
            <w:r>
              <w:rPr>
                <w:sz w:val="25"/>
                <w:szCs w:val="25"/>
                <w:spacing w:val="-2"/>
              </w:rPr>
              <w:t>工作场所职业病危害因素经治理仍然达不到国家职业卫生标准和卫</w:t>
            </w:r>
            <w:r>
              <w:rPr>
                <w:sz w:val="25"/>
                <w:szCs w:val="25"/>
                <w:spacing w:val="-3"/>
              </w:rPr>
              <w:t>生要求时，未停</w:t>
            </w:r>
            <w:r>
              <w:rPr>
                <w:sz w:val="25"/>
                <w:szCs w:val="25"/>
              </w:rPr>
              <w:t xml:space="preserve"> </w:t>
            </w:r>
            <w:r>
              <w:rPr>
                <w:sz w:val="25"/>
                <w:szCs w:val="25"/>
                <w:spacing w:val="1"/>
              </w:rPr>
              <w:t>止存在职业病危害因素的作业的</w:t>
            </w:r>
          </w:p>
        </w:tc>
        <w:tc>
          <w:tcPr>
            <w:tcW w:w="3442" w:type="dxa"/>
            <w:vAlign w:val="top"/>
          </w:tcPr>
          <w:p>
            <w:pPr>
              <w:pStyle w:val="TableText"/>
              <w:ind w:left="107"/>
              <w:spacing w:before="289" w:line="218" w:lineRule="auto"/>
              <w:rPr>
                <w:sz w:val="25"/>
                <w:szCs w:val="25"/>
              </w:rPr>
            </w:pPr>
            <w:r>
              <w:rPr>
                <w:sz w:val="25"/>
                <w:szCs w:val="25"/>
                <w:spacing w:val="1"/>
              </w:rPr>
              <w:t>给予警告，责令限期改正</w:t>
            </w:r>
          </w:p>
        </w:tc>
      </w:tr>
      <w:tr>
        <w:trPr>
          <w:trHeight w:val="1358" w:hRule="atLeast"/>
        </w:trPr>
        <w:tc>
          <w:tcPr>
            <w:tcW w:w="1514" w:type="dxa"/>
            <w:vAlign w:val="top"/>
          </w:tcPr>
          <w:p>
            <w:pPr>
              <w:spacing w:line="476" w:lineRule="auto"/>
              <w:rPr>
                <w:rFonts w:ascii="Arial"/>
                <w:sz w:val="21"/>
              </w:rPr>
            </w:pPr>
            <w:r/>
          </w:p>
          <w:p>
            <w:pPr>
              <w:pStyle w:val="TableText"/>
              <w:ind w:left="498"/>
              <w:spacing w:before="82" w:line="221" w:lineRule="auto"/>
              <w:rPr>
                <w:sz w:val="25"/>
                <w:szCs w:val="25"/>
              </w:rPr>
            </w:pPr>
            <w:r>
              <w:rPr>
                <w:sz w:val="25"/>
                <w:szCs w:val="25"/>
                <w:b/>
                <w:bCs/>
                <w:spacing w:val="-10"/>
              </w:rPr>
              <w:t>一般</w:t>
            </w:r>
          </w:p>
        </w:tc>
        <w:tc>
          <w:tcPr>
            <w:tcW w:w="8944" w:type="dxa"/>
            <w:vAlign w:val="top"/>
          </w:tcPr>
          <w:p>
            <w:pPr>
              <w:pStyle w:val="TableText"/>
              <w:ind w:left="11"/>
              <w:spacing w:before="75" w:line="235" w:lineRule="auto"/>
              <w:jc w:val="both"/>
              <w:rPr>
                <w:sz w:val="25"/>
                <w:szCs w:val="25"/>
              </w:rPr>
            </w:pPr>
            <w:r>
              <w:rPr>
                <w:sz w:val="25"/>
                <w:szCs w:val="25"/>
                <w:spacing w:val="-2"/>
              </w:rPr>
              <w:t>工作场所职业病危害因素经治理仍然达不到国家职业卫生标准和卫</w:t>
            </w:r>
            <w:r>
              <w:rPr>
                <w:sz w:val="25"/>
                <w:szCs w:val="25"/>
                <w:spacing w:val="-3"/>
              </w:rPr>
              <w:t>生要求时，未停</w:t>
            </w:r>
            <w:r>
              <w:rPr>
                <w:sz w:val="25"/>
                <w:szCs w:val="25"/>
              </w:rPr>
              <w:t xml:space="preserve"> </w:t>
            </w:r>
            <w:r>
              <w:rPr>
                <w:sz w:val="25"/>
                <w:szCs w:val="25"/>
              </w:rPr>
              <w:t>止存在职业病危害因素的作业，经责令限期改正，逾期不改正，仍存在1处工作场</w:t>
            </w:r>
            <w:r>
              <w:rPr>
                <w:sz w:val="25"/>
                <w:szCs w:val="25"/>
                <w:spacing w:val="18"/>
              </w:rPr>
              <w:t xml:space="preserve"> </w:t>
            </w:r>
            <w:r>
              <w:rPr>
                <w:sz w:val="25"/>
                <w:szCs w:val="25"/>
                <w:spacing w:val="-2"/>
              </w:rPr>
              <w:t>所职业病危害因素经治理仍然达不到国家职业卫生标准和卫生</w:t>
            </w:r>
            <w:r>
              <w:rPr>
                <w:sz w:val="25"/>
                <w:szCs w:val="25"/>
                <w:spacing w:val="-3"/>
              </w:rPr>
              <w:t>要求，且该处未停止</w:t>
            </w:r>
            <w:r>
              <w:rPr>
                <w:sz w:val="25"/>
                <w:szCs w:val="25"/>
              </w:rPr>
              <w:t xml:space="preserve"> </w:t>
            </w:r>
            <w:r>
              <w:rPr>
                <w:sz w:val="25"/>
                <w:szCs w:val="25"/>
                <w:spacing w:val="9"/>
              </w:rPr>
              <w:t>存在职业病危害因素的作业的</w:t>
            </w:r>
          </w:p>
        </w:tc>
        <w:tc>
          <w:tcPr>
            <w:tcW w:w="3442" w:type="dxa"/>
            <w:vAlign w:val="top"/>
          </w:tcPr>
          <w:p>
            <w:pPr>
              <w:spacing w:line="319" w:lineRule="auto"/>
              <w:rPr>
                <w:rFonts w:ascii="Arial"/>
                <w:sz w:val="21"/>
              </w:rPr>
            </w:pPr>
            <w:r/>
          </w:p>
          <w:p>
            <w:pPr>
              <w:pStyle w:val="TableText"/>
              <w:ind w:left="107" w:right="64" w:hanging="20"/>
              <w:spacing w:before="82" w:line="255" w:lineRule="auto"/>
              <w:rPr>
                <w:sz w:val="25"/>
                <w:szCs w:val="25"/>
              </w:rPr>
            </w:pPr>
            <w:r>
              <w:rPr>
                <w:sz w:val="25"/>
                <w:szCs w:val="25"/>
                <w:spacing w:val="2"/>
              </w:rPr>
              <w:t>处五万元以上十万元以下的罚</w:t>
            </w:r>
            <w:r>
              <w:rPr>
                <w:sz w:val="25"/>
                <w:szCs w:val="25"/>
                <w:spacing w:val="3"/>
              </w:rPr>
              <w:t xml:space="preserve"> </w:t>
            </w:r>
            <w:r>
              <w:rPr>
                <w:sz w:val="25"/>
                <w:szCs w:val="25"/>
              </w:rPr>
              <w:t>款</w:t>
            </w:r>
          </w:p>
        </w:tc>
      </w:tr>
      <w:tr>
        <w:trPr>
          <w:trHeight w:val="1358" w:hRule="atLeast"/>
        </w:trPr>
        <w:tc>
          <w:tcPr>
            <w:tcW w:w="1514" w:type="dxa"/>
            <w:vAlign w:val="top"/>
          </w:tcPr>
          <w:p>
            <w:pPr>
              <w:rPr>
                <w:rFonts w:ascii="Arial"/>
                <w:sz w:val="21"/>
              </w:rPr>
            </w:pPr>
            <w:r/>
          </w:p>
          <w:p>
            <w:pPr>
              <w:rPr>
                <w:rFonts w:ascii="Arial"/>
                <w:sz w:val="21"/>
              </w:rPr>
            </w:pPr>
            <w:r/>
          </w:p>
          <w:p>
            <w:pPr>
              <w:pStyle w:val="TableText"/>
              <w:ind w:left="498"/>
              <w:spacing w:before="82" w:line="221" w:lineRule="auto"/>
              <w:rPr>
                <w:sz w:val="25"/>
                <w:szCs w:val="25"/>
              </w:rPr>
            </w:pPr>
            <w:r>
              <w:rPr>
                <w:sz w:val="25"/>
                <w:szCs w:val="25"/>
                <w:b/>
                <w:bCs/>
                <w:spacing w:val="-6"/>
              </w:rPr>
              <w:t>较重</w:t>
            </w:r>
          </w:p>
        </w:tc>
        <w:tc>
          <w:tcPr>
            <w:tcW w:w="8944" w:type="dxa"/>
            <w:vAlign w:val="top"/>
          </w:tcPr>
          <w:p>
            <w:pPr>
              <w:pStyle w:val="TableText"/>
              <w:spacing w:before="85" w:line="219" w:lineRule="auto"/>
              <w:jc w:val="right"/>
              <w:rPr>
                <w:sz w:val="25"/>
                <w:szCs w:val="25"/>
              </w:rPr>
            </w:pPr>
            <w:r>
              <w:rPr>
                <w:sz w:val="25"/>
                <w:szCs w:val="25"/>
                <w:spacing w:val="-2"/>
              </w:rPr>
              <w:t>工作场所职业病危害因素经治理仍然达不到国家职业卫生标准和卫</w:t>
            </w:r>
            <w:r>
              <w:rPr>
                <w:sz w:val="25"/>
                <w:szCs w:val="25"/>
                <w:spacing w:val="-3"/>
              </w:rPr>
              <w:t>生要求时，未停</w:t>
            </w:r>
          </w:p>
          <w:p>
            <w:pPr>
              <w:pStyle w:val="TableText"/>
              <w:ind w:left="20"/>
              <w:spacing w:before="41" w:line="219" w:lineRule="auto"/>
              <w:rPr>
                <w:sz w:val="25"/>
                <w:szCs w:val="25"/>
              </w:rPr>
            </w:pPr>
            <w:r>
              <w:rPr>
                <w:sz w:val="25"/>
                <w:szCs w:val="25"/>
                <w:spacing w:val="1"/>
              </w:rPr>
              <w:t>止存在职业病危害因素的作业，经责令限期</w:t>
            </w:r>
            <w:r>
              <w:rPr>
                <w:sz w:val="25"/>
                <w:szCs w:val="25"/>
              </w:rPr>
              <w:t>改正，逾期不改正，仍存在2处工作场</w:t>
            </w:r>
          </w:p>
          <w:p>
            <w:pPr>
              <w:pStyle w:val="TableText"/>
              <w:ind w:left="139" w:right="19" w:hanging="119"/>
              <w:spacing w:before="34" w:line="219" w:lineRule="auto"/>
              <w:rPr>
                <w:sz w:val="25"/>
                <w:szCs w:val="25"/>
              </w:rPr>
            </w:pPr>
            <w:r>
              <w:rPr>
                <w:sz w:val="25"/>
                <w:szCs w:val="25"/>
              </w:rPr>
              <w:t>所职业病危害因素经治理仍然达不到国家职业卫生标准和卫生要求，且该2处未停</w:t>
            </w:r>
            <w:r>
              <w:rPr>
                <w:sz w:val="25"/>
                <w:szCs w:val="25"/>
                <w:spacing w:val="17"/>
              </w:rPr>
              <w:t xml:space="preserve"> </w:t>
            </w:r>
            <w:r>
              <w:rPr>
                <w:sz w:val="25"/>
                <w:szCs w:val="25"/>
                <w:spacing w:val="1"/>
              </w:rPr>
              <w:t>止存在职业病危害因素的作业的</w:t>
            </w:r>
          </w:p>
        </w:tc>
        <w:tc>
          <w:tcPr>
            <w:tcW w:w="3442" w:type="dxa"/>
            <w:vAlign w:val="top"/>
          </w:tcPr>
          <w:p>
            <w:pPr>
              <w:spacing w:line="342" w:lineRule="auto"/>
              <w:rPr>
                <w:rFonts w:ascii="Arial"/>
                <w:sz w:val="21"/>
              </w:rPr>
            </w:pPr>
            <w:r/>
          </w:p>
          <w:p>
            <w:pPr>
              <w:pStyle w:val="TableText"/>
              <w:ind w:left="87"/>
              <w:spacing w:before="81" w:line="220" w:lineRule="auto"/>
              <w:rPr>
                <w:sz w:val="25"/>
                <w:szCs w:val="25"/>
              </w:rPr>
            </w:pPr>
            <w:r>
              <w:rPr>
                <w:sz w:val="25"/>
                <w:szCs w:val="25"/>
                <w:spacing w:val="1"/>
              </w:rPr>
              <w:t>处十万元以上二十万元以下的</w:t>
            </w:r>
          </w:p>
          <w:p>
            <w:pPr>
              <w:pStyle w:val="TableText"/>
              <w:ind w:left="117"/>
              <w:spacing w:before="32" w:line="221" w:lineRule="auto"/>
              <w:rPr>
                <w:sz w:val="25"/>
                <w:szCs w:val="25"/>
              </w:rPr>
            </w:pPr>
            <w:r>
              <w:rPr>
                <w:sz w:val="25"/>
                <w:szCs w:val="25"/>
                <w:color w:val="403040"/>
                <w:spacing w:val="5"/>
              </w:rPr>
              <w:t>罚款</w:t>
            </w:r>
          </w:p>
        </w:tc>
      </w:tr>
      <w:tr>
        <w:trPr>
          <w:trHeight w:val="1362" w:hRule="atLeast"/>
        </w:trPr>
        <w:tc>
          <w:tcPr>
            <w:tcW w:w="1514" w:type="dxa"/>
            <w:vAlign w:val="top"/>
          </w:tcPr>
          <w:p>
            <w:pPr>
              <w:rPr>
                <w:rFonts w:ascii="Arial"/>
                <w:sz w:val="21"/>
              </w:rPr>
            </w:pPr>
            <w:r/>
          </w:p>
          <w:p>
            <w:pPr>
              <w:rPr>
                <w:rFonts w:ascii="Arial"/>
                <w:sz w:val="21"/>
              </w:rPr>
            </w:pPr>
            <w:r/>
          </w:p>
          <w:p>
            <w:pPr>
              <w:pStyle w:val="TableText"/>
              <w:ind w:left="498"/>
              <w:spacing w:before="81" w:line="220" w:lineRule="auto"/>
              <w:rPr>
                <w:sz w:val="25"/>
                <w:szCs w:val="25"/>
              </w:rPr>
            </w:pPr>
            <w:r>
              <w:rPr>
                <w:sz w:val="25"/>
                <w:szCs w:val="25"/>
                <w:b/>
                <w:bCs/>
                <w:spacing w:val="-6"/>
              </w:rPr>
              <w:t>严重</w:t>
            </w:r>
          </w:p>
        </w:tc>
        <w:tc>
          <w:tcPr>
            <w:tcW w:w="8944" w:type="dxa"/>
            <w:vAlign w:val="top"/>
          </w:tcPr>
          <w:p>
            <w:pPr>
              <w:pStyle w:val="TableText"/>
              <w:spacing w:before="77" w:line="219" w:lineRule="auto"/>
              <w:jc w:val="right"/>
              <w:rPr>
                <w:sz w:val="25"/>
                <w:szCs w:val="25"/>
              </w:rPr>
            </w:pPr>
            <w:r>
              <w:rPr>
                <w:sz w:val="25"/>
                <w:szCs w:val="25"/>
                <w:spacing w:val="-2"/>
              </w:rPr>
              <w:t>工作场所职业病危害因素经治理仍然达不到国家职业卫生标准和卫</w:t>
            </w:r>
            <w:r>
              <w:rPr>
                <w:sz w:val="25"/>
                <w:szCs w:val="25"/>
                <w:spacing w:val="-3"/>
              </w:rPr>
              <w:t>生要求时，未停</w:t>
            </w:r>
          </w:p>
          <w:p>
            <w:pPr>
              <w:pStyle w:val="TableText"/>
              <w:ind w:left="20"/>
              <w:spacing w:before="31" w:line="219" w:lineRule="auto"/>
              <w:rPr>
                <w:sz w:val="25"/>
                <w:szCs w:val="25"/>
              </w:rPr>
            </w:pPr>
            <w:r>
              <w:rPr>
                <w:sz w:val="25"/>
                <w:szCs w:val="25"/>
              </w:rPr>
              <w:t>止存在职业病危害因素的作业，经责令限期改正，逾期不改正，仍存在3处以上工</w:t>
            </w:r>
          </w:p>
          <w:p>
            <w:pPr>
              <w:pStyle w:val="TableText"/>
              <w:ind w:left="139" w:right="22" w:hanging="119"/>
              <w:spacing w:before="45" w:line="223" w:lineRule="auto"/>
              <w:rPr>
                <w:sz w:val="25"/>
                <w:szCs w:val="25"/>
              </w:rPr>
            </w:pPr>
            <w:r>
              <w:rPr>
                <w:sz w:val="25"/>
                <w:szCs w:val="25"/>
              </w:rPr>
              <w:t>作场所职业病危害因素经治理仍然达不到国家职业卫生标准和卫生要求，且该3处</w:t>
            </w:r>
            <w:r>
              <w:rPr>
                <w:sz w:val="25"/>
                <w:szCs w:val="25"/>
                <w:spacing w:val="14"/>
              </w:rPr>
              <w:t xml:space="preserve"> </w:t>
            </w:r>
            <w:r>
              <w:rPr>
                <w:sz w:val="25"/>
                <w:szCs w:val="25"/>
              </w:rPr>
              <w:t>以上工作场所未停止存在职业病危害因素的作业的</w:t>
            </w:r>
          </w:p>
        </w:tc>
        <w:tc>
          <w:tcPr>
            <w:tcW w:w="3442" w:type="dxa"/>
            <w:vAlign w:val="top"/>
          </w:tcPr>
          <w:p>
            <w:pPr>
              <w:pStyle w:val="TableText"/>
              <w:ind w:left="87" w:right="78"/>
              <w:spacing w:before="235" w:line="253" w:lineRule="auto"/>
              <w:rPr>
                <w:sz w:val="25"/>
                <w:szCs w:val="25"/>
              </w:rPr>
            </w:pPr>
            <w:r>
              <w:rPr>
                <w:sz w:val="25"/>
                <w:szCs w:val="25"/>
                <w:spacing w:val="1"/>
              </w:rPr>
              <w:t>责令停止产生职业病危害的作</w:t>
            </w:r>
            <w:r>
              <w:rPr>
                <w:sz w:val="25"/>
                <w:szCs w:val="25"/>
                <w:spacing w:val="2"/>
              </w:rPr>
              <w:t xml:space="preserve"> </w:t>
            </w:r>
            <w:r>
              <w:rPr>
                <w:sz w:val="25"/>
                <w:szCs w:val="25"/>
                <w:spacing w:val="1"/>
              </w:rPr>
              <w:t>业，或者提请有关人民政府按</w:t>
            </w:r>
          </w:p>
          <w:p>
            <w:pPr>
              <w:pStyle w:val="TableText"/>
              <w:ind w:left="87"/>
              <w:spacing w:before="4" w:line="219" w:lineRule="auto"/>
              <w:rPr>
                <w:sz w:val="25"/>
                <w:szCs w:val="25"/>
              </w:rPr>
            </w:pPr>
            <w:r>
              <w:rPr>
                <w:sz w:val="25"/>
                <w:szCs w:val="25"/>
                <w:spacing w:val="1"/>
              </w:rPr>
              <w:t>照国务院规定的权限责令关闭</w:t>
            </w:r>
          </w:p>
        </w:tc>
      </w:tr>
    </w:tbl>
    <w:p>
      <w:pPr>
        <w:pStyle w:val="BodyText"/>
        <w:spacing w:line="278" w:lineRule="auto"/>
        <w:rPr/>
      </w:pPr>
      <w:r/>
    </w:p>
    <w:p>
      <w:pPr>
        <w:pStyle w:val="BodyText"/>
        <w:spacing w:line="278" w:lineRule="auto"/>
        <w:rPr/>
      </w:pPr>
      <w:r/>
    </w:p>
    <w:p>
      <w:pPr>
        <w:pStyle w:val="BodyText"/>
        <w:spacing w:line="278" w:lineRule="auto"/>
        <w:rPr/>
      </w:pPr>
      <w:r/>
    </w:p>
    <w:p>
      <w:pPr>
        <w:pStyle w:val="BodyText"/>
        <w:spacing w:line="279" w:lineRule="auto"/>
        <w:rPr/>
      </w:pPr>
      <w:r/>
    </w:p>
    <w:p>
      <w:pPr>
        <w:pStyle w:val="BodyText"/>
        <w:spacing w:line="279" w:lineRule="auto"/>
        <w:rPr/>
      </w:pPr>
      <w:r/>
    </w:p>
    <w:p>
      <w:pPr>
        <w:ind w:left="6345"/>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—554—</w:t>
      </w:r>
    </w:p>
    <w:p>
      <w:pPr>
        <w:spacing w:line="188" w:lineRule="auto"/>
        <w:sectPr>
          <w:footerReference w:type="default" r:id="rId24"/>
          <w:pgSz w:w="16830" w:h="11900"/>
          <w:pgMar w:top="1011" w:right="1437" w:bottom="400" w:left="1434" w:header="0" w:footer="0" w:gutter="0"/>
        </w:sectPr>
        <w:rPr>
          <w:rFonts w:ascii="Times New Roman" w:hAnsi="Times New Roman" w:eastAsia="Times New Roman" w:cs="Times New Roman"/>
          <w:sz w:val="37"/>
          <w:szCs w:val="37"/>
        </w:rPr>
      </w:pPr>
    </w:p>
    <w:p>
      <w:pPr>
        <w:pStyle w:val="BodyText"/>
        <w:spacing w:line="265" w:lineRule="auto"/>
        <w:rPr/>
      </w:pPr>
      <w:r/>
    </w:p>
    <w:p>
      <w:pPr>
        <w:pStyle w:val="BodyText"/>
        <w:spacing w:line="266" w:lineRule="auto"/>
        <w:rPr/>
      </w:pPr>
      <w:r/>
    </w:p>
    <w:p>
      <w:pPr>
        <w:pStyle w:val="BodyText"/>
        <w:spacing w:line="266" w:lineRule="auto"/>
        <w:rPr/>
      </w:pPr>
      <w:r/>
    </w:p>
    <w:p>
      <w:pPr>
        <w:ind w:left="634" w:right="3014" w:firstLine="4"/>
        <w:spacing w:before="98" w:line="246" w:lineRule="auto"/>
        <w:rPr>
          <w:rFonts w:ascii="FangSong" w:hAnsi="FangSong" w:eastAsia="FangSong" w:cs="FangSong"/>
          <w:sz w:val="30"/>
          <w:szCs w:val="30"/>
        </w:rPr>
      </w:pPr>
      <w:r>
        <w:rPr>
          <w:rFonts w:ascii="FangSong" w:hAnsi="FangSong" w:eastAsia="FangSong" w:cs="FangSong"/>
          <w:sz w:val="30"/>
          <w:szCs w:val="30"/>
          <w:b/>
          <w:bCs/>
          <w:spacing w:val="22"/>
        </w:rPr>
        <w:t>第四百六十六条未按照规定安排职业病病人、疑似职业病病人</w:t>
      </w:r>
      <w:r>
        <w:rPr>
          <w:rFonts w:ascii="FangSong" w:hAnsi="FangSong" w:eastAsia="FangSong" w:cs="FangSong"/>
          <w:sz w:val="30"/>
          <w:szCs w:val="30"/>
          <w:b/>
          <w:bCs/>
          <w:spacing w:val="21"/>
        </w:rPr>
        <w:t>进行诊治的</w:t>
      </w:r>
      <w:r>
        <w:rPr>
          <w:rFonts w:ascii="FangSong" w:hAnsi="FangSong" w:eastAsia="FangSong" w:cs="FangSong"/>
          <w:sz w:val="30"/>
          <w:szCs w:val="30"/>
        </w:rPr>
        <w:t xml:space="preserve"> </w:t>
      </w:r>
      <w:r>
        <w:rPr>
          <w:rFonts w:ascii="FangSong" w:hAnsi="FangSong" w:eastAsia="FangSong" w:cs="FangSong"/>
          <w:sz w:val="30"/>
          <w:szCs w:val="30"/>
        </w:rPr>
        <w:t>法律依据：</w:t>
      </w:r>
    </w:p>
    <w:p>
      <w:pPr>
        <w:ind w:left="15" w:right="99" w:firstLine="619"/>
        <w:spacing w:before="68" w:line="271" w:lineRule="auto"/>
        <w:jc w:val="both"/>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《中华人民共和国职业病防治法》第七十二条第(六)项</w:t>
      </w:r>
      <w:r>
        <w:rPr>
          <w:rFonts w:ascii="FangSong" w:hAnsi="FangSong" w:eastAsia="FangSong" w:cs="FangSong"/>
          <w:sz w:val="30"/>
          <w:szCs w:val="30"/>
          <w:spacing w:val="19"/>
        </w:rPr>
        <w:t xml:space="preserve">  </w:t>
      </w:r>
      <w:r>
        <w:rPr>
          <w:rFonts w:ascii="FangSong" w:hAnsi="FangSong" w:eastAsia="FangSong" w:cs="FangSong"/>
          <w:sz w:val="30"/>
          <w:szCs w:val="30"/>
          <w:spacing w:val="18"/>
        </w:rPr>
        <w:t>用人单位违反本法规定，有下列行</w:t>
      </w:r>
      <w:r>
        <w:rPr>
          <w:rFonts w:ascii="FangSong" w:hAnsi="FangSong" w:eastAsia="FangSong" w:cs="FangSong"/>
          <w:sz w:val="30"/>
          <w:szCs w:val="30"/>
        </w:rPr>
        <w:t xml:space="preserve"> </w:t>
      </w:r>
      <w:r>
        <w:rPr>
          <w:rFonts w:ascii="FangSong" w:hAnsi="FangSong" w:eastAsia="FangSong" w:cs="FangSong"/>
          <w:sz w:val="30"/>
          <w:szCs w:val="30"/>
          <w:spacing w:val="16"/>
        </w:rPr>
        <w:t>为之一的，由卫生行政部门给予警告，责令限期改正，逾期不改正的，处五万元以上二十万元以下的</w:t>
      </w:r>
      <w:r>
        <w:rPr>
          <w:rFonts w:ascii="FangSong" w:hAnsi="FangSong" w:eastAsia="FangSong" w:cs="FangSong"/>
          <w:sz w:val="30"/>
          <w:szCs w:val="30"/>
          <w:spacing w:val="14"/>
        </w:rPr>
        <w:t xml:space="preserve"> </w:t>
      </w:r>
      <w:r>
        <w:rPr>
          <w:rFonts w:ascii="FangSong" w:hAnsi="FangSong" w:eastAsia="FangSong" w:cs="FangSong"/>
          <w:sz w:val="30"/>
          <w:szCs w:val="30"/>
          <w:spacing w:val="17"/>
        </w:rPr>
        <w:t>罚款；情节严重的，责令停止产生职业病危害的作业，或者提请有关人民政府按</w:t>
      </w:r>
      <w:r>
        <w:rPr>
          <w:rFonts w:ascii="FangSong" w:hAnsi="FangSong" w:eastAsia="FangSong" w:cs="FangSong"/>
          <w:sz w:val="30"/>
          <w:szCs w:val="30"/>
          <w:spacing w:val="16"/>
        </w:rPr>
        <w:t>照国务院规定的权限</w:t>
      </w:r>
      <w:r>
        <w:rPr>
          <w:rFonts w:ascii="FangSong" w:hAnsi="FangSong" w:eastAsia="FangSong" w:cs="FangSong"/>
          <w:sz w:val="30"/>
          <w:szCs w:val="30"/>
        </w:rPr>
        <w:t xml:space="preserve"> </w:t>
      </w:r>
      <w:r>
        <w:rPr>
          <w:rFonts w:ascii="FangSong" w:hAnsi="FangSong" w:eastAsia="FangSong" w:cs="FangSong"/>
          <w:sz w:val="30"/>
          <w:szCs w:val="30"/>
          <w:spacing w:val="-1"/>
        </w:rPr>
        <w:t>责令关闭：</w:t>
      </w:r>
    </w:p>
    <w:p>
      <w:pPr>
        <w:ind w:left="765"/>
        <w:spacing w:before="16" w:line="221" w:lineRule="auto"/>
        <w:rPr>
          <w:rFonts w:ascii="FangSong" w:hAnsi="FangSong" w:eastAsia="FangSong" w:cs="FangSong"/>
          <w:sz w:val="30"/>
          <w:szCs w:val="30"/>
        </w:rPr>
      </w:pPr>
      <w:r>
        <w:rPr>
          <w:rFonts w:ascii="FangSong" w:hAnsi="FangSong" w:eastAsia="FangSong" w:cs="FangSong"/>
          <w:sz w:val="30"/>
          <w:szCs w:val="30"/>
          <w:spacing w:val="23"/>
        </w:rPr>
        <w:t>(六)未按照规定安排职业病病人、疑似职业病病人进行诊治的；</w:t>
      </w:r>
    </w:p>
    <w:p>
      <w:pPr>
        <w:ind w:left="15" w:firstLine="619"/>
        <w:spacing w:before="82" w:line="270" w:lineRule="auto"/>
        <w:jc w:val="both"/>
        <w:rPr>
          <w:rFonts w:ascii="FangSong" w:hAnsi="FangSong" w:eastAsia="FangSong" w:cs="FangSong"/>
          <w:sz w:val="30"/>
          <w:szCs w:val="30"/>
        </w:rPr>
      </w:pPr>
      <w:r>
        <w:rPr>
          <w:rFonts w:ascii="FangSong" w:hAnsi="FangSong" w:eastAsia="FangSong" w:cs="FangSong"/>
          <w:sz w:val="30"/>
          <w:szCs w:val="30"/>
          <w:spacing w:val="15"/>
        </w:rPr>
        <w:t>2.</w:t>
      </w:r>
      <w:r>
        <w:rPr>
          <w:rFonts w:ascii="FangSong" w:hAnsi="FangSong" w:eastAsia="FangSong" w:cs="FangSong"/>
          <w:sz w:val="30"/>
          <w:szCs w:val="30"/>
          <w:spacing w:val="15"/>
        </w:rPr>
        <w:t xml:space="preserve"> </w:t>
      </w:r>
      <w:r>
        <w:rPr>
          <w:rFonts w:ascii="FangSong" w:hAnsi="FangSong" w:eastAsia="FangSong" w:cs="FangSong"/>
          <w:sz w:val="30"/>
          <w:szCs w:val="30"/>
          <w:spacing w:val="15"/>
        </w:rPr>
        <w:t>《用人单位职业健康监护监督管理办法》第二十八</w:t>
      </w:r>
      <w:r>
        <w:rPr>
          <w:rFonts w:ascii="FangSong" w:hAnsi="FangSong" w:eastAsia="FangSong" w:cs="FangSong"/>
          <w:sz w:val="30"/>
          <w:szCs w:val="30"/>
          <w:spacing w:val="14"/>
        </w:rPr>
        <w:t>条第(一)项</w:t>
      </w:r>
      <w:r>
        <w:rPr>
          <w:rFonts w:ascii="FangSong" w:hAnsi="FangSong" w:eastAsia="FangSong" w:cs="FangSong"/>
          <w:sz w:val="30"/>
          <w:szCs w:val="30"/>
          <w:spacing w:val="14"/>
        </w:rPr>
        <w:t xml:space="preserve">  </w:t>
      </w:r>
      <w:r>
        <w:rPr>
          <w:rFonts w:ascii="FangSong" w:hAnsi="FangSong" w:eastAsia="FangSong" w:cs="FangSong"/>
          <w:sz w:val="30"/>
          <w:szCs w:val="30"/>
          <w:spacing w:val="14"/>
        </w:rPr>
        <w:t>用人单位有下列情形之一的，</w:t>
      </w:r>
      <w:r>
        <w:rPr>
          <w:rFonts w:ascii="FangSong" w:hAnsi="FangSong" w:eastAsia="FangSong" w:cs="FangSong"/>
          <w:sz w:val="30"/>
          <w:szCs w:val="30"/>
        </w:rPr>
        <w:t xml:space="preserve"> </w:t>
      </w:r>
      <w:r>
        <w:rPr>
          <w:rFonts w:ascii="FangSong" w:hAnsi="FangSong" w:eastAsia="FangSong" w:cs="FangSong"/>
          <w:sz w:val="30"/>
          <w:szCs w:val="30"/>
          <w:spacing w:val="26"/>
        </w:rPr>
        <w:t>给予警告，责令限期改正，逾期不改正的，处5万元以上20万元以</w:t>
      </w:r>
      <w:r>
        <w:rPr>
          <w:rFonts w:ascii="FangSong" w:hAnsi="FangSong" w:eastAsia="FangSong" w:cs="FangSong"/>
          <w:sz w:val="30"/>
          <w:szCs w:val="30"/>
          <w:spacing w:val="25"/>
        </w:rPr>
        <w:t>下的罚款；情节严重的，责令停</w:t>
      </w:r>
      <w:r>
        <w:rPr>
          <w:rFonts w:ascii="FangSong" w:hAnsi="FangSong" w:eastAsia="FangSong" w:cs="FangSong"/>
          <w:sz w:val="30"/>
          <w:szCs w:val="30"/>
        </w:rPr>
        <w:t xml:space="preserve">  </w:t>
      </w:r>
      <w:r>
        <w:rPr>
          <w:rFonts w:ascii="FangSong" w:hAnsi="FangSong" w:eastAsia="FangSong" w:cs="FangSong"/>
          <w:sz w:val="30"/>
          <w:szCs w:val="30"/>
          <w:spacing w:val="17"/>
        </w:rPr>
        <w:t>止产生职业病危害的作业，或者提请有关人民政府按照国务院规定的权限责令关闭：</w:t>
      </w:r>
    </w:p>
    <w:p>
      <w:pPr>
        <w:ind w:left="765"/>
        <w:spacing w:before="1" w:line="221" w:lineRule="auto"/>
        <w:rPr>
          <w:rFonts w:ascii="FangSong" w:hAnsi="FangSong" w:eastAsia="FangSong" w:cs="FangSong"/>
          <w:sz w:val="30"/>
          <w:szCs w:val="30"/>
        </w:rPr>
      </w:pPr>
      <w:r>
        <w:rPr>
          <w:rFonts w:ascii="FangSong" w:hAnsi="FangSong" w:eastAsia="FangSong" w:cs="FangSong"/>
          <w:sz w:val="30"/>
          <w:szCs w:val="30"/>
          <w:spacing w:val="22"/>
        </w:rPr>
        <w:t>(一)未按照规定安排职业病病人、疑似职业病病人进行诊治的；</w:t>
      </w:r>
    </w:p>
    <w:p>
      <w:pPr>
        <w:ind w:left="15" w:right="114" w:firstLine="619"/>
        <w:spacing w:before="70" w:line="271" w:lineRule="auto"/>
        <w:rPr>
          <w:rFonts w:ascii="FangSong" w:hAnsi="FangSong" w:eastAsia="FangSong" w:cs="FangSong"/>
          <w:sz w:val="30"/>
          <w:szCs w:val="30"/>
        </w:rPr>
      </w:pPr>
      <w:r>
        <w:rPr>
          <w:rFonts w:ascii="FangSong" w:hAnsi="FangSong" w:eastAsia="FangSong" w:cs="FangSong"/>
          <w:sz w:val="30"/>
          <w:szCs w:val="30"/>
          <w:spacing w:val="20"/>
        </w:rPr>
        <w:t>3.</w:t>
      </w:r>
      <w:r>
        <w:rPr>
          <w:rFonts w:ascii="FangSong" w:hAnsi="FangSong" w:eastAsia="FangSong" w:cs="FangSong"/>
          <w:sz w:val="30"/>
          <w:szCs w:val="30"/>
          <w:spacing w:val="20"/>
        </w:rPr>
        <w:t xml:space="preserve"> </w:t>
      </w:r>
      <w:r>
        <w:rPr>
          <w:rFonts w:ascii="FangSong" w:hAnsi="FangSong" w:eastAsia="FangSong" w:cs="FangSong"/>
          <w:sz w:val="30"/>
          <w:szCs w:val="30"/>
          <w:spacing w:val="20"/>
        </w:rPr>
        <w:t>《职业病诊断与鉴定管理办法》第六十条第(一)项</w:t>
      </w:r>
      <w:r>
        <w:rPr>
          <w:rFonts w:ascii="FangSong" w:hAnsi="FangSong" w:eastAsia="FangSong" w:cs="FangSong"/>
          <w:sz w:val="30"/>
          <w:szCs w:val="30"/>
          <w:spacing w:val="144"/>
        </w:rPr>
        <w:t xml:space="preserve"> </w:t>
      </w:r>
      <w:r>
        <w:rPr>
          <w:rFonts w:ascii="FangSong" w:hAnsi="FangSong" w:eastAsia="FangSong" w:cs="FangSong"/>
          <w:sz w:val="30"/>
          <w:szCs w:val="30"/>
          <w:spacing w:val="20"/>
        </w:rPr>
        <w:t>用人单位有下列行为之一的，由县级以</w:t>
      </w:r>
      <w:r>
        <w:rPr>
          <w:rFonts w:ascii="FangSong" w:hAnsi="FangSong" w:eastAsia="FangSong" w:cs="FangSong"/>
          <w:sz w:val="30"/>
          <w:szCs w:val="30"/>
        </w:rPr>
        <w:t xml:space="preserve"> </w:t>
      </w:r>
      <w:r>
        <w:rPr>
          <w:rFonts w:ascii="FangSong" w:hAnsi="FangSong" w:eastAsia="FangSong" w:cs="FangSong"/>
          <w:sz w:val="30"/>
          <w:szCs w:val="30"/>
          <w:spacing w:val="17"/>
        </w:rPr>
        <w:t>上地方卫生健康主管部门按照《职业病防治法》第七十二条规定进行</w:t>
      </w:r>
      <w:r>
        <w:rPr>
          <w:rFonts w:ascii="FangSong" w:hAnsi="FangSong" w:eastAsia="FangSong" w:cs="FangSong"/>
          <w:sz w:val="30"/>
          <w:szCs w:val="30"/>
          <w:spacing w:val="16"/>
        </w:rPr>
        <w:t>处理：</w:t>
      </w:r>
    </w:p>
    <w:p>
      <w:pPr>
        <w:ind w:left="765"/>
        <w:spacing w:before="2" w:line="220" w:lineRule="auto"/>
        <w:rPr>
          <w:rFonts w:ascii="FangSong" w:hAnsi="FangSong" w:eastAsia="FangSong" w:cs="FangSong"/>
          <w:sz w:val="30"/>
          <w:szCs w:val="30"/>
        </w:rPr>
      </w:pPr>
      <w:r>
        <w:rPr>
          <w:rFonts w:ascii="FangSong" w:hAnsi="FangSong" w:eastAsia="FangSong" w:cs="FangSong"/>
          <w:sz w:val="30"/>
          <w:szCs w:val="30"/>
          <w:spacing w:val="22"/>
        </w:rPr>
        <w:t>(一)未按照规定安排职业病病人、疑似职业病病人进行诊治的；</w:t>
      </w:r>
    </w:p>
    <w:p>
      <w:pPr>
        <w:ind w:left="6419"/>
        <w:spacing w:before="222"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3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84"/>
        <w:gridCol w:w="8563"/>
        <w:gridCol w:w="3312"/>
      </w:tblGrid>
      <w:tr>
        <w:trPr>
          <w:trHeight w:val="659" w:hRule="atLeast"/>
        </w:trPr>
        <w:tc>
          <w:tcPr>
            <w:tcW w:w="1484" w:type="dxa"/>
            <w:vAlign w:val="top"/>
          </w:tcPr>
          <w:p>
            <w:pPr>
              <w:pStyle w:val="TableText"/>
              <w:ind w:left="218"/>
              <w:spacing w:before="202" w:line="220" w:lineRule="auto"/>
              <w:rPr>
                <w:sz w:val="26"/>
                <w:szCs w:val="26"/>
              </w:rPr>
            </w:pPr>
            <w:r>
              <w:rPr>
                <w:sz w:val="26"/>
                <w:szCs w:val="26"/>
                <w:b/>
                <w:bCs/>
                <w:spacing w:val="-5"/>
              </w:rPr>
              <w:t>违法程度</w:t>
            </w:r>
          </w:p>
        </w:tc>
        <w:tc>
          <w:tcPr>
            <w:tcW w:w="8563" w:type="dxa"/>
            <w:vAlign w:val="top"/>
          </w:tcPr>
          <w:p>
            <w:pPr>
              <w:pStyle w:val="TableText"/>
              <w:ind w:left="3714"/>
              <w:spacing w:before="202" w:line="220" w:lineRule="auto"/>
              <w:rPr>
                <w:sz w:val="26"/>
                <w:szCs w:val="26"/>
              </w:rPr>
            </w:pPr>
            <w:r>
              <w:rPr>
                <w:sz w:val="26"/>
                <w:szCs w:val="26"/>
                <w:b/>
                <w:bCs/>
                <w:spacing w:val="-5"/>
              </w:rPr>
              <w:t>情节后果</w:t>
            </w:r>
          </w:p>
        </w:tc>
        <w:tc>
          <w:tcPr>
            <w:tcW w:w="3312" w:type="dxa"/>
            <w:vAlign w:val="top"/>
          </w:tcPr>
          <w:p>
            <w:pPr>
              <w:pStyle w:val="TableText"/>
              <w:ind w:left="1101"/>
              <w:spacing w:before="199" w:line="218" w:lineRule="auto"/>
              <w:rPr>
                <w:sz w:val="26"/>
                <w:szCs w:val="26"/>
              </w:rPr>
            </w:pPr>
            <w:r>
              <w:rPr>
                <w:sz w:val="26"/>
                <w:szCs w:val="26"/>
                <w:b/>
                <w:bCs/>
                <w:spacing w:val="-5"/>
              </w:rPr>
              <w:t>裁量幅度</w:t>
            </w:r>
          </w:p>
        </w:tc>
      </w:tr>
      <w:tr>
        <w:trPr>
          <w:trHeight w:val="471" w:hRule="atLeast"/>
        </w:trPr>
        <w:tc>
          <w:tcPr>
            <w:tcW w:w="1484" w:type="dxa"/>
            <w:vAlign w:val="top"/>
          </w:tcPr>
          <w:p>
            <w:pPr>
              <w:pStyle w:val="TableText"/>
              <w:ind w:left="478"/>
              <w:spacing w:before="113" w:line="219" w:lineRule="auto"/>
              <w:rPr>
                <w:sz w:val="26"/>
                <w:szCs w:val="26"/>
              </w:rPr>
            </w:pPr>
            <w:r>
              <w:rPr>
                <w:sz w:val="26"/>
                <w:szCs w:val="26"/>
                <w:b/>
                <w:bCs/>
                <w:spacing w:val="-6"/>
              </w:rPr>
              <w:t>轻微</w:t>
            </w:r>
          </w:p>
        </w:tc>
        <w:tc>
          <w:tcPr>
            <w:tcW w:w="8563" w:type="dxa"/>
            <w:vAlign w:val="top"/>
          </w:tcPr>
          <w:p>
            <w:pPr>
              <w:pStyle w:val="TableText"/>
              <w:ind w:left="94"/>
              <w:spacing w:before="113" w:line="219" w:lineRule="auto"/>
              <w:rPr>
                <w:sz w:val="26"/>
                <w:szCs w:val="26"/>
              </w:rPr>
            </w:pPr>
            <w:r>
              <w:rPr>
                <w:sz w:val="26"/>
                <w:szCs w:val="26"/>
                <w:b/>
                <w:bCs/>
                <w:spacing w:val="-3"/>
              </w:rPr>
              <w:t>未按照规定安排职业病病人、疑似职业病病人进行诊治的</w:t>
            </w:r>
          </w:p>
        </w:tc>
        <w:tc>
          <w:tcPr>
            <w:tcW w:w="3312" w:type="dxa"/>
            <w:vAlign w:val="top"/>
          </w:tcPr>
          <w:p>
            <w:pPr>
              <w:pStyle w:val="TableText"/>
              <w:ind w:left="121"/>
              <w:spacing w:before="110" w:line="218" w:lineRule="auto"/>
              <w:rPr>
                <w:sz w:val="26"/>
                <w:szCs w:val="26"/>
              </w:rPr>
            </w:pPr>
            <w:r>
              <w:rPr>
                <w:sz w:val="26"/>
                <w:szCs w:val="26"/>
                <w:b/>
                <w:bCs/>
                <w:spacing w:val="-4"/>
              </w:rPr>
              <w:t>给予警告，责令限期改正</w:t>
            </w:r>
          </w:p>
        </w:tc>
      </w:tr>
    </w:tbl>
    <w:p>
      <w:pPr>
        <w:pStyle w:val="BodyText"/>
        <w:spacing w:before="1"/>
        <w:rPr/>
      </w:pPr>
      <w:r/>
    </w:p>
    <w:p>
      <w:pPr>
        <w:sectPr>
          <w:footerReference w:type="default" r:id="rId498"/>
          <w:pgSz w:w="16830" w:h="11900"/>
          <w:pgMar w:top="1011" w:right="1339" w:bottom="1119" w:left="1434" w:header="0" w:footer="808" w:gutter="0"/>
        </w:sectPr>
        <w:rPr/>
      </w:pPr>
    </w:p>
    <w:p>
      <w:pPr>
        <w:spacing w:before="20"/>
        <w:rPr/>
      </w:pPr>
      <w:r/>
    </w:p>
    <w:p>
      <w:pPr>
        <w:spacing w:before="20"/>
        <w:rPr/>
      </w:pPr>
      <w:r/>
    </w:p>
    <w:p>
      <w:pPr>
        <w:spacing w:before="19"/>
        <w:rPr/>
      </w:pPr>
      <w:r/>
    </w:p>
    <w:tbl>
      <w:tblPr>
        <w:tblStyle w:val="TableNormal"/>
        <w:tblW w:w="133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74"/>
        <w:gridCol w:w="8573"/>
        <w:gridCol w:w="3312"/>
      </w:tblGrid>
      <w:tr>
        <w:trPr>
          <w:trHeight w:val="842" w:hRule="atLeast"/>
        </w:trPr>
        <w:tc>
          <w:tcPr>
            <w:tcW w:w="1474" w:type="dxa"/>
            <w:vAlign w:val="top"/>
          </w:tcPr>
          <w:p>
            <w:pPr>
              <w:pStyle w:val="TableText"/>
              <w:ind w:left="488"/>
              <w:spacing w:before="302" w:line="221" w:lineRule="auto"/>
              <w:rPr/>
            </w:pPr>
            <w:r>
              <w:rPr>
                <w:b/>
                <w:bCs/>
                <w:spacing w:val="-10"/>
              </w:rPr>
              <w:t>一般</w:t>
            </w:r>
          </w:p>
        </w:tc>
        <w:tc>
          <w:tcPr>
            <w:tcW w:w="8573" w:type="dxa"/>
            <w:vAlign w:val="top"/>
          </w:tcPr>
          <w:p>
            <w:pPr>
              <w:pStyle w:val="TableText"/>
              <w:ind w:left="100" w:right="45"/>
              <w:spacing w:before="144" w:line="264" w:lineRule="auto"/>
              <w:rPr/>
            </w:pPr>
            <w:r>
              <w:rPr/>
              <w:t>未按照规定安排职业病病人、疑似职业病病人进行诊治，经责令限期改正，逾期</w:t>
            </w:r>
            <w:r>
              <w:rPr>
                <w:spacing w:val="15"/>
              </w:rPr>
              <w:t xml:space="preserve"> </w:t>
            </w:r>
            <w:r>
              <w:rPr/>
              <w:t>不改正，仍存在以上违法情形，涉及职业病病人、疑似职业病病人1例的</w:t>
            </w:r>
          </w:p>
        </w:tc>
        <w:tc>
          <w:tcPr>
            <w:tcW w:w="3312" w:type="dxa"/>
            <w:vAlign w:val="top"/>
          </w:tcPr>
          <w:p>
            <w:pPr>
              <w:pStyle w:val="TableText"/>
              <w:ind w:left="207"/>
              <w:spacing w:before="145" w:line="220" w:lineRule="auto"/>
              <w:rPr/>
            </w:pPr>
            <w:r>
              <w:rPr>
                <w:spacing w:val="1"/>
              </w:rPr>
              <w:t>处五万元以上十万元以下的</w:t>
            </w:r>
          </w:p>
          <w:p>
            <w:pPr>
              <w:pStyle w:val="TableText"/>
              <w:ind w:left="137"/>
              <w:spacing w:before="54" w:line="221" w:lineRule="auto"/>
              <w:rPr/>
            </w:pPr>
            <w:r>
              <w:rPr>
                <w:color w:val="505050"/>
                <w:spacing w:val="5"/>
              </w:rPr>
              <w:t>罚款</w:t>
            </w:r>
          </w:p>
        </w:tc>
      </w:tr>
      <w:tr>
        <w:trPr>
          <w:trHeight w:val="987" w:hRule="atLeast"/>
        </w:trPr>
        <w:tc>
          <w:tcPr>
            <w:tcW w:w="1474" w:type="dxa"/>
            <w:vAlign w:val="top"/>
          </w:tcPr>
          <w:p>
            <w:pPr>
              <w:spacing w:line="302" w:lineRule="auto"/>
              <w:rPr>
                <w:rFonts w:ascii="Arial"/>
                <w:sz w:val="21"/>
              </w:rPr>
            </w:pPr>
            <w:r/>
          </w:p>
          <w:p>
            <w:pPr>
              <w:pStyle w:val="TableText"/>
              <w:ind w:left="488"/>
              <w:spacing w:before="78" w:line="221" w:lineRule="auto"/>
              <w:rPr/>
            </w:pPr>
            <w:r>
              <w:rPr>
                <w:b/>
                <w:bCs/>
                <w:spacing w:val="-5"/>
              </w:rPr>
              <w:t>较重</w:t>
            </w:r>
          </w:p>
        </w:tc>
        <w:tc>
          <w:tcPr>
            <w:tcW w:w="8573" w:type="dxa"/>
            <w:vAlign w:val="top"/>
          </w:tcPr>
          <w:p>
            <w:pPr>
              <w:pStyle w:val="TableText"/>
              <w:ind w:left="100" w:right="36" w:firstLine="9"/>
              <w:spacing w:before="212" w:line="264" w:lineRule="auto"/>
              <w:rPr/>
            </w:pPr>
            <w:r>
              <w:rPr/>
              <w:t>未按照规定安排职业病病人、疑似职业病病人进行诊治，经责令限期改正，逾期</w:t>
            </w:r>
            <w:r>
              <w:rPr>
                <w:spacing w:val="15"/>
              </w:rPr>
              <w:t xml:space="preserve"> </w:t>
            </w:r>
            <w:r>
              <w:rPr/>
              <w:t>不改正，仍存在以上违法情形，涉及职业病病人、疑似职业病病人2-3例的</w:t>
            </w:r>
          </w:p>
        </w:tc>
        <w:tc>
          <w:tcPr>
            <w:tcW w:w="3312" w:type="dxa"/>
            <w:vAlign w:val="top"/>
          </w:tcPr>
          <w:p>
            <w:pPr>
              <w:pStyle w:val="TableText"/>
              <w:ind w:left="98" w:right="198" w:firstLine="109"/>
              <w:spacing w:before="214" w:line="257" w:lineRule="auto"/>
              <w:rPr/>
            </w:pPr>
            <w:r>
              <w:rPr>
                <w:spacing w:val="1"/>
              </w:rPr>
              <w:t>处十万元以上二十万元以下</w:t>
            </w:r>
            <w:r>
              <w:rPr>
                <w:spacing w:val="2"/>
              </w:rPr>
              <w:t xml:space="preserve"> </w:t>
            </w:r>
            <w:r>
              <w:rPr>
                <w:spacing w:val="3"/>
              </w:rPr>
              <w:t>的罚款</w:t>
            </w:r>
          </w:p>
        </w:tc>
      </w:tr>
      <w:tr>
        <w:trPr>
          <w:trHeight w:val="1341" w:hRule="atLeast"/>
        </w:trPr>
        <w:tc>
          <w:tcPr>
            <w:tcW w:w="1474" w:type="dxa"/>
            <w:vAlign w:val="top"/>
          </w:tcPr>
          <w:p>
            <w:pPr>
              <w:spacing w:line="472" w:lineRule="auto"/>
              <w:rPr>
                <w:rFonts w:ascii="Arial"/>
                <w:sz w:val="21"/>
              </w:rPr>
            </w:pPr>
            <w:r/>
          </w:p>
          <w:p>
            <w:pPr>
              <w:pStyle w:val="TableText"/>
              <w:ind w:left="488"/>
              <w:spacing w:before="78" w:line="220" w:lineRule="auto"/>
              <w:rPr/>
            </w:pPr>
            <w:r>
              <w:rPr>
                <w:b/>
                <w:bCs/>
                <w:spacing w:val="-6"/>
              </w:rPr>
              <w:t>严重</w:t>
            </w:r>
          </w:p>
        </w:tc>
        <w:tc>
          <w:tcPr>
            <w:tcW w:w="8573" w:type="dxa"/>
            <w:vAlign w:val="top"/>
          </w:tcPr>
          <w:p>
            <w:pPr>
              <w:spacing w:line="315" w:lineRule="auto"/>
              <w:rPr>
                <w:rFonts w:ascii="Arial"/>
                <w:sz w:val="21"/>
              </w:rPr>
            </w:pPr>
            <w:r/>
          </w:p>
          <w:p>
            <w:pPr>
              <w:pStyle w:val="TableText"/>
              <w:ind w:left="100" w:right="45"/>
              <w:spacing w:before="78" w:line="264" w:lineRule="auto"/>
              <w:rPr/>
            </w:pPr>
            <w:r>
              <w:rPr/>
              <w:t>未按照规定安排职业病病人、疑似职业病病人进行诊治，经责令限期改正，逾期</w:t>
            </w:r>
            <w:r>
              <w:rPr>
                <w:spacing w:val="15"/>
              </w:rPr>
              <w:t xml:space="preserve"> </w:t>
            </w:r>
            <w:r>
              <w:rPr/>
              <w:t>不改正，仍存在以上违法情形，涉及职业病病人、疑似职业病病人4例以上的</w:t>
            </w:r>
          </w:p>
        </w:tc>
        <w:tc>
          <w:tcPr>
            <w:tcW w:w="3312" w:type="dxa"/>
            <w:vAlign w:val="top"/>
          </w:tcPr>
          <w:p>
            <w:pPr>
              <w:pStyle w:val="TableText"/>
              <w:ind w:left="207"/>
              <w:spacing w:before="54" w:line="219" w:lineRule="auto"/>
              <w:rPr/>
            </w:pPr>
            <w:r>
              <w:rPr>
                <w:spacing w:val="1"/>
              </w:rPr>
              <w:t>责令停止产生职业病危害的</w:t>
            </w:r>
          </w:p>
          <w:p>
            <w:pPr>
              <w:pStyle w:val="TableText"/>
              <w:ind w:left="87"/>
              <w:spacing w:before="55" w:line="219" w:lineRule="auto"/>
              <w:rPr/>
            </w:pPr>
            <w:r>
              <w:rPr/>
              <w:t>作业，或者提请有关人民政府</w:t>
            </w:r>
          </w:p>
          <w:p>
            <w:pPr>
              <w:pStyle w:val="TableText"/>
              <w:ind w:left="207"/>
              <w:spacing w:before="55" w:line="219" w:lineRule="auto"/>
              <w:rPr/>
            </w:pPr>
            <w:r>
              <w:rPr/>
              <w:t>按照国务院规定的权限责令</w:t>
            </w:r>
          </w:p>
          <w:p>
            <w:pPr>
              <w:pStyle w:val="TableText"/>
              <w:ind w:left="127"/>
              <w:spacing w:before="47" w:line="203" w:lineRule="auto"/>
              <w:rPr/>
            </w:pPr>
            <w:r>
              <w:rPr>
                <w:color w:val="706060"/>
                <w:spacing w:val="10"/>
              </w:rPr>
              <w:t>关闭</w:t>
            </w:r>
          </w:p>
        </w:tc>
      </w:tr>
    </w:tbl>
    <w:p>
      <w:pPr>
        <w:pStyle w:val="BodyText"/>
        <w:spacing w:line="450" w:lineRule="auto"/>
        <w:rPr/>
      </w:pPr>
      <w:r/>
    </w:p>
    <w:p>
      <w:pPr>
        <w:ind w:left="29" w:right="39" w:firstLine="629"/>
        <w:spacing w:before="94" w:line="292" w:lineRule="auto"/>
        <w:rPr>
          <w:rFonts w:ascii="FangSong" w:hAnsi="FangSong" w:eastAsia="FangSong" w:cs="FangSong"/>
          <w:sz w:val="29"/>
          <w:szCs w:val="29"/>
        </w:rPr>
      </w:pPr>
      <w:r>
        <w:rPr>
          <w:rFonts w:ascii="FangSong" w:hAnsi="FangSong" w:eastAsia="FangSong" w:cs="FangSong"/>
          <w:sz w:val="29"/>
          <w:szCs w:val="29"/>
          <w:b/>
          <w:bCs/>
          <w:spacing w:val="31"/>
        </w:rPr>
        <w:t>第四百六十七条发生或者可能发生急性职业病危害事故时，未立即采取应急救援和控制措施或</w:t>
      </w:r>
      <w:r>
        <w:rPr>
          <w:rFonts w:ascii="FangSong" w:hAnsi="FangSong" w:eastAsia="FangSong" w:cs="FangSong"/>
          <w:sz w:val="29"/>
          <w:szCs w:val="29"/>
          <w:spacing w:val="1"/>
        </w:rPr>
        <w:t xml:space="preserve"> </w:t>
      </w:r>
      <w:r>
        <w:rPr>
          <w:rFonts w:ascii="FangSong" w:hAnsi="FangSong" w:eastAsia="FangSong" w:cs="FangSong"/>
          <w:sz w:val="29"/>
          <w:szCs w:val="29"/>
          <w:b/>
          <w:bCs/>
          <w:spacing w:val="25"/>
        </w:rPr>
        <w:t>者未按照规定及时报告的</w:t>
      </w:r>
    </w:p>
    <w:p>
      <w:pPr>
        <w:ind w:left="654"/>
        <w:spacing w:line="222" w:lineRule="auto"/>
        <w:rPr>
          <w:rFonts w:ascii="FangSong" w:hAnsi="FangSong" w:eastAsia="FangSong" w:cs="FangSong"/>
          <w:sz w:val="29"/>
          <w:szCs w:val="29"/>
        </w:rPr>
      </w:pPr>
      <w:r>
        <w:rPr>
          <w:rFonts w:ascii="FangSong" w:hAnsi="FangSong" w:eastAsia="FangSong" w:cs="FangSong"/>
          <w:sz w:val="29"/>
          <w:szCs w:val="29"/>
          <w:spacing w:val="8"/>
        </w:rPr>
        <w:t>法律依据：</w:t>
      </w:r>
    </w:p>
    <w:p>
      <w:pPr>
        <w:ind w:left="25" w:right="21" w:firstLine="629"/>
        <w:spacing w:before="60" w:line="278" w:lineRule="auto"/>
        <w:jc w:val="both"/>
        <w:rPr>
          <w:rFonts w:ascii="FangSong" w:hAnsi="FangSong" w:eastAsia="FangSong" w:cs="FangSong"/>
          <w:sz w:val="29"/>
          <w:szCs w:val="29"/>
        </w:rPr>
      </w:pPr>
      <w:r>
        <w:rPr>
          <w:rFonts w:ascii="FangSong" w:hAnsi="FangSong" w:eastAsia="FangSong" w:cs="FangSong"/>
          <w:sz w:val="29"/>
          <w:szCs w:val="29"/>
          <w:spacing w:val="28"/>
        </w:rPr>
        <w:t>1.</w:t>
      </w:r>
      <w:r>
        <w:rPr>
          <w:rFonts w:ascii="FangSong" w:hAnsi="FangSong" w:eastAsia="FangSong" w:cs="FangSong"/>
          <w:sz w:val="29"/>
          <w:szCs w:val="29"/>
          <w:spacing w:val="28"/>
        </w:rPr>
        <w:t xml:space="preserve"> </w:t>
      </w:r>
      <w:r>
        <w:rPr>
          <w:rFonts w:ascii="FangSong" w:hAnsi="FangSong" w:eastAsia="FangSong" w:cs="FangSong"/>
          <w:sz w:val="29"/>
          <w:szCs w:val="29"/>
          <w:spacing w:val="28"/>
        </w:rPr>
        <w:t>《中华人民共和国职业病防治法》第七十二条第(七)项</w:t>
      </w:r>
      <w:r>
        <w:rPr>
          <w:rFonts w:ascii="FangSong" w:hAnsi="FangSong" w:eastAsia="FangSong" w:cs="FangSong"/>
          <w:sz w:val="29"/>
          <w:szCs w:val="29"/>
          <w:spacing w:val="28"/>
        </w:rPr>
        <w:t xml:space="preserve">  </w:t>
      </w:r>
      <w:r>
        <w:rPr>
          <w:rFonts w:ascii="FangSong" w:hAnsi="FangSong" w:eastAsia="FangSong" w:cs="FangSong"/>
          <w:sz w:val="29"/>
          <w:szCs w:val="29"/>
          <w:spacing w:val="28"/>
        </w:rPr>
        <w:t>用人单位违反本法规</w:t>
      </w:r>
      <w:r>
        <w:rPr>
          <w:rFonts w:ascii="FangSong" w:hAnsi="FangSong" w:eastAsia="FangSong" w:cs="FangSong"/>
          <w:sz w:val="29"/>
          <w:szCs w:val="29"/>
          <w:spacing w:val="27"/>
        </w:rPr>
        <w:t>定，有下列行</w:t>
      </w:r>
      <w:r>
        <w:rPr>
          <w:rFonts w:ascii="FangSong" w:hAnsi="FangSong" w:eastAsia="FangSong" w:cs="FangSong"/>
          <w:sz w:val="29"/>
          <w:szCs w:val="29"/>
        </w:rPr>
        <w:t xml:space="preserve"> </w:t>
      </w:r>
      <w:r>
        <w:rPr>
          <w:rFonts w:ascii="FangSong" w:hAnsi="FangSong" w:eastAsia="FangSong" w:cs="FangSong"/>
          <w:sz w:val="29"/>
          <w:szCs w:val="29"/>
          <w:spacing w:val="27"/>
        </w:rPr>
        <w:t>为之一的，由卫生行政部门给予警告，责令限期改正</w:t>
      </w:r>
      <w:r>
        <w:rPr>
          <w:rFonts w:ascii="FangSong" w:hAnsi="FangSong" w:eastAsia="FangSong" w:cs="FangSong"/>
          <w:sz w:val="29"/>
          <w:szCs w:val="29"/>
          <w:spacing w:val="26"/>
        </w:rPr>
        <w:t>，逾期不改正的，处五万元以上二十万元以下的</w:t>
      </w:r>
      <w:r>
        <w:rPr>
          <w:rFonts w:ascii="FangSong" w:hAnsi="FangSong" w:eastAsia="FangSong" w:cs="FangSong"/>
          <w:sz w:val="29"/>
          <w:szCs w:val="29"/>
        </w:rPr>
        <w:t xml:space="preserve"> </w:t>
      </w:r>
      <w:r>
        <w:rPr>
          <w:rFonts w:ascii="FangSong" w:hAnsi="FangSong" w:eastAsia="FangSong" w:cs="FangSong"/>
          <w:sz w:val="29"/>
          <w:szCs w:val="29"/>
          <w:spacing w:val="27"/>
        </w:rPr>
        <w:t>罚款；情节严重的，责令停止产生职业病危害的作业，或者提请有关人民政府按</w:t>
      </w:r>
      <w:r>
        <w:rPr>
          <w:rFonts w:ascii="FangSong" w:hAnsi="FangSong" w:eastAsia="FangSong" w:cs="FangSong"/>
          <w:sz w:val="29"/>
          <w:szCs w:val="29"/>
          <w:spacing w:val="26"/>
        </w:rPr>
        <w:t>照国务院规定的权限</w:t>
      </w:r>
      <w:r>
        <w:rPr>
          <w:rFonts w:ascii="FangSong" w:hAnsi="FangSong" w:eastAsia="FangSong" w:cs="FangSong"/>
          <w:sz w:val="29"/>
          <w:szCs w:val="29"/>
        </w:rPr>
        <w:t xml:space="preserve"> </w:t>
      </w:r>
      <w:r>
        <w:rPr>
          <w:rFonts w:ascii="FangSong" w:hAnsi="FangSong" w:eastAsia="FangSong" w:cs="FangSong"/>
          <w:sz w:val="29"/>
          <w:szCs w:val="29"/>
          <w:spacing w:val="8"/>
        </w:rPr>
        <w:t>责令关闭：</w:t>
      </w:r>
    </w:p>
    <w:p>
      <w:pPr>
        <w:ind w:left="25" w:firstLine="779"/>
        <w:spacing w:before="2" w:line="276" w:lineRule="auto"/>
        <w:rPr>
          <w:rFonts w:ascii="FangSong" w:hAnsi="FangSong" w:eastAsia="FangSong" w:cs="FangSong"/>
          <w:sz w:val="29"/>
          <w:szCs w:val="29"/>
        </w:rPr>
      </w:pPr>
      <w:r>
        <w:rPr>
          <w:rFonts w:ascii="FangSong" w:hAnsi="FangSong" w:eastAsia="FangSong" w:cs="FangSong"/>
          <w:sz w:val="29"/>
          <w:szCs w:val="29"/>
          <w:spacing w:val="31"/>
        </w:rPr>
        <w:t>(七)发生或者可能发生急性职业病危害事故时，未立即采取应急救</w:t>
      </w:r>
      <w:r>
        <w:rPr>
          <w:rFonts w:ascii="FangSong" w:hAnsi="FangSong" w:eastAsia="FangSong" w:cs="FangSong"/>
          <w:sz w:val="29"/>
          <w:szCs w:val="29"/>
          <w:spacing w:val="30"/>
        </w:rPr>
        <w:t>援和控制措施或者未按照规</w:t>
      </w:r>
      <w:r>
        <w:rPr>
          <w:rFonts w:ascii="FangSong" w:hAnsi="FangSong" w:eastAsia="FangSong" w:cs="FangSong"/>
          <w:sz w:val="29"/>
          <w:szCs w:val="29"/>
        </w:rPr>
        <w:t xml:space="preserve"> </w:t>
      </w:r>
      <w:r>
        <w:rPr>
          <w:rFonts w:ascii="FangSong" w:hAnsi="FangSong" w:eastAsia="FangSong" w:cs="FangSong"/>
          <w:sz w:val="29"/>
          <w:szCs w:val="29"/>
          <w:spacing w:val="13"/>
        </w:rPr>
        <w:t>定及时报告的；</w:t>
      </w:r>
    </w:p>
    <w:p>
      <w:pPr>
        <w:ind w:right="28"/>
        <w:spacing w:before="30" w:line="220" w:lineRule="auto"/>
        <w:jc w:val="right"/>
        <w:rPr>
          <w:rFonts w:ascii="FangSong" w:hAnsi="FangSong" w:eastAsia="FangSong" w:cs="FangSong"/>
          <w:sz w:val="29"/>
          <w:szCs w:val="29"/>
        </w:rPr>
      </w:pPr>
      <w:r>
        <w:rPr>
          <w:rFonts w:ascii="FangSong" w:hAnsi="FangSong" w:eastAsia="FangSong" w:cs="FangSong"/>
          <w:sz w:val="29"/>
          <w:szCs w:val="29"/>
          <w:spacing w:val="28"/>
        </w:rPr>
        <w:t>2.</w:t>
      </w:r>
      <w:r>
        <w:rPr>
          <w:rFonts w:ascii="FangSong" w:hAnsi="FangSong" w:eastAsia="FangSong" w:cs="FangSong"/>
          <w:sz w:val="29"/>
          <w:szCs w:val="29"/>
          <w:spacing w:val="28"/>
        </w:rPr>
        <w:t xml:space="preserve"> </w:t>
      </w:r>
      <w:r>
        <w:rPr>
          <w:rFonts w:ascii="FangSong" w:hAnsi="FangSong" w:eastAsia="FangSong" w:cs="FangSong"/>
          <w:sz w:val="29"/>
          <w:szCs w:val="29"/>
          <w:spacing w:val="28"/>
        </w:rPr>
        <w:t>《工作场所职业卫生管理规定》第五十条第(六)项</w:t>
      </w:r>
      <w:r>
        <w:rPr>
          <w:rFonts w:ascii="FangSong" w:hAnsi="FangSong" w:eastAsia="FangSong" w:cs="FangSong"/>
          <w:sz w:val="29"/>
          <w:szCs w:val="29"/>
          <w:spacing w:val="28"/>
        </w:rPr>
        <w:t xml:space="preserve">  </w:t>
      </w:r>
      <w:r>
        <w:rPr>
          <w:rFonts w:ascii="FangSong" w:hAnsi="FangSong" w:eastAsia="FangSong" w:cs="FangSong"/>
          <w:sz w:val="29"/>
          <w:szCs w:val="29"/>
          <w:spacing w:val="28"/>
        </w:rPr>
        <w:t>用人单位有下列情形之一的，责令限期</w:t>
      </w:r>
    </w:p>
    <w:p>
      <w:pPr>
        <w:pStyle w:val="BodyText"/>
        <w:spacing w:line="269" w:lineRule="auto"/>
        <w:rPr/>
      </w:pPr>
      <w:r/>
    </w:p>
    <w:p>
      <w:pPr>
        <w:pStyle w:val="BodyText"/>
        <w:spacing w:line="270" w:lineRule="auto"/>
        <w:rPr/>
      </w:pPr>
      <w:r/>
    </w:p>
    <w:p>
      <w:pPr>
        <w:pStyle w:val="BodyText"/>
        <w:spacing w:line="270" w:lineRule="auto"/>
        <w:rPr/>
      </w:pPr>
      <w:r/>
    </w:p>
    <w:p>
      <w:pPr>
        <w:ind w:left="6354"/>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—556—</w:t>
      </w:r>
    </w:p>
    <w:p>
      <w:pPr>
        <w:spacing w:line="188" w:lineRule="auto"/>
        <w:sectPr>
          <w:footerReference w:type="default" r:id="rId24"/>
          <w:pgSz w:w="16830" w:h="11900"/>
          <w:pgMar w:top="1011" w:right="1418" w:bottom="400" w:left="1425" w:header="0" w:footer="0" w:gutter="0"/>
        </w:sectPr>
        <w:rPr>
          <w:rFonts w:ascii="Times New Roman" w:hAnsi="Times New Roman" w:eastAsia="Times New Roman" w:cs="Times New Roman"/>
          <w:sz w:val="37"/>
          <w:szCs w:val="37"/>
        </w:rPr>
      </w:pPr>
    </w:p>
    <w:p>
      <w:pPr>
        <w:pStyle w:val="BodyText"/>
        <w:spacing w:line="264" w:lineRule="auto"/>
        <w:rPr/>
      </w:pPr>
      <w:r/>
    </w:p>
    <w:p>
      <w:pPr>
        <w:pStyle w:val="BodyText"/>
        <w:spacing w:line="265" w:lineRule="auto"/>
        <w:rPr/>
      </w:pPr>
      <w:r/>
    </w:p>
    <w:p>
      <w:pPr>
        <w:pStyle w:val="BodyText"/>
        <w:spacing w:line="265" w:lineRule="auto"/>
        <w:rPr/>
      </w:pPr>
      <w:r/>
    </w:p>
    <w:p>
      <w:pPr>
        <w:ind w:left="115" w:right="62"/>
        <w:spacing w:before="98" w:line="267" w:lineRule="auto"/>
        <w:rPr>
          <w:rFonts w:ascii="FangSong" w:hAnsi="FangSong" w:eastAsia="FangSong" w:cs="FangSong"/>
          <w:sz w:val="30"/>
          <w:szCs w:val="30"/>
        </w:rPr>
      </w:pPr>
      <w:r>
        <w:rPr>
          <w:rFonts w:ascii="FangSong" w:hAnsi="FangSong" w:eastAsia="FangSong" w:cs="FangSong"/>
          <w:sz w:val="30"/>
          <w:szCs w:val="30"/>
          <w:spacing w:val="16"/>
        </w:rPr>
        <w:t>改正，给予警告；逾期未改正的，处五万元以上二十万元以下的罚款；情节严重的，责令停止产生职</w:t>
      </w:r>
      <w:r>
        <w:rPr>
          <w:rFonts w:ascii="FangSong" w:hAnsi="FangSong" w:eastAsia="FangSong" w:cs="FangSong"/>
          <w:sz w:val="30"/>
          <w:szCs w:val="30"/>
          <w:spacing w:val="2"/>
        </w:rPr>
        <w:t xml:space="preserve"> </w:t>
      </w:r>
      <w:r>
        <w:rPr>
          <w:rFonts w:ascii="FangSong" w:hAnsi="FangSong" w:eastAsia="FangSong" w:cs="FangSong"/>
          <w:sz w:val="30"/>
          <w:szCs w:val="30"/>
          <w:spacing w:val="17"/>
        </w:rPr>
        <w:t>业病危害的作业，或者提请有关人民政府按照国务院规定的权限责令关闭：</w:t>
      </w:r>
    </w:p>
    <w:p>
      <w:pPr>
        <w:ind w:left="115" w:firstLine="790"/>
        <w:spacing w:before="1" w:line="286" w:lineRule="auto"/>
        <w:rPr>
          <w:rFonts w:ascii="FangSong" w:hAnsi="FangSong" w:eastAsia="FangSong" w:cs="FangSong"/>
          <w:sz w:val="30"/>
          <w:szCs w:val="30"/>
        </w:rPr>
      </w:pPr>
      <w:r>
        <w:rPr>
          <w:rFonts w:ascii="FangSong" w:hAnsi="FangSong" w:eastAsia="FangSong" w:cs="FangSong"/>
          <w:sz w:val="30"/>
          <w:szCs w:val="30"/>
          <w:spacing w:val="21"/>
        </w:rPr>
        <w:t>(六)发生或者可能发生急性职业病危害事故，未立即采取应急救援和控制措施或者未按</w:t>
      </w:r>
      <w:r>
        <w:rPr>
          <w:rFonts w:ascii="FangSong" w:hAnsi="FangSong" w:eastAsia="FangSong" w:cs="FangSong"/>
          <w:sz w:val="30"/>
          <w:szCs w:val="30"/>
          <w:spacing w:val="20"/>
        </w:rPr>
        <w:t>照规定</w:t>
      </w:r>
      <w:r>
        <w:rPr>
          <w:rFonts w:ascii="FangSong" w:hAnsi="FangSong" w:eastAsia="FangSong" w:cs="FangSong"/>
          <w:sz w:val="30"/>
          <w:szCs w:val="30"/>
        </w:rPr>
        <w:t xml:space="preserve"> </w:t>
      </w:r>
      <w:r>
        <w:rPr>
          <w:rFonts w:ascii="FangSong" w:hAnsi="FangSong" w:eastAsia="FangSong" w:cs="FangSong"/>
          <w:sz w:val="30"/>
          <w:szCs w:val="30"/>
          <w:spacing w:val="8"/>
        </w:rPr>
        <w:t>及时报告的。</w:t>
      </w:r>
    </w:p>
    <w:p>
      <w:pPr>
        <w:ind w:left="6539"/>
        <w:spacing w:before="122"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9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9043"/>
        <w:gridCol w:w="3452"/>
      </w:tblGrid>
      <w:tr>
        <w:trPr>
          <w:trHeight w:val="444" w:hRule="atLeast"/>
        </w:trPr>
        <w:tc>
          <w:tcPr>
            <w:tcW w:w="1444" w:type="dxa"/>
            <w:vAlign w:val="top"/>
          </w:tcPr>
          <w:p>
            <w:pPr>
              <w:pStyle w:val="TableText"/>
              <w:ind w:left="138"/>
              <w:spacing w:before="10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9043" w:type="dxa"/>
            <w:vAlign w:val="top"/>
          </w:tcPr>
          <w:p>
            <w:pPr>
              <w:pStyle w:val="TableText"/>
              <w:ind w:left="3944"/>
              <w:spacing w:before="102" w:line="220" w:lineRule="auto"/>
              <w:rPr/>
            </w:pPr>
            <w:r>
              <w:rPr>
                <w:b/>
                <w:bCs/>
                <w:spacing w:val="47"/>
              </w:rPr>
              <w:t>情节后果</w:t>
            </w:r>
          </w:p>
        </w:tc>
        <w:tc>
          <w:tcPr>
            <w:tcW w:w="3452" w:type="dxa"/>
            <w:vAlign w:val="top"/>
          </w:tcPr>
          <w:p>
            <w:pPr>
              <w:pStyle w:val="TableText"/>
              <w:ind w:left="1141"/>
              <w:spacing w:before="9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58" w:hRule="atLeast"/>
        </w:trPr>
        <w:tc>
          <w:tcPr>
            <w:tcW w:w="1444" w:type="dxa"/>
            <w:vAlign w:val="top"/>
          </w:tcPr>
          <w:p>
            <w:pPr>
              <w:pStyle w:val="TableText"/>
              <w:ind w:left="478"/>
              <w:spacing w:before="268" w:line="221" w:lineRule="auto"/>
              <w:rPr/>
            </w:pPr>
            <w:r>
              <w:rPr>
                <w:b/>
                <w:bCs/>
                <w:spacing w:val="-10"/>
              </w:rPr>
              <w:t>一般</w:t>
            </w:r>
          </w:p>
        </w:tc>
        <w:tc>
          <w:tcPr>
            <w:tcW w:w="9043" w:type="dxa"/>
            <w:vAlign w:val="top"/>
          </w:tcPr>
          <w:p>
            <w:pPr>
              <w:pStyle w:val="TableText"/>
              <w:ind w:left="100" w:right="68" w:hanging="29"/>
              <w:spacing w:before="60" w:line="226" w:lineRule="auto"/>
              <w:rPr/>
            </w:pPr>
            <w:r>
              <w:rPr/>
              <w:t>发生或者可能发生急性职业病危害事故时，未立即采取应急救援和控制措施或者未按</w:t>
            </w:r>
            <w:r>
              <w:rPr>
                <w:spacing w:val="12"/>
              </w:rPr>
              <w:t xml:space="preserve"> </w:t>
            </w:r>
            <w:r>
              <w:rPr>
                <w:spacing w:val="2"/>
              </w:rPr>
              <w:t>照规定及时报告的</w:t>
            </w:r>
          </w:p>
        </w:tc>
        <w:tc>
          <w:tcPr>
            <w:tcW w:w="3452" w:type="dxa"/>
            <w:vAlign w:val="top"/>
          </w:tcPr>
          <w:p>
            <w:pPr>
              <w:pStyle w:val="TableText"/>
              <w:ind w:left="117"/>
              <w:spacing w:before="208" w:line="218" w:lineRule="auto"/>
              <w:rPr/>
            </w:pPr>
            <w:r>
              <w:rPr>
                <w:spacing w:val="1"/>
              </w:rPr>
              <w:t>给予警告，责令限期改正</w:t>
            </w:r>
          </w:p>
        </w:tc>
      </w:tr>
      <w:tr>
        <w:trPr>
          <w:trHeight w:val="1028" w:hRule="atLeast"/>
        </w:trPr>
        <w:tc>
          <w:tcPr>
            <w:tcW w:w="1444" w:type="dxa"/>
            <w:vAlign w:val="top"/>
          </w:tcPr>
          <w:p>
            <w:pPr>
              <w:spacing w:line="382" w:lineRule="auto"/>
              <w:rPr>
                <w:rFonts w:ascii="Arial"/>
                <w:sz w:val="21"/>
              </w:rPr>
            </w:pPr>
            <w:r/>
          </w:p>
          <w:p>
            <w:pPr>
              <w:pStyle w:val="TableText"/>
              <w:ind w:left="478"/>
              <w:spacing w:before="78" w:line="221" w:lineRule="auto"/>
              <w:rPr/>
            </w:pPr>
            <w:r>
              <w:rPr>
                <w:b/>
                <w:bCs/>
                <w:spacing w:val="-5"/>
              </w:rPr>
              <w:t>较重</w:t>
            </w:r>
          </w:p>
        </w:tc>
        <w:tc>
          <w:tcPr>
            <w:tcW w:w="9043" w:type="dxa"/>
            <w:vAlign w:val="top"/>
          </w:tcPr>
          <w:p>
            <w:pPr>
              <w:pStyle w:val="TableText"/>
              <w:ind w:left="71" w:right="68"/>
              <w:spacing w:before="81"/>
              <w:jc w:val="both"/>
              <w:rPr/>
            </w:pPr>
            <w:r>
              <w:rPr/>
              <w:t>发生或者可能发生急性职业病危害事故时，未立即采取应急救援和控制措施或者未按</w:t>
            </w:r>
            <w:r>
              <w:rPr>
                <w:spacing w:val="12"/>
              </w:rPr>
              <w:t xml:space="preserve"> </w:t>
            </w:r>
            <w:r>
              <w:rPr/>
              <w:t>照规定及时报告，经警告，逾期不改正，仍存在发生急性职业病危害事故时，采取应</w:t>
            </w:r>
            <w:r>
              <w:rPr>
                <w:spacing w:val="9"/>
              </w:rPr>
              <w:t xml:space="preserve"> </w:t>
            </w:r>
            <w:r>
              <w:rPr>
                <w:spacing w:val="3"/>
              </w:rPr>
              <w:t>急救援和控制措施，而未按照规定及时报告的</w:t>
            </w:r>
          </w:p>
        </w:tc>
        <w:tc>
          <w:tcPr>
            <w:tcW w:w="3452" w:type="dxa"/>
            <w:vAlign w:val="top"/>
          </w:tcPr>
          <w:p>
            <w:pPr>
              <w:pStyle w:val="TableText"/>
              <w:ind w:left="117" w:right="134" w:firstLine="40"/>
              <w:spacing w:before="272" w:line="250" w:lineRule="auto"/>
              <w:rPr/>
            </w:pPr>
            <w:r>
              <w:rPr>
                <w:spacing w:val="2"/>
              </w:rPr>
              <w:t>处五万元以上十万元以下的罚 </w:t>
            </w:r>
            <w:r>
              <w:rPr/>
              <w:t>款</w:t>
            </w:r>
          </w:p>
        </w:tc>
      </w:tr>
      <w:tr>
        <w:trPr>
          <w:trHeight w:val="1028" w:hRule="atLeast"/>
        </w:trPr>
        <w:tc>
          <w:tcPr>
            <w:tcW w:w="1444" w:type="dxa"/>
            <w:vAlign w:val="top"/>
          </w:tcPr>
          <w:p>
            <w:pPr>
              <w:spacing w:line="381" w:lineRule="auto"/>
              <w:rPr>
                <w:rFonts w:ascii="Arial"/>
                <w:sz w:val="21"/>
              </w:rPr>
            </w:pPr>
            <w:r/>
          </w:p>
          <w:p>
            <w:pPr>
              <w:pStyle w:val="TableText"/>
              <w:ind w:left="478"/>
              <w:spacing w:before="78" w:line="220" w:lineRule="auto"/>
              <w:rPr/>
            </w:pPr>
            <w:r>
              <w:rPr>
                <w:b/>
                <w:bCs/>
                <w:spacing w:val="-6"/>
              </w:rPr>
              <w:t>严重</w:t>
            </w:r>
          </w:p>
        </w:tc>
        <w:tc>
          <w:tcPr>
            <w:tcW w:w="9043" w:type="dxa"/>
            <w:vAlign w:val="top"/>
          </w:tcPr>
          <w:p>
            <w:pPr>
              <w:pStyle w:val="TableText"/>
              <w:ind w:left="71" w:right="68"/>
              <w:spacing w:before="81"/>
              <w:jc w:val="both"/>
              <w:rPr/>
            </w:pPr>
            <w:r>
              <w:rPr/>
              <w:t>发生或者可能发生急性职业病危害事故时，未立即采取应急救援和控制措施或者未按</w:t>
            </w:r>
            <w:r>
              <w:rPr>
                <w:spacing w:val="12"/>
              </w:rPr>
              <w:t xml:space="preserve"> </w:t>
            </w:r>
            <w:r>
              <w:rPr/>
              <w:t>照规定及时报告，经警告，逾期不改正，仍存在发生急性职业病危害事故时，按照规</w:t>
            </w:r>
            <w:r>
              <w:rPr>
                <w:spacing w:val="9"/>
              </w:rPr>
              <w:t xml:space="preserve"> </w:t>
            </w:r>
            <w:r>
              <w:rPr>
                <w:spacing w:val="2"/>
              </w:rPr>
              <w:t>定及时报告，而未立即采取应急救援和控制</w:t>
            </w:r>
            <w:r>
              <w:rPr>
                <w:spacing w:val="1"/>
              </w:rPr>
              <w:t>措施</w:t>
            </w:r>
          </w:p>
        </w:tc>
        <w:tc>
          <w:tcPr>
            <w:tcW w:w="3452" w:type="dxa"/>
            <w:vAlign w:val="top"/>
          </w:tcPr>
          <w:p>
            <w:pPr>
              <w:pStyle w:val="TableText"/>
              <w:ind w:left="38" w:right="28" w:firstLine="120"/>
              <w:spacing w:before="74" w:line="242" w:lineRule="auto"/>
              <w:jc w:val="both"/>
              <w:rPr/>
            </w:pPr>
            <w:r>
              <w:rPr>
                <w:spacing w:val="1"/>
              </w:rPr>
              <w:t>处十万元以上十五万元以下的</w:t>
            </w:r>
            <w:r>
              <w:rPr>
                <w:spacing w:val="2"/>
              </w:rPr>
              <w:t xml:space="preserve">  </w:t>
            </w:r>
            <w:r>
              <w:rPr>
                <w:spacing w:val="1"/>
              </w:rPr>
              <w:t>罚款；责令停止产生职业病危害</w:t>
            </w:r>
            <w:r>
              <w:rPr/>
              <w:t xml:space="preserve"> </w:t>
            </w:r>
            <w:r>
              <w:rPr>
                <w:spacing w:val="32"/>
              </w:rPr>
              <w:t>的作业</w:t>
            </w:r>
          </w:p>
        </w:tc>
      </w:tr>
      <w:tr>
        <w:trPr>
          <w:trHeight w:val="1162" w:hRule="atLeast"/>
        </w:trPr>
        <w:tc>
          <w:tcPr>
            <w:tcW w:w="1444" w:type="dxa"/>
            <w:vAlign w:val="top"/>
          </w:tcPr>
          <w:p>
            <w:pPr>
              <w:spacing w:line="383" w:lineRule="auto"/>
              <w:rPr>
                <w:rFonts w:ascii="Arial"/>
                <w:sz w:val="21"/>
              </w:rPr>
            </w:pPr>
            <w:r/>
          </w:p>
          <w:p>
            <w:pPr>
              <w:pStyle w:val="TableText"/>
              <w:ind w:left="238"/>
              <w:spacing w:before="78" w:line="219" w:lineRule="auto"/>
              <w:rPr/>
            </w:pPr>
            <w:r>
              <w:rPr>
                <w:b/>
                <w:bCs/>
                <w:spacing w:val="-5"/>
              </w:rPr>
              <w:t>特别严重</w:t>
            </w:r>
          </w:p>
        </w:tc>
        <w:tc>
          <w:tcPr>
            <w:tcW w:w="9043" w:type="dxa"/>
            <w:vAlign w:val="top"/>
          </w:tcPr>
          <w:p>
            <w:pPr>
              <w:pStyle w:val="TableText"/>
              <w:ind w:left="71" w:right="68"/>
              <w:spacing w:before="136" w:line="258" w:lineRule="auto"/>
              <w:jc w:val="both"/>
              <w:rPr/>
            </w:pPr>
            <w:r>
              <w:rPr/>
              <w:t>发生或者可能发生急性职业病危害事故时，未立即采取应急救援和控制措施或者未按</w:t>
            </w:r>
            <w:r>
              <w:rPr>
                <w:spacing w:val="12"/>
              </w:rPr>
              <w:t xml:space="preserve"> </w:t>
            </w:r>
            <w:r>
              <w:rPr/>
              <w:t>照规定及时报告，经警告，逾期不改正，仍存在可能发生急性职业病危害事故时，未</w:t>
            </w:r>
            <w:r>
              <w:rPr>
                <w:spacing w:val="10"/>
              </w:rPr>
              <w:t xml:space="preserve"> </w:t>
            </w:r>
            <w:r>
              <w:rPr>
                <w:spacing w:val="2"/>
              </w:rPr>
              <w:t>立即采取应急救援和控制措施，且未按照规定及时报告的</w:t>
            </w:r>
          </w:p>
        </w:tc>
        <w:tc>
          <w:tcPr>
            <w:tcW w:w="3452" w:type="dxa"/>
            <w:vAlign w:val="top"/>
          </w:tcPr>
          <w:p>
            <w:pPr>
              <w:pStyle w:val="TableText"/>
              <w:ind w:left="38" w:right="31" w:firstLine="120"/>
              <w:spacing w:before="138" w:line="260" w:lineRule="auto"/>
              <w:jc w:val="both"/>
              <w:rPr/>
            </w:pPr>
            <w:r>
              <w:rPr>
                <w:spacing w:val="1"/>
              </w:rPr>
              <w:t>处十五万元以上二十万元以下</w:t>
            </w:r>
            <w:r>
              <w:rPr/>
              <w:t xml:space="preserve">  </w:t>
            </w:r>
            <w:r>
              <w:rPr/>
              <w:t>的罚款；责令停止产生职业病危</w:t>
            </w:r>
            <w:r>
              <w:rPr>
                <w:spacing w:val="11"/>
              </w:rPr>
              <w:t xml:space="preserve"> </w:t>
            </w:r>
            <w:r>
              <w:rPr>
                <w:spacing w:val="29"/>
              </w:rPr>
              <w:t>害的作业</w:t>
            </w:r>
          </w:p>
        </w:tc>
      </w:tr>
    </w:tbl>
    <w:p>
      <w:pPr>
        <w:pStyle w:val="BodyText"/>
        <w:spacing w:line="444" w:lineRule="auto"/>
        <w:rPr/>
      </w:pPr>
      <w:r/>
    </w:p>
    <w:p>
      <w:pPr>
        <w:ind w:left="119" w:right="321" w:firstLine="659"/>
        <w:spacing w:before="98" w:line="276" w:lineRule="auto"/>
        <w:rPr>
          <w:rFonts w:ascii="FangSong" w:hAnsi="FangSong" w:eastAsia="FangSong" w:cs="FangSong"/>
          <w:sz w:val="30"/>
          <w:szCs w:val="30"/>
        </w:rPr>
      </w:pPr>
      <w:r>
        <w:rPr>
          <w:rFonts w:ascii="FangSong" w:hAnsi="FangSong" w:eastAsia="FangSong" w:cs="FangSong"/>
          <w:sz w:val="30"/>
          <w:szCs w:val="30"/>
          <w:b/>
          <w:bCs/>
          <w:spacing w:val="21"/>
        </w:rPr>
        <w:t>第四百六十八条未按照规定在产生严重职业病危害的作业岗位醒目位置设置警示标识和中文</w:t>
      </w:r>
      <w:r>
        <w:rPr>
          <w:rFonts w:ascii="FangSong" w:hAnsi="FangSong" w:eastAsia="FangSong" w:cs="FangSong"/>
          <w:sz w:val="30"/>
          <w:szCs w:val="30"/>
          <w:spacing w:val="18"/>
        </w:rPr>
        <w:t xml:space="preserve"> </w:t>
      </w:r>
      <w:r>
        <w:rPr>
          <w:rFonts w:ascii="FangSong" w:hAnsi="FangSong" w:eastAsia="FangSong" w:cs="FangSong"/>
          <w:sz w:val="30"/>
          <w:szCs w:val="30"/>
          <w:b/>
          <w:bCs/>
          <w:spacing w:val="14"/>
        </w:rPr>
        <w:t>警示说明的</w:t>
      </w:r>
    </w:p>
    <w:p>
      <w:pPr>
        <w:spacing w:line="276" w:lineRule="auto"/>
        <w:sectPr>
          <w:footerReference w:type="default" r:id="rId499"/>
          <w:pgSz w:w="16830" w:h="11900"/>
          <w:pgMar w:top="1011" w:right="1429" w:bottom="1120" w:left="1314" w:header="0" w:footer="783" w:gutter="0"/>
        </w:sectPr>
        <w:rPr>
          <w:rFonts w:ascii="FangSong" w:hAnsi="FangSong" w:eastAsia="FangSong" w:cs="FangSong"/>
          <w:sz w:val="30"/>
          <w:szCs w:val="30"/>
        </w:rPr>
      </w:pPr>
    </w:p>
    <w:p>
      <w:pPr>
        <w:pStyle w:val="BodyText"/>
        <w:spacing w:line="252" w:lineRule="auto"/>
        <w:rPr/>
      </w:pPr>
      <w:r/>
    </w:p>
    <w:p>
      <w:pPr>
        <w:pStyle w:val="BodyText"/>
        <w:spacing w:line="252" w:lineRule="auto"/>
        <w:rPr/>
      </w:pPr>
      <w:r/>
    </w:p>
    <w:p>
      <w:pPr>
        <w:pStyle w:val="BodyText"/>
        <w:spacing w:line="252" w:lineRule="auto"/>
        <w:rPr/>
      </w:pPr>
      <w:r/>
    </w:p>
    <w:p>
      <w:pPr>
        <w:ind w:left="640"/>
        <w:spacing w:before="98"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right="108" w:firstLine="640"/>
        <w:spacing w:before="88" w:line="271" w:lineRule="auto"/>
        <w:jc w:val="both"/>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《中华人民共和国职业病防治法》第七</w:t>
      </w:r>
      <w:r>
        <w:rPr>
          <w:rFonts w:ascii="FangSong" w:hAnsi="FangSong" w:eastAsia="FangSong" w:cs="FangSong"/>
          <w:sz w:val="30"/>
          <w:szCs w:val="30"/>
          <w:spacing w:val="18"/>
        </w:rPr>
        <w:t>十二条第(八)项</w:t>
      </w:r>
      <w:r>
        <w:rPr>
          <w:rFonts w:ascii="FangSong" w:hAnsi="FangSong" w:eastAsia="FangSong" w:cs="FangSong"/>
          <w:sz w:val="30"/>
          <w:szCs w:val="30"/>
          <w:spacing w:val="18"/>
        </w:rPr>
        <w:t xml:space="preserve">  </w:t>
      </w:r>
      <w:r>
        <w:rPr>
          <w:rFonts w:ascii="FangSong" w:hAnsi="FangSong" w:eastAsia="FangSong" w:cs="FangSong"/>
          <w:sz w:val="30"/>
          <w:szCs w:val="30"/>
          <w:spacing w:val="18"/>
        </w:rPr>
        <w:t>用人单位违反本法规定，有下列行</w:t>
      </w:r>
      <w:r>
        <w:rPr>
          <w:rFonts w:ascii="FangSong" w:hAnsi="FangSong" w:eastAsia="FangSong" w:cs="FangSong"/>
          <w:sz w:val="30"/>
          <w:szCs w:val="30"/>
        </w:rPr>
        <w:t xml:space="preserve"> </w:t>
      </w:r>
      <w:r>
        <w:rPr>
          <w:rFonts w:ascii="FangSong" w:hAnsi="FangSong" w:eastAsia="FangSong" w:cs="FangSong"/>
          <w:sz w:val="30"/>
          <w:szCs w:val="30"/>
          <w:spacing w:val="16"/>
        </w:rPr>
        <w:t>为之一的，由卫生行政部门给予警告，责令限期改正，逾期不改正的，处五万元以上二十万元以下的</w:t>
      </w:r>
      <w:r>
        <w:rPr>
          <w:rFonts w:ascii="FangSong" w:hAnsi="FangSong" w:eastAsia="FangSong" w:cs="FangSong"/>
          <w:sz w:val="30"/>
          <w:szCs w:val="30"/>
          <w:spacing w:val="4"/>
        </w:rPr>
        <w:t xml:space="preserve"> </w:t>
      </w:r>
      <w:r>
        <w:rPr>
          <w:rFonts w:ascii="FangSong" w:hAnsi="FangSong" w:eastAsia="FangSong" w:cs="FangSong"/>
          <w:sz w:val="30"/>
          <w:szCs w:val="30"/>
          <w:spacing w:val="16"/>
        </w:rPr>
        <w:t>罚款；情节严重的，责令停止产生职业病危害的作业，或者提请有关人民政府按照国务院规</w:t>
      </w:r>
      <w:r>
        <w:rPr>
          <w:rFonts w:ascii="FangSong" w:hAnsi="FangSong" w:eastAsia="FangSong" w:cs="FangSong"/>
          <w:sz w:val="30"/>
          <w:szCs w:val="30"/>
          <w:spacing w:val="15"/>
        </w:rPr>
        <w:t>定的权限</w:t>
      </w:r>
      <w:r>
        <w:rPr>
          <w:rFonts w:ascii="FangSong" w:hAnsi="FangSong" w:eastAsia="FangSong" w:cs="FangSong"/>
          <w:sz w:val="30"/>
          <w:szCs w:val="30"/>
        </w:rPr>
        <w:t xml:space="preserve"> </w:t>
      </w:r>
      <w:r>
        <w:rPr>
          <w:rFonts w:ascii="FangSong" w:hAnsi="FangSong" w:eastAsia="FangSong" w:cs="FangSong"/>
          <w:sz w:val="30"/>
          <w:szCs w:val="30"/>
        </w:rPr>
        <w:t>责令关闭：</w:t>
      </w:r>
    </w:p>
    <w:p>
      <w:pPr>
        <w:ind w:right="40"/>
        <w:spacing w:before="14" w:line="219" w:lineRule="auto"/>
        <w:jc w:val="right"/>
        <w:rPr>
          <w:rFonts w:ascii="FangSong" w:hAnsi="FangSong" w:eastAsia="FangSong" w:cs="FangSong"/>
          <w:sz w:val="30"/>
          <w:szCs w:val="30"/>
        </w:rPr>
      </w:pPr>
      <w:r>
        <w:rPr>
          <w:rFonts w:ascii="FangSong" w:hAnsi="FangSong" w:eastAsia="FangSong" w:cs="FangSong"/>
          <w:sz w:val="30"/>
          <w:szCs w:val="30"/>
          <w:spacing w:val="22"/>
        </w:rPr>
        <w:t>(八)未按照规定在产生严重职业病危害的作业岗位醒目位置设置警示标识和中文</w:t>
      </w:r>
      <w:r>
        <w:rPr>
          <w:rFonts w:ascii="FangSong" w:hAnsi="FangSong" w:eastAsia="FangSong" w:cs="FangSong"/>
          <w:sz w:val="30"/>
          <w:szCs w:val="30"/>
          <w:spacing w:val="21"/>
        </w:rPr>
        <w:t>警示说明的；</w:t>
      </w:r>
    </w:p>
    <w:p>
      <w:pPr>
        <w:ind w:right="92" w:firstLine="640"/>
        <w:spacing w:before="63" w:line="271" w:lineRule="auto"/>
        <w:rPr>
          <w:rFonts w:ascii="FangSong" w:hAnsi="FangSong" w:eastAsia="FangSong" w:cs="FangSong"/>
          <w:sz w:val="30"/>
          <w:szCs w:val="30"/>
        </w:rPr>
      </w:pPr>
      <w:r>
        <w:rPr>
          <w:rFonts w:ascii="FangSong" w:hAnsi="FangSong" w:eastAsia="FangSong" w:cs="FangSong"/>
          <w:sz w:val="30"/>
          <w:szCs w:val="30"/>
          <w:spacing w:val="19"/>
        </w:rPr>
        <w:t>2.</w:t>
      </w:r>
      <w:r>
        <w:rPr>
          <w:rFonts w:ascii="FangSong" w:hAnsi="FangSong" w:eastAsia="FangSong" w:cs="FangSong"/>
          <w:sz w:val="30"/>
          <w:szCs w:val="30"/>
          <w:spacing w:val="19"/>
        </w:rPr>
        <w:t xml:space="preserve"> </w:t>
      </w:r>
      <w:r>
        <w:rPr>
          <w:rFonts w:ascii="FangSong" w:hAnsi="FangSong" w:eastAsia="FangSong" w:cs="FangSong"/>
          <w:sz w:val="30"/>
          <w:szCs w:val="30"/>
          <w:spacing w:val="19"/>
        </w:rPr>
        <w:t>《使用有毒物品作业场所劳动保护条例》第五十九条第一款第(一)项</w:t>
      </w:r>
      <w:r>
        <w:rPr>
          <w:rFonts w:ascii="FangSong" w:hAnsi="FangSong" w:eastAsia="FangSong" w:cs="FangSong"/>
          <w:sz w:val="30"/>
          <w:szCs w:val="30"/>
          <w:spacing w:val="19"/>
        </w:rPr>
        <w:t xml:space="preserve">  </w:t>
      </w:r>
      <w:r>
        <w:rPr>
          <w:rFonts w:ascii="FangSong" w:hAnsi="FangSong" w:eastAsia="FangSong" w:cs="FangSong"/>
          <w:sz w:val="30"/>
          <w:szCs w:val="30"/>
          <w:spacing w:val="18"/>
        </w:rPr>
        <w:t>用人单位违反本条例</w:t>
      </w:r>
      <w:r>
        <w:rPr>
          <w:rFonts w:ascii="FangSong" w:hAnsi="FangSong" w:eastAsia="FangSong" w:cs="FangSong"/>
          <w:sz w:val="30"/>
          <w:szCs w:val="30"/>
        </w:rPr>
        <w:t xml:space="preserve"> </w:t>
      </w:r>
      <w:r>
        <w:rPr>
          <w:rFonts w:ascii="FangSong" w:hAnsi="FangSong" w:eastAsia="FangSong" w:cs="FangSong"/>
          <w:sz w:val="30"/>
          <w:szCs w:val="30"/>
          <w:spacing w:val="21"/>
        </w:rPr>
        <w:t>的规定，有下列情形之一的，由疾病预防控制部门给予警告，责令限期改正；逾期不改</w:t>
      </w:r>
      <w:r>
        <w:rPr>
          <w:rFonts w:ascii="FangSong" w:hAnsi="FangSong" w:eastAsia="FangSong" w:cs="FangSong"/>
          <w:sz w:val="30"/>
          <w:szCs w:val="30"/>
          <w:spacing w:val="20"/>
        </w:rPr>
        <w:t>正的，处5</w:t>
      </w:r>
    </w:p>
    <w:p>
      <w:pPr>
        <w:ind w:right="100"/>
        <w:spacing w:before="4" w:line="270" w:lineRule="auto"/>
        <w:rPr>
          <w:rFonts w:ascii="FangSong" w:hAnsi="FangSong" w:eastAsia="FangSong" w:cs="FangSong"/>
          <w:sz w:val="30"/>
          <w:szCs w:val="30"/>
        </w:rPr>
      </w:pPr>
      <w:r>
        <w:rPr>
          <w:rFonts w:ascii="FangSong" w:hAnsi="FangSong" w:eastAsia="FangSong" w:cs="FangSong"/>
          <w:sz w:val="30"/>
          <w:szCs w:val="30"/>
          <w:spacing w:val="23"/>
        </w:rPr>
        <w:t>万元以上20万元以下的罚款；情节严重的，提请有关人民政府按照国务院规定的权限予以关闭；造</w:t>
      </w:r>
      <w:r>
        <w:rPr>
          <w:rFonts w:ascii="FangSong" w:hAnsi="FangSong" w:eastAsia="FangSong" w:cs="FangSong"/>
          <w:sz w:val="30"/>
          <w:szCs w:val="30"/>
          <w:spacing w:val="7"/>
        </w:rPr>
        <w:t xml:space="preserve"> </w:t>
      </w:r>
      <w:r>
        <w:rPr>
          <w:rFonts w:ascii="FangSong" w:hAnsi="FangSong" w:eastAsia="FangSong" w:cs="FangSong"/>
          <w:sz w:val="30"/>
          <w:szCs w:val="30"/>
          <w:spacing w:val="17"/>
        </w:rPr>
        <w:t>成严重职业中毒危害或者导致职业中毒事故发生的，对</w:t>
      </w:r>
      <w:r>
        <w:rPr>
          <w:rFonts w:ascii="FangSong" w:hAnsi="FangSong" w:eastAsia="FangSong" w:cs="FangSong"/>
          <w:sz w:val="30"/>
          <w:szCs w:val="30"/>
          <w:spacing w:val="16"/>
        </w:rPr>
        <w:t>负有责任的主管人员和其他直接责任人员依照</w:t>
      </w:r>
      <w:r>
        <w:rPr>
          <w:rFonts w:ascii="FangSong" w:hAnsi="FangSong" w:eastAsia="FangSong" w:cs="FangSong"/>
          <w:sz w:val="30"/>
          <w:szCs w:val="30"/>
        </w:rPr>
        <w:t xml:space="preserve"> </w:t>
      </w:r>
      <w:r>
        <w:rPr>
          <w:rFonts w:ascii="FangSong" w:hAnsi="FangSong" w:eastAsia="FangSong" w:cs="FangSong"/>
          <w:sz w:val="30"/>
          <w:szCs w:val="30"/>
          <w:spacing w:val="17"/>
        </w:rPr>
        <w:t>刑法关于重大劳动安全事故罪或者其他罪的规定，</w:t>
      </w:r>
      <w:r>
        <w:rPr>
          <w:rFonts w:ascii="FangSong" w:hAnsi="FangSong" w:eastAsia="FangSong" w:cs="FangSong"/>
          <w:sz w:val="30"/>
          <w:szCs w:val="30"/>
          <w:spacing w:val="16"/>
        </w:rPr>
        <w:t>依法追究刑事责任：</w:t>
      </w:r>
    </w:p>
    <w:p>
      <w:pPr>
        <w:ind w:left="769"/>
        <w:spacing w:line="220" w:lineRule="auto"/>
        <w:rPr>
          <w:rFonts w:ascii="FangSong" w:hAnsi="FangSong" w:eastAsia="FangSong" w:cs="FangSong"/>
          <w:sz w:val="30"/>
          <w:szCs w:val="30"/>
        </w:rPr>
      </w:pPr>
      <w:r>
        <w:rPr>
          <w:rFonts w:ascii="FangSong" w:hAnsi="FangSong" w:eastAsia="FangSong" w:cs="FangSong"/>
          <w:sz w:val="30"/>
          <w:szCs w:val="30"/>
          <w:spacing w:val="22"/>
        </w:rPr>
        <w:t>(一)使用有毒物品作业场所未按照规定设置警示标识和中文警示说明的；</w:t>
      </w:r>
    </w:p>
    <w:p>
      <w:pPr>
        <w:ind w:firstLine="640"/>
        <w:spacing w:before="80" w:line="271" w:lineRule="auto"/>
        <w:jc w:val="both"/>
        <w:rPr>
          <w:rFonts w:ascii="FangSong" w:hAnsi="FangSong" w:eastAsia="FangSong" w:cs="FangSong"/>
          <w:sz w:val="30"/>
          <w:szCs w:val="30"/>
        </w:rPr>
      </w:pPr>
      <w:r>
        <w:rPr>
          <w:rFonts w:ascii="FangSong" w:hAnsi="FangSong" w:eastAsia="FangSong" w:cs="FangSong"/>
          <w:sz w:val="30"/>
          <w:szCs w:val="30"/>
          <w:spacing w:val="14"/>
        </w:rPr>
        <w:t>3.</w:t>
      </w:r>
      <w:r>
        <w:rPr>
          <w:rFonts w:ascii="FangSong" w:hAnsi="FangSong" w:eastAsia="FangSong" w:cs="FangSong"/>
          <w:sz w:val="30"/>
          <w:szCs w:val="30"/>
          <w:spacing w:val="14"/>
        </w:rPr>
        <w:t xml:space="preserve"> </w:t>
      </w:r>
      <w:r>
        <w:rPr>
          <w:rFonts w:ascii="FangSong" w:hAnsi="FangSong" w:eastAsia="FangSong" w:cs="FangSong"/>
          <w:sz w:val="30"/>
          <w:szCs w:val="30"/>
          <w:spacing w:val="14"/>
        </w:rPr>
        <w:t>《工作场所职业卫生管理规定》第五十条第(七)项</w:t>
      </w:r>
      <w:r>
        <w:rPr>
          <w:rFonts w:ascii="FangSong" w:hAnsi="FangSong" w:eastAsia="FangSong" w:cs="FangSong"/>
          <w:sz w:val="30"/>
          <w:szCs w:val="30"/>
          <w:spacing w:val="14"/>
        </w:rPr>
        <w:t xml:space="preserve">  </w:t>
      </w:r>
      <w:r>
        <w:rPr>
          <w:rFonts w:ascii="FangSong" w:hAnsi="FangSong" w:eastAsia="FangSong" w:cs="FangSong"/>
          <w:sz w:val="30"/>
          <w:szCs w:val="30"/>
          <w:spacing w:val="14"/>
        </w:rPr>
        <w:t>用人单位有下列情形之一的</w:t>
      </w:r>
      <w:r>
        <w:rPr>
          <w:rFonts w:ascii="FangSong" w:hAnsi="FangSong" w:eastAsia="FangSong" w:cs="FangSong"/>
          <w:sz w:val="30"/>
          <w:szCs w:val="30"/>
          <w:spacing w:val="13"/>
        </w:rPr>
        <w:t>，给予警告，</w:t>
      </w:r>
      <w:r>
        <w:rPr>
          <w:rFonts w:ascii="FangSong" w:hAnsi="FangSong" w:eastAsia="FangSong" w:cs="FangSong"/>
          <w:sz w:val="30"/>
          <w:szCs w:val="30"/>
        </w:rPr>
        <w:t xml:space="preserve"> </w:t>
      </w:r>
      <w:r>
        <w:rPr>
          <w:rFonts w:ascii="FangSong" w:hAnsi="FangSong" w:eastAsia="FangSong" w:cs="FangSong"/>
          <w:sz w:val="30"/>
          <w:szCs w:val="30"/>
          <w:spacing w:val="25"/>
        </w:rPr>
        <w:t>责令限期改正；逾期未改正的，处5万元以上20万元以下的罚款；情节严重的，责令停止产生职业</w:t>
      </w:r>
      <w:r>
        <w:rPr>
          <w:rFonts w:ascii="FangSong" w:hAnsi="FangSong" w:eastAsia="FangSong" w:cs="FangSong"/>
          <w:sz w:val="30"/>
          <w:szCs w:val="30"/>
          <w:spacing w:val="4"/>
        </w:rPr>
        <w:t xml:space="preserve">  </w:t>
      </w:r>
      <w:r>
        <w:rPr>
          <w:rFonts w:ascii="FangSong" w:hAnsi="FangSong" w:eastAsia="FangSong" w:cs="FangSong"/>
          <w:sz w:val="30"/>
          <w:szCs w:val="30"/>
          <w:spacing w:val="17"/>
        </w:rPr>
        <w:t>病危害的作业，或者提请有关人民政府按照国务院规定的权限</w:t>
      </w:r>
      <w:r>
        <w:rPr>
          <w:rFonts w:ascii="FangSong" w:hAnsi="FangSong" w:eastAsia="FangSong" w:cs="FangSong"/>
          <w:sz w:val="30"/>
          <w:szCs w:val="30"/>
          <w:spacing w:val="16"/>
        </w:rPr>
        <w:t>责令关闭：</w:t>
      </w:r>
    </w:p>
    <w:p>
      <w:pPr>
        <w:ind w:left="6413" w:right="39" w:hanging="5644"/>
        <w:spacing w:before="2" w:line="375" w:lineRule="auto"/>
        <w:rPr>
          <w:rFonts w:ascii="SimHei" w:hAnsi="SimHei" w:eastAsia="SimHei" w:cs="SimHei"/>
          <w:sz w:val="30"/>
          <w:szCs w:val="30"/>
        </w:rPr>
      </w:pPr>
      <w:r>
        <w:rPr>
          <w:rFonts w:ascii="FangSong" w:hAnsi="FangSong" w:eastAsia="FangSong" w:cs="FangSong"/>
          <w:sz w:val="30"/>
          <w:szCs w:val="30"/>
          <w:spacing w:val="22"/>
        </w:rPr>
        <w:t>(七)未按照规定在产生严重职业病危害的作业岗位醒目位置设置警示标识和中文警</w:t>
      </w:r>
      <w:r>
        <w:rPr>
          <w:rFonts w:ascii="FangSong" w:hAnsi="FangSong" w:eastAsia="FangSong" w:cs="FangSong"/>
          <w:sz w:val="30"/>
          <w:szCs w:val="30"/>
          <w:spacing w:val="21"/>
        </w:rPr>
        <w:t>示说明的。</w:t>
      </w:r>
      <w:r>
        <w:rPr>
          <w:rFonts w:ascii="FangSong" w:hAnsi="FangSong" w:eastAsia="FangSong" w:cs="FangSong"/>
          <w:sz w:val="30"/>
          <w:szCs w:val="30"/>
        </w:rPr>
        <w:t xml:space="preserve"> </w:t>
      </w:r>
      <w:r>
        <w:rPr>
          <w:rFonts w:ascii="SimHei" w:hAnsi="SimHei" w:eastAsia="SimHei" w:cs="SimHei"/>
          <w:sz w:val="30"/>
          <w:szCs w:val="30"/>
          <w:b/>
          <w:bCs/>
          <w:spacing w:val="-17"/>
        </w:rPr>
        <w:t>裁量标准</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6340"/>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—558—</w:t>
      </w:r>
    </w:p>
    <w:p>
      <w:pPr>
        <w:spacing w:line="188" w:lineRule="auto"/>
        <w:sectPr>
          <w:footerReference w:type="default" r:id="rId24"/>
          <w:pgSz w:w="16830" w:h="11900"/>
          <w:pgMar w:top="1011" w:right="1360" w:bottom="400" w:left="1439" w:header="0" w:footer="0" w:gutter="0"/>
        </w:sectPr>
        <w:rPr>
          <w:rFonts w:ascii="Times New Roman" w:hAnsi="Times New Roman" w:eastAsia="Times New Roman" w:cs="Times New Roman"/>
          <w:sz w:val="37"/>
          <w:szCs w:val="37"/>
        </w:rPr>
      </w:pPr>
    </w:p>
    <w:p>
      <w:pPr>
        <w:spacing w:before="20"/>
        <w:rPr/>
      </w:pPr>
      <w:r/>
    </w:p>
    <w:p>
      <w:pPr>
        <w:spacing w:before="20"/>
        <w:rPr/>
      </w:pPr>
      <w:r/>
    </w:p>
    <w:p>
      <w:pPr>
        <w:spacing w:before="19"/>
        <w:rPr/>
      </w:pPr>
      <w:r/>
    </w:p>
    <w:tbl>
      <w:tblPr>
        <w:tblStyle w:val="TableNormal"/>
        <w:tblW w:w="1382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8963"/>
        <w:gridCol w:w="3432"/>
      </w:tblGrid>
      <w:tr>
        <w:trPr>
          <w:trHeight w:val="604" w:hRule="atLeast"/>
        </w:trPr>
        <w:tc>
          <w:tcPr>
            <w:tcW w:w="1434" w:type="dxa"/>
            <w:vAlign w:val="top"/>
          </w:tcPr>
          <w:p>
            <w:pPr>
              <w:pStyle w:val="TableText"/>
              <w:ind w:left="208"/>
              <w:spacing w:before="182" w:line="220" w:lineRule="auto"/>
              <w:rPr>
                <w:sz w:val="25"/>
                <w:szCs w:val="25"/>
              </w:rPr>
            </w:pPr>
            <w:r>
              <w:rPr>
                <w:sz w:val="25"/>
                <w:szCs w:val="25"/>
                <w:b/>
                <w:bCs/>
                <w:spacing w:val="-5"/>
              </w:rPr>
              <w:t>违法程度</w:t>
            </w:r>
          </w:p>
        </w:tc>
        <w:tc>
          <w:tcPr>
            <w:tcW w:w="8963" w:type="dxa"/>
            <w:vAlign w:val="top"/>
          </w:tcPr>
          <w:p>
            <w:pPr>
              <w:pStyle w:val="TableText"/>
              <w:ind w:left="3974"/>
              <w:spacing w:before="182" w:line="220" w:lineRule="auto"/>
              <w:rPr>
                <w:sz w:val="25"/>
                <w:szCs w:val="25"/>
              </w:rPr>
            </w:pPr>
            <w:r>
              <w:rPr>
                <w:sz w:val="25"/>
                <w:szCs w:val="25"/>
                <w:b/>
                <w:bCs/>
                <w:spacing w:val="-5"/>
              </w:rPr>
              <w:t>情节后果</w:t>
            </w:r>
          </w:p>
        </w:tc>
        <w:tc>
          <w:tcPr>
            <w:tcW w:w="3432" w:type="dxa"/>
            <w:vAlign w:val="top"/>
          </w:tcPr>
          <w:p>
            <w:pPr>
              <w:pStyle w:val="TableText"/>
              <w:ind w:left="1211"/>
              <w:spacing w:before="179" w:line="218" w:lineRule="auto"/>
              <w:rPr>
                <w:sz w:val="25"/>
                <w:szCs w:val="25"/>
              </w:rPr>
            </w:pPr>
            <w:r>
              <w:rPr>
                <w:sz w:val="25"/>
                <w:szCs w:val="25"/>
                <w:b/>
                <w:bCs/>
                <w:spacing w:val="-5"/>
              </w:rPr>
              <w:t>裁量幅度</w:t>
            </w:r>
          </w:p>
        </w:tc>
      </w:tr>
      <w:tr>
        <w:trPr>
          <w:trHeight w:val="679" w:hRule="atLeast"/>
        </w:trPr>
        <w:tc>
          <w:tcPr>
            <w:tcW w:w="1434" w:type="dxa"/>
            <w:vAlign w:val="top"/>
          </w:tcPr>
          <w:p>
            <w:pPr>
              <w:pStyle w:val="TableText"/>
              <w:ind w:left="458"/>
              <w:spacing w:before="267" w:line="219" w:lineRule="auto"/>
              <w:rPr>
                <w:sz w:val="25"/>
                <w:szCs w:val="25"/>
              </w:rPr>
            </w:pPr>
            <w:r>
              <w:rPr>
                <w:sz w:val="25"/>
                <w:szCs w:val="25"/>
                <w:b/>
                <w:bCs/>
                <w:spacing w:val="-6"/>
              </w:rPr>
              <w:t>轻微</w:t>
            </w:r>
          </w:p>
        </w:tc>
        <w:tc>
          <w:tcPr>
            <w:tcW w:w="8963" w:type="dxa"/>
            <w:vAlign w:val="top"/>
          </w:tcPr>
          <w:p>
            <w:pPr>
              <w:pStyle w:val="TableText"/>
              <w:spacing w:before="71" w:line="219" w:lineRule="auto"/>
              <w:jc w:val="right"/>
              <w:rPr>
                <w:sz w:val="25"/>
                <w:szCs w:val="25"/>
              </w:rPr>
            </w:pPr>
            <w:r>
              <w:rPr>
                <w:sz w:val="25"/>
                <w:szCs w:val="25"/>
                <w:spacing w:val="-2"/>
              </w:rPr>
              <w:t>未按照规定在产生严重职业病危害的作业岗位醒目位置设置警示标识和中文警示说</w:t>
            </w:r>
          </w:p>
          <w:p>
            <w:pPr>
              <w:pStyle w:val="TableText"/>
              <w:ind w:left="100"/>
              <w:spacing w:before="42" w:line="191" w:lineRule="auto"/>
              <w:rPr>
                <w:sz w:val="25"/>
                <w:szCs w:val="25"/>
              </w:rPr>
            </w:pPr>
            <w:r>
              <w:rPr>
                <w:sz w:val="25"/>
                <w:szCs w:val="25"/>
                <w:color w:val="605050"/>
                <w:spacing w:val="9"/>
              </w:rPr>
              <w:t>明的</w:t>
            </w:r>
          </w:p>
        </w:tc>
        <w:tc>
          <w:tcPr>
            <w:tcW w:w="3432" w:type="dxa"/>
            <w:vAlign w:val="top"/>
          </w:tcPr>
          <w:p>
            <w:pPr>
              <w:pStyle w:val="TableText"/>
              <w:ind w:left="117"/>
              <w:spacing w:before="219" w:line="218" w:lineRule="auto"/>
              <w:rPr>
                <w:sz w:val="25"/>
                <w:szCs w:val="25"/>
              </w:rPr>
            </w:pPr>
            <w:r>
              <w:rPr>
                <w:sz w:val="25"/>
                <w:szCs w:val="25"/>
                <w:spacing w:val="1"/>
              </w:rPr>
              <w:t>给予警告，责令限期改正</w:t>
            </w:r>
          </w:p>
        </w:tc>
      </w:tr>
      <w:tr>
        <w:trPr>
          <w:trHeight w:val="1018" w:hRule="atLeast"/>
        </w:trPr>
        <w:tc>
          <w:tcPr>
            <w:tcW w:w="1434" w:type="dxa"/>
            <w:vAlign w:val="top"/>
          </w:tcPr>
          <w:p>
            <w:pPr>
              <w:spacing w:line="376" w:lineRule="auto"/>
              <w:rPr>
                <w:rFonts w:ascii="Arial"/>
                <w:sz w:val="21"/>
              </w:rPr>
            </w:pPr>
            <w:r/>
          </w:p>
          <w:p>
            <w:pPr>
              <w:pStyle w:val="TableText"/>
              <w:ind w:left="458"/>
              <w:spacing w:before="81" w:line="221" w:lineRule="auto"/>
              <w:rPr>
                <w:sz w:val="25"/>
                <w:szCs w:val="25"/>
              </w:rPr>
            </w:pPr>
            <w:r>
              <w:rPr>
                <w:sz w:val="25"/>
                <w:szCs w:val="25"/>
                <w:b/>
                <w:bCs/>
                <w:spacing w:val="-10"/>
              </w:rPr>
              <w:t>一般</w:t>
            </w:r>
          </w:p>
        </w:tc>
        <w:tc>
          <w:tcPr>
            <w:tcW w:w="8963" w:type="dxa"/>
            <w:vAlign w:val="top"/>
          </w:tcPr>
          <w:p>
            <w:pPr>
              <w:pStyle w:val="TableText"/>
              <w:ind w:left="30" w:hanging="20"/>
              <w:spacing w:before="61" w:line="233" w:lineRule="auto"/>
              <w:jc w:val="both"/>
              <w:rPr>
                <w:sz w:val="25"/>
                <w:szCs w:val="25"/>
              </w:rPr>
            </w:pPr>
            <w:r>
              <w:rPr>
                <w:sz w:val="25"/>
                <w:szCs w:val="25"/>
                <w:spacing w:val="-2"/>
              </w:rPr>
              <w:t>未按照规定在产生严重职业病危害的作业岗位醒目位置设置警示标识和中文警示说</w:t>
            </w:r>
            <w:r>
              <w:rPr>
                <w:sz w:val="25"/>
                <w:szCs w:val="25"/>
                <w:spacing w:val="13"/>
              </w:rPr>
              <w:t xml:space="preserve"> </w:t>
            </w:r>
            <w:r>
              <w:rPr>
                <w:sz w:val="25"/>
                <w:szCs w:val="25"/>
              </w:rPr>
              <w:t>明，经责令限期改正，逾期不改正，仍存在未按照规定在5处以下产生严重职业病</w:t>
            </w:r>
            <w:r>
              <w:rPr>
                <w:sz w:val="25"/>
                <w:szCs w:val="25"/>
                <w:spacing w:val="13"/>
              </w:rPr>
              <w:t xml:space="preserve"> </w:t>
            </w:r>
            <w:r>
              <w:rPr>
                <w:sz w:val="25"/>
                <w:szCs w:val="25"/>
                <w:spacing w:val="3"/>
              </w:rPr>
              <w:t>危害的作业岗位醒目位置设置警示标识和中文警示</w:t>
            </w:r>
            <w:r>
              <w:rPr>
                <w:sz w:val="25"/>
                <w:szCs w:val="25"/>
                <w:spacing w:val="2"/>
              </w:rPr>
              <w:t>说明的</w:t>
            </w:r>
          </w:p>
        </w:tc>
        <w:tc>
          <w:tcPr>
            <w:tcW w:w="3432" w:type="dxa"/>
            <w:vAlign w:val="top"/>
          </w:tcPr>
          <w:p>
            <w:pPr>
              <w:pStyle w:val="TableText"/>
              <w:ind w:left="87"/>
              <w:spacing w:before="233" w:line="220" w:lineRule="auto"/>
              <w:rPr>
                <w:sz w:val="25"/>
                <w:szCs w:val="25"/>
              </w:rPr>
            </w:pPr>
            <w:r>
              <w:rPr>
                <w:sz w:val="25"/>
                <w:szCs w:val="25"/>
                <w:spacing w:val="2"/>
              </w:rPr>
              <w:t>处五万元以上十万元以下的罚</w:t>
            </w:r>
          </w:p>
          <w:p>
            <w:pPr>
              <w:pStyle w:val="TableText"/>
              <w:ind w:left="97"/>
              <w:spacing w:before="32" w:line="221" w:lineRule="auto"/>
              <w:rPr>
                <w:sz w:val="25"/>
                <w:szCs w:val="25"/>
              </w:rPr>
            </w:pPr>
            <w:r>
              <w:rPr>
                <w:sz w:val="25"/>
                <w:szCs w:val="25"/>
                <w:color w:val="404050"/>
              </w:rPr>
              <w:t>款</w:t>
            </w:r>
          </w:p>
        </w:tc>
      </w:tr>
      <w:tr>
        <w:trPr>
          <w:trHeight w:val="1407" w:hRule="atLeast"/>
        </w:trPr>
        <w:tc>
          <w:tcPr>
            <w:tcW w:w="1434" w:type="dxa"/>
            <w:vAlign w:val="top"/>
          </w:tcPr>
          <w:p>
            <w:pPr>
              <w:spacing w:line="249" w:lineRule="auto"/>
              <w:rPr>
                <w:rFonts w:ascii="Arial"/>
                <w:sz w:val="21"/>
              </w:rPr>
            </w:pPr>
            <w:r/>
          </w:p>
          <w:p>
            <w:pPr>
              <w:spacing w:line="250" w:lineRule="auto"/>
              <w:rPr>
                <w:rFonts w:ascii="Arial"/>
                <w:sz w:val="21"/>
              </w:rPr>
            </w:pPr>
            <w:r/>
          </w:p>
          <w:p>
            <w:pPr>
              <w:pStyle w:val="TableText"/>
              <w:ind w:left="458"/>
              <w:spacing w:before="82" w:line="221" w:lineRule="auto"/>
              <w:rPr>
                <w:sz w:val="25"/>
                <w:szCs w:val="25"/>
              </w:rPr>
            </w:pPr>
            <w:r>
              <w:rPr>
                <w:sz w:val="25"/>
                <w:szCs w:val="25"/>
                <w:b/>
                <w:bCs/>
                <w:spacing w:val="-6"/>
              </w:rPr>
              <w:t>较重</w:t>
            </w:r>
          </w:p>
        </w:tc>
        <w:tc>
          <w:tcPr>
            <w:tcW w:w="8963" w:type="dxa"/>
            <w:vAlign w:val="top"/>
          </w:tcPr>
          <w:p>
            <w:pPr>
              <w:pStyle w:val="TableText"/>
              <w:ind w:left="10"/>
              <w:spacing w:before="273" w:line="249" w:lineRule="auto"/>
              <w:jc w:val="both"/>
              <w:rPr>
                <w:sz w:val="25"/>
                <w:szCs w:val="25"/>
              </w:rPr>
            </w:pPr>
            <w:r>
              <w:rPr>
                <w:sz w:val="25"/>
                <w:szCs w:val="25"/>
                <w:spacing w:val="-2"/>
              </w:rPr>
              <w:t>未按照规定在产生严重职业病危害的作业岗位醒目位置设置警示标识和中文</w:t>
            </w:r>
            <w:r>
              <w:rPr>
                <w:sz w:val="25"/>
                <w:szCs w:val="25"/>
                <w:spacing w:val="-3"/>
              </w:rPr>
              <w:t>警示说</w:t>
            </w:r>
            <w:r>
              <w:rPr>
                <w:sz w:val="25"/>
                <w:szCs w:val="25"/>
              </w:rPr>
              <w:t xml:space="preserve"> </w:t>
            </w:r>
            <w:r>
              <w:rPr>
                <w:sz w:val="25"/>
                <w:szCs w:val="25"/>
                <w:spacing w:val="-2"/>
              </w:rPr>
              <w:t>明，经责令限期改正，逾期不改正，仍存在未按照规定在6-10处产生严重职业病危</w:t>
            </w:r>
            <w:r>
              <w:rPr>
                <w:sz w:val="25"/>
                <w:szCs w:val="25"/>
                <w:spacing w:val="17"/>
              </w:rPr>
              <w:t xml:space="preserve"> </w:t>
            </w:r>
            <w:r>
              <w:rPr>
                <w:sz w:val="25"/>
                <w:szCs w:val="25"/>
                <w:spacing w:val="4"/>
              </w:rPr>
              <w:t>害的作业岗位醒目位置设置警示标识和中文</w:t>
            </w:r>
            <w:r>
              <w:rPr>
                <w:sz w:val="25"/>
                <w:szCs w:val="25"/>
                <w:spacing w:val="3"/>
              </w:rPr>
              <w:t>警示说明的</w:t>
            </w:r>
          </w:p>
        </w:tc>
        <w:tc>
          <w:tcPr>
            <w:tcW w:w="3432" w:type="dxa"/>
            <w:vAlign w:val="top"/>
          </w:tcPr>
          <w:p>
            <w:pPr>
              <w:spacing w:line="351" w:lineRule="auto"/>
              <w:rPr>
                <w:rFonts w:ascii="Arial"/>
                <w:sz w:val="21"/>
              </w:rPr>
            </w:pPr>
            <w:r/>
          </w:p>
          <w:p>
            <w:pPr>
              <w:pStyle w:val="TableText"/>
              <w:ind w:left="87"/>
              <w:spacing w:before="81" w:line="220" w:lineRule="auto"/>
              <w:rPr>
                <w:sz w:val="25"/>
                <w:szCs w:val="25"/>
              </w:rPr>
            </w:pPr>
            <w:r>
              <w:rPr>
                <w:sz w:val="25"/>
                <w:szCs w:val="25"/>
                <w:spacing w:val="1"/>
              </w:rPr>
              <w:t>处十万元以上二十万元以下的</w:t>
            </w:r>
          </w:p>
          <w:p>
            <w:pPr>
              <w:pStyle w:val="TableText"/>
              <w:ind w:left="128"/>
              <w:spacing w:before="42" w:line="221" w:lineRule="auto"/>
              <w:rPr>
                <w:sz w:val="25"/>
                <w:szCs w:val="25"/>
              </w:rPr>
            </w:pPr>
            <w:r>
              <w:rPr>
                <w:sz w:val="25"/>
                <w:szCs w:val="25"/>
                <w:color w:val="403040"/>
                <w:spacing w:val="5"/>
              </w:rPr>
              <w:t>罚款</w:t>
            </w:r>
          </w:p>
        </w:tc>
      </w:tr>
      <w:tr>
        <w:trPr>
          <w:trHeight w:val="1262" w:hRule="atLeast"/>
        </w:trPr>
        <w:tc>
          <w:tcPr>
            <w:tcW w:w="1434" w:type="dxa"/>
            <w:vAlign w:val="top"/>
          </w:tcPr>
          <w:p>
            <w:pPr>
              <w:spacing w:line="430"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8963" w:type="dxa"/>
            <w:vAlign w:val="top"/>
          </w:tcPr>
          <w:p>
            <w:pPr>
              <w:pStyle w:val="TableText"/>
              <w:ind w:left="10"/>
              <w:spacing w:before="198" w:line="252" w:lineRule="auto"/>
              <w:jc w:val="both"/>
              <w:rPr>
                <w:sz w:val="25"/>
                <w:szCs w:val="25"/>
              </w:rPr>
            </w:pPr>
            <w:r>
              <w:rPr>
                <w:sz w:val="25"/>
                <w:szCs w:val="25"/>
                <w:spacing w:val="-2"/>
              </w:rPr>
              <w:t>未按照规定在产生严重职业病危害的作业岗位醒目位置设置警示标识和中文</w:t>
            </w:r>
            <w:r>
              <w:rPr>
                <w:sz w:val="25"/>
                <w:szCs w:val="25"/>
                <w:spacing w:val="-3"/>
              </w:rPr>
              <w:t>警示说</w:t>
            </w:r>
            <w:r>
              <w:rPr>
                <w:sz w:val="25"/>
                <w:szCs w:val="25"/>
              </w:rPr>
              <w:t xml:space="preserve"> </w:t>
            </w:r>
            <w:r>
              <w:rPr>
                <w:sz w:val="25"/>
                <w:szCs w:val="25"/>
                <w:spacing w:val="-2"/>
              </w:rPr>
              <w:t>明，经责令限期改正，逾期不改正，仍存在未按照规定在11处以上产生严重职业病</w:t>
            </w:r>
            <w:r>
              <w:rPr>
                <w:sz w:val="25"/>
                <w:szCs w:val="25"/>
                <w:spacing w:val="15"/>
              </w:rPr>
              <w:t xml:space="preserve"> </w:t>
            </w:r>
            <w:r>
              <w:rPr>
                <w:sz w:val="25"/>
                <w:szCs w:val="25"/>
                <w:spacing w:val="3"/>
              </w:rPr>
              <w:t>危害的作业岗位醒目位置设置警示标识和中文警示说明的</w:t>
            </w:r>
          </w:p>
        </w:tc>
        <w:tc>
          <w:tcPr>
            <w:tcW w:w="3432" w:type="dxa"/>
            <w:vAlign w:val="top"/>
          </w:tcPr>
          <w:p>
            <w:pPr>
              <w:pStyle w:val="TableText"/>
              <w:ind w:left="87" w:right="67"/>
              <w:spacing w:before="196" w:line="251" w:lineRule="auto"/>
              <w:rPr>
                <w:sz w:val="25"/>
                <w:szCs w:val="25"/>
              </w:rPr>
            </w:pPr>
            <w:r>
              <w:rPr>
                <w:sz w:val="25"/>
                <w:szCs w:val="25"/>
                <w:spacing w:val="1"/>
              </w:rPr>
              <w:t>责令停止产生职业病危害的作</w:t>
            </w:r>
            <w:r>
              <w:rPr>
                <w:sz w:val="25"/>
                <w:szCs w:val="25"/>
                <w:spacing w:val="2"/>
              </w:rPr>
              <w:t xml:space="preserve"> </w:t>
            </w:r>
            <w:r>
              <w:rPr>
                <w:sz w:val="25"/>
                <w:szCs w:val="25"/>
                <w:spacing w:val="1"/>
              </w:rPr>
              <w:t>业，或者提请有关人民政府按</w:t>
            </w:r>
          </w:p>
          <w:p>
            <w:pPr>
              <w:pStyle w:val="TableText"/>
              <w:ind w:left="87"/>
              <w:spacing w:line="218" w:lineRule="auto"/>
              <w:rPr>
                <w:sz w:val="25"/>
                <w:szCs w:val="25"/>
              </w:rPr>
            </w:pPr>
            <w:r>
              <w:rPr>
                <w:sz w:val="25"/>
                <w:szCs w:val="25"/>
                <w:spacing w:val="1"/>
              </w:rPr>
              <w:t>照国务院规定的权限责令关闭</w:t>
            </w:r>
          </w:p>
        </w:tc>
      </w:tr>
    </w:tbl>
    <w:p>
      <w:pPr>
        <w:pStyle w:val="BodyText"/>
        <w:spacing w:line="437" w:lineRule="auto"/>
        <w:rPr/>
      </w:pPr>
      <w:r/>
    </w:p>
    <w:p>
      <w:pPr>
        <w:ind w:left="669"/>
        <w:spacing w:before="97" w:line="220" w:lineRule="auto"/>
        <w:rPr>
          <w:rFonts w:ascii="FangSong" w:hAnsi="FangSong" w:eastAsia="FangSong" w:cs="FangSong"/>
          <w:sz w:val="30"/>
          <w:szCs w:val="30"/>
        </w:rPr>
      </w:pPr>
      <w:r>
        <w:rPr>
          <w:rFonts w:ascii="FangSong" w:hAnsi="FangSong" w:eastAsia="FangSong" w:cs="FangSong"/>
          <w:sz w:val="30"/>
          <w:szCs w:val="30"/>
          <w:b/>
          <w:bCs/>
          <w:spacing w:val="22"/>
        </w:rPr>
        <w:t>第四百六十九条用人单位拒绝职业卫生监督管理部门监督检查的</w:t>
      </w:r>
    </w:p>
    <w:p>
      <w:pPr>
        <w:ind w:left="664"/>
        <w:spacing w:before="90" w:line="222" w:lineRule="auto"/>
        <w:rPr>
          <w:rFonts w:ascii="FangSong" w:hAnsi="FangSong" w:eastAsia="FangSong" w:cs="FangSong"/>
          <w:sz w:val="30"/>
          <w:szCs w:val="30"/>
        </w:rPr>
      </w:pPr>
      <w:r>
        <w:rPr>
          <w:rFonts w:ascii="FangSong" w:hAnsi="FangSong" w:eastAsia="FangSong" w:cs="FangSong"/>
          <w:sz w:val="30"/>
          <w:szCs w:val="30"/>
        </w:rPr>
        <w:t>法律依据：</w:t>
      </w:r>
    </w:p>
    <w:p>
      <w:pPr>
        <w:ind w:left="25" w:firstLine="639"/>
        <w:spacing w:before="78" w:line="271" w:lineRule="auto"/>
        <w:jc w:val="both"/>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《中华人民共和国职业病防治法》第七十二条第(九)项</w:t>
      </w:r>
      <w:r>
        <w:rPr>
          <w:rFonts w:ascii="FangSong" w:hAnsi="FangSong" w:eastAsia="FangSong" w:cs="FangSong"/>
          <w:sz w:val="30"/>
          <w:szCs w:val="30"/>
          <w:spacing w:val="19"/>
        </w:rPr>
        <w:t xml:space="preserve">  </w:t>
      </w:r>
      <w:r>
        <w:rPr>
          <w:rFonts w:ascii="FangSong" w:hAnsi="FangSong" w:eastAsia="FangSong" w:cs="FangSong"/>
          <w:sz w:val="30"/>
          <w:szCs w:val="30"/>
          <w:spacing w:val="18"/>
        </w:rPr>
        <w:t>用人单位违反本法规定，有下列行</w:t>
      </w:r>
      <w:r>
        <w:rPr>
          <w:rFonts w:ascii="FangSong" w:hAnsi="FangSong" w:eastAsia="FangSong" w:cs="FangSong"/>
          <w:sz w:val="30"/>
          <w:szCs w:val="30"/>
        </w:rPr>
        <w:t xml:space="preserve"> </w:t>
      </w:r>
      <w:r>
        <w:rPr>
          <w:rFonts w:ascii="FangSong" w:hAnsi="FangSong" w:eastAsia="FangSong" w:cs="FangSong"/>
          <w:sz w:val="30"/>
          <w:szCs w:val="30"/>
          <w:spacing w:val="16"/>
        </w:rPr>
        <w:t>为之一的，由卫生行政部门给予警告，责令限期改正，逾期不改正的，处五万元以上二十万元以下的</w:t>
      </w:r>
      <w:r>
        <w:rPr>
          <w:rFonts w:ascii="FangSong" w:hAnsi="FangSong" w:eastAsia="FangSong" w:cs="FangSong"/>
          <w:sz w:val="30"/>
          <w:szCs w:val="30"/>
          <w:spacing w:val="3"/>
        </w:rPr>
        <w:t xml:space="preserve"> </w:t>
      </w:r>
      <w:r>
        <w:rPr>
          <w:rFonts w:ascii="FangSong" w:hAnsi="FangSong" w:eastAsia="FangSong" w:cs="FangSong"/>
          <w:sz w:val="30"/>
          <w:szCs w:val="30"/>
          <w:spacing w:val="17"/>
        </w:rPr>
        <w:t>罚款；情节严重的，责令停止产生职业病危害的作业，或者</w:t>
      </w:r>
      <w:r>
        <w:rPr>
          <w:rFonts w:ascii="FangSong" w:hAnsi="FangSong" w:eastAsia="FangSong" w:cs="FangSong"/>
          <w:sz w:val="30"/>
          <w:szCs w:val="30"/>
          <w:spacing w:val="16"/>
        </w:rPr>
        <w:t>提请有关人民政府按照国务院规定的权限</w:t>
      </w:r>
      <w:r>
        <w:rPr>
          <w:rFonts w:ascii="FangSong" w:hAnsi="FangSong" w:eastAsia="FangSong" w:cs="FangSong"/>
          <w:sz w:val="30"/>
          <w:szCs w:val="30"/>
        </w:rPr>
        <w:t xml:space="preserve"> </w:t>
      </w:r>
      <w:r>
        <w:rPr>
          <w:rFonts w:ascii="FangSong" w:hAnsi="FangSong" w:eastAsia="FangSong" w:cs="FangSong"/>
          <w:sz w:val="30"/>
          <w:szCs w:val="30"/>
          <w:spacing w:val="-2"/>
        </w:rPr>
        <w:t>责令关闭：</w:t>
      </w:r>
    </w:p>
    <w:p>
      <w:pPr>
        <w:pStyle w:val="BodyText"/>
        <w:spacing w:line="335" w:lineRule="auto"/>
        <w:rPr/>
      </w:pPr>
      <w:r/>
    </w:p>
    <w:p>
      <w:pPr>
        <w:pStyle w:val="BodyText"/>
        <w:spacing w:line="335" w:lineRule="auto"/>
        <w:rPr/>
      </w:pPr>
      <w:r/>
    </w:p>
    <w:p>
      <w:pPr>
        <w:ind w:left="6354"/>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—559—</w:t>
      </w:r>
    </w:p>
    <w:p>
      <w:pPr>
        <w:spacing w:line="188" w:lineRule="auto"/>
        <w:sectPr>
          <w:pgSz w:w="16830" w:h="11900"/>
          <w:pgMar w:top="1011" w:right="1448" w:bottom="400" w:left="1425" w:header="0" w:footer="0" w:gutter="0"/>
        </w:sectPr>
        <w:rPr>
          <w:rFonts w:ascii="Times New Roman" w:hAnsi="Times New Roman" w:eastAsia="Times New Roman" w:cs="Times New Roman"/>
          <w:sz w:val="37"/>
          <w:szCs w:val="37"/>
        </w:rPr>
      </w:pPr>
    </w:p>
    <w:p>
      <w:pPr>
        <w:pStyle w:val="BodyText"/>
        <w:spacing w:line="264" w:lineRule="auto"/>
        <w:rPr/>
      </w:pPr>
      <w:r/>
    </w:p>
    <w:p>
      <w:pPr>
        <w:pStyle w:val="BodyText"/>
        <w:spacing w:line="264" w:lineRule="auto"/>
        <w:rPr/>
      </w:pPr>
      <w:r/>
    </w:p>
    <w:p>
      <w:pPr>
        <w:pStyle w:val="BodyText"/>
        <w:spacing w:line="264" w:lineRule="auto"/>
        <w:rPr/>
      </w:pPr>
      <w:r/>
    </w:p>
    <w:p>
      <w:pPr>
        <w:ind w:left="894"/>
        <w:spacing w:before="98" w:line="220" w:lineRule="auto"/>
        <w:rPr>
          <w:rFonts w:ascii="FangSong" w:hAnsi="FangSong" w:eastAsia="FangSong" w:cs="FangSong"/>
          <w:sz w:val="30"/>
          <w:szCs w:val="30"/>
        </w:rPr>
      </w:pPr>
      <w:bookmarkStart w:name="bookmark1135" w:id="510"/>
      <w:bookmarkEnd w:id="510"/>
      <w:r>
        <w:rPr>
          <w:rFonts w:ascii="FangSong" w:hAnsi="FangSong" w:eastAsia="FangSong" w:cs="FangSong"/>
          <w:sz w:val="30"/>
          <w:szCs w:val="30"/>
          <w:spacing w:val="24"/>
        </w:rPr>
        <w:t>(九)拒绝职业卫生监督管理部门监督检查的；</w:t>
      </w:r>
    </w:p>
    <w:p>
      <w:pPr>
        <w:ind w:left="135" w:right="1" w:firstLine="619"/>
        <w:spacing w:before="80" w:line="271" w:lineRule="auto"/>
        <w:jc w:val="both"/>
        <w:rPr>
          <w:rFonts w:ascii="FangSong" w:hAnsi="FangSong" w:eastAsia="FangSong" w:cs="FangSong"/>
          <w:sz w:val="30"/>
          <w:szCs w:val="30"/>
        </w:rPr>
      </w:pPr>
      <w:r>
        <w:rPr>
          <w:rFonts w:ascii="FangSong" w:hAnsi="FangSong" w:eastAsia="FangSong" w:cs="FangSong"/>
          <w:sz w:val="30"/>
          <w:szCs w:val="30"/>
          <w:spacing w:val="15"/>
        </w:rPr>
        <w:t>2.</w:t>
      </w:r>
      <w:r>
        <w:rPr>
          <w:rFonts w:ascii="FangSong" w:hAnsi="FangSong" w:eastAsia="FangSong" w:cs="FangSong"/>
          <w:sz w:val="30"/>
          <w:szCs w:val="30"/>
          <w:spacing w:val="15"/>
        </w:rPr>
        <w:t xml:space="preserve"> </w:t>
      </w:r>
      <w:r>
        <w:rPr>
          <w:rFonts w:ascii="FangSong" w:hAnsi="FangSong" w:eastAsia="FangSong" w:cs="FangSong"/>
          <w:sz w:val="30"/>
          <w:szCs w:val="30"/>
          <w:spacing w:val="15"/>
        </w:rPr>
        <w:t>《工作场所职业卫生管理规定》第五十条第(八)</w:t>
      </w:r>
      <w:r>
        <w:rPr>
          <w:rFonts w:ascii="FangSong" w:hAnsi="FangSong" w:eastAsia="FangSong" w:cs="FangSong"/>
          <w:sz w:val="30"/>
          <w:szCs w:val="30"/>
          <w:spacing w:val="14"/>
        </w:rPr>
        <w:t>项</w:t>
      </w:r>
      <w:r>
        <w:rPr>
          <w:rFonts w:ascii="FangSong" w:hAnsi="FangSong" w:eastAsia="FangSong" w:cs="FangSong"/>
          <w:sz w:val="30"/>
          <w:szCs w:val="30"/>
          <w:spacing w:val="14"/>
        </w:rPr>
        <w:t xml:space="preserve">  </w:t>
      </w:r>
      <w:r>
        <w:rPr>
          <w:rFonts w:ascii="FangSong" w:hAnsi="FangSong" w:eastAsia="FangSong" w:cs="FangSong"/>
          <w:sz w:val="30"/>
          <w:szCs w:val="30"/>
          <w:spacing w:val="14"/>
        </w:rPr>
        <w:t>用人单位有下列情形之一的，给予警告，</w:t>
      </w:r>
      <w:r>
        <w:rPr>
          <w:rFonts w:ascii="FangSong" w:hAnsi="FangSong" w:eastAsia="FangSong" w:cs="FangSong"/>
          <w:sz w:val="30"/>
          <w:szCs w:val="30"/>
        </w:rPr>
        <w:t xml:space="preserve"> </w:t>
      </w:r>
      <w:r>
        <w:rPr>
          <w:rFonts w:ascii="FangSong" w:hAnsi="FangSong" w:eastAsia="FangSong" w:cs="FangSong"/>
          <w:sz w:val="30"/>
          <w:szCs w:val="30"/>
          <w:spacing w:val="27"/>
        </w:rPr>
        <w:t>责令限期改正；逾期未改正的，处5万元以上20</w:t>
      </w:r>
      <w:r>
        <w:rPr>
          <w:rFonts w:ascii="FangSong" w:hAnsi="FangSong" w:eastAsia="FangSong" w:cs="FangSong"/>
          <w:sz w:val="30"/>
          <w:szCs w:val="30"/>
          <w:spacing w:val="27"/>
        </w:rPr>
        <w:t xml:space="preserve"> </w:t>
      </w:r>
      <w:r>
        <w:rPr>
          <w:rFonts w:ascii="FangSong" w:hAnsi="FangSong" w:eastAsia="FangSong" w:cs="FangSong"/>
          <w:sz w:val="30"/>
          <w:szCs w:val="30"/>
          <w:spacing w:val="27"/>
        </w:rPr>
        <w:t>万元以下的罚款；情节严重的，责令停止产生职</w:t>
      </w:r>
      <w:r>
        <w:rPr>
          <w:rFonts w:ascii="FangSong" w:hAnsi="FangSong" w:eastAsia="FangSong" w:cs="FangSong"/>
          <w:sz w:val="30"/>
          <w:szCs w:val="30"/>
          <w:spacing w:val="4"/>
        </w:rPr>
        <w:t xml:space="preserve">  </w:t>
      </w:r>
      <w:r>
        <w:rPr>
          <w:rFonts w:ascii="FangSong" w:hAnsi="FangSong" w:eastAsia="FangSong" w:cs="FangSong"/>
          <w:sz w:val="30"/>
          <w:szCs w:val="30"/>
          <w:spacing w:val="17"/>
        </w:rPr>
        <w:t>业病危害的作业，或者提请有关人民政府按照国务院规定的权限责令</w:t>
      </w:r>
      <w:r>
        <w:rPr>
          <w:rFonts w:ascii="FangSong" w:hAnsi="FangSong" w:eastAsia="FangSong" w:cs="FangSong"/>
          <w:sz w:val="30"/>
          <w:szCs w:val="30"/>
          <w:spacing w:val="16"/>
        </w:rPr>
        <w:t>关闭：</w:t>
      </w:r>
    </w:p>
    <w:p>
      <w:pPr>
        <w:ind w:left="894"/>
        <w:spacing w:line="220" w:lineRule="auto"/>
        <w:rPr>
          <w:rFonts w:ascii="FangSong" w:hAnsi="FangSong" w:eastAsia="FangSong" w:cs="FangSong"/>
          <w:sz w:val="30"/>
          <w:szCs w:val="30"/>
        </w:rPr>
      </w:pPr>
      <w:r>
        <w:rPr>
          <w:rFonts w:ascii="FangSong" w:hAnsi="FangSong" w:eastAsia="FangSong" w:cs="FangSong"/>
          <w:sz w:val="30"/>
          <w:szCs w:val="30"/>
          <w:spacing w:val="24"/>
        </w:rPr>
        <w:t>(八)拒绝安全生产监督管理部门监督检查的。</w:t>
      </w:r>
    </w:p>
    <w:p>
      <w:pPr>
        <w:ind w:left="6539"/>
        <w:spacing w:before="214"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166"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4"/>
        <w:gridCol w:w="9203"/>
        <w:gridCol w:w="3509"/>
      </w:tblGrid>
      <w:tr>
        <w:trPr>
          <w:trHeight w:val="624" w:hRule="atLeast"/>
        </w:trPr>
        <w:tc>
          <w:tcPr>
            <w:tcW w:w="1454" w:type="dxa"/>
            <w:vAlign w:val="top"/>
          </w:tcPr>
          <w:p>
            <w:pPr>
              <w:pStyle w:val="TableText"/>
              <w:ind w:left="218"/>
              <w:spacing w:before="192" w:line="220" w:lineRule="auto"/>
              <w:rPr>
                <w:sz w:val="25"/>
                <w:szCs w:val="25"/>
              </w:rPr>
            </w:pPr>
            <w:r>
              <w:rPr>
                <w:sz w:val="25"/>
                <w:szCs w:val="25"/>
                <w:b/>
                <w:bCs/>
                <w:spacing w:val="-5"/>
              </w:rPr>
              <w:t>违法程度</w:t>
            </w:r>
          </w:p>
        </w:tc>
        <w:tc>
          <w:tcPr>
            <w:tcW w:w="9203" w:type="dxa"/>
            <w:vAlign w:val="top"/>
          </w:tcPr>
          <w:p>
            <w:pPr>
              <w:pStyle w:val="TableText"/>
              <w:ind w:left="4044"/>
              <w:spacing w:before="192" w:line="220" w:lineRule="auto"/>
              <w:rPr>
                <w:sz w:val="25"/>
                <w:szCs w:val="25"/>
              </w:rPr>
            </w:pPr>
            <w:r>
              <w:rPr>
                <w:sz w:val="25"/>
                <w:szCs w:val="25"/>
                <w:b/>
                <w:bCs/>
                <w:spacing w:val="-5"/>
              </w:rPr>
              <w:t>情节后果</w:t>
            </w:r>
          </w:p>
        </w:tc>
        <w:tc>
          <w:tcPr>
            <w:tcW w:w="3509" w:type="dxa"/>
            <w:vAlign w:val="top"/>
          </w:tcPr>
          <w:p>
            <w:pPr>
              <w:pStyle w:val="TableText"/>
              <w:ind w:left="1251"/>
              <w:spacing w:before="189" w:line="218" w:lineRule="auto"/>
              <w:rPr>
                <w:sz w:val="25"/>
                <w:szCs w:val="25"/>
              </w:rPr>
            </w:pPr>
            <w:r>
              <w:rPr>
                <w:sz w:val="25"/>
                <w:szCs w:val="25"/>
                <w:b/>
                <w:bCs/>
                <w:spacing w:val="-5"/>
              </w:rPr>
              <w:t>裁量幅度</w:t>
            </w:r>
          </w:p>
        </w:tc>
      </w:tr>
      <w:tr>
        <w:trPr>
          <w:trHeight w:val="638" w:hRule="atLeast"/>
        </w:trPr>
        <w:tc>
          <w:tcPr>
            <w:tcW w:w="1454" w:type="dxa"/>
            <w:vAlign w:val="top"/>
          </w:tcPr>
          <w:p>
            <w:pPr>
              <w:pStyle w:val="TableText"/>
              <w:ind w:left="468"/>
              <w:spacing w:before="247" w:line="219" w:lineRule="auto"/>
              <w:rPr>
                <w:sz w:val="25"/>
                <w:szCs w:val="25"/>
              </w:rPr>
            </w:pPr>
            <w:r>
              <w:rPr>
                <w:sz w:val="25"/>
                <w:szCs w:val="25"/>
                <w:b/>
                <w:bCs/>
                <w:spacing w:val="-6"/>
              </w:rPr>
              <w:t>轻微</w:t>
            </w:r>
          </w:p>
        </w:tc>
        <w:tc>
          <w:tcPr>
            <w:tcW w:w="9203" w:type="dxa"/>
            <w:vAlign w:val="top"/>
          </w:tcPr>
          <w:p>
            <w:pPr>
              <w:pStyle w:val="TableText"/>
              <w:ind w:left="121"/>
              <w:spacing w:before="201" w:line="219" w:lineRule="auto"/>
              <w:rPr>
                <w:sz w:val="25"/>
                <w:szCs w:val="25"/>
              </w:rPr>
            </w:pPr>
            <w:r>
              <w:rPr>
                <w:sz w:val="25"/>
                <w:szCs w:val="25"/>
              </w:rPr>
              <w:t>用人单位拒绝职业卫生监督管理部门监督检查的</w:t>
            </w:r>
          </w:p>
        </w:tc>
        <w:tc>
          <w:tcPr>
            <w:tcW w:w="3509" w:type="dxa"/>
            <w:vAlign w:val="top"/>
          </w:tcPr>
          <w:p>
            <w:pPr>
              <w:pStyle w:val="TableText"/>
              <w:ind w:left="108"/>
              <w:spacing w:before="289" w:line="218" w:lineRule="auto"/>
              <w:rPr>
                <w:sz w:val="25"/>
                <w:szCs w:val="25"/>
              </w:rPr>
            </w:pPr>
            <w:r>
              <w:rPr>
                <w:sz w:val="25"/>
                <w:szCs w:val="25"/>
                <w:spacing w:val="1"/>
              </w:rPr>
              <w:t>给予警告，责令限期改正</w:t>
            </w:r>
          </w:p>
        </w:tc>
      </w:tr>
      <w:tr>
        <w:trPr>
          <w:trHeight w:val="708" w:hRule="atLeast"/>
        </w:trPr>
        <w:tc>
          <w:tcPr>
            <w:tcW w:w="1454" w:type="dxa"/>
            <w:vAlign w:val="top"/>
          </w:tcPr>
          <w:p>
            <w:pPr>
              <w:pStyle w:val="TableText"/>
              <w:ind w:left="468"/>
              <w:spacing w:before="291" w:line="221" w:lineRule="auto"/>
              <w:rPr>
                <w:sz w:val="25"/>
                <w:szCs w:val="25"/>
              </w:rPr>
            </w:pPr>
            <w:r>
              <w:rPr>
                <w:sz w:val="25"/>
                <w:szCs w:val="25"/>
                <w:b/>
                <w:bCs/>
                <w:spacing w:val="-10"/>
              </w:rPr>
              <w:t>一般</w:t>
            </w:r>
          </w:p>
        </w:tc>
        <w:tc>
          <w:tcPr>
            <w:tcW w:w="9203" w:type="dxa"/>
            <w:vAlign w:val="top"/>
          </w:tcPr>
          <w:p>
            <w:pPr>
              <w:pStyle w:val="TableText"/>
              <w:ind w:left="121" w:firstLine="10"/>
              <w:spacing w:before="61" w:line="235" w:lineRule="auto"/>
              <w:rPr>
                <w:sz w:val="25"/>
                <w:szCs w:val="25"/>
              </w:rPr>
            </w:pPr>
            <w:r>
              <w:rPr>
                <w:sz w:val="25"/>
                <w:szCs w:val="25"/>
                <w:spacing w:val="-5"/>
              </w:rPr>
              <w:t>用人单位拒绝职业卫生监督管理部门监督检查，经责令限期改正，逾期不</w:t>
            </w:r>
            <w:r>
              <w:rPr>
                <w:sz w:val="25"/>
                <w:szCs w:val="25"/>
                <w:spacing w:val="-6"/>
              </w:rPr>
              <w:t>改正，仍存</w:t>
            </w:r>
            <w:r>
              <w:rPr>
                <w:sz w:val="25"/>
                <w:szCs w:val="25"/>
              </w:rPr>
              <w:t xml:space="preserve"> </w:t>
            </w:r>
            <w:r>
              <w:rPr>
                <w:sz w:val="25"/>
                <w:szCs w:val="25"/>
              </w:rPr>
              <w:t>在不予配合、消极抵制职业卫生监督管理部门监督检查的</w:t>
            </w:r>
          </w:p>
        </w:tc>
        <w:tc>
          <w:tcPr>
            <w:tcW w:w="3509" w:type="dxa"/>
            <w:vAlign w:val="top"/>
          </w:tcPr>
          <w:p>
            <w:pPr>
              <w:pStyle w:val="TableText"/>
              <w:ind w:left="117"/>
              <w:spacing w:before="64" w:line="220" w:lineRule="auto"/>
              <w:rPr>
                <w:sz w:val="25"/>
                <w:szCs w:val="25"/>
              </w:rPr>
            </w:pPr>
            <w:r>
              <w:rPr>
                <w:sz w:val="25"/>
                <w:szCs w:val="25"/>
                <w:spacing w:val="2"/>
              </w:rPr>
              <w:t>处五万元以上十万元以下的罚</w:t>
            </w:r>
          </w:p>
          <w:p>
            <w:pPr>
              <w:pStyle w:val="TableText"/>
              <w:ind w:left="98"/>
              <w:spacing w:before="52" w:line="209" w:lineRule="auto"/>
              <w:rPr>
                <w:sz w:val="25"/>
                <w:szCs w:val="25"/>
              </w:rPr>
            </w:pPr>
            <w:r>
              <w:rPr>
                <w:sz w:val="25"/>
                <w:szCs w:val="25"/>
                <w:color w:val="404050"/>
              </w:rPr>
              <w:t>款</w:t>
            </w:r>
          </w:p>
        </w:tc>
      </w:tr>
      <w:tr>
        <w:trPr>
          <w:trHeight w:val="698" w:hRule="atLeast"/>
        </w:trPr>
        <w:tc>
          <w:tcPr>
            <w:tcW w:w="1454" w:type="dxa"/>
            <w:vAlign w:val="top"/>
          </w:tcPr>
          <w:p>
            <w:pPr>
              <w:pStyle w:val="TableText"/>
              <w:ind w:left="468"/>
              <w:spacing w:before="295" w:line="221" w:lineRule="auto"/>
              <w:rPr>
                <w:sz w:val="25"/>
                <w:szCs w:val="25"/>
              </w:rPr>
            </w:pPr>
            <w:r>
              <w:rPr>
                <w:sz w:val="25"/>
                <w:szCs w:val="25"/>
                <w:b/>
                <w:bCs/>
                <w:spacing w:val="-6"/>
              </w:rPr>
              <w:t>较重</w:t>
            </w:r>
          </w:p>
        </w:tc>
        <w:tc>
          <w:tcPr>
            <w:tcW w:w="9203" w:type="dxa"/>
            <w:vAlign w:val="top"/>
          </w:tcPr>
          <w:p>
            <w:pPr>
              <w:pStyle w:val="TableText"/>
              <w:ind w:left="121" w:firstLine="10"/>
              <w:spacing w:before="84" w:line="223" w:lineRule="auto"/>
              <w:rPr>
                <w:sz w:val="25"/>
                <w:szCs w:val="25"/>
              </w:rPr>
            </w:pPr>
            <w:r>
              <w:rPr>
                <w:sz w:val="25"/>
                <w:szCs w:val="25"/>
                <w:spacing w:val="-5"/>
              </w:rPr>
              <w:t>用人单位拒绝职业卫生监督管理部门监督检查，经责令限期改正，逾期不</w:t>
            </w:r>
            <w:r>
              <w:rPr>
                <w:sz w:val="25"/>
                <w:szCs w:val="25"/>
                <w:spacing w:val="-6"/>
              </w:rPr>
              <w:t>改正，仍存</w:t>
            </w:r>
            <w:r>
              <w:rPr>
                <w:sz w:val="25"/>
                <w:szCs w:val="25"/>
              </w:rPr>
              <w:t xml:space="preserve"> </w:t>
            </w:r>
            <w:r>
              <w:rPr>
                <w:sz w:val="25"/>
                <w:szCs w:val="25"/>
              </w:rPr>
              <w:t>在以主动方式(吵闹、谩骂等)阻碍职业卫生监督管理部门监督检查的</w:t>
            </w:r>
          </w:p>
        </w:tc>
        <w:tc>
          <w:tcPr>
            <w:tcW w:w="3509" w:type="dxa"/>
            <w:vAlign w:val="top"/>
          </w:tcPr>
          <w:p>
            <w:pPr>
              <w:pStyle w:val="TableText"/>
              <w:ind w:left="117"/>
              <w:spacing w:before="86" w:line="220" w:lineRule="auto"/>
              <w:rPr>
                <w:sz w:val="25"/>
                <w:szCs w:val="25"/>
              </w:rPr>
            </w:pPr>
            <w:r>
              <w:rPr>
                <w:sz w:val="25"/>
                <w:szCs w:val="25"/>
                <w:spacing w:val="1"/>
              </w:rPr>
              <w:t>处十万元以上二十万元以下的</w:t>
            </w:r>
          </w:p>
          <w:p>
            <w:pPr>
              <w:pStyle w:val="TableText"/>
              <w:ind w:left="117"/>
              <w:spacing w:before="42" w:line="193" w:lineRule="auto"/>
              <w:rPr>
                <w:sz w:val="25"/>
                <w:szCs w:val="25"/>
              </w:rPr>
            </w:pPr>
            <w:r>
              <w:rPr>
                <w:sz w:val="25"/>
                <w:szCs w:val="25"/>
                <w:color w:val="505060"/>
                <w:spacing w:val="5"/>
              </w:rPr>
              <w:t>罚款</w:t>
            </w:r>
          </w:p>
        </w:tc>
      </w:tr>
      <w:tr>
        <w:trPr>
          <w:trHeight w:val="1192" w:hRule="atLeast"/>
        </w:trPr>
        <w:tc>
          <w:tcPr>
            <w:tcW w:w="1454" w:type="dxa"/>
            <w:vAlign w:val="top"/>
          </w:tcPr>
          <w:p>
            <w:pPr>
              <w:spacing w:line="470" w:lineRule="auto"/>
              <w:rPr>
                <w:rFonts w:ascii="Arial"/>
                <w:sz w:val="21"/>
              </w:rPr>
            </w:pPr>
            <w:r/>
          </w:p>
          <w:p>
            <w:pPr>
              <w:pStyle w:val="TableText"/>
              <w:ind w:left="468"/>
              <w:spacing w:before="81" w:line="220" w:lineRule="auto"/>
              <w:rPr>
                <w:sz w:val="25"/>
                <w:szCs w:val="25"/>
              </w:rPr>
            </w:pPr>
            <w:r>
              <w:rPr>
                <w:sz w:val="25"/>
                <w:szCs w:val="25"/>
                <w:b/>
                <w:bCs/>
                <w:spacing w:val="-6"/>
              </w:rPr>
              <w:t>严重</w:t>
            </w:r>
          </w:p>
        </w:tc>
        <w:tc>
          <w:tcPr>
            <w:tcW w:w="9203" w:type="dxa"/>
            <w:vAlign w:val="top"/>
          </w:tcPr>
          <w:p>
            <w:pPr>
              <w:spacing w:line="243" w:lineRule="auto"/>
              <w:rPr>
                <w:rFonts w:ascii="Arial"/>
                <w:sz w:val="21"/>
              </w:rPr>
            </w:pPr>
            <w:r/>
          </w:p>
          <w:p>
            <w:pPr>
              <w:pStyle w:val="TableText"/>
              <w:ind w:left="121" w:firstLine="10"/>
              <w:spacing w:before="81" w:line="253" w:lineRule="auto"/>
              <w:rPr>
                <w:sz w:val="25"/>
                <w:szCs w:val="25"/>
              </w:rPr>
            </w:pPr>
            <w:r>
              <w:rPr>
                <w:sz w:val="25"/>
                <w:szCs w:val="25"/>
                <w:spacing w:val="-5"/>
              </w:rPr>
              <w:t>用人单位拒绝职业卫生监督管理部门监督检查，经责令限期改正，逾期不</w:t>
            </w:r>
            <w:r>
              <w:rPr>
                <w:sz w:val="25"/>
                <w:szCs w:val="25"/>
                <w:spacing w:val="-6"/>
              </w:rPr>
              <w:t>改正，仍存</w:t>
            </w:r>
            <w:r>
              <w:rPr>
                <w:sz w:val="25"/>
                <w:szCs w:val="25"/>
              </w:rPr>
              <w:t xml:space="preserve"> </w:t>
            </w:r>
            <w:r>
              <w:rPr>
                <w:sz w:val="25"/>
                <w:szCs w:val="25"/>
              </w:rPr>
              <w:t>在以暴力手段拒绝职业卫生监督检查，对执法人员造成健康损害的</w:t>
            </w:r>
          </w:p>
        </w:tc>
        <w:tc>
          <w:tcPr>
            <w:tcW w:w="3509" w:type="dxa"/>
            <w:vAlign w:val="top"/>
          </w:tcPr>
          <w:p>
            <w:pPr>
              <w:pStyle w:val="TableText"/>
              <w:ind w:left="17" w:firstLine="99"/>
              <w:spacing w:before="158" w:line="252" w:lineRule="auto"/>
              <w:jc w:val="both"/>
              <w:rPr>
                <w:sz w:val="25"/>
                <w:szCs w:val="25"/>
              </w:rPr>
            </w:pPr>
            <w:r>
              <w:rPr>
                <w:sz w:val="25"/>
                <w:szCs w:val="25"/>
              </w:rPr>
              <w:t>责令停止产生职业病危害的作</w:t>
            </w:r>
            <w:r>
              <w:rPr>
                <w:sz w:val="25"/>
                <w:szCs w:val="25"/>
                <w:spacing w:val="2"/>
              </w:rPr>
              <w:t xml:space="preserve">  </w:t>
            </w:r>
            <w:r>
              <w:rPr>
                <w:sz w:val="25"/>
                <w:szCs w:val="25"/>
                <w:spacing w:val="-2"/>
              </w:rPr>
              <w:t>业，或者提请有关人民政府按照</w:t>
            </w:r>
            <w:r>
              <w:rPr>
                <w:sz w:val="25"/>
                <w:szCs w:val="25"/>
                <w:spacing w:val="8"/>
              </w:rPr>
              <w:t xml:space="preserve"> </w:t>
            </w:r>
            <w:r>
              <w:rPr>
                <w:sz w:val="25"/>
                <w:szCs w:val="25"/>
                <w:spacing w:val="8"/>
              </w:rPr>
              <w:t>国务院规定的权限责令关闭</w:t>
            </w:r>
          </w:p>
        </w:tc>
      </w:tr>
    </w:tbl>
    <w:p>
      <w:pPr>
        <w:pStyle w:val="BodyText"/>
        <w:spacing w:line="434" w:lineRule="auto"/>
        <w:rPr/>
      </w:pPr>
      <w:r/>
    </w:p>
    <w:p>
      <w:pPr>
        <w:ind w:left="139" w:right="150" w:firstLine="649"/>
        <w:spacing w:before="98" w:line="266" w:lineRule="auto"/>
        <w:rPr>
          <w:rFonts w:ascii="KaiTi" w:hAnsi="KaiTi" w:eastAsia="KaiTi" w:cs="KaiTi"/>
          <w:sz w:val="30"/>
          <w:szCs w:val="30"/>
        </w:rPr>
      </w:pPr>
      <w:r>
        <w:rPr>
          <w:rFonts w:ascii="KaiTi" w:hAnsi="KaiTi" w:eastAsia="KaiTi" w:cs="KaiTi"/>
          <w:sz w:val="30"/>
          <w:szCs w:val="30"/>
          <w:b/>
          <w:bCs/>
          <w:spacing w:val="20"/>
        </w:rPr>
        <w:t>第四百七十条隐瞒、伪造、篡改、毁损职业健康监护档案、工</w:t>
      </w:r>
      <w:r>
        <w:rPr>
          <w:rFonts w:ascii="KaiTi" w:hAnsi="KaiTi" w:eastAsia="KaiTi" w:cs="KaiTi"/>
          <w:sz w:val="30"/>
          <w:szCs w:val="30"/>
          <w:b/>
          <w:bCs/>
          <w:spacing w:val="19"/>
        </w:rPr>
        <w:t>作场所职业病危害因素检测评价</w:t>
      </w:r>
      <w:r>
        <w:rPr>
          <w:rFonts w:ascii="KaiTi" w:hAnsi="KaiTi" w:eastAsia="KaiTi" w:cs="KaiTi"/>
          <w:sz w:val="30"/>
          <w:szCs w:val="30"/>
        </w:rPr>
        <w:t xml:space="preserve"> </w:t>
      </w:r>
      <w:r>
        <w:rPr>
          <w:rFonts w:ascii="KaiTi" w:hAnsi="KaiTi" w:eastAsia="KaiTi" w:cs="KaiTi"/>
          <w:sz w:val="30"/>
          <w:szCs w:val="30"/>
          <w:b/>
          <w:bCs/>
          <w:spacing w:val="17"/>
        </w:rPr>
        <w:t>结果等相关资料，或者拒不提供职业病诊断、鉴定所需资料的</w:t>
      </w:r>
    </w:p>
    <w:p>
      <w:pPr>
        <w:spacing w:line="266" w:lineRule="auto"/>
        <w:sectPr>
          <w:footerReference w:type="default" r:id="rId500"/>
          <w:pgSz w:w="16830" w:h="11900"/>
          <w:pgMar w:top="1011" w:right="1338" w:bottom="1117" w:left="1314" w:header="0" w:footer="784" w:gutter="0"/>
        </w:sectPr>
        <w:rPr>
          <w:rFonts w:ascii="KaiTi" w:hAnsi="KaiTi" w:eastAsia="KaiTi" w:cs="KaiTi"/>
          <w:sz w:val="30"/>
          <w:szCs w:val="30"/>
        </w:rPr>
      </w:pPr>
    </w:p>
    <w:p>
      <w:pPr>
        <w:pStyle w:val="BodyText"/>
        <w:spacing w:line="265" w:lineRule="auto"/>
        <w:rPr/>
      </w:pPr>
      <w:r/>
    </w:p>
    <w:p>
      <w:pPr>
        <w:pStyle w:val="BodyText"/>
        <w:spacing w:line="265" w:lineRule="auto"/>
        <w:rPr/>
      </w:pPr>
      <w:r/>
    </w:p>
    <w:p>
      <w:pPr>
        <w:pStyle w:val="BodyText"/>
        <w:spacing w:line="266" w:lineRule="auto"/>
        <w:rPr/>
      </w:pPr>
      <w:r/>
    </w:p>
    <w:p>
      <w:pPr>
        <w:ind w:left="639"/>
        <w:spacing w:before="97" w:line="222" w:lineRule="auto"/>
        <w:rPr>
          <w:rFonts w:ascii="FangSong" w:hAnsi="FangSong" w:eastAsia="FangSong" w:cs="FangSong"/>
          <w:sz w:val="30"/>
          <w:szCs w:val="30"/>
        </w:rPr>
      </w:pPr>
      <w:r>
        <w:rPr>
          <w:rFonts w:ascii="FangSong" w:hAnsi="FangSong" w:eastAsia="FangSong" w:cs="FangSong"/>
          <w:sz w:val="30"/>
          <w:szCs w:val="30"/>
          <w:spacing w:val="4"/>
        </w:rPr>
        <w:t>法律依据：</w:t>
      </w:r>
    </w:p>
    <w:p>
      <w:pPr>
        <w:ind w:right="128" w:firstLine="639"/>
        <w:spacing w:before="54" w:line="274" w:lineRule="auto"/>
        <w:jc w:val="both"/>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《中华人民共和国职业病防治法》第七十二条第(十)项</w:t>
      </w:r>
      <w:r>
        <w:rPr>
          <w:rFonts w:ascii="FangSong" w:hAnsi="FangSong" w:eastAsia="FangSong" w:cs="FangSong"/>
          <w:sz w:val="30"/>
          <w:szCs w:val="30"/>
          <w:spacing w:val="19"/>
        </w:rPr>
        <w:t xml:space="preserve">  </w:t>
      </w:r>
      <w:r>
        <w:rPr>
          <w:rFonts w:ascii="FangSong" w:hAnsi="FangSong" w:eastAsia="FangSong" w:cs="FangSong"/>
          <w:sz w:val="30"/>
          <w:szCs w:val="30"/>
          <w:spacing w:val="19"/>
        </w:rPr>
        <w:t>用人单位违反本法规</w:t>
      </w:r>
      <w:r>
        <w:rPr>
          <w:rFonts w:ascii="FangSong" w:hAnsi="FangSong" w:eastAsia="FangSong" w:cs="FangSong"/>
          <w:sz w:val="30"/>
          <w:szCs w:val="30"/>
          <w:spacing w:val="18"/>
        </w:rPr>
        <w:t>定，有下列行</w:t>
      </w:r>
      <w:r>
        <w:rPr>
          <w:rFonts w:ascii="FangSong" w:hAnsi="FangSong" w:eastAsia="FangSong" w:cs="FangSong"/>
          <w:sz w:val="30"/>
          <w:szCs w:val="30"/>
        </w:rPr>
        <w:t xml:space="preserve"> </w:t>
      </w:r>
      <w:r>
        <w:rPr>
          <w:rFonts w:ascii="FangSong" w:hAnsi="FangSong" w:eastAsia="FangSong" w:cs="FangSong"/>
          <w:sz w:val="30"/>
          <w:szCs w:val="30"/>
          <w:spacing w:val="16"/>
        </w:rPr>
        <w:t>为之一的，由卫生行政部门给予警告，责令限期改正，逾期不改正的，处五万元以上二十万元以下的</w:t>
      </w:r>
      <w:r>
        <w:rPr>
          <w:rFonts w:ascii="FangSong" w:hAnsi="FangSong" w:eastAsia="FangSong" w:cs="FangSong"/>
          <w:sz w:val="30"/>
          <w:szCs w:val="30"/>
          <w:spacing w:val="14"/>
        </w:rPr>
        <w:t xml:space="preserve"> </w:t>
      </w:r>
      <w:r>
        <w:rPr>
          <w:rFonts w:ascii="FangSong" w:hAnsi="FangSong" w:eastAsia="FangSong" w:cs="FangSong"/>
          <w:sz w:val="30"/>
          <w:szCs w:val="30"/>
          <w:spacing w:val="17"/>
        </w:rPr>
        <w:t>罚款；情节严重的，责令停止产生职业病危害的作业，或者提请有关人民政府按</w:t>
      </w:r>
      <w:r>
        <w:rPr>
          <w:rFonts w:ascii="FangSong" w:hAnsi="FangSong" w:eastAsia="FangSong" w:cs="FangSong"/>
          <w:sz w:val="30"/>
          <w:szCs w:val="30"/>
          <w:spacing w:val="16"/>
        </w:rPr>
        <w:t>照国务院规定的权限</w:t>
      </w:r>
      <w:r>
        <w:rPr>
          <w:rFonts w:ascii="FangSong" w:hAnsi="FangSong" w:eastAsia="FangSong" w:cs="FangSong"/>
          <w:sz w:val="30"/>
          <w:szCs w:val="30"/>
        </w:rPr>
        <w:t xml:space="preserve"> </w:t>
      </w:r>
      <w:r>
        <w:rPr>
          <w:rFonts w:ascii="FangSong" w:hAnsi="FangSong" w:eastAsia="FangSong" w:cs="FangSong"/>
          <w:sz w:val="30"/>
          <w:szCs w:val="30"/>
          <w:spacing w:val="2"/>
        </w:rPr>
        <w:t>责令关闭：</w:t>
      </w:r>
    </w:p>
    <w:p>
      <w:pPr>
        <w:ind w:right="117" w:firstLine="779"/>
        <w:spacing w:before="2" w:line="270" w:lineRule="auto"/>
        <w:rPr>
          <w:rFonts w:ascii="FangSong" w:hAnsi="FangSong" w:eastAsia="FangSong" w:cs="FangSong"/>
          <w:sz w:val="30"/>
          <w:szCs w:val="30"/>
        </w:rPr>
      </w:pPr>
      <w:r>
        <w:rPr>
          <w:rFonts w:ascii="FangSong" w:hAnsi="FangSong" w:eastAsia="FangSong" w:cs="FangSong"/>
          <w:sz w:val="30"/>
          <w:szCs w:val="30"/>
          <w:spacing w:val="21"/>
        </w:rPr>
        <w:t>(十)隐瞒、伪造、篡改、毁损职业健康监护档案、工作场所职业病危</w:t>
      </w:r>
      <w:r>
        <w:rPr>
          <w:rFonts w:ascii="FangSong" w:hAnsi="FangSong" w:eastAsia="FangSong" w:cs="FangSong"/>
          <w:sz w:val="30"/>
          <w:szCs w:val="30"/>
          <w:spacing w:val="20"/>
        </w:rPr>
        <w:t>害因素检测评价结果等相</w:t>
      </w:r>
      <w:r>
        <w:rPr>
          <w:rFonts w:ascii="FangSong" w:hAnsi="FangSong" w:eastAsia="FangSong" w:cs="FangSong"/>
          <w:sz w:val="30"/>
          <w:szCs w:val="30"/>
        </w:rPr>
        <w:t xml:space="preserve"> </w:t>
      </w:r>
      <w:r>
        <w:rPr>
          <w:rFonts w:ascii="FangSong" w:hAnsi="FangSong" w:eastAsia="FangSong" w:cs="FangSong"/>
          <w:sz w:val="30"/>
          <w:szCs w:val="30"/>
          <w:spacing w:val="16"/>
        </w:rPr>
        <w:t>关资料，或者拒不提供职业病诊断、鉴定所需资料的；</w:t>
      </w:r>
    </w:p>
    <w:p>
      <w:pPr>
        <w:ind w:firstLine="639"/>
        <w:spacing w:before="3" w:line="268" w:lineRule="auto"/>
        <w:jc w:val="both"/>
        <w:rPr>
          <w:rFonts w:ascii="FangSong" w:hAnsi="FangSong" w:eastAsia="FangSong" w:cs="FangSong"/>
          <w:sz w:val="30"/>
          <w:szCs w:val="30"/>
        </w:rPr>
      </w:pPr>
      <w:r>
        <w:rPr>
          <w:rFonts w:ascii="FangSong" w:hAnsi="FangSong" w:eastAsia="FangSong" w:cs="FangSong"/>
          <w:sz w:val="30"/>
          <w:szCs w:val="30"/>
          <w:spacing w:val="15"/>
        </w:rPr>
        <w:t>2.</w:t>
      </w:r>
      <w:r>
        <w:rPr>
          <w:rFonts w:ascii="FangSong" w:hAnsi="FangSong" w:eastAsia="FangSong" w:cs="FangSong"/>
          <w:sz w:val="30"/>
          <w:szCs w:val="30"/>
          <w:spacing w:val="15"/>
        </w:rPr>
        <w:t xml:space="preserve"> </w:t>
      </w:r>
      <w:r>
        <w:rPr>
          <w:rFonts w:ascii="FangSong" w:hAnsi="FangSong" w:eastAsia="FangSong" w:cs="FangSong"/>
          <w:sz w:val="30"/>
          <w:szCs w:val="30"/>
          <w:spacing w:val="15"/>
        </w:rPr>
        <w:t>《工作场所职业卫生管理规定》第五十条第(九)项</w:t>
      </w:r>
      <w:r>
        <w:rPr>
          <w:rFonts w:ascii="FangSong" w:hAnsi="FangSong" w:eastAsia="FangSong" w:cs="FangSong"/>
          <w:sz w:val="30"/>
          <w:szCs w:val="30"/>
          <w:spacing w:val="15"/>
        </w:rPr>
        <w:t xml:space="preserve">  </w:t>
      </w:r>
      <w:r>
        <w:rPr>
          <w:rFonts w:ascii="FangSong" w:hAnsi="FangSong" w:eastAsia="FangSong" w:cs="FangSong"/>
          <w:sz w:val="30"/>
          <w:szCs w:val="30"/>
          <w:spacing w:val="15"/>
        </w:rPr>
        <w:t>用人单位有下</w:t>
      </w:r>
      <w:r>
        <w:rPr>
          <w:rFonts w:ascii="FangSong" w:hAnsi="FangSong" w:eastAsia="FangSong" w:cs="FangSong"/>
          <w:sz w:val="30"/>
          <w:szCs w:val="30"/>
          <w:spacing w:val="14"/>
        </w:rPr>
        <w:t>列情形之一的，给予警告，</w:t>
      </w:r>
      <w:r>
        <w:rPr>
          <w:rFonts w:ascii="FangSong" w:hAnsi="FangSong" w:eastAsia="FangSong" w:cs="FangSong"/>
          <w:sz w:val="30"/>
          <w:szCs w:val="30"/>
        </w:rPr>
        <w:t xml:space="preserve"> </w:t>
      </w:r>
      <w:r>
        <w:rPr>
          <w:rFonts w:ascii="FangSong" w:hAnsi="FangSong" w:eastAsia="FangSong" w:cs="FangSong"/>
          <w:sz w:val="30"/>
          <w:szCs w:val="30"/>
          <w:spacing w:val="25"/>
        </w:rPr>
        <w:t>责令限期改正；逾期未改正的，处5万元以上20万元以下的罚款；情节严重的，责令停止产生职业</w:t>
      </w:r>
      <w:r>
        <w:rPr>
          <w:rFonts w:ascii="FangSong" w:hAnsi="FangSong" w:eastAsia="FangSong" w:cs="FangSong"/>
          <w:sz w:val="30"/>
          <w:szCs w:val="30"/>
          <w:spacing w:val="9"/>
        </w:rPr>
        <w:t xml:space="preserve">  </w:t>
      </w:r>
      <w:r>
        <w:rPr>
          <w:rFonts w:ascii="FangSong" w:hAnsi="FangSong" w:eastAsia="FangSong" w:cs="FangSong"/>
          <w:sz w:val="30"/>
          <w:szCs w:val="30"/>
          <w:spacing w:val="18"/>
        </w:rPr>
        <w:t>病危害的作业，或者提请有关人民政府按照国务院规定</w:t>
      </w:r>
      <w:r>
        <w:rPr>
          <w:rFonts w:ascii="FangSong" w:hAnsi="FangSong" w:eastAsia="FangSong" w:cs="FangSong"/>
          <w:sz w:val="30"/>
          <w:szCs w:val="30"/>
          <w:spacing w:val="17"/>
        </w:rPr>
        <w:t>的权限责令关闭：</w:t>
      </w:r>
    </w:p>
    <w:p>
      <w:pPr>
        <w:ind w:right="117" w:firstLine="779"/>
        <w:spacing w:line="271" w:lineRule="auto"/>
        <w:rPr>
          <w:rFonts w:ascii="FangSong" w:hAnsi="FangSong" w:eastAsia="FangSong" w:cs="FangSong"/>
          <w:sz w:val="30"/>
          <w:szCs w:val="30"/>
        </w:rPr>
      </w:pPr>
      <w:r>
        <w:rPr>
          <w:rFonts w:ascii="FangSong" w:hAnsi="FangSong" w:eastAsia="FangSong" w:cs="FangSong"/>
          <w:sz w:val="30"/>
          <w:szCs w:val="30"/>
          <w:spacing w:val="21"/>
        </w:rPr>
        <w:t>(九)隐瞒、伪造、篡改、毁损职业健康监护档案、工作场所职业病危</w:t>
      </w:r>
      <w:r>
        <w:rPr>
          <w:rFonts w:ascii="FangSong" w:hAnsi="FangSong" w:eastAsia="FangSong" w:cs="FangSong"/>
          <w:sz w:val="30"/>
          <w:szCs w:val="30"/>
          <w:spacing w:val="20"/>
        </w:rPr>
        <w:t>害因素检测评价结果等相</w:t>
      </w:r>
      <w:r>
        <w:rPr>
          <w:rFonts w:ascii="FangSong" w:hAnsi="FangSong" w:eastAsia="FangSong" w:cs="FangSong"/>
          <w:sz w:val="30"/>
          <w:szCs w:val="30"/>
        </w:rPr>
        <w:t xml:space="preserve"> </w:t>
      </w:r>
      <w:r>
        <w:rPr>
          <w:rFonts w:ascii="FangSong" w:hAnsi="FangSong" w:eastAsia="FangSong" w:cs="FangSong"/>
          <w:sz w:val="30"/>
          <w:szCs w:val="30"/>
          <w:spacing w:val="16"/>
        </w:rPr>
        <w:t>关资料，或者不提供职业病诊断、鉴定所需要资料的；</w:t>
      </w:r>
    </w:p>
    <w:p>
      <w:pPr>
        <w:ind w:right="29" w:firstLine="639"/>
        <w:spacing w:before="2" w:line="268" w:lineRule="auto"/>
        <w:jc w:val="both"/>
        <w:rPr>
          <w:rFonts w:ascii="FangSong" w:hAnsi="FangSong" w:eastAsia="FangSong" w:cs="FangSong"/>
          <w:sz w:val="30"/>
          <w:szCs w:val="30"/>
        </w:rPr>
      </w:pPr>
      <w:r>
        <w:rPr>
          <w:rFonts w:ascii="FangSong" w:hAnsi="FangSong" w:eastAsia="FangSong" w:cs="FangSong"/>
          <w:sz w:val="30"/>
          <w:szCs w:val="30"/>
          <w:spacing w:val="14"/>
        </w:rPr>
        <w:t>3.</w:t>
      </w:r>
      <w:r>
        <w:rPr>
          <w:rFonts w:ascii="FangSong" w:hAnsi="FangSong" w:eastAsia="FangSong" w:cs="FangSong"/>
          <w:sz w:val="30"/>
          <w:szCs w:val="30"/>
          <w:spacing w:val="14"/>
        </w:rPr>
        <w:t xml:space="preserve"> </w:t>
      </w:r>
      <w:r>
        <w:rPr>
          <w:rFonts w:ascii="FangSong" w:hAnsi="FangSong" w:eastAsia="FangSong" w:cs="FangSong"/>
          <w:sz w:val="30"/>
          <w:szCs w:val="30"/>
          <w:spacing w:val="14"/>
        </w:rPr>
        <w:t>《用人单位职业健康监护监督管理办法》第二十八条第(二)项</w:t>
      </w:r>
      <w:r>
        <w:rPr>
          <w:rFonts w:ascii="FangSong" w:hAnsi="FangSong" w:eastAsia="FangSong" w:cs="FangSong"/>
          <w:sz w:val="30"/>
          <w:szCs w:val="30"/>
          <w:spacing w:val="14"/>
        </w:rPr>
        <w:t xml:space="preserve">  </w:t>
      </w:r>
      <w:r>
        <w:rPr>
          <w:rFonts w:ascii="FangSong" w:hAnsi="FangSong" w:eastAsia="FangSong" w:cs="FangSong"/>
          <w:sz w:val="30"/>
          <w:szCs w:val="30"/>
          <w:spacing w:val="14"/>
        </w:rPr>
        <w:t>用人单位有下列情形之一的，</w:t>
      </w:r>
      <w:r>
        <w:rPr>
          <w:rFonts w:ascii="FangSong" w:hAnsi="FangSong" w:eastAsia="FangSong" w:cs="FangSong"/>
          <w:sz w:val="30"/>
          <w:szCs w:val="30"/>
          <w:spacing w:val="5"/>
        </w:rPr>
        <w:t xml:space="preserve"> </w:t>
      </w:r>
      <w:r>
        <w:rPr>
          <w:rFonts w:ascii="FangSong" w:hAnsi="FangSong" w:eastAsia="FangSong" w:cs="FangSong"/>
          <w:sz w:val="30"/>
          <w:szCs w:val="30"/>
          <w:spacing w:val="26"/>
        </w:rPr>
        <w:t>给予警告，责令限期改正，逾期不改正的，</w:t>
      </w:r>
      <w:r>
        <w:rPr>
          <w:rFonts w:ascii="FangSong" w:hAnsi="FangSong" w:eastAsia="FangSong" w:cs="FangSong"/>
          <w:sz w:val="30"/>
          <w:szCs w:val="30"/>
          <w:spacing w:val="25"/>
        </w:rPr>
        <w:t>处5万元以上20万元以下的罚款；情节严重的，责令停</w:t>
      </w:r>
      <w:r>
        <w:rPr>
          <w:rFonts w:ascii="FangSong" w:hAnsi="FangSong" w:eastAsia="FangSong" w:cs="FangSong"/>
          <w:sz w:val="30"/>
          <w:szCs w:val="30"/>
        </w:rPr>
        <w:t xml:space="preserve">  </w:t>
      </w:r>
      <w:r>
        <w:rPr>
          <w:rFonts w:ascii="FangSong" w:hAnsi="FangSong" w:eastAsia="FangSong" w:cs="FangSong"/>
          <w:sz w:val="30"/>
          <w:szCs w:val="30"/>
          <w:spacing w:val="17"/>
        </w:rPr>
        <w:t>止产生职业病危害的作业，或者提请有关人民政府按照国务院规定的权限责令关闭：</w:t>
      </w:r>
    </w:p>
    <w:p>
      <w:pPr>
        <w:ind w:right="129" w:firstLine="779"/>
        <w:spacing w:before="1" w:line="274" w:lineRule="auto"/>
        <w:rPr>
          <w:rFonts w:ascii="FangSong" w:hAnsi="FangSong" w:eastAsia="FangSong" w:cs="FangSong"/>
          <w:sz w:val="30"/>
          <w:szCs w:val="30"/>
        </w:rPr>
      </w:pPr>
      <w:r>
        <w:rPr>
          <w:rFonts w:ascii="FangSong" w:hAnsi="FangSong" w:eastAsia="FangSong" w:cs="FangSong"/>
          <w:sz w:val="30"/>
          <w:szCs w:val="30"/>
          <w:spacing w:val="21"/>
        </w:rPr>
        <w:t>(二)隐瞒、伪造、篡改、损毁职业健康监</w:t>
      </w:r>
      <w:r>
        <w:rPr>
          <w:rFonts w:ascii="FangSong" w:hAnsi="FangSong" w:eastAsia="FangSong" w:cs="FangSong"/>
          <w:sz w:val="30"/>
          <w:szCs w:val="30"/>
          <w:spacing w:val="20"/>
        </w:rPr>
        <w:t>护档案等相关资料，或者拒不提供职业病诊断、鉴定</w:t>
      </w:r>
      <w:r>
        <w:rPr>
          <w:rFonts w:ascii="FangSong" w:hAnsi="FangSong" w:eastAsia="FangSong" w:cs="FangSong"/>
          <w:sz w:val="30"/>
          <w:szCs w:val="30"/>
        </w:rPr>
        <w:t xml:space="preserve"> </w:t>
      </w:r>
      <w:r>
        <w:rPr>
          <w:rFonts w:ascii="FangSong" w:hAnsi="FangSong" w:eastAsia="FangSong" w:cs="FangSong"/>
          <w:sz w:val="30"/>
          <w:szCs w:val="30"/>
          <w:spacing w:val="8"/>
        </w:rPr>
        <w:t>所需资料的。</w:t>
      </w:r>
    </w:p>
    <w:p>
      <w:pPr>
        <w:ind w:left="639"/>
        <w:spacing w:before="2" w:line="220" w:lineRule="auto"/>
        <w:rPr>
          <w:rFonts w:ascii="FangSong" w:hAnsi="FangSong" w:eastAsia="FangSong" w:cs="FangSong"/>
          <w:sz w:val="30"/>
          <w:szCs w:val="30"/>
        </w:rPr>
      </w:pPr>
      <w:r>
        <w:rPr>
          <w:rFonts w:ascii="FangSong" w:hAnsi="FangSong" w:eastAsia="FangSong" w:cs="FangSong"/>
          <w:sz w:val="30"/>
          <w:szCs w:val="30"/>
          <w:spacing w:val="19"/>
        </w:rPr>
        <w:t>4.</w:t>
      </w:r>
      <w:r>
        <w:rPr>
          <w:rFonts w:ascii="FangSong" w:hAnsi="FangSong" w:eastAsia="FangSong" w:cs="FangSong"/>
          <w:sz w:val="30"/>
          <w:szCs w:val="30"/>
          <w:spacing w:val="19"/>
        </w:rPr>
        <w:t xml:space="preserve"> </w:t>
      </w:r>
      <w:r>
        <w:rPr>
          <w:rFonts w:ascii="FangSong" w:hAnsi="FangSong" w:eastAsia="FangSong" w:cs="FangSong"/>
          <w:sz w:val="30"/>
          <w:szCs w:val="30"/>
          <w:spacing w:val="19"/>
        </w:rPr>
        <w:t>《职业病诊断与鉴定管理办法》第六十条第(二)项</w:t>
      </w:r>
      <w:r>
        <w:rPr>
          <w:rFonts w:ascii="FangSong" w:hAnsi="FangSong" w:eastAsia="FangSong" w:cs="FangSong"/>
          <w:sz w:val="30"/>
          <w:szCs w:val="30"/>
          <w:spacing w:val="19"/>
        </w:rPr>
        <w:t xml:space="preserve">  </w:t>
      </w:r>
      <w:r>
        <w:rPr>
          <w:rFonts w:ascii="FangSong" w:hAnsi="FangSong" w:eastAsia="FangSong" w:cs="FangSong"/>
          <w:sz w:val="30"/>
          <w:szCs w:val="30"/>
          <w:spacing w:val="19"/>
        </w:rPr>
        <w:t>用人单位有下列行为之一的，由县级以</w:t>
      </w:r>
    </w:p>
    <w:p>
      <w:pPr>
        <w:spacing w:line="220" w:lineRule="auto"/>
        <w:sectPr>
          <w:footerReference w:type="default" r:id="rId501"/>
          <w:pgSz w:w="16830" w:h="11900"/>
          <w:pgMar w:top="1011" w:right="1330" w:bottom="1107" w:left="1430" w:header="0" w:footer="774" w:gutter="0"/>
        </w:sectPr>
        <w:rPr>
          <w:rFonts w:ascii="FangSong" w:hAnsi="FangSong" w:eastAsia="FangSong" w:cs="FangSong"/>
          <w:sz w:val="30"/>
          <w:szCs w:val="30"/>
        </w:rPr>
      </w:pPr>
    </w:p>
    <w:p>
      <w:pPr>
        <w:pStyle w:val="BodyText"/>
        <w:spacing w:line="260" w:lineRule="auto"/>
        <w:rPr/>
      </w:pPr>
      <w:r/>
    </w:p>
    <w:p>
      <w:pPr>
        <w:pStyle w:val="BodyText"/>
        <w:spacing w:line="260" w:lineRule="auto"/>
        <w:rPr/>
      </w:pPr>
      <w:r/>
    </w:p>
    <w:p>
      <w:pPr>
        <w:pStyle w:val="BodyText"/>
        <w:spacing w:line="260" w:lineRule="auto"/>
        <w:rPr/>
      </w:pPr>
      <w:r/>
    </w:p>
    <w:p>
      <w:pPr>
        <w:ind w:left="15"/>
        <w:spacing w:before="101" w:line="221" w:lineRule="auto"/>
        <w:rPr>
          <w:rFonts w:ascii="FangSong" w:hAnsi="FangSong" w:eastAsia="FangSong" w:cs="FangSong"/>
          <w:sz w:val="31"/>
          <w:szCs w:val="31"/>
        </w:rPr>
      </w:pPr>
      <w:bookmarkStart w:name="bookmark1136" w:id="511"/>
      <w:bookmarkEnd w:id="511"/>
      <w:r>
        <w:rPr>
          <w:rFonts w:ascii="FangSong" w:hAnsi="FangSong" w:eastAsia="FangSong" w:cs="FangSong"/>
          <w:sz w:val="31"/>
          <w:szCs w:val="31"/>
          <w:spacing w:val="8"/>
        </w:rPr>
        <w:t>上地方卫生健康主管部门按照《职业病防治法》第</w:t>
      </w:r>
      <w:r>
        <w:rPr>
          <w:rFonts w:ascii="FangSong" w:hAnsi="FangSong" w:eastAsia="FangSong" w:cs="FangSong"/>
          <w:sz w:val="31"/>
          <w:szCs w:val="31"/>
          <w:spacing w:val="7"/>
        </w:rPr>
        <w:t>七十二条规定进行处理：</w:t>
      </w:r>
    </w:p>
    <w:p>
      <w:pPr>
        <w:ind w:left="795"/>
        <w:spacing w:before="78" w:line="220" w:lineRule="auto"/>
        <w:rPr>
          <w:rFonts w:ascii="FangSong" w:hAnsi="FangSong" w:eastAsia="FangSong" w:cs="FangSong"/>
          <w:sz w:val="31"/>
          <w:szCs w:val="31"/>
        </w:rPr>
      </w:pPr>
      <w:r>
        <w:rPr>
          <w:rFonts w:ascii="FangSong" w:hAnsi="FangSong" w:eastAsia="FangSong" w:cs="FangSong"/>
          <w:sz w:val="31"/>
          <w:szCs w:val="31"/>
          <w:spacing w:val="13"/>
        </w:rPr>
        <w:t>(二)拒不提供职业病诊断、鉴定所需资料的；</w:t>
      </w:r>
    </w:p>
    <w:p>
      <w:pPr>
        <w:ind w:left="6419"/>
        <w:spacing w:before="222"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7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94"/>
        <w:gridCol w:w="9343"/>
        <w:gridCol w:w="3012"/>
      </w:tblGrid>
      <w:tr>
        <w:trPr>
          <w:trHeight w:val="564" w:hRule="atLeast"/>
        </w:trPr>
        <w:tc>
          <w:tcPr>
            <w:tcW w:w="1394" w:type="dxa"/>
            <w:vAlign w:val="top"/>
          </w:tcPr>
          <w:p>
            <w:pPr>
              <w:pStyle w:val="TableText"/>
              <w:ind w:left="188"/>
              <w:spacing w:before="162" w:line="220" w:lineRule="auto"/>
              <w:rPr>
                <w:sz w:val="25"/>
                <w:szCs w:val="25"/>
              </w:rPr>
            </w:pPr>
            <w:r>
              <w:rPr>
                <w:sz w:val="25"/>
                <w:szCs w:val="25"/>
                <w:b/>
                <w:bCs/>
                <w:spacing w:val="-5"/>
              </w:rPr>
              <w:t>违法程度</w:t>
            </w:r>
          </w:p>
        </w:tc>
        <w:tc>
          <w:tcPr>
            <w:tcW w:w="9343" w:type="dxa"/>
            <w:vAlign w:val="top"/>
          </w:tcPr>
          <w:p>
            <w:pPr>
              <w:pStyle w:val="TableText"/>
              <w:ind w:left="4164"/>
              <w:spacing w:before="162" w:line="220" w:lineRule="auto"/>
              <w:rPr>
                <w:sz w:val="25"/>
                <w:szCs w:val="25"/>
              </w:rPr>
            </w:pPr>
            <w:r>
              <w:rPr>
                <w:sz w:val="25"/>
                <w:szCs w:val="25"/>
                <w:b/>
                <w:bCs/>
                <w:spacing w:val="-5"/>
              </w:rPr>
              <w:t>情节后果</w:t>
            </w:r>
          </w:p>
        </w:tc>
        <w:tc>
          <w:tcPr>
            <w:tcW w:w="3012" w:type="dxa"/>
            <w:vAlign w:val="top"/>
          </w:tcPr>
          <w:p>
            <w:pPr>
              <w:pStyle w:val="TableText"/>
              <w:ind w:left="1001"/>
              <w:spacing w:before="159" w:line="218" w:lineRule="auto"/>
              <w:rPr>
                <w:sz w:val="25"/>
                <w:szCs w:val="25"/>
              </w:rPr>
            </w:pPr>
            <w:r>
              <w:rPr>
                <w:sz w:val="25"/>
                <w:szCs w:val="25"/>
                <w:b/>
                <w:bCs/>
                <w:spacing w:val="-5"/>
              </w:rPr>
              <w:t>裁量幅度</w:t>
            </w:r>
          </w:p>
        </w:tc>
      </w:tr>
      <w:tr>
        <w:trPr>
          <w:trHeight w:val="679" w:hRule="atLeast"/>
        </w:trPr>
        <w:tc>
          <w:tcPr>
            <w:tcW w:w="1394" w:type="dxa"/>
            <w:vAlign w:val="top"/>
          </w:tcPr>
          <w:p>
            <w:pPr>
              <w:pStyle w:val="TableText"/>
              <w:ind w:left="438"/>
              <w:spacing w:before="287" w:line="219" w:lineRule="auto"/>
              <w:rPr>
                <w:sz w:val="25"/>
                <w:szCs w:val="25"/>
              </w:rPr>
            </w:pPr>
            <w:r>
              <w:rPr>
                <w:sz w:val="25"/>
                <w:szCs w:val="25"/>
                <w:b/>
                <w:bCs/>
                <w:spacing w:val="-6"/>
              </w:rPr>
              <w:t>轻微</w:t>
            </w:r>
          </w:p>
        </w:tc>
        <w:tc>
          <w:tcPr>
            <w:tcW w:w="9343" w:type="dxa"/>
            <w:vAlign w:val="top"/>
          </w:tcPr>
          <w:p>
            <w:pPr>
              <w:pStyle w:val="TableText"/>
              <w:ind w:left="100" w:hanging="89"/>
              <w:spacing w:before="78" w:line="218" w:lineRule="auto"/>
              <w:rPr>
                <w:sz w:val="25"/>
                <w:szCs w:val="25"/>
              </w:rPr>
            </w:pPr>
            <w:r>
              <w:rPr>
                <w:sz w:val="25"/>
                <w:szCs w:val="25"/>
                <w:spacing w:val="-5"/>
              </w:rPr>
              <w:t>隐瞒、伪造、篡改、毁损职业健康监护档案、工作场所职业病危害因素检测评价结果等</w:t>
            </w:r>
            <w:r>
              <w:rPr>
                <w:sz w:val="25"/>
                <w:szCs w:val="25"/>
                <w:spacing w:val="10"/>
              </w:rPr>
              <w:t xml:space="preserve"> </w:t>
            </w:r>
            <w:r>
              <w:rPr>
                <w:sz w:val="25"/>
                <w:szCs w:val="25"/>
              </w:rPr>
              <w:t>相关资料，或者拒不提供职业病诊断、鉴定所需资料的</w:t>
            </w:r>
          </w:p>
        </w:tc>
        <w:tc>
          <w:tcPr>
            <w:tcW w:w="3012" w:type="dxa"/>
            <w:vAlign w:val="top"/>
          </w:tcPr>
          <w:p>
            <w:pPr>
              <w:pStyle w:val="TableText"/>
              <w:ind w:left="127"/>
              <w:spacing w:before="219" w:line="218" w:lineRule="auto"/>
              <w:rPr>
                <w:sz w:val="25"/>
                <w:szCs w:val="25"/>
              </w:rPr>
            </w:pPr>
            <w:r>
              <w:rPr>
                <w:sz w:val="25"/>
                <w:szCs w:val="25"/>
                <w:spacing w:val="1"/>
              </w:rPr>
              <w:t>给予警告，责令限期改正</w:t>
            </w:r>
          </w:p>
        </w:tc>
      </w:tr>
      <w:tr>
        <w:trPr>
          <w:trHeight w:val="1507" w:hRule="atLeast"/>
        </w:trPr>
        <w:tc>
          <w:tcPr>
            <w:tcW w:w="1394" w:type="dxa"/>
            <w:vAlign w:val="top"/>
          </w:tcPr>
          <w:p>
            <w:pPr>
              <w:spacing w:line="272" w:lineRule="auto"/>
              <w:rPr>
                <w:rFonts w:ascii="Arial"/>
                <w:sz w:val="21"/>
              </w:rPr>
            </w:pPr>
            <w:r/>
          </w:p>
          <w:p>
            <w:pPr>
              <w:spacing w:line="273" w:lineRule="auto"/>
              <w:rPr>
                <w:rFonts w:ascii="Arial"/>
                <w:sz w:val="21"/>
              </w:rPr>
            </w:pPr>
            <w:r/>
          </w:p>
          <w:p>
            <w:pPr>
              <w:pStyle w:val="TableText"/>
              <w:ind w:left="438"/>
              <w:spacing w:before="81" w:line="221" w:lineRule="auto"/>
              <w:rPr>
                <w:sz w:val="25"/>
                <w:szCs w:val="25"/>
              </w:rPr>
            </w:pPr>
            <w:r>
              <w:rPr>
                <w:sz w:val="25"/>
                <w:szCs w:val="25"/>
                <w:b/>
                <w:bCs/>
                <w:spacing w:val="-10"/>
              </w:rPr>
              <w:t>一般</w:t>
            </w:r>
          </w:p>
        </w:tc>
        <w:tc>
          <w:tcPr>
            <w:tcW w:w="9343" w:type="dxa"/>
            <w:vAlign w:val="top"/>
          </w:tcPr>
          <w:p>
            <w:pPr>
              <w:pStyle w:val="TableText"/>
              <w:ind w:left="11"/>
              <w:spacing w:before="159" w:line="247" w:lineRule="auto"/>
              <w:jc w:val="both"/>
              <w:rPr>
                <w:sz w:val="25"/>
                <w:szCs w:val="25"/>
              </w:rPr>
            </w:pPr>
            <w:r>
              <w:rPr>
                <w:sz w:val="25"/>
                <w:szCs w:val="25"/>
                <w:spacing w:val="-7"/>
              </w:rPr>
              <w:t>隐瞒、伪造、篡改、毁损职业健康监护档案、工作场</w:t>
            </w:r>
            <w:r>
              <w:rPr>
                <w:sz w:val="25"/>
                <w:szCs w:val="25"/>
                <w:spacing w:val="-8"/>
              </w:rPr>
              <w:t>所职业病危害因素检测评价结果等</w:t>
            </w:r>
            <w:r>
              <w:rPr>
                <w:sz w:val="25"/>
                <w:szCs w:val="25"/>
              </w:rPr>
              <w:t xml:space="preserve"> </w:t>
            </w:r>
            <w:r>
              <w:rPr>
                <w:sz w:val="25"/>
                <w:szCs w:val="25"/>
                <w:spacing w:val="-5"/>
              </w:rPr>
              <w:t>相关资料，或者拒不提供职业病诊断、鉴定所需资料，经责令限期改正，逾期不改正，</w:t>
            </w:r>
            <w:r>
              <w:rPr>
                <w:sz w:val="25"/>
                <w:szCs w:val="25"/>
                <w:spacing w:val="10"/>
              </w:rPr>
              <w:t xml:space="preserve"> </w:t>
            </w:r>
            <w:r>
              <w:rPr>
                <w:sz w:val="25"/>
                <w:szCs w:val="25"/>
                <w:spacing w:val="-7"/>
              </w:rPr>
              <w:t>仍存在隐瞒、伪造、篡改、损毁职业健康监护档案</w:t>
            </w:r>
            <w:r>
              <w:rPr>
                <w:sz w:val="25"/>
                <w:szCs w:val="25"/>
                <w:spacing w:val="-8"/>
              </w:rPr>
              <w:t>、工作场所职业病危害因素检测评价</w:t>
            </w:r>
            <w:r>
              <w:rPr>
                <w:sz w:val="25"/>
                <w:szCs w:val="25"/>
              </w:rPr>
              <w:t xml:space="preserve"> </w:t>
            </w:r>
            <w:r>
              <w:rPr>
                <w:sz w:val="25"/>
                <w:szCs w:val="25"/>
                <w:spacing w:val="1"/>
              </w:rPr>
              <w:t>结果等相关资料1份，或者拒不提供职业病诊断、鉴定所需资料1份的</w:t>
            </w:r>
          </w:p>
        </w:tc>
        <w:tc>
          <w:tcPr>
            <w:tcW w:w="3012" w:type="dxa"/>
            <w:vAlign w:val="top"/>
          </w:tcPr>
          <w:p>
            <w:pPr>
              <w:spacing w:line="409" w:lineRule="auto"/>
              <w:rPr>
                <w:rFonts w:ascii="Arial"/>
                <w:sz w:val="21"/>
              </w:rPr>
            </w:pPr>
            <w:r/>
          </w:p>
          <w:p>
            <w:pPr>
              <w:pStyle w:val="TableText"/>
              <w:ind w:left="127" w:right="107"/>
              <w:spacing w:before="82" w:line="247" w:lineRule="auto"/>
              <w:rPr>
                <w:sz w:val="25"/>
                <w:szCs w:val="25"/>
              </w:rPr>
            </w:pPr>
            <w:r>
              <w:rPr>
                <w:sz w:val="25"/>
                <w:szCs w:val="25"/>
                <w:spacing w:val="1"/>
              </w:rPr>
              <w:t>处五万元以上十万元以下</w:t>
            </w:r>
            <w:r>
              <w:rPr>
                <w:sz w:val="25"/>
                <w:szCs w:val="25"/>
                <w:spacing w:val="4"/>
              </w:rPr>
              <w:t xml:space="preserve"> </w:t>
            </w:r>
            <w:r>
              <w:rPr>
                <w:sz w:val="25"/>
                <w:szCs w:val="25"/>
                <w:spacing w:val="3"/>
              </w:rPr>
              <w:t>的罚款</w:t>
            </w:r>
          </w:p>
        </w:tc>
      </w:tr>
      <w:tr>
        <w:trPr>
          <w:trHeight w:val="1367" w:hRule="atLeast"/>
        </w:trPr>
        <w:tc>
          <w:tcPr>
            <w:tcW w:w="1394" w:type="dxa"/>
            <w:vAlign w:val="top"/>
          </w:tcPr>
          <w:p>
            <w:pPr>
              <w:rPr>
                <w:rFonts w:ascii="Arial"/>
                <w:sz w:val="21"/>
              </w:rPr>
            </w:pPr>
            <w:r/>
          </w:p>
          <w:p>
            <w:pPr>
              <w:rPr>
                <w:rFonts w:ascii="Arial"/>
                <w:sz w:val="21"/>
              </w:rPr>
            </w:pPr>
            <w:r/>
          </w:p>
          <w:p>
            <w:pPr>
              <w:pStyle w:val="TableText"/>
              <w:ind w:left="438"/>
              <w:spacing w:before="82" w:line="221" w:lineRule="auto"/>
              <w:rPr>
                <w:sz w:val="25"/>
                <w:szCs w:val="25"/>
              </w:rPr>
            </w:pPr>
            <w:r>
              <w:rPr>
                <w:sz w:val="25"/>
                <w:szCs w:val="25"/>
                <w:b/>
                <w:bCs/>
                <w:spacing w:val="-6"/>
              </w:rPr>
              <w:t>较重</w:t>
            </w:r>
          </w:p>
        </w:tc>
        <w:tc>
          <w:tcPr>
            <w:tcW w:w="9343" w:type="dxa"/>
            <w:vAlign w:val="top"/>
          </w:tcPr>
          <w:p>
            <w:pPr>
              <w:pStyle w:val="TableText"/>
              <w:ind w:left="11"/>
              <w:spacing w:before="84" w:line="235" w:lineRule="auto"/>
              <w:jc w:val="both"/>
              <w:rPr>
                <w:sz w:val="25"/>
                <w:szCs w:val="25"/>
              </w:rPr>
            </w:pPr>
            <w:r>
              <w:rPr>
                <w:sz w:val="25"/>
                <w:szCs w:val="25"/>
                <w:spacing w:val="-7"/>
              </w:rPr>
              <w:t>隐瞒、伪造、篡改、毁损职业健康监护档案、工作场</w:t>
            </w:r>
            <w:r>
              <w:rPr>
                <w:sz w:val="25"/>
                <w:szCs w:val="25"/>
                <w:spacing w:val="-8"/>
              </w:rPr>
              <w:t>所职业病危害因素检测评价结果等</w:t>
            </w:r>
            <w:r>
              <w:rPr>
                <w:sz w:val="25"/>
                <w:szCs w:val="25"/>
              </w:rPr>
              <w:t xml:space="preserve"> </w:t>
            </w:r>
            <w:r>
              <w:rPr>
                <w:sz w:val="25"/>
                <w:szCs w:val="25"/>
                <w:spacing w:val="-5"/>
              </w:rPr>
              <w:t>相关资料，或者拒不提供职业病诊断、鉴定所需资料，经责令限期改正，逾期不改正，</w:t>
            </w:r>
            <w:r>
              <w:rPr>
                <w:sz w:val="25"/>
                <w:szCs w:val="25"/>
                <w:spacing w:val="10"/>
              </w:rPr>
              <w:t xml:space="preserve"> </w:t>
            </w:r>
            <w:r>
              <w:rPr>
                <w:sz w:val="25"/>
                <w:szCs w:val="25"/>
                <w:spacing w:val="-7"/>
              </w:rPr>
              <w:t>仍存在隐瞒、伪造、篡改、损毁职业健康监护档案</w:t>
            </w:r>
            <w:r>
              <w:rPr>
                <w:sz w:val="25"/>
                <w:szCs w:val="25"/>
                <w:spacing w:val="-8"/>
              </w:rPr>
              <w:t>、工作场所职业病危害因素检测评价</w:t>
            </w:r>
            <w:r>
              <w:rPr>
                <w:sz w:val="25"/>
                <w:szCs w:val="25"/>
              </w:rPr>
              <w:t xml:space="preserve"> </w:t>
            </w:r>
            <w:r>
              <w:rPr>
                <w:sz w:val="25"/>
                <w:szCs w:val="25"/>
                <w:spacing w:val="1"/>
              </w:rPr>
              <w:t>结果等相关资料2份，或者拒不提供职业病诊断、鉴定所需资</w:t>
            </w:r>
            <w:r>
              <w:rPr>
                <w:sz w:val="25"/>
                <w:szCs w:val="25"/>
              </w:rPr>
              <w:t>料2份的</w:t>
            </w:r>
          </w:p>
        </w:tc>
        <w:tc>
          <w:tcPr>
            <w:tcW w:w="3012" w:type="dxa"/>
            <w:vAlign w:val="top"/>
          </w:tcPr>
          <w:p>
            <w:pPr>
              <w:spacing w:line="331" w:lineRule="auto"/>
              <w:rPr>
                <w:rFonts w:ascii="Arial"/>
                <w:sz w:val="21"/>
              </w:rPr>
            </w:pPr>
            <w:r/>
          </w:p>
          <w:p>
            <w:pPr>
              <w:pStyle w:val="TableText"/>
              <w:ind w:left="137" w:right="101" w:hanging="10"/>
              <w:spacing w:before="81" w:line="255" w:lineRule="auto"/>
              <w:rPr>
                <w:sz w:val="25"/>
                <w:szCs w:val="25"/>
              </w:rPr>
            </w:pPr>
            <w:r>
              <w:rPr>
                <w:sz w:val="25"/>
                <w:szCs w:val="25"/>
                <w:spacing w:val="2"/>
              </w:rPr>
              <w:t>处十万元以上二十万元以</w:t>
            </w:r>
            <w:r>
              <w:rPr>
                <w:sz w:val="25"/>
                <w:szCs w:val="25"/>
              </w:rPr>
              <w:t xml:space="preserve"> </w:t>
            </w:r>
            <w:r>
              <w:rPr>
                <w:sz w:val="25"/>
                <w:szCs w:val="25"/>
                <w:spacing w:val="2"/>
              </w:rPr>
              <w:t>下的罚款</w:t>
            </w:r>
          </w:p>
        </w:tc>
      </w:tr>
      <w:tr>
        <w:trPr>
          <w:trHeight w:val="1532" w:hRule="atLeast"/>
        </w:trPr>
        <w:tc>
          <w:tcPr>
            <w:tcW w:w="1394" w:type="dxa"/>
            <w:vAlign w:val="top"/>
          </w:tcPr>
          <w:p>
            <w:pPr>
              <w:spacing w:line="280" w:lineRule="auto"/>
              <w:rPr>
                <w:rFonts w:ascii="Arial"/>
                <w:sz w:val="21"/>
              </w:rPr>
            </w:pPr>
            <w:r/>
          </w:p>
          <w:p>
            <w:pPr>
              <w:spacing w:line="280" w:lineRule="auto"/>
              <w:rPr>
                <w:rFonts w:ascii="Arial"/>
                <w:sz w:val="21"/>
              </w:rPr>
            </w:pPr>
            <w:r/>
          </w:p>
          <w:p>
            <w:pPr>
              <w:pStyle w:val="TableText"/>
              <w:ind w:left="438"/>
              <w:spacing w:before="82" w:line="220" w:lineRule="auto"/>
              <w:rPr>
                <w:sz w:val="25"/>
                <w:szCs w:val="25"/>
              </w:rPr>
            </w:pPr>
            <w:r>
              <w:rPr>
                <w:sz w:val="25"/>
                <w:szCs w:val="25"/>
                <w:b/>
                <w:bCs/>
                <w:spacing w:val="-6"/>
              </w:rPr>
              <w:t>严重</w:t>
            </w:r>
          </w:p>
        </w:tc>
        <w:tc>
          <w:tcPr>
            <w:tcW w:w="9343" w:type="dxa"/>
            <w:vAlign w:val="top"/>
          </w:tcPr>
          <w:p>
            <w:pPr>
              <w:pStyle w:val="TableText"/>
              <w:ind w:left="11"/>
              <w:spacing w:before="157" w:line="252" w:lineRule="auto"/>
              <w:jc w:val="both"/>
              <w:rPr>
                <w:sz w:val="25"/>
                <w:szCs w:val="25"/>
              </w:rPr>
            </w:pPr>
            <w:r>
              <w:rPr>
                <w:sz w:val="25"/>
                <w:szCs w:val="25"/>
                <w:spacing w:val="-7"/>
              </w:rPr>
              <w:t>隐瞒、伪造、篡改、毁损职业健康监护档案、工作场</w:t>
            </w:r>
            <w:r>
              <w:rPr>
                <w:sz w:val="25"/>
                <w:szCs w:val="25"/>
                <w:spacing w:val="-8"/>
              </w:rPr>
              <w:t>所职业病危害因素检测评价结果等</w:t>
            </w:r>
            <w:r>
              <w:rPr>
                <w:sz w:val="25"/>
                <w:szCs w:val="25"/>
              </w:rPr>
              <w:t xml:space="preserve"> </w:t>
            </w:r>
            <w:r>
              <w:rPr>
                <w:sz w:val="25"/>
                <w:szCs w:val="25"/>
                <w:spacing w:val="-5"/>
              </w:rPr>
              <w:t>相关资料，或者拒不提供职业病诊断、鉴定所需资料，经责令限期改正，逾期不改正，</w:t>
            </w:r>
            <w:r>
              <w:rPr>
                <w:sz w:val="25"/>
                <w:szCs w:val="25"/>
                <w:spacing w:val="10"/>
              </w:rPr>
              <w:t xml:space="preserve"> </w:t>
            </w:r>
            <w:r>
              <w:rPr>
                <w:sz w:val="25"/>
                <w:szCs w:val="25"/>
                <w:spacing w:val="-7"/>
              </w:rPr>
              <w:t>仍存在隐瞒、伪造、篡改、损毁职业健康监护档案</w:t>
            </w:r>
            <w:r>
              <w:rPr>
                <w:sz w:val="25"/>
                <w:szCs w:val="25"/>
                <w:spacing w:val="-8"/>
              </w:rPr>
              <w:t>、工作场所职业病危害因素检测评价</w:t>
            </w:r>
            <w:r>
              <w:rPr>
                <w:sz w:val="25"/>
                <w:szCs w:val="25"/>
              </w:rPr>
              <w:t xml:space="preserve"> </w:t>
            </w:r>
            <w:r>
              <w:rPr>
                <w:sz w:val="25"/>
                <w:szCs w:val="25"/>
                <w:spacing w:val="1"/>
              </w:rPr>
              <w:t>结果等相关资料3份以上，或者拒不提供职业病诊断、鉴定所需资料3份以上的</w:t>
            </w:r>
          </w:p>
        </w:tc>
        <w:tc>
          <w:tcPr>
            <w:tcW w:w="3012" w:type="dxa"/>
            <w:vAlign w:val="top"/>
          </w:tcPr>
          <w:p>
            <w:pPr>
              <w:pStyle w:val="TableText"/>
              <w:ind w:left="18" w:firstLine="109"/>
              <w:spacing w:before="156" w:line="252" w:lineRule="auto"/>
              <w:rPr>
                <w:sz w:val="25"/>
                <w:szCs w:val="25"/>
              </w:rPr>
            </w:pPr>
            <w:r>
              <w:rPr>
                <w:sz w:val="25"/>
                <w:szCs w:val="25"/>
              </w:rPr>
              <w:t>责令停止产生职业病危害</w:t>
            </w:r>
            <w:r>
              <w:rPr>
                <w:sz w:val="25"/>
                <w:szCs w:val="25"/>
                <w:spacing w:val="3"/>
              </w:rPr>
              <w:t xml:space="preserve">  </w:t>
            </w:r>
            <w:r>
              <w:rPr>
                <w:sz w:val="25"/>
                <w:szCs w:val="25"/>
                <w:spacing w:val="-2"/>
              </w:rPr>
              <w:t>的作业，或者提请有关人民</w:t>
            </w:r>
            <w:r>
              <w:rPr>
                <w:sz w:val="25"/>
                <w:szCs w:val="25"/>
                <w:spacing w:val="6"/>
              </w:rPr>
              <w:t xml:space="preserve"> </w:t>
            </w:r>
            <w:r>
              <w:rPr>
                <w:sz w:val="25"/>
                <w:szCs w:val="25"/>
                <w:spacing w:val="8"/>
              </w:rPr>
              <w:t>政府按照国务院规定的权</w:t>
            </w:r>
            <w:r>
              <w:rPr>
                <w:sz w:val="25"/>
                <w:szCs w:val="25"/>
                <w:spacing w:val="1"/>
              </w:rPr>
              <w:t xml:space="preserve">  </w:t>
            </w:r>
            <w:r>
              <w:rPr>
                <w:sz w:val="25"/>
                <w:szCs w:val="25"/>
                <w:spacing w:val="25"/>
              </w:rPr>
              <w:t>限责令关闭</w:t>
            </w:r>
          </w:p>
        </w:tc>
      </w:tr>
    </w:tbl>
    <w:p>
      <w:pPr>
        <w:pStyle w:val="BodyText"/>
        <w:spacing w:line="443" w:lineRule="auto"/>
        <w:rPr/>
      </w:pPr>
      <w:r/>
    </w:p>
    <w:p>
      <w:pPr>
        <w:ind w:left="679"/>
        <w:spacing w:before="101" w:line="220" w:lineRule="auto"/>
        <w:rPr>
          <w:rFonts w:ascii="FangSong" w:hAnsi="FangSong" w:eastAsia="FangSong" w:cs="FangSong"/>
          <w:sz w:val="31"/>
          <w:szCs w:val="31"/>
        </w:rPr>
      </w:pPr>
      <w:r>
        <w:rPr>
          <w:rFonts w:ascii="FangSong" w:hAnsi="FangSong" w:eastAsia="FangSong" w:cs="FangSong"/>
          <w:sz w:val="31"/>
          <w:szCs w:val="31"/>
          <w:b/>
          <w:bCs/>
          <w:spacing w:val="11"/>
        </w:rPr>
        <w:t>第四百七十一条按照规定承担职业病诊断、鉴定费用和职业病病人的</w:t>
      </w:r>
      <w:r>
        <w:rPr>
          <w:rFonts w:ascii="FangSong" w:hAnsi="FangSong" w:eastAsia="FangSong" w:cs="FangSong"/>
          <w:sz w:val="31"/>
          <w:szCs w:val="31"/>
          <w:b/>
          <w:bCs/>
          <w:spacing w:val="10"/>
        </w:rPr>
        <w:t>医疗、生活保障费用的</w:t>
      </w:r>
    </w:p>
    <w:p>
      <w:pPr>
        <w:pStyle w:val="BodyText"/>
        <w:spacing w:line="259" w:lineRule="auto"/>
        <w:rPr/>
      </w:pPr>
      <w:r/>
    </w:p>
    <w:p>
      <w:pPr>
        <w:pStyle w:val="BodyText"/>
        <w:spacing w:line="260" w:lineRule="auto"/>
        <w:rPr/>
      </w:pPr>
      <w:r/>
    </w:p>
    <w:p>
      <w:pPr>
        <w:pStyle w:val="BodyText"/>
        <w:spacing w:line="260" w:lineRule="auto"/>
        <w:rPr/>
      </w:pPr>
      <w:r/>
    </w:p>
    <w:p>
      <w:pPr>
        <w:ind w:left="6345"/>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—562—</w:t>
      </w:r>
    </w:p>
    <w:p>
      <w:pPr>
        <w:spacing w:line="188" w:lineRule="auto"/>
        <w:sectPr>
          <w:footerReference w:type="default" r:id="rId24"/>
          <w:pgSz w:w="16830" w:h="11900"/>
          <w:pgMar w:top="1011" w:right="1635" w:bottom="400" w:left="1434" w:header="0" w:footer="0" w:gutter="0"/>
        </w:sectPr>
        <w:rPr>
          <w:rFonts w:ascii="Times New Roman" w:hAnsi="Times New Roman" w:eastAsia="Times New Roman" w:cs="Times New Roman"/>
          <w:sz w:val="37"/>
          <w:szCs w:val="37"/>
        </w:rPr>
      </w:pPr>
    </w:p>
    <w:p>
      <w:pPr>
        <w:pStyle w:val="BodyText"/>
        <w:spacing w:line="252" w:lineRule="auto"/>
        <w:rPr/>
      </w:pPr>
      <w:r/>
    </w:p>
    <w:p>
      <w:pPr>
        <w:pStyle w:val="BodyText"/>
        <w:spacing w:line="252" w:lineRule="auto"/>
        <w:rPr/>
      </w:pPr>
      <w:r/>
    </w:p>
    <w:p>
      <w:pPr>
        <w:pStyle w:val="BodyText"/>
        <w:spacing w:line="252" w:lineRule="auto"/>
        <w:rPr/>
      </w:pPr>
      <w:r/>
    </w:p>
    <w:p>
      <w:pPr>
        <w:ind w:left="670"/>
        <w:spacing w:before="98"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29" w:right="86" w:firstLine="640"/>
        <w:spacing w:before="88" w:line="271" w:lineRule="auto"/>
        <w:jc w:val="both"/>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《中华人民共和国职业病防治法》第七十二条第(十一)项</w:t>
      </w:r>
      <w:r>
        <w:rPr>
          <w:rFonts w:ascii="FangSong" w:hAnsi="FangSong" w:eastAsia="FangSong" w:cs="FangSong"/>
          <w:sz w:val="30"/>
          <w:szCs w:val="30"/>
          <w:spacing w:val="19"/>
        </w:rPr>
        <w:t xml:space="preserve">  </w:t>
      </w:r>
      <w:r>
        <w:rPr>
          <w:rFonts w:ascii="FangSong" w:hAnsi="FangSong" w:eastAsia="FangSong" w:cs="FangSong"/>
          <w:sz w:val="30"/>
          <w:szCs w:val="30"/>
          <w:spacing w:val="19"/>
        </w:rPr>
        <w:t>用人单位违反本法规定，有下列</w:t>
      </w:r>
      <w:r>
        <w:rPr>
          <w:rFonts w:ascii="FangSong" w:hAnsi="FangSong" w:eastAsia="FangSong" w:cs="FangSong"/>
          <w:sz w:val="30"/>
          <w:szCs w:val="30"/>
          <w:spacing w:val="7"/>
        </w:rPr>
        <w:t xml:space="preserve"> </w:t>
      </w:r>
      <w:r>
        <w:rPr>
          <w:rFonts w:ascii="FangSong" w:hAnsi="FangSong" w:eastAsia="FangSong" w:cs="FangSong"/>
          <w:sz w:val="30"/>
          <w:szCs w:val="30"/>
          <w:spacing w:val="17"/>
        </w:rPr>
        <w:t>行为之一的，由卫生行政部门给予警告，责令限期改正，逾期不</w:t>
      </w:r>
      <w:r>
        <w:rPr>
          <w:rFonts w:ascii="FangSong" w:hAnsi="FangSong" w:eastAsia="FangSong" w:cs="FangSong"/>
          <w:sz w:val="30"/>
          <w:szCs w:val="30"/>
          <w:spacing w:val="16"/>
        </w:rPr>
        <w:t>改正的，处五万元以上二十万元以下</w:t>
      </w:r>
      <w:r>
        <w:rPr>
          <w:rFonts w:ascii="FangSong" w:hAnsi="FangSong" w:eastAsia="FangSong" w:cs="FangSong"/>
          <w:sz w:val="30"/>
          <w:szCs w:val="30"/>
        </w:rPr>
        <w:t xml:space="preserve"> </w:t>
      </w:r>
      <w:r>
        <w:rPr>
          <w:rFonts w:ascii="FangSong" w:hAnsi="FangSong" w:eastAsia="FangSong" w:cs="FangSong"/>
          <w:sz w:val="30"/>
          <w:szCs w:val="30"/>
          <w:spacing w:val="17"/>
        </w:rPr>
        <w:t>的罚款；情节严重的，责令停止产生职业病危害的作业</w:t>
      </w:r>
      <w:r>
        <w:rPr>
          <w:rFonts w:ascii="FangSong" w:hAnsi="FangSong" w:eastAsia="FangSong" w:cs="FangSong"/>
          <w:sz w:val="30"/>
          <w:szCs w:val="30"/>
          <w:spacing w:val="16"/>
        </w:rPr>
        <w:t>，或者提请有关人民政府按照国务院规定的权</w:t>
      </w:r>
      <w:r>
        <w:rPr>
          <w:rFonts w:ascii="FangSong" w:hAnsi="FangSong" w:eastAsia="FangSong" w:cs="FangSong"/>
          <w:sz w:val="30"/>
          <w:szCs w:val="30"/>
        </w:rPr>
        <w:t xml:space="preserve"> </w:t>
      </w:r>
      <w:r>
        <w:rPr>
          <w:rFonts w:ascii="FangSong" w:hAnsi="FangSong" w:eastAsia="FangSong" w:cs="FangSong"/>
          <w:sz w:val="30"/>
          <w:szCs w:val="30"/>
          <w:spacing w:val="1"/>
        </w:rPr>
        <w:t>限责令关闭：</w:t>
      </w:r>
    </w:p>
    <w:p>
      <w:pPr>
        <w:ind w:left="819"/>
        <w:spacing w:before="6" w:line="221" w:lineRule="auto"/>
        <w:rPr>
          <w:rFonts w:ascii="FangSong" w:hAnsi="FangSong" w:eastAsia="FangSong" w:cs="FangSong"/>
          <w:sz w:val="30"/>
          <w:szCs w:val="30"/>
        </w:rPr>
      </w:pPr>
      <w:r>
        <w:rPr>
          <w:rFonts w:ascii="FangSong" w:hAnsi="FangSong" w:eastAsia="FangSong" w:cs="FangSong"/>
          <w:sz w:val="30"/>
          <w:szCs w:val="30"/>
          <w:spacing w:val="22"/>
        </w:rPr>
        <w:t>(十一)未按照规定承担职业病诊断、鉴定费用和职业病病人的医</w:t>
      </w:r>
      <w:r>
        <w:rPr>
          <w:rFonts w:ascii="FangSong" w:hAnsi="FangSong" w:eastAsia="FangSong" w:cs="FangSong"/>
          <w:sz w:val="30"/>
          <w:szCs w:val="30"/>
          <w:spacing w:val="21"/>
        </w:rPr>
        <w:t>疗、生活保障费用的；</w:t>
      </w:r>
    </w:p>
    <w:p>
      <w:pPr>
        <w:ind w:left="29" w:firstLine="640"/>
        <w:spacing w:before="88" w:line="271" w:lineRule="auto"/>
        <w:jc w:val="both"/>
        <w:rPr>
          <w:rFonts w:ascii="FangSong" w:hAnsi="FangSong" w:eastAsia="FangSong" w:cs="FangSong"/>
          <w:sz w:val="30"/>
          <w:szCs w:val="30"/>
        </w:rPr>
      </w:pPr>
      <w:r>
        <w:rPr>
          <w:rFonts w:ascii="FangSong" w:hAnsi="FangSong" w:eastAsia="FangSong" w:cs="FangSong"/>
          <w:sz w:val="30"/>
          <w:szCs w:val="30"/>
          <w:spacing w:val="14"/>
        </w:rPr>
        <w:t>2.</w:t>
      </w:r>
      <w:r>
        <w:rPr>
          <w:rFonts w:ascii="FangSong" w:hAnsi="FangSong" w:eastAsia="FangSong" w:cs="FangSong"/>
          <w:sz w:val="30"/>
          <w:szCs w:val="30"/>
          <w:spacing w:val="14"/>
        </w:rPr>
        <w:t xml:space="preserve"> </w:t>
      </w:r>
      <w:r>
        <w:rPr>
          <w:rFonts w:ascii="FangSong" w:hAnsi="FangSong" w:eastAsia="FangSong" w:cs="FangSong"/>
          <w:sz w:val="30"/>
          <w:szCs w:val="30"/>
          <w:spacing w:val="14"/>
        </w:rPr>
        <w:t>《工作场所职业卫生管理规定》第五十条第(十)项</w:t>
      </w:r>
      <w:r>
        <w:rPr>
          <w:rFonts w:ascii="FangSong" w:hAnsi="FangSong" w:eastAsia="FangSong" w:cs="FangSong"/>
          <w:sz w:val="30"/>
          <w:szCs w:val="30"/>
          <w:spacing w:val="14"/>
        </w:rPr>
        <w:t xml:space="preserve">  </w:t>
      </w:r>
      <w:r>
        <w:rPr>
          <w:rFonts w:ascii="FangSong" w:hAnsi="FangSong" w:eastAsia="FangSong" w:cs="FangSong"/>
          <w:sz w:val="30"/>
          <w:szCs w:val="30"/>
          <w:spacing w:val="14"/>
        </w:rPr>
        <w:t>用人单位有下列情形之一的，给予警告，</w:t>
      </w:r>
      <w:r>
        <w:rPr>
          <w:rFonts w:ascii="FangSong" w:hAnsi="FangSong" w:eastAsia="FangSong" w:cs="FangSong"/>
          <w:sz w:val="30"/>
          <w:szCs w:val="30"/>
          <w:spacing w:val="5"/>
        </w:rPr>
        <w:t xml:space="preserve"> </w:t>
      </w:r>
      <w:r>
        <w:rPr>
          <w:rFonts w:ascii="FangSong" w:hAnsi="FangSong" w:eastAsia="FangSong" w:cs="FangSong"/>
          <w:sz w:val="30"/>
          <w:szCs w:val="30"/>
          <w:spacing w:val="27"/>
        </w:rPr>
        <w:t>责令限期改正；逾期未改正的，处5万元以上20</w:t>
      </w:r>
      <w:r>
        <w:rPr>
          <w:rFonts w:ascii="FangSong" w:hAnsi="FangSong" w:eastAsia="FangSong" w:cs="FangSong"/>
          <w:sz w:val="30"/>
          <w:szCs w:val="30"/>
          <w:spacing w:val="63"/>
        </w:rPr>
        <w:t xml:space="preserve"> </w:t>
      </w:r>
      <w:r>
        <w:rPr>
          <w:rFonts w:ascii="FangSong" w:hAnsi="FangSong" w:eastAsia="FangSong" w:cs="FangSong"/>
          <w:sz w:val="30"/>
          <w:szCs w:val="30"/>
          <w:spacing w:val="27"/>
        </w:rPr>
        <w:t>万元以下的罚款；情节严重的</w:t>
      </w:r>
      <w:r>
        <w:rPr>
          <w:rFonts w:ascii="FangSong" w:hAnsi="FangSong" w:eastAsia="FangSong" w:cs="FangSong"/>
          <w:sz w:val="30"/>
          <w:szCs w:val="30"/>
          <w:spacing w:val="26"/>
        </w:rPr>
        <w:t>，责令停止产生职</w:t>
      </w:r>
      <w:r>
        <w:rPr>
          <w:rFonts w:ascii="FangSong" w:hAnsi="FangSong" w:eastAsia="FangSong" w:cs="FangSong"/>
          <w:sz w:val="30"/>
          <w:szCs w:val="30"/>
        </w:rPr>
        <w:t xml:space="preserve">  </w:t>
      </w:r>
      <w:r>
        <w:rPr>
          <w:rFonts w:ascii="FangSong" w:hAnsi="FangSong" w:eastAsia="FangSong" w:cs="FangSong"/>
          <w:sz w:val="30"/>
          <w:szCs w:val="30"/>
          <w:spacing w:val="17"/>
        </w:rPr>
        <w:t>业病危害的作业，或者提请有关人民政府按照国</w:t>
      </w:r>
      <w:r>
        <w:rPr>
          <w:rFonts w:ascii="FangSong" w:hAnsi="FangSong" w:eastAsia="FangSong" w:cs="FangSong"/>
          <w:sz w:val="30"/>
          <w:szCs w:val="30"/>
          <w:spacing w:val="16"/>
        </w:rPr>
        <w:t>务院规定的权限责令关闭：</w:t>
      </w:r>
    </w:p>
    <w:p>
      <w:pPr>
        <w:ind w:left="819"/>
        <w:spacing w:before="1" w:line="221" w:lineRule="auto"/>
        <w:rPr>
          <w:rFonts w:ascii="FangSong" w:hAnsi="FangSong" w:eastAsia="FangSong" w:cs="FangSong"/>
          <w:sz w:val="30"/>
          <w:szCs w:val="30"/>
        </w:rPr>
      </w:pPr>
      <w:r>
        <w:rPr>
          <w:rFonts w:ascii="FangSong" w:hAnsi="FangSong" w:eastAsia="FangSong" w:cs="FangSong"/>
          <w:sz w:val="30"/>
          <w:szCs w:val="30"/>
          <w:spacing w:val="22"/>
        </w:rPr>
        <w:t>(十)未按照规定承担职业病诊断、鉴定费用和职业病病人的医疗、生活保障费用的。</w:t>
      </w:r>
    </w:p>
    <w:p>
      <w:pPr>
        <w:ind w:left="29" w:right="94" w:firstLine="640"/>
        <w:spacing w:before="70" w:line="271" w:lineRule="auto"/>
        <w:rPr>
          <w:rFonts w:ascii="FangSong" w:hAnsi="FangSong" w:eastAsia="FangSong" w:cs="FangSong"/>
          <w:sz w:val="30"/>
          <w:szCs w:val="30"/>
        </w:rPr>
      </w:pPr>
      <w:r>
        <w:rPr>
          <w:rFonts w:ascii="FangSong" w:hAnsi="FangSong" w:eastAsia="FangSong" w:cs="FangSong"/>
          <w:sz w:val="30"/>
          <w:szCs w:val="30"/>
          <w:spacing w:val="19"/>
        </w:rPr>
        <w:t>3.</w:t>
      </w:r>
      <w:r>
        <w:rPr>
          <w:rFonts w:ascii="FangSong" w:hAnsi="FangSong" w:eastAsia="FangSong" w:cs="FangSong"/>
          <w:sz w:val="30"/>
          <w:szCs w:val="30"/>
          <w:spacing w:val="19"/>
        </w:rPr>
        <w:t xml:space="preserve"> </w:t>
      </w:r>
      <w:r>
        <w:rPr>
          <w:rFonts w:ascii="FangSong" w:hAnsi="FangSong" w:eastAsia="FangSong" w:cs="FangSong"/>
          <w:sz w:val="30"/>
          <w:szCs w:val="30"/>
          <w:spacing w:val="19"/>
        </w:rPr>
        <w:t>《职业病诊断与鉴定管理办法》第六十条第(三)项</w:t>
      </w:r>
      <w:r>
        <w:rPr>
          <w:rFonts w:ascii="FangSong" w:hAnsi="FangSong" w:eastAsia="FangSong" w:cs="FangSong"/>
          <w:sz w:val="30"/>
          <w:szCs w:val="30"/>
          <w:spacing w:val="19"/>
        </w:rPr>
        <w:t xml:space="preserve">  </w:t>
      </w:r>
      <w:r>
        <w:rPr>
          <w:rFonts w:ascii="FangSong" w:hAnsi="FangSong" w:eastAsia="FangSong" w:cs="FangSong"/>
          <w:sz w:val="30"/>
          <w:szCs w:val="30"/>
          <w:spacing w:val="19"/>
        </w:rPr>
        <w:t>用人单位有下列行为之一的，由县级以</w:t>
      </w:r>
      <w:r>
        <w:rPr>
          <w:rFonts w:ascii="FangSong" w:hAnsi="FangSong" w:eastAsia="FangSong" w:cs="FangSong"/>
          <w:sz w:val="30"/>
          <w:szCs w:val="30"/>
        </w:rPr>
        <w:t xml:space="preserve"> </w:t>
      </w:r>
      <w:r>
        <w:rPr>
          <w:rFonts w:ascii="FangSong" w:hAnsi="FangSong" w:eastAsia="FangSong" w:cs="FangSong"/>
          <w:sz w:val="30"/>
          <w:szCs w:val="30"/>
          <w:spacing w:val="17"/>
        </w:rPr>
        <w:t>上地方卫生健康主管部门按照《职业病防治法》</w:t>
      </w:r>
      <w:r>
        <w:rPr>
          <w:rFonts w:ascii="FangSong" w:hAnsi="FangSong" w:eastAsia="FangSong" w:cs="FangSong"/>
          <w:sz w:val="30"/>
          <w:szCs w:val="30"/>
          <w:spacing w:val="16"/>
        </w:rPr>
        <w:t>第七十二条规定进行处理：</w:t>
      </w:r>
    </w:p>
    <w:p>
      <w:pPr>
        <w:ind w:left="819"/>
        <w:spacing w:before="1" w:line="220" w:lineRule="auto"/>
        <w:rPr>
          <w:rFonts w:ascii="FangSong" w:hAnsi="FangSong" w:eastAsia="FangSong" w:cs="FangSong"/>
          <w:sz w:val="30"/>
          <w:szCs w:val="30"/>
        </w:rPr>
      </w:pPr>
      <w:r>
        <w:rPr>
          <w:rFonts w:ascii="FangSong" w:hAnsi="FangSong" w:eastAsia="FangSong" w:cs="FangSong"/>
          <w:sz w:val="30"/>
          <w:szCs w:val="30"/>
          <w:spacing w:val="23"/>
        </w:rPr>
        <w:t>(三)未按照规定承担职业病诊断、鉴定费用。</w:t>
      </w:r>
    </w:p>
    <w:p>
      <w:pPr>
        <w:ind w:left="6444"/>
        <w:spacing w:before="240" w:line="193" w:lineRule="auto"/>
        <w:rPr>
          <w:rFonts w:ascii="SimHei" w:hAnsi="SimHei" w:eastAsia="SimHei" w:cs="SimHei"/>
          <w:sz w:val="30"/>
          <w:szCs w:val="30"/>
        </w:rPr>
      </w:pPr>
      <w:r>
        <w:rPr>
          <w:rFonts w:ascii="SimHei" w:hAnsi="SimHei" w:eastAsia="SimHei" w:cs="SimHei"/>
          <w:sz w:val="30"/>
          <w:szCs w:val="30"/>
          <w:b/>
          <w:bCs/>
          <w:spacing w:val="-17"/>
        </w:rPr>
        <w:t>裁量标准</w:t>
      </w:r>
    </w:p>
    <w:tbl>
      <w:tblPr>
        <w:tblStyle w:val="TableNormal"/>
        <w:tblW w:w="13820" w:type="dxa"/>
        <w:tblInd w:w="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44"/>
        <w:gridCol w:w="8933"/>
        <w:gridCol w:w="3443"/>
      </w:tblGrid>
      <w:tr>
        <w:trPr>
          <w:trHeight w:val="567" w:hRule="atLeast"/>
        </w:trPr>
        <w:tc>
          <w:tcPr>
            <w:tcW w:w="1444" w:type="dxa"/>
            <w:vAlign w:val="top"/>
            <w:tcBorders>
              <w:left w:val="single" w:color="000000" w:sz="4" w:space="0"/>
            </w:tcBorders>
          </w:tcPr>
          <w:p>
            <w:pPr>
              <w:ind w:left="154"/>
              <w:spacing w:before="212" w:line="212" w:lineRule="auto"/>
              <w:rPr>
                <w:rFonts w:ascii="SimHei" w:hAnsi="SimHei" w:eastAsia="SimHei" w:cs="SimHei"/>
                <w:sz w:val="30"/>
                <w:szCs w:val="30"/>
              </w:rPr>
            </w:pPr>
            <w:r>
              <w:rPr>
                <w:rFonts w:ascii="SimHei" w:hAnsi="SimHei" w:eastAsia="SimHei" w:cs="SimHei"/>
                <w:sz w:val="30"/>
                <w:szCs w:val="30"/>
                <w:b/>
                <w:bCs/>
                <w:spacing w:val="-16"/>
              </w:rPr>
              <w:t>违法程度</w:t>
            </w:r>
          </w:p>
        </w:tc>
        <w:tc>
          <w:tcPr>
            <w:tcW w:w="8933" w:type="dxa"/>
            <w:vAlign w:val="top"/>
            <w:tcBorders>
              <w:right w:val="single" w:color="000000" w:sz="4" w:space="0"/>
            </w:tcBorders>
          </w:tcPr>
          <w:p>
            <w:pPr>
              <w:ind w:left="3902"/>
              <w:spacing w:before="183" w:line="223" w:lineRule="auto"/>
              <w:rPr>
                <w:rFonts w:ascii="SimHei" w:hAnsi="SimHei" w:eastAsia="SimHei" w:cs="SimHei"/>
                <w:sz w:val="30"/>
                <w:szCs w:val="30"/>
              </w:rPr>
            </w:pPr>
            <w:r>
              <w:rPr>
                <w:rFonts w:ascii="SimHei" w:hAnsi="SimHei" w:eastAsia="SimHei" w:cs="SimHei"/>
                <w:sz w:val="30"/>
                <w:szCs w:val="30"/>
                <w:b/>
                <w:bCs/>
                <w:spacing w:val="-17"/>
              </w:rPr>
              <w:t>情节后果</w:t>
            </w:r>
          </w:p>
        </w:tc>
        <w:tc>
          <w:tcPr>
            <w:tcW w:w="3443" w:type="dxa"/>
            <w:vAlign w:val="top"/>
            <w:tcBorders>
              <w:left w:val="single" w:color="000000" w:sz="4" w:space="0"/>
              <w:right w:val="single" w:color="000000" w:sz="4" w:space="0"/>
            </w:tcBorders>
          </w:tcPr>
          <w:p>
            <w:pPr>
              <w:ind w:left="1127"/>
              <w:spacing w:before="180" w:line="221" w:lineRule="auto"/>
              <w:rPr>
                <w:rFonts w:ascii="SimHei" w:hAnsi="SimHei" w:eastAsia="SimHei" w:cs="SimHei"/>
                <w:sz w:val="30"/>
                <w:szCs w:val="30"/>
              </w:rPr>
            </w:pPr>
            <w:r>
              <w:rPr>
                <w:rFonts w:ascii="SimHei" w:hAnsi="SimHei" w:eastAsia="SimHei" w:cs="SimHei"/>
                <w:sz w:val="30"/>
                <w:szCs w:val="30"/>
                <w:b/>
                <w:bCs/>
                <w:spacing w:val="-14"/>
              </w:rPr>
              <w:t>裁量幅度</w:t>
            </w:r>
          </w:p>
        </w:tc>
      </w:tr>
      <w:tr>
        <w:trPr>
          <w:trHeight w:val="707" w:hRule="atLeast"/>
        </w:trPr>
        <w:tc>
          <w:tcPr>
            <w:tcW w:w="1444" w:type="dxa"/>
            <w:vAlign w:val="top"/>
            <w:tcBorders>
              <w:left w:val="single" w:color="000000" w:sz="4" w:space="0"/>
            </w:tcBorders>
          </w:tcPr>
          <w:p>
            <w:pPr>
              <w:ind w:left="493"/>
              <w:spacing w:before="297" w:line="222" w:lineRule="auto"/>
              <w:rPr>
                <w:rFonts w:ascii="FangSong" w:hAnsi="FangSong" w:eastAsia="FangSong" w:cs="FangSong"/>
                <w:sz w:val="23"/>
                <w:szCs w:val="23"/>
              </w:rPr>
            </w:pPr>
            <w:r>
              <w:rPr>
                <w:rFonts w:ascii="FangSong" w:hAnsi="FangSong" w:eastAsia="FangSong" w:cs="FangSong"/>
                <w:sz w:val="23"/>
                <w:szCs w:val="23"/>
                <w:b/>
                <w:bCs/>
                <w:spacing w:val="-7"/>
              </w:rPr>
              <w:t>轻微</w:t>
            </w:r>
          </w:p>
        </w:tc>
        <w:tc>
          <w:tcPr>
            <w:tcW w:w="8933" w:type="dxa"/>
            <w:vAlign w:val="top"/>
            <w:tcBorders>
              <w:right w:val="single" w:color="000000" w:sz="4" w:space="0"/>
            </w:tcBorders>
          </w:tcPr>
          <w:p>
            <w:pPr>
              <w:ind w:left="108"/>
              <w:spacing w:before="258" w:line="221" w:lineRule="auto"/>
              <w:rPr>
                <w:rFonts w:ascii="FangSong" w:hAnsi="FangSong" w:eastAsia="FangSong" w:cs="FangSong"/>
                <w:sz w:val="23"/>
                <w:szCs w:val="23"/>
              </w:rPr>
            </w:pPr>
            <w:r>
              <w:rPr>
                <w:rFonts w:ascii="FangSong" w:hAnsi="FangSong" w:eastAsia="FangSong" w:cs="FangSong"/>
                <w:sz w:val="23"/>
                <w:szCs w:val="23"/>
                <w:spacing w:val="9"/>
              </w:rPr>
              <w:t>未按照规定承担职业病诊断、鉴定费用和职业病病人的医疗、生活保障费用的</w:t>
            </w:r>
          </w:p>
        </w:tc>
        <w:tc>
          <w:tcPr>
            <w:tcW w:w="3443" w:type="dxa"/>
            <w:vAlign w:val="top"/>
            <w:tcBorders>
              <w:left w:val="single" w:color="000000" w:sz="4" w:space="0"/>
              <w:right w:val="single" w:color="000000" w:sz="4" w:space="0"/>
            </w:tcBorders>
          </w:tcPr>
          <w:p>
            <w:pPr>
              <w:ind w:left="122"/>
              <w:spacing w:before="261" w:line="222" w:lineRule="auto"/>
              <w:rPr>
                <w:rFonts w:ascii="FangSong" w:hAnsi="FangSong" w:eastAsia="FangSong" w:cs="FangSong"/>
                <w:sz w:val="23"/>
                <w:szCs w:val="23"/>
              </w:rPr>
            </w:pPr>
            <w:r>
              <w:rPr>
                <w:rFonts w:ascii="FangSong" w:hAnsi="FangSong" w:eastAsia="FangSong" w:cs="FangSong"/>
                <w:sz w:val="23"/>
                <w:szCs w:val="23"/>
                <w:spacing w:val="8"/>
              </w:rPr>
              <w:t>给予警告，责令限期改正</w:t>
            </w:r>
          </w:p>
        </w:tc>
      </w:tr>
    </w:tbl>
    <w:p>
      <w:pPr>
        <w:pStyle w:val="BodyText"/>
        <w:rPr/>
      </w:pPr>
      <w:r/>
    </w:p>
    <w:p>
      <w:pPr>
        <w:sectPr>
          <w:footerReference w:type="default" r:id="rId502"/>
          <w:pgSz w:w="16830" w:h="11900"/>
          <w:pgMar w:top="1011" w:right="1349" w:bottom="1127" w:left="1410" w:header="0" w:footer="794" w:gutter="0"/>
        </w:sectPr>
        <w:rPr/>
      </w:pPr>
    </w:p>
    <w:p>
      <w:pPr>
        <w:spacing w:before="13"/>
        <w:rPr/>
      </w:pPr>
      <w:r/>
    </w:p>
    <w:p>
      <w:pPr>
        <w:spacing w:before="13"/>
        <w:rPr/>
      </w:pPr>
      <w:r/>
    </w:p>
    <w:p>
      <w:pPr>
        <w:spacing w:before="13"/>
        <w:rPr/>
      </w:pPr>
      <w:r/>
    </w:p>
    <w:tbl>
      <w:tblPr>
        <w:tblStyle w:val="TableNormal"/>
        <w:tblW w:w="137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8914"/>
        <w:gridCol w:w="3432"/>
      </w:tblGrid>
      <w:tr>
        <w:trPr>
          <w:trHeight w:val="882" w:hRule="atLeast"/>
        </w:trPr>
        <w:tc>
          <w:tcPr>
            <w:tcW w:w="1414" w:type="dxa"/>
            <w:vAlign w:val="top"/>
          </w:tcPr>
          <w:p>
            <w:pPr>
              <w:spacing w:line="312" w:lineRule="auto"/>
              <w:rPr>
                <w:rFonts w:ascii="Arial"/>
                <w:sz w:val="21"/>
              </w:rPr>
            </w:pPr>
            <w:r/>
          </w:p>
          <w:p>
            <w:pPr>
              <w:pStyle w:val="TableText"/>
              <w:ind w:left="458"/>
              <w:spacing w:before="78" w:line="221" w:lineRule="auto"/>
              <w:rPr/>
            </w:pPr>
            <w:r>
              <w:rPr>
                <w:b/>
                <w:bCs/>
                <w:spacing w:val="-10"/>
              </w:rPr>
              <w:t>一般</w:t>
            </w:r>
          </w:p>
        </w:tc>
        <w:tc>
          <w:tcPr>
            <w:tcW w:w="8914" w:type="dxa"/>
            <w:vAlign w:val="top"/>
          </w:tcPr>
          <w:p>
            <w:pPr>
              <w:pStyle w:val="TableText"/>
              <w:ind w:left="110" w:right="146" w:hanging="9"/>
              <w:spacing w:before="175" w:line="268" w:lineRule="auto"/>
              <w:rPr/>
            </w:pPr>
            <w:r>
              <w:rPr/>
              <w:t>未按照规定承担职业病诊断、鉴定费用和职业病病人的医疗、生活保障费用，经责</w:t>
            </w:r>
            <w:r>
              <w:rPr>
                <w:spacing w:val="15"/>
              </w:rPr>
              <w:t xml:space="preserve"> </w:t>
            </w:r>
            <w:r>
              <w:rPr/>
              <w:t>令限期改正，逾期不改正，仍存在以上违法情形，涉及劳动者2人以下的</w:t>
            </w:r>
          </w:p>
        </w:tc>
        <w:tc>
          <w:tcPr>
            <w:tcW w:w="3432" w:type="dxa"/>
            <w:vAlign w:val="top"/>
          </w:tcPr>
          <w:p>
            <w:pPr>
              <w:pStyle w:val="TableText"/>
              <w:ind w:left="127" w:right="125" w:firstLine="20"/>
              <w:spacing w:before="175" w:line="265" w:lineRule="auto"/>
              <w:rPr/>
            </w:pPr>
            <w:r>
              <w:rPr>
                <w:spacing w:val="2"/>
              </w:rPr>
              <w:t>处五万元以上十万元以下的罚 </w:t>
            </w:r>
            <w:r>
              <w:rPr/>
              <w:t>款</w:t>
            </w:r>
          </w:p>
        </w:tc>
      </w:tr>
      <w:tr>
        <w:trPr>
          <w:trHeight w:val="957" w:hRule="atLeast"/>
        </w:trPr>
        <w:tc>
          <w:tcPr>
            <w:tcW w:w="1414" w:type="dxa"/>
            <w:vAlign w:val="top"/>
          </w:tcPr>
          <w:p>
            <w:pPr>
              <w:spacing w:line="342" w:lineRule="auto"/>
              <w:rPr>
                <w:rFonts w:ascii="Arial"/>
                <w:sz w:val="21"/>
              </w:rPr>
            </w:pPr>
            <w:r/>
          </w:p>
          <w:p>
            <w:pPr>
              <w:pStyle w:val="TableText"/>
              <w:ind w:left="458"/>
              <w:spacing w:before="78" w:line="221" w:lineRule="auto"/>
              <w:rPr/>
            </w:pPr>
            <w:r>
              <w:rPr>
                <w:b/>
                <w:bCs/>
                <w:spacing w:val="-5"/>
              </w:rPr>
              <w:t>较重</w:t>
            </w:r>
          </w:p>
        </w:tc>
        <w:tc>
          <w:tcPr>
            <w:tcW w:w="8914" w:type="dxa"/>
            <w:vAlign w:val="top"/>
          </w:tcPr>
          <w:p>
            <w:pPr>
              <w:pStyle w:val="TableText"/>
              <w:ind w:left="110" w:right="146" w:hanging="9"/>
              <w:spacing w:before="211" w:line="263" w:lineRule="auto"/>
              <w:rPr/>
            </w:pPr>
            <w:r>
              <w:rPr/>
              <w:t>未按照规定承担职业病诊断、鉴定费用和职业病病人的医疗、生活保障费用，经责</w:t>
            </w:r>
            <w:r>
              <w:rPr>
                <w:spacing w:val="15"/>
              </w:rPr>
              <w:t xml:space="preserve"> </w:t>
            </w:r>
            <w:r>
              <w:rPr/>
              <w:t>令限期改正，逾期不改正，仍存在以上违法情形，涉及劳动者3-6人的</w:t>
            </w:r>
          </w:p>
        </w:tc>
        <w:tc>
          <w:tcPr>
            <w:tcW w:w="3432" w:type="dxa"/>
            <w:vAlign w:val="top"/>
          </w:tcPr>
          <w:p>
            <w:pPr>
              <w:pStyle w:val="TableText"/>
              <w:ind w:left="147"/>
              <w:spacing w:before="213" w:line="220" w:lineRule="auto"/>
              <w:rPr/>
            </w:pPr>
            <w:r>
              <w:rPr>
                <w:spacing w:val="1"/>
              </w:rPr>
              <w:t>处十万元以上二十万元以下的</w:t>
            </w:r>
          </w:p>
          <w:p>
            <w:pPr>
              <w:pStyle w:val="TableText"/>
              <w:ind w:left="136"/>
              <w:spacing w:before="54" w:line="221" w:lineRule="auto"/>
              <w:rPr/>
            </w:pPr>
            <w:r>
              <w:rPr>
                <w:color w:val="403040"/>
                <w:spacing w:val="5"/>
              </w:rPr>
              <w:t>罚款</w:t>
            </w:r>
          </w:p>
        </w:tc>
      </w:tr>
      <w:tr>
        <w:trPr>
          <w:trHeight w:val="1031" w:hRule="atLeast"/>
        </w:trPr>
        <w:tc>
          <w:tcPr>
            <w:tcW w:w="1414" w:type="dxa"/>
            <w:vAlign w:val="top"/>
          </w:tcPr>
          <w:p>
            <w:pPr>
              <w:spacing w:line="392" w:lineRule="auto"/>
              <w:rPr>
                <w:rFonts w:ascii="Arial"/>
                <w:sz w:val="21"/>
              </w:rPr>
            </w:pPr>
            <w:r/>
          </w:p>
          <w:p>
            <w:pPr>
              <w:pStyle w:val="TableText"/>
              <w:ind w:left="458"/>
              <w:spacing w:before="78" w:line="220" w:lineRule="auto"/>
              <w:rPr/>
            </w:pPr>
            <w:r>
              <w:rPr>
                <w:b/>
                <w:bCs/>
                <w:spacing w:val="-6"/>
              </w:rPr>
              <w:t>严重</w:t>
            </w:r>
          </w:p>
        </w:tc>
        <w:tc>
          <w:tcPr>
            <w:tcW w:w="8914" w:type="dxa"/>
            <w:vAlign w:val="top"/>
          </w:tcPr>
          <w:p>
            <w:pPr>
              <w:pStyle w:val="TableText"/>
              <w:ind w:left="110" w:right="146" w:hanging="9"/>
              <w:spacing w:before="256" w:line="270" w:lineRule="auto"/>
              <w:rPr/>
            </w:pPr>
            <w:r>
              <w:rPr/>
              <w:t>未按照规定承担职业病诊断、鉴定费用和职业病病人的医疗、生活保障费用，经责</w:t>
            </w:r>
            <w:r>
              <w:rPr>
                <w:spacing w:val="15"/>
              </w:rPr>
              <w:t xml:space="preserve"> </w:t>
            </w:r>
            <w:r>
              <w:rPr/>
              <w:t>令限期改正，逾期不改正，仍存在以上违法情形，涉及劳动者7人以上的</w:t>
            </w:r>
          </w:p>
        </w:tc>
        <w:tc>
          <w:tcPr>
            <w:tcW w:w="3432" w:type="dxa"/>
            <w:vAlign w:val="top"/>
          </w:tcPr>
          <w:p>
            <w:pPr>
              <w:pStyle w:val="TableText"/>
              <w:ind w:left="147" w:right="139"/>
              <w:spacing w:before="84" w:line="258" w:lineRule="auto"/>
              <w:rPr/>
            </w:pPr>
            <w:r>
              <w:rPr>
                <w:spacing w:val="1"/>
              </w:rPr>
              <w:t>责令停止产生职业病危害的作 </w:t>
            </w:r>
            <w:r>
              <w:rPr>
                <w:spacing w:val="1"/>
              </w:rPr>
              <w:t>业，或者提请有关人民政府按</w:t>
            </w:r>
          </w:p>
          <w:p>
            <w:pPr>
              <w:pStyle w:val="TableText"/>
              <w:ind w:left="147"/>
              <w:spacing w:line="204" w:lineRule="auto"/>
              <w:rPr/>
            </w:pPr>
            <w:r>
              <w:rPr>
                <w:spacing w:val="1"/>
              </w:rPr>
              <w:t>照国务院规定的权限责令关闭</w:t>
            </w:r>
          </w:p>
        </w:tc>
      </w:tr>
    </w:tbl>
    <w:p>
      <w:pPr>
        <w:pStyle w:val="BodyText"/>
        <w:spacing w:line="436" w:lineRule="auto"/>
        <w:rPr/>
      </w:pPr>
      <w:r/>
    </w:p>
    <w:p>
      <w:pPr>
        <w:ind w:left="19" w:right="64" w:firstLine="625"/>
        <w:spacing w:before="98" w:line="267" w:lineRule="auto"/>
        <w:rPr>
          <w:rFonts w:ascii="FangSong" w:hAnsi="FangSong" w:eastAsia="FangSong" w:cs="FangSong"/>
          <w:sz w:val="30"/>
          <w:szCs w:val="30"/>
        </w:rPr>
      </w:pPr>
      <w:r>
        <w:rPr>
          <w:rFonts w:ascii="FangSong" w:hAnsi="FangSong" w:eastAsia="FangSong" w:cs="FangSong"/>
          <w:sz w:val="30"/>
          <w:szCs w:val="30"/>
          <w:spacing w:val="21"/>
        </w:rPr>
        <w:t>第四</w:t>
      </w:r>
      <w:r>
        <w:rPr>
          <w:rFonts w:ascii="FangSong" w:hAnsi="FangSong" w:eastAsia="FangSong" w:cs="FangSong"/>
          <w:sz w:val="30"/>
          <w:szCs w:val="30"/>
          <w:b/>
          <w:bCs/>
          <w:spacing w:val="21"/>
        </w:rPr>
        <w:t>百七十二条向用人单位提供可能产生职业病危害的设备、材料，未按照规定提供中文说明</w:t>
      </w:r>
      <w:r>
        <w:rPr>
          <w:rFonts w:ascii="FangSong" w:hAnsi="FangSong" w:eastAsia="FangSong" w:cs="FangSong"/>
          <w:sz w:val="30"/>
          <w:szCs w:val="30"/>
          <w:spacing w:val="10"/>
        </w:rPr>
        <w:t xml:space="preserve"> </w:t>
      </w:r>
      <w:r>
        <w:rPr>
          <w:rFonts w:ascii="FangSong" w:hAnsi="FangSong" w:eastAsia="FangSong" w:cs="FangSong"/>
          <w:sz w:val="30"/>
          <w:szCs w:val="30"/>
          <w:b/>
          <w:bCs/>
          <w:spacing w:val="15"/>
        </w:rPr>
        <w:t>书或者设置警示标识和中文警示说明的</w:t>
      </w:r>
    </w:p>
    <w:p>
      <w:pPr>
        <w:ind w:left="645"/>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5" w:firstLine="629"/>
        <w:spacing w:before="84" w:line="254" w:lineRule="auto"/>
        <w:rPr>
          <w:rFonts w:ascii="FangSong" w:hAnsi="FangSong" w:eastAsia="FangSong" w:cs="FangSong"/>
          <w:sz w:val="30"/>
          <w:szCs w:val="30"/>
        </w:rPr>
      </w:pPr>
      <w:r>
        <w:rPr>
          <w:rFonts w:ascii="FangSong" w:hAnsi="FangSong" w:eastAsia="FangSong" w:cs="FangSong"/>
          <w:sz w:val="30"/>
          <w:szCs w:val="30"/>
          <w:spacing w:val="14"/>
        </w:rPr>
        <w:t>1.</w:t>
      </w:r>
      <w:r>
        <w:rPr>
          <w:rFonts w:ascii="FangSong" w:hAnsi="FangSong" w:eastAsia="FangSong" w:cs="FangSong"/>
          <w:sz w:val="30"/>
          <w:szCs w:val="30"/>
          <w:spacing w:val="14"/>
        </w:rPr>
        <w:t xml:space="preserve"> </w:t>
      </w:r>
      <w:r>
        <w:rPr>
          <w:rFonts w:ascii="FangSong" w:hAnsi="FangSong" w:eastAsia="FangSong" w:cs="FangSong"/>
          <w:sz w:val="30"/>
          <w:szCs w:val="30"/>
          <w:spacing w:val="14"/>
        </w:rPr>
        <w:t>《中华人民共和国职业病防治法》第七十三条</w:t>
      </w:r>
      <w:r>
        <w:rPr>
          <w:rFonts w:ascii="FangSong" w:hAnsi="FangSong" w:eastAsia="FangSong" w:cs="FangSong"/>
          <w:sz w:val="30"/>
          <w:szCs w:val="30"/>
          <w:spacing w:val="14"/>
        </w:rPr>
        <w:t xml:space="preserve"> </w:t>
      </w:r>
      <w:r>
        <w:rPr>
          <w:rFonts w:ascii="FangSong" w:hAnsi="FangSong" w:eastAsia="FangSong" w:cs="FangSong"/>
          <w:sz w:val="30"/>
          <w:szCs w:val="30"/>
          <w:spacing w:val="13"/>
        </w:rPr>
        <w:t xml:space="preserve"> </w:t>
      </w:r>
      <w:r>
        <w:rPr>
          <w:rFonts w:ascii="FangSong" w:hAnsi="FangSong" w:eastAsia="FangSong" w:cs="FangSong"/>
          <w:sz w:val="30"/>
          <w:szCs w:val="30"/>
          <w:spacing w:val="13"/>
        </w:rPr>
        <w:t>向用人单位提供可能产生职业病危害的设备、</w:t>
      </w:r>
      <w:r>
        <w:rPr>
          <w:rFonts w:ascii="FangSong" w:hAnsi="FangSong" w:eastAsia="FangSong" w:cs="FangSong"/>
          <w:sz w:val="30"/>
          <w:szCs w:val="30"/>
        </w:rPr>
        <w:t xml:space="preserve"> </w:t>
      </w:r>
      <w:r>
        <w:rPr>
          <w:rFonts w:ascii="FangSong" w:hAnsi="FangSong" w:eastAsia="FangSong" w:cs="FangSong"/>
          <w:sz w:val="30"/>
          <w:szCs w:val="30"/>
          <w:spacing w:val="17"/>
        </w:rPr>
        <w:t>材料，未按照规定提供中文说明书或者设置警示标识和中文警示说明的，由卫生行政部门责令限期改</w:t>
      </w:r>
      <w:r>
        <w:rPr>
          <w:rFonts w:ascii="FangSong" w:hAnsi="FangSong" w:eastAsia="FangSong" w:cs="FangSong"/>
          <w:sz w:val="30"/>
          <w:szCs w:val="30"/>
        </w:rPr>
        <w:t xml:space="preserve"> </w:t>
      </w:r>
      <w:r>
        <w:rPr>
          <w:rFonts w:ascii="FangSong" w:hAnsi="FangSong" w:eastAsia="FangSong" w:cs="FangSong"/>
          <w:sz w:val="30"/>
          <w:szCs w:val="30"/>
          <w:spacing w:val="16"/>
        </w:rPr>
        <w:t>正，给予警告，并处五万元以上二十万元以下的罚款。</w:t>
      </w:r>
    </w:p>
    <w:p>
      <w:pPr>
        <w:ind w:left="15" w:firstLine="629"/>
        <w:spacing w:before="81" w:line="254" w:lineRule="auto"/>
        <w:rPr>
          <w:rFonts w:ascii="FangSong" w:hAnsi="FangSong" w:eastAsia="FangSong" w:cs="FangSong"/>
          <w:sz w:val="30"/>
          <w:szCs w:val="30"/>
        </w:rPr>
      </w:pPr>
      <w:r>
        <w:rPr>
          <w:rFonts w:ascii="FangSong" w:hAnsi="FangSong" w:eastAsia="FangSong" w:cs="FangSong"/>
          <w:sz w:val="30"/>
          <w:szCs w:val="30"/>
          <w:spacing w:val="12"/>
        </w:rPr>
        <w:t>2.</w:t>
      </w:r>
      <w:r>
        <w:rPr>
          <w:rFonts w:ascii="FangSong" w:hAnsi="FangSong" w:eastAsia="FangSong" w:cs="FangSong"/>
          <w:sz w:val="30"/>
          <w:szCs w:val="30"/>
          <w:spacing w:val="12"/>
        </w:rPr>
        <w:t xml:space="preserve"> </w:t>
      </w:r>
      <w:r>
        <w:rPr>
          <w:rFonts w:ascii="FangSong" w:hAnsi="FangSong" w:eastAsia="FangSong" w:cs="FangSong"/>
          <w:sz w:val="30"/>
          <w:szCs w:val="30"/>
          <w:spacing w:val="12"/>
        </w:rPr>
        <w:t>《工作场所职业卫生管理规定》第五十三条</w:t>
      </w:r>
      <w:r>
        <w:rPr>
          <w:rFonts w:ascii="FangSong" w:hAnsi="FangSong" w:eastAsia="FangSong" w:cs="FangSong"/>
          <w:sz w:val="30"/>
          <w:szCs w:val="30"/>
          <w:spacing w:val="12"/>
        </w:rPr>
        <w:t xml:space="preserve">  </w:t>
      </w:r>
      <w:r>
        <w:rPr>
          <w:rFonts w:ascii="FangSong" w:hAnsi="FangSong" w:eastAsia="FangSong" w:cs="FangSong"/>
          <w:sz w:val="30"/>
          <w:szCs w:val="30"/>
          <w:spacing w:val="12"/>
        </w:rPr>
        <w:t>向用人单位提供可能产生职业病危害的设备或者</w:t>
      </w:r>
      <w:r>
        <w:rPr>
          <w:rFonts w:ascii="FangSong" w:hAnsi="FangSong" w:eastAsia="FangSong" w:cs="FangSong"/>
          <w:sz w:val="30"/>
          <w:szCs w:val="30"/>
          <w:spacing w:val="12"/>
        </w:rPr>
        <w:t xml:space="preserve"> </w:t>
      </w:r>
      <w:r>
        <w:rPr>
          <w:rFonts w:ascii="FangSong" w:hAnsi="FangSong" w:eastAsia="FangSong" w:cs="FangSong"/>
          <w:sz w:val="30"/>
          <w:szCs w:val="30"/>
          <w:spacing w:val="18"/>
        </w:rPr>
        <w:t>材料，未按照规定提供中文说明书或者设置警示标识和中文警示说明的，责令限期改正，给予</w:t>
      </w:r>
      <w:r>
        <w:rPr>
          <w:rFonts w:ascii="FangSong" w:hAnsi="FangSong" w:eastAsia="FangSong" w:cs="FangSong"/>
          <w:sz w:val="30"/>
          <w:szCs w:val="30"/>
          <w:spacing w:val="17"/>
        </w:rPr>
        <w:t>警告，</w:t>
      </w:r>
      <w:r>
        <w:rPr>
          <w:rFonts w:ascii="FangSong" w:hAnsi="FangSong" w:eastAsia="FangSong" w:cs="FangSong"/>
          <w:sz w:val="30"/>
          <w:szCs w:val="30"/>
        </w:rPr>
        <w:t xml:space="preserve"> </w:t>
      </w:r>
      <w:r>
        <w:rPr>
          <w:rFonts w:ascii="FangSong" w:hAnsi="FangSong" w:eastAsia="FangSong" w:cs="FangSong"/>
          <w:sz w:val="30"/>
          <w:szCs w:val="30"/>
          <w:spacing w:val="14"/>
        </w:rPr>
        <w:t>并处五万元以上二十万元以下的罚款。</w:t>
      </w:r>
    </w:p>
    <w:p>
      <w:pPr>
        <w:ind w:left="6419"/>
        <w:spacing w:before="241"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503"/>
          <w:pgSz w:w="16830" w:h="11900"/>
          <w:pgMar w:top="1011" w:right="1389" w:bottom="1107" w:left="1434" w:header="0" w:footer="774" w:gutter="0"/>
        </w:sectPr>
        <w:rPr>
          <w:rFonts w:ascii="SimHei" w:hAnsi="SimHei" w:eastAsia="SimHei" w:cs="SimHei"/>
          <w:sz w:val="30"/>
          <w:szCs w:val="30"/>
        </w:rPr>
      </w:pPr>
    </w:p>
    <w:p>
      <w:pPr>
        <w:spacing w:before="20"/>
        <w:rPr/>
      </w:pPr>
      <w:r/>
    </w:p>
    <w:p>
      <w:pPr>
        <w:spacing w:before="20"/>
        <w:rPr/>
      </w:pPr>
      <w:r/>
    </w:p>
    <w:p>
      <w:pPr>
        <w:spacing w:before="19"/>
        <w:rPr/>
      </w:pPr>
      <w:r/>
    </w:p>
    <w:tbl>
      <w:tblPr>
        <w:tblStyle w:val="TableNormal"/>
        <w:tblW w:w="13816"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8633"/>
        <w:gridCol w:w="3779"/>
      </w:tblGrid>
      <w:tr>
        <w:trPr>
          <w:trHeight w:val="712" w:hRule="atLeast"/>
        </w:trPr>
        <w:tc>
          <w:tcPr>
            <w:tcW w:w="1404" w:type="dxa"/>
            <w:vAlign w:val="top"/>
          </w:tcPr>
          <w:p>
            <w:pPr>
              <w:pStyle w:val="TableText"/>
              <w:ind w:left="198"/>
              <w:spacing w:before="232" w:line="220" w:lineRule="auto"/>
              <w:rPr>
                <w:sz w:val="25"/>
                <w:szCs w:val="25"/>
              </w:rPr>
            </w:pPr>
            <w:bookmarkStart w:name="bookmark1137" w:id="512"/>
            <w:bookmarkEnd w:id="512"/>
            <w:r>
              <w:rPr>
                <w:sz w:val="25"/>
                <w:szCs w:val="25"/>
                <w:b/>
                <w:bCs/>
                <w:spacing w:val="-5"/>
              </w:rPr>
              <w:t>违法程度</w:t>
            </w:r>
          </w:p>
        </w:tc>
        <w:tc>
          <w:tcPr>
            <w:tcW w:w="8633" w:type="dxa"/>
            <w:vAlign w:val="top"/>
          </w:tcPr>
          <w:p>
            <w:pPr>
              <w:pStyle w:val="TableText"/>
              <w:ind w:left="3774"/>
              <w:spacing w:before="232" w:line="220" w:lineRule="auto"/>
              <w:rPr>
                <w:sz w:val="25"/>
                <w:szCs w:val="25"/>
              </w:rPr>
            </w:pPr>
            <w:r>
              <w:rPr>
                <w:sz w:val="25"/>
                <w:szCs w:val="25"/>
                <w:b/>
                <w:bCs/>
                <w:spacing w:val="-5"/>
              </w:rPr>
              <w:t>情节后果</w:t>
            </w:r>
          </w:p>
        </w:tc>
        <w:tc>
          <w:tcPr>
            <w:tcW w:w="3779" w:type="dxa"/>
            <w:vAlign w:val="top"/>
          </w:tcPr>
          <w:p>
            <w:pPr>
              <w:pStyle w:val="TableText"/>
              <w:ind w:left="1381"/>
              <w:spacing w:before="229" w:line="218" w:lineRule="auto"/>
              <w:rPr>
                <w:sz w:val="25"/>
                <w:szCs w:val="25"/>
              </w:rPr>
            </w:pPr>
            <w:r>
              <w:rPr>
                <w:sz w:val="25"/>
                <w:szCs w:val="25"/>
                <w:b/>
                <w:bCs/>
                <w:spacing w:val="-5"/>
              </w:rPr>
              <w:t>裁量幅度</w:t>
            </w:r>
          </w:p>
        </w:tc>
      </w:tr>
      <w:tr>
        <w:trPr>
          <w:trHeight w:val="767" w:hRule="atLeast"/>
        </w:trPr>
        <w:tc>
          <w:tcPr>
            <w:tcW w:w="1404" w:type="dxa"/>
            <w:vAlign w:val="top"/>
          </w:tcPr>
          <w:p>
            <w:pPr>
              <w:spacing w:line="248" w:lineRule="auto"/>
              <w:rPr>
                <w:rFonts w:ascii="Arial"/>
                <w:sz w:val="21"/>
              </w:rPr>
            </w:pPr>
            <w:r/>
          </w:p>
          <w:p>
            <w:pPr>
              <w:pStyle w:val="TableText"/>
              <w:ind w:left="448"/>
              <w:spacing w:before="81" w:line="221" w:lineRule="auto"/>
              <w:rPr>
                <w:sz w:val="25"/>
                <w:szCs w:val="25"/>
              </w:rPr>
            </w:pPr>
            <w:r>
              <w:rPr>
                <w:sz w:val="25"/>
                <w:szCs w:val="25"/>
                <w:b/>
                <w:bCs/>
                <w:spacing w:val="-10"/>
              </w:rPr>
              <w:t>一般</w:t>
            </w:r>
          </w:p>
        </w:tc>
        <w:tc>
          <w:tcPr>
            <w:tcW w:w="8633" w:type="dxa"/>
            <w:vAlign w:val="top"/>
          </w:tcPr>
          <w:p>
            <w:pPr>
              <w:pStyle w:val="TableText"/>
              <w:ind w:left="130" w:firstLine="19"/>
              <w:spacing w:before="101" w:line="242" w:lineRule="auto"/>
              <w:rPr>
                <w:sz w:val="25"/>
                <w:szCs w:val="25"/>
              </w:rPr>
            </w:pPr>
            <w:r>
              <w:rPr>
                <w:sz w:val="25"/>
                <w:szCs w:val="25"/>
                <w:spacing w:val="-4"/>
              </w:rPr>
              <w:t>向用人单位提供3种以下可能产生职业病危害的</w:t>
            </w:r>
            <w:r>
              <w:rPr>
                <w:sz w:val="25"/>
                <w:szCs w:val="25"/>
                <w:spacing w:val="-5"/>
              </w:rPr>
              <w:t>设备、材料，未按照规定提供中</w:t>
            </w:r>
            <w:r>
              <w:rPr>
                <w:sz w:val="25"/>
                <w:szCs w:val="25"/>
              </w:rPr>
              <w:t xml:space="preserve"> </w:t>
            </w:r>
            <w:r>
              <w:rPr>
                <w:sz w:val="25"/>
                <w:szCs w:val="25"/>
              </w:rPr>
              <w:t>文说明书或者设置警示标识和中文警示说明的</w:t>
            </w:r>
          </w:p>
        </w:tc>
        <w:tc>
          <w:tcPr>
            <w:tcW w:w="3779" w:type="dxa"/>
            <w:vAlign w:val="top"/>
          </w:tcPr>
          <w:p>
            <w:pPr>
              <w:pStyle w:val="TableText"/>
              <w:ind w:left="146" w:hanging="129"/>
              <w:spacing w:before="112" w:line="238" w:lineRule="auto"/>
              <w:rPr>
                <w:sz w:val="25"/>
                <w:szCs w:val="25"/>
              </w:rPr>
            </w:pPr>
            <w:r>
              <w:rPr>
                <w:sz w:val="25"/>
                <w:szCs w:val="25"/>
              </w:rPr>
              <w:t>责令限期改正，给予警告，并处五 </w:t>
            </w:r>
            <w:r>
              <w:rPr>
                <w:sz w:val="25"/>
                <w:szCs w:val="25"/>
              </w:rPr>
              <w:t>万元以上十万元以下的罚款</w:t>
            </w:r>
          </w:p>
        </w:tc>
      </w:tr>
      <w:tr>
        <w:trPr>
          <w:trHeight w:val="688" w:hRule="atLeast"/>
        </w:trPr>
        <w:tc>
          <w:tcPr>
            <w:tcW w:w="1404" w:type="dxa"/>
            <w:vAlign w:val="top"/>
          </w:tcPr>
          <w:p>
            <w:pPr>
              <w:pStyle w:val="TableText"/>
              <w:ind w:left="448"/>
              <w:spacing w:before="316" w:line="221" w:lineRule="auto"/>
              <w:rPr>
                <w:sz w:val="25"/>
                <w:szCs w:val="25"/>
              </w:rPr>
            </w:pPr>
            <w:r>
              <w:rPr>
                <w:sz w:val="25"/>
                <w:szCs w:val="25"/>
                <w:b/>
                <w:bCs/>
                <w:spacing w:val="-6"/>
              </w:rPr>
              <w:t>较重</w:t>
            </w:r>
          </w:p>
        </w:tc>
        <w:tc>
          <w:tcPr>
            <w:tcW w:w="8633" w:type="dxa"/>
            <w:vAlign w:val="top"/>
          </w:tcPr>
          <w:p>
            <w:pPr>
              <w:pStyle w:val="TableText"/>
              <w:ind w:left="121" w:right="7" w:firstLine="29"/>
              <w:spacing w:before="84" w:line="219" w:lineRule="auto"/>
              <w:rPr>
                <w:sz w:val="25"/>
                <w:szCs w:val="25"/>
              </w:rPr>
            </w:pPr>
            <w:r>
              <w:rPr>
                <w:sz w:val="25"/>
                <w:szCs w:val="25"/>
                <w:spacing w:val="-1"/>
              </w:rPr>
              <w:t>向用人单位提供4种以上6种以下可能产生职业病危害的设备、材料，未按</w:t>
            </w:r>
            <w:r>
              <w:rPr>
                <w:sz w:val="25"/>
                <w:szCs w:val="25"/>
                <w:spacing w:val="-2"/>
              </w:rPr>
              <w:t>照规</w:t>
            </w:r>
            <w:r>
              <w:rPr>
                <w:sz w:val="25"/>
                <w:szCs w:val="25"/>
              </w:rPr>
              <w:t xml:space="preserve"> </w:t>
            </w:r>
            <w:r>
              <w:rPr>
                <w:sz w:val="25"/>
                <w:szCs w:val="25"/>
              </w:rPr>
              <w:t>定提供中文说明书或者设置警示标识和中文警示说明的</w:t>
            </w:r>
          </w:p>
        </w:tc>
        <w:tc>
          <w:tcPr>
            <w:tcW w:w="3779" w:type="dxa"/>
            <w:vAlign w:val="top"/>
          </w:tcPr>
          <w:p>
            <w:pPr>
              <w:pStyle w:val="TableText"/>
              <w:ind w:left="256" w:hanging="239"/>
              <w:spacing w:before="84" w:line="219" w:lineRule="auto"/>
              <w:rPr>
                <w:sz w:val="25"/>
                <w:szCs w:val="25"/>
              </w:rPr>
            </w:pPr>
            <w:r>
              <w:rPr>
                <w:sz w:val="25"/>
                <w:szCs w:val="25"/>
              </w:rPr>
              <w:t>责令限期改正，给予警告，并处十 </w:t>
            </w:r>
            <w:r>
              <w:rPr>
                <w:sz w:val="25"/>
                <w:szCs w:val="25"/>
              </w:rPr>
              <w:t>万元以上十五万元以下的罚款</w:t>
            </w:r>
          </w:p>
        </w:tc>
      </w:tr>
      <w:tr>
        <w:trPr>
          <w:trHeight w:val="842" w:hRule="atLeast"/>
        </w:trPr>
        <w:tc>
          <w:tcPr>
            <w:tcW w:w="1404" w:type="dxa"/>
            <w:vAlign w:val="top"/>
          </w:tcPr>
          <w:p>
            <w:pPr>
              <w:spacing w:line="292" w:lineRule="auto"/>
              <w:rPr>
                <w:rFonts w:ascii="Arial"/>
                <w:sz w:val="21"/>
              </w:rPr>
            </w:pPr>
            <w:r/>
          </w:p>
          <w:p>
            <w:pPr>
              <w:pStyle w:val="TableText"/>
              <w:ind w:left="448"/>
              <w:spacing w:before="81" w:line="220" w:lineRule="auto"/>
              <w:rPr>
                <w:sz w:val="25"/>
                <w:szCs w:val="25"/>
              </w:rPr>
            </w:pPr>
            <w:r>
              <w:rPr>
                <w:sz w:val="25"/>
                <w:szCs w:val="25"/>
                <w:b/>
                <w:bCs/>
                <w:spacing w:val="-6"/>
              </w:rPr>
              <w:t>严重</w:t>
            </w:r>
          </w:p>
        </w:tc>
        <w:tc>
          <w:tcPr>
            <w:tcW w:w="8633" w:type="dxa"/>
            <w:vAlign w:val="top"/>
          </w:tcPr>
          <w:p>
            <w:pPr>
              <w:pStyle w:val="TableText"/>
              <w:ind w:left="130" w:firstLine="19"/>
              <w:spacing w:before="146" w:line="253" w:lineRule="auto"/>
              <w:rPr>
                <w:sz w:val="25"/>
                <w:szCs w:val="25"/>
              </w:rPr>
            </w:pPr>
            <w:r>
              <w:rPr>
                <w:sz w:val="25"/>
                <w:szCs w:val="25"/>
                <w:spacing w:val="-4"/>
              </w:rPr>
              <w:t>向用人单位提供7种以上可能产生职业病危害的</w:t>
            </w:r>
            <w:r>
              <w:rPr>
                <w:sz w:val="25"/>
                <w:szCs w:val="25"/>
                <w:spacing w:val="-5"/>
              </w:rPr>
              <w:t>设备、材料，未按照规定提供中</w:t>
            </w:r>
            <w:r>
              <w:rPr>
                <w:sz w:val="25"/>
                <w:szCs w:val="25"/>
              </w:rPr>
              <w:t xml:space="preserve"> </w:t>
            </w:r>
            <w:r>
              <w:rPr>
                <w:sz w:val="25"/>
                <w:szCs w:val="25"/>
              </w:rPr>
              <w:t>文说明书或者设置警示标识和中文警示说明，或者造成危害</w:t>
            </w:r>
            <w:r>
              <w:rPr>
                <w:sz w:val="25"/>
                <w:szCs w:val="25"/>
                <w:spacing w:val="-1"/>
              </w:rPr>
              <w:t>后果的</w:t>
            </w:r>
          </w:p>
        </w:tc>
        <w:tc>
          <w:tcPr>
            <w:tcW w:w="3779" w:type="dxa"/>
            <w:vAlign w:val="top"/>
          </w:tcPr>
          <w:p>
            <w:pPr>
              <w:pStyle w:val="TableText"/>
              <w:ind w:left="126" w:hanging="109"/>
              <w:spacing w:before="146" w:line="253" w:lineRule="auto"/>
              <w:rPr>
                <w:sz w:val="25"/>
                <w:szCs w:val="25"/>
              </w:rPr>
            </w:pPr>
            <w:r>
              <w:rPr>
                <w:sz w:val="25"/>
                <w:szCs w:val="25"/>
              </w:rPr>
              <w:t>责令限期改正，给予警告，并处十 </w:t>
            </w:r>
            <w:r>
              <w:rPr>
                <w:sz w:val="25"/>
                <w:szCs w:val="25"/>
              </w:rPr>
              <w:t>五万元以上二十万元以下的罚款</w:t>
            </w:r>
          </w:p>
        </w:tc>
      </w:tr>
    </w:tbl>
    <w:p>
      <w:pPr>
        <w:pStyle w:val="BodyText"/>
        <w:spacing w:line="436" w:lineRule="auto"/>
        <w:rPr/>
      </w:pPr>
      <w:r/>
    </w:p>
    <w:p>
      <w:pPr>
        <w:ind w:left="654" w:right="2034" w:firstLine="4"/>
        <w:spacing w:before="97" w:line="243" w:lineRule="auto"/>
        <w:rPr>
          <w:rFonts w:ascii="FangSong" w:hAnsi="FangSong" w:eastAsia="FangSong" w:cs="FangSong"/>
          <w:sz w:val="30"/>
          <w:szCs w:val="30"/>
        </w:rPr>
      </w:pPr>
      <w:r>
        <w:rPr>
          <w:rFonts w:ascii="FangSong" w:hAnsi="FangSong" w:eastAsia="FangSong" w:cs="FangSong"/>
          <w:sz w:val="30"/>
          <w:szCs w:val="30"/>
          <w:b/>
          <w:bCs/>
          <w:spacing w:val="21"/>
        </w:rPr>
        <w:t>第四百七十三条用人单位和医疗卫生机构未按照规定报告职业病、疑似职业病的</w:t>
      </w:r>
      <w:r>
        <w:rPr>
          <w:rFonts w:ascii="FangSong" w:hAnsi="FangSong" w:eastAsia="FangSong" w:cs="FangSong"/>
          <w:sz w:val="30"/>
          <w:szCs w:val="30"/>
          <w:spacing w:val="14"/>
        </w:rPr>
        <w:t xml:space="preserve"> </w:t>
      </w:r>
      <w:r>
        <w:rPr>
          <w:rFonts w:ascii="FangSong" w:hAnsi="FangSong" w:eastAsia="FangSong" w:cs="FangSong"/>
          <w:sz w:val="30"/>
          <w:szCs w:val="30"/>
          <w:spacing w:val="-2"/>
        </w:rPr>
        <w:t>法律依据：</w:t>
      </w:r>
    </w:p>
    <w:p>
      <w:pPr>
        <w:ind w:left="15" w:firstLine="639"/>
        <w:spacing w:before="78" w:line="259" w:lineRule="auto"/>
        <w:rPr>
          <w:rFonts w:ascii="FangSong" w:hAnsi="FangSong" w:eastAsia="FangSong" w:cs="FangSong"/>
          <w:sz w:val="30"/>
          <w:szCs w:val="30"/>
        </w:rPr>
      </w:pPr>
      <w:r>
        <w:rPr>
          <w:rFonts w:ascii="FangSong" w:hAnsi="FangSong" w:eastAsia="FangSong" w:cs="FangSong"/>
          <w:sz w:val="30"/>
          <w:szCs w:val="30"/>
          <w:spacing w:val="12"/>
        </w:rPr>
        <w:t>1.</w:t>
      </w:r>
      <w:r>
        <w:rPr>
          <w:rFonts w:ascii="FangSong" w:hAnsi="FangSong" w:eastAsia="FangSong" w:cs="FangSong"/>
          <w:sz w:val="30"/>
          <w:szCs w:val="30"/>
          <w:spacing w:val="12"/>
        </w:rPr>
        <w:t xml:space="preserve"> </w:t>
      </w:r>
      <w:r>
        <w:rPr>
          <w:rFonts w:ascii="FangSong" w:hAnsi="FangSong" w:eastAsia="FangSong" w:cs="FangSong"/>
          <w:sz w:val="30"/>
          <w:szCs w:val="30"/>
          <w:spacing w:val="12"/>
        </w:rPr>
        <w:t>《中华人民共和国职业病防治法》第七十四条</w:t>
      </w:r>
      <w:r>
        <w:rPr>
          <w:rFonts w:ascii="FangSong" w:hAnsi="FangSong" w:eastAsia="FangSong" w:cs="FangSong"/>
          <w:sz w:val="30"/>
          <w:szCs w:val="30"/>
          <w:spacing w:val="11"/>
        </w:rPr>
        <w:t xml:space="preserve">  </w:t>
      </w:r>
      <w:r>
        <w:rPr>
          <w:rFonts w:ascii="FangSong" w:hAnsi="FangSong" w:eastAsia="FangSong" w:cs="FangSong"/>
          <w:sz w:val="30"/>
          <w:szCs w:val="30"/>
          <w:spacing w:val="11"/>
        </w:rPr>
        <w:t>用人单位和医疗卫生机构未按照规定报告职业</w:t>
      </w:r>
      <w:r>
        <w:rPr>
          <w:rFonts w:ascii="FangSong" w:hAnsi="FangSong" w:eastAsia="FangSong" w:cs="FangSong"/>
          <w:sz w:val="30"/>
          <w:szCs w:val="30"/>
        </w:rPr>
        <w:t xml:space="preserve">  </w:t>
      </w:r>
      <w:r>
        <w:rPr>
          <w:rFonts w:ascii="FangSong" w:hAnsi="FangSong" w:eastAsia="FangSong" w:cs="FangSong"/>
          <w:sz w:val="30"/>
          <w:szCs w:val="30"/>
          <w:spacing w:val="16"/>
        </w:rPr>
        <w:t>病、疑似职业病的，由有关主管部门依据职责分工责令限期改正，给予警告，可以并处一万元以下的</w:t>
      </w:r>
      <w:r>
        <w:rPr>
          <w:rFonts w:ascii="FangSong" w:hAnsi="FangSong" w:eastAsia="FangSong" w:cs="FangSong"/>
          <w:sz w:val="30"/>
          <w:szCs w:val="30"/>
          <w:spacing w:val="14"/>
        </w:rPr>
        <w:t xml:space="preserve"> </w:t>
      </w:r>
      <w:r>
        <w:rPr>
          <w:rFonts w:ascii="FangSong" w:hAnsi="FangSong" w:eastAsia="FangSong" w:cs="FangSong"/>
          <w:sz w:val="30"/>
          <w:szCs w:val="30"/>
          <w:spacing w:val="12"/>
        </w:rPr>
        <w:t>罚款；弄虚作假的，并处二万元以上五万元以下的罚款；对直接负责的主管人员和其他直接责任人</w:t>
      </w:r>
      <w:r>
        <w:rPr>
          <w:rFonts w:ascii="FangSong" w:hAnsi="FangSong" w:eastAsia="FangSong" w:cs="FangSong"/>
          <w:sz w:val="30"/>
          <w:szCs w:val="30"/>
          <w:spacing w:val="11"/>
        </w:rPr>
        <w:t>员，</w:t>
      </w:r>
      <w:r>
        <w:rPr>
          <w:rFonts w:ascii="FangSong" w:hAnsi="FangSong" w:eastAsia="FangSong" w:cs="FangSong"/>
          <w:sz w:val="30"/>
          <w:szCs w:val="30"/>
        </w:rPr>
        <w:t xml:space="preserve"> </w:t>
      </w:r>
      <w:r>
        <w:rPr>
          <w:rFonts w:ascii="FangSong" w:hAnsi="FangSong" w:eastAsia="FangSong" w:cs="FangSong"/>
          <w:sz w:val="30"/>
          <w:szCs w:val="30"/>
          <w:spacing w:val="13"/>
        </w:rPr>
        <w:t>可以依法给予降级或者撤职的处分。</w:t>
      </w:r>
    </w:p>
    <w:p>
      <w:pPr>
        <w:ind w:left="15" w:right="116" w:firstLine="639"/>
        <w:spacing w:before="87" w:line="254" w:lineRule="auto"/>
        <w:rPr>
          <w:rFonts w:ascii="FangSong" w:hAnsi="FangSong" w:eastAsia="FangSong" w:cs="FangSong"/>
          <w:sz w:val="30"/>
          <w:szCs w:val="30"/>
        </w:rPr>
      </w:pPr>
      <w:r>
        <w:rPr>
          <w:rFonts w:ascii="FangSong" w:hAnsi="FangSong" w:eastAsia="FangSong" w:cs="FangSong"/>
          <w:sz w:val="30"/>
          <w:szCs w:val="30"/>
          <w:spacing w:val="18"/>
        </w:rPr>
        <w:t>2.</w:t>
      </w:r>
      <w:r>
        <w:rPr>
          <w:rFonts w:ascii="FangSong" w:hAnsi="FangSong" w:eastAsia="FangSong" w:cs="FangSong"/>
          <w:sz w:val="30"/>
          <w:szCs w:val="30"/>
          <w:spacing w:val="18"/>
        </w:rPr>
        <w:t xml:space="preserve"> </w:t>
      </w:r>
      <w:r>
        <w:rPr>
          <w:rFonts w:ascii="FangSong" w:hAnsi="FangSong" w:eastAsia="FangSong" w:cs="FangSong"/>
          <w:sz w:val="30"/>
          <w:szCs w:val="30"/>
          <w:spacing w:val="18"/>
        </w:rPr>
        <w:t>《中华人民共和国尘肺病防治条例》第二十三条第(八)项</w:t>
      </w:r>
      <w:r>
        <w:rPr>
          <w:rFonts w:ascii="FangSong" w:hAnsi="FangSong" w:eastAsia="FangSong" w:cs="FangSong"/>
          <w:sz w:val="30"/>
          <w:szCs w:val="30"/>
          <w:spacing w:val="18"/>
        </w:rPr>
        <w:t xml:space="preserve">  </w:t>
      </w:r>
      <w:r>
        <w:rPr>
          <w:rFonts w:ascii="FangSong" w:hAnsi="FangSong" w:eastAsia="FangSong" w:cs="FangSong"/>
          <w:sz w:val="30"/>
          <w:szCs w:val="30"/>
          <w:spacing w:val="18"/>
        </w:rPr>
        <w:t>凡违反《中华人民共和国尘肺病</w:t>
      </w:r>
      <w:r>
        <w:rPr>
          <w:rFonts w:ascii="FangSong" w:hAnsi="FangSong" w:eastAsia="FangSong" w:cs="FangSong"/>
          <w:sz w:val="30"/>
          <w:szCs w:val="30"/>
          <w:spacing w:val="17"/>
        </w:rPr>
        <w:t xml:space="preserve"> </w:t>
      </w:r>
      <w:r>
        <w:rPr>
          <w:rFonts w:ascii="FangSong" w:hAnsi="FangSong" w:eastAsia="FangSong" w:cs="FangSong"/>
          <w:sz w:val="30"/>
          <w:szCs w:val="30"/>
          <w:spacing w:val="16"/>
        </w:rPr>
        <w:t>防治条例》规定，有下列行为之一的，卫生行政部门和劳动部门，可视其情节轻重，给予警告、限期</w:t>
      </w:r>
      <w:r>
        <w:rPr>
          <w:rFonts w:ascii="FangSong" w:hAnsi="FangSong" w:eastAsia="FangSong" w:cs="FangSong"/>
          <w:sz w:val="30"/>
          <w:szCs w:val="30"/>
          <w:spacing w:val="18"/>
        </w:rPr>
        <w:t xml:space="preserve"> </w:t>
      </w:r>
      <w:r>
        <w:rPr>
          <w:rFonts w:ascii="FangSong" w:hAnsi="FangSong" w:eastAsia="FangSong" w:cs="FangSong"/>
          <w:sz w:val="30"/>
          <w:szCs w:val="30"/>
          <w:spacing w:val="17"/>
        </w:rPr>
        <w:t>治理、罚款和停业整顿的处罚。但停业整顿的处罚，需经当地人民政府同意。</w:t>
      </w:r>
    </w:p>
    <w:p>
      <w:pPr>
        <w:ind w:left="795"/>
        <w:spacing w:before="77" w:line="220" w:lineRule="auto"/>
        <w:rPr>
          <w:rFonts w:ascii="FangSong" w:hAnsi="FangSong" w:eastAsia="FangSong" w:cs="FangSong"/>
          <w:sz w:val="30"/>
          <w:szCs w:val="30"/>
        </w:rPr>
      </w:pPr>
      <w:r>
        <w:rPr>
          <w:rFonts w:ascii="FangSong" w:hAnsi="FangSong" w:eastAsia="FangSong" w:cs="FangSong"/>
          <w:sz w:val="30"/>
          <w:szCs w:val="30"/>
          <w:spacing w:val="23"/>
        </w:rPr>
        <w:t>(八)假报测尘结果或尘肺病诊断结果的；</w:t>
      </w:r>
    </w:p>
    <w:p>
      <w:pPr>
        <w:spacing w:line="220" w:lineRule="auto"/>
        <w:sectPr>
          <w:footerReference w:type="default" r:id="rId504"/>
          <w:pgSz w:w="16830" w:h="11900"/>
          <w:pgMar w:top="1011" w:right="1340" w:bottom="1107" w:left="1434" w:header="0" w:footer="774" w:gutter="0"/>
        </w:sectPr>
        <w:rPr>
          <w:rFonts w:ascii="FangSong" w:hAnsi="FangSong" w:eastAsia="FangSong" w:cs="FangSong"/>
          <w:sz w:val="30"/>
          <w:szCs w:val="30"/>
        </w:rPr>
      </w:pPr>
    </w:p>
    <w:p>
      <w:pPr>
        <w:pStyle w:val="BodyText"/>
        <w:spacing w:line="260" w:lineRule="auto"/>
        <w:rPr/>
      </w:pPr>
      <w:r/>
    </w:p>
    <w:p>
      <w:pPr>
        <w:pStyle w:val="BodyText"/>
        <w:spacing w:line="260" w:lineRule="auto"/>
        <w:rPr/>
      </w:pPr>
      <w:r/>
    </w:p>
    <w:p>
      <w:pPr>
        <w:pStyle w:val="BodyText"/>
        <w:spacing w:line="260" w:lineRule="auto"/>
        <w:rPr/>
      </w:pPr>
      <w:r/>
    </w:p>
    <w:p>
      <w:pPr>
        <w:ind w:left="35" w:firstLine="619"/>
        <w:spacing w:before="97" w:line="273" w:lineRule="auto"/>
        <w:rPr>
          <w:rFonts w:ascii="FangSong" w:hAnsi="FangSong" w:eastAsia="FangSong" w:cs="FangSong"/>
          <w:sz w:val="25"/>
          <w:szCs w:val="25"/>
        </w:rPr>
      </w:pPr>
      <w:r>
        <w:rPr>
          <w:rFonts w:ascii="FangSong" w:hAnsi="FangSong" w:eastAsia="FangSong" w:cs="FangSong"/>
          <w:sz w:val="30"/>
          <w:szCs w:val="30"/>
          <w:spacing w:val="8"/>
        </w:rPr>
        <w:t>3.</w:t>
      </w:r>
      <w:r>
        <w:rPr>
          <w:rFonts w:ascii="FangSong" w:hAnsi="FangSong" w:eastAsia="FangSong" w:cs="FangSong"/>
          <w:sz w:val="30"/>
          <w:szCs w:val="30"/>
          <w:spacing w:val="8"/>
        </w:rPr>
        <w:t xml:space="preserve"> </w:t>
      </w:r>
      <w:r>
        <w:rPr>
          <w:rFonts w:ascii="FangSong" w:hAnsi="FangSong" w:eastAsia="FangSong" w:cs="FangSong"/>
          <w:sz w:val="30"/>
          <w:szCs w:val="30"/>
          <w:spacing w:val="8"/>
        </w:rPr>
        <w:t>《工作场所职业卫生管理规定》第五十四条</w:t>
      </w:r>
      <w:r>
        <w:rPr>
          <w:rFonts w:ascii="FangSong" w:hAnsi="FangSong" w:eastAsia="FangSong" w:cs="FangSong"/>
          <w:sz w:val="30"/>
          <w:szCs w:val="30"/>
          <w:spacing w:val="8"/>
        </w:rPr>
        <w:t xml:space="preserve">  </w:t>
      </w:r>
      <w:r>
        <w:rPr>
          <w:rFonts w:ascii="FangSong" w:hAnsi="FangSong" w:eastAsia="FangSong" w:cs="FangSong"/>
          <w:sz w:val="30"/>
          <w:szCs w:val="30"/>
          <w:spacing w:val="8"/>
        </w:rPr>
        <w:t>用人</w:t>
      </w:r>
      <w:r>
        <w:rPr>
          <w:rFonts w:ascii="FangSong" w:hAnsi="FangSong" w:eastAsia="FangSong" w:cs="FangSong"/>
          <w:sz w:val="30"/>
          <w:szCs w:val="30"/>
          <w:spacing w:val="7"/>
        </w:rPr>
        <w:t>单位未按照规定报告职业病、疑似职业病的，</w:t>
      </w:r>
      <w:r>
        <w:rPr>
          <w:rFonts w:ascii="FangSong" w:hAnsi="FangSong" w:eastAsia="FangSong" w:cs="FangSong"/>
          <w:sz w:val="30"/>
          <w:szCs w:val="30"/>
        </w:rPr>
        <w:t xml:space="preserve"> </w:t>
      </w:r>
      <w:r>
        <w:rPr>
          <w:rFonts w:ascii="FangSong" w:hAnsi="FangSong" w:eastAsia="FangSong" w:cs="FangSong"/>
          <w:sz w:val="30"/>
          <w:szCs w:val="30"/>
          <w:spacing w:val="16"/>
        </w:rPr>
        <w:t>责令限期改正，给予警告，可以并处一万元以下的罚款；弄虚作假的，并处二万元以上五万元以下的</w:t>
      </w:r>
      <w:r>
        <w:rPr>
          <w:rFonts w:ascii="FangSong" w:hAnsi="FangSong" w:eastAsia="FangSong" w:cs="FangSong"/>
          <w:sz w:val="30"/>
          <w:szCs w:val="30"/>
          <w:spacing w:val="14"/>
        </w:rPr>
        <w:t xml:space="preserve"> </w:t>
      </w:r>
      <w:r>
        <w:rPr>
          <w:rFonts w:ascii="FangSong" w:hAnsi="FangSong" w:eastAsia="FangSong" w:cs="FangSong"/>
          <w:sz w:val="25"/>
          <w:szCs w:val="25"/>
          <w:spacing w:val="-14"/>
        </w:rPr>
        <w:t>罚</w:t>
      </w:r>
      <w:r>
        <w:rPr>
          <w:rFonts w:ascii="FangSong" w:hAnsi="FangSong" w:eastAsia="FangSong" w:cs="FangSong"/>
          <w:sz w:val="25"/>
          <w:szCs w:val="25"/>
          <w:spacing w:val="-27"/>
        </w:rPr>
        <w:t xml:space="preserve"> </w:t>
      </w:r>
      <w:r>
        <w:rPr>
          <w:rFonts w:ascii="FangSong" w:hAnsi="FangSong" w:eastAsia="FangSong" w:cs="FangSong"/>
          <w:sz w:val="25"/>
          <w:szCs w:val="25"/>
          <w:spacing w:val="-14"/>
        </w:rPr>
        <w:t>款</w:t>
      </w:r>
      <w:r>
        <w:rPr>
          <w:rFonts w:ascii="FangSong" w:hAnsi="FangSong" w:eastAsia="FangSong" w:cs="FangSong"/>
          <w:sz w:val="25"/>
          <w:szCs w:val="25"/>
          <w:spacing w:val="-44"/>
        </w:rPr>
        <w:t xml:space="preserve"> </w:t>
      </w:r>
      <w:r>
        <w:rPr>
          <w:rFonts w:ascii="FangSong" w:hAnsi="FangSong" w:eastAsia="FangSong" w:cs="FangSong"/>
          <w:sz w:val="25"/>
          <w:szCs w:val="25"/>
          <w:spacing w:val="-14"/>
        </w:rPr>
        <w:t>。</w:t>
      </w:r>
    </w:p>
    <w:p>
      <w:pPr>
        <w:ind w:left="35" w:right="89" w:firstLine="619"/>
        <w:spacing w:before="74" w:line="254" w:lineRule="auto"/>
        <w:rPr>
          <w:rFonts w:ascii="FangSong" w:hAnsi="FangSong" w:eastAsia="FangSong" w:cs="FangSong"/>
          <w:sz w:val="30"/>
          <w:szCs w:val="30"/>
        </w:rPr>
      </w:pPr>
      <w:r>
        <w:rPr>
          <w:rFonts w:ascii="FangSong" w:hAnsi="FangSong" w:eastAsia="FangSong" w:cs="FangSong"/>
          <w:sz w:val="30"/>
          <w:szCs w:val="30"/>
          <w:spacing w:val="13"/>
        </w:rPr>
        <w:t>4.</w:t>
      </w:r>
      <w:r>
        <w:rPr>
          <w:rFonts w:ascii="FangSong" w:hAnsi="FangSong" w:eastAsia="FangSong" w:cs="FangSong"/>
          <w:sz w:val="30"/>
          <w:szCs w:val="30"/>
          <w:spacing w:val="13"/>
        </w:rPr>
        <w:t xml:space="preserve"> </w:t>
      </w:r>
      <w:r>
        <w:rPr>
          <w:rFonts w:ascii="FangSong" w:hAnsi="FangSong" w:eastAsia="FangSong" w:cs="FangSong"/>
          <w:sz w:val="30"/>
          <w:szCs w:val="30"/>
          <w:spacing w:val="13"/>
        </w:rPr>
        <w:t>《用人单位职业健康监护监督管理办</w:t>
      </w:r>
      <w:r>
        <w:rPr>
          <w:rFonts w:ascii="FangSong" w:hAnsi="FangSong" w:eastAsia="FangSong" w:cs="FangSong"/>
          <w:sz w:val="30"/>
          <w:szCs w:val="30"/>
          <w:spacing w:val="12"/>
        </w:rPr>
        <w:t>法》第三十条</w:t>
      </w:r>
      <w:r>
        <w:rPr>
          <w:rFonts w:ascii="FangSong" w:hAnsi="FangSong" w:eastAsia="FangSong" w:cs="FangSong"/>
          <w:sz w:val="30"/>
          <w:szCs w:val="30"/>
          <w:spacing w:val="12"/>
        </w:rPr>
        <w:t xml:space="preserve">  </w:t>
      </w:r>
      <w:r>
        <w:rPr>
          <w:rFonts w:ascii="FangSong" w:hAnsi="FangSong" w:eastAsia="FangSong" w:cs="FangSong"/>
          <w:sz w:val="30"/>
          <w:szCs w:val="30"/>
          <w:spacing w:val="12"/>
        </w:rPr>
        <w:t>用人单位违反《用人单位职业健康监护监</w:t>
      </w:r>
      <w:r>
        <w:rPr>
          <w:rFonts w:ascii="FangSong" w:hAnsi="FangSong" w:eastAsia="FangSong" w:cs="FangSong"/>
          <w:sz w:val="30"/>
          <w:szCs w:val="30"/>
        </w:rPr>
        <w:t xml:space="preserve"> </w:t>
      </w:r>
      <w:r>
        <w:rPr>
          <w:rFonts w:ascii="FangSong" w:hAnsi="FangSong" w:eastAsia="FangSong" w:cs="FangSong"/>
          <w:sz w:val="30"/>
          <w:szCs w:val="30"/>
          <w:spacing w:val="16"/>
        </w:rPr>
        <w:t>督管理办法》规定，未报告职业病、疑似职业病的，由安全生产监督管理部门责令限期改正，给予警</w:t>
      </w:r>
      <w:r>
        <w:rPr>
          <w:rFonts w:ascii="FangSong" w:hAnsi="FangSong" w:eastAsia="FangSong" w:cs="FangSong"/>
          <w:sz w:val="30"/>
          <w:szCs w:val="30"/>
          <w:spacing w:val="4"/>
        </w:rPr>
        <w:t xml:space="preserve"> </w:t>
      </w:r>
      <w:r>
        <w:rPr>
          <w:rFonts w:ascii="FangSong" w:hAnsi="FangSong" w:eastAsia="FangSong" w:cs="FangSong"/>
          <w:sz w:val="30"/>
          <w:szCs w:val="30"/>
          <w:spacing w:val="30"/>
        </w:rPr>
        <w:t>告，可以并处1万元以下的罚款；弄虚作假的，并处2万元以上5万元以下的罚款。</w:t>
      </w:r>
    </w:p>
    <w:p>
      <w:pPr>
        <w:ind w:left="35" w:right="189" w:firstLine="619"/>
        <w:spacing w:before="72" w:line="246" w:lineRule="auto"/>
        <w:rPr>
          <w:rFonts w:ascii="FangSong" w:hAnsi="FangSong" w:eastAsia="FangSong" w:cs="FangSong"/>
          <w:sz w:val="30"/>
          <w:szCs w:val="30"/>
        </w:rPr>
      </w:pPr>
      <w:r>
        <w:rPr>
          <w:rFonts w:ascii="FangSong" w:hAnsi="FangSong" w:eastAsia="FangSong" w:cs="FangSong"/>
          <w:sz w:val="30"/>
          <w:szCs w:val="30"/>
          <w:spacing w:val="18"/>
        </w:rPr>
        <w:t>5、《职业健康检查管理办法》第二十六条</w:t>
      </w:r>
      <w:r>
        <w:rPr>
          <w:rFonts w:ascii="FangSong" w:hAnsi="FangSong" w:eastAsia="FangSong" w:cs="FangSong"/>
          <w:sz w:val="30"/>
          <w:szCs w:val="30"/>
          <w:spacing w:val="18"/>
        </w:rPr>
        <w:t xml:space="preserve">  </w:t>
      </w:r>
      <w:r>
        <w:rPr>
          <w:rFonts w:ascii="FangSong" w:hAnsi="FangSong" w:eastAsia="FangSong" w:cs="FangSong"/>
          <w:sz w:val="30"/>
          <w:szCs w:val="30"/>
          <w:spacing w:val="18"/>
        </w:rPr>
        <w:t>职业健康检查机</w:t>
      </w:r>
      <w:r>
        <w:rPr>
          <w:rFonts w:ascii="FangSong" w:hAnsi="FangSong" w:eastAsia="FangSong" w:cs="FangSong"/>
          <w:sz w:val="30"/>
          <w:szCs w:val="30"/>
          <w:spacing w:val="17"/>
        </w:rPr>
        <w:t>构未按照规定报告疑似职业病的，</w:t>
      </w:r>
      <w:r>
        <w:rPr>
          <w:rFonts w:ascii="FangSong" w:hAnsi="FangSong" w:eastAsia="FangSong" w:cs="FangSong"/>
          <w:sz w:val="30"/>
          <w:szCs w:val="30"/>
        </w:rPr>
        <w:t xml:space="preserve"> </w:t>
      </w:r>
      <w:r>
        <w:rPr>
          <w:rFonts w:ascii="FangSong" w:hAnsi="FangSong" w:eastAsia="FangSong" w:cs="FangSong"/>
          <w:sz w:val="30"/>
          <w:szCs w:val="30"/>
          <w:spacing w:val="18"/>
        </w:rPr>
        <w:t>由县级以上地方卫生健康主管部门依据《职业病防治法》第七十四条的规定</w:t>
      </w:r>
      <w:r>
        <w:rPr>
          <w:rFonts w:ascii="FangSong" w:hAnsi="FangSong" w:eastAsia="FangSong" w:cs="FangSong"/>
          <w:sz w:val="30"/>
          <w:szCs w:val="30"/>
          <w:spacing w:val="17"/>
        </w:rPr>
        <w:t>进行处理。</w:t>
      </w:r>
    </w:p>
    <w:p>
      <w:pPr>
        <w:ind w:left="35" w:right="101" w:firstLine="619"/>
        <w:spacing w:before="80" w:line="246" w:lineRule="auto"/>
        <w:rPr>
          <w:rFonts w:ascii="FangSong" w:hAnsi="FangSong" w:eastAsia="FangSong" w:cs="FangSong"/>
          <w:sz w:val="30"/>
          <w:szCs w:val="30"/>
        </w:rPr>
      </w:pPr>
      <w:r>
        <w:rPr>
          <w:rFonts w:ascii="FangSong" w:hAnsi="FangSong" w:eastAsia="FangSong" w:cs="FangSong"/>
          <w:sz w:val="30"/>
          <w:szCs w:val="30"/>
          <w:spacing w:val="16"/>
        </w:rPr>
        <w:t>6、《职业病诊断与鉴定管理办法》第六十一条</w:t>
      </w:r>
      <w:r>
        <w:rPr>
          <w:rFonts w:ascii="FangSong" w:hAnsi="FangSong" w:eastAsia="FangSong" w:cs="FangSong"/>
          <w:sz w:val="30"/>
          <w:szCs w:val="30"/>
          <w:spacing w:val="16"/>
        </w:rPr>
        <w:t xml:space="preserve">   </w:t>
      </w:r>
      <w:r>
        <w:rPr>
          <w:rFonts w:ascii="FangSong" w:hAnsi="FangSong" w:eastAsia="FangSong" w:cs="FangSong"/>
          <w:sz w:val="30"/>
          <w:szCs w:val="30"/>
          <w:spacing w:val="16"/>
        </w:rPr>
        <w:t>用人单位未按照规定报告职业</w:t>
      </w:r>
      <w:r>
        <w:rPr>
          <w:rFonts w:ascii="FangSong" w:hAnsi="FangSong" w:eastAsia="FangSong" w:cs="FangSong"/>
          <w:sz w:val="30"/>
          <w:szCs w:val="30"/>
          <w:spacing w:val="15"/>
        </w:rPr>
        <w:t>病、疑似职业病</w:t>
      </w:r>
      <w:r>
        <w:rPr>
          <w:rFonts w:ascii="FangSong" w:hAnsi="FangSong" w:eastAsia="FangSong" w:cs="FangSong"/>
          <w:sz w:val="30"/>
          <w:szCs w:val="30"/>
        </w:rPr>
        <w:t xml:space="preserve"> </w:t>
      </w:r>
      <w:r>
        <w:rPr>
          <w:rFonts w:ascii="FangSong" w:hAnsi="FangSong" w:eastAsia="FangSong" w:cs="FangSong"/>
          <w:sz w:val="30"/>
          <w:szCs w:val="30"/>
          <w:spacing w:val="18"/>
        </w:rPr>
        <w:t>的，由县级以上地方卫生健康主管部门按照《职业病防治法》第七十四条规定进行</w:t>
      </w:r>
      <w:r>
        <w:rPr>
          <w:rFonts w:ascii="FangSong" w:hAnsi="FangSong" w:eastAsia="FangSong" w:cs="FangSong"/>
          <w:sz w:val="30"/>
          <w:szCs w:val="30"/>
          <w:spacing w:val="17"/>
        </w:rPr>
        <w:t>处理。</w:t>
      </w:r>
    </w:p>
    <w:p>
      <w:pPr>
        <w:ind w:left="35" w:right="189" w:firstLine="619"/>
        <w:spacing w:before="91" w:line="249" w:lineRule="auto"/>
        <w:rPr>
          <w:rFonts w:ascii="FangSong" w:hAnsi="FangSong" w:eastAsia="FangSong" w:cs="FangSong"/>
          <w:sz w:val="30"/>
          <w:szCs w:val="30"/>
        </w:rPr>
      </w:pPr>
      <w:r>
        <w:rPr>
          <w:rFonts w:ascii="FangSong" w:hAnsi="FangSong" w:eastAsia="FangSong" w:cs="FangSong"/>
          <w:sz w:val="30"/>
          <w:szCs w:val="30"/>
          <w:spacing w:val="20"/>
        </w:rPr>
        <w:t>7、《职业病诊断与鉴定管理办法》第五十六条</w:t>
      </w:r>
      <w:r>
        <w:rPr>
          <w:rFonts w:ascii="FangSong" w:hAnsi="FangSong" w:eastAsia="FangSong" w:cs="FangSong"/>
          <w:sz w:val="30"/>
          <w:szCs w:val="30"/>
          <w:spacing w:val="108"/>
        </w:rPr>
        <w:t xml:space="preserve"> </w:t>
      </w:r>
      <w:r>
        <w:rPr>
          <w:rFonts w:ascii="FangSong" w:hAnsi="FangSong" w:eastAsia="FangSong" w:cs="FangSong"/>
          <w:sz w:val="30"/>
          <w:szCs w:val="30"/>
          <w:spacing w:val="20"/>
        </w:rPr>
        <w:t>职</w:t>
      </w:r>
      <w:r>
        <w:rPr>
          <w:rFonts w:ascii="FangSong" w:hAnsi="FangSong" w:eastAsia="FangSong" w:cs="FangSong"/>
          <w:sz w:val="30"/>
          <w:szCs w:val="30"/>
          <w:spacing w:val="19"/>
        </w:rPr>
        <w:t>业病诊断机构未按照规定报告职业病、疑似</w:t>
      </w:r>
      <w:r>
        <w:rPr>
          <w:rFonts w:ascii="FangSong" w:hAnsi="FangSong" w:eastAsia="FangSong" w:cs="FangSong"/>
          <w:sz w:val="30"/>
          <w:szCs w:val="30"/>
        </w:rPr>
        <w:t xml:space="preserve"> </w:t>
      </w:r>
      <w:r>
        <w:rPr>
          <w:rFonts w:ascii="FangSong" w:hAnsi="FangSong" w:eastAsia="FangSong" w:cs="FangSong"/>
          <w:sz w:val="30"/>
          <w:szCs w:val="30"/>
          <w:spacing w:val="18"/>
        </w:rPr>
        <w:t>职业病的，由县级以上地方卫生健康主管部门按照《职业病防治法》第七十四条的规定进行处理。</w:t>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6439"/>
        <w:spacing w:before="95"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164"/>
        <w:gridCol w:w="5301"/>
      </w:tblGrid>
      <w:tr>
        <w:trPr>
          <w:trHeight w:val="461" w:hRule="atLeast"/>
        </w:trPr>
        <w:tc>
          <w:tcPr>
            <w:tcW w:w="1444" w:type="dxa"/>
            <w:vAlign w:val="top"/>
          </w:tcPr>
          <w:p>
            <w:pPr>
              <w:pStyle w:val="TableText"/>
              <w:ind w:left="198"/>
              <w:spacing w:before="102" w:line="220" w:lineRule="auto"/>
              <w:rPr>
                <w:sz w:val="26"/>
                <w:szCs w:val="26"/>
              </w:rPr>
            </w:pPr>
            <w:r>
              <w:rPr>
                <w:sz w:val="26"/>
                <w:szCs w:val="26"/>
                <w:b/>
                <w:bCs/>
                <w:spacing w:val="-5"/>
              </w:rPr>
              <w:t>违法程度</w:t>
            </w:r>
          </w:p>
        </w:tc>
        <w:tc>
          <w:tcPr>
            <w:tcW w:w="7164" w:type="dxa"/>
            <w:vAlign w:val="top"/>
          </w:tcPr>
          <w:p>
            <w:pPr>
              <w:pStyle w:val="TableText"/>
              <w:ind w:left="3054"/>
              <w:spacing w:before="102" w:line="220" w:lineRule="auto"/>
              <w:rPr>
                <w:sz w:val="26"/>
                <w:szCs w:val="26"/>
              </w:rPr>
            </w:pPr>
            <w:r>
              <w:rPr>
                <w:sz w:val="26"/>
                <w:szCs w:val="26"/>
                <w:b/>
                <w:bCs/>
                <w:spacing w:val="-5"/>
              </w:rPr>
              <w:t>情节后果</w:t>
            </w:r>
          </w:p>
        </w:tc>
        <w:tc>
          <w:tcPr>
            <w:tcW w:w="5301" w:type="dxa"/>
            <w:vAlign w:val="top"/>
          </w:tcPr>
          <w:p>
            <w:pPr>
              <w:pStyle w:val="TableText"/>
              <w:ind w:left="2130"/>
              <w:spacing w:before="99" w:line="218" w:lineRule="auto"/>
              <w:rPr>
                <w:sz w:val="26"/>
                <w:szCs w:val="26"/>
              </w:rPr>
            </w:pPr>
            <w:r>
              <w:rPr>
                <w:sz w:val="26"/>
                <w:szCs w:val="26"/>
                <w:b/>
                <w:bCs/>
                <w:spacing w:val="-5"/>
              </w:rPr>
              <w:t>裁量幅度</w:t>
            </w:r>
          </w:p>
        </w:tc>
      </w:tr>
      <w:tr>
        <w:trPr>
          <w:trHeight w:val="689" w:hRule="atLeast"/>
        </w:trPr>
        <w:tc>
          <w:tcPr>
            <w:tcW w:w="1444" w:type="dxa"/>
            <w:vAlign w:val="top"/>
          </w:tcPr>
          <w:p>
            <w:pPr>
              <w:pStyle w:val="TableText"/>
              <w:ind w:left="458"/>
              <w:spacing w:before="311" w:line="219" w:lineRule="auto"/>
              <w:rPr>
                <w:sz w:val="26"/>
                <w:szCs w:val="26"/>
              </w:rPr>
            </w:pPr>
            <w:r>
              <w:rPr>
                <w:sz w:val="26"/>
                <w:szCs w:val="26"/>
                <w:b/>
                <w:bCs/>
                <w:spacing w:val="-6"/>
              </w:rPr>
              <w:t>轻微</w:t>
            </w:r>
          </w:p>
        </w:tc>
        <w:tc>
          <w:tcPr>
            <w:tcW w:w="7164" w:type="dxa"/>
            <w:vAlign w:val="top"/>
          </w:tcPr>
          <w:p>
            <w:pPr>
              <w:pStyle w:val="TableText"/>
              <w:ind w:left="124" w:right="1" w:hanging="110"/>
              <w:spacing w:before="79" w:line="213" w:lineRule="auto"/>
              <w:rPr>
                <w:sz w:val="26"/>
                <w:szCs w:val="26"/>
              </w:rPr>
            </w:pPr>
            <w:r>
              <w:rPr>
                <w:sz w:val="26"/>
                <w:szCs w:val="26"/>
                <w:b/>
                <w:bCs/>
                <w:spacing w:val="-3"/>
              </w:rPr>
              <w:t>用人单位和医疗卫生机构未按照规定报告3以下例</w:t>
            </w:r>
            <w:r>
              <w:rPr>
                <w:sz w:val="26"/>
                <w:szCs w:val="26"/>
                <w:b/>
                <w:bCs/>
                <w:spacing w:val="-4"/>
              </w:rPr>
              <w:t>职业病或疑似</w:t>
            </w:r>
            <w:r>
              <w:rPr>
                <w:sz w:val="26"/>
                <w:szCs w:val="26"/>
              </w:rPr>
              <w:t xml:space="preserve"> </w:t>
            </w:r>
            <w:r>
              <w:rPr>
                <w:sz w:val="26"/>
                <w:szCs w:val="26"/>
                <w:b/>
                <w:bCs/>
              </w:rPr>
              <w:t>职业病的</w:t>
            </w:r>
          </w:p>
        </w:tc>
        <w:tc>
          <w:tcPr>
            <w:tcW w:w="5301" w:type="dxa"/>
            <w:vAlign w:val="top"/>
          </w:tcPr>
          <w:p>
            <w:pPr>
              <w:pStyle w:val="TableText"/>
              <w:spacing w:before="68" w:line="218" w:lineRule="auto"/>
              <w:jc w:val="right"/>
              <w:rPr>
                <w:sz w:val="26"/>
                <w:szCs w:val="26"/>
              </w:rPr>
            </w:pPr>
            <w:r>
              <w:rPr>
                <w:sz w:val="26"/>
                <w:szCs w:val="26"/>
                <w:b/>
                <w:bCs/>
                <w:spacing w:val="-12"/>
              </w:rPr>
              <w:t>责令限期改正，给予警告，可以并处五千元以下</w:t>
            </w:r>
          </w:p>
          <w:p>
            <w:pPr>
              <w:pStyle w:val="TableText"/>
              <w:ind w:left="110"/>
              <w:spacing w:before="37" w:line="189" w:lineRule="auto"/>
              <w:rPr>
                <w:sz w:val="26"/>
                <w:szCs w:val="26"/>
              </w:rPr>
            </w:pPr>
            <w:r>
              <w:rPr>
                <w:sz w:val="26"/>
                <w:szCs w:val="26"/>
                <w:b/>
                <w:bCs/>
                <w:color w:val="504050"/>
                <w:spacing w:val="-1"/>
              </w:rPr>
              <w:t>罚款</w:t>
            </w:r>
          </w:p>
        </w:tc>
      </w:tr>
    </w:tbl>
    <w:p>
      <w:pPr>
        <w:pStyle w:val="BodyText"/>
        <w:rPr/>
      </w:pPr>
      <w:r/>
    </w:p>
    <w:p>
      <w:pPr>
        <w:sectPr>
          <w:footerReference w:type="default" r:id="rId505"/>
          <w:pgSz w:w="16830" w:h="11900"/>
          <w:pgMar w:top="1011" w:right="1360" w:bottom="1123" w:left="1414" w:header="0" w:footer="808" w:gutter="0"/>
        </w:sectPr>
        <w:rPr/>
      </w:pPr>
    </w:p>
    <w:p>
      <w:pPr>
        <w:spacing w:before="13"/>
        <w:rPr/>
      </w:pPr>
      <w:r/>
    </w:p>
    <w:p>
      <w:pPr>
        <w:spacing w:before="13"/>
        <w:rPr/>
      </w:pPr>
      <w:r/>
    </w:p>
    <w:p>
      <w:pPr>
        <w:spacing w:before="13"/>
        <w:rPr/>
      </w:pPr>
      <w:r/>
    </w:p>
    <w:tbl>
      <w:tblPr>
        <w:tblStyle w:val="TableNormal"/>
        <w:tblW w:w="138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3"/>
        <w:gridCol w:w="7155"/>
        <w:gridCol w:w="5311"/>
      </w:tblGrid>
      <w:tr>
        <w:trPr>
          <w:trHeight w:val="722" w:hRule="atLeast"/>
        </w:trPr>
        <w:tc>
          <w:tcPr>
            <w:tcW w:w="1423" w:type="dxa"/>
            <w:vAlign w:val="top"/>
          </w:tcPr>
          <w:p>
            <w:pPr>
              <w:pStyle w:val="TableText"/>
              <w:ind w:left="468"/>
              <w:spacing w:before="292" w:line="221" w:lineRule="auto"/>
              <w:rPr/>
            </w:pPr>
            <w:bookmarkStart w:name="bookmark1138" w:id="513"/>
            <w:bookmarkEnd w:id="513"/>
            <w:r>
              <w:rPr>
                <w:b/>
                <w:bCs/>
                <w:spacing w:val="-10"/>
              </w:rPr>
              <w:t>一般</w:t>
            </w:r>
          </w:p>
        </w:tc>
        <w:tc>
          <w:tcPr>
            <w:tcW w:w="7155" w:type="dxa"/>
            <w:vAlign w:val="top"/>
          </w:tcPr>
          <w:p>
            <w:pPr>
              <w:pStyle w:val="TableText"/>
              <w:ind w:left="111" w:right="169" w:firstLine="10"/>
              <w:spacing w:before="93" w:line="238" w:lineRule="auto"/>
              <w:rPr/>
            </w:pPr>
            <w:r>
              <w:rPr/>
              <w:t>用人单位和医疗卫生机构未按照规定报告4例以上职业病或疑似职</w:t>
            </w:r>
            <w:r>
              <w:rPr>
                <w:spacing w:val="12"/>
              </w:rPr>
              <w:t xml:space="preserve"> </w:t>
            </w:r>
            <w:r>
              <w:rPr>
                <w:spacing w:val="6"/>
              </w:rPr>
              <w:t>业病的</w:t>
            </w:r>
          </w:p>
        </w:tc>
        <w:tc>
          <w:tcPr>
            <w:tcW w:w="5311" w:type="dxa"/>
            <w:vAlign w:val="top"/>
          </w:tcPr>
          <w:p>
            <w:pPr>
              <w:pStyle w:val="TableText"/>
              <w:ind w:left="136" w:right="119" w:hanging="9"/>
              <w:spacing w:before="93" w:line="238" w:lineRule="auto"/>
              <w:rPr/>
            </w:pPr>
            <w:r>
              <w:rPr/>
              <w:t>责令限期改正，给予警告，并处五千元以上一万</w:t>
            </w:r>
            <w:r>
              <w:rPr>
                <w:spacing w:val="13"/>
              </w:rPr>
              <w:t xml:space="preserve"> </w:t>
            </w:r>
            <w:r>
              <w:rPr>
                <w:spacing w:val="1"/>
              </w:rPr>
              <w:t>元以下的罚款</w:t>
            </w:r>
          </w:p>
        </w:tc>
      </w:tr>
      <w:tr>
        <w:trPr>
          <w:trHeight w:val="657" w:hRule="atLeast"/>
        </w:trPr>
        <w:tc>
          <w:tcPr>
            <w:tcW w:w="1423" w:type="dxa"/>
            <w:vAlign w:val="top"/>
          </w:tcPr>
          <w:p>
            <w:pPr>
              <w:pStyle w:val="TableText"/>
              <w:ind w:left="468"/>
              <w:spacing w:before="272" w:line="221" w:lineRule="auto"/>
              <w:rPr/>
            </w:pPr>
            <w:r>
              <w:rPr>
                <w:b/>
                <w:bCs/>
                <w:spacing w:val="-5"/>
              </w:rPr>
              <w:t>较重</w:t>
            </w:r>
          </w:p>
        </w:tc>
        <w:tc>
          <w:tcPr>
            <w:tcW w:w="7155" w:type="dxa"/>
            <w:vAlign w:val="top"/>
          </w:tcPr>
          <w:p>
            <w:pPr>
              <w:pStyle w:val="TableText"/>
              <w:ind w:left="111" w:right="49" w:firstLine="10"/>
              <w:spacing w:before="62" w:line="225" w:lineRule="auto"/>
              <w:rPr/>
            </w:pPr>
            <w:r>
              <w:rPr/>
              <w:t>用人单位和医疗卫生机构未按规定报告职业病、疑似职业病，弄虚</w:t>
            </w:r>
            <w:r>
              <w:rPr>
                <w:spacing w:val="12"/>
              </w:rPr>
              <w:t xml:space="preserve"> </w:t>
            </w:r>
            <w:r>
              <w:rPr>
                <w:spacing w:val="6"/>
              </w:rPr>
              <w:t>作假的</w:t>
            </w:r>
          </w:p>
        </w:tc>
        <w:tc>
          <w:tcPr>
            <w:tcW w:w="5311" w:type="dxa"/>
            <w:vAlign w:val="top"/>
          </w:tcPr>
          <w:p>
            <w:pPr>
              <w:pStyle w:val="TableText"/>
              <w:ind w:left="136" w:right="119" w:hanging="9"/>
              <w:spacing w:before="62" w:line="225" w:lineRule="auto"/>
              <w:rPr/>
            </w:pPr>
            <w:r>
              <w:rPr/>
              <w:t>责令限期改正，给予警告，并处二万元以上四万</w:t>
            </w:r>
            <w:r>
              <w:rPr>
                <w:spacing w:val="13"/>
              </w:rPr>
              <w:t xml:space="preserve"> </w:t>
            </w:r>
            <w:r>
              <w:rPr>
                <w:spacing w:val="1"/>
              </w:rPr>
              <w:t>元以下的罚款</w:t>
            </w:r>
          </w:p>
        </w:tc>
      </w:tr>
      <w:tr>
        <w:trPr>
          <w:trHeight w:val="891" w:hRule="atLeast"/>
        </w:trPr>
        <w:tc>
          <w:tcPr>
            <w:tcW w:w="1423" w:type="dxa"/>
            <w:vAlign w:val="top"/>
          </w:tcPr>
          <w:p>
            <w:pPr>
              <w:spacing w:line="323" w:lineRule="auto"/>
              <w:rPr>
                <w:rFonts w:ascii="Arial"/>
                <w:sz w:val="21"/>
              </w:rPr>
            </w:pPr>
            <w:r/>
          </w:p>
          <w:p>
            <w:pPr>
              <w:pStyle w:val="TableText"/>
              <w:ind w:left="468"/>
              <w:spacing w:before="78" w:line="220" w:lineRule="auto"/>
              <w:rPr/>
            </w:pPr>
            <w:r>
              <w:rPr>
                <w:b/>
                <w:bCs/>
                <w:spacing w:val="-6"/>
              </w:rPr>
              <w:t>严重</w:t>
            </w:r>
          </w:p>
        </w:tc>
        <w:tc>
          <w:tcPr>
            <w:tcW w:w="7155" w:type="dxa"/>
            <w:vAlign w:val="top"/>
          </w:tcPr>
          <w:p>
            <w:pPr>
              <w:pStyle w:val="TableText"/>
              <w:ind w:left="111" w:right="51" w:firstLine="10"/>
              <w:spacing w:before="173" w:line="272" w:lineRule="auto"/>
              <w:rPr/>
            </w:pPr>
            <w:r>
              <w:rPr/>
              <w:t>用人单位和医疗卫生机构未按照规定报告职业病、疑似职业病，弄</w:t>
            </w:r>
            <w:r>
              <w:rPr>
                <w:spacing w:val="10"/>
              </w:rPr>
              <w:t xml:space="preserve"> </w:t>
            </w:r>
            <w:r>
              <w:rPr>
                <w:spacing w:val="1"/>
              </w:rPr>
              <w:t>虚作假，造成严重后果的</w:t>
            </w:r>
          </w:p>
        </w:tc>
        <w:tc>
          <w:tcPr>
            <w:tcW w:w="5311" w:type="dxa"/>
            <w:vAlign w:val="top"/>
          </w:tcPr>
          <w:p>
            <w:pPr>
              <w:pStyle w:val="TableText"/>
              <w:ind w:left="136" w:right="119" w:hanging="9"/>
              <w:spacing w:before="184" w:line="268" w:lineRule="auto"/>
              <w:rPr/>
            </w:pPr>
            <w:r>
              <w:rPr/>
              <w:t>责令限期改正，给予警告，并处四万元以上五万</w:t>
            </w:r>
            <w:r>
              <w:rPr>
                <w:spacing w:val="13"/>
              </w:rPr>
              <w:t xml:space="preserve"> </w:t>
            </w:r>
            <w:r>
              <w:rPr>
                <w:spacing w:val="2"/>
              </w:rPr>
              <w:t>元以下罚款</w:t>
            </w:r>
          </w:p>
        </w:tc>
      </w:tr>
    </w:tbl>
    <w:p>
      <w:pPr>
        <w:pStyle w:val="BodyText"/>
        <w:spacing w:line="452" w:lineRule="auto"/>
        <w:rPr/>
      </w:pPr>
      <w:r/>
    </w:p>
    <w:p>
      <w:pPr>
        <w:ind w:left="645" w:right="2678" w:firstLine="4"/>
        <w:spacing w:before="100" w:line="251" w:lineRule="auto"/>
        <w:rPr>
          <w:rFonts w:ascii="FangSong" w:hAnsi="FangSong" w:eastAsia="FangSong" w:cs="FangSong"/>
          <w:sz w:val="31"/>
          <w:szCs w:val="31"/>
        </w:rPr>
      </w:pPr>
      <w:r>
        <w:rPr>
          <w:rFonts w:ascii="FangSong" w:hAnsi="FangSong" w:eastAsia="FangSong" w:cs="FangSong"/>
          <w:sz w:val="31"/>
          <w:szCs w:val="31"/>
          <w:b/>
          <w:bCs/>
          <w:spacing w:val="11"/>
        </w:rPr>
        <w:t>第四百七十四条隐瞒技术、工艺、设备、材料所产生的职业病危害而采用的</w:t>
      </w:r>
      <w:r>
        <w:rPr>
          <w:rFonts w:ascii="FangSong" w:hAnsi="FangSong" w:eastAsia="FangSong" w:cs="FangSong"/>
          <w:sz w:val="31"/>
          <w:szCs w:val="31"/>
          <w:spacing w:val="9"/>
        </w:rPr>
        <w:t xml:space="preserve"> </w:t>
      </w:r>
      <w:r>
        <w:rPr>
          <w:rFonts w:ascii="FangSong" w:hAnsi="FangSong" w:eastAsia="FangSong" w:cs="FangSong"/>
          <w:sz w:val="31"/>
          <w:szCs w:val="31"/>
          <w:spacing w:val="-6"/>
        </w:rPr>
        <w:t>法律依据：</w:t>
      </w:r>
    </w:p>
    <w:p>
      <w:pPr>
        <w:ind w:left="5" w:firstLine="640"/>
        <w:spacing w:before="43" w:line="262" w:lineRule="auto"/>
        <w:jc w:val="both"/>
        <w:rPr>
          <w:rFonts w:ascii="FangSong" w:hAnsi="FangSong" w:eastAsia="FangSong" w:cs="FangSong"/>
          <w:sz w:val="31"/>
          <w:szCs w:val="31"/>
        </w:rPr>
      </w:pPr>
      <w:r>
        <w:rPr>
          <w:rFonts w:ascii="FangSong" w:hAnsi="FangSong" w:eastAsia="FangSong" w:cs="FangSong"/>
          <w:sz w:val="31"/>
          <w:szCs w:val="31"/>
          <w:spacing w:val="9"/>
        </w:rPr>
        <w:t>1.</w:t>
      </w:r>
      <w:r>
        <w:rPr>
          <w:rFonts w:ascii="FangSong" w:hAnsi="FangSong" w:eastAsia="FangSong" w:cs="FangSong"/>
          <w:sz w:val="31"/>
          <w:szCs w:val="31"/>
          <w:spacing w:val="9"/>
        </w:rPr>
        <w:t xml:space="preserve"> </w:t>
      </w:r>
      <w:r>
        <w:rPr>
          <w:rFonts w:ascii="FangSong" w:hAnsi="FangSong" w:eastAsia="FangSong" w:cs="FangSong"/>
          <w:sz w:val="31"/>
          <w:szCs w:val="31"/>
          <w:spacing w:val="9"/>
        </w:rPr>
        <w:t>《中华人民共和国职业病防治法》第七十五条第(一)项</w:t>
      </w:r>
      <w:r>
        <w:rPr>
          <w:rFonts w:ascii="FangSong" w:hAnsi="FangSong" w:eastAsia="FangSong" w:cs="FangSong"/>
          <w:sz w:val="31"/>
          <w:szCs w:val="31"/>
          <w:spacing w:val="9"/>
        </w:rPr>
        <w:t xml:space="preserve">  </w:t>
      </w:r>
      <w:r>
        <w:rPr>
          <w:rFonts w:ascii="FangSong" w:hAnsi="FangSong" w:eastAsia="FangSong" w:cs="FangSong"/>
          <w:sz w:val="31"/>
          <w:szCs w:val="31"/>
          <w:spacing w:val="9"/>
        </w:rPr>
        <w:t>违反《中华人民共和国职业病防治</w:t>
      </w:r>
      <w:r>
        <w:rPr>
          <w:rFonts w:ascii="FangSong" w:hAnsi="FangSong" w:eastAsia="FangSong" w:cs="FangSong"/>
          <w:sz w:val="31"/>
          <w:szCs w:val="31"/>
          <w:spacing w:val="9"/>
        </w:rPr>
        <w:t xml:space="preserve"> </w:t>
      </w:r>
      <w:r>
        <w:rPr>
          <w:rFonts w:ascii="FangSong" w:hAnsi="FangSong" w:eastAsia="FangSong" w:cs="FangSong"/>
          <w:sz w:val="31"/>
          <w:szCs w:val="31"/>
          <w:spacing w:val="2"/>
        </w:rPr>
        <w:t>法》规定，有下列情形之一的，由卫生行政部门责令限期治理，并处五万元以上三十万</w:t>
      </w:r>
      <w:r>
        <w:rPr>
          <w:rFonts w:ascii="FangSong" w:hAnsi="FangSong" w:eastAsia="FangSong" w:cs="FangSong"/>
          <w:sz w:val="31"/>
          <w:szCs w:val="31"/>
          <w:spacing w:val="1"/>
        </w:rPr>
        <w:t>元以下的罚款；</w:t>
      </w:r>
      <w:r>
        <w:rPr>
          <w:rFonts w:ascii="FangSong" w:hAnsi="FangSong" w:eastAsia="FangSong" w:cs="FangSong"/>
          <w:sz w:val="31"/>
          <w:szCs w:val="31"/>
        </w:rPr>
        <w:t xml:space="preserve"> </w:t>
      </w:r>
      <w:r>
        <w:rPr>
          <w:rFonts w:ascii="FangSong" w:hAnsi="FangSong" w:eastAsia="FangSong" w:cs="FangSong"/>
          <w:sz w:val="31"/>
          <w:szCs w:val="31"/>
          <w:spacing w:val="7"/>
        </w:rPr>
        <w:t>情节严重的，责令停止产生职业病危害的作</w:t>
      </w:r>
      <w:r>
        <w:rPr>
          <w:rFonts w:ascii="FangSong" w:hAnsi="FangSong" w:eastAsia="FangSong" w:cs="FangSong"/>
          <w:sz w:val="31"/>
          <w:szCs w:val="31"/>
          <w:spacing w:val="6"/>
        </w:rPr>
        <w:t>业，或者提请有关人民政府按照国务院规定的权限责令关</w:t>
      </w:r>
      <w:r>
        <w:rPr>
          <w:rFonts w:ascii="FangSong" w:hAnsi="FangSong" w:eastAsia="FangSong" w:cs="FangSong"/>
          <w:sz w:val="31"/>
          <w:szCs w:val="31"/>
        </w:rPr>
        <w:t xml:space="preserve"> </w:t>
      </w:r>
      <w:r>
        <w:rPr>
          <w:rFonts w:ascii="FangSong" w:hAnsi="FangSong" w:eastAsia="FangSong" w:cs="FangSong"/>
          <w:sz w:val="31"/>
          <w:szCs w:val="31"/>
          <w:spacing w:val="-17"/>
        </w:rPr>
        <w:t>闭：</w:t>
      </w:r>
    </w:p>
    <w:p>
      <w:pPr>
        <w:ind w:left="774"/>
        <w:spacing w:line="220" w:lineRule="auto"/>
        <w:rPr>
          <w:rFonts w:ascii="FangSong" w:hAnsi="FangSong" w:eastAsia="FangSong" w:cs="FangSong"/>
          <w:sz w:val="31"/>
          <w:szCs w:val="31"/>
        </w:rPr>
      </w:pPr>
      <w:r>
        <w:rPr>
          <w:rFonts w:ascii="FangSong" w:hAnsi="FangSong" w:eastAsia="FangSong" w:cs="FangSong"/>
          <w:sz w:val="31"/>
          <w:szCs w:val="31"/>
          <w:spacing w:val="14"/>
        </w:rPr>
        <w:t>(一)隐瞒技术、工艺、设备、材料所产生的职业病危</w:t>
      </w:r>
      <w:r>
        <w:rPr>
          <w:rFonts w:ascii="FangSong" w:hAnsi="FangSong" w:eastAsia="FangSong" w:cs="FangSong"/>
          <w:sz w:val="31"/>
          <w:szCs w:val="31"/>
          <w:spacing w:val="13"/>
        </w:rPr>
        <w:t>害而采用的；</w:t>
      </w:r>
    </w:p>
    <w:p>
      <w:pPr>
        <w:ind w:left="5" w:right="29" w:firstLine="640"/>
        <w:spacing w:before="80" w:line="256" w:lineRule="auto"/>
        <w:jc w:val="both"/>
        <w:rPr>
          <w:rFonts w:ascii="FangSong" w:hAnsi="FangSong" w:eastAsia="FangSong" w:cs="FangSong"/>
          <w:sz w:val="31"/>
          <w:szCs w:val="31"/>
        </w:rPr>
      </w:pPr>
      <w:r>
        <w:rPr>
          <w:rFonts w:ascii="FangSong" w:hAnsi="FangSong" w:eastAsia="FangSong" w:cs="FangSong"/>
          <w:sz w:val="31"/>
          <w:szCs w:val="31"/>
          <w:spacing w:val="10"/>
        </w:rPr>
        <w:t>2.</w:t>
      </w:r>
      <w:r>
        <w:rPr>
          <w:rFonts w:ascii="FangSong" w:hAnsi="FangSong" w:eastAsia="FangSong" w:cs="FangSong"/>
          <w:sz w:val="31"/>
          <w:szCs w:val="31"/>
          <w:spacing w:val="10"/>
        </w:rPr>
        <w:t xml:space="preserve"> </w:t>
      </w:r>
      <w:r>
        <w:rPr>
          <w:rFonts w:ascii="FangSong" w:hAnsi="FangSong" w:eastAsia="FangSong" w:cs="FangSong"/>
          <w:sz w:val="31"/>
          <w:szCs w:val="31"/>
          <w:spacing w:val="10"/>
        </w:rPr>
        <w:t>《工作场所职业卫生管理规定》第五十一条第(一)项</w:t>
      </w:r>
      <w:r>
        <w:rPr>
          <w:rFonts w:ascii="FangSong" w:hAnsi="FangSong" w:eastAsia="FangSong" w:cs="FangSong"/>
          <w:sz w:val="31"/>
          <w:szCs w:val="31"/>
          <w:spacing w:val="10"/>
        </w:rPr>
        <w:t xml:space="preserve">  </w:t>
      </w:r>
      <w:r>
        <w:rPr>
          <w:rFonts w:ascii="FangSong" w:hAnsi="FangSong" w:eastAsia="FangSong" w:cs="FangSong"/>
          <w:sz w:val="31"/>
          <w:szCs w:val="31"/>
          <w:spacing w:val="10"/>
        </w:rPr>
        <w:t>用人单位有下列</w:t>
      </w:r>
      <w:r>
        <w:rPr>
          <w:rFonts w:ascii="FangSong" w:hAnsi="FangSong" w:eastAsia="FangSong" w:cs="FangSong"/>
          <w:sz w:val="31"/>
          <w:szCs w:val="31"/>
          <w:spacing w:val="9"/>
        </w:rPr>
        <w:t>情形之一的，依法责</w:t>
      </w:r>
      <w:r>
        <w:rPr>
          <w:rFonts w:ascii="FangSong" w:hAnsi="FangSong" w:eastAsia="FangSong" w:cs="FangSong"/>
          <w:sz w:val="31"/>
          <w:szCs w:val="31"/>
        </w:rPr>
        <w:t xml:space="preserve"> </w:t>
      </w:r>
      <w:r>
        <w:rPr>
          <w:rFonts w:ascii="FangSong" w:hAnsi="FangSong" w:eastAsia="FangSong" w:cs="FangSong"/>
          <w:sz w:val="31"/>
          <w:szCs w:val="31"/>
          <w:spacing w:val="8"/>
        </w:rPr>
        <w:t>令限期改正，并处五万元以上三十万元以下的罚款；情节严重的，责令停止产生职业病危害的作业，</w:t>
      </w:r>
      <w:r>
        <w:rPr>
          <w:rFonts w:ascii="FangSong" w:hAnsi="FangSong" w:eastAsia="FangSong" w:cs="FangSong"/>
          <w:sz w:val="31"/>
          <w:szCs w:val="31"/>
          <w:spacing w:val="12"/>
        </w:rPr>
        <w:t xml:space="preserve"> </w:t>
      </w:r>
      <w:r>
        <w:rPr>
          <w:rFonts w:ascii="FangSong" w:hAnsi="FangSong" w:eastAsia="FangSong" w:cs="FangSong"/>
          <w:sz w:val="31"/>
          <w:szCs w:val="31"/>
          <w:spacing w:val="6"/>
        </w:rPr>
        <w:t>或者提请有关人民政府按照国务院规定的权限责令关闭：</w:t>
      </w:r>
    </w:p>
    <w:p>
      <w:pPr>
        <w:ind w:left="795"/>
        <w:spacing w:before="30" w:line="220" w:lineRule="auto"/>
        <w:rPr>
          <w:rFonts w:ascii="FangSong" w:hAnsi="FangSong" w:eastAsia="FangSong" w:cs="FangSong"/>
          <w:sz w:val="31"/>
          <w:szCs w:val="31"/>
        </w:rPr>
      </w:pPr>
      <w:r>
        <w:rPr>
          <w:rFonts w:ascii="FangSong" w:hAnsi="FangSong" w:eastAsia="FangSong" w:cs="FangSong"/>
          <w:sz w:val="31"/>
          <w:szCs w:val="31"/>
          <w:spacing w:val="13"/>
        </w:rPr>
        <w:t>(一)隐瞒技术、工艺、设备、材料所产生的职业病危害而采用的；</w:t>
      </w:r>
    </w:p>
    <w:p>
      <w:pPr>
        <w:ind w:left="6419"/>
        <w:spacing w:before="189" w:line="221" w:lineRule="auto"/>
        <w:rPr>
          <w:rFonts w:ascii="SimHei" w:hAnsi="SimHei" w:eastAsia="SimHei" w:cs="SimHei"/>
          <w:sz w:val="31"/>
          <w:szCs w:val="31"/>
        </w:rPr>
      </w:pPr>
      <w:r>
        <w:rPr>
          <w:rFonts w:ascii="SimHei" w:hAnsi="SimHei" w:eastAsia="SimHei" w:cs="SimHei"/>
          <w:sz w:val="31"/>
          <w:szCs w:val="31"/>
          <w:b/>
          <w:bCs/>
          <w:spacing w:val="-25"/>
        </w:rPr>
        <w:t>裁量标准</w:t>
      </w:r>
    </w:p>
    <w:p>
      <w:pPr>
        <w:spacing w:line="221" w:lineRule="auto"/>
        <w:sectPr>
          <w:footerReference w:type="default" r:id="rId506"/>
          <w:pgSz w:w="16830" w:h="11900"/>
          <w:pgMar w:top="1011" w:right="1355" w:bottom="1108" w:left="1434" w:header="0" w:footer="775" w:gutter="0"/>
        </w:sectPr>
        <w:rPr>
          <w:rFonts w:ascii="SimHei" w:hAnsi="SimHei" w:eastAsia="SimHei" w:cs="SimHei"/>
          <w:sz w:val="31"/>
          <w:szCs w:val="31"/>
        </w:rPr>
      </w:pPr>
    </w:p>
    <w:p>
      <w:pPr>
        <w:spacing w:before="17"/>
        <w:rPr/>
      </w:pPr>
      <w:r/>
    </w:p>
    <w:p>
      <w:pPr>
        <w:spacing w:before="16"/>
        <w:rPr/>
      </w:pPr>
      <w:r/>
    </w:p>
    <w:p>
      <w:pPr>
        <w:spacing w:before="16"/>
        <w:rPr/>
      </w:pPr>
      <w:r/>
    </w:p>
    <w:tbl>
      <w:tblPr>
        <w:tblStyle w:val="TableNormal"/>
        <w:tblW w:w="137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3"/>
        <w:gridCol w:w="8064"/>
        <w:gridCol w:w="4232"/>
      </w:tblGrid>
      <w:tr>
        <w:trPr>
          <w:trHeight w:val="563" w:hRule="atLeast"/>
        </w:trPr>
        <w:tc>
          <w:tcPr>
            <w:tcW w:w="1423" w:type="dxa"/>
            <w:vAlign w:val="top"/>
          </w:tcPr>
          <w:p>
            <w:pPr>
              <w:pStyle w:val="TableText"/>
              <w:ind w:left="208"/>
              <w:spacing w:before="162" w:line="220" w:lineRule="auto"/>
              <w:rPr>
                <w:sz w:val="25"/>
                <w:szCs w:val="25"/>
              </w:rPr>
            </w:pPr>
            <w:bookmarkStart w:name="bookmark1139" w:id="514"/>
            <w:bookmarkEnd w:id="514"/>
            <w:r>
              <w:rPr>
                <w:sz w:val="25"/>
                <w:szCs w:val="25"/>
                <w:b/>
                <w:bCs/>
                <w:spacing w:val="-5"/>
              </w:rPr>
              <w:t>违法程度</w:t>
            </w:r>
          </w:p>
        </w:tc>
        <w:tc>
          <w:tcPr>
            <w:tcW w:w="8064" w:type="dxa"/>
            <w:vAlign w:val="top"/>
          </w:tcPr>
          <w:p>
            <w:pPr>
              <w:pStyle w:val="TableText"/>
              <w:ind w:left="3525"/>
              <w:spacing w:before="162" w:line="220" w:lineRule="auto"/>
              <w:rPr>
                <w:sz w:val="25"/>
                <w:szCs w:val="25"/>
              </w:rPr>
            </w:pPr>
            <w:r>
              <w:rPr>
                <w:sz w:val="25"/>
                <w:szCs w:val="25"/>
                <w:b/>
                <w:bCs/>
                <w:spacing w:val="-5"/>
              </w:rPr>
              <w:t>情节后果</w:t>
            </w:r>
          </w:p>
        </w:tc>
        <w:tc>
          <w:tcPr>
            <w:tcW w:w="4232" w:type="dxa"/>
            <w:vAlign w:val="top"/>
          </w:tcPr>
          <w:p>
            <w:pPr>
              <w:pStyle w:val="TableText"/>
              <w:ind w:left="1551"/>
              <w:spacing w:before="159" w:line="218" w:lineRule="auto"/>
              <w:rPr>
                <w:sz w:val="25"/>
                <w:szCs w:val="25"/>
              </w:rPr>
            </w:pPr>
            <w:r>
              <w:rPr>
                <w:sz w:val="25"/>
                <w:szCs w:val="25"/>
                <w:b/>
                <w:bCs/>
                <w:spacing w:val="-5"/>
              </w:rPr>
              <w:t>裁量幅度</w:t>
            </w:r>
          </w:p>
        </w:tc>
      </w:tr>
      <w:tr>
        <w:trPr>
          <w:trHeight w:val="568" w:hRule="atLeast"/>
        </w:trPr>
        <w:tc>
          <w:tcPr>
            <w:tcW w:w="1423" w:type="dxa"/>
            <w:vAlign w:val="top"/>
          </w:tcPr>
          <w:p>
            <w:pPr>
              <w:pStyle w:val="TableText"/>
              <w:ind w:left="458"/>
              <w:spacing w:before="238" w:line="219" w:lineRule="auto"/>
              <w:rPr>
                <w:sz w:val="25"/>
                <w:szCs w:val="25"/>
              </w:rPr>
            </w:pPr>
            <w:r>
              <w:rPr>
                <w:sz w:val="25"/>
                <w:szCs w:val="25"/>
                <w:b/>
                <w:bCs/>
                <w:spacing w:val="-6"/>
              </w:rPr>
              <w:t>轻微</w:t>
            </w:r>
          </w:p>
        </w:tc>
        <w:tc>
          <w:tcPr>
            <w:tcW w:w="8064" w:type="dxa"/>
            <w:vAlign w:val="top"/>
          </w:tcPr>
          <w:p>
            <w:pPr>
              <w:pStyle w:val="TableText"/>
              <w:ind w:left="81"/>
              <w:spacing w:before="160" w:line="219" w:lineRule="auto"/>
              <w:rPr>
                <w:sz w:val="25"/>
                <w:szCs w:val="25"/>
              </w:rPr>
            </w:pPr>
            <w:r>
              <w:rPr>
                <w:sz w:val="25"/>
                <w:szCs w:val="25"/>
                <w:spacing w:val="1"/>
              </w:rPr>
              <w:t>用人单位隐瞒1处技术、工艺、设备、材料所产生的</w:t>
            </w:r>
            <w:r>
              <w:rPr>
                <w:sz w:val="25"/>
                <w:szCs w:val="25"/>
              </w:rPr>
              <w:t>职业病危害而采用的</w:t>
            </w:r>
          </w:p>
        </w:tc>
        <w:tc>
          <w:tcPr>
            <w:tcW w:w="4232" w:type="dxa"/>
            <w:vAlign w:val="top"/>
          </w:tcPr>
          <w:p>
            <w:pPr>
              <w:pStyle w:val="TableText"/>
              <w:ind w:left="128"/>
              <w:spacing w:before="163" w:line="220" w:lineRule="auto"/>
              <w:rPr>
                <w:sz w:val="25"/>
                <w:szCs w:val="25"/>
              </w:rPr>
            </w:pPr>
            <w:r>
              <w:rPr>
                <w:sz w:val="25"/>
                <w:szCs w:val="25"/>
              </w:rPr>
              <w:t>处五万元以上十万元以下的罚款</w:t>
            </w:r>
          </w:p>
        </w:tc>
      </w:tr>
      <w:tr>
        <w:trPr>
          <w:trHeight w:val="548" w:hRule="atLeast"/>
        </w:trPr>
        <w:tc>
          <w:tcPr>
            <w:tcW w:w="1423" w:type="dxa"/>
            <w:vAlign w:val="top"/>
          </w:tcPr>
          <w:p>
            <w:pPr>
              <w:pStyle w:val="TableText"/>
              <w:ind w:left="458"/>
              <w:spacing w:before="152" w:line="221" w:lineRule="auto"/>
              <w:rPr>
                <w:sz w:val="25"/>
                <w:szCs w:val="25"/>
              </w:rPr>
            </w:pPr>
            <w:r>
              <w:rPr>
                <w:sz w:val="25"/>
                <w:szCs w:val="25"/>
                <w:b/>
                <w:bCs/>
                <w:spacing w:val="-10"/>
              </w:rPr>
              <w:t>一般</w:t>
            </w:r>
          </w:p>
        </w:tc>
        <w:tc>
          <w:tcPr>
            <w:tcW w:w="8064" w:type="dxa"/>
            <w:vAlign w:val="top"/>
          </w:tcPr>
          <w:p>
            <w:pPr>
              <w:pStyle w:val="TableText"/>
              <w:ind w:left="81"/>
              <w:spacing w:before="152" w:line="219" w:lineRule="auto"/>
              <w:rPr>
                <w:sz w:val="25"/>
                <w:szCs w:val="25"/>
              </w:rPr>
            </w:pPr>
            <w:r>
              <w:rPr>
                <w:sz w:val="25"/>
                <w:szCs w:val="25"/>
                <w:spacing w:val="1"/>
              </w:rPr>
              <w:t>用人单位隐瞒2处技术、工艺、设备、材料所产生的</w:t>
            </w:r>
            <w:r>
              <w:rPr>
                <w:sz w:val="25"/>
                <w:szCs w:val="25"/>
              </w:rPr>
              <w:t>职业病危害而采用的</w:t>
            </w:r>
          </w:p>
        </w:tc>
        <w:tc>
          <w:tcPr>
            <w:tcW w:w="4232" w:type="dxa"/>
            <w:vAlign w:val="top"/>
          </w:tcPr>
          <w:p>
            <w:pPr>
              <w:pStyle w:val="TableText"/>
              <w:ind w:left="128"/>
              <w:spacing w:before="155" w:line="220" w:lineRule="auto"/>
              <w:rPr>
                <w:sz w:val="25"/>
                <w:szCs w:val="25"/>
              </w:rPr>
            </w:pPr>
            <w:r>
              <w:rPr>
                <w:sz w:val="25"/>
                <w:szCs w:val="25"/>
              </w:rPr>
              <w:t>处十万元以上二十万元以下的罚款</w:t>
            </w:r>
          </w:p>
        </w:tc>
      </w:tr>
      <w:tr>
        <w:trPr>
          <w:trHeight w:val="419" w:hRule="atLeast"/>
        </w:trPr>
        <w:tc>
          <w:tcPr>
            <w:tcW w:w="1423" w:type="dxa"/>
            <w:vAlign w:val="top"/>
          </w:tcPr>
          <w:p>
            <w:pPr>
              <w:pStyle w:val="TableText"/>
              <w:ind w:left="458"/>
              <w:spacing w:before="96" w:line="221" w:lineRule="auto"/>
              <w:rPr>
                <w:sz w:val="25"/>
                <w:szCs w:val="25"/>
              </w:rPr>
            </w:pPr>
            <w:r>
              <w:rPr>
                <w:sz w:val="25"/>
                <w:szCs w:val="25"/>
                <w:b/>
                <w:bCs/>
                <w:spacing w:val="-6"/>
              </w:rPr>
              <w:t>较重</w:t>
            </w:r>
          </w:p>
        </w:tc>
        <w:tc>
          <w:tcPr>
            <w:tcW w:w="8064" w:type="dxa"/>
            <w:vAlign w:val="top"/>
          </w:tcPr>
          <w:p>
            <w:pPr>
              <w:pStyle w:val="TableText"/>
              <w:ind w:left="81"/>
              <w:spacing w:before="94" w:line="219" w:lineRule="auto"/>
              <w:rPr>
                <w:sz w:val="25"/>
                <w:szCs w:val="25"/>
              </w:rPr>
            </w:pPr>
            <w:r>
              <w:rPr>
                <w:sz w:val="25"/>
                <w:szCs w:val="25"/>
                <w:spacing w:val="1"/>
              </w:rPr>
              <w:t>用人单位隐瞒3处技术、工艺、设备、材料所产生的</w:t>
            </w:r>
            <w:r>
              <w:rPr>
                <w:sz w:val="25"/>
                <w:szCs w:val="25"/>
              </w:rPr>
              <w:t>职业病危害而采用的</w:t>
            </w:r>
          </w:p>
        </w:tc>
        <w:tc>
          <w:tcPr>
            <w:tcW w:w="4232" w:type="dxa"/>
            <w:vAlign w:val="top"/>
          </w:tcPr>
          <w:p>
            <w:pPr>
              <w:pStyle w:val="TableText"/>
              <w:ind w:left="128"/>
              <w:spacing w:before="97" w:line="220" w:lineRule="auto"/>
              <w:rPr>
                <w:sz w:val="25"/>
                <w:szCs w:val="25"/>
              </w:rPr>
            </w:pPr>
            <w:r>
              <w:rPr>
                <w:sz w:val="25"/>
                <w:szCs w:val="25"/>
              </w:rPr>
              <w:t>二十万元以上三十万元以下的罚款</w:t>
            </w:r>
          </w:p>
        </w:tc>
      </w:tr>
      <w:tr>
        <w:trPr>
          <w:trHeight w:val="1122" w:hRule="atLeast"/>
        </w:trPr>
        <w:tc>
          <w:tcPr>
            <w:tcW w:w="1423" w:type="dxa"/>
            <w:vAlign w:val="top"/>
          </w:tcPr>
          <w:p>
            <w:pPr>
              <w:spacing w:line="440"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8064" w:type="dxa"/>
            <w:vAlign w:val="top"/>
          </w:tcPr>
          <w:p>
            <w:pPr>
              <w:pStyle w:val="TableText"/>
              <w:ind w:left="81"/>
              <w:spacing w:before="295" w:line="219" w:lineRule="auto"/>
              <w:rPr>
                <w:sz w:val="25"/>
                <w:szCs w:val="25"/>
              </w:rPr>
            </w:pPr>
            <w:r>
              <w:rPr>
                <w:sz w:val="25"/>
                <w:szCs w:val="25"/>
              </w:rPr>
              <w:t>用人单位隐瞒4处以上技术、工艺、设备、材料所产生的职业病危害而采</w:t>
            </w:r>
          </w:p>
          <w:p>
            <w:pPr>
              <w:pStyle w:val="TableText"/>
              <w:ind w:left="102"/>
              <w:spacing w:before="56" w:line="221" w:lineRule="auto"/>
              <w:rPr>
                <w:sz w:val="25"/>
                <w:szCs w:val="25"/>
              </w:rPr>
            </w:pPr>
            <w:r>
              <w:rPr>
                <w:sz w:val="25"/>
                <w:szCs w:val="25"/>
                <w:color w:val="505050"/>
                <w:spacing w:val="9"/>
              </w:rPr>
              <w:t>用的</w:t>
            </w:r>
          </w:p>
        </w:tc>
        <w:tc>
          <w:tcPr>
            <w:tcW w:w="4232" w:type="dxa"/>
            <w:vAlign w:val="top"/>
          </w:tcPr>
          <w:p>
            <w:pPr>
              <w:pStyle w:val="TableText"/>
              <w:ind w:left="128"/>
              <w:spacing w:before="124" w:line="243" w:lineRule="auto"/>
              <w:jc w:val="both"/>
              <w:rPr>
                <w:sz w:val="25"/>
                <w:szCs w:val="25"/>
              </w:rPr>
            </w:pPr>
            <w:r>
              <w:rPr>
                <w:sz w:val="25"/>
                <w:szCs w:val="25"/>
                <w:spacing w:val="-10"/>
              </w:rPr>
              <w:t>责令停止产生职业病危害的作业，或者</w:t>
            </w:r>
            <w:r>
              <w:rPr>
                <w:sz w:val="25"/>
                <w:szCs w:val="25"/>
                <w:spacing w:val="12"/>
              </w:rPr>
              <w:t xml:space="preserve"> </w:t>
            </w:r>
            <w:r>
              <w:rPr>
                <w:sz w:val="25"/>
                <w:szCs w:val="25"/>
              </w:rPr>
              <w:t>提请有关人民政府按照国务院规定的</w:t>
            </w:r>
            <w:r>
              <w:rPr>
                <w:sz w:val="25"/>
                <w:szCs w:val="25"/>
                <w:spacing w:val="11"/>
              </w:rPr>
              <w:t xml:space="preserve"> </w:t>
            </w:r>
            <w:r>
              <w:rPr>
                <w:sz w:val="25"/>
                <w:szCs w:val="25"/>
                <w:spacing w:val="3"/>
              </w:rPr>
              <w:t>权限责令关闭</w:t>
            </w:r>
          </w:p>
        </w:tc>
      </w:tr>
    </w:tbl>
    <w:p>
      <w:pPr>
        <w:pStyle w:val="BodyText"/>
        <w:spacing w:line="453" w:lineRule="auto"/>
        <w:rPr/>
      </w:pPr>
      <w:r/>
    </w:p>
    <w:p>
      <w:pPr>
        <w:ind w:left="659"/>
        <w:spacing w:before="101" w:line="220" w:lineRule="auto"/>
        <w:rPr>
          <w:rFonts w:ascii="FangSong" w:hAnsi="FangSong" w:eastAsia="FangSong" w:cs="FangSong"/>
          <w:sz w:val="31"/>
          <w:szCs w:val="31"/>
        </w:rPr>
      </w:pPr>
      <w:r>
        <w:rPr>
          <w:rFonts w:ascii="FangSong" w:hAnsi="FangSong" w:eastAsia="FangSong" w:cs="FangSong"/>
          <w:sz w:val="31"/>
          <w:szCs w:val="31"/>
          <w:b/>
          <w:bCs/>
          <w:spacing w:val="14"/>
        </w:rPr>
        <w:t>第四百七十五条隐瞒本单位职业卫生真实情</w:t>
      </w:r>
      <w:r>
        <w:rPr>
          <w:rFonts w:ascii="FangSong" w:hAnsi="FangSong" w:eastAsia="FangSong" w:cs="FangSong"/>
          <w:sz w:val="31"/>
          <w:szCs w:val="31"/>
          <w:b/>
          <w:bCs/>
          <w:spacing w:val="13"/>
        </w:rPr>
        <w:t>况的</w:t>
      </w:r>
    </w:p>
    <w:p>
      <w:pPr>
        <w:ind w:left="654"/>
        <w:spacing w:before="117"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14" w:firstLine="640"/>
        <w:spacing w:before="57" w:line="256" w:lineRule="auto"/>
        <w:jc w:val="both"/>
        <w:rPr>
          <w:rFonts w:ascii="FangSong" w:hAnsi="FangSong" w:eastAsia="FangSong" w:cs="FangSong"/>
          <w:sz w:val="31"/>
          <w:szCs w:val="31"/>
        </w:rPr>
      </w:pPr>
      <w:r>
        <w:rPr>
          <w:rFonts w:ascii="FangSong" w:hAnsi="FangSong" w:eastAsia="FangSong" w:cs="FangSong"/>
          <w:sz w:val="31"/>
          <w:szCs w:val="31"/>
          <w:spacing w:val="9"/>
        </w:rPr>
        <w:t>1.</w:t>
      </w:r>
      <w:r>
        <w:rPr>
          <w:rFonts w:ascii="FangSong" w:hAnsi="FangSong" w:eastAsia="FangSong" w:cs="FangSong"/>
          <w:sz w:val="31"/>
          <w:szCs w:val="31"/>
          <w:spacing w:val="9"/>
        </w:rPr>
        <w:t xml:space="preserve"> </w:t>
      </w:r>
      <w:r>
        <w:rPr>
          <w:rFonts w:ascii="FangSong" w:hAnsi="FangSong" w:eastAsia="FangSong" w:cs="FangSong"/>
          <w:sz w:val="31"/>
          <w:szCs w:val="31"/>
          <w:spacing w:val="9"/>
        </w:rPr>
        <w:t>《中华人民共和国职业病防治法》第七十五条第(二)项</w:t>
      </w:r>
      <w:r>
        <w:rPr>
          <w:rFonts w:ascii="FangSong" w:hAnsi="FangSong" w:eastAsia="FangSong" w:cs="FangSong"/>
          <w:sz w:val="31"/>
          <w:szCs w:val="31"/>
          <w:spacing w:val="9"/>
        </w:rPr>
        <w:t xml:space="preserve">  </w:t>
      </w:r>
      <w:r>
        <w:rPr>
          <w:rFonts w:ascii="FangSong" w:hAnsi="FangSong" w:eastAsia="FangSong" w:cs="FangSong"/>
          <w:sz w:val="31"/>
          <w:szCs w:val="31"/>
          <w:spacing w:val="9"/>
        </w:rPr>
        <w:t>违反《中华人民共和国职业病防治</w:t>
      </w:r>
      <w:r>
        <w:rPr>
          <w:rFonts w:ascii="FangSong" w:hAnsi="FangSong" w:eastAsia="FangSong" w:cs="FangSong"/>
          <w:sz w:val="31"/>
          <w:szCs w:val="31"/>
          <w:spacing w:val="9"/>
        </w:rPr>
        <w:t xml:space="preserve"> </w:t>
      </w:r>
      <w:r>
        <w:rPr>
          <w:rFonts w:ascii="FangSong" w:hAnsi="FangSong" w:eastAsia="FangSong" w:cs="FangSong"/>
          <w:sz w:val="31"/>
          <w:szCs w:val="31"/>
          <w:spacing w:val="2"/>
        </w:rPr>
        <w:t>法》规定，有下列情形之一的，由卫生行政部门责令限期治理，并处五万元以上三十万</w:t>
      </w:r>
      <w:r>
        <w:rPr>
          <w:rFonts w:ascii="FangSong" w:hAnsi="FangSong" w:eastAsia="FangSong" w:cs="FangSong"/>
          <w:sz w:val="31"/>
          <w:szCs w:val="31"/>
          <w:spacing w:val="1"/>
        </w:rPr>
        <w:t>元以下的罚款；</w:t>
      </w:r>
      <w:r>
        <w:rPr>
          <w:rFonts w:ascii="FangSong" w:hAnsi="FangSong" w:eastAsia="FangSong" w:cs="FangSong"/>
          <w:sz w:val="31"/>
          <w:szCs w:val="31"/>
        </w:rPr>
        <w:t xml:space="preserve"> </w:t>
      </w:r>
      <w:r>
        <w:rPr>
          <w:rFonts w:ascii="FangSong" w:hAnsi="FangSong" w:eastAsia="FangSong" w:cs="FangSong"/>
          <w:sz w:val="31"/>
          <w:szCs w:val="31"/>
          <w:spacing w:val="7"/>
        </w:rPr>
        <w:t>情节严重的，责令停止产生职业病危害的作</w:t>
      </w:r>
      <w:r>
        <w:rPr>
          <w:rFonts w:ascii="FangSong" w:hAnsi="FangSong" w:eastAsia="FangSong" w:cs="FangSong"/>
          <w:sz w:val="31"/>
          <w:szCs w:val="31"/>
          <w:spacing w:val="6"/>
        </w:rPr>
        <w:t>业，或者提请有关人民政府按照国务院规定的权限责令关</w:t>
      </w:r>
      <w:r>
        <w:rPr>
          <w:rFonts w:ascii="FangSong" w:hAnsi="FangSong" w:eastAsia="FangSong" w:cs="FangSong"/>
          <w:sz w:val="31"/>
          <w:szCs w:val="31"/>
        </w:rPr>
        <w:t xml:space="preserve"> </w:t>
      </w:r>
      <w:r>
        <w:rPr>
          <w:rFonts w:ascii="FangSong" w:hAnsi="FangSong" w:eastAsia="FangSong" w:cs="FangSong"/>
          <w:sz w:val="31"/>
          <w:szCs w:val="31"/>
          <w:spacing w:val="-19"/>
        </w:rPr>
        <w:t>闭：</w:t>
      </w:r>
    </w:p>
    <w:p>
      <w:pPr>
        <w:ind w:left="784"/>
        <w:spacing w:before="46" w:line="221" w:lineRule="auto"/>
        <w:rPr>
          <w:rFonts w:ascii="FangSong" w:hAnsi="FangSong" w:eastAsia="FangSong" w:cs="FangSong"/>
          <w:sz w:val="31"/>
          <w:szCs w:val="31"/>
        </w:rPr>
      </w:pPr>
      <w:r>
        <w:rPr>
          <w:rFonts w:ascii="FangSong" w:hAnsi="FangSong" w:eastAsia="FangSong" w:cs="FangSong"/>
          <w:sz w:val="31"/>
          <w:szCs w:val="31"/>
          <w:spacing w:val="14"/>
        </w:rPr>
        <w:t>(二)隐瞒本单位职业卫生真实情况的；</w:t>
      </w:r>
    </w:p>
    <w:p>
      <w:pPr>
        <w:ind w:left="14" w:right="29" w:firstLine="640"/>
        <w:spacing w:before="78" w:line="256" w:lineRule="auto"/>
        <w:jc w:val="both"/>
        <w:rPr>
          <w:rFonts w:ascii="FangSong" w:hAnsi="FangSong" w:eastAsia="FangSong" w:cs="FangSong"/>
          <w:sz w:val="31"/>
          <w:szCs w:val="31"/>
        </w:rPr>
      </w:pPr>
      <w:r>
        <w:rPr>
          <w:rFonts w:ascii="FangSong" w:hAnsi="FangSong" w:eastAsia="FangSong" w:cs="FangSong"/>
          <w:sz w:val="31"/>
          <w:szCs w:val="31"/>
          <w:spacing w:val="10"/>
        </w:rPr>
        <w:t>2.</w:t>
      </w:r>
      <w:r>
        <w:rPr>
          <w:rFonts w:ascii="FangSong" w:hAnsi="FangSong" w:eastAsia="FangSong" w:cs="FangSong"/>
          <w:sz w:val="31"/>
          <w:szCs w:val="31"/>
          <w:spacing w:val="10"/>
        </w:rPr>
        <w:t xml:space="preserve"> </w:t>
      </w:r>
      <w:r>
        <w:rPr>
          <w:rFonts w:ascii="FangSong" w:hAnsi="FangSong" w:eastAsia="FangSong" w:cs="FangSong"/>
          <w:sz w:val="31"/>
          <w:szCs w:val="31"/>
          <w:spacing w:val="10"/>
        </w:rPr>
        <w:t>《工作场所职业卫生管理规定》第五十一条第(二)项</w:t>
      </w:r>
      <w:r>
        <w:rPr>
          <w:rFonts w:ascii="FangSong" w:hAnsi="FangSong" w:eastAsia="FangSong" w:cs="FangSong"/>
          <w:sz w:val="31"/>
          <w:szCs w:val="31"/>
          <w:spacing w:val="10"/>
        </w:rPr>
        <w:t xml:space="preserve">  </w:t>
      </w:r>
      <w:r>
        <w:rPr>
          <w:rFonts w:ascii="FangSong" w:hAnsi="FangSong" w:eastAsia="FangSong" w:cs="FangSong"/>
          <w:sz w:val="31"/>
          <w:szCs w:val="31"/>
          <w:spacing w:val="10"/>
        </w:rPr>
        <w:t>用人单位有下列</w:t>
      </w:r>
      <w:r>
        <w:rPr>
          <w:rFonts w:ascii="FangSong" w:hAnsi="FangSong" w:eastAsia="FangSong" w:cs="FangSong"/>
          <w:sz w:val="31"/>
          <w:szCs w:val="31"/>
          <w:spacing w:val="9"/>
        </w:rPr>
        <w:t>情形之一的，依法责</w:t>
      </w:r>
      <w:r>
        <w:rPr>
          <w:rFonts w:ascii="FangSong" w:hAnsi="FangSong" w:eastAsia="FangSong" w:cs="FangSong"/>
          <w:sz w:val="31"/>
          <w:szCs w:val="31"/>
        </w:rPr>
        <w:t xml:space="preserve"> </w:t>
      </w:r>
      <w:r>
        <w:rPr>
          <w:rFonts w:ascii="FangSong" w:hAnsi="FangSong" w:eastAsia="FangSong" w:cs="FangSong"/>
          <w:sz w:val="31"/>
          <w:szCs w:val="31"/>
          <w:spacing w:val="8"/>
        </w:rPr>
        <w:t>令限期改正，并处五万元以上三十万元以下的罚款；情节严重的，责令停止产生职业病危害的作业，</w:t>
      </w:r>
      <w:r>
        <w:rPr>
          <w:rFonts w:ascii="FangSong" w:hAnsi="FangSong" w:eastAsia="FangSong" w:cs="FangSong"/>
          <w:sz w:val="31"/>
          <w:szCs w:val="31"/>
          <w:spacing w:val="12"/>
        </w:rPr>
        <w:t xml:space="preserve"> </w:t>
      </w:r>
      <w:r>
        <w:rPr>
          <w:rFonts w:ascii="FangSong" w:hAnsi="FangSong" w:eastAsia="FangSong" w:cs="FangSong"/>
          <w:sz w:val="31"/>
          <w:szCs w:val="31"/>
          <w:spacing w:val="6"/>
        </w:rPr>
        <w:t>或者提请有关人民政府按照国务院规定的权限责令关闭：</w:t>
      </w:r>
    </w:p>
    <w:p>
      <w:pPr>
        <w:spacing w:line="256" w:lineRule="auto"/>
        <w:sectPr>
          <w:footerReference w:type="default" r:id="rId507"/>
          <w:pgSz w:w="16830" w:h="11900"/>
          <w:pgMar w:top="1011" w:right="1355" w:bottom="1086" w:left="1425" w:header="0" w:footer="806"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5" w:lineRule="auto"/>
        <w:rPr/>
      </w:pPr>
      <w:r/>
    </w:p>
    <w:p>
      <w:pPr>
        <w:ind w:left="815"/>
        <w:spacing w:before="97" w:line="221" w:lineRule="auto"/>
        <w:rPr>
          <w:rFonts w:ascii="FangSong" w:hAnsi="FangSong" w:eastAsia="FangSong" w:cs="FangSong"/>
          <w:sz w:val="30"/>
          <w:szCs w:val="30"/>
        </w:rPr>
      </w:pPr>
      <w:r>
        <w:rPr>
          <w:rFonts w:ascii="FangSong" w:hAnsi="FangSong" w:eastAsia="FangSong" w:cs="FangSong"/>
          <w:sz w:val="30"/>
          <w:szCs w:val="30"/>
          <w:spacing w:val="24"/>
        </w:rPr>
        <w:t>(二)隐瞒本单位职业卫生真实情况的。</w:t>
      </w:r>
    </w:p>
    <w:p>
      <w:pPr>
        <w:ind w:left="6439"/>
        <w:spacing w:before="221"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1" w:lineRule="auto"/>
        <w:rPr>
          <w:rFonts w:ascii="Arial"/>
          <w:sz w:val="2"/>
        </w:rPr>
      </w:pPr>
      <w:r>
        <w:rPr>
          <w:rFonts w:ascii="Arial"/>
          <w:sz w:val="2"/>
        </w:rPr>
      </w:r>
    </w:p>
    <w:tbl>
      <w:tblPr>
        <w:tblStyle w:val="TableNormal"/>
        <w:tblW w:w="138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205"/>
        <w:gridCol w:w="5211"/>
      </w:tblGrid>
      <w:tr>
        <w:trPr>
          <w:trHeight w:val="573" w:hRule="atLeast"/>
        </w:trPr>
        <w:tc>
          <w:tcPr>
            <w:tcW w:w="1434" w:type="dxa"/>
            <w:vAlign w:val="top"/>
          </w:tcPr>
          <w:p>
            <w:pPr>
              <w:pStyle w:val="TableText"/>
              <w:ind w:left="208"/>
              <w:spacing w:before="162" w:line="220" w:lineRule="auto"/>
              <w:rPr>
                <w:sz w:val="25"/>
                <w:szCs w:val="25"/>
              </w:rPr>
            </w:pPr>
            <w:r>
              <w:rPr>
                <w:sz w:val="25"/>
                <w:szCs w:val="25"/>
                <w:b/>
                <w:bCs/>
                <w:spacing w:val="-5"/>
              </w:rPr>
              <w:t>违法程度</w:t>
            </w:r>
          </w:p>
        </w:tc>
        <w:tc>
          <w:tcPr>
            <w:tcW w:w="7205" w:type="dxa"/>
            <w:vAlign w:val="top"/>
          </w:tcPr>
          <w:p>
            <w:pPr>
              <w:pStyle w:val="TableText"/>
              <w:ind w:left="3024"/>
              <w:spacing w:before="162" w:line="220" w:lineRule="auto"/>
              <w:rPr>
                <w:sz w:val="25"/>
                <w:szCs w:val="25"/>
              </w:rPr>
            </w:pPr>
            <w:r>
              <w:rPr>
                <w:sz w:val="25"/>
                <w:szCs w:val="25"/>
                <w:b/>
                <w:bCs/>
                <w:spacing w:val="-5"/>
              </w:rPr>
              <w:t>情节后果</w:t>
            </w:r>
          </w:p>
        </w:tc>
        <w:tc>
          <w:tcPr>
            <w:tcW w:w="5211" w:type="dxa"/>
            <w:vAlign w:val="top"/>
          </w:tcPr>
          <w:p>
            <w:pPr>
              <w:pStyle w:val="TableText"/>
              <w:ind w:left="2029"/>
              <w:spacing w:before="159" w:line="218" w:lineRule="auto"/>
              <w:rPr>
                <w:sz w:val="25"/>
                <w:szCs w:val="25"/>
              </w:rPr>
            </w:pPr>
            <w:r>
              <w:rPr>
                <w:sz w:val="25"/>
                <w:szCs w:val="25"/>
                <w:b/>
                <w:bCs/>
                <w:spacing w:val="-5"/>
              </w:rPr>
              <w:t>裁量幅度</w:t>
            </w:r>
          </w:p>
        </w:tc>
      </w:tr>
      <w:tr>
        <w:trPr>
          <w:trHeight w:val="458" w:hRule="atLeast"/>
        </w:trPr>
        <w:tc>
          <w:tcPr>
            <w:tcW w:w="1434" w:type="dxa"/>
            <w:vAlign w:val="top"/>
          </w:tcPr>
          <w:p>
            <w:pPr>
              <w:pStyle w:val="TableText"/>
              <w:ind w:left="458"/>
              <w:spacing w:before="108" w:line="219" w:lineRule="auto"/>
              <w:rPr>
                <w:sz w:val="25"/>
                <w:szCs w:val="25"/>
              </w:rPr>
            </w:pPr>
            <w:r>
              <w:rPr>
                <w:sz w:val="25"/>
                <w:szCs w:val="25"/>
                <w:b/>
                <w:bCs/>
                <w:spacing w:val="-6"/>
              </w:rPr>
              <w:t>轻微</w:t>
            </w:r>
          </w:p>
        </w:tc>
        <w:tc>
          <w:tcPr>
            <w:tcW w:w="7205" w:type="dxa"/>
            <w:vAlign w:val="top"/>
          </w:tcPr>
          <w:p>
            <w:pPr>
              <w:pStyle w:val="TableText"/>
              <w:ind w:left="101"/>
              <w:spacing w:before="112" w:line="219" w:lineRule="auto"/>
              <w:rPr>
                <w:sz w:val="25"/>
                <w:szCs w:val="25"/>
              </w:rPr>
            </w:pPr>
            <w:r>
              <w:rPr>
                <w:sz w:val="25"/>
                <w:szCs w:val="25"/>
                <w:spacing w:val="1"/>
              </w:rPr>
              <w:t>用人单位隐瞒1项(处)职业卫生真实情况的</w:t>
            </w:r>
          </w:p>
        </w:tc>
        <w:tc>
          <w:tcPr>
            <w:tcW w:w="5211" w:type="dxa"/>
            <w:vAlign w:val="top"/>
          </w:tcPr>
          <w:p>
            <w:pPr>
              <w:pStyle w:val="TableText"/>
              <w:ind w:left="106"/>
              <w:spacing w:before="113" w:line="220" w:lineRule="auto"/>
              <w:rPr>
                <w:sz w:val="25"/>
                <w:szCs w:val="25"/>
              </w:rPr>
            </w:pPr>
            <w:r>
              <w:rPr>
                <w:sz w:val="25"/>
                <w:szCs w:val="25"/>
              </w:rPr>
              <w:t>处五万元以上十万元以下的罚款</w:t>
            </w:r>
          </w:p>
        </w:tc>
      </w:tr>
      <w:tr>
        <w:trPr>
          <w:trHeight w:val="518" w:hRule="atLeast"/>
        </w:trPr>
        <w:tc>
          <w:tcPr>
            <w:tcW w:w="1434" w:type="dxa"/>
            <w:vAlign w:val="top"/>
          </w:tcPr>
          <w:p>
            <w:pPr>
              <w:pStyle w:val="TableText"/>
              <w:ind w:left="458"/>
              <w:spacing w:before="142" w:line="221" w:lineRule="auto"/>
              <w:rPr>
                <w:sz w:val="25"/>
                <w:szCs w:val="25"/>
              </w:rPr>
            </w:pPr>
            <w:r>
              <w:rPr>
                <w:sz w:val="25"/>
                <w:szCs w:val="25"/>
                <w:b/>
                <w:bCs/>
                <w:spacing w:val="-10"/>
              </w:rPr>
              <w:t>一般</w:t>
            </w:r>
          </w:p>
        </w:tc>
        <w:tc>
          <w:tcPr>
            <w:tcW w:w="7205" w:type="dxa"/>
            <w:vAlign w:val="top"/>
          </w:tcPr>
          <w:p>
            <w:pPr>
              <w:pStyle w:val="TableText"/>
              <w:ind w:left="101"/>
              <w:spacing w:before="144" w:line="219" w:lineRule="auto"/>
              <w:rPr>
                <w:sz w:val="25"/>
                <w:szCs w:val="25"/>
              </w:rPr>
            </w:pPr>
            <w:r>
              <w:rPr>
                <w:sz w:val="25"/>
                <w:szCs w:val="25"/>
                <w:spacing w:val="1"/>
              </w:rPr>
              <w:t>用人单位隐瞒2项(处)职业卫生真实情况的</w:t>
            </w:r>
          </w:p>
        </w:tc>
        <w:tc>
          <w:tcPr>
            <w:tcW w:w="5211" w:type="dxa"/>
            <w:vAlign w:val="top"/>
          </w:tcPr>
          <w:p>
            <w:pPr>
              <w:pStyle w:val="TableText"/>
              <w:ind w:left="106"/>
              <w:spacing w:before="144" w:line="220" w:lineRule="auto"/>
              <w:rPr>
                <w:sz w:val="25"/>
                <w:szCs w:val="25"/>
              </w:rPr>
            </w:pPr>
            <w:r>
              <w:rPr>
                <w:sz w:val="25"/>
                <w:szCs w:val="25"/>
              </w:rPr>
              <w:t>处十万元以上二十万元以下的罚款</w:t>
            </w:r>
          </w:p>
        </w:tc>
      </w:tr>
      <w:tr>
        <w:trPr>
          <w:trHeight w:val="408" w:hRule="atLeast"/>
        </w:trPr>
        <w:tc>
          <w:tcPr>
            <w:tcW w:w="1434" w:type="dxa"/>
            <w:vAlign w:val="top"/>
          </w:tcPr>
          <w:p>
            <w:pPr>
              <w:pStyle w:val="TableText"/>
              <w:ind w:left="458"/>
              <w:spacing w:before="86" w:line="221" w:lineRule="auto"/>
              <w:rPr>
                <w:sz w:val="25"/>
                <w:szCs w:val="25"/>
              </w:rPr>
            </w:pPr>
            <w:r>
              <w:rPr>
                <w:sz w:val="25"/>
                <w:szCs w:val="25"/>
                <w:b/>
                <w:bCs/>
                <w:spacing w:val="-6"/>
              </w:rPr>
              <w:t>较重</w:t>
            </w:r>
          </w:p>
        </w:tc>
        <w:tc>
          <w:tcPr>
            <w:tcW w:w="7205" w:type="dxa"/>
            <w:vAlign w:val="top"/>
          </w:tcPr>
          <w:p>
            <w:pPr>
              <w:pStyle w:val="TableText"/>
              <w:ind w:left="101"/>
              <w:spacing w:before="86" w:line="219" w:lineRule="auto"/>
              <w:rPr>
                <w:sz w:val="25"/>
                <w:szCs w:val="25"/>
              </w:rPr>
            </w:pPr>
            <w:r>
              <w:rPr>
                <w:sz w:val="25"/>
                <w:szCs w:val="25"/>
                <w:spacing w:val="1"/>
              </w:rPr>
              <w:t>用人单位隐瞒3项(处)职业卫生真实情况的</w:t>
            </w:r>
          </w:p>
        </w:tc>
        <w:tc>
          <w:tcPr>
            <w:tcW w:w="5211" w:type="dxa"/>
            <w:vAlign w:val="top"/>
          </w:tcPr>
          <w:p>
            <w:pPr>
              <w:pStyle w:val="TableText"/>
              <w:ind w:left="106"/>
              <w:spacing w:before="87" w:line="220" w:lineRule="auto"/>
              <w:rPr>
                <w:sz w:val="25"/>
                <w:szCs w:val="25"/>
              </w:rPr>
            </w:pPr>
            <w:r>
              <w:rPr>
                <w:sz w:val="25"/>
                <w:szCs w:val="25"/>
              </w:rPr>
              <w:t>处二十万元以上三十万元以下的罚款</w:t>
            </w:r>
          </w:p>
        </w:tc>
      </w:tr>
      <w:tr>
        <w:trPr>
          <w:trHeight w:val="842" w:hRule="atLeast"/>
        </w:trPr>
        <w:tc>
          <w:tcPr>
            <w:tcW w:w="1434" w:type="dxa"/>
            <w:vAlign w:val="top"/>
          </w:tcPr>
          <w:p>
            <w:pPr>
              <w:spacing w:line="292"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7205" w:type="dxa"/>
            <w:vAlign w:val="top"/>
          </w:tcPr>
          <w:p>
            <w:pPr>
              <w:pStyle w:val="TableText"/>
              <w:ind w:left="101"/>
              <w:spacing w:before="308" w:line="219" w:lineRule="auto"/>
              <w:rPr>
                <w:sz w:val="25"/>
                <w:szCs w:val="25"/>
              </w:rPr>
            </w:pPr>
            <w:r>
              <w:rPr>
                <w:sz w:val="25"/>
                <w:szCs w:val="25"/>
                <w:spacing w:val="1"/>
              </w:rPr>
              <w:t>用人单位隐瞒4项(处)以上职业卫生真实情况的</w:t>
            </w:r>
          </w:p>
        </w:tc>
        <w:tc>
          <w:tcPr>
            <w:tcW w:w="5211" w:type="dxa"/>
            <w:vAlign w:val="top"/>
          </w:tcPr>
          <w:p>
            <w:pPr>
              <w:pStyle w:val="TableText"/>
              <w:ind w:left="106"/>
              <w:spacing w:before="176" w:line="242" w:lineRule="auto"/>
              <w:rPr>
                <w:sz w:val="25"/>
                <w:szCs w:val="25"/>
              </w:rPr>
            </w:pPr>
            <w:r>
              <w:rPr>
                <w:sz w:val="25"/>
                <w:szCs w:val="25"/>
                <w:spacing w:val="-8"/>
              </w:rPr>
              <w:t>责令停止产生职业病危害的作业，或者提请有关</w:t>
            </w:r>
            <w:r>
              <w:rPr>
                <w:sz w:val="25"/>
                <w:szCs w:val="25"/>
                <w:spacing w:val="11"/>
              </w:rPr>
              <w:t xml:space="preserve"> </w:t>
            </w:r>
            <w:r>
              <w:rPr>
                <w:sz w:val="25"/>
                <w:szCs w:val="25"/>
              </w:rPr>
              <w:t>人民政府按照国务院规定的权限责令关闭</w:t>
            </w:r>
          </w:p>
        </w:tc>
      </w:tr>
    </w:tbl>
    <w:p>
      <w:pPr>
        <w:pStyle w:val="BodyText"/>
        <w:spacing w:line="436" w:lineRule="auto"/>
        <w:rPr/>
      </w:pPr>
      <w:r/>
    </w:p>
    <w:p>
      <w:pPr>
        <w:ind w:left="39" w:right="134" w:firstLine="629"/>
        <w:spacing w:before="97" w:line="269" w:lineRule="auto"/>
        <w:jc w:val="both"/>
        <w:rPr>
          <w:rFonts w:ascii="FangSong" w:hAnsi="FangSong" w:eastAsia="FangSong" w:cs="FangSong"/>
          <w:sz w:val="30"/>
          <w:szCs w:val="30"/>
        </w:rPr>
      </w:pPr>
      <w:r>
        <w:rPr>
          <w:rFonts w:ascii="FangSong" w:hAnsi="FangSong" w:eastAsia="FangSong" w:cs="FangSong"/>
          <w:sz w:val="30"/>
          <w:szCs w:val="30"/>
          <w:b/>
          <w:bCs/>
          <w:spacing w:val="24"/>
        </w:rPr>
        <w:t>第四百七十六条可能发生急性职业损伤的有毒、有害工作场所(</w:t>
      </w:r>
      <w:r>
        <w:rPr>
          <w:rFonts w:ascii="FangSong" w:hAnsi="FangSong" w:eastAsia="FangSong" w:cs="FangSong"/>
          <w:sz w:val="30"/>
          <w:szCs w:val="30"/>
          <w:b/>
          <w:bCs/>
          <w:spacing w:val="23"/>
        </w:rPr>
        <w:t>用人单位应当设置报警装置，</w:t>
      </w:r>
      <w:r>
        <w:rPr>
          <w:rFonts w:ascii="FangSong" w:hAnsi="FangSong" w:eastAsia="FangSong" w:cs="FangSong"/>
          <w:sz w:val="30"/>
          <w:szCs w:val="30"/>
        </w:rPr>
        <w:t xml:space="preserve"> </w:t>
      </w:r>
      <w:r>
        <w:rPr>
          <w:rFonts w:ascii="FangSong" w:hAnsi="FangSong" w:eastAsia="FangSong" w:cs="FangSong"/>
          <w:sz w:val="30"/>
          <w:szCs w:val="30"/>
          <w:b/>
          <w:bCs/>
          <w:spacing w:val="20"/>
        </w:rPr>
        <w:t>配置现场急救用品、冲洗设备、应急撤离通道和必要的泄险区)、放射工作场所或者放射性同位素</w:t>
      </w:r>
      <w:r>
        <w:rPr>
          <w:rFonts w:ascii="FangSong" w:hAnsi="FangSong" w:eastAsia="FangSong" w:cs="FangSong"/>
          <w:sz w:val="30"/>
          <w:szCs w:val="30"/>
          <w:spacing w:val="8"/>
        </w:rPr>
        <w:t xml:space="preserve">  </w:t>
      </w:r>
      <w:r>
        <w:rPr>
          <w:rFonts w:ascii="FangSong" w:hAnsi="FangSong" w:eastAsia="FangSong" w:cs="FangSong"/>
          <w:sz w:val="30"/>
          <w:szCs w:val="30"/>
          <w:b/>
          <w:bCs/>
          <w:spacing w:val="21"/>
        </w:rPr>
        <w:t>的运输、贮存(用人单位必须配置防护设备和报警装置，保证接触放射</w:t>
      </w:r>
      <w:r>
        <w:rPr>
          <w:rFonts w:ascii="FangSong" w:hAnsi="FangSong" w:eastAsia="FangSong" w:cs="FangSong"/>
          <w:sz w:val="30"/>
          <w:szCs w:val="30"/>
          <w:b/>
          <w:bCs/>
          <w:spacing w:val="20"/>
        </w:rPr>
        <w:t>线的工作人员佩</w:t>
      </w:r>
      <w:r>
        <w:rPr>
          <w:rFonts w:ascii="FangSong" w:hAnsi="FangSong" w:eastAsia="FangSong" w:cs="FangSong"/>
          <w:sz w:val="30"/>
          <w:szCs w:val="30"/>
          <w:spacing w:val="20"/>
        </w:rPr>
        <w:t>戴个人剂量</w:t>
      </w:r>
      <w:r>
        <w:rPr>
          <w:rFonts w:ascii="FangSong" w:hAnsi="FangSong" w:eastAsia="FangSong" w:cs="FangSong"/>
          <w:sz w:val="30"/>
          <w:szCs w:val="30"/>
        </w:rPr>
        <w:t xml:space="preserve">  </w:t>
      </w:r>
      <w:r>
        <w:rPr>
          <w:rFonts w:ascii="FangSong" w:hAnsi="FangSong" w:eastAsia="FangSong" w:cs="FangSong"/>
          <w:sz w:val="30"/>
          <w:szCs w:val="30"/>
          <w:b/>
          <w:bCs/>
          <w:spacing w:val="25"/>
        </w:rPr>
        <w:t>计)不符合本法第二十五条规定的</w:t>
      </w:r>
    </w:p>
    <w:p>
      <w:pPr>
        <w:ind w:left="665"/>
        <w:spacing w:before="1"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35" w:firstLine="629"/>
        <w:spacing w:before="107" w:line="265" w:lineRule="auto"/>
        <w:jc w:val="both"/>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《中华人民共和国职业病防治法》第七十五条第(三)项</w:t>
      </w:r>
      <w:r>
        <w:rPr>
          <w:rFonts w:ascii="FangSong" w:hAnsi="FangSong" w:eastAsia="FangSong" w:cs="FangSong"/>
          <w:sz w:val="30"/>
          <w:szCs w:val="30"/>
          <w:spacing w:val="18"/>
        </w:rPr>
        <w:t xml:space="preserve">  </w:t>
      </w:r>
      <w:r>
        <w:rPr>
          <w:rFonts w:ascii="FangSong" w:hAnsi="FangSong" w:eastAsia="FangSong" w:cs="FangSong"/>
          <w:sz w:val="30"/>
          <w:szCs w:val="30"/>
          <w:spacing w:val="18"/>
        </w:rPr>
        <w:t>违反《中华人民共和国职业病防治</w:t>
      </w:r>
      <w:r>
        <w:rPr>
          <w:rFonts w:ascii="FangSong" w:hAnsi="FangSong" w:eastAsia="FangSong" w:cs="FangSong"/>
          <w:sz w:val="30"/>
          <w:szCs w:val="30"/>
        </w:rPr>
        <w:t xml:space="preserve"> </w:t>
      </w:r>
      <w:r>
        <w:rPr>
          <w:rFonts w:ascii="FangSong" w:hAnsi="FangSong" w:eastAsia="FangSong" w:cs="FangSong"/>
          <w:sz w:val="30"/>
          <w:szCs w:val="30"/>
          <w:spacing w:val="12"/>
        </w:rPr>
        <w:t>法》规定，有下列情形之一的，由卫生行政部门责令限</w:t>
      </w:r>
      <w:r>
        <w:rPr>
          <w:rFonts w:ascii="FangSong" w:hAnsi="FangSong" w:eastAsia="FangSong" w:cs="FangSong"/>
          <w:sz w:val="30"/>
          <w:szCs w:val="30"/>
          <w:spacing w:val="11"/>
        </w:rPr>
        <w:t>期治理，并处五万元以上三十万元以下的罚款；</w:t>
      </w:r>
      <w:r>
        <w:rPr>
          <w:rFonts w:ascii="FangSong" w:hAnsi="FangSong" w:eastAsia="FangSong" w:cs="FangSong"/>
          <w:sz w:val="30"/>
          <w:szCs w:val="30"/>
        </w:rPr>
        <w:t xml:space="preserve"> </w:t>
      </w:r>
      <w:r>
        <w:rPr>
          <w:rFonts w:ascii="FangSong" w:hAnsi="FangSong" w:eastAsia="FangSong" w:cs="FangSong"/>
          <w:sz w:val="30"/>
          <w:szCs w:val="30"/>
          <w:spacing w:val="16"/>
        </w:rPr>
        <w:t>情节严重的，责令停止产生职业病危害的作业，或者提请有关人民政府按照国务院规定的权限责令关</w:t>
      </w:r>
      <w:r>
        <w:rPr>
          <w:rFonts w:ascii="FangSong" w:hAnsi="FangSong" w:eastAsia="FangSong" w:cs="FangSong"/>
          <w:sz w:val="30"/>
          <w:szCs w:val="30"/>
          <w:spacing w:val="17"/>
        </w:rPr>
        <w:t xml:space="preserve"> </w:t>
      </w:r>
      <w:r>
        <w:rPr>
          <w:rFonts w:ascii="FangSong" w:hAnsi="FangSong" w:eastAsia="FangSong" w:cs="FangSong"/>
          <w:sz w:val="30"/>
          <w:szCs w:val="30"/>
          <w:spacing w:val="-16"/>
        </w:rPr>
        <w:t>闭：</w:t>
      </w:r>
    </w:p>
    <w:p>
      <w:pPr>
        <w:spacing w:line="265" w:lineRule="auto"/>
        <w:sectPr>
          <w:footerReference w:type="default" r:id="rId508"/>
          <w:pgSz w:w="16830" w:h="11900"/>
          <w:pgMar w:top="1011" w:right="1359" w:bottom="1108" w:left="1414" w:header="0" w:footer="775" w:gutter="0"/>
        </w:sectPr>
        <w:rPr>
          <w:rFonts w:ascii="FangSong" w:hAnsi="FangSong" w:eastAsia="FangSong" w:cs="FangSong"/>
          <w:sz w:val="30"/>
          <w:szCs w:val="30"/>
        </w:rPr>
      </w:pPr>
    </w:p>
    <w:p>
      <w:pPr>
        <w:pStyle w:val="BodyText"/>
        <w:spacing w:line="263" w:lineRule="auto"/>
        <w:rPr/>
      </w:pPr>
      <w:r/>
    </w:p>
    <w:p>
      <w:pPr>
        <w:pStyle w:val="BodyText"/>
        <w:spacing w:line="264" w:lineRule="auto"/>
        <w:rPr/>
      </w:pPr>
      <w:r/>
    </w:p>
    <w:p>
      <w:pPr>
        <w:pStyle w:val="BodyText"/>
        <w:spacing w:line="264" w:lineRule="auto"/>
        <w:rPr/>
      </w:pPr>
      <w:r/>
    </w:p>
    <w:p>
      <w:pPr>
        <w:ind w:right="19" w:firstLine="790"/>
        <w:spacing w:before="97" w:line="270" w:lineRule="auto"/>
        <w:rPr>
          <w:rFonts w:ascii="FangSong" w:hAnsi="FangSong" w:eastAsia="FangSong" w:cs="FangSong"/>
          <w:sz w:val="30"/>
          <w:szCs w:val="30"/>
        </w:rPr>
      </w:pPr>
      <w:r>
        <w:rPr>
          <w:rFonts w:ascii="FangSong" w:hAnsi="FangSong" w:eastAsia="FangSong" w:cs="FangSong"/>
          <w:sz w:val="30"/>
          <w:szCs w:val="30"/>
          <w:spacing w:val="22"/>
        </w:rPr>
        <w:t>(三)可能发生急性职业损伤的有毒、有害工作场所、放射工作场所或者放射性同位素的运输、</w:t>
      </w:r>
      <w:r>
        <w:rPr>
          <w:rFonts w:ascii="FangSong" w:hAnsi="FangSong" w:eastAsia="FangSong" w:cs="FangSong"/>
          <w:sz w:val="30"/>
          <w:szCs w:val="30"/>
          <w:spacing w:val="14"/>
        </w:rPr>
        <w:t xml:space="preserve"> </w:t>
      </w:r>
      <w:r>
        <w:rPr>
          <w:rFonts w:ascii="FangSong" w:hAnsi="FangSong" w:eastAsia="FangSong" w:cs="FangSong"/>
          <w:sz w:val="30"/>
          <w:szCs w:val="30"/>
          <w:spacing w:val="14"/>
        </w:rPr>
        <w:t>贮存不符合本法第二十五条规定的。</w:t>
      </w:r>
    </w:p>
    <w:p>
      <w:pPr>
        <w:ind w:right="74" w:firstLine="649"/>
        <w:spacing w:before="6" w:line="271" w:lineRule="auto"/>
        <w:jc w:val="both"/>
        <w:rPr>
          <w:rFonts w:ascii="FangSong" w:hAnsi="FangSong" w:eastAsia="FangSong" w:cs="FangSong"/>
          <w:sz w:val="30"/>
          <w:szCs w:val="30"/>
        </w:rPr>
      </w:pPr>
      <w:r>
        <w:rPr>
          <w:rFonts w:ascii="FangSong" w:hAnsi="FangSong" w:eastAsia="FangSong" w:cs="FangSong"/>
          <w:sz w:val="30"/>
          <w:szCs w:val="30"/>
          <w:spacing w:val="24"/>
        </w:rPr>
        <w:t>2.</w:t>
      </w:r>
      <w:r>
        <w:rPr>
          <w:rFonts w:ascii="FangSong" w:hAnsi="FangSong" w:eastAsia="FangSong" w:cs="FangSong"/>
          <w:sz w:val="30"/>
          <w:szCs w:val="30"/>
          <w:spacing w:val="24"/>
        </w:rPr>
        <w:t xml:space="preserve"> </w:t>
      </w:r>
      <w:r>
        <w:rPr>
          <w:rFonts w:ascii="FangSong" w:hAnsi="FangSong" w:eastAsia="FangSong" w:cs="FangSong"/>
          <w:sz w:val="30"/>
          <w:szCs w:val="30"/>
          <w:spacing w:val="24"/>
        </w:rPr>
        <w:t>《使用有毒物品作业场所劳动保护条例》第五十九条第二款第(</w:t>
      </w:r>
      <w:r>
        <w:rPr>
          <w:rFonts w:ascii="FangSong" w:hAnsi="FangSong" w:eastAsia="FangSong" w:cs="FangSong"/>
          <w:sz w:val="30"/>
          <w:szCs w:val="30"/>
          <w:spacing w:val="-79"/>
        </w:rPr>
        <w:t xml:space="preserve"> </w:t>
      </w:r>
      <w:r>
        <w:rPr>
          <w:rFonts w:ascii="FangSong" w:hAnsi="FangSong" w:eastAsia="FangSong" w:cs="FangSong"/>
          <w:sz w:val="30"/>
          <w:szCs w:val="30"/>
          <w:spacing w:val="24"/>
        </w:rPr>
        <w:t>一)</w:t>
      </w:r>
      <w:r>
        <w:rPr>
          <w:rFonts w:ascii="FangSong" w:hAnsi="FangSong" w:eastAsia="FangSong" w:cs="FangSong"/>
          <w:sz w:val="30"/>
          <w:szCs w:val="30"/>
          <w:spacing w:val="23"/>
        </w:rPr>
        <w:t>项、第(二)项</w:t>
      </w:r>
      <w:r>
        <w:rPr>
          <w:rFonts w:ascii="FangSong" w:hAnsi="FangSong" w:eastAsia="FangSong" w:cs="FangSong"/>
          <w:sz w:val="30"/>
          <w:szCs w:val="30"/>
          <w:spacing w:val="23"/>
        </w:rPr>
        <w:t xml:space="preserve">  </w:t>
      </w:r>
      <w:r>
        <w:rPr>
          <w:rFonts w:ascii="FangSong" w:hAnsi="FangSong" w:eastAsia="FangSong" w:cs="FangSong"/>
          <w:sz w:val="30"/>
          <w:szCs w:val="30"/>
          <w:spacing w:val="23"/>
        </w:rPr>
        <w:t>用人单</w:t>
      </w:r>
      <w:r>
        <w:rPr>
          <w:rFonts w:ascii="FangSong" w:hAnsi="FangSong" w:eastAsia="FangSong" w:cs="FangSong"/>
          <w:sz w:val="30"/>
          <w:szCs w:val="30"/>
        </w:rPr>
        <w:t xml:space="preserve"> </w:t>
      </w:r>
      <w:r>
        <w:rPr>
          <w:rFonts w:ascii="FangSong" w:hAnsi="FangSong" w:eastAsia="FangSong" w:cs="FangSong"/>
          <w:sz w:val="30"/>
          <w:szCs w:val="30"/>
          <w:spacing w:val="20"/>
        </w:rPr>
        <w:t>位违反本条例的规定，有下列情形之一的，由疾病预防控制部门给予警告，责令限期改正，处5万元</w:t>
      </w:r>
      <w:r>
        <w:rPr>
          <w:rFonts w:ascii="FangSong" w:hAnsi="FangSong" w:eastAsia="FangSong" w:cs="FangSong"/>
          <w:sz w:val="30"/>
          <w:szCs w:val="30"/>
          <w:spacing w:val="14"/>
        </w:rPr>
        <w:t xml:space="preserve"> </w:t>
      </w:r>
      <w:r>
        <w:rPr>
          <w:rFonts w:ascii="FangSong" w:hAnsi="FangSong" w:eastAsia="FangSong" w:cs="FangSong"/>
          <w:sz w:val="30"/>
          <w:szCs w:val="30"/>
          <w:spacing w:val="22"/>
        </w:rPr>
        <w:t>以上20万元以下的罚款；逾期不改正的，提请有关人民政府按照国务院规定的权限予以关闭；造成</w:t>
      </w:r>
      <w:r>
        <w:rPr>
          <w:rFonts w:ascii="FangSong" w:hAnsi="FangSong" w:eastAsia="FangSong" w:cs="FangSong"/>
          <w:sz w:val="30"/>
          <w:szCs w:val="30"/>
          <w:spacing w:val="1"/>
        </w:rPr>
        <w:t xml:space="preserve"> </w:t>
      </w:r>
      <w:r>
        <w:rPr>
          <w:rFonts w:ascii="FangSong" w:hAnsi="FangSong" w:eastAsia="FangSong" w:cs="FangSong"/>
          <w:sz w:val="30"/>
          <w:szCs w:val="30"/>
          <w:spacing w:val="18"/>
        </w:rPr>
        <w:t>严重职业中毒危害或者导致职业中毒事故发生的，对负有责</w:t>
      </w:r>
      <w:r>
        <w:rPr>
          <w:rFonts w:ascii="FangSong" w:hAnsi="FangSong" w:eastAsia="FangSong" w:cs="FangSong"/>
          <w:sz w:val="30"/>
          <w:szCs w:val="30"/>
          <w:spacing w:val="17"/>
        </w:rPr>
        <w:t>任的主管人员和其他直接责任人员依照刑</w:t>
      </w:r>
      <w:r>
        <w:rPr>
          <w:rFonts w:ascii="FangSong" w:hAnsi="FangSong" w:eastAsia="FangSong" w:cs="FangSong"/>
          <w:sz w:val="30"/>
          <w:szCs w:val="30"/>
        </w:rPr>
        <w:t xml:space="preserve"> </w:t>
      </w:r>
      <w:r>
        <w:rPr>
          <w:rFonts w:ascii="FangSong" w:hAnsi="FangSong" w:eastAsia="FangSong" w:cs="FangSong"/>
          <w:sz w:val="30"/>
          <w:szCs w:val="30"/>
          <w:spacing w:val="17"/>
        </w:rPr>
        <w:t>法关于重大劳动安全事故罪或者其他罪的规定，依法追究刑事责</w:t>
      </w:r>
      <w:r>
        <w:rPr>
          <w:rFonts w:ascii="FangSong" w:hAnsi="FangSong" w:eastAsia="FangSong" w:cs="FangSong"/>
          <w:sz w:val="30"/>
          <w:szCs w:val="30"/>
          <w:spacing w:val="16"/>
        </w:rPr>
        <w:t>任：</w:t>
      </w:r>
    </w:p>
    <w:p>
      <w:pPr>
        <w:ind w:left="790"/>
        <w:spacing w:before="5" w:line="220" w:lineRule="auto"/>
        <w:rPr>
          <w:rFonts w:ascii="FangSong" w:hAnsi="FangSong" w:eastAsia="FangSong" w:cs="FangSong"/>
          <w:sz w:val="30"/>
          <w:szCs w:val="30"/>
        </w:rPr>
      </w:pPr>
      <w:r>
        <w:rPr>
          <w:rFonts w:ascii="FangSong" w:hAnsi="FangSong" w:eastAsia="FangSong" w:cs="FangSong"/>
          <w:sz w:val="30"/>
          <w:szCs w:val="30"/>
          <w:spacing w:val="23"/>
        </w:rPr>
        <w:t>(一)高毒作业场所未按照规定设置撤离通道和泄险区的；</w:t>
      </w:r>
    </w:p>
    <w:p>
      <w:pPr>
        <w:ind w:left="790"/>
        <w:spacing w:before="82" w:line="220" w:lineRule="auto"/>
        <w:rPr>
          <w:rFonts w:ascii="FangSong" w:hAnsi="FangSong" w:eastAsia="FangSong" w:cs="FangSong"/>
          <w:sz w:val="30"/>
          <w:szCs w:val="30"/>
        </w:rPr>
      </w:pPr>
      <w:r>
        <w:rPr>
          <w:rFonts w:ascii="FangSong" w:hAnsi="FangSong" w:eastAsia="FangSong" w:cs="FangSong"/>
          <w:sz w:val="30"/>
          <w:szCs w:val="30"/>
          <w:spacing w:val="23"/>
        </w:rPr>
        <w:t>(二)高毒作业场所未按照规定设置警示线的；</w:t>
      </w:r>
    </w:p>
    <w:p>
      <w:pPr>
        <w:ind w:firstLine="649"/>
        <w:spacing w:before="29" w:line="256" w:lineRule="auto"/>
        <w:jc w:val="both"/>
        <w:rPr>
          <w:rFonts w:ascii="FangSong" w:hAnsi="FangSong" w:eastAsia="FangSong" w:cs="FangSong"/>
          <w:sz w:val="30"/>
          <w:szCs w:val="30"/>
        </w:rPr>
      </w:pPr>
      <w:r>
        <w:rPr>
          <w:rFonts w:ascii="FangSong" w:hAnsi="FangSong" w:eastAsia="FangSong" w:cs="FangSong"/>
          <w:sz w:val="30"/>
          <w:szCs w:val="30"/>
          <w:spacing w:val="14"/>
        </w:rPr>
        <w:t>3.</w:t>
      </w:r>
      <w:r>
        <w:rPr>
          <w:rFonts w:ascii="FangSong" w:hAnsi="FangSong" w:eastAsia="FangSong" w:cs="FangSong"/>
          <w:sz w:val="30"/>
          <w:szCs w:val="30"/>
          <w:spacing w:val="14"/>
        </w:rPr>
        <w:t xml:space="preserve"> </w:t>
      </w:r>
      <w:r>
        <w:rPr>
          <w:rFonts w:ascii="FangSong" w:hAnsi="FangSong" w:eastAsia="FangSong" w:cs="FangSong"/>
          <w:sz w:val="30"/>
          <w:szCs w:val="30"/>
          <w:spacing w:val="14"/>
        </w:rPr>
        <w:t>《使用有毒物品作业场所劳动保护条例》第六十五条第(四)项</w:t>
      </w:r>
      <w:r>
        <w:rPr>
          <w:rFonts w:ascii="FangSong" w:hAnsi="FangSong" w:eastAsia="FangSong" w:cs="FangSong"/>
          <w:sz w:val="30"/>
          <w:szCs w:val="30"/>
          <w:spacing w:val="14"/>
        </w:rPr>
        <w:t xml:space="preserve">  </w:t>
      </w:r>
      <w:r>
        <w:rPr>
          <w:rFonts w:ascii="FangSong" w:hAnsi="FangSong" w:eastAsia="FangSong" w:cs="FangSong"/>
          <w:sz w:val="30"/>
          <w:szCs w:val="30"/>
          <w:spacing w:val="14"/>
        </w:rPr>
        <w:t>用人单位违反本条例的规定，</w:t>
      </w:r>
      <w:r>
        <w:rPr>
          <w:rFonts w:ascii="FangSong" w:hAnsi="FangSong" w:eastAsia="FangSong" w:cs="FangSong"/>
          <w:sz w:val="30"/>
          <w:szCs w:val="30"/>
          <w:spacing w:val="4"/>
        </w:rPr>
        <w:t xml:space="preserve"> </w:t>
      </w:r>
      <w:r>
        <w:rPr>
          <w:rFonts w:ascii="FangSong" w:hAnsi="FangSong" w:eastAsia="FangSong" w:cs="FangSong"/>
          <w:sz w:val="30"/>
          <w:szCs w:val="30"/>
          <w:spacing w:val="25"/>
        </w:rPr>
        <w:t>有下列情形之一的，由疾病预防控制部门给予警告，责令限期改正，处5000元以上2万元以下的罚</w:t>
      </w:r>
      <w:r>
        <w:rPr>
          <w:rFonts w:ascii="FangSong" w:hAnsi="FangSong" w:eastAsia="FangSong" w:cs="FangSong"/>
          <w:sz w:val="30"/>
          <w:szCs w:val="30"/>
          <w:spacing w:val="9"/>
        </w:rPr>
        <w:t xml:space="preserve">  </w:t>
      </w:r>
      <w:r>
        <w:rPr>
          <w:rFonts w:ascii="FangSong" w:hAnsi="FangSong" w:eastAsia="FangSong" w:cs="FangSong"/>
          <w:sz w:val="30"/>
          <w:szCs w:val="30"/>
          <w:spacing w:val="16"/>
        </w:rPr>
        <w:t>款；逾期不改正的，责令停止使用有毒物品作业，或者提请有关人民政府按照国务院规</w:t>
      </w:r>
      <w:r>
        <w:rPr>
          <w:rFonts w:ascii="FangSong" w:hAnsi="FangSong" w:eastAsia="FangSong" w:cs="FangSong"/>
          <w:sz w:val="30"/>
          <w:szCs w:val="30"/>
          <w:spacing w:val="15"/>
        </w:rPr>
        <w:t>定的权限予以</w:t>
      </w:r>
      <w:r>
        <w:rPr>
          <w:rFonts w:ascii="FangSong" w:hAnsi="FangSong" w:eastAsia="FangSong" w:cs="FangSong"/>
          <w:sz w:val="30"/>
          <w:szCs w:val="30"/>
        </w:rPr>
        <w:t xml:space="preserve">  </w:t>
      </w:r>
      <w:r>
        <w:rPr>
          <w:rFonts w:ascii="FangSong" w:hAnsi="FangSong" w:eastAsia="FangSong" w:cs="FangSong"/>
          <w:sz w:val="30"/>
          <w:szCs w:val="30"/>
          <w:spacing w:val="17"/>
        </w:rPr>
        <w:t>关闭；造成严重职业中毒危害或者导致职业中毒事故发生的，对负有责任的主管人员和</w:t>
      </w:r>
      <w:r>
        <w:rPr>
          <w:rFonts w:ascii="FangSong" w:hAnsi="FangSong" w:eastAsia="FangSong" w:cs="FangSong"/>
          <w:sz w:val="30"/>
          <w:szCs w:val="30"/>
          <w:spacing w:val="16"/>
        </w:rPr>
        <w:t>其他直接责任</w:t>
      </w:r>
      <w:r>
        <w:rPr>
          <w:rFonts w:ascii="FangSong" w:hAnsi="FangSong" w:eastAsia="FangSong" w:cs="FangSong"/>
          <w:sz w:val="30"/>
          <w:szCs w:val="30"/>
        </w:rPr>
        <w:t xml:space="preserve"> </w:t>
      </w:r>
      <w:r>
        <w:rPr>
          <w:rFonts w:ascii="FangSong" w:hAnsi="FangSong" w:eastAsia="FangSong" w:cs="FangSong"/>
          <w:sz w:val="30"/>
          <w:szCs w:val="30"/>
          <w:spacing w:val="18"/>
        </w:rPr>
        <w:t>人员依照刑法关于重大劳动安全事故罪、危险物品肇事罪或者其他罪的规定，依法追</w:t>
      </w:r>
      <w:r>
        <w:rPr>
          <w:rFonts w:ascii="FangSong" w:hAnsi="FangSong" w:eastAsia="FangSong" w:cs="FangSong"/>
          <w:sz w:val="30"/>
          <w:szCs w:val="30"/>
          <w:spacing w:val="17"/>
        </w:rPr>
        <w:t>究刑事责任：</w:t>
      </w:r>
    </w:p>
    <w:p>
      <w:pPr>
        <w:ind w:left="790"/>
        <w:spacing w:before="233" w:line="220" w:lineRule="auto"/>
        <w:rPr>
          <w:rFonts w:ascii="FangSong" w:hAnsi="FangSong" w:eastAsia="FangSong" w:cs="FangSong"/>
          <w:sz w:val="30"/>
          <w:szCs w:val="30"/>
        </w:rPr>
      </w:pPr>
      <w:r>
        <w:rPr>
          <w:rFonts w:ascii="FangSong" w:hAnsi="FangSong" w:eastAsia="FangSong" w:cs="FangSong"/>
          <w:sz w:val="30"/>
          <w:szCs w:val="30"/>
          <w:spacing w:val="22"/>
        </w:rPr>
        <w:t>(四)从事高毒作业未按照规定配备应急救援设施或者制定事故应急救援预案的。</w:t>
      </w:r>
    </w:p>
    <w:p>
      <w:pPr>
        <w:ind w:right="59" w:firstLine="649"/>
        <w:spacing w:before="81" w:line="271" w:lineRule="auto"/>
        <w:jc w:val="both"/>
        <w:rPr>
          <w:rFonts w:ascii="FangSong" w:hAnsi="FangSong" w:eastAsia="FangSong" w:cs="FangSong"/>
          <w:sz w:val="30"/>
          <w:szCs w:val="30"/>
        </w:rPr>
      </w:pPr>
      <w:r>
        <w:rPr>
          <w:rFonts w:ascii="FangSong" w:hAnsi="FangSong" w:eastAsia="FangSong" w:cs="FangSong"/>
          <w:sz w:val="30"/>
          <w:szCs w:val="30"/>
          <w:spacing w:val="19"/>
        </w:rPr>
        <w:t>4.</w:t>
      </w:r>
      <w:r>
        <w:rPr>
          <w:rFonts w:ascii="FangSong" w:hAnsi="FangSong" w:eastAsia="FangSong" w:cs="FangSong"/>
          <w:sz w:val="30"/>
          <w:szCs w:val="30"/>
          <w:spacing w:val="19"/>
        </w:rPr>
        <w:t xml:space="preserve"> </w:t>
      </w:r>
      <w:r>
        <w:rPr>
          <w:rFonts w:ascii="FangSong" w:hAnsi="FangSong" w:eastAsia="FangSong" w:cs="FangSong"/>
          <w:sz w:val="30"/>
          <w:szCs w:val="30"/>
          <w:spacing w:val="19"/>
        </w:rPr>
        <w:t>《工作场所职业卫生管理规定》第五十一条第(三)项</w:t>
      </w:r>
      <w:r>
        <w:rPr>
          <w:rFonts w:ascii="FangSong" w:hAnsi="FangSong" w:eastAsia="FangSong" w:cs="FangSong"/>
          <w:sz w:val="30"/>
          <w:szCs w:val="30"/>
          <w:spacing w:val="19"/>
        </w:rPr>
        <w:t xml:space="preserve">  </w:t>
      </w:r>
      <w:r>
        <w:rPr>
          <w:rFonts w:ascii="FangSong" w:hAnsi="FangSong" w:eastAsia="FangSong" w:cs="FangSong"/>
          <w:sz w:val="30"/>
          <w:szCs w:val="30"/>
          <w:spacing w:val="19"/>
        </w:rPr>
        <w:t>用人单位有下列情形之一的，依法责</w:t>
      </w:r>
      <w:r>
        <w:rPr>
          <w:rFonts w:ascii="FangSong" w:hAnsi="FangSong" w:eastAsia="FangSong" w:cs="FangSong"/>
          <w:sz w:val="30"/>
          <w:szCs w:val="30"/>
          <w:spacing w:val="11"/>
        </w:rPr>
        <w:t xml:space="preserve"> </w:t>
      </w:r>
      <w:r>
        <w:rPr>
          <w:rFonts w:ascii="FangSong" w:hAnsi="FangSong" w:eastAsia="FangSong" w:cs="FangSong"/>
          <w:sz w:val="30"/>
          <w:szCs w:val="30"/>
          <w:spacing w:val="18"/>
        </w:rPr>
        <w:t>令限期改正，并处五万元以上三十万元以下的罚款；情节严重的，责令停止产生职业病危害的</w:t>
      </w:r>
      <w:r>
        <w:rPr>
          <w:rFonts w:ascii="FangSong" w:hAnsi="FangSong" w:eastAsia="FangSong" w:cs="FangSong"/>
          <w:sz w:val="30"/>
          <w:szCs w:val="30"/>
          <w:spacing w:val="17"/>
        </w:rPr>
        <w:t>作业，</w:t>
      </w:r>
      <w:r>
        <w:rPr>
          <w:rFonts w:ascii="FangSong" w:hAnsi="FangSong" w:eastAsia="FangSong" w:cs="FangSong"/>
          <w:sz w:val="30"/>
          <w:szCs w:val="30"/>
        </w:rPr>
        <w:t xml:space="preserve"> </w:t>
      </w:r>
      <w:r>
        <w:rPr>
          <w:rFonts w:ascii="FangSong" w:hAnsi="FangSong" w:eastAsia="FangSong" w:cs="FangSong"/>
          <w:sz w:val="30"/>
          <w:szCs w:val="30"/>
          <w:spacing w:val="16"/>
        </w:rPr>
        <w:t>或者提请有关人民政府按照国务院规定的权限责令关闭：</w:t>
      </w:r>
    </w:p>
    <w:p>
      <w:pPr>
        <w:spacing w:line="271" w:lineRule="auto"/>
        <w:sectPr>
          <w:footerReference w:type="default" r:id="rId509"/>
          <w:pgSz w:w="16830" w:h="11900"/>
          <w:pgMar w:top="1011" w:right="1350" w:bottom="1108" w:left="1430" w:header="0" w:footer="775" w:gutter="0"/>
        </w:sectPr>
        <w:rPr>
          <w:rFonts w:ascii="FangSong" w:hAnsi="FangSong" w:eastAsia="FangSong" w:cs="FangSong"/>
          <w:sz w:val="30"/>
          <w:szCs w:val="30"/>
        </w:rPr>
      </w:pPr>
    </w:p>
    <w:p>
      <w:pPr>
        <w:pStyle w:val="BodyText"/>
        <w:spacing w:line="267" w:lineRule="auto"/>
        <w:rPr/>
      </w:pPr>
      <w:r/>
    </w:p>
    <w:p>
      <w:pPr>
        <w:pStyle w:val="BodyText"/>
        <w:spacing w:line="268" w:lineRule="auto"/>
        <w:rPr/>
      </w:pPr>
      <w:r/>
    </w:p>
    <w:p>
      <w:pPr>
        <w:pStyle w:val="BodyText"/>
        <w:spacing w:line="268" w:lineRule="auto"/>
        <w:rPr/>
      </w:pPr>
      <w:r/>
    </w:p>
    <w:p>
      <w:pPr>
        <w:ind w:left="6419" w:right="30" w:hanging="5624"/>
        <w:spacing w:before="97" w:line="289" w:lineRule="auto"/>
        <w:rPr>
          <w:rFonts w:ascii="SimSun" w:hAnsi="SimSun" w:eastAsia="SimSun" w:cs="SimSun"/>
          <w:sz w:val="28"/>
          <w:szCs w:val="28"/>
        </w:rPr>
      </w:pPr>
      <w:bookmarkStart w:name="bookmark1140" w:id="515"/>
      <w:bookmarkEnd w:id="515"/>
      <w:r>
        <w:rPr>
          <w:rFonts w:ascii="FangSong" w:hAnsi="FangSong" w:eastAsia="FangSong" w:cs="FangSong"/>
          <w:sz w:val="30"/>
          <w:szCs w:val="30"/>
          <w:spacing w:val="22"/>
        </w:rPr>
        <w:t>(三)可能发生急性职业损伤的有毒、有害工作场所或者放</w:t>
      </w:r>
      <w:r>
        <w:rPr>
          <w:rFonts w:ascii="FangSong" w:hAnsi="FangSong" w:eastAsia="FangSong" w:cs="FangSong"/>
          <w:sz w:val="30"/>
          <w:szCs w:val="30"/>
          <w:spacing w:val="21"/>
        </w:rPr>
        <w:t>射工作场所不符合法律有关规定的；</w:t>
      </w:r>
      <w:r>
        <w:rPr>
          <w:rFonts w:ascii="FangSong" w:hAnsi="FangSong" w:eastAsia="FangSong" w:cs="FangSong"/>
          <w:sz w:val="30"/>
          <w:szCs w:val="30"/>
        </w:rPr>
        <w:t xml:space="preserve"> </w:t>
      </w:r>
      <w:r>
        <w:rPr>
          <w:rFonts w:ascii="SimSun" w:hAnsi="SimSun" w:eastAsia="SimSun" w:cs="SimSun"/>
          <w:sz w:val="28"/>
          <w:szCs w:val="28"/>
          <w:b/>
          <w:bCs/>
          <w:spacing w:val="-6"/>
        </w:rPr>
        <w:t>裁量标准</w:t>
      </w:r>
    </w:p>
    <w:tbl>
      <w:tblPr>
        <w:tblStyle w:val="TableNormal"/>
        <w:tblW w:w="135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94"/>
        <w:gridCol w:w="7804"/>
        <w:gridCol w:w="4362"/>
      </w:tblGrid>
      <w:tr>
        <w:trPr>
          <w:trHeight w:val="533" w:hRule="atLeast"/>
        </w:trPr>
        <w:tc>
          <w:tcPr>
            <w:tcW w:w="1394" w:type="dxa"/>
            <w:vAlign w:val="top"/>
          </w:tcPr>
          <w:p>
            <w:pPr>
              <w:pStyle w:val="TableText"/>
              <w:ind w:left="188"/>
              <w:spacing w:before="142" w:line="220" w:lineRule="auto"/>
              <w:rPr>
                <w:sz w:val="25"/>
                <w:szCs w:val="25"/>
              </w:rPr>
            </w:pPr>
            <w:r>
              <w:rPr>
                <w:sz w:val="25"/>
                <w:szCs w:val="25"/>
                <w:b/>
                <w:bCs/>
                <w:spacing w:val="-5"/>
              </w:rPr>
              <w:t>违法程度</w:t>
            </w:r>
          </w:p>
        </w:tc>
        <w:tc>
          <w:tcPr>
            <w:tcW w:w="7804" w:type="dxa"/>
            <w:vAlign w:val="top"/>
          </w:tcPr>
          <w:p>
            <w:pPr>
              <w:pStyle w:val="TableText"/>
              <w:ind w:left="3394"/>
              <w:spacing w:before="142" w:line="220" w:lineRule="auto"/>
              <w:rPr>
                <w:sz w:val="25"/>
                <w:szCs w:val="25"/>
              </w:rPr>
            </w:pPr>
            <w:r>
              <w:rPr>
                <w:sz w:val="25"/>
                <w:szCs w:val="25"/>
                <w:b/>
                <w:bCs/>
                <w:spacing w:val="-5"/>
              </w:rPr>
              <w:t>情节后果</w:t>
            </w:r>
          </w:p>
        </w:tc>
        <w:tc>
          <w:tcPr>
            <w:tcW w:w="4362" w:type="dxa"/>
            <w:vAlign w:val="top"/>
          </w:tcPr>
          <w:p>
            <w:pPr>
              <w:pStyle w:val="TableText"/>
              <w:ind w:left="1620"/>
              <w:spacing w:before="139" w:line="218" w:lineRule="auto"/>
              <w:rPr>
                <w:sz w:val="25"/>
                <w:szCs w:val="25"/>
              </w:rPr>
            </w:pPr>
            <w:r>
              <w:rPr>
                <w:sz w:val="25"/>
                <w:szCs w:val="25"/>
                <w:b/>
                <w:bCs/>
                <w:spacing w:val="-5"/>
              </w:rPr>
              <w:t>裁量幅度</w:t>
            </w:r>
          </w:p>
        </w:tc>
      </w:tr>
      <w:tr>
        <w:trPr>
          <w:trHeight w:val="948" w:hRule="atLeast"/>
        </w:trPr>
        <w:tc>
          <w:tcPr>
            <w:tcW w:w="1394" w:type="dxa"/>
            <w:vAlign w:val="top"/>
          </w:tcPr>
          <w:p>
            <w:pPr>
              <w:spacing w:line="335" w:lineRule="auto"/>
              <w:rPr>
                <w:rFonts w:ascii="Arial"/>
                <w:sz w:val="21"/>
              </w:rPr>
            </w:pPr>
            <w:r/>
          </w:p>
          <w:p>
            <w:pPr>
              <w:pStyle w:val="TableText"/>
              <w:ind w:left="438"/>
              <w:spacing w:before="81" w:line="219" w:lineRule="auto"/>
              <w:rPr>
                <w:sz w:val="25"/>
                <w:szCs w:val="25"/>
              </w:rPr>
            </w:pPr>
            <w:r>
              <w:rPr>
                <w:sz w:val="25"/>
                <w:szCs w:val="25"/>
                <w:b/>
                <w:bCs/>
                <w:spacing w:val="-6"/>
              </w:rPr>
              <w:t>轻微</w:t>
            </w:r>
          </w:p>
        </w:tc>
        <w:tc>
          <w:tcPr>
            <w:tcW w:w="7804" w:type="dxa"/>
            <w:vAlign w:val="top"/>
          </w:tcPr>
          <w:p>
            <w:pPr>
              <w:pStyle w:val="TableText"/>
              <w:ind w:left="140" w:right="79" w:hanging="59"/>
              <w:spacing w:before="221" w:line="245" w:lineRule="auto"/>
              <w:rPr>
                <w:sz w:val="25"/>
                <w:szCs w:val="25"/>
              </w:rPr>
            </w:pPr>
            <w:r>
              <w:rPr>
                <w:sz w:val="25"/>
                <w:szCs w:val="25"/>
              </w:rPr>
              <w:t>用人单位有1处可能发生急性职业损伤的有毒、有害工作场所、放射工</w:t>
            </w:r>
            <w:r>
              <w:rPr>
                <w:sz w:val="25"/>
                <w:szCs w:val="25"/>
                <w:spacing w:val="7"/>
              </w:rPr>
              <w:t xml:space="preserve"> </w:t>
            </w:r>
            <w:r>
              <w:rPr>
                <w:sz w:val="25"/>
                <w:szCs w:val="25"/>
              </w:rPr>
              <w:t>作场所或者放射性同位素的运输、贮存不符合本法第二十五条规定的</w:t>
            </w:r>
          </w:p>
        </w:tc>
        <w:tc>
          <w:tcPr>
            <w:tcW w:w="4362" w:type="dxa"/>
            <w:vAlign w:val="top"/>
          </w:tcPr>
          <w:p>
            <w:pPr>
              <w:spacing w:line="270" w:lineRule="auto"/>
              <w:rPr>
                <w:rFonts w:ascii="Arial"/>
                <w:sz w:val="21"/>
              </w:rPr>
            </w:pPr>
            <w:r/>
          </w:p>
          <w:p>
            <w:pPr>
              <w:pStyle w:val="TableText"/>
              <w:ind w:left="107"/>
              <w:spacing w:before="81" w:line="220" w:lineRule="auto"/>
              <w:rPr>
                <w:sz w:val="25"/>
                <w:szCs w:val="25"/>
              </w:rPr>
            </w:pPr>
            <w:r>
              <w:rPr>
                <w:sz w:val="25"/>
                <w:szCs w:val="25"/>
              </w:rPr>
              <w:t>处五万元以上十万元以下的罚款</w:t>
            </w:r>
          </w:p>
        </w:tc>
      </w:tr>
      <w:tr>
        <w:trPr>
          <w:trHeight w:val="808" w:hRule="atLeast"/>
        </w:trPr>
        <w:tc>
          <w:tcPr>
            <w:tcW w:w="1394" w:type="dxa"/>
            <w:vAlign w:val="top"/>
          </w:tcPr>
          <w:p>
            <w:pPr>
              <w:spacing w:line="269" w:lineRule="auto"/>
              <w:rPr>
                <w:rFonts w:ascii="Arial"/>
                <w:sz w:val="21"/>
              </w:rPr>
            </w:pPr>
            <w:r/>
          </w:p>
          <w:p>
            <w:pPr>
              <w:pStyle w:val="TableText"/>
              <w:ind w:left="438"/>
              <w:spacing w:before="81" w:line="221" w:lineRule="auto"/>
              <w:rPr>
                <w:sz w:val="25"/>
                <w:szCs w:val="25"/>
              </w:rPr>
            </w:pPr>
            <w:r>
              <w:rPr>
                <w:sz w:val="25"/>
                <w:szCs w:val="25"/>
                <w:b/>
                <w:bCs/>
                <w:spacing w:val="-10"/>
              </w:rPr>
              <w:t>一般</w:t>
            </w:r>
          </w:p>
        </w:tc>
        <w:tc>
          <w:tcPr>
            <w:tcW w:w="7804" w:type="dxa"/>
            <w:vAlign w:val="top"/>
          </w:tcPr>
          <w:p>
            <w:pPr>
              <w:pStyle w:val="TableText"/>
              <w:ind w:left="140" w:right="79" w:hanging="59"/>
              <w:spacing w:before="134" w:line="245" w:lineRule="auto"/>
              <w:rPr>
                <w:sz w:val="25"/>
                <w:szCs w:val="25"/>
              </w:rPr>
            </w:pPr>
            <w:r>
              <w:rPr>
                <w:sz w:val="25"/>
                <w:szCs w:val="25"/>
              </w:rPr>
              <w:t>用人单位有2处可能发生急性职业损伤的有毒、有害工作场所、放射工</w:t>
            </w:r>
            <w:r>
              <w:rPr>
                <w:sz w:val="25"/>
                <w:szCs w:val="25"/>
                <w:spacing w:val="7"/>
              </w:rPr>
              <w:t xml:space="preserve"> </w:t>
            </w:r>
            <w:r>
              <w:rPr>
                <w:sz w:val="25"/>
                <w:szCs w:val="25"/>
              </w:rPr>
              <w:t>作场所或者放射性同位素的运输、贮存不符合本法第二十五条规定的</w:t>
            </w:r>
          </w:p>
        </w:tc>
        <w:tc>
          <w:tcPr>
            <w:tcW w:w="4362" w:type="dxa"/>
            <w:vAlign w:val="top"/>
          </w:tcPr>
          <w:p>
            <w:pPr>
              <w:pStyle w:val="TableText"/>
              <w:ind w:left="107"/>
              <w:spacing w:before="284" w:line="220" w:lineRule="auto"/>
              <w:rPr>
                <w:sz w:val="25"/>
                <w:szCs w:val="25"/>
              </w:rPr>
            </w:pPr>
            <w:r>
              <w:rPr>
                <w:sz w:val="25"/>
                <w:szCs w:val="25"/>
              </w:rPr>
              <w:t>处十万元以上二十万元以下的罚款</w:t>
            </w:r>
          </w:p>
        </w:tc>
      </w:tr>
      <w:tr>
        <w:trPr>
          <w:trHeight w:val="808" w:hRule="atLeast"/>
        </w:trPr>
        <w:tc>
          <w:tcPr>
            <w:tcW w:w="1394" w:type="dxa"/>
            <w:vAlign w:val="top"/>
          </w:tcPr>
          <w:p>
            <w:pPr>
              <w:spacing w:line="283" w:lineRule="auto"/>
              <w:rPr>
                <w:rFonts w:ascii="Arial"/>
                <w:sz w:val="21"/>
              </w:rPr>
            </w:pPr>
            <w:r/>
          </w:p>
          <w:p>
            <w:pPr>
              <w:pStyle w:val="TableText"/>
              <w:ind w:left="438"/>
              <w:spacing w:before="81" w:line="221" w:lineRule="auto"/>
              <w:rPr>
                <w:sz w:val="25"/>
                <w:szCs w:val="25"/>
              </w:rPr>
            </w:pPr>
            <w:r>
              <w:rPr>
                <w:sz w:val="25"/>
                <w:szCs w:val="25"/>
                <w:b/>
                <w:bCs/>
                <w:spacing w:val="-6"/>
              </w:rPr>
              <w:t>较重</w:t>
            </w:r>
          </w:p>
        </w:tc>
        <w:tc>
          <w:tcPr>
            <w:tcW w:w="7804" w:type="dxa"/>
            <w:vAlign w:val="top"/>
          </w:tcPr>
          <w:p>
            <w:pPr>
              <w:pStyle w:val="TableText"/>
              <w:ind w:left="140" w:right="79" w:hanging="59"/>
              <w:spacing w:before="137" w:line="244" w:lineRule="auto"/>
              <w:rPr>
                <w:sz w:val="25"/>
                <w:szCs w:val="25"/>
              </w:rPr>
            </w:pPr>
            <w:r>
              <w:rPr>
                <w:sz w:val="25"/>
                <w:szCs w:val="25"/>
              </w:rPr>
              <w:t>用人单位有3处可能发生急性职业损伤的有毒、有害工作场所、放射工</w:t>
            </w:r>
            <w:r>
              <w:rPr>
                <w:sz w:val="25"/>
                <w:szCs w:val="25"/>
                <w:spacing w:val="7"/>
              </w:rPr>
              <w:t xml:space="preserve"> </w:t>
            </w:r>
            <w:r>
              <w:rPr>
                <w:sz w:val="25"/>
                <w:szCs w:val="25"/>
              </w:rPr>
              <w:t>作场所或者放射性同位素的运输、贮存不符合本法第二十五条规定的</w:t>
            </w:r>
          </w:p>
        </w:tc>
        <w:tc>
          <w:tcPr>
            <w:tcW w:w="4362" w:type="dxa"/>
            <w:vAlign w:val="top"/>
          </w:tcPr>
          <w:p>
            <w:pPr>
              <w:pStyle w:val="TableText"/>
              <w:ind w:left="107"/>
              <w:spacing w:before="287" w:line="220" w:lineRule="auto"/>
              <w:rPr>
                <w:sz w:val="25"/>
                <w:szCs w:val="25"/>
              </w:rPr>
            </w:pPr>
            <w:r>
              <w:rPr>
                <w:sz w:val="25"/>
                <w:szCs w:val="25"/>
              </w:rPr>
              <w:t>处二十万元以上三十万元以下的罚款</w:t>
            </w:r>
          </w:p>
        </w:tc>
      </w:tr>
      <w:tr>
        <w:trPr>
          <w:trHeight w:val="1022" w:hRule="atLeast"/>
        </w:trPr>
        <w:tc>
          <w:tcPr>
            <w:tcW w:w="1394" w:type="dxa"/>
            <w:vAlign w:val="top"/>
          </w:tcPr>
          <w:p>
            <w:pPr>
              <w:spacing w:line="381" w:lineRule="auto"/>
              <w:rPr>
                <w:rFonts w:ascii="Arial"/>
                <w:sz w:val="21"/>
              </w:rPr>
            </w:pPr>
            <w:r/>
          </w:p>
          <w:p>
            <w:pPr>
              <w:pStyle w:val="TableText"/>
              <w:ind w:left="438"/>
              <w:spacing w:before="82" w:line="220" w:lineRule="auto"/>
              <w:rPr>
                <w:sz w:val="25"/>
                <w:szCs w:val="25"/>
              </w:rPr>
            </w:pPr>
            <w:r>
              <w:rPr>
                <w:sz w:val="25"/>
                <w:szCs w:val="25"/>
                <w:b/>
                <w:bCs/>
                <w:spacing w:val="-6"/>
              </w:rPr>
              <w:t>严重</w:t>
            </w:r>
          </w:p>
        </w:tc>
        <w:tc>
          <w:tcPr>
            <w:tcW w:w="7804" w:type="dxa"/>
            <w:vAlign w:val="top"/>
          </w:tcPr>
          <w:p>
            <w:pPr>
              <w:pStyle w:val="TableText"/>
              <w:ind w:left="11" w:firstLine="69"/>
              <w:spacing w:before="267" w:line="245" w:lineRule="auto"/>
              <w:rPr>
                <w:sz w:val="25"/>
                <w:szCs w:val="25"/>
              </w:rPr>
            </w:pPr>
            <w:r>
              <w:rPr>
                <w:sz w:val="25"/>
                <w:szCs w:val="25"/>
                <w:spacing w:val="-1"/>
              </w:rPr>
              <w:t>用人单位有4处以上可能发生急性职业损伤的有毒、有害工作场所、放</w:t>
            </w:r>
            <w:r>
              <w:rPr>
                <w:sz w:val="25"/>
                <w:szCs w:val="25"/>
                <w:spacing w:val="1"/>
              </w:rPr>
              <w:t xml:space="preserve">  </w:t>
            </w:r>
            <w:r>
              <w:rPr>
                <w:sz w:val="25"/>
                <w:szCs w:val="25"/>
                <w:spacing w:val="-7"/>
              </w:rPr>
              <w:t>射工作场所或者放射性同位素的运输、贮存不符合本法第二十五条规定的</w:t>
            </w:r>
          </w:p>
        </w:tc>
        <w:tc>
          <w:tcPr>
            <w:tcW w:w="4362" w:type="dxa"/>
            <w:vAlign w:val="top"/>
          </w:tcPr>
          <w:p>
            <w:pPr>
              <w:pStyle w:val="TableText"/>
              <w:ind w:left="107"/>
              <w:spacing w:before="97" w:line="225" w:lineRule="auto"/>
              <w:jc w:val="both"/>
              <w:rPr>
                <w:sz w:val="25"/>
                <w:szCs w:val="25"/>
              </w:rPr>
            </w:pPr>
            <w:r>
              <w:rPr>
                <w:sz w:val="25"/>
                <w:szCs w:val="25"/>
                <w:spacing w:val="-1"/>
              </w:rPr>
              <w:t>责令停止产生职业病危害的作业，或者</w:t>
            </w:r>
            <w:r>
              <w:rPr>
                <w:sz w:val="25"/>
                <w:szCs w:val="25"/>
                <w:spacing w:val="10"/>
              </w:rPr>
              <w:t xml:space="preserve"> </w:t>
            </w:r>
            <w:r>
              <w:rPr>
                <w:sz w:val="25"/>
                <w:szCs w:val="25"/>
                <w:spacing w:val="-2"/>
              </w:rPr>
              <w:t>提请有关人民政府按照国务院规定的权</w:t>
            </w:r>
            <w:r>
              <w:rPr>
                <w:sz w:val="25"/>
                <w:szCs w:val="25"/>
                <w:spacing w:val="15"/>
              </w:rPr>
              <w:t xml:space="preserve"> </w:t>
            </w:r>
            <w:r>
              <w:rPr>
                <w:sz w:val="25"/>
                <w:szCs w:val="25"/>
                <w:spacing w:val="3"/>
              </w:rPr>
              <w:t>限责令关闭</w:t>
            </w:r>
          </w:p>
        </w:tc>
      </w:tr>
    </w:tbl>
    <w:p>
      <w:pPr>
        <w:ind w:left="649"/>
        <w:spacing w:before="107" w:line="220" w:lineRule="auto"/>
        <w:rPr>
          <w:rFonts w:ascii="FangSong" w:hAnsi="FangSong" w:eastAsia="FangSong" w:cs="FangSong"/>
          <w:sz w:val="30"/>
          <w:szCs w:val="30"/>
        </w:rPr>
      </w:pPr>
      <w:r>
        <w:rPr>
          <w:rFonts w:ascii="FangSong" w:hAnsi="FangSong" w:eastAsia="FangSong" w:cs="FangSong"/>
          <w:sz w:val="30"/>
          <w:szCs w:val="30"/>
          <w:b/>
          <w:bCs/>
          <w:spacing w:val="22"/>
        </w:rPr>
        <w:t>第四百七十七条使用国家明令禁止使用的可能产生职业</w:t>
      </w:r>
      <w:r>
        <w:rPr>
          <w:rFonts w:ascii="FangSong" w:hAnsi="FangSong" w:eastAsia="FangSong" w:cs="FangSong"/>
          <w:sz w:val="30"/>
          <w:szCs w:val="30"/>
          <w:b/>
          <w:bCs/>
          <w:spacing w:val="21"/>
        </w:rPr>
        <w:t>病危害的设备或者材料的</w:t>
      </w:r>
    </w:p>
    <w:p>
      <w:pPr>
        <w:ind w:left="645"/>
        <w:spacing w:before="11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5" w:firstLine="629"/>
        <w:spacing w:before="69" w:line="264" w:lineRule="auto"/>
        <w:jc w:val="both"/>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《中华人民共和国职业病防治法》第七十五条第(四)项</w:t>
      </w:r>
      <w:r>
        <w:rPr>
          <w:rFonts w:ascii="FangSong" w:hAnsi="FangSong" w:eastAsia="FangSong" w:cs="FangSong"/>
          <w:sz w:val="30"/>
          <w:szCs w:val="30"/>
          <w:spacing w:val="18"/>
        </w:rPr>
        <w:t xml:space="preserve">  </w:t>
      </w:r>
      <w:r>
        <w:rPr>
          <w:rFonts w:ascii="FangSong" w:hAnsi="FangSong" w:eastAsia="FangSong" w:cs="FangSong"/>
          <w:sz w:val="30"/>
          <w:szCs w:val="30"/>
          <w:spacing w:val="18"/>
        </w:rPr>
        <w:t>违反《中华人民共和国职业病防治</w:t>
      </w:r>
      <w:r>
        <w:rPr>
          <w:rFonts w:ascii="FangSong" w:hAnsi="FangSong" w:eastAsia="FangSong" w:cs="FangSong"/>
          <w:sz w:val="30"/>
          <w:szCs w:val="30"/>
        </w:rPr>
        <w:t xml:space="preserve"> </w:t>
      </w:r>
      <w:r>
        <w:rPr>
          <w:rFonts w:ascii="FangSong" w:hAnsi="FangSong" w:eastAsia="FangSong" w:cs="FangSong"/>
          <w:sz w:val="30"/>
          <w:szCs w:val="30"/>
          <w:spacing w:val="12"/>
        </w:rPr>
        <w:t>法》规定，有下列情形之一的，由卫生行政部门责令限</w:t>
      </w:r>
      <w:r>
        <w:rPr>
          <w:rFonts w:ascii="FangSong" w:hAnsi="FangSong" w:eastAsia="FangSong" w:cs="FangSong"/>
          <w:sz w:val="30"/>
          <w:szCs w:val="30"/>
          <w:spacing w:val="11"/>
        </w:rPr>
        <w:t>期治理，并处五万元以上三十万元以下的罚款；</w:t>
      </w:r>
      <w:r>
        <w:rPr>
          <w:rFonts w:ascii="FangSong" w:hAnsi="FangSong" w:eastAsia="FangSong" w:cs="FangSong"/>
          <w:sz w:val="30"/>
          <w:szCs w:val="30"/>
        </w:rPr>
        <w:t xml:space="preserve"> </w:t>
      </w:r>
      <w:r>
        <w:rPr>
          <w:rFonts w:ascii="FangSong" w:hAnsi="FangSong" w:eastAsia="FangSong" w:cs="FangSong"/>
          <w:sz w:val="30"/>
          <w:szCs w:val="30"/>
          <w:spacing w:val="16"/>
        </w:rPr>
        <w:t>情节严重的，责令停止产生职业病危害的作业，或者提请有关人民政府按照国务院规定的权限责令关</w:t>
      </w:r>
      <w:r>
        <w:rPr>
          <w:rFonts w:ascii="FangSong" w:hAnsi="FangSong" w:eastAsia="FangSong" w:cs="FangSong"/>
          <w:sz w:val="30"/>
          <w:szCs w:val="30"/>
          <w:spacing w:val="17"/>
        </w:rPr>
        <w:t xml:space="preserve"> </w:t>
      </w:r>
      <w:r>
        <w:rPr>
          <w:rFonts w:ascii="FangSong" w:hAnsi="FangSong" w:eastAsia="FangSong" w:cs="FangSong"/>
          <w:sz w:val="30"/>
          <w:szCs w:val="30"/>
          <w:spacing w:val="-16"/>
        </w:rPr>
        <w:t>闭：</w:t>
      </w:r>
    </w:p>
    <w:p>
      <w:pPr>
        <w:ind w:left="795"/>
        <w:spacing w:line="220" w:lineRule="auto"/>
        <w:rPr>
          <w:rFonts w:ascii="FangSong" w:hAnsi="FangSong" w:eastAsia="FangSong" w:cs="FangSong"/>
          <w:sz w:val="30"/>
          <w:szCs w:val="30"/>
        </w:rPr>
      </w:pPr>
      <w:r>
        <w:rPr>
          <w:rFonts w:ascii="FangSong" w:hAnsi="FangSong" w:eastAsia="FangSong" w:cs="FangSong"/>
          <w:sz w:val="30"/>
          <w:szCs w:val="30"/>
          <w:spacing w:val="22"/>
        </w:rPr>
        <w:t>(四)使用国家明令禁止使用的可能产生职业病危害的设备或者材料的。</w:t>
      </w:r>
    </w:p>
    <w:p>
      <w:pPr>
        <w:spacing w:line="220" w:lineRule="auto"/>
        <w:sectPr>
          <w:footerReference w:type="default" r:id="rId510"/>
          <w:pgSz w:w="16830" w:h="11900"/>
          <w:pgMar w:top="1011" w:right="1359" w:bottom="1108" w:left="1434" w:header="0" w:footer="775" w:gutter="0"/>
        </w:sectPr>
        <w:rPr>
          <w:rFonts w:ascii="FangSong" w:hAnsi="FangSong" w:eastAsia="FangSong" w:cs="FangSong"/>
          <w:sz w:val="30"/>
          <w:szCs w:val="30"/>
        </w:rPr>
      </w:pPr>
    </w:p>
    <w:p>
      <w:pPr>
        <w:pStyle w:val="BodyText"/>
        <w:spacing w:line="265" w:lineRule="auto"/>
        <w:rPr/>
      </w:pPr>
      <w:r/>
    </w:p>
    <w:p>
      <w:pPr>
        <w:pStyle w:val="BodyText"/>
        <w:spacing w:line="265" w:lineRule="auto"/>
        <w:rPr/>
      </w:pPr>
      <w:r/>
    </w:p>
    <w:p>
      <w:pPr>
        <w:pStyle w:val="BodyText"/>
        <w:spacing w:line="265" w:lineRule="auto"/>
        <w:rPr/>
      </w:pPr>
      <w:r/>
    </w:p>
    <w:p>
      <w:pPr>
        <w:ind w:left="14" w:firstLine="640"/>
        <w:spacing w:before="97" w:line="263" w:lineRule="auto"/>
        <w:rPr>
          <w:rFonts w:ascii="FangSong" w:hAnsi="FangSong" w:eastAsia="FangSong" w:cs="FangSong"/>
          <w:sz w:val="30"/>
          <w:szCs w:val="30"/>
        </w:rPr>
      </w:pPr>
      <w:r>
        <w:rPr>
          <w:rFonts w:ascii="FangSong" w:hAnsi="FangSong" w:eastAsia="FangSong" w:cs="FangSong"/>
          <w:sz w:val="30"/>
          <w:szCs w:val="30"/>
          <w:spacing w:val="15"/>
        </w:rPr>
        <w:t>2.</w:t>
      </w:r>
      <w:r>
        <w:rPr>
          <w:rFonts w:ascii="FangSong" w:hAnsi="FangSong" w:eastAsia="FangSong" w:cs="FangSong"/>
          <w:sz w:val="30"/>
          <w:szCs w:val="30"/>
          <w:spacing w:val="15"/>
        </w:rPr>
        <w:t xml:space="preserve"> </w:t>
      </w:r>
      <w:r>
        <w:rPr>
          <w:rFonts w:ascii="FangSong" w:hAnsi="FangSong" w:eastAsia="FangSong" w:cs="FangSong"/>
          <w:sz w:val="30"/>
          <w:szCs w:val="30"/>
          <w:spacing w:val="15"/>
        </w:rPr>
        <w:t>《使用有毒物品作业场所劳动保护条例》第六十二条</w:t>
      </w:r>
      <w:r>
        <w:rPr>
          <w:rFonts w:ascii="FangSong" w:hAnsi="FangSong" w:eastAsia="FangSong" w:cs="FangSong"/>
          <w:sz w:val="30"/>
          <w:szCs w:val="30"/>
          <w:spacing w:val="15"/>
        </w:rPr>
        <w:t xml:space="preserve">   </w:t>
      </w:r>
      <w:r>
        <w:rPr>
          <w:rFonts w:ascii="FangSong" w:hAnsi="FangSong" w:eastAsia="FangSong" w:cs="FangSong"/>
          <w:sz w:val="30"/>
          <w:szCs w:val="30"/>
          <w:spacing w:val="15"/>
        </w:rPr>
        <w:t>在作业场所使用国家</w:t>
      </w:r>
      <w:r>
        <w:rPr>
          <w:rFonts w:ascii="FangSong" w:hAnsi="FangSong" w:eastAsia="FangSong" w:cs="FangSong"/>
          <w:sz w:val="30"/>
          <w:szCs w:val="30"/>
          <w:spacing w:val="14"/>
        </w:rPr>
        <w:t>明令禁止使用的</w:t>
      </w:r>
      <w:r>
        <w:rPr>
          <w:rFonts w:ascii="FangSong" w:hAnsi="FangSong" w:eastAsia="FangSong" w:cs="FangSong"/>
          <w:sz w:val="30"/>
          <w:szCs w:val="30"/>
        </w:rPr>
        <w:t xml:space="preserve"> </w:t>
      </w:r>
      <w:r>
        <w:rPr>
          <w:rFonts w:ascii="FangSong" w:hAnsi="FangSong" w:eastAsia="FangSong" w:cs="FangSong"/>
          <w:sz w:val="30"/>
          <w:szCs w:val="30"/>
          <w:spacing w:val="20"/>
        </w:rPr>
        <w:t>有毒物品或者使用不符合国家标准的有毒物品的，由疾病预防控制部门责令立即停止使用，处5万元</w:t>
      </w:r>
      <w:r>
        <w:rPr>
          <w:rFonts w:ascii="FangSong" w:hAnsi="FangSong" w:eastAsia="FangSong" w:cs="FangSong"/>
          <w:sz w:val="30"/>
          <w:szCs w:val="30"/>
          <w:spacing w:val="14"/>
        </w:rPr>
        <w:t xml:space="preserve"> </w:t>
      </w:r>
      <w:r>
        <w:rPr>
          <w:rFonts w:ascii="FangSong" w:hAnsi="FangSong" w:eastAsia="FangSong" w:cs="FangSong"/>
          <w:sz w:val="30"/>
          <w:szCs w:val="30"/>
          <w:spacing w:val="24"/>
        </w:rPr>
        <w:t>以上30万元以下的罚款；情节严重的，责令停止使用</w:t>
      </w:r>
      <w:r>
        <w:rPr>
          <w:rFonts w:ascii="FangSong" w:hAnsi="FangSong" w:eastAsia="FangSong" w:cs="FangSong"/>
          <w:sz w:val="30"/>
          <w:szCs w:val="30"/>
          <w:spacing w:val="23"/>
        </w:rPr>
        <w:t>有毒物品作业，或者提请有关人民政府按照国</w:t>
      </w:r>
      <w:r>
        <w:rPr>
          <w:rFonts w:ascii="FangSong" w:hAnsi="FangSong" w:eastAsia="FangSong" w:cs="FangSong"/>
          <w:sz w:val="30"/>
          <w:szCs w:val="30"/>
        </w:rPr>
        <w:t xml:space="preserve"> </w:t>
      </w:r>
      <w:r>
        <w:rPr>
          <w:rFonts w:ascii="FangSong" w:hAnsi="FangSong" w:eastAsia="FangSong" w:cs="FangSong"/>
          <w:sz w:val="30"/>
          <w:szCs w:val="30"/>
          <w:spacing w:val="16"/>
        </w:rPr>
        <w:t>务院规定的权限予以关闭；造成严重职业中毒危害或者导致职业中毒事故发生的，对负有责任的主管</w:t>
      </w:r>
      <w:r>
        <w:rPr>
          <w:rFonts w:ascii="FangSong" w:hAnsi="FangSong" w:eastAsia="FangSong" w:cs="FangSong"/>
          <w:sz w:val="30"/>
          <w:szCs w:val="30"/>
          <w:spacing w:val="8"/>
        </w:rPr>
        <w:t xml:space="preserve"> </w:t>
      </w:r>
      <w:r>
        <w:rPr>
          <w:rFonts w:ascii="FangSong" w:hAnsi="FangSong" w:eastAsia="FangSong" w:cs="FangSong"/>
          <w:sz w:val="30"/>
          <w:szCs w:val="30"/>
          <w:spacing w:val="16"/>
        </w:rPr>
        <w:t>人员和其他直接责任人员依照刑法关于危险物品肇事罪、重大责任事故罪或者其他罪的规定，依法追</w:t>
      </w:r>
      <w:r>
        <w:rPr>
          <w:rFonts w:ascii="FangSong" w:hAnsi="FangSong" w:eastAsia="FangSong" w:cs="FangSong"/>
          <w:sz w:val="30"/>
          <w:szCs w:val="30"/>
          <w:spacing w:val="16"/>
        </w:rPr>
        <w:t xml:space="preserve"> </w:t>
      </w:r>
      <w:r>
        <w:rPr>
          <w:rFonts w:ascii="FangSong" w:hAnsi="FangSong" w:eastAsia="FangSong" w:cs="FangSong"/>
          <w:sz w:val="30"/>
          <w:szCs w:val="30"/>
          <w:spacing w:val="8"/>
        </w:rPr>
        <w:t>究刑事责任。</w:t>
      </w:r>
    </w:p>
    <w:p>
      <w:pPr>
        <w:ind w:left="14" w:right="22" w:firstLine="649"/>
        <w:spacing w:before="82" w:line="254" w:lineRule="auto"/>
        <w:rPr>
          <w:rFonts w:ascii="FangSong" w:hAnsi="FangSong" w:eastAsia="FangSong" w:cs="FangSong"/>
          <w:sz w:val="30"/>
          <w:szCs w:val="30"/>
        </w:rPr>
      </w:pPr>
      <w:r>
        <w:rPr>
          <w:rFonts w:ascii="FangSong" w:hAnsi="FangSong" w:eastAsia="FangSong" w:cs="FangSong"/>
          <w:sz w:val="30"/>
          <w:szCs w:val="30"/>
          <w:spacing w:val="12"/>
        </w:rPr>
        <w:t>3.</w:t>
      </w:r>
      <w:r>
        <w:rPr>
          <w:rFonts w:ascii="FangSong" w:hAnsi="FangSong" w:eastAsia="FangSong" w:cs="FangSong"/>
          <w:sz w:val="30"/>
          <w:szCs w:val="30"/>
          <w:spacing w:val="12"/>
        </w:rPr>
        <w:t xml:space="preserve"> </w:t>
      </w:r>
      <w:r>
        <w:rPr>
          <w:rFonts w:ascii="FangSong" w:hAnsi="FangSong" w:eastAsia="FangSong" w:cs="FangSong"/>
          <w:sz w:val="30"/>
          <w:szCs w:val="30"/>
          <w:spacing w:val="12"/>
        </w:rPr>
        <w:t>《工作场所职业卫生管理规定》第五十一条第四项</w:t>
      </w:r>
      <w:r>
        <w:rPr>
          <w:rFonts w:ascii="FangSong" w:hAnsi="FangSong" w:eastAsia="FangSong" w:cs="FangSong"/>
          <w:sz w:val="30"/>
          <w:szCs w:val="30"/>
          <w:spacing w:val="11"/>
        </w:rPr>
        <w:t xml:space="preserve">  </w:t>
      </w:r>
      <w:r>
        <w:rPr>
          <w:rFonts w:ascii="FangSong" w:hAnsi="FangSong" w:eastAsia="FangSong" w:cs="FangSong"/>
          <w:sz w:val="30"/>
          <w:szCs w:val="30"/>
          <w:spacing w:val="11"/>
        </w:rPr>
        <w:t>用人单位有下列情形之一的，依法责令限</w:t>
      </w:r>
      <w:r>
        <w:rPr>
          <w:rFonts w:ascii="FangSong" w:hAnsi="FangSong" w:eastAsia="FangSong" w:cs="FangSong"/>
          <w:sz w:val="30"/>
          <w:szCs w:val="30"/>
        </w:rPr>
        <w:t xml:space="preserve"> </w:t>
      </w:r>
      <w:r>
        <w:rPr>
          <w:rFonts w:ascii="FangSong" w:hAnsi="FangSong" w:eastAsia="FangSong" w:cs="FangSong"/>
          <w:sz w:val="30"/>
          <w:szCs w:val="30"/>
          <w:spacing w:val="16"/>
        </w:rPr>
        <w:t>期改正，并处五万元以上三十万元以下的罚款；情节严重的，责令停止产生职业病危害的作业，或者</w:t>
      </w:r>
      <w:r>
        <w:rPr>
          <w:rFonts w:ascii="FangSong" w:hAnsi="FangSong" w:eastAsia="FangSong" w:cs="FangSong"/>
          <w:sz w:val="30"/>
          <w:szCs w:val="30"/>
          <w:spacing w:val="18"/>
        </w:rPr>
        <w:t xml:space="preserve"> </w:t>
      </w:r>
      <w:r>
        <w:rPr>
          <w:rFonts w:ascii="FangSong" w:hAnsi="FangSong" w:eastAsia="FangSong" w:cs="FangSong"/>
          <w:sz w:val="30"/>
          <w:szCs w:val="30"/>
          <w:spacing w:val="16"/>
        </w:rPr>
        <w:t>提请有关人民政府按照国务院规定的权限责令关闭：</w:t>
      </w:r>
    </w:p>
    <w:p>
      <w:pPr>
        <w:ind w:left="804"/>
        <w:spacing w:before="82" w:line="220" w:lineRule="auto"/>
        <w:rPr>
          <w:rFonts w:ascii="FangSong" w:hAnsi="FangSong" w:eastAsia="FangSong" w:cs="FangSong"/>
          <w:sz w:val="30"/>
          <w:szCs w:val="30"/>
        </w:rPr>
      </w:pPr>
      <w:r>
        <w:rPr>
          <w:rFonts w:ascii="FangSong" w:hAnsi="FangSong" w:eastAsia="FangSong" w:cs="FangSong"/>
          <w:sz w:val="30"/>
          <w:szCs w:val="30"/>
          <w:spacing w:val="22"/>
        </w:rPr>
        <w:t>(四)使用国家明令禁止使用的可能产生职业病危害的设备</w:t>
      </w:r>
      <w:r>
        <w:rPr>
          <w:rFonts w:ascii="FangSong" w:hAnsi="FangSong" w:eastAsia="FangSong" w:cs="FangSong"/>
          <w:sz w:val="30"/>
          <w:szCs w:val="30"/>
          <w:spacing w:val="21"/>
        </w:rPr>
        <w:t>或者材料的；</w:t>
      </w:r>
    </w:p>
    <w:p>
      <w:pPr>
        <w:ind w:left="6429"/>
        <w:spacing w:before="214" w:line="208"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7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8643"/>
        <w:gridCol w:w="3702"/>
      </w:tblGrid>
      <w:tr>
        <w:trPr>
          <w:trHeight w:val="653" w:hRule="atLeast"/>
        </w:trPr>
        <w:tc>
          <w:tcPr>
            <w:tcW w:w="1414" w:type="dxa"/>
            <w:vAlign w:val="top"/>
          </w:tcPr>
          <w:p>
            <w:pPr>
              <w:pStyle w:val="TableText"/>
              <w:ind w:left="198"/>
              <w:spacing w:before="202" w:line="220" w:lineRule="auto"/>
              <w:rPr>
                <w:sz w:val="25"/>
                <w:szCs w:val="25"/>
              </w:rPr>
            </w:pPr>
            <w:r>
              <w:rPr>
                <w:sz w:val="25"/>
                <w:szCs w:val="25"/>
                <w:b/>
                <w:bCs/>
                <w:spacing w:val="-5"/>
              </w:rPr>
              <w:t>违法程度</w:t>
            </w:r>
          </w:p>
        </w:tc>
        <w:tc>
          <w:tcPr>
            <w:tcW w:w="8643" w:type="dxa"/>
            <w:vAlign w:val="top"/>
          </w:tcPr>
          <w:p>
            <w:pPr>
              <w:pStyle w:val="TableText"/>
              <w:ind w:left="3814"/>
              <w:spacing w:before="202" w:line="220" w:lineRule="auto"/>
              <w:rPr>
                <w:sz w:val="25"/>
                <w:szCs w:val="25"/>
              </w:rPr>
            </w:pPr>
            <w:r>
              <w:rPr>
                <w:sz w:val="25"/>
                <w:szCs w:val="25"/>
                <w:b/>
                <w:bCs/>
                <w:spacing w:val="-5"/>
              </w:rPr>
              <w:t>情节后果</w:t>
            </w:r>
          </w:p>
        </w:tc>
        <w:tc>
          <w:tcPr>
            <w:tcW w:w="3702" w:type="dxa"/>
            <w:vAlign w:val="top"/>
          </w:tcPr>
          <w:p>
            <w:pPr>
              <w:pStyle w:val="TableText"/>
              <w:ind w:left="1281"/>
              <w:spacing w:before="199" w:line="218" w:lineRule="auto"/>
              <w:rPr>
                <w:sz w:val="25"/>
                <w:szCs w:val="25"/>
              </w:rPr>
            </w:pPr>
            <w:r>
              <w:rPr>
                <w:sz w:val="25"/>
                <w:szCs w:val="25"/>
                <w:b/>
                <w:bCs/>
                <w:spacing w:val="-5"/>
              </w:rPr>
              <w:t>裁量幅度</w:t>
            </w:r>
          </w:p>
        </w:tc>
      </w:tr>
      <w:tr>
        <w:trPr>
          <w:trHeight w:val="707" w:hRule="atLeast"/>
        </w:trPr>
        <w:tc>
          <w:tcPr>
            <w:tcW w:w="1414" w:type="dxa"/>
            <w:vAlign w:val="top"/>
          </w:tcPr>
          <w:p>
            <w:pPr>
              <w:pStyle w:val="TableText"/>
              <w:ind w:left="448"/>
              <w:spacing w:before="288" w:line="219" w:lineRule="auto"/>
              <w:rPr>
                <w:sz w:val="25"/>
                <w:szCs w:val="25"/>
              </w:rPr>
            </w:pPr>
            <w:r>
              <w:rPr>
                <w:sz w:val="25"/>
                <w:szCs w:val="25"/>
                <w:b/>
                <w:bCs/>
                <w:spacing w:val="-6"/>
              </w:rPr>
              <w:t>轻微</w:t>
            </w:r>
          </w:p>
        </w:tc>
        <w:tc>
          <w:tcPr>
            <w:tcW w:w="8643" w:type="dxa"/>
            <w:vAlign w:val="top"/>
          </w:tcPr>
          <w:p>
            <w:pPr>
              <w:pStyle w:val="TableText"/>
              <w:ind w:left="120"/>
              <w:spacing w:before="230" w:line="219" w:lineRule="auto"/>
              <w:rPr>
                <w:sz w:val="25"/>
                <w:szCs w:val="25"/>
              </w:rPr>
            </w:pPr>
            <w:r>
              <w:rPr>
                <w:sz w:val="25"/>
                <w:szCs w:val="25"/>
                <w:spacing w:val="1"/>
              </w:rPr>
              <w:t>使用3台(种)以下国家明令禁止使用的可能产生职</w:t>
            </w:r>
            <w:r>
              <w:rPr>
                <w:sz w:val="25"/>
                <w:szCs w:val="25"/>
              </w:rPr>
              <w:t>业病危害的设备或者材料的</w:t>
            </w:r>
          </w:p>
        </w:tc>
        <w:tc>
          <w:tcPr>
            <w:tcW w:w="3702" w:type="dxa"/>
            <w:vAlign w:val="top"/>
          </w:tcPr>
          <w:p>
            <w:pPr>
              <w:spacing w:line="250" w:lineRule="auto"/>
              <w:rPr>
                <w:rFonts w:ascii="Arial"/>
                <w:sz w:val="21"/>
              </w:rPr>
            </w:pPr>
            <w:r/>
          </w:p>
          <w:p>
            <w:pPr>
              <w:pStyle w:val="TableText"/>
              <w:ind w:left="88"/>
              <w:spacing w:before="81" w:line="220" w:lineRule="auto"/>
              <w:rPr>
                <w:sz w:val="25"/>
                <w:szCs w:val="25"/>
              </w:rPr>
            </w:pPr>
            <w:r>
              <w:rPr>
                <w:sz w:val="25"/>
                <w:szCs w:val="25"/>
              </w:rPr>
              <w:t>处五万以上十万元以下的罚款</w:t>
            </w:r>
          </w:p>
        </w:tc>
      </w:tr>
      <w:tr>
        <w:trPr>
          <w:trHeight w:val="817" w:hRule="atLeast"/>
        </w:trPr>
        <w:tc>
          <w:tcPr>
            <w:tcW w:w="1414" w:type="dxa"/>
            <w:vAlign w:val="top"/>
          </w:tcPr>
          <w:p>
            <w:pPr>
              <w:spacing w:line="270" w:lineRule="auto"/>
              <w:rPr>
                <w:rFonts w:ascii="Arial"/>
                <w:sz w:val="21"/>
              </w:rPr>
            </w:pPr>
            <w:r/>
          </w:p>
          <w:p>
            <w:pPr>
              <w:pStyle w:val="TableText"/>
              <w:ind w:left="448"/>
              <w:spacing w:before="81" w:line="221" w:lineRule="auto"/>
              <w:rPr>
                <w:sz w:val="25"/>
                <w:szCs w:val="25"/>
              </w:rPr>
            </w:pPr>
            <w:r>
              <w:rPr>
                <w:sz w:val="25"/>
                <w:szCs w:val="25"/>
                <w:b/>
                <w:bCs/>
                <w:spacing w:val="-10"/>
              </w:rPr>
              <w:t>一般</w:t>
            </w:r>
          </w:p>
        </w:tc>
        <w:tc>
          <w:tcPr>
            <w:tcW w:w="8643" w:type="dxa"/>
            <w:vAlign w:val="top"/>
          </w:tcPr>
          <w:p>
            <w:pPr>
              <w:pStyle w:val="TableText"/>
              <w:ind w:left="120" w:right="302" w:firstLine="190"/>
              <w:spacing w:before="135" w:line="248" w:lineRule="auto"/>
              <w:rPr>
                <w:sz w:val="25"/>
                <w:szCs w:val="25"/>
              </w:rPr>
            </w:pPr>
            <w:r>
              <w:rPr>
                <w:sz w:val="25"/>
                <w:szCs w:val="25"/>
              </w:rPr>
              <w:t>使用4台(种)以上6台(种)以下国家明令禁止使用的可能产生职业病危害的</w:t>
            </w:r>
            <w:r>
              <w:rPr>
                <w:sz w:val="25"/>
                <w:szCs w:val="25"/>
                <w:spacing w:val="18"/>
              </w:rPr>
              <w:t xml:space="preserve"> </w:t>
            </w:r>
            <w:r>
              <w:rPr>
                <w:sz w:val="25"/>
                <w:szCs w:val="25"/>
                <w:spacing w:val="2"/>
              </w:rPr>
              <w:t>设备或者材料的</w:t>
            </w:r>
          </w:p>
        </w:tc>
        <w:tc>
          <w:tcPr>
            <w:tcW w:w="3702" w:type="dxa"/>
            <w:vAlign w:val="top"/>
          </w:tcPr>
          <w:p>
            <w:pPr>
              <w:pStyle w:val="TableText"/>
              <w:ind w:left="127"/>
              <w:spacing w:before="226" w:line="220" w:lineRule="auto"/>
              <w:rPr>
                <w:sz w:val="25"/>
                <w:szCs w:val="25"/>
              </w:rPr>
            </w:pPr>
            <w:r>
              <w:rPr>
                <w:sz w:val="25"/>
                <w:szCs w:val="25"/>
                <w:spacing w:val="2"/>
              </w:rPr>
              <w:t>处十万元以上二十万元以下的罚</w:t>
            </w:r>
          </w:p>
          <w:p>
            <w:pPr>
              <w:pStyle w:val="TableText"/>
              <w:ind w:left="88"/>
              <w:spacing w:before="2" w:line="207" w:lineRule="auto"/>
              <w:rPr>
                <w:sz w:val="25"/>
                <w:szCs w:val="25"/>
              </w:rPr>
            </w:pPr>
            <w:r>
              <w:rPr>
                <w:sz w:val="25"/>
                <w:szCs w:val="25"/>
                <w:color w:val="405060"/>
              </w:rPr>
              <w:t>款</w:t>
            </w:r>
          </w:p>
        </w:tc>
      </w:tr>
      <w:tr>
        <w:trPr>
          <w:trHeight w:val="822" w:hRule="atLeast"/>
        </w:trPr>
        <w:tc>
          <w:tcPr>
            <w:tcW w:w="1414" w:type="dxa"/>
            <w:vAlign w:val="top"/>
          </w:tcPr>
          <w:p>
            <w:pPr>
              <w:spacing w:line="294" w:lineRule="auto"/>
              <w:rPr>
                <w:rFonts w:ascii="Arial"/>
                <w:sz w:val="21"/>
              </w:rPr>
            </w:pPr>
            <w:r/>
          </w:p>
          <w:p>
            <w:pPr>
              <w:pStyle w:val="TableText"/>
              <w:ind w:left="448"/>
              <w:spacing w:before="82" w:line="221" w:lineRule="auto"/>
              <w:rPr>
                <w:sz w:val="25"/>
                <w:szCs w:val="25"/>
              </w:rPr>
            </w:pPr>
            <w:r>
              <w:rPr>
                <w:sz w:val="25"/>
                <w:szCs w:val="25"/>
                <w:b/>
                <w:bCs/>
                <w:spacing w:val="-6"/>
              </w:rPr>
              <w:t>较重</w:t>
            </w:r>
          </w:p>
        </w:tc>
        <w:tc>
          <w:tcPr>
            <w:tcW w:w="8643" w:type="dxa"/>
            <w:vAlign w:val="top"/>
          </w:tcPr>
          <w:p>
            <w:pPr>
              <w:pStyle w:val="TableText"/>
              <w:ind w:left="120" w:right="120"/>
              <w:spacing w:before="167" w:line="238" w:lineRule="auto"/>
              <w:rPr>
                <w:sz w:val="25"/>
                <w:szCs w:val="25"/>
              </w:rPr>
            </w:pPr>
            <w:r>
              <w:rPr>
                <w:sz w:val="25"/>
                <w:szCs w:val="25"/>
              </w:rPr>
              <w:t>使用7台(种)以上10台以下国家明令禁止使用的可能产生职业病危害的设备或</w:t>
            </w:r>
            <w:r>
              <w:rPr>
                <w:sz w:val="25"/>
                <w:szCs w:val="25"/>
                <w:spacing w:val="15"/>
              </w:rPr>
              <w:t xml:space="preserve"> </w:t>
            </w:r>
            <w:r>
              <w:rPr>
                <w:sz w:val="25"/>
                <w:szCs w:val="25"/>
                <w:spacing w:val="4"/>
              </w:rPr>
              <w:t>者材料的</w:t>
            </w:r>
          </w:p>
        </w:tc>
        <w:tc>
          <w:tcPr>
            <w:tcW w:w="3702" w:type="dxa"/>
            <w:vAlign w:val="top"/>
          </w:tcPr>
          <w:p>
            <w:pPr>
              <w:pStyle w:val="TableText"/>
              <w:ind w:left="137"/>
              <w:spacing w:before="229" w:line="220" w:lineRule="auto"/>
              <w:rPr>
                <w:sz w:val="25"/>
                <w:szCs w:val="25"/>
              </w:rPr>
            </w:pPr>
            <w:r>
              <w:rPr>
                <w:sz w:val="25"/>
                <w:szCs w:val="25"/>
                <w:spacing w:val="1"/>
              </w:rPr>
              <w:t>处二十万元以上三十万元以下的</w:t>
            </w:r>
          </w:p>
          <w:p>
            <w:pPr>
              <w:pStyle w:val="TableText"/>
              <w:ind w:left="88"/>
              <w:spacing w:before="23" w:line="193" w:lineRule="auto"/>
              <w:rPr>
                <w:sz w:val="25"/>
                <w:szCs w:val="25"/>
              </w:rPr>
            </w:pPr>
            <w:r>
              <w:rPr>
                <w:sz w:val="25"/>
                <w:szCs w:val="25"/>
                <w:color w:val="605050"/>
                <w:spacing w:val="5"/>
              </w:rPr>
              <w:t>罚款</w:t>
            </w:r>
          </w:p>
        </w:tc>
      </w:tr>
    </w:tbl>
    <w:p>
      <w:pPr>
        <w:pStyle w:val="BodyText"/>
        <w:rPr/>
      </w:pPr>
      <w:r/>
    </w:p>
    <w:p>
      <w:pPr>
        <w:sectPr>
          <w:footerReference w:type="default" r:id="rId511"/>
          <w:pgSz w:w="16830" w:h="11900"/>
          <w:pgMar w:top="1011" w:right="1444" w:bottom="1118" w:left="1425" w:header="0" w:footer="785" w:gutter="0"/>
        </w:sectPr>
        <w:rPr/>
      </w:pPr>
    </w:p>
    <w:p>
      <w:pPr>
        <w:spacing w:before="13"/>
        <w:rPr/>
      </w:pPr>
      <w:r/>
    </w:p>
    <w:p>
      <w:pPr>
        <w:spacing w:before="13"/>
        <w:rPr/>
      </w:pPr>
      <w:r/>
    </w:p>
    <w:p>
      <w:pPr>
        <w:spacing w:before="13"/>
        <w:rPr/>
      </w:pPr>
      <w:r/>
    </w:p>
    <w:tbl>
      <w:tblPr>
        <w:tblStyle w:val="TableNormal"/>
        <w:tblW w:w="13759" w:type="dxa"/>
        <w:tblInd w:w="1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3"/>
        <w:gridCol w:w="8644"/>
        <w:gridCol w:w="3702"/>
      </w:tblGrid>
      <w:tr>
        <w:trPr>
          <w:trHeight w:val="1180" w:hRule="atLeast"/>
        </w:trPr>
        <w:tc>
          <w:tcPr>
            <w:tcW w:w="1413" w:type="dxa"/>
            <w:vAlign w:val="top"/>
          </w:tcPr>
          <w:p>
            <w:pPr>
              <w:spacing w:line="458" w:lineRule="auto"/>
              <w:rPr>
                <w:rFonts w:ascii="Arial"/>
                <w:sz w:val="21"/>
              </w:rPr>
            </w:pPr>
            <w:r/>
          </w:p>
          <w:p>
            <w:pPr>
              <w:pStyle w:val="TableText"/>
              <w:ind w:left="448"/>
              <w:spacing w:before="81" w:line="220" w:lineRule="auto"/>
              <w:rPr>
                <w:sz w:val="25"/>
                <w:szCs w:val="25"/>
              </w:rPr>
            </w:pPr>
            <w:bookmarkStart w:name="bookmark1141" w:id="516"/>
            <w:bookmarkEnd w:id="516"/>
            <w:r>
              <w:rPr>
                <w:sz w:val="25"/>
                <w:szCs w:val="25"/>
                <w:b/>
                <w:bCs/>
                <w:spacing w:val="-6"/>
              </w:rPr>
              <w:t>严重</w:t>
            </w:r>
          </w:p>
        </w:tc>
        <w:tc>
          <w:tcPr>
            <w:tcW w:w="8644" w:type="dxa"/>
            <w:vAlign w:val="top"/>
          </w:tcPr>
          <w:p>
            <w:pPr>
              <w:spacing w:line="252" w:lineRule="auto"/>
              <w:rPr>
                <w:rFonts w:ascii="Arial"/>
                <w:sz w:val="21"/>
              </w:rPr>
            </w:pPr>
            <w:r/>
          </w:p>
          <w:p>
            <w:pPr>
              <w:pStyle w:val="TableText"/>
              <w:ind w:left="10" w:hanging="9"/>
              <w:spacing w:before="81" w:line="245" w:lineRule="auto"/>
              <w:rPr>
                <w:sz w:val="25"/>
                <w:szCs w:val="25"/>
              </w:rPr>
            </w:pPr>
            <w:r>
              <w:rPr>
                <w:sz w:val="25"/>
                <w:szCs w:val="25"/>
                <w:spacing w:val="-3"/>
              </w:rPr>
              <w:t>使用11台(种)以上国家明令禁止使用的可能产生职业病危害的</w:t>
            </w:r>
            <w:r>
              <w:rPr>
                <w:sz w:val="25"/>
                <w:szCs w:val="25"/>
                <w:spacing w:val="-4"/>
              </w:rPr>
              <w:t>设备或者材料的，</w:t>
            </w:r>
            <w:r>
              <w:rPr>
                <w:sz w:val="25"/>
                <w:szCs w:val="25"/>
              </w:rPr>
              <w:t xml:space="preserve"> </w:t>
            </w:r>
            <w:r>
              <w:rPr>
                <w:sz w:val="25"/>
                <w:szCs w:val="25"/>
                <w:spacing w:val="-6"/>
              </w:rPr>
              <w:t>或使用国家明令禁止使用的可能产生职业病危害的设备或者材料</w:t>
            </w:r>
            <w:r>
              <w:rPr>
                <w:sz w:val="25"/>
                <w:szCs w:val="25"/>
                <w:spacing w:val="-7"/>
              </w:rPr>
              <w:t>造成严重后果的</w:t>
            </w:r>
          </w:p>
        </w:tc>
        <w:tc>
          <w:tcPr>
            <w:tcW w:w="3702" w:type="dxa"/>
            <w:vAlign w:val="top"/>
          </w:tcPr>
          <w:p>
            <w:pPr>
              <w:pStyle w:val="TableText"/>
              <w:ind w:left="97" w:right="73" w:firstLine="119"/>
              <w:spacing w:before="243" w:line="228" w:lineRule="auto"/>
              <w:rPr>
                <w:sz w:val="25"/>
                <w:szCs w:val="25"/>
              </w:rPr>
            </w:pPr>
            <w:r>
              <w:rPr>
                <w:sz w:val="25"/>
                <w:szCs w:val="25"/>
                <w:spacing w:val="1"/>
              </w:rPr>
              <w:t>责令停止产生职业病危害的作  </w:t>
            </w:r>
            <w:r>
              <w:rPr>
                <w:sz w:val="25"/>
                <w:szCs w:val="25"/>
                <w:spacing w:val="1"/>
              </w:rPr>
              <w:t>业，或者提请有关人民政府按照</w:t>
            </w:r>
            <w:r>
              <w:rPr>
                <w:sz w:val="25"/>
                <w:szCs w:val="25"/>
                <w:spacing w:val="5"/>
              </w:rPr>
              <w:t xml:space="preserve"> </w:t>
            </w:r>
            <w:r>
              <w:rPr>
                <w:sz w:val="25"/>
                <w:szCs w:val="25"/>
                <w:spacing w:val="3"/>
              </w:rPr>
              <w:t>国务院规定的权限责令关闭</w:t>
            </w:r>
          </w:p>
        </w:tc>
      </w:tr>
    </w:tbl>
    <w:p>
      <w:pPr>
        <w:pStyle w:val="BodyText"/>
        <w:spacing w:line="461" w:lineRule="auto"/>
        <w:rPr/>
      </w:pPr>
      <w:r/>
    </w:p>
    <w:p>
      <w:pPr>
        <w:ind w:left="4" w:right="107" w:firstLine="640"/>
        <w:spacing w:before="101" w:line="268" w:lineRule="auto"/>
        <w:rPr>
          <w:rFonts w:ascii="FangSong" w:hAnsi="FangSong" w:eastAsia="FangSong" w:cs="FangSong"/>
          <w:sz w:val="31"/>
          <w:szCs w:val="31"/>
        </w:rPr>
      </w:pPr>
      <w:r>
        <w:rPr>
          <w:rFonts w:ascii="FangSong" w:hAnsi="FangSong" w:eastAsia="FangSong" w:cs="FangSong"/>
          <w:sz w:val="31"/>
          <w:szCs w:val="31"/>
          <w:b/>
          <w:bCs/>
          <w:spacing w:val="11"/>
        </w:rPr>
        <w:t>第四百七十八条将产生职业病危害的作业转移给没有职业病防护</w:t>
      </w:r>
      <w:r>
        <w:rPr>
          <w:rFonts w:ascii="FangSong" w:hAnsi="FangSong" w:eastAsia="FangSong" w:cs="FangSong"/>
          <w:sz w:val="31"/>
          <w:szCs w:val="31"/>
          <w:b/>
          <w:bCs/>
          <w:spacing w:val="10"/>
        </w:rPr>
        <w:t>条件的单位和个人，或者没有</w:t>
      </w:r>
      <w:r>
        <w:rPr>
          <w:rFonts w:ascii="FangSong" w:hAnsi="FangSong" w:eastAsia="FangSong" w:cs="FangSong"/>
          <w:sz w:val="31"/>
          <w:szCs w:val="31"/>
        </w:rPr>
        <w:t xml:space="preserve"> </w:t>
      </w:r>
      <w:r>
        <w:rPr>
          <w:rFonts w:ascii="FangSong" w:hAnsi="FangSong" w:eastAsia="FangSong" w:cs="FangSong"/>
          <w:sz w:val="31"/>
          <w:szCs w:val="31"/>
          <w:b/>
          <w:bCs/>
          <w:spacing w:val="6"/>
        </w:rPr>
        <w:t>职业病防护条件的单位和个人接受产生职业病危害的作业的</w:t>
      </w:r>
    </w:p>
    <w:p>
      <w:pPr>
        <w:ind w:left="640"/>
        <w:spacing w:line="222" w:lineRule="auto"/>
        <w:rPr>
          <w:rFonts w:ascii="FangSong" w:hAnsi="FangSong" w:eastAsia="FangSong" w:cs="FangSong"/>
          <w:sz w:val="31"/>
          <w:szCs w:val="31"/>
        </w:rPr>
      </w:pPr>
      <w:r>
        <w:rPr>
          <w:rFonts w:ascii="FangSong" w:hAnsi="FangSong" w:eastAsia="FangSong" w:cs="FangSong"/>
          <w:sz w:val="31"/>
          <w:szCs w:val="31"/>
          <w:spacing w:val="-3"/>
        </w:rPr>
        <w:t>法律依据：</w:t>
      </w:r>
    </w:p>
    <w:p>
      <w:pPr>
        <w:ind w:firstLine="640"/>
        <w:spacing w:before="58" w:line="256" w:lineRule="auto"/>
        <w:jc w:val="both"/>
        <w:rPr>
          <w:rFonts w:ascii="FangSong" w:hAnsi="FangSong" w:eastAsia="FangSong" w:cs="FangSong"/>
          <w:sz w:val="31"/>
          <w:szCs w:val="31"/>
        </w:rPr>
      </w:pPr>
      <w:r>
        <w:rPr>
          <w:rFonts w:ascii="FangSong" w:hAnsi="FangSong" w:eastAsia="FangSong" w:cs="FangSong"/>
          <w:sz w:val="31"/>
          <w:szCs w:val="31"/>
          <w:spacing w:val="10"/>
        </w:rPr>
        <w:t>1.</w:t>
      </w:r>
      <w:r>
        <w:rPr>
          <w:rFonts w:ascii="FangSong" w:hAnsi="FangSong" w:eastAsia="FangSong" w:cs="FangSong"/>
          <w:sz w:val="31"/>
          <w:szCs w:val="31"/>
          <w:spacing w:val="10"/>
        </w:rPr>
        <w:t xml:space="preserve"> </w:t>
      </w:r>
      <w:r>
        <w:rPr>
          <w:rFonts w:ascii="FangSong" w:hAnsi="FangSong" w:eastAsia="FangSong" w:cs="FangSong"/>
          <w:sz w:val="31"/>
          <w:szCs w:val="31"/>
          <w:spacing w:val="10"/>
        </w:rPr>
        <w:t>《中华人民共和国职业病防治法》第七十五条第(五)项</w:t>
      </w:r>
      <w:r>
        <w:rPr>
          <w:rFonts w:ascii="FangSong" w:hAnsi="FangSong" w:eastAsia="FangSong" w:cs="FangSong"/>
          <w:sz w:val="31"/>
          <w:szCs w:val="31"/>
          <w:spacing w:val="10"/>
        </w:rPr>
        <w:t xml:space="preserve"> </w:t>
      </w:r>
      <w:r>
        <w:rPr>
          <w:rFonts w:ascii="FangSong" w:hAnsi="FangSong" w:eastAsia="FangSong" w:cs="FangSong"/>
          <w:sz w:val="31"/>
          <w:szCs w:val="31"/>
          <w:spacing w:val="9"/>
        </w:rPr>
        <w:t xml:space="preserve"> </w:t>
      </w:r>
      <w:r>
        <w:rPr>
          <w:rFonts w:ascii="FangSong" w:hAnsi="FangSong" w:eastAsia="FangSong" w:cs="FangSong"/>
          <w:sz w:val="31"/>
          <w:szCs w:val="31"/>
          <w:spacing w:val="9"/>
        </w:rPr>
        <w:t>违反《中华人民共和国职业病防治</w:t>
      </w:r>
      <w:r>
        <w:rPr>
          <w:rFonts w:ascii="FangSong" w:hAnsi="FangSong" w:eastAsia="FangSong" w:cs="FangSong"/>
          <w:sz w:val="31"/>
          <w:szCs w:val="31"/>
        </w:rPr>
        <w:t xml:space="preserve"> </w:t>
      </w:r>
      <w:r>
        <w:rPr>
          <w:rFonts w:ascii="FangSong" w:hAnsi="FangSong" w:eastAsia="FangSong" w:cs="FangSong"/>
          <w:sz w:val="31"/>
          <w:szCs w:val="31"/>
          <w:spacing w:val="2"/>
        </w:rPr>
        <w:t>法》规定，有下列情形之一的，由卫生行政部门责令限期治理，并处五万元以上三十万</w:t>
      </w:r>
      <w:r>
        <w:rPr>
          <w:rFonts w:ascii="FangSong" w:hAnsi="FangSong" w:eastAsia="FangSong" w:cs="FangSong"/>
          <w:sz w:val="31"/>
          <w:szCs w:val="31"/>
          <w:spacing w:val="1"/>
        </w:rPr>
        <w:t>元以下的罚款；</w:t>
      </w:r>
      <w:r>
        <w:rPr>
          <w:rFonts w:ascii="FangSong" w:hAnsi="FangSong" w:eastAsia="FangSong" w:cs="FangSong"/>
          <w:sz w:val="31"/>
          <w:szCs w:val="31"/>
        </w:rPr>
        <w:t xml:space="preserve"> </w:t>
      </w:r>
      <w:r>
        <w:rPr>
          <w:rFonts w:ascii="FangSong" w:hAnsi="FangSong" w:eastAsia="FangSong" w:cs="FangSong"/>
          <w:sz w:val="31"/>
          <w:szCs w:val="31"/>
          <w:spacing w:val="7"/>
        </w:rPr>
        <w:t>情节严重的，责令停止产生职业病危害的作</w:t>
      </w:r>
      <w:r>
        <w:rPr>
          <w:rFonts w:ascii="FangSong" w:hAnsi="FangSong" w:eastAsia="FangSong" w:cs="FangSong"/>
          <w:sz w:val="31"/>
          <w:szCs w:val="31"/>
          <w:spacing w:val="6"/>
        </w:rPr>
        <w:t>业，或者提请有关人民政府按照国务院规定的权限责令关</w:t>
      </w:r>
      <w:r>
        <w:rPr>
          <w:rFonts w:ascii="FangSong" w:hAnsi="FangSong" w:eastAsia="FangSong" w:cs="FangSong"/>
          <w:sz w:val="31"/>
          <w:szCs w:val="31"/>
        </w:rPr>
        <w:t xml:space="preserve"> </w:t>
      </w:r>
      <w:r>
        <w:rPr>
          <w:rFonts w:ascii="FangSong" w:hAnsi="FangSong" w:eastAsia="FangSong" w:cs="FangSong"/>
          <w:sz w:val="31"/>
          <w:szCs w:val="31"/>
          <w:spacing w:val="-14"/>
        </w:rPr>
        <w:t>闭：</w:t>
      </w:r>
    </w:p>
    <w:p>
      <w:pPr>
        <w:ind w:right="81" w:firstLine="790"/>
        <w:spacing w:before="21" w:line="255" w:lineRule="auto"/>
        <w:rPr>
          <w:rFonts w:ascii="FangSong" w:hAnsi="FangSong" w:eastAsia="FangSong" w:cs="FangSong"/>
          <w:sz w:val="31"/>
          <w:szCs w:val="31"/>
        </w:rPr>
      </w:pPr>
      <w:r>
        <w:rPr>
          <w:rFonts w:ascii="FangSong" w:hAnsi="FangSong" w:eastAsia="FangSong" w:cs="FangSong"/>
          <w:sz w:val="31"/>
          <w:szCs w:val="31"/>
          <w:spacing w:val="11"/>
        </w:rPr>
        <w:t>(五)将产生职业病危害的作业转移给没有职业病防护条件的单位和个</w:t>
      </w:r>
      <w:r>
        <w:rPr>
          <w:rFonts w:ascii="FangSong" w:hAnsi="FangSong" w:eastAsia="FangSong" w:cs="FangSong"/>
          <w:sz w:val="31"/>
          <w:szCs w:val="31"/>
          <w:spacing w:val="10"/>
        </w:rPr>
        <w:t>人，或者没有职业病防护</w:t>
      </w:r>
      <w:r>
        <w:rPr>
          <w:rFonts w:ascii="FangSong" w:hAnsi="FangSong" w:eastAsia="FangSong" w:cs="FangSong"/>
          <w:sz w:val="31"/>
          <w:szCs w:val="31"/>
        </w:rPr>
        <w:t xml:space="preserve"> </w:t>
      </w:r>
      <w:r>
        <w:rPr>
          <w:rFonts w:ascii="FangSong" w:hAnsi="FangSong" w:eastAsia="FangSong" w:cs="FangSong"/>
          <w:sz w:val="31"/>
          <w:szCs w:val="31"/>
          <w:spacing w:val="6"/>
        </w:rPr>
        <w:t>条件的单位和个人接受产生职业病危害的作业的；</w:t>
      </w:r>
    </w:p>
    <w:p>
      <w:pPr>
        <w:ind w:right="112" w:firstLine="640"/>
        <w:spacing w:line="265" w:lineRule="auto"/>
        <w:jc w:val="both"/>
        <w:rPr>
          <w:rFonts w:ascii="FangSong" w:hAnsi="FangSong" w:eastAsia="FangSong" w:cs="FangSong"/>
          <w:sz w:val="31"/>
          <w:szCs w:val="31"/>
        </w:rPr>
      </w:pPr>
      <w:r>
        <w:rPr>
          <w:rFonts w:ascii="FangSong" w:hAnsi="FangSong" w:eastAsia="FangSong" w:cs="FangSong"/>
          <w:sz w:val="31"/>
          <w:szCs w:val="31"/>
          <w:spacing w:val="12"/>
        </w:rPr>
        <w:t>2.</w:t>
      </w:r>
      <w:r>
        <w:rPr>
          <w:rFonts w:ascii="FangSong" w:hAnsi="FangSong" w:eastAsia="FangSong" w:cs="FangSong"/>
          <w:sz w:val="31"/>
          <w:szCs w:val="31"/>
          <w:spacing w:val="12"/>
        </w:rPr>
        <w:t xml:space="preserve"> </w:t>
      </w:r>
      <w:r>
        <w:rPr>
          <w:rFonts w:ascii="FangSong" w:hAnsi="FangSong" w:eastAsia="FangSong" w:cs="FangSong"/>
          <w:sz w:val="31"/>
          <w:szCs w:val="31"/>
          <w:spacing w:val="12"/>
        </w:rPr>
        <w:t>《中华人民共和国尘肺病防治条例》第二十三</w:t>
      </w:r>
      <w:r>
        <w:rPr>
          <w:rFonts w:ascii="FangSong" w:hAnsi="FangSong" w:eastAsia="FangSong" w:cs="FangSong"/>
          <w:sz w:val="31"/>
          <w:szCs w:val="31"/>
          <w:spacing w:val="11"/>
        </w:rPr>
        <w:t>条第(五)项</w:t>
      </w:r>
      <w:r>
        <w:rPr>
          <w:rFonts w:ascii="FangSong" w:hAnsi="FangSong" w:eastAsia="FangSong" w:cs="FangSong"/>
          <w:sz w:val="31"/>
          <w:szCs w:val="31"/>
          <w:spacing w:val="11"/>
        </w:rPr>
        <w:t xml:space="preserve">   </w:t>
      </w:r>
      <w:r>
        <w:rPr>
          <w:rFonts w:ascii="FangSong" w:hAnsi="FangSong" w:eastAsia="FangSong" w:cs="FangSong"/>
          <w:sz w:val="31"/>
          <w:szCs w:val="31"/>
          <w:spacing w:val="11"/>
        </w:rPr>
        <w:t>凡违反《中华人民共和国尘肺</w:t>
      </w:r>
      <w:r>
        <w:rPr>
          <w:rFonts w:ascii="FangSong" w:hAnsi="FangSong" w:eastAsia="FangSong" w:cs="FangSong"/>
          <w:sz w:val="31"/>
          <w:szCs w:val="31"/>
        </w:rPr>
        <w:t xml:space="preserve"> </w:t>
      </w:r>
      <w:r>
        <w:rPr>
          <w:rFonts w:ascii="FangSong" w:hAnsi="FangSong" w:eastAsia="FangSong" w:cs="FangSong"/>
          <w:sz w:val="31"/>
          <w:szCs w:val="31"/>
          <w:spacing w:val="6"/>
        </w:rPr>
        <w:t>病防治条例》规定，有下列行为之一的，卫生行政部门和劳动部门，可视其情节轻重，给予警告、限</w:t>
      </w:r>
      <w:r>
        <w:rPr>
          <w:rFonts w:ascii="FangSong" w:hAnsi="FangSong" w:eastAsia="FangSong" w:cs="FangSong"/>
          <w:sz w:val="31"/>
          <w:szCs w:val="31"/>
          <w:spacing w:val="16"/>
        </w:rPr>
        <w:t xml:space="preserve"> </w:t>
      </w:r>
      <w:r>
        <w:rPr>
          <w:rFonts w:ascii="FangSong" w:hAnsi="FangSong" w:eastAsia="FangSong" w:cs="FangSong"/>
          <w:sz w:val="31"/>
          <w:szCs w:val="31"/>
          <w:spacing w:val="7"/>
        </w:rPr>
        <w:t>期治理、罚款和停业整顿的处罚。但停业整顿的处罚，需经当地人民政府同意。</w:t>
      </w:r>
    </w:p>
    <w:p>
      <w:pPr>
        <w:ind w:right="121" w:firstLine="780"/>
        <w:spacing w:before="2" w:line="260" w:lineRule="auto"/>
        <w:rPr>
          <w:rFonts w:ascii="FangSong" w:hAnsi="FangSong" w:eastAsia="FangSong" w:cs="FangSong"/>
          <w:sz w:val="31"/>
          <w:szCs w:val="31"/>
        </w:rPr>
      </w:pPr>
      <w:r>
        <w:rPr>
          <w:rFonts w:ascii="FangSong" w:hAnsi="FangSong" w:eastAsia="FangSong" w:cs="FangSong"/>
          <w:sz w:val="31"/>
          <w:szCs w:val="31"/>
          <w:spacing w:val="18"/>
        </w:rPr>
        <w:t>(五)将粉尘作业转嫁、外包或以联营的形式给没有防尘设施的乡镇、街道企</w:t>
      </w:r>
      <w:r>
        <w:rPr>
          <w:rFonts w:ascii="FangSong" w:hAnsi="FangSong" w:eastAsia="FangSong" w:cs="FangSong"/>
          <w:sz w:val="31"/>
          <w:szCs w:val="31"/>
          <w:spacing w:val="17"/>
        </w:rPr>
        <w:t>业或个体工商户</w:t>
      </w:r>
      <w:r>
        <w:rPr>
          <w:rFonts w:ascii="FangSong" w:hAnsi="FangSong" w:eastAsia="FangSong" w:cs="FangSong"/>
          <w:sz w:val="31"/>
          <w:szCs w:val="31"/>
        </w:rPr>
        <w:t xml:space="preserve"> </w:t>
      </w:r>
      <w:r>
        <w:rPr>
          <w:rFonts w:ascii="FangSong" w:hAnsi="FangSong" w:eastAsia="FangSong" w:cs="FangSong"/>
          <w:sz w:val="31"/>
          <w:szCs w:val="31"/>
          <w:spacing w:val="-22"/>
        </w:rPr>
        <w:t>的；</w:t>
      </w:r>
    </w:p>
    <w:p>
      <w:pPr>
        <w:ind w:left="640"/>
        <w:spacing w:before="17" w:line="220" w:lineRule="auto"/>
        <w:rPr>
          <w:rFonts w:ascii="FangSong" w:hAnsi="FangSong" w:eastAsia="FangSong" w:cs="FangSong"/>
          <w:sz w:val="31"/>
          <w:szCs w:val="31"/>
        </w:rPr>
      </w:pPr>
      <w:r>
        <w:rPr>
          <w:rFonts w:ascii="FangSong" w:hAnsi="FangSong" w:eastAsia="FangSong" w:cs="FangSong"/>
          <w:sz w:val="31"/>
          <w:szCs w:val="31"/>
          <w:spacing w:val="9"/>
        </w:rPr>
        <w:t>3.</w:t>
      </w:r>
      <w:r>
        <w:rPr>
          <w:rFonts w:ascii="FangSong" w:hAnsi="FangSong" w:eastAsia="FangSong" w:cs="FangSong"/>
          <w:sz w:val="31"/>
          <w:szCs w:val="31"/>
          <w:spacing w:val="9"/>
        </w:rPr>
        <w:t xml:space="preserve"> </w:t>
      </w:r>
      <w:r>
        <w:rPr>
          <w:rFonts w:ascii="FangSong" w:hAnsi="FangSong" w:eastAsia="FangSong" w:cs="FangSong"/>
          <w:sz w:val="31"/>
          <w:szCs w:val="31"/>
          <w:spacing w:val="9"/>
        </w:rPr>
        <w:t>《工作场所职业卫生管理规定》第五十一条第(五)项</w:t>
      </w:r>
      <w:r>
        <w:rPr>
          <w:rFonts w:ascii="FangSong" w:hAnsi="FangSong" w:eastAsia="FangSong" w:cs="FangSong"/>
          <w:sz w:val="31"/>
          <w:szCs w:val="31"/>
          <w:spacing w:val="9"/>
        </w:rPr>
        <w:t xml:space="preserve">  </w:t>
      </w:r>
      <w:r>
        <w:rPr>
          <w:rFonts w:ascii="FangSong" w:hAnsi="FangSong" w:eastAsia="FangSong" w:cs="FangSong"/>
          <w:sz w:val="31"/>
          <w:szCs w:val="31"/>
          <w:spacing w:val="9"/>
        </w:rPr>
        <w:t>用人单位有下列情形之一的，依法责</w:t>
      </w:r>
    </w:p>
    <w:p>
      <w:pPr>
        <w:spacing w:line="220" w:lineRule="auto"/>
        <w:sectPr>
          <w:footerReference w:type="default" r:id="rId512"/>
          <w:pgSz w:w="16830" w:h="11900"/>
          <w:pgMar w:top="1011" w:right="1355" w:bottom="1108" w:left="1439" w:header="0" w:footer="775" w:gutter="0"/>
        </w:sectPr>
        <w:rPr>
          <w:rFonts w:ascii="FangSong" w:hAnsi="FangSong" w:eastAsia="FangSong" w:cs="FangSong"/>
          <w:sz w:val="31"/>
          <w:szCs w:val="31"/>
        </w:rPr>
      </w:pPr>
    </w:p>
    <w:p>
      <w:pPr>
        <w:pStyle w:val="BodyText"/>
        <w:spacing w:line="263" w:lineRule="auto"/>
        <w:rPr/>
      </w:pPr>
      <w:r/>
    </w:p>
    <w:p>
      <w:pPr>
        <w:pStyle w:val="BodyText"/>
        <w:spacing w:line="263" w:lineRule="auto"/>
        <w:rPr/>
      </w:pPr>
      <w:r/>
    </w:p>
    <w:p>
      <w:pPr>
        <w:pStyle w:val="BodyText"/>
        <w:spacing w:line="264" w:lineRule="auto"/>
        <w:rPr/>
      </w:pPr>
      <w:r/>
    </w:p>
    <w:p>
      <w:pPr>
        <w:ind w:left="35"/>
        <w:spacing w:before="101" w:line="261" w:lineRule="auto"/>
        <w:rPr>
          <w:rFonts w:ascii="FangSong" w:hAnsi="FangSong" w:eastAsia="FangSong" w:cs="FangSong"/>
          <w:sz w:val="31"/>
          <w:szCs w:val="31"/>
        </w:rPr>
      </w:pPr>
      <w:r>
        <w:rPr>
          <w:rFonts w:ascii="FangSong" w:hAnsi="FangSong" w:eastAsia="FangSong" w:cs="FangSong"/>
          <w:sz w:val="31"/>
          <w:szCs w:val="31"/>
          <w:spacing w:val="9"/>
        </w:rPr>
        <w:t>令限期改正，并处五万元以上三十万元以下的罚</w:t>
      </w:r>
      <w:r>
        <w:rPr>
          <w:rFonts w:ascii="FangSong" w:hAnsi="FangSong" w:eastAsia="FangSong" w:cs="FangSong"/>
          <w:sz w:val="31"/>
          <w:szCs w:val="31"/>
          <w:spacing w:val="8"/>
        </w:rPr>
        <w:t>款；情节严重的，责令停止产生职业病危害的作业，</w:t>
      </w:r>
      <w:r>
        <w:rPr>
          <w:rFonts w:ascii="FangSong" w:hAnsi="FangSong" w:eastAsia="FangSong" w:cs="FangSong"/>
          <w:sz w:val="31"/>
          <w:szCs w:val="31"/>
        </w:rPr>
        <w:t xml:space="preserve"> </w:t>
      </w:r>
      <w:r>
        <w:rPr>
          <w:rFonts w:ascii="FangSong" w:hAnsi="FangSong" w:eastAsia="FangSong" w:cs="FangSong"/>
          <w:sz w:val="31"/>
          <w:szCs w:val="31"/>
          <w:spacing w:val="6"/>
        </w:rPr>
        <w:t>或者提请有关人民政府按照国务院规定的权限责令关闭：</w:t>
      </w:r>
    </w:p>
    <w:p>
      <w:pPr>
        <w:ind w:left="35" w:right="81" w:firstLine="769"/>
        <w:spacing w:before="1" w:line="263" w:lineRule="auto"/>
        <w:rPr>
          <w:rFonts w:ascii="FangSong" w:hAnsi="FangSong" w:eastAsia="FangSong" w:cs="FangSong"/>
          <w:sz w:val="31"/>
          <w:szCs w:val="31"/>
        </w:rPr>
      </w:pPr>
      <w:r>
        <w:rPr>
          <w:rFonts w:ascii="FangSong" w:hAnsi="FangSong" w:eastAsia="FangSong" w:cs="FangSong"/>
          <w:sz w:val="31"/>
          <w:szCs w:val="31"/>
          <w:spacing w:val="11"/>
        </w:rPr>
        <w:t>(五)将产生职业病危害的作业转移给没有职业病防护条件的单位和个</w:t>
      </w:r>
      <w:r>
        <w:rPr>
          <w:rFonts w:ascii="FangSong" w:hAnsi="FangSong" w:eastAsia="FangSong" w:cs="FangSong"/>
          <w:sz w:val="31"/>
          <w:szCs w:val="31"/>
          <w:spacing w:val="10"/>
        </w:rPr>
        <w:t>人，或者没有职业病防护</w:t>
      </w:r>
      <w:r>
        <w:rPr>
          <w:rFonts w:ascii="FangSong" w:hAnsi="FangSong" w:eastAsia="FangSong" w:cs="FangSong"/>
          <w:sz w:val="31"/>
          <w:szCs w:val="31"/>
        </w:rPr>
        <w:t xml:space="preserve"> </w:t>
      </w:r>
      <w:r>
        <w:rPr>
          <w:rFonts w:ascii="FangSong" w:hAnsi="FangSong" w:eastAsia="FangSong" w:cs="FangSong"/>
          <w:sz w:val="31"/>
          <w:szCs w:val="31"/>
          <w:spacing w:val="6"/>
        </w:rPr>
        <w:t>条件的单位和个人接受产生职业病危害的作业的；</w:t>
      </w:r>
    </w:p>
    <w:p>
      <w:pPr>
        <w:ind w:left="6449"/>
        <w:spacing w:before="139"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9303"/>
        <w:gridCol w:w="3212"/>
      </w:tblGrid>
      <w:tr>
        <w:trPr>
          <w:trHeight w:val="664" w:hRule="atLeast"/>
        </w:trPr>
        <w:tc>
          <w:tcPr>
            <w:tcW w:w="1444" w:type="dxa"/>
            <w:vAlign w:val="top"/>
          </w:tcPr>
          <w:p>
            <w:pPr>
              <w:pStyle w:val="TableText"/>
              <w:ind w:left="138"/>
              <w:spacing w:before="21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9303" w:type="dxa"/>
            <w:vAlign w:val="top"/>
          </w:tcPr>
          <w:p>
            <w:pPr>
              <w:pStyle w:val="TableText"/>
              <w:ind w:left="4164"/>
              <w:spacing w:before="212" w:line="220" w:lineRule="auto"/>
              <w:rPr/>
            </w:pPr>
            <w:r>
              <w:rPr>
                <w:b/>
                <w:bCs/>
                <w:spacing w:val="-5"/>
              </w:rPr>
              <w:t>情节后果</w:t>
            </w:r>
          </w:p>
        </w:tc>
        <w:tc>
          <w:tcPr>
            <w:tcW w:w="3212" w:type="dxa"/>
            <w:vAlign w:val="top"/>
          </w:tcPr>
          <w:p>
            <w:pPr>
              <w:pStyle w:val="TableText"/>
              <w:ind w:left="1021"/>
              <w:spacing w:before="20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838" w:hRule="atLeast"/>
        </w:trPr>
        <w:tc>
          <w:tcPr>
            <w:tcW w:w="1444" w:type="dxa"/>
            <w:vAlign w:val="top"/>
          </w:tcPr>
          <w:p>
            <w:pPr>
              <w:spacing w:line="277" w:lineRule="auto"/>
              <w:rPr>
                <w:rFonts w:ascii="Arial"/>
                <w:sz w:val="21"/>
              </w:rPr>
            </w:pPr>
            <w:r/>
          </w:p>
          <w:p>
            <w:pPr>
              <w:pStyle w:val="TableText"/>
              <w:ind w:left="478"/>
              <w:spacing w:before="78" w:line="219" w:lineRule="auto"/>
              <w:rPr/>
            </w:pPr>
            <w:r>
              <w:rPr>
                <w:b/>
                <w:bCs/>
                <w:spacing w:val="-6"/>
              </w:rPr>
              <w:t>轻微</w:t>
            </w:r>
          </w:p>
        </w:tc>
        <w:tc>
          <w:tcPr>
            <w:tcW w:w="9303" w:type="dxa"/>
            <w:vAlign w:val="top"/>
          </w:tcPr>
          <w:p>
            <w:pPr>
              <w:pStyle w:val="TableText"/>
              <w:ind w:left="130" w:right="78" w:hanging="49"/>
              <w:spacing w:before="131" w:line="268" w:lineRule="auto"/>
              <w:rPr/>
            </w:pPr>
            <w:r>
              <w:rPr/>
              <w:t>将产生职业病危害的作业转移给没有职业病防护条件的单位和个人，或者没有职业病防</w:t>
            </w:r>
            <w:r>
              <w:rPr>
                <w:spacing w:val="12"/>
              </w:rPr>
              <w:t xml:space="preserve"> </w:t>
            </w:r>
            <w:r>
              <w:rPr/>
              <w:t>护条件的单位和个人接受产生职业病危害的作业，涉及人数20人以下的</w:t>
            </w:r>
          </w:p>
        </w:tc>
        <w:tc>
          <w:tcPr>
            <w:tcW w:w="3212" w:type="dxa"/>
            <w:vAlign w:val="top"/>
          </w:tcPr>
          <w:p>
            <w:pPr>
              <w:pStyle w:val="TableText"/>
              <w:ind w:left="158"/>
              <w:spacing w:before="231" w:line="220" w:lineRule="auto"/>
              <w:rPr/>
            </w:pPr>
            <w:r>
              <w:rPr>
                <w:spacing w:val="1"/>
              </w:rPr>
              <w:t>处五万元以上十万元以下的</w:t>
            </w:r>
          </w:p>
          <w:p>
            <w:pPr>
              <w:pStyle w:val="TableText"/>
              <w:ind w:left="138"/>
              <w:spacing w:before="45" w:line="204" w:lineRule="auto"/>
              <w:rPr/>
            </w:pPr>
            <w:r>
              <w:rPr>
                <w:color w:val="706060"/>
                <w:spacing w:val="5"/>
              </w:rPr>
              <w:t>罚款</w:t>
            </w:r>
          </w:p>
        </w:tc>
      </w:tr>
      <w:tr>
        <w:trPr>
          <w:trHeight w:val="1138" w:hRule="atLeast"/>
        </w:trPr>
        <w:tc>
          <w:tcPr>
            <w:tcW w:w="1444" w:type="dxa"/>
            <w:vAlign w:val="top"/>
          </w:tcPr>
          <w:p>
            <w:pPr>
              <w:spacing w:line="370" w:lineRule="auto"/>
              <w:rPr>
                <w:rFonts w:ascii="Arial"/>
                <w:sz w:val="21"/>
              </w:rPr>
            </w:pPr>
            <w:r/>
          </w:p>
          <w:p>
            <w:pPr>
              <w:pStyle w:val="TableText"/>
              <w:ind w:left="478"/>
              <w:spacing w:before="78" w:line="221" w:lineRule="auto"/>
              <w:rPr/>
            </w:pPr>
            <w:r>
              <w:rPr>
                <w:b/>
                <w:bCs/>
                <w:spacing w:val="-10"/>
              </w:rPr>
              <w:t>一般</w:t>
            </w:r>
          </w:p>
        </w:tc>
        <w:tc>
          <w:tcPr>
            <w:tcW w:w="9303" w:type="dxa"/>
            <w:vAlign w:val="top"/>
          </w:tcPr>
          <w:p>
            <w:pPr>
              <w:pStyle w:val="TableText"/>
              <w:ind w:left="110" w:right="78" w:hanging="29"/>
              <w:spacing w:before="292" w:line="256" w:lineRule="auto"/>
              <w:rPr/>
            </w:pPr>
            <w:r>
              <w:rPr/>
              <w:t>将产生职业病危害的作业转移给没有职业病防护条件的单位和个人，或者没有职业病防</w:t>
            </w:r>
            <w:r>
              <w:rPr>
                <w:spacing w:val="12"/>
              </w:rPr>
              <w:t xml:space="preserve"> </w:t>
            </w:r>
            <w:r>
              <w:rPr/>
              <w:t>护条件的单位和个人接受产生职业病危害的作业，涉及人数21-50人的</w:t>
            </w:r>
          </w:p>
        </w:tc>
        <w:tc>
          <w:tcPr>
            <w:tcW w:w="3212" w:type="dxa"/>
            <w:vAlign w:val="top"/>
          </w:tcPr>
          <w:p>
            <w:pPr>
              <w:spacing w:line="284" w:lineRule="auto"/>
              <w:rPr>
                <w:rFonts w:ascii="Arial"/>
                <w:sz w:val="21"/>
              </w:rPr>
            </w:pPr>
            <w:r/>
          </w:p>
          <w:p>
            <w:pPr>
              <w:pStyle w:val="TableText"/>
              <w:ind w:left="138" w:right="148" w:firstLine="20"/>
              <w:spacing w:before="78" w:line="280" w:lineRule="auto"/>
              <w:rPr/>
            </w:pPr>
            <w:r>
              <w:rPr>
                <w:spacing w:val="1"/>
              </w:rPr>
              <w:t>处十万元以上二十万元以下</w:t>
            </w:r>
            <w:r>
              <w:rPr>
                <w:spacing w:val="2"/>
              </w:rPr>
              <w:t xml:space="preserve"> </w:t>
            </w:r>
            <w:r>
              <w:rPr>
                <w:spacing w:val="3"/>
              </w:rPr>
              <w:t>的罚款</w:t>
            </w:r>
          </w:p>
        </w:tc>
      </w:tr>
      <w:tr>
        <w:trPr>
          <w:trHeight w:val="1108" w:hRule="atLeast"/>
        </w:trPr>
        <w:tc>
          <w:tcPr>
            <w:tcW w:w="1444" w:type="dxa"/>
            <w:vAlign w:val="top"/>
          </w:tcPr>
          <w:p>
            <w:pPr>
              <w:spacing w:line="364" w:lineRule="auto"/>
              <w:rPr>
                <w:rFonts w:ascii="Arial"/>
                <w:sz w:val="21"/>
              </w:rPr>
            </w:pPr>
            <w:r/>
          </w:p>
          <w:p>
            <w:pPr>
              <w:pStyle w:val="TableText"/>
              <w:ind w:left="478"/>
              <w:spacing w:before="78" w:line="221" w:lineRule="auto"/>
              <w:rPr/>
            </w:pPr>
            <w:r>
              <w:rPr>
                <w:b/>
                <w:bCs/>
                <w:spacing w:val="-5"/>
              </w:rPr>
              <w:t>较重</w:t>
            </w:r>
          </w:p>
        </w:tc>
        <w:tc>
          <w:tcPr>
            <w:tcW w:w="9303" w:type="dxa"/>
            <w:vAlign w:val="top"/>
          </w:tcPr>
          <w:p>
            <w:pPr>
              <w:pStyle w:val="TableText"/>
              <w:ind w:left="130" w:right="78" w:hanging="49"/>
              <w:spacing w:before="273" w:line="264" w:lineRule="auto"/>
              <w:rPr/>
            </w:pPr>
            <w:r>
              <w:rPr/>
              <w:t>将产生职业病危害的作业转移给没有职业病防护条件的单位和个人，或者没有职业病防</w:t>
            </w:r>
            <w:r>
              <w:rPr>
                <w:spacing w:val="12"/>
              </w:rPr>
              <w:t xml:space="preserve"> </w:t>
            </w:r>
            <w:r>
              <w:rPr/>
              <w:t>护条件的单位和个人接受产生职业病危害的作业，涉及人数51-100人的</w:t>
            </w:r>
          </w:p>
        </w:tc>
        <w:tc>
          <w:tcPr>
            <w:tcW w:w="3212" w:type="dxa"/>
            <w:vAlign w:val="top"/>
          </w:tcPr>
          <w:p>
            <w:pPr>
              <w:spacing w:line="286" w:lineRule="auto"/>
              <w:rPr>
                <w:rFonts w:ascii="Arial"/>
                <w:sz w:val="21"/>
              </w:rPr>
            </w:pPr>
            <w:r/>
          </w:p>
          <w:p>
            <w:pPr>
              <w:pStyle w:val="TableText"/>
              <w:ind w:left="138" w:right="142" w:firstLine="20"/>
              <w:spacing w:before="78" w:line="257" w:lineRule="auto"/>
              <w:rPr/>
            </w:pPr>
            <w:r>
              <w:rPr>
                <w:spacing w:val="1"/>
              </w:rPr>
              <w:t>处二十万元以上三十万元以</w:t>
            </w:r>
            <w:r>
              <w:rPr>
                <w:spacing w:val="8"/>
              </w:rPr>
              <w:t xml:space="preserve"> </w:t>
            </w:r>
            <w:r>
              <w:rPr>
                <w:spacing w:val="2"/>
              </w:rPr>
              <w:t>下的罚款</w:t>
            </w:r>
          </w:p>
        </w:tc>
      </w:tr>
      <w:tr>
        <w:trPr>
          <w:trHeight w:val="1502" w:hRule="atLeast"/>
        </w:trPr>
        <w:tc>
          <w:tcPr>
            <w:tcW w:w="1444" w:type="dxa"/>
            <w:vAlign w:val="top"/>
          </w:tcPr>
          <w:p>
            <w:pPr>
              <w:spacing w:line="276" w:lineRule="auto"/>
              <w:rPr>
                <w:rFonts w:ascii="Arial"/>
                <w:sz w:val="21"/>
              </w:rPr>
            </w:pPr>
            <w:r/>
          </w:p>
          <w:p>
            <w:pPr>
              <w:spacing w:line="276" w:lineRule="auto"/>
              <w:rPr>
                <w:rFonts w:ascii="Arial"/>
                <w:sz w:val="21"/>
              </w:rPr>
            </w:pPr>
            <w:r/>
          </w:p>
          <w:p>
            <w:pPr>
              <w:pStyle w:val="TableText"/>
              <w:ind w:left="478"/>
              <w:spacing w:before="78" w:line="220" w:lineRule="auto"/>
              <w:rPr/>
            </w:pPr>
            <w:r>
              <w:rPr>
                <w:b/>
                <w:bCs/>
                <w:spacing w:val="-6"/>
              </w:rPr>
              <w:t>严重</w:t>
            </w:r>
          </w:p>
        </w:tc>
        <w:tc>
          <w:tcPr>
            <w:tcW w:w="9303" w:type="dxa"/>
            <w:vAlign w:val="top"/>
          </w:tcPr>
          <w:p>
            <w:pPr>
              <w:pStyle w:val="TableText"/>
              <w:ind w:left="81"/>
              <w:spacing w:before="147" w:line="219" w:lineRule="auto"/>
              <w:rPr/>
            </w:pPr>
            <w:r>
              <w:rPr/>
              <w:t>将产生职业病危害的作业转移给没有职业病防护条件的单位和个人，或者没有职业病防</w:t>
            </w:r>
          </w:p>
          <w:p>
            <w:pPr>
              <w:pStyle w:val="TableText"/>
              <w:ind w:left="261"/>
              <w:spacing w:before="55" w:line="219" w:lineRule="auto"/>
              <w:rPr/>
            </w:pPr>
            <w:r>
              <w:rPr/>
              <w:t>护条件的单位和个人接受产生职业病危害的作业，涉及人数100人以上的，或将产生</w:t>
            </w:r>
          </w:p>
          <w:p>
            <w:pPr>
              <w:pStyle w:val="TableText"/>
              <w:ind w:left="81"/>
              <w:spacing w:before="55" w:line="219" w:lineRule="auto"/>
              <w:rPr/>
            </w:pPr>
            <w:r>
              <w:rPr/>
              <w:t>职业病危害的作业转移给没有职业病防护条件的单位和个人，或者没有职业病防护条件</w:t>
            </w:r>
          </w:p>
          <w:p>
            <w:pPr>
              <w:pStyle w:val="TableText"/>
              <w:ind w:left="130"/>
              <w:spacing w:before="65" w:line="219" w:lineRule="auto"/>
              <w:rPr/>
            </w:pPr>
            <w:r>
              <w:rPr/>
              <w:t>的单位和个人接受产生职业病危害的作业，造成严重后果的</w:t>
            </w:r>
          </w:p>
        </w:tc>
        <w:tc>
          <w:tcPr>
            <w:tcW w:w="3212" w:type="dxa"/>
            <w:vAlign w:val="top"/>
          </w:tcPr>
          <w:p>
            <w:pPr>
              <w:pStyle w:val="TableText"/>
              <w:ind w:left="158" w:right="145"/>
              <w:spacing w:before="234" w:line="258" w:lineRule="auto"/>
              <w:rPr/>
            </w:pPr>
            <w:r>
              <w:rPr>
                <w:spacing w:val="1"/>
              </w:rPr>
              <w:t>责令停止产生职业病危害的</w:t>
            </w:r>
            <w:r>
              <w:rPr>
                <w:spacing w:val="5"/>
              </w:rPr>
              <w:t xml:space="preserve"> </w:t>
            </w:r>
            <w:r>
              <w:rPr/>
              <w:t>作业，或者提请有关人民政</w:t>
            </w:r>
          </w:p>
          <w:p>
            <w:pPr>
              <w:pStyle w:val="TableText"/>
              <w:ind w:left="158"/>
              <w:spacing w:before="1" w:line="218" w:lineRule="auto"/>
              <w:rPr/>
            </w:pPr>
            <w:r>
              <w:rPr>
                <w:spacing w:val="1"/>
              </w:rPr>
              <w:t>府按照国务院规定的权限责</w:t>
            </w:r>
          </w:p>
          <w:p>
            <w:pPr>
              <w:pStyle w:val="TableText"/>
              <w:ind w:left="138"/>
              <w:spacing w:before="35" w:line="205" w:lineRule="auto"/>
              <w:rPr/>
            </w:pPr>
            <w:r>
              <w:rPr>
                <w:color w:val="606050"/>
                <w:spacing w:val="6"/>
              </w:rPr>
              <w:t>令关闭</w:t>
            </w:r>
          </w:p>
        </w:tc>
      </w:tr>
    </w:tbl>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ind w:left="6374"/>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—574—</w:t>
      </w:r>
    </w:p>
    <w:p>
      <w:pPr>
        <w:spacing w:line="188" w:lineRule="auto"/>
        <w:sectPr>
          <w:footerReference w:type="default" r:id="rId24"/>
          <w:pgSz w:w="16830" w:h="11900"/>
          <w:pgMar w:top="1011" w:right="1365" w:bottom="400" w:left="1414" w:header="0" w:footer="0" w:gutter="0"/>
        </w:sectPr>
        <w:rPr>
          <w:rFonts w:ascii="Times New Roman" w:hAnsi="Times New Roman" w:eastAsia="Times New Roman" w:cs="Times New Roman"/>
          <w:sz w:val="37"/>
          <w:szCs w:val="37"/>
        </w:rPr>
      </w:pPr>
    </w:p>
    <w:p>
      <w:pPr>
        <w:pStyle w:val="BodyText"/>
        <w:spacing w:line="256" w:lineRule="auto"/>
        <w:rPr/>
      </w:pPr>
      <w:r/>
    </w:p>
    <w:p>
      <w:pPr>
        <w:pStyle w:val="BodyText"/>
        <w:spacing w:line="256" w:lineRule="auto"/>
        <w:rPr/>
      </w:pPr>
      <w:r/>
    </w:p>
    <w:p>
      <w:pPr>
        <w:pStyle w:val="BodyText"/>
        <w:spacing w:line="256" w:lineRule="auto"/>
        <w:rPr/>
      </w:pPr>
      <w:r/>
    </w:p>
    <w:p>
      <w:pPr>
        <w:ind w:left="634"/>
        <w:spacing w:before="97" w:line="220" w:lineRule="auto"/>
        <w:rPr>
          <w:rFonts w:ascii="FangSong" w:hAnsi="FangSong" w:eastAsia="FangSong" w:cs="FangSong"/>
          <w:sz w:val="30"/>
          <w:szCs w:val="30"/>
        </w:rPr>
      </w:pPr>
      <w:bookmarkStart w:name="bookmark1142" w:id="517"/>
      <w:bookmarkEnd w:id="517"/>
      <w:r>
        <w:rPr>
          <w:rFonts w:ascii="FangSong" w:hAnsi="FangSong" w:eastAsia="FangSong" w:cs="FangSong"/>
          <w:sz w:val="30"/>
          <w:szCs w:val="30"/>
          <w:b/>
          <w:bCs/>
          <w:spacing w:val="16"/>
        </w:rPr>
        <w:t>第四百七十九条</w:t>
      </w:r>
      <w:r>
        <w:rPr>
          <w:rFonts w:ascii="FangSong" w:hAnsi="FangSong" w:eastAsia="FangSong" w:cs="FangSong"/>
          <w:sz w:val="30"/>
          <w:szCs w:val="30"/>
          <w:spacing w:val="16"/>
        </w:rPr>
        <w:t xml:space="preserve">  </w:t>
      </w:r>
      <w:r>
        <w:rPr>
          <w:rFonts w:ascii="FangSong" w:hAnsi="FangSong" w:eastAsia="FangSong" w:cs="FangSong"/>
          <w:sz w:val="30"/>
          <w:szCs w:val="30"/>
          <w:b/>
          <w:bCs/>
          <w:spacing w:val="16"/>
        </w:rPr>
        <w:t>擅自拆除、停止使用职业病防护设备或者应急救援设施的</w:t>
      </w:r>
    </w:p>
    <w:p>
      <w:pPr>
        <w:ind w:left="629"/>
        <w:spacing w:before="8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right="189" w:firstLine="629"/>
        <w:spacing w:before="78" w:line="271" w:lineRule="auto"/>
        <w:jc w:val="both"/>
        <w:rPr>
          <w:rFonts w:ascii="FangSong" w:hAnsi="FangSong" w:eastAsia="FangSong" w:cs="FangSong"/>
          <w:sz w:val="30"/>
          <w:szCs w:val="30"/>
        </w:rPr>
      </w:pPr>
      <w:r>
        <w:rPr>
          <w:rFonts w:ascii="FangSong" w:hAnsi="FangSong" w:eastAsia="FangSong" w:cs="FangSong"/>
          <w:sz w:val="30"/>
          <w:szCs w:val="30"/>
          <w:spacing w:val="18"/>
        </w:rPr>
        <w:t>1.</w:t>
      </w:r>
      <w:r>
        <w:rPr>
          <w:rFonts w:ascii="FangSong" w:hAnsi="FangSong" w:eastAsia="FangSong" w:cs="FangSong"/>
          <w:sz w:val="30"/>
          <w:szCs w:val="30"/>
          <w:spacing w:val="18"/>
        </w:rPr>
        <w:t xml:space="preserve"> </w:t>
      </w:r>
      <w:r>
        <w:rPr>
          <w:rFonts w:ascii="FangSong" w:hAnsi="FangSong" w:eastAsia="FangSong" w:cs="FangSong"/>
          <w:sz w:val="30"/>
          <w:szCs w:val="30"/>
          <w:spacing w:val="18"/>
        </w:rPr>
        <w:t>《中华人民共和国职业病防治法》第七十五条第(六)项</w:t>
      </w:r>
      <w:r>
        <w:rPr>
          <w:rFonts w:ascii="FangSong" w:hAnsi="FangSong" w:eastAsia="FangSong" w:cs="FangSong"/>
          <w:sz w:val="30"/>
          <w:szCs w:val="30"/>
          <w:spacing w:val="18"/>
        </w:rPr>
        <w:t xml:space="preserve">  </w:t>
      </w:r>
      <w:r>
        <w:rPr>
          <w:rFonts w:ascii="FangSong" w:hAnsi="FangSong" w:eastAsia="FangSong" w:cs="FangSong"/>
          <w:sz w:val="30"/>
          <w:szCs w:val="30"/>
          <w:spacing w:val="18"/>
        </w:rPr>
        <w:t>违反《中华人民共和国职业病防治</w:t>
      </w:r>
      <w:r>
        <w:rPr>
          <w:rFonts w:ascii="FangSong" w:hAnsi="FangSong" w:eastAsia="FangSong" w:cs="FangSong"/>
          <w:sz w:val="30"/>
          <w:szCs w:val="30"/>
          <w:spacing w:val="18"/>
        </w:rPr>
        <w:t xml:space="preserve"> </w:t>
      </w:r>
      <w:r>
        <w:rPr>
          <w:rFonts w:ascii="FangSong" w:hAnsi="FangSong" w:eastAsia="FangSong" w:cs="FangSong"/>
          <w:sz w:val="30"/>
          <w:szCs w:val="30"/>
          <w:spacing w:val="11"/>
        </w:rPr>
        <w:t>法》规定，有下列情形之一的，由卫生行政部门责令限期治理，并处五万元以上三十万元以下的罚款；</w:t>
      </w:r>
      <w:r>
        <w:rPr>
          <w:rFonts w:ascii="FangSong" w:hAnsi="FangSong" w:eastAsia="FangSong" w:cs="FangSong"/>
          <w:sz w:val="30"/>
          <w:szCs w:val="30"/>
          <w:spacing w:val="14"/>
        </w:rPr>
        <w:t xml:space="preserve"> </w:t>
      </w:r>
      <w:r>
        <w:rPr>
          <w:rFonts w:ascii="FangSong" w:hAnsi="FangSong" w:eastAsia="FangSong" w:cs="FangSong"/>
          <w:sz w:val="30"/>
          <w:szCs w:val="30"/>
          <w:spacing w:val="16"/>
        </w:rPr>
        <w:t>情节严重的，责令停止产生职业病危害的作业，或者提请有关人民政府按照国务院规定的权限责令关</w:t>
      </w:r>
      <w:r>
        <w:rPr>
          <w:rFonts w:ascii="FangSong" w:hAnsi="FangSong" w:eastAsia="FangSong" w:cs="FangSong"/>
          <w:sz w:val="30"/>
          <w:szCs w:val="30"/>
          <w:spacing w:val="8"/>
        </w:rPr>
        <w:t xml:space="preserve"> </w:t>
      </w:r>
      <w:r>
        <w:rPr>
          <w:rFonts w:ascii="FangSong" w:hAnsi="FangSong" w:eastAsia="FangSong" w:cs="FangSong"/>
          <w:sz w:val="30"/>
          <w:szCs w:val="30"/>
          <w:spacing w:val="-16"/>
        </w:rPr>
        <w:t>闭：</w:t>
      </w:r>
    </w:p>
    <w:p>
      <w:pPr>
        <w:ind w:left="769"/>
        <w:spacing w:before="19" w:line="222" w:lineRule="auto"/>
        <w:rPr>
          <w:rFonts w:ascii="FangSong" w:hAnsi="FangSong" w:eastAsia="FangSong" w:cs="FangSong"/>
          <w:sz w:val="30"/>
          <w:szCs w:val="30"/>
        </w:rPr>
      </w:pPr>
      <w:r>
        <w:rPr>
          <w:rFonts w:ascii="FangSong" w:hAnsi="FangSong" w:eastAsia="FangSong" w:cs="FangSong"/>
          <w:sz w:val="30"/>
          <w:szCs w:val="30"/>
          <w:spacing w:val="22"/>
        </w:rPr>
        <w:t>(六)擅自拆除、停止使用职业病防护设备或者应急救援设施的；</w:t>
      </w:r>
    </w:p>
    <w:p>
      <w:pPr>
        <w:ind w:right="288" w:firstLine="629"/>
        <w:spacing w:before="58" w:line="271" w:lineRule="auto"/>
        <w:jc w:val="both"/>
        <w:rPr>
          <w:rFonts w:ascii="FangSong" w:hAnsi="FangSong" w:eastAsia="FangSong" w:cs="FangSong"/>
          <w:sz w:val="30"/>
          <w:szCs w:val="30"/>
        </w:rPr>
      </w:pPr>
      <w:r>
        <w:rPr>
          <w:rFonts w:ascii="FangSong" w:hAnsi="FangSong" w:eastAsia="FangSong" w:cs="FangSong"/>
          <w:sz w:val="30"/>
          <w:szCs w:val="30"/>
          <w:spacing w:val="21"/>
        </w:rPr>
        <w:t>2.</w:t>
      </w:r>
      <w:r>
        <w:rPr>
          <w:rFonts w:ascii="FangSong" w:hAnsi="FangSong" w:eastAsia="FangSong" w:cs="FangSong"/>
          <w:sz w:val="30"/>
          <w:szCs w:val="30"/>
          <w:spacing w:val="21"/>
        </w:rPr>
        <w:t xml:space="preserve"> </w:t>
      </w:r>
      <w:r>
        <w:rPr>
          <w:rFonts w:ascii="FangSong" w:hAnsi="FangSong" w:eastAsia="FangSong" w:cs="FangSong"/>
          <w:sz w:val="30"/>
          <w:szCs w:val="30"/>
          <w:spacing w:val="21"/>
        </w:rPr>
        <w:t>《中华人民共和国尘肺病防治条例》第二十三条第(二)项</w:t>
      </w:r>
      <w:r>
        <w:rPr>
          <w:rFonts w:ascii="FangSong" w:hAnsi="FangSong" w:eastAsia="FangSong" w:cs="FangSong"/>
          <w:sz w:val="30"/>
          <w:szCs w:val="30"/>
          <w:spacing w:val="21"/>
        </w:rPr>
        <w:t xml:space="preserve">   </w:t>
      </w:r>
      <w:r>
        <w:rPr>
          <w:rFonts w:ascii="FangSong" w:hAnsi="FangSong" w:eastAsia="FangSong" w:cs="FangSong"/>
          <w:sz w:val="30"/>
          <w:szCs w:val="30"/>
          <w:spacing w:val="21"/>
        </w:rPr>
        <w:t>凡违反《中华人民共和国尘肺</w:t>
      </w:r>
      <w:r>
        <w:rPr>
          <w:rFonts w:ascii="FangSong" w:hAnsi="FangSong" w:eastAsia="FangSong" w:cs="FangSong"/>
          <w:sz w:val="30"/>
          <w:szCs w:val="30"/>
          <w:spacing w:val="2"/>
        </w:rPr>
        <w:t xml:space="preserve"> </w:t>
      </w:r>
      <w:r>
        <w:rPr>
          <w:rFonts w:ascii="FangSong" w:hAnsi="FangSong" w:eastAsia="FangSong" w:cs="FangSong"/>
          <w:sz w:val="30"/>
          <w:szCs w:val="30"/>
          <w:spacing w:val="16"/>
        </w:rPr>
        <w:t>病防治条例》规定，有下列行为之一的，卫生行政部门和劳动部门，可视其情节轻重，给予警告、限</w:t>
      </w:r>
      <w:r>
        <w:rPr>
          <w:rFonts w:ascii="FangSong" w:hAnsi="FangSong" w:eastAsia="FangSong" w:cs="FangSong"/>
          <w:sz w:val="30"/>
          <w:szCs w:val="30"/>
          <w:spacing w:val="5"/>
        </w:rPr>
        <w:t xml:space="preserve"> </w:t>
      </w:r>
      <w:r>
        <w:rPr>
          <w:rFonts w:ascii="FangSong" w:hAnsi="FangSong" w:eastAsia="FangSong" w:cs="FangSong"/>
          <w:sz w:val="30"/>
          <w:szCs w:val="30"/>
          <w:spacing w:val="17"/>
        </w:rPr>
        <w:t>期治理、罚款和停业整顿的处罚。但停业整顿的处罚，需经当地人民政府同意。</w:t>
      </w:r>
    </w:p>
    <w:p>
      <w:pPr>
        <w:ind w:left="769"/>
        <w:spacing w:line="222" w:lineRule="auto"/>
        <w:rPr>
          <w:rFonts w:ascii="FangSong" w:hAnsi="FangSong" w:eastAsia="FangSong" w:cs="FangSong"/>
          <w:sz w:val="30"/>
          <w:szCs w:val="30"/>
        </w:rPr>
      </w:pPr>
      <w:r>
        <w:rPr>
          <w:rFonts w:ascii="FangSong" w:hAnsi="FangSong" w:eastAsia="FangSong" w:cs="FangSong"/>
          <w:sz w:val="30"/>
          <w:szCs w:val="30"/>
          <w:spacing w:val="23"/>
        </w:rPr>
        <w:t>(二)任意拆除防尘设施，致使粉尘危害严重的；</w:t>
      </w:r>
    </w:p>
    <w:p>
      <w:pPr>
        <w:ind w:firstLine="629"/>
        <w:spacing w:before="78" w:line="271" w:lineRule="auto"/>
        <w:jc w:val="both"/>
        <w:rPr>
          <w:rFonts w:ascii="FangSong" w:hAnsi="FangSong" w:eastAsia="FangSong" w:cs="FangSong"/>
          <w:sz w:val="30"/>
          <w:szCs w:val="30"/>
        </w:rPr>
      </w:pPr>
      <w:r>
        <w:rPr>
          <w:rFonts w:ascii="FangSong" w:hAnsi="FangSong" w:eastAsia="FangSong" w:cs="FangSong"/>
          <w:sz w:val="30"/>
          <w:szCs w:val="30"/>
          <w:spacing w:val="17"/>
        </w:rPr>
        <w:t>3.</w:t>
      </w:r>
      <w:r>
        <w:rPr>
          <w:rFonts w:ascii="FangSong" w:hAnsi="FangSong" w:eastAsia="FangSong" w:cs="FangSong"/>
          <w:sz w:val="30"/>
          <w:szCs w:val="30"/>
          <w:spacing w:val="17"/>
        </w:rPr>
        <w:t xml:space="preserve"> </w:t>
      </w:r>
      <w:r>
        <w:rPr>
          <w:rFonts w:ascii="FangSong" w:hAnsi="FangSong" w:eastAsia="FangSong" w:cs="FangSong"/>
          <w:sz w:val="30"/>
          <w:szCs w:val="30"/>
          <w:spacing w:val="17"/>
        </w:rPr>
        <w:t>《使用有毒物品作业场所劳动保护条例》第六十条第(二)项</w:t>
      </w:r>
      <w:r>
        <w:rPr>
          <w:rFonts w:ascii="FangSong" w:hAnsi="FangSong" w:eastAsia="FangSong" w:cs="FangSong"/>
          <w:sz w:val="30"/>
          <w:szCs w:val="30"/>
          <w:spacing w:val="17"/>
        </w:rPr>
        <w:t xml:space="preserve">   </w:t>
      </w:r>
      <w:r>
        <w:rPr>
          <w:rFonts w:ascii="FangSong" w:hAnsi="FangSong" w:eastAsia="FangSong" w:cs="FangSong"/>
          <w:sz w:val="30"/>
          <w:szCs w:val="30"/>
          <w:spacing w:val="17"/>
        </w:rPr>
        <w:t>用人单位违反本条例的</w:t>
      </w:r>
      <w:r>
        <w:rPr>
          <w:rFonts w:ascii="FangSong" w:hAnsi="FangSong" w:eastAsia="FangSong" w:cs="FangSong"/>
          <w:sz w:val="30"/>
          <w:szCs w:val="30"/>
          <w:spacing w:val="16"/>
        </w:rPr>
        <w:t>规定，</w:t>
      </w:r>
      <w:r>
        <w:rPr>
          <w:rFonts w:ascii="FangSong" w:hAnsi="FangSong" w:eastAsia="FangSong" w:cs="FangSong"/>
          <w:sz w:val="30"/>
          <w:szCs w:val="30"/>
        </w:rPr>
        <w:t xml:space="preserve">  </w:t>
      </w:r>
      <w:r>
        <w:rPr>
          <w:rFonts w:ascii="FangSong" w:hAnsi="FangSong" w:eastAsia="FangSong" w:cs="FangSong"/>
          <w:sz w:val="30"/>
          <w:szCs w:val="30"/>
          <w:spacing w:val="27"/>
        </w:rPr>
        <w:t>有下列情形之一的，由疾病预防控制部门给</w:t>
      </w:r>
      <w:r>
        <w:rPr>
          <w:rFonts w:ascii="FangSong" w:hAnsi="FangSong" w:eastAsia="FangSong" w:cs="FangSong"/>
          <w:sz w:val="30"/>
          <w:szCs w:val="30"/>
          <w:spacing w:val="26"/>
        </w:rPr>
        <w:t>予警告，责令限期改正，处5万元以上30万元以下的罚</w:t>
      </w:r>
      <w:r>
        <w:rPr>
          <w:rFonts w:ascii="FangSong" w:hAnsi="FangSong" w:eastAsia="FangSong" w:cs="FangSong"/>
          <w:sz w:val="30"/>
          <w:szCs w:val="30"/>
        </w:rPr>
        <w:t xml:space="preserve">   </w:t>
      </w:r>
      <w:r>
        <w:rPr>
          <w:rFonts w:ascii="FangSong" w:hAnsi="FangSong" w:eastAsia="FangSong" w:cs="FangSong"/>
          <w:sz w:val="30"/>
          <w:szCs w:val="30"/>
          <w:spacing w:val="16"/>
        </w:rPr>
        <w:t>款；逾期不改正的，提请有关人民政府按照国务院规定的权限予以关闭；造成严重职业中毒危害或者</w:t>
      </w:r>
      <w:r>
        <w:rPr>
          <w:rFonts w:ascii="FangSong" w:hAnsi="FangSong" w:eastAsia="FangSong" w:cs="FangSong"/>
          <w:sz w:val="30"/>
          <w:szCs w:val="30"/>
          <w:spacing w:val="2"/>
        </w:rPr>
        <w:t xml:space="preserve">   </w:t>
      </w:r>
      <w:r>
        <w:rPr>
          <w:rFonts w:ascii="FangSong" w:hAnsi="FangSong" w:eastAsia="FangSong" w:cs="FangSong"/>
          <w:sz w:val="30"/>
          <w:szCs w:val="30"/>
          <w:spacing w:val="16"/>
        </w:rPr>
        <w:t>导致职业中毒事故发生的，对负有责任的主管人员和</w:t>
      </w:r>
      <w:r>
        <w:rPr>
          <w:rFonts w:ascii="FangSong" w:hAnsi="FangSong" w:eastAsia="FangSong" w:cs="FangSong"/>
          <w:sz w:val="30"/>
          <w:szCs w:val="30"/>
          <w:spacing w:val="15"/>
        </w:rPr>
        <w:t>其他直接责任人员依照刑法关于重大责任事故罪、</w:t>
      </w:r>
      <w:r>
        <w:rPr>
          <w:rFonts w:ascii="FangSong" w:hAnsi="FangSong" w:eastAsia="FangSong" w:cs="FangSong"/>
          <w:sz w:val="30"/>
          <w:szCs w:val="30"/>
        </w:rPr>
        <w:t xml:space="preserve"> </w:t>
      </w:r>
      <w:r>
        <w:rPr>
          <w:rFonts w:ascii="FangSong" w:hAnsi="FangSong" w:eastAsia="FangSong" w:cs="FangSong"/>
          <w:sz w:val="30"/>
          <w:szCs w:val="30"/>
          <w:spacing w:val="16"/>
        </w:rPr>
        <w:t>重大劳动安全事故罪或者其他罪的规定，依法追究刑</w:t>
      </w:r>
      <w:r>
        <w:rPr>
          <w:rFonts w:ascii="FangSong" w:hAnsi="FangSong" w:eastAsia="FangSong" w:cs="FangSong"/>
          <w:sz w:val="30"/>
          <w:szCs w:val="30"/>
          <w:spacing w:val="15"/>
        </w:rPr>
        <w:t>事责任：</w:t>
      </w:r>
    </w:p>
    <w:p>
      <w:pPr>
        <w:ind w:left="49" w:right="250" w:firstLine="719"/>
        <w:spacing w:before="5" w:line="278" w:lineRule="auto"/>
        <w:rPr>
          <w:rFonts w:ascii="FangSong" w:hAnsi="FangSong" w:eastAsia="FangSong" w:cs="FangSong"/>
          <w:sz w:val="30"/>
          <w:szCs w:val="30"/>
        </w:rPr>
      </w:pPr>
      <w:r>
        <w:rPr>
          <w:rFonts w:ascii="FangSong" w:hAnsi="FangSong" w:eastAsia="FangSong" w:cs="FangSong"/>
          <w:sz w:val="30"/>
          <w:szCs w:val="30"/>
          <w:spacing w:val="21"/>
        </w:rPr>
        <w:t>(二)职业卫生防护设备、应急救援设施、通讯报警装置处于不正常状态而不停止作</w:t>
      </w:r>
      <w:r>
        <w:rPr>
          <w:rFonts w:ascii="FangSong" w:hAnsi="FangSong" w:eastAsia="FangSong" w:cs="FangSong"/>
          <w:sz w:val="30"/>
          <w:szCs w:val="30"/>
          <w:spacing w:val="20"/>
        </w:rPr>
        <w:t>业，或者擅</w:t>
      </w:r>
      <w:r>
        <w:rPr>
          <w:rFonts w:ascii="FangSong" w:hAnsi="FangSong" w:eastAsia="FangSong" w:cs="FangSong"/>
          <w:sz w:val="30"/>
          <w:szCs w:val="30"/>
        </w:rPr>
        <w:t xml:space="preserve"> </w:t>
      </w:r>
      <w:r>
        <w:rPr>
          <w:rFonts w:ascii="FangSong" w:hAnsi="FangSong" w:eastAsia="FangSong" w:cs="FangSong"/>
          <w:sz w:val="30"/>
          <w:szCs w:val="30"/>
          <w:spacing w:val="16"/>
        </w:rPr>
        <w:t>自拆除或者停止运行职业卫生防护设备、应急救援设施、通讯报警装置的。</w:t>
      </w:r>
    </w:p>
    <w:p>
      <w:pPr>
        <w:spacing w:line="278" w:lineRule="auto"/>
        <w:sectPr>
          <w:footerReference w:type="default" r:id="rId513"/>
          <w:pgSz w:w="16830" w:h="11900"/>
          <w:pgMar w:top="1011" w:right="1190" w:bottom="1113" w:left="1439" w:header="0" w:footer="785" w:gutter="0"/>
        </w:sectPr>
        <w:rPr>
          <w:rFonts w:ascii="FangSong" w:hAnsi="FangSong" w:eastAsia="FangSong" w:cs="FangSong"/>
          <w:sz w:val="30"/>
          <w:szCs w:val="30"/>
        </w:rPr>
      </w:pPr>
    </w:p>
    <w:p>
      <w:pPr>
        <w:pStyle w:val="BodyText"/>
        <w:spacing w:line="256" w:lineRule="auto"/>
        <w:rPr/>
      </w:pPr>
      <w:r/>
    </w:p>
    <w:p>
      <w:pPr>
        <w:pStyle w:val="BodyText"/>
        <w:spacing w:line="256" w:lineRule="auto"/>
        <w:rPr/>
      </w:pPr>
      <w:r/>
    </w:p>
    <w:p>
      <w:pPr>
        <w:pStyle w:val="BodyText"/>
        <w:spacing w:line="257" w:lineRule="auto"/>
        <w:rPr/>
      </w:pPr>
      <w:r/>
    </w:p>
    <w:p>
      <w:pPr>
        <w:ind w:left="25" w:right="19" w:firstLine="640"/>
        <w:spacing w:before="101" w:line="262" w:lineRule="auto"/>
        <w:jc w:val="both"/>
        <w:rPr>
          <w:rFonts w:ascii="FangSong" w:hAnsi="FangSong" w:eastAsia="FangSong" w:cs="FangSong"/>
          <w:sz w:val="31"/>
          <w:szCs w:val="31"/>
        </w:rPr>
      </w:pPr>
      <w:bookmarkStart w:name="bookmark1143" w:id="518"/>
      <w:bookmarkEnd w:id="518"/>
      <w:r>
        <w:rPr>
          <w:rFonts w:ascii="FangSong" w:hAnsi="FangSong" w:eastAsia="FangSong" w:cs="FangSong"/>
          <w:sz w:val="31"/>
          <w:szCs w:val="31"/>
          <w:spacing w:val="10"/>
        </w:rPr>
        <w:t>4.</w:t>
      </w:r>
      <w:r>
        <w:rPr>
          <w:rFonts w:ascii="FangSong" w:hAnsi="FangSong" w:eastAsia="FangSong" w:cs="FangSong"/>
          <w:sz w:val="31"/>
          <w:szCs w:val="31"/>
          <w:spacing w:val="10"/>
        </w:rPr>
        <w:t xml:space="preserve"> </w:t>
      </w:r>
      <w:r>
        <w:rPr>
          <w:rFonts w:ascii="FangSong" w:hAnsi="FangSong" w:eastAsia="FangSong" w:cs="FangSong"/>
          <w:sz w:val="31"/>
          <w:szCs w:val="31"/>
          <w:spacing w:val="10"/>
        </w:rPr>
        <w:t>《工作场所职业卫生管理规定》第五十一条第(六)项</w:t>
      </w:r>
      <w:r>
        <w:rPr>
          <w:rFonts w:ascii="FangSong" w:hAnsi="FangSong" w:eastAsia="FangSong" w:cs="FangSong"/>
          <w:sz w:val="31"/>
          <w:szCs w:val="31"/>
          <w:spacing w:val="10"/>
        </w:rPr>
        <w:t xml:space="preserve">  </w:t>
      </w:r>
      <w:r>
        <w:rPr>
          <w:rFonts w:ascii="FangSong" w:hAnsi="FangSong" w:eastAsia="FangSong" w:cs="FangSong"/>
          <w:sz w:val="31"/>
          <w:szCs w:val="31"/>
          <w:spacing w:val="10"/>
        </w:rPr>
        <w:t>用人单位有下列情形之一的，依法责</w:t>
      </w:r>
      <w:r>
        <w:rPr>
          <w:rFonts w:ascii="FangSong" w:hAnsi="FangSong" w:eastAsia="FangSong" w:cs="FangSong"/>
          <w:sz w:val="31"/>
          <w:szCs w:val="31"/>
          <w:spacing w:val="11"/>
        </w:rPr>
        <w:t xml:space="preserve"> </w:t>
      </w:r>
      <w:r>
        <w:rPr>
          <w:rFonts w:ascii="FangSong" w:hAnsi="FangSong" w:eastAsia="FangSong" w:cs="FangSong"/>
          <w:sz w:val="31"/>
          <w:szCs w:val="31"/>
          <w:spacing w:val="8"/>
        </w:rPr>
        <w:t>令限期改正，并处五万元以上三十万元以下的罚款；情节严重的，责令停止产生职业病危害的作业，</w:t>
      </w:r>
      <w:r>
        <w:rPr>
          <w:rFonts w:ascii="FangSong" w:hAnsi="FangSong" w:eastAsia="FangSong" w:cs="FangSong"/>
          <w:sz w:val="31"/>
          <w:szCs w:val="31"/>
          <w:spacing w:val="12"/>
        </w:rPr>
        <w:t xml:space="preserve"> </w:t>
      </w:r>
      <w:r>
        <w:rPr>
          <w:rFonts w:ascii="FangSong" w:hAnsi="FangSong" w:eastAsia="FangSong" w:cs="FangSong"/>
          <w:sz w:val="31"/>
          <w:szCs w:val="31"/>
          <w:spacing w:val="6"/>
        </w:rPr>
        <w:t>或者提请有关人民政府按照国务院规定的权限责令关闭：</w:t>
      </w:r>
    </w:p>
    <w:p>
      <w:pPr>
        <w:ind w:left="815"/>
        <w:spacing w:before="14" w:line="222" w:lineRule="auto"/>
        <w:rPr>
          <w:rFonts w:ascii="FangSong" w:hAnsi="FangSong" w:eastAsia="FangSong" w:cs="FangSong"/>
          <w:sz w:val="31"/>
          <w:szCs w:val="31"/>
        </w:rPr>
      </w:pPr>
      <w:r>
        <w:rPr>
          <w:rFonts w:ascii="FangSong" w:hAnsi="FangSong" w:eastAsia="FangSong" w:cs="FangSong"/>
          <w:sz w:val="31"/>
          <w:szCs w:val="31"/>
          <w:spacing w:val="13"/>
        </w:rPr>
        <w:t>(六)擅自拆除、停止使用职业病防护设备或者应急救援设施的。</w:t>
      </w:r>
    </w:p>
    <w:p>
      <w:pPr>
        <w:ind w:left="6439"/>
        <w:spacing w:before="215"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4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8664"/>
        <w:gridCol w:w="3382"/>
      </w:tblGrid>
      <w:tr>
        <w:trPr>
          <w:trHeight w:val="563" w:hRule="atLeast"/>
        </w:trPr>
        <w:tc>
          <w:tcPr>
            <w:tcW w:w="1404" w:type="dxa"/>
            <w:vAlign w:val="top"/>
          </w:tcPr>
          <w:p>
            <w:pPr>
              <w:pStyle w:val="TableText"/>
              <w:ind w:left="118"/>
              <w:spacing w:before="16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8664" w:type="dxa"/>
            <w:vAlign w:val="top"/>
          </w:tcPr>
          <w:p>
            <w:pPr>
              <w:pStyle w:val="TableText"/>
              <w:ind w:left="3774"/>
              <w:spacing w:before="162" w:line="220" w:lineRule="auto"/>
              <w:rPr/>
            </w:pPr>
            <w:r>
              <w:rPr>
                <w:b/>
                <w:bCs/>
                <w:spacing w:val="-5"/>
              </w:rPr>
              <w:t>情节后果</w:t>
            </w:r>
          </w:p>
        </w:tc>
        <w:tc>
          <w:tcPr>
            <w:tcW w:w="3382" w:type="dxa"/>
            <w:vAlign w:val="top"/>
          </w:tcPr>
          <w:p>
            <w:pPr>
              <w:pStyle w:val="TableText"/>
              <w:ind w:left="1120"/>
              <w:spacing w:before="15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399" w:hRule="atLeast"/>
        </w:trPr>
        <w:tc>
          <w:tcPr>
            <w:tcW w:w="1404" w:type="dxa"/>
            <w:vAlign w:val="top"/>
          </w:tcPr>
          <w:p>
            <w:pPr>
              <w:pStyle w:val="TableText"/>
              <w:ind w:left="458"/>
              <w:spacing w:before="78" w:line="219" w:lineRule="auto"/>
              <w:rPr/>
            </w:pPr>
            <w:r>
              <w:rPr>
                <w:b/>
                <w:bCs/>
                <w:spacing w:val="-6"/>
              </w:rPr>
              <w:t>轻微</w:t>
            </w:r>
          </w:p>
        </w:tc>
        <w:tc>
          <w:tcPr>
            <w:tcW w:w="8664" w:type="dxa"/>
            <w:vAlign w:val="top"/>
          </w:tcPr>
          <w:p>
            <w:pPr>
              <w:pStyle w:val="TableText"/>
              <w:ind w:left="111"/>
              <w:spacing w:before="82" w:line="219" w:lineRule="auto"/>
              <w:rPr/>
            </w:pPr>
            <w:r>
              <w:rPr>
                <w:spacing w:val="1"/>
              </w:rPr>
              <w:t>停止使用3处以下职业病防护设备的</w:t>
            </w:r>
          </w:p>
        </w:tc>
        <w:tc>
          <w:tcPr>
            <w:tcW w:w="3382" w:type="dxa"/>
            <w:vAlign w:val="top"/>
          </w:tcPr>
          <w:p>
            <w:pPr>
              <w:pStyle w:val="TableText"/>
              <w:ind w:left="117"/>
              <w:spacing w:before="82" w:line="220" w:lineRule="auto"/>
              <w:rPr/>
            </w:pPr>
            <w:r>
              <w:rPr>
                <w:spacing w:val="1"/>
              </w:rPr>
              <w:t>罚款五万元以上十万元以下</w:t>
            </w:r>
          </w:p>
        </w:tc>
      </w:tr>
      <w:tr>
        <w:trPr>
          <w:trHeight w:val="747" w:hRule="atLeast"/>
        </w:trPr>
        <w:tc>
          <w:tcPr>
            <w:tcW w:w="1404" w:type="dxa"/>
            <w:vAlign w:val="top"/>
          </w:tcPr>
          <w:p>
            <w:pPr>
              <w:pStyle w:val="TableText"/>
              <w:ind w:left="458"/>
              <w:spacing w:before="300" w:line="221" w:lineRule="auto"/>
              <w:rPr/>
            </w:pPr>
            <w:r>
              <w:rPr>
                <w:b/>
                <w:bCs/>
                <w:spacing w:val="-10"/>
              </w:rPr>
              <w:t>一般</w:t>
            </w:r>
          </w:p>
        </w:tc>
        <w:tc>
          <w:tcPr>
            <w:tcW w:w="8664" w:type="dxa"/>
            <w:vAlign w:val="top"/>
          </w:tcPr>
          <w:p>
            <w:pPr>
              <w:pStyle w:val="TableText"/>
              <w:ind w:left="110" w:right="521" w:hanging="29"/>
              <w:spacing w:before="102" w:line="244" w:lineRule="auto"/>
              <w:rPr/>
            </w:pPr>
            <w:r>
              <w:rPr/>
              <w:t>停止使用4处以上6处以下职业病防护设备，或擅自拆除2处以下职业病防护设</w:t>
            </w:r>
            <w:r>
              <w:rPr>
                <w:spacing w:val="10"/>
              </w:rPr>
              <w:t xml:space="preserve"> </w:t>
            </w:r>
            <w:r>
              <w:rPr>
                <w:spacing w:val="2"/>
              </w:rPr>
              <w:t>备、应急救援设施的</w:t>
            </w:r>
          </w:p>
        </w:tc>
        <w:tc>
          <w:tcPr>
            <w:tcW w:w="3382" w:type="dxa"/>
            <w:vAlign w:val="top"/>
          </w:tcPr>
          <w:p>
            <w:pPr>
              <w:pStyle w:val="TableText"/>
              <w:ind w:left="117"/>
              <w:spacing w:before="263" w:line="220" w:lineRule="auto"/>
              <w:rPr/>
            </w:pPr>
            <w:r>
              <w:rPr>
                <w:spacing w:val="1"/>
              </w:rPr>
              <w:t>罚款十万元以上二十万元以下</w:t>
            </w:r>
          </w:p>
        </w:tc>
      </w:tr>
      <w:tr>
        <w:trPr>
          <w:trHeight w:val="807" w:hRule="atLeast"/>
        </w:trPr>
        <w:tc>
          <w:tcPr>
            <w:tcW w:w="1404" w:type="dxa"/>
            <w:vAlign w:val="top"/>
          </w:tcPr>
          <w:p>
            <w:pPr>
              <w:spacing w:line="276" w:lineRule="auto"/>
              <w:rPr>
                <w:rFonts w:ascii="Arial"/>
                <w:sz w:val="21"/>
              </w:rPr>
            </w:pPr>
            <w:r/>
          </w:p>
          <w:p>
            <w:pPr>
              <w:pStyle w:val="TableText"/>
              <w:ind w:left="458"/>
              <w:spacing w:before="78" w:line="221" w:lineRule="auto"/>
              <w:rPr/>
            </w:pPr>
            <w:r>
              <w:rPr>
                <w:b/>
                <w:bCs/>
                <w:spacing w:val="-5"/>
              </w:rPr>
              <w:t>较重</w:t>
            </w:r>
          </w:p>
        </w:tc>
        <w:tc>
          <w:tcPr>
            <w:tcW w:w="8664" w:type="dxa"/>
            <w:vAlign w:val="top"/>
          </w:tcPr>
          <w:p>
            <w:pPr>
              <w:pStyle w:val="TableText"/>
              <w:ind w:left="110" w:right="395" w:hanging="29"/>
              <w:spacing w:before="136" w:line="254" w:lineRule="auto"/>
              <w:rPr/>
            </w:pPr>
            <w:r>
              <w:rPr/>
              <w:t>停止使用7处以上职业病防护设备，或擅自拆除3处以上职业病防护设备、应急</w:t>
            </w:r>
            <w:r>
              <w:rPr>
                <w:spacing w:val="15"/>
              </w:rPr>
              <w:t xml:space="preserve"> </w:t>
            </w:r>
            <w:r>
              <w:rPr/>
              <w:t>救援设施，或停止使用、擅自拆除关键职业病防护设备、应急救援设施的</w:t>
            </w:r>
          </w:p>
        </w:tc>
        <w:tc>
          <w:tcPr>
            <w:tcW w:w="3382" w:type="dxa"/>
            <w:vAlign w:val="top"/>
          </w:tcPr>
          <w:p>
            <w:pPr>
              <w:pStyle w:val="TableText"/>
              <w:ind w:left="117" w:right="113"/>
              <w:spacing w:before="136" w:line="254" w:lineRule="auto"/>
              <w:rPr/>
            </w:pPr>
            <w:r>
              <w:rPr>
                <w:spacing w:val="1"/>
              </w:rPr>
              <w:t>罚款二十万元以上三十万元以</w:t>
            </w:r>
            <w:r>
              <w:rPr>
                <w:spacing w:val="7"/>
              </w:rPr>
              <w:t xml:space="preserve"> </w:t>
            </w:r>
            <w:r>
              <w:rPr/>
              <w:t>下</w:t>
            </w:r>
          </w:p>
        </w:tc>
      </w:tr>
      <w:tr>
        <w:trPr>
          <w:trHeight w:val="553" w:hRule="atLeast"/>
        </w:trPr>
        <w:tc>
          <w:tcPr>
            <w:tcW w:w="1404" w:type="dxa"/>
            <w:vAlign w:val="top"/>
          </w:tcPr>
          <w:p>
            <w:pPr>
              <w:pStyle w:val="TableText"/>
              <w:ind w:left="458"/>
              <w:spacing w:before="236" w:line="220" w:lineRule="auto"/>
              <w:rPr/>
            </w:pPr>
            <w:r>
              <w:rPr>
                <w:b/>
                <w:bCs/>
                <w:spacing w:val="-6"/>
              </w:rPr>
              <w:t>严重</w:t>
            </w:r>
          </w:p>
        </w:tc>
        <w:tc>
          <w:tcPr>
            <w:tcW w:w="8664" w:type="dxa"/>
            <w:vAlign w:val="top"/>
          </w:tcPr>
          <w:p>
            <w:pPr>
              <w:pStyle w:val="TableText"/>
              <w:ind w:left="111"/>
              <w:spacing w:before="169" w:line="219" w:lineRule="auto"/>
              <w:rPr/>
            </w:pPr>
            <w:r>
              <w:rPr/>
              <w:t>擅自拆除、停止使用职业病防护设备或者应急救援设施，造成严重后果的</w:t>
            </w:r>
          </w:p>
        </w:tc>
        <w:tc>
          <w:tcPr>
            <w:tcW w:w="3382" w:type="dxa"/>
            <w:vAlign w:val="top"/>
          </w:tcPr>
          <w:p>
            <w:pPr>
              <w:pStyle w:val="TableText"/>
              <w:ind w:left="117"/>
              <w:spacing w:before="167" w:line="219" w:lineRule="auto"/>
              <w:rPr/>
            </w:pPr>
            <w:r>
              <w:rPr>
                <w:spacing w:val="2"/>
              </w:rPr>
              <w:t>责令停业或关闭</w:t>
            </w:r>
          </w:p>
        </w:tc>
      </w:tr>
    </w:tbl>
    <w:p>
      <w:pPr>
        <w:pStyle w:val="BodyText"/>
        <w:spacing w:line="453" w:lineRule="auto"/>
        <w:rPr/>
      </w:pPr>
      <w:r/>
    </w:p>
    <w:p>
      <w:pPr>
        <w:ind w:left="29" w:right="118" w:firstLine="640"/>
        <w:spacing w:before="101" w:line="261" w:lineRule="auto"/>
        <w:rPr>
          <w:rFonts w:ascii="KaiTi" w:hAnsi="KaiTi" w:eastAsia="KaiTi" w:cs="KaiTi"/>
          <w:sz w:val="31"/>
          <w:szCs w:val="31"/>
        </w:rPr>
      </w:pPr>
      <w:r>
        <w:rPr>
          <w:rFonts w:ascii="KaiTi" w:hAnsi="KaiTi" w:eastAsia="KaiTi" w:cs="KaiTi"/>
          <w:sz w:val="31"/>
          <w:szCs w:val="31"/>
          <w:b/>
          <w:bCs/>
          <w:spacing w:val="10"/>
        </w:rPr>
        <w:t>第四百八十条安排未经职业健康检查的劳动者、有职业禁忌的劳动者、未成年工或者孕期、哺</w:t>
      </w:r>
      <w:r>
        <w:rPr>
          <w:rFonts w:ascii="KaiTi" w:hAnsi="KaiTi" w:eastAsia="KaiTi" w:cs="KaiTi"/>
          <w:sz w:val="31"/>
          <w:szCs w:val="31"/>
          <w:spacing w:val="7"/>
        </w:rPr>
        <w:t xml:space="preserve"> </w:t>
      </w:r>
      <w:r>
        <w:rPr>
          <w:rFonts w:ascii="KaiTi" w:hAnsi="KaiTi" w:eastAsia="KaiTi" w:cs="KaiTi"/>
          <w:sz w:val="31"/>
          <w:szCs w:val="31"/>
          <w:b/>
          <w:bCs/>
          <w:spacing w:val="7"/>
        </w:rPr>
        <w:t>乳期女职工从事接触职业病危害的作业或者</w:t>
      </w:r>
      <w:r>
        <w:rPr>
          <w:rFonts w:ascii="KaiTi" w:hAnsi="KaiTi" w:eastAsia="KaiTi" w:cs="KaiTi"/>
          <w:sz w:val="31"/>
          <w:szCs w:val="31"/>
          <w:b/>
          <w:bCs/>
          <w:spacing w:val="6"/>
        </w:rPr>
        <w:t>禁忌作业的</w:t>
      </w:r>
    </w:p>
    <w:p>
      <w:pPr>
        <w:ind w:left="665"/>
        <w:spacing w:before="20"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25" w:firstLine="640"/>
        <w:spacing w:before="96" w:line="266" w:lineRule="auto"/>
        <w:rPr>
          <w:rFonts w:ascii="FangSong" w:hAnsi="FangSong" w:eastAsia="FangSong" w:cs="FangSong"/>
          <w:sz w:val="31"/>
          <w:szCs w:val="31"/>
        </w:rPr>
      </w:pPr>
      <w:r>
        <w:rPr>
          <w:rFonts w:ascii="FangSong" w:hAnsi="FangSong" w:eastAsia="FangSong" w:cs="FangSong"/>
          <w:sz w:val="31"/>
          <w:szCs w:val="31"/>
          <w:spacing w:val="9"/>
        </w:rPr>
        <w:t>1.</w:t>
      </w:r>
      <w:r>
        <w:rPr>
          <w:rFonts w:ascii="FangSong" w:hAnsi="FangSong" w:eastAsia="FangSong" w:cs="FangSong"/>
          <w:sz w:val="31"/>
          <w:szCs w:val="31"/>
          <w:spacing w:val="9"/>
        </w:rPr>
        <w:t xml:space="preserve"> </w:t>
      </w:r>
      <w:r>
        <w:rPr>
          <w:rFonts w:ascii="FangSong" w:hAnsi="FangSong" w:eastAsia="FangSong" w:cs="FangSong"/>
          <w:sz w:val="31"/>
          <w:szCs w:val="31"/>
          <w:spacing w:val="9"/>
        </w:rPr>
        <w:t>《中华人民共和国职业病防治法》第七十五条第(七)项</w:t>
      </w:r>
      <w:r>
        <w:rPr>
          <w:rFonts w:ascii="FangSong" w:hAnsi="FangSong" w:eastAsia="FangSong" w:cs="FangSong"/>
          <w:sz w:val="31"/>
          <w:szCs w:val="31"/>
          <w:spacing w:val="9"/>
        </w:rPr>
        <w:t xml:space="preserve">  </w:t>
      </w:r>
      <w:r>
        <w:rPr>
          <w:rFonts w:ascii="FangSong" w:hAnsi="FangSong" w:eastAsia="FangSong" w:cs="FangSong"/>
          <w:sz w:val="31"/>
          <w:szCs w:val="31"/>
          <w:spacing w:val="9"/>
        </w:rPr>
        <w:t>违反《中华人民共和国职业病防治</w:t>
      </w:r>
      <w:r>
        <w:rPr>
          <w:rFonts w:ascii="FangSong" w:hAnsi="FangSong" w:eastAsia="FangSong" w:cs="FangSong"/>
          <w:sz w:val="31"/>
          <w:szCs w:val="31"/>
        </w:rPr>
        <w:t xml:space="preserve"> </w:t>
      </w:r>
      <w:r>
        <w:rPr>
          <w:rFonts w:ascii="FangSong" w:hAnsi="FangSong" w:eastAsia="FangSong" w:cs="FangSong"/>
          <w:sz w:val="31"/>
          <w:szCs w:val="31"/>
          <w:spacing w:val="2"/>
        </w:rPr>
        <w:t>法》规定，有下列情形之一的，由卫生行政部门责令限期治理，并</w:t>
      </w:r>
      <w:r>
        <w:rPr>
          <w:rFonts w:ascii="FangSong" w:hAnsi="FangSong" w:eastAsia="FangSong" w:cs="FangSong"/>
          <w:sz w:val="31"/>
          <w:szCs w:val="31"/>
          <w:spacing w:val="1"/>
        </w:rPr>
        <w:t>处五万元以上三十万元以下的罚款；</w:t>
      </w:r>
    </w:p>
    <w:p>
      <w:pPr>
        <w:spacing w:line="266" w:lineRule="auto"/>
        <w:sectPr>
          <w:footerReference w:type="default" r:id="rId514"/>
          <w:pgSz w:w="16830" w:h="11900"/>
          <w:pgMar w:top="1011" w:right="1364" w:bottom="1108" w:left="1414" w:header="0" w:footer="775" w:gutter="0"/>
        </w:sectPr>
        <w:rPr>
          <w:rFonts w:ascii="FangSong" w:hAnsi="FangSong" w:eastAsia="FangSong" w:cs="FangSong"/>
          <w:sz w:val="31"/>
          <w:szCs w:val="31"/>
        </w:rPr>
      </w:pPr>
    </w:p>
    <w:p>
      <w:pPr>
        <w:pStyle w:val="BodyText"/>
        <w:spacing w:line="260" w:lineRule="auto"/>
        <w:rPr/>
      </w:pPr>
      <w:r/>
    </w:p>
    <w:p>
      <w:pPr>
        <w:pStyle w:val="BodyText"/>
        <w:spacing w:line="261" w:lineRule="auto"/>
        <w:rPr/>
      </w:pPr>
      <w:r/>
    </w:p>
    <w:p>
      <w:pPr>
        <w:pStyle w:val="BodyText"/>
        <w:spacing w:line="261" w:lineRule="auto"/>
        <w:rPr/>
      </w:pPr>
      <w:r/>
    </w:p>
    <w:p>
      <w:pPr>
        <w:ind w:right="18"/>
        <w:spacing w:before="97" w:line="237" w:lineRule="auto"/>
        <w:rPr>
          <w:rFonts w:ascii="FangSong" w:hAnsi="FangSong" w:eastAsia="FangSong" w:cs="FangSong"/>
          <w:sz w:val="36"/>
          <w:szCs w:val="36"/>
        </w:rPr>
      </w:pPr>
      <w:r>
        <w:rPr>
          <w:rFonts w:ascii="FangSong" w:hAnsi="FangSong" w:eastAsia="FangSong" w:cs="FangSong"/>
          <w:sz w:val="30"/>
          <w:szCs w:val="30"/>
          <w:spacing w:val="17"/>
        </w:rPr>
        <w:t>情节严重的，责令停止产生职业病危害的作业，或者提请有关人</w:t>
      </w:r>
      <w:r>
        <w:rPr>
          <w:rFonts w:ascii="FangSong" w:hAnsi="FangSong" w:eastAsia="FangSong" w:cs="FangSong"/>
          <w:sz w:val="30"/>
          <w:szCs w:val="30"/>
          <w:spacing w:val="16"/>
        </w:rPr>
        <w:t>民政府按照国务院规定的权限责令关</w:t>
      </w:r>
      <w:r>
        <w:rPr>
          <w:rFonts w:ascii="FangSong" w:hAnsi="FangSong" w:eastAsia="FangSong" w:cs="FangSong"/>
          <w:sz w:val="30"/>
          <w:szCs w:val="30"/>
        </w:rPr>
        <w:t xml:space="preserve"> </w:t>
      </w:r>
      <w:r>
        <w:rPr>
          <w:rFonts w:ascii="FangSong" w:hAnsi="FangSong" w:eastAsia="FangSong" w:cs="FangSong"/>
          <w:sz w:val="36"/>
          <w:szCs w:val="36"/>
          <w:spacing w:val="-35"/>
        </w:rPr>
        <w:t>闭：</w:t>
      </w:r>
    </w:p>
    <w:p>
      <w:pPr>
        <w:ind w:right="3" w:firstLine="779"/>
        <w:spacing w:before="21" w:line="275" w:lineRule="auto"/>
        <w:rPr>
          <w:rFonts w:ascii="FangSong" w:hAnsi="FangSong" w:eastAsia="FangSong" w:cs="FangSong"/>
          <w:sz w:val="30"/>
          <w:szCs w:val="30"/>
        </w:rPr>
      </w:pPr>
      <w:r>
        <w:rPr>
          <w:rFonts w:ascii="FangSong" w:hAnsi="FangSong" w:eastAsia="FangSong" w:cs="FangSong"/>
          <w:sz w:val="30"/>
          <w:szCs w:val="30"/>
          <w:spacing w:val="21"/>
        </w:rPr>
        <w:t>(七)安排未经职业健康检查的劳动者、有职业禁忌的劳动者</w:t>
      </w:r>
      <w:r>
        <w:rPr>
          <w:rFonts w:ascii="FangSong" w:hAnsi="FangSong" w:eastAsia="FangSong" w:cs="FangSong"/>
          <w:sz w:val="30"/>
          <w:szCs w:val="30"/>
          <w:spacing w:val="20"/>
        </w:rPr>
        <w:t>、未成年工或者孕期、哺乳期女职</w:t>
      </w:r>
      <w:r>
        <w:rPr>
          <w:rFonts w:ascii="FangSong" w:hAnsi="FangSong" w:eastAsia="FangSong" w:cs="FangSong"/>
          <w:sz w:val="30"/>
          <w:szCs w:val="30"/>
        </w:rPr>
        <w:t xml:space="preserve"> </w:t>
      </w:r>
      <w:r>
        <w:rPr>
          <w:rFonts w:ascii="FangSong" w:hAnsi="FangSong" w:eastAsia="FangSong" w:cs="FangSong"/>
          <w:sz w:val="30"/>
          <w:szCs w:val="30"/>
          <w:spacing w:val="15"/>
        </w:rPr>
        <w:t>工从事接触职业病危害的作业或者禁忌作业的；</w:t>
      </w:r>
    </w:p>
    <w:p>
      <w:pPr>
        <w:ind w:firstLine="659"/>
        <w:spacing w:before="1" w:line="270" w:lineRule="auto"/>
        <w:jc w:val="both"/>
        <w:rPr>
          <w:rFonts w:ascii="FangSong" w:hAnsi="FangSong" w:eastAsia="FangSong" w:cs="FangSong"/>
          <w:sz w:val="30"/>
          <w:szCs w:val="30"/>
        </w:rPr>
      </w:pPr>
      <w:r>
        <w:rPr>
          <w:rFonts w:ascii="FangSong" w:hAnsi="FangSong" w:eastAsia="FangSong" w:cs="FangSong"/>
          <w:sz w:val="30"/>
          <w:szCs w:val="30"/>
          <w:spacing w:val="21"/>
        </w:rPr>
        <w:t>2.</w:t>
      </w:r>
      <w:r>
        <w:rPr>
          <w:rFonts w:ascii="FangSong" w:hAnsi="FangSong" w:eastAsia="FangSong" w:cs="FangSong"/>
          <w:sz w:val="30"/>
          <w:szCs w:val="30"/>
          <w:spacing w:val="21"/>
        </w:rPr>
        <w:t xml:space="preserve"> </w:t>
      </w:r>
      <w:r>
        <w:rPr>
          <w:rFonts w:ascii="FangSong" w:hAnsi="FangSong" w:eastAsia="FangSong" w:cs="FangSong"/>
          <w:sz w:val="30"/>
          <w:szCs w:val="30"/>
          <w:spacing w:val="21"/>
        </w:rPr>
        <w:t>《中华人民共和国尘肺病防治条例》第二十三条第(九</w:t>
      </w:r>
      <w:r>
        <w:rPr>
          <w:rFonts w:ascii="FangSong" w:hAnsi="FangSong" w:eastAsia="FangSong" w:cs="FangSong"/>
          <w:sz w:val="30"/>
          <w:szCs w:val="30"/>
          <w:spacing w:val="20"/>
        </w:rPr>
        <w:t>)项</w:t>
      </w:r>
      <w:r>
        <w:rPr>
          <w:rFonts w:ascii="FangSong" w:hAnsi="FangSong" w:eastAsia="FangSong" w:cs="FangSong"/>
          <w:sz w:val="30"/>
          <w:szCs w:val="30"/>
          <w:spacing w:val="20"/>
        </w:rPr>
        <w:t xml:space="preserve">   </w:t>
      </w:r>
      <w:r>
        <w:rPr>
          <w:rFonts w:ascii="FangSong" w:hAnsi="FangSong" w:eastAsia="FangSong" w:cs="FangSong"/>
          <w:sz w:val="30"/>
          <w:szCs w:val="30"/>
          <w:spacing w:val="20"/>
        </w:rPr>
        <w:t>凡违反《中华人民共和国尘肺</w:t>
      </w:r>
      <w:r>
        <w:rPr>
          <w:rFonts w:ascii="FangSong" w:hAnsi="FangSong" w:eastAsia="FangSong" w:cs="FangSong"/>
          <w:sz w:val="30"/>
          <w:szCs w:val="30"/>
        </w:rPr>
        <w:t xml:space="preserve"> </w:t>
      </w:r>
      <w:r>
        <w:rPr>
          <w:rFonts w:ascii="FangSong" w:hAnsi="FangSong" w:eastAsia="FangSong" w:cs="FangSong"/>
          <w:sz w:val="30"/>
          <w:szCs w:val="30"/>
          <w:spacing w:val="17"/>
        </w:rPr>
        <w:t>病防治条例》规定，有下列行为之一的，卫生行政部门和劳动部门，可视其情节轻重，给予警告、限</w:t>
      </w:r>
      <w:r>
        <w:rPr>
          <w:rFonts w:ascii="FangSong" w:hAnsi="FangSong" w:eastAsia="FangSong" w:cs="FangSong"/>
          <w:sz w:val="30"/>
          <w:szCs w:val="30"/>
          <w:spacing w:val="2"/>
        </w:rPr>
        <w:t xml:space="preserve"> </w:t>
      </w:r>
      <w:r>
        <w:rPr>
          <w:rFonts w:ascii="FangSong" w:hAnsi="FangSong" w:eastAsia="FangSong" w:cs="FangSong"/>
          <w:sz w:val="30"/>
          <w:szCs w:val="30"/>
          <w:spacing w:val="17"/>
        </w:rPr>
        <w:t>期治理、罚款和停业整顿的处罚。但停业整顿的处罚，需经当地人民政府同意。</w:t>
      </w:r>
    </w:p>
    <w:p>
      <w:pPr>
        <w:ind w:left="779"/>
        <w:spacing w:line="220" w:lineRule="auto"/>
        <w:rPr>
          <w:rFonts w:ascii="FangSong" w:hAnsi="FangSong" w:eastAsia="FangSong" w:cs="FangSong"/>
          <w:sz w:val="30"/>
          <w:szCs w:val="30"/>
        </w:rPr>
      </w:pPr>
      <w:r>
        <w:rPr>
          <w:rFonts w:ascii="FangSong" w:hAnsi="FangSong" w:eastAsia="FangSong" w:cs="FangSong"/>
          <w:sz w:val="30"/>
          <w:szCs w:val="30"/>
          <w:spacing w:val="27"/>
        </w:rPr>
        <w:t>(九)安排未成年人从事粉尘作业的。</w:t>
      </w:r>
    </w:p>
    <w:p>
      <w:pPr>
        <w:ind w:right="19" w:firstLine="659"/>
        <w:spacing w:before="50" w:line="260" w:lineRule="auto"/>
        <w:rPr>
          <w:rFonts w:ascii="FangSong" w:hAnsi="FangSong" w:eastAsia="FangSong" w:cs="FangSong"/>
          <w:sz w:val="30"/>
          <w:szCs w:val="30"/>
        </w:rPr>
      </w:pPr>
      <w:r>
        <w:rPr>
          <w:rFonts w:ascii="FangSong" w:hAnsi="FangSong" w:eastAsia="FangSong" w:cs="FangSong"/>
          <w:sz w:val="30"/>
          <w:szCs w:val="30"/>
          <w:spacing w:val="34"/>
        </w:rPr>
        <w:t>3</w:t>
      </w:r>
      <w:r>
        <w:rPr>
          <w:rFonts w:ascii="FangSong" w:hAnsi="FangSong" w:eastAsia="FangSong" w:cs="FangSong"/>
          <w:sz w:val="30"/>
          <w:szCs w:val="30"/>
          <w:spacing w:val="-89"/>
        </w:rPr>
        <w:t xml:space="preserve"> </w:t>
      </w:r>
      <w:r>
        <w:rPr>
          <w:rFonts w:ascii="FangSong" w:hAnsi="FangSong" w:eastAsia="FangSong" w:cs="FangSong"/>
          <w:sz w:val="30"/>
          <w:szCs w:val="30"/>
          <w:spacing w:val="34"/>
        </w:rPr>
        <w:t>.</w:t>
      </w:r>
      <w:r>
        <w:rPr>
          <w:rFonts w:ascii="FangSong" w:hAnsi="FangSong" w:eastAsia="FangSong" w:cs="FangSong"/>
          <w:sz w:val="30"/>
          <w:szCs w:val="30"/>
          <w:spacing w:val="34"/>
        </w:rPr>
        <w:t xml:space="preserve"> </w:t>
      </w:r>
      <w:r>
        <w:rPr>
          <w:rFonts w:ascii="FangSong" w:hAnsi="FangSong" w:eastAsia="FangSong" w:cs="FangSong"/>
          <w:sz w:val="30"/>
          <w:szCs w:val="30"/>
          <w:spacing w:val="34"/>
        </w:rPr>
        <w:t>《使用有毒物品作业场所劳动保护条例》第六十三条第(三</w:t>
      </w:r>
      <w:r>
        <w:rPr>
          <w:rFonts w:ascii="FangSong" w:hAnsi="FangSong" w:eastAsia="FangSong" w:cs="FangSong"/>
          <w:sz w:val="30"/>
          <w:szCs w:val="30"/>
          <w:spacing w:val="33"/>
        </w:rPr>
        <w:t>)项、第(五)项、第(六)项</w:t>
      </w:r>
      <w:r>
        <w:rPr>
          <w:rFonts w:ascii="FangSong" w:hAnsi="FangSong" w:eastAsia="FangSong" w:cs="FangSong"/>
          <w:sz w:val="30"/>
          <w:szCs w:val="30"/>
        </w:rPr>
        <w:t xml:space="preserve">  </w:t>
      </w:r>
      <w:r>
        <w:rPr>
          <w:rFonts w:ascii="FangSong" w:hAnsi="FangSong" w:eastAsia="FangSong" w:cs="FangSong"/>
          <w:sz w:val="30"/>
          <w:szCs w:val="30"/>
          <w:spacing w:val="17"/>
        </w:rPr>
        <w:t>用人单位违反本条例的规定，有下列行为之一的，由疾病</w:t>
      </w:r>
      <w:r>
        <w:rPr>
          <w:rFonts w:ascii="FangSong" w:hAnsi="FangSong" w:eastAsia="FangSong" w:cs="FangSong"/>
          <w:sz w:val="30"/>
          <w:szCs w:val="30"/>
          <w:spacing w:val="16"/>
        </w:rPr>
        <w:t>预防控制部门给予警告，责令限期改正；逾</w:t>
      </w:r>
      <w:r>
        <w:rPr>
          <w:rFonts w:ascii="FangSong" w:hAnsi="FangSong" w:eastAsia="FangSong" w:cs="FangSong"/>
          <w:sz w:val="30"/>
          <w:szCs w:val="30"/>
        </w:rPr>
        <w:t xml:space="preserve"> </w:t>
      </w:r>
      <w:r>
        <w:rPr>
          <w:rFonts w:ascii="FangSong" w:hAnsi="FangSong" w:eastAsia="FangSong" w:cs="FangSong"/>
          <w:sz w:val="30"/>
          <w:szCs w:val="30"/>
          <w:spacing w:val="26"/>
        </w:rPr>
        <w:t>期不改正的，处5万元以上30万元以下的罚款；造成严重职业中毒危害或者导致职业中毒事故发生</w:t>
      </w:r>
      <w:r>
        <w:rPr>
          <w:rFonts w:ascii="FangSong" w:hAnsi="FangSong" w:eastAsia="FangSong" w:cs="FangSong"/>
          <w:sz w:val="30"/>
          <w:szCs w:val="30"/>
        </w:rPr>
        <w:t xml:space="preserve"> </w:t>
      </w:r>
      <w:r>
        <w:rPr>
          <w:rFonts w:ascii="FangSong" w:hAnsi="FangSong" w:eastAsia="FangSong" w:cs="FangSong"/>
          <w:sz w:val="30"/>
          <w:szCs w:val="30"/>
          <w:spacing w:val="17"/>
        </w:rPr>
        <w:t>的，对负有责任的主管人员和其他直接责任人员依照刑法关</w:t>
      </w:r>
      <w:r>
        <w:rPr>
          <w:rFonts w:ascii="FangSong" w:hAnsi="FangSong" w:eastAsia="FangSong" w:cs="FangSong"/>
          <w:sz w:val="30"/>
          <w:szCs w:val="30"/>
          <w:spacing w:val="16"/>
        </w:rPr>
        <w:t>于重大责任事故罪或者其他罪的规定，依</w:t>
      </w:r>
      <w:r>
        <w:rPr>
          <w:rFonts w:ascii="FangSong" w:hAnsi="FangSong" w:eastAsia="FangSong" w:cs="FangSong"/>
          <w:sz w:val="30"/>
          <w:szCs w:val="30"/>
        </w:rPr>
        <w:t xml:space="preserve"> </w:t>
      </w:r>
      <w:r>
        <w:rPr>
          <w:rFonts w:ascii="FangSong" w:hAnsi="FangSong" w:eastAsia="FangSong" w:cs="FangSong"/>
          <w:sz w:val="30"/>
          <w:szCs w:val="30"/>
          <w:spacing w:val="8"/>
        </w:rPr>
        <w:t>法追究刑事责任：</w:t>
      </w:r>
    </w:p>
    <w:p>
      <w:pPr>
        <w:ind w:left="779"/>
        <w:spacing w:before="199" w:line="220" w:lineRule="auto"/>
        <w:rPr>
          <w:rFonts w:ascii="FangSong" w:hAnsi="FangSong" w:eastAsia="FangSong" w:cs="FangSong"/>
          <w:sz w:val="30"/>
          <w:szCs w:val="30"/>
        </w:rPr>
      </w:pPr>
      <w:r>
        <w:rPr>
          <w:rFonts w:ascii="FangSong" w:hAnsi="FangSong" w:eastAsia="FangSong" w:cs="FangSong"/>
          <w:sz w:val="30"/>
          <w:szCs w:val="30"/>
          <w:spacing w:val="23"/>
        </w:rPr>
        <w:t>(三)安排有职业禁忌的劳动者从事所禁忌的作业的；</w:t>
      </w:r>
    </w:p>
    <w:p>
      <w:pPr>
        <w:ind w:left="779"/>
        <w:spacing w:before="83" w:line="220" w:lineRule="auto"/>
        <w:rPr>
          <w:rFonts w:ascii="FangSong" w:hAnsi="FangSong" w:eastAsia="FangSong" w:cs="FangSong"/>
          <w:sz w:val="30"/>
          <w:szCs w:val="30"/>
        </w:rPr>
      </w:pPr>
      <w:r>
        <w:rPr>
          <w:rFonts w:ascii="FangSong" w:hAnsi="FangSong" w:eastAsia="FangSong" w:cs="FangSong"/>
          <w:sz w:val="30"/>
          <w:szCs w:val="30"/>
          <w:spacing w:val="22"/>
        </w:rPr>
        <w:t>(五)安排未成年人或者孕期、哺乳期的女职工从事使用有毒物品作业的；</w:t>
      </w:r>
    </w:p>
    <w:p>
      <w:pPr>
        <w:ind w:left="779"/>
        <w:spacing w:before="66" w:line="222" w:lineRule="auto"/>
        <w:rPr>
          <w:rFonts w:ascii="FangSong" w:hAnsi="FangSong" w:eastAsia="FangSong" w:cs="FangSong"/>
          <w:sz w:val="30"/>
          <w:szCs w:val="30"/>
        </w:rPr>
      </w:pPr>
      <w:r>
        <w:rPr>
          <w:rFonts w:ascii="FangSong" w:hAnsi="FangSong" w:eastAsia="FangSong" w:cs="FangSong"/>
          <w:sz w:val="30"/>
          <w:szCs w:val="30"/>
          <w:spacing w:val="30"/>
        </w:rPr>
        <w:t>(六)使用童工的。</w:t>
      </w:r>
    </w:p>
    <w:p>
      <w:pPr>
        <w:ind w:right="19" w:firstLine="659"/>
        <w:spacing w:before="104" w:line="266" w:lineRule="auto"/>
        <w:rPr>
          <w:rFonts w:ascii="FangSong" w:hAnsi="FangSong" w:eastAsia="FangSong" w:cs="FangSong"/>
          <w:sz w:val="30"/>
          <w:szCs w:val="30"/>
        </w:rPr>
      </w:pPr>
      <w:r>
        <w:rPr>
          <w:rFonts w:ascii="FangSong" w:hAnsi="FangSong" w:eastAsia="FangSong" w:cs="FangSong"/>
          <w:sz w:val="30"/>
          <w:szCs w:val="30"/>
          <w:spacing w:val="22"/>
        </w:rPr>
        <w:t>4.</w:t>
      </w:r>
      <w:r>
        <w:rPr>
          <w:rFonts w:ascii="FangSong" w:hAnsi="FangSong" w:eastAsia="FangSong" w:cs="FangSong"/>
          <w:sz w:val="30"/>
          <w:szCs w:val="30"/>
          <w:spacing w:val="22"/>
        </w:rPr>
        <w:t xml:space="preserve"> </w:t>
      </w:r>
      <w:r>
        <w:rPr>
          <w:rFonts w:ascii="FangSong" w:hAnsi="FangSong" w:eastAsia="FangSong" w:cs="FangSong"/>
          <w:sz w:val="30"/>
          <w:szCs w:val="30"/>
          <w:spacing w:val="22"/>
        </w:rPr>
        <w:t>《使用有毒物品作业场所劳动保护条例》第六十三条</w:t>
      </w:r>
      <w:r>
        <w:rPr>
          <w:rFonts w:ascii="FangSong" w:hAnsi="FangSong" w:eastAsia="FangSong" w:cs="FangSong"/>
          <w:sz w:val="30"/>
          <w:szCs w:val="30"/>
          <w:spacing w:val="21"/>
        </w:rPr>
        <w:t>第(一)项</w:t>
      </w:r>
      <w:r>
        <w:rPr>
          <w:rFonts w:ascii="FangSong" w:hAnsi="FangSong" w:eastAsia="FangSong" w:cs="FangSong"/>
          <w:sz w:val="30"/>
          <w:szCs w:val="30"/>
          <w:spacing w:val="21"/>
        </w:rPr>
        <w:t xml:space="preserve">   </w:t>
      </w:r>
      <w:r>
        <w:rPr>
          <w:rFonts w:ascii="FangSong" w:hAnsi="FangSong" w:eastAsia="FangSong" w:cs="FangSong"/>
          <w:sz w:val="30"/>
          <w:szCs w:val="30"/>
          <w:spacing w:val="21"/>
        </w:rPr>
        <w:t>用人单位违反本条例的规</w:t>
      </w:r>
      <w:r>
        <w:rPr>
          <w:rFonts w:ascii="FangSong" w:hAnsi="FangSong" w:eastAsia="FangSong" w:cs="FangSong"/>
          <w:sz w:val="30"/>
          <w:szCs w:val="30"/>
        </w:rPr>
        <w:t xml:space="preserve"> </w:t>
      </w:r>
      <w:r>
        <w:rPr>
          <w:rFonts w:ascii="FangSong" w:hAnsi="FangSong" w:eastAsia="FangSong" w:cs="FangSong"/>
          <w:sz w:val="30"/>
          <w:szCs w:val="30"/>
          <w:spacing w:val="25"/>
        </w:rPr>
        <w:t>定，有下列行为之一的，由疾病预防控制部门责令限期改正，处5万元以上30万元以下的罚款；情</w:t>
      </w:r>
    </w:p>
    <w:p>
      <w:pPr>
        <w:spacing w:line="266" w:lineRule="auto"/>
        <w:sectPr>
          <w:footerReference w:type="default" r:id="rId515"/>
          <w:pgSz w:w="16830" w:h="11900"/>
          <w:pgMar w:top="1011" w:right="1448" w:bottom="1096" w:left="1430" w:header="0" w:footer="777" w:gutter="0"/>
        </w:sectPr>
        <w:rPr>
          <w:rFonts w:ascii="FangSong" w:hAnsi="FangSong" w:eastAsia="FangSong" w:cs="FangSong"/>
          <w:sz w:val="30"/>
          <w:szCs w:val="30"/>
        </w:rPr>
      </w:pPr>
    </w:p>
    <w:p>
      <w:pPr>
        <w:pStyle w:val="BodyText"/>
        <w:spacing w:line="260" w:lineRule="auto"/>
        <w:rPr/>
      </w:pPr>
      <w:r/>
    </w:p>
    <w:p>
      <w:pPr>
        <w:pStyle w:val="BodyText"/>
        <w:spacing w:line="260" w:lineRule="auto"/>
        <w:rPr/>
      </w:pPr>
      <w:r/>
    </w:p>
    <w:p>
      <w:pPr>
        <w:pStyle w:val="BodyText"/>
        <w:spacing w:line="261" w:lineRule="auto"/>
        <w:rPr/>
      </w:pPr>
      <w:r/>
    </w:p>
    <w:p>
      <w:pPr>
        <w:ind w:right="101"/>
        <w:spacing w:before="97" w:line="271" w:lineRule="auto"/>
        <w:jc w:val="both"/>
        <w:rPr>
          <w:rFonts w:ascii="FangSong" w:hAnsi="FangSong" w:eastAsia="FangSong" w:cs="FangSong"/>
          <w:sz w:val="30"/>
          <w:szCs w:val="30"/>
        </w:rPr>
      </w:pPr>
      <w:r>
        <w:rPr>
          <w:rFonts w:ascii="FangSong" w:hAnsi="FangSong" w:eastAsia="FangSong" w:cs="FangSong"/>
          <w:sz w:val="30"/>
          <w:szCs w:val="30"/>
          <w:spacing w:val="17"/>
        </w:rPr>
        <w:t>节严重的，责令停止使用有毒物品作业，或者提请有关人</w:t>
      </w:r>
      <w:r>
        <w:rPr>
          <w:rFonts w:ascii="FangSong" w:hAnsi="FangSong" w:eastAsia="FangSong" w:cs="FangSong"/>
          <w:sz w:val="30"/>
          <w:szCs w:val="30"/>
          <w:spacing w:val="16"/>
        </w:rPr>
        <w:t>民政府按照国务院规定的权限予以关闭；造</w:t>
      </w:r>
      <w:r>
        <w:rPr>
          <w:rFonts w:ascii="FangSong" w:hAnsi="FangSong" w:eastAsia="FangSong" w:cs="FangSong"/>
          <w:sz w:val="30"/>
          <w:szCs w:val="30"/>
        </w:rPr>
        <w:t xml:space="preserve"> </w:t>
      </w:r>
      <w:r>
        <w:rPr>
          <w:rFonts w:ascii="FangSong" w:hAnsi="FangSong" w:eastAsia="FangSong" w:cs="FangSong"/>
          <w:sz w:val="30"/>
          <w:szCs w:val="30"/>
          <w:spacing w:val="17"/>
        </w:rPr>
        <w:t>成严重职业中毒危害或者导致职业中毒事故发生的，对负有责任的主管人员和</w:t>
      </w:r>
      <w:r>
        <w:rPr>
          <w:rFonts w:ascii="FangSong" w:hAnsi="FangSong" w:eastAsia="FangSong" w:cs="FangSong"/>
          <w:sz w:val="30"/>
          <w:szCs w:val="30"/>
          <w:spacing w:val="16"/>
        </w:rPr>
        <w:t>其他直接责任人员依照</w:t>
      </w:r>
      <w:r>
        <w:rPr>
          <w:rFonts w:ascii="FangSong" w:hAnsi="FangSong" w:eastAsia="FangSong" w:cs="FangSong"/>
          <w:sz w:val="30"/>
          <w:szCs w:val="30"/>
        </w:rPr>
        <w:t xml:space="preserve"> </w:t>
      </w:r>
      <w:r>
        <w:rPr>
          <w:rFonts w:ascii="FangSong" w:hAnsi="FangSong" w:eastAsia="FangSong" w:cs="FangSong"/>
          <w:sz w:val="30"/>
          <w:szCs w:val="30"/>
          <w:spacing w:val="17"/>
        </w:rPr>
        <w:t>刑法关于重大责任事故罪或者其他罪的规定，依法追究刑事责任：</w:t>
      </w:r>
    </w:p>
    <w:p>
      <w:pPr>
        <w:ind w:right="90" w:firstLine="800"/>
        <w:spacing w:before="2" w:line="270" w:lineRule="auto"/>
        <w:rPr>
          <w:rFonts w:ascii="FangSong" w:hAnsi="FangSong" w:eastAsia="FangSong" w:cs="FangSong"/>
          <w:sz w:val="30"/>
          <w:szCs w:val="30"/>
        </w:rPr>
      </w:pPr>
      <w:r>
        <w:rPr>
          <w:rFonts w:ascii="FangSong" w:hAnsi="FangSong" w:eastAsia="FangSong" w:cs="FangSong"/>
          <w:sz w:val="30"/>
          <w:szCs w:val="30"/>
          <w:spacing w:val="20"/>
        </w:rPr>
        <w:t>(一)未组织从事使用有毒物品作业的劳动者进行上岗前职业健康检查，安排未经上岗前职业健</w:t>
      </w:r>
      <w:r>
        <w:rPr>
          <w:rFonts w:ascii="FangSong" w:hAnsi="FangSong" w:eastAsia="FangSong" w:cs="FangSong"/>
          <w:sz w:val="30"/>
          <w:szCs w:val="30"/>
          <w:spacing w:val="8"/>
        </w:rPr>
        <w:t xml:space="preserve"> </w:t>
      </w:r>
      <w:r>
        <w:rPr>
          <w:rFonts w:ascii="FangSong" w:hAnsi="FangSong" w:eastAsia="FangSong" w:cs="FangSong"/>
          <w:sz w:val="30"/>
          <w:szCs w:val="30"/>
          <w:spacing w:val="16"/>
        </w:rPr>
        <w:t>康检查的劳动者从事使用有毒物品作业的；</w:t>
      </w:r>
    </w:p>
    <w:p>
      <w:pPr>
        <w:ind w:firstLine="670"/>
        <w:spacing w:before="3" w:line="270" w:lineRule="auto"/>
        <w:jc w:val="both"/>
        <w:rPr>
          <w:rFonts w:ascii="FangSong" w:hAnsi="FangSong" w:eastAsia="FangSong" w:cs="FangSong"/>
          <w:sz w:val="30"/>
          <w:szCs w:val="30"/>
        </w:rPr>
      </w:pPr>
      <w:r>
        <w:rPr>
          <w:rFonts w:ascii="FangSong" w:hAnsi="FangSong" w:eastAsia="FangSong" w:cs="FangSong"/>
          <w:sz w:val="30"/>
          <w:szCs w:val="30"/>
          <w:spacing w:val="25"/>
        </w:rPr>
        <w:t>5、《工作场所职业卫生管理规定》第五十一条第(七)项</w:t>
      </w:r>
      <w:r>
        <w:rPr>
          <w:rFonts w:ascii="FangSong" w:hAnsi="FangSong" w:eastAsia="FangSong" w:cs="FangSong"/>
          <w:sz w:val="30"/>
          <w:szCs w:val="30"/>
          <w:spacing w:val="25"/>
        </w:rPr>
        <w:t xml:space="preserve">  </w:t>
      </w:r>
      <w:r>
        <w:rPr>
          <w:rFonts w:ascii="FangSong" w:hAnsi="FangSong" w:eastAsia="FangSong" w:cs="FangSong"/>
          <w:sz w:val="30"/>
          <w:szCs w:val="30"/>
          <w:spacing w:val="25"/>
        </w:rPr>
        <w:t>用人单位有下列情形之一的，依法</w:t>
      </w:r>
      <w:r>
        <w:rPr>
          <w:rFonts w:ascii="FangSong" w:hAnsi="FangSong" w:eastAsia="FangSong" w:cs="FangSong"/>
          <w:sz w:val="30"/>
          <w:szCs w:val="30"/>
          <w:spacing w:val="6"/>
        </w:rPr>
        <w:t xml:space="preserve">  </w:t>
      </w:r>
      <w:r>
        <w:rPr>
          <w:rFonts w:ascii="FangSong" w:hAnsi="FangSong" w:eastAsia="FangSong" w:cs="FangSong"/>
          <w:sz w:val="30"/>
          <w:szCs w:val="30"/>
          <w:spacing w:val="12"/>
        </w:rPr>
        <w:t>责令限期改正，并处五万元以上三十万元以下的罚款；情节严重的，责令停止产生职业病危害的作业，</w:t>
      </w:r>
      <w:r>
        <w:rPr>
          <w:rFonts w:ascii="FangSong" w:hAnsi="FangSong" w:eastAsia="FangSong" w:cs="FangSong"/>
          <w:sz w:val="30"/>
          <w:szCs w:val="30"/>
        </w:rPr>
        <w:t xml:space="preserve"> </w:t>
      </w:r>
      <w:r>
        <w:rPr>
          <w:rFonts w:ascii="FangSong" w:hAnsi="FangSong" w:eastAsia="FangSong" w:cs="FangSong"/>
          <w:sz w:val="30"/>
          <w:szCs w:val="30"/>
          <w:spacing w:val="16"/>
        </w:rPr>
        <w:t>或者提请有关人民政府按照国务院规定的权限责令关闭：</w:t>
      </w:r>
    </w:p>
    <w:p>
      <w:pPr>
        <w:ind w:right="92" w:firstLine="800"/>
        <w:spacing w:before="10" w:line="274" w:lineRule="auto"/>
        <w:rPr>
          <w:rFonts w:ascii="FangSong" w:hAnsi="FangSong" w:eastAsia="FangSong" w:cs="FangSong"/>
          <w:sz w:val="30"/>
          <w:szCs w:val="30"/>
        </w:rPr>
      </w:pPr>
      <w:r>
        <w:rPr>
          <w:rFonts w:ascii="FangSong" w:hAnsi="FangSong" w:eastAsia="FangSong" w:cs="FangSong"/>
          <w:sz w:val="30"/>
          <w:szCs w:val="30"/>
          <w:spacing w:val="20"/>
        </w:rPr>
        <w:t>(七)安排未经职业健康检查的劳动者、有职业禁忌的劳动者、未成年工或者孕期、哺乳期女职</w:t>
      </w:r>
      <w:r>
        <w:rPr>
          <w:rFonts w:ascii="FangSong" w:hAnsi="FangSong" w:eastAsia="FangSong" w:cs="FangSong"/>
          <w:sz w:val="30"/>
          <w:szCs w:val="30"/>
          <w:spacing w:val="6"/>
        </w:rPr>
        <w:t xml:space="preserve"> </w:t>
      </w:r>
      <w:r>
        <w:rPr>
          <w:rFonts w:ascii="FangSong" w:hAnsi="FangSong" w:eastAsia="FangSong" w:cs="FangSong"/>
          <w:sz w:val="30"/>
          <w:szCs w:val="30"/>
          <w:spacing w:val="15"/>
        </w:rPr>
        <w:t>工从事接触产生职业病危害的作业或者禁忌作业的；</w:t>
      </w:r>
    </w:p>
    <w:p>
      <w:pPr>
        <w:ind w:right="129" w:firstLine="670"/>
        <w:spacing w:before="2" w:line="266" w:lineRule="auto"/>
        <w:jc w:val="both"/>
        <w:rPr>
          <w:rFonts w:ascii="FangSong" w:hAnsi="FangSong" w:eastAsia="FangSong" w:cs="FangSong"/>
          <w:sz w:val="30"/>
          <w:szCs w:val="30"/>
        </w:rPr>
      </w:pPr>
      <w:r>
        <w:rPr>
          <w:rFonts w:ascii="FangSong" w:hAnsi="FangSong" w:eastAsia="FangSong" w:cs="FangSong"/>
          <w:sz w:val="30"/>
          <w:szCs w:val="30"/>
          <w:spacing w:val="18"/>
        </w:rPr>
        <w:t>6、《用人单位职业健康监护监督管理办法》第二十九条</w:t>
      </w:r>
      <w:r>
        <w:rPr>
          <w:rFonts w:ascii="FangSong" w:hAnsi="FangSong" w:eastAsia="FangSong" w:cs="FangSong"/>
          <w:sz w:val="30"/>
          <w:szCs w:val="30"/>
          <w:spacing w:val="18"/>
        </w:rPr>
        <w:t xml:space="preserve">  </w:t>
      </w:r>
      <w:r>
        <w:rPr>
          <w:rFonts w:ascii="FangSong" w:hAnsi="FangSong" w:eastAsia="FangSong" w:cs="FangSong"/>
          <w:sz w:val="30"/>
          <w:szCs w:val="30"/>
          <w:spacing w:val="18"/>
        </w:rPr>
        <w:t>用人单位有下列情形之一的，责令限</w:t>
      </w:r>
      <w:r>
        <w:rPr>
          <w:rFonts w:ascii="FangSong" w:hAnsi="FangSong" w:eastAsia="FangSong" w:cs="FangSong"/>
          <w:sz w:val="30"/>
          <w:szCs w:val="30"/>
          <w:spacing w:val="16"/>
        </w:rPr>
        <w:t xml:space="preserve"> </w:t>
      </w:r>
      <w:r>
        <w:rPr>
          <w:rFonts w:ascii="FangSong" w:hAnsi="FangSong" w:eastAsia="FangSong" w:cs="FangSong"/>
          <w:sz w:val="30"/>
          <w:szCs w:val="30"/>
          <w:spacing w:val="26"/>
        </w:rPr>
        <w:t>期治理，并处5万元以上30万元以下的罚款；情</w:t>
      </w:r>
      <w:r>
        <w:rPr>
          <w:rFonts w:ascii="FangSong" w:hAnsi="FangSong" w:eastAsia="FangSong" w:cs="FangSong"/>
          <w:sz w:val="30"/>
          <w:szCs w:val="30"/>
          <w:spacing w:val="25"/>
        </w:rPr>
        <w:t>节严重的，责令停止产生职业病危害的作业，或者</w:t>
      </w:r>
      <w:r>
        <w:rPr>
          <w:rFonts w:ascii="FangSong" w:hAnsi="FangSong" w:eastAsia="FangSong" w:cs="FangSong"/>
          <w:sz w:val="30"/>
          <w:szCs w:val="30"/>
        </w:rPr>
        <w:t xml:space="preserve"> </w:t>
      </w:r>
      <w:r>
        <w:rPr>
          <w:rFonts w:ascii="FangSong" w:hAnsi="FangSong" w:eastAsia="FangSong" w:cs="FangSong"/>
          <w:sz w:val="30"/>
          <w:szCs w:val="30"/>
          <w:spacing w:val="15"/>
        </w:rPr>
        <w:t>提请有关人民政府按照国务院规定的权限责令关闭：</w:t>
      </w:r>
    </w:p>
    <w:p>
      <w:pPr>
        <w:ind w:left="800"/>
        <w:spacing w:before="1" w:line="220" w:lineRule="auto"/>
        <w:rPr>
          <w:rFonts w:ascii="FangSong" w:hAnsi="FangSong" w:eastAsia="FangSong" w:cs="FangSong"/>
          <w:sz w:val="30"/>
          <w:szCs w:val="30"/>
        </w:rPr>
      </w:pPr>
      <w:r>
        <w:rPr>
          <w:rFonts w:ascii="FangSong" w:hAnsi="FangSong" w:eastAsia="FangSong" w:cs="FangSong"/>
          <w:sz w:val="30"/>
          <w:szCs w:val="30"/>
          <w:spacing w:val="22"/>
        </w:rPr>
        <w:t>(一)安排未经职业健康检查的劳动者从事接触职业病危害的作业的；</w:t>
      </w:r>
    </w:p>
    <w:p>
      <w:pPr>
        <w:ind w:left="800"/>
        <w:spacing w:before="92" w:line="220" w:lineRule="auto"/>
        <w:rPr>
          <w:rFonts w:ascii="FangSong" w:hAnsi="FangSong" w:eastAsia="FangSong" w:cs="FangSong"/>
          <w:sz w:val="30"/>
          <w:szCs w:val="30"/>
        </w:rPr>
      </w:pPr>
      <w:r>
        <w:rPr>
          <w:rFonts w:ascii="FangSong" w:hAnsi="FangSong" w:eastAsia="FangSong" w:cs="FangSong"/>
          <w:sz w:val="30"/>
          <w:szCs w:val="30"/>
          <w:spacing w:val="23"/>
        </w:rPr>
        <w:t>(二)安排未成年工从事接触职业病危害的作业的；</w:t>
      </w:r>
    </w:p>
    <w:p>
      <w:pPr>
        <w:ind w:left="800"/>
        <w:spacing w:before="73" w:line="220" w:lineRule="auto"/>
        <w:rPr>
          <w:rFonts w:ascii="FangSong" w:hAnsi="FangSong" w:eastAsia="FangSong" w:cs="FangSong"/>
          <w:sz w:val="30"/>
          <w:szCs w:val="30"/>
        </w:rPr>
      </w:pPr>
      <w:r>
        <w:rPr>
          <w:rFonts w:ascii="FangSong" w:hAnsi="FangSong" w:eastAsia="FangSong" w:cs="FangSong"/>
          <w:sz w:val="30"/>
          <w:szCs w:val="30"/>
          <w:spacing w:val="22"/>
        </w:rPr>
        <w:t>(三)安排孕期、哺乳期女职工从事对本人和胎儿、婴儿有</w:t>
      </w:r>
      <w:r>
        <w:rPr>
          <w:rFonts w:ascii="FangSong" w:hAnsi="FangSong" w:eastAsia="FangSong" w:cs="FangSong"/>
          <w:sz w:val="30"/>
          <w:szCs w:val="30"/>
          <w:spacing w:val="21"/>
        </w:rPr>
        <w:t>危害的作业的；</w:t>
      </w:r>
    </w:p>
    <w:p>
      <w:pPr>
        <w:ind w:left="800"/>
        <w:spacing w:before="82" w:line="220" w:lineRule="auto"/>
        <w:rPr>
          <w:rFonts w:ascii="FangSong" w:hAnsi="FangSong" w:eastAsia="FangSong" w:cs="FangSong"/>
          <w:sz w:val="30"/>
          <w:szCs w:val="30"/>
        </w:rPr>
      </w:pPr>
      <w:r>
        <w:rPr>
          <w:rFonts w:ascii="FangSong" w:hAnsi="FangSong" w:eastAsia="FangSong" w:cs="FangSong"/>
          <w:sz w:val="30"/>
          <w:szCs w:val="30"/>
          <w:spacing w:val="23"/>
        </w:rPr>
        <w:t>(四)安排有职业禁忌的劳动者从事所禁忌的作业的。</w:t>
      </w:r>
    </w:p>
    <w:p>
      <w:pPr>
        <w:ind w:left="6714"/>
        <w:spacing w:before="231" w:line="221" w:lineRule="auto"/>
        <w:rPr>
          <w:rFonts w:ascii="SimHei" w:hAnsi="SimHei" w:eastAsia="SimHei" w:cs="SimHei"/>
          <w:sz w:val="30"/>
          <w:szCs w:val="30"/>
        </w:rPr>
      </w:pPr>
      <w:r>
        <w:rPr>
          <w:rFonts w:ascii="SimHei" w:hAnsi="SimHei" w:eastAsia="SimHei" w:cs="SimHei"/>
          <w:sz w:val="30"/>
          <w:szCs w:val="30"/>
          <w:b/>
          <w:bCs/>
          <w:spacing w:val="-17"/>
        </w:rPr>
        <w:t>裁量标准</w:t>
      </w:r>
    </w:p>
    <w:p>
      <w:pPr>
        <w:pStyle w:val="BodyText"/>
        <w:spacing w:line="268" w:lineRule="auto"/>
        <w:rPr/>
      </w:pPr>
      <w:r/>
    </w:p>
    <w:p>
      <w:pPr>
        <w:pStyle w:val="BodyText"/>
        <w:spacing w:line="268" w:lineRule="auto"/>
        <w:rPr/>
      </w:pPr>
      <w:r/>
    </w:p>
    <w:p>
      <w:pPr>
        <w:pStyle w:val="BodyText"/>
        <w:spacing w:line="269" w:lineRule="auto"/>
        <w:rPr/>
      </w:pPr>
      <w:r/>
    </w:p>
    <w:p>
      <w:pPr>
        <w:ind w:left="6380"/>
        <w:spacing w:before="108"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—578—</w:t>
      </w:r>
    </w:p>
    <w:p>
      <w:pPr>
        <w:spacing w:line="188" w:lineRule="auto"/>
        <w:sectPr>
          <w:footerReference w:type="default" r:id="rId24"/>
          <w:pgSz w:w="16830" w:h="11900"/>
          <w:pgMar w:top="1011" w:right="1369" w:bottom="400" w:left="1419" w:header="0" w:footer="0" w:gutter="0"/>
        </w:sectPr>
        <w:rPr>
          <w:rFonts w:ascii="Times New Roman" w:hAnsi="Times New Roman" w:eastAsia="Times New Roman" w:cs="Times New Roman"/>
          <w:sz w:val="37"/>
          <w:szCs w:val="37"/>
        </w:rPr>
      </w:pPr>
    </w:p>
    <w:p>
      <w:pPr>
        <w:spacing w:before="13"/>
        <w:rPr/>
      </w:pPr>
      <w:r/>
    </w:p>
    <w:p>
      <w:pPr>
        <w:spacing w:before="13"/>
        <w:rPr/>
      </w:pPr>
      <w:r/>
    </w:p>
    <w:p>
      <w:pPr>
        <w:spacing w:before="13"/>
        <w:rPr/>
      </w:pPr>
      <w:r/>
    </w:p>
    <w:tbl>
      <w:tblPr>
        <w:tblStyle w:val="TableNormal"/>
        <w:tblW w:w="1392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9303"/>
        <w:gridCol w:w="3193"/>
      </w:tblGrid>
      <w:tr>
        <w:trPr>
          <w:trHeight w:val="694" w:hRule="atLeast"/>
        </w:trPr>
        <w:tc>
          <w:tcPr>
            <w:tcW w:w="1424" w:type="dxa"/>
            <w:vAlign w:val="top"/>
          </w:tcPr>
          <w:p>
            <w:pPr>
              <w:pStyle w:val="TableText"/>
              <w:ind w:left="128"/>
              <w:spacing w:before="232" w:line="220" w:lineRule="auto"/>
              <w:rPr/>
            </w:pPr>
            <w:bookmarkStart w:name="bookmark1144" w:id="519"/>
            <w:bookmarkEnd w:id="519"/>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9303" w:type="dxa"/>
            <w:vAlign w:val="top"/>
          </w:tcPr>
          <w:p>
            <w:pPr>
              <w:pStyle w:val="TableText"/>
              <w:ind w:left="4064"/>
              <w:spacing w:before="232" w:line="220" w:lineRule="auto"/>
              <w:rPr/>
            </w:pPr>
            <w:r>
              <w:rPr>
                <w:b/>
                <w:bCs/>
                <w:spacing w:val="-11"/>
              </w:rPr>
              <w:t>情</w:t>
            </w:r>
            <w:r>
              <w:rPr>
                <w:spacing w:val="-37"/>
              </w:rPr>
              <w:t xml:space="preserve"> </w:t>
            </w:r>
            <w:r>
              <w:rPr>
                <w:b/>
                <w:bCs/>
                <w:spacing w:val="-11"/>
              </w:rPr>
              <w:t>节</w:t>
            </w:r>
            <w:r>
              <w:rPr>
                <w:spacing w:val="-36"/>
              </w:rPr>
              <w:t xml:space="preserve"> </w:t>
            </w:r>
            <w:r>
              <w:rPr>
                <w:b/>
                <w:bCs/>
                <w:spacing w:val="-11"/>
              </w:rPr>
              <w:t>后</w:t>
            </w:r>
            <w:r>
              <w:rPr>
                <w:spacing w:val="-33"/>
              </w:rPr>
              <w:t xml:space="preserve"> </w:t>
            </w:r>
            <w:r>
              <w:rPr>
                <w:b/>
                <w:bCs/>
                <w:spacing w:val="-11"/>
              </w:rPr>
              <w:t>果</w:t>
            </w:r>
          </w:p>
        </w:tc>
        <w:tc>
          <w:tcPr>
            <w:tcW w:w="3193" w:type="dxa"/>
            <w:vAlign w:val="top"/>
          </w:tcPr>
          <w:p>
            <w:pPr>
              <w:pStyle w:val="TableText"/>
              <w:ind w:left="1111"/>
              <w:spacing w:before="229" w:line="218" w:lineRule="auto"/>
              <w:rPr/>
            </w:pPr>
            <w:r>
              <w:rPr>
                <w:b/>
                <w:bCs/>
                <w:spacing w:val="-5"/>
              </w:rPr>
              <w:t>裁量幅度</w:t>
            </w:r>
          </w:p>
        </w:tc>
      </w:tr>
      <w:tr>
        <w:trPr>
          <w:trHeight w:val="659" w:hRule="atLeast"/>
        </w:trPr>
        <w:tc>
          <w:tcPr>
            <w:tcW w:w="1424" w:type="dxa"/>
            <w:vAlign w:val="top"/>
          </w:tcPr>
          <w:p>
            <w:pPr>
              <w:pStyle w:val="TableText"/>
              <w:ind w:left="468"/>
              <w:spacing w:before="267" w:line="219" w:lineRule="auto"/>
              <w:rPr/>
            </w:pPr>
            <w:r>
              <w:rPr>
                <w:b/>
                <w:bCs/>
                <w:spacing w:val="-6"/>
              </w:rPr>
              <w:t>轻微</w:t>
            </w:r>
          </w:p>
        </w:tc>
        <w:tc>
          <w:tcPr>
            <w:tcW w:w="9303" w:type="dxa"/>
            <w:vAlign w:val="top"/>
          </w:tcPr>
          <w:p>
            <w:pPr>
              <w:pStyle w:val="TableText"/>
              <w:ind w:left="109" w:hanging="29"/>
              <w:spacing w:before="61" w:line="226" w:lineRule="auto"/>
              <w:rPr/>
            </w:pPr>
            <w:r>
              <w:rPr>
                <w:spacing w:val="2"/>
              </w:rPr>
              <w:t>用人单位安排未经职业健康检查的劳动者、有职业禁忌的劳动者、未成年工或者孕期、</w:t>
            </w:r>
            <w:r>
              <w:rPr>
                <w:spacing w:val="15"/>
              </w:rPr>
              <w:t xml:space="preserve"> </w:t>
            </w:r>
            <w:r>
              <w:rPr/>
              <w:t>哺乳期女职工从事接触职业病危害的作业或者禁忌作业，涉及</w:t>
            </w:r>
            <w:r>
              <w:rPr>
                <w:spacing w:val="-1"/>
              </w:rPr>
              <w:t>5人以下的</w:t>
            </w:r>
          </w:p>
        </w:tc>
        <w:tc>
          <w:tcPr>
            <w:tcW w:w="3193" w:type="dxa"/>
            <w:vAlign w:val="top"/>
          </w:tcPr>
          <w:p>
            <w:pPr>
              <w:pStyle w:val="TableText"/>
              <w:ind w:left="148"/>
              <w:spacing w:before="61" w:line="220" w:lineRule="auto"/>
              <w:rPr/>
            </w:pPr>
            <w:r>
              <w:rPr>
                <w:spacing w:val="1"/>
              </w:rPr>
              <w:t>处五万元以上十万元以下的</w:t>
            </w:r>
          </w:p>
          <w:p>
            <w:pPr>
              <w:pStyle w:val="TableText"/>
              <w:ind w:left="128"/>
              <w:spacing w:before="34" w:line="205" w:lineRule="auto"/>
              <w:rPr/>
            </w:pPr>
            <w:r>
              <w:rPr>
                <w:color w:val="606060"/>
                <w:spacing w:val="5"/>
              </w:rPr>
              <w:t>罚款</w:t>
            </w:r>
          </w:p>
        </w:tc>
      </w:tr>
      <w:tr>
        <w:trPr>
          <w:trHeight w:val="719" w:hRule="atLeast"/>
        </w:trPr>
        <w:tc>
          <w:tcPr>
            <w:tcW w:w="1424" w:type="dxa"/>
            <w:vAlign w:val="top"/>
          </w:tcPr>
          <w:p>
            <w:pPr>
              <w:pStyle w:val="TableText"/>
              <w:ind w:left="468"/>
              <w:spacing w:before="299" w:line="221" w:lineRule="auto"/>
              <w:rPr/>
            </w:pPr>
            <w:r>
              <w:rPr>
                <w:b/>
                <w:bCs/>
                <w:spacing w:val="-10"/>
              </w:rPr>
              <w:t>一般</w:t>
            </w:r>
          </w:p>
        </w:tc>
        <w:tc>
          <w:tcPr>
            <w:tcW w:w="9303" w:type="dxa"/>
            <w:vAlign w:val="top"/>
          </w:tcPr>
          <w:p>
            <w:pPr>
              <w:pStyle w:val="TableText"/>
              <w:ind w:left="109" w:hanging="29"/>
              <w:spacing w:before="92" w:line="237" w:lineRule="auto"/>
              <w:rPr/>
            </w:pPr>
            <w:r>
              <w:rPr>
                <w:spacing w:val="2"/>
              </w:rPr>
              <w:t>用人单位安排未经职业健康检查的劳动者、有职业禁忌的劳动者、未成年工或者孕期、</w:t>
            </w:r>
            <w:r>
              <w:rPr>
                <w:spacing w:val="15"/>
              </w:rPr>
              <w:t xml:space="preserve"> </w:t>
            </w:r>
            <w:r>
              <w:rPr/>
              <w:t>哺乳期女职工从事接触职业病危害的作业或者禁忌作业，涉及6</w:t>
            </w:r>
            <w:r>
              <w:rPr>
                <w:spacing w:val="-1"/>
              </w:rPr>
              <w:t>-10人的</w:t>
            </w:r>
          </w:p>
        </w:tc>
        <w:tc>
          <w:tcPr>
            <w:tcW w:w="3193" w:type="dxa"/>
            <w:vAlign w:val="top"/>
          </w:tcPr>
          <w:p>
            <w:pPr>
              <w:pStyle w:val="TableText"/>
              <w:ind w:left="128" w:right="139" w:firstLine="20"/>
              <w:spacing w:before="92" w:line="237" w:lineRule="auto"/>
              <w:rPr/>
            </w:pPr>
            <w:r>
              <w:rPr>
                <w:spacing w:val="1"/>
              </w:rPr>
              <w:t>处十万元以上十五万元以下</w:t>
            </w:r>
            <w:r>
              <w:rPr>
                <w:spacing w:val="2"/>
              </w:rPr>
              <w:t xml:space="preserve"> </w:t>
            </w:r>
            <w:r>
              <w:rPr>
                <w:spacing w:val="3"/>
              </w:rPr>
              <w:t>的罚款</w:t>
            </w:r>
          </w:p>
        </w:tc>
      </w:tr>
      <w:tr>
        <w:trPr>
          <w:trHeight w:val="848" w:hRule="atLeast"/>
        </w:trPr>
        <w:tc>
          <w:tcPr>
            <w:tcW w:w="1424" w:type="dxa"/>
            <w:vAlign w:val="top"/>
          </w:tcPr>
          <w:p>
            <w:pPr>
              <w:spacing w:line="273" w:lineRule="auto"/>
              <w:rPr>
                <w:rFonts w:ascii="Arial"/>
                <w:sz w:val="21"/>
              </w:rPr>
            </w:pPr>
            <w:r/>
          </w:p>
          <w:p>
            <w:pPr>
              <w:pStyle w:val="TableText"/>
              <w:ind w:left="468"/>
              <w:spacing w:before="78" w:line="221" w:lineRule="auto"/>
              <w:rPr/>
            </w:pPr>
            <w:r>
              <w:rPr>
                <w:b/>
                <w:bCs/>
                <w:spacing w:val="-5"/>
              </w:rPr>
              <w:t>较重</w:t>
            </w:r>
          </w:p>
        </w:tc>
        <w:tc>
          <w:tcPr>
            <w:tcW w:w="9303" w:type="dxa"/>
            <w:vAlign w:val="top"/>
          </w:tcPr>
          <w:p>
            <w:pPr>
              <w:pStyle w:val="TableText"/>
              <w:ind w:left="109" w:hanging="29"/>
              <w:spacing w:before="143" w:line="267" w:lineRule="auto"/>
              <w:rPr/>
            </w:pPr>
            <w:r>
              <w:rPr>
                <w:spacing w:val="2"/>
              </w:rPr>
              <w:t>用人单位安排未经职业健康检查的劳动者、有职业禁忌的劳动者、未成年工或者孕期、</w:t>
            </w:r>
            <w:r>
              <w:rPr>
                <w:spacing w:val="15"/>
              </w:rPr>
              <w:t xml:space="preserve"> </w:t>
            </w:r>
            <w:r>
              <w:rPr/>
              <w:t>哺乳期女职工从事接触职业病危害的作业或者禁忌作业，涉及1</w:t>
            </w:r>
            <w:r>
              <w:rPr>
                <w:spacing w:val="-1"/>
              </w:rPr>
              <w:t>1-20人的</w:t>
            </w:r>
          </w:p>
        </w:tc>
        <w:tc>
          <w:tcPr>
            <w:tcW w:w="3193" w:type="dxa"/>
            <w:vAlign w:val="top"/>
          </w:tcPr>
          <w:p>
            <w:pPr>
              <w:pStyle w:val="TableText"/>
              <w:ind w:left="117" w:right="133" w:firstLine="30"/>
              <w:spacing w:before="152" w:line="250" w:lineRule="auto"/>
              <w:rPr/>
            </w:pPr>
            <w:r>
              <w:rPr>
                <w:spacing w:val="1"/>
              </w:rPr>
              <w:t>处十五万元以上二十万元以</w:t>
            </w:r>
            <w:r>
              <w:rPr>
                <w:spacing w:val="8"/>
              </w:rPr>
              <w:t xml:space="preserve"> </w:t>
            </w:r>
            <w:r>
              <w:rPr>
                <w:spacing w:val="2"/>
              </w:rPr>
              <w:t>下的罚款</w:t>
            </w:r>
          </w:p>
        </w:tc>
      </w:tr>
      <w:tr>
        <w:trPr>
          <w:trHeight w:val="968" w:hRule="atLeast"/>
        </w:trPr>
        <w:tc>
          <w:tcPr>
            <w:tcW w:w="1424" w:type="dxa"/>
            <w:vAlign w:val="top"/>
          </w:tcPr>
          <w:p>
            <w:pPr>
              <w:spacing w:line="292" w:lineRule="auto"/>
              <w:rPr>
                <w:rFonts w:ascii="Arial"/>
                <w:sz w:val="21"/>
              </w:rPr>
            </w:pPr>
            <w:r/>
          </w:p>
          <w:p>
            <w:pPr>
              <w:pStyle w:val="TableText"/>
              <w:ind w:left="468"/>
              <w:spacing w:before="78" w:line="220" w:lineRule="auto"/>
              <w:rPr/>
            </w:pPr>
            <w:r>
              <w:rPr>
                <w:b/>
                <w:bCs/>
                <w:spacing w:val="-6"/>
              </w:rPr>
              <w:t>严重</w:t>
            </w:r>
          </w:p>
        </w:tc>
        <w:tc>
          <w:tcPr>
            <w:tcW w:w="9303" w:type="dxa"/>
            <w:vAlign w:val="top"/>
          </w:tcPr>
          <w:p>
            <w:pPr>
              <w:pStyle w:val="TableText"/>
              <w:ind w:left="319" w:hanging="239"/>
              <w:spacing w:before="203" w:line="264" w:lineRule="auto"/>
              <w:rPr/>
            </w:pPr>
            <w:r>
              <w:rPr>
                <w:spacing w:val="2"/>
              </w:rPr>
              <w:t>用人单位安排未经职业健康检查的劳动者、有职业禁忌的劳动者、未成年工或者孕期、</w:t>
            </w:r>
            <w:r>
              <w:rPr>
                <w:spacing w:val="15"/>
              </w:rPr>
              <w:t xml:space="preserve"> </w:t>
            </w:r>
            <w:r>
              <w:rPr/>
              <w:t>哺乳期女职工从事接触职业病危害的作业或者禁忌作业，涉及21人</w:t>
            </w:r>
            <w:r>
              <w:rPr>
                <w:spacing w:val="-1"/>
              </w:rPr>
              <w:t>以上30人以下的</w:t>
            </w:r>
          </w:p>
        </w:tc>
        <w:tc>
          <w:tcPr>
            <w:tcW w:w="3193" w:type="dxa"/>
            <w:vAlign w:val="top"/>
          </w:tcPr>
          <w:p>
            <w:pPr>
              <w:pStyle w:val="TableText"/>
              <w:ind w:left="117" w:right="133" w:firstLine="30"/>
              <w:spacing w:before="205" w:line="265" w:lineRule="auto"/>
              <w:rPr/>
            </w:pPr>
            <w:r>
              <w:rPr>
                <w:spacing w:val="1"/>
              </w:rPr>
              <w:t>处二十万元以上三十万元以</w:t>
            </w:r>
            <w:r>
              <w:rPr>
                <w:spacing w:val="8"/>
              </w:rPr>
              <w:t xml:space="preserve"> </w:t>
            </w:r>
            <w:r>
              <w:rPr>
                <w:spacing w:val="2"/>
              </w:rPr>
              <w:t>下的罚款</w:t>
            </w:r>
          </w:p>
        </w:tc>
      </w:tr>
      <w:tr>
        <w:trPr>
          <w:trHeight w:val="1362" w:hRule="atLeast"/>
        </w:trPr>
        <w:tc>
          <w:tcPr>
            <w:tcW w:w="1424" w:type="dxa"/>
            <w:vAlign w:val="top"/>
          </w:tcPr>
          <w:p>
            <w:pPr>
              <w:spacing w:line="241" w:lineRule="auto"/>
              <w:rPr>
                <w:rFonts w:ascii="Arial"/>
                <w:sz w:val="21"/>
              </w:rPr>
            </w:pPr>
            <w:r/>
          </w:p>
          <w:p>
            <w:pPr>
              <w:spacing w:line="241" w:lineRule="auto"/>
              <w:rPr>
                <w:rFonts w:ascii="Arial"/>
                <w:sz w:val="21"/>
              </w:rPr>
            </w:pPr>
            <w:r/>
          </w:p>
          <w:p>
            <w:pPr>
              <w:pStyle w:val="TableText"/>
              <w:ind w:left="228"/>
              <w:spacing w:before="78" w:line="219" w:lineRule="auto"/>
              <w:rPr/>
            </w:pPr>
            <w:r>
              <w:rPr>
                <w:b/>
                <w:bCs/>
                <w:spacing w:val="-5"/>
              </w:rPr>
              <w:t>特别严重</w:t>
            </w:r>
          </w:p>
        </w:tc>
        <w:tc>
          <w:tcPr>
            <w:tcW w:w="9303" w:type="dxa"/>
            <w:vAlign w:val="top"/>
          </w:tcPr>
          <w:p>
            <w:pPr>
              <w:pStyle w:val="TableText"/>
              <w:spacing w:before="67" w:line="219" w:lineRule="auto"/>
              <w:jc w:val="right"/>
              <w:rPr/>
            </w:pPr>
            <w:r>
              <w:rPr>
                <w:spacing w:val="2"/>
              </w:rPr>
              <w:t>用人单位安排未经职业健康检查的劳动者、有职业禁忌的劳动者、未成年工或者孕期、</w:t>
            </w:r>
          </w:p>
          <w:p>
            <w:pPr>
              <w:pStyle w:val="TableText"/>
              <w:ind w:left="200"/>
              <w:spacing w:before="65" w:line="219" w:lineRule="auto"/>
              <w:rPr/>
            </w:pPr>
            <w:r>
              <w:rPr/>
              <w:t>哺乳期女职工从事接触职业病危害的作业或者禁忌作业，涉及31人以上的；或用人单</w:t>
            </w:r>
          </w:p>
          <w:p>
            <w:pPr>
              <w:pStyle w:val="TableText"/>
              <w:ind w:left="80"/>
              <w:spacing w:before="45" w:line="219" w:lineRule="auto"/>
              <w:rPr/>
            </w:pPr>
            <w:r>
              <w:rPr/>
              <w:t>位安排未经职业健康检查的劳动者、有职业禁忌的劳动者、未成年工或者孕期、哺乳期</w:t>
            </w:r>
          </w:p>
          <w:p>
            <w:pPr>
              <w:pStyle w:val="TableText"/>
              <w:ind w:left="110"/>
              <w:spacing w:before="55" w:line="204" w:lineRule="auto"/>
              <w:rPr/>
            </w:pPr>
            <w:r>
              <w:rPr/>
              <w:t>女职工从事接触职业病危害的作业或者禁忌作业，造成严重后果的</w:t>
            </w:r>
          </w:p>
        </w:tc>
        <w:tc>
          <w:tcPr>
            <w:tcW w:w="3193" w:type="dxa"/>
            <w:vAlign w:val="top"/>
          </w:tcPr>
          <w:p>
            <w:pPr>
              <w:pStyle w:val="TableText"/>
              <w:ind w:left="148" w:right="143" w:firstLine="119"/>
              <w:spacing w:before="65" w:line="262" w:lineRule="auto"/>
              <w:jc w:val="both"/>
              <w:rPr/>
            </w:pPr>
            <w:r>
              <w:rPr>
                <w:spacing w:val="1"/>
              </w:rPr>
              <w:t>停止产生职业病危害的作  </w:t>
            </w:r>
            <w:r>
              <w:rPr>
                <w:spacing w:val="-1"/>
              </w:rPr>
              <w:t>业，或者提请有关人民政府</w:t>
            </w:r>
            <w:r>
              <w:rPr>
                <w:spacing w:val="2"/>
              </w:rPr>
              <w:t xml:space="preserve"> </w:t>
            </w:r>
            <w:r>
              <w:rPr/>
              <w:t>按照国务院规定的权限责令</w:t>
            </w:r>
          </w:p>
          <w:p>
            <w:pPr>
              <w:pStyle w:val="TableText"/>
              <w:ind w:left="117"/>
              <w:spacing w:line="203" w:lineRule="auto"/>
              <w:rPr/>
            </w:pPr>
            <w:r>
              <w:rPr>
                <w:color w:val="504050"/>
                <w:spacing w:val="10"/>
              </w:rPr>
              <w:t>关闭</w:t>
            </w:r>
          </w:p>
        </w:tc>
      </w:tr>
    </w:tbl>
    <w:p>
      <w:pPr>
        <w:pStyle w:val="BodyText"/>
        <w:spacing w:line="436" w:lineRule="auto"/>
        <w:rPr/>
      </w:pPr>
      <w:r/>
    </w:p>
    <w:p>
      <w:pPr>
        <w:ind w:left="654" w:right="2964" w:firstLine="4"/>
        <w:spacing w:before="97" w:line="243" w:lineRule="auto"/>
        <w:rPr>
          <w:rFonts w:ascii="FangSong" w:hAnsi="FangSong" w:eastAsia="FangSong" w:cs="FangSong"/>
          <w:sz w:val="30"/>
          <w:szCs w:val="30"/>
        </w:rPr>
      </w:pPr>
      <w:r>
        <w:rPr>
          <w:rFonts w:ascii="FangSong" w:hAnsi="FangSong" w:eastAsia="FangSong" w:cs="FangSong"/>
          <w:sz w:val="30"/>
          <w:szCs w:val="30"/>
          <w:b/>
          <w:bCs/>
          <w:spacing w:val="22"/>
        </w:rPr>
        <w:t>第四百八十一条违章指挥和强令劳动者进行没有职业病防护措施的作业的</w:t>
      </w:r>
      <w:r>
        <w:rPr>
          <w:rFonts w:ascii="FangSong" w:hAnsi="FangSong" w:eastAsia="FangSong" w:cs="FangSong"/>
          <w:sz w:val="30"/>
          <w:szCs w:val="30"/>
          <w:spacing w:val="5"/>
        </w:rPr>
        <w:t xml:space="preserve"> </w:t>
      </w:r>
      <w:r>
        <w:rPr>
          <w:rFonts w:ascii="FangSong" w:hAnsi="FangSong" w:eastAsia="FangSong" w:cs="FangSong"/>
          <w:sz w:val="30"/>
          <w:szCs w:val="30"/>
        </w:rPr>
        <w:t>法律依据：</w:t>
      </w:r>
    </w:p>
    <w:p>
      <w:pPr>
        <w:ind w:left="15" w:firstLine="639"/>
        <w:spacing w:before="87" w:line="270" w:lineRule="auto"/>
        <w:jc w:val="both"/>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《中华人民共和国职业病防治法》第七十五条第(八)项</w:t>
      </w:r>
      <w:r>
        <w:rPr>
          <w:rFonts w:ascii="FangSong" w:hAnsi="FangSong" w:eastAsia="FangSong" w:cs="FangSong"/>
          <w:sz w:val="30"/>
          <w:szCs w:val="30"/>
          <w:spacing w:val="19"/>
        </w:rPr>
        <w:t xml:space="preserve">  </w:t>
      </w:r>
      <w:r>
        <w:rPr>
          <w:rFonts w:ascii="FangSong" w:hAnsi="FangSong" w:eastAsia="FangSong" w:cs="FangSong"/>
          <w:sz w:val="30"/>
          <w:szCs w:val="30"/>
          <w:spacing w:val="19"/>
        </w:rPr>
        <w:t>违反《中华人民共</w:t>
      </w:r>
      <w:r>
        <w:rPr>
          <w:rFonts w:ascii="FangSong" w:hAnsi="FangSong" w:eastAsia="FangSong" w:cs="FangSong"/>
          <w:sz w:val="30"/>
          <w:szCs w:val="30"/>
          <w:spacing w:val="18"/>
        </w:rPr>
        <w:t>和国职业病防治</w:t>
      </w:r>
      <w:r>
        <w:rPr>
          <w:rFonts w:ascii="FangSong" w:hAnsi="FangSong" w:eastAsia="FangSong" w:cs="FangSong"/>
          <w:sz w:val="30"/>
          <w:szCs w:val="30"/>
        </w:rPr>
        <w:t xml:space="preserve"> </w:t>
      </w:r>
      <w:r>
        <w:rPr>
          <w:rFonts w:ascii="FangSong" w:hAnsi="FangSong" w:eastAsia="FangSong" w:cs="FangSong"/>
          <w:sz w:val="30"/>
          <w:szCs w:val="30"/>
          <w:spacing w:val="12"/>
        </w:rPr>
        <w:t>法》规定，有下列情形之一的，由卫生行政部门责令限</w:t>
      </w:r>
      <w:r>
        <w:rPr>
          <w:rFonts w:ascii="FangSong" w:hAnsi="FangSong" w:eastAsia="FangSong" w:cs="FangSong"/>
          <w:sz w:val="30"/>
          <w:szCs w:val="30"/>
          <w:spacing w:val="11"/>
        </w:rPr>
        <w:t>期治理，并处五万元以上三十万元以下的罚款；</w:t>
      </w:r>
      <w:r>
        <w:rPr>
          <w:rFonts w:ascii="FangSong" w:hAnsi="FangSong" w:eastAsia="FangSong" w:cs="FangSong"/>
          <w:sz w:val="30"/>
          <w:szCs w:val="30"/>
        </w:rPr>
        <w:t xml:space="preserve"> </w:t>
      </w:r>
      <w:r>
        <w:rPr>
          <w:rFonts w:ascii="FangSong" w:hAnsi="FangSong" w:eastAsia="FangSong" w:cs="FangSong"/>
          <w:sz w:val="30"/>
          <w:szCs w:val="30"/>
          <w:spacing w:val="16"/>
        </w:rPr>
        <w:t>情节严重的，责令停止产生职业病危害的作业，或者提请有关人民政府按照国务院规定的权限责令关</w:t>
      </w:r>
    </w:p>
    <w:p>
      <w:pPr>
        <w:spacing w:line="270" w:lineRule="auto"/>
        <w:sectPr>
          <w:footerReference w:type="default" r:id="rId516"/>
          <w:pgSz w:w="16830" w:h="11900"/>
          <w:pgMar w:top="1011" w:right="1359" w:bottom="1118" w:left="1434" w:header="0" w:footer="785" w:gutter="0"/>
        </w:sectPr>
        <w:rPr>
          <w:rFonts w:ascii="FangSong" w:hAnsi="FangSong" w:eastAsia="FangSong" w:cs="FangSong"/>
          <w:sz w:val="30"/>
          <w:szCs w:val="30"/>
        </w:rPr>
      </w:pPr>
    </w:p>
    <w:p>
      <w:pPr>
        <w:pStyle w:val="BodyText"/>
        <w:spacing w:line="267" w:lineRule="auto"/>
        <w:rPr/>
      </w:pPr>
      <w:r/>
    </w:p>
    <w:p>
      <w:pPr>
        <w:pStyle w:val="BodyText"/>
        <w:spacing w:line="267" w:lineRule="auto"/>
        <w:rPr/>
      </w:pPr>
      <w:r/>
    </w:p>
    <w:p>
      <w:pPr>
        <w:pStyle w:val="BodyText"/>
        <w:spacing w:line="267" w:lineRule="auto"/>
        <w:rPr/>
      </w:pPr>
      <w:r/>
    </w:p>
    <w:p>
      <w:pPr>
        <w:spacing w:before="100" w:line="222" w:lineRule="auto"/>
        <w:rPr>
          <w:rFonts w:ascii="FangSong" w:hAnsi="FangSong" w:eastAsia="FangSong" w:cs="FangSong"/>
          <w:sz w:val="31"/>
          <w:szCs w:val="31"/>
        </w:rPr>
      </w:pPr>
      <w:r>
        <w:rPr>
          <w:rFonts w:ascii="FangSong" w:hAnsi="FangSong" w:eastAsia="FangSong" w:cs="FangSong"/>
          <w:sz w:val="31"/>
          <w:szCs w:val="31"/>
          <w:spacing w:val="-26"/>
        </w:rPr>
        <w:t>闭</w:t>
      </w:r>
      <w:r>
        <w:rPr>
          <w:rFonts w:ascii="FangSong" w:hAnsi="FangSong" w:eastAsia="FangSong" w:cs="FangSong"/>
          <w:sz w:val="31"/>
          <w:szCs w:val="31"/>
          <w:spacing w:val="-80"/>
        </w:rPr>
        <w:t xml:space="preserve"> </w:t>
      </w:r>
      <w:r>
        <w:rPr>
          <w:rFonts w:ascii="FangSong" w:hAnsi="FangSong" w:eastAsia="FangSong" w:cs="FangSong"/>
          <w:sz w:val="31"/>
          <w:szCs w:val="31"/>
          <w:spacing w:val="-26"/>
        </w:rPr>
        <w:t>：</w:t>
      </w:r>
    </w:p>
    <w:p>
      <w:pPr>
        <w:ind w:left="779"/>
        <w:spacing w:before="55" w:line="220" w:lineRule="auto"/>
        <w:rPr>
          <w:rFonts w:ascii="FangSong" w:hAnsi="FangSong" w:eastAsia="FangSong" w:cs="FangSong"/>
          <w:sz w:val="31"/>
          <w:szCs w:val="31"/>
        </w:rPr>
      </w:pPr>
      <w:r>
        <w:rPr>
          <w:rFonts w:ascii="FangSong" w:hAnsi="FangSong" w:eastAsia="FangSong" w:cs="FangSong"/>
          <w:sz w:val="31"/>
          <w:szCs w:val="31"/>
          <w:spacing w:val="13"/>
        </w:rPr>
        <w:t>(八)违章指挥和强令劳动者进行没有职业病防护措施的作业的。</w:t>
      </w:r>
    </w:p>
    <w:p>
      <w:pPr>
        <w:ind w:right="73" w:firstLine="649"/>
        <w:spacing w:before="50" w:line="262" w:lineRule="auto"/>
        <w:jc w:val="both"/>
        <w:rPr>
          <w:rFonts w:ascii="FangSong" w:hAnsi="FangSong" w:eastAsia="FangSong" w:cs="FangSong"/>
          <w:sz w:val="31"/>
          <w:szCs w:val="31"/>
        </w:rPr>
      </w:pPr>
      <w:r>
        <w:rPr>
          <w:rFonts w:ascii="FangSong" w:hAnsi="FangSong" w:eastAsia="FangSong" w:cs="FangSong"/>
          <w:sz w:val="31"/>
          <w:szCs w:val="31"/>
          <w:spacing w:val="12"/>
        </w:rPr>
        <w:t>2.</w:t>
      </w:r>
      <w:r>
        <w:rPr>
          <w:rFonts w:ascii="FangSong" w:hAnsi="FangSong" w:eastAsia="FangSong" w:cs="FangSong"/>
          <w:sz w:val="31"/>
          <w:szCs w:val="31"/>
          <w:spacing w:val="12"/>
        </w:rPr>
        <w:t xml:space="preserve"> </w:t>
      </w:r>
      <w:r>
        <w:rPr>
          <w:rFonts w:ascii="FangSong" w:hAnsi="FangSong" w:eastAsia="FangSong" w:cs="FangSong"/>
          <w:sz w:val="31"/>
          <w:szCs w:val="31"/>
          <w:spacing w:val="12"/>
        </w:rPr>
        <w:t>《中华人民共和国尘肺病防治条例》第二十三</w:t>
      </w:r>
      <w:r>
        <w:rPr>
          <w:rFonts w:ascii="FangSong" w:hAnsi="FangSong" w:eastAsia="FangSong" w:cs="FangSong"/>
          <w:sz w:val="31"/>
          <w:szCs w:val="31"/>
          <w:spacing w:val="11"/>
        </w:rPr>
        <w:t>条第(七)项</w:t>
      </w:r>
      <w:r>
        <w:rPr>
          <w:rFonts w:ascii="FangSong" w:hAnsi="FangSong" w:eastAsia="FangSong" w:cs="FangSong"/>
          <w:sz w:val="31"/>
          <w:szCs w:val="31"/>
          <w:spacing w:val="11"/>
        </w:rPr>
        <w:t xml:space="preserve">   </w:t>
      </w:r>
      <w:r>
        <w:rPr>
          <w:rFonts w:ascii="FangSong" w:hAnsi="FangSong" w:eastAsia="FangSong" w:cs="FangSong"/>
          <w:sz w:val="31"/>
          <w:szCs w:val="31"/>
          <w:spacing w:val="11"/>
        </w:rPr>
        <w:t>凡违反《中华人民共和国尘肺</w:t>
      </w:r>
      <w:r>
        <w:rPr>
          <w:rFonts w:ascii="FangSong" w:hAnsi="FangSong" w:eastAsia="FangSong" w:cs="FangSong"/>
          <w:sz w:val="31"/>
          <w:szCs w:val="31"/>
        </w:rPr>
        <w:t xml:space="preserve"> </w:t>
      </w:r>
      <w:r>
        <w:rPr>
          <w:rFonts w:ascii="FangSong" w:hAnsi="FangSong" w:eastAsia="FangSong" w:cs="FangSong"/>
          <w:sz w:val="31"/>
          <w:szCs w:val="31"/>
          <w:spacing w:val="7"/>
        </w:rPr>
        <w:t>病防治条例》规定，有下列行为之一的，卫生行政部门和劳动部门，可视其情节轻</w:t>
      </w:r>
      <w:r>
        <w:rPr>
          <w:rFonts w:ascii="FangSong" w:hAnsi="FangSong" w:eastAsia="FangSong" w:cs="FangSong"/>
          <w:sz w:val="31"/>
          <w:szCs w:val="31"/>
          <w:spacing w:val="6"/>
        </w:rPr>
        <w:t>重，给予警告、限</w:t>
      </w:r>
      <w:r>
        <w:rPr>
          <w:rFonts w:ascii="FangSong" w:hAnsi="FangSong" w:eastAsia="FangSong" w:cs="FangSong"/>
          <w:sz w:val="31"/>
          <w:szCs w:val="31"/>
        </w:rPr>
        <w:t xml:space="preserve"> </w:t>
      </w:r>
      <w:r>
        <w:rPr>
          <w:rFonts w:ascii="FangSong" w:hAnsi="FangSong" w:eastAsia="FangSong" w:cs="FangSong"/>
          <w:sz w:val="31"/>
          <w:szCs w:val="31"/>
          <w:spacing w:val="8"/>
        </w:rPr>
        <w:t>期治理、罚款和停业整顿的处罚。但停业整顿的处罚，需经当地</w:t>
      </w:r>
      <w:r>
        <w:rPr>
          <w:rFonts w:ascii="FangSong" w:hAnsi="FangSong" w:eastAsia="FangSong" w:cs="FangSong"/>
          <w:sz w:val="31"/>
          <w:szCs w:val="31"/>
          <w:spacing w:val="7"/>
        </w:rPr>
        <w:t>人民政府同意。</w:t>
      </w:r>
    </w:p>
    <w:p>
      <w:pPr>
        <w:ind w:left="779"/>
        <w:spacing w:line="220" w:lineRule="auto"/>
        <w:rPr>
          <w:rFonts w:ascii="FangSong" w:hAnsi="FangSong" w:eastAsia="FangSong" w:cs="FangSong"/>
          <w:sz w:val="31"/>
          <w:szCs w:val="31"/>
        </w:rPr>
      </w:pPr>
      <w:r>
        <w:rPr>
          <w:rFonts w:ascii="FangSong" w:hAnsi="FangSong" w:eastAsia="FangSong" w:cs="FangSong"/>
          <w:sz w:val="31"/>
          <w:szCs w:val="31"/>
          <w:spacing w:val="8"/>
        </w:rPr>
        <w:t>(</w:t>
      </w:r>
      <w:r>
        <w:rPr>
          <w:rFonts w:ascii="FangSong" w:hAnsi="FangSong" w:eastAsia="FangSong" w:cs="FangSong"/>
          <w:sz w:val="31"/>
          <w:szCs w:val="31"/>
          <w:spacing w:val="-21"/>
        </w:rPr>
        <w:t xml:space="preserve"> </w:t>
      </w:r>
      <w:r>
        <w:rPr>
          <w:rFonts w:ascii="FangSong" w:hAnsi="FangSong" w:eastAsia="FangSong" w:cs="FangSong"/>
          <w:sz w:val="31"/>
          <w:szCs w:val="31"/>
          <w:spacing w:val="8"/>
        </w:rPr>
        <w:t>七)强令尘肺病患者继续从事粉尘作业的；</w:t>
      </w:r>
    </w:p>
    <w:p>
      <w:pPr>
        <w:ind w:right="68" w:firstLine="649"/>
        <w:spacing w:before="89" w:line="262" w:lineRule="auto"/>
        <w:rPr>
          <w:rFonts w:ascii="FangSong" w:hAnsi="FangSong" w:eastAsia="FangSong" w:cs="FangSong"/>
          <w:sz w:val="31"/>
          <w:szCs w:val="31"/>
        </w:rPr>
      </w:pPr>
      <w:r>
        <w:rPr>
          <w:rFonts w:ascii="FangSong" w:hAnsi="FangSong" w:eastAsia="FangSong" w:cs="FangSong"/>
          <w:sz w:val="31"/>
          <w:szCs w:val="31"/>
          <w:spacing w:val="10"/>
        </w:rPr>
        <w:t>3.</w:t>
      </w:r>
      <w:r>
        <w:rPr>
          <w:rFonts w:ascii="FangSong" w:hAnsi="FangSong" w:eastAsia="FangSong" w:cs="FangSong"/>
          <w:sz w:val="31"/>
          <w:szCs w:val="31"/>
          <w:spacing w:val="10"/>
        </w:rPr>
        <w:t xml:space="preserve"> </w:t>
      </w:r>
      <w:r>
        <w:rPr>
          <w:rFonts w:ascii="FangSong" w:hAnsi="FangSong" w:eastAsia="FangSong" w:cs="FangSong"/>
          <w:sz w:val="31"/>
          <w:szCs w:val="31"/>
          <w:spacing w:val="10"/>
        </w:rPr>
        <w:t>《使用有毒物品作业场所劳动保护条例》第六十</w:t>
      </w:r>
      <w:r>
        <w:rPr>
          <w:rFonts w:ascii="FangSong" w:hAnsi="FangSong" w:eastAsia="FangSong" w:cs="FangSong"/>
          <w:sz w:val="31"/>
          <w:szCs w:val="31"/>
          <w:spacing w:val="9"/>
        </w:rPr>
        <w:t>一条第(三)项</w:t>
      </w:r>
      <w:r>
        <w:rPr>
          <w:rFonts w:ascii="FangSong" w:hAnsi="FangSong" w:eastAsia="FangSong" w:cs="FangSong"/>
          <w:sz w:val="31"/>
          <w:szCs w:val="31"/>
          <w:spacing w:val="9"/>
        </w:rPr>
        <w:t xml:space="preserve">  </w:t>
      </w:r>
      <w:r>
        <w:rPr>
          <w:rFonts w:ascii="FangSong" w:hAnsi="FangSong" w:eastAsia="FangSong" w:cs="FangSong"/>
          <w:sz w:val="31"/>
          <w:szCs w:val="31"/>
          <w:spacing w:val="9"/>
        </w:rPr>
        <w:t>从事使用高毒物品作业的用</w:t>
      </w:r>
      <w:r>
        <w:rPr>
          <w:rFonts w:ascii="FangSong" w:hAnsi="FangSong" w:eastAsia="FangSong" w:cs="FangSong"/>
          <w:sz w:val="31"/>
          <w:szCs w:val="31"/>
        </w:rPr>
        <w:t xml:space="preserve"> </w:t>
      </w:r>
      <w:r>
        <w:rPr>
          <w:rFonts w:ascii="FangSong" w:hAnsi="FangSong" w:eastAsia="FangSong" w:cs="FangSong"/>
          <w:sz w:val="31"/>
          <w:szCs w:val="31"/>
          <w:spacing w:val="10"/>
        </w:rPr>
        <w:t>人单位违反本条例的规定，有下列行为之一的，由疾病预防控制部门给予警告，责令限期改正，处5</w:t>
      </w:r>
      <w:r>
        <w:rPr>
          <w:rFonts w:ascii="FangSong" w:hAnsi="FangSong" w:eastAsia="FangSong" w:cs="FangSong"/>
          <w:sz w:val="31"/>
          <w:szCs w:val="31"/>
          <w:spacing w:val="14"/>
        </w:rPr>
        <w:t xml:space="preserve"> </w:t>
      </w:r>
      <w:r>
        <w:rPr>
          <w:rFonts w:ascii="FangSong" w:hAnsi="FangSong" w:eastAsia="FangSong" w:cs="FangSong"/>
          <w:sz w:val="31"/>
          <w:szCs w:val="31"/>
          <w:spacing w:val="12"/>
        </w:rPr>
        <w:t>万元以上20万元以下的罚款；逾期不改正的，提请有关人民政府</w:t>
      </w:r>
      <w:r>
        <w:rPr>
          <w:rFonts w:ascii="FangSong" w:hAnsi="FangSong" w:eastAsia="FangSong" w:cs="FangSong"/>
          <w:sz w:val="31"/>
          <w:szCs w:val="31"/>
          <w:spacing w:val="11"/>
        </w:rPr>
        <w:t>按照国务院规定的权限予以关闭；</w:t>
      </w:r>
      <w:r>
        <w:rPr>
          <w:rFonts w:ascii="FangSong" w:hAnsi="FangSong" w:eastAsia="FangSong" w:cs="FangSong"/>
          <w:sz w:val="31"/>
          <w:szCs w:val="31"/>
        </w:rPr>
        <w:t xml:space="preserve"> </w:t>
      </w:r>
      <w:r>
        <w:rPr>
          <w:rFonts w:ascii="FangSong" w:hAnsi="FangSong" w:eastAsia="FangSong" w:cs="FangSong"/>
          <w:sz w:val="31"/>
          <w:szCs w:val="31"/>
          <w:spacing w:val="7"/>
        </w:rPr>
        <w:t>造成严重职业中毒危害或者导致职业中毒事故发生的，对负有责任的主管人员和其</w:t>
      </w:r>
      <w:r>
        <w:rPr>
          <w:rFonts w:ascii="FangSong" w:hAnsi="FangSong" w:eastAsia="FangSong" w:cs="FangSong"/>
          <w:sz w:val="31"/>
          <w:szCs w:val="31"/>
          <w:spacing w:val="6"/>
        </w:rPr>
        <w:t>他直接责任人员依</w:t>
      </w:r>
      <w:r>
        <w:rPr>
          <w:rFonts w:ascii="FangSong" w:hAnsi="FangSong" w:eastAsia="FangSong" w:cs="FangSong"/>
          <w:sz w:val="31"/>
          <w:szCs w:val="31"/>
        </w:rPr>
        <w:t xml:space="preserve"> </w:t>
      </w:r>
      <w:r>
        <w:rPr>
          <w:rFonts w:ascii="FangSong" w:hAnsi="FangSong" w:eastAsia="FangSong" w:cs="FangSong"/>
          <w:sz w:val="31"/>
          <w:szCs w:val="31"/>
          <w:spacing w:val="7"/>
        </w:rPr>
        <w:t>照刑法关于重大责任事故罪或者其他罪的规定，依法追</w:t>
      </w:r>
      <w:r>
        <w:rPr>
          <w:rFonts w:ascii="FangSong" w:hAnsi="FangSong" w:eastAsia="FangSong" w:cs="FangSong"/>
          <w:sz w:val="31"/>
          <w:szCs w:val="31"/>
          <w:spacing w:val="6"/>
        </w:rPr>
        <w:t>究刑事责任：</w:t>
      </w:r>
    </w:p>
    <w:p>
      <w:pPr>
        <w:ind w:right="74" w:firstLine="779"/>
        <w:spacing w:before="3" w:line="250" w:lineRule="auto"/>
        <w:rPr>
          <w:rFonts w:ascii="FangSong" w:hAnsi="FangSong" w:eastAsia="FangSong" w:cs="FangSong"/>
          <w:sz w:val="31"/>
          <w:szCs w:val="31"/>
        </w:rPr>
      </w:pPr>
      <w:r>
        <w:rPr>
          <w:rFonts w:ascii="FangSong" w:hAnsi="FangSong" w:eastAsia="FangSong" w:cs="FangSong"/>
          <w:sz w:val="31"/>
          <w:szCs w:val="31"/>
          <w:spacing w:val="11"/>
        </w:rPr>
        <w:t>(三)未采取本条例规定的措施，安排劳动者进入存在高毒物品的</w:t>
      </w:r>
      <w:r>
        <w:rPr>
          <w:rFonts w:ascii="FangSong" w:hAnsi="FangSong" w:eastAsia="FangSong" w:cs="FangSong"/>
          <w:sz w:val="31"/>
          <w:szCs w:val="31"/>
          <w:spacing w:val="10"/>
        </w:rPr>
        <w:t>设备、容器或者狭窄封闭场所</w:t>
      </w:r>
      <w:r>
        <w:rPr>
          <w:rFonts w:ascii="FangSong" w:hAnsi="FangSong" w:eastAsia="FangSong" w:cs="FangSong"/>
          <w:sz w:val="31"/>
          <w:szCs w:val="31"/>
        </w:rPr>
        <w:t xml:space="preserve"> </w:t>
      </w:r>
      <w:r>
        <w:rPr>
          <w:rFonts w:ascii="FangSong" w:hAnsi="FangSong" w:eastAsia="FangSong" w:cs="FangSong"/>
          <w:sz w:val="31"/>
          <w:szCs w:val="31"/>
          <w:spacing w:val="-3"/>
        </w:rPr>
        <w:t>作业的。</w:t>
      </w:r>
    </w:p>
    <w:p>
      <w:pPr>
        <w:ind w:firstLine="649"/>
        <w:spacing w:before="39" w:line="256" w:lineRule="auto"/>
        <w:jc w:val="both"/>
        <w:rPr>
          <w:rFonts w:ascii="FangSong" w:hAnsi="FangSong" w:eastAsia="FangSong" w:cs="FangSong"/>
          <w:sz w:val="31"/>
          <w:szCs w:val="31"/>
        </w:rPr>
      </w:pPr>
      <w:r>
        <w:rPr>
          <w:rFonts w:ascii="FangSong" w:hAnsi="FangSong" w:eastAsia="FangSong" w:cs="FangSong"/>
          <w:sz w:val="31"/>
          <w:szCs w:val="31"/>
          <w:spacing w:val="10"/>
        </w:rPr>
        <w:t>4.</w:t>
      </w:r>
      <w:r>
        <w:rPr>
          <w:rFonts w:ascii="FangSong" w:hAnsi="FangSong" w:eastAsia="FangSong" w:cs="FangSong"/>
          <w:sz w:val="31"/>
          <w:szCs w:val="31"/>
          <w:spacing w:val="10"/>
        </w:rPr>
        <w:t xml:space="preserve"> </w:t>
      </w:r>
      <w:r>
        <w:rPr>
          <w:rFonts w:ascii="FangSong" w:hAnsi="FangSong" w:eastAsia="FangSong" w:cs="FangSong"/>
          <w:sz w:val="31"/>
          <w:szCs w:val="31"/>
          <w:spacing w:val="10"/>
        </w:rPr>
        <w:t>《工作场所职业卫生管理规定》第五十一条第(八)</w:t>
      </w:r>
      <w:r>
        <w:rPr>
          <w:rFonts w:ascii="FangSong" w:hAnsi="FangSong" w:eastAsia="FangSong" w:cs="FangSong"/>
          <w:sz w:val="31"/>
          <w:szCs w:val="31"/>
          <w:spacing w:val="9"/>
        </w:rPr>
        <w:t>项</w:t>
      </w:r>
      <w:r>
        <w:rPr>
          <w:rFonts w:ascii="FangSong" w:hAnsi="FangSong" w:eastAsia="FangSong" w:cs="FangSong"/>
          <w:sz w:val="31"/>
          <w:szCs w:val="31"/>
          <w:spacing w:val="9"/>
        </w:rPr>
        <w:t xml:space="preserve">  </w:t>
      </w:r>
      <w:r>
        <w:rPr>
          <w:rFonts w:ascii="FangSong" w:hAnsi="FangSong" w:eastAsia="FangSong" w:cs="FangSong"/>
          <w:sz w:val="31"/>
          <w:szCs w:val="31"/>
          <w:spacing w:val="9"/>
        </w:rPr>
        <w:t>用人单位有下列情形之一的，依法责</w:t>
      </w:r>
      <w:r>
        <w:rPr>
          <w:rFonts w:ascii="FangSong" w:hAnsi="FangSong" w:eastAsia="FangSong" w:cs="FangSong"/>
          <w:sz w:val="31"/>
          <w:szCs w:val="31"/>
        </w:rPr>
        <w:t xml:space="preserve"> </w:t>
      </w:r>
      <w:r>
        <w:rPr>
          <w:rFonts w:ascii="FangSong" w:hAnsi="FangSong" w:eastAsia="FangSong" w:cs="FangSong"/>
          <w:sz w:val="31"/>
          <w:szCs w:val="31"/>
          <w:spacing w:val="9"/>
        </w:rPr>
        <w:t>令限期改正，并处五万元以上三十万元以下的罚</w:t>
      </w:r>
      <w:r>
        <w:rPr>
          <w:rFonts w:ascii="FangSong" w:hAnsi="FangSong" w:eastAsia="FangSong" w:cs="FangSong"/>
          <w:sz w:val="31"/>
          <w:szCs w:val="31"/>
          <w:spacing w:val="8"/>
        </w:rPr>
        <w:t>款；情节严重的，责令停止产生职业病危害的作业，</w:t>
      </w:r>
      <w:r>
        <w:rPr>
          <w:rFonts w:ascii="FangSong" w:hAnsi="FangSong" w:eastAsia="FangSong" w:cs="FangSong"/>
          <w:sz w:val="31"/>
          <w:szCs w:val="31"/>
        </w:rPr>
        <w:t xml:space="preserve"> </w:t>
      </w:r>
      <w:r>
        <w:rPr>
          <w:rFonts w:ascii="FangSong" w:hAnsi="FangSong" w:eastAsia="FangSong" w:cs="FangSong"/>
          <w:sz w:val="31"/>
          <w:szCs w:val="31"/>
          <w:spacing w:val="6"/>
        </w:rPr>
        <w:t>或者提请有关人民政府按照国务院规定的权限责令关闭：</w:t>
      </w:r>
    </w:p>
    <w:p>
      <w:pPr>
        <w:ind w:left="779"/>
        <w:spacing w:before="1" w:line="220" w:lineRule="auto"/>
        <w:rPr>
          <w:rFonts w:ascii="FangSong" w:hAnsi="FangSong" w:eastAsia="FangSong" w:cs="FangSong"/>
          <w:sz w:val="31"/>
          <w:szCs w:val="31"/>
        </w:rPr>
      </w:pPr>
      <w:r>
        <w:rPr>
          <w:rFonts w:ascii="FangSong" w:hAnsi="FangSong" w:eastAsia="FangSong" w:cs="FangSong"/>
          <w:sz w:val="31"/>
          <w:szCs w:val="31"/>
          <w:spacing w:val="13"/>
        </w:rPr>
        <w:t>(八)违章指挥和强令劳动者进行没有职业病防护措施的作业的。</w:t>
      </w:r>
    </w:p>
    <w:p>
      <w:pPr>
        <w:ind w:left="6424"/>
        <w:spacing w:before="229" w:line="221" w:lineRule="auto"/>
        <w:rPr>
          <w:rFonts w:ascii="SimHei" w:hAnsi="SimHei" w:eastAsia="SimHei" w:cs="SimHei"/>
          <w:sz w:val="31"/>
          <w:szCs w:val="31"/>
        </w:rPr>
      </w:pPr>
      <w:r>
        <w:rPr>
          <w:rFonts w:ascii="SimHei" w:hAnsi="SimHei" w:eastAsia="SimHei" w:cs="SimHei"/>
          <w:sz w:val="31"/>
          <w:szCs w:val="31"/>
          <w:b/>
          <w:bCs/>
          <w:spacing w:val="-25"/>
        </w:rPr>
        <w:t>裁量标准</w:t>
      </w:r>
    </w:p>
    <w:p>
      <w:pPr>
        <w:spacing w:line="221" w:lineRule="auto"/>
        <w:sectPr>
          <w:footerReference w:type="default" r:id="rId517"/>
          <w:pgSz w:w="16830" w:h="11900"/>
          <w:pgMar w:top="1011" w:right="1385" w:bottom="1107" w:left="1430" w:header="0" w:footer="774" w:gutter="0"/>
        </w:sectPr>
        <w:rPr>
          <w:rFonts w:ascii="SimHei" w:hAnsi="SimHei" w:eastAsia="SimHei" w:cs="SimHei"/>
          <w:sz w:val="31"/>
          <w:szCs w:val="31"/>
        </w:rPr>
      </w:pPr>
    </w:p>
    <w:p>
      <w:pPr>
        <w:spacing w:before="20"/>
        <w:rPr/>
      </w:pPr>
      <w:r/>
    </w:p>
    <w:p>
      <w:pPr>
        <w:spacing w:before="20"/>
        <w:rPr/>
      </w:pPr>
      <w:r/>
    </w:p>
    <w:p>
      <w:pPr>
        <w:spacing w:before="19"/>
        <w:rPr/>
      </w:pPr>
      <w:r/>
    </w:p>
    <w:tbl>
      <w:tblPr>
        <w:tblStyle w:val="TableNormal"/>
        <w:tblW w:w="146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23"/>
        <w:gridCol w:w="9014"/>
        <w:gridCol w:w="4132"/>
      </w:tblGrid>
      <w:tr>
        <w:trPr>
          <w:trHeight w:val="703" w:hRule="atLeast"/>
        </w:trPr>
        <w:tc>
          <w:tcPr>
            <w:tcW w:w="1523" w:type="dxa"/>
            <w:vAlign w:val="top"/>
          </w:tcPr>
          <w:p>
            <w:pPr>
              <w:pStyle w:val="TableText"/>
              <w:ind w:left="178"/>
              <w:spacing w:before="232" w:line="220" w:lineRule="auto"/>
              <w:rPr/>
            </w:pPr>
            <w:bookmarkStart w:name="bookmark1145" w:id="520"/>
            <w:bookmarkEnd w:id="520"/>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9014" w:type="dxa"/>
            <w:vAlign w:val="top"/>
          </w:tcPr>
          <w:p>
            <w:pPr>
              <w:pStyle w:val="TableText"/>
              <w:ind w:left="3935"/>
              <w:spacing w:before="232" w:line="220" w:lineRule="auto"/>
              <w:rPr/>
            </w:pPr>
            <w:r>
              <w:rPr>
                <w:b/>
                <w:bCs/>
                <w:spacing w:val="-5"/>
              </w:rPr>
              <w:t>情节后果</w:t>
            </w:r>
          </w:p>
        </w:tc>
        <w:tc>
          <w:tcPr>
            <w:tcW w:w="4132" w:type="dxa"/>
            <w:vAlign w:val="top"/>
          </w:tcPr>
          <w:p>
            <w:pPr>
              <w:pStyle w:val="TableText"/>
              <w:ind w:left="1481"/>
              <w:spacing w:before="22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69" w:hRule="atLeast"/>
        </w:trPr>
        <w:tc>
          <w:tcPr>
            <w:tcW w:w="1523" w:type="dxa"/>
            <w:vAlign w:val="top"/>
          </w:tcPr>
          <w:p>
            <w:pPr>
              <w:pStyle w:val="TableText"/>
              <w:ind w:left="518"/>
              <w:spacing w:before="218" w:line="219" w:lineRule="auto"/>
              <w:rPr/>
            </w:pPr>
            <w:r>
              <w:rPr>
                <w:b/>
                <w:bCs/>
                <w:spacing w:val="-6"/>
              </w:rPr>
              <w:t>轻微</w:t>
            </w:r>
          </w:p>
        </w:tc>
        <w:tc>
          <w:tcPr>
            <w:tcW w:w="9014" w:type="dxa"/>
            <w:vAlign w:val="top"/>
          </w:tcPr>
          <w:p>
            <w:pPr>
              <w:pStyle w:val="TableText"/>
              <w:ind w:left="122"/>
              <w:spacing w:before="220" w:line="219" w:lineRule="auto"/>
              <w:rPr/>
            </w:pPr>
            <w:r>
              <w:rPr/>
              <w:t>违章指挥和强令劳动者进行没有职业病防护措施的作业，涉及人数在5人以下的</w:t>
            </w:r>
          </w:p>
        </w:tc>
        <w:tc>
          <w:tcPr>
            <w:tcW w:w="4132" w:type="dxa"/>
            <w:vAlign w:val="top"/>
          </w:tcPr>
          <w:p>
            <w:pPr>
              <w:pStyle w:val="TableText"/>
              <w:ind w:left="127"/>
              <w:spacing w:before="222" w:line="220" w:lineRule="auto"/>
              <w:rPr/>
            </w:pPr>
            <w:r>
              <w:rPr/>
              <w:t>处五万元以上十万元以下的罚款</w:t>
            </w:r>
          </w:p>
        </w:tc>
      </w:tr>
      <w:tr>
        <w:trPr>
          <w:trHeight w:val="848" w:hRule="atLeast"/>
        </w:trPr>
        <w:tc>
          <w:tcPr>
            <w:tcW w:w="1523" w:type="dxa"/>
            <w:vAlign w:val="top"/>
          </w:tcPr>
          <w:p>
            <w:pPr>
              <w:spacing w:line="291" w:lineRule="auto"/>
              <w:rPr>
                <w:rFonts w:ascii="Arial"/>
                <w:sz w:val="21"/>
              </w:rPr>
            </w:pPr>
            <w:r/>
          </w:p>
          <w:p>
            <w:pPr>
              <w:pStyle w:val="TableText"/>
              <w:ind w:left="518"/>
              <w:spacing w:before="78" w:line="221" w:lineRule="auto"/>
              <w:rPr/>
            </w:pPr>
            <w:r>
              <w:rPr>
                <w:b/>
                <w:bCs/>
                <w:spacing w:val="-10"/>
              </w:rPr>
              <w:t>一般</w:t>
            </w:r>
          </w:p>
        </w:tc>
        <w:tc>
          <w:tcPr>
            <w:tcW w:w="9014" w:type="dxa"/>
            <w:vAlign w:val="top"/>
          </w:tcPr>
          <w:p>
            <w:pPr>
              <w:pStyle w:val="TableText"/>
              <w:ind w:left="121" w:right="381" w:hanging="10"/>
              <w:spacing w:before="151" w:line="264" w:lineRule="auto"/>
              <w:rPr/>
            </w:pPr>
            <w:r>
              <w:rPr/>
              <w:t>违章指挥和强令劳动者进行没有职业病防护措施的作业，涉</w:t>
            </w:r>
            <w:r>
              <w:rPr>
                <w:spacing w:val="-1"/>
              </w:rPr>
              <w:t>及人数在5人以上10人</w:t>
            </w:r>
            <w:r>
              <w:rPr/>
              <w:t xml:space="preserve"> </w:t>
            </w:r>
            <w:r>
              <w:rPr>
                <w:spacing w:val="7"/>
              </w:rPr>
              <w:t>以下</w:t>
            </w:r>
          </w:p>
        </w:tc>
        <w:tc>
          <w:tcPr>
            <w:tcW w:w="4132" w:type="dxa"/>
            <w:vAlign w:val="top"/>
          </w:tcPr>
          <w:p>
            <w:pPr>
              <w:pStyle w:val="TableText"/>
              <w:ind w:left="117"/>
              <w:spacing w:before="313" w:line="220" w:lineRule="auto"/>
              <w:rPr/>
            </w:pPr>
            <w:r>
              <w:rPr/>
              <w:t>处十万元以上十五万元以下的罚款</w:t>
            </w:r>
          </w:p>
        </w:tc>
      </w:tr>
      <w:tr>
        <w:trPr>
          <w:trHeight w:val="699" w:hRule="atLeast"/>
        </w:trPr>
        <w:tc>
          <w:tcPr>
            <w:tcW w:w="1523" w:type="dxa"/>
            <w:vAlign w:val="top"/>
          </w:tcPr>
          <w:p>
            <w:pPr>
              <w:pStyle w:val="TableText"/>
              <w:ind w:left="518"/>
              <w:spacing w:before="294" w:line="221" w:lineRule="auto"/>
              <w:rPr/>
            </w:pPr>
            <w:r>
              <w:rPr>
                <w:b/>
                <w:bCs/>
                <w:spacing w:val="-5"/>
              </w:rPr>
              <w:t>较重</w:t>
            </w:r>
          </w:p>
        </w:tc>
        <w:tc>
          <w:tcPr>
            <w:tcW w:w="9014" w:type="dxa"/>
            <w:vAlign w:val="top"/>
          </w:tcPr>
          <w:p>
            <w:pPr>
              <w:pStyle w:val="TableText"/>
              <w:ind w:left="121" w:right="271" w:hanging="20"/>
              <w:spacing w:before="65"/>
              <w:rPr/>
            </w:pPr>
            <w:r>
              <w:rPr/>
              <w:t>违章指挥和强令劳动者进行没有职业病防护措施的作业，涉及</w:t>
            </w:r>
            <w:r>
              <w:rPr>
                <w:spacing w:val="-1"/>
              </w:rPr>
              <w:t>人数在10人以上15人</w:t>
            </w:r>
            <w:r>
              <w:rPr/>
              <w:t xml:space="preserve"> </w:t>
            </w:r>
            <w:r>
              <w:rPr>
                <w:spacing w:val="6"/>
              </w:rPr>
              <w:t>以下的</w:t>
            </w:r>
          </w:p>
        </w:tc>
        <w:tc>
          <w:tcPr>
            <w:tcW w:w="4132" w:type="dxa"/>
            <w:vAlign w:val="top"/>
          </w:tcPr>
          <w:p>
            <w:pPr>
              <w:pStyle w:val="TableText"/>
              <w:ind w:left="137"/>
              <w:spacing w:before="235" w:line="220" w:lineRule="auto"/>
              <w:rPr/>
            </w:pPr>
            <w:r>
              <w:rPr/>
              <w:t>处十五万元以上二十万元以下的罚款</w:t>
            </w:r>
          </w:p>
        </w:tc>
      </w:tr>
      <w:tr>
        <w:trPr>
          <w:trHeight w:val="818" w:hRule="atLeast"/>
        </w:trPr>
        <w:tc>
          <w:tcPr>
            <w:tcW w:w="1523" w:type="dxa"/>
            <w:vAlign w:val="top"/>
          </w:tcPr>
          <w:p>
            <w:pPr>
              <w:spacing w:line="283" w:lineRule="auto"/>
              <w:rPr>
                <w:rFonts w:ascii="Arial"/>
                <w:sz w:val="21"/>
              </w:rPr>
            </w:pPr>
            <w:r/>
          </w:p>
          <w:p>
            <w:pPr>
              <w:pStyle w:val="TableText"/>
              <w:ind w:left="518"/>
              <w:spacing w:before="78" w:line="220" w:lineRule="auto"/>
              <w:rPr/>
            </w:pPr>
            <w:r>
              <w:rPr>
                <w:b/>
                <w:bCs/>
                <w:spacing w:val="-6"/>
              </w:rPr>
              <w:t>严重</w:t>
            </w:r>
          </w:p>
        </w:tc>
        <w:tc>
          <w:tcPr>
            <w:tcW w:w="9014" w:type="dxa"/>
            <w:vAlign w:val="top"/>
          </w:tcPr>
          <w:p>
            <w:pPr>
              <w:pStyle w:val="TableText"/>
              <w:ind w:left="121" w:right="261" w:hanging="10"/>
              <w:spacing w:before="134" w:line="259" w:lineRule="auto"/>
              <w:rPr/>
            </w:pPr>
            <w:r>
              <w:rPr/>
              <w:t>违章指挥和强令劳动者进行没有职业病防护措施的作业，涉及</w:t>
            </w:r>
            <w:r>
              <w:rPr>
                <w:spacing w:val="-1"/>
              </w:rPr>
              <w:t>人数在16人以上20人</w:t>
            </w:r>
            <w:r>
              <w:rPr/>
              <w:t xml:space="preserve"> </w:t>
            </w:r>
            <w:r>
              <w:rPr>
                <w:spacing w:val="6"/>
              </w:rPr>
              <w:t>以下的</w:t>
            </w:r>
          </w:p>
        </w:tc>
        <w:tc>
          <w:tcPr>
            <w:tcW w:w="4132" w:type="dxa"/>
            <w:vAlign w:val="top"/>
          </w:tcPr>
          <w:p>
            <w:pPr>
              <w:pStyle w:val="TableText"/>
              <w:ind w:left="137"/>
              <w:spacing w:before="296" w:line="220" w:lineRule="auto"/>
              <w:rPr/>
            </w:pPr>
            <w:r>
              <w:rPr/>
              <w:t>处二十万元以上三十万元以下的罚款</w:t>
            </w:r>
          </w:p>
        </w:tc>
      </w:tr>
      <w:tr>
        <w:trPr>
          <w:trHeight w:val="1143" w:hRule="atLeast"/>
        </w:trPr>
        <w:tc>
          <w:tcPr>
            <w:tcW w:w="1523" w:type="dxa"/>
            <w:vAlign w:val="top"/>
          </w:tcPr>
          <w:p>
            <w:pPr>
              <w:spacing w:line="374" w:lineRule="auto"/>
              <w:rPr>
                <w:rFonts w:ascii="Arial"/>
                <w:sz w:val="21"/>
              </w:rPr>
            </w:pPr>
            <w:r/>
          </w:p>
          <w:p>
            <w:pPr>
              <w:pStyle w:val="TableText"/>
              <w:ind w:left="278"/>
              <w:spacing w:before="78" w:line="219" w:lineRule="auto"/>
              <w:rPr/>
            </w:pPr>
            <w:r>
              <w:rPr>
                <w:b/>
                <w:bCs/>
                <w:spacing w:val="-5"/>
              </w:rPr>
              <w:t>特别严重</w:t>
            </w:r>
          </w:p>
        </w:tc>
        <w:tc>
          <w:tcPr>
            <w:tcW w:w="9014" w:type="dxa"/>
            <w:vAlign w:val="top"/>
          </w:tcPr>
          <w:p>
            <w:pPr>
              <w:pStyle w:val="TableText"/>
              <w:ind w:left="121" w:right="131" w:hanging="10"/>
              <w:spacing w:before="305" w:line="256" w:lineRule="auto"/>
              <w:rPr/>
            </w:pPr>
            <w:r>
              <w:rPr>
                <w:spacing w:val="3"/>
              </w:rPr>
              <w:t>违章指挥和强令劳动者进行没有职业病防护措施的作业，涉及人数在21人以上的；</w:t>
            </w:r>
            <w:r>
              <w:rPr>
                <w:spacing w:val="8"/>
              </w:rPr>
              <w:t xml:space="preserve"> </w:t>
            </w:r>
            <w:r>
              <w:rPr/>
              <w:t>或违章指挥和强令劳动者进行没有职业病防护措施的作业，造成严重后果的</w:t>
            </w:r>
          </w:p>
        </w:tc>
        <w:tc>
          <w:tcPr>
            <w:tcW w:w="4132" w:type="dxa"/>
            <w:vAlign w:val="top"/>
          </w:tcPr>
          <w:p>
            <w:pPr>
              <w:pStyle w:val="TableText"/>
              <w:ind w:left="117" w:right="128" w:firstLine="20"/>
              <w:spacing w:before="146" w:line="253" w:lineRule="auto"/>
              <w:jc w:val="both"/>
              <w:rPr/>
            </w:pPr>
            <w:r>
              <w:rPr/>
              <w:t>责令停止产生职业病危害的作业，或</w:t>
            </w:r>
            <w:r>
              <w:rPr>
                <w:spacing w:val="10"/>
              </w:rPr>
              <w:t xml:space="preserve"> </w:t>
            </w:r>
            <w:r>
              <w:rPr>
                <w:spacing w:val="2"/>
              </w:rPr>
              <w:t>者提请有关人民政府按照国务院规定 </w:t>
            </w:r>
            <w:r>
              <w:rPr>
                <w:spacing w:val="2"/>
              </w:rPr>
              <w:t>的权限责令关闭</w:t>
            </w:r>
          </w:p>
        </w:tc>
      </w:tr>
    </w:tbl>
    <w:p>
      <w:pPr>
        <w:pStyle w:val="BodyText"/>
        <w:spacing w:line="423" w:lineRule="auto"/>
        <w:rPr/>
      </w:pPr>
      <w:r/>
    </w:p>
    <w:p>
      <w:pPr>
        <w:ind w:left="769"/>
        <w:spacing w:before="101" w:line="220" w:lineRule="auto"/>
        <w:rPr>
          <w:rFonts w:ascii="FangSong" w:hAnsi="FangSong" w:eastAsia="FangSong" w:cs="FangSong"/>
          <w:sz w:val="31"/>
          <w:szCs w:val="31"/>
        </w:rPr>
      </w:pPr>
      <w:r>
        <w:rPr>
          <w:rFonts w:ascii="FangSong" w:hAnsi="FangSong" w:eastAsia="FangSong" w:cs="FangSong"/>
          <w:sz w:val="31"/>
          <w:szCs w:val="31"/>
          <w:b/>
          <w:bCs/>
          <w:spacing w:val="11"/>
        </w:rPr>
        <w:t>第四百八十二条用人单位违反本法规定，已经对劳动者生命</w:t>
      </w:r>
      <w:r>
        <w:rPr>
          <w:rFonts w:ascii="FangSong" w:hAnsi="FangSong" w:eastAsia="FangSong" w:cs="FangSong"/>
          <w:sz w:val="31"/>
          <w:szCs w:val="31"/>
          <w:b/>
          <w:bCs/>
          <w:spacing w:val="10"/>
        </w:rPr>
        <w:t>健康造成严重损害的</w:t>
      </w:r>
    </w:p>
    <w:p>
      <w:pPr>
        <w:ind w:left="764"/>
        <w:spacing w:before="107"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145" w:right="439" w:firstLine="619"/>
        <w:spacing w:before="82" w:line="248" w:lineRule="auto"/>
        <w:rPr>
          <w:rFonts w:ascii="FangSong" w:hAnsi="FangSong" w:eastAsia="FangSong" w:cs="FangSong"/>
          <w:sz w:val="31"/>
          <w:szCs w:val="31"/>
        </w:rPr>
      </w:pPr>
      <w:r>
        <w:rPr>
          <w:rFonts w:ascii="FangSong" w:hAnsi="FangSong" w:eastAsia="FangSong" w:cs="FangSong"/>
          <w:sz w:val="31"/>
          <w:szCs w:val="31"/>
          <w:spacing w:val="3"/>
        </w:rPr>
        <w:t>1.《中华人民共和国职业病防治法》第七十七条</w:t>
      </w:r>
      <w:r>
        <w:rPr>
          <w:rFonts w:ascii="FangSong" w:hAnsi="FangSong" w:eastAsia="FangSong" w:cs="FangSong"/>
          <w:sz w:val="31"/>
          <w:szCs w:val="31"/>
          <w:spacing w:val="3"/>
        </w:rPr>
        <w:t xml:space="preserve">  </w:t>
      </w:r>
      <w:r>
        <w:rPr>
          <w:rFonts w:ascii="FangSong" w:hAnsi="FangSong" w:eastAsia="FangSong" w:cs="FangSong"/>
          <w:sz w:val="31"/>
          <w:szCs w:val="31"/>
          <w:spacing w:val="3"/>
        </w:rPr>
        <w:t>用人单位违反《中华人民共和国职业病防治法》</w:t>
      </w:r>
      <w:r>
        <w:rPr>
          <w:rFonts w:ascii="FangSong" w:hAnsi="FangSong" w:eastAsia="FangSong" w:cs="FangSong"/>
          <w:sz w:val="31"/>
          <w:szCs w:val="31"/>
          <w:spacing w:val="9"/>
        </w:rPr>
        <w:t xml:space="preserve"> </w:t>
      </w:r>
      <w:r>
        <w:rPr>
          <w:rFonts w:ascii="FangSong" w:hAnsi="FangSong" w:eastAsia="FangSong" w:cs="FangSong"/>
          <w:sz w:val="31"/>
          <w:szCs w:val="31"/>
          <w:spacing w:val="6"/>
        </w:rPr>
        <w:t>规定，已经对劳动者生命健康造成严重损害的，由卫生行政部门责令停止产生职业病危害的作业，或</w:t>
      </w:r>
      <w:r>
        <w:rPr>
          <w:rFonts w:ascii="FangSong" w:hAnsi="FangSong" w:eastAsia="FangSong" w:cs="FangSong"/>
          <w:sz w:val="31"/>
          <w:szCs w:val="31"/>
          <w:spacing w:val="6"/>
        </w:rPr>
        <w:t xml:space="preserve">  </w:t>
      </w:r>
      <w:r>
        <w:rPr>
          <w:rFonts w:ascii="FangSong" w:hAnsi="FangSong" w:eastAsia="FangSong" w:cs="FangSong"/>
          <w:sz w:val="31"/>
          <w:szCs w:val="31"/>
          <w:spacing w:val="8"/>
        </w:rPr>
        <w:t>者提请有关人民政府按照国务院规定的权限责令关闭，并处十万元以上五十万元以下的罚款。</w:t>
      </w:r>
    </w:p>
    <w:p>
      <w:pPr>
        <w:ind w:left="764"/>
        <w:spacing w:before="70" w:line="220" w:lineRule="auto"/>
        <w:rPr>
          <w:rFonts w:ascii="FangSong" w:hAnsi="FangSong" w:eastAsia="FangSong" w:cs="FangSong"/>
          <w:sz w:val="31"/>
          <w:szCs w:val="31"/>
        </w:rPr>
      </w:pPr>
      <w:r>
        <w:rPr>
          <w:rFonts w:ascii="FangSong" w:hAnsi="FangSong" w:eastAsia="FangSong" w:cs="FangSong"/>
          <w:sz w:val="31"/>
          <w:szCs w:val="31"/>
          <w:spacing w:val="5"/>
        </w:rPr>
        <w:t>2.</w:t>
      </w:r>
      <w:r>
        <w:rPr>
          <w:rFonts w:ascii="FangSong" w:hAnsi="FangSong" w:eastAsia="FangSong" w:cs="FangSong"/>
          <w:sz w:val="31"/>
          <w:szCs w:val="31"/>
          <w:spacing w:val="-81"/>
        </w:rPr>
        <w:t xml:space="preserve"> </w:t>
      </w:r>
      <w:r>
        <w:rPr>
          <w:rFonts w:ascii="FangSong" w:hAnsi="FangSong" w:eastAsia="FangSong" w:cs="FangSong"/>
          <w:sz w:val="31"/>
          <w:szCs w:val="31"/>
          <w:spacing w:val="5"/>
        </w:rPr>
        <w:t>《工作场所职业卫生管理规定》第五十二条</w:t>
      </w:r>
      <w:r>
        <w:rPr>
          <w:rFonts w:ascii="FangSong" w:hAnsi="FangSong" w:eastAsia="FangSong" w:cs="FangSong"/>
          <w:sz w:val="31"/>
          <w:szCs w:val="31"/>
          <w:spacing w:val="5"/>
        </w:rPr>
        <w:t xml:space="preserve">   </w:t>
      </w:r>
      <w:r>
        <w:rPr>
          <w:rFonts w:ascii="FangSong" w:hAnsi="FangSong" w:eastAsia="FangSong" w:cs="FangSong"/>
          <w:sz w:val="31"/>
          <w:szCs w:val="31"/>
          <w:spacing w:val="5"/>
        </w:rPr>
        <w:t>用人单位违反《中华人民共和国职业病防治法》</w:t>
      </w:r>
    </w:p>
    <w:p>
      <w:pPr>
        <w:spacing w:line="220" w:lineRule="auto"/>
        <w:sectPr>
          <w:footerReference w:type="default" r:id="rId518"/>
          <w:pgSz w:w="16830" w:h="11900"/>
          <w:pgMar w:top="1011" w:right="845" w:bottom="1114" w:left="1305" w:header="0" w:footer="772" w:gutter="0"/>
        </w:sectPr>
        <w:rPr>
          <w:rFonts w:ascii="FangSong" w:hAnsi="FangSong" w:eastAsia="FangSong" w:cs="FangSong"/>
          <w:sz w:val="31"/>
          <w:szCs w:val="31"/>
        </w:rPr>
      </w:pPr>
    </w:p>
    <w:p>
      <w:pPr>
        <w:pStyle w:val="BodyText"/>
        <w:spacing w:line="257" w:lineRule="auto"/>
        <w:rPr/>
      </w:pPr>
      <w:r/>
    </w:p>
    <w:p>
      <w:pPr>
        <w:pStyle w:val="BodyText"/>
        <w:spacing w:line="258" w:lineRule="auto"/>
        <w:rPr/>
      </w:pPr>
      <w:r/>
    </w:p>
    <w:p>
      <w:pPr>
        <w:pStyle w:val="BodyText"/>
        <w:spacing w:line="258" w:lineRule="auto"/>
        <w:rPr/>
      </w:pPr>
      <w:r/>
    </w:p>
    <w:p>
      <w:pPr>
        <w:ind w:left="35" w:right="111"/>
        <w:spacing w:before="97" w:line="289" w:lineRule="auto"/>
        <w:rPr>
          <w:rFonts w:ascii="FangSong" w:hAnsi="FangSong" w:eastAsia="FangSong" w:cs="FangSong"/>
          <w:sz w:val="30"/>
          <w:szCs w:val="30"/>
        </w:rPr>
      </w:pPr>
      <w:bookmarkStart w:name="bookmark1146" w:id="521"/>
      <w:bookmarkEnd w:id="521"/>
      <w:r>
        <w:rPr>
          <w:rFonts w:ascii="FangSong" w:hAnsi="FangSong" w:eastAsia="FangSong" w:cs="FangSong"/>
          <w:sz w:val="30"/>
          <w:szCs w:val="30"/>
          <w:spacing w:val="16"/>
        </w:rPr>
        <w:t>的规定，已经对劳动者生命健康造成严重损害的，责令停止产生职业病危害的作业，或者提请有关人</w:t>
      </w:r>
      <w:r>
        <w:rPr>
          <w:rFonts w:ascii="FangSong" w:hAnsi="FangSong" w:eastAsia="FangSong" w:cs="FangSong"/>
          <w:sz w:val="30"/>
          <w:szCs w:val="30"/>
          <w:spacing w:val="13"/>
        </w:rPr>
        <w:t xml:space="preserve"> </w:t>
      </w:r>
      <w:r>
        <w:rPr>
          <w:rFonts w:ascii="FangSong" w:hAnsi="FangSong" w:eastAsia="FangSong" w:cs="FangSong"/>
          <w:sz w:val="30"/>
          <w:szCs w:val="30"/>
          <w:spacing w:val="18"/>
        </w:rPr>
        <w:t>民政府按照国务院规定的权限责令关闭，并处十万元</w:t>
      </w:r>
      <w:r>
        <w:rPr>
          <w:rFonts w:ascii="FangSong" w:hAnsi="FangSong" w:eastAsia="FangSong" w:cs="FangSong"/>
          <w:sz w:val="30"/>
          <w:szCs w:val="30"/>
          <w:spacing w:val="17"/>
        </w:rPr>
        <w:t>以上五十万元以下的罚款。</w:t>
      </w:r>
    </w:p>
    <w:p>
      <w:pPr>
        <w:ind w:left="6439"/>
        <w:spacing w:before="102"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8494"/>
        <w:gridCol w:w="3892"/>
      </w:tblGrid>
      <w:tr>
        <w:trPr>
          <w:trHeight w:val="653" w:hRule="atLeast"/>
        </w:trPr>
        <w:tc>
          <w:tcPr>
            <w:tcW w:w="1424" w:type="dxa"/>
            <w:vAlign w:val="top"/>
          </w:tcPr>
          <w:p>
            <w:pPr>
              <w:pStyle w:val="TableText"/>
              <w:ind w:left="208"/>
              <w:spacing w:before="242" w:line="220" w:lineRule="auto"/>
              <w:rPr>
                <w:sz w:val="25"/>
                <w:szCs w:val="25"/>
              </w:rPr>
            </w:pPr>
            <w:r>
              <w:rPr>
                <w:sz w:val="25"/>
                <w:szCs w:val="25"/>
                <w:b/>
                <w:bCs/>
                <w:spacing w:val="-5"/>
              </w:rPr>
              <w:t>违法程度</w:t>
            </w:r>
          </w:p>
        </w:tc>
        <w:tc>
          <w:tcPr>
            <w:tcW w:w="8494" w:type="dxa"/>
            <w:vAlign w:val="top"/>
          </w:tcPr>
          <w:p>
            <w:pPr>
              <w:pStyle w:val="TableText"/>
              <w:ind w:left="3744"/>
              <w:spacing w:before="252" w:line="220" w:lineRule="auto"/>
              <w:rPr>
                <w:sz w:val="25"/>
                <w:szCs w:val="25"/>
              </w:rPr>
            </w:pPr>
            <w:r>
              <w:rPr>
                <w:sz w:val="25"/>
                <w:szCs w:val="25"/>
                <w:b/>
                <w:bCs/>
                <w:spacing w:val="-5"/>
              </w:rPr>
              <w:t>情节后果</w:t>
            </w:r>
          </w:p>
        </w:tc>
        <w:tc>
          <w:tcPr>
            <w:tcW w:w="3892" w:type="dxa"/>
            <w:vAlign w:val="top"/>
          </w:tcPr>
          <w:p>
            <w:pPr>
              <w:pStyle w:val="TableText"/>
              <w:ind w:left="1440"/>
              <w:spacing w:before="199" w:line="218" w:lineRule="auto"/>
              <w:rPr>
                <w:sz w:val="25"/>
                <w:szCs w:val="25"/>
              </w:rPr>
            </w:pPr>
            <w:r>
              <w:rPr>
                <w:sz w:val="25"/>
                <w:szCs w:val="25"/>
                <w:b/>
                <w:bCs/>
                <w:spacing w:val="-5"/>
              </w:rPr>
              <w:t>裁量幅度</w:t>
            </w:r>
          </w:p>
        </w:tc>
      </w:tr>
      <w:tr>
        <w:trPr>
          <w:trHeight w:val="1017" w:hRule="atLeast"/>
        </w:trPr>
        <w:tc>
          <w:tcPr>
            <w:tcW w:w="1424" w:type="dxa"/>
            <w:vAlign w:val="top"/>
          </w:tcPr>
          <w:p>
            <w:pPr>
              <w:spacing w:line="366" w:lineRule="auto"/>
              <w:rPr>
                <w:rFonts w:ascii="Arial"/>
                <w:sz w:val="21"/>
              </w:rPr>
            </w:pPr>
            <w:r/>
          </w:p>
          <w:p>
            <w:pPr>
              <w:pStyle w:val="TableText"/>
              <w:ind w:left="458"/>
              <w:spacing w:before="81" w:line="221" w:lineRule="auto"/>
              <w:rPr>
                <w:sz w:val="25"/>
                <w:szCs w:val="25"/>
              </w:rPr>
            </w:pPr>
            <w:r>
              <w:rPr>
                <w:sz w:val="25"/>
                <w:szCs w:val="25"/>
                <w:b/>
                <w:bCs/>
                <w:spacing w:val="-10"/>
              </w:rPr>
              <w:t>一般</w:t>
            </w:r>
          </w:p>
        </w:tc>
        <w:tc>
          <w:tcPr>
            <w:tcW w:w="8494" w:type="dxa"/>
            <w:vAlign w:val="top"/>
          </w:tcPr>
          <w:p>
            <w:pPr>
              <w:pStyle w:val="TableText"/>
              <w:ind w:left="111" w:right="69" w:hanging="60"/>
              <w:spacing w:before="251" w:line="246" w:lineRule="auto"/>
              <w:rPr>
                <w:sz w:val="25"/>
                <w:szCs w:val="25"/>
              </w:rPr>
            </w:pPr>
            <w:r>
              <w:rPr>
                <w:sz w:val="25"/>
                <w:szCs w:val="25"/>
              </w:rPr>
              <w:t>用人单位违反《中华人民共和国职业病防治法》</w:t>
            </w:r>
            <w:r>
              <w:rPr>
                <w:sz w:val="25"/>
                <w:szCs w:val="25"/>
                <w:spacing w:val="-1"/>
              </w:rPr>
              <w:t>规定，已经对3名以下劳动者</w:t>
            </w:r>
            <w:r>
              <w:rPr>
                <w:sz w:val="25"/>
                <w:szCs w:val="25"/>
              </w:rPr>
              <w:t xml:space="preserve"> </w:t>
            </w:r>
            <w:r>
              <w:rPr>
                <w:sz w:val="25"/>
                <w:szCs w:val="25"/>
                <w:spacing w:val="1"/>
              </w:rPr>
              <w:t>生命健康造成严重损害的</w:t>
            </w:r>
          </w:p>
        </w:tc>
        <w:tc>
          <w:tcPr>
            <w:tcW w:w="3892" w:type="dxa"/>
            <w:vAlign w:val="top"/>
          </w:tcPr>
          <w:p>
            <w:pPr>
              <w:pStyle w:val="TableText"/>
              <w:ind w:left="67" w:right="34"/>
              <w:spacing w:before="80" w:line="228" w:lineRule="auto"/>
              <w:jc w:val="both"/>
              <w:rPr>
                <w:sz w:val="25"/>
                <w:szCs w:val="25"/>
              </w:rPr>
            </w:pPr>
            <w:r>
              <w:rPr>
                <w:sz w:val="25"/>
                <w:szCs w:val="25"/>
              </w:rPr>
              <w:t>责令停业或者提请有关人民政府按</w:t>
            </w:r>
            <w:r>
              <w:rPr>
                <w:sz w:val="25"/>
                <w:szCs w:val="25"/>
                <w:spacing w:val="12"/>
              </w:rPr>
              <w:t xml:space="preserve"> </w:t>
            </w:r>
            <w:r>
              <w:rPr>
                <w:sz w:val="25"/>
                <w:szCs w:val="25"/>
                <w:spacing w:val="2"/>
              </w:rPr>
              <w:t>照国务院规定的权限责令关闭，罚</w:t>
            </w:r>
            <w:r>
              <w:rPr>
                <w:sz w:val="25"/>
                <w:szCs w:val="25"/>
              </w:rPr>
              <w:t xml:space="preserve"> </w:t>
            </w:r>
            <w:r>
              <w:rPr>
                <w:sz w:val="25"/>
                <w:szCs w:val="25"/>
                <w:spacing w:val="4"/>
              </w:rPr>
              <w:t>款十万元以上二十二万元以下</w:t>
            </w:r>
          </w:p>
        </w:tc>
      </w:tr>
      <w:tr>
        <w:trPr>
          <w:trHeight w:val="1327" w:hRule="atLeast"/>
        </w:trPr>
        <w:tc>
          <w:tcPr>
            <w:tcW w:w="1424" w:type="dxa"/>
            <w:vAlign w:val="top"/>
          </w:tcPr>
          <w:p>
            <w:pPr>
              <w:spacing w:line="460" w:lineRule="auto"/>
              <w:rPr>
                <w:rFonts w:ascii="Arial"/>
                <w:sz w:val="21"/>
              </w:rPr>
            </w:pPr>
            <w:r/>
          </w:p>
          <w:p>
            <w:pPr>
              <w:pStyle w:val="TableText"/>
              <w:ind w:left="458"/>
              <w:spacing w:before="82" w:line="221" w:lineRule="auto"/>
              <w:rPr>
                <w:sz w:val="25"/>
                <w:szCs w:val="25"/>
              </w:rPr>
            </w:pPr>
            <w:r>
              <w:rPr>
                <w:sz w:val="25"/>
                <w:szCs w:val="25"/>
                <w:b/>
                <w:bCs/>
                <w:spacing w:val="-6"/>
              </w:rPr>
              <w:t>较重</w:t>
            </w:r>
          </w:p>
        </w:tc>
        <w:tc>
          <w:tcPr>
            <w:tcW w:w="8494" w:type="dxa"/>
            <w:vAlign w:val="top"/>
          </w:tcPr>
          <w:p>
            <w:pPr>
              <w:spacing w:line="310" w:lineRule="auto"/>
              <w:rPr>
                <w:rFonts w:ascii="Arial"/>
                <w:sz w:val="21"/>
              </w:rPr>
            </w:pPr>
            <w:r/>
          </w:p>
          <w:p>
            <w:pPr>
              <w:pStyle w:val="TableText"/>
              <w:ind w:left="111" w:right="69" w:hanging="60"/>
              <w:spacing w:before="81" w:line="261" w:lineRule="auto"/>
              <w:rPr>
                <w:sz w:val="25"/>
                <w:szCs w:val="25"/>
              </w:rPr>
            </w:pPr>
            <w:r>
              <w:rPr>
                <w:sz w:val="25"/>
                <w:szCs w:val="25"/>
              </w:rPr>
              <w:t>用人单位违反《中华人民共和国职业病防治法》的</w:t>
            </w:r>
            <w:r>
              <w:rPr>
                <w:sz w:val="25"/>
                <w:szCs w:val="25"/>
                <w:spacing w:val="-1"/>
              </w:rPr>
              <w:t>规定，已经对4-6名劳动者</w:t>
            </w:r>
            <w:r>
              <w:rPr>
                <w:sz w:val="25"/>
                <w:szCs w:val="25"/>
              </w:rPr>
              <w:t xml:space="preserve"> </w:t>
            </w:r>
            <w:r>
              <w:rPr>
                <w:sz w:val="25"/>
                <w:szCs w:val="25"/>
                <w:spacing w:val="1"/>
              </w:rPr>
              <w:t>生命健康造成严重损害的</w:t>
            </w:r>
          </w:p>
        </w:tc>
        <w:tc>
          <w:tcPr>
            <w:tcW w:w="3892" w:type="dxa"/>
            <w:vAlign w:val="top"/>
          </w:tcPr>
          <w:p>
            <w:pPr>
              <w:pStyle w:val="TableText"/>
              <w:ind w:left="67" w:right="34"/>
              <w:spacing w:before="225" w:line="255" w:lineRule="auto"/>
              <w:rPr>
                <w:sz w:val="25"/>
                <w:szCs w:val="25"/>
              </w:rPr>
            </w:pPr>
            <w:r>
              <w:rPr>
                <w:sz w:val="25"/>
                <w:szCs w:val="25"/>
              </w:rPr>
              <w:t>责令停业或者提请有关人民政府按</w:t>
            </w:r>
            <w:r>
              <w:rPr>
                <w:sz w:val="25"/>
                <w:szCs w:val="25"/>
                <w:spacing w:val="12"/>
              </w:rPr>
              <w:t xml:space="preserve"> </w:t>
            </w:r>
            <w:r>
              <w:rPr>
                <w:sz w:val="25"/>
                <w:szCs w:val="25"/>
                <w:spacing w:val="2"/>
              </w:rPr>
              <w:t>照国务院规定的权限责令关闭，罚</w:t>
            </w:r>
          </w:p>
          <w:p>
            <w:pPr>
              <w:pStyle w:val="TableText"/>
              <w:ind w:left="67"/>
              <w:spacing w:line="220" w:lineRule="auto"/>
              <w:rPr>
                <w:sz w:val="25"/>
                <w:szCs w:val="25"/>
              </w:rPr>
            </w:pPr>
            <w:r>
              <w:rPr>
                <w:sz w:val="25"/>
                <w:szCs w:val="25"/>
                <w:spacing w:val="1"/>
              </w:rPr>
              <w:t>款二十二万元以上三十八万元以下</w:t>
            </w:r>
          </w:p>
        </w:tc>
      </w:tr>
      <w:tr>
        <w:trPr>
          <w:trHeight w:val="1013" w:hRule="atLeast"/>
        </w:trPr>
        <w:tc>
          <w:tcPr>
            <w:tcW w:w="1424" w:type="dxa"/>
            <w:vAlign w:val="top"/>
          </w:tcPr>
          <w:p>
            <w:pPr>
              <w:spacing w:line="381" w:lineRule="auto"/>
              <w:rPr>
                <w:rFonts w:ascii="Arial"/>
                <w:sz w:val="21"/>
              </w:rPr>
            </w:pPr>
            <w:r/>
          </w:p>
          <w:p>
            <w:pPr>
              <w:pStyle w:val="TableText"/>
              <w:ind w:left="458"/>
              <w:spacing w:before="82" w:line="220" w:lineRule="auto"/>
              <w:rPr>
                <w:sz w:val="25"/>
                <w:szCs w:val="25"/>
              </w:rPr>
            </w:pPr>
            <w:r>
              <w:rPr>
                <w:sz w:val="25"/>
                <w:szCs w:val="25"/>
                <w:b/>
                <w:bCs/>
                <w:spacing w:val="-6"/>
              </w:rPr>
              <w:t>严重</w:t>
            </w:r>
          </w:p>
        </w:tc>
        <w:tc>
          <w:tcPr>
            <w:tcW w:w="8494" w:type="dxa"/>
            <w:vAlign w:val="top"/>
          </w:tcPr>
          <w:p>
            <w:pPr>
              <w:pStyle w:val="TableText"/>
              <w:ind w:left="111" w:right="45" w:hanging="60"/>
              <w:spacing w:before="238" w:line="253" w:lineRule="auto"/>
              <w:rPr>
                <w:sz w:val="25"/>
                <w:szCs w:val="25"/>
              </w:rPr>
            </w:pPr>
            <w:r>
              <w:rPr>
                <w:sz w:val="25"/>
                <w:szCs w:val="25"/>
              </w:rPr>
              <w:t>用人单位违反《中华人民共和国职业病防治法》的规定，已经对7名以上劳动</w:t>
            </w:r>
            <w:r>
              <w:rPr>
                <w:sz w:val="25"/>
                <w:szCs w:val="25"/>
                <w:spacing w:val="11"/>
              </w:rPr>
              <w:t xml:space="preserve"> </w:t>
            </w:r>
            <w:r>
              <w:rPr>
                <w:sz w:val="25"/>
                <w:szCs w:val="25"/>
                <w:spacing w:val="1"/>
              </w:rPr>
              <w:t>者生命健康造成严重损害的</w:t>
            </w:r>
          </w:p>
        </w:tc>
        <w:tc>
          <w:tcPr>
            <w:tcW w:w="3892" w:type="dxa"/>
            <w:vAlign w:val="top"/>
          </w:tcPr>
          <w:p>
            <w:pPr>
              <w:pStyle w:val="TableText"/>
              <w:ind w:left="67" w:right="34"/>
              <w:spacing w:before="76" w:line="228" w:lineRule="auto"/>
              <w:jc w:val="both"/>
              <w:rPr>
                <w:sz w:val="25"/>
                <w:szCs w:val="25"/>
              </w:rPr>
            </w:pPr>
            <w:r>
              <w:rPr>
                <w:sz w:val="25"/>
                <w:szCs w:val="25"/>
              </w:rPr>
              <w:t>责令停业或者提请有关人民政府按</w:t>
            </w:r>
            <w:r>
              <w:rPr>
                <w:sz w:val="25"/>
                <w:szCs w:val="25"/>
                <w:spacing w:val="12"/>
              </w:rPr>
              <w:t xml:space="preserve"> </w:t>
            </w:r>
            <w:r>
              <w:rPr>
                <w:sz w:val="25"/>
                <w:szCs w:val="25"/>
                <w:spacing w:val="2"/>
              </w:rPr>
              <w:t>照国务院规定的权限责令关闭，罚</w:t>
            </w:r>
            <w:r>
              <w:rPr>
                <w:sz w:val="25"/>
                <w:szCs w:val="25"/>
              </w:rPr>
              <w:t xml:space="preserve"> </w:t>
            </w:r>
            <w:r>
              <w:rPr>
                <w:sz w:val="25"/>
                <w:szCs w:val="25"/>
                <w:spacing w:val="9"/>
              </w:rPr>
              <w:t>款三十八万元以上五十万元以下</w:t>
            </w:r>
          </w:p>
        </w:tc>
      </w:tr>
    </w:tbl>
    <w:p>
      <w:pPr>
        <w:pStyle w:val="BodyText"/>
        <w:spacing w:line="427" w:lineRule="auto"/>
        <w:rPr/>
      </w:pPr>
      <w:r/>
    </w:p>
    <w:p>
      <w:pPr>
        <w:ind w:left="679"/>
        <w:spacing w:before="97" w:line="220" w:lineRule="auto"/>
        <w:rPr>
          <w:rFonts w:ascii="FangSong" w:hAnsi="FangSong" w:eastAsia="FangSong" w:cs="FangSong"/>
          <w:sz w:val="30"/>
          <w:szCs w:val="30"/>
        </w:rPr>
      </w:pPr>
      <w:r>
        <w:rPr>
          <w:rFonts w:ascii="FangSong" w:hAnsi="FangSong" w:eastAsia="FangSong" w:cs="FangSong"/>
          <w:sz w:val="30"/>
          <w:szCs w:val="30"/>
          <w:b/>
          <w:bCs/>
          <w:spacing w:val="22"/>
        </w:rPr>
        <w:t>第四百八十三条未取得职业卫生技术服务资质认可擅自</w:t>
      </w:r>
      <w:r>
        <w:rPr>
          <w:rFonts w:ascii="FangSong" w:hAnsi="FangSong" w:eastAsia="FangSong" w:cs="FangSong"/>
          <w:sz w:val="30"/>
          <w:szCs w:val="30"/>
          <w:b/>
          <w:bCs/>
          <w:spacing w:val="21"/>
        </w:rPr>
        <w:t>从事职业卫生技术服务的</w:t>
      </w:r>
    </w:p>
    <w:p>
      <w:pPr>
        <w:ind w:left="675"/>
        <w:spacing w:before="100" w:line="222" w:lineRule="auto"/>
        <w:rPr>
          <w:rFonts w:ascii="FangSong" w:hAnsi="FangSong" w:eastAsia="FangSong" w:cs="FangSong"/>
          <w:sz w:val="30"/>
          <w:szCs w:val="30"/>
        </w:rPr>
      </w:pPr>
      <w:r>
        <w:rPr>
          <w:rFonts w:ascii="FangSong" w:hAnsi="FangSong" w:eastAsia="FangSong" w:cs="FangSong"/>
          <w:sz w:val="30"/>
          <w:szCs w:val="30"/>
        </w:rPr>
        <w:t>法律依据：</w:t>
      </w:r>
    </w:p>
    <w:p>
      <w:pPr>
        <w:ind w:left="35" w:firstLine="639"/>
        <w:spacing w:before="87" w:line="264" w:lineRule="auto"/>
        <w:jc w:val="both"/>
        <w:rPr>
          <w:rFonts w:ascii="FangSong" w:hAnsi="FangSong" w:eastAsia="FangSong" w:cs="FangSong"/>
          <w:sz w:val="30"/>
          <w:szCs w:val="30"/>
        </w:rPr>
      </w:pPr>
      <w:r>
        <w:rPr>
          <w:rFonts w:ascii="FangSong" w:hAnsi="FangSong" w:eastAsia="FangSong" w:cs="FangSong"/>
          <w:sz w:val="30"/>
          <w:szCs w:val="30"/>
          <w:spacing w:val="12"/>
        </w:rPr>
        <w:t>1.</w:t>
      </w:r>
      <w:r>
        <w:rPr>
          <w:rFonts w:ascii="FangSong" w:hAnsi="FangSong" w:eastAsia="FangSong" w:cs="FangSong"/>
          <w:sz w:val="30"/>
          <w:szCs w:val="30"/>
          <w:spacing w:val="12"/>
        </w:rPr>
        <w:t xml:space="preserve"> </w:t>
      </w:r>
      <w:r>
        <w:rPr>
          <w:rFonts w:ascii="FangSong" w:hAnsi="FangSong" w:eastAsia="FangSong" w:cs="FangSong"/>
          <w:sz w:val="30"/>
          <w:szCs w:val="30"/>
          <w:spacing w:val="12"/>
        </w:rPr>
        <w:t>《中华人民共和国职业病防治法》第七十九条</w:t>
      </w:r>
      <w:r>
        <w:rPr>
          <w:rFonts w:ascii="FangSong" w:hAnsi="FangSong" w:eastAsia="FangSong" w:cs="FangSong"/>
          <w:sz w:val="30"/>
          <w:szCs w:val="30"/>
          <w:spacing w:val="12"/>
        </w:rPr>
        <w:t xml:space="preserve">  </w:t>
      </w:r>
      <w:r>
        <w:rPr>
          <w:rFonts w:ascii="FangSong" w:hAnsi="FangSong" w:eastAsia="FangSong" w:cs="FangSong"/>
          <w:sz w:val="30"/>
          <w:szCs w:val="30"/>
          <w:spacing w:val="12"/>
        </w:rPr>
        <w:t>未取得职业卫</w:t>
      </w:r>
      <w:r>
        <w:rPr>
          <w:rFonts w:ascii="FangSong" w:hAnsi="FangSong" w:eastAsia="FangSong" w:cs="FangSong"/>
          <w:sz w:val="30"/>
          <w:szCs w:val="30"/>
          <w:spacing w:val="11"/>
        </w:rPr>
        <w:t>生技术服务资质认可擅自从事职</w:t>
      </w:r>
      <w:r>
        <w:rPr>
          <w:rFonts w:ascii="FangSong" w:hAnsi="FangSong" w:eastAsia="FangSong" w:cs="FangSong"/>
          <w:sz w:val="30"/>
          <w:szCs w:val="30"/>
        </w:rPr>
        <w:t xml:space="preserve"> </w:t>
      </w:r>
      <w:r>
        <w:rPr>
          <w:rFonts w:ascii="FangSong" w:hAnsi="FangSong" w:eastAsia="FangSong" w:cs="FangSong"/>
          <w:sz w:val="30"/>
          <w:szCs w:val="30"/>
          <w:spacing w:val="12"/>
        </w:rPr>
        <w:t>业卫生技术服务的，由卫生行政部门责令立即停止违法行为，没收违法所得</w:t>
      </w:r>
      <w:r>
        <w:rPr>
          <w:rFonts w:ascii="FangSong" w:hAnsi="FangSong" w:eastAsia="FangSong" w:cs="FangSong"/>
          <w:sz w:val="30"/>
          <w:szCs w:val="30"/>
          <w:spacing w:val="11"/>
        </w:rPr>
        <w:t>；违法所得五千元以上的，</w:t>
      </w:r>
      <w:r>
        <w:rPr>
          <w:rFonts w:ascii="FangSong" w:hAnsi="FangSong" w:eastAsia="FangSong" w:cs="FangSong"/>
          <w:sz w:val="30"/>
          <w:szCs w:val="30"/>
        </w:rPr>
        <w:t xml:space="preserve"> </w:t>
      </w:r>
      <w:r>
        <w:rPr>
          <w:rFonts w:ascii="FangSong" w:hAnsi="FangSong" w:eastAsia="FangSong" w:cs="FangSong"/>
          <w:sz w:val="30"/>
          <w:szCs w:val="30"/>
          <w:spacing w:val="17"/>
        </w:rPr>
        <w:t>并处违法所得二倍以上十倍以下的罚款；没有违法所得或者违法所得不足五千元的，并处五千元以上</w:t>
      </w:r>
    </w:p>
    <w:p>
      <w:pPr>
        <w:spacing w:line="264" w:lineRule="auto"/>
        <w:sectPr>
          <w:footerReference w:type="default" r:id="rId519"/>
          <w:pgSz w:w="16830" w:h="11900"/>
          <w:pgMar w:top="1011" w:right="1350" w:bottom="1117" w:left="1414" w:header="0" w:footer="784" w:gutter="0"/>
        </w:sectPr>
        <w:rPr>
          <w:rFonts w:ascii="FangSong" w:hAnsi="FangSong" w:eastAsia="FangSong" w:cs="FangSong"/>
          <w:sz w:val="30"/>
          <w:szCs w:val="30"/>
        </w:rPr>
      </w:pPr>
    </w:p>
    <w:p>
      <w:pPr>
        <w:pStyle w:val="BodyText"/>
        <w:spacing w:line="265" w:lineRule="auto"/>
        <w:rPr/>
      </w:pPr>
      <w:r/>
    </w:p>
    <w:p>
      <w:pPr>
        <w:pStyle w:val="BodyText"/>
        <w:spacing w:line="265" w:lineRule="auto"/>
        <w:rPr/>
      </w:pPr>
      <w:r/>
    </w:p>
    <w:p>
      <w:pPr>
        <w:pStyle w:val="BodyText"/>
        <w:spacing w:line="265" w:lineRule="auto"/>
        <w:rPr/>
      </w:pPr>
      <w:r/>
    </w:p>
    <w:p>
      <w:pPr>
        <w:ind w:left="5" w:right="30"/>
        <w:spacing w:before="97" w:line="271" w:lineRule="auto"/>
        <w:rPr>
          <w:rFonts w:ascii="FangSong" w:hAnsi="FangSong" w:eastAsia="FangSong" w:cs="FangSong"/>
          <w:sz w:val="30"/>
          <w:szCs w:val="30"/>
        </w:rPr>
      </w:pPr>
      <w:r>
        <w:rPr>
          <w:rFonts w:ascii="FangSong" w:hAnsi="FangSong" w:eastAsia="FangSong" w:cs="FangSong"/>
          <w:sz w:val="30"/>
          <w:szCs w:val="30"/>
          <w:spacing w:val="16"/>
        </w:rPr>
        <w:t>五万元以下的罚款；情节严重的，对直接负责的主管人员和其他直接责任人员，依法给予降级、撤职</w:t>
      </w:r>
      <w:r>
        <w:rPr>
          <w:rFonts w:ascii="FangSong" w:hAnsi="FangSong" w:eastAsia="FangSong" w:cs="FangSong"/>
          <w:sz w:val="30"/>
          <w:szCs w:val="30"/>
          <w:spacing w:val="12"/>
        </w:rPr>
        <w:t xml:space="preserve"> </w:t>
      </w:r>
      <w:r>
        <w:rPr>
          <w:rFonts w:ascii="FangSong" w:hAnsi="FangSong" w:eastAsia="FangSong" w:cs="FangSong"/>
          <w:sz w:val="30"/>
          <w:szCs w:val="30"/>
          <w:spacing w:val="9"/>
        </w:rPr>
        <w:t>或者开除的处分。</w:t>
      </w:r>
    </w:p>
    <w:p>
      <w:pPr>
        <w:ind w:left="5" w:firstLine="649"/>
        <w:spacing w:before="5" w:line="264" w:lineRule="auto"/>
        <w:jc w:val="both"/>
        <w:rPr>
          <w:rFonts w:ascii="FangSong" w:hAnsi="FangSong" w:eastAsia="FangSong" w:cs="FangSong"/>
          <w:sz w:val="30"/>
          <w:szCs w:val="30"/>
        </w:rPr>
      </w:pPr>
      <w:r>
        <w:rPr>
          <w:rFonts w:ascii="FangSong" w:hAnsi="FangSong" w:eastAsia="FangSong" w:cs="FangSong"/>
          <w:sz w:val="30"/>
          <w:szCs w:val="30"/>
          <w:spacing w:val="12"/>
        </w:rPr>
        <w:t>2.</w:t>
      </w:r>
      <w:r>
        <w:rPr>
          <w:rFonts w:ascii="FangSong" w:hAnsi="FangSong" w:eastAsia="FangSong" w:cs="FangSong"/>
          <w:sz w:val="30"/>
          <w:szCs w:val="30"/>
          <w:spacing w:val="12"/>
        </w:rPr>
        <w:t xml:space="preserve"> </w:t>
      </w:r>
      <w:r>
        <w:rPr>
          <w:rFonts w:ascii="FangSong" w:hAnsi="FangSong" w:eastAsia="FangSong" w:cs="FangSong"/>
          <w:sz w:val="30"/>
          <w:szCs w:val="30"/>
          <w:spacing w:val="12"/>
        </w:rPr>
        <w:t>《职业卫生技术服务机构管理办法》第四十一条</w:t>
      </w:r>
      <w:r>
        <w:rPr>
          <w:rFonts w:ascii="FangSong" w:hAnsi="FangSong" w:eastAsia="FangSong" w:cs="FangSong"/>
          <w:sz w:val="30"/>
          <w:szCs w:val="30"/>
          <w:spacing w:val="12"/>
        </w:rPr>
        <w:t xml:space="preserve">  </w:t>
      </w:r>
      <w:r>
        <w:rPr>
          <w:rFonts w:ascii="FangSong" w:hAnsi="FangSong" w:eastAsia="FangSong" w:cs="FangSong"/>
          <w:sz w:val="30"/>
          <w:szCs w:val="30"/>
          <w:spacing w:val="12"/>
        </w:rPr>
        <w:t>未取得</w:t>
      </w:r>
      <w:r>
        <w:rPr>
          <w:rFonts w:ascii="FangSong" w:hAnsi="FangSong" w:eastAsia="FangSong" w:cs="FangSong"/>
          <w:sz w:val="30"/>
          <w:szCs w:val="30"/>
          <w:spacing w:val="11"/>
        </w:rPr>
        <w:t>职业卫生技术服务资质认可擅自从事</w:t>
      </w:r>
      <w:r>
        <w:rPr>
          <w:rFonts w:ascii="FangSong" w:hAnsi="FangSong" w:eastAsia="FangSong" w:cs="FangSong"/>
          <w:sz w:val="30"/>
          <w:szCs w:val="30"/>
        </w:rPr>
        <w:t xml:space="preserve"> </w:t>
      </w:r>
      <w:r>
        <w:rPr>
          <w:rFonts w:ascii="FangSong" w:hAnsi="FangSong" w:eastAsia="FangSong" w:cs="FangSong"/>
          <w:sz w:val="30"/>
          <w:szCs w:val="30"/>
          <w:spacing w:val="17"/>
        </w:rPr>
        <w:t>职业卫生检测、评价技术服务的，由县级以上地方疾病预防控制主管部门责令立即停止违法行为，没</w:t>
      </w:r>
      <w:r>
        <w:rPr>
          <w:rFonts w:ascii="FangSong" w:hAnsi="FangSong" w:eastAsia="FangSong" w:cs="FangSong"/>
          <w:sz w:val="30"/>
          <w:szCs w:val="30"/>
        </w:rPr>
        <w:t xml:space="preserve"> </w:t>
      </w:r>
      <w:r>
        <w:rPr>
          <w:rFonts w:ascii="FangSong" w:hAnsi="FangSong" w:eastAsia="FangSong" w:cs="FangSong"/>
          <w:sz w:val="30"/>
          <w:szCs w:val="30"/>
          <w:spacing w:val="16"/>
        </w:rPr>
        <w:t>收违法所得；违法所得五千元以上的，并处违法所得二倍以上十倍以下的罚款；没有违法所得或者违</w:t>
      </w:r>
      <w:r>
        <w:rPr>
          <w:rFonts w:ascii="FangSong" w:hAnsi="FangSong" w:eastAsia="FangSong" w:cs="FangSong"/>
          <w:sz w:val="30"/>
          <w:szCs w:val="30"/>
          <w:spacing w:val="17"/>
        </w:rPr>
        <w:t xml:space="preserve"> </w:t>
      </w:r>
      <w:r>
        <w:rPr>
          <w:rFonts w:ascii="FangSong" w:hAnsi="FangSong" w:eastAsia="FangSong" w:cs="FangSong"/>
          <w:sz w:val="30"/>
          <w:szCs w:val="30"/>
          <w:spacing w:val="16"/>
        </w:rPr>
        <w:t>法所得不足五千元的，并处五千元以上五万元以下的罚款；情节严重的，对直接负责的主管人员和其</w:t>
      </w:r>
      <w:r>
        <w:rPr>
          <w:rFonts w:ascii="FangSong" w:hAnsi="FangSong" w:eastAsia="FangSong" w:cs="FangSong"/>
          <w:sz w:val="30"/>
          <w:szCs w:val="30"/>
          <w:spacing w:val="16"/>
        </w:rPr>
        <w:t xml:space="preserve"> </w:t>
      </w:r>
      <w:r>
        <w:rPr>
          <w:rFonts w:ascii="FangSong" w:hAnsi="FangSong" w:eastAsia="FangSong" w:cs="FangSong"/>
          <w:sz w:val="30"/>
          <w:szCs w:val="30"/>
          <w:spacing w:val="17"/>
        </w:rPr>
        <w:t>他直接责任人员，依法给予降级、撤职或者开除的处分。</w:t>
      </w:r>
    </w:p>
    <w:p>
      <w:pPr>
        <w:ind w:left="6419"/>
        <w:spacing w:before="187" w:line="208"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7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7165"/>
        <w:gridCol w:w="5191"/>
      </w:tblGrid>
      <w:tr>
        <w:trPr>
          <w:trHeight w:val="653" w:hRule="atLeast"/>
        </w:trPr>
        <w:tc>
          <w:tcPr>
            <w:tcW w:w="1404" w:type="dxa"/>
            <w:vAlign w:val="top"/>
          </w:tcPr>
          <w:p>
            <w:pPr>
              <w:pStyle w:val="TableText"/>
              <w:ind w:left="198"/>
              <w:spacing w:before="242" w:line="220" w:lineRule="auto"/>
              <w:rPr>
                <w:sz w:val="25"/>
                <w:szCs w:val="25"/>
              </w:rPr>
            </w:pPr>
            <w:r>
              <w:rPr>
                <w:sz w:val="25"/>
                <w:szCs w:val="25"/>
                <w:b/>
                <w:bCs/>
                <w:spacing w:val="-5"/>
              </w:rPr>
              <w:t>违法程度</w:t>
            </w:r>
          </w:p>
        </w:tc>
        <w:tc>
          <w:tcPr>
            <w:tcW w:w="7165" w:type="dxa"/>
            <w:vAlign w:val="top"/>
          </w:tcPr>
          <w:p>
            <w:pPr>
              <w:pStyle w:val="TableText"/>
              <w:ind w:left="3074"/>
              <w:spacing w:before="242" w:line="220" w:lineRule="auto"/>
              <w:rPr>
                <w:sz w:val="25"/>
                <w:szCs w:val="25"/>
              </w:rPr>
            </w:pPr>
            <w:r>
              <w:rPr>
                <w:sz w:val="25"/>
                <w:szCs w:val="25"/>
                <w:b/>
                <w:bCs/>
                <w:spacing w:val="-5"/>
              </w:rPr>
              <w:t>情节后果</w:t>
            </w:r>
          </w:p>
        </w:tc>
        <w:tc>
          <w:tcPr>
            <w:tcW w:w="5191" w:type="dxa"/>
            <w:vAlign w:val="top"/>
          </w:tcPr>
          <w:p>
            <w:pPr>
              <w:pStyle w:val="TableText"/>
              <w:ind w:left="2089"/>
              <w:spacing w:before="239" w:line="218" w:lineRule="auto"/>
              <w:rPr>
                <w:sz w:val="25"/>
                <w:szCs w:val="25"/>
              </w:rPr>
            </w:pPr>
            <w:r>
              <w:rPr>
                <w:sz w:val="25"/>
                <w:szCs w:val="25"/>
                <w:b/>
                <w:bCs/>
                <w:spacing w:val="-5"/>
              </w:rPr>
              <w:t>裁量幅度</w:t>
            </w:r>
          </w:p>
        </w:tc>
      </w:tr>
      <w:tr>
        <w:trPr>
          <w:trHeight w:val="868" w:hRule="atLeast"/>
        </w:trPr>
        <w:tc>
          <w:tcPr>
            <w:tcW w:w="1404" w:type="dxa"/>
            <w:vAlign w:val="top"/>
          </w:tcPr>
          <w:p>
            <w:pPr>
              <w:spacing w:line="295" w:lineRule="auto"/>
              <w:rPr>
                <w:rFonts w:ascii="Arial"/>
                <w:sz w:val="21"/>
              </w:rPr>
            </w:pPr>
            <w:r/>
          </w:p>
          <w:p>
            <w:pPr>
              <w:pStyle w:val="TableText"/>
              <w:ind w:left="448"/>
              <w:spacing w:before="82" w:line="219" w:lineRule="auto"/>
              <w:rPr>
                <w:sz w:val="25"/>
                <w:szCs w:val="25"/>
              </w:rPr>
            </w:pPr>
            <w:r>
              <w:rPr>
                <w:sz w:val="25"/>
                <w:szCs w:val="25"/>
                <w:b/>
                <w:bCs/>
                <w:spacing w:val="-6"/>
              </w:rPr>
              <w:t>轻微</w:t>
            </w:r>
          </w:p>
        </w:tc>
        <w:tc>
          <w:tcPr>
            <w:tcW w:w="7165" w:type="dxa"/>
            <w:vAlign w:val="top"/>
          </w:tcPr>
          <w:p>
            <w:pPr>
              <w:pStyle w:val="TableText"/>
              <w:ind w:left="129" w:hanging="119"/>
              <w:spacing w:before="171" w:line="246" w:lineRule="auto"/>
              <w:rPr>
                <w:sz w:val="25"/>
                <w:szCs w:val="25"/>
              </w:rPr>
            </w:pPr>
            <w:r>
              <w:rPr>
                <w:sz w:val="25"/>
                <w:szCs w:val="25"/>
                <w:spacing w:val="-4"/>
              </w:rPr>
              <w:t>未取得职业卫生技术服务资质认可擅自从事职业卫生技术服务，没</w:t>
            </w:r>
            <w:r>
              <w:rPr>
                <w:sz w:val="25"/>
                <w:szCs w:val="25"/>
                <w:spacing w:val="9"/>
              </w:rPr>
              <w:t xml:space="preserve"> </w:t>
            </w:r>
            <w:r>
              <w:rPr>
                <w:sz w:val="25"/>
                <w:szCs w:val="25"/>
              </w:rPr>
              <w:t>有违法所得或者违法所得无法认定的</w:t>
            </w:r>
          </w:p>
        </w:tc>
        <w:tc>
          <w:tcPr>
            <w:tcW w:w="5191" w:type="dxa"/>
            <w:vAlign w:val="top"/>
          </w:tcPr>
          <w:p>
            <w:pPr>
              <w:pStyle w:val="TableText"/>
              <w:ind w:left="115" w:hanging="99"/>
              <w:spacing w:before="251" w:line="224" w:lineRule="auto"/>
              <w:rPr>
                <w:sz w:val="25"/>
                <w:szCs w:val="25"/>
              </w:rPr>
            </w:pPr>
            <w:r>
              <w:rPr>
                <w:sz w:val="25"/>
                <w:szCs w:val="25"/>
                <w:spacing w:val="-5"/>
              </w:rPr>
              <w:t>责令立即停止违法行为，并处五千元以上二万元</w:t>
            </w:r>
            <w:r>
              <w:rPr>
                <w:sz w:val="25"/>
                <w:szCs w:val="25"/>
                <w:spacing w:val="18"/>
              </w:rPr>
              <w:t xml:space="preserve"> </w:t>
            </w:r>
            <w:r>
              <w:rPr>
                <w:sz w:val="25"/>
                <w:szCs w:val="25"/>
                <w:spacing w:val="1"/>
              </w:rPr>
              <w:t>以下的罚款</w:t>
            </w:r>
          </w:p>
        </w:tc>
      </w:tr>
      <w:tr>
        <w:trPr>
          <w:trHeight w:val="738" w:hRule="atLeast"/>
        </w:trPr>
        <w:tc>
          <w:tcPr>
            <w:tcW w:w="1404" w:type="dxa"/>
            <w:vAlign w:val="top"/>
          </w:tcPr>
          <w:p>
            <w:pPr>
              <w:pStyle w:val="TableText"/>
              <w:ind w:left="448"/>
              <w:spacing w:before="312" w:line="221" w:lineRule="auto"/>
              <w:rPr>
                <w:sz w:val="25"/>
                <w:szCs w:val="25"/>
              </w:rPr>
            </w:pPr>
            <w:r>
              <w:rPr>
                <w:sz w:val="25"/>
                <w:szCs w:val="25"/>
                <w:b/>
                <w:bCs/>
                <w:spacing w:val="-10"/>
              </w:rPr>
              <w:t>一般</w:t>
            </w:r>
          </w:p>
        </w:tc>
        <w:tc>
          <w:tcPr>
            <w:tcW w:w="7165" w:type="dxa"/>
            <w:vAlign w:val="top"/>
          </w:tcPr>
          <w:p>
            <w:pPr>
              <w:pStyle w:val="TableText"/>
              <w:ind w:left="129" w:hanging="119"/>
              <w:spacing w:before="83" w:line="238" w:lineRule="auto"/>
              <w:rPr>
                <w:sz w:val="25"/>
                <w:szCs w:val="25"/>
              </w:rPr>
            </w:pPr>
            <w:r>
              <w:rPr>
                <w:sz w:val="25"/>
                <w:szCs w:val="25"/>
                <w:spacing w:val="-4"/>
              </w:rPr>
              <w:t>未取得职业卫生技术服务资质认可擅自从事职业卫生技术服务，违</w:t>
            </w:r>
            <w:r>
              <w:rPr>
                <w:sz w:val="25"/>
                <w:szCs w:val="25"/>
                <w:spacing w:val="9"/>
              </w:rPr>
              <w:t xml:space="preserve"> </w:t>
            </w:r>
            <w:r>
              <w:rPr>
                <w:sz w:val="25"/>
                <w:szCs w:val="25"/>
                <w:spacing w:val="1"/>
              </w:rPr>
              <w:t>法所得不足五千元的</w:t>
            </w:r>
          </w:p>
        </w:tc>
        <w:tc>
          <w:tcPr>
            <w:tcW w:w="5191" w:type="dxa"/>
            <w:vAlign w:val="top"/>
          </w:tcPr>
          <w:p>
            <w:pPr>
              <w:pStyle w:val="TableText"/>
              <w:ind w:left="115" w:hanging="99"/>
              <w:spacing w:before="94" w:line="234" w:lineRule="auto"/>
              <w:rPr>
                <w:sz w:val="25"/>
                <w:szCs w:val="25"/>
              </w:rPr>
            </w:pPr>
            <w:r>
              <w:rPr>
                <w:sz w:val="25"/>
                <w:szCs w:val="25"/>
                <w:spacing w:val="-5"/>
              </w:rPr>
              <w:t>责令立即停止违法行为，没收违法所得，并处二</w:t>
            </w:r>
            <w:r>
              <w:rPr>
                <w:sz w:val="25"/>
                <w:szCs w:val="25"/>
                <w:spacing w:val="18"/>
              </w:rPr>
              <w:t xml:space="preserve"> </w:t>
            </w:r>
            <w:r>
              <w:rPr>
                <w:sz w:val="25"/>
                <w:szCs w:val="25"/>
              </w:rPr>
              <w:t>万元以上五万元以下的罚款</w:t>
            </w:r>
          </w:p>
        </w:tc>
      </w:tr>
      <w:tr>
        <w:trPr>
          <w:trHeight w:val="708" w:hRule="atLeast"/>
        </w:trPr>
        <w:tc>
          <w:tcPr>
            <w:tcW w:w="1404" w:type="dxa"/>
            <w:vAlign w:val="top"/>
          </w:tcPr>
          <w:p>
            <w:pPr>
              <w:pStyle w:val="TableText"/>
              <w:ind w:left="448"/>
              <w:spacing w:before="296" w:line="221" w:lineRule="auto"/>
              <w:rPr>
                <w:sz w:val="25"/>
                <w:szCs w:val="25"/>
              </w:rPr>
            </w:pPr>
            <w:r>
              <w:rPr>
                <w:sz w:val="25"/>
                <w:szCs w:val="25"/>
                <w:b/>
                <w:bCs/>
                <w:spacing w:val="-6"/>
              </w:rPr>
              <w:t>较重</w:t>
            </w:r>
          </w:p>
        </w:tc>
        <w:tc>
          <w:tcPr>
            <w:tcW w:w="7165" w:type="dxa"/>
            <w:vAlign w:val="top"/>
          </w:tcPr>
          <w:p>
            <w:pPr>
              <w:pStyle w:val="TableText"/>
              <w:ind w:left="119" w:hanging="109"/>
              <w:spacing w:before="85" w:line="226" w:lineRule="auto"/>
              <w:rPr>
                <w:sz w:val="25"/>
                <w:szCs w:val="25"/>
              </w:rPr>
            </w:pPr>
            <w:r>
              <w:rPr>
                <w:sz w:val="25"/>
                <w:szCs w:val="25"/>
                <w:spacing w:val="-4"/>
              </w:rPr>
              <w:t>未取得职业卫生技术服务资质认可擅自从事职业卫生技术服务，违</w:t>
            </w:r>
            <w:r>
              <w:rPr>
                <w:sz w:val="25"/>
                <w:szCs w:val="25"/>
                <w:spacing w:val="9"/>
              </w:rPr>
              <w:t xml:space="preserve"> </w:t>
            </w:r>
            <w:r>
              <w:rPr>
                <w:sz w:val="25"/>
                <w:szCs w:val="25"/>
                <w:spacing w:val="1"/>
              </w:rPr>
              <w:t>法所得在五千元以上五万元以下的</w:t>
            </w:r>
          </w:p>
        </w:tc>
        <w:tc>
          <w:tcPr>
            <w:tcW w:w="5191" w:type="dxa"/>
            <w:vAlign w:val="top"/>
          </w:tcPr>
          <w:p>
            <w:pPr>
              <w:pStyle w:val="TableText"/>
              <w:ind w:left="115" w:hanging="99"/>
              <w:spacing w:before="85" w:line="226" w:lineRule="auto"/>
              <w:rPr>
                <w:sz w:val="25"/>
                <w:szCs w:val="25"/>
              </w:rPr>
            </w:pPr>
            <w:r>
              <w:rPr>
                <w:sz w:val="25"/>
                <w:szCs w:val="25"/>
                <w:spacing w:val="-5"/>
              </w:rPr>
              <w:t>责令立即停止违法行为，没收违法所得，并处违</w:t>
            </w:r>
            <w:r>
              <w:rPr>
                <w:sz w:val="25"/>
                <w:szCs w:val="25"/>
                <w:spacing w:val="18"/>
              </w:rPr>
              <w:t xml:space="preserve"> </w:t>
            </w:r>
            <w:r>
              <w:rPr>
                <w:sz w:val="25"/>
                <w:szCs w:val="25"/>
              </w:rPr>
              <w:t>法所得二倍以上五倍以下罚款</w:t>
            </w:r>
          </w:p>
        </w:tc>
      </w:tr>
      <w:tr>
        <w:trPr>
          <w:trHeight w:val="743" w:hRule="atLeast"/>
        </w:trPr>
        <w:tc>
          <w:tcPr>
            <w:tcW w:w="1404" w:type="dxa"/>
            <w:vAlign w:val="top"/>
          </w:tcPr>
          <w:p>
            <w:pPr>
              <w:pStyle w:val="TableText"/>
              <w:ind w:left="448"/>
              <w:spacing w:before="315" w:line="220" w:lineRule="auto"/>
              <w:rPr>
                <w:sz w:val="25"/>
                <w:szCs w:val="25"/>
              </w:rPr>
            </w:pPr>
            <w:r>
              <w:rPr>
                <w:sz w:val="25"/>
                <w:szCs w:val="25"/>
                <w:b/>
                <w:bCs/>
                <w:spacing w:val="-6"/>
              </w:rPr>
              <w:t>严重</w:t>
            </w:r>
          </w:p>
        </w:tc>
        <w:tc>
          <w:tcPr>
            <w:tcW w:w="7165" w:type="dxa"/>
            <w:vAlign w:val="top"/>
          </w:tcPr>
          <w:p>
            <w:pPr>
              <w:pStyle w:val="TableText"/>
              <w:ind w:left="110" w:hanging="100"/>
              <w:spacing w:before="118" w:line="227" w:lineRule="auto"/>
              <w:rPr>
                <w:sz w:val="25"/>
                <w:szCs w:val="25"/>
              </w:rPr>
            </w:pPr>
            <w:r>
              <w:rPr>
                <w:sz w:val="25"/>
                <w:szCs w:val="25"/>
                <w:spacing w:val="-4"/>
              </w:rPr>
              <w:t>未取得职业卫生技术服务资质认可擅自从事职业卫生技术服务，违</w:t>
            </w:r>
            <w:r>
              <w:rPr>
                <w:sz w:val="25"/>
                <w:szCs w:val="25"/>
                <w:spacing w:val="9"/>
              </w:rPr>
              <w:t xml:space="preserve"> </w:t>
            </w:r>
            <w:r>
              <w:rPr>
                <w:sz w:val="25"/>
                <w:szCs w:val="25"/>
                <w:spacing w:val="1"/>
              </w:rPr>
              <w:t>法所得超过五万元的</w:t>
            </w:r>
          </w:p>
        </w:tc>
        <w:tc>
          <w:tcPr>
            <w:tcW w:w="5191" w:type="dxa"/>
            <w:vAlign w:val="top"/>
          </w:tcPr>
          <w:p>
            <w:pPr>
              <w:pStyle w:val="TableText"/>
              <w:ind w:left="135" w:hanging="119"/>
              <w:spacing w:before="118" w:line="227" w:lineRule="auto"/>
              <w:rPr>
                <w:sz w:val="25"/>
                <w:szCs w:val="25"/>
              </w:rPr>
            </w:pPr>
            <w:r>
              <w:rPr>
                <w:sz w:val="25"/>
                <w:szCs w:val="25"/>
                <w:spacing w:val="-5"/>
              </w:rPr>
              <w:t>责令立即停止违法行为，没收违法所得，并处违</w:t>
            </w:r>
            <w:r>
              <w:rPr>
                <w:sz w:val="25"/>
                <w:szCs w:val="25"/>
                <w:spacing w:val="18"/>
              </w:rPr>
              <w:t xml:space="preserve"> </w:t>
            </w:r>
            <w:r>
              <w:rPr>
                <w:sz w:val="25"/>
                <w:szCs w:val="25"/>
              </w:rPr>
              <w:t>法所得五倍以上十倍以下罚款</w:t>
            </w:r>
          </w:p>
        </w:tc>
      </w:tr>
    </w:tbl>
    <w:p>
      <w:pPr>
        <w:pStyle w:val="BodyText"/>
        <w:rPr/>
      </w:pPr>
      <w:r/>
    </w:p>
    <w:p>
      <w:pPr>
        <w:sectPr>
          <w:footerReference w:type="default" r:id="rId520"/>
          <w:pgSz w:w="16830" w:h="11900"/>
          <w:pgMar w:top="1011" w:right="1441" w:bottom="1107" w:left="1434" w:header="0" w:footer="774" w:gutter="0"/>
        </w:sectPr>
        <w:rPr/>
      </w:pPr>
    </w:p>
    <w:p>
      <w:pPr>
        <w:pStyle w:val="BodyText"/>
        <w:spacing w:line="261" w:lineRule="auto"/>
        <w:rPr/>
      </w:pPr>
      <w:r/>
    </w:p>
    <w:p>
      <w:pPr>
        <w:pStyle w:val="BodyText"/>
        <w:spacing w:line="262" w:lineRule="auto"/>
        <w:rPr/>
      </w:pPr>
      <w:r/>
    </w:p>
    <w:p>
      <w:pPr>
        <w:pStyle w:val="BodyText"/>
        <w:spacing w:line="262" w:lineRule="auto"/>
        <w:rPr/>
      </w:pPr>
      <w:r/>
    </w:p>
    <w:p>
      <w:pPr>
        <w:ind w:left="659"/>
        <w:spacing w:before="100" w:line="220" w:lineRule="auto"/>
        <w:outlineLvl w:val="0"/>
        <w:rPr>
          <w:rFonts w:ascii="FangSong" w:hAnsi="FangSong" w:eastAsia="FangSong" w:cs="FangSong"/>
          <w:sz w:val="31"/>
          <w:szCs w:val="31"/>
        </w:rPr>
      </w:pPr>
      <w:bookmarkStart w:name="bookmark1147" w:id="522"/>
      <w:bookmarkEnd w:id="522"/>
      <w:bookmarkStart w:name="bookmark582" w:id="523"/>
      <w:bookmarkEnd w:id="523"/>
      <w:r>
        <w:rPr>
          <w:rFonts w:ascii="FangSong" w:hAnsi="FangSong" w:eastAsia="FangSong" w:cs="FangSong"/>
          <w:sz w:val="31"/>
          <w:szCs w:val="31"/>
          <w:b/>
          <w:bCs/>
          <w:spacing w:val="15"/>
        </w:rPr>
        <w:t>第四百八十四条挪用防尘措施经费的</w:t>
      </w:r>
    </w:p>
    <w:p>
      <w:pPr>
        <w:ind w:left="654"/>
        <w:spacing w:before="107"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5" w:firstLine="625"/>
        <w:spacing w:before="56" w:line="268" w:lineRule="auto"/>
        <w:jc w:val="both"/>
        <w:rPr>
          <w:rFonts w:ascii="FangSong" w:hAnsi="FangSong" w:eastAsia="FangSong" w:cs="FangSong"/>
          <w:sz w:val="31"/>
          <w:szCs w:val="31"/>
        </w:rPr>
      </w:pPr>
      <w:r>
        <w:rPr>
          <w:rFonts w:ascii="FangSong" w:hAnsi="FangSong" w:eastAsia="FangSong" w:cs="FangSong"/>
          <w:sz w:val="31"/>
          <w:szCs w:val="31"/>
          <w:spacing w:val="14"/>
        </w:rPr>
        <w:t>《中华人民共和国尘肺病防治条例》第二十三条第(三)项</w:t>
      </w:r>
      <w:r>
        <w:rPr>
          <w:rFonts w:ascii="FangSong" w:hAnsi="FangSong" w:eastAsia="FangSong" w:cs="FangSong"/>
          <w:sz w:val="31"/>
          <w:szCs w:val="31"/>
          <w:spacing w:val="14"/>
        </w:rPr>
        <w:t xml:space="preserve"> </w:t>
      </w:r>
      <w:r>
        <w:rPr>
          <w:rFonts w:ascii="FangSong" w:hAnsi="FangSong" w:eastAsia="FangSong" w:cs="FangSong"/>
          <w:sz w:val="31"/>
          <w:szCs w:val="31"/>
          <w:spacing w:val="13"/>
        </w:rPr>
        <w:t xml:space="preserve"> </w:t>
      </w:r>
      <w:r>
        <w:rPr>
          <w:rFonts w:ascii="FangSong" w:hAnsi="FangSong" w:eastAsia="FangSong" w:cs="FangSong"/>
          <w:sz w:val="31"/>
          <w:szCs w:val="31"/>
          <w:spacing w:val="13"/>
        </w:rPr>
        <w:t>凡违反《中华人民共和国尘肺病防</w:t>
      </w:r>
      <w:r>
        <w:rPr>
          <w:rFonts w:ascii="FangSong" w:hAnsi="FangSong" w:eastAsia="FangSong" w:cs="FangSong"/>
          <w:sz w:val="31"/>
          <w:szCs w:val="31"/>
        </w:rPr>
        <w:t xml:space="preserve"> </w:t>
      </w:r>
      <w:r>
        <w:rPr>
          <w:rFonts w:ascii="FangSong" w:hAnsi="FangSong" w:eastAsia="FangSong" w:cs="FangSong"/>
          <w:sz w:val="31"/>
          <w:szCs w:val="31"/>
          <w:spacing w:val="6"/>
        </w:rPr>
        <w:t>治条例》规定，有下列行为之一的，卫生行政部门和劳动部门，可视其情节轻重，给予警告、限期治</w:t>
      </w:r>
      <w:r>
        <w:rPr>
          <w:rFonts w:ascii="FangSong" w:hAnsi="FangSong" w:eastAsia="FangSong" w:cs="FangSong"/>
          <w:sz w:val="31"/>
          <w:szCs w:val="31"/>
          <w:spacing w:val="15"/>
        </w:rPr>
        <w:t xml:space="preserve"> </w:t>
      </w:r>
      <w:r>
        <w:rPr>
          <w:rFonts w:ascii="FangSong" w:hAnsi="FangSong" w:eastAsia="FangSong" w:cs="FangSong"/>
          <w:sz w:val="31"/>
          <w:szCs w:val="31"/>
          <w:spacing w:val="8"/>
        </w:rPr>
        <w:t>理、罚款和停业整顿的处罚。但停业整顿的处罚，需经当地人民政府同意。</w:t>
      </w:r>
    </w:p>
    <w:p>
      <w:pPr>
        <w:ind w:left="795"/>
        <w:spacing w:line="222" w:lineRule="auto"/>
        <w:rPr>
          <w:rFonts w:ascii="FangSong" w:hAnsi="FangSong" w:eastAsia="FangSong" w:cs="FangSong"/>
          <w:sz w:val="31"/>
          <w:szCs w:val="31"/>
        </w:rPr>
      </w:pPr>
      <w:r>
        <w:rPr>
          <w:rFonts w:ascii="FangSong" w:hAnsi="FangSong" w:eastAsia="FangSong" w:cs="FangSong"/>
          <w:sz w:val="31"/>
          <w:szCs w:val="31"/>
          <w:spacing w:val="17"/>
        </w:rPr>
        <w:t>(三)挪用防尘措施经费的；</w:t>
      </w:r>
    </w:p>
    <w:p>
      <w:pPr>
        <w:ind w:left="6429"/>
        <w:spacing w:before="195"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7214"/>
        <w:gridCol w:w="5222"/>
      </w:tblGrid>
      <w:tr>
        <w:trPr>
          <w:trHeight w:val="633" w:hRule="atLeast"/>
        </w:trPr>
        <w:tc>
          <w:tcPr>
            <w:tcW w:w="1404" w:type="dxa"/>
            <w:vAlign w:val="top"/>
          </w:tcPr>
          <w:p>
            <w:pPr>
              <w:pStyle w:val="TableText"/>
              <w:ind w:left="198"/>
              <w:spacing w:before="192" w:line="220" w:lineRule="auto"/>
              <w:rPr>
                <w:sz w:val="25"/>
                <w:szCs w:val="25"/>
              </w:rPr>
            </w:pPr>
            <w:r>
              <w:rPr>
                <w:sz w:val="25"/>
                <w:szCs w:val="25"/>
                <w:b/>
                <w:bCs/>
                <w:spacing w:val="-5"/>
              </w:rPr>
              <w:t>违法程度</w:t>
            </w:r>
          </w:p>
        </w:tc>
        <w:tc>
          <w:tcPr>
            <w:tcW w:w="7214" w:type="dxa"/>
            <w:vAlign w:val="top"/>
          </w:tcPr>
          <w:p>
            <w:pPr>
              <w:pStyle w:val="TableText"/>
              <w:ind w:left="3034"/>
              <w:spacing w:before="192" w:line="220" w:lineRule="auto"/>
              <w:rPr>
                <w:sz w:val="25"/>
                <w:szCs w:val="25"/>
              </w:rPr>
            </w:pPr>
            <w:r>
              <w:rPr>
                <w:sz w:val="25"/>
                <w:szCs w:val="25"/>
                <w:b/>
                <w:bCs/>
                <w:spacing w:val="-5"/>
              </w:rPr>
              <w:t>情节后果</w:t>
            </w:r>
          </w:p>
        </w:tc>
        <w:tc>
          <w:tcPr>
            <w:tcW w:w="5222" w:type="dxa"/>
            <w:vAlign w:val="top"/>
          </w:tcPr>
          <w:p>
            <w:pPr>
              <w:pStyle w:val="TableText"/>
              <w:ind w:left="2110"/>
              <w:spacing w:before="189" w:line="218" w:lineRule="auto"/>
              <w:rPr>
                <w:sz w:val="25"/>
                <w:szCs w:val="25"/>
              </w:rPr>
            </w:pPr>
            <w:r>
              <w:rPr>
                <w:sz w:val="25"/>
                <w:szCs w:val="25"/>
                <w:b/>
                <w:bCs/>
                <w:spacing w:val="-5"/>
              </w:rPr>
              <w:t>裁量幅度</w:t>
            </w:r>
          </w:p>
        </w:tc>
      </w:tr>
      <w:tr>
        <w:trPr>
          <w:trHeight w:val="827" w:hRule="atLeast"/>
        </w:trPr>
        <w:tc>
          <w:tcPr>
            <w:tcW w:w="1404" w:type="dxa"/>
            <w:vAlign w:val="top"/>
          </w:tcPr>
          <w:p>
            <w:pPr>
              <w:pStyle w:val="TableText"/>
              <w:ind w:left="448"/>
              <w:spacing w:before="288" w:line="219" w:lineRule="auto"/>
              <w:rPr>
                <w:sz w:val="25"/>
                <w:szCs w:val="25"/>
              </w:rPr>
            </w:pPr>
            <w:r>
              <w:rPr>
                <w:sz w:val="25"/>
                <w:szCs w:val="25"/>
                <w:b/>
                <w:bCs/>
                <w:spacing w:val="-6"/>
              </w:rPr>
              <w:t>轻微</w:t>
            </w:r>
          </w:p>
        </w:tc>
        <w:tc>
          <w:tcPr>
            <w:tcW w:w="7214" w:type="dxa"/>
            <w:vAlign w:val="top"/>
          </w:tcPr>
          <w:p>
            <w:pPr>
              <w:pStyle w:val="TableText"/>
              <w:ind w:left="111"/>
              <w:spacing w:before="293" w:line="220" w:lineRule="auto"/>
              <w:rPr>
                <w:sz w:val="25"/>
                <w:szCs w:val="25"/>
              </w:rPr>
            </w:pPr>
            <w:r>
              <w:rPr>
                <w:sz w:val="25"/>
                <w:szCs w:val="25"/>
                <w:spacing w:val="1"/>
              </w:rPr>
              <w:t>挪用防尘措施经费不足1万元的</w:t>
            </w:r>
          </w:p>
        </w:tc>
        <w:tc>
          <w:tcPr>
            <w:tcW w:w="5222" w:type="dxa"/>
            <w:vAlign w:val="top"/>
          </w:tcPr>
          <w:p>
            <w:pPr>
              <w:pStyle w:val="TableText"/>
              <w:ind w:left="116" w:hanging="99"/>
              <w:spacing w:before="229" w:line="217" w:lineRule="auto"/>
              <w:rPr>
                <w:sz w:val="25"/>
                <w:szCs w:val="25"/>
              </w:rPr>
            </w:pPr>
            <w:r>
              <w:rPr>
                <w:sz w:val="25"/>
                <w:szCs w:val="25"/>
                <w:spacing w:val="-3"/>
              </w:rPr>
              <w:t>给予警告、责令限期改正、并处五千元以上一万</w:t>
            </w:r>
            <w:r>
              <w:rPr>
                <w:sz w:val="25"/>
                <w:szCs w:val="25"/>
                <w:spacing w:val="6"/>
              </w:rPr>
              <w:t xml:space="preserve"> </w:t>
            </w:r>
            <w:r>
              <w:rPr>
                <w:sz w:val="25"/>
                <w:szCs w:val="25"/>
                <w:spacing w:val="1"/>
              </w:rPr>
              <w:t>元以下的罚款</w:t>
            </w:r>
          </w:p>
        </w:tc>
      </w:tr>
      <w:tr>
        <w:trPr>
          <w:trHeight w:val="678" w:hRule="atLeast"/>
        </w:trPr>
        <w:tc>
          <w:tcPr>
            <w:tcW w:w="1404" w:type="dxa"/>
            <w:vAlign w:val="top"/>
          </w:tcPr>
          <w:p>
            <w:pPr>
              <w:pStyle w:val="TableText"/>
              <w:ind w:left="448"/>
              <w:spacing w:before="293" w:line="221" w:lineRule="auto"/>
              <w:rPr>
                <w:sz w:val="25"/>
                <w:szCs w:val="25"/>
              </w:rPr>
            </w:pPr>
            <w:r>
              <w:rPr>
                <w:sz w:val="25"/>
                <w:szCs w:val="25"/>
                <w:b/>
                <w:bCs/>
                <w:spacing w:val="-10"/>
              </w:rPr>
              <w:t>一般</w:t>
            </w:r>
          </w:p>
        </w:tc>
        <w:tc>
          <w:tcPr>
            <w:tcW w:w="7214" w:type="dxa"/>
            <w:vAlign w:val="top"/>
          </w:tcPr>
          <w:p>
            <w:pPr>
              <w:pStyle w:val="TableText"/>
              <w:ind w:left="111"/>
              <w:spacing w:before="226" w:line="220" w:lineRule="auto"/>
              <w:rPr>
                <w:sz w:val="25"/>
                <w:szCs w:val="25"/>
              </w:rPr>
            </w:pPr>
            <w:r>
              <w:rPr>
                <w:sz w:val="25"/>
                <w:szCs w:val="25"/>
                <w:spacing w:val="1"/>
              </w:rPr>
              <w:t>挪用防尘措施经费1万元以上2万元以下的</w:t>
            </w:r>
          </w:p>
        </w:tc>
        <w:tc>
          <w:tcPr>
            <w:tcW w:w="5222" w:type="dxa"/>
            <w:vAlign w:val="top"/>
          </w:tcPr>
          <w:p>
            <w:pPr>
              <w:pStyle w:val="TableText"/>
              <w:ind w:left="116" w:hanging="99"/>
              <w:spacing w:before="82" w:line="216" w:lineRule="auto"/>
              <w:rPr>
                <w:sz w:val="25"/>
                <w:szCs w:val="25"/>
              </w:rPr>
            </w:pPr>
            <w:r>
              <w:rPr>
                <w:sz w:val="25"/>
                <w:szCs w:val="25"/>
                <w:spacing w:val="-3"/>
              </w:rPr>
              <w:t>给予警告、责令限期改正、并处一万元以上二万</w:t>
            </w:r>
            <w:r>
              <w:rPr>
                <w:sz w:val="25"/>
                <w:szCs w:val="25"/>
                <w:spacing w:val="6"/>
              </w:rPr>
              <w:t xml:space="preserve"> </w:t>
            </w:r>
            <w:r>
              <w:rPr>
                <w:sz w:val="25"/>
                <w:szCs w:val="25"/>
                <w:spacing w:val="1"/>
              </w:rPr>
              <w:t>元以下的罚款</w:t>
            </w:r>
          </w:p>
        </w:tc>
      </w:tr>
      <w:tr>
        <w:trPr>
          <w:trHeight w:val="718" w:hRule="atLeast"/>
        </w:trPr>
        <w:tc>
          <w:tcPr>
            <w:tcW w:w="1404" w:type="dxa"/>
            <w:vAlign w:val="top"/>
          </w:tcPr>
          <w:p>
            <w:pPr>
              <w:pStyle w:val="TableText"/>
              <w:ind w:left="448"/>
              <w:spacing w:before="307" w:line="221" w:lineRule="auto"/>
              <w:rPr>
                <w:sz w:val="25"/>
                <w:szCs w:val="25"/>
              </w:rPr>
            </w:pPr>
            <w:r>
              <w:rPr>
                <w:sz w:val="25"/>
                <w:szCs w:val="25"/>
                <w:b/>
                <w:bCs/>
                <w:spacing w:val="-6"/>
              </w:rPr>
              <w:t>较重</w:t>
            </w:r>
          </w:p>
        </w:tc>
        <w:tc>
          <w:tcPr>
            <w:tcW w:w="7214" w:type="dxa"/>
            <w:vAlign w:val="top"/>
          </w:tcPr>
          <w:p>
            <w:pPr>
              <w:pStyle w:val="TableText"/>
              <w:ind w:left="111"/>
              <w:spacing w:before="248" w:line="220" w:lineRule="auto"/>
              <w:rPr>
                <w:sz w:val="25"/>
                <w:szCs w:val="25"/>
              </w:rPr>
            </w:pPr>
            <w:r>
              <w:rPr>
                <w:sz w:val="25"/>
                <w:szCs w:val="25"/>
                <w:spacing w:val="1"/>
              </w:rPr>
              <w:t>挪用防尘措施经费2万元以上3万元以下的</w:t>
            </w:r>
          </w:p>
        </w:tc>
        <w:tc>
          <w:tcPr>
            <w:tcW w:w="5222" w:type="dxa"/>
            <w:vAlign w:val="top"/>
          </w:tcPr>
          <w:p>
            <w:pPr>
              <w:pStyle w:val="TableText"/>
              <w:ind w:left="116" w:hanging="99"/>
              <w:spacing w:before="95" w:line="226" w:lineRule="auto"/>
              <w:rPr>
                <w:sz w:val="25"/>
                <w:szCs w:val="25"/>
              </w:rPr>
            </w:pPr>
            <w:r>
              <w:rPr>
                <w:sz w:val="25"/>
                <w:szCs w:val="25"/>
                <w:spacing w:val="-3"/>
              </w:rPr>
              <w:t>给予警告、责令限期改正、并处两万元以上三万</w:t>
            </w:r>
            <w:r>
              <w:rPr>
                <w:sz w:val="25"/>
                <w:szCs w:val="25"/>
                <w:spacing w:val="6"/>
              </w:rPr>
              <w:t xml:space="preserve"> </w:t>
            </w:r>
            <w:r>
              <w:rPr>
                <w:sz w:val="25"/>
                <w:szCs w:val="25"/>
                <w:spacing w:val="1"/>
              </w:rPr>
              <w:t>元以下的罚款</w:t>
            </w:r>
          </w:p>
        </w:tc>
      </w:tr>
      <w:tr>
        <w:trPr>
          <w:trHeight w:val="743" w:hRule="atLeast"/>
        </w:trPr>
        <w:tc>
          <w:tcPr>
            <w:tcW w:w="1404" w:type="dxa"/>
            <w:vAlign w:val="top"/>
          </w:tcPr>
          <w:p>
            <w:pPr>
              <w:pStyle w:val="TableText"/>
              <w:ind w:left="448"/>
              <w:spacing w:before="306" w:line="220" w:lineRule="auto"/>
              <w:rPr>
                <w:sz w:val="25"/>
                <w:szCs w:val="25"/>
              </w:rPr>
            </w:pPr>
            <w:r>
              <w:rPr>
                <w:sz w:val="25"/>
                <w:szCs w:val="25"/>
                <w:b/>
                <w:bCs/>
                <w:spacing w:val="-6"/>
              </w:rPr>
              <w:t>严重</w:t>
            </w:r>
          </w:p>
        </w:tc>
        <w:tc>
          <w:tcPr>
            <w:tcW w:w="7214" w:type="dxa"/>
            <w:vAlign w:val="top"/>
          </w:tcPr>
          <w:p>
            <w:pPr>
              <w:pStyle w:val="TableText"/>
              <w:ind w:left="111"/>
              <w:spacing w:before="260" w:line="220" w:lineRule="auto"/>
              <w:rPr>
                <w:sz w:val="25"/>
                <w:szCs w:val="25"/>
              </w:rPr>
            </w:pPr>
            <w:r>
              <w:rPr>
                <w:sz w:val="25"/>
                <w:szCs w:val="25"/>
                <w:spacing w:val="1"/>
              </w:rPr>
              <w:t>挪用防尘措施经费3万元以上的，或造成严重后果的</w:t>
            </w:r>
          </w:p>
        </w:tc>
        <w:tc>
          <w:tcPr>
            <w:tcW w:w="5222" w:type="dxa"/>
            <w:vAlign w:val="top"/>
          </w:tcPr>
          <w:p>
            <w:pPr>
              <w:pStyle w:val="TableText"/>
              <w:ind w:left="105" w:hanging="88"/>
              <w:spacing w:before="107" w:line="231" w:lineRule="auto"/>
              <w:rPr>
                <w:sz w:val="25"/>
                <w:szCs w:val="25"/>
              </w:rPr>
            </w:pPr>
            <w:r>
              <w:rPr>
                <w:sz w:val="25"/>
                <w:szCs w:val="25"/>
                <w:spacing w:val="-14"/>
              </w:rPr>
              <w:t>给予警告、责令限期改正、并处三万元以上罚款，</w:t>
            </w:r>
            <w:r>
              <w:rPr>
                <w:sz w:val="25"/>
                <w:szCs w:val="25"/>
                <w:spacing w:val="1"/>
              </w:rPr>
              <w:t xml:space="preserve"> </w:t>
            </w:r>
            <w:r>
              <w:rPr>
                <w:sz w:val="25"/>
                <w:szCs w:val="25"/>
                <w:spacing w:val="-5"/>
              </w:rPr>
              <w:t>可以提请当地人民政府停业整顿</w:t>
            </w:r>
          </w:p>
        </w:tc>
      </w:tr>
    </w:tbl>
    <w:p>
      <w:pPr>
        <w:pStyle w:val="BodyText"/>
        <w:spacing w:line="443" w:lineRule="auto"/>
        <w:rPr/>
      </w:pPr>
      <w:r/>
    </w:p>
    <w:p>
      <w:pPr>
        <w:ind w:left="659"/>
        <w:spacing w:before="102" w:line="220" w:lineRule="auto"/>
        <w:rPr>
          <w:rFonts w:ascii="FangSong" w:hAnsi="FangSong" w:eastAsia="FangSong" w:cs="FangSong"/>
          <w:sz w:val="31"/>
          <w:szCs w:val="31"/>
        </w:rPr>
      </w:pPr>
      <w:r>
        <w:rPr>
          <w:rFonts w:ascii="FangSong" w:hAnsi="FangSong" w:eastAsia="FangSong" w:cs="FangSong"/>
          <w:sz w:val="31"/>
          <w:szCs w:val="31"/>
          <w:b/>
          <w:bCs/>
          <w:spacing w:val="11"/>
        </w:rPr>
        <w:t>第四百八十五条超出资质认可或者诊疗项目登记范围从事职业卫生技术服务或</w:t>
      </w:r>
      <w:r>
        <w:rPr>
          <w:rFonts w:ascii="FangSong" w:hAnsi="FangSong" w:eastAsia="FangSong" w:cs="FangSong"/>
          <w:sz w:val="31"/>
          <w:szCs w:val="31"/>
          <w:b/>
          <w:bCs/>
          <w:spacing w:val="10"/>
        </w:rPr>
        <w:t>者职业病诊断</w:t>
      </w:r>
    </w:p>
    <w:p>
      <w:pPr>
        <w:ind w:left="5"/>
        <w:spacing w:before="55" w:line="227" w:lineRule="auto"/>
        <w:rPr>
          <w:rFonts w:ascii="FangSong" w:hAnsi="FangSong" w:eastAsia="FangSong" w:cs="FangSong"/>
          <w:sz w:val="31"/>
          <w:szCs w:val="31"/>
        </w:rPr>
      </w:pPr>
      <w:r>
        <w:rPr>
          <w:rFonts w:ascii="FangSong" w:hAnsi="FangSong" w:eastAsia="FangSong" w:cs="FangSong"/>
          <w:sz w:val="31"/>
          <w:szCs w:val="31"/>
        </w:rPr>
        <w:t>的</w:t>
      </w:r>
    </w:p>
    <w:p>
      <w:pPr>
        <w:pStyle w:val="BodyText"/>
        <w:spacing w:line="327" w:lineRule="auto"/>
        <w:rPr/>
      </w:pPr>
      <w:r/>
    </w:p>
    <w:p>
      <w:pPr>
        <w:pStyle w:val="BodyText"/>
        <w:spacing w:line="327" w:lineRule="auto"/>
        <w:rPr/>
      </w:pPr>
      <w:r/>
    </w:p>
    <w:p>
      <w:pPr>
        <w:ind w:left="6345"/>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—584—</w:t>
      </w:r>
    </w:p>
    <w:p>
      <w:pPr>
        <w:spacing w:line="188" w:lineRule="auto"/>
        <w:sectPr>
          <w:footerReference w:type="default" r:id="rId24"/>
          <w:pgSz w:w="16830" w:h="11900"/>
          <w:pgMar w:top="1011" w:right="1467" w:bottom="400" w:left="1434" w:header="0" w:footer="0" w:gutter="0"/>
        </w:sectPr>
        <w:rPr>
          <w:rFonts w:ascii="Times New Roman" w:hAnsi="Times New Roman" w:eastAsia="Times New Roman" w:cs="Times New Roman"/>
          <w:sz w:val="37"/>
          <w:szCs w:val="37"/>
        </w:rPr>
      </w:pPr>
    </w:p>
    <w:p>
      <w:pPr>
        <w:pStyle w:val="BodyText"/>
        <w:spacing w:line="265" w:lineRule="auto"/>
        <w:rPr/>
      </w:pPr>
      <w:r/>
    </w:p>
    <w:p>
      <w:pPr>
        <w:pStyle w:val="BodyText"/>
        <w:spacing w:line="265" w:lineRule="auto"/>
        <w:rPr/>
      </w:pPr>
      <w:r/>
    </w:p>
    <w:p>
      <w:pPr>
        <w:pStyle w:val="BodyText"/>
        <w:spacing w:line="266" w:lineRule="auto"/>
        <w:rPr/>
      </w:pPr>
      <w:r/>
    </w:p>
    <w:p>
      <w:pPr>
        <w:ind w:left="659"/>
        <w:spacing w:before="97" w:line="222" w:lineRule="auto"/>
        <w:rPr>
          <w:rFonts w:ascii="FangSong" w:hAnsi="FangSong" w:eastAsia="FangSong" w:cs="FangSong"/>
          <w:sz w:val="30"/>
          <w:szCs w:val="30"/>
        </w:rPr>
      </w:pPr>
      <w:r>
        <w:rPr>
          <w:rFonts w:ascii="FangSong" w:hAnsi="FangSong" w:eastAsia="FangSong" w:cs="FangSong"/>
          <w:sz w:val="30"/>
          <w:szCs w:val="30"/>
        </w:rPr>
        <w:t>法律依据：</w:t>
      </w:r>
    </w:p>
    <w:p>
      <w:pPr>
        <w:ind w:right="91" w:firstLine="659"/>
        <w:spacing w:before="54" w:line="271" w:lineRule="auto"/>
        <w:jc w:val="both"/>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《中华人民共和国职业病防治法》第八十条第(一)项</w:t>
      </w:r>
      <w:r>
        <w:rPr>
          <w:rFonts w:ascii="FangSong" w:hAnsi="FangSong" w:eastAsia="FangSong" w:cs="FangSong"/>
          <w:sz w:val="30"/>
          <w:szCs w:val="30"/>
          <w:spacing w:val="19"/>
        </w:rPr>
        <w:t xml:space="preserve">  </w:t>
      </w:r>
      <w:r>
        <w:rPr>
          <w:rFonts w:ascii="FangSong" w:hAnsi="FangSong" w:eastAsia="FangSong" w:cs="FangSong"/>
          <w:sz w:val="30"/>
          <w:szCs w:val="30"/>
          <w:spacing w:val="19"/>
        </w:rPr>
        <w:t>从事职业卫生技术服务的机构和承担</w:t>
      </w:r>
      <w:r>
        <w:rPr>
          <w:rFonts w:ascii="FangSong" w:hAnsi="FangSong" w:eastAsia="FangSong" w:cs="FangSong"/>
          <w:sz w:val="30"/>
          <w:szCs w:val="30"/>
          <w:spacing w:val="2"/>
        </w:rPr>
        <w:t xml:space="preserve"> </w:t>
      </w:r>
      <w:r>
        <w:rPr>
          <w:rFonts w:ascii="FangSong" w:hAnsi="FangSong" w:eastAsia="FangSong" w:cs="FangSong"/>
          <w:sz w:val="30"/>
          <w:szCs w:val="30"/>
          <w:spacing w:val="17"/>
        </w:rPr>
        <w:t>职业病诊断的医疗卫生机构违反《中华人民共和国职业病防治法》</w:t>
      </w:r>
      <w:r>
        <w:rPr>
          <w:rFonts w:ascii="FangSong" w:hAnsi="FangSong" w:eastAsia="FangSong" w:cs="FangSong"/>
          <w:sz w:val="30"/>
          <w:szCs w:val="30"/>
          <w:spacing w:val="16"/>
        </w:rPr>
        <w:t>规定，有下列行为之一的，由卫生</w:t>
      </w:r>
      <w:r>
        <w:rPr>
          <w:rFonts w:ascii="FangSong" w:hAnsi="FangSong" w:eastAsia="FangSong" w:cs="FangSong"/>
          <w:sz w:val="30"/>
          <w:szCs w:val="30"/>
        </w:rPr>
        <w:t xml:space="preserve"> </w:t>
      </w:r>
      <w:r>
        <w:rPr>
          <w:rFonts w:ascii="FangSong" w:hAnsi="FangSong" w:eastAsia="FangSong" w:cs="FangSong"/>
          <w:sz w:val="30"/>
          <w:szCs w:val="30"/>
          <w:spacing w:val="17"/>
        </w:rPr>
        <w:t>行政部门责令立即停止违法行为，给予警告，没收违</w:t>
      </w:r>
      <w:r>
        <w:rPr>
          <w:rFonts w:ascii="FangSong" w:hAnsi="FangSong" w:eastAsia="FangSong" w:cs="FangSong"/>
          <w:sz w:val="30"/>
          <w:szCs w:val="30"/>
          <w:spacing w:val="16"/>
        </w:rPr>
        <w:t>法所得；违法所得五千元以上的，并处违法所得</w:t>
      </w:r>
      <w:r>
        <w:rPr>
          <w:rFonts w:ascii="FangSong" w:hAnsi="FangSong" w:eastAsia="FangSong" w:cs="FangSong"/>
          <w:sz w:val="30"/>
          <w:szCs w:val="30"/>
        </w:rPr>
        <w:t xml:space="preserve"> </w:t>
      </w:r>
      <w:r>
        <w:rPr>
          <w:rFonts w:ascii="FangSong" w:hAnsi="FangSong" w:eastAsia="FangSong" w:cs="FangSong"/>
          <w:sz w:val="30"/>
          <w:szCs w:val="30"/>
          <w:spacing w:val="16"/>
        </w:rPr>
        <w:t>二倍以上五倍以下的罚款；没有违法所得或者违法所得不足五千元的，并处五千元以上二万元以下的</w:t>
      </w:r>
      <w:r>
        <w:rPr>
          <w:rFonts w:ascii="FangSong" w:hAnsi="FangSong" w:eastAsia="FangSong" w:cs="FangSong"/>
          <w:sz w:val="30"/>
          <w:szCs w:val="30"/>
          <w:spacing w:val="4"/>
        </w:rPr>
        <w:t xml:space="preserve"> </w:t>
      </w:r>
      <w:r>
        <w:rPr>
          <w:rFonts w:ascii="FangSong" w:hAnsi="FangSong" w:eastAsia="FangSong" w:cs="FangSong"/>
          <w:sz w:val="30"/>
          <w:szCs w:val="30"/>
          <w:spacing w:val="16"/>
        </w:rPr>
        <w:t>罚款；情节严重的，由原认可或者登记机关取消其相应的资格；对直接负责的主管人员和其他直接责</w:t>
      </w:r>
      <w:r>
        <w:rPr>
          <w:rFonts w:ascii="FangSong" w:hAnsi="FangSong" w:eastAsia="FangSong" w:cs="FangSong"/>
          <w:sz w:val="30"/>
          <w:szCs w:val="30"/>
          <w:spacing w:val="2"/>
        </w:rPr>
        <w:t xml:space="preserve"> </w:t>
      </w:r>
      <w:r>
        <w:rPr>
          <w:rFonts w:ascii="FangSong" w:hAnsi="FangSong" w:eastAsia="FangSong" w:cs="FangSong"/>
          <w:sz w:val="30"/>
          <w:szCs w:val="30"/>
          <w:spacing w:val="17"/>
        </w:rPr>
        <w:t>任人员，依法给予降级、撤职或者开除的处分；构成犯罪的，依法追究刑事责任：</w:t>
      </w:r>
    </w:p>
    <w:p>
      <w:pPr>
        <w:ind w:left="769"/>
        <w:spacing w:before="1" w:line="220" w:lineRule="auto"/>
        <w:rPr>
          <w:rFonts w:ascii="FangSong" w:hAnsi="FangSong" w:eastAsia="FangSong" w:cs="FangSong"/>
          <w:sz w:val="30"/>
          <w:szCs w:val="30"/>
        </w:rPr>
      </w:pPr>
      <w:r>
        <w:rPr>
          <w:rFonts w:ascii="FangSong" w:hAnsi="FangSong" w:eastAsia="FangSong" w:cs="FangSong"/>
          <w:sz w:val="30"/>
          <w:szCs w:val="30"/>
          <w:spacing w:val="22"/>
        </w:rPr>
        <w:t>(一)超出资质认可或者诊疗项目登记范围从事职业卫生技术服务或者职业病诊断的；</w:t>
      </w:r>
    </w:p>
    <w:p>
      <w:pPr>
        <w:ind w:right="29" w:firstLine="659"/>
        <w:spacing w:before="63" w:line="253" w:lineRule="auto"/>
        <w:jc w:val="both"/>
        <w:rPr>
          <w:rFonts w:ascii="FangSong" w:hAnsi="FangSong" w:eastAsia="FangSong" w:cs="FangSong"/>
          <w:sz w:val="30"/>
          <w:szCs w:val="30"/>
        </w:rPr>
      </w:pPr>
      <w:r>
        <w:rPr>
          <w:rFonts w:ascii="FangSong" w:hAnsi="FangSong" w:eastAsia="FangSong" w:cs="FangSong"/>
          <w:sz w:val="30"/>
          <w:szCs w:val="30"/>
          <w:spacing w:val="19"/>
        </w:rPr>
        <w:t>2.</w:t>
      </w:r>
      <w:r>
        <w:rPr>
          <w:rFonts w:ascii="FangSong" w:hAnsi="FangSong" w:eastAsia="FangSong" w:cs="FangSong"/>
          <w:sz w:val="30"/>
          <w:szCs w:val="30"/>
          <w:spacing w:val="19"/>
        </w:rPr>
        <w:t xml:space="preserve"> </w:t>
      </w:r>
      <w:r>
        <w:rPr>
          <w:rFonts w:ascii="FangSong" w:hAnsi="FangSong" w:eastAsia="FangSong" w:cs="FangSong"/>
          <w:sz w:val="30"/>
          <w:szCs w:val="30"/>
          <w:spacing w:val="19"/>
        </w:rPr>
        <w:t>《职业卫生技术服务机构管理办法》第四十二条第(一)项</w:t>
      </w:r>
      <w:r>
        <w:rPr>
          <w:rFonts w:ascii="FangSong" w:hAnsi="FangSong" w:eastAsia="FangSong" w:cs="FangSong"/>
          <w:sz w:val="30"/>
          <w:szCs w:val="30"/>
          <w:spacing w:val="19"/>
        </w:rPr>
        <w:t xml:space="preserve"> </w:t>
      </w:r>
      <w:r>
        <w:rPr>
          <w:rFonts w:ascii="FangSong" w:hAnsi="FangSong" w:eastAsia="FangSong" w:cs="FangSong"/>
          <w:sz w:val="30"/>
          <w:szCs w:val="30"/>
          <w:spacing w:val="18"/>
        </w:rPr>
        <w:t xml:space="preserve"> </w:t>
      </w:r>
      <w:r>
        <w:rPr>
          <w:rFonts w:ascii="FangSong" w:hAnsi="FangSong" w:eastAsia="FangSong" w:cs="FangSong"/>
          <w:sz w:val="30"/>
          <w:szCs w:val="30"/>
          <w:spacing w:val="18"/>
        </w:rPr>
        <w:t>职业卫生技术服务机构有下列行</w:t>
      </w:r>
      <w:r>
        <w:rPr>
          <w:rFonts w:ascii="FangSong" w:hAnsi="FangSong" w:eastAsia="FangSong" w:cs="FangSong"/>
          <w:sz w:val="30"/>
          <w:szCs w:val="30"/>
        </w:rPr>
        <w:t xml:space="preserve"> </w:t>
      </w:r>
      <w:r>
        <w:rPr>
          <w:rFonts w:ascii="FangSong" w:hAnsi="FangSong" w:eastAsia="FangSong" w:cs="FangSong"/>
          <w:sz w:val="30"/>
          <w:szCs w:val="30"/>
          <w:spacing w:val="12"/>
        </w:rPr>
        <w:t>为之一的，由县级以上地方疾病预防控制主管部门责令立即停止违法行为，给</w:t>
      </w:r>
      <w:r>
        <w:rPr>
          <w:rFonts w:ascii="FangSong" w:hAnsi="FangSong" w:eastAsia="FangSong" w:cs="FangSong"/>
          <w:sz w:val="30"/>
          <w:szCs w:val="30"/>
          <w:spacing w:val="11"/>
        </w:rPr>
        <w:t>予警告，没收违法所得；</w:t>
      </w:r>
      <w:r>
        <w:rPr>
          <w:rFonts w:ascii="FangSong" w:hAnsi="FangSong" w:eastAsia="FangSong" w:cs="FangSong"/>
          <w:sz w:val="30"/>
          <w:szCs w:val="30"/>
        </w:rPr>
        <w:t xml:space="preserve"> </w:t>
      </w:r>
      <w:r>
        <w:rPr>
          <w:rFonts w:ascii="FangSong" w:hAnsi="FangSong" w:eastAsia="FangSong" w:cs="FangSong"/>
          <w:sz w:val="30"/>
          <w:szCs w:val="30"/>
          <w:spacing w:val="17"/>
        </w:rPr>
        <w:t>违法所得五千元以上的，并处违法所得二倍以上五倍以下的罚款；没有违法所</w:t>
      </w:r>
      <w:r>
        <w:rPr>
          <w:rFonts w:ascii="FangSong" w:hAnsi="FangSong" w:eastAsia="FangSong" w:cs="FangSong"/>
          <w:sz w:val="30"/>
          <w:szCs w:val="30"/>
          <w:spacing w:val="16"/>
        </w:rPr>
        <w:t>得或者违法所得不足五</w:t>
      </w:r>
      <w:r>
        <w:rPr>
          <w:rFonts w:ascii="FangSong" w:hAnsi="FangSong" w:eastAsia="FangSong" w:cs="FangSong"/>
          <w:sz w:val="30"/>
          <w:szCs w:val="30"/>
        </w:rPr>
        <w:t xml:space="preserve"> </w:t>
      </w:r>
      <w:r>
        <w:rPr>
          <w:rFonts w:ascii="FangSong" w:hAnsi="FangSong" w:eastAsia="FangSong" w:cs="FangSong"/>
          <w:sz w:val="30"/>
          <w:szCs w:val="30"/>
          <w:spacing w:val="17"/>
        </w:rPr>
        <w:t>千元的，并处五千元以上二万元以下的罚款；情节严重的，由原资</w:t>
      </w:r>
      <w:r>
        <w:rPr>
          <w:rFonts w:ascii="FangSong" w:hAnsi="FangSong" w:eastAsia="FangSong" w:cs="FangSong"/>
          <w:sz w:val="30"/>
          <w:szCs w:val="30"/>
          <w:spacing w:val="16"/>
        </w:rPr>
        <w:t>质认可机关取消其资质认可；对直</w:t>
      </w:r>
      <w:r>
        <w:rPr>
          <w:rFonts w:ascii="FangSong" w:hAnsi="FangSong" w:eastAsia="FangSong" w:cs="FangSong"/>
          <w:sz w:val="30"/>
          <w:szCs w:val="30"/>
        </w:rPr>
        <w:t xml:space="preserve"> </w:t>
      </w:r>
      <w:r>
        <w:rPr>
          <w:rFonts w:ascii="FangSong" w:hAnsi="FangSong" w:eastAsia="FangSong" w:cs="FangSong"/>
          <w:sz w:val="30"/>
          <w:szCs w:val="30"/>
          <w:spacing w:val="17"/>
        </w:rPr>
        <w:t>接负责的主管人员和其他责任人员，依法给予降级、撤职或者开除的处分；构成犯罪的，依</w:t>
      </w:r>
      <w:r>
        <w:rPr>
          <w:rFonts w:ascii="FangSong" w:hAnsi="FangSong" w:eastAsia="FangSong" w:cs="FangSong"/>
          <w:sz w:val="30"/>
          <w:szCs w:val="30"/>
          <w:spacing w:val="16"/>
        </w:rPr>
        <w:t>法追究刑</w:t>
      </w:r>
      <w:r>
        <w:rPr>
          <w:rFonts w:ascii="FangSong" w:hAnsi="FangSong" w:eastAsia="FangSong" w:cs="FangSong"/>
          <w:sz w:val="30"/>
          <w:szCs w:val="30"/>
        </w:rPr>
        <w:t xml:space="preserve"> </w:t>
      </w:r>
      <w:r>
        <w:rPr>
          <w:rFonts w:ascii="FangSong" w:hAnsi="FangSong" w:eastAsia="FangSong" w:cs="FangSong"/>
          <w:sz w:val="30"/>
          <w:szCs w:val="30"/>
          <w:spacing w:val="-2"/>
        </w:rPr>
        <w:t>事责任：</w:t>
      </w:r>
    </w:p>
    <w:p>
      <w:pPr>
        <w:ind w:left="769"/>
        <w:spacing w:before="264" w:line="222" w:lineRule="auto"/>
        <w:rPr>
          <w:rFonts w:ascii="FangSong" w:hAnsi="FangSong" w:eastAsia="FangSong" w:cs="FangSong"/>
          <w:sz w:val="30"/>
          <w:szCs w:val="30"/>
        </w:rPr>
      </w:pPr>
      <w:r>
        <w:rPr>
          <w:rFonts w:ascii="FangSong" w:hAnsi="FangSong" w:eastAsia="FangSong" w:cs="FangSong"/>
          <w:sz w:val="30"/>
          <w:szCs w:val="30"/>
          <w:spacing w:val="23"/>
        </w:rPr>
        <w:t>(一)超出资质认可范围从事职业卫生技术服务的；</w:t>
      </w:r>
    </w:p>
    <w:p>
      <w:pPr>
        <w:ind w:firstLine="659"/>
        <w:spacing w:before="57" w:line="252" w:lineRule="auto"/>
        <w:jc w:val="both"/>
        <w:rPr>
          <w:rFonts w:ascii="FangSong" w:hAnsi="FangSong" w:eastAsia="FangSong" w:cs="FangSong"/>
          <w:sz w:val="30"/>
          <w:szCs w:val="30"/>
        </w:rPr>
      </w:pPr>
      <w:r>
        <w:rPr>
          <w:rFonts w:ascii="FangSong" w:hAnsi="FangSong" w:eastAsia="FangSong" w:cs="FangSong"/>
          <w:sz w:val="30"/>
          <w:szCs w:val="30"/>
          <w:spacing w:val="17"/>
        </w:rPr>
        <w:t>3.</w:t>
      </w:r>
      <w:r>
        <w:rPr>
          <w:rFonts w:ascii="FangSong" w:hAnsi="FangSong" w:eastAsia="FangSong" w:cs="FangSong"/>
          <w:sz w:val="30"/>
          <w:szCs w:val="30"/>
          <w:spacing w:val="17"/>
        </w:rPr>
        <w:t xml:space="preserve"> </w:t>
      </w:r>
      <w:r>
        <w:rPr>
          <w:rFonts w:ascii="FangSong" w:hAnsi="FangSong" w:eastAsia="FangSong" w:cs="FangSong"/>
          <w:sz w:val="30"/>
          <w:szCs w:val="30"/>
          <w:spacing w:val="17"/>
        </w:rPr>
        <w:t>《职业病诊断与鉴定管理办法》第五十五条第(一)项</w:t>
      </w:r>
      <w:r>
        <w:rPr>
          <w:rFonts w:ascii="FangSong" w:hAnsi="FangSong" w:eastAsia="FangSong" w:cs="FangSong"/>
          <w:sz w:val="30"/>
          <w:szCs w:val="30"/>
          <w:spacing w:val="17"/>
        </w:rPr>
        <w:t xml:space="preserve">   </w:t>
      </w:r>
      <w:r>
        <w:rPr>
          <w:rFonts w:ascii="FangSong" w:hAnsi="FangSong" w:eastAsia="FangSong" w:cs="FangSong"/>
          <w:sz w:val="30"/>
          <w:szCs w:val="30"/>
          <w:spacing w:val="17"/>
        </w:rPr>
        <w:t>职业病诊断机构有下列行为之一的，</w:t>
      </w:r>
      <w:r>
        <w:rPr>
          <w:rFonts w:ascii="FangSong" w:hAnsi="FangSong" w:eastAsia="FangSong" w:cs="FangSong"/>
          <w:sz w:val="30"/>
          <w:szCs w:val="30"/>
          <w:spacing w:val="17"/>
        </w:rPr>
        <w:t xml:space="preserve"> </w:t>
      </w:r>
      <w:r>
        <w:rPr>
          <w:rFonts w:ascii="FangSong" w:hAnsi="FangSong" w:eastAsia="FangSong" w:cs="FangSong"/>
          <w:sz w:val="30"/>
          <w:szCs w:val="30"/>
          <w:spacing w:val="17"/>
        </w:rPr>
        <w:t>其作出的职业病诊断无效，由县级以上地方卫生健康主管部门按照《职业病防治法》的第八十条的规</w:t>
      </w:r>
      <w:r>
        <w:rPr>
          <w:rFonts w:ascii="FangSong" w:hAnsi="FangSong" w:eastAsia="FangSong" w:cs="FangSong"/>
          <w:sz w:val="30"/>
          <w:szCs w:val="30"/>
          <w:spacing w:val="2"/>
        </w:rPr>
        <w:t xml:space="preserve"> </w:t>
      </w:r>
      <w:r>
        <w:rPr>
          <w:rFonts w:ascii="FangSong" w:hAnsi="FangSong" w:eastAsia="FangSong" w:cs="FangSong"/>
          <w:sz w:val="30"/>
          <w:szCs w:val="30"/>
          <w:spacing w:val="5"/>
        </w:rPr>
        <w:t>定进行处理：</w:t>
      </w:r>
    </w:p>
    <w:p>
      <w:pPr>
        <w:ind w:left="769"/>
        <w:spacing w:before="2" w:line="220" w:lineRule="auto"/>
        <w:rPr>
          <w:rFonts w:ascii="FangSong" w:hAnsi="FangSong" w:eastAsia="FangSong" w:cs="FangSong"/>
          <w:sz w:val="30"/>
          <w:szCs w:val="30"/>
        </w:rPr>
      </w:pPr>
      <w:r>
        <w:rPr>
          <w:rFonts w:ascii="FangSong" w:hAnsi="FangSong" w:eastAsia="FangSong" w:cs="FangSong"/>
          <w:sz w:val="30"/>
          <w:szCs w:val="30"/>
          <w:spacing w:val="24"/>
        </w:rPr>
        <w:t>(一)超出诊疗项目登记范围从事职业病诊断的；</w:t>
      </w:r>
    </w:p>
    <w:p>
      <w:pPr>
        <w:spacing w:line="220" w:lineRule="auto"/>
        <w:sectPr>
          <w:footerReference w:type="default" r:id="rId521"/>
          <w:pgSz w:w="16830" w:h="11900"/>
          <w:pgMar w:top="1011" w:right="1339" w:bottom="1107" w:left="1430" w:header="0" w:footer="774" w:gutter="0"/>
        </w:sectPr>
        <w:rPr>
          <w:rFonts w:ascii="FangSong" w:hAnsi="FangSong" w:eastAsia="FangSong" w:cs="FangSong"/>
          <w:sz w:val="30"/>
          <w:szCs w:val="30"/>
        </w:rPr>
      </w:pPr>
    </w:p>
    <w:p>
      <w:pPr>
        <w:pStyle w:val="BodyText"/>
        <w:spacing w:line="345" w:lineRule="auto"/>
        <w:rPr/>
      </w:pPr>
      <w:r/>
    </w:p>
    <w:p>
      <w:pPr>
        <w:pStyle w:val="BodyText"/>
        <w:spacing w:line="345" w:lineRule="auto"/>
        <w:rPr/>
      </w:pPr>
      <w:r/>
    </w:p>
    <w:p>
      <w:pPr>
        <w:ind w:left="6428"/>
        <w:spacing w:before="91" w:line="196"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3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94"/>
        <w:gridCol w:w="8093"/>
        <w:gridCol w:w="3902"/>
      </w:tblGrid>
      <w:tr>
        <w:trPr>
          <w:trHeight w:val="504" w:hRule="atLeast"/>
        </w:trPr>
        <w:tc>
          <w:tcPr>
            <w:tcW w:w="1394" w:type="dxa"/>
            <w:vAlign w:val="top"/>
          </w:tcPr>
          <w:p>
            <w:pPr>
              <w:pStyle w:val="TableText"/>
              <w:ind w:left="188"/>
              <w:spacing w:before="182" w:line="220" w:lineRule="auto"/>
              <w:rPr>
                <w:sz w:val="25"/>
                <w:szCs w:val="25"/>
              </w:rPr>
            </w:pPr>
            <w:r>
              <w:rPr>
                <w:sz w:val="25"/>
                <w:szCs w:val="25"/>
                <w:b/>
                <w:bCs/>
                <w:spacing w:val="-5"/>
              </w:rPr>
              <w:t>违法程度</w:t>
            </w:r>
          </w:p>
        </w:tc>
        <w:tc>
          <w:tcPr>
            <w:tcW w:w="8093" w:type="dxa"/>
            <w:vAlign w:val="top"/>
          </w:tcPr>
          <w:p>
            <w:pPr>
              <w:pStyle w:val="TableText"/>
              <w:ind w:left="3544"/>
              <w:spacing w:before="202" w:line="215" w:lineRule="auto"/>
              <w:rPr>
                <w:sz w:val="25"/>
                <w:szCs w:val="25"/>
              </w:rPr>
            </w:pPr>
            <w:r>
              <w:rPr>
                <w:sz w:val="25"/>
                <w:szCs w:val="25"/>
                <w:b/>
                <w:bCs/>
                <w:spacing w:val="-5"/>
              </w:rPr>
              <w:t>情节后果</w:t>
            </w:r>
          </w:p>
        </w:tc>
        <w:tc>
          <w:tcPr>
            <w:tcW w:w="3902" w:type="dxa"/>
            <w:vAlign w:val="top"/>
          </w:tcPr>
          <w:p>
            <w:pPr>
              <w:pStyle w:val="TableText"/>
              <w:ind w:left="1451"/>
              <w:spacing w:before="200" w:line="217" w:lineRule="auto"/>
              <w:rPr>
                <w:sz w:val="25"/>
                <w:szCs w:val="25"/>
              </w:rPr>
            </w:pPr>
            <w:r>
              <w:rPr>
                <w:sz w:val="25"/>
                <w:szCs w:val="25"/>
                <w:b/>
                <w:bCs/>
                <w:spacing w:val="-5"/>
              </w:rPr>
              <w:t>裁量幅度</w:t>
            </w:r>
          </w:p>
        </w:tc>
      </w:tr>
      <w:tr>
        <w:trPr>
          <w:trHeight w:val="959" w:hRule="atLeast"/>
        </w:trPr>
        <w:tc>
          <w:tcPr>
            <w:tcW w:w="1394" w:type="dxa"/>
            <w:vAlign w:val="top"/>
          </w:tcPr>
          <w:p>
            <w:pPr>
              <w:spacing w:line="354" w:lineRule="auto"/>
              <w:rPr>
                <w:rFonts w:ascii="Arial"/>
                <w:sz w:val="21"/>
              </w:rPr>
            </w:pPr>
            <w:r/>
          </w:p>
          <w:p>
            <w:pPr>
              <w:pStyle w:val="TableText"/>
              <w:ind w:left="438"/>
              <w:spacing w:before="81" w:line="219" w:lineRule="auto"/>
              <w:rPr>
                <w:sz w:val="25"/>
                <w:szCs w:val="25"/>
              </w:rPr>
            </w:pPr>
            <w:r>
              <w:rPr>
                <w:sz w:val="25"/>
                <w:szCs w:val="25"/>
                <w:b/>
                <w:bCs/>
                <w:spacing w:val="-6"/>
              </w:rPr>
              <w:t>轻微</w:t>
            </w:r>
          </w:p>
        </w:tc>
        <w:tc>
          <w:tcPr>
            <w:tcW w:w="8093" w:type="dxa"/>
            <w:vAlign w:val="top"/>
          </w:tcPr>
          <w:p>
            <w:pPr>
              <w:pStyle w:val="TableText"/>
              <w:ind w:left="11" w:firstLine="29"/>
              <w:spacing w:before="39" w:line="224" w:lineRule="auto"/>
              <w:jc w:val="both"/>
              <w:rPr>
                <w:sz w:val="25"/>
                <w:szCs w:val="25"/>
              </w:rPr>
            </w:pPr>
            <w:r>
              <w:rPr>
                <w:sz w:val="25"/>
                <w:szCs w:val="25"/>
              </w:rPr>
              <w:t>从事职业卫生技术服务的机构和承担职业病诊断的医疗卫生机构超出资质</w:t>
            </w:r>
            <w:r>
              <w:rPr>
                <w:sz w:val="25"/>
                <w:szCs w:val="25"/>
                <w:spacing w:val="18"/>
              </w:rPr>
              <w:t xml:space="preserve"> </w:t>
            </w:r>
            <w:r>
              <w:rPr>
                <w:sz w:val="25"/>
                <w:szCs w:val="25"/>
                <w:spacing w:val="-6"/>
              </w:rPr>
              <w:t>认可或者诊疗项目登记范围从事职业卫生技术服务或者职业病诊断，没有违</w:t>
            </w:r>
            <w:r>
              <w:rPr>
                <w:sz w:val="25"/>
                <w:szCs w:val="25"/>
                <w:spacing w:val="18"/>
              </w:rPr>
              <w:t xml:space="preserve"> </w:t>
            </w:r>
            <w:r>
              <w:rPr>
                <w:sz w:val="25"/>
                <w:szCs w:val="25"/>
                <w:spacing w:val="8"/>
              </w:rPr>
              <w:t>法所得或违法所得无法认定的</w:t>
            </w:r>
          </w:p>
        </w:tc>
        <w:tc>
          <w:tcPr>
            <w:tcW w:w="3902" w:type="dxa"/>
            <w:vAlign w:val="top"/>
          </w:tcPr>
          <w:p>
            <w:pPr>
              <w:pStyle w:val="TableText"/>
              <w:ind w:left="66" w:hanging="58"/>
              <w:spacing w:before="279" w:line="247" w:lineRule="auto"/>
              <w:rPr>
                <w:sz w:val="25"/>
                <w:szCs w:val="25"/>
              </w:rPr>
            </w:pPr>
            <w:r>
              <w:rPr>
                <w:sz w:val="25"/>
                <w:szCs w:val="25"/>
                <w:spacing w:val="-8"/>
              </w:rPr>
              <w:t>责令立即停止违法行为，给予警告，</w:t>
            </w:r>
            <w:r>
              <w:rPr>
                <w:sz w:val="25"/>
                <w:szCs w:val="25"/>
                <w:spacing w:val="10"/>
              </w:rPr>
              <w:t xml:space="preserve"> </w:t>
            </w:r>
            <w:r>
              <w:rPr>
                <w:sz w:val="25"/>
                <w:szCs w:val="25"/>
                <w:spacing w:val="-6"/>
              </w:rPr>
              <w:t>并处五千元以上一万元以下的罚款</w:t>
            </w:r>
          </w:p>
        </w:tc>
      </w:tr>
      <w:tr>
        <w:trPr>
          <w:trHeight w:val="959" w:hRule="atLeast"/>
        </w:trPr>
        <w:tc>
          <w:tcPr>
            <w:tcW w:w="1394" w:type="dxa"/>
            <w:vAlign w:val="top"/>
          </w:tcPr>
          <w:p>
            <w:pPr>
              <w:spacing w:line="346" w:lineRule="auto"/>
              <w:rPr>
                <w:rFonts w:ascii="Arial"/>
                <w:sz w:val="21"/>
              </w:rPr>
            </w:pPr>
            <w:r/>
          </w:p>
          <w:p>
            <w:pPr>
              <w:pStyle w:val="TableText"/>
              <w:ind w:left="438"/>
              <w:spacing w:before="81" w:line="221" w:lineRule="auto"/>
              <w:rPr>
                <w:sz w:val="25"/>
                <w:szCs w:val="25"/>
              </w:rPr>
            </w:pPr>
            <w:r>
              <w:rPr>
                <w:sz w:val="25"/>
                <w:szCs w:val="25"/>
                <w:b/>
                <w:bCs/>
                <w:spacing w:val="-10"/>
              </w:rPr>
              <w:t>一般</w:t>
            </w:r>
          </w:p>
        </w:tc>
        <w:tc>
          <w:tcPr>
            <w:tcW w:w="8093" w:type="dxa"/>
            <w:vAlign w:val="top"/>
          </w:tcPr>
          <w:p>
            <w:pPr>
              <w:pStyle w:val="TableText"/>
              <w:ind w:left="11" w:firstLine="29"/>
              <w:spacing w:before="51" w:line="221" w:lineRule="auto"/>
              <w:jc w:val="both"/>
              <w:rPr>
                <w:sz w:val="25"/>
                <w:szCs w:val="25"/>
              </w:rPr>
            </w:pPr>
            <w:r>
              <w:rPr>
                <w:sz w:val="25"/>
                <w:szCs w:val="25"/>
                <w:spacing w:val="1"/>
              </w:rPr>
              <w:t>从事职业卫生技术服务的机构和承担职业病诊</w:t>
            </w:r>
            <w:r>
              <w:rPr>
                <w:sz w:val="25"/>
                <w:szCs w:val="25"/>
              </w:rPr>
              <w:t>断的医疗卫生机构超出资质 </w:t>
            </w:r>
            <w:r>
              <w:rPr>
                <w:sz w:val="25"/>
                <w:szCs w:val="25"/>
                <w:spacing w:val="-6"/>
              </w:rPr>
              <w:t>认可或者诊疗项目登记范围从事职业卫生技术服务或者职业病诊断，违法所</w:t>
            </w:r>
            <w:r>
              <w:rPr>
                <w:sz w:val="25"/>
                <w:szCs w:val="25"/>
                <w:spacing w:val="18"/>
              </w:rPr>
              <w:t xml:space="preserve"> </w:t>
            </w:r>
            <w:r>
              <w:rPr>
                <w:sz w:val="25"/>
                <w:szCs w:val="25"/>
                <w:spacing w:val="13"/>
              </w:rPr>
              <w:t>得不足五千元的</w:t>
            </w:r>
          </w:p>
        </w:tc>
        <w:tc>
          <w:tcPr>
            <w:tcW w:w="3902" w:type="dxa"/>
            <w:vAlign w:val="top"/>
          </w:tcPr>
          <w:p>
            <w:pPr>
              <w:pStyle w:val="TableText"/>
              <w:ind w:left="66" w:hanging="58"/>
              <w:spacing w:before="51" w:line="221" w:lineRule="auto"/>
              <w:jc w:val="both"/>
              <w:rPr>
                <w:sz w:val="25"/>
                <w:szCs w:val="25"/>
              </w:rPr>
            </w:pPr>
            <w:r>
              <w:rPr>
                <w:sz w:val="25"/>
                <w:szCs w:val="25"/>
                <w:spacing w:val="-8"/>
              </w:rPr>
              <w:t>责令立即停止违法行为，给予警告，</w:t>
            </w:r>
            <w:r>
              <w:rPr>
                <w:sz w:val="25"/>
                <w:szCs w:val="25"/>
                <w:spacing w:val="10"/>
              </w:rPr>
              <w:t xml:space="preserve"> </w:t>
            </w:r>
            <w:r>
              <w:rPr>
                <w:sz w:val="25"/>
                <w:szCs w:val="25"/>
                <w:spacing w:val="-7"/>
              </w:rPr>
              <w:t>没收违法所得，并处一万元以上二</w:t>
            </w:r>
            <w:r>
              <w:rPr>
                <w:sz w:val="25"/>
                <w:szCs w:val="25"/>
                <w:spacing w:val="6"/>
              </w:rPr>
              <w:t xml:space="preserve">  </w:t>
            </w:r>
            <w:r>
              <w:rPr>
                <w:sz w:val="25"/>
                <w:szCs w:val="25"/>
                <w:spacing w:val="1"/>
              </w:rPr>
              <w:t>万元以下的罚款</w:t>
            </w:r>
          </w:p>
        </w:tc>
      </w:tr>
      <w:tr>
        <w:trPr>
          <w:trHeight w:val="1048" w:hRule="atLeast"/>
        </w:trPr>
        <w:tc>
          <w:tcPr>
            <w:tcW w:w="1394" w:type="dxa"/>
            <w:vAlign w:val="top"/>
          </w:tcPr>
          <w:p>
            <w:pPr>
              <w:spacing w:line="399" w:lineRule="auto"/>
              <w:rPr>
                <w:rFonts w:ascii="Arial"/>
                <w:sz w:val="21"/>
              </w:rPr>
            </w:pPr>
            <w:r/>
          </w:p>
          <w:p>
            <w:pPr>
              <w:pStyle w:val="TableText"/>
              <w:ind w:left="438"/>
              <w:spacing w:before="81" w:line="221" w:lineRule="auto"/>
              <w:rPr>
                <w:sz w:val="25"/>
                <w:szCs w:val="25"/>
              </w:rPr>
            </w:pPr>
            <w:r>
              <w:rPr>
                <w:sz w:val="25"/>
                <w:szCs w:val="25"/>
                <w:b/>
                <w:bCs/>
                <w:spacing w:val="-6"/>
              </w:rPr>
              <w:t>较重</w:t>
            </w:r>
          </w:p>
        </w:tc>
        <w:tc>
          <w:tcPr>
            <w:tcW w:w="8093" w:type="dxa"/>
            <w:vAlign w:val="top"/>
          </w:tcPr>
          <w:p>
            <w:pPr>
              <w:pStyle w:val="TableText"/>
              <w:ind w:left="11" w:firstLine="29"/>
              <w:spacing w:before="71" w:line="238" w:lineRule="auto"/>
              <w:jc w:val="both"/>
              <w:rPr>
                <w:sz w:val="25"/>
                <w:szCs w:val="25"/>
              </w:rPr>
            </w:pPr>
            <w:r>
              <w:rPr>
                <w:sz w:val="25"/>
                <w:szCs w:val="25"/>
                <w:spacing w:val="1"/>
              </w:rPr>
              <w:t>从事职业卫生技术服务的机构和承担职业病诊</w:t>
            </w:r>
            <w:r>
              <w:rPr>
                <w:sz w:val="25"/>
                <w:szCs w:val="25"/>
              </w:rPr>
              <w:t>断的医疗卫生机构超出资质 </w:t>
            </w:r>
            <w:r>
              <w:rPr>
                <w:sz w:val="25"/>
                <w:szCs w:val="25"/>
                <w:spacing w:val="-6"/>
              </w:rPr>
              <w:t>认可或者诊疗项目登记范围从事职业卫生技术服务或者职业病诊断，违法所</w:t>
            </w:r>
            <w:r>
              <w:rPr>
                <w:sz w:val="25"/>
                <w:szCs w:val="25"/>
                <w:spacing w:val="18"/>
              </w:rPr>
              <w:t xml:space="preserve"> </w:t>
            </w:r>
            <w:r>
              <w:rPr>
                <w:sz w:val="25"/>
                <w:szCs w:val="25"/>
                <w:spacing w:val="8"/>
              </w:rPr>
              <w:t>得五千元以上五万元以下的</w:t>
            </w:r>
          </w:p>
        </w:tc>
        <w:tc>
          <w:tcPr>
            <w:tcW w:w="3902" w:type="dxa"/>
            <w:vAlign w:val="top"/>
          </w:tcPr>
          <w:p>
            <w:pPr>
              <w:pStyle w:val="TableText"/>
              <w:spacing w:before="101" w:line="218" w:lineRule="auto"/>
              <w:jc w:val="right"/>
              <w:rPr>
                <w:sz w:val="25"/>
                <w:szCs w:val="25"/>
              </w:rPr>
            </w:pPr>
            <w:r>
              <w:rPr>
                <w:sz w:val="25"/>
                <w:szCs w:val="25"/>
                <w:spacing w:val="-8"/>
              </w:rPr>
              <w:t>责令立即停止违法行为，给予警告，</w:t>
            </w:r>
          </w:p>
          <w:p>
            <w:pPr>
              <w:pStyle w:val="TableText"/>
              <w:ind w:left="137" w:right="64" w:hanging="70"/>
              <w:spacing w:before="26" w:line="227" w:lineRule="auto"/>
              <w:rPr>
                <w:sz w:val="25"/>
                <w:szCs w:val="25"/>
              </w:rPr>
            </w:pPr>
            <w:r>
              <w:rPr>
                <w:sz w:val="25"/>
                <w:szCs w:val="25"/>
              </w:rPr>
              <w:t>没收违法所得，并处违法所得二倍</w:t>
            </w:r>
            <w:r>
              <w:rPr>
                <w:sz w:val="25"/>
                <w:szCs w:val="25"/>
                <w:spacing w:val="8"/>
              </w:rPr>
              <w:t xml:space="preserve"> </w:t>
            </w:r>
            <w:r>
              <w:rPr>
                <w:sz w:val="25"/>
                <w:szCs w:val="25"/>
                <w:spacing w:val="1"/>
              </w:rPr>
              <w:t>以上四倍以下的罚款</w:t>
            </w:r>
          </w:p>
        </w:tc>
      </w:tr>
      <w:tr>
        <w:trPr>
          <w:trHeight w:val="959" w:hRule="atLeast"/>
        </w:trPr>
        <w:tc>
          <w:tcPr>
            <w:tcW w:w="1394" w:type="dxa"/>
            <w:vAlign w:val="top"/>
          </w:tcPr>
          <w:p>
            <w:pPr>
              <w:spacing w:line="359" w:lineRule="auto"/>
              <w:rPr>
                <w:rFonts w:ascii="Arial"/>
                <w:sz w:val="21"/>
              </w:rPr>
            </w:pPr>
            <w:r/>
          </w:p>
          <w:p>
            <w:pPr>
              <w:pStyle w:val="TableText"/>
              <w:ind w:left="438"/>
              <w:spacing w:before="81" w:line="220" w:lineRule="auto"/>
              <w:rPr>
                <w:sz w:val="25"/>
                <w:szCs w:val="25"/>
              </w:rPr>
            </w:pPr>
            <w:r>
              <w:rPr>
                <w:sz w:val="25"/>
                <w:szCs w:val="25"/>
                <w:b/>
                <w:bCs/>
                <w:spacing w:val="-6"/>
              </w:rPr>
              <w:t>严重</w:t>
            </w:r>
          </w:p>
        </w:tc>
        <w:tc>
          <w:tcPr>
            <w:tcW w:w="8093" w:type="dxa"/>
            <w:vAlign w:val="top"/>
          </w:tcPr>
          <w:p>
            <w:pPr>
              <w:pStyle w:val="TableText"/>
              <w:ind w:left="11" w:firstLine="29"/>
              <w:spacing w:before="34" w:line="225" w:lineRule="auto"/>
              <w:jc w:val="both"/>
              <w:rPr>
                <w:sz w:val="25"/>
                <w:szCs w:val="25"/>
              </w:rPr>
            </w:pPr>
            <w:r>
              <w:rPr>
                <w:sz w:val="25"/>
                <w:szCs w:val="25"/>
                <w:spacing w:val="1"/>
              </w:rPr>
              <w:t>从事职业卫生技术服务的机构和承担职业病诊</w:t>
            </w:r>
            <w:r>
              <w:rPr>
                <w:sz w:val="25"/>
                <w:szCs w:val="25"/>
              </w:rPr>
              <w:t>断的医疗卫生机构超出资质 </w:t>
            </w:r>
            <w:r>
              <w:rPr>
                <w:sz w:val="25"/>
                <w:szCs w:val="25"/>
                <w:spacing w:val="-6"/>
              </w:rPr>
              <w:t>认可或者诊疗项目登记范围从事职业卫生技术服务或者职业病诊断，违法所</w:t>
            </w:r>
            <w:r>
              <w:rPr>
                <w:sz w:val="25"/>
                <w:szCs w:val="25"/>
                <w:spacing w:val="18"/>
              </w:rPr>
              <w:t xml:space="preserve"> </w:t>
            </w:r>
            <w:r>
              <w:rPr>
                <w:sz w:val="25"/>
                <w:szCs w:val="25"/>
                <w:spacing w:val="8"/>
              </w:rPr>
              <w:t>得五万元以上十万元以下的</w:t>
            </w:r>
          </w:p>
        </w:tc>
        <w:tc>
          <w:tcPr>
            <w:tcW w:w="3902" w:type="dxa"/>
            <w:vAlign w:val="top"/>
          </w:tcPr>
          <w:p>
            <w:pPr>
              <w:pStyle w:val="TableText"/>
              <w:ind w:left="66" w:hanging="58"/>
              <w:spacing w:before="34" w:line="225" w:lineRule="auto"/>
              <w:jc w:val="both"/>
              <w:rPr>
                <w:sz w:val="25"/>
                <w:szCs w:val="25"/>
              </w:rPr>
            </w:pPr>
            <w:r>
              <w:rPr>
                <w:sz w:val="25"/>
                <w:szCs w:val="25"/>
                <w:spacing w:val="-8"/>
              </w:rPr>
              <w:t>责令立即停止违法行为，给予警告，</w:t>
            </w:r>
            <w:r>
              <w:rPr>
                <w:sz w:val="25"/>
                <w:szCs w:val="25"/>
                <w:spacing w:val="10"/>
              </w:rPr>
              <w:t xml:space="preserve"> </w:t>
            </w:r>
            <w:r>
              <w:rPr>
                <w:sz w:val="25"/>
                <w:szCs w:val="25"/>
                <w:spacing w:val="-7"/>
              </w:rPr>
              <w:t>没收违法所得，并处违法所得四倍</w:t>
            </w:r>
            <w:r>
              <w:rPr>
                <w:sz w:val="25"/>
                <w:szCs w:val="25"/>
                <w:spacing w:val="4"/>
              </w:rPr>
              <w:t xml:space="preserve">  </w:t>
            </w:r>
            <w:r>
              <w:rPr>
                <w:sz w:val="25"/>
                <w:szCs w:val="25"/>
                <w:spacing w:val="-1"/>
              </w:rPr>
              <w:t>以上五倍以下的罚款</w:t>
            </w:r>
          </w:p>
        </w:tc>
      </w:tr>
      <w:tr>
        <w:trPr>
          <w:trHeight w:val="3191" w:hRule="atLeast"/>
        </w:trPr>
        <w:tc>
          <w:tcPr>
            <w:tcW w:w="1394" w:type="dxa"/>
            <w:vAlign w:val="top"/>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438" w:right="432"/>
              <w:spacing w:before="82" w:line="372" w:lineRule="auto"/>
              <w:rPr>
                <w:sz w:val="25"/>
                <w:szCs w:val="25"/>
              </w:rPr>
            </w:pPr>
            <w:r>
              <w:rPr>
                <w:sz w:val="25"/>
                <w:szCs w:val="25"/>
                <w:b/>
                <w:bCs/>
                <w:spacing w:val="4"/>
              </w:rPr>
              <w:t>特别</w:t>
            </w:r>
            <w:r>
              <w:rPr>
                <w:sz w:val="25"/>
                <w:szCs w:val="25"/>
              </w:rPr>
              <w:t xml:space="preserve"> </w:t>
            </w:r>
            <w:r>
              <w:rPr>
                <w:sz w:val="25"/>
                <w:szCs w:val="25"/>
                <w:b/>
                <w:bCs/>
                <w:spacing w:val="-6"/>
              </w:rPr>
              <w:t>严重</w:t>
            </w:r>
          </w:p>
        </w:tc>
        <w:tc>
          <w:tcPr>
            <w:tcW w:w="8093" w:type="dxa"/>
            <w:vAlign w:val="top"/>
          </w:tcPr>
          <w:p>
            <w:pPr>
              <w:pStyle w:val="TableText"/>
              <w:ind w:left="100"/>
              <w:spacing w:before="47" w:line="220" w:lineRule="auto"/>
              <w:rPr>
                <w:sz w:val="25"/>
                <w:szCs w:val="25"/>
              </w:rPr>
            </w:pPr>
            <w:r>
              <w:rPr>
                <w:sz w:val="25"/>
                <w:szCs w:val="25"/>
                <w:spacing w:val="1"/>
              </w:rPr>
              <w:t>有下列情形之一的：</w:t>
            </w:r>
          </w:p>
          <w:p>
            <w:pPr>
              <w:pStyle w:val="TableText"/>
              <w:ind w:left="89" w:hanging="49"/>
              <w:spacing w:before="9" w:line="236" w:lineRule="auto"/>
              <w:rPr>
                <w:sz w:val="25"/>
                <w:szCs w:val="25"/>
              </w:rPr>
            </w:pPr>
            <w:r>
              <w:rPr>
                <w:sz w:val="25"/>
                <w:szCs w:val="25"/>
              </w:rPr>
              <w:t>A.从事职业卫生技术服务的机构和承担职业病诊断的医疗卫生机构超出资</w:t>
            </w:r>
            <w:r>
              <w:rPr>
                <w:sz w:val="25"/>
                <w:szCs w:val="25"/>
                <w:spacing w:val="11"/>
              </w:rPr>
              <w:t xml:space="preserve"> </w:t>
            </w:r>
            <w:r>
              <w:rPr>
                <w:sz w:val="25"/>
                <w:szCs w:val="25"/>
                <w:spacing w:val="-8"/>
              </w:rPr>
              <w:t>质认可或者诊疗项目登记范围从事职业卫生技术服务或者职业病诊断，违法</w:t>
            </w:r>
            <w:r>
              <w:rPr>
                <w:sz w:val="25"/>
                <w:szCs w:val="25"/>
                <w:spacing w:val="5"/>
              </w:rPr>
              <w:t xml:space="preserve"> </w:t>
            </w:r>
            <w:r>
              <w:rPr>
                <w:sz w:val="25"/>
                <w:szCs w:val="25"/>
                <w:spacing w:val="2"/>
              </w:rPr>
              <w:t>所得十万元以上的</w:t>
            </w:r>
          </w:p>
          <w:p>
            <w:pPr>
              <w:pStyle w:val="TableText"/>
              <w:ind w:left="99" w:hanging="59"/>
              <w:spacing w:before="13" w:line="233" w:lineRule="auto"/>
              <w:rPr>
                <w:sz w:val="25"/>
                <w:szCs w:val="25"/>
              </w:rPr>
            </w:pPr>
            <w:r>
              <w:rPr>
                <w:sz w:val="25"/>
                <w:szCs w:val="25"/>
              </w:rPr>
              <w:t>B.从事职业卫生技术服务的机构和承担职业病诊断的医疗卫生机构超出资</w:t>
            </w:r>
            <w:r>
              <w:rPr>
                <w:sz w:val="25"/>
                <w:szCs w:val="25"/>
                <w:spacing w:val="6"/>
              </w:rPr>
              <w:t xml:space="preserve"> </w:t>
            </w:r>
            <w:r>
              <w:rPr>
                <w:sz w:val="25"/>
                <w:szCs w:val="25"/>
                <w:spacing w:val="-8"/>
              </w:rPr>
              <w:t>质认可或者诊疗项目登记范围从事职业卫生技术服务或者职业病</w:t>
            </w:r>
            <w:r>
              <w:rPr>
                <w:sz w:val="25"/>
                <w:szCs w:val="25"/>
                <w:spacing w:val="-9"/>
              </w:rPr>
              <w:t>诊断，对劳</w:t>
            </w:r>
            <w:r>
              <w:rPr>
                <w:sz w:val="25"/>
                <w:szCs w:val="25"/>
              </w:rPr>
              <w:t xml:space="preserve"> </w:t>
            </w:r>
            <w:r>
              <w:rPr>
                <w:sz w:val="25"/>
                <w:szCs w:val="25"/>
              </w:rPr>
              <w:t>动者健康或健康权益造成严重影响或损害的</w:t>
            </w:r>
          </w:p>
          <w:p>
            <w:pPr>
              <w:pStyle w:val="TableText"/>
              <w:ind w:left="69" w:hanging="29"/>
              <w:spacing w:before="14" w:line="220" w:lineRule="auto"/>
              <w:rPr>
                <w:sz w:val="25"/>
                <w:szCs w:val="25"/>
              </w:rPr>
            </w:pPr>
            <w:r>
              <w:rPr>
                <w:sz w:val="25"/>
                <w:szCs w:val="25"/>
              </w:rPr>
              <w:t>C.从事职业卫生技术服务的机构和承担职业病诊断的医疗卫生机构超出资</w:t>
            </w:r>
            <w:r>
              <w:rPr>
                <w:sz w:val="25"/>
                <w:szCs w:val="25"/>
                <w:spacing w:val="7"/>
              </w:rPr>
              <w:t xml:space="preserve"> </w:t>
            </w:r>
            <w:r>
              <w:rPr>
                <w:sz w:val="25"/>
                <w:szCs w:val="25"/>
                <w:spacing w:val="-7"/>
              </w:rPr>
              <w:t>质认可或者诊疗项目登记范围从事职业卫生技术服务或者</w:t>
            </w:r>
            <w:r>
              <w:rPr>
                <w:sz w:val="25"/>
                <w:szCs w:val="25"/>
                <w:spacing w:val="-8"/>
              </w:rPr>
              <w:t>职业病诊断，情节</w:t>
            </w:r>
            <w:r>
              <w:rPr>
                <w:sz w:val="25"/>
                <w:szCs w:val="25"/>
              </w:rPr>
              <w:t xml:space="preserve"> </w:t>
            </w:r>
            <w:r>
              <w:rPr>
                <w:sz w:val="25"/>
                <w:szCs w:val="25"/>
                <w:spacing w:val="1"/>
              </w:rPr>
              <w:t>严重，造成恶劣社会影响的</w:t>
            </w:r>
          </w:p>
        </w:tc>
        <w:tc>
          <w:tcPr>
            <w:tcW w:w="3902" w:type="dxa"/>
            <w:vAlign w:val="top"/>
          </w:tcPr>
          <w:p>
            <w:pPr>
              <w:spacing w:line="303" w:lineRule="auto"/>
              <w:rPr>
                <w:rFonts w:ascii="Arial"/>
                <w:sz w:val="21"/>
              </w:rPr>
            </w:pPr>
            <w:r/>
          </w:p>
          <w:p>
            <w:pPr>
              <w:spacing w:line="304" w:lineRule="auto"/>
              <w:rPr>
                <w:rFonts w:ascii="Arial"/>
                <w:sz w:val="21"/>
              </w:rPr>
            </w:pPr>
            <w:r/>
          </w:p>
          <w:p>
            <w:pPr>
              <w:pStyle w:val="TableText"/>
              <w:ind w:left="67"/>
              <w:spacing w:before="81" w:line="236" w:lineRule="auto"/>
              <w:jc w:val="both"/>
              <w:rPr>
                <w:sz w:val="25"/>
                <w:szCs w:val="25"/>
              </w:rPr>
            </w:pPr>
            <w:r>
              <w:rPr>
                <w:sz w:val="25"/>
                <w:szCs w:val="25"/>
                <w:spacing w:val="-7"/>
              </w:rPr>
              <w:t>由原认可或者登记机关取消其相应</w:t>
            </w:r>
            <w:r>
              <w:rPr>
                <w:sz w:val="25"/>
                <w:szCs w:val="25"/>
              </w:rPr>
              <w:t xml:space="preserve">  </w:t>
            </w:r>
            <w:r>
              <w:rPr>
                <w:sz w:val="25"/>
                <w:szCs w:val="25"/>
              </w:rPr>
              <w:t>的资格。责令立即停止违法行为， </w:t>
            </w:r>
            <w:r>
              <w:rPr>
                <w:sz w:val="25"/>
                <w:szCs w:val="25"/>
                <w:spacing w:val="-7"/>
              </w:rPr>
              <w:t>给予警告，没收违法所得，并处违</w:t>
            </w:r>
            <w:r>
              <w:rPr>
                <w:sz w:val="25"/>
                <w:szCs w:val="25"/>
              </w:rPr>
              <w:t xml:space="preserve">  </w:t>
            </w:r>
            <w:r>
              <w:rPr>
                <w:sz w:val="25"/>
                <w:szCs w:val="25"/>
                <w:spacing w:val="-11"/>
              </w:rPr>
              <w:t>法所得五倍的罚款；没有违法所得、</w:t>
            </w:r>
            <w:r>
              <w:rPr>
                <w:sz w:val="25"/>
                <w:szCs w:val="25"/>
              </w:rPr>
              <w:t xml:space="preserve"> </w:t>
            </w:r>
            <w:r>
              <w:rPr>
                <w:sz w:val="25"/>
                <w:szCs w:val="25"/>
                <w:spacing w:val="-7"/>
              </w:rPr>
              <w:t>违法所得无法认定或者违法所得不</w:t>
            </w:r>
            <w:r>
              <w:rPr>
                <w:sz w:val="25"/>
                <w:szCs w:val="25"/>
                <w:spacing w:val="1"/>
              </w:rPr>
              <w:t xml:space="preserve">  </w:t>
            </w:r>
            <w:r>
              <w:rPr>
                <w:sz w:val="25"/>
                <w:szCs w:val="25"/>
                <w:spacing w:val="-4"/>
              </w:rPr>
              <w:t>足五千元的，并处二万元罚款。</w:t>
            </w:r>
          </w:p>
        </w:tc>
      </w:tr>
    </w:tbl>
    <w:p>
      <w:pPr>
        <w:pStyle w:val="BodyText"/>
        <w:rPr/>
      </w:pPr>
      <w:r/>
    </w:p>
    <w:p>
      <w:pPr>
        <w:sectPr>
          <w:footerReference w:type="default" r:id="rId522"/>
          <w:pgSz w:w="16830" w:h="11900"/>
          <w:pgMar w:top="1011" w:right="2005" w:bottom="1127" w:left="1425" w:header="0" w:footer="794" w:gutter="0"/>
        </w:sectPr>
        <w:rPr/>
      </w:pP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4" w:right="364" w:firstLine="649"/>
        <w:spacing w:before="97" w:line="266" w:lineRule="auto"/>
        <w:rPr>
          <w:rFonts w:ascii="FangSong" w:hAnsi="FangSong" w:eastAsia="FangSong" w:cs="FangSong"/>
          <w:sz w:val="30"/>
          <w:szCs w:val="30"/>
        </w:rPr>
      </w:pPr>
      <w:bookmarkStart w:name="bookmark1148" w:id="524"/>
      <w:bookmarkEnd w:id="524"/>
      <w:r>
        <w:rPr>
          <w:rFonts w:ascii="FangSong" w:hAnsi="FangSong" w:eastAsia="FangSong" w:cs="FangSong"/>
          <w:sz w:val="30"/>
          <w:szCs w:val="30"/>
          <w:b/>
          <w:bCs/>
          <w:spacing w:val="21"/>
        </w:rPr>
        <w:t>第四百八十六条从事职业卫生技术服务的机构和承担职业病诊断的医疗卫生机</w:t>
      </w:r>
      <w:r>
        <w:rPr>
          <w:rFonts w:ascii="FangSong" w:hAnsi="FangSong" w:eastAsia="FangSong" w:cs="FangSong"/>
          <w:sz w:val="30"/>
          <w:szCs w:val="30"/>
          <w:b/>
          <w:bCs/>
          <w:spacing w:val="20"/>
        </w:rPr>
        <w:t>构不按照本法</w:t>
      </w:r>
      <w:r>
        <w:rPr>
          <w:rFonts w:ascii="FangSong" w:hAnsi="FangSong" w:eastAsia="FangSong" w:cs="FangSong"/>
          <w:sz w:val="30"/>
          <w:szCs w:val="30"/>
        </w:rPr>
        <w:t xml:space="preserve"> </w:t>
      </w:r>
      <w:r>
        <w:rPr>
          <w:rFonts w:ascii="FangSong" w:hAnsi="FangSong" w:eastAsia="FangSong" w:cs="FangSong"/>
          <w:sz w:val="30"/>
          <w:szCs w:val="30"/>
          <w:b/>
          <w:bCs/>
          <w:spacing w:val="13"/>
        </w:rPr>
        <w:t>规定履行法定职责的</w:t>
      </w:r>
    </w:p>
    <w:p>
      <w:pPr>
        <w:ind w:left="649"/>
        <w:spacing w:before="5"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right="41" w:firstLine="649"/>
        <w:spacing w:before="74" w:line="271" w:lineRule="auto"/>
        <w:jc w:val="both"/>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《中华人民共和国职业病防治法》第八十条第(二)项</w:t>
      </w:r>
      <w:r>
        <w:rPr>
          <w:rFonts w:ascii="FangSong" w:hAnsi="FangSong" w:eastAsia="FangSong" w:cs="FangSong"/>
          <w:sz w:val="30"/>
          <w:szCs w:val="30"/>
          <w:spacing w:val="18"/>
        </w:rPr>
        <w:t xml:space="preserve">  </w:t>
      </w:r>
      <w:r>
        <w:rPr>
          <w:rFonts w:ascii="FangSong" w:hAnsi="FangSong" w:eastAsia="FangSong" w:cs="FangSong"/>
          <w:sz w:val="30"/>
          <w:szCs w:val="30"/>
          <w:spacing w:val="18"/>
        </w:rPr>
        <w:t>从事职业卫生技术服务的机构和承担</w:t>
      </w:r>
      <w:r>
        <w:rPr>
          <w:rFonts w:ascii="FangSong" w:hAnsi="FangSong" w:eastAsia="FangSong" w:cs="FangSong"/>
          <w:sz w:val="30"/>
          <w:szCs w:val="30"/>
        </w:rPr>
        <w:t xml:space="preserve"> </w:t>
      </w:r>
      <w:r>
        <w:rPr>
          <w:rFonts w:ascii="FangSong" w:hAnsi="FangSong" w:eastAsia="FangSong" w:cs="FangSong"/>
          <w:sz w:val="30"/>
          <w:szCs w:val="30"/>
          <w:spacing w:val="17"/>
        </w:rPr>
        <w:t>职业病诊断的医疗卫生机构违反《中华人民</w:t>
      </w:r>
      <w:r>
        <w:rPr>
          <w:rFonts w:ascii="FangSong" w:hAnsi="FangSong" w:eastAsia="FangSong" w:cs="FangSong"/>
          <w:sz w:val="30"/>
          <w:szCs w:val="30"/>
          <w:spacing w:val="16"/>
        </w:rPr>
        <w:t>共和国职业病防治法》规定，有下列行为之一的，由卫生</w:t>
      </w:r>
      <w:r>
        <w:rPr>
          <w:rFonts w:ascii="FangSong" w:hAnsi="FangSong" w:eastAsia="FangSong" w:cs="FangSong"/>
          <w:sz w:val="30"/>
          <w:szCs w:val="30"/>
        </w:rPr>
        <w:t xml:space="preserve"> </w:t>
      </w:r>
      <w:r>
        <w:rPr>
          <w:rFonts w:ascii="FangSong" w:hAnsi="FangSong" w:eastAsia="FangSong" w:cs="FangSong"/>
          <w:sz w:val="30"/>
          <w:szCs w:val="30"/>
          <w:spacing w:val="16"/>
        </w:rPr>
        <w:t>行政部门责令立即停止违法行为，给予警告，没收违法所得；违法所得五千元以上的，并处违法所得</w:t>
      </w:r>
      <w:r>
        <w:rPr>
          <w:rFonts w:ascii="FangSong" w:hAnsi="FangSong" w:eastAsia="FangSong" w:cs="FangSong"/>
          <w:sz w:val="30"/>
          <w:szCs w:val="30"/>
          <w:spacing w:val="13"/>
        </w:rPr>
        <w:t xml:space="preserve"> </w:t>
      </w:r>
      <w:r>
        <w:rPr>
          <w:rFonts w:ascii="FangSong" w:hAnsi="FangSong" w:eastAsia="FangSong" w:cs="FangSong"/>
          <w:sz w:val="30"/>
          <w:szCs w:val="30"/>
          <w:spacing w:val="16"/>
        </w:rPr>
        <w:t>二倍以上五倍以下的罚款；没有违法所得或者违法所得不足五千元的，并处五千元以上二万元以下的</w:t>
      </w:r>
      <w:r>
        <w:rPr>
          <w:rFonts w:ascii="FangSong" w:hAnsi="FangSong" w:eastAsia="FangSong" w:cs="FangSong"/>
          <w:sz w:val="30"/>
          <w:szCs w:val="30"/>
          <w:spacing w:val="4"/>
        </w:rPr>
        <w:t xml:space="preserve"> </w:t>
      </w:r>
      <w:r>
        <w:rPr>
          <w:rFonts w:ascii="FangSong" w:hAnsi="FangSong" w:eastAsia="FangSong" w:cs="FangSong"/>
          <w:sz w:val="30"/>
          <w:szCs w:val="30"/>
          <w:spacing w:val="16"/>
        </w:rPr>
        <w:t>罚款；情节严重的，由原认可或者登记机关取消其相应的资格；对直接负责的主管人员和其他直接责</w:t>
      </w:r>
      <w:r>
        <w:rPr>
          <w:rFonts w:ascii="FangSong" w:hAnsi="FangSong" w:eastAsia="FangSong" w:cs="FangSong"/>
          <w:sz w:val="30"/>
          <w:szCs w:val="30"/>
          <w:spacing w:val="2"/>
        </w:rPr>
        <w:t xml:space="preserve"> </w:t>
      </w:r>
      <w:r>
        <w:rPr>
          <w:rFonts w:ascii="FangSong" w:hAnsi="FangSong" w:eastAsia="FangSong" w:cs="FangSong"/>
          <w:sz w:val="30"/>
          <w:szCs w:val="30"/>
          <w:spacing w:val="17"/>
        </w:rPr>
        <w:t>任人员，依法给予降级、撤职或者开除的处分；构成犯罪的，依法追究刑</w:t>
      </w:r>
      <w:r>
        <w:rPr>
          <w:rFonts w:ascii="FangSong" w:hAnsi="FangSong" w:eastAsia="FangSong" w:cs="FangSong"/>
          <w:sz w:val="30"/>
          <w:szCs w:val="30"/>
          <w:spacing w:val="16"/>
        </w:rPr>
        <w:t>事责任：</w:t>
      </w:r>
    </w:p>
    <w:p>
      <w:pPr>
        <w:ind w:left="779"/>
        <w:spacing w:before="1" w:line="220" w:lineRule="auto"/>
        <w:rPr>
          <w:rFonts w:ascii="FangSong" w:hAnsi="FangSong" w:eastAsia="FangSong" w:cs="FangSong"/>
          <w:sz w:val="30"/>
          <w:szCs w:val="30"/>
        </w:rPr>
      </w:pPr>
      <w:r>
        <w:rPr>
          <w:rFonts w:ascii="FangSong" w:hAnsi="FangSong" w:eastAsia="FangSong" w:cs="FangSong"/>
          <w:sz w:val="30"/>
          <w:szCs w:val="30"/>
          <w:spacing w:val="23"/>
        </w:rPr>
        <w:t>(二)不按照本法规定履行法定职责的；</w:t>
      </w:r>
    </w:p>
    <w:p>
      <w:pPr>
        <w:ind w:firstLine="649"/>
        <w:spacing w:before="72" w:line="253" w:lineRule="auto"/>
        <w:jc w:val="both"/>
        <w:rPr>
          <w:rFonts w:ascii="FangSong" w:hAnsi="FangSong" w:eastAsia="FangSong" w:cs="FangSong"/>
          <w:sz w:val="30"/>
          <w:szCs w:val="30"/>
        </w:rPr>
      </w:pPr>
      <w:r>
        <w:rPr>
          <w:rFonts w:ascii="FangSong" w:hAnsi="FangSong" w:eastAsia="FangSong" w:cs="FangSong"/>
          <w:sz w:val="30"/>
          <w:szCs w:val="30"/>
          <w:spacing w:val="22"/>
        </w:rPr>
        <w:t>2.</w:t>
      </w:r>
      <w:r>
        <w:rPr>
          <w:rFonts w:ascii="FangSong" w:hAnsi="FangSong" w:eastAsia="FangSong" w:cs="FangSong"/>
          <w:sz w:val="30"/>
          <w:szCs w:val="30"/>
          <w:spacing w:val="22"/>
        </w:rPr>
        <w:t xml:space="preserve"> </w:t>
      </w:r>
      <w:r>
        <w:rPr>
          <w:rFonts w:ascii="FangSong" w:hAnsi="FangSong" w:eastAsia="FangSong" w:cs="FangSong"/>
          <w:sz w:val="30"/>
          <w:szCs w:val="30"/>
          <w:spacing w:val="22"/>
        </w:rPr>
        <w:t>《职业卫生技术服务机构管理办法》第四十二条第(二)项</w:t>
      </w:r>
      <w:r>
        <w:rPr>
          <w:rFonts w:ascii="FangSong" w:hAnsi="FangSong" w:eastAsia="FangSong" w:cs="FangSong"/>
          <w:sz w:val="30"/>
          <w:szCs w:val="30"/>
          <w:spacing w:val="22"/>
        </w:rPr>
        <w:t xml:space="preserve">   </w:t>
      </w:r>
      <w:r>
        <w:rPr>
          <w:rFonts w:ascii="FangSong" w:hAnsi="FangSong" w:eastAsia="FangSong" w:cs="FangSong"/>
          <w:sz w:val="30"/>
          <w:szCs w:val="30"/>
          <w:spacing w:val="22"/>
        </w:rPr>
        <w:t>职业卫生技术服务机构有下列</w:t>
      </w:r>
      <w:r>
        <w:rPr>
          <w:rFonts w:ascii="FangSong" w:hAnsi="FangSong" w:eastAsia="FangSong" w:cs="FangSong"/>
          <w:sz w:val="30"/>
          <w:szCs w:val="30"/>
          <w:spacing w:val="2"/>
        </w:rPr>
        <w:t xml:space="preserve"> </w:t>
      </w:r>
      <w:r>
        <w:rPr>
          <w:rFonts w:ascii="FangSong" w:hAnsi="FangSong" w:eastAsia="FangSong" w:cs="FangSong"/>
          <w:sz w:val="30"/>
          <w:szCs w:val="30"/>
          <w:spacing w:val="16"/>
        </w:rPr>
        <w:t>行为之一的，由县级以上地方疾病预防控制主管部门责令立即停止违法行为，给予警告，没收违法所</w:t>
      </w:r>
      <w:r>
        <w:rPr>
          <w:rFonts w:ascii="FangSong" w:hAnsi="FangSong" w:eastAsia="FangSong" w:cs="FangSong"/>
          <w:sz w:val="30"/>
          <w:szCs w:val="30"/>
          <w:spacing w:val="14"/>
        </w:rPr>
        <w:t xml:space="preserve"> </w:t>
      </w:r>
      <w:r>
        <w:rPr>
          <w:rFonts w:ascii="FangSong" w:hAnsi="FangSong" w:eastAsia="FangSong" w:cs="FangSong"/>
          <w:sz w:val="30"/>
          <w:szCs w:val="30"/>
          <w:spacing w:val="17"/>
        </w:rPr>
        <w:t>得；违法所得五千元以上的，并处违法所得二倍以</w:t>
      </w:r>
      <w:r>
        <w:rPr>
          <w:rFonts w:ascii="FangSong" w:hAnsi="FangSong" w:eastAsia="FangSong" w:cs="FangSong"/>
          <w:sz w:val="30"/>
          <w:szCs w:val="30"/>
          <w:spacing w:val="16"/>
        </w:rPr>
        <w:t>上五倍以下的罚款；没有违法所得或者违法所得不</w:t>
      </w:r>
      <w:r>
        <w:rPr>
          <w:rFonts w:ascii="FangSong" w:hAnsi="FangSong" w:eastAsia="FangSong" w:cs="FangSong"/>
          <w:sz w:val="30"/>
          <w:szCs w:val="30"/>
        </w:rPr>
        <w:t xml:space="preserve"> </w:t>
      </w:r>
      <w:r>
        <w:rPr>
          <w:rFonts w:ascii="FangSong" w:hAnsi="FangSong" w:eastAsia="FangSong" w:cs="FangSong"/>
          <w:sz w:val="30"/>
          <w:szCs w:val="30"/>
          <w:spacing w:val="18"/>
        </w:rPr>
        <w:t>足五千元的，并处五千元以上二万元以下的罚款；情节严重的，由原</w:t>
      </w:r>
      <w:r>
        <w:rPr>
          <w:rFonts w:ascii="FangSong" w:hAnsi="FangSong" w:eastAsia="FangSong" w:cs="FangSong"/>
          <w:sz w:val="30"/>
          <w:szCs w:val="30"/>
          <w:spacing w:val="17"/>
        </w:rPr>
        <w:t>资质认可机关取消其资质认可；</w:t>
      </w:r>
      <w:r>
        <w:rPr>
          <w:rFonts w:ascii="FangSong" w:hAnsi="FangSong" w:eastAsia="FangSong" w:cs="FangSong"/>
          <w:sz w:val="30"/>
          <w:szCs w:val="30"/>
        </w:rPr>
        <w:t xml:space="preserve"> </w:t>
      </w:r>
      <w:r>
        <w:rPr>
          <w:rFonts w:ascii="FangSong" w:hAnsi="FangSong" w:eastAsia="FangSong" w:cs="FangSong"/>
          <w:sz w:val="30"/>
          <w:szCs w:val="30"/>
          <w:spacing w:val="16"/>
        </w:rPr>
        <w:t>对直接负责的主管人员和其他责任人员，依法给予降级、撤职或者开除的处分；构成犯罪的</w:t>
      </w:r>
      <w:r>
        <w:rPr>
          <w:rFonts w:ascii="FangSong" w:hAnsi="FangSong" w:eastAsia="FangSong" w:cs="FangSong"/>
          <w:sz w:val="30"/>
          <w:szCs w:val="30"/>
          <w:spacing w:val="15"/>
        </w:rPr>
        <w:t>，依法追</w:t>
      </w:r>
      <w:r>
        <w:rPr>
          <w:rFonts w:ascii="FangSong" w:hAnsi="FangSong" w:eastAsia="FangSong" w:cs="FangSong"/>
          <w:sz w:val="30"/>
          <w:szCs w:val="30"/>
        </w:rPr>
        <w:t xml:space="preserve"> </w:t>
      </w:r>
      <w:r>
        <w:rPr>
          <w:rFonts w:ascii="FangSong" w:hAnsi="FangSong" w:eastAsia="FangSong" w:cs="FangSong"/>
          <w:sz w:val="30"/>
          <w:szCs w:val="30"/>
          <w:spacing w:val="1"/>
        </w:rPr>
        <w:t>究刑事责任：</w:t>
      </w:r>
    </w:p>
    <w:p>
      <w:pPr>
        <w:ind w:left="779"/>
        <w:spacing w:before="251" w:line="221" w:lineRule="auto"/>
        <w:rPr>
          <w:rFonts w:ascii="FangSong" w:hAnsi="FangSong" w:eastAsia="FangSong" w:cs="FangSong"/>
          <w:sz w:val="30"/>
          <w:szCs w:val="30"/>
        </w:rPr>
      </w:pPr>
      <w:r>
        <w:rPr>
          <w:rFonts w:ascii="FangSong" w:hAnsi="FangSong" w:eastAsia="FangSong" w:cs="FangSong"/>
          <w:sz w:val="30"/>
          <w:szCs w:val="30"/>
          <w:spacing w:val="22"/>
        </w:rPr>
        <w:t>(二)未按照《职业病防治法》的规定履行法定职责的；</w:t>
      </w:r>
    </w:p>
    <w:p>
      <w:pPr>
        <w:pStyle w:val="BodyText"/>
        <w:spacing w:line="297" w:lineRule="auto"/>
        <w:rPr/>
      </w:pPr>
      <w:r/>
    </w:p>
    <w:p>
      <w:pPr>
        <w:pStyle w:val="BodyText"/>
        <w:spacing w:line="298" w:lineRule="auto"/>
        <w:rPr/>
      </w:pPr>
      <w:r/>
    </w:p>
    <w:p>
      <w:pPr>
        <w:pStyle w:val="BodyText"/>
        <w:spacing w:line="298" w:lineRule="auto"/>
        <w:rPr/>
      </w:pPr>
      <w:r/>
    </w:p>
    <w:p>
      <w:pPr>
        <w:ind w:left="6349"/>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—587—</w:t>
      </w:r>
    </w:p>
    <w:p>
      <w:pPr>
        <w:spacing w:line="188" w:lineRule="auto"/>
        <w:sectPr>
          <w:footerReference w:type="default" r:id="rId24"/>
          <w:pgSz w:w="16830" w:h="11900"/>
          <w:pgMar w:top="1011" w:right="1420" w:bottom="400" w:left="1430" w:header="0" w:footer="0" w:gutter="0"/>
        </w:sectPr>
        <w:rPr>
          <w:rFonts w:ascii="Times New Roman" w:hAnsi="Times New Roman" w:eastAsia="Times New Roman" w:cs="Times New Roman"/>
          <w:sz w:val="37"/>
          <w:szCs w:val="37"/>
        </w:rPr>
      </w:pPr>
    </w:p>
    <w:p>
      <w:pPr>
        <w:pStyle w:val="BodyText"/>
        <w:spacing w:line="272" w:lineRule="auto"/>
        <w:rPr/>
      </w:pPr>
      <w:r/>
    </w:p>
    <w:p>
      <w:pPr>
        <w:pStyle w:val="BodyText"/>
        <w:spacing w:line="272" w:lineRule="auto"/>
        <w:rPr/>
      </w:pPr>
      <w:r/>
    </w:p>
    <w:p>
      <w:pPr>
        <w:pStyle w:val="BodyText"/>
        <w:spacing w:line="273" w:lineRule="auto"/>
        <w:rPr/>
      </w:pPr>
      <w:r/>
    </w:p>
    <w:p>
      <w:pPr>
        <w:ind w:left="5" w:firstLine="660"/>
        <w:spacing w:before="95" w:line="280" w:lineRule="auto"/>
        <w:jc w:val="both"/>
        <w:rPr>
          <w:rFonts w:ascii="FangSong" w:hAnsi="FangSong" w:eastAsia="FangSong" w:cs="FangSong"/>
          <w:sz w:val="29"/>
          <w:szCs w:val="29"/>
        </w:rPr>
      </w:pPr>
      <w:r>
        <w:rPr>
          <w:rFonts w:ascii="FangSong" w:hAnsi="FangSong" w:eastAsia="FangSong" w:cs="FangSong"/>
          <w:sz w:val="29"/>
          <w:szCs w:val="29"/>
          <w:spacing w:val="25"/>
        </w:rPr>
        <w:t>3.</w:t>
      </w:r>
      <w:r>
        <w:rPr>
          <w:rFonts w:ascii="FangSong" w:hAnsi="FangSong" w:eastAsia="FangSong" w:cs="FangSong"/>
          <w:sz w:val="29"/>
          <w:szCs w:val="29"/>
          <w:spacing w:val="25"/>
        </w:rPr>
        <w:t xml:space="preserve"> </w:t>
      </w:r>
      <w:r>
        <w:rPr>
          <w:rFonts w:ascii="FangSong" w:hAnsi="FangSong" w:eastAsia="FangSong" w:cs="FangSong"/>
          <w:sz w:val="29"/>
          <w:szCs w:val="29"/>
          <w:spacing w:val="25"/>
        </w:rPr>
        <w:t>《职业病诊断与鉴定管理办法》第五十五条第(二)项</w:t>
      </w:r>
      <w:r>
        <w:rPr>
          <w:rFonts w:ascii="FangSong" w:hAnsi="FangSong" w:eastAsia="FangSong" w:cs="FangSong"/>
          <w:sz w:val="29"/>
          <w:szCs w:val="29"/>
          <w:spacing w:val="25"/>
        </w:rPr>
        <w:t xml:space="preserve">   </w:t>
      </w:r>
      <w:r>
        <w:rPr>
          <w:rFonts w:ascii="FangSong" w:hAnsi="FangSong" w:eastAsia="FangSong" w:cs="FangSong"/>
          <w:sz w:val="29"/>
          <w:szCs w:val="29"/>
          <w:spacing w:val="25"/>
        </w:rPr>
        <w:t>职业病诊断机构有下列行</w:t>
      </w:r>
      <w:r>
        <w:rPr>
          <w:rFonts w:ascii="FangSong" w:hAnsi="FangSong" w:eastAsia="FangSong" w:cs="FangSong"/>
          <w:sz w:val="29"/>
          <w:szCs w:val="29"/>
          <w:spacing w:val="24"/>
        </w:rPr>
        <w:t>为之一</w:t>
      </w:r>
      <w:r>
        <w:rPr>
          <w:rFonts w:ascii="FangSong" w:hAnsi="FangSong" w:eastAsia="FangSong" w:cs="FangSong"/>
          <w:sz w:val="29"/>
          <w:szCs w:val="29"/>
          <w:spacing w:val="-76"/>
        </w:rPr>
        <w:t xml:space="preserve"> </w:t>
      </w:r>
      <w:r>
        <w:rPr>
          <w:rFonts w:ascii="FangSong" w:hAnsi="FangSong" w:eastAsia="FangSong" w:cs="FangSong"/>
          <w:sz w:val="29"/>
          <w:szCs w:val="29"/>
          <w:spacing w:val="24"/>
        </w:rPr>
        <w:t>的，</w:t>
      </w:r>
      <w:r>
        <w:rPr>
          <w:rFonts w:ascii="FangSong" w:hAnsi="FangSong" w:eastAsia="FangSong" w:cs="FangSong"/>
          <w:sz w:val="29"/>
          <w:szCs w:val="29"/>
        </w:rPr>
        <w:t xml:space="preserve"> </w:t>
      </w:r>
      <w:r>
        <w:rPr>
          <w:rFonts w:ascii="FangSong" w:hAnsi="FangSong" w:eastAsia="FangSong" w:cs="FangSong"/>
          <w:sz w:val="29"/>
          <w:szCs w:val="29"/>
          <w:spacing w:val="27"/>
        </w:rPr>
        <w:t>其作出的职业病诊断无效，由县级以上地方卫生健康主管部门按照《职业病防治法》的第八十条的规</w:t>
      </w:r>
      <w:r>
        <w:rPr>
          <w:rFonts w:ascii="FangSong" w:hAnsi="FangSong" w:eastAsia="FangSong" w:cs="FangSong"/>
          <w:sz w:val="29"/>
          <w:szCs w:val="29"/>
          <w:spacing w:val="2"/>
        </w:rPr>
        <w:t xml:space="preserve"> </w:t>
      </w:r>
      <w:r>
        <w:rPr>
          <w:rFonts w:ascii="FangSong" w:hAnsi="FangSong" w:eastAsia="FangSong" w:cs="FangSong"/>
          <w:sz w:val="29"/>
          <w:szCs w:val="29"/>
          <w:spacing w:val="17"/>
        </w:rPr>
        <w:t>定进行处理：</w:t>
      </w:r>
    </w:p>
    <w:p>
      <w:pPr>
        <w:ind w:left="785"/>
        <w:spacing w:before="9" w:line="221" w:lineRule="auto"/>
        <w:rPr>
          <w:rFonts w:ascii="FangSong" w:hAnsi="FangSong" w:eastAsia="FangSong" w:cs="FangSong"/>
          <w:sz w:val="29"/>
          <w:szCs w:val="29"/>
        </w:rPr>
      </w:pPr>
      <w:r>
        <w:rPr>
          <w:rFonts w:ascii="FangSong" w:hAnsi="FangSong" w:eastAsia="FangSong" w:cs="FangSong"/>
          <w:sz w:val="29"/>
          <w:szCs w:val="29"/>
          <w:spacing w:val="32"/>
        </w:rPr>
        <w:t>(二)不按照《职业病防治法》的规定履行法定职责的；</w:t>
      </w:r>
    </w:p>
    <w:p>
      <w:pPr>
        <w:ind w:left="6419"/>
        <w:spacing w:before="20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7495"/>
        <w:gridCol w:w="4971"/>
      </w:tblGrid>
      <w:tr>
        <w:trPr>
          <w:trHeight w:val="464" w:hRule="atLeast"/>
        </w:trPr>
        <w:tc>
          <w:tcPr>
            <w:tcW w:w="1404" w:type="dxa"/>
            <w:vAlign w:val="top"/>
          </w:tcPr>
          <w:p>
            <w:pPr>
              <w:pStyle w:val="TableText"/>
              <w:ind w:left="198"/>
              <w:spacing w:before="112" w:line="220" w:lineRule="auto"/>
              <w:rPr>
                <w:sz w:val="25"/>
                <w:szCs w:val="25"/>
              </w:rPr>
            </w:pPr>
            <w:r>
              <w:rPr>
                <w:sz w:val="25"/>
                <w:szCs w:val="25"/>
                <w:b/>
                <w:bCs/>
                <w:spacing w:val="-5"/>
              </w:rPr>
              <w:t>违法程度</w:t>
            </w:r>
          </w:p>
        </w:tc>
        <w:tc>
          <w:tcPr>
            <w:tcW w:w="7495" w:type="dxa"/>
            <w:vAlign w:val="top"/>
          </w:tcPr>
          <w:p>
            <w:pPr>
              <w:pStyle w:val="TableText"/>
              <w:ind w:left="3244"/>
              <w:spacing w:before="112" w:line="220" w:lineRule="auto"/>
              <w:rPr>
                <w:sz w:val="25"/>
                <w:szCs w:val="25"/>
              </w:rPr>
            </w:pPr>
            <w:r>
              <w:rPr>
                <w:sz w:val="25"/>
                <w:szCs w:val="25"/>
                <w:b/>
                <w:bCs/>
                <w:spacing w:val="-5"/>
              </w:rPr>
              <w:t>情节后果</w:t>
            </w:r>
          </w:p>
        </w:tc>
        <w:tc>
          <w:tcPr>
            <w:tcW w:w="4971" w:type="dxa"/>
            <w:vAlign w:val="top"/>
          </w:tcPr>
          <w:p>
            <w:pPr>
              <w:pStyle w:val="TableText"/>
              <w:ind w:left="1979"/>
              <w:spacing w:before="109" w:line="218" w:lineRule="auto"/>
              <w:rPr>
                <w:sz w:val="25"/>
                <w:szCs w:val="25"/>
              </w:rPr>
            </w:pPr>
            <w:r>
              <w:rPr>
                <w:sz w:val="25"/>
                <w:szCs w:val="25"/>
                <w:b/>
                <w:bCs/>
                <w:spacing w:val="-5"/>
              </w:rPr>
              <w:t>裁量幅度</w:t>
            </w:r>
          </w:p>
        </w:tc>
      </w:tr>
      <w:tr>
        <w:trPr>
          <w:trHeight w:val="827" w:hRule="atLeast"/>
        </w:trPr>
        <w:tc>
          <w:tcPr>
            <w:tcW w:w="1404" w:type="dxa"/>
            <w:vAlign w:val="top"/>
          </w:tcPr>
          <w:p>
            <w:pPr>
              <w:pStyle w:val="TableText"/>
              <w:ind w:left="448"/>
              <w:spacing w:before="317" w:line="219" w:lineRule="auto"/>
              <w:rPr>
                <w:sz w:val="25"/>
                <w:szCs w:val="25"/>
              </w:rPr>
            </w:pPr>
            <w:r>
              <w:rPr>
                <w:sz w:val="25"/>
                <w:szCs w:val="25"/>
                <w:b/>
                <w:bCs/>
                <w:spacing w:val="-6"/>
              </w:rPr>
              <w:t>轻微</w:t>
            </w:r>
          </w:p>
        </w:tc>
        <w:tc>
          <w:tcPr>
            <w:tcW w:w="7495" w:type="dxa"/>
            <w:vAlign w:val="top"/>
          </w:tcPr>
          <w:p>
            <w:pPr>
              <w:pStyle w:val="TableText"/>
              <w:ind w:left="109" w:hanging="99"/>
              <w:spacing w:before="150" w:line="246" w:lineRule="auto"/>
              <w:rPr>
                <w:sz w:val="25"/>
                <w:szCs w:val="25"/>
              </w:rPr>
            </w:pPr>
            <w:r>
              <w:rPr>
                <w:sz w:val="25"/>
                <w:szCs w:val="25"/>
                <w:spacing w:val="-1"/>
              </w:rPr>
              <w:t>不按照《中华人民共和国职业病防治法》规定履行法定职责，没有违</w:t>
            </w:r>
            <w:r>
              <w:rPr>
                <w:sz w:val="25"/>
                <w:szCs w:val="25"/>
                <w:spacing w:val="3"/>
              </w:rPr>
              <w:t xml:space="preserve"> </w:t>
            </w:r>
            <w:r>
              <w:rPr>
                <w:sz w:val="25"/>
                <w:szCs w:val="25"/>
                <w:spacing w:val="1"/>
              </w:rPr>
              <w:t>法所得或违法所得无法认定的</w:t>
            </w:r>
          </w:p>
        </w:tc>
        <w:tc>
          <w:tcPr>
            <w:tcW w:w="4971" w:type="dxa"/>
            <w:vAlign w:val="top"/>
          </w:tcPr>
          <w:p>
            <w:pPr>
              <w:pStyle w:val="TableText"/>
              <w:ind w:left="125" w:hanging="109"/>
              <w:spacing w:before="218" w:line="221" w:lineRule="auto"/>
              <w:rPr>
                <w:sz w:val="25"/>
                <w:szCs w:val="25"/>
              </w:rPr>
            </w:pPr>
            <w:r>
              <w:rPr>
                <w:sz w:val="25"/>
                <w:szCs w:val="25"/>
                <w:spacing w:val="-3"/>
              </w:rPr>
              <w:t>责令立即停止违法行为，给予警告，并处五千</w:t>
            </w:r>
            <w:r>
              <w:rPr>
                <w:sz w:val="25"/>
                <w:szCs w:val="25"/>
                <w:spacing w:val="3"/>
              </w:rPr>
              <w:t xml:space="preserve"> </w:t>
            </w:r>
            <w:r>
              <w:rPr>
                <w:sz w:val="25"/>
                <w:szCs w:val="25"/>
              </w:rPr>
              <w:t>元以上一万元以下罚款</w:t>
            </w:r>
          </w:p>
        </w:tc>
      </w:tr>
      <w:tr>
        <w:trPr>
          <w:trHeight w:val="708" w:hRule="atLeast"/>
        </w:trPr>
        <w:tc>
          <w:tcPr>
            <w:tcW w:w="1404" w:type="dxa"/>
            <w:vAlign w:val="top"/>
          </w:tcPr>
          <w:p>
            <w:pPr>
              <w:pStyle w:val="TableText"/>
              <w:ind w:left="448"/>
              <w:spacing w:before="282" w:line="221" w:lineRule="auto"/>
              <w:rPr>
                <w:sz w:val="25"/>
                <w:szCs w:val="25"/>
              </w:rPr>
            </w:pPr>
            <w:r>
              <w:rPr>
                <w:sz w:val="25"/>
                <w:szCs w:val="25"/>
                <w:b/>
                <w:bCs/>
                <w:spacing w:val="-10"/>
              </w:rPr>
              <w:t>一般</w:t>
            </w:r>
          </w:p>
        </w:tc>
        <w:tc>
          <w:tcPr>
            <w:tcW w:w="7495" w:type="dxa"/>
            <w:vAlign w:val="top"/>
          </w:tcPr>
          <w:p>
            <w:pPr>
              <w:pStyle w:val="TableText"/>
              <w:ind w:left="119" w:hanging="109"/>
              <w:spacing w:before="83" w:line="227" w:lineRule="auto"/>
              <w:rPr>
                <w:sz w:val="25"/>
                <w:szCs w:val="25"/>
              </w:rPr>
            </w:pPr>
            <w:r>
              <w:rPr>
                <w:sz w:val="25"/>
                <w:szCs w:val="25"/>
                <w:spacing w:val="-1"/>
              </w:rPr>
              <w:t>不按照《中华人民共和国职业病防治法》规定履行法定职责，违法所</w:t>
            </w:r>
            <w:r>
              <w:rPr>
                <w:sz w:val="25"/>
                <w:szCs w:val="25"/>
                <w:spacing w:val="3"/>
              </w:rPr>
              <w:t xml:space="preserve"> </w:t>
            </w:r>
            <w:r>
              <w:rPr>
                <w:sz w:val="25"/>
                <w:szCs w:val="25"/>
                <w:spacing w:val="2"/>
              </w:rPr>
              <w:t>得不足五千元的</w:t>
            </w:r>
          </w:p>
        </w:tc>
        <w:tc>
          <w:tcPr>
            <w:tcW w:w="4971" w:type="dxa"/>
            <w:vAlign w:val="top"/>
          </w:tcPr>
          <w:p>
            <w:pPr>
              <w:pStyle w:val="TableText"/>
              <w:ind w:left="225" w:hanging="209"/>
              <w:spacing w:before="91" w:line="224" w:lineRule="auto"/>
              <w:rPr>
                <w:sz w:val="25"/>
                <w:szCs w:val="25"/>
              </w:rPr>
            </w:pPr>
            <w:r>
              <w:rPr>
                <w:sz w:val="25"/>
                <w:szCs w:val="25"/>
                <w:spacing w:val="-3"/>
              </w:rPr>
              <w:t>责令立即停止违法行为，给予警告，没收违法</w:t>
            </w:r>
            <w:r>
              <w:rPr>
                <w:sz w:val="25"/>
                <w:szCs w:val="25"/>
                <w:spacing w:val="3"/>
              </w:rPr>
              <w:t xml:space="preserve"> </w:t>
            </w:r>
            <w:r>
              <w:rPr>
                <w:sz w:val="25"/>
                <w:szCs w:val="25"/>
              </w:rPr>
              <w:t>所得，并处一万元以上二万元以下的罚款</w:t>
            </w:r>
          </w:p>
        </w:tc>
      </w:tr>
      <w:tr>
        <w:trPr>
          <w:trHeight w:val="708" w:hRule="atLeast"/>
        </w:trPr>
        <w:tc>
          <w:tcPr>
            <w:tcW w:w="1404" w:type="dxa"/>
            <w:vAlign w:val="top"/>
          </w:tcPr>
          <w:p>
            <w:pPr>
              <w:pStyle w:val="TableText"/>
              <w:ind w:left="448"/>
              <w:spacing w:before="286" w:line="221" w:lineRule="auto"/>
              <w:rPr>
                <w:sz w:val="25"/>
                <w:szCs w:val="25"/>
              </w:rPr>
            </w:pPr>
            <w:r>
              <w:rPr>
                <w:sz w:val="25"/>
                <w:szCs w:val="25"/>
                <w:b/>
                <w:bCs/>
                <w:spacing w:val="-6"/>
              </w:rPr>
              <w:t>较重</w:t>
            </w:r>
          </w:p>
        </w:tc>
        <w:tc>
          <w:tcPr>
            <w:tcW w:w="7495" w:type="dxa"/>
            <w:vAlign w:val="top"/>
          </w:tcPr>
          <w:p>
            <w:pPr>
              <w:pStyle w:val="TableText"/>
              <w:ind w:left="119" w:hanging="109"/>
              <w:spacing w:before="75" w:line="230" w:lineRule="auto"/>
              <w:rPr>
                <w:sz w:val="25"/>
                <w:szCs w:val="25"/>
              </w:rPr>
            </w:pPr>
            <w:r>
              <w:rPr>
                <w:sz w:val="25"/>
                <w:szCs w:val="25"/>
                <w:spacing w:val="-1"/>
              </w:rPr>
              <w:t>不按照《中华人民共和国职业病防治法》规定履行法定职责，违法所</w:t>
            </w:r>
            <w:r>
              <w:rPr>
                <w:sz w:val="25"/>
                <w:szCs w:val="25"/>
                <w:spacing w:val="3"/>
              </w:rPr>
              <w:t xml:space="preserve"> </w:t>
            </w:r>
            <w:r>
              <w:rPr>
                <w:sz w:val="25"/>
                <w:szCs w:val="25"/>
                <w:spacing w:val="1"/>
              </w:rPr>
              <w:t>得五千元以上五万元以下的</w:t>
            </w:r>
          </w:p>
        </w:tc>
        <w:tc>
          <w:tcPr>
            <w:tcW w:w="4971" w:type="dxa"/>
            <w:vAlign w:val="top"/>
          </w:tcPr>
          <w:p>
            <w:pPr>
              <w:pStyle w:val="TableText"/>
              <w:ind w:left="16"/>
              <w:spacing w:before="64" w:line="234" w:lineRule="auto"/>
              <w:rPr>
                <w:sz w:val="25"/>
                <w:szCs w:val="25"/>
              </w:rPr>
            </w:pPr>
            <w:r>
              <w:rPr>
                <w:sz w:val="25"/>
                <w:szCs w:val="25"/>
                <w:spacing w:val="-3"/>
              </w:rPr>
              <w:t>责令立即停止违法行为，给予警告，没收违法</w:t>
            </w:r>
            <w:r>
              <w:rPr>
                <w:sz w:val="25"/>
                <w:szCs w:val="25"/>
                <w:spacing w:val="1"/>
              </w:rPr>
              <w:t xml:space="preserve"> </w:t>
            </w:r>
            <w:r>
              <w:rPr>
                <w:sz w:val="25"/>
                <w:szCs w:val="25"/>
                <w:spacing w:val="-3"/>
              </w:rPr>
              <w:t>所得，并处违法所得二倍以上四倍以下的罚款</w:t>
            </w:r>
          </w:p>
        </w:tc>
      </w:tr>
      <w:tr>
        <w:trPr>
          <w:trHeight w:val="822" w:hRule="atLeast"/>
        </w:trPr>
        <w:tc>
          <w:tcPr>
            <w:tcW w:w="1404" w:type="dxa"/>
            <w:vAlign w:val="top"/>
          </w:tcPr>
          <w:p>
            <w:pPr>
              <w:spacing w:line="282" w:lineRule="auto"/>
              <w:rPr>
                <w:rFonts w:ascii="Arial"/>
                <w:sz w:val="21"/>
              </w:rPr>
            </w:pPr>
            <w:r/>
          </w:p>
          <w:p>
            <w:pPr>
              <w:pStyle w:val="TableText"/>
              <w:ind w:left="448"/>
              <w:spacing w:before="81" w:line="220" w:lineRule="auto"/>
              <w:rPr>
                <w:sz w:val="25"/>
                <w:szCs w:val="25"/>
              </w:rPr>
            </w:pPr>
            <w:r>
              <w:rPr>
                <w:sz w:val="25"/>
                <w:szCs w:val="25"/>
                <w:b/>
                <w:bCs/>
                <w:spacing w:val="-6"/>
              </w:rPr>
              <w:t>严重</w:t>
            </w:r>
          </w:p>
        </w:tc>
        <w:tc>
          <w:tcPr>
            <w:tcW w:w="7495" w:type="dxa"/>
            <w:vAlign w:val="top"/>
          </w:tcPr>
          <w:p>
            <w:pPr>
              <w:pStyle w:val="TableText"/>
              <w:ind w:left="119" w:hanging="109"/>
              <w:spacing w:before="137" w:line="249" w:lineRule="auto"/>
              <w:rPr>
                <w:sz w:val="25"/>
                <w:szCs w:val="25"/>
              </w:rPr>
            </w:pPr>
            <w:r>
              <w:rPr>
                <w:sz w:val="25"/>
                <w:szCs w:val="25"/>
                <w:spacing w:val="-1"/>
              </w:rPr>
              <w:t>不按照《中华人民共和国职业病防治法》规定履行法定职责，违法所</w:t>
            </w:r>
            <w:r>
              <w:rPr>
                <w:sz w:val="25"/>
                <w:szCs w:val="25"/>
                <w:spacing w:val="3"/>
              </w:rPr>
              <w:t xml:space="preserve"> </w:t>
            </w:r>
            <w:r>
              <w:rPr>
                <w:sz w:val="25"/>
                <w:szCs w:val="25"/>
                <w:spacing w:val="1"/>
              </w:rPr>
              <w:t>得五万元以上十万元以下的</w:t>
            </w:r>
          </w:p>
        </w:tc>
        <w:tc>
          <w:tcPr>
            <w:tcW w:w="4971" w:type="dxa"/>
            <w:vAlign w:val="top"/>
          </w:tcPr>
          <w:p>
            <w:pPr>
              <w:pStyle w:val="TableText"/>
              <w:ind w:left="16"/>
              <w:spacing w:before="134" w:line="250" w:lineRule="auto"/>
              <w:rPr>
                <w:sz w:val="25"/>
                <w:szCs w:val="25"/>
              </w:rPr>
            </w:pPr>
            <w:r>
              <w:rPr>
                <w:sz w:val="25"/>
                <w:szCs w:val="25"/>
                <w:spacing w:val="-3"/>
              </w:rPr>
              <w:t>责令立即停止违法行为，给予警告，没收违法</w:t>
            </w:r>
            <w:r>
              <w:rPr>
                <w:sz w:val="25"/>
                <w:szCs w:val="25"/>
                <w:spacing w:val="1"/>
              </w:rPr>
              <w:t xml:space="preserve"> </w:t>
            </w:r>
            <w:r>
              <w:rPr>
                <w:sz w:val="25"/>
                <w:szCs w:val="25"/>
                <w:spacing w:val="-3"/>
              </w:rPr>
              <w:t>所得，并处违法所得四倍以上五倍以下的罚款</w:t>
            </w:r>
          </w:p>
        </w:tc>
      </w:tr>
    </w:tbl>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6345"/>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—588—</w:t>
      </w:r>
    </w:p>
    <w:p>
      <w:pPr>
        <w:spacing w:line="188" w:lineRule="auto"/>
        <w:sectPr>
          <w:pgSz w:w="16830" w:h="11900"/>
          <w:pgMar w:top="1011" w:right="1334" w:bottom="400" w:left="1434" w:header="0" w:footer="0" w:gutter="0"/>
        </w:sectPr>
        <w:rPr>
          <w:rFonts w:ascii="Times New Roman" w:hAnsi="Times New Roman" w:eastAsia="Times New Roman" w:cs="Times New Roman"/>
          <w:sz w:val="37"/>
          <w:szCs w:val="37"/>
        </w:rPr>
      </w:pPr>
    </w:p>
    <w:p>
      <w:pPr>
        <w:spacing w:before="13"/>
        <w:rPr/>
      </w:pPr>
      <w:r/>
    </w:p>
    <w:p>
      <w:pPr>
        <w:spacing w:before="13"/>
        <w:rPr/>
      </w:pPr>
      <w:r/>
    </w:p>
    <w:p>
      <w:pPr>
        <w:spacing w:before="13"/>
        <w:rPr/>
      </w:pPr>
      <w:r/>
    </w:p>
    <w:tbl>
      <w:tblPr>
        <w:tblStyle w:val="TableNormal"/>
        <w:tblW w:w="138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495"/>
        <w:gridCol w:w="4941"/>
      </w:tblGrid>
      <w:tr>
        <w:trPr>
          <w:trHeight w:val="2439" w:hRule="atLeast"/>
        </w:trPr>
        <w:tc>
          <w:tcPr>
            <w:tcW w:w="1444" w:type="dxa"/>
            <w:vAlign w:val="top"/>
          </w:tcPr>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pStyle w:val="TableText"/>
              <w:ind w:left="478" w:right="462"/>
              <w:spacing w:before="78" w:line="334" w:lineRule="auto"/>
              <w:rPr/>
            </w:pPr>
            <w:bookmarkStart w:name="bookmark1149" w:id="525"/>
            <w:bookmarkEnd w:id="525"/>
            <w:r>
              <w:rPr>
                <w:b/>
                <w:bCs/>
                <w:spacing w:val="3"/>
              </w:rPr>
              <w:t>特别</w:t>
            </w:r>
            <w:r>
              <w:rPr/>
              <w:t xml:space="preserve"> </w:t>
            </w:r>
            <w:r>
              <w:rPr>
                <w:b/>
                <w:bCs/>
                <w:spacing w:val="-6"/>
              </w:rPr>
              <w:t>严重</w:t>
            </w:r>
          </w:p>
        </w:tc>
        <w:tc>
          <w:tcPr>
            <w:tcW w:w="7495" w:type="dxa"/>
            <w:vAlign w:val="top"/>
          </w:tcPr>
          <w:p>
            <w:pPr>
              <w:pStyle w:val="TableText"/>
              <w:ind w:left="101"/>
              <w:spacing w:before="85" w:line="220" w:lineRule="auto"/>
              <w:rPr/>
            </w:pPr>
            <w:r>
              <w:rPr>
                <w:spacing w:val="2"/>
              </w:rPr>
              <w:t>有下列情形之一的：</w:t>
            </w:r>
          </w:p>
          <w:p>
            <w:pPr>
              <w:pStyle w:val="TableText"/>
              <w:ind w:left="101" w:right="185"/>
              <w:spacing w:before="64"/>
              <w:rPr/>
            </w:pPr>
            <w:r>
              <w:rPr/>
              <w:t>A.不按照《中华人民共和国职业病防治法》规定履行法定职责</w:t>
            </w:r>
            <w:r>
              <w:rPr>
                <w:spacing w:val="-1"/>
              </w:rPr>
              <w:t>，违法</w:t>
            </w:r>
            <w:r>
              <w:rPr/>
              <w:t xml:space="preserve"> </w:t>
            </w:r>
            <w:r>
              <w:rPr>
                <w:spacing w:val="2"/>
              </w:rPr>
              <w:t>所得十万元以上的</w:t>
            </w:r>
          </w:p>
          <w:p>
            <w:pPr>
              <w:pStyle w:val="TableText"/>
              <w:ind w:left="101" w:right="187"/>
              <w:spacing w:before="66"/>
              <w:rPr/>
            </w:pPr>
            <w:r>
              <w:rPr/>
              <w:t>B.不按照《中华人民共和国职业病防治法》规定履行法定</w:t>
            </w:r>
            <w:r>
              <w:rPr>
                <w:spacing w:val="-1"/>
              </w:rPr>
              <w:t>职责，对劳</w:t>
            </w:r>
            <w:r>
              <w:rPr/>
              <w:t xml:space="preserve"> </w:t>
            </w:r>
            <w:r>
              <w:rPr/>
              <w:t>动者健康或健康权益造成严重影响或损害的</w:t>
            </w:r>
          </w:p>
          <w:p>
            <w:pPr>
              <w:pStyle w:val="TableText"/>
              <w:ind w:left="101" w:right="191"/>
              <w:spacing w:before="44" w:line="244" w:lineRule="auto"/>
              <w:rPr/>
            </w:pPr>
            <w:r>
              <w:rPr/>
              <w:t>C.不按照《中华人民共和国职业病防治法》规定</w:t>
            </w:r>
            <w:r>
              <w:rPr>
                <w:spacing w:val="-1"/>
              </w:rPr>
              <w:t>履行法定职责，情节</w:t>
            </w:r>
            <w:r>
              <w:rPr/>
              <w:t xml:space="preserve"> </w:t>
            </w:r>
            <w:r>
              <w:rPr>
                <w:spacing w:val="1"/>
              </w:rPr>
              <w:t>严重，造成恶劣社会影响的</w:t>
            </w:r>
          </w:p>
        </w:tc>
        <w:tc>
          <w:tcPr>
            <w:tcW w:w="4941" w:type="dxa"/>
            <w:vAlign w:val="top"/>
          </w:tcPr>
          <w:p>
            <w:pPr>
              <w:spacing w:line="353" w:lineRule="auto"/>
              <w:rPr>
                <w:rFonts w:ascii="Arial"/>
                <w:sz w:val="21"/>
              </w:rPr>
            </w:pPr>
            <w:r/>
          </w:p>
          <w:p>
            <w:pPr>
              <w:pStyle w:val="TableText"/>
              <w:ind w:left="66"/>
              <w:spacing w:before="78" w:line="219" w:lineRule="auto"/>
              <w:rPr/>
            </w:pPr>
            <w:r>
              <w:rPr/>
              <w:t>由原认可或者登记机关取消其相应的资格。责</w:t>
            </w:r>
          </w:p>
          <w:p>
            <w:pPr>
              <w:pStyle w:val="TableText"/>
              <w:ind w:left="66"/>
              <w:spacing w:before="54" w:line="218" w:lineRule="auto"/>
              <w:rPr/>
            </w:pPr>
            <w:r>
              <w:rPr>
                <w:spacing w:val="-1"/>
              </w:rPr>
              <w:t>令立即停止违法行为，给予警告，没收违法所</w:t>
            </w:r>
          </w:p>
          <w:p>
            <w:pPr>
              <w:pStyle w:val="TableText"/>
              <w:spacing w:before="68" w:line="219" w:lineRule="auto"/>
              <w:jc w:val="right"/>
              <w:rPr/>
            </w:pPr>
            <w:r>
              <w:rPr>
                <w:spacing w:val="-6"/>
              </w:rPr>
              <w:t>得，并处违法所得五倍的罚款；没有违法所得、</w:t>
            </w:r>
          </w:p>
          <w:p>
            <w:pPr>
              <w:pStyle w:val="TableText"/>
              <w:ind w:left="186"/>
              <w:spacing w:before="55" w:line="219" w:lineRule="auto"/>
              <w:rPr/>
            </w:pPr>
            <w:r>
              <w:rPr>
                <w:spacing w:val="-1"/>
              </w:rPr>
              <w:t>违法所得无法认定或者违法所得不足五千元</w:t>
            </w:r>
          </w:p>
          <w:p>
            <w:pPr>
              <w:pStyle w:val="TableText"/>
              <w:ind w:left="116"/>
              <w:spacing w:before="45" w:line="219" w:lineRule="auto"/>
              <w:rPr/>
            </w:pPr>
            <w:r>
              <w:rPr>
                <w:spacing w:val="1"/>
              </w:rPr>
              <w:t>的，并处二万元罚款</w:t>
            </w:r>
          </w:p>
        </w:tc>
      </w:tr>
    </w:tbl>
    <w:p>
      <w:pPr>
        <w:pStyle w:val="BodyText"/>
        <w:spacing w:line="466" w:lineRule="auto"/>
        <w:rPr/>
      </w:pPr>
      <w:r/>
    </w:p>
    <w:p>
      <w:pPr>
        <w:ind w:left="39" w:right="404" w:firstLine="619"/>
        <w:spacing w:before="98" w:line="276" w:lineRule="auto"/>
        <w:rPr>
          <w:rFonts w:ascii="FangSong" w:hAnsi="FangSong" w:eastAsia="FangSong" w:cs="FangSong"/>
          <w:sz w:val="30"/>
          <w:szCs w:val="30"/>
        </w:rPr>
      </w:pPr>
      <w:r>
        <w:rPr>
          <w:rFonts w:ascii="FangSong" w:hAnsi="FangSong" w:eastAsia="FangSong" w:cs="FangSong"/>
          <w:sz w:val="30"/>
          <w:szCs w:val="30"/>
          <w:b/>
          <w:bCs/>
          <w:spacing w:val="21"/>
        </w:rPr>
        <w:t>第四百八十七条从事职业卫生技术服务的机构和承担职业病诊断的医疗卫生机构出具虚假证</w:t>
      </w:r>
      <w:r>
        <w:rPr>
          <w:rFonts w:ascii="FangSong" w:hAnsi="FangSong" w:eastAsia="FangSong" w:cs="FangSong"/>
          <w:sz w:val="30"/>
          <w:szCs w:val="30"/>
          <w:spacing w:val="14"/>
        </w:rPr>
        <w:t xml:space="preserve"> </w:t>
      </w:r>
      <w:r>
        <w:rPr>
          <w:rFonts w:ascii="FangSong" w:hAnsi="FangSong" w:eastAsia="FangSong" w:cs="FangSong"/>
          <w:sz w:val="30"/>
          <w:szCs w:val="30"/>
          <w:b/>
          <w:bCs/>
          <w:spacing w:val="4"/>
        </w:rPr>
        <w:t>明文件的</w:t>
      </w:r>
    </w:p>
    <w:p>
      <w:pPr>
        <w:ind w:left="654"/>
        <w:spacing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ind w:left="35" w:right="75" w:firstLine="619"/>
        <w:spacing w:before="88" w:line="264" w:lineRule="auto"/>
        <w:jc w:val="both"/>
        <w:rPr>
          <w:rFonts w:ascii="FangSong" w:hAnsi="FangSong" w:eastAsia="FangSong" w:cs="FangSong"/>
          <w:sz w:val="30"/>
          <w:szCs w:val="30"/>
        </w:rPr>
      </w:pPr>
      <w:r>
        <w:rPr>
          <w:rFonts w:ascii="FangSong" w:hAnsi="FangSong" w:eastAsia="FangSong" w:cs="FangSong"/>
          <w:sz w:val="30"/>
          <w:szCs w:val="30"/>
          <w:spacing w:val="19"/>
        </w:rPr>
        <w:t>1.</w:t>
      </w:r>
      <w:r>
        <w:rPr>
          <w:rFonts w:ascii="FangSong" w:hAnsi="FangSong" w:eastAsia="FangSong" w:cs="FangSong"/>
          <w:sz w:val="30"/>
          <w:szCs w:val="30"/>
          <w:spacing w:val="19"/>
        </w:rPr>
        <w:t xml:space="preserve"> </w:t>
      </w:r>
      <w:r>
        <w:rPr>
          <w:rFonts w:ascii="FangSong" w:hAnsi="FangSong" w:eastAsia="FangSong" w:cs="FangSong"/>
          <w:sz w:val="30"/>
          <w:szCs w:val="30"/>
          <w:spacing w:val="19"/>
        </w:rPr>
        <w:t>《中华人民共和国职业病防治法》第八十条第(三)项</w:t>
      </w:r>
      <w:r>
        <w:rPr>
          <w:rFonts w:ascii="FangSong" w:hAnsi="FangSong" w:eastAsia="FangSong" w:cs="FangSong"/>
          <w:sz w:val="30"/>
          <w:szCs w:val="30"/>
          <w:spacing w:val="19"/>
        </w:rPr>
        <w:t xml:space="preserve">  </w:t>
      </w:r>
      <w:r>
        <w:rPr>
          <w:rFonts w:ascii="FangSong" w:hAnsi="FangSong" w:eastAsia="FangSong" w:cs="FangSong"/>
          <w:sz w:val="30"/>
          <w:szCs w:val="30"/>
          <w:spacing w:val="19"/>
        </w:rPr>
        <w:t>从事职业卫生技术服务的机构和承担</w:t>
      </w:r>
      <w:r>
        <w:rPr>
          <w:rFonts w:ascii="FangSong" w:hAnsi="FangSong" w:eastAsia="FangSong" w:cs="FangSong"/>
          <w:sz w:val="30"/>
          <w:szCs w:val="30"/>
          <w:spacing w:val="2"/>
        </w:rPr>
        <w:t xml:space="preserve"> </w:t>
      </w:r>
      <w:r>
        <w:rPr>
          <w:rFonts w:ascii="FangSong" w:hAnsi="FangSong" w:eastAsia="FangSong" w:cs="FangSong"/>
          <w:sz w:val="30"/>
          <w:szCs w:val="30"/>
          <w:spacing w:val="17"/>
        </w:rPr>
        <w:t>职业病诊断的医疗卫生机构违反《中华人民共和国职业病防治法》</w:t>
      </w:r>
      <w:r>
        <w:rPr>
          <w:rFonts w:ascii="FangSong" w:hAnsi="FangSong" w:eastAsia="FangSong" w:cs="FangSong"/>
          <w:sz w:val="30"/>
          <w:szCs w:val="30"/>
          <w:spacing w:val="16"/>
        </w:rPr>
        <w:t>规定，有下列行为之一的，由卫生</w:t>
      </w:r>
      <w:r>
        <w:rPr>
          <w:rFonts w:ascii="FangSong" w:hAnsi="FangSong" w:eastAsia="FangSong" w:cs="FangSong"/>
          <w:sz w:val="30"/>
          <w:szCs w:val="30"/>
        </w:rPr>
        <w:t xml:space="preserve"> </w:t>
      </w:r>
      <w:r>
        <w:rPr>
          <w:rFonts w:ascii="FangSong" w:hAnsi="FangSong" w:eastAsia="FangSong" w:cs="FangSong"/>
          <w:sz w:val="30"/>
          <w:szCs w:val="30"/>
          <w:spacing w:val="17"/>
        </w:rPr>
        <w:t>行政部门责令立即停止违法行为，给予警告，没收违</w:t>
      </w:r>
      <w:r>
        <w:rPr>
          <w:rFonts w:ascii="FangSong" w:hAnsi="FangSong" w:eastAsia="FangSong" w:cs="FangSong"/>
          <w:sz w:val="30"/>
          <w:szCs w:val="30"/>
          <w:spacing w:val="16"/>
        </w:rPr>
        <w:t>法所得；违法所得五千元以上的，并处违法所得</w:t>
      </w:r>
      <w:r>
        <w:rPr>
          <w:rFonts w:ascii="FangSong" w:hAnsi="FangSong" w:eastAsia="FangSong" w:cs="FangSong"/>
          <w:sz w:val="30"/>
          <w:szCs w:val="30"/>
        </w:rPr>
        <w:t xml:space="preserve"> </w:t>
      </w:r>
      <w:r>
        <w:rPr>
          <w:rFonts w:ascii="FangSong" w:hAnsi="FangSong" w:eastAsia="FangSong" w:cs="FangSong"/>
          <w:sz w:val="30"/>
          <w:szCs w:val="30"/>
          <w:spacing w:val="16"/>
        </w:rPr>
        <w:t>二倍以上五倍以下的罚款；没有违法所得或者违法所得不足五千元的，并处五千元以上二万元以下的</w:t>
      </w:r>
      <w:r>
        <w:rPr>
          <w:rFonts w:ascii="FangSong" w:hAnsi="FangSong" w:eastAsia="FangSong" w:cs="FangSong"/>
          <w:sz w:val="30"/>
          <w:szCs w:val="30"/>
          <w:spacing w:val="4"/>
        </w:rPr>
        <w:t xml:space="preserve"> </w:t>
      </w:r>
      <w:r>
        <w:rPr>
          <w:rFonts w:ascii="FangSong" w:hAnsi="FangSong" w:eastAsia="FangSong" w:cs="FangSong"/>
          <w:sz w:val="30"/>
          <w:szCs w:val="30"/>
          <w:spacing w:val="16"/>
        </w:rPr>
        <w:t>罚款；情节严重的，由原认可或者登记机关取消其相应的资格；对直接负责的主管人员和其他直接责</w:t>
      </w:r>
      <w:r>
        <w:rPr>
          <w:rFonts w:ascii="FangSong" w:hAnsi="FangSong" w:eastAsia="FangSong" w:cs="FangSong"/>
          <w:sz w:val="30"/>
          <w:szCs w:val="30"/>
          <w:spacing w:val="2"/>
        </w:rPr>
        <w:t xml:space="preserve"> </w:t>
      </w:r>
      <w:r>
        <w:rPr>
          <w:rFonts w:ascii="FangSong" w:hAnsi="FangSong" w:eastAsia="FangSong" w:cs="FangSong"/>
          <w:sz w:val="30"/>
          <w:szCs w:val="30"/>
          <w:spacing w:val="17"/>
        </w:rPr>
        <w:t>任人员，依法给予降级、撤职或者开除的处分；构成犯罪的，依法追究刑事责任：</w:t>
      </w:r>
    </w:p>
    <w:p>
      <w:pPr>
        <w:ind w:left="794"/>
        <w:spacing w:line="220" w:lineRule="auto"/>
        <w:rPr>
          <w:rFonts w:ascii="FangSong" w:hAnsi="FangSong" w:eastAsia="FangSong" w:cs="FangSong"/>
          <w:sz w:val="30"/>
          <w:szCs w:val="30"/>
        </w:rPr>
      </w:pPr>
      <w:r>
        <w:rPr>
          <w:rFonts w:ascii="FangSong" w:hAnsi="FangSong" w:eastAsia="FangSong" w:cs="FangSong"/>
          <w:sz w:val="30"/>
          <w:szCs w:val="30"/>
          <w:spacing w:val="26"/>
        </w:rPr>
        <w:t>(三)出具虚假证明文件的。</w:t>
      </w:r>
    </w:p>
    <w:p>
      <w:pPr>
        <w:ind w:left="35" w:firstLine="619"/>
        <w:spacing w:before="114" w:line="246" w:lineRule="auto"/>
        <w:rPr>
          <w:rFonts w:ascii="FangSong" w:hAnsi="FangSong" w:eastAsia="FangSong" w:cs="FangSong"/>
          <w:sz w:val="30"/>
          <w:szCs w:val="30"/>
        </w:rPr>
      </w:pPr>
      <w:r>
        <w:rPr>
          <w:rFonts w:ascii="FangSong" w:hAnsi="FangSong" w:eastAsia="FangSong" w:cs="FangSong"/>
          <w:sz w:val="30"/>
          <w:szCs w:val="30"/>
          <w:spacing w:val="19"/>
        </w:rPr>
        <w:t>2.</w:t>
      </w:r>
      <w:r>
        <w:rPr>
          <w:rFonts w:ascii="FangSong" w:hAnsi="FangSong" w:eastAsia="FangSong" w:cs="FangSong"/>
          <w:sz w:val="30"/>
          <w:szCs w:val="30"/>
          <w:spacing w:val="19"/>
        </w:rPr>
        <w:t xml:space="preserve"> </w:t>
      </w:r>
      <w:r>
        <w:rPr>
          <w:rFonts w:ascii="FangSong" w:hAnsi="FangSong" w:eastAsia="FangSong" w:cs="FangSong"/>
          <w:sz w:val="30"/>
          <w:szCs w:val="30"/>
          <w:spacing w:val="19"/>
        </w:rPr>
        <w:t>《职业卫生技术服务机构管理办法》第四十二条第(三)项</w:t>
      </w:r>
      <w:r>
        <w:rPr>
          <w:rFonts w:ascii="FangSong" w:hAnsi="FangSong" w:eastAsia="FangSong" w:cs="FangSong"/>
          <w:sz w:val="30"/>
          <w:szCs w:val="30"/>
          <w:spacing w:val="19"/>
        </w:rPr>
        <w:t xml:space="preserve">  </w:t>
      </w:r>
      <w:r>
        <w:rPr>
          <w:rFonts w:ascii="FangSong" w:hAnsi="FangSong" w:eastAsia="FangSong" w:cs="FangSong"/>
          <w:sz w:val="30"/>
          <w:szCs w:val="30"/>
          <w:spacing w:val="19"/>
        </w:rPr>
        <w:t>职业卫生技术服务机构有下列行</w:t>
      </w:r>
      <w:r>
        <w:rPr>
          <w:rFonts w:ascii="FangSong" w:hAnsi="FangSong" w:eastAsia="FangSong" w:cs="FangSong"/>
          <w:sz w:val="30"/>
          <w:szCs w:val="30"/>
          <w:spacing w:val="5"/>
        </w:rPr>
        <w:t xml:space="preserve"> </w:t>
      </w:r>
      <w:r>
        <w:rPr>
          <w:rFonts w:ascii="FangSong" w:hAnsi="FangSong" w:eastAsia="FangSong" w:cs="FangSong"/>
          <w:sz w:val="30"/>
          <w:szCs w:val="30"/>
          <w:spacing w:val="11"/>
        </w:rPr>
        <w:t>为之一的，由县级以上地方疾病预防控制主管部门责令立即停止违法行为，给予警告，没收违法所得；</w:t>
      </w:r>
    </w:p>
    <w:p>
      <w:pPr>
        <w:spacing w:line="246" w:lineRule="auto"/>
        <w:sectPr>
          <w:footerReference w:type="default" r:id="rId523"/>
          <w:pgSz w:w="16830" w:h="11900"/>
          <w:pgMar w:top="1011" w:right="1369" w:bottom="1118" w:left="1414" w:header="0" w:footer="785" w:gutter="0"/>
        </w:sectPr>
        <w:rPr>
          <w:rFonts w:ascii="FangSong" w:hAnsi="FangSong" w:eastAsia="FangSong" w:cs="FangSong"/>
          <w:sz w:val="30"/>
          <w:szCs w:val="30"/>
        </w:rPr>
      </w:pPr>
    </w:p>
    <w:p>
      <w:pPr>
        <w:pStyle w:val="BodyText"/>
        <w:spacing w:line="257" w:lineRule="auto"/>
        <w:rPr/>
      </w:pPr>
      <w:r/>
    </w:p>
    <w:p>
      <w:pPr>
        <w:pStyle w:val="BodyText"/>
        <w:spacing w:line="258" w:lineRule="auto"/>
        <w:rPr/>
      </w:pPr>
      <w:r/>
    </w:p>
    <w:p>
      <w:pPr>
        <w:pStyle w:val="BodyText"/>
        <w:spacing w:line="258" w:lineRule="auto"/>
        <w:rPr/>
      </w:pPr>
      <w:r/>
    </w:p>
    <w:p>
      <w:pPr>
        <w:ind w:left="5" w:right="159"/>
        <w:spacing w:before="97" w:line="260" w:lineRule="auto"/>
        <w:jc w:val="both"/>
        <w:rPr>
          <w:rFonts w:ascii="FangSong" w:hAnsi="FangSong" w:eastAsia="FangSong" w:cs="FangSong"/>
          <w:sz w:val="30"/>
          <w:szCs w:val="30"/>
        </w:rPr>
      </w:pPr>
      <w:r>
        <w:rPr>
          <w:rFonts w:ascii="FangSong" w:hAnsi="FangSong" w:eastAsia="FangSong" w:cs="FangSong"/>
          <w:sz w:val="30"/>
          <w:szCs w:val="30"/>
          <w:spacing w:val="17"/>
        </w:rPr>
        <w:t>违法所得五千元以上的，并处违法所得二倍以上五倍以下的罚款；没有违法所得或者违法所得不足五</w:t>
      </w:r>
      <w:r>
        <w:rPr>
          <w:rFonts w:ascii="FangSong" w:hAnsi="FangSong" w:eastAsia="FangSong" w:cs="FangSong"/>
          <w:sz w:val="30"/>
          <w:szCs w:val="30"/>
        </w:rPr>
        <w:t xml:space="preserve"> </w:t>
      </w:r>
      <w:r>
        <w:rPr>
          <w:rFonts w:ascii="FangSong" w:hAnsi="FangSong" w:eastAsia="FangSong" w:cs="FangSong"/>
          <w:sz w:val="30"/>
          <w:szCs w:val="30"/>
          <w:spacing w:val="17"/>
        </w:rPr>
        <w:t>千元的，并处五千元以上二万元以下的罚款；情节严重的，由原资质认可机关取消其资质</w:t>
      </w:r>
      <w:r>
        <w:rPr>
          <w:rFonts w:ascii="FangSong" w:hAnsi="FangSong" w:eastAsia="FangSong" w:cs="FangSong"/>
          <w:sz w:val="30"/>
          <w:szCs w:val="30"/>
          <w:spacing w:val="16"/>
        </w:rPr>
        <w:t>认可；对直</w:t>
      </w:r>
      <w:r>
        <w:rPr>
          <w:rFonts w:ascii="FangSong" w:hAnsi="FangSong" w:eastAsia="FangSong" w:cs="FangSong"/>
          <w:sz w:val="30"/>
          <w:szCs w:val="30"/>
        </w:rPr>
        <w:t xml:space="preserve"> </w:t>
      </w:r>
      <w:r>
        <w:rPr>
          <w:rFonts w:ascii="FangSong" w:hAnsi="FangSong" w:eastAsia="FangSong" w:cs="FangSong"/>
          <w:sz w:val="30"/>
          <w:szCs w:val="30"/>
          <w:spacing w:val="17"/>
        </w:rPr>
        <w:t>接负责的主管人员和其他责任人员，依法给予降级、撤职或者开除的处分；构成犯罪的，依法追究刑</w:t>
      </w:r>
      <w:r>
        <w:rPr>
          <w:rFonts w:ascii="FangSong" w:hAnsi="FangSong" w:eastAsia="FangSong" w:cs="FangSong"/>
          <w:sz w:val="30"/>
          <w:szCs w:val="30"/>
          <w:spacing w:val="6"/>
        </w:rPr>
        <w:t xml:space="preserve"> </w:t>
      </w:r>
      <w:r>
        <w:rPr>
          <w:rFonts w:ascii="FangSong" w:hAnsi="FangSong" w:eastAsia="FangSong" w:cs="FangSong"/>
          <w:sz w:val="30"/>
          <w:szCs w:val="30"/>
          <w:spacing w:val="-2"/>
        </w:rPr>
        <w:t>事责任：</w:t>
      </w:r>
    </w:p>
    <w:p>
      <w:pPr>
        <w:ind w:left="785"/>
        <w:spacing w:before="199" w:line="220" w:lineRule="auto"/>
        <w:rPr>
          <w:rFonts w:ascii="FangSong" w:hAnsi="FangSong" w:eastAsia="FangSong" w:cs="FangSong"/>
          <w:sz w:val="30"/>
          <w:szCs w:val="30"/>
        </w:rPr>
      </w:pPr>
      <w:r>
        <w:rPr>
          <w:rFonts w:ascii="FangSong" w:hAnsi="FangSong" w:eastAsia="FangSong" w:cs="FangSong"/>
          <w:sz w:val="30"/>
          <w:szCs w:val="30"/>
          <w:spacing w:val="25"/>
        </w:rPr>
        <w:t>(三)出具虚假证明文件的；</w:t>
      </w:r>
    </w:p>
    <w:p>
      <w:pPr>
        <w:ind w:left="5" w:right="154" w:firstLine="660"/>
        <w:spacing w:before="63" w:line="271" w:lineRule="auto"/>
        <w:jc w:val="both"/>
        <w:rPr>
          <w:rFonts w:ascii="FangSong" w:hAnsi="FangSong" w:eastAsia="FangSong" w:cs="FangSong"/>
          <w:sz w:val="30"/>
          <w:szCs w:val="30"/>
        </w:rPr>
      </w:pPr>
      <w:r>
        <w:rPr>
          <w:rFonts w:ascii="FangSong" w:hAnsi="FangSong" w:eastAsia="FangSong" w:cs="FangSong"/>
          <w:sz w:val="30"/>
          <w:szCs w:val="30"/>
          <w:spacing w:val="19"/>
        </w:rPr>
        <w:t>3.</w:t>
      </w:r>
      <w:r>
        <w:rPr>
          <w:rFonts w:ascii="FangSong" w:hAnsi="FangSong" w:eastAsia="FangSong" w:cs="FangSong"/>
          <w:sz w:val="30"/>
          <w:szCs w:val="30"/>
          <w:spacing w:val="19"/>
        </w:rPr>
        <w:t xml:space="preserve"> </w:t>
      </w:r>
      <w:r>
        <w:rPr>
          <w:rFonts w:ascii="FangSong" w:hAnsi="FangSong" w:eastAsia="FangSong" w:cs="FangSong"/>
          <w:sz w:val="30"/>
          <w:szCs w:val="30"/>
          <w:spacing w:val="19"/>
        </w:rPr>
        <w:t>《职业病诊断与鉴定管理办法》第五十五条第(三)项</w:t>
      </w:r>
      <w:r>
        <w:rPr>
          <w:rFonts w:ascii="FangSong" w:hAnsi="FangSong" w:eastAsia="FangSong" w:cs="FangSong"/>
          <w:sz w:val="30"/>
          <w:szCs w:val="30"/>
          <w:spacing w:val="19"/>
        </w:rPr>
        <w:t xml:space="preserve">  </w:t>
      </w:r>
      <w:r>
        <w:rPr>
          <w:rFonts w:ascii="FangSong" w:hAnsi="FangSong" w:eastAsia="FangSong" w:cs="FangSong"/>
          <w:sz w:val="30"/>
          <w:szCs w:val="30"/>
          <w:spacing w:val="19"/>
        </w:rPr>
        <w:t>职业病诊断机构有下列</w:t>
      </w:r>
      <w:r>
        <w:rPr>
          <w:rFonts w:ascii="FangSong" w:hAnsi="FangSong" w:eastAsia="FangSong" w:cs="FangSong"/>
          <w:sz w:val="30"/>
          <w:szCs w:val="30"/>
          <w:spacing w:val="18"/>
        </w:rPr>
        <w:t>行为之一的，</w:t>
      </w:r>
      <w:r>
        <w:rPr>
          <w:rFonts w:ascii="FangSong" w:hAnsi="FangSong" w:eastAsia="FangSong" w:cs="FangSong"/>
          <w:sz w:val="30"/>
          <w:szCs w:val="30"/>
        </w:rPr>
        <w:t xml:space="preserve"> </w:t>
      </w:r>
      <w:r>
        <w:rPr>
          <w:rFonts w:ascii="FangSong" w:hAnsi="FangSong" w:eastAsia="FangSong" w:cs="FangSong"/>
          <w:sz w:val="30"/>
          <w:szCs w:val="30"/>
          <w:spacing w:val="17"/>
        </w:rPr>
        <w:t>其作出的职业病诊断无效，由县级以上地方卫生健康主管部门按照《职业病防治法》</w:t>
      </w:r>
      <w:r>
        <w:rPr>
          <w:rFonts w:ascii="FangSong" w:hAnsi="FangSong" w:eastAsia="FangSong" w:cs="FangSong"/>
          <w:sz w:val="30"/>
          <w:szCs w:val="30"/>
          <w:spacing w:val="16"/>
        </w:rPr>
        <w:t>的第八十条的规</w:t>
      </w:r>
      <w:r>
        <w:rPr>
          <w:rFonts w:ascii="FangSong" w:hAnsi="FangSong" w:eastAsia="FangSong" w:cs="FangSong"/>
          <w:sz w:val="30"/>
          <w:szCs w:val="30"/>
        </w:rPr>
        <w:t xml:space="preserve"> </w:t>
      </w:r>
      <w:r>
        <w:rPr>
          <w:rFonts w:ascii="FangSong" w:hAnsi="FangSong" w:eastAsia="FangSong" w:cs="FangSong"/>
          <w:sz w:val="30"/>
          <w:szCs w:val="30"/>
          <w:spacing w:val="3"/>
        </w:rPr>
        <w:t>定进行处理：</w:t>
      </w:r>
    </w:p>
    <w:p>
      <w:pPr>
        <w:ind w:left="785"/>
        <w:spacing w:before="18" w:line="220" w:lineRule="auto"/>
        <w:rPr>
          <w:rFonts w:ascii="FangSong" w:hAnsi="FangSong" w:eastAsia="FangSong" w:cs="FangSong"/>
          <w:sz w:val="30"/>
          <w:szCs w:val="30"/>
        </w:rPr>
      </w:pPr>
      <w:r>
        <w:rPr>
          <w:rFonts w:ascii="FangSong" w:hAnsi="FangSong" w:eastAsia="FangSong" w:cs="FangSong"/>
          <w:sz w:val="30"/>
          <w:szCs w:val="30"/>
          <w:spacing w:val="25"/>
        </w:rPr>
        <w:t>(三)出具虚假证明文件的；</w:t>
      </w:r>
    </w:p>
    <w:p>
      <w:pPr>
        <w:ind w:left="6419"/>
        <w:spacing w:before="214"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1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54"/>
        <w:gridCol w:w="6905"/>
        <w:gridCol w:w="5751"/>
      </w:tblGrid>
      <w:tr>
        <w:trPr>
          <w:trHeight w:val="693" w:hRule="atLeast"/>
        </w:trPr>
        <w:tc>
          <w:tcPr>
            <w:tcW w:w="1454" w:type="dxa"/>
            <w:vAlign w:val="top"/>
          </w:tcPr>
          <w:p>
            <w:pPr>
              <w:pStyle w:val="TableText"/>
              <w:ind w:left="218"/>
              <w:spacing w:before="262" w:line="220" w:lineRule="auto"/>
              <w:rPr>
                <w:sz w:val="25"/>
                <w:szCs w:val="25"/>
              </w:rPr>
            </w:pPr>
            <w:r>
              <w:rPr>
                <w:sz w:val="25"/>
                <w:szCs w:val="25"/>
                <w:b/>
                <w:bCs/>
                <w:spacing w:val="-5"/>
              </w:rPr>
              <w:t>违法程度</w:t>
            </w:r>
          </w:p>
        </w:tc>
        <w:tc>
          <w:tcPr>
            <w:tcW w:w="6905" w:type="dxa"/>
            <w:vAlign w:val="top"/>
          </w:tcPr>
          <w:p>
            <w:pPr>
              <w:pStyle w:val="TableText"/>
              <w:ind w:left="2944"/>
              <w:spacing w:before="262" w:line="220" w:lineRule="auto"/>
              <w:rPr>
                <w:sz w:val="25"/>
                <w:szCs w:val="25"/>
              </w:rPr>
            </w:pPr>
            <w:r>
              <w:rPr>
                <w:sz w:val="25"/>
                <w:szCs w:val="25"/>
                <w:b/>
                <w:bCs/>
                <w:spacing w:val="-5"/>
              </w:rPr>
              <w:t>情节后果</w:t>
            </w:r>
          </w:p>
        </w:tc>
        <w:tc>
          <w:tcPr>
            <w:tcW w:w="5751" w:type="dxa"/>
            <w:vAlign w:val="top"/>
          </w:tcPr>
          <w:p>
            <w:pPr>
              <w:pStyle w:val="TableText"/>
              <w:ind w:left="2369"/>
              <w:spacing w:before="259" w:line="218" w:lineRule="auto"/>
              <w:rPr>
                <w:sz w:val="25"/>
                <w:szCs w:val="25"/>
              </w:rPr>
            </w:pPr>
            <w:r>
              <w:rPr>
                <w:sz w:val="25"/>
                <w:szCs w:val="25"/>
                <w:b/>
                <w:bCs/>
                <w:spacing w:val="-5"/>
              </w:rPr>
              <w:t>裁量幅度</w:t>
            </w:r>
          </w:p>
        </w:tc>
      </w:tr>
      <w:tr>
        <w:trPr>
          <w:trHeight w:val="837" w:hRule="atLeast"/>
        </w:trPr>
        <w:tc>
          <w:tcPr>
            <w:tcW w:w="1454" w:type="dxa"/>
            <w:vAlign w:val="top"/>
          </w:tcPr>
          <w:p>
            <w:pPr>
              <w:pStyle w:val="TableText"/>
              <w:ind w:left="468"/>
              <w:spacing w:before="298" w:line="219" w:lineRule="auto"/>
              <w:rPr>
                <w:sz w:val="25"/>
                <w:szCs w:val="25"/>
              </w:rPr>
            </w:pPr>
            <w:r>
              <w:rPr>
                <w:sz w:val="25"/>
                <w:szCs w:val="25"/>
                <w:b/>
                <w:bCs/>
                <w:spacing w:val="-6"/>
              </w:rPr>
              <w:t>轻微</w:t>
            </w:r>
          </w:p>
        </w:tc>
        <w:tc>
          <w:tcPr>
            <w:tcW w:w="6905" w:type="dxa"/>
            <w:vAlign w:val="top"/>
          </w:tcPr>
          <w:p>
            <w:pPr>
              <w:pStyle w:val="TableText"/>
              <w:ind w:left="190" w:right="64" w:hanging="119"/>
              <w:spacing w:before="130" w:line="253" w:lineRule="auto"/>
              <w:rPr>
                <w:sz w:val="25"/>
                <w:szCs w:val="25"/>
              </w:rPr>
            </w:pPr>
            <w:r>
              <w:rPr>
                <w:sz w:val="25"/>
                <w:szCs w:val="25"/>
              </w:rPr>
              <w:t>从事职业卫生技术服务的机构和承担职业病诊断的医疗卫生机</w:t>
            </w:r>
            <w:r>
              <w:rPr>
                <w:sz w:val="25"/>
                <w:szCs w:val="25"/>
                <w:spacing w:val="8"/>
              </w:rPr>
              <w:t xml:space="preserve"> </w:t>
            </w:r>
            <w:r>
              <w:rPr>
                <w:sz w:val="25"/>
                <w:szCs w:val="25"/>
              </w:rPr>
              <w:t>构出具虚假证明文件，没有违法所得或违法所得无法认定的</w:t>
            </w:r>
          </w:p>
        </w:tc>
        <w:tc>
          <w:tcPr>
            <w:tcW w:w="5751" w:type="dxa"/>
            <w:vAlign w:val="top"/>
          </w:tcPr>
          <w:p>
            <w:pPr>
              <w:pStyle w:val="TableText"/>
              <w:ind w:left="114" w:hanging="99"/>
              <w:spacing w:before="209" w:line="228" w:lineRule="auto"/>
              <w:rPr>
                <w:sz w:val="25"/>
                <w:szCs w:val="25"/>
              </w:rPr>
            </w:pPr>
            <w:r>
              <w:rPr>
                <w:sz w:val="25"/>
                <w:szCs w:val="25"/>
                <w:spacing w:val="-1"/>
              </w:rPr>
              <w:t>责令立即停止违法行为，给予警告，并处五千</w:t>
            </w:r>
            <w:r>
              <w:rPr>
                <w:sz w:val="25"/>
                <w:szCs w:val="25"/>
                <w:spacing w:val="-2"/>
              </w:rPr>
              <w:t>元以上</w:t>
            </w:r>
            <w:r>
              <w:rPr>
                <w:sz w:val="25"/>
                <w:szCs w:val="25"/>
              </w:rPr>
              <w:t xml:space="preserve"> </w:t>
            </w:r>
            <w:r>
              <w:rPr>
                <w:sz w:val="25"/>
                <w:szCs w:val="25"/>
                <w:spacing w:val="1"/>
              </w:rPr>
              <w:t>一万元以下罚款</w:t>
            </w:r>
          </w:p>
        </w:tc>
      </w:tr>
      <w:tr>
        <w:trPr>
          <w:trHeight w:val="787" w:hRule="atLeast"/>
        </w:trPr>
        <w:tc>
          <w:tcPr>
            <w:tcW w:w="1454" w:type="dxa"/>
            <w:vAlign w:val="top"/>
          </w:tcPr>
          <w:p>
            <w:pPr>
              <w:rPr>
                <w:rFonts w:ascii="Arial"/>
                <w:sz w:val="21"/>
              </w:rPr>
            </w:pPr>
            <w:r/>
          </w:p>
          <w:p>
            <w:pPr>
              <w:pStyle w:val="TableText"/>
              <w:ind w:left="468"/>
              <w:spacing w:before="81" w:line="221" w:lineRule="auto"/>
              <w:rPr>
                <w:sz w:val="25"/>
                <w:szCs w:val="25"/>
              </w:rPr>
            </w:pPr>
            <w:r>
              <w:rPr>
                <w:sz w:val="25"/>
                <w:szCs w:val="25"/>
                <w:b/>
                <w:bCs/>
                <w:spacing w:val="-10"/>
              </w:rPr>
              <w:t>一般</w:t>
            </w:r>
          </w:p>
        </w:tc>
        <w:tc>
          <w:tcPr>
            <w:tcW w:w="6905" w:type="dxa"/>
            <w:vAlign w:val="top"/>
          </w:tcPr>
          <w:p>
            <w:pPr>
              <w:pStyle w:val="TableText"/>
              <w:ind w:left="111" w:right="64" w:hanging="40"/>
              <w:spacing w:before="113" w:line="245" w:lineRule="auto"/>
              <w:rPr>
                <w:sz w:val="25"/>
                <w:szCs w:val="25"/>
              </w:rPr>
            </w:pPr>
            <w:r>
              <w:rPr>
                <w:sz w:val="25"/>
                <w:szCs w:val="25"/>
              </w:rPr>
              <w:t>从事职业卫生技术服务的机构和承担职业病诊断的医疗卫生机</w:t>
            </w:r>
            <w:r>
              <w:rPr>
                <w:sz w:val="25"/>
                <w:szCs w:val="25"/>
                <w:spacing w:val="8"/>
              </w:rPr>
              <w:t xml:space="preserve"> </w:t>
            </w:r>
            <w:r>
              <w:rPr>
                <w:sz w:val="25"/>
                <w:szCs w:val="25"/>
              </w:rPr>
              <w:t>构出具虚假证明文件，违法所得不足五千元的</w:t>
            </w:r>
          </w:p>
        </w:tc>
        <w:tc>
          <w:tcPr>
            <w:tcW w:w="5751" w:type="dxa"/>
            <w:vAlign w:val="top"/>
          </w:tcPr>
          <w:p>
            <w:pPr>
              <w:pStyle w:val="TableText"/>
              <w:ind w:left="105" w:hanging="49"/>
              <w:spacing w:before="124" w:line="241" w:lineRule="auto"/>
              <w:rPr>
                <w:sz w:val="25"/>
                <w:szCs w:val="25"/>
              </w:rPr>
            </w:pPr>
            <w:r>
              <w:rPr>
                <w:sz w:val="25"/>
                <w:szCs w:val="25"/>
                <w:spacing w:val="-3"/>
              </w:rPr>
              <w:t>责令立即停止违法行为，给予警告，没收违法所得，</w:t>
            </w:r>
            <w:r>
              <w:rPr>
                <w:sz w:val="25"/>
                <w:szCs w:val="25"/>
                <w:spacing w:val="2"/>
              </w:rPr>
              <w:t xml:space="preserve"> </w:t>
            </w:r>
            <w:r>
              <w:rPr>
                <w:sz w:val="25"/>
                <w:szCs w:val="25"/>
                <w:spacing w:val="-2"/>
              </w:rPr>
              <w:t>并处一万元以上二万元以下的罚款</w:t>
            </w:r>
          </w:p>
        </w:tc>
      </w:tr>
      <w:tr>
        <w:trPr>
          <w:trHeight w:val="782" w:hRule="atLeast"/>
        </w:trPr>
        <w:tc>
          <w:tcPr>
            <w:tcW w:w="1454" w:type="dxa"/>
            <w:vAlign w:val="top"/>
          </w:tcPr>
          <w:p>
            <w:pPr>
              <w:spacing w:line="245" w:lineRule="auto"/>
              <w:rPr>
                <w:rFonts w:ascii="Arial"/>
                <w:sz w:val="21"/>
              </w:rPr>
            </w:pPr>
            <w:r/>
          </w:p>
          <w:p>
            <w:pPr>
              <w:pStyle w:val="TableText"/>
              <w:ind w:left="468"/>
              <w:spacing w:before="81" w:line="221" w:lineRule="auto"/>
              <w:rPr>
                <w:sz w:val="25"/>
                <w:szCs w:val="25"/>
              </w:rPr>
            </w:pPr>
            <w:r>
              <w:rPr>
                <w:sz w:val="25"/>
                <w:szCs w:val="25"/>
                <w:b/>
                <w:bCs/>
                <w:spacing w:val="-6"/>
              </w:rPr>
              <w:t>较重</w:t>
            </w:r>
          </w:p>
        </w:tc>
        <w:tc>
          <w:tcPr>
            <w:tcW w:w="6905" w:type="dxa"/>
            <w:vAlign w:val="top"/>
          </w:tcPr>
          <w:p>
            <w:pPr>
              <w:pStyle w:val="TableText"/>
              <w:ind w:left="111" w:right="64" w:hanging="40"/>
              <w:spacing w:before="116" w:line="242" w:lineRule="auto"/>
              <w:rPr>
                <w:sz w:val="25"/>
                <w:szCs w:val="25"/>
              </w:rPr>
            </w:pPr>
            <w:r>
              <w:rPr>
                <w:sz w:val="25"/>
                <w:szCs w:val="25"/>
              </w:rPr>
              <w:t>从事职业卫生技术服务的机构和承担职业病诊断的医疗卫生机</w:t>
            </w:r>
            <w:r>
              <w:rPr>
                <w:sz w:val="25"/>
                <w:szCs w:val="25"/>
                <w:spacing w:val="8"/>
              </w:rPr>
              <w:t xml:space="preserve"> </w:t>
            </w:r>
            <w:r>
              <w:rPr>
                <w:sz w:val="25"/>
                <w:szCs w:val="25"/>
              </w:rPr>
              <w:t>构出具虚假证明文件，违法所得五千元以上一万元以下的</w:t>
            </w:r>
          </w:p>
        </w:tc>
        <w:tc>
          <w:tcPr>
            <w:tcW w:w="5751" w:type="dxa"/>
            <w:vAlign w:val="top"/>
          </w:tcPr>
          <w:p>
            <w:pPr>
              <w:pStyle w:val="TableText"/>
              <w:ind w:left="105" w:hanging="49"/>
              <w:spacing w:before="116" w:line="242" w:lineRule="auto"/>
              <w:rPr>
                <w:sz w:val="25"/>
                <w:szCs w:val="25"/>
              </w:rPr>
            </w:pPr>
            <w:r>
              <w:rPr>
                <w:sz w:val="25"/>
                <w:szCs w:val="25"/>
                <w:spacing w:val="-3"/>
              </w:rPr>
              <w:t>责令立即停止违法行为，给予警告，没收违法所得，</w:t>
            </w:r>
            <w:r>
              <w:rPr>
                <w:sz w:val="25"/>
                <w:szCs w:val="25"/>
                <w:spacing w:val="2"/>
              </w:rPr>
              <w:t xml:space="preserve"> </w:t>
            </w:r>
            <w:r>
              <w:rPr>
                <w:sz w:val="25"/>
                <w:szCs w:val="25"/>
                <w:spacing w:val="-2"/>
              </w:rPr>
              <w:t>并处违法所得二倍以上四倍以下的罚款</w:t>
            </w:r>
          </w:p>
        </w:tc>
      </w:tr>
    </w:tbl>
    <w:p>
      <w:pPr>
        <w:pStyle w:val="BodyText"/>
        <w:rPr/>
      </w:pPr>
      <w:r/>
    </w:p>
    <w:p>
      <w:pPr>
        <w:sectPr>
          <w:footerReference w:type="default" r:id="rId524"/>
          <w:pgSz w:w="16830" w:h="11900"/>
          <w:pgMar w:top="1011" w:right="1274" w:bottom="1135" w:left="1434" w:header="0" w:footer="793" w:gutter="0"/>
        </w:sectPr>
        <w:rPr/>
      </w:pPr>
    </w:p>
    <w:p>
      <w:pPr>
        <w:spacing w:before="20"/>
        <w:rPr/>
      </w:pPr>
      <w:r/>
    </w:p>
    <w:p>
      <w:pPr>
        <w:spacing w:before="20"/>
        <w:rPr/>
      </w:pPr>
      <w:r/>
    </w:p>
    <w:p>
      <w:pPr>
        <w:spacing w:before="19"/>
        <w:rPr/>
      </w:pPr>
      <w:r/>
    </w:p>
    <w:tbl>
      <w:tblPr>
        <w:tblStyle w:val="TableNormal"/>
        <w:tblW w:w="14100" w:type="dxa"/>
        <w:tblInd w:w="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6905"/>
        <w:gridCol w:w="5751"/>
      </w:tblGrid>
      <w:tr>
        <w:trPr>
          <w:trHeight w:val="792" w:hRule="atLeast"/>
        </w:trPr>
        <w:tc>
          <w:tcPr>
            <w:tcW w:w="1444" w:type="dxa"/>
            <w:vAlign w:val="top"/>
          </w:tcPr>
          <w:p>
            <w:pPr>
              <w:spacing w:line="242" w:lineRule="auto"/>
              <w:rPr>
                <w:rFonts w:ascii="Arial"/>
                <w:sz w:val="21"/>
              </w:rPr>
            </w:pPr>
            <w:r/>
          </w:p>
          <w:p>
            <w:pPr>
              <w:pStyle w:val="TableText"/>
              <w:ind w:left="478"/>
              <w:spacing w:before="78" w:line="220" w:lineRule="auto"/>
              <w:rPr/>
            </w:pPr>
            <w:bookmarkStart w:name="bookmark1150" w:id="526"/>
            <w:bookmarkEnd w:id="526"/>
            <w:r>
              <w:rPr>
                <w:b/>
                <w:bCs/>
                <w:spacing w:val="-6"/>
              </w:rPr>
              <w:t>严重</w:t>
            </w:r>
          </w:p>
        </w:tc>
        <w:tc>
          <w:tcPr>
            <w:tcW w:w="6905" w:type="dxa"/>
            <w:vAlign w:val="top"/>
          </w:tcPr>
          <w:p>
            <w:pPr>
              <w:pStyle w:val="TableText"/>
              <w:ind w:left="121" w:right="274" w:firstLine="9"/>
              <w:spacing w:before="113" w:line="257" w:lineRule="auto"/>
              <w:rPr/>
            </w:pPr>
            <w:r>
              <w:rPr/>
              <w:t>从事职业卫生技术服务的机构和承担职业病诊断的医疗卫生机</w:t>
            </w:r>
            <w:r>
              <w:rPr>
                <w:spacing w:val="8"/>
              </w:rPr>
              <w:t xml:space="preserve"> </w:t>
            </w:r>
            <w:r>
              <w:rPr/>
              <w:t>构出具虚假证明文件，违法所得一万元以上五万元以下的</w:t>
            </w:r>
          </w:p>
        </w:tc>
        <w:tc>
          <w:tcPr>
            <w:tcW w:w="5751" w:type="dxa"/>
            <w:vAlign w:val="top"/>
          </w:tcPr>
          <w:p>
            <w:pPr>
              <w:pStyle w:val="TableText"/>
              <w:ind w:left="116" w:right="54" w:firstLine="49"/>
              <w:spacing w:before="113" w:line="257" w:lineRule="auto"/>
              <w:rPr/>
            </w:pPr>
            <w:r>
              <w:rPr/>
              <w:t>责令立即停止违法行为，给予警告，没收违法所得， </w:t>
            </w:r>
            <w:r>
              <w:rPr/>
              <w:t>并处违法所得四倍以上五倍以下的罚款</w:t>
            </w:r>
          </w:p>
        </w:tc>
      </w:tr>
      <w:tr>
        <w:trPr>
          <w:trHeight w:val="2088" w:hRule="atLeast"/>
        </w:trPr>
        <w:tc>
          <w:tcPr>
            <w:tcW w:w="1444" w:type="dxa"/>
            <w:vAlign w:val="top"/>
          </w:tcPr>
          <w:p>
            <w:pPr>
              <w:spacing w:line="348" w:lineRule="auto"/>
              <w:rPr>
                <w:rFonts w:ascii="Arial"/>
                <w:sz w:val="21"/>
              </w:rPr>
            </w:pPr>
            <w:r/>
          </w:p>
          <w:p>
            <w:pPr>
              <w:spacing w:line="348" w:lineRule="auto"/>
              <w:rPr>
                <w:rFonts w:ascii="Arial"/>
                <w:sz w:val="21"/>
              </w:rPr>
            </w:pPr>
            <w:r/>
          </w:p>
          <w:p>
            <w:pPr>
              <w:pStyle w:val="TableText"/>
              <w:ind w:left="478" w:right="462"/>
              <w:spacing w:before="78" w:line="311" w:lineRule="auto"/>
              <w:rPr/>
            </w:pPr>
            <w:r>
              <w:rPr>
                <w:b/>
                <w:bCs/>
                <w:spacing w:val="3"/>
              </w:rPr>
              <w:t>特别</w:t>
            </w:r>
            <w:r>
              <w:rPr/>
              <w:t xml:space="preserve"> </w:t>
            </w:r>
            <w:r>
              <w:rPr>
                <w:b/>
                <w:bCs/>
                <w:spacing w:val="-6"/>
              </w:rPr>
              <w:t>严重</w:t>
            </w:r>
          </w:p>
        </w:tc>
        <w:tc>
          <w:tcPr>
            <w:tcW w:w="6905" w:type="dxa"/>
            <w:vAlign w:val="top"/>
          </w:tcPr>
          <w:p>
            <w:pPr>
              <w:pStyle w:val="TableText"/>
              <w:ind w:left="121" w:right="274" w:firstLine="9"/>
              <w:spacing w:before="82" w:line="265" w:lineRule="auto"/>
              <w:rPr/>
            </w:pPr>
            <w:r>
              <w:rPr/>
              <w:t>从事职业卫生技术服务的机构和承担职业病诊断的医疗卫生机</w:t>
            </w:r>
            <w:r>
              <w:rPr>
                <w:spacing w:val="8"/>
              </w:rPr>
              <w:t xml:space="preserve"> </w:t>
            </w:r>
            <w:r>
              <w:rPr>
                <w:spacing w:val="2"/>
              </w:rPr>
              <w:t>构有下列情形之一的：</w:t>
            </w:r>
          </w:p>
          <w:p>
            <w:pPr>
              <w:pStyle w:val="TableText"/>
              <w:ind w:left="121"/>
              <w:spacing w:before="9" w:line="219" w:lineRule="auto"/>
              <w:rPr/>
            </w:pPr>
            <w:r>
              <w:rPr/>
              <w:t>A.出具虚假证明文件，违法所得五万元以上的</w:t>
            </w:r>
          </w:p>
          <w:p>
            <w:pPr>
              <w:pStyle w:val="TableText"/>
              <w:ind w:left="121"/>
              <w:spacing w:before="35" w:line="219" w:lineRule="auto"/>
              <w:rPr/>
            </w:pPr>
            <w:r>
              <w:rPr/>
              <w:t>B.出具虚假证明文件，对劳动者健康或健康权益造成严</w:t>
            </w:r>
            <w:r>
              <w:rPr>
                <w:spacing w:val="-1"/>
              </w:rPr>
              <w:t>重影响或</w:t>
            </w:r>
          </w:p>
          <w:p>
            <w:pPr>
              <w:pStyle w:val="TableText"/>
              <w:ind w:left="121"/>
              <w:spacing w:before="47" w:line="220" w:lineRule="auto"/>
              <w:rPr/>
            </w:pPr>
            <w:r>
              <w:rPr>
                <w:color w:val="405040"/>
                <w:spacing w:val="6"/>
              </w:rPr>
              <w:t>损害的</w:t>
            </w:r>
          </w:p>
          <w:p>
            <w:pPr>
              <w:pStyle w:val="TableText"/>
              <w:ind w:left="121"/>
              <w:spacing w:before="62" w:line="219" w:lineRule="auto"/>
              <w:rPr/>
            </w:pPr>
            <w:r>
              <w:rPr/>
              <w:t>C.出具虚假证明文件，情节严重，造成恶劣社会影响的</w:t>
            </w:r>
          </w:p>
        </w:tc>
        <w:tc>
          <w:tcPr>
            <w:tcW w:w="5751" w:type="dxa"/>
            <w:vAlign w:val="top"/>
          </w:tcPr>
          <w:p>
            <w:pPr>
              <w:spacing w:line="343" w:lineRule="auto"/>
              <w:rPr>
                <w:rFonts w:ascii="Arial"/>
                <w:sz w:val="21"/>
              </w:rPr>
            </w:pPr>
            <w:r/>
          </w:p>
          <w:p>
            <w:pPr>
              <w:pStyle w:val="TableText"/>
              <w:ind w:left="106" w:right="89"/>
              <w:spacing w:before="78" w:line="265" w:lineRule="auto"/>
              <w:jc w:val="both"/>
              <w:rPr/>
            </w:pPr>
            <w:r>
              <w:rPr>
                <w:spacing w:val="1"/>
              </w:rPr>
              <w:t>由原认可或者登记机关取消其相应的资格。责令立即</w:t>
            </w:r>
            <w:r>
              <w:rPr/>
              <w:t xml:space="preserve"> </w:t>
            </w:r>
            <w:r>
              <w:rPr>
                <w:spacing w:val="-1"/>
              </w:rPr>
              <w:t>停止违法行为，给予警告，没收违法所得，并处违法</w:t>
            </w:r>
            <w:r>
              <w:rPr>
                <w:spacing w:val="11"/>
              </w:rPr>
              <w:t xml:space="preserve"> </w:t>
            </w:r>
            <w:r>
              <w:rPr/>
              <w:t>所得五倍的罚款；没有违法所得、违法所得无法认定</w:t>
            </w:r>
            <w:r>
              <w:rPr>
                <w:spacing w:val="14"/>
              </w:rPr>
              <w:t xml:space="preserve"> </w:t>
            </w:r>
            <w:r>
              <w:rPr>
                <w:spacing w:val="1"/>
              </w:rPr>
              <w:t>或者违法所得不足五千元的，并处二万元罚款</w:t>
            </w:r>
          </w:p>
        </w:tc>
      </w:tr>
    </w:tbl>
    <w:p>
      <w:pPr>
        <w:pStyle w:val="BodyText"/>
        <w:spacing w:line="415" w:lineRule="auto"/>
        <w:rPr/>
      </w:pPr>
      <w:r/>
    </w:p>
    <w:p>
      <w:pPr>
        <w:ind w:left="4" w:right="508" w:firstLine="639"/>
        <w:spacing w:before="97" w:line="286" w:lineRule="auto"/>
        <w:rPr>
          <w:rFonts w:ascii="FangSong" w:hAnsi="FangSong" w:eastAsia="FangSong" w:cs="FangSong"/>
          <w:sz w:val="30"/>
          <w:szCs w:val="30"/>
        </w:rPr>
      </w:pPr>
      <w:r>
        <w:rPr>
          <w:rFonts w:ascii="FangSong" w:hAnsi="FangSong" w:eastAsia="FangSong" w:cs="FangSong"/>
          <w:sz w:val="30"/>
          <w:szCs w:val="30"/>
          <w:b/>
          <w:bCs/>
          <w:spacing w:val="21"/>
        </w:rPr>
        <w:t>第四百八十八条职业病诊断鉴定委员会组成人员收受职业病诊断争议当事人的财</w:t>
      </w:r>
      <w:r>
        <w:rPr>
          <w:rFonts w:ascii="FangSong" w:hAnsi="FangSong" w:eastAsia="FangSong" w:cs="FangSong"/>
          <w:sz w:val="30"/>
          <w:szCs w:val="30"/>
          <w:b/>
          <w:bCs/>
          <w:spacing w:val="20"/>
        </w:rPr>
        <w:t>物或者其他</w:t>
      </w:r>
      <w:r>
        <w:rPr>
          <w:rFonts w:ascii="FangSong" w:hAnsi="FangSong" w:eastAsia="FangSong" w:cs="FangSong"/>
          <w:sz w:val="30"/>
          <w:szCs w:val="30"/>
        </w:rPr>
        <w:t xml:space="preserve"> </w:t>
      </w:r>
      <w:r>
        <w:rPr>
          <w:rFonts w:ascii="FangSong" w:hAnsi="FangSong" w:eastAsia="FangSong" w:cs="FangSong"/>
          <w:sz w:val="30"/>
          <w:szCs w:val="30"/>
          <w:b/>
          <w:bCs/>
          <w:spacing w:val="13"/>
        </w:rPr>
        <w:t>好处的</w:t>
      </w:r>
    </w:p>
    <w:p>
      <w:pPr>
        <w:ind w:left="639"/>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right="190" w:firstLine="639"/>
        <w:spacing w:before="38" w:line="258" w:lineRule="auto"/>
        <w:rPr>
          <w:rFonts w:ascii="FangSong" w:hAnsi="FangSong" w:eastAsia="FangSong" w:cs="FangSong"/>
          <w:sz w:val="30"/>
          <w:szCs w:val="30"/>
        </w:rPr>
      </w:pPr>
      <w:r>
        <w:rPr>
          <w:rFonts w:ascii="FangSong" w:hAnsi="FangSong" w:eastAsia="FangSong" w:cs="FangSong"/>
          <w:sz w:val="30"/>
          <w:szCs w:val="30"/>
          <w:spacing w:val="12"/>
        </w:rPr>
        <w:t>1.</w:t>
      </w:r>
      <w:r>
        <w:rPr>
          <w:rFonts w:ascii="FangSong" w:hAnsi="FangSong" w:eastAsia="FangSong" w:cs="FangSong"/>
          <w:sz w:val="30"/>
          <w:szCs w:val="30"/>
          <w:spacing w:val="12"/>
        </w:rPr>
        <w:t xml:space="preserve"> </w:t>
      </w:r>
      <w:r>
        <w:rPr>
          <w:rFonts w:ascii="FangSong" w:hAnsi="FangSong" w:eastAsia="FangSong" w:cs="FangSong"/>
          <w:sz w:val="30"/>
          <w:szCs w:val="30"/>
          <w:spacing w:val="12"/>
        </w:rPr>
        <w:t>《中华人民共和国职业病防治法》第八十一条</w:t>
      </w:r>
      <w:r>
        <w:rPr>
          <w:rFonts w:ascii="FangSong" w:hAnsi="FangSong" w:eastAsia="FangSong" w:cs="FangSong"/>
          <w:sz w:val="30"/>
          <w:szCs w:val="30"/>
          <w:spacing w:val="12"/>
        </w:rPr>
        <w:t xml:space="preserve">  </w:t>
      </w:r>
      <w:r>
        <w:rPr>
          <w:rFonts w:ascii="FangSong" w:hAnsi="FangSong" w:eastAsia="FangSong" w:cs="FangSong"/>
          <w:sz w:val="30"/>
          <w:szCs w:val="30"/>
          <w:spacing w:val="12"/>
        </w:rPr>
        <w:t>职业病诊断鉴定委</w:t>
      </w:r>
      <w:r>
        <w:rPr>
          <w:rFonts w:ascii="FangSong" w:hAnsi="FangSong" w:eastAsia="FangSong" w:cs="FangSong"/>
          <w:sz w:val="30"/>
          <w:szCs w:val="30"/>
          <w:spacing w:val="11"/>
        </w:rPr>
        <w:t>员会组成人员收受职业病诊</w:t>
      </w:r>
      <w:r>
        <w:rPr>
          <w:rFonts w:ascii="FangSong" w:hAnsi="FangSong" w:eastAsia="FangSong" w:cs="FangSong"/>
          <w:sz w:val="30"/>
          <w:szCs w:val="30"/>
        </w:rPr>
        <w:t xml:space="preserve"> </w:t>
      </w:r>
      <w:r>
        <w:rPr>
          <w:rFonts w:ascii="FangSong" w:hAnsi="FangSong" w:eastAsia="FangSong" w:cs="FangSong"/>
          <w:sz w:val="30"/>
          <w:szCs w:val="30"/>
          <w:spacing w:val="16"/>
        </w:rPr>
        <w:t>断争议当事人的财物或者其他好处的，给予警告，没收收受的财物，可以并处三千元以上五万元以下</w:t>
      </w:r>
      <w:r>
        <w:rPr>
          <w:rFonts w:ascii="FangSong" w:hAnsi="FangSong" w:eastAsia="FangSong" w:cs="FangSong"/>
          <w:sz w:val="30"/>
          <w:szCs w:val="30"/>
          <w:spacing w:val="18"/>
        </w:rPr>
        <w:t xml:space="preserve"> </w:t>
      </w:r>
      <w:r>
        <w:rPr>
          <w:rFonts w:ascii="FangSong" w:hAnsi="FangSong" w:eastAsia="FangSong" w:cs="FangSong"/>
          <w:sz w:val="30"/>
          <w:szCs w:val="30"/>
          <w:spacing w:val="17"/>
        </w:rPr>
        <w:t>的罚款，取消其担任职业病诊断鉴定委员会</w:t>
      </w:r>
      <w:r>
        <w:rPr>
          <w:rFonts w:ascii="FangSong" w:hAnsi="FangSong" w:eastAsia="FangSong" w:cs="FangSong"/>
          <w:sz w:val="30"/>
          <w:szCs w:val="30"/>
          <w:spacing w:val="16"/>
        </w:rPr>
        <w:t>组成人员的资格，并从省、自治区、直辖市人民政府卫生</w:t>
      </w:r>
      <w:r>
        <w:rPr>
          <w:rFonts w:ascii="FangSong" w:hAnsi="FangSong" w:eastAsia="FangSong" w:cs="FangSong"/>
          <w:sz w:val="30"/>
          <w:szCs w:val="30"/>
        </w:rPr>
        <w:t xml:space="preserve"> </w:t>
      </w:r>
      <w:r>
        <w:rPr>
          <w:rFonts w:ascii="FangSong" w:hAnsi="FangSong" w:eastAsia="FangSong" w:cs="FangSong"/>
          <w:sz w:val="30"/>
          <w:szCs w:val="30"/>
          <w:spacing w:val="15"/>
        </w:rPr>
        <w:t>行政部门设立的专家库中予以除名。</w:t>
      </w:r>
    </w:p>
    <w:p>
      <w:pPr>
        <w:ind w:right="163" w:firstLine="639"/>
        <w:spacing w:before="91" w:line="250" w:lineRule="auto"/>
        <w:rPr>
          <w:rFonts w:ascii="FangSong" w:hAnsi="FangSong" w:eastAsia="FangSong" w:cs="FangSong"/>
          <w:sz w:val="30"/>
          <w:szCs w:val="30"/>
        </w:rPr>
      </w:pPr>
      <w:r>
        <w:rPr>
          <w:rFonts w:ascii="FangSong" w:hAnsi="FangSong" w:eastAsia="FangSong" w:cs="FangSong"/>
          <w:sz w:val="30"/>
          <w:szCs w:val="30"/>
          <w:spacing w:val="12"/>
        </w:rPr>
        <w:t>2.</w:t>
      </w:r>
      <w:r>
        <w:rPr>
          <w:rFonts w:ascii="FangSong" w:hAnsi="FangSong" w:eastAsia="FangSong" w:cs="FangSong"/>
          <w:sz w:val="30"/>
          <w:szCs w:val="30"/>
          <w:spacing w:val="12"/>
        </w:rPr>
        <w:t xml:space="preserve"> </w:t>
      </w:r>
      <w:r>
        <w:rPr>
          <w:rFonts w:ascii="FangSong" w:hAnsi="FangSong" w:eastAsia="FangSong" w:cs="FangSong"/>
          <w:sz w:val="30"/>
          <w:szCs w:val="30"/>
          <w:spacing w:val="12"/>
        </w:rPr>
        <w:t>《职业病诊断与鉴定管理办法》第五十八条</w:t>
      </w:r>
      <w:r>
        <w:rPr>
          <w:rFonts w:ascii="FangSong" w:hAnsi="FangSong" w:eastAsia="FangSong" w:cs="FangSong"/>
          <w:sz w:val="30"/>
          <w:szCs w:val="30"/>
          <w:spacing w:val="12"/>
        </w:rPr>
        <w:t xml:space="preserve">  </w:t>
      </w:r>
      <w:r>
        <w:rPr>
          <w:rFonts w:ascii="FangSong" w:hAnsi="FangSong" w:eastAsia="FangSong" w:cs="FangSong"/>
          <w:sz w:val="30"/>
          <w:szCs w:val="30"/>
          <w:spacing w:val="12"/>
        </w:rPr>
        <w:t>职业病诊断鉴定委员会组成人</w:t>
      </w:r>
      <w:r>
        <w:rPr>
          <w:rFonts w:ascii="FangSong" w:hAnsi="FangSong" w:eastAsia="FangSong" w:cs="FangSong"/>
          <w:sz w:val="30"/>
          <w:szCs w:val="30"/>
          <w:spacing w:val="11"/>
        </w:rPr>
        <w:t>员收受职业病诊断</w:t>
      </w:r>
      <w:r>
        <w:rPr>
          <w:rFonts w:ascii="FangSong" w:hAnsi="FangSong" w:eastAsia="FangSong" w:cs="FangSong"/>
          <w:sz w:val="30"/>
          <w:szCs w:val="30"/>
        </w:rPr>
        <w:t xml:space="preserve"> </w:t>
      </w:r>
      <w:r>
        <w:rPr>
          <w:rFonts w:ascii="FangSong" w:hAnsi="FangSong" w:eastAsia="FangSong" w:cs="FangSong"/>
          <w:sz w:val="30"/>
          <w:szCs w:val="30"/>
          <w:spacing w:val="17"/>
        </w:rPr>
        <w:t>争议当事人的财物或者其他好处的，由省级卫生健康主管部门按照《职业病防治法》第八十一条的规</w:t>
      </w:r>
      <w:r>
        <w:rPr>
          <w:rFonts w:ascii="FangSong" w:hAnsi="FangSong" w:eastAsia="FangSong" w:cs="FangSong"/>
          <w:sz w:val="30"/>
          <w:szCs w:val="30"/>
          <w:spacing w:val="2"/>
        </w:rPr>
        <w:t xml:space="preserve"> </w:t>
      </w:r>
      <w:r>
        <w:rPr>
          <w:rFonts w:ascii="FangSong" w:hAnsi="FangSong" w:eastAsia="FangSong" w:cs="FangSong"/>
          <w:sz w:val="30"/>
          <w:szCs w:val="30"/>
          <w:spacing w:val="6"/>
        </w:rPr>
        <w:t>定进行处理。</w:t>
      </w:r>
    </w:p>
    <w:p>
      <w:pPr>
        <w:spacing w:line="250" w:lineRule="auto"/>
        <w:sectPr>
          <w:footerReference w:type="default" r:id="rId525"/>
          <w:pgSz w:w="16830" w:h="11900"/>
          <w:pgMar w:top="1011" w:right="1285" w:bottom="1125" w:left="1430" w:header="0" w:footer="783" w:gutter="0"/>
        </w:sectPr>
        <w:rPr>
          <w:rFonts w:ascii="FangSong" w:hAnsi="FangSong" w:eastAsia="FangSong" w:cs="FangSong"/>
          <w:sz w:val="30"/>
          <w:szCs w:val="30"/>
        </w:rPr>
      </w:pPr>
    </w:p>
    <w:p>
      <w:pPr>
        <w:pStyle w:val="BodyText"/>
        <w:spacing w:line="259" w:lineRule="auto"/>
        <w:rPr/>
      </w:pPr>
      <w:r/>
    </w:p>
    <w:p>
      <w:pPr>
        <w:pStyle w:val="BodyText"/>
        <w:spacing w:line="259" w:lineRule="auto"/>
        <w:rPr/>
      </w:pPr>
      <w:r/>
    </w:p>
    <w:p>
      <w:pPr>
        <w:pStyle w:val="BodyText"/>
        <w:spacing w:line="260" w:lineRule="auto"/>
        <w:rPr/>
      </w:pPr>
      <w:r/>
    </w:p>
    <w:p>
      <w:pPr>
        <w:ind w:left="6419"/>
        <w:spacing w:before="94" w:line="214" w:lineRule="auto"/>
        <w:rPr>
          <w:rFonts w:ascii="SimSun" w:hAnsi="SimSun" w:eastAsia="SimSun" w:cs="SimSun"/>
          <w:sz w:val="29"/>
          <w:szCs w:val="29"/>
        </w:rPr>
      </w:pPr>
      <w:bookmarkStart w:name="bookmark1151" w:id="527"/>
      <w:bookmarkEnd w:id="527"/>
      <w:r>
        <w:rPr>
          <w:rFonts w:ascii="SimSun" w:hAnsi="SimSun" w:eastAsia="SimSun" w:cs="SimSun"/>
          <w:sz w:val="29"/>
          <w:szCs w:val="29"/>
          <w:b/>
          <w:bCs/>
          <w:spacing w:val="-6"/>
        </w:rPr>
        <w:t>裁量标准</w:t>
      </w:r>
    </w:p>
    <w:tbl>
      <w:tblPr>
        <w:tblStyle w:val="TableNormal"/>
        <w:tblW w:w="137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8913"/>
        <w:gridCol w:w="3432"/>
      </w:tblGrid>
      <w:tr>
        <w:trPr>
          <w:trHeight w:val="623" w:hRule="atLeast"/>
        </w:trPr>
        <w:tc>
          <w:tcPr>
            <w:tcW w:w="1404" w:type="dxa"/>
            <w:vAlign w:val="top"/>
          </w:tcPr>
          <w:p>
            <w:pPr>
              <w:pStyle w:val="TableText"/>
              <w:ind w:left="198"/>
              <w:spacing w:before="192" w:line="220" w:lineRule="auto"/>
              <w:rPr>
                <w:sz w:val="25"/>
                <w:szCs w:val="25"/>
              </w:rPr>
            </w:pPr>
            <w:r>
              <w:rPr>
                <w:sz w:val="25"/>
                <w:szCs w:val="25"/>
                <w:b/>
                <w:bCs/>
                <w:spacing w:val="-5"/>
              </w:rPr>
              <w:t>违法程度</w:t>
            </w:r>
          </w:p>
        </w:tc>
        <w:tc>
          <w:tcPr>
            <w:tcW w:w="8913" w:type="dxa"/>
            <w:vAlign w:val="top"/>
          </w:tcPr>
          <w:p>
            <w:pPr>
              <w:pStyle w:val="TableText"/>
              <w:ind w:left="3954"/>
              <w:spacing w:before="192" w:line="220" w:lineRule="auto"/>
              <w:rPr>
                <w:sz w:val="25"/>
                <w:szCs w:val="25"/>
              </w:rPr>
            </w:pPr>
            <w:r>
              <w:rPr>
                <w:sz w:val="25"/>
                <w:szCs w:val="25"/>
                <w:b/>
                <w:bCs/>
                <w:spacing w:val="-5"/>
              </w:rPr>
              <w:t>情节后果</w:t>
            </w:r>
          </w:p>
        </w:tc>
        <w:tc>
          <w:tcPr>
            <w:tcW w:w="3432" w:type="dxa"/>
            <w:vAlign w:val="top"/>
          </w:tcPr>
          <w:p>
            <w:pPr>
              <w:pStyle w:val="TableText"/>
              <w:ind w:left="1211"/>
              <w:spacing w:before="189" w:line="218" w:lineRule="auto"/>
              <w:rPr>
                <w:sz w:val="25"/>
                <w:szCs w:val="25"/>
              </w:rPr>
            </w:pPr>
            <w:r>
              <w:rPr>
                <w:sz w:val="25"/>
                <w:szCs w:val="25"/>
                <w:b/>
                <w:bCs/>
                <w:spacing w:val="-5"/>
              </w:rPr>
              <w:t>裁量幅度</w:t>
            </w:r>
          </w:p>
        </w:tc>
      </w:tr>
      <w:tr>
        <w:trPr>
          <w:trHeight w:val="767" w:hRule="atLeast"/>
        </w:trPr>
        <w:tc>
          <w:tcPr>
            <w:tcW w:w="1404" w:type="dxa"/>
            <w:vAlign w:val="top"/>
          </w:tcPr>
          <w:p>
            <w:pPr>
              <w:spacing w:line="256" w:lineRule="auto"/>
              <w:rPr>
                <w:rFonts w:ascii="Arial"/>
                <w:sz w:val="21"/>
              </w:rPr>
            </w:pPr>
            <w:r/>
          </w:p>
          <w:p>
            <w:pPr>
              <w:pStyle w:val="TableText"/>
              <w:ind w:left="448"/>
              <w:spacing w:before="81" w:line="219" w:lineRule="auto"/>
              <w:rPr>
                <w:sz w:val="25"/>
                <w:szCs w:val="25"/>
              </w:rPr>
            </w:pPr>
            <w:r>
              <w:rPr>
                <w:sz w:val="25"/>
                <w:szCs w:val="25"/>
                <w:b/>
                <w:bCs/>
                <w:spacing w:val="-6"/>
              </w:rPr>
              <w:t>较轻</w:t>
            </w:r>
          </w:p>
        </w:tc>
        <w:tc>
          <w:tcPr>
            <w:tcW w:w="8913" w:type="dxa"/>
            <w:vAlign w:val="top"/>
          </w:tcPr>
          <w:p>
            <w:pPr>
              <w:pStyle w:val="TableText"/>
              <w:ind w:left="110" w:hanging="100"/>
              <w:spacing w:before="120" w:line="235" w:lineRule="auto"/>
              <w:rPr>
                <w:sz w:val="25"/>
                <w:szCs w:val="25"/>
              </w:rPr>
            </w:pPr>
            <w:r>
              <w:rPr>
                <w:sz w:val="25"/>
                <w:szCs w:val="25"/>
                <w:spacing w:val="-3"/>
              </w:rPr>
              <w:t>职业病诊断鉴定委员会组成人员首次收受职业病诊断争议当事人的财物或者其他好</w:t>
            </w:r>
            <w:r>
              <w:rPr>
                <w:sz w:val="25"/>
                <w:szCs w:val="25"/>
              </w:rPr>
              <w:t xml:space="preserve"> </w:t>
            </w:r>
            <w:r>
              <w:rPr>
                <w:sz w:val="25"/>
                <w:szCs w:val="25"/>
              </w:rPr>
              <w:t>处且收受价值不足10000元的</w:t>
            </w:r>
          </w:p>
        </w:tc>
        <w:tc>
          <w:tcPr>
            <w:tcW w:w="3432" w:type="dxa"/>
            <w:vAlign w:val="top"/>
          </w:tcPr>
          <w:p>
            <w:pPr>
              <w:pStyle w:val="TableText"/>
              <w:ind w:left="128" w:right="74" w:hanging="40"/>
              <w:spacing w:before="120" w:line="235" w:lineRule="auto"/>
              <w:rPr>
                <w:sz w:val="25"/>
                <w:szCs w:val="25"/>
              </w:rPr>
            </w:pPr>
            <w:r>
              <w:rPr>
                <w:sz w:val="25"/>
                <w:szCs w:val="25"/>
              </w:rPr>
              <w:t>警告，没收违法所得，罚款三</w:t>
            </w:r>
            <w:r>
              <w:rPr>
                <w:sz w:val="25"/>
                <w:szCs w:val="25"/>
                <w:spacing w:val="8"/>
              </w:rPr>
              <w:t xml:space="preserve"> </w:t>
            </w:r>
            <w:r>
              <w:rPr>
                <w:sz w:val="25"/>
                <w:szCs w:val="25"/>
                <w:spacing w:val="1"/>
              </w:rPr>
              <w:t>千元以上一万五千元以下</w:t>
            </w:r>
          </w:p>
        </w:tc>
      </w:tr>
      <w:tr>
        <w:trPr>
          <w:trHeight w:val="758" w:hRule="atLeast"/>
        </w:trPr>
        <w:tc>
          <w:tcPr>
            <w:tcW w:w="1404" w:type="dxa"/>
            <w:vAlign w:val="top"/>
          </w:tcPr>
          <w:p>
            <w:pPr>
              <w:spacing w:line="250" w:lineRule="auto"/>
              <w:rPr>
                <w:rFonts w:ascii="Arial"/>
                <w:sz w:val="21"/>
              </w:rPr>
            </w:pPr>
            <w:r/>
          </w:p>
          <w:p>
            <w:pPr>
              <w:pStyle w:val="TableText"/>
              <w:ind w:left="448"/>
              <w:spacing w:before="81" w:line="221" w:lineRule="auto"/>
              <w:rPr>
                <w:sz w:val="25"/>
                <w:szCs w:val="25"/>
              </w:rPr>
            </w:pPr>
            <w:r>
              <w:rPr>
                <w:sz w:val="25"/>
                <w:szCs w:val="25"/>
                <w:b/>
                <w:bCs/>
                <w:spacing w:val="-10"/>
              </w:rPr>
              <w:t>一般</w:t>
            </w:r>
          </w:p>
        </w:tc>
        <w:tc>
          <w:tcPr>
            <w:tcW w:w="8913" w:type="dxa"/>
            <w:vAlign w:val="top"/>
          </w:tcPr>
          <w:p>
            <w:pPr>
              <w:pStyle w:val="TableText"/>
              <w:ind w:left="110" w:right="27" w:hanging="100"/>
              <w:spacing w:before="103" w:line="238" w:lineRule="auto"/>
              <w:rPr>
                <w:sz w:val="25"/>
                <w:szCs w:val="25"/>
              </w:rPr>
            </w:pPr>
            <w:r>
              <w:rPr>
                <w:sz w:val="25"/>
                <w:szCs w:val="25"/>
              </w:rPr>
              <w:t>职业病诊断鉴定委员会组成人员2次以上收受职业病诊</w:t>
            </w:r>
            <w:r>
              <w:rPr>
                <w:sz w:val="25"/>
                <w:szCs w:val="25"/>
                <w:spacing w:val="-1"/>
              </w:rPr>
              <w:t>断争议当事人的财物或者其</w:t>
            </w:r>
            <w:r>
              <w:rPr>
                <w:sz w:val="25"/>
                <w:szCs w:val="25"/>
              </w:rPr>
              <w:t xml:space="preserve"> </w:t>
            </w:r>
            <w:r>
              <w:rPr>
                <w:sz w:val="25"/>
                <w:szCs w:val="25"/>
              </w:rPr>
              <w:t>他好处，或者收受价值在10000元以上20000元以下的</w:t>
            </w:r>
          </w:p>
        </w:tc>
        <w:tc>
          <w:tcPr>
            <w:tcW w:w="3432" w:type="dxa"/>
            <w:vAlign w:val="top"/>
          </w:tcPr>
          <w:p>
            <w:pPr>
              <w:pStyle w:val="TableText"/>
              <w:ind w:left="147" w:right="70" w:hanging="59"/>
              <w:spacing w:before="114" w:line="234" w:lineRule="auto"/>
              <w:rPr>
                <w:sz w:val="25"/>
                <w:szCs w:val="25"/>
              </w:rPr>
            </w:pPr>
            <w:r>
              <w:rPr>
                <w:sz w:val="25"/>
                <w:szCs w:val="25"/>
                <w:spacing w:val="1"/>
              </w:rPr>
              <w:t>警告，没收违法所得，罚款一</w:t>
            </w:r>
            <w:r>
              <w:rPr>
                <w:sz w:val="25"/>
                <w:szCs w:val="25"/>
              </w:rPr>
              <w:t xml:space="preserve"> </w:t>
            </w:r>
            <w:r>
              <w:rPr>
                <w:sz w:val="25"/>
                <w:szCs w:val="25"/>
                <w:spacing w:val="1"/>
              </w:rPr>
              <w:t>万五千元以上三万元以下</w:t>
            </w:r>
          </w:p>
        </w:tc>
      </w:tr>
      <w:tr>
        <w:trPr>
          <w:trHeight w:val="772" w:hRule="atLeast"/>
        </w:trPr>
        <w:tc>
          <w:tcPr>
            <w:tcW w:w="1404" w:type="dxa"/>
            <w:vAlign w:val="top"/>
          </w:tcPr>
          <w:p>
            <w:pPr>
              <w:spacing w:line="264" w:lineRule="auto"/>
              <w:rPr>
                <w:rFonts w:ascii="Arial"/>
                <w:sz w:val="21"/>
              </w:rPr>
            </w:pPr>
            <w:r/>
          </w:p>
          <w:p>
            <w:pPr>
              <w:pStyle w:val="TableText"/>
              <w:ind w:left="448"/>
              <w:spacing w:before="81" w:line="221" w:lineRule="auto"/>
              <w:rPr>
                <w:sz w:val="25"/>
                <w:szCs w:val="25"/>
              </w:rPr>
            </w:pPr>
            <w:r>
              <w:rPr>
                <w:sz w:val="25"/>
                <w:szCs w:val="25"/>
                <w:b/>
                <w:bCs/>
                <w:spacing w:val="-6"/>
              </w:rPr>
              <w:t>较重</w:t>
            </w:r>
          </w:p>
        </w:tc>
        <w:tc>
          <w:tcPr>
            <w:tcW w:w="8913" w:type="dxa"/>
            <w:vAlign w:val="top"/>
          </w:tcPr>
          <w:p>
            <w:pPr>
              <w:pStyle w:val="TableText"/>
              <w:ind w:left="110" w:hanging="100"/>
              <w:spacing w:before="125" w:line="235" w:lineRule="auto"/>
              <w:rPr>
                <w:sz w:val="25"/>
                <w:szCs w:val="25"/>
              </w:rPr>
            </w:pPr>
            <w:r>
              <w:rPr>
                <w:sz w:val="25"/>
                <w:szCs w:val="25"/>
                <w:spacing w:val="-3"/>
              </w:rPr>
              <w:t>以暗示、威胁、引诱等方式主动向当事人收受财物或者其他好处，或收受的价值在</w:t>
            </w:r>
            <w:r>
              <w:rPr>
                <w:sz w:val="25"/>
                <w:szCs w:val="25"/>
              </w:rPr>
              <w:t xml:space="preserve"> </w:t>
            </w:r>
            <w:r>
              <w:rPr>
                <w:sz w:val="25"/>
                <w:szCs w:val="25"/>
              </w:rPr>
              <w:t>20000元以上30000元以下的</w:t>
            </w:r>
          </w:p>
        </w:tc>
        <w:tc>
          <w:tcPr>
            <w:tcW w:w="3432" w:type="dxa"/>
            <w:vAlign w:val="top"/>
          </w:tcPr>
          <w:p>
            <w:pPr>
              <w:pStyle w:val="TableText"/>
              <w:ind w:left="117" w:right="74" w:hanging="29"/>
              <w:spacing w:before="125" w:line="235" w:lineRule="auto"/>
              <w:rPr>
                <w:sz w:val="25"/>
                <w:szCs w:val="25"/>
              </w:rPr>
            </w:pPr>
            <w:r>
              <w:rPr>
                <w:sz w:val="25"/>
                <w:szCs w:val="25"/>
              </w:rPr>
              <w:t>警告，没收违法所得，罚款三</w:t>
            </w:r>
            <w:r>
              <w:rPr>
                <w:sz w:val="25"/>
                <w:szCs w:val="25"/>
                <w:spacing w:val="8"/>
              </w:rPr>
              <w:t xml:space="preserve"> </w:t>
            </w:r>
            <w:r>
              <w:rPr>
                <w:sz w:val="25"/>
                <w:szCs w:val="25"/>
                <w:spacing w:val="2"/>
              </w:rPr>
              <w:t>万以上五万元以下</w:t>
            </w:r>
          </w:p>
        </w:tc>
      </w:tr>
    </w:tbl>
    <w:p>
      <w:pPr>
        <w:pStyle w:val="BodyText"/>
        <w:spacing w:line="356" w:lineRule="auto"/>
        <w:rPr/>
      </w:pPr>
      <w:r/>
    </w:p>
    <w:p>
      <w:pPr>
        <w:pStyle w:val="BodyText"/>
        <w:spacing w:line="357" w:lineRule="auto"/>
        <w:rPr/>
      </w:pPr>
      <w:r/>
    </w:p>
    <w:p>
      <w:pPr>
        <w:ind w:left="789"/>
        <w:spacing w:before="98" w:line="223" w:lineRule="auto"/>
        <w:rPr>
          <w:rFonts w:ascii="KaiTi" w:hAnsi="KaiTi" w:eastAsia="KaiTi" w:cs="KaiTi"/>
          <w:sz w:val="30"/>
          <w:szCs w:val="30"/>
        </w:rPr>
      </w:pPr>
      <w:r>
        <w:rPr>
          <w:rFonts w:ascii="KaiTi" w:hAnsi="KaiTi" w:eastAsia="KaiTi" w:cs="KaiTi"/>
          <w:sz w:val="30"/>
          <w:szCs w:val="30"/>
          <w:b/>
          <w:bCs/>
          <w:spacing w:val="24"/>
        </w:rPr>
        <w:t>(二)《建设项目职业病防护设施“三同时”监督管理</w:t>
      </w:r>
      <w:r>
        <w:rPr>
          <w:rFonts w:ascii="KaiTi" w:hAnsi="KaiTi" w:eastAsia="KaiTi" w:cs="KaiTi"/>
          <w:sz w:val="30"/>
          <w:szCs w:val="30"/>
          <w:b/>
          <w:bCs/>
          <w:spacing w:val="23"/>
        </w:rPr>
        <w:t>办法》</w:t>
      </w:r>
    </w:p>
    <w:p>
      <w:pPr>
        <w:ind w:left="19" w:firstLine="635"/>
        <w:spacing w:before="316" w:line="274" w:lineRule="auto"/>
        <w:rPr>
          <w:rFonts w:ascii="KaiTi" w:hAnsi="KaiTi" w:eastAsia="KaiTi" w:cs="KaiTi"/>
          <w:sz w:val="30"/>
          <w:szCs w:val="30"/>
        </w:rPr>
      </w:pPr>
      <w:r>
        <w:rPr>
          <w:rFonts w:ascii="KaiTi" w:hAnsi="KaiTi" w:eastAsia="KaiTi" w:cs="KaiTi"/>
          <w:sz w:val="30"/>
          <w:szCs w:val="30"/>
          <w:spacing w:val="21"/>
        </w:rPr>
        <w:t>第</w:t>
      </w:r>
      <w:r>
        <w:rPr>
          <w:rFonts w:ascii="KaiTi" w:hAnsi="KaiTi" w:eastAsia="KaiTi" w:cs="KaiTi"/>
          <w:sz w:val="30"/>
          <w:szCs w:val="30"/>
          <w:b/>
          <w:bCs/>
          <w:spacing w:val="21"/>
        </w:rPr>
        <w:t>四百八十九条建设单位未对职业病危害预评价报告、职业病防护设施设计、职业病危害控制</w:t>
      </w:r>
      <w:r>
        <w:rPr>
          <w:rFonts w:ascii="KaiTi" w:hAnsi="KaiTi" w:eastAsia="KaiTi" w:cs="KaiTi"/>
          <w:sz w:val="30"/>
          <w:szCs w:val="30"/>
          <w:spacing w:val="16"/>
        </w:rPr>
        <w:t xml:space="preserve"> </w:t>
      </w:r>
      <w:r>
        <w:rPr>
          <w:rFonts w:ascii="KaiTi" w:hAnsi="KaiTi" w:eastAsia="KaiTi" w:cs="KaiTi"/>
          <w:sz w:val="30"/>
          <w:szCs w:val="30"/>
          <w:b/>
          <w:bCs/>
          <w:spacing w:val="16"/>
        </w:rPr>
        <w:t>效果评价报告进行评审或者组织职业病防护设施验收的</w:t>
      </w:r>
    </w:p>
    <w:p>
      <w:pPr>
        <w:ind w:left="654"/>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5" w:right="13" w:firstLine="619"/>
        <w:spacing w:before="86" w:line="266" w:lineRule="auto"/>
        <w:jc w:val="both"/>
        <w:rPr>
          <w:rFonts w:ascii="FangSong" w:hAnsi="FangSong" w:eastAsia="FangSong" w:cs="FangSong"/>
          <w:sz w:val="30"/>
          <w:szCs w:val="30"/>
        </w:rPr>
      </w:pPr>
      <w:r>
        <w:rPr>
          <w:rFonts w:ascii="FangSong" w:hAnsi="FangSong" w:eastAsia="FangSong" w:cs="FangSong"/>
          <w:sz w:val="30"/>
          <w:szCs w:val="30"/>
          <w:spacing w:val="24"/>
        </w:rPr>
        <w:t>《建设项目职业病防护设施“三同时”监督管理</w:t>
      </w:r>
      <w:r>
        <w:rPr>
          <w:rFonts w:ascii="FangSong" w:hAnsi="FangSong" w:eastAsia="FangSong" w:cs="FangSong"/>
          <w:sz w:val="30"/>
          <w:szCs w:val="30"/>
          <w:spacing w:val="23"/>
        </w:rPr>
        <w:t>办法》第四十条第(一)项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建设单位有下列行</w:t>
      </w:r>
      <w:r>
        <w:rPr>
          <w:rFonts w:ascii="FangSong" w:hAnsi="FangSong" w:eastAsia="FangSong" w:cs="FangSong"/>
          <w:sz w:val="30"/>
          <w:szCs w:val="30"/>
        </w:rPr>
        <w:t xml:space="preserve"> </w:t>
      </w:r>
      <w:r>
        <w:rPr>
          <w:rFonts w:ascii="FangSong" w:hAnsi="FangSong" w:eastAsia="FangSong" w:cs="FangSong"/>
          <w:sz w:val="30"/>
          <w:szCs w:val="30"/>
          <w:spacing w:val="11"/>
        </w:rPr>
        <w:t>为之一的，由安全生产监督管理部门给予警告，责令限期改正；逾期不改正的，处5000</w:t>
      </w:r>
      <w:r>
        <w:rPr>
          <w:rFonts w:ascii="FangSong" w:hAnsi="FangSong" w:eastAsia="FangSong" w:cs="FangSong"/>
          <w:sz w:val="30"/>
          <w:szCs w:val="30"/>
          <w:spacing w:val="11"/>
        </w:rPr>
        <w:t xml:space="preserve"> </w:t>
      </w:r>
      <w:r>
        <w:rPr>
          <w:rFonts w:ascii="FangSong" w:hAnsi="FangSong" w:eastAsia="FangSong" w:cs="FangSong"/>
          <w:sz w:val="30"/>
          <w:szCs w:val="30"/>
          <w:spacing w:val="11"/>
        </w:rPr>
        <w:t>元</w:t>
      </w:r>
      <w:r>
        <w:rPr>
          <w:rFonts w:ascii="FangSong" w:hAnsi="FangSong" w:eastAsia="FangSong" w:cs="FangSong"/>
          <w:sz w:val="30"/>
          <w:szCs w:val="30"/>
          <w:spacing w:val="-16"/>
        </w:rPr>
        <w:t xml:space="preserve"> </w:t>
      </w:r>
      <w:r>
        <w:rPr>
          <w:rFonts w:ascii="FangSong" w:hAnsi="FangSong" w:eastAsia="FangSong" w:cs="FangSong"/>
          <w:sz w:val="30"/>
          <w:szCs w:val="30"/>
          <w:spacing w:val="11"/>
        </w:rPr>
        <w:t>以</w:t>
      </w:r>
      <w:r>
        <w:rPr>
          <w:rFonts w:ascii="FangSong" w:hAnsi="FangSong" w:eastAsia="FangSong" w:cs="FangSong"/>
          <w:sz w:val="30"/>
          <w:szCs w:val="30"/>
          <w:spacing w:val="-49"/>
        </w:rPr>
        <w:t xml:space="preserve"> </w:t>
      </w:r>
      <w:r>
        <w:rPr>
          <w:rFonts w:ascii="FangSong" w:hAnsi="FangSong" w:eastAsia="FangSong" w:cs="FangSong"/>
          <w:sz w:val="30"/>
          <w:szCs w:val="30"/>
          <w:spacing w:val="11"/>
        </w:rPr>
        <w:t>上</w:t>
      </w:r>
      <w:r>
        <w:rPr>
          <w:rFonts w:ascii="FangSong" w:hAnsi="FangSong" w:eastAsia="FangSong" w:cs="FangSong"/>
          <w:sz w:val="30"/>
          <w:szCs w:val="30"/>
          <w:spacing w:val="-56"/>
        </w:rPr>
        <w:t xml:space="preserve"> </w:t>
      </w:r>
      <w:r>
        <w:rPr>
          <w:rFonts w:ascii="FangSong" w:hAnsi="FangSong" w:eastAsia="FangSong" w:cs="FangSong"/>
          <w:sz w:val="30"/>
          <w:szCs w:val="30"/>
          <w:spacing w:val="11"/>
        </w:rPr>
        <w:t>3</w:t>
      </w:r>
      <w:r>
        <w:rPr>
          <w:rFonts w:ascii="FangSong" w:hAnsi="FangSong" w:eastAsia="FangSong" w:cs="FangSong"/>
          <w:sz w:val="30"/>
          <w:szCs w:val="30"/>
          <w:spacing w:val="11"/>
        </w:rPr>
        <w:t xml:space="preserve"> </w:t>
      </w:r>
      <w:r>
        <w:rPr>
          <w:rFonts w:ascii="FangSong" w:hAnsi="FangSong" w:eastAsia="FangSong" w:cs="FangSong"/>
          <w:sz w:val="30"/>
          <w:szCs w:val="30"/>
          <w:spacing w:val="11"/>
        </w:rPr>
        <w:t>万</w:t>
      </w:r>
      <w:r>
        <w:rPr>
          <w:rFonts w:ascii="FangSong" w:hAnsi="FangSong" w:eastAsia="FangSong" w:cs="FangSong"/>
          <w:sz w:val="30"/>
          <w:szCs w:val="30"/>
        </w:rPr>
        <w:t xml:space="preserve"> </w:t>
      </w:r>
      <w:r>
        <w:rPr>
          <w:rFonts w:ascii="FangSong" w:hAnsi="FangSong" w:eastAsia="FangSong" w:cs="FangSong"/>
          <w:sz w:val="30"/>
          <w:szCs w:val="30"/>
          <w:spacing w:val="4"/>
        </w:rPr>
        <w:t>元以下的罚款：</w:t>
      </w:r>
    </w:p>
    <w:p>
      <w:pPr>
        <w:ind w:right="16"/>
        <w:spacing w:before="43" w:line="222" w:lineRule="auto"/>
        <w:jc w:val="right"/>
        <w:rPr>
          <w:rFonts w:ascii="FangSong" w:hAnsi="FangSong" w:eastAsia="FangSong" w:cs="FangSong"/>
          <w:sz w:val="30"/>
          <w:szCs w:val="30"/>
        </w:rPr>
      </w:pPr>
      <w:r>
        <w:rPr>
          <w:rFonts w:ascii="FangSong" w:hAnsi="FangSong" w:eastAsia="FangSong" w:cs="FangSong"/>
          <w:sz w:val="30"/>
          <w:szCs w:val="30"/>
          <w:spacing w:val="20"/>
        </w:rPr>
        <w:t>(一)未按照本办法规定，对职业病危害预评价报告、职业病防护设施设计、职业病危害控制效</w:t>
      </w:r>
    </w:p>
    <w:p>
      <w:pPr>
        <w:spacing w:line="222" w:lineRule="auto"/>
        <w:sectPr>
          <w:footerReference w:type="default" r:id="rId526"/>
          <w:pgSz w:w="16830" w:h="11900"/>
          <w:pgMar w:top="1011" w:right="1435" w:bottom="1108" w:left="1434" w:header="0" w:footer="775" w:gutter="0"/>
        </w:sectPr>
        <w:rPr>
          <w:rFonts w:ascii="FangSong" w:hAnsi="FangSong" w:eastAsia="FangSong" w:cs="FangSong"/>
          <w:sz w:val="30"/>
          <w:szCs w:val="30"/>
        </w:rPr>
      </w:pPr>
    </w:p>
    <w:p>
      <w:pPr>
        <w:pStyle w:val="BodyText"/>
        <w:spacing w:line="263" w:lineRule="auto"/>
        <w:rPr/>
      </w:pPr>
      <w:r/>
    </w:p>
    <w:p>
      <w:pPr>
        <w:pStyle w:val="BodyText"/>
        <w:spacing w:line="263" w:lineRule="auto"/>
        <w:rPr/>
      </w:pPr>
      <w:r/>
    </w:p>
    <w:p>
      <w:pPr>
        <w:pStyle w:val="BodyText"/>
        <w:spacing w:line="264" w:lineRule="auto"/>
        <w:rPr/>
      </w:pPr>
      <w:r/>
    </w:p>
    <w:p>
      <w:pPr>
        <w:ind w:left="5"/>
        <w:spacing w:before="101" w:line="221" w:lineRule="auto"/>
        <w:rPr>
          <w:rFonts w:ascii="FangSong" w:hAnsi="FangSong" w:eastAsia="FangSong" w:cs="FangSong"/>
          <w:sz w:val="31"/>
          <w:szCs w:val="31"/>
        </w:rPr>
      </w:pPr>
      <w:bookmarkStart w:name="bookmark1152" w:id="528"/>
      <w:bookmarkEnd w:id="528"/>
      <w:r>
        <w:rPr>
          <w:rFonts w:ascii="FangSong" w:hAnsi="FangSong" w:eastAsia="FangSong" w:cs="FangSong"/>
          <w:sz w:val="31"/>
          <w:szCs w:val="31"/>
          <w:spacing w:val="7"/>
        </w:rPr>
        <w:t>果评价报告进行评审或者组织职业病防护设</w:t>
      </w:r>
      <w:r>
        <w:rPr>
          <w:rFonts w:ascii="FangSong" w:hAnsi="FangSong" w:eastAsia="FangSong" w:cs="FangSong"/>
          <w:sz w:val="31"/>
          <w:szCs w:val="31"/>
          <w:spacing w:val="6"/>
        </w:rPr>
        <w:t>施验收的；</w:t>
      </w:r>
    </w:p>
    <w:p>
      <w:pPr>
        <w:ind w:left="6419"/>
        <w:spacing w:before="220"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7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8923"/>
        <w:gridCol w:w="3432"/>
      </w:tblGrid>
      <w:tr>
        <w:trPr>
          <w:trHeight w:val="603" w:hRule="atLeast"/>
        </w:trPr>
        <w:tc>
          <w:tcPr>
            <w:tcW w:w="1434" w:type="dxa"/>
            <w:vAlign w:val="top"/>
          </w:tcPr>
          <w:p>
            <w:pPr>
              <w:pStyle w:val="TableText"/>
              <w:ind w:left="208"/>
              <w:spacing w:before="222" w:line="220" w:lineRule="auto"/>
              <w:rPr>
                <w:sz w:val="25"/>
                <w:szCs w:val="25"/>
              </w:rPr>
            </w:pPr>
            <w:r>
              <w:rPr>
                <w:sz w:val="25"/>
                <w:szCs w:val="25"/>
                <w:b/>
                <w:bCs/>
                <w:spacing w:val="-5"/>
              </w:rPr>
              <w:t>违法程度</w:t>
            </w:r>
          </w:p>
        </w:tc>
        <w:tc>
          <w:tcPr>
            <w:tcW w:w="8923" w:type="dxa"/>
            <w:vAlign w:val="top"/>
          </w:tcPr>
          <w:p>
            <w:pPr>
              <w:pStyle w:val="TableText"/>
              <w:ind w:left="3954"/>
              <w:spacing w:before="222" w:line="220" w:lineRule="auto"/>
              <w:rPr>
                <w:sz w:val="25"/>
                <w:szCs w:val="25"/>
              </w:rPr>
            </w:pPr>
            <w:r>
              <w:rPr>
                <w:sz w:val="25"/>
                <w:szCs w:val="25"/>
                <w:b/>
                <w:bCs/>
                <w:spacing w:val="-5"/>
              </w:rPr>
              <w:t>情节后果</w:t>
            </w:r>
          </w:p>
        </w:tc>
        <w:tc>
          <w:tcPr>
            <w:tcW w:w="3432" w:type="dxa"/>
            <w:vAlign w:val="top"/>
          </w:tcPr>
          <w:p>
            <w:pPr>
              <w:pStyle w:val="TableText"/>
              <w:ind w:left="1151"/>
              <w:spacing w:before="219" w:line="218" w:lineRule="auto"/>
              <w:rPr>
                <w:sz w:val="25"/>
                <w:szCs w:val="25"/>
              </w:rPr>
            </w:pPr>
            <w:r>
              <w:rPr>
                <w:sz w:val="25"/>
                <w:szCs w:val="25"/>
                <w:b/>
                <w:bCs/>
                <w:spacing w:val="-5"/>
              </w:rPr>
              <w:t>裁量幅度</w:t>
            </w:r>
          </w:p>
        </w:tc>
      </w:tr>
      <w:tr>
        <w:trPr>
          <w:trHeight w:val="1007" w:hRule="atLeast"/>
        </w:trPr>
        <w:tc>
          <w:tcPr>
            <w:tcW w:w="1434" w:type="dxa"/>
            <w:vAlign w:val="top"/>
          </w:tcPr>
          <w:p>
            <w:pPr>
              <w:spacing w:line="356" w:lineRule="auto"/>
              <w:rPr>
                <w:rFonts w:ascii="Arial"/>
                <w:sz w:val="21"/>
              </w:rPr>
            </w:pPr>
            <w:r/>
          </w:p>
          <w:p>
            <w:pPr>
              <w:pStyle w:val="TableText"/>
              <w:ind w:left="458"/>
              <w:spacing w:before="81" w:line="221" w:lineRule="auto"/>
              <w:rPr>
                <w:sz w:val="25"/>
                <w:szCs w:val="25"/>
              </w:rPr>
            </w:pPr>
            <w:r>
              <w:rPr>
                <w:sz w:val="25"/>
                <w:szCs w:val="25"/>
                <w:b/>
                <w:bCs/>
                <w:spacing w:val="-10"/>
              </w:rPr>
              <w:t>一般</w:t>
            </w:r>
          </w:p>
        </w:tc>
        <w:tc>
          <w:tcPr>
            <w:tcW w:w="8923" w:type="dxa"/>
            <w:vAlign w:val="top"/>
          </w:tcPr>
          <w:p>
            <w:pPr>
              <w:pStyle w:val="TableText"/>
              <w:ind w:left="11"/>
              <w:spacing w:before="91" w:line="223" w:lineRule="auto"/>
              <w:jc w:val="both"/>
              <w:rPr>
                <w:sz w:val="25"/>
                <w:szCs w:val="25"/>
              </w:rPr>
            </w:pPr>
            <w:r>
              <w:rPr>
                <w:sz w:val="25"/>
                <w:szCs w:val="25"/>
                <w:spacing w:val="-3"/>
              </w:rPr>
              <w:t>建设单位未按照《建设项目职业病防护设施“三同时”监督管理办法》规定，对职</w:t>
            </w:r>
            <w:r>
              <w:rPr>
                <w:sz w:val="25"/>
                <w:szCs w:val="25"/>
                <w:spacing w:val="8"/>
              </w:rPr>
              <w:t xml:space="preserve"> </w:t>
            </w:r>
            <w:r>
              <w:rPr>
                <w:sz w:val="25"/>
                <w:szCs w:val="25"/>
                <w:spacing w:val="-3"/>
              </w:rPr>
              <w:t>业病危害预评价报告、职业病防护设施设计、职业病危害控制效果评价报告进行评</w:t>
            </w:r>
            <w:r>
              <w:rPr>
                <w:sz w:val="25"/>
                <w:szCs w:val="25"/>
                <w:spacing w:val="4"/>
              </w:rPr>
              <w:t xml:space="preserve"> </w:t>
            </w:r>
            <w:r>
              <w:rPr>
                <w:sz w:val="25"/>
                <w:szCs w:val="25"/>
                <w:spacing w:val="7"/>
              </w:rPr>
              <w:t>审或者组织职业病防护设施验收的</w:t>
            </w:r>
          </w:p>
        </w:tc>
        <w:tc>
          <w:tcPr>
            <w:tcW w:w="3432" w:type="dxa"/>
            <w:vAlign w:val="top"/>
          </w:tcPr>
          <w:p>
            <w:pPr>
              <w:spacing w:line="297" w:lineRule="auto"/>
              <w:rPr>
                <w:rFonts w:ascii="Arial"/>
                <w:sz w:val="21"/>
              </w:rPr>
            </w:pPr>
            <w:r/>
          </w:p>
          <w:p>
            <w:pPr>
              <w:pStyle w:val="TableText"/>
              <w:ind w:left="107"/>
              <w:spacing w:before="81" w:line="218" w:lineRule="auto"/>
              <w:rPr>
                <w:sz w:val="25"/>
                <w:szCs w:val="25"/>
              </w:rPr>
            </w:pPr>
            <w:r>
              <w:rPr>
                <w:sz w:val="25"/>
                <w:szCs w:val="25"/>
                <w:spacing w:val="1"/>
              </w:rPr>
              <w:t>给予警告，责令限期改正</w:t>
            </w:r>
          </w:p>
        </w:tc>
      </w:tr>
      <w:tr>
        <w:trPr>
          <w:trHeight w:val="1377" w:hRule="atLeast"/>
        </w:trPr>
        <w:tc>
          <w:tcPr>
            <w:tcW w:w="1434" w:type="dxa"/>
            <w:vAlign w:val="top"/>
          </w:tcPr>
          <w:p>
            <w:pPr>
              <w:spacing w:line="245" w:lineRule="auto"/>
              <w:rPr>
                <w:rFonts w:ascii="Arial"/>
                <w:sz w:val="21"/>
              </w:rPr>
            </w:pPr>
            <w:r/>
          </w:p>
          <w:p>
            <w:pPr>
              <w:spacing w:line="245" w:lineRule="auto"/>
              <w:rPr>
                <w:rFonts w:ascii="Arial"/>
                <w:sz w:val="21"/>
              </w:rPr>
            </w:pPr>
            <w:r/>
          </w:p>
          <w:p>
            <w:pPr>
              <w:pStyle w:val="TableText"/>
              <w:ind w:left="458"/>
              <w:spacing w:before="82" w:line="221" w:lineRule="auto"/>
              <w:rPr>
                <w:sz w:val="25"/>
                <w:szCs w:val="25"/>
              </w:rPr>
            </w:pPr>
            <w:r>
              <w:rPr>
                <w:sz w:val="25"/>
                <w:szCs w:val="25"/>
                <w:b/>
                <w:bCs/>
                <w:spacing w:val="-6"/>
              </w:rPr>
              <w:t>较重</w:t>
            </w:r>
          </w:p>
        </w:tc>
        <w:tc>
          <w:tcPr>
            <w:tcW w:w="8923" w:type="dxa"/>
            <w:vAlign w:val="top"/>
          </w:tcPr>
          <w:p>
            <w:pPr>
              <w:pStyle w:val="TableText"/>
              <w:ind w:left="11"/>
              <w:spacing w:before="83" w:line="237" w:lineRule="auto"/>
              <w:jc w:val="both"/>
              <w:rPr>
                <w:sz w:val="25"/>
                <w:szCs w:val="25"/>
              </w:rPr>
            </w:pPr>
            <w:r>
              <w:rPr>
                <w:sz w:val="25"/>
                <w:szCs w:val="25"/>
                <w:spacing w:val="-6"/>
              </w:rPr>
              <w:t>建设单位未按照《建设项目职业病防护设施“三同时”监督管理办法》规定，对职</w:t>
            </w:r>
            <w:r>
              <w:rPr>
                <w:sz w:val="25"/>
                <w:szCs w:val="25"/>
                <w:spacing w:val="3"/>
              </w:rPr>
              <w:t xml:space="preserve">  </w:t>
            </w:r>
            <w:r>
              <w:rPr>
                <w:sz w:val="25"/>
                <w:szCs w:val="25"/>
                <w:spacing w:val="-6"/>
              </w:rPr>
              <w:t>业病危害一般类别的建设项目职业病危害预评价报告、职业病防护设施设计、职业</w:t>
            </w:r>
            <w:r>
              <w:rPr>
                <w:sz w:val="25"/>
                <w:szCs w:val="25"/>
                <w:spacing w:val="1"/>
              </w:rPr>
              <w:t xml:space="preserve">  </w:t>
            </w:r>
            <w:r>
              <w:rPr>
                <w:sz w:val="25"/>
                <w:szCs w:val="25"/>
                <w:spacing w:val="-9"/>
              </w:rPr>
              <w:t>病危害控制效果评价报告进行评审或者组织职</w:t>
            </w:r>
            <w:r>
              <w:rPr>
                <w:sz w:val="25"/>
                <w:szCs w:val="25"/>
                <w:spacing w:val="-10"/>
              </w:rPr>
              <w:t>业病防护设施验收，经责令限期改正，</w:t>
            </w:r>
            <w:r>
              <w:rPr>
                <w:sz w:val="25"/>
                <w:szCs w:val="25"/>
              </w:rPr>
              <w:t xml:space="preserve"> </w:t>
            </w:r>
            <w:r>
              <w:rPr>
                <w:sz w:val="25"/>
                <w:szCs w:val="25"/>
                <w:spacing w:val="19"/>
              </w:rPr>
              <w:t>逾期不改正</w:t>
            </w:r>
          </w:p>
        </w:tc>
        <w:tc>
          <w:tcPr>
            <w:tcW w:w="3432" w:type="dxa"/>
            <w:vAlign w:val="top"/>
          </w:tcPr>
          <w:p>
            <w:pPr>
              <w:spacing w:line="343" w:lineRule="auto"/>
              <w:rPr>
                <w:rFonts w:ascii="Arial"/>
                <w:sz w:val="21"/>
              </w:rPr>
            </w:pPr>
            <w:r/>
          </w:p>
          <w:p>
            <w:pPr>
              <w:pStyle w:val="TableText"/>
              <w:ind w:left="107" w:right="77"/>
              <w:spacing w:before="81" w:line="247" w:lineRule="auto"/>
              <w:rPr>
                <w:sz w:val="25"/>
                <w:szCs w:val="25"/>
              </w:rPr>
            </w:pPr>
            <w:r>
              <w:rPr>
                <w:sz w:val="25"/>
                <w:szCs w:val="25"/>
                <w:spacing w:val="47"/>
              </w:rPr>
              <w:t>处5000元以上1万元以下</w:t>
            </w:r>
            <w:r>
              <w:rPr>
                <w:sz w:val="25"/>
                <w:szCs w:val="25"/>
              </w:rPr>
              <w:t xml:space="preserve"> </w:t>
            </w:r>
            <w:r>
              <w:rPr>
                <w:sz w:val="25"/>
                <w:szCs w:val="25"/>
                <w:spacing w:val="3"/>
              </w:rPr>
              <w:t>的罚款</w:t>
            </w:r>
          </w:p>
        </w:tc>
      </w:tr>
      <w:tr>
        <w:trPr>
          <w:trHeight w:val="1352" w:hRule="atLeast"/>
        </w:trPr>
        <w:tc>
          <w:tcPr>
            <w:tcW w:w="1434" w:type="dxa"/>
            <w:vAlign w:val="top"/>
          </w:tcPr>
          <w:p>
            <w:pPr>
              <w:spacing w:line="471"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8923" w:type="dxa"/>
            <w:vAlign w:val="top"/>
          </w:tcPr>
          <w:p>
            <w:pPr>
              <w:pStyle w:val="TableText"/>
              <w:ind w:left="11"/>
              <w:spacing w:before="58" w:line="237" w:lineRule="auto"/>
              <w:jc w:val="both"/>
              <w:rPr>
                <w:sz w:val="25"/>
                <w:szCs w:val="25"/>
              </w:rPr>
            </w:pPr>
            <w:r>
              <w:rPr>
                <w:sz w:val="25"/>
                <w:szCs w:val="25"/>
                <w:spacing w:val="-3"/>
              </w:rPr>
              <w:t>建设单位未按照《建设项目职业病防护设施“三同时”监督管理办法》规定，对职</w:t>
            </w:r>
            <w:r>
              <w:rPr>
                <w:sz w:val="25"/>
                <w:szCs w:val="25"/>
                <w:spacing w:val="8"/>
              </w:rPr>
              <w:t xml:space="preserve"> </w:t>
            </w:r>
            <w:r>
              <w:rPr>
                <w:sz w:val="25"/>
                <w:szCs w:val="25"/>
                <w:spacing w:val="-3"/>
              </w:rPr>
              <w:t>业病危害严重类别的建设项目职业病危害预评价报告、职业病防护设施设计、职业</w:t>
            </w:r>
            <w:r>
              <w:rPr>
                <w:sz w:val="25"/>
                <w:szCs w:val="25"/>
                <w:spacing w:val="3"/>
              </w:rPr>
              <w:t xml:space="preserve"> </w:t>
            </w:r>
            <w:r>
              <w:rPr>
                <w:sz w:val="25"/>
                <w:szCs w:val="25"/>
                <w:spacing w:val="-3"/>
              </w:rPr>
              <w:t>病危害控制效果评价报告进行评审或者组织职业病防护设施验收的，经责令限期改</w:t>
            </w:r>
            <w:r>
              <w:rPr>
                <w:sz w:val="25"/>
                <w:szCs w:val="25"/>
                <w:spacing w:val="5"/>
              </w:rPr>
              <w:t xml:space="preserve"> </w:t>
            </w:r>
            <w:r>
              <w:rPr>
                <w:sz w:val="25"/>
                <w:szCs w:val="25"/>
                <w:spacing w:val="14"/>
              </w:rPr>
              <w:t>正，逾期不改正</w:t>
            </w:r>
          </w:p>
        </w:tc>
        <w:tc>
          <w:tcPr>
            <w:tcW w:w="3432" w:type="dxa"/>
            <w:vAlign w:val="top"/>
          </w:tcPr>
          <w:p>
            <w:pPr>
              <w:spacing w:line="325" w:lineRule="auto"/>
              <w:rPr>
                <w:rFonts w:ascii="Arial"/>
                <w:sz w:val="21"/>
              </w:rPr>
            </w:pPr>
            <w:r/>
          </w:p>
          <w:p>
            <w:pPr>
              <w:pStyle w:val="TableText"/>
              <w:ind w:left="107"/>
              <w:spacing w:before="82" w:line="220" w:lineRule="auto"/>
              <w:rPr>
                <w:sz w:val="25"/>
                <w:szCs w:val="25"/>
              </w:rPr>
            </w:pPr>
            <w:r>
              <w:rPr>
                <w:sz w:val="25"/>
                <w:szCs w:val="25"/>
                <w:spacing w:val="1"/>
              </w:rPr>
              <w:t>处1万元以上3万元以下的</w:t>
            </w:r>
          </w:p>
          <w:p>
            <w:pPr>
              <w:pStyle w:val="TableText"/>
              <w:ind w:left="107"/>
              <w:spacing w:before="42" w:line="221" w:lineRule="auto"/>
              <w:rPr>
                <w:sz w:val="25"/>
                <w:szCs w:val="25"/>
              </w:rPr>
            </w:pPr>
            <w:r>
              <w:rPr>
                <w:sz w:val="25"/>
                <w:szCs w:val="25"/>
                <w:color w:val="505050"/>
                <w:spacing w:val="5"/>
              </w:rPr>
              <w:t>罚款</w:t>
            </w:r>
          </w:p>
        </w:tc>
      </w:tr>
    </w:tbl>
    <w:p>
      <w:pPr>
        <w:pStyle w:val="BodyText"/>
        <w:spacing w:line="433" w:lineRule="auto"/>
        <w:rPr/>
      </w:pPr>
      <w:r/>
    </w:p>
    <w:p>
      <w:pPr>
        <w:ind w:left="9" w:right="1" w:firstLine="645"/>
        <w:spacing w:before="101" w:line="267" w:lineRule="auto"/>
        <w:rPr>
          <w:rFonts w:ascii="KaiTi" w:hAnsi="KaiTi" w:eastAsia="KaiTi" w:cs="KaiTi"/>
          <w:sz w:val="31"/>
          <w:szCs w:val="31"/>
        </w:rPr>
      </w:pPr>
      <w:r>
        <w:rPr>
          <w:rFonts w:ascii="KaiTi" w:hAnsi="KaiTi" w:eastAsia="KaiTi" w:cs="KaiTi"/>
          <w:sz w:val="31"/>
          <w:szCs w:val="31"/>
          <w:spacing w:val="11"/>
        </w:rPr>
        <w:t>第</w:t>
      </w:r>
      <w:r>
        <w:rPr>
          <w:rFonts w:ascii="KaiTi" w:hAnsi="KaiTi" w:eastAsia="KaiTi" w:cs="KaiTi"/>
          <w:sz w:val="31"/>
          <w:szCs w:val="31"/>
          <w:b/>
          <w:bCs/>
          <w:spacing w:val="11"/>
        </w:rPr>
        <w:t>四百九十条建设单位职业病危害预评价、职业病防护设施设计、职业病危害控制效果评</w:t>
      </w:r>
      <w:r>
        <w:rPr>
          <w:rFonts w:ascii="KaiTi" w:hAnsi="KaiTi" w:eastAsia="KaiTi" w:cs="KaiTi"/>
          <w:sz w:val="31"/>
          <w:szCs w:val="31"/>
          <w:b/>
          <w:bCs/>
          <w:spacing w:val="10"/>
        </w:rPr>
        <w:t>价或</w:t>
      </w:r>
      <w:r>
        <w:rPr>
          <w:rFonts w:ascii="KaiTi" w:hAnsi="KaiTi" w:eastAsia="KaiTi" w:cs="KaiTi"/>
          <w:sz w:val="31"/>
          <w:szCs w:val="31"/>
        </w:rPr>
        <w:t xml:space="preserve"> </w:t>
      </w:r>
      <w:r>
        <w:rPr>
          <w:rFonts w:ascii="KaiTi" w:hAnsi="KaiTi" w:eastAsia="KaiTi" w:cs="KaiTi"/>
          <w:sz w:val="31"/>
          <w:szCs w:val="31"/>
          <w:b/>
          <w:bCs/>
          <w:spacing w:val="7"/>
        </w:rPr>
        <w:t>者职业病防护设施验收工作过程未形成书面</w:t>
      </w:r>
      <w:r>
        <w:rPr>
          <w:rFonts w:ascii="KaiTi" w:hAnsi="KaiTi" w:eastAsia="KaiTi" w:cs="KaiTi"/>
          <w:sz w:val="31"/>
          <w:szCs w:val="31"/>
          <w:b/>
          <w:bCs/>
          <w:spacing w:val="6"/>
        </w:rPr>
        <w:t>报告备查的</w:t>
      </w:r>
    </w:p>
    <w:p>
      <w:pPr>
        <w:ind w:left="654"/>
        <w:spacing w:before="20"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5" w:firstLine="635"/>
        <w:spacing w:before="84" w:line="269" w:lineRule="auto"/>
        <w:rPr>
          <w:rFonts w:ascii="FangSong" w:hAnsi="FangSong" w:eastAsia="FangSong" w:cs="FangSong"/>
          <w:sz w:val="31"/>
          <w:szCs w:val="31"/>
        </w:rPr>
      </w:pPr>
      <w:r>
        <w:rPr>
          <w:rFonts w:ascii="FangSong" w:hAnsi="FangSong" w:eastAsia="FangSong" w:cs="FangSong"/>
          <w:sz w:val="31"/>
          <w:szCs w:val="31"/>
          <w:spacing w:val="14"/>
        </w:rPr>
        <w:t>《建设项目职业病防护设施“三同时”监督管理办法》第四十条第(二)项</w:t>
      </w:r>
      <w:r>
        <w:rPr>
          <w:rFonts w:ascii="FangSong" w:hAnsi="FangSong" w:eastAsia="FangSong" w:cs="FangSong"/>
          <w:sz w:val="31"/>
          <w:szCs w:val="31"/>
          <w:spacing w:val="14"/>
        </w:rPr>
        <w:t xml:space="preserve">  </w:t>
      </w:r>
      <w:r>
        <w:rPr>
          <w:rFonts w:ascii="FangSong" w:hAnsi="FangSong" w:eastAsia="FangSong" w:cs="FangSong"/>
          <w:sz w:val="31"/>
          <w:szCs w:val="31"/>
          <w:spacing w:val="14"/>
        </w:rPr>
        <w:t>建</w:t>
      </w:r>
      <w:r>
        <w:rPr>
          <w:rFonts w:ascii="FangSong" w:hAnsi="FangSong" w:eastAsia="FangSong" w:cs="FangSong"/>
          <w:sz w:val="31"/>
          <w:szCs w:val="31"/>
          <w:spacing w:val="13"/>
        </w:rPr>
        <w:t>设单位有下列行</w:t>
      </w:r>
      <w:r>
        <w:rPr>
          <w:rFonts w:ascii="FangSong" w:hAnsi="FangSong" w:eastAsia="FangSong" w:cs="FangSong"/>
          <w:sz w:val="31"/>
          <w:szCs w:val="31"/>
        </w:rPr>
        <w:t xml:space="preserve"> </w:t>
      </w:r>
      <w:r>
        <w:rPr>
          <w:rFonts w:ascii="FangSong" w:hAnsi="FangSong" w:eastAsia="FangSong" w:cs="FangSong"/>
          <w:sz w:val="31"/>
          <w:szCs w:val="31"/>
          <w:spacing w:val="10"/>
        </w:rPr>
        <w:t>为之一的，由安全生产监督管理部门给予警告，</w:t>
      </w:r>
      <w:r>
        <w:rPr>
          <w:rFonts w:ascii="FangSong" w:hAnsi="FangSong" w:eastAsia="FangSong" w:cs="FangSong"/>
          <w:sz w:val="31"/>
          <w:szCs w:val="31"/>
          <w:spacing w:val="9"/>
        </w:rPr>
        <w:t>责令限期改正；逾期不改正的，处5000</w:t>
      </w:r>
      <w:r>
        <w:rPr>
          <w:rFonts w:ascii="FangSong" w:hAnsi="FangSong" w:eastAsia="FangSong" w:cs="FangSong"/>
          <w:sz w:val="31"/>
          <w:szCs w:val="31"/>
          <w:spacing w:val="9"/>
        </w:rPr>
        <w:t xml:space="preserve"> </w:t>
      </w:r>
      <w:r>
        <w:rPr>
          <w:rFonts w:ascii="FangSong" w:hAnsi="FangSong" w:eastAsia="FangSong" w:cs="FangSong"/>
          <w:sz w:val="31"/>
          <w:szCs w:val="31"/>
          <w:spacing w:val="9"/>
        </w:rPr>
        <w:t>元以上3</w:t>
      </w:r>
      <w:r>
        <w:rPr>
          <w:rFonts w:ascii="FangSong" w:hAnsi="FangSong" w:eastAsia="FangSong" w:cs="FangSong"/>
          <w:sz w:val="31"/>
          <w:szCs w:val="31"/>
          <w:spacing w:val="9"/>
        </w:rPr>
        <w:t xml:space="preserve"> </w:t>
      </w:r>
      <w:r>
        <w:rPr>
          <w:rFonts w:ascii="FangSong" w:hAnsi="FangSong" w:eastAsia="FangSong" w:cs="FangSong"/>
          <w:sz w:val="31"/>
          <w:szCs w:val="31"/>
          <w:spacing w:val="9"/>
        </w:rPr>
        <w:t>万</w:t>
      </w:r>
    </w:p>
    <w:p>
      <w:pPr>
        <w:pStyle w:val="BodyText"/>
        <w:spacing w:line="349" w:lineRule="auto"/>
        <w:rPr/>
      </w:pPr>
      <w:r/>
    </w:p>
    <w:p>
      <w:pPr>
        <w:pStyle w:val="BodyText"/>
        <w:spacing w:line="349" w:lineRule="auto"/>
        <w:rPr/>
      </w:pPr>
      <w:r/>
    </w:p>
    <w:p>
      <w:pPr>
        <w:ind w:left="6345"/>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—593—</w:t>
      </w:r>
    </w:p>
    <w:p>
      <w:pPr>
        <w:spacing w:line="188" w:lineRule="auto"/>
        <w:sectPr>
          <w:footerReference w:type="default" r:id="rId24"/>
          <w:pgSz w:w="16830" w:h="11900"/>
          <w:pgMar w:top="1011" w:right="1448" w:bottom="400" w:left="1434" w:header="0" w:footer="0" w:gutter="0"/>
        </w:sectPr>
        <w:rPr>
          <w:rFonts w:ascii="Times New Roman" w:hAnsi="Times New Roman" w:eastAsia="Times New Roman" w:cs="Times New Roman"/>
          <w:sz w:val="37"/>
          <w:szCs w:val="37"/>
        </w:rPr>
      </w:pPr>
    </w:p>
    <w:p>
      <w:pPr>
        <w:pStyle w:val="BodyText"/>
        <w:spacing w:line="255" w:lineRule="auto"/>
        <w:rPr/>
      </w:pPr>
      <w:r/>
    </w:p>
    <w:p>
      <w:pPr>
        <w:pStyle w:val="BodyText"/>
        <w:spacing w:line="255" w:lineRule="auto"/>
        <w:rPr/>
      </w:pPr>
      <w:r/>
    </w:p>
    <w:p>
      <w:pPr>
        <w:pStyle w:val="BodyText"/>
        <w:spacing w:line="256" w:lineRule="auto"/>
        <w:rPr/>
      </w:pPr>
      <w:r/>
    </w:p>
    <w:p>
      <w:pPr>
        <w:ind w:left="15"/>
        <w:spacing w:before="98" w:line="222" w:lineRule="auto"/>
        <w:rPr>
          <w:rFonts w:ascii="FangSong" w:hAnsi="FangSong" w:eastAsia="FangSong" w:cs="FangSong"/>
          <w:sz w:val="30"/>
          <w:szCs w:val="30"/>
        </w:rPr>
      </w:pPr>
      <w:bookmarkStart w:name="bookmark1153" w:id="529"/>
      <w:bookmarkEnd w:id="529"/>
      <w:r>
        <w:rPr>
          <w:rFonts w:ascii="FangSong" w:hAnsi="FangSong" w:eastAsia="FangSong" w:cs="FangSong"/>
          <w:sz w:val="30"/>
          <w:szCs w:val="30"/>
          <w:spacing w:val="4"/>
        </w:rPr>
        <w:t>元以下的罚款：</w:t>
      </w:r>
    </w:p>
    <w:p>
      <w:pPr>
        <w:ind w:left="15" w:firstLine="769"/>
        <w:spacing w:before="76" w:line="294" w:lineRule="auto"/>
        <w:rPr>
          <w:rFonts w:ascii="FangSong" w:hAnsi="FangSong" w:eastAsia="FangSong" w:cs="FangSong"/>
          <w:sz w:val="30"/>
          <w:szCs w:val="30"/>
        </w:rPr>
      </w:pPr>
      <w:r>
        <w:rPr>
          <w:rFonts w:ascii="FangSong" w:hAnsi="FangSong" w:eastAsia="FangSong" w:cs="FangSong"/>
          <w:sz w:val="30"/>
          <w:szCs w:val="30"/>
          <w:spacing w:val="21"/>
        </w:rPr>
        <w:t>(二)职业病危害预评价、职业病防护设施设计、</w:t>
      </w:r>
      <w:r>
        <w:rPr>
          <w:rFonts w:ascii="FangSong" w:hAnsi="FangSong" w:eastAsia="FangSong" w:cs="FangSong"/>
          <w:sz w:val="30"/>
          <w:szCs w:val="30"/>
          <w:spacing w:val="20"/>
        </w:rPr>
        <w:t>职业病危害控制效果评价或者职业病防护设施</w:t>
      </w:r>
      <w:r>
        <w:rPr>
          <w:rFonts w:ascii="FangSong" w:hAnsi="FangSong" w:eastAsia="FangSong" w:cs="FangSong"/>
          <w:sz w:val="30"/>
          <w:szCs w:val="30"/>
        </w:rPr>
        <w:t xml:space="preserve"> </w:t>
      </w:r>
      <w:r>
        <w:rPr>
          <w:rFonts w:ascii="FangSong" w:hAnsi="FangSong" w:eastAsia="FangSong" w:cs="FangSong"/>
          <w:sz w:val="30"/>
          <w:szCs w:val="30"/>
          <w:spacing w:val="14"/>
        </w:rPr>
        <w:t>验收工作过程未形成书面报告备查的。</w:t>
      </w:r>
    </w:p>
    <w:p>
      <w:pPr>
        <w:ind w:left="6419"/>
        <w:spacing w:before="9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8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8943"/>
        <w:gridCol w:w="3443"/>
      </w:tblGrid>
      <w:tr>
        <w:trPr>
          <w:trHeight w:val="603" w:hRule="atLeast"/>
        </w:trPr>
        <w:tc>
          <w:tcPr>
            <w:tcW w:w="1414" w:type="dxa"/>
            <w:vAlign w:val="top"/>
          </w:tcPr>
          <w:p>
            <w:pPr>
              <w:pStyle w:val="TableText"/>
              <w:ind w:left="198"/>
              <w:spacing w:before="182" w:line="220" w:lineRule="auto"/>
              <w:rPr>
                <w:sz w:val="25"/>
                <w:szCs w:val="25"/>
              </w:rPr>
            </w:pPr>
            <w:r>
              <w:rPr>
                <w:sz w:val="25"/>
                <w:szCs w:val="25"/>
                <w:b/>
                <w:bCs/>
                <w:spacing w:val="-5"/>
              </w:rPr>
              <w:t>违法程度</w:t>
            </w:r>
          </w:p>
        </w:tc>
        <w:tc>
          <w:tcPr>
            <w:tcW w:w="8943" w:type="dxa"/>
            <w:vAlign w:val="top"/>
          </w:tcPr>
          <w:p>
            <w:pPr>
              <w:pStyle w:val="TableText"/>
              <w:ind w:left="3964"/>
              <w:spacing w:before="182" w:line="220" w:lineRule="auto"/>
              <w:rPr>
                <w:sz w:val="25"/>
                <w:szCs w:val="25"/>
              </w:rPr>
            </w:pPr>
            <w:r>
              <w:rPr>
                <w:sz w:val="25"/>
                <w:szCs w:val="25"/>
                <w:b/>
                <w:bCs/>
                <w:spacing w:val="-5"/>
              </w:rPr>
              <w:t>情节后果</w:t>
            </w:r>
          </w:p>
        </w:tc>
        <w:tc>
          <w:tcPr>
            <w:tcW w:w="3443" w:type="dxa"/>
            <w:vAlign w:val="top"/>
          </w:tcPr>
          <w:p>
            <w:pPr>
              <w:pStyle w:val="TableText"/>
              <w:ind w:left="1161"/>
              <w:spacing w:before="179" w:line="218" w:lineRule="auto"/>
              <w:rPr>
                <w:sz w:val="25"/>
                <w:szCs w:val="25"/>
              </w:rPr>
            </w:pPr>
            <w:r>
              <w:rPr>
                <w:sz w:val="25"/>
                <w:szCs w:val="25"/>
                <w:b/>
                <w:bCs/>
                <w:spacing w:val="-5"/>
              </w:rPr>
              <w:t>裁量幅度</w:t>
            </w:r>
          </w:p>
        </w:tc>
      </w:tr>
      <w:tr>
        <w:trPr>
          <w:trHeight w:val="688" w:hRule="atLeast"/>
        </w:trPr>
        <w:tc>
          <w:tcPr>
            <w:tcW w:w="1414" w:type="dxa"/>
            <w:vAlign w:val="top"/>
          </w:tcPr>
          <w:p>
            <w:pPr>
              <w:pStyle w:val="TableText"/>
              <w:ind w:left="98"/>
              <w:spacing w:before="220" w:line="221" w:lineRule="auto"/>
              <w:rPr>
                <w:sz w:val="25"/>
                <w:szCs w:val="25"/>
              </w:rPr>
            </w:pPr>
            <w:r>
              <w:rPr>
                <w:sz w:val="25"/>
                <w:szCs w:val="25"/>
                <w:b/>
                <w:bCs/>
                <w:spacing w:val="-10"/>
              </w:rPr>
              <w:t>一般</w:t>
            </w:r>
          </w:p>
        </w:tc>
        <w:tc>
          <w:tcPr>
            <w:tcW w:w="8943" w:type="dxa"/>
            <w:vAlign w:val="top"/>
          </w:tcPr>
          <w:p>
            <w:pPr>
              <w:pStyle w:val="TableText"/>
              <w:ind w:left="110" w:hanging="99"/>
              <w:spacing w:before="60" w:line="228" w:lineRule="auto"/>
              <w:rPr>
                <w:sz w:val="25"/>
                <w:szCs w:val="25"/>
              </w:rPr>
            </w:pPr>
            <w:r>
              <w:rPr>
                <w:sz w:val="25"/>
                <w:szCs w:val="25"/>
                <w:spacing w:val="-2"/>
              </w:rPr>
              <w:t>建设单位职业病危害预评价、职业病防护设施设计、职业病危害</w:t>
            </w:r>
            <w:r>
              <w:rPr>
                <w:sz w:val="25"/>
                <w:szCs w:val="25"/>
                <w:spacing w:val="-3"/>
              </w:rPr>
              <w:t>控制效果评价或者</w:t>
            </w:r>
            <w:r>
              <w:rPr>
                <w:sz w:val="25"/>
                <w:szCs w:val="25"/>
              </w:rPr>
              <w:t xml:space="preserve"> </w:t>
            </w:r>
            <w:r>
              <w:rPr>
                <w:sz w:val="25"/>
                <w:szCs w:val="25"/>
              </w:rPr>
              <w:t>职业病防护设施验收工作过程未形成书面报告备查的</w:t>
            </w:r>
          </w:p>
        </w:tc>
        <w:tc>
          <w:tcPr>
            <w:tcW w:w="3443" w:type="dxa"/>
            <w:vAlign w:val="top"/>
          </w:tcPr>
          <w:p>
            <w:pPr>
              <w:pStyle w:val="TableText"/>
              <w:ind w:left="127"/>
              <w:spacing w:before="220" w:line="218" w:lineRule="auto"/>
              <w:rPr>
                <w:sz w:val="25"/>
                <w:szCs w:val="25"/>
              </w:rPr>
            </w:pPr>
            <w:r>
              <w:rPr>
                <w:sz w:val="25"/>
                <w:szCs w:val="25"/>
                <w:spacing w:val="1"/>
              </w:rPr>
              <w:t>给予警告，责令限期改正</w:t>
            </w:r>
          </w:p>
        </w:tc>
      </w:tr>
      <w:tr>
        <w:trPr>
          <w:trHeight w:val="1017" w:hRule="atLeast"/>
        </w:trPr>
        <w:tc>
          <w:tcPr>
            <w:tcW w:w="1414" w:type="dxa"/>
            <w:vAlign w:val="top"/>
          </w:tcPr>
          <w:p>
            <w:pPr>
              <w:spacing w:line="380" w:lineRule="auto"/>
              <w:rPr>
                <w:rFonts w:ascii="Arial"/>
                <w:sz w:val="21"/>
              </w:rPr>
            </w:pPr>
            <w:r/>
          </w:p>
          <w:p>
            <w:pPr>
              <w:pStyle w:val="TableText"/>
              <w:ind w:left="448"/>
              <w:spacing w:before="81" w:line="221" w:lineRule="auto"/>
              <w:rPr>
                <w:sz w:val="25"/>
                <w:szCs w:val="25"/>
              </w:rPr>
            </w:pPr>
            <w:r>
              <w:rPr>
                <w:sz w:val="25"/>
                <w:szCs w:val="25"/>
                <w:b/>
                <w:bCs/>
                <w:spacing w:val="-6"/>
              </w:rPr>
              <w:t>较重</w:t>
            </w:r>
          </w:p>
        </w:tc>
        <w:tc>
          <w:tcPr>
            <w:tcW w:w="8943" w:type="dxa"/>
            <w:vAlign w:val="top"/>
          </w:tcPr>
          <w:p>
            <w:pPr>
              <w:pStyle w:val="TableText"/>
              <w:ind w:left="20" w:hanging="9"/>
              <w:spacing w:before="80" w:line="228" w:lineRule="auto"/>
              <w:jc w:val="both"/>
              <w:rPr>
                <w:sz w:val="25"/>
                <w:szCs w:val="25"/>
              </w:rPr>
            </w:pPr>
            <w:r>
              <w:rPr>
                <w:sz w:val="25"/>
                <w:szCs w:val="25"/>
                <w:spacing w:val="-9"/>
              </w:rPr>
              <w:t>建设单位职业病危害一般类别的建设项目职业病危害预评价、职业病防护设施设计、</w:t>
            </w:r>
            <w:r>
              <w:rPr>
                <w:sz w:val="25"/>
                <w:szCs w:val="25"/>
                <w:spacing w:val="3"/>
              </w:rPr>
              <w:t xml:space="preserve"> </w:t>
            </w:r>
            <w:r>
              <w:rPr>
                <w:sz w:val="25"/>
                <w:szCs w:val="25"/>
                <w:spacing w:val="-2"/>
              </w:rPr>
              <w:t>职业病危害控制效果评价或者职业病防护设</w:t>
            </w:r>
            <w:r>
              <w:rPr>
                <w:sz w:val="25"/>
                <w:szCs w:val="25"/>
                <w:spacing w:val="-3"/>
              </w:rPr>
              <w:t>施验收工作过程未形成书面报告备查，</w:t>
            </w:r>
            <w:r>
              <w:rPr>
                <w:sz w:val="25"/>
                <w:szCs w:val="25"/>
              </w:rPr>
              <w:t xml:space="preserve"> </w:t>
            </w:r>
            <w:r>
              <w:rPr>
                <w:sz w:val="25"/>
                <w:szCs w:val="25"/>
                <w:spacing w:val="5"/>
              </w:rPr>
              <w:t>经责令限期改正，逾期不改正</w:t>
            </w:r>
          </w:p>
        </w:tc>
        <w:tc>
          <w:tcPr>
            <w:tcW w:w="3443" w:type="dxa"/>
            <w:vAlign w:val="top"/>
          </w:tcPr>
          <w:p>
            <w:pPr>
              <w:pStyle w:val="TableText"/>
              <w:ind w:left="127"/>
              <w:spacing w:before="255" w:line="220" w:lineRule="auto"/>
              <w:rPr>
                <w:sz w:val="25"/>
                <w:szCs w:val="25"/>
              </w:rPr>
            </w:pPr>
            <w:r>
              <w:rPr>
                <w:sz w:val="25"/>
                <w:szCs w:val="25"/>
                <w:spacing w:val="45"/>
              </w:rPr>
              <w:t>处5000元以上1万元以下</w:t>
            </w:r>
          </w:p>
          <w:p>
            <w:pPr>
              <w:pStyle w:val="TableText"/>
              <w:ind w:left="127"/>
              <w:spacing w:before="42" w:line="221" w:lineRule="auto"/>
              <w:rPr>
                <w:sz w:val="25"/>
                <w:szCs w:val="25"/>
              </w:rPr>
            </w:pPr>
            <w:r>
              <w:rPr>
                <w:sz w:val="25"/>
                <w:szCs w:val="25"/>
                <w:color w:val="404040"/>
                <w:spacing w:val="3"/>
              </w:rPr>
              <w:t>的罚款</w:t>
            </w:r>
          </w:p>
        </w:tc>
      </w:tr>
      <w:tr>
        <w:trPr>
          <w:trHeight w:val="1022" w:hRule="atLeast"/>
        </w:trPr>
        <w:tc>
          <w:tcPr>
            <w:tcW w:w="1414" w:type="dxa"/>
            <w:vAlign w:val="top"/>
          </w:tcPr>
          <w:p>
            <w:pPr>
              <w:spacing w:line="390" w:lineRule="auto"/>
              <w:rPr>
                <w:rFonts w:ascii="Arial"/>
                <w:sz w:val="21"/>
              </w:rPr>
            </w:pPr>
            <w:r/>
          </w:p>
          <w:p>
            <w:pPr>
              <w:pStyle w:val="TableText"/>
              <w:ind w:left="448"/>
              <w:spacing w:before="82" w:line="220" w:lineRule="auto"/>
              <w:rPr>
                <w:sz w:val="25"/>
                <w:szCs w:val="25"/>
              </w:rPr>
            </w:pPr>
            <w:r>
              <w:rPr>
                <w:sz w:val="25"/>
                <w:szCs w:val="25"/>
                <w:b/>
                <w:bCs/>
                <w:spacing w:val="-6"/>
              </w:rPr>
              <w:t>严重</w:t>
            </w:r>
          </w:p>
        </w:tc>
        <w:tc>
          <w:tcPr>
            <w:tcW w:w="8943" w:type="dxa"/>
            <w:vAlign w:val="top"/>
          </w:tcPr>
          <w:p>
            <w:pPr>
              <w:pStyle w:val="TableText"/>
              <w:ind w:left="20" w:hanging="9"/>
              <w:spacing w:before="85" w:line="228" w:lineRule="auto"/>
              <w:jc w:val="both"/>
              <w:rPr>
                <w:sz w:val="25"/>
                <w:szCs w:val="25"/>
              </w:rPr>
            </w:pPr>
            <w:r>
              <w:rPr>
                <w:sz w:val="25"/>
                <w:szCs w:val="25"/>
                <w:spacing w:val="-9"/>
              </w:rPr>
              <w:t>建设单位职业病危害严重类别的建设项目职业病危害预评价、职业病防护设施设计、</w:t>
            </w:r>
            <w:r>
              <w:rPr>
                <w:sz w:val="25"/>
                <w:szCs w:val="25"/>
                <w:spacing w:val="3"/>
              </w:rPr>
              <w:t xml:space="preserve"> </w:t>
            </w:r>
            <w:r>
              <w:rPr>
                <w:sz w:val="25"/>
                <w:szCs w:val="25"/>
                <w:spacing w:val="-2"/>
              </w:rPr>
              <w:t>职业病危害控制效果评价或者职业病防护设</w:t>
            </w:r>
            <w:r>
              <w:rPr>
                <w:sz w:val="25"/>
                <w:szCs w:val="25"/>
                <w:spacing w:val="-3"/>
              </w:rPr>
              <w:t>施验收工作过程未形成书面报告备查，</w:t>
            </w:r>
            <w:r>
              <w:rPr>
                <w:sz w:val="25"/>
                <w:szCs w:val="25"/>
              </w:rPr>
              <w:t xml:space="preserve"> </w:t>
            </w:r>
            <w:r>
              <w:rPr>
                <w:sz w:val="25"/>
                <w:szCs w:val="25"/>
                <w:spacing w:val="4"/>
              </w:rPr>
              <w:t>经责令限期改正，逾期不改正</w:t>
            </w:r>
          </w:p>
        </w:tc>
        <w:tc>
          <w:tcPr>
            <w:tcW w:w="3443" w:type="dxa"/>
            <w:vAlign w:val="top"/>
          </w:tcPr>
          <w:p>
            <w:pPr>
              <w:pStyle w:val="TableText"/>
              <w:ind w:left="127"/>
              <w:spacing w:before="258" w:line="220" w:lineRule="auto"/>
              <w:rPr>
                <w:sz w:val="25"/>
                <w:szCs w:val="25"/>
              </w:rPr>
            </w:pPr>
            <w:r>
              <w:rPr>
                <w:sz w:val="25"/>
                <w:szCs w:val="25"/>
                <w:spacing w:val="1"/>
              </w:rPr>
              <w:t>处1万元以上3万元以下的</w:t>
            </w:r>
          </w:p>
          <w:p>
            <w:pPr>
              <w:pStyle w:val="TableText"/>
              <w:ind w:left="127"/>
              <w:spacing w:before="32" w:line="221" w:lineRule="auto"/>
              <w:rPr>
                <w:sz w:val="25"/>
                <w:szCs w:val="25"/>
              </w:rPr>
            </w:pPr>
            <w:r>
              <w:rPr>
                <w:sz w:val="25"/>
                <w:szCs w:val="25"/>
                <w:color w:val="504050"/>
                <w:spacing w:val="5"/>
              </w:rPr>
              <w:t>罚款</w:t>
            </w:r>
          </w:p>
        </w:tc>
      </w:tr>
    </w:tbl>
    <w:p>
      <w:pPr>
        <w:pStyle w:val="BodyText"/>
        <w:spacing w:line="427" w:lineRule="auto"/>
        <w:rPr/>
      </w:pPr>
      <w:r/>
    </w:p>
    <w:p>
      <w:pPr>
        <w:ind w:left="19" w:right="5" w:firstLine="635"/>
        <w:spacing w:before="98" w:line="276" w:lineRule="auto"/>
        <w:rPr>
          <w:rFonts w:ascii="FangSong" w:hAnsi="FangSong" w:eastAsia="FangSong" w:cs="FangSong"/>
          <w:sz w:val="30"/>
          <w:szCs w:val="30"/>
        </w:rPr>
      </w:pPr>
      <w:r>
        <w:rPr>
          <w:rFonts w:ascii="FangSong" w:hAnsi="FangSong" w:eastAsia="FangSong" w:cs="FangSong"/>
          <w:sz w:val="30"/>
          <w:szCs w:val="30"/>
          <w:spacing w:val="21"/>
        </w:rPr>
        <w:t>第</w:t>
      </w:r>
      <w:r>
        <w:rPr>
          <w:rFonts w:ascii="FangSong" w:hAnsi="FangSong" w:eastAsia="FangSong" w:cs="FangSong"/>
          <w:sz w:val="30"/>
          <w:szCs w:val="30"/>
          <w:b/>
          <w:bCs/>
          <w:spacing w:val="21"/>
        </w:rPr>
        <w:t>四百九十一条建设单位建设项目的生产规模、工艺等发生变更导致职业病危害风险发生重大</w:t>
      </w:r>
      <w:r>
        <w:rPr>
          <w:rFonts w:ascii="FangSong" w:hAnsi="FangSong" w:eastAsia="FangSong" w:cs="FangSong"/>
          <w:sz w:val="30"/>
          <w:szCs w:val="30"/>
        </w:rPr>
        <w:t xml:space="preserve"> </w:t>
      </w:r>
      <w:r>
        <w:rPr>
          <w:rFonts w:ascii="FangSong" w:hAnsi="FangSong" w:eastAsia="FangSong" w:cs="FangSong"/>
          <w:sz w:val="30"/>
          <w:szCs w:val="30"/>
          <w:b/>
          <w:bCs/>
          <w:spacing w:val="17"/>
        </w:rPr>
        <w:t>变化的，建设单位对变更内容未重新进行职业病危害预评</w:t>
      </w:r>
      <w:r>
        <w:rPr>
          <w:rFonts w:ascii="FangSong" w:hAnsi="FangSong" w:eastAsia="FangSong" w:cs="FangSong"/>
          <w:sz w:val="30"/>
          <w:szCs w:val="30"/>
          <w:b/>
          <w:bCs/>
          <w:spacing w:val="16"/>
        </w:rPr>
        <w:t>价和评审的</w:t>
      </w:r>
    </w:p>
    <w:p>
      <w:pPr>
        <w:ind w:left="654"/>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5" w:right="2" w:firstLine="629"/>
        <w:spacing w:before="88" w:line="278" w:lineRule="auto"/>
        <w:rPr>
          <w:rFonts w:ascii="FangSong" w:hAnsi="FangSong" w:eastAsia="FangSong" w:cs="FangSong"/>
          <w:sz w:val="30"/>
          <w:szCs w:val="30"/>
        </w:rPr>
      </w:pPr>
      <w:r>
        <w:rPr>
          <w:rFonts w:ascii="FangSong" w:hAnsi="FangSong" w:eastAsia="FangSong" w:cs="FangSong"/>
          <w:sz w:val="30"/>
          <w:szCs w:val="30"/>
          <w:spacing w:val="23"/>
        </w:rPr>
        <w:t>《建设项目职业病防护设施“三同时”监督管理办法》第四十条第(三)项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建设单位有下列行</w:t>
      </w:r>
      <w:r>
        <w:rPr>
          <w:rFonts w:ascii="FangSong" w:hAnsi="FangSong" w:eastAsia="FangSong" w:cs="FangSong"/>
          <w:sz w:val="30"/>
          <w:szCs w:val="30"/>
          <w:spacing w:val="11"/>
        </w:rPr>
        <w:t xml:space="preserve"> </w:t>
      </w:r>
      <w:r>
        <w:rPr>
          <w:rFonts w:ascii="FangSong" w:hAnsi="FangSong" w:eastAsia="FangSong" w:cs="FangSong"/>
          <w:sz w:val="30"/>
          <w:szCs w:val="30"/>
          <w:spacing w:val="12"/>
        </w:rPr>
        <w:t>为之一的，由安全生产监督管理部门给予警告，责令限期改正；</w:t>
      </w:r>
      <w:r>
        <w:rPr>
          <w:rFonts w:ascii="FangSong" w:hAnsi="FangSong" w:eastAsia="FangSong" w:cs="FangSong"/>
          <w:sz w:val="30"/>
          <w:szCs w:val="30"/>
          <w:spacing w:val="11"/>
        </w:rPr>
        <w:t>逾期不改正的，处5000</w:t>
      </w:r>
      <w:r>
        <w:rPr>
          <w:rFonts w:ascii="FangSong" w:hAnsi="FangSong" w:eastAsia="FangSong" w:cs="FangSong"/>
          <w:sz w:val="30"/>
          <w:szCs w:val="30"/>
          <w:spacing w:val="11"/>
        </w:rPr>
        <w:t xml:space="preserve"> </w:t>
      </w:r>
      <w:r>
        <w:rPr>
          <w:rFonts w:ascii="FangSong" w:hAnsi="FangSong" w:eastAsia="FangSong" w:cs="FangSong"/>
          <w:sz w:val="30"/>
          <w:szCs w:val="30"/>
          <w:spacing w:val="11"/>
        </w:rPr>
        <w:t>元</w:t>
      </w:r>
      <w:r>
        <w:rPr>
          <w:rFonts w:ascii="FangSong" w:hAnsi="FangSong" w:eastAsia="FangSong" w:cs="FangSong"/>
          <w:sz w:val="30"/>
          <w:szCs w:val="30"/>
          <w:spacing w:val="-22"/>
        </w:rPr>
        <w:t xml:space="preserve"> </w:t>
      </w:r>
      <w:r>
        <w:rPr>
          <w:rFonts w:ascii="FangSong" w:hAnsi="FangSong" w:eastAsia="FangSong" w:cs="FangSong"/>
          <w:sz w:val="30"/>
          <w:szCs w:val="30"/>
          <w:spacing w:val="11"/>
        </w:rPr>
        <w:t>以</w:t>
      </w:r>
      <w:r>
        <w:rPr>
          <w:rFonts w:ascii="FangSong" w:hAnsi="FangSong" w:eastAsia="FangSong" w:cs="FangSong"/>
          <w:sz w:val="30"/>
          <w:szCs w:val="30"/>
          <w:spacing w:val="-49"/>
        </w:rPr>
        <w:t xml:space="preserve"> </w:t>
      </w:r>
      <w:r>
        <w:rPr>
          <w:rFonts w:ascii="FangSong" w:hAnsi="FangSong" w:eastAsia="FangSong" w:cs="FangSong"/>
          <w:sz w:val="30"/>
          <w:szCs w:val="30"/>
          <w:spacing w:val="11"/>
        </w:rPr>
        <w:t>上</w:t>
      </w:r>
      <w:r>
        <w:rPr>
          <w:rFonts w:ascii="FangSong" w:hAnsi="FangSong" w:eastAsia="FangSong" w:cs="FangSong"/>
          <w:sz w:val="30"/>
          <w:szCs w:val="30"/>
          <w:spacing w:val="-56"/>
        </w:rPr>
        <w:t xml:space="preserve"> </w:t>
      </w:r>
      <w:r>
        <w:rPr>
          <w:rFonts w:ascii="FangSong" w:hAnsi="FangSong" w:eastAsia="FangSong" w:cs="FangSong"/>
          <w:sz w:val="30"/>
          <w:szCs w:val="30"/>
          <w:spacing w:val="11"/>
        </w:rPr>
        <w:t>3</w:t>
      </w:r>
      <w:r>
        <w:rPr>
          <w:rFonts w:ascii="FangSong" w:hAnsi="FangSong" w:eastAsia="FangSong" w:cs="FangSong"/>
          <w:sz w:val="30"/>
          <w:szCs w:val="30"/>
          <w:spacing w:val="11"/>
        </w:rPr>
        <w:t xml:space="preserve"> </w:t>
      </w:r>
      <w:r>
        <w:rPr>
          <w:rFonts w:ascii="FangSong" w:hAnsi="FangSong" w:eastAsia="FangSong" w:cs="FangSong"/>
          <w:sz w:val="30"/>
          <w:szCs w:val="30"/>
          <w:spacing w:val="11"/>
        </w:rPr>
        <w:t>万</w:t>
      </w:r>
    </w:p>
    <w:p>
      <w:pPr>
        <w:pStyle w:val="BodyText"/>
        <w:spacing w:line="272" w:lineRule="auto"/>
        <w:rPr/>
      </w:pPr>
      <w:r/>
    </w:p>
    <w:p>
      <w:pPr>
        <w:pStyle w:val="BodyText"/>
        <w:spacing w:line="273" w:lineRule="auto"/>
        <w:rPr/>
      </w:pPr>
      <w:r/>
    </w:p>
    <w:p>
      <w:pPr>
        <w:pStyle w:val="BodyText"/>
        <w:spacing w:line="273" w:lineRule="auto"/>
        <w:rPr/>
      </w:pPr>
      <w:r/>
    </w:p>
    <w:p>
      <w:pPr>
        <w:ind w:left="6345"/>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—594—</w:t>
      </w:r>
    </w:p>
    <w:p>
      <w:pPr>
        <w:spacing w:line="188" w:lineRule="auto"/>
        <w:sectPr>
          <w:pgSz w:w="16830" w:h="11900"/>
          <w:pgMar w:top="1011" w:right="1446" w:bottom="400" w:left="1434" w:header="0" w:footer="0" w:gutter="0"/>
        </w:sectPr>
        <w:rPr>
          <w:rFonts w:ascii="Times New Roman" w:hAnsi="Times New Roman" w:eastAsia="Times New Roman" w:cs="Times New Roman"/>
          <w:sz w:val="37"/>
          <w:szCs w:val="37"/>
        </w:rPr>
      </w:pPr>
    </w:p>
    <w:p>
      <w:pPr>
        <w:pStyle w:val="BodyText"/>
        <w:spacing w:line="273" w:lineRule="auto"/>
        <w:rPr/>
      </w:pPr>
      <w:r/>
    </w:p>
    <w:p>
      <w:pPr>
        <w:pStyle w:val="BodyText"/>
        <w:spacing w:line="273" w:lineRule="auto"/>
        <w:rPr/>
      </w:pPr>
      <w:r/>
    </w:p>
    <w:p>
      <w:pPr>
        <w:pStyle w:val="BodyText"/>
        <w:spacing w:line="273" w:lineRule="auto"/>
        <w:rPr/>
      </w:pPr>
      <w:r/>
    </w:p>
    <w:p>
      <w:pPr>
        <w:ind w:left="34"/>
        <w:spacing w:before="94" w:line="222" w:lineRule="auto"/>
        <w:rPr>
          <w:rFonts w:ascii="FangSong" w:hAnsi="FangSong" w:eastAsia="FangSong" w:cs="FangSong"/>
          <w:sz w:val="29"/>
          <w:szCs w:val="29"/>
        </w:rPr>
      </w:pPr>
      <w:bookmarkStart w:name="bookmark1154" w:id="530"/>
      <w:bookmarkEnd w:id="530"/>
      <w:r>
        <w:rPr>
          <w:rFonts w:ascii="FangSong" w:hAnsi="FangSong" w:eastAsia="FangSong" w:cs="FangSong"/>
          <w:sz w:val="29"/>
          <w:szCs w:val="29"/>
          <w:spacing w:val="16"/>
        </w:rPr>
        <w:t>元以下的罚款：</w:t>
      </w:r>
    </w:p>
    <w:p>
      <w:pPr>
        <w:ind w:left="34" w:firstLine="760"/>
        <w:spacing w:before="58" w:line="293" w:lineRule="auto"/>
        <w:rPr>
          <w:rFonts w:ascii="FangSong" w:hAnsi="FangSong" w:eastAsia="FangSong" w:cs="FangSong"/>
          <w:sz w:val="29"/>
          <w:szCs w:val="29"/>
        </w:rPr>
      </w:pPr>
      <w:r>
        <w:rPr>
          <w:rFonts w:ascii="FangSong" w:hAnsi="FangSong" w:eastAsia="FangSong" w:cs="FangSong"/>
          <w:sz w:val="29"/>
          <w:szCs w:val="29"/>
          <w:spacing w:val="30"/>
        </w:rPr>
        <w:t>(三)建设项目的生产规模、工艺等发生变更导致职业病危害风险发生重大变化的，建设单位对</w:t>
      </w:r>
      <w:r>
        <w:rPr>
          <w:rFonts w:ascii="FangSong" w:hAnsi="FangSong" w:eastAsia="FangSong" w:cs="FangSong"/>
          <w:sz w:val="29"/>
          <w:szCs w:val="29"/>
          <w:spacing w:val="9"/>
        </w:rPr>
        <w:t xml:space="preserve"> </w:t>
      </w:r>
      <w:r>
        <w:rPr>
          <w:rFonts w:ascii="FangSong" w:hAnsi="FangSong" w:eastAsia="FangSong" w:cs="FangSong"/>
          <w:sz w:val="29"/>
          <w:szCs w:val="29"/>
          <w:spacing w:val="28"/>
        </w:rPr>
        <w:t>变更内容未重新进行职业病危害预评价和评审</w:t>
      </w:r>
      <w:r>
        <w:rPr>
          <w:rFonts w:ascii="FangSong" w:hAnsi="FangSong" w:eastAsia="FangSong" w:cs="FangSong"/>
          <w:sz w:val="29"/>
          <w:szCs w:val="29"/>
          <w:spacing w:val="27"/>
        </w:rPr>
        <w:t>，或者未重新进行职业病防护设施设计和评审的；</w:t>
      </w:r>
    </w:p>
    <w:p>
      <w:pPr>
        <w:ind w:left="6429"/>
        <w:spacing w:before="110"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8973"/>
        <w:gridCol w:w="3442"/>
      </w:tblGrid>
      <w:tr>
        <w:trPr>
          <w:trHeight w:val="654" w:hRule="atLeast"/>
        </w:trPr>
        <w:tc>
          <w:tcPr>
            <w:tcW w:w="1434" w:type="dxa"/>
            <w:vAlign w:val="top"/>
          </w:tcPr>
          <w:p>
            <w:pPr>
              <w:pStyle w:val="TableText"/>
              <w:ind w:left="228"/>
              <w:spacing w:before="212" w:line="220" w:lineRule="auto"/>
              <w:rPr/>
            </w:pPr>
            <w:r>
              <w:rPr>
                <w:b/>
                <w:bCs/>
                <w:spacing w:val="-5"/>
              </w:rPr>
              <w:t>违法程度</w:t>
            </w:r>
          </w:p>
        </w:tc>
        <w:tc>
          <w:tcPr>
            <w:tcW w:w="8973" w:type="dxa"/>
            <w:vAlign w:val="top"/>
          </w:tcPr>
          <w:p>
            <w:pPr>
              <w:pStyle w:val="TableText"/>
              <w:ind w:left="4004"/>
              <w:spacing w:before="242" w:line="220" w:lineRule="auto"/>
              <w:rPr/>
            </w:pPr>
            <w:r>
              <w:rPr>
                <w:b/>
                <w:bCs/>
                <w:spacing w:val="-5"/>
              </w:rPr>
              <w:t>情节后果</w:t>
            </w:r>
          </w:p>
        </w:tc>
        <w:tc>
          <w:tcPr>
            <w:tcW w:w="3442" w:type="dxa"/>
            <w:vAlign w:val="top"/>
          </w:tcPr>
          <w:p>
            <w:pPr>
              <w:pStyle w:val="TableText"/>
              <w:ind w:left="1181"/>
              <w:spacing w:before="239" w:line="218" w:lineRule="auto"/>
              <w:rPr/>
            </w:pPr>
            <w:r>
              <w:rPr>
                <w:b/>
                <w:bCs/>
                <w:spacing w:val="-5"/>
              </w:rPr>
              <w:t>裁量幅度</w:t>
            </w:r>
          </w:p>
        </w:tc>
      </w:tr>
      <w:tr>
        <w:trPr>
          <w:trHeight w:val="1017" w:hRule="atLeast"/>
        </w:trPr>
        <w:tc>
          <w:tcPr>
            <w:tcW w:w="1434" w:type="dxa"/>
            <w:vAlign w:val="top"/>
          </w:tcPr>
          <w:p>
            <w:pPr>
              <w:spacing w:line="378" w:lineRule="auto"/>
              <w:rPr>
                <w:rFonts w:ascii="Arial"/>
                <w:sz w:val="21"/>
              </w:rPr>
            </w:pPr>
            <w:r/>
          </w:p>
          <w:p>
            <w:pPr>
              <w:pStyle w:val="TableText"/>
              <w:ind w:left="468"/>
              <w:spacing w:before="78" w:line="221" w:lineRule="auto"/>
              <w:rPr/>
            </w:pPr>
            <w:r>
              <w:rPr>
                <w:b/>
                <w:bCs/>
                <w:spacing w:val="-10"/>
              </w:rPr>
              <w:t>一般</w:t>
            </w:r>
          </w:p>
        </w:tc>
        <w:tc>
          <w:tcPr>
            <w:tcW w:w="8973" w:type="dxa"/>
            <w:vAlign w:val="top"/>
          </w:tcPr>
          <w:p>
            <w:pPr>
              <w:pStyle w:val="TableText"/>
              <w:ind w:left="41" w:right="31"/>
              <w:spacing w:before="71"/>
              <w:jc w:val="both"/>
              <w:rPr/>
            </w:pPr>
            <w:r>
              <w:rPr/>
              <w:t>建设项目的生产规模、工艺等发生变更导致职业病危害风险发生重大变化的，建设单</w:t>
            </w:r>
            <w:r>
              <w:rPr>
                <w:spacing w:val="9"/>
              </w:rPr>
              <w:t xml:space="preserve"> </w:t>
            </w:r>
            <w:r>
              <w:rPr/>
              <w:t>位对变更内容未重新进行职业病危害预评价和评审，或者未重新进行职业病防护设施</w:t>
            </w:r>
            <w:r>
              <w:rPr>
                <w:spacing w:val="9"/>
              </w:rPr>
              <w:t xml:space="preserve"> </w:t>
            </w:r>
            <w:r>
              <w:rPr>
                <w:spacing w:val="13"/>
              </w:rPr>
              <w:t>设计和评审的</w:t>
            </w:r>
          </w:p>
        </w:tc>
        <w:tc>
          <w:tcPr>
            <w:tcW w:w="3442" w:type="dxa"/>
            <w:vAlign w:val="top"/>
          </w:tcPr>
          <w:p>
            <w:pPr>
              <w:spacing w:line="308" w:lineRule="auto"/>
              <w:rPr>
                <w:rFonts w:ascii="Arial"/>
                <w:sz w:val="21"/>
              </w:rPr>
            </w:pPr>
            <w:r/>
          </w:p>
          <w:p>
            <w:pPr>
              <w:pStyle w:val="TableText"/>
              <w:ind w:left="127"/>
              <w:spacing w:before="78" w:line="218" w:lineRule="auto"/>
              <w:rPr/>
            </w:pPr>
            <w:r>
              <w:rPr>
                <w:spacing w:val="1"/>
              </w:rPr>
              <w:t>给予警告，责令限期改正</w:t>
            </w:r>
          </w:p>
        </w:tc>
      </w:tr>
      <w:tr>
        <w:trPr>
          <w:trHeight w:val="1237" w:hRule="atLeast"/>
        </w:trPr>
        <w:tc>
          <w:tcPr>
            <w:tcW w:w="1434" w:type="dxa"/>
            <w:vAlign w:val="top"/>
          </w:tcPr>
          <w:p>
            <w:pPr>
              <w:spacing w:line="423" w:lineRule="auto"/>
              <w:rPr>
                <w:rFonts w:ascii="Arial"/>
                <w:sz w:val="21"/>
              </w:rPr>
            </w:pPr>
            <w:r/>
          </w:p>
          <w:p>
            <w:pPr>
              <w:pStyle w:val="TableText"/>
              <w:ind w:left="468"/>
              <w:spacing w:before="78" w:line="221" w:lineRule="auto"/>
              <w:rPr/>
            </w:pPr>
            <w:r>
              <w:rPr>
                <w:b/>
                <w:bCs/>
                <w:spacing w:val="-5"/>
              </w:rPr>
              <w:t>较重</w:t>
            </w:r>
          </w:p>
        </w:tc>
        <w:tc>
          <w:tcPr>
            <w:tcW w:w="8973" w:type="dxa"/>
            <w:vAlign w:val="top"/>
          </w:tcPr>
          <w:p>
            <w:pPr>
              <w:pStyle w:val="TableText"/>
              <w:ind w:left="41" w:right="30"/>
              <w:spacing w:before="174" w:line="270" w:lineRule="auto"/>
              <w:jc w:val="both"/>
              <w:rPr/>
            </w:pPr>
            <w:r>
              <w:rPr/>
              <w:t>职业病危害一般类别的建设项目的生产规模、工艺等发生变更导致职业病危害风险发</w:t>
            </w:r>
            <w:r>
              <w:rPr>
                <w:spacing w:val="8"/>
              </w:rPr>
              <w:t xml:space="preserve"> </w:t>
            </w:r>
            <w:r>
              <w:rPr/>
              <w:t>生重大变化的，建设单位对变更内容未重新进行职业病危害预评价和评审，或者未重</w:t>
            </w:r>
            <w:r>
              <w:rPr>
                <w:spacing w:val="10"/>
              </w:rPr>
              <w:t xml:space="preserve"> </w:t>
            </w:r>
            <w:r>
              <w:rPr>
                <w:spacing w:val="2"/>
              </w:rPr>
              <w:t>新进行职业病防护设施设计和评审，经责令限期改正，逾期不改正</w:t>
            </w:r>
          </w:p>
        </w:tc>
        <w:tc>
          <w:tcPr>
            <w:tcW w:w="3442" w:type="dxa"/>
            <w:vAlign w:val="top"/>
          </w:tcPr>
          <w:p>
            <w:pPr>
              <w:spacing w:line="274" w:lineRule="auto"/>
              <w:rPr>
                <w:rFonts w:ascii="Arial"/>
                <w:sz w:val="21"/>
              </w:rPr>
            </w:pPr>
            <w:r/>
          </w:p>
          <w:p>
            <w:pPr>
              <w:pStyle w:val="TableText"/>
              <w:ind w:left="137"/>
              <w:spacing w:before="78" w:line="220" w:lineRule="auto"/>
              <w:rPr/>
            </w:pPr>
            <w:r>
              <w:rPr>
                <w:spacing w:val="-17"/>
              </w:rPr>
              <w:t>处</w:t>
            </w:r>
            <w:r>
              <w:rPr>
                <w:spacing w:val="-38"/>
              </w:rPr>
              <w:t xml:space="preserve"> </w:t>
            </w:r>
            <w:r>
              <w:rPr>
                <w:spacing w:val="-17"/>
              </w:rPr>
              <w:t>5</w:t>
            </w:r>
            <w:r>
              <w:rPr>
                <w:spacing w:val="-50"/>
              </w:rPr>
              <w:t xml:space="preserve"> </w:t>
            </w:r>
            <w:r>
              <w:rPr>
                <w:spacing w:val="-17"/>
              </w:rPr>
              <w:t>0</w:t>
            </w:r>
            <w:r>
              <w:rPr>
                <w:spacing w:val="-49"/>
              </w:rPr>
              <w:t xml:space="preserve"> </w:t>
            </w:r>
            <w:r>
              <w:rPr>
                <w:spacing w:val="-17"/>
              </w:rPr>
              <w:t>0</w:t>
            </w:r>
            <w:r>
              <w:rPr>
                <w:spacing w:val="-50"/>
              </w:rPr>
              <w:t xml:space="preserve"> </w:t>
            </w:r>
            <w:r>
              <w:rPr>
                <w:spacing w:val="-17"/>
              </w:rPr>
              <w:t>0</w:t>
            </w:r>
            <w:r>
              <w:rPr>
                <w:spacing w:val="-50"/>
              </w:rPr>
              <w:t xml:space="preserve"> </w:t>
            </w:r>
            <w:r>
              <w:rPr>
                <w:spacing w:val="-17"/>
              </w:rPr>
              <w:t>元</w:t>
            </w:r>
            <w:r>
              <w:rPr>
                <w:spacing w:val="-24"/>
              </w:rPr>
              <w:t xml:space="preserve"> </w:t>
            </w:r>
            <w:r>
              <w:rPr>
                <w:spacing w:val="-17"/>
              </w:rPr>
              <w:t>以</w:t>
            </w:r>
            <w:r>
              <w:rPr>
                <w:spacing w:val="-49"/>
              </w:rPr>
              <w:t xml:space="preserve"> </w:t>
            </w:r>
            <w:r>
              <w:rPr>
                <w:spacing w:val="-17"/>
              </w:rPr>
              <w:t>上</w:t>
            </w:r>
            <w:r>
              <w:rPr>
                <w:spacing w:val="-34"/>
              </w:rPr>
              <w:t xml:space="preserve"> </w:t>
            </w:r>
            <w:r>
              <w:rPr>
                <w:spacing w:val="-17"/>
              </w:rPr>
              <w:t>1</w:t>
            </w:r>
            <w:r>
              <w:rPr>
                <w:spacing w:val="-46"/>
              </w:rPr>
              <w:t xml:space="preserve"> </w:t>
            </w:r>
            <w:r>
              <w:rPr>
                <w:spacing w:val="-17"/>
              </w:rPr>
              <w:t>万</w:t>
            </w:r>
            <w:r>
              <w:rPr>
                <w:spacing w:val="-49"/>
              </w:rPr>
              <w:t xml:space="preserve"> </w:t>
            </w:r>
            <w:r>
              <w:rPr>
                <w:spacing w:val="-17"/>
              </w:rPr>
              <w:t>元</w:t>
            </w:r>
            <w:r>
              <w:rPr>
                <w:spacing w:val="-25"/>
              </w:rPr>
              <w:t xml:space="preserve"> </w:t>
            </w:r>
            <w:r>
              <w:rPr>
                <w:spacing w:val="-17"/>
              </w:rPr>
              <w:t>以</w:t>
            </w:r>
            <w:r>
              <w:rPr>
                <w:spacing w:val="-44"/>
              </w:rPr>
              <w:t xml:space="preserve"> </w:t>
            </w:r>
            <w:r>
              <w:rPr>
                <w:spacing w:val="-17"/>
              </w:rPr>
              <w:t>下</w:t>
            </w:r>
          </w:p>
          <w:p>
            <w:pPr>
              <w:pStyle w:val="TableText"/>
              <w:ind w:left="127"/>
              <w:spacing w:before="44" w:line="221" w:lineRule="auto"/>
              <w:rPr/>
            </w:pPr>
            <w:r>
              <w:rPr>
                <w:color w:val="505050"/>
                <w:spacing w:val="5"/>
              </w:rPr>
              <w:t>罚款</w:t>
            </w:r>
          </w:p>
        </w:tc>
      </w:tr>
      <w:tr>
        <w:trPr>
          <w:trHeight w:val="1242" w:hRule="atLeast"/>
        </w:trPr>
        <w:tc>
          <w:tcPr>
            <w:tcW w:w="1434" w:type="dxa"/>
            <w:vAlign w:val="top"/>
          </w:tcPr>
          <w:p>
            <w:pPr>
              <w:spacing w:line="423" w:lineRule="auto"/>
              <w:rPr>
                <w:rFonts w:ascii="Arial"/>
                <w:sz w:val="21"/>
              </w:rPr>
            </w:pPr>
            <w:r/>
          </w:p>
          <w:p>
            <w:pPr>
              <w:pStyle w:val="TableText"/>
              <w:ind w:left="468"/>
              <w:spacing w:before="78" w:line="220" w:lineRule="auto"/>
              <w:rPr/>
            </w:pPr>
            <w:r>
              <w:rPr>
                <w:b/>
                <w:bCs/>
                <w:spacing w:val="-6"/>
              </w:rPr>
              <w:t>严重</w:t>
            </w:r>
          </w:p>
        </w:tc>
        <w:tc>
          <w:tcPr>
            <w:tcW w:w="8973" w:type="dxa"/>
            <w:vAlign w:val="top"/>
          </w:tcPr>
          <w:p>
            <w:pPr>
              <w:pStyle w:val="TableText"/>
              <w:ind w:left="41" w:right="30"/>
              <w:spacing w:before="187" w:line="266" w:lineRule="auto"/>
              <w:jc w:val="both"/>
              <w:rPr/>
            </w:pPr>
            <w:r>
              <w:rPr/>
              <w:t>职业病危害严重类别的建设项目的生产规模、工艺等发生变更导致职业病危害风险发</w:t>
            </w:r>
            <w:r>
              <w:rPr>
                <w:spacing w:val="8"/>
              </w:rPr>
              <w:t xml:space="preserve"> </w:t>
            </w:r>
            <w:r>
              <w:rPr/>
              <w:t>生重大变化的，建设单位对变更内容未重新进行职业病危害预评价和评审，或者未重</w:t>
            </w:r>
            <w:r>
              <w:rPr>
                <w:spacing w:val="10"/>
              </w:rPr>
              <w:t xml:space="preserve"> </w:t>
            </w:r>
            <w:r>
              <w:rPr>
                <w:spacing w:val="3"/>
              </w:rPr>
              <w:t>新进行职业病防护设施设计和评审，经责令限期改正，逾</w:t>
            </w:r>
            <w:r>
              <w:rPr>
                <w:spacing w:val="2"/>
              </w:rPr>
              <w:t>期不改正</w:t>
            </w:r>
          </w:p>
        </w:tc>
        <w:tc>
          <w:tcPr>
            <w:tcW w:w="3442" w:type="dxa"/>
            <w:vAlign w:val="top"/>
          </w:tcPr>
          <w:p>
            <w:pPr>
              <w:spacing w:line="277" w:lineRule="auto"/>
              <w:rPr>
                <w:rFonts w:ascii="Arial"/>
                <w:sz w:val="21"/>
              </w:rPr>
            </w:pPr>
            <w:r/>
          </w:p>
          <w:p>
            <w:pPr>
              <w:pStyle w:val="TableText"/>
              <w:ind w:left="127" w:right="74"/>
              <w:spacing w:before="78" w:line="250" w:lineRule="auto"/>
              <w:rPr/>
            </w:pPr>
            <w:r>
              <w:rPr>
                <w:spacing w:val="49"/>
              </w:rPr>
              <w:t>处1万元以上3万元以下罚</w:t>
            </w:r>
            <w:r>
              <w:rPr/>
              <w:t xml:space="preserve"> </w:t>
            </w:r>
            <w:r>
              <w:rPr/>
              <w:t>款</w:t>
            </w:r>
          </w:p>
        </w:tc>
      </w:tr>
    </w:tbl>
    <w:p>
      <w:pPr>
        <w:pStyle w:val="BodyText"/>
        <w:spacing w:line="449" w:lineRule="auto"/>
        <w:rPr/>
      </w:pPr>
      <w:r/>
    </w:p>
    <w:p>
      <w:pPr>
        <w:ind w:left="664" w:right="1586"/>
        <w:spacing w:before="95" w:line="286" w:lineRule="auto"/>
        <w:rPr>
          <w:rFonts w:ascii="FangSong" w:hAnsi="FangSong" w:eastAsia="FangSong" w:cs="FangSong"/>
          <w:sz w:val="29"/>
          <w:szCs w:val="29"/>
        </w:rPr>
      </w:pPr>
      <w:r>
        <w:rPr>
          <w:rFonts w:ascii="FangSong" w:hAnsi="FangSong" w:eastAsia="FangSong" w:cs="FangSong"/>
          <w:sz w:val="29"/>
          <w:szCs w:val="29"/>
          <w:spacing w:val="32"/>
        </w:rPr>
        <w:t>第</w:t>
      </w:r>
      <w:r>
        <w:rPr>
          <w:rFonts w:ascii="FangSong" w:hAnsi="FangSong" w:eastAsia="FangSong" w:cs="FangSong"/>
          <w:sz w:val="29"/>
          <w:szCs w:val="29"/>
          <w:b/>
          <w:bCs/>
          <w:spacing w:val="32"/>
        </w:rPr>
        <w:t>四百九十二条建设单位需要试运行的职业病防护设施未与主体工程同时试运行的</w:t>
      </w:r>
      <w:r>
        <w:rPr>
          <w:rFonts w:ascii="FangSong" w:hAnsi="FangSong" w:eastAsia="FangSong" w:cs="FangSong"/>
          <w:sz w:val="29"/>
          <w:szCs w:val="29"/>
          <w:spacing w:val="4"/>
        </w:rPr>
        <w:t xml:space="preserve"> </w:t>
      </w:r>
      <w:r>
        <w:rPr>
          <w:rFonts w:ascii="FangSong" w:hAnsi="FangSong" w:eastAsia="FangSong" w:cs="FangSong"/>
          <w:sz w:val="29"/>
          <w:szCs w:val="29"/>
          <w:spacing w:val="9"/>
        </w:rPr>
        <w:t>法律依据：</w:t>
      </w:r>
    </w:p>
    <w:p>
      <w:pPr>
        <w:spacing w:before="6" w:line="221" w:lineRule="auto"/>
        <w:jc w:val="right"/>
        <w:rPr>
          <w:rFonts w:ascii="FangSong" w:hAnsi="FangSong" w:eastAsia="FangSong" w:cs="FangSong"/>
          <w:sz w:val="29"/>
          <w:szCs w:val="29"/>
        </w:rPr>
      </w:pPr>
      <w:r>
        <w:rPr>
          <w:rFonts w:ascii="FangSong" w:hAnsi="FangSong" w:eastAsia="FangSong" w:cs="FangSong"/>
          <w:sz w:val="29"/>
          <w:szCs w:val="29"/>
          <w:spacing w:val="33"/>
        </w:rPr>
        <w:t>《建设项目职业病防护设施“三同时”监督管理办法》第四十条</w:t>
      </w:r>
      <w:r>
        <w:rPr>
          <w:rFonts w:ascii="FangSong" w:hAnsi="FangSong" w:eastAsia="FangSong" w:cs="FangSong"/>
          <w:sz w:val="29"/>
          <w:szCs w:val="29"/>
          <w:spacing w:val="32"/>
        </w:rPr>
        <w:t>第(四)项</w:t>
      </w:r>
      <w:r>
        <w:rPr>
          <w:rFonts w:ascii="FangSong" w:hAnsi="FangSong" w:eastAsia="FangSong" w:cs="FangSong"/>
          <w:sz w:val="29"/>
          <w:szCs w:val="29"/>
          <w:spacing w:val="32"/>
        </w:rPr>
        <w:t xml:space="preserve">  </w:t>
      </w:r>
      <w:r>
        <w:rPr>
          <w:rFonts w:ascii="FangSong" w:hAnsi="FangSong" w:eastAsia="FangSong" w:cs="FangSong"/>
          <w:sz w:val="29"/>
          <w:szCs w:val="29"/>
          <w:spacing w:val="32"/>
        </w:rPr>
        <w:t>建设单位有下列行</w:t>
      </w:r>
    </w:p>
    <w:p>
      <w:pPr>
        <w:spacing w:line="221" w:lineRule="auto"/>
        <w:sectPr>
          <w:footerReference w:type="default" r:id="rId527"/>
          <w:pgSz w:w="16830" w:h="11900"/>
          <w:pgMar w:top="1011" w:right="1449" w:bottom="1108" w:left="1425" w:header="0" w:footer="775" w:gutter="0"/>
        </w:sectPr>
        <w:rPr>
          <w:rFonts w:ascii="FangSong" w:hAnsi="FangSong" w:eastAsia="FangSong" w:cs="FangSong"/>
          <w:sz w:val="29"/>
          <w:szCs w:val="29"/>
        </w:rPr>
      </w:pPr>
    </w:p>
    <w:p>
      <w:pPr>
        <w:pStyle w:val="BodyText"/>
        <w:spacing w:line="253" w:lineRule="auto"/>
        <w:rPr/>
      </w:pPr>
      <w:r/>
    </w:p>
    <w:p>
      <w:pPr>
        <w:pStyle w:val="BodyText"/>
        <w:spacing w:line="254" w:lineRule="auto"/>
        <w:rPr/>
      </w:pPr>
      <w:r/>
    </w:p>
    <w:p>
      <w:pPr>
        <w:pStyle w:val="BodyText"/>
        <w:spacing w:line="254" w:lineRule="auto"/>
        <w:rPr/>
      </w:pPr>
      <w:r/>
    </w:p>
    <w:p>
      <w:pPr>
        <w:ind w:left="30" w:right="25"/>
        <w:spacing w:before="100" w:line="280" w:lineRule="auto"/>
        <w:rPr>
          <w:rFonts w:ascii="FangSong" w:hAnsi="FangSong" w:eastAsia="FangSong" w:cs="FangSong"/>
          <w:sz w:val="27"/>
          <w:szCs w:val="27"/>
        </w:rPr>
      </w:pPr>
      <w:r>
        <w:rPr>
          <w:rFonts w:ascii="FangSong" w:hAnsi="FangSong" w:eastAsia="FangSong" w:cs="FangSong"/>
          <w:sz w:val="31"/>
          <w:szCs w:val="31"/>
          <w:spacing w:val="9"/>
        </w:rPr>
        <w:t>为之一的，由安全生产监督管理部门给予警告，责令限期改正；逾期不改正的，处5000</w:t>
      </w:r>
      <w:r>
        <w:rPr>
          <w:rFonts w:ascii="FangSong" w:hAnsi="FangSong" w:eastAsia="FangSong" w:cs="FangSong"/>
          <w:sz w:val="31"/>
          <w:szCs w:val="31"/>
          <w:spacing w:val="9"/>
        </w:rPr>
        <w:t xml:space="preserve"> </w:t>
      </w:r>
      <w:r>
        <w:rPr>
          <w:rFonts w:ascii="FangSong" w:hAnsi="FangSong" w:eastAsia="FangSong" w:cs="FangSong"/>
          <w:sz w:val="31"/>
          <w:szCs w:val="31"/>
          <w:spacing w:val="9"/>
        </w:rPr>
        <w:t>元以上</w:t>
      </w:r>
      <w:r>
        <w:rPr>
          <w:rFonts w:ascii="FangSong" w:hAnsi="FangSong" w:eastAsia="FangSong" w:cs="FangSong"/>
          <w:sz w:val="31"/>
          <w:szCs w:val="31"/>
          <w:spacing w:val="8"/>
        </w:rPr>
        <w:t>3</w:t>
      </w:r>
      <w:r>
        <w:rPr>
          <w:rFonts w:ascii="FangSong" w:hAnsi="FangSong" w:eastAsia="FangSong" w:cs="FangSong"/>
          <w:sz w:val="31"/>
          <w:szCs w:val="31"/>
          <w:spacing w:val="8"/>
        </w:rPr>
        <w:t xml:space="preserve"> </w:t>
      </w:r>
      <w:r>
        <w:rPr>
          <w:rFonts w:ascii="FangSong" w:hAnsi="FangSong" w:eastAsia="FangSong" w:cs="FangSong"/>
          <w:sz w:val="31"/>
          <w:szCs w:val="31"/>
          <w:spacing w:val="8"/>
        </w:rPr>
        <w:t>万</w:t>
      </w:r>
      <w:r>
        <w:rPr>
          <w:rFonts w:ascii="FangSong" w:hAnsi="FangSong" w:eastAsia="FangSong" w:cs="FangSong"/>
          <w:sz w:val="31"/>
          <w:szCs w:val="31"/>
        </w:rPr>
        <w:t xml:space="preserve"> </w:t>
      </w:r>
      <w:r>
        <w:rPr>
          <w:rFonts w:ascii="FangSong" w:hAnsi="FangSong" w:eastAsia="FangSong" w:cs="FangSong"/>
          <w:sz w:val="27"/>
          <w:szCs w:val="27"/>
          <w:spacing w:val="32"/>
        </w:rPr>
        <w:t>元以下的罚款：</w:t>
      </w:r>
    </w:p>
    <w:p>
      <w:pPr>
        <w:ind w:left="810"/>
        <w:spacing w:before="1" w:line="220" w:lineRule="auto"/>
        <w:rPr>
          <w:rFonts w:ascii="FangSong" w:hAnsi="FangSong" w:eastAsia="FangSong" w:cs="FangSong"/>
          <w:sz w:val="31"/>
          <w:szCs w:val="31"/>
        </w:rPr>
      </w:pPr>
      <w:r>
        <w:rPr>
          <w:rFonts w:ascii="FangSong" w:hAnsi="FangSong" w:eastAsia="FangSong" w:cs="FangSong"/>
          <w:sz w:val="31"/>
          <w:szCs w:val="31"/>
          <w:spacing w:val="12"/>
        </w:rPr>
        <w:t>(四)需要试运行的职业病防护设施未与主体工程同时试运行的；</w:t>
      </w:r>
    </w:p>
    <w:p>
      <w:pPr>
        <w:ind w:left="6434"/>
        <w:spacing w:before="239"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1" w:lineRule="auto"/>
        <w:rPr>
          <w:rFonts w:ascii="Arial"/>
          <w:sz w:val="2"/>
        </w:rPr>
      </w:pPr>
      <w:r>
        <w:rPr>
          <w:rFonts w:ascii="Arial"/>
          <w:sz w:val="2"/>
        </w:rPr>
      </w:r>
    </w:p>
    <w:tbl>
      <w:tblPr>
        <w:tblStyle w:val="TableNormal"/>
        <w:tblW w:w="13839" w:type="dxa"/>
        <w:tblInd w:w="2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8963"/>
        <w:gridCol w:w="3452"/>
      </w:tblGrid>
      <w:tr>
        <w:trPr>
          <w:trHeight w:val="663" w:hRule="atLeast"/>
        </w:trPr>
        <w:tc>
          <w:tcPr>
            <w:tcW w:w="1424" w:type="dxa"/>
            <w:vAlign w:val="top"/>
          </w:tcPr>
          <w:p>
            <w:pPr>
              <w:pStyle w:val="TableText"/>
              <w:ind w:left="228"/>
              <w:spacing w:before="212" w:line="220" w:lineRule="auto"/>
              <w:rPr/>
            </w:pPr>
            <w:r>
              <w:rPr>
                <w:b/>
                <w:bCs/>
                <w:spacing w:val="-5"/>
              </w:rPr>
              <w:t>违法程度</w:t>
            </w:r>
          </w:p>
        </w:tc>
        <w:tc>
          <w:tcPr>
            <w:tcW w:w="8963" w:type="dxa"/>
            <w:vAlign w:val="top"/>
          </w:tcPr>
          <w:p>
            <w:pPr>
              <w:pStyle w:val="TableText"/>
              <w:ind w:left="3914"/>
              <w:spacing w:before="242" w:line="220" w:lineRule="auto"/>
              <w:rPr/>
            </w:pPr>
            <w:r>
              <w:rPr>
                <w:b/>
                <w:bCs/>
                <w:spacing w:val="-5"/>
              </w:rPr>
              <w:t>情节后果</w:t>
            </w:r>
          </w:p>
        </w:tc>
        <w:tc>
          <w:tcPr>
            <w:tcW w:w="3452" w:type="dxa"/>
            <w:vAlign w:val="top"/>
          </w:tcPr>
          <w:p>
            <w:pPr>
              <w:pStyle w:val="TableText"/>
              <w:ind w:left="1191"/>
              <w:spacing w:before="239" w:line="218" w:lineRule="auto"/>
              <w:rPr/>
            </w:pPr>
            <w:r>
              <w:rPr>
                <w:b/>
                <w:bCs/>
                <w:spacing w:val="-5"/>
              </w:rPr>
              <w:t>裁量幅度</w:t>
            </w:r>
          </w:p>
        </w:tc>
      </w:tr>
      <w:tr>
        <w:trPr>
          <w:trHeight w:val="658" w:hRule="atLeast"/>
        </w:trPr>
        <w:tc>
          <w:tcPr>
            <w:tcW w:w="1424" w:type="dxa"/>
            <w:vAlign w:val="top"/>
          </w:tcPr>
          <w:p>
            <w:pPr>
              <w:pStyle w:val="TableText"/>
              <w:ind w:left="468"/>
              <w:spacing w:before="289" w:line="221" w:lineRule="auto"/>
              <w:rPr/>
            </w:pPr>
            <w:r>
              <w:rPr>
                <w:b/>
                <w:bCs/>
                <w:spacing w:val="-10"/>
              </w:rPr>
              <w:t>一般</w:t>
            </w:r>
          </w:p>
        </w:tc>
        <w:tc>
          <w:tcPr>
            <w:tcW w:w="8963" w:type="dxa"/>
            <w:vAlign w:val="top"/>
          </w:tcPr>
          <w:p>
            <w:pPr>
              <w:pStyle w:val="TableText"/>
              <w:ind w:left="110"/>
              <w:spacing w:before="212" w:line="220" w:lineRule="auto"/>
              <w:rPr/>
            </w:pPr>
            <w:r>
              <w:rPr/>
              <w:t>建设单位需要试运行的职业病防护设施未与主体工程同时试运行的</w:t>
            </w:r>
          </w:p>
        </w:tc>
        <w:tc>
          <w:tcPr>
            <w:tcW w:w="3452" w:type="dxa"/>
            <w:vAlign w:val="top"/>
          </w:tcPr>
          <w:p>
            <w:pPr>
              <w:pStyle w:val="TableText"/>
              <w:ind w:left="138"/>
              <w:spacing w:before="209" w:line="218" w:lineRule="auto"/>
              <w:rPr/>
            </w:pPr>
            <w:r>
              <w:rPr>
                <w:spacing w:val="1"/>
              </w:rPr>
              <w:t>给予警告，责令限期改正</w:t>
            </w:r>
          </w:p>
        </w:tc>
      </w:tr>
      <w:tr>
        <w:trPr>
          <w:trHeight w:val="767" w:hRule="atLeast"/>
        </w:trPr>
        <w:tc>
          <w:tcPr>
            <w:tcW w:w="1424" w:type="dxa"/>
            <w:vAlign w:val="top"/>
          </w:tcPr>
          <w:p>
            <w:pPr>
              <w:spacing w:line="264" w:lineRule="auto"/>
              <w:rPr>
                <w:rFonts w:ascii="Arial"/>
                <w:sz w:val="21"/>
              </w:rPr>
            </w:pPr>
            <w:r/>
          </w:p>
          <w:p>
            <w:pPr>
              <w:pStyle w:val="TableText"/>
              <w:ind w:left="468"/>
              <w:spacing w:before="78" w:line="221" w:lineRule="auto"/>
              <w:rPr/>
            </w:pPr>
            <w:r>
              <w:rPr>
                <w:b/>
                <w:bCs/>
                <w:spacing w:val="-5"/>
              </w:rPr>
              <w:t>较重</w:t>
            </w:r>
          </w:p>
        </w:tc>
        <w:tc>
          <w:tcPr>
            <w:tcW w:w="8963" w:type="dxa"/>
            <w:vAlign w:val="top"/>
          </w:tcPr>
          <w:p>
            <w:pPr>
              <w:pStyle w:val="TableText"/>
              <w:ind w:left="110" w:right="199" w:hanging="9"/>
              <w:spacing w:before="114" w:line="247" w:lineRule="auto"/>
              <w:rPr/>
            </w:pPr>
            <w:r>
              <w:rPr/>
              <w:t>建设单位职业病危害一般类别的建设项目需要试运行的职业病防护设施未与主体工</w:t>
            </w:r>
            <w:r>
              <w:rPr>
                <w:spacing w:val="11"/>
              </w:rPr>
              <w:t xml:space="preserve"> </w:t>
            </w:r>
            <w:r>
              <w:rPr/>
              <w:t>程同时试运行，经责令限期改正，逾期不改正</w:t>
            </w:r>
          </w:p>
        </w:tc>
        <w:tc>
          <w:tcPr>
            <w:tcW w:w="3452" w:type="dxa"/>
            <w:vAlign w:val="top"/>
          </w:tcPr>
          <w:p>
            <w:pPr>
              <w:pStyle w:val="TableText"/>
              <w:ind w:left="138" w:right="87"/>
              <w:spacing w:before="125" w:line="243" w:lineRule="auto"/>
              <w:rPr/>
            </w:pPr>
            <w:r>
              <w:rPr>
                <w:spacing w:val="-18"/>
              </w:rPr>
              <w:t>处</w:t>
            </w:r>
            <w:r>
              <w:rPr>
                <w:spacing w:val="-42"/>
              </w:rPr>
              <w:t xml:space="preserve"> </w:t>
            </w:r>
            <w:r>
              <w:rPr>
                <w:spacing w:val="-18"/>
              </w:rPr>
              <w:t>5</w:t>
            </w:r>
            <w:r>
              <w:rPr>
                <w:spacing w:val="-50"/>
              </w:rPr>
              <w:t xml:space="preserve"> </w:t>
            </w:r>
            <w:r>
              <w:rPr>
                <w:spacing w:val="-18"/>
              </w:rPr>
              <w:t>0</w:t>
            </w:r>
            <w:r>
              <w:rPr>
                <w:spacing w:val="-49"/>
              </w:rPr>
              <w:t xml:space="preserve"> </w:t>
            </w:r>
            <w:r>
              <w:rPr>
                <w:spacing w:val="-18"/>
              </w:rPr>
              <w:t>0</w:t>
            </w:r>
            <w:r>
              <w:rPr>
                <w:spacing w:val="-50"/>
              </w:rPr>
              <w:t xml:space="preserve"> </w:t>
            </w:r>
            <w:r>
              <w:rPr>
                <w:spacing w:val="-18"/>
              </w:rPr>
              <w:t>0</w:t>
            </w:r>
            <w:r>
              <w:rPr>
                <w:spacing w:val="-49"/>
              </w:rPr>
              <w:t xml:space="preserve"> </w:t>
            </w:r>
            <w:r>
              <w:rPr>
                <w:spacing w:val="-18"/>
              </w:rPr>
              <w:t>元</w:t>
            </w:r>
            <w:r>
              <w:rPr>
                <w:spacing w:val="-25"/>
              </w:rPr>
              <w:t xml:space="preserve"> </w:t>
            </w:r>
            <w:r>
              <w:rPr>
                <w:spacing w:val="-18"/>
              </w:rPr>
              <w:t>以</w:t>
            </w:r>
            <w:r>
              <w:rPr>
                <w:spacing w:val="-49"/>
              </w:rPr>
              <w:t xml:space="preserve"> </w:t>
            </w:r>
            <w:r>
              <w:rPr>
                <w:spacing w:val="-18"/>
              </w:rPr>
              <w:t>上</w:t>
            </w:r>
            <w:r>
              <w:rPr>
                <w:spacing w:val="-34"/>
              </w:rPr>
              <w:t xml:space="preserve"> </w:t>
            </w:r>
            <w:r>
              <w:rPr>
                <w:spacing w:val="-18"/>
              </w:rPr>
              <w:t>1</w:t>
            </w:r>
            <w:r>
              <w:rPr>
                <w:spacing w:val="-46"/>
              </w:rPr>
              <w:t xml:space="preserve"> </w:t>
            </w:r>
            <w:r>
              <w:rPr>
                <w:spacing w:val="-18"/>
              </w:rPr>
              <w:t>万</w:t>
            </w:r>
            <w:r>
              <w:rPr>
                <w:spacing w:val="-49"/>
              </w:rPr>
              <w:t xml:space="preserve"> </w:t>
            </w:r>
            <w:r>
              <w:rPr>
                <w:spacing w:val="-18"/>
              </w:rPr>
              <w:t>元</w:t>
            </w:r>
            <w:r>
              <w:rPr>
                <w:spacing w:val="-24"/>
              </w:rPr>
              <w:t xml:space="preserve"> </w:t>
            </w:r>
            <w:r>
              <w:rPr>
                <w:spacing w:val="-18"/>
              </w:rPr>
              <w:t>以</w:t>
            </w:r>
            <w:r>
              <w:rPr>
                <w:spacing w:val="-45"/>
              </w:rPr>
              <w:t xml:space="preserve"> </w:t>
            </w:r>
            <w:r>
              <w:rPr>
                <w:spacing w:val="-18"/>
              </w:rPr>
              <w:t>下</w:t>
            </w:r>
            <w:r>
              <w:rPr/>
              <w:t xml:space="preserve"> </w:t>
            </w:r>
            <w:r>
              <w:rPr>
                <w:spacing w:val="3"/>
              </w:rPr>
              <w:t>的罚款</w:t>
            </w:r>
          </w:p>
        </w:tc>
      </w:tr>
      <w:tr>
        <w:trPr>
          <w:trHeight w:val="772" w:hRule="atLeast"/>
        </w:trPr>
        <w:tc>
          <w:tcPr>
            <w:tcW w:w="1424" w:type="dxa"/>
            <w:vAlign w:val="top"/>
          </w:tcPr>
          <w:p>
            <w:pPr>
              <w:spacing w:line="264" w:lineRule="auto"/>
              <w:rPr>
                <w:rFonts w:ascii="Arial"/>
                <w:sz w:val="21"/>
              </w:rPr>
            </w:pPr>
            <w:r/>
          </w:p>
          <w:p>
            <w:pPr>
              <w:pStyle w:val="TableText"/>
              <w:ind w:left="468"/>
              <w:spacing w:before="78" w:line="220" w:lineRule="auto"/>
              <w:rPr/>
            </w:pPr>
            <w:r>
              <w:rPr>
                <w:b/>
                <w:bCs/>
                <w:spacing w:val="-6"/>
              </w:rPr>
              <w:t>严重</w:t>
            </w:r>
          </w:p>
        </w:tc>
        <w:tc>
          <w:tcPr>
            <w:tcW w:w="8963" w:type="dxa"/>
            <w:vAlign w:val="top"/>
          </w:tcPr>
          <w:p>
            <w:pPr>
              <w:pStyle w:val="TableText"/>
              <w:ind w:left="110" w:right="199" w:hanging="9"/>
              <w:spacing w:before="127" w:line="244" w:lineRule="auto"/>
              <w:rPr/>
            </w:pPr>
            <w:r>
              <w:rPr/>
              <w:t>建设单位职业病危害严重类别的建设项目需要试运行的职业病防护设施未与主体工</w:t>
            </w:r>
            <w:r>
              <w:rPr>
                <w:spacing w:val="11"/>
              </w:rPr>
              <w:t xml:space="preserve"> </w:t>
            </w:r>
            <w:r>
              <w:rPr/>
              <w:t>程同时试运行，经责令限期改正，逾期不改正</w:t>
            </w:r>
          </w:p>
        </w:tc>
        <w:tc>
          <w:tcPr>
            <w:tcW w:w="3452" w:type="dxa"/>
            <w:vAlign w:val="top"/>
          </w:tcPr>
          <w:p>
            <w:pPr>
              <w:pStyle w:val="TableText"/>
              <w:ind w:left="138"/>
              <w:spacing w:before="127" w:line="220" w:lineRule="auto"/>
              <w:rPr/>
            </w:pPr>
            <w:r>
              <w:rPr>
                <w:spacing w:val="48"/>
              </w:rPr>
              <w:t>处1万元以上3万元以下的</w:t>
            </w:r>
          </w:p>
          <w:p>
            <w:pPr>
              <w:pStyle w:val="TableText"/>
              <w:ind w:left="138"/>
              <w:spacing w:before="54" w:line="221" w:lineRule="auto"/>
              <w:rPr/>
            </w:pPr>
            <w:r>
              <w:rPr>
                <w:color w:val="403040"/>
                <w:spacing w:val="5"/>
              </w:rPr>
              <w:t>罚款</w:t>
            </w:r>
          </w:p>
        </w:tc>
      </w:tr>
    </w:tbl>
    <w:p>
      <w:pPr>
        <w:pStyle w:val="BodyText"/>
        <w:spacing w:line="425" w:lineRule="auto"/>
        <w:rPr/>
      </w:pPr>
      <w:r/>
    </w:p>
    <w:p>
      <w:pPr>
        <w:ind w:firstLine="670"/>
        <w:spacing w:before="101" w:line="263" w:lineRule="auto"/>
        <w:rPr>
          <w:rFonts w:ascii="FangSong" w:hAnsi="FangSong" w:eastAsia="FangSong" w:cs="FangSong"/>
          <w:sz w:val="31"/>
          <w:szCs w:val="31"/>
        </w:rPr>
      </w:pPr>
      <w:r>
        <w:rPr>
          <w:rFonts w:ascii="FangSong" w:hAnsi="FangSong" w:eastAsia="FangSong" w:cs="FangSong"/>
          <w:sz w:val="31"/>
          <w:szCs w:val="31"/>
          <w:spacing w:val="14"/>
        </w:rPr>
        <w:t>第四百九十三条建设单位未按照《建设项目职业病防护设施“三同时”监督管理办法》第八条</w:t>
      </w:r>
      <w:r>
        <w:rPr>
          <w:rFonts w:ascii="FangSong" w:hAnsi="FangSong" w:eastAsia="FangSong" w:cs="FangSong"/>
          <w:sz w:val="31"/>
          <w:szCs w:val="31"/>
          <w:spacing w:val="8"/>
        </w:rPr>
        <w:t xml:space="preserve"> </w:t>
      </w:r>
      <w:r>
        <w:rPr>
          <w:rFonts w:ascii="FangSong" w:hAnsi="FangSong" w:eastAsia="FangSong" w:cs="FangSong"/>
          <w:sz w:val="31"/>
          <w:szCs w:val="31"/>
          <w:spacing w:val="15"/>
        </w:rPr>
        <w:t>规定公布有关信息(除国家保密的建设项目外，产生职业病危害的建</w:t>
      </w:r>
      <w:r>
        <w:rPr>
          <w:rFonts w:ascii="FangSong" w:hAnsi="FangSong" w:eastAsia="FangSong" w:cs="FangSong"/>
          <w:sz w:val="31"/>
          <w:szCs w:val="31"/>
          <w:spacing w:val="14"/>
        </w:rPr>
        <w:t>设单位应当通过公告栏、网站</w:t>
      </w:r>
      <w:r>
        <w:rPr>
          <w:rFonts w:ascii="FangSong" w:hAnsi="FangSong" w:eastAsia="FangSong" w:cs="FangSong"/>
          <w:sz w:val="31"/>
          <w:szCs w:val="31"/>
        </w:rPr>
        <w:t xml:space="preserve">  </w:t>
      </w:r>
      <w:r>
        <w:rPr>
          <w:rFonts w:ascii="FangSong" w:hAnsi="FangSong" w:eastAsia="FangSong" w:cs="FangSong"/>
          <w:sz w:val="31"/>
          <w:szCs w:val="31"/>
          <w:spacing w:val="11"/>
        </w:rPr>
        <w:t>等方式及时公布建设项目职业病危害预评价、职业病防护设施设计、职业病危害控制效果评</w:t>
      </w:r>
      <w:r>
        <w:rPr>
          <w:rFonts w:ascii="FangSong" w:hAnsi="FangSong" w:eastAsia="FangSong" w:cs="FangSong"/>
          <w:sz w:val="31"/>
          <w:szCs w:val="31"/>
          <w:spacing w:val="10"/>
        </w:rPr>
        <w:t>价的承</w:t>
      </w:r>
      <w:r>
        <w:rPr>
          <w:rFonts w:ascii="FangSong" w:hAnsi="FangSong" w:eastAsia="FangSong" w:cs="FangSong"/>
          <w:sz w:val="31"/>
          <w:szCs w:val="31"/>
        </w:rPr>
        <w:t xml:space="preserve">  </w:t>
      </w:r>
      <w:r>
        <w:rPr>
          <w:rFonts w:ascii="FangSong" w:hAnsi="FangSong" w:eastAsia="FangSong" w:cs="FangSong"/>
          <w:sz w:val="31"/>
          <w:szCs w:val="31"/>
          <w:spacing w:val="11"/>
        </w:rPr>
        <w:t>担单位、评价结论、评审时间及评审意见，以及职业病防护设施验收时间、验收方案和验收意见等</w:t>
      </w:r>
      <w:r>
        <w:rPr>
          <w:rFonts w:ascii="FangSong" w:hAnsi="FangSong" w:eastAsia="FangSong" w:cs="FangSong"/>
          <w:sz w:val="31"/>
          <w:szCs w:val="31"/>
          <w:spacing w:val="2"/>
        </w:rPr>
        <w:t xml:space="preserve">  </w:t>
      </w:r>
      <w:r>
        <w:rPr>
          <w:rFonts w:ascii="FangSong" w:hAnsi="FangSong" w:eastAsia="FangSong" w:cs="FangSong"/>
          <w:sz w:val="31"/>
          <w:szCs w:val="31"/>
          <w:spacing w:val="-18"/>
        </w:rPr>
        <w:t>信</w:t>
      </w:r>
      <w:r>
        <w:rPr>
          <w:rFonts w:ascii="FangSong" w:hAnsi="FangSong" w:eastAsia="FangSong" w:cs="FangSong"/>
          <w:sz w:val="31"/>
          <w:szCs w:val="31"/>
          <w:spacing w:val="-42"/>
        </w:rPr>
        <w:t xml:space="preserve"> </w:t>
      </w:r>
      <w:r>
        <w:rPr>
          <w:rFonts w:ascii="FangSong" w:hAnsi="FangSong" w:eastAsia="FangSong" w:cs="FangSong"/>
          <w:sz w:val="31"/>
          <w:szCs w:val="31"/>
          <w:spacing w:val="-18"/>
        </w:rPr>
        <w:t>息</w:t>
      </w:r>
      <w:r>
        <w:rPr>
          <w:rFonts w:ascii="FangSong" w:hAnsi="FangSong" w:eastAsia="FangSong" w:cs="FangSong"/>
          <w:sz w:val="31"/>
          <w:szCs w:val="31"/>
          <w:spacing w:val="-67"/>
        </w:rPr>
        <w:t xml:space="preserve"> </w:t>
      </w:r>
      <w:r>
        <w:rPr>
          <w:rFonts w:ascii="FangSong" w:hAnsi="FangSong" w:eastAsia="FangSong" w:cs="FangSong"/>
          <w:sz w:val="31"/>
          <w:szCs w:val="31"/>
          <w:spacing w:val="-18"/>
        </w:rPr>
        <w:t>)</w:t>
      </w:r>
      <w:r>
        <w:rPr>
          <w:rFonts w:ascii="FangSong" w:hAnsi="FangSong" w:eastAsia="FangSong" w:cs="FangSong"/>
          <w:sz w:val="31"/>
          <w:szCs w:val="31"/>
          <w:spacing w:val="-41"/>
        </w:rPr>
        <w:t xml:space="preserve"> </w:t>
      </w:r>
      <w:r>
        <w:rPr>
          <w:rFonts w:ascii="FangSong" w:hAnsi="FangSong" w:eastAsia="FangSong" w:cs="FangSong"/>
          <w:sz w:val="31"/>
          <w:szCs w:val="31"/>
          <w:spacing w:val="-18"/>
        </w:rPr>
        <w:t>的</w:t>
      </w:r>
    </w:p>
    <w:p>
      <w:pPr>
        <w:ind w:left="649"/>
        <w:spacing w:before="27"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6360"/>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—596—</w:t>
      </w:r>
    </w:p>
    <w:p>
      <w:pPr>
        <w:spacing w:line="188" w:lineRule="auto"/>
        <w:sectPr>
          <w:footerReference w:type="default" r:id="rId24"/>
          <w:pgSz w:w="16830" w:h="11900"/>
          <w:pgMar w:top="1011" w:right="1447" w:bottom="400" w:left="1419" w:header="0" w:footer="0" w:gutter="0"/>
        </w:sectPr>
        <w:rPr>
          <w:rFonts w:ascii="Times New Roman" w:hAnsi="Times New Roman" w:eastAsia="Times New Roman" w:cs="Times New Roman"/>
          <w:sz w:val="37"/>
          <w:szCs w:val="37"/>
        </w:rPr>
      </w:pPr>
    </w:p>
    <w:p>
      <w:pPr>
        <w:pStyle w:val="BodyText"/>
        <w:spacing w:line="257" w:lineRule="auto"/>
        <w:rPr/>
      </w:pPr>
      <w:r/>
    </w:p>
    <w:p>
      <w:pPr>
        <w:pStyle w:val="BodyText"/>
        <w:spacing w:line="258" w:lineRule="auto"/>
        <w:rPr/>
      </w:pPr>
      <w:r/>
    </w:p>
    <w:p>
      <w:pPr>
        <w:pStyle w:val="BodyText"/>
        <w:spacing w:line="258" w:lineRule="auto"/>
        <w:rPr/>
      </w:pPr>
      <w:r/>
    </w:p>
    <w:p>
      <w:pPr>
        <w:ind w:left="25" w:right="553" w:firstLine="630"/>
        <w:spacing w:before="98" w:line="266" w:lineRule="auto"/>
        <w:jc w:val="both"/>
        <w:rPr>
          <w:rFonts w:ascii="FangSong" w:hAnsi="FangSong" w:eastAsia="FangSong" w:cs="FangSong"/>
          <w:sz w:val="30"/>
          <w:szCs w:val="30"/>
        </w:rPr>
      </w:pPr>
      <w:bookmarkStart w:name="bookmark1155" w:id="531"/>
      <w:bookmarkEnd w:id="531"/>
      <w:r>
        <w:rPr>
          <w:rFonts w:ascii="FangSong" w:hAnsi="FangSong" w:eastAsia="FangSong" w:cs="FangSong"/>
          <w:sz w:val="30"/>
          <w:szCs w:val="30"/>
          <w:spacing w:val="24"/>
        </w:rPr>
        <w:t>《建设项目职业病防护设施“三同时”监督管理</w:t>
      </w:r>
      <w:r>
        <w:rPr>
          <w:rFonts w:ascii="FangSong" w:hAnsi="FangSong" w:eastAsia="FangSong" w:cs="FangSong"/>
          <w:sz w:val="30"/>
          <w:szCs w:val="30"/>
          <w:spacing w:val="23"/>
        </w:rPr>
        <w:t>办法》第四十条第(五)项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建设单位有下列行</w:t>
      </w:r>
      <w:r>
        <w:rPr>
          <w:rFonts w:ascii="FangSong" w:hAnsi="FangSong" w:eastAsia="FangSong" w:cs="FangSong"/>
          <w:sz w:val="30"/>
          <w:szCs w:val="30"/>
        </w:rPr>
        <w:t xml:space="preserve"> </w:t>
      </w:r>
      <w:r>
        <w:rPr>
          <w:rFonts w:ascii="FangSong" w:hAnsi="FangSong" w:eastAsia="FangSong" w:cs="FangSong"/>
          <w:sz w:val="30"/>
          <w:szCs w:val="30"/>
          <w:spacing w:val="11"/>
        </w:rPr>
        <w:t>为之一的，由安全生产监督管理部门给予警告，责令限期改正；逾期不改正的，处5000</w:t>
      </w:r>
      <w:r>
        <w:rPr>
          <w:rFonts w:ascii="FangSong" w:hAnsi="FangSong" w:eastAsia="FangSong" w:cs="FangSong"/>
          <w:sz w:val="30"/>
          <w:szCs w:val="30"/>
          <w:spacing w:val="11"/>
        </w:rPr>
        <w:t xml:space="preserve"> </w:t>
      </w:r>
      <w:r>
        <w:rPr>
          <w:rFonts w:ascii="FangSong" w:hAnsi="FangSong" w:eastAsia="FangSong" w:cs="FangSong"/>
          <w:sz w:val="30"/>
          <w:szCs w:val="30"/>
          <w:spacing w:val="11"/>
        </w:rPr>
        <w:t>元</w:t>
      </w:r>
      <w:r>
        <w:rPr>
          <w:rFonts w:ascii="FangSong" w:hAnsi="FangSong" w:eastAsia="FangSong" w:cs="FangSong"/>
          <w:sz w:val="30"/>
          <w:szCs w:val="30"/>
          <w:spacing w:val="-16"/>
        </w:rPr>
        <w:t xml:space="preserve"> </w:t>
      </w:r>
      <w:r>
        <w:rPr>
          <w:rFonts w:ascii="FangSong" w:hAnsi="FangSong" w:eastAsia="FangSong" w:cs="FangSong"/>
          <w:sz w:val="30"/>
          <w:szCs w:val="30"/>
          <w:spacing w:val="11"/>
        </w:rPr>
        <w:t>以</w:t>
      </w:r>
      <w:r>
        <w:rPr>
          <w:rFonts w:ascii="FangSong" w:hAnsi="FangSong" w:eastAsia="FangSong" w:cs="FangSong"/>
          <w:sz w:val="30"/>
          <w:szCs w:val="30"/>
          <w:spacing w:val="-49"/>
        </w:rPr>
        <w:t xml:space="preserve"> </w:t>
      </w:r>
      <w:r>
        <w:rPr>
          <w:rFonts w:ascii="FangSong" w:hAnsi="FangSong" w:eastAsia="FangSong" w:cs="FangSong"/>
          <w:sz w:val="30"/>
          <w:szCs w:val="30"/>
          <w:spacing w:val="11"/>
        </w:rPr>
        <w:t>上</w:t>
      </w:r>
      <w:r>
        <w:rPr>
          <w:rFonts w:ascii="FangSong" w:hAnsi="FangSong" w:eastAsia="FangSong" w:cs="FangSong"/>
          <w:sz w:val="30"/>
          <w:szCs w:val="30"/>
          <w:spacing w:val="-56"/>
        </w:rPr>
        <w:t xml:space="preserve"> </w:t>
      </w:r>
      <w:r>
        <w:rPr>
          <w:rFonts w:ascii="FangSong" w:hAnsi="FangSong" w:eastAsia="FangSong" w:cs="FangSong"/>
          <w:sz w:val="30"/>
          <w:szCs w:val="30"/>
          <w:spacing w:val="11"/>
        </w:rPr>
        <w:t>3</w:t>
      </w:r>
      <w:r>
        <w:rPr>
          <w:rFonts w:ascii="FangSong" w:hAnsi="FangSong" w:eastAsia="FangSong" w:cs="FangSong"/>
          <w:sz w:val="30"/>
          <w:szCs w:val="30"/>
          <w:spacing w:val="11"/>
        </w:rPr>
        <w:t xml:space="preserve"> </w:t>
      </w:r>
      <w:r>
        <w:rPr>
          <w:rFonts w:ascii="FangSong" w:hAnsi="FangSong" w:eastAsia="FangSong" w:cs="FangSong"/>
          <w:sz w:val="30"/>
          <w:szCs w:val="30"/>
          <w:spacing w:val="11"/>
        </w:rPr>
        <w:t>万</w:t>
      </w:r>
      <w:r>
        <w:rPr>
          <w:rFonts w:ascii="FangSong" w:hAnsi="FangSong" w:eastAsia="FangSong" w:cs="FangSong"/>
          <w:sz w:val="30"/>
          <w:szCs w:val="30"/>
        </w:rPr>
        <w:t xml:space="preserve"> </w:t>
      </w:r>
      <w:r>
        <w:rPr>
          <w:rFonts w:ascii="FangSong" w:hAnsi="FangSong" w:eastAsia="FangSong" w:cs="FangSong"/>
          <w:sz w:val="30"/>
          <w:szCs w:val="30"/>
          <w:spacing w:val="4"/>
        </w:rPr>
        <w:t>元以下的罚款：</w:t>
      </w:r>
    </w:p>
    <w:p>
      <w:pPr>
        <w:ind w:left="805"/>
        <w:spacing w:before="32" w:line="220" w:lineRule="auto"/>
        <w:rPr>
          <w:rFonts w:ascii="FangSong" w:hAnsi="FangSong" w:eastAsia="FangSong" w:cs="FangSong"/>
          <w:sz w:val="30"/>
          <w:szCs w:val="30"/>
        </w:rPr>
      </w:pPr>
      <w:r>
        <w:rPr>
          <w:rFonts w:ascii="FangSong" w:hAnsi="FangSong" w:eastAsia="FangSong" w:cs="FangSong"/>
          <w:sz w:val="30"/>
          <w:szCs w:val="30"/>
          <w:spacing w:val="22"/>
        </w:rPr>
        <w:t>(五)建设单位未按照本办法第八条规定公布有关信息的。</w:t>
      </w:r>
    </w:p>
    <w:p>
      <w:pPr>
        <w:ind w:left="6429"/>
        <w:spacing w:before="234" w:line="208"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5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9493"/>
        <w:gridCol w:w="3602"/>
      </w:tblGrid>
      <w:tr>
        <w:trPr>
          <w:trHeight w:val="603" w:hRule="atLeast"/>
        </w:trPr>
        <w:tc>
          <w:tcPr>
            <w:tcW w:w="1414" w:type="dxa"/>
            <w:vAlign w:val="top"/>
          </w:tcPr>
          <w:p>
            <w:pPr>
              <w:pStyle w:val="TableText"/>
              <w:ind w:left="118"/>
              <w:spacing w:before="18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9493" w:type="dxa"/>
            <w:vAlign w:val="top"/>
          </w:tcPr>
          <w:p>
            <w:pPr>
              <w:pStyle w:val="TableText"/>
              <w:ind w:left="4264"/>
              <w:spacing w:before="182" w:line="220" w:lineRule="auto"/>
              <w:rPr/>
            </w:pPr>
            <w:r>
              <w:rPr>
                <w:b/>
                <w:bCs/>
                <w:spacing w:val="-5"/>
              </w:rPr>
              <w:t>情节后果</w:t>
            </w:r>
          </w:p>
        </w:tc>
        <w:tc>
          <w:tcPr>
            <w:tcW w:w="3602" w:type="dxa"/>
            <w:vAlign w:val="top"/>
          </w:tcPr>
          <w:p>
            <w:pPr>
              <w:pStyle w:val="TableText"/>
              <w:ind w:left="1221"/>
              <w:spacing w:before="17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87" w:hRule="atLeast"/>
        </w:trPr>
        <w:tc>
          <w:tcPr>
            <w:tcW w:w="1414" w:type="dxa"/>
            <w:vAlign w:val="top"/>
          </w:tcPr>
          <w:p>
            <w:pPr>
              <w:pStyle w:val="TableText"/>
              <w:ind w:left="458"/>
              <w:spacing w:before="289" w:line="221" w:lineRule="auto"/>
              <w:rPr/>
            </w:pPr>
            <w:r>
              <w:rPr>
                <w:b/>
                <w:bCs/>
                <w:spacing w:val="-10"/>
              </w:rPr>
              <w:t>一般</w:t>
            </w:r>
          </w:p>
        </w:tc>
        <w:tc>
          <w:tcPr>
            <w:tcW w:w="9493" w:type="dxa"/>
            <w:vAlign w:val="top"/>
          </w:tcPr>
          <w:p>
            <w:pPr>
              <w:pStyle w:val="TableText"/>
              <w:ind w:left="121" w:right="49" w:hanging="60"/>
              <w:spacing w:before="71" w:line="233" w:lineRule="auto"/>
              <w:rPr/>
            </w:pPr>
            <w:r>
              <w:rPr/>
              <w:t>建设单位未按照《建设项目职业病防护设施“三同时”监督管理办法》第八条规定公布有</w:t>
            </w:r>
            <w:r>
              <w:rPr>
                <w:spacing w:val="11"/>
              </w:rPr>
              <w:t xml:space="preserve"> </w:t>
            </w:r>
            <w:r>
              <w:rPr>
                <w:spacing w:val="4"/>
              </w:rPr>
              <w:t>关信息的</w:t>
            </w:r>
          </w:p>
        </w:tc>
        <w:tc>
          <w:tcPr>
            <w:tcW w:w="3602" w:type="dxa"/>
            <w:vAlign w:val="top"/>
          </w:tcPr>
          <w:p>
            <w:pPr>
              <w:pStyle w:val="TableText"/>
              <w:ind w:left="127"/>
              <w:spacing w:before="229" w:line="218" w:lineRule="auto"/>
              <w:rPr/>
            </w:pPr>
            <w:r>
              <w:rPr>
                <w:spacing w:val="1"/>
              </w:rPr>
              <w:t>给予警告，责令限期改正</w:t>
            </w:r>
          </w:p>
        </w:tc>
      </w:tr>
      <w:tr>
        <w:trPr>
          <w:trHeight w:val="697" w:hRule="atLeast"/>
        </w:trPr>
        <w:tc>
          <w:tcPr>
            <w:tcW w:w="1414" w:type="dxa"/>
            <w:vAlign w:val="top"/>
          </w:tcPr>
          <w:p>
            <w:pPr>
              <w:pStyle w:val="TableText"/>
              <w:ind w:left="458"/>
              <w:spacing w:before="284" w:line="221" w:lineRule="auto"/>
              <w:rPr/>
            </w:pPr>
            <w:r>
              <w:rPr>
                <w:b/>
                <w:bCs/>
                <w:spacing w:val="-5"/>
              </w:rPr>
              <w:t>较重</w:t>
            </w:r>
          </w:p>
        </w:tc>
        <w:tc>
          <w:tcPr>
            <w:tcW w:w="9493" w:type="dxa"/>
            <w:vAlign w:val="top"/>
          </w:tcPr>
          <w:p>
            <w:pPr>
              <w:pStyle w:val="TableText"/>
              <w:ind w:left="121" w:right="49" w:hanging="60"/>
              <w:spacing w:before="73" w:line="236" w:lineRule="auto"/>
              <w:rPr/>
            </w:pPr>
            <w:r>
              <w:rPr/>
              <w:t>建设单位未按照《建设项目职业病防护设施“三同时”监督管理办法》第八条规定公布有</w:t>
            </w:r>
            <w:r>
              <w:rPr>
                <w:spacing w:val="11"/>
              </w:rPr>
              <w:t xml:space="preserve"> </w:t>
            </w:r>
            <w:r>
              <w:rPr/>
              <w:t>关信息，经责令限期改正，逾期不改正，仍存在公布的有关信息不全的</w:t>
            </w:r>
          </w:p>
        </w:tc>
        <w:tc>
          <w:tcPr>
            <w:tcW w:w="3602" w:type="dxa"/>
            <w:vAlign w:val="top"/>
          </w:tcPr>
          <w:p>
            <w:pPr>
              <w:pStyle w:val="TableText"/>
              <w:ind w:left="108"/>
              <w:spacing w:before="65" w:line="220" w:lineRule="auto"/>
              <w:rPr/>
            </w:pPr>
            <w:r>
              <w:rPr>
                <w:spacing w:val="47"/>
              </w:rPr>
              <w:t>处5000元以上1万元以下的</w:t>
            </w:r>
          </w:p>
          <w:p>
            <w:pPr>
              <w:pStyle w:val="TableText"/>
              <w:ind w:left="127"/>
              <w:spacing w:before="65" w:line="208" w:lineRule="auto"/>
              <w:rPr/>
            </w:pPr>
            <w:r>
              <w:rPr>
                <w:color w:val="606060"/>
                <w:spacing w:val="5"/>
              </w:rPr>
              <w:t>罚款</w:t>
            </w:r>
          </w:p>
        </w:tc>
      </w:tr>
      <w:tr>
        <w:trPr>
          <w:trHeight w:val="682" w:hRule="atLeast"/>
        </w:trPr>
        <w:tc>
          <w:tcPr>
            <w:tcW w:w="1414" w:type="dxa"/>
            <w:vAlign w:val="top"/>
          </w:tcPr>
          <w:p>
            <w:pPr>
              <w:pStyle w:val="TableText"/>
              <w:ind w:left="458"/>
              <w:spacing w:before="285" w:line="220" w:lineRule="auto"/>
              <w:rPr/>
            </w:pPr>
            <w:r>
              <w:rPr>
                <w:b/>
                <w:bCs/>
                <w:spacing w:val="-6"/>
              </w:rPr>
              <w:t>严重</w:t>
            </w:r>
          </w:p>
        </w:tc>
        <w:tc>
          <w:tcPr>
            <w:tcW w:w="9493" w:type="dxa"/>
            <w:vAlign w:val="top"/>
          </w:tcPr>
          <w:p>
            <w:pPr>
              <w:pStyle w:val="TableText"/>
              <w:ind w:left="121" w:right="49" w:hanging="60"/>
              <w:spacing w:before="66" w:line="233" w:lineRule="auto"/>
              <w:rPr/>
            </w:pPr>
            <w:r>
              <w:rPr/>
              <w:t>建设单位未按照《建设项目职业病防护设施“三同时”监督管理办法》第八条规定公布有</w:t>
            </w:r>
            <w:r>
              <w:rPr>
                <w:spacing w:val="11"/>
              </w:rPr>
              <w:t xml:space="preserve"> </w:t>
            </w:r>
            <w:r>
              <w:rPr/>
              <w:t>关信息，经责令限期改正，逾期不改正，仍存在未公布有关信息的</w:t>
            </w:r>
          </w:p>
        </w:tc>
        <w:tc>
          <w:tcPr>
            <w:tcW w:w="3602" w:type="dxa"/>
            <w:vAlign w:val="top"/>
          </w:tcPr>
          <w:p>
            <w:pPr>
              <w:pStyle w:val="TableText"/>
              <w:ind w:left="127" w:right="574" w:hanging="19"/>
              <w:spacing w:before="68" w:line="232" w:lineRule="auto"/>
              <w:rPr/>
            </w:pPr>
            <w:r>
              <w:rPr>
                <w:spacing w:val="2"/>
              </w:rPr>
              <w:t>处1万元以上3万元以下的罚 </w:t>
            </w:r>
            <w:r>
              <w:rPr/>
              <w:t>款</w:t>
            </w:r>
          </w:p>
        </w:tc>
      </w:tr>
    </w:tbl>
    <w:p>
      <w:pPr>
        <w:pStyle w:val="BodyText"/>
        <w:spacing w:line="424" w:lineRule="auto"/>
        <w:rPr/>
      </w:pPr>
      <w:r/>
    </w:p>
    <w:p>
      <w:pPr>
        <w:ind w:left="29" w:right="534" w:firstLine="660"/>
        <w:spacing w:before="97" w:line="274" w:lineRule="auto"/>
        <w:rPr>
          <w:rFonts w:ascii="KaiTi" w:hAnsi="KaiTi" w:eastAsia="KaiTi" w:cs="KaiTi"/>
          <w:sz w:val="30"/>
          <w:szCs w:val="30"/>
        </w:rPr>
      </w:pPr>
      <w:r>
        <w:rPr>
          <w:rFonts w:ascii="KaiTi" w:hAnsi="KaiTi" w:eastAsia="KaiTi" w:cs="KaiTi"/>
          <w:sz w:val="30"/>
          <w:szCs w:val="30"/>
          <w:b/>
          <w:bCs/>
          <w:spacing w:val="21"/>
        </w:rPr>
        <w:t>第四百九十四条建设单位在职业病危害预评价报告、职业病防护设施设计、职业病危害控制效</w:t>
      </w:r>
      <w:r>
        <w:rPr>
          <w:rFonts w:ascii="KaiTi" w:hAnsi="KaiTi" w:eastAsia="KaiTi" w:cs="KaiTi"/>
          <w:sz w:val="30"/>
          <w:szCs w:val="30"/>
          <w:spacing w:val="4"/>
        </w:rPr>
        <w:t xml:space="preserve"> </w:t>
      </w:r>
      <w:r>
        <w:rPr>
          <w:rFonts w:ascii="KaiTi" w:hAnsi="KaiTi" w:eastAsia="KaiTi" w:cs="KaiTi"/>
          <w:sz w:val="30"/>
          <w:szCs w:val="30"/>
          <w:b/>
          <w:bCs/>
          <w:spacing w:val="18"/>
        </w:rPr>
        <w:t>果评价报告编制、评审以及职业病防护设施验收等过程中弄</w:t>
      </w:r>
      <w:r>
        <w:rPr>
          <w:rFonts w:ascii="KaiTi" w:hAnsi="KaiTi" w:eastAsia="KaiTi" w:cs="KaiTi"/>
          <w:sz w:val="30"/>
          <w:szCs w:val="30"/>
          <w:b/>
          <w:bCs/>
          <w:spacing w:val="17"/>
        </w:rPr>
        <w:t>虚作假的</w:t>
      </w:r>
    </w:p>
    <w:p>
      <w:pPr>
        <w:ind w:left="675"/>
        <w:spacing w:line="222" w:lineRule="auto"/>
        <w:rPr>
          <w:rFonts w:ascii="FangSong" w:hAnsi="FangSong" w:eastAsia="FangSong" w:cs="FangSong"/>
          <w:sz w:val="30"/>
          <w:szCs w:val="30"/>
        </w:rPr>
      </w:pPr>
      <w:r>
        <w:rPr>
          <w:rFonts w:ascii="FangSong" w:hAnsi="FangSong" w:eastAsia="FangSong" w:cs="FangSong"/>
          <w:sz w:val="30"/>
          <w:szCs w:val="30"/>
          <w:spacing w:val="-4"/>
        </w:rPr>
        <w:t>法律依据：</w:t>
      </w:r>
    </w:p>
    <w:p>
      <w:pPr>
        <w:ind w:left="25" w:right="555" w:firstLine="630"/>
        <w:spacing w:before="65" w:line="277" w:lineRule="auto"/>
        <w:jc w:val="both"/>
        <w:rPr>
          <w:rFonts w:ascii="FangSong" w:hAnsi="FangSong" w:eastAsia="FangSong" w:cs="FangSong"/>
          <w:sz w:val="30"/>
          <w:szCs w:val="30"/>
        </w:rPr>
      </w:pPr>
      <w:r>
        <w:rPr>
          <w:rFonts w:ascii="FangSong" w:hAnsi="FangSong" w:eastAsia="FangSong" w:cs="FangSong"/>
          <w:sz w:val="30"/>
          <w:szCs w:val="30"/>
          <w:spacing w:val="17"/>
        </w:rPr>
        <w:t>《建设项目职业病防护设施“三同时”监督管</w:t>
      </w:r>
      <w:r>
        <w:rPr>
          <w:rFonts w:ascii="FangSong" w:hAnsi="FangSong" w:eastAsia="FangSong" w:cs="FangSong"/>
          <w:sz w:val="30"/>
          <w:szCs w:val="30"/>
          <w:spacing w:val="16"/>
        </w:rPr>
        <w:t>理办法》第四十一条</w:t>
      </w:r>
      <w:r>
        <w:rPr>
          <w:rFonts w:ascii="FangSong" w:hAnsi="FangSong" w:eastAsia="FangSong" w:cs="FangSong"/>
          <w:sz w:val="30"/>
          <w:szCs w:val="30"/>
          <w:spacing w:val="16"/>
        </w:rPr>
        <w:t xml:space="preserve">  </w:t>
      </w:r>
      <w:r>
        <w:rPr>
          <w:rFonts w:ascii="FangSong" w:hAnsi="FangSong" w:eastAsia="FangSong" w:cs="FangSong"/>
          <w:sz w:val="30"/>
          <w:szCs w:val="30"/>
          <w:spacing w:val="16"/>
        </w:rPr>
        <w:t>建设单位在职业病危害预评</w:t>
      </w:r>
      <w:r>
        <w:rPr>
          <w:rFonts w:ascii="FangSong" w:hAnsi="FangSong" w:eastAsia="FangSong" w:cs="FangSong"/>
          <w:sz w:val="30"/>
          <w:szCs w:val="30"/>
        </w:rPr>
        <w:t xml:space="preserve"> </w:t>
      </w:r>
      <w:r>
        <w:rPr>
          <w:rFonts w:ascii="FangSong" w:hAnsi="FangSong" w:eastAsia="FangSong" w:cs="FangSong"/>
          <w:sz w:val="30"/>
          <w:szCs w:val="30"/>
          <w:spacing w:val="16"/>
        </w:rPr>
        <w:t>价报告、职业病防护设施设计、职业病危害控制效果评价报告编制、评审以及职业病防护设施验收等</w:t>
      </w:r>
      <w:r>
        <w:rPr>
          <w:rFonts w:ascii="FangSong" w:hAnsi="FangSong" w:eastAsia="FangSong" w:cs="FangSong"/>
          <w:sz w:val="30"/>
          <w:szCs w:val="30"/>
          <w:spacing w:val="12"/>
        </w:rPr>
        <w:t xml:space="preserve"> </w:t>
      </w:r>
      <w:r>
        <w:rPr>
          <w:rFonts w:ascii="FangSong" w:hAnsi="FangSong" w:eastAsia="FangSong" w:cs="FangSong"/>
          <w:sz w:val="30"/>
          <w:szCs w:val="30"/>
          <w:spacing w:val="19"/>
        </w:rPr>
        <w:t>过程中弄虚作假的，由安全生产监督管理部门责令限期改正，给予警告，</w:t>
      </w:r>
      <w:r>
        <w:rPr>
          <w:rFonts w:ascii="FangSong" w:hAnsi="FangSong" w:eastAsia="FangSong" w:cs="FangSong"/>
          <w:sz w:val="30"/>
          <w:szCs w:val="30"/>
          <w:spacing w:val="18"/>
        </w:rPr>
        <w:t>可以并处5000</w:t>
      </w:r>
      <w:r>
        <w:rPr>
          <w:rFonts w:ascii="FangSong" w:hAnsi="FangSong" w:eastAsia="FangSong" w:cs="FangSong"/>
          <w:sz w:val="30"/>
          <w:szCs w:val="30"/>
          <w:spacing w:val="18"/>
        </w:rPr>
        <w:t xml:space="preserve"> </w:t>
      </w:r>
      <w:r>
        <w:rPr>
          <w:rFonts w:ascii="FangSong" w:hAnsi="FangSong" w:eastAsia="FangSong" w:cs="FangSong"/>
          <w:sz w:val="30"/>
          <w:szCs w:val="30"/>
          <w:spacing w:val="18"/>
        </w:rPr>
        <w:t>元以上3</w:t>
      </w:r>
      <w:r>
        <w:rPr>
          <w:rFonts w:ascii="FangSong" w:hAnsi="FangSong" w:eastAsia="FangSong" w:cs="FangSong"/>
          <w:sz w:val="30"/>
          <w:szCs w:val="30"/>
          <w:spacing w:val="18"/>
        </w:rPr>
        <w:t xml:space="preserve"> </w:t>
      </w:r>
      <w:r>
        <w:rPr>
          <w:rFonts w:ascii="FangSong" w:hAnsi="FangSong" w:eastAsia="FangSong" w:cs="FangSong"/>
          <w:sz w:val="30"/>
          <w:szCs w:val="30"/>
          <w:spacing w:val="18"/>
        </w:rPr>
        <w:t>万</w:t>
      </w:r>
    </w:p>
    <w:p>
      <w:pPr>
        <w:spacing w:line="277" w:lineRule="auto"/>
        <w:sectPr>
          <w:footerReference w:type="default" r:id="rId528"/>
          <w:pgSz w:w="16830" w:h="11900"/>
          <w:pgMar w:top="1011" w:right="895" w:bottom="1118" w:left="1414" w:header="0" w:footer="785" w:gutter="0"/>
        </w:sectPr>
        <w:rPr>
          <w:rFonts w:ascii="FangSong" w:hAnsi="FangSong" w:eastAsia="FangSong" w:cs="FangSong"/>
          <w:sz w:val="30"/>
          <w:szCs w:val="30"/>
        </w:rPr>
      </w:pPr>
    </w:p>
    <w:p>
      <w:pPr>
        <w:pStyle w:val="BodyText"/>
        <w:spacing w:line="259" w:lineRule="auto"/>
        <w:rPr/>
      </w:pPr>
      <w:r/>
    </w:p>
    <w:p>
      <w:pPr>
        <w:pStyle w:val="BodyText"/>
        <w:spacing w:line="260" w:lineRule="auto"/>
        <w:rPr/>
      </w:pPr>
      <w:r/>
    </w:p>
    <w:p>
      <w:pPr>
        <w:pStyle w:val="BodyText"/>
        <w:spacing w:line="260" w:lineRule="auto"/>
        <w:rPr/>
      </w:pPr>
      <w:r/>
    </w:p>
    <w:p>
      <w:pPr>
        <w:ind w:left="15"/>
        <w:spacing w:before="94" w:line="222" w:lineRule="auto"/>
        <w:rPr>
          <w:rFonts w:ascii="FangSong" w:hAnsi="FangSong" w:eastAsia="FangSong" w:cs="FangSong"/>
          <w:sz w:val="29"/>
          <w:szCs w:val="29"/>
        </w:rPr>
      </w:pPr>
      <w:r>
        <w:rPr>
          <w:rFonts w:ascii="FangSong" w:hAnsi="FangSong" w:eastAsia="FangSong" w:cs="FangSong"/>
          <w:sz w:val="29"/>
          <w:szCs w:val="29"/>
          <w:spacing w:val="17"/>
        </w:rPr>
        <w:t>元以下的罚款。</w:t>
      </w:r>
    </w:p>
    <w:p>
      <w:pPr>
        <w:ind w:left="6419"/>
        <w:spacing w:before="260" w:line="215" w:lineRule="auto"/>
        <w:rPr>
          <w:rFonts w:ascii="SimSun" w:hAnsi="SimSun" w:eastAsia="SimSun" w:cs="SimSun"/>
          <w:sz w:val="28"/>
          <w:szCs w:val="28"/>
        </w:rPr>
      </w:pPr>
      <w:bookmarkStart w:name="bookmark1156" w:id="532"/>
      <w:bookmarkEnd w:id="532"/>
      <w:r>
        <w:rPr>
          <w:rFonts w:ascii="SimSun" w:hAnsi="SimSun" w:eastAsia="SimSun" w:cs="SimSun"/>
          <w:sz w:val="28"/>
          <w:szCs w:val="28"/>
          <w:b/>
          <w:bCs/>
          <w:spacing w:val="-6"/>
        </w:rPr>
        <w:t>裁量标准</w:t>
      </w:r>
    </w:p>
    <w:tbl>
      <w:tblPr>
        <w:tblStyle w:val="TableNormal"/>
        <w:tblW w:w="137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94"/>
        <w:gridCol w:w="8913"/>
        <w:gridCol w:w="3412"/>
      </w:tblGrid>
      <w:tr>
        <w:trPr>
          <w:trHeight w:val="622" w:hRule="atLeast"/>
        </w:trPr>
        <w:tc>
          <w:tcPr>
            <w:tcW w:w="1394" w:type="dxa"/>
            <w:vAlign w:val="top"/>
          </w:tcPr>
          <w:p>
            <w:pPr>
              <w:pStyle w:val="TableText"/>
              <w:ind w:left="188"/>
              <w:spacing w:before="232" w:line="220" w:lineRule="auto"/>
              <w:rPr>
                <w:sz w:val="25"/>
                <w:szCs w:val="25"/>
              </w:rPr>
            </w:pPr>
            <w:r>
              <w:rPr>
                <w:sz w:val="25"/>
                <w:szCs w:val="25"/>
                <w:b/>
                <w:bCs/>
                <w:spacing w:val="-5"/>
              </w:rPr>
              <w:t>违法程度</w:t>
            </w:r>
          </w:p>
        </w:tc>
        <w:tc>
          <w:tcPr>
            <w:tcW w:w="8913" w:type="dxa"/>
            <w:vAlign w:val="top"/>
          </w:tcPr>
          <w:p>
            <w:pPr>
              <w:pStyle w:val="TableText"/>
              <w:ind w:left="3954"/>
              <w:spacing w:before="232" w:line="220" w:lineRule="auto"/>
              <w:rPr>
                <w:sz w:val="25"/>
                <w:szCs w:val="25"/>
              </w:rPr>
            </w:pPr>
            <w:r>
              <w:rPr>
                <w:sz w:val="25"/>
                <w:szCs w:val="25"/>
                <w:b/>
                <w:bCs/>
                <w:spacing w:val="-5"/>
              </w:rPr>
              <w:t>情节后果</w:t>
            </w:r>
          </w:p>
        </w:tc>
        <w:tc>
          <w:tcPr>
            <w:tcW w:w="3412" w:type="dxa"/>
            <w:vAlign w:val="top"/>
          </w:tcPr>
          <w:p>
            <w:pPr>
              <w:pStyle w:val="TableText"/>
              <w:ind w:left="1201"/>
              <w:spacing w:before="229" w:line="218" w:lineRule="auto"/>
              <w:rPr>
                <w:sz w:val="25"/>
                <w:szCs w:val="25"/>
              </w:rPr>
            </w:pPr>
            <w:r>
              <w:rPr>
                <w:sz w:val="25"/>
                <w:szCs w:val="25"/>
                <w:b/>
                <w:bCs/>
                <w:spacing w:val="-5"/>
              </w:rPr>
              <w:t>裁量幅度</w:t>
            </w:r>
          </w:p>
        </w:tc>
      </w:tr>
      <w:tr>
        <w:trPr>
          <w:trHeight w:val="1026" w:hRule="atLeast"/>
        </w:trPr>
        <w:tc>
          <w:tcPr>
            <w:tcW w:w="1394" w:type="dxa"/>
            <w:vAlign w:val="top"/>
          </w:tcPr>
          <w:p>
            <w:pPr>
              <w:spacing w:line="307" w:lineRule="auto"/>
              <w:rPr>
                <w:rFonts w:ascii="Arial"/>
                <w:sz w:val="21"/>
              </w:rPr>
            </w:pPr>
            <w:r/>
          </w:p>
          <w:p>
            <w:pPr>
              <w:pStyle w:val="TableText"/>
              <w:ind w:left="438"/>
              <w:spacing w:before="82" w:line="221" w:lineRule="auto"/>
              <w:rPr>
                <w:sz w:val="25"/>
                <w:szCs w:val="25"/>
              </w:rPr>
            </w:pPr>
            <w:r>
              <w:rPr>
                <w:sz w:val="25"/>
                <w:szCs w:val="25"/>
                <w:b/>
                <w:bCs/>
                <w:spacing w:val="-10"/>
              </w:rPr>
              <w:t>一般</w:t>
            </w:r>
          </w:p>
        </w:tc>
        <w:tc>
          <w:tcPr>
            <w:tcW w:w="8913" w:type="dxa"/>
            <w:vAlign w:val="top"/>
          </w:tcPr>
          <w:p>
            <w:pPr>
              <w:pStyle w:val="TableText"/>
              <w:ind w:left="11"/>
              <w:spacing w:before="69" w:line="233" w:lineRule="auto"/>
              <w:jc w:val="both"/>
              <w:rPr>
                <w:sz w:val="25"/>
                <w:szCs w:val="25"/>
              </w:rPr>
            </w:pPr>
            <w:r>
              <w:rPr>
                <w:sz w:val="25"/>
                <w:szCs w:val="25"/>
                <w:spacing w:val="-3"/>
              </w:rPr>
              <w:t>建设单位在职业病危害一般类别的建设项目职业病危害预评价报告、职业病防</w:t>
            </w:r>
            <w:r>
              <w:rPr>
                <w:sz w:val="25"/>
                <w:szCs w:val="25"/>
                <w:spacing w:val="-4"/>
              </w:rPr>
              <w:t>护设</w:t>
            </w:r>
            <w:r>
              <w:rPr>
                <w:sz w:val="25"/>
                <w:szCs w:val="25"/>
              </w:rPr>
              <w:t xml:space="preserve"> </w:t>
            </w:r>
            <w:r>
              <w:rPr>
                <w:sz w:val="25"/>
                <w:szCs w:val="25"/>
                <w:spacing w:val="-3"/>
              </w:rPr>
              <w:t>施设计、职业病危害控制效果评价报告编制、评审以及职业病防护设施验</w:t>
            </w:r>
            <w:r>
              <w:rPr>
                <w:sz w:val="25"/>
                <w:szCs w:val="25"/>
                <w:spacing w:val="-4"/>
              </w:rPr>
              <w:t>收等过程</w:t>
            </w:r>
            <w:r>
              <w:rPr>
                <w:sz w:val="25"/>
                <w:szCs w:val="25"/>
              </w:rPr>
              <w:t xml:space="preserve"> </w:t>
            </w:r>
            <w:r>
              <w:rPr>
                <w:sz w:val="25"/>
                <w:szCs w:val="25"/>
                <w:spacing w:val="21"/>
              </w:rPr>
              <w:t>中弄虚作假的</w:t>
            </w:r>
          </w:p>
        </w:tc>
        <w:tc>
          <w:tcPr>
            <w:tcW w:w="3412" w:type="dxa"/>
            <w:vAlign w:val="top"/>
          </w:tcPr>
          <w:p>
            <w:pPr>
              <w:pStyle w:val="TableText"/>
              <w:ind w:left="138" w:right="63" w:hanging="60"/>
              <w:spacing w:before="71" w:line="247" w:lineRule="auto"/>
              <w:rPr>
                <w:sz w:val="25"/>
                <w:szCs w:val="25"/>
              </w:rPr>
            </w:pPr>
            <w:r>
              <w:rPr>
                <w:sz w:val="25"/>
                <w:szCs w:val="25"/>
              </w:rPr>
              <w:t>责令限期改正，给予警告，可</w:t>
            </w:r>
            <w:r>
              <w:rPr>
                <w:sz w:val="25"/>
                <w:szCs w:val="25"/>
                <w:spacing w:val="9"/>
              </w:rPr>
              <w:t xml:space="preserve"> </w:t>
            </w:r>
            <w:r>
              <w:rPr>
                <w:sz w:val="25"/>
                <w:szCs w:val="25"/>
              </w:rPr>
              <w:t>以并处5000元以上1万元以下</w:t>
            </w:r>
          </w:p>
          <w:p>
            <w:pPr>
              <w:pStyle w:val="TableText"/>
              <w:ind w:left="127"/>
              <w:spacing w:before="4" w:line="200" w:lineRule="auto"/>
              <w:rPr>
                <w:sz w:val="25"/>
                <w:szCs w:val="25"/>
              </w:rPr>
            </w:pPr>
            <w:r>
              <w:rPr>
                <w:sz w:val="25"/>
                <w:szCs w:val="25"/>
                <w:color w:val="605060"/>
                <w:spacing w:val="5"/>
              </w:rPr>
              <w:t>罚款</w:t>
            </w:r>
          </w:p>
        </w:tc>
      </w:tr>
      <w:tr>
        <w:trPr>
          <w:trHeight w:val="1121" w:hRule="atLeast"/>
        </w:trPr>
        <w:tc>
          <w:tcPr>
            <w:tcW w:w="1394" w:type="dxa"/>
            <w:vAlign w:val="top"/>
          </w:tcPr>
          <w:p>
            <w:pPr>
              <w:spacing w:line="363" w:lineRule="auto"/>
              <w:rPr>
                <w:rFonts w:ascii="Arial"/>
                <w:sz w:val="21"/>
              </w:rPr>
            </w:pPr>
            <w:r/>
          </w:p>
          <w:p>
            <w:pPr>
              <w:pStyle w:val="TableText"/>
              <w:ind w:left="438"/>
              <w:spacing w:before="81" w:line="221" w:lineRule="auto"/>
              <w:rPr>
                <w:sz w:val="25"/>
                <w:szCs w:val="25"/>
              </w:rPr>
            </w:pPr>
            <w:r>
              <w:rPr>
                <w:sz w:val="25"/>
                <w:szCs w:val="25"/>
                <w:b/>
                <w:bCs/>
                <w:spacing w:val="-6"/>
              </w:rPr>
              <w:t>较重</w:t>
            </w:r>
          </w:p>
        </w:tc>
        <w:tc>
          <w:tcPr>
            <w:tcW w:w="8913" w:type="dxa"/>
            <w:vAlign w:val="top"/>
          </w:tcPr>
          <w:p>
            <w:pPr>
              <w:pStyle w:val="TableText"/>
              <w:ind w:left="11"/>
              <w:spacing w:before="103" w:line="248" w:lineRule="auto"/>
              <w:jc w:val="both"/>
              <w:rPr>
                <w:sz w:val="25"/>
                <w:szCs w:val="25"/>
              </w:rPr>
            </w:pPr>
            <w:r>
              <w:rPr>
                <w:sz w:val="25"/>
                <w:szCs w:val="25"/>
                <w:spacing w:val="-3"/>
              </w:rPr>
              <w:t>建设单位在职业病危害严重类别建设项目职</w:t>
            </w:r>
            <w:r>
              <w:rPr>
                <w:sz w:val="25"/>
                <w:szCs w:val="25"/>
                <w:spacing w:val="-4"/>
              </w:rPr>
              <w:t>业病危害预评价报告、职业病防护设施</w:t>
            </w:r>
            <w:r>
              <w:rPr>
                <w:sz w:val="25"/>
                <w:szCs w:val="25"/>
              </w:rPr>
              <w:t xml:space="preserve"> </w:t>
            </w:r>
            <w:r>
              <w:rPr>
                <w:sz w:val="25"/>
                <w:szCs w:val="25"/>
                <w:spacing w:val="-3"/>
              </w:rPr>
              <w:t>设计、职业病危害控制效果评价报告编制、评审以及职业病防护设施验收等过</w:t>
            </w:r>
            <w:r>
              <w:rPr>
                <w:sz w:val="25"/>
                <w:szCs w:val="25"/>
                <w:spacing w:val="-4"/>
              </w:rPr>
              <w:t>程中</w:t>
            </w:r>
            <w:r>
              <w:rPr>
                <w:sz w:val="25"/>
                <w:szCs w:val="25"/>
              </w:rPr>
              <w:t xml:space="preserve"> </w:t>
            </w:r>
            <w:r>
              <w:rPr>
                <w:sz w:val="25"/>
                <w:szCs w:val="25"/>
                <w:spacing w:val="23"/>
              </w:rPr>
              <w:t>弄虚作假的</w:t>
            </w:r>
          </w:p>
        </w:tc>
        <w:tc>
          <w:tcPr>
            <w:tcW w:w="3412" w:type="dxa"/>
            <w:vAlign w:val="top"/>
          </w:tcPr>
          <w:p>
            <w:pPr>
              <w:pStyle w:val="TableText"/>
              <w:ind w:left="197" w:right="63" w:hanging="119"/>
              <w:spacing w:before="284" w:line="263" w:lineRule="auto"/>
              <w:rPr>
                <w:sz w:val="25"/>
                <w:szCs w:val="25"/>
              </w:rPr>
            </w:pPr>
            <w:r>
              <w:rPr>
                <w:sz w:val="25"/>
                <w:szCs w:val="25"/>
              </w:rPr>
              <w:t>责令限期改正，给予警告，并</w:t>
            </w:r>
            <w:r>
              <w:rPr>
                <w:sz w:val="25"/>
                <w:szCs w:val="25"/>
                <w:spacing w:val="9"/>
              </w:rPr>
              <w:t xml:space="preserve"> </w:t>
            </w:r>
            <w:r>
              <w:rPr>
                <w:sz w:val="25"/>
                <w:szCs w:val="25"/>
              </w:rPr>
              <w:t>处1万元以上3万元以下罚款</w:t>
            </w:r>
          </w:p>
        </w:tc>
      </w:tr>
    </w:tbl>
    <w:p>
      <w:pPr>
        <w:pStyle w:val="BodyText"/>
        <w:spacing w:line="463" w:lineRule="auto"/>
        <w:rPr/>
      </w:pPr>
      <w:r/>
    </w:p>
    <w:p>
      <w:pPr>
        <w:ind w:left="15" w:right="82" w:firstLine="649"/>
        <w:spacing w:before="95" w:line="294" w:lineRule="auto"/>
        <w:rPr>
          <w:rFonts w:ascii="FangSong" w:hAnsi="FangSong" w:eastAsia="FangSong" w:cs="FangSong"/>
          <w:sz w:val="29"/>
          <w:szCs w:val="29"/>
        </w:rPr>
      </w:pPr>
      <w:r>
        <w:rPr>
          <w:rFonts w:ascii="FangSong" w:hAnsi="FangSong" w:eastAsia="FangSong" w:cs="FangSong"/>
          <w:sz w:val="29"/>
          <w:szCs w:val="29"/>
          <w:spacing w:val="34"/>
        </w:rPr>
        <w:t>第四百九十五条建设单位未按照规定及时、如实报告建设项目职</w:t>
      </w:r>
      <w:r>
        <w:rPr>
          <w:rFonts w:ascii="FangSong" w:hAnsi="FangSong" w:eastAsia="FangSong" w:cs="FangSong"/>
          <w:sz w:val="29"/>
          <w:szCs w:val="29"/>
          <w:spacing w:val="33"/>
        </w:rPr>
        <w:t>业病防护设施验收方案，或者</w:t>
      </w:r>
      <w:r>
        <w:rPr>
          <w:rFonts w:ascii="FangSong" w:hAnsi="FangSong" w:eastAsia="FangSong" w:cs="FangSong"/>
          <w:sz w:val="29"/>
          <w:szCs w:val="29"/>
        </w:rPr>
        <w:t xml:space="preserve"> </w:t>
      </w:r>
      <w:r>
        <w:rPr>
          <w:rFonts w:ascii="FangSong" w:hAnsi="FangSong" w:eastAsia="FangSong" w:cs="FangSong"/>
          <w:sz w:val="29"/>
          <w:szCs w:val="29"/>
          <w:spacing w:val="30"/>
        </w:rPr>
        <w:t>职业病危害严重建设项目未提交职业病危害控制效果评价与职业病防护设施验收的书面报告的</w:t>
      </w:r>
    </w:p>
    <w:p>
      <w:pPr>
        <w:ind w:left="645"/>
        <w:spacing w:line="222" w:lineRule="auto"/>
        <w:rPr>
          <w:rFonts w:ascii="FangSong" w:hAnsi="FangSong" w:eastAsia="FangSong" w:cs="FangSong"/>
          <w:sz w:val="29"/>
          <w:szCs w:val="29"/>
        </w:rPr>
      </w:pPr>
      <w:r>
        <w:rPr>
          <w:rFonts w:ascii="FangSong" w:hAnsi="FangSong" w:eastAsia="FangSong" w:cs="FangSong"/>
          <w:sz w:val="29"/>
          <w:szCs w:val="29"/>
          <w:spacing w:val="11"/>
        </w:rPr>
        <w:t>法律依据：</w:t>
      </w:r>
    </w:p>
    <w:p>
      <w:pPr>
        <w:ind w:left="15" w:firstLine="624"/>
        <w:spacing w:before="51" w:line="273" w:lineRule="auto"/>
        <w:jc w:val="both"/>
        <w:rPr>
          <w:rFonts w:ascii="FangSong" w:hAnsi="FangSong" w:eastAsia="FangSong" w:cs="FangSong"/>
          <w:sz w:val="29"/>
          <w:szCs w:val="29"/>
        </w:rPr>
      </w:pPr>
      <w:r>
        <w:rPr>
          <w:rFonts w:ascii="FangSong" w:hAnsi="FangSong" w:eastAsia="FangSong" w:cs="FangSong"/>
          <w:sz w:val="29"/>
          <w:szCs w:val="29"/>
          <w:spacing w:val="28"/>
        </w:rPr>
        <w:t>《建设项目职业病防护设施“三同时”监督管理办法》第四十二条</w:t>
      </w:r>
      <w:r>
        <w:rPr>
          <w:rFonts w:ascii="FangSong" w:hAnsi="FangSong" w:eastAsia="FangSong" w:cs="FangSong"/>
          <w:sz w:val="29"/>
          <w:szCs w:val="29"/>
          <w:spacing w:val="28"/>
        </w:rPr>
        <w:t xml:space="preserve">  </w:t>
      </w:r>
      <w:r>
        <w:rPr>
          <w:rFonts w:ascii="FangSong" w:hAnsi="FangSong" w:eastAsia="FangSong" w:cs="FangSong"/>
          <w:sz w:val="29"/>
          <w:szCs w:val="29"/>
          <w:spacing w:val="28"/>
        </w:rPr>
        <w:t>建设单位未按</w:t>
      </w:r>
      <w:r>
        <w:rPr>
          <w:rFonts w:ascii="FangSong" w:hAnsi="FangSong" w:eastAsia="FangSong" w:cs="FangSong"/>
          <w:sz w:val="29"/>
          <w:szCs w:val="29"/>
          <w:spacing w:val="27"/>
        </w:rPr>
        <w:t>照规定及时、</w:t>
      </w:r>
      <w:r>
        <w:rPr>
          <w:rFonts w:ascii="FangSong" w:hAnsi="FangSong" w:eastAsia="FangSong" w:cs="FangSong"/>
          <w:sz w:val="29"/>
          <w:szCs w:val="29"/>
        </w:rPr>
        <w:t xml:space="preserve"> </w:t>
      </w:r>
      <w:r>
        <w:rPr>
          <w:rFonts w:ascii="FangSong" w:hAnsi="FangSong" w:eastAsia="FangSong" w:cs="FangSong"/>
          <w:sz w:val="29"/>
          <w:szCs w:val="29"/>
          <w:spacing w:val="26"/>
        </w:rPr>
        <w:t>如实报告建设项目职业病防护设施验收方案，或者职业病危害严重建设项目未提交职业病危害控制效</w:t>
      </w:r>
      <w:r>
        <w:rPr>
          <w:rFonts w:ascii="FangSong" w:hAnsi="FangSong" w:eastAsia="FangSong" w:cs="FangSong"/>
          <w:sz w:val="29"/>
          <w:szCs w:val="29"/>
          <w:spacing w:val="12"/>
        </w:rPr>
        <w:t xml:space="preserve"> </w:t>
      </w:r>
      <w:r>
        <w:rPr>
          <w:rFonts w:ascii="FangSong" w:hAnsi="FangSong" w:eastAsia="FangSong" w:cs="FangSong"/>
          <w:sz w:val="29"/>
          <w:szCs w:val="29"/>
          <w:spacing w:val="26"/>
        </w:rPr>
        <w:t>果评价与职业病防护设施验收的书面报告的，由安全生产监督管理部门责令限期改正，给予警告，可</w:t>
      </w:r>
      <w:r>
        <w:rPr>
          <w:rFonts w:ascii="FangSong" w:hAnsi="FangSong" w:eastAsia="FangSong" w:cs="FangSong"/>
          <w:sz w:val="29"/>
          <w:szCs w:val="29"/>
          <w:spacing w:val="16"/>
        </w:rPr>
        <w:t xml:space="preserve"> </w:t>
      </w:r>
      <w:r>
        <w:rPr>
          <w:rFonts w:ascii="FangSong" w:hAnsi="FangSong" w:eastAsia="FangSong" w:cs="FangSong"/>
          <w:sz w:val="29"/>
          <w:szCs w:val="29"/>
          <w:spacing w:val="37"/>
        </w:rPr>
        <w:t>以并处5000元以上3万元以下的罚款。</w:t>
      </w:r>
    </w:p>
    <w:p>
      <w:pPr>
        <w:ind w:left="6419"/>
        <w:spacing w:before="189" w:line="221" w:lineRule="auto"/>
        <w:rPr>
          <w:rFonts w:ascii="SimHei" w:hAnsi="SimHei" w:eastAsia="SimHei" w:cs="SimHei"/>
          <w:sz w:val="29"/>
          <w:szCs w:val="29"/>
        </w:rPr>
      </w:pPr>
      <w:r>
        <w:rPr>
          <w:rFonts w:ascii="SimHei" w:hAnsi="SimHei" w:eastAsia="SimHei" w:cs="SimHei"/>
          <w:sz w:val="29"/>
          <w:szCs w:val="29"/>
          <w:b/>
          <w:bCs/>
          <w:spacing w:val="-6"/>
        </w:rPr>
        <w:t>裁量标准</w:t>
      </w:r>
    </w:p>
    <w:p>
      <w:pPr>
        <w:spacing w:line="221" w:lineRule="auto"/>
        <w:sectPr>
          <w:footerReference w:type="default" r:id="rId529"/>
          <w:pgSz w:w="16830" w:h="11900"/>
          <w:pgMar w:top="1011" w:right="1374" w:bottom="1108" w:left="1434" w:header="0" w:footer="775" w:gutter="0"/>
        </w:sectPr>
        <w:rPr>
          <w:rFonts w:ascii="SimHei" w:hAnsi="SimHei" w:eastAsia="SimHei" w:cs="SimHei"/>
          <w:sz w:val="29"/>
          <w:szCs w:val="29"/>
        </w:rPr>
      </w:pPr>
    </w:p>
    <w:p>
      <w:pPr>
        <w:spacing w:before="17"/>
        <w:rPr/>
      </w:pPr>
      <w:r/>
    </w:p>
    <w:p>
      <w:pPr>
        <w:spacing w:before="16"/>
        <w:rPr/>
      </w:pPr>
      <w:r/>
    </w:p>
    <w:p>
      <w:pPr>
        <w:spacing w:before="16"/>
        <w:rPr/>
      </w:pPr>
      <w:r/>
    </w:p>
    <w:tbl>
      <w:tblPr>
        <w:tblStyle w:val="TableNormal"/>
        <w:tblW w:w="134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84"/>
        <w:gridCol w:w="7534"/>
        <w:gridCol w:w="4561"/>
      </w:tblGrid>
      <w:tr>
        <w:trPr>
          <w:trHeight w:val="751" w:hRule="atLeast"/>
        </w:trPr>
        <w:tc>
          <w:tcPr>
            <w:tcW w:w="1384" w:type="dxa"/>
            <w:vAlign w:val="top"/>
          </w:tcPr>
          <w:p>
            <w:pPr>
              <w:pStyle w:val="TableText"/>
              <w:ind w:left="188"/>
              <w:spacing w:before="252" w:line="220" w:lineRule="auto"/>
              <w:rPr>
                <w:sz w:val="25"/>
                <w:szCs w:val="25"/>
              </w:rPr>
            </w:pPr>
            <w:bookmarkStart w:name="bookmark1157" w:id="533"/>
            <w:bookmarkEnd w:id="533"/>
            <w:r>
              <w:rPr>
                <w:sz w:val="25"/>
                <w:szCs w:val="25"/>
                <w:b/>
                <w:bCs/>
                <w:spacing w:val="-5"/>
              </w:rPr>
              <w:t>违法程度</w:t>
            </w:r>
          </w:p>
        </w:tc>
        <w:tc>
          <w:tcPr>
            <w:tcW w:w="7534" w:type="dxa"/>
            <w:vAlign w:val="top"/>
          </w:tcPr>
          <w:p>
            <w:pPr>
              <w:pStyle w:val="TableText"/>
              <w:ind w:left="3264"/>
              <w:spacing w:before="252" w:line="220" w:lineRule="auto"/>
              <w:rPr>
                <w:sz w:val="25"/>
                <w:szCs w:val="25"/>
              </w:rPr>
            </w:pPr>
            <w:r>
              <w:rPr>
                <w:sz w:val="25"/>
                <w:szCs w:val="25"/>
                <w:b/>
                <w:bCs/>
                <w:spacing w:val="-5"/>
              </w:rPr>
              <w:t>情节后果</w:t>
            </w:r>
          </w:p>
        </w:tc>
        <w:tc>
          <w:tcPr>
            <w:tcW w:w="4561" w:type="dxa"/>
            <w:vAlign w:val="top"/>
          </w:tcPr>
          <w:p>
            <w:pPr>
              <w:pStyle w:val="TableText"/>
              <w:ind w:left="1780"/>
              <w:spacing w:before="249" w:line="218" w:lineRule="auto"/>
              <w:rPr>
                <w:sz w:val="25"/>
                <w:szCs w:val="25"/>
              </w:rPr>
            </w:pPr>
            <w:r>
              <w:rPr>
                <w:sz w:val="25"/>
                <w:szCs w:val="25"/>
                <w:b/>
                <w:bCs/>
                <w:spacing w:val="-5"/>
              </w:rPr>
              <w:t>裁量幅度</w:t>
            </w:r>
          </w:p>
        </w:tc>
      </w:tr>
      <w:tr>
        <w:trPr>
          <w:trHeight w:val="667" w:hRule="atLeast"/>
        </w:trPr>
        <w:tc>
          <w:tcPr>
            <w:tcW w:w="1384" w:type="dxa"/>
            <w:vAlign w:val="top"/>
          </w:tcPr>
          <w:p>
            <w:pPr>
              <w:pStyle w:val="TableText"/>
              <w:ind w:left="438"/>
              <w:spacing w:before="282" w:line="221" w:lineRule="auto"/>
              <w:rPr>
                <w:sz w:val="25"/>
                <w:szCs w:val="25"/>
              </w:rPr>
            </w:pPr>
            <w:r>
              <w:rPr>
                <w:sz w:val="25"/>
                <w:szCs w:val="25"/>
                <w:b/>
                <w:bCs/>
                <w:spacing w:val="-10"/>
              </w:rPr>
              <w:t>一般</w:t>
            </w:r>
          </w:p>
        </w:tc>
        <w:tc>
          <w:tcPr>
            <w:tcW w:w="7534" w:type="dxa"/>
            <w:vAlign w:val="top"/>
          </w:tcPr>
          <w:p>
            <w:pPr>
              <w:pStyle w:val="TableText"/>
              <w:ind w:left="110" w:right="3" w:hanging="99"/>
              <w:spacing w:before="61" w:line="220" w:lineRule="auto"/>
              <w:rPr>
                <w:sz w:val="25"/>
                <w:szCs w:val="25"/>
              </w:rPr>
            </w:pPr>
            <w:r>
              <w:rPr>
                <w:sz w:val="25"/>
                <w:szCs w:val="25"/>
              </w:rPr>
              <w:t>建设单位未按照规定及时、如实报告建设项目职业病防护设施验收方</w:t>
            </w:r>
            <w:r>
              <w:rPr>
                <w:sz w:val="25"/>
                <w:szCs w:val="25"/>
                <w:spacing w:val="8"/>
              </w:rPr>
              <w:t xml:space="preserve"> </w:t>
            </w:r>
            <w:r>
              <w:rPr>
                <w:sz w:val="25"/>
                <w:szCs w:val="25"/>
                <w:spacing w:val="9"/>
              </w:rPr>
              <w:t>案的</w:t>
            </w:r>
          </w:p>
        </w:tc>
        <w:tc>
          <w:tcPr>
            <w:tcW w:w="4561" w:type="dxa"/>
            <w:vAlign w:val="top"/>
          </w:tcPr>
          <w:p>
            <w:pPr>
              <w:pStyle w:val="TableText"/>
              <w:ind w:left="117" w:right="11" w:hanging="90"/>
              <w:spacing w:before="61" w:line="220" w:lineRule="auto"/>
              <w:rPr>
                <w:sz w:val="25"/>
                <w:szCs w:val="25"/>
              </w:rPr>
            </w:pPr>
            <w:r>
              <w:rPr>
                <w:sz w:val="25"/>
                <w:szCs w:val="25"/>
              </w:rPr>
              <w:t>责令限期改正，给予警告，可以并处5000</w:t>
            </w:r>
            <w:r>
              <w:rPr>
                <w:sz w:val="25"/>
                <w:szCs w:val="25"/>
                <w:spacing w:val="11"/>
              </w:rPr>
              <w:t xml:space="preserve"> </w:t>
            </w:r>
            <w:r>
              <w:rPr>
                <w:sz w:val="25"/>
                <w:szCs w:val="25"/>
                <w:spacing w:val="-1"/>
              </w:rPr>
              <w:t>元以上2万元以下的罚款</w:t>
            </w:r>
          </w:p>
        </w:tc>
      </w:tr>
      <w:tr>
        <w:trPr>
          <w:trHeight w:val="671" w:hRule="atLeast"/>
        </w:trPr>
        <w:tc>
          <w:tcPr>
            <w:tcW w:w="1384" w:type="dxa"/>
            <w:vAlign w:val="top"/>
          </w:tcPr>
          <w:p>
            <w:pPr>
              <w:pStyle w:val="TableText"/>
              <w:ind w:left="438"/>
              <w:spacing w:before="297" w:line="221" w:lineRule="auto"/>
              <w:rPr>
                <w:sz w:val="25"/>
                <w:szCs w:val="25"/>
              </w:rPr>
            </w:pPr>
            <w:r>
              <w:rPr>
                <w:sz w:val="25"/>
                <w:szCs w:val="25"/>
                <w:b/>
                <w:bCs/>
                <w:spacing w:val="-6"/>
              </w:rPr>
              <w:t>较重</w:t>
            </w:r>
          </w:p>
        </w:tc>
        <w:tc>
          <w:tcPr>
            <w:tcW w:w="7534" w:type="dxa"/>
            <w:vAlign w:val="top"/>
          </w:tcPr>
          <w:p>
            <w:pPr>
              <w:pStyle w:val="TableText"/>
              <w:ind w:left="110" w:hanging="99"/>
              <w:spacing w:before="65" w:line="220" w:lineRule="auto"/>
              <w:rPr>
                <w:sz w:val="25"/>
                <w:szCs w:val="25"/>
              </w:rPr>
            </w:pPr>
            <w:r>
              <w:rPr>
                <w:sz w:val="25"/>
                <w:szCs w:val="25"/>
              </w:rPr>
              <w:t>职业病危害严重建设项目未提交职业病危害控制效果评价与职业病防</w:t>
            </w:r>
            <w:r>
              <w:rPr>
                <w:sz w:val="25"/>
                <w:szCs w:val="25"/>
                <w:spacing w:val="11"/>
              </w:rPr>
              <w:t xml:space="preserve"> </w:t>
            </w:r>
            <w:r>
              <w:rPr>
                <w:sz w:val="25"/>
                <w:szCs w:val="25"/>
                <w:spacing w:val="1"/>
              </w:rPr>
              <w:t>护设施验收的书面报告的</w:t>
            </w:r>
          </w:p>
        </w:tc>
        <w:tc>
          <w:tcPr>
            <w:tcW w:w="4561" w:type="dxa"/>
            <w:vAlign w:val="top"/>
          </w:tcPr>
          <w:p>
            <w:pPr>
              <w:pStyle w:val="TableText"/>
              <w:ind w:left="106" w:right="71" w:hanging="19"/>
              <w:spacing w:before="94" w:line="209" w:lineRule="auto"/>
              <w:rPr>
                <w:sz w:val="25"/>
                <w:szCs w:val="25"/>
              </w:rPr>
            </w:pPr>
            <w:r>
              <w:rPr>
                <w:sz w:val="25"/>
                <w:szCs w:val="25"/>
              </w:rPr>
              <w:t>责令限期改正，给予警告，并处2万元以</w:t>
            </w:r>
            <w:r>
              <w:rPr>
                <w:sz w:val="25"/>
                <w:szCs w:val="25"/>
                <w:spacing w:val="16"/>
              </w:rPr>
              <w:t xml:space="preserve"> </w:t>
            </w:r>
            <w:r>
              <w:rPr>
                <w:sz w:val="25"/>
                <w:szCs w:val="25"/>
                <w:spacing w:val="-2"/>
              </w:rPr>
              <w:t>上3万元以下罚款</w:t>
            </w:r>
          </w:p>
        </w:tc>
      </w:tr>
    </w:tbl>
    <w:p>
      <w:pPr>
        <w:pStyle w:val="BodyText"/>
        <w:spacing w:line="292" w:lineRule="auto"/>
        <w:rPr/>
      </w:pPr>
      <w:r/>
    </w:p>
    <w:p>
      <w:pPr>
        <w:pStyle w:val="BodyText"/>
        <w:spacing w:line="292" w:lineRule="auto"/>
        <w:rPr/>
      </w:pPr>
      <w:r/>
    </w:p>
    <w:p>
      <w:pPr>
        <w:ind w:left="789"/>
        <w:spacing w:before="98" w:line="223" w:lineRule="auto"/>
        <w:rPr>
          <w:rFonts w:ascii="KaiTi" w:hAnsi="KaiTi" w:eastAsia="KaiTi" w:cs="KaiTi"/>
          <w:sz w:val="30"/>
          <w:szCs w:val="30"/>
        </w:rPr>
      </w:pPr>
      <w:r>
        <w:rPr>
          <w:rFonts w:ascii="KaiTi" w:hAnsi="KaiTi" w:eastAsia="KaiTi" w:cs="KaiTi"/>
          <w:sz w:val="30"/>
          <w:szCs w:val="30"/>
          <w:b/>
          <w:bCs/>
          <w:spacing w:val="25"/>
        </w:rPr>
        <w:t>(三)《使用有毒物品作业场所劳动保护条例》</w:t>
      </w:r>
    </w:p>
    <w:p>
      <w:pPr>
        <w:ind w:left="5" w:right="31" w:firstLine="644"/>
        <w:spacing w:before="333" w:line="278" w:lineRule="auto"/>
        <w:rPr>
          <w:rFonts w:ascii="SimSun" w:hAnsi="SimSun" w:eastAsia="SimSun" w:cs="SimSun"/>
          <w:sz w:val="30"/>
          <w:szCs w:val="30"/>
        </w:rPr>
      </w:pPr>
      <w:r>
        <w:rPr>
          <w:rFonts w:ascii="SimSun" w:hAnsi="SimSun" w:eastAsia="SimSun" w:cs="SimSun"/>
          <w:sz w:val="30"/>
          <w:szCs w:val="30"/>
          <w:b/>
          <w:bCs/>
          <w:spacing w:val="20"/>
        </w:rPr>
        <w:t>第四百九十六条用人单位未按照规定实行有害作业与无害作业分开、工作场所与生活场所分</w:t>
      </w:r>
      <w:r>
        <w:rPr>
          <w:rFonts w:ascii="SimSun" w:hAnsi="SimSun" w:eastAsia="SimSun" w:cs="SimSun"/>
          <w:sz w:val="30"/>
          <w:szCs w:val="30"/>
          <w:spacing w:val="20"/>
        </w:rPr>
        <w:t>开</w:t>
      </w:r>
      <w:r>
        <w:rPr>
          <w:rFonts w:ascii="SimSun" w:hAnsi="SimSun" w:eastAsia="SimSun" w:cs="SimSun"/>
          <w:sz w:val="30"/>
          <w:szCs w:val="30"/>
          <w:spacing w:val="5"/>
        </w:rPr>
        <w:t xml:space="preserve"> </w:t>
      </w:r>
      <w:r>
        <w:rPr>
          <w:rFonts w:ascii="SimSun" w:hAnsi="SimSun" w:eastAsia="SimSun" w:cs="SimSun"/>
          <w:sz w:val="30"/>
          <w:szCs w:val="30"/>
        </w:rPr>
        <w:t>的</w:t>
      </w:r>
    </w:p>
    <w:p>
      <w:pPr>
        <w:ind w:left="645"/>
        <w:spacing w:line="222" w:lineRule="auto"/>
        <w:rPr>
          <w:rFonts w:ascii="FangSong" w:hAnsi="FangSong" w:eastAsia="FangSong" w:cs="FangSong"/>
          <w:sz w:val="30"/>
          <w:szCs w:val="30"/>
        </w:rPr>
      </w:pPr>
      <w:r>
        <w:rPr>
          <w:rFonts w:ascii="FangSong" w:hAnsi="FangSong" w:eastAsia="FangSong" w:cs="FangSong"/>
          <w:sz w:val="30"/>
          <w:szCs w:val="30"/>
          <w:spacing w:val="6"/>
        </w:rPr>
        <w:t>法律依据：</w:t>
      </w:r>
    </w:p>
    <w:p>
      <w:pPr>
        <w:ind w:left="5" w:firstLine="640"/>
        <w:spacing w:before="61" w:line="271" w:lineRule="auto"/>
        <w:jc w:val="both"/>
        <w:rPr>
          <w:rFonts w:ascii="FangSong" w:hAnsi="FangSong" w:eastAsia="FangSong" w:cs="FangSong"/>
          <w:sz w:val="30"/>
          <w:szCs w:val="30"/>
        </w:rPr>
      </w:pPr>
      <w:r>
        <w:rPr>
          <w:rFonts w:ascii="FangSong" w:hAnsi="FangSong" w:eastAsia="FangSong" w:cs="FangSong"/>
          <w:sz w:val="30"/>
          <w:szCs w:val="30"/>
          <w:spacing w:val="27"/>
        </w:rPr>
        <w:t>1.</w:t>
      </w:r>
      <w:r>
        <w:rPr>
          <w:rFonts w:ascii="FangSong" w:hAnsi="FangSong" w:eastAsia="FangSong" w:cs="FangSong"/>
          <w:sz w:val="30"/>
          <w:szCs w:val="30"/>
          <w:spacing w:val="27"/>
        </w:rPr>
        <w:t xml:space="preserve"> </w:t>
      </w:r>
      <w:r>
        <w:rPr>
          <w:rFonts w:ascii="FangSong" w:hAnsi="FangSong" w:eastAsia="FangSong" w:cs="FangSong"/>
          <w:sz w:val="30"/>
          <w:szCs w:val="30"/>
          <w:spacing w:val="27"/>
        </w:rPr>
        <w:t>《使用有毒物品作业场所劳动保护条例》第六十六条第(一)项、第(二)项</w:t>
      </w:r>
      <w:r>
        <w:rPr>
          <w:rFonts w:ascii="FangSong" w:hAnsi="FangSong" w:eastAsia="FangSong" w:cs="FangSong"/>
          <w:sz w:val="30"/>
          <w:szCs w:val="30"/>
          <w:spacing w:val="27"/>
        </w:rPr>
        <w:t xml:space="preserve">   </w:t>
      </w:r>
      <w:r>
        <w:rPr>
          <w:rFonts w:ascii="FangSong" w:hAnsi="FangSong" w:eastAsia="FangSong" w:cs="FangSong"/>
          <w:sz w:val="30"/>
          <w:szCs w:val="30"/>
          <w:spacing w:val="27"/>
        </w:rPr>
        <w:t>用人单位违</w:t>
      </w:r>
      <w:r>
        <w:rPr>
          <w:rFonts w:ascii="FangSong" w:hAnsi="FangSong" w:eastAsia="FangSong" w:cs="FangSong"/>
          <w:sz w:val="30"/>
          <w:szCs w:val="30"/>
          <w:spacing w:val="16"/>
        </w:rPr>
        <w:t xml:space="preserve"> </w:t>
      </w:r>
      <w:r>
        <w:rPr>
          <w:rFonts w:ascii="FangSong" w:hAnsi="FangSong" w:eastAsia="FangSong" w:cs="FangSong"/>
          <w:sz w:val="30"/>
          <w:szCs w:val="30"/>
          <w:spacing w:val="23"/>
        </w:rPr>
        <w:t>反本条例的规定，有下列情形之一的，由疾病预防控</w:t>
      </w:r>
      <w:r>
        <w:rPr>
          <w:rFonts w:ascii="FangSong" w:hAnsi="FangSong" w:eastAsia="FangSong" w:cs="FangSong"/>
          <w:sz w:val="30"/>
          <w:szCs w:val="30"/>
          <w:spacing w:val="22"/>
        </w:rPr>
        <w:t>制部门给予警告，责令限期改正，处5000元以</w:t>
      </w:r>
      <w:r>
        <w:rPr>
          <w:rFonts w:ascii="FangSong" w:hAnsi="FangSong" w:eastAsia="FangSong" w:cs="FangSong"/>
          <w:sz w:val="30"/>
          <w:szCs w:val="30"/>
        </w:rPr>
        <w:t xml:space="preserve"> </w:t>
      </w:r>
      <w:r>
        <w:rPr>
          <w:rFonts w:ascii="FangSong" w:hAnsi="FangSong" w:eastAsia="FangSong" w:cs="FangSong"/>
          <w:sz w:val="30"/>
          <w:szCs w:val="30"/>
          <w:spacing w:val="20"/>
        </w:rPr>
        <w:t>上2万元以下的罚款；逾期不改正的，责令停止使用有毒物品作业，或者提请有关人民政府按</w:t>
      </w:r>
      <w:r>
        <w:rPr>
          <w:rFonts w:ascii="FangSong" w:hAnsi="FangSong" w:eastAsia="FangSong" w:cs="FangSong"/>
          <w:sz w:val="30"/>
          <w:szCs w:val="30"/>
          <w:spacing w:val="19"/>
        </w:rPr>
        <w:t>照国务</w:t>
      </w:r>
      <w:r>
        <w:rPr>
          <w:rFonts w:ascii="FangSong" w:hAnsi="FangSong" w:eastAsia="FangSong" w:cs="FangSong"/>
          <w:sz w:val="30"/>
          <w:szCs w:val="30"/>
        </w:rPr>
        <w:t xml:space="preserve"> </w:t>
      </w:r>
      <w:r>
        <w:rPr>
          <w:rFonts w:ascii="FangSong" w:hAnsi="FangSong" w:eastAsia="FangSong" w:cs="FangSong"/>
          <w:sz w:val="30"/>
          <w:szCs w:val="30"/>
          <w:spacing w:val="17"/>
        </w:rPr>
        <w:t>院规定的权限予以关闭；造成严重职业中毒危害或者</w:t>
      </w:r>
      <w:r>
        <w:rPr>
          <w:rFonts w:ascii="FangSong" w:hAnsi="FangSong" w:eastAsia="FangSong" w:cs="FangSong"/>
          <w:sz w:val="30"/>
          <w:szCs w:val="30"/>
          <w:spacing w:val="16"/>
        </w:rPr>
        <w:t>导致职业中毒事故发生的，对负有责任的主管人</w:t>
      </w:r>
      <w:r>
        <w:rPr>
          <w:rFonts w:ascii="FangSong" w:hAnsi="FangSong" w:eastAsia="FangSong" w:cs="FangSong"/>
          <w:sz w:val="30"/>
          <w:szCs w:val="30"/>
        </w:rPr>
        <w:t xml:space="preserve"> </w:t>
      </w:r>
      <w:r>
        <w:rPr>
          <w:rFonts w:ascii="FangSong" w:hAnsi="FangSong" w:eastAsia="FangSong" w:cs="FangSong"/>
          <w:sz w:val="30"/>
          <w:szCs w:val="30"/>
          <w:spacing w:val="16"/>
        </w:rPr>
        <w:t>员和其他直接责任人员依照刑法关于重大劳动安全事故罪、危险物品肇事罪或者其他罪</w:t>
      </w:r>
      <w:r>
        <w:rPr>
          <w:rFonts w:ascii="FangSong" w:hAnsi="FangSong" w:eastAsia="FangSong" w:cs="FangSong"/>
          <w:sz w:val="30"/>
          <w:szCs w:val="30"/>
          <w:spacing w:val="15"/>
        </w:rPr>
        <w:t>的规定，依法</w:t>
      </w:r>
      <w:r>
        <w:rPr>
          <w:rFonts w:ascii="FangSong" w:hAnsi="FangSong" w:eastAsia="FangSong" w:cs="FangSong"/>
          <w:sz w:val="30"/>
          <w:szCs w:val="30"/>
        </w:rPr>
        <w:t xml:space="preserve"> </w:t>
      </w:r>
      <w:r>
        <w:rPr>
          <w:rFonts w:ascii="FangSong" w:hAnsi="FangSong" w:eastAsia="FangSong" w:cs="FangSong"/>
          <w:sz w:val="30"/>
          <w:szCs w:val="30"/>
          <w:spacing w:val="5"/>
        </w:rPr>
        <w:t>追究刑事责任：</w:t>
      </w:r>
    </w:p>
    <w:p>
      <w:pPr>
        <w:ind w:left="785"/>
        <w:spacing w:line="219" w:lineRule="auto"/>
        <w:rPr>
          <w:rFonts w:ascii="FangSong" w:hAnsi="FangSong" w:eastAsia="FangSong" w:cs="FangSong"/>
          <w:sz w:val="30"/>
          <w:szCs w:val="30"/>
        </w:rPr>
      </w:pPr>
      <w:r>
        <w:rPr>
          <w:rFonts w:ascii="FangSong" w:hAnsi="FangSong" w:eastAsia="FangSong" w:cs="FangSong"/>
          <w:sz w:val="30"/>
          <w:szCs w:val="30"/>
          <w:spacing w:val="22"/>
        </w:rPr>
        <w:t>(一)使用有毒物品作业场所未与生活场所分开或者在作业</w:t>
      </w:r>
      <w:r>
        <w:rPr>
          <w:rFonts w:ascii="FangSong" w:hAnsi="FangSong" w:eastAsia="FangSong" w:cs="FangSong"/>
          <w:sz w:val="30"/>
          <w:szCs w:val="30"/>
          <w:spacing w:val="21"/>
        </w:rPr>
        <w:t>场所住人的；</w:t>
      </w:r>
    </w:p>
    <w:p>
      <w:pPr>
        <w:ind w:left="785"/>
        <w:spacing w:before="95" w:line="220" w:lineRule="auto"/>
        <w:rPr>
          <w:rFonts w:ascii="FangSong" w:hAnsi="FangSong" w:eastAsia="FangSong" w:cs="FangSong"/>
          <w:sz w:val="30"/>
          <w:szCs w:val="30"/>
        </w:rPr>
      </w:pPr>
      <w:r>
        <w:rPr>
          <w:rFonts w:ascii="FangSong" w:hAnsi="FangSong" w:eastAsia="FangSong" w:cs="FangSong"/>
          <w:sz w:val="30"/>
          <w:szCs w:val="30"/>
          <w:spacing w:val="23"/>
        </w:rPr>
        <w:t>(二)未将有害作业与无害作业分开的；</w:t>
      </w:r>
    </w:p>
    <w:p>
      <w:pPr>
        <w:pStyle w:val="BodyText"/>
        <w:spacing w:line="298" w:lineRule="auto"/>
        <w:rPr/>
      </w:pPr>
      <w:r/>
    </w:p>
    <w:p>
      <w:pPr>
        <w:pStyle w:val="BodyText"/>
        <w:spacing w:line="299" w:lineRule="auto"/>
        <w:rPr/>
      </w:pPr>
      <w:r/>
    </w:p>
    <w:p>
      <w:pPr>
        <w:ind w:left="6354"/>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—599—</w:t>
      </w:r>
    </w:p>
    <w:p>
      <w:pPr>
        <w:spacing w:line="188" w:lineRule="auto"/>
        <w:sectPr>
          <w:footerReference w:type="default" r:id="rId24"/>
          <w:pgSz w:w="16830" w:h="11900"/>
          <w:pgMar w:top="1011" w:right="1461" w:bottom="400" w:left="1434" w:header="0" w:footer="0" w:gutter="0"/>
        </w:sectPr>
        <w:rPr>
          <w:rFonts w:ascii="Times New Roman" w:hAnsi="Times New Roman" w:eastAsia="Times New Roman" w:cs="Times New Roman"/>
          <w:sz w:val="37"/>
          <w:szCs w:val="37"/>
        </w:rPr>
      </w:pPr>
    </w:p>
    <w:p>
      <w:pPr>
        <w:pStyle w:val="BodyText"/>
        <w:spacing w:line="253" w:lineRule="auto"/>
        <w:rPr/>
      </w:pPr>
      <w:r/>
    </w:p>
    <w:p>
      <w:pPr>
        <w:pStyle w:val="BodyText"/>
        <w:spacing w:line="253" w:lineRule="auto"/>
        <w:rPr/>
      </w:pPr>
      <w:r/>
    </w:p>
    <w:p>
      <w:pPr>
        <w:pStyle w:val="BodyText"/>
        <w:spacing w:line="253" w:lineRule="auto"/>
        <w:rPr/>
      </w:pPr>
      <w:r/>
    </w:p>
    <w:p>
      <w:pPr>
        <w:ind w:left="25" w:right="155" w:firstLine="639"/>
        <w:spacing w:before="101" w:line="268" w:lineRule="auto"/>
        <w:rPr>
          <w:rFonts w:ascii="FangSong" w:hAnsi="FangSong" w:eastAsia="FangSong" w:cs="FangSong"/>
          <w:sz w:val="31"/>
          <w:szCs w:val="31"/>
        </w:rPr>
      </w:pPr>
      <w:bookmarkStart w:name="bookmark1158" w:id="534"/>
      <w:bookmarkEnd w:id="534"/>
      <w:r>
        <w:rPr>
          <w:rFonts w:ascii="FangSong" w:hAnsi="FangSong" w:eastAsia="FangSong" w:cs="FangSong"/>
          <w:sz w:val="31"/>
          <w:szCs w:val="31"/>
          <w:spacing w:val="12"/>
        </w:rPr>
        <w:t>2.</w:t>
      </w:r>
      <w:r>
        <w:rPr>
          <w:rFonts w:ascii="FangSong" w:hAnsi="FangSong" w:eastAsia="FangSong" w:cs="FangSong"/>
          <w:sz w:val="31"/>
          <w:szCs w:val="31"/>
          <w:spacing w:val="12"/>
        </w:rPr>
        <w:t xml:space="preserve"> </w:t>
      </w:r>
      <w:r>
        <w:rPr>
          <w:rFonts w:ascii="FangSong" w:hAnsi="FangSong" w:eastAsia="FangSong" w:cs="FangSong"/>
          <w:sz w:val="31"/>
          <w:szCs w:val="31"/>
          <w:spacing w:val="12"/>
        </w:rPr>
        <w:t>《工作场所职业卫生管理规定》第四十七条第(一)项</w:t>
      </w:r>
      <w:r>
        <w:rPr>
          <w:rFonts w:ascii="FangSong" w:hAnsi="FangSong" w:eastAsia="FangSong" w:cs="FangSong"/>
          <w:sz w:val="31"/>
          <w:szCs w:val="31"/>
          <w:spacing w:val="12"/>
        </w:rPr>
        <w:t xml:space="preserve">   </w:t>
      </w:r>
      <w:r>
        <w:rPr>
          <w:rFonts w:ascii="FangSong" w:hAnsi="FangSong" w:eastAsia="FangSong" w:cs="FangSong"/>
          <w:sz w:val="31"/>
          <w:szCs w:val="31"/>
          <w:spacing w:val="12"/>
        </w:rPr>
        <w:t>用人单位有下列情形之一的，</w:t>
      </w:r>
      <w:r>
        <w:rPr>
          <w:rFonts w:ascii="FangSong" w:hAnsi="FangSong" w:eastAsia="FangSong" w:cs="FangSong"/>
          <w:sz w:val="31"/>
          <w:szCs w:val="31"/>
          <w:spacing w:val="11"/>
        </w:rPr>
        <w:t>责令</w:t>
      </w:r>
      <w:r>
        <w:rPr>
          <w:rFonts w:ascii="FangSong" w:hAnsi="FangSong" w:eastAsia="FangSong" w:cs="FangSong"/>
          <w:sz w:val="31"/>
          <w:szCs w:val="31"/>
        </w:rPr>
        <w:t xml:space="preserve"> </w:t>
      </w:r>
      <w:r>
        <w:rPr>
          <w:rFonts w:ascii="FangSong" w:hAnsi="FangSong" w:eastAsia="FangSong" w:cs="FangSong"/>
          <w:sz w:val="31"/>
          <w:szCs w:val="31"/>
          <w:spacing w:val="7"/>
        </w:rPr>
        <w:t>限期改正，给予警告，可以并处五千元以上二万元以下的</w:t>
      </w:r>
      <w:r>
        <w:rPr>
          <w:rFonts w:ascii="FangSong" w:hAnsi="FangSong" w:eastAsia="FangSong" w:cs="FangSong"/>
          <w:sz w:val="31"/>
          <w:szCs w:val="31"/>
          <w:spacing w:val="6"/>
        </w:rPr>
        <w:t>罚款：</w:t>
      </w:r>
    </w:p>
    <w:p>
      <w:pPr>
        <w:ind w:left="794"/>
        <w:spacing w:line="220" w:lineRule="auto"/>
        <w:rPr>
          <w:rFonts w:ascii="FangSong" w:hAnsi="FangSong" w:eastAsia="FangSong" w:cs="FangSong"/>
          <w:sz w:val="31"/>
          <w:szCs w:val="31"/>
        </w:rPr>
      </w:pPr>
      <w:r>
        <w:rPr>
          <w:rFonts w:ascii="FangSong" w:hAnsi="FangSong" w:eastAsia="FangSong" w:cs="FangSong"/>
          <w:sz w:val="31"/>
          <w:szCs w:val="31"/>
          <w:spacing w:val="13"/>
        </w:rPr>
        <w:t>(一)未按照规定实行有害作业与无害作业分开、工</w:t>
      </w:r>
      <w:r>
        <w:rPr>
          <w:rFonts w:ascii="FangSong" w:hAnsi="FangSong" w:eastAsia="FangSong" w:cs="FangSong"/>
          <w:sz w:val="31"/>
          <w:szCs w:val="31"/>
          <w:spacing w:val="12"/>
        </w:rPr>
        <w:t>作场所与生活场所分开的；</w:t>
      </w: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6419"/>
        <w:spacing w:before="94" w:line="208"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5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94"/>
        <w:gridCol w:w="7584"/>
        <w:gridCol w:w="4581"/>
      </w:tblGrid>
      <w:tr>
        <w:trPr>
          <w:trHeight w:val="563" w:hRule="atLeast"/>
        </w:trPr>
        <w:tc>
          <w:tcPr>
            <w:tcW w:w="1394" w:type="dxa"/>
            <w:vAlign w:val="top"/>
          </w:tcPr>
          <w:p>
            <w:pPr>
              <w:pStyle w:val="TableText"/>
              <w:ind w:left="168"/>
              <w:spacing w:before="152" w:line="220" w:lineRule="auto"/>
              <w:rPr>
                <w:sz w:val="26"/>
                <w:szCs w:val="26"/>
              </w:rPr>
            </w:pPr>
            <w:r>
              <w:rPr>
                <w:sz w:val="26"/>
                <w:szCs w:val="26"/>
                <w:b/>
                <w:bCs/>
                <w:spacing w:val="-5"/>
              </w:rPr>
              <w:t>违法程度</w:t>
            </w:r>
          </w:p>
        </w:tc>
        <w:tc>
          <w:tcPr>
            <w:tcW w:w="7584" w:type="dxa"/>
            <w:vAlign w:val="top"/>
          </w:tcPr>
          <w:p>
            <w:pPr>
              <w:pStyle w:val="TableText"/>
              <w:ind w:left="3244"/>
              <w:spacing w:before="152" w:line="220" w:lineRule="auto"/>
              <w:rPr>
                <w:sz w:val="26"/>
                <w:szCs w:val="26"/>
              </w:rPr>
            </w:pPr>
            <w:r>
              <w:rPr>
                <w:sz w:val="26"/>
                <w:szCs w:val="26"/>
                <w:b/>
                <w:bCs/>
                <w:spacing w:val="-5"/>
              </w:rPr>
              <w:t>情节后果</w:t>
            </w:r>
          </w:p>
        </w:tc>
        <w:tc>
          <w:tcPr>
            <w:tcW w:w="4581" w:type="dxa"/>
            <w:vAlign w:val="top"/>
          </w:tcPr>
          <w:p>
            <w:pPr>
              <w:pStyle w:val="TableText"/>
              <w:ind w:left="1770"/>
              <w:spacing w:before="149" w:line="218" w:lineRule="auto"/>
              <w:rPr>
                <w:sz w:val="26"/>
                <w:szCs w:val="26"/>
              </w:rPr>
            </w:pPr>
            <w:r>
              <w:rPr>
                <w:sz w:val="26"/>
                <w:szCs w:val="26"/>
                <w:b/>
                <w:bCs/>
                <w:spacing w:val="-5"/>
              </w:rPr>
              <w:t>裁量幅度</w:t>
            </w:r>
          </w:p>
        </w:tc>
      </w:tr>
      <w:tr>
        <w:trPr>
          <w:trHeight w:val="668" w:hRule="atLeast"/>
        </w:trPr>
        <w:tc>
          <w:tcPr>
            <w:tcW w:w="1394" w:type="dxa"/>
            <w:vAlign w:val="top"/>
          </w:tcPr>
          <w:p>
            <w:pPr>
              <w:pStyle w:val="TableText"/>
              <w:ind w:left="428"/>
              <w:spacing w:before="300" w:line="221" w:lineRule="auto"/>
              <w:rPr>
                <w:sz w:val="26"/>
                <w:szCs w:val="26"/>
              </w:rPr>
            </w:pPr>
            <w:r>
              <w:rPr>
                <w:sz w:val="26"/>
                <w:szCs w:val="26"/>
                <w:b/>
                <w:bCs/>
                <w:spacing w:val="-10"/>
              </w:rPr>
              <w:t>一般</w:t>
            </w:r>
          </w:p>
        </w:tc>
        <w:tc>
          <w:tcPr>
            <w:tcW w:w="7584" w:type="dxa"/>
            <w:vAlign w:val="top"/>
          </w:tcPr>
          <w:p>
            <w:pPr>
              <w:pStyle w:val="TableText"/>
              <w:ind w:left="110"/>
              <w:spacing w:before="212" w:line="219" w:lineRule="auto"/>
              <w:rPr>
                <w:sz w:val="26"/>
                <w:szCs w:val="26"/>
              </w:rPr>
            </w:pPr>
            <w:r>
              <w:rPr>
                <w:sz w:val="26"/>
                <w:szCs w:val="26"/>
                <w:spacing w:val="1"/>
              </w:rPr>
              <w:t>未按照规定实行有害作业与无害作业分开的</w:t>
            </w:r>
          </w:p>
        </w:tc>
        <w:tc>
          <w:tcPr>
            <w:tcW w:w="4581" w:type="dxa"/>
            <w:vAlign w:val="top"/>
          </w:tcPr>
          <w:p>
            <w:pPr>
              <w:pStyle w:val="TableText"/>
              <w:ind w:left="116" w:right="1" w:hanging="110"/>
              <w:spacing w:before="69" w:line="209" w:lineRule="auto"/>
              <w:rPr>
                <w:sz w:val="26"/>
                <w:szCs w:val="26"/>
              </w:rPr>
            </w:pPr>
            <w:r>
              <w:rPr>
                <w:sz w:val="26"/>
                <w:szCs w:val="26"/>
              </w:rPr>
              <w:t>给予警告，责令限期改正，可以并处5千</w:t>
            </w:r>
            <w:r>
              <w:rPr>
                <w:sz w:val="26"/>
                <w:szCs w:val="26"/>
                <w:spacing w:val="11"/>
              </w:rPr>
              <w:t xml:space="preserve"> </w:t>
            </w:r>
            <w:r>
              <w:rPr>
                <w:sz w:val="26"/>
                <w:szCs w:val="26"/>
                <w:spacing w:val="1"/>
              </w:rPr>
              <w:t>元以上1万元以下的罚款</w:t>
            </w:r>
          </w:p>
        </w:tc>
      </w:tr>
      <w:tr>
        <w:trPr>
          <w:trHeight w:val="697" w:hRule="atLeast"/>
        </w:trPr>
        <w:tc>
          <w:tcPr>
            <w:tcW w:w="1394" w:type="dxa"/>
            <w:vAlign w:val="top"/>
          </w:tcPr>
          <w:p>
            <w:pPr>
              <w:pStyle w:val="TableText"/>
              <w:ind w:left="428"/>
              <w:spacing w:before="314" w:line="221" w:lineRule="auto"/>
              <w:rPr>
                <w:sz w:val="26"/>
                <w:szCs w:val="26"/>
              </w:rPr>
            </w:pPr>
            <w:r>
              <w:rPr>
                <w:sz w:val="26"/>
                <w:szCs w:val="26"/>
                <w:b/>
                <w:bCs/>
                <w:spacing w:val="-6"/>
              </w:rPr>
              <w:t>较重</w:t>
            </w:r>
          </w:p>
        </w:tc>
        <w:tc>
          <w:tcPr>
            <w:tcW w:w="7584" w:type="dxa"/>
            <w:vAlign w:val="top"/>
          </w:tcPr>
          <w:p>
            <w:pPr>
              <w:pStyle w:val="TableText"/>
              <w:ind w:left="110"/>
              <w:spacing w:before="224" w:line="219" w:lineRule="auto"/>
              <w:rPr>
                <w:sz w:val="26"/>
                <w:szCs w:val="26"/>
              </w:rPr>
            </w:pPr>
            <w:r>
              <w:rPr>
                <w:sz w:val="26"/>
                <w:szCs w:val="26"/>
                <w:spacing w:val="1"/>
              </w:rPr>
              <w:t>未按照规定实行工作场所与生活场所分开的</w:t>
            </w:r>
          </w:p>
        </w:tc>
        <w:tc>
          <w:tcPr>
            <w:tcW w:w="4581" w:type="dxa"/>
            <w:vAlign w:val="top"/>
          </w:tcPr>
          <w:p>
            <w:pPr>
              <w:pStyle w:val="TableText"/>
              <w:ind w:left="115" w:hanging="109"/>
              <w:spacing w:before="72" w:line="218" w:lineRule="auto"/>
              <w:rPr>
                <w:sz w:val="26"/>
                <w:szCs w:val="26"/>
              </w:rPr>
            </w:pPr>
            <w:r>
              <w:rPr>
                <w:sz w:val="26"/>
                <w:szCs w:val="26"/>
              </w:rPr>
              <w:t>给予警告，责令限期改正，并处1万元以</w:t>
            </w:r>
            <w:r>
              <w:rPr>
                <w:sz w:val="26"/>
                <w:szCs w:val="26"/>
                <w:spacing w:val="13"/>
              </w:rPr>
              <w:t xml:space="preserve"> </w:t>
            </w:r>
            <w:r>
              <w:rPr>
                <w:sz w:val="26"/>
                <w:szCs w:val="26"/>
              </w:rPr>
              <w:t>上1.5万元以下的罚款</w:t>
            </w:r>
          </w:p>
        </w:tc>
      </w:tr>
      <w:tr>
        <w:trPr>
          <w:trHeight w:val="672" w:hRule="atLeast"/>
        </w:trPr>
        <w:tc>
          <w:tcPr>
            <w:tcW w:w="1394" w:type="dxa"/>
            <w:vAlign w:val="top"/>
          </w:tcPr>
          <w:p>
            <w:pPr>
              <w:pStyle w:val="TableText"/>
              <w:ind w:left="428"/>
              <w:spacing w:before="304" w:line="220" w:lineRule="auto"/>
              <w:rPr>
                <w:sz w:val="26"/>
                <w:szCs w:val="26"/>
              </w:rPr>
            </w:pPr>
            <w:r>
              <w:rPr>
                <w:sz w:val="26"/>
                <w:szCs w:val="26"/>
                <w:b/>
                <w:bCs/>
                <w:spacing w:val="-6"/>
              </w:rPr>
              <w:t>严重</w:t>
            </w:r>
          </w:p>
        </w:tc>
        <w:tc>
          <w:tcPr>
            <w:tcW w:w="7584" w:type="dxa"/>
            <w:vAlign w:val="top"/>
          </w:tcPr>
          <w:p>
            <w:pPr>
              <w:pStyle w:val="TableText"/>
              <w:ind w:left="110"/>
              <w:spacing w:before="217" w:line="219" w:lineRule="auto"/>
              <w:rPr>
                <w:sz w:val="26"/>
                <w:szCs w:val="26"/>
              </w:rPr>
            </w:pPr>
            <w:r>
              <w:rPr>
                <w:sz w:val="26"/>
                <w:szCs w:val="26"/>
                <w:spacing w:val="1"/>
              </w:rPr>
              <w:t>有下列情形之一的：1.造成严重后果的；</w:t>
            </w:r>
            <w:r>
              <w:rPr>
                <w:sz w:val="26"/>
                <w:szCs w:val="26"/>
              </w:rPr>
              <w:t>2.拒不改正的</w:t>
            </w:r>
          </w:p>
        </w:tc>
        <w:tc>
          <w:tcPr>
            <w:tcW w:w="4581" w:type="dxa"/>
            <w:vAlign w:val="top"/>
          </w:tcPr>
          <w:p>
            <w:pPr>
              <w:pStyle w:val="TableText"/>
              <w:ind w:left="116" w:right="2" w:hanging="110"/>
              <w:spacing w:before="76" w:line="208" w:lineRule="auto"/>
              <w:rPr>
                <w:sz w:val="26"/>
                <w:szCs w:val="26"/>
              </w:rPr>
            </w:pPr>
            <w:r>
              <w:rPr>
                <w:sz w:val="26"/>
                <w:szCs w:val="26"/>
              </w:rPr>
              <w:t>给予警告，责令限期改正，并处1.5万元</w:t>
            </w:r>
            <w:r>
              <w:rPr>
                <w:sz w:val="26"/>
                <w:szCs w:val="26"/>
                <w:spacing w:val="10"/>
              </w:rPr>
              <w:t xml:space="preserve"> </w:t>
            </w:r>
            <w:r>
              <w:rPr>
                <w:sz w:val="26"/>
                <w:szCs w:val="26"/>
                <w:spacing w:val="1"/>
              </w:rPr>
              <w:t>以上2万元以下的罚款</w:t>
            </w:r>
          </w:p>
        </w:tc>
      </w:tr>
    </w:tbl>
    <w:p>
      <w:pPr>
        <w:pStyle w:val="BodyText"/>
        <w:spacing w:line="404" w:lineRule="auto"/>
        <w:rPr/>
      </w:pPr>
      <w:r/>
    </w:p>
    <w:p>
      <w:pPr>
        <w:ind w:left="669"/>
        <w:spacing w:before="100" w:line="220" w:lineRule="auto"/>
        <w:rPr>
          <w:rFonts w:ascii="FangSong" w:hAnsi="FangSong" w:eastAsia="FangSong" w:cs="FangSong"/>
          <w:sz w:val="31"/>
          <w:szCs w:val="31"/>
        </w:rPr>
      </w:pPr>
      <w:r>
        <w:rPr>
          <w:rFonts w:ascii="FangSong" w:hAnsi="FangSong" w:eastAsia="FangSong" w:cs="FangSong"/>
          <w:sz w:val="31"/>
          <w:szCs w:val="31"/>
          <w:b/>
          <w:bCs/>
          <w:spacing w:val="13"/>
        </w:rPr>
        <w:t>第四百九十七条高毒作业场所未与其他作业场所有效隔</w:t>
      </w:r>
      <w:r>
        <w:rPr>
          <w:rFonts w:ascii="FangSong" w:hAnsi="FangSong" w:eastAsia="FangSong" w:cs="FangSong"/>
          <w:sz w:val="31"/>
          <w:szCs w:val="31"/>
          <w:b/>
          <w:bCs/>
          <w:spacing w:val="12"/>
        </w:rPr>
        <w:t>离的</w:t>
      </w:r>
    </w:p>
    <w:p>
      <w:pPr>
        <w:ind w:left="664"/>
        <w:spacing w:before="128"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25" w:firstLine="614"/>
        <w:spacing w:before="72" w:line="276" w:lineRule="auto"/>
        <w:rPr>
          <w:rFonts w:ascii="FangSong" w:hAnsi="FangSong" w:eastAsia="FangSong" w:cs="FangSong"/>
          <w:sz w:val="31"/>
          <w:szCs w:val="31"/>
        </w:rPr>
      </w:pPr>
      <w:r>
        <w:rPr>
          <w:rFonts w:ascii="FangSong" w:hAnsi="FangSong" w:eastAsia="FangSong" w:cs="FangSong"/>
          <w:sz w:val="31"/>
          <w:szCs w:val="31"/>
          <w:spacing w:val="13"/>
        </w:rPr>
        <w:t>《使用有毒物品作业场所劳动保护条例》第六十六条第(三)项</w:t>
      </w:r>
      <w:r>
        <w:rPr>
          <w:rFonts w:ascii="FangSong" w:hAnsi="FangSong" w:eastAsia="FangSong" w:cs="FangSong"/>
          <w:sz w:val="31"/>
          <w:szCs w:val="31"/>
          <w:spacing w:val="13"/>
        </w:rPr>
        <w:t xml:space="preserve">   </w:t>
      </w:r>
      <w:r>
        <w:rPr>
          <w:rFonts w:ascii="FangSong" w:hAnsi="FangSong" w:eastAsia="FangSong" w:cs="FangSong"/>
          <w:sz w:val="31"/>
          <w:szCs w:val="31"/>
          <w:spacing w:val="13"/>
        </w:rPr>
        <w:t>用人单位</w:t>
      </w:r>
      <w:r>
        <w:rPr>
          <w:rFonts w:ascii="FangSong" w:hAnsi="FangSong" w:eastAsia="FangSong" w:cs="FangSong"/>
          <w:sz w:val="31"/>
          <w:szCs w:val="31"/>
          <w:spacing w:val="12"/>
        </w:rPr>
        <w:t>违反本条例的规定，</w:t>
      </w:r>
      <w:r>
        <w:rPr>
          <w:rFonts w:ascii="FangSong" w:hAnsi="FangSong" w:eastAsia="FangSong" w:cs="FangSong"/>
          <w:sz w:val="31"/>
          <w:szCs w:val="31"/>
        </w:rPr>
        <w:t xml:space="preserve"> </w:t>
      </w:r>
      <w:r>
        <w:rPr>
          <w:rFonts w:ascii="FangSong" w:hAnsi="FangSong" w:eastAsia="FangSong" w:cs="FangSong"/>
          <w:sz w:val="31"/>
          <w:szCs w:val="31"/>
          <w:spacing w:val="16"/>
        </w:rPr>
        <w:t>有下列情形之一的，由疾病预防控制部门给予警告，责令限期改正，处5000元以上2万元以下的罚</w:t>
      </w:r>
    </w:p>
    <w:p>
      <w:pPr>
        <w:pStyle w:val="BodyText"/>
        <w:spacing w:line="269" w:lineRule="auto"/>
        <w:rPr/>
      </w:pPr>
      <w:r/>
    </w:p>
    <w:p>
      <w:pPr>
        <w:pStyle w:val="BodyText"/>
        <w:spacing w:line="269" w:lineRule="auto"/>
        <w:rPr/>
      </w:pPr>
      <w:r/>
    </w:p>
    <w:p>
      <w:pPr>
        <w:pStyle w:val="BodyText"/>
        <w:spacing w:line="269" w:lineRule="auto"/>
        <w:rPr/>
      </w:pPr>
      <w:r/>
    </w:p>
    <w:p>
      <w:pPr>
        <w:ind w:left="6364"/>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—600—</w:t>
      </w:r>
    </w:p>
    <w:p>
      <w:pPr>
        <w:spacing w:line="188" w:lineRule="auto"/>
        <w:sectPr>
          <w:pgSz w:w="16830" w:h="11900"/>
          <w:pgMar w:top="1011" w:right="1335" w:bottom="400" w:left="1425" w:header="0" w:footer="0" w:gutter="0"/>
        </w:sectPr>
        <w:rPr>
          <w:rFonts w:ascii="Times New Roman" w:hAnsi="Times New Roman" w:eastAsia="Times New Roman" w:cs="Times New Roman"/>
          <w:sz w:val="37"/>
          <w:szCs w:val="37"/>
        </w:rPr>
      </w:pPr>
    </w:p>
    <w:p>
      <w:pPr>
        <w:pStyle w:val="BodyText"/>
        <w:spacing w:line="260" w:lineRule="auto"/>
        <w:rPr/>
      </w:pPr>
      <w:r/>
    </w:p>
    <w:p>
      <w:pPr>
        <w:pStyle w:val="BodyText"/>
        <w:spacing w:line="260" w:lineRule="auto"/>
        <w:rPr/>
      </w:pPr>
      <w:r/>
    </w:p>
    <w:p>
      <w:pPr>
        <w:pStyle w:val="BodyText"/>
        <w:spacing w:line="261" w:lineRule="auto"/>
        <w:rPr/>
      </w:pPr>
      <w:r/>
    </w:p>
    <w:p>
      <w:pPr>
        <w:ind w:left="14" w:right="55"/>
        <w:spacing w:before="97" w:line="271" w:lineRule="auto"/>
        <w:jc w:val="both"/>
        <w:rPr>
          <w:rFonts w:ascii="FangSong" w:hAnsi="FangSong" w:eastAsia="FangSong" w:cs="FangSong"/>
          <w:sz w:val="30"/>
          <w:szCs w:val="30"/>
        </w:rPr>
      </w:pPr>
      <w:bookmarkStart w:name="bookmark1159" w:id="535"/>
      <w:bookmarkEnd w:id="535"/>
      <w:r>
        <w:rPr>
          <w:rFonts w:ascii="FangSong" w:hAnsi="FangSong" w:eastAsia="FangSong" w:cs="FangSong"/>
          <w:sz w:val="30"/>
          <w:szCs w:val="30"/>
          <w:spacing w:val="17"/>
        </w:rPr>
        <w:t>款；逾期不改正的，责令停止使用有毒物品作业，或者提请有关人民政府按照国务院规定</w:t>
      </w:r>
      <w:r>
        <w:rPr>
          <w:rFonts w:ascii="FangSong" w:hAnsi="FangSong" w:eastAsia="FangSong" w:cs="FangSong"/>
          <w:sz w:val="30"/>
          <w:szCs w:val="30"/>
          <w:spacing w:val="16"/>
        </w:rPr>
        <w:t>的权限予以</w:t>
      </w:r>
      <w:r>
        <w:rPr>
          <w:rFonts w:ascii="FangSong" w:hAnsi="FangSong" w:eastAsia="FangSong" w:cs="FangSong"/>
          <w:sz w:val="30"/>
          <w:szCs w:val="30"/>
        </w:rPr>
        <w:t xml:space="preserve"> </w:t>
      </w:r>
      <w:r>
        <w:rPr>
          <w:rFonts w:ascii="FangSong" w:hAnsi="FangSong" w:eastAsia="FangSong" w:cs="FangSong"/>
          <w:sz w:val="30"/>
          <w:szCs w:val="30"/>
          <w:spacing w:val="17"/>
        </w:rPr>
        <w:t>关闭；造成严重职业中毒危害或者导致职业中毒事故发生的，对</w:t>
      </w:r>
      <w:r>
        <w:rPr>
          <w:rFonts w:ascii="FangSong" w:hAnsi="FangSong" w:eastAsia="FangSong" w:cs="FangSong"/>
          <w:sz w:val="30"/>
          <w:szCs w:val="30"/>
          <w:spacing w:val="16"/>
        </w:rPr>
        <w:t>负有责任的主管人员和其他直接责任</w:t>
      </w:r>
      <w:r>
        <w:rPr>
          <w:rFonts w:ascii="FangSong" w:hAnsi="FangSong" w:eastAsia="FangSong" w:cs="FangSong"/>
          <w:sz w:val="30"/>
          <w:szCs w:val="30"/>
        </w:rPr>
        <w:t xml:space="preserve"> </w:t>
      </w:r>
      <w:r>
        <w:rPr>
          <w:rFonts w:ascii="FangSong" w:hAnsi="FangSong" w:eastAsia="FangSong" w:cs="FangSong"/>
          <w:sz w:val="30"/>
          <w:szCs w:val="30"/>
          <w:spacing w:val="18"/>
        </w:rPr>
        <w:t>人员依照刑法关于重大劳动安全事故罪、危险物品肇事罪或者其他罪的规定，依法追究刑事责任：</w:t>
      </w:r>
    </w:p>
    <w:p>
      <w:pPr>
        <w:ind w:left="804"/>
        <w:spacing w:line="220" w:lineRule="auto"/>
        <w:rPr>
          <w:rFonts w:ascii="FangSong" w:hAnsi="FangSong" w:eastAsia="FangSong" w:cs="FangSong"/>
          <w:sz w:val="30"/>
          <w:szCs w:val="30"/>
        </w:rPr>
      </w:pPr>
      <w:r>
        <w:rPr>
          <w:rFonts w:ascii="FangSong" w:hAnsi="FangSong" w:eastAsia="FangSong" w:cs="FangSong"/>
          <w:sz w:val="30"/>
          <w:szCs w:val="30"/>
          <w:spacing w:val="23"/>
        </w:rPr>
        <w:t>(三)高毒作业场所未与其他作业场所有效隔离的；</w:t>
      </w:r>
    </w:p>
    <w:p>
      <w:pPr>
        <w:ind w:left="6418"/>
        <w:spacing w:before="271"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before="34"/>
        <w:rPr/>
      </w:pPr>
      <w:r/>
    </w:p>
    <w:p>
      <w:pPr>
        <w:spacing w:before="33"/>
        <w:rPr/>
      </w:pPr>
      <w:r/>
    </w:p>
    <w:tbl>
      <w:tblPr>
        <w:tblStyle w:val="TableNormal"/>
        <w:tblW w:w="134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5945"/>
        <w:gridCol w:w="6140"/>
      </w:tblGrid>
      <w:tr>
        <w:trPr>
          <w:trHeight w:val="583" w:hRule="atLeast"/>
        </w:trPr>
        <w:tc>
          <w:tcPr>
            <w:tcW w:w="1404" w:type="dxa"/>
            <w:vAlign w:val="top"/>
          </w:tcPr>
          <w:p>
            <w:pPr>
              <w:pStyle w:val="TableText"/>
              <w:ind w:left="218"/>
              <w:spacing w:before="172" w:line="220" w:lineRule="auto"/>
              <w:rPr/>
            </w:pPr>
            <w:r>
              <w:rPr>
                <w:b/>
                <w:bCs/>
                <w:spacing w:val="-5"/>
              </w:rPr>
              <w:t>违法程度</w:t>
            </w:r>
          </w:p>
        </w:tc>
        <w:tc>
          <w:tcPr>
            <w:tcW w:w="5945" w:type="dxa"/>
            <w:vAlign w:val="top"/>
          </w:tcPr>
          <w:p>
            <w:pPr>
              <w:pStyle w:val="TableText"/>
              <w:ind w:left="2404"/>
              <w:spacing w:before="172" w:line="220" w:lineRule="auto"/>
              <w:rPr/>
            </w:pPr>
            <w:r>
              <w:rPr>
                <w:b/>
                <w:bCs/>
                <w:spacing w:val="-5"/>
              </w:rPr>
              <w:t>情节后果</w:t>
            </w:r>
          </w:p>
        </w:tc>
        <w:tc>
          <w:tcPr>
            <w:tcW w:w="6140" w:type="dxa"/>
            <w:vAlign w:val="top"/>
          </w:tcPr>
          <w:p>
            <w:pPr>
              <w:pStyle w:val="TableText"/>
              <w:ind w:left="2589"/>
              <w:spacing w:before="169" w:line="218" w:lineRule="auto"/>
              <w:rPr/>
            </w:pPr>
            <w:r>
              <w:rPr>
                <w:b/>
                <w:bCs/>
                <w:spacing w:val="-5"/>
              </w:rPr>
              <w:t>裁量幅度</w:t>
            </w:r>
          </w:p>
        </w:tc>
      </w:tr>
      <w:tr>
        <w:trPr>
          <w:trHeight w:val="667" w:hRule="atLeast"/>
        </w:trPr>
        <w:tc>
          <w:tcPr>
            <w:tcW w:w="1404" w:type="dxa"/>
            <w:vAlign w:val="top"/>
          </w:tcPr>
          <w:p>
            <w:pPr>
              <w:pStyle w:val="TableText"/>
              <w:ind w:left="458"/>
              <w:spacing w:before="299" w:line="221" w:lineRule="auto"/>
              <w:rPr/>
            </w:pPr>
            <w:r>
              <w:rPr>
                <w:b/>
                <w:bCs/>
                <w:spacing w:val="-10"/>
              </w:rPr>
              <w:t>一般</w:t>
            </w:r>
          </w:p>
        </w:tc>
        <w:tc>
          <w:tcPr>
            <w:tcW w:w="5945" w:type="dxa"/>
            <w:vAlign w:val="top"/>
          </w:tcPr>
          <w:p>
            <w:pPr>
              <w:pStyle w:val="TableText"/>
              <w:ind w:left="110"/>
              <w:spacing w:before="62" w:line="219" w:lineRule="auto"/>
              <w:rPr/>
            </w:pPr>
            <w:r>
              <w:rPr/>
              <w:t>高毒作业场所未与其他作业场所有效隔离，有两处以下</w:t>
            </w:r>
          </w:p>
          <w:p>
            <w:pPr>
              <w:pStyle w:val="TableText"/>
              <w:ind w:left="71"/>
              <w:spacing w:before="48" w:line="201" w:lineRule="auto"/>
              <w:rPr/>
            </w:pPr>
            <w:r>
              <w:rPr>
                <w:color w:val="404050"/>
              </w:rPr>
              <w:t>的</w:t>
            </w:r>
          </w:p>
        </w:tc>
        <w:tc>
          <w:tcPr>
            <w:tcW w:w="6140" w:type="dxa"/>
            <w:vAlign w:val="top"/>
          </w:tcPr>
          <w:p>
            <w:pPr>
              <w:pStyle w:val="TableText"/>
              <w:ind w:left="136" w:right="233" w:firstLine="109"/>
              <w:spacing w:before="59" w:line="230" w:lineRule="auto"/>
              <w:rPr/>
            </w:pPr>
            <w:r>
              <w:rPr/>
              <w:t>给予警告，责令限期改正，可以并处5000元以上1万元</w:t>
            </w:r>
            <w:r>
              <w:rPr>
                <w:spacing w:val="9"/>
              </w:rPr>
              <w:t xml:space="preserve"> </w:t>
            </w:r>
            <w:r>
              <w:rPr>
                <w:spacing w:val="2"/>
              </w:rPr>
              <w:t>以下的罚款</w:t>
            </w:r>
          </w:p>
        </w:tc>
      </w:tr>
      <w:tr>
        <w:trPr>
          <w:trHeight w:val="698" w:hRule="atLeast"/>
        </w:trPr>
        <w:tc>
          <w:tcPr>
            <w:tcW w:w="1404" w:type="dxa"/>
            <w:vAlign w:val="top"/>
          </w:tcPr>
          <w:p>
            <w:pPr>
              <w:spacing w:line="245" w:lineRule="auto"/>
              <w:rPr>
                <w:rFonts w:ascii="Arial"/>
                <w:sz w:val="21"/>
              </w:rPr>
            </w:pPr>
            <w:r/>
          </w:p>
          <w:p>
            <w:pPr>
              <w:pStyle w:val="TableText"/>
              <w:ind w:left="458"/>
              <w:spacing w:before="78" w:line="221" w:lineRule="auto"/>
              <w:rPr/>
            </w:pPr>
            <w:r>
              <w:rPr>
                <w:b/>
                <w:bCs/>
                <w:spacing w:val="-5"/>
              </w:rPr>
              <w:t>较重</w:t>
            </w:r>
          </w:p>
        </w:tc>
        <w:tc>
          <w:tcPr>
            <w:tcW w:w="5945" w:type="dxa"/>
            <w:vAlign w:val="top"/>
          </w:tcPr>
          <w:p>
            <w:pPr>
              <w:pStyle w:val="TableText"/>
              <w:ind w:left="71"/>
              <w:spacing w:before="65" w:line="219" w:lineRule="auto"/>
              <w:rPr/>
            </w:pPr>
            <w:r>
              <w:rPr/>
              <w:t>高毒作业场所未与其他作业场所有效隔离，有三处以上</w:t>
            </w:r>
          </w:p>
          <w:p>
            <w:pPr>
              <w:pStyle w:val="TableText"/>
              <w:ind w:left="71"/>
              <w:spacing w:before="69" w:line="207" w:lineRule="auto"/>
              <w:rPr/>
            </w:pPr>
            <w:r>
              <w:rPr>
                <w:color w:val="404050"/>
              </w:rPr>
              <w:t>的</w:t>
            </w:r>
          </w:p>
        </w:tc>
        <w:tc>
          <w:tcPr>
            <w:tcW w:w="6140" w:type="dxa"/>
            <w:vAlign w:val="top"/>
          </w:tcPr>
          <w:p>
            <w:pPr>
              <w:pStyle w:val="TableText"/>
              <w:ind w:left="186"/>
              <w:spacing w:before="72" w:line="218" w:lineRule="auto"/>
              <w:rPr/>
            </w:pPr>
            <w:r>
              <w:rPr/>
              <w:t>给予警告，责令限期改正，并处1万元以上1.5万元以下</w:t>
            </w:r>
          </w:p>
          <w:p>
            <w:pPr>
              <w:pStyle w:val="TableText"/>
              <w:ind w:left="125"/>
              <w:spacing w:before="60" w:line="209" w:lineRule="auto"/>
              <w:rPr/>
            </w:pPr>
            <w:r>
              <w:rPr>
                <w:color w:val="505050"/>
                <w:spacing w:val="3"/>
              </w:rPr>
              <w:t>的罚款</w:t>
            </w:r>
          </w:p>
        </w:tc>
      </w:tr>
      <w:tr>
        <w:trPr>
          <w:trHeight w:val="1001" w:hRule="atLeast"/>
        </w:trPr>
        <w:tc>
          <w:tcPr>
            <w:tcW w:w="1404" w:type="dxa"/>
            <w:vAlign w:val="top"/>
          </w:tcPr>
          <w:p>
            <w:pPr>
              <w:spacing w:line="403" w:lineRule="auto"/>
              <w:rPr>
                <w:rFonts w:ascii="Arial"/>
                <w:sz w:val="21"/>
              </w:rPr>
            </w:pPr>
            <w:r/>
          </w:p>
          <w:p>
            <w:pPr>
              <w:pStyle w:val="TableText"/>
              <w:ind w:left="458"/>
              <w:spacing w:before="78" w:line="220" w:lineRule="auto"/>
              <w:rPr/>
            </w:pPr>
            <w:r>
              <w:rPr>
                <w:b/>
                <w:bCs/>
                <w:spacing w:val="-6"/>
              </w:rPr>
              <w:t>严重</w:t>
            </w:r>
          </w:p>
        </w:tc>
        <w:tc>
          <w:tcPr>
            <w:tcW w:w="5945" w:type="dxa"/>
            <w:vAlign w:val="top"/>
          </w:tcPr>
          <w:p>
            <w:pPr>
              <w:pStyle w:val="TableText"/>
              <w:ind w:left="71"/>
              <w:spacing w:before="77" w:line="220" w:lineRule="auto"/>
              <w:rPr/>
            </w:pPr>
            <w:r>
              <w:rPr>
                <w:spacing w:val="2"/>
              </w:rPr>
              <w:t>有下列情形之一的：</w:t>
            </w:r>
          </w:p>
          <w:p>
            <w:pPr>
              <w:pStyle w:val="TableText"/>
              <w:ind w:left="71"/>
              <w:spacing w:before="23" w:line="219" w:lineRule="auto"/>
              <w:rPr/>
            </w:pPr>
            <w:r>
              <w:rPr>
                <w:spacing w:val="2"/>
              </w:rPr>
              <w:t>A、逾期不改正的</w:t>
            </w:r>
          </w:p>
          <w:p>
            <w:pPr>
              <w:pStyle w:val="TableText"/>
              <w:ind w:left="71"/>
              <w:spacing w:before="55" w:line="203" w:lineRule="auto"/>
              <w:rPr/>
            </w:pPr>
            <w:r>
              <w:rPr>
                <w:spacing w:val="1"/>
              </w:rPr>
              <w:t>B、造成职业中毒等严重后果的</w:t>
            </w:r>
          </w:p>
        </w:tc>
        <w:tc>
          <w:tcPr>
            <w:tcW w:w="6140" w:type="dxa"/>
            <w:vAlign w:val="top"/>
          </w:tcPr>
          <w:p>
            <w:pPr>
              <w:pStyle w:val="TableText"/>
              <w:ind w:left="306"/>
              <w:spacing w:before="74" w:line="218" w:lineRule="auto"/>
              <w:rPr/>
            </w:pPr>
            <w:r>
              <w:rPr>
                <w:spacing w:val="1"/>
              </w:rPr>
              <w:t>给予警告，责令限期改正，并处1.5万元以</w:t>
            </w:r>
            <w:r>
              <w:rPr/>
              <w:t>上2万元以</w:t>
            </w:r>
          </w:p>
          <w:p>
            <w:pPr>
              <w:pStyle w:val="TableText"/>
              <w:ind w:left="125" w:right="53" w:hanging="59"/>
              <w:spacing w:before="37" w:line="229" w:lineRule="auto"/>
              <w:rPr/>
            </w:pPr>
            <w:r>
              <w:rPr/>
              <w:t>下的罚款；责令停止使用有毒物品作业，或者提请有关人</w:t>
            </w:r>
            <w:r>
              <w:rPr>
                <w:spacing w:val="9"/>
              </w:rPr>
              <w:t xml:space="preserve"> </w:t>
            </w:r>
            <w:r>
              <w:rPr>
                <w:spacing w:val="1"/>
              </w:rPr>
              <w:t>民政府按照国务院规定的权限予以关闭</w:t>
            </w:r>
          </w:p>
        </w:tc>
      </w:tr>
    </w:tbl>
    <w:p>
      <w:pPr>
        <w:pStyle w:val="BodyText"/>
        <w:spacing w:line="456" w:lineRule="auto"/>
        <w:rPr/>
      </w:pPr>
      <w:r/>
    </w:p>
    <w:p>
      <w:pPr>
        <w:ind w:left="19" w:right="43" w:firstLine="660"/>
        <w:spacing w:before="98" w:line="264" w:lineRule="auto"/>
        <w:rPr>
          <w:rFonts w:ascii="FangSong" w:hAnsi="FangSong" w:eastAsia="FangSong" w:cs="FangSong"/>
          <w:sz w:val="30"/>
          <w:szCs w:val="30"/>
        </w:rPr>
      </w:pPr>
      <w:r>
        <w:rPr>
          <w:rFonts w:ascii="FangSong" w:hAnsi="FangSong" w:eastAsia="FangSong" w:cs="FangSong"/>
          <w:sz w:val="30"/>
          <w:szCs w:val="30"/>
          <w:b/>
          <w:bCs/>
          <w:spacing w:val="21"/>
        </w:rPr>
        <w:t>第四百九十八条用人单位未为从事使用高毒物品作业的劳动者设置淋浴间、更衣室或者未设置</w:t>
      </w:r>
      <w:r>
        <w:rPr>
          <w:rFonts w:ascii="FangSong" w:hAnsi="FangSong" w:eastAsia="FangSong" w:cs="FangSong"/>
          <w:sz w:val="30"/>
          <w:szCs w:val="30"/>
        </w:rPr>
        <w:t xml:space="preserve"> </w:t>
      </w:r>
      <w:r>
        <w:rPr>
          <w:rFonts w:ascii="FangSong" w:hAnsi="FangSong" w:eastAsia="FangSong" w:cs="FangSong"/>
          <w:sz w:val="30"/>
          <w:szCs w:val="30"/>
          <w:b/>
          <w:bCs/>
          <w:spacing w:val="16"/>
        </w:rPr>
        <w:t>清洗、存放和处理工作服、工作鞋帽等物品的专用间，或者不能正常使</w:t>
      </w:r>
      <w:r>
        <w:rPr>
          <w:rFonts w:ascii="FangSong" w:hAnsi="FangSong" w:eastAsia="FangSong" w:cs="FangSong"/>
          <w:sz w:val="30"/>
          <w:szCs w:val="30"/>
          <w:b/>
          <w:bCs/>
          <w:spacing w:val="15"/>
        </w:rPr>
        <w:t>用的</w:t>
      </w:r>
    </w:p>
    <w:p>
      <w:pPr>
        <w:ind w:left="664"/>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spacing w:before="85" w:line="220" w:lineRule="auto"/>
        <w:jc w:val="right"/>
        <w:rPr>
          <w:rFonts w:ascii="FangSong" w:hAnsi="FangSong" w:eastAsia="FangSong" w:cs="FangSong"/>
          <w:sz w:val="30"/>
          <w:szCs w:val="30"/>
        </w:rPr>
      </w:pPr>
      <w:r>
        <w:rPr>
          <w:rFonts w:ascii="FangSong" w:hAnsi="FangSong" w:eastAsia="FangSong" w:cs="FangSong"/>
          <w:sz w:val="30"/>
          <w:szCs w:val="30"/>
          <w:spacing w:val="25"/>
        </w:rPr>
        <w:t>《使用有毒物品作业场所劳动保护条例》第六十八条第(二)项</w:t>
      </w:r>
      <w:r>
        <w:rPr>
          <w:rFonts w:ascii="FangSong" w:hAnsi="FangSong" w:eastAsia="FangSong" w:cs="FangSong"/>
          <w:sz w:val="30"/>
          <w:szCs w:val="30"/>
          <w:spacing w:val="25"/>
        </w:rPr>
        <w:t xml:space="preserve">  </w:t>
      </w:r>
      <w:r>
        <w:rPr>
          <w:rFonts w:ascii="FangSong" w:hAnsi="FangSong" w:eastAsia="FangSong" w:cs="FangSong"/>
          <w:sz w:val="30"/>
          <w:szCs w:val="30"/>
          <w:spacing w:val="25"/>
        </w:rPr>
        <w:t>用人单位违反</w:t>
      </w:r>
      <w:r>
        <w:rPr>
          <w:rFonts w:ascii="FangSong" w:hAnsi="FangSong" w:eastAsia="FangSong" w:cs="FangSong"/>
          <w:sz w:val="30"/>
          <w:szCs w:val="30"/>
          <w:spacing w:val="24"/>
        </w:rPr>
        <w:t>本条例的规定，</w:t>
      </w:r>
    </w:p>
    <w:p>
      <w:pPr>
        <w:spacing w:line="220" w:lineRule="auto"/>
        <w:sectPr>
          <w:footerReference w:type="default" r:id="rId530"/>
          <w:pgSz w:w="16830" w:h="11900"/>
          <w:pgMar w:top="1011" w:right="1389" w:bottom="1117" w:left="1425" w:header="0" w:footer="784" w:gutter="0"/>
        </w:sectPr>
        <w:rPr>
          <w:rFonts w:ascii="FangSong" w:hAnsi="FangSong" w:eastAsia="FangSong" w:cs="FangSong"/>
          <w:sz w:val="30"/>
          <w:szCs w:val="30"/>
        </w:rPr>
      </w:pPr>
    </w:p>
    <w:p>
      <w:pPr>
        <w:pStyle w:val="BodyText"/>
        <w:spacing w:line="260" w:lineRule="auto"/>
        <w:rPr/>
      </w:pPr>
      <w:r/>
    </w:p>
    <w:p>
      <w:pPr>
        <w:pStyle w:val="BodyText"/>
        <w:spacing w:line="260" w:lineRule="auto"/>
        <w:rPr/>
      </w:pPr>
      <w:r/>
    </w:p>
    <w:p>
      <w:pPr>
        <w:pStyle w:val="BodyText"/>
        <w:spacing w:line="261" w:lineRule="auto"/>
        <w:rPr/>
      </w:pPr>
      <w:r/>
    </w:p>
    <w:p>
      <w:pPr>
        <w:ind w:left="15" w:right="125"/>
        <w:spacing w:before="98" w:line="279" w:lineRule="auto"/>
        <w:jc w:val="both"/>
        <w:rPr>
          <w:rFonts w:ascii="FangSong" w:hAnsi="FangSong" w:eastAsia="FangSong" w:cs="FangSong"/>
          <w:sz w:val="26"/>
          <w:szCs w:val="26"/>
        </w:rPr>
      </w:pPr>
      <w:bookmarkStart w:name="bookmark1160" w:id="536"/>
      <w:bookmarkEnd w:id="536"/>
      <w:r>
        <w:rPr>
          <w:rFonts w:ascii="FangSong" w:hAnsi="FangSong" w:eastAsia="FangSong" w:cs="FangSong"/>
          <w:sz w:val="30"/>
          <w:szCs w:val="30"/>
          <w:spacing w:val="26"/>
        </w:rPr>
        <w:t>有下列行为之一的，由疾病预防控制部门给予警告，责令限期</w:t>
      </w:r>
      <w:r>
        <w:rPr>
          <w:rFonts w:ascii="FangSong" w:hAnsi="FangSong" w:eastAsia="FangSong" w:cs="FangSong"/>
          <w:sz w:val="30"/>
          <w:szCs w:val="30"/>
          <w:spacing w:val="25"/>
        </w:rPr>
        <w:t>改正，处5000元以上2万元以下的罚</w:t>
      </w:r>
      <w:r>
        <w:rPr>
          <w:rFonts w:ascii="FangSong" w:hAnsi="FangSong" w:eastAsia="FangSong" w:cs="FangSong"/>
          <w:sz w:val="30"/>
          <w:szCs w:val="30"/>
        </w:rPr>
        <w:t xml:space="preserve"> </w:t>
      </w:r>
      <w:r>
        <w:rPr>
          <w:rFonts w:ascii="FangSong" w:hAnsi="FangSong" w:eastAsia="FangSong" w:cs="FangSong"/>
          <w:sz w:val="30"/>
          <w:szCs w:val="30"/>
          <w:spacing w:val="16"/>
        </w:rPr>
        <w:t>款；逾期不改正的，责令停止使用有毒物品作业，或者提请有关人民政府按照国务院规</w:t>
      </w:r>
      <w:r>
        <w:rPr>
          <w:rFonts w:ascii="FangSong" w:hAnsi="FangSong" w:eastAsia="FangSong" w:cs="FangSong"/>
          <w:sz w:val="30"/>
          <w:szCs w:val="30"/>
          <w:spacing w:val="15"/>
        </w:rPr>
        <w:t>定的权限予以</w:t>
      </w:r>
      <w:r>
        <w:rPr>
          <w:rFonts w:ascii="FangSong" w:hAnsi="FangSong" w:eastAsia="FangSong" w:cs="FangSong"/>
          <w:sz w:val="30"/>
          <w:szCs w:val="30"/>
        </w:rPr>
        <w:t xml:space="preserve"> </w:t>
      </w:r>
      <w:r>
        <w:rPr>
          <w:rFonts w:ascii="FangSong" w:hAnsi="FangSong" w:eastAsia="FangSong" w:cs="FangSong"/>
          <w:sz w:val="26"/>
          <w:szCs w:val="26"/>
          <w:spacing w:val="-19"/>
        </w:rPr>
        <w:t>关</w:t>
      </w:r>
      <w:r>
        <w:rPr>
          <w:rFonts w:ascii="FangSong" w:hAnsi="FangSong" w:eastAsia="FangSong" w:cs="FangSong"/>
          <w:sz w:val="26"/>
          <w:szCs w:val="26"/>
          <w:spacing w:val="-19"/>
        </w:rPr>
        <w:t xml:space="preserve"> </w:t>
      </w:r>
      <w:r>
        <w:rPr>
          <w:rFonts w:ascii="FangSong" w:hAnsi="FangSong" w:eastAsia="FangSong" w:cs="FangSong"/>
          <w:sz w:val="26"/>
          <w:szCs w:val="26"/>
          <w:spacing w:val="-19"/>
        </w:rPr>
        <w:t>闭</w:t>
      </w:r>
      <w:r>
        <w:rPr>
          <w:rFonts w:ascii="FangSong" w:hAnsi="FangSong" w:eastAsia="FangSong" w:cs="FangSong"/>
          <w:sz w:val="26"/>
          <w:szCs w:val="26"/>
          <w:spacing w:val="-48"/>
        </w:rPr>
        <w:t xml:space="preserve"> </w:t>
      </w:r>
      <w:r>
        <w:rPr>
          <w:rFonts w:ascii="FangSong" w:hAnsi="FangSong" w:eastAsia="FangSong" w:cs="FangSong"/>
          <w:sz w:val="26"/>
          <w:szCs w:val="26"/>
          <w:spacing w:val="-19"/>
        </w:rPr>
        <w:t>：</w:t>
      </w:r>
    </w:p>
    <w:p>
      <w:pPr>
        <w:ind w:left="15" w:right="99" w:firstLine="779"/>
        <w:spacing w:before="2" w:line="289" w:lineRule="auto"/>
        <w:rPr>
          <w:rFonts w:ascii="FangSong" w:hAnsi="FangSong" w:eastAsia="FangSong" w:cs="FangSong"/>
          <w:sz w:val="30"/>
          <w:szCs w:val="30"/>
        </w:rPr>
      </w:pPr>
      <w:r>
        <w:rPr>
          <w:rFonts w:ascii="FangSong" w:hAnsi="FangSong" w:eastAsia="FangSong" w:cs="FangSong"/>
          <w:sz w:val="30"/>
          <w:szCs w:val="30"/>
          <w:spacing w:val="20"/>
        </w:rPr>
        <w:t>(二)未为从事使用高毒物品作业的劳动者设置淋浴间、更衣室或者未设置清洗、存放和处理工</w:t>
      </w:r>
      <w:r>
        <w:rPr>
          <w:rFonts w:ascii="FangSong" w:hAnsi="FangSong" w:eastAsia="FangSong" w:cs="FangSong"/>
          <w:sz w:val="30"/>
          <w:szCs w:val="30"/>
          <w:spacing w:val="9"/>
        </w:rPr>
        <w:t xml:space="preserve"> </w:t>
      </w:r>
      <w:r>
        <w:rPr>
          <w:rFonts w:ascii="FangSong" w:hAnsi="FangSong" w:eastAsia="FangSong" w:cs="FangSong"/>
          <w:sz w:val="30"/>
          <w:szCs w:val="30"/>
          <w:spacing w:val="16"/>
        </w:rPr>
        <w:t>作服、工作鞋帽等物品的专用间，或者不能正常使用</w:t>
      </w:r>
      <w:r>
        <w:rPr>
          <w:rFonts w:ascii="FangSong" w:hAnsi="FangSong" w:eastAsia="FangSong" w:cs="FangSong"/>
          <w:sz w:val="30"/>
          <w:szCs w:val="30"/>
          <w:spacing w:val="15"/>
        </w:rPr>
        <w:t>的；</w:t>
      </w:r>
    </w:p>
    <w:p>
      <w:pPr>
        <w:ind w:left="6419"/>
        <w:spacing w:before="111" w:line="208"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4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74"/>
        <w:gridCol w:w="8014"/>
        <w:gridCol w:w="4052"/>
      </w:tblGrid>
      <w:tr>
        <w:trPr>
          <w:trHeight w:val="533" w:hRule="atLeast"/>
        </w:trPr>
        <w:tc>
          <w:tcPr>
            <w:tcW w:w="1374" w:type="dxa"/>
            <w:vAlign w:val="top"/>
          </w:tcPr>
          <w:p>
            <w:pPr>
              <w:pStyle w:val="TableText"/>
              <w:ind w:left="198"/>
              <w:spacing w:before="152" w:line="220" w:lineRule="auto"/>
              <w:rPr/>
            </w:pPr>
            <w:r>
              <w:rPr>
                <w:b/>
                <w:bCs/>
                <w:spacing w:val="-5"/>
              </w:rPr>
              <w:t>违法程度</w:t>
            </w:r>
          </w:p>
        </w:tc>
        <w:tc>
          <w:tcPr>
            <w:tcW w:w="8014" w:type="dxa"/>
            <w:vAlign w:val="top"/>
          </w:tcPr>
          <w:p>
            <w:pPr>
              <w:pStyle w:val="TableText"/>
              <w:ind w:left="3444"/>
              <w:spacing w:before="152" w:line="220" w:lineRule="auto"/>
              <w:rPr/>
            </w:pPr>
            <w:r>
              <w:rPr>
                <w:b/>
                <w:bCs/>
                <w:spacing w:val="-11"/>
              </w:rPr>
              <w:t>情</w:t>
            </w:r>
            <w:r>
              <w:rPr>
                <w:spacing w:val="-37"/>
              </w:rPr>
              <w:t xml:space="preserve"> </w:t>
            </w:r>
            <w:r>
              <w:rPr>
                <w:b/>
                <w:bCs/>
                <w:spacing w:val="-11"/>
              </w:rPr>
              <w:t>节</w:t>
            </w:r>
            <w:r>
              <w:rPr>
                <w:spacing w:val="-36"/>
              </w:rPr>
              <w:t xml:space="preserve"> </w:t>
            </w:r>
            <w:r>
              <w:rPr>
                <w:b/>
                <w:bCs/>
                <w:spacing w:val="-11"/>
              </w:rPr>
              <w:t>后</w:t>
            </w:r>
            <w:r>
              <w:rPr>
                <w:spacing w:val="-33"/>
              </w:rPr>
              <w:t xml:space="preserve"> </w:t>
            </w:r>
            <w:r>
              <w:rPr>
                <w:b/>
                <w:bCs/>
                <w:spacing w:val="-11"/>
              </w:rPr>
              <w:t>果</w:t>
            </w:r>
          </w:p>
        </w:tc>
        <w:tc>
          <w:tcPr>
            <w:tcW w:w="4052" w:type="dxa"/>
            <w:vAlign w:val="top"/>
          </w:tcPr>
          <w:p>
            <w:pPr>
              <w:pStyle w:val="TableText"/>
              <w:ind w:left="1440"/>
              <w:spacing w:before="149" w:line="218" w:lineRule="auto"/>
              <w:rPr/>
            </w:pPr>
            <w:r>
              <w:rPr>
                <w:b/>
                <w:bCs/>
                <w:spacing w:val="-5"/>
              </w:rPr>
              <w:t>裁量幅度</w:t>
            </w:r>
          </w:p>
        </w:tc>
      </w:tr>
      <w:tr>
        <w:trPr>
          <w:trHeight w:val="688" w:hRule="atLeast"/>
        </w:trPr>
        <w:tc>
          <w:tcPr>
            <w:tcW w:w="1374" w:type="dxa"/>
            <w:vAlign w:val="top"/>
          </w:tcPr>
          <w:p>
            <w:pPr>
              <w:rPr>
                <w:rFonts w:ascii="Arial"/>
                <w:sz w:val="21"/>
              </w:rPr>
            </w:pPr>
            <w:r/>
          </w:p>
          <w:p>
            <w:pPr>
              <w:pStyle w:val="TableText"/>
              <w:ind w:left="438"/>
              <w:spacing w:before="78" w:line="221" w:lineRule="auto"/>
              <w:rPr/>
            </w:pPr>
            <w:r>
              <w:rPr>
                <w:b/>
                <w:bCs/>
                <w:spacing w:val="-10"/>
              </w:rPr>
              <w:t>一般</w:t>
            </w:r>
          </w:p>
        </w:tc>
        <w:tc>
          <w:tcPr>
            <w:tcW w:w="8014" w:type="dxa"/>
            <w:vAlign w:val="top"/>
          </w:tcPr>
          <w:p>
            <w:pPr>
              <w:pStyle w:val="TableText"/>
              <w:ind w:left="101" w:right="193" w:firstLine="20"/>
              <w:spacing w:before="79" w:line="230" w:lineRule="auto"/>
              <w:rPr/>
            </w:pPr>
            <w:r>
              <w:rPr/>
              <w:t>为从事使用高毒物品作业的劳动者设置的淋浴间、更衣室或者清洗、存放</w:t>
            </w:r>
            <w:r>
              <w:rPr>
                <w:spacing w:val="8"/>
              </w:rPr>
              <w:t xml:space="preserve"> </w:t>
            </w:r>
            <w:r>
              <w:rPr/>
              <w:t>和处理工作服、工作鞋帽等物品的专用间不能正常使用的</w:t>
            </w:r>
          </w:p>
        </w:tc>
        <w:tc>
          <w:tcPr>
            <w:tcW w:w="4052" w:type="dxa"/>
            <w:vAlign w:val="top"/>
          </w:tcPr>
          <w:p>
            <w:pPr>
              <w:pStyle w:val="TableText"/>
              <w:ind w:left="116" w:right="302" w:firstLine="10"/>
              <w:spacing w:before="79" w:line="230" w:lineRule="auto"/>
              <w:rPr/>
            </w:pPr>
            <w:r>
              <w:rPr/>
              <w:t>给予警告，责令限期改正，处5000</w:t>
            </w:r>
            <w:r>
              <w:rPr>
                <w:spacing w:val="11"/>
              </w:rPr>
              <w:t xml:space="preserve"> </w:t>
            </w:r>
            <w:r>
              <w:rPr/>
              <w:t>元以上1万元以下的罚款</w:t>
            </w:r>
          </w:p>
        </w:tc>
      </w:tr>
      <w:tr>
        <w:trPr>
          <w:trHeight w:val="867" w:hRule="atLeast"/>
        </w:trPr>
        <w:tc>
          <w:tcPr>
            <w:tcW w:w="1374" w:type="dxa"/>
            <w:vAlign w:val="top"/>
          </w:tcPr>
          <w:p>
            <w:pPr>
              <w:spacing w:line="333" w:lineRule="auto"/>
              <w:rPr>
                <w:rFonts w:ascii="Arial"/>
                <w:sz w:val="21"/>
              </w:rPr>
            </w:pPr>
            <w:r/>
          </w:p>
          <w:p>
            <w:pPr>
              <w:pStyle w:val="TableText"/>
              <w:ind w:left="438"/>
              <w:spacing w:before="78" w:line="221" w:lineRule="auto"/>
              <w:rPr/>
            </w:pPr>
            <w:r>
              <w:rPr>
                <w:b/>
                <w:bCs/>
                <w:spacing w:val="-5"/>
              </w:rPr>
              <w:t>较重</w:t>
            </w:r>
          </w:p>
        </w:tc>
        <w:tc>
          <w:tcPr>
            <w:tcW w:w="8014" w:type="dxa"/>
            <w:vAlign w:val="top"/>
          </w:tcPr>
          <w:p>
            <w:pPr>
              <w:pStyle w:val="TableText"/>
              <w:ind w:left="101" w:right="200" w:firstLine="9"/>
              <w:spacing w:before="181" w:line="260" w:lineRule="auto"/>
              <w:rPr/>
            </w:pPr>
            <w:r>
              <w:rPr/>
              <w:t>用人单位未为从事使用高毒物品作业的劳动者设置淋浴间、更衣室或者未</w:t>
            </w:r>
            <w:r>
              <w:rPr>
                <w:spacing w:val="11"/>
              </w:rPr>
              <w:t xml:space="preserve"> </w:t>
            </w:r>
            <w:r>
              <w:rPr/>
              <w:t>设置清洗、存放和处理工作服、工作鞋帽等物品的专用间的</w:t>
            </w:r>
          </w:p>
        </w:tc>
        <w:tc>
          <w:tcPr>
            <w:tcW w:w="4052" w:type="dxa"/>
            <w:vAlign w:val="top"/>
          </w:tcPr>
          <w:p>
            <w:pPr>
              <w:pStyle w:val="TableText"/>
              <w:ind w:left="116" w:right="194"/>
              <w:spacing w:before="181" w:line="260" w:lineRule="auto"/>
              <w:rPr/>
            </w:pPr>
            <w:r>
              <w:rPr/>
              <w:t>给予警告，责令限期改正，处1万元</w:t>
            </w:r>
            <w:r>
              <w:rPr>
                <w:spacing w:val="9"/>
              </w:rPr>
              <w:t xml:space="preserve"> </w:t>
            </w:r>
            <w:r>
              <w:rPr>
                <w:spacing w:val="1"/>
              </w:rPr>
              <w:t>以上2万元以下的罚款</w:t>
            </w:r>
          </w:p>
        </w:tc>
      </w:tr>
      <w:tr>
        <w:trPr>
          <w:trHeight w:val="1022" w:hRule="atLeast"/>
        </w:trPr>
        <w:tc>
          <w:tcPr>
            <w:tcW w:w="1374" w:type="dxa"/>
            <w:vAlign w:val="top"/>
          </w:tcPr>
          <w:p>
            <w:pPr>
              <w:spacing w:line="413" w:lineRule="auto"/>
              <w:rPr>
                <w:rFonts w:ascii="Arial"/>
                <w:sz w:val="21"/>
              </w:rPr>
            </w:pPr>
            <w:r/>
          </w:p>
          <w:p>
            <w:pPr>
              <w:pStyle w:val="TableText"/>
              <w:ind w:left="438"/>
              <w:spacing w:before="78" w:line="220" w:lineRule="auto"/>
              <w:rPr/>
            </w:pPr>
            <w:r>
              <w:rPr>
                <w:b/>
                <w:bCs/>
                <w:spacing w:val="-6"/>
              </w:rPr>
              <w:t>严重</w:t>
            </w:r>
          </w:p>
        </w:tc>
        <w:tc>
          <w:tcPr>
            <w:tcW w:w="8014" w:type="dxa"/>
            <w:vAlign w:val="top"/>
          </w:tcPr>
          <w:p>
            <w:pPr>
              <w:spacing w:line="317" w:lineRule="auto"/>
              <w:rPr>
                <w:rFonts w:ascii="Arial"/>
                <w:sz w:val="21"/>
              </w:rPr>
            </w:pPr>
            <w:r/>
          </w:p>
          <w:p>
            <w:pPr>
              <w:pStyle w:val="TableText"/>
              <w:ind w:left="101"/>
              <w:spacing w:before="78" w:line="219" w:lineRule="auto"/>
              <w:rPr/>
            </w:pPr>
            <w:r>
              <w:rPr>
                <w:spacing w:val="1"/>
              </w:rPr>
              <w:t>逾期不改正的；或造成严重后果的</w:t>
            </w:r>
          </w:p>
        </w:tc>
        <w:tc>
          <w:tcPr>
            <w:tcW w:w="4052" w:type="dxa"/>
            <w:vAlign w:val="top"/>
          </w:tcPr>
          <w:p>
            <w:pPr>
              <w:pStyle w:val="TableText"/>
              <w:ind w:left="116" w:right="74"/>
              <w:spacing w:before="96" w:line="250" w:lineRule="auto"/>
              <w:rPr/>
            </w:pPr>
            <w:r>
              <w:rPr/>
              <w:t>责令停止使用有毒物品作业，或者提</w:t>
            </w:r>
            <w:r>
              <w:rPr>
                <w:spacing w:val="9"/>
              </w:rPr>
              <w:t xml:space="preserve"> </w:t>
            </w:r>
            <w:r>
              <w:rPr>
                <w:spacing w:val="1"/>
              </w:rPr>
              <w:t>请有关人民政府按照国务院规定的</w:t>
            </w:r>
          </w:p>
          <w:p>
            <w:pPr>
              <w:pStyle w:val="TableText"/>
              <w:ind w:left="116"/>
              <w:spacing w:line="204" w:lineRule="auto"/>
              <w:rPr/>
            </w:pPr>
            <w:r>
              <w:rPr>
                <w:spacing w:val="3"/>
              </w:rPr>
              <w:t>权限予以关闭</w:t>
            </w:r>
          </w:p>
        </w:tc>
      </w:tr>
    </w:tbl>
    <w:p>
      <w:pPr>
        <w:pStyle w:val="BodyText"/>
        <w:spacing w:line="456" w:lineRule="auto"/>
        <w:rPr/>
      </w:pPr>
      <w:r/>
    </w:p>
    <w:p>
      <w:pPr>
        <w:ind w:left="669"/>
        <w:spacing w:before="97" w:line="219" w:lineRule="auto"/>
        <w:rPr>
          <w:rFonts w:ascii="FangSong" w:hAnsi="FangSong" w:eastAsia="FangSong" w:cs="FangSong"/>
          <w:sz w:val="30"/>
          <w:szCs w:val="30"/>
        </w:rPr>
      </w:pPr>
      <w:r>
        <w:rPr>
          <w:rFonts w:ascii="FangSong" w:hAnsi="FangSong" w:eastAsia="FangSong" w:cs="FangSong"/>
          <w:sz w:val="30"/>
          <w:szCs w:val="30"/>
          <w:b/>
          <w:bCs/>
          <w:spacing w:val="21"/>
        </w:rPr>
        <w:t>第四百九十九条未安排从事使用高毒物品作业一定年限的劳动者进行岗位轮换的</w:t>
      </w:r>
    </w:p>
    <w:p>
      <w:pPr>
        <w:ind w:left="654"/>
        <w:spacing w:before="111" w:line="222" w:lineRule="auto"/>
        <w:rPr>
          <w:rFonts w:ascii="FangSong" w:hAnsi="FangSong" w:eastAsia="FangSong" w:cs="FangSong"/>
          <w:sz w:val="26"/>
          <w:szCs w:val="26"/>
        </w:rPr>
      </w:pPr>
      <w:r>
        <w:rPr>
          <w:rFonts w:ascii="FangSong" w:hAnsi="FangSong" w:eastAsia="FangSong" w:cs="FangSong"/>
          <w:sz w:val="26"/>
          <w:szCs w:val="26"/>
          <w:spacing w:val="34"/>
        </w:rPr>
        <w:t>法律依据</w:t>
      </w:r>
      <w:r>
        <w:rPr>
          <w:rFonts w:ascii="FangSong" w:hAnsi="FangSong" w:eastAsia="FangSong" w:cs="FangSong"/>
          <w:sz w:val="26"/>
          <w:szCs w:val="26"/>
          <w:spacing w:val="-63"/>
        </w:rPr>
        <w:t xml:space="preserve"> </w:t>
      </w:r>
      <w:r>
        <w:rPr>
          <w:rFonts w:ascii="FangSong" w:hAnsi="FangSong" w:eastAsia="FangSong" w:cs="FangSong"/>
          <w:sz w:val="26"/>
          <w:szCs w:val="26"/>
          <w:spacing w:val="34"/>
        </w:rPr>
        <w:t>：</w:t>
      </w:r>
    </w:p>
    <w:p>
      <w:pPr>
        <w:ind w:left="15" w:firstLine="619"/>
        <w:spacing w:before="94" w:line="272" w:lineRule="auto"/>
        <w:rPr>
          <w:rFonts w:ascii="FangSong" w:hAnsi="FangSong" w:eastAsia="FangSong" w:cs="FangSong"/>
          <w:sz w:val="30"/>
          <w:szCs w:val="30"/>
        </w:rPr>
      </w:pPr>
      <w:r>
        <w:rPr>
          <w:rFonts w:ascii="FangSong" w:hAnsi="FangSong" w:eastAsia="FangSong" w:cs="FangSong"/>
          <w:sz w:val="30"/>
          <w:szCs w:val="30"/>
          <w:spacing w:val="22"/>
        </w:rPr>
        <w:t>《使用有毒物品作业场所劳动保护条例》第六十八条第(三)项</w:t>
      </w:r>
      <w:r>
        <w:rPr>
          <w:rFonts w:ascii="FangSong" w:hAnsi="FangSong" w:eastAsia="FangSong" w:cs="FangSong"/>
          <w:sz w:val="30"/>
          <w:szCs w:val="30"/>
          <w:spacing w:val="22"/>
        </w:rPr>
        <w:t xml:space="preserve">   </w:t>
      </w:r>
      <w:r>
        <w:rPr>
          <w:rFonts w:ascii="FangSong" w:hAnsi="FangSong" w:eastAsia="FangSong" w:cs="FangSong"/>
          <w:sz w:val="30"/>
          <w:szCs w:val="30"/>
          <w:spacing w:val="22"/>
        </w:rPr>
        <w:t>用人单</w:t>
      </w:r>
      <w:r>
        <w:rPr>
          <w:rFonts w:ascii="FangSong" w:hAnsi="FangSong" w:eastAsia="FangSong" w:cs="FangSong"/>
          <w:sz w:val="30"/>
          <w:szCs w:val="30"/>
          <w:spacing w:val="21"/>
        </w:rPr>
        <w:t>位违反本条例的规定，</w:t>
      </w:r>
      <w:r>
        <w:rPr>
          <w:rFonts w:ascii="FangSong" w:hAnsi="FangSong" w:eastAsia="FangSong" w:cs="FangSong"/>
          <w:sz w:val="30"/>
          <w:szCs w:val="30"/>
        </w:rPr>
        <w:t xml:space="preserve"> </w:t>
      </w:r>
      <w:r>
        <w:rPr>
          <w:rFonts w:ascii="FangSong" w:hAnsi="FangSong" w:eastAsia="FangSong" w:cs="FangSong"/>
          <w:sz w:val="30"/>
          <w:szCs w:val="30"/>
          <w:spacing w:val="26"/>
        </w:rPr>
        <w:t>有下列行为之一的，由疾病预防控制部门给予警告，责令限期</w:t>
      </w:r>
      <w:r>
        <w:rPr>
          <w:rFonts w:ascii="FangSong" w:hAnsi="FangSong" w:eastAsia="FangSong" w:cs="FangSong"/>
          <w:sz w:val="30"/>
          <w:szCs w:val="30"/>
          <w:spacing w:val="25"/>
        </w:rPr>
        <w:t>改正，处5000元以上2万元以下的罚</w:t>
      </w:r>
    </w:p>
    <w:p>
      <w:pPr>
        <w:pStyle w:val="BodyText"/>
        <w:spacing w:line="316" w:lineRule="auto"/>
        <w:rPr/>
      </w:pPr>
      <w:r/>
    </w:p>
    <w:p>
      <w:pPr>
        <w:pStyle w:val="BodyText"/>
        <w:spacing w:line="316" w:lineRule="auto"/>
        <w:rPr/>
      </w:pPr>
      <w:r/>
    </w:p>
    <w:p>
      <w:pPr>
        <w:ind w:left="6345"/>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—602—</w:t>
      </w:r>
    </w:p>
    <w:p>
      <w:pPr>
        <w:spacing w:line="188" w:lineRule="auto"/>
        <w:sectPr>
          <w:footerReference w:type="default" r:id="rId24"/>
          <w:pgSz w:w="16830" w:h="11900"/>
          <w:pgMar w:top="1011" w:right="1350" w:bottom="400" w:left="1434" w:header="0" w:footer="0" w:gutter="0"/>
        </w:sectPr>
        <w:rPr>
          <w:rFonts w:ascii="Times New Roman" w:hAnsi="Times New Roman" w:eastAsia="Times New Roman" w:cs="Times New Roman"/>
          <w:sz w:val="37"/>
          <w:szCs w:val="37"/>
        </w:rPr>
      </w:pPr>
    </w:p>
    <w:p>
      <w:pPr>
        <w:pStyle w:val="BodyText"/>
        <w:spacing w:line="257" w:lineRule="auto"/>
        <w:rPr/>
      </w:pPr>
      <w:r/>
    </w:p>
    <w:p>
      <w:pPr>
        <w:pStyle w:val="BodyText"/>
        <w:spacing w:line="258" w:lineRule="auto"/>
        <w:rPr/>
      </w:pPr>
      <w:r/>
    </w:p>
    <w:p>
      <w:pPr>
        <w:pStyle w:val="BodyText"/>
        <w:spacing w:line="258" w:lineRule="auto"/>
        <w:rPr/>
      </w:pPr>
      <w:r/>
    </w:p>
    <w:p>
      <w:pPr>
        <w:ind w:left="15" w:right="75"/>
        <w:spacing w:before="98" w:line="300" w:lineRule="auto"/>
        <w:rPr>
          <w:rFonts w:ascii="FangSong" w:hAnsi="FangSong" w:eastAsia="FangSong" w:cs="FangSong"/>
          <w:sz w:val="24"/>
          <w:szCs w:val="24"/>
        </w:rPr>
      </w:pPr>
      <w:bookmarkStart w:name="bookmark1161" w:id="537"/>
      <w:bookmarkEnd w:id="537"/>
      <w:r>
        <w:rPr>
          <w:rFonts w:ascii="FangSong" w:hAnsi="FangSong" w:eastAsia="FangSong" w:cs="FangSong"/>
          <w:sz w:val="30"/>
          <w:szCs w:val="30"/>
          <w:spacing w:val="17"/>
        </w:rPr>
        <w:t>款；逾期不改正的，责令停止使用有毒物品作业，或者提请有关人民政府按照国务院规定</w:t>
      </w:r>
      <w:r>
        <w:rPr>
          <w:rFonts w:ascii="FangSong" w:hAnsi="FangSong" w:eastAsia="FangSong" w:cs="FangSong"/>
          <w:sz w:val="30"/>
          <w:szCs w:val="30"/>
          <w:spacing w:val="16"/>
        </w:rPr>
        <w:t>的权限予以</w:t>
      </w:r>
      <w:r>
        <w:rPr>
          <w:rFonts w:ascii="FangSong" w:hAnsi="FangSong" w:eastAsia="FangSong" w:cs="FangSong"/>
          <w:sz w:val="30"/>
          <w:szCs w:val="30"/>
        </w:rPr>
        <w:t xml:space="preserve"> </w:t>
      </w:r>
      <w:r>
        <w:rPr>
          <w:rFonts w:ascii="FangSong" w:hAnsi="FangSong" w:eastAsia="FangSong" w:cs="FangSong"/>
          <w:sz w:val="24"/>
          <w:szCs w:val="24"/>
          <w:spacing w:val="-21"/>
        </w:rPr>
        <w:t>关</w:t>
      </w:r>
      <w:r>
        <w:rPr>
          <w:rFonts w:ascii="FangSong" w:hAnsi="FangSong" w:eastAsia="FangSong" w:cs="FangSong"/>
          <w:sz w:val="24"/>
          <w:szCs w:val="24"/>
          <w:spacing w:val="17"/>
        </w:rPr>
        <w:t xml:space="preserve"> </w:t>
      </w:r>
      <w:r>
        <w:rPr>
          <w:rFonts w:ascii="FangSong" w:hAnsi="FangSong" w:eastAsia="FangSong" w:cs="FangSong"/>
          <w:sz w:val="24"/>
          <w:szCs w:val="24"/>
          <w:spacing w:val="-21"/>
        </w:rPr>
        <w:t>闭</w:t>
      </w:r>
      <w:r>
        <w:rPr>
          <w:rFonts w:ascii="FangSong" w:hAnsi="FangSong" w:eastAsia="FangSong" w:cs="FangSong"/>
          <w:sz w:val="24"/>
          <w:szCs w:val="24"/>
          <w:spacing w:val="-22"/>
        </w:rPr>
        <w:t xml:space="preserve"> </w:t>
      </w:r>
      <w:r>
        <w:rPr>
          <w:rFonts w:ascii="FangSong" w:hAnsi="FangSong" w:eastAsia="FangSong" w:cs="FangSong"/>
          <w:sz w:val="24"/>
          <w:szCs w:val="24"/>
          <w:spacing w:val="-21"/>
        </w:rPr>
        <w:t>：</w:t>
      </w:r>
    </w:p>
    <w:p>
      <w:pPr>
        <w:ind w:left="774"/>
        <w:spacing w:line="219" w:lineRule="auto"/>
        <w:rPr>
          <w:rFonts w:ascii="FangSong" w:hAnsi="FangSong" w:eastAsia="FangSong" w:cs="FangSong"/>
          <w:sz w:val="30"/>
          <w:szCs w:val="30"/>
        </w:rPr>
      </w:pPr>
      <w:r>
        <w:rPr>
          <w:rFonts w:ascii="FangSong" w:hAnsi="FangSong" w:eastAsia="FangSong" w:cs="FangSong"/>
          <w:sz w:val="30"/>
          <w:szCs w:val="30"/>
          <w:spacing w:val="22"/>
        </w:rPr>
        <w:t>(三)未安排从事使用高毒物品作业一定年限的劳动者进行岗位轮换的。</w:t>
      </w:r>
    </w:p>
    <w:p>
      <w:pPr>
        <w:ind w:left="6419"/>
        <w:spacing w:before="257"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7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624"/>
        <w:gridCol w:w="4721"/>
      </w:tblGrid>
      <w:tr>
        <w:trPr>
          <w:trHeight w:val="543" w:hRule="atLeast"/>
        </w:trPr>
        <w:tc>
          <w:tcPr>
            <w:tcW w:w="1424" w:type="dxa"/>
            <w:vAlign w:val="top"/>
          </w:tcPr>
          <w:p>
            <w:pPr>
              <w:pStyle w:val="TableText"/>
              <w:ind w:left="128"/>
              <w:spacing w:before="15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624" w:type="dxa"/>
            <w:vAlign w:val="top"/>
          </w:tcPr>
          <w:p>
            <w:pPr>
              <w:pStyle w:val="TableText"/>
              <w:ind w:left="3254"/>
              <w:spacing w:before="152" w:line="220" w:lineRule="auto"/>
              <w:rPr/>
            </w:pPr>
            <w:r>
              <w:rPr>
                <w:b/>
                <w:bCs/>
                <w:spacing w:val="-5"/>
              </w:rPr>
              <w:t>情节后果</w:t>
            </w:r>
          </w:p>
        </w:tc>
        <w:tc>
          <w:tcPr>
            <w:tcW w:w="4721" w:type="dxa"/>
            <w:vAlign w:val="top"/>
          </w:tcPr>
          <w:p>
            <w:pPr>
              <w:pStyle w:val="TableText"/>
              <w:ind w:left="1880"/>
              <w:spacing w:before="149" w:line="218" w:lineRule="auto"/>
              <w:rPr/>
            </w:pPr>
            <w:r>
              <w:rPr>
                <w:b/>
                <w:bCs/>
                <w:spacing w:val="-5"/>
              </w:rPr>
              <w:t>裁量幅度</w:t>
            </w:r>
          </w:p>
        </w:tc>
      </w:tr>
      <w:tr>
        <w:trPr>
          <w:trHeight w:val="678" w:hRule="atLeast"/>
        </w:trPr>
        <w:tc>
          <w:tcPr>
            <w:tcW w:w="1424" w:type="dxa"/>
            <w:vAlign w:val="top"/>
          </w:tcPr>
          <w:p>
            <w:pPr>
              <w:rPr>
                <w:rFonts w:ascii="Arial"/>
                <w:sz w:val="21"/>
              </w:rPr>
            </w:pPr>
            <w:r/>
          </w:p>
          <w:p>
            <w:pPr>
              <w:pStyle w:val="TableText"/>
              <w:ind w:left="468"/>
              <w:spacing w:before="78" w:line="221" w:lineRule="auto"/>
              <w:rPr/>
            </w:pPr>
            <w:r>
              <w:rPr>
                <w:b/>
                <w:bCs/>
                <w:spacing w:val="-10"/>
              </w:rPr>
              <w:t>一般</w:t>
            </w:r>
          </w:p>
        </w:tc>
        <w:tc>
          <w:tcPr>
            <w:tcW w:w="7624" w:type="dxa"/>
            <w:vAlign w:val="top"/>
          </w:tcPr>
          <w:p>
            <w:pPr>
              <w:pStyle w:val="TableText"/>
              <w:ind w:left="91" w:right="168" w:firstLine="19"/>
              <w:spacing w:before="72" w:line="229" w:lineRule="auto"/>
              <w:rPr/>
            </w:pPr>
            <w:r>
              <w:rPr/>
              <w:t>未安排从事使用高毒物品作业一定年限的劳动者进行岗位轮换，人数3</w:t>
            </w:r>
            <w:r>
              <w:rPr>
                <w:spacing w:val="13"/>
              </w:rPr>
              <w:t xml:space="preserve"> </w:t>
            </w:r>
            <w:r>
              <w:rPr>
                <w:spacing w:val="4"/>
              </w:rPr>
              <w:t>人以下的</w:t>
            </w:r>
          </w:p>
        </w:tc>
        <w:tc>
          <w:tcPr>
            <w:tcW w:w="4721" w:type="dxa"/>
            <w:vAlign w:val="top"/>
          </w:tcPr>
          <w:p>
            <w:pPr>
              <w:pStyle w:val="TableText"/>
              <w:ind w:left="137" w:right="109"/>
              <w:spacing w:before="69" w:line="230" w:lineRule="auto"/>
              <w:rPr/>
            </w:pPr>
            <w:r>
              <w:rPr>
                <w:spacing w:val="1"/>
              </w:rPr>
              <w:t>给予警告，责令限期改正，处5000元以上1</w:t>
            </w:r>
            <w:r>
              <w:rPr>
                <w:spacing w:val="2"/>
              </w:rPr>
              <w:t xml:space="preserve"> </w:t>
            </w:r>
            <w:r>
              <w:rPr>
                <w:spacing w:val="1"/>
              </w:rPr>
              <w:t>万元以下的罚款</w:t>
            </w:r>
          </w:p>
        </w:tc>
      </w:tr>
      <w:tr>
        <w:trPr>
          <w:trHeight w:val="677" w:hRule="atLeast"/>
        </w:trPr>
        <w:tc>
          <w:tcPr>
            <w:tcW w:w="1424" w:type="dxa"/>
            <w:vAlign w:val="top"/>
          </w:tcPr>
          <w:p>
            <w:pPr>
              <w:spacing w:line="244" w:lineRule="auto"/>
              <w:rPr>
                <w:rFonts w:ascii="Arial"/>
                <w:sz w:val="21"/>
              </w:rPr>
            </w:pPr>
            <w:r/>
          </w:p>
          <w:p>
            <w:pPr>
              <w:pStyle w:val="TableText"/>
              <w:ind w:left="468"/>
              <w:spacing w:before="78" w:line="221" w:lineRule="auto"/>
              <w:rPr/>
            </w:pPr>
            <w:r>
              <w:rPr>
                <w:b/>
                <w:bCs/>
                <w:spacing w:val="-5"/>
              </w:rPr>
              <w:t>较重</w:t>
            </w:r>
          </w:p>
        </w:tc>
        <w:tc>
          <w:tcPr>
            <w:tcW w:w="7624" w:type="dxa"/>
            <w:vAlign w:val="top"/>
          </w:tcPr>
          <w:p>
            <w:pPr>
              <w:pStyle w:val="TableText"/>
              <w:ind w:left="110"/>
              <w:spacing w:before="84" w:line="219" w:lineRule="auto"/>
              <w:rPr/>
            </w:pPr>
            <w:r>
              <w:rPr/>
              <w:t>未安排从事使用高毒物品作业一定年限的劳动者进行岗位轮换，人数4</w:t>
            </w:r>
          </w:p>
          <w:p>
            <w:pPr>
              <w:pStyle w:val="TableText"/>
              <w:ind w:left="91"/>
              <w:spacing w:before="38" w:line="200" w:lineRule="auto"/>
              <w:rPr/>
            </w:pPr>
            <w:r>
              <w:rPr>
                <w:color w:val="605040"/>
                <w:spacing w:val="4"/>
              </w:rPr>
              <w:t>人以上的</w:t>
            </w:r>
          </w:p>
        </w:tc>
        <w:tc>
          <w:tcPr>
            <w:tcW w:w="4721" w:type="dxa"/>
            <w:vAlign w:val="top"/>
          </w:tcPr>
          <w:p>
            <w:pPr>
              <w:pStyle w:val="TableText"/>
              <w:ind w:left="137" w:right="179" w:firstLine="60"/>
              <w:spacing w:before="82" w:line="225" w:lineRule="auto"/>
              <w:rPr/>
            </w:pPr>
            <w:r>
              <w:rPr/>
              <w:t>给予警告，责令限期改正，处1万元以上2</w:t>
            </w:r>
            <w:r>
              <w:rPr>
                <w:spacing w:val="13"/>
              </w:rPr>
              <w:t xml:space="preserve"> </w:t>
            </w:r>
            <w:r>
              <w:rPr>
                <w:spacing w:val="1"/>
              </w:rPr>
              <w:t>万元以下的罚款</w:t>
            </w:r>
          </w:p>
        </w:tc>
      </w:tr>
      <w:tr>
        <w:trPr>
          <w:trHeight w:val="872" w:hRule="atLeast"/>
        </w:trPr>
        <w:tc>
          <w:tcPr>
            <w:tcW w:w="1424" w:type="dxa"/>
            <w:vAlign w:val="top"/>
          </w:tcPr>
          <w:p>
            <w:pPr>
              <w:spacing w:line="344" w:lineRule="auto"/>
              <w:rPr>
                <w:rFonts w:ascii="Arial"/>
                <w:sz w:val="21"/>
              </w:rPr>
            </w:pPr>
            <w:r/>
          </w:p>
          <w:p>
            <w:pPr>
              <w:pStyle w:val="TableText"/>
              <w:ind w:left="468"/>
              <w:spacing w:before="78" w:line="220" w:lineRule="auto"/>
              <w:rPr/>
            </w:pPr>
            <w:r>
              <w:rPr>
                <w:b/>
                <w:bCs/>
                <w:spacing w:val="-6"/>
              </w:rPr>
              <w:t>严重</w:t>
            </w:r>
          </w:p>
        </w:tc>
        <w:tc>
          <w:tcPr>
            <w:tcW w:w="7624" w:type="dxa"/>
            <w:vAlign w:val="top"/>
          </w:tcPr>
          <w:p>
            <w:pPr>
              <w:spacing w:line="247" w:lineRule="auto"/>
              <w:rPr>
                <w:rFonts w:ascii="Arial"/>
                <w:sz w:val="21"/>
              </w:rPr>
            </w:pPr>
            <w:r/>
          </w:p>
          <w:p>
            <w:pPr>
              <w:pStyle w:val="TableText"/>
              <w:ind w:left="91"/>
              <w:spacing w:before="78" w:line="219" w:lineRule="auto"/>
              <w:rPr/>
            </w:pPr>
            <w:r>
              <w:rPr>
                <w:spacing w:val="1"/>
              </w:rPr>
              <w:t>逾期不改正的；或造成严重后果的</w:t>
            </w:r>
          </w:p>
        </w:tc>
        <w:tc>
          <w:tcPr>
            <w:tcW w:w="4721" w:type="dxa"/>
            <w:vAlign w:val="top"/>
          </w:tcPr>
          <w:p>
            <w:pPr>
              <w:pStyle w:val="TableText"/>
              <w:ind w:left="197" w:right="62" w:hanging="120"/>
              <w:spacing w:before="176" w:line="263" w:lineRule="auto"/>
              <w:rPr/>
            </w:pPr>
            <w:r>
              <w:rPr/>
              <w:t>责令停止使用有毒物品作业，或者提请有关</w:t>
            </w:r>
            <w:r>
              <w:rPr>
                <w:spacing w:val="10"/>
              </w:rPr>
              <w:t xml:space="preserve"> </w:t>
            </w:r>
            <w:r>
              <w:rPr>
                <w:spacing w:val="1"/>
              </w:rPr>
              <w:t>人民政府按照国务院规定的权限予以关闭</w:t>
            </w:r>
          </w:p>
        </w:tc>
      </w:tr>
    </w:tbl>
    <w:p>
      <w:pPr>
        <w:pStyle w:val="BodyText"/>
        <w:spacing w:line="446" w:lineRule="auto"/>
        <w:rPr/>
      </w:pPr>
      <w:r/>
    </w:p>
    <w:p>
      <w:pPr>
        <w:ind w:left="659"/>
        <w:spacing w:before="97" w:line="219" w:lineRule="auto"/>
        <w:rPr>
          <w:rFonts w:ascii="FangSong" w:hAnsi="FangSong" w:eastAsia="FangSong" w:cs="FangSong"/>
          <w:sz w:val="30"/>
          <w:szCs w:val="30"/>
        </w:rPr>
      </w:pPr>
      <w:r>
        <w:rPr>
          <w:rFonts w:ascii="FangSong" w:hAnsi="FangSong" w:eastAsia="FangSong" w:cs="FangSong"/>
          <w:sz w:val="30"/>
          <w:szCs w:val="30"/>
          <w:b/>
          <w:bCs/>
          <w:spacing w:val="22"/>
        </w:rPr>
        <w:t>第五百条有关职业卫生防护措施和待遇等如实告知劳动者并在劳动合同中写明的</w:t>
      </w:r>
    </w:p>
    <w:p>
      <w:pPr>
        <w:ind w:left="645"/>
        <w:spacing w:before="112"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5" w:firstLine="609"/>
        <w:spacing w:before="44" w:line="271" w:lineRule="auto"/>
        <w:jc w:val="both"/>
        <w:rPr>
          <w:rFonts w:ascii="FangSong" w:hAnsi="FangSong" w:eastAsia="FangSong" w:cs="FangSong"/>
          <w:sz w:val="30"/>
          <w:szCs w:val="30"/>
        </w:rPr>
      </w:pPr>
      <w:r>
        <w:rPr>
          <w:rFonts w:ascii="FangSong" w:hAnsi="FangSong" w:eastAsia="FangSong" w:cs="FangSong"/>
          <w:sz w:val="30"/>
          <w:szCs w:val="30"/>
          <w:spacing w:val="22"/>
        </w:rPr>
        <w:t>《使用有毒物品作业场所劳动保护条例》第六十七条第(八)项</w:t>
      </w:r>
      <w:r>
        <w:rPr>
          <w:rFonts w:ascii="FangSong" w:hAnsi="FangSong" w:eastAsia="FangSong" w:cs="FangSong"/>
          <w:sz w:val="30"/>
          <w:szCs w:val="30"/>
          <w:spacing w:val="22"/>
        </w:rPr>
        <w:t xml:space="preserve">   </w:t>
      </w:r>
      <w:r>
        <w:rPr>
          <w:rFonts w:ascii="FangSong" w:hAnsi="FangSong" w:eastAsia="FangSong" w:cs="FangSong"/>
          <w:sz w:val="30"/>
          <w:szCs w:val="30"/>
          <w:spacing w:val="22"/>
        </w:rPr>
        <w:t>用人单位</w:t>
      </w:r>
      <w:r>
        <w:rPr>
          <w:rFonts w:ascii="FangSong" w:hAnsi="FangSong" w:eastAsia="FangSong" w:cs="FangSong"/>
          <w:sz w:val="30"/>
          <w:szCs w:val="30"/>
          <w:spacing w:val="21"/>
        </w:rPr>
        <w:t>违反本条例的规定，</w:t>
      </w:r>
      <w:r>
        <w:rPr>
          <w:rFonts w:ascii="FangSong" w:hAnsi="FangSong" w:eastAsia="FangSong" w:cs="FangSong"/>
          <w:sz w:val="30"/>
          <w:szCs w:val="30"/>
        </w:rPr>
        <w:t xml:space="preserve"> </w:t>
      </w:r>
      <w:r>
        <w:rPr>
          <w:rFonts w:ascii="FangSong" w:hAnsi="FangSong" w:eastAsia="FangSong" w:cs="FangSong"/>
          <w:sz w:val="30"/>
          <w:szCs w:val="30"/>
          <w:spacing w:val="26"/>
        </w:rPr>
        <w:t>有下列行为之一的，由疾病预防控制部门给予警告，责令限期改正，可以并处5万元以上10万元以</w:t>
      </w:r>
      <w:r>
        <w:rPr>
          <w:rFonts w:ascii="FangSong" w:hAnsi="FangSong" w:eastAsia="FangSong" w:cs="FangSong"/>
          <w:sz w:val="30"/>
          <w:szCs w:val="30"/>
          <w:spacing w:val="9"/>
        </w:rPr>
        <w:t xml:space="preserve"> </w:t>
      </w:r>
      <w:r>
        <w:rPr>
          <w:rFonts w:ascii="FangSong" w:hAnsi="FangSong" w:eastAsia="FangSong" w:cs="FangSong"/>
          <w:sz w:val="30"/>
          <w:szCs w:val="30"/>
          <w:spacing w:val="17"/>
        </w:rPr>
        <w:t>下的罚款；逾期不改正的，责令停止使用有毒物品作业，</w:t>
      </w:r>
      <w:r>
        <w:rPr>
          <w:rFonts w:ascii="FangSong" w:hAnsi="FangSong" w:eastAsia="FangSong" w:cs="FangSong"/>
          <w:sz w:val="30"/>
          <w:szCs w:val="30"/>
          <w:spacing w:val="16"/>
        </w:rPr>
        <w:t>或者提请有关人民政府按照国务院规定的权</w:t>
      </w:r>
      <w:r>
        <w:rPr>
          <w:rFonts w:ascii="FangSong" w:hAnsi="FangSong" w:eastAsia="FangSong" w:cs="FangSong"/>
          <w:sz w:val="30"/>
          <w:szCs w:val="30"/>
        </w:rPr>
        <w:t xml:space="preserve"> </w:t>
      </w:r>
      <w:r>
        <w:rPr>
          <w:rFonts w:ascii="FangSong" w:hAnsi="FangSong" w:eastAsia="FangSong" w:cs="FangSong"/>
          <w:sz w:val="30"/>
          <w:szCs w:val="30"/>
          <w:spacing w:val="1"/>
        </w:rPr>
        <w:t>限予以关闭：</w:t>
      </w:r>
    </w:p>
    <w:p>
      <w:pPr>
        <w:ind w:left="774"/>
        <w:spacing w:line="220" w:lineRule="auto"/>
        <w:rPr>
          <w:rFonts w:ascii="FangSong" w:hAnsi="FangSong" w:eastAsia="FangSong" w:cs="FangSong"/>
          <w:sz w:val="30"/>
          <w:szCs w:val="30"/>
        </w:rPr>
      </w:pPr>
      <w:r>
        <w:rPr>
          <w:rFonts w:ascii="FangSong" w:hAnsi="FangSong" w:eastAsia="FangSong" w:cs="FangSong"/>
          <w:sz w:val="30"/>
          <w:szCs w:val="30"/>
          <w:spacing w:val="21"/>
        </w:rPr>
        <w:t>(八)未依照职业病防治法和本条例的规定将工作过程中可能产生的职业中毒危害及其后</w:t>
      </w:r>
      <w:r>
        <w:rPr>
          <w:rFonts w:ascii="FangSong" w:hAnsi="FangSong" w:eastAsia="FangSong" w:cs="FangSong"/>
          <w:sz w:val="30"/>
          <w:szCs w:val="30"/>
          <w:spacing w:val="20"/>
        </w:rPr>
        <w:t>果、有</w:t>
      </w:r>
    </w:p>
    <w:p>
      <w:pPr>
        <w:spacing w:line="220" w:lineRule="auto"/>
        <w:sectPr>
          <w:footerReference w:type="default" r:id="rId531"/>
          <w:pgSz w:w="16830" w:h="11900"/>
          <w:pgMar w:top="1011" w:right="1359" w:bottom="1117" w:left="1434" w:header="0" w:footer="784" w:gutter="0"/>
        </w:sectPr>
        <w:rPr>
          <w:rFonts w:ascii="FangSong" w:hAnsi="FangSong" w:eastAsia="FangSong" w:cs="FangSong"/>
          <w:sz w:val="30"/>
          <w:szCs w:val="30"/>
        </w:rPr>
      </w:pPr>
    </w:p>
    <w:p>
      <w:pPr>
        <w:pStyle w:val="BodyText"/>
        <w:spacing w:line="260" w:lineRule="auto"/>
        <w:rPr/>
      </w:pPr>
      <w:r/>
    </w:p>
    <w:p>
      <w:pPr>
        <w:pStyle w:val="BodyText"/>
        <w:spacing w:line="260" w:lineRule="auto"/>
        <w:rPr/>
      </w:pPr>
      <w:r/>
    </w:p>
    <w:p>
      <w:pPr>
        <w:pStyle w:val="BodyText"/>
        <w:spacing w:line="261" w:lineRule="auto"/>
        <w:rPr/>
      </w:pPr>
      <w:r/>
    </w:p>
    <w:p>
      <w:pPr>
        <w:ind w:left="6409" w:right="4240" w:hanging="6404"/>
        <w:spacing w:before="97" w:line="291" w:lineRule="auto"/>
        <w:rPr>
          <w:rFonts w:ascii="SimSun" w:hAnsi="SimSun" w:eastAsia="SimSun" w:cs="SimSun"/>
          <w:sz w:val="29"/>
          <w:szCs w:val="29"/>
        </w:rPr>
      </w:pPr>
      <w:r>
        <w:rPr>
          <w:rFonts w:ascii="FangSong" w:hAnsi="FangSong" w:eastAsia="FangSong" w:cs="FangSong"/>
          <w:sz w:val="30"/>
          <w:szCs w:val="30"/>
          <w:spacing w:val="16"/>
        </w:rPr>
        <w:t>关职业卫生防护措施和待遇等如实告知劳动者并在劳动合同中写明的；</w:t>
      </w:r>
      <w:r>
        <w:rPr>
          <w:rFonts w:ascii="FangSong" w:hAnsi="FangSong" w:eastAsia="FangSong" w:cs="FangSong"/>
          <w:sz w:val="30"/>
          <w:szCs w:val="30"/>
          <w:spacing w:val="12"/>
        </w:rPr>
        <w:t xml:space="preserve"> </w:t>
      </w:r>
      <w:bookmarkStart w:name="bookmark1162" w:id="538"/>
      <w:bookmarkEnd w:id="538"/>
      <w:r>
        <w:rPr>
          <w:rFonts w:ascii="SimSun" w:hAnsi="SimSun" w:eastAsia="SimSun" w:cs="SimSun"/>
          <w:sz w:val="29"/>
          <w:szCs w:val="29"/>
          <w:b/>
          <w:bCs/>
          <w:spacing w:val="-6"/>
        </w:rPr>
        <w:t>裁量标准</w:t>
      </w:r>
    </w:p>
    <w:tbl>
      <w:tblPr>
        <w:tblStyle w:val="TableNormal"/>
        <w:tblW w:w="137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7644"/>
        <w:gridCol w:w="4681"/>
      </w:tblGrid>
      <w:tr>
        <w:trPr>
          <w:trHeight w:val="623" w:hRule="atLeast"/>
        </w:trPr>
        <w:tc>
          <w:tcPr>
            <w:tcW w:w="1414" w:type="dxa"/>
            <w:vAlign w:val="top"/>
          </w:tcPr>
          <w:p>
            <w:pPr>
              <w:pStyle w:val="TableText"/>
              <w:ind w:left="218"/>
              <w:spacing w:before="192" w:line="220" w:lineRule="auto"/>
              <w:rPr/>
            </w:pPr>
            <w:r>
              <w:rPr>
                <w:b/>
                <w:bCs/>
                <w:spacing w:val="-5"/>
              </w:rPr>
              <w:t>违法程度</w:t>
            </w:r>
          </w:p>
        </w:tc>
        <w:tc>
          <w:tcPr>
            <w:tcW w:w="7644" w:type="dxa"/>
            <w:vAlign w:val="top"/>
          </w:tcPr>
          <w:p>
            <w:pPr>
              <w:pStyle w:val="TableText"/>
              <w:ind w:left="3254"/>
              <w:spacing w:before="192" w:line="220" w:lineRule="auto"/>
              <w:rPr/>
            </w:pPr>
            <w:r>
              <w:rPr>
                <w:b/>
                <w:bCs/>
                <w:spacing w:val="-5"/>
              </w:rPr>
              <w:t>情节后果</w:t>
            </w:r>
          </w:p>
        </w:tc>
        <w:tc>
          <w:tcPr>
            <w:tcW w:w="4681" w:type="dxa"/>
            <w:vAlign w:val="top"/>
          </w:tcPr>
          <w:p>
            <w:pPr>
              <w:pStyle w:val="TableText"/>
              <w:ind w:left="1760"/>
              <w:spacing w:before="18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707" w:hRule="atLeast"/>
        </w:trPr>
        <w:tc>
          <w:tcPr>
            <w:tcW w:w="1414" w:type="dxa"/>
            <w:vAlign w:val="top"/>
          </w:tcPr>
          <w:p>
            <w:pPr>
              <w:spacing w:line="260" w:lineRule="auto"/>
              <w:rPr>
                <w:rFonts w:ascii="Arial"/>
                <w:sz w:val="21"/>
              </w:rPr>
            </w:pPr>
            <w:r/>
          </w:p>
          <w:p>
            <w:pPr>
              <w:pStyle w:val="TableText"/>
              <w:ind w:left="458"/>
              <w:spacing w:before="78" w:line="221" w:lineRule="auto"/>
              <w:rPr/>
            </w:pPr>
            <w:r>
              <w:rPr>
                <w:b/>
                <w:bCs/>
                <w:spacing w:val="-10"/>
              </w:rPr>
              <w:t>一般</w:t>
            </w:r>
          </w:p>
        </w:tc>
        <w:tc>
          <w:tcPr>
            <w:tcW w:w="7644" w:type="dxa"/>
            <w:vAlign w:val="top"/>
          </w:tcPr>
          <w:p>
            <w:pPr>
              <w:pStyle w:val="TableText"/>
              <w:ind w:left="100" w:right="73" w:firstLine="20"/>
              <w:spacing w:before="88" w:line="234" w:lineRule="auto"/>
              <w:rPr/>
            </w:pPr>
            <w:r>
              <w:rPr/>
              <w:t>有关职业卫生防护措施和待遇等如实告知劳动者并在劳动合同中写</w:t>
            </w:r>
            <w:r>
              <w:rPr>
                <w:spacing w:val="-1"/>
              </w:rPr>
              <w:t>明，</w:t>
            </w:r>
            <w:r>
              <w:rPr/>
              <w:t xml:space="preserve"> </w:t>
            </w:r>
            <w:r>
              <w:rPr>
                <w:spacing w:val="2"/>
              </w:rPr>
              <w:t>人数3人以下的</w:t>
            </w:r>
          </w:p>
        </w:tc>
        <w:tc>
          <w:tcPr>
            <w:tcW w:w="4681" w:type="dxa"/>
            <w:vAlign w:val="top"/>
          </w:tcPr>
          <w:p>
            <w:pPr>
              <w:pStyle w:val="TableText"/>
              <w:ind w:left="116" w:right="103"/>
              <w:spacing w:before="99" w:line="230" w:lineRule="auto"/>
              <w:rPr/>
            </w:pPr>
            <w:r>
              <w:rPr/>
              <w:t>给予警告，责令限期改正，可以并处5万元</w:t>
            </w:r>
            <w:r>
              <w:rPr>
                <w:spacing w:val="9"/>
              </w:rPr>
              <w:t xml:space="preserve"> </w:t>
            </w:r>
            <w:r>
              <w:rPr>
                <w:spacing w:val="1"/>
              </w:rPr>
              <w:t>以上8万元以下的罚款</w:t>
            </w:r>
          </w:p>
        </w:tc>
      </w:tr>
      <w:tr>
        <w:trPr>
          <w:trHeight w:val="707" w:hRule="atLeast"/>
        </w:trPr>
        <w:tc>
          <w:tcPr>
            <w:tcW w:w="1414" w:type="dxa"/>
            <w:vAlign w:val="top"/>
          </w:tcPr>
          <w:p>
            <w:pPr>
              <w:spacing w:line="265" w:lineRule="auto"/>
              <w:rPr>
                <w:rFonts w:ascii="Arial"/>
                <w:sz w:val="21"/>
              </w:rPr>
            </w:pPr>
            <w:r/>
          </w:p>
          <w:p>
            <w:pPr>
              <w:pStyle w:val="TableText"/>
              <w:ind w:left="458"/>
              <w:spacing w:before="78" w:line="221" w:lineRule="auto"/>
              <w:rPr/>
            </w:pPr>
            <w:r>
              <w:rPr>
                <w:b/>
                <w:bCs/>
                <w:spacing w:val="-5"/>
              </w:rPr>
              <w:t>较重</w:t>
            </w:r>
          </w:p>
        </w:tc>
        <w:tc>
          <w:tcPr>
            <w:tcW w:w="7644" w:type="dxa"/>
            <w:vAlign w:val="top"/>
          </w:tcPr>
          <w:p>
            <w:pPr>
              <w:pStyle w:val="TableText"/>
              <w:ind w:left="100" w:right="93"/>
              <w:spacing w:before="93" w:line="232" w:lineRule="auto"/>
              <w:rPr/>
            </w:pPr>
            <w:r>
              <w:rPr/>
              <w:t>有关职业卫生防护措施和待遇等如实告知劳动者并在劳动合同中写</w:t>
            </w:r>
            <w:r>
              <w:rPr>
                <w:spacing w:val="-1"/>
              </w:rPr>
              <w:t>明，</w:t>
            </w:r>
            <w:r>
              <w:rPr/>
              <w:t xml:space="preserve"> </w:t>
            </w:r>
            <w:r>
              <w:rPr>
                <w:spacing w:val="2"/>
              </w:rPr>
              <w:t>人数4人以上的</w:t>
            </w:r>
          </w:p>
        </w:tc>
        <w:tc>
          <w:tcPr>
            <w:tcW w:w="4681" w:type="dxa"/>
            <w:vAlign w:val="top"/>
          </w:tcPr>
          <w:p>
            <w:pPr>
              <w:pStyle w:val="TableText"/>
              <w:ind w:left="125" w:right="103" w:hanging="9"/>
              <w:spacing w:before="101" w:line="229" w:lineRule="auto"/>
              <w:rPr/>
            </w:pPr>
            <w:r>
              <w:rPr/>
              <w:t>给予警告，责令限期改正，可以并处8万元</w:t>
            </w:r>
            <w:r>
              <w:rPr>
                <w:spacing w:val="9"/>
              </w:rPr>
              <w:t xml:space="preserve"> </w:t>
            </w:r>
            <w:r>
              <w:rPr/>
              <w:t>以上10万元以下的罚款</w:t>
            </w:r>
          </w:p>
        </w:tc>
      </w:tr>
      <w:tr>
        <w:trPr>
          <w:trHeight w:val="712" w:hRule="atLeast"/>
        </w:trPr>
        <w:tc>
          <w:tcPr>
            <w:tcW w:w="1414" w:type="dxa"/>
            <w:vAlign w:val="top"/>
          </w:tcPr>
          <w:p>
            <w:pPr>
              <w:spacing w:line="275" w:lineRule="auto"/>
              <w:rPr>
                <w:rFonts w:ascii="Arial"/>
                <w:sz w:val="21"/>
              </w:rPr>
            </w:pPr>
            <w:r/>
          </w:p>
          <w:p>
            <w:pPr>
              <w:pStyle w:val="TableText"/>
              <w:ind w:left="458"/>
              <w:spacing w:before="78" w:line="220" w:lineRule="auto"/>
              <w:rPr/>
            </w:pPr>
            <w:r>
              <w:rPr>
                <w:b/>
                <w:bCs/>
                <w:spacing w:val="-6"/>
              </w:rPr>
              <w:t>严重</w:t>
            </w:r>
          </w:p>
        </w:tc>
        <w:tc>
          <w:tcPr>
            <w:tcW w:w="7644" w:type="dxa"/>
            <w:vAlign w:val="top"/>
          </w:tcPr>
          <w:p>
            <w:pPr>
              <w:pStyle w:val="TableText"/>
              <w:ind w:left="100"/>
              <w:spacing w:before="247" w:line="219" w:lineRule="auto"/>
              <w:rPr/>
            </w:pPr>
            <w:r>
              <w:rPr>
                <w:spacing w:val="1"/>
              </w:rPr>
              <w:t>逾期不改正的；或造成严重后果的</w:t>
            </w:r>
          </w:p>
        </w:tc>
        <w:tc>
          <w:tcPr>
            <w:tcW w:w="4681" w:type="dxa"/>
            <w:vAlign w:val="top"/>
          </w:tcPr>
          <w:p>
            <w:pPr>
              <w:pStyle w:val="TableText"/>
              <w:ind w:left="177" w:right="42" w:hanging="120"/>
              <w:spacing w:before="96" w:line="233" w:lineRule="auto"/>
              <w:rPr/>
            </w:pPr>
            <w:r>
              <w:rPr/>
              <w:t>责令停止使用有毒物品作业，或者提请有关</w:t>
            </w:r>
            <w:r>
              <w:rPr>
                <w:spacing w:val="10"/>
              </w:rPr>
              <w:t xml:space="preserve"> </w:t>
            </w:r>
            <w:r>
              <w:rPr>
                <w:spacing w:val="1"/>
              </w:rPr>
              <w:t>人民政府按照国务院规定的权限予以关闭</w:t>
            </w:r>
          </w:p>
        </w:tc>
      </w:tr>
    </w:tbl>
    <w:p>
      <w:pPr>
        <w:pStyle w:val="BodyText"/>
        <w:spacing w:line="444" w:lineRule="auto"/>
        <w:rPr/>
      </w:pPr>
      <w:r/>
    </w:p>
    <w:p>
      <w:pPr>
        <w:ind w:left="9" w:right="131" w:firstLine="639"/>
        <w:spacing w:before="98" w:line="280" w:lineRule="auto"/>
        <w:rPr>
          <w:rFonts w:ascii="FangSong" w:hAnsi="FangSong" w:eastAsia="FangSong" w:cs="FangSong"/>
          <w:sz w:val="30"/>
          <w:szCs w:val="30"/>
        </w:rPr>
      </w:pPr>
      <w:r>
        <w:rPr>
          <w:rFonts w:ascii="FangSong" w:hAnsi="FangSong" w:eastAsia="FangSong" w:cs="FangSong"/>
          <w:sz w:val="30"/>
          <w:szCs w:val="30"/>
          <w:b/>
          <w:bCs/>
          <w:spacing w:val="21"/>
        </w:rPr>
        <w:t>第五百零一条劳动者在存在威胁生命、健康危险的情况</w:t>
      </w:r>
      <w:r>
        <w:rPr>
          <w:rFonts w:ascii="FangSong" w:hAnsi="FangSong" w:eastAsia="FangSong" w:cs="FangSong"/>
          <w:sz w:val="30"/>
          <w:szCs w:val="30"/>
          <w:b/>
          <w:bCs/>
          <w:spacing w:val="20"/>
        </w:rPr>
        <w:t>下，从危险现场中撤离，而被取消或者</w:t>
      </w:r>
      <w:r>
        <w:rPr>
          <w:rFonts w:ascii="FangSong" w:hAnsi="FangSong" w:eastAsia="FangSong" w:cs="FangSong"/>
          <w:sz w:val="30"/>
          <w:szCs w:val="30"/>
        </w:rPr>
        <w:t xml:space="preserve"> </w:t>
      </w:r>
      <w:r>
        <w:rPr>
          <w:rFonts w:ascii="FangSong" w:hAnsi="FangSong" w:eastAsia="FangSong" w:cs="FangSong"/>
          <w:sz w:val="30"/>
          <w:szCs w:val="30"/>
          <w:b/>
          <w:bCs/>
          <w:spacing w:val="15"/>
        </w:rPr>
        <w:t>减少应当享有的待遇的</w:t>
      </w:r>
    </w:p>
    <w:p>
      <w:pPr>
        <w:ind w:left="644"/>
        <w:spacing w:line="222" w:lineRule="auto"/>
        <w:rPr>
          <w:rFonts w:ascii="FangSong" w:hAnsi="FangSong" w:eastAsia="FangSong" w:cs="FangSong"/>
          <w:sz w:val="30"/>
          <w:szCs w:val="30"/>
        </w:rPr>
      </w:pPr>
      <w:r>
        <w:rPr>
          <w:rFonts w:ascii="FangSong" w:hAnsi="FangSong" w:eastAsia="FangSong" w:cs="FangSong"/>
          <w:sz w:val="30"/>
          <w:szCs w:val="30"/>
          <w:spacing w:val="4"/>
        </w:rPr>
        <w:t>法律依据：</w:t>
      </w:r>
    </w:p>
    <w:p>
      <w:pPr>
        <w:ind w:left="5" w:firstLine="640"/>
        <w:spacing w:before="15" w:line="253" w:lineRule="auto"/>
        <w:jc w:val="both"/>
        <w:rPr>
          <w:rFonts w:ascii="FangSong" w:hAnsi="FangSong" w:eastAsia="FangSong" w:cs="FangSong"/>
          <w:sz w:val="30"/>
          <w:szCs w:val="30"/>
        </w:rPr>
      </w:pPr>
      <w:r>
        <w:rPr>
          <w:rFonts w:ascii="FangSong" w:hAnsi="FangSong" w:eastAsia="FangSong" w:cs="FangSong"/>
          <w:sz w:val="30"/>
          <w:szCs w:val="30"/>
          <w:spacing w:val="22"/>
        </w:rPr>
        <w:t>《使用有毒物品作业场所劳动保护条例》第六十七条第(九)项</w:t>
      </w:r>
      <w:r>
        <w:rPr>
          <w:rFonts w:ascii="FangSong" w:hAnsi="FangSong" w:eastAsia="FangSong" w:cs="FangSong"/>
          <w:sz w:val="30"/>
          <w:szCs w:val="30"/>
          <w:spacing w:val="22"/>
        </w:rPr>
        <w:t xml:space="preserve">   </w:t>
      </w:r>
      <w:r>
        <w:rPr>
          <w:rFonts w:ascii="FangSong" w:hAnsi="FangSong" w:eastAsia="FangSong" w:cs="FangSong"/>
          <w:sz w:val="30"/>
          <w:szCs w:val="30"/>
          <w:spacing w:val="22"/>
        </w:rPr>
        <w:t>用人单</w:t>
      </w:r>
      <w:r>
        <w:rPr>
          <w:rFonts w:ascii="FangSong" w:hAnsi="FangSong" w:eastAsia="FangSong" w:cs="FangSong"/>
          <w:sz w:val="30"/>
          <w:szCs w:val="30"/>
          <w:spacing w:val="21"/>
        </w:rPr>
        <w:t>位违反本条例的规定，</w:t>
      </w:r>
      <w:r>
        <w:rPr>
          <w:rFonts w:ascii="FangSong" w:hAnsi="FangSong" w:eastAsia="FangSong" w:cs="FangSong"/>
          <w:sz w:val="30"/>
          <w:szCs w:val="30"/>
        </w:rPr>
        <w:t xml:space="preserve"> </w:t>
      </w:r>
      <w:r>
        <w:rPr>
          <w:rFonts w:ascii="FangSong" w:hAnsi="FangSong" w:eastAsia="FangSong" w:cs="FangSong"/>
          <w:sz w:val="30"/>
          <w:szCs w:val="30"/>
          <w:spacing w:val="26"/>
        </w:rPr>
        <w:t>有下列行为之一的，由疾病预防控制部门给予警告，责令限期改正，可以并处5万元以上10万元以</w:t>
      </w:r>
      <w:r>
        <w:rPr>
          <w:rFonts w:ascii="FangSong" w:hAnsi="FangSong" w:eastAsia="FangSong" w:cs="FangSong"/>
          <w:sz w:val="30"/>
          <w:szCs w:val="30"/>
          <w:spacing w:val="4"/>
        </w:rPr>
        <w:t xml:space="preserve">  </w:t>
      </w:r>
      <w:r>
        <w:rPr>
          <w:rFonts w:ascii="FangSong" w:hAnsi="FangSong" w:eastAsia="FangSong" w:cs="FangSong"/>
          <w:sz w:val="30"/>
          <w:szCs w:val="30"/>
          <w:spacing w:val="17"/>
        </w:rPr>
        <w:t>下的罚款；逾期不改正的，责令停止使用有毒物品作业，或者提请有关人民政</w:t>
      </w:r>
      <w:r>
        <w:rPr>
          <w:rFonts w:ascii="FangSong" w:hAnsi="FangSong" w:eastAsia="FangSong" w:cs="FangSong"/>
          <w:sz w:val="30"/>
          <w:szCs w:val="30"/>
          <w:spacing w:val="16"/>
        </w:rPr>
        <w:t>府按照国务院规定的权</w:t>
      </w:r>
      <w:r>
        <w:rPr>
          <w:rFonts w:ascii="FangSong" w:hAnsi="FangSong" w:eastAsia="FangSong" w:cs="FangSong"/>
          <w:sz w:val="30"/>
          <w:szCs w:val="30"/>
        </w:rPr>
        <w:t xml:space="preserve"> </w:t>
      </w:r>
      <w:r>
        <w:rPr>
          <w:rFonts w:ascii="FangSong" w:hAnsi="FangSong" w:eastAsia="FangSong" w:cs="FangSong"/>
          <w:sz w:val="30"/>
          <w:szCs w:val="30"/>
          <w:spacing w:val="1"/>
        </w:rPr>
        <w:t>限予以关闭：</w:t>
      </w:r>
    </w:p>
    <w:p>
      <w:pPr>
        <w:ind w:left="784"/>
        <w:spacing w:before="244" w:line="219" w:lineRule="auto"/>
        <w:rPr>
          <w:rFonts w:ascii="FangSong" w:hAnsi="FangSong" w:eastAsia="FangSong" w:cs="FangSong"/>
          <w:sz w:val="30"/>
          <w:szCs w:val="30"/>
        </w:rPr>
      </w:pPr>
      <w:r>
        <w:rPr>
          <w:rFonts w:ascii="FangSong" w:hAnsi="FangSong" w:eastAsia="FangSong" w:cs="FangSong"/>
          <w:sz w:val="30"/>
          <w:szCs w:val="30"/>
          <w:spacing w:val="21"/>
        </w:rPr>
        <w:t>(九)劳动者在存在威胁生命、健康危险的情况下，从危险现场中</w:t>
      </w:r>
      <w:r>
        <w:rPr>
          <w:rFonts w:ascii="FangSong" w:hAnsi="FangSong" w:eastAsia="FangSong" w:cs="FangSong"/>
          <w:sz w:val="30"/>
          <w:szCs w:val="30"/>
          <w:spacing w:val="20"/>
        </w:rPr>
        <w:t>撤离，而被取消或者减少应当</w:t>
      </w:r>
    </w:p>
    <w:p>
      <w:pPr>
        <w:spacing w:line="219" w:lineRule="auto"/>
        <w:sectPr>
          <w:footerReference w:type="default" r:id="rId532"/>
          <w:pgSz w:w="16830" w:h="11900"/>
          <w:pgMar w:top="1011" w:right="1330" w:bottom="1117" w:left="1445" w:header="0" w:footer="784" w:gutter="0"/>
        </w:sectPr>
        <w:rPr>
          <w:rFonts w:ascii="FangSong" w:hAnsi="FangSong" w:eastAsia="FangSong" w:cs="FangSong"/>
          <w:sz w:val="30"/>
          <w:szCs w:val="30"/>
        </w:rPr>
      </w:pPr>
    </w:p>
    <w:p>
      <w:pPr>
        <w:pStyle w:val="BodyText"/>
        <w:spacing w:line="272" w:lineRule="auto"/>
        <w:rPr/>
      </w:pPr>
      <w:r/>
    </w:p>
    <w:p>
      <w:pPr>
        <w:pStyle w:val="BodyText"/>
        <w:spacing w:line="272" w:lineRule="auto"/>
        <w:rPr/>
      </w:pPr>
      <w:r/>
    </w:p>
    <w:p>
      <w:pPr>
        <w:pStyle w:val="BodyText"/>
        <w:spacing w:line="272" w:lineRule="auto"/>
        <w:rPr/>
      </w:pPr>
      <w:r/>
    </w:p>
    <w:p>
      <w:pPr>
        <w:ind w:left="25"/>
        <w:spacing w:before="95" w:line="222" w:lineRule="auto"/>
        <w:rPr>
          <w:rFonts w:ascii="FangSong" w:hAnsi="FangSong" w:eastAsia="FangSong" w:cs="FangSong"/>
          <w:sz w:val="29"/>
          <w:szCs w:val="29"/>
        </w:rPr>
      </w:pPr>
      <w:r>
        <w:rPr>
          <w:rFonts w:ascii="FangSong" w:hAnsi="FangSong" w:eastAsia="FangSong" w:cs="FangSong"/>
          <w:sz w:val="29"/>
          <w:szCs w:val="29"/>
          <w:spacing w:val="16"/>
        </w:rPr>
        <w:t>享有的待遇的。</w:t>
      </w:r>
    </w:p>
    <w:p>
      <w:pPr>
        <w:ind w:left="6429"/>
        <w:spacing w:before="212" w:line="220" w:lineRule="auto"/>
        <w:rPr>
          <w:rFonts w:ascii="SimSun" w:hAnsi="SimSun" w:eastAsia="SimSun" w:cs="SimSun"/>
          <w:sz w:val="29"/>
          <w:szCs w:val="29"/>
        </w:rPr>
      </w:pPr>
      <w:bookmarkStart w:name="bookmark1163" w:id="539"/>
      <w:bookmarkEnd w:id="539"/>
      <w:r>
        <w:rPr>
          <w:rFonts w:ascii="SimSun" w:hAnsi="SimSun" w:eastAsia="SimSun" w:cs="SimSun"/>
          <w:sz w:val="29"/>
          <w:szCs w:val="29"/>
          <w:b/>
          <w:bCs/>
          <w:spacing w:val="-6"/>
        </w:rPr>
        <w:t>裁量标准</w:t>
      </w:r>
    </w:p>
    <w:tbl>
      <w:tblPr>
        <w:tblStyle w:val="TableNormal"/>
        <w:tblW w:w="1347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3"/>
        <w:gridCol w:w="7994"/>
        <w:gridCol w:w="4072"/>
      </w:tblGrid>
      <w:tr>
        <w:trPr>
          <w:trHeight w:val="563" w:hRule="atLeast"/>
        </w:trPr>
        <w:tc>
          <w:tcPr>
            <w:tcW w:w="1413" w:type="dxa"/>
            <w:vAlign w:val="top"/>
          </w:tcPr>
          <w:p>
            <w:pPr>
              <w:pStyle w:val="TableText"/>
              <w:ind w:left="198"/>
              <w:spacing w:before="162" w:line="220" w:lineRule="auto"/>
              <w:rPr>
                <w:sz w:val="25"/>
                <w:szCs w:val="25"/>
              </w:rPr>
            </w:pPr>
            <w:r>
              <w:rPr>
                <w:sz w:val="25"/>
                <w:szCs w:val="25"/>
                <w:b/>
                <w:bCs/>
                <w:spacing w:val="-5"/>
              </w:rPr>
              <w:t>违法程度</w:t>
            </w:r>
          </w:p>
        </w:tc>
        <w:tc>
          <w:tcPr>
            <w:tcW w:w="7994" w:type="dxa"/>
            <w:vAlign w:val="top"/>
          </w:tcPr>
          <w:p>
            <w:pPr>
              <w:pStyle w:val="TableText"/>
              <w:ind w:left="3435"/>
              <w:spacing w:before="162" w:line="220" w:lineRule="auto"/>
              <w:rPr>
                <w:sz w:val="25"/>
                <w:szCs w:val="25"/>
              </w:rPr>
            </w:pPr>
            <w:r>
              <w:rPr>
                <w:sz w:val="25"/>
                <w:szCs w:val="25"/>
                <w:b/>
                <w:bCs/>
                <w:spacing w:val="-5"/>
              </w:rPr>
              <w:t>情节后果</w:t>
            </w:r>
          </w:p>
        </w:tc>
        <w:tc>
          <w:tcPr>
            <w:tcW w:w="4072" w:type="dxa"/>
            <w:vAlign w:val="top"/>
          </w:tcPr>
          <w:p>
            <w:pPr>
              <w:pStyle w:val="TableText"/>
              <w:ind w:left="1531"/>
              <w:spacing w:before="159" w:line="218" w:lineRule="auto"/>
              <w:rPr>
                <w:sz w:val="25"/>
                <w:szCs w:val="25"/>
              </w:rPr>
            </w:pPr>
            <w:r>
              <w:rPr>
                <w:sz w:val="25"/>
                <w:szCs w:val="25"/>
                <w:b/>
                <w:bCs/>
                <w:spacing w:val="-5"/>
              </w:rPr>
              <w:t>裁量幅度</w:t>
            </w:r>
          </w:p>
        </w:tc>
      </w:tr>
      <w:tr>
        <w:trPr>
          <w:trHeight w:val="668" w:hRule="atLeast"/>
        </w:trPr>
        <w:tc>
          <w:tcPr>
            <w:tcW w:w="1413" w:type="dxa"/>
            <w:vAlign w:val="top"/>
          </w:tcPr>
          <w:p>
            <w:pPr>
              <w:pStyle w:val="TableText"/>
              <w:ind w:left="448"/>
              <w:spacing w:before="310" w:line="221" w:lineRule="auto"/>
              <w:rPr>
                <w:sz w:val="25"/>
                <w:szCs w:val="25"/>
              </w:rPr>
            </w:pPr>
            <w:r>
              <w:rPr>
                <w:sz w:val="25"/>
                <w:szCs w:val="25"/>
                <w:b/>
                <w:bCs/>
                <w:spacing w:val="-10"/>
              </w:rPr>
              <w:t>一般</w:t>
            </w:r>
          </w:p>
        </w:tc>
        <w:tc>
          <w:tcPr>
            <w:tcW w:w="7994" w:type="dxa"/>
            <w:vAlign w:val="top"/>
          </w:tcPr>
          <w:p>
            <w:pPr>
              <w:pStyle w:val="TableText"/>
              <w:ind w:left="91" w:firstLine="9"/>
              <w:spacing w:before="72" w:line="216" w:lineRule="auto"/>
              <w:rPr>
                <w:sz w:val="25"/>
                <w:szCs w:val="25"/>
              </w:rPr>
            </w:pPr>
            <w:r>
              <w:rPr>
                <w:sz w:val="25"/>
                <w:szCs w:val="25"/>
                <w:spacing w:val="-11"/>
              </w:rPr>
              <w:t>劳动者在存在威胁生命、健康危险的情况下，从危险现场中撤</w:t>
            </w:r>
            <w:r>
              <w:rPr>
                <w:sz w:val="25"/>
                <w:szCs w:val="25"/>
                <w:spacing w:val="-12"/>
              </w:rPr>
              <w:t>离，而被取消</w:t>
            </w:r>
            <w:r>
              <w:rPr>
                <w:sz w:val="25"/>
                <w:szCs w:val="25"/>
              </w:rPr>
              <w:t xml:space="preserve"> </w:t>
            </w:r>
            <w:r>
              <w:rPr>
                <w:sz w:val="25"/>
                <w:szCs w:val="25"/>
              </w:rPr>
              <w:t>或者减少应当享有的待遇，人数3人以下的</w:t>
            </w:r>
          </w:p>
        </w:tc>
        <w:tc>
          <w:tcPr>
            <w:tcW w:w="4072" w:type="dxa"/>
            <w:vAlign w:val="top"/>
          </w:tcPr>
          <w:p>
            <w:pPr>
              <w:pStyle w:val="TableText"/>
              <w:ind w:left="126" w:right="23" w:hanging="99"/>
              <w:spacing w:before="70" w:line="217" w:lineRule="auto"/>
              <w:rPr>
                <w:sz w:val="25"/>
                <w:szCs w:val="25"/>
              </w:rPr>
            </w:pPr>
            <w:r>
              <w:rPr>
                <w:sz w:val="25"/>
                <w:szCs w:val="25"/>
              </w:rPr>
              <w:t>给予警告，责令限期改正，可以并处</w:t>
            </w:r>
            <w:r>
              <w:rPr>
                <w:sz w:val="25"/>
                <w:szCs w:val="25"/>
                <w:spacing w:val="9"/>
              </w:rPr>
              <w:t xml:space="preserve"> </w:t>
            </w:r>
            <w:r>
              <w:rPr>
                <w:sz w:val="25"/>
                <w:szCs w:val="25"/>
              </w:rPr>
              <w:t>5万元以上8万元以下的罚款</w:t>
            </w:r>
          </w:p>
        </w:tc>
      </w:tr>
      <w:tr>
        <w:trPr>
          <w:trHeight w:val="697" w:hRule="atLeast"/>
        </w:trPr>
        <w:tc>
          <w:tcPr>
            <w:tcW w:w="1413" w:type="dxa"/>
            <w:vAlign w:val="top"/>
          </w:tcPr>
          <w:p>
            <w:pPr>
              <w:spacing w:line="251" w:lineRule="auto"/>
              <w:rPr>
                <w:rFonts w:ascii="Arial"/>
                <w:sz w:val="21"/>
              </w:rPr>
            </w:pPr>
            <w:r/>
          </w:p>
          <w:p>
            <w:pPr>
              <w:pStyle w:val="TableText"/>
              <w:ind w:left="448"/>
              <w:spacing w:before="81" w:line="221" w:lineRule="auto"/>
              <w:rPr>
                <w:sz w:val="25"/>
                <w:szCs w:val="25"/>
              </w:rPr>
            </w:pPr>
            <w:r>
              <w:rPr>
                <w:sz w:val="25"/>
                <w:szCs w:val="25"/>
                <w:b/>
                <w:bCs/>
                <w:spacing w:val="-6"/>
              </w:rPr>
              <w:t>较重</w:t>
            </w:r>
          </w:p>
        </w:tc>
        <w:tc>
          <w:tcPr>
            <w:tcW w:w="7994" w:type="dxa"/>
            <w:vAlign w:val="top"/>
          </w:tcPr>
          <w:p>
            <w:pPr>
              <w:pStyle w:val="TableText"/>
              <w:ind w:left="91" w:firstLine="9"/>
              <w:spacing w:before="74" w:line="226" w:lineRule="auto"/>
              <w:rPr>
                <w:sz w:val="25"/>
                <w:szCs w:val="25"/>
              </w:rPr>
            </w:pPr>
            <w:r>
              <w:rPr>
                <w:sz w:val="25"/>
                <w:szCs w:val="25"/>
                <w:spacing w:val="-11"/>
              </w:rPr>
              <w:t>劳动者在存在威胁生命、健康危险的情况下，从危险现场中撤</w:t>
            </w:r>
            <w:r>
              <w:rPr>
                <w:sz w:val="25"/>
                <w:szCs w:val="25"/>
                <w:spacing w:val="-12"/>
              </w:rPr>
              <w:t>离，而被取消</w:t>
            </w:r>
            <w:r>
              <w:rPr>
                <w:sz w:val="25"/>
                <w:szCs w:val="25"/>
              </w:rPr>
              <w:t xml:space="preserve"> </w:t>
            </w:r>
            <w:r>
              <w:rPr>
                <w:sz w:val="25"/>
                <w:szCs w:val="25"/>
              </w:rPr>
              <w:t>或者减少应当享有的待遇，人数4人以上的</w:t>
            </w:r>
          </w:p>
        </w:tc>
        <w:tc>
          <w:tcPr>
            <w:tcW w:w="4072" w:type="dxa"/>
            <w:vAlign w:val="top"/>
          </w:tcPr>
          <w:p>
            <w:pPr>
              <w:pStyle w:val="TableText"/>
              <w:ind w:left="117" w:right="23" w:hanging="90"/>
              <w:spacing w:before="72" w:line="227" w:lineRule="auto"/>
              <w:rPr>
                <w:sz w:val="25"/>
                <w:szCs w:val="25"/>
              </w:rPr>
            </w:pPr>
            <w:r>
              <w:rPr>
                <w:sz w:val="25"/>
                <w:szCs w:val="25"/>
              </w:rPr>
              <w:t>给予警告，责令限期改正，可以并处</w:t>
            </w:r>
            <w:r>
              <w:rPr>
                <w:sz w:val="25"/>
                <w:szCs w:val="25"/>
                <w:spacing w:val="9"/>
              </w:rPr>
              <w:t xml:space="preserve"> </w:t>
            </w:r>
            <w:r>
              <w:rPr>
                <w:sz w:val="25"/>
                <w:szCs w:val="25"/>
                <w:spacing w:val="-1"/>
              </w:rPr>
              <w:t>8万元以上10万元以下的罚款</w:t>
            </w:r>
          </w:p>
        </w:tc>
      </w:tr>
      <w:tr>
        <w:trPr>
          <w:trHeight w:val="991" w:hRule="atLeast"/>
        </w:trPr>
        <w:tc>
          <w:tcPr>
            <w:tcW w:w="1413" w:type="dxa"/>
            <w:vAlign w:val="top"/>
          </w:tcPr>
          <w:p>
            <w:pPr>
              <w:spacing w:line="400" w:lineRule="auto"/>
              <w:rPr>
                <w:rFonts w:ascii="Arial"/>
                <w:sz w:val="21"/>
              </w:rPr>
            </w:pPr>
            <w:r/>
          </w:p>
          <w:p>
            <w:pPr>
              <w:pStyle w:val="TableText"/>
              <w:ind w:left="448"/>
              <w:spacing w:before="82" w:line="220" w:lineRule="auto"/>
              <w:rPr>
                <w:sz w:val="25"/>
                <w:szCs w:val="25"/>
              </w:rPr>
            </w:pPr>
            <w:r>
              <w:rPr>
                <w:sz w:val="25"/>
                <w:szCs w:val="25"/>
                <w:b/>
                <w:bCs/>
                <w:spacing w:val="-6"/>
              </w:rPr>
              <w:t>严重</w:t>
            </w:r>
          </w:p>
        </w:tc>
        <w:tc>
          <w:tcPr>
            <w:tcW w:w="7994" w:type="dxa"/>
            <w:vAlign w:val="top"/>
          </w:tcPr>
          <w:p>
            <w:pPr>
              <w:spacing w:line="294" w:lineRule="auto"/>
              <w:rPr>
                <w:rFonts w:ascii="Arial"/>
                <w:sz w:val="21"/>
              </w:rPr>
            </w:pPr>
            <w:r/>
          </w:p>
          <w:p>
            <w:pPr>
              <w:pStyle w:val="TableText"/>
              <w:ind w:left="91"/>
              <w:spacing w:before="81" w:line="219" w:lineRule="auto"/>
              <w:rPr>
                <w:sz w:val="25"/>
                <w:szCs w:val="25"/>
              </w:rPr>
            </w:pPr>
            <w:r>
              <w:rPr>
                <w:sz w:val="25"/>
                <w:szCs w:val="25"/>
                <w:spacing w:val="1"/>
              </w:rPr>
              <w:t>逾期不改正的；或造成严重后果的</w:t>
            </w:r>
          </w:p>
        </w:tc>
        <w:tc>
          <w:tcPr>
            <w:tcW w:w="4072" w:type="dxa"/>
            <w:vAlign w:val="top"/>
          </w:tcPr>
          <w:p>
            <w:pPr>
              <w:pStyle w:val="TableText"/>
              <w:ind w:left="27" w:right="23"/>
              <w:spacing w:before="66" w:line="225" w:lineRule="auto"/>
              <w:jc w:val="both"/>
              <w:rPr>
                <w:sz w:val="25"/>
                <w:szCs w:val="25"/>
              </w:rPr>
            </w:pPr>
            <w:r>
              <w:rPr>
                <w:sz w:val="25"/>
                <w:szCs w:val="25"/>
              </w:rPr>
              <w:t>责令停止使用有毒物品作业，或者提</w:t>
            </w:r>
            <w:r>
              <w:rPr>
                <w:sz w:val="25"/>
                <w:szCs w:val="25"/>
                <w:spacing w:val="9"/>
              </w:rPr>
              <w:t xml:space="preserve"> </w:t>
            </w:r>
            <w:r>
              <w:rPr>
                <w:sz w:val="25"/>
                <w:szCs w:val="25"/>
                <w:spacing w:val="-1"/>
              </w:rPr>
              <w:t>请有关人民政府按照国务院规定的权</w:t>
            </w:r>
            <w:r>
              <w:rPr>
                <w:sz w:val="25"/>
                <w:szCs w:val="25"/>
                <w:spacing w:val="7"/>
              </w:rPr>
              <w:t xml:space="preserve"> </w:t>
            </w:r>
            <w:r>
              <w:rPr>
                <w:sz w:val="25"/>
                <w:szCs w:val="25"/>
                <w:spacing w:val="24"/>
              </w:rPr>
              <w:t>限予以关闭</w:t>
            </w:r>
          </w:p>
        </w:tc>
      </w:tr>
    </w:tbl>
    <w:p>
      <w:pPr>
        <w:pStyle w:val="BodyText"/>
        <w:spacing w:line="470" w:lineRule="auto"/>
        <w:rPr/>
      </w:pPr>
      <w:r/>
    </w:p>
    <w:p>
      <w:pPr>
        <w:ind w:left="669"/>
        <w:spacing w:before="94" w:line="220" w:lineRule="auto"/>
        <w:rPr>
          <w:rFonts w:ascii="FangSong" w:hAnsi="FangSong" w:eastAsia="FangSong" w:cs="FangSong"/>
          <w:sz w:val="29"/>
          <w:szCs w:val="29"/>
        </w:rPr>
      </w:pPr>
      <w:r>
        <w:rPr>
          <w:rFonts w:ascii="FangSong" w:hAnsi="FangSong" w:eastAsia="FangSong" w:cs="FangSong"/>
          <w:sz w:val="29"/>
          <w:szCs w:val="29"/>
          <w:b/>
          <w:bCs/>
          <w:spacing w:val="32"/>
        </w:rPr>
        <w:t>第五百零二条对未进行离岗职业健康检查的劳动</w:t>
      </w:r>
      <w:r>
        <w:rPr>
          <w:rFonts w:ascii="FangSong" w:hAnsi="FangSong" w:eastAsia="FangSong" w:cs="FangSong"/>
          <w:sz w:val="29"/>
          <w:szCs w:val="29"/>
          <w:b/>
          <w:bCs/>
          <w:spacing w:val="31"/>
        </w:rPr>
        <w:t>者，解除或者终止与其订立的劳动合同的</w:t>
      </w:r>
    </w:p>
    <w:p>
      <w:pPr>
        <w:ind w:left="664"/>
        <w:spacing w:before="122" w:line="222" w:lineRule="auto"/>
        <w:rPr>
          <w:rFonts w:ascii="FangSong" w:hAnsi="FangSong" w:eastAsia="FangSong" w:cs="FangSong"/>
          <w:sz w:val="29"/>
          <w:szCs w:val="29"/>
        </w:rPr>
      </w:pPr>
      <w:r>
        <w:rPr>
          <w:rFonts w:ascii="FangSong" w:hAnsi="FangSong" w:eastAsia="FangSong" w:cs="FangSong"/>
          <w:sz w:val="29"/>
          <w:szCs w:val="29"/>
          <w:spacing w:val="11"/>
        </w:rPr>
        <w:t>法律依据：</w:t>
      </w:r>
    </w:p>
    <w:p>
      <w:pPr>
        <w:ind w:left="25" w:firstLine="634"/>
        <w:spacing w:before="64" w:line="275" w:lineRule="auto"/>
        <w:jc w:val="both"/>
        <w:rPr>
          <w:rFonts w:ascii="FangSong" w:hAnsi="FangSong" w:eastAsia="FangSong" w:cs="FangSong"/>
          <w:sz w:val="29"/>
          <w:szCs w:val="29"/>
        </w:rPr>
      </w:pPr>
      <w:r>
        <w:rPr>
          <w:rFonts w:ascii="FangSong" w:hAnsi="FangSong" w:eastAsia="FangSong" w:cs="FangSong"/>
          <w:sz w:val="29"/>
          <w:szCs w:val="29"/>
          <w:spacing w:val="31"/>
        </w:rPr>
        <w:t>《使用有毒物品作业场所劳动保护条例》第六十七条第(三)项</w:t>
      </w:r>
      <w:r>
        <w:rPr>
          <w:rFonts w:ascii="FangSong" w:hAnsi="FangSong" w:eastAsia="FangSong" w:cs="FangSong"/>
          <w:sz w:val="29"/>
          <w:szCs w:val="29"/>
          <w:spacing w:val="31"/>
        </w:rPr>
        <w:t xml:space="preserve">   </w:t>
      </w:r>
      <w:r>
        <w:rPr>
          <w:rFonts w:ascii="FangSong" w:hAnsi="FangSong" w:eastAsia="FangSong" w:cs="FangSong"/>
          <w:sz w:val="29"/>
          <w:szCs w:val="29"/>
          <w:spacing w:val="31"/>
        </w:rPr>
        <w:t>用人单位违反本条例的规定，</w:t>
      </w:r>
      <w:r>
        <w:rPr>
          <w:rFonts w:ascii="FangSong" w:hAnsi="FangSong" w:eastAsia="FangSong" w:cs="FangSong"/>
          <w:sz w:val="29"/>
          <w:szCs w:val="29"/>
          <w:spacing w:val="9"/>
        </w:rPr>
        <w:t xml:space="preserve"> </w:t>
      </w:r>
      <w:r>
        <w:rPr>
          <w:rFonts w:ascii="FangSong" w:hAnsi="FangSong" w:eastAsia="FangSong" w:cs="FangSong"/>
          <w:sz w:val="29"/>
          <w:szCs w:val="29"/>
          <w:spacing w:val="33"/>
        </w:rPr>
        <w:t>有下列行为之</w:t>
      </w:r>
      <w:r>
        <w:rPr>
          <w:rFonts w:ascii="FangSong" w:hAnsi="FangSong" w:eastAsia="FangSong" w:cs="FangSong"/>
          <w:sz w:val="29"/>
          <w:szCs w:val="29"/>
          <w:spacing w:val="-84"/>
        </w:rPr>
        <w:t xml:space="preserve"> </w:t>
      </w:r>
      <w:r>
        <w:rPr>
          <w:rFonts w:ascii="FangSong" w:hAnsi="FangSong" w:eastAsia="FangSong" w:cs="FangSong"/>
          <w:sz w:val="29"/>
          <w:szCs w:val="29"/>
          <w:spacing w:val="33"/>
        </w:rPr>
        <w:t>一</w:t>
      </w:r>
      <w:r>
        <w:rPr>
          <w:rFonts w:ascii="FangSong" w:hAnsi="FangSong" w:eastAsia="FangSong" w:cs="FangSong"/>
          <w:sz w:val="29"/>
          <w:szCs w:val="29"/>
          <w:spacing w:val="-72"/>
        </w:rPr>
        <w:t xml:space="preserve"> </w:t>
      </w:r>
      <w:r>
        <w:rPr>
          <w:rFonts w:ascii="FangSong" w:hAnsi="FangSong" w:eastAsia="FangSong" w:cs="FangSong"/>
          <w:sz w:val="29"/>
          <w:szCs w:val="29"/>
          <w:spacing w:val="33"/>
        </w:rPr>
        <w:t>的，由疾病预防控制部门给予警告，责令限期改正，可以并处5</w:t>
      </w:r>
      <w:r>
        <w:rPr>
          <w:rFonts w:ascii="FangSong" w:hAnsi="FangSong" w:eastAsia="FangSong" w:cs="FangSong"/>
          <w:sz w:val="29"/>
          <w:szCs w:val="29"/>
          <w:spacing w:val="32"/>
        </w:rPr>
        <w:t>万元以上10万元以</w:t>
      </w:r>
      <w:r>
        <w:rPr>
          <w:rFonts w:ascii="FangSong" w:hAnsi="FangSong" w:eastAsia="FangSong" w:cs="FangSong"/>
          <w:sz w:val="29"/>
          <w:szCs w:val="29"/>
        </w:rPr>
        <w:t xml:space="preserve">  </w:t>
      </w:r>
      <w:r>
        <w:rPr>
          <w:rFonts w:ascii="FangSong" w:hAnsi="FangSong" w:eastAsia="FangSong" w:cs="FangSong"/>
          <w:sz w:val="29"/>
          <w:szCs w:val="29"/>
          <w:spacing w:val="26"/>
        </w:rPr>
        <w:t>下的罚款；逾期不改正的，责令停止使用有毒物品作业，或者提请有关人民政府按照国务院规定的权</w:t>
      </w:r>
      <w:r>
        <w:rPr>
          <w:rFonts w:ascii="FangSong" w:hAnsi="FangSong" w:eastAsia="FangSong" w:cs="FangSong"/>
          <w:sz w:val="29"/>
          <w:szCs w:val="29"/>
          <w:spacing w:val="7"/>
        </w:rPr>
        <w:t xml:space="preserve">  </w:t>
      </w:r>
      <w:r>
        <w:rPr>
          <w:rFonts w:ascii="FangSong" w:hAnsi="FangSong" w:eastAsia="FangSong" w:cs="FangSong"/>
          <w:sz w:val="29"/>
          <w:szCs w:val="29"/>
          <w:spacing w:val="10"/>
        </w:rPr>
        <w:t>限予以关闭：</w:t>
      </w:r>
    </w:p>
    <w:p>
      <w:pPr>
        <w:ind w:left="794"/>
        <w:spacing w:before="65" w:line="220" w:lineRule="auto"/>
        <w:rPr>
          <w:rFonts w:ascii="FangSong" w:hAnsi="FangSong" w:eastAsia="FangSong" w:cs="FangSong"/>
          <w:sz w:val="29"/>
          <w:szCs w:val="29"/>
        </w:rPr>
      </w:pPr>
      <w:r>
        <w:rPr>
          <w:rFonts w:ascii="FangSong" w:hAnsi="FangSong" w:eastAsia="FangSong" w:cs="FangSong"/>
          <w:sz w:val="29"/>
          <w:szCs w:val="29"/>
          <w:spacing w:val="31"/>
        </w:rPr>
        <w:t>(三)对未进行离岗职业健康检查的劳动者，解除或者终止与其订立的劳动合同的；</w:t>
      </w:r>
    </w:p>
    <w:p>
      <w:pPr>
        <w:ind w:left="6429"/>
        <w:spacing w:before="223" w:line="221" w:lineRule="auto"/>
        <w:rPr>
          <w:rFonts w:ascii="SimHei" w:hAnsi="SimHei" w:eastAsia="SimHei" w:cs="SimHei"/>
          <w:sz w:val="29"/>
          <w:szCs w:val="29"/>
        </w:rPr>
      </w:pPr>
      <w:r>
        <w:rPr>
          <w:rFonts w:ascii="SimHei" w:hAnsi="SimHei" w:eastAsia="SimHei" w:cs="SimHei"/>
          <w:sz w:val="29"/>
          <w:szCs w:val="29"/>
          <w:b/>
          <w:bCs/>
          <w:spacing w:val="-6"/>
        </w:rPr>
        <w:t>裁量标准</w:t>
      </w:r>
    </w:p>
    <w:p>
      <w:pPr>
        <w:spacing w:line="221" w:lineRule="auto"/>
        <w:sectPr>
          <w:footerReference w:type="default" r:id="rId533"/>
          <w:pgSz w:w="16830" w:h="11900"/>
          <w:pgMar w:top="1011" w:right="1335" w:bottom="1117" w:left="1425" w:header="0" w:footer="784" w:gutter="0"/>
        </w:sectPr>
        <w:rPr>
          <w:rFonts w:ascii="SimHei" w:hAnsi="SimHei" w:eastAsia="SimHei" w:cs="SimHei"/>
          <w:sz w:val="29"/>
          <w:szCs w:val="29"/>
        </w:rPr>
      </w:pPr>
    </w:p>
    <w:p>
      <w:pPr>
        <w:spacing w:before="17"/>
        <w:rPr/>
      </w:pPr>
      <w:r/>
    </w:p>
    <w:p>
      <w:pPr>
        <w:spacing w:before="16"/>
        <w:rPr/>
      </w:pPr>
      <w:r/>
    </w:p>
    <w:p>
      <w:pPr>
        <w:spacing w:before="16"/>
        <w:rPr/>
      </w:pPr>
      <w:r/>
    </w:p>
    <w:tbl>
      <w:tblPr>
        <w:tblStyle w:val="TableNormal"/>
        <w:tblW w:w="1352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84"/>
        <w:gridCol w:w="6815"/>
        <w:gridCol w:w="5330"/>
      </w:tblGrid>
      <w:tr>
        <w:trPr>
          <w:trHeight w:val="533" w:hRule="atLeast"/>
        </w:trPr>
        <w:tc>
          <w:tcPr>
            <w:tcW w:w="1384" w:type="dxa"/>
            <w:vAlign w:val="top"/>
          </w:tcPr>
          <w:p>
            <w:pPr>
              <w:pStyle w:val="TableText"/>
              <w:ind w:left="208"/>
              <w:spacing w:before="152" w:line="220" w:lineRule="auto"/>
              <w:rPr/>
            </w:pPr>
            <w:bookmarkStart w:name="bookmark1164" w:id="540"/>
            <w:bookmarkEnd w:id="540"/>
            <w:r>
              <w:rPr>
                <w:b/>
                <w:bCs/>
                <w:spacing w:val="-5"/>
              </w:rPr>
              <w:t>违法程度</w:t>
            </w:r>
          </w:p>
        </w:tc>
        <w:tc>
          <w:tcPr>
            <w:tcW w:w="6815" w:type="dxa"/>
            <w:vAlign w:val="top"/>
          </w:tcPr>
          <w:p>
            <w:pPr>
              <w:pStyle w:val="TableText"/>
              <w:ind w:left="2854"/>
              <w:spacing w:before="152" w:line="220" w:lineRule="auto"/>
              <w:rPr/>
            </w:pPr>
            <w:r>
              <w:rPr>
                <w:b/>
                <w:bCs/>
                <w:spacing w:val="-5"/>
              </w:rPr>
              <w:t>情节后果</w:t>
            </w:r>
          </w:p>
        </w:tc>
        <w:tc>
          <w:tcPr>
            <w:tcW w:w="5330" w:type="dxa"/>
            <w:vAlign w:val="top"/>
          </w:tcPr>
          <w:p>
            <w:pPr>
              <w:pStyle w:val="TableText"/>
              <w:ind w:left="2129"/>
              <w:spacing w:before="14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97" w:hRule="atLeast"/>
        </w:trPr>
        <w:tc>
          <w:tcPr>
            <w:tcW w:w="1384" w:type="dxa"/>
            <w:vAlign w:val="top"/>
          </w:tcPr>
          <w:p>
            <w:pPr>
              <w:pStyle w:val="TableText"/>
              <w:ind w:left="448"/>
              <w:spacing w:before="229" w:line="221" w:lineRule="auto"/>
              <w:rPr/>
            </w:pPr>
            <w:r>
              <w:rPr>
                <w:b/>
                <w:bCs/>
                <w:spacing w:val="-10"/>
              </w:rPr>
              <w:t>一般</w:t>
            </w:r>
          </w:p>
        </w:tc>
        <w:tc>
          <w:tcPr>
            <w:tcW w:w="6815" w:type="dxa"/>
            <w:vAlign w:val="top"/>
          </w:tcPr>
          <w:p>
            <w:pPr>
              <w:pStyle w:val="TableText"/>
              <w:ind w:left="120"/>
              <w:spacing w:before="81" w:line="233" w:lineRule="auto"/>
              <w:rPr/>
            </w:pPr>
            <w:r>
              <w:rPr>
                <w:spacing w:val="-1"/>
              </w:rPr>
              <w:t>对未进行离岗职业健康检查的劳动者，解除</w:t>
            </w:r>
            <w:r>
              <w:rPr>
                <w:spacing w:val="-2"/>
              </w:rPr>
              <w:t>或者终止与其订立的</w:t>
            </w:r>
            <w:r>
              <w:rPr/>
              <w:t xml:space="preserve"> </w:t>
            </w:r>
            <w:r>
              <w:rPr/>
              <w:t>劳动合同，人数3人以下的</w:t>
            </w:r>
          </w:p>
        </w:tc>
        <w:tc>
          <w:tcPr>
            <w:tcW w:w="5330" w:type="dxa"/>
            <w:vAlign w:val="top"/>
          </w:tcPr>
          <w:p>
            <w:pPr>
              <w:pStyle w:val="TableText"/>
              <w:ind w:left="126" w:right="109" w:firstLine="29"/>
              <w:spacing w:before="81" w:line="233" w:lineRule="auto"/>
              <w:rPr/>
            </w:pPr>
            <w:r>
              <w:rPr/>
              <w:t>给予警告，责令限期改正，可以并处5万元以上8</w:t>
            </w:r>
            <w:r>
              <w:rPr>
                <w:spacing w:val="13"/>
              </w:rPr>
              <w:t xml:space="preserve"> </w:t>
            </w:r>
            <w:r>
              <w:rPr>
                <w:spacing w:val="1"/>
              </w:rPr>
              <w:t>万元以下的罚款</w:t>
            </w:r>
          </w:p>
        </w:tc>
      </w:tr>
      <w:tr>
        <w:trPr>
          <w:trHeight w:val="668" w:hRule="atLeast"/>
        </w:trPr>
        <w:tc>
          <w:tcPr>
            <w:tcW w:w="1384" w:type="dxa"/>
            <w:vAlign w:val="top"/>
          </w:tcPr>
          <w:p>
            <w:pPr>
              <w:pStyle w:val="TableText"/>
              <w:ind w:left="448"/>
              <w:spacing w:before="224" w:line="221" w:lineRule="auto"/>
              <w:rPr/>
            </w:pPr>
            <w:r>
              <w:rPr>
                <w:b/>
                <w:bCs/>
                <w:spacing w:val="-5"/>
              </w:rPr>
              <w:t>较重</w:t>
            </w:r>
          </w:p>
        </w:tc>
        <w:tc>
          <w:tcPr>
            <w:tcW w:w="6815" w:type="dxa"/>
            <w:vAlign w:val="top"/>
          </w:tcPr>
          <w:p>
            <w:pPr>
              <w:pStyle w:val="TableText"/>
              <w:ind w:left="120"/>
              <w:spacing w:before="65" w:line="228" w:lineRule="auto"/>
              <w:rPr/>
            </w:pPr>
            <w:r>
              <w:rPr>
                <w:spacing w:val="-1"/>
              </w:rPr>
              <w:t>对未进行离岗职业健康检查的劳动者，解除</w:t>
            </w:r>
            <w:r>
              <w:rPr>
                <w:spacing w:val="-2"/>
              </w:rPr>
              <w:t>或者终止与其订立的</w:t>
            </w:r>
            <w:r>
              <w:rPr/>
              <w:t xml:space="preserve"> </w:t>
            </w:r>
            <w:r>
              <w:rPr/>
              <w:t>劳动合同，人数4人以上的</w:t>
            </w:r>
          </w:p>
        </w:tc>
        <w:tc>
          <w:tcPr>
            <w:tcW w:w="5330" w:type="dxa"/>
            <w:vAlign w:val="top"/>
          </w:tcPr>
          <w:p>
            <w:pPr>
              <w:pStyle w:val="TableText"/>
              <w:ind w:left="116" w:right="263" w:firstLine="9"/>
              <w:spacing w:before="62" w:line="229" w:lineRule="auto"/>
              <w:rPr/>
            </w:pPr>
            <w:r>
              <w:rPr/>
              <w:t>给予警告，责令限期改正，可以并处8万元以上</w:t>
            </w:r>
            <w:r>
              <w:rPr>
                <w:spacing w:val="9"/>
              </w:rPr>
              <w:t xml:space="preserve"> </w:t>
            </w:r>
            <w:r>
              <w:rPr>
                <w:spacing w:val="1"/>
              </w:rPr>
              <w:t>10万元以下的罚款</w:t>
            </w:r>
          </w:p>
        </w:tc>
      </w:tr>
      <w:tr>
        <w:trPr>
          <w:trHeight w:val="662" w:hRule="atLeast"/>
        </w:trPr>
        <w:tc>
          <w:tcPr>
            <w:tcW w:w="1384" w:type="dxa"/>
            <w:vAlign w:val="top"/>
          </w:tcPr>
          <w:p>
            <w:pPr>
              <w:pStyle w:val="TableText"/>
              <w:ind w:left="448"/>
              <w:spacing w:before="214" w:line="220" w:lineRule="auto"/>
              <w:rPr/>
            </w:pPr>
            <w:r>
              <w:rPr>
                <w:b/>
                <w:bCs/>
                <w:spacing w:val="-6"/>
              </w:rPr>
              <w:t>严重</w:t>
            </w:r>
          </w:p>
        </w:tc>
        <w:tc>
          <w:tcPr>
            <w:tcW w:w="6815" w:type="dxa"/>
            <w:vAlign w:val="top"/>
          </w:tcPr>
          <w:p>
            <w:pPr>
              <w:pStyle w:val="TableText"/>
              <w:ind w:left="120"/>
              <w:spacing w:before="217" w:line="219" w:lineRule="auto"/>
              <w:rPr/>
            </w:pPr>
            <w:r>
              <w:rPr>
                <w:spacing w:val="1"/>
              </w:rPr>
              <w:t>逾期不改正的；或造成严重后果的</w:t>
            </w:r>
          </w:p>
        </w:tc>
        <w:tc>
          <w:tcPr>
            <w:tcW w:w="5330" w:type="dxa"/>
            <w:vAlign w:val="top"/>
          </w:tcPr>
          <w:p>
            <w:pPr>
              <w:pStyle w:val="TableText"/>
              <w:ind w:left="126" w:right="120" w:firstLine="20"/>
              <w:spacing w:before="67" w:line="225" w:lineRule="auto"/>
              <w:rPr/>
            </w:pPr>
            <w:r>
              <w:rPr/>
              <w:t>责令停止使用有毒物品作业，或者提请有关人民</w:t>
            </w:r>
            <w:r>
              <w:rPr>
                <w:spacing w:val="12"/>
              </w:rPr>
              <w:t xml:space="preserve"> </w:t>
            </w:r>
            <w:r>
              <w:rPr>
                <w:spacing w:val="1"/>
              </w:rPr>
              <w:t>政府按照国务院规定的权限予以关闭</w:t>
            </w:r>
          </w:p>
        </w:tc>
      </w:tr>
    </w:tbl>
    <w:p>
      <w:pPr>
        <w:pStyle w:val="BodyText"/>
        <w:spacing w:line="437" w:lineRule="auto"/>
        <w:rPr/>
      </w:pPr>
      <w:r/>
    </w:p>
    <w:p>
      <w:pPr>
        <w:ind w:left="659"/>
        <w:spacing w:before="97" w:line="220" w:lineRule="auto"/>
        <w:rPr>
          <w:rFonts w:ascii="FangSong" w:hAnsi="FangSong" w:eastAsia="FangSong" w:cs="FangSong"/>
          <w:sz w:val="30"/>
          <w:szCs w:val="30"/>
        </w:rPr>
      </w:pPr>
      <w:r>
        <w:rPr>
          <w:rFonts w:ascii="FangSong" w:hAnsi="FangSong" w:eastAsia="FangSong" w:cs="FangSong"/>
          <w:sz w:val="30"/>
          <w:szCs w:val="30"/>
          <w:b/>
          <w:bCs/>
          <w:spacing w:val="20"/>
        </w:rPr>
        <w:t>第五百零三条职业卫生防护设备、应急救援设施、通讯报警装置处于不正常状态而不停止作业</w:t>
      </w:r>
    </w:p>
    <w:p>
      <w:pPr>
        <w:ind w:left="15"/>
        <w:spacing w:before="106" w:line="227" w:lineRule="auto"/>
        <w:rPr>
          <w:rFonts w:ascii="FangSong" w:hAnsi="FangSong" w:eastAsia="FangSong" w:cs="FangSong"/>
          <w:sz w:val="30"/>
          <w:szCs w:val="30"/>
        </w:rPr>
      </w:pPr>
      <w:r>
        <w:rPr>
          <w:rFonts w:ascii="FangSong" w:hAnsi="FangSong" w:eastAsia="FangSong" w:cs="FangSong"/>
          <w:sz w:val="30"/>
          <w:szCs w:val="30"/>
        </w:rPr>
        <w:t>的</w:t>
      </w:r>
    </w:p>
    <w:p>
      <w:pPr>
        <w:ind w:left="654"/>
        <w:spacing w:before="55"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635"/>
        <w:spacing w:before="85" w:line="220" w:lineRule="auto"/>
        <w:rPr>
          <w:rFonts w:ascii="FangSong" w:hAnsi="FangSong" w:eastAsia="FangSong" w:cs="FangSong"/>
          <w:sz w:val="30"/>
          <w:szCs w:val="30"/>
        </w:rPr>
      </w:pPr>
      <w:r>
        <w:rPr>
          <w:rFonts w:ascii="FangSong" w:hAnsi="FangSong" w:eastAsia="FangSong" w:cs="FangSong"/>
          <w:sz w:val="30"/>
          <w:szCs w:val="30"/>
          <w:spacing w:val="25"/>
        </w:rPr>
        <w:t>《使用有毒物品作业场所劳动保护条例》第六十条第(二)项</w:t>
      </w:r>
      <w:r>
        <w:rPr>
          <w:rFonts w:ascii="FangSong" w:hAnsi="FangSong" w:eastAsia="FangSong" w:cs="FangSong"/>
          <w:sz w:val="30"/>
          <w:szCs w:val="30"/>
          <w:spacing w:val="25"/>
        </w:rPr>
        <w:t xml:space="preserve">   </w:t>
      </w:r>
      <w:r>
        <w:rPr>
          <w:rFonts w:ascii="FangSong" w:hAnsi="FangSong" w:eastAsia="FangSong" w:cs="FangSong"/>
          <w:sz w:val="30"/>
          <w:szCs w:val="30"/>
          <w:spacing w:val="25"/>
        </w:rPr>
        <w:t>用人单位违反</w:t>
      </w:r>
      <w:r>
        <w:rPr>
          <w:rFonts w:ascii="FangSong" w:hAnsi="FangSong" w:eastAsia="FangSong" w:cs="FangSong"/>
          <w:sz w:val="30"/>
          <w:szCs w:val="30"/>
          <w:spacing w:val="24"/>
        </w:rPr>
        <w:t>本条例的规定，</w:t>
      </w:r>
    </w:p>
    <w:p>
      <w:pPr>
        <w:ind w:left="15"/>
        <w:spacing w:before="85" w:line="271" w:lineRule="auto"/>
        <w:rPr>
          <w:rFonts w:ascii="FangSong" w:hAnsi="FangSong" w:eastAsia="FangSong" w:cs="FangSong"/>
          <w:sz w:val="30"/>
          <w:szCs w:val="30"/>
        </w:rPr>
      </w:pPr>
      <w:r>
        <w:rPr>
          <w:rFonts w:ascii="FangSong" w:hAnsi="FangSong" w:eastAsia="FangSong" w:cs="FangSong"/>
          <w:sz w:val="30"/>
          <w:szCs w:val="30"/>
          <w:spacing w:val="26"/>
        </w:rPr>
        <w:t>有下列情形之一的，由疾病预防控制部门给予警告，责令限期改正，处5万元以上30万元以下的罚</w:t>
      </w:r>
      <w:r>
        <w:rPr>
          <w:rFonts w:ascii="FangSong" w:hAnsi="FangSong" w:eastAsia="FangSong" w:cs="FangSong"/>
          <w:sz w:val="30"/>
          <w:szCs w:val="30"/>
          <w:spacing w:val="2"/>
        </w:rPr>
        <w:t xml:space="preserve">   </w:t>
      </w:r>
      <w:r>
        <w:rPr>
          <w:rFonts w:ascii="FangSong" w:hAnsi="FangSong" w:eastAsia="FangSong" w:cs="FangSong"/>
          <w:sz w:val="30"/>
          <w:szCs w:val="30"/>
          <w:spacing w:val="17"/>
        </w:rPr>
        <w:t>款；逾期不改正的，提请有关人民政府按照国务院规定的权限予</w:t>
      </w:r>
      <w:r>
        <w:rPr>
          <w:rFonts w:ascii="FangSong" w:hAnsi="FangSong" w:eastAsia="FangSong" w:cs="FangSong"/>
          <w:sz w:val="30"/>
          <w:szCs w:val="30"/>
          <w:spacing w:val="16"/>
        </w:rPr>
        <w:t>以关闭；造成严重职业中毒危害或者</w:t>
      </w:r>
      <w:r>
        <w:rPr>
          <w:rFonts w:ascii="FangSong" w:hAnsi="FangSong" w:eastAsia="FangSong" w:cs="FangSong"/>
          <w:sz w:val="30"/>
          <w:szCs w:val="30"/>
        </w:rPr>
        <w:t xml:space="preserve">  </w:t>
      </w:r>
      <w:r>
        <w:rPr>
          <w:rFonts w:ascii="FangSong" w:hAnsi="FangSong" w:eastAsia="FangSong" w:cs="FangSong"/>
          <w:sz w:val="30"/>
          <w:szCs w:val="30"/>
          <w:spacing w:val="16"/>
        </w:rPr>
        <w:t>导致职业中毒事故发生的，对负有责任的主管人员和其他直接责任人员依照刑</w:t>
      </w:r>
      <w:r>
        <w:rPr>
          <w:rFonts w:ascii="FangSong" w:hAnsi="FangSong" w:eastAsia="FangSong" w:cs="FangSong"/>
          <w:sz w:val="30"/>
          <w:szCs w:val="30"/>
          <w:spacing w:val="15"/>
        </w:rPr>
        <w:t>法关于重大责任事故罪、</w:t>
      </w:r>
      <w:r>
        <w:rPr>
          <w:rFonts w:ascii="FangSong" w:hAnsi="FangSong" w:eastAsia="FangSong" w:cs="FangSong"/>
          <w:sz w:val="30"/>
          <w:szCs w:val="30"/>
        </w:rPr>
        <w:t xml:space="preserve"> </w:t>
      </w:r>
      <w:r>
        <w:rPr>
          <w:rFonts w:ascii="FangSong" w:hAnsi="FangSong" w:eastAsia="FangSong" w:cs="FangSong"/>
          <w:sz w:val="30"/>
          <w:szCs w:val="30"/>
          <w:spacing w:val="16"/>
        </w:rPr>
        <w:t>重大劳动安全事故罪或者其他罪的规定，依法追究刑</w:t>
      </w:r>
      <w:r>
        <w:rPr>
          <w:rFonts w:ascii="FangSong" w:hAnsi="FangSong" w:eastAsia="FangSong" w:cs="FangSong"/>
          <w:sz w:val="30"/>
          <w:szCs w:val="30"/>
          <w:spacing w:val="15"/>
        </w:rPr>
        <w:t>事责任：</w:t>
      </w:r>
    </w:p>
    <w:p>
      <w:pPr>
        <w:ind w:left="15" w:right="261" w:firstLine="769"/>
        <w:spacing w:before="5" w:line="278" w:lineRule="auto"/>
        <w:rPr>
          <w:rFonts w:ascii="FangSong" w:hAnsi="FangSong" w:eastAsia="FangSong" w:cs="FangSong"/>
          <w:sz w:val="30"/>
          <w:szCs w:val="30"/>
        </w:rPr>
      </w:pPr>
      <w:r>
        <w:rPr>
          <w:rFonts w:ascii="FangSong" w:hAnsi="FangSong" w:eastAsia="FangSong" w:cs="FangSong"/>
          <w:sz w:val="30"/>
          <w:szCs w:val="30"/>
          <w:spacing w:val="21"/>
        </w:rPr>
        <w:t>(二)职业卫生防护设备、应急救援设施、通讯报警装置处于不正常状态而不停止作</w:t>
      </w:r>
      <w:r>
        <w:rPr>
          <w:rFonts w:ascii="FangSong" w:hAnsi="FangSong" w:eastAsia="FangSong" w:cs="FangSong"/>
          <w:sz w:val="30"/>
          <w:szCs w:val="30"/>
          <w:spacing w:val="20"/>
        </w:rPr>
        <w:t>业，或者擅</w:t>
      </w:r>
      <w:r>
        <w:rPr>
          <w:rFonts w:ascii="FangSong" w:hAnsi="FangSong" w:eastAsia="FangSong" w:cs="FangSong"/>
          <w:sz w:val="30"/>
          <w:szCs w:val="30"/>
        </w:rPr>
        <w:t xml:space="preserve"> </w:t>
      </w:r>
      <w:r>
        <w:rPr>
          <w:rFonts w:ascii="FangSong" w:hAnsi="FangSong" w:eastAsia="FangSong" w:cs="FangSong"/>
          <w:sz w:val="30"/>
          <w:szCs w:val="30"/>
          <w:spacing w:val="16"/>
        </w:rPr>
        <w:t>自拆除或者停止运行职业卫生防护设备、应急救援设施、通讯报警装置的。</w:t>
      </w:r>
    </w:p>
    <w:p>
      <w:pPr>
        <w:ind w:left="6419"/>
        <w:spacing w:before="136"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534"/>
          <w:pgSz w:w="16830" w:h="11900"/>
          <w:pgMar w:top="1011" w:right="1169" w:bottom="1117" w:left="1434" w:header="0" w:footer="784" w:gutter="0"/>
        </w:sectPr>
        <w:rPr>
          <w:rFonts w:ascii="SimHei" w:hAnsi="SimHei" w:eastAsia="SimHei" w:cs="SimHei"/>
          <w:sz w:val="30"/>
          <w:szCs w:val="30"/>
        </w:rPr>
      </w:pPr>
    </w:p>
    <w:p>
      <w:pPr>
        <w:spacing w:before="13"/>
        <w:rPr/>
      </w:pPr>
      <w:r/>
    </w:p>
    <w:p>
      <w:pPr>
        <w:spacing w:before="13"/>
        <w:rPr/>
      </w:pPr>
      <w:r/>
    </w:p>
    <w:p>
      <w:pPr>
        <w:spacing w:before="13"/>
        <w:rPr/>
      </w:pPr>
      <w:r/>
    </w:p>
    <w:tbl>
      <w:tblPr>
        <w:tblStyle w:val="TableNormal"/>
        <w:tblW w:w="137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6615"/>
        <w:gridCol w:w="5730"/>
      </w:tblGrid>
      <w:tr>
        <w:trPr>
          <w:trHeight w:val="623" w:hRule="atLeast"/>
        </w:trPr>
        <w:tc>
          <w:tcPr>
            <w:tcW w:w="1404" w:type="dxa"/>
            <w:vAlign w:val="top"/>
          </w:tcPr>
          <w:p>
            <w:pPr>
              <w:pStyle w:val="TableText"/>
              <w:ind w:left="128"/>
              <w:spacing w:before="192" w:line="220" w:lineRule="auto"/>
              <w:rPr/>
            </w:pPr>
            <w:bookmarkStart w:name="bookmark1165" w:id="541"/>
            <w:bookmarkEnd w:id="541"/>
            <w:r>
              <w:rPr>
                <w:b/>
                <w:bCs/>
                <w:spacing w:val="46"/>
              </w:rPr>
              <w:t>违法程度</w:t>
            </w:r>
          </w:p>
        </w:tc>
        <w:tc>
          <w:tcPr>
            <w:tcW w:w="6615" w:type="dxa"/>
            <w:vAlign w:val="top"/>
          </w:tcPr>
          <w:p>
            <w:pPr>
              <w:pStyle w:val="TableText"/>
              <w:ind w:left="2744"/>
              <w:spacing w:before="192" w:line="220" w:lineRule="auto"/>
              <w:rPr/>
            </w:pPr>
            <w:r>
              <w:rPr>
                <w:b/>
                <w:bCs/>
                <w:spacing w:val="47"/>
              </w:rPr>
              <w:t>情节后果</w:t>
            </w:r>
          </w:p>
        </w:tc>
        <w:tc>
          <w:tcPr>
            <w:tcW w:w="5730" w:type="dxa"/>
            <w:vAlign w:val="top"/>
          </w:tcPr>
          <w:p>
            <w:pPr>
              <w:pStyle w:val="TableText"/>
              <w:ind w:left="2279"/>
              <w:spacing w:before="18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78" w:hRule="atLeast"/>
        </w:trPr>
        <w:tc>
          <w:tcPr>
            <w:tcW w:w="1404" w:type="dxa"/>
            <w:vAlign w:val="top"/>
          </w:tcPr>
          <w:p>
            <w:pPr>
              <w:pStyle w:val="TableText"/>
              <w:ind w:left="458"/>
              <w:spacing w:before="309" w:line="221" w:lineRule="auto"/>
              <w:rPr/>
            </w:pPr>
            <w:r>
              <w:rPr>
                <w:b/>
                <w:bCs/>
                <w:spacing w:val="-10"/>
              </w:rPr>
              <w:t>一般</w:t>
            </w:r>
          </w:p>
        </w:tc>
        <w:tc>
          <w:tcPr>
            <w:tcW w:w="6615" w:type="dxa"/>
            <w:vAlign w:val="top"/>
          </w:tcPr>
          <w:p>
            <w:pPr>
              <w:pStyle w:val="TableText"/>
              <w:ind w:left="111"/>
              <w:spacing w:before="72" w:line="229" w:lineRule="auto"/>
              <w:rPr/>
            </w:pPr>
            <w:r>
              <w:rPr/>
              <w:t>职业卫生防护设备、应急救援设施、通讯报警装置处于不正常</w:t>
            </w:r>
            <w:r>
              <w:rPr>
                <w:spacing w:val="12"/>
              </w:rPr>
              <w:t xml:space="preserve"> </w:t>
            </w:r>
            <w:r>
              <w:rPr/>
              <w:t>状态而不停止作业，累计设备台数3台以下的</w:t>
            </w:r>
          </w:p>
        </w:tc>
        <w:tc>
          <w:tcPr>
            <w:tcW w:w="5730" w:type="dxa"/>
            <w:vAlign w:val="top"/>
          </w:tcPr>
          <w:p>
            <w:pPr>
              <w:pStyle w:val="TableText"/>
              <w:ind w:left="115" w:right="262" w:firstLine="160"/>
              <w:spacing w:before="69" w:line="230" w:lineRule="auto"/>
              <w:rPr/>
            </w:pPr>
            <w:r>
              <w:rPr>
                <w:spacing w:val="1"/>
              </w:rPr>
              <w:t>给予警告，责令限期改正，处5万元以上10</w:t>
            </w:r>
            <w:r>
              <w:rPr/>
              <w:t>万元以 </w:t>
            </w:r>
            <w:r>
              <w:rPr>
                <w:spacing w:val="2"/>
              </w:rPr>
              <w:t>下的罚款</w:t>
            </w:r>
          </w:p>
        </w:tc>
      </w:tr>
      <w:tr>
        <w:trPr>
          <w:trHeight w:val="688" w:hRule="atLeast"/>
        </w:trPr>
        <w:tc>
          <w:tcPr>
            <w:tcW w:w="1404" w:type="dxa"/>
            <w:vAlign w:val="top"/>
          </w:tcPr>
          <w:p>
            <w:pPr>
              <w:spacing w:line="254" w:lineRule="auto"/>
              <w:rPr>
                <w:rFonts w:ascii="Arial"/>
                <w:sz w:val="21"/>
              </w:rPr>
            </w:pPr>
            <w:r/>
          </w:p>
          <w:p>
            <w:pPr>
              <w:pStyle w:val="TableText"/>
              <w:ind w:left="458"/>
              <w:spacing w:before="78" w:line="221" w:lineRule="auto"/>
              <w:rPr/>
            </w:pPr>
            <w:r>
              <w:rPr>
                <w:b/>
                <w:bCs/>
                <w:spacing w:val="-5"/>
              </w:rPr>
              <w:t>较重</w:t>
            </w:r>
          </w:p>
        </w:tc>
        <w:tc>
          <w:tcPr>
            <w:tcW w:w="6615" w:type="dxa"/>
            <w:vAlign w:val="top"/>
          </w:tcPr>
          <w:p>
            <w:pPr>
              <w:pStyle w:val="TableText"/>
              <w:ind w:left="111"/>
              <w:spacing w:before="82" w:line="229" w:lineRule="auto"/>
              <w:rPr/>
            </w:pPr>
            <w:r>
              <w:rPr/>
              <w:t>职业卫生防护设备、应急救援设施、通讯报警装置处于不正常</w:t>
            </w:r>
            <w:r>
              <w:rPr>
                <w:spacing w:val="12"/>
              </w:rPr>
              <w:t xml:space="preserve"> </w:t>
            </w:r>
            <w:r>
              <w:rPr/>
              <w:t>状态而不停止作业，累计设备台数4-6台以上的</w:t>
            </w:r>
          </w:p>
        </w:tc>
        <w:tc>
          <w:tcPr>
            <w:tcW w:w="5730" w:type="dxa"/>
            <w:vAlign w:val="top"/>
          </w:tcPr>
          <w:p>
            <w:pPr>
              <w:pStyle w:val="TableText"/>
              <w:ind w:left="115" w:right="202" w:firstLine="99"/>
              <w:spacing w:before="82" w:line="229" w:lineRule="auto"/>
              <w:rPr/>
            </w:pPr>
            <w:r>
              <w:rPr>
                <w:spacing w:val="1"/>
              </w:rPr>
              <w:t>给予警告，责令限期改正，处10万元以上2</w:t>
            </w:r>
            <w:r>
              <w:rPr/>
              <w:t>0万元以 </w:t>
            </w:r>
            <w:r>
              <w:rPr>
                <w:spacing w:val="2"/>
              </w:rPr>
              <w:t>下的罚款</w:t>
            </w:r>
          </w:p>
        </w:tc>
      </w:tr>
      <w:tr>
        <w:trPr>
          <w:trHeight w:val="697" w:hRule="atLeast"/>
        </w:trPr>
        <w:tc>
          <w:tcPr>
            <w:tcW w:w="1404" w:type="dxa"/>
            <w:vAlign w:val="top"/>
          </w:tcPr>
          <w:p>
            <w:pPr>
              <w:spacing w:line="243" w:lineRule="auto"/>
              <w:rPr>
                <w:rFonts w:ascii="Arial"/>
                <w:sz w:val="21"/>
              </w:rPr>
            </w:pPr>
            <w:r/>
          </w:p>
          <w:p>
            <w:pPr>
              <w:pStyle w:val="TableText"/>
              <w:ind w:left="458"/>
              <w:spacing w:before="78" w:line="220" w:lineRule="auto"/>
              <w:rPr/>
            </w:pPr>
            <w:r>
              <w:rPr>
                <w:b/>
                <w:bCs/>
                <w:spacing w:val="-6"/>
              </w:rPr>
              <w:t>严重</w:t>
            </w:r>
          </w:p>
        </w:tc>
        <w:tc>
          <w:tcPr>
            <w:tcW w:w="6615" w:type="dxa"/>
            <w:vAlign w:val="top"/>
          </w:tcPr>
          <w:p>
            <w:pPr>
              <w:pStyle w:val="TableText"/>
              <w:ind w:left="111"/>
              <w:spacing w:before="76" w:line="235" w:lineRule="auto"/>
              <w:rPr/>
            </w:pPr>
            <w:r>
              <w:rPr/>
              <w:t>职业卫生防护设备、应急救援设施、通讯报警装置处于不正常</w:t>
            </w:r>
            <w:r>
              <w:rPr>
                <w:spacing w:val="12"/>
              </w:rPr>
              <w:t xml:space="preserve"> </w:t>
            </w:r>
            <w:r>
              <w:rPr/>
              <w:t>状态而不停止作业，累计设备台数7台以上的</w:t>
            </w:r>
          </w:p>
        </w:tc>
        <w:tc>
          <w:tcPr>
            <w:tcW w:w="5730" w:type="dxa"/>
            <w:vAlign w:val="top"/>
          </w:tcPr>
          <w:p>
            <w:pPr>
              <w:pStyle w:val="TableText"/>
              <w:ind w:left="115" w:right="202" w:firstLine="99"/>
              <w:spacing w:before="83" w:line="232" w:lineRule="auto"/>
              <w:rPr/>
            </w:pPr>
            <w:r>
              <w:rPr>
                <w:spacing w:val="1"/>
              </w:rPr>
              <w:t>给予警告，责令限期改正，处20万元以上3</w:t>
            </w:r>
            <w:r>
              <w:rPr/>
              <w:t>0万元以 </w:t>
            </w:r>
            <w:r>
              <w:rPr>
                <w:spacing w:val="2"/>
              </w:rPr>
              <w:t>下的罚款</w:t>
            </w:r>
          </w:p>
        </w:tc>
      </w:tr>
      <w:tr>
        <w:trPr>
          <w:trHeight w:val="683" w:hRule="atLeast"/>
        </w:trPr>
        <w:tc>
          <w:tcPr>
            <w:tcW w:w="1404" w:type="dxa"/>
            <w:vAlign w:val="top"/>
          </w:tcPr>
          <w:p>
            <w:pPr>
              <w:pStyle w:val="TableText"/>
              <w:ind w:left="218"/>
              <w:spacing w:before="315" w:line="219" w:lineRule="auto"/>
              <w:rPr/>
            </w:pPr>
            <w:r>
              <w:rPr>
                <w:b/>
                <w:bCs/>
                <w:spacing w:val="-5"/>
              </w:rPr>
              <w:t>特别严重</w:t>
            </w:r>
          </w:p>
        </w:tc>
        <w:tc>
          <w:tcPr>
            <w:tcW w:w="6615" w:type="dxa"/>
            <w:vAlign w:val="top"/>
          </w:tcPr>
          <w:p>
            <w:pPr>
              <w:pStyle w:val="TableText"/>
              <w:ind w:left="111"/>
              <w:spacing w:before="229" w:line="219" w:lineRule="auto"/>
              <w:rPr/>
            </w:pPr>
            <w:r>
              <w:rPr>
                <w:spacing w:val="1"/>
              </w:rPr>
              <w:t>逾期不改正的；或造成严重后果的</w:t>
            </w:r>
          </w:p>
        </w:tc>
        <w:tc>
          <w:tcPr>
            <w:tcW w:w="5730" w:type="dxa"/>
            <w:vAlign w:val="top"/>
          </w:tcPr>
          <w:p>
            <w:pPr>
              <w:pStyle w:val="TableText"/>
              <w:ind w:left="105" w:right="93" w:hanging="10"/>
              <w:spacing w:before="67" w:line="233" w:lineRule="auto"/>
              <w:rPr/>
            </w:pPr>
            <w:r>
              <w:rPr/>
              <w:t>责令停止使用有毒物品作业，或者提请有关人民政府</w:t>
            </w:r>
            <w:r>
              <w:rPr>
                <w:spacing w:val="9"/>
              </w:rPr>
              <w:t xml:space="preserve"> </w:t>
            </w:r>
            <w:r>
              <w:rPr>
                <w:spacing w:val="1"/>
              </w:rPr>
              <w:t>按照国务院规定的权限予以关闭</w:t>
            </w:r>
          </w:p>
        </w:tc>
      </w:tr>
    </w:tbl>
    <w:p>
      <w:pPr>
        <w:pStyle w:val="BodyText"/>
        <w:spacing w:line="426" w:lineRule="auto"/>
        <w:rPr/>
      </w:pPr>
      <w:r/>
    </w:p>
    <w:p>
      <w:pPr>
        <w:ind w:left="669"/>
        <w:spacing w:before="97" w:line="219" w:lineRule="auto"/>
        <w:rPr>
          <w:rFonts w:ascii="FangSong" w:hAnsi="FangSong" w:eastAsia="FangSong" w:cs="FangSong"/>
          <w:sz w:val="30"/>
          <w:szCs w:val="30"/>
        </w:rPr>
      </w:pPr>
      <w:r>
        <w:rPr>
          <w:rFonts w:ascii="FangSong" w:hAnsi="FangSong" w:eastAsia="FangSong" w:cs="FangSong"/>
          <w:sz w:val="30"/>
          <w:szCs w:val="30"/>
          <w:b/>
          <w:bCs/>
          <w:spacing w:val="22"/>
        </w:rPr>
        <w:t>第五百零四条未依照本条例的规定维护、检修存在高毒物品的生产装置的</w:t>
      </w:r>
    </w:p>
    <w:p>
      <w:pPr>
        <w:ind w:left="654"/>
        <w:spacing w:before="103" w:line="222" w:lineRule="auto"/>
        <w:rPr>
          <w:rFonts w:ascii="FangSong" w:hAnsi="FangSong" w:eastAsia="FangSong" w:cs="FangSong"/>
          <w:sz w:val="30"/>
          <w:szCs w:val="30"/>
        </w:rPr>
      </w:pPr>
      <w:r>
        <w:rPr>
          <w:rFonts w:ascii="FangSong" w:hAnsi="FangSong" w:eastAsia="FangSong" w:cs="FangSong"/>
          <w:sz w:val="30"/>
          <w:szCs w:val="30"/>
        </w:rPr>
        <w:t>法律依据：</w:t>
      </w:r>
    </w:p>
    <w:p>
      <w:pPr>
        <w:ind w:left="15" w:firstLine="629"/>
        <w:spacing w:before="68" w:line="271" w:lineRule="auto"/>
        <w:rPr>
          <w:rFonts w:ascii="FangSong" w:hAnsi="FangSong" w:eastAsia="FangSong" w:cs="FangSong"/>
          <w:sz w:val="30"/>
          <w:szCs w:val="30"/>
        </w:rPr>
      </w:pPr>
      <w:r>
        <w:rPr>
          <w:rFonts w:ascii="FangSong" w:hAnsi="FangSong" w:eastAsia="FangSong" w:cs="FangSong"/>
          <w:sz w:val="30"/>
          <w:szCs w:val="30"/>
          <w:spacing w:val="26"/>
        </w:rPr>
        <w:t>《使用有毒物品作业场所劳动保护条例》第六十一条第(二)项</w:t>
      </w:r>
      <w:r>
        <w:rPr>
          <w:rFonts w:ascii="FangSong" w:hAnsi="FangSong" w:eastAsia="FangSong" w:cs="FangSong"/>
          <w:sz w:val="30"/>
          <w:szCs w:val="30"/>
          <w:spacing w:val="26"/>
        </w:rPr>
        <w:t xml:space="preserve">   </w:t>
      </w:r>
      <w:r>
        <w:rPr>
          <w:rFonts w:ascii="FangSong" w:hAnsi="FangSong" w:eastAsia="FangSong" w:cs="FangSong"/>
          <w:sz w:val="30"/>
          <w:szCs w:val="30"/>
          <w:spacing w:val="26"/>
        </w:rPr>
        <w:t>从事使用高毒物品作业的用</w:t>
      </w:r>
      <w:r>
        <w:rPr>
          <w:rFonts w:ascii="FangSong" w:hAnsi="FangSong" w:eastAsia="FangSong" w:cs="FangSong"/>
          <w:sz w:val="30"/>
          <w:szCs w:val="30"/>
          <w:spacing w:val="5"/>
        </w:rPr>
        <w:t xml:space="preserve"> </w:t>
      </w:r>
      <w:r>
        <w:rPr>
          <w:rFonts w:ascii="FangSong" w:hAnsi="FangSong" w:eastAsia="FangSong" w:cs="FangSong"/>
          <w:sz w:val="30"/>
          <w:szCs w:val="30"/>
          <w:spacing w:val="19"/>
        </w:rPr>
        <w:t>人单位违反本条例的规定，有下列行为之一的，由疾病预防</w:t>
      </w:r>
      <w:r>
        <w:rPr>
          <w:rFonts w:ascii="FangSong" w:hAnsi="FangSong" w:eastAsia="FangSong" w:cs="FangSong"/>
          <w:sz w:val="30"/>
          <w:szCs w:val="30"/>
          <w:spacing w:val="18"/>
        </w:rPr>
        <w:t>控制部门给予警告，责令限期改正，处5</w:t>
      </w:r>
      <w:r>
        <w:rPr>
          <w:rFonts w:ascii="FangSong" w:hAnsi="FangSong" w:eastAsia="FangSong" w:cs="FangSong"/>
          <w:sz w:val="30"/>
          <w:szCs w:val="30"/>
        </w:rPr>
        <w:t xml:space="preserve"> </w:t>
      </w:r>
      <w:r>
        <w:rPr>
          <w:rFonts w:ascii="FangSong" w:hAnsi="FangSong" w:eastAsia="FangSong" w:cs="FangSong"/>
          <w:sz w:val="30"/>
          <w:szCs w:val="30"/>
          <w:spacing w:val="21"/>
        </w:rPr>
        <w:t>万元以上20万元以下的罚款；逾期不改正的，提请有关人民政府按照国务院规定的权限</w:t>
      </w:r>
      <w:r>
        <w:rPr>
          <w:rFonts w:ascii="FangSong" w:hAnsi="FangSong" w:eastAsia="FangSong" w:cs="FangSong"/>
          <w:sz w:val="30"/>
          <w:szCs w:val="30"/>
          <w:spacing w:val="20"/>
        </w:rPr>
        <w:t>予以关闭；</w:t>
      </w:r>
      <w:r>
        <w:rPr>
          <w:rFonts w:ascii="FangSong" w:hAnsi="FangSong" w:eastAsia="FangSong" w:cs="FangSong"/>
          <w:sz w:val="30"/>
          <w:szCs w:val="30"/>
        </w:rPr>
        <w:t xml:space="preserve"> </w:t>
      </w:r>
      <w:r>
        <w:rPr>
          <w:rFonts w:ascii="FangSong" w:hAnsi="FangSong" w:eastAsia="FangSong" w:cs="FangSong"/>
          <w:sz w:val="30"/>
          <w:szCs w:val="30"/>
          <w:spacing w:val="17"/>
        </w:rPr>
        <w:t>造成严重职业中毒危害或者导致职业中毒事故发生的，对负有责任的主管人员和其</w:t>
      </w:r>
      <w:r>
        <w:rPr>
          <w:rFonts w:ascii="FangSong" w:hAnsi="FangSong" w:eastAsia="FangSong" w:cs="FangSong"/>
          <w:sz w:val="30"/>
          <w:szCs w:val="30"/>
          <w:spacing w:val="16"/>
        </w:rPr>
        <w:t>他直接责任人员依</w:t>
      </w:r>
      <w:r>
        <w:rPr>
          <w:rFonts w:ascii="FangSong" w:hAnsi="FangSong" w:eastAsia="FangSong" w:cs="FangSong"/>
          <w:sz w:val="30"/>
          <w:szCs w:val="30"/>
        </w:rPr>
        <w:t xml:space="preserve"> </w:t>
      </w:r>
      <w:r>
        <w:rPr>
          <w:rFonts w:ascii="FangSong" w:hAnsi="FangSong" w:eastAsia="FangSong" w:cs="FangSong"/>
          <w:sz w:val="30"/>
          <w:szCs w:val="30"/>
          <w:spacing w:val="16"/>
        </w:rPr>
        <w:t>照刑法关于重大责任事故罪或者其他罪的规定，依法追究刑事责任：</w:t>
      </w:r>
    </w:p>
    <w:p>
      <w:pPr>
        <w:ind w:left="774"/>
        <w:spacing w:before="14" w:line="219" w:lineRule="auto"/>
        <w:rPr>
          <w:rFonts w:ascii="FangSong" w:hAnsi="FangSong" w:eastAsia="FangSong" w:cs="FangSong"/>
          <w:sz w:val="30"/>
          <w:szCs w:val="30"/>
        </w:rPr>
      </w:pPr>
      <w:r>
        <w:rPr>
          <w:rFonts w:ascii="FangSong" w:hAnsi="FangSong" w:eastAsia="FangSong" w:cs="FangSong"/>
          <w:sz w:val="30"/>
          <w:szCs w:val="30"/>
          <w:spacing w:val="23"/>
        </w:rPr>
        <w:t>(二)未依照本条例的规定维护、检修存在高毒物品的生产装置的。</w:t>
      </w:r>
    </w:p>
    <w:p>
      <w:pPr>
        <w:ind w:left="6419"/>
        <w:spacing w:before="233"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535"/>
          <w:pgSz w:w="16830" w:h="11900"/>
          <w:pgMar w:top="1011" w:right="1438" w:bottom="1108" w:left="1434" w:header="0" w:footer="775" w:gutter="0"/>
        </w:sectPr>
        <w:rPr>
          <w:rFonts w:ascii="SimHei" w:hAnsi="SimHei" w:eastAsia="SimHei" w:cs="SimHei"/>
          <w:sz w:val="30"/>
          <w:szCs w:val="30"/>
        </w:rPr>
      </w:pPr>
    </w:p>
    <w:p>
      <w:pPr>
        <w:spacing w:before="17"/>
        <w:rPr/>
      </w:pPr>
      <w:r/>
    </w:p>
    <w:p>
      <w:pPr>
        <w:spacing w:before="16"/>
        <w:rPr/>
      </w:pPr>
      <w:r/>
    </w:p>
    <w:p>
      <w:pPr>
        <w:spacing w:before="16"/>
        <w:rPr/>
      </w:pPr>
      <w:r/>
    </w:p>
    <w:tbl>
      <w:tblPr>
        <w:tblStyle w:val="TableNormal"/>
        <w:tblW w:w="13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6665"/>
        <w:gridCol w:w="5771"/>
      </w:tblGrid>
      <w:tr>
        <w:trPr>
          <w:trHeight w:val="573" w:hRule="atLeast"/>
        </w:trPr>
        <w:tc>
          <w:tcPr>
            <w:tcW w:w="1434" w:type="dxa"/>
            <w:vAlign w:val="top"/>
          </w:tcPr>
          <w:p>
            <w:pPr>
              <w:pStyle w:val="TableText"/>
              <w:ind w:left="228"/>
              <w:spacing w:before="172" w:line="220" w:lineRule="auto"/>
              <w:rPr/>
            </w:pPr>
            <w:bookmarkStart w:name="bookmark1166" w:id="542"/>
            <w:bookmarkEnd w:id="542"/>
            <w:r>
              <w:rPr>
                <w:b/>
                <w:bCs/>
                <w:spacing w:val="-5"/>
              </w:rPr>
              <w:t>违法程度</w:t>
            </w:r>
          </w:p>
        </w:tc>
        <w:tc>
          <w:tcPr>
            <w:tcW w:w="6665" w:type="dxa"/>
            <w:vAlign w:val="top"/>
          </w:tcPr>
          <w:p>
            <w:pPr>
              <w:pStyle w:val="TableText"/>
              <w:ind w:left="2744"/>
              <w:spacing w:before="172" w:line="220" w:lineRule="auto"/>
              <w:rPr/>
            </w:pPr>
            <w:r>
              <w:rPr>
                <w:b/>
                <w:bCs/>
                <w:spacing w:val="-5"/>
              </w:rPr>
              <w:t>情节后果</w:t>
            </w:r>
          </w:p>
        </w:tc>
        <w:tc>
          <w:tcPr>
            <w:tcW w:w="5771" w:type="dxa"/>
            <w:vAlign w:val="top"/>
          </w:tcPr>
          <w:p>
            <w:pPr>
              <w:pStyle w:val="TableText"/>
              <w:ind w:left="2399"/>
              <w:spacing w:before="169" w:line="218" w:lineRule="auto"/>
              <w:rPr/>
            </w:pPr>
            <w:r>
              <w:rPr>
                <w:b/>
                <w:bCs/>
                <w:spacing w:val="-5"/>
              </w:rPr>
              <w:t>裁量幅度</w:t>
            </w:r>
          </w:p>
        </w:tc>
      </w:tr>
      <w:tr>
        <w:trPr>
          <w:trHeight w:val="687" w:hRule="atLeast"/>
        </w:trPr>
        <w:tc>
          <w:tcPr>
            <w:tcW w:w="1434" w:type="dxa"/>
            <w:vAlign w:val="top"/>
          </w:tcPr>
          <w:p>
            <w:pPr>
              <w:pStyle w:val="TableText"/>
              <w:ind w:left="468"/>
              <w:spacing w:before="309" w:line="221" w:lineRule="auto"/>
              <w:rPr/>
            </w:pPr>
            <w:r>
              <w:rPr>
                <w:b/>
                <w:bCs/>
                <w:spacing w:val="-10"/>
              </w:rPr>
              <w:t>一般</w:t>
            </w:r>
          </w:p>
        </w:tc>
        <w:tc>
          <w:tcPr>
            <w:tcW w:w="6665" w:type="dxa"/>
            <w:vAlign w:val="top"/>
          </w:tcPr>
          <w:p>
            <w:pPr>
              <w:pStyle w:val="TableText"/>
              <w:ind w:left="81" w:right="82"/>
              <w:spacing w:before="71" w:line="233" w:lineRule="auto"/>
              <w:rPr/>
            </w:pPr>
            <w:r>
              <w:rPr/>
              <w:t>未依照本条例的规定维护、检修存在高毒物品的生产装置，生</w:t>
            </w:r>
            <w:r>
              <w:rPr>
                <w:spacing w:val="10"/>
              </w:rPr>
              <w:t xml:space="preserve"> </w:t>
            </w:r>
            <w:r>
              <w:rPr>
                <w:spacing w:val="2"/>
              </w:rPr>
              <w:t>产装置3套以下的</w:t>
            </w:r>
          </w:p>
        </w:tc>
        <w:tc>
          <w:tcPr>
            <w:tcW w:w="5771" w:type="dxa"/>
            <w:vAlign w:val="top"/>
          </w:tcPr>
          <w:p>
            <w:pPr>
              <w:pStyle w:val="TableText"/>
              <w:ind w:left="176"/>
              <w:spacing w:before="69" w:line="218" w:lineRule="auto"/>
              <w:rPr/>
            </w:pPr>
            <w:r>
              <w:rPr/>
              <w:t>给予警告，责令限期改正，处5万元以上10万元以下</w:t>
            </w:r>
          </w:p>
          <w:p>
            <w:pPr>
              <w:pStyle w:val="TableText"/>
              <w:ind w:left="116"/>
              <w:spacing w:before="70" w:line="195" w:lineRule="auto"/>
              <w:rPr/>
            </w:pPr>
            <w:r>
              <w:rPr>
                <w:color w:val="404040"/>
                <w:spacing w:val="3"/>
              </w:rPr>
              <w:t>的罚款</w:t>
            </w:r>
          </w:p>
        </w:tc>
      </w:tr>
      <w:tr>
        <w:trPr>
          <w:trHeight w:val="658" w:hRule="atLeast"/>
        </w:trPr>
        <w:tc>
          <w:tcPr>
            <w:tcW w:w="1434" w:type="dxa"/>
            <w:vAlign w:val="top"/>
          </w:tcPr>
          <w:p>
            <w:pPr>
              <w:pStyle w:val="TableText"/>
              <w:ind w:left="468"/>
              <w:spacing w:before="314" w:line="221" w:lineRule="auto"/>
              <w:rPr/>
            </w:pPr>
            <w:r>
              <w:rPr>
                <w:b/>
                <w:bCs/>
                <w:spacing w:val="-5"/>
              </w:rPr>
              <w:t>较重</w:t>
            </w:r>
          </w:p>
        </w:tc>
        <w:tc>
          <w:tcPr>
            <w:tcW w:w="6665" w:type="dxa"/>
            <w:vAlign w:val="top"/>
          </w:tcPr>
          <w:p>
            <w:pPr>
              <w:pStyle w:val="TableText"/>
              <w:ind w:left="81" w:right="82"/>
              <w:spacing w:before="52" w:line="229" w:lineRule="auto"/>
              <w:rPr/>
            </w:pPr>
            <w:r>
              <w:rPr/>
              <w:t>未依照本条例的规定维护、检修存在高毒物品的生产装置，生</w:t>
            </w:r>
            <w:r>
              <w:rPr>
                <w:spacing w:val="10"/>
              </w:rPr>
              <w:t xml:space="preserve"> </w:t>
            </w:r>
            <w:r>
              <w:rPr>
                <w:spacing w:val="2"/>
              </w:rPr>
              <w:t>产装置4套以上的</w:t>
            </w:r>
          </w:p>
        </w:tc>
        <w:tc>
          <w:tcPr>
            <w:tcW w:w="5771" w:type="dxa"/>
            <w:vAlign w:val="top"/>
          </w:tcPr>
          <w:p>
            <w:pPr>
              <w:pStyle w:val="TableText"/>
              <w:ind w:left="116" w:right="223" w:firstLine="119"/>
              <w:spacing w:before="62" w:line="225" w:lineRule="auto"/>
              <w:rPr/>
            </w:pPr>
            <w:r>
              <w:rPr>
                <w:spacing w:val="1"/>
              </w:rPr>
              <w:t>给予警告，责令限期改正，处10万元以上2</w:t>
            </w:r>
            <w:r>
              <w:rPr/>
              <w:t>0万元以 </w:t>
            </w:r>
            <w:r>
              <w:rPr>
                <w:spacing w:val="2"/>
              </w:rPr>
              <w:t>下的罚款</w:t>
            </w:r>
          </w:p>
        </w:tc>
      </w:tr>
      <w:tr>
        <w:trPr>
          <w:trHeight w:val="692" w:hRule="atLeast"/>
        </w:trPr>
        <w:tc>
          <w:tcPr>
            <w:tcW w:w="1434" w:type="dxa"/>
            <w:vAlign w:val="top"/>
          </w:tcPr>
          <w:p>
            <w:pPr>
              <w:spacing w:line="264" w:lineRule="auto"/>
              <w:rPr>
                <w:rFonts w:ascii="Arial"/>
                <w:sz w:val="21"/>
              </w:rPr>
            </w:pPr>
            <w:r/>
          </w:p>
          <w:p>
            <w:pPr>
              <w:pStyle w:val="TableText"/>
              <w:ind w:left="468"/>
              <w:spacing w:before="78" w:line="220" w:lineRule="auto"/>
              <w:rPr/>
            </w:pPr>
            <w:r>
              <w:rPr>
                <w:b/>
                <w:bCs/>
                <w:spacing w:val="-6"/>
              </w:rPr>
              <w:t>严重</w:t>
            </w:r>
          </w:p>
        </w:tc>
        <w:tc>
          <w:tcPr>
            <w:tcW w:w="6665" w:type="dxa"/>
            <w:vAlign w:val="top"/>
          </w:tcPr>
          <w:p>
            <w:pPr>
              <w:pStyle w:val="TableText"/>
              <w:ind w:left="81"/>
              <w:spacing w:before="237" w:line="219" w:lineRule="auto"/>
              <w:rPr/>
            </w:pPr>
            <w:r>
              <w:rPr>
                <w:spacing w:val="1"/>
              </w:rPr>
              <w:t>逾期不改正的；或造成严重后果的</w:t>
            </w:r>
          </w:p>
        </w:tc>
        <w:tc>
          <w:tcPr>
            <w:tcW w:w="5771" w:type="dxa"/>
            <w:vAlign w:val="top"/>
          </w:tcPr>
          <w:p>
            <w:pPr>
              <w:pStyle w:val="TableText"/>
              <w:ind w:left="106" w:right="114" w:firstLine="10"/>
              <w:spacing w:before="97" w:line="225" w:lineRule="auto"/>
              <w:rPr/>
            </w:pPr>
            <w:r>
              <w:rPr/>
              <w:t>责令停止使用有毒物品作业，或者提请有关人民政府</w:t>
            </w:r>
            <w:r>
              <w:rPr>
                <w:spacing w:val="9"/>
              </w:rPr>
              <w:t xml:space="preserve"> </w:t>
            </w:r>
            <w:r>
              <w:rPr>
                <w:spacing w:val="1"/>
              </w:rPr>
              <w:t>按照国务院规定的权限予以关闭</w:t>
            </w:r>
          </w:p>
        </w:tc>
      </w:tr>
    </w:tbl>
    <w:p>
      <w:pPr>
        <w:pStyle w:val="BodyText"/>
        <w:spacing w:line="466" w:lineRule="auto"/>
        <w:rPr/>
      </w:pPr>
      <w:r/>
    </w:p>
    <w:p>
      <w:pPr>
        <w:ind w:left="659"/>
        <w:spacing w:before="98" w:line="220" w:lineRule="auto"/>
        <w:rPr>
          <w:rFonts w:ascii="FangSong" w:hAnsi="FangSong" w:eastAsia="FangSong" w:cs="FangSong"/>
          <w:sz w:val="30"/>
          <w:szCs w:val="30"/>
        </w:rPr>
      </w:pPr>
      <w:r>
        <w:rPr>
          <w:rFonts w:ascii="FangSong" w:hAnsi="FangSong" w:eastAsia="FangSong" w:cs="FangSong"/>
          <w:sz w:val="30"/>
          <w:szCs w:val="30"/>
          <w:b/>
          <w:bCs/>
          <w:spacing w:val="23"/>
        </w:rPr>
        <w:t>第五百零五条使用未经培训考核合格的劳动者从事高毒作业的</w:t>
      </w:r>
    </w:p>
    <w:p>
      <w:pPr>
        <w:ind w:left="645"/>
        <w:spacing w:before="10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5" w:firstLine="619"/>
        <w:spacing w:before="43" w:line="271" w:lineRule="auto"/>
        <w:jc w:val="both"/>
        <w:rPr>
          <w:rFonts w:ascii="FangSong" w:hAnsi="FangSong" w:eastAsia="FangSong" w:cs="FangSong"/>
          <w:sz w:val="30"/>
          <w:szCs w:val="30"/>
        </w:rPr>
      </w:pPr>
      <w:r>
        <w:rPr>
          <w:rFonts w:ascii="FangSong" w:hAnsi="FangSong" w:eastAsia="FangSong" w:cs="FangSong"/>
          <w:sz w:val="30"/>
          <w:szCs w:val="30"/>
          <w:spacing w:val="25"/>
        </w:rPr>
        <w:t>《使用有毒物品作业场所劳动保护条例》第六十三条(二)项</w:t>
      </w:r>
      <w:r>
        <w:rPr>
          <w:rFonts w:ascii="FangSong" w:hAnsi="FangSong" w:eastAsia="FangSong" w:cs="FangSong"/>
          <w:sz w:val="30"/>
          <w:szCs w:val="30"/>
          <w:spacing w:val="25"/>
        </w:rPr>
        <w:t xml:space="preserve">   </w:t>
      </w:r>
      <w:r>
        <w:rPr>
          <w:rFonts w:ascii="FangSong" w:hAnsi="FangSong" w:eastAsia="FangSong" w:cs="FangSong"/>
          <w:sz w:val="30"/>
          <w:szCs w:val="30"/>
          <w:spacing w:val="25"/>
        </w:rPr>
        <w:t>用人单位违反本条例的规定，</w:t>
      </w:r>
      <w:r>
        <w:rPr>
          <w:rFonts w:ascii="FangSong" w:hAnsi="FangSong" w:eastAsia="FangSong" w:cs="FangSong"/>
          <w:sz w:val="30"/>
          <w:szCs w:val="30"/>
          <w:spacing w:val="13"/>
        </w:rPr>
        <w:t xml:space="preserve"> </w:t>
      </w:r>
      <w:r>
        <w:rPr>
          <w:rFonts w:ascii="FangSong" w:hAnsi="FangSong" w:eastAsia="FangSong" w:cs="FangSong"/>
          <w:sz w:val="30"/>
          <w:szCs w:val="30"/>
          <w:spacing w:val="26"/>
        </w:rPr>
        <w:t>有下列行为之一的，由疾病预防控制部门责令</w:t>
      </w:r>
      <w:r>
        <w:rPr>
          <w:rFonts w:ascii="FangSong" w:hAnsi="FangSong" w:eastAsia="FangSong" w:cs="FangSong"/>
          <w:sz w:val="30"/>
          <w:szCs w:val="30"/>
          <w:spacing w:val="25"/>
        </w:rPr>
        <w:t>限期改正，处5万元以上30万元以下的罚款；情节严</w:t>
      </w:r>
      <w:r>
        <w:rPr>
          <w:rFonts w:ascii="FangSong" w:hAnsi="FangSong" w:eastAsia="FangSong" w:cs="FangSong"/>
          <w:sz w:val="30"/>
          <w:szCs w:val="30"/>
        </w:rPr>
        <w:t xml:space="preserve"> </w:t>
      </w:r>
      <w:r>
        <w:rPr>
          <w:rFonts w:ascii="FangSong" w:hAnsi="FangSong" w:eastAsia="FangSong" w:cs="FangSong"/>
          <w:sz w:val="30"/>
          <w:szCs w:val="30"/>
          <w:spacing w:val="16"/>
        </w:rPr>
        <w:t>重的，责令停止使用有毒物品作业，或者提请有关人民政府按照国务院规定的权限予以关闭；造成严</w:t>
      </w:r>
      <w:r>
        <w:rPr>
          <w:rFonts w:ascii="FangSong" w:hAnsi="FangSong" w:eastAsia="FangSong" w:cs="FangSong"/>
          <w:sz w:val="30"/>
          <w:szCs w:val="30"/>
          <w:spacing w:val="16"/>
        </w:rPr>
        <w:t xml:space="preserve"> </w:t>
      </w:r>
      <w:r>
        <w:rPr>
          <w:rFonts w:ascii="FangSong" w:hAnsi="FangSong" w:eastAsia="FangSong" w:cs="FangSong"/>
          <w:sz w:val="30"/>
          <w:szCs w:val="30"/>
          <w:spacing w:val="16"/>
        </w:rPr>
        <w:t>重职业中毒危害或者导致职业中毒事故发生的，对负有责任的主管人员和其他直接责任人员依照刑法</w:t>
      </w:r>
      <w:r>
        <w:rPr>
          <w:rFonts w:ascii="FangSong" w:hAnsi="FangSong" w:eastAsia="FangSong" w:cs="FangSong"/>
          <w:sz w:val="30"/>
          <w:szCs w:val="30"/>
          <w:spacing w:val="4"/>
        </w:rPr>
        <w:t xml:space="preserve"> </w:t>
      </w:r>
      <w:r>
        <w:rPr>
          <w:rFonts w:ascii="FangSong" w:hAnsi="FangSong" w:eastAsia="FangSong" w:cs="FangSong"/>
          <w:sz w:val="30"/>
          <w:szCs w:val="30"/>
          <w:spacing w:val="16"/>
        </w:rPr>
        <w:t>关于重大责任事故罪或者其他罪的规定，依法追究刑事</w:t>
      </w:r>
      <w:r>
        <w:rPr>
          <w:rFonts w:ascii="FangSong" w:hAnsi="FangSong" w:eastAsia="FangSong" w:cs="FangSong"/>
          <w:sz w:val="30"/>
          <w:szCs w:val="30"/>
          <w:spacing w:val="15"/>
        </w:rPr>
        <w:t>责任：</w:t>
      </w:r>
    </w:p>
    <w:p>
      <w:pPr>
        <w:ind w:left="785"/>
        <w:spacing w:line="220" w:lineRule="auto"/>
        <w:rPr>
          <w:rFonts w:ascii="FangSong" w:hAnsi="FangSong" w:eastAsia="FangSong" w:cs="FangSong"/>
          <w:sz w:val="30"/>
          <w:szCs w:val="30"/>
        </w:rPr>
      </w:pPr>
      <w:r>
        <w:rPr>
          <w:rFonts w:ascii="FangSong" w:hAnsi="FangSong" w:eastAsia="FangSong" w:cs="FangSong"/>
          <w:sz w:val="30"/>
          <w:szCs w:val="30"/>
          <w:spacing w:val="22"/>
        </w:rPr>
        <w:t>(二)使用未经培训考核合格的劳动者从事高毒作业的；</w:t>
      </w:r>
    </w:p>
    <w:p>
      <w:pPr>
        <w:ind w:left="6419"/>
        <w:spacing w:before="231"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536"/>
          <w:pgSz w:w="16830" w:h="11900"/>
          <w:pgMar w:top="1011" w:right="1458" w:bottom="1107" w:left="1434" w:header="0" w:footer="774" w:gutter="0"/>
        </w:sectPr>
        <w:rPr>
          <w:rFonts w:ascii="SimHei" w:hAnsi="SimHei" w:eastAsia="SimHei" w:cs="SimHei"/>
          <w:sz w:val="30"/>
          <w:szCs w:val="30"/>
        </w:rPr>
      </w:pPr>
    </w:p>
    <w:p>
      <w:pPr>
        <w:spacing w:before="17"/>
        <w:rPr/>
      </w:pPr>
      <w:r/>
    </w:p>
    <w:p>
      <w:pPr>
        <w:spacing w:before="16"/>
        <w:rPr/>
      </w:pPr>
      <w:r/>
    </w:p>
    <w:p>
      <w:pPr>
        <w:spacing w:before="16"/>
        <w:rPr/>
      </w:pPr>
      <w:r/>
    </w:p>
    <w:tbl>
      <w:tblPr>
        <w:tblStyle w:val="TableNormal"/>
        <w:tblW w:w="137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8204"/>
        <w:gridCol w:w="4151"/>
      </w:tblGrid>
      <w:tr>
        <w:trPr>
          <w:trHeight w:val="544" w:hRule="atLeast"/>
        </w:trPr>
        <w:tc>
          <w:tcPr>
            <w:tcW w:w="1414" w:type="dxa"/>
            <w:vAlign w:val="top"/>
          </w:tcPr>
          <w:p>
            <w:pPr>
              <w:pStyle w:val="TableText"/>
              <w:ind w:left="118"/>
              <w:spacing w:before="152" w:line="220" w:lineRule="auto"/>
              <w:rPr/>
            </w:pPr>
            <w:bookmarkStart w:name="bookmark1167" w:id="543"/>
            <w:bookmarkEnd w:id="543"/>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8204" w:type="dxa"/>
            <w:vAlign w:val="top"/>
          </w:tcPr>
          <w:p>
            <w:pPr>
              <w:pStyle w:val="TableText"/>
              <w:ind w:left="3534"/>
              <w:spacing w:before="152" w:line="220" w:lineRule="auto"/>
              <w:rPr/>
            </w:pPr>
            <w:r>
              <w:rPr>
                <w:b/>
                <w:bCs/>
                <w:spacing w:val="-5"/>
              </w:rPr>
              <w:t>情节后果</w:t>
            </w:r>
          </w:p>
        </w:tc>
        <w:tc>
          <w:tcPr>
            <w:tcW w:w="4151" w:type="dxa"/>
            <w:vAlign w:val="top"/>
          </w:tcPr>
          <w:p>
            <w:pPr>
              <w:pStyle w:val="TableText"/>
              <w:ind w:left="1590"/>
              <w:spacing w:before="149" w:line="218" w:lineRule="auto"/>
              <w:rPr/>
            </w:pPr>
            <w:r>
              <w:rPr>
                <w:b/>
                <w:bCs/>
                <w:spacing w:val="-5"/>
              </w:rPr>
              <w:t>裁量幅度</w:t>
            </w:r>
          </w:p>
        </w:tc>
      </w:tr>
      <w:tr>
        <w:trPr>
          <w:trHeight w:val="688" w:hRule="atLeast"/>
        </w:trPr>
        <w:tc>
          <w:tcPr>
            <w:tcW w:w="1414" w:type="dxa"/>
            <w:vAlign w:val="top"/>
          </w:tcPr>
          <w:p>
            <w:pPr>
              <w:pStyle w:val="TableText"/>
              <w:ind w:left="458"/>
              <w:spacing w:before="318" w:line="221" w:lineRule="auto"/>
              <w:rPr/>
            </w:pPr>
            <w:r>
              <w:rPr>
                <w:b/>
                <w:bCs/>
                <w:spacing w:val="-10"/>
              </w:rPr>
              <w:t>一般</w:t>
            </w:r>
          </w:p>
        </w:tc>
        <w:tc>
          <w:tcPr>
            <w:tcW w:w="8204" w:type="dxa"/>
            <w:vAlign w:val="top"/>
          </w:tcPr>
          <w:p>
            <w:pPr>
              <w:pStyle w:val="TableText"/>
              <w:ind w:left="101"/>
              <w:spacing w:before="230" w:line="219" w:lineRule="auto"/>
              <w:rPr/>
            </w:pPr>
            <w:r>
              <w:rPr/>
              <w:t>使用未经培训考核合格的劳动者从事高毒作业，累计人数5人以下的</w:t>
            </w:r>
          </w:p>
        </w:tc>
        <w:tc>
          <w:tcPr>
            <w:tcW w:w="4151" w:type="dxa"/>
            <w:vAlign w:val="top"/>
          </w:tcPr>
          <w:p>
            <w:pPr>
              <w:pStyle w:val="TableText"/>
              <w:ind w:left="146" w:right="203" w:firstLine="60"/>
              <w:spacing w:before="59" w:line="238" w:lineRule="auto"/>
              <w:rPr/>
            </w:pPr>
            <w:r>
              <w:rPr/>
              <w:t>责令限期改正，处5万元以上20万元</w:t>
            </w:r>
            <w:r>
              <w:rPr>
                <w:spacing w:val="9"/>
              </w:rPr>
              <w:t xml:space="preserve"> </w:t>
            </w:r>
            <w:r>
              <w:rPr>
                <w:spacing w:val="2"/>
              </w:rPr>
              <w:t>以下的罚款</w:t>
            </w:r>
          </w:p>
        </w:tc>
      </w:tr>
      <w:tr>
        <w:trPr>
          <w:trHeight w:val="688" w:hRule="atLeast"/>
        </w:trPr>
        <w:tc>
          <w:tcPr>
            <w:tcW w:w="1414" w:type="dxa"/>
            <w:vAlign w:val="top"/>
          </w:tcPr>
          <w:p>
            <w:pPr>
              <w:pStyle w:val="TableText"/>
              <w:ind w:left="458"/>
              <w:spacing w:before="312" w:line="221" w:lineRule="auto"/>
              <w:rPr/>
            </w:pPr>
            <w:r>
              <w:rPr>
                <w:b/>
                <w:bCs/>
                <w:spacing w:val="-5"/>
              </w:rPr>
              <w:t>较重</w:t>
            </w:r>
          </w:p>
        </w:tc>
        <w:tc>
          <w:tcPr>
            <w:tcW w:w="8204" w:type="dxa"/>
            <w:vAlign w:val="top"/>
          </w:tcPr>
          <w:p>
            <w:pPr>
              <w:pStyle w:val="TableText"/>
              <w:ind w:left="101"/>
              <w:spacing w:before="63" w:line="219" w:lineRule="auto"/>
              <w:rPr/>
            </w:pPr>
            <w:r>
              <w:rPr/>
              <w:t>使用未经培训考核合格的劳动者从事高毒作业，累计人数6人以上10人以下</w:t>
            </w:r>
          </w:p>
          <w:p>
            <w:pPr>
              <w:pStyle w:val="TableText"/>
              <w:ind w:left="101"/>
              <w:spacing w:before="58" w:line="209" w:lineRule="auto"/>
              <w:rPr/>
            </w:pPr>
            <w:r>
              <w:rPr>
                <w:color w:val="505060"/>
              </w:rPr>
              <w:t>的</w:t>
            </w:r>
          </w:p>
        </w:tc>
        <w:tc>
          <w:tcPr>
            <w:tcW w:w="4151" w:type="dxa"/>
            <w:vAlign w:val="top"/>
          </w:tcPr>
          <w:p>
            <w:pPr>
              <w:pStyle w:val="TableText"/>
              <w:ind w:left="126" w:right="259" w:firstLine="140"/>
              <w:spacing w:before="61" w:line="237" w:lineRule="auto"/>
              <w:rPr/>
            </w:pPr>
            <w:r>
              <w:rPr/>
              <w:t>责令限期改正，处20万元以上30万</w:t>
            </w:r>
            <w:r>
              <w:rPr>
                <w:spacing w:val="13"/>
              </w:rPr>
              <w:t xml:space="preserve"> </w:t>
            </w:r>
            <w:r>
              <w:rPr>
                <w:spacing w:val="1"/>
              </w:rPr>
              <w:t>元以下的罚款</w:t>
            </w:r>
          </w:p>
        </w:tc>
      </w:tr>
      <w:tr>
        <w:trPr>
          <w:trHeight w:val="1590" w:hRule="atLeast"/>
        </w:trPr>
        <w:tc>
          <w:tcPr>
            <w:tcW w:w="1414" w:type="dxa"/>
            <w:vAlign w:val="top"/>
          </w:tcPr>
          <w:p>
            <w:pPr>
              <w:spacing w:line="349" w:lineRule="auto"/>
              <w:rPr>
                <w:rFonts w:ascii="Arial"/>
                <w:sz w:val="21"/>
              </w:rPr>
            </w:pPr>
            <w:r/>
          </w:p>
          <w:p>
            <w:pPr>
              <w:spacing w:line="350" w:lineRule="auto"/>
              <w:rPr>
                <w:rFonts w:ascii="Arial"/>
                <w:sz w:val="21"/>
              </w:rPr>
            </w:pPr>
            <w:r/>
          </w:p>
          <w:p>
            <w:pPr>
              <w:pStyle w:val="TableText"/>
              <w:ind w:left="458"/>
              <w:spacing w:before="78" w:line="220" w:lineRule="auto"/>
              <w:rPr/>
            </w:pPr>
            <w:r>
              <w:rPr>
                <w:b/>
                <w:bCs/>
                <w:spacing w:val="-6"/>
              </w:rPr>
              <w:t>严重</w:t>
            </w:r>
          </w:p>
        </w:tc>
        <w:tc>
          <w:tcPr>
            <w:tcW w:w="8204" w:type="dxa"/>
            <w:vAlign w:val="top"/>
          </w:tcPr>
          <w:p>
            <w:pPr>
              <w:spacing w:line="285" w:lineRule="auto"/>
              <w:rPr>
                <w:rFonts w:ascii="Arial"/>
                <w:sz w:val="21"/>
              </w:rPr>
            </w:pPr>
            <w:r/>
          </w:p>
          <w:p>
            <w:pPr>
              <w:pStyle w:val="TableText"/>
              <w:ind w:left="101"/>
              <w:spacing w:before="78" w:line="220" w:lineRule="auto"/>
              <w:rPr/>
            </w:pPr>
            <w:r>
              <w:rPr>
                <w:spacing w:val="2"/>
              </w:rPr>
              <w:t>违反下列情形之一的：</w:t>
            </w:r>
          </w:p>
          <w:p>
            <w:pPr>
              <w:pStyle w:val="TableText"/>
              <w:ind w:left="101"/>
              <w:spacing w:before="53" w:line="219" w:lineRule="auto"/>
              <w:rPr/>
            </w:pPr>
            <w:r>
              <w:rPr/>
              <w:t>1.使用未经培训考核合格的劳动者从事高毒作业，累计人数11人以上的</w:t>
            </w:r>
          </w:p>
          <w:p>
            <w:pPr>
              <w:pStyle w:val="TableText"/>
              <w:ind w:left="101"/>
              <w:spacing w:before="55" w:line="219" w:lineRule="auto"/>
              <w:rPr/>
            </w:pPr>
            <w:r>
              <w:rPr>
                <w:spacing w:val="1"/>
              </w:rPr>
              <w:t>2.逾期不改正或造成严重后果的</w:t>
            </w:r>
          </w:p>
        </w:tc>
        <w:tc>
          <w:tcPr>
            <w:tcW w:w="4151" w:type="dxa"/>
            <w:vAlign w:val="top"/>
          </w:tcPr>
          <w:p>
            <w:pPr>
              <w:pStyle w:val="TableText"/>
              <w:ind w:left="117" w:right="143" w:firstLine="29"/>
              <w:spacing w:before="262" w:line="245" w:lineRule="auto"/>
              <w:jc w:val="both"/>
              <w:rPr/>
            </w:pPr>
            <w:r>
              <w:rPr/>
              <w:t>责令停止使用有毒物品作业，或者提</w:t>
            </w:r>
            <w:r>
              <w:rPr>
                <w:spacing w:val="9"/>
              </w:rPr>
              <w:t xml:space="preserve"> </w:t>
            </w:r>
            <w:r>
              <w:rPr>
                <w:spacing w:val="1"/>
              </w:rPr>
              <w:t>请有关人民政府按照国务院规定的权</w:t>
            </w:r>
            <w:r>
              <w:rPr>
                <w:spacing w:val="5"/>
              </w:rPr>
              <w:t xml:space="preserve"> </w:t>
            </w:r>
            <w:r>
              <w:rPr>
                <w:spacing w:val="4"/>
              </w:rPr>
              <w:t>限予以关闭</w:t>
            </w:r>
          </w:p>
        </w:tc>
      </w:tr>
    </w:tbl>
    <w:p>
      <w:pPr>
        <w:pStyle w:val="BodyText"/>
        <w:spacing w:line="411" w:lineRule="auto"/>
        <w:rPr/>
      </w:pPr>
      <w:r/>
    </w:p>
    <w:p>
      <w:pPr>
        <w:ind w:left="19" w:right="119" w:firstLine="639"/>
        <w:spacing w:before="97" w:line="278" w:lineRule="auto"/>
        <w:rPr>
          <w:rFonts w:ascii="KaiTi" w:hAnsi="KaiTi" w:eastAsia="KaiTi" w:cs="KaiTi"/>
          <w:sz w:val="30"/>
          <w:szCs w:val="30"/>
        </w:rPr>
      </w:pPr>
      <w:r>
        <w:rPr>
          <w:rFonts w:ascii="KaiTi" w:hAnsi="KaiTi" w:eastAsia="KaiTi" w:cs="KaiTi"/>
          <w:sz w:val="30"/>
          <w:szCs w:val="30"/>
          <w:b/>
          <w:bCs/>
          <w:spacing w:val="20"/>
        </w:rPr>
        <w:t>第五百零六条发生分立、合并、解散、破产情形，未对从事使用有毒物品作业的劳动</w:t>
      </w:r>
      <w:r>
        <w:rPr>
          <w:rFonts w:ascii="KaiTi" w:hAnsi="KaiTi" w:eastAsia="KaiTi" w:cs="KaiTi"/>
          <w:sz w:val="30"/>
          <w:szCs w:val="30"/>
          <w:b/>
          <w:bCs/>
          <w:spacing w:val="19"/>
        </w:rPr>
        <w:t>者进行健</w:t>
      </w:r>
      <w:r>
        <w:rPr>
          <w:rFonts w:ascii="KaiTi" w:hAnsi="KaiTi" w:eastAsia="KaiTi" w:cs="KaiTi"/>
          <w:sz w:val="30"/>
          <w:szCs w:val="30"/>
        </w:rPr>
        <w:t xml:space="preserve"> </w:t>
      </w:r>
      <w:r>
        <w:rPr>
          <w:rFonts w:ascii="KaiTi" w:hAnsi="KaiTi" w:eastAsia="KaiTi" w:cs="KaiTi"/>
          <w:sz w:val="30"/>
          <w:szCs w:val="30"/>
          <w:b/>
          <w:bCs/>
          <w:spacing w:val="17"/>
        </w:rPr>
        <w:t>康检查，并按照国家有关规定妥善安置职业病病人的</w:t>
      </w:r>
    </w:p>
    <w:p>
      <w:pPr>
        <w:ind w:left="654"/>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15" w:firstLine="629"/>
        <w:spacing w:before="87" w:line="265" w:lineRule="auto"/>
        <w:jc w:val="both"/>
        <w:rPr>
          <w:rFonts w:ascii="FangSong" w:hAnsi="FangSong" w:eastAsia="FangSong" w:cs="FangSong"/>
          <w:sz w:val="30"/>
          <w:szCs w:val="30"/>
        </w:rPr>
      </w:pPr>
      <w:r>
        <w:rPr>
          <w:rFonts w:ascii="FangSong" w:hAnsi="FangSong" w:eastAsia="FangSong" w:cs="FangSong"/>
          <w:sz w:val="30"/>
          <w:szCs w:val="30"/>
          <w:spacing w:val="25"/>
        </w:rPr>
        <w:t>《使用有毒物品作业场所劳动保护条例》第六十七条第(四)项</w:t>
      </w:r>
      <w:r>
        <w:rPr>
          <w:rFonts w:ascii="FangSong" w:hAnsi="FangSong" w:eastAsia="FangSong" w:cs="FangSong"/>
          <w:sz w:val="30"/>
          <w:szCs w:val="30"/>
          <w:spacing w:val="25"/>
        </w:rPr>
        <w:t xml:space="preserve">  </w:t>
      </w:r>
      <w:r>
        <w:rPr>
          <w:rFonts w:ascii="FangSong" w:hAnsi="FangSong" w:eastAsia="FangSong" w:cs="FangSong"/>
          <w:sz w:val="30"/>
          <w:szCs w:val="30"/>
          <w:spacing w:val="25"/>
        </w:rPr>
        <w:t>用人单位违反本条例的规定，</w:t>
      </w:r>
      <w:r>
        <w:rPr>
          <w:rFonts w:ascii="FangSong" w:hAnsi="FangSong" w:eastAsia="FangSong" w:cs="FangSong"/>
          <w:sz w:val="30"/>
          <w:szCs w:val="30"/>
          <w:spacing w:val="4"/>
        </w:rPr>
        <w:t xml:space="preserve"> </w:t>
      </w:r>
      <w:r>
        <w:rPr>
          <w:rFonts w:ascii="FangSong" w:hAnsi="FangSong" w:eastAsia="FangSong" w:cs="FangSong"/>
          <w:sz w:val="30"/>
          <w:szCs w:val="30"/>
          <w:spacing w:val="26"/>
        </w:rPr>
        <w:t>有下列行为之一的，由疾病预防控制部门给予警告，责令限期改正，可以并处5万元以上10万元以</w:t>
      </w:r>
      <w:r>
        <w:rPr>
          <w:rFonts w:ascii="FangSong" w:hAnsi="FangSong" w:eastAsia="FangSong" w:cs="FangSong"/>
          <w:sz w:val="30"/>
          <w:szCs w:val="30"/>
        </w:rPr>
        <w:t xml:space="preserve"> </w:t>
      </w:r>
      <w:r>
        <w:rPr>
          <w:rFonts w:ascii="FangSong" w:hAnsi="FangSong" w:eastAsia="FangSong" w:cs="FangSong"/>
          <w:sz w:val="30"/>
          <w:szCs w:val="30"/>
          <w:spacing w:val="17"/>
        </w:rPr>
        <w:t>下的罚款；逾期不改正的，责令停止使用有毒物品作业，</w:t>
      </w:r>
      <w:r>
        <w:rPr>
          <w:rFonts w:ascii="FangSong" w:hAnsi="FangSong" w:eastAsia="FangSong" w:cs="FangSong"/>
          <w:sz w:val="30"/>
          <w:szCs w:val="30"/>
          <w:spacing w:val="16"/>
        </w:rPr>
        <w:t>或者提请有关人民政府按照国务院规定的权</w:t>
      </w:r>
      <w:r>
        <w:rPr>
          <w:rFonts w:ascii="FangSong" w:hAnsi="FangSong" w:eastAsia="FangSong" w:cs="FangSong"/>
          <w:sz w:val="30"/>
          <w:szCs w:val="30"/>
        </w:rPr>
        <w:t xml:space="preserve"> </w:t>
      </w:r>
      <w:r>
        <w:rPr>
          <w:rFonts w:ascii="FangSong" w:hAnsi="FangSong" w:eastAsia="FangSong" w:cs="FangSong"/>
          <w:sz w:val="30"/>
          <w:szCs w:val="30"/>
          <w:spacing w:val="1"/>
        </w:rPr>
        <w:t>限予以关闭：</w:t>
      </w:r>
    </w:p>
    <w:p>
      <w:pPr>
        <w:ind w:left="15" w:right="19" w:firstLine="769"/>
        <w:spacing w:before="34" w:line="271" w:lineRule="auto"/>
        <w:rPr>
          <w:rFonts w:ascii="FangSong" w:hAnsi="FangSong" w:eastAsia="FangSong" w:cs="FangSong"/>
          <w:sz w:val="30"/>
          <w:szCs w:val="30"/>
        </w:rPr>
      </w:pPr>
      <w:r>
        <w:rPr>
          <w:rFonts w:ascii="FangSong" w:hAnsi="FangSong" w:eastAsia="FangSong" w:cs="FangSong"/>
          <w:sz w:val="30"/>
          <w:szCs w:val="30"/>
          <w:spacing w:val="22"/>
        </w:rPr>
        <w:t>(四)发生分立、合并、解散、破产情形，未对从事使用有毒物品作业的劳动者进行</w:t>
      </w:r>
      <w:r>
        <w:rPr>
          <w:rFonts w:ascii="FangSong" w:hAnsi="FangSong" w:eastAsia="FangSong" w:cs="FangSong"/>
          <w:sz w:val="30"/>
          <w:szCs w:val="30"/>
          <w:spacing w:val="21"/>
        </w:rPr>
        <w:t>健康检查，</w:t>
      </w:r>
      <w:r>
        <w:rPr>
          <w:rFonts w:ascii="FangSong" w:hAnsi="FangSong" w:eastAsia="FangSong" w:cs="FangSong"/>
          <w:sz w:val="30"/>
          <w:szCs w:val="30"/>
        </w:rPr>
        <w:t xml:space="preserve"> </w:t>
      </w:r>
      <w:r>
        <w:rPr>
          <w:rFonts w:ascii="FangSong" w:hAnsi="FangSong" w:eastAsia="FangSong" w:cs="FangSong"/>
          <w:sz w:val="30"/>
          <w:szCs w:val="30"/>
          <w:spacing w:val="14"/>
        </w:rPr>
        <w:t>并按照国家有关规定妥善安置职业病病人的；</w:t>
      </w:r>
    </w:p>
    <w:p>
      <w:pPr>
        <w:spacing w:line="271" w:lineRule="auto"/>
        <w:sectPr>
          <w:footerReference w:type="default" r:id="rId537"/>
          <w:pgSz w:w="16830" w:h="11900"/>
          <w:pgMar w:top="1011" w:right="1369" w:bottom="1118" w:left="1434" w:header="0" w:footer="785" w:gutter="0"/>
        </w:sectPr>
        <w:rPr>
          <w:rFonts w:ascii="FangSong" w:hAnsi="FangSong" w:eastAsia="FangSong" w:cs="FangSong"/>
          <w:sz w:val="30"/>
          <w:szCs w:val="30"/>
        </w:rPr>
      </w:pPr>
    </w:p>
    <w:p>
      <w:pPr>
        <w:pStyle w:val="BodyText"/>
        <w:spacing w:line="259" w:lineRule="auto"/>
        <w:rPr/>
      </w:pPr>
      <w:r/>
    </w:p>
    <w:p>
      <w:pPr>
        <w:pStyle w:val="BodyText"/>
        <w:spacing w:line="259" w:lineRule="auto"/>
        <w:rPr/>
      </w:pPr>
      <w:r/>
    </w:p>
    <w:p>
      <w:pPr>
        <w:pStyle w:val="BodyText"/>
        <w:spacing w:line="260" w:lineRule="auto"/>
        <w:rPr/>
      </w:pPr>
      <w:r/>
    </w:p>
    <w:p>
      <w:pPr>
        <w:ind w:left="6409"/>
        <w:spacing w:before="94" w:line="214" w:lineRule="auto"/>
        <w:rPr>
          <w:rFonts w:ascii="SimSun" w:hAnsi="SimSun" w:eastAsia="SimSun" w:cs="SimSun"/>
          <w:sz w:val="29"/>
          <w:szCs w:val="29"/>
        </w:rPr>
      </w:pPr>
      <w:bookmarkStart w:name="bookmark1168" w:id="544"/>
      <w:bookmarkEnd w:id="544"/>
      <w:r>
        <w:rPr>
          <w:rFonts w:ascii="SimSun" w:hAnsi="SimSun" w:eastAsia="SimSun" w:cs="SimSun"/>
          <w:sz w:val="29"/>
          <w:szCs w:val="29"/>
          <w:b/>
          <w:bCs/>
          <w:spacing w:val="-6"/>
        </w:rPr>
        <w:t>裁量标准</w:t>
      </w:r>
    </w:p>
    <w:tbl>
      <w:tblPr>
        <w:tblStyle w:val="TableNormal"/>
        <w:tblW w:w="138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8274"/>
        <w:gridCol w:w="4162"/>
      </w:tblGrid>
      <w:tr>
        <w:trPr>
          <w:trHeight w:val="554" w:hRule="atLeast"/>
        </w:trPr>
        <w:tc>
          <w:tcPr>
            <w:tcW w:w="1414" w:type="dxa"/>
            <w:vAlign w:val="top"/>
          </w:tcPr>
          <w:p>
            <w:pPr>
              <w:pStyle w:val="TableText"/>
              <w:ind w:left="198"/>
              <w:spacing w:before="152" w:line="220" w:lineRule="auto"/>
              <w:rPr>
                <w:sz w:val="25"/>
                <w:szCs w:val="25"/>
              </w:rPr>
            </w:pPr>
            <w:r>
              <w:rPr>
                <w:sz w:val="25"/>
                <w:szCs w:val="25"/>
                <w:b/>
                <w:bCs/>
                <w:spacing w:val="-5"/>
              </w:rPr>
              <w:t>违法程度</w:t>
            </w:r>
          </w:p>
        </w:tc>
        <w:tc>
          <w:tcPr>
            <w:tcW w:w="8274" w:type="dxa"/>
            <w:vAlign w:val="top"/>
          </w:tcPr>
          <w:p>
            <w:pPr>
              <w:pStyle w:val="TableText"/>
              <w:ind w:left="3574"/>
              <w:spacing w:before="152" w:line="220" w:lineRule="auto"/>
              <w:rPr>
                <w:sz w:val="25"/>
                <w:szCs w:val="25"/>
              </w:rPr>
            </w:pPr>
            <w:r>
              <w:rPr>
                <w:sz w:val="25"/>
                <w:szCs w:val="25"/>
                <w:b/>
                <w:bCs/>
                <w:spacing w:val="-5"/>
              </w:rPr>
              <w:t>情节后果</w:t>
            </w:r>
          </w:p>
        </w:tc>
        <w:tc>
          <w:tcPr>
            <w:tcW w:w="4162" w:type="dxa"/>
            <w:vAlign w:val="top"/>
          </w:tcPr>
          <w:p>
            <w:pPr>
              <w:pStyle w:val="TableText"/>
              <w:ind w:left="1580"/>
              <w:spacing w:before="149" w:line="218" w:lineRule="auto"/>
              <w:rPr>
                <w:sz w:val="25"/>
                <w:szCs w:val="25"/>
              </w:rPr>
            </w:pPr>
            <w:r>
              <w:rPr>
                <w:sz w:val="25"/>
                <w:szCs w:val="25"/>
                <w:b/>
                <w:bCs/>
                <w:spacing w:val="-5"/>
              </w:rPr>
              <w:t>裁量幅度</w:t>
            </w:r>
          </w:p>
        </w:tc>
      </w:tr>
      <w:tr>
        <w:trPr>
          <w:trHeight w:val="1687" w:hRule="atLeast"/>
        </w:trPr>
        <w:tc>
          <w:tcPr>
            <w:tcW w:w="1414" w:type="dxa"/>
            <w:vAlign w:val="top"/>
          </w:tcPr>
          <w:p>
            <w:pPr>
              <w:spacing w:line="317" w:lineRule="auto"/>
              <w:rPr>
                <w:rFonts w:ascii="Arial"/>
                <w:sz w:val="21"/>
              </w:rPr>
            </w:pPr>
            <w:r/>
          </w:p>
          <w:p>
            <w:pPr>
              <w:spacing w:line="317" w:lineRule="auto"/>
              <w:rPr>
                <w:rFonts w:ascii="Arial"/>
                <w:sz w:val="21"/>
              </w:rPr>
            </w:pPr>
            <w:r/>
          </w:p>
          <w:p>
            <w:pPr>
              <w:pStyle w:val="TableText"/>
              <w:ind w:left="448"/>
              <w:spacing w:before="81" w:line="221" w:lineRule="auto"/>
              <w:rPr>
                <w:sz w:val="25"/>
                <w:szCs w:val="25"/>
              </w:rPr>
            </w:pPr>
            <w:r>
              <w:rPr>
                <w:sz w:val="25"/>
                <w:szCs w:val="25"/>
                <w:b/>
                <w:bCs/>
                <w:spacing w:val="-10"/>
              </w:rPr>
              <w:t>一般</w:t>
            </w:r>
          </w:p>
        </w:tc>
        <w:tc>
          <w:tcPr>
            <w:tcW w:w="8274" w:type="dxa"/>
            <w:vAlign w:val="top"/>
          </w:tcPr>
          <w:p>
            <w:pPr>
              <w:pStyle w:val="TableText"/>
              <w:ind w:left="111"/>
              <w:spacing w:before="59" w:line="219" w:lineRule="auto"/>
              <w:rPr>
                <w:sz w:val="25"/>
                <w:szCs w:val="25"/>
              </w:rPr>
            </w:pPr>
            <w:r>
              <w:rPr>
                <w:sz w:val="25"/>
                <w:szCs w:val="25"/>
                <w:spacing w:val="1"/>
              </w:rPr>
              <w:t>用人单位违反本条例的规定，有下列行为之</w:t>
            </w:r>
            <w:r>
              <w:rPr>
                <w:sz w:val="25"/>
                <w:szCs w:val="25"/>
              </w:rPr>
              <w:t>一的：</w:t>
            </w:r>
          </w:p>
          <w:p>
            <w:pPr>
              <w:pStyle w:val="TableText"/>
              <w:ind w:left="111"/>
              <w:spacing w:before="45" w:line="235" w:lineRule="auto"/>
              <w:rPr>
                <w:sz w:val="25"/>
                <w:szCs w:val="25"/>
              </w:rPr>
            </w:pPr>
            <w:r>
              <w:rPr>
                <w:sz w:val="25"/>
                <w:szCs w:val="25"/>
                <w:spacing w:val="-7"/>
              </w:rPr>
              <w:t>A、发生分立、合并、解散、破产情形，未对从事使用有毒物品作业的劳动者</w:t>
            </w:r>
            <w:r>
              <w:rPr>
                <w:sz w:val="25"/>
                <w:szCs w:val="25"/>
                <w:spacing w:val="14"/>
              </w:rPr>
              <w:t xml:space="preserve"> </w:t>
            </w:r>
            <w:r>
              <w:rPr>
                <w:sz w:val="25"/>
                <w:szCs w:val="25"/>
              </w:rPr>
              <w:t>进行健康检查，累计人数10人以下的</w:t>
            </w:r>
          </w:p>
          <w:p>
            <w:pPr>
              <w:pStyle w:val="TableText"/>
              <w:ind w:left="111"/>
              <w:spacing w:before="43" w:line="220" w:lineRule="auto"/>
              <w:rPr>
                <w:sz w:val="25"/>
                <w:szCs w:val="25"/>
              </w:rPr>
            </w:pPr>
            <w:r>
              <w:rPr>
                <w:sz w:val="25"/>
                <w:szCs w:val="25"/>
                <w:spacing w:val="-7"/>
              </w:rPr>
              <w:t>B、发生分立、合并、解散、破产情形未按照国家有关规定妥善安置职业病病</w:t>
            </w:r>
            <w:r>
              <w:rPr>
                <w:sz w:val="25"/>
                <w:szCs w:val="25"/>
                <w:spacing w:val="14"/>
              </w:rPr>
              <w:t xml:space="preserve"> </w:t>
            </w:r>
            <w:r>
              <w:rPr>
                <w:sz w:val="25"/>
                <w:szCs w:val="25"/>
              </w:rPr>
              <w:t>人，累计职业病人数3人以下的</w:t>
            </w:r>
          </w:p>
        </w:tc>
        <w:tc>
          <w:tcPr>
            <w:tcW w:w="4162" w:type="dxa"/>
            <w:vAlign w:val="top"/>
          </w:tcPr>
          <w:p>
            <w:pPr>
              <w:spacing w:line="241" w:lineRule="auto"/>
              <w:rPr>
                <w:rFonts w:ascii="Arial"/>
                <w:sz w:val="21"/>
              </w:rPr>
            </w:pPr>
            <w:r/>
          </w:p>
          <w:p>
            <w:pPr>
              <w:spacing w:line="242" w:lineRule="auto"/>
              <w:rPr>
                <w:rFonts w:ascii="Arial"/>
                <w:sz w:val="21"/>
              </w:rPr>
            </w:pPr>
            <w:r/>
          </w:p>
          <w:p>
            <w:pPr>
              <w:pStyle w:val="TableText"/>
              <w:ind w:left="106" w:hanging="100"/>
              <w:spacing w:before="82" w:line="256" w:lineRule="auto"/>
              <w:rPr>
                <w:sz w:val="25"/>
                <w:szCs w:val="25"/>
              </w:rPr>
            </w:pPr>
            <w:r>
              <w:rPr>
                <w:sz w:val="25"/>
                <w:szCs w:val="25"/>
                <w:spacing w:val="1"/>
              </w:rPr>
              <w:t>给予警告，责令限期改正，可以并处5</w:t>
            </w:r>
            <w:r>
              <w:rPr>
                <w:sz w:val="25"/>
                <w:szCs w:val="25"/>
                <w:spacing w:val="2"/>
              </w:rPr>
              <w:t xml:space="preserve"> </w:t>
            </w:r>
            <w:r>
              <w:rPr>
                <w:sz w:val="25"/>
                <w:szCs w:val="25"/>
              </w:rPr>
              <w:t>万元以上8万元以下的罚款</w:t>
            </w:r>
          </w:p>
        </w:tc>
      </w:tr>
      <w:tr>
        <w:trPr>
          <w:trHeight w:val="1686" w:hRule="atLeast"/>
        </w:trPr>
        <w:tc>
          <w:tcPr>
            <w:tcW w:w="1414" w:type="dxa"/>
            <w:vAlign w:val="top"/>
          </w:tcPr>
          <w:p>
            <w:pPr>
              <w:spacing w:line="319" w:lineRule="auto"/>
              <w:rPr>
                <w:rFonts w:ascii="Arial"/>
                <w:sz w:val="21"/>
              </w:rPr>
            </w:pPr>
            <w:r/>
          </w:p>
          <w:p>
            <w:pPr>
              <w:spacing w:line="319" w:lineRule="auto"/>
              <w:rPr>
                <w:rFonts w:ascii="Arial"/>
                <w:sz w:val="21"/>
              </w:rPr>
            </w:pPr>
            <w:r/>
          </w:p>
          <w:p>
            <w:pPr>
              <w:pStyle w:val="TableText"/>
              <w:ind w:left="448"/>
              <w:spacing w:before="82" w:line="221" w:lineRule="auto"/>
              <w:rPr>
                <w:sz w:val="25"/>
                <w:szCs w:val="25"/>
              </w:rPr>
            </w:pPr>
            <w:r>
              <w:rPr>
                <w:sz w:val="25"/>
                <w:szCs w:val="25"/>
                <w:b/>
                <w:bCs/>
                <w:spacing w:val="-6"/>
              </w:rPr>
              <w:t>较重</w:t>
            </w:r>
          </w:p>
        </w:tc>
        <w:tc>
          <w:tcPr>
            <w:tcW w:w="8274" w:type="dxa"/>
            <w:vAlign w:val="top"/>
          </w:tcPr>
          <w:p>
            <w:pPr>
              <w:pStyle w:val="TableText"/>
              <w:ind w:left="111"/>
              <w:spacing w:before="72" w:line="219" w:lineRule="auto"/>
              <w:rPr>
                <w:sz w:val="25"/>
                <w:szCs w:val="25"/>
              </w:rPr>
            </w:pPr>
            <w:r>
              <w:rPr>
                <w:sz w:val="25"/>
                <w:szCs w:val="25"/>
                <w:spacing w:val="1"/>
              </w:rPr>
              <w:t>用人单位违反本条例的规定，有下列行为之</w:t>
            </w:r>
            <w:r>
              <w:rPr>
                <w:sz w:val="25"/>
                <w:szCs w:val="25"/>
              </w:rPr>
              <w:t>一的：</w:t>
            </w:r>
          </w:p>
          <w:p>
            <w:pPr>
              <w:pStyle w:val="TableText"/>
              <w:ind w:left="111"/>
              <w:spacing w:before="43" w:line="232" w:lineRule="auto"/>
              <w:rPr>
                <w:sz w:val="25"/>
                <w:szCs w:val="25"/>
              </w:rPr>
            </w:pPr>
            <w:r>
              <w:rPr>
                <w:sz w:val="25"/>
                <w:szCs w:val="25"/>
                <w:spacing w:val="-7"/>
              </w:rPr>
              <w:t>A、发生分立、合并、解散、破产情形未对从事使用有毒物品作业的劳动者进</w:t>
            </w:r>
            <w:r>
              <w:rPr>
                <w:sz w:val="25"/>
                <w:szCs w:val="25"/>
                <w:spacing w:val="14"/>
              </w:rPr>
              <w:t xml:space="preserve"> </w:t>
            </w:r>
            <w:r>
              <w:rPr>
                <w:sz w:val="25"/>
                <w:szCs w:val="25"/>
                <w:spacing w:val="1"/>
              </w:rPr>
              <w:t>行健康检查，累计人数11人以上的</w:t>
            </w:r>
          </w:p>
          <w:p>
            <w:pPr>
              <w:pStyle w:val="TableText"/>
              <w:ind w:left="111"/>
              <w:spacing w:before="41" w:line="219" w:lineRule="auto"/>
              <w:rPr>
                <w:sz w:val="25"/>
                <w:szCs w:val="25"/>
              </w:rPr>
            </w:pPr>
            <w:r>
              <w:rPr>
                <w:sz w:val="25"/>
                <w:szCs w:val="25"/>
                <w:spacing w:val="-7"/>
              </w:rPr>
              <w:t>B、发生分立、合并、解散、破产情形未按照国家有关规定妥善安置职业病病</w:t>
            </w:r>
            <w:r>
              <w:rPr>
                <w:sz w:val="25"/>
                <w:szCs w:val="25"/>
                <w:spacing w:val="14"/>
              </w:rPr>
              <w:t xml:space="preserve"> </w:t>
            </w:r>
            <w:r>
              <w:rPr>
                <w:sz w:val="25"/>
                <w:szCs w:val="25"/>
              </w:rPr>
              <w:t>人，累计职业病人数4人以上的</w:t>
            </w:r>
          </w:p>
        </w:tc>
        <w:tc>
          <w:tcPr>
            <w:tcW w:w="4162" w:type="dxa"/>
            <w:vAlign w:val="top"/>
          </w:tcPr>
          <w:p>
            <w:pPr>
              <w:spacing w:line="243" w:lineRule="auto"/>
              <w:rPr>
                <w:rFonts w:ascii="Arial"/>
                <w:sz w:val="21"/>
              </w:rPr>
            </w:pPr>
            <w:r/>
          </w:p>
          <w:p>
            <w:pPr>
              <w:spacing w:line="243" w:lineRule="auto"/>
              <w:rPr>
                <w:rFonts w:ascii="Arial"/>
                <w:sz w:val="21"/>
              </w:rPr>
            </w:pPr>
            <w:r/>
          </w:p>
          <w:p>
            <w:pPr>
              <w:pStyle w:val="TableText"/>
              <w:ind w:left="96" w:hanging="90"/>
              <w:spacing w:before="82" w:line="256" w:lineRule="auto"/>
              <w:rPr>
                <w:sz w:val="25"/>
                <w:szCs w:val="25"/>
              </w:rPr>
            </w:pPr>
            <w:r>
              <w:rPr>
                <w:sz w:val="25"/>
                <w:szCs w:val="25"/>
                <w:spacing w:val="1"/>
              </w:rPr>
              <w:t>给予警告，责令限期改正，可以并处8 </w:t>
            </w:r>
            <w:r>
              <w:rPr>
                <w:sz w:val="25"/>
                <w:szCs w:val="25"/>
              </w:rPr>
              <w:t>万元以上10万元以下的罚款</w:t>
            </w:r>
          </w:p>
        </w:tc>
      </w:tr>
      <w:tr>
        <w:trPr>
          <w:trHeight w:val="1023" w:hRule="atLeast"/>
        </w:trPr>
        <w:tc>
          <w:tcPr>
            <w:tcW w:w="1414" w:type="dxa"/>
            <w:vAlign w:val="top"/>
          </w:tcPr>
          <w:p>
            <w:pPr>
              <w:spacing w:line="421" w:lineRule="auto"/>
              <w:rPr>
                <w:rFonts w:ascii="Arial"/>
                <w:sz w:val="21"/>
              </w:rPr>
            </w:pPr>
            <w:r/>
          </w:p>
          <w:p>
            <w:pPr>
              <w:pStyle w:val="TableText"/>
              <w:ind w:left="448"/>
              <w:spacing w:before="81" w:line="220" w:lineRule="auto"/>
              <w:rPr>
                <w:sz w:val="25"/>
                <w:szCs w:val="25"/>
              </w:rPr>
            </w:pPr>
            <w:r>
              <w:rPr>
                <w:sz w:val="25"/>
                <w:szCs w:val="25"/>
                <w:b/>
                <w:bCs/>
                <w:spacing w:val="-6"/>
              </w:rPr>
              <w:t>严重</w:t>
            </w:r>
          </w:p>
        </w:tc>
        <w:tc>
          <w:tcPr>
            <w:tcW w:w="8274" w:type="dxa"/>
            <w:vAlign w:val="top"/>
          </w:tcPr>
          <w:p>
            <w:pPr>
              <w:spacing w:line="315" w:lineRule="auto"/>
              <w:rPr>
                <w:rFonts w:ascii="Arial"/>
                <w:sz w:val="21"/>
              </w:rPr>
            </w:pPr>
            <w:r/>
          </w:p>
          <w:p>
            <w:pPr>
              <w:pStyle w:val="TableText"/>
              <w:ind w:left="111"/>
              <w:spacing w:before="81" w:line="219" w:lineRule="auto"/>
              <w:rPr>
                <w:sz w:val="25"/>
                <w:szCs w:val="25"/>
              </w:rPr>
            </w:pPr>
            <w:r>
              <w:rPr>
                <w:sz w:val="25"/>
                <w:szCs w:val="25"/>
                <w:spacing w:val="1"/>
              </w:rPr>
              <w:t>逾期不改正的；或造成严重后果的</w:t>
            </w:r>
          </w:p>
        </w:tc>
        <w:tc>
          <w:tcPr>
            <w:tcW w:w="4162" w:type="dxa"/>
            <w:vAlign w:val="top"/>
          </w:tcPr>
          <w:p>
            <w:pPr>
              <w:pStyle w:val="TableText"/>
              <w:ind w:left="76" w:hanging="59"/>
              <w:spacing w:before="78" w:line="230" w:lineRule="auto"/>
              <w:jc w:val="both"/>
              <w:rPr>
                <w:sz w:val="25"/>
                <w:szCs w:val="25"/>
              </w:rPr>
            </w:pPr>
            <w:r>
              <w:rPr>
                <w:sz w:val="25"/>
                <w:szCs w:val="25"/>
                <w:spacing w:val="-7"/>
              </w:rPr>
              <w:t>责令停止使用有毒物品作业，或者提请</w:t>
            </w:r>
            <w:r>
              <w:rPr>
                <w:sz w:val="25"/>
                <w:szCs w:val="25"/>
                <w:spacing w:val="2"/>
              </w:rPr>
              <w:t xml:space="preserve"> </w:t>
            </w:r>
            <w:r>
              <w:rPr>
                <w:sz w:val="25"/>
                <w:szCs w:val="25"/>
              </w:rPr>
              <w:t>有关人民政府按照国务院规定的权限</w:t>
            </w:r>
            <w:r>
              <w:rPr>
                <w:sz w:val="25"/>
                <w:szCs w:val="25"/>
                <w:spacing w:val="6"/>
              </w:rPr>
              <w:t xml:space="preserve"> </w:t>
            </w:r>
            <w:r>
              <w:rPr>
                <w:sz w:val="25"/>
                <w:szCs w:val="25"/>
                <w:spacing w:val="12"/>
              </w:rPr>
              <w:t>予以关闭</w:t>
            </w:r>
          </w:p>
        </w:tc>
      </w:tr>
    </w:tbl>
    <w:p>
      <w:pPr>
        <w:pStyle w:val="BodyText"/>
        <w:spacing w:line="350" w:lineRule="auto"/>
        <w:rPr/>
      </w:pPr>
      <w:r/>
    </w:p>
    <w:p>
      <w:pPr>
        <w:pStyle w:val="BodyText"/>
        <w:spacing w:line="350" w:lineRule="auto"/>
        <w:rPr/>
      </w:pPr>
      <w:r/>
    </w:p>
    <w:p>
      <w:pPr>
        <w:ind w:left="789"/>
        <w:spacing w:before="101" w:line="223" w:lineRule="auto"/>
        <w:rPr>
          <w:rFonts w:ascii="KaiTi" w:hAnsi="KaiTi" w:eastAsia="KaiTi" w:cs="KaiTi"/>
          <w:sz w:val="31"/>
          <w:szCs w:val="31"/>
        </w:rPr>
      </w:pPr>
      <w:r>
        <w:rPr>
          <w:rFonts w:ascii="KaiTi" w:hAnsi="KaiTi" w:eastAsia="KaiTi" w:cs="KaiTi"/>
          <w:sz w:val="31"/>
          <w:szCs w:val="31"/>
          <w:b/>
          <w:bCs/>
          <w:spacing w:val="17"/>
        </w:rPr>
        <w:t>(四)《工作场所职业卫生管理规定》</w:t>
      </w:r>
    </w:p>
    <w:p>
      <w:pPr>
        <w:ind w:left="659"/>
        <w:spacing w:before="317" w:line="220" w:lineRule="auto"/>
        <w:rPr>
          <w:rFonts w:ascii="FangSong" w:hAnsi="FangSong" w:eastAsia="FangSong" w:cs="FangSong"/>
          <w:sz w:val="31"/>
          <w:szCs w:val="31"/>
        </w:rPr>
      </w:pPr>
      <w:r>
        <w:rPr>
          <w:rFonts w:ascii="FangSong" w:hAnsi="FangSong" w:eastAsia="FangSong" w:cs="FangSong"/>
          <w:sz w:val="31"/>
          <w:szCs w:val="31"/>
          <w:b/>
          <w:bCs/>
          <w:spacing w:val="12"/>
        </w:rPr>
        <w:t>第五百零七条用人单位的主要负责人、职业卫生管理人员未接受职业卫</w:t>
      </w:r>
      <w:r>
        <w:rPr>
          <w:rFonts w:ascii="FangSong" w:hAnsi="FangSong" w:eastAsia="FangSong" w:cs="FangSong"/>
          <w:sz w:val="31"/>
          <w:szCs w:val="31"/>
          <w:b/>
          <w:bCs/>
          <w:spacing w:val="11"/>
        </w:rPr>
        <w:t>生培训的</w:t>
      </w:r>
    </w:p>
    <w:p>
      <w:pPr>
        <w:ind w:left="654"/>
        <w:spacing w:before="107"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spacing w:before="92" w:line="220" w:lineRule="auto"/>
        <w:jc w:val="right"/>
        <w:rPr>
          <w:rFonts w:ascii="FangSong" w:hAnsi="FangSong" w:eastAsia="FangSong" w:cs="FangSong"/>
          <w:sz w:val="31"/>
          <w:szCs w:val="31"/>
        </w:rPr>
      </w:pPr>
      <w:r>
        <w:rPr>
          <w:rFonts w:ascii="FangSong" w:hAnsi="FangSong" w:eastAsia="FangSong" w:cs="FangSong"/>
          <w:sz w:val="31"/>
          <w:szCs w:val="31"/>
          <w:spacing w:val="14"/>
        </w:rPr>
        <w:t>《工作场所职业卫生管理规定》第四十七条第(二)项</w:t>
      </w:r>
      <w:r>
        <w:rPr>
          <w:rFonts w:ascii="FangSong" w:hAnsi="FangSong" w:eastAsia="FangSong" w:cs="FangSong"/>
          <w:sz w:val="31"/>
          <w:szCs w:val="31"/>
          <w:spacing w:val="14"/>
        </w:rPr>
        <w:t xml:space="preserve">  </w:t>
      </w:r>
      <w:r>
        <w:rPr>
          <w:rFonts w:ascii="FangSong" w:hAnsi="FangSong" w:eastAsia="FangSong" w:cs="FangSong"/>
          <w:sz w:val="31"/>
          <w:szCs w:val="31"/>
          <w:spacing w:val="14"/>
        </w:rPr>
        <w:t>用人单位有下列情形之一的，责令限期</w:t>
      </w:r>
    </w:p>
    <w:p>
      <w:pPr>
        <w:spacing w:line="220" w:lineRule="auto"/>
        <w:sectPr>
          <w:footerReference w:type="default" r:id="rId538"/>
          <w:pgSz w:w="16830" w:h="11900"/>
          <w:pgMar w:top="1011" w:right="1455" w:bottom="1124" w:left="1434" w:header="0" w:footer="782" w:gutter="0"/>
        </w:sectPr>
        <w:rPr>
          <w:rFonts w:ascii="FangSong" w:hAnsi="FangSong" w:eastAsia="FangSong" w:cs="FangSong"/>
          <w:sz w:val="31"/>
          <w:szCs w:val="31"/>
        </w:rPr>
      </w:pPr>
    </w:p>
    <w:p>
      <w:pPr>
        <w:pStyle w:val="BodyText"/>
        <w:spacing w:line="250" w:lineRule="auto"/>
        <w:rPr/>
      </w:pPr>
      <w:r/>
    </w:p>
    <w:p>
      <w:pPr>
        <w:pStyle w:val="BodyText"/>
        <w:spacing w:line="251" w:lineRule="auto"/>
        <w:rPr/>
      </w:pPr>
      <w:r/>
    </w:p>
    <w:p>
      <w:pPr>
        <w:pStyle w:val="BodyText"/>
        <w:spacing w:line="251" w:lineRule="auto"/>
        <w:rPr/>
      </w:pPr>
      <w:r/>
    </w:p>
    <w:p>
      <w:pPr>
        <w:ind w:left="34"/>
        <w:spacing w:before="98" w:line="220" w:lineRule="auto"/>
        <w:rPr>
          <w:rFonts w:ascii="FangSong" w:hAnsi="FangSong" w:eastAsia="FangSong" w:cs="FangSong"/>
          <w:sz w:val="30"/>
          <w:szCs w:val="30"/>
        </w:rPr>
      </w:pPr>
      <w:bookmarkStart w:name="bookmark1169" w:id="545"/>
      <w:bookmarkEnd w:id="545"/>
      <w:r>
        <w:rPr>
          <w:rFonts w:ascii="FangSong" w:hAnsi="FangSong" w:eastAsia="FangSong" w:cs="FangSong"/>
          <w:sz w:val="30"/>
          <w:szCs w:val="30"/>
          <w:spacing w:val="15"/>
        </w:rPr>
        <w:t>改正，给予警告，可以并处五千元以上二万元以下的罚款：</w:t>
      </w:r>
    </w:p>
    <w:p>
      <w:pPr>
        <w:ind w:left="6408" w:right="2814" w:hanging="5634"/>
        <w:spacing w:before="114" w:line="290" w:lineRule="auto"/>
        <w:rPr>
          <w:rFonts w:ascii="SimSun" w:hAnsi="SimSun" w:eastAsia="SimSun" w:cs="SimSun"/>
          <w:sz w:val="29"/>
          <w:szCs w:val="29"/>
        </w:rPr>
      </w:pPr>
      <w:r>
        <w:rPr>
          <w:rFonts w:ascii="FangSong" w:hAnsi="FangSong" w:eastAsia="FangSong" w:cs="FangSong"/>
          <w:sz w:val="30"/>
          <w:szCs w:val="30"/>
          <w:spacing w:val="23"/>
        </w:rPr>
        <w:t>(二)用人单位的主要负责人、职业卫生管理人员</w:t>
      </w:r>
      <w:r>
        <w:rPr>
          <w:rFonts w:ascii="FangSong" w:hAnsi="FangSong" w:eastAsia="FangSong" w:cs="FangSong"/>
          <w:sz w:val="30"/>
          <w:szCs w:val="30"/>
          <w:spacing w:val="22"/>
        </w:rPr>
        <w:t>未接受职业卫生培训的。</w:t>
      </w:r>
      <w:r>
        <w:rPr>
          <w:rFonts w:ascii="FangSong" w:hAnsi="FangSong" w:eastAsia="FangSong" w:cs="FangSong"/>
          <w:sz w:val="30"/>
          <w:szCs w:val="30"/>
        </w:rPr>
        <w:t xml:space="preserve"> </w:t>
      </w:r>
      <w:r>
        <w:rPr>
          <w:rFonts w:ascii="SimSun" w:hAnsi="SimSun" w:eastAsia="SimSun" w:cs="SimSun"/>
          <w:sz w:val="29"/>
          <w:szCs w:val="29"/>
          <w:b/>
          <w:bCs/>
          <w:spacing w:val="-6"/>
        </w:rPr>
        <w:t>裁量标准</w:t>
      </w:r>
    </w:p>
    <w:tbl>
      <w:tblPr>
        <w:tblStyle w:val="TableNormal"/>
        <w:tblW w:w="136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7624"/>
        <w:gridCol w:w="4641"/>
      </w:tblGrid>
      <w:tr>
        <w:trPr>
          <w:trHeight w:val="573" w:hRule="atLeast"/>
        </w:trPr>
        <w:tc>
          <w:tcPr>
            <w:tcW w:w="1404" w:type="dxa"/>
            <w:vAlign w:val="top"/>
          </w:tcPr>
          <w:p>
            <w:pPr>
              <w:pStyle w:val="TableText"/>
              <w:ind w:left="218"/>
              <w:spacing w:before="172" w:line="220" w:lineRule="auto"/>
              <w:rPr/>
            </w:pPr>
            <w:r>
              <w:rPr>
                <w:b/>
                <w:bCs/>
                <w:spacing w:val="-5"/>
              </w:rPr>
              <w:t>违法程度</w:t>
            </w:r>
          </w:p>
        </w:tc>
        <w:tc>
          <w:tcPr>
            <w:tcW w:w="7624" w:type="dxa"/>
            <w:vAlign w:val="top"/>
          </w:tcPr>
          <w:p>
            <w:pPr>
              <w:pStyle w:val="TableText"/>
              <w:ind w:left="3234"/>
              <w:spacing w:before="172" w:line="220" w:lineRule="auto"/>
              <w:rPr/>
            </w:pPr>
            <w:r>
              <w:rPr>
                <w:b/>
                <w:bCs/>
                <w:spacing w:val="-5"/>
              </w:rPr>
              <w:t>情节后果</w:t>
            </w:r>
          </w:p>
        </w:tc>
        <w:tc>
          <w:tcPr>
            <w:tcW w:w="4641" w:type="dxa"/>
            <w:vAlign w:val="top"/>
          </w:tcPr>
          <w:p>
            <w:pPr>
              <w:pStyle w:val="TableText"/>
              <w:ind w:left="1740"/>
              <w:spacing w:before="16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77" w:hRule="atLeast"/>
        </w:trPr>
        <w:tc>
          <w:tcPr>
            <w:tcW w:w="1404" w:type="dxa"/>
            <w:vAlign w:val="top"/>
          </w:tcPr>
          <w:p>
            <w:pPr>
              <w:pStyle w:val="TableText"/>
              <w:ind w:left="458"/>
              <w:spacing w:before="299" w:line="221" w:lineRule="auto"/>
              <w:rPr/>
            </w:pPr>
            <w:r>
              <w:rPr>
                <w:b/>
                <w:bCs/>
                <w:spacing w:val="-10"/>
              </w:rPr>
              <w:t>一般</w:t>
            </w:r>
          </w:p>
        </w:tc>
        <w:tc>
          <w:tcPr>
            <w:tcW w:w="7624" w:type="dxa"/>
            <w:vAlign w:val="top"/>
          </w:tcPr>
          <w:p>
            <w:pPr>
              <w:pStyle w:val="TableText"/>
              <w:ind w:left="121" w:right="63"/>
              <w:spacing w:before="61" w:line="233" w:lineRule="auto"/>
              <w:rPr/>
            </w:pPr>
            <w:r>
              <w:rPr/>
              <w:t>职业病危害一般类别的用人单位的主要负责</w:t>
            </w:r>
            <w:r>
              <w:rPr>
                <w:spacing w:val="-1"/>
              </w:rPr>
              <w:t>人、职业卫生管理人员未接</w:t>
            </w:r>
            <w:r>
              <w:rPr/>
              <w:t xml:space="preserve"> </w:t>
            </w:r>
            <w:r>
              <w:rPr>
                <w:spacing w:val="2"/>
              </w:rPr>
              <w:t>受职业卫生培训的</w:t>
            </w:r>
          </w:p>
        </w:tc>
        <w:tc>
          <w:tcPr>
            <w:tcW w:w="4641" w:type="dxa"/>
            <w:vAlign w:val="top"/>
          </w:tcPr>
          <w:p>
            <w:pPr>
              <w:pStyle w:val="TableText"/>
              <w:ind w:left="136" w:right="202" w:firstLine="80"/>
              <w:spacing w:before="50" w:line="237" w:lineRule="auto"/>
              <w:rPr/>
            </w:pPr>
            <w:r>
              <w:rPr/>
              <w:t>给予警告，责令限期改正，可以并处5千</w:t>
            </w:r>
            <w:r>
              <w:rPr>
                <w:spacing w:val="10"/>
              </w:rPr>
              <w:t xml:space="preserve"> </w:t>
            </w:r>
            <w:r>
              <w:rPr/>
              <w:t>元以上1万元以下的罚款</w:t>
            </w:r>
          </w:p>
        </w:tc>
      </w:tr>
      <w:tr>
        <w:trPr>
          <w:trHeight w:val="678" w:hRule="atLeast"/>
        </w:trPr>
        <w:tc>
          <w:tcPr>
            <w:tcW w:w="1404" w:type="dxa"/>
            <w:vAlign w:val="top"/>
          </w:tcPr>
          <w:p>
            <w:pPr>
              <w:pStyle w:val="TableText"/>
              <w:ind w:left="458"/>
              <w:spacing w:before="314" w:line="221" w:lineRule="auto"/>
              <w:rPr/>
            </w:pPr>
            <w:r>
              <w:rPr>
                <w:b/>
                <w:bCs/>
                <w:spacing w:val="-5"/>
              </w:rPr>
              <w:t>较重</w:t>
            </w:r>
          </w:p>
        </w:tc>
        <w:tc>
          <w:tcPr>
            <w:tcW w:w="7624" w:type="dxa"/>
            <w:vAlign w:val="top"/>
          </w:tcPr>
          <w:p>
            <w:pPr>
              <w:pStyle w:val="TableText"/>
              <w:ind w:left="121" w:right="63"/>
              <w:spacing w:before="75" w:line="228" w:lineRule="auto"/>
              <w:rPr/>
            </w:pPr>
            <w:r>
              <w:rPr/>
              <w:t>职业病危害严重类别的用人单位的主要负责</w:t>
            </w:r>
            <w:r>
              <w:rPr>
                <w:spacing w:val="-1"/>
              </w:rPr>
              <w:t>人、职业卫生管理人员未接</w:t>
            </w:r>
            <w:r>
              <w:rPr/>
              <w:t xml:space="preserve"> </w:t>
            </w:r>
            <w:r>
              <w:rPr>
                <w:spacing w:val="2"/>
              </w:rPr>
              <w:t>受职业卫生培训的</w:t>
            </w:r>
          </w:p>
        </w:tc>
        <w:tc>
          <w:tcPr>
            <w:tcW w:w="4641" w:type="dxa"/>
            <w:vAlign w:val="top"/>
          </w:tcPr>
          <w:p>
            <w:pPr>
              <w:pStyle w:val="TableText"/>
              <w:ind w:left="136" w:right="192" w:firstLine="80"/>
              <w:spacing w:before="62" w:line="233" w:lineRule="auto"/>
              <w:rPr/>
            </w:pPr>
            <w:r>
              <w:rPr>
                <w:spacing w:val="1"/>
              </w:rPr>
              <w:t>给予警告，责令限期改正，并处1万元以</w:t>
            </w:r>
            <w:r>
              <w:rPr>
                <w:spacing w:val="2"/>
              </w:rPr>
              <w:t xml:space="preserve"> </w:t>
            </w:r>
            <w:r>
              <w:rPr/>
              <w:t>上1.5万元以下的罚款</w:t>
            </w:r>
          </w:p>
        </w:tc>
      </w:tr>
      <w:tr>
        <w:trPr>
          <w:trHeight w:val="662" w:hRule="atLeast"/>
        </w:trPr>
        <w:tc>
          <w:tcPr>
            <w:tcW w:w="1404" w:type="dxa"/>
            <w:vAlign w:val="top"/>
          </w:tcPr>
          <w:p>
            <w:pPr>
              <w:pStyle w:val="TableText"/>
              <w:ind w:left="458"/>
              <w:spacing w:before="314" w:line="220" w:lineRule="auto"/>
              <w:rPr/>
            </w:pPr>
            <w:r>
              <w:rPr>
                <w:b/>
                <w:bCs/>
                <w:spacing w:val="-6"/>
              </w:rPr>
              <w:t>严重</w:t>
            </w:r>
          </w:p>
        </w:tc>
        <w:tc>
          <w:tcPr>
            <w:tcW w:w="7624" w:type="dxa"/>
            <w:vAlign w:val="top"/>
          </w:tcPr>
          <w:p>
            <w:pPr>
              <w:pStyle w:val="TableText"/>
              <w:ind w:left="121"/>
              <w:spacing w:before="67" w:line="220" w:lineRule="auto"/>
              <w:rPr/>
            </w:pPr>
            <w:r>
              <w:rPr>
                <w:spacing w:val="2"/>
              </w:rPr>
              <w:t>有下列情形之一的：</w:t>
            </w:r>
          </w:p>
          <w:p>
            <w:pPr>
              <w:pStyle w:val="TableText"/>
              <w:ind w:left="121"/>
              <w:spacing w:before="33" w:line="204" w:lineRule="auto"/>
              <w:rPr/>
            </w:pPr>
            <w:r>
              <w:rPr>
                <w:spacing w:val="1"/>
              </w:rPr>
              <w:t>1.逾期不改正的；2.造成严重后果的</w:t>
            </w:r>
          </w:p>
        </w:tc>
        <w:tc>
          <w:tcPr>
            <w:tcW w:w="4641" w:type="dxa"/>
            <w:vAlign w:val="top"/>
          </w:tcPr>
          <w:p>
            <w:pPr>
              <w:pStyle w:val="TableText"/>
              <w:ind w:left="116" w:right="245" w:firstLine="160"/>
              <w:spacing w:before="64" w:line="226" w:lineRule="auto"/>
              <w:rPr/>
            </w:pPr>
            <w:r>
              <w:rPr>
                <w:spacing w:val="1"/>
              </w:rPr>
              <w:t>警告，并处1.5万元以上2万元以下的罚</w:t>
            </w:r>
            <w:r>
              <w:rPr>
                <w:spacing w:val="8"/>
              </w:rPr>
              <w:t xml:space="preserve"> </w:t>
            </w:r>
            <w:r>
              <w:rPr/>
              <w:t>款</w:t>
            </w:r>
          </w:p>
        </w:tc>
      </w:tr>
    </w:tbl>
    <w:p>
      <w:pPr>
        <w:pStyle w:val="BodyText"/>
        <w:spacing w:line="437" w:lineRule="auto"/>
        <w:rPr/>
      </w:pPr>
      <w:r/>
    </w:p>
    <w:p>
      <w:pPr>
        <w:ind w:left="669"/>
        <w:spacing w:before="97" w:line="220" w:lineRule="auto"/>
        <w:rPr>
          <w:rFonts w:ascii="FangSong" w:hAnsi="FangSong" w:eastAsia="FangSong" w:cs="FangSong"/>
          <w:sz w:val="30"/>
          <w:szCs w:val="30"/>
        </w:rPr>
      </w:pPr>
      <w:r>
        <w:rPr>
          <w:rFonts w:ascii="FangSong" w:hAnsi="FangSong" w:eastAsia="FangSong" w:cs="FangSong"/>
          <w:sz w:val="30"/>
          <w:szCs w:val="30"/>
          <w:b/>
          <w:bCs/>
          <w:spacing w:val="23"/>
        </w:rPr>
        <w:t>第五百零八条其他违反《工作场所职业卫生管理规定》的行为</w:t>
      </w:r>
    </w:p>
    <w:p>
      <w:pPr>
        <w:ind w:left="654"/>
        <w:spacing w:before="8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34" w:firstLine="590"/>
        <w:spacing w:before="84" w:line="271" w:lineRule="auto"/>
        <w:rPr>
          <w:rFonts w:ascii="FangSong" w:hAnsi="FangSong" w:eastAsia="FangSong" w:cs="FangSong"/>
          <w:sz w:val="30"/>
          <w:szCs w:val="30"/>
        </w:rPr>
      </w:pPr>
      <w:r>
        <w:rPr>
          <w:rFonts w:ascii="FangSong" w:hAnsi="FangSong" w:eastAsia="FangSong" w:cs="FangSong"/>
          <w:sz w:val="30"/>
          <w:szCs w:val="30"/>
          <w:spacing w:val="24"/>
        </w:rPr>
        <w:t>《工作场所职业卫生管理规定》第四十七条第(三)项</w:t>
      </w:r>
      <w:r>
        <w:rPr>
          <w:rFonts w:ascii="FangSong" w:hAnsi="FangSong" w:eastAsia="FangSong" w:cs="FangSong"/>
          <w:sz w:val="30"/>
          <w:szCs w:val="30"/>
          <w:spacing w:val="23"/>
        </w:rPr>
        <w:t xml:space="preserve">  </w:t>
      </w:r>
      <w:r>
        <w:rPr>
          <w:rFonts w:ascii="FangSong" w:hAnsi="FangSong" w:eastAsia="FangSong" w:cs="FangSong"/>
          <w:sz w:val="30"/>
          <w:szCs w:val="30"/>
          <w:spacing w:val="23"/>
        </w:rPr>
        <w:t>用人单位有下列情形之一的，责令限期</w:t>
      </w:r>
      <w:r>
        <w:rPr>
          <w:rFonts w:ascii="FangSong" w:hAnsi="FangSong" w:eastAsia="FangSong" w:cs="FangSong"/>
          <w:sz w:val="30"/>
          <w:szCs w:val="30"/>
        </w:rPr>
        <w:t xml:space="preserve"> </w:t>
      </w:r>
      <w:r>
        <w:rPr>
          <w:rFonts w:ascii="FangSong" w:hAnsi="FangSong" w:eastAsia="FangSong" w:cs="FangSong"/>
          <w:sz w:val="30"/>
          <w:szCs w:val="30"/>
          <w:spacing w:val="15"/>
        </w:rPr>
        <w:t>改正，给予警告，可以并处五千元以上二万元以下的罚款：</w:t>
      </w:r>
    </w:p>
    <w:p>
      <w:pPr>
        <w:ind w:left="774"/>
        <w:spacing w:line="220" w:lineRule="auto"/>
        <w:rPr>
          <w:rFonts w:ascii="FangSong" w:hAnsi="FangSong" w:eastAsia="FangSong" w:cs="FangSong"/>
          <w:sz w:val="30"/>
          <w:szCs w:val="30"/>
        </w:rPr>
      </w:pPr>
      <w:r>
        <w:rPr>
          <w:rFonts w:ascii="FangSong" w:hAnsi="FangSong" w:eastAsia="FangSong" w:cs="FangSong"/>
          <w:sz w:val="30"/>
          <w:szCs w:val="30"/>
          <w:spacing w:val="24"/>
        </w:rPr>
        <w:t>(三)其他违反《工作场所职业卫生管理规定》的行</w:t>
      </w:r>
      <w:r>
        <w:rPr>
          <w:rFonts w:ascii="FangSong" w:hAnsi="FangSong" w:eastAsia="FangSong" w:cs="FangSong"/>
          <w:sz w:val="30"/>
          <w:szCs w:val="30"/>
          <w:spacing w:val="23"/>
        </w:rPr>
        <w:t>为。</w:t>
      </w:r>
    </w:p>
    <w:p>
      <w:pPr>
        <w:pStyle w:val="BodyText"/>
        <w:spacing w:line="255" w:lineRule="auto"/>
        <w:rPr/>
      </w:pPr>
      <w:r/>
    </w:p>
    <w:p>
      <w:pPr>
        <w:pStyle w:val="BodyText"/>
        <w:spacing w:line="255" w:lineRule="auto"/>
        <w:rPr/>
      </w:pPr>
      <w:r/>
    </w:p>
    <w:p>
      <w:pPr>
        <w:ind w:left="6399"/>
        <w:spacing w:before="98" w:line="221" w:lineRule="auto"/>
        <w:rPr>
          <w:rFonts w:ascii="SimHei" w:hAnsi="SimHei" w:eastAsia="SimHei" w:cs="SimHei"/>
          <w:sz w:val="30"/>
          <w:szCs w:val="30"/>
        </w:rPr>
      </w:pPr>
      <w:r>
        <w:rPr>
          <w:rFonts w:ascii="SimHei" w:hAnsi="SimHei" w:eastAsia="SimHei" w:cs="SimHei"/>
          <w:sz w:val="30"/>
          <w:szCs w:val="30"/>
          <w:b/>
          <w:bCs/>
          <w:spacing w:val="-15"/>
        </w:rPr>
        <w:t>裁量标准</w:t>
      </w:r>
    </w:p>
    <w:p>
      <w:pPr>
        <w:spacing w:line="221" w:lineRule="auto"/>
        <w:sectPr>
          <w:footerReference w:type="default" r:id="rId539"/>
          <w:pgSz w:w="16830" w:h="11900"/>
          <w:pgMar w:top="1011" w:right="1456" w:bottom="1107" w:left="1434" w:header="0" w:footer="774" w:gutter="0"/>
        </w:sectPr>
        <w:rPr>
          <w:rFonts w:ascii="SimHei" w:hAnsi="SimHei" w:eastAsia="SimHei" w:cs="SimHei"/>
          <w:sz w:val="30"/>
          <w:szCs w:val="30"/>
        </w:rPr>
      </w:pPr>
    </w:p>
    <w:p>
      <w:pPr>
        <w:spacing w:before="20"/>
        <w:rPr/>
      </w:pPr>
      <w:r/>
    </w:p>
    <w:p>
      <w:pPr>
        <w:spacing w:before="20"/>
        <w:rPr/>
      </w:pPr>
      <w:r/>
    </w:p>
    <w:p>
      <w:pPr>
        <w:spacing w:before="19"/>
        <w:rPr/>
      </w:pPr>
      <w:r/>
    </w:p>
    <w:tbl>
      <w:tblPr>
        <w:tblStyle w:val="TableNormal"/>
        <w:tblW w:w="143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23"/>
        <w:gridCol w:w="6385"/>
        <w:gridCol w:w="6001"/>
      </w:tblGrid>
      <w:tr>
        <w:trPr>
          <w:trHeight w:val="623" w:hRule="atLeast"/>
        </w:trPr>
        <w:tc>
          <w:tcPr>
            <w:tcW w:w="1923" w:type="dxa"/>
            <w:vAlign w:val="top"/>
          </w:tcPr>
          <w:p>
            <w:pPr>
              <w:pStyle w:val="TableText"/>
              <w:ind w:left="478"/>
              <w:spacing w:before="192" w:line="220" w:lineRule="auto"/>
              <w:rPr/>
            </w:pPr>
            <w:bookmarkStart w:name="bookmark1170" w:id="546"/>
            <w:bookmarkEnd w:id="546"/>
            <w:r>
              <w:rPr>
                <w:b/>
                <w:bCs/>
                <w:spacing w:val="-5"/>
              </w:rPr>
              <w:t>违法程度</w:t>
            </w:r>
          </w:p>
        </w:tc>
        <w:tc>
          <w:tcPr>
            <w:tcW w:w="6385" w:type="dxa"/>
            <w:vAlign w:val="top"/>
          </w:tcPr>
          <w:p>
            <w:pPr>
              <w:pStyle w:val="TableText"/>
              <w:ind w:left="2705"/>
              <w:spacing w:before="192" w:line="220" w:lineRule="auto"/>
              <w:rPr/>
            </w:pPr>
            <w:r>
              <w:rPr>
                <w:b/>
                <w:bCs/>
                <w:spacing w:val="-5"/>
              </w:rPr>
              <w:t>情节后果</w:t>
            </w:r>
          </w:p>
        </w:tc>
        <w:tc>
          <w:tcPr>
            <w:tcW w:w="6001" w:type="dxa"/>
            <w:vAlign w:val="top"/>
          </w:tcPr>
          <w:p>
            <w:pPr>
              <w:pStyle w:val="TableText"/>
              <w:ind w:left="2460"/>
              <w:spacing w:before="18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737" w:hRule="atLeast"/>
        </w:trPr>
        <w:tc>
          <w:tcPr>
            <w:tcW w:w="1923" w:type="dxa"/>
            <w:vAlign w:val="top"/>
          </w:tcPr>
          <w:p>
            <w:pPr>
              <w:spacing w:line="258" w:lineRule="auto"/>
              <w:rPr>
                <w:rFonts w:ascii="Arial"/>
                <w:sz w:val="21"/>
              </w:rPr>
            </w:pPr>
            <w:r/>
          </w:p>
          <w:p>
            <w:pPr>
              <w:pStyle w:val="TableText"/>
              <w:ind w:left="718"/>
              <w:spacing w:before="79" w:line="219" w:lineRule="auto"/>
              <w:rPr/>
            </w:pPr>
            <w:r>
              <w:rPr>
                <w:b/>
                <w:bCs/>
                <w:spacing w:val="-6"/>
              </w:rPr>
              <w:t>轻微</w:t>
            </w:r>
          </w:p>
        </w:tc>
        <w:tc>
          <w:tcPr>
            <w:tcW w:w="6385" w:type="dxa"/>
            <w:vAlign w:val="top"/>
          </w:tcPr>
          <w:p>
            <w:pPr>
              <w:pStyle w:val="TableText"/>
              <w:ind w:left="181"/>
              <w:spacing w:before="252" w:line="219" w:lineRule="auto"/>
              <w:rPr/>
            </w:pPr>
            <w:r>
              <w:rPr/>
              <w:t>其他违反《工作场所职业卫生管理规定》的行为一项以下</w:t>
            </w:r>
          </w:p>
        </w:tc>
        <w:tc>
          <w:tcPr>
            <w:tcW w:w="6001" w:type="dxa"/>
            <w:vAlign w:val="top"/>
          </w:tcPr>
          <w:p>
            <w:pPr>
              <w:pStyle w:val="TableText"/>
              <w:ind w:left="126"/>
              <w:spacing w:before="249" w:line="218" w:lineRule="auto"/>
              <w:rPr/>
            </w:pPr>
            <w:r>
              <w:rPr>
                <w:spacing w:val="1"/>
              </w:rPr>
              <w:t>给予警告，责令限期改正</w:t>
            </w:r>
          </w:p>
        </w:tc>
      </w:tr>
      <w:tr>
        <w:trPr>
          <w:trHeight w:val="917" w:hRule="atLeast"/>
        </w:trPr>
        <w:tc>
          <w:tcPr>
            <w:tcW w:w="1923" w:type="dxa"/>
            <w:vAlign w:val="top"/>
          </w:tcPr>
          <w:p>
            <w:pPr>
              <w:spacing w:line="352" w:lineRule="auto"/>
              <w:rPr>
                <w:rFonts w:ascii="Arial"/>
                <w:sz w:val="21"/>
              </w:rPr>
            </w:pPr>
            <w:r/>
          </w:p>
          <w:p>
            <w:pPr>
              <w:pStyle w:val="TableText"/>
              <w:ind w:left="718"/>
              <w:spacing w:before="78" w:line="221" w:lineRule="auto"/>
              <w:rPr/>
            </w:pPr>
            <w:r>
              <w:rPr>
                <w:b/>
                <w:bCs/>
                <w:spacing w:val="-10"/>
              </w:rPr>
              <w:t>一般</w:t>
            </w:r>
          </w:p>
        </w:tc>
        <w:tc>
          <w:tcPr>
            <w:tcW w:w="6385" w:type="dxa"/>
            <w:vAlign w:val="top"/>
          </w:tcPr>
          <w:p>
            <w:pPr>
              <w:spacing w:line="265" w:lineRule="auto"/>
              <w:rPr>
                <w:rFonts w:ascii="Arial"/>
                <w:sz w:val="21"/>
              </w:rPr>
            </w:pPr>
            <w:r/>
          </w:p>
          <w:p>
            <w:pPr>
              <w:pStyle w:val="TableText"/>
              <w:ind w:left="181"/>
              <w:spacing w:before="78" w:line="219" w:lineRule="auto"/>
              <w:rPr/>
            </w:pPr>
            <w:r>
              <w:rPr/>
              <w:t>其他违反《工作场所职业卫生管理规定》的行为二项以上</w:t>
            </w:r>
          </w:p>
        </w:tc>
        <w:tc>
          <w:tcPr>
            <w:tcW w:w="6001" w:type="dxa"/>
            <w:vAlign w:val="top"/>
          </w:tcPr>
          <w:p>
            <w:pPr>
              <w:pStyle w:val="TableText"/>
              <w:ind w:left="126" w:right="88"/>
              <w:spacing w:before="193" w:line="267" w:lineRule="auto"/>
              <w:rPr/>
            </w:pPr>
            <w:r>
              <w:rPr/>
              <w:t>给予警告，责令限期改正，并处五千元以上一万元以下</w:t>
            </w:r>
            <w:r>
              <w:rPr>
                <w:spacing w:val="14"/>
              </w:rPr>
              <w:t xml:space="preserve"> </w:t>
            </w:r>
            <w:r>
              <w:rPr>
                <w:spacing w:val="3"/>
              </w:rPr>
              <w:t>的罚款</w:t>
            </w:r>
          </w:p>
        </w:tc>
      </w:tr>
      <w:tr>
        <w:trPr>
          <w:trHeight w:val="1002" w:hRule="atLeast"/>
        </w:trPr>
        <w:tc>
          <w:tcPr>
            <w:tcW w:w="1923" w:type="dxa"/>
            <w:vAlign w:val="top"/>
          </w:tcPr>
          <w:p>
            <w:pPr>
              <w:spacing w:line="404" w:lineRule="auto"/>
              <w:rPr>
                <w:rFonts w:ascii="Arial"/>
                <w:sz w:val="21"/>
              </w:rPr>
            </w:pPr>
            <w:r/>
          </w:p>
          <w:p>
            <w:pPr>
              <w:pStyle w:val="TableText"/>
              <w:ind w:left="718"/>
              <w:spacing w:before="78" w:line="220" w:lineRule="auto"/>
              <w:rPr/>
            </w:pPr>
            <w:r>
              <w:rPr>
                <w:b/>
                <w:bCs/>
                <w:spacing w:val="-6"/>
              </w:rPr>
              <w:t>严重</w:t>
            </w:r>
          </w:p>
        </w:tc>
        <w:tc>
          <w:tcPr>
            <w:tcW w:w="6385" w:type="dxa"/>
            <w:vAlign w:val="top"/>
          </w:tcPr>
          <w:p>
            <w:pPr>
              <w:pStyle w:val="TableText"/>
              <w:ind w:left="131"/>
              <w:spacing w:before="238" w:line="220" w:lineRule="auto"/>
              <w:rPr/>
            </w:pPr>
            <w:r>
              <w:rPr>
                <w:spacing w:val="2"/>
              </w:rPr>
              <w:t>有些列情形之一的：</w:t>
            </w:r>
          </w:p>
          <w:p>
            <w:pPr>
              <w:pStyle w:val="TableText"/>
              <w:ind w:left="141"/>
              <w:spacing w:before="83" w:line="219" w:lineRule="auto"/>
              <w:rPr/>
            </w:pPr>
            <w:r>
              <w:rPr/>
              <w:t>预期不改正的；2.造成严重后果的。</w:t>
            </w:r>
          </w:p>
        </w:tc>
        <w:tc>
          <w:tcPr>
            <w:tcW w:w="6001" w:type="dxa"/>
            <w:vAlign w:val="top"/>
          </w:tcPr>
          <w:p>
            <w:pPr>
              <w:pStyle w:val="TableText"/>
              <w:ind w:left="125" w:right="98" w:hanging="9"/>
              <w:spacing w:before="236" w:line="267" w:lineRule="auto"/>
              <w:rPr/>
            </w:pPr>
            <w:r>
              <w:rPr/>
              <w:t>给予警告，责令限期改正，并处一万元以上二万元以下</w:t>
            </w:r>
            <w:r>
              <w:rPr>
                <w:spacing w:val="14"/>
              </w:rPr>
              <w:t xml:space="preserve"> </w:t>
            </w:r>
            <w:r>
              <w:rPr>
                <w:spacing w:val="3"/>
              </w:rPr>
              <w:t>的罚款</w:t>
            </w:r>
          </w:p>
        </w:tc>
      </w:tr>
    </w:tbl>
    <w:p>
      <w:pPr>
        <w:pStyle w:val="BodyText"/>
        <w:spacing w:line="273" w:lineRule="auto"/>
        <w:rPr/>
      </w:pPr>
      <w:r/>
    </w:p>
    <w:p>
      <w:pPr>
        <w:ind w:left="889"/>
        <w:spacing w:before="101" w:line="223" w:lineRule="auto"/>
        <w:rPr>
          <w:rFonts w:ascii="KaiTi" w:hAnsi="KaiTi" w:eastAsia="KaiTi" w:cs="KaiTi"/>
          <w:sz w:val="31"/>
          <w:szCs w:val="31"/>
        </w:rPr>
      </w:pPr>
      <w:r>
        <w:rPr>
          <w:rFonts w:ascii="KaiTi" w:hAnsi="KaiTi" w:eastAsia="KaiTi" w:cs="KaiTi"/>
          <w:sz w:val="31"/>
          <w:szCs w:val="31"/>
          <w:b/>
          <w:bCs/>
          <w:spacing w:val="19"/>
        </w:rPr>
        <w:t>(五)《职业健康检查管理办法》</w:t>
      </w:r>
    </w:p>
    <w:p>
      <w:pPr>
        <w:ind w:left="1089"/>
        <w:spacing w:before="307" w:line="220" w:lineRule="auto"/>
        <w:rPr>
          <w:rFonts w:ascii="FangSong" w:hAnsi="FangSong" w:eastAsia="FangSong" w:cs="FangSong"/>
          <w:sz w:val="31"/>
          <w:szCs w:val="31"/>
        </w:rPr>
      </w:pPr>
      <w:r>
        <w:rPr>
          <w:rFonts w:ascii="FangSong" w:hAnsi="FangSong" w:eastAsia="FangSong" w:cs="FangSong"/>
          <w:sz w:val="31"/>
          <w:szCs w:val="31"/>
          <w:b/>
          <w:bCs/>
          <w:spacing w:val="14"/>
        </w:rPr>
        <w:t>第五百零九条未按规定备案开展职业健康检</w:t>
      </w:r>
      <w:r>
        <w:rPr>
          <w:rFonts w:ascii="FangSong" w:hAnsi="FangSong" w:eastAsia="FangSong" w:cs="FangSong"/>
          <w:sz w:val="31"/>
          <w:szCs w:val="31"/>
          <w:b/>
          <w:bCs/>
          <w:spacing w:val="13"/>
        </w:rPr>
        <w:t>查的</w:t>
      </w:r>
    </w:p>
    <w:p>
      <w:pPr>
        <w:ind w:left="1084"/>
        <w:spacing w:before="117"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435" w:firstLine="614"/>
        <w:spacing w:before="82" w:line="256" w:lineRule="auto"/>
        <w:rPr>
          <w:rFonts w:ascii="FangSong" w:hAnsi="FangSong" w:eastAsia="FangSong" w:cs="FangSong"/>
          <w:sz w:val="31"/>
          <w:szCs w:val="31"/>
        </w:rPr>
      </w:pPr>
      <w:r>
        <w:rPr>
          <w:rFonts w:ascii="FangSong" w:hAnsi="FangSong" w:eastAsia="FangSong" w:cs="FangSong"/>
          <w:sz w:val="31"/>
          <w:szCs w:val="31"/>
          <w:spacing w:val="14"/>
        </w:rPr>
        <w:t>《职业健康检查管理办法》第二十五条第(一)项</w:t>
      </w:r>
      <w:r>
        <w:rPr>
          <w:rFonts w:ascii="FangSong" w:hAnsi="FangSong" w:eastAsia="FangSong" w:cs="FangSong"/>
          <w:sz w:val="31"/>
          <w:szCs w:val="31"/>
          <w:spacing w:val="14"/>
        </w:rPr>
        <w:t xml:space="preserve">  </w:t>
      </w:r>
      <w:r>
        <w:rPr>
          <w:rFonts w:ascii="FangSong" w:hAnsi="FangSong" w:eastAsia="FangSong" w:cs="FangSong"/>
          <w:sz w:val="31"/>
          <w:szCs w:val="31"/>
          <w:spacing w:val="14"/>
        </w:rPr>
        <w:t>职业健康检查机构有下列</w:t>
      </w:r>
      <w:r>
        <w:rPr>
          <w:rFonts w:ascii="FangSong" w:hAnsi="FangSong" w:eastAsia="FangSong" w:cs="FangSong"/>
          <w:sz w:val="31"/>
          <w:szCs w:val="31"/>
          <w:spacing w:val="13"/>
        </w:rPr>
        <w:t>行为之一的，由县</w:t>
      </w:r>
      <w:r>
        <w:rPr>
          <w:rFonts w:ascii="FangSong" w:hAnsi="FangSong" w:eastAsia="FangSong" w:cs="FangSong"/>
          <w:sz w:val="31"/>
          <w:szCs w:val="31"/>
        </w:rPr>
        <w:t xml:space="preserve"> </w:t>
      </w:r>
      <w:r>
        <w:rPr>
          <w:rFonts w:ascii="FangSong" w:hAnsi="FangSong" w:eastAsia="FangSong" w:cs="FangSong"/>
          <w:sz w:val="31"/>
          <w:szCs w:val="31"/>
          <w:spacing w:val="11"/>
        </w:rPr>
        <w:t>级以上地方卫生健康主管部门责令改正，给予警告，可以并处3</w:t>
      </w:r>
      <w:r>
        <w:rPr>
          <w:rFonts w:ascii="FangSong" w:hAnsi="FangSong" w:eastAsia="FangSong" w:cs="FangSong"/>
          <w:sz w:val="31"/>
          <w:szCs w:val="31"/>
          <w:spacing w:val="11"/>
        </w:rPr>
        <w:t xml:space="preserve"> </w:t>
      </w:r>
      <w:r>
        <w:rPr>
          <w:rFonts w:ascii="FangSong" w:hAnsi="FangSong" w:eastAsia="FangSong" w:cs="FangSong"/>
          <w:sz w:val="31"/>
          <w:szCs w:val="31"/>
          <w:spacing w:val="11"/>
        </w:rPr>
        <w:t>万元以下罚款：</w:t>
      </w:r>
    </w:p>
    <w:p>
      <w:pPr>
        <w:ind w:left="1194"/>
        <w:spacing w:line="220" w:lineRule="auto"/>
        <w:rPr>
          <w:rFonts w:ascii="FangSong" w:hAnsi="FangSong" w:eastAsia="FangSong" w:cs="FangSong"/>
          <w:sz w:val="31"/>
          <w:szCs w:val="31"/>
        </w:rPr>
      </w:pPr>
      <w:r>
        <w:rPr>
          <w:rFonts w:ascii="FangSong" w:hAnsi="FangSong" w:eastAsia="FangSong" w:cs="FangSong"/>
          <w:sz w:val="31"/>
          <w:szCs w:val="31"/>
          <w:spacing w:val="15"/>
        </w:rPr>
        <w:t>(一)未按规定备案开展职业健康检查的；</w:t>
      </w:r>
    </w:p>
    <w:p>
      <w:pPr>
        <w:ind w:left="6829"/>
        <w:spacing w:before="232"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30" w:type="dxa"/>
        <w:tblInd w:w="42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714"/>
        <w:gridCol w:w="4692"/>
      </w:tblGrid>
      <w:tr>
        <w:trPr>
          <w:trHeight w:val="619" w:hRule="atLeast"/>
        </w:trPr>
        <w:tc>
          <w:tcPr>
            <w:tcW w:w="1424" w:type="dxa"/>
            <w:vAlign w:val="top"/>
          </w:tcPr>
          <w:p>
            <w:pPr>
              <w:pStyle w:val="TableText"/>
              <w:ind w:left="139"/>
              <w:spacing w:before="173" w:line="220" w:lineRule="auto"/>
              <w:rPr>
                <w:sz w:val="29"/>
                <w:szCs w:val="29"/>
              </w:rPr>
            </w:pPr>
            <w:r>
              <w:rPr>
                <w:sz w:val="29"/>
                <w:szCs w:val="29"/>
                <w:b/>
                <w:bCs/>
                <w:spacing w:val="-1"/>
              </w:rPr>
              <w:t>违法程度</w:t>
            </w:r>
          </w:p>
        </w:tc>
        <w:tc>
          <w:tcPr>
            <w:tcW w:w="7714" w:type="dxa"/>
            <w:vAlign w:val="top"/>
          </w:tcPr>
          <w:p>
            <w:pPr>
              <w:pStyle w:val="TableText"/>
              <w:ind w:left="3285"/>
              <w:spacing w:before="173" w:line="220" w:lineRule="auto"/>
              <w:rPr>
                <w:sz w:val="29"/>
                <w:szCs w:val="29"/>
              </w:rPr>
            </w:pPr>
            <w:r>
              <w:rPr>
                <w:sz w:val="29"/>
                <w:szCs w:val="29"/>
                <w:b/>
                <w:bCs/>
                <w:spacing w:val="-1"/>
              </w:rPr>
              <w:t>情节后果</w:t>
            </w:r>
          </w:p>
        </w:tc>
        <w:tc>
          <w:tcPr>
            <w:tcW w:w="4692" w:type="dxa"/>
            <w:vAlign w:val="top"/>
          </w:tcPr>
          <w:p>
            <w:pPr>
              <w:pStyle w:val="TableText"/>
              <w:ind w:left="1781"/>
              <w:spacing w:before="170" w:line="218" w:lineRule="auto"/>
              <w:rPr>
                <w:sz w:val="29"/>
                <w:szCs w:val="29"/>
              </w:rPr>
            </w:pPr>
            <w:r>
              <w:rPr>
                <w:sz w:val="29"/>
                <w:szCs w:val="29"/>
                <w:b/>
                <w:bCs/>
                <w:spacing w:val="-1"/>
              </w:rPr>
              <w:t>裁量幅度</w:t>
            </w:r>
          </w:p>
        </w:tc>
      </w:tr>
    </w:tbl>
    <w:p>
      <w:pPr>
        <w:pStyle w:val="BodyText"/>
        <w:rPr/>
      </w:pPr>
      <w:r/>
    </w:p>
    <w:p>
      <w:pPr>
        <w:sectPr>
          <w:footerReference w:type="default" r:id="rId540"/>
          <w:pgSz w:w="16830" w:h="11900"/>
          <w:pgMar w:top="1011" w:right="1459" w:bottom="1127" w:left="1015" w:header="0" w:footer="794" w:gutter="0"/>
        </w:sectPr>
        <w:rPr/>
      </w:pPr>
    </w:p>
    <w:p>
      <w:pPr>
        <w:spacing w:before="17"/>
        <w:rPr/>
      </w:pPr>
      <w:r/>
    </w:p>
    <w:p>
      <w:pPr>
        <w:spacing w:before="16"/>
        <w:rPr/>
      </w:pPr>
      <w:r/>
    </w:p>
    <w:p>
      <w:pPr>
        <w:spacing w:before="16"/>
        <w:rPr/>
      </w:pPr>
      <w:r/>
    </w:p>
    <w:tbl>
      <w:tblPr>
        <w:tblStyle w:val="TableNormal"/>
        <w:tblW w:w="138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724"/>
        <w:gridCol w:w="4701"/>
      </w:tblGrid>
      <w:tr>
        <w:trPr>
          <w:trHeight w:val="721" w:hRule="atLeast"/>
        </w:trPr>
        <w:tc>
          <w:tcPr>
            <w:tcW w:w="1424" w:type="dxa"/>
            <w:vAlign w:val="top"/>
          </w:tcPr>
          <w:p>
            <w:pPr>
              <w:rPr>
                <w:rFonts w:ascii="Arial"/>
                <w:sz w:val="21"/>
              </w:rPr>
            </w:pPr>
            <w:r/>
          </w:p>
          <w:p>
            <w:pPr>
              <w:pStyle w:val="TableText"/>
              <w:ind w:left="458"/>
              <w:spacing w:before="81" w:line="221" w:lineRule="auto"/>
              <w:rPr>
                <w:sz w:val="25"/>
                <w:szCs w:val="25"/>
              </w:rPr>
            </w:pPr>
            <w:bookmarkStart w:name="bookmark1171" w:id="547"/>
            <w:bookmarkEnd w:id="547"/>
            <w:r>
              <w:rPr>
                <w:sz w:val="25"/>
                <w:szCs w:val="25"/>
                <w:b/>
                <w:bCs/>
                <w:spacing w:val="-10"/>
              </w:rPr>
              <w:t>一般</w:t>
            </w:r>
          </w:p>
        </w:tc>
        <w:tc>
          <w:tcPr>
            <w:tcW w:w="7724" w:type="dxa"/>
            <w:vAlign w:val="top"/>
          </w:tcPr>
          <w:p>
            <w:pPr>
              <w:pStyle w:val="TableText"/>
              <w:spacing w:before="245" w:line="219" w:lineRule="auto"/>
              <w:jc w:val="right"/>
              <w:rPr>
                <w:sz w:val="25"/>
                <w:szCs w:val="25"/>
              </w:rPr>
            </w:pPr>
            <w:r>
              <w:rPr>
                <w:sz w:val="25"/>
                <w:szCs w:val="25"/>
                <w:spacing w:val="-5"/>
              </w:rPr>
              <w:t>未按规定备案开展职业健康检查，没有违法所得或违法所得无法</w:t>
            </w:r>
            <w:r>
              <w:rPr>
                <w:sz w:val="25"/>
                <w:szCs w:val="25"/>
                <w:spacing w:val="-6"/>
              </w:rPr>
              <w:t>认定的</w:t>
            </w:r>
          </w:p>
        </w:tc>
        <w:tc>
          <w:tcPr>
            <w:tcW w:w="4701" w:type="dxa"/>
            <w:vAlign w:val="top"/>
          </w:tcPr>
          <w:p>
            <w:pPr>
              <w:pStyle w:val="TableText"/>
              <w:ind w:left="107" w:right="181"/>
              <w:spacing w:before="82" w:line="232" w:lineRule="auto"/>
              <w:rPr>
                <w:sz w:val="25"/>
                <w:szCs w:val="25"/>
              </w:rPr>
            </w:pPr>
            <w:r>
              <w:rPr>
                <w:sz w:val="25"/>
                <w:szCs w:val="25"/>
                <w:spacing w:val="1"/>
              </w:rPr>
              <w:t>责令改正，给予警告，可以并处1万元以</w:t>
            </w:r>
            <w:r>
              <w:rPr>
                <w:sz w:val="25"/>
                <w:szCs w:val="25"/>
                <w:spacing w:val="8"/>
              </w:rPr>
              <w:t xml:space="preserve"> </w:t>
            </w:r>
            <w:r>
              <w:rPr>
                <w:sz w:val="25"/>
                <w:szCs w:val="25"/>
                <w:spacing w:val="3"/>
              </w:rPr>
              <w:t>下罚款</w:t>
            </w:r>
          </w:p>
        </w:tc>
      </w:tr>
      <w:tr>
        <w:trPr>
          <w:trHeight w:val="716" w:hRule="atLeast"/>
        </w:trPr>
        <w:tc>
          <w:tcPr>
            <w:tcW w:w="1424" w:type="dxa"/>
            <w:vAlign w:val="top"/>
          </w:tcPr>
          <w:p>
            <w:pPr>
              <w:spacing w:line="251" w:lineRule="auto"/>
              <w:rPr>
                <w:rFonts w:ascii="Arial"/>
                <w:sz w:val="21"/>
              </w:rPr>
            </w:pPr>
            <w:r/>
          </w:p>
          <w:p>
            <w:pPr>
              <w:pStyle w:val="TableText"/>
              <w:ind w:left="458"/>
              <w:spacing w:before="81" w:line="221" w:lineRule="auto"/>
              <w:rPr>
                <w:sz w:val="25"/>
                <w:szCs w:val="25"/>
              </w:rPr>
            </w:pPr>
            <w:r>
              <w:rPr>
                <w:sz w:val="25"/>
                <w:szCs w:val="25"/>
                <w:b/>
                <w:bCs/>
                <w:spacing w:val="-6"/>
              </w:rPr>
              <w:t>较重</w:t>
            </w:r>
          </w:p>
        </w:tc>
        <w:tc>
          <w:tcPr>
            <w:tcW w:w="7724" w:type="dxa"/>
            <w:vAlign w:val="top"/>
          </w:tcPr>
          <w:p>
            <w:pPr>
              <w:pStyle w:val="TableText"/>
              <w:ind w:left="120"/>
              <w:spacing w:before="244" w:line="219" w:lineRule="auto"/>
              <w:rPr>
                <w:sz w:val="25"/>
                <w:szCs w:val="25"/>
              </w:rPr>
            </w:pPr>
            <w:r>
              <w:rPr>
                <w:sz w:val="25"/>
                <w:szCs w:val="25"/>
                <w:spacing w:val="1"/>
              </w:rPr>
              <w:t>未按规定备案开展职业健康检查，违法所得不足1万</w:t>
            </w:r>
            <w:r>
              <w:rPr>
                <w:sz w:val="25"/>
                <w:szCs w:val="25"/>
              </w:rPr>
              <w:t>元的</w:t>
            </w:r>
          </w:p>
        </w:tc>
        <w:tc>
          <w:tcPr>
            <w:tcW w:w="4701" w:type="dxa"/>
            <w:vAlign w:val="top"/>
          </w:tcPr>
          <w:p>
            <w:pPr>
              <w:pStyle w:val="TableText"/>
              <w:ind w:left="107" w:right="308" w:firstLine="9"/>
              <w:spacing w:before="83" w:line="230" w:lineRule="auto"/>
              <w:rPr>
                <w:sz w:val="25"/>
                <w:szCs w:val="25"/>
              </w:rPr>
            </w:pPr>
            <w:r>
              <w:rPr>
                <w:sz w:val="25"/>
                <w:szCs w:val="25"/>
              </w:rPr>
              <w:t>责令改正，给予警告，并处1万元以上2</w:t>
            </w:r>
            <w:r>
              <w:rPr>
                <w:sz w:val="25"/>
                <w:szCs w:val="25"/>
                <w:spacing w:val="14"/>
              </w:rPr>
              <w:t xml:space="preserve"> </w:t>
            </w:r>
            <w:r>
              <w:rPr>
                <w:sz w:val="25"/>
                <w:szCs w:val="25"/>
                <w:spacing w:val="1"/>
              </w:rPr>
              <w:t>万元以下罚款</w:t>
            </w:r>
          </w:p>
        </w:tc>
      </w:tr>
      <w:tr>
        <w:trPr>
          <w:trHeight w:val="692" w:hRule="atLeast"/>
        </w:trPr>
        <w:tc>
          <w:tcPr>
            <w:tcW w:w="1424" w:type="dxa"/>
            <w:vAlign w:val="top"/>
          </w:tcPr>
          <w:p>
            <w:pPr>
              <w:spacing w:line="242" w:lineRule="auto"/>
              <w:rPr>
                <w:rFonts w:ascii="Arial"/>
                <w:sz w:val="21"/>
              </w:rPr>
            </w:pPr>
            <w:r/>
          </w:p>
          <w:p>
            <w:pPr>
              <w:pStyle w:val="TableText"/>
              <w:ind w:left="458"/>
              <w:spacing w:before="82" w:line="220" w:lineRule="auto"/>
              <w:rPr>
                <w:sz w:val="25"/>
                <w:szCs w:val="25"/>
              </w:rPr>
            </w:pPr>
            <w:r>
              <w:rPr>
                <w:sz w:val="25"/>
                <w:szCs w:val="25"/>
                <w:b/>
                <w:bCs/>
                <w:spacing w:val="-6"/>
              </w:rPr>
              <w:t>严重</w:t>
            </w:r>
          </w:p>
        </w:tc>
        <w:tc>
          <w:tcPr>
            <w:tcW w:w="7724" w:type="dxa"/>
            <w:vAlign w:val="top"/>
          </w:tcPr>
          <w:p>
            <w:pPr>
              <w:pStyle w:val="TableText"/>
              <w:ind w:left="120"/>
              <w:spacing w:before="228" w:line="219" w:lineRule="auto"/>
              <w:rPr>
                <w:sz w:val="25"/>
                <w:szCs w:val="25"/>
              </w:rPr>
            </w:pPr>
            <w:r>
              <w:rPr>
                <w:sz w:val="25"/>
                <w:szCs w:val="25"/>
                <w:spacing w:val="1"/>
              </w:rPr>
              <w:t>未按规定备案开展职业健康检查，违法所得1万元以</w:t>
            </w:r>
            <w:r>
              <w:rPr>
                <w:sz w:val="25"/>
                <w:szCs w:val="25"/>
              </w:rPr>
              <w:t>上的</w:t>
            </w:r>
          </w:p>
        </w:tc>
        <w:tc>
          <w:tcPr>
            <w:tcW w:w="4701" w:type="dxa"/>
            <w:vAlign w:val="top"/>
          </w:tcPr>
          <w:p>
            <w:pPr>
              <w:pStyle w:val="TableText"/>
              <w:ind w:left="107" w:right="318"/>
              <w:spacing w:before="86" w:line="220" w:lineRule="auto"/>
              <w:rPr>
                <w:sz w:val="25"/>
                <w:szCs w:val="25"/>
              </w:rPr>
            </w:pPr>
            <w:r>
              <w:rPr>
                <w:sz w:val="25"/>
                <w:szCs w:val="25"/>
              </w:rPr>
              <w:t>责令改正，给予警告，并处2万元以上3</w:t>
            </w:r>
            <w:r>
              <w:rPr>
                <w:sz w:val="25"/>
                <w:szCs w:val="25"/>
                <w:spacing w:val="14"/>
              </w:rPr>
              <w:t xml:space="preserve"> </w:t>
            </w:r>
            <w:r>
              <w:rPr>
                <w:sz w:val="25"/>
                <w:szCs w:val="25"/>
                <w:spacing w:val="1"/>
              </w:rPr>
              <w:t>万元以下罚款</w:t>
            </w:r>
          </w:p>
        </w:tc>
      </w:tr>
    </w:tbl>
    <w:p>
      <w:pPr>
        <w:pStyle w:val="BodyText"/>
        <w:spacing w:line="453" w:lineRule="auto"/>
        <w:rPr/>
      </w:pPr>
      <w:r/>
    </w:p>
    <w:p>
      <w:pPr>
        <w:ind w:left="659"/>
        <w:spacing w:before="101" w:line="220" w:lineRule="auto"/>
        <w:rPr>
          <w:rFonts w:ascii="FangSong" w:hAnsi="FangSong" w:eastAsia="FangSong" w:cs="FangSong"/>
          <w:sz w:val="31"/>
          <w:szCs w:val="31"/>
        </w:rPr>
      </w:pPr>
      <w:r>
        <w:rPr>
          <w:rFonts w:ascii="FangSong" w:hAnsi="FangSong" w:eastAsia="FangSong" w:cs="FangSong"/>
          <w:sz w:val="31"/>
          <w:szCs w:val="31"/>
          <w:b/>
          <w:bCs/>
          <w:spacing w:val="11"/>
        </w:rPr>
        <w:t>第五百一十条承担职业健康检查的医疗卫生机构未按规定告知疑似职业病的</w:t>
      </w:r>
    </w:p>
    <w:p>
      <w:pPr>
        <w:ind w:left="654"/>
        <w:spacing w:before="79" w:line="222" w:lineRule="auto"/>
        <w:rPr>
          <w:rFonts w:ascii="FangSong" w:hAnsi="FangSong" w:eastAsia="FangSong" w:cs="FangSong"/>
          <w:sz w:val="31"/>
          <w:szCs w:val="31"/>
        </w:rPr>
      </w:pPr>
      <w:r>
        <w:rPr>
          <w:rFonts w:ascii="FangSong" w:hAnsi="FangSong" w:eastAsia="FangSong" w:cs="FangSong"/>
          <w:sz w:val="31"/>
          <w:szCs w:val="31"/>
          <w:spacing w:val="-6"/>
        </w:rPr>
        <w:t>法律依据：</w:t>
      </w:r>
    </w:p>
    <w:p>
      <w:pPr>
        <w:ind w:left="25" w:firstLine="624"/>
        <w:spacing w:before="74" w:line="248" w:lineRule="auto"/>
        <w:rPr>
          <w:rFonts w:ascii="FangSong" w:hAnsi="FangSong" w:eastAsia="FangSong" w:cs="FangSong"/>
          <w:sz w:val="31"/>
          <w:szCs w:val="31"/>
        </w:rPr>
      </w:pPr>
      <w:r>
        <w:rPr>
          <w:rFonts w:ascii="FangSong" w:hAnsi="FangSong" w:eastAsia="FangSong" w:cs="FangSong"/>
          <w:sz w:val="31"/>
          <w:szCs w:val="31"/>
          <w:spacing w:val="14"/>
        </w:rPr>
        <w:t>《职业健康检查管理办法》第二十五条第(二)项</w:t>
      </w:r>
      <w:r>
        <w:rPr>
          <w:rFonts w:ascii="FangSong" w:hAnsi="FangSong" w:eastAsia="FangSong" w:cs="FangSong"/>
          <w:sz w:val="31"/>
          <w:szCs w:val="31"/>
          <w:spacing w:val="14"/>
        </w:rPr>
        <w:t xml:space="preserve">  </w:t>
      </w:r>
      <w:r>
        <w:rPr>
          <w:rFonts w:ascii="FangSong" w:hAnsi="FangSong" w:eastAsia="FangSong" w:cs="FangSong"/>
          <w:sz w:val="31"/>
          <w:szCs w:val="31"/>
          <w:spacing w:val="14"/>
        </w:rPr>
        <w:t>职业健康检查机构有下列行为之一的，由县</w:t>
      </w:r>
      <w:r>
        <w:rPr>
          <w:rFonts w:ascii="FangSong" w:hAnsi="FangSong" w:eastAsia="FangSong" w:cs="FangSong"/>
          <w:sz w:val="31"/>
          <w:szCs w:val="31"/>
          <w:spacing w:val="2"/>
        </w:rPr>
        <w:t xml:space="preserve"> </w:t>
      </w:r>
      <w:r>
        <w:rPr>
          <w:rFonts w:ascii="FangSong" w:hAnsi="FangSong" w:eastAsia="FangSong" w:cs="FangSong"/>
          <w:sz w:val="31"/>
          <w:szCs w:val="31"/>
          <w:spacing w:val="12"/>
        </w:rPr>
        <w:t>级以上地方卫生健康主管部门责令改正，给予警告，可以并处3万元以下罚款：</w:t>
      </w:r>
    </w:p>
    <w:p>
      <w:pPr>
        <w:ind w:left="804"/>
        <w:spacing w:line="204" w:lineRule="auto"/>
        <w:rPr>
          <w:rFonts w:ascii="SimSun" w:hAnsi="SimSun" w:eastAsia="SimSun" w:cs="SimSun"/>
          <w:sz w:val="32"/>
          <w:szCs w:val="32"/>
        </w:rPr>
      </w:pPr>
      <w:r>
        <w:rPr>
          <w:rFonts w:ascii="SimSun" w:hAnsi="SimSun" w:eastAsia="SimSun" w:cs="SimSun"/>
          <w:sz w:val="32"/>
          <w:szCs w:val="32"/>
          <w:spacing w:val="10"/>
        </w:rPr>
        <w:t>(二)未按规定告知疑似职业病的；</w:t>
      </w:r>
    </w:p>
    <w:tbl>
      <w:tblPr>
        <w:tblStyle w:val="TableNormal"/>
        <w:tblW w:w="135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7574"/>
        <w:gridCol w:w="4601"/>
      </w:tblGrid>
      <w:tr>
        <w:trPr>
          <w:trHeight w:val="652" w:hRule="atLeast"/>
        </w:trPr>
        <w:tc>
          <w:tcPr>
            <w:tcW w:w="1414" w:type="dxa"/>
            <w:vAlign w:val="top"/>
          </w:tcPr>
          <w:p>
            <w:pPr>
              <w:pStyle w:val="TableText"/>
              <w:ind w:left="198"/>
              <w:spacing w:before="202" w:line="220" w:lineRule="auto"/>
              <w:rPr>
                <w:sz w:val="25"/>
                <w:szCs w:val="25"/>
              </w:rPr>
            </w:pPr>
            <w:r>
              <w:rPr>
                <w:sz w:val="25"/>
                <w:szCs w:val="25"/>
                <w:b/>
                <w:bCs/>
                <w:spacing w:val="-5"/>
              </w:rPr>
              <w:t>违法程度</w:t>
            </w:r>
          </w:p>
        </w:tc>
        <w:tc>
          <w:tcPr>
            <w:tcW w:w="7574" w:type="dxa"/>
            <w:vAlign w:val="top"/>
          </w:tcPr>
          <w:p>
            <w:pPr>
              <w:pStyle w:val="TableText"/>
              <w:ind w:left="3224"/>
              <w:spacing w:before="202" w:line="220" w:lineRule="auto"/>
              <w:rPr>
                <w:sz w:val="25"/>
                <w:szCs w:val="25"/>
              </w:rPr>
            </w:pPr>
            <w:r>
              <w:rPr>
                <w:sz w:val="25"/>
                <w:szCs w:val="25"/>
                <w:b/>
                <w:bCs/>
                <w:spacing w:val="-5"/>
              </w:rPr>
              <w:t>情节后果</w:t>
            </w:r>
          </w:p>
        </w:tc>
        <w:tc>
          <w:tcPr>
            <w:tcW w:w="4601" w:type="dxa"/>
            <w:vAlign w:val="top"/>
          </w:tcPr>
          <w:p>
            <w:pPr>
              <w:pStyle w:val="TableText"/>
              <w:ind w:left="1760"/>
              <w:spacing w:before="199" w:line="218" w:lineRule="auto"/>
              <w:rPr>
                <w:sz w:val="25"/>
                <w:szCs w:val="25"/>
              </w:rPr>
            </w:pPr>
            <w:r>
              <w:rPr>
                <w:sz w:val="25"/>
                <w:szCs w:val="25"/>
                <w:b/>
                <w:bCs/>
                <w:spacing w:val="-5"/>
              </w:rPr>
              <w:t>裁量幅度</w:t>
            </w:r>
          </w:p>
        </w:tc>
      </w:tr>
      <w:tr>
        <w:trPr>
          <w:trHeight w:val="478" w:hRule="atLeast"/>
        </w:trPr>
        <w:tc>
          <w:tcPr>
            <w:tcW w:w="1414" w:type="dxa"/>
            <w:vAlign w:val="top"/>
          </w:tcPr>
          <w:p>
            <w:pPr>
              <w:pStyle w:val="TableText"/>
              <w:ind w:left="448"/>
              <w:spacing w:before="201" w:line="197" w:lineRule="auto"/>
              <w:rPr>
                <w:sz w:val="25"/>
                <w:szCs w:val="25"/>
              </w:rPr>
            </w:pPr>
            <w:r>
              <w:rPr>
                <w:sz w:val="25"/>
                <w:szCs w:val="25"/>
                <w:b/>
                <w:bCs/>
                <w:spacing w:val="-10"/>
              </w:rPr>
              <w:t>一般</w:t>
            </w:r>
          </w:p>
        </w:tc>
        <w:tc>
          <w:tcPr>
            <w:tcW w:w="7574" w:type="dxa"/>
            <w:vAlign w:val="top"/>
          </w:tcPr>
          <w:p>
            <w:pPr>
              <w:pStyle w:val="TableText"/>
              <w:ind w:left="111"/>
              <w:spacing w:before="121" w:line="218" w:lineRule="auto"/>
              <w:rPr>
                <w:sz w:val="25"/>
                <w:szCs w:val="25"/>
              </w:rPr>
            </w:pPr>
            <w:r>
              <w:rPr>
                <w:sz w:val="25"/>
                <w:szCs w:val="25"/>
              </w:rPr>
              <w:t>未按规定告知疑似职业病，涉及人数1人的</w:t>
            </w:r>
          </w:p>
        </w:tc>
        <w:tc>
          <w:tcPr>
            <w:tcW w:w="4601" w:type="dxa"/>
            <w:vAlign w:val="top"/>
          </w:tcPr>
          <w:p>
            <w:pPr>
              <w:pStyle w:val="TableText"/>
              <w:ind w:left="127"/>
              <w:spacing w:before="121" w:line="218" w:lineRule="auto"/>
              <w:rPr>
                <w:sz w:val="25"/>
                <w:szCs w:val="25"/>
              </w:rPr>
            </w:pPr>
            <w:r>
              <w:rPr>
                <w:sz w:val="25"/>
                <w:szCs w:val="25"/>
                <w:spacing w:val="1"/>
              </w:rPr>
              <w:t>责令改正，警告，罚款一万元以下</w:t>
            </w:r>
          </w:p>
        </w:tc>
      </w:tr>
      <w:tr>
        <w:trPr>
          <w:trHeight w:val="647" w:hRule="atLeast"/>
        </w:trPr>
        <w:tc>
          <w:tcPr>
            <w:tcW w:w="1414" w:type="dxa"/>
            <w:vAlign w:val="top"/>
          </w:tcPr>
          <w:p>
            <w:pPr>
              <w:pStyle w:val="TableText"/>
              <w:ind w:left="448"/>
              <w:spacing w:before="305" w:line="221" w:lineRule="auto"/>
              <w:rPr>
                <w:sz w:val="25"/>
                <w:szCs w:val="25"/>
              </w:rPr>
            </w:pPr>
            <w:r>
              <w:rPr>
                <w:sz w:val="25"/>
                <w:szCs w:val="25"/>
                <w:b/>
                <w:bCs/>
                <w:spacing w:val="-6"/>
              </w:rPr>
              <w:t>较重</w:t>
            </w:r>
          </w:p>
        </w:tc>
        <w:tc>
          <w:tcPr>
            <w:tcW w:w="7574" w:type="dxa"/>
            <w:vAlign w:val="top"/>
          </w:tcPr>
          <w:p>
            <w:pPr>
              <w:pStyle w:val="TableText"/>
              <w:ind w:left="111"/>
              <w:spacing w:before="203" w:line="218" w:lineRule="auto"/>
              <w:rPr>
                <w:sz w:val="25"/>
                <w:szCs w:val="25"/>
              </w:rPr>
            </w:pPr>
            <w:r>
              <w:rPr>
                <w:sz w:val="25"/>
                <w:szCs w:val="25"/>
              </w:rPr>
              <w:t>未按规定告知疑似职业病，涉及人数2人的</w:t>
            </w:r>
          </w:p>
        </w:tc>
        <w:tc>
          <w:tcPr>
            <w:tcW w:w="4601" w:type="dxa"/>
            <w:vAlign w:val="top"/>
          </w:tcPr>
          <w:p>
            <w:pPr>
              <w:pStyle w:val="TableText"/>
              <w:ind w:left="126" w:hanging="10"/>
              <w:spacing w:before="84" w:line="204" w:lineRule="auto"/>
              <w:rPr>
                <w:sz w:val="25"/>
                <w:szCs w:val="25"/>
              </w:rPr>
            </w:pPr>
            <w:r>
              <w:rPr>
                <w:sz w:val="25"/>
                <w:szCs w:val="25"/>
                <w:spacing w:val="-2"/>
              </w:rPr>
              <w:t>责令改正，警告，罚款一万元以上两万元</w:t>
            </w:r>
            <w:r>
              <w:rPr>
                <w:sz w:val="25"/>
                <w:szCs w:val="25"/>
                <w:spacing w:val="9"/>
              </w:rPr>
              <w:t xml:space="preserve"> </w:t>
            </w:r>
            <w:r>
              <w:rPr>
                <w:sz w:val="25"/>
                <w:szCs w:val="25"/>
                <w:spacing w:val="7"/>
              </w:rPr>
              <w:t>以下</w:t>
            </w:r>
          </w:p>
        </w:tc>
      </w:tr>
      <w:tr>
        <w:trPr>
          <w:trHeight w:val="562" w:hRule="atLeast"/>
        </w:trPr>
        <w:tc>
          <w:tcPr>
            <w:tcW w:w="1414" w:type="dxa"/>
            <w:vAlign w:val="top"/>
          </w:tcPr>
          <w:p>
            <w:pPr>
              <w:pStyle w:val="TableText"/>
              <w:ind w:left="448"/>
              <w:spacing w:before="264" w:line="212" w:lineRule="auto"/>
              <w:rPr>
                <w:sz w:val="25"/>
                <w:szCs w:val="25"/>
              </w:rPr>
            </w:pPr>
            <w:r>
              <w:rPr>
                <w:sz w:val="25"/>
                <w:szCs w:val="25"/>
                <w:b/>
                <w:bCs/>
                <w:spacing w:val="-6"/>
              </w:rPr>
              <w:t>严重</w:t>
            </w:r>
          </w:p>
        </w:tc>
        <w:tc>
          <w:tcPr>
            <w:tcW w:w="7574" w:type="dxa"/>
            <w:vAlign w:val="top"/>
          </w:tcPr>
          <w:p>
            <w:pPr>
              <w:pStyle w:val="TableText"/>
              <w:ind w:left="111"/>
              <w:spacing w:before="166" w:line="218" w:lineRule="auto"/>
              <w:rPr>
                <w:sz w:val="25"/>
                <w:szCs w:val="25"/>
              </w:rPr>
            </w:pPr>
            <w:r>
              <w:rPr>
                <w:sz w:val="25"/>
                <w:szCs w:val="25"/>
              </w:rPr>
              <w:t>未按规定告知疑似职业病，涉及人数3人以上的</w:t>
            </w:r>
          </w:p>
        </w:tc>
        <w:tc>
          <w:tcPr>
            <w:tcW w:w="4601" w:type="dxa"/>
            <w:vAlign w:val="top"/>
          </w:tcPr>
          <w:p>
            <w:pPr>
              <w:pStyle w:val="TableText"/>
              <w:ind w:left="126" w:hanging="10"/>
              <w:spacing w:before="37" w:line="190" w:lineRule="auto"/>
              <w:rPr>
                <w:sz w:val="25"/>
                <w:szCs w:val="25"/>
              </w:rPr>
            </w:pPr>
            <w:r>
              <w:rPr>
                <w:sz w:val="25"/>
                <w:szCs w:val="25"/>
                <w:spacing w:val="-2"/>
              </w:rPr>
              <w:t>责令改正，警告，罚款两万元以上三万元</w:t>
            </w:r>
            <w:r>
              <w:rPr>
                <w:sz w:val="25"/>
                <w:szCs w:val="25"/>
                <w:spacing w:val="9"/>
              </w:rPr>
              <w:t xml:space="preserve"> </w:t>
            </w:r>
            <w:r>
              <w:rPr>
                <w:sz w:val="25"/>
                <w:szCs w:val="25"/>
                <w:spacing w:val="7"/>
              </w:rPr>
              <w:t>以下</w:t>
            </w:r>
          </w:p>
        </w:tc>
      </w:tr>
    </w:tbl>
    <w:p>
      <w:pPr>
        <w:pStyle w:val="BodyText"/>
        <w:spacing w:line="433" w:lineRule="auto"/>
        <w:rPr/>
      </w:pPr>
      <w:r/>
    </w:p>
    <w:p>
      <w:pPr>
        <w:ind w:left="659"/>
        <w:spacing w:before="101" w:line="220" w:lineRule="auto"/>
        <w:rPr>
          <w:rFonts w:ascii="FangSong" w:hAnsi="FangSong" w:eastAsia="FangSong" w:cs="FangSong"/>
          <w:sz w:val="31"/>
          <w:szCs w:val="31"/>
        </w:rPr>
      </w:pPr>
      <w:r>
        <w:rPr>
          <w:rFonts w:ascii="FangSong" w:hAnsi="FangSong" w:eastAsia="FangSong" w:cs="FangSong"/>
          <w:sz w:val="31"/>
          <w:szCs w:val="31"/>
          <w:b/>
          <w:bCs/>
          <w:spacing w:val="12"/>
        </w:rPr>
        <w:t>第五百一十一条承担职业健康检查的医疗卫生机构出具虚假证明文件的</w:t>
      </w:r>
    </w:p>
    <w:p>
      <w:pPr>
        <w:spacing w:line="220" w:lineRule="auto"/>
        <w:sectPr>
          <w:footerReference w:type="default" r:id="rId541"/>
          <w:pgSz w:w="16830" w:h="11900"/>
          <w:pgMar w:top="1011" w:right="1439" w:bottom="1107" w:left="1425" w:header="0" w:footer="774" w:gutter="0"/>
        </w:sectPr>
        <w:rPr>
          <w:rFonts w:ascii="FangSong" w:hAnsi="FangSong" w:eastAsia="FangSong" w:cs="FangSong"/>
          <w:sz w:val="31"/>
          <w:szCs w:val="31"/>
        </w:rPr>
      </w:pPr>
    </w:p>
    <w:p>
      <w:pPr>
        <w:pStyle w:val="BodyText"/>
        <w:spacing w:line="265" w:lineRule="auto"/>
        <w:rPr/>
      </w:pPr>
      <w:r/>
    </w:p>
    <w:p>
      <w:pPr>
        <w:pStyle w:val="BodyText"/>
        <w:spacing w:line="265" w:lineRule="auto"/>
        <w:rPr/>
      </w:pPr>
      <w:r/>
    </w:p>
    <w:p>
      <w:pPr>
        <w:pStyle w:val="BodyText"/>
        <w:spacing w:line="266" w:lineRule="auto"/>
        <w:rPr/>
      </w:pPr>
      <w:r/>
    </w:p>
    <w:p>
      <w:pPr>
        <w:ind w:left="664"/>
        <w:spacing w:before="97" w:line="222" w:lineRule="auto"/>
        <w:rPr>
          <w:rFonts w:ascii="FangSong" w:hAnsi="FangSong" w:eastAsia="FangSong" w:cs="FangSong"/>
          <w:sz w:val="30"/>
          <w:szCs w:val="30"/>
        </w:rPr>
      </w:pPr>
      <w:bookmarkStart w:name="bookmark1172" w:id="548"/>
      <w:bookmarkEnd w:id="548"/>
      <w:r>
        <w:rPr>
          <w:rFonts w:ascii="FangSong" w:hAnsi="FangSong" w:eastAsia="FangSong" w:cs="FangSong"/>
          <w:sz w:val="30"/>
          <w:szCs w:val="30"/>
        </w:rPr>
        <w:t>法律依据：</w:t>
      </w:r>
    </w:p>
    <w:p>
      <w:pPr>
        <w:ind w:left="25" w:right="34" w:firstLine="619"/>
        <w:spacing w:before="84" w:line="271" w:lineRule="auto"/>
        <w:rPr>
          <w:rFonts w:ascii="FangSong" w:hAnsi="FangSong" w:eastAsia="FangSong" w:cs="FangSong"/>
          <w:sz w:val="30"/>
          <w:szCs w:val="30"/>
        </w:rPr>
      </w:pPr>
      <w:r>
        <w:rPr>
          <w:rFonts w:ascii="FangSong" w:hAnsi="FangSong" w:eastAsia="FangSong" w:cs="FangSong"/>
          <w:sz w:val="30"/>
          <w:szCs w:val="30"/>
          <w:spacing w:val="26"/>
        </w:rPr>
        <w:t>《职业健康检查管理办法》第二十五条第(三)项</w:t>
      </w:r>
      <w:r>
        <w:rPr>
          <w:rFonts w:ascii="FangSong" w:hAnsi="FangSong" w:eastAsia="FangSong" w:cs="FangSong"/>
          <w:sz w:val="30"/>
          <w:szCs w:val="30"/>
          <w:spacing w:val="26"/>
        </w:rPr>
        <w:t xml:space="preserve">   </w:t>
      </w:r>
      <w:r>
        <w:rPr>
          <w:rFonts w:ascii="FangSong" w:hAnsi="FangSong" w:eastAsia="FangSong" w:cs="FangSong"/>
          <w:sz w:val="30"/>
          <w:szCs w:val="30"/>
          <w:spacing w:val="26"/>
        </w:rPr>
        <w:t>职业健康检查机构有下列行为之一的，由</w:t>
      </w:r>
      <w:r>
        <w:rPr>
          <w:rFonts w:ascii="FangSong" w:hAnsi="FangSong" w:eastAsia="FangSong" w:cs="FangSong"/>
          <w:sz w:val="30"/>
          <w:szCs w:val="30"/>
          <w:spacing w:val="6"/>
        </w:rPr>
        <w:t xml:space="preserve"> </w:t>
      </w:r>
      <w:r>
        <w:rPr>
          <w:rFonts w:ascii="FangSong" w:hAnsi="FangSong" w:eastAsia="FangSong" w:cs="FangSong"/>
          <w:sz w:val="30"/>
          <w:szCs w:val="30"/>
          <w:spacing w:val="21"/>
        </w:rPr>
        <w:t>县级以上地方卫生健康主管部门责令改正，给予警告，可以并处3</w:t>
      </w:r>
      <w:r>
        <w:rPr>
          <w:rFonts w:ascii="FangSong" w:hAnsi="FangSong" w:eastAsia="FangSong" w:cs="FangSong"/>
          <w:sz w:val="30"/>
          <w:szCs w:val="30"/>
          <w:spacing w:val="21"/>
        </w:rPr>
        <w:t xml:space="preserve"> </w:t>
      </w:r>
      <w:r>
        <w:rPr>
          <w:rFonts w:ascii="FangSong" w:hAnsi="FangSong" w:eastAsia="FangSong" w:cs="FangSong"/>
          <w:sz w:val="30"/>
          <w:szCs w:val="30"/>
          <w:spacing w:val="21"/>
        </w:rPr>
        <w:t>万元以下罚款：</w:t>
      </w:r>
    </w:p>
    <w:p>
      <w:pPr>
        <w:ind w:left="794"/>
        <w:spacing w:line="220" w:lineRule="auto"/>
        <w:rPr>
          <w:rFonts w:ascii="FangSong" w:hAnsi="FangSong" w:eastAsia="FangSong" w:cs="FangSong"/>
          <w:sz w:val="30"/>
          <w:szCs w:val="30"/>
        </w:rPr>
      </w:pPr>
      <w:r>
        <w:rPr>
          <w:rFonts w:ascii="FangSong" w:hAnsi="FangSong" w:eastAsia="FangSong" w:cs="FangSong"/>
          <w:sz w:val="30"/>
          <w:szCs w:val="30"/>
          <w:spacing w:val="27"/>
        </w:rPr>
        <w:t>(三)出具虚假证明文件的。</w:t>
      </w:r>
    </w:p>
    <w:p>
      <w:pPr>
        <w:ind w:left="6429"/>
        <w:spacing w:before="224" w:line="208"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7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674"/>
        <w:gridCol w:w="4671"/>
      </w:tblGrid>
      <w:tr>
        <w:trPr>
          <w:trHeight w:val="543" w:hRule="atLeast"/>
        </w:trPr>
        <w:tc>
          <w:tcPr>
            <w:tcW w:w="1424" w:type="dxa"/>
            <w:vAlign w:val="top"/>
          </w:tcPr>
          <w:p>
            <w:pPr>
              <w:pStyle w:val="TableText"/>
              <w:ind w:left="208"/>
              <w:spacing w:before="152" w:line="220" w:lineRule="auto"/>
              <w:rPr>
                <w:sz w:val="25"/>
                <w:szCs w:val="25"/>
              </w:rPr>
            </w:pPr>
            <w:r>
              <w:rPr>
                <w:sz w:val="25"/>
                <w:szCs w:val="25"/>
                <w:b/>
                <w:bCs/>
                <w:spacing w:val="-5"/>
              </w:rPr>
              <w:t>违法程度</w:t>
            </w:r>
          </w:p>
        </w:tc>
        <w:tc>
          <w:tcPr>
            <w:tcW w:w="7674" w:type="dxa"/>
            <w:vAlign w:val="top"/>
          </w:tcPr>
          <w:p>
            <w:pPr>
              <w:pStyle w:val="TableText"/>
              <w:ind w:left="3254"/>
              <w:spacing w:before="152" w:line="220" w:lineRule="auto"/>
              <w:rPr>
                <w:sz w:val="25"/>
                <w:szCs w:val="25"/>
              </w:rPr>
            </w:pPr>
            <w:r>
              <w:rPr>
                <w:sz w:val="25"/>
                <w:szCs w:val="25"/>
                <w:b/>
                <w:bCs/>
                <w:spacing w:val="-5"/>
              </w:rPr>
              <w:t>情节后果</w:t>
            </w:r>
          </w:p>
        </w:tc>
        <w:tc>
          <w:tcPr>
            <w:tcW w:w="4671" w:type="dxa"/>
            <w:vAlign w:val="top"/>
          </w:tcPr>
          <w:p>
            <w:pPr>
              <w:pStyle w:val="TableText"/>
              <w:ind w:left="1830"/>
              <w:spacing w:before="149" w:line="218" w:lineRule="auto"/>
              <w:rPr>
                <w:sz w:val="25"/>
                <w:szCs w:val="25"/>
              </w:rPr>
            </w:pPr>
            <w:r>
              <w:rPr>
                <w:sz w:val="25"/>
                <w:szCs w:val="25"/>
                <w:b/>
                <w:bCs/>
                <w:spacing w:val="-5"/>
              </w:rPr>
              <w:t>裁量幅度</w:t>
            </w:r>
          </w:p>
        </w:tc>
      </w:tr>
      <w:tr>
        <w:trPr>
          <w:trHeight w:val="617" w:hRule="atLeast"/>
        </w:trPr>
        <w:tc>
          <w:tcPr>
            <w:tcW w:w="1424" w:type="dxa"/>
            <w:vAlign w:val="top"/>
          </w:tcPr>
          <w:p>
            <w:pPr>
              <w:pStyle w:val="TableText"/>
              <w:ind w:left="458"/>
              <w:spacing w:before="280" w:line="221" w:lineRule="auto"/>
              <w:rPr>
                <w:sz w:val="25"/>
                <w:szCs w:val="25"/>
              </w:rPr>
            </w:pPr>
            <w:r>
              <w:rPr>
                <w:sz w:val="25"/>
                <w:szCs w:val="25"/>
                <w:b/>
                <w:bCs/>
                <w:spacing w:val="-10"/>
              </w:rPr>
              <w:t>一般</w:t>
            </w:r>
          </w:p>
        </w:tc>
        <w:tc>
          <w:tcPr>
            <w:tcW w:w="7674" w:type="dxa"/>
            <w:vAlign w:val="top"/>
          </w:tcPr>
          <w:p>
            <w:pPr>
              <w:pStyle w:val="TableText"/>
              <w:ind w:left="110"/>
              <w:spacing w:before="190" w:line="219" w:lineRule="auto"/>
              <w:rPr>
                <w:sz w:val="25"/>
                <w:szCs w:val="25"/>
              </w:rPr>
            </w:pPr>
            <w:r>
              <w:rPr>
                <w:sz w:val="25"/>
                <w:szCs w:val="25"/>
              </w:rPr>
              <w:t>出具虚假证明文件，没有违法所得或违法所得无法认定的</w:t>
            </w:r>
          </w:p>
        </w:tc>
        <w:tc>
          <w:tcPr>
            <w:tcW w:w="4671" w:type="dxa"/>
            <w:vAlign w:val="top"/>
          </w:tcPr>
          <w:p>
            <w:pPr>
              <w:pStyle w:val="TableText"/>
              <w:ind w:left="116" w:right="121" w:firstLine="20"/>
              <w:spacing w:before="49" w:line="206" w:lineRule="auto"/>
              <w:rPr>
                <w:sz w:val="25"/>
                <w:szCs w:val="25"/>
              </w:rPr>
            </w:pPr>
            <w:r>
              <w:rPr>
                <w:sz w:val="25"/>
                <w:szCs w:val="25"/>
                <w:spacing w:val="1"/>
              </w:rPr>
              <w:t>责令改正，给予警告，可以并处1万元以</w:t>
            </w:r>
            <w:r>
              <w:rPr>
                <w:sz w:val="25"/>
                <w:szCs w:val="25"/>
                <w:spacing w:val="8"/>
              </w:rPr>
              <w:t xml:space="preserve"> </w:t>
            </w:r>
            <w:r>
              <w:rPr>
                <w:sz w:val="25"/>
                <w:szCs w:val="25"/>
                <w:spacing w:val="3"/>
              </w:rPr>
              <w:t>下罚款</w:t>
            </w:r>
          </w:p>
        </w:tc>
      </w:tr>
      <w:tr>
        <w:trPr>
          <w:trHeight w:val="607" w:hRule="atLeast"/>
        </w:trPr>
        <w:tc>
          <w:tcPr>
            <w:tcW w:w="1424" w:type="dxa"/>
            <w:vAlign w:val="top"/>
          </w:tcPr>
          <w:p>
            <w:pPr>
              <w:pStyle w:val="TableText"/>
              <w:ind w:left="458"/>
              <w:spacing w:before="275" w:line="221" w:lineRule="auto"/>
              <w:rPr>
                <w:sz w:val="25"/>
                <w:szCs w:val="25"/>
              </w:rPr>
            </w:pPr>
            <w:r>
              <w:rPr>
                <w:sz w:val="25"/>
                <w:szCs w:val="25"/>
                <w:b/>
                <w:bCs/>
                <w:spacing w:val="-6"/>
              </w:rPr>
              <w:t>较重</w:t>
            </w:r>
          </w:p>
        </w:tc>
        <w:tc>
          <w:tcPr>
            <w:tcW w:w="7674" w:type="dxa"/>
            <w:vAlign w:val="top"/>
          </w:tcPr>
          <w:p>
            <w:pPr>
              <w:pStyle w:val="TableText"/>
              <w:ind w:left="110"/>
              <w:spacing w:before="183" w:line="219" w:lineRule="auto"/>
              <w:rPr>
                <w:sz w:val="25"/>
                <w:szCs w:val="25"/>
              </w:rPr>
            </w:pPr>
            <w:r>
              <w:rPr>
                <w:sz w:val="25"/>
                <w:szCs w:val="25"/>
                <w:spacing w:val="1"/>
              </w:rPr>
              <w:t>出具虚假证明文件，违法所得不足1万元的</w:t>
            </w:r>
          </w:p>
        </w:tc>
        <w:tc>
          <w:tcPr>
            <w:tcW w:w="4671" w:type="dxa"/>
            <w:vAlign w:val="top"/>
          </w:tcPr>
          <w:p>
            <w:pPr>
              <w:pStyle w:val="TableText"/>
              <w:ind w:left="126" w:right="188" w:firstLine="80"/>
              <w:spacing w:before="33" w:line="208" w:lineRule="auto"/>
              <w:rPr>
                <w:sz w:val="25"/>
                <w:szCs w:val="25"/>
              </w:rPr>
            </w:pPr>
            <w:r>
              <w:rPr>
                <w:sz w:val="25"/>
                <w:szCs w:val="25"/>
              </w:rPr>
              <w:t>责令改正，给予警告，并处1万元以上2</w:t>
            </w:r>
            <w:r>
              <w:rPr>
                <w:sz w:val="25"/>
                <w:szCs w:val="25"/>
                <w:spacing w:val="14"/>
              </w:rPr>
              <w:t xml:space="preserve"> </w:t>
            </w:r>
            <w:r>
              <w:rPr>
                <w:sz w:val="25"/>
                <w:szCs w:val="25"/>
                <w:spacing w:val="1"/>
              </w:rPr>
              <w:t>万元以下罚款</w:t>
            </w:r>
          </w:p>
        </w:tc>
      </w:tr>
      <w:tr>
        <w:trPr>
          <w:trHeight w:val="602" w:hRule="atLeast"/>
        </w:trPr>
        <w:tc>
          <w:tcPr>
            <w:tcW w:w="1424" w:type="dxa"/>
            <w:vAlign w:val="top"/>
          </w:tcPr>
          <w:p>
            <w:pPr>
              <w:pStyle w:val="TableText"/>
              <w:ind w:left="458"/>
              <w:spacing w:before="285" w:line="220" w:lineRule="auto"/>
              <w:rPr>
                <w:sz w:val="25"/>
                <w:szCs w:val="25"/>
              </w:rPr>
            </w:pPr>
            <w:r>
              <w:rPr>
                <w:sz w:val="25"/>
                <w:szCs w:val="25"/>
                <w:b/>
                <w:bCs/>
                <w:spacing w:val="-6"/>
              </w:rPr>
              <w:t>严重</w:t>
            </w:r>
          </w:p>
        </w:tc>
        <w:tc>
          <w:tcPr>
            <w:tcW w:w="7674" w:type="dxa"/>
            <w:vAlign w:val="top"/>
          </w:tcPr>
          <w:p>
            <w:pPr>
              <w:pStyle w:val="TableText"/>
              <w:ind w:left="110"/>
              <w:spacing w:before="186" w:line="219" w:lineRule="auto"/>
              <w:rPr>
                <w:sz w:val="25"/>
                <w:szCs w:val="25"/>
              </w:rPr>
            </w:pPr>
            <w:r>
              <w:rPr>
                <w:sz w:val="25"/>
                <w:szCs w:val="25"/>
                <w:spacing w:val="1"/>
              </w:rPr>
              <w:t>出具虚假证明文件，违法所得1万元以上，或造成严</w:t>
            </w:r>
            <w:r>
              <w:rPr>
                <w:sz w:val="25"/>
                <w:szCs w:val="25"/>
              </w:rPr>
              <w:t>重后果的</w:t>
            </w:r>
          </w:p>
        </w:tc>
        <w:tc>
          <w:tcPr>
            <w:tcW w:w="4671" w:type="dxa"/>
            <w:vAlign w:val="top"/>
          </w:tcPr>
          <w:p>
            <w:pPr>
              <w:pStyle w:val="TableText"/>
              <w:ind w:left="106" w:right="188" w:firstLine="100"/>
              <w:spacing w:before="44" w:line="202" w:lineRule="auto"/>
              <w:rPr>
                <w:sz w:val="25"/>
                <w:szCs w:val="25"/>
              </w:rPr>
            </w:pPr>
            <w:r>
              <w:rPr>
                <w:sz w:val="25"/>
                <w:szCs w:val="25"/>
              </w:rPr>
              <w:t>责令改正，给予警告，并处2万元以上3</w:t>
            </w:r>
            <w:r>
              <w:rPr>
                <w:sz w:val="25"/>
                <w:szCs w:val="25"/>
                <w:spacing w:val="14"/>
              </w:rPr>
              <w:t xml:space="preserve"> </w:t>
            </w:r>
            <w:r>
              <w:rPr>
                <w:sz w:val="25"/>
                <w:szCs w:val="25"/>
                <w:spacing w:val="1"/>
              </w:rPr>
              <w:t>万元以下罚款</w:t>
            </w:r>
          </w:p>
        </w:tc>
      </w:tr>
    </w:tbl>
    <w:p>
      <w:pPr>
        <w:pStyle w:val="BodyText"/>
        <w:spacing w:line="437" w:lineRule="auto"/>
        <w:rPr/>
      </w:pPr>
      <w:r/>
    </w:p>
    <w:p>
      <w:pPr>
        <w:ind w:left="669"/>
        <w:spacing w:before="97" w:line="220" w:lineRule="auto"/>
        <w:rPr>
          <w:rFonts w:ascii="FangSong" w:hAnsi="FangSong" w:eastAsia="FangSong" w:cs="FangSong"/>
          <w:sz w:val="30"/>
          <w:szCs w:val="30"/>
        </w:rPr>
      </w:pPr>
      <w:r>
        <w:rPr>
          <w:rFonts w:ascii="FangSong" w:hAnsi="FangSong" w:eastAsia="FangSong" w:cs="FangSong"/>
          <w:sz w:val="30"/>
          <w:szCs w:val="30"/>
          <w:b/>
          <w:bCs/>
          <w:spacing w:val="22"/>
        </w:rPr>
        <w:t>第五百一十二条未指定主检医师或指定的主检医师未</w:t>
      </w:r>
      <w:r>
        <w:rPr>
          <w:rFonts w:ascii="FangSong" w:hAnsi="FangSong" w:eastAsia="FangSong" w:cs="FangSong"/>
          <w:sz w:val="30"/>
          <w:szCs w:val="30"/>
          <w:b/>
          <w:bCs/>
          <w:spacing w:val="21"/>
        </w:rPr>
        <w:t>取得职业病诊断资格的</w:t>
      </w:r>
    </w:p>
    <w:p>
      <w:pPr>
        <w:ind w:left="664"/>
        <w:spacing w:before="91" w:line="222" w:lineRule="auto"/>
        <w:rPr>
          <w:rFonts w:ascii="FangSong" w:hAnsi="FangSong" w:eastAsia="FangSong" w:cs="FangSong"/>
          <w:sz w:val="30"/>
          <w:szCs w:val="30"/>
        </w:rPr>
      </w:pPr>
      <w:r>
        <w:rPr>
          <w:rFonts w:ascii="FangSong" w:hAnsi="FangSong" w:eastAsia="FangSong" w:cs="FangSong"/>
          <w:sz w:val="30"/>
          <w:szCs w:val="30"/>
        </w:rPr>
        <w:t>法律依据：</w:t>
      </w:r>
    </w:p>
    <w:p>
      <w:pPr>
        <w:ind w:left="25" w:firstLine="619"/>
        <w:spacing w:before="84" w:line="277" w:lineRule="auto"/>
        <w:rPr>
          <w:rFonts w:ascii="FangSong" w:hAnsi="FangSong" w:eastAsia="FangSong" w:cs="FangSong"/>
          <w:sz w:val="30"/>
          <w:szCs w:val="30"/>
        </w:rPr>
      </w:pPr>
      <w:r>
        <w:rPr>
          <w:rFonts w:ascii="FangSong" w:hAnsi="FangSong" w:eastAsia="FangSong" w:cs="FangSong"/>
          <w:sz w:val="30"/>
          <w:szCs w:val="30"/>
          <w:spacing w:val="24"/>
        </w:rPr>
        <w:t>《职业健康检查管理办法》第二十七条第(</w:t>
      </w:r>
      <w:r>
        <w:rPr>
          <w:rFonts w:ascii="FangSong" w:hAnsi="FangSong" w:eastAsia="FangSong" w:cs="FangSong"/>
          <w:sz w:val="30"/>
          <w:szCs w:val="30"/>
          <w:spacing w:val="23"/>
        </w:rPr>
        <w:t>一)项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职业健康检查机构有下列行为之一的，由县</w:t>
      </w:r>
      <w:r>
        <w:rPr>
          <w:rFonts w:ascii="FangSong" w:hAnsi="FangSong" w:eastAsia="FangSong" w:cs="FangSong"/>
          <w:sz w:val="30"/>
          <w:szCs w:val="30"/>
        </w:rPr>
        <w:t xml:space="preserve"> </w:t>
      </w:r>
      <w:r>
        <w:rPr>
          <w:rFonts w:ascii="FangSong" w:hAnsi="FangSong" w:eastAsia="FangSong" w:cs="FangSong"/>
          <w:sz w:val="30"/>
          <w:szCs w:val="30"/>
          <w:spacing w:val="18"/>
        </w:rPr>
        <w:t>级以上地方卫生健康主管部门给予警告，责令限期</w:t>
      </w:r>
      <w:r>
        <w:rPr>
          <w:rFonts w:ascii="FangSong" w:hAnsi="FangSong" w:eastAsia="FangSong" w:cs="FangSong"/>
          <w:sz w:val="30"/>
          <w:szCs w:val="30"/>
          <w:spacing w:val="17"/>
        </w:rPr>
        <w:t>改正；逾期不改的，处以三万元以下罚款：</w:t>
      </w:r>
    </w:p>
    <w:p>
      <w:pPr>
        <w:ind w:left="794"/>
        <w:spacing w:before="1" w:line="220" w:lineRule="auto"/>
        <w:rPr>
          <w:rFonts w:ascii="FangSong" w:hAnsi="FangSong" w:eastAsia="FangSong" w:cs="FangSong"/>
          <w:sz w:val="30"/>
          <w:szCs w:val="30"/>
        </w:rPr>
      </w:pPr>
      <w:r>
        <w:rPr>
          <w:rFonts w:ascii="FangSong" w:hAnsi="FangSong" w:eastAsia="FangSong" w:cs="FangSong"/>
          <w:sz w:val="30"/>
          <w:szCs w:val="30"/>
          <w:spacing w:val="22"/>
        </w:rPr>
        <w:t>(一)未指定主检医师或者指定的主检医师未取得职业病诊断</w:t>
      </w:r>
      <w:r>
        <w:rPr>
          <w:rFonts w:ascii="FangSong" w:hAnsi="FangSong" w:eastAsia="FangSong" w:cs="FangSong"/>
          <w:sz w:val="30"/>
          <w:szCs w:val="30"/>
          <w:spacing w:val="21"/>
        </w:rPr>
        <w:t>资格的；</w:t>
      </w:r>
    </w:p>
    <w:p>
      <w:pPr>
        <w:ind w:left="6429"/>
        <w:spacing w:before="211"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542"/>
          <w:pgSz w:w="16830" w:h="11900"/>
          <w:pgMar w:top="1011" w:right="1450" w:bottom="1107" w:left="1425" w:header="0" w:footer="774" w:gutter="0"/>
        </w:sectPr>
        <w:rPr>
          <w:rFonts w:ascii="SimHei" w:hAnsi="SimHei" w:eastAsia="SimHei" w:cs="SimHei"/>
          <w:sz w:val="30"/>
          <w:szCs w:val="30"/>
        </w:rPr>
      </w:pPr>
    </w:p>
    <w:p>
      <w:pPr>
        <w:spacing w:before="17"/>
        <w:rPr/>
      </w:pPr>
      <w:r/>
    </w:p>
    <w:p>
      <w:pPr>
        <w:spacing w:before="16"/>
        <w:rPr/>
      </w:pPr>
      <w:r/>
    </w:p>
    <w:p>
      <w:pPr>
        <w:spacing w:before="16"/>
        <w:rPr/>
      </w:pPr>
      <w:r/>
    </w:p>
    <w:tbl>
      <w:tblPr>
        <w:tblStyle w:val="TableNormal"/>
        <w:tblW w:w="139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3"/>
        <w:gridCol w:w="9623"/>
        <w:gridCol w:w="2843"/>
      </w:tblGrid>
      <w:tr>
        <w:trPr>
          <w:trHeight w:val="523" w:hRule="atLeast"/>
        </w:trPr>
        <w:tc>
          <w:tcPr>
            <w:tcW w:w="1443" w:type="dxa"/>
            <w:vAlign w:val="top"/>
          </w:tcPr>
          <w:p>
            <w:pPr>
              <w:pStyle w:val="TableText"/>
              <w:ind w:left="238"/>
              <w:spacing w:before="142" w:line="220" w:lineRule="auto"/>
              <w:rPr/>
            </w:pPr>
            <w:bookmarkStart w:name="bookmark1173" w:id="549"/>
            <w:bookmarkEnd w:id="549"/>
            <w:r>
              <w:rPr>
                <w:b/>
                <w:bCs/>
                <w:spacing w:val="-5"/>
              </w:rPr>
              <w:t>违法程度</w:t>
            </w:r>
          </w:p>
        </w:tc>
        <w:tc>
          <w:tcPr>
            <w:tcW w:w="9623" w:type="dxa"/>
            <w:vAlign w:val="top"/>
          </w:tcPr>
          <w:p>
            <w:pPr>
              <w:pStyle w:val="TableText"/>
              <w:ind w:left="4235"/>
              <w:spacing w:before="142" w:line="220" w:lineRule="auto"/>
              <w:rPr/>
            </w:pPr>
            <w:r>
              <w:rPr>
                <w:b/>
                <w:bCs/>
                <w:spacing w:val="-5"/>
              </w:rPr>
              <w:t>情节后果</w:t>
            </w:r>
          </w:p>
        </w:tc>
        <w:tc>
          <w:tcPr>
            <w:tcW w:w="2843" w:type="dxa"/>
            <w:vAlign w:val="top"/>
          </w:tcPr>
          <w:p>
            <w:pPr>
              <w:pStyle w:val="TableText"/>
              <w:ind w:left="942"/>
              <w:spacing w:before="139" w:line="218" w:lineRule="auto"/>
              <w:rPr/>
            </w:pPr>
            <w:r>
              <w:rPr>
                <w:b/>
                <w:bCs/>
                <w:spacing w:val="-5"/>
              </w:rPr>
              <w:t>裁量幅度</w:t>
            </w:r>
          </w:p>
        </w:tc>
      </w:tr>
      <w:tr>
        <w:trPr>
          <w:trHeight w:val="528" w:hRule="atLeast"/>
        </w:trPr>
        <w:tc>
          <w:tcPr>
            <w:tcW w:w="1443" w:type="dxa"/>
            <w:vAlign w:val="top"/>
          </w:tcPr>
          <w:p>
            <w:pPr>
              <w:pStyle w:val="TableText"/>
              <w:ind w:left="478"/>
              <w:spacing w:before="238" w:line="215" w:lineRule="auto"/>
              <w:rPr/>
            </w:pPr>
            <w:r>
              <w:rPr>
                <w:b/>
                <w:bCs/>
                <w:spacing w:val="-6"/>
              </w:rPr>
              <w:t>轻微</w:t>
            </w:r>
          </w:p>
        </w:tc>
        <w:tc>
          <w:tcPr>
            <w:tcW w:w="9623" w:type="dxa"/>
            <w:vAlign w:val="top"/>
          </w:tcPr>
          <w:p>
            <w:pPr>
              <w:pStyle w:val="TableText"/>
              <w:ind w:left="101"/>
              <w:spacing w:before="150" w:line="219" w:lineRule="auto"/>
              <w:rPr/>
            </w:pPr>
            <w:r>
              <w:rPr/>
              <w:t>职业健康检查机构未指定主检医师或者指定的主检医师未取得职业病诊断资格的</w:t>
            </w:r>
          </w:p>
        </w:tc>
        <w:tc>
          <w:tcPr>
            <w:tcW w:w="2843" w:type="dxa"/>
            <w:vAlign w:val="top"/>
          </w:tcPr>
          <w:p>
            <w:pPr>
              <w:pStyle w:val="TableText"/>
              <w:ind w:left="98"/>
              <w:spacing w:before="149" w:line="218" w:lineRule="auto"/>
              <w:rPr/>
            </w:pPr>
            <w:r>
              <w:rPr>
                <w:spacing w:val="1"/>
              </w:rPr>
              <w:t>给予警告，责令限期改正</w:t>
            </w:r>
          </w:p>
        </w:tc>
      </w:tr>
      <w:tr>
        <w:trPr>
          <w:trHeight w:val="658" w:hRule="atLeast"/>
        </w:trPr>
        <w:tc>
          <w:tcPr>
            <w:tcW w:w="1443" w:type="dxa"/>
            <w:vAlign w:val="top"/>
          </w:tcPr>
          <w:p>
            <w:pPr>
              <w:pStyle w:val="TableText"/>
              <w:ind w:left="478"/>
              <w:spacing w:before="291" w:line="221" w:lineRule="auto"/>
              <w:rPr/>
            </w:pPr>
            <w:r>
              <w:rPr>
                <w:b/>
                <w:bCs/>
                <w:spacing w:val="-10"/>
              </w:rPr>
              <w:t>一般</w:t>
            </w:r>
          </w:p>
        </w:tc>
        <w:tc>
          <w:tcPr>
            <w:tcW w:w="9623" w:type="dxa"/>
            <w:vAlign w:val="top"/>
          </w:tcPr>
          <w:p>
            <w:pPr>
              <w:pStyle w:val="TableText"/>
              <w:ind w:left="101" w:right="137"/>
              <w:spacing w:before="52" w:line="229" w:lineRule="auto"/>
              <w:rPr/>
            </w:pPr>
            <w:r>
              <w:rPr/>
              <w:t>职业健康检查机构未指定主检医师或者指定的主检医师未取得职业病诊断资格，经责令限</w:t>
            </w:r>
            <w:r>
              <w:rPr>
                <w:spacing w:val="12"/>
              </w:rPr>
              <w:t xml:space="preserve"> </w:t>
            </w:r>
            <w:r>
              <w:rPr/>
              <w:t>期改正，逾期不改，仍存在以上违法情形，开展职业健康检查人数在20人以下的</w:t>
            </w:r>
          </w:p>
        </w:tc>
        <w:tc>
          <w:tcPr>
            <w:tcW w:w="2843" w:type="dxa"/>
            <w:vAlign w:val="top"/>
          </w:tcPr>
          <w:p>
            <w:pPr>
              <w:pStyle w:val="TableText"/>
              <w:ind w:left="109"/>
              <w:spacing w:before="214" w:line="220" w:lineRule="auto"/>
              <w:rPr/>
            </w:pPr>
            <w:r>
              <w:rPr>
                <w:spacing w:val="1"/>
              </w:rPr>
              <w:t>处一万元以下罚款</w:t>
            </w:r>
          </w:p>
        </w:tc>
      </w:tr>
      <w:tr>
        <w:trPr>
          <w:trHeight w:val="698" w:hRule="atLeast"/>
        </w:trPr>
        <w:tc>
          <w:tcPr>
            <w:tcW w:w="1443" w:type="dxa"/>
            <w:vAlign w:val="top"/>
          </w:tcPr>
          <w:p>
            <w:pPr>
              <w:spacing w:line="246" w:lineRule="auto"/>
              <w:rPr>
                <w:rFonts w:ascii="Arial"/>
                <w:sz w:val="21"/>
              </w:rPr>
            </w:pPr>
            <w:r/>
          </w:p>
          <w:p>
            <w:pPr>
              <w:pStyle w:val="TableText"/>
              <w:ind w:left="478"/>
              <w:spacing w:before="78" w:line="221" w:lineRule="auto"/>
              <w:rPr/>
            </w:pPr>
            <w:r>
              <w:rPr>
                <w:b/>
                <w:bCs/>
                <w:spacing w:val="-5"/>
              </w:rPr>
              <w:t>较重</w:t>
            </w:r>
          </w:p>
        </w:tc>
        <w:tc>
          <w:tcPr>
            <w:tcW w:w="9623" w:type="dxa"/>
            <w:vAlign w:val="top"/>
          </w:tcPr>
          <w:p>
            <w:pPr>
              <w:pStyle w:val="TableText"/>
              <w:ind w:left="101" w:right="137"/>
              <w:spacing w:before="74" w:line="236" w:lineRule="auto"/>
              <w:rPr/>
            </w:pPr>
            <w:r>
              <w:rPr/>
              <w:t>职业健康检查机构未指定主检医师或者指定的主检医师未取得职业病诊断资格，经责令限</w:t>
            </w:r>
            <w:r>
              <w:rPr>
                <w:spacing w:val="12"/>
              </w:rPr>
              <w:t xml:space="preserve"> </w:t>
            </w:r>
            <w:r>
              <w:rPr/>
              <w:t>期改正，逾期不改，仍存在以上违法情形，开展职业健康检查人数在21-50人的</w:t>
            </w:r>
          </w:p>
        </w:tc>
        <w:tc>
          <w:tcPr>
            <w:tcW w:w="2843" w:type="dxa"/>
            <w:vAlign w:val="top"/>
          </w:tcPr>
          <w:p>
            <w:pPr>
              <w:pStyle w:val="TableText"/>
              <w:ind w:left="108" w:right="78" w:hanging="10"/>
              <w:spacing w:before="95" w:line="211" w:lineRule="auto"/>
              <w:rPr/>
            </w:pPr>
            <w:r>
              <w:rPr>
                <w:spacing w:val="1"/>
              </w:rPr>
              <w:t>处一万元以上两万元以下</w:t>
            </w:r>
            <w:r>
              <w:rPr>
                <w:spacing w:val="4"/>
              </w:rPr>
              <w:t xml:space="preserve"> </w:t>
            </w:r>
            <w:r>
              <w:rPr>
                <w:spacing w:val="5"/>
              </w:rPr>
              <w:t>罚款</w:t>
            </w:r>
          </w:p>
        </w:tc>
      </w:tr>
      <w:tr>
        <w:trPr>
          <w:trHeight w:val="663" w:hRule="atLeast"/>
        </w:trPr>
        <w:tc>
          <w:tcPr>
            <w:tcW w:w="1443" w:type="dxa"/>
            <w:vAlign w:val="top"/>
          </w:tcPr>
          <w:p>
            <w:pPr>
              <w:pStyle w:val="TableText"/>
              <w:ind w:left="478"/>
              <w:spacing w:before="305" w:line="220" w:lineRule="auto"/>
              <w:rPr/>
            </w:pPr>
            <w:r>
              <w:rPr>
                <w:b/>
                <w:bCs/>
                <w:spacing w:val="-6"/>
              </w:rPr>
              <w:t>严重</w:t>
            </w:r>
          </w:p>
        </w:tc>
        <w:tc>
          <w:tcPr>
            <w:tcW w:w="9623" w:type="dxa"/>
            <w:vAlign w:val="top"/>
          </w:tcPr>
          <w:p>
            <w:pPr>
              <w:pStyle w:val="TableText"/>
              <w:ind w:left="101" w:right="137"/>
              <w:spacing w:before="57" w:line="229" w:lineRule="auto"/>
              <w:rPr/>
            </w:pPr>
            <w:r>
              <w:rPr/>
              <w:t>职业健康检查机构未指定主检医师或者指定的主检医师未取得职业病诊断资格，经责令限</w:t>
            </w:r>
            <w:r>
              <w:rPr>
                <w:spacing w:val="12"/>
              </w:rPr>
              <w:t xml:space="preserve"> </w:t>
            </w:r>
            <w:r>
              <w:rPr/>
              <w:t>期改正，逾期不改，仍存在以上违法情形，开展职业健康检查人数在51人以上的</w:t>
            </w:r>
          </w:p>
        </w:tc>
        <w:tc>
          <w:tcPr>
            <w:tcW w:w="2843" w:type="dxa"/>
            <w:vAlign w:val="top"/>
          </w:tcPr>
          <w:p>
            <w:pPr>
              <w:pStyle w:val="TableText"/>
              <w:ind w:left="108" w:right="78" w:hanging="10"/>
              <w:spacing w:before="78" w:line="207" w:lineRule="auto"/>
              <w:rPr/>
            </w:pPr>
            <w:r>
              <w:rPr>
                <w:spacing w:val="1"/>
              </w:rPr>
              <w:t>处两万元以上三万元以下</w:t>
            </w:r>
            <w:r>
              <w:rPr>
                <w:spacing w:val="4"/>
              </w:rPr>
              <w:t xml:space="preserve"> </w:t>
            </w:r>
            <w:r>
              <w:rPr>
                <w:spacing w:val="5"/>
              </w:rPr>
              <w:t>罚款</w:t>
            </w:r>
          </w:p>
        </w:tc>
      </w:tr>
    </w:tbl>
    <w:p>
      <w:pPr>
        <w:pStyle w:val="BodyText"/>
        <w:spacing w:line="456" w:lineRule="auto"/>
        <w:rPr/>
      </w:pPr>
      <w:r/>
    </w:p>
    <w:p>
      <w:pPr>
        <w:ind w:left="669"/>
        <w:spacing w:before="98" w:line="220" w:lineRule="auto"/>
        <w:rPr>
          <w:rFonts w:ascii="FangSong" w:hAnsi="FangSong" w:eastAsia="FangSong" w:cs="FangSong"/>
          <w:sz w:val="30"/>
          <w:szCs w:val="30"/>
        </w:rPr>
      </w:pPr>
      <w:r>
        <w:rPr>
          <w:rFonts w:ascii="FangSong" w:hAnsi="FangSong" w:eastAsia="FangSong" w:cs="FangSong"/>
          <w:sz w:val="30"/>
          <w:szCs w:val="30"/>
          <w:b/>
          <w:bCs/>
          <w:spacing w:val="23"/>
        </w:rPr>
        <w:t>第五百一十三条未按要求建立职业健康检查档案的</w:t>
      </w:r>
    </w:p>
    <w:p>
      <w:pPr>
        <w:ind w:left="664"/>
        <w:spacing w:before="90" w:line="222" w:lineRule="auto"/>
        <w:rPr>
          <w:rFonts w:ascii="FangSong" w:hAnsi="FangSong" w:eastAsia="FangSong" w:cs="FangSong"/>
          <w:sz w:val="30"/>
          <w:szCs w:val="30"/>
        </w:rPr>
      </w:pPr>
      <w:r>
        <w:rPr>
          <w:rFonts w:ascii="FangSong" w:hAnsi="FangSong" w:eastAsia="FangSong" w:cs="FangSong"/>
          <w:sz w:val="30"/>
          <w:szCs w:val="30"/>
        </w:rPr>
        <w:t>法律依据：</w:t>
      </w:r>
    </w:p>
    <w:p>
      <w:pPr>
        <w:ind w:left="34" w:firstLine="619"/>
        <w:spacing w:before="84" w:line="271" w:lineRule="auto"/>
        <w:rPr>
          <w:rFonts w:ascii="FangSong" w:hAnsi="FangSong" w:eastAsia="FangSong" w:cs="FangSong"/>
          <w:sz w:val="30"/>
          <w:szCs w:val="30"/>
        </w:rPr>
      </w:pPr>
      <w:r>
        <w:rPr>
          <w:rFonts w:ascii="FangSong" w:hAnsi="FangSong" w:eastAsia="FangSong" w:cs="FangSong"/>
          <w:sz w:val="30"/>
          <w:szCs w:val="30"/>
          <w:spacing w:val="24"/>
        </w:rPr>
        <w:t>《职业健康检查管理办法》第二十七条第(</w:t>
      </w:r>
      <w:r>
        <w:rPr>
          <w:rFonts w:ascii="FangSong" w:hAnsi="FangSong" w:eastAsia="FangSong" w:cs="FangSong"/>
          <w:sz w:val="30"/>
          <w:szCs w:val="30"/>
          <w:spacing w:val="23"/>
        </w:rPr>
        <w:t>二)项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职业健康检查机构有下列行为之一的，由县</w:t>
      </w:r>
      <w:r>
        <w:rPr>
          <w:rFonts w:ascii="FangSong" w:hAnsi="FangSong" w:eastAsia="FangSong" w:cs="FangSong"/>
          <w:sz w:val="30"/>
          <w:szCs w:val="30"/>
        </w:rPr>
        <w:t xml:space="preserve"> </w:t>
      </w:r>
      <w:r>
        <w:rPr>
          <w:rFonts w:ascii="FangSong" w:hAnsi="FangSong" w:eastAsia="FangSong" w:cs="FangSong"/>
          <w:sz w:val="30"/>
          <w:szCs w:val="30"/>
          <w:spacing w:val="18"/>
        </w:rPr>
        <w:t>级以上地方卫生健康主管部门给予警告，责令限期改正；逾期不改的，</w:t>
      </w:r>
      <w:r>
        <w:rPr>
          <w:rFonts w:ascii="FangSong" w:hAnsi="FangSong" w:eastAsia="FangSong" w:cs="FangSong"/>
          <w:sz w:val="30"/>
          <w:szCs w:val="30"/>
          <w:spacing w:val="17"/>
        </w:rPr>
        <w:t>处以三万元以下罚款：</w:t>
      </w:r>
    </w:p>
    <w:p>
      <w:pPr>
        <w:ind w:left="804"/>
        <w:spacing w:line="220" w:lineRule="auto"/>
        <w:rPr>
          <w:rFonts w:ascii="FangSong" w:hAnsi="FangSong" w:eastAsia="FangSong" w:cs="FangSong"/>
          <w:sz w:val="30"/>
          <w:szCs w:val="30"/>
        </w:rPr>
      </w:pPr>
      <w:r>
        <w:rPr>
          <w:rFonts w:ascii="FangSong" w:hAnsi="FangSong" w:eastAsia="FangSong" w:cs="FangSong"/>
          <w:sz w:val="30"/>
          <w:szCs w:val="30"/>
          <w:spacing w:val="24"/>
        </w:rPr>
        <w:t>(二)未按要求建立职业健康检查档案的；</w:t>
      </w:r>
    </w:p>
    <w:p>
      <w:pPr>
        <w:ind w:left="6429"/>
        <w:spacing w:before="214"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1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9613"/>
        <w:gridCol w:w="2773"/>
      </w:tblGrid>
      <w:tr>
        <w:trPr>
          <w:trHeight w:val="771" w:hRule="atLeast"/>
        </w:trPr>
        <w:tc>
          <w:tcPr>
            <w:tcW w:w="1424" w:type="dxa"/>
            <w:vAlign w:val="top"/>
          </w:tcPr>
          <w:p>
            <w:pPr>
              <w:pStyle w:val="TableText"/>
              <w:ind w:left="188"/>
              <w:spacing w:before="262" w:line="220" w:lineRule="auto"/>
              <w:rPr>
                <w:sz w:val="26"/>
                <w:szCs w:val="26"/>
              </w:rPr>
            </w:pPr>
            <w:r>
              <w:rPr>
                <w:sz w:val="26"/>
                <w:szCs w:val="26"/>
                <w:b/>
                <w:bCs/>
                <w:spacing w:val="-5"/>
              </w:rPr>
              <w:t>违法程度</w:t>
            </w:r>
          </w:p>
        </w:tc>
        <w:tc>
          <w:tcPr>
            <w:tcW w:w="9613" w:type="dxa"/>
            <w:vAlign w:val="top"/>
          </w:tcPr>
          <w:p>
            <w:pPr>
              <w:pStyle w:val="TableText"/>
              <w:ind w:left="4244"/>
              <w:spacing w:before="262" w:line="220" w:lineRule="auto"/>
              <w:rPr>
                <w:sz w:val="26"/>
                <w:szCs w:val="26"/>
              </w:rPr>
            </w:pPr>
            <w:r>
              <w:rPr>
                <w:sz w:val="26"/>
                <w:szCs w:val="26"/>
                <w:b/>
                <w:bCs/>
                <w:spacing w:val="-5"/>
              </w:rPr>
              <w:t>情节后果</w:t>
            </w:r>
          </w:p>
        </w:tc>
        <w:tc>
          <w:tcPr>
            <w:tcW w:w="2773" w:type="dxa"/>
            <w:vAlign w:val="top"/>
          </w:tcPr>
          <w:p>
            <w:pPr>
              <w:pStyle w:val="TableText"/>
              <w:ind w:left="861"/>
              <w:spacing w:before="259" w:line="218" w:lineRule="auto"/>
              <w:rPr>
                <w:sz w:val="26"/>
                <w:szCs w:val="26"/>
              </w:rPr>
            </w:pPr>
            <w:r>
              <w:rPr>
                <w:sz w:val="26"/>
                <w:szCs w:val="26"/>
                <w:b/>
                <w:bCs/>
                <w:spacing w:val="-5"/>
              </w:rPr>
              <w:t>裁量幅度</w:t>
            </w:r>
          </w:p>
        </w:tc>
      </w:tr>
      <w:tr>
        <w:trPr>
          <w:trHeight w:val="969" w:hRule="atLeast"/>
        </w:trPr>
        <w:tc>
          <w:tcPr>
            <w:tcW w:w="1424" w:type="dxa"/>
            <w:vAlign w:val="top"/>
          </w:tcPr>
          <w:p>
            <w:pPr>
              <w:spacing w:line="384" w:lineRule="auto"/>
              <w:rPr>
                <w:rFonts w:ascii="Arial"/>
                <w:sz w:val="21"/>
              </w:rPr>
            </w:pPr>
            <w:r/>
          </w:p>
          <w:p>
            <w:pPr>
              <w:pStyle w:val="TableText"/>
              <w:ind w:left="448"/>
              <w:spacing w:before="84" w:line="219" w:lineRule="auto"/>
              <w:rPr>
                <w:sz w:val="26"/>
                <w:szCs w:val="26"/>
              </w:rPr>
            </w:pPr>
            <w:r>
              <w:rPr>
                <w:sz w:val="26"/>
                <w:szCs w:val="26"/>
                <w:b/>
                <w:bCs/>
                <w:spacing w:val="-6"/>
              </w:rPr>
              <w:t>轻微</w:t>
            </w:r>
          </w:p>
        </w:tc>
        <w:tc>
          <w:tcPr>
            <w:tcW w:w="9613" w:type="dxa"/>
            <w:vAlign w:val="top"/>
          </w:tcPr>
          <w:p>
            <w:pPr>
              <w:spacing w:line="273" w:lineRule="auto"/>
              <w:rPr>
                <w:rFonts w:ascii="Arial"/>
                <w:sz w:val="21"/>
              </w:rPr>
            </w:pPr>
            <w:r/>
          </w:p>
          <w:p>
            <w:pPr>
              <w:pStyle w:val="TableText"/>
              <w:ind w:left="114"/>
              <w:spacing w:before="84" w:line="219" w:lineRule="auto"/>
              <w:rPr>
                <w:sz w:val="26"/>
                <w:szCs w:val="26"/>
              </w:rPr>
            </w:pPr>
            <w:r>
              <w:rPr>
                <w:sz w:val="26"/>
                <w:szCs w:val="26"/>
                <w:b/>
                <w:bCs/>
                <w:spacing w:val="-3"/>
              </w:rPr>
              <w:t>职业健康检查机构未按要求建立职业健康检查档案的</w:t>
            </w:r>
          </w:p>
        </w:tc>
        <w:tc>
          <w:tcPr>
            <w:tcW w:w="2773" w:type="dxa"/>
            <w:vAlign w:val="top"/>
          </w:tcPr>
          <w:p>
            <w:pPr>
              <w:spacing w:line="272" w:lineRule="auto"/>
              <w:rPr>
                <w:rFonts w:ascii="Arial"/>
                <w:sz w:val="21"/>
              </w:rPr>
            </w:pPr>
            <w:r/>
          </w:p>
          <w:p>
            <w:pPr>
              <w:pStyle w:val="TableText"/>
              <w:spacing w:before="85" w:line="218" w:lineRule="auto"/>
              <w:jc w:val="right"/>
              <w:rPr>
                <w:sz w:val="26"/>
                <w:szCs w:val="26"/>
              </w:rPr>
            </w:pPr>
            <w:r>
              <w:rPr>
                <w:sz w:val="26"/>
                <w:szCs w:val="26"/>
                <w:b/>
                <w:bCs/>
                <w:spacing w:val="-14"/>
              </w:rPr>
              <w:t>给予警告，责令限期改正</w:t>
            </w:r>
          </w:p>
        </w:tc>
      </w:tr>
    </w:tbl>
    <w:p>
      <w:pPr>
        <w:pStyle w:val="BodyText"/>
        <w:rPr/>
      </w:pPr>
      <w:r/>
    </w:p>
    <w:p>
      <w:pPr>
        <w:sectPr>
          <w:footerReference w:type="default" r:id="rId543"/>
          <w:pgSz w:w="16830" w:h="11900"/>
          <w:pgMar w:top="1011" w:right="1440" w:bottom="1107" w:left="1425" w:header="0" w:footer="774" w:gutter="0"/>
        </w:sectPr>
        <w:rPr/>
      </w:pPr>
    </w:p>
    <w:p>
      <w:pPr>
        <w:spacing w:before="13"/>
        <w:rPr/>
      </w:pPr>
      <w:r/>
    </w:p>
    <w:p>
      <w:pPr>
        <w:spacing w:before="13"/>
        <w:rPr/>
      </w:pPr>
      <w:r/>
    </w:p>
    <w:p>
      <w:pPr>
        <w:spacing w:before="13"/>
        <w:rPr/>
      </w:pPr>
      <w:r/>
    </w:p>
    <w:tbl>
      <w:tblPr>
        <w:tblStyle w:val="TableNormal"/>
        <w:tblW w:w="1381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9633"/>
        <w:gridCol w:w="2773"/>
      </w:tblGrid>
      <w:tr>
        <w:trPr>
          <w:trHeight w:val="1020" w:hRule="atLeast"/>
        </w:trPr>
        <w:tc>
          <w:tcPr>
            <w:tcW w:w="1404" w:type="dxa"/>
            <w:vAlign w:val="top"/>
          </w:tcPr>
          <w:p>
            <w:pPr>
              <w:spacing w:line="402" w:lineRule="auto"/>
              <w:rPr>
                <w:rFonts w:ascii="Arial"/>
                <w:sz w:val="21"/>
              </w:rPr>
            </w:pPr>
            <w:r/>
          </w:p>
          <w:p>
            <w:pPr>
              <w:pStyle w:val="TableText"/>
              <w:ind w:left="458"/>
              <w:spacing w:before="78" w:line="221" w:lineRule="auto"/>
              <w:rPr/>
            </w:pPr>
            <w:bookmarkStart w:name="bookmark1174" w:id="550"/>
            <w:bookmarkEnd w:id="550"/>
            <w:r>
              <w:rPr>
                <w:b/>
                <w:bCs/>
                <w:spacing w:val="-10"/>
              </w:rPr>
              <w:t>一般</w:t>
            </w:r>
          </w:p>
        </w:tc>
        <w:tc>
          <w:tcPr>
            <w:tcW w:w="9633" w:type="dxa"/>
            <w:vAlign w:val="top"/>
          </w:tcPr>
          <w:p>
            <w:pPr>
              <w:pStyle w:val="TableText"/>
              <w:ind w:left="130" w:right="118"/>
              <w:spacing w:before="62" w:line="243" w:lineRule="auto"/>
              <w:jc w:val="both"/>
              <w:rPr/>
            </w:pPr>
            <w:r>
              <w:rPr/>
              <w:t>职业健康检查机构未按要求建立职业健康检查档案，经责令限期改正，逾期不改，仍存在</w:t>
            </w:r>
            <w:r>
              <w:rPr>
                <w:spacing w:val="12"/>
              </w:rPr>
              <w:t xml:space="preserve"> </w:t>
            </w:r>
            <w:r>
              <w:rPr/>
              <w:t>职业健康检查档案中未包括职业健康检查委托协议书或《职业健康检查管理办法》第二十</w:t>
            </w:r>
            <w:r>
              <w:rPr>
                <w:spacing w:val="9"/>
              </w:rPr>
              <w:t xml:space="preserve"> </w:t>
            </w:r>
            <w:r>
              <w:rPr>
                <w:spacing w:val="2"/>
              </w:rPr>
              <w:t>条第二款(四)其他有关材料的</w:t>
            </w:r>
          </w:p>
        </w:tc>
        <w:tc>
          <w:tcPr>
            <w:tcW w:w="2773" w:type="dxa"/>
            <w:vAlign w:val="top"/>
          </w:tcPr>
          <w:p>
            <w:pPr>
              <w:spacing w:line="315" w:lineRule="auto"/>
              <w:rPr>
                <w:rFonts w:ascii="Arial"/>
                <w:sz w:val="21"/>
              </w:rPr>
            </w:pPr>
            <w:r/>
          </w:p>
          <w:p>
            <w:pPr>
              <w:pStyle w:val="TableText"/>
              <w:ind w:left="138"/>
              <w:spacing w:before="78" w:line="220" w:lineRule="auto"/>
              <w:rPr/>
            </w:pPr>
            <w:r>
              <w:rPr>
                <w:spacing w:val="1"/>
              </w:rPr>
              <w:t>处一万元以下罚款</w:t>
            </w:r>
          </w:p>
        </w:tc>
      </w:tr>
      <w:tr>
        <w:trPr>
          <w:trHeight w:val="677" w:hRule="atLeast"/>
        </w:trPr>
        <w:tc>
          <w:tcPr>
            <w:tcW w:w="1404" w:type="dxa"/>
            <w:vAlign w:val="top"/>
          </w:tcPr>
          <w:p>
            <w:pPr>
              <w:spacing w:line="245" w:lineRule="auto"/>
              <w:rPr>
                <w:rFonts w:ascii="Arial"/>
                <w:sz w:val="21"/>
              </w:rPr>
            </w:pPr>
            <w:r/>
          </w:p>
          <w:p>
            <w:pPr>
              <w:pStyle w:val="TableText"/>
              <w:ind w:left="458"/>
              <w:spacing w:before="78" w:line="221" w:lineRule="auto"/>
              <w:rPr/>
            </w:pPr>
            <w:r>
              <w:rPr>
                <w:b/>
                <w:bCs/>
                <w:spacing w:val="-5"/>
              </w:rPr>
              <w:t>较重</w:t>
            </w:r>
          </w:p>
        </w:tc>
        <w:tc>
          <w:tcPr>
            <w:tcW w:w="9633" w:type="dxa"/>
            <w:vAlign w:val="top"/>
          </w:tcPr>
          <w:p>
            <w:pPr>
              <w:pStyle w:val="TableText"/>
              <w:ind w:left="140" w:right="118" w:hanging="10"/>
              <w:spacing w:before="84" w:line="224" w:lineRule="auto"/>
              <w:rPr/>
            </w:pPr>
            <w:r>
              <w:rPr/>
              <w:t>职业健康检查机构未按要求建立职业健康检查档案，经责令限期改正，逾期不改，仍存在</w:t>
            </w:r>
            <w:r>
              <w:rPr>
                <w:spacing w:val="12"/>
              </w:rPr>
              <w:t xml:space="preserve"> </w:t>
            </w:r>
            <w:r>
              <w:rPr/>
              <w:t>职业健康检查档案中未包括用人单位提供的相关资料的</w:t>
            </w:r>
          </w:p>
        </w:tc>
        <w:tc>
          <w:tcPr>
            <w:tcW w:w="2773" w:type="dxa"/>
            <w:vAlign w:val="top"/>
          </w:tcPr>
          <w:p>
            <w:pPr>
              <w:pStyle w:val="TableText"/>
              <w:ind w:left="137" w:right="213" w:hanging="9"/>
              <w:spacing w:before="115" w:line="207" w:lineRule="auto"/>
              <w:rPr/>
            </w:pPr>
            <w:r>
              <w:rPr>
                <w:spacing w:val="2"/>
              </w:rPr>
              <w:t>处二万元以上两万元以</w:t>
            </w:r>
            <w:r>
              <w:rPr/>
              <w:t xml:space="preserve"> </w:t>
            </w:r>
            <w:r>
              <w:rPr>
                <w:spacing w:val="3"/>
              </w:rPr>
              <w:t>下罚款</w:t>
            </w:r>
          </w:p>
        </w:tc>
      </w:tr>
      <w:tr>
        <w:trPr>
          <w:trHeight w:val="682" w:hRule="atLeast"/>
        </w:trPr>
        <w:tc>
          <w:tcPr>
            <w:tcW w:w="1404" w:type="dxa"/>
            <w:vAlign w:val="top"/>
          </w:tcPr>
          <w:p>
            <w:pPr>
              <w:spacing w:line="265" w:lineRule="auto"/>
              <w:rPr>
                <w:rFonts w:ascii="Arial"/>
                <w:sz w:val="21"/>
              </w:rPr>
            </w:pPr>
            <w:r/>
          </w:p>
          <w:p>
            <w:pPr>
              <w:pStyle w:val="TableText"/>
              <w:ind w:left="458"/>
              <w:spacing w:before="78" w:line="220" w:lineRule="auto"/>
              <w:rPr/>
            </w:pPr>
            <w:r>
              <w:rPr>
                <w:b/>
                <w:bCs/>
                <w:spacing w:val="-6"/>
              </w:rPr>
              <w:t>严重</w:t>
            </w:r>
          </w:p>
        </w:tc>
        <w:tc>
          <w:tcPr>
            <w:tcW w:w="9633" w:type="dxa"/>
            <w:vAlign w:val="top"/>
          </w:tcPr>
          <w:p>
            <w:pPr>
              <w:pStyle w:val="TableText"/>
              <w:ind w:left="140" w:right="118" w:hanging="10"/>
              <w:spacing w:before="87" w:line="225" w:lineRule="auto"/>
              <w:rPr/>
            </w:pPr>
            <w:r>
              <w:rPr/>
              <w:t>职业健康检查机构未按要求建立职业健康检查档案，经责令限期改正，逾期不改，仍存在</w:t>
            </w:r>
            <w:r>
              <w:rPr>
                <w:spacing w:val="12"/>
              </w:rPr>
              <w:t xml:space="preserve"> </w:t>
            </w:r>
            <w:r>
              <w:rPr/>
              <w:t>职业健康检查档案中未包括出具的职业健康检查结果总结报告和告知材料的</w:t>
            </w:r>
          </w:p>
        </w:tc>
        <w:tc>
          <w:tcPr>
            <w:tcW w:w="2773" w:type="dxa"/>
            <w:vAlign w:val="top"/>
          </w:tcPr>
          <w:p>
            <w:pPr>
              <w:pStyle w:val="TableText"/>
              <w:ind w:left="137" w:right="213" w:hanging="9"/>
              <w:spacing w:before="117" w:line="211" w:lineRule="auto"/>
              <w:rPr/>
            </w:pPr>
            <w:r>
              <w:rPr>
                <w:spacing w:val="2"/>
              </w:rPr>
              <w:t>处两万元以上三万元以</w:t>
            </w:r>
            <w:r>
              <w:rPr/>
              <w:t xml:space="preserve"> </w:t>
            </w:r>
            <w:r>
              <w:rPr>
                <w:spacing w:val="3"/>
              </w:rPr>
              <w:t>下罚款</w:t>
            </w:r>
          </w:p>
        </w:tc>
      </w:tr>
    </w:tbl>
    <w:p>
      <w:pPr>
        <w:pStyle w:val="BodyText"/>
        <w:spacing w:line="466" w:lineRule="auto"/>
        <w:rPr/>
      </w:pPr>
      <w:r/>
    </w:p>
    <w:p>
      <w:pPr>
        <w:ind w:left="679"/>
        <w:spacing w:before="98" w:line="220" w:lineRule="auto"/>
        <w:rPr>
          <w:rFonts w:ascii="FangSong" w:hAnsi="FangSong" w:eastAsia="FangSong" w:cs="FangSong"/>
          <w:sz w:val="30"/>
          <w:szCs w:val="30"/>
        </w:rPr>
      </w:pPr>
      <w:r>
        <w:rPr>
          <w:rFonts w:ascii="FangSong" w:hAnsi="FangSong" w:eastAsia="FangSong" w:cs="FangSong"/>
          <w:sz w:val="30"/>
          <w:szCs w:val="30"/>
          <w:b/>
          <w:bCs/>
          <w:spacing w:val="23"/>
        </w:rPr>
        <w:t>第五百一十四条未履行职业健康检查信息报告义务的</w:t>
      </w:r>
    </w:p>
    <w:p>
      <w:pPr>
        <w:ind w:left="675"/>
        <w:spacing w:before="9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34" w:firstLine="610"/>
        <w:spacing w:before="74" w:line="271" w:lineRule="auto"/>
        <w:rPr>
          <w:rFonts w:ascii="FangSong" w:hAnsi="FangSong" w:eastAsia="FangSong" w:cs="FangSong"/>
          <w:sz w:val="30"/>
          <w:szCs w:val="30"/>
        </w:rPr>
      </w:pPr>
      <w:r>
        <w:rPr>
          <w:rFonts w:ascii="FangSong" w:hAnsi="FangSong" w:eastAsia="FangSong" w:cs="FangSong"/>
          <w:sz w:val="30"/>
          <w:szCs w:val="30"/>
          <w:spacing w:val="26"/>
        </w:rPr>
        <w:t>《职业健康检查管理办法》第二十七条第(三)项</w:t>
      </w:r>
      <w:r>
        <w:rPr>
          <w:rFonts w:ascii="FangSong" w:hAnsi="FangSong" w:eastAsia="FangSong" w:cs="FangSong"/>
          <w:sz w:val="30"/>
          <w:szCs w:val="30"/>
          <w:spacing w:val="26"/>
        </w:rPr>
        <w:t xml:space="preserve">   </w:t>
      </w:r>
      <w:r>
        <w:rPr>
          <w:rFonts w:ascii="FangSong" w:hAnsi="FangSong" w:eastAsia="FangSong" w:cs="FangSong"/>
          <w:sz w:val="30"/>
          <w:szCs w:val="30"/>
          <w:spacing w:val="26"/>
        </w:rPr>
        <w:t>职业健康检查机构有下列行为之一的，由</w:t>
      </w:r>
      <w:r>
        <w:rPr>
          <w:rFonts w:ascii="FangSong" w:hAnsi="FangSong" w:eastAsia="FangSong" w:cs="FangSong"/>
          <w:sz w:val="30"/>
          <w:szCs w:val="30"/>
          <w:spacing w:val="16"/>
        </w:rPr>
        <w:t xml:space="preserve"> </w:t>
      </w:r>
      <w:r>
        <w:rPr>
          <w:rFonts w:ascii="FangSong" w:hAnsi="FangSong" w:eastAsia="FangSong" w:cs="FangSong"/>
          <w:sz w:val="30"/>
          <w:szCs w:val="30"/>
          <w:spacing w:val="18"/>
        </w:rPr>
        <w:t>县级以上地方卫生健康主管部门给予警告，责令限期改正；逾期不改的，处以</w:t>
      </w:r>
      <w:r>
        <w:rPr>
          <w:rFonts w:ascii="FangSong" w:hAnsi="FangSong" w:eastAsia="FangSong" w:cs="FangSong"/>
          <w:sz w:val="30"/>
          <w:szCs w:val="30"/>
          <w:spacing w:val="17"/>
        </w:rPr>
        <w:t>三万元以下罚款：</w:t>
      </w:r>
    </w:p>
    <w:p>
      <w:pPr>
        <w:ind w:left="804"/>
        <w:spacing w:line="220" w:lineRule="auto"/>
        <w:rPr>
          <w:rFonts w:ascii="FangSong" w:hAnsi="FangSong" w:eastAsia="FangSong" w:cs="FangSong"/>
          <w:sz w:val="30"/>
          <w:szCs w:val="30"/>
        </w:rPr>
      </w:pPr>
      <w:r>
        <w:rPr>
          <w:rFonts w:ascii="FangSong" w:hAnsi="FangSong" w:eastAsia="FangSong" w:cs="FangSong"/>
          <w:sz w:val="30"/>
          <w:szCs w:val="30"/>
          <w:spacing w:val="24"/>
        </w:rPr>
        <w:t>(三)未履行职业健康检查信息报告义务的。</w:t>
      </w:r>
    </w:p>
    <w:p>
      <w:pPr>
        <w:ind w:left="6428"/>
        <w:spacing w:before="224"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2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84"/>
        <w:gridCol w:w="8673"/>
        <w:gridCol w:w="3192"/>
      </w:tblGrid>
      <w:tr>
        <w:trPr>
          <w:trHeight w:val="543" w:hRule="atLeast"/>
        </w:trPr>
        <w:tc>
          <w:tcPr>
            <w:tcW w:w="1384" w:type="dxa"/>
            <w:vAlign w:val="top"/>
          </w:tcPr>
          <w:p>
            <w:pPr>
              <w:pStyle w:val="TableText"/>
              <w:ind w:left="188"/>
              <w:spacing w:before="152" w:line="220" w:lineRule="auto"/>
              <w:rPr>
                <w:sz w:val="25"/>
                <w:szCs w:val="25"/>
              </w:rPr>
            </w:pPr>
            <w:r>
              <w:rPr>
                <w:sz w:val="25"/>
                <w:szCs w:val="25"/>
                <w:b/>
                <w:bCs/>
                <w:spacing w:val="-5"/>
              </w:rPr>
              <w:t>违法程度</w:t>
            </w:r>
          </w:p>
        </w:tc>
        <w:tc>
          <w:tcPr>
            <w:tcW w:w="8673" w:type="dxa"/>
            <w:vAlign w:val="top"/>
          </w:tcPr>
          <w:p>
            <w:pPr>
              <w:pStyle w:val="TableText"/>
              <w:ind w:left="3764"/>
              <w:spacing w:before="152" w:line="220" w:lineRule="auto"/>
              <w:rPr>
                <w:sz w:val="25"/>
                <w:szCs w:val="25"/>
              </w:rPr>
            </w:pPr>
            <w:r>
              <w:rPr>
                <w:sz w:val="25"/>
                <w:szCs w:val="25"/>
                <w:b/>
                <w:bCs/>
                <w:spacing w:val="-5"/>
              </w:rPr>
              <w:t>情节后果</w:t>
            </w:r>
          </w:p>
        </w:tc>
        <w:tc>
          <w:tcPr>
            <w:tcW w:w="3192" w:type="dxa"/>
            <w:vAlign w:val="top"/>
          </w:tcPr>
          <w:p>
            <w:pPr>
              <w:pStyle w:val="TableText"/>
              <w:ind w:left="1031"/>
              <w:spacing w:before="149" w:line="218" w:lineRule="auto"/>
              <w:rPr>
                <w:sz w:val="25"/>
                <w:szCs w:val="25"/>
              </w:rPr>
            </w:pPr>
            <w:r>
              <w:rPr>
                <w:sz w:val="25"/>
                <w:szCs w:val="25"/>
                <w:b/>
                <w:bCs/>
                <w:spacing w:val="-5"/>
              </w:rPr>
              <w:t>裁量幅度</w:t>
            </w:r>
          </w:p>
        </w:tc>
      </w:tr>
      <w:tr>
        <w:trPr>
          <w:trHeight w:val="607" w:hRule="atLeast"/>
        </w:trPr>
        <w:tc>
          <w:tcPr>
            <w:tcW w:w="1384" w:type="dxa"/>
            <w:vAlign w:val="top"/>
          </w:tcPr>
          <w:p>
            <w:pPr>
              <w:pStyle w:val="TableText"/>
              <w:ind w:left="438"/>
              <w:spacing w:before="270" w:line="221" w:lineRule="auto"/>
              <w:rPr>
                <w:sz w:val="25"/>
                <w:szCs w:val="25"/>
              </w:rPr>
            </w:pPr>
            <w:r>
              <w:rPr>
                <w:sz w:val="25"/>
                <w:szCs w:val="25"/>
                <w:b/>
                <w:bCs/>
                <w:spacing w:val="-10"/>
              </w:rPr>
              <w:t>一般</w:t>
            </w:r>
          </w:p>
        </w:tc>
        <w:tc>
          <w:tcPr>
            <w:tcW w:w="8673" w:type="dxa"/>
            <w:vAlign w:val="top"/>
          </w:tcPr>
          <w:p>
            <w:pPr>
              <w:pStyle w:val="TableText"/>
              <w:ind w:left="91"/>
              <w:spacing w:before="180" w:line="218" w:lineRule="auto"/>
              <w:rPr>
                <w:sz w:val="25"/>
                <w:szCs w:val="25"/>
              </w:rPr>
            </w:pPr>
            <w:r>
              <w:rPr>
                <w:sz w:val="25"/>
                <w:szCs w:val="25"/>
                <w:spacing w:val="1"/>
              </w:rPr>
              <w:t>未履行职业健康检查信息报告义务的</w:t>
            </w:r>
          </w:p>
        </w:tc>
        <w:tc>
          <w:tcPr>
            <w:tcW w:w="3192" w:type="dxa"/>
            <w:vAlign w:val="top"/>
          </w:tcPr>
          <w:p>
            <w:pPr>
              <w:pStyle w:val="TableText"/>
              <w:ind w:left="117"/>
              <w:spacing w:before="180" w:line="218" w:lineRule="auto"/>
              <w:rPr>
                <w:sz w:val="25"/>
                <w:szCs w:val="25"/>
              </w:rPr>
            </w:pPr>
            <w:r>
              <w:rPr>
                <w:sz w:val="25"/>
                <w:szCs w:val="25"/>
                <w:spacing w:val="1"/>
              </w:rPr>
              <w:t>给予警告，责令限期改正</w:t>
            </w:r>
          </w:p>
        </w:tc>
      </w:tr>
      <w:tr>
        <w:trPr>
          <w:trHeight w:val="607" w:hRule="atLeast"/>
        </w:trPr>
        <w:tc>
          <w:tcPr>
            <w:tcW w:w="1384" w:type="dxa"/>
            <w:vAlign w:val="top"/>
          </w:tcPr>
          <w:p>
            <w:pPr>
              <w:pStyle w:val="TableText"/>
              <w:ind w:left="438"/>
              <w:spacing w:before="285" w:line="221" w:lineRule="auto"/>
              <w:rPr>
                <w:sz w:val="25"/>
                <w:szCs w:val="25"/>
              </w:rPr>
            </w:pPr>
            <w:r>
              <w:rPr>
                <w:sz w:val="25"/>
                <w:szCs w:val="25"/>
                <w:b/>
                <w:bCs/>
                <w:spacing w:val="-6"/>
              </w:rPr>
              <w:t>较重</w:t>
            </w:r>
          </w:p>
        </w:tc>
        <w:tc>
          <w:tcPr>
            <w:tcW w:w="8673" w:type="dxa"/>
            <w:vAlign w:val="top"/>
          </w:tcPr>
          <w:p>
            <w:pPr>
              <w:pStyle w:val="TableText"/>
              <w:ind w:left="91"/>
              <w:spacing w:before="183" w:line="218" w:lineRule="auto"/>
              <w:rPr>
                <w:sz w:val="25"/>
                <w:szCs w:val="25"/>
              </w:rPr>
            </w:pPr>
            <w:r>
              <w:rPr>
                <w:sz w:val="25"/>
                <w:szCs w:val="25"/>
              </w:rPr>
              <w:t>未履行职业健康检查信息报告义务，经责令限期改正，逾期不改的</w:t>
            </w:r>
          </w:p>
        </w:tc>
        <w:tc>
          <w:tcPr>
            <w:tcW w:w="3192" w:type="dxa"/>
            <w:vAlign w:val="top"/>
          </w:tcPr>
          <w:p>
            <w:pPr>
              <w:pStyle w:val="TableText"/>
              <w:ind w:left="117"/>
              <w:spacing w:before="186" w:line="220" w:lineRule="auto"/>
              <w:rPr>
                <w:sz w:val="25"/>
                <w:szCs w:val="25"/>
              </w:rPr>
            </w:pPr>
            <w:r>
              <w:rPr>
                <w:sz w:val="25"/>
                <w:szCs w:val="25"/>
                <w:spacing w:val="1"/>
              </w:rPr>
              <w:t>处二万元以下罚款</w:t>
            </w:r>
          </w:p>
        </w:tc>
      </w:tr>
      <w:tr>
        <w:trPr>
          <w:trHeight w:val="682" w:hRule="atLeast"/>
        </w:trPr>
        <w:tc>
          <w:tcPr>
            <w:tcW w:w="1384" w:type="dxa"/>
            <w:vAlign w:val="top"/>
          </w:tcPr>
          <w:p>
            <w:pPr>
              <w:pStyle w:val="TableText"/>
              <w:ind w:left="438"/>
              <w:spacing w:before="315" w:line="220" w:lineRule="auto"/>
              <w:rPr>
                <w:sz w:val="25"/>
                <w:szCs w:val="25"/>
              </w:rPr>
            </w:pPr>
            <w:r>
              <w:rPr>
                <w:sz w:val="25"/>
                <w:szCs w:val="25"/>
                <w:b/>
                <w:bCs/>
                <w:spacing w:val="-6"/>
              </w:rPr>
              <w:t>严重</w:t>
            </w:r>
          </w:p>
        </w:tc>
        <w:tc>
          <w:tcPr>
            <w:tcW w:w="8673" w:type="dxa"/>
            <w:vAlign w:val="top"/>
          </w:tcPr>
          <w:p>
            <w:pPr>
              <w:pStyle w:val="TableText"/>
              <w:ind w:left="91" w:right="1"/>
              <w:spacing w:before="65" w:line="224" w:lineRule="auto"/>
              <w:rPr>
                <w:sz w:val="25"/>
                <w:szCs w:val="25"/>
              </w:rPr>
            </w:pPr>
            <w:r>
              <w:rPr>
                <w:sz w:val="25"/>
                <w:szCs w:val="25"/>
                <w:spacing w:val="-5"/>
              </w:rPr>
              <w:t>未履行职业健康检查信息报告义务，经责令限期改正，逾期不改，</w:t>
            </w:r>
            <w:r>
              <w:rPr>
                <w:sz w:val="25"/>
                <w:szCs w:val="25"/>
                <w:spacing w:val="-6"/>
              </w:rPr>
              <w:t>导致卫生行政</w:t>
            </w:r>
            <w:r>
              <w:rPr>
                <w:sz w:val="25"/>
                <w:szCs w:val="25"/>
              </w:rPr>
              <w:t xml:space="preserve"> </w:t>
            </w:r>
            <w:r>
              <w:rPr>
                <w:sz w:val="25"/>
                <w:szCs w:val="25"/>
                <w:spacing w:val="1"/>
              </w:rPr>
              <w:t>部门被上级部门通报批评的</w:t>
            </w:r>
          </w:p>
        </w:tc>
        <w:tc>
          <w:tcPr>
            <w:tcW w:w="3192" w:type="dxa"/>
            <w:vAlign w:val="top"/>
          </w:tcPr>
          <w:p>
            <w:pPr>
              <w:pStyle w:val="TableText"/>
              <w:ind w:left="117"/>
              <w:spacing w:before="229" w:line="220" w:lineRule="auto"/>
              <w:rPr>
                <w:sz w:val="25"/>
                <w:szCs w:val="25"/>
              </w:rPr>
            </w:pPr>
            <w:r>
              <w:rPr>
                <w:sz w:val="25"/>
                <w:szCs w:val="25"/>
              </w:rPr>
              <w:t>处二万以上三万元以下罚款</w:t>
            </w:r>
          </w:p>
        </w:tc>
      </w:tr>
    </w:tbl>
    <w:p>
      <w:pPr>
        <w:pStyle w:val="BodyText"/>
        <w:rPr/>
      </w:pPr>
      <w:r/>
    </w:p>
    <w:p>
      <w:pPr>
        <w:sectPr>
          <w:footerReference w:type="default" r:id="rId544"/>
          <w:pgSz w:w="16830" w:h="11900"/>
          <w:pgMar w:top="1011" w:right="1474" w:bottom="1137" w:left="1425" w:header="0" w:footer="804" w:gutter="0"/>
        </w:sectPr>
        <w:rPr/>
      </w:pP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679"/>
        <w:spacing w:before="98" w:line="220" w:lineRule="auto"/>
        <w:rPr>
          <w:rFonts w:ascii="FangSong" w:hAnsi="FangSong" w:eastAsia="FangSong" w:cs="FangSong"/>
          <w:sz w:val="30"/>
          <w:szCs w:val="30"/>
        </w:rPr>
      </w:pPr>
      <w:bookmarkStart w:name="bookmark1175" w:id="551"/>
      <w:bookmarkEnd w:id="551"/>
      <w:r>
        <w:rPr>
          <w:rFonts w:ascii="FangSong" w:hAnsi="FangSong" w:eastAsia="FangSong" w:cs="FangSong"/>
          <w:sz w:val="30"/>
          <w:szCs w:val="30"/>
          <w:b/>
          <w:bCs/>
          <w:spacing w:val="22"/>
        </w:rPr>
        <w:t>第五百一十五条未按照相关职业健康监护技术规范规定开展工作的</w:t>
      </w:r>
    </w:p>
    <w:p>
      <w:pPr>
        <w:ind w:left="675"/>
        <w:spacing w:before="100" w:line="222" w:lineRule="auto"/>
        <w:rPr>
          <w:rFonts w:ascii="FangSong" w:hAnsi="FangSong" w:eastAsia="FangSong" w:cs="FangSong"/>
          <w:sz w:val="30"/>
          <w:szCs w:val="30"/>
        </w:rPr>
      </w:pPr>
      <w:r>
        <w:rPr>
          <w:rFonts w:ascii="FangSong" w:hAnsi="FangSong" w:eastAsia="FangSong" w:cs="FangSong"/>
          <w:sz w:val="30"/>
          <w:szCs w:val="30"/>
        </w:rPr>
        <w:t>法律依据：</w:t>
      </w:r>
    </w:p>
    <w:p>
      <w:pPr>
        <w:ind w:left="45" w:firstLine="610"/>
        <w:spacing w:before="64" w:line="277" w:lineRule="auto"/>
        <w:rPr>
          <w:rFonts w:ascii="FangSong" w:hAnsi="FangSong" w:eastAsia="FangSong" w:cs="FangSong"/>
          <w:sz w:val="30"/>
          <w:szCs w:val="30"/>
        </w:rPr>
      </w:pPr>
      <w:r>
        <w:rPr>
          <w:rFonts w:ascii="FangSong" w:hAnsi="FangSong" w:eastAsia="FangSong" w:cs="FangSong"/>
          <w:sz w:val="30"/>
          <w:szCs w:val="30"/>
          <w:spacing w:val="23"/>
        </w:rPr>
        <w:t>《职业健康检查管理办法》第二十七条第(四)项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职业健康检查机构有下列行为之一的，由县</w:t>
      </w:r>
      <w:r>
        <w:rPr>
          <w:rFonts w:ascii="FangSong" w:hAnsi="FangSong" w:eastAsia="FangSong" w:cs="FangSong"/>
          <w:sz w:val="30"/>
          <w:szCs w:val="30"/>
        </w:rPr>
        <w:t xml:space="preserve"> </w:t>
      </w:r>
      <w:r>
        <w:rPr>
          <w:rFonts w:ascii="FangSong" w:hAnsi="FangSong" w:eastAsia="FangSong" w:cs="FangSong"/>
          <w:sz w:val="30"/>
          <w:szCs w:val="30"/>
          <w:spacing w:val="18"/>
        </w:rPr>
        <w:t>级以上地方卫生健康主管部门给予警告，责令限期</w:t>
      </w:r>
      <w:r>
        <w:rPr>
          <w:rFonts w:ascii="FangSong" w:hAnsi="FangSong" w:eastAsia="FangSong" w:cs="FangSong"/>
          <w:sz w:val="30"/>
          <w:szCs w:val="30"/>
          <w:spacing w:val="17"/>
        </w:rPr>
        <w:t>改正；逾期不改的，处以三万元以下罚款：</w:t>
      </w:r>
    </w:p>
    <w:p>
      <w:pPr>
        <w:ind w:left="815"/>
        <w:spacing w:line="220" w:lineRule="auto"/>
        <w:rPr>
          <w:rFonts w:ascii="FangSong" w:hAnsi="FangSong" w:eastAsia="FangSong" w:cs="FangSong"/>
          <w:sz w:val="30"/>
          <w:szCs w:val="30"/>
        </w:rPr>
      </w:pPr>
      <w:r>
        <w:rPr>
          <w:rFonts w:ascii="FangSong" w:hAnsi="FangSong" w:eastAsia="FangSong" w:cs="FangSong"/>
          <w:sz w:val="30"/>
          <w:szCs w:val="30"/>
          <w:spacing w:val="22"/>
        </w:rPr>
        <w:t>(四)未按照相关职业健康监护技术规范规定开展工作的；</w:t>
      </w:r>
    </w:p>
    <w:p>
      <w:pPr>
        <w:ind w:left="6439"/>
        <w:spacing w:before="214"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9613"/>
        <w:gridCol w:w="2803"/>
      </w:tblGrid>
      <w:tr>
        <w:trPr>
          <w:trHeight w:val="583" w:hRule="atLeast"/>
        </w:trPr>
        <w:tc>
          <w:tcPr>
            <w:tcW w:w="1434" w:type="dxa"/>
            <w:vAlign w:val="top"/>
          </w:tcPr>
          <w:p>
            <w:pPr>
              <w:pStyle w:val="TableText"/>
              <w:ind w:left="128"/>
              <w:spacing w:before="17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9613" w:type="dxa"/>
            <w:vAlign w:val="top"/>
          </w:tcPr>
          <w:p>
            <w:pPr>
              <w:pStyle w:val="TableText"/>
              <w:ind w:left="4234"/>
              <w:spacing w:before="172" w:line="220" w:lineRule="auto"/>
              <w:rPr/>
            </w:pPr>
            <w:r>
              <w:rPr>
                <w:b/>
                <w:bCs/>
                <w:spacing w:val="-11"/>
              </w:rPr>
              <w:t>情</w:t>
            </w:r>
            <w:r>
              <w:rPr>
                <w:spacing w:val="-37"/>
              </w:rPr>
              <w:t xml:space="preserve"> </w:t>
            </w:r>
            <w:r>
              <w:rPr>
                <w:b/>
                <w:bCs/>
                <w:spacing w:val="-11"/>
              </w:rPr>
              <w:t>节</w:t>
            </w:r>
            <w:r>
              <w:rPr>
                <w:spacing w:val="-36"/>
              </w:rPr>
              <w:t xml:space="preserve"> </w:t>
            </w:r>
            <w:r>
              <w:rPr>
                <w:b/>
                <w:bCs/>
                <w:spacing w:val="-11"/>
              </w:rPr>
              <w:t>后</w:t>
            </w:r>
            <w:r>
              <w:rPr>
                <w:spacing w:val="-33"/>
              </w:rPr>
              <w:t xml:space="preserve"> </w:t>
            </w:r>
            <w:r>
              <w:rPr>
                <w:b/>
                <w:bCs/>
                <w:spacing w:val="-11"/>
              </w:rPr>
              <w:t>果</w:t>
            </w:r>
          </w:p>
        </w:tc>
        <w:tc>
          <w:tcPr>
            <w:tcW w:w="2803" w:type="dxa"/>
            <w:vAlign w:val="top"/>
          </w:tcPr>
          <w:p>
            <w:pPr>
              <w:pStyle w:val="TableText"/>
              <w:ind w:left="821"/>
              <w:spacing w:before="16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78" w:hRule="atLeast"/>
        </w:trPr>
        <w:tc>
          <w:tcPr>
            <w:tcW w:w="1434" w:type="dxa"/>
            <w:vAlign w:val="top"/>
          </w:tcPr>
          <w:p>
            <w:pPr>
              <w:pStyle w:val="TableText"/>
              <w:ind w:left="468"/>
              <w:spacing w:before="308" w:line="219" w:lineRule="auto"/>
              <w:rPr/>
            </w:pPr>
            <w:r>
              <w:rPr>
                <w:b/>
                <w:bCs/>
                <w:spacing w:val="-6"/>
              </w:rPr>
              <w:t>轻微</w:t>
            </w:r>
          </w:p>
        </w:tc>
        <w:tc>
          <w:tcPr>
            <w:tcW w:w="9613" w:type="dxa"/>
            <w:vAlign w:val="top"/>
          </w:tcPr>
          <w:p>
            <w:pPr>
              <w:pStyle w:val="TableText"/>
              <w:ind w:left="111"/>
              <w:spacing w:before="221" w:line="219" w:lineRule="auto"/>
              <w:rPr/>
            </w:pPr>
            <w:r>
              <w:rPr/>
              <w:t>未按照相关职业健康监护技术规范规定开展工作的</w:t>
            </w:r>
          </w:p>
        </w:tc>
        <w:tc>
          <w:tcPr>
            <w:tcW w:w="2803" w:type="dxa"/>
            <w:vAlign w:val="top"/>
          </w:tcPr>
          <w:p>
            <w:pPr>
              <w:pStyle w:val="TableText"/>
              <w:ind w:left="78"/>
              <w:spacing w:before="219" w:line="218" w:lineRule="auto"/>
              <w:rPr/>
            </w:pPr>
            <w:r>
              <w:rPr>
                <w:spacing w:val="1"/>
              </w:rPr>
              <w:t>给予警告，责令限期改正</w:t>
            </w:r>
          </w:p>
        </w:tc>
      </w:tr>
      <w:tr>
        <w:trPr>
          <w:trHeight w:val="668" w:hRule="atLeast"/>
        </w:trPr>
        <w:tc>
          <w:tcPr>
            <w:tcW w:w="1434" w:type="dxa"/>
            <w:vAlign w:val="top"/>
          </w:tcPr>
          <w:p>
            <w:pPr>
              <w:pStyle w:val="TableText"/>
              <w:ind w:left="468"/>
              <w:spacing w:before="311" w:line="221" w:lineRule="auto"/>
              <w:rPr/>
            </w:pPr>
            <w:r>
              <w:rPr>
                <w:b/>
                <w:bCs/>
                <w:spacing w:val="-10"/>
              </w:rPr>
              <w:t>一般</w:t>
            </w:r>
          </w:p>
        </w:tc>
        <w:tc>
          <w:tcPr>
            <w:tcW w:w="9613" w:type="dxa"/>
            <w:vAlign w:val="top"/>
          </w:tcPr>
          <w:p>
            <w:pPr>
              <w:pStyle w:val="TableText"/>
              <w:ind w:left="110" w:right="120" w:hanging="9"/>
              <w:spacing w:before="41" w:line="237" w:lineRule="auto"/>
              <w:rPr/>
            </w:pPr>
            <w:r>
              <w:rPr>
                <w:spacing w:val="1"/>
              </w:rPr>
              <w:t>未按照相关职业健康监护技术规范规定开展工</w:t>
            </w:r>
            <w:r>
              <w:rPr/>
              <w:t>作，经责令限期改正，逾期不改，仍存在以 </w:t>
            </w:r>
            <w:r>
              <w:rPr>
                <w:spacing w:val="1"/>
              </w:rPr>
              <w:t>上违法情形，涉及劳动者50人以下的</w:t>
            </w:r>
          </w:p>
        </w:tc>
        <w:tc>
          <w:tcPr>
            <w:tcW w:w="2803" w:type="dxa"/>
            <w:vAlign w:val="top"/>
          </w:tcPr>
          <w:p>
            <w:pPr>
              <w:pStyle w:val="TableText"/>
              <w:ind w:left="118"/>
              <w:spacing w:before="224" w:line="220" w:lineRule="auto"/>
              <w:rPr/>
            </w:pPr>
            <w:r>
              <w:rPr>
                <w:spacing w:val="1"/>
              </w:rPr>
              <w:t>处一万元以下罚款</w:t>
            </w:r>
          </w:p>
        </w:tc>
      </w:tr>
      <w:tr>
        <w:trPr>
          <w:trHeight w:val="678" w:hRule="atLeast"/>
        </w:trPr>
        <w:tc>
          <w:tcPr>
            <w:tcW w:w="1434" w:type="dxa"/>
            <w:vAlign w:val="top"/>
          </w:tcPr>
          <w:p>
            <w:pPr>
              <w:pStyle w:val="TableText"/>
              <w:ind w:left="468"/>
              <w:spacing w:before="305" w:line="221" w:lineRule="auto"/>
              <w:rPr/>
            </w:pPr>
            <w:r>
              <w:rPr>
                <w:b/>
                <w:bCs/>
                <w:spacing w:val="-5"/>
              </w:rPr>
              <w:t>较重</w:t>
            </w:r>
          </w:p>
        </w:tc>
        <w:tc>
          <w:tcPr>
            <w:tcW w:w="9613" w:type="dxa"/>
            <w:vAlign w:val="top"/>
          </w:tcPr>
          <w:p>
            <w:pPr>
              <w:pStyle w:val="TableText"/>
              <w:ind w:left="110" w:right="120" w:hanging="9"/>
              <w:spacing w:before="75" w:line="228" w:lineRule="auto"/>
              <w:rPr/>
            </w:pPr>
            <w:r>
              <w:rPr>
                <w:spacing w:val="1"/>
              </w:rPr>
              <w:t>未按照相关职业健康监护技术规范规定开展工</w:t>
            </w:r>
            <w:r>
              <w:rPr/>
              <w:t>作，经责令限期改正，逾期不改，仍存在以 </w:t>
            </w:r>
            <w:r>
              <w:rPr/>
              <w:t>上违法情形，涉及劳动者51-100人的</w:t>
            </w:r>
          </w:p>
        </w:tc>
        <w:tc>
          <w:tcPr>
            <w:tcW w:w="2803" w:type="dxa"/>
            <w:vAlign w:val="top"/>
          </w:tcPr>
          <w:p>
            <w:pPr>
              <w:pStyle w:val="TableText"/>
              <w:ind w:left="138" w:right="173" w:firstLine="59"/>
              <w:spacing w:before="77" w:line="227" w:lineRule="auto"/>
              <w:rPr/>
            </w:pPr>
            <w:r>
              <w:rPr>
                <w:spacing w:val="2"/>
              </w:rPr>
              <w:t>处一万元以上两万元以</w:t>
            </w:r>
            <w:r>
              <w:rPr/>
              <w:t xml:space="preserve"> </w:t>
            </w:r>
            <w:r>
              <w:rPr>
                <w:spacing w:val="3"/>
              </w:rPr>
              <w:t>下罚款</w:t>
            </w:r>
          </w:p>
        </w:tc>
      </w:tr>
      <w:tr>
        <w:trPr>
          <w:trHeight w:val="692" w:hRule="atLeast"/>
        </w:trPr>
        <w:tc>
          <w:tcPr>
            <w:tcW w:w="1434" w:type="dxa"/>
            <w:vAlign w:val="top"/>
          </w:tcPr>
          <w:p>
            <w:pPr>
              <w:pStyle w:val="TableText"/>
              <w:ind w:left="468"/>
              <w:spacing w:before="315" w:line="220" w:lineRule="auto"/>
              <w:rPr/>
            </w:pPr>
            <w:r>
              <w:rPr>
                <w:b/>
                <w:bCs/>
                <w:spacing w:val="-6"/>
              </w:rPr>
              <w:t>严重</w:t>
            </w:r>
          </w:p>
        </w:tc>
        <w:tc>
          <w:tcPr>
            <w:tcW w:w="9613" w:type="dxa"/>
            <w:vAlign w:val="top"/>
          </w:tcPr>
          <w:p>
            <w:pPr>
              <w:pStyle w:val="TableText"/>
              <w:ind w:left="111" w:right="118"/>
              <w:spacing w:before="58"/>
              <w:rPr/>
            </w:pPr>
            <w:r>
              <w:rPr/>
              <w:t>未按照相关职业健康监护技术规范规定开展工作的，经责令限期改正，逾期不改，仍存在</w:t>
            </w:r>
            <w:r>
              <w:rPr>
                <w:spacing w:val="12"/>
              </w:rPr>
              <w:t xml:space="preserve"> </w:t>
            </w:r>
            <w:r>
              <w:rPr/>
              <w:t>以上违法情形，涉及劳动者101人以上或给劳动者健康造成不良后果的</w:t>
            </w:r>
          </w:p>
        </w:tc>
        <w:tc>
          <w:tcPr>
            <w:tcW w:w="2803" w:type="dxa"/>
            <w:vAlign w:val="top"/>
          </w:tcPr>
          <w:p>
            <w:pPr>
              <w:pStyle w:val="TableText"/>
              <w:ind w:left="118" w:right="173" w:firstLine="79"/>
              <w:spacing w:before="68" w:line="236" w:lineRule="auto"/>
              <w:rPr/>
            </w:pPr>
            <w:r>
              <w:rPr>
                <w:spacing w:val="2"/>
              </w:rPr>
              <w:t>处两万元以上三万元以</w:t>
            </w:r>
            <w:r>
              <w:rPr/>
              <w:t xml:space="preserve"> </w:t>
            </w:r>
            <w:r>
              <w:rPr>
                <w:spacing w:val="3"/>
              </w:rPr>
              <w:t>下罚款</w:t>
            </w:r>
          </w:p>
        </w:tc>
      </w:tr>
    </w:tbl>
    <w:p>
      <w:pPr>
        <w:pStyle w:val="BodyText"/>
        <w:spacing w:line="417" w:lineRule="auto"/>
        <w:rPr/>
      </w:pPr>
      <w:r/>
    </w:p>
    <w:p>
      <w:pPr>
        <w:ind w:left="67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第五百一十六条职业健康检查机构违反《职业健康检查管理办法》其</w:t>
      </w:r>
      <w:r>
        <w:rPr>
          <w:rFonts w:ascii="FangSong" w:hAnsi="FangSong" w:eastAsia="FangSong" w:cs="FangSong"/>
          <w:sz w:val="30"/>
          <w:szCs w:val="30"/>
          <w:b/>
          <w:bCs/>
          <w:spacing w:val="21"/>
        </w:rPr>
        <w:t>他有关规定的</w:t>
      </w:r>
    </w:p>
    <w:p>
      <w:pPr>
        <w:ind w:left="675"/>
        <w:spacing w:before="91" w:line="222" w:lineRule="auto"/>
        <w:rPr>
          <w:rFonts w:ascii="FangSong" w:hAnsi="FangSong" w:eastAsia="FangSong" w:cs="FangSong"/>
          <w:sz w:val="30"/>
          <w:szCs w:val="30"/>
        </w:rPr>
      </w:pPr>
      <w:r>
        <w:rPr>
          <w:rFonts w:ascii="FangSong" w:hAnsi="FangSong" w:eastAsia="FangSong" w:cs="FangSong"/>
          <w:sz w:val="30"/>
          <w:szCs w:val="30"/>
        </w:rPr>
        <w:t>法律依据：</w:t>
      </w:r>
    </w:p>
    <w:p>
      <w:pPr>
        <w:spacing w:line="222" w:lineRule="auto"/>
        <w:sectPr>
          <w:footerReference w:type="default" r:id="rId545"/>
          <w:pgSz w:w="16830" w:h="11900"/>
          <w:pgMar w:top="1011" w:right="1470" w:bottom="1108" w:left="1414" w:header="0" w:footer="775" w:gutter="0"/>
        </w:sectPr>
        <w:rPr>
          <w:rFonts w:ascii="FangSong" w:hAnsi="FangSong" w:eastAsia="FangSong" w:cs="FangSong"/>
          <w:sz w:val="30"/>
          <w:szCs w:val="30"/>
        </w:rPr>
      </w:pPr>
    </w:p>
    <w:p>
      <w:pPr>
        <w:pStyle w:val="BodyText"/>
        <w:spacing w:line="252" w:lineRule="auto"/>
        <w:rPr/>
      </w:pPr>
      <w:r/>
    </w:p>
    <w:p>
      <w:pPr>
        <w:pStyle w:val="BodyText"/>
        <w:spacing w:line="253" w:lineRule="auto"/>
        <w:rPr/>
      </w:pPr>
      <w:r/>
    </w:p>
    <w:p>
      <w:pPr>
        <w:pStyle w:val="BodyText"/>
        <w:spacing w:line="253" w:lineRule="auto"/>
        <w:rPr/>
      </w:pPr>
      <w:r/>
    </w:p>
    <w:p>
      <w:pPr>
        <w:ind w:left="5" w:right="15" w:firstLine="614"/>
        <w:spacing w:before="101" w:line="257" w:lineRule="auto"/>
        <w:rPr>
          <w:rFonts w:ascii="FangSong" w:hAnsi="FangSong" w:eastAsia="FangSong" w:cs="FangSong"/>
          <w:sz w:val="31"/>
          <w:szCs w:val="31"/>
        </w:rPr>
      </w:pPr>
      <w:bookmarkStart w:name="bookmark1176" w:id="552"/>
      <w:bookmarkEnd w:id="552"/>
      <w:r>
        <w:rPr>
          <w:rFonts w:ascii="FangSong" w:hAnsi="FangSong" w:eastAsia="FangSong" w:cs="FangSong"/>
          <w:sz w:val="31"/>
          <w:szCs w:val="31"/>
          <w:spacing w:val="14"/>
        </w:rPr>
        <w:t>《职业健康检查管理办法》第二十七条第(五)项</w:t>
      </w:r>
      <w:r>
        <w:rPr>
          <w:rFonts w:ascii="FangSong" w:hAnsi="FangSong" w:eastAsia="FangSong" w:cs="FangSong"/>
          <w:sz w:val="31"/>
          <w:szCs w:val="31"/>
          <w:spacing w:val="14"/>
        </w:rPr>
        <w:t xml:space="preserve">  </w:t>
      </w:r>
      <w:r>
        <w:rPr>
          <w:rFonts w:ascii="FangSong" w:hAnsi="FangSong" w:eastAsia="FangSong" w:cs="FangSong"/>
          <w:sz w:val="31"/>
          <w:szCs w:val="31"/>
          <w:spacing w:val="14"/>
        </w:rPr>
        <w:t>职业健康检查机构有下列行为之一的，由县</w:t>
      </w:r>
      <w:r>
        <w:rPr>
          <w:rFonts w:ascii="FangSong" w:hAnsi="FangSong" w:eastAsia="FangSong" w:cs="FangSong"/>
          <w:sz w:val="31"/>
          <w:szCs w:val="31"/>
          <w:spacing w:val="2"/>
        </w:rPr>
        <w:t xml:space="preserve"> </w:t>
      </w:r>
      <w:r>
        <w:rPr>
          <w:rFonts w:ascii="FangSong" w:hAnsi="FangSong" w:eastAsia="FangSong" w:cs="FangSong"/>
          <w:sz w:val="31"/>
          <w:szCs w:val="31"/>
          <w:spacing w:val="8"/>
        </w:rPr>
        <w:t>级以上地方卫生健康主管部门给予警告，责令限期改正；逾</w:t>
      </w:r>
      <w:r>
        <w:rPr>
          <w:rFonts w:ascii="FangSong" w:hAnsi="FangSong" w:eastAsia="FangSong" w:cs="FangSong"/>
          <w:sz w:val="31"/>
          <w:szCs w:val="31"/>
          <w:spacing w:val="7"/>
        </w:rPr>
        <w:t>期不改的，处以三万元以下罚款：</w:t>
      </w:r>
    </w:p>
    <w:p>
      <w:pPr>
        <w:ind w:left="774"/>
        <w:spacing w:before="1" w:line="221" w:lineRule="auto"/>
        <w:rPr>
          <w:rFonts w:ascii="FangSong" w:hAnsi="FangSong" w:eastAsia="FangSong" w:cs="FangSong"/>
          <w:sz w:val="31"/>
          <w:szCs w:val="31"/>
        </w:rPr>
      </w:pPr>
      <w:r>
        <w:rPr>
          <w:rFonts w:ascii="FangSong" w:hAnsi="FangSong" w:eastAsia="FangSong" w:cs="FangSong"/>
          <w:sz w:val="31"/>
          <w:szCs w:val="31"/>
          <w:spacing w:val="15"/>
        </w:rPr>
        <w:t>(五)违反本办法其他有关规定的。</w:t>
      </w:r>
    </w:p>
    <w:p>
      <w:pPr>
        <w:ind w:left="6419"/>
        <w:spacing w:before="267"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6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94"/>
        <w:gridCol w:w="9343"/>
        <w:gridCol w:w="2912"/>
      </w:tblGrid>
      <w:tr>
        <w:trPr>
          <w:trHeight w:val="543" w:hRule="atLeast"/>
        </w:trPr>
        <w:tc>
          <w:tcPr>
            <w:tcW w:w="1394" w:type="dxa"/>
            <w:vAlign w:val="top"/>
          </w:tcPr>
          <w:p>
            <w:pPr>
              <w:pStyle w:val="TableText"/>
              <w:ind w:left="108"/>
              <w:spacing w:before="15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9343" w:type="dxa"/>
            <w:vAlign w:val="top"/>
          </w:tcPr>
          <w:p>
            <w:pPr>
              <w:pStyle w:val="TableText"/>
              <w:ind w:left="4104"/>
              <w:spacing w:before="152" w:line="220" w:lineRule="auto"/>
              <w:rPr/>
            </w:pPr>
            <w:r>
              <w:rPr>
                <w:b/>
                <w:bCs/>
                <w:spacing w:val="-5"/>
              </w:rPr>
              <w:t>情节后果</w:t>
            </w:r>
          </w:p>
        </w:tc>
        <w:tc>
          <w:tcPr>
            <w:tcW w:w="2912" w:type="dxa"/>
            <w:vAlign w:val="top"/>
          </w:tcPr>
          <w:p>
            <w:pPr>
              <w:pStyle w:val="TableText"/>
              <w:ind w:left="871"/>
              <w:spacing w:before="14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18" w:hRule="atLeast"/>
        </w:trPr>
        <w:tc>
          <w:tcPr>
            <w:tcW w:w="1394" w:type="dxa"/>
            <w:vAlign w:val="top"/>
          </w:tcPr>
          <w:p>
            <w:pPr>
              <w:pStyle w:val="TableText"/>
              <w:ind w:left="448"/>
              <w:spacing w:before="288" w:line="219" w:lineRule="auto"/>
              <w:rPr/>
            </w:pPr>
            <w:r>
              <w:rPr>
                <w:b/>
                <w:bCs/>
                <w:spacing w:val="-6"/>
              </w:rPr>
              <w:t>轻微</w:t>
            </w:r>
          </w:p>
        </w:tc>
        <w:tc>
          <w:tcPr>
            <w:tcW w:w="9343" w:type="dxa"/>
            <w:vAlign w:val="top"/>
          </w:tcPr>
          <w:p>
            <w:pPr>
              <w:pStyle w:val="TableText"/>
              <w:ind w:left="110"/>
              <w:spacing w:before="190" w:line="219" w:lineRule="auto"/>
              <w:rPr/>
            </w:pPr>
            <w:r>
              <w:rPr/>
              <w:t>职业健康检查机构违反《职业健康检查管理办法》其他有关规定的</w:t>
            </w:r>
          </w:p>
        </w:tc>
        <w:tc>
          <w:tcPr>
            <w:tcW w:w="2912" w:type="dxa"/>
            <w:vAlign w:val="top"/>
          </w:tcPr>
          <w:p>
            <w:pPr>
              <w:pStyle w:val="TableText"/>
              <w:ind w:left="127"/>
              <w:spacing w:before="189" w:line="218" w:lineRule="auto"/>
              <w:rPr/>
            </w:pPr>
            <w:r>
              <w:rPr>
                <w:spacing w:val="1"/>
              </w:rPr>
              <w:t>给予警告，责令限期改正</w:t>
            </w:r>
          </w:p>
        </w:tc>
      </w:tr>
      <w:tr>
        <w:trPr>
          <w:trHeight w:val="678" w:hRule="atLeast"/>
        </w:trPr>
        <w:tc>
          <w:tcPr>
            <w:tcW w:w="1394" w:type="dxa"/>
            <w:vAlign w:val="top"/>
          </w:tcPr>
          <w:p>
            <w:pPr>
              <w:spacing w:line="242" w:lineRule="auto"/>
              <w:rPr>
                <w:rFonts w:ascii="Arial"/>
                <w:sz w:val="21"/>
              </w:rPr>
            </w:pPr>
            <w:r/>
          </w:p>
          <w:p>
            <w:pPr>
              <w:pStyle w:val="TableText"/>
              <w:ind w:left="448"/>
              <w:spacing w:before="78" w:line="221" w:lineRule="auto"/>
              <w:rPr/>
            </w:pPr>
            <w:r>
              <w:rPr>
                <w:b/>
                <w:bCs/>
                <w:spacing w:val="-10"/>
              </w:rPr>
              <w:t>一般</w:t>
            </w:r>
          </w:p>
        </w:tc>
        <w:tc>
          <w:tcPr>
            <w:tcW w:w="9343" w:type="dxa"/>
            <w:vAlign w:val="top"/>
          </w:tcPr>
          <w:p>
            <w:pPr>
              <w:pStyle w:val="TableText"/>
              <w:ind w:left="110" w:right="102"/>
              <w:spacing w:before="62" w:line="233" w:lineRule="auto"/>
              <w:rPr/>
            </w:pPr>
            <w:r>
              <w:rPr/>
              <w:t>职业健康检查机构违反《职业健康检查管理办法》其他有关规定的，经责令限期改</w:t>
            </w:r>
            <w:r>
              <w:rPr>
                <w:spacing w:val="-1"/>
              </w:rPr>
              <w:t>正，</w:t>
            </w:r>
            <w:r>
              <w:rPr/>
              <w:t xml:space="preserve"> </w:t>
            </w:r>
            <w:r>
              <w:rPr/>
              <w:t>逾期不改，未对劳动者健康或健康权益造成损害，未产生社会影响的</w:t>
            </w:r>
          </w:p>
        </w:tc>
        <w:tc>
          <w:tcPr>
            <w:tcW w:w="2912" w:type="dxa"/>
            <w:vAlign w:val="top"/>
          </w:tcPr>
          <w:p>
            <w:pPr>
              <w:pStyle w:val="TableText"/>
              <w:ind w:left="127"/>
              <w:spacing w:before="224" w:line="220" w:lineRule="auto"/>
              <w:rPr/>
            </w:pPr>
            <w:r>
              <w:rPr>
                <w:spacing w:val="1"/>
              </w:rPr>
              <w:t>处一万元以下罚款</w:t>
            </w:r>
          </w:p>
        </w:tc>
      </w:tr>
      <w:tr>
        <w:trPr>
          <w:trHeight w:val="678" w:hRule="atLeast"/>
        </w:trPr>
        <w:tc>
          <w:tcPr>
            <w:tcW w:w="1394" w:type="dxa"/>
            <w:vAlign w:val="top"/>
          </w:tcPr>
          <w:p>
            <w:pPr>
              <w:pStyle w:val="TableText"/>
              <w:ind w:left="448"/>
              <w:spacing w:before="315" w:line="221" w:lineRule="auto"/>
              <w:rPr/>
            </w:pPr>
            <w:r>
              <w:rPr>
                <w:b/>
                <w:bCs/>
                <w:spacing w:val="-5"/>
              </w:rPr>
              <w:t>较重</w:t>
            </w:r>
          </w:p>
        </w:tc>
        <w:tc>
          <w:tcPr>
            <w:tcW w:w="9343" w:type="dxa"/>
            <w:vAlign w:val="top"/>
          </w:tcPr>
          <w:p>
            <w:pPr>
              <w:pStyle w:val="TableText"/>
              <w:ind w:left="110" w:right="102"/>
              <w:spacing w:before="75" w:line="228" w:lineRule="auto"/>
              <w:rPr/>
            </w:pPr>
            <w:r>
              <w:rPr/>
              <w:t>职业健康检查机构违反《职业健康检查管理办法》其他有关规定的，经责令限期改</w:t>
            </w:r>
            <w:r>
              <w:rPr>
                <w:spacing w:val="-1"/>
              </w:rPr>
              <w:t>正，</w:t>
            </w:r>
            <w:r>
              <w:rPr/>
              <w:t xml:space="preserve"> </w:t>
            </w:r>
            <w:r>
              <w:rPr/>
              <w:t>逾期不改，对劳动者健康或健康权益造成轻微损害，产生社会影响的</w:t>
            </w:r>
          </w:p>
        </w:tc>
        <w:tc>
          <w:tcPr>
            <w:tcW w:w="2912" w:type="dxa"/>
            <w:vAlign w:val="top"/>
          </w:tcPr>
          <w:p>
            <w:pPr>
              <w:pStyle w:val="TableText"/>
              <w:ind w:left="127"/>
              <w:spacing w:before="106" w:line="193" w:lineRule="auto"/>
              <w:rPr/>
            </w:pPr>
            <w:r>
              <w:rPr>
                <w:spacing w:val="1"/>
              </w:rPr>
              <w:t>处一万元以上两万元以下</w:t>
            </w:r>
          </w:p>
          <w:p>
            <w:pPr>
              <w:pStyle w:val="TableText"/>
              <w:ind w:left="138"/>
              <w:spacing w:before="1" w:line="220" w:lineRule="auto"/>
              <w:rPr/>
            </w:pPr>
            <w:r>
              <w:rPr>
                <w:color w:val="504050"/>
                <w:spacing w:val="5"/>
              </w:rPr>
              <w:t>罚款</w:t>
            </w:r>
          </w:p>
        </w:tc>
      </w:tr>
      <w:tr>
        <w:trPr>
          <w:trHeight w:val="683" w:hRule="atLeast"/>
        </w:trPr>
        <w:tc>
          <w:tcPr>
            <w:tcW w:w="1394" w:type="dxa"/>
            <w:vAlign w:val="top"/>
          </w:tcPr>
          <w:p>
            <w:pPr>
              <w:spacing w:line="245" w:lineRule="auto"/>
              <w:rPr>
                <w:rFonts w:ascii="Arial"/>
                <w:sz w:val="21"/>
              </w:rPr>
            </w:pPr>
            <w:r/>
          </w:p>
          <w:p>
            <w:pPr>
              <w:pStyle w:val="TableText"/>
              <w:ind w:left="448"/>
              <w:spacing w:before="78" w:line="220" w:lineRule="auto"/>
              <w:rPr/>
            </w:pPr>
            <w:r>
              <w:rPr>
                <w:b/>
                <w:bCs/>
                <w:spacing w:val="-6"/>
              </w:rPr>
              <w:t>严重</w:t>
            </w:r>
          </w:p>
        </w:tc>
        <w:tc>
          <w:tcPr>
            <w:tcW w:w="9343" w:type="dxa"/>
            <w:vAlign w:val="top"/>
          </w:tcPr>
          <w:p>
            <w:pPr>
              <w:pStyle w:val="TableText"/>
              <w:ind w:left="110" w:right="102"/>
              <w:spacing w:before="67" w:line="233" w:lineRule="auto"/>
              <w:rPr/>
            </w:pPr>
            <w:r>
              <w:rPr/>
              <w:t>职业健康检查机构违反《职业健康检查管理办法》其他有关规定的，经责令限期改</w:t>
            </w:r>
            <w:r>
              <w:rPr>
                <w:spacing w:val="-1"/>
              </w:rPr>
              <w:t>正，</w:t>
            </w:r>
            <w:r>
              <w:rPr/>
              <w:t xml:space="preserve"> </w:t>
            </w:r>
            <w:r>
              <w:rPr/>
              <w:t>逾期不改，对劳动者健康或健康权益造成严重损害，产生恶劣社会影响的</w:t>
            </w:r>
          </w:p>
        </w:tc>
        <w:tc>
          <w:tcPr>
            <w:tcW w:w="2912" w:type="dxa"/>
            <w:vAlign w:val="top"/>
          </w:tcPr>
          <w:p>
            <w:pPr>
              <w:pStyle w:val="TableText"/>
              <w:ind w:left="137" w:right="118" w:hanging="10"/>
              <w:spacing w:before="97" w:line="215" w:lineRule="auto"/>
              <w:rPr/>
            </w:pPr>
            <w:r>
              <w:rPr>
                <w:spacing w:val="1"/>
              </w:rPr>
              <w:t>处两万元以上三万元以下</w:t>
            </w:r>
            <w:r>
              <w:rPr>
                <w:spacing w:val="3"/>
              </w:rPr>
              <w:t xml:space="preserve"> </w:t>
            </w:r>
            <w:r>
              <w:rPr>
                <w:spacing w:val="5"/>
              </w:rPr>
              <w:t>罚款</w:t>
            </w:r>
          </w:p>
        </w:tc>
      </w:tr>
    </w:tbl>
    <w:p>
      <w:pPr>
        <w:pStyle w:val="BodyText"/>
        <w:spacing w:line="418" w:lineRule="auto"/>
        <w:rPr/>
      </w:pPr>
      <w:r/>
    </w:p>
    <w:p>
      <w:pPr>
        <w:ind w:left="9" w:right="36" w:firstLine="649"/>
        <w:spacing w:before="100" w:line="276" w:lineRule="auto"/>
        <w:rPr>
          <w:rFonts w:ascii="KaiTi" w:hAnsi="KaiTi" w:eastAsia="KaiTi" w:cs="KaiTi"/>
          <w:sz w:val="31"/>
          <w:szCs w:val="31"/>
        </w:rPr>
      </w:pPr>
      <w:r>
        <w:rPr>
          <w:rFonts w:ascii="KaiTi" w:hAnsi="KaiTi" w:eastAsia="KaiTi" w:cs="KaiTi"/>
          <w:sz w:val="31"/>
          <w:szCs w:val="31"/>
          <w:b/>
          <w:bCs/>
          <w:spacing w:val="10"/>
        </w:rPr>
        <w:t>第五百一十七条职业健康检查机构未按规定参加实验室比对或者职业健康检查质量考核工作，</w:t>
      </w:r>
      <w:r>
        <w:rPr>
          <w:rFonts w:ascii="KaiTi" w:hAnsi="KaiTi" w:eastAsia="KaiTi" w:cs="KaiTi"/>
          <w:sz w:val="31"/>
          <w:szCs w:val="31"/>
          <w:spacing w:val="1"/>
        </w:rPr>
        <w:t xml:space="preserve"> </w:t>
      </w:r>
      <w:r>
        <w:rPr>
          <w:rFonts w:ascii="KaiTi" w:hAnsi="KaiTi" w:eastAsia="KaiTi" w:cs="KaiTi"/>
          <w:sz w:val="31"/>
          <w:szCs w:val="31"/>
          <w:b/>
          <w:bCs/>
          <w:spacing w:val="7"/>
        </w:rPr>
        <w:t>或者参加质量考核不合格未按要求整改仍开展职业健康检查工作的</w:t>
      </w:r>
    </w:p>
    <w:p>
      <w:pPr>
        <w:ind w:left="654"/>
        <w:spacing w:before="6"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5" w:firstLine="614"/>
        <w:spacing w:before="83" w:line="263" w:lineRule="auto"/>
        <w:jc w:val="both"/>
        <w:rPr>
          <w:rFonts w:ascii="FangSong" w:hAnsi="FangSong" w:eastAsia="FangSong" w:cs="FangSong"/>
          <w:sz w:val="31"/>
          <w:szCs w:val="31"/>
        </w:rPr>
      </w:pPr>
      <w:r>
        <w:rPr>
          <w:rFonts w:ascii="FangSong" w:hAnsi="FangSong" w:eastAsia="FangSong" w:cs="FangSong"/>
          <w:sz w:val="31"/>
          <w:szCs w:val="31"/>
          <w:spacing w:val="4"/>
        </w:rPr>
        <w:t>《职业健康检查管理办法》第二十八条</w:t>
      </w:r>
      <w:r>
        <w:rPr>
          <w:rFonts w:ascii="FangSong" w:hAnsi="FangSong" w:eastAsia="FangSong" w:cs="FangSong"/>
          <w:sz w:val="31"/>
          <w:szCs w:val="31"/>
          <w:spacing w:val="65"/>
        </w:rPr>
        <w:t xml:space="preserve">  </w:t>
      </w:r>
      <w:r>
        <w:rPr>
          <w:rFonts w:ascii="FangSong" w:hAnsi="FangSong" w:eastAsia="FangSong" w:cs="FangSong"/>
          <w:sz w:val="31"/>
          <w:szCs w:val="31"/>
          <w:spacing w:val="4"/>
        </w:rPr>
        <w:t>职业健康检查机构未按规定参加实验室比对或者职业健</w:t>
      </w:r>
      <w:r>
        <w:rPr>
          <w:rFonts w:ascii="FangSong" w:hAnsi="FangSong" w:eastAsia="FangSong" w:cs="FangSong"/>
          <w:sz w:val="31"/>
          <w:szCs w:val="31"/>
        </w:rPr>
        <w:t xml:space="preserve"> </w:t>
      </w:r>
      <w:r>
        <w:rPr>
          <w:rFonts w:ascii="FangSong" w:hAnsi="FangSong" w:eastAsia="FangSong" w:cs="FangSong"/>
          <w:sz w:val="31"/>
          <w:szCs w:val="31"/>
          <w:spacing w:val="7"/>
        </w:rPr>
        <w:t>康检查质量考核工作，或者参加质量考核不合格未按要求整改仍开展职业健康检查工作的，由</w:t>
      </w:r>
      <w:r>
        <w:rPr>
          <w:rFonts w:ascii="FangSong" w:hAnsi="FangSong" w:eastAsia="FangSong" w:cs="FangSong"/>
          <w:sz w:val="31"/>
          <w:szCs w:val="31"/>
          <w:spacing w:val="6"/>
        </w:rPr>
        <w:t>县级以</w:t>
      </w:r>
      <w:r>
        <w:rPr>
          <w:rFonts w:ascii="FangSong" w:hAnsi="FangSong" w:eastAsia="FangSong" w:cs="FangSong"/>
          <w:sz w:val="31"/>
          <w:szCs w:val="31"/>
        </w:rPr>
        <w:t xml:space="preserve"> </w:t>
      </w:r>
      <w:r>
        <w:rPr>
          <w:rFonts w:ascii="FangSong" w:hAnsi="FangSong" w:eastAsia="FangSong" w:cs="FangSong"/>
          <w:sz w:val="31"/>
          <w:szCs w:val="31"/>
          <w:spacing w:val="8"/>
        </w:rPr>
        <w:t>上地方卫生健康主管部门给予警告，责令限期改正；逾期不改的，处以三万元以下罚款。</w:t>
      </w:r>
    </w:p>
    <w:p>
      <w:pPr>
        <w:spacing w:line="263" w:lineRule="auto"/>
        <w:sectPr>
          <w:footerReference w:type="default" r:id="rId546"/>
          <w:pgSz w:w="16830" w:h="11900"/>
          <w:pgMar w:top="1011" w:right="1443" w:bottom="1107" w:left="1434" w:header="0" w:footer="774" w:gutter="0"/>
        </w:sectPr>
        <w:rPr>
          <w:rFonts w:ascii="FangSong" w:hAnsi="FangSong" w:eastAsia="FangSong" w:cs="FangSong"/>
          <w:sz w:val="31"/>
          <w:szCs w:val="31"/>
        </w:rPr>
      </w:pPr>
    </w:p>
    <w:p>
      <w:pPr>
        <w:pStyle w:val="BodyText"/>
        <w:spacing w:line="260" w:lineRule="auto"/>
        <w:rPr/>
      </w:pPr>
      <w:r/>
    </w:p>
    <w:p>
      <w:pPr>
        <w:pStyle w:val="BodyText"/>
        <w:spacing w:line="260" w:lineRule="auto"/>
        <w:rPr/>
      </w:pPr>
      <w:r/>
    </w:p>
    <w:p>
      <w:pPr>
        <w:pStyle w:val="BodyText"/>
        <w:spacing w:line="261" w:lineRule="auto"/>
        <w:rPr/>
      </w:pPr>
      <w:r/>
    </w:p>
    <w:p>
      <w:pPr>
        <w:ind w:left="6428"/>
        <w:spacing w:before="91" w:line="220" w:lineRule="auto"/>
        <w:rPr>
          <w:rFonts w:ascii="SimSun" w:hAnsi="SimSun" w:eastAsia="SimSun" w:cs="SimSun"/>
          <w:sz w:val="28"/>
          <w:szCs w:val="28"/>
        </w:rPr>
      </w:pPr>
      <w:bookmarkStart w:name="bookmark1177" w:id="553"/>
      <w:bookmarkEnd w:id="553"/>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8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9313"/>
        <w:gridCol w:w="3102"/>
      </w:tblGrid>
      <w:tr>
        <w:trPr>
          <w:trHeight w:val="544" w:hRule="atLeast"/>
        </w:trPr>
        <w:tc>
          <w:tcPr>
            <w:tcW w:w="1434" w:type="dxa"/>
            <w:vAlign w:val="top"/>
          </w:tcPr>
          <w:p>
            <w:pPr>
              <w:pStyle w:val="TableText"/>
              <w:ind w:left="208"/>
              <w:spacing w:before="152" w:line="220" w:lineRule="auto"/>
              <w:rPr>
                <w:sz w:val="25"/>
                <w:szCs w:val="25"/>
              </w:rPr>
            </w:pPr>
            <w:r>
              <w:rPr>
                <w:sz w:val="25"/>
                <w:szCs w:val="25"/>
                <w:b/>
                <w:bCs/>
                <w:spacing w:val="-5"/>
              </w:rPr>
              <w:t>违法程度</w:t>
            </w:r>
          </w:p>
        </w:tc>
        <w:tc>
          <w:tcPr>
            <w:tcW w:w="9313" w:type="dxa"/>
            <w:vAlign w:val="top"/>
          </w:tcPr>
          <w:p>
            <w:pPr>
              <w:pStyle w:val="TableText"/>
              <w:ind w:left="4154"/>
              <w:spacing w:before="152" w:line="220" w:lineRule="auto"/>
              <w:rPr>
                <w:sz w:val="25"/>
                <w:szCs w:val="25"/>
              </w:rPr>
            </w:pPr>
            <w:r>
              <w:rPr>
                <w:sz w:val="25"/>
                <w:szCs w:val="25"/>
                <w:b/>
                <w:bCs/>
                <w:spacing w:val="-5"/>
              </w:rPr>
              <w:t>情节后果</w:t>
            </w:r>
          </w:p>
        </w:tc>
        <w:tc>
          <w:tcPr>
            <w:tcW w:w="3102" w:type="dxa"/>
            <w:vAlign w:val="top"/>
          </w:tcPr>
          <w:p>
            <w:pPr>
              <w:pStyle w:val="TableText"/>
              <w:ind w:left="991"/>
              <w:spacing w:before="149" w:line="218" w:lineRule="auto"/>
              <w:rPr>
                <w:sz w:val="25"/>
                <w:szCs w:val="25"/>
              </w:rPr>
            </w:pPr>
            <w:r>
              <w:rPr>
                <w:sz w:val="25"/>
                <w:szCs w:val="25"/>
                <w:b/>
                <w:bCs/>
                <w:spacing w:val="-5"/>
              </w:rPr>
              <w:t>裁量幅度</w:t>
            </w:r>
          </w:p>
        </w:tc>
      </w:tr>
      <w:tr>
        <w:trPr>
          <w:trHeight w:val="688" w:hRule="atLeast"/>
        </w:trPr>
        <w:tc>
          <w:tcPr>
            <w:tcW w:w="1434" w:type="dxa"/>
            <w:vAlign w:val="top"/>
          </w:tcPr>
          <w:p>
            <w:pPr>
              <w:pStyle w:val="TableText"/>
              <w:ind w:left="458"/>
              <w:spacing w:before="317" w:line="219" w:lineRule="auto"/>
              <w:rPr>
                <w:sz w:val="25"/>
                <w:szCs w:val="25"/>
              </w:rPr>
            </w:pPr>
            <w:r>
              <w:rPr>
                <w:sz w:val="25"/>
                <w:szCs w:val="25"/>
                <w:b/>
                <w:bCs/>
                <w:spacing w:val="-6"/>
              </w:rPr>
              <w:t>轻微</w:t>
            </w:r>
          </w:p>
        </w:tc>
        <w:tc>
          <w:tcPr>
            <w:tcW w:w="9313" w:type="dxa"/>
            <w:vAlign w:val="top"/>
          </w:tcPr>
          <w:p>
            <w:pPr>
              <w:pStyle w:val="TableText"/>
              <w:ind w:left="99" w:hanging="89"/>
              <w:spacing w:before="71" w:line="224" w:lineRule="auto"/>
              <w:rPr>
                <w:sz w:val="25"/>
                <w:szCs w:val="25"/>
              </w:rPr>
            </w:pPr>
            <w:r>
              <w:rPr>
                <w:sz w:val="25"/>
                <w:szCs w:val="25"/>
                <w:spacing w:val="-5"/>
              </w:rPr>
              <w:t>未按规定参加实验室比对或者职业健康检查</w:t>
            </w:r>
            <w:r>
              <w:rPr>
                <w:sz w:val="25"/>
                <w:szCs w:val="25"/>
                <w:spacing w:val="-6"/>
              </w:rPr>
              <w:t>质量考核工作，或者参加质量考核不合格未</w:t>
            </w:r>
            <w:r>
              <w:rPr>
                <w:sz w:val="25"/>
                <w:szCs w:val="25"/>
              </w:rPr>
              <w:t xml:space="preserve"> </w:t>
            </w:r>
            <w:r>
              <w:rPr>
                <w:sz w:val="25"/>
                <w:szCs w:val="25"/>
              </w:rPr>
              <w:t>按要求整改仍开展职业健康检查工作的</w:t>
            </w:r>
          </w:p>
        </w:tc>
        <w:tc>
          <w:tcPr>
            <w:tcW w:w="3102" w:type="dxa"/>
            <w:vAlign w:val="top"/>
          </w:tcPr>
          <w:p>
            <w:pPr>
              <w:pStyle w:val="TableText"/>
              <w:ind w:left="138"/>
              <w:spacing w:before="219" w:line="218" w:lineRule="auto"/>
              <w:rPr>
                <w:sz w:val="25"/>
                <w:szCs w:val="25"/>
              </w:rPr>
            </w:pPr>
            <w:r>
              <w:rPr>
                <w:sz w:val="25"/>
                <w:szCs w:val="25"/>
                <w:spacing w:val="1"/>
              </w:rPr>
              <w:t>给予警告，责令限期改正</w:t>
            </w:r>
          </w:p>
        </w:tc>
      </w:tr>
      <w:tr>
        <w:trPr>
          <w:trHeight w:val="1018" w:hRule="atLeast"/>
        </w:trPr>
        <w:tc>
          <w:tcPr>
            <w:tcW w:w="1434" w:type="dxa"/>
            <w:vAlign w:val="top"/>
          </w:tcPr>
          <w:p>
            <w:pPr>
              <w:spacing w:line="397" w:lineRule="auto"/>
              <w:rPr>
                <w:rFonts w:ascii="Arial"/>
                <w:sz w:val="21"/>
              </w:rPr>
            </w:pPr>
            <w:r/>
          </w:p>
          <w:p>
            <w:pPr>
              <w:pStyle w:val="TableText"/>
              <w:ind w:left="458"/>
              <w:spacing w:before="81" w:line="221" w:lineRule="auto"/>
              <w:rPr>
                <w:sz w:val="25"/>
                <w:szCs w:val="25"/>
              </w:rPr>
            </w:pPr>
            <w:r>
              <w:rPr>
                <w:sz w:val="25"/>
                <w:szCs w:val="25"/>
                <w:b/>
                <w:bCs/>
                <w:spacing w:val="-10"/>
              </w:rPr>
              <w:t>一般</w:t>
            </w:r>
          </w:p>
        </w:tc>
        <w:tc>
          <w:tcPr>
            <w:tcW w:w="9313" w:type="dxa"/>
            <w:vAlign w:val="top"/>
          </w:tcPr>
          <w:p>
            <w:pPr>
              <w:pStyle w:val="TableText"/>
              <w:ind w:left="10"/>
              <w:spacing w:before="81" w:line="228" w:lineRule="auto"/>
              <w:jc w:val="both"/>
              <w:rPr>
                <w:sz w:val="25"/>
                <w:szCs w:val="25"/>
              </w:rPr>
            </w:pPr>
            <w:r>
              <w:rPr>
                <w:sz w:val="25"/>
                <w:szCs w:val="25"/>
                <w:spacing w:val="-5"/>
              </w:rPr>
              <w:t>未按规定参加实验室比对或者职业健康检查</w:t>
            </w:r>
            <w:r>
              <w:rPr>
                <w:sz w:val="25"/>
                <w:szCs w:val="25"/>
                <w:spacing w:val="-6"/>
              </w:rPr>
              <w:t>质量考核工作，或者参加质量考核不合格未</w:t>
            </w:r>
            <w:r>
              <w:rPr>
                <w:sz w:val="25"/>
                <w:szCs w:val="25"/>
              </w:rPr>
              <w:t xml:space="preserve"> </w:t>
            </w:r>
            <w:r>
              <w:rPr>
                <w:sz w:val="25"/>
                <w:szCs w:val="25"/>
                <w:spacing w:val="-6"/>
              </w:rPr>
              <w:t>按要求整改仍开展职业健康检查工作，经责令限期改正，逾期不改，未对劳动者健康或</w:t>
            </w:r>
            <w:r>
              <w:rPr>
                <w:sz w:val="25"/>
                <w:szCs w:val="25"/>
                <w:spacing w:val="18"/>
              </w:rPr>
              <w:t xml:space="preserve"> </w:t>
            </w:r>
            <w:r>
              <w:rPr>
                <w:sz w:val="25"/>
                <w:szCs w:val="25"/>
                <w:spacing w:val="6"/>
              </w:rPr>
              <w:t>健康权益造成损害，未产生社会影响的</w:t>
            </w:r>
          </w:p>
        </w:tc>
        <w:tc>
          <w:tcPr>
            <w:tcW w:w="3102" w:type="dxa"/>
            <w:vAlign w:val="top"/>
          </w:tcPr>
          <w:p>
            <w:pPr>
              <w:spacing w:line="310" w:lineRule="auto"/>
              <w:rPr>
                <w:rFonts w:ascii="Arial"/>
                <w:sz w:val="21"/>
              </w:rPr>
            </w:pPr>
            <w:r/>
          </w:p>
          <w:p>
            <w:pPr>
              <w:pStyle w:val="TableText"/>
              <w:ind w:left="138"/>
              <w:spacing w:before="82" w:line="220" w:lineRule="auto"/>
              <w:rPr>
                <w:sz w:val="25"/>
                <w:szCs w:val="25"/>
              </w:rPr>
            </w:pPr>
            <w:r>
              <w:rPr>
                <w:sz w:val="25"/>
                <w:szCs w:val="25"/>
                <w:spacing w:val="1"/>
              </w:rPr>
              <w:t>处一万元以下罚款</w:t>
            </w:r>
          </w:p>
        </w:tc>
      </w:tr>
      <w:tr>
        <w:trPr>
          <w:trHeight w:val="1018" w:hRule="atLeast"/>
        </w:trPr>
        <w:tc>
          <w:tcPr>
            <w:tcW w:w="1434" w:type="dxa"/>
            <w:vAlign w:val="top"/>
          </w:tcPr>
          <w:p>
            <w:pPr>
              <w:spacing w:line="391" w:lineRule="auto"/>
              <w:rPr>
                <w:rFonts w:ascii="Arial"/>
                <w:sz w:val="21"/>
              </w:rPr>
            </w:pPr>
            <w:r/>
          </w:p>
          <w:p>
            <w:pPr>
              <w:pStyle w:val="TableText"/>
              <w:ind w:left="458"/>
              <w:spacing w:before="81" w:line="221" w:lineRule="auto"/>
              <w:rPr>
                <w:sz w:val="25"/>
                <w:szCs w:val="25"/>
              </w:rPr>
            </w:pPr>
            <w:r>
              <w:rPr>
                <w:sz w:val="25"/>
                <w:szCs w:val="25"/>
                <w:b/>
                <w:bCs/>
                <w:spacing w:val="-6"/>
              </w:rPr>
              <w:t>较重</w:t>
            </w:r>
          </w:p>
        </w:tc>
        <w:tc>
          <w:tcPr>
            <w:tcW w:w="9313" w:type="dxa"/>
            <w:vAlign w:val="top"/>
          </w:tcPr>
          <w:p>
            <w:pPr>
              <w:pStyle w:val="TableText"/>
              <w:ind w:left="10"/>
              <w:spacing w:before="65" w:line="232" w:lineRule="auto"/>
              <w:jc w:val="both"/>
              <w:rPr>
                <w:sz w:val="25"/>
                <w:szCs w:val="25"/>
              </w:rPr>
            </w:pPr>
            <w:r>
              <w:rPr>
                <w:sz w:val="25"/>
                <w:szCs w:val="25"/>
                <w:spacing w:val="-5"/>
              </w:rPr>
              <w:t>未按规定参加实验室比对或者职业健康检查</w:t>
            </w:r>
            <w:r>
              <w:rPr>
                <w:sz w:val="25"/>
                <w:szCs w:val="25"/>
                <w:spacing w:val="-6"/>
              </w:rPr>
              <w:t>质量考核工作，或者参加质量考核不合格未</w:t>
            </w:r>
            <w:r>
              <w:rPr>
                <w:sz w:val="25"/>
                <w:szCs w:val="25"/>
              </w:rPr>
              <w:t xml:space="preserve"> </w:t>
            </w:r>
            <w:r>
              <w:rPr>
                <w:sz w:val="25"/>
                <w:szCs w:val="25"/>
                <w:spacing w:val="-6"/>
              </w:rPr>
              <w:t>按要求整改仍开展职业健康检查工作，经责令限期改正，逾期不改，对劳动者健康或健</w:t>
            </w:r>
            <w:r>
              <w:rPr>
                <w:sz w:val="25"/>
                <w:szCs w:val="25"/>
                <w:spacing w:val="16"/>
              </w:rPr>
              <w:t xml:space="preserve"> </w:t>
            </w:r>
            <w:r>
              <w:rPr>
                <w:sz w:val="25"/>
                <w:szCs w:val="25"/>
                <w:spacing w:val="6"/>
              </w:rPr>
              <w:t>康权益造成轻微损害，产生社会影响的</w:t>
            </w:r>
          </w:p>
        </w:tc>
        <w:tc>
          <w:tcPr>
            <w:tcW w:w="3102" w:type="dxa"/>
            <w:vAlign w:val="top"/>
          </w:tcPr>
          <w:p>
            <w:pPr>
              <w:pStyle w:val="TableText"/>
              <w:ind w:left="138"/>
              <w:spacing w:before="235" w:line="193" w:lineRule="auto"/>
              <w:rPr>
                <w:sz w:val="25"/>
                <w:szCs w:val="25"/>
              </w:rPr>
            </w:pPr>
            <w:r>
              <w:rPr>
                <w:sz w:val="25"/>
                <w:szCs w:val="25"/>
                <w:spacing w:val="1"/>
              </w:rPr>
              <w:t>处一万元以上两万元以下</w:t>
            </w:r>
          </w:p>
          <w:p>
            <w:pPr>
              <w:pStyle w:val="TableText"/>
              <w:ind w:left="138"/>
              <w:spacing w:before="1" w:line="220" w:lineRule="auto"/>
              <w:rPr>
                <w:sz w:val="25"/>
                <w:szCs w:val="25"/>
              </w:rPr>
            </w:pPr>
            <w:r>
              <w:rPr>
                <w:sz w:val="25"/>
                <w:szCs w:val="25"/>
                <w:color w:val="504040"/>
                <w:spacing w:val="5"/>
              </w:rPr>
              <w:t>罚款</w:t>
            </w:r>
          </w:p>
        </w:tc>
      </w:tr>
      <w:tr>
        <w:trPr>
          <w:trHeight w:val="1022" w:hRule="atLeast"/>
        </w:trPr>
        <w:tc>
          <w:tcPr>
            <w:tcW w:w="1434" w:type="dxa"/>
            <w:vAlign w:val="top"/>
          </w:tcPr>
          <w:p>
            <w:pPr>
              <w:spacing w:line="390" w:lineRule="auto"/>
              <w:rPr>
                <w:rFonts w:ascii="Arial"/>
                <w:sz w:val="21"/>
              </w:rPr>
            </w:pPr>
            <w:r/>
          </w:p>
          <w:p>
            <w:pPr>
              <w:pStyle w:val="TableText"/>
              <w:ind w:left="458"/>
              <w:spacing w:before="82" w:line="220" w:lineRule="auto"/>
              <w:rPr>
                <w:sz w:val="25"/>
                <w:szCs w:val="25"/>
              </w:rPr>
            </w:pPr>
            <w:r>
              <w:rPr>
                <w:sz w:val="25"/>
                <w:szCs w:val="25"/>
                <w:b/>
                <w:bCs/>
                <w:spacing w:val="-6"/>
              </w:rPr>
              <w:t>严重</w:t>
            </w:r>
          </w:p>
        </w:tc>
        <w:tc>
          <w:tcPr>
            <w:tcW w:w="9313" w:type="dxa"/>
            <w:vAlign w:val="top"/>
          </w:tcPr>
          <w:p>
            <w:pPr>
              <w:pStyle w:val="TableText"/>
              <w:ind w:left="10"/>
              <w:spacing w:before="65" w:line="233" w:lineRule="auto"/>
              <w:jc w:val="both"/>
              <w:rPr>
                <w:sz w:val="25"/>
                <w:szCs w:val="25"/>
              </w:rPr>
            </w:pPr>
            <w:r>
              <w:rPr>
                <w:sz w:val="25"/>
                <w:szCs w:val="25"/>
                <w:spacing w:val="-5"/>
              </w:rPr>
              <w:t>未按规定参加实验室比对或者职业健康检查</w:t>
            </w:r>
            <w:r>
              <w:rPr>
                <w:sz w:val="25"/>
                <w:szCs w:val="25"/>
                <w:spacing w:val="-6"/>
              </w:rPr>
              <w:t>质量考核工作，或者参加质量考核不合格未</w:t>
            </w:r>
            <w:r>
              <w:rPr>
                <w:sz w:val="25"/>
                <w:szCs w:val="25"/>
              </w:rPr>
              <w:t xml:space="preserve"> </w:t>
            </w:r>
            <w:r>
              <w:rPr>
                <w:sz w:val="25"/>
                <w:szCs w:val="25"/>
                <w:spacing w:val="-6"/>
              </w:rPr>
              <w:t>按要求整改仍开展职业健康检查工作，经责令限期改正，逾期不改，对劳动者健康或健</w:t>
            </w:r>
            <w:r>
              <w:rPr>
                <w:sz w:val="25"/>
                <w:szCs w:val="25"/>
                <w:spacing w:val="16"/>
              </w:rPr>
              <w:t xml:space="preserve"> </w:t>
            </w:r>
            <w:r>
              <w:rPr>
                <w:sz w:val="25"/>
                <w:szCs w:val="25"/>
                <w:spacing w:val="4"/>
              </w:rPr>
              <w:t>康权益造成严重损害，产生恶劣社会影响的</w:t>
            </w:r>
          </w:p>
        </w:tc>
        <w:tc>
          <w:tcPr>
            <w:tcW w:w="3102" w:type="dxa"/>
            <w:vAlign w:val="top"/>
          </w:tcPr>
          <w:p>
            <w:pPr>
              <w:pStyle w:val="TableText"/>
              <w:ind w:left="147"/>
              <w:spacing w:before="247" w:line="193" w:lineRule="auto"/>
              <w:rPr>
                <w:sz w:val="25"/>
                <w:szCs w:val="25"/>
              </w:rPr>
            </w:pPr>
            <w:r>
              <w:rPr>
                <w:sz w:val="25"/>
                <w:szCs w:val="25"/>
                <w:spacing w:val="1"/>
              </w:rPr>
              <w:t>处两万元以上三万元以下</w:t>
            </w:r>
          </w:p>
          <w:p>
            <w:pPr>
              <w:pStyle w:val="TableText"/>
              <w:ind w:left="138"/>
              <w:spacing w:before="1" w:line="220" w:lineRule="auto"/>
              <w:rPr>
                <w:sz w:val="25"/>
                <w:szCs w:val="25"/>
              </w:rPr>
            </w:pPr>
            <w:r>
              <w:rPr>
                <w:sz w:val="25"/>
                <w:szCs w:val="25"/>
                <w:color w:val="504040"/>
                <w:spacing w:val="5"/>
              </w:rPr>
              <w:t>罚款</w:t>
            </w:r>
          </w:p>
        </w:tc>
      </w:tr>
    </w:tbl>
    <w:p>
      <w:pPr>
        <w:pStyle w:val="BodyText"/>
        <w:spacing w:line="345" w:lineRule="auto"/>
        <w:rPr/>
      </w:pPr>
      <w:r/>
    </w:p>
    <w:p>
      <w:pPr>
        <w:pStyle w:val="BodyText"/>
        <w:spacing w:line="345" w:lineRule="auto"/>
        <w:rPr/>
      </w:pPr>
      <w:r/>
    </w:p>
    <w:p>
      <w:pPr>
        <w:ind w:left="799"/>
        <w:spacing w:before="101" w:line="223" w:lineRule="auto"/>
        <w:rPr>
          <w:rFonts w:ascii="KaiTi" w:hAnsi="KaiTi" w:eastAsia="KaiTi" w:cs="KaiTi"/>
          <w:sz w:val="31"/>
          <w:szCs w:val="31"/>
        </w:rPr>
      </w:pPr>
      <w:r>
        <w:rPr>
          <w:rFonts w:ascii="KaiTi" w:hAnsi="KaiTi" w:eastAsia="KaiTi" w:cs="KaiTi"/>
          <w:sz w:val="31"/>
          <w:szCs w:val="31"/>
          <w:b/>
          <w:bCs/>
          <w:spacing w:val="10"/>
        </w:rPr>
        <w:t>(</w:t>
      </w:r>
      <w:r>
        <w:rPr>
          <w:rFonts w:ascii="KaiTi" w:hAnsi="KaiTi" w:eastAsia="KaiTi" w:cs="KaiTi"/>
          <w:sz w:val="31"/>
          <w:szCs w:val="31"/>
          <w:spacing w:val="-26"/>
        </w:rPr>
        <w:t xml:space="preserve"> </w:t>
      </w:r>
      <w:r>
        <w:rPr>
          <w:rFonts w:ascii="KaiTi" w:hAnsi="KaiTi" w:eastAsia="KaiTi" w:cs="KaiTi"/>
          <w:sz w:val="31"/>
          <w:szCs w:val="31"/>
          <w:b/>
          <w:bCs/>
          <w:spacing w:val="10"/>
        </w:rPr>
        <w:t>六)《职业病诊断与鉴定管理办法》</w:t>
      </w:r>
    </w:p>
    <w:p>
      <w:pPr>
        <w:ind w:left="669"/>
        <w:spacing w:before="307" w:line="220" w:lineRule="auto"/>
        <w:rPr>
          <w:rFonts w:ascii="FangSong" w:hAnsi="FangSong" w:eastAsia="FangSong" w:cs="FangSong"/>
          <w:sz w:val="31"/>
          <w:szCs w:val="31"/>
        </w:rPr>
      </w:pPr>
      <w:r>
        <w:rPr>
          <w:rFonts w:ascii="FangSong" w:hAnsi="FangSong" w:eastAsia="FangSong" w:cs="FangSong"/>
          <w:sz w:val="31"/>
          <w:szCs w:val="31"/>
          <w:b/>
          <w:bCs/>
          <w:spacing w:val="14"/>
        </w:rPr>
        <w:t>第五百一十八条未按规定备案开展职业病诊断的</w:t>
      </w:r>
    </w:p>
    <w:p>
      <w:pPr>
        <w:ind w:left="664"/>
        <w:spacing w:before="107"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44" w:firstLine="595"/>
        <w:spacing w:before="84" w:line="273" w:lineRule="auto"/>
        <w:rPr>
          <w:rFonts w:ascii="FangSong" w:hAnsi="FangSong" w:eastAsia="FangSong" w:cs="FangSong"/>
          <w:sz w:val="31"/>
          <w:szCs w:val="31"/>
        </w:rPr>
      </w:pPr>
      <w:r>
        <w:rPr>
          <w:rFonts w:ascii="FangSong" w:hAnsi="FangSong" w:eastAsia="FangSong" w:cs="FangSong"/>
          <w:sz w:val="31"/>
          <w:szCs w:val="31"/>
          <w:spacing w:val="6"/>
        </w:rPr>
        <w:t>《职业病诊断与鉴定管理办法》第五十四条</w:t>
      </w:r>
      <w:r>
        <w:rPr>
          <w:rFonts w:ascii="FangSong" w:hAnsi="FangSong" w:eastAsia="FangSong" w:cs="FangSong"/>
          <w:sz w:val="31"/>
          <w:szCs w:val="31"/>
          <w:spacing w:val="6"/>
        </w:rPr>
        <w:t xml:space="preserve">   </w:t>
      </w:r>
      <w:r>
        <w:rPr>
          <w:rFonts w:ascii="FangSong" w:hAnsi="FangSong" w:eastAsia="FangSong" w:cs="FangSong"/>
          <w:sz w:val="31"/>
          <w:szCs w:val="31"/>
          <w:spacing w:val="6"/>
        </w:rPr>
        <w:t>医疗卫生机构未按照规定</w:t>
      </w:r>
      <w:r>
        <w:rPr>
          <w:rFonts w:ascii="FangSong" w:hAnsi="FangSong" w:eastAsia="FangSong" w:cs="FangSong"/>
          <w:sz w:val="31"/>
          <w:szCs w:val="31"/>
          <w:spacing w:val="5"/>
        </w:rPr>
        <w:t>备案开展职业病诊断的，</w:t>
      </w:r>
      <w:r>
        <w:rPr>
          <w:rFonts w:ascii="FangSong" w:hAnsi="FangSong" w:eastAsia="FangSong" w:cs="FangSong"/>
          <w:sz w:val="31"/>
          <w:szCs w:val="31"/>
        </w:rPr>
        <w:t xml:space="preserve"> </w:t>
      </w:r>
      <w:r>
        <w:rPr>
          <w:rFonts w:ascii="FangSong" w:hAnsi="FangSong" w:eastAsia="FangSong" w:cs="FangSong"/>
          <w:sz w:val="31"/>
          <w:szCs w:val="31"/>
          <w:spacing w:val="7"/>
        </w:rPr>
        <w:t>由县级以上地方卫生健康主管部门责令改正，给予警告，可以并处三万元以下罚款。</w:t>
      </w:r>
    </w:p>
    <w:p>
      <w:pPr>
        <w:spacing w:line="273" w:lineRule="auto"/>
        <w:sectPr>
          <w:footerReference w:type="default" r:id="rId547"/>
          <w:pgSz w:w="16830" w:h="11900"/>
          <w:pgMar w:top="1011" w:right="1335" w:bottom="1118" w:left="1425" w:header="0" w:footer="785" w:gutter="0"/>
        </w:sectPr>
        <w:rPr>
          <w:rFonts w:ascii="FangSong" w:hAnsi="FangSong" w:eastAsia="FangSong" w:cs="FangSong"/>
          <w:sz w:val="31"/>
          <w:szCs w:val="31"/>
        </w:rPr>
      </w:pPr>
    </w:p>
    <w:p>
      <w:pPr>
        <w:pStyle w:val="BodyText"/>
        <w:spacing w:line="262" w:lineRule="auto"/>
        <w:rPr/>
      </w:pPr>
      <w:r/>
    </w:p>
    <w:p>
      <w:pPr>
        <w:pStyle w:val="BodyText"/>
        <w:spacing w:line="262" w:lineRule="auto"/>
        <w:rPr/>
      </w:pPr>
      <w:r/>
    </w:p>
    <w:p>
      <w:pPr>
        <w:pStyle w:val="BodyText"/>
        <w:spacing w:line="263" w:lineRule="auto"/>
        <w:rPr/>
      </w:pPr>
      <w:r/>
    </w:p>
    <w:p>
      <w:pPr>
        <w:ind w:left="6439"/>
        <w:spacing w:before="94" w:line="208" w:lineRule="auto"/>
        <w:rPr>
          <w:rFonts w:ascii="SimSun" w:hAnsi="SimSun" w:eastAsia="SimSun" w:cs="SimSun"/>
          <w:sz w:val="29"/>
          <w:szCs w:val="29"/>
        </w:rPr>
      </w:pPr>
      <w:bookmarkStart w:name="bookmark1178" w:id="554"/>
      <w:bookmarkEnd w:id="554"/>
      <w:r>
        <w:rPr>
          <w:rFonts w:ascii="SimSun" w:hAnsi="SimSun" w:eastAsia="SimSun" w:cs="SimSun"/>
          <w:sz w:val="29"/>
          <w:szCs w:val="29"/>
          <w:b/>
          <w:bCs/>
          <w:spacing w:val="-6"/>
        </w:rPr>
        <w:t>裁量标准</w:t>
      </w:r>
    </w:p>
    <w:tbl>
      <w:tblPr>
        <w:tblStyle w:val="TableNormal"/>
        <w:tblW w:w="135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504"/>
        <w:gridCol w:w="4662"/>
      </w:tblGrid>
      <w:tr>
        <w:trPr>
          <w:trHeight w:val="513" w:hRule="atLeast"/>
        </w:trPr>
        <w:tc>
          <w:tcPr>
            <w:tcW w:w="1424" w:type="dxa"/>
            <w:vAlign w:val="top"/>
          </w:tcPr>
          <w:p>
            <w:pPr>
              <w:pStyle w:val="TableText"/>
              <w:ind w:left="208"/>
              <w:spacing w:before="132" w:line="220" w:lineRule="auto"/>
              <w:rPr>
                <w:sz w:val="25"/>
                <w:szCs w:val="25"/>
              </w:rPr>
            </w:pPr>
            <w:r>
              <w:rPr>
                <w:sz w:val="25"/>
                <w:szCs w:val="25"/>
                <w:b/>
                <w:bCs/>
                <w:spacing w:val="-5"/>
              </w:rPr>
              <w:t>违法程度</w:t>
            </w:r>
          </w:p>
        </w:tc>
        <w:tc>
          <w:tcPr>
            <w:tcW w:w="7504" w:type="dxa"/>
            <w:vAlign w:val="top"/>
          </w:tcPr>
          <w:p>
            <w:pPr>
              <w:pStyle w:val="TableText"/>
              <w:ind w:left="3184"/>
              <w:spacing w:before="132" w:line="220" w:lineRule="auto"/>
              <w:rPr>
                <w:sz w:val="25"/>
                <w:szCs w:val="25"/>
              </w:rPr>
            </w:pPr>
            <w:r>
              <w:rPr>
                <w:sz w:val="25"/>
                <w:szCs w:val="25"/>
                <w:b/>
                <w:bCs/>
                <w:spacing w:val="-5"/>
              </w:rPr>
              <w:t>情节后果</w:t>
            </w:r>
          </w:p>
        </w:tc>
        <w:tc>
          <w:tcPr>
            <w:tcW w:w="4662" w:type="dxa"/>
            <w:vAlign w:val="top"/>
          </w:tcPr>
          <w:p>
            <w:pPr>
              <w:pStyle w:val="TableText"/>
              <w:ind w:left="1790"/>
              <w:spacing w:before="129" w:line="218" w:lineRule="auto"/>
              <w:rPr>
                <w:sz w:val="25"/>
                <w:szCs w:val="25"/>
              </w:rPr>
            </w:pPr>
            <w:r>
              <w:rPr>
                <w:sz w:val="25"/>
                <w:szCs w:val="25"/>
                <w:b/>
                <w:bCs/>
                <w:spacing w:val="-5"/>
              </w:rPr>
              <w:t>裁量幅度</w:t>
            </w:r>
          </w:p>
        </w:tc>
      </w:tr>
      <w:tr>
        <w:trPr>
          <w:trHeight w:val="678" w:hRule="atLeast"/>
        </w:trPr>
        <w:tc>
          <w:tcPr>
            <w:tcW w:w="1424" w:type="dxa"/>
            <w:vAlign w:val="top"/>
          </w:tcPr>
          <w:p>
            <w:pPr>
              <w:pStyle w:val="TableText"/>
              <w:ind w:left="458"/>
              <w:spacing w:before="320" w:line="221" w:lineRule="auto"/>
              <w:rPr>
                <w:sz w:val="25"/>
                <w:szCs w:val="25"/>
              </w:rPr>
            </w:pPr>
            <w:r>
              <w:rPr>
                <w:sz w:val="25"/>
                <w:szCs w:val="25"/>
                <w:b/>
                <w:bCs/>
                <w:spacing w:val="-10"/>
              </w:rPr>
              <w:t>一般</w:t>
            </w:r>
          </w:p>
        </w:tc>
        <w:tc>
          <w:tcPr>
            <w:tcW w:w="7504" w:type="dxa"/>
            <w:vAlign w:val="top"/>
          </w:tcPr>
          <w:p>
            <w:pPr>
              <w:pStyle w:val="TableText"/>
              <w:spacing w:before="222" w:line="219" w:lineRule="auto"/>
              <w:jc w:val="right"/>
              <w:rPr>
                <w:sz w:val="25"/>
                <w:szCs w:val="25"/>
              </w:rPr>
            </w:pPr>
            <w:r>
              <w:rPr>
                <w:sz w:val="25"/>
                <w:szCs w:val="25"/>
                <w:spacing w:val="-4"/>
              </w:rPr>
              <w:t>未按规定备案开展职业病诊断，没有违法所得或违法所得无法认定的</w:t>
            </w:r>
          </w:p>
        </w:tc>
        <w:tc>
          <w:tcPr>
            <w:tcW w:w="4662" w:type="dxa"/>
            <w:vAlign w:val="top"/>
          </w:tcPr>
          <w:p>
            <w:pPr>
              <w:pStyle w:val="TableText"/>
              <w:ind w:left="127" w:firstLine="9"/>
              <w:spacing w:before="80" w:line="217" w:lineRule="auto"/>
              <w:rPr>
                <w:sz w:val="25"/>
                <w:szCs w:val="25"/>
              </w:rPr>
            </w:pPr>
            <w:r>
              <w:rPr>
                <w:sz w:val="25"/>
                <w:szCs w:val="25"/>
              </w:rPr>
              <w:t>责令改正，给予警告，可以并处一万元以</w:t>
            </w:r>
            <w:r>
              <w:rPr>
                <w:sz w:val="25"/>
                <w:szCs w:val="25"/>
                <w:spacing w:val="13"/>
              </w:rPr>
              <w:t xml:space="preserve"> </w:t>
            </w:r>
            <w:r>
              <w:rPr>
                <w:sz w:val="25"/>
                <w:szCs w:val="25"/>
                <w:spacing w:val="3"/>
              </w:rPr>
              <w:t>下罚款</w:t>
            </w:r>
          </w:p>
        </w:tc>
      </w:tr>
      <w:tr>
        <w:trPr>
          <w:trHeight w:val="667" w:hRule="atLeast"/>
        </w:trPr>
        <w:tc>
          <w:tcPr>
            <w:tcW w:w="1424" w:type="dxa"/>
            <w:vAlign w:val="top"/>
          </w:tcPr>
          <w:p>
            <w:pPr>
              <w:pStyle w:val="TableText"/>
              <w:ind w:left="458"/>
              <w:spacing w:before="314" w:line="221" w:lineRule="auto"/>
              <w:rPr>
                <w:sz w:val="25"/>
                <w:szCs w:val="25"/>
              </w:rPr>
            </w:pPr>
            <w:r>
              <w:rPr>
                <w:sz w:val="25"/>
                <w:szCs w:val="25"/>
                <w:b/>
                <w:bCs/>
                <w:spacing w:val="-6"/>
              </w:rPr>
              <w:t>较重</w:t>
            </w:r>
          </w:p>
        </w:tc>
        <w:tc>
          <w:tcPr>
            <w:tcW w:w="7504" w:type="dxa"/>
            <w:vAlign w:val="top"/>
          </w:tcPr>
          <w:p>
            <w:pPr>
              <w:pStyle w:val="TableText"/>
              <w:ind w:left="111"/>
              <w:spacing w:before="214" w:line="219" w:lineRule="auto"/>
              <w:rPr>
                <w:sz w:val="25"/>
                <w:szCs w:val="25"/>
              </w:rPr>
            </w:pPr>
            <w:r>
              <w:rPr>
                <w:sz w:val="25"/>
                <w:szCs w:val="25"/>
                <w:spacing w:val="1"/>
              </w:rPr>
              <w:t>未按规定备案开展职业病诊断，违法所得不足1万元的</w:t>
            </w:r>
          </w:p>
        </w:tc>
        <w:tc>
          <w:tcPr>
            <w:tcW w:w="4662" w:type="dxa"/>
            <w:vAlign w:val="top"/>
          </w:tcPr>
          <w:p>
            <w:pPr>
              <w:pStyle w:val="TableText"/>
              <w:ind w:left="136" w:hanging="9"/>
              <w:spacing w:before="82" w:line="212" w:lineRule="auto"/>
              <w:rPr>
                <w:sz w:val="25"/>
                <w:szCs w:val="25"/>
              </w:rPr>
            </w:pPr>
            <w:r>
              <w:rPr>
                <w:sz w:val="25"/>
                <w:szCs w:val="25"/>
                <w:spacing w:val="-12"/>
              </w:rPr>
              <w:t>责令改正，给予警告，并处一万元以上二万</w:t>
            </w:r>
            <w:r>
              <w:rPr>
                <w:sz w:val="25"/>
                <w:szCs w:val="25"/>
                <w:spacing w:val="1"/>
              </w:rPr>
              <w:t xml:space="preserve"> </w:t>
            </w:r>
            <w:r>
              <w:rPr>
                <w:sz w:val="25"/>
                <w:szCs w:val="25"/>
                <w:spacing w:val="1"/>
              </w:rPr>
              <w:t>元以下罚款</w:t>
            </w:r>
          </w:p>
        </w:tc>
      </w:tr>
      <w:tr>
        <w:trPr>
          <w:trHeight w:val="682" w:hRule="atLeast"/>
        </w:trPr>
        <w:tc>
          <w:tcPr>
            <w:tcW w:w="1424" w:type="dxa"/>
            <w:vAlign w:val="top"/>
          </w:tcPr>
          <w:p>
            <w:pPr>
              <w:spacing w:line="251" w:lineRule="auto"/>
              <w:rPr>
                <w:rFonts w:ascii="Arial"/>
                <w:sz w:val="21"/>
              </w:rPr>
            </w:pPr>
            <w:r/>
          </w:p>
          <w:p>
            <w:pPr>
              <w:pStyle w:val="TableText"/>
              <w:ind w:left="458"/>
              <w:spacing w:before="82" w:line="220" w:lineRule="auto"/>
              <w:rPr>
                <w:sz w:val="25"/>
                <w:szCs w:val="25"/>
              </w:rPr>
            </w:pPr>
            <w:r>
              <w:rPr>
                <w:sz w:val="25"/>
                <w:szCs w:val="25"/>
                <w:b/>
                <w:bCs/>
                <w:spacing w:val="-6"/>
              </w:rPr>
              <w:t>严重</w:t>
            </w:r>
          </w:p>
        </w:tc>
        <w:tc>
          <w:tcPr>
            <w:tcW w:w="7504" w:type="dxa"/>
            <w:vAlign w:val="top"/>
          </w:tcPr>
          <w:p>
            <w:pPr>
              <w:pStyle w:val="TableText"/>
              <w:ind w:left="111"/>
              <w:spacing w:before="267" w:line="219" w:lineRule="auto"/>
              <w:rPr>
                <w:sz w:val="25"/>
                <w:szCs w:val="25"/>
              </w:rPr>
            </w:pPr>
            <w:r>
              <w:rPr>
                <w:sz w:val="25"/>
                <w:szCs w:val="25"/>
                <w:spacing w:val="1"/>
              </w:rPr>
              <w:t>未按规定备案开展职业病诊断，违法所得1万元以上的</w:t>
            </w:r>
          </w:p>
        </w:tc>
        <w:tc>
          <w:tcPr>
            <w:tcW w:w="4662" w:type="dxa"/>
            <w:vAlign w:val="top"/>
          </w:tcPr>
          <w:p>
            <w:pPr>
              <w:pStyle w:val="TableText"/>
              <w:ind w:left="127"/>
              <w:spacing w:before="95" w:line="213" w:lineRule="auto"/>
              <w:rPr>
                <w:sz w:val="25"/>
                <w:szCs w:val="25"/>
              </w:rPr>
            </w:pPr>
            <w:r>
              <w:rPr>
                <w:sz w:val="25"/>
                <w:szCs w:val="25"/>
                <w:spacing w:val="-12"/>
              </w:rPr>
              <w:t>责令改正，给予警告，并处二万元以上三万</w:t>
            </w:r>
            <w:r>
              <w:rPr>
                <w:sz w:val="25"/>
                <w:szCs w:val="25"/>
                <w:spacing w:val="1"/>
              </w:rPr>
              <w:t xml:space="preserve"> </w:t>
            </w:r>
            <w:r>
              <w:rPr>
                <w:sz w:val="25"/>
                <w:szCs w:val="25"/>
                <w:spacing w:val="1"/>
              </w:rPr>
              <w:t>元以下罚款</w:t>
            </w:r>
          </w:p>
        </w:tc>
      </w:tr>
    </w:tbl>
    <w:p>
      <w:pPr>
        <w:pStyle w:val="BodyText"/>
        <w:spacing w:line="243" w:lineRule="auto"/>
        <w:rPr/>
      </w:pPr>
      <w:r/>
    </w:p>
    <w:p>
      <w:pPr>
        <w:pStyle w:val="BodyText"/>
        <w:spacing w:line="243" w:lineRule="auto"/>
        <w:rPr/>
      </w:pPr>
      <w:r/>
    </w:p>
    <w:p>
      <w:pPr>
        <w:ind w:left="68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第五百一十九条职业病诊断机构未建立职业病诊断管理制度的</w:t>
      </w:r>
    </w:p>
    <w:p>
      <w:pPr>
        <w:ind w:left="665"/>
        <w:spacing w:before="9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45" w:firstLine="619"/>
        <w:spacing w:before="57" w:line="270" w:lineRule="auto"/>
        <w:jc w:val="both"/>
        <w:rPr>
          <w:rFonts w:ascii="FangSong" w:hAnsi="FangSong" w:eastAsia="FangSong" w:cs="FangSong"/>
          <w:sz w:val="30"/>
          <w:szCs w:val="30"/>
        </w:rPr>
      </w:pPr>
      <w:r>
        <w:rPr>
          <w:rFonts w:ascii="FangSong" w:hAnsi="FangSong" w:eastAsia="FangSong" w:cs="FangSong"/>
          <w:sz w:val="30"/>
          <w:szCs w:val="30"/>
          <w:spacing w:val="24"/>
        </w:rPr>
        <w:t>《职业病诊断与鉴定管理办法》第五十七条第</w:t>
      </w:r>
      <w:r>
        <w:rPr>
          <w:rFonts w:ascii="FangSong" w:hAnsi="FangSong" w:eastAsia="FangSong" w:cs="FangSong"/>
          <w:sz w:val="30"/>
          <w:szCs w:val="30"/>
          <w:spacing w:val="23"/>
        </w:rPr>
        <w:t>(一)项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职业病诊断机构违反《职业病诊断与鉴</w:t>
      </w:r>
      <w:r>
        <w:rPr>
          <w:rFonts w:ascii="FangSong" w:hAnsi="FangSong" w:eastAsia="FangSong" w:cs="FangSong"/>
          <w:sz w:val="30"/>
          <w:szCs w:val="30"/>
        </w:rPr>
        <w:t xml:space="preserve"> </w:t>
      </w:r>
      <w:r>
        <w:rPr>
          <w:rFonts w:ascii="FangSong" w:hAnsi="FangSong" w:eastAsia="FangSong" w:cs="FangSong"/>
          <w:sz w:val="30"/>
          <w:szCs w:val="30"/>
          <w:spacing w:val="17"/>
        </w:rPr>
        <w:t>定管理办法》规定，有下列情形之一的，由县级以上</w:t>
      </w:r>
      <w:r>
        <w:rPr>
          <w:rFonts w:ascii="FangSong" w:hAnsi="FangSong" w:eastAsia="FangSong" w:cs="FangSong"/>
          <w:sz w:val="30"/>
          <w:szCs w:val="30"/>
          <w:spacing w:val="16"/>
        </w:rPr>
        <w:t>地方卫生健康主管部门责令限期改正；逾期不改</w:t>
      </w:r>
      <w:r>
        <w:rPr>
          <w:rFonts w:ascii="FangSong" w:hAnsi="FangSong" w:eastAsia="FangSong" w:cs="FangSong"/>
          <w:sz w:val="30"/>
          <w:szCs w:val="30"/>
        </w:rPr>
        <w:t xml:space="preserve"> </w:t>
      </w:r>
      <w:r>
        <w:rPr>
          <w:rFonts w:ascii="FangSong" w:hAnsi="FangSong" w:eastAsia="FangSong" w:cs="FangSong"/>
          <w:sz w:val="30"/>
          <w:szCs w:val="30"/>
          <w:spacing w:val="16"/>
        </w:rPr>
        <w:t>的，给予警告，并可以根据情节轻重处以三</w:t>
      </w:r>
      <w:r>
        <w:rPr>
          <w:rFonts w:ascii="FangSong" w:hAnsi="FangSong" w:eastAsia="FangSong" w:cs="FangSong"/>
          <w:sz w:val="30"/>
          <w:szCs w:val="30"/>
          <w:spacing w:val="15"/>
        </w:rPr>
        <w:t>万元以下罚款：</w:t>
      </w:r>
    </w:p>
    <w:p>
      <w:pPr>
        <w:ind w:left="815"/>
        <w:spacing w:before="32" w:line="221" w:lineRule="auto"/>
        <w:rPr>
          <w:rFonts w:ascii="FangSong" w:hAnsi="FangSong" w:eastAsia="FangSong" w:cs="FangSong"/>
          <w:sz w:val="30"/>
          <w:szCs w:val="30"/>
        </w:rPr>
      </w:pPr>
      <w:r>
        <w:rPr>
          <w:rFonts w:ascii="FangSong" w:hAnsi="FangSong" w:eastAsia="FangSong" w:cs="FangSong"/>
          <w:sz w:val="30"/>
          <w:szCs w:val="30"/>
          <w:spacing w:val="25"/>
        </w:rPr>
        <w:t>(一)未建立职业病诊断管理制度；</w:t>
      </w:r>
    </w:p>
    <w:p>
      <w:pPr>
        <w:ind w:left="6439"/>
        <w:spacing w:before="21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7" w:lineRule="auto"/>
        <w:rPr>
          <w:rFonts w:ascii="Arial"/>
          <w:sz w:val="2"/>
        </w:rPr>
      </w:pPr>
      <w:r>
        <w:rPr>
          <w:rFonts w:ascii="Arial"/>
          <w:sz w:val="2"/>
        </w:rPr>
      </w:r>
    </w:p>
    <w:tbl>
      <w:tblPr>
        <w:tblStyle w:val="TableNormal"/>
        <w:tblW w:w="13839"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7734"/>
        <w:gridCol w:w="4701"/>
      </w:tblGrid>
      <w:tr>
        <w:trPr>
          <w:trHeight w:val="540" w:hRule="atLeast"/>
        </w:trPr>
        <w:tc>
          <w:tcPr>
            <w:tcW w:w="1404" w:type="dxa"/>
            <w:vAlign w:val="top"/>
          </w:tcPr>
          <w:p>
            <w:pPr>
              <w:pStyle w:val="TableText"/>
              <w:ind w:left="178"/>
              <w:spacing w:before="142" w:line="220" w:lineRule="auto"/>
              <w:rPr>
                <w:sz w:val="26"/>
                <w:szCs w:val="26"/>
              </w:rPr>
            </w:pPr>
            <w:r>
              <w:rPr>
                <w:sz w:val="26"/>
                <w:szCs w:val="26"/>
                <w:b/>
                <w:bCs/>
                <w:spacing w:val="-5"/>
              </w:rPr>
              <w:t>违法程度</w:t>
            </w:r>
          </w:p>
        </w:tc>
        <w:tc>
          <w:tcPr>
            <w:tcW w:w="7734" w:type="dxa"/>
            <w:vAlign w:val="top"/>
          </w:tcPr>
          <w:p>
            <w:pPr>
              <w:pStyle w:val="TableText"/>
              <w:ind w:left="3314"/>
              <w:spacing w:before="142" w:line="220" w:lineRule="auto"/>
              <w:rPr>
                <w:sz w:val="26"/>
                <w:szCs w:val="26"/>
              </w:rPr>
            </w:pPr>
            <w:r>
              <w:rPr>
                <w:sz w:val="26"/>
                <w:szCs w:val="26"/>
                <w:b/>
                <w:bCs/>
                <w:spacing w:val="-5"/>
              </w:rPr>
              <w:t>情节后果</w:t>
            </w:r>
          </w:p>
        </w:tc>
        <w:tc>
          <w:tcPr>
            <w:tcW w:w="4701" w:type="dxa"/>
            <w:vAlign w:val="top"/>
          </w:tcPr>
          <w:p>
            <w:pPr>
              <w:pStyle w:val="TableText"/>
              <w:ind w:left="1790"/>
              <w:spacing w:before="139" w:line="218" w:lineRule="auto"/>
              <w:rPr>
                <w:sz w:val="26"/>
                <w:szCs w:val="26"/>
              </w:rPr>
            </w:pPr>
            <w:r>
              <w:rPr>
                <w:sz w:val="26"/>
                <w:szCs w:val="26"/>
                <w:b/>
                <w:bCs/>
                <w:spacing w:val="-5"/>
              </w:rPr>
              <w:t>裁量幅度</w:t>
            </w:r>
          </w:p>
        </w:tc>
      </w:tr>
      <w:tr>
        <w:trPr>
          <w:trHeight w:val="629" w:hRule="atLeast"/>
        </w:trPr>
        <w:tc>
          <w:tcPr>
            <w:tcW w:w="1404" w:type="dxa"/>
            <w:vAlign w:val="top"/>
          </w:tcPr>
          <w:p>
            <w:pPr>
              <w:pStyle w:val="TableText"/>
              <w:ind w:left="438"/>
              <w:spacing w:before="302" w:line="219" w:lineRule="auto"/>
              <w:rPr>
                <w:sz w:val="26"/>
                <w:szCs w:val="26"/>
              </w:rPr>
            </w:pPr>
            <w:r>
              <w:rPr>
                <w:sz w:val="26"/>
                <w:szCs w:val="26"/>
                <w:b/>
                <w:bCs/>
                <w:spacing w:val="-6"/>
              </w:rPr>
              <w:t>轻微</w:t>
            </w:r>
          </w:p>
        </w:tc>
        <w:tc>
          <w:tcPr>
            <w:tcW w:w="7734" w:type="dxa"/>
            <w:vAlign w:val="top"/>
          </w:tcPr>
          <w:p>
            <w:pPr>
              <w:pStyle w:val="TableText"/>
              <w:ind w:left="134"/>
              <w:spacing w:before="190" w:line="219" w:lineRule="auto"/>
              <w:rPr>
                <w:sz w:val="26"/>
                <w:szCs w:val="26"/>
              </w:rPr>
            </w:pPr>
            <w:r>
              <w:rPr>
                <w:sz w:val="26"/>
                <w:szCs w:val="26"/>
                <w:b/>
                <w:bCs/>
                <w:spacing w:val="-4"/>
              </w:rPr>
              <w:t>职业病诊断机构未建立职业病诊断管理制度</w:t>
            </w:r>
          </w:p>
        </w:tc>
        <w:tc>
          <w:tcPr>
            <w:tcW w:w="4701" w:type="dxa"/>
            <w:vAlign w:val="top"/>
          </w:tcPr>
          <w:p>
            <w:pPr>
              <w:pStyle w:val="TableText"/>
              <w:ind w:left="110"/>
              <w:spacing w:before="190" w:line="219" w:lineRule="auto"/>
              <w:rPr>
                <w:sz w:val="26"/>
                <w:szCs w:val="26"/>
              </w:rPr>
            </w:pPr>
            <w:r>
              <w:rPr>
                <w:sz w:val="26"/>
                <w:szCs w:val="26"/>
                <w:b/>
                <w:bCs/>
                <w:spacing w:val="-2"/>
              </w:rPr>
              <w:t>责令限期改正</w:t>
            </w:r>
          </w:p>
        </w:tc>
      </w:tr>
    </w:tbl>
    <w:p>
      <w:pPr>
        <w:pStyle w:val="BodyText"/>
        <w:rPr/>
      </w:pPr>
      <w:r/>
    </w:p>
    <w:p>
      <w:pPr>
        <w:sectPr>
          <w:footerReference w:type="default" r:id="rId548"/>
          <w:pgSz w:w="16830" w:h="11900"/>
          <w:pgMar w:top="1011" w:right="1439" w:bottom="1107" w:left="1414" w:header="0" w:footer="774" w:gutter="0"/>
        </w:sectPr>
        <w:rPr/>
      </w:pPr>
    </w:p>
    <w:p>
      <w:pPr>
        <w:spacing w:before="13"/>
        <w:rPr/>
      </w:pPr>
      <w:r/>
    </w:p>
    <w:p>
      <w:pPr>
        <w:spacing w:before="13"/>
        <w:rPr/>
      </w:pPr>
      <w:r/>
    </w:p>
    <w:p>
      <w:pPr>
        <w:spacing w:before="13"/>
        <w:rPr/>
      </w:pPr>
      <w:r/>
    </w:p>
    <w:tbl>
      <w:tblPr>
        <w:tblStyle w:val="TableNormal"/>
        <w:tblW w:w="138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7714"/>
        <w:gridCol w:w="4711"/>
      </w:tblGrid>
      <w:tr>
        <w:trPr>
          <w:trHeight w:val="691" w:hRule="atLeast"/>
        </w:trPr>
        <w:tc>
          <w:tcPr>
            <w:tcW w:w="1414" w:type="dxa"/>
            <w:vAlign w:val="top"/>
          </w:tcPr>
          <w:p>
            <w:pPr>
              <w:rPr>
                <w:rFonts w:ascii="Arial"/>
                <w:sz w:val="21"/>
              </w:rPr>
            </w:pPr>
            <w:r/>
          </w:p>
          <w:p>
            <w:pPr>
              <w:pStyle w:val="TableText"/>
              <w:ind w:left="448"/>
              <w:spacing w:before="81" w:line="221" w:lineRule="auto"/>
              <w:rPr>
                <w:sz w:val="25"/>
                <w:szCs w:val="25"/>
              </w:rPr>
            </w:pPr>
            <w:bookmarkStart w:name="bookmark1179" w:id="555"/>
            <w:bookmarkEnd w:id="555"/>
            <w:r>
              <w:rPr>
                <w:sz w:val="25"/>
                <w:szCs w:val="25"/>
                <w:b/>
                <w:bCs/>
                <w:spacing w:val="-10"/>
              </w:rPr>
              <w:t>一般</w:t>
            </w:r>
          </w:p>
        </w:tc>
        <w:tc>
          <w:tcPr>
            <w:tcW w:w="7714" w:type="dxa"/>
            <w:vAlign w:val="top"/>
          </w:tcPr>
          <w:p>
            <w:pPr>
              <w:pStyle w:val="TableText"/>
              <w:ind w:left="111" w:firstLine="9"/>
              <w:spacing w:before="63" w:line="228" w:lineRule="auto"/>
              <w:rPr>
                <w:sz w:val="25"/>
                <w:szCs w:val="25"/>
              </w:rPr>
            </w:pPr>
            <w:r>
              <w:rPr>
                <w:sz w:val="25"/>
                <w:szCs w:val="25"/>
                <w:spacing w:val="-6"/>
              </w:rPr>
              <w:t>职业病诊断机构未建立职业病诊断管理制度，责令限期改正，逾期不改</w:t>
            </w:r>
            <w:r>
              <w:rPr>
                <w:sz w:val="25"/>
                <w:szCs w:val="25"/>
                <w:spacing w:val="18"/>
              </w:rPr>
              <w:t xml:space="preserve"> </w:t>
            </w:r>
            <w:r>
              <w:rPr>
                <w:sz w:val="25"/>
                <w:szCs w:val="25"/>
              </w:rPr>
              <w:t>正，未对劳动者健康或健康权益造成损害，未产生社会影响的</w:t>
            </w:r>
          </w:p>
        </w:tc>
        <w:tc>
          <w:tcPr>
            <w:tcW w:w="4711" w:type="dxa"/>
            <w:vAlign w:val="top"/>
          </w:tcPr>
          <w:p>
            <w:pPr>
              <w:pStyle w:val="TableText"/>
              <w:ind w:left="107"/>
              <w:spacing w:before="223" w:line="218" w:lineRule="auto"/>
              <w:rPr>
                <w:sz w:val="25"/>
                <w:szCs w:val="25"/>
              </w:rPr>
            </w:pPr>
            <w:r>
              <w:rPr>
                <w:sz w:val="25"/>
                <w:szCs w:val="25"/>
              </w:rPr>
              <w:t>警告，并可处一万元以下罚款</w:t>
            </w:r>
          </w:p>
        </w:tc>
      </w:tr>
      <w:tr>
        <w:trPr>
          <w:trHeight w:val="677" w:hRule="atLeast"/>
        </w:trPr>
        <w:tc>
          <w:tcPr>
            <w:tcW w:w="1414" w:type="dxa"/>
            <w:vAlign w:val="top"/>
          </w:tcPr>
          <w:p>
            <w:pPr>
              <w:pStyle w:val="TableText"/>
              <w:ind w:left="448"/>
              <w:spacing w:before="314" w:line="221" w:lineRule="auto"/>
              <w:rPr>
                <w:sz w:val="25"/>
                <w:szCs w:val="25"/>
              </w:rPr>
            </w:pPr>
            <w:r>
              <w:rPr>
                <w:sz w:val="25"/>
                <w:szCs w:val="25"/>
                <w:b/>
                <w:bCs/>
                <w:spacing w:val="-6"/>
              </w:rPr>
              <w:t>较重</w:t>
            </w:r>
          </w:p>
        </w:tc>
        <w:tc>
          <w:tcPr>
            <w:tcW w:w="7714" w:type="dxa"/>
            <w:vAlign w:val="top"/>
          </w:tcPr>
          <w:p>
            <w:pPr>
              <w:pStyle w:val="TableText"/>
              <w:ind w:left="111" w:firstLine="9"/>
              <w:spacing w:before="73" w:line="219" w:lineRule="auto"/>
              <w:rPr>
                <w:sz w:val="25"/>
                <w:szCs w:val="25"/>
              </w:rPr>
            </w:pPr>
            <w:r>
              <w:rPr>
                <w:sz w:val="25"/>
                <w:szCs w:val="25"/>
                <w:spacing w:val="-6"/>
              </w:rPr>
              <w:t>职业病诊断机构未建立职业病诊断管理制度，责令限期改正，逾期不改</w:t>
            </w:r>
            <w:r>
              <w:rPr>
                <w:sz w:val="25"/>
                <w:szCs w:val="25"/>
                <w:spacing w:val="18"/>
              </w:rPr>
              <w:t xml:space="preserve"> </w:t>
            </w:r>
            <w:r>
              <w:rPr>
                <w:sz w:val="25"/>
                <w:szCs w:val="25"/>
              </w:rPr>
              <w:t>正，对劳动者健康或健康权益造成轻微损害，产生社会影响的</w:t>
            </w:r>
          </w:p>
        </w:tc>
        <w:tc>
          <w:tcPr>
            <w:tcW w:w="4711" w:type="dxa"/>
            <w:vAlign w:val="top"/>
          </w:tcPr>
          <w:p>
            <w:pPr>
              <w:pStyle w:val="TableText"/>
              <w:ind w:left="107"/>
              <w:spacing w:before="222" w:line="218" w:lineRule="auto"/>
              <w:rPr>
                <w:sz w:val="25"/>
                <w:szCs w:val="25"/>
              </w:rPr>
            </w:pPr>
            <w:r>
              <w:rPr>
                <w:sz w:val="25"/>
                <w:szCs w:val="25"/>
              </w:rPr>
              <w:t>警告，并可处一万元以上二万元以下罚款</w:t>
            </w:r>
          </w:p>
        </w:tc>
      </w:tr>
      <w:tr>
        <w:trPr>
          <w:trHeight w:val="682" w:hRule="atLeast"/>
        </w:trPr>
        <w:tc>
          <w:tcPr>
            <w:tcW w:w="1414" w:type="dxa"/>
            <w:vAlign w:val="top"/>
          </w:tcPr>
          <w:p>
            <w:pPr>
              <w:spacing w:line="251" w:lineRule="auto"/>
              <w:rPr>
                <w:rFonts w:ascii="Arial"/>
                <w:sz w:val="21"/>
              </w:rPr>
            </w:pPr>
            <w:r/>
          </w:p>
          <w:p>
            <w:pPr>
              <w:pStyle w:val="TableText"/>
              <w:ind w:left="448"/>
              <w:spacing w:before="81" w:line="220" w:lineRule="auto"/>
              <w:rPr>
                <w:sz w:val="25"/>
                <w:szCs w:val="25"/>
              </w:rPr>
            </w:pPr>
            <w:r>
              <w:rPr>
                <w:sz w:val="25"/>
                <w:szCs w:val="25"/>
                <w:b/>
                <w:bCs/>
                <w:spacing w:val="-6"/>
              </w:rPr>
              <w:t>严重</w:t>
            </w:r>
          </w:p>
        </w:tc>
        <w:tc>
          <w:tcPr>
            <w:tcW w:w="7714" w:type="dxa"/>
            <w:vAlign w:val="top"/>
          </w:tcPr>
          <w:p>
            <w:pPr>
              <w:pStyle w:val="TableText"/>
              <w:ind w:left="111" w:firstLine="9"/>
              <w:spacing w:before="76" w:line="220" w:lineRule="auto"/>
              <w:rPr>
                <w:sz w:val="25"/>
                <w:szCs w:val="25"/>
              </w:rPr>
            </w:pPr>
            <w:r>
              <w:rPr>
                <w:sz w:val="25"/>
                <w:szCs w:val="25"/>
                <w:spacing w:val="-6"/>
              </w:rPr>
              <w:t>职业病诊断机构未建立职业病诊断管理制度，责令限期改正，逾期不改</w:t>
            </w:r>
            <w:r>
              <w:rPr>
                <w:sz w:val="25"/>
                <w:szCs w:val="25"/>
                <w:spacing w:val="18"/>
              </w:rPr>
              <w:t xml:space="preserve"> </w:t>
            </w:r>
            <w:r>
              <w:rPr>
                <w:sz w:val="25"/>
                <w:szCs w:val="25"/>
              </w:rPr>
              <w:t>正，对劳动者健康或健康权益造成严重损害，产生恶劣社会影响的</w:t>
            </w:r>
          </w:p>
        </w:tc>
        <w:tc>
          <w:tcPr>
            <w:tcW w:w="4711" w:type="dxa"/>
            <w:vAlign w:val="top"/>
          </w:tcPr>
          <w:p>
            <w:pPr>
              <w:pStyle w:val="TableText"/>
              <w:ind w:left="107"/>
              <w:spacing w:before="225" w:line="218" w:lineRule="auto"/>
              <w:rPr>
                <w:sz w:val="25"/>
                <w:szCs w:val="25"/>
              </w:rPr>
            </w:pPr>
            <w:r>
              <w:rPr>
                <w:sz w:val="25"/>
                <w:szCs w:val="25"/>
              </w:rPr>
              <w:t>警告，并处二万元以上三万元以下罚款</w:t>
            </w:r>
          </w:p>
        </w:tc>
      </w:tr>
    </w:tbl>
    <w:p>
      <w:pPr>
        <w:pStyle w:val="BodyText"/>
        <w:spacing w:line="456" w:lineRule="auto"/>
        <w:rPr/>
      </w:pPr>
      <w:r/>
    </w:p>
    <w:p>
      <w:pPr>
        <w:ind w:left="66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第五百二十条职业病诊断机构不按照规定向劳动者公开职业</w:t>
      </w:r>
      <w:r>
        <w:rPr>
          <w:rFonts w:ascii="FangSong" w:hAnsi="FangSong" w:eastAsia="FangSong" w:cs="FangSong"/>
          <w:sz w:val="30"/>
          <w:szCs w:val="30"/>
          <w:b/>
          <w:bCs/>
          <w:spacing w:val="21"/>
        </w:rPr>
        <w:t>病诊断程序的</w:t>
      </w:r>
    </w:p>
    <w:p>
      <w:pPr>
        <w:ind w:left="654"/>
        <w:spacing w:before="8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firstLine="590"/>
        <w:spacing w:before="88" w:line="270" w:lineRule="auto"/>
        <w:jc w:val="both"/>
        <w:rPr>
          <w:rFonts w:ascii="FangSong" w:hAnsi="FangSong" w:eastAsia="FangSong" w:cs="FangSong"/>
          <w:sz w:val="30"/>
          <w:szCs w:val="30"/>
        </w:rPr>
      </w:pPr>
      <w:r>
        <w:rPr>
          <w:rFonts w:ascii="FangSong" w:hAnsi="FangSong" w:eastAsia="FangSong" w:cs="FangSong"/>
          <w:sz w:val="30"/>
          <w:szCs w:val="30"/>
          <w:spacing w:val="24"/>
        </w:rPr>
        <w:t>《职业病诊断与鉴定管理办法》第五十七条第(二)项</w:t>
      </w:r>
      <w:r>
        <w:rPr>
          <w:rFonts w:ascii="FangSong" w:hAnsi="FangSong" w:eastAsia="FangSong" w:cs="FangSong"/>
          <w:sz w:val="30"/>
          <w:szCs w:val="30"/>
          <w:spacing w:val="24"/>
        </w:rPr>
        <w:t xml:space="preserve">  </w:t>
      </w:r>
      <w:r>
        <w:rPr>
          <w:rFonts w:ascii="FangSong" w:hAnsi="FangSong" w:eastAsia="FangSong" w:cs="FangSong"/>
          <w:sz w:val="30"/>
          <w:szCs w:val="30"/>
          <w:spacing w:val="24"/>
        </w:rPr>
        <w:t>职业病诊断机构违反《职业病诊断与鉴</w:t>
      </w:r>
      <w:r>
        <w:rPr>
          <w:rFonts w:ascii="FangSong" w:hAnsi="FangSong" w:eastAsia="FangSong" w:cs="FangSong"/>
          <w:sz w:val="30"/>
          <w:szCs w:val="30"/>
          <w:spacing w:val="8"/>
        </w:rPr>
        <w:t xml:space="preserve"> </w:t>
      </w:r>
      <w:r>
        <w:rPr>
          <w:rFonts w:ascii="FangSong" w:hAnsi="FangSong" w:eastAsia="FangSong" w:cs="FangSong"/>
          <w:sz w:val="30"/>
          <w:szCs w:val="30"/>
          <w:spacing w:val="17"/>
        </w:rPr>
        <w:t>定管理办法》规定，有下列情形之一的，由县级以上</w:t>
      </w:r>
      <w:r>
        <w:rPr>
          <w:rFonts w:ascii="FangSong" w:hAnsi="FangSong" w:eastAsia="FangSong" w:cs="FangSong"/>
          <w:sz w:val="30"/>
          <w:szCs w:val="30"/>
          <w:spacing w:val="16"/>
        </w:rPr>
        <w:t>地方卫生健康主管部门责令限期改正；逾期不改</w:t>
      </w:r>
      <w:r>
        <w:rPr>
          <w:rFonts w:ascii="FangSong" w:hAnsi="FangSong" w:eastAsia="FangSong" w:cs="FangSong"/>
          <w:sz w:val="30"/>
          <w:szCs w:val="30"/>
        </w:rPr>
        <w:t xml:space="preserve"> </w:t>
      </w:r>
      <w:r>
        <w:rPr>
          <w:rFonts w:ascii="FangSong" w:hAnsi="FangSong" w:eastAsia="FangSong" w:cs="FangSong"/>
          <w:sz w:val="30"/>
          <w:szCs w:val="30"/>
          <w:spacing w:val="16"/>
        </w:rPr>
        <w:t>的，给予警告，并可以根据情节轻重处以三</w:t>
      </w:r>
      <w:r>
        <w:rPr>
          <w:rFonts w:ascii="FangSong" w:hAnsi="FangSong" w:eastAsia="FangSong" w:cs="FangSong"/>
          <w:sz w:val="30"/>
          <w:szCs w:val="30"/>
          <w:spacing w:val="15"/>
        </w:rPr>
        <w:t>万元以下罚款：</w:t>
      </w:r>
    </w:p>
    <w:p>
      <w:pPr>
        <w:ind w:left="785"/>
        <w:spacing w:before="11" w:line="221" w:lineRule="auto"/>
        <w:rPr>
          <w:rFonts w:ascii="FangSong" w:hAnsi="FangSong" w:eastAsia="FangSong" w:cs="FangSong"/>
          <w:sz w:val="30"/>
          <w:szCs w:val="30"/>
        </w:rPr>
      </w:pPr>
      <w:r>
        <w:rPr>
          <w:rFonts w:ascii="FangSong" w:hAnsi="FangSong" w:eastAsia="FangSong" w:cs="FangSong"/>
          <w:sz w:val="30"/>
          <w:szCs w:val="30"/>
          <w:spacing w:val="24"/>
        </w:rPr>
        <w:t>(二)不按照规定向劳动者公开职业病诊断程序。</w:t>
      </w:r>
    </w:p>
    <w:p>
      <w:pPr>
        <w:ind w:left="6419"/>
        <w:spacing w:before="22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8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734"/>
        <w:gridCol w:w="4721"/>
      </w:tblGrid>
      <w:tr>
        <w:trPr>
          <w:trHeight w:val="582" w:hRule="atLeast"/>
        </w:trPr>
        <w:tc>
          <w:tcPr>
            <w:tcW w:w="1434" w:type="dxa"/>
            <w:vAlign w:val="top"/>
          </w:tcPr>
          <w:p>
            <w:pPr>
              <w:pStyle w:val="TableText"/>
              <w:ind w:left="208"/>
              <w:spacing w:before="172" w:line="220" w:lineRule="auto"/>
              <w:rPr>
                <w:sz w:val="25"/>
                <w:szCs w:val="25"/>
              </w:rPr>
            </w:pPr>
            <w:r>
              <w:rPr>
                <w:sz w:val="25"/>
                <w:szCs w:val="25"/>
                <w:b/>
                <w:bCs/>
                <w:spacing w:val="-5"/>
              </w:rPr>
              <w:t>违法程度</w:t>
            </w:r>
          </w:p>
        </w:tc>
        <w:tc>
          <w:tcPr>
            <w:tcW w:w="7734" w:type="dxa"/>
            <w:vAlign w:val="top"/>
          </w:tcPr>
          <w:p>
            <w:pPr>
              <w:pStyle w:val="TableText"/>
              <w:ind w:left="3324"/>
              <w:spacing w:before="172" w:line="220" w:lineRule="auto"/>
              <w:rPr>
                <w:sz w:val="25"/>
                <w:szCs w:val="25"/>
              </w:rPr>
            </w:pPr>
            <w:r>
              <w:rPr>
                <w:sz w:val="25"/>
                <w:szCs w:val="25"/>
                <w:b/>
                <w:bCs/>
                <w:spacing w:val="-5"/>
              </w:rPr>
              <w:t>情节后果</w:t>
            </w:r>
          </w:p>
        </w:tc>
        <w:tc>
          <w:tcPr>
            <w:tcW w:w="4721" w:type="dxa"/>
            <w:vAlign w:val="top"/>
          </w:tcPr>
          <w:p>
            <w:pPr>
              <w:pStyle w:val="TableText"/>
              <w:ind w:left="1810"/>
              <w:spacing w:before="169" w:line="218" w:lineRule="auto"/>
              <w:rPr>
                <w:sz w:val="25"/>
                <w:szCs w:val="25"/>
              </w:rPr>
            </w:pPr>
            <w:r>
              <w:rPr>
                <w:sz w:val="25"/>
                <w:szCs w:val="25"/>
                <w:b/>
                <w:bCs/>
                <w:spacing w:val="-5"/>
              </w:rPr>
              <w:t>裁量幅度</w:t>
            </w:r>
          </w:p>
        </w:tc>
      </w:tr>
      <w:tr>
        <w:trPr>
          <w:trHeight w:val="637" w:hRule="atLeast"/>
        </w:trPr>
        <w:tc>
          <w:tcPr>
            <w:tcW w:w="1434" w:type="dxa"/>
            <w:vAlign w:val="top"/>
          </w:tcPr>
          <w:p>
            <w:pPr>
              <w:pStyle w:val="TableText"/>
              <w:ind w:left="458"/>
              <w:spacing w:before="199" w:line="219" w:lineRule="auto"/>
              <w:rPr>
                <w:sz w:val="25"/>
                <w:szCs w:val="25"/>
              </w:rPr>
            </w:pPr>
            <w:r>
              <w:rPr>
                <w:sz w:val="25"/>
                <w:szCs w:val="25"/>
                <w:b/>
                <w:bCs/>
                <w:spacing w:val="-6"/>
              </w:rPr>
              <w:t>轻微</w:t>
            </w:r>
          </w:p>
        </w:tc>
        <w:tc>
          <w:tcPr>
            <w:tcW w:w="7734" w:type="dxa"/>
            <w:vAlign w:val="top"/>
          </w:tcPr>
          <w:p>
            <w:pPr>
              <w:pStyle w:val="TableText"/>
              <w:ind w:left="100"/>
              <w:spacing w:before="203" w:line="219" w:lineRule="auto"/>
              <w:rPr>
                <w:sz w:val="25"/>
                <w:szCs w:val="25"/>
              </w:rPr>
            </w:pPr>
            <w:r>
              <w:rPr>
                <w:sz w:val="25"/>
                <w:szCs w:val="25"/>
              </w:rPr>
              <w:t>不按照规定向劳动者公开职业病诊断程序</w:t>
            </w:r>
          </w:p>
        </w:tc>
        <w:tc>
          <w:tcPr>
            <w:tcW w:w="4721" w:type="dxa"/>
            <w:vAlign w:val="top"/>
          </w:tcPr>
          <w:p>
            <w:pPr>
              <w:pStyle w:val="TableText"/>
              <w:ind w:left="116"/>
              <w:spacing w:before="201" w:line="219" w:lineRule="auto"/>
              <w:rPr>
                <w:sz w:val="25"/>
                <w:szCs w:val="25"/>
              </w:rPr>
            </w:pPr>
            <w:r>
              <w:rPr>
                <w:sz w:val="25"/>
                <w:szCs w:val="25"/>
                <w:spacing w:val="2"/>
              </w:rPr>
              <w:t>责令限期改正</w:t>
            </w:r>
          </w:p>
        </w:tc>
      </w:tr>
      <w:tr>
        <w:trPr>
          <w:trHeight w:val="671" w:hRule="atLeast"/>
        </w:trPr>
        <w:tc>
          <w:tcPr>
            <w:tcW w:w="1434" w:type="dxa"/>
            <w:vAlign w:val="top"/>
          </w:tcPr>
          <w:p>
            <w:pPr>
              <w:pStyle w:val="TableText"/>
              <w:ind w:left="458"/>
              <w:spacing w:before="304" w:line="221" w:lineRule="auto"/>
              <w:rPr>
                <w:sz w:val="25"/>
                <w:szCs w:val="25"/>
              </w:rPr>
            </w:pPr>
            <w:r>
              <w:rPr>
                <w:sz w:val="25"/>
                <w:szCs w:val="25"/>
                <w:b/>
                <w:bCs/>
                <w:spacing w:val="-10"/>
              </w:rPr>
              <w:t>一般</w:t>
            </w:r>
          </w:p>
        </w:tc>
        <w:tc>
          <w:tcPr>
            <w:tcW w:w="7734" w:type="dxa"/>
            <w:vAlign w:val="top"/>
          </w:tcPr>
          <w:p>
            <w:pPr>
              <w:pStyle w:val="TableText"/>
              <w:ind w:left="100"/>
              <w:spacing w:before="65" w:line="220" w:lineRule="auto"/>
              <w:rPr>
                <w:sz w:val="25"/>
                <w:szCs w:val="25"/>
              </w:rPr>
            </w:pPr>
            <w:r>
              <w:rPr>
                <w:sz w:val="25"/>
                <w:szCs w:val="25"/>
                <w:spacing w:val="-12"/>
              </w:rPr>
              <w:t>不按照规定向劳动者公开职业病诊断程序，责令限期改正，逾期不改正，</w:t>
            </w:r>
            <w:r>
              <w:rPr>
                <w:sz w:val="25"/>
                <w:szCs w:val="25"/>
                <w:spacing w:val="6"/>
              </w:rPr>
              <w:t xml:space="preserve"> </w:t>
            </w:r>
            <w:r>
              <w:rPr>
                <w:sz w:val="25"/>
                <w:szCs w:val="25"/>
                <w:spacing w:val="-3"/>
              </w:rPr>
              <w:t>未对劳动者健康或健康权益造成损害，未产生社会影</w:t>
            </w:r>
            <w:r>
              <w:rPr>
                <w:sz w:val="25"/>
                <w:szCs w:val="25"/>
                <w:spacing w:val="-4"/>
              </w:rPr>
              <w:t>响的</w:t>
            </w:r>
          </w:p>
        </w:tc>
        <w:tc>
          <w:tcPr>
            <w:tcW w:w="4721" w:type="dxa"/>
            <w:vAlign w:val="top"/>
          </w:tcPr>
          <w:p>
            <w:pPr>
              <w:pStyle w:val="TableText"/>
              <w:ind w:left="116"/>
              <w:spacing w:before="214" w:line="218" w:lineRule="auto"/>
              <w:rPr>
                <w:sz w:val="25"/>
                <w:szCs w:val="25"/>
              </w:rPr>
            </w:pPr>
            <w:r>
              <w:rPr>
                <w:sz w:val="25"/>
                <w:szCs w:val="25"/>
              </w:rPr>
              <w:t>警告，并可处一万元以下罚款</w:t>
            </w:r>
          </w:p>
        </w:tc>
      </w:tr>
    </w:tbl>
    <w:p>
      <w:pPr>
        <w:pStyle w:val="BodyText"/>
        <w:spacing w:line="298" w:lineRule="auto"/>
        <w:rPr/>
      </w:pPr>
      <w:r/>
    </w:p>
    <w:p>
      <w:pPr>
        <w:pStyle w:val="BodyText"/>
        <w:spacing w:line="298" w:lineRule="auto"/>
        <w:rPr/>
      </w:pPr>
      <w:r/>
    </w:p>
    <w:p>
      <w:pPr>
        <w:pStyle w:val="BodyText"/>
        <w:spacing w:line="298" w:lineRule="auto"/>
        <w:rPr/>
      </w:pPr>
      <w:r/>
    </w:p>
    <w:p>
      <w:pPr>
        <w:pStyle w:val="BodyText"/>
        <w:spacing w:line="299" w:lineRule="auto"/>
        <w:rPr/>
      </w:pPr>
      <w:r/>
    </w:p>
    <w:p>
      <w:pPr>
        <w:ind w:left="6354"/>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—621—</w:t>
      </w:r>
    </w:p>
    <w:p>
      <w:pPr>
        <w:spacing w:line="188" w:lineRule="auto"/>
        <w:sectPr>
          <w:footerReference w:type="default" r:id="rId24"/>
          <w:pgSz w:w="16830" w:h="11900"/>
          <w:pgMar w:top="1011" w:right="1438" w:bottom="400" w:left="1434" w:header="0" w:footer="0" w:gutter="0"/>
        </w:sectPr>
        <w:rPr>
          <w:rFonts w:ascii="Times New Roman" w:hAnsi="Times New Roman" w:eastAsia="Times New Roman" w:cs="Times New Roman"/>
          <w:sz w:val="37"/>
          <w:szCs w:val="37"/>
        </w:rPr>
      </w:pPr>
    </w:p>
    <w:p>
      <w:pPr>
        <w:spacing w:before="20"/>
        <w:rPr/>
      </w:pPr>
      <w:r/>
    </w:p>
    <w:p>
      <w:pPr>
        <w:spacing w:before="20"/>
        <w:rPr/>
      </w:pPr>
      <w:r/>
    </w:p>
    <w:p>
      <w:pPr>
        <w:spacing w:before="19"/>
        <w:rPr/>
      </w:pPr>
      <w:r/>
    </w:p>
    <w:tbl>
      <w:tblPr>
        <w:tblStyle w:val="TableNormal"/>
        <w:tblW w:w="139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734"/>
        <w:gridCol w:w="4722"/>
      </w:tblGrid>
      <w:tr>
        <w:trPr>
          <w:trHeight w:val="670" w:hRule="atLeast"/>
        </w:trPr>
        <w:tc>
          <w:tcPr>
            <w:tcW w:w="1444" w:type="dxa"/>
            <w:vAlign w:val="top"/>
          </w:tcPr>
          <w:p>
            <w:pPr>
              <w:pStyle w:val="TableText"/>
              <w:ind w:left="478"/>
              <w:spacing w:before="294" w:line="221" w:lineRule="auto"/>
              <w:rPr/>
            </w:pPr>
            <w:bookmarkStart w:name="bookmark1180" w:id="556"/>
            <w:bookmarkEnd w:id="556"/>
            <w:r>
              <w:rPr>
                <w:b/>
                <w:bCs/>
                <w:spacing w:val="-5"/>
              </w:rPr>
              <w:t>较重</w:t>
            </w:r>
          </w:p>
        </w:tc>
        <w:tc>
          <w:tcPr>
            <w:tcW w:w="7734" w:type="dxa"/>
            <w:vAlign w:val="top"/>
          </w:tcPr>
          <w:p>
            <w:pPr>
              <w:pStyle w:val="TableText"/>
              <w:ind w:left="90"/>
              <w:spacing w:before="43" w:line="237" w:lineRule="auto"/>
              <w:rPr/>
            </w:pPr>
            <w:r>
              <w:rPr>
                <w:spacing w:val="-2"/>
              </w:rPr>
              <w:t>不按照规定向劳动者公开职业病诊断程序，责令限期改正，逾期不改正，</w:t>
            </w:r>
            <w:r>
              <w:rPr>
                <w:spacing w:val="16"/>
              </w:rPr>
              <w:t xml:space="preserve"> </w:t>
            </w:r>
            <w:r>
              <w:rPr>
                <w:spacing w:val="-1"/>
              </w:rPr>
              <w:t>对劳动者健康或健康权益造成轻微损害，产生社会影响的</w:t>
            </w:r>
          </w:p>
        </w:tc>
        <w:tc>
          <w:tcPr>
            <w:tcW w:w="4722" w:type="dxa"/>
            <w:vAlign w:val="top"/>
          </w:tcPr>
          <w:p>
            <w:pPr>
              <w:pStyle w:val="TableText"/>
              <w:ind w:left="106"/>
              <w:spacing w:before="222" w:line="218" w:lineRule="auto"/>
              <w:rPr/>
            </w:pPr>
            <w:r>
              <w:rPr/>
              <w:t>警告，并可处一万元以上二万元以下罚款</w:t>
            </w:r>
          </w:p>
        </w:tc>
      </w:tr>
      <w:tr>
        <w:trPr>
          <w:trHeight w:val="690" w:hRule="atLeast"/>
        </w:trPr>
        <w:tc>
          <w:tcPr>
            <w:tcW w:w="1444" w:type="dxa"/>
            <w:vAlign w:val="top"/>
          </w:tcPr>
          <w:p>
            <w:pPr>
              <w:pStyle w:val="TableText"/>
              <w:ind w:left="478"/>
              <w:spacing w:before="312" w:line="220" w:lineRule="auto"/>
              <w:rPr/>
            </w:pPr>
            <w:r>
              <w:rPr>
                <w:b/>
                <w:bCs/>
                <w:spacing w:val="-6"/>
              </w:rPr>
              <w:t>严重</w:t>
            </w:r>
          </w:p>
        </w:tc>
        <w:tc>
          <w:tcPr>
            <w:tcW w:w="7734" w:type="dxa"/>
            <w:vAlign w:val="top"/>
          </w:tcPr>
          <w:p>
            <w:pPr>
              <w:pStyle w:val="TableText"/>
              <w:ind w:left="90"/>
              <w:spacing w:before="84" w:line="229" w:lineRule="auto"/>
              <w:rPr/>
            </w:pPr>
            <w:r>
              <w:rPr>
                <w:spacing w:val="-2"/>
              </w:rPr>
              <w:t>不按照规定向劳动者公开职业病诊断程序，责令限期改正，逾期不改正，</w:t>
            </w:r>
            <w:r>
              <w:rPr>
                <w:spacing w:val="16"/>
              </w:rPr>
              <w:t xml:space="preserve"> </w:t>
            </w:r>
            <w:r>
              <w:rPr>
                <w:spacing w:val="-1"/>
              </w:rPr>
              <w:t>对劳动者健康或健康权益造成严重损害，产生恶劣社会影响的</w:t>
            </w:r>
          </w:p>
        </w:tc>
        <w:tc>
          <w:tcPr>
            <w:tcW w:w="4722" w:type="dxa"/>
            <w:vAlign w:val="top"/>
          </w:tcPr>
          <w:p>
            <w:pPr>
              <w:pStyle w:val="TableText"/>
              <w:ind w:left="106"/>
              <w:spacing w:before="232" w:line="218" w:lineRule="auto"/>
              <w:rPr/>
            </w:pPr>
            <w:r>
              <w:rPr/>
              <w:t>警告，并处二万元以上三万元以下罚款</w:t>
            </w:r>
          </w:p>
        </w:tc>
      </w:tr>
    </w:tbl>
    <w:p>
      <w:pPr>
        <w:pStyle w:val="BodyText"/>
        <w:spacing w:line="456" w:lineRule="auto"/>
        <w:rPr/>
      </w:pPr>
      <w:r/>
    </w:p>
    <w:p>
      <w:pPr>
        <w:ind w:left="65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第五百二十一条职业病诊断机构泄露劳动者涉及个人隐私的有关信息、资料的</w:t>
      </w:r>
    </w:p>
    <w:p>
      <w:pPr>
        <w:ind w:left="654"/>
        <w:spacing w:before="80" w:line="222" w:lineRule="auto"/>
        <w:rPr>
          <w:rFonts w:ascii="FangSong" w:hAnsi="FangSong" w:eastAsia="FangSong" w:cs="FangSong"/>
          <w:sz w:val="30"/>
          <w:szCs w:val="30"/>
        </w:rPr>
      </w:pPr>
      <w:r>
        <w:rPr>
          <w:rFonts w:ascii="FangSong" w:hAnsi="FangSong" w:eastAsia="FangSong" w:cs="FangSong"/>
          <w:sz w:val="30"/>
          <w:szCs w:val="30"/>
        </w:rPr>
        <w:t>法律依据：</w:t>
      </w:r>
    </w:p>
    <w:p>
      <w:pPr>
        <w:ind w:left="15" w:firstLine="629"/>
        <w:spacing w:before="68" w:line="276" w:lineRule="auto"/>
        <w:jc w:val="both"/>
        <w:rPr>
          <w:rFonts w:ascii="FangSong" w:hAnsi="FangSong" w:eastAsia="FangSong" w:cs="FangSong"/>
          <w:sz w:val="30"/>
          <w:szCs w:val="30"/>
        </w:rPr>
      </w:pPr>
      <w:r>
        <w:rPr>
          <w:rFonts w:ascii="FangSong" w:hAnsi="FangSong" w:eastAsia="FangSong" w:cs="FangSong"/>
          <w:sz w:val="30"/>
          <w:szCs w:val="30"/>
          <w:spacing w:val="24"/>
        </w:rPr>
        <w:t>《职业病诊断与鉴定管理办法》第五十七条第</w:t>
      </w:r>
      <w:r>
        <w:rPr>
          <w:rFonts w:ascii="FangSong" w:hAnsi="FangSong" w:eastAsia="FangSong" w:cs="FangSong"/>
          <w:sz w:val="30"/>
          <w:szCs w:val="30"/>
          <w:spacing w:val="23"/>
        </w:rPr>
        <w:t>(三)项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职业病诊断机构违反《职业病诊断与鉴</w:t>
      </w:r>
      <w:r>
        <w:rPr>
          <w:rFonts w:ascii="FangSong" w:hAnsi="FangSong" w:eastAsia="FangSong" w:cs="FangSong"/>
          <w:sz w:val="30"/>
          <w:szCs w:val="30"/>
        </w:rPr>
        <w:t xml:space="preserve"> </w:t>
      </w:r>
      <w:r>
        <w:rPr>
          <w:rFonts w:ascii="FangSong" w:hAnsi="FangSong" w:eastAsia="FangSong" w:cs="FangSong"/>
          <w:sz w:val="30"/>
          <w:szCs w:val="30"/>
          <w:spacing w:val="17"/>
        </w:rPr>
        <w:t>定管理办法》规定，有下列情形之一的，由县级以上地方卫生健康主管部门</w:t>
      </w:r>
      <w:r>
        <w:rPr>
          <w:rFonts w:ascii="FangSong" w:hAnsi="FangSong" w:eastAsia="FangSong" w:cs="FangSong"/>
          <w:sz w:val="30"/>
          <w:szCs w:val="30"/>
          <w:spacing w:val="16"/>
        </w:rPr>
        <w:t>责令限期改正；逾期不改</w:t>
      </w:r>
      <w:r>
        <w:rPr>
          <w:rFonts w:ascii="FangSong" w:hAnsi="FangSong" w:eastAsia="FangSong" w:cs="FangSong"/>
          <w:sz w:val="30"/>
          <w:szCs w:val="30"/>
        </w:rPr>
        <w:t xml:space="preserve"> </w:t>
      </w:r>
      <w:r>
        <w:rPr>
          <w:rFonts w:ascii="FangSong" w:hAnsi="FangSong" w:eastAsia="FangSong" w:cs="FangSong"/>
          <w:sz w:val="30"/>
          <w:szCs w:val="30"/>
          <w:spacing w:val="16"/>
        </w:rPr>
        <w:t>的，给予警告，并可以根据情节轻重处以三万元以下罚款：</w:t>
      </w:r>
    </w:p>
    <w:p>
      <w:pPr>
        <w:ind w:left="785"/>
        <w:spacing w:before="1" w:line="220" w:lineRule="auto"/>
        <w:rPr>
          <w:rFonts w:ascii="FangSong" w:hAnsi="FangSong" w:eastAsia="FangSong" w:cs="FangSong"/>
          <w:sz w:val="30"/>
          <w:szCs w:val="30"/>
        </w:rPr>
      </w:pPr>
      <w:r>
        <w:rPr>
          <w:rFonts w:ascii="FangSong" w:hAnsi="FangSong" w:eastAsia="FangSong" w:cs="FangSong"/>
          <w:sz w:val="30"/>
          <w:szCs w:val="30"/>
          <w:spacing w:val="23"/>
        </w:rPr>
        <w:t>(三)泄露劳动者涉及个人隐私的有关信息、</w:t>
      </w:r>
      <w:r>
        <w:rPr>
          <w:rFonts w:ascii="FangSong" w:hAnsi="FangSong" w:eastAsia="FangSong" w:cs="FangSong"/>
          <w:sz w:val="30"/>
          <w:szCs w:val="30"/>
          <w:spacing w:val="22"/>
        </w:rPr>
        <w:t>资料的；</w:t>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pStyle w:val="BodyText"/>
        <w:spacing w:line="261" w:lineRule="auto"/>
        <w:rPr/>
      </w:pPr>
      <w:r/>
    </w:p>
    <w:p>
      <w:pPr>
        <w:ind w:left="6419"/>
        <w:spacing w:before="91"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3" w:lineRule="auto"/>
        <w:rPr>
          <w:rFonts w:ascii="Arial"/>
          <w:sz w:val="2"/>
        </w:rPr>
      </w:pPr>
      <w:r>
        <w:rPr>
          <w:rFonts w:ascii="Arial"/>
          <w:sz w:val="2"/>
        </w:rPr>
      </w:r>
    </w:p>
    <w:tbl>
      <w:tblPr>
        <w:tblStyle w:val="TableNormal"/>
        <w:tblW w:w="138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754"/>
        <w:gridCol w:w="4701"/>
      </w:tblGrid>
      <w:tr>
        <w:trPr>
          <w:trHeight w:val="552" w:hRule="atLeast"/>
        </w:trPr>
        <w:tc>
          <w:tcPr>
            <w:tcW w:w="1434" w:type="dxa"/>
            <w:vAlign w:val="top"/>
          </w:tcPr>
          <w:p>
            <w:pPr>
              <w:pStyle w:val="TableText"/>
              <w:ind w:left="208"/>
              <w:spacing w:before="152" w:line="220" w:lineRule="auto"/>
              <w:rPr>
                <w:sz w:val="25"/>
                <w:szCs w:val="25"/>
              </w:rPr>
            </w:pPr>
            <w:r>
              <w:rPr>
                <w:sz w:val="25"/>
                <w:szCs w:val="25"/>
                <w:b/>
                <w:bCs/>
                <w:spacing w:val="-5"/>
              </w:rPr>
              <w:t>违法程度</w:t>
            </w:r>
          </w:p>
        </w:tc>
        <w:tc>
          <w:tcPr>
            <w:tcW w:w="7754" w:type="dxa"/>
            <w:vAlign w:val="top"/>
          </w:tcPr>
          <w:p>
            <w:pPr>
              <w:pStyle w:val="TableText"/>
              <w:ind w:left="3324"/>
              <w:spacing w:before="152" w:line="220" w:lineRule="auto"/>
              <w:rPr>
                <w:sz w:val="25"/>
                <w:szCs w:val="25"/>
              </w:rPr>
            </w:pPr>
            <w:r>
              <w:rPr>
                <w:sz w:val="25"/>
                <w:szCs w:val="25"/>
                <w:b/>
                <w:bCs/>
                <w:spacing w:val="-5"/>
              </w:rPr>
              <w:t>情节后果</w:t>
            </w:r>
          </w:p>
        </w:tc>
        <w:tc>
          <w:tcPr>
            <w:tcW w:w="4701" w:type="dxa"/>
            <w:vAlign w:val="top"/>
          </w:tcPr>
          <w:p>
            <w:pPr>
              <w:pStyle w:val="TableText"/>
              <w:ind w:left="1790"/>
              <w:spacing w:before="149" w:line="218" w:lineRule="auto"/>
              <w:rPr>
                <w:sz w:val="25"/>
                <w:szCs w:val="25"/>
              </w:rPr>
            </w:pPr>
            <w:r>
              <w:rPr>
                <w:sz w:val="25"/>
                <w:szCs w:val="25"/>
                <w:b/>
                <w:bCs/>
                <w:spacing w:val="-5"/>
              </w:rPr>
              <w:t>裁量幅度</w:t>
            </w:r>
          </w:p>
        </w:tc>
      </w:tr>
      <w:tr>
        <w:trPr>
          <w:trHeight w:val="596" w:hRule="atLeast"/>
        </w:trPr>
        <w:tc>
          <w:tcPr>
            <w:tcW w:w="1434" w:type="dxa"/>
            <w:vAlign w:val="top"/>
          </w:tcPr>
          <w:p>
            <w:pPr>
              <w:pStyle w:val="TableText"/>
              <w:ind w:left="458"/>
              <w:spacing w:before="259" w:line="219" w:lineRule="auto"/>
              <w:rPr>
                <w:sz w:val="25"/>
                <w:szCs w:val="25"/>
              </w:rPr>
            </w:pPr>
            <w:r>
              <w:rPr>
                <w:sz w:val="25"/>
                <w:szCs w:val="25"/>
                <w:b/>
                <w:bCs/>
                <w:spacing w:val="-6"/>
              </w:rPr>
              <w:t>轻微</w:t>
            </w:r>
          </w:p>
        </w:tc>
        <w:tc>
          <w:tcPr>
            <w:tcW w:w="7754" w:type="dxa"/>
            <w:vAlign w:val="top"/>
          </w:tcPr>
          <w:p>
            <w:pPr>
              <w:pStyle w:val="TableText"/>
              <w:ind w:left="111"/>
              <w:spacing w:before="183" w:line="219" w:lineRule="auto"/>
              <w:rPr>
                <w:sz w:val="25"/>
                <w:szCs w:val="25"/>
              </w:rPr>
            </w:pPr>
            <w:r>
              <w:rPr>
                <w:sz w:val="25"/>
                <w:szCs w:val="25"/>
              </w:rPr>
              <w:t>泄露劳动者涉及个人隐私的有关信息、资料</w:t>
            </w:r>
          </w:p>
        </w:tc>
        <w:tc>
          <w:tcPr>
            <w:tcW w:w="4701" w:type="dxa"/>
            <w:vAlign w:val="top"/>
          </w:tcPr>
          <w:p>
            <w:pPr>
              <w:pStyle w:val="TableText"/>
              <w:ind w:left="96"/>
              <w:spacing w:before="181" w:line="219" w:lineRule="auto"/>
              <w:rPr>
                <w:sz w:val="25"/>
                <w:szCs w:val="25"/>
              </w:rPr>
            </w:pPr>
            <w:r>
              <w:rPr>
                <w:sz w:val="25"/>
                <w:szCs w:val="25"/>
                <w:spacing w:val="2"/>
              </w:rPr>
              <w:t>责令限期改正</w:t>
            </w:r>
          </w:p>
        </w:tc>
      </w:tr>
      <w:tr>
        <w:trPr>
          <w:trHeight w:val="671" w:hRule="atLeast"/>
        </w:trPr>
        <w:tc>
          <w:tcPr>
            <w:tcW w:w="1434" w:type="dxa"/>
            <w:vAlign w:val="top"/>
          </w:tcPr>
          <w:p>
            <w:pPr>
              <w:spacing w:line="242" w:lineRule="auto"/>
              <w:rPr>
                <w:rFonts w:ascii="Arial"/>
                <w:sz w:val="21"/>
              </w:rPr>
            </w:pPr>
            <w:r/>
          </w:p>
          <w:p>
            <w:pPr>
              <w:pStyle w:val="TableText"/>
              <w:ind w:left="458"/>
              <w:spacing w:before="81" w:line="221" w:lineRule="auto"/>
              <w:rPr>
                <w:sz w:val="25"/>
                <w:szCs w:val="25"/>
              </w:rPr>
            </w:pPr>
            <w:r>
              <w:rPr>
                <w:sz w:val="25"/>
                <w:szCs w:val="25"/>
                <w:b/>
                <w:bCs/>
                <w:spacing w:val="-10"/>
              </w:rPr>
              <w:t>一般</w:t>
            </w:r>
          </w:p>
        </w:tc>
        <w:tc>
          <w:tcPr>
            <w:tcW w:w="7754" w:type="dxa"/>
            <w:vAlign w:val="top"/>
          </w:tcPr>
          <w:p>
            <w:pPr>
              <w:pStyle w:val="TableText"/>
              <w:ind w:left="111"/>
              <w:spacing w:before="65" w:line="220" w:lineRule="auto"/>
              <w:rPr>
                <w:sz w:val="25"/>
                <w:szCs w:val="25"/>
              </w:rPr>
            </w:pPr>
            <w:r>
              <w:rPr>
                <w:sz w:val="25"/>
                <w:szCs w:val="25"/>
                <w:spacing w:val="-4"/>
              </w:rPr>
              <w:t>泄露劳动者涉及个人隐私的有关信息、资料，责令限期改正，逾期不改</w:t>
            </w:r>
            <w:r>
              <w:rPr>
                <w:sz w:val="25"/>
                <w:szCs w:val="25"/>
                <w:spacing w:val="5"/>
              </w:rPr>
              <w:t xml:space="preserve"> </w:t>
            </w:r>
            <w:r>
              <w:rPr>
                <w:sz w:val="25"/>
                <w:szCs w:val="25"/>
              </w:rPr>
              <w:t>正，未对劳动者健康或健康权益造成损害，未产生社会影响的</w:t>
            </w:r>
          </w:p>
        </w:tc>
        <w:tc>
          <w:tcPr>
            <w:tcW w:w="4701" w:type="dxa"/>
            <w:vAlign w:val="top"/>
          </w:tcPr>
          <w:p>
            <w:pPr>
              <w:pStyle w:val="TableText"/>
              <w:ind w:left="96"/>
              <w:spacing w:before="215" w:line="218" w:lineRule="auto"/>
              <w:rPr>
                <w:sz w:val="25"/>
                <w:szCs w:val="25"/>
              </w:rPr>
            </w:pPr>
            <w:r>
              <w:rPr>
                <w:sz w:val="25"/>
                <w:szCs w:val="25"/>
              </w:rPr>
              <w:t>警告，并可处一万元以下罚款</w:t>
            </w:r>
          </w:p>
        </w:tc>
      </w:tr>
    </w:tbl>
    <w:p>
      <w:pPr>
        <w:pStyle w:val="BodyText"/>
        <w:rPr/>
      </w:pPr>
      <w:r/>
    </w:p>
    <w:p>
      <w:pPr>
        <w:sectPr>
          <w:footerReference w:type="default" r:id="rId549"/>
          <w:pgSz w:w="16830" w:h="11900"/>
          <w:pgMar w:top="1011" w:right="1439" w:bottom="1107" w:left="1434" w:header="0" w:footer="774" w:gutter="0"/>
        </w:sectPr>
        <w:rPr/>
      </w:pPr>
    </w:p>
    <w:p>
      <w:pPr>
        <w:spacing w:before="20"/>
        <w:rPr/>
      </w:pPr>
      <w:r/>
    </w:p>
    <w:p>
      <w:pPr>
        <w:spacing w:before="20"/>
        <w:rPr/>
      </w:pPr>
      <w:r/>
    </w:p>
    <w:p>
      <w:pPr>
        <w:spacing w:before="19"/>
        <w:rPr/>
      </w:pPr>
      <w:r/>
    </w:p>
    <w:tbl>
      <w:tblPr>
        <w:tblStyle w:val="TableNormal"/>
        <w:tblW w:w="139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764"/>
        <w:gridCol w:w="4701"/>
      </w:tblGrid>
      <w:tr>
        <w:trPr>
          <w:trHeight w:val="670" w:hRule="atLeast"/>
        </w:trPr>
        <w:tc>
          <w:tcPr>
            <w:tcW w:w="1444" w:type="dxa"/>
            <w:vAlign w:val="top"/>
          </w:tcPr>
          <w:p>
            <w:pPr>
              <w:pStyle w:val="TableText"/>
              <w:ind w:left="468"/>
              <w:spacing w:before="305" w:line="221" w:lineRule="auto"/>
              <w:rPr>
                <w:sz w:val="25"/>
                <w:szCs w:val="25"/>
              </w:rPr>
            </w:pPr>
            <w:bookmarkStart w:name="bookmark1181" w:id="557"/>
            <w:bookmarkEnd w:id="557"/>
            <w:r>
              <w:rPr>
                <w:sz w:val="25"/>
                <w:szCs w:val="25"/>
                <w:b/>
                <w:bCs/>
                <w:spacing w:val="-6"/>
              </w:rPr>
              <w:t>较重</w:t>
            </w:r>
          </w:p>
        </w:tc>
        <w:tc>
          <w:tcPr>
            <w:tcW w:w="7764" w:type="dxa"/>
            <w:vAlign w:val="top"/>
          </w:tcPr>
          <w:p>
            <w:pPr>
              <w:pStyle w:val="TableText"/>
              <w:ind w:left="130" w:hanging="20"/>
              <w:spacing w:before="45" w:line="227" w:lineRule="auto"/>
              <w:rPr>
                <w:sz w:val="25"/>
                <w:szCs w:val="25"/>
              </w:rPr>
            </w:pPr>
            <w:r>
              <w:rPr>
                <w:sz w:val="25"/>
                <w:szCs w:val="25"/>
                <w:spacing w:val="-4"/>
              </w:rPr>
              <w:t>泄露劳动者涉及个人隐私的有关信息、资料，责令限期改正，逾期不改</w:t>
            </w:r>
            <w:r>
              <w:rPr>
                <w:sz w:val="25"/>
                <w:szCs w:val="25"/>
                <w:spacing w:val="16"/>
              </w:rPr>
              <w:t xml:space="preserve"> </w:t>
            </w:r>
            <w:r>
              <w:rPr>
                <w:sz w:val="25"/>
                <w:szCs w:val="25"/>
              </w:rPr>
              <w:t>正，对劳动者健康或健康权益造成轻微损害，产生社会影响的</w:t>
            </w:r>
          </w:p>
        </w:tc>
        <w:tc>
          <w:tcPr>
            <w:tcW w:w="4701" w:type="dxa"/>
            <w:vAlign w:val="top"/>
          </w:tcPr>
          <w:p>
            <w:pPr>
              <w:pStyle w:val="TableText"/>
              <w:ind w:left="97"/>
              <w:spacing w:before="213" w:line="218" w:lineRule="auto"/>
              <w:rPr>
                <w:sz w:val="25"/>
                <w:szCs w:val="25"/>
              </w:rPr>
            </w:pPr>
            <w:r>
              <w:rPr>
                <w:sz w:val="25"/>
                <w:szCs w:val="25"/>
              </w:rPr>
              <w:t>警告，并可处一万元以上二万元以下罚款</w:t>
            </w:r>
          </w:p>
        </w:tc>
      </w:tr>
      <w:tr>
        <w:trPr>
          <w:trHeight w:val="690" w:hRule="atLeast"/>
        </w:trPr>
        <w:tc>
          <w:tcPr>
            <w:tcW w:w="1444" w:type="dxa"/>
            <w:vAlign w:val="top"/>
          </w:tcPr>
          <w:p>
            <w:pPr>
              <w:spacing w:line="249" w:lineRule="auto"/>
              <w:rPr>
                <w:rFonts w:ascii="Arial"/>
                <w:sz w:val="21"/>
              </w:rPr>
            </w:pPr>
            <w:r/>
          </w:p>
          <w:p>
            <w:pPr>
              <w:pStyle w:val="TableText"/>
              <w:ind w:left="468"/>
              <w:spacing w:before="81" w:line="220" w:lineRule="auto"/>
              <w:rPr>
                <w:sz w:val="25"/>
                <w:szCs w:val="25"/>
              </w:rPr>
            </w:pPr>
            <w:r>
              <w:rPr>
                <w:sz w:val="25"/>
                <w:szCs w:val="25"/>
                <w:b/>
                <w:bCs/>
                <w:spacing w:val="-6"/>
              </w:rPr>
              <w:t>严重</w:t>
            </w:r>
          </w:p>
        </w:tc>
        <w:tc>
          <w:tcPr>
            <w:tcW w:w="7764" w:type="dxa"/>
            <w:vAlign w:val="top"/>
          </w:tcPr>
          <w:p>
            <w:pPr>
              <w:pStyle w:val="TableText"/>
              <w:ind w:left="130" w:hanging="20"/>
              <w:spacing w:before="84" w:line="220" w:lineRule="auto"/>
              <w:rPr>
                <w:sz w:val="25"/>
                <w:szCs w:val="25"/>
              </w:rPr>
            </w:pPr>
            <w:r>
              <w:rPr>
                <w:sz w:val="25"/>
                <w:szCs w:val="25"/>
                <w:spacing w:val="-4"/>
              </w:rPr>
              <w:t>泄露劳动者涉及个人隐私的有关信息、资料，责令限期改正，逾期不改</w:t>
            </w:r>
            <w:r>
              <w:rPr>
                <w:sz w:val="25"/>
                <w:szCs w:val="25"/>
                <w:spacing w:val="16"/>
              </w:rPr>
              <w:t xml:space="preserve"> </w:t>
            </w:r>
            <w:r>
              <w:rPr>
                <w:sz w:val="25"/>
                <w:szCs w:val="25"/>
              </w:rPr>
              <w:t>正，对劳动者健康或健康权益造成严重损害，产生恶劣社会影响的</w:t>
            </w:r>
          </w:p>
        </w:tc>
        <w:tc>
          <w:tcPr>
            <w:tcW w:w="4701" w:type="dxa"/>
            <w:vAlign w:val="top"/>
          </w:tcPr>
          <w:p>
            <w:pPr>
              <w:pStyle w:val="TableText"/>
              <w:ind w:left="97"/>
              <w:spacing w:before="223" w:line="218" w:lineRule="auto"/>
              <w:rPr>
                <w:sz w:val="25"/>
                <w:szCs w:val="25"/>
              </w:rPr>
            </w:pPr>
            <w:r>
              <w:rPr>
                <w:sz w:val="25"/>
                <w:szCs w:val="25"/>
              </w:rPr>
              <w:t>警告，并处二万元以上三万元以下罚款</w:t>
            </w:r>
          </w:p>
        </w:tc>
      </w:tr>
    </w:tbl>
    <w:p>
      <w:pPr>
        <w:pStyle w:val="BodyText"/>
        <w:spacing w:line="447" w:lineRule="auto"/>
        <w:rPr/>
      </w:pPr>
      <w:r/>
    </w:p>
    <w:p>
      <w:pPr>
        <w:ind w:left="29" w:firstLine="660"/>
        <w:spacing w:before="97" w:line="273" w:lineRule="auto"/>
        <w:rPr>
          <w:rFonts w:ascii="FangSong" w:hAnsi="FangSong" w:eastAsia="FangSong" w:cs="FangSong"/>
          <w:sz w:val="30"/>
          <w:szCs w:val="30"/>
        </w:rPr>
      </w:pPr>
      <w:r>
        <w:rPr>
          <w:rFonts w:ascii="FangSong" w:hAnsi="FangSong" w:eastAsia="FangSong" w:cs="FangSong"/>
          <w:sz w:val="30"/>
          <w:szCs w:val="30"/>
          <w:b/>
          <w:bCs/>
          <w:spacing w:val="21"/>
        </w:rPr>
        <w:t>第五百二十二条职业病诊断机构未按照规定参加质量控制评估，或者质量控制评估不合格且未</w:t>
      </w:r>
      <w:r>
        <w:rPr>
          <w:rFonts w:ascii="FangSong" w:hAnsi="FangSong" w:eastAsia="FangSong" w:cs="FangSong"/>
          <w:sz w:val="30"/>
          <w:szCs w:val="30"/>
        </w:rPr>
        <w:t xml:space="preserve"> </w:t>
      </w:r>
      <w:r>
        <w:rPr>
          <w:rFonts w:ascii="FangSong" w:hAnsi="FangSong" w:eastAsia="FangSong" w:cs="FangSong"/>
          <w:sz w:val="30"/>
          <w:szCs w:val="30"/>
          <w:b/>
          <w:bCs/>
          <w:spacing w:val="13"/>
        </w:rPr>
        <w:t>按要求整改的</w:t>
      </w:r>
    </w:p>
    <w:p>
      <w:pPr>
        <w:ind w:left="665"/>
        <w:spacing w:line="222" w:lineRule="auto"/>
        <w:rPr>
          <w:rFonts w:ascii="FangSong" w:hAnsi="FangSong" w:eastAsia="FangSong" w:cs="FangSong"/>
          <w:sz w:val="30"/>
          <w:szCs w:val="30"/>
        </w:rPr>
      </w:pPr>
      <w:r>
        <w:rPr>
          <w:rFonts w:ascii="FangSong" w:hAnsi="FangSong" w:eastAsia="FangSong" w:cs="FangSong"/>
          <w:sz w:val="30"/>
          <w:szCs w:val="30"/>
          <w:spacing w:val="6"/>
        </w:rPr>
        <w:t>法律依据：</w:t>
      </w:r>
    </w:p>
    <w:p>
      <w:pPr>
        <w:ind w:left="25" w:right="14" w:firstLine="630"/>
        <w:spacing w:before="64" w:line="275" w:lineRule="auto"/>
        <w:jc w:val="both"/>
        <w:rPr>
          <w:rFonts w:ascii="FangSong" w:hAnsi="FangSong" w:eastAsia="FangSong" w:cs="FangSong"/>
          <w:sz w:val="30"/>
          <w:szCs w:val="30"/>
        </w:rPr>
      </w:pPr>
      <w:r>
        <w:rPr>
          <w:rFonts w:ascii="FangSong" w:hAnsi="FangSong" w:eastAsia="FangSong" w:cs="FangSong"/>
          <w:sz w:val="30"/>
          <w:szCs w:val="30"/>
          <w:spacing w:val="24"/>
        </w:rPr>
        <w:t>《职业病诊断与鉴定管理办法》第五十七条第(</w:t>
      </w:r>
      <w:r>
        <w:rPr>
          <w:rFonts w:ascii="FangSong" w:hAnsi="FangSong" w:eastAsia="FangSong" w:cs="FangSong"/>
          <w:sz w:val="30"/>
          <w:szCs w:val="30"/>
          <w:spacing w:val="23"/>
        </w:rPr>
        <w:t>四)项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职业病诊断机构违反《职业病诊断与鉴</w:t>
      </w:r>
      <w:r>
        <w:rPr>
          <w:rFonts w:ascii="FangSong" w:hAnsi="FangSong" w:eastAsia="FangSong" w:cs="FangSong"/>
          <w:sz w:val="30"/>
          <w:szCs w:val="30"/>
        </w:rPr>
        <w:t xml:space="preserve"> </w:t>
      </w:r>
      <w:r>
        <w:rPr>
          <w:rFonts w:ascii="FangSong" w:hAnsi="FangSong" w:eastAsia="FangSong" w:cs="FangSong"/>
          <w:sz w:val="30"/>
          <w:szCs w:val="30"/>
          <w:spacing w:val="17"/>
        </w:rPr>
        <w:t>定管理办法》规定，有下列情形之一的，由县级以上地方卫生健康主管部门</w:t>
      </w:r>
      <w:r>
        <w:rPr>
          <w:rFonts w:ascii="FangSong" w:hAnsi="FangSong" w:eastAsia="FangSong" w:cs="FangSong"/>
          <w:sz w:val="30"/>
          <w:szCs w:val="30"/>
          <w:spacing w:val="16"/>
        </w:rPr>
        <w:t>责令限期改正；逾期不改</w:t>
      </w:r>
      <w:r>
        <w:rPr>
          <w:rFonts w:ascii="FangSong" w:hAnsi="FangSong" w:eastAsia="FangSong" w:cs="FangSong"/>
          <w:sz w:val="30"/>
          <w:szCs w:val="30"/>
        </w:rPr>
        <w:t xml:space="preserve"> </w:t>
      </w:r>
      <w:r>
        <w:rPr>
          <w:rFonts w:ascii="FangSong" w:hAnsi="FangSong" w:eastAsia="FangSong" w:cs="FangSong"/>
          <w:sz w:val="30"/>
          <w:szCs w:val="30"/>
          <w:spacing w:val="16"/>
        </w:rPr>
        <w:t>的，给予警告，并可以根据情节轻重处以三万元以下罚款：</w:t>
      </w:r>
    </w:p>
    <w:p>
      <w:pPr>
        <w:ind w:left="805"/>
        <w:spacing w:line="220" w:lineRule="auto"/>
        <w:rPr>
          <w:rFonts w:ascii="FangSong" w:hAnsi="FangSong" w:eastAsia="FangSong" w:cs="FangSong"/>
          <w:sz w:val="30"/>
          <w:szCs w:val="30"/>
        </w:rPr>
      </w:pPr>
      <w:r>
        <w:rPr>
          <w:rFonts w:ascii="FangSong" w:hAnsi="FangSong" w:eastAsia="FangSong" w:cs="FangSong"/>
          <w:sz w:val="30"/>
          <w:szCs w:val="30"/>
          <w:spacing w:val="22"/>
        </w:rPr>
        <w:t>(四)未按照规定参加质量控制评估，或者质量控制评估不合格且未按</w:t>
      </w:r>
      <w:r>
        <w:rPr>
          <w:rFonts w:ascii="FangSong" w:hAnsi="FangSong" w:eastAsia="FangSong" w:cs="FangSong"/>
          <w:sz w:val="30"/>
          <w:szCs w:val="30"/>
          <w:spacing w:val="21"/>
        </w:rPr>
        <w:t>要求整改的；</w:t>
      </w:r>
    </w:p>
    <w:p>
      <w:pPr>
        <w:ind w:left="6439"/>
        <w:spacing w:before="21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6" w:lineRule="auto"/>
        <w:rPr>
          <w:rFonts w:ascii="Arial"/>
          <w:sz w:val="2"/>
        </w:rPr>
      </w:pPr>
      <w:r>
        <w:rPr>
          <w:rFonts w:ascii="Arial"/>
          <w:sz w:val="2"/>
        </w:rPr>
      </w:r>
    </w:p>
    <w:tbl>
      <w:tblPr>
        <w:tblStyle w:val="TableNormal"/>
        <w:tblW w:w="13810"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7784"/>
        <w:gridCol w:w="4622"/>
      </w:tblGrid>
      <w:tr>
        <w:trPr>
          <w:trHeight w:val="542" w:hRule="atLeast"/>
        </w:trPr>
        <w:tc>
          <w:tcPr>
            <w:tcW w:w="1404" w:type="dxa"/>
            <w:vAlign w:val="top"/>
          </w:tcPr>
          <w:p>
            <w:pPr>
              <w:pStyle w:val="TableText"/>
              <w:ind w:left="218"/>
              <w:spacing w:before="152" w:line="220" w:lineRule="auto"/>
              <w:rPr/>
            </w:pPr>
            <w:r>
              <w:rPr>
                <w:b/>
                <w:bCs/>
                <w:spacing w:val="-5"/>
              </w:rPr>
              <w:t>违法程度</w:t>
            </w:r>
          </w:p>
        </w:tc>
        <w:tc>
          <w:tcPr>
            <w:tcW w:w="7784" w:type="dxa"/>
            <w:vAlign w:val="top"/>
          </w:tcPr>
          <w:p>
            <w:pPr>
              <w:pStyle w:val="TableText"/>
              <w:ind w:left="3404"/>
              <w:spacing w:before="152" w:line="220" w:lineRule="auto"/>
              <w:rPr/>
            </w:pPr>
            <w:r>
              <w:rPr>
                <w:b/>
                <w:bCs/>
                <w:spacing w:val="-5"/>
              </w:rPr>
              <w:t>情节后果</w:t>
            </w:r>
          </w:p>
        </w:tc>
        <w:tc>
          <w:tcPr>
            <w:tcW w:w="4622" w:type="dxa"/>
            <w:vAlign w:val="top"/>
          </w:tcPr>
          <w:p>
            <w:pPr>
              <w:pStyle w:val="TableText"/>
              <w:ind w:left="1760"/>
              <w:spacing w:before="149" w:line="218" w:lineRule="auto"/>
              <w:rPr/>
            </w:pPr>
            <w:r>
              <w:rPr>
                <w:b/>
                <w:bCs/>
                <w:spacing w:val="46"/>
              </w:rPr>
              <w:t>裁量幅度</w:t>
            </w:r>
          </w:p>
        </w:tc>
      </w:tr>
      <w:tr>
        <w:trPr>
          <w:trHeight w:val="687" w:hRule="atLeast"/>
        </w:trPr>
        <w:tc>
          <w:tcPr>
            <w:tcW w:w="1404" w:type="dxa"/>
            <w:vAlign w:val="top"/>
          </w:tcPr>
          <w:p>
            <w:pPr>
              <w:pStyle w:val="TableText"/>
              <w:ind w:left="458"/>
              <w:spacing w:before="309" w:line="219" w:lineRule="auto"/>
              <w:rPr/>
            </w:pPr>
            <w:r>
              <w:rPr>
                <w:b/>
                <w:bCs/>
                <w:spacing w:val="-6"/>
              </w:rPr>
              <w:t>轻微</w:t>
            </w:r>
          </w:p>
        </w:tc>
        <w:tc>
          <w:tcPr>
            <w:tcW w:w="7784" w:type="dxa"/>
            <w:vAlign w:val="top"/>
          </w:tcPr>
          <w:p>
            <w:pPr>
              <w:pStyle w:val="TableText"/>
              <w:ind w:left="111" w:right="40" w:hanging="70"/>
              <w:spacing w:before="50" w:line="241" w:lineRule="auto"/>
              <w:rPr/>
            </w:pPr>
            <w:r>
              <w:rPr/>
              <w:t>未按规定参加质量控制评估，或者质量控制评估不合格且未按要求整改仍</w:t>
            </w:r>
            <w:r>
              <w:rPr>
                <w:spacing w:val="11"/>
              </w:rPr>
              <w:t xml:space="preserve"> </w:t>
            </w:r>
            <w:r>
              <w:rPr>
                <w:spacing w:val="1"/>
              </w:rPr>
              <w:t>开展职业病诊断工作的</w:t>
            </w:r>
          </w:p>
        </w:tc>
        <w:tc>
          <w:tcPr>
            <w:tcW w:w="4622" w:type="dxa"/>
            <w:vAlign w:val="top"/>
          </w:tcPr>
          <w:p>
            <w:pPr>
              <w:pStyle w:val="TableText"/>
              <w:ind w:left="117"/>
              <w:spacing w:before="231" w:line="219" w:lineRule="auto"/>
              <w:rPr/>
            </w:pPr>
            <w:r>
              <w:rPr>
                <w:spacing w:val="2"/>
              </w:rPr>
              <w:t>责令限期改正</w:t>
            </w:r>
          </w:p>
        </w:tc>
      </w:tr>
      <w:tr>
        <w:trPr>
          <w:trHeight w:val="990" w:hRule="atLeast"/>
        </w:trPr>
        <w:tc>
          <w:tcPr>
            <w:tcW w:w="1404" w:type="dxa"/>
            <w:vAlign w:val="top"/>
          </w:tcPr>
          <w:p>
            <w:pPr>
              <w:spacing w:line="393" w:lineRule="auto"/>
              <w:rPr>
                <w:rFonts w:ascii="Arial"/>
                <w:sz w:val="21"/>
              </w:rPr>
            </w:pPr>
            <w:r/>
          </w:p>
          <w:p>
            <w:pPr>
              <w:pStyle w:val="TableText"/>
              <w:ind w:left="458"/>
              <w:spacing w:before="78" w:line="221" w:lineRule="auto"/>
              <w:rPr/>
            </w:pPr>
            <w:r>
              <w:rPr>
                <w:b/>
                <w:bCs/>
                <w:spacing w:val="-10"/>
              </w:rPr>
              <w:t>一般</w:t>
            </w:r>
          </w:p>
        </w:tc>
        <w:tc>
          <w:tcPr>
            <w:tcW w:w="7784" w:type="dxa"/>
            <w:vAlign w:val="top"/>
          </w:tcPr>
          <w:p>
            <w:pPr>
              <w:pStyle w:val="TableText"/>
              <w:ind w:left="41" w:right="40"/>
              <w:spacing w:before="63" w:line="235" w:lineRule="auto"/>
              <w:jc w:val="both"/>
              <w:rPr/>
            </w:pPr>
            <w:r>
              <w:rPr/>
              <w:t>未按规定参加质量控制评估，或者质量控制评估不合格且未按要求整改仍</w:t>
            </w:r>
            <w:r>
              <w:rPr>
                <w:spacing w:val="11"/>
              </w:rPr>
              <w:t xml:space="preserve"> </w:t>
            </w:r>
            <w:r>
              <w:rPr/>
              <w:t>开展职业病诊断工作，经责令限期改正，逾期</w:t>
            </w:r>
            <w:r>
              <w:rPr>
                <w:spacing w:val="-1"/>
              </w:rPr>
              <w:t>不改，未对劳动者健康或健</w:t>
            </w:r>
            <w:r>
              <w:rPr/>
              <w:t xml:space="preserve"> </w:t>
            </w:r>
            <w:r>
              <w:rPr>
                <w:spacing w:val="6"/>
              </w:rPr>
              <w:t>康权益造成损害，未产生社会影响的</w:t>
            </w:r>
          </w:p>
        </w:tc>
        <w:tc>
          <w:tcPr>
            <w:tcW w:w="4622" w:type="dxa"/>
            <w:vAlign w:val="top"/>
          </w:tcPr>
          <w:p>
            <w:pPr>
              <w:spacing w:line="303" w:lineRule="auto"/>
              <w:rPr>
                <w:rFonts w:ascii="Arial"/>
                <w:sz w:val="21"/>
              </w:rPr>
            </w:pPr>
            <w:r/>
          </w:p>
          <w:p>
            <w:pPr>
              <w:pStyle w:val="TableText"/>
              <w:ind w:left="117"/>
              <w:spacing w:before="78" w:line="218" w:lineRule="auto"/>
              <w:rPr/>
            </w:pPr>
            <w:r>
              <w:rPr/>
              <w:t>警告，并可处一万元以下罚款</w:t>
            </w:r>
          </w:p>
        </w:tc>
      </w:tr>
    </w:tbl>
    <w:p>
      <w:pPr>
        <w:pStyle w:val="BodyText"/>
        <w:rPr/>
      </w:pPr>
      <w:r/>
    </w:p>
    <w:p>
      <w:pPr>
        <w:sectPr>
          <w:footerReference w:type="default" r:id="rId550"/>
          <w:pgSz w:w="16830" w:h="11900"/>
          <w:pgMar w:top="1011" w:right="1434" w:bottom="1117" w:left="1414" w:header="0" w:footer="784" w:gutter="0"/>
        </w:sectPr>
        <w:rPr/>
      </w:pPr>
    </w:p>
    <w:p>
      <w:pPr>
        <w:spacing w:before="17"/>
        <w:rPr/>
      </w:pPr>
      <w:r/>
    </w:p>
    <w:p>
      <w:pPr>
        <w:spacing w:before="16"/>
        <w:rPr/>
      </w:pPr>
      <w:r/>
    </w:p>
    <w:p>
      <w:pPr>
        <w:spacing w:before="16"/>
        <w:rPr/>
      </w:pPr>
      <w:r/>
    </w:p>
    <w:tbl>
      <w:tblPr>
        <w:tblStyle w:val="TableNormal"/>
        <w:tblW w:w="1383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794"/>
        <w:gridCol w:w="4602"/>
      </w:tblGrid>
      <w:tr>
        <w:trPr>
          <w:trHeight w:val="1020" w:hRule="atLeast"/>
        </w:trPr>
        <w:tc>
          <w:tcPr>
            <w:tcW w:w="1434" w:type="dxa"/>
            <w:vAlign w:val="top"/>
          </w:tcPr>
          <w:p>
            <w:pPr>
              <w:spacing w:line="404" w:lineRule="auto"/>
              <w:rPr>
                <w:rFonts w:ascii="Arial"/>
                <w:sz w:val="21"/>
              </w:rPr>
            </w:pPr>
            <w:r/>
          </w:p>
          <w:p>
            <w:pPr>
              <w:pStyle w:val="TableText"/>
              <w:ind w:left="468"/>
              <w:spacing w:before="78" w:line="221" w:lineRule="auto"/>
              <w:rPr/>
            </w:pPr>
            <w:bookmarkStart w:name="bookmark1182" w:id="558"/>
            <w:bookmarkEnd w:id="558"/>
            <w:r>
              <w:rPr>
                <w:b/>
                <w:bCs/>
                <w:spacing w:val="-5"/>
              </w:rPr>
              <w:t>较重</w:t>
            </w:r>
          </w:p>
        </w:tc>
        <w:tc>
          <w:tcPr>
            <w:tcW w:w="7794" w:type="dxa"/>
            <w:vAlign w:val="top"/>
          </w:tcPr>
          <w:p>
            <w:pPr>
              <w:pStyle w:val="TableText"/>
              <w:ind w:left="51" w:right="40"/>
              <w:spacing w:before="42" w:line="248" w:lineRule="auto"/>
              <w:jc w:val="both"/>
              <w:rPr/>
            </w:pPr>
            <w:r>
              <w:rPr/>
              <w:t>未按规定参加质量控制评估，或者质量控制评估不合格且未按要求整改仍</w:t>
            </w:r>
            <w:r>
              <w:rPr>
                <w:spacing w:val="11"/>
              </w:rPr>
              <w:t xml:space="preserve"> </w:t>
            </w:r>
            <w:r>
              <w:rPr/>
              <w:t>开展职业病诊断工作，经责令限期改正，逾期不改，对劳动者健康或健康</w:t>
            </w:r>
            <w:r>
              <w:rPr>
                <w:spacing w:val="10"/>
              </w:rPr>
              <w:t xml:space="preserve"> </w:t>
            </w:r>
            <w:r>
              <w:rPr>
                <w:spacing w:val="4"/>
              </w:rPr>
              <w:t>权益造成轻微损害，产生社会影响的</w:t>
            </w:r>
          </w:p>
        </w:tc>
        <w:tc>
          <w:tcPr>
            <w:tcW w:w="4602" w:type="dxa"/>
            <w:vAlign w:val="top"/>
          </w:tcPr>
          <w:p>
            <w:pPr>
              <w:spacing w:line="312" w:lineRule="auto"/>
              <w:rPr>
                <w:rFonts w:ascii="Arial"/>
                <w:sz w:val="21"/>
              </w:rPr>
            </w:pPr>
            <w:r/>
          </w:p>
          <w:p>
            <w:pPr>
              <w:pStyle w:val="TableText"/>
              <w:ind w:left="97"/>
              <w:spacing w:before="78" w:line="218" w:lineRule="auto"/>
              <w:rPr/>
            </w:pPr>
            <w:r>
              <w:rPr/>
              <w:t>警告，并可处一万元以上二万元以下罚款</w:t>
            </w:r>
          </w:p>
        </w:tc>
      </w:tr>
      <w:tr>
        <w:trPr>
          <w:trHeight w:val="1010" w:hRule="atLeast"/>
        </w:trPr>
        <w:tc>
          <w:tcPr>
            <w:tcW w:w="1434" w:type="dxa"/>
            <w:vAlign w:val="top"/>
          </w:tcPr>
          <w:p>
            <w:pPr>
              <w:spacing w:line="411" w:lineRule="auto"/>
              <w:rPr>
                <w:rFonts w:ascii="Arial"/>
                <w:sz w:val="21"/>
              </w:rPr>
            </w:pPr>
            <w:r/>
          </w:p>
          <w:p>
            <w:pPr>
              <w:pStyle w:val="TableText"/>
              <w:ind w:left="468"/>
              <w:spacing w:before="78" w:line="220" w:lineRule="auto"/>
              <w:rPr/>
            </w:pPr>
            <w:r>
              <w:rPr>
                <w:b/>
                <w:bCs/>
                <w:spacing w:val="-6"/>
              </w:rPr>
              <w:t>严重</w:t>
            </w:r>
          </w:p>
        </w:tc>
        <w:tc>
          <w:tcPr>
            <w:tcW w:w="7794" w:type="dxa"/>
            <w:vAlign w:val="top"/>
          </w:tcPr>
          <w:p>
            <w:pPr>
              <w:pStyle w:val="TableText"/>
              <w:ind w:left="51" w:right="40"/>
              <w:spacing w:before="71" w:line="238" w:lineRule="auto"/>
              <w:jc w:val="both"/>
              <w:rPr/>
            </w:pPr>
            <w:r>
              <w:rPr/>
              <w:t>未按规定参加质量控制评估，或者质量控制评估不合格且未按要求整改仍</w:t>
            </w:r>
            <w:r>
              <w:rPr>
                <w:spacing w:val="11"/>
              </w:rPr>
              <w:t xml:space="preserve"> </w:t>
            </w:r>
            <w:r>
              <w:rPr/>
              <w:t>开展职业病诊断工作，经责令限期改正，逾期不改，对劳动者健康或健康</w:t>
            </w:r>
            <w:r>
              <w:rPr>
                <w:spacing w:val="10"/>
              </w:rPr>
              <w:t xml:space="preserve"> </w:t>
            </w:r>
            <w:r>
              <w:rPr>
                <w:spacing w:val="4"/>
              </w:rPr>
              <w:t>权益造成严重损害，产生恶劣社会影响的</w:t>
            </w:r>
          </w:p>
        </w:tc>
        <w:tc>
          <w:tcPr>
            <w:tcW w:w="4602" w:type="dxa"/>
            <w:vAlign w:val="top"/>
          </w:tcPr>
          <w:p>
            <w:pPr>
              <w:spacing w:line="312" w:lineRule="auto"/>
              <w:rPr>
                <w:rFonts w:ascii="Arial"/>
                <w:sz w:val="21"/>
              </w:rPr>
            </w:pPr>
            <w:r/>
          </w:p>
          <w:p>
            <w:pPr>
              <w:pStyle w:val="TableText"/>
              <w:ind w:left="97"/>
              <w:spacing w:before="78" w:line="218" w:lineRule="auto"/>
              <w:rPr/>
            </w:pPr>
            <w:r>
              <w:rPr/>
              <w:t>警告，并处二万元以上三万元以下罚款</w:t>
            </w:r>
          </w:p>
        </w:tc>
      </w:tr>
    </w:tbl>
    <w:p>
      <w:pPr>
        <w:pStyle w:val="BodyText"/>
        <w:spacing w:line="456" w:lineRule="auto"/>
        <w:rPr/>
      </w:pPr>
      <w:r/>
    </w:p>
    <w:p>
      <w:pPr>
        <w:ind w:left="67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第五百二十三条职业病诊断机构拒不配合卫生健康主管部门监督检查的</w:t>
      </w:r>
    </w:p>
    <w:p>
      <w:pPr>
        <w:ind w:left="675"/>
        <w:spacing w:before="9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35" w:firstLine="629"/>
        <w:spacing w:before="68" w:line="276" w:lineRule="auto"/>
        <w:jc w:val="both"/>
        <w:rPr>
          <w:rFonts w:ascii="FangSong" w:hAnsi="FangSong" w:eastAsia="FangSong" w:cs="FangSong"/>
          <w:sz w:val="30"/>
          <w:szCs w:val="30"/>
        </w:rPr>
      </w:pPr>
      <w:r>
        <w:rPr>
          <w:rFonts w:ascii="FangSong" w:hAnsi="FangSong" w:eastAsia="FangSong" w:cs="FangSong"/>
          <w:sz w:val="30"/>
          <w:szCs w:val="30"/>
          <w:spacing w:val="24"/>
        </w:rPr>
        <w:t>《职业病诊断与鉴定管理办法》第五十七条第</w:t>
      </w:r>
      <w:r>
        <w:rPr>
          <w:rFonts w:ascii="FangSong" w:hAnsi="FangSong" w:eastAsia="FangSong" w:cs="FangSong"/>
          <w:sz w:val="30"/>
          <w:szCs w:val="30"/>
          <w:spacing w:val="23"/>
        </w:rPr>
        <w:t>(五)项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职业病诊断机构违反《职业病诊断与鉴</w:t>
      </w:r>
      <w:r>
        <w:rPr>
          <w:rFonts w:ascii="FangSong" w:hAnsi="FangSong" w:eastAsia="FangSong" w:cs="FangSong"/>
          <w:sz w:val="30"/>
          <w:szCs w:val="30"/>
        </w:rPr>
        <w:t xml:space="preserve"> </w:t>
      </w:r>
      <w:r>
        <w:rPr>
          <w:rFonts w:ascii="FangSong" w:hAnsi="FangSong" w:eastAsia="FangSong" w:cs="FangSong"/>
          <w:sz w:val="30"/>
          <w:szCs w:val="30"/>
          <w:spacing w:val="17"/>
        </w:rPr>
        <w:t>定管理办法》规定，有下列情形之一的，由县级以上地方卫生健康主管部门</w:t>
      </w:r>
      <w:r>
        <w:rPr>
          <w:rFonts w:ascii="FangSong" w:hAnsi="FangSong" w:eastAsia="FangSong" w:cs="FangSong"/>
          <w:sz w:val="30"/>
          <w:szCs w:val="30"/>
          <w:spacing w:val="16"/>
        </w:rPr>
        <w:t>责令限期改正；逾期不改</w:t>
      </w:r>
      <w:r>
        <w:rPr>
          <w:rFonts w:ascii="FangSong" w:hAnsi="FangSong" w:eastAsia="FangSong" w:cs="FangSong"/>
          <w:sz w:val="30"/>
          <w:szCs w:val="30"/>
        </w:rPr>
        <w:t xml:space="preserve"> </w:t>
      </w:r>
      <w:r>
        <w:rPr>
          <w:rFonts w:ascii="FangSong" w:hAnsi="FangSong" w:eastAsia="FangSong" w:cs="FangSong"/>
          <w:sz w:val="30"/>
          <w:szCs w:val="30"/>
          <w:spacing w:val="16"/>
        </w:rPr>
        <w:t>的，给予警告，并可以根据情节轻重处以三万元以下罚款：</w:t>
      </w:r>
    </w:p>
    <w:p>
      <w:pPr>
        <w:ind w:left="785"/>
        <w:spacing w:before="1" w:line="220" w:lineRule="auto"/>
        <w:rPr>
          <w:rFonts w:ascii="FangSong" w:hAnsi="FangSong" w:eastAsia="FangSong" w:cs="FangSong"/>
          <w:sz w:val="30"/>
          <w:szCs w:val="30"/>
        </w:rPr>
      </w:pPr>
      <w:r>
        <w:rPr>
          <w:rFonts w:ascii="FangSong" w:hAnsi="FangSong" w:eastAsia="FangSong" w:cs="FangSong"/>
          <w:sz w:val="30"/>
          <w:szCs w:val="30"/>
          <w:spacing w:val="24"/>
        </w:rPr>
        <w:t>(五)拒不配合卫生健康主管部门监督检查的；</w:t>
      </w:r>
    </w:p>
    <w:p>
      <w:pPr>
        <w:ind w:left="6439"/>
        <w:spacing w:before="21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4" w:lineRule="auto"/>
        <w:rPr>
          <w:rFonts w:ascii="Arial"/>
          <w:sz w:val="2"/>
        </w:rPr>
      </w:pPr>
      <w:r>
        <w:rPr>
          <w:rFonts w:ascii="Arial"/>
          <w:sz w:val="2"/>
        </w:rPr>
      </w:r>
    </w:p>
    <w:tbl>
      <w:tblPr>
        <w:tblStyle w:val="TableNormal"/>
        <w:tblW w:w="13791"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764"/>
        <w:gridCol w:w="4593"/>
      </w:tblGrid>
      <w:tr>
        <w:trPr>
          <w:trHeight w:val="552" w:hRule="atLeast"/>
        </w:trPr>
        <w:tc>
          <w:tcPr>
            <w:tcW w:w="1434" w:type="dxa"/>
            <w:vAlign w:val="top"/>
          </w:tcPr>
          <w:p>
            <w:pPr>
              <w:pStyle w:val="TableText"/>
              <w:ind w:left="208"/>
              <w:spacing w:before="152" w:line="220" w:lineRule="auto"/>
              <w:rPr>
                <w:sz w:val="25"/>
                <w:szCs w:val="25"/>
              </w:rPr>
            </w:pPr>
            <w:r>
              <w:rPr>
                <w:sz w:val="25"/>
                <w:szCs w:val="25"/>
                <w:b/>
                <w:bCs/>
                <w:spacing w:val="-5"/>
              </w:rPr>
              <w:t>违法程度</w:t>
            </w:r>
          </w:p>
        </w:tc>
        <w:tc>
          <w:tcPr>
            <w:tcW w:w="7764" w:type="dxa"/>
            <w:vAlign w:val="top"/>
          </w:tcPr>
          <w:p>
            <w:pPr>
              <w:pStyle w:val="TableText"/>
              <w:ind w:left="3374"/>
              <w:spacing w:before="152" w:line="220" w:lineRule="auto"/>
              <w:rPr>
                <w:sz w:val="25"/>
                <w:szCs w:val="25"/>
              </w:rPr>
            </w:pPr>
            <w:r>
              <w:rPr>
                <w:sz w:val="25"/>
                <w:szCs w:val="25"/>
                <w:b/>
                <w:bCs/>
                <w:spacing w:val="-5"/>
              </w:rPr>
              <w:t>情节后果</w:t>
            </w:r>
          </w:p>
        </w:tc>
        <w:tc>
          <w:tcPr>
            <w:tcW w:w="4593" w:type="dxa"/>
            <w:vAlign w:val="top"/>
          </w:tcPr>
          <w:p>
            <w:pPr>
              <w:pStyle w:val="TableText"/>
              <w:ind w:left="1730"/>
              <w:spacing w:before="149" w:line="218" w:lineRule="auto"/>
              <w:rPr>
                <w:sz w:val="25"/>
                <w:szCs w:val="25"/>
              </w:rPr>
            </w:pPr>
            <w:r>
              <w:rPr>
                <w:sz w:val="25"/>
                <w:szCs w:val="25"/>
                <w:b/>
                <w:bCs/>
                <w:spacing w:val="-5"/>
              </w:rPr>
              <w:t>裁量幅度</w:t>
            </w:r>
          </w:p>
        </w:tc>
      </w:tr>
      <w:tr>
        <w:trPr>
          <w:trHeight w:val="627" w:hRule="atLeast"/>
        </w:trPr>
        <w:tc>
          <w:tcPr>
            <w:tcW w:w="1434" w:type="dxa"/>
            <w:vAlign w:val="top"/>
          </w:tcPr>
          <w:p>
            <w:pPr>
              <w:pStyle w:val="TableText"/>
              <w:ind w:left="458"/>
              <w:spacing w:before="299" w:line="219" w:lineRule="auto"/>
              <w:rPr>
                <w:sz w:val="25"/>
                <w:szCs w:val="25"/>
              </w:rPr>
            </w:pPr>
            <w:r>
              <w:rPr>
                <w:sz w:val="25"/>
                <w:szCs w:val="25"/>
                <w:b/>
                <w:bCs/>
                <w:spacing w:val="-6"/>
              </w:rPr>
              <w:t>轻微</w:t>
            </w:r>
          </w:p>
        </w:tc>
        <w:tc>
          <w:tcPr>
            <w:tcW w:w="7764" w:type="dxa"/>
            <w:vAlign w:val="top"/>
          </w:tcPr>
          <w:p>
            <w:pPr>
              <w:pStyle w:val="TableText"/>
              <w:ind w:left="111"/>
              <w:spacing w:before="193" w:line="219" w:lineRule="auto"/>
              <w:rPr>
                <w:sz w:val="25"/>
                <w:szCs w:val="25"/>
              </w:rPr>
            </w:pPr>
            <w:r>
              <w:rPr>
                <w:sz w:val="25"/>
                <w:szCs w:val="25"/>
                <w:spacing w:val="1"/>
              </w:rPr>
              <w:t>拒绝卫生健康主管部门监督检查的</w:t>
            </w:r>
          </w:p>
        </w:tc>
        <w:tc>
          <w:tcPr>
            <w:tcW w:w="4593" w:type="dxa"/>
            <w:vAlign w:val="top"/>
          </w:tcPr>
          <w:p>
            <w:pPr>
              <w:pStyle w:val="TableText"/>
              <w:ind w:left="107"/>
              <w:spacing w:before="191" w:line="219" w:lineRule="auto"/>
              <w:rPr>
                <w:sz w:val="25"/>
                <w:szCs w:val="25"/>
              </w:rPr>
            </w:pPr>
            <w:r>
              <w:rPr>
                <w:sz w:val="25"/>
                <w:szCs w:val="25"/>
                <w:spacing w:val="2"/>
              </w:rPr>
              <w:t>责令限期改正</w:t>
            </w:r>
          </w:p>
        </w:tc>
      </w:tr>
      <w:tr>
        <w:trPr>
          <w:trHeight w:val="677" w:hRule="atLeast"/>
        </w:trPr>
        <w:tc>
          <w:tcPr>
            <w:tcW w:w="1434" w:type="dxa"/>
            <w:vAlign w:val="top"/>
          </w:tcPr>
          <w:p>
            <w:pPr>
              <w:pStyle w:val="TableText"/>
              <w:ind w:left="458"/>
              <w:spacing w:before="314" w:line="221" w:lineRule="auto"/>
              <w:rPr>
                <w:sz w:val="25"/>
                <w:szCs w:val="25"/>
              </w:rPr>
            </w:pPr>
            <w:r>
              <w:rPr>
                <w:sz w:val="25"/>
                <w:szCs w:val="25"/>
                <w:b/>
                <w:bCs/>
                <w:spacing w:val="-10"/>
              </w:rPr>
              <w:t>一般</w:t>
            </w:r>
          </w:p>
        </w:tc>
        <w:tc>
          <w:tcPr>
            <w:tcW w:w="7764" w:type="dxa"/>
            <w:vAlign w:val="top"/>
          </w:tcPr>
          <w:p>
            <w:pPr>
              <w:pStyle w:val="TableText"/>
              <w:ind w:left="90" w:hanging="79"/>
              <w:spacing w:before="84" w:line="215" w:lineRule="auto"/>
              <w:rPr>
                <w:sz w:val="25"/>
                <w:szCs w:val="25"/>
              </w:rPr>
            </w:pPr>
            <w:r>
              <w:rPr>
                <w:sz w:val="25"/>
                <w:szCs w:val="25"/>
                <w:spacing w:val="-8"/>
              </w:rPr>
              <w:t>拒绝卫生健康主管部门监督检查，经责令限期改正，逾期不改正，</w:t>
            </w:r>
            <w:r>
              <w:rPr>
                <w:sz w:val="25"/>
                <w:szCs w:val="25"/>
                <w:spacing w:val="-9"/>
              </w:rPr>
              <w:t>仍存在</w:t>
            </w:r>
            <w:r>
              <w:rPr>
                <w:sz w:val="25"/>
                <w:szCs w:val="25"/>
              </w:rPr>
              <w:t xml:space="preserve"> </w:t>
            </w:r>
            <w:r>
              <w:rPr>
                <w:sz w:val="25"/>
                <w:szCs w:val="25"/>
              </w:rPr>
              <w:t>不予配合、消极抵制卫生健康主管部门监督检查的</w:t>
            </w:r>
          </w:p>
        </w:tc>
        <w:tc>
          <w:tcPr>
            <w:tcW w:w="4593" w:type="dxa"/>
            <w:vAlign w:val="top"/>
          </w:tcPr>
          <w:p>
            <w:pPr>
              <w:pStyle w:val="TableText"/>
              <w:ind w:left="107"/>
              <w:spacing w:before="224" w:line="218" w:lineRule="auto"/>
              <w:rPr>
                <w:sz w:val="25"/>
                <w:szCs w:val="25"/>
              </w:rPr>
            </w:pPr>
            <w:r>
              <w:rPr>
                <w:sz w:val="25"/>
                <w:szCs w:val="25"/>
              </w:rPr>
              <w:t>警告，并可处一万元以下罚款</w:t>
            </w:r>
          </w:p>
        </w:tc>
      </w:tr>
      <w:tr>
        <w:trPr>
          <w:trHeight w:val="493" w:hRule="atLeast"/>
        </w:trPr>
        <w:tc>
          <w:tcPr>
            <w:tcW w:w="1434" w:type="dxa"/>
            <w:vAlign w:val="top"/>
          </w:tcPr>
          <w:p>
            <w:pPr>
              <w:pStyle w:val="TableText"/>
              <w:ind w:left="458"/>
              <w:spacing w:before="218" w:line="195" w:lineRule="auto"/>
              <w:rPr>
                <w:sz w:val="25"/>
                <w:szCs w:val="25"/>
              </w:rPr>
            </w:pPr>
            <w:r>
              <w:rPr>
                <w:sz w:val="25"/>
                <w:szCs w:val="25"/>
                <w:b/>
                <w:bCs/>
                <w:spacing w:val="-6"/>
              </w:rPr>
              <w:t>较重</w:t>
            </w:r>
          </w:p>
        </w:tc>
        <w:tc>
          <w:tcPr>
            <w:tcW w:w="7764" w:type="dxa"/>
            <w:vAlign w:val="top"/>
          </w:tcPr>
          <w:p>
            <w:pPr>
              <w:pStyle w:val="TableText"/>
              <w:spacing w:before="127" w:line="219" w:lineRule="auto"/>
              <w:jc w:val="right"/>
              <w:rPr>
                <w:sz w:val="25"/>
                <w:szCs w:val="25"/>
              </w:rPr>
            </w:pPr>
            <w:r>
              <w:rPr>
                <w:sz w:val="25"/>
                <w:szCs w:val="25"/>
                <w:spacing w:val="-8"/>
              </w:rPr>
              <w:t>拒绝卫生健康主管部门监督检查，经责令限期改正，逾期不改正，</w:t>
            </w:r>
            <w:r>
              <w:rPr>
                <w:sz w:val="25"/>
                <w:szCs w:val="25"/>
                <w:spacing w:val="-9"/>
              </w:rPr>
              <w:t>仍存在</w:t>
            </w:r>
          </w:p>
        </w:tc>
        <w:tc>
          <w:tcPr>
            <w:tcW w:w="4593" w:type="dxa"/>
            <w:vAlign w:val="top"/>
          </w:tcPr>
          <w:p>
            <w:pPr>
              <w:pStyle w:val="TableText"/>
              <w:spacing w:before="127" w:line="218" w:lineRule="auto"/>
              <w:jc w:val="right"/>
              <w:rPr>
                <w:sz w:val="25"/>
                <w:szCs w:val="25"/>
              </w:rPr>
            </w:pPr>
            <w:r>
              <w:rPr>
                <w:sz w:val="25"/>
                <w:szCs w:val="25"/>
                <w:spacing w:val="-2"/>
              </w:rPr>
              <w:t>警告，并可处一万元以上二万元以下罚款</w:t>
            </w:r>
          </w:p>
        </w:tc>
      </w:tr>
    </w:tbl>
    <w:p>
      <w:pPr>
        <w:pStyle w:val="BodyText"/>
        <w:rPr/>
      </w:pPr>
      <w:r/>
    </w:p>
    <w:p>
      <w:pPr>
        <w:sectPr>
          <w:footerReference w:type="default" r:id="rId551"/>
          <w:pgSz w:w="16830" w:h="11900"/>
          <w:pgMar w:top="1011" w:right="1439" w:bottom="1107" w:left="1414" w:header="0" w:footer="774" w:gutter="0"/>
        </w:sectPr>
        <w:rPr/>
      </w:pPr>
    </w:p>
    <w:p>
      <w:pPr>
        <w:spacing w:before="20"/>
        <w:rPr/>
      </w:pPr>
      <w:r/>
    </w:p>
    <w:p>
      <w:pPr>
        <w:spacing w:before="20"/>
        <w:rPr/>
      </w:pPr>
      <w:r/>
    </w:p>
    <w:p>
      <w:pPr>
        <w:spacing w:before="19"/>
        <w:rPr/>
      </w:pPr>
      <w:r/>
    </w:p>
    <w:tbl>
      <w:tblPr>
        <w:tblStyle w:val="TableNormal"/>
        <w:tblW w:w="1380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754"/>
        <w:gridCol w:w="4612"/>
      </w:tblGrid>
      <w:tr>
        <w:trPr>
          <w:trHeight w:val="401" w:hRule="atLeast"/>
        </w:trPr>
        <w:tc>
          <w:tcPr>
            <w:tcW w:w="1434" w:type="dxa"/>
            <w:vAlign w:val="top"/>
          </w:tcPr>
          <w:p>
            <w:pPr>
              <w:rPr>
                <w:rFonts w:ascii="Arial"/>
                <w:sz w:val="21"/>
              </w:rPr>
            </w:pPr>
            <w:r/>
          </w:p>
        </w:tc>
        <w:tc>
          <w:tcPr>
            <w:tcW w:w="7754" w:type="dxa"/>
            <w:vAlign w:val="top"/>
          </w:tcPr>
          <w:p>
            <w:pPr>
              <w:pStyle w:val="TableText"/>
              <w:ind w:left="111"/>
              <w:spacing w:before="85" w:line="219" w:lineRule="auto"/>
              <w:rPr>
                <w:sz w:val="25"/>
                <w:szCs w:val="25"/>
              </w:rPr>
            </w:pPr>
            <w:r>
              <w:rPr>
                <w:sz w:val="25"/>
                <w:szCs w:val="25"/>
              </w:rPr>
              <w:t>以主动方式(吵闹、谩骂等)阻碍卫生健康主管部门监督检查的</w:t>
            </w:r>
          </w:p>
        </w:tc>
        <w:tc>
          <w:tcPr>
            <w:tcW w:w="4612" w:type="dxa"/>
            <w:vAlign w:val="top"/>
          </w:tcPr>
          <w:p>
            <w:pPr>
              <w:rPr>
                <w:rFonts w:ascii="Arial"/>
                <w:sz w:val="21"/>
              </w:rPr>
            </w:pPr>
            <w:r/>
          </w:p>
        </w:tc>
      </w:tr>
      <w:tr>
        <w:trPr>
          <w:trHeight w:val="679" w:hRule="atLeast"/>
        </w:trPr>
        <w:tc>
          <w:tcPr>
            <w:tcW w:w="1434" w:type="dxa"/>
            <w:vAlign w:val="top"/>
          </w:tcPr>
          <w:p>
            <w:pPr>
              <w:spacing w:line="248" w:lineRule="auto"/>
              <w:rPr>
                <w:rFonts w:ascii="Arial"/>
                <w:sz w:val="21"/>
              </w:rPr>
            </w:pPr>
            <w:r/>
          </w:p>
          <w:p>
            <w:pPr>
              <w:pStyle w:val="TableText"/>
              <w:ind w:left="428"/>
              <w:spacing w:before="81" w:line="220" w:lineRule="auto"/>
              <w:rPr>
                <w:sz w:val="25"/>
                <w:szCs w:val="25"/>
              </w:rPr>
            </w:pPr>
            <w:r>
              <w:rPr>
                <w:sz w:val="25"/>
                <w:szCs w:val="25"/>
                <w:b/>
                <w:bCs/>
                <w:spacing w:val="-6"/>
              </w:rPr>
              <w:t>严重</w:t>
            </w:r>
          </w:p>
        </w:tc>
        <w:tc>
          <w:tcPr>
            <w:tcW w:w="7754" w:type="dxa"/>
            <w:vAlign w:val="top"/>
          </w:tcPr>
          <w:p>
            <w:pPr>
              <w:pStyle w:val="TableText"/>
              <w:ind w:left="110" w:hanging="10"/>
              <w:spacing w:before="73" w:line="220" w:lineRule="auto"/>
              <w:rPr>
                <w:sz w:val="25"/>
                <w:szCs w:val="25"/>
              </w:rPr>
            </w:pPr>
            <w:r>
              <w:rPr>
                <w:sz w:val="25"/>
                <w:szCs w:val="25"/>
                <w:spacing w:val="-11"/>
              </w:rPr>
              <w:t>拒绝卫生健康主管部门监督检查，经责令限期改正，逾期不</w:t>
            </w:r>
            <w:r>
              <w:rPr>
                <w:sz w:val="25"/>
                <w:szCs w:val="25"/>
                <w:spacing w:val="-12"/>
              </w:rPr>
              <w:t>改正，仍存在</w:t>
            </w:r>
            <w:r>
              <w:rPr>
                <w:sz w:val="25"/>
                <w:szCs w:val="25"/>
              </w:rPr>
              <w:t xml:space="preserve"> </w:t>
            </w:r>
            <w:r>
              <w:rPr>
                <w:sz w:val="25"/>
                <w:szCs w:val="25"/>
              </w:rPr>
              <w:t>以暴力手段拒绝监督检查，对执法人员造成健康损害的</w:t>
            </w:r>
          </w:p>
        </w:tc>
        <w:tc>
          <w:tcPr>
            <w:tcW w:w="4612" w:type="dxa"/>
            <w:vAlign w:val="top"/>
          </w:tcPr>
          <w:p>
            <w:pPr>
              <w:pStyle w:val="TableText"/>
              <w:ind w:left="126"/>
              <w:spacing w:before="222" w:line="218" w:lineRule="auto"/>
              <w:rPr>
                <w:sz w:val="25"/>
                <w:szCs w:val="25"/>
              </w:rPr>
            </w:pPr>
            <w:r>
              <w:rPr>
                <w:sz w:val="25"/>
                <w:szCs w:val="25"/>
              </w:rPr>
              <w:t>警告，并处二万元以上三万元以下罚款</w:t>
            </w:r>
          </w:p>
        </w:tc>
      </w:tr>
    </w:tbl>
    <w:p>
      <w:pPr>
        <w:pStyle w:val="BodyText"/>
        <w:spacing w:line="348" w:lineRule="auto"/>
        <w:rPr/>
      </w:pPr>
      <w:r/>
    </w:p>
    <w:p>
      <w:pPr>
        <w:pStyle w:val="BodyText"/>
        <w:spacing w:line="349" w:lineRule="auto"/>
        <w:rPr/>
      </w:pPr>
      <w:r/>
    </w:p>
    <w:p>
      <w:pPr>
        <w:ind w:left="789"/>
        <w:spacing w:before="104" w:line="223" w:lineRule="auto"/>
        <w:rPr>
          <w:rFonts w:ascii="KaiTi" w:hAnsi="KaiTi" w:eastAsia="KaiTi" w:cs="KaiTi"/>
          <w:sz w:val="32"/>
          <w:szCs w:val="32"/>
        </w:rPr>
      </w:pPr>
      <w:bookmarkStart w:name="bookmark1183" w:id="559"/>
      <w:bookmarkEnd w:id="559"/>
      <w:r>
        <w:rPr>
          <w:rFonts w:ascii="KaiTi" w:hAnsi="KaiTi" w:eastAsia="KaiTi" w:cs="KaiTi"/>
          <w:sz w:val="32"/>
          <w:szCs w:val="32"/>
          <w:b/>
          <w:bCs/>
          <w:spacing w:val="7"/>
        </w:rPr>
        <w:t>(七)《职业卫生技术服务机构管理办法》</w:t>
      </w:r>
    </w:p>
    <w:p>
      <w:pPr>
        <w:ind w:left="669"/>
        <w:spacing w:before="325" w:line="220" w:lineRule="auto"/>
        <w:rPr>
          <w:rFonts w:ascii="FangSong" w:hAnsi="FangSong" w:eastAsia="FangSong" w:cs="FangSong"/>
          <w:sz w:val="32"/>
          <w:szCs w:val="32"/>
        </w:rPr>
      </w:pPr>
      <w:r>
        <w:rPr>
          <w:rFonts w:ascii="FangSong" w:hAnsi="FangSong" w:eastAsia="FangSong" w:cs="FangSong"/>
          <w:sz w:val="32"/>
          <w:szCs w:val="32"/>
          <w:b/>
          <w:bCs/>
          <w:spacing w:val="1"/>
        </w:rPr>
        <w:t>第五百二十四条隐瞒有关情况或者提供虚假材料申请职业卫生技术服务机构资质认可的</w:t>
      </w:r>
    </w:p>
    <w:p>
      <w:pPr>
        <w:ind w:left="675"/>
        <w:spacing w:before="85"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14" w:firstLine="620"/>
        <w:spacing w:before="80" w:line="257" w:lineRule="auto"/>
        <w:rPr>
          <w:rFonts w:ascii="FangSong" w:hAnsi="FangSong" w:eastAsia="FangSong" w:cs="FangSong"/>
          <w:sz w:val="32"/>
          <w:szCs w:val="32"/>
        </w:rPr>
      </w:pPr>
      <w:r>
        <w:rPr>
          <w:rFonts w:ascii="FangSong" w:hAnsi="FangSong" w:eastAsia="FangSong" w:cs="FangSong"/>
          <w:sz w:val="32"/>
          <w:szCs w:val="32"/>
          <w:spacing w:val="-2"/>
        </w:rPr>
        <w:t>《职业卫生技术服务机构管理办法》第四十条第一款</w:t>
      </w:r>
      <w:r>
        <w:rPr>
          <w:rFonts w:ascii="FangSong" w:hAnsi="FangSong" w:eastAsia="FangSong" w:cs="FangSong"/>
          <w:sz w:val="32"/>
          <w:szCs w:val="32"/>
          <w:spacing w:val="145"/>
        </w:rPr>
        <w:t xml:space="preserve"> </w:t>
      </w:r>
      <w:r>
        <w:rPr>
          <w:rFonts w:ascii="FangSong" w:hAnsi="FangSong" w:eastAsia="FangSong" w:cs="FangSong"/>
          <w:sz w:val="32"/>
          <w:szCs w:val="32"/>
          <w:spacing w:val="-2"/>
        </w:rPr>
        <w:t>申请人隐瞒有关情况或者提供虚假材料申</w:t>
      </w:r>
      <w:r>
        <w:rPr>
          <w:rFonts w:ascii="FangSong" w:hAnsi="FangSong" w:eastAsia="FangSong" w:cs="FangSong"/>
          <w:sz w:val="32"/>
          <w:szCs w:val="32"/>
        </w:rPr>
        <w:t xml:space="preserve"> </w:t>
      </w:r>
      <w:r>
        <w:rPr>
          <w:rFonts w:ascii="FangSong" w:hAnsi="FangSong" w:eastAsia="FangSong" w:cs="FangSong"/>
          <w:sz w:val="32"/>
          <w:szCs w:val="32"/>
          <w:spacing w:val="-3"/>
        </w:rPr>
        <w:t>请职业卫生技术服务机构资质认可的，资质认可机关不予受理或者不予认可，并</w:t>
      </w:r>
      <w:r>
        <w:rPr>
          <w:rFonts w:ascii="FangSong" w:hAnsi="FangSong" w:eastAsia="FangSong" w:cs="FangSong"/>
          <w:sz w:val="32"/>
          <w:szCs w:val="32"/>
          <w:spacing w:val="-4"/>
        </w:rPr>
        <w:t>给予警告；申请人自</w:t>
      </w:r>
      <w:r>
        <w:rPr>
          <w:rFonts w:ascii="FangSong" w:hAnsi="FangSong" w:eastAsia="FangSong" w:cs="FangSong"/>
          <w:sz w:val="32"/>
          <w:szCs w:val="32"/>
        </w:rPr>
        <w:t xml:space="preserve"> </w:t>
      </w:r>
      <w:r>
        <w:rPr>
          <w:rFonts w:ascii="FangSong" w:hAnsi="FangSong" w:eastAsia="FangSong" w:cs="FangSong"/>
          <w:sz w:val="32"/>
          <w:szCs w:val="32"/>
        </w:rPr>
        <w:t>资质认可机关作出不予受理或者不予认可决定之日起一年内不得再次申请职业卫</w:t>
      </w:r>
      <w:r>
        <w:rPr>
          <w:rFonts w:ascii="FangSong" w:hAnsi="FangSong" w:eastAsia="FangSong" w:cs="FangSong"/>
          <w:sz w:val="32"/>
          <w:szCs w:val="32"/>
          <w:spacing w:val="-1"/>
        </w:rPr>
        <w:t>生技术服务机构资</w:t>
      </w:r>
      <w:r>
        <w:rPr>
          <w:rFonts w:ascii="FangSong" w:hAnsi="FangSong" w:eastAsia="FangSong" w:cs="FangSong"/>
          <w:sz w:val="32"/>
          <w:szCs w:val="32"/>
        </w:rPr>
        <w:t xml:space="preserve">  </w:t>
      </w:r>
      <w:r>
        <w:rPr>
          <w:rFonts w:ascii="FangSong" w:hAnsi="FangSong" w:eastAsia="FangSong" w:cs="FangSong"/>
          <w:sz w:val="32"/>
          <w:szCs w:val="32"/>
          <w:spacing w:val="-10"/>
        </w:rPr>
        <w:t>质。</w:t>
      </w:r>
    </w:p>
    <w:p>
      <w:pPr>
        <w:ind w:left="6429"/>
        <w:spacing w:before="132" w:line="220" w:lineRule="auto"/>
        <w:rPr>
          <w:rFonts w:ascii="SimSun" w:hAnsi="SimSun" w:eastAsia="SimSun" w:cs="SimSun"/>
          <w:sz w:val="29"/>
          <w:szCs w:val="29"/>
        </w:rPr>
      </w:pPr>
      <w:r>
        <w:rPr>
          <w:rFonts w:ascii="SimSun" w:hAnsi="SimSun" w:eastAsia="SimSun" w:cs="SimSun"/>
          <w:sz w:val="29"/>
          <w:szCs w:val="29"/>
          <w:b/>
          <w:bCs/>
          <w:spacing w:val="-6"/>
        </w:rPr>
        <w:t>裁量标准</w:t>
      </w:r>
    </w:p>
    <w:p>
      <w:pPr>
        <w:spacing w:line="111" w:lineRule="auto"/>
        <w:rPr>
          <w:rFonts w:ascii="Arial"/>
          <w:sz w:val="2"/>
        </w:rPr>
      </w:pPr>
      <w:r>
        <w:rPr>
          <w:rFonts w:ascii="Arial"/>
          <w:sz w:val="2"/>
        </w:rPr>
      </w:r>
    </w:p>
    <w:tbl>
      <w:tblPr>
        <w:tblStyle w:val="TableNormal"/>
        <w:tblW w:w="1375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3"/>
        <w:gridCol w:w="6945"/>
        <w:gridCol w:w="5411"/>
      </w:tblGrid>
      <w:tr>
        <w:trPr>
          <w:trHeight w:val="622" w:hRule="atLeast"/>
        </w:trPr>
        <w:tc>
          <w:tcPr>
            <w:tcW w:w="1403" w:type="dxa"/>
            <w:vAlign w:val="top"/>
          </w:tcPr>
          <w:p>
            <w:pPr>
              <w:pStyle w:val="TableText"/>
              <w:ind w:left="198"/>
              <w:spacing w:before="192" w:line="220" w:lineRule="auto"/>
              <w:rPr>
                <w:sz w:val="25"/>
                <w:szCs w:val="25"/>
              </w:rPr>
            </w:pPr>
            <w:r>
              <w:rPr>
                <w:sz w:val="25"/>
                <w:szCs w:val="25"/>
                <w:b/>
                <w:bCs/>
                <w:spacing w:val="-5"/>
              </w:rPr>
              <w:t>违法程度</w:t>
            </w:r>
          </w:p>
        </w:tc>
        <w:tc>
          <w:tcPr>
            <w:tcW w:w="6945" w:type="dxa"/>
            <w:vAlign w:val="top"/>
          </w:tcPr>
          <w:p>
            <w:pPr>
              <w:pStyle w:val="TableText"/>
              <w:ind w:left="2925"/>
              <w:spacing w:before="192" w:line="220" w:lineRule="auto"/>
              <w:rPr>
                <w:sz w:val="25"/>
                <w:szCs w:val="25"/>
              </w:rPr>
            </w:pPr>
            <w:r>
              <w:rPr>
                <w:sz w:val="25"/>
                <w:szCs w:val="25"/>
                <w:b/>
                <w:bCs/>
                <w:spacing w:val="-5"/>
              </w:rPr>
              <w:t>情节后果</w:t>
            </w:r>
          </w:p>
        </w:tc>
        <w:tc>
          <w:tcPr>
            <w:tcW w:w="5411" w:type="dxa"/>
            <w:vAlign w:val="top"/>
          </w:tcPr>
          <w:p>
            <w:pPr>
              <w:pStyle w:val="TableText"/>
              <w:ind w:left="2200"/>
              <w:spacing w:before="189" w:line="218" w:lineRule="auto"/>
              <w:rPr>
                <w:sz w:val="25"/>
                <w:szCs w:val="25"/>
              </w:rPr>
            </w:pPr>
            <w:r>
              <w:rPr>
                <w:sz w:val="25"/>
                <w:szCs w:val="25"/>
                <w:b/>
                <w:bCs/>
                <w:spacing w:val="-5"/>
              </w:rPr>
              <w:t>裁量幅度</w:t>
            </w:r>
          </w:p>
        </w:tc>
      </w:tr>
      <w:tr>
        <w:trPr>
          <w:trHeight w:val="507" w:hRule="atLeast"/>
        </w:trPr>
        <w:tc>
          <w:tcPr>
            <w:tcW w:w="1403" w:type="dxa"/>
            <w:vAlign w:val="top"/>
          </w:tcPr>
          <w:p>
            <w:pPr>
              <w:pStyle w:val="TableText"/>
              <w:ind w:left="448"/>
              <w:spacing w:before="211" w:line="211" w:lineRule="auto"/>
              <w:rPr>
                <w:sz w:val="25"/>
                <w:szCs w:val="25"/>
              </w:rPr>
            </w:pPr>
            <w:r>
              <w:rPr>
                <w:sz w:val="25"/>
                <w:szCs w:val="25"/>
                <w:b/>
                <w:bCs/>
                <w:spacing w:val="-10"/>
              </w:rPr>
              <w:t>一般</w:t>
            </w:r>
          </w:p>
        </w:tc>
        <w:tc>
          <w:tcPr>
            <w:tcW w:w="6945" w:type="dxa"/>
            <w:vAlign w:val="top"/>
          </w:tcPr>
          <w:p>
            <w:pPr>
              <w:pStyle w:val="TableText"/>
              <w:ind w:left="122"/>
              <w:spacing w:before="133" w:line="219" w:lineRule="auto"/>
              <w:rPr>
                <w:sz w:val="25"/>
                <w:szCs w:val="25"/>
              </w:rPr>
            </w:pPr>
            <w:r>
              <w:rPr>
                <w:sz w:val="25"/>
                <w:szCs w:val="25"/>
                <w:spacing w:val="1"/>
              </w:rPr>
              <w:t>资质申请时，申请人隐瞒有关情况的</w:t>
            </w:r>
          </w:p>
        </w:tc>
        <w:tc>
          <w:tcPr>
            <w:tcW w:w="5411" w:type="dxa"/>
            <w:vAlign w:val="top"/>
          </w:tcPr>
          <w:p>
            <w:pPr>
              <w:pStyle w:val="TableText"/>
              <w:ind w:left="117"/>
              <w:spacing w:before="131" w:line="218" w:lineRule="auto"/>
              <w:rPr>
                <w:sz w:val="25"/>
                <w:szCs w:val="25"/>
              </w:rPr>
            </w:pPr>
            <w:r>
              <w:rPr>
                <w:sz w:val="25"/>
                <w:szCs w:val="25"/>
                <w:spacing w:val="4"/>
              </w:rPr>
              <w:t>给予警告</w:t>
            </w:r>
          </w:p>
        </w:tc>
      </w:tr>
      <w:tr>
        <w:trPr>
          <w:trHeight w:val="791" w:hRule="atLeast"/>
        </w:trPr>
        <w:tc>
          <w:tcPr>
            <w:tcW w:w="1403" w:type="dxa"/>
            <w:vAlign w:val="top"/>
          </w:tcPr>
          <w:p>
            <w:pPr>
              <w:spacing w:line="280" w:lineRule="auto"/>
              <w:rPr>
                <w:rFonts w:ascii="Arial"/>
                <w:sz w:val="21"/>
              </w:rPr>
            </w:pPr>
            <w:r/>
          </w:p>
          <w:p>
            <w:pPr>
              <w:pStyle w:val="TableText"/>
              <w:ind w:left="448"/>
              <w:spacing w:before="81" w:line="220" w:lineRule="auto"/>
              <w:rPr>
                <w:sz w:val="25"/>
                <w:szCs w:val="25"/>
              </w:rPr>
            </w:pPr>
            <w:r>
              <w:rPr>
                <w:sz w:val="25"/>
                <w:szCs w:val="25"/>
                <w:b/>
                <w:bCs/>
                <w:spacing w:val="-6"/>
              </w:rPr>
              <w:t>严重</w:t>
            </w:r>
          </w:p>
        </w:tc>
        <w:tc>
          <w:tcPr>
            <w:tcW w:w="6945" w:type="dxa"/>
            <w:vAlign w:val="top"/>
          </w:tcPr>
          <w:p>
            <w:pPr>
              <w:pStyle w:val="TableText"/>
              <w:ind w:left="122"/>
              <w:spacing w:before="274" w:line="219" w:lineRule="auto"/>
              <w:rPr>
                <w:sz w:val="25"/>
                <w:szCs w:val="25"/>
              </w:rPr>
            </w:pPr>
            <w:r>
              <w:rPr>
                <w:sz w:val="25"/>
                <w:szCs w:val="25"/>
              </w:rPr>
              <w:t>提供虚假材料申请职业卫生技术服务机构资质认可的</w:t>
            </w:r>
          </w:p>
        </w:tc>
        <w:tc>
          <w:tcPr>
            <w:tcW w:w="5411" w:type="dxa"/>
            <w:vAlign w:val="top"/>
          </w:tcPr>
          <w:p>
            <w:pPr>
              <w:pStyle w:val="TableText"/>
              <w:ind w:left="76" w:hanging="60"/>
              <w:spacing w:before="103" w:line="250" w:lineRule="auto"/>
              <w:rPr>
                <w:sz w:val="25"/>
                <w:szCs w:val="25"/>
              </w:rPr>
            </w:pPr>
            <w:r>
              <w:rPr>
                <w:sz w:val="25"/>
                <w:szCs w:val="25"/>
                <w:spacing w:val="-6"/>
              </w:rPr>
              <w:t>给予警告，作出不予受理或者不予认可决定之日起</w:t>
            </w:r>
            <w:r>
              <w:rPr>
                <w:sz w:val="25"/>
                <w:szCs w:val="25"/>
                <w:spacing w:val="15"/>
              </w:rPr>
              <w:t xml:space="preserve"> </w:t>
            </w:r>
            <w:r>
              <w:rPr>
                <w:sz w:val="25"/>
                <w:szCs w:val="25"/>
                <w:spacing w:val="1"/>
              </w:rPr>
              <w:t>一年内不得再次申请职业卫生技术服务机构资质</w:t>
            </w:r>
          </w:p>
        </w:tc>
      </w:tr>
    </w:tbl>
    <w:p>
      <w:pPr>
        <w:pStyle w:val="BodyText"/>
        <w:rPr/>
      </w:pPr>
      <w:r/>
    </w:p>
    <w:p>
      <w:pPr>
        <w:sectPr>
          <w:footerReference w:type="default" r:id="rId552"/>
          <w:pgSz w:w="16830" w:h="11900"/>
          <w:pgMar w:top="1011" w:right="1425" w:bottom="1093" w:left="1425" w:header="0" w:footer="804" w:gutter="0"/>
        </w:sectPr>
        <w:rPr/>
      </w:pPr>
    </w:p>
    <w:p>
      <w:pPr>
        <w:pStyle w:val="BodyText"/>
        <w:spacing w:line="256" w:lineRule="auto"/>
        <w:rPr/>
      </w:pPr>
      <w:r/>
    </w:p>
    <w:p>
      <w:pPr>
        <w:pStyle w:val="BodyText"/>
        <w:spacing w:line="256" w:lineRule="auto"/>
        <w:rPr/>
      </w:pPr>
      <w:r/>
    </w:p>
    <w:p>
      <w:pPr>
        <w:pStyle w:val="BodyText"/>
        <w:spacing w:line="256" w:lineRule="auto"/>
        <w:rPr/>
      </w:pPr>
      <w:r/>
    </w:p>
    <w:p>
      <w:pPr>
        <w:ind w:left="679"/>
        <w:spacing w:before="97" w:line="220" w:lineRule="auto"/>
        <w:outlineLvl w:val="0"/>
        <w:rPr>
          <w:rFonts w:ascii="FangSong" w:hAnsi="FangSong" w:eastAsia="FangSong" w:cs="FangSong"/>
          <w:sz w:val="30"/>
          <w:szCs w:val="30"/>
        </w:rPr>
      </w:pPr>
      <w:bookmarkStart w:name="bookmark1184" w:id="560"/>
      <w:bookmarkEnd w:id="560"/>
      <w:bookmarkStart w:name="bookmark610" w:id="561"/>
      <w:bookmarkEnd w:id="561"/>
      <w:r>
        <w:rPr>
          <w:rFonts w:ascii="FangSong" w:hAnsi="FangSong" w:eastAsia="FangSong" w:cs="FangSong"/>
          <w:sz w:val="30"/>
          <w:szCs w:val="30"/>
          <w:b/>
          <w:bCs/>
          <w:spacing w:val="22"/>
        </w:rPr>
        <w:t>第五百二十五条以欺骗、贿赂等不正当手段取得职业卫生技术服务机</w:t>
      </w:r>
      <w:r>
        <w:rPr>
          <w:rFonts w:ascii="FangSong" w:hAnsi="FangSong" w:eastAsia="FangSong" w:cs="FangSong"/>
          <w:sz w:val="30"/>
          <w:szCs w:val="30"/>
          <w:b/>
          <w:bCs/>
          <w:spacing w:val="21"/>
        </w:rPr>
        <w:t>构资质认可的</w:t>
      </w:r>
    </w:p>
    <w:p>
      <w:pPr>
        <w:ind w:left="675"/>
        <w:spacing w:before="7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45" w:firstLine="619"/>
        <w:spacing w:before="96" w:line="270" w:lineRule="auto"/>
        <w:jc w:val="both"/>
        <w:rPr>
          <w:rFonts w:ascii="FangSong" w:hAnsi="FangSong" w:eastAsia="FangSong" w:cs="FangSong"/>
          <w:sz w:val="30"/>
          <w:szCs w:val="30"/>
        </w:rPr>
      </w:pPr>
      <w:r>
        <w:rPr>
          <w:rFonts w:ascii="FangSong" w:hAnsi="FangSong" w:eastAsia="FangSong" w:cs="FangSong"/>
          <w:sz w:val="30"/>
          <w:szCs w:val="30"/>
          <w:spacing w:val="17"/>
        </w:rPr>
        <w:t>《职业卫生技术服务机构管理办法》第四十条第二款</w:t>
      </w:r>
      <w:r>
        <w:rPr>
          <w:rFonts w:ascii="FangSong" w:hAnsi="FangSong" w:eastAsia="FangSong" w:cs="FangSong"/>
          <w:sz w:val="30"/>
          <w:szCs w:val="30"/>
          <w:spacing w:val="17"/>
        </w:rPr>
        <w:t xml:space="preserve">  </w:t>
      </w:r>
      <w:r>
        <w:rPr>
          <w:rFonts w:ascii="FangSong" w:hAnsi="FangSong" w:eastAsia="FangSong" w:cs="FangSong"/>
          <w:sz w:val="30"/>
          <w:szCs w:val="30"/>
          <w:spacing w:val="17"/>
        </w:rPr>
        <w:t>职业</w:t>
      </w:r>
      <w:r>
        <w:rPr>
          <w:rFonts w:ascii="FangSong" w:hAnsi="FangSong" w:eastAsia="FangSong" w:cs="FangSong"/>
          <w:sz w:val="30"/>
          <w:szCs w:val="30"/>
          <w:spacing w:val="16"/>
        </w:rPr>
        <w:t>卫生技术服务机构以欺骗、贿赂等不</w:t>
      </w:r>
      <w:r>
        <w:rPr>
          <w:rFonts w:ascii="FangSong" w:hAnsi="FangSong" w:eastAsia="FangSong" w:cs="FangSong"/>
          <w:sz w:val="30"/>
          <w:szCs w:val="30"/>
        </w:rPr>
        <w:t xml:space="preserve"> </w:t>
      </w:r>
      <w:r>
        <w:rPr>
          <w:rFonts w:ascii="FangSong" w:hAnsi="FangSong" w:eastAsia="FangSong" w:cs="FangSong"/>
          <w:sz w:val="30"/>
          <w:szCs w:val="30"/>
          <w:spacing w:val="18"/>
        </w:rPr>
        <w:t>正当手段取得职业卫生技术服务机构资质认可的</w:t>
      </w:r>
      <w:r>
        <w:rPr>
          <w:rFonts w:ascii="FangSong" w:hAnsi="FangSong" w:eastAsia="FangSong" w:cs="FangSong"/>
          <w:sz w:val="30"/>
          <w:szCs w:val="30"/>
          <w:spacing w:val="17"/>
        </w:rPr>
        <w:t>，资质认可机关应当撤销其资质认可，并给予警告；</w:t>
      </w:r>
      <w:r>
        <w:rPr>
          <w:rFonts w:ascii="FangSong" w:hAnsi="FangSong" w:eastAsia="FangSong" w:cs="FangSong"/>
          <w:sz w:val="30"/>
          <w:szCs w:val="30"/>
        </w:rPr>
        <w:t xml:space="preserve"> </w:t>
      </w:r>
      <w:r>
        <w:rPr>
          <w:rFonts w:ascii="FangSong" w:hAnsi="FangSong" w:eastAsia="FangSong" w:cs="FangSong"/>
          <w:sz w:val="30"/>
          <w:szCs w:val="30"/>
          <w:spacing w:val="18"/>
        </w:rPr>
        <w:t>申请人自资质认可机关撤销其资质认可之日起三年内不得</w:t>
      </w:r>
      <w:r>
        <w:rPr>
          <w:rFonts w:ascii="FangSong" w:hAnsi="FangSong" w:eastAsia="FangSong" w:cs="FangSong"/>
          <w:sz w:val="30"/>
          <w:szCs w:val="30"/>
          <w:spacing w:val="17"/>
        </w:rPr>
        <w:t>再次申请职业卫生技术服务机构资质。</w:t>
      </w:r>
    </w:p>
    <w:p>
      <w:pPr>
        <w:ind w:left="6439"/>
        <w:spacing w:before="16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7" w:lineRule="auto"/>
        <w:rPr>
          <w:rFonts w:ascii="Arial"/>
          <w:sz w:val="2"/>
        </w:rPr>
      </w:pPr>
      <w:r>
        <w:rPr>
          <w:rFonts w:ascii="Arial"/>
          <w:sz w:val="2"/>
        </w:rPr>
      </w:r>
    </w:p>
    <w:tbl>
      <w:tblPr>
        <w:tblStyle w:val="TableNormal"/>
        <w:tblW w:w="13853"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6925"/>
        <w:gridCol w:w="5494"/>
      </w:tblGrid>
      <w:tr>
        <w:trPr>
          <w:trHeight w:val="523" w:hRule="atLeast"/>
        </w:trPr>
        <w:tc>
          <w:tcPr>
            <w:tcW w:w="1434" w:type="dxa"/>
            <w:vAlign w:val="top"/>
          </w:tcPr>
          <w:p>
            <w:pPr>
              <w:pStyle w:val="TableText"/>
              <w:ind w:left="208"/>
              <w:spacing w:before="142" w:line="220" w:lineRule="auto"/>
              <w:rPr>
                <w:sz w:val="25"/>
                <w:szCs w:val="25"/>
              </w:rPr>
            </w:pPr>
            <w:r>
              <w:rPr>
                <w:sz w:val="25"/>
                <w:szCs w:val="25"/>
                <w:b/>
                <w:bCs/>
                <w:spacing w:val="-5"/>
              </w:rPr>
              <w:t>违法程度</w:t>
            </w:r>
          </w:p>
        </w:tc>
        <w:tc>
          <w:tcPr>
            <w:tcW w:w="6925" w:type="dxa"/>
            <w:vAlign w:val="top"/>
          </w:tcPr>
          <w:p>
            <w:pPr>
              <w:pStyle w:val="TableText"/>
              <w:ind w:left="2904"/>
              <w:spacing w:before="142" w:line="220" w:lineRule="auto"/>
              <w:rPr>
                <w:sz w:val="25"/>
                <w:szCs w:val="25"/>
              </w:rPr>
            </w:pPr>
            <w:r>
              <w:rPr>
                <w:sz w:val="25"/>
                <w:szCs w:val="25"/>
                <w:b/>
                <w:bCs/>
                <w:spacing w:val="-5"/>
              </w:rPr>
              <w:t>情节后果</w:t>
            </w:r>
          </w:p>
        </w:tc>
        <w:tc>
          <w:tcPr>
            <w:tcW w:w="5494" w:type="dxa"/>
            <w:vAlign w:val="top"/>
          </w:tcPr>
          <w:p>
            <w:pPr>
              <w:pStyle w:val="TableText"/>
              <w:ind w:left="2239"/>
              <w:spacing w:before="139" w:line="218" w:lineRule="auto"/>
              <w:rPr>
                <w:sz w:val="25"/>
                <w:szCs w:val="25"/>
              </w:rPr>
            </w:pPr>
            <w:r>
              <w:rPr>
                <w:sz w:val="25"/>
                <w:szCs w:val="25"/>
                <w:b/>
                <w:bCs/>
                <w:spacing w:val="-5"/>
              </w:rPr>
              <w:t>裁量幅度</w:t>
            </w:r>
          </w:p>
        </w:tc>
      </w:tr>
      <w:tr>
        <w:trPr>
          <w:trHeight w:val="667" w:hRule="atLeast"/>
        </w:trPr>
        <w:tc>
          <w:tcPr>
            <w:tcW w:w="1434" w:type="dxa"/>
            <w:vAlign w:val="top"/>
          </w:tcPr>
          <w:p>
            <w:pPr>
              <w:pStyle w:val="TableText"/>
              <w:ind w:left="458"/>
              <w:spacing w:before="300" w:line="221" w:lineRule="auto"/>
              <w:rPr>
                <w:sz w:val="25"/>
                <w:szCs w:val="25"/>
              </w:rPr>
            </w:pPr>
            <w:r>
              <w:rPr>
                <w:sz w:val="25"/>
                <w:szCs w:val="25"/>
                <w:b/>
                <w:bCs/>
                <w:spacing w:val="-10"/>
              </w:rPr>
              <w:t>一般</w:t>
            </w:r>
          </w:p>
        </w:tc>
        <w:tc>
          <w:tcPr>
            <w:tcW w:w="6925" w:type="dxa"/>
            <w:vAlign w:val="top"/>
          </w:tcPr>
          <w:p>
            <w:pPr>
              <w:pStyle w:val="TableText"/>
              <w:ind w:left="120"/>
              <w:spacing w:before="210" w:line="219" w:lineRule="auto"/>
              <w:rPr>
                <w:sz w:val="25"/>
                <w:szCs w:val="25"/>
              </w:rPr>
            </w:pPr>
            <w:r>
              <w:rPr>
                <w:sz w:val="25"/>
                <w:szCs w:val="25"/>
              </w:rPr>
              <w:t>以欺骗的手段取得职业卫生技术服务机构资质认可的</w:t>
            </w:r>
          </w:p>
        </w:tc>
        <w:tc>
          <w:tcPr>
            <w:tcW w:w="5494" w:type="dxa"/>
            <w:vAlign w:val="top"/>
          </w:tcPr>
          <w:p>
            <w:pPr>
              <w:pStyle w:val="TableText"/>
              <w:ind w:left="116"/>
              <w:spacing w:before="210" w:line="218" w:lineRule="auto"/>
              <w:rPr>
                <w:sz w:val="25"/>
                <w:szCs w:val="25"/>
              </w:rPr>
            </w:pPr>
            <w:r>
              <w:rPr>
                <w:sz w:val="25"/>
                <w:szCs w:val="25"/>
                <w:spacing w:val="1"/>
              </w:rPr>
              <w:t>撤销其资质认可，并给予警告</w:t>
            </w:r>
          </w:p>
        </w:tc>
      </w:tr>
      <w:tr>
        <w:trPr>
          <w:trHeight w:val="1020" w:hRule="atLeast"/>
        </w:trPr>
        <w:tc>
          <w:tcPr>
            <w:tcW w:w="1434" w:type="dxa"/>
            <w:vAlign w:val="top"/>
          </w:tcPr>
          <w:p>
            <w:pPr>
              <w:spacing w:line="418"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6925" w:type="dxa"/>
            <w:vAlign w:val="top"/>
          </w:tcPr>
          <w:p>
            <w:pPr>
              <w:spacing w:line="310" w:lineRule="auto"/>
              <w:rPr>
                <w:rFonts w:ascii="Arial"/>
                <w:sz w:val="21"/>
              </w:rPr>
            </w:pPr>
            <w:r/>
          </w:p>
          <w:p>
            <w:pPr>
              <w:pStyle w:val="TableText"/>
              <w:ind w:left="120"/>
              <w:spacing w:before="81" w:line="219" w:lineRule="auto"/>
              <w:rPr>
                <w:sz w:val="25"/>
                <w:szCs w:val="25"/>
              </w:rPr>
            </w:pPr>
            <w:r>
              <w:rPr>
                <w:sz w:val="25"/>
                <w:szCs w:val="25"/>
              </w:rPr>
              <w:t>以贿赂等不正当手段取得职业卫生技术服务机构资质认可的</w:t>
            </w:r>
          </w:p>
        </w:tc>
        <w:tc>
          <w:tcPr>
            <w:tcW w:w="5494" w:type="dxa"/>
            <w:vAlign w:val="top"/>
          </w:tcPr>
          <w:p>
            <w:pPr>
              <w:pStyle w:val="TableText"/>
              <w:ind w:left="15"/>
              <w:spacing w:before="94" w:line="226" w:lineRule="auto"/>
              <w:rPr>
                <w:sz w:val="25"/>
                <w:szCs w:val="25"/>
              </w:rPr>
            </w:pPr>
            <w:r>
              <w:rPr>
                <w:sz w:val="25"/>
                <w:szCs w:val="25"/>
                <w:spacing w:val="-2"/>
              </w:rPr>
              <w:t>撤销其资质认可，并给予警告；撤销其资质认可之</w:t>
            </w:r>
            <w:r>
              <w:rPr>
                <w:sz w:val="25"/>
                <w:szCs w:val="25"/>
                <w:spacing w:val="2"/>
              </w:rPr>
              <w:t xml:space="preserve"> </w:t>
            </w:r>
            <w:r>
              <w:rPr>
                <w:sz w:val="25"/>
                <w:szCs w:val="25"/>
                <w:spacing w:val="-2"/>
              </w:rPr>
              <w:t>日起三年内不得再次申请职业卫生技术服务机构资</w:t>
            </w:r>
          </w:p>
          <w:p>
            <w:pPr>
              <w:pStyle w:val="TableText"/>
              <w:ind w:left="96"/>
              <w:spacing w:line="220" w:lineRule="auto"/>
              <w:rPr>
                <w:sz w:val="25"/>
                <w:szCs w:val="25"/>
              </w:rPr>
            </w:pPr>
            <w:r>
              <w:rPr>
                <w:sz w:val="25"/>
                <w:szCs w:val="25"/>
                <w:color w:val="405050"/>
              </w:rPr>
              <w:t>质</w:t>
            </w:r>
          </w:p>
        </w:tc>
      </w:tr>
    </w:tbl>
    <w:p>
      <w:pPr>
        <w:pStyle w:val="BodyText"/>
        <w:spacing w:line="427" w:lineRule="auto"/>
        <w:rPr/>
      </w:pPr>
      <w:r/>
    </w:p>
    <w:p>
      <w:pPr>
        <w:ind w:left="49" w:right="34" w:firstLine="629"/>
        <w:spacing w:before="97" w:line="282" w:lineRule="auto"/>
        <w:rPr>
          <w:rFonts w:ascii="FangSong" w:hAnsi="FangSong" w:eastAsia="FangSong" w:cs="FangSong"/>
          <w:sz w:val="30"/>
          <w:szCs w:val="30"/>
        </w:rPr>
      </w:pPr>
      <w:r>
        <w:rPr>
          <w:rFonts w:ascii="FangSong" w:hAnsi="FangSong" w:eastAsia="FangSong" w:cs="FangSong"/>
          <w:sz w:val="30"/>
          <w:szCs w:val="30"/>
          <w:b/>
          <w:bCs/>
          <w:spacing w:val="21"/>
        </w:rPr>
        <w:t>第五百二十六条涂改、倒卖、出租、出借职业卫生技术服务机构资质证书，或者以其他形式非</w:t>
      </w:r>
      <w:r>
        <w:rPr>
          <w:rFonts w:ascii="FangSong" w:hAnsi="FangSong" w:eastAsia="FangSong" w:cs="FangSong"/>
          <w:sz w:val="30"/>
          <w:szCs w:val="30"/>
          <w:spacing w:val="10"/>
        </w:rPr>
        <w:t xml:space="preserve"> </w:t>
      </w:r>
      <w:r>
        <w:rPr>
          <w:rFonts w:ascii="FangSong" w:hAnsi="FangSong" w:eastAsia="FangSong" w:cs="FangSong"/>
          <w:sz w:val="30"/>
          <w:szCs w:val="30"/>
          <w:b/>
          <w:bCs/>
          <w:spacing w:val="16"/>
        </w:rPr>
        <w:t>法转让职业卫生技术服务机构资质证书的</w:t>
      </w:r>
    </w:p>
    <w:p>
      <w:pPr>
        <w:ind w:left="675"/>
        <w:spacing w:before="1"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45" w:right="56" w:firstLine="619"/>
        <w:spacing w:before="104" w:line="272" w:lineRule="auto"/>
        <w:jc w:val="both"/>
        <w:rPr>
          <w:rFonts w:ascii="FangSong" w:hAnsi="FangSong" w:eastAsia="FangSong" w:cs="FangSong"/>
          <w:sz w:val="30"/>
          <w:szCs w:val="30"/>
        </w:rPr>
      </w:pPr>
      <w:r>
        <w:rPr>
          <w:rFonts w:ascii="FangSong" w:hAnsi="FangSong" w:eastAsia="FangSong" w:cs="FangSong"/>
          <w:sz w:val="30"/>
          <w:szCs w:val="30"/>
          <w:spacing w:val="26"/>
        </w:rPr>
        <w:t>《职业卫生技术服务机构管理办法》第四十三条第(一)项</w:t>
      </w:r>
      <w:r>
        <w:rPr>
          <w:rFonts w:ascii="FangSong" w:hAnsi="FangSong" w:eastAsia="FangSong" w:cs="FangSong"/>
          <w:sz w:val="30"/>
          <w:szCs w:val="30"/>
          <w:spacing w:val="26"/>
        </w:rPr>
        <w:t xml:space="preserve">   </w:t>
      </w:r>
      <w:r>
        <w:rPr>
          <w:rFonts w:ascii="FangSong" w:hAnsi="FangSong" w:eastAsia="FangSong" w:cs="FangSong"/>
          <w:sz w:val="30"/>
          <w:szCs w:val="30"/>
          <w:spacing w:val="26"/>
        </w:rPr>
        <w:t>职业卫生技术服务机构有下列行</w:t>
      </w:r>
      <w:r>
        <w:rPr>
          <w:rFonts w:ascii="FangSong" w:hAnsi="FangSong" w:eastAsia="FangSong" w:cs="FangSong"/>
          <w:sz w:val="30"/>
          <w:szCs w:val="30"/>
          <w:spacing w:val="1"/>
        </w:rPr>
        <w:t xml:space="preserve"> </w:t>
      </w:r>
      <w:r>
        <w:rPr>
          <w:rFonts w:ascii="FangSong" w:hAnsi="FangSong" w:eastAsia="FangSong" w:cs="FangSong"/>
          <w:sz w:val="30"/>
          <w:szCs w:val="30"/>
          <w:spacing w:val="16"/>
        </w:rPr>
        <w:t>为之一的，由县级以上地方疾病预防控制主管部门责令改正，给予警告，并处一万元以上三万元以下</w:t>
      </w:r>
      <w:r>
        <w:rPr>
          <w:rFonts w:ascii="FangSong" w:hAnsi="FangSong" w:eastAsia="FangSong" w:cs="FangSong"/>
          <w:sz w:val="30"/>
          <w:szCs w:val="30"/>
          <w:spacing w:val="8"/>
        </w:rPr>
        <w:t xml:space="preserve"> </w:t>
      </w:r>
      <w:r>
        <w:rPr>
          <w:rFonts w:ascii="FangSong" w:hAnsi="FangSong" w:eastAsia="FangSong" w:cs="FangSong"/>
          <w:sz w:val="30"/>
          <w:szCs w:val="30"/>
          <w:spacing w:val="13"/>
        </w:rPr>
        <w:t>罚款；构成犯罪的，依法追究刑事责任：</w:t>
      </w:r>
    </w:p>
    <w:p>
      <w:pPr>
        <w:spacing w:line="272" w:lineRule="auto"/>
        <w:sectPr>
          <w:footerReference w:type="default" r:id="rId553"/>
          <w:pgSz w:w="16830" w:h="11900"/>
          <w:pgMar w:top="1011" w:right="1399" w:bottom="1107" w:left="1414" w:header="0" w:footer="774" w:gutter="0"/>
        </w:sectPr>
        <w:rPr>
          <w:rFonts w:ascii="FangSong" w:hAnsi="FangSong" w:eastAsia="FangSong" w:cs="FangSong"/>
          <w:sz w:val="30"/>
          <w:szCs w:val="30"/>
        </w:rPr>
      </w:pPr>
    </w:p>
    <w:p>
      <w:pPr>
        <w:pStyle w:val="BodyText"/>
        <w:spacing w:line="256" w:lineRule="auto"/>
        <w:rPr/>
      </w:pPr>
      <w:r/>
    </w:p>
    <w:p>
      <w:pPr>
        <w:pStyle w:val="BodyText"/>
        <w:spacing w:line="256" w:lineRule="auto"/>
        <w:rPr/>
      </w:pPr>
      <w:r/>
    </w:p>
    <w:p>
      <w:pPr>
        <w:pStyle w:val="BodyText"/>
        <w:spacing w:line="256" w:lineRule="auto"/>
        <w:rPr/>
      </w:pPr>
      <w:r/>
    </w:p>
    <w:p>
      <w:pPr>
        <w:ind w:left="25" w:right="34" w:firstLine="769"/>
        <w:spacing w:before="98" w:line="282" w:lineRule="auto"/>
        <w:rPr>
          <w:rFonts w:ascii="FangSong" w:hAnsi="FangSong" w:eastAsia="FangSong" w:cs="FangSong"/>
          <w:sz w:val="30"/>
          <w:szCs w:val="30"/>
        </w:rPr>
      </w:pPr>
      <w:bookmarkStart w:name="bookmark1185" w:id="562"/>
      <w:bookmarkEnd w:id="562"/>
      <w:r>
        <w:rPr>
          <w:rFonts w:ascii="FangSong" w:hAnsi="FangSong" w:eastAsia="FangSong" w:cs="FangSong"/>
          <w:sz w:val="30"/>
          <w:szCs w:val="30"/>
          <w:spacing w:val="20"/>
        </w:rPr>
        <w:t>(一)涂改、倒卖、出租、出借职业卫生技术服务机构资质证书，或者以其他形式非法转让</w:t>
      </w:r>
      <w:r>
        <w:rPr>
          <w:rFonts w:ascii="FangSong" w:hAnsi="FangSong" w:eastAsia="FangSong" w:cs="FangSong"/>
          <w:sz w:val="30"/>
          <w:szCs w:val="30"/>
          <w:spacing w:val="19"/>
        </w:rPr>
        <w:t>职业</w:t>
      </w:r>
      <w:r>
        <w:rPr>
          <w:rFonts w:ascii="FangSong" w:hAnsi="FangSong" w:eastAsia="FangSong" w:cs="FangSong"/>
          <w:sz w:val="30"/>
          <w:szCs w:val="30"/>
        </w:rPr>
        <w:t xml:space="preserve"> </w:t>
      </w:r>
      <w:r>
        <w:rPr>
          <w:rFonts w:ascii="FangSong" w:hAnsi="FangSong" w:eastAsia="FangSong" w:cs="FangSong"/>
          <w:sz w:val="30"/>
          <w:szCs w:val="30"/>
          <w:spacing w:val="11"/>
        </w:rPr>
        <w:t>卫生技术服务机构资质证书的；</w:t>
      </w:r>
    </w:p>
    <w:p>
      <w:pPr>
        <w:ind w:left="6428"/>
        <w:spacing w:before="139"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597"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8224"/>
        <w:gridCol w:w="3959"/>
      </w:tblGrid>
      <w:tr>
        <w:trPr>
          <w:trHeight w:val="563" w:hRule="atLeast"/>
        </w:trPr>
        <w:tc>
          <w:tcPr>
            <w:tcW w:w="1414" w:type="dxa"/>
            <w:vAlign w:val="top"/>
          </w:tcPr>
          <w:p>
            <w:pPr>
              <w:pStyle w:val="TableText"/>
              <w:ind w:left="198"/>
              <w:spacing w:before="162" w:line="220" w:lineRule="auto"/>
              <w:rPr>
                <w:sz w:val="25"/>
                <w:szCs w:val="25"/>
              </w:rPr>
            </w:pPr>
            <w:r>
              <w:rPr>
                <w:sz w:val="25"/>
                <w:szCs w:val="25"/>
                <w:b/>
                <w:bCs/>
                <w:spacing w:val="-5"/>
              </w:rPr>
              <w:t>违法程度</w:t>
            </w:r>
          </w:p>
        </w:tc>
        <w:tc>
          <w:tcPr>
            <w:tcW w:w="8224" w:type="dxa"/>
            <w:vAlign w:val="top"/>
          </w:tcPr>
          <w:p>
            <w:pPr>
              <w:pStyle w:val="TableText"/>
              <w:ind w:left="3604"/>
              <w:spacing w:before="162" w:line="220" w:lineRule="auto"/>
              <w:rPr>
                <w:sz w:val="25"/>
                <w:szCs w:val="25"/>
              </w:rPr>
            </w:pPr>
            <w:r>
              <w:rPr>
                <w:sz w:val="25"/>
                <w:szCs w:val="25"/>
                <w:b/>
                <w:bCs/>
                <w:spacing w:val="-5"/>
              </w:rPr>
              <w:t>情节后果</w:t>
            </w:r>
          </w:p>
        </w:tc>
        <w:tc>
          <w:tcPr>
            <w:tcW w:w="3959" w:type="dxa"/>
            <w:vAlign w:val="top"/>
          </w:tcPr>
          <w:p>
            <w:pPr>
              <w:pStyle w:val="TableText"/>
              <w:ind w:left="1470"/>
              <w:spacing w:before="159" w:line="218" w:lineRule="auto"/>
              <w:rPr>
                <w:sz w:val="25"/>
                <w:szCs w:val="25"/>
              </w:rPr>
            </w:pPr>
            <w:r>
              <w:rPr>
                <w:sz w:val="25"/>
                <w:szCs w:val="25"/>
                <w:b/>
                <w:bCs/>
                <w:spacing w:val="-5"/>
              </w:rPr>
              <w:t>裁量幅度</w:t>
            </w:r>
          </w:p>
        </w:tc>
      </w:tr>
      <w:tr>
        <w:trPr>
          <w:trHeight w:val="1026" w:hRule="atLeast"/>
        </w:trPr>
        <w:tc>
          <w:tcPr>
            <w:tcW w:w="1414" w:type="dxa"/>
            <w:vAlign w:val="top"/>
          </w:tcPr>
          <w:p>
            <w:pPr>
              <w:spacing w:line="406" w:lineRule="auto"/>
              <w:rPr>
                <w:rFonts w:ascii="Arial"/>
                <w:sz w:val="21"/>
              </w:rPr>
            </w:pPr>
            <w:r/>
          </w:p>
          <w:p>
            <w:pPr>
              <w:pStyle w:val="TableText"/>
              <w:ind w:left="448"/>
              <w:spacing w:before="81" w:line="221" w:lineRule="auto"/>
              <w:rPr>
                <w:sz w:val="25"/>
                <w:szCs w:val="25"/>
              </w:rPr>
            </w:pPr>
            <w:r>
              <w:rPr>
                <w:sz w:val="25"/>
                <w:szCs w:val="25"/>
                <w:b/>
                <w:bCs/>
                <w:spacing w:val="-10"/>
              </w:rPr>
              <w:t>一般</w:t>
            </w:r>
          </w:p>
        </w:tc>
        <w:tc>
          <w:tcPr>
            <w:tcW w:w="8224" w:type="dxa"/>
            <w:vAlign w:val="top"/>
          </w:tcPr>
          <w:p>
            <w:pPr>
              <w:pStyle w:val="TableText"/>
              <w:ind w:left="10"/>
              <w:spacing w:before="81" w:line="230" w:lineRule="auto"/>
              <w:jc w:val="both"/>
              <w:rPr>
                <w:sz w:val="25"/>
                <w:szCs w:val="25"/>
              </w:rPr>
            </w:pPr>
            <w:r>
              <w:rPr>
                <w:sz w:val="25"/>
                <w:szCs w:val="25"/>
                <w:spacing w:val="-2"/>
              </w:rPr>
              <w:t>涂改、倒卖、出租、出借职业卫生技术服务机构资质证书，或者以其他形式</w:t>
            </w:r>
            <w:r>
              <w:rPr>
                <w:sz w:val="25"/>
                <w:szCs w:val="25"/>
                <w:spacing w:val="15"/>
              </w:rPr>
              <w:t xml:space="preserve"> </w:t>
            </w:r>
            <w:r>
              <w:rPr>
                <w:sz w:val="25"/>
                <w:szCs w:val="25"/>
                <w:spacing w:val="-2"/>
              </w:rPr>
              <w:t>非法转让职业卫生技术服务机构资质证书，没有非法所得或非法所得无法认</w:t>
            </w:r>
            <w:r>
              <w:rPr>
                <w:sz w:val="25"/>
                <w:szCs w:val="25"/>
                <w:spacing w:val="18"/>
              </w:rPr>
              <w:t xml:space="preserve"> </w:t>
            </w:r>
            <w:r>
              <w:rPr>
                <w:sz w:val="25"/>
                <w:szCs w:val="25"/>
                <w:spacing w:val="54"/>
              </w:rPr>
              <w:t>定的</w:t>
            </w:r>
          </w:p>
        </w:tc>
        <w:tc>
          <w:tcPr>
            <w:tcW w:w="3959" w:type="dxa"/>
            <w:vAlign w:val="top"/>
          </w:tcPr>
          <w:p>
            <w:pPr>
              <w:spacing w:line="306" w:lineRule="auto"/>
              <w:rPr>
                <w:rFonts w:ascii="Arial"/>
                <w:sz w:val="21"/>
              </w:rPr>
            </w:pPr>
            <w:r/>
          </w:p>
          <w:p>
            <w:pPr>
              <w:pStyle w:val="TableText"/>
              <w:ind w:left="97"/>
              <w:spacing w:before="82" w:line="218" w:lineRule="auto"/>
              <w:rPr>
                <w:sz w:val="25"/>
                <w:szCs w:val="25"/>
              </w:rPr>
            </w:pPr>
            <w:r>
              <w:rPr>
                <w:sz w:val="25"/>
                <w:szCs w:val="25"/>
              </w:rPr>
              <w:t>给予警告，并处一万元以下的罚款</w:t>
            </w:r>
          </w:p>
        </w:tc>
      </w:tr>
      <w:tr>
        <w:trPr>
          <w:trHeight w:val="668" w:hRule="atLeast"/>
        </w:trPr>
        <w:tc>
          <w:tcPr>
            <w:tcW w:w="1414" w:type="dxa"/>
            <w:vAlign w:val="top"/>
          </w:tcPr>
          <w:p>
            <w:pPr>
              <w:pStyle w:val="TableText"/>
              <w:ind w:left="448"/>
              <w:spacing w:before="306" w:line="221" w:lineRule="auto"/>
              <w:rPr>
                <w:sz w:val="25"/>
                <w:szCs w:val="25"/>
              </w:rPr>
            </w:pPr>
            <w:r>
              <w:rPr>
                <w:sz w:val="25"/>
                <w:szCs w:val="25"/>
                <w:b/>
                <w:bCs/>
                <w:spacing w:val="-6"/>
              </w:rPr>
              <w:t>较重</w:t>
            </w:r>
          </w:p>
        </w:tc>
        <w:tc>
          <w:tcPr>
            <w:tcW w:w="8224" w:type="dxa"/>
            <w:vAlign w:val="top"/>
          </w:tcPr>
          <w:p>
            <w:pPr>
              <w:pStyle w:val="TableText"/>
              <w:ind w:left="119" w:hanging="109"/>
              <w:spacing w:before="64" w:line="219" w:lineRule="auto"/>
              <w:rPr>
                <w:sz w:val="25"/>
                <w:szCs w:val="25"/>
              </w:rPr>
            </w:pPr>
            <w:r>
              <w:rPr>
                <w:sz w:val="25"/>
                <w:szCs w:val="25"/>
                <w:spacing w:val="-2"/>
              </w:rPr>
              <w:t>涂改、倒卖、出租、出借职业卫生技术服务机构资质证书，或者以其他形式</w:t>
            </w:r>
            <w:r>
              <w:rPr>
                <w:sz w:val="25"/>
                <w:szCs w:val="25"/>
                <w:spacing w:val="18"/>
              </w:rPr>
              <w:t xml:space="preserve"> </w:t>
            </w:r>
            <w:r>
              <w:rPr>
                <w:sz w:val="25"/>
                <w:szCs w:val="25"/>
              </w:rPr>
              <w:t>非法转让职业卫生技术服务机构资质证书，违法所得2万元以下的</w:t>
            </w:r>
          </w:p>
        </w:tc>
        <w:tc>
          <w:tcPr>
            <w:tcW w:w="3959" w:type="dxa"/>
            <w:vAlign w:val="top"/>
          </w:tcPr>
          <w:p>
            <w:pPr>
              <w:pStyle w:val="TableText"/>
              <w:ind w:left="115" w:hanging="99"/>
              <w:spacing w:before="64" w:line="219" w:lineRule="auto"/>
              <w:rPr>
                <w:sz w:val="25"/>
                <w:szCs w:val="25"/>
              </w:rPr>
            </w:pPr>
            <w:r>
              <w:rPr>
                <w:sz w:val="25"/>
                <w:szCs w:val="25"/>
                <w:spacing w:val="-5"/>
              </w:rPr>
              <w:t>给予警告，并处一万元以上二万元以</w:t>
            </w:r>
            <w:r>
              <w:rPr>
                <w:sz w:val="25"/>
                <w:szCs w:val="25"/>
                <w:spacing w:val="11"/>
              </w:rPr>
              <w:t xml:space="preserve"> </w:t>
            </w:r>
            <w:r>
              <w:rPr>
                <w:sz w:val="25"/>
                <w:szCs w:val="25"/>
                <w:spacing w:val="2"/>
              </w:rPr>
              <w:t>下的罚款</w:t>
            </w:r>
          </w:p>
        </w:tc>
      </w:tr>
      <w:tr>
        <w:trPr>
          <w:trHeight w:val="682" w:hRule="atLeast"/>
        </w:trPr>
        <w:tc>
          <w:tcPr>
            <w:tcW w:w="1414" w:type="dxa"/>
            <w:vAlign w:val="top"/>
          </w:tcPr>
          <w:p>
            <w:pPr>
              <w:pStyle w:val="TableText"/>
              <w:ind w:left="448"/>
              <w:spacing w:before="315" w:line="220" w:lineRule="auto"/>
              <w:rPr>
                <w:sz w:val="25"/>
                <w:szCs w:val="25"/>
              </w:rPr>
            </w:pPr>
            <w:r>
              <w:rPr>
                <w:sz w:val="25"/>
                <w:szCs w:val="25"/>
                <w:b/>
                <w:bCs/>
                <w:spacing w:val="-6"/>
              </w:rPr>
              <w:t>严重</w:t>
            </w:r>
          </w:p>
        </w:tc>
        <w:tc>
          <w:tcPr>
            <w:tcW w:w="8224" w:type="dxa"/>
            <w:vAlign w:val="top"/>
          </w:tcPr>
          <w:p>
            <w:pPr>
              <w:pStyle w:val="TableText"/>
              <w:ind w:left="119" w:hanging="109"/>
              <w:spacing w:before="68" w:line="223" w:lineRule="auto"/>
              <w:rPr>
                <w:sz w:val="25"/>
                <w:szCs w:val="25"/>
              </w:rPr>
            </w:pPr>
            <w:r>
              <w:rPr>
                <w:sz w:val="25"/>
                <w:szCs w:val="25"/>
                <w:spacing w:val="-2"/>
              </w:rPr>
              <w:t>涂改、倒卖、出租、出借职业卫生技术服务机构资质证书，或者以其他形式</w:t>
            </w:r>
            <w:r>
              <w:rPr>
                <w:sz w:val="25"/>
                <w:szCs w:val="25"/>
                <w:spacing w:val="18"/>
              </w:rPr>
              <w:t xml:space="preserve"> </w:t>
            </w:r>
            <w:r>
              <w:rPr>
                <w:sz w:val="25"/>
                <w:szCs w:val="25"/>
              </w:rPr>
              <w:t>非法转让职业卫生技术服务机构资质证书，违法所得2万元以上的</w:t>
            </w:r>
          </w:p>
        </w:tc>
        <w:tc>
          <w:tcPr>
            <w:tcW w:w="3959" w:type="dxa"/>
            <w:vAlign w:val="top"/>
          </w:tcPr>
          <w:p>
            <w:pPr>
              <w:pStyle w:val="TableText"/>
              <w:ind w:left="105" w:hanging="89"/>
              <w:spacing w:before="65" w:line="224" w:lineRule="auto"/>
              <w:rPr>
                <w:sz w:val="25"/>
                <w:szCs w:val="25"/>
              </w:rPr>
            </w:pPr>
            <w:r>
              <w:rPr>
                <w:sz w:val="25"/>
                <w:szCs w:val="25"/>
                <w:spacing w:val="-5"/>
              </w:rPr>
              <w:t>给予警告，并处二万元以上三万元以</w:t>
            </w:r>
            <w:r>
              <w:rPr>
                <w:sz w:val="25"/>
                <w:szCs w:val="25"/>
                <w:spacing w:val="11"/>
              </w:rPr>
              <w:t xml:space="preserve"> </w:t>
            </w:r>
            <w:r>
              <w:rPr>
                <w:sz w:val="25"/>
                <w:szCs w:val="25"/>
                <w:spacing w:val="2"/>
              </w:rPr>
              <w:t>下的罚款</w:t>
            </w:r>
          </w:p>
        </w:tc>
      </w:tr>
    </w:tbl>
    <w:p>
      <w:pPr>
        <w:pStyle w:val="BodyText"/>
        <w:spacing w:line="414" w:lineRule="auto"/>
        <w:rPr/>
      </w:pPr>
      <w:r/>
    </w:p>
    <w:p>
      <w:pPr>
        <w:ind w:left="29" w:right="338" w:firstLine="649"/>
        <w:spacing w:before="97" w:line="286" w:lineRule="auto"/>
        <w:rPr>
          <w:rFonts w:ascii="FangSong" w:hAnsi="FangSong" w:eastAsia="FangSong" w:cs="FangSong"/>
          <w:sz w:val="30"/>
          <w:szCs w:val="30"/>
        </w:rPr>
      </w:pPr>
      <w:r>
        <w:rPr>
          <w:rFonts w:ascii="FangSong" w:hAnsi="FangSong" w:eastAsia="FangSong" w:cs="FangSong"/>
          <w:sz w:val="30"/>
          <w:szCs w:val="30"/>
          <w:b/>
          <w:bCs/>
          <w:spacing w:val="21"/>
        </w:rPr>
        <w:t>第五百二十七条未按规定向技术服务所在地卫生健康</w:t>
      </w:r>
      <w:r>
        <w:rPr>
          <w:rFonts w:ascii="FangSong" w:hAnsi="FangSong" w:eastAsia="FangSong" w:cs="FangSong"/>
          <w:sz w:val="30"/>
          <w:szCs w:val="30"/>
          <w:b/>
          <w:bCs/>
          <w:spacing w:val="20"/>
        </w:rPr>
        <w:t>主管部门报送职业卫生技术服务相关信</w:t>
      </w:r>
      <w:r>
        <w:rPr>
          <w:rFonts w:ascii="FangSong" w:hAnsi="FangSong" w:eastAsia="FangSong" w:cs="FangSong"/>
          <w:sz w:val="30"/>
          <w:szCs w:val="30"/>
        </w:rPr>
        <w:t xml:space="preserve"> </w:t>
      </w:r>
      <w:r>
        <w:rPr>
          <w:rFonts w:ascii="FangSong" w:hAnsi="FangSong" w:eastAsia="FangSong" w:cs="FangSong"/>
          <w:sz w:val="30"/>
          <w:szCs w:val="30"/>
          <w:b/>
          <w:bCs/>
          <w:spacing w:val="-3"/>
        </w:rPr>
        <w:t>息的</w:t>
      </w:r>
    </w:p>
    <w:p>
      <w:pPr>
        <w:ind w:left="664"/>
        <w:spacing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25" w:firstLine="619"/>
        <w:spacing w:before="94" w:line="272" w:lineRule="auto"/>
        <w:jc w:val="both"/>
        <w:rPr>
          <w:rFonts w:ascii="FangSong" w:hAnsi="FangSong" w:eastAsia="FangSong" w:cs="FangSong"/>
          <w:sz w:val="30"/>
          <w:szCs w:val="30"/>
        </w:rPr>
      </w:pPr>
      <w:r>
        <w:rPr>
          <w:rFonts w:ascii="FangSong" w:hAnsi="FangSong" w:eastAsia="FangSong" w:cs="FangSong"/>
          <w:sz w:val="30"/>
          <w:szCs w:val="30"/>
          <w:spacing w:val="24"/>
        </w:rPr>
        <w:t>《职业卫生技术服务机构管理办法》第四十三条第(二</w:t>
      </w:r>
      <w:r>
        <w:rPr>
          <w:rFonts w:ascii="FangSong" w:hAnsi="FangSong" w:eastAsia="FangSong" w:cs="FangSong"/>
          <w:sz w:val="30"/>
          <w:szCs w:val="30"/>
          <w:spacing w:val="23"/>
        </w:rPr>
        <w:t>)项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职业卫生技术服务机构有下列行为</w:t>
      </w:r>
      <w:r>
        <w:rPr>
          <w:rFonts w:ascii="FangSong" w:hAnsi="FangSong" w:eastAsia="FangSong" w:cs="FangSong"/>
          <w:sz w:val="30"/>
          <w:szCs w:val="30"/>
        </w:rPr>
        <w:t xml:space="preserve"> </w:t>
      </w:r>
      <w:r>
        <w:rPr>
          <w:rFonts w:ascii="FangSong" w:hAnsi="FangSong" w:eastAsia="FangSong" w:cs="FangSong"/>
          <w:sz w:val="30"/>
          <w:szCs w:val="30"/>
          <w:spacing w:val="17"/>
        </w:rPr>
        <w:t>之一的，由县级以上地方疾病预防控制主管部门责令改正，给予警告，并处一万元以上</w:t>
      </w:r>
      <w:r>
        <w:rPr>
          <w:rFonts w:ascii="FangSong" w:hAnsi="FangSong" w:eastAsia="FangSong" w:cs="FangSong"/>
          <w:sz w:val="30"/>
          <w:szCs w:val="30"/>
          <w:spacing w:val="16"/>
        </w:rPr>
        <w:t>三万元以下罚</w:t>
      </w:r>
      <w:r>
        <w:rPr>
          <w:rFonts w:ascii="FangSong" w:hAnsi="FangSong" w:eastAsia="FangSong" w:cs="FangSong"/>
          <w:sz w:val="30"/>
          <w:szCs w:val="30"/>
        </w:rPr>
        <w:t xml:space="preserve"> </w:t>
      </w:r>
      <w:r>
        <w:rPr>
          <w:rFonts w:ascii="FangSong" w:hAnsi="FangSong" w:eastAsia="FangSong" w:cs="FangSong"/>
          <w:sz w:val="30"/>
          <w:szCs w:val="30"/>
          <w:spacing w:val="13"/>
        </w:rPr>
        <w:t>款；构成犯罪的，依法追究刑事责任：</w:t>
      </w:r>
    </w:p>
    <w:p>
      <w:pPr>
        <w:ind w:left="794"/>
        <w:spacing w:before="2" w:line="219" w:lineRule="auto"/>
        <w:rPr>
          <w:rFonts w:ascii="FangSong" w:hAnsi="FangSong" w:eastAsia="FangSong" w:cs="FangSong"/>
          <w:sz w:val="30"/>
          <w:szCs w:val="30"/>
        </w:rPr>
      </w:pPr>
      <w:r>
        <w:rPr>
          <w:rFonts w:ascii="FangSong" w:hAnsi="FangSong" w:eastAsia="FangSong" w:cs="FangSong"/>
          <w:sz w:val="30"/>
          <w:szCs w:val="30"/>
          <w:spacing w:val="22"/>
        </w:rPr>
        <w:t>(二)未按规定向技术服务所在地卫生健康主管部门报送职业卫生</w:t>
      </w:r>
      <w:r>
        <w:rPr>
          <w:rFonts w:ascii="FangSong" w:hAnsi="FangSong" w:eastAsia="FangSong" w:cs="FangSong"/>
          <w:sz w:val="30"/>
          <w:szCs w:val="30"/>
          <w:spacing w:val="21"/>
        </w:rPr>
        <w:t>技术服务相关信息的；</w:t>
      </w:r>
    </w:p>
    <w:p>
      <w:pPr>
        <w:spacing w:line="219" w:lineRule="auto"/>
        <w:sectPr>
          <w:footerReference w:type="default" r:id="rId554"/>
          <w:pgSz w:w="16830" w:h="11900"/>
          <w:pgMar w:top="1011" w:right="1436" w:bottom="1108" w:left="1425" w:header="0" w:footer="775" w:gutter="0"/>
        </w:sectPr>
        <w:rPr>
          <w:rFonts w:ascii="FangSong" w:hAnsi="FangSong" w:eastAsia="FangSong" w:cs="FangSong"/>
          <w:sz w:val="30"/>
          <w:szCs w:val="30"/>
        </w:rPr>
      </w:pPr>
    </w:p>
    <w:p>
      <w:pPr>
        <w:pStyle w:val="BodyText"/>
        <w:spacing w:line="262" w:lineRule="auto"/>
        <w:rPr/>
      </w:pPr>
      <w:r/>
    </w:p>
    <w:p>
      <w:pPr>
        <w:pStyle w:val="BodyText"/>
        <w:spacing w:line="262" w:lineRule="auto"/>
        <w:rPr/>
      </w:pPr>
      <w:r/>
    </w:p>
    <w:p>
      <w:pPr>
        <w:pStyle w:val="BodyText"/>
        <w:spacing w:line="263" w:lineRule="auto"/>
        <w:rPr/>
      </w:pPr>
      <w:r/>
    </w:p>
    <w:p>
      <w:pPr>
        <w:ind w:left="6429"/>
        <w:spacing w:before="94" w:line="208" w:lineRule="auto"/>
        <w:rPr>
          <w:rFonts w:ascii="SimSun" w:hAnsi="SimSun" w:eastAsia="SimSun" w:cs="SimSun"/>
          <w:sz w:val="29"/>
          <w:szCs w:val="29"/>
        </w:rPr>
      </w:pPr>
      <w:bookmarkStart w:name="bookmark1186" w:id="563"/>
      <w:bookmarkEnd w:id="563"/>
      <w:r>
        <w:rPr>
          <w:rFonts w:ascii="SimSun" w:hAnsi="SimSun" w:eastAsia="SimSun" w:cs="SimSun"/>
          <w:sz w:val="29"/>
          <w:szCs w:val="29"/>
          <w:b/>
          <w:bCs/>
          <w:spacing w:val="-6"/>
        </w:rPr>
        <w:t>裁量标准</w:t>
      </w:r>
    </w:p>
    <w:tbl>
      <w:tblPr>
        <w:tblStyle w:val="TableNormal"/>
        <w:tblW w:w="135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8214"/>
        <w:gridCol w:w="3952"/>
      </w:tblGrid>
      <w:tr>
        <w:trPr>
          <w:trHeight w:val="563" w:hRule="atLeast"/>
        </w:trPr>
        <w:tc>
          <w:tcPr>
            <w:tcW w:w="1414" w:type="dxa"/>
            <w:vAlign w:val="top"/>
          </w:tcPr>
          <w:p>
            <w:pPr>
              <w:pStyle w:val="TableText"/>
              <w:ind w:left="198"/>
              <w:spacing w:before="162" w:line="220" w:lineRule="auto"/>
              <w:rPr>
                <w:sz w:val="25"/>
                <w:szCs w:val="25"/>
              </w:rPr>
            </w:pPr>
            <w:r>
              <w:rPr>
                <w:sz w:val="25"/>
                <w:szCs w:val="25"/>
                <w:b/>
                <w:bCs/>
                <w:spacing w:val="-5"/>
              </w:rPr>
              <w:t>违法程度</w:t>
            </w:r>
          </w:p>
        </w:tc>
        <w:tc>
          <w:tcPr>
            <w:tcW w:w="8214" w:type="dxa"/>
            <w:vAlign w:val="top"/>
          </w:tcPr>
          <w:p>
            <w:pPr>
              <w:pStyle w:val="TableText"/>
              <w:ind w:left="3604"/>
              <w:spacing w:before="162" w:line="220" w:lineRule="auto"/>
              <w:rPr>
                <w:sz w:val="25"/>
                <w:szCs w:val="25"/>
              </w:rPr>
            </w:pPr>
            <w:r>
              <w:rPr>
                <w:sz w:val="25"/>
                <w:szCs w:val="25"/>
                <w:b/>
                <w:bCs/>
                <w:spacing w:val="-5"/>
              </w:rPr>
              <w:t>情节后果</w:t>
            </w:r>
          </w:p>
        </w:tc>
        <w:tc>
          <w:tcPr>
            <w:tcW w:w="3952" w:type="dxa"/>
            <w:vAlign w:val="top"/>
          </w:tcPr>
          <w:p>
            <w:pPr>
              <w:pStyle w:val="TableText"/>
              <w:ind w:left="1420"/>
              <w:spacing w:before="159" w:line="218" w:lineRule="auto"/>
              <w:rPr>
                <w:sz w:val="25"/>
                <w:szCs w:val="25"/>
              </w:rPr>
            </w:pPr>
            <w:r>
              <w:rPr>
                <w:sz w:val="25"/>
                <w:szCs w:val="25"/>
                <w:b/>
                <w:bCs/>
                <w:spacing w:val="-5"/>
              </w:rPr>
              <w:t>裁量幅度</w:t>
            </w:r>
          </w:p>
        </w:tc>
      </w:tr>
      <w:tr>
        <w:trPr>
          <w:trHeight w:val="697" w:hRule="atLeast"/>
        </w:trPr>
        <w:tc>
          <w:tcPr>
            <w:tcW w:w="1414" w:type="dxa"/>
            <w:vAlign w:val="top"/>
          </w:tcPr>
          <w:p>
            <w:pPr>
              <w:pStyle w:val="TableText"/>
              <w:ind w:left="448"/>
              <w:spacing w:before="310" w:line="221" w:lineRule="auto"/>
              <w:rPr>
                <w:sz w:val="25"/>
                <w:szCs w:val="25"/>
              </w:rPr>
            </w:pPr>
            <w:r>
              <w:rPr>
                <w:sz w:val="25"/>
                <w:szCs w:val="25"/>
                <w:b/>
                <w:bCs/>
                <w:spacing w:val="-10"/>
              </w:rPr>
              <w:t>一般</w:t>
            </w:r>
          </w:p>
        </w:tc>
        <w:tc>
          <w:tcPr>
            <w:tcW w:w="8214" w:type="dxa"/>
            <w:vAlign w:val="top"/>
          </w:tcPr>
          <w:p>
            <w:pPr>
              <w:pStyle w:val="TableText"/>
              <w:spacing w:before="72" w:line="219" w:lineRule="auto"/>
              <w:jc w:val="right"/>
              <w:rPr>
                <w:sz w:val="25"/>
                <w:szCs w:val="25"/>
              </w:rPr>
            </w:pPr>
            <w:r>
              <w:rPr>
                <w:sz w:val="25"/>
                <w:szCs w:val="25"/>
                <w:spacing w:val="-2"/>
              </w:rPr>
              <w:t>未按规定向技术服务所在地卫生健康主管部门报送职业卫生技术服务相关信</w:t>
            </w:r>
          </w:p>
          <w:p>
            <w:pPr>
              <w:pStyle w:val="TableText"/>
              <w:ind w:left="101"/>
              <w:spacing w:before="47" w:line="200" w:lineRule="auto"/>
              <w:rPr>
                <w:sz w:val="25"/>
                <w:szCs w:val="25"/>
              </w:rPr>
            </w:pPr>
            <w:r>
              <w:rPr>
                <w:sz w:val="25"/>
                <w:szCs w:val="25"/>
                <w:color w:val="405050"/>
                <w:spacing w:val="9"/>
              </w:rPr>
              <w:t>息的</w:t>
            </w:r>
          </w:p>
        </w:tc>
        <w:tc>
          <w:tcPr>
            <w:tcW w:w="3952" w:type="dxa"/>
            <w:vAlign w:val="top"/>
          </w:tcPr>
          <w:p>
            <w:pPr>
              <w:pStyle w:val="TableText"/>
              <w:ind w:left="136"/>
              <w:spacing w:before="230" w:line="218" w:lineRule="auto"/>
              <w:rPr>
                <w:sz w:val="25"/>
                <w:szCs w:val="25"/>
              </w:rPr>
            </w:pPr>
            <w:r>
              <w:rPr>
                <w:sz w:val="25"/>
                <w:szCs w:val="25"/>
                <w:spacing w:val="1"/>
              </w:rPr>
              <w:t>给予警告，责令限期改正</w:t>
            </w:r>
          </w:p>
        </w:tc>
      </w:tr>
      <w:tr>
        <w:trPr>
          <w:trHeight w:val="668" w:hRule="atLeast"/>
        </w:trPr>
        <w:tc>
          <w:tcPr>
            <w:tcW w:w="1414" w:type="dxa"/>
            <w:vAlign w:val="top"/>
          </w:tcPr>
          <w:p>
            <w:pPr>
              <w:pStyle w:val="TableText"/>
              <w:ind w:left="448"/>
              <w:spacing w:before="305" w:line="221" w:lineRule="auto"/>
              <w:rPr>
                <w:sz w:val="25"/>
                <w:szCs w:val="25"/>
              </w:rPr>
            </w:pPr>
            <w:r>
              <w:rPr>
                <w:sz w:val="25"/>
                <w:szCs w:val="25"/>
                <w:b/>
                <w:bCs/>
                <w:spacing w:val="-6"/>
              </w:rPr>
              <w:t>较重</w:t>
            </w:r>
          </w:p>
        </w:tc>
        <w:tc>
          <w:tcPr>
            <w:tcW w:w="8214" w:type="dxa"/>
            <w:vAlign w:val="top"/>
          </w:tcPr>
          <w:p>
            <w:pPr>
              <w:pStyle w:val="TableText"/>
              <w:ind w:left="90" w:hanging="79"/>
              <w:spacing w:before="75" w:line="215" w:lineRule="auto"/>
              <w:rPr>
                <w:sz w:val="25"/>
                <w:szCs w:val="25"/>
              </w:rPr>
            </w:pPr>
            <w:r>
              <w:rPr>
                <w:sz w:val="25"/>
                <w:szCs w:val="25"/>
                <w:spacing w:val="-2"/>
              </w:rPr>
              <w:t>未按规定向技术服务所在地卫生健康主管部门报送职业卫生技术服务相关信</w:t>
            </w:r>
            <w:r>
              <w:rPr>
                <w:sz w:val="25"/>
                <w:szCs w:val="25"/>
                <w:spacing w:val="7"/>
              </w:rPr>
              <w:t xml:space="preserve"> </w:t>
            </w:r>
            <w:r>
              <w:rPr>
                <w:sz w:val="25"/>
                <w:szCs w:val="25"/>
              </w:rPr>
              <w:t>息，经责令限期改正，逾期不改的</w:t>
            </w:r>
          </w:p>
        </w:tc>
        <w:tc>
          <w:tcPr>
            <w:tcW w:w="3952" w:type="dxa"/>
            <w:vAlign w:val="top"/>
          </w:tcPr>
          <w:p>
            <w:pPr>
              <w:pStyle w:val="TableText"/>
              <w:ind w:left="136"/>
              <w:spacing w:before="216" w:line="220" w:lineRule="auto"/>
              <w:rPr>
                <w:sz w:val="25"/>
                <w:szCs w:val="25"/>
              </w:rPr>
            </w:pPr>
            <w:r>
              <w:rPr>
                <w:sz w:val="25"/>
                <w:szCs w:val="25"/>
                <w:spacing w:val="1"/>
              </w:rPr>
              <w:t>处二万元以下罚款</w:t>
            </w:r>
          </w:p>
        </w:tc>
      </w:tr>
      <w:tr>
        <w:trPr>
          <w:trHeight w:val="672" w:hRule="atLeast"/>
        </w:trPr>
        <w:tc>
          <w:tcPr>
            <w:tcW w:w="1414" w:type="dxa"/>
            <w:vAlign w:val="top"/>
          </w:tcPr>
          <w:p>
            <w:pPr>
              <w:pStyle w:val="TableText"/>
              <w:ind w:left="448"/>
              <w:spacing w:before="314" w:line="220" w:lineRule="auto"/>
              <w:rPr>
                <w:sz w:val="25"/>
                <w:szCs w:val="25"/>
              </w:rPr>
            </w:pPr>
            <w:r>
              <w:rPr>
                <w:sz w:val="25"/>
                <w:szCs w:val="25"/>
                <w:b/>
                <w:bCs/>
                <w:spacing w:val="-6"/>
              </w:rPr>
              <w:t>严重</w:t>
            </w:r>
          </w:p>
        </w:tc>
        <w:tc>
          <w:tcPr>
            <w:tcW w:w="8214" w:type="dxa"/>
            <w:vAlign w:val="top"/>
          </w:tcPr>
          <w:p>
            <w:pPr>
              <w:pStyle w:val="TableText"/>
              <w:ind w:left="11"/>
              <w:spacing w:before="77" w:line="216" w:lineRule="auto"/>
              <w:rPr>
                <w:sz w:val="25"/>
                <w:szCs w:val="25"/>
              </w:rPr>
            </w:pPr>
            <w:r>
              <w:rPr>
                <w:sz w:val="25"/>
                <w:szCs w:val="25"/>
                <w:spacing w:val="-2"/>
              </w:rPr>
              <w:t>未按规定向技术服务所在地卫生健康主管部门报送职业卫生技术服务相关信</w:t>
            </w:r>
            <w:r>
              <w:rPr>
                <w:sz w:val="25"/>
                <w:szCs w:val="25"/>
                <w:spacing w:val="5"/>
              </w:rPr>
              <w:t xml:space="preserve"> </w:t>
            </w:r>
            <w:r>
              <w:rPr>
                <w:sz w:val="25"/>
                <w:szCs w:val="25"/>
                <w:spacing w:val="-2"/>
              </w:rPr>
              <w:t>息，经责令限期改正，逾期不改，导致卫生行政部门被上级部门通报批评的</w:t>
            </w:r>
          </w:p>
        </w:tc>
        <w:tc>
          <w:tcPr>
            <w:tcW w:w="3952" w:type="dxa"/>
            <w:vAlign w:val="top"/>
          </w:tcPr>
          <w:p>
            <w:pPr>
              <w:pStyle w:val="TableText"/>
              <w:ind w:left="136"/>
              <w:spacing w:before="218" w:line="220" w:lineRule="auto"/>
              <w:rPr>
                <w:sz w:val="25"/>
                <w:szCs w:val="25"/>
              </w:rPr>
            </w:pPr>
            <w:r>
              <w:rPr>
                <w:sz w:val="25"/>
                <w:szCs w:val="25"/>
              </w:rPr>
              <w:t>处二万以上三万元以下罚款</w:t>
            </w:r>
          </w:p>
        </w:tc>
      </w:tr>
    </w:tbl>
    <w:p>
      <w:pPr>
        <w:pStyle w:val="BodyText"/>
        <w:spacing w:line="453" w:lineRule="auto"/>
        <w:rPr/>
      </w:pPr>
      <w:r/>
    </w:p>
    <w:p>
      <w:pPr>
        <w:ind w:left="689"/>
        <w:spacing w:before="100" w:line="219" w:lineRule="auto"/>
        <w:rPr>
          <w:rFonts w:ascii="FangSong" w:hAnsi="FangSong" w:eastAsia="FangSong" w:cs="FangSong"/>
          <w:sz w:val="31"/>
          <w:szCs w:val="31"/>
        </w:rPr>
      </w:pPr>
      <w:r>
        <w:rPr>
          <w:rFonts w:ascii="FangSong" w:hAnsi="FangSong" w:eastAsia="FangSong" w:cs="FangSong"/>
          <w:sz w:val="31"/>
          <w:szCs w:val="31"/>
          <w:b/>
          <w:bCs/>
          <w:spacing w:val="12"/>
        </w:rPr>
        <w:t>第五百二十八条未按规定在网上公开职业卫生技术报告相关信息的</w:t>
      </w:r>
    </w:p>
    <w:p>
      <w:pPr>
        <w:ind w:left="685"/>
        <w:spacing w:before="120"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35" w:firstLine="614"/>
        <w:spacing w:before="86" w:line="257" w:lineRule="auto"/>
        <w:jc w:val="both"/>
        <w:rPr>
          <w:rFonts w:ascii="FangSong" w:hAnsi="FangSong" w:eastAsia="FangSong" w:cs="FangSong"/>
          <w:sz w:val="31"/>
          <w:szCs w:val="31"/>
        </w:rPr>
      </w:pPr>
      <w:r>
        <w:rPr>
          <w:rFonts w:ascii="FangSong" w:hAnsi="FangSong" w:eastAsia="FangSong" w:cs="FangSong"/>
          <w:sz w:val="31"/>
          <w:szCs w:val="31"/>
          <w:spacing w:val="14"/>
        </w:rPr>
        <w:t>《职业卫生技术服务机构管理办法》第四十三条第(三)项</w:t>
      </w:r>
      <w:r>
        <w:rPr>
          <w:rFonts w:ascii="FangSong" w:hAnsi="FangSong" w:eastAsia="FangSong" w:cs="FangSong"/>
          <w:sz w:val="31"/>
          <w:szCs w:val="31"/>
          <w:spacing w:val="14"/>
        </w:rPr>
        <w:t xml:space="preserve">  </w:t>
      </w:r>
      <w:r>
        <w:rPr>
          <w:rFonts w:ascii="FangSong" w:hAnsi="FangSong" w:eastAsia="FangSong" w:cs="FangSong"/>
          <w:sz w:val="31"/>
          <w:szCs w:val="31"/>
          <w:spacing w:val="14"/>
        </w:rPr>
        <w:t>职业卫生技术服务机构有下列行为</w:t>
      </w:r>
      <w:r>
        <w:rPr>
          <w:rFonts w:ascii="FangSong" w:hAnsi="FangSong" w:eastAsia="FangSong" w:cs="FangSong"/>
          <w:sz w:val="31"/>
          <w:szCs w:val="31"/>
          <w:spacing w:val="17"/>
        </w:rPr>
        <w:t xml:space="preserve"> </w:t>
      </w:r>
      <w:r>
        <w:rPr>
          <w:rFonts w:ascii="FangSong" w:hAnsi="FangSong" w:eastAsia="FangSong" w:cs="FangSong"/>
          <w:sz w:val="31"/>
          <w:szCs w:val="31"/>
          <w:spacing w:val="7"/>
        </w:rPr>
        <w:t>之一的，由县级以上地方疾病预防控制主管部门责令改正，给予警告，并处一万元以上三万元以下罚</w:t>
      </w:r>
      <w:r>
        <w:rPr>
          <w:rFonts w:ascii="FangSong" w:hAnsi="FangSong" w:eastAsia="FangSong" w:cs="FangSong"/>
          <w:sz w:val="31"/>
          <w:szCs w:val="31"/>
          <w:spacing w:val="6"/>
        </w:rPr>
        <w:t xml:space="preserve"> </w:t>
      </w:r>
      <w:r>
        <w:rPr>
          <w:rFonts w:ascii="FangSong" w:hAnsi="FangSong" w:eastAsia="FangSong" w:cs="FangSong"/>
          <w:sz w:val="31"/>
          <w:szCs w:val="31"/>
          <w:spacing w:val="5"/>
        </w:rPr>
        <w:t>款；构成犯罪的，依法追究刑事责任：</w:t>
      </w:r>
    </w:p>
    <w:p>
      <w:pPr>
        <w:ind w:left="805"/>
        <w:spacing w:before="21" w:line="219" w:lineRule="auto"/>
        <w:rPr>
          <w:rFonts w:ascii="FangSong" w:hAnsi="FangSong" w:eastAsia="FangSong" w:cs="FangSong"/>
          <w:sz w:val="31"/>
          <w:szCs w:val="31"/>
        </w:rPr>
      </w:pPr>
      <w:r>
        <w:rPr>
          <w:rFonts w:ascii="FangSong" w:hAnsi="FangSong" w:eastAsia="FangSong" w:cs="FangSong"/>
          <w:sz w:val="31"/>
          <w:szCs w:val="31"/>
          <w:spacing w:val="13"/>
        </w:rPr>
        <w:t>(三)未按规定在网上公开职业卫生技术报告相关信息的；</w:t>
      </w:r>
    </w:p>
    <w:p>
      <w:pPr>
        <w:ind w:left="6429"/>
        <w:spacing w:before="205"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50"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9063"/>
        <w:gridCol w:w="3383"/>
      </w:tblGrid>
      <w:tr>
        <w:trPr>
          <w:trHeight w:val="570" w:hRule="atLeast"/>
        </w:trPr>
        <w:tc>
          <w:tcPr>
            <w:tcW w:w="1404" w:type="dxa"/>
            <w:vAlign w:val="top"/>
          </w:tcPr>
          <w:p>
            <w:pPr>
              <w:pStyle w:val="TableText"/>
              <w:ind w:left="178"/>
              <w:spacing w:before="162" w:line="220" w:lineRule="auto"/>
              <w:rPr>
                <w:sz w:val="26"/>
                <w:szCs w:val="26"/>
              </w:rPr>
            </w:pPr>
            <w:r>
              <w:rPr>
                <w:sz w:val="26"/>
                <w:szCs w:val="26"/>
                <w:b/>
                <w:bCs/>
                <w:spacing w:val="-5"/>
              </w:rPr>
              <w:t>违法程度</w:t>
            </w:r>
          </w:p>
        </w:tc>
        <w:tc>
          <w:tcPr>
            <w:tcW w:w="9063" w:type="dxa"/>
            <w:vAlign w:val="top"/>
          </w:tcPr>
          <w:p>
            <w:pPr>
              <w:pStyle w:val="TableText"/>
              <w:ind w:left="3984"/>
              <w:spacing w:before="162" w:line="220" w:lineRule="auto"/>
              <w:rPr>
                <w:sz w:val="26"/>
                <w:szCs w:val="26"/>
              </w:rPr>
            </w:pPr>
            <w:r>
              <w:rPr>
                <w:sz w:val="26"/>
                <w:szCs w:val="26"/>
                <w:b/>
                <w:bCs/>
                <w:spacing w:val="-5"/>
              </w:rPr>
              <w:t>情节后果</w:t>
            </w:r>
          </w:p>
        </w:tc>
        <w:tc>
          <w:tcPr>
            <w:tcW w:w="3383" w:type="dxa"/>
            <w:vAlign w:val="top"/>
          </w:tcPr>
          <w:p>
            <w:pPr>
              <w:pStyle w:val="TableText"/>
              <w:ind w:left="1121"/>
              <w:spacing w:before="159" w:line="218" w:lineRule="auto"/>
              <w:rPr>
                <w:sz w:val="26"/>
                <w:szCs w:val="26"/>
              </w:rPr>
            </w:pPr>
            <w:r>
              <w:rPr>
                <w:sz w:val="26"/>
                <w:szCs w:val="26"/>
                <w:b/>
                <w:bCs/>
                <w:spacing w:val="-5"/>
              </w:rPr>
              <w:t>裁量幅度</w:t>
            </w:r>
          </w:p>
        </w:tc>
      </w:tr>
      <w:tr>
        <w:trPr>
          <w:trHeight w:val="540" w:hRule="atLeast"/>
        </w:trPr>
        <w:tc>
          <w:tcPr>
            <w:tcW w:w="1404" w:type="dxa"/>
            <w:vAlign w:val="top"/>
          </w:tcPr>
          <w:p>
            <w:pPr>
              <w:pStyle w:val="TableText"/>
              <w:ind w:left="438"/>
              <w:spacing w:before="244" w:line="203" w:lineRule="auto"/>
              <w:rPr>
                <w:sz w:val="26"/>
                <w:szCs w:val="26"/>
              </w:rPr>
            </w:pPr>
            <w:r>
              <w:rPr>
                <w:sz w:val="26"/>
                <w:szCs w:val="26"/>
                <w:b/>
                <w:bCs/>
                <w:spacing w:val="-10"/>
              </w:rPr>
              <w:t>一般</w:t>
            </w:r>
          </w:p>
        </w:tc>
        <w:tc>
          <w:tcPr>
            <w:tcW w:w="9063" w:type="dxa"/>
            <w:vAlign w:val="top"/>
          </w:tcPr>
          <w:p>
            <w:pPr>
              <w:pStyle w:val="TableText"/>
              <w:ind w:left="124"/>
              <w:spacing w:before="139" w:line="218" w:lineRule="auto"/>
              <w:rPr>
                <w:sz w:val="26"/>
                <w:szCs w:val="26"/>
              </w:rPr>
            </w:pPr>
            <w:r>
              <w:rPr>
                <w:sz w:val="26"/>
                <w:szCs w:val="26"/>
                <w:b/>
                <w:bCs/>
                <w:spacing w:val="-3"/>
              </w:rPr>
              <w:t>未按规定在网上公开职业卫生技术报告相关信息的</w:t>
            </w:r>
          </w:p>
        </w:tc>
        <w:tc>
          <w:tcPr>
            <w:tcW w:w="3383" w:type="dxa"/>
            <w:vAlign w:val="top"/>
          </w:tcPr>
          <w:p>
            <w:pPr>
              <w:pStyle w:val="TableText"/>
              <w:ind w:left="121"/>
              <w:spacing w:before="139" w:line="218" w:lineRule="auto"/>
              <w:rPr>
                <w:sz w:val="26"/>
                <w:szCs w:val="26"/>
              </w:rPr>
            </w:pPr>
            <w:r>
              <w:rPr>
                <w:sz w:val="26"/>
                <w:szCs w:val="26"/>
                <w:b/>
                <w:bCs/>
                <w:spacing w:val="-4"/>
              </w:rPr>
              <w:t>给予警告，责令限期改正</w:t>
            </w:r>
          </w:p>
        </w:tc>
      </w:tr>
    </w:tbl>
    <w:p>
      <w:pPr>
        <w:pStyle w:val="BodyText"/>
        <w:rPr/>
      </w:pPr>
      <w:r/>
    </w:p>
    <w:p>
      <w:pPr>
        <w:sectPr>
          <w:footerReference w:type="default" r:id="rId555"/>
          <w:pgSz w:w="16830" w:h="11900"/>
          <w:pgMar w:top="1011" w:right="1424" w:bottom="1124" w:left="1414" w:header="0" w:footer="782" w:gutter="0"/>
        </w:sectPr>
        <w:rPr/>
      </w:pPr>
    </w:p>
    <w:p>
      <w:pPr>
        <w:spacing w:before="20"/>
        <w:rPr/>
      </w:pPr>
      <w:r/>
    </w:p>
    <w:p>
      <w:pPr>
        <w:spacing w:before="20"/>
        <w:rPr/>
      </w:pPr>
      <w:r/>
    </w:p>
    <w:p>
      <w:pPr>
        <w:spacing w:before="19"/>
        <w:rPr/>
      </w:pPr>
      <w:r/>
    </w:p>
    <w:tbl>
      <w:tblPr>
        <w:tblStyle w:val="TableNormal"/>
        <w:tblW w:w="138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9043"/>
        <w:gridCol w:w="3383"/>
      </w:tblGrid>
      <w:tr>
        <w:trPr>
          <w:trHeight w:val="490" w:hRule="atLeast"/>
        </w:trPr>
        <w:tc>
          <w:tcPr>
            <w:tcW w:w="1434" w:type="dxa"/>
            <w:vAlign w:val="top"/>
          </w:tcPr>
          <w:p>
            <w:pPr>
              <w:pStyle w:val="TableText"/>
              <w:ind w:left="468"/>
              <w:spacing w:before="213" w:line="205" w:lineRule="auto"/>
              <w:rPr/>
            </w:pPr>
            <w:bookmarkStart w:name="bookmark1187" w:id="564"/>
            <w:bookmarkEnd w:id="564"/>
            <w:r>
              <w:rPr>
                <w:b/>
                <w:bCs/>
                <w:spacing w:val="-5"/>
              </w:rPr>
              <w:t>较重</w:t>
            </w:r>
          </w:p>
        </w:tc>
        <w:tc>
          <w:tcPr>
            <w:tcW w:w="9043" w:type="dxa"/>
            <w:vAlign w:val="top"/>
          </w:tcPr>
          <w:p>
            <w:pPr>
              <w:pStyle w:val="TableText"/>
              <w:ind w:left="111"/>
              <w:spacing w:before="132" w:line="218" w:lineRule="auto"/>
              <w:rPr/>
            </w:pPr>
            <w:r>
              <w:rPr/>
              <w:t>经责令限期改正，仍存在网上公开职业卫生技术报告相关信息不全等行为</w:t>
            </w:r>
          </w:p>
        </w:tc>
        <w:tc>
          <w:tcPr>
            <w:tcW w:w="3383" w:type="dxa"/>
            <w:vAlign w:val="top"/>
          </w:tcPr>
          <w:p>
            <w:pPr>
              <w:pStyle w:val="TableText"/>
              <w:ind w:left="118"/>
              <w:spacing w:before="135" w:line="220" w:lineRule="auto"/>
              <w:rPr/>
            </w:pPr>
            <w:r>
              <w:rPr>
                <w:spacing w:val="1"/>
              </w:rPr>
              <w:t>处二万元以下罚款</w:t>
            </w:r>
          </w:p>
        </w:tc>
      </w:tr>
      <w:tr>
        <w:trPr>
          <w:trHeight w:val="550" w:hRule="atLeast"/>
        </w:trPr>
        <w:tc>
          <w:tcPr>
            <w:tcW w:w="1434" w:type="dxa"/>
            <w:vAlign w:val="top"/>
          </w:tcPr>
          <w:p>
            <w:pPr>
              <w:pStyle w:val="TableText"/>
              <w:ind w:left="468"/>
              <w:spacing w:before="261" w:line="214" w:lineRule="auto"/>
              <w:rPr/>
            </w:pPr>
            <w:r>
              <w:rPr>
                <w:b/>
                <w:bCs/>
                <w:spacing w:val="-6"/>
              </w:rPr>
              <w:t>严重</w:t>
            </w:r>
          </w:p>
        </w:tc>
        <w:tc>
          <w:tcPr>
            <w:tcW w:w="9043" w:type="dxa"/>
            <w:vAlign w:val="top"/>
          </w:tcPr>
          <w:p>
            <w:pPr>
              <w:pStyle w:val="TableText"/>
              <w:ind w:left="111"/>
              <w:spacing w:before="162" w:line="218" w:lineRule="auto"/>
              <w:rPr/>
            </w:pPr>
            <w:r>
              <w:rPr/>
              <w:t>经责令限期改正，逾期不改的，仍未在网上公开职业卫生技术报告相关信息的</w:t>
            </w:r>
          </w:p>
        </w:tc>
        <w:tc>
          <w:tcPr>
            <w:tcW w:w="3383" w:type="dxa"/>
            <w:vAlign w:val="top"/>
          </w:tcPr>
          <w:p>
            <w:pPr>
              <w:pStyle w:val="TableText"/>
              <w:ind w:left="118"/>
              <w:spacing w:before="165" w:line="220" w:lineRule="auto"/>
              <w:rPr/>
            </w:pPr>
            <w:r>
              <w:rPr/>
              <w:t>处二万以上三万元以下罚款</w:t>
            </w:r>
          </w:p>
        </w:tc>
      </w:tr>
    </w:tbl>
    <w:p>
      <w:pPr>
        <w:pStyle w:val="BodyText"/>
        <w:spacing w:line="460" w:lineRule="auto"/>
        <w:rPr/>
      </w:pPr>
      <w:r/>
    </w:p>
    <w:p>
      <w:pPr>
        <w:ind w:right="9"/>
        <w:spacing w:before="98" w:line="220" w:lineRule="auto"/>
        <w:jc w:val="right"/>
        <w:rPr>
          <w:rFonts w:ascii="KaiTi" w:hAnsi="KaiTi" w:eastAsia="KaiTi" w:cs="KaiTi"/>
          <w:sz w:val="30"/>
          <w:szCs w:val="30"/>
        </w:rPr>
      </w:pPr>
      <w:r>
        <w:rPr>
          <w:rFonts w:ascii="KaiTi" w:hAnsi="KaiTi" w:eastAsia="KaiTi" w:cs="KaiTi"/>
          <w:sz w:val="30"/>
          <w:szCs w:val="30"/>
          <w:b/>
          <w:bCs/>
          <w:spacing w:val="21"/>
        </w:rPr>
        <w:t>第五百二十九条未按标准规范开展职业卫生技术服务，或者擅自更改、简化服务程序和相关内</w:t>
      </w:r>
    </w:p>
    <w:p>
      <w:pPr>
        <w:ind w:left="45"/>
        <w:spacing w:before="109" w:line="220" w:lineRule="auto"/>
        <w:rPr>
          <w:rFonts w:ascii="SimSun" w:hAnsi="SimSun" w:eastAsia="SimSun" w:cs="SimSun"/>
          <w:sz w:val="30"/>
          <w:szCs w:val="30"/>
        </w:rPr>
      </w:pPr>
      <w:r>
        <w:rPr>
          <w:rFonts w:ascii="SimSun" w:hAnsi="SimSun" w:eastAsia="SimSun" w:cs="SimSun"/>
          <w:sz w:val="30"/>
          <w:szCs w:val="30"/>
        </w:rPr>
        <w:t>容</w:t>
      </w:r>
    </w:p>
    <w:p>
      <w:pPr>
        <w:ind w:left="665"/>
        <w:spacing w:before="79"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45" w:firstLine="619"/>
        <w:spacing w:before="69" w:line="262" w:lineRule="auto"/>
        <w:rPr>
          <w:rFonts w:ascii="FangSong" w:hAnsi="FangSong" w:eastAsia="FangSong" w:cs="FangSong"/>
          <w:sz w:val="30"/>
          <w:szCs w:val="30"/>
        </w:rPr>
      </w:pPr>
      <w:r>
        <w:rPr>
          <w:rFonts w:ascii="FangSong" w:hAnsi="FangSong" w:eastAsia="FangSong" w:cs="FangSong"/>
          <w:sz w:val="30"/>
          <w:szCs w:val="30"/>
          <w:spacing w:val="24"/>
        </w:rPr>
        <w:t>《职业卫生技术服务机构管理办法》第四十四条第(一)</w:t>
      </w:r>
      <w:r>
        <w:rPr>
          <w:rFonts w:ascii="FangSong" w:hAnsi="FangSong" w:eastAsia="FangSong" w:cs="FangSong"/>
          <w:sz w:val="30"/>
          <w:szCs w:val="30"/>
          <w:spacing w:val="23"/>
        </w:rPr>
        <w:t>项</w:t>
      </w:r>
      <w:r>
        <w:rPr>
          <w:rFonts w:ascii="FangSong" w:hAnsi="FangSong" w:eastAsia="FangSong" w:cs="FangSong"/>
          <w:sz w:val="30"/>
          <w:szCs w:val="30"/>
          <w:spacing w:val="23"/>
        </w:rPr>
        <w:t xml:space="preserve">  </w:t>
      </w:r>
      <w:r>
        <w:rPr>
          <w:rFonts w:ascii="FangSong" w:hAnsi="FangSong" w:eastAsia="FangSong" w:cs="FangSong"/>
          <w:sz w:val="30"/>
          <w:szCs w:val="30"/>
          <w:spacing w:val="23"/>
        </w:rPr>
        <w:t>职业卫生技术服务机构有下列情形</w:t>
      </w:r>
      <w:r>
        <w:rPr>
          <w:rFonts w:ascii="FangSong" w:hAnsi="FangSong" w:eastAsia="FangSong" w:cs="FangSong"/>
          <w:sz w:val="30"/>
          <w:szCs w:val="30"/>
        </w:rPr>
        <w:t xml:space="preserve"> </w:t>
      </w:r>
      <w:r>
        <w:rPr>
          <w:rFonts w:ascii="FangSong" w:hAnsi="FangSong" w:eastAsia="FangSong" w:cs="FangSong"/>
          <w:sz w:val="30"/>
          <w:szCs w:val="30"/>
          <w:spacing w:val="18"/>
        </w:rPr>
        <w:t>之一的，由县级以上地方疾病预防控制主管部门责令改正，给予警告，可以并处三万</w:t>
      </w:r>
      <w:r>
        <w:rPr>
          <w:rFonts w:ascii="FangSong" w:hAnsi="FangSong" w:eastAsia="FangSong" w:cs="FangSong"/>
          <w:sz w:val="30"/>
          <w:szCs w:val="30"/>
          <w:spacing w:val="17"/>
        </w:rPr>
        <w:t>元以下罚款：</w:t>
      </w:r>
    </w:p>
    <w:p>
      <w:pPr>
        <w:ind w:left="805"/>
        <w:spacing w:before="5" w:line="221" w:lineRule="auto"/>
        <w:rPr>
          <w:rFonts w:ascii="FangSong" w:hAnsi="FangSong" w:eastAsia="FangSong" w:cs="FangSong"/>
          <w:sz w:val="30"/>
          <w:szCs w:val="30"/>
        </w:rPr>
      </w:pPr>
      <w:r>
        <w:rPr>
          <w:rFonts w:ascii="FangSong" w:hAnsi="FangSong" w:eastAsia="FangSong" w:cs="FangSong"/>
          <w:sz w:val="30"/>
          <w:szCs w:val="30"/>
          <w:spacing w:val="22"/>
        </w:rPr>
        <w:t>(一)未按标准规范开展职业卫生技术服务，或者擅自更改、简化服务程序和相关内容；</w:t>
      </w:r>
    </w:p>
    <w:p>
      <w:pPr>
        <w:ind w:left="6439"/>
        <w:spacing w:before="222" w:line="208"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47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84"/>
        <w:gridCol w:w="8793"/>
        <w:gridCol w:w="3302"/>
      </w:tblGrid>
      <w:tr>
        <w:trPr>
          <w:trHeight w:val="562" w:hRule="atLeast"/>
        </w:trPr>
        <w:tc>
          <w:tcPr>
            <w:tcW w:w="1384" w:type="dxa"/>
            <w:vAlign w:val="top"/>
          </w:tcPr>
          <w:p>
            <w:pPr>
              <w:pStyle w:val="TableText"/>
              <w:ind w:left="108"/>
              <w:spacing w:before="16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8793" w:type="dxa"/>
            <w:vAlign w:val="top"/>
          </w:tcPr>
          <w:p>
            <w:pPr>
              <w:pStyle w:val="TableText"/>
              <w:ind w:left="3914"/>
              <w:spacing w:before="162" w:line="220" w:lineRule="auto"/>
              <w:rPr/>
            </w:pPr>
            <w:r>
              <w:rPr>
                <w:b/>
                <w:bCs/>
                <w:spacing w:val="-5"/>
              </w:rPr>
              <w:t>情节后果</w:t>
            </w:r>
          </w:p>
        </w:tc>
        <w:tc>
          <w:tcPr>
            <w:tcW w:w="3302" w:type="dxa"/>
            <w:vAlign w:val="top"/>
          </w:tcPr>
          <w:p>
            <w:pPr>
              <w:pStyle w:val="TableText"/>
              <w:ind w:left="1171"/>
              <w:spacing w:before="159" w:line="218" w:lineRule="auto"/>
              <w:rPr/>
            </w:pPr>
            <w:r>
              <w:rPr>
                <w:b/>
                <w:bCs/>
                <w:spacing w:val="-5"/>
              </w:rPr>
              <w:t>裁量幅度</w:t>
            </w:r>
          </w:p>
        </w:tc>
      </w:tr>
      <w:tr>
        <w:trPr>
          <w:trHeight w:val="657" w:hRule="atLeast"/>
        </w:trPr>
        <w:tc>
          <w:tcPr>
            <w:tcW w:w="1384" w:type="dxa"/>
            <w:vAlign w:val="top"/>
          </w:tcPr>
          <w:p>
            <w:pPr>
              <w:pStyle w:val="TableText"/>
              <w:ind w:left="448"/>
              <w:spacing w:before="290" w:line="221" w:lineRule="auto"/>
              <w:rPr/>
            </w:pPr>
            <w:r>
              <w:rPr>
                <w:b/>
                <w:bCs/>
                <w:spacing w:val="-10"/>
              </w:rPr>
              <w:t>一般</w:t>
            </w:r>
          </w:p>
        </w:tc>
        <w:tc>
          <w:tcPr>
            <w:tcW w:w="8793" w:type="dxa"/>
            <w:vAlign w:val="top"/>
          </w:tcPr>
          <w:p>
            <w:pPr>
              <w:pStyle w:val="TableText"/>
              <w:ind w:left="130" w:right="52" w:hanging="59"/>
              <w:spacing w:before="51" w:line="229" w:lineRule="auto"/>
              <w:rPr/>
            </w:pPr>
            <w:r>
              <w:rPr/>
              <w:t>未按标准规范开展职业卫生技术服务，或擅自更改、简化职业卫生技术服务程序和</w:t>
            </w:r>
            <w:r>
              <w:rPr>
                <w:spacing w:val="18"/>
              </w:rPr>
              <w:t xml:space="preserve"> </w:t>
            </w:r>
            <w:r>
              <w:rPr/>
              <w:t>相关内容，未造成检测、评价报告结果失真的</w:t>
            </w:r>
          </w:p>
        </w:tc>
        <w:tc>
          <w:tcPr>
            <w:tcW w:w="3302" w:type="dxa"/>
            <w:vAlign w:val="top"/>
          </w:tcPr>
          <w:p>
            <w:pPr>
              <w:pStyle w:val="TableText"/>
              <w:ind w:left="117" w:right="73" w:hanging="29"/>
              <w:spacing w:before="62" w:line="225" w:lineRule="auto"/>
              <w:rPr/>
            </w:pPr>
            <w:r>
              <w:rPr/>
              <w:t>给予警告，责令限期改正，并</w:t>
            </w:r>
            <w:r>
              <w:rPr>
                <w:spacing w:val="9"/>
              </w:rPr>
              <w:t xml:space="preserve"> </w:t>
            </w:r>
            <w:r>
              <w:rPr>
                <w:spacing w:val="1"/>
              </w:rPr>
              <w:t>处一万元以下的罚款</w:t>
            </w:r>
          </w:p>
        </w:tc>
      </w:tr>
      <w:tr>
        <w:trPr>
          <w:trHeight w:val="1021" w:hRule="atLeast"/>
        </w:trPr>
        <w:tc>
          <w:tcPr>
            <w:tcW w:w="1384" w:type="dxa"/>
            <w:vAlign w:val="top"/>
          </w:tcPr>
          <w:p>
            <w:pPr>
              <w:spacing w:line="422" w:lineRule="auto"/>
              <w:rPr>
                <w:rFonts w:ascii="Arial"/>
                <w:sz w:val="21"/>
              </w:rPr>
            </w:pPr>
            <w:r/>
          </w:p>
          <w:p>
            <w:pPr>
              <w:pStyle w:val="TableText"/>
              <w:ind w:left="448"/>
              <w:spacing w:before="78" w:line="220" w:lineRule="auto"/>
              <w:rPr/>
            </w:pPr>
            <w:r>
              <w:rPr>
                <w:b/>
                <w:bCs/>
                <w:spacing w:val="-6"/>
              </w:rPr>
              <w:t>严重</w:t>
            </w:r>
          </w:p>
        </w:tc>
        <w:tc>
          <w:tcPr>
            <w:tcW w:w="8793" w:type="dxa"/>
            <w:vAlign w:val="top"/>
          </w:tcPr>
          <w:p>
            <w:pPr>
              <w:pStyle w:val="TableText"/>
              <w:ind w:left="100" w:right="52" w:hanging="29"/>
              <w:spacing w:before="254" w:line="270" w:lineRule="auto"/>
              <w:rPr/>
            </w:pPr>
            <w:r>
              <w:rPr/>
              <w:t>未按标准规范开展职业卫生技术服务，或擅自更改、简化职业卫生技术服务程序和</w:t>
            </w:r>
            <w:r>
              <w:rPr>
                <w:spacing w:val="18"/>
              </w:rPr>
              <w:t xml:space="preserve"> </w:t>
            </w:r>
            <w:r>
              <w:rPr/>
              <w:t>相关内容，造成检测、评价报告结果失真的</w:t>
            </w:r>
          </w:p>
        </w:tc>
        <w:tc>
          <w:tcPr>
            <w:tcW w:w="3302" w:type="dxa"/>
            <w:vAlign w:val="top"/>
          </w:tcPr>
          <w:p>
            <w:pPr>
              <w:pStyle w:val="TableText"/>
              <w:ind w:left="207" w:right="73" w:hanging="119"/>
              <w:spacing w:before="84" w:line="255" w:lineRule="auto"/>
              <w:rPr/>
            </w:pPr>
            <w:r>
              <w:rPr/>
              <w:t>给予警告，责令限期改正，并</w:t>
            </w:r>
            <w:r>
              <w:rPr>
                <w:spacing w:val="9"/>
              </w:rPr>
              <w:t xml:space="preserve"> </w:t>
            </w:r>
            <w:r>
              <w:rPr>
                <w:spacing w:val="1"/>
              </w:rPr>
              <w:t>处一万元以上三万元以下的</w:t>
            </w:r>
          </w:p>
          <w:p>
            <w:pPr>
              <w:pStyle w:val="TableText"/>
              <w:ind w:left="117"/>
              <w:spacing w:line="202" w:lineRule="auto"/>
              <w:rPr/>
            </w:pPr>
            <w:r>
              <w:rPr>
                <w:color w:val="605050"/>
                <w:spacing w:val="5"/>
              </w:rPr>
              <w:t>罚款</w:t>
            </w:r>
          </w:p>
        </w:tc>
      </w:tr>
    </w:tbl>
    <w:p>
      <w:pPr>
        <w:pStyle w:val="BodyText"/>
        <w:spacing w:line="456" w:lineRule="auto"/>
        <w:rPr/>
      </w:pPr>
      <w:r/>
    </w:p>
    <w:p>
      <w:pPr>
        <w:ind w:left="669"/>
        <w:spacing w:before="98" w:line="220" w:lineRule="auto"/>
        <w:rPr>
          <w:rFonts w:ascii="FangSong" w:hAnsi="FangSong" w:eastAsia="FangSong" w:cs="FangSong"/>
          <w:sz w:val="30"/>
          <w:szCs w:val="30"/>
        </w:rPr>
      </w:pPr>
      <w:r>
        <w:rPr>
          <w:rFonts w:ascii="FangSong" w:hAnsi="FangSong" w:eastAsia="FangSong" w:cs="FangSong"/>
          <w:sz w:val="30"/>
          <w:szCs w:val="30"/>
          <w:b/>
          <w:bCs/>
          <w:spacing w:val="25"/>
        </w:rPr>
        <w:t>第五百三十条未按规定实施委托检测的</w:t>
      </w:r>
    </w:p>
    <w:p>
      <w:pPr>
        <w:pStyle w:val="BodyText"/>
        <w:spacing w:line="319" w:lineRule="auto"/>
        <w:rPr/>
      </w:pPr>
      <w:r/>
    </w:p>
    <w:p>
      <w:pPr>
        <w:pStyle w:val="BodyText"/>
        <w:spacing w:line="320" w:lineRule="auto"/>
        <w:rPr/>
      </w:pPr>
      <w:r/>
    </w:p>
    <w:p>
      <w:pPr>
        <w:pStyle w:val="BodyText"/>
        <w:spacing w:line="320" w:lineRule="auto"/>
        <w:rPr/>
      </w:pPr>
      <w:r/>
    </w:p>
    <w:p>
      <w:pPr>
        <w:ind w:left="6415"/>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w w:val="96"/>
        </w:rPr>
        <w:t>—629—</w:t>
      </w:r>
    </w:p>
    <w:p>
      <w:pPr>
        <w:spacing w:line="188" w:lineRule="auto"/>
        <w:sectPr>
          <w:footerReference w:type="default" r:id="rId24"/>
          <w:pgSz w:w="16830" w:h="11900"/>
          <w:pgMar w:top="1011" w:right="1434" w:bottom="400" w:left="1414" w:header="0" w:footer="0" w:gutter="0"/>
        </w:sectPr>
        <w:rPr>
          <w:rFonts w:ascii="Times New Roman" w:hAnsi="Times New Roman" w:eastAsia="Times New Roman" w:cs="Times New Roman"/>
          <w:sz w:val="37"/>
          <w:szCs w:val="37"/>
        </w:rPr>
      </w:pPr>
    </w:p>
    <w:p>
      <w:pPr>
        <w:pStyle w:val="BodyText"/>
        <w:spacing w:line="278" w:lineRule="auto"/>
        <w:rPr/>
      </w:pPr>
      <w:r/>
    </w:p>
    <w:p>
      <w:pPr>
        <w:pStyle w:val="BodyText"/>
        <w:spacing w:line="278" w:lineRule="auto"/>
        <w:rPr/>
      </w:pPr>
      <w:r/>
    </w:p>
    <w:p>
      <w:pPr>
        <w:pStyle w:val="BodyText"/>
        <w:spacing w:line="278" w:lineRule="auto"/>
        <w:rPr/>
      </w:pPr>
      <w:r/>
    </w:p>
    <w:p>
      <w:pPr>
        <w:ind w:left="654"/>
        <w:spacing w:before="88" w:line="222" w:lineRule="auto"/>
        <w:rPr>
          <w:rFonts w:ascii="FangSong" w:hAnsi="FangSong" w:eastAsia="FangSong" w:cs="FangSong"/>
          <w:sz w:val="27"/>
          <w:szCs w:val="27"/>
        </w:rPr>
      </w:pPr>
      <w:bookmarkStart w:name="bookmark1188" w:id="565"/>
      <w:bookmarkEnd w:id="565"/>
      <w:r>
        <w:rPr>
          <w:rFonts w:ascii="FangSong" w:hAnsi="FangSong" w:eastAsia="FangSong" w:cs="FangSong"/>
          <w:sz w:val="27"/>
          <w:szCs w:val="27"/>
          <w:spacing w:val="27"/>
        </w:rPr>
        <w:t>法律依据：</w:t>
      </w:r>
    </w:p>
    <w:p>
      <w:pPr>
        <w:ind w:left="25" w:right="66" w:firstLine="605"/>
        <w:spacing w:before="65" w:line="266" w:lineRule="auto"/>
        <w:rPr>
          <w:rFonts w:ascii="FangSong" w:hAnsi="FangSong" w:eastAsia="FangSong" w:cs="FangSong"/>
          <w:sz w:val="31"/>
          <w:szCs w:val="31"/>
        </w:rPr>
      </w:pPr>
      <w:r>
        <w:rPr>
          <w:rFonts w:ascii="FangSong" w:hAnsi="FangSong" w:eastAsia="FangSong" w:cs="FangSong"/>
          <w:sz w:val="31"/>
          <w:szCs w:val="31"/>
          <w:spacing w:val="21"/>
        </w:rPr>
        <w:t>《职业卫生技术服务机构管理办法》第四十四条第(二)项职业卫生技术服务机构有下列情形</w:t>
      </w:r>
      <w:r>
        <w:rPr>
          <w:rFonts w:ascii="FangSong" w:hAnsi="FangSong" w:eastAsia="FangSong" w:cs="FangSong"/>
          <w:sz w:val="31"/>
          <w:szCs w:val="31"/>
          <w:spacing w:val="2"/>
        </w:rPr>
        <w:t xml:space="preserve"> </w:t>
      </w:r>
      <w:r>
        <w:rPr>
          <w:rFonts w:ascii="FangSong" w:hAnsi="FangSong" w:eastAsia="FangSong" w:cs="FangSong"/>
          <w:sz w:val="31"/>
          <w:szCs w:val="31"/>
          <w:spacing w:val="8"/>
        </w:rPr>
        <w:t>之一的，由县级以上地方疾病预防控制主管部门责令改正，给予警告，可以并处三万元以下罚款：</w:t>
      </w:r>
    </w:p>
    <w:p>
      <w:pPr>
        <w:ind w:left="785"/>
        <w:spacing w:before="4" w:line="220" w:lineRule="auto"/>
        <w:rPr>
          <w:rFonts w:ascii="FangSong" w:hAnsi="FangSong" w:eastAsia="FangSong" w:cs="FangSong"/>
          <w:sz w:val="31"/>
          <w:szCs w:val="31"/>
        </w:rPr>
      </w:pPr>
      <w:r>
        <w:rPr>
          <w:rFonts w:ascii="FangSong" w:hAnsi="FangSong" w:eastAsia="FangSong" w:cs="FangSong"/>
          <w:sz w:val="31"/>
          <w:szCs w:val="31"/>
          <w:spacing w:val="15"/>
        </w:rPr>
        <w:t>(二)未按规定实施委托检测的；</w:t>
      </w:r>
    </w:p>
    <w:p>
      <w:pPr>
        <w:ind w:left="6419"/>
        <w:spacing w:before="222" w:line="208"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6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8933"/>
        <w:gridCol w:w="3333"/>
      </w:tblGrid>
      <w:tr>
        <w:trPr>
          <w:trHeight w:val="534" w:hRule="atLeast"/>
        </w:trPr>
        <w:tc>
          <w:tcPr>
            <w:tcW w:w="1404" w:type="dxa"/>
            <w:vAlign w:val="top"/>
          </w:tcPr>
          <w:p>
            <w:pPr>
              <w:pStyle w:val="TableText"/>
              <w:ind w:left="198"/>
              <w:spacing w:before="142" w:line="220" w:lineRule="auto"/>
              <w:rPr>
                <w:sz w:val="25"/>
                <w:szCs w:val="25"/>
              </w:rPr>
            </w:pPr>
            <w:r>
              <w:rPr>
                <w:sz w:val="25"/>
                <w:szCs w:val="25"/>
                <w:b/>
                <w:bCs/>
                <w:spacing w:val="-5"/>
              </w:rPr>
              <w:t>违法程度</w:t>
            </w:r>
          </w:p>
        </w:tc>
        <w:tc>
          <w:tcPr>
            <w:tcW w:w="8933" w:type="dxa"/>
            <w:vAlign w:val="top"/>
          </w:tcPr>
          <w:p>
            <w:pPr>
              <w:pStyle w:val="TableText"/>
              <w:ind w:left="3914"/>
              <w:spacing w:before="142" w:line="220" w:lineRule="auto"/>
              <w:rPr>
                <w:sz w:val="25"/>
                <w:szCs w:val="25"/>
              </w:rPr>
            </w:pPr>
            <w:r>
              <w:rPr>
                <w:sz w:val="25"/>
                <w:szCs w:val="25"/>
                <w:b/>
                <w:bCs/>
                <w:spacing w:val="-5"/>
              </w:rPr>
              <w:t>情节后果</w:t>
            </w:r>
          </w:p>
        </w:tc>
        <w:tc>
          <w:tcPr>
            <w:tcW w:w="3333" w:type="dxa"/>
            <w:vAlign w:val="top"/>
          </w:tcPr>
          <w:p>
            <w:pPr>
              <w:pStyle w:val="TableText"/>
              <w:ind w:left="1161"/>
              <w:spacing w:before="139" w:line="218" w:lineRule="auto"/>
              <w:rPr>
                <w:sz w:val="25"/>
                <w:szCs w:val="25"/>
              </w:rPr>
            </w:pPr>
            <w:r>
              <w:rPr>
                <w:sz w:val="25"/>
                <w:szCs w:val="25"/>
                <w:b/>
                <w:bCs/>
                <w:spacing w:val="-5"/>
              </w:rPr>
              <w:t>裁量幅度</w:t>
            </w:r>
          </w:p>
        </w:tc>
      </w:tr>
      <w:tr>
        <w:trPr>
          <w:trHeight w:val="1037" w:hRule="atLeast"/>
        </w:trPr>
        <w:tc>
          <w:tcPr>
            <w:tcW w:w="1404" w:type="dxa"/>
            <w:vAlign w:val="top"/>
          </w:tcPr>
          <w:p>
            <w:pPr>
              <w:spacing w:line="415" w:lineRule="auto"/>
              <w:rPr>
                <w:rFonts w:ascii="Arial"/>
                <w:sz w:val="21"/>
              </w:rPr>
            </w:pPr>
            <w:r/>
          </w:p>
          <w:p>
            <w:pPr>
              <w:pStyle w:val="TableText"/>
              <w:ind w:left="448"/>
              <w:spacing w:before="81" w:line="221" w:lineRule="auto"/>
              <w:rPr>
                <w:sz w:val="25"/>
                <w:szCs w:val="25"/>
              </w:rPr>
            </w:pPr>
            <w:r>
              <w:rPr>
                <w:sz w:val="25"/>
                <w:szCs w:val="25"/>
                <w:b/>
                <w:bCs/>
                <w:spacing w:val="-10"/>
              </w:rPr>
              <w:t>一般</w:t>
            </w:r>
          </w:p>
        </w:tc>
        <w:tc>
          <w:tcPr>
            <w:tcW w:w="8933" w:type="dxa"/>
            <w:vAlign w:val="top"/>
          </w:tcPr>
          <w:p>
            <w:pPr>
              <w:pStyle w:val="TableText"/>
              <w:ind w:left="121"/>
              <w:spacing w:before="69" w:line="219" w:lineRule="auto"/>
              <w:rPr>
                <w:sz w:val="25"/>
                <w:szCs w:val="25"/>
              </w:rPr>
            </w:pPr>
            <w:r>
              <w:rPr>
                <w:sz w:val="25"/>
                <w:szCs w:val="25"/>
              </w:rPr>
              <w:t>委托不具备相应检测能力的机构进行测定以下检测项目的</w:t>
            </w:r>
          </w:p>
          <w:p>
            <w:pPr>
              <w:pStyle w:val="TableText"/>
              <w:ind w:left="121"/>
              <w:spacing w:before="63" w:line="219" w:lineRule="auto"/>
              <w:rPr>
                <w:sz w:val="25"/>
                <w:szCs w:val="25"/>
              </w:rPr>
            </w:pPr>
            <w:r>
              <w:rPr>
                <w:sz w:val="25"/>
                <w:szCs w:val="25"/>
                <w:spacing w:val="2"/>
              </w:rPr>
              <w:t>A、职业卫生技术服务机构检测项目限制的检测项目</w:t>
            </w:r>
          </w:p>
          <w:p>
            <w:pPr>
              <w:pStyle w:val="TableText"/>
              <w:ind w:left="121"/>
              <w:spacing w:before="35" w:line="196" w:lineRule="auto"/>
              <w:rPr>
                <w:sz w:val="25"/>
                <w:szCs w:val="25"/>
              </w:rPr>
            </w:pPr>
            <w:r>
              <w:rPr>
                <w:sz w:val="25"/>
                <w:szCs w:val="25"/>
                <w:spacing w:val="2"/>
              </w:rPr>
              <w:t>B、样品保存时限有特殊要求而无法自行检测的检测项目</w:t>
            </w:r>
          </w:p>
        </w:tc>
        <w:tc>
          <w:tcPr>
            <w:tcW w:w="3333" w:type="dxa"/>
            <w:vAlign w:val="top"/>
          </w:tcPr>
          <w:p>
            <w:pPr>
              <w:pStyle w:val="TableText"/>
              <w:ind w:left="117" w:right="24" w:hanging="79"/>
              <w:spacing w:before="248" w:line="256" w:lineRule="auto"/>
              <w:rPr>
                <w:sz w:val="25"/>
                <w:szCs w:val="25"/>
              </w:rPr>
            </w:pPr>
            <w:r>
              <w:rPr>
                <w:sz w:val="25"/>
                <w:szCs w:val="25"/>
              </w:rPr>
              <w:t>给予警告，责令限期改正，并</w:t>
            </w:r>
            <w:r>
              <w:rPr>
                <w:sz w:val="25"/>
                <w:szCs w:val="25"/>
                <w:spacing w:val="9"/>
              </w:rPr>
              <w:t xml:space="preserve"> </w:t>
            </w:r>
            <w:r>
              <w:rPr>
                <w:sz w:val="25"/>
                <w:szCs w:val="25"/>
                <w:spacing w:val="1"/>
              </w:rPr>
              <w:t>处一万元以下的罚款</w:t>
            </w:r>
          </w:p>
        </w:tc>
      </w:tr>
      <w:tr>
        <w:trPr>
          <w:trHeight w:val="1007" w:hRule="atLeast"/>
        </w:trPr>
        <w:tc>
          <w:tcPr>
            <w:tcW w:w="1404" w:type="dxa"/>
            <w:vAlign w:val="top"/>
          </w:tcPr>
          <w:p>
            <w:pPr>
              <w:spacing w:line="410" w:lineRule="auto"/>
              <w:rPr>
                <w:rFonts w:ascii="Arial"/>
                <w:sz w:val="21"/>
              </w:rPr>
            </w:pPr>
            <w:r/>
          </w:p>
          <w:p>
            <w:pPr>
              <w:pStyle w:val="TableText"/>
              <w:ind w:left="448"/>
              <w:spacing w:before="81" w:line="221" w:lineRule="auto"/>
              <w:rPr>
                <w:sz w:val="25"/>
                <w:szCs w:val="25"/>
              </w:rPr>
            </w:pPr>
            <w:r>
              <w:rPr>
                <w:sz w:val="25"/>
                <w:szCs w:val="25"/>
                <w:b/>
                <w:bCs/>
                <w:spacing w:val="-6"/>
              </w:rPr>
              <w:t>较重</w:t>
            </w:r>
          </w:p>
        </w:tc>
        <w:tc>
          <w:tcPr>
            <w:tcW w:w="8933" w:type="dxa"/>
            <w:vAlign w:val="top"/>
          </w:tcPr>
          <w:p>
            <w:pPr>
              <w:pStyle w:val="TableText"/>
              <w:ind w:left="121"/>
              <w:spacing w:before="62" w:line="219" w:lineRule="auto"/>
              <w:rPr>
                <w:sz w:val="25"/>
                <w:szCs w:val="25"/>
              </w:rPr>
            </w:pPr>
            <w:r>
              <w:rPr>
                <w:sz w:val="25"/>
                <w:szCs w:val="25"/>
              </w:rPr>
              <w:t>委托具备相应检测能力的职业卫生技术服务机构进行测定以下检测项目的</w:t>
            </w:r>
          </w:p>
          <w:p>
            <w:pPr>
              <w:pStyle w:val="TableText"/>
              <w:ind w:left="121"/>
              <w:spacing w:before="43" w:line="219" w:lineRule="auto"/>
              <w:rPr>
                <w:sz w:val="25"/>
                <w:szCs w:val="25"/>
              </w:rPr>
            </w:pPr>
            <w:r>
              <w:rPr>
                <w:sz w:val="25"/>
                <w:szCs w:val="25"/>
                <w:spacing w:val="2"/>
              </w:rPr>
              <w:t>A、职业卫生技术服务机构检测项目未受限制的检测项目</w:t>
            </w:r>
          </w:p>
          <w:p>
            <w:pPr>
              <w:pStyle w:val="TableText"/>
              <w:ind w:left="121"/>
              <w:spacing w:before="35" w:line="194" w:lineRule="auto"/>
              <w:rPr>
                <w:sz w:val="25"/>
                <w:szCs w:val="25"/>
              </w:rPr>
            </w:pPr>
            <w:r>
              <w:rPr>
                <w:sz w:val="25"/>
                <w:szCs w:val="25"/>
                <w:spacing w:val="2"/>
              </w:rPr>
              <w:t>B、样品保存时限无特殊要求的检测项目</w:t>
            </w:r>
          </w:p>
        </w:tc>
        <w:tc>
          <w:tcPr>
            <w:tcW w:w="3333" w:type="dxa"/>
            <w:vAlign w:val="top"/>
          </w:tcPr>
          <w:p>
            <w:pPr>
              <w:pStyle w:val="TableText"/>
              <w:ind w:left="157" w:right="24" w:hanging="119"/>
              <w:spacing w:before="61" w:line="249" w:lineRule="auto"/>
              <w:rPr>
                <w:sz w:val="25"/>
                <w:szCs w:val="25"/>
              </w:rPr>
            </w:pPr>
            <w:r>
              <w:rPr>
                <w:sz w:val="25"/>
                <w:szCs w:val="25"/>
              </w:rPr>
              <w:t>给予警告，责令限期改正，并</w:t>
            </w:r>
            <w:r>
              <w:rPr>
                <w:sz w:val="25"/>
                <w:szCs w:val="25"/>
                <w:spacing w:val="9"/>
              </w:rPr>
              <w:t xml:space="preserve"> </w:t>
            </w:r>
            <w:r>
              <w:rPr>
                <w:sz w:val="25"/>
                <w:szCs w:val="25"/>
                <w:spacing w:val="1"/>
              </w:rPr>
              <w:t>处一万元以上二万元以下的</w:t>
            </w:r>
          </w:p>
          <w:p>
            <w:pPr>
              <w:pStyle w:val="TableText"/>
              <w:ind w:left="118"/>
              <w:spacing w:line="192" w:lineRule="auto"/>
              <w:rPr>
                <w:sz w:val="25"/>
                <w:szCs w:val="25"/>
              </w:rPr>
            </w:pPr>
            <w:r>
              <w:rPr>
                <w:sz w:val="25"/>
                <w:szCs w:val="25"/>
                <w:color w:val="606060"/>
                <w:spacing w:val="5"/>
              </w:rPr>
              <w:t>罚款</w:t>
            </w:r>
          </w:p>
        </w:tc>
      </w:tr>
      <w:tr>
        <w:trPr>
          <w:trHeight w:val="1361" w:hRule="atLeast"/>
        </w:trPr>
        <w:tc>
          <w:tcPr>
            <w:tcW w:w="1404" w:type="dxa"/>
            <w:vAlign w:val="top"/>
          </w:tcPr>
          <w:p>
            <w:pPr>
              <w:spacing w:line="294" w:lineRule="auto"/>
              <w:rPr>
                <w:rFonts w:ascii="Arial"/>
                <w:sz w:val="21"/>
              </w:rPr>
            </w:pPr>
            <w:r/>
          </w:p>
          <w:p>
            <w:pPr>
              <w:spacing w:line="295" w:lineRule="auto"/>
              <w:rPr>
                <w:rFonts w:ascii="Arial"/>
                <w:sz w:val="21"/>
              </w:rPr>
            </w:pPr>
            <w:r/>
          </w:p>
          <w:p>
            <w:pPr>
              <w:pStyle w:val="TableText"/>
              <w:ind w:left="448"/>
              <w:spacing w:before="81" w:line="220" w:lineRule="auto"/>
              <w:rPr>
                <w:sz w:val="25"/>
                <w:szCs w:val="25"/>
              </w:rPr>
            </w:pPr>
            <w:r>
              <w:rPr>
                <w:sz w:val="25"/>
                <w:szCs w:val="25"/>
                <w:b/>
                <w:bCs/>
                <w:spacing w:val="-6"/>
              </w:rPr>
              <w:t>严重</w:t>
            </w:r>
          </w:p>
        </w:tc>
        <w:tc>
          <w:tcPr>
            <w:tcW w:w="8933" w:type="dxa"/>
            <w:vAlign w:val="top"/>
          </w:tcPr>
          <w:p>
            <w:pPr>
              <w:pStyle w:val="TableText"/>
              <w:ind w:left="121"/>
              <w:spacing w:before="85" w:line="219" w:lineRule="auto"/>
              <w:rPr>
                <w:sz w:val="25"/>
                <w:szCs w:val="25"/>
              </w:rPr>
            </w:pPr>
            <w:r>
              <w:rPr>
                <w:sz w:val="25"/>
                <w:szCs w:val="25"/>
              </w:rPr>
              <w:t>委托不具备相应检测能力的机构进行测定以下检测项目的</w:t>
            </w:r>
          </w:p>
          <w:p>
            <w:pPr>
              <w:pStyle w:val="TableText"/>
              <w:ind w:left="121"/>
              <w:spacing w:before="43" w:line="219" w:lineRule="auto"/>
              <w:rPr>
                <w:sz w:val="25"/>
                <w:szCs w:val="25"/>
              </w:rPr>
            </w:pPr>
            <w:r>
              <w:rPr>
                <w:sz w:val="25"/>
                <w:szCs w:val="25"/>
                <w:spacing w:val="2"/>
              </w:rPr>
              <w:t>A、职业卫生技术服务机构检测项目未受限制的检测项目</w:t>
            </w:r>
          </w:p>
          <w:p>
            <w:pPr>
              <w:pStyle w:val="TableText"/>
              <w:ind w:left="121"/>
              <w:spacing w:before="55" w:line="219" w:lineRule="auto"/>
              <w:rPr>
                <w:sz w:val="25"/>
                <w:szCs w:val="25"/>
              </w:rPr>
            </w:pPr>
            <w:r>
              <w:rPr>
                <w:sz w:val="25"/>
                <w:szCs w:val="25"/>
                <w:spacing w:val="2"/>
              </w:rPr>
              <w:t>B、样品保存时限无特殊要求的检测项目</w:t>
            </w:r>
          </w:p>
          <w:p>
            <w:pPr>
              <w:pStyle w:val="TableText"/>
              <w:ind w:left="121"/>
              <w:spacing w:before="3" w:line="202" w:lineRule="auto"/>
              <w:rPr>
                <w:sz w:val="25"/>
                <w:szCs w:val="25"/>
              </w:rPr>
            </w:pPr>
            <w:r>
              <w:rPr>
                <w:sz w:val="25"/>
                <w:szCs w:val="25"/>
                <w:spacing w:val="1"/>
              </w:rPr>
              <w:t>C、未按规定实施委托检测导致严重后果的</w:t>
            </w:r>
          </w:p>
        </w:tc>
        <w:tc>
          <w:tcPr>
            <w:tcW w:w="3333" w:type="dxa"/>
            <w:vAlign w:val="top"/>
          </w:tcPr>
          <w:p>
            <w:pPr>
              <w:pStyle w:val="TableText"/>
              <w:ind w:left="157" w:right="24" w:hanging="119"/>
              <w:spacing w:before="254" w:line="256" w:lineRule="auto"/>
              <w:rPr>
                <w:sz w:val="25"/>
                <w:szCs w:val="25"/>
              </w:rPr>
            </w:pPr>
            <w:r>
              <w:rPr>
                <w:sz w:val="25"/>
                <w:szCs w:val="25"/>
              </w:rPr>
              <w:t>给予警告，责令限期改正，并</w:t>
            </w:r>
            <w:r>
              <w:rPr>
                <w:sz w:val="25"/>
                <w:szCs w:val="25"/>
                <w:spacing w:val="9"/>
              </w:rPr>
              <w:t xml:space="preserve"> </w:t>
            </w:r>
            <w:r>
              <w:rPr>
                <w:sz w:val="25"/>
                <w:szCs w:val="25"/>
                <w:spacing w:val="1"/>
              </w:rPr>
              <w:t>处二万元以上三万元以下的</w:t>
            </w:r>
          </w:p>
          <w:p>
            <w:pPr>
              <w:pStyle w:val="TableText"/>
              <w:ind w:left="118"/>
              <w:spacing w:before="1" w:line="221" w:lineRule="auto"/>
              <w:rPr>
                <w:sz w:val="25"/>
                <w:szCs w:val="25"/>
              </w:rPr>
            </w:pPr>
            <w:r>
              <w:rPr>
                <w:sz w:val="25"/>
                <w:szCs w:val="25"/>
                <w:color w:val="505050"/>
                <w:spacing w:val="5"/>
              </w:rPr>
              <w:t>罚款</w:t>
            </w:r>
          </w:p>
        </w:tc>
      </w:tr>
    </w:tbl>
    <w:p>
      <w:pPr>
        <w:pStyle w:val="BodyText"/>
        <w:spacing w:line="440" w:lineRule="auto"/>
        <w:rPr/>
      </w:pPr>
      <w:r/>
    </w:p>
    <w:p>
      <w:pPr>
        <w:ind w:left="659"/>
        <w:spacing w:before="101" w:line="219" w:lineRule="auto"/>
        <w:rPr>
          <w:rFonts w:ascii="FangSong" w:hAnsi="FangSong" w:eastAsia="FangSong" w:cs="FangSong"/>
          <w:sz w:val="31"/>
          <w:szCs w:val="31"/>
        </w:rPr>
      </w:pPr>
      <w:r>
        <w:rPr>
          <w:rFonts w:ascii="FangSong" w:hAnsi="FangSong" w:eastAsia="FangSong" w:cs="FangSong"/>
          <w:sz w:val="31"/>
          <w:szCs w:val="31"/>
          <w:b/>
          <w:bCs/>
          <w:spacing w:val="14"/>
        </w:rPr>
        <w:t>第五百三十一条转包职业卫生技术服务项目的</w:t>
      </w:r>
    </w:p>
    <w:p>
      <w:pPr>
        <w:ind w:left="654"/>
        <w:spacing w:before="102"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spacing w:before="96" w:line="222" w:lineRule="auto"/>
        <w:jc w:val="right"/>
        <w:rPr>
          <w:rFonts w:ascii="FangSong" w:hAnsi="FangSong" w:eastAsia="FangSong" w:cs="FangSong"/>
          <w:sz w:val="31"/>
          <w:szCs w:val="31"/>
        </w:rPr>
      </w:pPr>
      <w:r>
        <w:rPr>
          <w:rFonts w:ascii="FangSong" w:hAnsi="FangSong" w:eastAsia="FangSong" w:cs="FangSong"/>
          <w:sz w:val="31"/>
          <w:szCs w:val="31"/>
          <w:spacing w:val="14"/>
        </w:rPr>
        <w:t>《职业卫生技术服务机构管理办法》第四十四条第(三)项</w:t>
      </w:r>
      <w:r>
        <w:rPr>
          <w:rFonts w:ascii="FangSong" w:hAnsi="FangSong" w:eastAsia="FangSong" w:cs="FangSong"/>
          <w:sz w:val="31"/>
          <w:szCs w:val="31"/>
          <w:spacing w:val="14"/>
        </w:rPr>
        <w:t xml:space="preserve">  </w:t>
      </w:r>
      <w:r>
        <w:rPr>
          <w:rFonts w:ascii="FangSong" w:hAnsi="FangSong" w:eastAsia="FangSong" w:cs="FangSong"/>
          <w:sz w:val="31"/>
          <w:szCs w:val="31"/>
          <w:spacing w:val="14"/>
        </w:rPr>
        <w:t>职业卫生技术服务机构有下列情形</w:t>
      </w:r>
    </w:p>
    <w:p>
      <w:pPr>
        <w:spacing w:line="222" w:lineRule="auto"/>
        <w:sectPr>
          <w:footerReference w:type="default" r:id="rId556"/>
          <w:pgSz w:w="16830" w:h="11900"/>
          <w:pgMar w:top="1011" w:right="1433" w:bottom="1107" w:left="1434" w:header="0" w:footer="774" w:gutter="0"/>
        </w:sectPr>
        <w:rPr>
          <w:rFonts w:ascii="FangSong" w:hAnsi="FangSong" w:eastAsia="FangSong" w:cs="FangSong"/>
          <w:sz w:val="31"/>
          <w:szCs w:val="31"/>
        </w:rPr>
      </w:pPr>
    </w:p>
    <w:p>
      <w:pPr>
        <w:pStyle w:val="BodyText"/>
        <w:spacing w:line="260" w:lineRule="auto"/>
        <w:rPr/>
      </w:pPr>
      <w:r/>
    </w:p>
    <w:p>
      <w:pPr>
        <w:pStyle w:val="BodyText"/>
        <w:spacing w:line="261" w:lineRule="auto"/>
        <w:rPr/>
      </w:pPr>
      <w:r/>
    </w:p>
    <w:p>
      <w:pPr>
        <w:pStyle w:val="BodyText"/>
        <w:spacing w:line="261" w:lineRule="auto"/>
        <w:rPr/>
      </w:pPr>
      <w:r/>
    </w:p>
    <w:p>
      <w:pPr>
        <w:ind w:left="45"/>
        <w:spacing w:before="98" w:line="220" w:lineRule="auto"/>
        <w:rPr>
          <w:rFonts w:ascii="FangSong" w:hAnsi="FangSong" w:eastAsia="FangSong" w:cs="FangSong"/>
          <w:sz w:val="30"/>
          <w:szCs w:val="30"/>
        </w:rPr>
      </w:pPr>
      <w:bookmarkStart w:name="bookmark1189" w:id="566"/>
      <w:bookmarkEnd w:id="566"/>
      <w:r>
        <w:rPr>
          <w:rFonts w:ascii="FangSong" w:hAnsi="FangSong" w:eastAsia="FangSong" w:cs="FangSong"/>
          <w:sz w:val="30"/>
          <w:szCs w:val="30"/>
          <w:spacing w:val="18"/>
        </w:rPr>
        <w:t>之一的，由县级以上地方疾病预防控制主管部门责令改正，给予警告，可以并处三万</w:t>
      </w:r>
      <w:r>
        <w:rPr>
          <w:rFonts w:ascii="FangSong" w:hAnsi="FangSong" w:eastAsia="FangSong" w:cs="FangSong"/>
          <w:sz w:val="30"/>
          <w:szCs w:val="30"/>
          <w:spacing w:val="17"/>
        </w:rPr>
        <w:t>元以下罚款：</w:t>
      </w:r>
    </w:p>
    <w:p>
      <w:pPr>
        <w:ind w:left="794"/>
        <w:spacing w:before="99" w:line="219" w:lineRule="auto"/>
        <w:rPr>
          <w:rFonts w:ascii="FangSong" w:hAnsi="FangSong" w:eastAsia="FangSong" w:cs="FangSong"/>
          <w:sz w:val="30"/>
          <w:szCs w:val="30"/>
        </w:rPr>
      </w:pPr>
      <w:r>
        <w:rPr>
          <w:rFonts w:ascii="FangSong" w:hAnsi="FangSong" w:eastAsia="FangSong" w:cs="FangSong"/>
          <w:sz w:val="30"/>
          <w:szCs w:val="30"/>
          <w:spacing w:val="24"/>
        </w:rPr>
        <w:t>(三)转包职业卫生技术服务项目的；</w:t>
      </w:r>
    </w:p>
    <w:p>
      <w:pPr>
        <w:ind w:left="6429"/>
        <w:spacing w:before="228" w:line="208"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52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8223"/>
        <w:gridCol w:w="3892"/>
      </w:tblGrid>
      <w:tr>
        <w:trPr>
          <w:trHeight w:val="663" w:hRule="atLeast"/>
        </w:trPr>
        <w:tc>
          <w:tcPr>
            <w:tcW w:w="1414" w:type="dxa"/>
            <w:vAlign w:val="top"/>
          </w:tcPr>
          <w:p>
            <w:pPr>
              <w:pStyle w:val="TableText"/>
              <w:ind w:left="198"/>
              <w:spacing w:before="212" w:line="220" w:lineRule="auto"/>
              <w:rPr>
                <w:sz w:val="25"/>
                <w:szCs w:val="25"/>
              </w:rPr>
            </w:pPr>
            <w:r>
              <w:rPr>
                <w:sz w:val="25"/>
                <w:szCs w:val="25"/>
                <w:b/>
                <w:bCs/>
                <w:spacing w:val="-5"/>
              </w:rPr>
              <w:t>违法程度</w:t>
            </w:r>
          </w:p>
        </w:tc>
        <w:tc>
          <w:tcPr>
            <w:tcW w:w="8223" w:type="dxa"/>
            <w:vAlign w:val="top"/>
          </w:tcPr>
          <w:p>
            <w:pPr>
              <w:pStyle w:val="TableText"/>
              <w:ind w:left="3554"/>
              <w:spacing w:before="212" w:line="220" w:lineRule="auto"/>
              <w:rPr>
                <w:sz w:val="25"/>
                <w:szCs w:val="25"/>
              </w:rPr>
            </w:pPr>
            <w:r>
              <w:rPr>
                <w:sz w:val="25"/>
                <w:szCs w:val="25"/>
                <w:b/>
                <w:bCs/>
                <w:spacing w:val="-5"/>
              </w:rPr>
              <w:t>情节后果</w:t>
            </w:r>
          </w:p>
        </w:tc>
        <w:tc>
          <w:tcPr>
            <w:tcW w:w="3892" w:type="dxa"/>
            <w:vAlign w:val="top"/>
          </w:tcPr>
          <w:p>
            <w:pPr>
              <w:pStyle w:val="TableText"/>
              <w:ind w:left="1441"/>
              <w:spacing w:before="209" w:line="218" w:lineRule="auto"/>
              <w:rPr>
                <w:sz w:val="25"/>
                <w:szCs w:val="25"/>
              </w:rPr>
            </w:pPr>
            <w:r>
              <w:rPr>
                <w:sz w:val="25"/>
                <w:szCs w:val="25"/>
                <w:b/>
                <w:bCs/>
                <w:spacing w:val="-5"/>
              </w:rPr>
              <w:t>裁量幅度</w:t>
            </w:r>
          </w:p>
        </w:tc>
      </w:tr>
      <w:tr>
        <w:trPr>
          <w:trHeight w:val="727" w:hRule="atLeast"/>
        </w:trPr>
        <w:tc>
          <w:tcPr>
            <w:tcW w:w="1414" w:type="dxa"/>
            <w:vAlign w:val="top"/>
          </w:tcPr>
          <w:p>
            <w:pPr>
              <w:spacing w:line="257" w:lineRule="auto"/>
              <w:rPr>
                <w:rFonts w:ascii="Arial"/>
                <w:sz w:val="21"/>
              </w:rPr>
            </w:pPr>
            <w:r/>
          </w:p>
          <w:p>
            <w:pPr>
              <w:pStyle w:val="TableText"/>
              <w:ind w:left="448"/>
              <w:spacing w:before="81" w:line="221" w:lineRule="auto"/>
              <w:rPr>
                <w:sz w:val="25"/>
                <w:szCs w:val="25"/>
              </w:rPr>
            </w:pPr>
            <w:r>
              <w:rPr>
                <w:sz w:val="25"/>
                <w:szCs w:val="25"/>
                <w:b/>
                <w:bCs/>
                <w:spacing w:val="-10"/>
              </w:rPr>
              <w:t>一般</w:t>
            </w:r>
          </w:p>
        </w:tc>
        <w:tc>
          <w:tcPr>
            <w:tcW w:w="8223" w:type="dxa"/>
            <w:vAlign w:val="top"/>
          </w:tcPr>
          <w:p>
            <w:pPr>
              <w:pStyle w:val="TableText"/>
              <w:ind w:left="90"/>
              <w:spacing w:before="242" w:line="219" w:lineRule="auto"/>
              <w:rPr>
                <w:sz w:val="25"/>
                <w:szCs w:val="25"/>
              </w:rPr>
            </w:pPr>
            <w:r>
              <w:rPr>
                <w:sz w:val="25"/>
                <w:szCs w:val="25"/>
              </w:rPr>
              <w:t>转包职业卫生技术服务项目，没有违法所得或违法所得无法认定的</w:t>
            </w:r>
          </w:p>
        </w:tc>
        <w:tc>
          <w:tcPr>
            <w:tcW w:w="3892" w:type="dxa"/>
            <w:vAlign w:val="top"/>
          </w:tcPr>
          <w:p>
            <w:pPr>
              <w:pStyle w:val="TableText"/>
              <w:ind w:left="127" w:right="50" w:hanging="59"/>
              <w:spacing w:before="99" w:line="228" w:lineRule="auto"/>
              <w:rPr>
                <w:sz w:val="25"/>
                <w:szCs w:val="25"/>
              </w:rPr>
            </w:pPr>
            <w:r>
              <w:rPr>
                <w:sz w:val="25"/>
                <w:szCs w:val="25"/>
              </w:rPr>
              <w:t>给予警告，责令限期改正，并处一</w:t>
            </w:r>
            <w:r>
              <w:rPr>
                <w:sz w:val="25"/>
                <w:szCs w:val="25"/>
                <w:spacing w:val="12"/>
              </w:rPr>
              <w:t xml:space="preserve"> </w:t>
            </w:r>
            <w:r>
              <w:rPr>
                <w:sz w:val="25"/>
                <w:szCs w:val="25"/>
                <w:spacing w:val="1"/>
              </w:rPr>
              <w:t>万元以下的罚款</w:t>
            </w:r>
          </w:p>
        </w:tc>
      </w:tr>
      <w:tr>
        <w:trPr>
          <w:trHeight w:val="757" w:hRule="atLeast"/>
        </w:trPr>
        <w:tc>
          <w:tcPr>
            <w:tcW w:w="1414" w:type="dxa"/>
            <w:vAlign w:val="top"/>
          </w:tcPr>
          <w:p>
            <w:pPr>
              <w:spacing w:line="282" w:lineRule="auto"/>
              <w:rPr>
                <w:rFonts w:ascii="Arial"/>
                <w:sz w:val="21"/>
              </w:rPr>
            </w:pPr>
            <w:r/>
          </w:p>
          <w:p>
            <w:pPr>
              <w:pStyle w:val="TableText"/>
              <w:ind w:left="448"/>
              <w:spacing w:before="81" w:line="221" w:lineRule="auto"/>
              <w:rPr>
                <w:sz w:val="25"/>
                <w:szCs w:val="25"/>
              </w:rPr>
            </w:pPr>
            <w:r>
              <w:rPr>
                <w:sz w:val="25"/>
                <w:szCs w:val="25"/>
                <w:b/>
                <w:bCs/>
                <w:spacing w:val="-6"/>
              </w:rPr>
              <w:t>较重</w:t>
            </w:r>
          </w:p>
        </w:tc>
        <w:tc>
          <w:tcPr>
            <w:tcW w:w="8223" w:type="dxa"/>
            <w:vAlign w:val="top"/>
          </w:tcPr>
          <w:p>
            <w:pPr>
              <w:pStyle w:val="TableText"/>
              <w:ind w:left="90"/>
              <w:spacing w:before="265" w:line="219" w:lineRule="auto"/>
              <w:rPr>
                <w:sz w:val="25"/>
                <w:szCs w:val="25"/>
              </w:rPr>
            </w:pPr>
            <w:r>
              <w:rPr>
                <w:sz w:val="25"/>
                <w:szCs w:val="25"/>
                <w:spacing w:val="1"/>
              </w:rPr>
              <w:t>转包职业卫生技术服务项目，违法所得2万元以下的</w:t>
            </w:r>
          </w:p>
        </w:tc>
        <w:tc>
          <w:tcPr>
            <w:tcW w:w="3892" w:type="dxa"/>
            <w:vAlign w:val="top"/>
          </w:tcPr>
          <w:p>
            <w:pPr>
              <w:pStyle w:val="TableText"/>
              <w:ind w:left="127" w:right="50" w:hanging="59"/>
              <w:spacing w:before="102" w:line="238" w:lineRule="auto"/>
              <w:rPr>
                <w:sz w:val="25"/>
                <w:szCs w:val="25"/>
              </w:rPr>
            </w:pPr>
            <w:r>
              <w:rPr>
                <w:sz w:val="25"/>
                <w:szCs w:val="25"/>
              </w:rPr>
              <w:t>给予警告，责令限期改正，并处一</w:t>
            </w:r>
            <w:r>
              <w:rPr>
                <w:sz w:val="25"/>
                <w:szCs w:val="25"/>
                <w:spacing w:val="12"/>
              </w:rPr>
              <w:t xml:space="preserve"> </w:t>
            </w:r>
            <w:r>
              <w:rPr>
                <w:sz w:val="25"/>
                <w:szCs w:val="25"/>
              </w:rPr>
              <w:t>万元以上二万元以下的罚款</w:t>
            </w:r>
          </w:p>
        </w:tc>
      </w:tr>
      <w:tr>
        <w:trPr>
          <w:trHeight w:val="723" w:hRule="atLeast"/>
        </w:trPr>
        <w:tc>
          <w:tcPr>
            <w:tcW w:w="1414" w:type="dxa"/>
            <w:vAlign w:val="top"/>
          </w:tcPr>
          <w:p>
            <w:pPr>
              <w:spacing w:line="272" w:lineRule="auto"/>
              <w:rPr>
                <w:rFonts w:ascii="Arial"/>
                <w:sz w:val="21"/>
              </w:rPr>
            </w:pPr>
            <w:r/>
          </w:p>
          <w:p>
            <w:pPr>
              <w:pStyle w:val="TableText"/>
              <w:ind w:left="448"/>
              <w:spacing w:before="81" w:line="220" w:lineRule="auto"/>
              <w:rPr>
                <w:sz w:val="25"/>
                <w:szCs w:val="25"/>
              </w:rPr>
            </w:pPr>
            <w:r>
              <w:rPr>
                <w:sz w:val="25"/>
                <w:szCs w:val="25"/>
                <w:b/>
                <w:bCs/>
                <w:spacing w:val="-6"/>
              </w:rPr>
              <w:t>严重</w:t>
            </w:r>
          </w:p>
        </w:tc>
        <w:tc>
          <w:tcPr>
            <w:tcW w:w="8223" w:type="dxa"/>
            <w:vAlign w:val="top"/>
          </w:tcPr>
          <w:p>
            <w:pPr>
              <w:pStyle w:val="TableText"/>
              <w:ind w:left="90"/>
              <w:spacing w:before="248" w:line="219" w:lineRule="auto"/>
              <w:rPr>
                <w:sz w:val="25"/>
                <w:szCs w:val="25"/>
              </w:rPr>
            </w:pPr>
            <w:r>
              <w:rPr>
                <w:sz w:val="25"/>
                <w:szCs w:val="25"/>
                <w:spacing w:val="1"/>
              </w:rPr>
              <w:t>转包职业卫生技术服务项目，违法所得2万元以上的</w:t>
            </w:r>
          </w:p>
        </w:tc>
        <w:tc>
          <w:tcPr>
            <w:tcW w:w="3892" w:type="dxa"/>
            <w:vAlign w:val="top"/>
          </w:tcPr>
          <w:p>
            <w:pPr>
              <w:pStyle w:val="TableText"/>
              <w:ind w:left="117" w:right="50" w:hanging="49"/>
              <w:spacing w:before="95" w:line="228" w:lineRule="auto"/>
              <w:rPr>
                <w:sz w:val="25"/>
                <w:szCs w:val="25"/>
              </w:rPr>
            </w:pPr>
            <w:r>
              <w:rPr>
                <w:sz w:val="25"/>
                <w:szCs w:val="25"/>
              </w:rPr>
              <w:t>给予警告，责令限期改正，并处二</w:t>
            </w:r>
            <w:r>
              <w:rPr>
                <w:sz w:val="25"/>
                <w:szCs w:val="25"/>
                <w:spacing w:val="12"/>
              </w:rPr>
              <w:t xml:space="preserve"> </w:t>
            </w:r>
            <w:r>
              <w:rPr>
                <w:sz w:val="25"/>
                <w:szCs w:val="25"/>
              </w:rPr>
              <w:t>万元以上三万元以下的罚款</w:t>
            </w:r>
          </w:p>
        </w:tc>
      </w:tr>
    </w:tbl>
    <w:p>
      <w:pPr>
        <w:pStyle w:val="BodyText"/>
        <w:spacing w:line="456" w:lineRule="auto"/>
        <w:rPr/>
      </w:pPr>
      <w:r/>
    </w:p>
    <w:p>
      <w:pPr>
        <w:ind w:left="67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第五百三十二条未按规定以书面形式与用人单位明确技术服务内容、范围以及双方责任的</w:t>
      </w:r>
    </w:p>
    <w:p>
      <w:pPr>
        <w:ind w:left="685"/>
        <w:spacing w:before="100"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35" w:firstLine="609"/>
        <w:spacing w:before="80" w:line="262" w:lineRule="auto"/>
        <w:rPr>
          <w:rFonts w:ascii="FangSong" w:hAnsi="FangSong" w:eastAsia="FangSong" w:cs="FangSong"/>
          <w:sz w:val="30"/>
          <w:szCs w:val="30"/>
        </w:rPr>
      </w:pPr>
      <w:r>
        <w:rPr>
          <w:rFonts w:ascii="FangSong" w:hAnsi="FangSong" w:eastAsia="FangSong" w:cs="FangSong"/>
          <w:sz w:val="30"/>
          <w:szCs w:val="30"/>
          <w:spacing w:val="26"/>
        </w:rPr>
        <w:t>《职业卫生技术服务机构管理办法》第四十四条第</w:t>
      </w:r>
      <w:r>
        <w:rPr>
          <w:rFonts w:ascii="FangSong" w:hAnsi="FangSong" w:eastAsia="FangSong" w:cs="FangSong"/>
          <w:sz w:val="30"/>
          <w:szCs w:val="30"/>
          <w:spacing w:val="25"/>
        </w:rPr>
        <w:t>(四)项</w:t>
      </w:r>
      <w:r>
        <w:rPr>
          <w:rFonts w:ascii="FangSong" w:hAnsi="FangSong" w:eastAsia="FangSong" w:cs="FangSong"/>
          <w:sz w:val="30"/>
          <w:szCs w:val="30"/>
          <w:spacing w:val="25"/>
        </w:rPr>
        <w:t xml:space="preserve">   </w:t>
      </w:r>
      <w:r>
        <w:rPr>
          <w:rFonts w:ascii="FangSong" w:hAnsi="FangSong" w:eastAsia="FangSong" w:cs="FangSong"/>
          <w:sz w:val="30"/>
          <w:szCs w:val="30"/>
          <w:spacing w:val="25"/>
        </w:rPr>
        <w:t>职业卫生技术服务机构有下列情</w:t>
      </w:r>
      <w:r>
        <w:rPr>
          <w:rFonts w:ascii="FangSong" w:hAnsi="FangSong" w:eastAsia="FangSong" w:cs="FangSong"/>
          <w:sz w:val="30"/>
          <w:szCs w:val="30"/>
        </w:rPr>
        <w:t xml:space="preserve">  </w:t>
      </w:r>
      <w:r>
        <w:rPr>
          <w:rFonts w:ascii="FangSong" w:hAnsi="FangSong" w:eastAsia="FangSong" w:cs="FangSong"/>
          <w:sz w:val="30"/>
          <w:szCs w:val="30"/>
          <w:spacing w:val="18"/>
        </w:rPr>
        <w:t>形之一的，由县级以上地方疾病预防控制主管部门责令改正，给予警告，可以并处三万元以</w:t>
      </w:r>
      <w:r>
        <w:rPr>
          <w:rFonts w:ascii="FangSong" w:hAnsi="FangSong" w:eastAsia="FangSong" w:cs="FangSong"/>
          <w:sz w:val="30"/>
          <w:szCs w:val="30"/>
          <w:spacing w:val="17"/>
        </w:rPr>
        <w:t>下罚款：</w:t>
      </w:r>
    </w:p>
    <w:p>
      <w:pPr>
        <w:ind w:left="794"/>
        <w:spacing w:before="5" w:line="221" w:lineRule="auto"/>
        <w:rPr>
          <w:rFonts w:ascii="FangSong" w:hAnsi="FangSong" w:eastAsia="FangSong" w:cs="FangSong"/>
          <w:sz w:val="30"/>
          <w:szCs w:val="30"/>
        </w:rPr>
      </w:pPr>
      <w:r>
        <w:rPr>
          <w:rFonts w:ascii="FangSong" w:hAnsi="FangSong" w:eastAsia="FangSong" w:cs="FangSong"/>
          <w:sz w:val="30"/>
          <w:szCs w:val="30"/>
          <w:spacing w:val="22"/>
        </w:rPr>
        <w:t>(四)未按规定以书面形式与用人单位明确技术服务内容、范围以及双方责</w:t>
      </w:r>
      <w:r>
        <w:rPr>
          <w:rFonts w:ascii="FangSong" w:hAnsi="FangSong" w:eastAsia="FangSong" w:cs="FangSong"/>
          <w:sz w:val="30"/>
          <w:szCs w:val="30"/>
          <w:spacing w:val="21"/>
        </w:rPr>
        <w:t>任的；</w:t>
      </w:r>
    </w:p>
    <w:p>
      <w:pPr>
        <w:ind w:left="6429"/>
        <w:spacing w:before="242"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89"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724"/>
        <w:gridCol w:w="4721"/>
      </w:tblGrid>
      <w:tr>
        <w:trPr>
          <w:trHeight w:val="580" w:hRule="atLeast"/>
        </w:trPr>
        <w:tc>
          <w:tcPr>
            <w:tcW w:w="1444" w:type="dxa"/>
            <w:vAlign w:val="top"/>
          </w:tcPr>
          <w:p>
            <w:pPr>
              <w:pStyle w:val="TableText"/>
              <w:ind w:left="139"/>
              <w:spacing w:before="153" w:line="220" w:lineRule="auto"/>
              <w:rPr>
                <w:sz w:val="29"/>
                <w:szCs w:val="29"/>
              </w:rPr>
            </w:pPr>
            <w:r>
              <w:rPr>
                <w:sz w:val="29"/>
                <w:szCs w:val="29"/>
                <w:b/>
                <w:bCs/>
                <w:spacing w:val="-1"/>
              </w:rPr>
              <w:t>违法程度</w:t>
            </w:r>
          </w:p>
        </w:tc>
        <w:tc>
          <w:tcPr>
            <w:tcW w:w="7724" w:type="dxa"/>
            <w:vAlign w:val="top"/>
          </w:tcPr>
          <w:p>
            <w:pPr>
              <w:pStyle w:val="TableText"/>
              <w:ind w:left="3305"/>
              <w:spacing w:before="153" w:line="220" w:lineRule="auto"/>
              <w:rPr>
                <w:sz w:val="29"/>
                <w:szCs w:val="29"/>
              </w:rPr>
            </w:pPr>
            <w:r>
              <w:rPr>
                <w:sz w:val="29"/>
                <w:szCs w:val="29"/>
                <w:b/>
                <w:bCs/>
                <w:spacing w:val="-1"/>
              </w:rPr>
              <w:t>情节后果</w:t>
            </w:r>
          </w:p>
        </w:tc>
        <w:tc>
          <w:tcPr>
            <w:tcW w:w="4721" w:type="dxa"/>
            <w:vAlign w:val="top"/>
          </w:tcPr>
          <w:p>
            <w:pPr>
              <w:pStyle w:val="TableText"/>
              <w:ind w:left="1811"/>
              <w:spacing w:before="150" w:line="218" w:lineRule="auto"/>
              <w:rPr>
                <w:sz w:val="29"/>
                <w:szCs w:val="29"/>
              </w:rPr>
            </w:pPr>
            <w:r>
              <w:rPr>
                <w:sz w:val="29"/>
                <w:szCs w:val="29"/>
                <w:b/>
                <w:bCs/>
                <w:spacing w:val="-1"/>
              </w:rPr>
              <w:t>裁量幅度</w:t>
            </w:r>
          </w:p>
        </w:tc>
      </w:tr>
    </w:tbl>
    <w:p>
      <w:pPr>
        <w:pStyle w:val="BodyText"/>
        <w:rPr/>
      </w:pPr>
      <w:r/>
    </w:p>
    <w:p>
      <w:pPr>
        <w:sectPr>
          <w:footerReference w:type="default" r:id="rId557"/>
          <w:pgSz w:w="16830" w:h="11900"/>
          <w:pgMar w:top="1011" w:right="1390" w:bottom="1107" w:left="1414" w:header="0" w:footer="774" w:gutter="0"/>
        </w:sectPr>
        <w:rPr/>
      </w:pPr>
    </w:p>
    <w:p>
      <w:pPr>
        <w:spacing w:before="20"/>
        <w:rPr/>
      </w:pPr>
      <w:r/>
    </w:p>
    <w:p>
      <w:pPr>
        <w:spacing w:before="20"/>
        <w:rPr/>
      </w:pPr>
      <w:r/>
    </w:p>
    <w:p>
      <w:pPr>
        <w:spacing w:before="19"/>
        <w:rPr/>
      </w:pPr>
      <w:r/>
    </w:p>
    <w:tbl>
      <w:tblPr>
        <w:tblStyle w:val="TableNormal"/>
        <w:tblW w:w="13889"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44"/>
        <w:gridCol w:w="7714"/>
        <w:gridCol w:w="4731"/>
      </w:tblGrid>
      <w:tr>
        <w:trPr>
          <w:trHeight w:val="691" w:hRule="atLeast"/>
        </w:trPr>
        <w:tc>
          <w:tcPr>
            <w:tcW w:w="1444" w:type="dxa"/>
            <w:vAlign w:val="top"/>
          </w:tcPr>
          <w:p>
            <w:pPr>
              <w:pStyle w:val="TableText"/>
              <w:ind w:left="478"/>
              <w:spacing w:before="302" w:line="221" w:lineRule="auto"/>
              <w:rPr/>
            </w:pPr>
            <w:bookmarkStart w:name="bookmark1190" w:id="567"/>
            <w:bookmarkEnd w:id="567"/>
            <w:r>
              <w:rPr>
                <w:b/>
                <w:bCs/>
                <w:spacing w:val="-10"/>
              </w:rPr>
              <w:t>一般</w:t>
            </w:r>
          </w:p>
        </w:tc>
        <w:tc>
          <w:tcPr>
            <w:tcW w:w="7714" w:type="dxa"/>
            <w:vAlign w:val="top"/>
          </w:tcPr>
          <w:p>
            <w:pPr>
              <w:pStyle w:val="TableText"/>
              <w:ind w:left="90" w:firstLine="19"/>
              <w:spacing w:before="33" w:line="249" w:lineRule="auto"/>
              <w:rPr/>
            </w:pPr>
            <w:r>
              <w:rPr>
                <w:spacing w:val="-3"/>
              </w:rPr>
              <w:t>未按规定以书面形式与用人单位明确技术服务内容、范围以及双方责任，</w:t>
            </w:r>
            <w:r>
              <w:rPr>
                <w:spacing w:val="8"/>
              </w:rPr>
              <w:t xml:space="preserve"> </w:t>
            </w:r>
            <w:r>
              <w:rPr>
                <w:spacing w:val="-1"/>
              </w:rPr>
              <w:t>违法所得不足3万元的</w:t>
            </w:r>
          </w:p>
        </w:tc>
        <w:tc>
          <w:tcPr>
            <w:tcW w:w="4731" w:type="dxa"/>
            <w:vAlign w:val="top"/>
          </w:tcPr>
          <w:p>
            <w:pPr>
              <w:pStyle w:val="TableText"/>
              <w:ind w:left="117" w:right="28"/>
              <w:spacing w:before="51" w:line="242" w:lineRule="auto"/>
              <w:rPr/>
            </w:pPr>
            <w:r>
              <w:rPr/>
              <w:t>给予警告，责令限期改正，并处一万元以下</w:t>
            </w:r>
            <w:r>
              <w:rPr>
                <w:spacing w:val="14"/>
              </w:rPr>
              <w:t xml:space="preserve"> </w:t>
            </w:r>
            <w:r>
              <w:rPr>
                <w:spacing w:val="3"/>
              </w:rPr>
              <w:t>的罚款</w:t>
            </w:r>
          </w:p>
        </w:tc>
      </w:tr>
      <w:tr>
        <w:trPr>
          <w:trHeight w:val="657" w:hRule="atLeast"/>
        </w:trPr>
        <w:tc>
          <w:tcPr>
            <w:tcW w:w="1444" w:type="dxa"/>
            <w:vAlign w:val="top"/>
          </w:tcPr>
          <w:p>
            <w:pPr>
              <w:pStyle w:val="TableText"/>
              <w:ind w:left="478"/>
              <w:spacing w:before="303" w:line="221" w:lineRule="auto"/>
              <w:rPr/>
            </w:pPr>
            <w:r>
              <w:rPr>
                <w:b/>
                <w:bCs/>
                <w:spacing w:val="-5"/>
              </w:rPr>
              <w:t>较重</w:t>
            </w:r>
          </w:p>
        </w:tc>
        <w:tc>
          <w:tcPr>
            <w:tcW w:w="7714" w:type="dxa"/>
            <w:vAlign w:val="top"/>
          </w:tcPr>
          <w:p>
            <w:pPr>
              <w:pStyle w:val="TableText"/>
              <w:ind w:left="90" w:firstLine="19"/>
              <w:spacing w:before="62" w:line="225" w:lineRule="auto"/>
              <w:rPr/>
            </w:pPr>
            <w:r>
              <w:rPr>
                <w:spacing w:val="-3"/>
              </w:rPr>
              <w:t>未按规定以书面形式与用人单位明确技术服务内容、范围以及双方责任，</w:t>
            </w:r>
            <w:r>
              <w:rPr>
                <w:spacing w:val="8"/>
              </w:rPr>
              <w:t xml:space="preserve"> </w:t>
            </w:r>
            <w:r>
              <w:rPr>
                <w:spacing w:val="-2"/>
              </w:rPr>
              <w:t>违法所得3万元以上5万元以下的</w:t>
            </w:r>
          </w:p>
        </w:tc>
        <w:tc>
          <w:tcPr>
            <w:tcW w:w="4731" w:type="dxa"/>
            <w:vAlign w:val="top"/>
          </w:tcPr>
          <w:p>
            <w:pPr>
              <w:pStyle w:val="TableText"/>
              <w:ind w:left="117" w:right="33"/>
              <w:spacing w:before="62" w:line="225" w:lineRule="auto"/>
              <w:rPr/>
            </w:pPr>
            <w:r>
              <w:rPr/>
              <w:t>给予警告，责令限期改正，并处一万元以上</w:t>
            </w:r>
            <w:r>
              <w:rPr>
                <w:spacing w:val="9"/>
              </w:rPr>
              <w:t xml:space="preserve"> </w:t>
            </w:r>
            <w:r>
              <w:rPr>
                <w:spacing w:val="1"/>
              </w:rPr>
              <w:t>二万元以下的罚款</w:t>
            </w:r>
          </w:p>
        </w:tc>
      </w:tr>
      <w:tr>
        <w:trPr>
          <w:trHeight w:val="682" w:hRule="atLeast"/>
        </w:trPr>
        <w:tc>
          <w:tcPr>
            <w:tcW w:w="1444" w:type="dxa"/>
            <w:vAlign w:val="top"/>
          </w:tcPr>
          <w:p>
            <w:pPr>
              <w:spacing w:line="264" w:lineRule="auto"/>
              <w:rPr>
                <w:rFonts w:ascii="Arial"/>
                <w:sz w:val="21"/>
              </w:rPr>
            </w:pPr>
            <w:r/>
          </w:p>
          <w:p>
            <w:pPr>
              <w:pStyle w:val="TableText"/>
              <w:ind w:left="478"/>
              <w:spacing w:before="78" w:line="220" w:lineRule="auto"/>
              <w:rPr/>
            </w:pPr>
            <w:r>
              <w:rPr>
                <w:b/>
                <w:bCs/>
                <w:spacing w:val="-6"/>
              </w:rPr>
              <w:t>严重</w:t>
            </w:r>
          </w:p>
        </w:tc>
        <w:tc>
          <w:tcPr>
            <w:tcW w:w="7714" w:type="dxa"/>
            <w:vAlign w:val="top"/>
          </w:tcPr>
          <w:p>
            <w:pPr>
              <w:pStyle w:val="TableText"/>
              <w:ind w:left="90" w:firstLine="19"/>
              <w:spacing w:before="87" w:line="225" w:lineRule="auto"/>
              <w:rPr/>
            </w:pPr>
            <w:r>
              <w:rPr>
                <w:spacing w:val="-3"/>
              </w:rPr>
              <w:t>未按规定以书面形式与用人单位明确技术服务内容、范围以及双方责任，</w:t>
            </w:r>
            <w:r>
              <w:rPr>
                <w:spacing w:val="8"/>
              </w:rPr>
              <w:t xml:space="preserve"> </w:t>
            </w:r>
            <w:r>
              <w:rPr>
                <w:spacing w:val="-1"/>
              </w:rPr>
              <w:t>违法所得5万元以上的</w:t>
            </w:r>
          </w:p>
        </w:tc>
        <w:tc>
          <w:tcPr>
            <w:tcW w:w="4731" w:type="dxa"/>
            <w:vAlign w:val="top"/>
          </w:tcPr>
          <w:p>
            <w:pPr>
              <w:pStyle w:val="TableText"/>
              <w:ind w:left="117" w:right="23" w:firstLine="9"/>
              <w:spacing w:before="84" w:line="226" w:lineRule="auto"/>
              <w:rPr/>
            </w:pPr>
            <w:r>
              <w:rPr/>
              <w:t>给予警告，责令限期改正，并处二万元以上</w:t>
            </w:r>
            <w:r>
              <w:rPr>
                <w:spacing w:val="9"/>
              </w:rPr>
              <w:t xml:space="preserve"> </w:t>
            </w:r>
            <w:r>
              <w:rPr>
                <w:spacing w:val="-2"/>
              </w:rPr>
              <w:t>三万元以下的罚款</w:t>
            </w:r>
          </w:p>
        </w:tc>
      </w:tr>
    </w:tbl>
    <w:p>
      <w:pPr>
        <w:pStyle w:val="BodyText"/>
        <w:spacing w:line="466" w:lineRule="auto"/>
        <w:rPr/>
      </w:pPr>
      <w:r/>
    </w:p>
    <w:p>
      <w:pPr>
        <w:ind w:left="67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第五百三十三条使用非本机构专业技术人员从事职业卫生技</w:t>
      </w:r>
      <w:r>
        <w:rPr>
          <w:rFonts w:ascii="FangSong" w:hAnsi="FangSong" w:eastAsia="FangSong" w:cs="FangSong"/>
          <w:sz w:val="30"/>
          <w:szCs w:val="30"/>
          <w:b/>
          <w:bCs/>
          <w:spacing w:val="21"/>
        </w:rPr>
        <w:t>术服务活动的</w:t>
      </w:r>
    </w:p>
    <w:p>
      <w:pPr>
        <w:ind w:left="675"/>
        <w:spacing w:before="80"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25" w:firstLine="609"/>
        <w:spacing w:before="100" w:line="268" w:lineRule="auto"/>
        <w:rPr>
          <w:rFonts w:ascii="FangSong" w:hAnsi="FangSong" w:eastAsia="FangSong" w:cs="FangSong"/>
          <w:sz w:val="30"/>
          <w:szCs w:val="30"/>
        </w:rPr>
      </w:pPr>
      <w:r>
        <w:rPr>
          <w:rFonts w:ascii="FangSong" w:hAnsi="FangSong" w:eastAsia="FangSong" w:cs="FangSong"/>
          <w:sz w:val="30"/>
          <w:szCs w:val="30"/>
          <w:spacing w:val="26"/>
        </w:rPr>
        <w:t>《职业卫生技术服务机构管理办法》第四十四条第(五)项</w:t>
      </w:r>
      <w:r>
        <w:rPr>
          <w:rFonts w:ascii="FangSong" w:hAnsi="FangSong" w:eastAsia="FangSong" w:cs="FangSong"/>
          <w:sz w:val="30"/>
          <w:szCs w:val="30"/>
          <w:spacing w:val="26"/>
        </w:rPr>
        <w:t xml:space="preserve">   </w:t>
      </w:r>
      <w:r>
        <w:rPr>
          <w:rFonts w:ascii="FangSong" w:hAnsi="FangSong" w:eastAsia="FangSong" w:cs="FangSong"/>
          <w:sz w:val="30"/>
          <w:szCs w:val="30"/>
          <w:spacing w:val="26"/>
        </w:rPr>
        <w:t>职业卫生技术服务机构有下列情</w:t>
      </w:r>
      <w:r>
        <w:rPr>
          <w:rFonts w:ascii="FangSong" w:hAnsi="FangSong" w:eastAsia="FangSong" w:cs="FangSong"/>
          <w:sz w:val="30"/>
          <w:szCs w:val="30"/>
        </w:rPr>
        <w:t xml:space="preserve"> </w:t>
      </w:r>
      <w:r>
        <w:rPr>
          <w:rFonts w:ascii="FangSong" w:hAnsi="FangSong" w:eastAsia="FangSong" w:cs="FangSong"/>
          <w:sz w:val="30"/>
          <w:szCs w:val="30"/>
          <w:spacing w:val="18"/>
        </w:rPr>
        <w:t>形之一的，由县级以上地方疾病预防控制主管部门责令改正，给予警告，可以并处三万元以</w:t>
      </w:r>
      <w:r>
        <w:rPr>
          <w:rFonts w:ascii="FangSong" w:hAnsi="FangSong" w:eastAsia="FangSong" w:cs="FangSong"/>
          <w:sz w:val="30"/>
          <w:szCs w:val="30"/>
          <w:spacing w:val="17"/>
        </w:rPr>
        <w:t>下罚款：</w:t>
      </w:r>
    </w:p>
    <w:p>
      <w:pPr>
        <w:ind w:left="784"/>
        <w:spacing w:before="8" w:line="222" w:lineRule="auto"/>
        <w:rPr>
          <w:rFonts w:ascii="FangSong" w:hAnsi="FangSong" w:eastAsia="FangSong" w:cs="FangSong"/>
          <w:sz w:val="30"/>
          <w:szCs w:val="30"/>
        </w:rPr>
      </w:pPr>
      <w:r>
        <w:rPr>
          <w:rFonts w:ascii="FangSong" w:hAnsi="FangSong" w:eastAsia="FangSong" w:cs="FangSong"/>
          <w:sz w:val="30"/>
          <w:szCs w:val="30"/>
          <w:spacing w:val="23"/>
        </w:rPr>
        <w:t>(五)使用非本机构专业技术人员从事职业卫生技术服务活动的；</w:t>
      </w:r>
    </w:p>
    <w:p>
      <w:pPr>
        <w:ind w:left="6419"/>
        <w:spacing w:before="217" w:line="208"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6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924"/>
        <w:gridCol w:w="4341"/>
      </w:tblGrid>
      <w:tr>
        <w:trPr>
          <w:trHeight w:val="543" w:hRule="atLeast"/>
        </w:trPr>
        <w:tc>
          <w:tcPr>
            <w:tcW w:w="1434" w:type="dxa"/>
            <w:vAlign w:val="top"/>
          </w:tcPr>
          <w:p>
            <w:pPr>
              <w:pStyle w:val="TableText"/>
              <w:ind w:left="128"/>
              <w:spacing w:before="15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7924" w:type="dxa"/>
            <w:vAlign w:val="top"/>
          </w:tcPr>
          <w:p>
            <w:pPr>
              <w:pStyle w:val="TableText"/>
              <w:ind w:left="3394"/>
              <w:spacing w:before="152" w:line="220" w:lineRule="auto"/>
              <w:rPr/>
            </w:pPr>
            <w:r>
              <w:rPr>
                <w:b/>
                <w:bCs/>
                <w:spacing w:val="47"/>
              </w:rPr>
              <w:t>情节后果</w:t>
            </w:r>
          </w:p>
        </w:tc>
        <w:tc>
          <w:tcPr>
            <w:tcW w:w="4341" w:type="dxa"/>
            <w:vAlign w:val="top"/>
          </w:tcPr>
          <w:p>
            <w:pPr>
              <w:pStyle w:val="TableText"/>
              <w:ind w:left="1590"/>
              <w:spacing w:before="14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355" w:hRule="atLeast"/>
        </w:trPr>
        <w:tc>
          <w:tcPr>
            <w:tcW w:w="1434" w:type="dxa"/>
            <w:vAlign w:val="top"/>
          </w:tcPr>
          <w:p>
            <w:pPr>
              <w:spacing w:line="284" w:lineRule="auto"/>
              <w:rPr>
                <w:rFonts w:ascii="Arial"/>
                <w:sz w:val="21"/>
              </w:rPr>
            </w:pPr>
            <w:r/>
          </w:p>
          <w:p>
            <w:pPr>
              <w:spacing w:line="284" w:lineRule="auto"/>
              <w:rPr>
                <w:rFonts w:ascii="Arial"/>
                <w:sz w:val="21"/>
              </w:rPr>
            </w:pPr>
            <w:r/>
          </w:p>
          <w:p>
            <w:pPr>
              <w:pStyle w:val="TableText"/>
              <w:ind w:left="468"/>
              <w:spacing w:before="78" w:line="221" w:lineRule="auto"/>
              <w:rPr/>
            </w:pPr>
            <w:r>
              <w:rPr>
                <w:b/>
                <w:bCs/>
                <w:spacing w:val="-10"/>
              </w:rPr>
              <w:t>一般</w:t>
            </w:r>
          </w:p>
        </w:tc>
        <w:tc>
          <w:tcPr>
            <w:tcW w:w="7924" w:type="dxa"/>
            <w:vAlign w:val="top"/>
          </w:tcPr>
          <w:p>
            <w:pPr>
              <w:pStyle w:val="TableText"/>
              <w:ind w:left="100"/>
              <w:spacing w:before="82" w:line="220" w:lineRule="auto"/>
              <w:rPr/>
            </w:pPr>
            <w:r>
              <w:rPr>
                <w:spacing w:val="2"/>
              </w:rPr>
              <w:t>有下列情形之一的：</w:t>
            </w:r>
          </w:p>
          <w:p>
            <w:pPr>
              <w:pStyle w:val="TableText"/>
              <w:ind w:left="100"/>
              <w:spacing w:before="51" w:line="219" w:lineRule="auto"/>
              <w:rPr/>
            </w:pPr>
            <w:r>
              <w:rPr/>
              <w:t>A、使用1名非本机构专业技术人员从事职业卫生技术服务活动的</w:t>
            </w:r>
          </w:p>
          <w:p>
            <w:pPr>
              <w:pStyle w:val="TableText"/>
              <w:ind w:left="99" w:right="46" w:hanging="29"/>
              <w:spacing w:before="44" w:line="229" w:lineRule="auto"/>
              <w:rPr/>
            </w:pPr>
            <w:r>
              <w:rPr/>
              <w:t>B、使用非本机构专业技术人员从事职业卫生技术服务活动，违</w:t>
            </w:r>
            <w:r>
              <w:rPr>
                <w:spacing w:val="-1"/>
              </w:rPr>
              <w:t>法所得低于</w:t>
            </w:r>
            <w:r>
              <w:rPr/>
              <w:t xml:space="preserve"> </w:t>
            </w:r>
            <w:r>
              <w:rPr>
                <w:spacing w:val="4"/>
              </w:rPr>
              <w:t>1万元的</w:t>
            </w:r>
          </w:p>
        </w:tc>
        <w:tc>
          <w:tcPr>
            <w:tcW w:w="4341" w:type="dxa"/>
            <w:vAlign w:val="top"/>
          </w:tcPr>
          <w:p>
            <w:pPr>
              <w:spacing w:line="339" w:lineRule="auto"/>
              <w:rPr>
                <w:rFonts w:ascii="Arial"/>
                <w:sz w:val="21"/>
              </w:rPr>
            </w:pPr>
            <w:r/>
          </w:p>
          <w:p>
            <w:pPr>
              <w:pStyle w:val="TableText"/>
              <w:ind w:left="117" w:right="114" w:firstLine="9"/>
              <w:spacing w:before="78" w:line="258" w:lineRule="auto"/>
              <w:rPr/>
            </w:pPr>
            <w:r>
              <w:rPr/>
              <w:t>责令限期改正，对职业卫生技术服务机</w:t>
            </w:r>
            <w:r>
              <w:rPr>
                <w:spacing w:val="8"/>
              </w:rPr>
              <w:t xml:space="preserve"> </w:t>
            </w:r>
            <w:r>
              <w:rPr>
                <w:spacing w:val="1"/>
              </w:rPr>
              <w:t>构处一万元以下的罚款</w:t>
            </w:r>
          </w:p>
        </w:tc>
      </w:tr>
      <w:tr>
        <w:trPr>
          <w:trHeight w:val="1012" w:hRule="atLeast"/>
        </w:trPr>
        <w:tc>
          <w:tcPr>
            <w:tcW w:w="1434" w:type="dxa"/>
            <w:vAlign w:val="top"/>
          </w:tcPr>
          <w:p>
            <w:pPr>
              <w:spacing w:line="426" w:lineRule="auto"/>
              <w:rPr>
                <w:rFonts w:ascii="Arial"/>
                <w:sz w:val="21"/>
              </w:rPr>
            </w:pPr>
            <w:r/>
          </w:p>
          <w:p>
            <w:pPr>
              <w:pStyle w:val="TableText"/>
              <w:ind w:left="468"/>
              <w:spacing w:before="78" w:line="221" w:lineRule="auto"/>
              <w:rPr/>
            </w:pPr>
            <w:r>
              <w:rPr>
                <w:b/>
                <w:bCs/>
                <w:spacing w:val="-5"/>
              </w:rPr>
              <w:t>较重</w:t>
            </w:r>
          </w:p>
        </w:tc>
        <w:tc>
          <w:tcPr>
            <w:tcW w:w="7924" w:type="dxa"/>
            <w:vAlign w:val="top"/>
          </w:tcPr>
          <w:p>
            <w:pPr>
              <w:pStyle w:val="TableText"/>
              <w:ind w:left="100"/>
              <w:spacing w:before="77" w:line="220" w:lineRule="auto"/>
              <w:rPr/>
            </w:pPr>
            <w:r>
              <w:rPr>
                <w:spacing w:val="2"/>
              </w:rPr>
              <w:t>有下列情形之一的：</w:t>
            </w:r>
          </w:p>
          <w:p>
            <w:pPr>
              <w:pStyle w:val="TableText"/>
              <w:ind w:left="100"/>
              <w:spacing w:before="61" w:line="219" w:lineRule="auto"/>
              <w:rPr/>
            </w:pPr>
            <w:r>
              <w:rPr/>
              <w:t>A、使用2名非本机构专业技术人员从事职业卫生技术服务活动的</w:t>
            </w:r>
          </w:p>
          <w:p>
            <w:pPr>
              <w:pStyle w:val="TableText"/>
              <w:ind w:left="100"/>
              <w:spacing w:before="25" w:line="205" w:lineRule="auto"/>
              <w:rPr/>
            </w:pPr>
            <w:r>
              <w:rPr/>
              <w:t>B、使用非本机构专业技术人员从事职业卫生技术服务活动，违</w:t>
            </w:r>
            <w:r>
              <w:rPr>
                <w:spacing w:val="-1"/>
              </w:rPr>
              <w:t>法所得1万</w:t>
            </w:r>
          </w:p>
        </w:tc>
        <w:tc>
          <w:tcPr>
            <w:tcW w:w="4341" w:type="dxa"/>
            <w:vAlign w:val="top"/>
          </w:tcPr>
          <w:p>
            <w:pPr>
              <w:pStyle w:val="TableText"/>
              <w:ind w:left="126" w:right="113"/>
              <w:spacing w:before="245" w:line="273" w:lineRule="auto"/>
              <w:rPr/>
            </w:pPr>
            <w:r>
              <w:rPr/>
              <w:t>责令改正，对职业卫生技术服务机构处</w:t>
            </w:r>
            <w:r>
              <w:rPr>
                <w:spacing w:val="9"/>
              </w:rPr>
              <w:t xml:space="preserve"> </w:t>
            </w:r>
            <w:r>
              <w:rPr/>
              <w:t>一万元以上二万元以下的罚款</w:t>
            </w:r>
          </w:p>
        </w:tc>
      </w:tr>
    </w:tbl>
    <w:p>
      <w:pPr>
        <w:pStyle w:val="BodyText"/>
        <w:rPr/>
      </w:pPr>
      <w:r/>
    </w:p>
    <w:p>
      <w:pPr>
        <w:sectPr>
          <w:footerReference w:type="default" r:id="rId558"/>
          <w:pgSz w:w="16830" w:h="11900"/>
          <w:pgMar w:top="1011" w:right="1390" w:bottom="1107" w:left="1425" w:header="0" w:footer="774" w:gutter="0"/>
        </w:sectPr>
        <w:rPr/>
      </w:pPr>
    </w:p>
    <w:p>
      <w:pPr>
        <w:spacing w:before="12"/>
        <w:rPr/>
      </w:pPr>
      <w:r/>
    </w:p>
    <w:p>
      <w:pPr>
        <w:spacing w:before="11"/>
        <w:rPr/>
      </w:pPr>
      <w:r/>
    </w:p>
    <w:p>
      <w:pPr>
        <w:spacing w:before="11"/>
        <w:rPr/>
      </w:pPr>
      <w:r/>
    </w:p>
    <w:tbl>
      <w:tblPr>
        <w:tblStyle w:val="TableNormal"/>
        <w:tblW w:w="137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5"/>
        <w:gridCol w:w="7927"/>
        <w:gridCol w:w="4373"/>
      </w:tblGrid>
      <w:tr>
        <w:trPr>
          <w:trHeight w:val="463" w:hRule="atLeast"/>
        </w:trPr>
        <w:tc>
          <w:tcPr>
            <w:tcW w:w="1455" w:type="dxa"/>
            <w:vAlign w:val="top"/>
            <w:tcBorders>
              <w:bottom w:val="single" w:color="000000" w:sz="8" w:space="0"/>
            </w:tcBorders>
          </w:tcPr>
          <w:p>
            <w:pPr>
              <w:rPr>
                <w:rFonts w:ascii="Arial"/>
                <w:sz w:val="21"/>
              </w:rPr>
            </w:pPr>
            <w:r/>
          </w:p>
        </w:tc>
        <w:tc>
          <w:tcPr>
            <w:tcW w:w="7927" w:type="dxa"/>
            <w:vAlign w:val="top"/>
            <w:tcBorders>
              <w:bottom w:val="single" w:color="000000" w:sz="8" w:space="0"/>
              <w:right w:val="single" w:color="000000" w:sz="4" w:space="0"/>
            </w:tcBorders>
          </w:tcPr>
          <w:p>
            <w:pPr>
              <w:ind w:left="90"/>
              <w:spacing w:before="142" w:line="222" w:lineRule="auto"/>
              <w:rPr>
                <w:rFonts w:ascii="FangSong" w:hAnsi="FangSong" w:eastAsia="FangSong" w:cs="FangSong"/>
                <w:sz w:val="23"/>
                <w:szCs w:val="23"/>
              </w:rPr>
            </w:pPr>
            <w:r>
              <w:rPr>
                <w:rFonts w:ascii="FangSong" w:hAnsi="FangSong" w:eastAsia="FangSong" w:cs="FangSong"/>
                <w:sz w:val="23"/>
                <w:szCs w:val="23"/>
                <w:spacing w:val="19"/>
              </w:rPr>
              <w:t>元以上2万元以下的</w:t>
            </w:r>
          </w:p>
        </w:tc>
        <w:tc>
          <w:tcPr>
            <w:tcW w:w="4373" w:type="dxa"/>
            <w:vAlign w:val="top"/>
            <w:tcBorders>
              <w:bottom w:val="single" w:color="000000" w:sz="8" w:space="0"/>
              <w:left w:val="single" w:color="000000" w:sz="4" w:space="0"/>
            </w:tcBorders>
          </w:tcPr>
          <w:p>
            <w:pPr>
              <w:rPr>
                <w:rFonts w:ascii="Arial"/>
                <w:sz w:val="21"/>
              </w:rPr>
            </w:pPr>
            <w:r/>
          </w:p>
        </w:tc>
      </w:tr>
      <w:tr>
        <w:trPr>
          <w:trHeight w:val="1376" w:hRule="atLeast"/>
        </w:trPr>
        <w:tc>
          <w:tcPr>
            <w:tcW w:w="1455" w:type="dxa"/>
            <w:vAlign w:val="top"/>
            <w:tcBorders>
              <w:top w:val="single" w:color="000000" w:sz="8" w:space="0"/>
            </w:tcBorders>
          </w:tcPr>
          <w:p>
            <w:pPr>
              <w:spacing w:line="299" w:lineRule="auto"/>
              <w:rPr>
                <w:rFonts w:ascii="Arial"/>
                <w:sz w:val="21"/>
              </w:rPr>
            </w:pPr>
            <w:r/>
          </w:p>
          <w:p>
            <w:pPr>
              <w:spacing w:line="300" w:lineRule="auto"/>
              <w:rPr>
                <w:rFonts w:ascii="Arial"/>
                <w:sz w:val="21"/>
              </w:rPr>
            </w:pPr>
            <w:r/>
          </w:p>
          <w:p>
            <w:pPr>
              <w:ind w:left="478"/>
              <w:spacing w:before="74" w:line="224" w:lineRule="auto"/>
              <w:rPr>
                <w:rFonts w:ascii="FangSong" w:hAnsi="FangSong" w:eastAsia="FangSong" w:cs="FangSong"/>
                <w:sz w:val="23"/>
                <w:szCs w:val="23"/>
              </w:rPr>
            </w:pPr>
            <w:bookmarkStart w:name="bookmark1191" w:id="568"/>
            <w:bookmarkEnd w:id="568"/>
            <w:r>
              <w:rPr>
                <w:rFonts w:ascii="FangSong" w:hAnsi="FangSong" w:eastAsia="FangSong" w:cs="FangSong"/>
                <w:sz w:val="23"/>
                <w:szCs w:val="23"/>
                <w:b/>
                <w:bCs/>
                <w:spacing w:val="9"/>
              </w:rPr>
              <w:t>严重</w:t>
            </w:r>
          </w:p>
        </w:tc>
        <w:tc>
          <w:tcPr>
            <w:tcW w:w="7927" w:type="dxa"/>
            <w:vAlign w:val="top"/>
            <w:tcBorders>
              <w:top w:val="single" w:color="000000" w:sz="8" w:space="0"/>
              <w:right w:val="single" w:color="000000" w:sz="4" w:space="0"/>
            </w:tcBorders>
          </w:tcPr>
          <w:p>
            <w:pPr>
              <w:ind w:left="90"/>
              <w:spacing w:before="80" w:line="222" w:lineRule="auto"/>
              <w:rPr>
                <w:rFonts w:ascii="FangSong" w:hAnsi="FangSong" w:eastAsia="FangSong" w:cs="FangSong"/>
                <w:sz w:val="23"/>
                <w:szCs w:val="23"/>
              </w:rPr>
            </w:pPr>
            <w:r>
              <w:rPr>
                <w:rFonts w:ascii="FangSong" w:hAnsi="FangSong" w:eastAsia="FangSong" w:cs="FangSong"/>
                <w:sz w:val="23"/>
                <w:szCs w:val="23"/>
                <w:spacing w:val="6"/>
              </w:rPr>
              <w:t>有下列情形之一的：</w:t>
            </w:r>
          </w:p>
          <w:p>
            <w:pPr>
              <w:pStyle w:val="TableText"/>
              <w:ind w:left="90"/>
              <w:spacing w:before="63" w:line="222" w:lineRule="auto"/>
              <w:rPr>
                <w:rFonts w:ascii="FangSong" w:hAnsi="FangSong" w:eastAsia="FangSong" w:cs="FangSong"/>
                <w:sz w:val="23"/>
                <w:szCs w:val="23"/>
              </w:rPr>
            </w:pPr>
            <w:r>
              <w:rPr>
                <w:sz w:val="23"/>
                <w:szCs w:val="23"/>
                <w:spacing w:val="13"/>
              </w:rPr>
              <w:t>A、</w:t>
            </w:r>
            <w:r>
              <w:rPr>
                <w:rFonts w:ascii="FangSong" w:hAnsi="FangSong" w:eastAsia="FangSong" w:cs="FangSong"/>
                <w:sz w:val="23"/>
                <w:szCs w:val="23"/>
                <w:spacing w:val="13"/>
              </w:rPr>
              <w:t>使用3名及以上非本机构专业技术人员从事职业卫生技术服务活动的</w:t>
            </w:r>
          </w:p>
          <w:p>
            <w:pPr>
              <w:pStyle w:val="TableText"/>
              <w:ind w:left="90" w:right="113"/>
              <w:spacing w:before="63" w:line="243" w:lineRule="auto"/>
              <w:rPr>
                <w:rFonts w:ascii="FangSong" w:hAnsi="FangSong" w:eastAsia="FangSong" w:cs="FangSong"/>
                <w:sz w:val="23"/>
                <w:szCs w:val="23"/>
              </w:rPr>
            </w:pPr>
            <w:r>
              <w:rPr>
                <w:sz w:val="23"/>
                <w:szCs w:val="23"/>
                <w:spacing w:val="11"/>
              </w:rPr>
              <w:t>B、</w:t>
            </w:r>
            <w:r>
              <w:rPr>
                <w:rFonts w:ascii="FangSong" w:hAnsi="FangSong" w:eastAsia="FangSong" w:cs="FangSong"/>
                <w:sz w:val="23"/>
                <w:szCs w:val="23"/>
                <w:spacing w:val="11"/>
              </w:rPr>
              <w:t>使用非本机构专业技术人员从事职业卫生技术服务活</w:t>
            </w:r>
            <w:r>
              <w:rPr>
                <w:rFonts w:ascii="FangSong" w:hAnsi="FangSong" w:eastAsia="FangSong" w:cs="FangSong"/>
                <w:sz w:val="23"/>
                <w:szCs w:val="23"/>
                <w:spacing w:val="10"/>
              </w:rPr>
              <w:t>动，违法所得2万</w:t>
            </w:r>
            <w:r>
              <w:rPr>
                <w:rFonts w:ascii="FangSong" w:hAnsi="FangSong" w:eastAsia="FangSong" w:cs="FangSong"/>
                <w:sz w:val="23"/>
                <w:szCs w:val="23"/>
              </w:rPr>
              <w:t xml:space="preserve"> </w:t>
            </w:r>
            <w:r>
              <w:rPr>
                <w:rFonts w:ascii="FangSong" w:hAnsi="FangSong" w:eastAsia="FangSong" w:cs="FangSong"/>
                <w:sz w:val="23"/>
                <w:szCs w:val="23"/>
                <w:spacing w:val="3"/>
              </w:rPr>
              <w:t>元以上的</w:t>
            </w:r>
          </w:p>
        </w:tc>
        <w:tc>
          <w:tcPr>
            <w:tcW w:w="4373" w:type="dxa"/>
            <w:vAlign w:val="top"/>
            <w:tcBorders>
              <w:top w:val="single" w:color="000000" w:sz="8" w:space="0"/>
              <w:left w:val="single" w:color="000000" w:sz="4" w:space="0"/>
            </w:tcBorders>
          </w:tcPr>
          <w:p>
            <w:pPr>
              <w:spacing w:line="342" w:lineRule="auto"/>
              <w:rPr>
                <w:rFonts w:ascii="Arial"/>
                <w:sz w:val="21"/>
              </w:rPr>
            </w:pPr>
            <w:r/>
          </w:p>
          <w:p>
            <w:pPr>
              <w:ind w:left="120" w:right="108"/>
              <w:spacing w:before="75" w:line="274" w:lineRule="auto"/>
              <w:rPr>
                <w:rFonts w:ascii="FangSong" w:hAnsi="FangSong" w:eastAsia="FangSong" w:cs="FangSong"/>
                <w:sz w:val="23"/>
                <w:szCs w:val="23"/>
              </w:rPr>
            </w:pPr>
            <w:r>
              <w:rPr>
                <w:rFonts w:ascii="FangSong" w:hAnsi="FangSong" w:eastAsia="FangSong" w:cs="FangSong"/>
                <w:sz w:val="23"/>
                <w:szCs w:val="23"/>
                <w:spacing w:val="13"/>
              </w:rPr>
              <w:t>责令改正，对职业卫生技术服务机构处</w:t>
            </w:r>
            <w:r>
              <w:rPr>
                <w:rFonts w:ascii="FangSong" w:hAnsi="FangSong" w:eastAsia="FangSong" w:cs="FangSong"/>
                <w:sz w:val="23"/>
                <w:szCs w:val="23"/>
                <w:spacing w:val="4"/>
              </w:rPr>
              <w:t xml:space="preserve"> </w:t>
            </w:r>
            <w:r>
              <w:rPr>
                <w:rFonts w:ascii="FangSong" w:hAnsi="FangSong" w:eastAsia="FangSong" w:cs="FangSong"/>
                <w:sz w:val="23"/>
                <w:szCs w:val="23"/>
                <w:spacing w:val="8"/>
              </w:rPr>
              <w:t>二万元以上三万元以下的罚款</w:t>
            </w:r>
          </w:p>
        </w:tc>
      </w:tr>
    </w:tbl>
    <w:p>
      <w:pPr>
        <w:pStyle w:val="BodyText"/>
        <w:spacing w:line="422" w:lineRule="auto"/>
        <w:rPr/>
      </w:pPr>
      <w:r/>
    </w:p>
    <w:p>
      <w:pPr>
        <w:ind w:left="694"/>
        <w:spacing w:before="97" w:line="220" w:lineRule="auto"/>
        <w:rPr>
          <w:rFonts w:ascii="FangSong" w:hAnsi="FangSong" w:eastAsia="FangSong" w:cs="FangSong"/>
          <w:sz w:val="30"/>
          <w:szCs w:val="30"/>
        </w:rPr>
      </w:pPr>
      <w:r>
        <w:rPr>
          <w:rFonts w:ascii="FangSong" w:hAnsi="FangSong" w:eastAsia="FangSong" w:cs="FangSong"/>
          <w:sz w:val="30"/>
          <w:szCs w:val="30"/>
          <w:b/>
          <w:bCs/>
          <w:spacing w:val="21"/>
        </w:rPr>
        <w:t>第五百三十四条安排未达到技术评审考核评估要求的专业技术人员参与职业卫</w:t>
      </w:r>
      <w:r>
        <w:rPr>
          <w:rFonts w:ascii="FangSong" w:hAnsi="FangSong" w:eastAsia="FangSong" w:cs="FangSong"/>
          <w:sz w:val="30"/>
          <w:szCs w:val="30"/>
          <w:b/>
          <w:bCs/>
          <w:spacing w:val="20"/>
        </w:rPr>
        <w:t>生技术服务的</w:t>
      </w:r>
    </w:p>
    <w:p>
      <w:pPr>
        <w:ind w:left="690"/>
        <w:spacing w:before="9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40" w:firstLine="630"/>
        <w:spacing w:before="80" w:line="268" w:lineRule="auto"/>
        <w:rPr>
          <w:rFonts w:ascii="FangSong" w:hAnsi="FangSong" w:eastAsia="FangSong" w:cs="FangSong"/>
          <w:sz w:val="30"/>
          <w:szCs w:val="30"/>
        </w:rPr>
      </w:pPr>
      <w:r>
        <w:rPr>
          <w:rFonts w:ascii="FangSong" w:hAnsi="FangSong" w:eastAsia="FangSong" w:cs="FangSong"/>
          <w:sz w:val="30"/>
          <w:szCs w:val="30"/>
          <w:spacing w:val="26"/>
        </w:rPr>
        <w:t>《职业卫生技术服务机构管理办法》第四十四条第(六)项</w:t>
      </w:r>
      <w:r>
        <w:rPr>
          <w:rFonts w:ascii="FangSong" w:hAnsi="FangSong" w:eastAsia="FangSong" w:cs="FangSong"/>
          <w:sz w:val="30"/>
          <w:szCs w:val="30"/>
          <w:spacing w:val="26"/>
        </w:rPr>
        <w:t xml:space="preserve">   </w:t>
      </w:r>
      <w:r>
        <w:rPr>
          <w:rFonts w:ascii="FangSong" w:hAnsi="FangSong" w:eastAsia="FangSong" w:cs="FangSong"/>
          <w:sz w:val="30"/>
          <w:szCs w:val="30"/>
          <w:spacing w:val="26"/>
        </w:rPr>
        <w:t>职业卫</w:t>
      </w:r>
      <w:r>
        <w:rPr>
          <w:rFonts w:ascii="FangSong" w:hAnsi="FangSong" w:eastAsia="FangSong" w:cs="FangSong"/>
          <w:sz w:val="30"/>
          <w:szCs w:val="30"/>
          <w:spacing w:val="25"/>
        </w:rPr>
        <w:t>生技术服务机构有下列情</w:t>
      </w:r>
      <w:r>
        <w:rPr>
          <w:rFonts w:ascii="FangSong" w:hAnsi="FangSong" w:eastAsia="FangSong" w:cs="FangSong"/>
          <w:sz w:val="30"/>
          <w:szCs w:val="30"/>
        </w:rPr>
        <w:t xml:space="preserve"> </w:t>
      </w:r>
      <w:r>
        <w:rPr>
          <w:rFonts w:ascii="FangSong" w:hAnsi="FangSong" w:eastAsia="FangSong" w:cs="FangSong"/>
          <w:sz w:val="30"/>
          <w:szCs w:val="30"/>
          <w:spacing w:val="18"/>
        </w:rPr>
        <w:t>形之一的，由县级以上地方疾病预防控制主管部门责令改正，给予警告，可以并处三万元以</w:t>
      </w:r>
      <w:r>
        <w:rPr>
          <w:rFonts w:ascii="FangSong" w:hAnsi="FangSong" w:eastAsia="FangSong" w:cs="FangSong"/>
          <w:sz w:val="30"/>
          <w:szCs w:val="30"/>
          <w:spacing w:val="17"/>
        </w:rPr>
        <w:t>下罚款：</w:t>
      </w:r>
    </w:p>
    <w:p>
      <w:pPr>
        <w:ind w:left="810"/>
        <w:spacing w:before="4" w:line="220" w:lineRule="auto"/>
        <w:rPr>
          <w:rFonts w:ascii="FangSong" w:hAnsi="FangSong" w:eastAsia="FangSong" w:cs="FangSong"/>
          <w:sz w:val="30"/>
          <w:szCs w:val="30"/>
        </w:rPr>
      </w:pPr>
      <w:r>
        <w:rPr>
          <w:rFonts w:ascii="FangSong" w:hAnsi="FangSong" w:eastAsia="FangSong" w:cs="FangSong"/>
          <w:sz w:val="30"/>
          <w:szCs w:val="30"/>
          <w:spacing w:val="22"/>
        </w:rPr>
        <w:t>(六)安排未达到技术评审考核评估要求的专业技术人员参与职业卫生技术服务的。</w:t>
      </w:r>
    </w:p>
    <w:p>
      <w:pPr>
        <w:pStyle w:val="BodyText"/>
        <w:spacing w:line="353" w:lineRule="auto"/>
        <w:rPr/>
      </w:pPr>
      <w:r/>
    </w:p>
    <w:p>
      <w:pPr>
        <w:pStyle w:val="BodyText"/>
        <w:spacing w:line="353" w:lineRule="auto"/>
        <w:rPr/>
      </w:pPr>
      <w:r/>
    </w:p>
    <w:p>
      <w:pPr>
        <w:ind w:left="6454"/>
        <w:spacing w:before="94" w:line="220" w:lineRule="auto"/>
        <w:rPr>
          <w:rFonts w:ascii="SimSun" w:hAnsi="SimSun" w:eastAsia="SimSun" w:cs="SimSun"/>
          <w:sz w:val="29"/>
          <w:szCs w:val="29"/>
        </w:rPr>
      </w:pPr>
      <w:r>
        <w:rPr>
          <w:rFonts w:ascii="SimSun" w:hAnsi="SimSun" w:eastAsia="SimSun" w:cs="SimSun"/>
          <w:sz w:val="29"/>
          <w:szCs w:val="29"/>
          <w:b/>
          <w:bCs/>
          <w:spacing w:val="-6"/>
        </w:rPr>
        <w:t>裁量标准</w:t>
      </w:r>
    </w:p>
    <w:p>
      <w:pPr>
        <w:spacing w:line="112" w:lineRule="auto"/>
        <w:rPr>
          <w:rFonts w:ascii="Arial"/>
          <w:sz w:val="2"/>
        </w:rPr>
      </w:pPr>
      <w:r>
        <w:rPr>
          <w:rFonts w:ascii="Arial"/>
          <w:sz w:val="2"/>
        </w:rPr>
      </w:r>
    </w:p>
    <w:tbl>
      <w:tblPr>
        <w:tblStyle w:val="TableNormal"/>
        <w:tblW w:w="13839" w:type="dxa"/>
        <w:tblInd w:w="4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9063"/>
        <w:gridCol w:w="3372"/>
      </w:tblGrid>
      <w:tr>
        <w:trPr>
          <w:trHeight w:val="841" w:hRule="atLeast"/>
        </w:trPr>
        <w:tc>
          <w:tcPr>
            <w:tcW w:w="1404" w:type="dxa"/>
            <w:vAlign w:val="top"/>
          </w:tcPr>
          <w:p>
            <w:pPr>
              <w:pStyle w:val="TableText"/>
              <w:ind w:left="198"/>
              <w:spacing w:before="302" w:line="220" w:lineRule="auto"/>
              <w:rPr>
                <w:sz w:val="25"/>
                <w:szCs w:val="25"/>
              </w:rPr>
            </w:pPr>
            <w:r>
              <w:rPr>
                <w:sz w:val="25"/>
                <w:szCs w:val="25"/>
                <w:b/>
                <w:bCs/>
                <w:spacing w:val="-5"/>
              </w:rPr>
              <w:t>违法程度</w:t>
            </w:r>
          </w:p>
        </w:tc>
        <w:tc>
          <w:tcPr>
            <w:tcW w:w="9063" w:type="dxa"/>
            <w:vAlign w:val="top"/>
          </w:tcPr>
          <w:p>
            <w:pPr>
              <w:pStyle w:val="TableText"/>
              <w:ind w:left="4024"/>
              <w:spacing w:before="302" w:line="220" w:lineRule="auto"/>
              <w:rPr>
                <w:sz w:val="25"/>
                <w:szCs w:val="25"/>
              </w:rPr>
            </w:pPr>
            <w:r>
              <w:rPr>
                <w:sz w:val="25"/>
                <w:szCs w:val="25"/>
                <w:b/>
                <w:bCs/>
                <w:spacing w:val="-5"/>
              </w:rPr>
              <w:t>情节后果</w:t>
            </w:r>
          </w:p>
        </w:tc>
        <w:tc>
          <w:tcPr>
            <w:tcW w:w="3372" w:type="dxa"/>
            <w:vAlign w:val="top"/>
          </w:tcPr>
          <w:p>
            <w:pPr>
              <w:pStyle w:val="TableText"/>
              <w:ind w:left="1181"/>
              <w:spacing w:before="299" w:line="218" w:lineRule="auto"/>
              <w:rPr>
                <w:sz w:val="25"/>
                <w:szCs w:val="25"/>
              </w:rPr>
            </w:pPr>
            <w:r>
              <w:rPr>
                <w:sz w:val="25"/>
                <w:szCs w:val="25"/>
                <w:b/>
                <w:bCs/>
                <w:spacing w:val="-5"/>
              </w:rPr>
              <w:t>裁量幅度</w:t>
            </w:r>
          </w:p>
        </w:tc>
      </w:tr>
      <w:tr>
        <w:trPr>
          <w:trHeight w:val="1359" w:hRule="atLeast"/>
        </w:trPr>
        <w:tc>
          <w:tcPr>
            <w:tcW w:w="1404" w:type="dxa"/>
            <w:vAlign w:val="top"/>
          </w:tcPr>
          <w:p>
            <w:pPr>
              <w:spacing w:line="283" w:lineRule="auto"/>
              <w:rPr>
                <w:rFonts w:ascii="Arial"/>
                <w:sz w:val="21"/>
              </w:rPr>
            </w:pPr>
            <w:r/>
          </w:p>
          <w:p>
            <w:pPr>
              <w:spacing w:line="284" w:lineRule="auto"/>
              <w:rPr>
                <w:rFonts w:ascii="Arial"/>
                <w:sz w:val="21"/>
              </w:rPr>
            </w:pPr>
            <w:r/>
          </w:p>
          <w:p>
            <w:pPr>
              <w:pStyle w:val="TableText"/>
              <w:ind w:left="448"/>
              <w:spacing w:before="81" w:line="221" w:lineRule="auto"/>
              <w:rPr>
                <w:sz w:val="25"/>
                <w:szCs w:val="25"/>
              </w:rPr>
            </w:pPr>
            <w:r>
              <w:rPr>
                <w:sz w:val="25"/>
                <w:szCs w:val="25"/>
                <w:b/>
                <w:bCs/>
                <w:spacing w:val="-10"/>
              </w:rPr>
              <w:t>一般</w:t>
            </w:r>
          </w:p>
        </w:tc>
        <w:tc>
          <w:tcPr>
            <w:tcW w:w="9063" w:type="dxa"/>
            <w:vAlign w:val="top"/>
          </w:tcPr>
          <w:p>
            <w:pPr>
              <w:pStyle w:val="TableText"/>
              <w:ind w:left="134"/>
              <w:spacing w:before="71" w:line="220" w:lineRule="auto"/>
              <w:rPr>
                <w:sz w:val="25"/>
                <w:szCs w:val="25"/>
              </w:rPr>
            </w:pPr>
            <w:r>
              <w:rPr>
                <w:sz w:val="25"/>
                <w:szCs w:val="25"/>
                <w:b/>
                <w:bCs/>
                <w:spacing w:val="-2"/>
              </w:rPr>
              <w:t>有下列情形之一的：</w:t>
            </w:r>
          </w:p>
          <w:p>
            <w:pPr>
              <w:pStyle w:val="TableText"/>
              <w:ind w:left="24"/>
              <w:spacing w:before="39" w:line="218" w:lineRule="auto"/>
              <w:rPr>
                <w:sz w:val="25"/>
                <w:szCs w:val="25"/>
              </w:rPr>
            </w:pPr>
            <w:r>
              <w:rPr>
                <w:sz w:val="25"/>
                <w:szCs w:val="25"/>
                <w:b/>
                <w:bCs/>
                <w:spacing w:val="-3"/>
              </w:rPr>
              <w:t>A、安排1个未达到技术评审考核评估要求的专业技术人员参与职业卫生技术服务的</w:t>
            </w:r>
          </w:p>
          <w:p>
            <w:pPr>
              <w:pStyle w:val="TableText"/>
              <w:ind w:left="124" w:hanging="110"/>
              <w:spacing w:before="54" w:line="218" w:lineRule="auto"/>
              <w:rPr>
                <w:sz w:val="25"/>
                <w:szCs w:val="25"/>
              </w:rPr>
            </w:pPr>
            <w:r>
              <w:rPr>
                <w:sz w:val="25"/>
                <w:szCs w:val="25"/>
                <w:b/>
                <w:bCs/>
                <w:spacing w:val="-5"/>
              </w:rPr>
              <w:t>B、安排未达到技术评审考核评估要求的专业技术人员参与职业卫生技术服务，违法</w:t>
            </w:r>
            <w:r>
              <w:rPr>
                <w:sz w:val="25"/>
                <w:szCs w:val="25"/>
              </w:rPr>
              <w:t xml:space="preserve"> </w:t>
            </w:r>
            <w:r>
              <w:rPr>
                <w:sz w:val="25"/>
                <w:szCs w:val="25"/>
                <w:b/>
                <w:bCs/>
                <w:spacing w:val="-4"/>
              </w:rPr>
              <w:t>所得不足1万元的</w:t>
            </w:r>
          </w:p>
        </w:tc>
        <w:tc>
          <w:tcPr>
            <w:tcW w:w="3372" w:type="dxa"/>
            <w:vAlign w:val="top"/>
          </w:tcPr>
          <w:p>
            <w:pPr>
              <w:spacing w:line="324" w:lineRule="auto"/>
              <w:rPr>
                <w:rFonts w:ascii="Arial"/>
                <w:sz w:val="21"/>
              </w:rPr>
            </w:pPr>
            <w:r/>
          </w:p>
          <w:p>
            <w:pPr>
              <w:pStyle w:val="TableText"/>
              <w:ind w:left="101" w:right="61" w:hanging="40"/>
              <w:spacing w:before="81" w:line="256" w:lineRule="auto"/>
              <w:rPr>
                <w:sz w:val="25"/>
                <w:szCs w:val="25"/>
              </w:rPr>
            </w:pPr>
            <w:r>
              <w:rPr>
                <w:sz w:val="25"/>
                <w:szCs w:val="25"/>
                <w:b/>
                <w:bCs/>
                <w:spacing w:val="-4"/>
              </w:rPr>
              <w:t>给予警告，责令限期改正，并</w:t>
            </w:r>
            <w:r>
              <w:rPr>
                <w:sz w:val="25"/>
                <w:szCs w:val="25"/>
                <w:spacing w:val="6"/>
              </w:rPr>
              <w:t xml:space="preserve"> </w:t>
            </w:r>
            <w:r>
              <w:rPr>
                <w:sz w:val="25"/>
                <w:szCs w:val="25"/>
                <w:b/>
                <w:bCs/>
                <w:spacing w:val="-5"/>
              </w:rPr>
              <w:t>处一万元以下的罚款</w:t>
            </w:r>
          </w:p>
        </w:tc>
      </w:tr>
    </w:tbl>
    <w:p>
      <w:pPr>
        <w:pStyle w:val="BodyText"/>
        <w:rPr/>
      </w:pPr>
      <w:r/>
    </w:p>
    <w:p>
      <w:pPr>
        <w:sectPr>
          <w:footerReference w:type="default" r:id="rId559"/>
          <w:pgSz w:w="16830" w:h="11900"/>
          <w:pgMar w:top="1011" w:right="1400" w:bottom="1127" w:left="1399" w:header="0" w:footer="794" w:gutter="0"/>
        </w:sectPr>
        <w:rPr/>
      </w:pPr>
    </w:p>
    <w:p>
      <w:pPr>
        <w:spacing w:before="20"/>
        <w:rPr/>
      </w:pPr>
      <w:r/>
    </w:p>
    <w:p>
      <w:pPr>
        <w:spacing w:before="20"/>
        <w:rPr/>
      </w:pPr>
      <w:r/>
    </w:p>
    <w:p>
      <w:pPr>
        <w:spacing w:before="19"/>
        <w:rPr/>
      </w:pPr>
      <w:r/>
    </w:p>
    <w:tbl>
      <w:tblPr>
        <w:tblStyle w:val="TableNormal"/>
        <w:tblW w:w="13830" w:type="dxa"/>
        <w:tblInd w:w="2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9034"/>
        <w:gridCol w:w="3382"/>
      </w:tblGrid>
      <w:tr>
        <w:trPr>
          <w:trHeight w:val="1350" w:hRule="atLeast"/>
        </w:trPr>
        <w:tc>
          <w:tcPr>
            <w:tcW w:w="1414" w:type="dxa"/>
            <w:vAlign w:val="top"/>
          </w:tcPr>
          <w:p>
            <w:pPr>
              <w:spacing w:line="285" w:lineRule="auto"/>
              <w:rPr>
                <w:rFonts w:ascii="Arial"/>
                <w:sz w:val="21"/>
              </w:rPr>
            </w:pPr>
            <w:r/>
          </w:p>
          <w:p>
            <w:pPr>
              <w:spacing w:line="285" w:lineRule="auto"/>
              <w:rPr>
                <w:rFonts w:ascii="Arial"/>
                <w:sz w:val="21"/>
              </w:rPr>
            </w:pPr>
            <w:r/>
          </w:p>
          <w:p>
            <w:pPr>
              <w:pStyle w:val="TableText"/>
              <w:ind w:left="448"/>
              <w:spacing w:before="81" w:line="221" w:lineRule="auto"/>
              <w:rPr>
                <w:sz w:val="25"/>
                <w:szCs w:val="25"/>
              </w:rPr>
            </w:pPr>
            <w:bookmarkStart w:name="bookmark1192" w:id="569"/>
            <w:bookmarkEnd w:id="569"/>
            <w:r>
              <w:rPr>
                <w:sz w:val="25"/>
                <w:szCs w:val="25"/>
                <w:b/>
                <w:bCs/>
                <w:spacing w:val="-6"/>
              </w:rPr>
              <w:t>较重</w:t>
            </w:r>
          </w:p>
        </w:tc>
        <w:tc>
          <w:tcPr>
            <w:tcW w:w="9034" w:type="dxa"/>
            <w:vAlign w:val="top"/>
          </w:tcPr>
          <w:p>
            <w:pPr>
              <w:pStyle w:val="TableText"/>
              <w:ind w:left="111"/>
              <w:spacing w:before="56" w:line="220" w:lineRule="auto"/>
              <w:rPr>
                <w:sz w:val="25"/>
                <w:szCs w:val="25"/>
              </w:rPr>
            </w:pPr>
            <w:r>
              <w:rPr>
                <w:sz w:val="25"/>
                <w:szCs w:val="25"/>
                <w:spacing w:val="2"/>
              </w:rPr>
              <w:t>有下列情形之一的：</w:t>
            </w:r>
          </w:p>
          <w:p>
            <w:pPr>
              <w:pStyle w:val="TableText"/>
              <w:spacing w:before="29" w:line="218" w:lineRule="auto"/>
              <w:jc w:val="right"/>
              <w:rPr>
                <w:sz w:val="25"/>
                <w:szCs w:val="25"/>
              </w:rPr>
            </w:pPr>
            <w:r>
              <w:rPr>
                <w:sz w:val="25"/>
                <w:szCs w:val="25"/>
                <w:spacing w:val="-2"/>
              </w:rPr>
              <w:t>A、安排2个未达到技术评审考核评估要求的专业</w:t>
            </w:r>
            <w:r>
              <w:rPr>
                <w:sz w:val="25"/>
                <w:szCs w:val="25"/>
                <w:spacing w:val="-3"/>
              </w:rPr>
              <w:t>技术人员参与职业卫生技术服务的</w:t>
            </w:r>
          </w:p>
          <w:p>
            <w:pPr>
              <w:pStyle w:val="TableText"/>
              <w:ind w:left="110" w:hanging="9"/>
              <w:spacing w:before="73" w:line="217" w:lineRule="auto"/>
              <w:rPr>
                <w:sz w:val="25"/>
                <w:szCs w:val="25"/>
              </w:rPr>
            </w:pPr>
            <w:r>
              <w:rPr>
                <w:sz w:val="25"/>
                <w:szCs w:val="25"/>
                <w:spacing w:val="-6"/>
              </w:rPr>
              <w:t>B、安排未达到技术评审考核评估要求的专业技术人员参与职业卫生技术服务，违法</w:t>
            </w:r>
            <w:r>
              <w:rPr>
                <w:sz w:val="25"/>
                <w:szCs w:val="25"/>
                <w:spacing w:val="18"/>
              </w:rPr>
              <w:t xml:space="preserve"> </w:t>
            </w:r>
            <w:r>
              <w:rPr>
                <w:sz w:val="25"/>
                <w:szCs w:val="25"/>
                <w:spacing w:val="1"/>
              </w:rPr>
              <w:t>所得1万元以上3万元以下的</w:t>
            </w:r>
          </w:p>
        </w:tc>
        <w:tc>
          <w:tcPr>
            <w:tcW w:w="3382" w:type="dxa"/>
            <w:vAlign w:val="top"/>
          </w:tcPr>
          <w:p>
            <w:pPr>
              <w:pStyle w:val="TableText"/>
              <w:ind w:left="56" w:right="34"/>
              <w:spacing w:before="213" w:line="263" w:lineRule="auto"/>
              <w:rPr>
                <w:sz w:val="25"/>
                <w:szCs w:val="25"/>
              </w:rPr>
            </w:pPr>
            <w:r>
              <w:rPr>
                <w:sz w:val="25"/>
                <w:szCs w:val="25"/>
              </w:rPr>
              <w:t>给予警告，责令限期改正，并</w:t>
            </w:r>
            <w:r>
              <w:rPr>
                <w:sz w:val="25"/>
                <w:szCs w:val="25"/>
                <w:spacing w:val="9"/>
              </w:rPr>
              <w:t xml:space="preserve"> </w:t>
            </w:r>
            <w:r>
              <w:rPr>
                <w:sz w:val="25"/>
                <w:szCs w:val="25"/>
                <w:spacing w:val="2"/>
              </w:rPr>
              <w:t>处一万元以上二万元以下的罚</w:t>
            </w:r>
          </w:p>
          <w:p>
            <w:pPr>
              <w:pStyle w:val="TableText"/>
              <w:ind w:left="106"/>
              <w:spacing w:before="1" w:line="221" w:lineRule="auto"/>
              <w:rPr>
                <w:sz w:val="25"/>
                <w:szCs w:val="25"/>
              </w:rPr>
            </w:pPr>
            <w:r>
              <w:rPr>
                <w:sz w:val="25"/>
                <w:szCs w:val="25"/>
                <w:color w:val="303040"/>
              </w:rPr>
              <w:t>款</w:t>
            </w:r>
          </w:p>
        </w:tc>
      </w:tr>
      <w:tr>
        <w:trPr>
          <w:trHeight w:val="1699" w:hRule="atLeast"/>
        </w:trPr>
        <w:tc>
          <w:tcPr>
            <w:tcW w:w="1414" w:type="dxa"/>
            <w:vAlign w:val="top"/>
          </w:tcPr>
          <w:p>
            <w:pPr>
              <w:spacing w:line="323" w:lineRule="auto"/>
              <w:rPr>
                <w:rFonts w:ascii="Arial"/>
                <w:sz w:val="21"/>
              </w:rPr>
            </w:pPr>
            <w:r/>
          </w:p>
          <w:p>
            <w:pPr>
              <w:spacing w:line="324" w:lineRule="auto"/>
              <w:rPr>
                <w:rFonts w:ascii="Arial"/>
                <w:sz w:val="21"/>
              </w:rPr>
            </w:pPr>
            <w:r/>
          </w:p>
          <w:p>
            <w:pPr>
              <w:pStyle w:val="TableText"/>
              <w:ind w:left="448"/>
              <w:spacing w:before="81" w:line="220" w:lineRule="auto"/>
              <w:rPr>
                <w:sz w:val="25"/>
                <w:szCs w:val="25"/>
              </w:rPr>
            </w:pPr>
            <w:r>
              <w:rPr>
                <w:sz w:val="25"/>
                <w:szCs w:val="25"/>
                <w:b/>
                <w:bCs/>
                <w:spacing w:val="-6"/>
              </w:rPr>
              <w:t>严重</w:t>
            </w:r>
          </w:p>
        </w:tc>
        <w:tc>
          <w:tcPr>
            <w:tcW w:w="9034" w:type="dxa"/>
            <w:vAlign w:val="top"/>
          </w:tcPr>
          <w:p>
            <w:pPr>
              <w:pStyle w:val="TableText"/>
              <w:ind w:left="111"/>
              <w:spacing w:before="76" w:line="220" w:lineRule="auto"/>
              <w:rPr>
                <w:sz w:val="25"/>
                <w:szCs w:val="25"/>
              </w:rPr>
            </w:pPr>
            <w:r>
              <w:rPr>
                <w:sz w:val="25"/>
                <w:szCs w:val="25"/>
                <w:spacing w:val="2"/>
              </w:rPr>
              <w:t>有下列情形之一的：</w:t>
            </w:r>
          </w:p>
          <w:p>
            <w:pPr>
              <w:pStyle w:val="TableText"/>
              <w:ind w:left="111" w:firstLine="9"/>
              <w:spacing w:before="38" w:line="236" w:lineRule="auto"/>
              <w:rPr>
                <w:sz w:val="25"/>
                <w:szCs w:val="25"/>
              </w:rPr>
            </w:pPr>
            <w:r>
              <w:rPr>
                <w:sz w:val="25"/>
                <w:szCs w:val="25"/>
                <w:spacing w:val="-3"/>
              </w:rPr>
              <w:t>A、安排3个及以上未达到技术评审考核评估要求的专业技术人员参与职业卫生技术</w:t>
            </w:r>
            <w:r>
              <w:rPr>
                <w:sz w:val="25"/>
                <w:szCs w:val="25"/>
                <w:spacing w:val="13"/>
              </w:rPr>
              <w:t xml:space="preserve"> </w:t>
            </w:r>
            <w:r>
              <w:rPr>
                <w:sz w:val="25"/>
                <w:szCs w:val="25"/>
                <w:spacing w:val="6"/>
              </w:rPr>
              <w:t>服务的</w:t>
            </w:r>
          </w:p>
          <w:p>
            <w:pPr>
              <w:pStyle w:val="TableText"/>
              <w:ind w:left="111" w:firstLine="9"/>
              <w:spacing w:before="41" w:line="220" w:lineRule="auto"/>
              <w:rPr>
                <w:sz w:val="25"/>
                <w:szCs w:val="25"/>
              </w:rPr>
            </w:pPr>
            <w:r>
              <w:rPr>
                <w:sz w:val="25"/>
                <w:szCs w:val="25"/>
                <w:spacing w:val="-6"/>
              </w:rPr>
              <w:t>B、安排未达到技术评审考核评估要求的专业技术人员参与职业卫生技术服务，违法</w:t>
            </w:r>
            <w:r>
              <w:rPr>
                <w:sz w:val="25"/>
                <w:szCs w:val="25"/>
              </w:rPr>
              <w:t xml:space="preserve"> </w:t>
            </w:r>
            <w:r>
              <w:rPr>
                <w:sz w:val="25"/>
                <w:szCs w:val="25"/>
                <w:spacing w:val="2"/>
              </w:rPr>
              <w:t>所得3万元以上的</w:t>
            </w:r>
          </w:p>
        </w:tc>
        <w:tc>
          <w:tcPr>
            <w:tcW w:w="3382" w:type="dxa"/>
            <w:vAlign w:val="top"/>
          </w:tcPr>
          <w:p>
            <w:pPr>
              <w:spacing w:line="331" w:lineRule="auto"/>
              <w:rPr>
                <w:rFonts w:ascii="Arial"/>
                <w:sz w:val="21"/>
              </w:rPr>
            </w:pPr>
            <w:r/>
          </w:p>
          <w:p>
            <w:pPr>
              <w:pStyle w:val="TableText"/>
              <w:ind w:left="56" w:right="34"/>
              <w:spacing w:before="81" w:line="252" w:lineRule="auto"/>
              <w:rPr>
                <w:sz w:val="25"/>
                <w:szCs w:val="25"/>
              </w:rPr>
            </w:pPr>
            <w:r>
              <w:rPr>
                <w:sz w:val="25"/>
                <w:szCs w:val="25"/>
              </w:rPr>
              <w:t>给予警告，责令限期改正，并</w:t>
            </w:r>
            <w:r>
              <w:rPr>
                <w:sz w:val="25"/>
                <w:szCs w:val="25"/>
                <w:spacing w:val="9"/>
              </w:rPr>
              <w:t xml:space="preserve"> </w:t>
            </w:r>
            <w:r>
              <w:rPr>
                <w:sz w:val="25"/>
                <w:szCs w:val="25"/>
                <w:spacing w:val="2"/>
              </w:rPr>
              <w:t>处二万元以上三万元以下的罚</w:t>
            </w:r>
          </w:p>
          <w:p>
            <w:pPr>
              <w:pStyle w:val="TableText"/>
              <w:ind w:left="97"/>
              <w:spacing w:before="1" w:line="220" w:lineRule="auto"/>
              <w:rPr>
                <w:sz w:val="25"/>
                <w:szCs w:val="25"/>
              </w:rPr>
            </w:pPr>
            <w:r>
              <w:rPr>
                <w:sz w:val="25"/>
                <w:szCs w:val="25"/>
                <w:color w:val="404050"/>
              </w:rPr>
              <w:t>款</w:t>
            </w:r>
          </w:p>
        </w:tc>
      </w:tr>
    </w:tbl>
    <w:p>
      <w:pPr>
        <w:pStyle w:val="BodyText"/>
        <w:spacing w:line="469" w:lineRule="auto"/>
        <w:rPr/>
      </w:pPr>
      <w:r/>
    </w:p>
    <w:p>
      <w:pPr>
        <w:ind w:left="684"/>
        <w:spacing w:before="94" w:line="219" w:lineRule="auto"/>
        <w:rPr>
          <w:rFonts w:ascii="FangSong" w:hAnsi="FangSong" w:eastAsia="FangSong" w:cs="FangSong"/>
          <w:sz w:val="29"/>
          <w:szCs w:val="29"/>
        </w:rPr>
      </w:pPr>
      <w:r>
        <w:rPr>
          <w:rFonts w:ascii="FangSong" w:hAnsi="FangSong" w:eastAsia="FangSong" w:cs="FangSong"/>
          <w:sz w:val="29"/>
          <w:szCs w:val="29"/>
          <w:b/>
          <w:bCs/>
          <w:spacing w:val="32"/>
        </w:rPr>
        <w:t>第五百三十五条在职业卫生技术报告或者有关原始记录上代替他人</w:t>
      </w:r>
      <w:r>
        <w:rPr>
          <w:rFonts w:ascii="FangSong" w:hAnsi="FangSong" w:eastAsia="FangSong" w:cs="FangSong"/>
          <w:sz w:val="29"/>
          <w:szCs w:val="29"/>
          <w:b/>
          <w:bCs/>
          <w:spacing w:val="31"/>
        </w:rPr>
        <w:t>签字的</w:t>
      </w:r>
    </w:p>
    <w:p>
      <w:pPr>
        <w:ind w:left="690"/>
        <w:spacing w:before="104" w:line="222" w:lineRule="auto"/>
        <w:rPr>
          <w:rFonts w:ascii="FangSong" w:hAnsi="FangSong" w:eastAsia="FangSong" w:cs="FangSong"/>
          <w:sz w:val="29"/>
          <w:szCs w:val="29"/>
        </w:rPr>
      </w:pPr>
      <w:r>
        <w:rPr>
          <w:rFonts w:ascii="FangSong" w:hAnsi="FangSong" w:eastAsia="FangSong" w:cs="FangSong"/>
          <w:sz w:val="29"/>
          <w:szCs w:val="29"/>
          <w:spacing w:val="8"/>
        </w:rPr>
        <w:t>法律依据：</w:t>
      </w:r>
    </w:p>
    <w:p>
      <w:pPr>
        <w:ind w:left="29" w:firstLine="624"/>
        <w:spacing w:before="89" w:line="281" w:lineRule="auto"/>
        <w:jc w:val="both"/>
        <w:rPr>
          <w:rFonts w:ascii="FangSong" w:hAnsi="FangSong" w:eastAsia="FangSong" w:cs="FangSong"/>
          <w:sz w:val="29"/>
          <w:szCs w:val="29"/>
        </w:rPr>
      </w:pPr>
      <w:r>
        <w:rPr>
          <w:rFonts w:ascii="FangSong" w:hAnsi="FangSong" w:eastAsia="FangSong" w:cs="FangSong"/>
          <w:sz w:val="29"/>
          <w:szCs w:val="29"/>
          <w:spacing w:val="33"/>
        </w:rPr>
        <w:t>《职业卫生技术服务机构管理办法》第四十五条第(</w:t>
      </w:r>
      <w:r>
        <w:rPr>
          <w:rFonts w:ascii="FangSong" w:hAnsi="FangSong" w:eastAsia="FangSong" w:cs="FangSong"/>
          <w:sz w:val="29"/>
          <w:szCs w:val="29"/>
          <w:spacing w:val="-47"/>
        </w:rPr>
        <w:t xml:space="preserve"> </w:t>
      </w:r>
      <w:r>
        <w:rPr>
          <w:rFonts w:ascii="FangSong" w:hAnsi="FangSong" w:eastAsia="FangSong" w:cs="FangSong"/>
          <w:sz w:val="29"/>
          <w:szCs w:val="29"/>
          <w:spacing w:val="33"/>
        </w:rPr>
        <w:t>一)项</w:t>
      </w:r>
      <w:r>
        <w:rPr>
          <w:rFonts w:ascii="FangSong" w:hAnsi="FangSong" w:eastAsia="FangSong" w:cs="FangSong"/>
          <w:sz w:val="29"/>
          <w:szCs w:val="29"/>
          <w:spacing w:val="33"/>
        </w:rPr>
        <w:t xml:space="preserve">   </w:t>
      </w:r>
      <w:r>
        <w:rPr>
          <w:rFonts w:ascii="FangSong" w:hAnsi="FangSong" w:eastAsia="FangSong" w:cs="FangSong"/>
          <w:sz w:val="29"/>
          <w:szCs w:val="29"/>
          <w:spacing w:val="33"/>
        </w:rPr>
        <w:t>职业卫生技术服务机构专业技术</w:t>
      </w:r>
      <w:r>
        <w:rPr>
          <w:rFonts w:ascii="FangSong" w:hAnsi="FangSong" w:eastAsia="FangSong" w:cs="FangSong"/>
          <w:sz w:val="29"/>
          <w:szCs w:val="29"/>
        </w:rPr>
        <w:t xml:space="preserve"> </w:t>
      </w:r>
      <w:r>
        <w:rPr>
          <w:rFonts w:ascii="FangSong" w:hAnsi="FangSong" w:eastAsia="FangSong" w:cs="FangSong"/>
          <w:sz w:val="29"/>
          <w:szCs w:val="29"/>
          <w:spacing w:val="27"/>
        </w:rPr>
        <w:t>人员有下列情形之一的，由县级以上地方疾病预防控制主管部门责令改正，给予警告，并处一万元以</w:t>
      </w:r>
      <w:r>
        <w:rPr>
          <w:rFonts w:ascii="FangSong" w:hAnsi="FangSong" w:eastAsia="FangSong" w:cs="FangSong"/>
          <w:sz w:val="29"/>
          <w:szCs w:val="29"/>
          <w:spacing w:val="15"/>
        </w:rPr>
        <w:t xml:space="preserve"> </w:t>
      </w:r>
      <w:r>
        <w:rPr>
          <w:rFonts w:ascii="FangSong" w:hAnsi="FangSong" w:eastAsia="FangSong" w:cs="FangSong"/>
          <w:sz w:val="29"/>
          <w:szCs w:val="29"/>
          <w:spacing w:val="8"/>
        </w:rPr>
        <w:t>下罚款：</w:t>
      </w:r>
    </w:p>
    <w:p>
      <w:pPr>
        <w:ind w:left="810"/>
        <w:spacing w:before="2" w:line="219" w:lineRule="auto"/>
        <w:rPr>
          <w:rFonts w:ascii="FangSong" w:hAnsi="FangSong" w:eastAsia="FangSong" w:cs="FangSong"/>
          <w:sz w:val="29"/>
          <w:szCs w:val="29"/>
        </w:rPr>
      </w:pPr>
      <w:r>
        <w:rPr>
          <w:rFonts w:ascii="FangSong" w:hAnsi="FangSong" w:eastAsia="FangSong" w:cs="FangSong"/>
          <w:sz w:val="29"/>
          <w:szCs w:val="29"/>
          <w:spacing w:val="30"/>
        </w:rPr>
        <w:t>(</w:t>
      </w:r>
      <w:r>
        <w:rPr>
          <w:rFonts w:ascii="FangSong" w:hAnsi="FangSong" w:eastAsia="FangSong" w:cs="FangSong"/>
          <w:sz w:val="29"/>
          <w:szCs w:val="29"/>
          <w:spacing w:val="-82"/>
        </w:rPr>
        <w:t xml:space="preserve"> </w:t>
      </w:r>
      <w:r>
        <w:rPr>
          <w:rFonts w:ascii="FangSong" w:hAnsi="FangSong" w:eastAsia="FangSong" w:cs="FangSong"/>
          <w:sz w:val="29"/>
          <w:szCs w:val="29"/>
          <w:spacing w:val="30"/>
        </w:rPr>
        <w:t>一)在职业卫生技术报告或者有关原始记录上代替他人签字的；</w:t>
      </w:r>
    </w:p>
    <w:p>
      <w:pPr>
        <w:pStyle w:val="BodyText"/>
        <w:spacing w:line="358" w:lineRule="auto"/>
        <w:rPr/>
      </w:pPr>
      <w:r/>
    </w:p>
    <w:p>
      <w:pPr>
        <w:pStyle w:val="BodyText"/>
        <w:spacing w:line="358" w:lineRule="auto"/>
        <w:rPr/>
      </w:pPr>
      <w:r/>
    </w:p>
    <w:p>
      <w:pPr>
        <w:ind w:left="6424"/>
        <w:spacing w:before="95" w:line="207" w:lineRule="auto"/>
        <w:rPr>
          <w:rFonts w:ascii="SimHei" w:hAnsi="SimHei" w:eastAsia="SimHei" w:cs="SimHei"/>
          <w:sz w:val="29"/>
          <w:szCs w:val="29"/>
        </w:rPr>
      </w:pPr>
      <w:r>
        <w:rPr>
          <w:rFonts w:ascii="SimHei" w:hAnsi="SimHei" w:eastAsia="SimHei" w:cs="SimHei"/>
          <w:sz w:val="29"/>
          <w:szCs w:val="29"/>
          <w:b/>
          <w:bCs/>
          <w:spacing w:val="-6"/>
        </w:rPr>
        <w:t>裁量标准</w:t>
      </w:r>
    </w:p>
    <w:tbl>
      <w:tblPr>
        <w:tblStyle w:val="TableNormal"/>
        <w:tblW w:w="1388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54"/>
        <w:gridCol w:w="8477"/>
        <w:gridCol w:w="3953"/>
      </w:tblGrid>
      <w:tr>
        <w:trPr>
          <w:trHeight w:val="599" w:hRule="atLeast"/>
        </w:trPr>
        <w:tc>
          <w:tcPr>
            <w:tcW w:w="1454" w:type="dxa"/>
            <w:vAlign w:val="top"/>
            <w:tcBorders>
              <w:right w:val="single" w:color="000000" w:sz="4" w:space="0"/>
            </w:tcBorders>
          </w:tcPr>
          <w:p>
            <w:pPr>
              <w:ind w:left="178"/>
              <w:spacing w:before="180" w:line="222" w:lineRule="auto"/>
              <w:rPr>
                <w:rFonts w:ascii="SimHei" w:hAnsi="SimHei" w:eastAsia="SimHei" w:cs="SimHei"/>
                <w:sz w:val="29"/>
                <w:szCs w:val="29"/>
              </w:rPr>
            </w:pPr>
            <w:r>
              <w:rPr>
                <w:rFonts w:ascii="SimHei" w:hAnsi="SimHei" w:eastAsia="SimHei" w:cs="SimHei"/>
                <w:sz w:val="29"/>
                <w:szCs w:val="29"/>
                <w:b/>
                <w:bCs/>
                <w:spacing w:val="-10"/>
              </w:rPr>
              <w:t>违法程度</w:t>
            </w:r>
          </w:p>
        </w:tc>
        <w:tc>
          <w:tcPr>
            <w:tcW w:w="8477" w:type="dxa"/>
            <w:vAlign w:val="top"/>
            <w:tcBorders>
              <w:left w:val="single" w:color="000000" w:sz="4" w:space="0"/>
            </w:tcBorders>
          </w:tcPr>
          <w:p>
            <w:pPr>
              <w:ind w:left="3682"/>
              <w:spacing w:before="183" w:line="223" w:lineRule="auto"/>
              <w:rPr>
                <w:rFonts w:ascii="SimHei" w:hAnsi="SimHei" w:eastAsia="SimHei" w:cs="SimHei"/>
                <w:sz w:val="29"/>
                <w:szCs w:val="29"/>
              </w:rPr>
            </w:pPr>
            <w:r>
              <w:rPr>
                <w:rFonts w:ascii="SimHei" w:hAnsi="SimHei" w:eastAsia="SimHei" w:cs="SimHei"/>
                <w:sz w:val="29"/>
                <w:szCs w:val="29"/>
                <w:b/>
                <w:bCs/>
                <w:spacing w:val="-10"/>
              </w:rPr>
              <w:t>情节后果</w:t>
            </w:r>
          </w:p>
        </w:tc>
        <w:tc>
          <w:tcPr>
            <w:tcW w:w="3953" w:type="dxa"/>
            <w:vAlign w:val="top"/>
          </w:tcPr>
          <w:p>
            <w:pPr>
              <w:ind w:left="1388"/>
              <w:spacing w:before="180" w:line="221" w:lineRule="auto"/>
              <w:rPr>
                <w:rFonts w:ascii="SimHei" w:hAnsi="SimHei" w:eastAsia="SimHei" w:cs="SimHei"/>
                <w:sz w:val="29"/>
                <w:szCs w:val="29"/>
              </w:rPr>
            </w:pPr>
            <w:r>
              <w:rPr>
                <w:rFonts w:ascii="SimHei" w:hAnsi="SimHei" w:eastAsia="SimHei" w:cs="SimHei"/>
                <w:sz w:val="29"/>
                <w:szCs w:val="29"/>
                <w:b/>
                <w:bCs/>
                <w:spacing w:val="-6"/>
              </w:rPr>
              <w:t>裁量幅度</w:t>
            </w:r>
          </w:p>
        </w:tc>
      </w:tr>
    </w:tbl>
    <w:p>
      <w:pPr>
        <w:pStyle w:val="BodyText"/>
        <w:rPr/>
      </w:pPr>
      <w:r/>
    </w:p>
    <w:p>
      <w:pPr>
        <w:sectPr>
          <w:footerReference w:type="default" r:id="rId560"/>
          <w:pgSz w:w="16830" w:h="11900"/>
          <w:pgMar w:top="1011" w:right="1425" w:bottom="1107" w:left="1410" w:header="0" w:footer="774" w:gutter="0"/>
        </w:sectPr>
        <w:rPr/>
      </w:pPr>
    </w:p>
    <w:p>
      <w:pPr>
        <w:spacing w:before="20"/>
        <w:rPr/>
      </w:pPr>
      <w:r/>
    </w:p>
    <w:p>
      <w:pPr>
        <w:spacing w:before="20"/>
        <w:rPr/>
      </w:pPr>
      <w:r/>
    </w:p>
    <w:p>
      <w:pPr>
        <w:spacing w:before="19"/>
        <w:rPr/>
      </w:pPr>
      <w:r/>
    </w:p>
    <w:tbl>
      <w:tblPr>
        <w:tblStyle w:val="TableNormal"/>
        <w:tblW w:w="138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8474"/>
        <w:gridCol w:w="3942"/>
      </w:tblGrid>
      <w:tr>
        <w:trPr>
          <w:trHeight w:val="1681" w:hRule="atLeast"/>
        </w:trPr>
        <w:tc>
          <w:tcPr>
            <w:tcW w:w="1434" w:type="dxa"/>
            <w:vAlign w:val="top"/>
          </w:tcPr>
          <w:p>
            <w:pPr>
              <w:spacing w:line="320" w:lineRule="auto"/>
              <w:rPr>
                <w:rFonts w:ascii="Arial"/>
                <w:sz w:val="21"/>
              </w:rPr>
            </w:pPr>
            <w:r/>
          </w:p>
          <w:p>
            <w:pPr>
              <w:spacing w:line="320" w:lineRule="auto"/>
              <w:rPr>
                <w:rFonts w:ascii="Arial"/>
                <w:sz w:val="21"/>
              </w:rPr>
            </w:pPr>
            <w:r/>
          </w:p>
          <w:p>
            <w:pPr>
              <w:pStyle w:val="TableText"/>
              <w:ind w:left="468"/>
              <w:spacing w:before="78" w:line="221" w:lineRule="auto"/>
              <w:rPr/>
            </w:pPr>
            <w:bookmarkStart w:name="bookmark1193" w:id="570"/>
            <w:bookmarkEnd w:id="570"/>
            <w:r>
              <w:rPr>
                <w:b/>
                <w:bCs/>
                <w:spacing w:val="-10"/>
              </w:rPr>
              <w:t>一般</w:t>
            </w:r>
          </w:p>
        </w:tc>
        <w:tc>
          <w:tcPr>
            <w:tcW w:w="8474" w:type="dxa"/>
            <w:vAlign w:val="top"/>
          </w:tcPr>
          <w:p>
            <w:pPr>
              <w:pStyle w:val="TableText"/>
              <w:ind w:left="91"/>
              <w:spacing w:before="45" w:line="220" w:lineRule="auto"/>
              <w:rPr/>
            </w:pPr>
            <w:r>
              <w:rPr>
                <w:spacing w:val="2"/>
              </w:rPr>
              <w:t>有下列情形之一的：</w:t>
            </w:r>
          </w:p>
          <w:p>
            <w:pPr>
              <w:pStyle w:val="TableText"/>
              <w:ind w:left="91" w:right="214"/>
              <w:spacing w:before="70" w:line="243" w:lineRule="auto"/>
              <w:rPr/>
            </w:pPr>
            <w:r>
              <w:rPr/>
              <w:t>A、在职业卫生技术报告或者有关原始记录上代替他人签字，代替签字不</w:t>
            </w:r>
            <w:r>
              <w:rPr>
                <w:spacing w:val="-1"/>
              </w:rPr>
              <w:t>足3处</w:t>
            </w:r>
            <w:r>
              <w:rPr/>
              <w:t xml:space="preserve"> </w:t>
            </w:r>
            <w:r>
              <w:rPr>
                <w:spacing w:val="6"/>
              </w:rPr>
              <w:t>以下的</w:t>
            </w:r>
          </w:p>
          <w:p>
            <w:pPr>
              <w:pStyle w:val="TableText"/>
              <w:ind w:left="91" w:right="206" w:firstLine="10"/>
              <w:spacing w:before="60" w:line="222" w:lineRule="auto"/>
              <w:rPr/>
            </w:pPr>
            <w:r>
              <w:rPr/>
              <w:t>B、在职业卫生技术报告或者有关原始记录上代替他人签字，违法所</w:t>
            </w:r>
            <w:r>
              <w:rPr>
                <w:spacing w:val="-1"/>
              </w:rPr>
              <w:t>得不足1万</w:t>
            </w:r>
            <w:r>
              <w:rPr/>
              <w:t xml:space="preserve"> </w:t>
            </w:r>
            <w:r>
              <w:rPr>
                <w:spacing w:val="9"/>
              </w:rPr>
              <w:t>元的</w:t>
            </w:r>
          </w:p>
        </w:tc>
        <w:tc>
          <w:tcPr>
            <w:tcW w:w="3942" w:type="dxa"/>
            <w:vAlign w:val="top"/>
          </w:tcPr>
          <w:p>
            <w:pPr>
              <w:spacing w:line="322" w:lineRule="auto"/>
              <w:rPr>
                <w:rFonts w:ascii="Arial"/>
                <w:sz w:val="21"/>
              </w:rPr>
            </w:pPr>
            <w:r/>
          </w:p>
          <w:p>
            <w:pPr>
              <w:pStyle w:val="TableText"/>
              <w:ind w:left="166" w:right="146"/>
              <w:spacing w:before="78" w:line="263" w:lineRule="auto"/>
              <w:rPr/>
            </w:pPr>
            <w:r>
              <w:rPr>
                <w:spacing w:val="-1"/>
              </w:rPr>
              <w:t>给予警告，责令限期改正，对职业</w:t>
            </w:r>
            <w:r>
              <w:rPr>
                <w:spacing w:val="3"/>
              </w:rPr>
              <w:t xml:space="preserve"> </w:t>
            </w:r>
            <w:r>
              <w:rPr>
                <w:spacing w:val="1"/>
              </w:rPr>
              <w:t>卫生技术服务机构处三千元以下的</w:t>
            </w:r>
          </w:p>
          <w:p>
            <w:pPr>
              <w:pStyle w:val="TableText"/>
              <w:ind w:left="127"/>
              <w:spacing w:before="1" w:line="220" w:lineRule="auto"/>
              <w:rPr/>
            </w:pPr>
            <w:r>
              <w:rPr>
                <w:color w:val="505050"/>
                <w:spacing w:val="5"/>
              </w:rPr>
              <w:t>罚款</w:t>
            </w:r>
          </w:p>
        </w:tc>
      </w:tr>
      <w:tr>
        <w:trPr>
          <w:trHeight w:val="1706" w:hRule="atLeast"/>
        </w:trPr>
        <w:tc>
          <w:tcPr>
            <w:tcW w:w="1434" w:type="dxa"/>
            <w:vAlign w:val="top"/>
          </w:tcPr>
          <w:p>
            <w:pPr>
              <w:spacing w:line="330" w:lineRule="auto"/>
              <w:rPr>
                <w:rFonts w:ascii="Arial"/>
                <w:sz w:val="21"/>
              </w:rPr>
            </w:pPr>
            <w:r/>
          </w:p>
          <w:p>
            <w:pPr>
              <w:spacing w:line="331" w:lineRule="auto"/>
              <w:rPr>
                <w:rFonts w:ascii="Arial"/>
                <w:sz w:val="21"/>
              </w:rPr>
            </w:pPr>
            <w:r/>
          </w:p>
          <w:p>
            <w:pPr>
              <w:pStyle w:val="TableText"/>
              <w:ind w:left="468"/>
              <w:spacing w:before="78" w:line="221" w:lineRule="auto"/>
              <w:rPr/>
            </w:pPr>
            <w:r>
              <w:rPr>
                <w:b/>
                <w:bCs/>
                <w:spacing w:val="-5"/>
              </w:rPr>
              <w:t>较重</w:t>
            </w:r>
          </w:p>
        </w:tc>
        <w:tc>
          <w:tcPr>
            <w:tcW w:w="8474" w:type="dxa"/>
            <w:vAlign w:val="top"/>
          </w:tcPr>
          <w:p>
            <w:pPr>
              <w:pStyle w:val="TableText"/>
              <w:ind w:left="91"/>
              <w:spacing w:before="84" w:line="220" w:lineRule="auto"/>
              <w:rPr/>
            </w:pPr>
            <w:r>
              <w:rPr>
                <w:spacing w:val="2"/>
              </w:rPr>
              <w:t>有下列情形之一的：</w:t>
            </w:r>
          </w:p>
          <w:p>
            <w:pPr>
              <w:pStyle w:val="TableText"/>
              <w:ind w:left="91" w:right="204" w:firstLine="10"/>
              <w:spacing w:before="50" w:line="239" w:lineRule="auto"/>
              <w:rPr/>
            </w:pPr>
            <w:r>
              <w:rPr/>
              <w:t>A、在职业卫生技术报告或者有关原始记录上代替他人签字，代替签字4</w:t>
            </w:r>
            <w:r>
              <w:rPr>
                <w:spacing w:val="-1"/>
              </w:rPr>
              <w:t>处以上</w:t>
            </w:r>
            <w:r>
              <w:rPr/>
              <w:t xml:space="preserve"> </w:t>
            </w:r>
            <w:r>
              <w:rPr>
                <w:spacing w:val="3"/>
              </w:rPr>
              <w:t>5处以下的</w:t>
            </w:r>
          </w:p>
          <w:p>
            <w:pPr>
              <w:pStyle w:val="TableText"/>
              <w:ind w:left="91" w:right="181" w:firstLine="10"/>
              <w:spacing w:before="58" w:line="229" w:lineRule="auto"/>
              <w:rPr/>
            </w:pPr>
            <w:r>
              <w:rPr>
                <w:spacing w:val="1"/>
              </w:rPr>
              <w:t>B、在职业卫生技术报告或者有关原始记录上</w:t>
            </w:r>
            <w:r>
              <w:rPr/>
              <w:t>代替他人签字，违法所得1万元以 </w:t>
            </w:r>
            <w:r>
              <w:rPr>
                <w:spacing w:val="2"/>
              </w:rPr>
              <w:t>上3万元以下的</w:t>
            </w:r>
          </w:p>
        </w:tc>
        <w:tc>
          <w:tcPr>
            <w:tcW w:w="3942" w:type="dxa"/>
            <w:vAlign w:val="top"/>
          </w:tcPr>
          <w:p>
            <w:pPr>
              <w:spacing w:line="340" w:lineRule="auto"/>
              <w:rPr>
                <w:rFonts w:ascii="Arial"/>
                <w:sz w:val="21"/>
              </w:rPr>
            </w:pPr>
            <w:r/>
          </w:p>
          <w:p>
            <w:pPr>
              <w:pStyle w:val="TableText"/>
              <w:ind w:left="286" w:right="153" w:hanging="120"/>
              <w:spacing w:before="78" w:line="249" w:lineRule="auto"/>
              <w:rPr/>
            </w:pPr>
            <w:r>
              <w:rPr/>
              <w:t>予警告，责令限期改正，对职业卫</w:t>
            </w:r>
            <w:r>
              <w:rPr>
                <w:spacing w:val="10"/>
              </w:rPr>
              <w:t xml:space="preserve"> </w:t>
            </w:r>
            <w:r>
              <w:rPr/>
              <w:t>生技术服务机构处三千元以上六</w:t>
            </w:r>
          </w:p>
          <w:p>
            <w:pPr>
              <w:pStyle w:val="TableText"/>
              <w:ind w:left="127"/>
              <w:spacing w:before="36" w:line="220" w:lineRule="auto"/>
              <w:rPr/>
            </w:pPr>
            <w:r>
              <w:rPr>
                <w:spacing w:val="-2"/>
              </w:rPr>
              <w:t>千元以下的罚款</w:t>
            </w:r>
          </w:p>
        </w:tc>
      </w:tr>
      <w:tr>
        <w:trPr>
          <w:trHeight w:val="1352" w:hRule="atLeast"/>
        </w:trPr>
        <w:tc>
          <w:tcPr>
            <w:tcW w:w="1434" w:type="dxa"/>
            <w:vAlign w:val="top"/>
          </w:tcPr>
          <w:p>
            <w:pPr>
              <w:spacing w:line="296" w:lineRule="auto"/>
              <w:rPr>
                <w:rFonts w:ascii="Arial"/>
                <w:sz w:val="21"/>
              </w:rPr>
            </w:pPr>
            <w:r/>
          </w:p>
          <w:p>
            <w:pPr>
              <w:spacing w:line="297" w:lineRule="auto"/>
              <w:rPr>
                <w:rFonts w:ascii="Arial"/>
                <w:sz w:val="21"/>
              </w:rPr>
            </w:pPr>
            <w:r/>
          </w:p>
          <w:p>
            <w:pPr>
              <w:pStyle w:val="TableText"/>
              <w:ind w:left="468"/>
              <w:spacing w:before="78" w:line="220" w:lineRule="auto"/>
              <w:rPr/>
            </w:pPr>
            <w:r>
              <w:rPr>
                <w:b/>
                <w:bCs/>
                <w:spacing w:val="-6"/>
              </w:rPr>
              <w:t>严重</w:t>
            </w:r>
          </w:p>
        </w:tc>
        <w:tc>
          <w:tcPr>
            <w:tcW w:w="8474" w:type="dxa"/>
            <w:vAlign w:val="top"/>
          </w:tcPr>
          <w:p>
            <w:pPr>
              <w:pStyle w:val="TableText"/>
              <w:ind w:left="91"/>
              <w:spacing w:before="68" w:line="220" w:lineRule="auto"/>
              <w:rPr/>
            </w:pPr>
            <w:r>
              <w:rPr>
                <w:spacing w:val="2"/>
              </w:rPr>
              <w:t>有下列情形之一的：</w:t>
            </w:r>
          </w:p>
          <w:p>
            <w:pPr>
              <w:pStyle w:val="TableText"/>
              <w:ind w:left="101"/>
              <w:spacing w:before="51" w:line="218" w:lineRule="auto"/>
              <w:rPr/>
            </w:pPr>
            <w:r>
              <w:rPr/>
              <w:t>A、在职业卫生技术报告或者有关原始记录上代替他人签字，代替签字6</w:t>
            </w:r>
            <w:r>
              <w:rPr>
                <w:spacing w:val="-1"/>
              </w:rPr>
              <w:t>处以上</w:t>
            </w:r>
          </w:p>
          <w:p>
            <w:pPr>
              <w:pStyle w:val="TableText"/>
              <w:ind w:left="101"/>
              <w:spacing w:before="66" w:line="218" w:lineRule="auto"/>
              <w:rPr/>
            </w:pPr>
            <w:r>
              <w:rPr>
                <w:spacing w:val="1"/>
              </w:rPr>
              <w:t>B、在职业卫生技术报告或者有关原始记录上</w:t>
            </w:r>
            <w:r>
              <w:rPr/>
              <w:t>代替他人签字，违法所得3万元以</w:t>
            </w:r>
          </w:p>
          <w:p>
            <w:pPr>
              <w:pStyle w:val="TableText"/>
              <w:ind w:left="91"/>
              <w:spacing w:before="42" w:line="200" w:lineRule="auto"/>
              <w:rPr/>
            </w:pPr>
            <w:r>
              <w:rPr>
                <w:color w:val="706070"/>
                <w:spacing w:val="9"/>
              </w:rPr>
              <w:t>上的</w:t>
            </w:r>
          </w:p>
        </w:tc>
        <w:tc>
          <w:tcPr>
            <w:tcW w:w="3942" w:type="dxa"/>
            <w:vAlign w:val="top"/>
          </w:tcPr>
          <w:p>
            <w:pPr>
              <w:pStyle w:val="TableText"/>
              <w:ind w:left="286" w:right="153" w:hanging="120"/>
              <w:spacing w:before="236" w:line="266" w:lineRule="auto"/>
              <w:rPr/>
            </w:pPr>
            <w:r>
              <w:rPr/>
              <w:t>予警告，责令限期改正，对职业卫</w:t>
            </w:r>
            <w:r>
              <w:rPr>
                <w:spacing w:val="10"/>
              </w:rPr>
              <w:t xml:space="preserve"> </w:t>
            </w:r>
            <w:r>
              <w:rPr>
                <w:spacing w:val="1"/>
              </w:rPr>
              <w:t>生技术服务机构处六千元以上一</w:t>
            </w:r>
          </w:p>
          <w:p>
            <w:pPr>
              <w:pStyle w:val="TableText"/>
              <w:ind w:left="127"/>
              <w:spacing w:line="220" w:lineRule="auto"/>
              <w:rPr/>
            </w:pPr>
            <w:r>
              <w:rPr>
                <w:spacing w:val="1"/>
              </w:rPr>
              <w:t>万元以下的罚款</w:t>
            </w:r>
          </w:p>
        </w:tc>
      </w:tr>
    </w:tbl>
    <w:p>
      <w:pPr>
        <w:pStyle w:val="BodyText"/>
        <w:spacing w:line="443" w:lineRule="auto"/>
        <w:rPr/>
      </w:pPr>
      <w:r/>
    </w:p>
    <w:p>
      <w:pPr>
        <w:ind w:left="679"/>
        <w:spacing w:before="100" w:line="219" w:lineRule="auto"/>
        <w:rPr>
          <w:rFonts w:ascii="FangSong" w:hAnsi="FangSong" w:eastAsia="FangSong" w:cs="FangSong"/>
          <w:sz w:val="31"/>
          <w:szCs w:val="31"/>
        </w:rPr>
      </w:pPr>
      <w:r>
        <w:rPr>
          <w:rFonts w:ascii="FangSong" w:hAnsi="FangSong" w:eastAsia="FangSong" w:cs="FangSong"/>
          <w:sz w:val="31"/>
          <w:szCs w:val="31"/>
          <w:b/>
          <w:bCs/>
          <w:spacing w:val="11"/>
        </w:rPr>
        <w:t>第五百三十六条未参与相应职业卫生技术服务事项而在技术报告或者有关原始记录上签字的</w:t>
      </w:r>
    </w:p>
    <w:p>
      <w:pPr>
        <w:ind w:left="675"/>
        <w:spacing w:before="90"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35" w:firstLine="614"/>
        <w:spacing w:before="105" w:line="281" w:lineRule="auto"/>
        <w:jc w:val="both"/>
        <w:rPr>
          <w:rFonts w:ascii="FangSong" w:hAnsi="FangSong" w:eastAsia="FangSong" w:cs="FangSong"/>
          <w:sz w:val="24"/>
          <w:szCs w:val="24"/>
        </w:rPr>
      </w:pPr>
      <w:r>
        <w:rPr>
          <w:rFonts w:ascii="FangSong" w:hAnsi="FangSong" w:eastAsia="FangSong" w:cs="FangSong"/>
          <w:sz w:val="31"/>
          <w:szCs w:val="31"/>
          <w:spacing w:val="14"/>
        </w:rPr>
        <w:t>《职业卫生技术服务机构管理办法》第四十五条第(二)项</w:t>
      </w:r>
      <w:r>
        <w:rPr>
          <w:rFonts w:ascii="FangSong" w:hAnsi="FangSong" w:eastAsia="FangSong" w:cs="FangSong"/>
          <w:sz w:val="31"/>
          <w:szCs w:val="31"/>
          <w:spacing w:val="14"/>
        </w:rPr>
        <w:t xml:space="preserve">  </w:t>
      </w:r>
      <w:r>
        <w:rPr>
          <w:rFonts w:ascii="FangSong" w:hAnsi="FangSong" w:eastAsia="FangSong" w:cs="FangSong"/>
          <w:sz w:val="31"/>
          <w:szCs w:val="31"/>
          <w:spacing w:val="14"/>
        </w:rPr>
        <w:t>职业卫生技术服务机构专业技术人</w:t>
      </w:r>
      <w:r>
        <w:rPr>
          <w:rFonts w:ascii="FangSong" w:hAnsi="FangSong" w:eastAsia="FangSong" w:cs="FangSong"/>
          <w:sz w:val="31"/>
          <w:szCs w:val="31"/>
          <w:spacing w:val="11"/>
        </w:rPr>
        <w:t xml:space="preserve"> </w:t>
      </w:r>
      <w:r>
        <w:rPr>
          <w:rFonts w:ascii="FangSong" w:hAnsi="FangSong" w:eastAsia="FangSong" w:cs="FangSong"/>
          <w:sz w:val="31"/>
          <w:szCs w:val="31"/>
          <w:spacing w:val="7"/>
        </w:rPr>
        <w:t>员有下列情形之一的，由县级以上地方疾病</w:t>
      </w:r>
      <w:r>
        <w:rPr>
          <w:rFonts w:ascii="FangSong" w:hAnsi="FangSong" w:eastAsia="FangSong" w:cs="FangSong"/>
          <w:sz w:val="31"/>
          <w:szCs w:val="31"/>
          <w:spacing w:val="6"/>
        </w:rPr>
        <w:t>预防控制主管部门责令改正，给予警告，并处一万元以下</w:t>
      </w:r>
      <w:r>
        <w:rPr>
          <w:rFonts w:ascii="FangSong" w:hAnsi="FangSong" w:eastAsia="FangSong" w:cs="FangSong"/>
          <w:sz w:val="31"/>
          <w:szCs w:val="31"/>
        </w:rPr>
        <w:t xml:space="preserve"> </w:t>
      </w:r>
      <w:r>
        <w:rPr>
          <w:rFonts w:ascii="FangSong" w:hAnsi="FangSong" w:eastAsia="FangSong" w:cs="FangSong"/>
          <w:sz w:val="24"/>
          <w:szCs w:val="24"/>
          <w:spacing w:val="-13"/>
        </w:rPr>
        <w:t>罚</w:t>
      </w:r>
      <w:r>
        <w:rPr>
          <w:rFonts w:ascii="FangSong" w:hAnsi="FangSong" w:eastAsia="FangSong" w:cs="FangSong"/>
          <w:sz w:val="24"/>
          <w:szCs w:val="24"/>
          <w:spacing w:val="-17"/>
        </w:rPr>
        <w:t xml:space="preserve"> </w:t>
      </w:r>
      <w:r>
        <w:rPr>
          <w:rFonts w:ascii="FangSong" w:hAnsi="FangSong" w:eastAsia="FangSong" w:cs="FangSong"/>
          <w:sz w:val="24"/>
          <w:szCs w:val="24"/>
          <w:spacing w:val="-13"/>
        </w:rPr>
        <w:t>款</w:t>
      </w:r>
      <w:r>
        <w:rPr>
          <w:rFonts w:ascii="FangSong" w:hAnsi="FangSong" w:eastAsia="FangSong" w:cs="FangSong"/>
          <w:sz w:val="24"/>
          <w:szCs w:val="24"/>
          <w:spacing w:val="-32"/>
        </w:rPr>
        <w:t xml:space="preserve"> </w:t>
      </w:r>
      <w:r>
        <w:rPr>
          <w:rFonts w:ascii="FangSong" w:hAnsi="FangSong" w:eastAsia="FangSong" w:cs="FangSong"/>
          <w:sz w:val="24"/>
          <w:szCs w:val="24"/>
          <w:spacing w:val="-13"/>
        </w:rPr>
        <w:t>：</w:t>
      </w:r>
    </w:p>
    <w:p>
      <w:pPr>
        <w:ind w:left="805"/>
        <w:spacing w:before="27" w:line="219" w:lineRule="auto"/>
        <w:rPr>
          <w:rFonts w:ascii="FangSong" w:hAnsi="FangSong" w:eastAsia="FangSong" w:cs="FangSong"/>
          <w:sz w:val="31"/>
          <w:szCs w:val="31"/>
        </w:rPr>
      </w:pPr>
      <w:r>
        <w:rPr>
          <w:rFonts w:ascii="FangSong" w:hAnsi="FangSong" w:eastAsia="FangSong" w:cs="FangSong"/>
          <w:sz w:val="31"/>
          <w:szCs w:val="31"/>
          <w:spacing w:val="12"/>
        </w:rPr>
        <w:t>(二)未参与相应职业卫生技术服务事项而在技术报告或者有关原始记录上签字的；</w:t>
      </w:r>
    </w:p>
    <w:p>
      <w:pPr>
        <w:spacing w:line="219" w:lineRule="auto"/>
        <w:sectPr>
          <w:footerReference w:type="default" r:id="rId561"/>
          <w:pgSz w:w="16830" w:h="11900"/>
          <w:pgMar w:top="1011" w:right="1440" w:bottom="1097" w:left="1414" w:header="0" w:footer="764" w:gutter="0"/>
        </w:sectPr>
        <w:rPr>
          <w:rFonts w:ascii="FangSong" w:hAnsi="FangSong" w:eastAsia="FangSong" w:cs="FangSong"/>
          <w:sz w:val="31"/>
          <w:szCs w:val="31"/>
        </w:rPr>
      </w:pPr>
    </w:p>
    <w:p>
      <w:pPr>
        <w:pStyle w:val="BodyText"/>
        <w:spacing w:line="259" w:lineRule="auto"/>
        <w:rPr/>
      </w:pPr>
      <w:r/>
    </w:p>
    <w:p>
      <w:pPr>
        <w:pStyle w:val="BodyText"/>
        <w:spacing w:line="259" w:lineRule="auto"/>
        <w:rPr/>
      </w:pPr>
      <w:r/>
    </w:p>
    <w:p>
      <w:pPr>
        <w:pStyle w:val="BodyText"/>
        <w:spacing w:line="260" w:lineRule="auto"/>
        <w:rPr/>
      </w:pPr>
      <w:r/>
    </w:p>
    <w:p>
      <w:pPr>
        <w:ind w:left="6419"/>
        <w:spacing w:before="94" w:line="214" w:lineRule="auto"/>
        <w:rPr>
          <w:rFonts w:ascii="SimSun" w:hAnsi="SimSun" w:eastAsia="SimSun" w:cs="SimSun"/>
          <w:sz w:val="29"/>
          <w:szCs w:val="29"/>
        </w:rPr>
      </w:pPr>
      <w:bookmarkStart w:name="bookmark1194" w:id="571"/>
      <w:bookmarkEnd w:id="571"/>
      <w:r>
        <w:rPr>
          <w:rFonts w:ascii="SimSun" w:hAnsi="SimSun" w:eastAsia="SimSun" w:cs="SimSun"/>
          <w:sz w:val="29"/>
          <w:szCs w:val="29"/>
          <w:b/>
          <w:bCs/>
          <w:spacing w:val="-6"/>
        </w:rPr>
        <w:t>裁量标准</w:t>
      </w:r>
    </w:p>
    <w:tbl>
      <w:tblPr>
        <w:tblStyle w:val="TableNormal"/>
        <w:tblW w:w="138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224"/>
        <w:gridCol w:w="5241"/>
      </w:tblGrid>
      <w:tr>
        <w:trPr>
          <w:trHeight w:val="584" w:hRule="atLeast"/>
        </w:trPr>
        <w:tc>
          <w:tcPr>
            <w:tcW w:w="1424" w:type="dxa"/>
            <w:vAlign w:val="top"/>
          </w:tcPr>
          <w:p>
            <w:pPr>
              <w:pStyle w:val="TableText"/>
              <w:ind w:left="128"/>
              <w:spacing w:before="17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224" w:type="dxa"/>
            <w:vAlign w:val="top"/>
          </w:tcPr>
          <w:p>
            <w:pPr>
              <w:pStyle w:val="TableText"/>
              <w:ind w:left="3044"/>
              <w:spacing w:before="172" w:line="220" w:lineRule="auto"/>
              <w:rPr/>
            </w:pPr>
            <w:r>
              <w:rPr>
                <w:b/>
                <w:bCs/>
                <w:spacing w:val="-5"/>
              </w:rPr>
              <w:t>情节后果</w:t>
            </w:r>
          </w:p>
        </w:tc>
        <w:tc>
          <w:tcPr>
            <w:tcW w:w="5241" w:type="dxa"/>
            <w:vAlign w:val="top"/>
          </w:tcPr>
          <w:p>
            <w:pPr>
              <w:pStyle w:val="TableText"/>
              <w:ind w:left="2040"/>
              <w:spacing w:before="16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687" w:hRule="atLeast"/>
        </w:trPr>
        <w:tc>
          <w:tcPr>
            <w:tcW w:w="1424" w:type="dxa"/>
            <w:vAlign w:val="top"/>
          </w:tcPr>
          <w:p>
            <w:pPr>
              <w:spacing w:line="323" w:lineRule="auto"/>
              <w:rPr>
                <w:rFonts w:ascii="Arial"/>
                <w:sz w:val="21"/>
              </w:rPr>
            </w:pPr>
            <w:r/>
          </w:p>
          <w:p>
            <w:pPr>
              <w:spacing w:line="323" w:lineRule="auto"/>
              <w:rPr>
                <w:rFonts w:ascii="Arial"/>
                <w:sz w:val="21"/>
              </w:rPr>
            </w:pPr>
            <w:r/>
          </w:p>
          <w:p>
            <w:pPr>
              <w:pStyle w:val="TableText"/>
              <w:ind w:left="468"/>
              <w:spacing w:before="78" w:line="221" w:lineRule="auto"/>
              <w:rPr/>
            </w:pPr>
            <w:r>
              <w:rPr>
                <w:b/>
                <w:bCs/>
                <w:spacing w:val="-10"/>
              </w:rPr>
              <w:t>一般</w:t>
            </w:r>
          </w:p>
        </w:tc>
        <w:tc>
          <w:tcPr>
            <w:tcW w:w="7224" w:type="dxa"/>
            <w:vAlign w:val="top"/>
          </w:tcPr>
          <w:p>
            <w:pPr>
              <w:pStyle w:val="TableText"/>
              <w:ind w:left="130"/>
              <w:spacing w:before="61" w:line="220" w:lineRule="auto"/>
              <w:rPr/>
            </w:pPr>
            <w:r>
              <w:rPr>
                <w:spacing w:val="2"/>
              </w:rPr>
              <w:t>有下列情形之一的：</w:t>
            </w:r>
          </w:p>
          <w:p>
            <w:pPr>
              <w:pStyle w:val="TableText"/>
              <w:ind w:left="130" w:right="14" w:hanging="9"/>
              <w:spacing w:before="51" w:line="241" w:lineRule="auto"/>
              <w:rPr/>
            </w:pPr>
            <w:r>
              <w:rPr/>
              <w:t>A、未参与相应职业卫生技术服务事项而在技术报告或者有关</w:t>
            </w:r>
            <w:r>
              <w:rPr>
                <w:spacing w:val="-1"/>
              </w:rPr>
              <w:t>原始记</w:t>
            </w:r>
            <w:r>
              <w:rPr/>
              <w:t xml:space="preserve"> </w:t>
            </w:r>
            <w:r>
              <w:rPr>
                <w:spacing w:val="1"/>
              </w:rPr>
              <w:t>录上签字，签字不足3处的</w:t>
            </w:r>
          </w:p>
          <w:p>
            <w:pPr>
              <w:pStyle w:val="TableText"/>
              <w:ind w:left="130" w:right="26" w:hanging="20"/>
              <w:spacing w:before="42" w:line="234" w:lineRule="auto"/>
              <w:rPr/>
            </w:pPr>
            <w:r>
              <w:rPr/>
              <w:t>B、未参与相应职业卫生技术服务事项而在技术报告或者</w:t>
            </w:r>
            <w:r>
              <w:rPr>
                <w:spacing w:val="-1"/>
              </w:rPr>
              <w:t>有关原始记</w:t>
            </w:r>
            <w:r>
              <w:rPr/>
              <w:t xml:space="preserve"> </w:t>
            </w:r>
            <w:r>
              <w:rPr>
                <w:spacing w:val="1"/>
              </w:rPr>
              <w:t>录上签字，违法所得不足1万元的</w:t>
            </w:r>
          </w:p>
        </w:tc>
        <w:tc>
          <w:tcPr>
            <w:tcW w:w="5241" w:type="dxa"/>
            <w:vAlign w:val="top"/>
          </w:tcPr>
          <w:p>
            <w:pPr>
              <w:spacing w:line="243" w:lineRule="auto"/>
              <w:rPr>
                <w:rFonts w:ascii="Arial"/>
                <w:sz w:val="21"/>
              </w:rPr>
            </w:pPr>
            <w:r/>
          </w:p>
          <w:p>
            <w:pPr>
              <w:spacing w:line="244" w:lineRule="auto"/>
              <w:rPr>
                <w:rFonts w:ascii="Arial"/>
                <w:sz w:val="21"/>
              </w:rPr>
            </w:pPr>
            <w:r/>
          </w:p>
          <w:p>
            <w:pPr>
              <w:pStyle w:val="TableText"/>
              <w:ind w:left="106" w:right="82" w:hanging="9"/>
              <w:spacing w:before="78" w:line="264" w:lineRule="auto"/>
              <w:rPr/>
            </w:pPr>
            <w:r>
              <w:rPr/>
              <w:t>给予警告，责令限期改正，对职业卫生技术服务</w:t>
            </w:r>
            <w:r>
              <w:rPr>
                <w:spacing w:val="10"/>
              </w:rPr>
              <w:t xml:space="preserve"> </w:t>
            </w:r>
            <w:r>
              <w:rPr>
                <w:spacing w:val="-1"/>
              </w:rPr>
              <w:t>机构处三千元以下的罚款</w:t>
            </w:r>
          </w:p>
        </w:tc>
      </w:tr>
      <w:tr>
        <w:trPr>
          <w:trHeight w:val="1687" w:hRule="atLeast"/>
        </w:trPr>
        <w:tc>
          <w:tcPr>
            <w:tcW w:w="1424" w:type="dxa"/>
            <w:vAlign w:val="top"/>
          </w:tcPr>
          <w:p>
            <w:pPr>
              <w:spacing w:line="325" w:lineRule="auto"/>
              <w:rPr>
                <w:rFonts w:ascii="Arial"/>
                <w:sz w:val="21"/>
              </w:rPr>
            </w:pPr>
            <w:r/>
          </w:p>
          <w:p>
            <w:pPr>
              <w:spacing w:line="326" w:lineRule="auto"/>
              <w:rPr>
                <w:rFonts w:ascii="Arial"/>
                <w:sz w:val="21"/>
              </w:rPr>
            </w:pPr>
            <w:r/>
          </w:p>
          <w:p>
            <w:pPr>
              <w:pStyle w:val="TableText"/>
              <w:ind w:left="468"/>
              <w:spacing w:before="78" w:line="221" w:lineRule="auto"/>
              <w:rPr/>
            </w:pPr>
            <w:r>
              <w:rPr>
                <w:b/>
                <w:bCs/>
                <w:spacing w:val="-5"/>
              </w:rPr>
              <w:t>较重</w:t>
            </w:r>
          </w:p>
        </w:tc>
        <w:tc>
          <w:tcPr>
            <w:tcW w:w="7224" w:type="dxa"/>
            <w:vAlign w:val="top"/>
          </w:tcPr>
          <w:p>
            <w:pPr>
              <w:pStyle w:val="TableText"/>
              <w:ind w:left="130"/>
              <w:spacing w:before="84" w:line="220" w:lineRule="auto"/>
              <w:rPr/>
            </w:pPr>
            <w:r>
              <w:rPr>
                <w:spacing w:val="2"/>
              </w:rPr>
              <w:t>有下列情形之一的：</w:t>
            </w:r>
          </w:p>
          <w:p>
            <w:pPr>
              <w:pStyle w:val="TableText"/>
              <w:ind w:left="130" w:right="14" w:hanging="9"/>
              <w:spacing w:before="41" w:line="241" w:lineRule="auto"/>
              <w:rPr/>
            </w:pPr>
            <w:r>
              <w:rPr/>
              <w:t>A、未参与相应职业卫生技术服务事项而在技术报告或者有关</w:t>
            </w:r>
            <w:r>
              <w:rPr>
                <w:spacing w:val="-1"/>
              </w:rPr>
              <w:t>原始记</w:t>
            </w:r>
            <w:r>
              <w:rPr/>
              <w:t xml:space="preserve"> </w:t>
            </w:r>
            <w:r>
              <w:rPr>
                <w:spacing w:val="1"/>
              </w:rPr>
              <w:t>录上签字，签字4处以上5处以下的</w:t>
            </w:r>
          </w:p>
          <w:p>
            <w:pPr>
              <w:pStyle w:val="TableText"/>
              <w:ind w:left="130" w:right="26" w:hanging="20"/>
              <w:spacing w:before="53" w:line="225" w:lineRule="auto"/>
              <w:rPr/>
            </w:pPr>
            <w:r>
              <w:rPr/>
              <w:t>B、未参与相应职业卫生技术服务事项而在技术报告或者</w:t>
            </w:r>
            <w:r>
              <w:rPr>
                <w:spacing w:val="-1"/>
              </w:rPr>
              <w:t>有关原始记</w:t>
            </w:r>
            <w:r>
              <w:rPr/>
              <w:t xml:space="preserve"> </w:t>
            </w:r>
            <w:r>
              <w:rPr/>
              <w:t>录上签字，违法所得1万元以上3万元以下的</w:t>
            </w:r>
          </w:p>
        </w:tc>
        <w:tc>
          <w:tcPr>
            <w:tcW w:w="5241" w:type="dxa"/>
            <w:vAlign w:val="top"/>
          </w:tcPr>
          <w:p>
            <w:pPr>
              <w:spacing w:line="250" w:lineRule="auto"/>
              <w:rPr>
                <w:rFonts w:ascii="Arial"/>
                <w:sz w:val="21"/>
              </w:rPr>
            </w:pPr>
            <w:r/>
          </w:p>
          <w:p>
            <w:pPr>
              <w:spacing w:line="250" w:lineRule="auto"/>
              <w:rPr>
                <w:rFonts w:ascii="Arial"/>
                <w:sz w:val="21"/>
              </w:rPr>
            </w:pPr>
            <w:r/>
          </w:p>
          <w:p>
            <w:pPr>
              <w:pStyle w:val="TableText"/>
              <w:ind w:left="116" w:right="84" w:hanging="19"/>
              <w:spacing w:before="78" w:line="266" w:lineRule="auto"/>
              <w:rPr/>
            </w:pPr>
            <w:r>
              <w:rPr/>
              <w:t>予警告，责令限期改正，对职业卫生技术服务机</w:t>
            </w:r>
            <w:r>
              <w:rPr>
                <w:spacing w:val="8"/>
              </w:rPr>
              <w:t xml:space="preserve"> </w:t>
            </w:r>
            <w:r>
              <w:rPr/>
              <w:t>构处三千元以上六千元以下的罚款</w:t>
            </w:r>
          </w:p>
        </w:tc>
      </w:tr>
      <w:tr>
        <w:trPr>
          <w:trHeight w:val="1712" w:hRule="atLeast"/>
        </w:trPr>
        <w:tc>
          <w:tcPr>
            <w:tcW w:w="1424" w:type="dxa"/>
            <w:vAlign w:val="top"/>
          </w:tcPr>
          <w:p>
            <w:pPr>
              <w:spacing w:line="331" w:lineRule="auto"/>
              <w:rPr>
                <w:rFonts w:ascii="Arial"/>
                <w:sz w:val="21"/>
              </w:rPr>
            </w:pPr>
            <w:r/>
          </w:p>
          <w:p>
            <w:pPr>
              <w:spacing w:line="331" w:lineRule="auto"/>
              <w:rPr>
                <w:rFonts w:ascii="Arial"/>
                <w:sz w:val="21"/>
              </w:rPr>
            </w:pPr>
            <w:r/>
          </w:p>
          <w:p>
            <w:pPr>
              <w:pStyle w:val="TableText"/>
              <w:ind w:left="468"/>
              <w:spacing w:before="78" w:line="220" w:lineRule="auto"/>
              <w:rPr/>
            </w:pPr>
            <w:r>
              <w:rPr>
                <w:b/>
                <w:bCs/>
                <w:spacing w:val="-6"/>
              </w:rPr>
              <w:t>严重</w:t>
            </w:r>
          </w:p>
        </w:tc>
        <w:tc>
          <w:tcPr>
            <w:tcW w:w="7224" w:type="dxa"/>
            <w:vAlign w:val="top"/>
          </w:tcPr>
          <w:p>
            <w:pPr>
              <w:pStyle w:val="TableText"/>
              <w:ind w:left="130"/>
              <w:spacing w:before="87" w:line="220" w:lineRule="auto"/>
              <w:rPr/>
            </w:pPr>
            <w:r>
              <w:rPr>
                <w:spacing w:val="2"/>
              </w:rPr>
              <w:t>有下列情形之一的：</w:t>
            </w:r>
          </w:p>
          <w:p>
            <w:pPr>
              <w:pStyle w:val="TableText"/>
              <w:ind w:left="130" w:right="14" w:hanging="9"/>
              <w:spacing w:before="61" w:line="241" w:lineRule="auto"/>
              <w:rPr/>
            </w:pPr>
            <w:r>
              <w:rPr/>
              <w:t>A、未参与相应职业卫生技术服务事项而在技术报告或者有关</w:t>
            </w:r>
            <w:r>
              <w:rPr>
                <w:spacing w:val="-1"/>
              </w:rPr>
              <w:t>原始记</w:t>
            </w:r>
            <w:r>
              <w:rPr/>
              <w:t xml:space="preserve"> </w:t>
            </w:r>
            <w:r>
              <w:rPr/>
              <w:t>录上签字，签字6处以上</w:t>
            </w:r>
          </w:p>
          <w:p>
            <w:pPr>
              <w:pStyle w:val="TableText"/>
              <w:ind w:left="130" w:right="26" w:hanging="20"/>
              <w:spacing w:before="42" w:line="230" w:lineRule="auto"/>
              <w:rPr/>
            </w:pPr>
            <w:r>
              <w:rPr/>
              <w:t>B、未参与相应职业卫生技术服务事项而在技术报告或者</w:t>
            </w:r>
            <w:r>
              <w:rPr>
                <w:spacing w:val="-1"/>
              </w:rPr>
              <w:t>有关原始记</w:t>
            </w:r>
            <w:r>
              <w:rPr/>
              <w:t xml:space="preserve"> </w:t>
            </w:r>
            <w:r>
              <w:rPr>
                <w:spacing w:val="1"/>
              </w:rPr>
              <w:t>录上签字，违法所得3万元以上的</w:t>
            </w:r>
          </w:p>
        </w:tc>
        <w:tc>
          <w:tcPr>
            <w:tcW w:w="5241" w:type="dxa"/>
            <w:vAlign w:val="top"/>
          </w:tcPr>
          <w:p>
            <w:pPr>
              <w:spacing w:line="262" w:lineRule="auto"/>
              <w:rPr>
                <w:rFonts w:ascii="Arial"/>
                <w:sz w:val="21"/>
              </w:rPr>
            </w:pPr>
            <w:r/>
          </w:p>
          <w:p>
            <w:pPr>
              <w:spacing w:line="262" w:lineRule="auto"/>
              <w:rPr>
                <w:rFonts w:ascii="Arial"/>
                <w:sz w:val="21"/>
              </w:rPr>
            </w:pPr>
            <w:r/>
          </w:p>
          <w:p>
            <w:pPr>
              <w:pStyle w:val="TableText"/>
              <w:ind w:left="116" w:right="84" w:hanging="19"/>
              <w:spacing w:before="78" w:line="258" w:lineRule="auto"/>
              <w:rPr/>
            </w:pPr>
            <w:r>
              <w:rPr/>
              <w:t>予警告，责令限期改正，对职业卫生技术服务机</w:t>
            </w:r>
            <w:r>
              <w:rPr>
                <w:spacing w:val="8"/>
              </w:rPr>
              <w:t xml:space="preserve"> </w:t>
            </w:r>
            <w:r>
              <w:rPr/>
              <w:t>构处六千元以上一万元以下的罚款</w:t>
            </w:r>
          </w:p>
        </w:tc>
      </w:tr>
    </w:tbl>
    <w:p>
      <w:pPr>
        <w:pStyle w:val="BodyText"/>
        <w:spacing w:line="394" w:lineRule="auto"/>
        <w:rPr/>
      </w:pPr>
      <w:r/>
    </w:p>
    <w:p>
      <w:pPr>
        <w:ind w:left="649"/>
        <w:spacing w:before="100" w:line="220" w:lineRule="auto"/>
        <w:rPr>
          <w:rFonts w:ascii="FangSong" w:hAnsi="FangSong" w:eastAsia="FangSong" w:cs="FangSong"/>
          <w:sz w:val="31"/>
          <w:szCs w:val="31"/>
        </w:rPr>
      </w:pPr>
      <w:r>
        <w:rPr>
          <w:rFonts w:ascii="FangSong" w:hAnsi="FangSong" w:eastAsia="FangSong" w:cs="FangSong"/>
          <w:sz w:val="31"/>
          <w:szCs w:val="31"/>
          <w:b/>
          <w:bCs/>
          <w:spacing w:val="13"/>
        </w:rPr>
        <w:t>第五百三十七条职业卫生技术服务机构其他违反本办</w:t>
      </w:r>
      <w:r>
        <w:rPr>
          <w:rFonts w:ascii="FangSong" w:hAnsi="FangSong" w:eastAsia="FangSong" w:cs="FangSong"/>
          <w:sz w:val="31"/>
          <w:szCs w:val="31"/>
          <w:b/>
          <w:bCs/>
          <w:spacing w:val="12"/>
        </w:rPr>
        <w:t>法规定的行为</w:t>
      </w:r>
    </w:p>
    <w:p>
      <w:pPr>
        <w:ind w:left="654"/>
        <w:spacing w:before="137"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spacing w:before="96" w:line="222" w:lineRule="auto"/>
        <w:jc w:val="right"/>
        <w:rPr>
          <w:rFonts w:ascii="FangSong" w:hAnsi="FangSong" w:eastAsia="FangSong" w:cs="FangSong"/>
          <w:sz w:val="31"/>
          <w:szCs w:val="31"/>
        </w:rPr>
      </w:pPr>
      <w:r>
        <w:rPr>
          <w:rFonts w:ascii="FangSong" w:hAnsi="FangSong" w:eastAsia="FangSong" w:cs="FangSong"/>
          <w:sz w:val="31"/>
          <w:szCs w:val="31"/>
          <w:spacing w:val="15"/>
        </w:rPr>
        <w:t>《职业卫生技术服务机构管理办法》第四十五条</w:t>
      </w:r>
      <w:r>
        <w:rPr>
          <w:rFonts w:ascii="FangSong" w:hAnsi="FangSong" w:eastAsia="FangSong" w:cs="FangSong"/>
          <w:sz w:val="31"/>
          <w:szCs w:val="31"/>
          <w:spacing w:val="14"/>
        </w:rPr>
        <w:t>第(三)项</w:t>
      </w:r>
      <w:r>
        <w:rPr>
          <w:rFonts w:ascii="FangSong" w:hAnsi="FangSong" w:eastAsia="FangSong" w:cs="FangSong"/>
          <w:sz w:val="31"/>
          <w:szCs w:val="31"/>
          <w:spacing w:val="14"/>
        </w:rPr>
        <w:t xml:space="preserve">  </w:t>
      </w:r>
      <w:r>
        <w:rPr>
          <w:rFonts w:ascii="FangSong" w:hAnsi="FangSong" w:eastAsia="FangSong" w:cs="FangSong"/>
          <w:sz w:val="31"/>
          <w:szCs w:val="31"/>
          <w:spacing w:val="14"/>
        </w:rPr>
        <w:t>职业卫生技术服务机构专业技术人</w:t>
      </w:r>
    </w:p>
    <w:p>
      <w:pPr>
        <w:spacing w:line="222" w:lineRule="auto"/>
        <w:sectPr>
          <w:footerReference w:type="default" r:id="rId562"/>
          <w:pgSz w:w="16830" w:h="11900"/>
          <w:pgMar w:top="1011" w:right="1430" w:bottom="1107" w:left="1434" w:header="0" w:footer="774" w:gutter="0"/>
        </w:sectPr>
        <w:rPr>
          <w:rFonts w:ascii="FangSong" w:hAnsi="FangSong" w:eastAsia="FangSong" w:cs="FangSong"/>
          <w:sz w:val="31"/>
          <w:szCs w:val="31"/>
        </w:rPr>
      </w:pPr>
    </w:p>
    <w:p>
      <w:pPr>
        <w:pStyle w:val="BodyText"/>
        <w:spacing w:line="261" w:lineRule="auto"/>
        <w:rPr/>
      </w:pPr>
      <w:r/>
    </w:p>
    <w:p>
      <w:pPr>
        <w:pStyle w:val="BodyText"/>
        <w:spacing w:line="262" w:lineRule="auto"/>
        <w:rPr/>
      </w:pPr>
      <w:r/>
    </w:p>
    <w:p>
      <w:pPr>
        <w:pStyle w:val="BodyText"/>
        <w:spacing w:line="262" w:lineRule="auto"/>
        <w:rPr/>
      </w:pPr>
      <w:r/>
    </w:p>
    <w:p>
      <w:pPr>
        <w:ind w:left="25" w:right="72"/>
        <w:spacing w:before="94" w:line="307" w:lineRule="auto"/>
        <w:rPr>
          <w:rFonts w:ascii="FangSong" w:hAnsi="FangSong" w:eastAsia="FangSong" w:cs="FangSong"/>
          <w:sz w:val="24"/>
          <w:szCs w:val="24"/>
        </w:rPr>
      </w:pPr>
      <w:bookmarkStart w:name="bookmark1195" w:id="572"/>
      <w:bookmarkEnd w:id="572"/>
      <w:r>
        <w:rPr>
          <w:rFonts w:ascii="FangSong" w:hAnsi="FangSong" w:eastAsia="FangSong" w:cs="FangSong"/>
          <w:sz w:val="29"/>
          <w:szCs w:val="29"/>
          <w:spacing w:val="26"/>
        </w:rPr>
        <w:t>员有下列情形之一的，由县级以上地方疾病预防控制主管部门责令改正，给予警告，并处一万元以下</w:t>
      </w:r>
      <w:r>
        <w:rPr>
          <w:rFonts w:ascii="FangSong" w:hAnsi="FangSong" w:eastAsia="FangSong" w:cs="FangSong"/>
          <w:sz w:val="29"/>
          <w:szCs w:val="29"/>
          <w:spacing w:val="7"/>
        </w:rPr>
        <w:t xml:space="preserve"> </w:t>
      </w:r>
      <w:r>
        <w:rPr>
          <w:rFonts w:ascii="FangSong" w:hAnsi="FangSong" w:eastAsia="FangSong" w:cs="FangSong"/>
          <w:sz w:val="24"/>
          <w:szCs w:val="24"/>
          <w:spacing w:val="-13"/>
        </w:rPr>
        <w:t>罚</w:t>
      </w:r>
      <w:r>
        <w:rPr>
          <w:rFonts w:ascii="FangSong" w:hAnsi="FangSong" w:eastAsia="FangSong" w:cs="FangSong"/>
          <w:sz w:val="24"/>
          <w:szCs w:val="24"/>
          <w:spacing w:val="-17"/>
        </w:rPr>
        <w:t xml:space="preserve"> </w:t>
      </w:r>
      <w:r>
        <w:rPr>
          <w:rFonts w:ascii="FangSong" w:hAnsi="FangSong" w:eastAsia="FangSong" w:cs="FangSong"/>
          <w:sz w:val="24"/>
          <w:szCs w:val="24"/>
          <w:spacing w:val="-13"/>
        </w:rPr>
        <w:t>款</w:t>
      </w:r>
      <w:r>
        <w:rPr>
          <w:rFonts w:ascii="FangSong" w:hAnsi="FangSong" w:eastAsia="FangSong" w:cs="FangSong"/>
          <w:sz w:val="24"/>
          <w:szCs w:val="24"/>
          <w:spacing w:val="-32"/>
        </w:rPr>
        <w:t xml:space="preserve"> </w:t>
      </w:r>
      <w:r>
        <w:rPr>
          <w:rFonts w:ascii="FangSong" w:hAnsi="FangSong" w:eastAsia="FangSong" w:cs="FangSong"/>
          <w:sz w:val="24"/>
          <w:szCs w:val="24"/>
          <w:spacing w:val="-13"/>
        </w:rPr>
        <w:t>：</w:t>
      </w:r>
    </w:p>
    <w:p>
      <w:pPr>
        <w:ind w:left="804"/>
        <w:spacing w:before="1" w:line="220" w:lineRule="auto"/>
        <w:rPr>
          <w:rFonts w:ascii="FangSong" w:hAnsi="FangSong" w:eastAsia="FangSong" w:cs="FangSong"/>
          <w:sz w:val="29"/>
          <w:szCs w:val="29"/>
        </w:rPr>
      </w:pPr>
      <w:r>
        <w:rPr>
          <w:rFonts w:ascii="FangSong" w:hAnsi="FangSong" w:eastAsia="FangSong" w:cs="FangSong"/>
          <w:sz w:val="29"/>
          <w:szCs w:val="29"/>
          <w:spacing w:val="34"/>
        </w:rPr>
        <w:t>(三)其他违反本办法规定的行为。</w:t>
      </w:r>
    </w:p>
    <w:p>
      <w:pPr>
        <w:ind w:left="6428"/>
        <w:spacing w:before="254"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76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8723"/>
        <w:gridCol w:w="3622"/>
      </w:tblGrid>
      <w:tr>
        <w:trPr>
          <w:trHeight w:val="433" w:hRule="atLeast"/>
        </w:trPr>
        <w:tc>
          <w:tcPr>
            <w:tcW w:w="1424" w:type="dxa"/>
            <w:vAlign w:val="top"/>
          </w:tcPr>
          <w:p>
            <w:pPr>
              <w:pStyle w:val="TableText"/>
              <w:ind w:left="208"/>
              <w:spacing w:before="92" w:line="220" w:lineRule="auto"/>
              <w:rPr>
                <w:sz w:val="25"/>
                <w:szCs w:val="25"/>
              </w:rPr>
            </w:pPr>
            <w:r>
              <w:rPr>
                <w:sz w:val="25"/>
                <w:szCs w:val="25"/>
                <w:b/>
                <w:bCs/>
                <w:spacing w:val="-5"/>
              </w:rPr>
              <w:t>违法程度</w:t>
            </w:r>
          </w:p>
        </w:tc>
        <w:tc>
          <w:tcPr>
            <w:tcW w:w="8723" w:type="dxa"/>
            <w:vAlign w:val="top"/>
          </w:tcPr>
          <w:p>
            <w:pPr>
              <w:pStyle w:val="TableText"/>
              <w:ind w:left="3794"/>
              <w:spacing w:before="92" w:line="220" w:lineRule="auto"/>
              <w:rPr>
                <w:sz w:val="25"/>
                <w:szCs w:val="25"/>
              </w:rPr>
            </w:pPr>
            <w:r>
              <w:rPr>
                <w:sz w:val="25"/>
                <w:szCs w:val="25"/>
                <w:b/>
                <w:bCs/>
                <w:spacing w:val="-5"/>
              </w:rPr>
              <w:t>情节后果</w:t>
            </w:r>
          </w:p>
        </w:tc>
        <w:tc>
          <w:tcPr>
            <w:tcW w:w="3622" w:type="dxa"/>
            <w:vAlign w:val="top"/>
          </w:tcPr>
          <w:p>
            <w:pPr>
              <w:pStyle w:val="TableText"/>
              <w:ind w:left="1311"/>
              <w:spacing w:before="89" w:line="218" w:lineRule="auto"/>
              <w:rPr>
                <w:sz w:val="25"/>
                <w:szCs w:val="25"/>
              </w:rPr>
            </w:pPr>
            <w:r>
              <w:rPr>
                <w:sz w:val="25"/>
                <w:szCs w:val="25"/>
                <w:b/>
                <w:bCs/>
                <w:spacing w:val="-5"/>
              </w:rPr>
              <w:t>裁量幅度</w:t>
            </w:r>
          </w:p>
        </w:tc>
      </w:tr>
      <w:tr>
        <w:trPr>
          <w:trHeight w:val="678" w:hRule="atLeast"/>
        </w:trPr>
        <w:tc>
          <w:tcPr>
            <w:tcW w:w="1424" w:type="dxa"/>
            <w:vAlign w:val="top"/>
          </w:tcPr>
          <w:p>
            <w:pPr>
              <w:pStyle w:val="TableText"/>
              <w:ind w:left="458"/>
              <w:spacing w:before="310" w:line="221" w:lineRule="auto"/>
              <w:rPr>
                <w:sz w:val="25"/>
                <w:szCs w:val="25"/>
              </w:rPr>
            </w:pPr>
            <w:r>
              <w:rPr>
                <w:sz w:val="25"/>
                <w:szCs w:val="25"/>
                <w:b/>
                <w:bCs/>
                <w:spacing w:val="-10"/>
              </w:rPr>
              <w:t>一般</w:t>
            </w:r>
          </w:p>
        </w:tc>
        <w:tc>
          <w:tcPr>
            <w:tcW w:w="8723" w:type="dxa"/>
            <w:vAlign w:val="top"/>
          </w:tcPr>
          <w:p>
            <w:pPr>
              <w:pStyle w:val="TableText"/>
              <w:ind w:left="101"/>
              <w:spacing w:before="72" w:line="220" w:lineRule="auto"/>
              <w:rPr>
                <w:sz w:val="25"/>
                <w:szCs w:val="25"/>
              </w:rPr>
            </w:pPr>
            <w:r>
              <w:rPr>
                <w:sz w:val="25"/>
                <w:szCs w:val="25"/>
                <w:spacing w:val="-4"/>
              </w:rPr>
              <w:t>职业卫生技术服务机构违反《职业卫生技术服务机构管理办法》其他有关规定，</w:t>
            </w:r>
            <w:r>
              <w:rPr>
                <w:sz w:val="25"/>
                <w:szCs w:val="25"/>
              </w:rPr>
              <w:t xml:space="preserve"> </w:t>
            </w:r>
            <w:r>
              <w:rPr>
                <w:sz w:val="25"/>
                <w:szCs w:val="25"/>
                <w:spacing w:val="-3"/>
              </w:rPr>
              <w:t>无违法所得或无法确定违法所得的</w:t>
            </w:r>
          </w:p>
        </w:tc>
        <w:tc>
          <w:tcPr>
            <w:tcW w:w="3622" w:type="dxa"/>
            <w:vAlign w:val="top"/>
          </w:tcPr>
          <w:p>
            <w:pPr>
              <w:pStyle w:val="TableText"/>
              <w:ind w:left="106" w:right="43" w:hanging="49"/>
              <w:spacing w:before="80" w:line="217" w:lineRule="auto"/>
              <w:rPr>
                <w:sz w:val="25"/>
                <w:szCs w:val="25"/>
              </w:rPr>
            </w:pPr>
            <w:r>
              <w:rPr>
                <w:sz w:val="25"/>
                <w:szCs w:val="25"/>
              </w:rPr>
              <w:t>给予警告，责令限期改正，并处</w:t>
            </w:r>
            <w:r>
              <w:rPr>
                <w:sz w:val="25"/>
                <w:szCs w:val="25"/>
                <w:spacing w:val="9"/>
              </w:rPr>
              <w:t xml:space="preserve"> </w:t>
            </w:r>
            <w:r>
              <w:rPr>
                <w:sz w:val="25"/>
                <w:szCs w:val="25"/>
                <w:spacing w:val="1"/>
              </w:rPr>
              <w:t>三千元以下的罚款</w:t>
            </w:r>
          </w:p>
        </w:tc>
      </w:tr>
      <w:tr>
        <w:trPr>
          <w:trHeight w:val="688" w:hRule="atLeast"/>
        </w:trPr>
        <w:tc>
          <w:tcPr>
            <w:tcW w:w="1424" w:type="dxa"/>
            <w:vAlign w:val="top"/>
          </w:tcPr>
          <w:p>
            <w:pPr>
              <w:spacing w:line="251" w:lineRule="auto"/>
              <w:rPr>
                <w:rFonts w:ascii="Arial"/>
                <w:sz w:val="21"/>
              </w:rPr>
            </w:pPr>
            <w:r/>
          </w:p>
          <w:p>
            <w:pPr>
              <w:pStyle w:val="TableText"/>
              <w:ind w:left="458"/>
              <w:spacing w:before="81" w:line="221" w:lineRule="auto"/>
              <w:rPr>
                <w:sz w:val="25"/>
                <w:szCs w:val="25"/>
              </w:rPr>
            </w:pPr>
            <w:r>
              <w:rPr>
                <w:sz w:val="25"/>
                <w:szCs w:val="25"/>
                <w:b/>
                <w:bCs/>
                <w:spacing w:val="-6"/>
              </w:rPr>
              <w:t>较重</w:t>
            </w:r>
          </w:p>
        </w:tc>
        <w:tc>
          <w:tcPr>
            <w:tcW w:w="8723" w:type="dxa"/>
            <w:vAlign w:val="top"/>
          </w:tcPr>
          <w:p>
            <w:pPr>
              <w:pStyle w:val="TableText"/>
              <w:ind w:left="101"/>
              <w:spacing w:before="82" w:line="220" w:lineRule="auto"/>
              <w:rPr>
                <w:sz w:val="25"/>
                <w:szCs w:val="25"/>
              </w:rPr>
            </w:pPr>
            <w:r>
              <w:rPr>
                <w:sz w:val="25"/>
                <w:szCs w:val="25"/>
                <w:spacing w:val="-4"/>
              </w:rPr>
              <w:t>职业卫生技术服务机构违反《职业卫生技术服务机构管理办法》其有关规定，违</w:t>
            </w:r>
            <w:r>
              <w:rPr>
                <w:sz w:val="25"/>
                <w:szCs w:val="25"/>
              </w:rPr>
              <w:t xml:space="preserve"> </w:t>
            </w:r>
            <w:r>
              <w:rPr>
                <w:sz w:val="25"/>
                <w:szCs w:val="25"/>
                <w:spacing w:val="1"/>
              </w:rPr>
              <w:t>法所得三万元以下的</w:t>
            </w:r>
          </w:p>
        </w:tc>
        <w:tc>
          <w:tcPr>
            <w:tcW w:w="3622" w:type="dxa"/>
            <w:vAlign w:val="top"/>
          </w:tcPr>
          <w:p>
            <w:pPr>
              <w:pStyle w:val="TableText"/>
              <w:ind w:left="117" w:right="43" w:hanging="60"/>
              <w:spacing w:before="82" w:line="220" w:lineRule="auto"/>
              <w:rPr>
                <w:sz w:val="25"/>
                <w:szCs w:val="25"/>
              </w:rPr>
            </w:pPr>
            <w:r>
              <w:rPr>
                <w:sz w:val="25"/>
                <w:szCs w:val="25"/>
              </w:rPr>
              <w:t>给予警告，责令限期改正，并处</w:t>
            </w:r>
            <w:r>
              <w:rPr>
                <w:sz w:val="25"/>
                <w:szCs w:val="25"/>
                <w:spacing w:val="9"/>
              </w:rPr>
              <w:t xml:space="preserve"> </w:t>
            </w:r>
            <w:r>
              <w:rPr>
                <w:sz w:val="25"/>
                <w:szCs w:val="25"/>
                <w:spacing w:val="-1"/>
              </w:rPr>
              <w:t>三千元以上 六千元以下的罚款</w:t>
            </w:r>
          </w:p>
        </w:tc>
      </w:tr>
      <w:tr>
        <w:trPr>
          <w:trHeight w:val="1011" w:hRule="atLeast"/>
        </w:trPr>
        <w:tc>
          <w:tcPr>
            <w:tcW w:w="1424" w:type="dxa"/>
            <w:vAlign w:val="top"/>
          </w:tcPr>
          <w:p>
            <w:pPr>
              <w:spacing w:line="409" w:lineRule="auto"/>
              <w:rPr>
                <w:rFonts w:ascii="Arial"/>
                <w:sz w:val="21"/>
              </w:rPr>
            </w:pPr>
            <w:r/>
          </w:p>
          <w:p>
            <w:pPr>
              <w:pStyle w:val="TableText"/>
              <w:ind w:left="458"/>
              <w:spacing w:before="82" w:line="220" w:lineRule="auto"/>
              <w:rPr>
                <w:sz w:val="25"/>
                <w:szCs w:val="25"/>
              </w:rPr>
            </w:pPr>
            <w:r>
              <w:rPr>
                <w:sz w:val="25"/>
                <w:szCs w:val="25"/>
                <w:b/>
                <w:bCs/>
                <w:spacing w:val="-6"/>
              </w:rPr>
              <w:t>严重</w:t>
            </w:r>
          </w:p>
        </w:tc>
        <w:tc>
          <w:tcPr>
            <w:tcW w:w="8723" w:type="dxa"/>
            <w:vAlign w:val="top"/>
          </w:tcPr>
          <w:p>
            <w:pPr>
              <w:pStyle w:val="TableText"/>
              <w:ind w:left="101"/>
              <w:spacing w:before="75" w:line="245" w:lineRule="auto"/>
              <w:rPr>
                <w:sz w:val="25"/>
                <w:szCs w:val="25"/>
              </w:rPr>
            </w:pPr>
            <w:r>
              <w:rPr>
                <w:sz w:val="25"/>
                <w:szCs w:val="25"/>
                <w:spacing w:val="-4"/>
              </w:rPr>
              <w:t>职业卫生技术服务机构违反《职业卫生技术服务机构管理办法》其有关规定，违</w:t>
            </w:r>
            <w:r>
              <w:rPr>
                <w:sz w:val="25"/>
                <w:szCs w:val="25"/>
              </w:rPr>
              <w:t xml:space="preserve"> </w:t>
            </w:r>
            <w:r>
              <w:rPr>
                <w:sz w:val="25"/>
                <w:szCs w:val="25"/>
                <w:spacing w:val="-4"/>
              </w:rPr>
              <w:t>法所得三万元以上的；或对劳动者健康或健康权益造成严重损害，产生恶劣社会</w:t>
            </w:r>
          </w:p>
          <w:p>
            <w:pPr>
              <w:pStyle w:val="TableText"/>
              <w:ind w:left="101"/>
              <w:spacing w:line="193" w:lineRule="auto"/>
              <w:rPr>
                <w:sz w:val="25"/>
                <w:szCs w:val="25"/>
              </w:rPr>
            </w:pPr>
            <w:r>
              <w:rPr>
                <w:sz w:val="25"/>
                <w:szCs w:val="25"/>
                <w:color w:val="404040"/>
                <w:spacing w:val="6"/>
              </w:rPr>
              <w:t>影响的</w:t>
            </w:r>
          </w:p>
        </w:tc>
        <w:tc>
          <w:tcPr>
            <w:tcW w:w="3622" w:type="dxa"/>
            <w:vAlign w:val="top"/>
          </w:tcPr>
          <w:p>
            <w:pPr>
              <w:pStyle w:val="TableText"/>
              <w:ind w:left="176" w:right="43" w:hanging="119"/>
              <w:spacing w:before="244" w:line="248" w:lineRule="auto"/>
              <w:rPr>
                <w:sz w:val="25"/>
                <w:szCs w:val="25"/>
              </w:rPr>
            </w:pPr>
            <w:r>
              <w:rPr>
                <w:sz w:val="25"/>
                <w:szCs w:val="25"/>
              </w:rPr>
              <w:t>给予警告，责令限期改正，并处</w:t>
            </w:r>
            <w:r>
              <w:rPr>
                <w:sz w:val="25"/>
                <w:szCs w:val="25"/>
                <w:spacing w:val="9"/>
              </w:rPr>
              <w:t xml:space="preserve"> </w:t>
            </w:r>
            <w:r>
              <w:rPr>
                <w:sz w:val="25"/>
                <w:szCs w:val="25"/>
              </w:rPr>
              <w:t>六千元以上一万元以下的罚款</w:t>
            </w:r>
          </w:p>
        </w:tc>
      </w:tr>
    </w:tbl>
    <w:p>
      <w:pPr>
        <w:pStyle w:val="BodyText"/>
        <w:spacing w:line="440" w:lineRule="auto"/>
        <w:rPr/>
      </w:pPr>
      <w:r/>
    </w:p>
    <w:p>
      <w:pPr>
        <w:ind w:left="679"/>
        <w:spacing w:before="94" w:line="220" w:lineRule="auto"/>
        <w:rPr>
          <w:rFonts w:ascii="FangSong" w:hAnsi="FangSong" w:eastAsia="FangSong" w:cs="FangSong"/>
          <w:sz w:val="29"/>
          <w:szCs w:val="29"/>
        </w:rPr>
      </w:pPr>
      <w:r>
        <w:rPr>
          <w:rFonts w:ascii="FangSong" w:hAnsi="FangSong" w:eastAsia="FangSong" w:cs="FangSong"/>
          <w:sz w:val="29"/>
          <w:szCs w:val="29"/>
          <w:b/>
          <w:bCs/>
          <w:spacing w:val="31"/>
        </w:rPr>
        <w:t>第五百三十八条已经取得资质认可的职业卫生技术服务机构，不再符合规定的资质条件的</w:t>
      </w:r>
    </w:p>
    <w:p>
      <w:pPr>
        <w:ind w:left="664"/>
        <w:spacing w:before="112" w:line="222" w:lineRule="auto"/>
        <w:rPr>
          <w:rFonts w:ascii="FangSong" w:hAnsi="FangSong" w:eastAsia="FangSong" w:cs="FangSong"/>
          <w:sz w:val="29"/>
          <w:szCs w:val="29"/>
        </w:rPr>
      </w:pPr>
      <w:r>
        <w:rPr>
          <w:rFonts w:ascii="FangSong" w:hAnsi="FangSong" w:eastAsia="FangSong" w:cs="FangSong"/>
          <w:sz w:val="29"/>
          <w:szCs w:val="29"/>
          <w:spacing w:val="9"/>
        </w:rPr>
        <w:t>法律依据：</w:t>
      </w:r>
    </w:p>
    <w:p>
      <w:pPr>
        <w:ind w:left="25" w:firstLine="624"/>
        <w:spacing w:before="102" w:line="281" w:lineRule="auto"/>
        <w:jc w:val="both"/>
        <w:rPr>
          <w:rFonts w:ascii="FangSong" w:hAnsi="FangSong" w:eastAsia="FangSong" w:cs="FangSong"/>
          <w:sz w:val="29"/>
          <w:szCs w:val="29"/>
        </w:rPr>
      </w:pPr>
      <w:r>
        <w:rPr>
          <w:rFonts w:ascii="FangSong" w:hAnsi="FangSong" w:eastAsia="FangSong" w:cs="FangSong"/>
          <w:sz w:val="29"/>
          <w:szCs w:val="29"/>
          <w:spacing w:val="29"/>
        </w:rPr>
        <w:t>《职业卫生技术服务机构管理办法》第四十六条</w:t>
      </w:r>
      <w:r>
        <w:rPr>
          <w:rFonts w:ascii="FangSong" w:hAnsi="FangSong" w:eastAsia="FangSong" w:cs="FangSong"/>
          <w:sz w:val="29"/>
          <w:szCs w:val="29"/>
          <w:spacing w:val="135"/>
        </w:rPr>
        <w:t xml:space="preserve"> </w:t>
      </w:r>
      <w:r>
        <w:rPr>
          <w:rFonts w:ascii="FangSong" w:hAnsi="FangSong" w:eastAsia="FangSong" w:cs="FangSong"/>
          <w:sz w:val="29"/>
          <w:szCs w:val="29"/>
          <w:spacing w:val="29"/>
        </w:rPr>
        <w:t>已经取得资质认可的职业卫生技术服务机构，</w:t>
      </w:r>
      <w:r>
        <w:rPr>
          <w:rFonts w:ascii="FangSong" w:hAnsi="FangSong" w:eastAsia="FangSong" w:cs="FangSong"/>
          <w:sz w:val="29"/>
          <w:szCs w:val="29"/>
        </w:rPr>
        <w:t xml:space="preserve"> </w:t>
      </w:r>
      <w:r>
        <w:rPr>
          <w:rFonts w:ascii="FangSong" w:hAnsi="FangSong" w:eastAsia="FangSong" w:cs="FangSong"/>
          <w:sz w:val="29"/>
          <w:szCs w:val="29"/>
          <w:spacing w:val="26"/>
        </w:rPr>
        <w:t>不再符合规定的资质条件的，由原资质认可机关责令其改正，通报批评；情节严重的，依法撤销其资</w:t>
      </w:r>
      <w:r>
        <w:rPr>
          <w:rFonts w:ascii="FangSong" w:hAnsi="FangSong" w:eastAsia="FangSong" w:cs="FangSong"/>
          <w:sz w:val="29"/>
          <w:szCs w:val="29"/>
          <w:spacing w:val="15"/>
        </w:rPr>
        <w:t xml:space="preserve"> </w:t>
      </w:r>
      <w:r>
        <w:rPr>
          <w:rFonts w:ascii="FangSong" w:hAnsi="FangSong" w:eastAsia="FangSong" w:cs="FangSong"/>
          <w:sz w:val="29"/>
          <w:szCs w:val="29"/>
          <w:spacing w:val="8"/>
        </w:rPr>
        <w:t>质认可。</w:t>
      </w:r>
    </w:p>
    <w:p>
      <w:pPr>
        <w:ind w:left="6429"/>
        <w:spacing w:before="140" w:line="221" w:lineRule="auto"/>
        <w:rPr>
          <w:rFonts w:ascii="SimHei" w:hAnsi="SimHei" w:eastAsia="SimHei" w:cs="SimHei"/>
          <w:sz w:val="29"/>
          <w:szCs w:val="29"/>
        </w:rPr>
      </w:pPr>
      <w:r>
        <w:rPr>
          <w:rFonts w:ascii="SimHei" w:hAnsi="SimHei" w:eastAsia="SimHei" w:cs="SimHei"/>
          <w:sz w:val="29"/>
          <w:szCs w:val="29"/>
          <w:b/>
          <w:bCs/>
          <w:spacing w:val="-6"/>
        </w:rPr>
        <w:t>裁量标准</w:t>
      </w:r>
    </w:p>
    <w:p>
      <w:pPr>
        <w:spacing w:line="221" w:lineRule="auto"/>
        <w:sectPr>
          <w:footerReference w:type="default" r:id="rId563"/>
          <w:pgSz w:w="16830" w:h="11900"/>
          <w:pgMar w:top="1011" w:right="1394" w:bottom="1108" w:left="1425" w:header="0" w:footer="775" w:gutter="0"/>
        </w:sectPr>
        <w:rPr>
          <w:rFonts w:ascii="SimHei" w:hAnsi="SimHei" w:eastAsia="SimHei" w:cs="SimHei"/>
          <w:sz w:val="29"/>
          <w:szCs w:val="29"/>
        </w:rPr>
      </w:pPr>
    </w:p>
    <w:p>
      <w:pPr>
        <w:spacing w:before="17"/>
        <w:rPr/>
      </w:pPr>
      <w:r/>
    </w:p>
    <w:p>
      <w:pPr>
        <w:spacing w:before="16"/>
        <w:rPr/>
      </w:pPr>
      <w:r/>
    </w:p>
    <w:p>
      <w:pPr>
        <w:spacing w:before="16"/>
        <w:rPr/>
      </w:pPr>
      <w:r/>
    </w:p>
    <w:tbl>
      <w:tblPr>
        <w:tblStyle w:val="TableNormal"/>
        <w:tblW w:w="1364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94"/>
        <w:gridCol w:w="8673"/>
        <w:gridCol w:w="3582"/>
      </w:tblGrid>
      <w:tr>
        <w:trPr>
          <w:trHeight w:val="593" w:hRule="atLeast"/>
        </w:trPr>
        <w:tc>
          <w:tcPr>
            <w:tcW w:w="1394" w:type="dxa"/>
            <w:vAlign w:val="top"/>
          </w:tcPr>
          <w:p>
            <w:pPr>
              <w:pStyle w:val="TableText"/>
              <w:ind w:left="188"/>
              <w:spacing w:before="172" w:line="220" w:lineRule="auto"/>
              <w:rPr>
                <w:sz w:val="25"/>
                <w:szCs w:val="25"/>
              </w:rPr>
            </w:pPr>
            <w:bookmarkStart w:name="bookmark1196" w:id="573"/>
            <w:bookmarkEnd w:id="573"/>
            <w:r>
              <w:rPr>
                <w:sz w:val="25"/>
                <w:szCs w:val="25"/>
                <w:b/>
                <w:bCs/>
                <w:spacing w:val="-5"/>
              </w:rPr>
              <w:t>违法程度</w:t>
            </w:r>
          </w:p>
        </w:tc>
        <w:tc>
          <w:tcPr>
            <w:tcW w:w="8673" w:type="dxa"/>
            <w:vAlign w:val="top"/>
          </w:tcPr>
          <w:p>
            <w:pPr>
              <w:pStyle w:val="TableText"/>
              <w:ind w:left="3834"/>
              <w:spacing w:before="172" w:line="220" w:lineRule="auto"/>
              <w:rPr>
                <w:sz w:val="25"/>
                <w:szCs w:val="25"/>
              </w:rPr>
            </w:pPr>
            <w:r>
              <w:rPr>
                <w:sz w:val="25"/>
                <w:szCs w:val="25"/>
                <w:b/>
                <w:bCs/>
                <w:spacing w:val="-5"/>
              </w:rPr>
              <w:t>情节后果</w:t>
            </w:r>
          </w:p>
        </w:tc>
        <w:tc>
          <w:tcPr>
            <w:tcW w:w="3582" w:type="dxa"/>
            <w:vAlign w:val="top"/>
          </w:tcPr>
          <w:p>
            <w:pPr>
              <w:pStyle w:val="TableText"/>
              <w:ind w:left="1221"/>
              <w:spacing w:before="169" w:line="218" w:lineRule="auto"/>
              <w:rPr>
                <w:sz w:val="25"/>
                <w:szCs w:val="25"/>
              </w:rPr>
            </w:pPr>
            <w:r>
              <w:rPr>
                <w:sz w:val="25"/>
                <w:szCs w:val="25"/>
                <w:b/>
                <w:bCs/>
                <w:spacing w:val="-5"/>
              </w:rPr>
              <w:t>裁量幅度</w:t>
            </w:r>
          </w:p>
        </w:tc>
      </w:tr>
      <w:tr>
        <w:trPr>
          <w:trHeight w:val="667" w:hRule="atLeast"/>
        </w:trPr>
        <w:tc>
          <w:tcPr>
            <w:tcW w:w="1394" w:type="dxa"/>
            <w:vAlign w:val="top"/>
          </w:tcPr>
          <w:p>
            <w:pPr>
              <w:pStyle w:val="TableText"/>
              <w:ind w:left="438"/>
              <w:spacing w:before="290" w:line="221" w:lineRule="auto"/>
              <w:rPr>
                <w:sz w:val="25"/>
                <w:szCs w:val="25"/>
              </w:rPr>
            </w:pPr>
            <w:r>
              <w:rPr>
                <w:sz w:val="25"/>
                <w:szCs w:val="25"/>
                <w:b/>
                <w:bCs/>
                <w:spacing w:val="-10"/>
              </w:rPr>
              <w:t>一般</w:t>
            </w:r>
          </w:p>
        </w:tc>
        <w:tc>
          <w:tcPr>
            <w:tcW w:w="8673" w:type="dxa"/>
            <w:vAlign w:val="top"/>
          </w:tcPr>
          <w:p>
            <w:pPr>
              <w:pStyle w:val="TableText"/>
              <w:ind w:left="120" w:hanging="109"/>
              <w:spacing w:before="61" w:line="220" w:lineRule="auto"/>
              <w:rPr>
                <w:sz w:val="25"/>
                <w:szCs w:val="25"/>
              </w:rPr>
            </w:pPr>
            <w:r>
              <w:rPr>
                <w:sz w:val="25"/>
                <w:szCs w:val="25"/>
                <w:spacing w:val="-3"/>
              </w:rPr>
              <w:t>已经取得资质认可的职业卫生技术服务机构，不再符合规定的资质条件，无违法</w:t>
            </w:r>
            <w:r>
              <w:rPr>
                <w:sz w:val="25"/>
                <w:szCs w:val="25"/>
                <w:spacing w:val="5"/>
              </w:rPr>
              <w:t xml:space="preserve"> </w:t>
            </w:r>
            <w:r>
              <w:rPr>
                <w:sz w:val="25"/>
                <w:szCs w:val="25"/>
                <w:spacing w:val="1"/>
              </w:rPr>
              <w:t>所得或无法确定违法所得的</w:t>
            </w:r>
          </w:p>
        </w:tc>
        <w:tc>
          <w:tcPr>
            <w:tcW w:w="3582" w:type="dxa"/>
            <w:vAlign w:val="top"/>
          </w:tcPr>
          <w:p>
            <w:pPr>
              <w:pStyle w:val="TableText"/>
              <w:ind w:left="107"/>
              <w:spacing w:before="210" w:line="219" w:lineRule="auto"/>
              <w:rPr>
                <w:sz w:val="25"/>
                <w:szCs w:val="25"/>
              </w:rPr>
            </w:pPr>
            <w:r>
              <w:rPr>
                <w:sz w:val="25"/>
                <w:szCs w:val="25"/>
                <w:spacing w:val="2"/>
              </w:rPr>
              <w:t>责令其改正</w:t>
            </w:r>
          </w:p>
        </w:tc>
      </w:tr>
      <w:tr>
        <w:trPr>
          <w:trHeight w:val="678" w:hRule="atLeast"/>
        </w:trPr>
        <w:tc>
          <w:tcPr>
            <w:tcW w:w="1394" w:type="dxa"/>
            <w:vAlign w:val="top"/>
          </w:tcPr>
          <w:p>
            <w:pPr>
              <w:spacing w:line="242" w:lineRule="auto"/>
              <w:rPr>
                <w:rFonts w:ascii="Arial"/>
                <w:sz w:val="21"/>
              </w:rPr>
            </w:pPr>
            <w:r/>
          </w:p>
          <w:p>
            <w:pPr>
              <w:pStyle w:val="TableText"/>
              <w:ind w:left="438"/>
              <w:spacing w:before="81" w:line="221" w:lineRule="auto"/>
              <w:rPr>
                <w:sz w:val="25"/>
                <w:szCs w:val="25"/>
              </w:rPr>
            </w:pPr>
            <w:r>
              <w:rPr>
                <w:sz w:val="25"/>
                <w:szCs w:val="25"/>
                <w:b/>
                <w:bCs/>
                <w:spacing w:val="-6"/>
              </w:rPr>
              <w:t>较重</w:t>
            </w:r>
          </w:p>
        </w:tc>
        <w:tc>
          <w:tcPr>
            <w:tcW w:w="8673" w:type="dxa"/>
            <w:vAlign w:val="top"/>
          </w:tcPr>
          <w:p>
            <w:pPr>
              <w:pStyle w:val="TableText"/>
              <w:ind w:left="140" w:hanging="129"/>
              <w:spacing w:before="64" w:line="223" w:lineRule="auto"/>
              <w:rPr>
                <w:sz w:val="25"/>
                <w:szCs w:val="25"/>
              </w:rPr>
            </w:pPr>
            <w:r>
              <w:rPr>
                <w:sz w:val="25"/>
                <w:szCs w:val="25"/>
                <w:spacing w:val="-3"/>
              </w:rPr>
              <w:t>已经取得资质认可的职业卫生技术服务机构，不再符合规定的资质条件，违法所</w:t>
            </w:r>
            <w:r>
              <w:rPr>
                <w:sz w:val="25"/>
                <w:szCs w:val="25"/>
                <w:spacing w:val="5"/>
              </w:rPr>
              <w:t xml:space="preserve"> </w:t>
            </w:r>
            <w:r>
              <w:rPr>
                <w:sz w:val="25"/>
                <w:szCs w:val="25"/>
                <w:spacing w:val="1"/>
              </w:rPr>
              <w:t>得3万元以下</w:t>
            </w:r>
          </w:p>
        </w:tc>
        <w:tc>
          <w:tcPr>
            <w:tcW w:w="3582" w:type="dxa"/>
            <w:vAlign w:val="top"/>
          </w:tcPr>
          <w:p>
            <w:pPr>
              <w:pStyle w:val="TableText"/>
              <w:ind w:left="107"/>
              <w:spacing w:before="223" w:line="219" w:lineRule="auto"/>
              <w:rPr>
                <w:sz w:val="25"/>
                <w:szCs w:val="25"/>
              </w:rPr>
            </w:pPr>
            <w:r>
              <w:rPr>
                <w:sz w:val="25"/>
                <w:szCs w:val="25"/>
              </w:rPr>
              <w:t>责令其改正，通报批评</w:t>
            </w:r>
          </w:p>
        </w:tc>
      </w:tr>
      <w:tr>
        <w:trPr>
          <w:trHeight w:val="672" w:hRule="atLeast"/>
        </w:trPr>
        <w:tc>
          <w:tcPr>
            <w:tcW w:w="1394" w:type="dxa"/>
            <w:vAlign w:val="top"/>
          </w:tcPr>
          <w:p>
            <w:pPr>
              <w:spacing w:line="241" w:lineRule="auto"/>
              <w:rPr>
                <w:rFonts w:ascii="Arial"/>
                <w:sz w:val="21"/>
              </w:rPr>
            </w:pPr>
            <w:r/>
          </w:p>
          <w:p>
            <w:pPr>
              <w:pStyle w:val="TableText"/>
              <w:ind w:left="438"/>
              <w:spacing w:before="82" w:line="220" w:lineRule="auto"/>
              <w:rPr>
                <w:sz w:val="25"/>
                <w:szCs w:val="25"/>
              </w:rPr>
            </w:pPr>
            <w:r>
              <w:rPr>
                <w:sz w:val="25"/>
                <w:szCs w:val="25"/>
                <w:b/>
                <w:bCs/>
                <w:spacing w:val="-6"/>
              </w:rPr>
              <w:t>严重</w:t>
            </w:r>
          </w:p>
        </w:tc>
        <w:tc>
          <w:tcPr>
            <w:tcW w:w="8673" w:type="dxa"/>
            <w:vAlign w:val="top"/>
          </w:tcPr>
          <w:p>
            <w:pPr>
              <w:pStyle w:val="TableText"/>
              <w:ind w:left="11"/>
              <w:spacing w:before="85" w:line="213" w:lineRule="auto"/>
              <w:rPr>
                <w:sz w:val="25"/>
                <w:szCs w:val="25"/>
              </w:rPr>
            </w:pPr>
            <w:r>
              <w:rPr>
                <w:sz w:val="25"/>
                <w:szCs w:val="25"/>
                <w:spacing w:val="-3"/>
              </w:rPr>
              <w:t>已经取得资质认可的职业卫生技术服务机构，不再符合规定的资质条件，违法所</w:t>
            </w:r>
            <w:r>
              <w:rPr>
                <w:sz w:val="25"/>
                <w:szCs w:val="25"/>
                <w:spacing w:val="5"/>
              </w:rPr>
              <w:t xml:space="preserve"> </w:t>
            </w:r>
            <w:r>
              <w:rPr>
                <w:sz w:val="25"/>
                <w:szCs w:val="25"/>
              </w:rPr>
              <w:t>得3万元以上；或对劳动者健康或健康权益造成严重损害，产生恶劣社会影响的</w:t>
            </w:r>
          </w:p>
        </w:tc>
        <w:tc>
          <w:tcPr>
            <w:tcW w:w="3582" w:type="dxa"/>
            <w:vAlign w:val="top"/>
          </w:tcPr>
          <w:p>
            <w:pPr>
              <w:pStyle w:val="TableText"/>
              <w:ind w:left="107"/>
              <w:spacing w:before="215" w:line="219" w:lineRule="auto"/>
              <w:rPr>
                <w:sz w:val="25"/>
                <w:szCs w:val="25"/>
              </w:rPr>
            </w:pPr>
            <w:r>
              <w:rPr>
                <w:sz w:val="25"/>
                <w:szCs w:val="25"/>
                <w:spacing w:val="1"/>
              </w:rPr>
              <w:t>依法撤销其资质认可</w:t>
            </w:r>
          </w:p>
        </w:tc>
      </w:tr>
    </w:tbl>
    <w:p>
      <w:pPr>
        <w:pStyle w:val="BodyText"/>
        <w:spacing w:line="459" w:lineRule="auto"/>
        <w:rPr/>
      </w:pPr>
      <w:r/>
    </w:p>
    <w:p>
      <w:pPr>
        <w:ind w:left="29" w:firstLine="649"/>
        <w:spacing w:before="94" w:line="277" w:lineRule="auto"/>
        <w:rPr>
          <w:rFonts w:ascii="FangSong" w:hAnsi="FangSong" w:eastAsia="FangSong" w:cs="FangSong"/>
          <w:sz w:val="29"/>
          <w:szCs w:val="29"/>
        </w:rPr>
      </w:pPr>
      <w:r>
        <w:rPr>
          <w:rFonts w:ascii="FangSong" w:hAnsi="FangSong" w:eastAsia="FangSong" w:cs="FangSong"/>
          <w:sz w:val="29"/>
          <w:szCs w:val="29"/>
          <w:b/>
          <w:bCs/>
          <w:spacing w:val="31"/>
        </w:rPr>
        <w:t>第五百三十九条用人单位有关事项发生重大变化，未按照本办法的规定申报变更职业病危害项</w:t>
      </w:r>
      <w:r>
        <w:rPr>
          <w:rFonts w:ascii="FangSong" w:hAnsi="FangSong" w:eastAsia="FangSong" w:cs="FangSong"/>
          <w:sz w:val="29"/>
          <w:szCs w:val="29"/>
          <w:spacing w:val="5"/>
        </w:rPr>
        <w:t xml:space="preserve"> </w:t>
      </w:r>
      <w:r>
        <w:rPr>
          <w:rFonts w:ascii="FangSong" w:hAnsi="FangSong" w:eastAsia="FangSong" w:cs="FangSong"/>
          <w:sz w:val="29"/>
          <w:szCs w:val="29"/>
          <w:b/>
          <w:bCs/>
          <w:spacing w:val="9"/>
        </w:rPr>
        <w:t>目内容的</w:t>
      </w:r>
    </w:p>
    <w:p>
      <w:pPr>
        <w:ind w:left="664"/>
        <w:spacing w:before="8" w:line="222" w:lineRule="auto"/>
        <w:rPr>
          <w:rFonts w:ascii="FangSong" w:hAnsi="FangSong" w:eastAsia="FangSong" w:cs="FangSong"/>
          <w:sz w:val="29"/>
          <w:szCs w:val="29"/>
        </w:rPr>
      </w:pPr>
      <w:r>
        <w:rPr>
          <w:rFonts w:ascii="FangSong" w:hAnsi="FangSong" w:eastAsia="FangSong" w:cs="FangSong"/>
          <w:sz w:val="29"/>
          <w:szCs w:val="29"/>
          <w:spacing w:val="9"/>
        </w:rPr>
        <w:t>法律依据：</w:t>
      </w:r>
    </w:p>
    <w:p>
      <w:pPr>
        <w:ind w:left="25" w:right="13" w:firstLine="759"/>
        <w:spacing w:before="86" w:line="281" w:lineRule="auto"/>
        <w:jc w:val="both"/>
        <w:rPr>
          <w:rFonts w:ascii="FangSong" w:hAnsi="FangSong" w:eastAsia="FangSong" w:cs="FangSong"/>
          <w:sz w:val="29"/>
          <w:szCs w:val="29"/>
        </w:rPr>
      </w:pPr>
      <w:r>
        <w:rPr>
          <w:rFonts w:ascii="FangSong" w:hAnsi="FangSong" w:eastAsia="FangSong" w:cs="FangSong"/>
          <w:sz w:val="29"/>
          <w:szCs w:val="29"/>
          <w:spacing w:val="39"/>
        </w:rPr>
        <w:t>(1)《使用有毒物品作业场所劳动保护条例》第六十七条第(二)项</w:t>
      </w:r>
      <w:r>
        <w:rPr>
          <w:rFonts w:ascii="FangSong" w:hAnsi="FangSong" w:eastAsia="FangSong" w:cs="FangSong"/>
          <w:sz w:val="29"/>
          <w:szCs w:val="29"/>
          <w:spacing w:val="39"/>
        </w:rPr>
        <w:t xml:space="preserve">  </w:t>
      </w:r>
      <w:r>
        <w:rPr>
          <w:rFonts w:ascii="FangSong" w:hAnsi="FangSong" w:eastAsia="FangSong" w:cs="FangSong"/>
          <w:sz w:val="29"/>
          <w:szCs w:val="29"/>
          <w:spacing w:val="39"/>
        </w:rPr>
        <w:t>用人单位违反</w:t>
      </w:r>
      <w:r>
        <w:rPr>
          <w:rFonts w:ascii="FangSong" w:hAnsi="FangSong" w:eastAsia="FangSong" w:cs="FangSong"/>
          <w:sz w:val="29"/>
          <w:szCs w:val="29"/>
          <w:spacing w:val="38"/>
        </w:rPr>
        <w:t>《使用有</w:t>
      </w:r>
      <w:r>
        <w:rPr>
          <w:rFonts w:ascii="FangSong" w:hAnsi="FangSong" w:eastAsia="FangSong" w:cs="FangSong"/>
          <w:sz w:val="29"/>
          <w:szCs w:val="29"/>
        </w:rPr>
        <w:t xml:space="preserve"> </w:t>
      </w:r>
      <w:r>
        <w:rPr>
          <w:rFonts w:ascii="FangSong" w:hAnsi="FangSong" w:eastAsia="FangSong" w:cs="FangSong"/>
          <w:sz w:val="29"/>
          <w:szCs w:val="29"/>
          <w:spacing w:val="27"/>
        </w:rPr>
        <w:t>毒物品作业场所劳动保护条例》规定，有下列情形之一的，由</w:t>
      </w:r>
      <w:r>
        <w:rPr>
          <w:rFonts w:ascii="FangSong" w:hAnsi="FangSong" w:eastAsia="FangSong" w:cs="FangSong"/>
          <w:sz w:val="29"/>
          <w:szCs w:val="29"/>
          <w:spacing w:val="26"/>
        </w:rPr>
        <w:t>疾病预防控制部门给予警告，责令限期</w:t>
      </w:r>
      <w:r>
        <w:rPr>
          <w:rFonts w:ascii="FangSong" w:hAnsi="FangSong" w:eastAsia="FangSong" w:cs="FangSong"/>
          <w:sz w:val="29"/>
          <w:szCs w:val="29"/>
        </w:rPr>
        <w:t xml:space="preserve"> </w:t>
      </w:r>
      <w:r>
        <w:rPr>
          <w:rFonts w:ascii="FangSong" w:hAnsi="FangSong" w:eastAsia="FangSong" w:cs="FangSong"/>
          <w:sz w:val="29"/>
          <w:szCs w:val="29"/>
          <w:spacing w:val="33"/>
        </w:rPr>
        <w:t>改正，处2万元以上5万元以下的罚款；逾期不改正的，提请有关人民政府按照国务院规定的权限予</w:t>
      </w:r>
      <w:r>
        <w:rPr>
          <w:rFonts w:ascii="FangSong" w:hAnsi="FangSong" w:eastAsia="FangSong" w:cs="FangSong"/>
          <w:sz w:val="29"/>
          <w:szCs w:val="29"/>
          <w:spacing w:val="10"/>
        </w:rPr>
        <w:t xml:space="preserve"> </w:t>
      </w:r>
      <w:r>
        <w:rPr>
          <w:rFonts w:ascii="FangSong" w:hAnsi="FangSong" w:eastAsia="FangSong" w:cs="FangSong"/>
          <w:sz w:val="29"/>
          <w:szCs w:val="29"/>
          <w:spacing w:val="1"/>
        </w:rPr>
        <w:t>以关闭：</w:t>
      </w:r>
    </w:p>
    <w:p>
      <w:pPr>
        <w:ind w:left="25" w:right="20" w:firstLine="759"/>
        <w:spacing w:before="5" w:line="273" w:lineRule="auto"/>
        <w:rPr>
          <w:rFonts w:ascii="FangSong" w:hAnsi="FangSong" w:eastAsia="FangSong" w:cs="FangSong"/>
          <w:sz w:val="29"/>
          <w:szCs w:val="29"/>
        </w:rPr>
      </w:pPr>
      <w:r>
        <w:rPr>
          <w:rFonts w:ascii="FangSong" w:hAnsi="FangSong" w:eastAsia="FangSong" w:cs="FangSong"/>
          <w:sz w:val="29"/>
          <w:szCs w:val="29"/>
          <w:spacing w:val="30"/>
        </w:rPr>
        <w:t>(二)变更使用高毒物品品种，未按照规定向原受理申报的卫生行政部门重新申报，或者申报不</w:t>
      </w:r>
      <w:r>
        <w:rPr>
          <w:rFonts w:ascii="FangSong" w:hAnsi="FangSong" w:eastAsia="FangSong" w:cs="FangSong"/>
          <w:sz w:val="29"/>
          <w:szCs w:val="29"/>
          <w:spacing w:val="15"/>
        </w:rPr>
        <w:t xml:space="preserve"> </w:t>
      </w:r>
      <w:r>
        <w:rPr>
          <w:rFonts w:ascii="FangSong" w:hAnsi="FangSong" w:eastAsia="FangSong" w:cs="FangSong"/>
          <w:sz w:val="29"/>
          <w:szCs w:val="29"/>
          <w:spacing w:val="20"/>
        </w:rPr>
        <w:t>及时、有虚假的。</w:t>
      </w:r>
    </w:p>
    <w:p>
      <w:pPr>
        <w:ind w:left="25" w:right="67" w:firstLine="759"/>
        <w:spacing w:before="2" w:line="286" w:lineRule="auto"/>
        <w:rPr>
          <w:rFonts w:ascii="FangSong" w:hAnsi="FangSong" w:eastAsia="FangSong" w:cs="FangSong"/>
          <w:sz w:val="29"/>
          <w:szCs w:val="29"/>
        </w:rPr>
      </w:pPr>
      <w:r>
        <w:rPr>
          <w:rFonts w:ascii="FangSong" w:hAnsi="FangSong" w:eastAsia="FangSong" w:cs="FangSong"/>
          <w:sz w:val="29"/>
          <w:szCs w:val="29"/>
          <w:spacing w:val="32"/>
        </w:rPr>
        <w:t>(2)《职业病危害项目申报办法》第十五条</w:t>
      </w:r>
      <w:r>
        <w:rPr>
          <w:rFonts w:ascii="FangSong" w:hAnsi="FangSong" w:eastAsia="FangSong" w:cs="FangSong"/>
          <w:sz w:val="29"/>
          <w:szCs w:val="29"/>
          <w:spacing w:val="32"/>
        </w:rPr>
        <w:t xml:space="preserve">  </w:t>
      </w:r>
      <w:r>
        <w:rPr>
          <w:rFonts w:ascii="FangSong" w:hAnsi="FangSong" w:eastAsia="FangSong" w:cs="FangSong"/>
          <w:sz w:val="29"/>
          <w:szCs w:val="29"/>
          <w:spacing w:val="32"/>
        </w:rPr>
        <w:t>用人单位有关事项发生重大变化，未按照</w:t>
      </w:r>
      <w:r>
        <w:rPr>
          <w:rFonts w:ascii="FangSong" w:hAnsi="FangSong" w:eastAsia="FangSong" w:cs="FangSong"/>
          <w:sz w:val="29"/>
          <w:szCs w:val="29"/>
          <w:spacing w:val="31"/>
        </w:rPr>
        <w:t>本办法</w:t>
      </w:r>
      <w:r>
        <w:rPr>
          <w:rFonts w:ascii="FangSong" w:hAnsi="FangSong" w:eastAsia="FangSong" w:cs="FangSong"/>
          <w:sz w:val="29"/>
          <w:szCs w:val="29"/>
        </w:rPr>
        <w:t xml:space="preserve"> </w:t>
      </w:r>
      <w:r>
        <w:rPr>
          <w:rFonts w:ascii="FangSong" w:hAnsi="FangSong" w:eastAsia="FangSong" w:cs="FangSong"/>
          <w:sz w:val="29"/>
          <w:szCs w:val="29"/>
          <w:spacing w:val="35"/>
        </w:rPr>
        <w:t>的规定申报变更职业病危害项目内容的，可以并处5千元以上3万元以下的罚款。</w:t>
      </w:r>
    </w:p>
    <w:p>
      <w:pPr>
        <w:pStyle w:val="BodyText"/>
        <w:spacing w:line="278" w:lineRule="auto"/>
        <w:rPr/>
      </w:pPr>
      <w:r/>
    </w:p>
    <w:p>
      <w:pPr>
        <w:pStyle w:val="BodyText"/>
        <w:spacing w:line="279" w:lineRule="auto"/>
        <w:rPr/>
      </w:pPr>
      <w:r/>
    </w:p>
    <w:p>
      <w:pPr>
        <w:pStyle w:val="BodyText"/>
        <w:spacing w:line="279" w:lineRule="auto"/>
        <w:rPr/>
      </w:pPr>
      <w:r/>
    </w:p>
    <w:p>
      <w:pPr>
        <w:ind w:left="6364"/>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—638—</w:t>
      </w:r>
    </w:p>
    <w:p>
      <w:pPr>
        <w:spacing w:line="188" w:lineRule="auto"/>
        <w:sectPr>
          <w:footerReference w:type="default" r:id="rId24"/>
          <w:pgSz w:w="16830" w:h="11900"/>
          <w:pgMar w:top="1011" w:right="1433" w:bottom="400" w:left="1425" w:header="0" w:footer="0" w:gutter="0"/>
        </w:sectPr>
        <w:rPr>
          <w:rFonts w:ascii="Times New Roman" w:hAnsi="Times New Roman" w:eastAsia="Times New Roman" w:cs="Times New Roman"/>
          <w:sz w:val="37"/>
          <w:szCs w:val="37"/>
        </w:rPr>
      </w:pPr>
    </w:p>
    <w:p>
      <w:pPr>
        <w:pStyle w:val="BodyText"/>
        <w:spacing w:line="262" w:lineRule="auto"/>
        <w:rPr/>
      </w:pPr>
      <w:r/>
    </w:p>
    <w:p>
      <w:pPr>
        <w:pStyle w:val="BodyText"/>
        <w:spacing w:line="262" w:lineRule="auto"/>
        <w:rPr/>
      </w:pPr>
      <w:r/>
    </w:p>
    <w:p>
      <w:pPr>
        <w:pStyle w:val="BodyText"/>
        <w:spacing w:line="263" w:lineRule="auto"/>
        <w:rPr/>
      </w:pPr>
      <w:r/>
    </w:p>
    <w:p>
      <w:pPr>
        <w:ind w:left="6409"/>
        <w:spacing w:before="94" w:line="208"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8763"/>
        <w:gridCol w:w="3652"/>
      </w:tblGrid>
      <w:tr>
        <w:trPr>
          <w:trHeight w:val="574" w:hRule="atLeast"/>
        </w:trPr>
        <w:tc>
          <w:tcPr>
            <w:tcW w:w="1404" w:type="dxa"/>
            <w:vAlign w:val="top"/>
          </w:tcPr>
          <w:p>
            <w:pPr>
              <w:pStyle w:val="TableText"/>
              <w:ind w:left="198"/>
              <w:spacing w:before="162" w:line="220" w:lineRule="auto"/>
              <w:rPr>
                <w:sz w:val="25"/>
                <w:szCs w:val="25"/>
              </w:rPr>
            </w:pPr>
            <w:r>
              <w:rPr>
                <w:sz w:val="25"/>
                <w:szCs w:val="25"/>
                <w:b/>
                <w:bCs/>
                <w:spacing w:val="-5"/>
              </w:rPr>
              <w:t>违法程度</w:t>
            </w:r>
          </w:p>
        </w:tc>
        <w:tc>
          <w:tcPr>
            <w:tcW w:w="8763" w:type="dxa"/>
            <w:vAlign w:val="top"/>
          </w:tcPr>
          <w:p>
            <w:pPr>
              <w:pStyle w:val="TableText"/>
              <w:ind w:left="3874"/>
              <w:spacing w:before="162" w:line="220" w:lineRule="auto"/>
              <w:rPr>
                <w:sz w:val="25"/>
                <w:szCs w:val="25"/>
              </w:rPr>
            </w:pPr>
            <w:r>
              <w:rPr>
                <w:sz w:val="25"/>
                <w:szCs w:val="25"/>
                <w:b/>
                <w:bCs/>
                <w:spacing w:val="-5"/>
              </w:rPr>
              <w:t>情节后果</w:t>
            </w:r>
          </w:p>
        </w:tc>
        <w:tc>
          <w:tcPr>
            <w:tcW w:w="3652" w:type="dxa"/>
            <w:vAlign w:val="top"/>
          </w:tcPr>
          <w:p>
            <w:pPr>
              <w:pStyle w:val="TableText"/>
              <w:ind w:left="1321"/>
              <w:spacing w:before="159" w:line="218" w:lineRule="auto"/>
              <w:rPr>
                <w:sz w:val="25"/>
                <w:szCs w:val="25"/>
              </w:rPr>
            </w:pPr>
            <w:r>
              <w:rPr>
                <w:sz w:val="25"/>
                <w:szCs w:val="25"/>
                <w:b/>
                <w:bCs/>
                <w:spacing w:val="-5"/>
              </w:rPr>
              <w:t>裁量幅度</w:t>
            </w:r>
          </w:p>
        </w:tc>
      </w:tr>
      <w:tr>
        <w:trPr>
          <w:trHeight w:val="3406" w:hRule="atLeast"/>
        </w:trPr>
        <w:tc>
          <w:tcPr>
            <w:tcW w:w="1404"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448"/>
              <w:spacing w:before="82" w:line="221" w:lineRule="auto"/>
              <w:rPr>
                <w:sz w:val="25"/>
                <w:szCs w:val="25"/>
              </w:rPr>
            </w:pPr>
            <w:r>
              <w:rPr>
                <w:sz w:val="25"/>
                <w:szCs w:val="25"/>
                <w:b/>
                <w:bCs/>
                <w:spacing w:val="-10"/>
              </w:rPr>
              <w:t>一般</w:t>
            </w:r>
          </w:p>
        </w:tc>
        <w:tc>
          <w:tcPr>
            <w:tcW w:w="8763" w:type="dxa"/>
            <w:vAlign w:val="top"/>
          </w:tcPr>
          <w:p>
            <w:pPr>
              <w:pStyle w:val="TableText"/>
              <w:ind w:left="121"/>
              <w:spacing w:before="72" w:line="220" w:lineRule="auto"/>
              <w:rPr>
                <w:sz w:val="25"/>
                <w:szCs w:val="25"/>
              </w:rPr>
            </w:pPr>
            <w:r>
              <w:rPr>
                <w:sz w:val="25"/>
                <w:szCs w:val="25"/>
                <w:spacing w:val="1"/>
              </w:rPr>
              <w:t>有下列情形之一的：</w:t>
            </w:r>
          </w:p>
          <w:p>
            <w:pPr>
              <w:pStyle w:val="TableText"/>
              <w:ind w:left="111" w:firstLine="19"/>
              <w:spacing w:before="51" w:line="235" w:lineRule="auto"/>
              <w:rPr>
                <w:sz w:val="25"/>
                <w:szCs w:val="25"/>
              </w:rPr>
            </w:pPr>
            <w:r>
              <w:rPr>
                <w:sz w:val="25"/>
                <w:szCs w:val="25"/>
                <w:spacing w:val="-7"/>
              </w:rPr>
              <w:t>A、进行新建、改建、扩建、技术改造或者技术引进建设项目的，自建设项目</w:t>
            </w:r>
            <w:r>
              <w:rPr>
                <w:sz w:val="25"/>
                <w:szCs w:val="25"/>
                <w:spacing w:val="-8"/>
              </w:rPr>
              <w:t>竣工</w:t>
            </w:r>
            <w:r>
              <w:rPr>
                <w:sz w:val="25"/>
                <w:szCs w:val="25"/>
              </w:rPr>
              <w:t xml:space="preserve"> </w:t>
            </w:r>
            <w:r>
              <w:rPr>
                <w:sz w:val="25"/>
                <w:szCs w:val="25"/>
              </w:rPr>
              <w:t>验收之日起30日内进行申报，逾期不足30天的</w:t>
            </w:r>
          </w:p>
          <w:p>
            <w:pPr>
              <w:pStyle w:val="TableText"/>
              <w:ind w:left="10" w:firstLine="50"/>
              <w:spacing w:before="40" w:line="239" w:lineRule="auto"/>
              <w:rPr>
                <w:sz w:val="25"/>
                <w:szCs w:val="25"/>
              </w:rPr>
            </w:pPr>
            <w:r>
              <w:rPr>
                <w:sz w:val="25"/>
                <w:szCs w:val="25"/>
                <w:spacing w:val="-1"/>
              </w:rPr>
              <w:t>B、因技术、工艺、设备或者材料(除高毒物品)等发生变化导致原申报的职业病</w:t>
            </w:r>
            <w:r>
              <w:rPr>
                <w:sz w:val="25"/>
                <w:szCs w:val="25"/>
                <w:spacing w:val="12"/>
              </w:rPr>
              <w:t xml:space="preserve"> </w:t>
            </w:r>
            <w:r>
              <w:rPr>
                <w:sz w:val="25"/>
                <w:szCs w:val="25"/>
              </w:rPr>
              <w:t>危害因素及其相关内容发生重大变化的，自发生变化之日起1</w:t>
            </w:r>
            <w:r>
              <w:rPr>
                <w:sz w:val="25"/>
                <w:szCs w:val="25"/>
                <w:spacing w:val="-1"/>
              </w:rPr>
              <w:t>5日内进行申报，逾</w:t>
            </w:r>
            <w:r>
              <w:rPr>
                <w:sz w:val="25"/>
                <w:szCs w:val="25"/>
              </w:rPr>
              <w:t xml:space="preserve"> </w:t>
            </w:r>
            <w:r>
              <w:rPr>
                <w:sz w:val="25"/>
                <w:szCs w:val="25"/>
                <w:spacing w:val="18"/>
              </w:rPr>
              <w:t>期不足30天的</w:t>
            </w:r>
          </w:p>
          <w:p>
            <w:pPr>
              <w:pStyle w:val="TableText"/>
              <w:ind w:left="121" w:firstLine="9"/>
              <w:spacing w:before="41" w:line="235" w:lineRule="auto"/>
              <w:rPr>
                <w:sz w:val="25"/>
                <w:szCs w:val="25"/>
              </w:rPr>
            </w:pPr>
            <w:r>
              <w:rPr>
                <w:sz w:val="25"/>
                <w:szCs w:val="25"/>
                <w:spacing w:val="-7"/>
              </w:rPr>
              <w:t>C、用人单位工作场所、名称、法定代表人或者主要负责人发生变化的，自发</w:t>
            </w:r>
            <w:r>
              <w:rPr>
                <w:sz w:val="25"/>
                <w:szCs w:val="25"/>
                <w:spacing w:val="-8"/>
              </w:rPr>
              <w:t>生变</w:t>
            </w:r>
            <w:r>
              <w:rPr>
                <w:sz w:val="25"/>
                <w:szCs w:val="25"/>
              </w:rPr>
              <w:t xml:space="preserve"> </w:t>
            </w:r>
            <w:r>
              <w:rPr>
                <w:sz w:val="25"/>
                <w:szCs w:val="25"/>
              </w:rPr>
              <w:t>化之日起15日内进行申报，逾期不足30天的</w:t>
            </w:r>
          </w:p>
          <w:p>
            <w:pPr>
              <w:pStyle w:val="TableText"/>
              <w:ind w:left="121"/>
              <w:spacing w:before="41" w:line="224" w:lineRule="auto"/>
              <w:rPr>
                <w:sz w:val="25"/>
                <w:szCs w:val="25"/>
              </w:rPr>
            </w:pPr>
            <w:r>
              <w:rPr>
                <w:sz w:val="25"/>
                <w:szCs w:val="25"/>
                <w:spacing w:val="-7"/>
              </w:rPr>
              <w:t>D、经过职业病危害因素检测、评价，发现原申报内容发生变化的，自收到有关检</w:t>
            </w:r>
            <w:r>
              <w:rPr>
                <w:sz w:val="25"/>
                <w:szCs w:val="25"/>
                <w:spacing w:val="7"/>
              </w:rPr>
              <w:t xml:space="preserve"> </w:t>
            </w:r>
            <w:r>
              <w:rPr>
                <w:sz w:val="25"/>
                <w:szCs w:val="25"/>
              </w:rPr>
              <w:t>测、评价结果之日起15日内进行申报，逾期不足30天的</w:t>
            </w:r>
          </w:p>
        </w:tc>
        <w:tc>
          <w:tcPr>
            <w:tcW w:w="3652" w:type="dxa"/>
            <w:vAlign w:val="top"/>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137" w:right="122" w:hanging="10"/>
              <w:spacing w:before="81" w:line="263" w:lineRule="auto"/>
              <w:rPr>
                <w:sz w:val="25"/>
                <w:szCs w:val="25"/>
              </w:rPr>
            </w:pPr>
            <w:r>
              <w:rPr>
                <w:sz w:val="25"/>
                <w:szCs w:val="25"/>
                <w:spacing w:val="1"/>
              </w:rPr>
              <w:t>给予警告，责令其改正，处5千 </w:t>
            </w:r>
            <w:r>
              <w:rPr>
                <w:sz w:val="25"/>
                <w:szCs w:val="25"/>
                <w:spacing w:val="-1"/>
              </w:rPr>
              <w:t>元以上1万元以下的罚款</w:t>
            </w:r>
          </w:p>
        </w:tc>
      </w:tr>
      <w:tr>
        <w:trPr>
          <w:trHeight w:val="3370" w:hRule="atLeast"/>
        </w:trPr>
        <w:tc>
          <w:tcPr>
            <w:tcW w:w="1404" w:type="dxa"/>
            <w:vAlign w:val="top"/>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448"/>
              <w:spacing w:before="82" w:line="221" w:lineRule="auto"/>
              <w:rPr>
                <w:sz w:val="25"/>
                <w:szCs w:val="25"/>
              </w:rPr>
            </w:pPr>
            <w:r>
              <w:rPr>
                <w:sz w:val="25"/>
                <w:szCs w:val="25"/>
                <w:b/>
                <w:bCs/>
                <w:spacing w:val="-6"/>
              </w:rPr>
              <w:t>较重</w:t>
            </w:r>
          </w:p>
        </w:tc>
        <w:tc>
          <w:tcPr>
            <w:tcW w:w="8763" w:type="dxa"/>
            <w:vAlign w:val="top"/>
          </w:tcPr>
          <w:p>
            <w:pPr>
              <w:pStyle w:val="TableText"/>
              <w:ind w:left="121"/>
              <w:spacing w:before="56" w:line="220" w:lineRule="auto"/>
              <w:rPr>
                <w:sz w:val="25"/>
                <w:szCs w:val="25"/>
              </w:rPr>
            </w:pPr>
            <w:r>
              <w:rPr>
                <w:sz w:val="25"/>
                <w:szCs w:val="25"/>
                <w:spacing w:val="1"/>
              </w:rPr>
              <w:t>有下列情形之一的：</w:t>
            </w:r>
          </w:p>
          <w:p>
            <w:pPr>
              <w:pStyle w:val="TableText"/>
              <w:ind w:left="121" w:firstLine="9"/>
              <w:spacing w:before="61" w:line="235" w:lineRule="auto"/>
              <w:rPr>
                <w:sz w:val="25"/>
                <w:szCs w:val="25"/>
              </w:rPr>
            </w:pPr>
            <w:r>
              <w:rPr>
                <w:sz w:val="25"/>
                <w:szCs w:val="25"/>
                <w:spacing w:val="-7"/>
              </w:rPr>
              <w:t>A、进行新建、改建、扩建、技术改造或者技术引进建设项目的，自建设项目</w:t>
            </w:r>
            <w:r>
              <w:rPr>
                <w:sz w:val="25"/>
                <w:szCs w:val="25"/>
                <w:spacing w:val="-8"/>
              </w:rPr>
              <w:t>竣工</w:t>
            </w:r>
            <w:r>
              <w:rPr>
                <w:sz w:val="25"/>
                <w:szCs w:val="25"/>
              </w:rPr>
              <w:t xml:space="preserve"> </w:t>
            </w:r>
            <w:r>
              <w:rPr>
                <w:sz w:val="25"/>
                <w:szCs w:val="25"/>
              </w:rPr>
              <w:t>验收之日起30日内进行申报，逾期30天以上不足60天的</w:t>
            </w:r>
          </w:p>
          <w:p>
            <w:pPr>
              <w:pStyle w:val="TableText"/>
              <w:ind w:left="10" w:firstLine="50"/>
              <w:spacing w:before="22" w:line="241" w:lineRule="auto"/>
              <w:rPr>
                <w:sz w:val="25"/>
                <w:szCs w:val="25"/>
              </w:rPr>
            </w:pPr>
            <w:r>
              <w:rPr>
                <w:sz w:val="25"/>
                <w:szCs w:val="25"/>
                <w:spacing w:val="-1"/>
              </w:rPr>
              <w:t>B、因技术、工艺、设备或者材料(除高毒物品)等发生变化导致原申报的职业病</w:t>
            </w:r>
            <w:r>
              <w:rPr>
                <w:sz w:val="25"/>
                <w:szCs w:val="25"/>
                <w:spacing w:val="12"/>
              </w:rPr>
              <w:t xml:space="preserve"> </w:t>
            </w:r>
            <w:r>
              <w:rPr>
                <w:sz w:val="25"/>
                <w:szCs w:val="25"/>
              </w:rPr>
              <w:t>危害因素及其相关内容发生重大变化的，自发生变化之日起1</w:t>
            </w:r>
            <w:r>
              <w:rPr>
                <w:sz w:val="25"/>
                <w:szCs w:val="25"/>
                <w:spacing w:val="-1"/>
              </w:rPr>
              <w:t>5日内进行申报，逾</w:t>
            </w:r>
            <w:r>
              <w:rPr>
                <w:sz w:val="25"/>
                <w:szCs w:val="25"/>
              </w:rPr>
              <w:t xml:space="preserve"> </w:t>
            </w:r>
            <w:r>
              <w:rPr>
                <w:sz w:val="25"/>
                <w:szCs w:val="25"/>
                <w:spacing w:val="10"/>
              </w:rPr>
              <w:t>期30天以上不足60天的</w:t>
            </w:r>
          </w:p>
          <w:p>
            <w:pPr>
              <w:pStyle w:val="TableText"/>
              <w:ind w:left="130"/>
              <w:spacing w:before="51" w:line="235" w:lineRule="auto"/>
              <w:rPr>
                <w:sz w:val="25"/>
                <w:szCs w:val="25"/>
              </w:rPr>
            </w:pPr>
            <w:r>
              <w:rPr>
                <w:sz w:val="25"/>
                <w:szCs w:val="25"/>
                <w:spacing w:val="-7"/>
              </w:rPr>
              <w:t>C、用人单位工作场所、名称、法定代表人或者主要负责人发生变化的，自发</w:t>
            </w:r>
            <w:r>
              <w:rPr>
                <w:sz w:val="25"/>
                <w:szCs w:val="25"/>
                <w:spacing w:val="-8"/>
              </w:rPr>
              <w:t>生变</w:t>
            </w:r>
            <w:r>
              <w:rPr>
                <w:sz w:val="25"/>
                <w:szCs w:val="25"/>
              </w:rPr>
              <w:t xml:space="preserve"> </w:t>
            </w:r>
            <w:r>
              <w:rPr>
                <w:sz w:val="25"/>
                <w:szCs w:val="25"/>
              </w:rPr>
              <w:t>化之日起15日内进行申报，逾期30天以上不足60天的</w:t>
            </w:r>
          </w:p>
          <w:p>
            <w:pPr>
              <w:pStyle w:val="TableText"/>
              <w:ind w:left="121"/>
              <w:spacing w:before="52" w:line="209" w:lineRule="auto"/>
              <w:rPr>
                <w:sz w:val="25"/>
                <w:szCs w:val="25"/>
              </w:rPr>
            </w:pPr>
            <w:r>
              <w:rPr>
                <w:sz w:val="25"/>
                <w:szCs w:val="25"/>
                <w:spacing w:val="-7"/>
              </w:rPr>
              <w:t>D、经过职业病危害因素检测、评价，发现原申报内容发生变化的，自收到有关检</w:t>
            </w:r>
            <w:r>
              <w:rPr>
                <w:sz w:val="25"/>
                <w:szCs w:val="25"/>
                <w:spacing w:val="7"/>
              </w:rPr>
              <w:t xml:space="preserve"> </w:t>
            </w:r>
            <w:r>
              <w:rPr>
                <w:sz w:val="25"/>
                <w:szCs w:val="25"/>
              </w:rPr>
              <w:t>测、评价结果之日起15日内进行申报，逾期30天以上不足60天的</w:t>
            </w:r>
          </w:p>
        </w:tc>
        <w:tc>
          <w:tcPr>
            <w:tcW w:w="3652" w:type="dxa"/>
            <w:vAlign w:val="top"/>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137" w:right="118" w:hanging="10"/>
              <w:spacing w:before="81" w:line="256" w:lineRule="auto"/>
              <w:rPr>
                <w:sz w:val="25"/>
                <w:szCs w:val="25"/>
              </w:rPr>
            </w:pPr>
            <w:r>
              <w:rPr>
                <w:sz w:val="25"/>
                <w:szCs w:val="25"/>
                <w:spacing w:val="1"/>
              </w:rPr>
              <w:t>给予警告，责令其改正，处1万</w:t>
            </w:r>
            <w:r>
              <w:rPr>
                <w:sz w:val="25"/>
                <w:szCs w:val="25"/>
                <w:spacing w:val="5"/>
              </w:rPr>
              <w:t xml:space="preserve"> </w:t>
            </w:r>
            <w:r>
              <w:rPr>
                <w:sz w:val="25"/>
                <w:szCs w:val="25"/>
                <w:spacing w:val="-1"/>
              </w:rPr>
              <w:t>元以上2万元以下的罚款</w:t>
            </w:r>
          </w:p>
        </w:tc>
      </w:tr>
    </w:tbl>
    <w:p>
      <w:pPr>
        <w:pStyle w:val="BodyText"/>
        <w:rPr/>
      </w:pPr>
      <w:r/>
    </w:p>
    <w:p>
      <w:pPr>
        <w:sectPr>
          <w:footerReference w:type="default" r:id="rId564"/>
          <w:pgSz w:w="16830" w:h="11900"/>
          <w:pgMar w:top="1011" w:right="1565" w:bottom="1118" w:left="1434" w:header="0" w:footer="785" w:gutter="0"/>
        </w:sectPr>
        <w:rPr/>
      </w:pPr>
    </w:p>
    <w:p>
      <w:pPr>
        <w:spacing w:before="20"/>
        <w:rPr/>
      </w:pPr>
      <w:r/>
    </w:p>
    <w:p>
      <w:pPr>
        <w:spacing w:before="20"/>
        <w:rPr/>
      </w:pPr>
      <w:r/>
    </w:p>
    <w:p>
      <w:pPr>
        <w:spacing w:before="19"/>
        <w:rPr/>
      </w:pPr>
      <w:r/>
    </w:p>
    <w:tbl>
      <w:tblPr>
        <w:tblStyle w:val="TableNormal"/>
        <w:tblW w:w="138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8733"/>
        <w:gridCol w:w="3652"/>
      </w:tblGrid>
      <w:tr>
        <w:trPr>
          <w:trHeight w:val="3377" w:hRule="atLeast"/>
        </w:trPr>
        <w:tc>
          <w:tcPr>
            <w:tcW w:w="1434"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458"/>
              <w:spacing w:before="81" w:line="220" w:lineRule="auto"/>
              <w:rPr>
                <w:sz w:val="25"/>
                <w:szCs w:val="25"/>
              </w:rPr>
            </w:pPr>
            <w:bookmarkStart w:name="bookmark1197" w:id="574"/>
            <w:bookmarkEnd w:id="574"/>
            <w:r>
              <w:rPr>
                <w:sz w:val="25"/>
                <w:szCs w:val="25"/>
                <w:b/>
                <w:bCs/>
                <w:spacing w:val="-6"/>
              </w:rPr>
              <w:t>严重</w:t>
            </w:r>
          </w:p>
        </w:tc>
        <w:tc>
          <w:tcPr>
            <w:tcW w:w="8733" w:type="dxa"/>
            <w:vAlign w:val="top"/>
          </w:tcPr>
          <w:p>
            <w:pPr>
              <w:pStyle w:val="TableText"/>
              <w:ind w:left="100"/>
              <w:spacing w:before="46" w:line="220" w:lineRule="auto"/>
              <w:rPr>
                <w:sz w:val="25"/>
                <w:szCs w:val="25"/>
              </w:rPr>
            </w:pPr>
            <w:r>
              <w:rPr>
                <w:sz w:val="25"/>
                <w:szCs w:val="25"/>
                <w:spacing w:val="2"/>
              </w:rPr>
              <w:t>有下列情形之一的：</w:t>
            </w:r>
          </w:p>
          <w:p>
            <w:pPr>
              <w:pStyle w:val="TableText"/>
              <w:ind w:left="100" w:hanging="9"/>
              <w:spacing w:before="41" w:line="235" w:lineRule="auto"/>
              <w:rPr>
                <w:sz w:val="25"/>
                <w:szCs w:val="25"/>
              </w:rPr>
            </w:pPr>
            <w:r>
              <w:rPr>
                <w:sz w:val="25"/>
                <w:szCs w:val="25"/>
                <w:spacing w:val="-7"/>
              </w:rPr>
              <w:t>A、进行新建、改建、扩建、技术改造或者技术引进建设项目的，自建设项目竣工</w:t>
            </w:r>
            <w:r>
              <w:rPr>
                <w:sz w:val="25"/>
                <w:szCs w:val="25"/>
                <w:spacing w:val="7"/>
              </w:rPr>
              <w:t xml:space="preserve"> </w:t>
            </w:r>
            <w:r>
              <w:rPr>
                <w:sz w:val="25"/>
                <w:szCs w:val="25"/>
              </w:rPr>
              <w:t>验收之日起30日内进行申报，逾期60天以上的</w:t>
            </w:r>
          </w:p>
          <w:p>
            <w:pPr>
              <w:pStyle w:val="TableText"/>
              <w:ind w:left="100"/>
              <w:spacing w:before="53" w:line="238" w:lineRule="auto"/>
              <w:rPr>
                <w:sz w:val="25"/>
                <w:szCs w:val="25"/>
              </w:rPr>
            </w:pPr>
            <w:r>
              <w:rPr>
                <w:sz w:val="25"/>
                <w:szCs w:val="25"/>
              </w:rPr>
              <w:t>B、因技术、工艺、设备或者材料(除高毒物品)</w:t>
            </w:r>
            <w:r>
              <w:rPr>
                <w:sz w:val="25"/>
                <w:szCs w:val="25"/>
                <w:spacing w:val="-1"/>
              </w:rPr>
              <w:t>等发生变化导致原申报的职业病</w:t>
            </w:r>
            <w:r>
              <w:rPr>
                <w:sz w:val="25"/>
                <w:szCs w:val="25"/>
              </w:rPr>
              <w:t xml:space="preserve"> </w:t>
            </w:r>
            <w:r>
              <w:rPr>
                <w:sz w:val="25"/>
                <w:szCs w:val="25"/>
                <w:spacing w:val="-4"/>
              </w:rPr>
              <w:t>危害因素及其相关内容发生重大变化的，自发生变化之日起15日内进行申报，逾</w:t>
            </w:r>
            <w:r>
              <w:rPr>
                <w:sz w:val="25"/>
                <w:szCs w:val="25"/>
                <w:spacing w:val="15"/>
              </w:rPr>
              <w:t xml:space="preserve"> </w:t>
            </w:r>
            <w:r>
              <w:rPr>
                <w:sz w:val="25"/>
                <w:szCs w:val="25"/>
              </w:rPr>
              <w:t>期60天以上的，或者未申报的；产生严重后果的</w:t>
            </w:r>
          </w:p>
          <w:p>
            <w:pPr>
              <w:pStyle w:val="TableText"/>
              <w:ind w:left="100"/>
              <w:spacing w:before="53" w:line="235" w:lineRule="auto"/>
              <w:rPr>
                <w:sz w:val="25"/>
                <w:szCs w:val="25"/>
              </w:rPr>
            </w:pPr>
            <w:r>
              <w:rPr>
                <w:sz w:val="25"/>
                <w:szCs w:val="25"/>
                <w:spacing w:val="-7"/>
              </w:rPr>
              <w:t>C、用人单位工作场所、名称、法定代表人或者主要负责人发生变化的，自发</w:t>
            </w:r>
            <w:r>
              <w:rPr>
                <w:sz w:val="25"/>
                <w:szCs w:val="25"/>
                <w:spacing w:val="-8"/>
              </w:rPr>
              <w:t>生变</w:t>
            </w:r>
            <w:r>
              <w:rPr>
                <w:sz w:val="25"/>
                <w:szCs w:val="25"/>
              </w:rPr>
              <w:t xml:space="preserve"> </w:t>
            </w:r>
            <w:r>
              <w:rPr>
                <w:sz w:val="25"/>
                <w:szCs w:val="25"/>
              </w:rPr>
              <w:t>化之日起15日内进行申报，逾期60天以上的</w:t>
            </w:r>
          </w:p>
          <w:p>
            <w:pPr>
              <w:pStyle w:val="TableText"/>
              <w:ind w:left="100" w:hanging="9"/>
              <w:spacing w:before="49" w:line="216" w:lineRule="auto"/>
              <w:rPr>
                <w:sz w:val="25"/>
                <w:szCs w:val="25"/>
              </w:rPr>
            </w:pPr>
            <w:r>
              <w:rPr>
                <w:sz w:val="25"/>
                <w:szCs w:val="25"/>
                <w:spacing w:val="-7"/>
              </w:rPr>
              <w:t>D、经过职业病危害因素检测、评价，发现原申报内容发生变化的，自收到有关检</w:t>
            </w:r>
            <w:r>
              <w:rPr>
                <w:sz w:val="25"/>
                <w:szCs w:val="25"/>
                <w:spacing w:val="7"/>
              </w:rPr>
              <w:t xml:space="preserve"> </w:t>
            </w:r>
            <w:r>
              <w:rPr>
                <w:sz w:val="25"/>
                <w:szCs w:val="25"/>
              </w:rPr>
              <w:t>测、评价结果之日起15日内进行申报，逾期60天以上的</w:t>
            </w:r>
          </w:p>
        </w:tc>
        <w:tc>
          <w:tcPr>
            <w:tcW w:w="3652"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18" w:right="128" w:firstLine="9"/>
              <w:spacing w:before="81" w:line="256" w:lineRule="auto"/>
              <w:rPr>
                <w:sz w:val="25"/>
                <w:szCs w:val="25"/>
              </w:rPr>
            </w:pPr>
            <w:r>
              <w:rPr>
                <w:sz w:val="25"/>
                <w:szCs w:val="25"/>
              </w:rPr>
              <w:t>给予警告，责令其改正，处2万</w:t>
            </w:r>
            <w:r>
              <w:rPr>
                <w:sz w:val="25"/>
                <w:szCs w:val="25"/>
                <w:spacing w:val="9"/>
              </w:rPr>
              <w:t xml:space="preserve"> </w:t>
            </w:r>
            <w:r>
              <w:rPr>
                <w:sz w:val="25"/>
                <w:szCs w:val="25"/>
                <w:spacing w:val="1"/>
              </w:rPr>
              <w:t>元以上3万元以下的罚款</w:t>
            </w:r>
          </w:p>
        </w:tc>
      </w:tr>
      <w:tr>
        <w:trPr>
          <w:trHeight w:val="683" w:hRule="atLeast"/>
        </w:trPr>
        <w:tc>
          <w:tcPr>
            <w:tcW w:w="1434" w:type="dxa"/>
            <w:vAlign w:val="top"/>
          </w:tcPr>
          <w:p>
            <w:pPr>
              <w:pStyle w:val="TableText"/>
              <w:ind w:left="208"/>
              <w:spacing w:before="314" w:line="219" w:lineRule="auto"/>
              <w:rPr>
                <w:sz w:val="25"/>
                <w:szCs w:val="25"/>
              </w:rPr>
            </w:pPr>
            <w:r>
              <w:rPr>
                <w:sz w:val="25"/>
                <w:szCs w:val="25"/>
                <w:b/>
                <w:bCs/>
                <w:spacing w:val="-5"/>
              </w:rPr>
              <w:t>特别严重</w:t>
            </w:r>
          </w:p>
        </w:tc>
        <w:tc>
          <w:tcPr>
            <w:tcW w:w="8733" w:type="dxa"/>
            <w:vAlign w:val="top"/>
          </w:tcPr>
          <w:p>
            <w:pPr>
              <w:pStyle w:val="TableText"/>
              <w:ind w:left="100"/>
              <w:spacing w:before="87" w:line="216" w:lineRule="auto"/>
              <w:rPr>
                <w:sz w:val="25"/>
                <w:szCs w:val="25"/>
              </w:rPr>
            </w:pPr>
            <w:r>
              <w:rPr>
                <w:sz w:val="25"/>
                <w:szCs w:val="25"/>
                <w:spacing w:val="-11"/>
              </w:rPr>
              <w:t>变更使用高毒物品品种而导致原申报的职业病危害因素及其相关内容发生变化的，</w:t>
            </w:r>
            <w:r>
              <w:rPr>
                <w:sz w:val="25"/>
                <w:szCs w:val="25"/>
                <w:spacing w:val="17"/>
              </w:rPr>
              <w:t xml:space="preserve"> </w:t>
            </w:r>
            <w:r>
              <w:rPr>
                <w:sz w:val="25"/>
                <w:szCs w:val="25"/>
                <w:spacing w:val="-3"/>
              </w:rPr>
              <w:t>自发生变化之日起15日内进行申报，逾期未申报的</w:t>
            </w:r>
          </w:p>
        </w:tc>
        <w:tc>
          <w:tcPr>
            <w:tcW w:w="3652" w:type="dxa"/>
            <w:vAlign w:val="top"/>
          </w:tcPr>
          <w:p>
            <w:pPr>
              <w:pStyle w:val="TableText"/>
              <w:ind w:left="118" w:right="128" w:firstLine="9"/>
              <w:spacing w:before="77" w:line="220" w:lineRule="auto"/>
              <w:rPr>
                <w:sz w:val="25"/>
                <w:szCs w:val="25"/>
              </w:rPr>
            </w:pPr>
            <w:r>
              <w:rPr>
                <w:sz w:val="25"/>
                <w:szCs w:val="25"/>
              </w:rPr>
              <w:t>给予警告，责令限期改正，处3</w:t>
            </w:r>
            <w:r>
              <w:rPr>
                <w:sz w:val="25"/>
                <w:szCs w:val="25"/>
                <w:spacing w:val="9"/>
              </w:rPr>
              <w:t xml:space="preserve"> </w:t>
            </w:r>
            <w:r>
              <w:rPr>
                <w:sz w:val="25"/>
                <w:szCs w:val="25"/>
                <w:spacing w:val="1"/>
              </w:rPr>
              <w:t>万元以上5万元以下的罚款</w:t>
            </w:r>
          </w:p>
        </w:tc>
      </w:tr>
    </w:tbl>
    <w:p>
      <w:pPr>
        <w:pStyle w:val="BodyText"/>
        <w:spacing w:line="350" w:lineRule="auto"/>
        <w:rPr/>
      </w:pPr>
      <w:r/>
    </w:p>
    <w:p>
      <w:pPr>
        <w:pStyle w:val="BodyText"/>
        <w:spacing w:line="350" w:lineRule="auto"/>
        <w:rPr/>
      </w:pPr>
      <w:r/>
    </w:p>
    <w:p>
      <w:pPr>
        <w:ind w:left="779"/>
        <w:spacing w:before="101" w:line="223" w:lineRule="auto"/>
        <w:rPr>
          <w:rFonts w:ascii="KaiTi" w:hAnsi="KaiTi" w:eastAsia="KaiTi" w:cs="KaiTi"/>
          <w:sz w:val="31"/>
          <w:szCs w:val="31"/>
        </w:rPr>
      </w:pPr>
      <w:r>
        <w:rPr>
          <w:rFonts w:ascii="KaiTi" w:hAnsi="KaiTi" w:eastAsia="KaiTi" w:cs="KaiTi"/>
          <w:sz w:val="31"/>
          <w:szCs w:val="31"/>
          <w:b/>
          <w:bCs/>
          <w:spacing w:val="17"/>
        </w:rPr>
        <w:t>(八)《用人单位职业健康监护监督管理办法》</w:t>
      </w:r>
    </w:p>
    <w:p>
      <w:pPr>
        <w:ind w:left="659"/>
        <w:spacing w:before="317" w:line="220" w:lineRule="auto"/>
        <w:rPr>
          <w:rFonts w:ascii="FangSong" w:hAnsi="FangSong" w:eastAsia="FangSong" w:cs="FangSong"/>
          <w:sz w:val="31"/>
          <w:szCs w:val="31"/>
        </w:rPr>
      </w:pPr>
      <w:r>
        <w:rPr>
          <w:rFonts w:ascii="FangSong" w:hAnsi="FangSong" w:eastAsia="FangSong" w:cs="FangSong"/>
          <w:sz w:val="31"/>
          <w:szCs w:val="31"/>
          <w:b/>
          <w:bCs/>
          <w:spacing w:val="14"/>
        </w:rPr>
        <w:t>第五百四十条未建立或者落实职业健康监护制度的</w:t>
      </w:r>
    </w:p>
    <w:p>
      <w:pPr>
        <w:ind w:left="654"/>
        <w:spacing w:before="107"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15" w:firstLine="604"/>
        <w:spacing w:before="74" w:line="273" w:lineRule="auto"/>
        <w:rPr>
          <w:rFonts w:ascii="FangSong" w:hAnsi="FangSong" w:eastAsia="FangSong" w:cs="FangSong"/>
          <w:sz w:val="31"/>
          <w:szCs w:val="31"/>
        </w:rPr>
      </w:pPr>
      <w:r>
        <w:rPr>
          <w:rFonts w:ascii="FangSong" w:hAnsi="FangSong" w:eastAsia="FangSong" w:cs="FangSong"/>
          <w:sz w:val="31"/>
          <w:szCs w:val="31"/>
          <w:spacing w:val="13"/>
        </w:rPr>
        <w:t>《用人单位职业健康监护监督管理办法》第二十六条第(一)项</w:t>
      </w:r>
      <w:r>
        <w:rPr>
          <w:rFonts w:ascii="FangSong" w:hAnsi="FangSong" w:eastAsia="FangSong" w:cs="FangSong"/>
          <w:sz w:val="31"/>
          <w:szCs w:val="31"/>
          <w:spacing w:val="13"/>
        </w:rPr>
        <w:t xml:space="preserve">   </w:t>
      </w:r>
      <w:r>
        <w:rPr>
          <w:rFonts w:ascii="FangSong" w:hAnsi="FangSong" w:eastAsia="FangSong" w:cs="FangSong"/>
          <w:sz w:val="31"/>
          <w:szCs w:val="31"/>
          <w:spacing w:val="13"/>
        </w:rPr>
        <w:t>用人单位有</w:t>
      </w:r>
      <w:r>
        <w:rPr>
          <w:rFonts w:ascii="FangSong" w:hAnsi="FangSong" w:eastAsia="FangSong" w:cs="FangSong"/>
          <w:sz w:val="31"/>
          <w:szCs w:val="31"/>
          <w:spacing w:val="12"/>
        </w:rPr>
        <w:t>下列行为之一的，</w:t>
      </w:r>
      <w:r>
        <w:rPr>
          <w:rFonts w:ascii="FangSong" w:hAnsi="FangSong" w:eastAsia="FangSong" w:cs="FangSong"/>
          <w:sz w:val="31"/>
          <w:szCs w:val="31"/>
        </w:rPr>
        <w:t xml:space="preserve"> </w:t>
      </w:r>
      <w:r>
        <w:rPr>
          <w:rFonts w:ascii="FangSong" w:hAnsi="FangSong" w:eastAsia="FangSong" w:cs="FangSong"/>
          <w:sz w:val="31"/>
          <w:szCs w:val="31"/>
          <w:spacing w:val="12"/>
        </w:rPr>
        <w:t>给予警告，责令限期改正，可以并处3万元以下的罚款：</w:t>
      </w:r>
    </w:p>
    <w:p>
      <w:pPr>
        <w:ind w:left="774"/>
        <w:spacing w:before="3" w:line="222" w:lineRule="auto"/>
        <w:rPr>
          <w:rFonts w:ascii="FangSong" w:hAnsi="FangSong" w:eastAsia="FangSong" w:cs="FangSong"/>
          <w:sz w:val="31"/>
          <w:szCs w:val="31"/>
        </w:rPr>
      </w:pPr>
      <w:r>
        <w:rPr>
          <w:rFonts w:ascii="FangSong" w:hAnsi="FangSong" w:eastAsia="FangSong" w:cs="FangSong"/>
          <w:sz w:val="31"/>
          <w:szCs w:val="31"/>
          <w:spacing w:val="14"/>
        </w:rPr>
        <w:t>(一)未建立或者落实职业健康监护制度的；</w:t>
      </w:r>
    </w:p>
    <w:p>
      <w:pPr>
        <w:ind w:left="6418"/>
        <w:spacing w:before="233" w:line="221" w:lineRule="auto"/>
        <w:rPr>
          <w:rFonts w:ascii="SimHei" w:hAnsi="SimHei" w:eastAsia="SimHei" w:cs="SimHei"/>
          <w:sz w:val="27"/>
          <w:szCs w:val="27"/>
        </w:rPr>
      </w:pPr>
      <w:r>
        <w:rPr>
          <w:rFonts w:ascii="SimHei" w:hAnsi="SimHei" w:eastAsia="SimHei" w:cs="SimHei"/>
          <w:sz w:val="27"/>
          <w:szCs w:val="27"/>
          <w:b/>
          <w:bCs/>
          <w:spacing w:val="8"/>
        </w:rPr>
        <w:t>裁量标准</w:t>
      </w:r>
    </w:p>
    <w:p>
      <w:pPr>
        <w:spacing w:line="221" w:lineRule="auto"/>
        <w:sectPr>
          <w:footerReference w:type="default" r:id="rId565"/>
          <w:pgSz w:w="16830" w:h="11900"/>
          <w:pgMar w:top="1011" w:right="1344" w:bottom="1127" w:left="1434" w:header="0" w:footer="794" w:gutter="0"/>
        </w:sectPr>
        <w:rPr>
          <w:rFonts w:ascii="SimHei" w:hAnsi="SimHei" w:eastAsia="SimHei" w:cs="SimHei"/>
          <w:sz w:val="27"/>
          <w:szCs w:val="27"/>
        </w:rPr>
      </w:pPr>
    </w:p>
    <w:p>
      <w:pPr>
        <w:spacing w:before="17"/>
        <w:rPr/>
      </w:pPr>
      <w:r/>
    </w:p>
    <w:p>
      <w:pPr>
        <w:spacing w:before="16"/>
        <w:rPr/>
      </w:pPr>
      <w:r/>
    </w:p>
    <w:p>
      <w:pPr>
        <w:spacing w:before="16"/>
        <w:rPr/>
      </w:pPr>
      <w:r/>
    </w:p>
    <w:tbl>
      <w:tblPr>
        <w:tblStyle w:val="TableNormal"/>
        <w:tblW w:w="1372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7214"/>
        <w:gridCol w:w="5091"/>
      </w:tblGrid>
      <w:tr>
        <w:trPr>
          <w:trHeight w:val="573" w:hRule="atLeast"/>
        </w:trPr>
        <w:tc>
          <w:tcPr>
            <w:tcW w:w="1424" w:type="dxa"/>
            <w:vAlign w:val="top"/>
          </w:tcPr>
          <w:p>
            <w:pPr>
              <w:pStyle w:val="TableText"/>
              <w:ind w:left="208"/>
              <w:spacing w:before="162" w:line="220" w:lineRule="auto"/>
              <w:rPr>
                <w:sz w:val="25"/>
                <w:szCs w:val="25"/>
              </w:rPr>
            </w:pPr>
            <w:bookmarkStart w:name="bookmark1198" w:id="575"/>
            <w:bookmarkEnd w:id="575"/>
            <w:r>
              <w:rPr>
                <w:sz w:val="25"/>
                <w:szCs w:val="25"/>
                <w:b/>
                <w:bCs/>
                <w:spacing w:val="-5"/>
              </w:rPr>
              <w:t>违法程度</w:t>
            </w:r>
          </w:p>
        </w:tc>
        <w:tc>
          <w:tcPr>
            <w:tcW w:w="7214" w:type="dxa"/>
            <w:vAlign w:val="top"/>
          </w:tcPr>
          <w:p>
            <w:pPr>
              <w:pStyle w:val="TableText"/>
              <w:ind w:left="3034"/>
              <w:spacing w:before="162" w:line="220" w:lineRule="auto"/>
              <w:rPr>
                <w:sz w:val="25"/>
                <w:szCs w:val="25"/>
              </w:rPr>
            </w:pPr>
            <w:r>
              <w:rPr>
                <w:sz w:val="25"/>
                <w:szCs w:val="25"/>
                <w:b/>
                <w:bCs/>
                <w:spacing w:val="-5"/>
              </w:rPr>
              <w:t>情节后果</w:t>
            </w:r>
          </w:p>
        </w:tc>
        <w:tc>
          <w:tcPr>
            <w:tcW w:w="5091" w:type="dxa"/>
            <w:vAlign w:val="top"/>
          </w:tcPr>
          <w:p>
            <w:pPr>
              <w:pStyle w:val="TableText"/>
              <w:ind w:left="1990"/>
              <w:spacing w:before="159" w:line="218" w:lineRule="auto"/>
              <w:rPr>
                <w:sz w:val="25"/>
                <w:szCs w:val="25"/>
              </w:rPr>
            </w:pPr>
            <w:r>
              <w:rPr>
                <w:sz w:val="25"/>
                <w:szCs w:val="25"/>
                <w:b/>
                <w:bCs/>
                <w:spacing w:val="-5"/>
              </w:rPr>
              <w:t>裁量幅度</w:t>
            </w:r>
          </w:p>
        </w:tc>
      </w:tr>
      <w:tr>
        <w:trPr>
          <w:trHeight w:val="677" w:hRule="atLeast"/>
        </w:trPr>
        <w:tc>
          <w:tcPr>
            <w:tcW w:w="1424" w:type="dxa"/>
            <w:vAlign w:val="top"/>
          </w:tcPr>
          <w:p>
            <w:pPr>
              <w:pStyle w:val="TableText"/>
              <w:ind w:left="458"/>
              <w:spacing w:before="300" w:line="221" w:lineRule="auto"/>
              <w:rPr>
                <w:sz w:val="25"/>
                <w:szCs w:val="25"/>
              </w:rPr>
            </w:pPr>
            <w:r>
              <w:rPr>
                <w:sz w:val="25"/>
                <w:szCs w:val="25"/>
                <w:b/>
                <w:bCs/>
                <w:spacing w:val="-10"/>
              </w:rPr>
              <w:t>一般</w:t>
            </w:r>
          </w:p>
        </w:tc>
        <w:tc>
          <w:tcPr>
            <w:tcW w:w="7214" w:type="dxa"/>
            <w:vAlign w:val="top"/>
          </w:tcPr>
          <w:p>
            <w:pPr>
              <w:pStyle w:val="TableText"/>
              <w:ind w:left="101"/>
              <w:spacing w:before="222" w:line="219" w:lineRule="auto"/>
              <w:rPr>
                <w:sz w:val="25"/>
                <w:szCs w:val="25"/>
              </w:rPr>
            </w:pPr>
            <w:r>
              <w:rPr>
                <w:sz w:val="25"/>
                <w:szCs w:val="25"/>
                <w:spacing w:val="1"/>
              </w:rPr>
              <w:t>未建立职业健康监护制度的</w:t>
            </w:r>
          </w:p>
        </w:tc>
        <w:tc>
          <w:tcPr>
            <w:tcW w:w="5091" w:type="dxa"/>
            <w:vAlign w:val="top"/>
          </w:tcPr>
          <w:p>
            <w:pPr>
              <w:pStyle w:val="TableText"/>
              <w:ind w:left="126" w:right="51"/>
              <w:spacing w:before="60" w:line="224" w:lineRule="auto"/>
              <w:rPr>
                <w:sz w:val="25"/>
                <w:szCs w:val="25"/>
              </w:rPr>
            </w:pPr>
            <w:r>
              <w:rPr>
                <w:sz w:val="25"/>
                <w:szCs w:val="25"/>
                <w:spacing w:val="1"/>
              </w:rPr>
              <w:t>给予警告，责令限期改正，可以并处1万元以</w:t>
            </w:r>
            <w:r>
              <w:rPr>
                <w:sz w:val="25"/>
                <w:szCs w:val="25"/>
                <w:spacing w:val="6"/>
              </w:rPr>
              <w:t xml:space="preserve"> </w:t>
            </w:r>
            <w:r>
              <w:rPr>
                <w:sz w:val="25"/>
                <w:szCs w:val="25"/>
                <w:spacing w:val="2"/>
              </w:rPr>
              <w:t>下的罚款</w:t>
            </w:r>
          </w:p>
        </w:tc>
      </w:tr>
      <w:tr>
        <w:trPr>
          <w:trHeight w:val="678" w:hRule="atLeast"/>
        </w:trPr>
        <w:tc>
          <w:tcPr>
            <w:tcW w:w="1424" w:type="dxa"/>
            <w:vAlign w:val="top"/>
          </w:tcPr>
          <w:p>
            <w:pPr>
              <w:pStyle w:val="TableText"/>
              <w:ind w:left="458"/>
              <w:spacing w:before="305" w:line="221" w:lineRule="auto"/>
              <w:rPr>
                <w:sz w:val="25"/>
                <w:szCs w:val="25"/>
              </w:rPr>
            </w:pPr>
            <w:r>
              <w:rPr>
                <w:sz w:val="25"/>
                <w:szCs w:val="25"/>
                <w:b/>
                <w:bCs/>
                <w:spacing w:val="-6"/>
              </w:rPr>
              <w:t>较重</w:t>
            </w:r>
          </w:p>
        </w:tc>
        <w:tc>
          <w:tcPr>
            <w:tcW w:w="7214" w:type="dxa"/>
            <w:vAlign w:val="top"/>
          </w:tcPr>
          <w:p>
            <w:pPr>
              <w:pStyle w:val="TableText"/>
              <w:ind w:left="101"/>
              <w:spacing w:before="225" w:line="219" w:lineRule="auto"/>
              <w:rPr>
                <w:sz w:val="25"/>
                <w:szCs w:val="25"/>
              </w:rPr>
            </w:pPr>
            <w:r>
              <w:rPr>
                <w:sz w:val="25"/>
                <w:szCs w:val="25"/>
                <w:spacing w:val="1"/>
              </w:rPr>
              <w:t>建立而未落实职业健康监护制度的</w:t>
            </w:r>
          </w:p>
        </w:tc>
        <w:tc>
          <w:tcPr>
            <w:tcW w:w="5091" w:type="dxa"/>
            <w:vAlign w:val="top"/>
          </w:tcPr>
          <w:p>
            <w:pPr>
              <w:pStyle w:val="TableText"/>
              <w:ind w:left="126" w:right="178" w:firstLine="9"/>
              <w:spacing w:before="64" w:line="223" w:lineRule="auto"/>
              <w:rPr>
                <w:sz w:val="25"/>
                <w:szCs w:val="25"/>
              </w:rPr>
            </w:pPr>
            <w:r>
              <w:rPr>
                <w:sz w:val="25"/>
                <w:szCs w:val="25"/>
              </w:rPr>
              <w:t>给予警告，责令限期改正，并处1万元以上2</w:t>
            </w:r>
            <w:r>
              <w:rPr>
                <w:sz w:val="25"/>
                <w:szCs w:val="25"/>
                <w:spacing w:val="14"/>
              </w:rPr>
              <w:t xml:space="preserve"> </w:t>
            </w:r>
            <w:r>
              <w:rPr>
                <w:sz w:val="25"/>
                <w:szCs w:val="25"/>
                <w:spacing w:val="1"/>
              </w:rPr>
              <w:t>万元以下的罚款</w:t>
            </w:r>
          </w:p>
        </w:tc>
      </w:tr>
      <w:tr>
        <w:trPr>
          <w:trHeight w:val="662" w:hRule="atLeast"/>
        </w:trPr>
        <w:tc>
          <w:tcPr>
            <w:tcW w:w="1424" w:type="dxa"/>
            <w:vAlign w:val="top"/>
          </w:tcPr>
          <w:p>
            <w:pPr>
              <w:pStyle w:val="TableText"/>
              <w:ind w:left="458"/>
              <w:spacing w:before="314" w:line="220" w:lineRule="auto"/>
              <w:rPr>
                <w:sz w:val="25"/>
                <w:szCs w:val="25"/>
              </w:rPr>
            </w:pPr>
            <w:r>
              <w:rPr>
                <w:sz w:val="25"/>
                <w:szCs w:val="25"/>
                <w:b/>
                <w:bCs/>
                <w:spacing w:val="-6"/>
              </w:rPr>
              <w:t>严重</w:t>
            </w:r>
          </w:p>
        </w:tc>
        <w:tc>
          <w:tcPr>
            <w:tcW w:w="7214" w:type="dxa"/>
            <w:vAlign w:val="top"/>
          </w:tcPr>
          <w:p>
            <w:pPr>
              <w:pStyle w:val="TableText"/>
              <w:ind w:left="101" w:firstLine="9"/>
              <w:spacing w:before="64" w:line="217" w:lineRule="auto"/>
              <w:rPr>
                <w:sz w:val="25"/>
                <w:szCs w:val="25"/>
              </w:rPr>
            </w:pPr>
            <w:r>
              <w:rPr>
                <w:sz w:val="25"/>
                <w:szCs w:val="25"/>
                <w:spacing w:val="-6"/>
              </w:rPr>
              <w:t>未建立或落实职业健康监护制度的，经警告，逾期未改的；或造成</w:t>
            </w:r>
            <w:r>
              <w:rPr>
                <w:sz w:val="25"/>
                <w:szCs w:val="25"/>
                <w:spacing w:val="16"/>
              </w:rPr>
              <w:t xml:space="preserve"> </w:t>
            </w:r>
            <w:r>
              <w:rPr>
                <w:sz w:val="25"/>
                <w:szCs w:val="25"/>
                <w:spacing w:val="3"/>
              </w:rPr>
              <w:t>严重后果的</w:t>
            </w:r>
          </w:p>
        </w:tc>
        <w:tc>
          <w:tcPr>
            <w:tcW w:w="5091" w:type="dxa"/>
            <w:vAlign w:val="top"/>
          </w:tcPr>
          <w:p>
            <w:pPr>
              <w:pStyle w:val="TableText"/>
              <w:ind w:left="126"/>
              <w:spacing w:before="218" w:line="220" w:lineRule="auto"/>
              <w:rPr>
                <w:sz w:val="25"/>
                <w:szCs w:val="25"/>
              </w:rPr>
            </w:pPr>
            <w:r>
              <w:rPr>
                <w:sz w:val="25"/>
                <w:szCs w:val="25"/>
              </w:rPr>
              <w:t>处2万元以上3万元以下的罚款</w:t>
            </w:r>
          </w:p>
        </w:tc>
      </w:tr>
    </w:tbl>
    <w:p>
      <w:pPr>
        <w:pStyle w:val="BodyText"/>
        <w:spacing w:line="463" w:lineRule="auto"/>
        <w:rPr/>
      </w:pPr>
      <w:r/>
    </w:p>
    <w:p>
      <w:pPr>
        <w:ind w:left="689"/>
        <w:spacing w:before="101" w:line="220" w:lineRule="auto"/>
        <w:rPr>
          <w:rFonts w:ascii="FangSong" w:hAnsi="FangSong" w:eastAsia="FangSong" w:cs="FangSong"/>
          <w:sz w:val="31"/>
          <w:szCs w:val="31"/>
        </w:rPr>
      </w:pPr>
      <w:r>
        <w:rPr>
          <w:rFonts w:ascii="FangSong" w:hAnsi="FangSong" w:eastAsia="FangSong" w:cs="FangSong"/>
          <w:sz w:val="31"/>
          <w:szCs w:val="31"/>
          <w:b/>
          <w:bCs/>
          <w:spacing w:val="12"/>
        </w:rPr>
        <w:t>第五百四十一条未按照规定制定职业健康监护计划和落实专项经费的</w:t>
      </w:r>
    </w:p>
    <w:p>
      <w:pPr>
        <w:ind w:left="665"/>
        <w:spacing w:before="78" w:line="222" w:lineRule="auto"/>
        <w:rPr>
          <w:rFonts w:ascii="FangSong" w:hAnsi="FangSong" w:eastAsia="FangSong" w:cs="FangSong"/>
          <w:sz w:val="31"/>
          <w:szCs w:val="31"/>
        </w:rPr>
      </w:pPr>
      <w:r>
        <w:rPr>
          <w:rFonts w:ascii="FangSong" w:hAnsi="FangSong" w:eastAsia="FangSong" w:cs="FangSong"/>
          <w:sz w:val="31"/>
          <w:szCs w:val="31"/>
          <w:spacing w:val="-6"/>
        </w:rPr>
        <w:t>法律依据：</w:t>
      </w:r>
    </w:p>
    <w:p>
      <w:pPr>
        <w:ind w:left="45" w:firstLine="614"/>
        <w:spacing w:before="64" w:line="261" w:lineRule="auto"/>
        <w:rPr>
          <w:rFonts w:ascii="FangSong" w:hAnsi="FangSong" w:eastAsia="FangSong" w:cs="FangSong"/>
          <w:sz w:val="31"/>
          <w:szCs w:val="31"/>
        </w:rPr>
      </w:pPr>
      <w:r>
        <w:rPr>
          <w:rFonts w:ascii="FangSong" w:hAnsi="FangSong" w:eastAsia="FangSong" w:cs="FangSong"/>
          <w:sz w:val="31"/>
          <w:szCs w:val="31"/>
          <w:spacing w:val="16"/>
        </w:rPr>
        <w:t>《用人单位职业健康监护监督管理办法》第二十六条第(二)项</w:t>
      </w:r>
      <w:r>
        <w:rPr>
          <w:rFonts w:ascii="FangSong" w:hAnsi="FangSong" w:eastAsia="FangSong" w:cs="FangSong"/>
          <w:sz w:val="31"/>
          <w:szCs w:val="31"/>
          <w:spacing w:val="16"/>
        </w:rPr>
        <w:t xml:space="preserve">  </w:t>
      </w:r>
      <w:r>
        <w:rPr>
          <w:rFonts w:ascii="FangSong" w:hAnsi="FangSong" w:eastAsia="FangSong" w:cs="FangSong"/>
          <w:sz w:val="31"/>
          <w:szCs w:val="31"/>
          <w:spacing w:val="16"/>
        </w:rPr>
        <w:t>用人单位</w:t>
      </w:r>
      <w:r>
        <w:rPr>
          <w:rFonts w:ascii="FangSong" w:hAnsi="FangSong" w:eastAsia="FangSong" w:cs="FangSong"/>
          <w:sz w:val="31"/>
          <w:szCs w:val="31"/>
          <w:spacing w:val="15"/>
        </w:rPr>
        <w:t>有下列行为之一的，</w:t>
      </w:r>
      <w:r>
        <w:rPr>
          <w:rFonts w:ascii="FangSong" w:hAnsi="FangSong" w:eastAsia="FangSong" w:cs="FangSong"/>
          <w:sz w:val="31"/>
          <w:szCs w:val="31"/>
        </w:rPr>
        <w:t xml:space="preserve"> </w:t>
      </w:r>
      <w:r>
        <w:rPr>
          <w:rFonts w:ascii="FangSong" w:hAnsi="FangSong" w:eastAsia="FangSong" w:cs="FangSong"/>
          <w:sz w:val="31"/>
          <w:szCs w:val="31"/>
          <w:spacing w:val="12"/>
        </w:rPr>
        <w:t>给予警告，责令限期改正，可以并处3万元以下的罚款：</w:t>
      </w:r>
    </w:p>
    <w:p>
      <w:pPr>
        <w:ind w:left="805"/>
        <w:spacing w:before="13" w:line="222" w:lineRule="auto"/>
        <w:rPr>
          <w:rFonts w:ascii="FangSong" w:hAnsi="FangSong" w:eastAsia="FangSong" w:cs="FangSong"/>
          <w:sz w:val="31"/>
          <w:szCs w:val="31"/>
        </w:rPr>
      </w:pPr>
      <w:r>
        <w:rPr>
          <w:rFonts w:ascii="FangSong" w:hAnsi="FangSong" w:eastAsia="FangSong" w:cs="FangSong"/>
          <w:sz w:val="31"/>
          <w:szCs w:val="31"/>
          <w:spacing w:val="13"/>
        </w:rPr>
        <w:t>(二)未按照规定制定职业健康监护计划和落实专项经费的；</w:t>
      </w:r>
    </w:p>
    <w:p>
      <w:pPr>
        <w:ind w:left="6439"/>
        <w:spacing w:before="188"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494"/>
        <w:gridCol w:w="4911"/>
      </w:tblGrid>
      <w:tr>
        <w:trPr>
          <w:trHeight w:val="582" w:hRule="atLeast"/>
        </w:trPr>
        <w:tc>
          <w:tcPr>
            <w:tcW w:w="1434" w:type="dxa"/>
            <w:vAlign w:val="top"/>
          </w:tcPr>
          <w:p>
            <w:pPr>
              <w:pStyle w:val="TableText"/>
              <w:ind w:left="208"/>
              <w:spacing w:before="172" w:line="220" w:lineRule="auto"/>
              <w:rPr>
                <w:sz w:val="25"/>
                <w:szCs w:val="25"/>
              </w:rPr>
            </w:pPr>
            <w:r>
              <w:rPr>
                <w:sz w:val="25"/>
                <w:szCs w:val="25"/>
                <w:b/>
                <w:bCs/>
                <w:spacing w:val="-5"/>
              </w:rPr>
              <w:t>违法程度</w:t>
            </w:r>
          </w:p>
        </w:tc>
        <w:tc>
          <w:tcPr>
            <w:tcW w:w="7494" w:type="dxa"/>
            <w:vAlign w:val="top"/>
          </w:tcPr>
          <w:p>
            <w:pPr>
              <w:pStyle w:val="TableText"/>
              <w:ind w:left="3184"/>
              <w:spacing w:before="172" w:line="220" w:lineRule="auto"/>
              <w:rPr>
                <w:sz w:val="25"/>
                <w:szCs w:val="25"/>
              </w:rPr>
            </w:pPr>
            <w:r>
              <w:rPr>
                <w:sz w:val="25"/>
                <w:szCs w:val="25"/>
                <w:b/>
                <w:bCs/>
                <w:spacing w:val="-5"/>
              </w:rPr>
              <w:t>情节后果</w:t>
            </w:r>
          </w:p>
        </w:tc>
        <w:tc>
          <w:tcPr>
            <w:tcW w:w="4911" w:type="dxa"/>
            <w:vAlign w:val="top"/>
          </w:tcPr>
          <w:p>
            <w:pPr>
              <w:pStyle w:val="TableText"/>
              <w:ind w:left="1950"/>
              <w:spacing w:before="169" w:line="218" w:lineRule="auto"/>
              <w:rPr>
                <w:sz w:val="25"/>
                <w:szCs w:val="25"/>
              </w:rPr>
            </w:pPr>
            <w:r>
              <w:rPr>
                <w:sz w:val="25"/>
                <w:szCs w:val="25"/>
                <w:b/>
                <w:bCs/>
                <w:spacing w:val="-5"/>
              </w:rPr>
              <w:t>裁量幅度</w:t>
            </w:r>
          </w:p>
        </w:tc>
      </w:tr>
      <w:tr>
        <w:trPr>
          <w:trHeight w:val="666" w:hRule="atLeast"/>
        </w:trPr>
        <w:tc>
          <w:tcPr>
            <w:tcW w:w="1434" w:type="dxa"/>
            <w:vAlign w:val="top"/>
          </w:tcPr>
          <w:p>
            <w:pPr>
              <w:pStyle w:val="TableText"/>
              <w:ind w:left="458"/>
              <w:spacing w:before="291" w:line="221" w:lineRule="auto"/>
              <w:rPr>
                <w:sz w:val="25"/>
                <w:szCs w:val="25"/>
              </w:rPr>
            </w:pPr>
            <w:r>
              <w:rPr>
                <w:sz w:val="25"/>
                <w:szCs w:val="25"/>
                <w:b/>
                <w:bCs/>
                <w:spacing w:val="-10"/>
              </w:rPr>
              <w:t>一般</w:t>
            </w:r>
          </w:p>
        </w:tc>
        <w:tc>
          <w:tcPr>
            <w:tcW w:w="7494" w:type="dxa"/>
            <w:vAlign w:val="top"/>
          </w:tcPr>
          <w:p>
            <w:pPr>
              <w:pStyle w:val="TableText"/>
              <w:ind w:left="111"/>
              <w:spacing w:before="213" w:line="219" w:lineRule="auto"/>
              <w:rPr>
                <w:sz w:val="25"/>
                <w:szCs w:val="25"/>
              </w:rPr>
            </w:pPr>
            <w:r>
              <w:rPr>
                <w:sz w:val="25"/>
                <w:szCs w:val="25"/>
                <w:spacing w:val="1"/>
              </w:rPr>
              <w:t>未按照规定制定职业健康监护计划的</w:t>
            </w:r>
          </w:p>
        </w:tc>
        <w:tc>
          <w:tcPr>
            <w:tcW w:w="4911" w:type="dxa"/>
            <w:vAlign w:val="top"/>
          </w:tcPr>
          <w:p>
            <w:pPr>
              <w:pStyle w:val="TableText"/>
              <w:ind w:left="136" w:hanging="129"/>
              <w:spacing w:before="60" w:line="220" w:lineRule="auto"/>
              <w:rPr>
                <w:sz w:val="25"/>
                <w:szCs w:val="25"/>
              </w:rPr>
            </w:pPr>
            <w:r>
              <w:rPr>
                <w:sz w:val="25"/>
                <w:szCs w:val="25"/>
              </w:rPr>
              <w:t>给予警告，责令限期改正，可以并处1万元以</w:t>
            </w:r>
            <w:r>
              <w:rPr>
                <w:sz w:val="25"/>
                <w:szCs w:val="25"/>
                <w:spacing w:val="17"/>
              </w:rPr>
              <w:t xml:space="preserve"> </w:t>
            </w:r>
            <w:r>
              <w:rPr>
                <w:sz w:val="25"/>
                <w:szCs w:val="25"/>
                <w:spacing w:val="2"/>
              </w:rPr>
              <w:t>下的罚款</w:t>
            </w:r>
          </w:p>
        </w:tc>
      </w:tr>
      <w:tr>
        <w:trPr>
          <w:trHeight w:val="671" w:hRule="atLeast"/>
        </w:trPr>
        <w:tc>
          <w:tcPr>
            <w:tcW w:w="1434" w:type="dxa"/>
            <w:vAlign w:val="top"/>
          </w:tcPr>
          <w:p>
            <w:pPr>
              <w:pStyle w:val="TableText"/>
              <w:ind w:left="458"/>
              <w:spacing w:before="317" w:line="221" w:lineRule="auto"/>
              <w:rPr>
                <w:sz w:val="25"/>
                <w:szCs w:val="25"/>
              </w:rPr>
            </w:pPr>
            <w:r>
              <w:rPr>
                <w:sz w:val="25"/>
                <w:szCs w:val="25"/>
                <w:b/>
                <w:bCs/>
                <w:spacing w:val="-6"/>
              </w:rPr>
              <w:t>较重</w:t>
            </w:r>
          </w:p>
        </w:tc>
        <w:tc>
          <w:tcPr>
            <w:tcW w:w="7494" w:type="dxa"/>
            <w:vAlign w:val="top"/>
          </w:tcPr>
          <w:p>
            <w:pPr>
              <w:pStyle w:val="TableText"/>
              <w:ind w:left="111"/>
              <w:spacing w:before="217" w:line="219" w:lineRule="auto"/>
              <w:rPr>
                <w:sz w:val="25"/>
                <w:szCs w:val="25"/>
              </w:rPr>
            </w:pPr>
            <w:r>
              <w:rPr>
                <w:sz w:val="25"/>
                <w:szCs w:val="25"/>
                <w:spacing w:val="1"/>
              </w:rPr>
              <w:t>未按照规定落实专项经费的</w:t>
            </w:r>
          </w:p>
        </w:tc>
        <w:tc>
          <w:tcPr>
            <w:tcW w:w="4911" w:type="dxa"/>
            <w:vAlign w:val="top"/>
          </w:tcPr>
          <w:p>
            <w:pPr>
              <w:pStyle w:val="TableText"/>
              <w:ind w:left="126" w:right="58" w:hanging="49"/>
              <w:spacing w:before="94" w:line="209" w:lineRule="auto"/>
              <w:rPr>
                <w:sz w:val="25"/>
                <w:szCs w:val="25"/>
              </w:rPr>
            </w:pPr>
            <w:r>
              <w:rPr>
                <w:sz w:val="25"/>
                <w:szCs w:val="25"/>
              </w:rPr>
              <w:t>给予警告，责令限期改正，并处1万元以上2</w:t>
            </w:r>
            <w:r>
              <w:rPr>
                <w:sz w:val="25"/>
                <w:szCs w:val="25"/>
                <w:spacing w:val="14"/>
              </w:rPr>
              <w:t xml:space="preserve"> </w:t>
            </w:r>
            <w:r>
              <w:rPr>
                <w:sz w:val="25"/>
                <w:szCs w:val="25"/>
                <w:spacing w:val="1"/>
              </w:rPr>
              <w:t>万元以下的罚款</w:t>
            </w:r>
          </w:p>
        </w:tc>
      </w:tr>
    </w:tbl>
    <w:p>
      <w:pPr>
        <w:pStyle w:val="BodyText"/>
        <w:rPr/>
      </w:pPr>
      <w:r/>
    </w:p>
    <w:p>
      <w:pPr>
        <w:sectPr>
          <w:footerReference w:type="default" r:id="rId566"/>
          <w:pgSz w:w="16830" w:h="11900"/>
          <w:pgMar w:top="1011" w:right="1364" w:bottom="1106" w:left="1414" w:header="0" w:footer="826" w:gutter="0"/>
        </w:sectPr>
        <w:rPr/>
      </w:pPr>
    </w:p>
    <w:p>
      <w:pPr>
        <w:spacing w:before="20"/>
        <w:rPr/>
      </w:pPr>
      <w:r/>
    </w:p>
    <w:p>
      <w:pPr>
        <w:spacing w:before="20"/>
        <w:rPr/>
      </w:pPr>
      <w:r/>
    </w:p>
    <w:p>
      <w:pPr>
        <w:spacing w:before="19"/>
        <w:rPr/>
      </w:pPr>
      <w:r/>
    </w:p>
    <w:tbl>
      <w:tblPr>
        <w:tblStyle w:val="TableNormal"/>
        <w:tblW w:w="138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484"/>
        <w:gridCol w:w="4901"/>
      </w:tblGrid>
      <w:tr>
        <w:trPr>
          <w:trHeight w:val="659" w:hRule="atLeast"/>
        </w:trPr>
        <w:tc>
          <w:tcPr>
            <w:tcW w:w="1434" w:type="dxa"/>
            <w:vAlign w:val="top"/>
          </w:tcPr>
          <w:p>
            <w:pPr>
              <w:pStyle w:val="TableText"/>
              <w:ind w:left="438"/>
              <w:spacing w:before="302" w:line="220" w:lineRule="auto"/>
              <w:rPr/>
            </w:pPr>
            <w:bookmarkStart w:name="bookmark1199" w:id="576"/>
            <w:bookmarkEnd w:id="576"/>
            <w:r>
              <w:rPr>
                <w:b/>
                <w:bCs/>
                <w:spacing w:val="-6"/>
              </w:rPr>
              <w:t>严重</w:t>
            </w:r>
          </w:p>
        </w:tc>
        <w:tc>
          <w:tcPr>
            <w:tcW w:w="7484" w:type="dxa"/>
            <w:vAlign w:val="top"/>
          </w:tcPr>
          <w:p>
            <w:pPr>
              <w:pStyle w:val="TableText"/>
              <w:ind w:left="109" w:right="160" w:hanging="9"/>
              <w:spacing w:before="53" w:line="229" w:lineRule="auto"/>
              <w:rPr/>
            </w:pPr>
            <w:r>
              <w:rPr/>
              <w:t>未按照规定制定职业健康监护计划和落实专项经费，经警告，逾期未</w:t>
            </w:r>
            <w:r>
              <w:rPr>
                <w:spacing w:val="11"/>
              </w:rPr>
              <w:t xml:space="preserve"> </w:t>
            </w:r>
            <w:r>
              <w:rPr>
                <w:spacing w:val="1"/>
              </w:rPr>
              <w:t>改的；或造成严重后果的</w:t>
            </w:r>
          </w:p>
        </w:tc>
        <w:tc>
          <w:tcPr>
            <w:tcW w:w="4901" w:type="dxa"/>
            <w:vAlign w:val="top"/>
          </w:tcPr>
          <w:p>
            <w:pPr>
              <w:pStyle w:val="TableText"/>
              <w:ind w:left="126"/>
              <w:spacing w:before="215" w:line="220" w:lineRule="auto"/>
              <w:rPr/>
            </w:pPr>
            <w:r>
              <w:rPr/>
              <w:t>处2万元以上3万元以下的罚款</w:t>
            </w:r>
          </w:p>
        </w:tc>
      </w:tr>
    </w:tbl>
    <w:p>
      <w:pPr>
        <w:pStyle w:val="BodyText"/>
        <w:spacing w:line="456" w:lineRule="auto"/>
        <w:rPr/>
      </w:pPr>
      <w:r/>
    </w:p>
    <w:p>
      <w:pPr>
        <w:ind w:left="659"/>
        <w:spacing w:before="98" w:line="220" w:lineRule="auto"/>
        <w:rPr>
          <w:rFonts w:ascii="FangSong" w:hAnsi="FangSong" w:eastAsia="FangSong" w:cs="FangSong"/>
          <w:sz w:val="30"/>
          <w:szCs w:val="30"/>
        </w:rPr>
      </w:pPr>
      <w:r>
        <w:rPr>
          <w:rFonts w:ascii="FangSong" w:hAnsi="FangSong" w:eastAsia="FangSong" w:cs="FangSong"/>
          <w:sz w:val="30"/>
          <w:szCs w:val="30"/>
          <w:b/>
          <w:bCs/>
          <w:spacing w:val="23"/>
        </w:rPr>
        <w:t>第五百四十二条弄虚作假，指使他人冒名顶替参加职业健康检查的</w:t>
      </w:r>
    </w:p>
    <w:p>
      <w:pPr>
        <w:ind w:left="654"/>
        <w:spacing w:before="110"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34" w:firstLine="619"/>
        <w:spacing w:before="67" w:line="270" w:lineRule="auto"/>
        <w:rPr>
          <w:rFonts w:ascii="FangSong" w:hAnsi="FangSong" w:eastAsia="FangSong" w:cs="FangSong"/>
          <w:sz w:val="30"/>
          <w:szCs w:val="30"/>
        </w:rPr>
      </w:pPr>
      <w:r>
        <w:rPr>
          <w:rFonts w:ascii="FangSong" w:hAnsi="FangSong" w:eastAsia="FangSong" w:cs="FangSong"/>
          <w:sz w:val="30"/>
          <w:szCs w:val="30"/>
          <w:spacing w:val="25"/>
        </w:rPr>
        <w:t>《用人单位职业健康监护监督管理办法》第二十六条第(三)项</w:t>
      </w:r>
      <w:r>
        <w:rPr>
          <w:rFonts w:ascii="FangSong" w:hAnsi="FangSong" w:eastAsia="FangSong" w:cs="FangSong"/>
          <w:sz w:val="30"/>
          <w:szCs w:val="30"/>
          <w:spacing w:val="25"/>
        </w:rPr>
        <w:t xml:space="preserve">  </w:t>
      </w:r>
      <w:r>
        <w:rPr>
          <w:rFonts w:ascii="FangSong" w:hAnsi="FangSong" w:eastAsia="FangSong" w:cs="FangSong"/>
          <w:sz w:val="30"/>
          <w:szCs w:val="30"/>
          <w:spacing w:val="25"/>
        </w:rPr>
        <w:t>用人单位有下列行为之一的，</w:t>
      </w:r>
      <w:r>
        <w:rPr>
          <w:rFonts w:ascii="FangSong" w:hAnsi="FangSong" w:eastAsia="FangSong" w:cs="FangSong"/>
          <w:sz w:val="30"/>
          <w:szCs w:val="30"/>
          <w:spacing w:val="4"/>
        </w:rPr>
        <w:t xml:space="preserve"> </w:t>
      </w:r>
      <w:r>
        <w:rPr>
          <w:rFonts w:ascii="FangSong" w:hAnsi="FangSong" w:eastAsia="FangSong" w:cs="FangSong"/>
          <w:sz w:val="30"/>
          <w:szCs w:val="30"/>
          <w:spacing w:val="22"/>
        </w:rPr>
        <w:t>给予警告，责令限期改正，可以并处3万元以下的罚款：</w:t>
      </w:r>
    </w:p>
    <w:p>
      <w:pPr>
        <w:ind w:left="794"/>
        <w:spacing w:line="220" w:lineRule="auto"/>
        <w:rPr>
          <w:rFonts w:ascii="FangSong" w:hAnsi="FangSong" w:eastAsia="FangSong" w:cs="FangSong"/>
          <w:sz w:val="30"/>
          <w:szCs w:val="30"/>
        </w:rPr>
      </w:pPr>
      <w:r>
        <w:rPr>
          <w:rFonts w:ascii="FangSong" w:hAnsi="FangSong" w:eastAsia="FangSong" w:cs="FangSong"/>
          <w:sz w:val="30"/>
          <w:szCs w:val="30"/>
          <w:spacing w:val="23"/>
        </w:rPr>
        <w:t>(三)弄虚作假，指使他人冒名顶替参加职业健康检查的；</w:t>
      </w:r>
    </w:p>
    <w:p>
      <w:pPr>
        <w:ind w:left="6428"/>
        <w:spacing w:before="234"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719"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94"/>
        <w:gridCol w:w="8194"/>
        <w:gridCol w:w="4131"/>
      </w:tblGrid>
      <w:tr>
        <w:trPr>
          <w:trHeight w:val="563" w:hRule="atLeast"/>
        </w:trPr>
        <w:tc>
          <w:tcPr>
            <w:tcW w:w="1394" w:type="dxa"/>
            <w:vAlign w:val="top"/>
          </w:tcPr>
          <w:p>
            <w:pPr>
              <w:pStyle w:val="TableText"/>
              <w:ind w:left="188"/>
              <w:spacing w:before="162" w:line="220" w:lineRule="auto"/>
              <w:rPr>
                <w:sz w:val="25"/>
                <w:szCs w:val="25"/>
              </w:rPr>
            </w:pPr>
            <w:r>
              <w:rPr>
                <w:sz w:val="25"/>
                <w:szCs w:val="25"/>
                <w:b/>
                <w:bCs/>
                <w:spacing w:val="-5"/>
              </w:rPr>
              <w:t>违法程度</w:t>
            </w:r>
          </w:p>
        </w:tc>
        <w:tc>
          <w:tcPr>
            <w:tcW w:w="8194" w:type="dxa"/>
            <w:vAlign w:val="top"/>
          </w:tcPr>
          <w:p>
            <w:pPr>
              <w:pStyle w:val="TableText"/>
              <w:ind w:left="3544"/>
              <w:spacing w:before="162" w:line="220" w:lineRule="auto"/>
              <w:rPr>
                <w:sz w:val="25"/>
                <w:szCs w:val="25"/>
              </w:rPr>
            </w:pPr>
            <w:r>
              <w:rPr>
                <w:sz w:val="25"/>
                <w:szCs w:val="25"/>
                <w:b/>
                <w:bCs/>
                <w:spacing w:val="-5"/>
              </w:rPr>
              <w:t>情节后果</w:t>
            </w:r>
          </w:p>
        </w:tc>
        <w:tc>
          <w:tcPr>
            <w:tcW w:w="4131" w:type="dxa"/>
            <w:vAlign w:val="top"/>
          </w:tcPr>
          <w:p>
            <w:pPr>
              <w:pStyle w:val="TableText"/>
              <w:ind w:left="1560"/>
              <w:spacing w:before="159" w:line="218" w:lineRule="auto"/>
              <w:rPr>
                <w:sz w:val="25"/>
                <w:szCs w:val="25"/>
              </w:rPr>
            </w:pPr>
            <w:r>
              <w:rPr>
                <w:sz w:val="25"/>
                <w:szCs w:val="25"/>
                <w:b/>
                <w:bCs/>
                <w:spacing w:val="-5"/>
              </w:rPr>
              <w:t>裁量幅度</w:t>
            </w:r>
          </w:p>
        </w:tc>
      </w:tr>
      <w:tr>
        <w:trPr>
          <w:trHeight w:val="677" w:hRule="atLeast"/>
        </w:trPr>
        <w:tc>
          <w:tcPr>
            <w:tcW w:w="1394" w:type="dxa"/>
            <w:vAlign w:val="top"/>
          </w:tcPr>
          <w:p>
            <w:pPr>
              <w:pStyle w:val="TableText"/>
              <w:ind w:left="438"/>
              <w:spacing w:before="300" w:line="221" w:lineRule="auto"/>
              <w:rPr>
                <w:sz w:val="25"/>
                <w:szCs w:val="25"/>
              </w:rPr>
            </w:pPr>
            <w:r>
              <w:rPr>
                <w:sz w:val="25"/>
                <w:szCs w:val="25"/>
                <w:b/>
                <w:bCs/>
                <w:spacing w:val="-10"/>
              </w:rPr>
              <w:t>一般</w:t>
            </w:r>
          </w:p>
        </w:tc>
        <w:tc>
          <w:tcPr>
            <w:tcW w:w="8194" w:type="dxa"/>
            <w:vAlign w:val="top"/>
          </w:tcPr>
          <w:p>
            <w:pPr>
              <w:pStyle w:val="TableText"/>
              <w:ind w:left="110"/>
              <w:spacing w:before="220" w:line="219" w:lineRule="auto"/>
              <w:rPr>
                <w:sz w:val="25"/>
                <w:szCs w:val="25"/>
              </w:rPr>
            </w:pPr>
            <w:r>
              <w:rPr>
                <w:sz w:val="25"/>
                <w:szCs w:val="25"/>
                <w:spacing w:val="1"/>
              </w:rPr>
              <w:t>弄虚作假，指使他人冒名顶替参加职业健康检查，发</w:t>
            </w:r>
            <w:r>
              <w:rPr>
                <w:sz w:val="25"/>
                <w:szCs w:val="25"/>
              </w:rPr>
              <w:t>现1人的</w:t>
            </w:r>
          </w:p>
        </w:tc>
        <w:tc>
          <w:tcPr>
            <w:tcW w:w="4131" w:type="dxa"/>
            <w:vAlign w:val="top"/>
          </w:tcPr>
          <w:p>
            <w:pPr>
              <w:pStyle w:val="TableText"/>
              <w:ind w:left="116" w:hanging="99"/>
              <w:spacing w:before="71" w:line="220" w:lineRule="auto"/>
              <w:rPr>
                <w:sz w:val="25"/>
                <w:szCs w:val="25"/>
              </w:rPr>
            </w:pPr>
            <w:r>
              <w:rPr>
                <w:sz w:val="25"/>
                <w:szCs w:val="25"/>
                <w:spacing w:val="-2"/>
              </w:rPr>
              <w:t>给予警告，责令限期改正，可以并处1</w:t>
            </w:r>
            <w:r>
              <w:rPr>
                <w:sz w:val="25"/>
                <w:szCs w:val="25"/>
                <w:spacing w:val="11"/>
              </w:rPr>
              <w:t xml:space="preserve"> </w:t>
            </w:r>
            <w:r>
              <w:rPr>
                <w:sz w:val="25"/>
                <w:szCs w:val="25"/>
              </w:rPr>
              <w:t>万元以下的罚款</w:t>
            </w:r>
          </w:p>
        </w:tc>
      </w:tr>
      <w:tr>
        <w:trPr>
          <w:trHeight w:val="678" w:hRule="atLeast"/>
        </w:trPr>
        <w:tc>
          <w:tcPr>
            <w:tcW w:w="1394" w:type="dxa"/>
            <w:vAlign w:val="top"/>
          </w:tcPr>
          <w:p>
            <w:pPr>
              <w:pStyle w:val="TableText"/>
              <w:ind w:left="438"/>
              <w:spacing w:before="305" w:line="221" w:lineRule="auto"/>
              <w:rPr>
                <w:sz w:val="25"/>
                <w:szCs w:val="25"/>
              </w:rPr>
            </w:pPr>
            <w:r>
              <w:rPr>
                <w:sz w:val="25"/>
                <w:szCs w:val="25"/>
                <w:b/>
                <w:bCs/>
                <w:spacing w:val="-6"/>
              </w:rPr>
              <w:t>较重</w:t>
            </w:r>
          </w:p>
        </w:tc>
        <w:tc>
          <w:tcPr>
            <w:tcW w:w="8194" w:type="dxa"/>
            <w:vAlign w:val="top"/>
          </w:tcPr>
          <w:p>
            <w:pPr>
              <w:pStyle w:val="TableText"/>
              <w:ind w:left="110"/>
              <w:spacing w:before="223" w:line="219" w:lineRule="auto"/>
              <w:rPr>
                <w:sz w:val="25"/>
                <w:szCs w:val="25"/>
              </w:rPr>
            </w:pPr>
            <w:r>
              <w:rPr>
                <w:sz w:val="25"/>
                <w:szCs w:val="25"/>
                <w:spacing w:val="1"/>
              </w:rPr>
              <w:t>弄虚作假，指使他人冒名顶替参加职业健康检查，发</w:t>
            </w:r>
            <w:r>
              <w:rPr>
                <w:sz w:val="25"/>
                <w:szCs w:val="25"/>
              </w:rPr>
              <w:t>现2人的</w:t>
            </w:r>
          </w:p>
        </w:tc>
        <w:tc>
          <w:tcPr>
            <w:tcW w:w="4131" w:type="dxa"/>
            <w:vAlign w:val="top"/>
          </w:tcPr>
          <w:p>
            <w:pPr>
              <w:pStyle w:val="TableText"/>
              <w:ind w:left="117" w:right="108"/>
              <w:spacing w:before="64" w:line="223" w:lineRule="auto"/>
              <w:rPr>
                <w:sz w:val="25"/>
                <w:szCs w:val="25"/>
              </w:rPr>
            </w:pPr>
            <w:r>
              <w:rPr>
                <w:sz w:val="25"/>
                <w:szCs w:val="25"/>
                <w:spacing w:val="1"/>
              </w:rPr>
              <w:t>给予警告，责令限期改正，并处1万</w:t>
            </w:r>
            <w:r>
              <w:rPr>
                <w:sz w:val="25"/>
                <w:szCs w:val="25"/>
                <w:spacing w:val="3"/>
              </w:rPr>
              <w:t xml:space="preserve"> </w:t>
            </w:r>
            <w:r>
              <w:rPr>
                <w:sz w:val="25"/>
                <w:szCs w:val="25"/>
                <w:spacing w:val="-1"/>
              </w:rPr>
              <w:t>元以上2万元以下的罚款</w:t>
            </w:r>
          </w:p>
        </w:tc>
      </w:tr>
      <w:tr>
        <w:trPr>
          <w:trHeight w:val="682" w:hRule="atLeast"/>
        </w:trPr>
        <w:tc>
          <w:tcPr>
            <w:tcW w:w="1394" w:type="dxa"/>
            <w:vAlign w:val="top"/>
          </w:tcPr>
          <w:p>
            <w:pPr>
              <w:spacing w:line="241" w:lineRule="auto"/>
              <w:rPr>
                <w:rFonts w:ascii="Arial"/>
                <w:sz w:val="21"/>
              </w:rPr>
            </w:pPr>
            <w:r/>
          </w:p>
          <w:p>
            <w:pPr>
              <w:pStyle w:val="TableText"/>
              <w:ind w:left="438"/>
              <w:spacing w:before="82" w:line="220" w:lineRule="auto"/>
              <w:rPr>
                <w:sz w:val="25"/>
                <w:szCs w:val="25"/>
              </w:rPr>
            </w:pPr>
            <w:r>
              <w:rPr>
                <w:sz w:val="25"/>
                <w:szCs w:val="25"/>
                <w:b/>
                <w:bCs/>
                <w:spacing w:val="-6"/>
              </w:rPr>
              <w:t>严重</w:t>
            </w:r>
          </w:p>
        </w:tc>
        <w:tc>
          <w:tcPr>
            <w:tcW w:w="8194" w:type="dxa"/>
            <w:vAlign w:val="top"/>
          </w:tcPr>
          <w:p>
            <w:pPr>
              <w:pStyle w:val="TableText"/>
              <w:ind w:left="110" w:firstLine="10"/>
              <w:spacing w:before="76" w:line="220" w:lineRule="auto"/>
              <w:rPr>
                <w:sz w:val="25"/>
                <w:szCs w:val="25"/>
              </w:rPr>
            </w:pPr>
            <w:r>
              <w:rPr>
                <w:sz w:val="25"/>
                <w:szCs w:val="25"/>
                <w:spacing w:val="-2"/>
              </w:rPr>
              <w:t>弄虚作假，指使他人冒名顶替参加职业健康检查，发现3人及以上的；或造</w:t>
            </w:r>
            <w:r>
              <w:rPr>
                <w:sz w:val="25"/>
                <w:szCs w:val="25"/>
                <w:spacing w:val="2"/>
              </w:rPr>
              <w:t xml:space="preserve"> </w:t>
            </w:r>
            <w:r>
              <w:rPr>
                <w:sz w:val="25"/>
                <w:szCs w:val="25"/>
                <w:spacing w:val="3"/>
              </w:rPr>
              <w:t>成严重后果的</w:t>
            </w:r>
          </w:p>
        </w:tc>
        <w:tc>
          <w:tcPr>
            <w:tcW w:w="4131" w:type="dxa"/>
            <w:vAlign w:val="top"/>
          </w:tcPr>
          <w:p>
            <w:pPr>
              <w:pStyle w:val="TableText"/>
              <w:ind w:left="117" w:right="108"/>
              <w:spacing w:before="76" w:line="220" w:lineRule="auto"/>
              <w:rPr>
                <w:sz w:val="25"/>
                <w:szCs w:val="25"/>
              </w:rPr>
            </w:pPr>
            <w:r>
              <w:rPr>
                <w:sz w:val="25"/>
                <w:szCs w:val="25"/>
                <w:spacing w:val="1"/>
              </w:rPr>
              <w:t>给予警告，责令限期改正，并处2万</w:t>
            </w:r>
            <w:r>
              <w:rPr>
                <w:sz w:val="25"/>
                <w:szCs w:val="25"/>
                <w:spacing w:val="3"/>
              </w:rPr>
              <w:t xml:space="preserve"> </w:t>
            </w:r>
            <w:r>
              <w:rPr>
                <w:sz w:val="25"/>
                <w:szCs w:val="25"/>
                <w:spacing w:val="-2"/>
              </w:rPr>
              <w:t>元以3万元以下的罚款</w:t>
            </w:r>
          </w:p>
        </w:tc>
      </w:tr>
    </w:tbl>
    <w:p>
      <w:pPr>
        <w:pStyle w:val="BodyText"/>
        <w:spacing w:line="437" w:lineRule="auto"/>
        <w:rPr/>
      </w:pPr>
      <w:r/>
    </w:p>
    <w:p>
      <w:pPr>
        <w:ind w:left="659"/>
        <w:spacing w:before="98" w:line="220" w:lineRule="auto"/>
        <w:rPr>
          <w:rFonts w:ascii="FangSong" w:hAnsi="FangSong" w:eastAsia="FangSong" w:cs="FangSong"/>
          <w:sz w:val="30"/>
          <w:szCs w:val="30"/>
        </w:rPr>
      </w:pPr>
      <w:r>
        <w:rPr>
          <w:rFonts w:ascii="FangSong" w:hAnsi="FangSong" w:eastAsia="FangSong" w:cs="FangSong"/>
          <w:sz w:val="30"/>
          <w:szCs w:val="30"/>
          <w:b/>
          <w:bCs/>
          <w:spacing w:val="23"/>
        </w:rPr>
        <w:t>第五百四十三条未如实提供职业健康检查所需要的文件、</w:t>
      </w:r>
      <w:r>
        <w:rPr>
          <w:rFonts w:ascii="FangSong" w:hAnsi="FangSong" w:eastAsia="FangSong" w:cs="FangSong"/>
          <w:sz w:val="30"/>
          <w:szCs w:val="30"/>
          <w:b/>
          <w:bCs/>
          <w:spacing w:val="22"/>
        </w:rPr>
        <w:t>资料的</w:t>
      </w:r>
    </w:p>
    <w:p>
      <w:pPr>
        <w:ind w:left="654"/>
        <w:spacing w:before="81"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spacing w:line="222" w:lineRule="auto"/>
        <w:sectPr>
          <w:footerReference w:type="default" r:id="rId567"/>
          <w:pgSz w:w="16830" w:h="11900"/>
          <w:pgMar w:top="1011" w:right="1369" w:bottom="1137" w:left="1425" w:header="0" w:footer="804" w:gutter="0"/>
        </w:sectPr>
        <w:rPr>
          <w:rFonts w:ascii="FangSong" w:hAnsi="FangSong" w:eastAsia="FangSong" w:cs="FangSong"/>
          <w:sz w:val="30"/>
          <w:szCs w:val="30"/>
        </w:rPr>
      </w:pPr>
    </w:p>
    <w:p>
      <w:pPr>
        <w:pStyle w:val="BodyText"/>
        <w:spacing w:line="258" w:lineRule="auto"/>
        <w:rPr/>
      </w:pPr>
      <w:r/>
    </w:p>
    <w:p>
      <w:pPr>
        <w:pStyle w:val="BodyText"/>
        <w:spacing w:line="258" w:lineRule="auto"/>
        <w:rPr/>
      </w:pPr>
      <w:r/>
    </w:p>
    <w:p>
      <w:pPr>
        <w:pStyle w:val="BodyText"/>
        <w:spacing w:line="259" w:lineRule="auto"/>
        <w:rPr/>
      </w:pPr>
      <w:r/>
    </w:p>
    <w:p>
      <w:pPr>
        <w:ind w:left="25" w:firstLine="609"/>
        <w:spacing w:before="97" w:line="273" w:lineRule="auto"/>
        <w:rPr>
          <w:rFonts w:ascii="FangSong" w:hAnsi="FangSong" w:eastAsia="FangSong" w:cs="FangSong"/>
          <w:sz w:val="30"/>
          <w:szCs w:val="30"/>
        </w:rPr>
      </w:pPr>
      <w:bookmarkStart w:name="bookmark1200" w:id="577"/>
      <w:bookmarkEnd w:id="577"/>
      <w:r>
        <w:rPr>
          <w:rFonts w:ascii="FangSong" w:hAnsi="FangSong" w:eastAsia="FangSong" w:cs="FangSong"/>
          <w:sz w:val="30"/>
          <w:szCs w:val="30"/>
          <w:spacing w:val="25"/>
        </w:rPr>
        <w:t>《用人单位职业健康监护监督管理办法》第二十六条第(四)</w:t>
      </w:r>
      <w:r>
        <w:rPr>
          <w:rFonts w:ascii="FangSong" w:hAnsi="FangSong" w:eastAsia="FangSong" w:cs="FangSong"/>
          <w:sz w:val="30"/>
          <w:szCs w:val="30"/>
          <w:spacing w:val="24"/>
        </w:rPr>
        <w:t>项</w:t>
      </w:r>
      <w:r>
        <w:rPr>
          <w:rFonts w:ascii="FangSong" w:hAnsi="FangSong" w:eastAsia="FangSong" w:cs="FangSong"/>
          <w:sz w:val="30"/>
          <w:szCs w:val="30"/>
          <w:spacing w:val="24"/>
        </w:rPr>
        <w:t xml:space="preserve">  </w:t>
      </w:r>
      <w:r>
        <w:rPr>
          <w:rFonts w:ascii="FangSong" w:hAnsi="FangSong" w:eastAsia="FangSong" w:cs="FangSong"/>
          <w:sz w:val="30"/>
          <w:szCs w:val="30"/>
          <w:spacing w:val="24"/>
        </w:rPr>
        <w:t>用人单位有下列行为之一的，</w:t>
      </w:r>
      <w:r>
        <w:rPr>
          <w:rFonts w:ascii="FangSong" w:hAnsi="FangSong" w:eastAsia="FangSong" w:cs="FangSong"/>
          <w:sz w:val="30"/>
          <w:szCs w:val="30"/>
        </w:rPr>
        <w:t xml:space="preserve"> </w:t>
      </w:r>
      <w:r>
        <w:rPr>
          <w:rFonts w:ascii="FangSong" w:hAnsi="FangSong" w:eastAsia="FangSong" w:cs="FangSong"/>
          <w:sz w:val="30"/>
          <w:szCs w:val="30"/>
          <w:spacing w:val="21"/>
        </w:rPr>
        <w:t>给予警告，责令限期改正，可以并处3万元以下的罚款：</w:t>
      </w:r>
    </w:p>
    <w:p>
      <w:pPr>
        <w:ind w:left="784"/>
        <w:spacing w:line="220" w:lineRule="auto"/>
        <w:rPr>
          <w:rFonts w:ascii="FangSong" w:hAnsi="FangSong" w:eastAsia="FangSong" w:cs="FangSong"/>
          <w:sz w:val="30"/>
          <w:szCs w:val="30"/>
        </w:rPr>
      </w:pPr>
      <w:r>
        <w:rPr>
          <w:rFonts w:ascii="FangSong" w:hAnsi="FangSong" w:eastAsia="FangSong" w:cs="FangSong"/>
          <w:sz w:val="30"/>
          <w:szCs w:val="30"/>
          <w:spacing w:val="22"/>
        </w:rPr>
        <w:t>(四)未如实提供职业健康检查所需要的文件、资料的；</w:t>
      </w:r>
    </w:p>
    <w:p>
      <w:pPr>
        <w:ind w:left="6429"/>
        <w:spacing w:before="244" w:line="208"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7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8184"/>
        <w:gridCol w:w="4152"/>
      </w:tblGrid>
      <w:tr>
        <w:trPr>
          <w:trHeight w:val="593" w:hRule="atLeast"/>
        </w:trPr>
        <w:tc>
          <w:tcPr>
            <w:tcW w:w="1424" w:type="dxa"/>
            <w:vAlign w:val="top"/>
          </w:tcPr>
          <w:p>
            <w:pPr>
              <w:pStyle w:val="TableText"/>
              <w:ind w:left="208"/>
              <w:spacing w:before="172" w:line="220" w:lineRule="auto"/>
              <w:rPr>
                <w:sz w:val="25"/>
                <w:szCs w:val="25"/>
              </w:rPr>
            </w:pPr>
            <w:r>
              <w:rPr>
                <w:sz w:val="25"/>
                <w:szCs w:val="25"/>
                <w:b/>
                <w:bCs/>
                <w:spacing w:val="-5"/>
              </w:rPr>
              <w:t>违法程度</w:t>
            </w:r>
          </w:p>
        </w:tc>
        <w:tc>
          <w:tcPr>
            <w:tcW w:w="8184" w:type="dxa"/>
            <w:vAlign w:val="top"/>
          </w:tcPr>
          <w:p>
            <w:pPr>
              <w:pStyle w:val="TableText"/>
              <w:ind w:left="3534"/>
              <w:spacing w:before="172" w:line="220" w:lineRule="auto"/>
              <w:rPr>
                <w:sz w:val="25"/>
                <w:szCs w:val="25"/>
              </w:rPr>
            </w:pPr>
            <w:r>
              <w:rPr>
                <w:sz w:val="25"/>
                <w:szCs w:val="25"/>
                <w:b/>
                <w:bCs/>
                <w:spacing w:val="-5"/>
              </w:rPr>
              <w:t>情节后果</w:t>
            </w:r>
          </w:p>
        </w:tc>
        <w:tc>
          <w:tcPr>
            <w:tcW w:w="4152" w:type="dxa"/>
            <w:vAlign w:val="top"/>
          </w:tcPr>
          <w:p>
            <w:pPr>
              <w:pStyle w:val="TableText"/>
              <w:ind w:left="1570"/>
              <w:spacing w:before="169" w:line="218" w:lineRule="auto"/>
              <w:rPr>
                <w:sz w:val="25"/>
                <w:szCs w:val="25"/>
              </w:rPr>
            </w:pPr>
            <w:r>
              <w:rPr>
                <w:sz w:val="25"/>
                <w:szCs w:val="25"/>
                <w:b/>
                <w:bCs/>
                <w:spacing w:val="-5"/>
              </w:rPr>
              <w:t>裁量幅度</w:t>
            </w:r>
          </w:p>
        </w:tc>
      </w:tr>
      <w:tr>
        <w:trPr>
          <w:trHeight w:val="678" w:hRule="atLeast"/>
        </w:trPr>
        <w:tc>
          <w:tcPr>
            <w:tcW w:w="1424" w:type="dxa"/>
            <w:vAlign w:val="top"/>
          </w:tcPr>
          <w:p>
            <w:pPr>
              <w:pStyle w:val="TableText"/>
              <w:ind w:left="458"/>
              <w:spacing w:before="310" w:line="221" w:lineRule="auto"/>
              <w:rPr>
                <w:sz w:val="25"/>
                <w:szCs w:val="25"/>
              </w:rPr>
            </w:pPr>
            <w:r>
              <w:rPr>
                <w:sz w:val="25"/>
                <w:szCs w:val="25"/>
                <w:b/>
                <w:bCs/>
                <w:spacing w:val="-10"/>
              </w:rPr>
              <w:t>一般</w:t>
            </w:r>
          </w:p>
        </w:tc>
        <w:tc>
          <w:tcPr>
            <w:tcW w:w="8184" w:type="dxa"/>
            <w:vAlign w:val="top"/>
          </w:tcPr>
          <w:p>
            <w:pPr>
              <w:pStyle w:val="TableText"/>
              <w:ind w:left="101"/>
              <w:spacing w:before="220" w:line="219" w:lineRule="auto"/>
              <w:rPr>
                <w:sz w:val="25"/>
                <w:szCs w:val="25"/>
              </w:rPr>
            </w:pPr>
            <w:r>
              <w:rPr>
                <w:sz w:val="25"/>
                <w:szCs w:val="25"/>
              </w:rPr>
              <w:t>未按照规定如实提供职业健康检查所所需文件、资料，缺少1种的</w:t>
            </w:r>
          </w:p>
        </w:tc>
        <w:tc>
          <w:tcPr>
            <w:tcW w:w="4152" w:type="dxa"/>
            <w:vAlign w:val="top"/>
          </w:tcPr>
          <w:p>
            <w:pPr>
              <w:pStyle w:val="TableText"/>
              <w:ind w:left="126" w:hanging="119"/>
              <w:spacing w:before="69" w:line="221" w:lineRule="auto"/>
              <w:rPr>
                <w:sz w:val="25"/>
                <w:szCs w:val="25"/>
              </w:rPr>
            </w:pPr>
            <w:r>
              <w:rPr>
                <w:sz w:val="25"/>
                <w:szCs w:val="25"/>
              </w:rPr>
              <w:t>给予警告，责令限期改正，可以并处1</w:t>
            </w:r>
            <w:r>
              <w:rPr>
                <w:sz w:val="25"/>
                <w:szCs w:val="25"/>
                <w:spacing w:val="8"/>
              </w:rPr>
              <w:t xml:space="preserve"> </w:t>
            </w:r>
            <w:r>
              <w:rPr>
                <w:sz w:val="25"/>
                <w:szCs w:val="25"/>
              </w:rPr>
              <w:t>万元以下的罚款</w:t>
            </w:r>
          </w:p>
        </w:tc>
      </w:tr>
      <w:tr>
        <w:trPr>
          <w:trHeight w:val="677" w:hRule="atLeast"/>
        </w:trPr>
        <w:tc>
          <w:tcPr>
            <w:tcW w:w="1424" w:type="dxa"/>
            <w:vAlign w:val="top"/>
          </w:tcPr>
          <w:p>
            <w:pPr>
              <w:spacing w:line="241" w:lineRule="auto"/>
              <w:rPr>
                <w:rFonts w:ascii="Arial"/>
                <w:sz w:val="21"/>
              </w:rPr>
            </w:pPr>
            <w:r/>
          </w:p>
          <w:p>
            <w:pPr>
              <w:pStyle w:val="TableText"/>
              <w:ind w:left="458"/>
              <w:spacing w:before="81" w:line="221" w:lineRule="auto"/>
              <w:rPr>
                <w:sz w:val="25"/>
                <w:szCs w:val="25"/>
              </w:rPr>
            </w:pPr>
            <w:r>
              <w:rPr>
                <w:sz w:val="25"/>
                <w:szCs w:val="25"/>
                <w:b/>
                <w:bCs/>
                <w:spacing w:val="-6"/>
              </w:rPr>
              <w:t>较重</w:t>
            </w:r>
          </w:p>
        </w:tc>
        <w:tc>
          <w:tcPr>
            <w:tcW w:w="8184" w:type="dxa"/>
            <w:vAlign w:val="top"/>
          </w:tcPr>
          <w:p>
            <w:pPr>
              <w:pStyle w:val="TableText"/>
              <w:ind w:left="101"/>
              <w:spacing w:before="222" w:line="219" w:lineRule="auto"/>
              <w:rPr>
                <w:sz w:val="25"/>
                <w:szCs w:val="25"/>
              </w:rPr>
            </w:pPr>
            <w:r>
              <w:rPr>
                <w:sz w:val="25"/>
                <w:szCs w:val="25"/>
              </w:rPr>
              <w:t>未按照规定如实提供职业健康检查所所需文件、资料，缺少2种的</w:t>
            </w:r>
          </w:p>
        </w:tc>
        <w:tc>
          <w:tcPr>
            <w:tcW w:w="4152" w:type="dxa"/>
            <w:vAlign w:val="top"/>
          </w:tcPr>
          <w:p>
            <w:pPr>
              <w:pStyle w:val="TableText"/>
              <w:ind w:left="127" w:right="119"/>
              <w:spacing w:before="71" w:line="220" w:lineRule="auto"/>
              <w:rPr>
                <w:sz w:val="25"/>
                <w:szCs w:val="25"/>
              </w:rPr>
            </w:pPr>
            <w:r>
              <w:rPr>
                <w:sz w:val="25"/>
                <w:szCs w:val="25"/>
                <w:spacing w:val="1"/>
              </w:rPr>
              <w:t>给予警告，责令限期改正，并处1万</w:t>
            </w:r>
            <w:r>
              <w:rPr>
                <w:sz w:val="25"/>
                <w:szCs w:val="25"/>
                <w:spacing w:val="3"/>
              </w:rPr>
              <w:t xml:space="preserve"> </w:t>
            </w:r>
            <w:r>
              <w:rPr>
                <w:sz w:val="25"/>
                <w:szCs w:val="25"/>
                <w:spacing w:val="-1"/>
              </w:rPr>
              <w:t>元以上2万元以下的罚款</w:t>
            </w:r>
          </w:p>
        </w:tc>
      </w:tr>
      <w:tr>
        <w:trPr>
          <w:trHeight w:val="682" w:hRule="atLeast"/>
        </w:trPr>
        <w:tc>
          <w:tcPr>
            <w:tcW w:w="1424" w:type="dxa"/>
            <w:vAlign w:val="top"/>
          </w:tcPr>
          <w:p>
            <w:pPr>
              <w:spacing w:line="251" w:lineRule="auto"/>
              <w:rPr>
                <w:rFonts w:ascii="Arial"/>
                <w:sz w:val="21"/>
              </w:rPr>
            </w:pPr>
            <w:r/>
          </w:p>
          <w:p>
            <w:pPr>
              <w:pStyle w:val="TableText"/>
              <w:ind w:left="458"/>
              <w:spacing w:before="82" w:line="220" w:lineRule="auto"/>
              <w:rPr>
                <w:sz w:val="25"/>
                <w:szCs w:val="25"/>
              </w:rPr>
            </w:pPr>
            <w:r>
              <w:rPr>
                <w:sz w:val="25"/>
                <w:szCs w:val="25"/>
                <w:b/>
                <w:bCs/>
                <w:spacing w:val="-6"/>
              </w:rPr>
              <w:t>严重</w:t>
            </w:r>
          </w:p>
        </w:tc>
        <w:tc>
          <w:tcPr>
            <w:tcW w:w="8184" w:type="dxa"/>
            <w:vAlign w:val="top"/>
          </w:tcPr>
          <w:p>
            <w:pPr>
              <w:pStyle w:val="TableText"/>
              <w:ind w:left="101"/>
              <w:spacing w:before="87" w:line="216" w:lineRule="auto"/>
              <w:rPr>
                <w:sz w:val="25"/>
                <w:szCs w:val="25"/>
              </w:rPr>
            </w:pPr>
            <w:r>
              <w:rPr>
                <w:sz w:val="25"/>
                <w:szCs w:val="25"/>
                <w:spacing w:val="-2"/>
              </w:rPr>
              <w:t>未按照规定如实提供职业健康检查所所需文件、资料，缺少3种及以上的；</w:t>
            </w:r>
            <w:r>
              <w:rPr>
                <w:sz w:val="25"/>
                <w:szCs w:val="25"/>
                <w:spacing w:val="12"/>
              </w:rPr>
              <w:t xml:space="preserve"> </w:t>
            </w:r>
            <w:r>
              <w:rPr>
                <w:sz w:val="25"/>
                <w:szCs w:val="25"/>
                <w:spacing w:val="-2"/>
              </w:rPr>
              <w:t>或造成严重后果的</w:t>
            </w:r>
          </w:p>
        </w:tc>
        <w:tc>
          <w:tcPr>
            <w:tcW w:w="4152" w:type="dxa"/>
            <w:vAlign w:val="top"/>
          </w:tcPr>
          <w:p>
            <w:pPr>
              <w:pStyle w:val="TableText"/>
              <w:ind w:left="127" w:right="119"/>
              <w:spacing w:before="84" w:line="217" w:lineRule="auto"/>
              <w:rPr>
                <w:sz w:val="25"/>
                <w:szCs w:val="25"/>
              </w:rPr>
            </w:pPr>
            <w:r>
              <w:rPr>
                <w:sz w:val="25"/>
                <w:szCs w:val="25"/>
                <w:spacing w:val="1"/>
              </w:rPr>
              <w:t>给予警告，责令限期改正，并处2万</w:t>
            </w:r>
            <w:r>
              <w:rPr>
                <w:sz w:val="25"/>
                <w:szCs w:val="25"/>
                <w:spacing w:val="3"/>
              </w:rPr>
              <w:t xml:space="preserve"> </w:t>
            </w:r>
            <w:r>
              <w:rPr>
                <w:sz w:val="25"/>
                <w:szCs w:val="25"/>
                <w:spacing w:val="-1"/>
              </w:rPr>
              <w:t>元以上3万元以下的罚款</w:t>
            </w:r>
          </w:p>
        </w:tc>
      </w:tr>
    </w:tbl>
    <w:p>
      <w:pPr>
        <w:pStyle w:val="BodyText"/>
        <w:spacing w:line="456" w:lineRule="auto"/>
        <w:rPr/>
      </w:pPr>
      <w:r/>
    </w:p>
    <w:p>
      <w:pPr>
        <w:ind w:left="669"/>
        <w:spacing w:before="98" w:line="220" w:lineRule="auto"/>
        <w:rPr>
          <w:rFonts w:ascii="FangSong" w:hAnsi="FangSong" w:eastAsia="FangSong" w:cs="FangSong"/>
          <w:sz w:val="30"/>
          <w:szCs w:val="30"/>
        </w:rPr>
      </w:pPr>
      <w:r>
        <w:rPr>
          <w:rFonts w:ascii="FangSong" w:hAnsi="FangSong" w:eastAsia="FangSong" w:cs="FangSong"/>
          <w:sz w:val="30"/>
          <w:szCs w:val="30"/>
          <w:b/>
          <w:bCs/>
          <w:spacing w:val="23"/>
        </w:rPr>
        <w:t>第五百四十四条未根据职业健康检查情况采取相</w:t>
      </w:r>
      <w:r>
        <w:rPr>
          <w:rFonts w:ascii="FangSong" w:hAnsi="FangSong" w:eastAsia="FangSong" w:cs="FangSong"/>
          <w:sz w:val="30"/>
          <w:szCs w:val="30"/>
          <w:b/>
          <w:bCs/>
          <w:spacing w:val="22"/>
        </w:rPr>
        <w:t>应措施的</w:t>
      </w:r>
    </w:p>
    <w:p>
      <w:pPr>
        <w:ind w:left="664"/>
        <w:spacing w:before="100" w:line="222" w:lineRule="auto"/>
        <w:rPr>
          <w:rFonts w:ascii="FangSong" w:hAnsi="FangSong" w:eastAsia="FangSong" w:cs="FangSong"/>
          <w:sz w:val="30"/>
          <w:szCs w:val="30"/>
        </w:rPr>
      </w:pPr>
      <w:r>
        <w:rPr>
          <w:rFonts w:ascii="FangSong" w:hAnsi="FangSong" w:eastAsia="FangSong" w:cs="FangSong"/>
          <w:sz w:val="30"/>
          <w:szCs w:val="30"/>
        </w:rPr>
        <w:t>法律依据：</w:t>
      </w:r>
    </w:p>
    <w:p>
      <w:pPr>
        <w:ind w:left="25" w:right="50" w:firstLine="759"/>
        <w:spacing w:before="54" w:line="271" w:lineRule="auto"/>
        <w:rPr>
          <w:rFonts w:ascii="FangSong" w:hAnsi="FangSong" w:eastAsia="FangSong" w:cs="FangSong"/>
          <w:sz w:val="30"/>
          <w:szCs w:val="30"/>
        </w:rPr>
      </w:pPr>
      <w:r>
        <w:rPr>
          <w:rFonts w:ascii="FangSong" w:hAnsi="FangSong" w:eastAsia="FangSong" w:cs="FangSong"/>
          <w:sz w:val="30"/>
          <w:szCs w:val="30"/>
          <w:spacing w:val="27"/>
        </w:rPr>
        <w:t>(1)《使用有毒物品作业场所劳动保护条例》第六十三条第(四)项</w:t>
      </w:r>
      <w:r>
        <w:rPr>
          <w:rFonts w:ascii="FangSong" w:hAnsi="FangSong" w:eastAsia="FangSong" w:cs="FangSong"/>
          <w:sz w:val="30"/>
          <w:szCs w:val="30"/>
          <w:spacing w:val="17"/>
        </w:rPr>
        <w:t xml:space="preserve">   </w:t>
      </w:r>
      <w:r>
        <w:rPr>
          <w:rFonts w:ascii="FangSong" w:hAnsi="FangSong" w:eastAsia="FangSong" w:cs="FangSong"/>
          <w:sz w:val="30"/>
          <w:szCs w:val="30"/>
          <w:spacing w:val="27"/>
        </w:rPr>
        <w:t>用人单位违反本条例的</w:t>
      </w:r>
      <w:r>
        <w:rPr>
          <w:rFonts w:ascii="FangSong" w:hAnsi="FangSong" w:eastAsia="FangSong" w:cs="FangSong"/>
          <w:sz w:val="30"/>
          <w:szCs w:val="30"/>
        </w:rPr>
        <w:t xml:space="preserve"> </w:t>
      </w:r>
      <w:r>
        <w:rPr>
          <w:rFonts w:ascii="FangSong" w:hAnsi="FangSong" w:eastAsia="FangSong" w:cs="FangSong"/>
          <w:sz w:val="30"/>
          <w:szCs w:val="30"/>
          <w:spacing w:val="24"/>
        </w:rPr>
        <w:t>规定，有下列行为之一的，由疾病预防控制部门责令限期改正，处5万元以上30万元以下的罚款；</w:t>
      </w:r>
    </w:p>
    <w:p>
      <w:pPr>
        <w:ind w:left="25"/>
        <w:spacing w:before="5" w:line="271" w:lineRule="auto"/>
        <w:rPr>
          <w:rFonts w:ascii="FangSong" w:hAnsi="FangSong" w:eastAsia="FangSong" w:cs="FangSong"/>
          <w:sz w:val="30"/>
          <w:szCs w:val="30"/>
        </w:rPr>
      </w:pPr>
      <w:r>
        <w:rPr>
          <w:rFonts w:ascii="FangSong" w:hAnsi="FangSong" w:eastAsia="FangSong" w:cs="FangSong"/>
          <w:sz w:val="30"/>
          <w:szCs w:val="30"/>
          <w:spacing w:val="18"/>
        </w:rPr>
        <w:t>情节严重的，责令停止使用有毒物品作业，或</w:t>
      </w:r>
      <w:r>
        <w:rPr>
          <w:rFonts w:ascii="FangSong" w:hAnsi="FangSong" w:eastAsia="FangSong" w:cs="FangSong"/>
          <w:sz w:val="30"/>
          <w:szCs w:val="30"/>
          <w:spacing w:val="17"/>
        </w:rPr>
        <w:t>者提请有关人民政府按照国务院规定的权限予以关闭；</w:t>
      </w:r>
      <w:r>
        <w:rPr>
          <w:rFonts w:ascii="FangSong" w:hAnsi="FangSong" w:eastAsia="FangSong" w:cs="FangSong"/>
          <w:sz w:val="30"/>
          <w:szCs w:val="30"/>
        </w:rPr>
        <w:t xml:space="preserve"> </w:t>
      </w:r>
      <w:r>
        <w:rPr>
          <w:rFonts w:ascii="FangSong" w:hAnsi="FangSong" w:eastAsia="FangSong" w:cs="FangSong"/>
          <w:sz w:val="30"/>
          <w:szCs w:val="30"/>
          <w:spacing w:val="17"/>
        </w:rPr>
        <w:t>造成严重职业中毒危害或者导致职业中毒事故发生的，对负有责任的主管人员和其他直接责任人员依</w:t>
      </w:r>
      <w:r>
        <w:rPr>
          <w:rFonts w:ascii="FangSong" w:hAnsi="FangSong" w:eastAsia="FangSong" w:cs="FangSong"/>
          <w:sz w:val="30"/>
          <w:szCs w:val="30"/>
          <w:spacing w:val="1"/>
        </w:rPr>
        <w:t xml:space="preserve"> </w:t>
      </w:r>
      <w:r>
        <w:rPr>
          <w:rFonts w:ascii="FangSong" w:hAnsi="FangSong" w:eastAsia="FangSong" w:cs="FangSong"/>
          <w:sz w:val="30"/>
          <w:szCs w:val="30"/>
          <w:spacing w:val="16"/>
        </w:rPr>
        <w:t>照刑法关于重大责任事故罪或者其他罪的规定，依法追究刑事责任：</w:t>
      </w:r>
    </w:p>
    <w:p>
      <w:pPr>
        <w:spacing w:line="271" w:lineRule="auto"/>
        <w:sectPr>
          <w:footerReference w:type="default" r:id="rId568"/>
          <w:pgSz w:w="16830" w:h="11900"/>
          <w:pgMar w:top="1011" w:right="1409" w:bottom="1107" w:left="1425" w:header="0" w:footer="774" w:gutter="0"/>
        </w:sectPr>
        <w:rPr>
          <w:rFonts w:ascii="FangSong" w:hAnsi="FangSong" w:eastAsia="FangSong" w:cs="FangSong"/>
          <w:sz w:val="30"/>
          <w:szCs w:val="30"/>
        </w:rPr>
      </w:pPr>
    </w:p>
    <w:p>
      <w:pPr>
        <w:pStyle w:val="BodyText"/>
        <w:spacing w:line="267" w:lineRule="auto"/>
        <w:rPr/>
      </w:pPr>
      <w:r/>
    </w:p>
    <w:p>
      <w:pPr>
        <w:pStyle w:val="BodyText"/>
        <w:spacing w:line="268" w:lineRule="auto"/>
        <w:rPr/>
      </w:pPr>
      <w:r/>
    </w:p>
    <w:p>
      <w:pPr>
        <w:pStyle w:val="BodyText"/>
        <w:spacing w:line="268" w:lineRule="auto"/>
        <w:rPr/>
      </w:pPr>
      <w:r/>
    </w:p>
    <w:p>
      <w:pPr>
        <w:ind w:left="25" w:firstLine="759"/>
        <w:spacing w:before="97" w:line="255" w:lineRule="auto"/>
        <w:rPr>
          <w:rFonts w:ascii="FangSong" w:hAnsi="FangSong" w:eastAsia="FangSong" w:cs="FangSong"/>
          <w:sz w:val="30"/>
          <w:szCs w:val="30"/>
        </w:rPr>
      </w:pPr>
      <w:r>
        <w:rPr>
          <w:rFonts w:ascii="FangSong" w:hAnsi="FangSong" w:eastAsia="FangSong" w:cs="FangSong"/>
          <w:sz w:val="30"/>
          <w:szCs w:val="30"/>
          <w:spacing w:val="22"/>
        </w:rPr>
        <w:t>(四)发现有职业禁忌或者有与所从事职业相关的健康损害的劳动者，未及时调离原工作岗位，</w:t>
      </w:r>
      <w:r>
        <w:rPr>
          <w:rFonts w:ascii="FangSong" w:hAnsi="FangSong" w:eastAsia="FangSong" w:cs="FangSong"/>
          <w:sz w:val="30"/>
          <w:szCs w:val="30"/>
          <w:spacing w:val="14"/>
        </w:rPr>
        <w:t xml:space="preserve"> </w:t>
      </w:r>
      <w:r>
        <w:rPr>
          <w:rFonts w:ascii="FangSong" w:hAnsi="FangSong" w:eastAsia="FangSong" w:cs="FangSong"/>
          <w:sz w:val="30"/>
          <w:szCs w:val="30"/>
          <w:spacing w:val="8"/>
        </w:rPr>
        <w:t>并妥善安置的；</w:t>
      </w:r>
    </w:p>
    <w:p>
      <w:pPr>
        <w:spacing w:line="255" w:lineRule="auto"/>
        <w:sectPr>
          <w:footerReference w:type="default" r:id="rId569"/>
          <w:pgSz w:w="16830" w:h="11900"/>
          <w:pgMar w:top="1011" w:right="1380" w:bottom="1123" w:left="1425" w:header="0" w:footer="808" w:gutter="0"/>
          <w:cols w:equalWidth="0" w:num="1">
            <w:col w:w="14025" w:space="0"/>
          </w:cols>
        </w:sectPr>
        <w:rPr>
          <w:rFonts w:ascii="FangSong" w:hAnsi="FangSong" w:eastAsia="FangSong" w:cs="FangSong"/>
          <w:sz w:val="30"/>
          <w:szCs w:val="30"/>
        </w:rPr>
      </w:pPr>
    </w:p>
    <w:p>
      <w:pPr>
        <w:ind w:left="784"/>
        <w:spacing w:before="61" w:line="221" w:lineRule="auto"/>
        <w:rPr>
          <w:rFonts w:ascii="FangSong" w:hAnsi="FangSong" w:eastAsia="FangSong" w:cs="FangSong"/>
          <w:sz w:val="30"/>
          <w:szCs w:val="30"/>
        </w:rPr>
      </w:pPr>
      <w:r>
        <w:rPr>
          <w:rFonts w:ascii="FangSong" w:hAnsi="FangSong" w:eastAsia="FangSong" w:cs="FangSong"/>
          <w:sz w:val="30"/>
          <w:szCs w:val="30"/>
          <w:spacing w:val="33"/>
        </w:rPr>
        <w:t>(2)《用人单位职业健康监护监督管理办法》第二十六条第(五)项</w:t>
      </w:r>
    </w:p>
    <w:p>
      <w:pPr>
        <w:spacing w:line="97" w:lineRule="auto"/>
        <w:rPr>
          <w:rFonts w:ascii="Arial"/>
          <w:sz w:val="2"/>
        </w:rPr>
      </w:pPr>
      <w:r>
        <w:rPr>
          <w:rFonts w:ascii="Arial"/>
          <w:sz w:val="2"/>
        </w:rPr>
      </w:r>
    </w:p>
    <w:p>
      <w:pPr>
        <w:pStyle w:val="BodyText"/>
        <w:spacing w:line="14" w:lineRule="auto"/>
        <w:rPr>
          <w:sz w:val="2"/>
        </w:rPr>
      </w:pPr>
      <w:r>
        <w:rPr>
          <w:sz w:val="2"/>
          <w:szCs w:val="2"/>
        </w:rPr>
        <w:br w:type="column"/>
      </w:r>
    </w:p>
    <w:p>
      <w:pPr>
        <w:spacing w:before="59" w:line="221" w:lineRule="auto"/>
        <w:rPr>
          <w:rFonts w:ascii="FangSong" w:hAnsi="FangSong" w:eastAsia="FangSong" w:cs="FangSong"/>
          <w:sz w:val="30"/>
          <w:szCs w:val="30"/>
        </w:rPr>
      </w:pPr>
      <w:r>
        <w:rPr>
          <w:rFonts w:ascii="FangSong" w:hAnsi="FangSong" w:eastAsia="FangSong" w:cs="FangSong"/>
          <w:sz w:val="30"/>
          <w:szCs w:val="30"/>
          <w:spacing w:val="20"/>
        </w:rPr>
        <w:t>用人单位有下列行为之</w:t>
      </w:r>
    </w:p>
    <w:p>
      <w:pPr>
        <w:spacing w:line="221" w:lineRule="auto"/>
        <w:sectPr>
          <w:type w:val="continuous"/>
          <w:pgSz w:w="16830" w:h="11900"/>
          <w:pgMar w:top="1011" w:right="1380" w:bottom="1123" w:left="1425" w:header="0" w:footer="808" w:gutter="0"/>
          <w:cols w:equalWidth="0" w:num="2">
            <w:col w:w="10615" w:space="100"/>
            <w:col w:w="3310" w:space="0"/>
          </w:cols>
        </w:sectPr>
        <w:rPr>
          <w:rFonts w:ascii="FangSong" w:hAnsi="FangSong" w:eastAsia="FangSong" w:cs="FangSong"/>
          <w:sz w:val="30"/>
          <w:szCs w:val="30"/>
        </w:rPr>
      </w:pPr>
    </w:p>
    <w:p>
      <w:pPr>
        <w:ind w:left="25"/>
        <w:spacing w:before="60" w:line="220" w:lineRule="auto"/>
        <w:rPr>
          <w:rFonts w:ascii="FangSong" w:hAnsi="FangSong" w:eastAsia="FangSong" w:cs="FangSong"/>
          <w:sz w:val="30"/>
          <w:szCs w:val="30"/>
        </w:rPr>
      </w:pPr>
      <w:r>
        <w:rPr>
          <w:rFonts w:ascii="FangSong" w:hAnsi="FangSong" w:eastAsia="FangSong" w:cs="FangSong"/>
          <w:sz w:val="30"/>
          <w:szCs w:val="30"/>
          <w:spacing w:val="22"/>
        </w:rPr>
        <w:t>一的，给予警告，责令限期改正，可以并处3万元以下的罚款：</w:t>
      </w:r>
    </w:p>
    <w:p>
      <w:pPr>
        <w:ind w:left="784"/>
        <w:spacing w:before="72" w:line="220" w:lineRule="auto"/>
        <w:rPr>
          <w:rFonts w:ascii="FangSong" w:hAnsi="FangSong" w:eastAsia="FangSong" w:cs="FangSong"/>
          <w:sz w:val="30"/>
          <w:szCs w:val="30"/>
        </w:rPr>
      </w:pPr>
      <w:r>
        <w:rPr>
          <w:rFonts w:ascii="FangSong" w:hAnsi="FangSong" w:eastAsia="FangSong" w:cs="FangSong"/>
          <w:sz w:val="30"/>
          <w:szCs w:val="30"/>
          <w:spacing w:val="23"/>
        </w:rPr>
        <w:t>(五)未根据职业健康检查情况采取相应措施的；</w:t>
      </w:r>
    </w:p>
    <w:p>
      <w:pPr>
        <w:pStyle w:val="BodyText"/>
        <w:spacing w:line="353" w:lineRule="auto"/>
        <w:rPr/>
      </w:pPr>
      <w:r/>
    </w:p>
    <w:p>
      <w:pPr>
        <w:pStyle w:val="BodyText"/>
        <w:spacing w:line="353" w:lineRule="auto"/>
        <w:rPr/>
      </w:pPr>
      <w:r/>
    </w:p>
    <w:p>
      <w:pPr>
        <w:ind w:left="6429"/>
        <w:spacing w:before="94" w:line="220" w:lineRule="auto"/>
        <w:rPr>
          <w:rFonts w:ascii="SimSun" w:hAnsi="SimSun" w:eastAsia="SimSun" w:cs="SimSun"/>
          <w:sz w:val="29"/>
          <w:szCs w:val="29"/>
        </w:rPr>
      </w:pPr>
      <w:r>
        <w:rPr>
          <w:rFonts w:ascii="SimSun" w:hAnsi="SimSun" w:eastAsia="SimSun" w:cs="SimSun"/>
          <w:sz w:val="29"/>
          <w:szCs w:val="29"/>
          <w:b/>
          <w:bCs/>
          <w:spacing w:val="-6"/>
        </w:rPr>
        <w:t>裁量标准</w:t>
      </w:r>
    </w:p>
    <w:p>
      <w:pPr>
        <w:spacing w:line="118" w:lineRule="auto"/>
        <w:rPr>
          <w:rFonts w:ascii="Arial"/>
          <w:sz w:val="2"/>
        </w:rPr>
      </w:pPr>
      <w:r>
        <w:rPr>
          <w:rFonts w:ascii="Arial"/>
          <w:sz w:val="2"/>
        </w:rPr>
      </w:r>
    </w:p>
    <w:tbl>
      <w:tblPr>
        <w:tblStyle w:val="TableNormal"/>
        <w:tblW w:w="1359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3"/>
        <w:gridCol w:w="9453"/>
        <w:gridCol w:w="2723"/>
      </w:tblGrid>
      <w:tr>
        <w:trPr>
          <w:trHeight w:val="928" w:hRule="atLeast"/>
        </w:trPr>
        <w:tc>
          <w:tcPr>
            <w:tcW w:w="1423" w:type="dxa"/>
            <w:vAlign w:val="top"/>
            <w:tcBorders>
              <w:bottom w:val="single" w:color="000000" w:sz="2" w:space="0"/>
              <w:top w:val="single" w:color="000000" w:sz="2" w:space="0"/>
            </w:tcBorders>
          </w:tcPr>
          <w:p>
            <w:pPr>
              <w:spacing w:line="264" w:lineRule="auto"/>
              <w:rPr>
                <w:rFonts w:ascii="Arial"/>
                <w:sz w:val="21"/>
              </w:rPr>
            </w:pPr>
            <w:r/>
          </w:p>
          <w:p>
            <w:pPr>
              <w:pStyle w:val="TableText"/>
              <w:ind w:left="208"/>
              <w:spacing w:before="81" w:line="220" w:lineRule="auto"/>
              <w:rPr>
                <w:sz w:val="25"/>
                <w:szCs w:val="25"/>
              </w:rPr>
            </w:pPr>
            <w:r>
              <w:rPr>
                <w:sz w:val="25"/>
                <w:szCs w:val="25"/>
                <w:b/>
                <w:bCs/>
                <w:spacing w:val="-5"/>
              </w:rPr>
              <w:t>违法程度</w:t>
            </w:r>
          </w:p>
        </w:tc>
        <w:tc>
          <w:tcPr>
            <w:tcW w:w="9453" w:type="dxa"/>
            <w:vAlign w:val="top"/>
            <w:tcBorders>
              <w:bottom w:val="single" w:color="000000" w:sz="2" w:space="0"/>
              <w:top w:val="single" w:color="000000" w:sz="2" w:space="0"/>
            </w:tcBorders>
          </w:tcPr>
          <w:p>
            <w:pPr>
              <w:spacing w:line="264" w:lineRule="auto"/>
              <w:rPr>
                <w:rFonts w:ascii="Arial"/>
                <w:sz w:val="21"/>
              </w:rPr>
            </w:pPr>
            <w:r/>
          </w:p>
          <w:p>
            <w:pPr>
              <w:pStyle w:val="TableText"/>
              <w:ind w:left="4155"/>
              <w:spacing w:before="81" w:line="220" w:lineRule="auto"/>
              <w:rPr>
                <w:sz w:val="25"/>
                <w:szCs w:val="25"/>
              </w:rPr>
            </w:pPr>
            <w:r>
              <w:rPr>
                <w:sz w:val="25"/>
                <w:szCs w:val="25"/>
                <w:b/>
                <w:bCs/>
                <w:spacing w:val="-5"/>
              </w:rPr>
              <w:t>情节后果</w:t>
            </w:r>
          </w:p>
        </w:tc>
        <w:tc>
          <w:tcPr>
            <w:tcW w:w="2723" w:type="dxa"/>
            <w:vAlign w:val="top"/>
            <w:tcBorders>
              <w:bottom w:val="single" w:color="000000" w:sz="2" w:space="0"/>
              <w:top w:val="single" w:color="000000" w:sz="2" w:space="0"/>
            </w:tcBorders>
          </w:tcPr>
          <w:p>
            <w:pPr>
              <w:spacing w:line="261" w:lineRule="auto"/>
              <w:rPr>
                <w:rFonts w:ascii="Arial"/>
                <w:sz w:val="21"/>
              </w:rPr>
            </w:pPr>
            <w:r/>
          </w:p>
          <w:p>
            <w:pPr>
              <w:pStyle w:val="TableText"/>
              <w:ind w:left="862"/>
              <w:spacing w:before="81" w:line="218" w:lineRule="auto"/>
              <w:rPr>
                <w:sz w:val="25"/>
                <w:szCs w:val="25"/>
              </w:rPr>
            </w:pPr>
            <w:r>
              <w:rPr>
                <w:sz w:val="25"/>
                <w:szCs w:val="25"/>
                <w:b/>
                <w:bCs/>
                <w:spacing w:val="-5"/>
              </w:rPr>
              <w:t>裁量幅度</w:t>
            </w:r>
          </w:p>
        </w:tc>
      </w:tr>
      <w:tr>
        <w:trPr>
          <w:trHeight w:val="3705" w:hRule="atLeast"/>
        </w:trPr>
        <w:tc>
          <w:tcPr>
            <w:tcW w:w="1423" w:type="dxa"/>
            <w:vAlign w:val="top"/>
            <w:tcBorders>
              <w:bottom w:val="single" w:color="000000" w:sz="2" w:space="0"/>
              <w:top w:val="single" w:color="000000" w:sz="2" w:space="0"/>
            </w:tcBorders>
          </w:tcPr>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458"/>
              <w:spacing w:before="82" w:line="221" w:lineRule="auto"/>
              <w:rPr>
                <w:sz w:val="25"/>
                <w:szCs w:val="25"/>
              </w:rPr>
            </w:pPr>
            <w:r>
              <w:rPr>
                <w:sz w:val="25"/>
                <w:szCs w:val="25"/>
                <w:b/>
                <w:bCs/>
                <w:spacing w:val="-10"/>
              </w:rPr>
              <w:t>一般</w:t>
            </w:r>
          </w:p>
        </w:tc>
        <w:tc>
          <w:tcPr>
            <w:tcW w:w="9453" w:type="dxa"/>
            <w:vAlign w:val="top"/>
            <w:tcBorders>
              <w:bottom w:val="single" w:color="000000" w:sz="2" w:space="0"/>
              <w:top w:val="single" w:color="000000" w:sz="2" w:space="0"/>
            </w:tcBorders>
          </w:tcPr>
          <w:p>
            <w:pPr>
              <w:spacing w:line="244" w:lineRule="auto"/>
              <w:rPr>
                <w:rFonts w:ascii="Arial"/>
                <w:sz w:val="21"/>
              </w:rPr>
            </w:pPr>
            <w:r/>
          </w:p>
          <w:p>
            <w:pPr>
              <w:spacing w:line="245" w:lineRule="auto"/>
              <w:rPr>
                <w:rFonts w:ascii="Arial"/>
                <w:sz w:val="21"/>
              </w:rPr>
            </w:pPr>
            <w:r/>
          </w:p>
          <w:p>
            <w:pPr>
              <w:pStyle w:val="TableText"/>
              <w:ind w:left="85"/>
              <w:spacing w:before="81" w:line="220" w:lineRule="auto"/>
              <w:rPr>
                <w:sz w:val="25"/>
                <w:szCs w:val="25"/>
              </w:rPr>
            </w:pPr>
            <w:r>
              <w:rPr>
                <w:sz w:val="25"/>
                <w:szCs w:val="25"/>
                <w:b/>
                <w:bCs/>
                <w:spacing w:val="-1"/>
              </w:rPr>
              <w:t>有下列情形之一的：</w:t>
            </w:r>
          </w:p>
          <w:p>
            <w:pPr>
              <w:pStyle w:val="TableText"/>
              <w:ind w:left="85"/>
              <w:spacing w:before="41" w:line="219" w:lineRule="auto"/>
              <w:rPr>
                <w:sz w:val="25"/>
                <w:szCs w:val="25"/>
              </w:rPr>
            </w:pPr>
            <w:r>
              <w:rPr>
                <w:sz w:val="25"/>
                <w:szCs w:val="25"/>
                <w:b/>
                <w:bCs/>
                <w:spacing w:val="-3"/>
              </w:rPr>
              <w:t>A、有职业禁忌的劳动者，未调离或者暂时脱离原工作岗位，发现1人的</w:t>
            </w:r>
          </w:p>
          <w:p>
            <w:pPr>
              <w:pStyle w:val="TableText"/>
              <w:ind w:left="85"/>
              <w:spacing w:before="43" w:line="219" w:lineRule="auto"/>
              <w:rPr>
                <w:sz w:val="25"/>
                <w:szCs w:val="25"/>
              </w:rPr>
            </w:pPr>
            <w:r>
              <w:rPr>
                <w:sz w:val="25"/>
                <w:szCs w:val="25"/>
                <w:b/>
                <w:bCs/>
                <w:spacing w:val="-3"/>
              </w:rPr>
              <w:t>B、对健康损害可能与所从事的职业相关的劳动者，未进行妥善安置，发现1人的</w:t>
            </w:r>
          </w:p>
          <w:p>
            <w:pPr>
              <w:pStyle w:val="TableText"/>
              <w:ind w:left="85"/>
              <w:spacing w:before="31" w:line="219" w:lineRule="auto"/>
              <w:rPr>
                <w:sz w:val="25"/>
                <w:szCs w:val="25"/>
              </w:rPr>
            </w:pPr>
            <w:r>
              <w:rPr>
                <w:sz w:val="25"/>
                <w:szCs w:val="25"/>
                <w:b/>
                <w:bCs/>
                <w:spacing w:val="-2"/>
              </w:rPr>
              <w:t>C、对需要复查的劳动者，按照职业健康检查机构要求的时间安排复</w:t>
            </w:r>
            <w:r>
              <w:rPr>
                <w:sz w:val="25"/>
                <w:szCs w:val="25"/>
                <w:b/>
                <w:bCs/>
                <w:spacing w:val="-3"/>
              </w:rPr>
              <w:t>查和医学观察的</w:t>
            </w:r>
          </w:p>
          <w:p>
            <w:pPr>
              <w:pStyle w:val="TableText"/>
              <w:ind w:left="85"/>
              <w:spacing w:before="55" w:line="235" w:lineRule="auto"/>
              <w:rPr>
                <w:sz w:val="25"/>
                <w:szCs w:val="25"/>
              </w:rPr>
            </w:pPr>
            <w:r>
              <w:rPr>
                <w:sz w:val="25"/>
                <w:szCs w:val="25"/>
                <w:b/>
                <w:bCs/>
                <w:spacing w:val="-9"/>
              </w:rPr>
              <w:t>D、对疑似职业病病人，按照职业健康检查</w:t>
            </w:r>
            <w:r>
              <w:rPr>
                <w:sz w:val="25"/>
                <w:szCs w:val="25"/>
                <w:b/>
                <w:bCs/>
                <w:spacing w:val="-10"/>
              </w:rPr>
              <w:t>机构的建议未安排其进行医学观察或者职业病</w:t>
            </w:r>
            <w:r>
              <w:rPr>
                <w:sz w:val="25"/>
                <w:szCs w:val="25"/>
              </w:rPr>
              <w:t xml:space="preserve"> </w:t>
            </w:r>
            <w:r>
              <w:rPr>
                <w:sz w:val="25"/>
                <w:szCs w:val="25"/>
                <w:b/>
                <w:bCs/>
                <w:spacing w:val="-5"/>
              </w:rPr>
              <w:t>诊断的，发现1人</w:t>
            </w:r>
          </w:p>
          <w:p>
            <w:pPr>
              <w:pStyle w:val="TableText"/>
              <w:ind w:left="85"/>
              <w:spacing w:before="43" w:line="235" w:lineRule="auto"/>
              <w:rPr>
                <w:sz w:val="25"/>
                <w:szCs w:val="25"/>
              </w:rPr>
            </w:pPr>
            <w:r>
              <w:rPr>
                <w:sz w:val="25"/>
                <w:szCs w:val="25"/>
                <w:b/>
                <w:bCs/>
                <w:spacing w:val="-9"/>
              </w:rPr>
              <w:t>E、对存在职业病危害的岗位，立即改善劳</w:t>
            </w:r>
            <w:r>
              <w:rPr>
                <w:sz w:val="25"/>
                <w:szCs w:val="25"/>
                <w:b/>
                <w:bCs/>
                <w:spacing w:val="-10"/>
              </w:rPr>
              <w:t>动条件，完善职业病防护设施，为劳动者配备</w:t>
            </w:r>
            <w:r>
              <w:rPr>
                <w:sz w:val="25"/>
                <w:szCs w:val="25"/>
              </w:rPr>
              <w:t xml:space="preserve"> </w:t>
            </w:r>
            <w:r>
              <w:rPr>
                <w:sz w:val="25"/>
                <w:szCs w:val="25"/>
                <w:b/>
                <w:bCs/>
                <w:spacing w:val="-2"/>
              </w:rPr>
              <w:t>符合国家标准的职业病危害防护用品，发现1</w:t>
            </w:r>
            <w:r>
              <w:rPr>
                <w:sz w:val="25"/>
                <w:szCs w:val="25"/>
                <w:b/>
                <w:bCs/>
                <w:spacing w:val="-3"/>
              </w:rPr>
              <w:t>个岗位的</w:t>
            </w:r>
          </w:p>
        </w:tc>
        <w:tc>
          <w:tcPr>
            <w:tcW w:w="2723" w:type="dxa"/>
            <w:vAlign w:val="top"/>
            <w:tcBorders>
              <w:bottom w:val="single" w:color="000000" w:sz="2" w:space="0"/>
              <w:top w:val="single" w:color="000000" w:sz="2" w:space="0"/>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132" w:right="111" w:hanging="20"/>
              <w:spacing w:before="81" w:line="254" w:lineRule="auto"/>
              <w:jc w:val="both"/>
              <w:rPr>
                <w:sz w:val="25"/>
                <w:szCs w:val="25"/>
              </w:rPr>
            </w:pPr>
            <w:r>
              <w:rPr>
                <w:sz w:val="25"/>
                <w:szCs w:val="25"/>
                <w:b/>
                <w:bCs/>
                <w:spacing w:val="-4"/>
              </w:rPr>
              <w:t>给予警告，责令限期改</w:t>
            </w:r>
            <w:r>
              <w:rPr>
                <w:sz w:val="25"/>
                <w:szCs w:val="25"/>
                <w:spacing w:val="2"/>
              </w:rPr>
              <w:t xml:space="preserve"> </w:t>
            </w:r>
            <w:r>
              <w:rPr>
                <w:sz w:val="25"/>
                <w:szCs w:val="25"/>
                <w:b/>
                <w:bCs/>
                <w:spacing w:val="2"/>
              </w:rPr>
              <w:t>正，可以并处1万元以</w:t>
            </w:r>
            <w:r>
              <w:rPr>
                <w:sz w:val="25"/>
                <w:szCs w:val="25"/>
                <w:spacing w:val="2"/>
              </w:rPr>
              <w:t xml:space="preserve"> </w:t>
            </w:r>
            <w:r>
              <w:rPr>
                <w:sz w:val="25"/>
                <w:szCs w:val="25"/>
                <w:b/>
                <w:bCs/>
                <w:spacing w:val="-2"/>
              </w:rPr>
              <w:t>下的罚款</w:t>
            </w:r>
          </w:p>
        </w:tc>
      </w:tr>
    </w:tbl>
    <w:p>
      <w:pPr>
        <w:pStyle w:val="BodyText"/>
        <w:spacing w:line="14" w:lineRule="auto"/>
        <w:rPr>
          <w:sz w:val="2"/>
        </w:rPr>
      </w:pPr>
      <w:r/>
    </w:p>
    <w:p>
      <w:pPr>
        <w:spacing w:line="14" w:lineRule="auto"/>
        <w:sectPr>
          <w:type w:val="continuous"/>
          <w:pgSz w:w="16830" w:h="11900"/>
          <w:pgMar w:top="1011" w:right="1380" w:bottom="1123" w:left="1425" w:header="0" w:footer="808" w:gutter="0"/>
          <w:cols w:equalWidth="0" w:num="1">
            <w:col w:w="14025" w:space="0"/>
          </w:cols>
        </w:sectPr>
        <w:rPr>
          <w:sz w:val="2"/>
          <w:szCs w:val="2"/>
        </w:rPr>
      </w:pPr>
    </w:p>
    <w:p>
      <w:pPr>
        <w:spacing w:before="20"/>
        <w:rPr/>
      </w:pPr>
      <w:r/>
    </w:p>
    <w:p>
      <w:pPr>
        <w:spacing w:before="20"/>
        <w:rPr/>
      </w:pPr>
      <w:r/>
    </w:p>
    <w:p>
      <w:pPr>
        <w:spacing w:before="19"/>
        <w:rPr/>
      </w:pPr>
      <w:r/>
    </w:p>
    <w:tbl>
      <w:tblPr>
        <w:tblStyle w:val="TableNormal"/>
        <w:tblW w:w="135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24"/>
        <w:gridCol w:w="9443"/>
        <w:gridCol w:w="2722"/>
      </w:tblGrid>
      <w:tr>
        <w:trPr>
          <w:trHeight w:val="2711" w:hRule="atLeast"/>
        </w:trPr>
        <w:tc>
          <w:tcPr>
            <w:tcW w:w="1424" w:type="dxa"/>
            <w:vAlign w:val="top"/>
          </w:tcPr>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pStyle w:val="TableText"/>
              <w:ind w:left="458"/>
              <w:spacing w:before="82" w:line="221" w:lineRule="auto"/>
              <w:rPr>
                <w:sz w:val="25"/>
                <w:szCs w:val="25"/>
              </w:rPr>
            </w:pPr>
            <w:bookmarkStart w:name="bookmark1201" w:id="578"/>
            <w:bookmarkEnd w:id="578"/>
            <w:r>
              <w:rPr>
                <w:sz w:val="25"/>
                <w:szCs w:val="25"/>
                <w:b/>
                <w:bCs/>
                <w:spacing w:val="-6"/>
              </w:rPr>
              <w:t>较重</w:t>
            </w:r>
          </w:p>
        </w:tc>
        <w:tc>
          <w:tcPr>
            <w:tcW w:w="9443" w:type="dxa"/>
            <w:vAlign w:val="top"/>
          </w:tcPr>
          <w:p>
            <w:pPr>
              <w:pStyle w:val="TableText"/>
              <w:ind w:left="80"/>
              <w:spacing w:before="56" w:line="220" w:lineRule="auto"/>
              <w:rPr>
                <w:sz w:val="25"/>
                <w:szCs w:val="25"/>
              </w:rPr>
            </w:pPr>
            <w:r>
              <w:rPr>
                <w:sz w:val="25"/>
                <w:szCs w:val="25"/>
                <w:spacing w:val="2"/>
              </w:rPr>
              <w:t>有下列情形之一的：</w:t>
            </w:r>
          </w:p>
          <w:p>
            <w:pPr>
              <w:pStyle w:val="TableText"/>
              <w:ind w:left="80"/>
              <w:spacing w:before="41" w:line="219" w:lineRule="auto"/>
              <w:rPr>
                <w:sz w:val="25"/>
                <w:szCs w:val="25"/>
              </w:rPr>
            </w:pPr>
            <w:r>
              <w:rPr>
                <w:sz w:val="25"/>
                <w:szCs w:val="25"/>
              </w:rPr>
              <w:t>A、有职业禁忌的劳动者，未调离或者暂时脱离原工作岗位，发现2人的</w:t>
            </w:r>
          </w:p>
          <w:p>
            <w:pPr>
              <w:pStyle w:val="TableText"/>
              <w:ind w:left="80"/>
              <w:spacing w:before="43" w:line="219" w:lineRule="auto"/>
              <w:rPr>
                <w:sz w:val="25"/>
                <w:szCs w:val="25"/>
              </w:rPr>
            </w:pPr>
            <w:r>
              <w:rPr>
                <w:sz w:val="25"/>
                <w:szCs w:val="25"/>
              </w:rPr>
              <w:t>B、对健康损害可能与所从事的职业相关的劳动者，未进行妥善安置，发现2人的</w:t>
            </w:r>
          </w:p>
          <w:p>
            <w:pPr>
              <w:pStyle w:val="TableText"/>
              <w:ind w:left="80"/>
              <w:spacing w:before="41" w:line="219" w:lineRule="auto"/>
              <w:rPr>
                <w:sz w:val="25"/>
                <w:szCs w:val="25"/>
              </w:rPr>
            </w:pPr>
            <w:r>
              <w:rPr>
                <w:sz w:val="25"/>
                <w:szCs w:val="25"/>
                <w:spacing w:val="1"/>
              </w:rPr>
              <w:t>C、对需要复查的劳动者，按照职业健康检查机构要</w:t>
            </w:r>
            <w:r>
              <w:rPr>
                <w:sz w:val="25"/>
                <w:szCs w:val="25"/>
              </w:rPr>
              <w:t>求的时间安排复查和医学观察的</w:t>
            </w:r>
          </w:p>
          <w:p>
            <w:pPr>
              <w:pStyle w:val="TableText"/>
              <w:ind w:left="80"/>
              <w:spacing w:before="44" w:line="239" w:lineRule="auto"/>
              <w:rPr>
                <w:sz w:val="25"/>
                <w:szCs w:val="25"/>
              </w:rPr>
            </w:pPr>
            <w:r>
              <w:rPr>
                <w:sz w:val="25"/>
                <w:szCs w:val="25"/>
                <w:spacing w:val="-7"/>
              </w:rPr>
              <w:t>D、对疑似职业病病人，按照职业健康检查机构的建议未安排其进行医学观察或者职业病</w:t>
            </w:r>
            <w:r>
              <w:rPr>
                <w:sz w:val="25"/>
                <w:szCs w:val="25"/>
              </w:rPr>
              <w:t xml:space="preserve"> </w:t>
            </w:r>
            <w:r>
              <w:rPr>
                <w:sz w:val="25"/>
                <w:szCs w:val="25"/>
                <w:spacing w:val="1"/>
              </w:rPr>
              <w:t>诊断的，发现2人</w:t>
            </w:r>
          </w:p>
          <w:p>
            <w:pPr>
              <w:pStyle w:val="TableText"/>
              <w:ind w:left="80"/>
              <w:spacing w:before="43" w:line="220" w:lineRule="auto"/>
              <w:rPr>
                <w:sz w:val="25"/>
                <w:szCs w:val="25"/>
              </w:rPr>
            </w:pPr>
            <w:r>
              <w:rPr>
                <w:sz w:val="25"/>
                <w:szCs w:val="25"/>
                <w:spacing w:val="-7"/>
              </w:rPr>
              <w:t>E、对存在职业病危害的岗位，立即改善劳动条件，完善职业病防护设施，为劳动者配备</w:t>
            </w:r>
            <w:r>
              <w:rPr>
                <w:sz w:val="25"/>
                <w:szCs w:val="25"/>
              </w:rPr>
              <w:t xml:space="preserve"> </w:t>
            </w:r>
            <w:r>
              <w:rPr>
                <w:sz w:val="25"/>
                <w:szCs w:val="25"/>
              </w:rPr>
              <w:t>符合国家标准的职业病危害防护用品，发现2个岗位的</w:t>
            </w:r>
          </w:p>
        </w:tc>
        <w:tc>
          <w:tcPr>
            <w:tcW w:w="2722" w:type="dxa"/>
            <w:vAlign w:val="top"/>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127" w:right="93" w:hanging="20"/>
              <w:spacing w:before="82" w:line="254" w:lineRule="auto"/>
              <w:rPr>
                <w:sz w:val="25"/>
                <w:szCs w:val="25"/>
              </w:rPr>
            </w:pPr>
            <w:r>
              <w:rPr>
                <w:sz w:val="25"/>
                <w:szCs w:val="25"/>
                <w:spacing w:val="1"/>
              </w:rPr>
              <w:t>给予警告，责令限期改</w:t>
            </w:r>
            <w:r>
              <w:rPr>
                <w:sz w:val="25"/>
                <w:szCs w:val="25"/>
              </w:rPr>
              <w:t xml:space="preserve"> </w:t>
            </w:r>
            <w:r>
              <w:rPr>
                <w:sz w:val="25"/>
                <w:szCs w:val="25"/>
                <w:spacing w:val="11"/>
              </w:rPr>
              <w:t>正，并处1万元以上2</w:t>
            </w:r>
            <w:r>
              <w:rPr>
                <w:sz w:val="25"/>
                <w:szCs w:val="25"/>
                <w:spacing w:val="2"/>
              </w:rPr>
              <w:t xml:space="preserve">  </w:t>
            </w:r>
            <w:r>
              <w:rPr>
                <w:sz w:val="25"/>
                <w:szCs w:val="25"/>
                <w:spacing w:val="1"/>
              </w:rPr>
              <w:t>万元以下的罚款</w:t>
            </w:r>
          </w:p>
        </w:tc>
      </w:tr>
      <w:tr>
        <w:trPr>
          <w:trHeight w:val="3399" w:hRule="atLeast"/>
        </w:trPr>
        <w:tc>
          <w:tcPr>
            <w:tcW w:w="1424"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9443" w:type="dxa"/>
            <w:vAlign w:val="top"/>
          </w:tcPr>
          <w:p>
            <w:pPr>
              <w:pStyle w:val="TableText"/>
              <w:ind w:left="80"/>
              <w:spacing w:before="75" w:line="220" w:lineRule="auto"/>
              <w:rPr>
                <w:sz w:val="25"/>
                <w:szCs w:val="25"/>
              </w:rPr>
            </w:pPr>
            <w:r>
              <w:rPr>
                <w:sz w:val="25"/>
                <w:szCs w:val="25"/>
                <w:spacing w:val="2"/>
              </w:rPr>
              <w:t>有下列情形之一的：</w:t>
            </w:r>
          </w:p>
          <w:p>
            <w:pPr>
              <w:pStyle w:val="TableText"/>
              <w:ind w:left="80"/>
              <w:spacing w:before="41" w:line="219" w:lineRule="auto"/>
              <w:rPr>
                <w:sz w:val="25"/>
                <w:szCs w:val="25"/>
              </w:rPr>
            </w:pPr>
            <w:r>
              <w:rPr>
                <w:sz w:val="25"/>
                <w:szCs w:val="25"/>
              </w:rPr>
              <w:t>A、有职业禁忌的劳动者，未调离或者暂时脱离原工作岗位，发现3人以上的</w:t>
            </w:r>
          </w:p>
          <w:p>
            <w:pPr>
              <w:pStyle w:val="TableText"/>
              <w:ind w:left="80"/>
              <w:spacing w:before="23" w:line="219" w:lineRule="auto"/>
              <w:rPr>
                <w:sz w:val="25"/>
                <w:szCs w:val="25"/>
              </w:rPr>
            </w:pPr>
            <w:r>
              <w:rPr>
                <w:sz w:val="25"/>
                <w:szCs w:val="25"/>
              </w:rPr>
              <w:t>B、对健康损害可能与所从事的职业相关的劳动者，未进行妥善安置，发现3人以上的</w:t>
            </w:r>
          </w:p>
          <w:p>
            <w:pPr>
              <w:pStyle w:val="TableText"/>
              <w:ind w:left="80" w:firstLine="20"/>
              <w:spacing w:before="43" w:line="238" w:lineRule="auto"/>
              <w:rPr>
                <w:sz w:val="25"/>
                <w:szCs w:val="25"/>
              </w:rPr>
            </w:pPr>
            <w:r>
              <w:rPr>
                <w:sz w:val="25"/>
                <w:szCs w:val="25"/>
                <w:spacing w:val="-10"/>
              </w:rPr>
              <w:t>C、对需要复查的劳动者，按照职业健康检查机</w:t>
            </w:r>
            <w:r>
              <w:rPr>
                <w:sz w:val="25"/>
                <w:szCs w:val="25"/>
                <w:spacing w:val="-11"/>
              </w:rPr>
              <w:t>构要求的时间安排复查和医学观察，发现3</w:t>
            </w:r>
            <w:r>
              <w:rPr>
                <w:sz w:val="25"/>
                <w:szCs w:val="25"/>
              </w:rPr>
              <w:t xml:space="preserve"> </w:t>
            </w:r>
            <w:r>
              <w:rPr>
                <w:sz w:val="25"/>
                <w:szCs w:val="25"/>
                <w:spacing w:val="4"/>
              </w:rPr>
              <w:t>人以上的</w:t>
            </w:r>
          </w:p>
          <w:p>
            <w:pPr>
              <w:pStyle w:val="TableText"/>
              <w:ind w:left="80"/>
              <w:spacing w:before="45" w:line="235" w:lineRule="auto"/>
              <w:rPr>
                <w:sz w:val="25"/>
                <w:szCs w:val="25"/>
              </w:rPr>
            </w:pPr>
            <w:r>
              <w:rPr>
                <w:sz w:val="25"/>
                <w:szCs w:val="25"/>
                <w:spacing w:val="-7"/>
              </w:rPr>
              <w:t>D、对疑似职业病病人，按照职业健康检查机构的建议未安排其进行医学观察或者职业病</w:t>
            </w:r>
            <w:r>
              <w:rPr>
                <w:sz w:val="25"/>
                <w:szCs w:val="25"/>
              </w:rPr>
              <w:t xml:space="preserve"> </w:t>
            </w:r>
            <w:r>
              <w:rPr>
                <w:sz w:val="25"/>
                <w:szCs w:val="25"/>
                <w:spacing w:val="1"/>
              </w:rPr>
              <w:t>诊断的，发现3人以上的</w:t>
            </w:r>
          </w:p>
          <w:p>
            <w:pPr>
              <w:pStyle w:val="TableText"/>
              <w:ind w:left="80"/>
              <w:spacing w:before="53" w:line="235" w:lineRule="auto"/>
              <w:rPr>
                <w:sz w:val="25"/>
                <w:szCs w:val="25"/>
              </w:rPr>
            </w:pPr>
            <w:r>
              <w:rPr>
                <w:sz w:val="25"/>
                <w:szCs w:val="25"/>
                <w:spacing w:val="-7"/>
              </w:rPr>
              <w:t>E、对存在职业病危害的岗位，立即改善劳动条件，完善职业病防护设施，为劳动者配备</w:t>
            </w:r>
            <w:r>
              <w:rPr>
                <w:sz w:val="25"/>
                <w:szCs w:val="25"/>
              </w:rPr>
              <w:t xml:space="preserve"> </w:t>
            </w:r>
            <w:r>
              <w:rPr>
                <w:sz w:val="25"/>
                <w:szCs w:val="25"/>
              </w:rPr>
              <w:t>符合国家标准的职业病危害防护用品，发现3个岗位以上的</w:t>
            </w:r>
          </w:p>
          <w:p>
            <w:pPr>
              <w:pStyle w:val="TableText"/>
              <w:ind w:left="80"/>
              <w:spacing w:before="54" w:line="180" w:lineRule="auto"/>
              <w:rPr>
                <w:sz w:val="25"/>
                <w:szCs w:val="25"/>
              </w:rPr>
            </w:pPr>
            <w:r>
              <w:rPr>
                <w:sz w:val="25"/>
                <w:szCs w:val="25"/>
                <w:spacing w:val="2"/>
              </w:rPr>
              <w:t>F、造成严重后果的</w:t>
            </w:r>
          </w:p>
        </w:tc>
        <w:tc>
          <w:tcPr>
            <w:tcW w:w="2722" w:type="dxa"/>
            <w:vAlign w:val="top"/>
          </w:tcPr>
          <w:p>
            <w:pPr>
              <w:spacing w:line="288" w:lineRule="auto"/>
              <w:rPr>
                <w:rFonts w:ascii="Arial"/>
                <w:sz w:val="21"/>
              </w:rPr>
            </w:pPr>
            <w:r/>
          </w:p>
          <w:p>
            <w:pPr>
              <w:spacing w:line="288" w:lineRule="auto"/>
              <w:rPr>
                <w:rFonts w:ascii="Arial"/>
                <w:sz w:val="21"/>
              </w:rPr>
            </w:pPr>
            <w:r/>
          </w:p>
          <w:p>
            <w:pPr>
              <w:spacing w:line="289" w:lineRule="auto"/>
              <w:rPr>
                <w:rFonts w:ascii="Arial"/>
                <w:sz w:val="21"/>
              </w:rPr>
            </w:pPr>
            <w:r/>
          </w:p>
          <w:p>
            <w:pPr>
              <w:spacing w:line="289" w:lineRule="auto"/>
              <w:rPr>
                <w:rFonts w:ascii="Arial"/>
                <w:sz w:val="21"/>
              </w:rPr>
            </w:pPr>
            <w:r/>
          </w:p>
          <w:p>
            <w:pPr>
              <w:pStyle w:val="TableText"/>
              <w:ind w:left="127" w:right="93" w:hanging="20"/>
              <w:spacing w:before="81" w:line="261" w:lineRule="auto"/>
              <w:rPr>
                <w:sz w:val="25"/>
                <w:szCs w:val="25"/>
              </w:rPr>
            </w:pPr>
            <w:r>
              <w:rPr>
                <w:sz w:val="25"/>
                <w:szCs w:val="25"/>
                <w:spacing w:val="1"/>
              </w:rPr>
              <w:t>给予警告，责令限期改</w:t>
            </w:r>
            <w:r>
              <w:rPr>
                <w:sz w:val="25"/>
                <w:szCs w:val="25"/>
              </w:rPr>
              <w:t xml:space="preserve"> </w:t>
            </w:r>
            <w:r>
              <w:rPr>
                <w:sz w:val="25"/>
                <w:szCs w:val="25"/>
                <w:spacing w:val="11"/>
              </w:rPr>
              <w:t>正，并处2万元以上3</w:t>
            </w:r>
            <w:r>
              <w:rPr>
                <w:sz w:val="25"/>
                <w:szCs w:val="25"/>
                <w:spacing w:val="2"/>
              </w:rPr>
              <w:t xml:space="preserve">  </w:t>
            </w:r>
            <w:r>
              <w:rPr>
                <w:sz w:val="25"/>
                <w:szCs w:val="25"/>
                <w:spacing w:val="1"/>
              </w:rPr>
              <w:t>万元以下的罚款</w:t>
            </w:r>
          </w:p>
        </w:tc>
      </w:tr>
    </w:tbl>
    <w:p>
      <w:pPr>
        <w:pStyle w:val="BodyText"/>
        <w:spacing w:line="413" w:lineRule="auto"/>
        <w:rPr/>
      </w:pPr>
      <w:r/>
    </w:p>
    <w:p>
      <w:pPr>
        <w:ind w:left="679"/>
        <w:spacing w:before="101" w:line="220" w:lineRule="auto"/>
        <w:rPr>
          <w:rFonts w:ascii="FangSong" w:hAnsi="FangSong" w:eastAsia="FangSong" w:cs="FangSong"/>
          <w:sz w:val="31"/>
          <w:szCs w:val="31"/>
        </w:rPr>
      </w:pPr>
      <w:r>
        <w:rPr>
          <w:rFonts w:ascii="FangSong" w:hAnsi="FangSong" w:eastAsia="FangSong" w:cs="FangSong"/>
          <w:sz w:val="31"/>
          <w:szCs w:val="31"/>
          <w:b/>
          <w:bCs/>
          <w:spacing w:val="14"/>
        </w:rPr>
        <w:t>第五百四十五条不承担职业健康检查费用的</w:t>
      </w:r>
    </w:p>
    <w:p>
      <w:pPr>
        <w:ind w:left="664"/>
        <w:spacing w:before="117"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spacing w:before="73" w:line="221" w:lineRule="auto"/>
        <w:jc w:val="right"/>
        <w:rPr>
          <w:rFonts w:ascii="FangSong" w:hAnsi="FangSong" w:eastAsia="FangSong" w:cs="FangSong"/>
          <w:sz w:val="31"/>
          <w:szCs w:val="31"/>
        </w:rPr>
      </w:pPr>
      <w:r>
        <w:rPr>
          <w:rFonts w:ascii="FangSong" w:hAnsi="FangSong" w:eastAsia="FangSong" w:cs="FangSong"/>
          <w:sz w:val="31"/>
          <w:szCs w:val="31"/>
          <w:spacing w:val="16"/>
        </w:rPr>
        <w:t>《用人单位职业健康监护监督管理办法》第二十六条第(六)项</w:t>
      </w:r>
      <w:r>
        <w:rPr>
          <w:rFonts w:ascii="FangSong" w:hAnsi="FangSong" w:eastAsia="FangSong" w:cs="FangSong"/>
          <w:sz w:val="31"/>
          <w:szCs w:val="31"/>
          <w:spacing w:val="16"/>
        </w:rPr>
        <w:t xml:space="preserve">  </w:t>
      </w:r>
      <w:r>
        <w:rPr>
          <w:rFonts w:ascii="FangSong" w:hAnsi="FangSong" w:eastAsia="FangSong" w:cs="FangSong"/>
          <w:sz w:val="31"/>
          <w:szCs w:val="31"/>
          <w:spacing w:val="16"/>
        </w:rPr>
        <w:t>用人单</w:t>
      </w:r>
      <w:r>
        <w:rPr>
          <w:rFonts w:ascii="FangSong" w:hAnsi="FangSong" w:eastAsia="FangSong" w:cs="FangSong"/>
          <w:sz w:val="31"/>
          <w:szCs w:val="31"/>
          <w:spacing w:val="15"/>
        </w:rPr>
        <w:t>位有下列行为之一的，</w:t>
      </w:r>
    </w:p>
    <w:p>
      <w:pPr>
        <w:spacing w:line="221" w:lineRule="auto"/>
        <w:sectPr>
          <w:footerReference w:type="default" r:id="rId570"/>
          <w:pgSz w:w="16830" w:h="11900"/>
          <w:pgMar w:top="1011" w:right="1375" w:bottom="1137" w:left="1425" w:header="0" w:footer="804" w:gutter="0"/>
        </w:sectPr>
        <w:rPr>
          <w:rFonts w:ascii="FangSong" w:hAnsi="FangSong" w:eastAsia="FangSong" w:cs="FangSong"/>
          <w:sz w:val="31"/>
          <w:szCs w:val="31"/>
        </w:rPr>
      </w:pPr>
    </w:p>
    <w:p>
      <w:pPr>
        <w:pStyle w:val="BodyText"/>
        <w:spacing w:line="256" w:lineRule="auto"/>
        <w:rPr/>
      </w:pPr>
      <w:r/>
    </w:p>
    <w:p>
      <w:pPr>
        <w:pStyle w:val="BodyText"/>
        <w:spacing w:line="256" w:lineRule="auto"/>
        <w:rPr/>
      </w:pPr>
      <w:r/>
    </w:p>
    <w:p>
      <w:pPr>
        <w:pStyle w:val="BodyText"/>
        <w:spacing w:line="257" w:lineRule="auto"/>
        <w:rPr/>
      </w:pPr>
      <w:r/>
    </w:p>
    <w:p>
      <w:pPr>
        <w:ind w:left="5"/>
        <w:spacing w:before="101" w:line="220" w:lineRule="auto"/>
        <w:rPr>
          <w:rFonts w:ascii="FangSong" w:hAnsi="FangSong" w:eastAsia="FangSong" w:cs="FangSong"/>
          <w:sz w:val="31"/>
          <w:szCs w:val="31"/>
        </w:rPr>
      </w:pPr>
      <w:bookmarkStart w:name="bookmark1202" w:id="579"/>
      <w:bookmarkEnd w:id="579"/>
      <w:r>
        <w:rPr>
          <w:rFonts w:ascii="FangSong" w:hAnsi="FangSong" w:eastAsia="FangSong" w:cs="FangSong"/>
          <w:sz w:val="31"/>
          <w:szCs w:val="31"/>
          <w:spacing w:val="12"/>
        </w:rPr>
        <w:t>给予警告，责令限期改正，可以并处3万元以下的罚款：</w:t>
      </w:r>
    </w:p>
    <w:p>
      <w:pPr>
        <w:ind w:left="795"/>
        <w:spacing w:before="50" w:line="220" w:lineRule="auto"/>
        <w:rPr>
          <w:rFonts w:ascii="FangSong" w:hAnsi="FangSong" w:eastAsia="FangSong" w:cs="FangSong"/>
          <w:sz w:val="31"/>
          <w:szCs w:val="31"/>
        </w:rPr>
      </w:pPr>
      <w:r>
        <w:rPr>
          <w:rFonts w:ascii="FangSong" w:hAnsi="FangSong" w:eastAsia="FangSong" w:cs="FangSong"/>
          <w:sz w:val="31"/>
          <w:szCs w:val="31"/>
          <w:spacing w:val="15"/>
        </w:rPr>
        <w:t>(六)不承担职业健康检查费用的。</w:t>
      </w:r>
    </w:p>
    <w:p>
      <w:pPr>
        <w:ind w:left="6419"/>
        <w:spacing w:before="262"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5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94"/>
        <w:gridCol w:w="8074"/>
        <w:gridCol w:w="4092"/>
      </w:tblGrid>
      <w:tr>
        <w:trPr>
          <w:trHeight w:val="583" w:hRule="atLeast"/>
        </w:trPr>
        <w:tc>
          <w:tcPr>
            <w:tcW w:w="1394" w:type="dxa"/>
            <w:vAlign w:val="top"/>
          </w:tcPr>
          <w:p>
            <w:pPr>
              <w:pStyle w:val="TableText"/>
              <w:ind w:left="168"/>
              <w:spacing w:before="162" w:line="220" w:lineRule="auto"/>
              <w:rPr>
                <w:sz w:val="26"/>
                <w:szCs w:val="26"/>
              </w:rPr>
            </w:pPr>
            <w:r>
              <w:rPr>
                <w:sz w:val="26"/>
                <w:szCs w:val="26"/>
                <w:b/>
                <w:bCs/>
                <w:spacing w:val="-5"/>
              </w:rPr>
              <w:t>违法程度</w:t>
            </w:r>
          </w:p>
        </w:tc>
        <w:tc>
          <w:tcPr>
            <w:tcW w:w="8074" w:type="dxa"/>
            <w:vAlign w:val="top"/>
          </w:tcPr>
          <w:p>
            <w:pPr>
              <w:pStyle w:val="TableText"/>
              <w:ind w:left="3464"/>
              <w:spacing w:before="162" w:line="220" w:lineRule="auto"/>
              <w:rPr>
                <w:sz w:val="26"/>
                <w:szCs w:val="26"/>
              </w:rPr>
            </w:pPr>
            <w:r>
              <w:rPr>
                <w:sz w:val="26"/>
                <w:szCs w:val="26"/>
                <w:b/>
                <w:bCs/>
                <w:spacing w:val="-5"/>
              </w:rPr>
              <w:t>情节后果</w:t>
            </w:r>
          </w:p>
        </w:tc>
        <w:tc>
          <w:tcPr>
            <w:tcW w:w="4092" w:type="dxa"/>
            <w:vAlign w:val="top"/>
          </w:tcPr>
          <w:p>
            <w:pPr>
              <w:pStyle w:val="TableText"/>
              <w:ind w:left="1520"/>
              <w:spacing w:before="159" w:line="218" w:lineRule="auto"/>
              <w:rPr>
                <w:sz w:val="26"/>
                <w:szCs w:val="26"/>
              </w:rPr>
            </w:pPr>
            <w:r>
              <w:rPr>
                <w:sz w:val="26"/>
                <w:szCs w:val="26"/>
                <w:b/>
                <w:bCs/>
                <w:spacing w:val="-5"/>
              </w:rPr>
              <w:t>裁量幅度</w:t>
            </w:r>
          </w:p>
        </w:tc>
      </w:tr>
      <w:tr>
        <w:trPr>
          <w:trHeight w:val="707" w:hRule="atLeast"/>
        </w:trPr>
        <w:tc>
          <w:tcPr>
            <w:tcW w:w="1394" w:type="dxa"/>
            <w:vAlign w:val="top"/>
          </w:tcPr>
          <w:p>
            <w:pPr>
              <w:spacing w:line="244" w:lineRule="auto"/>
              <w:rPr>
                <w:rFonts w:ascii="Arial"/>
                <w:sz w:val="21"/>
              </w:rPr>
            </w:pPr>
            <w:r/>
          </w:p>
          <w:p>
            <w:pPr>
              <w:pStyle w:val="TableText"/>
              <w:ind w:left="428"/>
              <w:spacing w:before="84" w:line="221" w:lineRule="auto"/>
              <w:rPr>
                <w:sz w:val="26"/>
                <w:szCs w:val="26"/>
              </w:rPr>
            </w:pPr>
            <w:r>
              <w:rPr>
                <w:sz w:val="26"/>
                <w:szCs w:val="26"/>
                <w:b/>
                <w:bCs/>
                <w:spacing w:val="-10"/>
              </w:rPr>
              <w:t>一般</w:t>
            </w:r>
          </w:p>
        </w:tc>
        <w:tc>
          <w:tcPr>
            <w:tcW w:w="8074" w:type="dxa"/>
            <w:vAlign w:val="top"/>
          </w:tcPr>
          <w:p>
            <w:pPr>
              <w:pStyle w:val="TableText"/>
              <w:ind w:left="110"/>
              <w:spacing w:before="232" w:line="219" w:lineRule="auto"/>
              <w:rPr>
                <w:sz w:val="26"/>
                <w:szCs w:val="26"/>
              </w:rPr>
            </w:pPr>
            <w:r>
              <w:rPr>
                <w:sz w:val="26"/>
                <w:szCs w:val="26"/>
                <w:spacing w:val="1"/>
              </w:rPr>
              <w:t>不承担职业健康检查费用，累计1人的</w:t>
            </w:r>
          </w:p>
        </w:tc>
        <w:tc>
          <w:tcPr>
            <w:tcW w:w="4092" w:type="dxa"/>
            <w:vAlign w:val="top"/>
          </w:tcPr>
          <w:p>
            <w:pPr>
              <w:pStyle w:val="TableText"/>
              <w:ind w:left="106" w:hanging="89"/>
              <w:spacing w:before="80" w:line="219" w:lineRule="auto"/>
              <w:rPr>
                <w:sz w:val="26"/>
                <w:szCs w:val="26"/>
              </w:rPr>
            </w:pPr>
            <w:r>
              <w:rPr>
                <w:sz w:val="26"/>
                <w:szCs w:val="26"/>
                <w:spacing w:val="-6"/>
              </w:rPr>
              <w:t>给予警告，责令限期改正，可以并处</w:t>
            </w:r>
            <w:r>
              <w:rPr>
                <w:sz w:val="26"/>
                <w:szCs w:val="26"/>
              </w:rPr>
              <w:t xml:space="preserve"> </w:t>
            </w:r>
            <w:r>
              <w:rPr>
                <w:sz w:val="26"/>
                <w:szCs w:val="26"/>
                <w:spacing w:val="1"/>
              </w:rPr>
              <w:t>1万元以下的罚款</w:t>
            </w:r>
          </w:p>
        </w:tc>
      </w:tr>
      <w:tr>
        <w:trPr>
          <w:trHeight w:val="668" w:hRule="atLeast"/>
        </w:trPr>
        <w:tc>
          <w:tcPr>
            <w:tcW w:w="1394" w:type="dxa"/>
            <w:vAlign w:val="top"/>
          </w:tcPr>
          <w:p>
            <w:pPr>
              <w:pStyle w:val="TableText"/>
              <w:ind w:left="428"/>
              <w:spacing w:before="315" w:line="221" w:lineRule="auto"/>
              <w:rPr>
                <w:sz w:val="26"/>
                <w:szCs w:val="26"/>
              </w:rPr>
            </w:pPr>
            <w:r>
              <w:rPr>
                <w:sz w:val="26"/>
                <w:szCs w:val="26"/>
                <w:b/>
                <w:bCs/>
                <w:spacing w:val="-6"/>
              </w:rPr>
              <w:t>较重</w:t>
            </w:r>
          </w:p>
        </w:tc>
        <w:tc>
          <w:tcPr>
            <w:tcW w:w="8074" w:type="dxa"/>
            <w:vAlign w:val="top"/>
          </w:tcPr>
          <w:p>
            <w:pPr>
              <w:pStyle w:val="TableText"/>
              <w:ind w:left="110"/>
              <w:spacing w:before="215" w:line="219" w:lineRule="auto"/>
              <w:rPr>
                <w:sz w:val="26"/>
                <w:szCs w:val="26"/>
              </w:rPr>
            </w:pPr>
            <w:r>
              <w:rPr>
                <w:sz w:val="26"/>
                <w:szCs w:val="26"/>
                <w:spacing w:val="1"/>
              </w:rPr>
              <w:t>不承担职业健康检查费用，累计2人的</w:t>
            </w:r>
          </w:p>
        </w:tc>
        <w:tc>
          <w:tcPr>
            <w:tcW w:w="4092" w:type="dxa"/>
            <w:vAlign w:val="top"/>
          </w:tcPr>
          <w:p>
            <w:pPr>
              <w:pStyle w:val="TableText"/>
              <w:ind w:left="126" w:right="8" w:hanging="99"/>
              <w:spacing w:before="74" w:line="207" w:lineRule="auto"/>
              <w:rPr>
                <w:sz w:val="26"/>
                <w:szCs w:val="26"/>
              </w:rPr>
            </w:pPr>
            <w:r>
              <w:rPr>
                <w:sz w:val="26"/>
                <w:szCs w:val="26"/>
                <w:spacing w:val="1"/>
              </w:rPr>
              <w:t>给予警告，责令限期改正，并处1万</w:t>
            </w:r>
            <w:r>
              <w:rPr>
                <w:sz w:val="26"/>
                <w:szCs w:val="26"/>
              </w:rPr>
              <w:t xml:space="preserve"> </w:t>
            </w:r>
            <w:r>
              <w:rPr>
                <w:sz w:val="26"/>
                <w:szCs w:val="26"/>
                <w:spacing w:val="1"/>
              </w:rPr>
              <w:t>元以上2万元以下的罚款</w:t>
            </w:r>
          </w:p>
        </w:tc>
      </w:tr>
      <w:tr>
        <w:trPr>
          <w:trHeight w:val="672" w:hRule="atLeast"/>
        </w:trPr>
        <w:tc>
          <w:tcPr>
            <w:tcW w:w="1394" w:type="dxa"/>
            <w:vAlign w:val="top"/>
          </w:tcPr>
          <w:p>
            <w:pPr>
              <w:pStyle w:val="TableText"/>
              <w:ind w:left="428"/>
              <w:spacing w:before="324" w:line="220" w:lineRule="auto"/>
              <w:rPr>
                <w:sz w:val="26"/>
                <w:szCs w:val="26"/>
              </w:rPr>
            </w:pPr>
            <w:r>
              <w:rPr>
                <w:sz w:val="26"/>
                <w:szCs w:val="26"/>
                <w:b/>
                <w:bCs/>
                <w:spacing w:val="-6"/>
              </w:rPr>
              <w:t>严重</w:t>
            </w:r>
          </w:p>
        </w:tc>
        <w:tc>
          <w:tcPr>
            <w:tcW w:w="8074" w:type="dxa"/>
            <w:vAlign w:val="top"/>
          </w:tcPr>
          <w:p>
            <w:pPr>
              <w:pStyle w:val="TableText"/>
              <w:ind w:left="110"/>
              <w:spacing w:before="217" w:line="219" w:lineRule="auto"/>
              <w:rPr>
                <w:sz w:val="26"/>
                <w:szCs w:val="26"/>
              </w:rPr>
            </w:pPr>
            <w:r>
              <w:rPr>
                <w:sz w:val="26"/>
                <w:szCs w:val="26"/>
                <w:spacing w:val="1"/>
              </w:rPr>
              <w:t>不承担职业健康检查费用，累计3人及以上</w:t>
            </w:r>
            <w:r>
              <w:rPr>
                <w:sz w:val="26"/>
                <w:szCs w:val="26"/>
              </w:rPr>
              <w:t>的；或造成严重后果的</w:t>
            </w:r>
          </w:p>
        </w:tc>
        <w:tc>
          <w:tcPr>
            <w:tcW w:w="4092" w:type="dxa"/>
            <w:vAlign w:val="top"/>
          </w:tcPr>
          <w:p>
            <w:pPr>
              <w:pStyle w:val="TableText"/>
              <w:ind w:left="126" w:right="8" w:hanging="99"/>
              <w:spacing w:before="76" w:line="208" w:lineRule="auto"/>
              <w:rPr>
                <w:sz w:val="26"/>
                <w:szCs w:val="26"/>
              </w:rPr>
            </w:pPr>
            <w:r>
              <w:rPr>
                <w:sz w:val="26"/>
                <w:szCs w:val="26"/>
                <w:spacing w:val="1"/>
              </w:rPr>
              <w:t>给予警告，责令限期改正，并处2万</w:t>
            </w:r>
            <w:r>
              <w:rPr>
                <w:sz w:val="26"/>
                <w:szCs w:val="26"/>
              </w:rPr>
              <w:t xml:space="preserve"> </w:t>
            </w:r>
            <w:r>
              <w:rPr>
                <w:sz w:val="26"/>
                <w:szCs w:val="26"/>
                <w:spacing w:val="1"/>
              </w:rPr>
              <w:t>元以上3万元以下的罚款</w:t>
            </w:r>
          </w:p>
        </w:tc>
      </w:tr>
    </w:tbl>
    <w:p>
      <w:pPr>
        <w:pStyle w:val="BodyText"/>
        <w:spacing w:line="446" w:lineRule="auto"/>
        <w:rPr/>
      </w:pPr>
      <w:r/>
    </w:p>
    <w:p>
      <w:pPr>
        <w:ind w:left="5" w:right="34" w:firstLine="649"/>
        <w:spacing w:before="101" w:line="262" w:lineRule="auto"/>
        <w:rPr>
          <w:rFonts w:ascii="FangSong" w:hAnsi="FangSong" w:eastAsia="FangSong" w:cs="FangSong"/>
          <w:sz w:val="31"/>
          <w:szCs w:val="31"/>
        </w:rPr>
      </w:pPr>
      <w:r>
        <w:rPr>
          <w:rFonts w:ascii="FangSong" w:hAnsi="FangSong" w:eastAsia="FangSong" w:cs="FangSong"/>
          <w:sz w:val="31"/>
          <w:szCs w:val="31"/>
          <w:spacing w:val="14"/>
        </w:rPr>
        <w:t>第五百四十六条从事使用有毒物品作业的用人单位违反本条例的规定，在转产、停产、停业或</w:t>
      </w:r>
      <w:r>
        <w:rPr>
          <w:rFonts w:ascii="FangSong" w:hAnsi="FangSong" w:eastAsia="FangSong" w:cs="FangSong"/>
          <w:sz w:val="31"/>
          <w:szCs w:val="31"/>
          <w:spacing w:val="3"/>
        </w:rPr>
        <w:t xml:space="preserve"> </w:t>
      </w:r>
      <w:r>
        <w:rPr>
          <w:rFonts w:ascii="FangSong" w:hAnsi="FangSong" w:eastAsia="FangSong" w:cs="FangSong"/>
          <w:sz w:val="31"/>
          <w:szCs w:val="31"/>
          <w:spacing w:val="10"/>
        </w:rPr>
        <w:t>者解散、破产时未采取有效措施，妥善处理留存或者残留高毒物品的设备、包装物和容器的</w:t>
      </w:r>
    </w:p>
    <w:p>
      <w:pPr>
        <w:ind w:left="654"/>
        <w:spacing w:before="44"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5" w:firstLine="645"/>
        <w:spacing w:before="70" w:line="263" w:lineRule="auto"/>
        <w:jc w:val="both"/>
        <w:rPr>
          <w:rFonts w:ascii="FangSong" w:hAnsi="FangSong" w:eastAsia="FangSong" w:cs="FangSong"/>
          <w:sz w:val="31"/>
          <w:szCs w:val="31"/>
        </w:rPr>
      </w:pPr>
      <w:r>
        <w:rPr>
          <w:rFonts w:ascii="FangSong" w:hAnsi="FangSong" w:eastAsia="FangSong" w:cs="FangSong"/>
          <w:sz w:val="31"/>
          <w:szCs w:val="31"/>
          <w:spacing w:val="5"/>
        </w:rPr>
        <w:t>《使用有毒物品作业场所劳动保护条例》六十四条</w:t>
      </w:r>
      <w:r>
        <w:rPr>
          <w:rFonts w:ascii="FangSong" w:hAnsi="FangSong" w:eastAsia="FangSong" w:cs="FangSong"/>
          <w:sz w:val="31"/>
          <w:szCs w:val="31"/>
          <w:spacing w:val="50"/>
        </w:rPr>
        <w:t xml:space="preserve">  </w:t>
      </w:r>
      <w:r>
        <w:rPr>
          <w:rFonts w:ascii="FangSong" w:hAnsi="FangSong" w:eastAsia="FangSong" w:cs="FangSong"/>
          <w:sz w:val="31"/>
          <w:szCs w:val="31"/>
          <w:spacing w:val="5"/>
        </w:rPr>
        <w:t>从事使用有毒物品作业的用人单位违反本条</w:t>
      </w:r>
      <w:r>
        <w:rPr>
          <w:rFonts w:ascii="FangSong" w:hAnsi="FangSong" w:eastAsia="FangSong" w:cs="FangSong"/>
          <w:sz w:val="31"/>
          <w:szCs w:val="31"/>
          <w:spacing w:val="1"/>
        </w:rPr>
        <w:t xml:space="preserve"> </w:t>
      </w:r>
      <w:r>
        <w:rPr>
          <w:rFonts w:ascii="FangSong" w:hAnsi="FangSong" w:eastAsia="FangSong" w:cs="FangSong"/>
          <w:sz w:val="31"/>
          <w:szCs w:val="31"/>
          <w:spacing w:val="7"/>
        </w:rPr>
        <w:t>例的规定，在转产、停产、停业或者解散、破产时未采取有效措施，妥善处理留存或者残留高毒物品</w:t>
      </w:r>
      <w:r>
        <w:rPr>
          <w:rFonts w:ascii="FangSong" w:hAnsi="FangSong" w:eastAsia="FangSong" w:cs="FangSong"/>
          <w:sz w:val="31"/>
          <w:szCs w:val="31"/>
          <w:spacing w:val="12"/>
        </w:rPr>
        <w:t xml:space="preserve"> </w:t>
      </w:r>
      <w:r>
        <w:rPr>
          <w:rFonts w:ascii="FangSong" w:hAnsi="FangSong" w:eastAsia="FangSong" w:cs="FangSong"/>
          <w:sz w:val="31"/>
          <w:szCs w:val="31"/>
          <w:spacing w:val="17"/>
        </w:rPr>
        <w:t>的设备、包装物和容器的，由疾病预防控制部</w:t>
      </w:r>
      <w:r>
        <w:rPr>
          <w:rFonts w:ascii="FangSong" w:hAnsi="FangSong" w:eastAsia="FangSong" w:cs="FangSong"/>
          <w:sz w:val="31"/>
          <w:szCs w:val="31"/>
          <w:spacing w:val="16"/>
        </w:rPr>
        <w:t>门责令改正，处2万元以上10万元以下的罚款；触犯</w:t>
      </w:r>
      <w:r>
        <w:rPr>
          <w:rFonts w:ascii="FangSong" w:hAnsi="FangSong" w:eastAsia="FangSong" w:cs="FangSong"/>
          <w:sz w:val="31"/>
          <w:szCs w:val="31"/>
        </w:rPr>
        <w:t xml:space="preserve"> </w:t>
      </w:r>
      <w:r>
        <w:rPr>
          <w:rFonts w:ascii="FangSong" w:hAnsi="FangSong" w:eastAsia="FangSong" w:cs="FangSong"/>
          <w:sz w:val="31"/>
          <w:szCs w:val="31"/>
          <w:spacing w:val="6"/>
        </w:rPr>
        <w:t>刑律的，对负有责任的主管人员和其他直接责任人员依照刑法关于污染环境罪、危险物品肇事罪或者</w:t>
      </w:r>
      <w:r>
        <w:rPr>
          <w:rFonts w:ascii="FangSong" w:hAnsi="FangSong" w:eastAsia="FangSong" w:cs="FangSong"/>
          <w:sz w:val="31"/>
          <w:szCs w:val="31"/>
        </w:rPr>
        <w:t xml:space="preserve"> </w:t>
      </w:r>
      <w:r>
        <w:rPr>
          <w:rFonts w:ascii="FangSong" w:hAnsi="FangSong" w:eastAsia="FangSong" w:cs="FangSong"/>
          <w:sz w:val="31"/>
          <w:szCs w:val="31"/>
          <w:spacing w:val="4"/>
        </w:rPr>
        <w:t>其他罪的规定，依法追究刑事责任。</w:t>
      </w:r>
    </w:p>
    <w:p>
      <w:pPr>
        <w:pStyle w:val="BodyText"/>
        <w:spacing w:line="330" w:lineRule="auto"/>
        <w:rPr/>
      </w:pPr>
      <w:r/>
    </w:p>
    <w:p>
      <w:pPr>
        <w:pStyle w:val="BodyText"/>
        <w:spacing w:line="330" w:lineRule="auto"/>
        <w:rPr/>
      </w:pPr>
      <w:r/>
    </w:p>
    <w:p>
      <w:pPr>
        <w:ind w:left="6345"/>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—646—</w:t>
      </w:r>
    </w:p>
    <w:p>
      <w:pPr>
        <w:spacing w:line="188" w:lineRule="auto"/>
        <w:sectPr>
          <w:footerReference w:type="default" r:id="rId24"/>
          <w:pgSz w:w="16830" w:h="11900"/>
          <w:pgMar w:top="1011" w:right="1417" w:bottom="400" w:left="1434" w:header="0" w:footer="0" w:gutter="0"/>
        </w:sectPr>
        <w:rPr>
          <w:rFonts w:ascii="Times New Roman" w:hAnsi="Times New Roman" w:eastAsia="Times New Roman" w:cs="Times New Roman"/>
          <w:sz w:val="37"/>
          <w:szCs w:val="37"/>
        </w:rPr>
      </w:pPr>
    </w:p>
    <w:p>
      <w:pPr>
        <w:pStyle w:val="BodyText"/>
        <w:spacing w:line="263" w:lineRule="auto"/>
        <w:rPr/>
      </w:pPr>
      <w:r/>
    </w:p>
    <w:p>
      <w:pPr>
        <w:pStyle w:val="BodyText"/>
        <w:spacing w:line="263" w:lineRule="auto"/>
        <w:rPr/>
      </w:pPr>
      <w:r/>
    </w:p>
    <w:p>
      <w:pPr>
        <w:pStyle w:val="BodyText"/>
        <w:spacing w:line="264" w:lineRule="auto"/>
        <w:rPr/>
      </w:pPr>
      <w:r/>
    </w:p>
    <w:p>
      <w:pPr>
        <w:ind w:left="6419"/>
        <w:spacing w:before="91" w:line="209"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3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64"/>
        <w:gridCol w:w="8544"/>
        <w:gridCol w:w="3402"/>
      </w:tblGrid>
      <w:tr>
        <w:trPr>
          <w:trHeight w:val="543" w:hRule="atLeast"/>
        </w:trPr>
        <w:tc>
          <w:tcPr>
            <w:tcW w:w="1364" w:type="dxa"/>
            <w:vAlign w:val="top"/>
          </w:tcPr>
          <w:p>
            <w:pPr>
              <w:pStyle w:val="TableText"/>
              <w:ind w:left="198"/>
              <w:spacing w:before="152" w:line="220" w:lineRule="auto"/>
              <w:rPr/>
            </w:pPr>
            <w:r>
              <w:rPr>
                <w:b/>
                <w:bCs/>
                <w:spacing w:val="-5"/>
              </w:rPr>
              <w:t>违法程度</w:t>
            </w:r>
          </w:p>
        </w:tc>
        <w:tc>
          <w:tcPr>
            <w:tcW w:w="8544" w:type="dxa"/>
            <w:vAlign w:val="top"/>
          </w:tcPr>
          <w:p>
            <w:pPr>
              <w:pStyle w:val="TableText"/>
              <w:ind w:left="3784"/>
              <w:spacing w:before="152" w:line="220" w:lineRule="auto"/>
              <w:rPr/>
            </w:pPr>
            <w:r>
              <w:rPr>
                <w:b/>
                <w:bCs/>
                <w:spacing w:val="-5"/>
              </w:rPr>
              <w:t>情节后果</w:t>
            </w:r>
          </w:p>
        </w:tc>
        <w:tc>
          <w:tcPr>
            <w:tcW w:w="3402" w:type="dxa"/>
            <w:vAlign w:val="top"/>
          </w:tcPr>
          <w:p>
            <w:pPr>
              <w:pStyle w:val="TableText"/>
              <w:ind w:left="1220"/>
              <w:spacing w:before="149" w:line="218" w:lineRule="auto"/>
              <w:rPr/>
            </w:pPr>
            <w:r>
              <w:rPr>
                <w:b/>
                <w:bCs/>
                <w:spacing w:val="-5"/>
              </w:rPr>
              <w:t>裁量幅度</w:t>
            </w:r>
          </w:p>
        </w:tc>
      </w:tr>
      <w:tr>
        <w:trPr>
          <w:trHeight w:val="668" w:hRule="atLeast"/>
        </w:trPr>
        <w:tc>
          <w:tcPr>
            <w:tcW w:w="1364" w:type="dxa"/>
            <w:vAlign w:val="top"/>
          </w:tcPr>
          <w:p>
            <w:pPr>
              <w:pStyle w:val="TableText"/>
              <w:ind w:left="438"/>
              <w:spacing w:before="299" w:line="221" w:lineRule="auto"/>
              <w:rPr/>
            </w:pPr>
            <w:r>
              <w:rPr>
                <w:b/>
                <w:bCs/>
                <w:spacing w:val="-10"/>
              </w:rPr>
              <w:t>一般</w:t>
            </w:r>
          </w:p>
        </w:tc>
        <w:tc>
          <w:tcPr>
            <w:tcW w:w="8544" w:type="dxa"/>
            <w:vAlign w:val="top"/>
          </w:tcPr>
          <w:p>
            <w:pPr>
              <w:pStyle w:val="TableText"/>
              <w:ind w:left="120" w:right="51" w:hanging="59"/>
              <w:spacing w:before="59" w:line="230" w:lineRule="auto"/>
              <w:rPr/>
            </w:pPr>
            <w:r>
              <w:rPr>
                <w:spacing w:val="1"/>
              </w:rPr>
              <w:t>在转产、停产、停业或者解散、破产时未采取</w:t>
            </w:r>
            <w:r>
              <w:rPr/>
              <w:t>有效措施，妥善处理留存或者残留 </w:t>
            </w:r>
            <w:r>
              <w:rPr/>
              <w:t>高毒物品的设备、包装物和容器，2种(台)以下的</w:t>
            </w:r>
          </w:p>
        </w:tc>
        <w:tc>
          <w:tcPr>
            <w:tcW w:w="3402" w:type="dxa"/>
            <w:vAlign w:val="top"/>
          </w:tcPr>
          <w:p>
            <w:pPr>
              <w:pStyle w:val="TableText"/>
              <w:ind w:left="117" w:right="240" w:firstLine="140"/>
              <w:spacing w:before="59" w:line="230" w:lineRule="auto"/>
              <w:rPr/>
            </w:pPr>
            <w:r>
              <w:rPr>
                <w:spacing w:val="1"/>
              </w:rPr>
              <w:t>责令改正，处2万元以上3万</w:t>
            </w:r>
            <w:r>
              <w:rPr/>
              <w:t xml:space="preserve"> </w:t>
            </w:r>
            <w:r>
              <w:rPr>
                <w:spacing w:val="1"/>
              </w:rPr>
              <w:t>元以下的罚款</w:t>
            </w:r>
          </w:p>
        </w:tc>
      </w:tr>
      <w:tr>
        <w:trPr>
          <w:trHeight w:val="687" w:hRule="atLeast"/>
        </w:trPr>
        <w:tc>
          <w:tcPr>
            <w:tcW w:w="1364" w:type="dxa"/>
            <w:vAlign w:val="top"/>
          </w:tcPr>
          <w:p>
            <w:pPr>
              <w:pStyle w:val="TableText"/>
              <w:ind w:left="438"/>
              <w:spacing w:before="313" w:line="221" w:lineRule="auto"/>
              <w:rPr/>
            </w:pPr>
            <w:r>
              <w:rPr>
                <w:b/>
                <w:bCs/>
                <w:spacing w:val="-5"/>
              </w:rPr>
              <w:t>较重</w:t>
            </w:r>
          </w:p>
        </w:tc>
        <w:tc>
          <w:tcPr>
            <w:tcW w:w="8544" w:type="dxa"/>
            <w:vAlign w:val="top"/>
          </w:tcPr>
          <w:p>
            <w:pPr>
              <w:pStyle w:val="TableText"/>
              <w:ind w:left="110" w:right="51" w:hanging="49"/>
              <w:spacing w:before="84" w:line="228" w:lineRule="auto"/>
              <w:rPr/>
            </w:pPr>
            <w:r>
              <w:rPr>
                <w:spacing w:val="1"/>
              </w:rPr>
              <w:t>在转产、停产、停业或者解散、破产时未采取</w:t>
            </w:r>
            <w:r>
              <w:rPr/>
              <w:t>有效措施，妥善处理留存或者残留 </w:t>
            </w:r>
            <w:r>
              <w:rPr/>
              <w:t>高毒物品的设备、包装物和容器，数量3种(台)以上5种(台)以下的</w:t>
            </w:r>
          </w:p>
        </w:tc>
        <w:tc>
          <w:tcPr>
            <w:tcW w:w="3402" w:type="dxa"/>
            <w:vAlign w:val="top"/>
          </w:tcPr>
          <w:p>
            <w:pPr>
              <w:pStyle w:val="TableText"/>
              <w:ind w:left="117" w:right="240" w:firstLine="140"/>
              <w:spacing w:before="84" w:line="228" w:lineRule="auto"/>
              <w:rPr/>
            </w:pPr>
            <w:r>
              <w:rPr>
                <w:spacing w:val="1"/>
              </w:rPr>
              <w:t>责令改正，处3万元以上6万</w:t>
            </w:r>
            <w:r>
              <w:rPr/>
              <w:t xml:space="preserve"> </w:t>
            </w:r>
            <w:r>
              <w:rPr>
                <w:spacing w:val="1"/>
              </w:rPr>
              <w:t>元以下的罚款</w:t>
            </w:r>
          </w:p>
        </w:tc>
      </w:tr>
      <w:tr>
        <w:trPr>
          <w:trHeight w:val="672" w:hRule="atLeast"/>
        </w:trPr>
        <w:tc>
          <w:tcPr>
            <w:tcW w:w="1364" w:type="dxa"/>
            <w:vAlign w:val="top"/>
          </w:tcPr>
          <w:p>
            <w:pPr>
              <w:spacing w:line="244" w:lineRule="auto"/>
              <w:rPr>
                <w:rFonts w:ascii="Arial"/>
                <w:sz w:val="21"/>
              </w:rPr>
            </w:pPr>
            <w:r/>
          </w:p>
          <w:p>
            <w:pPr>
              <w:pStyle w:val="TableText"/>
              <w:ind w:left="438"/>
              <w:spacing w:before="78" w:line="220" w:lineRule="auto"/>
              <w:rPr/>
            </w:pPr>
            <w:r>
              <w:rPr>
                <w:b/>
                <w:bCs/>
                <w:spacing w:val="-6"/>
              </w:rPr>
              <w:t>严重</w:t>
            </w:r>
          </w:p>
        </w:tc>
        <w:tc>
          <w:tcPr>
            <w:tcW w:w="8544" w:type="dxa"/>
            <w:vAlign w:val="top"/>
          </w:tcPr>
          <w:p>
            <w:pPr>
              <w:pStyle w:val="TableText"/>
              <w:ind w:left="110" w:right="51" w:hanging="49"/>
              <w:spacing w:before="56" w:line="233" w:lineRule="auto"/>
              <w:rPr/>
            </w:pPr>
            <w:r>
              <w:rPr>
                <w:spacing w:val="1"/>
              </w:rPr>
              <w:t>在转产、停产、停业或者解散、破产时未采取</w:t>
            </w:r>
            <w:r>
              <w:rPr/>
              <w:t>有效措施，妥善处理留存或者残留 </w:t>
            </w:r>
            <w:r>
              <w:rPr/>
              <w:t>高毒物品的设备、包装物和容器，数量6种(台)以上的；或造成严重后果的</w:t>
            </w:r>
          </w:p>
        </w:tc>
        <w:tc>
          <w:tcPr>
            <w:tcW w:w="3402" w:type="dxa"/>
            <w:vAlign w:val="top"/>
          </w:tcPr>
          <w:p>
            <w:pPr>
              <w:pStyle w:val="TableText"/>
              <w:ind w:left="107" w:right="180" w:firstLine="89"/>
              <w:spacing w:before="66" w:line="229" w:lineRule="auto"/>
              <w:rPr/>
            </w:pPr>
            <w:r>
              <w:rPr>
                <w:spacing w:val="1"/>
              </w:rPr>
              <w:t>责令改正，处6万元以上10万</w:t>
            </w:r>
            <w:r>
              <w:rPr/>
              <w:t xml:space="preserve"> </w:t>
            </w:r>
            <w:r>
              <w:rPr>
                <w:spacing w:val="1"/>
              </w:rPr>
              <w:t>元以下的罚款</w:t>
            </w:r>
          </w:p>
        </w:tc>
      </w:tr>
    </w:tbl>
    <w:p>
      <w:pPr>
        <w:pStyle w:val="BodyText"/>
        <w:rPr/>
      </w:pPr>
      <w:r/>
    </w:p>
    <w:p>
      <w:pPr>
        <w:sectPr>
          <w:footerReference w:type="default" r:id="rId571"/>
          <w:pgSz w:w="16830" w:h="11900"/>
          <w:pgMar w:top="1011" w:right="2075" w:bottom="1125" w:left="1434" w:header="0" w:footer="783" w:gutter="0"/>
        </w:sectPr>
        <w:rPr/>
      </w:pPr>
    </w:p>
    <w:p>
      <w:pPr>
        <w:pStyle w:val="BodyText"/>
        <w:spacing w:line="268" w:lineRule="auto"/>
        <w:rPr/>
      </w:pPr>
      <w:r/>
    </w:p>
    <w:p>
      <w:pPr>
        <w:pStyle w:val="BodyText"/>
        <w:spacing w:line="268" w:lineRule="auto"/>
        <w:rPr/>
      </w:pPr>
      <w:r/>
    </w:p>
    <w:p>
      <w:pPr>
        <w:pStyle w:val="BodyText"/>
        <w:spacing w:line="268" w:lineRule="auto"/>
        <w:rPr/>
      </w:pPr>
      <w:r/>
    </w:p>
    <w:p>
      <w:pPr>
        <w:ind w:left="6014"/>
        <w:spacing w:before="97" w:line="222" w:lineRule="auto"/>
        <w:rPr>
          <w:rFonts w:ascii="SimHei" w:hAnsi="SimHei" w:eastAsia="SimHei" w:cs="SimHei"/>
          <w:sz w:val="30"/>
          <w:szCs w:val="30"/>
        </w:rPr>
      </w:pPr>
      <w:bookmarkStart w:name="bookmark1203" w:id="580"/>
      <w:bookmarkEnd w:id="580"/>
      <w:r>
        <w:rPr>
          <w:rFonts w:ascii="SimHei" w:hAnsi="SimHei" w:eastAsia="SimHei" w:cs="SimHei"/>
          <w:sz w:val="30"/>
          <w:szCs w:val="30"/>
          <w:b/>
          <w:bCs/>
          <w:spacing w:val="1"/>
        </w:rPr>
        <w:t>六</w:t>
      </w:r>
      <w:r>
        <w:rPr>
          <w:rFonts w:ascii="SimHei" w:hAnsi="SimHei" w:eastAsia="SimHei" w:cs="SimHei"/>
          <w:sz w:val="30"/>
          <w:szCs w:val="30"/>
          <w:spacing w:val="-73"/>
        </w:rPr>
        <w:t xml:space="preserve"> </w:t>
      </w:r>
      <w:r>
        <w:rPr>
          <w:rFonts w:ascii="SimHei" w:hAnsi="SimHei" w:eastAsia="SimHei" w:cs="SimHei"/>
          <w:sz w:val="30"/>
          <w:szCs w:val="30"/>
          <w:b/>
          <w:bCs/>
          <w:spacing w:val="1"/>
        </w:rPr>
        <w:t>、放射管理</w:t>
      </w:r>
    </w:p>
    <w:p>
      <w:pPr>
        <w:pStyle w:val="BodyText"/>
        <w:spacing w:line="292" w:lineRule="auto"/>
        <w:rPr/>
      </w:pPr>
      <w:r/>
    </w:p>
    <w:p>
      <w:pPr>
        <w:ind w:left="754"/>
        <w:spacing w:before="98" w:line="223" w:lineRule="auto"/>
        <w:rPr>
          <w:rFonts w:ascii="KaiTi" w:hAnsi="KaiTi" w:eastAsia="KaiTi" w:cs="KaiTi"/>
          <w:sz w:val="30"/>
          <w:szCs w:val="30"/>
        </w:rPr>
      </w:pPr>
      <w:r>
        <w:rPr>
          <w:rFonts w:ascii="KaiTi" w:hAnsi="KaiTi" w:eastAsia="KaiTi" w:cs="KaiTi"/>
          <w:sz w:val="30"/>
          <w:szCs w:val="30"/>
          <w:b/>
          <w:bCs/>
          <w:spacing w:val="30"/>
        </w:rPr>
        <w:t>(一)《放射诊疗管理规定》</w:t>
      </w:r>
    </w:p>
    <w:p>
      <w:pPr>
        <w:pStyle w:val="BodyText"/>
        <w:rPr/>
      </w:pPr>
      <w:r/>
    </w:p>
    <w:p>
      <w:pPr>
        <w:ind w:left="644"/>
        <w:spacing w:before="97" w:line="220" w:lineRule="auto"/>
        <w:rPr>
          <w:rFonts w:ascii="FangSong" w:hAnsi="FangSong" w:eastAsia="FangSong" w:cs="FangSong"/>
          <w:sz w:val="30"/>
          <w:szCs w:val="30"/>
        </w:rPr>
      </w:pPr>
      <w:r>
        <w:rPr>
          <w:rFonts w:ascii="FangSong" w:hAnsi="FangSong" w:eastAsia="FangSong" w:cs="FangSong"/>
          <w:sz w:val="30"/>
          <w:szCs w:val="30"/>
          <w:b/>
          <w:bCs/>
          <w:spacing w:val="22"/>
        </w:rPr>
        <w:t>第五百四十七条医疗机构未取得放射诊疗许可从事放射诊疗工作的</w:t>
      </w:r>
    </w:p>
    <w:p>
      <w:pPr>
        <w:ind w:left="629"/>
        <w:spacing w:before="90" w:line="222" w:lineRule="auto"/>
        <w:rPr>
          <w:rFonts w:ascii="FangSong" w:hAnsi="FangSong" w:eastAsia="FangSong" w:cs="FangSong"/>
          <w:sz w:val="30"/>
          <w:szCs w:val="30"/>
        </w:rPr>
      </w:pPr>
      <w:r>
        <w:rPr>
          <w:rFonts w:ascii="FangSong" w:hAnsi="FangSong" w:eastAsia="FangSong" w:cs="FangSong"/>
          <w:sz w:val="30"/>
          <w:szCs w:val="30"/>
        </w:rPr>
        <w:t>法律依据：</w:t>
      </w:r>
    </w:p>
    <w:p>
      <w:pPr>
        <w:ind w:firstLine="599"/>
        <w:spacing w:before="76" w:line="266" w:lineRule="auto"/>
        <w:jc w:val="both"/>
        <w:rPr>
          <w:rFonts w:ascii="FangSong" w:hAnsi="FangSong" w:eastAsia="FangSong" w:cs="FangSong"/>
          <w:sz w:val="30"/>
          <w:szCs w:val="30"/>
        </w:rPr>
      </w:pPr>
      <w:r>
        <w:rPr>
          <w:rFonts w:ascii="FangSong" w:hAnsi="FangSong" w:eastAsia="FangSong" w:cs="FangSong"/>
          <w:sz w:val="30"/>
          <w:szCs w:val="30"/>
          <w:spacing w:val="24"/>
        </w:rPr>
        <w:t>《放射诊疗管理规定》第三十八条第(一)项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医疗机构有下列情形</w:t>
      </w:r>
      <w:r>
        <w:rPr>
          <w:rFonts w:ascii="FangSong" w:hAnsi="FangSong" w:eastAsia="FangSong" w:cs="FangSong"/>
          <w:sz w:val="30"/>
          <w:szCs w:val="30"/>
          <w:spacing w:val="23"/>
        </w:rPr>
        <w:t>之一的，由县级以上卫生行</w:t>
      </w:r>
      <w:r>
        <w:rPr>
          <w:rFonts w:ascii="FangSong" w:hAnsi="FangSong" w:eastAsia="FangSong" w:cs="FangSong"/>
          <w:sz w:val="30"/>
          <w:szCs w:val="30"/>
        </w:rPr>
        <w:t xml:space="preserve"> </w:t>
      </w:r>
      <w:r>
        <w:rPr>
          <w:rFonts w:ascii="FangSong" w:hAnsi="FangSong" w:eastAsia="FangSong" w:cs="FangSong"/>
          <w:sz w:val="30"/>
          <w:szCs w:val="30"/>
          <w:spacing w:val="16"/>
        </w:rPr>
        <w:t>政部门给予警告、责令限期改正，并可以根据情节处以3000元以下的罚款；情节严重</w:t>
      </w:r>
      <w:r>
        <w:rPr>
          <w:rFonts w:ascii="FangSong" w:hAnsi="FangSong" w:eastAsia="FangSong" w:cs="FangSong"/>
          <w:sz w:val="30"/>
          <w:szCs w:val="30"/>
          <w:spacing w:val="15"/>
        </w:rPr>
        <w:t>的，吊销其《医</w:t>
      </w:r>
      <w:r>
        <w:rPr>
          <w:rFonts w:ascii="FangSong" w:hAnsi="FangSong" w:eastAsia="FangSong" w:cs="FangSong"/>
          <w:sz w:val="30"/>
          <w:szCs w:val="30"/>
        </w:rPr>
        <w:t xml:space="preserve"> </w:t>
      </w:r>
      <w:r>
        <w:rPr>
          <w:rFonts w:ascii="FangSong" w:hAnsi="FangSong" w:eastAsia="FangSong" w:cs="FangSong"/>
          <w:sz w:val="30"/>
          <w:szCs w:val="30"/>
          <w:spacing w:val="12"/>
        </w:rPr>
        <w:t>疗机构执业许可证》。</w:t>
      </w:r>
    </w:p>
    <w:p>
      <w:pPr>
        <w:ind w:left="749"/>
        <w:spacing w:before="42" w:line="220" w:lineRule="auto"/>
        <w:rPr>
          <w:rFonts w:ascii="FangSong" w:hAnsi="FangSong" w:eastAsia="FangSong" w:cs="FangSong"/>
          <w:sz w:val="30"/>
          <w:szCs w:val="30"/>
        </w:rPr>
      </w:pPr>
      <w:r>
        <w:rPr>
          <w:rFonts w:ascii="FangSong" w:hAnsi="FangSong" w:eastAsia="FangSong" w:cs="FangSong"/>
          <w:sz w:val="30"/>
          <w:szCs w:val="30"/>
          <w:spacing w:val="24"/>
        </w:rPr>
        <w:t>(一)未取得放射诊疗许可从事放射诊疗工作的；</w:t>
      </w:r>
    </w:p>
    <w:p>
      <w:pPr>
        <w:pStyle w:val="BodyText"/>
        <w:spacing w:line="259" w:lineRule="auto"/>
        <w:rPr/>
      </w:pPr>
      <w:r/>
    </w:p>
    <w:p>
      <w:pPr>
        <w:pStyle w:val="BodyText"/>
        <w:spacing w:line="259" w:lineRule="auto"/>
        <w:rPr/>
      </w:pPr>
      <w:r/>
    </w:p>
    <w:p>
      <w:pPr>
        <w:pStyle w:val="BodyText"/>
        <w:spacing w:line="260" w:lineRule="auto"/>
        <w:rPr/>
      </w:pPr>
      <w:r/>
    </w:p>
    <w:p>
      <w:pPr>
        <w:ind w:left="6394"/>
        <w:spacing w:before="99"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130" w:lineRule="exact"/>
        <w:rPr/>
      </w:pPr>
      <w:r/>
    </w:p>
    <w:tbl>
      <w:tblPr>
        <w:tblStyle w:val="TableNormal"/>
        <w:tblW w:w="13640" w:type="dxa"/>
        <w:tblInd w:w="14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34"/>
        <w:gridCol w:w="7345"/>
        <w:gridCol w:w="4761"/>
      </w:tblGrid>
      <w:tr>
        <w:trPr>
          <w:trHeight w:val="682" w:hRule="atLeast"/>
        </w:trPr>
        <w:tc>
          <w:tcPr>
            <w:tcW w:w="1534" w:type="dxa"/>
            <w:vAlign w:val="top"/>
          </w:tcPr>
          <w:p>
            <w:pPr>
              <w:pStyle w:val="TableText"/>
              <w:ind w:left="258"/>
              <w:spacing w:before="222" w:line="220" w:lineRule="auto"/>
              <w:rPr>
                <w:sz w:val="25"/>
                <w:szCs w:val="25"/>
              </w:rPr>
            </w:pPr>
            <w:r>
              <w:rPr>
                <w:sz w:val="25"/>
                <w:szCs w:val="25"/>
                <w:b/>
                <w:bCs/>
                <w:spacing w:val="-5"/>
              </w:rPr>
              <w:t>违法程度</w:t>
            </w:r>
          </w:p>
        </w:tc>
        <w:tc>
          <w:tcPr>
            <w:tcW w:w="7345" w:type="dxa"/>
            <w:vAlign w:val="top"/>
          </w:tcPr>
          <w:p>
            <w:pPr>
              <w:pStyle w:val="TableText"/>
              <w:ind w:left="3124"/>
              <w:spacing w:before="222" w:line="220" w:lineRule="auto"/>
              <w:rPr>
                <w:sz w:val="25"/>
                <w:szCs w:val="25"/>
              </w:rPr>
            </w:pPr>
            <w:r>
              <w:rPr>
                <w:sz w:val="25"/>
                <w:szCs w:val="25"/>
                <w:b/>
                <w:bCs/>
                <w:spacing w:val="-5"/>
              </w:rPr>
              <w:t>情节后果</w:t>
            </w:r>
          </w:p>
        </w:tc>
        <w:tc>
          <w:tcPr>
            <w:tcW w:w="4761" w:type="dxa"/>
            <w:vAlign w:val="top"/>
          </w:tcPr>
          <w:p>
            <w:pPr>
              <w:pStyle w:val="TableText"/>
              <w:ind w:left="1839"/>
              <w:spacing w:before="219" w:line="218" w:lineRule="auto"/>
              <w:rPr>
                <w:sz w:val="25"/>
                <w:szCs w:val="25"/>
              </w:rPr>
            </w:pPr>
            <w:r>
              <w:rPr>
                <w:sz w:val="25"/>
                <w:szCs w:val="25"/>
                <w:b/>
                <w:bCs/>
                <w:spacing w:val="-5"/>
              </w:rPr>
              <w:t>裁量幅度</w:t>
            </w:r>
          </w:p>
        </w:tc>
      </w:tr>
      <w:tr>
        <w:trPr>
          <w:trHeight w:val="747" w:hRule="atLeast"/>
        </w:trPr>
        <w:tc>
          <w:tcPr>
            <w:tcW w:w="1534" w:type="dxa"/>
            <w:vAlign w:val="top"/>
          </w:tcPr>
          <w:p>
            <w:pPr>
              <w:pStyle w:val="TableText"/>
              <w:ind w:left="508"/>
              <w:spacing w:before="171" w:line="221" w:lineRule="auto"/>
              <w:rPr>
                <w:sz w:val="25"/>
                <w:szCs w:val="25"/>
              </w:rPr>
            </w:pPr>
            <w:r>
              <w:rPr>
                <w:sz w:val="25"/>
                <w:szCs w:val="25"/>
                <w:b/>
                <w:bCs/>
                <w:spacing w:val="-10"/>
              </w:rPr>
              <w:t>一般</w:t>
            </w:r>
          </w:p>
        </w:tc>
        <w:tc>
          <w:tcPr>
            <w:tcW w:w="7345" w:type="dxa"/>
            <w:vAlign w:val="top"/>
          </w:tcPr>
          <w:p>
            <w:pPr>
              <w:pStyle w:val="TableText"/>
              <w:ind w:left="111"/>
              <w:spacing w:before="251" w:line="219" w:lineRule="auto"/>
              <w:rPr>
                <w:sz w:val="25"/>
                <w:szCs w:val="25"/>
              </w:rPr>
            </w:pPr>
            <w:r>
              <w:rPr>
                <w:sz w:val="25"/>
                <w:szCs w:val="25"/>
              </w:rPr>
              <w:t>医疗机构未取得放射诊疗许可从事放射诊疗工作三个月以内的</w:t>
            </w:r>
          </w:p>
        </w:tc>
        <w:tc>
          <w:tcPr>
            <w:tcW w:w="4761" w:type="dxa"/>
            <w:vAlign w:val="top"/>
          </w:tcPr>
          <w:p>
            <w:pPr>
              <w:pStyle w:val="TableText"/>
              <w:ind w:left="145"/>
              <w:spacing w:before="111" w:line="218" w:lineRule="auto"/>
              <w:rPr>
                <w:sz w:val="25"/>
                <w:szCs w:val="25"/>
              </w:rPr>
            </w:pPr>
            <w:r>
              <w:rPr>
                <w:sz w:val="25"/>
                <w:szCs w:val="25"/>
              </w:rPr>
              <w:t>给予警告，责令限期改正，处2000元以下</w:t>
            </w:r>
          </w:p>
          <w:p>
            <w:pPr>
              <w:pStyle w:val="TableText"/>
              <w:ind w:left="136"/>
              <w:spacing w:before="38" w:line="216" w:lineRule="auto"/>
              <w:rPr>
                <w:sz w:val="25"/>
                <w:szCs w:val="25"/>
              </w:rPr>
            </w:pPr>
            <w:r>
              <w:rPr>
                <w:sz w:val="25"/>
                <w:szCs w:val="25"/>
                <w:color w:val="404040"/>
                <w:spacing w:val="3"/>
              </w:rPr>
              <w:t>的罚款</w:t>
            </w:r>
          </w:p>
        </w:tc>
      </w:tr>
      <w:tr>
        <w:trPr>
          <w:trHeight w:val="1110" w:hRule="atLeast"/>
        </w:trPr>
        <w:tc>
          <w:tcPr>
            <w:tcW w:w="1534" w:type="dxa"/>
            <w:vAlign w:val="top"/>
          </w:tcPr>
          <w:p>
            <w:pPr>
              <w:spacing w:line="352" w:lineRule="auto"/>
              <w:rPr>
                <w:rFonts w:ascii="Arial"/>
                <w:sz w:val="21"/>
              </w:rPr>
            </w:pPr>
            <w:r/>
          </w:p>
          <w:p>
            <w:pPr>
              <w:pStyle w:val="TableText"/>
              <w:ind w:left="508"/>
              <w:spacing w:before="81" w:line="221" w:lineRule="auto"/>
              <w:rPr>
                <w:sz w:val="25"/>
                <w:szCs w:val="25"/>
              </w:rPr>
            </w:pPr>
            <w:r>
              <w:rPr>
                <w:sz w:val="25"/>
                <w:szCs w:val="25"/>
                <w:b/>
                <w:bCs/>
                <w:spacing w:val="-6"/>
              </w:rPr>
              <w:t>较重</w:t>
            </w:r>
          </w:p>
        </w:tc>
        <w:tc>
          <w:tcPr>
            <w:tcW w:w="7345" w:type="dxa"/>
            <w:vAlign w:val="top"/>
          </w:tcPr>
          <w:p>
            <w:pPr>
              <w:pStyle w:val="TableText"/>
              <w:spacing w:before="294" w:line="219" w:lineRule="auto"/>
              <w:jc w:val="right"/>
              <w:rPr>
                <w:sz w:val="25"/>
                <w:szCs w:val="25"/>
              </w:rPr>
            </w:pPr>
            <w:r>
              <w:rPr>
                <w:sz w:val="25"/>
                <w:szCs w:val="25"/>
                <w:spacing w:val="-9"/>
              </w:rPr>
              <w:t>医疗机构未取得放射诊疗许可从事放射诊疗工作三</w:t>
            </w:r>
            <w:r>
              <w:rPr>
                <w:sz w:val="25"/>
                <w:szCs w:val="25"/>
                <w:spacing w:val="-10"/>
              </w:rPr>
              <w:t>个月以上、六个月</w:t>
            </w:r>
          </w:p>
          <w:p>
            <w:pPr>
              <w:pStyle w:val="TableText"/>
              <w:ind w:left="111"/>
              <w:spacing w:before="55" w:line="219" w:lineRule="auto"/>
              <w:rPr>
                <w:sz w:val="25"/>
                <w:szCs w:val="25"/>
              </w:rPr>
            </w:pPr>
            <w:r>
              <w:rPr>
                <w:sz w:val="25"/>
                <w:szCs w:val="25"/>
                <w:color w:val="505050"/>
                <w:spacing w:val="6"/>
              </w:rPr>
              <w:t>以内的</w:t>
            </w:r>
          </w:p>
        </w:tc>
        <w:tc>
          <w:tcPr>
            <w:tcW w:w="4761" w:type="dxa"/>
            <w:vAlign w:val="top"/>
          </w:tcPr>
          <w:p>
            <w:pPr>
              <w:pStyle w:val="TableText"/>
              <w:ind w:left="136" w:right="94" w:firstLine="9"/>
              <w:spacing w:before="294" w:line="263" w:lineRule="auto"/>
              <w:rPr>
                <w:sz w:val="25"/>
                <w:szCs w:val="25"/>
              </w:rPr>
            </w:pPr>
            <w:r>
              <w:rPr>
                <w:sz w:val="25"/>
                <w:szCs w:val="25"/>
              </w:rPr>
              <w:t>给予警告、责令限期改正，处2000元以上</w:t>
            </w:r>
            <w:r>
              <w:rPr>
                <w:sz w:val="25"/>
                <w:szCs w:val="25"/>
                <w:spacing w:val="9"/>
              </w:rPr>
              <w:t xml:space="preserve"> </w:t>
            </w:r>
            <w:r>
              <w:rPr>
                <w:sz w:val="25"/>
                <w:szCs w:val="25"/>
                <w:spacing w:val="1"/>
              </w:rPr>
              <w:t>3000元以下的罚款</w:t>
            </w:r>
          </w:p>
        </w:tc>
      </w:tr>
    </w:tbl>
    <w:p>
      <w:pPr>
        <w:pStyle w:val="BodyText"/>
        <w:spacing w:line="258" w:lineRule="auto"/>
        <w:rPr/>
      </w:pPr>
      <w:r/>
    </w:p>
    <w:p>
      <w:pPr>
        <w:pStyle w:val="BodyText"/>
        <w:spacing w:line="259" w:lineRule="auto"/>
        <w:rPr/>
      </w:pPr>
      <w:r/>
    </w:p>
    <w:p>
      <w:pPr>
        <w:pStyle w:val="BodyText"/>
        <w:spacing w:line="259" w:lineRule="auto"/>
        <w:rPr/>
      </w:pPr>
      <w:r/>
    </w:p>
    <w:p>
      <w:pPr>
        <w:ind w:left="6320"/>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—648—</w:t>
      </w:r>
    </w:p>
    <w:p>
      <w:pPr>
        <w:spacing w:line="188" w:lineRule="auto"/>
        <w:sectPr>
          <w:footerReference w:type="default" r:id="rId24"/>
          <w:pgSz w:w="16830" w:h="11900"/>
          <w:pgMar w:top="1011" w:right="1439" w:bottom="400" w:left="1460" w:header="0" w:footer="0" w:gutter="0"/>
        </w:sectPr>
        <w:rPr>
          <w:rFonts w:ascii="Times New Roman" w:hAnsi="Times New Roman" w:eastAsia="Times New Roman" w:cs="Times New Roman"/>
          <w:sz w:val="37"/>
          <w:szCs w:val="37"/>
        </w:rPr>
      </w:pPr>
    </w:p>
    <w:p>
      <w:pPr>
        <w:spacing w:before="20"/>
        <w:rPr/>
      </w:pPr>
      <w:r/>
    </w:p>
    <w:p>
      <w:pPr>
        <w:spacing w:before="20"/>
        <w:rPr/>
      </w:pPr>
      <w:r/>
    </w:p>
    <w:p>
      <w:pPr>
        <w:spacing w:before="19"/>
        <w:rPr/>
      </w:pPr>
      <w:r/>
    </w:p>
    <w:tbl>
      <w:tblPr>
        <w:tblStyle w:val="TableNormal"/>
        <w:tblW w:w="13629" w:type="dxa"/>
        <w:tblInd w:w="20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14"/>
        <w:gridCol w:w="7364"/>
        <w:gridCol w:w="4751"/>
      </w:tblGrid>
      <w:tr>
        <w:trPr>
          <w:trHeight w:val="1680" w:hRule="atLeast"/>
        </w:trPr>
        <w:tc>
          <w:tcPr>
            <w:tcW w:w="1514" w:type="dxa"/>
            <w:vAlign w:val="top"/>
          </w:tcPr>
          <w:p>
            <w:pPr>
              <w:spacing w:line="318" w:lineRule="auto"/>
              <w:rPr>
                <w:rFonts w:ascii="Arial"/>
                <w:sz w:val="21"/>
              </w:rPr>
            </w:pPr>
            <w:r/>
          </w:p>
          <w:p>
            <w:pPr>
              <w:spacing w:line="319" w:lineRule="auto"/>
              <w:rPr>
                <w:rFonts w:ascii="Arial"/>
                <w:sz w:val="21"/>
              </w:rPr>
            </w:pPr>
            <w:r/>
          </w:p>
          <w:p>
            <w:pPr>
              <w:pStyle w:val="TableText"/>
              <w:ind w:left="498"/>
              <w:spacing w:before="81" w:line="220" w:lineRule="auto"/>
              <w:rPr>
                <w:sz w:val="25"/>
                <w:szCs w:val="25"/>
              </w:rPr>
            </w:pPr>
            <w:bookmarkStart w:name="bookmark1204" w:id="581"/>
            <w:bookmarkEnd w:id="581"/>
            <w:r>
              <w:rPr>
                <w:sz w:val="25"/>
                <w:szCs w:val="25"/>
                <w:b/>
                <w:bCs/>
                <w:spacing w:val="-6"/>
              </w:rPr>
              <w:t>严重</w:t>
            </w:r>
          </w:p>
        </w:tc>
        <w:tc>
          <w:tcPr>
            <w:tcW w:w="7364" w:type="dxa"/>
            <w:vAlign w:val="top"/>
          </w:tcPr>
          <w:p>
            <w:pPr>
              <w:pStyle w:val="TableText"/>
              <w:ind w:left="110"/>
              <w:spacing w:before="216" w:line="220" w:lineRule="auto"/>
              <w:rPr>
                <w:sz w:val="25"/>
                <w:szCs w:val="25"/>
              </w:rPr>
            </w:pPr>
            <w:r>
              <w:rPr>
                <w:sz w:val="25"/>
                <w:szCs w:val="25"/>
                <w:spacing w:val="2"/>
              </w:rPr>
              <w:t>有下列情形之一的：</w:t>
            </w:r>
          </w:p>
          <w:p>
            <w:pPr>
              <w:pStyle w:val="TableText"/>
              <w:ind w:left="110"/>
              <w:spacing w:before="59" w:line="219" w:lineRule="auto"/>
              <w:rPr>
                <w:sz w:val="25"/>
                <w:szCs w:val="25"/>
              </w:rPr>
            </w:pPr>
            <w:r>
              <w:rPr>
                <w:sz w:val="25"/>
                <w:szCs w:val="25"/>
              </w:rPr>
              <w:t>A.医疗机构未取得放射诊疗许可从事放射诊疗工作超过六个月的</w:t>
            </w:r>
          </w:p>
          <w:p>
            <w:pPr>
              <w:pStyle w:val="TableText"/>
              <w:ind w:left="110" w:hanging="10"/>
              <w:spacing w:before="52" w:line="233" w:lineRule="auto"/>
              <w:rPr>
                <w:sz w:val="25"/>
                <w:szCs w:val="25"/>
              </w:rPr>
            </w:pPr>
            <w:r>
              <w:rPr>
                <w:sz w:val="25"/>
                <w:szCs w:val="25"/>
                <w:spacing w:val="-8"/>
              </w:rPr>
              <w:t>B.医疗机构未取得放射诊疗许可从事放射诊疗工作，致人死亡或造成</w:t>
            </w:r>
            <w:r>
              <w:rPr>
                <w:sz w:val="25"/>
                <w:szCs w:val="25"/>
              </w:rPr>
              <w:t xml:space="preserve"> </w:t>
            </w:r>
            <w:r>
              <w:rPr>
                <w:sz w:val="25"/>
                <w:szCs w:val="25"/>
                <w:spacing w:val="2"/>
              </w:rPr>
              <w:t>其他严重后果的</w:t>
            </w:r>
          </w:p>
        </w:tc>
        <w:tc>
          <w:tcPr>
            <w:tcW w:w="4751" w:type="dxa"/>
            <w:vAlign w:val="top"/>
          </w:tcPr>
          <w:p>
            <w:pPr>
              <w:pStyle w:val="TableText"/>
              <w:ind w:left="126" w:right="132" w:hanging="9"/>
              <w:spacing w:before="50" w:line="255" w:lineRule="auto"/>
              <w:rPr>
                <w:sz w:val="25"/>
                <w:szCs w:val="25"/>
              </w:rPr>
            </w:pPr>
            <w:r>
              <w:rPr>
                <w:sz w:val="25"/>
                <w:szCs w:val="25"/>
                <w:spacing w:val="-1"/>
              </w:rPr>
              <w:t>对于情形A,给予警告、责令限期改正，处</w:t>
            </w:r>
            <w:r>
              <w:rPr>
                <w:sz w:val="25"/>
                <w:szCs w:val="25"/>
                <w:spacing w:val="9"/>
              </w:rPr>
              <w:t xml:space="preserve"> </w:t>
            </w:r>
            <w:r>
              <w:rPr>
                <w:sz w:val="25"/>
                <w:szCs w:val="25"/>
                <w:spacing w:val="1"/>
              </w:rPr>
              <w:t>3000元的罚款</w:t>
            </w:r>
          </w:p>
          <w:p>
            <w:pPr>
              <w:pStyle w:val="TableText"/>
              <w:ind w:left="117" w:right="114"/>
              <w:spacing w:before="2" w:line="228" w:lineRule="auto"/>
              <w:rPr>
                <w:sz w:val="25"/>
                <w:szCs w:val="25"/>
              </w:rPr>
            </w:pPr>
            <w:r>
              <w:rPr>
                <w:sz w:val="25"/>
                <w:szCs w:val="25"/>
                <w:spacing w:val="-1"/>
              </w:rPr>
              <w:t>对于情形B,给予警告，责令限期改正，处</w:t>
            </w:r>
            <w:r>
              <w:rPr>
                <w:sz w:val="25"/>
                <w:szCs w:val="25"/>
                <w:spacing w:val="9"/>
              </w:rPr>
              <w:t xml:space="preserve"> </w:t>
            </w:r>
            <w:r>
              <w:rPr>
                <w:sz w:val="25"/>
                <w:szCs w:val="25"/>
              </w:rPr>
              <w:t>3000元的罚款，吊销其《医疗机构执业许</w:t>
            </w:r>
            <w:r>
              <w:rPr>
                <w:sz w:val="25"/>
                <w:szCs w:val="25"/>
                <w:spacing w:val="8"/>
              </w:rPr>
              <w:t xml:space="preserve"> </w:t>
            </w:r>
            <w:r>
              <w:rPr>
                <w:sz w:val="25"/>
                <w:szCs w:val="25"/>
                <w:spacing w:val="-5"/>
              </w:rPr>
              <w:t>可证》</w:t>
            </w:r>
          </w:p>
        </w:tc>
      </w:tr>
    </w:tbl>
    <w:p>
      <w:pPr>
        <w:ind w:left="689"/>
        <w:spacing w:before="127" w:line="220" w:lineRule="auto"/>
        <w:rPr>
          <w:rFonts w:ascii="FangSong" w:hAnsi="FangSong" w:eastAsia="FangSong" w:cs="FangSong"/>
          <w:sz w:val="30"/>
          <w:szCs w:val="30"/>
        </w:rPr>
      </w:pPr>
      <w:r>
        <w:rPr>
          <w:rFonts w:ascii="FangSong" w:hAnsi="FangSong" w:eastAsia="FangSong" w:cs="FangSong"/>
          <w:sz w:val="30"/>
          <w:szCs w:val="30"/>
          <w:b/>
          <w:bCs/>
          <w:spacing w:val="22"/>
        </w:rPr>
        <w:t>第五百四十八条医疗机构未办理诊疗科目登记或者未按照规</w:t>
      </w:r>
      <w:r>
        <w:rPr>
          <w:rFonts w:ascii="FangSong" w:hAnsi="FangSong" w:eastAsia="FangSong" w:cs="FangSong"/>
          <w:sz w:val="30"/>
          <w:szCs w:val="30"/>
          <w:b/>
          <w:bCs/>
          <w:spacing w:val="21"/>
        </w:rPr>
        <w:t>定进行校验的</w:t>
      </w:r>
    </w:p>
    <w:p>
      <w:pPr>
        <w:ind w:left="675"/>
        <w:spacing w:before="90" w:line="222" w:lineRule="auto"/>
        <w:rPr>
          <w:rFonts w:ascii="FangSong" w:hAnsi="FangSong" w:eastAsia="FangSong" w:cs="FangSong"/>
          <w:sz w:val="30"/>
          <w:szCs w:val="30"/>
        </w:rPr>
      </w:pPr>
      <w:r>
        <w:rPr>
          <w:rFonts w:ascii="FangSong" w:hAnsi="FangSong" w:eastAsia="FangSong" w:cs="FangSong"/>
          <w:sz w:val="30"/>
          <w:szCs w:val="30"/>
        </w:rPr>
        <w:t>法律依据：</w:t>
      </w:r>
    </w:p>
    <w:p>
      <w:pPr>
        <w:ind w:left="35" w:firstLine="629"/>
        <w:spacing w:before="76" w:line="266" w:lineRule="auto"/>
        <w:jc w:val="both"/>
        <w:rPr>
          <w:rFonts w:ascii="FangSong" w:hAnsi="FangSong" w:eastAsia="FangSong" w:cs="FangSong"/>
          <w:sz w:val="30"/>
          <w:szCs w:val="30"/>
        </w:rPr>
      </w:pPr>
      <w:r>
        <w:rPr>
          <w:rFonts w:ascii="FangSong" w:hAnsi="FangSong" w:eastAsia="FangSong" w:cs="FangSong"/>
          <w:sz w:val="30"/>
          <w:szCs w:val="30"/>
          <w:spacing w:val="23"/>
        </w:rPr>
        <w:t>《放射诊疗管理规定》第三十八条第(二)项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医疗机构有下列情形之一的，由县级以上卫生行</w:t>
      </w:r>
      <w:r>
        <w:rPr>
          <w:rFonts w:ascii="FangSong" w:hAnsi="FangSong" w:eastAsia="FangSong" w:cs="FangSong"/>
          <w:sz w:val="30"/>
          <w:szCs w:val="30"/>
          <w:spacing w:val="11"/>
        </w:rPr>
        <w:t xml:space="preserve"> </w:t>
      </w:r>
      <w:r>
        <w:rPr>
          <w:rFonts w:ascii="FangSong" w:hAnsi="FangSong" w:eastAsia="FangSong" w:cs="FangSong"/>
          <w:sz w:val="30"/>
          <w:szCs w:val="30"/>
          <w:spacing w:val="16"/>
        </w:rPr>
        <w:t>政部门给予警告、责令限期改正，并可以根据情节处以3000元以下的罚款；情节严重的，吊销其《医</w:t>
      </w:r>
      <w:r>
        <w:rPr>
          <w:rFonts w:ascii="FangSong" w:hAnsi="FangSong" w:eastAsia="FangSong" w:cs="FangSong"/>
          <w:sz w:val="30"/>
          <w:szCs w:val="30"/>
          <w:spacing w:val="3"/>
        </w:rPr>
        <w:t xml:space="preserve"> </w:t>
      </w:r>
      <w:r>
        <w:rPr>
          <w:rFonts w:ascii="FangSong" w:hAnsi="FangSong" w:eastAsia="FangSong" w:cs="FangSong"/>
          <w:sz w:val="30"/>
          <w:szCs w:val="30"/>
          <w:spacing w:val="10"/>
        </w:rPr>
        <w:t>疗机构执业许可证》。</w:t>
      </w:r>
    </w:p>
    <w:p>
      <w:pPr>
        <w:ind w:left="805"/>
        <w:spacing w:before="23" w:line="221" w:lineRule="auto"/>
        <w:rPr>
          <w:rFonts w:ascii="FangSong" w:hAnsi="FangSong" w:eastAsia="FangSong" w:cs="FangSong"/>
          <w:sz w:val="30"/>
          <w:szCs w:val="30"/>
        </w:rPr>
      </w:pPr>
      <w:r>
        <w:rPr>
          <w:rFonts w:ascii="FangSong" w:hAnsi="FangSong" w:eastAsia="FangSong" w:cs="FangSong"/>
          <w:sz w:val="30"/>
          <w:szCs w:val="30"/>
          <w:spacing w:val="22"/>
        </w:rPr>
        <w:t>(二)未办理诊疗科目登记或者未按照规定进行校验的；</w:t>
      </w:r>
    </w:p>
    <w:p>
      <w:pPr>
        <w:ind w:left="6439"/>
        <w:spacing w:before="232" w:line="215"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8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24"/>
        <w:gridCol w:w="7345"/>
        <w:gridCol w:w="4831"/>
      </w:tblGrid>
      <w:tr>
        <w:trPr>
          <w:trHeight w:val="543" w:hRule="atLeast"/>
        </w:trPr>
        <w:tc>
          <w:tcPr>
            <w:tcW w:w="1624" w:type="dxa"/>
            <w:vAlign w:val="top"/>
          </w:tcPr>
          <w:p>
            <w:pPr>
              <w:pStyle w:val="TableText"/>
              <w:ind w:left="308"/>
              <w:spacing w:before="152" w:line="220" w:lineRule="auto"/>
              <w:rPr>
                <w:sz w:val="25"/>
                <w:szCs w:val="25"/>
              </w:rPr>
            </w:pPr>
            <w:r>
              <w:rPr>
                <w:sz w:val="25"/>
                <w:szCs w:val="25"/>
                <w:b/>
                <w:bCs/>
                <w:spacing w:val="-5"/>
              </w:rPr>
              <w:t>违法程度</w:t>
            </w:r>
          </w:p>
        </w:tc>
        <w:tc>
          <w:tcPr>
            <w:tcW w:w="7345" w:type="dxa"/>
            <w:vAlign w:val="top"/>
          </w:tcPr>
          <w:p>
            <w:pPr>
              <w:pStyle w:val="TableText"/>
              <w:ind w:left="3164"/>
              <w:spacing w:before="152" w:line="220" w:lineRule="auto"/>
              <w:rPr>
                <w:sz w:val="25"/>
                <w:szCs w:val="25"/>
              </w:rPr>
            </w:pPr>
            <w:r>
              <w:rPr>
                <w:sz w:val="25"/>
                <w:szCs w:val="25"/>
                <w:b/>
                <w:bCs/>
                <w:spacing w:val="-5"/>
              </w:rPr>
              <w:t>情节后果</w:t>
            </w:r>
          </w:p>
        </w:tc>
        <w:tc>
          <w:tcPr>
            <w:tcW w:w="4831" w:type="dxa"/>
            <w:vAlign w:val="top"/>
          </w:tcPr>
          <w:p>
            <w:pPr>
              <w:pStyle w:val="TableText"/>
              <w:ind w:left="1859"/>
              <w:spacing w:before="149" w:line="218" w:lineRule="auto"/>
              <w:rPr>
                <w:sz w:val="25"/>
                <w:szCs w:val="25"/>
              </w:rPr>
            </w:pPr>
            <w:r>
              <w:rPr>
                <w:sz w:val="25"/>
                <w:szCs w:val="25"/>
                <w:b/>
                <w:bCs/>
                <w:spacing w:val="-5"/>
              </w:rPr>
              <w:t>裁量幅度</w:t>
            </w:r>
          </w:p>
        </w:tc>
      </w:tr>
      <w:tr>
        <w:trPr>
          <w:trHeight w:val="797" w:hRule="atLeast"/>
        </w:trPr>
        <w:tc>
          <w:tcPr>
            <w:tcW w:w="1624" w:type="dxa"/>
            <w:vAlign w:val="top"/>
          </w:tcPr>
          <w:p>
            <w:pPr>
              <w:pStyle w:val="TableText"/>
              <w:ind w:left="558"/>
              <w:spacing w:before="278" w:line="219" w:lineRule="auto"/>
              <w:rPr>
                <w:sz w:val="25"/>
                <w:szCs w:val="25"/>
              </w:rPr>
            </w:pPr>
            <w:r>
              <w:rPr>
                <w:sz w:val="25"/>
                <w:szCs w:val="25"/>
                <w:b/>
                <w:bCs/>
                <w:spacing w:val="-6"/>
              </w:rPr>
              <w:t>轻微</w:t>
            </w:r>
          </w:p>
        </w:tc>
        <w:tc>
          <w:tcPr>
            <w:tcW w:w="7345" w:type="dxa"/>
            <w:vAlign w:val="top"/>
          </w:tcPr>
          <w:p>
            <w:pPr>
              <w:pStyle w:val="TableText"/>
              <w:ind w:left="140" w:hanging="99"/>
              <w:spacing w:before="142" w:line="238" w:lineRule="auto"/>
              <w:rPr>
                <w:sz w:val="25"/>
                <w:szCs w:val="25"/>
              </w:rPr>
            </w:pPr>
            <w:r>
              <w:rPr>
                <w:sz w:val="25"/>
                <w:szCs w:val="25"/>
                <w:spacing w:val="1"/>
              </w:rPr>
              <w:t>医疗机构未办理诊疗科目登记或者未按照规定进行校验工作一个月</w:t>
            </w:r>
            <w:r>
              <w:rPr>
                <w:sz w:val="25"/>
                <w:szCs w:val="25"/>
                <w:spacing w:val="13"/>
              </w:rPr>
              <w:t xml:space="preserve"> </w:t>
            </w:r>
            <w:r>
              <w:rPr>
                <w:sz w:val="25"/>
                <w:szCs w:val="25"/>
                <w:spacing w:val="6"/>
              </w:rPr>
              <w:t>以内的</w:t>
            </w:r>
          </w:p>
        </w:tc>
        <w:tc>
          <w:tcPr>
            <w:tcW w:w="4831" w:type="dxa"/>
            <w:vAlign w:val="top"/>
          </w:tcPr>
          <w:p>
            <w:pPr>
              <w:pStyle w:val="TableText"/>
              <w:ind w:left="125" w:right="162" w:firstLine="10"/>
              <w:spacing w:before="139" w:line="239" w:lineRule="auto"/>
              <w:rPr>
                <w:sz w:val="25"/>
                <w:szCs w:val="25"/>
              </w:rPr>
            </w:pPr>
            <w:r>
              <w:rPr>
                <w:sz w:val="25"/>
                <w:szCs w:val="25"/>
                <w:spacing w:val="1"/>
              </w:rPr>
              <w:t>给予警告、责令限期改正，可处1000元以 </w:t>
            </w:r>
            <w:r>
              <w:rPr>
                <w:sz w:val="25"/>
                <w:szCs w:val="25"/>
                <w:spacing w:val="2"/>
              </w:rPr>
              <w:t>下的罚款</w:t>
            </w:r>
          </w:p>
        </w:tc>
      </w:tr>
      <w:tr>
        <w:trPr>
          <w:trHeight w:val="788" w:hRule="atLeast"/>
        </w:trPr>
        <w:tc>
          <w:tcPr>
            <w:tcW w:w="1624" w:type="dxa"/>
            <w:vAlign w:val="top"/>
          </w:tcPr>
          <w:p>
            <w:pPr>
              <w:pStyle w:val="TableText"/>
              <w:ind w:left="558"/>
              <w:spacing w:before="273" w:line="221" w:lineRule="auto"/>
              <w:rPr>
                <w:sz w:val="25"/>
                <w:szCs w:val="25"/>
              </w:rPr>
            </w:pPr>
            <w:r>
              <w:rPr>
                <w:sz w:val="25"/>
                <w:szCs w:val="25"/>
                <w:b/>
                <w:bCs/>
                <w:spacing w:val="-10"/>
              </w:rPr>
              <w:t>一般</w:t>
            </w:r>
          </w:p>
        </w:tc>
        <w:tc>
          <w:tcPr>
            <w:tcW w:w="7345" w:type="dxa"/>
            <w:vAlign w:val="top"/>
          </w:tcPr>
          <w:p>
            <w:pPr>
              <w:pStyle w:val="TableText"/>
              <w:ind w:left="140" w:hanging="99"/>
              <w:spacing w:before="125" w:line="241" w:lineRule="auto"/>
              <w:rPr>
                <w:sz w:val="25"/>
                <w:szCs w:val="25"/>
              </w:rPr>
            </w:pPr>
            <w:r>
              <w:rPr>
                <w:sz w:val="25"/>
                <w:szCs w:val="25"/>
                <w:spacing w:val="1"/>
              </w:rPr>
              <w:t>医疗机构未办理诊疗科目登记或者未按照规定进行校验工作一个月</w:t>
            </w:r>
            <w:r>
              <w:rPr>
                <w:sz w:val="25"/>
                <w:szCs w:val="25"/>
                <w:spacing w:val="13"/>
              </w:rPr>
              <w:t xml:space="preserve"> </w:t>
            </w:r>
            <w:r>
              <w:rPr>
                <w:sz w:val="25"/>
                <w:szCs w:val="25"/>
                <w:spacing w:val="1"/>
              </w:rPr>
              <w:t>以上、三个月以内的</w:t>
            </w:r>
          </w:p>
        </w:tc>
        <w:tc>
          <w:tcPr>
            <w:tcW w:w="4831" w:type="dxa"/>
            <w:vAlign w:val="top"/>
          </w:tcPr>
          <w:p>
            <w:pPr>
              <w:pStyle w:val="TableText"/>
              <w:ind w:left="136" w:right="162"/>
              <w:spacing w:before="133" w:line="238" w:lineRule="auto"/>
              <w:rPr>
                <w:sz w:val="25"/>
                <w:szCs w:val="25"/>
              </w:rPr>
            </w:pPr>
            <w:r>
              <w:rPr>
                <w:sz w:val="25"/>
                <w:szCs w:val="25"/>
                <w:spacing w:val="1"/>
              </w:rPr>
              <w:t>给予警告、责令限期改正，可处1000元以 </w:t>
            </w:r>
            <w:r>
              <w:rPr>
                <w:sz w:val="25"/>
                <w:szCs w:val="25"/>
              </w:rPr>
              <w:t>上2000元以下的罚款</w:t>
            </w:r>
          </w:p>
        </w:tc>
      </w:tr>
      <w:tr>
        <w:trPr>
          <w:trHeight w:val="792" w:hRule="atLeast"/>
        </w:trPr>
        <w:tc>
          <w:tcPr>
            <w:tcW w:w="1624" w:type="dxa"/>
            <w:vAlign w:val="top"/>
          </w:tcPr>
          <w:p>
            <w:pPr>
              <w:spacing w:line="244" w:lineRule="auto"/>
              <w:rPr>
                <w:rFonts w:ascii="Arial"/>
                <w:sz w:val="21"/>
              </w:rPr>
            </w:pPr>
            <w:r/>
          </w:p>
          <w:p>
            <w:pPr>
              <w:pStyle w:val="TableText"/>
              <w:ind w:left="558"/>
              <w:spacing w:before="81" w:line="221" w:lineRule="auto"/>
              <w:rPr>
                <w:sz w:val="25"/>
                <w:szCs w:val="25"/>
              </w:rPr>
            </w:pPr>
            <w:r>
              <w:rPr>
                <w:sz w:val="25"/>
                <w:szCs w:val="25"/>
                <w:b/>
                <w:bCs/>
                <w:spacing w:val="-6"/>
              </w:rPr>
              <w:t>较重</w:t>
            </w:r>
          </w:p>
        </w:tc>
        <w:tc>
          <w:tcPr>
            <w:tcW w:w="7345" w:type="dxa"/>
            <w:vAlign w:val="top"/>
          </w:tcPr>
          <w:p>
            <w:pPr>
              <w:pStyle w:val="TableText"/>
              <w:ind w:left="140" w:hanging="99"/>
              <w:spacing w:before="145" w:line="235" w:lineRule="auto"/>
              <w:rPr>
                <w:sz w:val="25"/>
                <w:szCs w:val="25"/>
              </w:rPr>
            </w:pPr>
            <w:r>
              <w:rPr>
                <w:sz w:val="25"/>
                <w:szCs w:val="25"/>
                <w:spacing w:val="1"/>
              </w:rPr>
              <w:t>医疗机构未办理诊疗科目登记或者未按照规定进行校验工作三个月</w:t>
            </w:r>
            <w:r>
              <w:rPr>
                <w:sz w:val="25"/>
                <w:szCs w:val="25"/>
                <w:spacing w:val="13"/>
              </w:rPr>
              <w:t xml:space="preserve"> </w:t>
            </w:r>
            <w:r>
              <w:rPr>
                <w:sz w:val="25"/>
                <w:szCs w:val="25"/>
                <w:spacing w:val="1"/>
              </w:rPr>
              <w:t>以上、六个月以内的</w:t>
            </w:r>
          </w:p>
        </w:tc>
        <w:tc>
          <w:tcPr>
            <w:tcW w:w="4831" w:type="dxa"/>
            <w:vAlign w:val="top"/>
          </w:tcPr>
          <w:p>
            <w:pPr>
              <w:pStyle w:val="TableText"/>
              <w:ind w:left="136" w:right="174"/>
              <w:spacing w:before="145" w:line="235" w:lineRule="auto"/>
              <w:rPr>
                <w:sz w:val="25"/>
                <w:szCs w:val="25"/>
              </w:rPr>
            </w:pPr>
            <w:r>
              <w:rPr>
                <w:sz w:val="25"/>
                <w:szCs w:val="25"/>
              </w:rPr>
              <w:t>给予警告、责令限期改正，处2000元以上</w:t>
            </w:r>
            <w:r>
              <w:rPr>
                <w:sz w:val="25"/>
                <w:szCs w:val="25"/>
                <w:spacing w:val="9"/>
              </w:rPr>
              <w:t xml:space="preserve"> </w:t>
            </w:r>
            <w:r>
              <w:rPr>
                <w:sz w:val="25"/>
                <w:szCs w:val="25"/>
                <w:spacing w:val="1"/>
              </w:rPr>
              <w:t>3000元以下的罚款</w:t>
            </w:r>
          </w:p>
        </w:tc>
      </w:tr>
    </w:tbl>
    <w:p>
      <w:pPr>
        <w:pStyle w:val="BodyText"/>
        <w:rPr/>
      </w:pPr>
      <w:r/>
    </w:p>
    <w:p>
      <w:pPr>
        <w:sectPr>
          <w:footerReference w:type="default" r:id="rId572"/>
          <w:pgSz w:w="16830" w:h="11900"/>
          <w:pgMar w:top="1011" w:right="1439" w:bottom="1108" w:left="1414" w:header="0" w:footer="775" w:gutter="0"/>
        </w:sectPr>
        <w:rPr/>
      </w:pPr>
    </w:p>
    <w:p>
      <w:pPr>
        <w:spacing w:before="20"/>
        <w:rPr/>
      </w:pPr>
      <w:r/>
    </w:p>
    <w:p>
      <w:pPr>
        <w:spacing w:before="20"/>
        <w:rPr/>
      </w:pPr>
      <w:r/>
    </w:p>
    <w:p>
      <w:pPr>
        <w:spacing w:before="19"/>
        <w:rPr/>
      </w:pPr>
      <w:r/>
    </w:p>
    <w:tbl>
      <w:tblPr>
        <w:tblStyle w:val="TableNormal"/>
        <w:tblW w:w="13799" w:type="dxa"/>
        <w:tblInd w:w="1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44"/>
        <w:gridCol w:w="7344"/>
        <w:gridCol w:w="4811"/>
      </w:tblGrid>
      <w:tr>
        <w:trPr>
          <w:trHeight w:val="1680" w:hRule="atLeast"/>
        </w:trPr>
        <w:tc>
          <w:tcPr>
            <w:tcW w:w="1644" w:type="dxa"/>
            <w:vAlign w:val="top"/>
          </w:tcPr>
          <w:p>
            <w:pPr>
              <w:spacing w:line="320" w:lineRule="auto"/>
              <w:rPr>
                <w:rFonts w:ascii="Arial"/>
                <w:sz w:val="21"/>
              </w:rPr>
            </w:pPr>
            <w:r/>
          </w:p>
          <w:p>
            <w:pPr>
              <w:spacing w:line="320" w:lineRule="auto"/>
              <w:rPr>
                <w:rFonts w:ascii="Arial"/>
                <w:sz w:val="21"/>
              </w:rPr>
            </w:pPr>
            <w:r/>
          </w:p>
          <w:p>
            <w:pPr>
              <w:pStyle w:val="TableText"/>
              <w:ind w:left="568"/>
              <w:spacing w:before="78" w:line="220" w:lineRule="auto"/>
              <w:rPr/>
            </w:pPr>
            <w:bookmarkStart w:name="bookmark1205" w:id="582"/>
            <w:bookmarkEnd w:id="582"/>
            <w:r>
              <w:rPr>
                <w:b/>
                <w:bCs/>
                <w:spacing w:val="-6"/>
              </w:rPr>
              <w:t>严重</w:t>
            </w:r>
          </w:p>
        </w:tc>
        <w:tc>
          <w:tcPr>
            <w:tcW w:w="7344" w:type="dxa"/>
            <w:vAlign w:val="top"/>
          </w:tcPr>
          <w:p>
            <w:pPr>
              <w:pStyle w:val="TableText"/>
              <w:ind w:left="90"/>
              <w:spacing w:before="35" w:line="220" w:lineRule="auto"/>
              <w:rPr/>
            </w:pPr>
            <w:r>
              <w:rPr>
                <w:spacing w:val="2"/>
              </w:rPr>
              <w:t>有下列情形之一的：</w:t>
            </w:r>
          </w:p>
          <w:p>
            <w:pPr>
              <w:pStyle w:val="TableText"/>
              <w:ind w:left="90" w:right="274" w:firstLine="10"/>
              <w:spacing w:before="82" w:line="233" w:lineRule="auto"/>
              <w:rPr/>
            </w:pPr>
            <w:r>
              <w:rPr/>
              <w:t>A.医疗机构未办理诊疗科目登记或者未按照规定进行校验工</w:t>
            </w:r>
            <w:r>
              <w:rPr>
                <w:spacing w:val="-1"/>
              </w:rPr>
              <w:t>作超过</w:t>
            </w:r>
            <w:r>
              <w:rPr/>
              <w:t xml:space="preserve"> </w:t>
            </w:r>
            <w:r>
              <w:rPr>
                <w:spacing w:val="4"/>
              </w:rPr>
              <w:t>六个月的</w:t>
            </w:r>
          </w:p>
          <w:p>
            <w:pPr>
              <w:pStyle w:val="TableText"/>
              <w:ind w:left="90" w:right="46"/>
              <w:spacing w:before="64" w:line="229" w:lineRule="auto"/>
              <w:rPr/>
            </w:pPr>
            <w:r>
              <w:rPr/>
              <w:t>B.医疗机构未办理诊疗科目登记或者未按照规定进行校验</w:t>
            </w:r>
            <w:r>
              <w:rPr>
                <w:spacing w:val="-1"/>
              </w:rPr>
              <w:t>工作，致人</w:t>
            </w:r>
            <w:r>
              <w:rPr/>
              <w:t xml:space="preserve"> </w:t>
            </w:r>
            <w:r>
              <w:rPr>
                <w:spacing w:val="1"/>
              </w:rPr>
              <w:t>死亡或造成其他严重后果的</w:t>
            </w:r>
          </w:p>
        </w:tc>
        <w:tc>
          <w:tcPr>
            <w:tcW w:w="4811" w:type="dxa"/>
            <w:vAlign w:val="top"/>
          </w:tcPr>
          <w:p>
            <w:pPr>
              <w:pStyle w:val="TableText"/>
              <w:ind w:left="96" w:right="252" w:firstLine="140"/>
              <w:spacing w:before="51" w:line="265" w:lineRule="auto"/>
              <w:rPr/>
            </w:pPr>
            <w:r>
              <w:rPr>
                <w:spacing w:val="-1"/>
              </w:rPr>
              <w:t>对于情形A,给予警告、责令限期改正，处</w:t>
            </w:r>
            <w:r>
              <w:rPr>
                <w:spacing w:val="9"/>
              </w:rPr>
              <w:t xml:space="preserve"> </w:t>
            </w:r>
            <w:r>
              <w:rPr/>
              <w:t>3000元的罚款。</w:t>
            </w:r>
          </w:p>
          <w:p>
            <w:pPr>
              <w:pStyle w:val="TableText"/>
              <w:ind w:left="96" w:right="113" w:firstLine="140"/>
              <w:spacing w:line="238" w:lineRule="auto"/>
              <w:rPr/>
            </w:pPr>
            <w:r>
              <w:rPr>
                <w:spacing w:val="-1"/>
              </w:rPr>
              <w:t>对于情形B,给予警告，责令限期改正，处</w:t>
            </w:r>
            <w:r>
              <w:rPr>
                <w:spacing w:val="4"/>
              </w:rPr>
              <w:t xml:space="preserve">  </w:t>
            </w:r>
            <w:r>
              <w:rPr>
                <w:spacing w:val="1"/>
              </w:rPr>
              <w:t>3000元的罚款，吊销其《医疗机构执业许可</w:t>
            </w:r>
            <w:r>
              <w:rPr>
                <w:spacing w:val="8"/>
              </w:rPr>
              <w:t xml:space="preserve"> </w:t>
            </w:r>
            <w:r>
              <w:rPr>
                <w:spacing w:val="-5"/>
              </w:rPr>
              <w:t>证》</w:t>
            </w:r>
          </w:p>
        </w:tc>
      </w:tr>
    </w:tbl>
    <w:p>
      <w:pPr>
        <w:pStyle w:val="BodyText"/>
        <w:spacing w:line="467" w:lineRule="auto"/>
        <w:rPr/>
      </w:pPr>
      <w:r/>
    </w:p>
    <w:p>
      <w:pPr>
        <w:ind w:left="19" w:right="344" w:firstLine="659"/>
        <w:spacing w:before="97" w:line="282" w:lineRule="auto"/>
        <w:rPr>
          <w:rFonts w:ascii="FangSong" w:hAnsi="FangSong" w:eastAsia="FangSong" w:cs="FangSong"/>
          <w:sz w:val="30"/>
          <w:szCs w:val="30"/>
        </w:rPr>
      </w:pPr>
      <w:r>
        <w:rPr>
          <w:rFonts w:ascii="FangSong" w:hAnsi="FangSong" w:eastAsia="FangSong" w:cs="FangSong"/>
          <w:sz w:val="30"/>
          <w:szCs w:val="30"/>
          <w:b/>
          <w:bCs/>
          <w:spacing w:val="21"/>
        </w:rPr>
        <w:t>第五百四十九条医疗机构未经批准擅自变更放射诊疗项</w:t>
      </w:r>
      <w:r>
        <w:rPr>
          <w:rFonts w:ascii="FangSong" w:hAnsi="FangSong" w:eastAsia="FangSong" w:cs="FangSong"/>
          <w:sz w:val="30"/>
          <w:szCs w:val="30"/>
          <w:b/>
          <w:bCs/>
          <w:spacing w:val="20"/>
        </w:rPr>
        <w:t>目或者超出批准范围从事放射诊疗工</w:t>
      </w:r>
      <w:r>
        <w:rPr>
          <w:rFonts w:ascii="FangSong" w:hAnsi="FangSong" w:eastAsia="FangSong" w:cs="FangSong"/>
          <w:sz w:val="30"/>
          <w:szCs w:val="30"/>
        </w:rPr>
        <w:t xml:space="preserve"> </w:t>
      </w:r>
      <w:r>
        <w:rPr>
          <w:rFonts w:ascii="FangSong" w:hAnsi="FangSong" w:eastAsia="FangSong" w:cs="FangSong"/>
          <w:sz w:val="30"/>
          <w:szCs w:val="30"/>
          <w:b/>
          <w:bCs/>
          <w:spacing w:val="7"/>
        </w:rPr>
        <w:t>作的</w:t>
      </w:r>
    </w:p>
    <w:p>
      <w:pPr>
        <w:ind w:left="675"/>
        <w:spacing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45" w:firstLine="619"/>
        <w:spacing w:before="83" w:line="266" w:lineRule="auto"/>
        <w:jc w:val="both"/>
        <w:rPr>
          <w:rFonts w:ascii="FangSong" w:hAnsi="FangSong" w:eastAsia="FangSong" w:cs="FangSong"/>
          <w:sz w:val="30"/>
          <w:szCs w:val="30"/>
        </w:rPr>
      </w:pPr>
      <w:r>
        <w:rPr>
          <w:rFonts w:ascii="FangSong" w:hAnsi="FangSong" w:eastAsia="FangSong" w:cs="FangSong"/>
          <w:sz w:val="30"/>
          <w:szCs w:val="30"/>
          <w:spacing w:val="23"/>
        </w:rPr>
        <w:t>《放射诊疗管理规定》第三十八条第(三)项</w:t>
      </w:r>
      <w:r>
        <w:rPr>
          <w:rFonts w:ascii="FangSong" w:hAnsi="FangSong" w:eastAsia="FangSong" w:cs="FangSong"/>
          <w:sz w:val="30"/>
          <w:szCs w:val="30"/>
          <w:spacing w:val="23"/>
        </w:rPr>
        <w:t xml:space="preserve">  </w:t>
      </w:r>
      <w:r>
        <w:rPr>
          <w:rFonts w:ascii="FangSong" w:hAnsi="FangSong" w:eastAsia="FangSong" w:cs="FangSong"/>
          <w:sz w:val="30"/>
          <w:szCs w:val="30"/>
          <w:spacing w:val="23"/>
        </w:rPr>
        <w:t>医疗机构有下列情形之一的，由县级以上卫生行</w:t>
      </w:r>
      <w:r>
        <w:rPr>
          <w:rFonts w:ascii="FangSong" w:hAnsi="FangSong" w:eastAsia="FangSong" w:cs="FangSong"/>
          <w:sz w:val="30"/>
          <w:szCs w:val="30"/>
          <w:spacing w:val="11"/>
        </w:rPr>
        <w:t xml:space="preserve"> </w:t>
      </w:r>
      <w:r>
        <w:rPr>
          <w:rFonts w:ascii="FangSong" w:hAnsi="FangSong" w:eastAsia="FangSong" w:cs="FangSong"/>
          <w:sz w:val="30"/>
          <w:szCs w:val="30"/>
          <w:spacing w:val="16"/>
        </w:rPr>
        <w:t>政部门给予警告、责令限期改正，并可以根据情节处以3000元以下的罚款；情节严重</w:t>
      </w:r>
      <w:r>
        <w:rPr>
          <w:rFonts w:ascii="FangSong" w:hAnsi="FangSong" w:eastAsia="FangSong" w:cs="FangSong"/>
          <w:sz w:val="30"/>
          <w:szCs w:val="30"/>
          <w:spacing w:val="15"/>
        </w:rPr>
        <w:t>的，吊销其《医</w:t>
      </w:r>
      <w:r>
        <w:rPr>
          <w:rFonts w:ascii="FangSong" w:hAnsi="FangSong" w:eastAsia="FangSong" w:cs="FangSong"/>
          <w:sz w:val="30"/>
          <w:szCs w:val="30"/>
        </w:rPr>
        <w:t xml:space="preserve"> </w:t>
      </w:r>
      <w:r>
        <w:rPr>
          <w:rFonts w:ascii="FangSong" w:hAnsi="FangSong" w:eastAsia="FangSong" w:cs="FangSong"/>
          <w:sz w:val="30"/>
          <w:szCs w:val="30"/>
          <w:spacing w:val="12"/>
        </w:rPr>
        <w:t>疗机构执业许可证》。</w:t>
      </w:r>
    </w:p>
    <w:p>
      <w:pPr>
        <w:ind w:left="805"/>
        <w:spacing w:before="12" w:line="220" w:lineRule="auto"/>
        <w:rPr>
          <w:rFonts w:ascii="FangSong" w:hAnsi="FangSong" w:eastAsia="FangSong" w:cs="FangSong"/>
          <w:sz w:val="30"/>
          <w:szCs w:val="30"/>
        </w:rPr>
      </w:pPr>
      <w:r>
        <w:rPr>
          <w:rFonts w:ascii="FangSong" w:hAnsi="FangSong" w:eastAsia="FangSong" w:cs="FangSong"/>
          <w:sz w:val="30"/>
          <w:szCs w:val="30"/>
          <w:spacing w:val="22"/>
        </w:rPr>
        <w:t>(三)未经批准擅自变更放射诊疗项目或者超出批准范围从事放射诊疗工作</w:t>
      </w:r>
      <w:r>
        <w:rPr>
          <w:rFonts w:ascii="FangSong" w:hAnsi="FangSong" w:eastAsia="FangSong" w:cs="FangSong"/>
          <w:sz w:val="30"/>
          <w:szCs w:val="30"/>
          <w:spacing w:val="21"/>
        </w:rPr>
        <w:t>的。</w:t>
      </w:r>
    </w:p>
    <w:p>
      <w:pPr>
        <w:ind w:left="6439"/>
        <w:spacing w:before="254" w:line="202"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39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94"/>
        <w:gridCol w:w="7415"/>
        <w:gridCol w:w="4691"/>
      </w:tblGrid>
      <w:tr>
        <w:trPr>
          <w:trHeight w:val="582" w:hRule="atLeast"/>
        </w:trPr>
        <w:tc>
          <w:tcPr>
            <w:tcW w:w="1794" w:type="dxa"/>
            <w:vAlign w:val="top"/>
          </w:tcPr>
          <w:p>
            <w:pPr>
              <w:pStyle w:val="TableText"/>
              <w:ind w:left="368"/>
              <w:spacing w:before="162" w:line="220" w:lineRule="auto"/>
              <w:rPr>
                <w:sz w:val="26"/>
                <w:szCs w:val="26"/>
              </w:rPr>
            </w:pPr>
            <w:r>
              <w:rPr>
                <w:sz w:val="26"/>
                <w:szCs w:val="26"/>
                <w:b/>
                <w:bCs/>
                <w:spacing w:val="-5"/>
              </w:rPr>
              <w:t>违法程度</w:t>
            </w:r>
          </w:p>
        </w:tc>
        <w:tc>
          <w:tcPr>
            <w:tcW w:w="7415" w:type="dxa"/>
            <w:vAlign w:val="top"/>
          </w:tcPr>
          <w:p>
            <w:pPr>
              <w:pStyle w:val="TableText"/>
              <w:ind w:left="3184"/>
              <w:spacing w:before="162" w:line="220" w:lineRule="auto"/>
              <w:rPr>
                <w:sz w:val="26"/>
                <w:szCs w:val="26"/>
              </w:rPr>
            </w:pPr>
            <w:r>
              <w:rPr>
                <w:sz w:val="26"/>
                <w:szCs w:val="26"/>
                <w:b/>
                <w:bCs/>
                <w:spacing w:val="-5"/>
              </w:rPr>
              <w:t>情节后果</w:t>
            </w:r>
          </w:p>
        </w:tc>
        <w:tc>
          <w:tcPr>
            <w:tcW w:w="4691" w:type="dxa"/>
            <w:vAlign w:val="top"/>
          </w:tcPr>
          <w:p>
            <w:pPr>
              <w:pStyle w:val="TableText"/>
              <w:ind w:left="1819"/>
              <w:spacing w:before="159" w:line="218" w:lineRule="auto"/>
              <w:rPr>
                <w:sz w:val="26"/>
                <w:szCs w:val="26"/>
              </w:rPr>
            </w:pPr>
            <w:r>
              <w:rPr>
                <w:sz w:val="26"/>
                <w:szCs w:val="26"/>
                <w:b/>
                <w:bCs/>
                <w:spacing w:val="-5"/>
              </w:rPr>
              <w:t>裁量幅度</w:t>
            </w:r>
          </w:p>
        </w:tc>
      </w:tr>
      <w:tr>
        <w:trPr>
          <w:trHeight w:val="776" w:hRule="atLeast"/>
        </w:trPr>
        <w:tc>
          <w:tcPr>
            <w:tcW w:w="1794" w:type="dxa"/>
            <w:vAlign w:val="top"/>
          </w:tcPr>
          <w:p>
            <w:pPr>
              <w:pStyle w:val="TableText"/>
              <w:ind w:left="628"/>
              <w:spacing w:before="260" w:line="219" w:lineRule="auto"/>
              <w:rPr>
                <w:sz w:val="26"/>
                <w:szCs w:val="26"/>
              </w:rPr>
            </w:pPr>
            <w:r>
              <w:rPr>
                <w:sz w:val="26"/>
                <w:szCs w:val="26"/>
                <w:b/>
                <w:bCs/>
                <w:spacing w:val="-6"/>
              </w:rPr>
              <w:t>轻微</w:t>
            </w:r>
          </w:p>
        </w:tc>
        <w:tc>
          <w:tcPr>
            <w:tcW w:w="7415" w:type="dxa"/>
            <w:vAlign w:val="top"/>
          </w:tcPr>
          <w:p>
            <w:pPr>
              <w:pStyle w:val="TableText"/>
              <w:ind w:left="140" w:hanging="129"/>
              <w:spacing w:before="123" w:line="228" w:lineRule="auto"/>
              <w:rPr>
                <w:sz w:val="26"/>
                <w:szCs w:val="26"/>
              </w:rPr>
            </w:pPr>
            <w:r>
              <w:rPr>
                <w:sz w:val="26"/>
                <w:szCs w:val="26"/>
                <w:spacing w:val="-5"/>
              </w:rPr>
              <w:t>医疗机构未经批准擅自变更放射诊疗项目或者超出批准范围</w:t>
            </w:r>
            <w:r>
              <w:rPr>
                <w:sz w:val="26"/>
                <w:szCs w:val="26"/>
                <w:spacing w:val="-6"/>
              </w:rPr>
              <w:t>从事放</w:t>
            </w:r>
            <w:r>
              <w:rPr>
                <w:sz w:val="26"/>
                <w:szCs w:val="26"/>
              </w:rPr>
              <w:t xml:space="preserve"> </w:t>
            </w:r>
            <w:r>
              <w:rPr>
                <w:sz w:val="26"/>
                <w:szCs w:val="26"/>
                <w:spacing w:val="1"/>
              </w:rPr>
              <w:t>射诊疗工作一个月以内的</w:t>
            </w:r>
          </w:p>
        </w:tc>
        <w:tc>
          <w:tcPr>
            <w:tcW w:w="4691" w:type="dxa"/>
            <w:vAlign w:val="top"/>
          </w:tcPr>
          <w:p>
            <w:pPr>
              <w:pStyle w:val="TableText"/>
              <w:ind w:left="115" w:hanging="99"/>
              <w:spacing w:before="120" w:line="229" w:lineRule="auto"/>
              <w:rPr>
                <w:sz w:val="26"/>
                <w:szCs w:val="26"/>
              </w:rPr>
            </w:pPr>
            <w:r>
              <w:rPr>
                <w:sz w:val="26"/>
                <w:szCs w:val="26"/>
                <w:spacing w:val="-1"/>
              </w:rPr>
              <w:t>给予警告、责令限期改正，可处1000元以</w:t>
            </w:r>
            <w:r>
              <w:rPr>
                <w:sz w:val="26"/>
                <w:szCs w:val="26"/>
                <w:spacing w:val="3"/>
              </w:rPr>
              <w:t xml:space="preserve"> </w:t>
            </w:r>
            <w:r>
              <w:rPr>
                <w:sz w:val="26"/>
                <w:szCs w:val="26"/>
                <w:spacing w:val="2"/>
              </w:rPr>
              <w:t>下的罚款</w:t>
            </w:r>
          </w:p>
        </w:tc>
      </w:tr>
      <w:tr>
        <w:trPr>
          <w:trHeight w:val="781" w:hRule="atLeast"/>
        </w:trPr>
        <w:tc>
          <w:tcPr>
            <w:tcW w:w="1794" w:type="dxa"/>
            <w:vAlign w:val="top"/>
          </w:tcPr>
          <w:p>
            <w:pPr>
              <w:pStyle w:val="TableText"/>
              <w:ind w:left="628"/>
              <w:spacing w:before="265" w:line="221" w:lineRule="auto"/>
              <w:rPr>
                <w:sz w:val="26"/>
                <w:szCs w:val="26"/>
              </w:rPr>
            </w:pPr>
            <w:r>
              <w:rPr>
                <w:sz w:val="26"/>
                <w:szCs w:val="26"/>
                <w:b/>
                <w:bCs/>
                <w:spacing w:val="-10"/>
              </w:rPr>
              <w:t>一般</w:t>
            </w:r>
          </w:p>
        </w:tc>
        <w:tc>
          <w:tcPr>
            <w:tcW w:w="7415" w:type="dxa"/>
            <w:vAlign w:val="top"/>
          </w:tcPr>
          <w:p>
            <w:pPr>
              <w:pStyle w:val="TableText"/>
              <w:ind w:left="140" w:hanging="129"/>
              <w:spacing w:before="125" w:line="229" w:lineRule="auto"/>
              <w:rPr>
                <w:sz w:val="26"/>
                <w:szCs w:val="26"/>
              </w:rPr>
            </w:pPr>
            <w:r>
              <w:rPr>
                <w:sz w:val="26"/>
                <w:szCs w:val="26"/>
                <w:spacing w:val="-5"/>
              </w:rPr>
              <w:t>医疗机构未经批准擅自变更放射诊疗项目或者超出批准范围</w:t>
            </w:r>
            <w:r>
              <w:rPr>
                <w:sz w:val="26"/>
                <w:szCs w:val="26"/>
                <w:spacing w:val="-6"/>
              </w:rPr>
              <w:t>从事放</w:t>
            </w:r>
            <w:r>
              <w:rPr>
                <w:sz w:val="26"/>
                <w:szCs w:val="26"/>
              </w:rPr>
              <w:t xml:space="preserve"> </w:t>
            </w:r>
            <w:r>
              <w:rPr>
                <w:sz w:val="26"/>
                <w:szCs w:val="26"/>
                <w:spacing w:val="1"/>
              </w:rPr>
              <w:t>射工作一个月以上、三个月以内的</w:t>
            </w:r>
          </w:p>
        </w:tc>
        <w:tc>
          <w:tcPr>
            <w:tcW w:w="4691" w:type="dxa"/>
            <w:vAlign w:val="top"/>
          </w:tcPr>
          <w:p>
            <w:pPr>
              <w:pStyle w:val="TableText"/>
              <w:ind w:left="105" w:hanging="89"/>
              <w:spacing w:before="134" w:line="226" w:lineRule="auto"/>
              <w:rPr>
                <w:sz w:val="26"/>
                <w:szCs w:val="26"/>
              </w:rPr>
            </w:pPr>
            <w:r>
              <w:rPr>
                <w:sz w:val="26"/>
                <w:szCs w:val="26"/>
                <w:spacing w:val="-1"/>
              </w:rPr>
              <w:t>给予警告、责令限期改正，可处1000元以</w:t>
            </w:r>
            <w:r>
              <w:rPr>
                <w:sz w:val="26"/>
                <w:szCs w:val="26"/>
                <w:spacing w:val="3"/>
              </w:rPr>
              <w:t xml:space="preserve"> </w:t>
            </w:r>
            <w:r>
              <w:rPr>
                <w:sz w:val="26"/>
                <w:szCs w:val="26"/>
              </w:rPr>
              <w:t>上2000元以下的罚款</w:t>
            </w:r>
          </w:p>
        </w:tc>
      </w:tr>
    </w:tbl>
    <w:p>
      <w:pPr>
        <w:pStyle w:val="BodyText"/>
        <w:rPr/>
      </w:pPr>
      <w:r/>
    </w:p>
    <w:p>
      <w:pPr>
        <w:sectPr>
          <w:footerReference w:type="default" r:id="rId573"/>
          <w:pgSz w:w="16830" w:h="11900"/>
          <w:pgMar w:top="1011" w:right="1439" w:bottom="1107" w:left="1414" w:header="0" w:footer="774" w:gutter="0"/>
        </w:sectPr>
        <w:rPr/>
      </w:pPr>
    </w:p>
    <w:p>
      <w:pPr>
        <w:spacing w:before="20"/>
        <w:rPr/>
      </w:pPr>
      <w:r/>
    </w:p>
    <w:p>
      <w:pPr>
        <w:spacing w:before="20"/>
        <w:rPr/>
      </w:pPr>
      <w:r/>
    </w:p>
    <w:p>
      <w:pPr>
        <w:spacing w:before="19"/>
        <w:rPr/>
      </w:pPr>
      <w:r/>
    </w:p>
    <w:tbl>
      <w:tblPr>
        <w:tblStyle w:val="TableNormal"/>
        <w:tblW w:w="1388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4"/>
        <w:gridCol w:w="7385"/>
        <w:gridCol w:w="4691"/>
      </w:tblGrid>
      <w:tr>
        <w:trPr>
          <w:trHeight w:val="791" w:hRule="atLeast"/>
        </w:trPr>
        <w:tc>
          <w:tcPr>
            <w:tcW w:w="1804" w:type="dxa"/>
            <w:vAlign w:val="top"/>
          </w:tcPr>
          <w:p>
            <w:pPr>
              <w:pStyle w:val="TableText"/>
              <w:ind w:left="648"/>
              <w:spacing w:before="275" w:line="221" w:lineRule="auto"/>
              <w:rPr>
                <w:sz w:val="25"/>
                <w:szCs w:val="25"/>
              </w:rPr>
            </w:pPr>
            <w:bookmarkStart w:name="bookmark1206" w:id="583"/>
            <w:bookmarkEnd w:id="583"/>
            <w:r>
              <w:rPr>
                <w:sz w:val="25"/>
                <w:szCs w:val="25"/>
                <w:b/>
                <w:bCs/>
                <w:spacing w:val="-6"/>
              </w:rPr>
              <w:t>较重</w:t>
            </w:r>
          </w:p>
        </w:tc>
        <w:tc>
          <w:tcPr>
            <w:tcW w:w="7385" w:type="dxa"/>
            <w:vAlign w:val="top"/>
          </w:tcPr>
          <w:p>
            <w:pPr>
              <w:pStyle w:val="TableText"/>
              <w:ind w:left="101" w:right="4" w:firstLine="9"/>
              <w:spacing w:before="103" w:line="250" w:lineRule="auto"/>
              <w:rPr>
                <w:sz w:val="25"/>
                <w:szCs w:val="25"/>
              </w:rPr>
            </w:pPr>
            <w:r>
              <w:rPr>
                <w:sz w:val="25"/>
                <w:szCs w:val="25"/>
              </w:rPr>
              <w:t>医疗机构未经批准擅自变更放射诊疗项目或者超出批准范围从事放</w:t>
            </w:r>
            <w:r>
              <w:rPr>
                <w:sz w:val="25"/>
                <w:szCs w:val="25"/>
                <w:spacing w:val="8"/>
              </w:rPr>
              <w:t xml:space="preserve"> </w:t>
            </w:r>
            <w:r>
              <w:rPr>
                <w:sz w:val="25"/>
                <w:szCs w:val="25"/>
                <w:spacing w:val="1"/>
              </w:rPr>
              <w:t>射诊疗工作三个月以上、六个月以内的</w:t>
            </w:r>
          </w:p>
        </w:tc>
        <w:tc>
          <w:tcPr>
            <w:tcW w:w="4691" w:type="dxa"/>
            <w:vAlign w:val="top"/>
          </w:tcPr>
          <w:p>
            <w:pPr>
              <w:pStyle w:val="TableText"/>
              <w:ind w:left="135" w:right="84" w:hanging="49"/>
              <w:spacing w:before="112" w:line="247" w:lineRule="auto"/>
              <w:rPr>
                <w:sz w:val="25"/>
                <w:szCs w:val="25"/>
              </w:rPr>
            </w:pPr>
            <w:r>
              <w:rPr>
                <w:sz w:val="25"/>
                <w:szCs w:val="25"/>
              </w:rPr>
              <w:t>给予警告、责令限期改正，处2000元以上</w:t>
            </w:r>
            <w:r>
              <w:rPr>
                <w:sz w:val="25"/>
                <w:szCs w:val="25"/>
                <w:spacing w:val="9"/>
              </w:rPr>
              <w:t xml:space="preserve"> </w:t>
            </w:r>
            <w:r>
              <w:rPr>
                <w:sz w:val="25"/>
                <w:szCs w:val="25"/>
                <w:spacing w:val="1"/>
              </w:rPr>
              <w:t>3000元以下的罚款</w:t>
            </w:r>
          </w:p>
        </w:tc>
      </w:tr>
      <w:tr>
        <w:trPr>
          <w:trHeight w:val="1698" w:hRule="atLeast"/>
        </w:trPr>
        <w:tc>
          <w:tcPr>
            <w:tcW w:w="1804" w:type="dxa"/>
            <w:vAlign w:val="top"/>
          </w:tcPr>
          <w:p>
            <w:pPr>
              <w:spacing w:line="323" w:lineRule="auto"/>
              <w:rPr>
                <w:rFonts w:ascii="Arial"/>
                <w:sz w:val="21"/>
              </w:rPr>
            </w:pPr>
            <w:r/>
          </w:p>
          <w:p>
            <w:pPr>
              <w:spacing w:line="323" w:lineRule="auto"/>
              <w:rPr>
                <w:rFonts w:ascii="Arial"/>
                <w:sz w:val="21"/>
              </w:rPr>
            </w:pPr>
            <w:r/>
          </w:p>
          <w:p>
            <w:pPr>
              <w:pStyle w:val="TableText"/>
              <w:ind w:left="648"/>
              <w:spacing w:before="81" w:line="220" w:lineRule="auto"/>
              <w:rPr>
                <w:sz w:val="25"/>
                <w:szCs w:val="25"/>
              </w:rPr>
            </w:pPr>
            <w:r>
              <w:rPr>
                <w:sz w:val="25"/>
                <w:szCs w:val="25"/>
                <w:b/>
                <w:bCs/>
                <w:spacing w:val="-6"/>
              </w:rPr>
              <w:t>严重</w:t>
            </w:r>
          </w:p>
        </w:tc>
        <w:tc>
          <w:tcPr>
            <w:tcW w:w="7385" w:type="dxa"/>
            <w:vAlign w:val="top"/>
          </w:tcPr>
          <w:p>
            <w:pPr>
              <w:pStyle w:val="TableText"/>
              <w:ind w:left="101"/>
              <w:spacing w:before="55" w:line="220" w:lineRule="auto"/>
              <w:rPr>
                <w:sz w:val="25"/>
                <w:szCs w:val="25"/>
              </w:rPr>
            </w:pPr>
            <w:r>
              <w:rPr>
                <w:sz w:val="25"/>
                <w:szCs w:val="25"/>
                <w:spacing w:val="2"/>
              </w:rPr>
              <w:t>有下列情形之一的：</w:t>
            </w:r>
          </w:p>
          <w:p>
            <w:pPr>
              <w:pStyle w:val="TableText"/>
              <w:ind w:left="101" w:right="25"/>
              <w:spacing w:before="61" w:line="235" w:lineRule="auto"/>
              <w:rPr>
                <w:sz w:val="25"/>
                <w:szCs w:val="25"/>
              </w:rPr>
            </w:pPr>
            <w:r>
              <w:rPr>
                <w:sz w:val="25"/>
                <w:szCs w:val="25"/>
              </w:rPr>
              <w:t>A.医疗机构未经批准擅自变更放射诊疗项目或者超出批准范</w:t>
            </w:r>
            <w:r>
              <w:rPr>
                <w:sz w:val="25"/>
                <w:szCs w:val="25"/>
                <w:spacing w:val="-1"/>
              </w:rPr>
              <w:t>围从事</w:t>
            </w:r>
            <w:r>
              <w:rPr>
                <w:sz w:val="25"/>
                <w:szCs w:val="25"/>
              </w:rPr>
              <w:t xml:space="preserve"> </w:t>
            </w:r>
            <w:r>
              <w:rPr>
                <w:sz w:val="25"/>
                <w:szCs w:val="25"/>
                <w:spacing w:val="1"/>
              </w:rPr>
              <w:t>放射诊疗工作超过六个月的</w:t>
            </w:r>
          </w:p>
          <w:p>
            <w:pPr>
              <w:pStyle w:val="TableText"/>
              <w:ind w:left="101" w:right="27"/>
              <w:spacing w:before="41" w:line="220" w:lineRule="auto"/>
              <w:rPr>
                <w:sz w:val="25"/>
                <w:szCs w:val="25"/>
              </w:rPr>
            </w:pPr>
            <w:r>
              <w:rPr>
                <w:sz w:val="25"/>
                <w:szCs w:val="25"/>
              </w:rPr>
              <w:t>B.医疗机构未经批准擅自变更放射诊疗项目或者超出批</w:t>
            </w:r>
            <w:r>
              <w:rPr>
                <w:sz w:val="25"/>
                <w:szCs w:val="25"/>
                <w:spacing w:val="-1"/>
              </w:rPr>
              <w:t>准范围从事</w:t>
            </w:r>
            <w:r>
              <w:rPr>
                <w:sz w:val="25"/>
                <w:szCs w:val="25"/>
              </w:rPr>
              <w:t xml:space="preserve"> </w:t>
            </w:r>
            <w:r>
              <w:rPr>
                <w:sz w:val="25"/>
                <w:szCs w:val="25"/>
              </w:rPr>
              <w:t>放射诊疗工作，致人死亡或造成其他严重后果的</w:t>
            </w:r>
          </w:p>
        </w:tc>
        <w:tc>
          <w:tcPr>
            <w:tcW w:w="4691" w:type="dxa"/>
            <w:vAlign w:val="top"/>
          </w:tcPr>
          <w:p>
            <w:pPr>
              <w:pStyle w:val="TableText"/>
              <w:ind w:left="135" w:right="103" w:hanging="49"/>
              <w:spacing w:before="59" w:line="255" w:lineRule="auto"/>
              <w:rPr>
                <w:sz w:val="25"/>
                <w:szCs w:val="25"/>
              </w:rPr>
            </w:pPr>
            <w:r>
              <w:rPr>
                <w:sz w:val="25"/>
                <w:szCs w:val="25"/>
                <w:spacing w:val="-1"/>
              </w:rPr>
              <w:t>对于情形A,给予警告、责令限期改正，处</w:t>
            </w:r>
            <w:r>
              <w:rPr>
                <w:sz w:val="25"/>
                <w:szCs w:val="25"/>
                <w:spacing w:val="9"/>
              </w:rPr>
              <w:t xml:space="preserve"> </w:t>
            </w:r>
            <w:r>
              <w:rPr>
                <w:sz w:val="25"/>
                <w:szCs w:val="25"/>
                <w:spacing w:val="1"/>
              </w:rPr>
              <w:t>3000元的罚款</w:t>
            </w:r>
          </w:p>
          <w:p>
            <w:pPr>
              <w:pStyle w:val="TableText"/>
              <w:ind w:left="86" w:right="85"/>
              <w:spacing w:before="3" w:line="230" w:lineRule="auto"/>
              <w:rPr>
                <w:sz w:val="25"/>
                <w:szCs w:val="25"/>
              </w:rPr>
            </w:pPr>
            <w:r>
              <w:rPr>
                <w:sz w:val="25"/>
                <w:szCs w:val="25"/>
                <w:spacing w:val="-1"/>
              </w:rPr>
              <w:t>对于情形B,给予警告，责令限期改正，处</w:t>
            </w:r>
            <w:r>
              <w:rPr>
                <w:sz w:val="25"/>
                <w:szCs w:val="25"/>
                <w:spacing w:val="9"/>
              </w:rPr>
              <w:t xml:space="preserve"> </w:t>
            </w:r>
            <w:r>
              <w:rPr>
                <w:sz w:val="25"/>
                <w:szCs w:val="25"/>
              </w:rPr>
              <w:t>3000元的罚款，吊销其《医疗机构执业许</w:t>
            </w:r>
            <w:r>
              <w:rPr>
                <w:sz w:val="25"/>
                <w:szCs w:val="25"/>
                <w:spacing w:val="8"/>
              </w:rPr>
              <w:t xml:space="preserve"> </w:t>
            </w:r>
            <w:r>
              <w:rPr>
                <w:sz w:val="25"/>
                <w:szCs w:val="25"/>
                <w:spacing w:val="12"/>
              </w:rPr>
              <w:t>可证》</w:t>
            </w:r>
          </w:p>
        </w:tc>
      </w:tr>
    </w:tbl>
    <w:p>
      <w:pPr>
        <w:ind w:left="689"/>
        <w:spacing w:before="117" w:line="220" w:lineRule="auto"/>
        <w:rPr>
          <w:rFonts w:ascii="FangSong" w:hAnsi="FangSong" w:eastAsia="FangSong" w:cs="FangSong"/>
          <w:sz w:val="30"/>
          <w:szCs w:val="30"/>
        </w:rPr>
      </w:pPr>
      <w:r>
        <w:rPr>
          <w:rFonts w:ascii="FangSong" w:hAnsi="FangSong" w:eastAsia="FangSong" w:cs="FangSong"/>
          <w:sz w:val="30"/>
          <w:szCs w:val="30"/>
          <w:b/>
          <w:bCs/>
          <w:spacing w:val="21"/>
        </w:rPr>
        <w:t>第五百五十条医疗机构使用不具备相应资质的人员从事放射诊疗工作的</w:t>
      </w:r>
    </w:p>
    <w:p>
      <w:pPr>
        <w:ind w:left="675"/>
        <w:spacing w:before="90" w:line="222" w:lineRule="auto"/>
        <w:rPr>
          <w:rFonts w:ascii="FangSong" w:hAnsi="FangSong" w:eastAsia="FangSong" w:cs="FangSong"/>
          <w:sz w:val="30"/>
          <w:szCs w:val="30"/>
        </w:rPr>
      </w:pPr>
      <w:r>
        <w:rPr>
          <w:rFonts w:ascii="FangSong" w:hAnsi="FangSong" w:eastAsia="FangSong" w:cs="FangSong"/>
          <w:sz w:val="30"/>
          <w:szCs w:val="30"/>
          <w:spacing w:val="-1"/>
        </w:rPr>
        <w:t>法律依据：</w:t>
      </w:r>
    </w:p>
    <w:p>
      <w:pPr>
        <w:ind w:left="34" w:firstLine="599"/>
        <w:spacing w:before="77" w:line="266" w:lineRule="auto"/>
        <w:jc w:val="both"/>
        <w:rPr>
          <w:rFonts w:ascii="FangSong" w:hAnsi="FangSong" w:eastAsia="FangSong" w:cs="FangSong"/>
          <w:sz w:val="30"/>
          <w:szCs w:val="30"/>
        </w:rPr>
      </w:pPr>
      <w:r>
        <w:rPr>
          <w:rFonts w:ascii="FangSong" w:hAnsi="FangSong" w:eastAsia="FangSong" w:cs="FangSong"/>
          <w:sz w:val="30"/>
          <w:szCs w:val="30"/>
          <w:spacing w:val="18"/>
        </w:rPr>
        <w:t>《放射诊疗管理规定》第三十九条</w:t>
      </w:r>
      <w:r>
        <w:rPr>
          <w:rFonts w:ascii="FangSong" w:hAnsi="FangSong" w:eastAsia="FangSong" w:cs="FangSong"/>
          <w:sz w:val="30"/>
          <w:szCs w:val="30"/>
          <w:spacing w:val="18"/>
        </w:rPr>
        <w:t xml:space="preserve">  </w:t>
      </w:r>
      <w:r>
        <w:rPr>
          <w:rFonts w:ascii="FangSong" w:hAnsi="FangSong" w:eastAsia="FangSong" w:cs="FangSong"/>
          <w:sz w:val="30"/>
          <w:szCs w:val="30"/>
          <w:spacing w:val="18"/>
        </w:rPr>
        <w:t>医疗机构使用不具备相应资质的人员从事放射诊疗工作的，</w:t>
      </w:r>
      <w:r>
        <w:rPr>
          <w:rFonts w:ascii="FangSong" w:hAnsi="FangSong" w:eastAsia="FangSong" w:cs="FangSong"/>
          <w:sz w:val="30"/>
          <w:szCs w:val="30"/>
          <w:spacing w:val="14"/>
        </w:rPr>
        <w:t xml:space="preserve"> </w:t>
      </w:r>
      <w:r>
        <w:rPr>
          <w:rFonts w:ascii="FangSong" w:hAnsi="FangSong" w:eastAsia="FangSong" w:cs="FangSong"/>
          <w:sz w:val="30"/>
          <w:szCs w:val="30"/>
          <w:spacing w:val="22"/>
        </w:rPr>
        <w:t>由县级以上卫生行政部门责令限期改正，并可以处以5</w:t>
      </w:r>
      <w:r>
        <w:rPr>
          <w:rFonts w:ascii="FangSong" w:hAnsi="FangSong" w:eastAsia="FangSong" w:cs="FangSong"/>
          <w:sz w:val="30"/>
          <w:szCs w:val="30"/>
          <w:spacing w:val="21"/>
        </w:rPr>
        <w:t>000元以下的罚款；情节严重的，吊销其《医</w:t>
      </w:r>
      <w:r>
        <w:rPr>
          <w:rFonts w:ascii="FangSong" w:hAnsi="FangSong" w:eastAsia="FangSong" w:cs="FangSong"/>
          <w:sz w:val="30"/>
          <w:szCs w:val="30"/>
        </w:rPr>
        <w:t xml:space="preserve"> </w:t>
      </w:r>
      <w:r>
        <w:rPr>
          <w:rFonts w:ascii="FangSong" w:hAnsi="FangSong" w:eastAsia="FangSong" w:cs="FangSong"/>
          <w:sz w:val="30"/>
          <w:szCs w:val="30"/>
          <w:spacing w:val="10"/>
        </w:rPr>
        <w:t>疗机构执业许可证》。</w:t>
      </w:r>
    </w:p>
    <w:p>
      <w:pPr>
        <w:ind w:left="6428"/>
        <w:spacing w:before="173"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94"/>
        <w:gridCol w:w="7624"/>
        <w:gridCol w:w="4571"/>
      </w:tblGrid>
      <w:tr>
        <w:trPr>
          <w:trHeight w:val="433" w:hRule="atLeast"/>
        </w:trPr>
        <w:tc>
          <w:tcPr>
            <w:tcW w:w="1794" w:type="dxa"/>
            <w:vAlign w:val="top"/>
          </w:tcPr>
          <w:p>
            <w:pPr>
              <w:pStyle w:val="TableText"/>
              <w:ind w:left="388"/>
              <w:spacing w:before="92" w:line="220" w:lineRule="auto"/>
              <w:rPr>
                <w:sz w:val="25"/>
                <w:szCs w:val="25"/>
              </w:rPr>
            </w:pPr>
            <w:r>
              <w:rPr>
                <w:sz w:val="25"/>
                <w:szCs w:val="25"/>
                <w:b/>
                <w:bCs/>
                <w:spacing w:val="-5"/>
              </w:rPr>
              <w:t>违法程度</w:t>
            </w:r>
          </w:p>
        </w:tc>
        <w:tc>
          <w:tcPr>
            <w:tcW w:w="7624" w:type="dxa"/>
            <w:vAlign w:val="top"/>
          </w:tcPr>
          <w:p>
            <w:pPr>
              <w:pStyle w:val="TableText"/>
              <w:ind w:left="3304"/>
              <w:spacing w:before="92" w:line="220" w:lineRule="auto"/>
              <w:rPr>
                <w:sz w:val="25"/>
                <w:szCs w:val="25"/>
              </w:rPr>
            </w:pPr>
            <w:r>
              <w:rPr>
                <w:sz w:val="25"/>
                <w:szCs w:val="25"/>
                <w:b/>
                <w:bCs/>
                <w:spacing w:val="-5"/>
              </w:rPr>
              <w:t>情节后果</w:t>
            </w:r>
          </w:p>
        </w:tc>
        <w:tc>
          <w:tcPr>
            <w:tcW w:w="4571" w:type="dxa"/>
            <w:vAlign w:val="top"/>
          </w:tcPr>
          <w:p>
            <w:pPr>
              <w:pStyle w:val="TableText"/>
              <w:ind w:left="1780"/>
              <w:spacing w:before="89" w:line="218" w:lineRule="auto"/>
              <w:rPr>
                <w:sz w:val="25"/>
                <w:szCs w:val="25"/>
              </w:rPr>
            </w:pPr>
            <w:r>
              <w:rPr>
                <w:sz w:val="25"/>
                <w:szCs w:val="25"/>
                <w:b/>
                <w:bCs/>
                <w:spacing w:val="-5"/>
              </w:rPr>
              <w:t>裁量幅度</w:t>
            </w:r>
          </w:p>
        </w:tc>
      </w:tr>
      <w:tr>
        <w:trPr>
          <w:trHeight w:val="638" w:hRule="atLeast"/>
        </w:trPr>
        <w:tc>
          <w:tcPr>
            <w:tcW w:w="1794" w:type="dxa"/>
            <w:vAlign w:val="top"/>
          </w:tcPr>
          <w:p>
            <w:pPr>
              <w:pStyle w:val="TableText"/>
              <w:ind w:left="638"/>
              <w:spacing w:before="200" w:line="221" w:lineRule="auto"/>
              <w:rPr>
                <w:sz w:val="25"/>
                <w:szCs w:val="25"/>
              </w:rPr>
            </w:pPr>
            <w:r>
              <w:rPr>
                <w:sz w:val="25"/>
                <w:szCs w:val="25"/>
                <w:b/>
                <w:bCs/>
                <w:spacing w:val="-10"/>
              </w:rPr>
              <w:t>一般</w:t>
            </w:r>
          </w:p>
        </w:tc>
        <w:tc>
          <w:tcPr>
            <w:tcW w:w="7624" w:type="dxa"/>
            <w:vAlign w:val="top"/>
          </w:tcPr>
          <w:p>
            <w:pPr>
              <w:pStyle w:val="TableText"/>
              <w:ind w:left="140"/>
              <w:spacing w:before="200" w:line="219" w:lineRule="auto"/>
              <w:rPr>
                <w:sz w:val="25"/>
                <w:szCs w:val="25"/>
              </w:rPr>
            </w:pPr>
            <w:r>
              <w:rPr>
                <w:sz w:val="25"/>
                <w:szCs w:val="25"/>
              </w:rPr>
              <w:t>医疗机构使用1名不具备相应资质的人员从事放射诊疗工作的</w:t>
            </w:r>
          </w:p>
        </w:tc>
        <w:tc>
          <w:tcPr>
            <w:tcW w:w="4571" w:type="dxa"/>
            <w:vAlign w:val="top"/>
          </w:tcPr>
          <w:p>
            <w:pPr>
              <w:pStyle w:val="TableText"/>
              <w:ind w:left="156"/>
              <w:spacing w:before="200" w:line="219" w:lineRule="auto"/>
              <w:rPr>
                <w:sz w:val="25"/>
                <w:szCs w:val="25"/>
              </w:rPr>
            </w:pPr>
            <w:r>
              <w:rPr>
                <w:sz w:val="25"/>
                <w:szCs w:val="25"/>
              </w:rPr>
              <w:t>责令限期改正，可处2000元以下的罚款</w:t>
            </w:r>
          </w:p>
        </w:tc>
      </w:tr>
      <w:tr>
        <w:trPr>
          <w:trHeight w:val="667" w:hRule="atLeast"/>
        </w:trPr>
        <w:tc>
          <w:tcPr>
            <w:tcW w:w="1794" w:type="dxa"/>
            <w:vAlign w:val="top"/>
          </w:tcPr>
          <w:p>
            <w:pPr>
              <w:pStyle w:val="TableText"/>
              <w:ind w:left="638"/>
              <w:spacing w:before="214" w:line="221" w:lineRule="auto"/>
              <w:rPr>
                <w:sz w:val="25"/>
                <w:szCs w:val="25"/>
              </w:rPr>
            </w:pPr>
            <w:r>
              <w:rPr>
                <w:sz w:val="25"/>
                <w:szCs w:val="25"/>
                <w:b/>
                <w:bCs/>
                <w:spacing w:val="-6"/>
              </w:rPr>
              <w:t>较重</w:t>
            </w:r>
          </w:p>
        </w:tc>
        <w:tc>
          <w:tcPr>
            <w:tcW w:w="7624" w:type="dxa"/>
            <w:vAlign w:val="top"/>
          </w:tcPr>
          <w:p>
            <w:pPr>
              <w:pStyle w:val="TableText"/>
              <w:ind w:left="111"/>
              <w:spacing w:before="212" w:line="219" w:lineRule="auto"/>
              <w:rPr>
                <w:sz w:val="25"/>
                <w:szCs w:val="25"/>
              </w:rPr>
            </w:pPr>
            <w:r>
              <w:rPr>
                <w:sz w:val="25"/>
                <w:szCs w:val="25"/>
                <w:spacing w:val="1"/>
              </w:rPr>
              <w:t>医疗机构使用2名及以上不具备相应资质的人员从事</w:t>
            </w:r>
            <w:r>
              <w:rPr>
                <w:sz w:val="25"/>
                <w:szCs w:val="25"/>
              </w:rPr>
              <w:t>放射诊疗工作的</w:t>
            </w:r>
          </w:p>
        </w:tc>
        <w:tc>
          <w:tcPr>
            <w:tcW w:w="4571" w:type="dxa"/>
            <w:vAlign w:val="top"/>
          </w:tcPr>
          <w:p>
            <w:pPr>
              <w:pStyle w:val="TableText"/>
              <w:ind w:left="127" w:right="131" w:firstLine="29"/>
              <w:spacing w:before="63" w:line="219" w:lineRule="auto"/>
              <w:rPr>
                <w:sz w:val="25"/>
                <w:szCs w:val="25"/>
              </w:rPr>
            </w:pPr>
            <w:r>
              <w:rPr>
                <w:sz w:val="25"/>
                <w:szCs w:val="25"/>
                <w:spacing w:val="1"/>
              </w:rPr>
              <w:t>责令限期改正，处2000元以上5000元以</w:t>
            </w:r>
            <w:r>
              <w:rPr>
                <w:sz w:val="25"/>
                <w:szCs w:val="25"/>
              </w:rPr>
              <w:t xml:space="preserve"> </w:t>
            </w:r>
            <w:r>
              <w:rPr>
                <w:sz w:val="25"/>
                <w:szCs w:val="25"/>
                <w:spacing w:val="2"/>
              </w:rPr>
              <w:t>下的罚款</w:t>
            </w:r>
          </w:p>
        </w:tc>
      </w:tr>
      <w:tr>
        <w:trPr>
          <w:trHeight w:val="832" w:hRule="atLeast"/>
        </w:trPr>
        <w:tc>
          <w:tcPr>
            <w:tcW w:w="1794" w:type="dxa"/>
            <w:vAlign w:val="top"/>
          </w:tcPr>
          <w:p>
            <w:pPr>
              <w:pStyle w:val="TableText"/>
              <w:ind w:left="638"/>
              <w:spacing w:before="294" w:line="220" w:lineRule="auto"/>
              <w:rPr>
                <w:sz w:val="25"/>
                <w:szCs w:val="25"/>
              </w:rPr>
            </w:pPr>
            <w:r>
              <w:rPr>
                <w:sz w:val="25"/>
                <w:szCs w:val="25"/>
                <w:b/>
                <w:bCs/>
                <w:spacing w:val="-6"/>
              </w:rPr>
              <w:t>严重</w:t>
            </w:r>
          </w:p>
        </w:tc>
        <w:tc>
          <w:tcPr>
            <w:tcW w:w="7624" w:type="dxa"/>
            <w:vAlign w:val="top"/>
          </w:tcPr>
          <w:p>
            <w:pPr>
              <w:pStyle w:val="TableText"/>
              <w:ind w:left="119" w:hanging="109"/>
              <w:spacing w:before="136" w:line="253" w:lineRule="auto"/>
              <w:rPr>
                <w:sz w:val="25"/>
                <w:szCs w:val="25"/>
              </w:rPr>
            </w:pPr>
            <w:r>
              <w:rPr>
                <w:sz w:val="25"/>
                <w:szCs w:val="25"/>
                <w:spacing w:val="-5"/>
              </w:rPr>
              <w:t>医疗机构使用不具备相应资质的人员从事放射诊疗工作，造成严重危害</w:t>
            </w:r>
            <w:r>
              <w:rPr>
                <w:sz w:val="25"/>
                <w:szCs w:val="25"/>
                <w:spacing w:val="7"/>
              </w:rPr>
              <w:t xml:space="preserve"> </w:t>
            </w:r>
            <w:r>
              <w:rPr>
                <w:sz w:val="25"/>
                <w:szCs w:val="25"/>
                <w:spacing w:val="6"/>
              </w:rPr>
              <w:t>后果的</w:t>
            </w:r>
          </w:p>
        </w:tc>
        <w:tc>
          <w:tcPr>
            <w:tcW w:w="4571" w:type="dxa"/>
            <w:vAlign w:val="top"/>
          </w:tcPr>
          <w:p>
            <w:pPr>
              <w:pStyle w:val="TableText"/>
              <w:ind w:left="116" w:right="135" w:firstLine="40"/>
              <w:spacing w:before="147" w:line="245" w:lineRule="auto"/>
              <w:rPr>
                <w:sz w:val="25"/>
                <w:szCs w:val="25"/>
              </w:rPr>
            </w:pPr>
            <w:r>
              <w:rPr>
                <w:sz w:val="25"/>
                <w:szCs w:val="25"/>
              </w:rPr>
              <w:t>责令限期改正，处5000元的罚款，吊销</w:t>
            </w:r>
            <w:r>
              <w:rPr>
                <w:sz w:val="25"/>
                <w:szCs w:val="25"/>
                <w:spacing w:val="17"/>
              </w:rPr>
              <w:t xml:space="preserve"> </w:t>
            </w:r>
            <w:r>
              <w:rPr>
                <w:sz w:val="25"/>
                <w:szCs w:val="25"/>
                <w:spacing w:val="-2"/>
              </w:rPr>
              <w:t>其《医疗机构执业许可证》</w:t>
            </w:r>
          </w:p>
        </w:tc>
      </w:tr>
    </w:tbl>
    <w:p>
      <w:pPr>
        <w:pStyle w:val="BodyText"/>
        <w:rPr/>
      </w:pPr>
      <w:r/>
    </w:p>
    <w:p>
      <w:pPr>
        <w:sectPr>
          <w:footerReference w:type="default" r:id="rId574"/>
          <w:pgSz w:w="16830" w:h="11900"/>
          <w:pgMar w:top="1011" w:right="1380" w:bottom="1117" w:left="1425" w:header="0" w:footer="784" w:gutter="0"/>
        </w:sectPr>
        <w:rPr/>
      </w:pP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ind w:left="679"/>
        <w:spacing w:before="101" w:line="220" w:lineRule="auto"/>
        <w:rPr>
          <w:rFonts w:ascii="FangSong" w:hAnsi="FangSong" w:eastAsia="FangSong" w:cs="FangSong"/>
          <w:sz w:val="31"/>
          <w:szCs w:val="31"/>
        </w:rPr>
      </w:pPr>
      <w:bookmarkStart w:name="bookmark1207" w:id="584"/>
      <w:bookmarkEnd w:id="584"/>
      <w:r>
        <w:rPr>
          <w:rFonts w:ascii="FangSong" w:hAnsi="FangSong" w:eastAsia="FangSong" w:cs="FangSong"/>
          <w:sz w:val="31"/>
          <w:szCs w:val="31"/>
          <w:b/>
          <w:bCs/>
          <w:spacing w:val="11"/>
        </w:rPr>
        <w:t>第五百五十一条医疗机构购置、使用不合格或国家有关部门规定淘汰的放射诊疗设备的</w:t>
      </w:r>
    </w:p>
    <w:p>
      <w:pPr>
        <w:ind w:left="665"/>
        <w:spacing w:before="137" w:line="222" w:lineRule="auto"/>
        <w:rPr>
          <w:rFonts w:ascii="FangSong" w:hAnsi="FangSong" w:eastAsia="FangSong" w:cs="FangSong"/>
          <w:sz w:val="27"/>
          <w:szCs w:val="27"/>
        </w:rPr>
      </w:pPr>
      <w:r>
        <w:rPr>
          <w:rFonts w:ascii="FangSong" w:hAnsi="FangSong" w:eastAsia="FangSong" w:cs="FangSong"/>
          <w:sz w:val="27"/>
          <w:szCs w:val="27"/>
          <w:spacing w:val="26"/>
        </w:rPr>
        <w:t>法律依据：</w:t>
      </w:r>
    </w:p>
    <w:p>
      <w:pPr>
        <w:ind w:left="15" w:right="84" w:firstLine="614"/>
        <w:spacing w:before="64" w:line="267" w:lineRule="auto"/>
        <w:rPr>
          <w:rFonts w:ascii="FangSong" w:hAnsi="FangSong" w:eastAsia="FangSong" w:cs="FangSong"/>
          <w:sz w:val="31"/>
          <w:szCs w:val="31"/>
        </w:rPr>
      </w:pPr>
      <w:r>
        <w:rPr>
          <w:rFonts w:ascii="FangSong" w:hAnsi="FangSong" w:eastAsia="FangSong" w:cs="FangSong"/>
          <w:sz w:val="31"/>
          <w:szCs w:val="31"/>
          <w:spacing w:val="14"/>
        </w:rPr>
        <w:t>《放射诊疗管理规定》第四十一条第(一)项</w:t>
      </w:r>
      <w:r>
        <w:rPr>
          <w:rFonts w:ascii="FangSong" w:hAnsi="FangSong" w:eastAsia="FangSong" w:cs="FangSong"/>
          <w:sz w:val="31"/>
          <w:szCs w:val="31"/>
          <w:spacing w:val="14"/>
        </w:rPr>
        <w:t xml:space="preserve">  </w:t>
      </w:r>
      <w:r>
        <w:rPr>
          <w:rFonts w:ascii="FangSong" w:hAnsi="FangSong" w:eastAsia="FangSong" w:cs="FangSong"/>
          <w:sz w:val="31"/>
          <w:szCs w:val="31"/>
          <w:spacing w:val="14"/>
        </w:rPr>
        <w:t>医疗机构违反本规定，有下列</w:t>
      </w:r>
      <w:r>
        <w:rPr>
          <w:rFonts w:ascii="FangSong" w:hAnsi="FangSong" w:eastAsia="FangSong" w:cs="FangSong"/>
          <w:sz w:val="31"/>
          <w:szCs w:val="31"/>
          <w:spacing w:val="13"/>
        </w:rPr>
        <w:t>行为之一的，由县</w:t>
      </w:r>
      <w:r>
        <w:rPr>
          <w:rFonts w:ascii="FangSong" w:hAnsi="FangSong" w:eastAsia="FangSong" w:cs="FangSong"/>
          <w:sz w:val="31"/>
          <w:szCs w:val="31"/>
        </w:rPr>
        <w:t xml:space="preserve"> </w:t>
      </w:r>
      <w:r>
        <w:rPr>
          <w:rFonts w:ascii="FangSong" w:hAnsi="FangSong" w:eastAsia="FangSong" w:cs="FangSong"/>
          <w:sz w:val="31"/>
          <w:szCs w:val="31"/>
          <w:spacing w:val="7"/>
        </w:rPr>
        <w:t>级以上卫生行政部门给予警告，责令限期改正；并可处一万元以下的罚款：</w:t>
      </w:r>
    </w:p>
    <w:p>
      <w:pPr>
        <w:ind w:left="774"/>
        <w:spacing w:before="3" w:line="222" w:lineRule="auto"/>
        <w:rPr>
          <w:rFonts w:ascii="FangSong" w:hAnsi="FangSong" w:eastAsia="FangSong" w:cs="FangSong"/>
          <w:sz w:val="31"/>
          <w:szCs w:val="31"/>
        </w:rPr>
      </w:pPr>
      <w:r>
        <w:rPr>
          <w:rFonts w:ascii="FangSong" w:hAnsi="FangSong" w:eastAsia="FangSong" w:cs="FangSong"/>
          <w:sz w:val="31"/>
          <w:szCs w:val="31"/>
          <w:spacing w:val="13"/>
        </w:rPr>
        <w:t>(一)购置、使用不合格或国家有关部门规定淘汰的放射诊疗设备的；</w:t>
      </w:r>
    </w:p>
    <w:p>
      <w:pPr>
        <w:ind w:left="6419"/>
        <w:spacing w:before="207"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40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8064"/>
        <w:gridCol w:w="4531"/>
      </w:tblGrid>
      <w:tr>
        <w:trPr>
          <w:trHeight w:val="554" w:hRule="atLeast"/>
        </w:trPr>
        <w:tc>
          <w:tcPr>
            <w:tcW w:w="1414" w:type="dxa"/>
            <w:vAlign w:val="top"/>
          </w:tcPr>
          <w:p>
            <w:pPr>
              <w:pStyle w:val="TableText"/>
              <w:ind w:left="118"/>
              <w:spacing w:before="16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8064" w:type="dxa"/>
            <w:vAlign w:val="top"/>
          </w:tcPr>
          <w:p>
            <w:pPr>
              <w:pStyle w:val="TableText"/>
              <w:ind w:left="3454"/>
              <w:spacing w:before="162" w:line="220" w:lineRule="auto"/>
              <w:rPr/>
            </w:pPr>
            <w:r>
              <w:rPr>
                <w:b/>
                <w:bCs/>
                <w:spacing w:val="-5"/>
              </w:rPr>
              <w:t>情节后果</w:t>
            </w:r>
          </w:p>
        </w:tc>
        <w:tc>
          <w:tcPr>
            <w:tcW w:w="4531" w:type="dxa"/>
            <w:vAlign w:val="top"/>
          </w:tcPr>
          <w:p>
            <w:pPr>
              <w:pStyle w:val="TableText"/>
              <w:ind w:left="1680"/>
              <w:spacing w:before="15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808" w:hRule="atLeast"/>
        </w:trPr>
        <w:tc>
          <w:tcPr>
            <w:tcW w:w="1414" w:type="dxa"/>
            <w:vAlign w:val="top"/>
          </w:tcPr>
          <w:p>
            <w:pPr>
              <w:pStyle w:val="TableText"/>
              <w:ind w:left="458"/>
              <w:spacing w:before="288" w:line="221" w:lineRule="auto"/>
              <w:rPr/>
            </w:pPr>
            <w:r>
              <w:rPr>
                <w:b/>
                <w:bCs/>
                <w:spacing w:val="-10"/>
              </w:rPr>
              <w:t>一般</w:t>
            </w:r>
          </w:p>
        </w:tc>
        <w:tc>
          <w:tcPr>
            <w:tcW w:w="8064" w:type="dxa"/>
            <w:vAlign w:val="top"/>
          </w:tcPr>
          <w:p>
            <w:pPr>
              <w:pStyle w:val="TableText"/>
              <w:ind w:left="111" w:right="3" w:firstLine="9"/>
              <w:spacing w:before="119" w:line="261" w:lineRule="auto"/>
              <w:rPr/>
            </w:pPr>
            <w:r>
              <w:rPr/>
              <w:t>医疗机构购置、使用不合格或国家有关部门规定淘汰的放射诊疗设备，数量</w:t>
            </w:r>
            <w:r>
              <w:rPr>
                <w:spacing w:val="8"/>
              </w:rPr>
              <w:t xml:space="preserve"> </w:t>
            </w:r>
            <w:r>
              <w:rPr>
                <w:spacing w:val="4"/>
              </w:rPr>
              <w:t>为1件的</w:t>
            </w:r>
          </w:p>
        </w:tc>
        <w:tc>
          <w:tcPr>
            <w:tcW w:w="4531" w:type="dxa"/>
            <w:vAlign w:val="top"/>
          </w:tcPr>
          <w:p>
            <w:pPr>
              <w:pStyle w:val="TableText"/>
              <w:ind w:left="127" w:right="213" w:firstLine="89"/>
              <w:spacing w:before="129" w:line="257" w:lineRule="auto"/>
              <w:rPr/>
            </w:pPr>
            <w:r>
              <w:rPr/>
              <w:t>给予警告，责令限期改正；可处3000元</w:t>
            </w:r>
            <w:r>
              <w:rPr>
                <w:spacing w:val="9"/>
              </w:rPr>
              <w:t xml:space="preserve"> </w:t>
            </w:r>
            <w:r>
              <w:rPr>
                <w:spacing w:val="2"/>
              </w:rPr>
              <w:t>以下的罚款</w:t>
            </w:r>
          </w:p>
        </w:tc>
      </w:tr>
      <w:tr>
        <w:trPr>
          <w:trHeight w:val="918" w:hRule="atLeast"/>
        </w:trPr>
        <w:tc>
          <w:tcPr>
            <w:tcW w:w="1414" w:type="dxa"/>
            <w:vAlign w:val="top"/>
          </w:tcPr>
          <w:p>
            <w:pPr>
              <w:spacing w:line="266" w:lineRule="auto"/>
              <w:rPr>
                <w:rFonts w:ascii="Arial"/>
                <w:sz w:val="21"/>
              </w:rPr>
            </w:pPr>
            <w:r/>
          </w:p>
          <w:p>
            <w:pPr>
              <w:pStyle w:val="TableText"/>
              <w:ind w:left="454"/>
              <w:spacing w:before="78" w:line="221" w:lineRule="auto"/>
              <w:rPr/>
            </w:pPr>
            <w:r>
              <w:rPr>
                <w:spacing w:val="5"/>
              </w:rPr>
              <w:t>较重</w:t>
            </w:r>
          </w:p>
        </w:tc>
        <w:tc>
          <w:tcPr>
            <w:tcW w:w="8064" w:type="dxa"/>
            <w:vAlign w:val="top"/>
          </w:tcPr>
          <w:p>
            <w:pPr>
              <w:pStyle w:val="TableText"/>
              <w:ind w:left="111" w:right="13"/>
              <w:spacing w:before="171" w:line="272" w:lineRule="auto"/>
              <w:rPr/>
            </w:pPr>
            <w:r>
              <w:rPr/>
              <w:t>医疗机构购置、使用不合格或国家有关部门规定淘汰的放射诊疗设备，数量</w:t>
            </w:r>
            <w:r>
              <w:rPr>
                <w:spacing w:val="8"/>
              </w:rPr>
              <w:t xml:space="preserve"> </w:t>
            </w:r>
            <w:r>
              <w:rPr>
                <w:spacing w:val="4"/>
              </w:rPr>
              <w:t>为2件的</w:t>
            </w:r>
          </w:p>
        </w:tc>
        <w:tc>
          <w:tcPr>
            <w:tcW w:w="4531" w:type="dxa"/>
            <w:vAlign w:val="top"/>
          </w:tcPr>
          <w:p>
            <w:pPr>
              <w:pStyle w:val="TableText"/>
              <w:ind w:left="107" w:right="202" w:firstLine="109"/>
              <w:spacing w:before="180" w:line="266" w:lineRule="auto"/>
              <w:rPr/>
            </w:pPr>
            <w:r>
              <w:rPr>
                <w:spacing w:val="1"/>
              </w:rPr>
              <w:t>给予警告，责令限期改正；处3000元以 </w:t>
            </w:r>
            <w:r>
              <w:rPr/>
              <w:t>上7000元以下的罚款</w:t>
            </w:r>
          </w:p>
        </w:tc>
      </w:tr>
      <w:tr>
        <w:trPr>
          <w:trHeight w:val="778" w:hRule="atLeast"/>
        </w:trPr>
        <w:tc>
          <w:tcPr>
            <w:tcW w:w="1414" w:type="dxa"/>
            <w:vAlign w:val="top"/>
          </w:tcPr>
          <w:p>
            <w:pPr>
              <w:pStyle w:val="TableText"/>
              <w:ind w:left="454"/>
              <w:spacing w:before="275" w:line="220" w:lineRule="auto"/>
              <w:rPr/>
            </w:pPr>
            <w:r>
              <w:rPr>
                <w:color w:val="304040"/>
                <w:spacing w:val="5"/>
              </w:rPr>
              <w:t>严重</w:t>
            </w:r>
          </w:p>
        </w:tc>
        <w:tc>
          <w:tcPr>
            <w:tcW w:w="8064" w:type="dxa"/>
            <w:vAlign w:val="top"/>
          </w:tcPr>
          <w:p>
            <w:pPr>
              <w:pStyle w:val="TableText"/>
              <w:ind w:left="111" w:right="13"/>
              <w:spacing w:before="123" w:line="248" w:lineRule="auto"/>
              <w:rPr/>
            </w:pPr>
            <w:r>
              <w:rPr/>
              <w:t>医疗机构购置、使用不合格或国家有关部门规定淘汰的放射诊疗设备，数量</w:t>
            </w:r>
            <w:r>
              <w:rPr>
                <w:spacing w:val="8"/>
              </w:rPr>
              <w:t xml:space="preserve"> </w:t>
            </w:r>
            <w:r>
              <w:rPr>
                <w:spacing w:val="-9"/>
              </w:rPr>
              <w:t>为</w:t>
            </w:r>
            <w:r>
              <w:rPr>
                <w:spacing w:val="-36"/>
              </w:rPr>
              <w:t xml:space="preserve"> </w:t>
            </w:r>
            <w:r>
              <w:rPr>
                <w:spacing w:val="-9"/>
              </w:rPr>
              <w:t>3</w:t>
            </w:r>
            <w:r>
              <w:rPr>
                <w:spacing w:val="-41"/>
              </w:rPr>
              <w:t xml:space="preserve"> </w:t>
            </w:r>
            <w:r>
              <w:rPr>
                <w:spacing w:val="-9"/>
              </w:rPr>
              <w:t>件</w:t>
            </w:r>
            <w:r>
              <w:rPr>
                <w:spacing w:val="-21"/>
              </w:rPr>
              <w:t xml:space="preserve"> </w:t>
            </w:r>
            <w:r>
              <w:rPr>
                <w:spacing w:val="-9"/>
              </w:rPr>
              <w:t>的</w:t>
            </w:r>
          </w:p>
        </w:tc>
        <w:tc>
          <w:tcPr>
            <w:tcW w:w="4531" w:type="dxa"/>
            <w:vAlign w:val="top"/>
          </w:tcPr>
          <w:p>
            <w:pPr>
              <w:pStyle w:val="TableText"/>
              <w:ind w:left="117" w:right="202" w:firstLine="99"/>
              <w:spacing w:before="123" w:line="248" w:lineRule="auto"/>
              <w:rPr/>
            </w:pPr>
            <w:r>
              <w:rPr>
                <w:spacing w:val="1"/>
              </w:rPr>
              <w:t>给予警告，责令限期改正；处7000元以 </w:t>
            </w:r>
            <w:r>
              <w:rPr>
                <w:spacing w:val="1"/>
              </w:rPr>
              <w:t>上一万元以下的罚款</w:t>
            </w:r>
          </w:p>
        </w:tc>
      </w:tr>
      <w:tr>
        <w:trPr>
          <w:trHeight w:val="1711" w:hRule="atLeast"/>
        </w:trPr>
        <w:tc>
          <w:tcPr>
            <w:tcW w:w="1414" w:type="dxa"/>
            <w:vAlign w:val="top"/>
          </w:tcPr>
          <w:p>
            <w:pPr>
              <w:spacing w:line="332" w:lineRule="auto"/>
              <w:rPr>
                <w:rFonts w:ascii="Arial"/>
                <w:sz w:val="21"/>
              </w:rPr>
            </w:pPr>
            <w:r/>
          </w:p>
          <w:p>
            <w:pPr>
              <w:spacing w:line="332" w:lineRule="auto"/>
              <w:rPr>
                <w:rFonts w:ascii="Arial"/>
                <w:sz w:val="21"/>
              </w:rPr>
            </w:pPr>
            <w:r/>
          </w:p>
          <w:p>
            <w:pPr>
              <w:pStyle w:val="TableText"/>
              <w:ind w:left="214"/>
              <w:spacing w:before="78" w:line="219" w:lineRule="auto"/>
              <w:rPr/>
            </w:pPr>
            <w:r>
              <w:rPr>
                <w:spacing w:val="2"/>
              </w:rPr>
              <w:t>特别严重</w:t>
            </w:r>
          </w:p>
        </w:tc>
        <w:tc>
          <w:tcPr>
            <w:tcW w:w="8064" w:type="dxa"/>
            <w:vAlign w:val="top"/>
          </w:tcPr>
          <w:p>
            <w:pPr>
              <w:pStyle w:val="TableText"/>
              <w:ind w:left="111"/>
              <w:spacing w:before="77" w:line="220" w:lineRule="auto"/>
              <w:rPr/>
            </w:pPr>
            <w:r>
              <w:rPr>
                <w:spacing w:val="2"/>
              </w:rPr>
              <w:t>有下列情形之一的：</w:t>
            </w:r>
          </w:p>
          <w:p>
            <w:pPr>
              <w:pStyle w:val="TableText"/>
              <w:ind w:left="110" w:right="54" w:hanging="29"/>
              <w:spacing w:before="61" w:line="241" w:lineRule="auto"/>
              <w:rPr/>
            </w:pPr>
            <w:r>
              <w:rPr/>
              <w:t>A.医疗机构购置、使用不合格或国家有关部门规定淘汰的放射诊疗设</w:t>
            </w:r>
            <w:r>
              <w:rPr>
                <w:spacing w:val="-1"/>
              </w:rPr>
              <w:t>备，数</w:t>
            </w:r>
            <w:r>
              <w:rPr/>
              <w:t xml:space="preserve"> </w:t>
            </w:r>
            <w:r>
              <w:rPr>
                <w:spacing w:val="2"/>
              </w:rPr>
              <w:t>量为4件及以上的</w:t>
            </w:r>
          </w:p>
          <w:p>
            <w:pPr>
              <w:pStyle w:val="TableText"/>
              <w:ind w:left="110" w:right="36" w:hanging="9"/>
              <w:spacing w:before="53" w:line="229" w:lineRule="auto"/>
              <w:rPr/>
            </w:pPr>
            <w:r>
              <w:rPr/>
              <w:t>B.医疗机构购置、使用不合格或国家有关部门规定淘汰的放射诊</w:t>
            </w:r>
            <w:r>
              <w:rPr>
                <w:spacing w:val="-1"/>
              </w:rPr>
              <w:t>疗设备，造</w:t>
            </w:r>
            <w:r>
              <w:rPr/>
              <w:t xml:space="preserve"> </w:t>
            </w:r>
            <w:r>
              <w:rPr>
                <w:spacing w:val="2"/>
              </w:rPr>
              <w:t>成严重危害后果的</w:t>
            </w:r>
          </w:p>
        </w:tc>
        <w:tc>
          <w:tcPr>
            <w:tcW w:w="4531" w:type="dxa"/>
            <w:vAlign w:val="top"/>
          </w:tcPr>
          <w:p>
            <w:pPr>
              <w:spacing w:line="256" w:lineRule="auto"/>
              <w:rPr>
                <w:rFonts w:ascii="Arial"/>
                <w:sz w:val="21"/>
              </w:rPr>
            </w:pPr>
            <w:r/>
          </w:p>
          <w:p>
            <w:pPr>
              <w:spacing w:line="257" w:lineRule="auto"/>
              <w:rPr>
                <w:rFonts w:ascii="Arial"/>
                <w:sz w:val="21"/>
              </w:rPr>
            </w:pPr>
            <w:r/>
          </w:p>
          <w:p>
            <w:pPr>
              <w:pStyle w:val="TableText"/>
              <w:ind w:left="116" w:right="74" w:hanging="20"/>
              <w:spacing w:before="78" w:line="267" w:lineRule="auto"/>
              <w:rPr/>
            </w:pPr>
            <w:r>
              <w:rPr>
                <w:spacing w:val="1"/>
              </w:rPr>
              <w:t>给予警告，责令限期改正；处一万元的罚</w:t>
            </w:r>
            <w:r>
              <w:rPr>
                <w:spacing w:val="10"/>
              </w:rPr>
              <w:t xml:space="preserve"> </w:t>
            </w:r>
            <w:r>
              <w:rPr/>
              <w:t>款</w:t>
            </w:r>
          </w:p>
        </w:tc>
      </w:tr>
    </w:tbl>
    <w:p>
      <w:pPr>
        <w:pStyle w:val="BodyText"/>
        <w:rPr/>
      </w:pPr>
      <w:r/>
    </w:p>
    <w:p>
      <w:pPr>
        <w:sectPr>
          <w:footerReference w:type="default" r:id="rId575"/>
          <w:pgSz w:w="16830" w:h="11900"/>
          <w:pgMar w:top="1011" w:right="1375" w:bottom="1107" w:left="1434" w:header="0" w:footer="774" w:gutter="0"/>
        </w:sectPr>
        <w:rPr/>
      </w:pPr>
    </w:p>
    <w:p>
      <w:pPr>
        <w:pStyle w:val="BodyText"/>
        <w:spacing w:line="299" w:lineRule="auto"/>
        <w:rPr/>
      </w:pPr>
      <w:r/>
    </w:p>
    <w:p>
      <w:pPr>
        <w:pStyle w:val="BodyText"/>
        <w:spacing w:line="300" w:lineRule="auto"/>
        <w:rPr/>
      </w:pPr>
      <w:r/>
    </w:p>
    <w:p>
      <w:pPr>
        <w:pStyle w:val="BodyText"/>
        <w:spacing w:line="300" w:lineRule="auto"/>
        <w:rPr/>
      </w:pPr>
      <w:r/>
    </w:p>
    <w:p>
      <w:pPr>
        <w:pStyle w:val="BodyText"/>
        <w:spacing w:line="300" w:lineRule="auto"/>
        <w:rPr/>
      </w:pPr>
      <w:r/>
    </w:p>
    <w:p>
      <w:pPr>
        <w:ind w:left="669"/>
        <w:spacing w:before="104" w:line="220" w:lineRule="auto"/>
        <w:rPr>
          <w:rFonts w:ascii="FangSong" w:hAnsi="FangSong" w:eastAsia="FangSong" w:cs="FangSong"/>
          <w:sz w:val="32"/>
          <w:szCs w:val="32"/>
        </w:rPr>
      </w:pPr>
      <w:bookmarkStart w:name="bookmark1208" w:id="585"/>
      <w:bookmarkEnd w:id="585"/>
      <w:r>
        <w:rPr>
          <w:rFonts w:ascii="FangSong" w:hAnsi="FangSong" w:eastAsia="FangSong" w:cs="FangSong"/>
          <w:sz w:val="32"/>
          <w:szCs w:val="32"/>
          <w:b/>
          <w:bCs/>
          <w:spacing w:val="2"/>
        </w:rPr>
        <w:t>第五百五十二条医疗机构未按照规定使用安全防护装置和个人防护用品的</w:t>
      </w:r>
    </w:p>
    <w:p>
      <w:pPr>
        <w:ind w:left="654"/>
        <w:spacing w:before="125" w:line="222" w:lineRule="auto"/>
        <w:rPr>
          <w:rFonts w:ascii="FangSong" w:hAnsi="FangSong" w:eastAsia="FangSong" w:cs="FangSong"/>
          <w:sz w:val="28"/>
          <w:szCs w:val="28"/>
        </w:rPr>
      </w:pPr>
      <w:r>
        <w:rPr>
          <w:rFonts w:ascii="FangSong" w:hAnsi="FangSong" w:eastAsia="FangSong" w:cs="FangSong"/>
          <w:sz w:val="28"/>
          <w:szCs w:val="28"/>
          <w:spacing w:val="20"/>
        </w:rPr>
        <w:t>法律依据：</w:t>
      </w:r>
    </w:p>
    <w:p>
      <w:pPr>
        <w:ind w:left="15" w:right="124" w:firstLine="599"/>
        <w:spacing w:before="50" w:line="252" w:lineRule="auto"/>
        <w:rPr>
          <w:rFonts w:ascii="FangSong" w:hAnsi="FangSong" w:eastAsia="FangSong" w:cs="FangSong"/>
          <w:sz w:val="32"/>
          <w:szCs w:val="32"/>
        </w:rPr>
      </w:pPr>
      <w:r>
        <w:rPr>
          <w:rFonts w:ascii="FangSong" w:hAnsi="FangSong" w:eastAsia="FangSong" w:cs="FangSong"/>
          <w:sz w:val="32"/>
          <w:szCs w:val="32"/>
          <w:spacing w:val="4"/>
        </w:rPr>
        <w:t>《放射诊疗管理规定》第四十一条第(二)项</w:t>
      </w:r>
      <w:r>
        <w:rPr>
          <w:rFonts w:ascii="FangSong" w:hAnsi="FangSong" w:eastAsia="FangSong" w:cs="FangSong"/>
          <w:sz w:val="32"/>
          <w:szCs w:val="32"/>
          <w:spacing w:val="4"/>
        </w:rPr>
        <w:t xml:space="preserve">  </w:t>
      </w:r>
      <w:r>
        <w:rPr>
          <w:rFonts w:ascii="FangSong" w:hAnsi="FangSong" w:eastAsia="FangSong" w:cs="FangSong"/>
          <w:sz w:val="32"/>
          <w:szCs w:val="32"/>
          <w:spacing w:val="4"/>
        </w:rPr>
        <w:t>医疗机构违反本规定，有下列行为之一的，由县</w:t>
      </w:r>
      <w:r>
        <w:rPr>
          <w:rFonts w:ascii="FangSong" w:hAnsi="FangSong" w:eastAsia="FangSong" w:cs="FangSong"/>
          <w:sz w:val="32"/>
          <w:szCs w:val="32"/>
          <w:spacing w:val="7"/>
        </w:rPr>
        <w:t xml:space="preserve"> </w:t>
      </w:r>
      <w:r>
        <w:rPr>
          <w:rFonts w:ascii="FangSong" w:hAnsi="FangSong" w:eastAsia="FangSong" w:cs="FangSong"/>
          <w:sz w:val="32"/>
          <w:szCs w:val="32"/>
          <w:spacing w:val="-3"/>
        </w:rPr>
        <w:t>级以上卫生行政部门给予警告，责令限期改正；并可处一万元以下的罚款：</w:t>
      </w:r>
    </w:p>
    <w:p>
      <w:pPr>
        <w:ind w:left="774"/>
        <w:spacing w:line="222" w:lineRule="auto"/>
        <w:rPr>
          <w:rFonts w:ascii="FangSong" w:hAnsi="FangSong" w:eastAsia="FangSong" w:cs="FangSong"/>
          <w:sz w:val="32"/>
          <w:szCs w:val="32"/>
        </w:rPr>
      </w:pPr>
      <w:r>
        <w:rPr>
          <w:rFonts w:ascii="FangSong" w:hAnsi="FangSong" w:eastAsia="FangSong" w:cs="FangSong"/>
          <w:sz w:val="32"/>
          <w:szCs w:val="32"/>
          <w:spacing w:val="5"/>
        </w:rPr>
        <w:t>(二)未按照规定使用安全防护装置和个人</w:t>
      </w:r>
      <w:r>
        <w:rPr>
          <w:rFonts w:ascii="FangSong" w:hAnsi="FangSong" w:eastAsia="FangSong" w:cs="FangSong"/>
          <w:sz w:val="32"/>
          <w:szCs w:val="32"/>
          <w:spacing w:val="4"/>
        </w:rPr>
        <w:t>防护用品的；</w:t>
      </w:r>
    </w:p>
    <w:p>
      <w:pPr>
        <w:ind w:left="6419"/>
        <w:spacing w:before="233" w:line="202" w:lineRule="auto"/>
        <w:rPr>
          <w:rFonts w:ascii="SimSun" w:hAnsi="SimSun" w:eastAsia="SimSun" w:cs="SimSun"/>
          <w:sz w:val="28"/>
          <w:szCs w:val="28"/>
        </w:rPr>
      </w:pPr>
      <w:r>
        <w:rPr>
          <w:rFonts w:ascii="SimSun" w:hAnsi="SimSun" w:eastAsia="SimSun" w:cs="SimSun"/>
          <w:sz w:val="28"/>
          <w:szCs w:val="28"/>
          <w:b/>
          <w:bCs/>
          <w:spacing w:val="-6"/>
        </w:rPr>
        <w:t>裁量标准</w:t>
      </w:r>
    </w:p>
    <w:tbl>
      <w:tblPr>
        <w:tblStyle w:val="TableNormal"/>
        <w:tblW w:w="1402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93"/>
        <w:gridCol w:w="7974"/>
        <w:gridCol w:w="4262"/>
      </w:tblGrid>
      <w:tr>
        <w:trPr>
          <w:trHeight w:val="474" w:hRule="atLeast"/>
        </w:trPr>
        <w:tc>
          <w:tcPr>
            <w:tcW w:w="1793" w:type="dxa"/>
            <w:vAlign w:val="top"/>
          </w:tcPr>
          <w:p>
            <w:pPr>
              <w:pStyle w:val="TableText"/>
              <w:ind w:left="308"/>
              <w:spacing w:before="12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7974" w:type="dxa"/>
            <w:vAlign w:val="top"/>
          </w:tcPr>
          <w:p>
            <w:pPr>
              <w:pStyle w:val="TableText"/>
              <w:ind w:left="3415"/>
              <w:spacing w:before="122" w:line="220" w:lineRule="auto"/>
              <w:rPr/>
            </w:pPr>
            <w:r>
              <w:rPr>
                <w:b/>
                <w:bCs/>
                <w:spacing w:val="-5"/>
              </w:rPr>
              <w:t>情节后果</w:t>
            </w:r>
          </w:p>
        </w:tc>
        <w:tc>
          <w:tcPr>
            <w:tcW w:w="4262" w:type="dxa"/>
            <w:vAlign w:val="top"/>
          </w:tcPr>
          <w:p>
            <w:pPr>
              <w:pStyle w:val="TableText"/>
              <w:ind w:left="1551"/>
              <w:spacing w:before="11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709" w:hRule="atLeast"/>
        </w:trPr>
        <w:tc>
          <w:tcPr>
            <w:tcW w:w="1793" w:type="dxa"/>
            <w:vAlign w:val="top"/>
          </w:tcPr>
          <w:p>
            <w:pPr>
              <w:pStyle w:val="TableText"/>
              <w:ind w:left="648"/>
              <w:spacing w:before="238" w:line="221" w:lineRule="auto"/>
              <w:rPr/>
            </w:pPr>
            <w:r>
              <w:rPr>
                <w:b/>
                <w:bCs/>
                <w:spacing w:val="-10"/>
              </w:rPr>
              <w:t>一般</w:t>
            </w:r>
          </w:p>
        </w:tc>
        <w:tc>
          <w:tcPr>
            <w:tcW w:w="7974" w:type="dxa"/>
            <w:vAlign w:val="top"/>
          </w:tcPr>
          <w:p>
            <w:pPr>
              <w:pStyle w:val="TableText"/>
              <w:ind w:left="112" w:right="160"/>
              <w:spacing w:before="69" w:line="242" w:lineRule="auto"/>
              <w:rPr/>
            </w:pPr>
            <w:r>
              <w:rPr/>
              <w:t>医疗机构未按规定配备安全防护装置和个人防护用品，或配备使用的安全</w:t>
            </w:r>
            <w:r>
              <w:rPr>
                <w:spacing w:val="10"/>
              </w:rPr>
              <w:t xml:space="preserve"> </w:t>
            </w:r>
            <w:r>
              <w:rPr>
                <w:spacing w:val="1"/>
              </w:rPr>
              <w:t>防护装置和个人防护用品数量不足的</w:t>
            </w:r>
          </w:p>
        </w:tc>
        <w:tc>
          <w:tcPr>
            <w:tcW w:w="4262" w:type="dxa"/>
            <w:vAlign w:val="top"/>
          </w:tcPr>
          <w:p>
            <w:pPr>
              <w:pStyle w:val="TableText"/>
              <w:ind w:left="137" w:right="73" w:hanging="49"/>
              <w:spacing w:before="88" w:line="235" w:lineRule="auto"/>
              <w:rPr/>
            </w:pPr>
            <w:r>
              <w:rPr/>
              <w:t>给予警告，责令限期改正；可处3000元</w:t>
            </w:r>
            <w:r>
              <w:rPr>
                <w:spacing w:val="9"/>
              </w:rPr>
              <w:t xml:space="preserve"> </w:t>
            </w:r>
            <w:r>
              <w:rPr>
                <w:spacing w:val="2"/>
              </w:rPr>
              <w:t>以下的罚款</w:t>
            </w:r>
          </w:p>
        </w:tc>
      </w:tr>
      <w:tr>
        <w:trPr>
          <w:trHeight w:val="2016" w:hRule="atLeast"/>
        </w:trPr>
        <w:tc>
          <w:tcPr>
            <w:tcW w:w="1793" w:type="dxa"/>
            <w:vAlign w:val="top"/>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pStyle w:val="TableText"/>
              <w:ind w:left="648"/>
              <w:spacing w:before="78" w:line="221" w:lineRule="auto"/>
              <w:rPr/>
            </w:pPr>
            <w:r>
              <w:rPr>
                <w:b/>
                <w:bCs/>
                <w:spacing w:val="-5"/>
              </w:rPr>
              <w:t>较重</w:t>
            </w:r>
          </w:p>
        </w:tc>
        <w:tc>
          <w:tcPr>
            <w:tcW w:w="7974" w:type="dxa"/>
            <w:vAlign w:val="top"/>
          </w:tcPr>
          <w:p>
            <w:pPr>
              <w:pStyle w:val="TableText"/>
              <w:ind w:left="112"/>
              <w:spacing w:before="82" w:line="220" w:lineRule="auto"/>
              <w:rPr/>
            </w:pPr>
            <w:r>
              <w:rPr>
                <w:spacing w:val="2"/>
              </w:rPr>
              <w:t>有下列情形之一的：</w:t>
            </w:r>
          </w:p>
          <w:p>
            <w:pPr>
              <w:pStyle w:val="TableText"/>
              <w:ind w:left="112" w:right="293"/>
              <w:spacing w:before="31" w:line="241" w:lineRule="auto"/>
              <w:rPr/>
            </w:pPr>
            <w:r>
              <w:rPr/>
              <w:t>A.医疗机构未按照规定对受检者(不含孕妇、婴幼儿、少年儿童等</w:t>
            </w:r>
            <w:r>
              <w:rPr>
                <w:spacing w:val="-1"/>
              </w:rPr>
              <w:t>特殊人</w:t>
            </w:r>
            <w:r>
              <w:rPr/>
              <w:t xml:space="preserve"> </w:t>
            </w:r>
            <w:r>
              <w:rPr/>
              <w:t>群)使用安全防护装置和个人防护用品，未明显造成人体健康损害的</w:t>
            </w:r>
          </w:p>
          <w:p>
            <w:pPr>
              <w:pStyle w:val="TableText"/>
              <w:ind w:left="111" w:right="305" w:hanging="9"/>
              <w:spacing w:before="55" w:line="237" w:lineRule="auto"/>
              <w:rPr/>
            </w:pPr>
            <w:r>
              <w:rPr/>
              <w:t>B.医疗机构实施放射性药物给药和X射线照射操作时，无关人</w:t>
            </w:r>
            <w:r>
              <w:rPr>
                <w:spacing w:val="-1"/>
              </w:rPr>
              <w:t>员或陪检者</w:t>
            </w:r>
            <w:r>
              <w:rPr/>
              <w:t xml:space="preserve"> </w:t>
            </w:r>
            <w:r>
              <w:rPr/>
              <w:t>等(不含孕妇、婴幼儿、少年儿童等特殊人群)滞留电离辐射场所，未采</w:t>
            </w:r>
            <w:r>
              <w:rPr>
                <w:spacing w:val="9"/>
              </w:rPr>
              <w:t xml:space="preserve"> </w:t>
            </w:r>
            <w:r>
              <w:rPr>
                <w:spacing w:val="3"/>
              </w:rPr>
              <w:t>取防护措施的</w:t>
            </w:r>
          </w:p>
        </w:tc>
        <w:tc>
          <w:tcPr>
            <w:tcW w:w="4262" w:type="dxa"/>
            <w:vAlign w:val="top"/>
          </w:tcPr>
          <w:p>
            <w:pPr>
              <w:spacing w:line="328" w:lineRule="auto"/>
              <w:rPr>
                <w:rFonts w:ascii="Arial"/>
                <w:sz w:val="21"/>
              </w:rPr>
            </w:pPr>
            <w:r/>
          </w:p>
          <w:p>
            <w:pPr>
              <w:spacing w:line="329" w:lineRule="auto"/>
              <w:rPr>
                <w:rFonts w:ascii="Arial"/>
                <w:sz w:val="21"/>
              </w:rPr>
            </w:pPr>
            <w:r/>
          </w:p>
          <w:p>
            <w:pPr>
              <w:pStyle w:val="TableText"/>
              <w:ind w:left="137" w:right="73" w:hanging="49"/>
              <w:spacing w:before="78" w:line="266" w:lineRule="auto"/>
              <w:rPr/>
            </w:pPr>
            <w:r>
              <w:rPr/>
              <w:t>给予警告，责令限期改正；并处3000元</w:t>
            </w:r>
            <w:r>
              <w:rPr>
                <w:spacing w:val="9"/>
              </w:rPr>
              <w:t xml:space="preserve"> </w:t>
            </w:r>
            <w:r>
              <w:rPr/>
              <w:t>以上7000元以下的罚款</w:t>
            </w:r>
          </w:p>
        </w:tc>
      </w:tr>
      <w:tr>
        <w:trPr>
          <w:trHeight w:val="1711" w:hRule="atLeast"/>
        </w:trPr>
        <w:tc>
          <w:tcPr>
            <w:tcW w:w="1793" w:type="dxa"/>
            <w:vAlign w:val="top"/>
          </w:tcPr>
          <w:p>
            <w:pPr>
              <w:spacing w:line="330" w:lineRule="auto"/>
              <w:rPr>
                <w:rFonts w:ascii="Arial"/>
                <w:sz w:val="21"/>
              </w:rPr>
            </w:pPr>
            <w:r/>
          </w:p>
          <w:p>
            <w:pPr>
              <w:spacing w:line="331" w:lineRule="auto"/>
              <w:rPr>
                <w:rFonts w:ascii="Arial"/>
                <w:sz w:val="21"/>
              </w:rPr>
            </w:pPr>
            <w:r/>
          </w:p>
          <w:p>
            <w:pPr>
              <w:pStyle w:val="TableText"/>
              <w:ind w:left="648"/>
              <w:spacing w:before="78" w:line="220" w:lineRule="auto"/>
              <w:rPr/>
            </w:pPr>
            <w:r>
              <w:rPr>
                <w:b/>
                <w:bCs/>
                <w:spacing w:val="-6"/>
              </w:rPr>
              <w:t>严重</w:t>
            </w:r>
          </w:p>
        </w:tc>
        <w:tc>
          <w:tcPr>
            <w:tcW w:w="7974" w:type="dxa"/>
            <w:vAlign w:val="top"/>
          </w:tcPr>
          <w:p>
            <w:pPr>
              <w:pStyle w:val="TableText"/>
              <w:ind w:left="112"/>
              <w:spacing w:before="66" w:line="220" w:lineRule="auto"/>
              <w:rPr/>
            </w:pPr>
            <w:r>
              <w:rPr>
                <w:spacing w:val="2"/>
              </w:rPr>
              <w:t>有下列情形之一的：</w:t>
            </w:r>
          </w:p>
          <w:p>
            <w:pPr>
              <w:pStyle w:val="TableText"/>
              <w:ind w:left="112" w:right="173"/>
              <w:spacing w:before="71" w:line="241" w:lineRule="auto"/>
              <w:rPr/>
            </w:pPr>
            <w:r>
              <w:rPr/>
              <w:t>A.医疗机构未按照规定对孕妇、婴幼儿、少年儿童等特殊人群受检</w:t>
            </w:r>
            <w:r>
              <w:rPr>
                <w:spacing w:val="-1"/>
              </w:rPr>
              <w:t>者或陪</w:t>
            </w:r>
            <w:r>
              <w:rPr/>
              <w:t xml:space="preserve"> </w:t>
            </w:r>
            <w:r>
              <w:rPr/>
              <w:t>检者使用安全防护装置和个人防护用品，未明显造成人体健康损害的</w:t>
            </w:r>
          </w:p>
          <w:p>
            <w:pPr>
              <w:pStyle w:val="TableText"/>
              <w:ind w:left="111" w:right="281" w:hanging="9"/>
              <w:spacing w:before="65" w:line="225" w:lineRule="auto"/>
              <w:rPr/>
            </w:pPr>
            <w:r>
              <w:rPr>
                <w:spacing w:val="1"/>
              </w:rPr>
              <w:t>B.医疗机构实施放射性药物给药和X射线</w:t>
            </w:r>
            <w:r>
              <w:rPr/>
              <w:t>照射操作时，孕妇、婴幼儿、少 </w:t>
            </w:r>
            <w:r>
              <w:rPr/>
              <w:t>年儿童等特殊人群滞留电离辐射场所，未采取防护措施的</w:t>
            </w:r>
          </w:p>
        </w:tc>
        <w:tc>
          <w:tcPr>
            <w:tcW w:w="4262" w:type="dxa"/>
            <w:vAlign w:val="top"/>
          </w:tcPr>
          <w:p>
            <w:pPr>
              <w:spacing w:line="261" w:lineRule="auto"/>
              <w:rPr>
                <w:rFonts w:ascii="Arial"/>
                <w:sz w:val="21"/>
              </w:rPr>
            </w:pPr>
            <w:r/>
          </w:p>
          <w:p>
            <w:pPr>
              <w:spacing w:line="261" w:lineRule="auto"/>
              <w:rPr>
                <w:rFonts w:ascii="Arial"/>
                <w:sz w:val="21"/>
              </w:rPr>
            </w:pPr>
            <w:r/>
          </w:p>
          <w:p>
            <w:pPr>
              <w:pStyle w:val="TableText"/>
              <w:ind w:left="128" w:right="73" w:hanging="40"/>
              <w:spacing w:before="78" w:line="266" w:lineRule="auto"/>
              <w:rPr/>
            </w:pPr>
            <w:r>
              <w:rPr/>
              <w:t>给予警告，责令限期改正；并处7000元</w:t>
            </w:r>
            <w:r>
              <w:rPr>
                <w:spacing w:val="9"/>
              </w:rPr>
              <w:t xml:space="preserve"> </w:t>
            </w:r>
            <w:r>
              <w:rPr>
                <w:spacing w:val="1"/>
              </w:rPr>
              <w:t>以上一万元以下的罚款</w:t>
            </w:r>
          </w:p>
        </w:tc>
      </w:tr>
    </w:tbl>
    <w:p>
      <w:pPr>
        <w:pStyle w:val="BodyText"/>
        <w:rPr/>
      </w:pPr>
      <w:r/>
    </w:p>
    <w:p>
      <w:pPr>
        <w:sectPr>
          <w:footerReference w:type="default" r:id="rId576"/>
          <w:pgSz w:w="16830" w:h="11900"/>
          <w:pgMar w:top="1011" w:right="1355" w:bottom="1093" w:left="1434" w:header="0" w:footer="804" w:gutter="0"/>
        </w:sectPr>
        <w:rPr/>
      </w:pPr>
    </w:p>
    <w:p>
      <w:pPr>
        <w:spacing w:before="20"/>
        <w:rPr/>
      </w:pPr>
      <w:r/>
    </w:p>
    <w:p>
      <w:pPr>
        <w:spacing w:before="20"/>
        <w:rPr/>
      </w:pPr>
      <w:r/>
    </w:p>
    <w:p>
      <w:pPr>
        <w:spacing w:before="19"/>
        <w:rPr/>
      </w:pPr>
      <w:r/>
    </w:p>
    <w:tbl>
      <w:tblPr>
        <w:tblStyle w:val="TableNormal"/>
        <w:tblW w:w="1404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94"/>
        <w:gridCol w:w="7974"/>
        <w:gridCol w:w="4272"/>
      </w:tblGrid>
      <w:tr>
        <w:trPr>
          <w:trHeight w:val="929" w:hRule="atLeast"/>
        </w:trPr>
        <w:tc>
          <w:tcPr>
            <w:tcW w:w="1794" w:type="dxa"/>
            <w:vAlign w:val="top"/>
          </w:tcPr>
          <w:p>
            <w:pPr>
              <w:spacing w:line="271" w:lineRule="auto"/>
              <w:rPr>
                <w:rFonts w:ascii="Arial"/>
                <w:sz w:val="21"/>
              </w:rPr>
            </w:pPr>
            <w:r/>
          </w:p>
          <w:p>
            <w:pPr>
              <w:pStyle w:val="TableText"/>
              <w:ind w:left="398"/>
              <w:spacing w:before="78" w:line="219" w:lineRule="auto"/>
              <w:rPr/>
            </w:pPr>
            <w:bookmarkStart w:name="bookmark1209" w:id="586"/>
            <w:bookmarkEnd w:id="586"/>
            <w:r>
              <w:rPr>
                <w:b/>
                <w:bCs/>
                <w:spacing w:val="-5"/>
              </w:rPr>
              <w:t>特别严重</w:t>
            </w:r>
          </w:p>
        </w:tc>
        <w:tc>
          <w:tcPr>
            <w:tcW w:w="7974" w:type="dxa"/>
            <w:vAlign w:val="top"/>
          </w:tcPr>
          <w:p>
            <w:pPr>
              <w:pStyle w:val="TableText"/>
              <w:ind w:left="111" w:right="642"/>
              <w:spacing w:before="184" w:line="264" w:lineRule="auto"/>
              <w:rPr/>
            </w:pPr>
            <w:r>
              <w:rPr/>
              <w:t>医疗机构未按照规定使用安全防护装置和个人防护用品，明显造成人</w:t>
            </w:r>
            <w:r>
              <w:rPr>
                <w:spacing w:val="9"/>
              </w:rPr>
              <w:t xml:space="preserve"> </w:t>
            </w:r>
            <w:r>
              <w:rPr>
                <w:spacing w:val="1"/>
              </w:rPr>
              <w:t>体健康损害或造成其他严重后果的</w:t>
            </w:r>
          </w:p>
        </w:tc>
        <w:tc>
          <w:tcPr>
            <w:tcW w:w="4272" w:type="dxa"/>
            <w:vAlign w:val="top"/>
          </w:tcPr>
          <w:p>
            <w:pPr>
              <w:pStyle w:val="TableText"/>
              <w:ind w:left="116" w:right="54"/>
              <w:spacing w:before="193" w:line="279" w:lineRule="auto"/>
              <w:rPr/>
            </w:pPr>
            <w:r>
              <w:rPr/>
              <w:t>给予警告，责令限期改正；并处一万元</w:t>
            </w:r>
            <w:r>
              <w:rPr>
                <w:spacing w:val="9"/>
              </w:rPr>
              <w:t xml:space="preserve"> </w:t>
            </w:r>
            <w:r>
              <w:rPr>
                <w:spacing w:val="3"/>
              </w:rPr>
              <w:t>的罚款</w:t>
            </w:r>
          </w:p>
        </w:tc>
      </w:tr>
    </w:tbl>
    <w:p>
      <w:pPr>
        <w:ind w:left="9" w:right="143" w:firstLine="649"/>
        <w:spacing w:before="101" w:line="275" w:lineRule="auto"/>
        <w:rPr>
          <w:rFonts w:ascii="KaiTi" w:hAnsi="KaiTi" w:eastAsia="KaiTi" w:cs="KaiTi"/>
          <w:sz w:val="30"/>
          <w:szCs w:val="30"/>
        </w:rPr>
      </w:pPr>
      <w:r>
        <w:rPr>
          <w:rFonts w:ascii="KaiTi" w:hAnsi="KaiTi" w:eastAsia="KaiTi" w:cs="KaiTi"/>
          <w:sz w:val="30"/>
          <w:szCs w:val="30"/>
          <w:b/>
          <w:bCs/>
          <w:spacing w:val="20"/>
        </w:rPr>
        <w:t>第五百五十三条医疗机构新安装、维修或更换重要部件后的放射诊疗设备，未经省级以</w:t>
      </w:r>
      <w:r>
        <w:rPr>
          <w:rFonts w:ascii="KaiTi" w:hAnsi="KaiTi" w:eastAsia="KaiTi" w:cs="KaiTi"/>
          <w:sz w:val="30"/>
          <w:szCs w:val="30"/>
          <w:b/>
          <w:bCs/>
          <w:spacing w:val="19"/>
        </w:rPr>
        <w:t>上卫生</w:t>
      </w:r>
      <w:r>
        <w:rPr>
          <w:rFonts w:ascii="KaiTi" w:hAnsi="KaiTi" w:eastAsia="KaiTi" w:cs="KaiTi"/>
          <w:sz w:val="30"/>
          <w:szCs w:val="30"/>
        </w:rPr>
        <w:t xml:space="preserve"> </w:t>
      </w:r>
      <w:r>
        <w:rPr>
          <w:rFonts w:ascii="KaiTi" w:hAnsi="KaiTi" w:eastAsia="KaiTi" w:cs="KaiTi"/>
          <w:sz w:val="30"/>
          <w:szCs w:val="30"/>
          <w:b/>
          <w:bCs/>
          <w:spacing w:val="16"/>
        </w:rPr>
        <w:t>行政部门资质认证的检测机构对其进行检测投入使用的</w:t>
      </w:r>
    </w:p>
    <w:p>
      <w:pPr>
        <w:ind w:left="654"/>
        <w:spacing w:before="2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5" w:right="195" w:firstLine="649"/>
        <w:spacing w:before="66" w:line="270" w:lineRule="auto"/>
        <w:rPr>
          <w:rFonts w:ascii="FangSong" w:hAnsi="FangSong" w:eastAsia="FangSong" w:cs="FangSong"/>
          <w:sz w:val="30"/>
          <w:szCs w:val="30"/>
        </w:rPr>
      </w:pPr>
      <w:r>
        <w:rPr>
          <w:rFonts w:ascii="FangSong" w:hAnsi="FangSong" w:eastAsia="FangSong" w:cs="FangSong"/>
          <w:sz w:val="30"/>
          <w:szCs w:val="30"/>
          <w:spacing w:val="20"/>
        </w:rPr>
        <w:t>1.</w:t>
      </w:r>
      <w:r>
        <w:rPr>
          <w:rFonts w:ascii="FangSong" w:hAnsi="FangSong" w:eastAsia="FangSong" w:cs="FangSong"/>
          <w:sz w:val="30"/>
          <w:szCs w:val="30"/>
          <w:spacing w:val="20"/>
        </w:rPr>
        <w:t xml:space="preserve"> </w:t>
      </w:r>
      <w:r>
        <w:rPr>
          <w:rFonts w:ascii="FangSong" w:hAnsi="FangSong" w:eastAsia="FangSong" w:cs="FangSong"/>
          <w:sz w:val="30"/>
          <w:szCs w:val="30"/>
          <w:spacing w:val="20"/>
        </w:rPr>
        <w:t>《放射诊疗管理规定》第四十一条第(三)项</w:t>
      </w:r>
      <w:r>
        <w:rPr>
          <w:rFonts w:ascii="FangSong" w:hAnsi="FangSong" w:eastAsia="FangSong" w:cs="FangSong"/>
          <w:sz w:val="30"/>
          <w:szCs w:val="30"/>
          <w:spacing w:val="20"/>
        </w:rPr>
        <w:t xml:space="preserve">   </w:t>
      </w:r>
      <w:r>
        <w:rPr>
          <w:rFonts w:ascii="FangSong" w:hAnsi="FangSong" w:eastAsia="FangSong" w:cs="FangSong"/>
          <w:sz w:val="30"/>
          <w:szCs w:val="30"/>
          <w:spacing w:val="20"/>
        </w:rPr>
        <w:t>医疗机构违反本规定，有下列行为之一</w:t>
      </w:r>
      <w:r>
        <w:rPr>
          <w:rFonts w:ascii="FangSong" w:hAnsi="FangSong" w:eastAsia="FangSong" w:cs="FangSong"/>
          <w:sz w:val="30"/>
          <w:szCs w:val="30"/>
          <w:spacing w:val="19"/>
        </w:rPr>
        <w:t>的，</w:t>
      </w:r>
      <w:r>
        <w:rPr>
          <w:rFonts w:ascii="FangSong" w:hAnsi="FangSong" w:eastAsia="FangSong" w:cs="FangSong"/>
          <w:sz w:val="30"/>
          <w:szCs w:val="30"/>
        </w:rPr>
        <w:t xml:space="preserve"> </w:t>
      </w:r>
      <w:r>
        <w:rPr>
          <w:rFonts w:ascii="FangSong" w:hAnsi="FangSong" w:eastAsia="FangSong" w:cs="FangSong"/>
          <w:sz w:val="30"/>
          <w:szCs w:val="30"/>
          <w:spacing w:val="17"/>
        </w:rPr>
        <w:t>由县级以上卫生行政部门给予警告，责令限期改正；并可处一万元以下的罚款：</w:t>
      </w:r>
    </w:p>
    <w:p>
      <w:pPr>
        <w:ind w:left="774"/>
        <w:spacing w:before="1" w:line="220" w:lineRule="auto"/>
        <w:rPr>
          <w:rFonts w:ascii="FangSong" w:hAnsi="FangSong" w:eastAsia="FangSong" w:cs="FangSong"/>
          <w:sz w:val="30"/>
          <w:szCs w:val="30"/>
        </w:rPr>
      </w:pPr>
      <w:r>
        <w:rPr>
          <w:rFonts w:ascii="FangSong" w:hAnsi="FangSong" w:eastAsia="FangSong" w:cs="FangSong"/>
          <w:sz w:val="30"/>
          <w:szCs w:val="30"/>
          <w:spacing w:val="22"/>
        </w:rPr>
        <w:t>(三)未按照规定对放射诊疗设备、工作场所及防护设施进行检测和检查的；</w:t>
      </w:r>
    </w:p>
    <w:p>
      <w:pPr>
        <w:ind w:left="5" w:right="147" w:firstLine="649"/>
        <w:spacing w:before="71" w:line="274" w:lineRule="auto"/>
        <w:rPr>
          <w:rFonts w:ascii="FangSong" w:hAnsi="FangSong" w:eastAsia="FangSong" w:cs="FangSong"/>
          <w:sz w:val="30"/>
          <w:szCs w:val="30"/>
        </w:rPr>
      </w:pPr>
      <w:r>
        <w:rPr>
          <w:rFonts w:ascii="FangSong" w:hAnsi="FangSong" w:eastAsia="FangSong" w:cs="FangSong"/>
          <w:sz w:val="30"/>
          <w:szCs w:val="30"/>
          <w:spacing w:val="24"/>
        </w:rPr>
        <w:t>2.</w:t>
      </w:r>
      <w:r>
        <w:rPr>
          <w:rFonts w:ascii="FangSong" w:hAnsi="FangSong" w:eastAsia="FangSong" w:cs="FangSong"/>
          <w:sz w:val="30"/>
          <w:szCs w:val="30"/>
          <w:spacing w:val="24"/>
        </w:rPr>
        <w:t xml:space="preserve"> </w:t>
      </w:r>
      <w:r>
        <w:rPr>
          <w:rFonts w:ascii="FangSong" w:hAnsi="FangSong" w:eastAsia="FangSong" w:cs="FangSong"/>
          <w:sz w:val="30"/>
          <w:szCs w:val="30"/>
          <w:spacing w:val="24"/>
        </w:rPr>
        <w:t>《放射诊疗管理规定》第二十条第(一)项</w:t>
      </w:r>
      <w:r>
        <w:rPr>
          <w:rFonts w:ascii="FangSong" w:hAnsi="FangSong" w:eastAsia="FangSong" w:cs="FangSong"/>
          <w:sz w:val="30"/>
          <w:szCs w:val="30"/>
          <w:spacing w:val="54"/>
        </w:rPr>
        <w:t xml:space="preserve">  </w:t>
      </w:r>
      <w:r>
        <w:rPr>
          <w:rFonts w:ascii="FangSong" w:hAnsi="FangSong" w:eastAsia="FangSong" w:cs="FangSong"/>
          <w:sz w:val="30"/>
          <w:szCs w:val="30"/>
          <w:spacing w:val="23"/>
        </w:rPr>
        <w:t>医疗机构的放射诊疗设备和检测仪表，应当符</w:t>
      </w:r>
      <w:r>
        <w:rPr>
          <w:rFonts w:ascii="FangSong" w:hAnsi="FangSong" w:eastAsia="FangSong" w:cs="FangSong"/>
          <w:sz w:val="30"/>
          <w:szCs w:val="30"/>
        </w:rPr>
        <w:t xml:space="preserve"> </w:t>
      </w:r>
      <w:r>
        <w:rPr>
          <w:rFonts w:ascii="FangSong" w:hAnsi="FangSong" w:eastAsia="FangSong" w:cs="FangSong"/>
          <w:sz w:val="30"/>
          <w:szCs w:val="30"/>
          <w:spacing w:val="5"/>
        </w:rPr>
        <w:t>合下列要求：</w:t>
      </w:r>
    </w:p>
    <w:p>
      <w:pPr>
        <w:ind w:left="5" w:right="86" w:firstLine="769"/>
        <w:spacing w:before="2" w:line="264" w:lineRule="auto"/>
        <w:rPr>
          <w:rFonts w:ascii="FangSong" w:hAnsi="FangSong" w:eastAsia="FangSong" w:cs="FangSong"/>
          <w:sz w:val="30"/>
          <w:szCs w:val="30"/>
        </w:rPr>
      </w:pPr>
      <w:r>
        <w:rPr>
          <w:rFonts w:ascii="FangSong" w:hAnsi="FangSong" w:eastAsia="FangSong" w:cs="FangSong"/>
          <w:sz w:val="30"/>
          <w:szCs w:val="30"/>
          <w:spacing w:val="21"/>
        </w:rPr>
        <w:t>(一)新安装、维修或更换重要部件后的设备，应当经省级以上卫生行政部门资质认证的检测机</w:t>
      </w:r>
      <w:r>
        <w:rPr>
          <w:rFonts w:ascii="FangSong" w:hAnsi="FangSong" w:eastAsia="FangSong" w:cs="FangSong"/>
          <w:sz w:val="30"/>
          <w:szCs w:val="30"/>
          <w:spacing w:val="5"/>
        </w:rPr>
        <w:t xml:space="preserve"> </w:t>
      </w:r>
      <w:r>
        <w:rPr>
          <w:rFonts w:ascii="FangSong" w:hAnsi="FangSong" w:eastAsia="FangSong" w:cs="FangSong"/>
          <w:sz w:val="30"/>
          <w:szCs w:val="30"/>
          <w:spacing w:val="14"/>
        </w:rPr>
        <w:t>构对其进行检测，合格后方可启用；</w:t>
      </w:r>
    </w:p>
    <w:p>
      <w:pPr>
        <w:ind w:left="6419"/>
        <w:spacing w:before="16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5" w:lineRule="auto"/>
        <w:rPr>
          <w:rFonts w:ascii="Arial"/>
          <w:sz w:val="2"/>
        </w:rPr>
      </w:pPr>
      <w:r>
        <w:rPr>
          <w:rFonts w:ascii="Arial"/>
          <w:sz w:val="2"/>
        </w:rPr>
      </w:r>
    </w:p>
    <w:tbl>
      <w:tblPr>
        <w:tblStyle w:val="TableNormal"/>
        <w:tblW w:w="1400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8513"/>
        <w:gridCol w:w="4082"/>
      </w:tblGrid>
      <w:tr>
        <w:trPr>
          <w:trHeight w:val="552" w:hRule="atLeast"/>
        </w:trPr>
        <w:tc>
          <w:tcPr>
            <w:tcW w:w="1414" w:type="dxa"/>
            <w:vAlign w:val="top"/>
          </w:tcPr>
          <w:p>
            <w:pPr>
              <w:pStyle w:val="TableText"/>
              <w:ind w:left="198"/>
              <w:spacing w:before="152" w:line="220" w:lineRule="auto"/>
              <w:rPr>
                <w:sz w:val="25"/>
                <w:szCs w:val="25"/>
              </w:rPr>
            </w:pPr>
            <w:r>
              <w:rPr>
                <w:sz w:val="25"/>
                <w:szCs w:val="25"/>
                <w:b/>
                <w:bCs/>
                <w:spacing w:val="-5"/>
              </w:rPr>
              <w:t>违法程度</w:t>
            </w:r>
          </w:p>
        </w:tc>
        <w:tc>
          <w:tcPr>
            <w:tcW w:w="8513" w:type="dxa"/>
            <w:vAlign w:val="top"/>
          </w:tcPr>
          <w:p>
            <w:pPr>
              <w:pStyle w:val="TableText"/>
              <w:ind w:left="3754"/>
              <w:spacing w:before="152" w:line="220" w:lineRule="auto"/>
              <w:rPr>
                <w:sz w:val="25"/>
                <w:szCs w:val="25"/>
              </w:rPr>
            </w:pPr>
            <w:r>
              <w:rPr>
                <w:sz w:val="25"/>
                <w:szCs w:val="25"/>
                <w:b/>
                <w:bCs/>
                <w:spacing w:val="-5"/>
              </w:rPr>
              <w:t>情节后果</w:t>
            </w:r>
          </w:p>
        </w:tc>
        <w:tc>
          <w:tcPr>
            <w:tcW w:w="4082" w:type="dxa"/>
            <w:vAlign w:val="top"/>
          </w:tcPr>
          <w:p>
            <w:pPr>
              <w:pStyle w:val="TableText"/>
              <w:ind w:left="1541"/>
              <w:spacing w:before="149" w:line="218" w:lineRule="auto"/>
              <w:rPr>
                <w:sz w:val="25"/>
                <w:szCs w:val="25"/>
              </w:rPr>
            </w:pPr>
            <w:r>
              <w:rPr>
                <w:sz w:val="25"/>
                <w:szCs w:val="25"/>
                <w:b/>
                <w:bCs/>
                <w:spacing w:val="-5"/>
              </w:rPr>
              <w:t>裁量幅度</w:t>
            </w:r>
          </w:p>
        </w:tc>
      </w:tr>
      <w:tr>
        <w:trPr>
          <w:trHeight w:val="1678" w:hRule="atLeast"/>
        </w:trPr>
        <w:tc>
          <w:tcPr>
            <w:tcW w:w="1414" w:type="dxa"/>
            <w:vAlign w:val="top"/>
          </w:tcPr>
          <w:p>
            <w:pPr>
              <w:spacing w:line="317" w:lineRule="auto"/>
              <w:rPr>
                <w:rFonts w:ascii="Arial"/>
                <w:sz w:val="21"/>
              </w:rPr>
            </w:pPr>
            <w:r/>
          </w:p>
          <w:p>
            <w:pPr>
              <w:spacing w:line="318" w:lineRule="auto"/>
              <w:rPr>
                <w:rFonts w:ascii="Arial"/>
                <w:sz w:val="21"/>
              </w:rPr>
            </w:pPr>
            <w:r/>
          </w:p>
          <w:p>
            <w:pPr>
              <w:pStyle w:val="TableText"/>
              <w:ind w:left="448"/>
              <w:spacing w:before="82" w:line="221" w:lineRule="auto"/>
              <w:rPr>
                <w:sz w:val="25"/>
                <w:szCs w:val="25"/>
              </w:rPr>
            </w:pPr>
            <w:r>
              <w:rPr>
                <w:sz w:val="25"/>
                <w:szCs w:val="25"/>
                <w:b/>
                <w:bCs/>
                <w:spacing w:val="-10"/>
              </w:rPr>
              <w:t>一般</w:t>
            </w:r>
          </w:p>
        </w:tc>
        <w:tc>
          <w:tcPr>
            <w:tcW w:w="8513" w:type="dxa"/>
            <w:vAlign w:val="top"/>
          </w:tcPr>
          <w:p>
            <w:pPr>
              <w:pStyle w:val="TableText"/>
              <w:ind w:left="114"/>
              <w:spacing w:before="60" w:line="220" w:lineRule="auto"/>
              <w:rPr>
                <w:sz w:val="25"/>
                <w:szCs w:val="25"/>
              </w:rPr>
            </w:pPr>
            <w:r>
              <w:rPr>
                <w:sz w:val="25"/>
                <w:szCs w:val="25"/>
                <w:b/>
                <w:bCs/>
                <w:spacing w:val="-2"/>
              </w:rPr>
              <w:t>有下列情形之一的：</w:t>
            </w:r>
          </w:p>
          <w:p>
            <w:pPr>
              <w:pStyle w:val="TableText"/>
              <w:ind w:left="183" w:hanging="169"/>
              <w:spacing w:before="39" w:line="235" w:lineRule="auto"/>
              <w:rPr>
                <w:sz w:val="25"/>
                <w:szCs w:val="25"/>
              </w:rPr>
            </w:pPr>
            <w:r>
              <w:rPr>
                <w:sz w:val="25"/>
                <w:szCs w:val="25"/>
                <w:b/>
                <w:bCs/>
                <w:spacing w:val="-3"/>
              </w:rPr>
              <w:t>A.医疗机构新安装、维修或更换重要部件后的放射诊疗设备未经省级以上卫生</w:t>
            </w:r>
            <w:r>
              <w:rPr>
                <w:sz w:val="25"/>
                <w:szCs w:val="25"/>
              </w:rPr>
              <w:t xml:space="preserve"> </w:t>
            </w:r>
            <w:r>
              <w:rPr>
                <w:sz w:val="25"/>
                <w:szCs w:val="25"/>
                <w:b/>
                <w:bCs/>
                <w:spacing w:val="-2"/>
              </w:rPr>
              <w:t>行政部门资质认证的检测机构对其进行检测</w:t>
            </w:r>
            <w:r>
              <w:rPr>
                <w:sz w:val="25"/>
                <w:szCs w:val="25"/>
                <w:b/>
                <w:bCs/>
                <w:spacing w:val="-3"/>
              </w:rPr>
              <w:t>即启用，设备数目为1件(套)的</w:t>
            </w:r>
          </w:p>
          <w:p>
            <w:pPr>
              <w:pStyle w:val="TableText"/>
              <w:ind w:left="113" w:hanging="99"/>
              <w:spacing w:before="42" w:line="218" w:lineRule="auto"/>
              <w:rPr>
                <w:sz w:val="25"/>
                <w:szCs w:val="25"/>
              </w:rPr>
            </w:pPr>
            <w:r>
              <w:rPr>
                <w:sz w:val="25"/>
                <w:szCs w:val="25"/>
                <w:b/>
                <w:bCs/>
                <w:spacing w:val="-3"/>
              </w:rPr>
              <w:t>B.医疗机构新安装、维修或更换重要部件后的放射诊疗设备未经省级以上卫生</w:t>
            </w:r>
            <w:r>
              <w:rPr>
                <w:sz w:val="25"/>
                <w:szCs w:val="25"/>
              </w:rPr>
              <w:t xml:space="preserve"> </w:t>
            </w:r>
            <w:r>
              <w:rPr>
                <w:sz w:val="25"/>
                <w:szCs w:val="25"/>
                <w:b/>
                <w:bCs/>
                <w:spacing w:val="-3"/>
              </w:rPr>
              <w:t>行政部门资质认证的检测机构对其进行检测即启用六个月以内的</w:t>
            </w:r>
          </w:p>
        </w:tc>
        <w:tc>
          <w:tcPr>
            <w:tcW w:w="4082" w:type="dxa"/>
            <w:vAlign w:val="top"/>
          </w:tcPr>
          <w:p>
            <w:pPr>
              <w:spacing w:line="392" w:lineRule="auto"/>
              <w:rPr>
                <w:rFonts w:ascii="Arial"/>
                <w:sz w:val="21"/>
              </w:rPr>
            </w:pPr>
            <w:r/>
          </w:p>
          <w:p>
            <w:pPr>
              <w:pStyle w:val="TableText"/>
              <w:ind w:left="111" w:right="41" w:hanging="70"/>
              <w:spacing w:before="82" w:line="256" w:lineRule="auto"/>
              <w:rPr>
                <w:sz w:val="25"/>
                <w:szCs w:val="25"/>
              </w:rPr>
            </w:pPr>
            <w:r>
              <w:rPr>
                <w:sz w:val="25"/>
                <w:szCs w:val="25"/>
                <w:b/>
                <w:bCs/>
                <w:spacing w:val="-4"/>
              </w:rPr>
              <w:t>给予警告，责令限期改正；并处3000</w:t>
            </w:r>
            <w:r>
              <w:rPr>
                <w:sz w:val="25"/>
                <w:szCs w:val="25"/>
                <w:spacing w:val="13"/>
              </w:rPr>
              <w:t xml:space="preserve"> </w:t>
            </w:r>
            <w:r>
              <w:rPr>
                <w:sz w:val="25"/>
                <w:szCs w:val="25"/>
                <w:b/>
                <w:bCs/>
                <w:spacing w:val="-5"/>
              </w:rPr>
              <w:t>元以下的罚款</w:t>
            </w:r>
          </w:p>
        </w:tc>
      </w:tr>
    </w:tbl>
    <w:p>
      <w:pPr>
        <w:pStyle w:val="BodyText"/>
        <w:rPr/>
      </w:pPr>
      <w:r/>
    </w:p>
    <w:p>
      <w:pPr>
        <w:sectPr>
          <w:footerReference w:type="default" r:id="rId577"/>
          <w:pgSz w:w="16830" w:h="11900"/>
          <w:pgMar w:top="1011" w:right="1344" w:bottom="1124" w:left="1434" w:header="0" w:footer="782" w:gutter="0"/>
        </w:sectPr>
        <w:rPr/>
      </w:pPr>
    </w:p>
    <w:p>
      <w:pPr>
        <w:spacing w:before="17"/>
        <w:rPr/>
      </w:pPr>
      <w:r/>
    </w:p>
    <w:p>
      <w:pPr>
        <w:spacing w:before="16"/>
        <w:rPr/>
      </w:pPr>
      <w:r/>
    </w:p>
    <w:p>
      <w:pPr>
        <w:spacing w:before="16"/>
        <w:rPr/>
      </w:pPr>
      <w:r/>
    </w:p>
    <w:tbl>
      <w:tblPr>
        <w:tblStyle w:val="TableNormal"/>
        <w:tblW w:w="140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8534"/>
        <w:gridCol w:w="4072"/>
      </w:tblGrid>
      <w:tr>
        <w:trPr>
          <w:trHeight w:val="1702" w:hRule="atLeast"/>
        </w:trPr>
        <w:tc>
          <w:tcPr>
            <w:tcW w:w="1404" w:type="dxa"/>
            <w:vAlign w:val="top"/>
          </w:tcPr>
          <w:p>
            <w:pPr>
              <w:spacing w:line="324" w:lineRule="auto"/>
              <w:rPr>
                <w:rFonts w:ascii="Arial"/>
                <w:sz w:val="21"/>
              </w:rPr>
            </w:pPr>
            <w:r/>
          </w:p>
          <w:p>
            <w:pPr>
              <w:spacing w:line="325" w:lineRule="auto"/>
              <w:rPr>
                <w:rFonts w:ascii="Arial"/>
                <w:sz w:val="21"/>
              </w:rPr>
            </w:pPr>
            <w:r/>
          </w:p>
          <w:p>
            <w:pPr>
              <w:pStyle w:val="TableText"/>
              <w:ind w:left="448"/>
              <w:spacing w:before="82" w:line="221" w:lineRule="auto"/>
              <w:rPr>
                <w:sz w:val="25"/>
                <w:szCs w:val="25"/>
              </w:rPr>
            </w:pPr>
            <w:bookmarkStart w:name="bookmark1210" w:id="587"/>
            <w:bookmarkEnd w:id="587"/>
            <w:r>
              <w:rPr>
                <w:sz w:val="25"/>
                <w:szCs w:val="25"/>
                <w:b/>
                <w:bCs/>
                <w:spacing w:val="-6"/>
              </w:rPr>
              <w:t>较重</w:t>
            </w:r>
          </w:p>
        </w:tc>
        <w:tc>
          <w:tcPr>
            <w:tcW w:w="8534" w:type="dxa"/>
            <w:vAlign w:val="top"/>
          </w:tcPr>
          <w:p>
            <w:pPr>
              <w:pStyle w:val="TableText"/>
              <w:ind w:left="121"/>
              <w:spacing w:before="56" w:line="220" w:lineRule="auto"/>
              <w:rPr>
                <w:sz w:val="25"/>
                <w:szCs w:val="25"/>
              </w:rPr>
            </w:pPr>
            <w:r>
              <w:rPr>
                <w:sz w:val="25"/>
                <w:szCs w:val="25"/>
                <w:spacing w:val="1"/>
              </w:rPr>
              <w:t>有下列情形之一的：</w:t>
            </w:r>
          </w:p>
          <w:p>
            <w:pPr>
              <w:pStyle w:val="TableText"/>
              <w:ind w:left="190" w:right="15" w:hanging="180"/>
              <w:spacing w:before="48" w:line="239" w:lineRule="auto"/>
              <w:rPr>
                <w:sz w:val="25"/>
                <w:szCs w:val="25"/>
              </w:rPr>
            </w:pPr>
            <w:r>
              <w:rPr>
                <w:sz w:val="25"/>
                <w:szCs w:val="25"/>
              </w:rPr>
              <w:t>A.医疗机构新安装、维修或更换重要部件后的放射诊疗设备未经省级以</w:t>
            </w:r>
            <w:r>
              <w:rPr>
                <w:sz w:val="25"/>
                <w:szCs w:val="25"/>
                <w:spacing w:val="-1"/>
              </w:rPr>
              <w:t>上卫生</w:t>
            </w:r>
            <w:r>
              <w:rPr>
                <w:sz w:val="25"/>
                <w:szCs w:val="25"/>
              </w:rPr>
              <w:t xml:space="preserve"> </w:t>
            </w:r>
            <w:r>
              <w:rPr>
                <w:sz w:val="25"/>
                <w:szCs w:val="25"/>
                <w:spacing w:val="1"/>
              </w:rPr>
              <w:t>行政部门资质认证的检测机构对其进行检测即启用，</w:t>
            </w:r>
            <w:r>
              <w:rPr>
                <w:sz w:val="25"/>
                <w:szCs w:val="25"/>
              </w:rPr>
              <w:t>设备数目为2件(套)的</w:t>
            </w:r>
          </w:p>
          <w:p>
            <w:pPr>
              <w:pStyle w:val="TableText"/>
              <w:ind w:left="10"/>
              <w:spacing w:before="24" w:line="228" w:lineRule="auto"/>
              <w:rPr>
                <w:sz w:val="25"/>
                <w:szCs w:val="25"/>
              </w:rPr>
            </w:pPr>
            <w:r>
              <w:rPr>
                <w:sz w:val="25"/>
                <w:szCs w:val="25"/>
              </w:rPr>
              <w:t>B.医疗机构新安装、维修或更换重要部件后的放射</w:t>
            </w:r>
            <w:r>
              <w:rPr>
                <w:sz w:val="25"/>
                <w:szCs w:val="25"/>
                <w:spacing w:val="-1"/>
              </w:rPr>
              <w:t>诊疗设备未经省级以上卫生</w:t>
            </w:r>
            <w:r>
              <w:rPr>
                <w:sz w:val="25"/>
                <w:szCs w:val="25"/>
              </w:rPr>
              <w:t xml:space="preserve"> </w:t>
            </w:r>
            <w:r>
              <w:rPr>
                <w:sz w:val="25"/>
                <w:szCs w:val="25"/>
              </w:rPr>
              <w:t>行政部门资质认证的检测机构对其进行检测即启用六个月以上、九个月以内的</w:t>
            </w:r>
          </w:p>
        </w:tc>
        <w:tc>
          <w:tcPr>
            <w:tcW w:w="4072" w:type="dxa"/>
            <w:vAlign w:val="top"/>
          </w:tcPr>
          <w:p>
            <w:pPr>
              <w:spacing w:line="378" w:lineRule="auto"/>
              <w:rPr>
                <w:rFonts w:ascii="Arial"/>
                <w:sz w:val="21"/>
              </w:rPr>
            </w:pPr>
            <w:r/>
          </w:p>
          <w:p>
            <w:pPr>
              <w:pStyle w:val="TableText"/>
              <w:ind w:left="107"/>
              <w:spacing w:before="81" w:line="256" w:lineRule="auto"/>
              <w:rPr>
                <w:sz w:val="25"/>
                <w:szCs w:val="25"/>
              </w:rPr>
            </w:pPr>
            <w:r>
              <w:rPr>
                <w:sz w:val="25"/>
                <w:szCs w:val="25"/>
                <w:spacing w:val="-3"/>
              </w:rPr>
              <w:t>给予警告，责令限期改正；并处3000</w:t>
            </w:r>
            <w:r>
              <w:rPr>
                <w:sz w:val="25"/>
                <w:szCs w:val="25"/>
                <w:spacing w:val="7"/>
              </w:rPr>
              <w:t xml:space="preserve"> </w:t>
            </w:r>
            <w:r>
              <w:rPr>
                <w:sz w:val="25"/>
                <w:szCs w:val="25"/>
              </w:rPr>
              <w:t>元以上7000元以下的罚款</w:t>
            </w:r>
          </w:p>
        </w:tc>
      </w:tr>
      <w:tr>
        <w:trPr>
          <w:trHeight w:val="1707" w:hRule="atLeast"/>
        </w:trPr>
        <w:tc>
          <w:tcPr>
            <w:tcW w:w="1404" w:type="dxa"/>
            <w:vAlign w:val="top"/>
          </w:tcPr>
          <w:p>
            <w:pPr>
              <w:spacing w:line="322" w:lineRule="auto"/>
              <w:rPr>
                <w:rFonts w:ascii="Arial"/>
                <w:sz w:val="21"/>
              </w:rPr>
            </w:pPr>
            <w:r/>
          </w:p>
          <w:p>
            <w:pPr>
              <w:spacing w:line="323" w:lineRule="auto"/>
              <w:rPr>
                <w:rFonts w:ascii="Arial"/>
                <w:sz w:val="21"/>
              </w:rPr>
            </w:pPr>
            <w:r/>
          </w:p>
          <w:p>
            <w:pPr>
              <w:pStyle w:val="TableText"/>
              <w:ind w:left="448"/>
              <w:spacing w:before="81" w:line="220" w:lineRule="auto"/>
              <w:rPr>
                <w:sz w:val="25"/>
                <w:szCs w:val="25"/>
              </w:rPr>
            </w:pPr>
            <w:r>
              <w:rPr>
                <w:sz w:val="25"/>
                <w:szCs w:val="25"/>
                <w:b/>
                <w:bCs/>
                <w:spacing w:val="-6"/>
              </w:rPr>
              <w:t>严重</w:t>
            </w:r>
          </w:p>
        </w:tc>
        <w:tc>
          <w:tcPr>
            <w:tcW w:w="8534" w:type="dxa"/>
            <w:vAlign w:val="top"/>
          </w:tcPr>
          <w:p>
            <w:pPr>
              <w:pStyle w:val="TableText"/>
              <w:ind w:left="141"/>
              <w:spacing w:before="84" w:line="220" w:lineRule="auto"/>
              <w:rPr>
                <w:sz w:val="25"/>
                <w:szCs w:val="25"/>
              </w:rPr>
            </w:pPr>
            <w:r>
              <w:rPr>
                <w:sz w:val="25"/>
                <w:szCs w:val="25"/>
                <w:spacing w:val="1"/>
              </w:rPr>
              <w:t>有下列情形之一的：</w:t>
            </w:r>
          </w:p>
          <w:p>
            <w:pPr>
              <w:pStyle w:val="TableText"/>
              <w:ind w:left="190" w:right="15" w:hanging="180"/>
              <w:spacing w:before="10" w:line="242" w:lineRule="auto"/>
              <w:rPr>
                <w:sz w:val="25"/>
                <w:szCs w:val="25"/>
              </w:rPr>
            </w:pPr>
            <w:r>
              <w:rPr>
                <w:sz w:val="25"/>
                <w:szCs w:val="25"/>
              </w:rPr>
              <w:t>A.医疗机构新安装、维修或更换重要部件后的放射诊疗设备未经省级以</w:t>
            </w:r>
            <w:r>
              <w:rPr>
                <w:sz w:val="25"/>
                <w:szCs w:val="25"/>
                <w:spacing w:val="-1"/>
              </w:rPr>
              <w:t>上卫生</w:t>
            </w:r>
            <w:r>
              <w:rPr>
                <w:sz w:val="25"/>
                <w:szCs w:val="25"/>
              </w:rPr>
              <w:t xml:space="preserve"> </w:t>
            </w:r>
            <w:r>
              <w:rPr>
                <w:sz w:val="25"/>
                <w:szCs w:val="25"/>
                <w:spacing w:val="1"/>
              </w:rPr>
              <w:t>行政部门资质认证的检测机构对其进行检测即启用，</w:t>
            </w:r>
            <w:r>
              <w:rPr>
                <w:sz w:val="25"/>
                <w:szCs w:val="25"/>
              </w:rPr>
              <w:t>设备数目为3件(套)的</w:t>
            </w:r>
          </w:p>
          <w:p>
            <w:pPr>
              <w:pStyle w:val="TableText"/>
              <w:ind w:left="10"/>
              <w:spacing w:before="52" w:line="220" w:lineRule="auto"/>
              <w:rPr>
                <w:sz w:val="25"/>
                <w:szCs w:val="25"/>
              </w:rPr>
            </w:pPr>
            <w:r>
              <w:rPr>
                <w:sz w:val="25"/>
                <w:szCs w:val="25"/>
                <w:spacing w:val="-1"/>
              </w:rPr>
              <w:t>B.医疗机构新安装、维修或更换重要部件后的放射诊疗设备未经省级以上卫生</w:t>
            </w:r>
            <w:r>
              <w:rPr>
                <w:sz w:val="25"/>
                <w:szCs w:val="25"/>
                <w:spacing w:val="13"/>
              </w:rPr>
              <w:t xml:space="preserve"> </w:t>
            </w:r>
            <w:r>
              <w:rPr>
                <w:sz w:val="25"/>
                <w:szCs w:val="25"/>
                <w:spacing w:val="-7"/>
              </w:rPr>
              <w:t>行政部门资质认证的检测机构对其进行检测即启用九个月以上、十二个月以内的</w:t>
            </w:r>
          </w:p>
        </w:tc>
        <w:tc>
          <w:tcPr>
            <w:tcW w:w="4072" w:type="dxa"/>
            <w:vAlign w:val="top"/>
          </w:tcPr>
          <w:p>
            <w:pPr>
              <w:spacing w:line="387" w:lineRule="auto"/>
              <w:rPr>
                <w:rFonts w:ascii="Arial"/>
                <w:sz w:val="21"/>
              </w:rPr>
            </w:pPr>
            <w:r/>
          </w:p>
          <w:p>
            <w:pPr>
              <w:pStyle w:val="TableText"/>
              <w:ind w:left="107" w:firstLine="9"/>
              <w:spacing w:before="81" w:line="263" w:lineRule="auto"/>
              <w:rPr>
                <w:sz w:val="25"/>
                <w:szCs w:val="25"/>
              </w:rPr>
            </w:pPr>
            <w:r>
              <w:rPr>
                <w:sz w:val="25"/>
                <w:szCs w:val="25"/>
                <w:spacing w:val="-4"/>
              </w:rPr>
              <w:t>给予警告，责令限期改正，并处7000</w:t>
            </w:r>
            <w:r>
              <w:rPr>
                <w:sz w:val="25"/>
                <w:szCs w:val="25"/>
                <w:spacing w:val="16"/>
              </w:rPr>
              <w:t xml:space="preserve"> </w:t>
            </w:r>
            <w:r>
              <w:rPr>
                <w:sz w:val="25"/>
                <w:szCs w:val="25"/>
              </w:rPr>
              <w:t>元以上一万元以下的罚款</w:t>
            </w:r>
          </w:p>
        </w:tc>
      </w:tr>
      <w:tr>
        <w:trPr>
          <w:trHeight w:val="2371" w:hRule="atLeast"/>
        </w:trPr>
        <w:tc>
          <w:tcPr>
            <w:tcW w:w="1404" w:type="dxa"/>
            <w:vAlign w:val="top"/>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98"/>
              <w:spacing w:before="81" w:line="219" w:lineRule="auto"/>
              <w:rPr>
                <w:sz w:val="25"/>
                <w:szCs w:val="25"/>
              </w:rPr>
            </w:pPr>
            <w:r>
              <w:rPr>
                <w:sz w:val="25"/>
                <w:szCs w:val="25"/>
                <w:b/>
                <w:bCs/>
                <w:spacing w:val="-5"/>
              </w:rPr>
              <w:t>特别严重</w:t>
            </w:r>
          </w:p>
        </w:tc>
        <w:tc>
          <w:tcPr>
            <w:tcW w:w="8534" w:type="dxa"/>
            <w:vAlign w:val="top"/>
          </w:tcPr>
          <w:p>
            <w:pPr>
              <w:pStyle w:val="TableText"/>
              <w:ind w:left="130"/>
              <w:spacing w:before="57" w:line="220" w:lineRule="auto"/>
              <w:rPr>
                <w:sz w:val="25"/>
                <w:szCs w:val="25"/>
              </w:rPr>
            </w:pPr>
            <w:r>
              <w:rPr>
                <w:sz w:val="25"/>
                <w:szCs w:val="25"/>
                <w:spacing w:val="1"/>
              </w:rPr>
              <w:t>有下列情形之一的：</w:t>
            </w:r>
          </w:p>
          <w:p>
            <w:pPr>
              <w:pStyle w:val="TableText"/>
              <w:ind w:left="190" w:right="15" w:hanging="180"/>
              <w:spacing w:before="50" w:line="231" w:lineRule="auto"/>
              <w:rPr>
                <w:sz w:val="25"/>
                <w:szCs w:val="25"/>
              </w:rPr>
            </w:pPr>
            <w:r>
              <w:rPr>
                <w:sz w:val="25"/>
                <w:szCs w:val="25"/>
              </w:rPr>
              <w:t>A.医疗机构新安装、维修或更换重要部件后的放射诊疗设备未经省级以</w:t>
            </w:r>
            <w:r>
              <w:rPr>
                <w:sz w:val="25"/>
                <w:szCs w:val="25"/>
                <w:spacing w:val="-1"/>
              </w:rPr>
              <w:t>上卫生</w:t>
            </w:r>
            <w:r>
              <w:rPr>
                <w:sz w:val="25"/>
                <w:szCs w:val="25"/>
              </w:rPr>
              <w:t xml:space="preserve"> </w:t>
            </w:r>
            <w:r>
              <w:rPr>
                <w:sz w:val="25"/>
                <w:szCs w:val="25"/>
                <w:spacing w:val="1"/>
              </w:rPr>
              <w:t>行政部门资质认证的检测机构对其进行检测即启用，</w:t>
            </w:r>
            <w:r>
              <w:rPr>
                <w:sz w:val="25"/>
                <w:szCs w:val="25"/>
              </w:rPr>
              <w:t>设备数目为4件(套)的</w:t>
            </w:r>
          </w:p>
          <w:p>
            <w:pPr>
              <w:pStyle w:val="TableText"/>
              <w:ind w:left="110" w:right="17" w:hanging="100"/>
              <w:spacing w:before="44" w:line="242" w:lineRule="auto"/>
              <w:rPr>
                <w:sz w:val="25"/>
                <w:szCs w:val="25"/>
              </w:rPr>
            </w:pPr>
            <w:r>
              <w:rPr>
                <w:sz w:val="25"/>
                <w:szCs w:val="25"/>
              </w:rPr>
              <w:t>B.医疗机构新安装、维修或更换重要部件后的放射诊疗设备未经省</w:t>
            </w:r>
            <w:r>
              <w:rPr>
                <w:sz w:val="25"/>
                <w:szCs w:val="25"/>
                <w:spacing w:val="-1"/>
              </w:rPr>
              <w:t>级以上卫生</w:t>
            </w:r>
            <w:r>
              <w:rPr>
                <w:sz w:val="25"/>
                <w:szCs w:val="25"/>
              </w:rPr>
              <w:t xml:space="preserve"> </w:t>
            </w:r>
            <w:r>
              <w:rPr>
                <w:sz w:val="25"/>
                <w:szCs w:val="25"/>
              </w:rPr>
              <w:t>行政部门资质认证的检测机构对其进行检测即启用十二个月以上的</w:t>
            </w:r>
          </w:p>
          <w:p>
            <w:pPr>
              <w:pStyle w:val="TableText"/>
              <w:ind w:left="120" w:right="20" w:hanging="110"/>
              <w:spacing w:before="23" w:line="224" w:lineRule="auto"/>
              <w:rPr>
                <w:sz w:val="25"/>
                <w:szCs w:val="25"/>
              </w:rPr>
            </w:pPr>
            <w:r>
              <w:rPr>
                <w:sz w:val="25"/>
                <w:szCs w:val="25"/>
              </w:rPr>
              <w:t>C.医疗机构新安装、维修或更换重要部件后的放射诊疗设</w:t>
            </w:r>
            <w:r>
              <w:rPr>
                <w:sz w:val="25"/>
                <w:szCs w:val="25"/>
                <w:spacing w:val="-1"/>
              </w:rPr>
              <w:t>备未经省级以上卫生</w:t>
            </w:r>
            <w:r>
              <w:rPr>
                <w:sz w:val="25"/>
                <w:szCs w:val="25"/>
              </w:rPr>
              <w:t xml:space="preserve"> </w:t>
            </w:r>
            <w:r>
              <w:rPr>
                <w:sz w:val="25"/>
                <w:szCs w:val="25"/>
              </w:rPr>
              <w:t>行政部门资质认证的检测机构对其进行检测即启用，造成严重后果的</w:t>
            </w:r>
          </w:p>
        </w:tc>
        <w:tc>
          <w:tcPr>
            <w:tcW w:w="4072"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07"/>
              <w:spacing w:before="82" w:line="248" w:lineRule="auto"/>
              <w:rPr>
                <w:sz w:val="25"/>
                <w:szCs w:val="25"/>
              </w:rPr>
            </w:pPr>
            <w:r>
              <w:rPr>
                <w:sz w:val="25"/>
                <w:szCs w:val="25"/>
                <w:spacing w:val="-3"/>
              </w:rPr>
              <w:t>给予警告，责令限期改正，并处一万</w:t>
            </w:r>
            <w:r>
              <w:rPr>
                <w:sz w:val="25"/>
                <w:szCs w:val="25"/>
                <w:spacing w:val="1"/>
              </w:rPr>
              <w:t xml:space="preserve"> </w:t>
            </w:r>
            <w:r>
              <w:rPr>
                <w:sz w:val="25"/>
                <w:szCs w:val="25"/>
                <w:spacing w:val="2"/>
              </w:rPr>
              <w:t>元的罚款</w:t>
            </w:r>
          </w:p>
        </w:tc>
      </w:tr>
    </w:tbl>
    <w:p>
      <w:pPr>
        <w:ind w:left="325"/>
        <w:spacing w:before="139" w:line="219" w:lineRule="auto"/>
        <w:rPr>
          <w:rFonts w:ascii="FangSong" w:hAnsi="FangSong" w:eastAsia="FangSong" w:cs="FangSong"/>
          <w:sz w:val="24"/>
          <w:szCs w:val="24"/>
        </w:rPr>
      </w:pPr>
      <w:r>
        <w:rPr>
          <w:rFonts w:ascii="FangSong" w:hAnsi="FangSong" w:eastAsia="FangSong" w:cs="FangSong"/>
          <w:sz w:val="24"/>
          <w:szCs w:val="24"/>
          <w:spacing w:val="-2"/>
        </w:rPr>
        <w:t>备注：若</w:t>
      </w:r>
      <w:r>
        <w:rPr>
          <w:rFonts w:ascii="Times New Roman" w:hAnsi="Times New Roman" w:eastAsia="Times New Roman" w:cs="Times New Roman"/>
          <w:sz w:val="24"/>
          <w:szCs w:val="24"/>
          <w:spacing w:val="-2"/>
        </w:rPr>
        <w:t>AB</w:t>
      </w:r>
      <w:r>
        <w:rPr>
          <w:rFonts w:ascii="FangSong" w:hAnsi="FangSong" w:eastAsia="FangSong" w:cs="FangSong"/>
          <w:sz w:val="24"/>
          <w:szCs w:val="24"/>
          <w:spacing w:val="-2"/>
        </w:rPr>
        <w:t>两种情形同时出现在不同违法程度中，择重处罚。</w:t>
      </w:r>
    </w:p>
    <w:p>
      <w:pPr>
        <w:pStyle w:val="BodyText"/>
        <w:spacing w:line="428" w:lineRule="auto"/>
        <w:rPr/>
      </w:pPr>
      <w:r/>
    </w:p>
    <w:p>
      <w:pPr>
        <w:ind w:left="19" w:right="369" w:firstLine="655"/>
        <w:spacing w:before="101" w:line="268" w:lineRule="auto"/>
        <w:rPr>
          <w:rFonts w:ascii="FangSong" w:hAnsi="FangSong" w:eastAsia="FangSong" w:cs="FangSong"/>
          <w:sz w:val="31"/>
          <w:szCs w:val="31"/>
        </w:rPr>
      </w:pPr>
      <w:r>
        <w:rPr>
          <w:rFonts w:ascii="FangSong" w:hAnsi="FangSong" w:eastAsia="FangSong" w:cs="FangSong"/>
          <w:sz w:val="31"/>
          <w:szCs w:val="31"/>
          <w:spacing w:val="11"/>
        </w:rPr>
        <w:t>第</w:t>
      </w:r>
      <w:r>
        <w:rPr>
          <w:rFonts w:ascii="FangSong" w:hAnsi="FangSong" w:eastAsia="FangSong" w:cs="FangSong"/>
          <w:sz w:val="31"/>
          <w:szCs w:val="31"/>
          <w:b/>
          <w:bCs/>
          <w:spacing w:val="11"/>
        </w:rPr>
        <w:t>五百五十四条医疗机构放射诊疗设备未由省级以上卫生行政部门资质认证的检测机构每年</w:t>
      </w:r>
      <w:r>
        <w:rPr>
          <w:rFonts w:ascii="FangSong" w:hAnsi="FangSong" w:eastAsia="FangSong" w:cs="FangSong"/>
          <w:sz w:val="31"/>
          <w:szCs w:val="31"/>
          <w:spacing w:val="8"/>
        </w:rPr>
        <w:t xml:space="preserve"> </w:t>
      </w:r>
      <w:r>
        <w:rPr>
          <w:rFonts w:ascii="FangSong" w:hAnsi="FangSong" w:eastAsia="FangSong" w:cs="FangSong"/>
          <w:sz w:val="31"/>
          <w:szCs w:val="31"/>
          <w:b/>
          <w:bCs/>
          <w:spacing w:val="5"/>
        </w:rPr>
        <w:t>至少进行一次状态检测的</w:t>
      </w:r>
    </w:p>
    <w:p>
      <w:pPr>
        <w:ind w:left="654"/>
        <w:spacing w:before="27"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spacing w:line="222" w:lineRule="auto"/>
        <w:sectPr>
          <w:footerReference w:type="default" r:id="rId578"/>
          <w:pgSz w:w="16830" w:h="11900"/>
          <w:pgMar w:top="1011" w:right="1374" w:bottom="1117" w:left="1434" w:header="0" w:footer="784" w:gutter="0"/>
        </w:sectPr>
        <w:rPr>
          <w:rFonts w:ascii="FangSong" w:hAnsi="FangSong" w:eastAsia="FangSong" w:cs="FangSong"/>
          <w:sz w:val="27"/>
          <w:szCs w:val="27"/>
        </w:rPr>
      </w:pPr>
    </w:p>
    <w:p>
      <w:pPr>
        <w:pStyle w:val="BodyText"/>
        <w:spacing w:line="264" w:lineRule="auto"/>
        <w:rPr/>
      </w:pPr>
      <w:r/>
    </w:p>
    <w:p>
      <w:pPr>
        <w:pStyle w:val="BodyText"/>
        <w:spacing w:line="264" w:lineRule="auto"/>
        <w:rPr/>
      </w:pPr>
      <w:r/>
    </w:p>
    <w:p>
      <w:pPr>
        <w:pStyle w:val="BodyText"/>
        <w:spacing w:line="265" w:lineRule="auto"/>
        <w:rPr/>
      </w:pPr>
      <w:r/>
    </w:p>
    <w:p>
      <w:pPr>
        <w:ind w:left="25" w:right="165" w:firstLine="639"/>
        <w:spacing w:before="98" w:line="276" w:lineRule="auto"/>
        <w:rPr>
          <w:rFonts w:ascii="FangSong" w:hAnsi="FangSong" w:eastAsia="FangSong" w:cs="FangSong"/>
          <w:sz w:val="30"/>
          <w:szCs w:val="30"/>
        </w:rPr>
      </w:pPr>
      <w:r>
        <w:rPr>
          <w:rFonts w:ascii="FangSong" w:hAnsi="FangSong" w:eastAsia="FangSong" w:cs="FangSong"/>
          <w:sz w:val="30"/>
          <w:szCs w:val="30"/>
          <w:spacing w:val="18"/>
        </w:rPr>
        <w:t>1.</w:t>
      </w:r>
      <w:r>
        <w:rPr>
          <w:rFonts w:ascii="FangSong" w:hAnsi="FangSong" w:eastAsia="FangSong" w:cs="FangSong"/>
          <w:sz w:val="30"/>
          <w:szCs w:val="30"/>
          <w:spacing w:val="18"/>
        </w:rPr>
        <w:t xml:space="preserve"> </w:t>
      </w:r>
      <w:r>
        <w:rPr>
          <w:rFonts w:ascii="FangSong" w:hAnsi="FangSong" w:eastAsia="FangSong" w:cs="FangSong"/>
          <w:sz w:val="30"/>
          <w:szCs w:val="30"/>
          <w:spacing w:val="18"/>
        </w:rPr>
        <w:t>《放射诊疗管理规定》第四十</w:t>
      </w:r>
      <w:r>
        <w:rPr>
          <w:rFonts w:ascii="FangSong" w:hAnsi="FangSong" w:eastAsia="FangSong" w:cs="FangSong"/>
          <w:sz w:val="30"/>
          <w:szCs w:val="30"/>
          <w:spacing w:val="-62"/>
        </w:rPr>
        <w:t xml:space="preserve"> </w:t>
      </w:r>
      <w:r>
        <w:rPr>
          <w:rFonts w:ascii="FangSong" w:hAnsi="FangSong" w:eastAsia="FangSong" w:cs="FangSong"/>
          <w:sz w:val="30"/>
          <w:szCs w:val="30"/>
          <w:spacing w:val="18"/>
        </w:rPr>
        <w:t>一条第(三)项</w:t>
      </w:r>
      <w:r>
        <w:rPr>
          <w:rFonts w:ascii="FangSong" w:hAnsi="FangSong" w:eastAsia="FangSong" w:cs="FangSong"/>
          <w:sz w:val="30"/>
          <w:szCs w:val="30"/>
          <w:spacing w:val="18"/>
        </w:rPr>
        <w:t xml:space="preserve">   </w:t>
      </w:r>
      <w:r>
        <w:rPr>
          <w:rFonts w:ascii="FangSong" w:hAnsi="FangSong" w:eastAsia="FangSong" w:cs="FangSong"/>
          <w:sz w:val="30"/>
          <w:szCs w:val="30"/>
          <w:spacing w:val="18"/>
        </w:rPr>
        <w:t>医疗机构违反本规定，有下列行为之一的，</w:t>
      </w:r>
      <w:r>
        <w:rPr>
          <w:rFonts w:ascii="FangSong" w:hAnsi="FangSong" w:eastAsia="FangSong" w:cs="FangSong"/>
          <w:sz w:val="30"/>
          <w:szCs w:val="30"/>
        </w:rPr>
        <w:t xml:space="preserve"> </w:t>
      </w:r>
      <w:r>
        <w:rPr>
          <w:rFonts w:ascii="FangSong" w:hAnsi="FangSong" w:eastAsia="FangSong" w:cs="FangSong"/>
          <w:sz w:val="30"/>
          <w:szCs w:val="30"/>
          <w:spacing w:val="17"/>
        </w:rPr>
        <w:t>由县级以上卫生行政部门给予警告，责令限期改正；并可处一万</w:t>
      </w:r>
      <w:r>
        <w:rPr>
          <w:rFonts w:ascii="FangSong" w:hAnsi="FangSong" w:eastAsia="FangSong" w:cs="FangSong"/>
          <w:sz w:val="30"/>
          <w:szCs w:val="30"/>
          <w:spacing w:val="16"/>
        </w:rPr>
        <w:t>元以下的罚款：</w:t>
      </w:r>
    </w:p>
    <w:p>
      <w:pPr>
        <w:ind w:left="784"/>
        <w:spacing w:before="1" w:line="220" w:lineRule="auto"/>
        <w:rPr>
          <w:rFonts w:ascii="FangSong" w:hAnsi="FangSong" w:eastAsia="FangSong" w:cs="FangSong"/>
          <w:sz w:val="30"/>
          <w:szCs w:val="30"/>
        </w:rPr>
      </w:pPr>
      <w:r>
        <w:rPr>
          <w:rFonts w:ascii="FangSong" w:hAnsi="FangSong" w:eastAsia="FangSong" w:cs="FangSong"/>
          <w:sz w:val="30"/>
          <w:szCs w:val="30"/>
          <w:spacing w:val="22"/>
        </w:rPr>
        <w:t>(三)未按照规定对放射诊疗设备、工作场所及防护设施进行检测和检查的；</w:t>
      </w:r>
    </w:p>
    <w:p>
      <w:pPr>
        <w:ind w:left="25" w:right="117" w:firstLine="629"/>
        <w:spacing w:before="73" w:line="264" w:lineRule="auto"/>
        <w:rPr>
          <w:rFonts w:ascii="FangSong" w:hAnsi="FangSong" w:eastAsia="FangSong" w:cs="FangSong"/>
          <w:sz w:val="30"/>
          <w:szCs w:val="30"/>
        </w:rPr>
      </w:pPr>
      <w:r>
        <w:rPr>
          <w:rFonts w:ascii="FangSong" w:hAnsi="FangSong" w:eastAsia="FangSong" w:cs="FangSong"/>
          <w:sz w:val="30"/>
          <w:szCs w:val="30"/>
          <w:spacing w:val="20"/>
        </w:rPr>
        <w:t>2.</w:t>
      </w:r>
      <w:r>
        <w:rPr>
          <w:rFonts w:ascii="FangSong" w:hAnsi="FangSong" w:eastAsia="FangSong" w:cs="FangSong"/>
          <w:sz w:val="30"/>
          <w:szCs w:val="30"/>
          <w:spacing w:val="20"/>
        </w:rPr>
        <w:t xml:space="preserve"> </w:t>
      </w:r>
      <w:r>
        <w:rPr>
          <w:rFonts w:ascii="FangSong" w:hAnsi="FangSong" w:eastAsia="FangSong" w:cs="FangSong"/>
          <w:sz w:val="30"/>
          <w:szCs w:val="30"/>
          <w:spacing w:val="20"/>
        </w:rPr>
        <w:t>《放射诊疗管理规定》第二十条第(二)项</w:t>
      </w:r>
      <w:r>
        <w:rPr>
          <w:rFonts w:ascii="FangSong" w:hAnsi="FangSong" w:eastAsia="FangSong" w:cs="FangSong"/>
          <w:sz w:val="30"/>
          <w:szCs w:val="30"/>
          <w:spacing w:val="40"/>
        </w:rPr>
        <w:t xml:space="preserve">   </w:t>
      </w:r>
      <w:r>
        <w:rPr>
          <w:rFonts w:ascii="FangSong" w:hAnsi="FangSong" w:eastAsia="FangSong" w:cs="FangSong"/>
          <w:sz w:val="30"/>
          <w:szCs w:val="30"/>
          <w:spacing w:val="20"/>
        </w:rPr>
        <w:t>医疗机构的放射诊疗设备和检测仪表</w:t>
      </w:r>
      <w:r>
        <w:rPr>
          <w:rFonts w:ascii="FangSong" w:hAnsi="FangSong" w:eastAsia="FangSong" w:cs="FangSong"/>
          <w:sz w:val="30"/>
          <w:szCs w:val="30"/>
          <w:spacing w:val="19"/>
        </w:rPr>
        <w:t>，应当符</w:t>
      </w:r>
      <w:r>
        <w:rPr>
          <w:rFonts w:ascii="FangSong" w:hAnsi="FangSong" w:eastAsia="FangSong" w:cs="FangSong"/>
          <w:sz w:val="30"/>
          <w:szCs w:val="30"/>
        </w:rPr>
        <w:t xml:space="preserve"> </w:t>
      </w:r>
      <w:r>
        <w:rPr>
          <w:rFonts w:ascii="FangSong" w:hAnsi="FangSong" w:eastAsia="FangSong" w:cs="FangSong"/>
          <w:sz w:val="30"/>
          <w:szCs w:val="30"/>
          <w:spacing w:val="4"/>
        </w:rPr>
        <w:t>合下列要求：</w:t>
      </w:r>
    </w:p>
    <w:p>
      <w:pPr>
        <w:ind w:left="25" w:right="86" w:firstLine="759"/>
        <w:spacing w:before="2" w:line="283" w:lineRule="auto"/>
        <w:rPr>
          <w:rFonts w:ascii="FangSong" w:hAnsi="FangSong" w:eastAsia="FangSong" w:cs="FangSong"/>
          <w:sz w:val="30"/>
          <w:szCs w:val="30"/>
        </w:rPr>
      </w:pPr>
      <w:r>
        <w:rPr>
          <w:rFonts w:ascii="FangSong" w:hAnsi="FangSong" w:eastAsia="FangSong" w:cs="FangSong"/>
          <w:sz w:val="30"/>
          <w:szCs w:val="30"/>
          <w:spacing w:val="20"/>
        </w:rPr>
        <w:t>(二)定期进行稳定性检测、校正和维护保养，由省级以上卫生行政部门资质认证的检测机构每</w:t>
      </w:r>
      <w:r>
        <w:rPr>
          <w:rFonts w:ascii="FangSong" w:hAnsi="FangSong" w:eastAsia="FangSong" w:cs="FangSong"/>
          <w:sz w:val="30"/>
          <w:szCs w:val="30"/>
          <w:spacing w:val="17"/>
        </w:rPr>
        <w:t xml:space="preserve"> </w:t>
      </w:r>
      <w:r>
        <w:rPr>
          <w:rFonts w:ascii="FangSong" w:hAnsi="FangSong" w:eastAsia="FangSong" w:cs="FangSong"/>
          <w:sz w:val="30"/>
          <w:szCs w:val="30"/>
          <w:spacing w:val="11"/>
        </w:rPr>
        <w:t>年至少进行一次状态检测；</w:t>
      </w:r>
    </w:p>
    <w:p>
      <w:pPr>
        <w:ind w:left="6429"/>
        <w:spacing w:before="111"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01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8514"/>
        <w:gridCol w:w="4091"/>
      </w:tblGrid>
      <w:tr>
        <w:trPr>
          <w:trHeight w:val="753" w:hRule="atLeast"/>
        </w:trPr>
        <w:tc>
          <w:tcPr>
            <w:tcW w:w="1414" w:type="dxa"/>
            <w:vAlign w:val="top"/>
          </w:tcPr>
          <w:p>
            <w:pPr>
              <w:pStyle w:val="TableText"/>
              <w:ind w:left="198"/>
              <w:spacing w:before="252" w:line="220" w:lineRule="auto"/>
              <w:rPr>
                <w:sz w:val="25"/>
                <w:szCs w:val="25"/>
              </w:rPr>
            </w:pPr>
            <w:r>
              <w:rPr>
                <w:sz w:val="25"/>
                <w:szCs w:val="25"/>
                <w:b/>
                <w:bCs/>
                <w:spacing w:val="-5"/>
              </w:rPr>
              <w:t>违法程度</w:t>
            </w:r>
          </w:p>
        </w:tc>
        <w:tc>
          <w:tcPr>
            <w:tcW w:w="8514" w:type="dxa"/>
            <w:vAlign w:val="top"/>
          </w:tcPr>
          <w:p>
            <w:pPr>
              <w:pStyle w:val="TableText"/>
              <w:ind w:left="3694"/>
              <w:spacing w:before="252" w:line="220" w:lineRule="auto"/>
              <w:rPr>
                <w:sz w:val="25"/>
                <w:szCs w:val="25"/>
              </w:rPr>
            </w:pPr>
            <w:r>
              <w:rPr>
                <w:sz w:val="25"/>
                <w:szCs w:val="25"/>
                <w:b/>
                <w:bCs/>
                <w:spacing w:val="-5"/>
              </w:rPr>
              <w:t>情节后果</w:t>
            </w:r>
          </w:p>
        </w:tc>
        <w:tc>
          <w:tcPr>
            <w:tcW w:w="4091" w:type="dxa"/>
            <w:vAlign w:val="top"/>
          </w:tcPr>
          <w:p>
            <w:pPr>
              <w:pStyle w:val="TableText"/>
              <w:ind w:left="1500"/>
              <w:spacing w:before="249" w:line="218" w:lineRule="auto"/>
              <w:rPr>
                <w:sz w:val="25"/>
                <w:szCs w:val="25"/>
              </w:rPr>
            </w:pPr>
            <w:r>
              <w:rPr>
                <w:sz w:val="25"/>
                <w:szCs w:val="25"/>
                <w:b/>
                <w:bCs/>
                <w:spacing w:val="-5"/>
              </w:rPr>
              <w:t>裁量幅度</w:t>
            </w:r>
          </w:p>
        </w:tc>
      </w:tr>
      <w:tr>
        <w:trPr>
          <w:trHeight w:val="1686" w:hRule="atLeast"/>
        </w:trPr>
        <w:tc>
          <w:tcPr>
            <w:tcW w:w="1414" w:type="dxa"/>
            <w:vAlign w:val="top"/>
          </w:tcPr>
          <w:p>
            <w:pPr>
              <w:spacing w:line="316" w:lineRule="auto"/>
              <w:rPr>
                <w:rFonts w:ascii="Arial"/>
                <w:sz w:val="21"/>
              </w:rPr>
            </w:pPr>
            <w:r/>
          </w:p>
          <w:p>
            <w:pPr>
              <w:spacing w:line="317" w:lineRule="auto"/>
              <w:rPr>
                <w:rFonts w:ascii="Arial"/>
                <w:sz w:val="21"/>
              </w:rPr>
            </w:pPr>
            <w:r/>
          </w:p>
          <w:p>
            <w:pPr>
              <w:pStyle w:val="TableText"/>
              <w:ind w:left="448"/>
              <w:spacing w:before="81" w:line="219" w:lineRule="auto"/>
              <w:rPr>
                <w:sz w:val="25"/>
                <w:szCs w:val="25"/>
              </w:rPr>
            </w:pPr>
            <w:r>
              <w:rPr>
                <w:sz w:val="25"/>
                <w:szCs w:val="25"/>
                <w:b/>
                <w:bCs/>
                <w:spacing w:val="-6"/>
              </w:rPr>
              <w:t>轻微</w:t>
            </w:r>
          </w:p>
        </w:tc>
        <w:tc>
          <w:tcPr>
            <w:tcW w:w="8514" w:type="dxa"/>
            <w:vAlign w:val="top"/>
          </w:tcPr>
          <w:p>
            <w:pPr>
              <w:pStyle w:val="TableText"/>
              <w:ind w:left="120"/>
              <w:spacing w:before="63" w:line="220" w:lineRule="auto"/>
              <w:rPr>
                <w:sz w:val="25"/>
                <w:szCs w:val="25"/>
              </w:rPr>
            </w:pPr>
            <w:r>
              <w:rPr>
                <w:sz w:val="25"/>
                <w:szCs w:val="25"/>
                <w:spacing w:val="2"/>
              </w:rPr>
              <w:t>有下列情形之一的：</w:t>
            </w:r>
          </w:p>
          <w:p>
            <w:pPr>
              <w:pStyle w:val="TableText"/>
              <w:ind w:left="120" w:hanging="9"/>
              <w:spacing w:before="39" w:line="232" w:lineRule="auto"/>
              <w:rPr>
                <w:sz w:val="25"/>
                <w:szCs w:val="25"/>
              </w:rPr>
            </w:pPr>
            <w:r>
              <w:rPr>
                <w:sz w:val="25"/>
                <w:szCs w:val="25"/>
                <w:spacing w:val="-3"/>
              </w:rPr>
              <w:t>A.医疗机构放射诊疗设备未由省级以上卫生行政部门资质认证的检测</w:t>
            </w:r>
            <w:r>
              <w:rPr>
                <w:sz w:val="25"/>
                <w:szCs w:val="25"/>
                <w:spacing w:val="-4"/>
              </w:rPr>
              <w:t>机构每年</w:t>
            </w:r>
            <w:r>
              <w:rPr>
                <w:sz w:val="25"/>
                <w:szCs w:val="25"/>
              </w:rPr>
              <w:t xml:space="preserve"> </w:t>
            </w:r>
            <w:r>
              <w:rPr>
                <w:sz w:val="25"/>
                <w:szCs w:val="25"/>
              </w:rPr>
              <w:t>至少进行一次状态检测，设备数目为1件(套)的</w:t>
            </w:r>
          </w:p>
          <w:p>
            <w:pPr>
              <w:pStyle w:val="TableText"/>
              <w:ind w:left="120" w:hanging="9"/>
              <w:spacing w:before="51" w:line="220" w:lineRule="auto"/>
              <w:rPr>
                <w:sz w:val="25"/>
                <w:szCs w:val="25"/>
              </w:rPr>
            </w:pPr>
            <w:r>
              <w:rPr>
                <w:sz w:val="25"/>
                <w:szCs w:val="25"/>
                <w:spacing w:val="-3"/>
              </w:rPr>
              <w:t>B.医疗机构放射诊疗设备未由省级以上卫生行政部门资质认证的检测</w:t>
            </w:r>
            <w:r>
              <w:rPr>
                <w:sz w:val="25"/>
                <w:szCs w:val="25"/>
                <w:spacing w:val="-4"/>
              </w:rPr>
              <w:t>机构每年</w:t>
            </w:r>
            <w:r>
              <w:rPr>
                <w:sz w:val="25"/>
                <w:szCs w:val="25"/>
              </w:rPr>
              <w:t xml:space="preserve"> </w:t>
            </w:r>
            <w:r>
              <w:rPr>
                <w:sz w:val="25"/>
                <w:szCs w:val="25"/>
              </w:rPr>
              <w:t>至少进行一次状态检测，超出检测周期三个月以内的</w:t>
            </w:r>
          </w:p>
        </w:tc>
        <w:tc>
          <w:tcPr>
            <w:tcW w:w="4091" w:type="dxa"/>
            <w:vAlign w:val="top"/>
          </w:tcPr>
          <w:p>
            <w:pPr>
              <w:spacing w:line="386" w:lineRule="auto"/>
              <w:rPr>
                <w:rFonts w:ascii="Arial"/>
                <w:sz w:val="21"/>
              </w:rPr>
            </w:pPr>
            <w:r/>
          </w:p>
          <w:p>
            <w:pPr>
              <w:pStyle w:val="TableText"/>
              <w:ind w:left="126"/>
              <w:spacing w:before="81" w:line="263" w:lineRule="auto"/>
              <w:rPr>
                <w:sz w:val="25"/>
                <w:szCs w:val="25"/>
              </w:rPr>
            </w:pPr>
            <w:r>
              <w:rPr>
                <w:sz w:val="25"/>
                <w:szCs w:val="25"/>
                <w:spacing w:val="-3"/>
              </w:rPr>
              <w:t>给予警告，责令限期改正；可处1000</w:t>
            </w:r>
            <w:r>
              <w:rPr>
                <w:sz w:val="25"/>
                <w:szCs w:val="25"/>
                <w:spacing w:val="7"/>
              </w:rPr>
              <w:t xml:space="preserve"> </w:t>
            </w:r>
            <w:r>
              <w:rPr>
                <w:sz w:val="25"/>
                <w:szCs w:val="25"/>
                <w:spacing w:val="1"/>
              </w:rPr>
              <w:t>元以下的罚款</w:t>
            </w:r>
          </w:p>
        </w:tc>
      </w:tr>
      <w:tr>
        <w:trPr>
          <w:trHeight w:val="1691" w:hRule="atLeast"/>
        </w:trPr>
        <w:tc>
          <w:tcPr>
            <w:tcW w:w="1414" w:type="dxa"/>
            <w:vAlign w:val="top"/>
          </w:tcPr>
          <w:p>
            <w:pPr>
              <w:spacing w:line="319" w:lineRule="auto"/>
              <w:rPr>
                <w:rFonts w:ascii="Arial"/>
                <w:sz w:val="21"/>
              </w:rPr>
            </w:pPr>
            <w:r/>
          </w:p>
          <w:p>
            <w:pPr>
              <w:spacing w:line="319" w:lineRule="auto"/>
              <w:rPr>
                <w:rFonts w:ascii="Arial"/>
                <w:sz w:val="21"/>
              </w:rPr>
            </w:pPr>
            <w:r/>
          </w:p>
          <w:p>
            <w:pPr>
              <w:pStyle w:val="TableText"/>
              <w:ind w:left="448"/>
              <w:spacing w:before="82" w:line="221" w:lineRule="auto"/>
              <w:rPr>
                <w:sz w:val="25"/>
                <w:szCs w:val="25"/>
              </w:rPr>
            </w:pPr>
            <w:r>
              <w:rPr>
                <w:sz w:val="25"/>
                <w:szCs w:val="25"/>
                <w:b/>
                <w:bCs/>
                <w:spacing w:val="-10"/>
              </w:rPr>
              <w:t>一般</w:t>
            </w:r>
          </w:p>
        </w:tc>
        <w:tc>
          <w:tcPr>
            <w:tcW w:w="8514" w:type="dxa"/>
            <w:vAlign w:val="top"/>
          </w:tcPr>
          <w:p>
            <w:pPr>
              <w:pStyle w:val="TableText"/>
              <w:ind w:left="120"/>
              <w:spacing w:before="67" w:line="220" w:lineRule="auto"/>
              <w:rPr>
                <w:sz w:val="25"/>
                <w:szCs w:val="25"/>
              </w:rPr>
            </w:pPr>
            <w:r>
              <w:rPr>
                <w:sz w:val="25"/>
                <w:szCs w:val="25"/>
                <w:spacing w:val="2"/>
              </w:rPr>
              <w:t>有下列情形之一的：</w:t>
            </w:r>
          </w:p>
          <w:p>
            <w:pPr>
              <w:pStyle w:val="TableText"/>
              <w:ind w:left="120" w:hanging="9"/>
              <w:spacing w:before="51" w:line="235" w:lineRule="auto"/>
              <w:rPr>
                <w:sz w:val="25"/>
                <w:szCs w:val="25"/>
              </w:rPr>
            </w:pPr>
            <w:r>
              <w:rPr>
                <w:sz w:val="25"/>
                <w:szCs w:val="25"/>
                <w:spacing w:val="-3"/>
              </w:rPr>
              <w:t>A.医疗机构放射诊疗设备未由省级以上卫生行政部门资质认证的检测</w:t>
            </w:r>
            <w:r>
              <w:rPr>
                <w:sz w:val="25"/>
                <w:szCs w:val="25"/>
                <w:spacing w:val="-4"/>
              </w:rPr>
              <w:t>机构每年</w:t>
            </w:r>
            <w:r>
              <w:rPr>
                <w:sz w:val="25"/>
                <w:szCs w:val="25"/>
              </w:rPr>
              <w:t xml:space="preserve"> </w:t>
            </w:r>
            <w:r>
              <w:rPr>
                <w:sz w:val="25"/>
                <w:szCs w:val="25"/>
              </w:rPr>
              <w:t>至少进行一次状态检测，设备数目为2件(套)的</w:t>
            </w:r>
          </w:p>
          <w:p>
            <w:pPr>
              <w:pStyle w:val="TableText"/>
              <w:ind w:left="120" w:hanging="9"/>
              <w:spacing w:before="42" w:line="216" w:lineRule="auto"/>
              <w:rPr>
                <w:sz w:val="25"/>
                <w:szCs w:val="25"/>
              </w:rPr>
            </w:pPr>
            <w:r>
              <w:rPr>
                <w:sz w:val="25"/>
                <w:szCs w:val="25"/>
                <w:spacing w:val="-3"/>
              </w:rPr>
              <w:t>B.医疗机构放射诊疗设备未由省级以上卫生行政部门资质认证的检测</w:t>
            </w:r>
            <w:r>
              <w:rPr>
                <w:sz w:val="25"/>
                <w:szCs w:val="25"/>
                <w:spacing w:val="-4"/>
              </w:rPr>
              <w:t>机构每年</w:t>
            </w:r>
            <w:r>
              <w:rPr>
                <w:sz w:val="25"/>
                <w:szCs w:val="25"/>
              </w:rPr>
              <w:t xml:space="preserve"> </w:t>
            </w:r>
            <w:r>
              <w:rPr>
                <w:sz w:val="25"/>
                <w:szCs w:val="25"/>
              </w:rPr>
              <w:t>至少进行一次状态检测，超出检测周期三个月以上、六个月以内的</w:t>
            </w:r>
          </w:p>
        </w:tc>
        <w:tc>
          <w:tcPr>
            <w:tcW w:w="4091" w:type="dxa"/>
            <w:vAlign w:val="top"/>
          </w:tcPr>
          <w:p>
            <w:pPr>
              <w:spacing w:line="399" w:lineRule="auto"/>
              <w:rPr>
                <w:rFonts w:ascii="Arial"/>
                <w:sz w:val="21"/>
              </w:rPr>
            </w:pPr>
            <w:r/>
          </w:p>
          <w:p>
            <w:pPr>
              <w:pStyle w:val="TableText"/>
              <w:ind w:left="135" w:hanging="9"/>
              <w:spacing w:before="81" w:line="256" w:lineRule="auto"/>
              <w:rPr>
                <w:sz w:val="25"/>
                <w:szCs w:val="25"/>
              </w:rPr>
            </w:pPr>
            <w:r>
              <w:rPr>
                <w:sz w:val="25"/>
                <w:szCs w:val="25"/>
                <w:spacing w:val="-3"/>
              </w:rPr>
              <w:t>给予警告，责令限期改正；并处1000</w:t>
            </w:r>
            <w:r>
              <w:rPr>
                <w:sz w:val="25"/>
                <w:szCs w:val="25"/>
                <w:spacing w:val="7"/>
              </w:rPr>
              <w:t xml:space="preserve"> </w:t>
            </w:r>
            <w:r>
              <w:rPr>
                <w:sz w:val="25"/>
                <w:szCs w:val="25"/>
              </w:rPr>
              <w:t>元以上3000元以下的罚款</w:t>
            </w:r>
          </w:p>
        </w:tc>
      </w:tr>
    </w:tbl>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ind w:left="6354"/>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—656—</w:t>
      </w:r>
    </w:p>
    <w:p>
      <w:pPr>
        <w:spacing w:line="188" w:lineRule="auto"/>
        <w:sectPr>
          <w:footerReference w:type="default" r:id="rId24"/>
          <w:pgSz w:w="16830" w:h="11900"/>
          <w:pgMar w:top="1011" w:right="1375" w:bottom="400" w:left="1425" w:header="0" w:footer="0" w:gutter="0"/>
        </w:sectPr>
        <w:rPr>
          <w:rFonts w:ascii="Times New Roman" w:hAnsi="Times New Roman" w:eastAsia="Times New Roman" w:cs="Times New Roman"/>
          <w:sz w:val="37"/>
          <w:szCs w:val="37"/>
        </w:rPr>
      </w:pPr>
    </w:p>
    <w:p>
      <w:pPr>
        <w:spacing w:before="13"/>
        <w:rPr/>
      </w:pPr>
      <w:r/>
    </w:p>
    <w:p>
      <w:pPr>
        <w:spacing w:before="13"/>
        <w:rPr/>
      </w:pPr>
      <w:r/>
    </w:p>
    <w:p>
      <w:pPr>
        <w:spacing w:before="13"/>
        <w:rPr/>
      </w:pPr>
      <w:r/>
    </w:p>
    <w:tbl>
      <w:tblPr>
        <w:tblStyle w:val="TableNormal"/>
        <w:tblW w:w="140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8534"/>
        <w:gridCol w:w="4072"/>
      </w:tblGrid>
      <w:tr>
        <w:trPr>
          <w:trHeight w:val="1712" w:hRule="atLeast"/>
        </w:trPr>
        <w:tc>
          <w:tcPr>
            <w:tcW w:w="1404" w:type="dxa"/>
            <w:vAlign w:val="top"/>
          </w:tcPr>
          <w:p>
            <w:pPr>
              <w:spacing w:line="324" w:lineRule="auto"/>
              <w:rPr>
                <w:rFonts w:ascii="Arial"/>
                <w:sz w:val="21"/>
              </w:rPr>
            </w:pPr>
            <w:r/>
          </w:p>
          <w:p>
            <w:pPr>
              <w:spacing w:line="325" w:lineRule="auto"/>
              <w:rPr>
                <w:rFonts w:ascii="Arial"/>
                <w:sz w:val="21"/>
              </w:rPr>
            </w:pPr>
            <w:r/>
          </w:p>
          <w:p>
            <w:pPr>
              <w:pStyle w:val="TableText"/>
              <w:ind w:left="448"/>
              <w:spacing w:before="82" w:line="221" w:lineRule="auto"/>
              <w:rPr>
                <w:sz w:val="25"/>
                <w:szCs w:val="25"/>
              </w:rPr>
            </w:pPr>
            <w:bookmarkStart w:name="bookmark1211" w:id="588"/>
            <w:bookmarkEnd w:id="588"/>
            <w:r>
              <w:rPr>
                <w:sz w:val="25"/>
                <w:szCs w:val="25"/>
                <w:b/>
                <w:bCs/>
                <w:spacing w:val="-6"/>
              </w:rPr>
              <w:t>较重</w:t>
            </w:r>
          </w:p>
        </w:tc>
        <w:tc>
          <w:tcPr>
            <w:tcW w:w="8534" w:type="dxa"/>
            <w:vAlign w:val="top"/>
          </w:tcPr>
          <w:p>
            <w:pPr>
              <w:pStyle w:val="TableText"/>
              <w:ind w:left="130"/>
              <w:spacing w:before="66" w:line="220" w:lineRule="auto"/>
              <w:rPr>
                <w:sz w:val="25"/>
                <w:szCs w:val="25"/>
              </w:rPr>
            </w:pPr>
            <w:r>
              <w:rPr>
                <w:sz w:val="25"/>
                <w:szCs w:val="25"/>
                <w:spacing w:val="2"/>
              </w:rPr>
              <w:t>有下列情形之一的：</w:t>
            </w:r>
          </w:p>
          <w:p>
            <w:pPr>
              <w:pStyle w:val="TableText"/>
              <w:ind w:left="130" w:hanging="9"/>
              <w:spacing w:before="50" w:line="239" w:lineRule="auto"/>
              <w:rPr>
                <w:sz w:val="25"/>
                <w:szCs w:val="25"/>
              </w:rPr>
            </w:pPr>
            <w:r>
              <w:rPr>
                <w:sz w:val="25"/>
                <w:szCs w:val="25"/>
                <w:spacing w:val="-3"/>
              </w:rPr>
              <w:t>A.医疗机构放射诊疗设备未由省级以上卫生行政部门资质认证的检测机构每年</w:t>
            </w:r>
            <w:r>
              <w:rPr>
                <w:sz w:val="25"/>
                <w:szCs w:val="25"/>
                <w:spacing w:val="6"/>
              </w:rPr>
              <w:t xml:space="preserve"> </w:t>
            </w:r>
            <w:r>
              <w:rPr>
                <w:sz w:val="25"/>
                <w:szCs w:val="25"/>
                <w:spacing w:val="1"/>
              </w:rPr>
              <w:t>至少进行一次状态检测，设备数目为3件(</w:t>
            </w:r>
            <w:r>
              <w:rPr>
                <w:sz w:val="25"/>
                <w:szCs w:val="25"/>
              </w:rPr>
              <w:t>套)的</w:t>
            </w:r>
          </w:p>
          <w:p>
            <w:pPr>
              <w:pStyle w:val="TableText"/>
              <w:ind w:left="130" w:hanging="19"/>
              <w:spacing w:before="22" w:line="228" w:lineRule="auto"/>
              <w:rPr>
                <w:sz w:val="25"/>
                <w:szCs w:val="25"/>
              </w:rPr>
            </w:pPr>
            <w:r>
              <w:rPr>
                <w:sz w:val="25"/>
                <w:szCs w:val="25"/>
                <w:spacing w:val="-3"/>
              </w:rPr>
              <w:t>B.医疗机构放射诊疗设备未由省级以上卫生行政部门资质认证的检测机构每年</w:t>
            </w:r>
            <w:r>
              <w:rPr>
                <w:sz w:val="25"/>
                <w:szCs w:val="25"/>
                <w:spacing w:val="16"/>
              </w:rPr>
              <w:t xml:space="preserve"> </w:t>
            </w:r>
            <w:r>
              <w:rPr>
                <w:sz w:val="25"/>
                <w:szCs w:val="25"/>
              </w:rPr>
              <w:t>至少进行一次状态检测，超出检测周期六个月以上、九个月以内的</w:t>
            </w:r>
          </w:p>
        </w:tc>
        <w:tc>
          <w:tcPr>
            <w:tcW w:w="4072" w:type="dxa"/>
            <w:vAlign w:val="top"/>
          </w:tcPr>
          <w:p>
            <w:pPr>
              <w:spacing w:line="400" w:lineRule="auto"/>
              <w:rPr>
                <w:rFonts w:ascii="Arial"/>
                <w:sz w:val="21"/>
              </w:rPr>
            </w:pPr>
            <w:r/>
          </w:p>
          <w:p>
            <w:pPr>
              <w:pStyle w:val="TableText"/>
              <w:ind w:left="107"/>
              <w:spacing w:before="81" w:line="248" w:lineRule="auto"/>
              <w:rPr>
                <w:sz w:val="25"/>
                <w:szCs w:val="25"/>
              </w:rPr>
            </w:pPr>
            <w:r>
              <w:rPr>
                <w:sz w:val="25"/>
                <w:szCs w:val="25"/>
                <w:spacing w:val="-3"/>
              </w:rPr>
              <w:t>给予警告，责令限期改正，并处3000</w:t>
            </w:r>
            <w:r>
              <w:rPr>
                <w:sz w:val="25"/>
                <w:szCs w:val="25"/>
                <w:spacing w:val="7"/>
              </w:rPr>
              <w:t xml:space="preserve"> </w:t>
            </w:r>
            <w:r>
              <w:rPr>
                <w:sz w:val="25"/>
                <w:szCs w:val="25"/>
              </w:rPr>
              <w:t>元以上7000元以下的罚款</w:t>
            </w:r>
          </w:p>
        </w:tc>
      </w:tr>
      <w:tr>
        <w:trPr>
          <w:trHeight w:val="1707" w:hRule="atLeast"/>
        </w:trPr>
        <w:tc>
          <w:tcPr>
            <w:tcW w:w="1404" w:type="dxa"/>
            <w:vAlign w:val="top"/>
          </w:tcPr>
          <w:p>
            <w:pPr>
              <w:spacing w:line="322" w:lineRule="auto"/>
              <w:rPr>
                <w:rFonts w:ascii="Arial"/>
                <w:sz w:val="21"/>
              </w:rPr>
            </w:pPr>
            <w:r/>
          </w:p>
          <w:p>
            <w:pPr>
              <w:spacing w:line="323" w:lineRule="auto"/>
              <w:rPr>
                <w:rFonts w:ascii="Arial"/>
                <w:sz w:val="21"/>
              </w:rPr>
            </w:pPr>
            <w:r/>
          </w:p>
          <w:p>
            <w:pPr>
              <w:pStyle w:val="TableText"/>
              <w:ind w:left="448"/>
              <w:spacing w:before="81" w:line="220" w:lineRule="auto"/>
              <w:rPr>
                <w:sz w:val="25"/>
                <w:szCs w:val="25"/>
              </w:rPr>
            </w:pPr>
            <w:r>
              <w:rPr>
                <w:sz w:val="25"/>
                <w:szCs w:val="25"/>
                <w:b/>
                <w:bCs/>
                <w:spacing w:val="-6"/>
              </w:rPr>
              <w:t>严重</w:t>
            </w:r>
          </w:p>
        </w:tc>
        <w:tc>
          <w:tcPr>
            <w:tcW w:w="8534" w:type="dxa"/>
            <w:vAlign w:val="top"/>
          </w:tcPr>
          <w:p>
            <w:pPr>
              <w:pStyle w:val="TableText"/>
              <w:ind w:left="130"/>
              <w:spacing w:before="94" w:line="220" w:lineRule="auto"/>
              <w:rPr>
                <w:sz w:val="25"/>
                <w:szCs w:val="25"/>
              </w:rPr>
            </w:pPr>
            <w:r>
              <w:rPr>
                <w:sz w:val="25"/>
                <w:szCs w:val="25"/>
                <w:spacing w:val="2"/>
              </w:rPr>
              <w:t>有下列情形之一的：</w:t>
            </w:r>
          </w:p>
          <w:p>
            <w:pPr>
              <w:pStyle w:val="TableText"/>
              <w:ind w:left="130" w:hanging="19"/>
              <w:spacing w:before="10" w:line="239" w:lineRule="auto"/>
              <w:rPr>
                <w:sz w:val="25"/>
                <w:szCs w:val="25"/>
              </w:rPr>
            </w:pPr>
            <w:r>
              <w:rPr>
                <w:sz w:val="25"/>
                <w:szCs w:val="25"/>
                <w:spacing w:val="-3"/>
              </w:rPr>
              <w:t>A.医疗机构放射诊疗设备未由省级以上卫生行政部门资质认证的检测机构每年</w:t>
            </w:r>
            <w:r>
              <w:rPr>
                <w:sz w:val="25"/>
                <w:szCs w:val="25"/>
                <w:spacing w:val="16"/>
              </w:rPr>
              <w:t xml:space="preserve"> </w:t>
            </w:r>
            <w:r>
              <w:rPr>
                <w:sz w:val="25"/>
                <w:szCs w:val="25"/>
                <w:spacing w:val="1"/>
              </w:rPr>
              <w:t>至少进行一次状态检测，设备数目为4件(</w:t>
            </w:r>
            <w:r>
              <w:rPr>
                <w:sz w:val="25"/>
                <w:szCs w:val="25"/>
              </w:rPr>
              <w:t>套)的</w:t>
            </w:r>
          </w:p>
          <w:p>
            <w:pPr>
              <w:pStyle w:val="TableText"/>
              <w:ind w:left="130" w:hanging="19"/>
              <w:spacing w:before="43" w:line="223" w:lineRule="auto"/>
              <w:rPr>
                <w:sz w:val="25"/>
                <w:szCs w:val="25"/>
              </w:rPr>
            </w:pPr>
            <w:r>
              <w:rPr>
                <w:sz w:val="25"/>
                <w:szCs w:val="25"/>
                <w:spacing w:val="-3"/>
              </w:rPr>
              <w:t>B.医疗机构放射诊疗设备未由省级以上卫生行政部门资质认证的检测机构每年</w:t>
            </w:r>
            <w:r>
              <w:rPr>
                <w:sz w:val="25"/>
                <w:szCs w:val="25"/>
                <w:spacing w:val="16"/>
              </w:rPr>
              <w:t xml:space="preserve"> </w:t>
            </w:r>
            <w:r>
              <w:rPr>
                <w:sz w:val="25"/>
                <w:szCs w:val="25"/>
              </w:rPr>
              <w:t>至少进行一次状态检测，超出检测周期九个月以上、十二个月以内的</w:t>
            </w:r>
          </w:p>
        </w:tc>
        <w:tc>
          <w:tcPr>
            <w:tcW w:w="4072" w:type="dxa"/>
            <w:vAlign w:val="top"/>
          </w:tcPr>
          <w:p>
            <w:pPr>
              <w:spacing w:line="396" w:lineRule="auto"/>
              <w:rPr>
                <w:rFonts w:ascii="Arial"/>
                <w:sz w:val="21"/>
              </w:rPr>
            </w:pPr>
            <w:r/>
          </w:p>
          <w:p>
            <w:pPr>
              <w:pStyle w:val="TableText"/>
              <w:ind w:left="107" w:firstLine="9"/>
              <w:spacing w:before="81" w:line="256" w:lineRule="auto"/>
              <w:rPr>
                <w:sz w:val="25"/>
                <w:szCs w:val="25"/>
              </w:rPr>
            </w:pPr>
            <w:r>
              <w:rPr>
                <w:sz w:val="25"/>
                <w:szCs w:val="25"/>
                <w:spacing w:val="-4"/>
              </w:rPr>
              <w:t>给予警告，责令限期改正，并处7000</w:t>
            </w:r>
            <w:r>
              <w:rPr>
                <w:sz w:val="25"/>
                <w:szCs w:val="25"/>
                <w:spacing w:val="16"/>
              </w:rPr>
              <w:t xml:space="preserve"> </w:t>
            </w:r>
            <w:r>
              <w:rPr>
                <w:sz w:val="25"/>
                <w:szCs w:val="25"/>
              </w:rPr>
              <w:t>元以上一万元以下的罚款</w:t>
            </w:r>
          </w:p>
        </w:tc>
      </w:tr>
      <w:tr>
        <w:trPr>
          <w:trHeight w:val="2381" w:hRule="atLeast"/>
        </w:trPr>
        <w:tc>
          <w:tcPr>
            <w:tcW w:w="1404"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198"/>
              <w:spacing w:before="81" w:line="219" w:lineRule="auto"/>
              <w:rPr>
                <w:sz w:val="25"/>
                <w:szCs w:val="25"/>
              </w:rPr>
            </w:pPr>
            <w:r>
              <w:rPr>
                <w:sz w:val="25"/>
                <w:szCs w:val="25"/>
                <w:b/>
                <w:bCs/>
                <w:spacing w:val="-5"/>
              </w:rPr>
              <w:t>特别严重</w:t>
            </w:r>
          </w:p>
        </w:tc>
        <w:tc>
          <w:tcPr>
            <w:tcW w:w="8534" w:type="dxa"/>
            <w:vAlign w:val="top"/>
          </w:tcPr>
          <w:p>
            <w:pPr>
              <w:pStyle w:val="TableText"/>
              <w:ind w:left="130"/>
              <w:spacing w:before="57" w:line="220" w:lineRule="auto"/>
              <w:rPr>
                <w:sz w:val="25"/>
                <w:szCs w:val="25"/>
              </w:rPr>
            </w:pPr>
            <w:r>
              <w:rPr>
                <w:sz w:val="25"/>
                <w:szCs w:val="25"/>
                <w:spacing w:val="2"/>
              </w:rPr>
              <w:t>有下列情形之一的：</w:t>
            </w:r>
          </w:p>
          <w:p>
            <w:pPr>
              <w:pStyle w:val="TableText"/>
              <w:ind w:left="129" w:hanging="29"/>
              <w:spacing w:before="50" w:line="239" w:lineRule="auto"/>
              <w:rPr>
                <w:sz w:val="25"/>
                <w:szCs w:val="25"/>
              </w:rPr>
            </w:pPr>
            <w:r>
              <w:rPr>
                <w:sz w:val="25"/>
                <w:szCs w:val="25"/>
                <w:spacing w:val="-2"/>
              </w:rPr>
              <w:t>A.医疗机构放射诊疗设备未由省级以上卫生行政部门资质认</w:t>
            </w:r>
            <w:r>
              <w:rPr>
                <w:sz w:val="25"/>
                <w:szCs w:val="25"/>
                <w:spacing w:val="-3"/>
              </w:rPr>
              <w:t>证的检测机构每年</w:t>
            </w:r>
            <w:r>
              <w:rPr>
                <w:sz w:val="25"/>
                <w:szCs w:val="25"/>
              </w:rPr>
              <w:t xml:space="preserve"> </w:t>
            </w:r>
            <w:r>
              <w:rPr>
                <w:sz w:val="25"/>
                <w:szCs w:val="25"/>
              </w:rPr>
              <w:t>至少进行一次状态检测，设备数目为5件(套)及以上的</w:t>
            </w:r>
          </w:p>
          <w:p>
            <w:pPr>
              <w:pStyle w:val="TableText"/>
              <w:ind w:left="130" w:hanging="9"/>
              <w:spacing w:before="31" w:line="243" w:lineRule="auto"/>
              <w:rPr>
                <w:sz w:val="25"/>
                <w:szCs w:val="25"/>
              </w:rPr>
            </w:pPr>
            <w:r>
              <w:rPr>
                <w:sz w:val="25"/>
                <w:szCs w:val="25"/>
                <w:spacing w:val="-3"/>
              </w:rPr>
              <w:t>B.医疗机构放射诊疗设备未由省级以上卫生行政部门资质认证的检测机构每年</w:t>
            </w:r>
            <w:r>
              <w:rPr>
                <w:sz w:val="25"/>
                <w:szCs w:val="25"/>
                <w:spacing w:val="6"/>
              </w:rPr>
              <w:t xml:space="preserve"> </w:t>
            </w:r>
            <w:r>
              <w:rPr>
                <w:sz w:val="25"/>
                <w:szCs w:val="25"/>
              </w:rPr>
              <w:t>至少进行一次状态检测，超出检测周期十二个月以上的</w:t>
            </w:r>
          </w:p>
          <w:p>
            <w:pPr>
              <w:pStyle w:val="TableText"/>
              <w:ind w:left="130" w:hanging="19"/>
              <w:spacing w:before="32" w:line="220" w:lineRule="auto"/>
              <w:rPr>
                <w:sz w:val="25"/>
                <w:szCs w:val="25"/>
              </w:rPr>
            </w:pPr>
            <w:r>
              <w:rPr>
                <w:sz w:val="25"/>
                <w:szCs w:val="25"/>
                <w:spacing w:val="-9"/>
              </w:rPr>
              <w:t>C.医疗机构未按照规定对放射诊疗设备、工作</w:t>
            </w:r>
            <w:r>
              <w:rPr>
                <w:sz w:val="25"/>
                <w:szCs w:val="25"/>
                <w:spacing w:val="-10"/>
              </w:rPr>
              <w:t>场所及防护设施进行检测和检查，</w:t>
            </w:r>
            <w:r>
              <w:rPr>
                <w:sz w:val="25"/>
                <w:szCs w:val="25"/>
              </w:rPr>
              <w:t xml:space="preserve"> </w:t>
            </w:r>
            <w:r>
              <w:rPr>
                <w:sz w:val="25"/>
                <w:szCs w:val="25"/>
                <w:spacing w:val="-1"/>
              </w:rPr>
              <w:t>造成严重后果的</w:t>
            </w:r>
          </w:p>
        </w:tc>
        <w:tc>
          <w:tcPr>
            <w:tcW w:w="4072"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07"/>
              <w:spacing w:before="82" w:line="248" w:lineRule="auto"/>
              <w:rPr>
                <w:sz w:val="25"/>
                <w:szCs w:val="25"/>
              </w:rPr>
            </w:pPr>
            <w:r>
              <w:rPr>
                <w:sz w:val="25"/>
                <w:szCs w:val="25"/>
                <w:spacing w:val="-3"/>
              </w:rPr>
              <w:t>给予警告，责令限期改正，并处一万</w:t>
            </w:r>
            <w:r>
              <w:rPr>
                <w:sz w:val="25"/>
                <w:szCs w:val="25"/>
                <w:spacing w:val="1"/>
              </w:rPr>
              <w:t xml:space="preserve"> </w:t>
            </w:r>
            <w:r>
              <w:rPr>
                <w:sz w:val="25"/>
                <w:szCs w:val="25"/>
                <w:spacing w:val="2"/>
              </w:rPr>
              <w:t>元的罚款</w:t>
            </w:r>
          </w:p>
        </w:tc>
      </w:tr>
    </w:tbl>
    <w:p>
      <w:pPr>
        <w:ind w:left="484"/>
        <w:spacing w:before="129" w:line="219" w:lineRule="auto"/>
        <w:rPr>
          <w:rFonts w:ascii="FangSong" w:hAnsi="FangSong" w:eastAsia="FangSong" w:cs="FangSong"/>
          <w:sz w:val="24"/>
          <w:szCs w:val="24"/>
        </w:rPr>
      </w:pPr>
      <w:r>
        <w:rPr>
          <w:rFonts w:ascii="FangSong" w:hAnsi="FangSong" w:eastAsia="FangSong" w:cs="FangSong"/>
          <w:sz w:val="24"/>
          <w:szCs w:val="24"/>
          <w:spacing w:val="-2"/>
        </w:rPr>
        <w:t>备注：若</w:t>
      </w:r>
      <w:r>
        <w:rPr>
          <w:rFonts w:ascii="Times New Roman" w:hAnsi="Times New Roman" w:eastAsia="Times New Roman" w:cs="Times New Roman"/>
          <w:sz w:val="24"/>
          <w:szCs w:val="24"/>
          <w:spacing w:val="-2"/>
        </w:rPr>
        <w:t>AB</w:t>
      </w:r>
      <w:r>
        <w:rPr>
          <w:rFonts w:ascii="FangSong" w:hAnsi="FangSong" w:eastAsia="FangSong" w:cs="FangSong"/>
          <w:sz w:val="24"/>
          <w:szCs w:val="24"/>
          <w:spacing w:val="-2"/>
        </w:rPr>
        <w:t>两种情形同时出现在不同违法程度中，择重处罚。</w:t>
      </w:r>
    </w:p>
    <w:p>
      <w:pPr>
        <w:pStyle w:val="BodyText"/>
        <w:spacing w:line="327" w:lineRule="auto"/>
        <w:rPr/>
      </w:pPr>
      <w:r/>
    </w:p>
    <w:p>
      <w:pPr>
        <w:ind w:left="19" w:right="104" w:firstLine="639"/>
        <w:spacing w:before="100" w:line="264" w:lineRule="auto"/>
        <w:rPr>
          <w:rFonts w:ascii="KaiTi" w:hAnsi="KaiTi" w:eastAsia="KaiTi" w:cs="KaiTi"/>
          <w:sz w:val="31"/>
          <w:szCs w:val="31"/>
        </w:rPr>
      </w:pPr>
      <w:r>
        <w:rPr>
          <w:rFonts w:ascii="KaiTi" w:hAnsi="KaiTi" w:eastAsia="KaiTi" w:cs="KaiTi"/>
          <w:sz w:val="31"/>
          <w:szCs w:val="31"/>
          <w:b/>
          <w:bCs/>
          <w:spacing w:val="10"/>
        </w:rPr>
        <w:t>第五百五十五条医疗机构未按照规定对放射诊疗工作人员进行个人剂量监测、健康检查、建立</w:t>
      </w:r>
      <w:r>
        <w:rPr>
          <w:rFonts w:ascii="KaiTi" w:hAnsi="KaiTi" w:eastAsia="KaiTi" w:cs="KaiTi"/>
          <w:sz w:val="31"/>
          <w:szCs w:val="31"/>
          <w:spacing w:val="2"/>
        </w:rPr>
        <w:t xml:space="preserve"> </w:t>
      </w:r>
      <w:r>
        <w:rPr>
          <w:rFonts w:ascii="KaiTi" w:hAnsi="KaiTi" w:eastAsia="KaiTi" w:cs="KaiTi"/>
          <w:sz w:val="31"/>
          <w:szCs w:val="31"/>
          <w:b/>
          <w:bCs/>
          <w:spacing w:val="6"/>
        </w:rPr>
        <w:t>个人剂量和健康档案的</w:t>
      </w:r>
    </w:p>
    <w:p>
      <w:pPr>
        <w:ind w:left="654"/>
        <w:spacing w:before="43"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spacing w:line="222" w:lineRule="auto"/>
        <w:sectPr>
          <w:footerReference w:type="default" r:id="rId579"/>
          <w:pgSz w:w="16830" w:h="11900"/>
          <w:pgMar w:top="1011" w:right="1374" w:bottom="1118" w:left="1434" w:header="0" w:footer="785" w:gutter="0"/>
        </w:sectPr>
        <w:rPr>
          <w:rFonts w:ascii="FangSong" w:hAnsi="FangSong" w:eastAsia="FangSong" w:cs="FangSong"/>
          <w:sz w:val="27"/>
          <w:szCs w:val="27"/>
        </w:rPr>
      </w:pPr>
    </w:p>
    <w:p>
      <w:pPr>
        <w:pStyle w:val="BodyText"/>
        <w:spacing w:line="253" w:lineRule="auto"/>
        <w:rPr/>
      </w:pPr>
      <w:r/>
    </w:p>
    <w:p>
      <w:pPr>
        <w:pStyle w:val="BodyText"/>
        <w:spacing w:line="254" w:lineRule="auto"/>
        <w:rPr/>
      </w:pPr>
      <w:r/>
    </w:p>
    <w:p>
      <w:pPr>
        <w:pStyle w:val="BodyText"/>
        <w:spacing w:line="254" w:lineRule="auto"/>
        <w:rPr/>
      </w:pPr>
      <w:r/>
    </w:p>
    <w:p>
      <w:pPr>
        <w:ind w:left="15" w:firstLine="614"/>
        <w:spacing w:before="101" w:line="263" w:lineRule="auto"/>
        <w:rPr>
          <w:rFonts w:ascii="FangSong" w:hAnsi="FangSong" w:eastAsia="FangSong" w:cs="FangSong"/>
          <w:sz w:val="31"/>
          <w:szCs w:val="31"/>
        </w:rPr>
      </w:pPr>
      <w:bookmarkStart w:name="bookmark1212" w:id="589"/>
      <w:bookmarkEnd w:id="589"/>
      <w:r>
        <w:rPr>
          <w:rFonts w:ascii="FangSong" w:hAnsi="FangSong" w:eastAsia="FangSong" w:cs="FangSong"/>
          <w:sz w:val="31"/>
          <w:szCs w:val="31"/>
          <w:spacing w:val="14"/>
        </w:rPr>
        <w:t>《放射诊疗管理规定》第四十一条第(四)项</w:t>
      </w:r>
      <w:r>
        <w:rPr>
          <w:rFonts w:ascii="FangSong" w:hAnsi="FangSong" w:eastAsia="FangSong" w:cs="FangSong"/>
          <w:sz w:val="31"/>
          <w:szCs w:val="31"/>
          <w:spacing w:val="14"/>
        </w:rPr>
        <w:t xml:space="preserve">  </w:t>
      </w:r>
      <w:r>
        <w:rPr>
          <w:rFonts w:ascii="FangSong" w:hAnsi="FangSong" w:eastAsia="FangSong" w:cs="FangSong"/>
          <w:sz w:val="31"/>
          <w:szCs w:val="31"/>
          <w:spacing w:val="14"/>
        </w:rPr>
        <w:t>医疗机构违反本规定，有下列</w:t>
      </w:r>
      <w:r>
        <w:rPr>
          <w:rFonts w:ascii="FangSong" w:hAnsi="FangSong" w:eastAsia="FangSong" w:cs="FangSong"/>
          <w:sz w:val="31"/>
          <w:szCs w:val="31"/>
          <w:spacing w:val="13"/>
        </w:rPr>
        <w:t>行为之一的，由县</w:t>
      </w:r>
      <w:r>
        <w:rPr>
          <w:rFonts w:ascii="FangSong" w:hAnsi="FangSong" w:eastAsia="FangSong" w:cs="FangSong"/>
          <w:sz w:val="31"/>
          <w:szCs w:val="31"/>
        </w:rPr>
        <w:t xml:space="preserve"> </w:t>
      </w:r>
      <w:r>
        <w:rPr>
          <w:rFonts w:ascii="FangSong" w:hAnsi="FangSong" w:eastAsia="FangSong" w:cs="FangSong"/>
          <w:sz w:val="31"/>
          <w:szCs w:val="31"/>
          <w:spacing w:val="7"/>
        </w:rPr>
        <w:t>级以上卫生行政部门给予警告，责令限期改正；并可处一万元以下的罚款：</w:t>
      </w:r>
    </w:p>
    <w:p>
      <w:pPr>
        <w:ind w:left="5" w:right="4" w:firstLine="780"/>
        <w:spacing w:before="2" w:line="297" w:lineRule="auto"/>
        <w:rPr>
          <w:rFonts w:ascii="SimSun" w:hAnsi="SimSun" w:eastAsia="SimSun" w:cs="SimSun"/>
          <w:sz w:val="31"/>
          <w:szCs w:val="31"/>
        </w:rPr>
      </w:pPr>
      <w:r>
        <w:rPr>
          <w:rFonts w:ascii="SimSun" w:hAnsi="SimSun" w:eastAsia="SimSun" w:cs="SimSun"/>
          <w:sz w:val="31"/>
          <w:szCs w:val="31"/>
          <w:spacing w:val="10"/>
        </w:rPr>
        <w:t>(四)未按照规定对放射诊疗工作人员进行个人剂量监测、健康检查、建立个人剂量和健康档案</w:t>
      </w:r>
      <w:r>
        <w:rPr>
          <w:rFonts w:ascii="SimSun" w:hAnsi="SimSun" w:eastAsia="SimSun" w:cs="SimSun"/>
          <w:sz w:val="31"/>
          <w:szCs w:val="31"/>
          <w:spacing w:val="15"/>
        </w:rPr>
        <w:t xml:space="preserve"> </w:t>
      </w:r>
      <w:r>
        <w:rPr>
          <w:rFonts w:ascii="SimSun" w:hAnsi="SimSun" w:eastAsia="SimSun" w:cs="SimSun"/>
          <w:sz w:val="31"/>
          <w:szCs w:val="31"/>
          <w:spacing w:val="-12"/>
        </w:rPr>
        <w:t>的；</w:t>
      </w:r>
    </w:p>
    <w:p>
      <w:pPr>
        <w:ind w:left="6419"/>
        <w:spacing w:before="47"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94"/>
        <w:gridCol w:w="7564"/>
        <w:gridCol w:w="4542"/>
      </w:tblGrid>
      <w:tr>
        <w:trPr>
          <w:trHeight w:val="553" w:hRule="atLeast"/>
        </w:trPr>
        <w:tc>
          <w:tcPr>
            <w:tcW w:w="1794" w:type="dxa"/>
            <w:vAlign w:val="top"/>
          </w:tcPr>
          <w:p>
            <w:pPr>
              <w:pStyle w:val="TableText"/>
              <w:ind w:left="308"/>
              <w:spacing w:before="16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7564" w:type="dxa"/>
            <w:vAlign w:val="top"/>
          </w:tcPr>
          <w:p>
            <w:pPr>
              <w:pStyle w:val="TableText"/>
              <w:ind w:left="3294"/>
              <w:spacing w:before="162" w:line="220" w:lineRule="auto"/>
              <w:rPr/>
            </w:pPr>
            <w:r>
              <w:rPr>
                <w:b/>
                <w:bCs/>
                <w:spacing w:val="-5"/>
              </w:rPr>
              <w:t>情节后果</w:t>
            </w:r>
          </w:p>
        </w:tc>
        <w:tc>
          <w:tcPr>
            <w:tcW w:w="4542" w:type="dxa"/>
            <w:vAlign w:val="top"/>
          </w:tcPr>
          <w:p>
            <w:pPr>
              <w:pStyle w:val="TableText"/>
              <w:ind w:left="1790"/>
              <w:spacing w:before="159" w:line="218" w:lineRule="auto"/>
              <w:rPr/>
            </w:pPr>
            <w:r>
              <w:rPr>
                <w:b/>
                <w:bCs/>
                <w:spacing w:val="-5"/>
              </w:rPr>
              <w:t>裁量幅度</w:t>
            </w:r>
          </w:p>
        </w:tc>
      </w:tr>
      <w:tr>
        <w:trPr>
          <w:trHeight w:val="768" w:hRule="atLeast"/>
        </w:trPr>
        <w:tc>
          <w:tcPr>
            <w:tcW w:w="1794" w:type="dxa"/>
            <w:vAlign w:val="top"/>
          </w:tcPr>
          <w:p>
            <w:pPr>
              <w:pStyle w:val="TableText"/>
              <w:ind w:left="648"/>
              <w:spacing w:before="269" w:line="221" w:lineRule="auto"/>
              <w:rPr/>
            </w:pPr>
            <w:r>
              <w:rPr>
                <w:b/>
                <w:bCs/>
                <w:spacing w:val="-10"/>
              </w:rPr>
              <w:t>一般</w:t>
            </w:r>
          </w:p>
        </w:tc>
        <w:tc>
          <w:tcPr>
            <w:tcW w:w="7564" w:type="dxa"/>
            <w:vAlign w:val="top"/>
          </w:tcPr>
          <w:p>
            <w:pPr>
              <w:pStyle w:val="TableText"/>
              <w:ind w:left="120" w:right="52" w:hanging="70"/>
              <w:spacing w:before="120" w:line="245" w:lineRule="auto"/>
              <w:rPr/>
            </w:pPr>
            <w:r>
              <w:rPr/>
              <w:t>未按规定对放射诊疗工作人员进行个人剂量监测、健康检查、建立个人</w:t>
            </w:r>
            <w:r>
              <w:rPr>
                <w:spacing w:val="9"/>
              </w:rPr>
              <w:t xml:space="preserve"> </w:t>
            </w:r>
            <w:r>
              <w:rPr>
                <w:spacing w:val="1"/>
              </w:rPr>
              <w:t>剂量和健康档案，数目为1人次数的</w:t>
            </w:r>
          </w:p>
        </w:tc>
        <w:tc>
          <w:tcPr>
            <w:tcW w:w="4542" w:type="dxa"/>
            <w:vAlign w:val="top"/>
          </w:tcPr>
          <w:p>
            <w:pPr>
              <w:pStyle w:val="TableText"/>
              <w:ind w:left="116" w:right="83" w:hanging="9"/>
              <w:spacing w:before="120" w:line="245" w:lineRule="auto"/>
              <w:rPr/>
            </w:pPr>
            <w:r>
              <w:rPr>
                <w:spacing w:val="1"/>
              </w:rPr>
              <w:t>给予警告，责令限期改正；可处3000元以</w:t>
            </w:r>
            <w:r>
              <w:rPr/>
              <w:t xml:space="preserve"> </w:t>
            </w:r>
            <w:r>
              <w:rPr>
                <w:spacing w:val="2"/>
              </w:rPr>
              <w:t>下的罚款</w:t>
            </w:r>
          </w:p>
        </w:tc>
      </w:tr>
      <w:tr>
        <w:trPr>
          <w:trHeight w:val="808" w:hRule="atLeast"/>
        </w:trPr>
        <w:tc>
          <w:tcPr>
            <w:tcW w:w="1794" w:type="dxa"/>
            <w:vAlign w:val="top"/>
          </w:tcPr>
          <w:p>
            <w:pPr>
              <w:pStyle w:val="TableText"/>
              <w:ind w:left="648"/>
              <w:spacing w:before="293" w:line="221" w:lineRule="auto"/>
              <w:rPr/>
            </w:pPr>
            <w:r>
              <w:rPr>
                <w:b/>
                <w:bCs/>
                <w:spacing w:val="-5"/>
              </w:rPr>
              <w:t>较重</w:t>
            </w:r>
          </w:p>
        </w:tc>
        <w:tc>
          <w:tcPr>
            <w:tcW w:w="7564" w:type="dxa"/>
            <w:vAlign w:val="top"/>
          </w:tcPr>
          <w:p>
            <w:pPr>
              <w:pStyle w:val="TableText"/>
              <w:ind w:left="120" w:right="52" w:hanging="70"/>
              <w:spacing w:before="121" w:line="260" w:lineRule="auto"/>
              <w:rPr/>
            </w:pPr>
            <w:r>
              <w:rPr/>
              <w:t>未按规定对放射诊疗工作人员进行个人剂量监测、健康检查、建立个人</w:t>
            </w:r>
            <w:r>
              <w:rPr>
                <w:spacing w:val="9"/>
              </w:rPr>
              <w:t xml:space="preserve"> </w:t>
            </w:r>
            <w:r>
              <w:rPr>
                <w:spacing w:val="1"/>
              </w:rPr>
              <w:t>剂量和健康档案，数目为2人次数的</w:t>
            </w:r>
          </w:p>
        </w:tc>
        <w:tc>
          <w:tcPr>
            <w:tcW w:w="4542" w:type="dxa"/>
            <w:vAlign w:val="top"/>
          </w:tcPr>
          <w:p>
            <w:pPr>
              <w:pStyle w:val="TableText"/>
              <w:ind w:left="127" w:right="214" w:firstLine="99"/>
              <w:spacing w:before="132" w:line="256" w:lineRule="auto"/>
              <w:rPr/>
            </w:pPr>
            <w:r>
              <w:rPr/>
              <w:t>给予警告，责令限期改正；并处3000元</w:t>
            </w:r>
            <w:r>
              <w:rPr>
                <w:spacing w:val="9"/>
              </w:rPr>
              <w:t xml:space="preserve"> </w:t>
            </w:r>
            <w:r>
              <w:rPr/>
              <w:t>以上7000元以下的罚款</w:t>
            </w:r>
          </w:p>
        </w:tc>
      </w:tr>
      <w:tr>
        <w:trPr>
          <w:trHeight w:val="798" w:hRule="atLeast"/>
        </w:trPr>
        <w:tc>
          <w:tcPr>
            <w:tcW w:w="1794" w:type="dxa"/>
            <w:vAlign w:val="top"/>
          </w:tcPr>
          <w:p>
            <w:pPr>
              <w:pStyle w:val="TableText"/>
              <w:ind w:left="648"/>
              <w:spacing w:before="283" w:line="220" w:lineRule="auto"/>
              <w:rPr/>
            </w:pPr>
            <w:r>
              <w:rPr>
                <w:b/>
                <w:bCs/>
                <w:spacing w:val="-6"/>
              </w:rPr>
              <w:t>严重</w:t>
            </w:r>
          </w:p>
        </w:tc>
        <w:tc>
          <w:tcPr>
            <w:tcW w:w="7564" w:type="dxa"/>
            <w:vAlign w:val="top"/>
          </w:tcPr>
          <w:p>
            <w:pPr>
              <w:pStyle w:val="TableText"/>
              <w:ind w:left="120" w:right="52" w:hanging="70"/>
              <w:spacing w:before="145" w:line="247" w:lineRule="auto"/>
              <w:rPr/>
            </w:pPr>
            <w:r>
              <w:rPr/>
              <w:t>未按规定对放射诊疗工作人员进行个人剂量监测、健康检查、建立个人</w:t>
            </w:r>
            <w:r>
              <w:rPr>
                <w:spacing w:val="9"/>
              </w:rPr>
              <w:t xml:space="preserve"> </w:t>
            </w:r>
            <w:r>
              <w:rPr/>
              <w:t>剂量和健康档案，数目在3人次数及以上的</w:t>
            </w:r>
          </w:p>
        </w:tc>
        <w:tc>
          <w:tcPr>
            <w:tcW w:w="4542" w:type="dxa"/>
            <w:vAlign w:val="top"/>
          </w:tcPr>
          <w:p>
            <w:pPr>
              <w:pStyle w:val="TableText"/>
              <w:ind w:left="117" w:right="214" w:firstLine="110"/>
              <w:spacing w:before="143" w:line="248" w:lineRule="auto"/>
              <w:rPr/>
            </w:pPr>
            <w:r>
              <w:rPr/>
              <w:t>给予警告，责令限期改正；并处7000元</w:t>
            </w:r>
            <w:r>
              <w:rPr>
                <w:spacing w:val="9"/>
              </w:rPr>
              <w:t xml:space="preserve"> </w:t>
            </w:r>
            <w:r>
              <w:rPr>
                <w:spacing w:val="1"/>
              </w:rPr>
              <w:t>以上一万元以下的罚款</w:t>
            </w:r>
          </w:p>
        </w:tc>
      </w:tr>
      <w:tr>
        <w:trPr>
          <w:trHeight w:val="793" w:hRule="atLeast"/>
        </w:trPr>
        <w:tc>
          <w:tcPr>
            <w:tcW w:w="1794" w:type="dxa"/>
            <w:vAlign w:val="top"/>
          </w:tcPr>
          <w:p>
            <w:pPr>
              <w:pStyle w:val="TableText"/>
              <w:ind w:left="408"/>
              <w:spacing w:before="284" w:line="219" w:lineRule="auto"/>
              <w:rPr/>
            </w:pPr>
            <w:r>
              <w:rPr>
                <w:b/>
                <w:bCs/>
                <w:spacing w:val="-5"/>
              </w:rPr>
              <w:t>特别严重</w:t>
            </w:r>
          </w:p>
        </w:tc>
        <w:tc>
          <w:tcPr>
            <w:tcW w:w="7564" w:type="dxa"/>
            <w:vAlign w:val="top"/>
          </w:tcPr>
          <w:p>
            <w:pPr>
              <w:pStyle w:val="TableText"/>
              <w:ind w:left="100" w:right="51" w:hanging="50"/>
              <w:spacing w:before="127" w:line="252" w:lineRule="auto"/>
              <w:rPr/>
            </w:pPr>
            <w:r>
              <w:rPr/>
              <w:t>未按规定对放射诊疗工作人员进行个人剂量监测、健康检查，造成严重</w:t>
            </w:r>
            <w:r>
              <w:rPr>
                <w:spacing w:val="10"/>
              </w:rPr>
              <w:t xml:space="preserve"> </w:t>
            </w:r>
            <w:r>
              <w:rPr>
                <w:spacing w:val="6"/>
              </w:rPr>
              <w:t>后果的</w:t>
            </w:r>
          </w:p>
        </w:tc>
        <w:tc>
          <w:tcPr>
            <w:tcW w:w="4542" w:type="dxa"/>
            <w:vAlign w:val="top"/>
          </w:tcPr>
          <w:p>
            <w:pPr>
              <w:pStyle w:val="TableText"/>
              <w:ind w:left="107"/>
              <w:spacing w:before="125" w:line="218" w:lineRule="auto"/>
              <w:rPr/>
            </w:pPr>
            <w:r>
              <w:rPr>
                <w:spacing w:val="1"/>
              </w:rPr>
              <w:t>给予警告，责令限期改正；并处一万元的</w:t>
            </w:r>
          </w:p>
          <w:p>
            <w:pPr>
              <w:pStyle w:val="TableText"/>
              <w:ind w:left="117"/>
              <w:spacing w:before="70" w:line="221" w:lineRule="auto"/>
              <w:rPr/>
            </w:pPr>
            <w:r>
              <w:rPr>
                <w:color w:val="403040"/>
                <w:spacing w:val="5"/>
              </w:rPr>
              <w:t>罚款</w:t>
            </w:r>
          </w:p>
        </w:tc>
      </w:tr>
    </w:tbl>
    <w:p>
      <w:pPr>
        <w:pStyle w:val="BodyText"/>
        <w:spacing w:line="404" w:lineRule="auto"/>
        <w:rPr/>
      </w:pPr>
      <w:r/>
    </w:p>
    <w:p>
      <w:pPr>
        <w:ind w:left="669"/>
        <w:spacing w:before="100" w:line="220" w:lineRule="auto"/>
        <w:rPr>
          <w:rFonts w:ascii="FangSong" w:hAnsi="FangSong" w:eastAsia="FangSong" w:cs="FangSong"/>
          <w:sz w:val="31"/>
          <w:szCs w:val="31"/>
        </w:rPr>
      </w:pPr>
      <w:r>
        <w:rPr>
          <w:rFonts w:ascii="FangSong" w:hAnsi="FangSong" w:eastAsia="FangSong" w:cs="FangSong"/>
          <w:sz w:val="31"/>
          <w:szCs w:val="31"/>
          <w:b/>
          <w:bCs/>
          <w:spacing w:val="12"/>
        </w:rPr>
        <w:t>第五百五十六条医疗机构发生放射事件并造成人员健康严重损害的</w:t>
      </w:r>
    </w:p>
    <w:p>
      <w:pPr>
        <w:ind w:left="654"/>
        <w:spacing w:before="127"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spacing w:before="93" w:line="221" w:lineRule="auto"/>
        <w:jc w:val="right"/>
        <w:rPr>
          <w:rFonts w:ascii="FangSong" w:hAnsi="FangSong" w:eastAsia="FangSong" w:cs="FangSong"/>
          <w:sz w:val="31"/>
          <w:szCs w:val="31"/>
        </w:rPr>
      </w:pPr>
      <w:r>
        <w:rPr>
          <w:rFonts w:ascii="FangSong" w:hAnsi="FangSong" w:eastAsia="FangSong" w:cs="FangSong"/>
          <w:sz w:val="31"/>
          <w:szCs w:val="31"/>
          <w:spacing w:val="14"/>
        </w:rPr>
        <w:t>《放射诊疗管理规定》第四十一条第(五)项</w:t>
      </w:r>
      <w:r>
        <w:rPr>
          <w:rFonts w:ascii="FangSong" w:hAnsi="FangSong" w:eastAsia="FangSong" w:cs="FangSong"/>
          <w:sz w:val="31"/>
          <w:szCs w:val="31"/>
          <w:spacing w:val="10"/>
        </w:rPr>
        <w:t xml:space="preserve">  </w:t>
      </w:r>
      <w:r>
        <w:rPr>
          <w:rFonts w:ascii="FangSong" w:hAnsi="FangSong" w:eastAsia="FangSong" w:cs="FangSong"/>
          <w:sz w:val="31"/>
          <w:szCs w:val="31"/>
          <w:spacing w:val="14"/>
        </w:rPr>
        <w:t>医疗机构违反本规定，有下列行为之一的，由县</w:t>
      </w:r>
    </w:p>
    <w:p>
      <w:pPr>
        <w:spacing w:line="221" w:lineRule="auto"/>
        <w:sectPr>
          <w:footerReference w:type="default" r:id="rId580"/>
          <w:pgSz w:w="16830" w:h="11900"/>
          <w:pgMar w:top="1011" w:right="1459" w:bottom="1107" w:left="1434" w:header="0" w:footer="774"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ind w:left="25"/>
        <w:spacing w:before="98" w:line="220" w:lineRule="auto"/>
        <w:rPr>
          <w:rFonts w:ascii="FangSong" w:hAnsi="FangSong" w:eastAsia="FangSong" w:cs="FangSong"/>
          <w:sz w:val="30"/>
          <w:szCs w:val="30"/>
        </w:rPr>
      </w:pPr>
      <w:bookmarkStart w:name="bookmark1213" w:id="590"/>
      <w:bookmarkEnd w:id="590"/>
      <w:r>
        <w:rPr>
          <w:rFonts w:ascii="FangSong" w:hAnsi="FangSong" w:eastAsia="FangSong" w:cs="FangSong"/>
          <w:sz w:val="30"/>
          <w:szCs w:val="30"/>
          <w:spacing w:val="17"/>
        </w:rPr>
        <w:t>级以上卫生行政部门给予警告，责令限期改正；并可处一万元以下的</w:t>
      </w:r>
      <w:r>
        <w:rPr>
          <w:rFonts w:ascii="FangSong" w:hAnsi="FangSong" w:eastAsia="FangSong" w:cs="FangSong"/>
          <w:sz w:val="30"/>
          <w:szCs w:val="30"/>
          <w:spacing w:val="16"/>
        </w:rPr>
        <w:t>罚款：</w:t>
      </w:r>
    </w:p>
    <w:p>
      <w:pPr>
        <w:ind w:left="794"/>
        <w:spacing w:before="92" w:line="220" w:lineRule="auto"/>
        <w:rPr>
          <w:rFonts w:ascii="FangSong" w:hAnsi="FangSong" w:eastAsia="FangSong" w:cs="FangSong"/>
          <w:sz w:val="30"/>
          <w:szCs w:val="30"/>
        </w:rPr>
      </w:pPr>
      <w:r>
        <w:rPr>
          <w:rFonts w:ascii="FangSong" w:hAnsi="FangSong" w:eastAsia="FangSong" w:cs="FangSong"/>
          <w:sz w:val="30"/>
          <w:szCs w:val="30"/>
          <w:spacing w:val="23"/>
        </w:rPr>
        <w:t>(五)发生放射事件并造成人员健康严重损害的；</w:t>
      </w:r>
    </w:p>
    <w:p>
      <w:pPr>
        <w:ind w:left="6428"/>
        <w:spacing w:before="22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85"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475"/>
        <w:gridCol w:w="4726"/>
      </w:tblGrid>
      <w:tr>
        <w:trPr>
          <w:trHeight w:val="552" w:hRule="atLeast"/>
        </w:trPr>
        <w:tc>
          <w:tcPr>
            <w:tcW w:w="1784" w:type="dxa"/>
            <w:vAlign w:val="top"/>
          </w:tcPr>
          <w:p>
            <w:pPr>
              <w:pStyle w:val="TableText"/>
              <w:ind w:left="388"/>
              <w:spacing w:before="152" w:line="220" w:lineRule="auto"/>
              <w:rPr>
                <w:sz w:val="25"/>
                <w:szCs w:val="25"/>
              </w:rPr>
            </w:pPr>
            <w:r>
              <w:rPr>
                <w:sz w:val="25"/>
                <w:szCs w:val="25"/>
                <w:b/>
                <w:bCs/>
                <w:spacing w:val="-5"/>
              </w:rPr>
              <w:t>违法程度</w:t>
            </w:r>
          </w:p>
        </w:tc>
        <w:tc>
          <w:tcPr>
            <w:tcW w:w="7475" w:type="dxa"/>
            <w:vAlign w:val="top"/>
          </w:tcPr>
          <w:p>
            <w:pPr>
              <w:pStyle w:val="TableText"/>
              <w:ind w:left="3174"/>
              <w:spacing w:before="152" w:line="220" w:lineRule="auto"/>
              <w:rPr>
                <w:sz w:val="25"/>
                <w:szCs w:val="25"/>
              </w:rPr>
            </w:pPr>
            <w:r>
              <w:rPr>
                <w:sz w:val="25"/>
                <w:szCs w:val="25"/>
                <w:b/>
                <w:bCs/>
                <w:spacing w:val="-5"/>
              </w:rPr>
              <w:t>情节后果</w:t>
            </w:r>
          </w:p>
        </w:tc>
        <w:tc>
          <w:tcPr>
            <w:tcW w:w="4726" w:type="dxa"/>
            <w:vAlign w:val="top"/>
          </w:tcPr>
          <w:p>
            <w:pPr>
              <w:pStyle w:val="TableText"/>
              <w:ind w:left="1849"/>
              <w:spacing w:before="149" w:line="218" w:lineRule="auto"/>
              <w:rPr>
                <w:sz w:val="25"/>
                <w:szCs w:val="25"/>
              </w:rPr>
            </w:pPr>
            <w:r>
              <w:rPr>
                <w:sz w:val="25"/>
                <w:szCs w:val="25"/>
                <w:b/>
                <w:bCs/>
                <w:spacing w:val="-5"/>
              </w:rPr>
              <w:t>裁量幅度</w:t>
            </w:r>
          </w:p>
        </w:tc>
      </w:tr>
      <w:tr>
        <w:trPr>
          <w:trHeight w:val="676" w:hRule="atLeast"/>
        </w:trPr>
        <w:tc>
          <w:tcPr>
            <w:tcW w:w="1784" w:type="dxa"/>
            <w:vAlign w:val="top"/>
          </w:tcPr>
          <w:p>
            <w:pPr>
              <w:pStyle w:val="TableText"/>
              <w:ind w:left="638"/>
              <w:spacing w:before="220" w:line="220" w:lineRule="auto"/>
              <w:rPr>
                <w:sz w:val="25"/>
                <w:szCs w:val="25"/>
              </w:rPr>
            </w:pPr>
            <w:r>
              <w:rPr>
                <w:sz w:val="25"/>
                <w:szCs w:val="25"/>
                <w:b/>
                <w:bCs/>
                <w:spacing w:val="-6"/>
              </w:rPr>
              <w:t>严重</w:t>
            </w:r>
          </w:p>
        </w:tc>
        <w:tc>
          <w:tcPr>
            <w:tcW w:w="7475" w:type="dxa"/>
            <w:vAlign w:val="top"/>
          </w:tcPr>
          <w:p>
            <w:pPr>
              <w:pStyle w:val="TableText"/>
              <w:ind w:left="101"/>
              <w:spacing w:before="221" w:line="219" w:lineRule="auto"/>
              <w:rPr>
                <w:sz w:val="25"/>
                <w:szCs w:val="25"/>
              </w:rPr>
            </w:pPr>
            <w:r>
              <w:rPr>
                <w:sz w:val="25"/>
                <w:szCs w:val="25"/>
              </w:rPr>
              <w:t>医疗机构发生放射事件并造成1人健康严重损害的</w:t>
            </w:r>
          </w:p>
        </w:tc>
        <w:tc>
          <w:tcPr>
            <w:tcW w:w="4726" w:type="dxa"/>
            <w:vAlign w:val="top"/>
          </w:tcPr>
          <w:p>
            <w:pPr>
              <w:pStyle w:val="TableText"/>
              <w:ind w:left="105" w:right="97" w:hanging="9"/>
              <w:spacing w:before="62" w:line="223" w:lineRule="auto"/>
              <w:rPr>
                <w:sz w:val="25"/>
                <w:szCs w:val="25"/>
              </w:rPr>
            </w:pPr>
            <w:r>
              <w:rPr>
                <w:sz w:val="25"/>
                <w:szCs w:val="25"/>
                <w:spacing w:val="1"/>
              </w:rPr>
              <w:t>给予警告，责令限期改正；并处7000元以 </w:t>
            </w:r>
            <w:r>
              <w:rPr>
                <w:sz w:val="25"/>
                <w:szCs w:val="25"/>
                <w:spacing w:val="1"/>
              </w:rPr>
              <w:t>上一万元以下的罚款</w:t>
            </w:r>
          </w:p>
        </w:tc>
      </w:tr>
      <w:tr>
        <w:trPr>
          <w:trHeight w:val="692" w:hRule="atLeast"/>
        </w:trPr>
        <w:tc>
          <w:tcPr>
            <w:tcW w:w="1784" w:type="dxa"/>
            <w:vAlign w:val="top"/>
          </w:tcPr>
          <w:p>
            <w:pPr>
              <w:pStyle w:val="TableText"/>
              <w:ind w:left="388"/>
              <w:spacing w:before="223" w:line="219" w:lineRule="auto"/>
              <w:rPr>
                <w:sz w:val="25"/>
                <w:szCs w:val="25"/>
              </w:rPr>
            </w:pPr>
            <w:r>
              <w:rPr>
                <w:sz w:val="25"/>
                <w:szCs w:val="25"/>
                <w:b/>
                <w:bCs/>
                <w:spacing w:val="-5"/>
              </w:rPr>
              <w:t>特别严重</w:t>
            </w:r>
          </w:p>
        </w:tc>
        <w:tc>
          <w:tcPr>
            <w:tcW w:w="7475" w:type="dxa"/>
            <w:vAlign w:val="top"/>
          </w:tcPr>
          <w:p>
            <w:pPr>
              <w:pStyle w:val="TableText"/>
              <w:ind w:left="101" w:right="353"/>
              <w:spacing w:before="75" w:line="224" w:lineRule="auto"/>
              <w:rPr>
                <w:sz w:val="25"/>
                <w:szCs w:val="25"/>
              </w:rPr>
            </w:pPr>
            <w:r>
              <w:rPr>
                <w:sz w:val="25"/>
                <w:szCs w:val="25"/>
              </w:rPr>
              <w:t>医疗机构发生放射事件并造成1人及以上死亡或2人及以上健康严</w:t>
            </w:r>
            <w:r>
              <w:rPr>
                <w:sz w:val="25"/>
                <w:szCs w:val="25"/>
                <w:spacing w:val="9"/>
              </w:rPr>
              <w:t xml:space="preserve"> </w:t>
            </w:r>
            <w:r>
              <w:rPr>
                <w:sz w:val="25"/>
                <w:szCs w:val="25"/>
                <w:spacing w:val="4"/>
              </w:rPr>
              <w:t>重损害的</w:t>
            </w:r>
          </w:p>
        </w:tc>
        <w:tc>
          <w:tcPr>
            <w:tcW w:w="4726" w:type="dxa"/>
            <w:vAlign w:val="top"/>
          </w:tcPr>
          <w:p>
            <w:pPr>
              <w:pStyle w:val="TableText"/>
              <w:spacing w:before="75" w:line="218" w:lineRule="auto"/>
              <w:jc w:val="right"/>
              <w:rPr>
                <w:sz w:val="25"/>
                <w:szCs w:val="25"/>
              </w:rPr>
            </w:pPr>
            <w:r>
              <w:rPr>
                <w:sz w:val="25"/>
                <w:szCs w:val="25"/>
                <w:spacing w:val="-3"/>
              </w:rPr>
              <w:t>给予警告，责令限期改正；并处一万元的罚</w:t>
            </w:r>
          </w:p>
          <w:p>
            <w:pPr>
              <w:pStyle w:val="TableText"/>
              <w:ind w:left="96"/>
              <w:spacing w:before="49" w:line="194" w:lineRule="auto"/>
              <w:rPr>
                <w:sz w:val="25"/>
                <w:szCs w:val="25"/>
              </w:rPr>
            </w:pPr>
            <w:r>
              <w:rPr>
                <w:sz w:val="25"/>
                <w:szCs w:val="25"/>
                <w:color w:val="404060"/>
              </w:rPr>
              <w:t>款</w:t>
            </w:r>
          </w:p>
        </w:tc>
      </w:tr>
    </w:tbl>
    <w:p>
      <w:pPr>
        <w:pStyle w:val="BodyText"/>
        <w:spacing w:line="447" w:lineRule="auto"/>
        <w:rPr/>
      </w:pPr>
      <w:r/>
    </w:p>
    <w:p>
      <w:pPr>
        <w:ind w:left="29" w:right="380" w:firstLine="659"/>
        <w:spacing w:before="98" w:line="279" w:lineRule="auto"/>
        <w:rPr>
          <w:rFonts w:ascii="FangSong" w:hAnsi="FangSong" w:eastAsia="FangSong" w:cs="FangSong"/>
          <w:sz w:val="30"/>
          <w:szCs w:val="30"/>
        </w:rPr>
      </w:pPr>
      <w:r>
        <w:rPr>
          <w:rFonts w:ascii="FangSong" w:hAnsi="FangSong" w:eastAsia="FangSong" w:cs="FangSong"/>
          <w:sz w:val="30"/>
          <w:szCs w:val="30"/>
          <w:b/>
          <w:bCs/>
          <w:spacing w:val="20"/>
        </w:rPr>
        <w:t>第五百五十七条医疗机构发生放射事件未立即采取应急救援和控制措施或者未按照规定及时</w:t>
      </w:r>
      <w:r>
        <w:rPr>
          <w:rFonts w:ascii="FangSong" w:hAnsi="FangSong" w:eastAsia="FangSong" w:cs="FangSong"/>
          <w:sz w:val="30"/>
          <w:szCs w:val="30"/>
          <w:spacing w:val="12"/>
        </w:rPr>
        <w:t xml:space="preserve"> </w:t>
      </w:r>
      <w:r>
        <w:rPr>
          <w:rFonts w:ascii="FangSong" w:hAnsi="FangSong" w:eastAsia="FangSong" w:cs="FangSong"/>
          <w:sz w:val="30"/>
          <w:szCs w:val="30"/>
          <w:b/>
          <w:bCs/>
          <w:spacing w:val="3"/>
        </w:rPr>
        <w:t>报告的</w:t>
      </w:r>
    </w:p>
    <w:p>
      <w:pPr>
        <w:ind w:left="644"/>
        <w:spacing w:line="222" w:lineRule="auto"/>
        <w:rPr>
          <w:rFonts w:ascii="FangSong" w:hAnsi="FangSong" w:eastAsia="FangSong" w:cs="FangSong"/>
          <w:sz w:val="30"/>
          <w:szCs w:val="30"/>
        </w:rPr>
      </w:pPr>
      <w:r>
        <w:rPr>
          <w:rFonts w:ascii="FangSong" w:hAnsi="FangSong" w:eastAsia="FangSong" w:cs="FangSong"/>
          <w:sz w:val="30"/>
          <w:szCs w:val="30"/>
          <w:spacing w:val="6"/>
        </w:rPr>
        <w:t>法律依据：</w:t>
      </w:r>
    </w:p>
    <w:p>
      <w:pPr>
        <w:ind w:left="25" w:right="45" w:firstLine="619"/>
        <w:spacing w:before="75" w:line="258" w:lineRule="auto"/>
        <w:rPr>
          <w:rFonts w:ascii="FangSong" w:hAnsi="FangSong" w:eastAsia="FangSong" w:cs="FangSong"/>
          <w:sz w:val="30"/>
          <w:szCs w:val="30"/>
        </w:rPr>
      </w:pPr>
      <w:r>
        <w:rPr>
          <w:rFonts w:ascii="FangSong" w:hAnsi="FangSong" w:eastAsia="FangSong" w:cs="FangSong"/>
          <w:sz w:val="30"/>
          <w:szCs w:val="30"/>
          <w:spacing w:val="24"/>
        </w:rPr>
        <w:t>《放射诊疗管理规定》第四十一条第(六)项</w:t>
      </w:r>
      <w:r>
        <w:rPr>
          <w:rFonts w:ascii="FangSong" w:hAnsi="FangSong" w:eastAsia="FangSong" w:cs="FangSong"/>
          <w:sz w:val="30"/>
          <w:szCs w:val="30"/>
          <w:spacing w:val="24"/>
        </w:rPr>
        <w:t xml:space="preserve">  </w:t>
      </w:r>
      <w:r>
        <w:rPr>
          <w:rFonts w:ascii="FangSong" w:hAnsi="FangSong" w:eastAsia="FangSong" w:cs="FangSong"/>
          <w:sz w:val="30"/>
          <w:szCs w:val="30"/>
          <w:spacing w:val="24"/>
        </w:rPr>
        <w:t>医疗机构违反本</w:t>
      </w:r>
      <w:r>
        <w:rPr>
          <w:rFonts w:ascii="FangSong" w:hAnsi="FangSong" w:eastAsia="FangSong" w:cs="FangSong"/>
          <w:sz w:val="30"/>
          <w:szCs w:val="30"/>
          <w:spacing w:val="23"/>
        </w:rPr>
        <w:t>规定，有下列行为之一的，由县</w:t>
      </w:r>
      <w:r>
        <w:rPr>
          <w:rFonts w:ascii="FangSong" w:hAnsi="FangSong" w:eastAsia="FangSong" w:cs="FangSong"/>
          <w:sz w:val="30"/>
          <w:szCs w:val="30"/>
        </w:rPr>
        <w:t xml:space="preserve"> </w:t>
      </w:r>
      <w:r>
        <w:rPr>
          <w:rFonts w:ascii="FangSong" w:hAnsi="FangSong" w:eastAsia="FangSong" w:cs="FangSong"/>
          <w:sz w:val="30"/>
          <w:szCs w:val="30"/>
          <w:spacing w:val="17"/>
        </w:rPr>
        <w:t>级以上卫生行政部门给予警告，责令限期改正；并可处一万元以下的</w:t>
      </w:r>
      <w:r>
        <w:rPr>
          <w:rFonts w:ascii="FangSong" w:hAnsi="FangSong" w:eastAsia="FangSong" w:cs="FangSong"/>
          <w:sz w:val="30"/>
          <w:szCs w:val="30"/>
          <w:spacing w:val="16"/>
        </w:rPr>
        <w:t>罚款：</w:t>
      </w:r>
    </w:p>
    <w:p>
      <w:pPr>
        <w:ind w:left="794"/>
        <w:spacing w:before="3" w:line="222" w:lineRule="auto"/>
        <w:rPr>
          <w:rFonts w:ascii="FangSong" w:hAnsi="FangSong" w:eastAsia="FangSong" w:cs="FangSong"/>
          <w:sz w:val="30"/>
          <w:szCs w:val="30"/>
        </w:rPr>
      </w:pPr>
      <w:r>
        <w:rPr>
          <w:rFonts w:ascii="FangSong" w:hAnsi="FangSong" w:eastAsia="FangSong" w:cs="FangSong"/>
          <w:sz w:val="30"/>
          <w:szCs w:val="30"/>
          <w:spacing w:val="22"/>
        </w:rPr>
        <w:t>(六)发生放射事件未立即采取应急救援和控制措施</w:t>
      </w:r>
      <w:r>
        <w:rPr>
          <w:rFonts w:ascii="FangSong" w:hAnsi="FangSong" w:eastAsia="FangSong" w:cs="FangSong"/>
          <w:sz w:val="30"/>
          <w:szCs w:val="30"/>
          <w:spacing w:val="21"/>
        </w:rPr>
        <w:t>或者未按照规定及时报告的；</w:t>
      </w:r>
    </w:p>
    <w:p>
      <w:pPr>
        <w:ind w:left="6428"/>
        <w:spacing w:before="89"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9" w:lineRule="auto"/>
        <w:rPr>
          <w:rFonts w:ascii="Arial"/>
          <w:sz w:val="2"/>
        </w:rPr>
      </w:pPr>
      <w:r>
        <w:rPr>
          <w:rFonts w:ascii="Arial"/>
          <w:sz w:val="2"/>
        </w:rPr>
      </w:r>
    </w:p>
    <w:tbl>
      <w:tblPr>
        <w:tblStyle w:val="TableNormal"/>
        <w:tblW w:w="140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94"/>
        <w:gridCol w:w="7574"/>
        <w:gridCol w:w="4632"/>
      </w:tblGrid>
      <w:tr>
        <w:trPr>
          <w:trHeight w:val="660" w:hRule="atLeast"/>
        </w:trPr>
        <w:tc>
          <w:tcPr>
            <w:tcW w:w="1794" w:type="dxa"/>
            <w:vAlign w:val="top"/>
          </w:tcPr>
          <w:p>
            <w:pPr>
              <w:pStyle w:val="TableText"/>
              <w:ind w:left="329"/>
              <w:spacing w:before="193" w:line="220" w:lineRule="auto"/>
              <w:rPr>
                <w:sz w:val="29"/>
                <w:szCs w:val="29"/>
              </w:rPr>
            </w:pPr>
            <w:r>
              <w:rPr>
                <w:sz w:val="29"/>
                <w:szCs w:val="29"/>
                <w:b/>
                <w:bCs/>
                <w:spacing w:val="-1"/>
              </w:rPr>
              <w:t>违法程度</w:t>
            </w:r>
          </w:p>
        </w:tc>
        <w:tc>
          <w:tcPr>
            <w:tcW w:w="7574" w:type="dxa"/>
            <w:vAlign w:val="top"/>
          </w:tcPr>
          <w:p>
            <w:pPr>
              <w:pStyle w:val="TableText"/>
              <w:ind w:left="3235"/>
              <w:spacing w:before="193" w:line="220" w:lineRule="auto"/>
              <w:rPr>
                <w:sz w:val="29"/>
                <w:szCs w:val="29"/>
              </w:rPr>
            </w:pPr>
            <w:r>
              <w:rPr>
                <w:sz w:val="29"/>
                <w:szCs w:val="29"/>
                <w:b/>
                <w:bCs/>
                <w:spacing w:val="-1"/>
              </w:rPr>
              <w:t>情节后果</w:t>
            </w:r>
          </w:p>
        </w:tc>
        <w:tc>
          <w:tcPr>
            <w:tcW w:w="4632" w:type="dxa"/>
            <w:vAlign w:val="top"/>
          </w:tcPr>
          <w:p>
            <w:pPr>
              <w:pStyle w:val="TableText"/>
              <w:ind w:left="1751"/>
              <w:spacing w:before="190" w:line="218" w:lineRule="auto"/>
              <w:rPr>
                <w:sz w:val="29"/>
                <w:szCs w:val="29"/>
              </w:rPr>
            </w:pPr>
            <w:r>
              <w:rPr>
                <w:sz w:val="29"/>
                <w:szCs w:val="29"/>
                <w:b/>
                <w:bCs/>
                <w:spacing w:val="-1"/>
              </w:rPr>
              <w:t>裁量幅度</w:t>
            </w:r>
          </w:p>
        </w:tc>
      </w:tr>
    </w:tbl>
    <w:p>
      <w:pPr>
        <w:pStyle w:val="BodyText"/>
        <w:rPr/>
      </w:pPr>
      <w:r/>
    </w:p>
    <w:p>
      <w:pPr>
        <w:sectPr>
          <w:footerReference w:type="default" r:id="rId581"/>
          <w:pgSz w:w="16830" w:h="11900"/>
          <w:pgMar w:top="1011" w:right="1394" w:bottom="1118" w:left="1425" w:header="0" w:footer="785" w:gutter="0"/>
        </w:sectPr>
        <w:rPr/>
      </w:pPr>
    </w:p>
    <w:p>
      <w:pPr>
        <w:pStyle w:val="BodyText"/>
        <w:spacing w:line="256" w:lineRule="auto"/>
        <w:rPr/>
      </w:pPr>
      <w:r/>
    </w:p>
    <w:p>
      <w:pPr>
        <w:pStyle w:val="BodyText"/>
        <w:spacing w:line="256" w:lineRule="auto"/>
        <w:rPr/>
      </w:pPr>
      <w:r/>
    </w:p>
    <w:p>
      <w:pPr>
        <w:pStyle w:val="BodyText"/>
        <w:spacing w:line="256" w:lineRule="auto"/>
        <w:rPr/>
      </w:pPr>
      <w:r/>
    </w:p>
    <w:p>
      <w:pPr>
        <w:pStyle w:val="BodyText"/>
        <w:ind w:firstLine="20"/>
        <w:spacing w:line="2840" w:lineRule="exact"/>
        <w:rPr/>
      </w:pPr>
      <w:r>
        <w:rPr>
          <w:position w:val="-56"/>
        </w:rPr>
        <w:pict>
          <v:group id="_x0000_s28" style="mso-position-vertical-relative:line;mso-position-horizontal-relative:char;width:700.9pt;height:142.05pt;" filled="false" stroked="false" coordsize="14018,2841" coordorigin="0,0">
            <v:shape id="_x0000_s30" style="position:absolute;left:0;top:0;width:14000;height:2841;" filled="false" strokecolor="#000000" strokeweight="0.50pt" coordsize="14000,2841" coordorigin="0,0" path="m5,5l5,704m5,5l1804,5m1804,5l1804,704m5,704l1804,704m1804,5l1804,704m1804,5l9355,5m9355,5l9355,704m1804,704l9355,704m9355,5l9355,704m9355,5l13995,5m13995,5l13995,704m9355,704l13995,704m5,704l5,1405m5,704l1804,704m1804,704l1804,1405m5,1405l1804,1405m1804,704l1804,1405m1804,704l9355,704m9355,704l9355,1405m1804,1405l9355,1405m9355,704l9355,1405m9355,704l13995,704m13995,704l13995,1405m9355,1405l13995,1405m5,1405l5,2134m5,1405l1804,1405m1804,1405l1804,2134m5,2134l1804,2134m1804,1405l1804,2134m1804,1405l9355,1405m9355,1405l9355,2134m1804,2134l9355,2134m9355,1405l9355,2134m9355,1405l13995,1405m13995,1405l13995,2134m9355,2134l13995,2134m5,2134l5,2835m5,2134l1804,2134m1804,2134l1804,2835m5,2835l1804,2835m1804,2134l1804,2835m1804,2134l9355,2134m9355,2134l9355,2835m1804,2835l9355,2835m9355,2134l9355,2835m9355,2134l13995,2134m13995,2134l13995,2835m9355,2835l13995,2835e">
              <v:stroke joinstyle="miter" miterlimit="10"/>
            </v:shape>
            <v:shape id="_x0000_s32" style="position:absolute;left:1895;top:213;width:7490;height:2610;" filled="false" stroked="false" type="#_x0000_t202">
              <v:fill on="false"/>
              <v:stroke on="false"/>
              <v:path/>
              <v:imagedata o:title=""/>
              <o:lock v:ext="edit" aspectratio="false"/>
              <v:textbox inset="0mm,0mm,0mm,0mm">
                <w:txbxContent>
                  <w:p>
                    <w:pPr>
                      <w:ind w:left="20"/>
                      <w:spacing w:before="19" w:line="218" w:lineRule="auto"/>
                      <w:rPr>
                        <w:rFonts w:ascii="SimSun" w:hAnsi="SimSun" w:eastAsia="SimSun" w:cs="SimSun"/>
                        <w:sz w:val="25"/>
                        <w:szCs w:val="25"/>
                      </w:rPr>
                    </w:pPr>
                    <w:r>
                      <w:rPr>
                        <w:rFonts w:ascii="SimSun" w:hAnsi="SimSun" w:eastAsia="SimSun" w:cs="SimSun"/>
                        <w:sz w:val="25"/>
                        <w:szCs w:val="25"/>
                        <w:spacing w:val="1"/>
                      </w:rPr>
                      <w:t>发生放射事件未按照规定报告的</w:t>
                    </w:r>
                  </w:p>
                  <w:p>
                    <w:pPr>
                      <w:spacing w:line="322" w:lineRule="auto"/>
                      <w:rPr>
                        <w:rFonts w:ascii="Arial"/>
                        <w:sz w:val="21"/>
                      </w:rPr>
                    </w:pPr>
                    <w:r/>
                  </w:p>
                  <w:p>
                    <w:pPr>
                      <w:ind w:left="20"/>
                      <w:spacing w:before="81" w:line="219" w:lineRule="auto"/>
                      <w:rPr>
                        <w:rFonts w:ascii="SimSun" w:hAnsi="SimSun" w:eastAsia="SimSun" w:cs="SimSun"/>
                        <w:sz w:val="25"/>
                        <w:szCs w:val="25"/>
                      </w:rPr>
                    </w:pPr>
                    <w:r>
                      <w:rPr>
                        <w:rFonts w:ascii="SimSun" w:hAnsi="SimSun" w:eastAsia="SimSun" w:cs="SimSun"/>
                        <w:sz w:val="25"/>
                        <w:szCs w:val="25"/>
                      </w:rPr>
                      <w:t>发生放射事件未立即采取应急救援和控制措施的</w:t>
                    </w:r>
                  </w:p>
                  <w:p>
                    <w:pPr>
                      <w:spacing w:line="339" w:lineRule="auto"/>
                      <w:rPr>
                        <w:rFonts w:ascii="Arial"/>
                        <w:sz w:val="21"/>
                      </w:rPr>
                    </w:pPr>
                    <w:r/>
                  </w:p>
                  <w:p>
                    <w:pPr>
                      <w:ind w:left="20"/>
                      <w:spacing w:before="81" w:line="218" w:lineRule="auto"/>
                      <w:rPr>
                        <w:rFonts w:ascii="SimSun" w:hAnsi="SimSun" w:eastAsia="SimSun" w:cs="SimSun"/>
                        <w:sz w:val="25"/>
                        <w:szCs w:val="25"/>
                      </w:rPr>
                    </w:pPr>
                    <w:r>
                      <w:rPr>
                        <w:rFonts w:ascii="SimSun" w:hAnsi="SimSun" w:eastAsia="SimSun" w:cs="SimSun"/>
                        <w:sz w:val="25"/>
                        <w:szCs w:val="25"/>
                        <w:spacing w:val="-2"/>
                      </w:rPr>
                      <w:t>发生放射事件未立即采取应急救援和控制措施，也未按照规定报告的</w:t>
                    </w:r>
                  </w:p>
                  <w:p>
                    <w:pPr>
                      <w:ind w:left="20" w:right="27" w:firstLine="9"/>
                      <w:spacing w:before="275" w:line="238" w:lineRule="auto"/>
                      <w:rPr>
                        <w:rFonts w:ascii="SimSun" w:hAnsi="SimSun" w:eastAsia="SimSun" w:cs="SimSun"/>
                        <w:sz w:val="25"/>
                        <w:szCs w:val="25"/>
                      </w:rPr>
                    </w:pPr>
                    <w:r>
                      <w:rPr>
                        <w:rFonts w:ascii="SimSun" w:hAnsi="SimSun" w:eastAsia="SimSun" w:cs="SimSun"/>
                        <w:sz w:val="25"/>
                        <w:szCs w:val="25"/>
                        <w:spacing w:val="-2"/>
                      </w:rPr>
                      <w:t>发生放射事件未立即采取应急救援和控制措施</w:t>
                    </w:r>
                    <w:r>
                      <w:rPr>
                        <w:rFonts w:ascii="SimSun" w:hAnsi="SimSun" w:eastAsia="SimSun" w:cs="SimSun"/>
                        <w:sz w:val="25"/>
                        <w:szCs w:val="25"/>
                        <w:spacing w:val="-3"/>
                      </w:rPr>
                      <w:t>或者未按照规定及时报</w:t>
                    </w:r>
                    <w:r>
                      <w:rPr>
                        <w:rFonts w:ascii="SimSun" w:hAnsi="SimSun" w:eastAsia="SimSun" w:cs="SimSun"/>
                        <w:sz w:val="25"/>
                        <w:szCs w:val="25"/>
                      </w:rPr>
                      <w:t xml:space="preserve"> </w:t>
                    </w:r>
                    <w:r>
                      <w:rPr>
                        <w:rFonts w:ascii="SimSun" w:hAnsi="SimSun" w:eastAsia="SimSun" w:cs="SimSun"/>
                        <w:sz w:val="25"/>
                        <w:szCs w:val="25"/>
                        <w:spacing w:val="2"/>
                      </w:rPr>
                      <w:t>告，造成严重后果的</w:t>
                    </w:r>
                  </w:p>
                </w:txbxContent>
              </v:textbox>
            </v:shape>
            <v:shape id="_x0000_s34" style="position:absolute;left:9475;top:63;width:4562;height:2763;" filled="false" stroked="false" type="#_x0000_t202">
              <v:fill on="false"/>
              <v:stroke on="false"/>
              <v:path/>
              <v:imagedata o:title=""/>
              <o:lock v:ext="edit" aspectratio="false"/>
              <v:textbox inset="0mm,0mm,0mm,0mm">
                <w:txbxContent>
                  <w:p>
                    <w:pPr>
                      <w:ind w:left="20" w:right="20"/>
                      <w:spacing w:before="19" w:line="257" w:lineRule="auto"/>
                      <w:rPr>
                        <w:rFonts w:ascii="SimSun" w:hAnsi="SimSun" w:eastAsia="SimSun" w:cs="SimSun"/>
                        <w:sz w:val="25"/>
                        <w:szCs w:val="25"/>
                      </w:rPr>
                    </w:pPr>
                    <w:r>
                      <w:rPr>
                        <w:rFonts w:ascii="SimSun" w:hAnsi="SimSun" w:eastAsia="SimSun" w:cs="SimSun"/>
                        <w:sz w:val="25"/>
                        <w:szCs w:val="25"/>
                        <w:spacing w:val="1"/>
                      </w:rPr>
                      <w:t>给予警告，责令限期改正；并处3000元以 </w:t>
                    </w:r>
                    <w:r>
                      <w:rPr>
                        <w:rFonts w:ascii="SimSun" w:hAnsi="SimSun" w:eastAsia="SimSun" w:cs="SimSun"/>
                        <w:sz w:val="25"/>
                        <w:szCs w:val="25"/>
                        <w:spacing w:val="2"/>
                      </w:rPr>
                      <w:t>下的罚款</w:t>
                    </w:r>
                  </w:p>
                  <w:p>
                    <w:pPr>
                      <w:ind w:left="20" w:right="20"/>
                      <w:spacing w:before="24" w:line="241" w:lineRule="auto"/>
                      <w:rPr>
                        <w:rFonts w:ascii="SimSun" w:hAnsi="SimSun" w:eastAsia="SimSun" w:cs="SimSun"/>
                        <w:sz w:val="25"/>
                        <w:szCs w:val="25"/>
                      </w:rPr>
                    </w:pPr>
                    <w:r>
                      <w:rPr>
                        <w:rFonts w:ascii="SimSun" w:hAnsi="SimSun" w:eastAsia="SimSun" w:cs="SimSun"/>
                        <w:sz w:val="25"/>
                        <w:szCs w:val="25"/>
                        <w:spacing w:val="1"/>
                      </w:rPr>
                      <w:t>给予警告，责令限期改正；并处3000元以 </w:t>
                    </w:r>
                    <w:r>
                      <w:rPr>
                        <w:rFonts w:ascii="SimSun" w:hAnsi="SimSun" w:eastAsia="SimSun" w:cs="SimSun"/>
                        <w:sz w:val="25"/>
                        <w:szCs w:val="25"/>
                      </w:rPr>
                      <w:t>上7000元以下的罚款</w:t>
                    </w:r>
                  </w:p>
                  <w:p>
                    <w:pPr>
                      <w:ind w:left="20" w:right="20"/>
                      <w:spacing w:before="46" w:line="256" w:lineRule="auto"/>
                      <w:rPr>
                        <w:rFonts w:ascii="SimSun" w:hAnsi="SimSun" w:eastAsia="SimSun" w:cs="SimSun"/>
                        <w:sz w:val="25"/>
                        <w:szCs w:val="25"/>
                      </w:rPr>
                    </w:pPr>
                    <w:r>
                      <w:rPr>
                        <w:rFonts w:ascii="SimSun" w:hAnsi="SimSun" w:eastAsia="SimSun" w:cs="SimSun"/>
                        <w:sz w:val="25"/>
                        <w:szCs w:val="25"/>
                        <w:spacing w:val="1"/>
                      </w:rPr>
                      <w:t>给予警告，责令限期改正；并处7000元以 </w:t>
                    </w:r>
                    <w:r>
                      <w:rPr>
                        <w:rFonts w:ascii="SimSun" w:hAnsi="SimSun" w:eastAsia="SimSun" w:cs="SimSun"/>
                        <w:sz w:val="25"/>
                        <w:szCs w:val="25"/>
                        <w:spacing w:val="1"/>
                      </w:rPr>
                      <w:t>上一万元以下的罚款</w:t>
                    </w:r>
                  </w:p>
                  <w:p>
                    <w:pPr>
                      <w:ind w:left="20"/>
                      <w:spacing w:before="27" w:line="218" w:lineRule="auto"/>
                      <w:rPr>
                        <w:rFonts w:ascii="SimSun" w:hAnsi="SimSun" w:eastAsia="SimSun" w:cs="SimSun"/>
                        <w:sz w:val="25"/>
                        <w:szCs w:val="25"/>
                      </w:rPr>
                    </w:pPr>
                    <w:r>
                      <w:rPr>
                        <w:rFonts w:ascii="SimSun" w:hAnsi="SimSun" w:eastAsia="SimSun" w:cs="SimSun"/>
                        <w:sz w:val="25"/>
                        <w:szCs w:val="25"/>
                      </w:rPr>
                      <w:t>给予警告，责令限期改正；并处一万元的</w:t>
                    </w:r>
                  </w:p>
                  <w:p>
                    <w:pPr>
                      <w:ind w:left="20"/>
                      <w:spacing w:before="38" w:line="221" w:lineRule="auto"/>
                      <w:rPr>
                        <w:rFonts w:ascii="SimSun" w:hAnsi="SimSun" w:eastAsia="SimSun" w:cs="SimSun"/>
                        <w:sz w:val="25"/>
                        <w:szCs w:val="25"/>
                      </w:rPr>
                    </w:pPr>
                    <w:r>
                      <w:rPr>
                        <w:rFonts w:ascii="SimSun" w:hAnsi="SimSun" w:eastAsia="SimSun" w:cs="SimSun"/>
                        <w:sz w:val="25"/>
                        <w:szCs w:val="25"/>
                        <w:color w:val="606060"/>
                        <w:spacing w:val="5"/>
                      </w:rPr>
                      <w:t>罚款</w:t>
                    </w:r>
                  </w:p>
                </w:txbxContent>
              </v:textbox>
            </v:shape>
            <v:shape id="_x0000_s36" style="position:absolute;left:388;top:213;width:1030;height:2418;" filled="false" stroked="false" type="#_x0000_t202">
              <v:fill on="false"/>
              <v:stroke on="false"/>
              <v:path/>
              <v:imagedata o:title=""/>
              <o:lock v:ext="edit" aspectratio="false"/>
              <v:textbox inset="0mm,0mm,0mm,0mm">
                <w:txbxContent>
                  <w:p>
                    <w:pPr>
                      <w:ind w:left="269"/>
                      <w:spacing w:before="19" w:line="221" w:lineRule="auto"/>
                      <w:rPr>
                        <w:rFonts w:ascii="SimSun" w:hAnsi="SimSun" w:eastAsia="SimSun" w:cs="SimSun"/>
                        <w:sz w:val="25"/>
                        <w:szCs w:val="25"/>
                      </w:rPr>
                    </w:pPr>
                    <w:bookmarkStart w:name="bookmark1214" w:id="591"/>
                    <w:bookmarkEnd w:id="591"/>
                    <w:r>
                      <w:rPr>
                        <w:rFonts w:ascii="SimSun" w:hAnsi="SimSun" w:eastAsia="SimSun" w:cs="SimSun"/>
                        <w:sz w:val="25"/>
                        <w:szCs w:val="25"/>
                        <w:b/>
                        <w:bCs/>
                        <w:spacing w:val="-10"/>
                      </w:rPr>
                      <w:t>一般</w:t>
                    </w:r>
                  </w:p>
                  <w:p>
                    <w:pPr>
                      <w:spacing w:line="319" w:lineRule="auto"/>
                      <w:rPr>
                        <w:rFonts w:ascii="Arial"/>
                        <w:sz w:val="21"/>
                      </w:rPr>
                    </w:pPr>
                    <w:r/>
                  </w:p>
                  <w:p>
                    <w:pPr>
                      <w:ind w:left="269"/>
                      <w:spacing w:before="81" w:line="221" w:lineRule="auto"/>
                      <w:rPr>
                        <w:rFonts w:ascii="SimSun" w:hAnsi="SimSun" w:eastAsia="SimSun" w:cs="SimSun"/>
                        <w:sz w:val="25"/>
                        <w:szCs w:val="25"/>
                      </w:rPr>
                    </w:pPr>
                    <w:r>
                      <w:rPr>
                        <w:rFonts w:ascii="SimSun" w:hAnsi="SimSun" w:eastAsia="SimSun" w:cs="SimSun"/>
                        <w:sz w:val="25"/>
                        <w:szCs w:val="25"/>
                        <w:b/>
                        <w:bCs/>
                        <w:spacing w:val="-6"/>
                      </w:rPr>
                      <w:t>较重</w:t>
                    </w:r>
                  </w:p>
                  <w:p>
                    <w:pPr>
                      <w:spacing w:line="334" w:lineRule="auto"/>
                      <w:rPr>
                        <w:rFonts w:ascii="Arial"/>
                        <w:sz w:val="21"/>
                      </w:rPr>
                    </w:pPr>
                    <w:r/>
                  </w:p>
                  <w:p>
                    <w:pPr>
                      <w:ind w:left="269"/>
                      <w:spacing w:before="82" w:line="220" w:lineRule="auto"/>
                      <w:rPr>
                        <w:rFonts w:ascii="SimSun" w:hAnsi="SimSun" w:eastAsia="SimSun" w:cs="SimSun"/>
                        <w:sz w:val="25"/>
                        <w:szCs w:val="25"/>
                      </w:rPr>
                    </w:pPr>
                    <w:r>
                      <w:rPr>
                        <w:rFonts w:ascii="SimSun" w:hAnsi="SimSun" w:eastAsia="SimSun" w:cs="SimSun"/>
                        <w:sz w:val="25"/>
                        <w:szCs w:val="25"/>
                        <w:b/>
                        <w:bCs/>
                        <w:spacing w:val="-6"/>
                      </w:rPr>
                      <w:t>严重</w:t>
                    </w:r>
                  </w:p>
                  <w:p>
                    <w:pPr>
                      <w:spacing w:line="328" w:lineRule="auto"/>
                      <w:rPr>
                        <w:rFonts w:ascii="Arial"/>
                        <w:sz w:val="21"/>
                      </w:rPr>
                    </w:pPr>
                    <w:r/>
                  </w:p>
                  <w:p>
                    <w:pPr>
                      <w:ind w:left="20"/>
                      <w:spacing w:before="81" w:line="219" w:lineRule="auto"/>
                      <w:rPr>
                        <w:rFonts w:ascii="SimSun" w:hAnsi="SimSun" w:eastAsia="SimSun" w:cs="SimSun"/>
                        <w:sz w:val="25"/>
                        <w:szCs w:val="25"/>
                      </w:rPr>
                    </w:pPr>
                    <w:r>
                      <w:rPr>
                        <w:rFonts w:ascii="SimSun" w:hAnsi="SimSun" w:eastAsia="SimSun" w:cs="SimSun"/>
                        <w:sz w:val="25"/>
                        <w:szCs w:val="25"/>
                        <w:b/>
                        <w:bCs/>
                        <w:spacing w:val="-5"/>
                      </w:rPr>
                      <w:t>特别严重</w:t>
                    </w:r>
                  </w:p>
                </w:txbxContent>
              </v:textbox>
            </v:shape>
          </v:group>
        </w:pict>
      </w:r>
    </w:p>
    <w:p>
      <w:pPr>
        <w:pStyle w:val="BodyText"/>
        <w:spacing w:line="456" w:lineRule="auto"/>
        <w:rPr/>
      </w:pPr>
      <w:r/>
    </w:p>
    <w:p>
      <w:pPr>
        <w:ind w:left="65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第五百五十八条对患者和受检者进行医疗照射时，未遵守医疗照射正当化的</w:t>
      </w:r>
    </w:p>
    <w:p>
      <w:pPr>
        <w:ind w:left="654"/>
        <w:spacing w:before="100" w:line="222" w:lineRule="auto"/>
        <w:rPr>
          <w:rFonts w:ascii="FangSong" w:hAnsi="FangSong" w:eastAsia="FangSong" w:cs="FangSong"/>
          <w:sz w:val="30"/>
          <w:szCs w:val="30"/>
        </w:rPr>
      </w:pPr>
      <w:r>
        <w:rPr>
          <w:rFonts w:ascii="FangSong" w:hAnsi="FangSong" w:eastAsia="FangSong" w:cs="FangSong"/>
          <w:sz w:val="30"/>
          <w:szCs w:val="30"/>
        </w:rPr>
        <w:t>法律依据：</w:t>
      </w:r>
    </w:p>
    <w:p>
      <w:pPr>
        <w:ind w:left="45" w:right="182" w:firstLine="609"/>
        <w:spacing w:before="66" w:line="271" w:lineRule="auto"/>
        <w:rPr>
          <w:rFonts w:ascii="FangSong" w:hAnsi="FangSong" w:eastAsia="FangSong" w:cs="FangSong"/>
          <w:sz w:val="30"/>
          <w:szCs w:val="30"/>
        </w:rPr>
      </w:pPr>
      <w:r>
        <w:rPr>
          <w:rFonts w:ascii="FangSong" w:hAnsi="FangSong" w:eastAsia="FangSong" w:cs="FangSong"/>
          <w:sz w:val="30"/>
          <w:szCs w:val="30"/>
          <w:spacing w:val="20"/>
        </w:rPr>
        <w:t>1.</w:t>
      </w:r>
      <w:r>
        <w:rPr>
          <w:rFonts w:ascii="FangSong" w:hAnsi="FangSong" w:eastAsia="FangSong" w:cs="FangSong"/>
          <w:sz w:val="30"/>
          <w:szCs w:val="30"/>
          <w:spacing w:val="20"/>
        </w:rPr>
        <w:t xml:space="preserve"> </w:t>
      </w:r>
      <w:r>
        <w:rPr>
          <w:rFonts w:ascii="FangSong" w:hAnsi="FangSong" w:eastAsia="FangSong" w:cs="FangSong"/>
          <w:sz w:val="30"/>
          <w:szCs w:val="30"/>
          <w:spacing w:val="20"/>
        </w:rPr>
        <w:t>《放射诊疗管理规定》第四十一条第(七)项</w:t>
      </w:r>
      <w:r>
        <w:rPr>
          <w:rFonts w:ascii="FangSong" w:hAnsi="FangSong" w:eastAsia="FangSong" w:cs="FangSong"/>
          <w:sz w:val="30"/>
          <w:szCs w:val="30"/>
          <w:spacing w:val="20"/>
        </w:rPr>
        <w:t xml:space="preserve">   </w:t>
      </w:r>
      <w:r>
        <w:rPr>
          <w:rFonts w:ascii="FangSong" w:hAnsi="FangSong" w:eastAsia="FangSong" w:cs="FangSong"/>
          <w:sz w:val="30"/>
          <w:szCs w:val="30"/>
          <w:spacing w:val="20"/>
        </w:rPr>
        <w:t>医疗机构违反本规定，有下列行为之一的，</w:t>
      </w:r>
      <w:r>
        <w:rPr>
          <w:rFonts w:ascii="FangSong" w:hAnsi="FangSong" w:eastAsia="FangSong" w:cs="FangSong"/>
          <w:sz w:val="30"/>
          <w:szCs w:val="30"/>
        </w:rPr>
        <w:t xml:space="preserve"> </w:t>
      </w:r>
      <w:r>
        <w:rPr>
          <w:rFonts w:ascii="FangSong" w:hAnsi="FangSong" w:eastAsia="FangSong" w:cs="FangSong"/>
          <w:sz w:val="30"/>
          <w:szCs w:val="30"/>
          <w:spacing w:val="17"/>
        </w:rPr>
        <w:t>由县级以上卫生行政部门给予警告，责令限期改正；并可处一万</w:t>
      </w:r>
      <w:r>
        <w:rPr>
          <w:rFonts w:ascii="FangSong" w:hAnsi="FangSong" w:eastAsia="FangSong" w:cs="FangSong"/>
          <w:sz w:val="30"/>
          <w:szCs w:val="30"/>
          <w:spacing w:val="16"/>
        </w:rPr>
        <w:t>元以下的罚款：</w:t>
      </w:r>
    </w:p>
    <w:p>
      <w:pPr>
        <w:ind w:left="815"/>
        <w:spacing w:before="1" w:line="221" w:lineRule="auto"/>
        <w:rPr>
          <w:rFonts w:ascii="FangSong" w:hAnsi="FangSong" w:eastAsia="FangSong" w:cs="FangSong"/>
          <w:sz w:val="30"/>
          <w:szCs w:val="30"/>
        </w:rPr>
      </w:pPr>
      <w:r>
        <w:rPr>
          <w:rFonts w:ascii="FangSong" w:hAnsi="FangSong" w:eastAsia="FangSong" w:cs="FangSong"/>
          <w:sz w:val="30"/>
          <w:szCs w:val="30"/>
          <w:spacing w:val="27"/>
        </w:rPr>
        <w:t>(七)违反本规定的其他情形。</w:t>
      </w:r>
    </w:p>
    <w:p>
      <w:pPr>
        <w:ind w:left="45" w:right="93" w:firstLine="609"/>
        <w:spacing w:before="76" w:line="271" w:lineRule="auto"/>
        <w:jc w:val="both"/>
        <w:rPr>
          <w:rFonts w:ascii="FangSong" w:hAnsi="FangSong" w:eastAsia="FangSong" w:cs="FangSong"/>
          <w:sz w:val="30"/>
          <w:szCs w:val="30"/>
        </w:rPr>
      </w:pPr>
      <w:r>
        <w:rPr>
          <w:rFonts w:ascii="FangSong" w:hAnsi="FangSong" w:eastAsia="FangSong" w:cs="FangSong"/>
          <w:sz w:val="30"/>
          <w:szCs w:val="30"/>
          <w:spacing w:val="15"/>
        </w:rPr>
        <w:t>2.</w:t>
      </w:r>
      <w:r>
        <w:rPr>
          <w:rFonts w:ascii="FangSong" w:hAnsi="FangSong" w:eastAsia="FangSong" w:cs="FangSong"/>
          <w:sz w:val="30"/>
          <w:szCs w:val="30"/>
          <w:spacing w:val="15"/>
        </w:rPr>
        <w:t xml:space="preserve"> </w:t>
      </w:r>
      <w:r>
        <w:rPr>
          <w:rFonts w:ascii="FangSong" w:hAnsi="FangSong" w:eastAsia="FangSong" w:cs="FangSong"/>
          <w:sz w:val="30"/>
          <w:szCs w:val="30"/>
          <w:spacing w:val="15"/>
        </w:rPr>
        <w:t>《放射诊疗管理规定》第二十五条</w:t>
      </w:r>
      <w:r>
        <w:rPr>
          <w:rFonts w:ascii="FangSong" w:hAnsi="FangSong" w:eastAsia="FangSong" w:cs="FangSong"/>
          <w:sz w:val="30"/>
          <w:szCs w:val="30"/>
          <w:spacing w:val="15"/>
        </w:rPr>
        <w:t xml:space="preserve">   </w:t>
      </w:r>
      <w:r>
        <w:rPr>
          <w:rFonts w:ascii="FangSong" w:hAnsi="FangSong" w:eastAsia="FangSong" w:cs="FangSong"/>
          <w:sz w:val="30"/>
          <w:szCs w:val="30"/>
          <w:spacing w:val="15"/>
        </w:rPr>
        <w:t>放射诊疗工作人员对</w:t>
      </w:r>
      <w:r>
        <w:rPr>
          <w:rFonts w:ascii="FangSong" w:hAnsi="FangSong" w:eastAsia="FangSong" w:cs="FangSong"/>
          <w:sz w:val="30"/>
          <w:szCs w:val="30"/>
          <w:spacing w:val="14"/>
        </w:rPr>
        <w:t>患者和受检者进行医疗照射时，应</w:t>
      </w:r>
      <w:r>
        <w:rPr>
          <w:rFonts w:ascii="FangSong" w:hAnsi="FangSong" w:eastAsia="FangSong" w:cs="FangSong"/>
          <w:sz w:val="30"/>
          <w:szCs w:val="30"/>
        </w:rPr>
        <w:t xml:space="preserve"> </w:t>
      </w:r>
      <w:r>
        <w:rPr>
          <w:rFonts w:ascii="FangSong" w:hAnsi="FangSong" w:eastAsia="FangSong" w:cs="FangSong"/>
          <w:sz w:val="30"/>
          <w:szCs w:val="30"/>
          <w:spacing w:val="16"/>
        </w:rPr>
        <w:t>当遵守医疗照射正当化和放射防护最优化的原则，有明确的医疗目的，严格控制受照剂</w:t>
      </w:r>
      <w:r>
        <w:rPr>
          <w:rFonts w:ascii="FangSong" w:hAnsi="FangSong" w:eastAsia="FangSong" w:cs="FangSong"/>
          <w:sz w:val="30"/>
          <w:szCs w:val="30"/>
          <w:spacing w:val="15"/>
        </w:rPr>
        <w:t>量；对邻近照</w:t>
      </w:r>
      <w:r>
        <w:rPr>
          <w:rFonts w:ascii="FangSong" w:hAnsi="FangSong" w:eastAsia="FangSong" w:cs="FangSong"/>
          <w:sz w:val="30"/>
          <w:szCs w:val="30"/>
        </w:rPr>
        <w:t xml:space="preserve"> </w:t>
      </w:r>
      <w:r>
        <w:rPr>
          <w:rFonts w:ascii="FangSong" w:hAnsi="FangSong" w:eastAsia="FangSong" w:cs="FangSong"/>
          <w:sz w:val="30"/>
          <w:szCs w:val="30"/>
          <w:spacing w:val="18"/>
        </w:rPr>
        <w:t>射野的敏感器官和组织进行屏蔽防护，并事先</w:t>
      </w:r>
      <w:r>
        <w:rPr>
          <w:rFonts w:ascii="FangSong" w:hAnsi="FangSong" w:eastAsia="FangSong" w:cs="FangSong"/>
          <w:sz w:val="30"/>
          <w:szCs w:val="30"/>
          <w:spacing w:val="17"/>
        </w:rPr>
        <w:t>告知患者和受检者辐射对健康的影响。</w:t>
      </w:r>
    </w:p>
    <w:p>
      <w:pPr>
        <w:ind w:left="6439"/>
        <w:spacing w:before="153"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36" w:lineRule="auto"/>
        <w:rPr>
          <w:rFonts w:ascii="Arial"/>
          <w:sz w:val="2"/>
        </w:rPr>
      </w:pPr>
      <w:r>
        <w:rPr>
          <w:rFonts w:ascii="Arial"/>
          <w:sz w:val="2"/>
        </w:rPr>
      </w:r>
    </w:p>
    <w:tbl>
      <w:tblPr>
        <w:tblStyle w:val="TableNormal"/>
        <w:tblW w:w="140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4"/>
        <w:gridCol w:w="7584"/>
        <w:gridCol w:w="4612"/>
      </w:tblGrid>
      <w:tr>
        <w:trPr>
          <w:trHeight w:val="649" w:hRule="atLeast"/>
        </w:trPr>
        <w:tc>
          <w:tcPr>
            <w:tcW w:w="1804" w:type="dxa"/>
            <w:vAlign w:val="top"/>
          </w:tcPr>
          <w:p>
            <w:pPr>
              <w:pStyle w:val="TableText"/>
              <w:ind w:left="329"/>
              <w:spacing w:before="183" w:line="220" w:lineRule="auto"/>
              <w:rPr>
                <w:sz w:val="29"/>
                <w:szCs w:val="29"/>
              </w:rPr>
            </w:pPr>
            <w:r>
              <w:rPr>
                <w:sz w:val="29"/>
                <w:szCs w:val="29"/>
                <w:b/>
                <w:bCs/>
                <w:spacing w:val="-1"/>
              </w:rPr>
              <w:t>违法程度</w:t>
            </w:r>
          </w:p>
        </w:tc>
        <w:tc>
          <w:tcPr>
            <w:tcW w:w="7584" w:type="dxa"/>
            <w:vAlign w:val="top"/>
          </w:tcPr>
          <w:p>
            <w:pPr>
              <w:pStyle w:val="TableText"/>
              <w:ind w:left="3225"/>
              <w:spacing w:before="183" w:line="220" w:lineRule="auto"/>
              <w:rPr>
                <w:sz w:val="29"/>
                <w:szCs w:val="29"/>
              </w:rPr>
            </w:pPr>
            <w:r>
              <w:rPr>
                <w:sz w:val="29"/>
                <w:szCs w:val="29"/>
                <w:b/>
                <w:bCs/>
                <w:spacing w:val="-1"/>
              </w:rPr>
              <w:t>情节后果</w:t>
            </w:r>
          </w:p>
        </w:tc>
        <w:tc>
          <w:tcPr>
            <w:tcW w:w="4612" w:type="dxa"/>
            <w:vAlign w:val="top"/>
          </w:tcPr>
          <w:p>
            <w:pPr>
              <w:pStyle w:val="TableText"/>
              <w:ind w:left="1741"/>
              <w:spacing w:before="180" w:line="218" w:lineRule="auto"/>
              <w:rPr>
                <w:sz w:val="29"/>
                <w:szCs w:val="29"/>
              </w:rPr>
            </w:pPr>
            <w:r>
              <w:rPr>
                <w:sz w:val="29"/>
                <w:szCs w:val="29"/>
                <w:b/>
                <w:bCs/>
                <w:spacing w:val="-1"/>
              </w:rPr>
              <w:t>裁量幅度</w:t>
            </w:r>
          </w:p>
        </w:tc>
      </w:tr>
    </w:tbl>
    <w:p>
      <w:pPr>
        <w:pStyle w:val="BodyText"/>
        <w:rPr/>
      </w:pPr>
      <w:r/>
    </w:p>
    <w:p>
      <w:pPr>
        <w:sectPr>
          <w:footerReference w:type="default" r:id="rId582"/>
          <w:pgSz w:w="16830" w:h="11900"/>
          <w:pgMar w:top="1011" w:right="1377" w:bottom="1140" w:left="1414" w:header="0" w:footer="816" w:gutter="0"/>
        </w:sectPr>
        <w:rPr/>
      </w:pPr>
    </w:p>
    <w:p>
      <w:pPr>
        <w:pStyle w:val="BodyText"/>
        <w:spacing w:line="259" w:lineRule="auto"/>
        <w:rPr/>
      </w:pPr>
      <w:r/>
    </w:p>
    <w:p>
      <w:pPr>
        <w:pStyle w:val="BodyText"/>
        <w:spacing w:line="259" w:lineRule="auto"/>
        <w:rPr/>
      </w:pPr>
      <w:r/>
    </w:p>
    <w:p>
      <w:pPr>
        <w:pStyle w:val="BodyText"/>
        <w:spacing w:line="260" w:lineRule="auto"/>
        <w:rPr/>
      </w:pPr>
      <w:r/>
    </w:p>
    <w:p>
      <w:pPr>
        <w:pStyle w:val="BodyText"/>
        <w:spacing w:line="3970" w:lineRule="exact"/>
        <w:rPr/>
      </w:pPr>
      <w:r>
        <w:rPr>
          <w:position w:val="-79"/>
        </w:rPr>
        <w:pict>
          <v:group id="_x0000_s38" style="mso-position-vertical-relative:line;mso-position-horizontal-relative:char;width:700.4pt;height:198.5pt;" filled="false" stroked="false" coordsize="14008,3970" coordorigin="0,0">
            <v:shape id="_x0000_s40" style="position:absolute;left:0;top:0;width:13990;height:3970;" filled="false" strokecolor="#000000" strokeweight="0.50pt" coordsize="13990,3970" coordorigin="0,0" path="m5,5l5,704m5,5l1785,5m1785,5l1785,704m5,704l1785,704m1785,5l1785,704m1785,5l9375,5m9375,5l9375,704m1785,704l9375,704m9375,5l9375,704m9375,5l13985,5m13985,5l13985,704m9375,704l13985,704m5,704l5,1405m5,704l1785,704m1785,704l1785,1405m5,1405l1785,1405m1785,704l1785,1405m1785,704l9375,704m9375,704l9375,1405m1785,1405l9375,1405m9375,704l9375,1405m9375,704l13985,704m13985,704l13985,1405m9375,1405l13985,1405m5,1405l5,3125m5,1405l1785,1405m1785,1405l1785,3125m5,3125l1785,3125m1785,1405l1785,3125m1785,1405l9375,1405m9375,1405l9375,3125m1785,3125l9375,3125m9375,1405l9375,3125m9375,1405l13985,1405m13985,1405l13985,3125m9375,3125l13985,3125m5,3125l5,3964m5,3125l1785,3125m1785,3125l1785,3964m5,3964l1785,3964m1785,3125l1785,3964m1785,3125l9375,3125m9375,3125l9375,3964m1785,3964l9375,3964m9375,3125l9375,3964m9375,3125l13985,3125m13985,3125l13985,3964m9375,3964l13985,3964e">
              <v:stroke joinstyle="miter" miterlimit="10"/>
            </v:shape>
            <v:shape id="_x0000_s42" style="position:absolute;left:1875;top:44;width:7525;height:3843;" filled="false" stroked="false" type="#_x0000_t202">
              <v:fill on="false"/>
              <v:stroke on="false"/>
              <v:path/>
              <v:imagedata o:title=""/>
              <o:lock v:ext="edit" aspectratio="false"/>
              <v:textbox inset="0mm,0mm,0mm,0mm">
                <w:txbxContent>
                  <w:p>
                    <w:pPr>
                      <w:ind w:left="30" w:right="368" w:firstLine="9"/>
                      <w:spacing w:before="20" w:line="254" w:lineRule="auto"/>
                      <w:rPr>
                        <w:rFonts w:ascii="SimSun" w:hAnsi="SimSun" w:eastAsia="SimSun" w:cs="SimSun"/>
                        <w:sz w:val="25"/>
                        <w:szCs w:val="25"/>
                      </w:rPr>
                    </w:pPr>
                    <w:r>
                      <w:rPr>
                        <w:rFonts w:ascii="SimSun" w:hAnsi="SimSun" w:eastAsia="SimSun" w:cs="SimSun"/>
                        <w:sz w:val="25"/>
                        <w:szCs w:val="25"/>
                      </w:rPr>
                      <w:t>对1名患者或受检者(不含孕妇、婴幼儿、少</w:t>
                    </w:r>
                    <w:r>
                      <w:rPr>
                        <w:rFonts w:ascii="SimSun" w:hAnsi="SimSun" w:eastAsia="SimSun" w:cs="SimSun"/>
                        <w:sz w:val="25"/>
                        <w:szCs w:val="25"/>
                        <w:spacing w:val="-1"/>
                      </w:rPr>
                      <w:t>年儿童等特殊人群)进</w:t>
                    </w:r>
                    <w:r>
                      <w:rPr>
                        <w:rFonts w:ascii="SimSun" w:hAnsi="SimSun" w:eastAsia="SimSun" w:cs="SimSun"/>
                        <w:sz w:val="25"/>
                        <w:szCs w:val="25"/>
                      </w:rPr>
                      <w:t xml:space="preserve"> </w:t>
                    </w:r>
                    <w:r>
                      <w:rPr>
                        <w:rFonts w:ascii="SimSun" w:hAnsi="SimSun" w:eastAsia="SimSun" w:cs="SimSun"/>
                        <w:sz w:val="25"/>
                        <w:szCs w:val="25"/>
                        <w:spacing w:val="1"/>
                      </w:rPr>
                      <w:t>行医疗照射时，未遵守医疗照射正当化的</w:t>
                    </w:r>
                  </w:p>
                  <w:p>
                    <w:pPr>
                      <w:ind w:left="30" w:right="368" w:firstLine="9"/>
                      <w:spacing w:before="32" w:line="251" w:lineRule="auto"/>
                      <w:rPr>
                        <w:rFonts w:ascii="SimSun" w:hAnsi="SimSun" w:eastAsia="SimSun" w:cs="SimSun"/>
                        <w:sz w:val="25"/>
                        <w:szCs w:val="25"/>
                      </w:rPr>
                    </w:pPr>
                    <w:r>
                      <w:rPr>
                        <w:rFonts w:ascii="SimSun" w:hAnsi="SimSun" w:eastAsia="SimSun" w:cs="SimSun"/>
                        <w:sz w:val="25"/>
                        <w:szCs w:val="25"/>
                      </w:rPr>
                      <w:t>对2名患者或受检者(不含孕妇、婴幼儿、少</w:t>
                    </w:r>
                    <w:r>
                      <w:rPr>
                        <w:rFonts w:ascii="SimSun" w:hAnsi="SimSun" w:eastAsia="SimSun" w:cs="SimSun"/>
                        <w:sz w:val="25"/>
                        <w:szCs w:val="25"/>
                        <w:spacing w:val="-1"/>
                      </w:rPr>
                      <w:t>年儿童等特殊人群)进</w:t>
                    </w:r>
                    <w:r>
                      <w:rPr>
                        <w:rFonts w:ascii="SimSun" w:hAnsi="SimSun" w:eastAsia="SimSun" w:cs="SimSun"/>
                        <w:sz w:val="25"/>
                        <w:szCs w:val="25"/>
                      </w:rPr>
                      <w:t xml:space="preserve"> </w:t>
                    </w:r>
                    <w:r>
                      <w:rPr>
                        <w:rFonts w:ascii="SimSun" w:hAnsi="SimSun" w:eastAsia="SimSun" w:cs="SimSun"/>
                        <w:sz w:val="25"/>
                        <w:szCs w:val="25"/>
                        <w:spacing w:val="1"/>
                      </w:rPr>
                      <w:t>行医疗照射时，未遵守医疗照射正当化的</w:t>
                    </w:r>
                  </w:p>
                  <w:p>
                    <w:pPr>
                      <w:ind w:left="30"/>
                      <w:spacing w:line="220" w:lineRule="auto"/>
                      <w:rPr>
                        <w:rFonts w:ascii="SimSun" w:hAnsi="SimSun" w:eastAsia="SimSun" w:cs="SimSun"/>
                        <w:sz w:val="25"/>
                        <w:szCs w:val="25"/>
                      </w:rPr>
                    </w:pPr>
                    <w:r>
                      <w:rPr>
                        <w:rFonts w:ascii="SimSun" w:hAnsi="SimSun" w:eastAsia="SimSun" w:cs="SimSun"/>
                        <w:sz w:val="25"/>
                        <w:szCs w:val="25"/>
                        <w:spacing w:val="1"/>
                      </w:rPr>
                      <w:t>有下列情形之一者：</w:t>
                    </w:r>
                  </w:p>
                  <w:p>
                    <w:pPr>
                      <w:ind w:left="30" w:right="256" w:hanging="10"/>
                      <w:spacing w:before="50" w:line="239" w:lineRule="auto"/>
                      <w:rPr>
                        <w:rFonts w:ascii="SimSun" w:hAnsi="SimSun" w:eastAsia="SimSun" w:cs="SimSun"/>
                        <w:sz w:val="25"/>
                        <w:szCs w:val="25"/>
                      </w:rPr>
                    </w:pPr>
                    <w:r>
                      <w:rPr>
                        <w:rFonts w:ascii="SimSun" w:hAnsi="SimSun" w:eastAsia="SimSun" w:cs="SimSun"/>
                        <w:sz w:val="25"/>
                        <w:szCs w:val="25"/>
                      </w:rPr>
                      <w:t>A.对3名及以上患者或受检者(不含孕妇、婴幼儿、少年儿童</w:t>
                    </w:r>
                    <w:r>
                      <w:rPr>
                        <w:rFonts w:ascii="SimSun" w:hAnsi="SimSun" w:eastAsia="SimSun" w:cs="SimSun"/>
                        <w:sz w:val="25"/>
                        <w:szCs w:val="25"/>
                        <w:spacing w:val="-1"/>
                      </w:rPr>
                      <w:t>等特殊</w:t>
                    </w:r>
                    <w:r>
                      <w:rPr>
                        <w:rFonts w:ascii="SimSun" w:hAnsi="SimSun" w:eastAsia="SimSun" w:cs="SimSun"/>
                        <w:sz w:val="25"/>
                        <w:szCs w:val="25"/>
                      </w:rPr>
                      <w:t xml:space="preserve"> </w:t>
                    </w:r>
                    <w:r>
                      <w:rPr>
                        <w:rFonts w:ascii="SimSun" w:hAnsi="SimSun" w:eastAsia="SimSun" w:cs="SimSun"/>
                        <w:sz w:val="25"/>
                        <w:szCs w:val="25"/>
                      </w:rPr>
                      <w:t>人群)进行医疗照射时，未遵守医疗照射正当化的</w:t>
                    </w:r>
                  </w:p>
                  <w:p>
                    <w:pPr>
                      <w:ind w:left="30" w:right="24"/>
                      <w:spacing w:before="42" w:line="236" w:lineRule="auto"/>
                      <w:rPr>
                        <w:rFonts w:ascii="SimSun" w:hAnsi="SimSun" w:eastAsia="SimSun" w:cs="SimSun"/>
                        <w:sz w:val="25"/>
                        <w:szCs w:val="25"/>
                      </w:rPr>
                    </w:pPr>
                    <w:r>
                      <w:rPr>
                        <w:rFonts w:ascii="SimSun" w:hAnsi="SimSun" w:eastAsia="SimSun" w:cs="SimSun"/>
                        <w:sz w:val="25"/>
                        <w:szCs w:val="25"/>
                        <w:spacing w:val="-1"/>
                      </w:rPr>
                      <w:t>B.对孕妇、婴幼儿、少年儿童等特殊人群患者和受检者进行医疗照射</w:t>
                    </w:r>
                    <w:r>
                      <w:rPr>
                        <w:rFonts w:ascii="SimSun" w:hAnsi="SimSun" w:eastAsia="SimSun" w:cs="SimSun"/>
                        <w:sz w:val="25"/>
                        <w:szCs w:val="25"/>
                      </w:rPr>
                      <w:t xml:space="preserve"> </w:t>
                    </w:r>
                    <w:r>
                      <w:rPr>
                        <w:rFonts w:ascii="SimSun" w:hAnsi="SimSun" w:eastAsia="SimSun" w:cs="SimSun"/>
                        <w:sz w:val="25"/>
                        <w:szCs w:val="25"/>
                        <w:spacing w:val="1"/>
                      </w:rPr>
                      <w:t>时，未遵守医疗照射正当化的</w:t>
                    </w:r>
                  </w:p>
                  <w:p>
                    <w:pPr>
                      <w:ind w:left="40"/>
                      <w:spacing w:before="142" w:line="219" w:lineRule="auto"/>
                      <w:rPr>
                        <w:rFonts w:ascii="SimSun" w:hAnsi="SimSun" w:eastAsia="SimSun" w:cs="SimSun"/>
                        <w:sz w:val="25"/>
                        <w:szCs w:val="25"/>
                      </w:rPr>
                    </w:pPr>
                    <w:r>
                      <w:rPr>
                        <w:rFonts w:ascii="SimSun" w:hAnsi="SimSun" w:eastAsia="SimSun" w:cs="SimSun"/>
                        <w:sz w:val="25"/>
                        <w:szCs w:val="25"/>
                        <w:spacing w:val="-1"/>
                      </w:rPr>
                      <w:t>对患者和受检者进行医疗照射前，未进行正当性判断，</w:t>
                    </w:r>
                    <w:r>
                      <w:rPr>
                        <w:rFonts w:ascii="SimSun" w:hAnsi="SimSun" w:eastAsia="SimSun" w:cs="SimSun"/>
                        <w:sz w:val="25"/>
                        <w:szCs w:val="25"/>
                        <w:spacing w:val="-2"/>
                      </w:rPr>
                      <w:t>造成严重后果</w:t>
                    </w:r>
                  </w:p>
                  <w:p>
                    <w:pPr>
                      <w:ind w:left="30"/>
                      <w:spacing w:before="37" w:line="222" w:lineRule="auto"/>
                      <w:rPr>
                        <w:rFonts w:ascii="SimSun" w:hAnsi="SimSun" w:eastAsia="SimSun" w:cs="SimSun"/>
                        <w:sz w:val="25"/>
                        <w:szCs w:val="25"/>
                      </w:rPr>
                    </w:pPr>
                    <w:r>
                      <w:rPr>
                        <w:rFonts w:ascii="SimSun" w:hAnsi="SimSun" w:eastAsia="SimSun" w:cs="SimSun"/>
                        <w:sz w:val="25"/>
                        <w:szCs w:val="25"/>
                        <w:color w:val="405050"/>
                      </w:rPr>
                      <w:t>的</w:t>
                    </w:r>
                  </w:p>
                </w:txbxContent>
              </v:textbox>
            </v:shape>
            <v:shape id="_x0000_s44" style="position:absolute;left:9465;top:53;width:4562;height:3833;" filled="false" stroked="false" type="#_x0000_t202">
              <v:fill on="false"/>
              <v:stroke on="false"/>
              <v:path/>
              <v:imagedata o:title=""/>
              <o:lock v:ext="edit" aspectratio="false"/>
              <v:textbox inset="0mm,0mm,0mm,0mm">
                <w:txbxContent>
                  <w:p>
                    <w:pPr>
                      <w:ind w:left="20" w:right="20"/>
                      <w:spacing w:before="19" w:line="257" w:lineRule="auto"/>
                      <w:rPr>
                        <w:rFonts w:ascii="SimSun" w:hAnsi="SimSun" w:eastAsia="SimSun" w:cs="SimSun"/>
                        <w:sz w:val="25"/>
                        <w:szCs w:val="25"/>
                      </w:rPr>
                    </w:pPr>
                    <w:r>
                      <w:rPr>
                        <w:rFonts w:ascii="SimSun" w:hAnsi="SimSun" w:eastAsia="SimSun" w:cs="SimSun"/>
                        <w:sz w:val="25"/>
                        <w:szCs w:val="25"/>
                        <w:spacing w:val="1"/>
                      </w:rPr>
                      <w:t>给予警告，责令限期改正；可处3000元以 </w:t>
                    </w:r>
                    <w:r>
                      <w:rPr>
                        <w:rFonts w:ascii="SimSun" w:hAnsi="SimSun" w:eastAsia="SimSun" w:cs="SimSun"/>
                        <w:sz w:val="25"/>
                        <w:szCs w:val="25"/>
                        <w:spacing w:val="2"/>
                      </w:rPr>
                      <w:t>下的罚款</w:t>
                    </w:r>
                  </w:p>
                  <w:p>
                    <w:pPr>
                      <w:ind w:left="20" w:right="20"/>
                      <w:spacing w:before="13" w:line="256" w:lineRule="auto"/>
                      <w:rPr>
                        <w:rFonts w:ascii="SimSun" w:hAnsi="SimSun" w:eastAsia="SimSun" w:cs="SimSun"/>
                        <w:sz w:val="25"/>
                        <w:szCs w:val="25"/>
                      </w:rPr>
                    </w:pPr>
                    <w:r>
                      <w:rPr>
                        <w:rFonts w:ascii="SimSun" w:hAnsi="SimSun" w:eastAsia="SimSun" w:cs="SimSun"/>
                        <w:sz w:val="25"/>
                        <w:szCs w:val="25"/>
                        <w:spacing w:val="1"/>
                      </w:rPr>
                      <w:t>给予警告，责令限期改正；并处3000元以 </w:t>
                    </w:r>
                    <w:r>
                      <w:rPr>
                        <w:rFonts w:ascii="SimSun" w:hAnsi="SimSun" w:eastAsia="SimSun" w:cs="SimSun"/>
                        <w:sz w:val="25"/>
                        <w:szCs w:val="25"/>
                      </w:rPr>
                      <w:t>上7000元以下的罚款</w:t>
                    </w:r>
                  </w:p>
                  <w:p>
                    <w:pPr>
                      <w:spacing w:line="423" w:lineRule="auto"/>
                      <w:rPr>
                        <w:rFonts w:ascii="Arial"/>
                        <w:sz w:val="21"/>
                      </w:rPr>
                    </w:pPr>
                    <w:r/>
                  </w:p>
                  <w:p>
                    <w:pPr>
                      <w:ind w:left="20" w:right="20"/>
                      <w:spacing w:before="81" w:line="263" w:lineRule="auto"/>
                      <w:rPr>
                        <w:rFonts w:ascii="SimSun" w:hAnsi="SimSun" w:eastAsia="SimSun" w:cs="SimSun"/>
                        <w:sz w:val="25"/>
                        <w:szCs w:val="25"/>
                      </w:rPr>
                    </w:pPr>
                    <w:r>
                      <w:rPr>
                        <w:rFonts w:ascii="SimSun" w:hAnsi="SimSun" w:eastAsia="SimSun" w:cs="SimSun"/>
                        <w:sz w:val="25"/>
                        <w:szCs w:val="25"/>
                        <w:spacing w:val="1"/>
                      </w:rPr>
                      <w:t>给予警告，责令限期改正；并处7000元以 </w:t>
                    </w:r>
                    <w:r>
                      <w:rPr>
                        <w:rFonts w:ascii="SimSun" w:hAnsi="SimSun" w:eastAsia="SimSun" w:cs="SimSun"/>
                        <w:sz w:val="25"/>
                        <w:szCs w:val="25"/>
                        <w:spacing w:val="1"/>
                      </w:rPr>
                      <w:t>上一万元以下的罚款</w:t>
                    </w:r>
                  </w:p>
                  <w:p>
                    <w:pPr>
                      <w:spacing w:line="251" w:lineRule="auto"/>
                      <w:rPr>
                        <w:rFonts w:ascii="Arial"/>
                        <w:sz w:val="21"/>
                      </w:rPr>
                    </w:pPr>
                    <w:r/>
                  </w:p>
                  <w:p>
                    <w:pPr>
                      <w:spacing w:line="252" w:lineRule="auto"/>
                      <w:rPr>
                        <w:rFonts w:ascii="Arial"/>
                        <w:sz w:val="21"/>
                      </w:rPr>
                    </w:pPr>
                    <w:r/>
                  </w:p>
                  <w:p>
                    <w:pPr>
                      <w:ind w:left="30"/>
                      <w:spacing w:before="81" w:line="218" w:lineRule="auto"/>
                      <w:rPr>
                        <w:rFonts w:ascii="SimSun" w:hAnsi="SimSun" w:eastAsia="SimSun" w:cs="SimSun"/>
                        <w:sz w:val="25"/>
                        <w:szCs w:val="25"/>
                      </w:rPr>
                    </w:pPr>
                    <w:r>
                      <w:rPr>
                        <w:rFonts w:ascii="SimSun" w:hAnsi="SimSun" w:eastAsia="SimSun" w:cs="SimSun"/>
                        <w:sz w:val="25"/>
                        <w:szCs w:val="25"/>
                        <w:spacing w:val="-1"/>
                      </w:rPr>
                      <w:t>给予警告，责令限期改正；并处一万元的</w:t>
                    </w:r>
                  </w:p>
                  <w:p>
                    <w:pPr>
                      <w:ind w:left="20"/>
                      <w:spacing w:before="38" w:line="221" w:lineRule="auto"/>
                      <w:rPr>
                        <w:rFonts w:ascii="SimSun" w:hAnsi="SimSun" w:eastAsia="SimSun" w:cs="SimSun"/>
                        <w:sz w:val="25"/>
                        <w:szCs w:val="25"/>
                      </w:rPr>
                    </w:pPr>
                    <w:r>
                      <w:rPr>
                        <w:rFonts w:ascii="SimSun" w:hAnsi="SimSun" w:eastAsia="SimSun" w:cs="SimSun"/>
                        <w:sz w:val="25"/>
                        <w:szCs w:val="25"/>
                        <w:color w:val="505050"/>
                        <w:spacing w:val="5"/>
                      </w:rPr>
                      <w:t>罚款</w:t>
                    </w:r>
                  </w:p>
                </w:txbxContent>
              </v:textbox>
            </v:shape>
            <v:shape id="_x0000_s46" style="position:absolute;left:628;top:213;width:530;height:990;" filled="false" stroked="false" type="#_x0000_t202">
              <v:fill on="false"/>
              <v:stroke on="false"/>
              <v:path/>
              <v:imagedata o:title=""/>
              <o:lock v:ext="edit" aspectratio="false"/>
              <v:textbox inset="0mm,0mm,0mm,0mm">
                <w:txbxContent>
                  <w:p>
                    <w:pPr>
                      <w:ind w:left="20"/>
                      <w:spacing w:before="19" w:line="221" w:lineRule="auto"/>
                      <w:rPr>
                        <w:rFonts w:ascii="SimSun" w:hAnsi="SimSun" w:eastAsia="SimSun" w:cs="SimSun"/>
                        <w:sz w:val="25"/>
                        <w:szCs w:val="25"/>
                      </w:rPr>
                    </w:pPr>
                    <w:bookmarkStart w:name="bookmark1215" w:id="592"/>
                    <w:bookmarkEnd w:id="592"/>
                    <w:r>
                      <w:rPr>
                        <w:rFonts w:ascii="SimSun" w:hAnsi="SimSun" w:eastAsia="SimSun" w:cs="SimSun"/>
                        <w:sz w:val="25"/>
                        <w:szCs w:val="25"/>
                        <w:b/>
                        <w:bCs/>
                        <w:spacing w:val="-10"/>
                      </w:rPr>
                      <w:t>一般</w:t>
                    </w:r>
                  </w:p>
                  <w:p>
                    <w:pPr>
                      <w:spacing w:line="319" w:lineRule="auto"/>
                      <w:rPr>
                        <w:rFonts w:ascii="Arial"/>
                        <w:sz w:val="21"/>
                      </w:rPr>
                    </w:pPr>
                    <w:r/>
                  </w:p>
                  <w:p>
                    <w:pPr>
                      <w:ind w:left="20"/>
                      <w:spacing w:before="81" w:line="221" w:lineRule="auto"/>
                      <w:rPr>
                        <w:rFonts w:ascii="SimSun" w:hAnsi="SimSun" w:eastAsia="SimSun" w:cs="SimSun"/>
                        <w:sz w:val="25"/>
                        <w:szCs w:val="25"/>
                      </w:rPr>
                    </w:pPr>
                    <w:r>
                      <w:rPr>
                        <w:rFonts w:ascii="SimSun" w:hAnsi="SimSun" w:eastAsia="SimSun" w:cs="SimSun"/>
                        <w:sz w:val="25"/>
                        <w:szCs w:val="25"/>
                        <w:b/>
                        <w:bCs/>
                        <w:spacing w:val="-6"/>
                      </w:rPr>
                      <w:t>较重</w:t>
                    </w:r>
                  </w:p>
                </w:txbxContent>
              </v:textbox>
            </v:shape>
            <v:shape id="_x0000_s48" style="position:absolute;left:378;top:3401;width:1030;height:290;" filled="false" stroked="false" type="#_x0000_t202">
              <v:fill on="false"/>
              <v:stroke on="false"/>
              <v:path/>
              <v:imagedata o:title=""/>
              <o:lock v:ext="edit" aspectratio="false"/>
              <v:textbox inset="0mm,0mm,0mm,0mm">
                <w:txbxContent>
                  <w:p>
                    <w:pPr>
                      <w:ind w:left="20"/>
                      <w:spacing w:before="20" w:line="219" w:lineRule="auto"/>
                      <w:rPr>
                        <w:rFonts w:ascii="SimSun" w:hAnsi="SimSun" w:eastAsia="SimSun" w:cs="SimSun"/>
                        <w:sz w:val="25"/>
                        <w:szCs w:val="25"/>
                      </w:rPr>
                    </w:pPr>
                    <w:r>
                      <w:rPr>
                        <w:rFonts w:ascii="SimSun" w:hAnsi="SimSun" w:eastAsia="SimSun" w:cs="SimSun"/>
                        <w:sz w:val="25"/>
                        <w:szCs w:val="25"/>
                        <w:b/>
                        <w:bCs/>
                        <w:spacing w:val="-5"/>
                      </w:rPr>
                      <w:t>特别严重</w:t>
                    </w:r>
                  </w:p>
                </w:txbxContent>
              </v:textbox>
            </v:shape>
            <v:shape id="_x0000_s50" style="position:absolute;left:628;top:2122;width:530;height:290;"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25"/>
                        <w:szCs w:val="25"/>
                      </w:rPr>
                    </w:pPr>
                    <w:r>
                      <w:rPr>
                        <w:rFonts w:ascii="SimSun" w:hAnsi="SimSun" w:eastAsia="SimSun" w:cs="SimSun"/>
                        <w:sz w:val="25"/>
                        <w:szCs w:val="25"/>
                        <w:b/>
                        <w:bCs/>
                        <w:spacing w:val="-6"/>
                      </w:rPr>
                      <w:t>严重</w:t>
                    </w:r>
                  </w:p>
                </w:txbxContent>
              </v:textbox>
            </v:shape>
          </v:group>
        </w:pict>
      </w:r>
    </w:p>
    <w:p>
      <w:pPr>
        <w:pStyle w:val="BodyText"/>
        <w:spacing w:line="456" w:lineRule="auto"/>
        <w:rPr/>
      </w:pPr>
      <w:r/>
    </w:p>
    <w:p>
      <w:pPr>
        <w:ind w:left="65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第五百五十九条对患者和受检者进行医疗照射前，未告知其辐射对健康影响的</w:t>
      </w:r>
    </w:p>
    <w:p>
      <w:pPr>
        <w:ind w:left="654"/>
        <w:spacing w:before="100" w:line="222" w:lineRule="auto"/>
        <w:rPr>
          <w:rFonts w:ascii="FangSong" w:hAnsi="FangSong" w:eastAsia="FangSong" w:cs="FangSong"/>
          <w:sz w:val="30"/>
          <w:szCs w:val="30"/>
        </w:rPr>
      </w:pPr>
      <w:r>
        <w:rPr>
          <w:rFonts w:ascii="FangSong" w:hAnsi="FangSong" w:eastAsia="FangSong" w:cs="FangSong"/>
          <w:sz w:val="30"/>
          <w:szCs w:val="30"/>
        </w:rPr>
        <w:t>法律依据：</w:t>
      </w:r>
    </w:p>
    <w:p>
      <w:pPr>
        <w:ind w:left="34" w:right="152" w:firstLine="620"/>
        <w:spacing w:before="66" w:line="265" w:lineRule="auto"/>
        <w:rPr>
          <w:rFonts w:ascii="FangSong" w:hAnsi="FangSong" w:eastAsia="FangSong" w:cs="FangSong"/>
          <w:sz w:val="30"/>
          <w:szCs w:val="30"/>
        </w:rPr>
      </w:pPr>
      <w:r>
        <w:rPr>
          <w:rFonts w:ascii="FangSong" w:hAnsi="FangSong" w:eastAsia="FangSong" w:cs="FangSong"/>
          <w:sz w:val="30"/>
          <w:szCs w:val="30"/>
          <w:spacing w:val="20"/>
        </w:rPr>
        <w:t>1.</w:t>
      </w:r>
      <w:r>
        <w:rPr>
          <w:rFonts w:ascii="FangSong" w:hAnsi="FangSong" w:eastAsia="FangSong" w:cs="FangSong"/>
          <w:sz w:val="30"/>
          <w:szCs w:val="30"/>
          <w:spacing w:val="20"/>
        </w:rPr>
        <w:t xml:space="preserve"> </w:t>
      </w:r>
      <w:r>
        <w:rPr>
          <w:rFonts w:ascii="FangSong" w:hAnsi="FangSong" w:eastAsia="FangSong" w:cs="FangSong"/>
          <w:sz w:val="30"/>
          <w:szCs w:val="30"/>
          <w:spacing w:val="20"/>
        </w:rPr>
        <w:t>《放射诊疗管理规定》第四十一条第(七)项</w:t>
      </w:r>
      <w:r>
        <w:rPr>
          <w:rFonts w:ascii="FangSong" w:hAnsi="FangSong" w:eastAsia="FangSong" w:cs="FangSong"/>
          <w:sz w:val="30"/>
          <w:szCs w:val="30"/>
          <w:spacing w:val="20"/>
        </w:rPr>
        <w:t xml:space="preserve">   </w:t>
      </w:r>
      <w:r>
        <w:rPr>
          <w:rFonts w:ascii="FangSong" w:hAnsi="FangSong" w:eastAsia="FangSong" w:cs="FangSong"/>
          <w:sz w:val="30"/>
          <w:szCs w:val="30"/>
          <w:spacing w:val="20"/>
        </w:rPr>
        <w:t>医疗机构违反本规定，有下列行为之一</w:t>
      </w:r>
      <w:r>
        <w:rPr>
          <w:rFonts w:ascii="FangSong" w:hAnsi="FangSong" w:eastAsia="FangSong" w:cs="FangSong"/>
          <w:sz w:val="30"/>
          <w:szCs w:val="30"/>
          <w:spacing w:val="19"/>
        </w:rPr>
        <w:t>的，</w:t>
      </w:r>
      <w:r>
        <w:rPr>
          <w:rFonts w:ascii="FangSong" w:hAnsi="FangSong" w:eastAsia="FangSong" w:cs="FangSong"/>
          <w:sz w:val="30"/>
          <w:szCs w:val="30"/>
        </w:rPr>
        <w:t xml:space="preserve"> </w:t>
      </w:r>
      <w:r>
        <w:rPr>
          <w:rFonts w:ascii="FangSong" w:hAnsi="FangSong" w:eastAsia="FangSong" w:cs="FangSong"/>
          <w:sz w:val="30"/>
          <w:szCs w:val="30"/>
          <w:spacing w:val="16"/>
        </w:rPr>
        <w:t>由县级以上卫生行政部门给予警告，责令限期改正；并可处一万元以下的罚款：</w:t>
      </w:r>
    </w:p>
    <w:p>
      <w:pPr>
        <w:ind w:left="795"/>
        <w:spacing w:before="1" w:line="221" w:lineRule="auto"/>
        <w:rPr>
          <w:rFonts w:ascii="FangSong" w:hAnsi="FangSong" w:eastAsia="FangSong" w:cs="FangSong"/>
          <w:sz w:val="30"/>
          <w:szCs w:val="30"/>
        </w:rPr>
      </w:pPr>
      <w:r>
        <w:rPr>
          <w:rFonts w:ascii="FangSong" w:hAnsi="FangSong" w:eastAsia="FangSong" w:cs="FangSong"/>
          <w:sz w:val="30"/>
          <w:szCs w:val="30"/>
          <w:spacing w:val="25"/>
        </w:rPr>
        <w:t>(七)违反本规定的其他情形。</w:t>
      </w:r>
    </w:p>
    <w:p>
      <w:pPr>
        <w:ind w:left="34" w:right="63" w:firstLine="590"/>
        <w:spacing w:before="96" w:line="271" w:lineRule="auto"/>
        <w:jc w:val="both"/>
        <w:rPr>
          <w:rFonts w:ascii="FangSong" w:hAnsi="FangSong" w:eastAsia="FangSong" w:cs="FangSong"/>
          <w:sz w:val="30"/>
          <w:szCs w:val="30"/>
        </w:rPr>
      </w:pPr>
      <w:r>
        <w:rPr>
          <w:rFonts w:ascii="FangSong" w:hAnsi="FangSong" w:eastAsia="FangSong" w:cs="FangSong"/>
          <w:sz w:val="30"/>
          <w:szCs w:val="30"/>
          <w:spacing w:val="15"/>
        </w:rPr>
        <w:t>2.</w:t>
      </w:r>
      <w:r>
        <w:rPr>
          <w:rFonts w:ascii="FangSong" w:hAnsi="FangSong" w:eastAsia="FangSong" w:cs="FangSong"/>
          <w:sz w:val="30"/>
          <w:szCs w:val="30"/>
          <w:spacing w:val="15"/>
        </w:rPr>
        <w:t xml:space="preserve"> </w:t>
      </w:r>
      <w:r>
        <w:rPr>
          <w:rFonts w:ascii="FangSong" w:hAnsi="FangSong" w:eastAsia="FangSong" w:cs="FangSong"/>
          <w:sz w:val="30"/>
          <w:szCs w:val="30"/>
          <w:spacing w:val="15"/>
        </w:rPr>
        <w:t>《放射诊疗管理规定》第二十五条</w:t>
      </w:r>
      <w:r>
        <w:rPr>
          <w:rFonts w:ascii="FangSong" w:hAnsi="FangSong" w:eastAsia="FangSong" w:cs="FangSong"/>
          <w:sz w:val="30"/>
          <w:szCs w:val="30"/>
          <w:spacing w:val="15"/>
        </w:rPr>
        <w:t xml:space="preserve">   </w:t>
      </w:r>
      <w:r>
        <w:rPr>
          <w:rFonts w:ascii="FangSong" w:hAnsi="FangSong" w:eastAsia="FangSong" w:cs="FangSong"/>
          <w:sz w:val="30"/>
          <w:szCs w:val="30"/>
          <w:spacing w:val="15"/>
        </w:rPr>
        <w:t>放射诊疗工作人员对</w:t>
      </w:r>
      <w:r>
        <w:rPr>
          <w:rFonts w:ascii="FangSong" w:hAnsi="FangSong" w:eastAsia="FangSong" w:cs="FangSong"/>
          <w:sz w:val="30"/>
          <w:szCs w:val="30"/>
          <w:spacing w:val="14"/>
        </w:rPr>
        <w:t>患者和受检者进行医疗照射时，应</w:t>
      </w:r>
      <w:r>
        <w:rPr>
          <w:rFonts w:ascii="FangSong" w:hAnsi="FangSong" w:eastAsia="FangSong" w:cs="FangSong"/>
          <w:sz w:val="30"/>
          <w:szCs w:val="30"/>
        </w:rPr>
        <w:t xml:space="preserve"> </w:t>
      </w:r>
      <w:r>
        <w:rPr>
          <w:rFonts w:ascii="FangSong" w:hAnsi="FangSong" w:eastAsia="FangSong" w:cs="FangSong"/>
          <w:sz w:val="30"/>
          <w:szCs w:val="30"/>
          <w:spacing w:val="16"/>
        </w:rPr>
        <w:t>当遵守医疗照射正当化和放射防护最优化的原则，有明确的医疗目的，严格控制受照剂量；对邻近照</w:t>
      </w:r>
      <w:r>
        <w:rPr>
          <w:rFonts w:ascii="FangSong" w:hAnsi="FangSong" w:eastAsia="FangSong" w:cs="FangSong"/>
          <w:sz w:val="30"/>
          <w:szCs w:val="30"/>
          <w:spacing w:val="4"/>
        </w:rPr>
        <w:t xml:space="preserve"> </w:t>
      </w:r>
      <w:r>
        <w:rPr>
          <w:rFonts w:ascii="FangSong" w:hAnsi="FangSong" w:eastAsia="FangSong" w:cs="FangSong"/>
          <w:sz w:val="30"/>
          <w:szCs w:val="30"/>
          <w:spacing w:val="18"/>
        </w:rPr>
        <w:t>射野的敏感器官和组织进行屏蔽防护，并事先</w:t>
      </w:r>
      <w:r>
        <w:rPr>
          <w:rFonts w:ascii="FangSong" w:hAnsi="FangSong" w:eastAsia="FangSong" w:cs="FangSong"/>
          <w:sz w:val="30"/>
          <w:szCs w:val="30"/>
          <w:spacing w:val="17"/>
        </w:rPr>
        <w:t>告知患者和受检者辐射对健康的影响。</w:t>
      </w:r>
    </w:p>
    <w:p>
      <w:pPr>
        <w:spacing w:line="271" w:lineRule="auto"/>
        <w:sectPr>
          <w:footerReference w:type="default" r:id="rId583"/>
          <w:pgSz w:w="16830" w:h="11900"/>
          <w:pgMar w:top="1011" w:right="1387" w:bottom="1124" w:left="1434" w:header="0" w:footer="782" w:gutter="0"/>
        </w:sectPr>
        <w:rPr>
          <w:rFonts w:ascii="FangSong" w:hAnsi="FangSong" w:eastAsia="FangSong" w:cs="FangSong"/>
          <w:sz w:val="30"/>
          <w:szCs w:val="30"/>
        </w:rPr>
      </w:pPr>
    </w:p>
    <w:p>
      <w:pPr>
        <w:pStyle w:val="BodyText"/>
        <w:spacing w:line="263" w:lineRule="auto"/>
        <w:rPr/>
      </w:pPr>
      <w:r/>
    </w:p>
    <w:p>
      <w:pPr>
        <w:pStyle w:val="BodyText"/>
        <w:spacing w:line="263" w:lineRule="auto"/>
        <w:rPr/>
      </w:pPr>
      <w:r/>
    </w:p>
    <w:p>
      <w:pPr>
        <w:pStyle w:val="BodyText"/>
        <w:spacing w:line="264" w:lineRule="auto"/>
        <w:rPr/>
      </w:pPr>
      <w:r/>
    </w:p>
    <w:p>
      <w:pPr>
        <w:ind w:left="6419"/>
        <w:spacing w:before="91" w:line="220" w:lineRule="auto"/>
        <w:rPr>
          <w:rFonts w:ascii="SimSun" w:hAnsi="SimSun" w:eastAsia="SimSun" w:cs="SimSun"/>
          <w:sz w:val="28"/>
          <w:szCs w:val="28"/>
        </w:rPr>
      </w:pPr>
      <w:bookmarkStart w:name="bookmark1216" w:id="593"/>
      <w:bookmarkEnd w:id="593"/>
      <w:r>
        <w:rPr>
          <w:rFonts w:ascii="SimSun" w:hAnsi="SimSun" w:eastAsia="SimSun" w:cs="SimSun"/>
          <w:sz w:val="28"/>
          <w:szCs w:val="28"/>
          <w:b/>
          <w:bCs/>
          <w:spacing w:val="-6"/>
        </w:rPr>
        <w:t>裁量标准</w:t>
      </w:r>
    </w:p>
    <w:p>
      <w:pPr>
        <w:spacing w:line="31" w:lineRule="auto"/>
        <w:rPr>
          <w:rFonts w:ascii="Arial"/>
          <w:sz w:val="2"/>
        </w:rPr>
      </w:pPr>
      <w:r>
        <w:rPr>
          <w:rFonts w:ascii="Arial"/>
          <w:sz w:val="2"/>
        </w:rPr>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584"/>
        <w:gridCol w:w="4612"/>
      </w:tblGrid>
      <w:tr>
        <w:trPr>
          <w:trHeight w:val="663" w:hRule="atLeast"/>
        </w:trPr>
        <w:tc>
          <w:tcPr>
            <w:tcW w:w="1784" w:type="dxa"/>
            <w:vAlign w:val="top"/>
          </w:tcPr>
          <w:p>
            <w:pPr>
              <w:pStyle w:val="TableText"/>
              <w:ind w:left="388"/>
              <w:spacing w:before="212" w:line="220" w:lineRule="auto"/>
              <w:rPr>
                <w:sz w:val="25"/>
                <w:szCs w:val="25"/>
              </w:rPr>
            </w:pPr>
            <w:r>
              <w:rPr>
                <w:sz w:val="25"/>
                <w:szCs w:val="25"/>
                <w:b/>
                <w:bCs/>
                <w:spacing w:val="-5"/>
              </w:rPr>
              <w:t>违法程度</w:t>
            </w:r>
          </w:p>
        </w:tc>
        <w:tc>
          <w:tcPr>
            <w:tcW w:w="7584" w:type="dxa"/>
            <w:vAlign w:val="top"/>
          </w:tcPr>
          <w:p>
            <w:pPr>
              <w:pStyle w:val="TableText"/>
              <w:ind w:left="3234"/>
              <w:spacing w:before="212" w:line="220" w:lineRule="auto"/>
              <w:rPr>
                <w:sz w:val="25"/>
                <w:szCs w:val="25"/>
              </w:rPr>
            </w:pPr>
            <w:r>
              <w:rPr>
                <w:sz w:val="25"/>
                <w:szCs w:val="25"/>
                <w:b/>
                <w:bCs/>
                <w:spacing w:val="-5"/>
              </w:rPr>
              <w:t>情节后果</w:t>
            </w:r>
          </w:p>
        </w:tc>
        <w:tc>
          <w:tcPr>
            <w:tcW w:w="4612" w:type="dxa"/>
            <w:vAlign w:val="top"/>
          </w:tcPr>
          <w:p>
            <w:pPr>
              <w:pStyle w:val="TableText"/>
              <w:ind w:left="1800"/>
              <w:spacing w:before="209" w:line="218" w:lineRule="auto"/>
              <w:rPr>
                <w:sz w:val="25"/>
                <w:szCs w:val="25"/>
              </w:rPr>
            </w:pPr>
            <w:r>
              <w:rPr>
                <w:sz w:val="25"/>
                <w:szCs w:val="25"/>
                <w:b/>
                <w:bCs/>
                <w:spacing w:val="-5"/>
              </w:rPr>
              <w:t>裁量幅度</w:t>
            </w:r>
          </w:p>
        </w:tc>
      </w:tr>
      <w:tr>
        <w:trPr>
          <w:trHeight w:val="718" w:hRule="atLeast"/>
        </w:trPr>
        <w:tc>
          <w:tcPr>
            <w:tcW w:w="1784" w:type="dxa"/>
            <w:vAlign w:val="top"/>
          </w:tcPr>
          <w:p>
            <w:pPr>
              <w:pStyle w:val="TableText"/>
              <w:ind w:left="638"/>
              <w:spacing w:before="240" w:line="221" w:lineRule="auto"/>
              <w:rPr>
                <w:sz w:val="25"/>
                <w:szCs w:val="25"/>
              </w:rPr>
            </w:pPr>
            <w:r>
              <w:rPr>
                <w:sz w:val="25"/>
                <w:szCs w:val="25"/>
                <w:b/>
                <w:bCs/>
                <w:spacing w:val="-10"/>
              </w:rPr>
              <w:t>一般</w:t>
            </w:r>
          </w:p>
        </w:tc>
        <w:tc>
          <w:tcPr>
            <w:tcW w:w="7584" w:type="dxa"/>
            <w:vAlign w:val="top"/>
          </w:tcPr>
          <w:p>
            <w:pPr>
              <w:pStyle w:val="TableText"/>
              <w:ind w:left="111" w:right="336" w:firstLine="9"/>
              <w:spacing w:before="82" w:line="231" w:lineRule="auto"/>
              <w:rPr>
                <w:sz w:val="25"/>
                <w:szCs w:val="25"/>
              </w:rPr>
            </w:pPr>
            <w:r>
              <w:rPr>
                <w:sz w:val="25"/>
                <w:szCs w:val="25"/>
              </w:rPr>
              <w:t>对1名患者或受检者(不含孕妇、婴幼儿、少</w:t>
            </w:r>
            <w:r>
              <w:rPr>
                <w:sz w:val="25"/>
                <w:szCs w:val="25"/>
                <w:spacing w:val="-1"/>
              </w:rPr>
              <w:t>年儿童等特殊人群)进</w:t>
            </w:r>
            <w:r>
              <w:rPr>
                <w:sz w:val="25"/>
                <w:szCs w:val="25"/>
              </w:rPr>
              <w:t xml:space="preserve"> </w:t>
            </w:r>
            <w:r>
              <w:rPr>
                <w:sz w:val="25"/>
                <w:szCs w:val="25"/>
                <w:spacing w:val="1"/>
              </w:rPr>
              <w:t>行医疗照射前，未告知其辐射对健康影响的</w:t>
            </w:r>
          </w:p>
        </w:tc>
        <w:tc>
          <w:tcPr>
            <w:tcW w:w="4612" w:type="dxa"/>
            <w:vAlign w:val="top"/>
          </w:tcPr>
          <w:p>
            <w:pPr>
              <w:pStyle w:val="TableText"/>
              <w:ind w:left="126" w:right="32" w:hanging="79"/>
              <w:spacing w:before="79" w:line="232" w:lineRule="auto"/>
              <w:rPr>
                <w:sz w:val="25"/>
                <w:szCs w:val="25"/>
              </w:rPr>
            </w:pPr>
            <w:r>
              <w:rPr>
                <w:sz w:val="25"/>
                <w:szCs w:val="25"/>
                <w:spacing w:val="1"/>
              </w:rPr>
              <w:t>给予警告，责令限期改正；可处3000元以 </w:t>
            </w:r>
            <w:r>
              <w:rPr>
                <w:sz w:val="25"/>
                <w:szCs w:val="25"/>
                <w:spacing w:val="2"/>
              </w:rPr>
              <w:t>下的罚款</w:t>
            </w:r>
          </w:p>
        </w:tc>
      </w:tr>
      <w:tr>
        <w:trPr>
          <w:trHeight w:val="689" w:hRule="atLeast"/>
        </w:trPr>
        <w:tc>
          <w:tcPr>
            <w:tcW w:w="1784" w:type="dxa"/>
            <w:vAlign w:val="top"/>
          </w:tcPr>
          <w:p>
            <w:pPr>
              <w:pStyle w:val="TableText"/>
              <w:ind w:left="638"/>
              <w:spacing w:before="224" w:line="221" w:lineRule="auto"/>
              <w:rPr>
                <w:sz w:val="25"/>
                <w:szCs w:val="25"/>
              </w:rPr>
            </w:pPr>
            <w:r>
              <w:rPr>
                <w:sz w:val="25"/>
                <w:szCs w:val="25"/>
                <w:b/>
                <w:bCs/>
                <w:spacing w:val="-6"/>
              </w:rPr>
              <w:t>较重</w:t>
            </w:r>
          </w:p>
        </w:tc>
        <w:tc>
          <w:tcPr>
            <w:tcW w:w="7584" w:type="dxa"/>
            <w:vAlign w:val="top"/>
          </w:tcPr>
          <w:p>
            <w:pPr>
              <w:pStyle w:val="TableText"/>
              <w:ind w:left="111" w:right="336" w:firstLine="9"/>
              <w:spacing w:before="64" w:line="227" w:lineRule="auto"/>
              <w:rPr>
                <w:sz w:val="25"/>
                <w:szCs w:val="25"/>
              </w:rPr>
            </w:pPr>
            <w:r>
              <w:rPr>
                <w:sz w:val="25"/>
                <w:szCs w:val="25"/>
              </w:rPr>
              <w:t>对2名患者或受检者(不含孕妇、婴幼儿、少</w:t>
            </w:r>
            <w:r>
              <w:rPr>
                <w:sz w:val="25"/>
                <w:szCs w:val="25"/>
                <w:spacing w:val="-1"/>
              </w:rPr>
              <w:t>年儿童等特殊人群)进</w:t>
            </w:r>
            <w:r>
              <w:rPr>
                <w:sz w:val="25"/>
                <w:szCs w:val="25"/>
              </w:rPr>
              <w:t xml:space="preserve"> </w:t>
            </w:r>
            <w:r>
              <w:rPr>
                <w:sz w:val="25"/>
                <w:szCs w:val="25"/>
                <w:spacing w:val="1"/>
              </w:rPr>
              <w:t>行医疗照射前，未告知其辐射对健康影响的</w:t>
            </w:r>
          </w:p>
        </w:tc>
        <w:tc>
          <w:tcPr>
            <w:tcW w:w="4612" w:type="dxa"/>
            <w:vAlign w:val="top"/>
          </w:tcPr>
          <w:p>
            <w:pPr>
              <w:pStyle w:val="TableText"/>
              <w:ind w:left="126" w:right="32" w:hanging="79"/>
              <w:spacing w:before="61" w:line="228" w:lineRule="auto"/>
              <w:rPr>
                <w:sz w:val="25"/>
                <w:szCs w:val="25"/>
              </w:rPr>
            </w:pPr>
            <w:r>
              <w:rPr>
                <w:sz w:val="25"/>
                <w:szCs w:val="25"/>
                <w:spacing w:val="1"/>
              </w:rPr>
              <w:t>给予警告，责令限期改正；并处3000元以 </w:t>
            </w:r>
            <w:r>
              <w:rPr>
                <w:sz w:val="25"/>
                <w:szCs w:val="25"/>
              </w:rPr>
              <w:t>上7000元以下的罚款</w:t>
            </w:r>
          </w:p>
        </w:tc>
      </w:tr>
      <w:tr>
        <w:trPr>
          <w:trHeight w:val="1706" w:hRule="atLeast"/>
        </w:trPr>
        <w:tc>
          <w:tcPr>
            <w:tcW w:w="1784" w:type="dxa"/>
            <w:vAlign w:val="top"/>
          </w:tcPr>
          <w:p>
            <w:pPr>
              <w:spacing w:line="323" w:lineRule="auto"/>
              <w:rPr>
                <w:rFonts w:ascii="Arial"/>
                <w:sz w:val="21"/>
              </w:rPr>
            </w:pPr>
            <w:r/>
          </w:p>
          <w:p>
            <w:pPr>
              <w:spacing w:line="324" w:lineRule="auto"/>
              <w:rPr>
                <w:rFonts w:ascii="Arial"/>
                <w:sz w:val="21"/>
              </w:rPr>
            </w:pPr>
            <w:r/>
          </w:p>
          <w:p>
            <w:pPr>
              <w:pStyle w:val="TableText"/>
              <w:ind w:left="638"/>
              <w:spacing w:before="81" w:line="220" w:lineRule="auto"/>
              <w:rPr>
                <w:sz w:val="25"/>
                <w:szCs w:val="25"/>
              </w:rPr>
            </w:pPr>
            <w:r>
              <w:rPr>
                <w:sz w:val="25"/>
                <w:szCs w:val="25"/>
                <w:b/>
                <w:bCs/>
                <w:spacing w:val="-6"/>
              </w:rPr>
              <w:t>严重</w:t>
            </w:r>
          </w:p>
        </w:tc>
        <w:tc>
          <w:tcPr>
            <w:tcW w:w="7584" w:type="dxa"/>
            <w:vAlign w:val="top"/>
          </w:tcPr>
          <w:p>
            <w:pPr>
              <w:pStyle w:val="TableText"/>
              <w:ind w:left="111"/>
              <w:spacing w:before="56" w:line="220" w:lineRule="auto"/>
              <w:rPr>
                <w:sz w:val="25"/>
                <w:szCs w:val="25"/>
              </w:rPr>
            </w:pPr>
            <w:r>
              <w:rPr>
                <w:sz w:val="25"/>
                <w:szCs w:val="25"/>
                <w:spacing w:val="1"/>
              </w:rPr>
              <w:t>有下列情形之一者：</w:t>
            </w:r>
          </w:p>
          <w:p>
            <w:pPr>
              <w:pStyle w:val="TableText"/>
              <w:ind w:left="111" w:right="224" w:hanging="10"/>
              <w:spacing w:before="41" w:line="241" w:lineRule="auto"/>
              <w:rPr>
                <w:sz w:val="25"/>
                <w:szCs w:val="25"/>
              </w:rPr>
            </w:pPr>
            <w:r>
              <w:rPr>
                <w:sz w:val="25"/>
                <w:szCs w:val="25"/>
              </w:rPr>
              <w:t>A.对3名及以上患者或受检者(不含孕妇、婴幼儿、少年儿童</w:t>
            </w:r>
            <w:r>
              <w:rPr>
                <w:sz w:val="25"/>
                <w:szCs w:val="25"/>
                <w:spacing w:val="-1"/>
              </w:rPr>
              <w:t>等特殊</w:t>
            </w:r>
            <w:r>
              <w:rPr>
                <w:sz w:val="25"/>
                <w:szCs w:val="25"/>
              </w:rPr>
              <w:t xml:space="preserve"> </w:t>
            </w:r>
            <w:r>
              <w:rPr>
                <w:sz w:val="25"/>
                <w:szCs w:val="25"/>
                <w:spacing w:val="5"/>
              </w:rPr>
              <w:t>人群)进行医疗照射前，未告知其辐射对健康影响的；</w:t>
            </w:r>
          </w:p>
          <w:p>
            <w:pPr>
              <w:pStyle w:val="TableText"/>
              <w:ind w:left="111"/>
              <w:spacing w:before="46" w:line="222" w:lineRule="auto"/>
              <w:rPr>
                <w:sz w:val="25"/>
                <w:szCs w:val="25"/>
              </w:rPr>
            </w:pPr>
            <w:r>
              <w:rPr>
                <w:sz w:val="25"/>
                <w:szCs w:val="25"/>
                <w:spacing w:val="-1"/>
              </w:rPr>
              <w:t>B.对孕妇、婴幼儿、少年儿童等特殊人群患者和受</w:t>
            </w:r>
            <w:r>
              <w:rPr>
                <w:sz w:val="25"/>
                <w:szCs w:val="25"/>
                <w:spacing w:val="-2"/>
              </w:rPr>
              <w:t>检者进行医疗照射</w:t>
            </w:r>
            <w:r>
              <w:rPr>
                <w:sz w:val="25"/>
                <w:szCs w:val="25"/>
              </w:rPr>
              <w:t xml:space="preserve"> </w:t>
            </w:r>
            <w:r>
              <w:rPr>
                <w:sz w:val="25"/>
                <w:szCs w:val="25"/>
                <w:spacing w:val="1"/>
              </w:rPr>
              <w:t>前，未告知其辐射对健康影响的</w:t>
            </w:r>
          </w:p>
        </w:tc>
        <w:tc>
          <w:tcPr>
            <w:tcW w:w="4612" w:type="dxa"/>
            <w:vAlign w:val="top"/>
          </w:tcPr>
          <w:p>
            <w:pPr>
              <w:spacing w:line="244" w:lineRule="auto"/>
              <w:rPr>
                <w:rFonts w:ascii="Arial"/>
                <w:sz w:val="21"/>
              </w:rPr>
            </w:pPr>
            <w:r/>
          </w:p>
          <w:p>
            <w:pPr>
              <w:spacing w:line="244" w:lineRule="auto"/>
              <w:rPr>
                <w:rFonts w:ascii="Arial"/>
                <w:sz w:val="21"/>
              </w:rPr>
            </w:pPr>
            <w:r/>
          </w:p>
          <w:p>
            <w:pPr>
              <w:pStyle w:val="TableText"/>
              <w:ind w:left="117" w:right="32" w:hanging="70"/>
              <w:spacing w:before="82" w:line="263" w:lineRule="auto"/>
              <w:rPr>
                <w:sz w:val="25"/>
                <w:szCs w:val="25"/>
              </w:rPr>
            </w:pPr>
            <w:r>
              <w:rPr>
                <w:sz w:val="25"/>
                <w:szCs w:val="25"/>
                <w:spacing w:val="1"/>
              </w:rPr>
              <w:t>给予警告，责令限期改正；并处7000元以 </w:t>
            </w:r>
            <w:r>
              <w:rPr>
                <w:sz w:val="25"/>
                <w:szCs w:val="25"/>
                <w:spacing w:val="1"/>
              </w:rPr>
              <w:t>上一万元以下的罚款</w:t>
            </w:r>
          </w:p>
        </w:tc>
      </w:tr>
      <w:tr>
        <w:trPr>
          <w:trHeight w:val="693" w:hRule="atLeast"/>
        </w:trPr>
        <w:tc>
          <w:tcPr>
            <w:tcW w:w="1784" w:type="dxa"/>
            <w:vAlign w:val="top"/>
          </w:tcPr>
          <w:p>
            <w:pPr>
              <w:pStyle w:val="TableText"/>
              <w:ind w:left="388"/>
              <w:spacing w:before="225" w:line="219" w:lineRule="auto"/>
              <w:rPr>
                <w:sz w:val="25"/>
                <w:szCs w:val="25"/>
              </w:rPr>
            </w:pPr>
            <w:r>
              <w:rPr>
                <w:sz w:val="25"/>
                <w:szCs w:val="25"/>
                <w:b/>
                <w:bCs/>
                <w:spacing w:val="-5"/>
              </w:rPr>
              <w:t>特别严重</w:t>
            </w:r>
          </w:p>
        </w:tc>
        <w:tc>
          <w:tcPr>
            <w:tcW w:w="7584" w:type="dxa"/>
            <w:vAlign w:val="top"/>
          </w:tcPr>
          <w:p>
            <w:pPr>
              <w:pStyle w:val="TableText"/>
              <w:ind w:left="111"/>
              <w:spacing w:before="76" w:line="224" w:lineRule="auto"/>
              <w:rPr>
                <w:sz w:val="25"/>
                <w:szCs w:val="25"/>
              </w:rPr>
            </w:pPr>
            <w:r>
              <w:rPr>
                <w:sz w:val="25"/>
                <w:szCs w:val="25"/>
                <w:spacing w:val="-1"/>
              </w:rPr>
              <w:t>对患者和受检者进行医疗照射前，未告知其辐射</w:t>
            </w:r>
            <w:r>
              <w:rPr>
                <w:sz w:val="25"/>
                <w:szCs w:val="25"/>
                <w:spacing w:val="-2"/>
              </w:rPr>
              <w:t>对健康影响，造成严</w:t>
            </w:r>
            <w:r>
              <w:rPr>
                <w:sz w:val="25"/>
                <w:szCs w:val="25"/>
              </w:rPr>
              <w:t xml:space="preserve"> </w:t>
            </w:r>
            <w:r>
              <w:rPr>
                <w:sz w:val="25"/>
                <w:szCs w:val="25"/>
                <w:spacing w:val="4"/>
              </w:rPr>
              <w:t>重后果的</w:t>
            </w:r>
          </w:p>
        </w:tc>
        <w:tc>
          <w:tcPr>
            <w:tcW w:w="4612" w:type="dxa"/>
            <w:vAlign w:val="top"/>
          </w:tcPr>
          <w:p>
            <w:pPr>
              <w:pStyle w:val="TableText"/>
              <w:ind w:left="47"/>
              <w:spacing w:before="76" w:line="218" w:lineRule="auto"/>
              <w:rPr>
                <w:sz w:val="25"/>
                <w:szCs w:val="25"/>
              </w:rPr>
            </w:pPr>
            <w:r>
              <w:rPr>
                <w:sz w:val="25"/>
                <w:szCs w:val="25"/>
                <w:spacing w:val="1"/>
              </w:rPr>
              <w:t>给予警告，责令限期改正；并处一万元的</w:t>
            </w:r>
          </w:p>
          <w:p>
            <w:pPr>
              <w:pStyle w:val="TableText"/>
              <w:ind w:left="127"/>
              <w:spacing w:before="49" w:line="193" w:lineRule="auto"/>
              <w:rPr>
                <w:sz w:val="25"/>
                <w:szCs w:val="25"/>
              </w:rPr>
            </w:pPr>
            <w:r>
              <w:rPr>
                <w:sz w:val="25"/>
                <w:szCs w:val="25"/>
                <w:color w:val="404040"/>
                <w:spacing w:val="5"/>
              </w:rPr>
              <w:t>罚款</w:t>
            </w:r>
          </w:p>
        </w:tc>
      </w:tr>
    </w:tbl>
    <w:p>
      <w:pPr>
        <w:pStyle w:val="BodyText"/>
        <w:spacing w:line="437" w:lineRule="auto"/>
        <w:rPr/>
      </w:pPr>
      <w:r/>
    </w:p>
    <w:p>
      <w:pPr>
        <w:ind w:left="659"/>
        <w:spacing w:before="97" w:line="220" w:lineRule="auto"/>
        <w:rPr>
          <w:rFonts w:ascii="FangSong" w:hAnsi="FangSong" w:eastAsia="FangSong" w:cs="FangSong"/>
          <w:sz w:val="30"/>
          <w:szCs w:val="30"/>
        </w:rPr>
      </w:pPr>
      <w:r>
        <w:rPr>
          <w:rFonts w:ascii="FangSong" w:hAnsi="FangSong" w:eastAsia="FangSong" w:cs="FangSong"/>
          <w:sz w:val="30"/>
          <w:szCs w:val="30"/>
          <w:b/>
          <w:bCs/>
          <w:spacing w:val="22"/>
        </w:rPr>
        <w:t>第五百六十条对患者和受检者进行医疗照射时</w:t>
      </w:r>
      <w:r>
        <w:rPr>
          <w:rFonts w:ascii="FangSong" w:hAnsi="FangSong" w:eastAsia="FangSong" w:cs="FangSong"/>
          <w:sz w:val="30"/>
          <w:szCs w:val="30"/>
          <w:b/>
          <w:bCs/>
          <w:spacing w:val="21"/>
        </w:rPr>
        <w:t>，未严格控制照射范围或照射剂量的</w:t>
      </w:r>
    </w:p>
    <w:p>
      <w:pPr>
        <w:ind w:left="654"/>
        <w:spacing w:before="7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34" w:right="135" w:firstLine="620"/>
        <w:spacing w:before="95" w:line="264" w:lineRule="auto"/>
        <w:rPr>
          <w:rFonts w:ascii="FangSong" w:hAnsi="FangSong" w:eastAsia="FangSong" w:cs="FangSong"/>
          <w:sz w:val="30"/>
          <w:szCs w:val="30"/>
        </w:rPr>
      </w:pPr>
      <w:r>
        <w:rPr>
          <w:rFonts w:ascii="FangSong" w:hAnsi="FangSong" w:eastAsia="FangSong" w:cs="FangSong"/>
          <w:sz w:val="30"/>
          <w:szCs w:val="30"/>
          <w:spacing w:val="20"/>
        </w:rPr>
        <w:t>1.</w:t>
      </w:r>
      <w:r>
        <w:rPr>
          <w:rFonts w:ascii="FangSong" w:hAnsi="FangSong" w:eastAsia="FangSong" w:cs="FangSong"/>
          <w:sz w:val="30"/>
          <w:szCs w:val="30"/>
          <w:spacing w:val="20"/>
        </w:rPr>
        <w:t xml:space="preserve"> </w:t>
      </w:r>
      <w:r>
        <w:rPr>
          <w:rFonts w:ascii="FangSong" w:hAnsi="FangSong" w:eastAsia="FangSong" w:cs="FangSong"/>
          <w:sz w:val="30"/>
          <w:szCs w:val="30"/>
          <w:spacing w:val="20"/>
        </w:rPr>
        <w:t>《放射诊疗管理规定》第四十一条第(七)项</w:t>
      </w:r>
      <w:r>
        <w:rPr>
          <w:rFonts w:ascii="FangSong" w:hAnsi="FangSong" w:eastAsia="FangSong" w:cs="FangSong"/>
          <w:sz w:val="30"/>
          <w:szCs w:val="30"/>
          <w:spacing w:val="20"/>
        </w:rPr>
        <w:t xml:space="preserve">   </w:t>
      </w:r>
      <w:r>
        <w:rPr>
          <w:rFonts w:ascii="FangSong" w:hAnsi="FangSong" w:eastAsia="FangSong" w:cs="FangSong"/>
          <w:sz w:val="30"/>
          <w:szCs w:val="30"/>
          <w:spacing w:val="20"/>
        </w:rPr>
        <w:t>医疗机构违反本规定，有下列行为之一</w:t>
      </w:r>
      <w:r>
        <w:rPr>
          <w:rFonts w:ascii="FangSong" w:hAnsi="FangSong" w:eastAsia="FangSong" w:cs="FangSong"/>
          <w:sz w:val="30"/>
          <w:szCs w:val="30"/>
          <w:spacing w:val="19"/>
        </w:rPr>
        <w:t>的，</w:t>
      </w:r>
      <w:r>
        <w:rPr>
          <w:rFonts w:ascii="FangSong" w:hAnsi="FangSong" w:eastAsia="FangSong" w:cs="FangSong"/>
          <w:sz w:val="30"/>
          <w:szCs w:val="30"/>
        </w:rPr>
        <w:t xml:space="preserve"> </w:t>
      </w:r>
      <w:r>
        <w:rPr>
          <w:rFonts w:ascii="FangSong" w:hAnsi="FangSong" w:eastAsia="FangSong" w:cs="FangSong"/>
          <w:sz w:val="30"/>
          <w:szCs w:val="30"/>
          <w:spacing w:val="16"/>
        </w:rPr>
        <w:t>由县级以上卫生行政部门给予警告，责令限期改正；并可处一万元以下的罚款：</w:t>
      </w:r>
    </w:p>
    <w:p>
      <w:pPr>
        <w:ind w:left="795"/>
        <w:spacing w:before="4" w:line="222" w:lineRule="auto"/>
        <w:rPr>
          <w:rFonts w:ascii="FangSong" w:hAnsi="FangSong" w:eastAsia="FangSong" w:cs="FangSong"/>
          <w:sz w:val="30"/>
          <w:szCs w:val="30"/>
        </w:rPr>
      </w:pPr>
      <w:r>
        <w:rPr>
          <w:rFonts w:ascii="FangSong" w:hAnsi="FangSong" w:eastAsia="FangSong" w:cs="FangSong"/>
          <w:sz w:val="30"/>
          <w:szCs w:val="30"/>
          <w:spacing w:val="25"/>
        </w:rPr>
        <w:t>(七)违反本规定的其他情形。</w:t>
      </w:r>
    </w:p>
    <w:p>
      <w:pPr>
        <w:spacing w:line="222" w:lineRule="auto"/>
        <w:sectPr>
          <w:footerReference w:type="default" r:id="rId584"/>
          <w:pgSz w:w="16830" w:h="11900"/>
          <w:pgMar w:top="1011" w:right="1405" w:bottom="1117" w:left="1434" w:header="0" w:footer="784" w:gutter="0"/>
        </w:sectPr>
        <w:rPr>
          <w:rFonts w:ascii="FangSong" w:hAnsi="FangSong" w:eastAsia="FangSong" w:cs="FangSong"/>
          <w:sz w:val="30"/>
          <w:szCs w:val="30"/>
        </w:rPr>
      </w:pPr>
    </w:p>
    <w:p>
      <w:pPr>
        <w:pStyle w:val="BodyText"/>
        <w:spacing w:line="260" w:lineRule="auto"/>
        <w:rPr/>
      </w:pPr>
      <w:r/>
    </w:p>
    <w:p>
      <w:pPr>
        <w:pStyle w:val="BodyText"/>
        <w:spacing w:line="260" w:lineRule="auto"/>
        <w:rPr/>
      </w:pPr>
      <w:r/>
    </w:p>
    <w:p>
      <w:pPr>
        <w:pStyle w:val="BodyText"/>
        <w:spacing w:line="261" w:lineRule="auto"/>
        <w:rPr/>
      </w:pPr>
      <w:r/>
    </w:p>
    <w:p>
      <w:pPr>
        <w:ind w:left="25" w:right="35" w:firstLine="609"/>
        <w:spacing w:before="97" w:line="271" w:lineRule="auto"/>
        <w:jc w:val="both"/>
        <w:rPr>
          <w:rFonts w:ascii="FangSong" w:hAnsi="FangSong" w:eastAsia="FangSong" w:cs="FangSong"/>
          <w:sz w:val="30"/>
          <w:szCs w:val="30"/>
        </w:rPr>
      </w:pPr>
      <w:bookmarkStart w:name="bookmark1217" w:id="594"/>
      <w:bookmarkEnd w:id="594"/>
      <w:r>
        <w:rPr>
          <w:rFonts w:ascii="FangSong" w:hAnsi="FangSong" w:eastAsia="FangSong" w:cs="FangSong"/>
          <w:sz w:val="30"/>
          <w:szCs w:val="30"/>
          <w:spacing w:val="14"/>
        </w:rPr>
        <w:t>2.</w:t>
      </w:r>
      <w:r>
        <w:rPr>
          <w:rFonts w:ascii="FangSong" w:hAnsi="FangSong" w:eastAsia="FangSong" w:cs="FangSong"/>
          <w:sz w:val="30"/>
          <w:szCs w:val="30"/>
          <w:spacing w:val="14"/>
        </w:rPr>
        <w:t xml:space="preserve"> </w:t>
      </w:r>
      <w:r>
        <w:rPr>
          <w:rFonts w:ascii="FangSong" w:hAnsi="FangSong" w:eastAsia="FangSong" w:cs="FangSong"/>
          <w:sz w:val="30"/>
          <w:szCs w:val="30"/>
          <w:spacing w:val="14"/>
        </w:rPr>
        <w:t>《放射诊疗管理规定》第二十五条</w:t>
      </w:r>
      <w:r>
        <w:rPr>
          <w:rFonts w:ascii="FangSong" w:hAnsi="FangSong" w:eastAsia="FangSong" w:cs="FangSong"/>
          <w:sz w:val="30"/>
          <w:szCs w:val="30"/>
          <w:spacing w:val="14"/>
        </w:rPr>
        <w:t xml:space="preserve">   </w:t>
      </w:r>
      <w:r>
        <w:rPr>
          <w:rFonts w:ascii="FangSong" w:hAnsi="FangSong" w:eastAsia="FangSong" w:cs="FangSong"/>
          <w:sz w:val="30"/>
          <w:szCs w:val="30"/>
          <w:spacing w:val="14"/>
        </w:rPr>
        <w:t>放射诊疗工作人员对患者和受检者进行医疗照射时，应</w:t>
      </w:r>
      <w:r>
        <w:rPr>
          <w:rFonts w:ascii="FangSong" w:hAnsi="FangSong" w:eastAsia="FangSong" w:cs="FangSong"/>
          <w:sz w:val="30"/>
          <w:szCs w:val="30"/>
          <w:spacing w:val="10"/>
        </w:rPr>
        <w:t xml:space="preserve"> </w:t>
      </w:r>
      <w:r>
        <w:rPr>
          <w:rFonts w:ascii="FangSong" w:hAnsi="FangSong" w:eastAsia="FangSong" w:cs="FangSong"/>
          <w:sz w:val="30"/>
          <w:szCs w:val="30"/>
          <w:spacing w:val="17"/>
        </w:rPr>
        <w:t>当遵守医疗照射正当化和放射防护最优化的原则，有明</w:t>
      </w:r>
      <w:r>
        <w:rPr>
          <w:rFonts w:ascii="FangSong" w:hAnsi="FangSong" w:eastAsia="FangSong" w:cs="FangSong"/>
          <w:sz w:val="30"/>
          <w:szCs w:val="30"/>
          <w:spacing w:val="16"/>
        </w:rPr>
        <w:t>确的医疗目的，严格控制受照剂量；对邻近照</w:t>
      </w:r>
      <w:r>
        <w:rPr>
          <w:rFonts w:ascii="FangSong" w:hAnsi="FangSong" w:eastAsia="FangSong" w:cs="FangSong"/>
          <w:sz w:val="30"/>
          <w:szCs w:val="30"/>
        </w:rPr>
        <w:t xml:space="preserve"> </w:t>
      </w:r>
      <w:r>
        <w:rPr>
          <w:rFonts w:ascii="FangSong" w:hAnsi="FangSong" w:eastAsia="FangSong" w:cs="FangSong"/>
          <w:sz w:val="30"/>
          <w:szCs w:val="30"/>
          <w:spacing w:val="18"/>
        </w:rPr>
        <w:t>射野的敏感器官和组织进行屏蔽防护，并事先</w:t>
      </w:r>
      <w:r>
        <w:rPr>
          <w:rFonts w:ascii="FangSong" w:hAnsi="FangSong" w:eastAsia="FangSong" w:cs="FangSong"/>
          <w:sz w:val="30"/>
          <w:szCs w:val="30"/>
          <w:spacing w:val="17"/>
        </w:rPr>
        <w:t>告知患者和受检者辐射对健康的影响。</w:t>
      </w:r>
    </w:p>
    <w:p>
      <w:pPr>
        <w:ind w:left="6419"/>
        <w:spacing w:before="16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1" w:lineRule="auto"/>
        <w:rPr>
          <w:rFonts w:ascii="Arial"/>
          <w:sz w:val="2"/>
        </w:rPr>
      </w:pPr>
      <w:r>
        <w:rPr>
          <w:rFonts w:ascii="Arial"/>
          <w:sz w:val="2"/>
        </w:rPr>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4"/>
        <w:gridCol w:w="7545"/>
        <w:gridCol w:w="4631"/>
      </w:tblGrid>
      <w:tr>
        <w:trPr>
          <w:trHeight w:val="664" w:hRule="atLeast"/>
        </w:trPr>
        <w:tc>
          <w:tcPr>
            <w:tcW w:w="1804" w:type="dxa"/>
            <w:vAlign w:val="top"/>
          </w:tcPr>
          <w:p>
            <w:pPr>
              <w:pStyle w:val="TableText"/>
              <w:ind w:left="398"/>
              <w:spacing w:before="212" w:line="220" w:lineRule="auto"/>
              <w:rPr>
                <w:sz w:val="25"/>
                <w:szCs w:val="25"/>
              </w:rPr>
            </w:pPr>
            <w:r>
              <w:rPr>
                <w:sz w:val="25"/>
                <w:szCs w:val="25"/>
                <w:b/>
                <w:bCs/>
                <w:spacing w:val="-5"/>
              </w:rPr>
              <w:t>违法程度</w:t>
            </w:r>
          </w:p>
        </w:tc>
        <w:tc>
          <w:tcPr>
            <w:tcW w:w="7545" w:type="dxa"/>
            <w:vAlign w:val="top"/>
          </w:tcPr>
          <w:p>
            <w:pPr>
              <w:pStyle w:val="TableText"/>
              <w:ind w:left="3204"/>
              <w:spacing w:before="212" w:line="220" w:lineRule="auto"/>
              <w:rPr>
                <w:sz w:val="25"/>
                <w:szCs w:val="25"/>
              </w:rPr>
            </w:pPr>
            <w:r>
              <w:rPr>
                <w:sz w:val="25"/>
                <w:szCs w:val="25"/>
                <w:b/>
                <w:bCs/>
                <w:spacing w:val="-5"/>
              </w:rPr>
              <w:t>情节后果</w:t>
            </w:r>
          </w:p>
        </w:tc>
        <w:tc>
          <w:tcPr>
            <w:tcW w:w="4631" w:type="dxa"/>
            <w:vAlign w:val="top"/>
          </w:tcPr>
          <w:p>
            <w:pPr>
              <w:pStyle w:val="TableText"/>
              <w:ind w:left="1809"/>
              <w:spacing w:before="209" w:line="218" w:lineRule="auto"/>
              <w:rPr>
                <w:sz w:val="25"/>
                <w:szCs w:val="25"/>
              </w:rPr>
            </w:pPr>
            <w:r>
              <w:rPr>
                <w:sz w:val="25"/>
                <w:szCs w:val="25"/>
                <w:b/>
                <w:bCs/>
                <w:spacing w:val="-5"/>
              </w:rPr>
              <w:t>裁量幅度</w:t>
            </w:r>
          </w:p>
        </w:tc>
      </w:tr>
      <w:tr>
        <w:trPr>
          <w:trHeight w:val="688" w:hRule="atLeast"/>
        </w:trPr>
        <w:tc>
          <w:tcPr>
            <w:tcW w:w="1804" w:type="dxa"/>
            <w:vAlign w:val="top"/>
          </w:tcPr>
          <w:p>
            <w:pPr>
              <w:pStyle w:val="TableText"/>
              <w:ind w:left="648"/>
              <w:spacing w:before="219" w:line="221" w:lineRule="auto"/>
              <w:rPr>
                <w:sz w:val="25"/>
                <w:szCs w:val="25"/>
              </w:rPr>
            </w:pPr>
            <w:r>
              <w:rPr>
                <w:sz w:val="25"/>
                <w:szCs w:val="25"/>
                <w:b/>
                <w:bCs/>
                <w:spacing w:val="-10"/>
              </w:rPr>
              <w:t>一般</w:t>
            </w:r>
          </w:p>
        </w:tc>
        <w:tc>
          <w:tcPr>
            <w:tcW w:w="7545" w:type="dxa"/>
            <w:vAlign w:val="top"/>
          </w:tcPr>
          <w:p>
            <w:pPr>
              <w:pStyle w:val="TableText"/>
              <w:ind w:left="101" w:right="307" w:firstLine="9"/>
              <w:spacing w:before="90" w:line="217" w:lineRule="auto"/>
              <w:rPr>
                <w:sz w:val="25"/>
                <w:szCs w:val="25"/>
              </w:rPr>
            </w:pPr>
            <w:r>
              <w:rPr>
                <w:sz w:val="25"/>
                <w:szCs w:val="25"/>
              </w:rPr>
              <w:t>对1名患者或受检者(不含孕妇、婴幼儿、少</w:t>
            </w:r>
            <w:r>
              <w:rPr>
                <w:sz w:val="25"/>
                <w:szCs w:val="25"/>
                <w:spacing w:val="-1"/>
              </w:rPr>
              <w:t>年儿童等特殊人群)进</w:t>
            </w:r>
            <w:r>
              <w:rPr>
                <w:sz w:val="25"/>
                <w:szCs w:val="25"/>
              </w:rPr>
              <w:t xml:space="preserve"> </w:t>
            </w:r>
            <w:r>
              <w:rPr>
                <w:sz w:val="25"/>
                <w:szCs w:val="25"/>
              </w:rPr>
              <w:t>行医疗照射时，未严格控制照射范围或照射剂量的</w:t>
            </w:r>
          </w:p>
        </w:tc>
        <w:tc>
          <w:tcPr>
            <w:tcW w:w="4631" w:type="dxa"/>
            <w:vAlign w:val="top"/>
          </w:tcPr>
          <w:p>
            <w:pPr>
              <w:pStyle w:val="TableText"/>
              <w:ind w:left="135" w:right="42" w:hanging="80"/>
              <w:spacing w:before="90" w:line="217" w:lineRule="auto"/>
              <w:rPr>
                <w:sz w:val="25"/>
                <w:szCs w:val="25"/>
              </w:rPr>
            </w:pPr>
            <w:r>
              <w:rPr>
                <w:sz w:val="25"/>
                <w:szCs w:val="25"/>
                <w:spacing w:val="1"/>
              </w:rPr>
              <w:t>给予警告，责令限期改正；可处3000元以 </w:t>
            </w:r>
            <w:r>
              <w:rPr>
                <w:sz w:val="25"/>
                <w:szCs w:val="25"/>
                <w:spacing w:val="2"/>
              </w:rPr>
              <w:t>下的罚款</w:t>
            </w:r>
          </w:p>
        </w:tc>
      </w:tr>
      <w:tr>
        <w:trPr>
          <w:trHeight w:val="698" w:hRule="atLeast"/>
        </w:trPr>
        <w:tc>
          <w:tcPr>
            <w:tcW w:w="1804" w:type="dxa"/>
            <w:vAlign w:val="top"/>
          </w:tcPr>
          <w:p>
            <w:pPr>
              <w:pStyle w:val="TableText"/>
              <w:ind w:left="648"/>
              <w:spacing w:before="233" w:line="221" w:lineRule="auto"/>
              <w:rPr>
                <w:sz w:val="25"/>
                <w:szCs w:val="25"/>
              </w:rPr>
            </w:pPr>
            <w:r>
              <w:rPr>
                <w:sz w:val="25"/>
                <w:szCs w:val="25"/>
                <w:b/>
                <w:bCs/>
                <w:spacing w:val="-6"/>
              </w:rPr>
              <w:t>较重</w:t>
            </w:r>
          </w:p>
        </w:tc>
        <w:tc>
          <w:tcPr>
            <w:tcW w:w="7545" w:type="dxa"/>
            <w:vAlign w:val="top"/>
          </w:tcPr>
          <w:p>
            <w:pPr>
              <w:pStyle w:val="TableText"/>
              <w:ind w:left="101" w:right="293"/>
              <w:spacing w:before="84" w:line="223" w:lineRule="auto"/>
              <w:rPr>
                <w:sz w:val="25"/>
                <w:szCs w:val="25"/>
              </w:rPr>
            </w:pPr>
            <w:r>
              <w:rPr>
                <w:sz w:val="25"/>
                <w:szCs w:val="25"/>
              </w:rPr>
              <w:t>对2名患者或受检者(不含孕妇、婴幼儿、少年儿童等特殊人群)进</w:t>
            </w:r>
            <w:r>
              <w:rPr>
                <w:sz w:val="25"/>
                <w:szCs w:val="25"/>
                <w:spacing w:val="14"/>
              </w:rPr>
              <w:t xml:space="preserve"> </w:t>
            </w:r>
            <w:r>
              <w:rPr>
                <w:sz w:val="25"/>
                <w:szCs w:val="25"/>
              </w:rPr>
              <w:t>行医疗照射时，未严格控制照射范围或照射剂量的</w:t>
            </w:r>
          </w:p>
        </w:tc>
        <w:tc>
          <w:tcPr>
            <w:tcW w:w="4631" w:type="dxa"/>
            <w:vAlign w:val="top"/>
          </w:tcPr>
          <w:p>
            <w:pPr>
              <w:pStyle w:val="TableText"/>
              <w:ind w:left="135" w:right="42" w:hanging="80"/>
              <w:spacing w:before="81" w:line="224" w:lineRule="auto"/>
              <w:rPr>
                <w:sz w:val="25"/>
                <w:szCs w:val="25"/>
              </w:rPr>
            </w:pPr>
            <w:r>
              <w:rPr>
                <w:sz w:val="25"/>
                <w:szCs w:val="25"/>
                <w:spacing w:val="1"/>
              </w:rPr>
              <w:t>给予警告，责令限期改正；并处3000元以 </w:t>
            </w:r>
            <w:r>
              <w:rPr>
                <w:sz w:val="25"/>
                <w:szCs w:val="25"/>
              </w:rPr>
              <w:t>上7000元以下的罚款</w:t>
            </w:r>
          </w:p>
        </w:tc>
      </w:tr>
      <w:tr>
        <w:trPr>
          <w:trHeight w:val="1706" w:hRule="atLeast"/>
        </w:trPr>
        <w:tc>
          <w:tcPr>
            <w:tcW w:w="1804" w:type="dxa"/>
            <w:vAlign w:val="top"/>
          </w:tcPr>
          <w:p>
            <w:pPr>
              <w:spacing w:line="323" w:lineRule="auto"/>
              <w:rPr>
                <w:rFonts w:ascii="Arial"/>
                <w:sz w:val="21"/>
              </w:rPr>
            </w:pPr>
            <w:r/>
          </w:p>
          <w:p>
            <w:pPr>
              <w:spacing w:line="324" w:lineRule="auto"/>
              <w:rPr>
                <w:rFonts w:ascii="Arial"/>
                <w:sz w:val="21"/>
              </w:rPr>
            </w:pPr>
            <w:r/>
          </w:p>
          <w:p>
            <w:pPr>
              <w:pStyle w:val="TableText"/>
              <w:ind w:left="648"/>
              <w:spacing w:before="81" w:line="220" w:lineRule="auto"/>
              <w:rPr>
                <w:sz w:val="25"/>
                <w:szCs w:val="25"/>
              </w:rPr>
            </w:pPr>
            <w:r>
              <w:rPr>
                <w:sz w:val="25"/>
                <w:szCs w:val="25"/>
                <w:b/>
                <w:bCs/>
                <w:spacing w:val="-6"/>
              </w:rPr>
              <w:t>严重</w:t>
            </w:r>
          </w:p>
        </w:tc>
        <w:tc>
          <w:tcPr>
            <w:tcW w:w="7545" w:type="dxa"/>
            <w:vAlign w:val="top"/>
          </w:tcPr>
          <w:p>
            <w:pPr>
              <w:pStyle w:val="TableText"/>
              <w:ind w:left="101"/>
              <w:spacing w:before="86" w:line="220" w:lineRule="auto"/>
              <w:rPr>
                <w:sz w:val="25"/>
                <w:szCs w:val="25"/>
              </w:rPr>
            </w:pPr>
            <w:r>
              <w:rPr>
                <w:sz w:val="25"/>
                <w:szCs w:val="25"/>
                <w:spacing w:val="2"/>
              </w:rPr>
              <w:t>有下列情形之一者：</w:t>
            </w:r>
          </w:p>
          <w:p>
            <w:pPr>
              <w:pStyle w:val="TableText"/>
              <w:ind w:left="101" w:right="185"/>
              <w:spacing w:before="40" w:line="231" w:lineRule="auto"/>
              <w:rPr>
                <w:sz w:val="25"/>
                <w:szCs w:val="25"/>
              </w:rPr>
            </w:pPr>
            <w:r>
              <w:rPr>
                <w:sz w:val="25"/>
                <w:szCs w:val="25"/>
              </w:rPr>
              <w:t>A.对3名及以上患者或受检者(不含孕妇、婴幼儿、少年儿童</w:t>
            </w:r>
            <w:r>
              <w:rPr>
                <w:sz w:val="25"/>
                <w:szCs w:val="25"/>
                <w:spacing w:val="-1"/>
              </w:rPr>
              <w:t>等特殊</w:t>
            </w:r>
            <w:r>
              <w:rPr>
                <w:sz w:val="25"/>
                <w:szCs w:val="25"/>
              </w:rPr>
              <w:t xml:space="preserve"> </w:t>
            </w:r>
            <w:r>
              <w:rPr>
                <w:sz w:val="25"/>
                <w:szCs w:val="25"/>
                <w:spacing w:val="1"/>
              </w:rPr>
              <w:t>人群)进行医疗照射时，未严格控制照射范围或照射</w:t>
            </w:r>
            <w:r>
              <w:rPr>
                <w:sz w:val="25"/>
                <w:szCs w:val="25"/>
              </w:rPr>
              <w:t>剂量的</w:t>
            </w:r>
          </w:p>
          <w:p>
            <w:pPr>
              <w:pStyle w:val="TableText"/>
              <w:ind w:left="101"/>
              <w:spacing w:before="63" w:line="215" w:lineRule="auto"/>
              <w:rPr>
                <w:sz w:val="25"/>
                <w:szCs w:val="25"/>
              </w:rPr>
            </w:pPr>
            <w:r>
              <w:rPr>
                <w:sz w:val="25"/>
                <w:szCs w:val="25"/>
                <w:spacing w:val="-17"/>
              </w:rPr>
              <w:t>B.对孕妇、婴幼儿、少年儿童等特殊人群患者和受检者进</w:t>
            </w:r>
            <w:r>
              <w:rPr>
                <w:sz w:val="25"/>
                <w:szCs w:val="25"/>
                <w:spacing w:val="-18"/>
              </w:rPr>
              <w:t>行医疗照射时，</w:t>
            </w:r>
            <w:r>
              <w:rPr>
                <w:sz w:val="25"/>
                <w:szCs w:val="25"/>
              </w:rPr>
              <w:t xml:space="preserve"> </w:t>
            </w:r>
            <w:r>
              <w:rPr>
                <w:sz w:val="25"/>
                <w:szCs w:val="25"/>
                <w:spacing w:val="-3"/>
              </w:rPr>
              <w:t>未严格控制照射范围或照射剂量的</w:t>
            </w:r>
          </w:p>
        </w:tc>
        <w:tc>
          <w:tcPr>
            <w:tcW w:w="4631" w:type="dxa"/>
            <w:vAlign w:val="top"/>
          </w:tcPr>
          <w:p>
            <w:pPr>
              <w:spacing w:line="253" w:lineRule="auto"/>
              <w:rPr>
                <w:rFonts w:ascii="Arial"/>
                <w:sz w:val="21"/>
              </w:rPr>
            </w:pPr>
            <w:r/>
          </w:p>
          <w:p>
            <w:pPr>
              <w:spacing w:line="254" w:lineRule="auto"/>
              <w:rPr>
                <w:rFonts w:ascii="Arial"/>
                <w:sz w:val="21"/>
              </w:rPr>
            </w:pPr>
            <w:r/>
          </w:p>
          <w:p>
            <w:pPr>
              <w:pStyle w:val="TableText"/>
              <w:ind w:left="125" w:right="42" w:hanging="70"/>
              <w:spacing w:before="81" w:line="256" w:lineRule="auto"/>
              <w:rPr>
                <w:sz w:val="25"/>
                <w:szCs w:val="25"/>
              </w:rPr>
            </w:pPr>
            <w:r>
              <w:rPr>
                <w:sz w:val="25"/>
                <w:szCs w:val="25"/>
                <w:spacing w:val="1"/>
              </w:rPr>
              <w:t>给予警告，责令限期改正；并处7000元以 </w:t>
            </w:r>
            <w:r>
              <w:rPr>
                <w:sz w:val="25"/>
                <w:szCs w:val="25"/>
                <w:spacing w:val="1"/>
              </w:rPr>
              <w:t>上一万元以下的罚款</w:t>
            </w:r>
          </w:p>
        </w:tc>
      </w:tr>
      <w:tr>
        <w:trPr>
          <w:trHeight w:val="833" w:hRule="atLeast"/>
        </w:trPr>
        <w:tc>
          <w:tcPr>
            <w:tcW w:w="1804" w:type="dxa"/>
            <w:vAlign w:val="top"/>
          </w:tcPr>
          <w:p>
            <w:pPr>
              <w:pStyle w:val="TableText"/>
              <w:ind w:left="398"/>
              <w:spacing w:before="295" w:line="219" w:lineRule="auto"/>
              <w:rPr>
                <w:sz w:val="25"/>
                <w:szCs w:val="25"/>
              </w:rPr>
            </w:pPr>
            <w:r>
              <w:rPr>
                <w:sz w:val="25"/>
                <w:szCs w:val="25"/>
                <w:b/>
                <w:bCs/>
                <w:spacing w:val="-5"/>
              </w:rPr>
              <w:t>特别严重</w:t>
            </w:r>
          </w:p>
        </w:tc>
        <w:tc>
          <w:tcPr>
            <w:tcW w:w="7545" w:type="dxa"/>
            <w:vAlign w:val="top"/>
          </w:tcPr>
          <w:p>
            <w:pPr>
              <w:pStyle w:val="TableText"/>
              <w:ind w:left="101" w:firstLine="9"/>
              <w:spacing w:before="159" w:line="245" w:lineRule="auto"/>
              <w:rPr>
                <w:sz w:val="25"/>
                <w:szCs w:val="25"/>
              </w:rPr>
            </w:pPr>
            <w:r>
              <w:rPr>
                <w:sz w:val="25"/>
                <w:szCs w:val="25"/>
                <w:spacing w:val="-12"/>
              </w:rPr>
              <w:t>对</w:t>
            </w:r>
            <w:r>
              <w:rPr>
                <w:sz w:val="25"/>
                <w:szCs w:val="25"/>
                <w:spacing w:val="-11"/>
              </w:rPr>
              <w:t>患者和受检者进行医疗照射时，未严格控制照射范围或照射剂量，</w:t>
            </w:r>
            <w:r>
              <w:rPr>
                <w:sz w:val="25"/>
                <w:szCs w:val="25"/>
                <w:spacing w:val="-10"/>
              </w:rPr>
              <w:t>造</w:t>
            </w:r>
            <w:r>
              <w:rPr>
                <w:sz w:val="25"/>
                <w:szCs w:val="25"/>
                <w:spacing w:val="14"/>
              </w:rPr>
              <w:t xml:space="preserve"> </w:t>
            </w:r>
            <w:r>
              <w:rPr>
                <w:sz w:val="25"/>
                <w:szCs w:val="25"/>
                <w:spacing w:val="3"/>
              </w:rPr>
              <w:t>成严重后果的</w:t>
            </w:r>
          </w:p>
        </w:tc>
        <w:tc>
          <w:tcPr>
            <w:tcW w:w="4631" w:type="dxa"/>
            <w:vAlign w:val="top"/>
          </w:tcPr>
          <w:p>
            <w:pPr>
              <w:pStyle w:val="TableText"/>
              <w:ind w:left="55"/>
              <w:spacing w:before="157" w:line="218" w:lineRule="auto"/>
              <w:rPr>
                <w:sz w:val="25"/>
                <w:szCs w:val="25"/>
              </w:rPr>
            </w:pPr>
            <w:r>
              <w:rPr>
                <w:sz w:val="25"/>
                <w:szCs w:val="25"/>
                <w:spacing w:val="1"/>
              </w:rPr>
              <w:t>给予警告，责令限期改正，并处一万元的</w:t>
            </w:r>
          </w:p>
          <w:p>
            <w:pPr>
              <w:pStyle w:val="TableText"/>
              <w:ind w:left="146"/>
              <w:spacing w:before="38" w:line="221" w:lineRule="auto"/>
              <w:rPr>
                <w:sz w:val="25"/>
                <w:szCs w:val="25"/>
              </w:rPr>
            </w:pPr>
            <w:r>
              <w:rPr>
                <w:sz w:val="25"/>
                <w:szCs w:val="25"/>
                <w:color w:val="403040"/>
                <w:spacing w:val="5"/>
              </w:rPr>
              <w:t>罚款</w:t>
            </w:r>
          </w:p>
        </w:tc>
      </w:tr>
    </w:tbl>
    <w:p>
      <w:pPr>
        <w:pStyle w:val="BodyText"/>
        <w:spacing w:line="456" w:lineRule="auto"/>
        <w:rPr/>
      </w:pPr>
      <w:r/>
    </w:p>
    <w:p>
      <w:pPr>
        <w:ind w:left="639"/>
        <w:spacing w:before="98" w:line="220" w:lineRule="auto"/>
        <w:rPr>
          <w:rFonts w:ascii="FangSong" w:hAnsi="FangSong" w:eastAsia="FangSong" w:cs="FangSong"/>
          <w:sz w:val="30"/>
          <w:szCs w:val="30"/>
        </w:rPr>
      </w:pPr>
      <w:r>
        <w:rPr>
          <w:rFonts w:ascii="FangSong" w:hAnsi="FangSong" w:eastAsia="FangSong" w:cs="FangSong"/>
          <w:sz w:val="30"/>
          <w:szCs w:val="30"/>
          <w:b/>
          <w:bCs/>
          <w:spacing w:val="16"/>
        </w:rPr>
        <w:t>第五百六十一条对育龄妇女腹部或骨盆进行核素显像检查或</w:t>
      </w:r>
      <w:r>
        <w:rPr>
          <w:rFonts w:ascii="FangSong" w:hAnsi="FangSong" w:eastAsia="FangSong" w:cs="FangSong"/>
          <w:sz w:val="30"/>
          <w:szCs w:val="30"/>
          <w:spacing w:val="-61"/>
        </w:rPr>
        <w:t xml:space="preserve"> </w:t>
      </w:r>
      <w:r>
        <w:rPr>
          <w:rFonts w:ascii="Times New Roman" w:hAnsi="Times New Roman" w:eastAsia="Times New Roman" w:cs="Times New Roman"/>
          <w:sz w:val="30"/>
          <w:szCs w:val="30"/>
          <w:b/>
          <w:bCs/>
          <w:spacing w:val="16"/>
        </w:rPr>
        <w:t>X  </w:t>
      </w:r>
      <w:r>
        <w:rPr>
          <w:rFonts w:ascii="FangSong" w:hAnsi="FangSong" w:eastAsia="FangSong" w:cs="FangSong"/>
          <w:sz w:val="30"/>
          <w:szCs w:val="30"/>
          <w:b/>
          <w:bCs/>
          <w:spacing w:val="16"/>
        </w:rPr>
        <w:t>射线检查前，未问明是否怀孕的</w:t>
      </w:r>
    </w:p>
    <w:p>
      <w:pPr>
        <w:ind w:left="634"/>
        <w:spacing w:before="8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spacing w:line="222" w:lineRule="auto"/>
        <w:sectPr>
          <w:footerReference w:type="default" r:id="rId585"/>
          <w:pgSz w:w="16830" w:h="11900"/>
          <w:pgMar w:top="1011" w:right="1405" w:bottom="1113" w:left="1434" w:header="0" w:footer="798" w:gutter="0"/>
        </w:sectPr>
        <w:rPr>
          <w:rFonts w:ascii="FangSong" w:hAnsi="FangSong" w:eastAsia="FangSong" w:cs="FangSong"/>
          <w:sz w:val="30"/>
          <w:szCs w:val="30"/>
        </w:rPr>
      </w:pPr>
    </w:p>
    <w:p>
      <w:pPr>
        <w:pStyle w:val="BodyText"/>
        <w:spacing w:line="264" w:lineRule="auto"/>
        <w:rPr/>
      </w:pPr>
      <w:r/>
    </w:p>
    <w:p>
      <w:pPr>
        <w:pStyle w:val="BodyText"/>
        <w:spacing w:line="264" w:lineRule="auto"/>
        <w:rPr/>
      </w:pPr>
      <w:r/>
    </w:p>
    <w:p>
      <w:pPr>
        <w:pStyle w:val="BodyText"/>
        <w:spacing w:line="265" w:lineRule="auto"/>
        <w:rPr/>
      </w:pPr>
      <w:r/>
    </w:p>
    <w:p>
      <w:pPr>
        <w:ind w:left="5" w:right="135" w:firstLine="649"/>
        <w:spacing w:before="97" w:line="264" w:lineRule="auto"/>
        <w:rPr>
          <w:rFonts w:ascii="FangSong" w:hAnsi="FangSong" w:eastAsia="FangSong" w:cs="FangSong"/>
          <w:sz w:val="30"/>
          <w:szCs w:val="30"/>
        </w:rPr>
      </w:pPr>
      <w:r>
        <w:rPr>
          <w:rFonts w:ascii="FangSong" w:hAnsi="FangSong" w:eastAsia="FangSong" w:cs="FangSong"/>
          <w:sz w:val="30"/>
          <w:szCs w:val="30"/>
          <w:spacing w:val="18"/>
        </w:rPr>
        <w:t>1.</w:t>
      </w:r>
      <w:r>
        <w:rPr>
          <w:rFonts w:ascii="FangSong" w:hAnsi="FangSong" w:eastAsia="FangSong" w:cs="FangSong"/>
          <w:sz w:val="30"/>
          <w:szCs w:val="30"/>
          <w:spacing w:val="18"/>
        </w:rPr>
        <w:t xml:space="preserve"> </w:t>
      </w:r>
      <w:r>
        <w:rPr>
          <w:rFonts w:ascii="FangSong" w:hAnsi="FangSong" w:eastAsia="FangSong" w:cs="FangSong"/>
          <w:sz w:val="30"/>
          <w:szCs w:val="30"/>
          <w:spacing w:val="18"/>
        </w:rPr>
        <w:t>《放射诊疗管理规定》第四十</w:t>
      </w:r>
      <w:r>
        <w:rPr>
          <w:rFonts w:ascii="FangSong" w:hAnsi="FangSong" w:eastAsia="FangSong" w:cs="FangSong"/>
          <w:sz w:val="30"/>
          <w:szCs w:val="30"/>
          <w:spacing w:val="-62"/>
        </w:rPr>
        <w:t xml:space="preserve"> </w:t>
      </w:r>
      <w:r>
        <w:rPr>
          <w:rFonts w:ascii="FangSong" w:hAnsi="FangSong" w:eastAsia="FangSong" w:cs="FangSong"/>
          <w:sz w:val="30"/>
          <w:szCs w:val="30"/>
          <w:spacing w:val="18"/>
        </w:rPr>
        <w:t>一条第(七)项</w:t>
      </w:r>
      <w:r>
        <w:rPr>
          <w:rFonts w:ascii="FangSong" w:hAnsi="FangSong" w:eastAsia="FangSong" w:cs="FangSong"/>
          <w:sz w:val="30"/>
          <w:szCs w:val="30"/>
          <w:spacing w:val="18"/>
        </w:rPr>
        <w:t xml:space="preserve">   </w:t>
      </w:r>
      <w:r>
        <w:rPr>
          <w:rFonts w:ascii="FangSong" w:hAnsi="FangSong" w:eastAsia="FangSong" w:cs="FangSong"/>
          <w:sz w:val="30"/>
          <w:szCs w:val="30"/>
          <w:spacing w:val="18"/>
        </w:rPr>
        <w:t>医疗机构违反本规定，有下列行为之一的，</w:t>
      </w:r>
      <w:r>
        <w:rPr>
          <w:rFonts w:ascii="FangSong" w:hAnsi="FangSong" w:eastAsia="FangSong" w:cs="FangSong"/>
          <w:sz w:val="30"/>
          <w:szCs w:val="30"/>
        </w:rPr>
        <w:t xml:space="preserve"> </w:t>
      </w:r>
      <w:r>
        <w:rPr>
          <w:rFonts w:ascii="FangSong" w:hAnsi="FangSong" w:eastAsia="FangSong" w:cs="FangSong"/>
          <w:sz w:val="30"/>
          <w:szCs w:val="30"/>
          <w:spacing w:val="17"/>
        </w:rPr>
        <w:t>由县级以上卫生行政部门给予警告，责令限期改正；并可处一万</w:t>
      </w:r>
      <w:r>
        <w:rPr>
          <w:rFonts w:ascii="FangSong" w:hAnsi="FangSong" w:eastAsia="FangSong" w:cs="FangSong"/>
          <w:sz w:val="30"/>
          <w:szCs w:val="30"/>
          <w:spacing w:val="16"/>
        </w:rPr>
        <w:t>元以下的罚款：</w:t>
      </w:r>
    </w:p>
    <w:p>
      <w:pPr>
        <w:ind w:left="795"/>
        <w:spacing w:before="3" w:line="222" w:lineRule="auto"/>
        <w:rPr>
          <w:rFonts w:ascii="FangSong" w:hAnsi="FangSong" w:eastAsia="FangSong" w:cs="FangSong"/>
          <w:sz w:val="30"/>
          <w:szCs w:val="30"/>
        </w:rPr>
      </w:pPr>
      <w:r>
        <w:rPr>
          <w:rFonts w:ascii="FangSong" w:hAnsi="FangSong" w:eastAsia="FangSong" w:cs="FangSong"/>
          <w:sz w:val="30"/>
          <w:szCs w:val="30"/>
          <w:spacing w:val="27"/>
        </w:rPr>
        <w:t>(七)违反本规定的其他情形。</w:t>
      </w:r>
    </w:p>
    <w:p>
      <w:pPr>
        <w:ind w:left="5" w:right="31" w:firstLine="629"/>
        <w:spacing w:before="116" w:line="269" w:lineRule="auto"/>
        <w:jc w:val="both"/>
        <w:rPr>
          <w:rFonts w:ascii="FangSong" w:hAnsi="FangSong" w:eastAsia="FangSong" w:cs="FangSong"/>
          <w:sz w:val="30"/>
          <w:szCs w:val="30"/>
        </w:rPr>
      </w:pPr>
      <w:r>
        <w:rPr>
          <w:rFonts w:ascii="FangSong" w:hAnsi="FangSong" w:eastAsia="FangSong" w:cs="FangSong"/>
          <w:sz w:val="30"/>
          <w:szCs w:val="30"/>
          <w:spacing w:val="21"/>
        </w:rPr>
        <w:t>2.</w:t>
      </w:r>
      <w:r>
        <w:rPr>
          <w:rFonts w:ascii="FangSong" w:hAnsi="FangSong" w:eastAsia="FangSong" w:cs="FangSong"/>
          <w:sz w:val="30"/>
          <w:szCs w:val="30"/>
          <w:spacing w:val="21"/>
        </w:rPr>
        <w:t xml:space="preserve"> </w:t>
      </w:r>
      <w:r>
        <w:rPr>
          <w:rFonts w:ascii="FangSong" w:hAnsi="FangSong" w:eastAsia="FangSong" w:cs="FangSong"/>
          <w:sz w:val="30"/>
          <w:szCs w:val="30"/>
          <w:spacing w:val="21"/>
        </w:rPr>
        <w:t>《放射诊疗管理规定》第二十六条第(三)项</w:t>
      </w:r>
      <w:r>
        <w:rPr>
          <w:rFonts w:ascii="FangSong" w:hAnsi="FangSong" w:eastAsia="FangSong" w:cs="FangSong"/>
          <w:sz w:val="30"/>
          <w:szCs w:val="30"/>
          <w:spacing w:val="36"/>
        </w:rPr>
        <w:t xml:space="preserve">   </w:t>
      </w:r>
      <w:r>
        <w:rPr>
          <w:rFonts w:ascii="FangSong" w:hAnsi="FangSong" w:eastAsia="FangSong" w:cs="FangSong"/>
          <w:sz w:val="30"/>
          <w:szCs w:val="30"/>
          <w:spacing w:val="21"/>
        </w:rPr>
        <w:t>医疗机构在实</w:t>
      </w:r>
      <w:r>
        <w:rPr>
          <w:rFonts w:ascii="FangSong" w:hAnsi="FangSong" w:eastAsia="FangSong" w:cs="FangSong"/>
          <w:sz w:val="30"/>
          <w:szCs w:val="30"/>
          <w:spacing w:val="20"/>
        </w:rPr>
        <w:t>施放射诊断检查前应当对不同</w:t>
      </w:r>
      <w:r>
        <w:rPr>
          <w:rFonts w:ascii="FangSong" w:hAnsi="FangSong" w:eastAsia="FangSong" w:cs="FangSong"/>
          <w:sz w:val="30"/>
          <w:szCs w:val="30"/>
          <w:spacing w:val="2"/>
        </w:rPr>
        <w:t xml:space="preserve"> </w:t>
      </w:r>
      <w:r>
        <w:rPr>
          <w:rFonts w:ascii="FangSong" w:hAnsi="FangSong" w:eastAsia="FangSong" w:cs="FangSong"/>
          <w:sz w:val="30"/>
          <w:szCs w:val="30"/>
          <w:spacing w:val="17"/>
        </w:rPr>
        <w:t>检查方法进行利弊分析，在保证诊断效果的前提下，优先采用对人体健康影响较小的诊断技术。实施</w:t>
      </w:r>
      <w:r>
        <w:rPr>
          <w:rFonts w:ascii="FangSong" w:hAnsi="FangSong" w:eastAsia="FangSong" w:cs="FangSong"/>
          <w:sz w:val="30"/>
          <w:szCs w:val="30"/>
          <w:spacing w:val="4"/>
        </w:rPr>
        <w:t xml:space="preserve"> </w:t>
      </w:r>
      <w:r>
        <w:rPr>
          <w:rFonts w:ascii="FangSong" w:hAnsi="FangSong" w:eastAsia="FangSong" w:cs="FangSong"/>
          <w:sz w:val="30"/>
          <w:szCs w:val="30"/>
          <w:spacing w:val="11"/>
        </w:rPr>
        <w:t>检查应当遵守下列规定：</w:t>
      </w:r>
    </w:p>
    <w:p>
      <w:pPr>
        <w:ind w:left="5" w:right="170" w:firstLine="780"/>
        <w:spacing w:before="1" w:line="264" w:lineRule="auto"/>
        <w:rPr>
          <w:rFonts w:ascii="FangSong" w:hAnsi="FangSong" w:eastAsia="FangSong" w:cs="FangSong"/>
          <w:sz w:val="30"/>
          <w:szCs w:val="30"/>
        </w:rPr>
      </w:pPr>
      <w:r>
        <w:rPr>
          <w:rFonts w:ascii="FangSong" w:hAnsi="FangSong" w:eastAsia="FangSong" w:cs="FangSong"/>
          <w:sz w:val="30"/>
          <w:szCs w:val="30"/>
          <w:spacing w:val="22"/>
        </w:rPr>
        <w:t>(三)对育龄妇女腹部或骨盆进行核素显像检查或</w:t>
      </w:r>
      <w:r>
        <w:rPr>
          <w:rFonts w:ascii="FangSong" w:hAnsi="FangSong" w:eastAsia="FangSong" w:cs="FangSong"/>
          <w:sz w:val="30"/>
          <w:szCs w:val="30"/>
          <w:spacing w:val="-67"/>
        </w:rPr>
        <w:t xml:space="preserve"> </w:t>
      </w:r>
      <w:r>
        <w:rPr>
          <w:rFonts w:ascii="SimSun" w:hAnsi="SimSun" w:eastAsia="SimSun" w:cs="SimSun"/>
          <w:sz w:val="30"/>
          <w:szCs w:val="30"/>
          <w:spacing w:val="22"/>
        </w:rPr>
        <w:t>X</w:t>
      </w:r>
      <w:r>
        <w:rPr>
          <w:rFonts w:ascii="SimSun" w:hAnsi="SimSun" w:eastAsia="SimSun" w:cs="SimSun"/>
          <w:sz w:val="30"/>
          <w:szCs w:val="30"/>
          <w:spacing w:val="59"/>
        </w:rPr>
        <w:t xml:space="preserve"> </w:t>
      </w:r>
      <w:r>
        <w:rPr>
          <w:rFonts w:ascii="FangSong" w:hAnsi="FangSong" w:eastAsia="FangSong" w:cs="FangSong"/>
          <w:sz w:val="30"/>
          <w:szCs w:val="30"/>
          <w:spacing w:val="22"/>
        </w:rPr>
        <w:t>射线检查前，应</w:t>
      </w:r>
      <w:r>
        <w:rPr>
          <w:rFonts w:ascii="FangSong" w:hAnsi="FangSong" w:eastAsia="FangSong" w:cs="FangSong"/>
          <w:sz w:val="30"/>
          <w:szCs w:val="30"/>
          <w:spacing w:val="21"/>
        </w:rPr>
        <w:t>问明是否怀孕；非特殊需</w:t>
      </w:r>
      <w:r>
        <w:rPr>
          <w:rFonts w:ascii="FangSong" w:hAnsi="FangSong" w:eastAsia="FangSong" w:cs="FangSong"/>
          <w:sz w:val="30"/>
          <w:szCs w:val="30"/>
        </w:rPr>
        <w:t xml:space="preserve"> </w:t>
      </w:r>
      <w:r>
        <w:rPr>
          <w:rFonts w:ascii="FangSong" w:hAnsi="FangSong" w:eastAsia="FangSong" w:cs="FangSong"/>
          <w:sz w:val="30"/>
          <w:szCs w:val="30"/>
          <w:spacing w:val="17"/>
        </w:rPr>
        <w:t>要，对受孕后八至十五周的育龄妇女，不得进行下腹部放射影像检查。</w:t>
      </w:r>
    </w:p>
    <w:p>
      <w:pPr>
        <w:ind w:left="6419"/>
        <w:spacing w:before="16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4"/>
        <w:gridCol w:w="7545"/>
        <w:gridCol w:w="4631"/>
      </w:tblGrid>
      <w:tr>
        <w:trPr>
          <w:trHeight w:val="663" w:hRule="atLeast"/>
        </w:trPr>
        <w:tc>
          <w:tcPr>
            <w:tcW w:w="1804" w:type="dxa"/>
            <w:vAlign w:val="top"/>
          </w:tcPr>
          <w:p>
            <w:pPr>
              <w:pStyle w:val="TableText"/>
              <w:ind w:left="398"/>
              <w:spacing w:before="212" w:line="220" w:lineRule="auto"/>
              <w:rPr>
                <w:sz w:val="25"/>
                <w:szCs w:val="25"/>
              </w:rPr>
            </w:pPr>
            <w:r>
              <w:rPr>
                <w:sz w:val="25"/>
                <w:szCs w:val="25"/>
                <w:b/>
                <w:bCs/>
                <w:spacing w:val="-5"/>
              </w:rPr>
              <w:t>违法程度</w:t>
            </w:r>
          </w:p>
        </w:tc>
        <w:tc>
          <w:tcPr>
            <w:tcW w:w="7545" w:type="dxa"/>
            <w:vAlign w:val="top"/>
          </w:tcPr>
          <w:p>
            <w:pPr>
              <w:pStyle w:val="TableText"/>
              <w:ind w:left="3204"/>
              <w:spacing w:before="212" w:line="220" w:lineRule="auto"/>
              <w:rPr>
                <w:sz w:val="25"/>
                <w:szCs w:val="25"/>
              </w:rPr>
            </w:pPr>
            <w:r>
              <w:rPr>
                <w:sz w:val="25"/>
                <w:szCs w:val="25"/>
                <w:b/>
                <w:bCs/>
                <w:spacing w:val="-5"/>
              </w:rPr>
              <w:t>情节后果</w:t>
            </w:r>
          </w:p>
        </w:tc>
        <w:tc>
          <w:tcPr>
            <w:tcW w:w="4631" w:type="dxa"/>
            <w:vAlign w:val="top"/>
          </w:tcPr>
          <w:p>
            <w:pPr>
              <w:pStyle w:val="TableText"/>
              <w:ind w:left="1809"/>
              <w:spacing w:before="209" w:line="218" w:lineRule="auto"/>
              <w:rPr>
                <w:sz w:val="25"/>
                <w:szCs w:val="25"/>
              </w:rPr>
            </w:pPr>
            <w:r>
              <w:rPr>
                <w:sz w:val="25"/>
                <w:szCs w:val="25"/>
                <w:b/>
                <w:bCs/>
                <w:spacing w:val="-5"/>
              </w:rPr>
              <w:t>裁量幅度</w:t>
            </w:r>
          </w:p>
        </w:tc>
      </w:tr>
      <w:tr>
        <w:trPr>
          <w:trHeight w:val="718" w:hRule="atLeast"/>
        </w:trPr>
        <w:tc>
          <w:tcPr>
            <w:tcW w:w="1804" w:type="dxa"/>
            <w:vAlign w:val="top"/>
          </w:tcPr>
          <w:p>
            <w:pPr>
              <w:pStyle w:val="TableText"/>
              <w:ind w:left="648"/>
              <w:spacing w:before="290" w:line="221" w:lineRule="auto"/>
              <w:rPr>
                <w:sz w:val="25"/>
                <w:szCs w:val="25"/>
              </w:rPr>
            </w:pPr>
            <w:r>
              <w:rPr>
                <w:sz w:val="25"/>
                <w:szCs w:val="25"/>
                <w:b/>
                <w:bCs/>
                <w:spacing w:val="-10"/>
              </w:rPr>
              <w:t>一般</w:t>
            </w:r>
          </w:p>
        </w:tc>
        <w:tc>
          <w:tcPr>
            <w:tcW w:w="7545" w:type="dxa"/>
            <w:vAlign w:val="top"/>
          </w:tcPr>
          <w:p>
            <w:pPr>
              <w:pStyle w:val="TableText"/>
              <w:ind w:left="101" w:right="59"/>
              <w:spacing w:before="82" w:line="231" w:lineRule="auto"/>
              <w:rPr>
                <w:sz w:val="25"/>
                <w:szCs w:val="25"/>
              </w:rPr>
            </w:pPr>
            <w:r>
              <w:rPr>
                <w:sz w:val="25"/>
                <w:szCs w:val="25"/>
              </w:rPr>
              <w:t>医疗机构对育龄妇女腹部或骨盆进行核素显像检查或X射线检查</w:t>
            </w:r>
            <w:r>
              <w:rPr>
                <w:sz w:val="25"/>
                <w:szCs w:val="25"/>
                <w:spacing w:val="-1"/>
              </w:rPr>
              <w:t>前，</w:t>
            </w:r>
            <w:r>
              <w:rPr>
                <w:sz w:val="25"/>
                <w:szCs w:val="25"/>
              </w:rPr>
              <w:t xml:space="preserve"> </w:t>
            </w:r>
            <w:r>
              <w:rPr>
                <w:sz w:val="25"/>
                <w:szCs w:val="25"/>
                <w:spacing w:val="1"/>
              </w:rPr>
              <w:t>未问明是否怀孕，育龄妇女人数为1名的</w:t>
            </w:r>
          </w:p>
        </w:tc>
        <w:tc>
          <w:tcPr>
            <w:tcW w:w="4631" w:type="dxa"/>
            <w:vAlign w:val="top"/>
          </w:tcPr>
          <w:p>
            <w:pPr>
              <w:pStyle w:val="TableText"/>
              <w:ind w:left="145" w:right="54" w:hanging="90"/>
              <w:spacing w:before="90" w:line="228" w:lineRule="auto"/>
              <w:rPr>
                <w:sz w:val="25"/>
                <w:szCs w:val="25"/>
              </w:rPr>
            </w:pPr>
            <w:r>
              <w:rPr>
                <w:sz w:val="25"/>
                <w:szCs w:val="25"/>
              </w:rPr>
              <w:t>给予警告，责令限期改正；并可处3000元</w:t>
            </w:r>
            <w:r>
              <w:rPr>
                <w:sz w:val="25"/>
                <w:szCs w:val="25"/>
                <w:spacing w:val="9"/>
              </w:rPr>
              <w:t xml:space="preserve"> </w:t>
            </w:r>
            <w:r>
              <w:rPr>
                <w:sz w:val="25"/>
                <w:szCs w:val="25"/>
                <w:spacing w:val="2"/>
              </w:rPr>
              <w:t>以下的罚款</w:t>
            </w:r>
          </w:p>
        </w:tc>
      </w:tr>
      <w:tr>
        <w:trPr>
          <w:trHeight w:val="658" w:hRule="atLeast"/>
        </w:trPr>
        <w:tc>
          <w:tcPr>
            <w:tcW w:w="1804" w:type="dxa"/>
            <w:vAlign w:val="top"/>
          </w:tcPr>
          <w:p>
            <w:pPr>
              <w:pStyle w:val="TableText"/>
              <w:ind w:left="648"/>
              <w:spacing w:before="254" w:line="221" w:lineRule="auto"/>
              <w:rPr>
                <w:sz w:val="25"/>
                <w:szCs w:val="25"/>
              </w:rPr>
            </w:pPr>
            <w:r>
              <w:rPr>
                <w:sz w:val="25"/>
                <w:szCs w:val="25"/>
                <w:b/>
                <w:bCs/>
                <w:spacing w:val="-6"/>
              </w:rPr>
              <w:t>较重</w:t>
            </w:r>
          </w:p>
        </w:tc>
        <w:tc>
          <w:tcPr>
            <w:tcW w:w="7545" w:type="dxa"/>
            <w:vAlign w:val="top"/>
          </w:tcPr>
          <w:p>
            <w:pPr>
              <w:pStyle w:val="TableText"/>
              <w:ind w:left="101" w:right="59"/>
              <w:spacing w:before="62" w:line="216" w:lineRule="auto"/>
              <w:rPr>
                <w:sz w:val="25"/>
                <w:szCs w:val="25"/>
              </w:rPr>
            </w:pPr>
            <w:r>
              <w:rPr>
                <w:sz w:val="25"/>
                <w:szCs w:val="25"/>
              </w:rPr>
              <w:t>医疗机构对育龄妇女腹部或骨盆进行核素显像检查或X射线检查</w:t>
            </w:r>
            <w:r>
              <w:rPr>
                <w:sz w:val="25"/>
                <w:szCs w:val="25"/>
                <w:spacing w:val="-1"/>
              </w:rPr>
              <w:t>前，</w:t>
            </w:r>
            <w:r>
              <w:rPr>
                <w:sz w:val="25"/>
                <w:szCs w:val="25"/>
              </w:rPr>
              <w:t xml:space="preserve"> </w:t>
            </w:r>
            <w:r>
              <w:rPr>
                <w:sz w:val="25"/>
                <w:szCs w:val="25"/>
                <w:spacing w:val="1"/>
              </w:rPr>
              <w:t>未问明是否怀孕，育龄妇女人数为2名的</w:t>
            </w:r>
          </w:p>
        </w:tc>
        <w:tc>
          <w:tcPr>
            <w:tcW w:w="4631" w:type="dxa"/>
            <w:vAlign w:val="top"/>
          </w:tcPr>
          <w:p>
            <w:pPr>
              <w:pStyle w:val="TableText"/>
              <w:ind w:left="135" w:right="42" w:hanging="80"/>
              <w:spacing w:before="62" w:line="216" w:lineRule="auto"/>
              <w:rPr>
                <w:sz w:val="25"/>
                <w:szCs w:val="25"/>
              </w:rPr>
            </w:pPr>
            <w:r>
              <w:rPr>
                <w:sz w:val="25"/>
                <w:szCs w:val="25"/>
                <w:spacing w:val="1"/>
              </w:rPr>
              <w:t>给予警告，责令限期改正；并处3000元以 </w:t>
            </w:r>
            <w:r>
              <w:rPr>
                <w:sz w:val="25"/>
                <w:szCs w:val="25"/>
              </w:rPr>
              <w:t>上7000元以下的罚款</w:t>
            </w:r>
          </w:p>
        </w:tc>
      </w:tr>
      <w:tr>
        <w:trPr>
          <w:trHeight w:val="868" w:hRule="atLeast"/>
        </w:trPr>
        <w:tc>
          <w:tcPr>
            <w:tcW w:w="1804" w:type="dxa"/>
            <w:vAlign w:val="top"/>
          </w:tcPr>
          <w:p>
            <w:pPr>
              <w:spacing w:line="290" w:lineRule="auto"/>
              <w:rPr>
                <w:rFonts w:ascii="Arial"/>
                <w:sz w:val="21"/>
              </w:rPr>
            </w:pPr>
            <w:r/>
          </w:p>
          <w:p>
            <w:pPr>
              <w:pStyle w:val="TableText"/>
              <w:ind w:left="648"/>
              <w:spacing w:before="81" w:line="220" w:lineRule="auto"/>
              <w:rPr>
                <w:sz w:val="25"/>
                <w:szCs w:val="25"/>
              </w:rPr>
            </w:pPr>
            <w:r>
              <w:rPr>
                <w:sz w:val="25"/>
                <w:szCs w:val="25"/>
                <w:b/>
                <w:bCs/>
                <w:spacing w:val="-6"/>
              </w:rPr>
              <w:t>严重</w:t>
            </w:r>
          </w:p>
        </w:tc>
        <w:tc>
          <w:tcPr>
            <w:tcW w:w="7545" w:type="dxa"/>
            <w:vAlign w:val="top"/>
          </w:tcPr>
          <w:p>
            <w:pPr>
              <w:pStyle w:val="TableText"/>
              <w:ind w:left="101" w:right="59"/>
              <w:spacing w:before="164" w:line="256" w:lineRule="auto"/>
              <w:rPr>
                <w:sz w:val="25"/>
                <w:szCs w:val="25"/>
              </w:rPr>
            </w:pPr>
            <w:r>
              <w:rPr>
                <w:sz w:val="25"/>
                <w:szCs w:val="25"/>
              </w:rPr>
              <w:t>医疗机构对育龄妇女腹部或骨盆进行核素显像检查或X射线检查</w:t>
            </w:r>
            <w:r>
              <w:rPr>
                <w:sz w:val="25"/>
                <w:szCs w:val="25"/>
                <w:spacing w:val="-1"/>
              </w:rPr>
              <w:t>前，</w:t>
            </w:r>
            <w:r>
              <w:rPr>
                <w:sz w:val="25"/>
                <w:szCs w:val="25"/>
              </w:rPr>
              <w:t xml:space="preserve"> </w:t>
            </w:r>
            <w:r>
              <w:rPr>
                <w:sz w:val="25"/>
                <w:szCs w:val="25"/>
                <w:spacing w:val="1"/>
              </w:rPr>
              <w:t>未问明是否怀孕，育龄妇女人数在3名及以上的</w:t>
            </w:r>
          </w:p>
        </w:tc>
        <w:tc>
          <w:tcPr>
            <w:tcW w:w="4631" w:type="dxa"/>
            <w:vAlign w:val="top"/>
          </w:tcPr>
          <w:p>
            <w:pPr>
              <w:pStyle w:val="TableText"/>
              <w:ind w:left="125" w:right="42" w:hanging="70"/>
              <w:spacing w:before="175" w:line="252" w:lineRule="auto"/>
              <w:rPr>
                <w:sz w:val="25"/>
                <w:szCs w:val="25"/>
              </w:rPr>
            </w:pPr>
            <w:r>
              <w:rPr>
                <w:sz w:val="25"/>
                <w:szCs w:val="25"/>
                <w:spacing w:val="1"/>
              </w:rPr>
              <w:t>给予警告，责令限期改正；并处7000元以 </w:t>
            </w:r>
            <w:r>
              <w:rPr>
                <w:sz w:val="25"/>
                <w:szCs w:val="25"/>
                <w:spacing w:val="1"/>
              </w:rPr>
              <w:t>上一万元以下的罚款</w:t>
            </w:r>
          </w:p>
        </w:tc>
      </w:tr>
      <w:tr>
        <w:trPr>
          <w:trHeight w:val="833" w:hRule="atLeast"/>
        </w:trPr>
        <w:tc>
          <w:tcPr>
            <w:tcW w:w="1804" w:type="dxa"/>
            <w:vAlign w:val="top"/>
          </w:tcPr>
          <w:p>
            <w:pPr>
              <w:spacing w:line="271" w:lineRule="auto"/>
              <w:rPr>
                <w:rFonts w:ascii="Arial"/>
                <w:sz w:val="21"/>
              </w:rPr>
            </w:pPr>
            <w:r/>
          </w:p>
          <w:p>
            <w:pPr>
              <w:pStyle w:val="TableText"/>
              <w:ind w:left="398"/>
              <w:spacing w:before="82" w:line="219" w:lineRule="auto"/>
              <w:rPr>
                <w:sz w:val="25"/>
                <w:szCs w:val="25"/>
              </w:rPr>
            </w:pPr>
            <w:r>
              <w:rPr>
                <w:sz w:val="25"/>
                <w:szCs w:val="25"/>
                <w:b/>
                <w:bCs/>
                <w:spacing w:val="-5"/>
              </w:rPr>
              <w:t>特别严重</w:t>
            </w:r>
          </w:p>
        </w:tc>
        <w:tc>
          <w:tcPr>
            <w:tcW w:w="7545" w:type="dxa"/>
            <w:vAlign w:val="top"/>
          </w:tcPr>
          <w:p>
            <w:pPr>
              <w:pStyle w:val="TableText"/>
              <w:ind w:left="101" w:right="59"/>
              <w:spacing w:before="156" w:line="246" w:lineRule="auto"/>
              <w:rPr>
                <w:sz w:val="25"/>
                <w:szCs w:val="25"/>
              </w:rPr>
            </w:pPr>
            <w:r>
              <w:rPr>
                <w:sz w:val="25"/>
                <w:szCs w:val="25"/>
              </w:rPr>
              <w:t>医疗机构对育龄妇女腹部或骨盆进行核素显像检查或X射线检查</w:t>
            </w:r>
            <w:r>
              <w:rPr>
                <w:sz w:val="25"/>
                <w:szCs w:val="25"/>
                <w:spacing w:val="-1"/>
              </w:rPr>
              <w:t>前，</w:t>
            </w:r>
            <w:r>
              <w:rPr>
                <w:sz w:val="25"/>
                <w:szCs w:val="25"/>
              </w:rPr>
              <w:t xml:space="preserve"> </w:t>
            </w:r>
            <w:r>
              <w:rPr>
                <w:sz w:val="25"/>
                <w:szCs w:val="25"/>
                <w:spacing w:val="1"/>
              </w:rPr>
              <w:t>未问明是否怀孕，造成严重后果的</w:t>
            </w:r>
          </w:p>
        </w:tc>
        <w:tc>
          <w:tcPr>
            <w:tcW w:w="4631" w:type="dxa"/>
            <w:vAlign w:val="top"/>
          </w:tcPr>
          <w:p>
            <w:pPr>
              <w:pStyle w:val="TableText"/>
              <w:ind w:left="55"/>
              <w:spacing w:before="156" w:line="218" w:lineRule="auto"/>
              <w:rPr>
                <w:sz w:val="25"/>
                <w:szCs w:val="25"/>
              </w:rPr>
            </w:pPr>
            <w:r>
              <w:rPr>
                <w:sz w:val="25"/>
                <w:szCs w:val="25"/>
                <w:spacing w:val="1"/>
              </w:rPr>
              <w:t>给予警告，责令限期改正；并处一万元的</w:t>
            </w:r>
          </w:p>
          <w:p>
            <w:pPr>
              <w:pStyle w:val="TableText"/>
              <w:ind w:left="136"/>
              <w:spacing w:before="48" w:line="221" w:lineRule="auto"/>
              <w:rPr>
                <w:sz w:val="25"/>
                <w:szCs w:val="25"/>
              </w:rPr>
            </w:pPr>
            <w:r>
              <w:rPr>
                <w:sz w:val="25"/>
                <w:szCs w:val="25"/>
                <w:color w:val="504050"/>
                <w:spacing w:val="5"/>
              </w:rPr>
              <w:t>罚款</w:t>
            </w:r>
          </w:p>
        </w:tc>
      </w:tr>
    </w:tbl>
    <w:p>
      <w:pPr>
        <w:pStyle w:val="BodyText"/>
        <w:rPr/>
      </w:pPr>
      <w:r/>
    </w:p>
    <w:p>
      <w:pPr>
        <w:sectPr>
          <w:footerReference w:type="default" r:id="rId586"/>
          <w:pgSz w:w="16830" w:h="11900"/>
          <w:pgMar w:top="1011" w:right="1405" w:bottom="1113" w:left="1434" w:header="0" w:footer="798" w:gutter="0"/>
        </w:sectPr>
        <w:rPr/>
      </w:pP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634" w:right="700" w:firstLine="4"/>
        <w:spacing w:before="97" w:line="249" w:lineRule="auto"/>
        <w:rPr>
          <w:rFonts w:ascii="FangSong" w:hAnsi="FangSong" w:eastAsia="FangSong" w:cs="FangSong"/>
          <w:sz w:val="30"/>
          <w:szCs w:val="30"/>
        </w:rPr>
      </w:pPr>
      <w:r>
        <w:rPr>
          <w:rFonts w:ascii="FangSong" w:hAnsi="FangSong" w:eastAsia="FangSong" w:cs="FangSong"/>
          <w:sz w:val="30"/>
          <w:szCs w:val="30"/>
          <w:b/>
          <w:bCs/>
          <w:spacing w:val="21"/>
        </w:rPr>
        <w:t>第五百六十二条非特殊需要，对受孕后八至十五周的育龄妇女进行下腹部放射影像检查的</w:t>
      </w:r>
      <w:r>
        <w:rPr>
          <w:rFonts w:ascii="FangSong" w:hAnsi="FangSong" w:eastAsia="FangSong" w:cs="FangSong"/>
          <w:sz w:val="30"/>
          <w:szCs w:val="30"/>
          <w:spacing w:val="7"/>
        </w:rPr>
        <w:t xml:space="preserve"> </w:t>
      </w:r>
      <w:r>
        <w:rPr>
          <w:rFonts w:ascii="FangSong" w:hAnsi="FangSong" w:eastAsia="FangSong" w:cs="FangSong"/>
          <w:sz w:val="30"/>
          <w:szCs w:val="30"/>
        </w:rPr>
        <w:t>法律依据：</w:t>
      </w:r>
    </w:p>
    <w:p>
      <w:pPr>
        <w:ind w:left="5" w:right="154" w:firstLine="629"/>
        <w:spacing w:before="76" w:line="270" w:lineRule="auto"/>
        <w:rPr>
          <w:rFonts w:ascii="FangSong" w:hAnsi="FangSong" w:eastAsia="FangSong" w:cs="FangSong"/>
          <w:sz w:val="30"/>
          <w:szCs w:val="30"/>
        </w:rPr>
      </w:pPr>
      <w:r>
        <w:rPr>
          <w:rFonts w:ascii="FangSong" w:hAnsi="FangSong" w:eastAsia="FangSong" w:cs="FangSong"/>
          <w:sz w:val="30"/>
          <w:szCs w:val="30"/>
          <w:spacing w:val="20"/>
        </w:rPr>
        <w:t>1.</w:t>
      </w:r>
      <w:r>
        <w:rPr>
          <w:rFonts w:ascii="FangSong" w:hAnsi="FangSong" w:eastAsia="FangSong" w:cs="FangSong"/>
          <w:sz w:val="30"/>
          <w:szCs w:val="30"/>
          <w:spacing w:val="20"/>
        </w:rPr>
        <w:t xml:space="preserve"> </w:t>
      </w:r>
      <w:r>
        <w:rPr>
          <w:rFonts w:ascii="FangSong" w:hAnsi="FangSong" w:eastAsia="FangSong" w:cs="FangSong"/>
          <w:sz w:val="30"/>
          <w:szCs w:val="30"/>
          <w:spacing w:val="20"/>
        </w:rPr>
        <w:t>《放射诊疗管理规定》第四十一条第(七)项</w:t>
      </w:r>
      <w:r>
        <w:rPr>
          <w:rFonts w:ascii="FangSong" w:hAnsi="FangSong" w:eastAsia="FangSong" w:cs="FangSong"/>
          <w:sz w:val="30"/>
          <w:szCs w:val="30"/>
          <w:spacing w:val="20"/>
        </w:rPr>
        <w:t xml:space="preserve">   </w:t>
      </w:r>
      <w:r>
        <w:rPr>
          <w:rFonts w:ascii="FangSong" w:hAnsi="FangSong" w:eastAsia="FangSong" w:cs="FangSong"/>
          <w:sz w:val="30"/>
          <w:szCs w:val="30"/>
          <w:spacing w:val="20"/>
        </w:rPr>
        <w:t>医疗机构违反本规定，有下列行为之一的，</w:t>
      </w:r>
      <w:r>
        <w:rPr>
          <w:rFonts w:ascii="FangSong" w:hAnsi="FangSong" w:eastAsia="FangSong" w:cs="FangSong"/>
          <w:sz w:val="30"/>
          <w:szCs w:val="30"/>
        </w:rPr>
        <w:t xml:space="preserve"> </w:t>
      </w:r>
      <w:r>
        <w:rPr>
          <w:rFonts w:ascii="FangSong" w:hAnsi="FangSong" w:eastAsia="FangSong" w:cs="FangSong"/>
          <w:sz w:val="30"/>
          <w:szCs w:val="30"/>
          <w:spacing w:val="17"/>
        </w:rPr>
        <w:t>由县级以上卫生行政部门给予警告，责令限期改正；并可处一万</w:t>
      </w:r>
      <w:r>
        <w:rPr>
          <w:rFonts w:ascii="FangSong" w:hAnsi="FangSong" w:eastAsia="FangSong" w:cs="FangSong"/>
          <w:sz w:val="30"/>
          <w:szCs w:val="30"/>
          <w:spacing w:val="16"/>
        </w:rPr>
        <w:t>元以下的罚款：</w:t>
      </w:r>
    </w:p>
    <w:p>
      <w:pPr>
        <w:ind w:left="795"/>
        <w:spacing w:before="3" w:line="222" w:lineRule="auto"/>
        <w:rPr>
          <w:rFonts w:ascii="FangSong" w:hAnsi="FangSong" w:eastAsia="FangSong" w:cs="FangSong"/>
          <w:sz w:val="30"/>
          <w:szCs w:val="30"/>
        </w:rPr>
      </w:pPr>
      <w:r>
        <w:rPr>
          <w:rFonts w:ascii="FangSong" w:hAnsi="FangSong" w:eastAsia="FangSong" w:cs="FangSong"/>
          <w:sz w:val="30"/>
          <w:szCs w:val="30"/>
          <w:spacing w:val="27"/>
        </w:rPr>
        <w:t>(七)违反本规定的其他情形。</w:t>
      </w:r>
    </w:p>
    <w:p>
      <w:pPr>
        <w:ind w:left="5" w:right="31" w:firstLine="629"/>
        <w:spacing w:before="86" w:line="271" w:lineRule="auto"/>
        <w:jc w:val="both"/>
        <w:rPr>
          <w:rFonts w:ascii="FangSong" w:hAnsi="FangSong" w:eastAsia="FangSong" w:cs="FangSong"/>
          <w:sz w:val="30"/>
          <w:szCs w:val="30"/>
        </w:rPr>
      </w:pPr>
      <w:r>
        <w:rPr>
          <w:rFonts w:ascii="FangSong" w:hAnsi="FangSong" w:eastAsia="FangSong" w:cs="FangSong"/>
          <w:sz w:val="30"/>
          <w:szCs w:val="30"/>
          <w:spacing w:val="22"/>
        </w:rPr>
        <w:t>2.</w:t>
      </w:r>
      <w:r>
        <w:rPr>
          <w:rFonts w:ascii="FangSong" w:hAnsi="FangSong" w:eastAsia="FangSong" w:cs="FangSong"/>
          <w:sz w:val="30"/>
          <w:szCs w:val="30"/>
          <w:spacing w:val="22"/>
        </w:rPr>
        <w:t xml:space="preserve"> </w:t>
      </w:r>
      <w:r>
        <w:rPr>
          <w:rFonts w:ascii="FangSong" w:hAnsi="FangSong" w:eastAsia="FangSong" w:cs="FangSong"/>
          <w:sz w:val="30"/>
          <w:szCs w:val="30"/>
          <w:spacing w:val="22"/>
        </w:rPr>
        <w:t>《放射诊疗管理规定》第二十六条第(三)项</w:t>
      </w:r>
      <w:r>
        <w:rPr>
          <w:rFonts w:ascii="FangSong" w:hAnsi="FangSong" w:eastAsia="FangSong" w:cs="FangSong"/>
          <w:sz w:val="30"/>
          <w:szCs w:val="30"/>
          <w:spacing w:val="22"/>
        </w:rPr>
        <w:t xml:space="preserve">   </w:t>
      </w:r>
      <w:r>
        <w:rPr>
          <w:rFonts w:ascii="FangSong" w:hAnsi="FangSong" w:eastAsia="FangSong" w:cs="FangSong"/>
          <w:sz w:val="30"/>
          <w:szCs w:val="30"/>
          <w:spacing w:val="22"/>
        </w:rPr>
        <w:t>医疗机构在实施放</w:t>
      </w:r>
      <w:r>
        <w:rPr>
          <w:rFonts w:ascii="FangSong" w:hAnsi="FangSong" w:eastAsia="FangSong" w:cs="FangSong"/>
          <w:sz w:val="30"/>
          <w:szCs w:val="30"/>
          <w:spacing w:val="21"/>
        </w:rPr>
        <w:t>射诊断检查前应当对不同</w:t>
      </w:r>
      <w:r>
        <w:rPr>
          <w:rFonts w:ascii="FangSong" w:hAnsi="FangSong" w:eastAsia="FangSong" w:cs="FangSong"/>
          <w:sz w:val="30"/>
          <w:szCs w:val="30"/>
        </w:rPr>
        <w:t xml:space="preserve"> </w:t>
      </w:r>
      <w:r>
        <w:rPr>
          <w:rFonts w:ascii="FangSong" w:hAnsi="FangSong" w:eastAsia="FangSong" w:cs="FangSong"/>
          <w:sz w:val="30"/>
          <w:szCs w:val="30"/>
          <w:spacing w:val="17"/>
        </w:rPr>
        <w:t>检查方法进行利弊分析，在保证诊断效果的前提下，优先采用对人体健康影响较小的诊断技术。实施</w:t>
      </w:r>
      <w:r>
        <w:rPr>
          <w:rFonts w:ascii="FangSong" w:hAnsi="FangSong" w:eastAsia="FangSong" w:cs="FangSong"/>
          <w:sz w:val="30"/>
          <w:szCs w:val="30"/>
          <w:spacing w:val="4"/>
        </w:rPr>
        <w:t xml:space="preserve"> </w:t>
      </w:r>
      <w:r>
        <w:rPr>
          <w:rFonts w:ascii="FangSong" w:hAnsi="FangSong" w:eastAsia="FangSong" w:cs="FangSong"/>
          <w:sz w:val="30"/>
          <w:szCs w:val="30"/>
          <w:spacing w:val="11"/>
        </w:rPr>
        <w:t>检查应当遵守下列规定：</w:t>
      </w:r>
    </w:p>
    <w:p>
      <w:pPr>
        <w:ind w:left="5" w:right="170" w:firstLine="780"/>
        <w:spacing w:before="2" w:line="270" w:lineRule="auto"/>
        <w:rPr>
          <w:rFonts w:ascii="FangSong" w:hAnsi="FangSong" w:eastAsia="FangSong" w:cs="FangSong"/>
          <w:sz w:val="30"/>
          <w:szCs w:val="30"/>
        </w:rPr>
      </w:pPr>
      <w:r>
        <w:rPr>
          <w:rFonts w:ascii="FangSong" w:hAnsi="FangSong" w:eastAsia="FangSong" w:cs="FangSong"/>
          <w:sz w:val="30"/>
          <w:szCs w:val="30"/>
          <w:spacing w:val="22"/>
        </w:rPr>
        <w:t>(三)对育龄妇女腹部或骨盆进行核素显像检查或</w:t>
      </w:r>
      <w:r>
        <w:rPr>
          <w:rFonts w:ascii="FangSong" w:hAnsi="FangSong" w:eastAsia="FangSong" w:cs="FangSong"/>
          <w:sz w:val="30"/>
          <w:szCs w:val="30"/>
          <w:spacing w:val="-67"/>
        </w:rPr>
        <w:t xml:space="preserve"> </w:t>
      </w:r>
      <w:r>
        <w:rPr>
          <w:rFonts w:ascii="SimSun" w:hAnsi="SimSun" w:eastAsia="SimSun" w:cs="SimSun"/>
          <w:sz w:val="30"/>
          <w:szCs w:val="30"/>
          <w:spacing w:val="22"/>
        </w:rPr>
        <w:t>X</w:t>
      </w:r>
      <w:r>
        <w:rPr>
          <w:rFonts w:ascii="SimSun" w:hAnsi="SimSun" w:eastAsia="SimSun" w:cs="SimSun"/>
          <w:sz w:val="30"/>
          <w:szCs w:val="30"/>
          <w:spacing w:val="59"/>
        </w:rPr>
        <w:t xml:space="preserve"> </w:t>
      </w:r>
      <w:r>
        <w:rPr>
          <w:rFonts w:ascii="FangSong" w:hAnsi="FangSong" w:eastAsia="FangSong" w:cs="FangSong"/>
          <w:sz w:val="30"/>
          <w:szCs w:val="30"/>
          <w:spacing w:val="22"/>
        </w:rPr>
        <w:t>射线检查前，应</w:t>
      </w:r>
      <w:r>
        <w:rPr>
          <w:rFonts w:ascii="FangSong" w:hAnsi="FangSong" w:eastAsia="FangSong" w:cs="FangSong"/>
          <w:sz w:val="30"/>
          <w:szCs w:val="30"/>
          <w:spacing w:val="21"/>
        </w:rPr>
        <w:t>问明是否怀孕；非特殊需</w:t>
      </w:r>
      <w:r>
        <w:rPr>
          <w:rFonts w:ascii="FangSong" w:hAnsi="FangSong" w:eastAsia="FangSong" w:cs="FangSong"/>
          <w:sz w:val="30"/>
          <w:szCs w:val="30"/>
        </w:rPr>
        <w:t xml:space="preserve"> </w:t>
      </w:r>
      <w:r>
        <w:rPr>
          <w:rFonts w:ascii="FangSong" w:hAnsi="FangSong" w:eastAsia="FangSong" w:cs="FangSong"/>
          <w:sz w:val="30"/>
          <w:szCs w:val="30"/>
          <w:spacing w:val="17"/>
        </w:rPr>
        <w:t>要，对受孕后八至十五周的育龄妇女，不得进行下腹部放射影像检查。</w:t>
      </w:r>
    </w:p>
    <w:p>
      <w:pPr>
        <w:ind w:left="6419"/>
        <w:spacing w:before="14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3" w:lineRule="auto"/>
        <w:rPr>
          <w:rFonts w:ascii="Arial"/>
          <w:sz w:val="2"/>
        </w:rPr>
      </w:pPr>
      <w:r>
        <w:rPr>
          <w:rFonts w:ascii="Arial"/>
          <w:sz w:val="2"/>
        </w:rPr>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584"/>
        <w:gridCol w:w="4612"/>
      </w:tblGrid>
      <w:tr>
        <w:trPr>
          <w:trHeight w:val="692" w:hRule="atLeast"/>
        </w:trPr>
        <w:tc>
          <w:tcPr>
            <w:tcW w:w="1784" w:type="dxa"/>
            <w:vAlign w:val="top"/>
          </w:tcPr>
          <w:p>
            <w:pPr>
              <w:pStyle w:val="TableText"/>
              <w:ind w:left="388"/>
              <w:spacing w:before="222" w:line="220" w:lineRule="auto"/>
              <w:rPr>
                <w:sz w:val="25"/>
                <w:szCs w:val="25"/>
              </w:rPr>
            </w:pPr>
            <w:r>
              <w:rPr>
                <w:sz w:val="25"/>
                <w:szCs w:val="25"/>
                <w:b/>
                <w:bCs/>
                <w:spacing w:val="-5"/>
              </w:rPr>
              <w:t>违法程度</w:t>
            </w:r>
          </w:p>
        </w:tc>
        <w:tc>
          <w:tcPr>
            <w:tcW w:w="7584" w:type="dxa"/>
            <w:vAlign w:val="top"/>
          </w:tcPr>
          <w:p>
            <w:pPr>
              <w:pStyle w:val="TableText"/>
              <w:ind w:left="3234"/>
              <w:spacing w:before="222" w:line="220" w:lineRule="auto"/>
              <w:rPr>
                <w:sz w:val="25"/>
                <w:szCs w:val="25"/>
              </w:rPr>
            </w:pPr>
            <w:r>
              <w:rPr>
                <w:sz w:val="25"/>
                <w:szCs w:val="25"/>
                <w:b/>
                <w:bCs/>
                <w:spacing w:val="-5"/>
              </w:rPr>
              <w:t>情节后果</w:t>
            </w:r>
          </w:p>
        </w:tc>
        <w:tc>
          <w:tcPr>
            <w:tcW w:w="4612" w:type="dxa"/>
            <w:vAlign w:val="top"/>
          </w:tcPr>
          <w:p>
            <w:pPr>
              <w:pStyle w:val="TableText"/>
              <w:ind w:left="1800"/>
              <w:spacing w:before="219" w:line="218" w:lineRule="auto"/>
              <w:rPr>
                <w:sz w:val="25"/>
                <w:szCs w:val="25"/>
              </w:rPr>
            </w:pPr>
            <w:r>
              <w:rPr>
                <w:sz w:val="25"/>
                <w:szCs w:val="25"/>
                <w:b/>
                <w:bCs/>
                <w:spacing w:val="-5"/>
              </w:rPr>
              <w:t>裁量幅度</w:t>
            </w:r>
          </w:p>
        </w:tc>
      </w:tr>
      <w:tr>
        <w:trPr>
          <w:trHeight w:val="686" w:hRule="atLeast"/>
        </w:trPr>
        <w:tc>
          <w:tcPr>
            <w:tcW w:w="1784" w:type="dxa"/>
            <w:vAlign w:val="top"/>
          </w:tcPr>
          <w:p>
            <w:pPr>
              <w:pStyle w:val="TableText"/>
              <w:ind w:left="638"/>
              <w:spacing w:before="221" w:line="221" w:lineRule="auto"/>
              <w:rPr>
                <w:sz w:val="25"/>
                <w:szCs w:val="25"/>
              </w:rPr>
            </w:pPr>
            <w:r>
              <w:rPr>
                <w:sz w:val="25"/>
                <w:szCs w:val="25"/>
                <w:b/>
                <w:bCs/>
                <w:spacing w:val="-10"/>
              </w:rPr>
              <w:t>一般</w:t>
            </w:r>
          </w:p>
        </w:tc>
        <w:tc>
          <w:tcPr>
            <w:tcW w:w="7584" w:type="dxa"/>
            <w:vAlign w:val="top"/>
          </w:tcPr>
          <w:p>
            <w:pPr>
              <w:pStyle w:val="TableText"/>
              <w:ind w:left="111" w:right="88"/>
              <w:spacing w:before="72" w:line="223" w:lineRule="auto"/>
              <w:rPr>
                <w:sz w:val="25"/>
                <w:szCs w:val="25"/>
              </w:rPr>
            </w:pPr>
            <w:r>
              <w:rPr>
                <w:sz w:val="25"/>
                <w:szCs w:val="25"/>
              </w:rPr>
              <w:t>医疗机构对育龄妇女腹部或骨盆进行核素显像检查或X射线检查</w:t>
            </w:r>
            <w:r>
              <w:rPr>
                <w:sz w:val="25"/>
                <w:szCs w:val="25"/>
                <w:spacing w:val="-1"/>
              </w:rPr>
              <w:t>前，</w:t>
            </w:r>
            <w:r>
              <w:rPr>
                <w:sz w:val="25"/>
                <w:szCs w:val="25"/>
              </w:rPr>
              <w:t xml:space="preserve"> </w:t>
            </w:r>
            <w:r>
              <w:rPr>
                <w:sz w:val="25"/>
                <w:szCs w:val="25"/>
              </w:rPr>
              <w:t>未问明是否怀孕，育龄妇女人数为1名的</w:t>
            </w:r>
          </w:p>
        </w:tc>
        <w:tc>
          <w:tcPr>
            <w:tcW w:w="4612" w:type="dxa"/>
            <w:vAlign w:val="top"/>
          </w:tcPr>
          <w:p>
            <w:pPr>
              <w:pStyle w:val="TableText"/>
              <w:ind w:left="126" w:right="43" w:hanging="79"/>
              <w:spacing w:before="80" w:line="220" w:lineRule="auto"/>
              <w:rPr>
                <w:sz w:val="25"/>
                <w:szCs w:val="25"/>
              </w:rPr>
            </w:pPr>
            <w:r>
              <w:rPr>
                <w:sz w:val="25"/>
                <w:szCs w:val="25"/>
              </w:rPr>
              <w:t>给予警告，责令限期改正；并可处3000元</w:t>
            </w:r>
            <w:r>
              <w:rPr>
                <w:sz w:val="25"/>
                <w:szCs w:val="25"/>
                <w:spacing w:val="9"/>
              </w:rPr>
              <w:t xml:space="preserve"> </w:t>
            </w:r>
            <w:r>
              <w:rPr>
                <w:sz w:val="25"/>
                <w:szCs w:val="25"/>
                <w:spacing w:val="2"/>
              </w:rPr>
              <w:t>以下的罚款</w:t>
            </w:r>
          </w:p>
        </w:tc>
      </w:tr>
      <w:tr>
        <w:trPr>
          <w:trHeight w:val="681" w:hRule="atLeast"/>
        </w:trPr>
        <w:tc>
          <w:tcPr>
            <w:tcW w:w="1784" w:type="dxa"/>
            <w:vAlign w:val="top"/>
          </w:tcPr>
          <w:p>
            <w:pPr>
              <w:pStyle w:val="TableText"/>
              <w:ind w:left="638"/>
              <w:spacing w:before="227" w:line="221" w:lineRule="auto"/>
              <w:rPr>
                <w:sz w:val="25"/>
                <w:szCs w:val="25"/>
              </w:rPr>
            </w:pPr>
            <w:r>
              <w:rPr>
                <w:sz w:val="25"/>
                <w:szCs w:val="25"/>
                <w:b/>
                <w:bCs/>
                <w:spacing w:val="-6"/>
              </w:rPr>
              <w:t>较重</w:t>
            </w:r>
          </w:p>
        </w:tc>
        <w:tc>
          <w:tcPr>
            <w:tcW w:w="7584" w:type="dxa"/>
            <w:vAlign w:val="top"/>
          </w:tcPr>
          <w:p>
            <w:pPr>
              <w:pStyle w:val="TableText"/>
              <w:ind w:left="111" w:right="88"/>
              <w:spacing w:before="86" w:line="216" w:lineRule="auto"/>
              <w:rPr>
                <w:sz w:val="25"/>
                <w:szCs w:val="25"/>
              </w:rPr>
            </w:pPr>
            <w:r>
              <w:rPr>
                <w:sz w:val="25"/>
                <w:szCs w:val="25"/>
              </w:rPr>
              <w:t>医疗机构对育龄妇女腹部或骨盆进行核素显像检查或X射线检查</w:t>
            </w:r>
            <w:r>
              <w:rPr>
                <w:sz w:val="25"/>
                <w:szCs w:val="25"/>
                <w:spacing w:val="-1"/>
              </w:rPr>
              <w:t>前，</w:t>
            </w:r>
            <w:r>
              <w:rPr>
                <w:sz w:val="25"/>
                <w:szCs w:val="25"/>
              </w:rPr>
              <w:t xml:space="preserve"> </w:t>
            </w:r>
            <w:r>
              <w:rPr>
                <w:sz w:val="25"/>
                <w:szCs w:val="25"/>
              </w:rPr>
              <w:t>未问明是否怀孕，育龄妇女人数为2名的</w:t>
            </w:r>
          </w:p>
        </w:tc>
        <w:tc>
          <w:tcPr>
            <w:tcW w:w="4612" w:type="dxa"/>
            <w:vAlign w:val="top"/>
          </w:tcPr>
          <w:p>
            <w:pPr>
              <w:pStyle w:val="TableText"/>
              <w:ind w:left="106" w:right="32" w:hanging="59"/>
              <w:spacing w:before="86" w:line="216" w:lineRule="auto"/>
              <w:rPr>
                <w:sz w:val="25"/>
                <w:szCs w:val="25"/>
              </w:rPr>
            </w:pPr>
            <w:r>
              <w:rPr>
                <w:sz w:val="25"/>
                <w:szCs w:val="25"/>
                <w:spacing w:val="1"/>
              </w:rPr>
              <w:t>给予警告，责令限期改正；并处3000元以 </w:t>
            </w:r>
            <w:r>
              <w:rPr>
                <w:sz w:val="25"/>
                <w:szCs w:val="25"/>
              </w:rPr>
              <w:t>上7000元以下的罚款</w:t>
            </w:r>
          </w:p>
        </w:tc>
      </w:tr>
    </w:tbl>
    <w:p>
      <w:pPr>
        <w:pStyle w:val="BodyText"/>
        <w:rPr/>
      </w:pPr>
      <w:r/>
    </w:p>
    <w:p>
      <w:pPr>
        <w:sectPr>
          <w:footerReference w:type="default" r:id="rId587"/>
          <w:pgSz w:w="16830" w:h="11900"/>
          <w:pgMar w:top="1011" w:right="1405" w:bottom="1117" w:left="1434" w:header="0" w:footer="784" w:gutter="0"/>
        </w:sectPr>
        <w:rPr/>
      </w:pPr>
    </w:p>
    <w:p>
      <w:pPr>
        <w:pStyle w:val="BodyText"/>
        <w:spacing w:line="259" w:lineRule="auto"/>
        <w:rPr/>
      </w:pPr>
      <w:r/>
    </w:p>
    <w:p>
      <w:pPr>
        <w:pStyle w:val="BodyText"/>
        <w:spacing w:line="259" w:lineRule="auto"/>
        <w:rPr/>
      </w:pPr>
      <w:r/>
    </w:p>
    <w:p>
      <w:pPr>
        <w:pStyle w:val="BodyText"/>
        <w:spacing w:line="260" w:lineRule="auto"/>
        <w:rPr/>
      </w:pPr>
      <w:r/>
    </w:p>
    <w:p>
      <w:pPr>
        <w:pStyle w:val="BodyText"/>
        <w:spacing w:line="1710" w:lineRule="exact"/>
        <w:rPr/>
      </w:pPr>
      <w:r>
        <w:rPr>
          <w:position w:val="-34"/>
        </w:rPr>
        <w:pict>
          <v:group id="_x0000_s52" style="mso-position-vertical-relative:line;mso-position-horizontal-relative:char;width:700.9pt;height:85.55pt;" filled="false" stroked="false" coordsize="14018,1711" coordorigin="0,0">
            <v:shape id="_x0000_s54" style="position:absolute;left:0;top:0;width:14000;height:1711;" filled="false" strokecolor="#000000" strokeweight="0.50pt" coordsize="14000,1711" coordorigin="0,0" path="m5,5l5,855m5,5l1785,5m1785,5l1785,855m5,855l1785,855m1785,5l1785,855m1785,5l9375,5m9375,5l9375,855m1785,855l9375,855m9375,5l9375,855m9375,5l13995,5m13995,5l13995,855m9375,855l13995,855m5,855l5,1705m5,855l1785,855m1785,855l1785,1705m5,1705l1785,1705m1785,855l1785,1705m1785,855l9375,855m9375,855l9375,1705m1785,1705l9375,1705m9375,855l9375,1705m9375,855l13995,855m13995,855l13995,1705m9375,1705l13995,1705e">
              <v:stroke joinstyle="miter" miterlimit="10"/>
            </v:shape>
            <v:shape id="_x0000_s56" style="position:absolute;left:1895;top:134;width:7415;height:1491;" filled="false" stroked="false" type="#_x0000_t202">
              <v:fill on="false"/>
              <v:stroke on="false"/>
              <v:path/>
              <v:imagedata o:title=""/>
              <o:lock v:ext="edit" aspectratio="false"/>
              <v:textbox inset="0mm,0mm,0mm,0mm">
                <w:txbxContent>
                  <w:p>
                    <w:pPr>
                      <w:ind w:left="20" w:right="20"/>
                      <w:spacing w:before="20" w:line="246" w:lineRule="auto"/>
                      <w:rPr>
                        <w:rFonts w:ascii="SimSun" w:hAnsi="SimSun" w:eastAsia="SimSun" w:cs="SimSun"/>
                        <w:sz w:val="25"/>
                        <w:szCs w:val="25"/>
                      </w:rPr>
                    </w:pPr>
                    <w:r>
                      <w:rPr>
                        <w:rFonts w:ascii="SimSun" w:hAnsi="SimSun" w:eastAsia="SimSun" w:cs="SimSun"/>
                        <w:sz w:val="25"/>
                        <w:szCs w:val="25"/>
                      </w:rPr>
                      <w:t>医疗机构对育龄妇女腹部或骨盆进行核素显像检查或X射线检查</w:t>
                    </w:r>
                    <w:r>
                      <w:rPr>
                        <w:rFonts w:ascii="SimSun" w:hAnsi="SimSun" w:eastAsia="SimSun" w:cs="SimSun"/>
                        <w:sz w:val="25"/>
                        <w:szCs w:val="25"/>
                        <w:spacing w:val="-1"/>
                      </w:rPr>
                      <w:t>前，</w:t>
                    </w:r>
                    <w:r>
                      <w:rPr>
                        <w:rFonts w:ascii="SimSun" w:hAnsi="SimSun" w:eastAsia="SimSun" w:cs="SimSun"/>
                        <w:sz w:val="25"/>
                        <w:szCs w:val="25"/>
                      </w:rPr>
                      <w:t xml:space="preserve"> </w:t>
                    </w:r>
                    <w:r>
                      <w:rPr>
                        <w:rFonts w:ascii="SimSun" w:hAnsi="SimSun" w:eastAsia="SimSun" w:cs="SimSun"/>
                        <w:sz w:val="25"/>
                        <w:szCs w:val="25"/>
                      </w:rPr>
                      <w:t>未问明是否怀孕，育龄妇女人数在3名及以上的</w:t>
                    </w:r>
                  </w:p>
                  <w:p>
                    <w:pPr>
                      <w:ind w:left="20" w:right="20"/>
                      <w:spacing w:before="192" w:line="243" w:lineRule="auto"/>
                      <w:rPr>
                        <w:rFonts w:ascii="SimSun" w:hAnsi="SimSun" w:eastAsia="SimSun" w:cs="SimSun"/>
                        <w:sz w:val="25"/>
                        <w:szCs w:val="25"/>
                      </w:rPr>
                    </w:pPr>
                    <w:r>
                      <w:rPr>
                        <w:rFonts w:ascii="SimSun" w:hAnsi="SimSun" w:eastAsia="SimSun" w:cs="SimSun"/>
                        <w:sz w:val="25"/>
                        <w:szCs w:val="25"/>
                      </w:rPr>
                      <w:t>医疗机构对育龄妇女腹部或骨盆进行核素显像检查或X射线检查</w:t>
                    </w:r>
                    <w:r>
                      <w:rPr>
                        <w:rFonts w:ascii="SimSun" w:hAnsi="SimSun" w:eastAsia="SimSun" w:cs="SimSun"/>
                        <w:sz w:val="25"/>
                        <w:szCs w:val="25"/>
                        <w:spacing w:val="-1"/>
                      </w:rPr>
                      <w:t>前，</w:t>
                    </w:r>
                    <w:r>
                      <w:rPr>
                        <w:rFonts w:ascii="SimSun" w:hAnsi="SimSun" w:eastAsia="SimSun" w:cs="SimSun"/>
                        <w:sz w:val="25"/>
                        <w:szCs w:val="25"/>
                      </w:rPr>
                      <w:t xml:space="preserve"> </w:t>
                    </w:r>
                    <w:r>
                      <w:rPr>
                        <w:rFonts w:ascii="SimSun" w:hAnsi="SimSun" w:eastAsia="SimSun" w:cs="SimSun"/>
                        <w:sz w:val="25"/>
                        <w:szCs w:val="25"/>
                        <w:spacing w:val="1"/>
                      </w:rPr>
                      <w:t>未问明是否怀孕，造成严重后果的</w:t>
                    </w:r>
                  </w:p>
                </w:txbxContent>
              </v:textbox>
            </v:shape>
            <v:shape id="_x0000_s58" style="position:absolute;left:9475;top:133;width:4562;height:1493;" filled="false" stroked="false" type="#_x0000_t202">
              <v:fill on="false"/>
              <v:stroke on="false"/>
              <v:path/>
              <v:imagedata o:title=""/>
              <o:lock v:ext="edit" aspectratio="false"/>
              <v:textbox inset="0mm,0mm,0mm,0mm">
                <w:txbxContent>
                  <w:p>
                    <w:pPr>
                      <w:ind w:left="20" w:right="20"/>
                      <w:spacing w:before="18" w:line="256" w:lineRule="auto"/>
                      <w:rPr>
                        <w:rFonts w:ascii="SimSun" w:hAnsi="SimSun" w:eastAsia="SimSun" w:cs="SimSun"/>
                        <w:sz w:val="25"/>
                        <w:szCs w:val="25"/>
                      </w:rPr>
                    </w:pPr>
                    <w:r>
                      <w:rPr>
                        <w:rFonts w:ascii="SimSun" w:hAnsi="SimSun" w:eastAsia="SimSun" w:cs="SimSun"/>
                        <w:sz w:val="25"/>
                        <w:szCs w:val="25"/>
                        <w:spacing w:val="1"/>
                      </w:rPr>
                      <w:t>给予警告，责令限期改正；并处7000元以 </w:t>
                    </w:r>
                    <w:r>
                      <w:rPr>
                        <w:rFonts w:ascii="SimSun" w:hAnsi="SimSun" w:eastAsia="SimSun" w:cs="SimSun"/>
                        <w:sz w:val="25"/>
                        <w:szCs w:val="25"/>
                        <w:spacing w:val="1"/>
                      </w:rPr>
                      <w:t>上一万元以下的罚款</w:t>
                    </w:r>
                  </w:p>
                  <w:p>
                    <w:pPr>
                      <w:ind w:left="20"/>
                      <w:spacing w:before="167" w:line="218" w:lineRule="auto"/>
                      <w:rPr>
                        <w:rFonts w:ascii="SimSun" w:hAnsi="SimSun" w:eastAsia="SimSun" w:cs="SimSun"/>
                        <w:sz w:val="25"/>
                        <w:szCs w:val="25"/>
                      </w:rPr>
                    </w:pPr>
                    <w:r>
                      <w:rPr>
                        <w:rFonts w:ascii="SimSun" w:hAnsi="SimSun" w:eastAsia="SimSun" w:cs="SimSun"/>
                        <w:sz w:val="25"/>
                        <w:szCs w:val="25"/>
                      </w:rPr>
                      <w:t>给予警告，责令限期改正；并处一万元的</w:t>
                    </w:r>
                  </w:p>
                  <w:p>
                    <w:pPr>
                      <w:ind w:left="20"/>
                      <w:spacing w:before="48" w:line="221" w:lineRule="auto"/>
                      <w:rPr>
                        <w:rFonts w:ascii="SimSun" w:hAnsi="SimSun" w:eastAsia="SimSun" w:cs="SimSun"/>
                        <w:sz w:val="25"/>
                        <w:szCs w:val="25"/>
                      </w:rPr>
                    </w:pPr>
                    <w:r>
                      <w:rPr>
                        <w:rFonts w:ascii="SimSun" w:hAnsi="SimSun" w:eastAsia="SimSun" w:cs="SimSun"/>
                        <w:sz w:val="25"/>
                        <w:szCs w:val="25"/>
                        <w:color w:val="505050"/>
                        <w:spacing w:val="5"/>
                      </w:rPr>
                      <w:t>罚款</w:t>
                    </w:r>
                  </w:p>
                </w:txbxContent>
              </v:textbox>
            </v:shape>
            <v:shape id="_x0000_s60" style="position:absolute;left:378;top:292;width:1030;height:1139;" filled="false" stroked="false" type="#_x0000_t202">
              <v:fill on="false"/>
              <v:stroke on="false"/>
              <v:path/>
              <v:imagedata o:title=""/>
              <o:lock v:ext="edit" aspectratio="false"/>
              <v:textbox inset="0mm,0mm,0mm,0mm">
                <w:txbxContent>
                  <w:p>
                    <w:pPr>
                      <w:ind w:left="270"/>
                      <w:spacing w:before="20" w:line="220" w:lineRule="auto"/>
                      <w:rPr>
                        <w:rFonts w:ascii="SimSun" w:hAnsi="SimSun" w:eastAsia="SimSun" w:cs="SimSun"/>
                        <w:sz w:val="25"/>
                        <w:szCs w:val="25"/>
                      </w:rPr>
                    </w:pPr>
                    <w:r>
                      <w:rPr>
                        <w:rFonts w:ascii="SimSun" w:hAnsi="SimSun" w:eastAsia="SimSun" w:cs="SimSun"/>
                        <w:sz w:val="25"/>
                        <w:szCs w:val="25"/>
                        <w:b/>
                        <w:bCs/>
                        <w:spacing w:val="-6"/>
                      </w:rPr>
                      <w:t>严重</w:t>
                    </w:r>
                  </w:p>
                  <w:p>
                    <w:pPr>
                      <w:spacing w:line="467" w:lineRule="auto"/>
                      <w:rPr>
                        <w:rFonts w:ascii="Arial"/>
                        <w:sz w:val="21"/>
                      </w:rPr>
                    </w:pPr>
                    <w:r/>
                  </w:p>
                  <w:p>
                    <w:pPr>
                      <w:ind w:left="20"/>
                      <w:spacing w:before="81" w:line="219" w:lineRule="auto"/>
                      <w:rPr>
                        <w:rFonts w:ascii="SimSun" w:hAnsi="SimSun" w:eastAsia="SimSun" w:cs="SimSun"/>
                        <w:sz w:val="25"/>
                        <w:szCs w:val="25"/>
                      </w:rPr>
                    </w:pPr>
                    <w:r>
                      <w:rPr>
                        <w:rFonts w:ascii="SimSun" w:hAnsi="SimSun" w:eastAsia="SimSun" w:cs="SimSun"/>
                        <w:sz w:val="25"/>
                        <w:szCs w:val="25"/>
                        <w:b/>
                        <w:bCs/>
                        <w:spacing w:val="-5"/>
                      </w:rPr>
                      <w:t>特别严重</w:t>
                    </w:r>
                  </w:p>
                </w:txbxContent>
              </v:textbox>
            </v:shape>
          </v:group>
        </w:pict>
      </w:r>
    </w:p>
    <w:p>
      <w:pPr>
        <w:pStyle w:val="BodyText"/>
        <w:spacing w:line="457" w:lineRule="auto"/>
        <w:rPr/>
      </w:pPr>
      <w:r/>
    </w:p>
    <w:p>
      <w:pPr>
        <w:ind w:left="9" w:right="337" w:firstLine="629"/>
        <w:spacing w:before="97" w:line="270" w:lineRule="auto"/>
        <w:rPr>
          <w:rFonts w:ascii="FangSong" w:hAnsi="FangSong" w:eastAsia="FangSong" w:cs="FangSong"/>
          <w:sz w:val="30"/>
          <w:szCs w:val="30"/>
        </w:rPr>
      </w:pPr>
      <w:r>
        <w:rPr>
          <w:rFonts w:ascii="FangSong" w:hAnsi="FangSong" w:eastAsia="FangSong" w:cs="FangSong"/>
          <w:sz w:val="30"/>
          <w:szCs w:val="30"/>
          <w:b/>
          <w:bCs/>
          <w:spacing w:val="18"/>
        </w:rPr>
        <w:t>第五百六十三条医疗机构将核素显像检查或</w:t>
      </w:r>
      <w:r>
        <w:rPr>
          <w:rFonts w:ascii="FangSong" w:hAnsi="FangSong" w:eastAsia="FangSong" w:cs="FangSong"/>
          <w:sz w:val="30"/>
          <w:szCs w:val="30"/>
          <w:spacing w:val="-73"/>
        </w:rPr>
        <w:t xml:space="preserve"> </w:t>
      </w:r>
      <w:r>
        <w:rPr>
          <w:rFonts w:ascii="Times New Roman" w:hAnsi="Times New Roman" w:eastAsia="Times New Roman" w:cs="Times New Roman"/>
          <w:sz w:val="30"/>
          <w:szCs w:val="30"/>
          <w:b/>
          <w:bCs/>
          <w:spacing w:val="18"/>
        </w:rPr>
        <w:t>X</w:t>
      </w:r>
      <w:r>
        <w:rPr>
          <w:rFonts w:ascii="Times New Roman" w:hAnsi="Times New Roman" w:eastAsia="Times New Roman" w:cs="Times New Roman"/>
          <w:sz w:val="30"/>
          <w:szCs w:val="30"/>
          <w:b/>
          <w:bCs/>
          <w:spacing w:val="26"/>
        </w:rPr>
        <w:t xml:space="preserve">  </w:t>
      </w:r>
      <w:r>
        <w:rPr>
          <w:rFonts w:ascii="FangSong" w:hAnsi="FangSong" w:eastAsia="FangSong" w:cs="FangSong"/>
          <w:sz w:val="30"/>
          <w:szCs w:val="30"/>
          <w:b/>
          <w:bCs/>
          <w:spacing w:val="18"/>
        </w:rPr>
        <w:t>射线胸部检查列入对婴幼儿及少年儿童体检的</w:t>
      </w:r>
      <w:r>
        <w:rPr>
          <w:rFonts w:ascii="FangSong" w:hAnsi="FangSong" w:eastAsia="FangSong" w:cs="FangSong"/>
          <w:sz w:val="30"/>
          <w:szCs w:val="30"/>
          <w:spacing w:val="1"/>
        </w:rPr>
        <w:t xml:space="preserve"> </w:t>
      </w:r>
      <w:r>
        <w:rPr>
          <w:rFonts w:ascii="FangSong" w:hAnsi="FangSong" w:eastAsia="FangSong" w:cs="FangSong"/>
          <w:sz w:val="30"/>
          <w:szCs w:val="30"/>
          <w:b/>
          <w:bCs/>
          <w:spacing w:val="12"/>
        </w:rPr>
        <w:t>常规检查项目的</w:t>
      </w:r>
    </w:p>
    <w:p>
      <w:pPr>
        <w:ind w:left="634"/>
        <w:spacing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5" w:right="182" w:firstLine="629"/>
        <w:spacing w:before="76" w:line="276" w:lineRule="auto"/>
        <w:rPr>
          <w:rFonts w:ascii="FangSong" w:hAnsi="FangSong" w:eastAsia="FangSong" w:cs="FangSong"/>
          <w:sz w:val="30"/>
          <w:szCs w:val="30"/>
        </w:rPr>
      </w:pPr>
      <w:r>
        <w:rPr>
          <w:rFonts w:ascii="FangSong" w:hAnsi="FangSong" w:eastAsia="FangSong" w:cs="FangSong"/>
          <w:sz w:val="30"/>
          <w:szCs w:val="30"/>
          <w:spacing w:val="20"/>
        </w:rPr>
        <w:t>1.</w:t>
      </w:r>
      <w:r>
        <w:rPr>
          <w:rFonts w:ascii="FangSong" w:hAnsi="FangSong" w:eastAsia="FangSong" w:cs="FangSong"/>
          <w:sz w:val="30"/>
          <w:szCs w:val="30"/>
          <w:spacing w:val="20"/>
        </w:rPr>
        <w:t xml:space="preserve"> </w:t>
      </w:r>
      <w:r>
        <w:rPr>
          <w:rFonts w:ascii="FangSong" w:hAnsi="FangSong" w:eastAsia="FangSong" w:cs="FangSong"/>
          <w:sz w:val="30"/>
          <w:szCs w:val="30"/>
          <w:spacing w:val="20"/>
        </w:rPr>
        <w:t>《放射诊疗管理规定》第四十一条第(七)项</w:t>
      </w:r>
      <w:r>
        <w:rPr>
          <w:rFonts w:ascii="FangSong" w:hAnsi="FangSong" w:eastAsia="FangSong" w:cs="FangSong"/>
          <w:sz w:val="30"/>
          <w:szCs w:val="30"/>
          <w:spacing w:val="20"/>
        </w:rPr>
        <w:t xml:space="preserve">   </w:t>
      </w:r>
      <w:r>
        <w:rPr>
          <w:rFonts w:ascii="FangSong" w:hAnsi="FangSong" w:eastAsia="FangSong" w:cs="FangSong"/>
          <w:sz w:val="30"/>
          <w:szCs w:val="30"/>
          <w:spacing w:val="20"/>
        </w:rPr>
        <w:t>医疗机构违反本规定，有下列行为之一的，</w:t>
      </w:r>
      <w:r>
        <w:rPr>
          <w:rFonts w:ascii="FangSong" w:hAnsi="FangSong" w:eastAsia="FangSong" w:cs="FangSong"/>
          <w:sz w:val="30"/>
          <w:szCs w:val="30"/>
        </w:rPr>
        <w:t xml:space="preserve"> </w:t>
      </w:r>
      <w:r>
        <w:rPr>
          <w:rFonts w:ascii="FangSong" w:hAnsi="FangSong" w:eastAsia="FangSong" w:cs="FangSong"/>
          <w:sz w:val="30"/>
          <w:szCs w:val="30"/>
          <w:spacing w:val="17"/>
        </w:rPr>
        <w:t>由县级以上卫生行政部门给予警告，责令限期改正；并可处一万</w:t>
      </w:r>
      <w:r>
        <w:rPr>
          <w:rFonts w:ascii="FangSong" w:hAnsi="FangSong" w:eastAsia="FangSong" w:cs="FangSong"/>
          <w:sz w:val="30"/>
          <w:szCs w:val="30"/>
          <w:spacing w:val="16"/>
        </w:rPr>
        <w:t>元以下的罚款：</w:t>
      </w:r>
    </w:p>
    <w:p>
      <w:pPr>
        <w:ind w:left="774"/>
        <w:spacing w:before="3" w:line="222" w:lineRule="auto"/>
        <w:rPr>
          <w:rFonts w:ascii="FangSong" w:hAnsi="FangSong" w:eastAsia="FangSong" w:cs="FangSong"/>
          <w:sz w:val="30"/>
          <w:szCs w:val="30"/>
        </w:rPr>
      </w:pPr>
      <w:r>
        <w:rPr>
          <w:rFonts w:ascii="FangSong" w:hAnsi="FangSong" w:eastAsia="FangSong" w:cs="FangSong"/>
          <w:sz w:val="30"/>
          <w:szCs w:val="30"/>
          <w:spacing w:val="27"/>
        </w:rPr>
        <w:t>(七)违反本规定的其他情形。</w:t>
      </w:r>
    </w:p>
    <w:p>
      <w:pPr>
        <w:ind w:left="5" w:right="79" w:firstLine="629"/>
        <w:spacing w:before="66" w:line="265" w:lineRule="auto"/>
        <w:jc w:val="both"/>
        <w:rPr>
          <w:rFonts w:ascii="FangSong" w:hAnsi="FangSong" w:eastAsia="FangSong" w:cs="FangSong"/>
          <w:sz w:val="30"/>
          <w:szCs w:val="30"/>
        </w:rPr>
      </w:pPr>
      <w:r>
        <w:rPr>
          <w:rFonts w:ascii="FangSong" w:hAnsi="FangSong" w:eastAsia="FangSong" w:cs="FangSong"/>
          <w:sz w:val="30"/>
          <w:szCs w:val="30"/>
          <w:spacing w:val="22"/>
        </w:rPr>
        <w:t>2.</w:t>
      </w:r>
      <w:r>
        <w:rPr>
          <w:rFonts w:ascii="FangSong" w:hAnsi="FangSong" w:eastAsia="FangSong" w:cs="FangSong"/>
          <w:sz w:val="30"/>
          <w:szCs w:val="30"/>
          <w:spacing w:val="22"/>
        </w:rPr>
        <w:t xml:space="preserve"> </w:t>
      </w:r>
      <w:r>
        <w:rPr>
          <w:rFonts w:ascii="FangSong" w:hAnsi="FangSong" w:eastAsia="FangSong" w:cs="FangSong"/>
          <w:sz w:val="30"/>
          <w:szCs w:val="30"/>
          <w:spacing w:val="22"/>
        </w:rPr>
        <w:t>《放射诊疗管理规定》第二十六条第(二)项</w:t>
      </w:r>
      <w:r>
        <w:rPr>
          <w:rFonts w:ascii="FangSong" w:hAnsi="FangSong" w:eastAsia="FangSong" w:cs="FangSong"/>
          <w:sz w:val="30"/>
          <w:szCs w:val="30"/>
          <w:spacing w:val="22"/>
        </w:rPr>
        <w:t xml:space="preserve">   </w:t>
      </w:r>
      <w:r>
        <w:rPr>
          <w:rFonts w:ascii="FangSong" w:hAnsi="FangSong" w:eastAsia="FangSong" w:cs="FangSong"/>
          <w:sz w:val="30"/>
          <w:szCs w:val="30"/>
          <w:spacing w:val="22"/>
        </w:rPr>
        <w:t>医疗机构在实施放</w:t>
      </w:r>
      <w:r>
        <w:rPr>
          <w:rFonts w:ascii="FangSong" w:hAnsi="FangSong" w:eastAsia="FangSong" w:cs="FangSong"/>
          <w:sz w:val="30"/>
          <w:szCs w:val="30"/>
          <w:spacing w:val="21"/>
        </w:rPr>
        <w:t>射诊断检查前应当对不同</w:t>
      </w:r>
      <w:r>
        <w:rPr>
          <w:rFonts w:ascii="FangSong" w:hAnsi="FangSong" w:eastAsia="FangSong" w:cs="FangSong"/>
          <w:sz w:val="30"/>
          <w:szCs w:val="30"/>
        </w:rPr>
        <w:t xml:space="preserve"> </w:t>
      </w:r>
      <w:r>
        <w:rPr>
          <w:rFonts w:ascii="FangSong" w:hAnsi="FangSong" w:eastAsia="FangSong" w:cs="FangSong"/>
          <w:sz w:val="30"/>
          <w:szCs w:val="30"/>
          <w:spacing w:val="17"/>
        </w:rPr>
        <w:t>检查方法进行利弊分析，在保证诊断效果的前提下，优先采用对</w:t>
      </w:r>
      <w:r>
        <w:rPr>
          <w:rFonts w:ascii="FangSong" w:hAnsi="FangSong" w:eastAsia="FangSong" w:cs="FangSong"/>
          <w:sz w:val="30"/>
          <w:szCs w:val="30"/>
          <w:spacing w:val="16"/>
        </w:rPr>
        <w:t>人体健康影响较小的诊断技术。实施</w:t>
      </w:r>
      <w:r>
        <w:rPr>
          <w:rFonts w:ascii="FangSong" w:hAnsi="FangSong" w:eastAsia="FangSong" w:cs="FangSong"/>
          <w:sz w:val="30"/>
          <w:szCs w:val="30"/>
        </w:rPr>
        <w:t xml:space="preserve"> </w:t>
      </w:r>
      <w:r>
        <w:rPr>
          <w:rFonts w:ascii="FangSong" w:hAnsi="FangSong" w:eastAsia="FangSong" w:cs="FangSong"/>
          <w:sz w:val="30"/>
          <w:szCs w:val="30"/>
          <w:spacing w:val="10"/>
        </w:rPr>
        <w:t>检查应当遵守下列规定：</w:t>
      </w:r>
    </w:p>
    <w:p>
      <w:pPr>
        <w:ind w:left="774"/>
        <w:spacing w:line="220" w:lineRule="auto"/>
        <w:rPr>
          <w:rFonts w:ascii="FangSong" w:hAnsi="FangSong" w:eastAsia="FangSong" w:cs="FangSong"/>
          <w:sz w:val="30"/>
          <w:szCs w:val="30"/>
        </w:rPr>
      </w:pPr>
      <w:r>
        <w:rPr>
          <w:rFonts w:ascii="FangSong" w:hAnsi="FangSong" w:eastAsia="FangSong" w:cs="FangSong"/>
          <w:sz w:val="30"/>
          <w:szCs w:val="30"/>
          <w:spacing w:val="22"/>
        </w:rPr>
        <w:t>(二)不得将核素显像检查和</w:t>
      </w:r>
      <w:r>
        <w:rPr>
          <w:rFonts w:ascii="Times New Roman" w:hAnsi="Times New Roman" w:eastAsia="Times New Roman" w:cs="Times New Roman"/>
          <w:sz w:val="30"/>
          <w:szCs w:val="30"/>
          <w:spacing w:val="22"/>
        </w:rPr>
        <w:t>X  </w:t>
      </w:r>
      <w:r>
        <w:rPr>
          <w:rFonts w:ascii="FangSong" w:hAnsi="FangSong" w:eastAsia="FangSong" w:cs="FangSong"/>
          <w:sz w:val="30"/>
          <w:szCs w:val="30"/>
          <w:spacing w:val="22"/>
        </w:rPr>
        <w:t>射线胸部检查列入对婴幼儿及</w:t>
      </w:r>
      <w:r>
        <w:rPr>
          <w:rFonts w:ascii="FangSong" w:hAnsi="FangSong" w:eastAsia="FangSong" w:cs="FangSong"/>
          <w:sz w:val="30"/>
          <w:szCs w:val="30"/>
          <w:spacing w:val="21"/>
        </w:rPr>
        <w:t>少年儿童体检的常规检查项目。</w:t>
      </w:r>
    </w:p>
    <w:p>
      <w:pPr>
        <w:pStyle w:val="BodyText"/>
        <w:spacing w:line="249" w:lineRule="auto"/>
        <w:rPr/>
      </w:pPr>
      <w:r/>
    </w:p>
    <w:p>
      <w:pPr>
        <w:pStyle w:val="BodyText"/>
        <w:spacing w:line="250" w:lineRule="auto"/>
        <w:rPr/>
      </w:pPr>
      <w:r/>
    </w:p>
    <w:p>
      <w:pPr>
        <w:pStyle w:val="BodyText"/>
        <w:spacing w:line="250" w:lineRule="auto"/>
        <w:rPr/>
      </w:pPr>
      <w:r/>
    </w:p>
    <w:p>
      <w:pPr>
        <w:ind w:left="6419"/>
        <w:spacing w:before="98" w:line="221" w:lineRule="auto"/>
        <w:rPr>
          <w:rFonts w:ascii="SimHei" w:hAnsi="SimHei" w:eastAsia="SimHei" w:cs="SimHei"/>
          <w:sz w:val="30"/>
          <w:szCs w:val="30"/>
        </w:rPr>
      </w:pPr>
      <w:r>
        <w:rPr>
          <w:rFonts w:ascii="SimHei" w:hAnsi="SimHei" w:eastAsia="SimHei" w:cs="SimHei"/>
          <w:sz w:val="30"/>
          <w:szCs w:val="30"/>
          <w:b/>
          <w:bCs/>
          <w:spacing w:val="-17"/>
        </w:rPr>
        <w:t>裁量标准</w:t>
      </w:r>
    </w:p>
    <w:p>
      <w:pPr>
        <w:pStyle w:val="BodyText"/>
        <w:spacing w:line="271"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6345"/>
        <w:spacing w:before="104" w:line="188"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1"/>
        </w:rPr>
        <w:t>—666—</w:t>
      </w:r>
    </w:p>
    <w:p>
      <w:pPr>
        <w:spacing w:line="188" w:lineRule="auto"/>
        <w:sectPr>
          <w:footerReference w:type="default" r:id="rId24"/>
          <w:pgSz w:w="16830" w:h="11900"/>
          <w:pgMar w:top="1011" w:right="1377" w:bottom="400" w:left="1434" w:header="0" w:footer="0" w:gutter="0"/>
        </w:sectPr>
        <w:rPr>
          <w:rFonts w:ascii="Times New Roman" w:hAnsi="Times New Roman" w:eastAsia="Times New Roman" w:cs="Times New Roman"/>
          <w:sz w:val="36"/>
          <w:szCs w:val="36"/>
        </w:rPr>
      </w:pPr>
    </w:p>
    <w:p>
      <w:pPr>
        <w:spacing w:before="17"/>
        <w:rPr/>
      </w:pPr>
      <w:r/>
    </w:p>
    <w:p>
      <w:pPr>
        <w:spacing w:before="16"/>
        <w:rPr/>
      </w:pPr>
      <w:r/>
    </w:p>
    <w:p>
      <w:pPr>
        <w:spacing w:before="16"/>
        <w:rPr/>
      </w:pPr>
      <w:r/>
    </w:p>
    <w:tbl>
      <w:tblPr>
        <w:tblStyle w:val="TableNormal"/>
        <w:tblW w:w="139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4"/>
        <w:gridCol w:w="7554"/>
        <w:gridCol w:w="4632"/>
      </w:tblGrid>
      <w:tr>
        <w:trPr>
          <w:trHeight w:val="533" w:hRule="atLeast"/>
        </w:trPr>
        <w:tc>
          <w:tcPr>
            <w:tcW w:w="1804" w:type="dxa"/>
            <w:vAlign w:val="top"/>
          </w:tcPr>
          <w:p>
            <w:pPr>
              <w:pStyle w:val="TableText"/>
              <w:ind w:left="398"/>
              <w:spacing w:before="142" w:line="220" w:lineRule="auto"/>
              <w:rPr>
                <w:sz w:val="25"/>
                <w:szCs w:val="25"/>
              </w:rPr>
            </w:pPr>
            <w:bookmarkStart w:name="bookmark1218" w:id="595"/>
            <w:bookmarkEnd w:id="595"/>
            <w:r>
              <w:rPr>
                <w:sz w:val="25"/>
                <w:szCs w:val="25"/>
                <w:b/>
                <w:bCs/>
                <w:spacing w:val="-5"/>
              </w:rPr>
              <w:t>违法程度</w:t>
            </w:r>
          </w:p>
        </w:tc>
        <w:tc>
          <w:tcPr>
            <w:tcW w:w="7554" w:type="dxa"/>
            <w:vAlign w:val="top"/>
          </w:tcPr>
          <w:p>
            <w:pPr>
              <w:pStyle w:val="TableText"/>
              <w:ind w:left="3274"/>
              <w:spacing w:before="142" w:line="220" w:lineRule="auto"/>
              <w:rPr>
                <w:sz w:val="25"/>
                <w:szCs w:val="25"/>
              </w:rPr>
            </w:pPr>
            <w:r>
              <w:rPr>
                <w:sz w:val="25"/>
                <w:szCs w:val="25"/>
                <w:b/>
                <w:bCs/>
                <w:spacing w:val="-5"/>
              </w:rPr>
              <w:t>情节后果</w:t>
            </w:r>
          </w:p>
        </w:tc>
        <w:tc>
          <w:tcPr>
            <w:tcW w:w="4632" w:type="dxa"/>
            <w:vAlign w:val="top"/>
          </w:tcPr>
          <w:p>
            <w:pPr>
              <w:pStyle w:val="TableText"/>
              <w:ind w:left="1810"/>
              <w:spacing w:before="139" w:line="218" w:lineRule="auto"/>
              <w:rPr>
                <w:sz w:val="25"/>
                <w:szCs w:val="25"/>
              </w:rPr>
            </w:pPr>
            <w:r>
              <w:rPr>
                <w:sz w:val="25"/>
                <w:szCs w:val="25"/>
                <w:b/>
                <w:bCs/>
                <w:spacing w:val="-5"/>
              </w:rPr>
              <w:t>裁量幅度</w:t>
            </w:r>
          </w:p>
        </w:tc>
      </w:tr>
      <w:tr>
        <w:trPr>
          <w:trHeight w:val="856" w:hRule="atLeast"/>
        </w:trPr>
        <w:tc>
          <w:tcPr>
            <w:tcW w:w="1804" w:type="dxa"/>
            <w:vAlign w:val="top"/>
          </w:tcPr>
          <w:p>
            <w:pPr>
              <w:pStyle w:val="TableText"/>
              <w:ind w:left="648"/>
              <w:spacing w:before="309" w:line="220" w:lineRule="auto"/>
              <w:rPr>
                <w:sz w:val="25"/>
                <w:szCs w:val="25"/>
              </w:rPr>
            </w:pPr>
            <w:r>
              <w:rPr>
                <w:sz w:val="25"/>
                <w:szCs w:val="25"/>
                <w:b/>
                <w:bCs/>
                <w:spacing w:val="-6"/>
              </w:rPr>
              <w:t>严重</w:t>
            </w:r>
          </w:p>
        </w:tc>
        <w:tc>
          <w:tcPr>
            <w:tcW w:w="7554" w:type="dxa"/>
            <w:vAlign w:val="top"/>
          </w:tcPr>
          <w:p>
            <w:pPr>
              <w:pStyle w:val="TableText"/>
              <w:ind w:left="101" w:right="81" w:hanging="20"/>
              <w:spacing w:before="170" w:line="232" w:lineRule="auto"/>
              <w:rPr>
                <w:sz w:val="25"/>
                <w:szCs w:val="25"/>
              </w:rPr>
            </w:pPr>
            <w:r>
              <w:rPr>
                <w:sz w:val="25"/>
                <w:szCs w:val="25"/>
              </w:rPr>
              <w:t>医疗机构将核素显像检查或X射线胸部检查列入对婴幼儿及少年儿童</w:t>
            </w:r>
            <w:r>
              <w:rPr>
                <w:sz w:val="25"/>
                <w:szCs w:val="25"/>
                <w:spacing w:val="5"/>
              </w:rPr>
              <w:t xml:space="preserve"> </w:t>
            </w:r>
            <w:r>
              <w:rPr>
                <w:sz w:val="25"/>
                <w:szCs w:val="25"/>
                <w:spacing w:val="1"/>
              </w:rPr>
              <w:t>体检的常规检查项目，未造成严重后果的</w:t>
            </w:r>
          </w:p>
        </w:tc>
        <w:tc>
          <w:tcPr>
            <w:tcW w:w="4632" w:type="dxa"/>
            <w:vAlign w:val="top"/>
          </w:tcPr>
          <w:p>
            <w:pPr>
              <w:pStyle w:val="TableText"/>
              <w:ind w:left="127" w:right="42" w:hanging="70"/>
              <w:spacing w:before="160" w:line="248" w:lineRule="auto"/>
              <w:rPr>
                <w:sz w:val="25"/>
                <w:szCs w:val="25"/>
              </w:rPr>
            </w:pPr>
            <w:r>
              <w:rPr>
                <w:sz w:val="25"/>
                <w:szCs w:val="25"/>
                <w:spacing w:val="1"/>
              </w:rPr>
              <w:t>给予警告，责令限期改正；并处7000元以 </w:t>
            </w:r>
            <w:r>
              <w:rPr>
                <w:sz w:val="25"/>
                <w:szCs w:val="25"/>
                <w:spacing w:val="1"/>
              </w:rPr>
              <w:t>上一万元以下的罚款</w:t>
            </w:r>
          </w:p>
        </w:tc>
      </w:tr>
      <w:tr>
        <w:trPr>
          <w:trHeight w:val="841" w:hRule="atLeast"/>
        </w:trPr>
        <w:tc>
          <w:tcPr>
            <w:tcW w:w="1804" w:type="dxa"/>
            <w:vAlign w:val="top"/>
          </w:tcPr>
          <w:p>
            <w:pPr>
              <w:pStyle w:val="TableText"/>
              <w:ind w:left="398"/>
              <w:spacing w:before="302" w:line="219" w:lineRule="auto"/>
              <w:rPr>
                <w:sz w:val="25"/>
                <w:szCs w:val="25"/>
              </w:rPr>
            </w:pPr>
            <w:r>
              <w:rPr>
                <w:sz w:val="25"/>
                <w:szCs w:val="25"/>
                <w:b/>
                <w:bCs/>
                <w:spacing w:val="-5"/>
              </w:rPr>
              <w:t>特别严重</w:t>
            </w:r>
          </w:p>
        </w:tc>
        <w:tc>
          <w:tcPr>
            <w:tcW w:w="7554" w:type="dxa"/>
            <w:vAlign w:val="top"/>
          </w:tcPr>
          <w:p>
            <w:pPr>
              <w:pStyle w:val="TableText"/>
              <w:ind w:left="101" w:right="95" w:hanging="20"/>
              <w:spacing w:before="145" w:line="253" w:lineRule="auto"/>
              <w:rPr>
                <w:sz w:val="25"/>
                <w:szCs w:val="25"/>
              </w:rPr>
            </w:pPr>
            <w:r>
              <w:rPr>
                <w:sz w:val="25"/>
                <w:szCs w:val="25"/>
              </w:rPr>
              <w:t>将核素显像检查或X射线胸部检查列入对婴幼儿</w:t>
            </w:r>
            <w:r>
              <w:rPr>
                <w:sz w:val="25"/>
                <w:szCs w:val="25"/>
                <w:spacing w:val="-1"/>
              </w:rPr>
              <w:t>及少年儿童体检的常</w:t>
            </w:r>
            <w:r>
              <w:rPr>
                <w:sz w:val="25"/>
                <w:szCs w:val="25"/>
              </w:rPr>
              <w:t xml:space="preserve"> </w:t>
            </w:r>
            <w:r>
              <w:rPr>
                <w:sz w:val="25"/>
                <w:szCs w:val="25"/>
                <w:spacing w:val="1"/>
              </w:rPr>
              <w:t>规检查项目，造成严重后果的</w:t>
            </w:r>
          </w:p>
        </w:tc>
        <w:tc>
          <w:tcPr>
            <w:tcW w:w="4632" w:type="dxa"/>
            <w:vAlign w:val="top"/>
          </w:tcPr>
          <w:p>
            <w:pPr>
              <w:pStyle w:val="TableText"/>
              <w:ind w:left="57"/>
              <w:spacing w:before="144" w:line="218" w:lineRule="auto"/>
              <w:rPr>
                <w:sz w:val="25"/>
                <w:szCs w:val="25"/>
              </w:rPr>
            </w:pPr>
            <w:r>
              <w:rPr>
                <w:sz w:val="25"/>
                <w:szCs w:val="25"/>
                <w:spacing w:val="1"/>
              </w:rPr>
              <w:t>给予警告，责令限期改正；并处一万元的</w:t>
            </w:r>
          </w:p>
          <w:p>
            <w:pPr>
              <w:pStyle w:val="TableText"/>
              <w:ind w:left="137"/>
              <w:spacing w:before="58" w:line="221" w:lineRule="auto"/>
              <w:rPr>
                <w:sz w:val="25"/>
                <w:szCs w:val="25"/>
              </w:rPr>
            </w:pPr>
            <w:r>
              <w:rPr>
                <w:sz w:val="25"/>
                <w:szCs w:val="25"/>
                <w:color w:val="403040"/>
                <w:spacing w:val="5"/>
              </w:rPr>
              <w:t>罚款</w:t>
            </w:r>
          </w:p>
        </w:tc>
      </w:tr>
    </w:tbl>
    <w:p>
      <w:pPr>
        <w:pStyle w:val="BodyText"/>
        <w:spacing w:line="446" w:lineRule="auto"/>
        <w:rPr/>
      </w:pPr>
      <w:r/>
    </w:p>
    <w:p>
      <w:pPr>
        <w:ind w:left="63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第五百六十四条未按国家有关规定检验或校准用于放射防护和质量控制的检测仪表的</w:t>
      </w:r>
    </w:p>
    <w:p>
      <w:pPr>
        <w:ind w:left="634"/>
        <w:spacing w:before="9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25" w:right="164" w:firstLine="609"/>
        <w:spacing w:before="76" w:line="276" w:lineRule="auto"/>
        <w:rPr>
          <w:rFonts w:ascii="FangSong" w:hAnsi="FangSong" w:eastAsia="FangSong" w:cs="FangSong"/>
          <w:sz w:val="30"/>
          <w:szCs w:val="30"/>
        </w:rPr>
      </w:pPr>
      <w:r>
        <w:rPr>
          <w:rFonts w:ascii="FangSong" w:hAnsi="FangSong" w:eastAsia="FangSong" w:cs="FangSong"/>
          <w:sz w:val="30"/>
          <w:szCs w:val="30"/>
          <w:spacing w:val="20"/>
        </w:rPr>
        <w:t>1.</w:t>
      </w:r>
      <w:r>
        <w:rPr>
          <w:rFonts w:ascii="FangSong" w:hAnsi="FangSong" w:eastAsia="FangSong" w:cs="FangSong"/>
          <w:sz w:val="30"/>
          <w:szCs w:val="30"/>
          <w:spacing w:val="20"/>
        </w:rPr>
        <w:t xml:space="preserve"> </w:t>
      </w:r>
      <w:r>
        <w:rPr>
          <w:rFonts w:ascii="FangSong" w:hAnsi="FangSong" w:eastAsia="FangSong" w:cs="FangSong"/>
          <w:sz w:val="30"/>
          <w:szCs w:val="30"/>
          <w:spacing w:val="20"/>
        </w:rPr>
        <w:t>《放射诊疗管理规定》第四十一条第(七)项</w:t>
      </w:r>
      <w:r>
        <w:rPr>
          <w:rFonts w:ascii="FangSong" w:hAnsi="FangSong" w:eastAsia="FangSong" w:cs="FangSong"/>
          <w:sz w:val="30"/>
          <w:szCs w:val="30"/>
          <w:spacing w:val="20"/>
        </w:rPr>
        <w:t xml:space="preserve">   </w:t>
      </w:r>
      <w:r>
        <w:rPr>
          <w:rFonts w:ascii="FangSong" w:hAnsi="FangSong" w:eastAsia="FangSong" w:cs="FangSong"/>
          <w:sz w:val="30"/>
          <w:szCs w:val="30"/>
          <w:spacing w:val="20"/>
        </w:rPr>
        <w:t>医疗机构违反本规定，有下列行为之一的，</w:t>
      </w:r>
      <w:r>
        <w:rPr>
          <w:rFonts w:ascii="FangSong" w:hAnsi="FangSong" w:eastAsia="FangSong" w:cs="FangSong"/>
          <w:sz w:val="30"/>
          <w:szCs w:val="30"/>
        </w:rPr>
        <w:t xml:space="preserve"> </w:t>
      </w:r>
      <w:r>
        <w:rPr>
          <w:rFonts w:ascii="FangSong" w:hAnsi="FangSong" w:eastAsia="FangSong" w:cs="FangSong"/>
          <w:sz w:val="30"/>
          <w:szCs w:val="30"/>
          <w:spacing w:val="17"/>
        </w:rPr>
        <w:t>由县级以上卫生行政部门给予警告，责令限期改正；并可处一万</w:t>
      </w:r>
      <w:r>
        <w:rPr>
          <w:rFonts w:ascii="FangSong" w:hAnsi="FangSong" w:eastAsia="FangSong" w:cs="FangSong"/>
          <w:sz w:val="30"/>
          <w:szCs w:val="30"/>
          <w:spacing w:val="16"/>
        </w:rPr>
        <w:t>元以下的罚款：</w:t>
      </w:r>
    </w:p>
    <w:p>
      <w:pPr>
        <w:ind w:left="774"/>
        <w:spacing w:before="3" w:line="222" w:lineRule="auto"/>
        <w:rPr>
          <w:rFonts w:ascii="FangSong" w:hAnsi="FangSong" w:eastAsia="FangSong" w:cs="FangSong"/>
          <w:sz w:val="30"/>
          <w:szCs w:val="30"/>
        </w:rPr>
      </w:pPr>
      <w:r>
        <w:rPr>
          <w:rFonts w:ascii="FangSong" w:hAnsi="FangSong" w:eastAsia="FangSong" w:cs="FangSong"/>
          <w:sz w:val="30"/>
          <w:szCs w:val="30"/>
          <w:spacing w:val="27"/>
        </w:rPr>
        <w:t>(七)违反本规定的其他情形。</w:t>
      </w:r>
    </w:p>
    <w:p>
      <w:pPr>
        <w:ind w:left="15" w:right="108" w:firstLine="619"/>
        <w:spacing w:before="66" w:line="265" w:lineRule="auto"/>
        <w:rPr>
          <w:rFonts w:ascii="FangSong" w:hAnsi="FangSong" w:eastAsia="FangSong" w:cs="FangSong"/>
          <w:sz w:val="30"/>
          <w:szCs w:val="30"/>
        </w:rPr>
      </w:pPr>
      <w:r>
        <w:rPr>
          <w:rFonts w:ascii="FangSong" w:hAnsi="FangSong" w:eastAsia="FangSong" w:cs="FangSong"/>
          <w:sz w:val="30"/>
          <w:szCs w:val="30"/>
          <w:spacing w:val="20"/>
        </w:rPr>
        <w:t>2.</w:t>
      </w:r>
      <w:r>
        <w:rPr>
          <w:rFonts w:ascii="FangSong" w:hAnsi="FangSong" w:eastAsia="FangSong" w:cs="FangSong"/>
          <w:sz w:val="30"/>
          <w:szCs w:val="30"/>
          <w:spacing w:val="20"/>
        </w:rPr>
        <w:t xml:space="preserve"> </w:t>
      </w:r>
      <w:r>
        <w:rPr>
          <w:rFonts w:ascii="FangSong" w:hAnsi="FangSong" w:eastAsia="FangSong" w:cs="FangSong"/>
          <w:sz w:val="30"/>
          <w:szCs w:val="30"/>
          <w:spacing w:val="20"/>
        </w:rPr>
        <w:t>《放射诊疗管理规定》第二十条第(三)项</w:t>
      </w:r>
      <w:r>
        <w:rPr>
          <w:rFonts w:ascii="FangSong" w:hAnsi="FangSong" w:eastAsia="FangSong" w:cs="FangSong"/>
          <w:sz w:val="30"/>
          <w:szCs w:val="30"/>
          <w:spacing w:val="40"/>
        </w:rPr>
        <w:t xml:space="preserve">   </w:t>
      </w:r>
      <w:r>
        <w:rPr>
          <w:rFonts w:ascii="FangSong" w:hAnsi="FangSong" w:eastAsia="FangSong" w:cs="FangSong"/>
          <w:sz w:val="30"/>
          <w:szCs w:val="30"/>
          <w:spacing w:val="20"/>
        </w:rPr>
        <w:t>医疗机构的放射诊疗设备和检测仪表</w:t>
      </w:r>
      <w:r>
        <w:rPr>
          <w:rFonts w:ascii="FangSong" w:hAnsi="FangSong" w:eastAsia="FangSong" w:cs="FangSong"/>
          <w:sz w:val="30"/>
          <w:szCs w:val="30"/>
          <w:spacing w:val="19"/>
        </w:rPr>
        <w:t>，应当符</w:t>
      </w:r>
      <w:r>
        <w:rPr>
          <w:rFonts w:ascii="FangSong" w:hAnsi="FangSong" w:eastAsia="FangSong" w:cs="FangSong"/>
          <w:sz w:val="30"/>
          <w:szCs w:val="30"/>
        </w:rPr>
        <w:t xml:space="preserve"> </w:t>
      </w:r>
      <w:r>
        <w:rPr>
          <w:rFonts w:ascii="FangSong" w:hAnsi="FangSong" w:eastAsia="FangSong" w:cs="FangSong"/>
          <w:sz w:val="30"/>
          <w:szCs w:val="30"/>
          <w:spacing w:val="6"/>
        </w:rPr>
        <w:t>合下列要求：</w:t>
      </w:r>
    </w:p>
    <w:p>
      <w:pPr>
        <w:ind w:left="795"/>
        <w:spacing w:line="220" w:lineRule="auto"/>
        <w:rPr>
          <w:rFonts w:ascii="FangSong" w:hAnsi="FangSong" w:eastAsia="FangSong" w:cs="FangSong"/>
          <w:sz w:val="30"/>
          <w:szCs w:val="30"/>
        </w:rPr>
      </w:pPr>
      <w:r>
        <w:rPr>
          <w:rFonts w:ascii="FangSong" w:hAnsi="FangSong" w:eastAsia="FangSong" w:cs="FangSong"/>
          <w:sz w:val="30"/>
          <w:szCs w:val="30"/>
          <w:spacing w:val="22"/>
        </w:rPr>
        <w:t>(三)按照国家有关规定检验或者校准用于放射防护和质量控制的检测仪表。</w:t>
      </w:r>
    </w:p>
    <w:p>
      <w:pPr>
        <w:pStyle w:val="BodyText"/>
        <w:spacing w:line="249" w:lineRule="auto"/>
        <w:rPr/>
      </w:pPr>
      <w:r/>
    </w:p>
    <w:p>
      <w:pPr>
        <w:pStyle w:val="BodyText"/>
        <w:spacing w:line="249" w:lineRule="auto"/>
        <w:rPr/>
      </w:pPr>
      <w:r/>
    </w:p>
    <w:p>
      <w:pPr>
        <w:pStyle w:val="BodyText"/>
        <w:spacing w:line="250" w:lineRule="auto"/>
        <w:rPr/>
      </w:pPr>
      <w:r/>
    </w:p>
    <w:p>
      <w:pPr>
        <w:ind w:left="6419"/>
        <w:spacing w:before="9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3" w:lineRule="auto"/>
        <w:rPr>
          <w:rFonts w:ascii="Arial"/>
          <w:sz w:val="2"/>
        </w:rPr>
      </w:pPr>
      <w:r>
        <w:rPr>
          <w:rFonts w:ascii="Arial"/>
          <w:sz w:val="2"/>
        </w:rPr>
      </w:r>
    </w:p>
    <w:tbl>
      <w:tblPr>
        <w:tblStyle w:val="TableNormal"/>
        <w:tblW w:w="139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584"/>
        <w:gridCol w:w="4622"/>
      </w:tblGrid>
      <w:tr>
        <w:trPr>
          <w:trHeight w:val="659" w:hRule="atLeast"/>
        </w:trPr>
        <w:tc>
          <w:tcPr>
            <w:tcW w:w="1784" w:type="dxa"/>
            <w:vAlign w:val="top"/>
          </w:tcPr>
          <w:p>
            <w:pPr>
              <w:pStyle w:val="TableText"/>
              <w:ind w:left="309"/>
              <w:spacing w:before="193" w:line="220" w:lineRule="auto"/>
              <w:rPr>
                <w:sz w:val="29"/>
                <w:szCs w:val="29"/>
              </w:rPr>
            </w:pPr>
            <w:r>
              <w:rPr>
                <w:sz w:val="29"/>
                <w:szCs w:val="29"/>
                <w:b/>
                <w:bCs/>
                <w:spacing w:val="-1"/>
              </w:rPr>
              <w:t>违法程度</w:t>
            </w:r>
          </w:p>
        </w:tc>
        <w:tc>
          <w:tcPr>
            <w:tcW w:w="7584" w:type="dxa"/>
            <w:vAlign w:val="top"/>
          </w:tcPr>
          <w:p>
            <w:pPr>
              <w:pStyle w:val="TableText"/>
              <w:ind w:left="3225"/>
              <w:spacing w:before="193" w:line="220" w:lineRule="auto"/>
              <w:rPr>
                <w:sz w:val="29"/>
                <w:szCs w:val="29"/>
              </w:rPr>
            </w:pPr>
            <w:r>
              <w:rPr>
                <w:sz w:val="29"/>
                <w:szCs w:val="29"/>
                <w:b/>
                <w:bCs/>
                <w:spacing w:val="-1"/>
              </w:rPr>
              <w:t>情节后果</w:t>
            </w:r>
          </w:p>
        </w:tc>
        <w:tc>
          <w:tcPr>
            <w:tcW w:w="4622" w:type="dxa"/>
            <w:vAlign w:val="top"/>
          </w:tcPr>
          <w:p>
            <w:pPr>
              <w:pStyle w:val="TableText"/>
              <w:ind w:left="1741"/>
              <w:spacing w:before="190" w:line="218" w:lineRule="auto"/>
              <w:rPr>
                <w:sz w:val="29"/>
                <w:szCs w:val="29"/>
              </w:rPr>
            </w:pPr>
            <w:r>
              <w:rPr>
                <w:sz w:val="29"/>
                <w:szCs w:val="29"/>
                <w:b/>
                <w:bCs/>
                <w:spacing w:val="-1"/>
              </w:rPr>
              <w:t>裁量幅度</w:t>
            </w:r>
          </w:p>
        </w:tc>
      </w:tr>
    </w:tbl>
    <w:p>
      <w:pPr>
        <w:pStyle w:val="BodyText"/>
        <w:rPr/>
      </w:pPr>
      <w:r/>
    </w:p>
    <w:p>
      <w:pPr>
        <w:sectPr>
          <w:footerReference w:type="default" r:id="rId588"/>
          <w:pgSz w:w="16830" w:h="11900"/>
          <w:pgMar w:top="1011" w:right="1394" w:bottom="1125" w:left="1434" w:header="0" w:footer="783" w:gutter="0"/>
        </w:sectPr>
        <w:rPr/>
      </w:pPr>
    </w:p>
    <w:p>
      <w:pPr>
        <w:spacing w:before="13"/>
        <w:rPr/>
      </w:pPr>
      <w:r/>
    </w:p>
    <w:p>
      <w:pPr>
        <w:spacing w:before="13"/>
        <w:rPr/>
      </w:pPr>
      <w:r/>
    </w:p>
    <w:p>
      <w:pPr>
        <w:spacing w:before="13"/>
        <w:rPr/>
      </w:pPr>
      <w:r/>
    </w:p>
    <w:tbl>
      <w:tblPr>
        <w:tblStyle w:val="TableNormal"/>
        <w:tblW w:w="139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94"/>
        <w:gridCol w:w="7574"/>
        <w:gridCol w:w="4621"/>
      </w:tblGrid>
      <w:tr>
        <w:trPr>
          <w:trHeight w:val="703" w:hRule="atLeast"/>
        </w:trPr>
        <w:tc>
          <w:tcPr>
            <w:tcW w:w="1794" w:type="dxa"/>
            <w:vAlign w:val="top"/>
          </w:tcPr>
          <w:p>
            <w:pPr>
              <w:pStyle w:val="TableText"/>
              <w:ind w:left="648"/>
              <w:spacing w:before="232" w:line="221" w:lineRule="auto"/>
              <w:rPr/>
            </w:pPr>
            <w:r>
              <w:rPr>
                <w:b/>
                <w:bCs/>
                <w:spacing w:val="-10"/>
              </w:rPr>
              <w:t>一般</w:t>
            </w:r>
          </w:p>
        </w:tc>
        <w:tc>
          <w:tcPr>
            <w:tcW w:w="7574" w:type="dxa"/>
            <w:vAlign w:val="top"/>
          </w:tcPr>
          <w:p>
            <w:pPr>
              <w:pStyle w:val="TableText"/>
              <w:ind w:left="120" w:right="223" w:firstLine="9"/>
              <w:spacing w:before="84" w:line="234" w:lineRule="auto"/>
              <w:rPr/>
            </w:pPr>
            <w:r>
              <w:rPr/>
              <w:t>医疗机构未按国家有关规定检验或校准用于放射防护和质量控制的检</w:t>
            </w:r>
            <w:r>
              <w:rPr>
                <w:spacing w:val="9"/>
              </w:rPr>
              <w:t xml:space="preserve"> </w:t>
            </w:r>
            <w:r>
              <w:rPr>
                <w:spacing w:val="1"/>
              </w:rPr>
              <w:t>测仪表，逾期1个月以内的</w:t>
            </w:r>
          </w:p>
        </w:tc>
        <w:tc>
          <w:tcPr>
            <w:tcW w:w="4621" w:type="dxa"/>
            <w:vAlign w:val="top"/>
          </w:tcPr>
          <w:p>
            <w:pPr>
              <w:pStyle w:val="TableText"/>
              <w:ind w:left="126" w:right="152" w:hanging="10"/>
              <w:spacing w:before="81" w:line="235" w:lineRule="auto"/>
              <w:rPr/>
            </w:pPr>
            <w:r>
              <w:rPr>
                <w:spacing w:val="1"/>
              </w:rPr>
              <w:t>给予警告，责令限期改正；可处3000元以</w:t>
            </w:r>
            <w:r>
              <w:rPr/>
              <w:t xml:space="preserve"> </w:t>
            </w:r>
            <w:r>
              <w:rPr>
                <w:spacing w:val="2"/>
              </w:rPr>
              <w:t>下的罚款</w:t>
            </w:r>
          </w:p>
        </w:tc>
      </w:tr>
      <w:tr>
        <w:trPr>
          <w:trHeight w:val="718" w:hRule="atLeast"/>
        </w:trPr>
        <w:tc>
          <w:tcPr>
            <w:tcW w:w="1794" w:type="dxa"/>
            <w:vAlign w:val="top"/>
          </w:tcPr>
          <w:p>
            <w:pPr>
              <w:pStyle w:val="TableText"/>
              <w:ind w:left="648"/>
              <w:spacing w:before="241" w:line="221" w:lineRule="auto"/>
              <w:rPr/>
            </w:pPr>
            <w:r>
              <w:rPr>
                <w:b/>
                <w:bCs/>
                <w:spacing w:val="-5"/>
              </w:rPr>
              <w:t>较重</w:t>
            </w:r>
          </w:p>
        </w:tc>
        <w:tc>
          <w:tcPr>
            <w:tcW w:w="7574" w:type="dxa"/>
            <w:vAlign w:val="top"/>
          </w:tcPr>
          <w:p>
            <w:pPr>
              <w:pStyle w:val="TableText"/>
              <w:ind w:left="120" w:right="223" w:firstLine="9"/>
              <w:spacing w:before="91" w:line="237" w:lineRule="auto"/>
              <w:rPr/>
            </w:pPr>
            <w:r>
              <w:rPr/>
              <w:t>医疗机构未按国家有关规定检验或校准用于放射防护和质量控制的检</w:t>
            </w:r>
            <w:r>
              <w:rPr>
                <w:spacing w:val="9"/>
              </w:rPr>
              <w:t xml:space="preserve"> </w:t>
            </w:r>
            <w:r>
              <w:rPr>
                <w:spacing w:val="1"/>
              </w:rPr>
              <w:t>测仪表逾期1个月以上3个月以下的</w:t>
            </w:r>
          </w:p>
        </w:tc>
        <w:tc>
          <w:tcPr>
            <w:tcW w:w="4621" w:type="dxa"/>
            <w:vAlign w:val="top"/>
          </w:tcPr>
          <w:p>
            <w:pPr>
              <w:pStyle w:val="TableText"/>
              <w:ind w:left="126" w:right="152" w:hanging="10"/>
              <w:spacing w:before="89" w:line="238" w:lineRule="auto"/>
              <w:rPr/>
            </w:pPr>
            <w:r>
              <w:rPr>
                <w:spacing w:val="1"/>
              </w:rPr>
              <w:t>给予警告，责令限期改正；并处3000元以</w:t>
            </w:r>
            <w:r>
              <w:rPr/>
              <w:t xml:space="preserve"> </w:t>
            </w:r>
            <w:r>
              <w:rPr/>
              <w:t>上7000元以下的罚款</w:t>
            </w:r>
          </w:p>
        </w:tc>
      </w:tr>
      <w:tr>
        <w:trPr>
          <w:trHeight w:val="837" w:hRule="atLeast"/>
        </w:trPr>
        <w:tc>
          <w:tcPr>
            <w:tcW w:w="1794" w:type="dxa"/>
            <w:vAlign w:val="top"/>
          </w:tcPr>
          <w:p>
            <w:pPr>
              <w:pStyle w:val="TableText"/>
              <w:ind w:left="648"/>
              <w:spacing w:before="301" w:line="220" w:lineRule="auto"/>
              <w:rPr/>
            </w:pPr>
            <w:r>
              <w:rPr>
                <w:b/>
                <w:bCs/>
                <w:spacing w:val="-6"/>
              </w:rPr>
              <w:t>严重</w:t>
            </w:r>
          </w:p>
        </w:tc>
        <w:tc>
          <w:tcPr>
            <w:tcW w:w="7574" w:type="dxa"/>
            <w:vAlign w:val="top"/>
          </w:tcPr>
          <w:p>
            <w:pPr>
              <w:pStyle w:val="TableText"/>
              <w:ind w:left="120" w:right="223" w:firstLine="9"/>
              <w:spacing w:before="144" w:line="256" w:lineRule="auto"/>
              <w:rPr/>
            </w:pPr>
            <w:r>
              <w:rPr/>
              <w:t>医疗机构未按国家有关规定检验或校准用于放射防护和质量控制的检</w:t>
            </w:r>
            <w:r>
              <w:rPr>
                <w:spacing w:val="9"/>
              </w:rPr>
              <w:t xml:space="preserve"> </w:t>
            </w:r>
            <w:r>
              <w:rPr>
                <w:spacing w:val="1"/>
              </w:rPr>
              <w:t>测仪表，逾期3个月以上的</w:t>
            </w:r>
          </w:p>
        </w:tc>
        <w:tc>
          <w:tcPr>
            <w:tcW w:w="4621" w:type="dxa"/>
            <w:vAlign w:val="top"/>
          </w:tcPr>
          <w:p>
            <w:pPr>
              <w:pStyle w:val="TableText"/>
              <w:ind w:left="126" w:right="152" w:hanging="10"/>
              <w:spacing w:before="142" w:line="258" w:lineRule="auto"/>
              <w:rPr/>
            </w:pPr>
            <w:r>
              <w:rPr>
                <w:spacing w:val="1"/>
              </w:rPr>
              <w:t>给予警告，责令限期改正；并处7000元以</w:t>
            </w:r>
            <w:r>
              <w:rPr/>
              <w:t xml:space="preserve"> </w:t>
            </w:r>
            <w:r>
              <w:rPr>
                <w:spacing w:val="1"/>
              </w:rPr>
              <w:t>上一万元以下的罚款</w:t>
            </w:r>
          </w:p>
        </w:tc>
      </w:tr>
      <w:tr>
        <w:trPr>
          <w:trHeight w:val="832" w:hRule="atLeast"/>
        </w:trPr>
        <w:tc>
          <w:tcPr>
            <w:tcW w:w="1794" w:type="dxa"/>
            <w:vAlign w:val="top"/>
          </w:tcPr>
          <w:p>
            <w:pPr>
              <w:pStyle w:val="TableText"/>
              <w:ind w:left="408"/>
              <w:spacing w:before="303" w:line="219" w:lineRule="auto"/>
              <w:rPr/>
            </w:pPr>
            <w:r>
              <w:rPr>
                <w:b/>
                <w:bCs/>
                <w:spacing w:val="-5"/>
              </w:rPr>
              <w:t>特别严重</w:t>
            </w:r>
          </w:p>
        </w:tc>
        <w:tc>
          <w:tcPr>
            <w:tcW w:w="7574" w:type="dxa"/>
            <w:vAlign w:val="top"/>
          </w:tcPr>
          <w:p>
            <w:pPr>
              <w:pStyle w:val="TableText"/>
              <w:ind w:left="120" w:right="223" w:firstLine="9"/>
              <w:spacing w:before="156" w:line="256" w:lineRule="auto"/>
              <w:rPr/>
            </w:pPr>
            <w:r>
              <w:rPr/>
              <w:t>医疗机构未按国家有关规定检验或校准用于放射防护和质量控制的检</w:t>
            </w:r>
            <w:r>
              <w:rPr>
                <w:spacing w:val="9"/>
              </w:rPr>
              <w:t xml:space="preserve"> </w:t>
            </w:r>
            <w:r>
              <w:rPr>
                <w:spacing w:val="1"/>
              </w:rPr>
              <w:t>测仪表，造成严重后果的</w:t>
            </w:r>
          </w:p>
        </w:tc>
        <w:tc>
          <w:tcPr>
            <w:tcW w:w="4621" w:type="dxa"/>
            <w:vAlign w:val="top"/>
          </w:tcPr>
          <w:p>
            <w:pPr>
              <w:pStyle w:val="TableText"/>
              <w:ind w:left="127"/>
              <w:spacing w:before="154" w:line="218" w:lineRule="auto"/>
              <w:rPr/>
            </w:pPr>
            <w:r>
              <w:rPr>
                <w:spacing w:val="1"/>
              </w:rPr>
              <w:t>给予警告，责令限期改正；并处一万元的</w:t>
            </w:r>
          </w:p>
          <w:p>
            <w:pPr>
              <w:pStyle w:val="TableText"/>
              <w:ind w:left="127"/>
              <w:spacing w:before="50" w:line="221" w:lineRule="auto"/>
              <w:rPr/>
            </w:pPr>
            <w:r>
              <w:rPr>
                <w:color w:val="403040"/>
                <w:spacing w:val="5"/>
              </w:rPr>
              <w:t>罚款</w:t>
            </w:r>
          </w:p>
        </w:tc>
      </w:tr>
    </w:tbl>
    <w:p>
      <w:pPr>
        <w:pStyle w:val="BodyText"/>
        <w:spacing w:line="466" w:lineRule="auto"/>
        <w:rPr/>
      </w:pPr>
      <w:r/>
    </w:p>
    <w:p>
      <w:pPr>
        <w:ind w:left="659"/>
        <w:spacing w:before="98" w:line="220" w:lineRule="auto"/>
        <w:rPr>
          <w:rFonts w:ascii="FangSong" w:hAnsi="FangSong" w:eastAsia="FangSong" w:cs="FangSong"/>
          <w:sz w:val="30"/>
          <w:szCs w:val="30"/>
        </w:rPr>
      </w:pPr>
      <w:r>
        <w:rPr>
          <w:rFonts w:ascii="FangSong" w:hAnsi="FangSong" w:eastAsia="FangSong" w:cs="FangSong"/>
          <w:sz w:val="30"/>
          <w:szCs w:val="30"/>
          <w:b/>
          <w:bCs/>
          <w:spacing w:val="21"/>
        </w:rPr>
        <w:t>第五百六十五条医疗机构放射诊疗场所和配套设施不符合国家相关标准和规定的</w:t>
      </w:r>
    </w:p>
    <w:p>
      <w:pPr>
        <w:ind w:left="654"/>
        <w:spacing w:before="90" w:line="222" w:lineRule="auto"/>
        <w:rPr>
          <w:rFonts w:ascii="FangSong" w:hAnsi="FangSong" w:eastAsia="FangSong" w:cs="FangSong"/>
          <w:sz w:val="30"/>
          <w:szCs w:val="30"/>
        </w:rPr>
      </w:pPr>
      <w:r>
        <w:rPr>
          <w:rFonts w:ascii="FangSong" w:hAnsi="FangSong" w:eastAsia="FangSong" w:cs="FangSong"/>
          <w:sz w:val="30"/>
          <w:szCs w:val="30"/>
          <w:spacing w:val="6"/>
        </w:rPr>
        <w:t>法律依据：</w:t>
      </w:r>
    </w:p>
    <w:p>
      <w:pPr>
        <w:ind w:left="34" w:right="155" w:firstLine="620"/>
        <w:spacing w:before="66" w:line="271" w:lineRule="auto"/>
        <w:rPr>
          <w:rFonts w:ascii="FangSong" w:hAnsi="FangSong" w:eastAsia="FangSong" w:cs="FangSong"/>
          <w:sz w:val="30"/>
          <w:szCs w:val="30"/>
        </w:rPr>
      </w:pPr>
      <w:r>
        <w:rPr>
          <w:rFonts w:ascii="FangSong" w:hAnsi="FangSong" w:eastAsia="FangSong" w:cs="FangSong"/>
          <w:sz w:val="30"/>
          <w:szCs w:val="30"/>
          <w:spacing w:val="20"/>
        </w:rPr>
        <w:t>1.</w:t>
      </w:r>
      <w:r>
        <w:rPr>
          <w:rFonts w:ascii="FangSong" w:hAnsi="FangSong" w:eastAsia="FangSong" w:cs="FangSong"/>
          <w:sz w:val="30"/>
          <w:szCs w:val="30"/>
          <w:spacing w:val="20"/>
        </w:rPr>
        <w:t xml:space="preserve"> </w:t>
      </w:r>
      <w:r>
        <w:rPr>
          <w:rFonts w:ascii="FangSong" w:hAnsi="FangSong" w:eastAsia="FangSong" w:cs="FangSong"/>
          <w:sz w:val="30"/>
          <w:szCs w:val="30"/>
          <w:spacing w:val="20"/>
        </w:rPr>
        <w:t>《放射诊疗管理规定》第四十一条第(七)项</w:t>
      </w:r>
      <w:r>
        <w:rPr>
          <w:rFonts w:ascii="FangSong" w:hAnsi="FangSong" w:eastAsia="FangSong" w:cs="FangSong"/>
          <w:sz w:val="30"/>
          <w:szCs w:val="30"/>
          <w:spacing w:val="20"/>
        </w:rPr>
        <w:t xml:space="preserve">   </w:t>
      </w:r>
      <w:r>
        <w:rPr>
          <w:rFonts w:ascii="FangSong" w:hAnsi="FangSong" w:eastAsia="FangSong" w:cs="FangSong"/>
          <w:sz w:val="30"/>
          <w:szCs w:val="30"/>
          <w:spacing w:val="20"/>
        </w:rPr>
        <w:t>医疗机构违反本规定，有下列行为之一</w:t>
      </w:r>
      <w:r>
        <w:rPr>
          <w:rFonts w:ascii="FangSong" w:hAnsi="FangSong" w:eastAsia="FangSong" w:cs="FangSong"/>
          <w:sz w:val="30"/>
          <w:szCs w:val="30"/>
          <w:spacing w:val="19"/>
        </w:rPr>
        <w:t>的，</w:t>
      </w:r>
      <w:r>
        <w:rPr>
          <w:rFonts w:ascii="FangSong" w:hAnsi="FangSong" w:eastAsia="FangSong" w:cs="FangSong"/>
          <w:sz w:val="30"/>
          <w:szCs w:val="30"/>
        </w:rPr>
        <w:t xml:space="preserve"> </w:t>
      </w:r>
      <w:r>
        <w:rPr>
          <w:rFonts w:ascii="FangSong" w:hAnsi="FangSong" w:eastAsia="FangSong" w:cs="FangSong"/>
          <w:sz w:val="30"/>
          <w:szCs w:val="30"/>
          <w:spacing w:val="17"/>
        </w:rPr>
        <w:t>由县级以上卫生行政部门给予警告，责令限期改正；并可处一万</w:t>
      </w:r>
      <w:r>
        <w:rPr>
          <w:rFonts w:ascii="FangSong" w:hAnsi="FangSong" w:eastAsia="FangSong" w:cs="FangSong"/>
          <w:sz w:val="30"/>
          <w:szCs w:val="30"/>
          <w:spacing w:val="16"/>
        </w:rPr>
        <w:t>元以下的罚款：</w:t>
      </w:r>
    </w:p>
    <w:p>
      <w:pPr>
        <w:ind w:left="784"/>
        <w:spacing w:line="221" w:lineRule="auto"/>
        <w:rPr>
          <w:rFonts w:ascii="FangSong" w:hAnsi="FangSong" w:eastAsia="FangSong" w:cs="FangSong"/>
          <w:sz w:val="30"/>
          <w:szCs w:val="30"/>
        </w:rPr>
      </w:pPr>
      <w:r>
        <w:rPr>
          <w:rFonts w:ascii="FangSong" w:hAnsi="FangSong" w:eastAsia="FangSong" w:cs="FangSong"/>
          <w:sz w:val="30"/>
          <w:szCs w:val="30"/>
          <w:spacing w:val="27"/>
        </w:rPr>
        <w:t>(七)违反本规定的其他情形。</w:t>
      </w:r>
    </w:p>
    <w:p>
      <w:pPr>
        <w:ind w:left="25" w:right="105" w:firstLine="629"/>
        <w:spacing w:before="78" w:line="259" w:lineRule="auto"/>
        <w:rPr>
          <w:rFonts w:ascii="FangSong" w:hAnsi="FangSong" w:eastAsia="FangSong" w:cs="FangSong"/>
          <w:sz w:val="30"/>
          <w:szCs w:val="30"/>
        </w:rPr>
      </w:pPr>
      <w:r>
        <w:rPr>
          <w:rFonts w:ascii="FangSong" w:hAnsi="FangSong" w:eastAsia="FangSong" w:cs="FangSong"/>
          <w:sz w:val="30"/>
          <w:szCs w:val="30"/>
          <w:spacing w:val="14"/>
        </w:rPr>
        <w:t>2.</w:t>
      </w:r>
      <w:r>
        <w:rPr>
          <w:rFonts w:ascii="FangSong" w:hAnsi="FangSong" w:eastAsia="FangSong" w:cs="FangSong"/>
          <w:sz w:val="30"/>
          <w:szCs w:val="30"/>
          <w:spacing w:val="14"/>
        </w:rPr>
        <w:t xml:space="preserve"> </w:t>
      </w:r>
      <w:r>
        <w:rPr>
          <w:rFonts w:ascii="FangSong" w:hAnsi="FangSong" w:eastAsia="FangSong" w:cs="FangSong"/>
          <w:sz w:val="30"/>
          <w:szCs w:val="30"/>
          <w:spacing w:val="14"/>
        </w:rPr>
        <w:t>《放射诊疗管理规定》第五条</w:t>
      </w:r>
      <w:r>
        <w:rPr>
          <w:rFonts w:ascii="FangSong" w:hAnsi="FangSong" w:eastAsia="FangSong" w:cs="FangSong"/>
          <w:sz w:val="30"/>
          <w:szCs w:val="30"/>
          <w:spacing w:val="14"/>
        </w:rPr>
        <w:t xml:space="preserve">   </w:t>
      </w:r>
      <w:r>
        <w:rPr>
          <w:rFonts w:ascii="FangSong" w:hAnsi="FangSong" w:eastAsia="FangSong" w:cs="FangSong"/>
          <w:sz w:val="30"/>
          <w:szCs w:val="30"/>
          <w:spacing w:val="14"/>
        </w:rPr>
        <w:t>医疗机构应当采取有效措施，保证放射防护、安全与放射诊</w:t>
      </w:r>
      <w:r>
        <w:rPr>
          <w:rFonts w:ascii="FangSong" w:hAnsi="FangSong" w:eastAsia="FangSong" w:cs="FangSong"/>
          <w:sz w:val="30"/>
          <w:szCs w:val="30"/>
          <w:spacing w:val="18"/>
        </w:rPr>
        <w:t xml:space="preserve"> </w:t>
      </w:r>
      <w:r>
        <w:rPr>
          <w:rFonts w:ascii="FangSong" w:hAnsi="FangSong" w:eastAsia="FangSong" w:cs="FangSong"/>
          <w:sz w:val="30"/>
          <w:szCs w:val="30"/>
          <w:spacing w:val="15"/>
        </w:rPr>
        <w:t>疗质量符合有关规定、标准和规范的要求。</w:t>
      </w:r>
    </w:p>
    <w:p>
      <w:pPr>
        <w:ind w:left="6428"/>
        <w:spacing w:before="190"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6" w:lineRule="auto"/>
        <w:rPr>
          <w:rFonts w:ascii="Arial"/>
          <w:sz w:val="2"/>
        </w:rPr>
      </w:pPr>
      <w:r>
        <w:rPr>
          <w:rFonts w:ascii="Arial"/>
          <w:sz w:val="2"/>
        </w:rPr>
      </w:r>
    </w:p>
    <w:tbl>
      <w:tblPr>
        <w:tblStyle w:val="TableNormal"/>
        <w:tblW w:w="140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4"/>
        <w:gridCol w:w="7574"/>
        <w:gridCol w:w="4622"/>
      </w:tblGrid>
      <w:tr>
        <w:trPr>
          <w:trHeight w:val="660" w:hRule="atLeast"/>
        </w:trPr>
        <w:tc>
          <w:tcPr>
            <w:tcW w:w="1804" w:type="dxa"/>
            <w:vAlign w:val="top"/>
          </w:tcPr>
          <w:p>
            <w:pPr>
              <w:pStyle w:val="TableText"/>
              <w:ind w:left="329"/>
              <w:spacing w:before="193" w:line="220" w:lineRule="auto"/>
              <w:rPr>
                <w:sz w:val="29"/>
                <w:szCs w:val="29"/>
              </w:rPr>
            </w:pPr>
            <w:r>
              <w:rPr>
                <w:sz w:val="29"/>
                <w:szCs w:val="29"/>
                <w:b/>
                <w:bCs/>
                <w:spacing w:val="-1"/>
              </w:rPr>
              <w:t>违法程度</w:t>
            </w:r>
          </w:p>
        </w:tc>
        <w:tc>
          <w:tcPr>
            <w:tcW w:w="7574" w:type="dxa"/>
            <w:vAlign w:val="top"/>
          </w:tcPr>
          <w:p>
            <w:pPr>
              <w:pStyle w:val="TableText"/>
              <w:ind w:left="3215"/>
              <w:spacing w:before="193" w:line="220" w:lineRule="auto"/>
              <w:rPr>
                <w:sz w:val="29"/>
                <w:szCs w:val="29"/>
              </w:rPr>
            </w:pPr>
            <w:r>
              <w:rPr>
                <w:sz w:val="29"/>
                <w:szCs w:val="29"/>
                <w:b/>
                <w:bCs/>
                <w:spacing w:val="-1"/>
              </w:rPr>
              <w:t>情节后果</w:t>
            </w:r>
          </w:p>
        </w:tc>
        <w:tc>
          <w:tcPr>
            <w:tcW w:w="4622" w:type="dxa"/>
            <w:vAlign w:val="top"/>
          </w:tcPr>
          <w:p>
            <w:pPr>
              <w:pStyle w:val="TableText"/>
              <w:ind w:left="1741"/>
              <w:spacing w:before="190" w:line="218" w:lineRule="auto"/>
              <w:rPr>
                <w:sz w:val="29"/>
                <w:szCs w:val="29"/>
              </w:rPr>
            </w:pPr>
            <w:r>
              <w:rPr>
                <w:sz w:val="29"/>
                <w:szCs w:val="29"/>
                <w:b/>
                <w:bCs/>
                <w:spacing w:val="-1"/>
              </w:rPr>
              <w:t>裁量幅度</w:t>
            </w:r>
          </w:p>
        </w:tc>
      </w:tr>
    </w:tbl>
    <w:p>
      <w:pPr>
        <w:pStyle w:val="BodyText"/>
        <w:rPr/>
      </w:pPr>
      <w:r/>
    </w:p>
    <w:p>
      <w:pPr>
        <w:sectPr>
          <w:footerReference w:type="default" r:id="rId589"/>
          <w:pgSz w:w="16830" w:h="11900"/>
          <w:pgMar w:top="1011" w:right="1394" w:bottom="1140" w:left="1425" w:header="0" w:footer="816" w:gutter="0"/>
        </w:sectPr>
        <w:rPr/>
      </w:pPr>
    </w:p>
    <w:p>
      <w:pPr>
        <w:spacing w:before="13"/>
        <w:rPr/>
      </w:pPr>
      <w:r/>
    </w:p>
    <w:p>
      <w:pPr>
        <w:spacing w:before="13"/>
        <w:rPr/>
      </w:pPr>
      <w:r/>
    </w:p>
    <w:p>
      <w:pPr>
        <w:spacing w:before="13"/>
        <w:rPr/>
      </w:pPr>
      <w:r/>
    </w:p>
    <w:tbl>
      <w:tblPr>
        <w:tblStyle w:val="TableNormal"/>
        <w:tblW w:w="1398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584"/>
        <w:gridCol w:w="4612"/>
      </w:tblGrid>
      <w:tr>
        <w:trPr>
          <w:trHeight w:val="692" w:hRule="atLeast"/>
        </w:trPr>
        <w:tc>
          <w:tcPr>
            <w:tcW w:w="1784" w:type="dxa"/>
            <w:vAlign w:val="top"/>
          </w:tcPr>
          <w:p>
            <w:pPr>
              <w:pStyle w:val="TableText"/>
              <w:ind w:left="648"/>
              <w:spacing w:before="232" w:line="221" w:lineRule="auto"/>
              <w:rPr/>
            </w:pPr>
            <w:r>
              <w:rPr>
                <w:b/>
                <w:bCs/>
                <w:spacing w:val="-10"/>
              </w:rPr>
              <w:t>一般</w:t>
            </w:r>
          </w:p>
        </w:tc>
        <w:tc>
          <w:tcPr>
            <w:tcW w:w="7584" w:type="dxa"/>
            <w:vAlign w:val="top"/>
          </w:tcPr>
          <w:p>
            <w:pPr>
              <w:pStyle w:val="TableText"/>
              <w:ind w:left="121"/>
              <w:spacing w:before="73" w:line="234" w:lineRule="auto"/>
              <w:rPr/>
            </w:pPr>
            <w:r>
              <w:rPr/>
              <w:t>医疗机构放射诊疗场所和配套设施不符合国家相关标准和规定，数目为</w:t>
            </w:r>
            <w:r>
              <w:rPr>
                <w:spacing w:val="11"/>
              </w:rPr>
              <w:t xml:space="preserve"> </w:t>
            </w:r>
            <w:r>
              <w:rPr>
                <w:spacing w:val="-18"/>
              </w:rPr>
              <w:t>1</w:t>
            </w:r>
            <w:r>
              <w:rPr>
                <w:spacing w:val="-22"/>
              </w:rPr>
              <w:t xml:space="preserve"> </w:t>
            </w:r>
            <w:r>
              <w:rPr>
                <w:spacing w:val="-18"/>
              </w:rPr>
              <w:t>处</w:t>
            </w:r>
            <w:r>
              <w:rPr>
                <w:spacing w:val="13"/>
              </w:rPr>
              <w:t xml:space="preserve"> </w:t>
            </w:r>
            <w:r>
              <w:rPr>
                <w:spacing w:val="-18"/>
              </w:rPr>
              <w:t>(</w:t>
            </w:r>
            <w:r>
              <w:rPr>
                <w:spacing w:val="-30"/>
              </w:rPr>
              <w:t xml:space="preserve"> </w:t>
            </w:r>
            <w:r>
              <w:rPr>
                <w:spacing w:val="-18"/>
              </w:rPr>
              <w:t>件</w:t>
            </w:r>
            <w:r>
              <w:rPr>
                <w:spacing w:val="-29"/>
              </w:rPr>
              <w:t xml:space="preserve"> </w:t>
            </w:r>
            <w:r>
              <w:rPr>
                <w:spacing w:val="-18"/>
              </w:rPr>
              <w:t>) 的</w:t>
            </w:r>
          </w:p>
        </w:tc>
        <w:tc>
          <w:tcPr>
            <w:tcW w:w="4612" w:type="dxa"/>
            <w:vAlign w:val="top"/>
          </w:tcPr>
          <w:p>
            <w:pPr>
              <w:pStyle w:val="TableText"/>
              <w:ind w:left="117" w:right="153" w:hanging="10"/>
              <w:spacing w:before="73" w:line="234" w:lineRule="auto"/>
              <w:rPr/>
            </w:pPr>
            <w:r>
              <w:rPr>
                <w:spacing w:val="1"/>
              </w:rPr>
              <w:t>给予警告，责令限期改正；可处3000元以</w:t>
            </w:r>
            <w:r>
              <w:rPr/>
              <w:t xml:space="preserve"> </w:t>
            </w:r>
            <w:r>
              <w:rPr>
                <w:spacing w:val="2"/>
              </w:rPr>
              <w:t>下的罚款</w:t>
            </w:r>
          </w:p>
        </w:tc>
      </w:tr>
      <w:tr>
        <w:trPr>
          <w:trHeight w:val="718" w:hRule="atLeast"/>
        </w:trPr>
        <w:tc>
          <w:tcPr>
            <w:tcW w:w="1784" w:type="dxa"/>
            <w:vAlign w:val="top"/>
          </w:tcPr>
          <w:p>
            <w:pPr>
              <w:pStyle w:val="TableText"/>
              <w:ind w:left="648"/>
              <w:spacing w:before="242" w:line="221" w:lineRule="auto"/>
              <w:rPr/>
            </w:pPr>
            <w:r>
              <w:rPr>
                <w:b/>
                <w:bCs/>
                <w:spacing w:val="-5"/>
              </w:rPr>
              <w:t>较重</w:t>
            </w:r>
          </w:p>
        </w:tc>
        <w:tc>
          <w:tcPr>
            <w:tcW w:w="7584" w:type="dxa"/>
            <w:vAlign w:val="top"/>
          </w:tcPr>
          <w:p>
            <w:pPr>
              <w:pStyle w:val="TableText"/>
              <w:ind w:left="121"/>
              <w:spacing w:before="91" w:line="237" w:lineRule="auto"/>
              <w:rPr/>
            </w:pPr>
            <w:r>
              <w:rPr/>
              <w:t>医疗机构放射诊疗场所和配套设施不符合国家相关标准和规定，数目为</w:t>
            </w:r>
            <w:r>
              <w:rPr>
                <w:spacing w:val="11"/>
              </w:rPr>
              <w:t xml:space="preserve"> </w:t>
            </w:r>
            <w:r>
              <w:rPr>
                <w:spacing w:val="-16"/>
              </w:rPr>
              <w:t>2</w:t>
            </w:r>
            <w:r>
              <w:rPr>
                <w:spacing w:val="-19"/>
              </w:rPr>
              <w:t xml:space="preserve"> </w:t>
            </w:r>
            <w:r>
              <w:rPr>
                <w:spacing w:val="-16"/>
              </w:rPr>
              <w:t>处</w:t>
            </w:r>
            <w:r>
              <w:rPr>
                <w:spacing w:val="14"/>
              </w:rPr>
              <w:t xml:space="preserve"> </w:t>
            </w:r>
            <w:r>
              <w:rPr>
                <w:spacing w:val="-16"/>
              </w:rPr>
              <w:t>(</w:t>
            </w:r>
            <w:r>
              <w:rPr>
                <w:spacing w:val="-29"/>
              </w:rPr>
              <w:t xml:space="preserve"> </w:t>
            </w:r>
            <w:r>
              <w:rPr>
                <w:spacing w:val="-16"/>
              </w:rPr>
              <w:t>件</w:t>
            </w:r>
            <w:r>
              <w:rPr>
                <w:spacing w:val="-28"/>
              </w:rPr>
              <w:t xml:space="preserve"> </w:t>
            </w:r>
            <w:r>
              <w:rPr>
                <w:spacing w:val="-16"/>
              </w:rPr>
              <w:t>) 的</w:t>
            </w:r>
          </w:p>
        </w:tc>
        <w:tc>
          <w:tcPr>
            <w:tcW w:w="4612" w:type="dxa"/>
            <w:vAlign w:val="top"/>
          </w:tcPr>
          <w:p>
            <w:pPr>
              <w:pStyle w:val="TableText"/>
              <w:ind w:left="117" w:right="153" w:hanging="10"/>
              <w:spacing w:before="91" w:line="237" w:lineRule="auto"/>
              <w:rPr/>
            </w:pPr>
            <w:r>
              <w:rPr>
                <w:spacing w:val="1"/>
              </w:rPr>
              <w:t>给予警告，责令限期改正；并处3000元以</w:t>
            </w:r>
            <w:r>
              <w:rPr/>
              <w:t xml:space="preserve"> </w:t>
            </w:r>
            <w:r>
              <w:rPr/>
              <w:t>上7000元以下的罚款</w:t>
            </w:r>
          </w:p>
        </w:tc>
      </w:tr>
      <w:tr>
        <w:trPr>
          <w:trHeight w:val="697" w:hRule="atLeast"/>
        </w:trPr>
        <w:tc>
          <w:tcPr>
            <w:tcW w:w="1784" w:type="dxa"/>
            <w:vAlign w:val="top"/>
          </w:tcPr>
          <w:p>
            <w:pPr>
              <w:pStyle w:val="TableText"/>
              <w:ind w:left="648"/>
              <w:spacing w:before="232" w:line="220" w:lineRule="auto"/>
              <w:rPr/>
            </w:pPr>
            <w:r>
              <w:rPr>
                <w:b/>
                <w:bCs/>
                <w:spacing w:val="-6"/>
              </w:rPr>
              <w:t>严重</w:t>
            </w:r>
          </w:p>
        </w:tc>
        <w:tc>
          <w:tcPr>
            <w:tcW w:w="7584" w:type="dxa"/>
            <w:vAlign w:val="top"/>
          </w:tcPr>
          <w:p>
            <w:pPr>
              <w:pStyle w:val="TableText"/>
              <w:ind w:left="121"/>
              <w:spacing w:before="73" w:line="236" w:lineRule="auto"/>
              <w:rPr/>
            </w:pPr>
            <w:r>
              <w:rPr/>
              <w:t>医疗机构放射诊疗场所和配套设施不符合国家相关标准和规定，数目为</w:t>
            </w:r>
            <w:r>
              <w:rPr>
                <w:spacing w:val="11"/>
              </w:rPr>
              <w:t xml:space="preserve"> </w:t>
            </w:r>
            <w:r>
              <w:rPr>
                <w:spacing w:val="42"/>
              </w:rPr>
              <w:t>3处(件)及以上的</w:t>
            </w:r>
          </w:p>
        </w:tc>
        <w:tc>
          <w:tcPr>
            <w:tcW w:w="4612" w:type="dxa"/>
            <w:vAlign w:val="top"/>
          </w:tcPr>
          <w:p>
            <w:pPr>
              <w:pStyle w:val="TableText"/>
              <w:ind w:left="117" w:right="153" w:hanging="10"/>
              <w:spacing w:before="73" w:line="236" w:lineRule="auto"/>
              <w:rPr/>
            </w:pPr>
            <w:r>
              <w:rPr>
                <w:spacing w:val="1"/>
              </w:rPr>
              <w:t>给予警告，责令限期改正；并处7000元以</w:t>
            </w:r>
            <w:r>
              <w:rPr/>
              <w:t xml:space="preserve"> </w:t>
            </w:r>
            <w:r>
              <w:rPr>
                <w:spacing w:val="1"/>
              </w:rPr>
              <w:t>上一万元以下的罚款</w:t>
            </w:r>
          </w:p>
        </w:tc>
      </w:tr>
      <w:tr>
        <w:trPr>
          <w:trHeight w:val="693" w:hRule="atLeast"/>
        </w:trPr>
        <w:tc>
          <w:tcPr>
            <w:tcW w:w="1784" w:type="dxa"/>
            <w:vAlign w:val="top"/>
          </w:tcPr>
          <w:p>
            <w:pPr>
              <w:pStyle w:val="TableText"/>
              <w:ind w:left="408"/>
              <w:spacing w:before="234" w:line="219" w:lineRule="auto"/>
              <w:rPr/>
            </w:pPr>
            <w:r>
              <w:rPr>
                <w:b/>
                <w:bCs/>
                <w:spacing w:val="-5"/>
              </w:rPr>
              <w:t>特别严重</w:t>
            </w:r>
          </w:p>
        </w:tc>
        <w:tc>
          <w:tcPr>
            <w:tcW w:w="7584" w:type="dxa"/>
            <w:vAlign w:val="top"/>
          </w:tcPr>
          <w:p>
            <w:pPr>
              <w:pStyle w:val="TableText"/>
              <w:ind w:left="121" w:right="2"/>
              <w:spacing w:before="97" w:line="225" w:lineRule="auto"/>
              <w:rPr/>
            </w:pPr>
            <w:r>
              <w:rPr/>
              <w:t>医疗机构放射诊疗场所和配套设施不符合国家相关标准和规定，造成严</w:t>
            </w:r>
            <w:r>
              <w:rPr>
                <w:spacing w:val="9"/>
              </w:rPr>
              <w:t xml:space="preserve"> </w:t>
            </w:r>
            <w:r>
              <w:rPr>
                <w:spacing w:val="4"/>
              </w:rPr>
              <w:t>重后果的</w:t>
            </w:r>
          </w:p>
        </w:tc>
        <w:tc>
          <w:tcPr>
            <w:tcW w:w="4612" w:type="dxa"/>
            <w:vAlign w:val="top"/>
          </w:tcPr>
          <w:p>
            <w:pPr>
              <w:pStyle w:val="TableText"/>
              <w:ind w:left="117"/>
              <w:spacing w:before="85" w:line="218" w:lineRule="auto"/>
              <w:rPr/>
            </w:pPr>
            <w:r>
              <w:rPr>
                <w:spacing w:val="1"/>
              </w:rPr>
              <w:t>给予警告，责令限期改正；并处一万元的</w:t>
            </w:r>
          </w:p>
          <w:p>
            <w:pPr>
              <w:pStyle w:val="TableText"/>
              <w:ind w:left="117"/>
              <w:spacing w:before="49" w:line="203" w:lineRule="auto"/>
              <w:rPr/>
            </w:pPr>
            <w:r>
              <w:rPr>
                <w:color w:val="606060"/>
                <w:spacing w:val="5"/>
              </w:rPr>
              <w:t>罚款</w:t>
            </w:r>
          </w:p>
        </w:tc>
      </w:tr>
    </w:tbl>
    <w:p>
      <w:pPr>
        <w:pStyle w:val="BodyText"/>
        <w:spacing w:line="451" w:lineRule="auto"/>
        <w:rPr/>
      </w:pPr>
      <w:r/>
    </w:p>
    <w:p>
      <w:pPr>
        <w:ind w:left="29" w:right="72" w:firstLine="639"/>
        <w:spacing w:before="101" w:line="273" w:lineRule="auto"/>
        <w:rPr>
          <w:rFonts w:ascii="KaiTi" w:hAnsi="KaiTi" w:eastAsia="KaiTi" w:cs="KaiTi"/>
          <w:sz w:val="31"/>
          <w:szCs w:val="31"/>
        </w:rPr>
      </w:pPr>
      <w:r>
        <w:rPr>
          <w:rFonts w:ascii="KaiTi" w:hAnsi="KaiTi" w:eastAsia="KaiTi" w:cs="KaiTi"/>
          <w:sz w:val="31"/>
          <w:szCs w:val="31"/>
          <w:b/>
          <w:bCs/>
          <w:spacing w:val="10"/>
        </w:rPr>
        <w:t>第五百六十六条医疗机构放射治疗场所多重安全联锁系统、剂量监测系统、影像监控、对讲装</w:t>
      </w:r>
      <w:r>
        <w:rPr>
          <w:rFonts w:ascii="KaiTi" w:hAnsi="KaiTi" w:eastAsia="KaiTi" w:cs="KaiTi"/>
          <w:sz w:val="31"/>
          <w:szCs w:val="31"/>
          <w:spacing w:val="3"/>
        </w:rPr>
        <w:t xml:space="preserve"> </w:t>
      </w:r>
      <w:r>
        <w:rPr>
          <w:rFonts w:ascii="KaiTi" w:hAnsi="KaiTi" w:eastAsia="KaiTi" w:cs="KaiTi"/>
          <w:sz w:val="31"/>
          <w:szCs w:val="31"/>
          <w:b/>
          <w:bCs/>
          <w:spacing w:val="6"/>
        </w:rPr>
        <w:t>置和固定式剂量监测报警装置不符合国家相关标</w:t>
      </w:r>
      <w:r>
        <w:rPr>
          <w:rFonts w:ascii="KaiTi" w:hAnsi="KaiTi" w:eastAsia="KaiTi" w:cs="KaiTi"/>
          <w:sz w:val="31"/>
          <w:szCs w:val="31"/>
          <w:b/>
          <w:bCs/>
          <w:spacing w:val="5"/>
        </w:rPr>
        <w:t>准的</w:t>
      </w:r>
    </w:p>
    <w:p>
      <w:pPr>
        <w:ind w:left="664"/>
        <w:spacing w:before="12"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25" w:right="130" w:firstLine="639"/>
        <w:spacing w:before="75" w:line="259" w:lineRule="auto"/>
        <w:rPr>
          <w:rFonts w:ascii="FangSong" w:hAnsi="FangSong" w:eastAsia="FangSong" w:cs="FangSong"/>
          <w:sz w:val="31"/>
          <w:szCs w:val="31"/>
        </w:rPr>
      </w:pPr>
      <w:r>
        <w:rPr>
          <w:rFonts w:ascii="FangSong" w:hAnsi="FangSong" w:eastAsia="FangSong" w:cs="FangSong"/>
          <w:sz w:val="31"/>
          <w:szCs w:val="31"/>
          <w:spacing w:val="11"/>
        </w:rPr>
        <w:t>1.</w:t>
      </w:r>
      <w:r>
        <w:rPr>
          <w:rFonts w:ascii="FangSong" w:hAnsi="FangSong" w:eastAsia="FangSong" w:cs="FangSong"/>
          <w:sz w:val="31"/>
          <w:szCs w:val="31"/>
          <w:spacing w:val="11"/>
        </w:rPr>
        <w:t xml:space="preserve"> </w:t>
      </w:r>
      <w:r>
        <w:rPr>
          <w:rFonts w:ascii="FangSong" w:hAnsi="FangSong" w:eastAsia="FangSong" w:cs="FangSong"/>
          <w:sz w:val="31"/>
          <w:szCs w:val="31"/>
          <w:spacing w:val="11"/>
        </w:rPr>
        <w:t>《放射诊疗管理规定》第四十一条第(七)项</w:t>
      </w:r>
      <w:r>
        <w:rPr>
          <w:rFonts w:ascii="FangSong" w:hAnsi="FangSong" w:eastAsia="FangSong" w:cs="FangSong"/>
          <w:sz w:val="31"/>
          <w:szCs w:val="31"/>
          <w:spacing w:val="11"/>
        </w:rPr>
        <w:t xml:space="preserve">   </w:t>
      </w:r>
      <w:r>
        <w:rPr>
          <w:rFonts w:ascii="FangSong" w:hAnsi="FangSong" w:eastAsia="FangSong" w:cs="FangSong"/>
          <w:sz w:val="31"/>
          <w:szCs w:val="31"/>
          <w:spacing w:val="11"/>
        </w:rPr>
        <w:t>医疗机构违反本规定，有下列行为之一</w:t>
      </w:r>
      <w:r>
        <w:rPr>
          <w:rFonts w:ascii="FangSong" w:hAnsi="FangSong" w:eastAsia="FangSong" w:cs="FangSong"/>
          <w:sz w:val="31"/>
          <w:szCs w:val="31"/>
          <w:spacing w:val="10"/>
        </w:rPr>
        <w:t>的，</w:t>
      </w:r>
      <w:r>
        <w:rPr>
          <w:rFonts w:ascii="FangSong" w:hAnsi="FangSong" w:eastAsia="FangSong" w:cs="FangSong"/>
          <w:sz w:val="31"/>
          <w:szCs w:val="31"/>
        </w:rPr>
        <w:t xml:space="preserve"> </w:t>
      </w:r>
      <w:r>
        <w:rPr>
          <w:rFonts w:ascii="FangSong" w:hAnsi="FangSong" w:eastAsia="FangSong" w:cs="FangSong"/>
          <w:sz w:val="31"/>
          <w:szCs w:val="31"/>
          <w:spacing w:val="7"/>
        </w:rPr>
        <w:t>由县级以上卫生行政部门给予警告，责令限期改正；并可处一万元以下的罚款：</w:t>
      </w:r>
    </w:p>
    <w:p>
      <w:pPr>
        <w:ind w:left="804"/>
        <w:spacing w:before="1" w:line="221" w:lineRule="auto"/>
        <w:rPr>
          <w:rFonts w:ascii="FangSong" w:hAnsi="FangSong" w:eastAsia="FangSong" w:cs="FangSong"/>
          <w:sz w:val="31"/>
          <w:szCs w:val="31"/>
        </w:rPr>
      </w:pPr>
      <w:r>
        <w:rPr>
          <w:rFonts w:ascii="FangSong" w:hAnsi="FangSong" w:eastAsia="FangSong" w:cs="FangSong"/>
          <w:sz w:val="31"/>
          <w:szCs w:val="31"/>
          <w:spacing w:val="18"/>
        </w:rPr>
        <w:t>(七)违反本规定的其他情形。</w:t>
      </w:r>
    </w:p>
    <w:p>
      <w:pPr>
        <w:ind w:left="25" w:right="104" w:firstLine="639"/>
        <w:spacing w:before="78" w:line="244" w:lineRule="auto"/>
        <w:rPr>
          <w:rFonts w:ascii="FangSong" w:hAnsi="FangSong" w:eastAsia="FangSong" w:cs="FangSong"/>
          <w:sz w:val="31"/>
          <w:szCs w:val="31"/>
        </w:rPr>
      </w:pPr>
      <w:r>
        <w:rPr>
          <w:rFonts w:ascii="FangSong" w:hAnsi="FangSong" w:eastAsia="FangSong" w:cs="FangSong"/>
          <w:sz w:val="31"/>
          <w:szCs w:val="31"/>
          <w:spacing w:val="6"/>
        </w:rPr>
        <w:t>2.</w:t>
      </w:r>
      <w:r>
        <w:rPr>
          <w:rFonts w:ascii="FangSong" w:hAnsi="FangSong" w:eastAsia="FangSong" w:cs="FangSong"/>
          <w:sz w:val="31"/>
          <w:szCs w:val="31"/>
          <w:spacing w:val="-55"/>
        </w:rPr>
        <w:t xml:space="preserve"> </w:t>
      </w:r>
      <w:r>
        <w:rPr>
          <w:rFonts w:ascii="FangSong" w:hAnsi="FangSong" w:eastAsia="FangSong" w:cs="FangSong"/>
          <w:sz w:val="31"/>
          <w:szCs w:val="31"/>
          <w:spacing w:val="6"/>
        </w:rPr>
        <w:t>《放射诊疗管理规定》第五条</w:t>
      </w:r>
      <w:r>
        <w:rPr>
          <w:rFonts w:ascii="FangSong" w:hAnsi="FangSong" w:eastAsia="FangSong" w:cs="FangSong"/>
          <w:sz w:val="31"/>
          <w:szCs w:val="31"/>
          <w:spacing w:val="6"/>
        </w:rPr>
        <w:t xml:space="preserve">   </w:t>
      </w:r>
      <w:r>
        <w:rPr>
          <w:rFonts w:ascii="FangSong" w:hAnsi="FangSong" w:eastAsia="FangSong" w:cs="FangSong"/>
          <w:sz w:val="31"/>
          <w:szCs w:val="31"/>
          <w:spacing w:val="6"/>
        </w:rPr>
        <w:t>医疗机构应当采取有效措施，保证放射防护、安全与放射诊</w:t>
      </w:r>
      <w:r>
        <w:rPr>
          <w:rFonts w:ascii="FangSong" w:hAnsi="FangSong" w:eastAsia="FangSong" w:cs="FangSong"/>
          <w:sz w:val="31"/>
          <w:szCs w:val="31"/>
        </w:rPr>
        <w:t xml:space="preserve"> </w:t>
      </w:r>
      <w:r>
        <w:rPr>
          <w:rFonts w:ascii="FangSong" w:hAnsi="FangSong" w:eastAsia="FangSong" w:cs="FangSong"/>
          <w:sz w:val="31"/>
          <w:szCs w:val="31"/>
          <w:spacing w:val="6"/>
        </w:rPr>
        <w:t>疗质量符合有关规定、标准和规范的要求。</w:t>
      </w:r>
    </w:p>
    <w:p>
      <w:pPr>
        <w:ind w:left="6429"/>
        <w:spacing w:before="200"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4"/>
        <w:gridCol w:w="7584"/>
        <w:gridCol w:w="4592"/>
      </w:tblGrid>
      <w:tr>
        <w:trPr>
          <w:trHeight w:val="659" w:hRule="atLeast"/>
        </w:trPr>
        <w:tc>
          <w:tcPr>
            <w:tcW w:w="1804" w:type="dxa"/>
            <w:vAlign w:val="top"/>
          </w:tcPr>
          <w:p>
            <w:pPr>
              <w:pStyle w:val="TableText"/>
              <w:ind w:left="319"/>
              <w:spacing w:before="193" w:line="220" w:lineRule="auto"/>
              <w:rPr>
                <w:sz w:val="29"/>
                <w:szCs w:val="29"/>
              </w:rPr>
            </w:pPr>
            <w:r>
              <w:rPr>
                <w:sz w:val="29"/>
                <w:szCs w:val="29"/>
                <w:b/>
                <w:bCs/>
                <w:spacing w:val="-1"/>
              </w:rPr>
              <w:t>违法程度</w:t>
            </w:r>
          </w:p>
        </w:tc>
        <w:tc>
          <w:tcPr>
            <w:tcW w:w="7584" w:type="dxa"/>
            <w:vAlign w:val="top"/>
          </w:tcPr>
          <w:p>
            <w:pPr>
              <w:pStyle w:val="TableText"/>
              <w:ind w:left="3205"/>
              <w:spacing w:before="193" w:line="220" w:lineRule="auto"/>
              <w:rPr>
                <w:sz w:val="29"/>
                <w:szCs w:val="29"/>
              </w:rPr>
            </w:pPr>
            <w:r>
              <w:rPr>
                <w:sz w:val="29"/>
                <w:szCs w:val="29"/>
                <w:b/>
                <w:bCs/>
                <w:spacing w:val="-1"/>
              </w:rPr>
              <w:t>情节后果</w:t>
            </w:r>
          </w:p>
        </w:tc>
        <w:tc>
          <w:tcPr>
            <w:tcW w:w="4592" w:type="dxa"/>
            <w:vAlign w:val="top"/>
          </w:tcPr>
          <w:p>
            <w:pPr>
              <w:pStyle w:val="TableText"/>
              <w:ind w:left="1731"/>
              <w:spacing w:before="190" w:line="218" w:lineRule="auto"/>
              <w:rPr>
                <w:sz w:val="29"/>
                <w:szCs w:val="29"/>
              </w:rPr>
            </w:pPr>
            <w:r>
              <w:rPr>
                <w:sz w:val="29"/>
                <w:szCs w:val="29"/>
                <w:b/>
                <w:bCs/>
                <w:spacing w:val="-1"/>
              </w:rPr>
              <w:t>裁量幅度</w:t>
            </w:r>
          </w:p>
        </w:tc>
      </w:tr>
    </w:tbl>
    <w:p>
      <w:pPr>
        <w:pStyle w:val="BodyText"/>
        <w:rPr/>
      </w:pPr>
      <w:r/>
    </w:p>
    <w:p>
      <w:pPr>
        <w:sectPr>
          <w:footerReference w:type="default" r:id="rId590"/>
          <w:pgSz w:w="16830" w:h="11900"/>
          <w:pgMar w:top="1011" w:right="1405" w:bottom="1141" w:left="1425" w:header="0" w:footer="817" w:gutter="0"/>
        </w:sectPr>
        <w:rPr/>
      </w:pPr>
    </w:p>
    <w:p>
      <w:pPr>
        <w:spacing w:before="20"/>
        <w:rPr/>
      </w:pPr>
      <w:r/>
    </w:p>
    <w:p>
      <w:pPr>
        <w:spacing w:before="20"/>
        <w:rPr/>
      </w:pPr>
      <w:r/>
    </w:p>
    <w:p>
      <w:pPr>
        <w:spacing w:before="19"/>
        <w:rPr/>
      </w:pPr>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584"/>
        <w:gridCol w:w="4612"/>
      </w:tblGrid>
      <w:tr>
        <w:trPr>
          <w:trHeight w:val="1001" w:hRule="atLeast"/>
        </w:trPr>
        <w:tc>
          <w:tcPr>
            <w:tcW w:w="1784" w:type="dxa"/>
            <w:vAlign w:val="top"/>
          </w:tcPr>
          <w:p>
            <w:pPr>
              <w:spacing w:line="304" w:lineRule="auto"/>
              <w:rPr>
                <w:rFonts w:ascii="Arial"/>
                <w:sz w:val="21"/>
              </w:rPr>
            </w:pPr>
            <w:r/>
          </w:p>
          <w:p>
            <w:pPr>
              <w:pStyle w:val="TableText"/>
              <w:ind w:left="648"/>
              <w:spacing w:before="78" w:line="221" w:lineRule="auto"/>
              <w:rPr/>
            </w:pPr>
            <w:bookmarkStart w:name="bookmark1219" w:id="596"/>
            <w:bookmarkEnd w:id="596"/>
            <w:r>
              <w:rPr>
                <w:b/>
                <w:bCs/>
                <w:spacing w:val="-5"/>
              </w:rPr>
              <w:t>较重</w:t>
            </w:r>
          </w:p>
        </w:tc>
        <w:tc>
          <w:tcPr>
            <w:tcW w:w="7584" w:type="dxa"/>
            <w:vAlign w:val="top"/>
          </w:tcPr>
          <w:p>
            <w:pPr>
              <w:pStyle w:val="TableText"/>
              <w:ind w:left="119" w:hanging="59"/>
              <w:spacing w:before="43" w:line="243" w:lineRule="auto"/>
              <w:jc w:val="both"/>
              <w:rPr/>
            </w:pPr>
            <w:r>
              <w:rPr>
                <w:spacing w:val="2"/>
              </w:rPr>
              <w:t>医疗机构放射治疗场所多重安全联锁系统、剂量监测系统、影像监控、</w:t>
            </w:r>
            <w:r>
              <w:rPr>
                <w:spacing w:val="10"/>
              </w:rPr>
              <w:t xml:space="preserve"> </w:t>
            </w:r>
            <w:r>
              <w:rPr>
                <w:spacing w:val="-2"/>
              </w:rPr>
              <w:t>对讲装置和固定式剂量监测报警装置不符合国家相关标准，数目为1件</w:t>
            </w:r>
            <w:r>
              <w:rPr>
                <w:spacing w:val="3"/>
              </w:rPr>
              <w:t xml:space="preserve">  </w:t>
            </w:r>
            <w:r>
              <w:rPr>
                <w:spacing w:val="1"/>
              </w:rPr>
              <w:t>(</w:t>
            </w:r>
            <w:r>
              <w:rPr>
                <w:spacing w:val="-41"/>
              </w:rPr>
              <w:t xml:space="preserve"> </w:t>
            </w:r>
            <w:r>
              <w:rPr>
                <w:spacing w:val="1"/>
              </w:rPr>
              <w:t>套</w:t>
            </w:r>
            <w:r>
              <w:rPr>
                <w:spacing w:val="-40"/>
              </w:rPr>
              <w:t xml:space="preserve"> </w:t>
            </w:r>
            <w:r>
              <w:rPr>
                <w:spacing w:val="1"/>
              </w:rPr>
              <w:t>)</w:t>
            </w:r>
            <w:r>
              <w:rPr>
                <w:spacing w:val="-21"/>
              </w:rPr>
              <w:t xml:space="preserve"> </w:t>
            </w:r>
            <w:r>
              <w:rPr>
                <w:spacing w:val="1"/>
              </w:rPr>
              <w:t>的</w:t>
            </w:r>
          </w:p>
        </w:tc>
        <w:tc>
          <w:tcPr>
            <w:tcW w:w="4612" w:type="dxa"/>
            <w:vAlign w:val="top"/>
          </w:tcPr>
          <w:p>
            <w:pPr>
              <w:pStyle w:val="TableText"/>
              <w:ind w:left="117" w:right="153" w:hanging="10"/>
              <w:spacing w:before="222" w:line="266" w:lineRule="auto"/>
              <w:rPr/>
            </w:pPr>
            <w:r>
              <w:rPr>
                <w:spacing w:val="1"/>
              </w:rPr>
              <w:t>给予警告，责令限期改正；并处3000元以</w:t>
            </w:r>
            <w:r>
              <w:rPr/>
              <w:t xml:space="preserve"> </w:t>
            </w:r>
            <w:r>
              <w:rPr/>
              <w:t>上7000元以下的罚款</w:t>
            </w:r>
          </w:p>
        </w:tc>
      </w:tr>
      <w:tr>
        <w:trPr>
          <w:trHeight w:val="1027" w:hRule="atLeast"/>
        </w:trPr>
        <w:tc>
          <w:tcPr>
            <w:tcW w:w="1784" w:type="dxa"/>
            <w:vAlign w:val="top"/>
          </w:tcPr>
          <w:p>
            <w:pPr>
              <w:spacing w:line="321" w:lineRule="auto"/>
              <w:rPr>
                <w:rFonts w:ascii="Arial"/>
                <w:sz w:val="21"/>
              </w:rPr>
            </w:pPr>
            <w:r/>
          </w:p>
          <w:p>
            <w:pPr>
              <w:pStyle w:val="TableText"/>
              <w:ind w:left="648"/>
              <w:spacing w:before="78" w:line="220" w:lineRule="auto"/>
              <w:rPr/>
            </w:pPr>
            <w:r>
              <w:rPr>
                <w:b/>
                <w:bCs/>
                <w:spacing w:val="-6"/>
              </w:rPr>
              <w:t>严重</w:t>
            </w:r>
          </w:p>
        </w:tc>
        <w:tc>
          <w:tcPr>
            <w:tcW w:w="7584" w:type="dxa"/>
            <w:vAlign w:val="top"/>
          </w:tcPr>
          <w:p>
            <w:pPr>
              <w:pStyle w:val="TableText"/>
              <w:ind w:left="119" w:hanging="59"/>
              <w:spacing w:before="73" w:line="242" w:lineRule="auto"/>
              <w:jc w:val="both"/>
              <w:rPr/>
            </w:pPr>
            <w:r>
              <w:rPr>
                <w:spacing w:val="2"/>
              </w:rPr>
              <w:t>医疗机构放射治疗场所多重安全联锁系统、剂量监测系统、影像监控、</w:t>
            </w:r>
            <w:r>
              <w:rPr>
                <w:spacing w:val="10"/>
              </w:rPr>
              <w:t xml:space="preserve"> </w:t>
            </w:r>
            <w:r>
              <w:rPr>
                <w:spacing w:val="-2"/>
              </w:rPr>
              <w:t>对讲装置和固定式剂量监测报警装置不符合国家相关标准，数目为2件</w:t>
            </w:r>
            <w:r>
              <w:rPr>
                <w:spacing w:val="3"/>
              </w:rPr>
              <w:t xml:space="preserve">  </w:t>
            </w:r>
            <w:r>
              <w:rPr>
                <w:spacing w:val="12"/>
              </w:rPr>
              <w:t>(套)及以上的</w:t>
            </w:r>
          </w:p>
        </w:tc>
        <w:tc>
          <w:tcPr>
            <w:tcW w:w="4612" w:type="dxa"/>
            <w:vAlign w:val="top"/>
          </w:tcPr>
          <w:p>
            <w:pPr>
              <w:pStyle w:val="TableText"/>
              <w:ind w:left="117" w:right="153" w:hanging="10"/>
              <w:spacing w:before="262" w:line="258" w:lineRule="auto"/>
              <w:rPr/>
            </w:pPr>
            <w:r>
              <w:rPr>
                <w:spacing w:val="1"/>
              </w:rPr>
              <w:t>给予警告，责令限期改正；并处7000元以</w:t>
            </w:r>
            <w:r>
              <w:rPr/>
              <w:t xml:space="preserve"> </w:t>
            </w:r>
            <w:r>
              <w:rPr>
                <w:spacing w:val="1"/>
              </w:rPr>
              <w:t>上一万元以下的罚款</w:t>
            </w:r>
          </w:p>
        </w:tc>
      </w:tr>
      <w:tr>
        <w:trPr>
          <w:trHeight w:val="1031" w:hRule="atLeast"/>
        </w:trPr>
        <w:tc>
          <w:tcPr>
            <w:tcW w:w="1784" w:type="dxa"/>
            <w:vAlign w:val="top"/>
          </w:tcPr>
          <w:p>
            <w:pPr>
              <w:spacing w:line="323" w:lineRule="auto"/>
              <w:rPr>
                <w:rFonts w:ascii="Arial"/>
                <w:sz w:val="21"/>
              </w:rPr>
            </w:pPr>
            <w:r/>
          </w:p>
          <w:p>
            <w:pPr>
              <w:pStyle w:val="TableText"/>
              <w:ind w:left="408"/>
              <w:spacing w:before="78" w:line="219" w:lineRule="auto"/>
              <w:rPr/>
            </w:pPr>
            <w:r>
              <w:rPr>
                <w:b/>
                <w:bCs/>
                <w:spacing w:val="-5"/>
              </w:rPr>
              <w:t>特别严重</w:t>
            </w:r>
          </w:p>
        </w:tc>
        <w:tc>
          <w:tcPr>
            <w:tcW w:w="7584" w:type="dxa"/>
            <w:vAlign w:val="top"/>
          </w:tcPr>
          <w:p>
            <w:pPr>
              <w:pStyle w:val="TableText"/>
              <w:ind w:left="60"/>
              <w:spacing w:before="65" w:line="266" w:lineRule="auto"/>
              <w:rPr/>
            </w:pPr>
            <w:r>
              <w:rPr>
                <w:spacing w:val="2"/>
              </w:rPr>
              <w:t>医疗机构放射治疗场所多重安全联锁系统、剂量监测系统、影像监控、</w:t>
            </w:r>
            <w:r>
              <w:rPr>
                <w:spacing w:val="10"/>
              </w:rPr>
              <w:t xml:space="preserve"> </w:t>
            </w:r>
            <w:r>
              <w:rPr>
                <w:spacing w:val="-1"/>
              </w:rPr>
              <w:t>对讲装置和固定式剂量监测报警装置不符合国家相关标准，造成严重后</w:t>
            </w:r>
          </w:p>
          <w:p>
            <w:pPr>
              <w:pStyle w:val="TableText"/>
              <w:ind w:left="121"/>
              <w:spacing w:line="202" w:lineRule="auto"/>
              <w:rPr/>
            </w:pPr>
            <w:r>
              <w:rPr>
                <w:color w:val="404040"/>
                <w:spacing w:val="9"/>
              </w:rPr>
              <w:t>果的</w:t>
            </w:r>
          </w:p>
        </w:tc>
        <w:tc>
          <w:tcPr>
            <w:tcW w:w="4612" w:type="dxa"/>
            <w:vAlign w:val="top"/>
          </w:tcPr>
          <w:p>
            <w:pPr>
              <w:pStyle w:val="TableText"/>
              <w:ind w:left="117"/>
              <w:spacing w:before="244" w:line="218" w:lineRule="auto"/>
              <w:rPr/>
            </w:pPr>
            <w:r>
              <w:rPr>
                <w:spacing w:val="1"/>
              </w:rPr>
              <w:t>给予警告，责令限期改正；并处一万元的</w:t>
            </w:r>
          </w:p>
          <w:p>
            <w:pPr>
              <w:pStyle w:val="TableText"/>
              <w:ind w:left="117"/>
              <w:spacing w:before="60" w:line="221" w:lineRule="auto"/>
              <w:rPr/>
            </w:pPr>
            <w:r>
              <w:rPr>
                <w:color w:val="504050"/>
                <w:spacing w:val="5"/>
              </w:rPr>
              <w:t>罚款</w:t>
            </w:r>
          </w:p>
        </w:tc>
      </w:tr>
    </w:tbl>
    <w:p>
      <w:pPr>
        <w:pStyle w:val="BodyText"/>
        <w:spacing w:line="435" w:lineRule="auto"/>
        <w:rPr/>
      </w:pPr>
      <w:r/>
    </w:p>
    <w:p>
      <w:pPr>
        <w:ind w:left="9" w:right="80" w:firstLine="620"/>
        <w:spacing w:before="100" w:line="270" w:lineRule="auto"/>
        <w:rPr>
          <w:rFonts w:ascii="FangSong" w:hAnsi="FangSong" w:eastAsia="FangSong" w:cs="FangSong"/>
          <w:sz w:val="31"/>
          <w:szCs w:val="31"/>
        </w:rPr>
      </w:pPr>
      <w:r>
        <w:rPr>
          <w:rFonts w:ascii="FangSong" w:hAnsi="FangSong" w:eastAsia="FangSong" w:cs="FangSong"/>
          <w:sz w:val="31"/>
          <w:szCs w:val="31"/>
          <w:b/>
          <w:bCs/>
          <w:spacing w:val="11"/>
        </w:rPr>
        <w:t>第五百六十七条医疗机构放射治疗场所未按照相应标准配备放疗剂量仪、剂量扫描</w:t>
      </w:r>
      <w:r>
        <w:rPr>
          <w:rFonts w:ascii="FangSong" w:hAnsi="FangSong" w:eastAsia="FangSong" w:cs="FangSong"/>
          <w:sz w:val="31"/>
          <w:szCs w:val="31"/>
          <w:b/>
          <w:bCs/>
          <w:spacing w:val="10"/>
        </w:rPr>
        <w:t>装置和个人</w:t>
      </w:r>
      <w:r>
        <w:rPr>
          <w:rFonts w:ascii="FangSong" w:hAnsi="FangSong" w:eastAsia="FangSong" w:cs="FangSong"/>
          <w:sz w:val="31"/>
          <w:szCs w:val="31"/>
        </w:rPr>
        <w:t xml:space="preserve"> </w:t>
      </w:r>
      <w:r>
        <w:rPr>
          <w:rFonts w:ascii="FangSong" w:hAnsi="FangSong" w:eastAsia="FangSong" w:cs="FangSong"/>
          <w:sz w:val="31"/>
          <w:szCs w:val="31"/>
          <w:b/>
          <w:bCs/>
          <w:spacing w:val="3"/>
        </w:rPr>
        <w:t>剂量报警仪的</w:t>
      </w:r>
    </w:p>
    <w:p>
      <w:pPr>
        <w:ind w:left="625"/>
        <w:spacing w:line="222" w:lineRule="auto"/>
        <w:rPr>
          <w:rFonts w:ascii="FangSong" w:hAnsi="FangSong" w:eastAsia="FangSong" w:cs="FangSong"/>
          <w:sz w:val="31"/>
          <w:szCs w:val="31"/>
        </w:rPr>
      </w:pPr>
      <w:r>
        <w:rPr>
          <w:rFonts w:ascii="FangSong" w:hAnsi="FangSong" w:eastAsia="FangSong" w:cs="FangSong"/>
          <w:sz w:val="31"/>
          <w:szCs w:val="31"/>
          <w:spacing w:val="-3"/>
        </w:rPr>
        <w:t>法律依据：</w:t>
      </w:r>
    </w:p>
    <w:p>
      <w:pPr>
        <w:ind w:left="5" w:right="170" w:firstLine="620"/>
        <w:spacing w:before="55" w:line="255" w:lineRule="auto"/>
        <w:rPr>
          <w:rFonts w:ascii="FangSong" w:hAnsi="FangSong" w:eastAsia="FangSong" w:cs="FangSong"/>
          <w:sz w:val="31"/>
          <w:szCs w:val="31"/>
        </w:rPr>
      </w:pPr>
      <w:r>
        <w:rPr>
          <w:rFonts w:ascii="FangSong" w:hAnsi="FangSong" w:eastAsia="FangSong" w:cs="FangSong"/>
          <w:sz w:val="31"/>
          <w:szCs w:val="31"/>
          <w:spacing w:val="11"/>
        </w:rPr>
        <w:t>1.</w:t>
      </w:r>
      <w:r>
        <w:rPr>
          <w:rFonts w:ascii="FangSong" w:hAnsi="FangSong" w:eastAsia="FangSong" w:cs="FangSong"/>
          <w:sz w:val="31"/>
          <w:szCs w:val="31"/>
          <w:spacing w:val="11"/>
        </w:rPr>
        <w:t xml:space="preserve"> </w:t>
      </w:r>
      <w:r>
        <w:rPr>
          <w:rFonts w:ascii="FangSong" w:hAnsi="FangSong" w:eastAsia="FangSong" w:cs="FangSong"/>
          <w:sz w:val="31"/>
          <w:szCs w:val="31"/>
          <w:spacing w:val="11"/>
        </w:rPr>
        <w:t>《放射诊疗管理规定》第四十一条第(七)项</w:t>
      </w:r>
      <w:r>
        <w:rPr>
          <w:rFonts w:ascii="FangSong" w:hAnsi="FangSong" w:eastAsia="FangSong" w:cs="FangSong"/>
          <w:sz w:val="31"/>
          <w:szCs w:val="31"/>
          <w:spacing w:val="11"/>
        </w:rPr>
        <w:t xml:space="preserve">   </w:t>
      </w:r>
      <w:r>
        <w:rPr>
          <w:rFonts w:ascii="FangSong" w:hAnsi="FangSong" w:eastAsia="FangSong" w:cs="FangSong"/>
          <w:sz w:val="31"/>
          <w:szCs w:val="31"/>
          <w:spacing w:val="11"/>
        </w:rPr>
        <w:t>医疗机构违反本规定，有下列行为之一</w:t>
      </w:r>
      <w:r>
        <w:rPr>
          <w:rFonts w:ascii="FangSong" w:hAnsi="FangSong" w:eastAsia="FangSong" w:cs="FangSong"/>
          <w:sz w:val="31"/>
          <w:szCs w:val="31"/>
          <w:spacing w:val="10"/>
        </w:rPr>
        <w:t>的，</w:t>
      </w:r>
      <w:r>
        <w:rPr>
          <w:rFonts w:ascii="FangSong" w:hAnsi="FangSong" w:eastAsia="FangSong" w:cs="FangSong"/>
          <w:sz w:val="31"/>
          <w:szCs w:val="31"/>
        </w:rPr>
        <w:t xml:space="preserve"> </w:t>
      </w:r>
      <w:r>
        <w:rPr>
          <w:rFonts w:ascii="FangSong" w:hAnsi="FangSong" w:eastAsia="FangSong" w:cs="FangSong"/>
          <w:sz w:val="31"/>
          <w:szCs w:val="31"/>
          <w:spacing w:val="7"/>
        </w:rPr>
        <w:t>由县级以上卫生行政部门给予警告，责令限期改正；并可处一万元以下的罚款：</w:t>
      </w:r>
    </w:p>
    <w:p>
      <w:pPr>
        <w:ind w:left="774"/>
        <w:spacing w:before="23" w:line="222" w:lineRule="auto"/>
        <w:rPr>
          <w:rFonts w:ascii="FangSong" w:hAnsi="FangSong" w:eastAsia="FangSong" w:cs="FangSong"/>
          <w:sz w:val="31"/>
          <w:szCs w:val="31"/>
        </w:rPr>
      </w:pPr>
      <w:r>
        <w:rPr>
          <w:rFonts w:ascii="FangSong" w:hAnsi="FangSong" w:eastAsia="FangSong" w:cs="FangSong"/>
          <w:sz w:val="31"/>
          <w:szCs w:val="31"/>
          <w:spacing w:val="18"/>
        </w:rPr>
        <w:t>(七)违反本规定的其他情形。</w:t>
      </w:r>
    </w:p>
    <w:p>
      <w:pPr>
        <w:ind w:left="5" w:right="94" w:firstLine="620"/>
        <w:spacing w:before="65" w:line="239" w:lineRule="auto"/>
        <w:rPr>
          <w:rFonts w:ascii="FangSong" w:hAnsi="FangSong" w:eastAsia="FangSong" w:cs="FangSong"/>
          <w:sz w:val="31"/>
          <w:szCs w:val="31"/>
        </w:rPr>
      </w:pPr>
      <w:r>
        <w:rPr>
          <w:rFonts w:ascii="Times New Roman" w:hAnsi="Times New Roman" w:eastAsia="Times New Roman" w:cs="Times New Roman"/>
          <w:sz w:val="31"/>
          <w:szCs w:val="31"/>
          <w:spacing w:val="6"/>
        </w:rPr>
        <w:t>2</w:t>
      </w:r>
      <w:r>
        <w:rPr>
          <w:rFonts w:ascii="FangSong" w:hAnsi="FangSong" w:eastAsia="FangSong" w:cs="FangSong"/>
          <w:sz w:val="31"/>
          <w:szCs w:val="31"/>
          <w:spacing w:val="6"/>
        </w:rPr>
        <w:t>.</w:t>
      </w:r>
      <w:r>
        <w:rPr>
          <w:rFonts w:ascii="FangSong" w:hAnsi="FangSong" w:eastAsia="FangSong" w:cs="FangSong"/>
          <w:sz w:val="31"/>
          <w:szCs w:val="31"/>
          <w:spacing w:val="6"/>
        </w:rPr>
        <w:t xml:space="preserve"> </w:t>
      </w:r>
      <w:r>
        <w:rPr>
          <w:rFonts w:ascii="FangSong" w:hAnsi="FangSong" w:eastAsia="FangSong" w:cs="FangSong"/>
          <w:sz w:val="31"/>
          <w:szCs w:val="31"/>
          <w:spacing w:val="6"/>
        </w:rPr>
        <w:t>《放射诊疗管理规定》第五条</w:t>
      </w:r>
      <w:r>
        <w:rPr>
          <w:rFonts w:ascii="FangSong" w:hAnsi="FangSong" w:eastAsia="FangSong" w:cs="FangSong"/>
          <w:sz w:val="31"/>
          <w:szCs w:val="31"/>
          <w:spacing w:val="6"/>
        </w:rPr>
        <w:t xml:space="preserve">   </w:t>
      </w:r>
      <w:r>
        <w:rPr>
          <w:rFonts w:ascii="FangSong" w:hAnsi="FangSong" w:eastAsia="FangSong" w:cs="FangSong"/>
          <w:sz w:val="31"/>
          <w:szCs w:val="31"/>
          <w:spacing w:val="6"/>
        </w:rPr>
        <w:t>医疗机构应当采取有效措施，保证</w:t>
      </w:r>
      <w:r>
        <w:rPr>
          <w:rFonts w:ascii="FangSong" w:hAnsi="FangSong" w:eastAsia="FangSong" w:cs="FangSong"/>
          <w:sz w:val="31"/>
          <w:szCs w:val="31"/>
          <w:spacing w:val="5"/>
        </w:rPr>
        <w:t>放射防护、安全与放射诊</w:t>
      </w:r>
      <w:r>
        <w:rPr>
          <w:rFonts w:ascii="FangSong" w:hAnsi="FangSong" w:eastAsia="FangSong" w:cs="FangSong"/>
          <w:sz w:val="31"/>
          <w:szCs w:val="31"/>
        </w:rPr>
        <w:t xml:space="preserve"> </w:t>
      </w:r>
      <w:r>
        <w:rPr>
          <w:rFonts w:ascii="FangSong" w:hAnsi="FangSong" w:eastAsia="FangSong" w:cs="FangSong"/>
          <w:sz w:val="31"/>
          <w:szCs w:val="31"/>
          <w:spacing w:val="6"/>
        </w:rPr>
        <w:t>疗质量符合有关规定、标准和规范的要求。</w:t>
      </w:r>
    </w:p>
    <w:p>
      <w:pPr>
        <w:ind w:left="6419"/>
        <w:spacing w:before="229"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6" w:lineRule="auto"/>
        <w:rPr>
          <w:rFonts w:ascii="Arial"/>
          <w:sz w:val="2"/>
        </w:rPr>
      </w:pPr>
      <w:r>
        <w:rPr>
          <w:rFonts w:ascii="Arial"/>
          <w:sz w:val="2"/>
        </w:rPr>
      </w:r>
    </w:p>
    <w:tbl>
      <w:tblPr>
        <w:tblStyle w:val="TableNormal"/>
        <w:tblW w:w="139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584"/>
        <w:gridCol w:w="4622"/>
      </w:tblGrid>
      <w:tr>
        <w:trPr>
          <w:trHeight w:val="540" w:hRule="atLeast"/>
        </w:trPr>
        <w:tc>
          <w:tcPr>
            <w:tcW w:w="1784" w:type="dxa"/>
            <w:vAlign w:val="top"/>
          </w:tcPr>
          <w:p>
            <w:pPr>
              <w:pStyle w:val="TableText"/>
              <w:ind w:left="309"/>
              <w:spacing w:before="133" w:line="220" w:lineRule="auto"/>
              <w:rPr>
                <w:sz w:val="29"/>
                <w:szCs w:val="29"/>
              </w:rPr>
            </w:pPr>
            <w:r>
              <w:rPr>
                <w:sz w:val="29"/>
                <w:szCs w:val="29"/>
                <w:b/>
                <w:bCs/>
                <w:spacing w:val="-1"/>
              </w:rPr>
              <w:t>违法程度</w:t>
            </w:r>
          </w:p>
        </w:tc>
        <w:tc>
          <w:tcPr>
            <w:tcW w:w="7584" w:type="dxa"/>
            <w:vAlign w:val="top"/>
          </w:tcPr>
          <w:p>
            <w:pPr>
              <w:pStyle w:val="TableText"/>
              <w:ind w:left="3235"/>
              <w:spacing w:before="133" w:line="220" w:lineRule="auto"/>
              <w:rPr>
                <w:sz w:val="29"/>
                <w:szCs w:val="29"/>
              </w:rPr>
            </w:pPr>
            <w:r>
              <w:rPr>
                <w:sz w:val="29"/>
                <w:szCs w:val="29"/>
                <w:b/>
                <w:bCs/>
                <w:spacing w:val="-1"/>
              </w:rPr>
              <w:t>情节后果</w:t>
            </w:r>
          </w:p>
        </w:tc>
        <w:tc>
          <w:tcPr>
            <w:tcW w:w="4622" w:type="dxa"/>
            <w:vAlign w:val="top"/>
          </w:tcPr>
          <w:p>
            <w:pPr>
              <w:pStyle w:val="TableText"/>
              <w:ind w:left="1741"/>
              <w:spacing w:before="130" w:line="218" w:lineRule="auto"/>
              <w:rPr>
                <w:sz w:val="29"/>
                <w:szCs w:val="29"/>
              </w:rPr>
            </w:pPr>
            <w:r>
              <w:rPr>
                <w:sz w:val="29"/>
                <w:szCs w:val="29"/>
                <w:b/>
                <w:bCs/>
                <w:spacing w:val="-1"/>
              </w:rPr>
              <w:t>裁量幅度</w:t>
            </w:r>
          </w:p>
        </w:tc>
      </w:tr>
    </w:tbl>
    <w:p>
      <w:pPr>
        <w:pStyle w:val="BodyText"/>
        <w:rPr/>
      </w:pPr>
      <w:r/>
    </w:p>
    <w:p>
      <w:pPr>
        <w:sectPr>
          <w:footerReference w:type="default" r:id="rId591"/>
          <w:pgSz w:w="16830" w:h="11900"/>
          <w:pgMar w:top="1011" w:right="1394" w:bottom="1141" w:left="1434" w:header="0" w:footer="817" w:gutter="0"/>
        </w:sectPr>
        <w:rPr/>
      </w:pPr>
    </w:p>
    <w:p>
      <w:pPr>
        <w:pStyle w:val="BodyText"/>
        <w:spacing w:line="259" w:lineRule="auto"/>
        <w:rPr/>
      </w:pPr>
      <w:r/>
    </w:p>
    <w:p>
      <w:pPr>
        <w:pStyle w:val="BodyText"/>
        <w:spacing w:line="259" w:lineRule="auto"/>
        <w:rPr/>
      </w:pPr>
      <w:r/>
    </w:p>
    <w:p>
      <w:pPr>
        <w:pStyle w:val="BodyText"/>
        <w:spacing w:line="260" w:lineRule="auto"/>
        <w:rPr/>
      </w:pPr>
      <w:r/>
    </w:p>
    <w:p>
      <w:pPr>
        <w:pStyle w:val="BodyText"/>
        <w:ind w:firstLine="9"/>
        <w:spacing w:line="2410" w:lineRule="exact"/>
        <w:rPr/>
      </w:pPr>
      <w:r>
        <w:rPr>
          <w:position w:val="-48"/>
        </w:rPr>
        <w:pict>
          <v:group id="_x0000_s62" style="mso-position-vertical-relative:line;mso-position-horizontal-relative:char;width:700.9pt;height:120.5pt;" filled="false" stroked="false" coordsize="14018,2410" coordorigin="0,0">
            <v:shape id="_x0000_s64" style="position:absolute;left:0;top:0;width:14000;height:2410;" filled="false" strokecolor="#000000" strokeweight="0.50pt" coordsize="14000,2410" coordorigin="0,0" path="m5,5l5,714m5,5l1785,5m1785,5l1785,714m5,714l1785,714m1785,5l1785,714m1785,5l9375,5m9375,5l9375,714m1785,714l9375,714m9375,5l9375,714m9375,5l13995,5m13995,5l13995,714m9375,714l13995,714m5,714l5,1554m5,714l1785,714m1785,714l1785,1554m5,1554l1785,1554m1785,714l1785,1554m1785,714l9375,714m9375,714l9375,1554m1785,1554l9375,1554m9375,714l9375,1554m9375,714l13995,714m13995,714l13995,1554m9375,1554l13995,1554m5,1554l5,2404m5,1554l1785,1554m1785,1554l1785,2404m5,2404l1785,2404m1785,1554l1785,2404m1785,1554l9375,1554m9375,1554l9375,2404m1785,2404l9375,2404m9375,1554l9375,2404m9375,1554l13995,1554m13995,1554l13995,2404m9375,2404l13995,2404e">
              <v:stroke joinstyle="miter" miterlimit="10"/>
            </v:shape>
            <v:shape id="_x0000_s66" style="position:absolute;left:1895;top:54;width:7502;height:2270;" filled="false" stroked="false" type="#_x0000_t202">
              <v:fill on="false"/>
              <v:stroke on="false"/>
              <v:path/>
              <v:imagedata o:title=""/>
              <o:lock v:ext="edit" aspectratio="false"/>
              <v:textbox inset="0mm,0mm,0mm,0mm">
                <w:txbxContent>
                  <w:p>
                    <w:pPr>
                      <w:ind w:left="20" w:right="20" w:firstLine="9"/>
                      <w:spacing w:before="20" w:line="260" w:lineRule="auto"/>
                      <w:rPr>
                        <w:rFonts w:ascii="SimSun" w:hAnsi="SimSun" w:eastAsia="SimSun" w:cs="SimSun"/>
                        <w:sz w:val="25"/>
                        <w:szCs w:val="25"/>
                      </w:rPr>
                    </w:pPr>
                    <w:r>
                      <w:rPr>
                        <w:rFonts w:ascii="SimSun" w:hAnsi="SimSun" w:eastAsia="SimSun" w:cs="SimSun"/>
                        <w:sz w:val="25"/>
                        <w:szCs w:val="25"/>
                        <w:spacing w:val="-2"/>
                      </w:rPr>
                      <w:t>医疗机构放射治疗场所未按照相应标准配备放疗剂量仪、剂量扫描装</w:t>
                    </w:r>
                    <w:r>
                      <w:rPr>
                        <w:rFonts w:ascii="SimSun" w:hAnsi="SimSun" w:eastAsia="SimSun" w:cs="SimSun"/>
                        <w:sz w:val="25"/>
                        <w:szCs w:val="25"/>
                        <w:spacing w:val="10"/>
                      </w:rPr>
                      <w:t xml:space="preserve"> </w:t>
                    </w:r>
                    <w:r>
                      <w:rPr>
                        <w:rFonts w:ascii="SimSun" w:hAnsi="SimSun" w:eastAsia="SimSun" w:cs="SimSun"/>
                        <w:sz w:val="25"/>
                        <w:szCs w:val="25"/>
                      </w:rPr>
                      <w:t>置和个人剂量报警仪，数目为1件(套)的</w:t>
                    </w:r>
                  </w:p>
                  <w:p>
                    <w:pPr>
                      <w:ind w:left="20" w:right="20" w:firstLine="9"/>
                      <w:spacing w:before="85" w:line="238" w:lineRule="auto"/>
                      <w:rPr>
                        <w:rFonts w:ascii="SimSun" w:hAnsi="SimSun" w:eastAsia="SimSun" w:cs="SimSun"/>
                        <w:sz w:val="25"/>
                        <w:szCs w:val="25"/>
                      </w:rPr>
                    </w:pPr>
                    <w:r>
                      <w:rPr>
                        <w:rFonts w:ascii="SimSun" w:hAnsi="SimSun" w:eastAsia="SimSun" w:cs="SimSun"/>
                        <w:sz w:val="25"/>
                        <w:szCs w:val="25"/>
                        <w:spacing w:val="-2"/>
                      </w:rPr>
                      <w:t>医疗机构放射治疗场所未按照相应标准配备放疗剂量仪、剂量扫描装</w:t>
                    </w:r>
                    <w:r>
                      <w:rPr>
                        <w:rFonts w:ascii="SimSun" w:hAnsi="SimSun" w:eastAsia="SimSun" w:cs="SimSun"/>
                        <w:sz w:val="25"/>
                        <w:szCs w:val="25"/>
                        <w:spacing w:val="10"/>
                      </w:rPr>
                      <w:t xml:space="preserve"> </w:t>
                    </w:r>
                    <w:r>
                      <w:rPr>
                        <w:rFonts w:ascii="SimSun" w:hAnsi="SimSun" w:eastAsia="SimSun" w:cs="SimSun"/>
                        <w:sz w:val="25"/>
                        <w:szCs w:val="25"/>
                      </w:rPr>
                      <w:t>置和个人剂量报警仪，数目为2件(套)及以上的</w:t>
                    </w:r>
                  </w:p>
                  <w:p>
                    <w:pPr>
                      <w:ind w:left="20" w:right="20" w:firstLine="9"/>
                      <w:spacing w:before="195" w:line="246" w:lineRule="auto"/>
                      <w:rPr>
                        <w:rFonts w:ascii="SimSun" w:hAnsi="SimSun" w:eastAsia="SimSun" w:cs="SimSun"/>
                        <w:sz w:val="25"/>
                        <w:szCs w:val="25"/>
                      </w:rPr>
                    </w:pPr>
                    <w:r>
                      <w:rPr>
                        <w:rFonts w:ascii="SimSun" w:hAnsi="SimSun" w:eastAsia="SimSun" w:cs="SimSun"/>
                        <w:sz w:val="25"/>
                        <w:szCs w:val="25"/>
                        <w:spacing w:val="-2"/>
                      </w:rPr>
                      <w:t>医疗机构放射治疗场所未按照相应标准配备放疗剂量仪、剂量扫描装</w:t>
                    </w:r>
                    <w:r>
                      <w:rPr>
                        <w:rFonts w:ascii="SimSun" w:hAnsi="SimSun" w:eastAsia="SimSun" w:cs="SimSun"/>
                        <w:sz w:val="25"/>
                        <w:szCs w:val="25"/>
                        <w:spacing w:val="10"/>
                      </w:rPr>
                      <w:t xml:space="preserve"> </w:t>
                    </w:r>
                    <w:r>
                      <w:rPr>
                        <w:rFonts w:ascii="SimSun" w:hAnsi="SimSun" w:eastAsia="SimSun" w:cs="SimSun"/>
                        <w:sz w:val="25"/>
                        <w:szCs w:val="25"/>
                        <w:spacing w:val="1"/>
                      </w:rPr>
                      <w:t>置和个人剂量报警仪，造成严重后果的</w:t>
                    </w:r>
                  </w:p>
                </w:txbxContent>
              </v:textbox>
            </v:shape>
            <v:shape id="_x0000_s68" style="position:absolute;left:9475;top:53;width:4562;height:2273;" filled="false" stroked="false" type="#_x0000_t202">
              <v:fill on="false"/>
              <v:stroke on="false"/>
              <v:path/>
              <v:imagedata o:title=""/>
              <o:lock v:ext="edit" aspectratio="false"/>
              <v:textbox inset="0mm,0mm,0mm,0mm">
                <w:txbxContent>
                  <w:p>
                    <w:pPr>
                      <w:ind w:left="20" w:right="20"/>
                      <w:spacing w:before="19" w:line="278" w:lineRule="auto"/>
                      <w:rPr>
                        <w:rFonts w:ascii="SimSun" w:hAnsi="SimSun" w:eastAsia="SimSun" w:cs="SimSun"/>
                        <w:sz w:val="25"/>
                        <w:szCs w:val="25"/>
                      </w:rPr>
                    </w:pPr>
                    <w:r>
                      <w:rPr>
                        <w:rFonts w:ascii="SimSun" w:hAnsi="SimSun" w:eastAsia="SimSun" w:cs="SimSun"/>
                        <w:sz w:val="25"/>
                        <w:szCs w:val="25"/>
                        <w:spacing w:val="1"/>
                      </w:rPr>
                      <w:t>给予警告，责令限期改正；并处3000元以 </w:t>
                    </w:r>
                    <w:r>
                      <w:rPr>
                        <w:rFonts w:ascii="SimSun" w:hAnsi="SimSun" w:eastAsia="SimSun" w:cs="SimSun"/>
                        <w:sz w:val="25"/>
                        <w:szCs w:val="25"/>
                      </w:rPr>
                      <w:t>上7000元以下的罚款</w:t>
                    </w:r>
                  </w:p>
                  <w:p>
                    <w:pPr>
                      <w:ind w:left="20" w:right="20"/>
                      <w:spacing w:before="37" w:line="241" w:lineRule="auto"/>
                      <w:rPr>
                        <w:rFonts w:ascii="SimSun" w:hAnsi="SimSun" w:eastAsia="SimSun" w:cs="SimSun"/>
                        <w:sz w:val="25"/>
                        <w:szCs w:val="25"/>
                      </w:rPr>
                    </w:pPr>
                    <w:r>
                      <w:rPr>
                        <w:rFonts w:ascii="SimSun" w:hAnsi="SimSun" w:eastAsia="SimSun" w:cs="SimSun"/>
                        <w:sz w:val="25"/>
                        <w:szCs w:val="25"/>
                        <w:spacing w:val="1"/>
                      </w:rPr>
                      <w:t>给予警告，责令限期改正；并处7000元以 </w:t>
                    </w:r>
                    <w:r>
                      <w:rPr>
                        <w:rFonts w:ascii="SimSun" w:hAnsi="SimSun" w:eastAsia="SimSun" w:cs="SimSun"/>
                        <w:sz w:val="25"/>
                        <w:szCs w:val="25"/>
                        <w:spacing w:val="1"/>
                      </w:rPr>
                      <w:t>上一万元以下的罚款</w:t>
                    </w:r>
                  </w:p>
                  <w:p>
                    <w:pPr>
                      <w:ind w:left="20"/>
                      <w:spacing w:before="197" w:line="218" w:lineRule="auto"/>
                      <w:rPr>
                        <w:rFonts w:ascii="SimSun" w:hAnsi="SimSun" w:eastAsia="SimSun" w:cs="SimSun"/>
                        <w:sz w:val="25"/>
                        <w:szCs w:val="25"/>
                      </w:rPr>
                    </w:pPr>
                    <w:r>
                      <w:rPr>
                        <w:rFonts w:ascii="SimSun" w:hAnsi="SimSun" w:eastAsia="SimSun" w:cs="SimSun"/>
                        <w:sz w:val="25"/>
                        <w:szCs w:val="25"/>
                      </w:rPr>
                      <w:t>给予警告，责令限期改正；并处一万元的</w:t>
                    </w:r>
                  </w:p>
                  <w:p>
                    <w:pPr>
                      <w:ind w:left="20"/>
                      <w:spacing w:before="48" w:line="221" w:lineRule="auto"/>
                      <w:rPr>
                        <w:rFonts w:ascii="SimSun" w:hAnsi="SimSun" w:eastAsia="SimSun" w:cs="SimSun"/>
                        <w:sz w:val="25"/>
                        <w:szCs w:val="25"/>
                      </w:rPr>
                    </w:pPr>
                    <w:r>
                      <w:rPr>
                        <w:rFonts w:ascii="SimSun" w:hAnsi="SimSun" w:eastAsia="SimSun" w:cs="SimSun"/>
                        <w:sz w:val="25"/>
                        <w:szCs w:val="25"/>
                        <w:color w:val="403040"/>
                        <w:spacing w:val="5"/>
                      </w:rPr>
                      <w:t>罚款</w:t>
                    </w:r>
                  </w:p>
                </w:txbxContent>
              </v:textbox>
            </v:shape>
            <v:shape id="_x0000_s70" style="position:absolute;left:378;top:224;width:1030;height:1906;" filled="false" stroked="false" type="#_x0000_t202">
              <v:fill on="false"/>
              <v:stroke on="false"/>
              <v:path/>
              <v:imagedata o:title=""/>
              <o:lock v:ext="edit" aspectratio="false"/>
              <v:textbox inset="0mm,0mm,0mm,0mm">
                <w:txbxContent>
                  <w:p>
                    <w:pPr>
                      <w:ind w:left="270"/>
                      <w:spacing w:before="20" w:line="221" w:lineRule="auto"/>
                      <w:rPr>
                        <w:rFonts w:ascii="SimSun" w:hAnsi="SimSun" w:eastAsia="SimSun" w:cs="SimSun"/>
                        <w:sz w:val="25"/>
                        <w:szCs w:val="25"/>
                      </w:rPr>
                    </w:pPr>
                    <w:bookmarkStart w:name="bookmark1220" w:id="597"/>
                    <w:bookmarkEnd w:id="597"/>
                    <w:r>
                      <w:rPr>
                        <w:rFonts w:ascii="SimSun" w:hAnsi="SimSun" w:eastAsia="SimSun" w:cs="SimSun"/>
                        <w:sz w:val="25"/>
                        <w:szCs w:val="25"/>
                        <w:b/>
                        <w:bCs/>
                        <w:spacing w:val="-6"/>
                      </w:rPr>
                      <w:t>较重</w:t>
                    </w:r>
                  </w:p>
                  <w:p>
                    <w:pPr>
                      <w:spacing w:line="384" w:lineRule="auto"/>
                      <w:rPr>
                        <w:rFonts w:ascii="Arial"/>
                        <w:sz w:val="21"/>
                      </w:rPr>
                    </w:pPr>
                    <w:r/>
                  </w:p>
                  <w:p>
                    <w:pPr>
                      <w:ind w:left="270"/>
                      <w:spacing w:before="81" w:line="220" w:lineRule="auto"/>
                      <w:rPr>
                        <w:rFonts w:ascii="SimSun" w:hAnsi="SimSun" w:eastAsia="SimSun" w:cs="SimSun"/>
                        <w:sz w:val="25"/>
                        <w:szCs w:val="25"/>
                      </w:rPr>
                    </w:pPr>
                    <w:r>
                      <w:rPr>
                        <w:rFonts w:ascii="SimSun" w:hAnsi="SimSun" w:eastAsia="SimSun" w:cs="SimSun"/>
                        <w:sz w:val="25"/>
                        <w:szCs w:val="25"/>
                        <w:b/>
                        <w:bCs/>
                        <w:spacing w:val="-6"/>
                      </w:rPr>
                      <w:t>严重</w:t>
                    </w:r>
                  </w:p>
                  <w:p>
                    <w:pPr>
                      <w:spacing w:line="467" w:lineRule="auto"/>
                      <w:rPr>
                        <w:rFonts w:ascii="Arial"/>
                        <w:sz w:val="21"/>
                      </w:rPr>
                    </w:pPr>
                    <w:r/>
                  </w:p>
                  <w:p>
                    <w:pPr>
                      <w:ind w:left="20"/>
                      <w:spacing w:before="81" w:line="219" w:lineRule="auto"/>
                      <w:rPr>
                        <w:rFonts w:ascii="SimSun" w:hAnsi="SimSun" w:eastAsia="SimSun" w:cs="SimSun"/>
                        <w:sz w:val="25"/>
                        <w:szCs w:val="25"/>
                      </w:rPr>
                    </w:pPr>
                    <w:r>
                      <w:rPr>
                        <w:rFonts w:ascii="SimSun" w:hAnsi="SimSun" w:eastAsia="SimSun" w:cs="SimSun"/>
                        <w:sz w:val="25"/>
                        <w:szCs w:val="25"/>
                        <w:b/>
                        <w:bCs/>
                        <w:spacing w:val="-5"/>
                      </w:rPr>
                      <w:t>特别严重</w:t>
                    </w:r>
                  </w:p>
                </w:txbxContent>
              </v:textbox>
            </v:shape>
          </v:group>
        </w:pict>
      </w:r>
    </w:p>
    <w:p>
      <w:pPr>
        <w:pStyle w:val="BodyText"/>
        <w:spacing w:line="448" w:lineRule="auto"/>
        <w:rPr/>
      </w:pPr>
      <w:r/>
    </w:p>
    <w:p>
      <w:pPr>
        <w:ind w:left="29" w:right="132" w:firstLine="619"/>
        <w:spacing w:before="100" w:line="270" w:lineRule="auto"/>
        <w:rPr>
          <w:rFonts w:ascii="KaiTi" w:hAnsi="KaiTi" w:eastAsia="KaiTi" w:cs="KaiTi"/>
          <w:sz w:val="31"/>
          <w:szCs w:val="31"/>
        </w:rPr>
      </w:pPr>
      <w:r>
        <w:rPr>
          <w:rFonts w:ascii="KaiTi" w:hAnsi="KaiTi" w:eastAsia="KaiTi" w:cs="KaiTi"/>
          <w:sz w:val="31"/>
          <w:szCs w:val="31"/>
          <w:b/>
          <w:bCs/>
          <w:spacing w:val="10"/>
        </w:rPr>
        <w:t>第五百六十八条医疗机构核医学工作场所未设有专门的放射性同位素分装</w:t>
      </w:r>
      <w:r>
        <w:rPr>
          <w:rFonts w:ascii="KaiTi" w:hAnsi="KaiTi" w:eastAsia="KaiTi" w:cs="KaiTi"/>
          <w:sz w:val="31"/>
          <w:szCs w:val="31"/>
          <w:b/>
          <w:bCs/>
          <w:spacing w:val="9"/>
        </w:rPr>
        <w:t>、注射、储存场所，</w:t>
      </w:r>
      <w:r>
        <w:rPr>
          <w:rFonts w:ascii="KaiTi" w:hAnsi="KaiTi" w:eastAsia="KaiTi" w:cs="KaiTi"/>
          <w:sz w:val="31"/>
          <w:szCs w:val="31"/>
        </w:rPr>
        <w:t xml:space="preserve"> </w:t>
      </w:r>
      <w:r>
        <w:rPr>
          <w:rFonts w:ascii="KaiTi" w:hAnsi="KaiTi" w:eastAsia="KaiTi" w:cs="KaiTi"/>
          <w:sz w:val="31"/>
          <w:szCs w:val="31"/>
          <w:b/>
          <w:bCs/>
          <w:spacing w:val="5"/>
        </w:rPr>
        <w:t>放射性废物屏蔽设备和存放场所的</w:t>
      </w:r>
    </w:p>
    <w:p>
      <w:pPr>
        <w:ind w:left="644"/>
        <w:spacing w:before="7" w:line="222" w:lineRule="auto"/>
        <w:rPr>
          <w:rFonts w:ascii="FangSong" w:hAnsi="FangSong" w:eastAsia="FangSong" w:cs="FangSong"/>
          <w:sz w:val="31"/>
          <w:szCs w:val="31"/>
        </w:rPr>
      </w:pPr>
      <w:r>
        <w:rPr>
          <w:rFonts w:ascii="FangSong" w:hAnsi="FangSong" w:eastAsia="FangSong" w:cs="FangSong"/>
          <w:sz w:val="31"/>
          <w:szCs w:val="31"/>
          <w:spacing w:val="-3"/>
        </w:rPr>
        <w:t>法律依据：</w:t>
      </w:r>
    </w:p>
    <w:p>
      <w:pPr>
        <w:ind w:left="25" w:right="177" w:firstLine="619"/>
        <w:spacing w:before="35" w:line="262" w:lineRule="auto"/>
        <w:rPr>
          <w:rFonts w:ascii="FangSong" w:hAnsi="FangSong" w:eastAsia="FangSong" w:cs="FangSong"/>
          <w:sz w:val="31"/>
          <w:szCs w:val="31"/>
        </w:rPr>
      </w:pPr>
      <w:r>
        <w:rPr>
          <w:rFonts w:ascii="FangSong" w:hAnsi="FangSong" w:eastAsia="FangSong" w:cs="FangSong"/>
          <w:sz w:val="31"/>
          <w:szCs w:val="31"/>
          <w:spacing w:val="11"/>
        </w:rPr>
        <w:t>1.</w:t>
      </w:r>
      <w:r>
        <w:rPr>
          <w:rFonts w:ascii="FangSong" w:hAnsi="FangSong" w:eastAsia="FangSong" w:cs="FangSong"/>
          <w:sz w:val="31"/>
          <w:szCs w:val="31"/>
          <w:spacing w:val="11"/>
        </w:rPr>
        <w:t xml:space="preserve"> </w:t>
      </w:r>
      <w:r>
        <w:rPr>
          <w:rFonts w:ascii="FangSong" w:hAnsi="FangSong" w:eastAsia="FangSong" w:cs="FangSong"/>
          <w:sz w:val="31"/>
          <w:szCs w:val="31"/>
          <w:spacing w:val="11"/>
        </w:rPr>
        <w:t>《放射诊疗管理规定》第四十一条第(七)项</w:t>
      </w:r>
      <w:r>
        <w:rPr>
          <w:rFonts w:ascii="FangSong" w:hAnsi="FangSong" w:eastAsia="FangSong" w:cs="FangSong"/>
          <w:sz w:val="31"/>
          <w:szCs w:val="31"/>
          <w:spacing w:val="11"/>
        </w:rPr>
        <w:t xml:space="preserve">   </w:t>
      </w:r>
      <w:r>
        <w:rPr>
          <w:rFonts w:ascii="FangSong" w:hAnsi="FangSong" w:eastAsia="FangSong" w:cs="FangSong"/>
          <w:sz w:val="31"/>
          <w:szCs w:val="31"/>
          <w:spacing w:val="11"/>
        </w:rPr>
        <w:t>医疗机构违反本规定，有下列行为之一的，</w:t>
      </w:r>
      <w:r>
        <w:rPr>
          <w:rFonts w:ascii="FangSong" w:hAnsi="FangSong" w:eastAsia="FangSong" w:cs="FangSong"/>
          <w:sz w:val="31"/>
          <w:szCs w:val="31"/>
        </w:rPr>
        <w:t xml:space="preserve"> </w:t>
      </w:r>
      <w:r>
        <w:rPr>
          <w:rFonts w:ascii="FangSong" w:hAnsi="FangSong" w:eastAsia="FangSong" w:cs="FangSong"/>
          <w:sz w:val="31"/>
          <w:szCs w:val="31"/>
          <w:spacing w:val="7"/>
        </w:rPr>
        <w:t>由县级以上卫生行政部门给予警告，责令限期改正；并可处一万元以下的罚款：</w:t>
      </w:r>
    </w:p>
    <w:p>
      <w:pPr>
        <w:ind w:left="804"/>
        <w:spacing w:before="1" w:line="221" w:lineRule="auto"/>
        <w:rPr>
          <w:rFonts w:ascii="FangSong" w:hAnsi="FangSong" w:eastAsia="FangSong" w:cs="FangSong"/>
          <w:sz w:val="31"/>
          <w:szCs w:val="31"/>
        </w:rPr>
      </w:pPr>
      <w:r>
        <w:rPr>
          <w:rFonts w:ascii="FangSong" w:hAnsi="FangSong" w:eastAsia="FangSong" w:cs="FangSong"/>
          <w:sz w:val="31"/>
          <w:szCs w:val="31"/>
          <w:spacing w:val="18"/>
        </w:rPr>
        <w:t>(七)违反本规定的其他情形。</w:t>
      </w:r>
    </w:p>
    <w:p>
      <w:pPr>
        <w:ind w:left="25" w:right="122" w:firstLine="619"/>
        <w:spacing w:before="78" w:line="244" w:lineRule="auto"/>
        <w:rPr>
          <w:rFonts w:ascii="FangSong" w:hAnsi="FangSong" w:eastAsia="FangSong" w:cs="FangSong"/>
          <w:sz w:val="31"/>
          <w:szCs w:val="31"/>
        </w:rPr>
      </w:pPr>
      <w:r>
        <w:rPr>
          <w:rFonts w:ascii="Times New Roman" w:hAnsi="Times New Roman" w:eastAsia="Times New Roman" w:cs="Times New Roman"/>
          <w:sz w:val="31"/>
          <w:szCs w:val="31"/>
          <w:spacing w:val="5"/>
        </w:rPr>
        <w:t>2</w:t>
      </w:r>
      <w:r>
        <w:rPr>
          <w:rFonts w:ascii="FangSong" w:hAnsi="FangSong" w:eastAsia="FangSong" w:cs="FangSong"/>
          <w:sz w:val="31"/>
          <w:szCs w:val="31"/>
          <w:spacing w:val="5"/>
        </w:rPr>
        <w:t>.</w:t>
      </w:r>
      <w:r>
        <w:rPr>
          <w:rFonts w:ascii="FangSong" w:hAnsi="FangSong" w:eastAsia="FangSong" w:cs="FangSong"/>
          <w:sz w:val="31"/>
          <w:szCs w:val="31"/>
          <w:spacing w:val="5"/>
        </w:rPr>
        <w:t xml:space="preserve"> </w:t>
      </w:r>
      <w:r>
        <w:rPr>
          <w:rFonts w:ascii="FangSong" w:hAnsi="FangSong" w:eastAsia="FangSong" w:cs="FangSong"/>
          <w:sz w:val="31"/>
          <w:szCs w:val="31"/>
          <w:spacing w:val="5"/>
        </w:rPr>
        <w:t>《放射诊疗管理规定》第五条</w:t>
      </w:r>
      <w:r>
        <w:rPr>
          <w:rFonts w:ascii="FangSong" w:hAnsi="FangSong" w:eastAsia="FangSong" w:cs="FangSong"/>
          <w:sz w:val="31"/>
          <w:szCs w:val="31"/>
          <w:spacing w:val="5"/>
        </w:rPr>
        <w:t xml:space="preserve">   </w:t>
      </w:r>
      <w:r>
        <w:rPr>
          <w:rFonts w:ascii="FangSong" w:hAnsi="FangSong" w:eastAsia="FangSong" w:cs="FangSong"/>
          <w:sz w:val="31"/>
          <w:szCs w:val="31"/>
          <w:spacing w:val="5"/>
        </w:rPr>
        <w:t>医疗机构应当采取有效措施，保证放射防护、安全与放射诊</w:t>
      </w:r>
      <w:r>
        <w:rPr>
          <w:rFonts w:ascii="FangSong" w:hAnsi="FangSong" w:eastAsia="FangSong" w:cs="FangSong"/>
          <w:sz w:val="31"/>
          <w:szCs w:val="31"/>
          <w:spacing w:val="14"/>
        </w:rPr>
        <w:t xml:space="preserve"> </w:t>
      </w:r>
      <w:r>
        <w:rPr>
          <w:rFonts w:ascii="FangSong" w:hAnsi="FangSong" w:eastAsia="FangSong" w:cs="FangSong"/>
          <w:sz w:val="31"/>
          <w:szCs w:val="31"/>
          <w:spacing w:val="6"/>
        </w:rPr>
        <w:t>疗质量符合有关规定、标准和规范的要求。</w:t>
      </w:r>
    </w:p>
    <w:p>
      <w:pPr>
        <w:pStyle w:val="BodyText"/>
        <w:spacing w:line="352" w:lineRule="auto"/>
        <w:rPr/>
      </w:pPr>
      <w:r/>
    </w:p>
    <w:p>
      <w:pPr>
        <w:pStyle w:val="BodyText"/>
        <w:spacing w:line="352" w:lineRule="auto"/>
        <w:rPr/>
      </w:pPr>
      <w:r/>
    </w:p>
    <w:p>
      <w:pPr>
        <w:ind w:left="6428"/>
        <w:spacing w:before="92"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36" w:lineRule="auto"/>
        <w:rPr>
          <w:rFonts w:ascii="Arial"/>
          <w:sz w:val="2"/>
        </w:rPr>
      </w:pPr>
      <w:r>
        <w:rPr>
          <w:rFonts w:ascii="Arial"/>
          <w:sz w:val="2"/>
        </w:rPr>
      </w:r>
    </w:p>
    <w:tbl>
      <w:tblPr>
        <w:tblStyle w:val="TableNormal"/>
        <w:tblW w:w="139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13"/>
        <w:gridCol w:w="7554"/>
        <w:gridCol w:w="4622"/>
      </w:tblGrid>
      <w:tr>
        <w:trPr>
          <w:trHeight w:val="649" w:hRule="atLeast"/>
        </w:trPr>
        <w:tc>
          <w:tcPr>
            <w:tcW w:w="1813" w:type="dxa"/>
            <w:vAlign w:val="top"/>
          </w:tcPr>
          <w:p>
            <w:pPr>
              <w:pStyle w:val="TableText"/>
              <w:ind w:left="329"/>
              <w:spacing w:before="183" w:line="220" w:lineRule="auto"/>
              <w:rPr>
                <w:sz w:val="29"/>
                <w:szCs w:val="29"/>
              </w:rPr>
            </w:pPr>
            <w:r>
              <w:rPr>
                <w:sz w:val="29"/>
                <w:szCs w:val="29"/>
                <w:b/>
                <w:bCs/>
                <w:spacing w:val="-1"/>
              </w:rPr>
              <w:t>违法程度</w:t>
            </w:r>
          </w:p>
        </w:tc>
        <w:tc>
          <w:tcPr>
            <w:tcW w:w="7554" w:type="dxa"/>
            <w:vAlign w:val="top"/>
          </w:tcPr>
          <w:p>
            <w:pPr>
              <w:pStyle w:val="TableText"/>
              <w:ind w:left="3206"/>
              <w:spacing w:before="183" w:line="220" w:lineRule="auto"/>
              <w:rPr>
                <w:sz w:val="29"/>
                <w:szCs w:val="29"/>
              </w:rPr>
            </w:pPr>
            <w:r>
              <w:rPr>
                <w:sz w:val="29"/>
                <w:szCs w:val="29"/>
                <w:b/>
                <w:bCs/>
                <w:spacing w:val="-1"/>
              </w:rPr>
              <w:t>情节后果</w:t>
            </w:r>
          </w:p>
        </w:tc>
        <w:tc>
          <w:tcPr>
            <w:tcW w:w="4622" w:type="dxa"/>
            <w:vAlign w:val="top"/>
          </w:tcPr>
          <w:p>
            <w:pPr>
              <w:pStyle w:val="TableText"/>
              <w:ind w:left="1752"/>
              <w:spacing w:before="180" w:line="218" w:lineRule="auto"/>
              <w:rPr>
                <w:sz w:val="29"/>
                <w:szCs w:val="29"/>
              </w:rPr>
            </w:pPr>
            <w:r>
              <w:rPr>
                <w:sz w:val="29"/>
                <w:szCs w:val="29"/>
                <w:b/>
                <w:bCs/>
                <w:spacing w:val="-1"/>
              </w:rPr>
              <w:t>裁量幅度</w:t>
            </w:r>
          </w:p>
        </w:tc>
      </w:tr>
    </w:tbl>
    <w:p>
      <w:pPr>
        <w:pStyle w:val="BodyText"/>
        <w:rPr/>
      </w:pPr>
      <w:r/>
    </w:p>
    <w:p>
      <w:pPr>
        <w:sectPr>
          <w:footerReference w:type="default" r:id="rId592"/>
          <w:pgSz w:w="16830" w:h="11900"/>
          <w:pgMar w:top="1011" w:right="1377" w:bottom="1125" w:left="1425" w:header="0" w:footer="783" w:gutter="0"/>
        </w:sectPr>
        <w:rPr/>
      </w:pPr>
    </w:p>
    <w:p>
      <w:pPr>
        <w:spacing w:before="20"/>
        <w:rPr/>
      </w:pPr>
      <w:r/>
    </w:p>
    <w:p>
      <w:pPr>
        <w:spacing w:before="20"/>
        <w:rPr/>
      </w:pPr>
      <w:r/>
    </w:p>
    <w:p>
      <w:pPr>
        <w:spacing w:before="19"/>
        <w:rPr/>
      </w:pPr>
      <w:r/>
    </w:p>
    <w:tbl>
      <w:tblPr>
        <w:tblStyle w:val="TableNormal"/>
        <w:tblW w:w="139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584"/>
        <w:gridCol w:w="4622"/>
      </w:tblGrid>
      <w:tr>
        <w:trPr>
          <w:trHeight w:val="702" w:hRule="atLeast"/>
        </w:trPr>
        <w:tc>
          <w:tcPr>
            <w:tcW w:w="1784" w:type="dxa"/>
            <w:vAlign w:val="top"/>
          </w:tcPr>
          <w:p>
            <w:pPr>
              <w:pStyle w:val="TableText"/>
              <w:ind w:left="648"/>
              <w:spacing w:before="234" w:line="221" w:lineRule="auto"/>
              <w:rPr/>
            </w:pPr>
            <w:bookmarkStart w:name="bookmark1221" w:id="598"/>
            <w:bookmarkEnd w:id="598"/>
            <w:r>
              <w:rPr>
                <w:b/>
                <w:bCs/>
                <w:spacing w:val="-5"/>
              </w:rPr>
              <w:t>较重</w:t>
            </w:r>
          </w:p>
        </w:tc>
        <w:tc>
          <w:tcPr>
            <w:tcW w:w="7584" w:type="dxa"/>
            <w:vAlign w:val="top"/>
          </w:tcPr>
          <w:p>
            <w:pPr>
              <w:pStyle w:val="TableText"/>
              <w:ind w:left="110" w:right="62" w:hanging="50"/>
              <w:spacing w:before="62" w:line="242" w:lineRule="auto"/>
              <w:rPr/>
            </w:pPr>
            <w:r>
              <w:rPr/>
              <w:t>医疗机构核医学工作场所未设有专门的放射性同位素分装、注射、储存</w:t>
            </w:r>
            <w:r>
              <w:rPr>
                <w:spacing w:val="9"/>
              </w:rPr>
              <w:t xml:space="preserve"> </w:t>
            </w:r>
            <w:r>
              <w:rPr/>
              <w:t>场所，放射性废物屏蔽设备和存放场所，数目为1处(套)的</w:t>
            </w:r>
          </w:p>
        </w:tc>
        <w:tc>
          <w:tcPr>
            <w:tcW w:w="4622" w:type="dxa"/>
            <w:vAlign w:val="top"/>
          </w:tcPr>
          <w:p>
            <w:pPr>
              <w:pStyle w:val="TableText"/>
              <w:ind w:left="117" w:right="153"/>
              <w:spacing w:before="62" w:line="242" w:lineRule="auto"/>
              <w:rPr/>
            </w:pPr>
            <w:r>
              <w:rPr>
                <w:spacing w:val="1"/>
              </w:rPr>
              <w:t>给予警告，责令限期改正；并处3000元以</w:t>
            </w:r>
            <w:r>
              <w:rPr/>
              <w:t xml:space="preserve"> </w:t>
            </w:r>
            <w:r>
              <w:rPr/>
              <w:t>上7000元以下的罚款</w:t>
            </w:r>
          </w:p>
        </w:tc>
      </w:tr>
      <w:tr>
        <w:trPr>
          <w:trHeight w:val="826" w:hRule="atLeast"/>
        </w:trPr>
        <w:tc>
          <w:tcPr>
            <w:tcW w:w="1784" w:type="dxa"/>
            <w:vAlign w:val="top"/>
          </w:tcPr>
          <w:p>
            <w:pPr>
              <w:pStyle w:val="TableText"/>
              <w:ind w:left="648"/>
              <w:spacing w:before="300" w:line="220" w:lineRule="auto"/>
              <w:rPr/>
            </w:pPr>
            <w:r>
              <w:rPr>
                <w:b/>
                <w:bCs/>
                <w:spacing w:val="-6"/>
              </w:rPr>
              <w:t>严重</w:t>
            </w:r>
          </w:p>
        </w:tc>
        <w:tc>
          <w:tcPr>
            <w:tcW w:w="7584" w:type="dxa"/>
            <w:vAlign w:val="top"/>
          </w:tcPr>
          <w:p>
            <w:pPr>
              <w:pStyle w:val="TableText"/>
              <w:ind w:left="360" w:right="62" w:hanging="300"/>
              <w:spacing w:before="143" w:line="256" w:lineRule="auto"/>
              <w:rPr/>
            </w:pPr>
            <w:r>
              <w:rPr/>
              <w:t>医疗机构核医学工作场所未设有专门的放射性同位素分装、注射、储存</w:t>
            </w:r>
            <w:r>
              <w:rPr>
                <w:spacing w:val="9"/>
              </w:rPr>
              <w:t xml:space="preserve"> </w:t>
            </w:r>
            <w:r>
              <w:rPr/>
              <w:t>场所，放射性废物屏蔽设备和存放场所，数目为2处(套)及以上的</w:t>
            </w:r>
          </w:p>
        </w:tc>
        <w:tc>
          <w:tcPr>
            <w:tcW w:w="4622" w:type="dxa"/>
            <w:vAlign w:val="top"/>
          </w:tcPr>
          <w:p>
            <w:pPr>
              <w:pStyle w:val="TableText"/>
              <w:ind w:left="117" w:right="153"/>
              <w:spacing w:before="139" w:line="251" w:lineRule="auto"/>
              <w:rPr/>
            </w:pPr>
            <w:r>
              <w:rPr>
                <w:spacing w:val="1"/>
              </w:rPr>
              <w:t>给予警告，责令限期改正；并处7000元以</w:t>
            </w:r>
            <w:r>
              <w:rPr/>
              <w:t xml:space="preserve"> </w:t>
            </w:r>
            <w:r>
              <w:rPr>
                <w:spacing w:val="1"/>
              </w:rPr>
              <w:t>上一万元以下的罚款</w:t>
            </w:r>
          </w:p>
        </w:tc>
      </w:tr>
      <w:tr>
        <w:trPr>
          <w:trHeight w:val="841" w:hRule="atLeast"/>
        </w:trPr>
        <w:tc>
          <w:tcPr>
            <w:tcW w:w="1784" w:type="dxa"/>
            <w:vAlign w:val="top"/>
          </w:tcPr>
          <w:p>
            <w:pPr>
              <w:pStyle w:val="TableText"/>
              <w:ind w:left="408"/>
              <w:spacing w:before="303" w:line="219" w:lineRule="auto"/>
              <w:rPr/>
            </w:pPr>
            <w:r>
              <w:rPr>
                <w:b/>
                <w:bCs/>
                <w:spacing w:val="-5"/>
              </w:rPr>
              <w:t>特别严重</w:t>
            </w:r>
          </w:p>
        </w:tc>
        <w:tc>
          <w:tcPr>
            <w:tcW w:w="7584" w:type="dxa"/>
            <w:vAlign w:val="top"/>
          </w:tcPr>
          <w:p>
            <w:pPr>
              <w:pStyle w:val="TableText"/>
              <w:ind w:left="110" w:right="62" w:hanging="50"/>
              <w:spacing w:before="147" w:line="263" w:lineRule="auto"/>
              <w:rPr/>
            </w:pPr>
            <w:r>
              <w:rPr/>
              <w:t>医疗机构核医学工作场所未设有专门的放射性同位素分装、注射、储存</w:t>
            </w:r>
            <w:r>
              <w:rPr>
                <w:spacing w:val="9"/>
              </w:rPr>
              <w:t xml:space="preserve"> </w:t>
            </w:r>
            <w:r>
              <w:rPr/>
              <w:t>场所，放射性废物屏蔽设备和存放场所，造成严重后果的</w:t>
            </w:r>
          </w:p>
        </w:tc>
        <w:tc>
          <w:tcPr>
            <w:tcW w:w="4622" w:type="dxa"/>
            <w:vAlign w:val="top"/>
          </w:tcPr>
          <w:p>
            <w:pPr>
              <w:pStyle w:val="TableText"/>
              <w:ind w:left="117"/>
              <w:spacing w:before="144" w:line="218" w:lineRule="auto"/>
              <w:rPr/>
            </w:pPr>
            <w:r>
              <w:rPr>
                <w:spacing w:val="1"/>
              </w:rPr>
              <w:t>给予警告，责令限期改正；并处一万元的</w:t>
            </w:r>
          </w:p>
          <w:p>
            <w:pPr>
              <w:pStyle w:val="TableText"/>
              <w:ind w:left="117"/>
              <w:spacing w:before="70" w:line="221" w:lineRule="auto"/>
              <w:rPr/>
            </w:pPr>
            <w:r>
              <w:rPr>
                <w:color w:val="403040"/>
                <w:spacing w:val="5"/>
              </w:rPr>
              <w:t>罚款</w:t>
            </w:r>
          </w:p>
        </w:tc>
      </w:tr>
    </w:tbl>
    <w:p>
      <w:pPr>
        <w:pStyle w:val="BodyText"/>
        <w:spacing w:line="453" w:lineRule="auto"/>
        <w:rPr/>
      </w:pPr>
      <w:r/>
    </w:p>
    <w:p>
      <w:pPr>
        <w:ind w:left="639"/>
        <w:spacing w:before="101" w:line="220" w:lineRule="auto"/>
        <w:rPr>
          <w:rFonts w:ascii="FangSong" w:hAnsi="FangSong" w:eastAsia="FangSong" w:cs="FangSong"/>
          <w:sz w:val="31"/>
          <w:szCs w:val="31"/>
        </w:rPr>
      </w:pPr>
      <w:r>
        <w:rPr>
          <w:rFonts w:ascii="FangSong" w:hAnsi="FangSong" w:eastAsia="FangSong" w:cs="FangSong"/>
          <w:sz w:val="31"/>
          <w:szCs w:val="31"/>
          <w:b/>
          <w:bCs/>
          <w:spacing w:val="11"/>
        </w:rPr>
        <w:t>第五百六十九条医疗机构核医学工作场所未配备活度计、放射性表面污染监测仪的</w:t>
      </w:r>
    </w:p>
    <w:p>
      <w:pPr>
        <w:ind w:left="634"/>
        <w:spacing w:before="117"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25" w:right="164" w:firstLine="609"/>
        <w:spacing w:before="64" w:line="261" w:lineRule="auto"/>
        <w:rPr>
          <w:rFonts w:ascii="FangSong" w:hAnsi="FangSong" w:eastAsia="FangSong" w:cs="FangSong"/>
          <w:sz w:val="31"/>
          <w:szCs w:val="31"/>
        </w:rPr>
      </w:pPr>
      <w:r>
        <w:rPr>
          <w:rFonts w:ascii="FangSong" w:hAnsi="FangSong" w:eastAsia="FangSong" w:cs="FangSong"/>
          <w:sz w:val="31"/>
          <w:szCs w:val="31"/>
          <w:spacing w:val="11"/>
        </w:rPr>
        <w:t>1.</w:t>
      </w:r>
      <w:r>
        <w:rPr>
          <w:rFonts w:ascii="FangSong" w:hAnsi="FangSong" w:eastAsia="FangSong" w:cs="FangSong"/>
          <w:sz w:val="31"/>
          <w:szCs w:val="31"/>
          <w:spacing w:val="11"/>
        </w:rPr>
        <w:t xml:space="preserve"> </w:t>
      </w:r>
      <w:r>
        <w:rPr>
          <w:rFonts w:ascii="FangSong" w:hAnsi="FangSong" w:eastAsia="FangSong" w:cs="FangSong"/>
          <w:sz w:val="31"/>
          <w:szCs w:val="31"/>
          <w:spacing w:val="11"/>
        </w:rPr>
        <w:t>《放射诊疗管理规定》第四十一条第(七)项</w:t>
      </w:r>
      <w:r>
        <w:rPr>
          <w:rFonts w:ascii="FangSong" w:hAnsi="FangSong" w:eastAsia="FangSong" w:cs="FangSong"/>
          <w:sz w:val="31"/>
          <w:szCs w:val="31"/>
          <w:spacing w:val="11"/>
        </w:rPr>
        <w:t xml:space="preserve">   </w:t>
      </w:r>
      <w:r>
        <w:rPr>
          <w:rFonts w:ascii="FangSong" w:hAnsi="FangSong" w:eastAsia="FangSong" w:cs="FangSong"/>
          <w:sz w:val="31"/>
          <w:szCs w:val="31"/>
          <w:spacing w:val="11"/>
        </w:rPr>
        <w:t>医疗机构违反本规定，有下列行为之一的，</w:t>
      </w:r>
      <w:r>
        <w:rPr>
          <w:rFonts w:ascii="FangSong" w:hAnsi="FangSong" w:eastAsia="FangSong" w:cs="FangSong"/>
          <w:sz w:val="31"/>
          <w:szCs w:val="31"/>
        </w:rPr>
        <w:t xml:space="preserve"> </w:t>
      </w:r>
      <w:r>
        <w:rPr>
          <w:rFonts w:ascii="FangSong" w:hAnsi="FangSong" w:eastAsia="FangSong" w:cs="FangSong"/>
          <w:sz w:val="31"/>
          <w:szCs w:val="31"/>
          <w:spacing w:val="7"/>
        </w:rPr>
        <w:t>由县级以上卫生行政部门给予警告，责令限期改正；并可处一万元以下的罚款：</w:t>
      </w:r>
    </w:p>
    <w:p>
      <w:pPr>
        <w:ind w:left="795"/>
        <w:spacing w:before="3" w:line="222" w:lineRule="auto"/>
        <w:rPr>
          <w:rFonts w:ascii="FangSong" w:hAnsi="FangSong" w:eastAsia="FangSong" w:cs="FangSong"/>
          <w:sz w:val="31"/>
          <w:szCs w:val="31"/>
        </w:rPr>
      </w:pPr>
      <w:r>
        <w:rPr>
          <w:rFonts w:ascii="FangSong" w:hAnsi="FangSong" w:eastAsia="FangSong" w:cs="FangSong"/>
          <w:sz w:val="31"/>
          <w:szCs w:val="31"/>
          <w:spacing w:val="18"/>
        </w:rPr>
        <w:t>(七)违反本规定的其他情形。</w:t>
      </w:r>
    </w:p>
    <w:p>
      <w:pPr>
        <w:ind w:left="15" w:right="118" w:firstLine="619"/>
        <w:spacing w:before="67" w:line="268" w:lineRule="auto"/>
        <w:rPr>
          <w:rFonts w:ascii="FangSong" w:hAnsi="FangSong" w:eastAsia="FangSong" w:cs="FangSong"/>
          <w:sz w:val="31"/>
          <w:szCs w:val="31"/>
        </w:rPr>
      </w:pPr>
      <w:r>
        <w:rPr>
          <w:rFonts w:ascii="Times New Roman" w:hAnsi="Times New Roman" w:eastAsia="Times New Roman" w:cs="Times New Roman"/>
          <w:sz w:val="31"/>
          <w:szCs w:val="31"/>
          <w:spacing w:val="5"/>
        </w:rPr>
        <w:t>2</w:t>
      </w:r>
      <w:r>
        <w:rPr>
          <w:rFonts w:ascii="FangSong" w:hAnsi="FangSong" w:eastAsia="FangSong" w:cs="FangSong"/>
          <w:sz w:val="31"/>
          <w:szCs w:val="31"/>
          <w:spacing w:val="5"/>
        </w:rPr>
        <w:t>.</w:t>
      </w:r>
      <w:r>
        <w:rPr>
          <w:rFonts w:ascii="FangSong" w:hAnsi="FangSong" w:eastAsia="FangSong" w:cs="FangSong"/>
          <w:sz w:val="31"/>
          <w:szCs w:val="31"/>
          <w:spacing w:val="5"/>
        </w:rPr>
        <w:t xml:space="preserve"> </w:t>
      </w:r>
      <w:r>
        <w:rPr>
          <w:rFonts w:ascii="FangSong" w:hAnsi="FangSong" w:eastAsia="FangSong" w:cs="FangSong"/>
          <w:sz w:val="31"/>
          <w:szCs w:val="31"/>
          <w:spacing w:val="5"/>
        </w:rPr>
        <w:t>《放射诊疗管理规定》第五条</w:t>
      </w:r>
      <w:r>
        <w:rPr>
          <w:rFonts w:ascii="FangSong" w:hAnsi="FangSong" w:eastAsia="FangSong" w:cs="FangSong"/>
          <w:sz w:val="31"/>
          <w:szCs w:val="31"/>
          <w:spacing w:val="5"/>
        </w:rPr>
        <w:t xml:space="preserve">   </w:t>
      </w:r>
      <w:r>
        <w:rPr>
          <w:rFonts w:ascii="FangSong" w:hAnsi="FangSong" w:eastAsia="FangSong" w:cs="FangSong"/>
          <w:sz w:val="31"/>
          <w:szCs w:val="31"/>
          <w:spacing w:val="5"/>
        </w:rPr>
        <w:t>医疗机构应当采取有效措施，保证放射防护、安全与放射诊</w:t>
      </w:r>
      <w:r>
        <w:rPr>
          <w:rFonts w:ascii="FangSong" w:hAnsi="FangSong" w:eastAsia="FangSong" w:cs="FangSong"/>
          <w:sz w:val="31"/>
          <w:szCs w:val="31"/>
          <w:spacing w:val="4"/>
        </w:rPr>
        <w:t xml:space="preserve"> </w:t>
      </w:r>
      <w:r>
        <w:rPr>
          <w:rFonts w:ascii="FangSong" w:hAnsi="FangSong" w:eastAsia="FangSong" w:cs="FangSong"/>
          <w:sz w:val="31"/>
          <w:szCs w:val="31"/>
          <w:spacing w:val="6"/>
        </w:rPr>
        <w:t>疗质量符合有关规定、标准和规范的要求。</w:t>
      </w:r>
    </w:p>
    <w:p>
      <w:pPr>
        <w:ind w:left="6419"/>
        <w:spacing w:before="130"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3" w:lineRule="auto"/>
        <w:rPr>
          <w:rFonts w:ascii="Arial"/>
          <w:sz w:val="2"/>
        </w:rPr>
      </w:pPr>
      <w:r>
        <w:rPr>
          <w:rFonts w:ascii="Arial"/>
          <w:sz w:val="2"/>
        </w:rPr>
      </w:r>
    </w:p>
    <w:tbl>
      <w:tblPr>
        <w:tblStyle w:val="TableNormal"/>
        <w:tblW w:w="1399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584"/>
        <w:gridCol w:w="4626"/>
      </w:tblGrid>
      <w:tr>
        <w:trPr>
          <w:trHeight w:val="690" w:hRule="atLeast"/>
        </w:trPr>
        <w:tc>
          <w:tcPr>
            <w:tcW w:w="1784" w:type="dxa"/>
            <w:vAlign w:val="top"/>
          </w:tcPr>
          <w:p>
            <w:pPr>
              <w:pStyle w:val="TableText"/>
              <w:ind w:left="368"/>
              <w:spacing w:before="222" w:line="220" w:lineRule="auto"/>
              <w:rPr>
                <w:sz w:val="26"/>
                <w:szCs w:val="26"/>
              </w:rPr>
            </w:pPr>
            <w:r>
              <w:rPr>
                <w:sz w:val="26"/>
                <w:szCs w:val="26"/>
                <w:b/>
                <w:bCs/>
                <w:spacing w:val="-5"/>
              </w:rPr>
              <w:t>违法程度</w:t>
            </w:r>
          </w:p>
        </w:tc>
        <w:tc>
          <w:tcPr>
            <w:tcW w:w="7584" w:type="dxa"/>
            <w:vAlign w:val="top"/>
          </w:tcPr>
          <w:p>
            <w:pPr>
              <w:pStyle w:val="TableText"/>
              <w:ind w:left="3264"/>
              <w:spacing w:before="222" w:line="220" w:lineRule="auto"/>
              <w:rPr>
                <w:sz w:val="26"/>
                <w:szCs w:val="26"/>
              </w:rPr>
            </w:pPr>
            <w:r>
              <w:rPr>
                <w:sz w:val="26"/>
                <w:szCs w:val="26"/>
                <w:b/>
                <w:bCs/>
                <w:spacing w:val="-5"/>
              </w:rPr>
              <w:t>情节后果</w:t>
            </w:r>
          </w:p>
        </w:tc>
        <w:tc>
          <w:tcPr>
            <w:tcW w:w="4626" w:type="dxa"/>
            <w:vAlign w:val="top"/>
          </w:tcPr>
          <w:p>
            <w:pPr>
              <w:pStyle w:val="TableText"/>
              <w:ind w:left="1790"/>
              <w:spacing w:before="219" w:line="218" w:lineRule="auto"/>
              <w:rPr>
                <w:sz w:val="26"/>
                <w:szCs w:val="26"/>
              </w:rPr>
            </w:pPr>
            <w:r>
              <w:rPr>
                <w:sz w:val="26"/>
                <w:szCs w:val="26"/>
                <w:b/>
                <w:bCs/>
                <w:spacing w:val="-5"/>
              </w:rPr>
              <w:t>裁量幅度</w:t>
            </w:r>
          </w:p>
        </w:tc>
      </w:tr>
      <w:tr>
        <w:trPr>
          <w:trHeight w:val="680" w:hRule="atLeast"/>
        </w:trPr>
        <w:tc>
          <w:tcPr>
            <w:tcW w:w="1784" w:type="dxa"/>
            <w:vAlign w:val="top"/>
          </w:tcPr>
          <w:p>
            <w:pPr>
              <w:pStyle w:val="TableText"/>
              <w:ind w:left="628"/>
              <w:spacing w:before="215" w:line="221" w:lineRule="auto"/>
              <w:rPr>
                <w:sz w:val="26"/>
                <w:szCs w:val="26"/>
              </w:rPr>
            </w:pPr>
            <w:r>
              <w:rPr>
                <w:sz w:val="26"/>
                <w:szCs w:val="26"/>
                <w:b/>
                <w:bCs/>
                <w:spacing w:val="-6"/>
              </w:rPr>
              <w:t>较重</w:t>
            </w:r>
          </w:p>
        </w:tc>
        <w:tc>
          <w:tcPr>
            <w:tcW w:w="7584" w:type="dxa"/>
            <w:vAlign w:val="top"/>
          </w:tcPr>
          <w:p>
            <w:pPr>
              <w:pStyle w:val="TableText"/>
              <w:ind w:left="14"/>
              <w:spacing w:before="210" w:line="219" w:lineRule="auto"/>
              <w:rPr>
                <w:sz w:val="26"/>
                <w:szCs w:val="26"/>
              </w:rPr>
            </w:pPr>
            <w:r>
              <w:rPr>
                <w:sz w:val="26"/>
                <w:szCs w:val="26"/>
                <w:b/>
                <w:bCs/>
                <w:spacing w:val="-2"/>
              </w:rPr>
              <w:t>医疗机构核医学工作场所未配备活度计或放</w:t>
            </w:r>
            <w:r>
              <w:rPr>
                <w:sz w:val="26"/>
                <w:szCs w:val="26"/>
                <w:b/>
                <w:bCs/>
                <w:spacing w:val="-3"/>
              </w:rPr>
              <w:t>射性表面污染监测仪的</w:t>
            </w:r>
          </w:p>
        </w:tc>
        <w:tc>
          <w:tcPr>
            <w:tcW w:w="4626" w:type="dxa"/>
            <w:vAlign w:val="top"/>
          </w:tcPr>
          <w:p>
            <w:pPr>
              <w:pStyle w:val="TableText"/>
              <w:ind w:left="109" w:hanging="89"/>
              <w:spacing w:before="58" w:line="217" w:lineRule="auto"/>
              <w:rPr>
                <w:sz w:val="26"/>
                <w:szCs w:val="26"/>
              </w:rPr>
            </w:pPr>
            <w:r>
              <w:rPr>
                <w:sz w:val="26"/>
                <w:szCs w:val="26"/>
                <w:b/>
                <w:bCs/>
                <w:spacing w:val="-7"/>
              </w:rPr>
              <w:t>给予警告，责令限期改正；并处3000元以</w:t>
            </w:r>
            <w:r>
              <w:rPr>
                <w:sz w:val="26"/>
                <w:szCs w:val="26"/>
              </w:rPr>
              <w:t xml:space="preserve"> </w:t>
            </w:r>
            <w:r>
              <w:rPr>
                <w:sz w:val="26"/>
                <w:szCs w:val="26"/>
                <w:b/>
                <w:bCs/>
                <w:spacing w:val="-5"/>
              </w:rPr>
              <w:t>上7000元以下的罚款</w:t>
            </w:r>
          </w:p>
        </w:tc>
      </w:tr>
    </w:tbl>
    <w:p>
      <w:pPr>
        <w:pStyle w:val="BodyText"/>
        <w:rPr/>
      </w:pPr>
      <w:r/>
    </w:p>
    <w:p>
      <w:pPr>
        <w:sectPr>
          <w:footerReference w:type="default" r:id="rId593"/>
          <w:pgSz w:w="16830" w:h="11900"/>
          <w:pgMar w:top="1011" w:right="1390" w:bottom="1118" w:left="1434" w:header="0" w:footer="785" w:gutter="0"/>
        </w:sectPr>
        <w:rPr/>
      </w:pPr>
    </w:p>
    <w:p>
      <w:pPr>
        <w:spacing w:before="20"/>
        <w:rPr/>
      </w:pPr>
      <w:r/>
    </w:p>
    <w:p>
      <w:pPr>
        <w:spacing w:before="20"/>
        <w:rPr/>
      </w:pPr>
      <w:r/>
    </w:p>
    <w:p>
      <w:pPr>
        <w:spacing w:before="19"/>
        <w:rPr/>
      </w:pPr>
      <w:r/>
    </w:p>
    <w:tbl>
      <w:tblPr>
        <w:tblStyle w:val="TableNormal"/>
        <w:tblW w:w="139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4"/>
        <w:gridCol w:w="7554"/>
        <w:gridCol w:w="4632"/>
      </w:tblGrid>
      <w:tr>
        <w:trPr>
          <w:trHeight w:val="840" w:hRule="atLeast"/>
        </w:trPr>
        <w:tc>
          <w:tcPr>
            <w:tcW w:w="1804" w:type="dxa"/>
            <w:vAlign w:val="top"/>
          </w:tcPr>
          <w:p>
            <w:pPr>
              <w:pStyle w:val="TableText"/>
              <w:ind w:left="658"/>
              <w:spacing w:before="302" w:line="220" w:lineRule="auto"/>
              <w:rPr/>
            </w:pPr>
            <w:bookmarkStart w:name="bookmark1222" w:id="599"/>
            <w:bookmarkEnd w:id="599"/>
            <w:r>
              <w:rPr>
                <w:b/>
                <w:bCs/>
                <w:spacing w:val="-6"/>
              </w:rPr>
              <w:t>严重</w:t>
            </w:r>
          </w:p>
        </w:tc>
        <w:tc>
          <w:tcPr>
            <w:tcW w:w="7554" w:type="dxa"/>
            <w:vAlign w:val="top"/>
          </w:tcPr>
          <w:p>
            <w:pPr>
              <w:pStyle w:val="TableText"/>
              <w:ind w:left="91"/>
              <w:spacing w:before="303" w:line="219" w:lineRule="auto"/>
              <w:rPr/>
            </w:pPr>
            <w:r>
              <w:rPr/>
              <w:t>医疗机构核医学工作场所未配备活度计和放射性表面污染监测仪的</w:t>
            </w:r>
          </w:p>
        </w:tc>
        <w:tc>
          <w:tcPr>
            <w:tcW w:w="4632" w:type="dxa"/>
            <w:vAlign w:val="top"/>
          </w:tcPr>
          <w:p>
            <w:pPr>
              <w:pStyle w:val="TableText"/>
              <w:ind w:left="127" w:right="153"/>
              <w:spacing w:before="143" w:line="264" w:lineRule="auto"/>
              <w:rPr/>
            </w:pPr>
            <w:r>
              <w:rPr>
                <w:spacing w:val="1"/>
              </w:rPr>
              <w:t>给予警告，责令限期改正；并处7000元以</w:t>
            </w:r>
            <w:r>
              <w:rPr/>
              <w:t xml:space="preserve"> </w:t>
            </w:r>
            <w:r>
              <w:rPr>
                <w:spacing w:val="1"/>
              </w:rPr>
              <w:t>上一万元以下的罚款</w:t>
            </w:r>
          </w:p>
        </w:tc>
      </w:tr>
      <w:tr>
        <w:trPr>
          <w:trHeight w:val="840" w:hRule="atLeast"/>
        </w:trPr>
        <w:tc>
          <w:tcPr>
            <w:tcW w:w="1804" w:type="dxa"/>
            <w:vAlign w:val="top"/>
          </w:tcPr>
          <w:p>
            <w:pPr>
              <w:pStyle w:val="TableText"/>
              <w:ind w:left="418"/>
              <w:spacing w:before="301" w:line="219" w:lineRule="auto"/>
              <w:rPr/>
            </w:pPr>
            <w:r>
              <w:rPr>
                <w:b/>
                <w:bCs/>
                <w:spacing w:val="-5"/>
              </w:rPr>
              <w:t>特别严重</w:t>
            </w:r>
          </w:p>
        </w:tc>
        <w:tc>
          <w:tcPr>
            <w:tcW w:w="7554" w:type="dxa"/>
            <w:vAlign w:val="top"/>
          </w:tcPr>
          <w:p>
            <w:pPr>
              <w:pStyle w:val="TableText"/>
              <w:ind w:left="91" w:right="1"/>
              <w:spacing w:before="153" w:line="260" w:lineRule="auto"/>
              <w:rPr/>
            </w:pPr>
            <w:r>
              <w:rPr/>
              <w:t>医疗机构核医学工作场所未配备活度计、放射性表面污染监测仪，造成</w:t>
            </w:r>
            <w:r>
              <w:rPr>
                <w:spacing w:val="10"/>
              </w:rPr>
              <w:t xml:space="preserve"> </w:t>
            </w:r>
            <w:r>
              <w:rPr>
                <w:spacing w:val="3"/>
              </w:rPr>
              <w:t>严重后果的</w:t>
            </w:r>
          </w:p>
        </w:tc>
        <w:tc>
          <w:tcPr>
            <w:tcW w:w="4632" w:type="dxa"/>
            <w:vAlign w:val="top"/>
          </w:tcPr>
          <w:p>
            <w:pPr>
              <w:pStyle w:val="TableText"/>
              <w:ind w:left="127"/>
              <w:spacing w:before="152" w:line="218" w:lineRule="auto"/>
              <w:rPr/>
            </w:pPr>
            <w:r>
              <w:rPr>
                <w:spacing w:val="1"/>
              </w:rPr>
              <w:t>给予警告，责令限期改正；并处一万元的</w:t>
            </w:r>
          </w:p>
          <w:p>
            <w:pPr>
              <w:pStyle w:val="TableText"/>
              <w:ind w:left="127"/>
              <w:spacing w:before="60" w:line="221" w:lineRule="auto"/>
              <w:rPr/>
            </w:pPr>
            <w:r>
              <w:rPr>
                <w:color w:val="505050"/>
                <w:spacing w:val="5"/>
              </w:rPr>
              <w:t>罚款</w:t>
            </w:r>
          </w:p>
        </w:tc>
      </w:tr>
    </w:tbl>
    <w:p>
      <w:pPr>
        <w:pStyle w:val="BodyText"/>
        <w:spacing w:line="442" w:lineRule="auto"/>
        <w:rPr/>
      </w:pPr>
      <w:r/>
    </w:p>
    <w:p>
      <w:pPr>
        <w:ind w:left="19" w:right="112" w:firstLine="619"/>
        <w:spacing w:before="100" w:line="272" w:lineRule="auto"/>
        <w:rPr>
          <w:rFonts w:ascii="FangSong" w:hAnsi="FangSong" w:eastAsia="FangSong" w:cs="FangSong"/>
          <w:sz w:val="31"/>
          <w:szCs w:val="31"/>
        </w:rPr>
      </w:pPr>
      <w:r>
        <w:rPr>
          <w:rFonts w:ascii="FangSong" w:hAnsi="FangSong" w:eastAsia="FangSong" w:cs="FangSong"/>
          <w:sz w:val="31"/>
          <w:szCs w:val="31"/>
          <w:b/>
          <w:bCs/>
          <w:spacing w:val="10"/>
        </w:rPr>
        <w:t>第五百七十条医疗机构放射诊疗工作场所、放射性同位素储存场所和防护设施</w:t>
      </w:r>
      <w:r>
        <w:rPr>
          <w:rFonts w:ascii="FangSong" w:hAnsi="FangSong" w:eastAsia="FangSong" w:cs="FangSong"/>
          <w:sz w:val="31"/>
          <w:szCs w:val="31"/>
          <w:b/>
          <w:bCs/>
          <w:spacing w:val="9"/>
        </w:rPr>
        <w:t>辐射水平不符合</w:t>
      </w:r>
      <w:r>
        <w:rPr>
          <w:rFonts w:ascii="FangSong" w:hAnsi="FangSong" w:eastAsia="FangSong" w:cs="FangSong"/>
          <w:sz w:val="31"/>
          <w:szCs w:val="31"/>
        </w:rPr>
        <w:t xml:space="preserve"> </w:t>
      </w:r>
      <w:r>
        <w:rPr>
          <w:rFonts w:ascii="FangSong" w:hAnsi="FangSong" w:eastAsia="FangSong" w:cs="FangSong"/>
          <w:sz w:val="31"/>
          <w:szCs w:val="31"/>
          <w:b/>
          <w:bCs/>
          <w:spacing w:val="3"/>
        </w:rPr>
        <w:t>有关规定或者标准的</w:t>
      </w:r>
    </w:p>
    <w:p>
      <w:pPr>
        <w:ind w:left="634"/>
        <w:spacing w:before="5"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ind w:left="15" w:right="159" w:firstLine="619"/>
        <w:spacing w:before="74" w:line="267" w:lineRule="auto"/>
        <w:rPr>
          <w:rFonts w:ascii="FangSong" w:hAnsi="FangSong" w:eastAsia="FangSong" w:cs="FangSong"/>
          <w:sz w:val="31"/>
          <w:szCs w:val="31"/>
        </w:rPr>
      </w:pPr>
      <w:r>
        <w:rPr>
          <w:rFonts w:ascii="FangSong" w:hAnsi="FangSong" w:eastAsia="FangSong" w:cs="FangSong"/>
          <w:sz w:val="31"/>
          <w:szCs w:val="31"/>
          <w:spacing w:val="11"/>
        </w:rPr>
        <w:t>1.</w:t>
      </w:r>
      <w:r>
        <w:rPr>
          <w:rFonts w:ascii="FangSong" w:hAnsi="FangSong" w:eastAsia="FangSong" w:cs="FangSong"/>
          <w:sz w:val="31"/>
          <w:szCs w:val="31"/>
          <w:spacing w:val="11"/>
        </w:rPr>
        <w:t xml:space="preserve"> </w:t>
      </w:r>
      <w:r>
        <w:rPr>
          <w:rFonts w:ascii="FangSong" w:hAnsi="FangSong" w:eastAsia="FangSong" w:cs="FangSong"/>
          <w:sz w:val="31"/>
          <w:szCs w:val="31"/>
          <w:spacing w:val="11"/>
        </w:rPr>
        <w:t>《放射诊疗管理规定》第四十一条第(七)项</w:t>
      </w:r>
      <w:r>
        <w:rPr>
          <w:rFonts w:ascii="FangSong" w:hAnsi="FangSong" w:eastAsia="FangSong" w:cs="FangSong"/>
          <w:sz w:val="31"/>
          <w:szCs w:val="31"/>
          <w:spacing w:val="11"/>
        </w:rPr>
        <w:t xml:space="preserve">   </w:t>
      </w:r>
      <w:r>
        <w:rPr>
          <w:rFonts w:ascii="FangSong" w:hAnsi="FangSong" w:eastAsia="FangSong" w:cs="FangSong"/>
          <w:sz w:val="31"/>
          <w:szCs w:val="31"/>
          <w:spacing w:val="11"/>
        </w:rPr>
        <w:t>医疗机构违反本规定，有下列行为之一的，</w:t>
      </w:r>
      <w:r>
        <w:rPr>
          <w:rFonts w:ascii="FangSong" w:hAnsi="FangSong" w:eastAsia="FangSong" w:cs="FangSong"/>
          <w:sz w:val="31"/>
          <w:szCs w:val="31"/>
        </w:rPr>
        <w:t xml:space="preserve"> </w:t>
      </w:r>
      <w:r>
        <w:rPr>
          <w:rFonts w:ascii="FangSong" w:hAnsi="FangSong" w:eastAsia="FangSong" w:cs="FangSong"/>
          <w:sz w:val="31"/>
          <w:szCs w:val="31"/>
          <w:spacing w:val="7"/>
        </w:rPr>
        <w:t>由县级以上卫生行政部门给予警告，责令限期改正；并可处一万元以下的罚款：</w:t>
      </w:r>
    </w:p>
    <w:p>
      <w:pPr>
        <w:ind w:left="774"/>
        <w:spacing w:before="3" w:line="222" w:lineRule="auto"/>
        <w:rPr>
          <w:rFonts w:ascii="FangSong" w:hAnsi="FangSong" w:eastAsia="FangSong" w:cs="FangSong"/>
          <w:sz w:val="31"/>
          <w:szCs w:val="31"/>
        </w:rPr>
      </w:pPr>
      <w:r>
        <w:rPr>
          <w:rFonts w:ascii="FangSong" w:hAnsi="FangSong" w:eastAsia="FangSong" w:cs="FangSong"/>
          <w:sz w:val="31"/>
          <w:szCs w:val="31"/>
          <w:spacing w:val="18"/>
        </w:rPr>
        <w:t>(七)违反本规定的其他情形。</w:t>
      </w:r>
    </w:p>
    <w:p>
      <w:pPr>
        <w:ind w:left="15" w:right="103" w:firstLine="619"/>
        <w:spacing w:before="54" w:line="261" w:lineRule="auto"/>
        <w:rPr>
          <w:rFonts w:ascii="FangSong" w:hAnsi="FangSong" w:eastAsia="FangSong" w:cs="FangSong"/>
          <w:sz w:val="31"/>
          <w:szCs w:val="31"/>
        </w:rPr>
      </w:pPr>
      <w:r>
        <w:rPr>
          <w:rFonts w:ascii="FangSong" w:hAnsi="FangSong" w:eastAsia="FangSong" w:cs="FangSong"/>
          <w:sz w:val="31"/>
          <w:szCs w:val="31"/>
          <w:spacing w:val="7"/>
        </w:rPr>
        <w:t>2.</w:t>
      </w:r>
      <w:r>
        <w:rPr>
          <w:rFonts w:ascii="FangSong" w:hAnsi="FangSong" w:eastAsia="FangSong" w:cs="FangSong"/>
          <w:sz w:val="31"/>
          <w:szCs w:val="31"/>
          <w:spacing w:val="-68"/>
        </w:rPr>
        <w:t xml:space="preserve"> </w:t>
      </w:r>
      <w:r>
        <w:rPr>
          <w:rFonts w:ascii="FangSong" w:hAnsi="FangSong" w:eastAsia="FangSong" w:cs="FangSong"/>
          <w:sz w:val="31"/>
          <w:szCs w:val="31"/>
          <w:spacing w:val="7"/>
        </w:rPr>
        <w:t>《放射诊疗管理规定》第二十一条第一款</w:t>
      </w:r>
      <w:r>
        <w:rPr>
          <w:rFonts w:ascii="FangSong" w:hAnsi="FangSong" w:eastAsia="FangSong" w:cs="FangSong"/>
          <w:sz w:val="31"/>
          <w:szCs w:val="31"/>
          <w:spacing w:val="7"/>
        </w:rPr>
        <w:t xml:space="preserve">   </w:t>
      </w:r>
      <w:r>
        <w:rPr>
          <w:rFonts w:ascii="FangSong" w:hAnsi="FangSong" w:eastAsia="FangSong" w:cs="FangSong"/>
          <w:sz w:val="31"/>
          <w:szCs w:val="31"/>
          <w:spacing w:val="7"/>
        </w:rPr>
        <w:t>医疗机构应当定期对放射诊疗工作场所、放射性</w:t>
      </w:r>
      <w:r>
        <w:rPr>
          <w:rFonts w:ascii="FangSong" w:hAnsi="FangSong" w:eastAsia="FangSong" w:cs="FangSong"/>
          <w:sz w:val="31"/>
          <w:szCs w:val="31"/>
        </w:rPr>
        <w:t xml:space="preserve"> </w:t>
      </w:r>
      <w:r>
        <w:rPr>
          <w:rFonts w:ascii="FangSong" w:hAnsi="FangSong" w:eastAsia="FangSong" w:cs="FangSong"/>
          <w:sz w:val="31"/>
          <w:szCs w:val="31"/>
          <w:spacing w:val="8"/>
        </w:rPr>
        <w:t>同位素储存场所和防护设施进行放射防护检测，保证辐射水平符合有关规定或者标准。</w:t>
      </w:r>
    </w:p>
    <w:p>
      <w:pPr>
        <w:ind w:left="6419"/>
        <w:spacing w:before="166"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6" w:lineRule="auto"/>
        <w:rPr>
          <w:rFonts w:ascii="Arial"/>
          <w:sz w:val="2"/>
        </w:rPr>
      </w:pPr>
      <w:r>
        <w:rPr>
          <w:rFonts w:ascii="Arial"/>
          <w:sz w:val="2"/>
        </w:rPr>
      </w:r>
    </w:p>
    <w:tbl>
      <w:tblPr>
        <w:tblStyle w:val="TableNormal"/>
        <w:tblW w:w="139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584"/>
        <w:gridCol w:w="4622"/>
      </w:tblGrid>
      <w:tr>
        <w:trPr>
          <w:trHeight w:val="661" w:hRule="atLeast"/>
        </w:trPr>
        <w:tc>
          <w:tcPr>
            <w:tcW w:w="1784" w:type="dxa"/>
            <w:vAlign w:val="top"/>
          </w:tcPr>
          <w:p>
            <w:pPr>
              <w:pStyle w:val="TableText"/>
              <w:ind w:left="388"/>
              <w:spacing w:before="212" w:line="220" w:lineRule="auto"/>
              <w:rPr>
                <w:sz w:val="25"/>
                <w:szCs w:val="25"/>
              </w:rPr>
            </w:pPr>
            <w:r>
              <w:rPr>
                <w:sz w:val="25"/>
                <w:szCs w:val="25"/>
                <w:b/>
                <w:bCs/>
                <w:spacing w:val="-5"/>
              </w:rPr>
              <w:t>违法程度</w:t>
            </w:r>
          </w:p>
        </w:tc>
        <w:tc>
          <w:tcPr>
            <w:tcW w:w="7584" w:type="dxa"/>
            <w:vAlign w:val="top"/>
          </w:tcPr>
          <w:p>
            <w:pPr>
              <w:pStyle w:val="TableText"/>
              <w:ind w:left="3284"/>
              <w:spacing w:before="212" w:line="220" w:lineRule="auto"/>
              <w:rPr>
                <w:sz w:val="25"/>
                <w:szCs w:val="25"/>
              </w:rPr>
            </w:pPr>
            <w:r>
              <w:rPr>
                <w:sz w:val="25"/>
                <w:szCs w:val="25"/>
                <w:b/>
                <w:bCs/>
                <w:spacing w:val="-5"/>
              </w:rPr>
              <w:t>情节后果</w:t>
            </w:r>
          </w:p>
        </w:tc>
        <w:tc>
          <w:tcPr>
            <w:tcW w:w="4622" w:type="dxa"/>
            <w:vAlign w:val="top"/>
          </w:tcPr>
          <w:p>
            <w:pPr>
              <w:pStyle w:val="TableText"/>
              <w:ind w:left="1810"/>
              <w:spacing w:before="209" w:line="218" w:lineRule="auto"/>
              <w:rPr>
                <w:sz w:val="25"/>
                <w:szCs w:val="25"/>
              </w:rPr>
            </w:pPr>
            <w:r>
              <w:rPr>
                <w:sz w:val="25"/>
                <w:szCs w:val="25"/>
                <w:b/>
                <w:bCs/>
                <w:spacing w:val="-5"/>
              </w:rPr>
              <w:t>裁量幅度</w:t>
            </w:r>
          </w:p>
        </w:tc>
      </w:tr>
      <w:tr>
        <w:trPr>
          <w:trHeight w:val="1029" w:hRule="atLeast"/>
        </w:trPr>
        <w:tc>
          <w:tcPr>
            <w:tcW w:w="1784" w:type="dxa"/>
            <w:vAlign w:val="top"/>
          </w:tcPr>
          <w:p>
            <w:pPr>
              <w:spacing w:line="309" w:lineRule="auto"/>
              <w:rPr>
                <w:rFonts w:ascii="Arial"/>
                <w:sz w:val="21"/>
              </w:rPr>
            </w:pPr>
            <w:r/>
          </w:p>
          <w:p>
            <w:pPr>
              <w:pStyle w:val="TableText"/>
              <w:ind w:left="638"/>
              <w:spacing w:before="81" w:line="221" w:lineRule="auto"/>
              <w:rPr>
                <w:sz w:val="25"/>
                <w:szCs w:val="25"/>
              </w:rPr>
            </w:pPr>
            <w:r>
              <w:rPr>
                <w:sz w:val="25"/>
                <w:szCs w:val="25"/>
                <w:b/>
                <w:bCs/>
                <w:spacing w:val="-10"/>
              </w:rPr>
              <w:t>一般</w:t>
            </w:r>
          </w:p>
        </w:tc>
        <w:tc>
          <w:tcPr>
            <w:tcW w:w="7584" w:type="dxa"/>
            <w:vAlign w:val="top"/>
          </w:tcPr>
          <w:p>
            <w:pPr>
              <w:pStyle w:val="TableText"/>
              <w:ind w:left="164" w:hanging="150"/>
              <w:spacing w:before="90" w:line="242" w:lineRule="auto"/>
              <w:rPr>
                <w:sz w:val="25"/>
                <w:szCs w:val="25"/>
              </w:rPr>
            </w:pPr>
            <w:r>
              <w:rPr>
                <w:sz w:val="25"/>
                <w:szCs w:val="25"/>
                <w:b/>
                <w:bCs/>
                <w:spacing w:val="-9"/>
              </w:rPr>
              <w:t>医疗机构放射诊疗工作场所、放射性同位素储存场所和防护设施未定期</w:t>
            </w:r>
            <w:r>
              <w:rPr>
                <w:sz w:val="25"/>
                <w:szCs w:val="25"/>
                <w:spacing w:val="6"/>
              </w:rPr>
              <w:t xml:space="preserve"> </w:t>
            </w:r>
            <w:r>
              <w:rPr>
                <w:sz w:val="25"/>
                <w:szCs w:val="25"/>
                <w:b/>
                <w:bCs/>
                <w:spacing w:val="-3"/>
              </w:rPr>
              <w:t>进行放射防护检测(含X射线影像诊断),或经检测辐射</w:t>
            </w:r>
            <w:r>
              <w:rPr>
                <w:sz w:val="25"/>
                <w:szCs w:val="25"/>
                <w:b/>
                <w:bCs/>
                <w:spacing w:val="-4"/>
              </w:rPr>
              <w:t>水平不符合有</w:t>
            </w:r>
          </w:p>
          <w:p>
            <w:pPr>
              <w:pStyle w:val="TableText"/>
              <w:ind w:left="134"/>
              <w:spacing w:before="5" w:line="198" w:lineRule="auto"/>
              <w:rPr>
                <w:sz w:val="25"/>
                <w:szCs w:val="25"/>
              </w:rPr>
            </w:pPr>
            <w:r>
              <w:rPr>
                <w:sz w:val="25"/>
                <w:szCs w:val="25"/>
                <w:b/>
                <w:bCs/>
                <w:spacing w:val="-5"/>
              </w:rPr>
              <w:t>关规定或者标准</w:t>
            </w:r>
          </w:p>
        </w:tc>
        <w:tc>
          <w:tcPr>
            <w:tcW w:w="4622" w:type="dxa"/>
            <w:vAlign w:val="top"/>
          </w:tcPr>
          <w:p>
            <w:pPr>
              <w:pStyle w:val="TableText"/>
              <w:ind w:left="130" w:right="35" w:hanging="70"/>
              <w:spacing w:before="247" w:line="257" w:lineRule="auto"/>
              <w:rPr>
                <w:sz w:val="25"/>
                <w:szCs w:val="25"/>
              </w:rPr>
            </w:pPr>
            <w:r>
              <w:rPr>
                <w:sz w:val="25"/>
                <w:szCs w:val="25"/>
                <w:b/>
                <w:bCs/>
                <w:spacing w:val="-2"/>
              </w:rPr>
              <w:t>给予警告，责令限期改正；可处3000元以</w:t>
            </w:r>
            <w:r>
              <w:rPr>
                <w:sz w:val="25"/>
                <w:szCs w:val="25"/>
                <w:spacing w:val="1"/>
              </w:rPr>
              <w:t xml:space="preserve"> </w:t>
            </w:r>
            <w:r>
              <w:rPr>
                <w:sz w:val="25"/>
                <w:szCs w:val="25"/>
                <w:b/>
                <w:bCs/>
                <w:spacing w:val="-2"/>
              </w:rPr>
              <w:t>下的罚款</w:t>
            </w:r>
          </w:p>
        </w:tc>
      </w:tr>
    </w:tbl>
    <w:p>
      <w:pPr>
        <w:pStyle w:val="BodyText"/>
        <w:rPr/>
      </w:pPr>
      <w:r/>
    </w:p>
    <w:p>
      <w:pPr>
        <w:sectPr>
          <w:footerReference w:type="default" r:id="rId594"/>
          <w:pgSz w:w="16830" w:h="11900"/>
          <w:pgMar w:top="1011" w:right="1394" w:bottom="1118" w:left="1434" w:header="0" w:footer="785" w:gutter="0"/>
        </w:sectPr>
        <w:rPr/>
      </w:pPr>
    </w:p>
    <w:p>
      <w:pPr>
        <w:spacing w:before="17"/>
        <w:rPr/>
      </w:pPr>
      <w:r/>
    </w:p>
    <w:p>
      <w:pPr>
        <w:spacing w:before="16"/>
        <w:rPr/>
      </w:pPr>
      <w:r/>
    </w:p>
    <w:p>
      <w:pPr>
        <w:spacing w:before="16"/>
        <w:rPr/>
      </w:pPr>
      <w:r/>
    </w:p>
    <w:tbl>
      <w:tblPr>
        <w:tblStyle w:val="TableNormal"/>
        <w:tblW w:w="13990" w:type="dxa"/>
        <w:tblInd w:w="1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4"/>
        <w:gridCol w:w="7554"/>
        <w:gridCol w:w="4632"/>
      </w:tblGrid>
      <w:tr>
        <w:trPr>
          <w:trHeight w:val="1191" w:hRule="atLeast"/>
        </w:trPr>
        <w:tc>
          <w:tcPr>
            <w:tcW w:w="1804" w:type="dxa"/>
            <w:vAlign w:val="top"/>
          </w:tcPr>
          <w:p>
            <w:pPr>
              <w:spacing w:line="404" w:lineRule="auto"/>
              <w:rPr>
                <w:rFonts w:ascii="Arial"/>
                <w:sz w:val="21"/>
              </w:rPr>
            </w:pPr>
            <w:r/>
          </w:p>
          <w:p>
            <w:pPr>
              <w:pStyle w:val="TableText"/>
              <w:ind w:left="658"/>
              <w:spacing w:before="78" w:line="221" w:lineRule="auto"/>
              <w:rPr/>
            </w:pPr>
            <w:bookmarkStart w:name="bookmark1223" w:id="600"/>
            <w:bookmarkEnd w:id="600"/>
            <w:r>
              <w:rPr>
                <w:b/>
                <w:bCs/>
                <w:spacing w:val="-5"/>
              </w:rPr>
              <w:t>较重</w:t>
            </w:r>
          </w:p>
        </w:tc>
        <w:tc>
          <w:tcPr>
            <w:tcW w:w="7554" w:type="dxa"/>
            <w:vAlign w:val="top"/>
          </w:tcPr>
          <w:p>
            <w:pPr>
              <w:pStyle w:val="TableText"/>
              <w:ind w:left="290" w:right="36" w:hanging="239"/>
              <w:spacing w:before="143" w:line="260" w:lineRule="auto"/>
              <w:rPr/>
            </w:pPr>
            <w:r>
              <w:rPr/>
              <w:t>医疗机构放射诊疗工作场所、放射性同位素储存场所和防护设施未定期</w:t>
            </w:r>
            <w:r>
              <w:rPr>
                <w:spacing w:val="14"/>
              </w:rPr>
              <w:t xml:space="preserve"> </w:t>
            </w:r>
            <w:r>
              <w:rPr/>
              <w:t>进行放射防护检测(含CT、DSA),或经检测辐射水平不符合有关规定</w:t>
            </w:r>
          </w:p>
          <w:p>
            <w:pPr>
              <w:pStyle w:val="TableText"/>
              <w:ind w:left="81"/>
              <w:spacing w:before="5" w:line="220" w:lineRule="auto"/>
              <w:rPr/>
            </w:pPr>
            <w:r>
              <w:rPr>
                <w:spacing w:val="2"/>
              </w:rPr>
              <w:t>或者标准</w:t>
            </w:r>
          </w:p>
        </w:tc>
        <w:tc>
          <w:tcPr>
            <w:tcW w:w="4632" w:type="dxa"/>
            <w:vAlign w:val="top"/>
          </w:tcPr>
          <w:p>
            <w:pPr>
              <w:pStyle w:val="TableText"/>
              <w:ind w:left="117" w:right="153" w:firstLine="10"/>
              <w:spacing w:before="313" w:line="258" w:lineRule="auto"/>
              <w:rPr/>
            </w:pPr>
            <w:r>
              <w:rPr>
                <w:spacing w:val="1"/>
              </w:rPr>
              <w:t>给予警告，责令限期改正；并处3000元以</w:t>
            </w:r>
            <w:r>
              <w:rPr/>
              <w:t xml:space="preserve"> </w:t>
            </w:r>
            <w:r>
              <w:rPr/>
              <w:t>上7000元以下的罚款</w:t>
            </w:r>
          </w:p>
        </w:tc>
      </w:tr>
      <w:tr>
        <w:trPr>
          <w:trHeight w:val="997" w:hRule="atLeast"/>
        </w:trPr>
        <w:tc>
          <w:tcPr>
            <w:tcW w:w="1804" w:type="dxa"/>
            <w:vAlign w:val="top"/>
          </w:tcPr>
          <w:p>
            <w:pPr>
              <w:spacing w:line="301" w:lineRule="auto"/>
              <w:rPr>
                <w:rFonts w:ascii="Arial"/>
                <w:sz w:val="21"/>
              </w:rPr>
            </w:pPr>
            <w:r/>
          </w:p>
          <w:p>
            <w:pPr>
              <w:pStyle w:val="TableText"/>
              <w:ind w:left="658"/>
              <w:spacing w:before="78" w:line="220" w:lineRule="auto"/>
              <w:rPr/>
            </w:pPr>
            <w:r>
              <w:rPr>
                <w:b/>
                <w:bCs/>
                <w:spacing w:val="-6"/>
              </w:rPr>
              <w:t>严重</w:t>
            </w:r>
          </w:p>
        </w:tc>
        <w:tc>
          <w:tcPr>
            <w:tcW w:w="7554" w:type="dxa"/>
            <w:vAlign w:val="top"/>
          </w:tcPr>
          <w:p>
            <w:pPr>
              <w:pStyle w:val="TableText"/>
              <w:ind w:left="230" w:right="36" w:hanging="179"/>
              <w:spacing w:before="43" w:line="262" w:lineRule="auto"/>
              <w:rPr/>
            </w:pPr>
            <w:r>
              <w:rPr/>
              <w:t>医疗机构放射诊疗工作场所、放射性同位素储存场所和防护设施未定期</w:t>
            </w:r>
            <w:r>
              <w:rPr>
                <w:spacing w:val="14"/>
              </w:rPr>
              <w:t xml:space="preserve"> </w:t>
            </w:r>
            <w:r>
              <w:rPr/>
              <w:t>进行放射防护检测(含严重危害类),或经检测辐</w:t>
            </w:r>
            <w:r>
              <w:rPr>
                <w:spacing w:val="-1"/>
              </w:rPr>
              <w:t>射水平不符合有关规</w:t>
            </w:r>
          </w:p>
          <w:p>
            <w:pPr>
              <w:pStyle w:val="TableText"/>
              <w:ind w:left="110"/>
              <w:spacing w:before="1" w:line="201" w:lineRule="auto"/>
              <w:rPr/>
            </w:pPr>
            <w:r>
              <w:rPr>
                <w:spacing w:val="2"/>
              </w:rPr>
              <w:t>定或者标准</w:t>
            </w:r>
          </w:p>
        </w:tc>
        <w:tc>
          <w:tcPr>
            <w:tcW w:w="4632" w:type="dxa"/>
            <w:vAlign w:val="top"/>
          </w:tcPr>
          <w:p>
            <w:pPr>
              <w:pStyle w:val="TableText"/>
              <w:ind w:left="117" w:right="153" w:firstLine="10"/>
              <w:spacing w:before="221" w:line="266" w:lineRule="auto"/>
              <w:rPr/>
            </w:pPr>
            <w:r>
              <w:rPr>
                <w:spacing w:val="1"/>
              </w:rPr>
              <w:t>给予警告，责令限期改正；并处7000元以</w:t>
            </w:r>
            <w:r>
              <w:rPr/>
              <w:t xml:space="preserve"> </w:t>
            </w:r>
            <w:r>
              <w:rPr>
                <w:spacing w:val="1"/>
              </w:rPr>
              <w:t>上一万元以下的罚款</w:t>
            </w:r>
          </w:p>
        </w:tc>
      </w:tr>
      <w:tr>
        <w:trPr>
          <w:trHeight w:val="1032" w:hRule="atLeast"/>
        </w:trPr>
        <w:tc>
          <w:tcPr>
            <w:tcW w:w="1804" w:type="dxa"/>
            <w:vAlign w:val="top"/>
          </w:tcPr>
          <w:p>
            <w:pPr>
              <w:spacing w:line="323" w:lineRule="auto"/>
              <w:rPr>
                <w:rFonts w:ascii="Arial"/>
                <w:sz w:val="21"/>
              </w:rPr>
            </w:pPr>
            <w:r/>
          </w:p>
          <w:p>
            <w:pPr>
              <w:pStyle w:val="TableText"/>
              <w:ind w:left="418"/>
              <w:spacing w:before="78" w:line="219" w:lineRule="auto"/>
              <w:rPr/>
            </w:pPr>
            <w:r>
              <w:rPr>
                <w:b/>
                <w:bCs/>
                <w:spacing w:val="-5"/>
              </w:rPr>
              <w:t>特别严重</w:t>
            </w:r>
          </w:p>
        </w:tc>
        <w:tc>
          <w:tcPr>
            <w:tcW w:w="7554" w:type="dxa"/>
            <w:vAlign w:val="top"/>
          </w:tcPr>
          <w:p>
            <w:pPr>
              <w:pStyle w:val="TableText"/>
              <w:ind w:left="51" w:right="36"/>
              <w:spacing w:before="66" w:line="245" w:lineRule="auto"/>
              <w:jc w:val="both"/>
              <w:rPr/>
            </w:pPr>
            <w:r>
              <w:rPr/>
              <w:t>医疗机构放射诊疗工作场所、放射性同位素储存场所和防护设施未定期</w:t>
            </w:r>
            <w:r>
              <w:rPr>
                <w:spacing w:val="14"/>
              </w:rPr>
              <w:t xml:space="preserve"> </w:t>
            </w:r>
            <w:r>
              <w:rPr/>
              <w:t>进行放射防护检测，且经检测辐射水平不符合有关</w:t>
            </w:r>
            <w:r>
              <w:rPr>
                <w:spacing w:val="-1"/>
              </w:rPr>
              <w:t>规定或者标准，造成</w:t>
            </w:r>
            <w:r>
              <w:rPr/>
              <w:t xml:space="preserve"> </w:t>
            </w:r>
            <w:r>
              <w:rPr>
                <w:spacing w:val="9"/>
              </w:rPr>
              <w:t>严重后果的</w:t>
            </w:r>
          </w:p>
        </w:tc>
        <w:tc>
          <w:tcPr>
            <w:tcW w:w="4632" w:type="dxa"/>
            <w:vAlign w:val="top"/>
          </w:tcPr>
          <w:p>
            <w:pPr>
              <w:pStyle w:val="TableText"/>
              <w:ind w:left="137"/>
              <w:spacing w:before="234" w:line="218" w:lineRule="auto"/>
              <w:rPr/>
            </w:pPr>
            <w:r>
              <w:rPr>
                <w:spacing w:val="1"/>
              </w:rPr>
              <w:t>给予警告，责令限期改正；并处一万元的</w:t>
            </w:r>
          </w:p>
          <w:p>
            <w:pPr>
              <w:pStyle w:val="TableText"/>
              <w:ind w:left="117"/>
              <w:spacing w:before="70" w:line="221" w:lineRule="auto"/>
              <w:rPr/>
            </w:pPr>
            <w:r>
              <w:rPr>
                <w:color w:val="504050"/>
                <w:spacing w:val="5"/>
              </w:rPr>
              <w:t>罚款</w:t>
            </w:r>
          </w:p>
        </w:tc>
      </w:tr>
    </w:tbl>
    <w:p>
      <w:pPr>
        <w:pStyle w:val="BodyText"/>
        <w:spacing w:line="457" w:lineRule="auto"/>
        <w:rPr/>
      </w:pPr>
      <w:r/>
    </w:p>
    <w:p>
      <w:pPr>
        <w:ind w:left="634" w:right="2340" w:firstLine="4"/>
        <w:spacing w:before="97" w:line="255" w:lineRule="auto"/>
        <w:rPr>
          <w:rFonts w:ascii="FangSong" w:hAnsi="FangSong" w:eastAsia="FangSong" w:cs="FangSong"/>
          <w:sz w:val="30"/>
          <w:szCs w:val="30"/>
        </w:rPr>
      </w:pPr>
      <w:r>
        <w:rPr>
          <w:rFonts w:ascii="FangSong" w:hAnsi="FangSong" w:eastAsia="FangSong" w:cs="FangSong"/>
          <w:sz w:val="30"/>
          <w:szCs w:val="30"/>
          <w:b/>
          <w:bCs/>
          <w:spacing w:val="21"/>
        </w:rPr>
        <w:t>第五百七十一条医疗机构放射性同位素与易燃、易爆、腐蚀性物品同库储存的</w:t>
      </w:r>
      <w:r>
        <w:rPr>
          <w:rFonts w:ascii="FangSong" w:hAnsi="FangSong" w:eastAsia="FangSong" w:cs="FangSong"/>
          <w:sz w:val="30"/>
          <w:szCs w:val="30"/>
          <w:spacing w:val="8"/>
        </w:rPr>
        <w:t xml:space="preserve"> </w:t>
      </w:r>
      <w:r>
        <w:rPr>
          <w:rFonts w:ascii="FangSong" w:hAnsi="FangSong" w:eastAsia="FangSong" w:cs="FangSong"/>
          <w:sz w:val="30"/>
          <w:szCs w:val="30"/>
          <w:spacing w:val="6"/>
        </w:rPr>
        <w:t>法律依据：</w:t>
      </w:r>
    </w:p>
    <w:p>
      <w:pPr>
        <w:ind w:left="34" w:right="175" w:firstLine="599"/>
        <w:spacing w:before="65" w:line="264" w:lineRule="auto"/>
        <w:rPr>
          <w:rFonts w:ascii="FangSong" w:hAnsi="FangSong" w:eastAsia="FangSong" w:cs="FangSong"/>
          <w:sz w:val="30"/>
          <w:szCs w:val="30"/>
        </w:rPr>
      </w:pPr>
      <w:r>
        <w:rPr>
          <w:rFonts w:ascii="FangSong" w:hAnsi="FangSong" w:eastAsia="FangSong" w:cs="FangSong"/>
          <w:sz w:val="30"/>
          <w:szCs w:val="30"/>
          <w:spacing w:val="20"/>
        </w:rPr>
        <w:t>1.</w:t>
      </w:r>
      <w:r>
        <w:rPr>
          <w:rFonts w:ascii="FangSong" w:hAnsi="FangSong" w:eastAsia="FangSong" w:cs="FangSong"/>
          <w:sz w:val="30"/>
          <w:szCs w:val="30"/>
          <w:spacing w:val="20"/>
        </w:rPr>
        <w:t xml:space="preserve"> </w:t>
      </w:r>
      <w:r>
        <w:rPr>
          <w:rFonts w:ascii="FangSong" w:hAnsi="FangSong" w:eastAsia="FangSong" w:cs="FangSong"/>
          <w:sz w:val="30"/>
          <w:szCs w:val="30"/>
          <w:spacing w:val="20"/>
        </w:rPr>
        <w:t>《放射诊疗管理规定》第四十一条第(七)项</w:t>
      </w:r>
      <w:r>
        <w:rPr>
          <w:rFonts w:ascii="FangSong" w:hAnsi="FangSong" w:eastAsia="FangSong" w:cs="FangSong"/>
          <w:sz w:val="30"/>
          <w:szCs w:val="30"/>
          <w:spacing w:val="20"/>
        </w:rPr>
        <w:t xml:space="preserve">   </w:t>
      </w:r>
      <w:r>
        <w:rPr>
          <w:rFonts w:ascii="FangSong" w:hAnsi="FangSong" w:eastAsia="FangSong" w:cs="FangSong"/>
          <w:sz w:val="30"/>
          <w:szCs w:val="30"/>
          <w:spacing w:val="20"/>
        </w:rPr>
        <w:t>医疗机构违反本规定，有下列行为之一</w:t>
      </w:r>
      <w:r>
        <w:rPr>
          <w:rFonts w:ascii="FangSong" w:hAnsi="FangSong" w:eastAsia="FangSong" w:cs="FangSong"/>
          <w:sz w:val="30"/>
          <w:szCs w:val="30"/>
          <w:spacing w:val="19"/>
        </w:rPr>
        <w:t>的，</w:t>
      </w:r>
      <w:r>
        <w:rPr>
          <w:rFonts w:ascii="FangSong" w:hAnsi="FangSong" w:eastAsia="FangSong" w:cs="FangSong"/>
          <w:sz w:val="30"/>
          <w:szCs w:val="30"/>
        </w:rPr>
        <w:t xml:space="preserve"> </w:t>
      </w:r>
      <w:r>
        <w:rPr>
          <w:rFonts w:ascii="FangSong" w:hAnsi="FangSong" w:eastAsia="FangSong" w:cs="FangSong"/>
          <w:sz w:val="30"/>
          <w:szCs w:val="30"/>
          <w:spacing w:val="17"/>
        </w:rPr>
        <w:t>由县级以上卫生行政部门给予警告，责令限期改正；并可处一万</w:t>
      </w:r>
      <w:r>
        <w:rPr>
          <w:rFonts w:ascii="FangSong" w:hAnsi="FangSong" w:eastAsia="FangSong" w:cs="FangSong"/>
          <w:sz w:val="30"/>
          <w:szCs w:val="30"/>
          <w:spacing w:val="16"/>
        </w:rPr>
        <w:t>元以下的罚款：</w:t>
      </w:r>
    </w:p>
    <w:p>
      <w:pPr>
        <w:ind w:left="804"/>
        <w:spacing w:before="3" w:line="222" w:lineRule="auto"/>
        <w:rPr>
          <w:rFonts w:ascii="FangSong" w:hAnsi="FangSong" w:eastAsia="FangSong" w:cs="FangSong"/>
          <w:sz w:val="30"/>
          <w:szCs w:val="30"/>
        </w:rPr>
      </w:pPr>
      <w:r>
        <w:rPr>
          <w:rFonts w:ascii="FangSong" w:hAnsi="FangSong" w:eastAsia="FangSong" w:cs="FangSong"/>
          <w:sz w:val="30"/>
          <w:szCs w:val="30"/>
          <w:spacing w:val="27"/>
        </w:rPr>
        <w:t>(七)违反本规定的其他情形。</w:t>
      </w:r>
    </w:p>
    <w:p>
      <w:pPr>
        <w:ind w:left="25" w:right="94" w:firstLine="609"/>
        <w:spacing w:before="76" w:line="270" w:lineRule="auto"/>
        <w:rPr>
          <w:rFonts w:ascii="FangSong" w:hAnsi="FangSong" w:eastAsia="FangSong" w:cs="FangSong"/>
          <w:sz w:val="30"/>
          <w:szCs w:val="30"/>
        </w:rPr>
      </w:pPr>
      <w:r>
        <w:rPr>
          <w:rFonts w:ascii="FangSong" w:hAnsi="FangSong" w:eastAsia="FangSong" w:cs="FangSong"/>
          <w:sz w:val="30"/>
          <w:szCs w:val="30"/>
          <w:spacing w:val="15"/>
        </w:rPr>
        <w:t>2.</w:t>
      </w:r>
      <w:r>
        <w:rPr>
          <w:rFonts w:ascii="FangSong" w:hAnsi="FangSong" w:eastAsia="FangSong" w:cs="FangSong"/>
          <w:sz w:val="30"/>
          <w:szCs w:val="30"/>
          <w:spacing w:val="15"/>
        </w:rPr>
        <w:t xml:space="preserve"> </w:t>
      </w:r>
      <w:r>
        <w:rPr>
          <w:rFonts w:ascii="FangSong" w:hAnsi="FangSong" w:eastAsia="FangSong" w:cs="FangSong"/>
          <w:sz w:val="30"/>
          <w:szCs w:val="30"/>
          <w:spacing w:val="15"/>
        </w:rPr>
        <w:t>《放射诊疗管理规定》第二十一条第二款</w:t>
      </w:r>
      <w:r>
        <w:rPr>
          <w:rFonts w:ascii="FangSong" w:hAnsi="FangSong" w:eastAsia="FangSong" w:cs="FangSong"/>
          <w:sz w:val="30"/>
          <w:szCs w:val="30"/>
          <w:spacing w:val="15"/>
        </w:rPr>
        <w:t xml:space="preserve">   </w:t>
      </w:r>
      <w:r>
        <w:rPr>
          <w:rFonts w:ascii="FangSong" w:hAnsi="FangSong" w:eastAsia="FangSong" w:cs="FangSong"/>
          <w:sz w:val="30"/>
          <w:szCs w:val="30"/>
          <w:spacing w:val="15"/>
        </w:rPr>
        <w:t>放射性同位素不得与易燃、易爆、腐蚀性物品同</w:t>
      </w:r>
      <w:r>
        <w:rPr>
          <w:rFonts w:ascii="FangSong" w:hAnsi="FangSong" w:eastAsia="FangSong" w:cs="FangSong"/>
          <w:sz w:val="30"/>
          <w:szCs w:val="30"/>
          <w:spacing w:val="4"/>
        </w:rPr>
        <w:t xml:space="preserve"> </w:t>
      </w:r>
      <w:r>
        <w:rPr>
          <w:rFonts w:ascii="FangSong" w:hAnsi="FangSong" w:eastAsia="FangSong" w:cs="FangSong"/>
          <w:sz w:val="30"/>
          <w:szCs w:val="30"/>
          <w:spacing w:val="17"/>
        </w:rPr>
        <w:t>库储存；储存场所应当采取有效的防泄漏等措施，并安装必要的报警装置。</w:t>
      </w:r>
    </w:p>
    <w:p>
      <w:pPr>
        <w:ind w:left="6428"/>
        <w:spacing w:before="155"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141" w:lineRule="auto"/>
        <w:rPr>
          <w:rFonts w:ascii="Arial"/>
          <w:sz w:val="2"/>
        </w:rPr>
      </w:pPr>
      <w:r>
        <w:rPr>
          <w:rFonts w:ascii="Arial"/>
          <w:sz w:val="2"/>
        </w:rPr>
      </w:r>
    </w:p>
    <w:tbl>
      <w:tblPr>
        <w:tblStyle w:val="TableNormal"/>
        <w:tblW w:w="1400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4"/>
        <w:gridCol w:w="7574"/>
        <w:gridCol w:w="4622"/>
      </w:tblGrid>
      <w:tr>
        <w:trPr>
          <w:trHeight w:val="649" w:hRule="atLeast"/>
        </w:trPr>
        <w:tc>
          <w:tcPr>
            <w:tcW w:w="1804" w:type="dxa"/>
            <w:vAlign w:val="top"/>
          </w:tcPr>
          <w:p>
            <w:pPr>
              <w:pStyle w:val="TableText"/>
              <w:ind w:left="319"/>
              <w:spacing w:before="183" w:line="220" w:lineRule="auto"/>
              <w:rPr>
                <w:sz w:val="29"/>
                <w:szCs w:val="29"/>
              </w:rPr>
            </w:pPr>
            <w:r>
              <w:rPr>
                <w:sz w:val="29"/>
                <w:szCs w:val="29"/>
                <w:b/>
                <w:bCs/>
                <w:spacing w:val="-1"/>
              </w:rPr>
              <w:t>违法程度</w:t>
            </w:r>
          </w:p>
        </w:tc>
        <w:tc>
          <w:tcPr>
            <w:tcW w:w="7574" w:type="dxa"/>
            <w:vAlign w:val="top"/>
          </w:tcPr>
          <w:p>
            <w:pPr>
              <w:pStyle w:val="TableText"/>
              <w:ind w:left="3225"/>
              <w:spacing w:before="183" w:line="220" w:lineRule="auto"/>
              <w:rPr>
                <w:sz w:val="29"/>
                <w:szCs w:val="29"/>
              </w:rPr>
            </w:pPr>
            <w:r>
              <w:rPr>
                <w:sz w:val="29"/>
                <w:szCs w:val="29"/>
                <w:b/>
                <w:bCs/>
                <w:spacing w:val="-1"/>
              </w:rPr>
              <w:t>情节后果</w:t>
            </w:r>
          </w:p>
        </w:tc>
        <w:tc>
          <w:tcPr>
            <w:tcW w:w="4622" w:type="dxa"/>
            <w:vAlign w:val="top"/>
          </w:tcPr>
          <w:p>
            <w:pPr>
              <w:pStyle w:val="TableText"/>
              <w:ind w:left="1741"/>
              <w:spacing w:before="180" w:line="218" w:lineRule="auto"/>
              <w:rPr>
                <w:sz w:val="29"/>
                <w:szCs w:val="29"/>
              </w:rPr>
            </w:pPr>
            <w:r>
              <w:rPr>
                <w:sz w:val="29"/>
                <w:szCs w:val="29"/>
                <w:b/>
                <w:bCs/>
                <w:spacing w:val="-1"/>
              </w:rPr>
              <w:t>裁量幅度</w:t>
            </w:r>
          </w:p>
        </w:tc>
      </w:tr>
    </w:tbl>
    <w:p>
      <w:pPr>
        <w:pStyle w:val="BodyText"/>
        <w:rPr/>
      </w:pPr>
      <w:r/>
    </w:p>
    <w:p>
      <w:pPr>
        <w:sectPr>
          <w:footerReference w:type="default" r:id="rId595"/>
          <w:pgSz w:w="16830" w:h="11900"/>
          <w:pgMar w:top="1011" w:right="1394" w:bottom="1125" w:left="1425" w:header="0" w:footer="783" w:gutter="0"/>
        </w:sectPr>
        <w:rPr/>
      </w:pPr>
    </w:p>
    <w:p>
      <w:pPr>
        <w:spacing w:before="20"/>
        <w:rPr/>
      </w:pPr>
      <w:r/>
    </w:p>
    <w:p>
      <w:pPr>
        <w:spacing w:before="20"/>
        <w:rPr/>
      </w:pPr>
      <w:r/>
    </w:p>
    <w:p>
      <w:pPr>
        <w:spacing w:before="19"/>
        <w:rPr/>
      </w:pPr>
      <w:r/>
    </w:p>
    <w:tbl>
      <w:tblPr>
        <w:tblStyle w:val="TableNormal"/>
        <w:tblW w:w="13990" w:type="dxa"/>
        <w:tblInd w:w="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584"/>
        <w:gridCol w:w="4622"/>
      </w:tblGrid>
      <w:tr>
        <w:trPr>
          <w:trHeight w:val="700" w:hRule="atLeast"/>
        </w:trPr>
        <w:tc>
          <w:tcPr>
            <w:tcW w:w="1784" w:type="dxa"/>
            <w:vAlign w:val="top"/>
          </w:tcPr>
          <w:p>
            <w:pPr>
              <w:pStyle w:val="TableText"/>
              <w:ind w:left="648"/>
              <w:spacing w:before="232" w:line="220" w:lineRule="auto"/>
              <w:rPr/>
            </w:pPr>
            <w:bookmarkStart w:name="bookmark1224" w:id="601"/>
            <w:bookmarkEnd w:id="601"/>
            <w:r>
              <w:rPr>
                <w:b/>
                <w:bCs/>
                <w:spacing w:val="-6"/>
              </w:rPr>
              <w:t>严重</w:t>
            </w:r>
          </w:p>
        </w:tc>
        <w:tc>
          <w:tcPr>
            <w:tcW w:w="7584" w:type="dxa"/>
            <w:vAlign w:val="top"/>
          </w:tcPr>
          <w:p>
            <w:pPr>
              <w:pStyle w:val="TableText"/>
              <w:ind w:left="111"/>
              <w:spacing w:before="232" w:line="218" w:lineRule="auto"/>
              <w:rPr/>
            </w:pPr>
            <w:r>
              <w:rPr/>
              <w:t>医疗机构放射性同位素与易燃、易爆、腐蚀性物品同库储存的</w:t>
            </w:r>
          </w:p>
        </w:tc>
        <w:tc>
          <w:tcPr>
            <w:tcW w:w="4622" w:type="dxa"/>
            <w:vAlign w:val="top"/>
          </w:tcPr>
          <w:p>
            <w:pPr>
              <w:pStyle w:val="TableText"/>
              <w:ind w:left="117" w:right="153"/>
              <w:spacing w:before="63" w:line="241" w:lineRule="auto"/>
              <w:rPr/>
            </w:pPr>
            <w:r>
              <w:rPr>
                <w:spacing w:val="1"/>
              </w:rPr>
              <w:t>给予警告，责令限期改正；并处7000元以</w:t>
            </w:r>
            <w:r>
              <w:rPr/>
              <w:t xml:space="preserve"> </w:t>
            </w:r>
            <w:r>
              <w:rPr>
                <w:spacing w:val="1"/>
              </w:rPr>
              <w:t>上一万元以下的罚款</w:t>
            </w:r>
          </w:p>
        </w:tc>
      </w:tr>
      <w:tr>
        <w:trPr>
          <w:trHeight w:val="690" w:hRule="atLeast"/>
        </w:trPr>
        <w:tc>
          <w:tcPr>
            <w:tcW w:w="1784" w:type="dxa"/>
            <w:vAlign w:val="top"/>
          </w:tcPr>
          <w:p>
            <w:pPr>
              <w:pStyle w:val="TableText"/>
              <w:ind w:left="408"/>
              <w:spacing w:before="231" w:line="219" w:lineRule="auto"/>
              <w:rPr/>
            </w:pPr>
            <w:r>
              <w:rPr>
                <w:b/>
                <w:bCs/>
                <w:spacing w:val="-5"/>
              </w:rPr>
              <w:t>特别严重</w:t>
            </w:r>
          </w:p>
        </w:tc>
        <w:tc>
          <w:tcPr>
            <w:tcW w:w="7584" w:type="dxa"/>
            <w:vAlign w:val="top"/>
          </w:tcPr>
          <w:p>
            <w:pPr>
              <w:pStyle w:val="TableText"/>
              <w:ind w:left="111" w:right="12"/>
              <w:spacing w:before="82" w:line="230" w:lineRule="auto"/>
              <w:rPr/>
            </w:pPr>
            <w:r>
              <w:rPr/>
              <w:t>医疗机构放射性同位素与易燃、易爆、腐蚀性物品同库储存的，造成严</w:t>
            </w:r>
            <w:r>
              <w:rPr>
                <w:spacing w:val="8"/>
              </w:rPr>
              <w:t xml:space="preserve"> </w:t>
            </w:r>
            <w:r>
              <w:rPr>
                <w:spacing w:val="4"/>
              </w:rPr>
              <w:t>重后果的</w:t>
            </w:r>
          </w:p>
        </w:tc>
        <w:tc>
          <w:tcPr>
            <w:tcW w:w="4622" w:type="dxa"/>
            <w:vAlign w:val="top"/>
          </w:tcPr>
          <w:p>
            <w:pPr>
              <w:pStyle w:val="TableText"/>
              <w:ind w:left="127"/>
              <w:spacing w:before="72" w:line="218" w:lineRule="auto"/>
              <w:rPr/>
            </w:pPr>
            <w:r>
              <w:rPr>
                <w:spacing w:val="1"/>
              </w:rPr>
              <w:t>给予警告，责令限期改正；并处一万元的</w:t>
            </w:r>
          </w:p>
          <w:p>
            <w:pPr>
              <w:pStyle w:val="TableText"/>
              <w:ind w:left="117"/>
              <w:spacing w:before="59" w:line="203" w:lineRule="auto"/>
              <w:rPr/>
            </w:pPr>
            <w:r>
              <w:rPr>
                <w:color w:val="605050"/>
                <w:spacing w:val="5"/>
              </w:rPr>
              <w:t>罚款</w:t>
            </w:r>
          </w:p>
        </w:tc>
      </w:tr>
    </w:tbl>
    <w:p>
      <w:pPr>
        <w:pStyle w:val="BodyText"/>
        <w:spacing w:line="464" w:lineRule="auto"/>
        <w:rPr/>
      </w:pPr>
      <w:r/>
    </w:p>
    <w:p>
      <w:pPr>
        <w:ind w:left="4" w:right="41" w:firstLine="659"/>
        <w:spacing w:before="98" w:line="276" w:lineRule="auto"/>
        <w:rPr>
          <w:rFonts w:ascii="FangSong" w:hAnsi="FangSong" w:eastAsia="FangSong" w:cs="FangSong"/>
          <w:sz w:val="30"/>
          <w:szCs w:val="30"/>
        </w:rPr>
      </w:pPr>
      <w:r>
        <w:rPr>
          <w:rFonts w:ascii="FangSong" w:hAnsi="FangSong" w:eastAsia="FangSong" w:cs="FangSong"/>
          <w:sz w:val="30"/>
          <w:szCs w:val="30"/>
          <w:b/>
          <w:bCs/>
          <w:spacing w:val="21"/>
        </w:rPr>
        <w:t>第五百七十二条医疗机构放射性同位素储存场所未采取有效的防泄漏等措施，未安装必要的报</w:t>
      </w:r>
      <w:r>
        <w:rPr>
          <w:rFonts w:ascii="FangSong" w:hAnsi="FangSong" w:eastAsia="FangSong" w:cs="FangSong"/>
          <w:sz w:val="30"/>
          <w:szCs w:val="30"/>
          <w:spacing w:val="8"/>
        </w:rPr>
        <w:t xml:space="preserve"> </w:t>
      </w:r>
      <w:r>
        <w:rPr>
          <w:rFonts w:ascii="FangSong" w:hAnsi="FangSong" w:eastAsia="FangSong" w:cs="FangSong"/>
          <w:sz w:val="30"/>
          <w:szCs w:val="30"/>
          <w:b/>
          <w:bCs/>
          <w:spacing w:val="12"/>
        </w:rPr>
        <w:t>警装置的</w:t>
      </w:r>
    </w:p>
    <w:p>
      <w:pPr>
        <w:ind w:left="659"/>
        <w:spacing w:before="22"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right="145" w:firstLine="659"/>
        <w:spacing w:before="82" w:line="264" w:lineRule="auto"/>
        <w:rPr>
          <w:rFonts w:ascii="FangSong" w:hAnsi="FangSong" w:eastAsia="FangSong" w:cs="FangSong"/>
          <w:sz w:val="30"/>
          <w:szCs w:val="30"/>
        </w:rPr>
      </w:pPr>
      <w:r>
        <w:rPr>
          <w:rFonts w:ascii="FangSong" w:hAnsi="FangSong" w:eastAsia="FangSong" w:cs="FangSong"/>
          <w:sz w:val="30"/>
          <w:szCs w:val="30"/>
          <w:spacing w:val="20"/>
        </w:rPr>
        <w:t>1.</w:t>
      </w:r>
      <w:r>
        <w:rPr>
          <w:rFonts w:ascii="FangSong" w:hAnsi="FangSong" w:eastAsia="FangSong" w:cs="FangSong"/>
          <w:sz w:val="30"/>
          <w:szCs w:val="30"/>
          <w:spacing w:val="20"/>
        </w:rPr>
        <w:t xml:space="preserve"> </w:t>
      </w:r>
      <w:r>
        <w:rPr>
          <w:rFonts w:ascii="FangSong" w:hAnsi="FangSong" w:eastAsia="FangSong" w:cs="FangSong"/>
          <w:sz w:val="30"/>
          <w:szCs w:val="30"/>
          <w:spacing w:val="20"/>
        </w:rPr>
        <w:t>《放射诊疗管理规定》第四十一条第(七)项</w:t>
      </w:r>
      <w:r>
        <w:rPr>
          <w:rFonts w:ascii="FangSong" w:hAnsi="FangSong" w:eastAsia="FangSong" w:cs="FangSong"/>
          <w:sz w:val="30"/>
          <w:szCs w:val="30"/>
          <w:spacing w:val="20"/>
        </w:rPr>
        <w:t xml:space="preserve">   </w:t>
      </w:r>
      <w:r>
        <w:rPr>
          <w:rFonts w:ascii="FangSong" w:hAnsi="FangSong" w:eastAsia="FangSong" w:cs="FangSong"/>
          <w:sz w:val="30"/>
          <w:szCs w:val="30"/>
          <w:spacing w:val="20"/>
        </w:rPr>
        <w:t>医疗机构违反本规定，有下列行为之一</w:t>
      </w:r>
      <w:r>
        <w:rPr>
          <w:rFonts w:ascii="FangSong" w:hAnsi="FangSong" w:eastAsia="FangSong" w:cs="FangSong"/>
          <w:sz w:val="30"/>
          <w:szCs w:val="30"/>
          <w:spacing w:val="19"/>
        </w:rPr>
        <w:t>的，</w:t>
      </w:r>
      <w:r>
        <w:rPr>
          <w:rFonts w:ascii="FangSong" w:hAnsi="FangSong" w:eastAsia="FangSong" w:cs="FangSong"/>
          <w:sz w:val="30"/>
          <w:szCs w:val="30"/>
        </w:rPr>
        <w:t xml:space="preserve"> </w:t>
      </w:r>
      <w:r>
        <w:rPr>
          <w:rFonts w:ascii="FangSong" w:hAnsi="FangSong" w:eastAsia="FangSong" w:cs="FangSong"/>
          <w:sz w:val="30"/>
          <w:szCs w:val="30"/>
          <w:spacing w:val="17"/>
        </w:rPr>
        <w:t>由县级以上卫生行政部门给予警告，责令限期改正；并可处一万</w:t>
      </w:r>
      <w:r>
        <w:rPr>
          <w:rFonts w:ascii="FangSong" w:hAnsi="FangSong" w:eastAsia="FangSong" w:cs="FangSong"/>
          <w:sz w:val="30"/>
          <w:szCs w:val="30"/>
          <w:spacing w:val="16"/>
        </w:rPr>
        <w:t>元以下的罚款：</w:t>
      </w:r>
    </w:p>
    <w:p>
      <w:pPr>
        <w:ind w:left="779"/>
        <w:spacing w:before="3" w:line="222" w:lineRule="auto"/>
        <w:rPr>
          <w:rFonts w:ascii="FangSong" w:hAnsi="FangSong" w:eastAsia="FangSong" w:cs="FangSong"/>
          <w:sz w:val="30"/>
          <w:szCs w:val="30"/>
        </w:rPr>
      </w:pPr>
      <w:r>
        <w:rPr>
          <w:rFonts w:ascii="FangSong" w:hAnsi="FangSong" w:eastAsia="FangSong" w:cs="FangSong"/>
          <w:sz w:val="30"/>
          <w:szCs w:val="30"/>
          <w:spacing w:val="27"/>
        </w:rPr>
        <w:t>(七)违反本规定的其他情形。</w:t>
      </w:r>
    </w:p>
    <w:p>
      <w:pPr>
        <w:ind w:right="104" w:firstLine="659"/>
        <w:spacing w:before="76" w:line="276" w:lineRule="auto"/>
        <w:rPr>
          <w:rFonts w:ascii="FangSong" w:hAnsi="FangSong" w:eastAsia="FangSong" w:cs="FangSong"/>
          <w:sz w:val="30"/>
          <w:szCs w:val="30"/>
        </w:rPr>
      </w:pPr>
      <w:r>
        <w:rPr>
          <w:rFonts w:ascii="FangSong" w:hAnsi="FangSong" w:eastAsia="FangSong" w:cs="FangSong"/>
          <w:sz w:val="30"/>
          <w:szCs w:val="30"/>
          <w:spacing w:val="14"/>
        </w:rPr>
        <w:t>2.</w:t>
      </w:r>
      <w:r>
        <w:rPr>
          <w:rFonts w:ascii="FangSong" w:hAnsi="FangSong" w:eastAsia="FangSong" w:cs="FangSong"/>
          <w:sz w:val="30"/>
          <w:szCs w:val="30"/>
          <w:spacing w:val="14"/>
        </w:rPr>
        <w:t xml:space="preserve"> </w:t>
      </w:r>
      <w:r>
        <w:rPr>
          <w:rFonts w:ascii="FangSong" w:hAnsi="FangSong" w:eastAsia="FangSong" w:cs="FangSong"/>
          <w:sz w:val="30"/>
          <w:szCs w:val="30"/>
          <w:spacing w:val="14"/>
        </w:rPr>
        <w:t>《放射诊疗管理规定》第二十一条第二款</w:t>
      </w:r>
      <w:r>
        <w:rPr>
          <w:rFonts w:ascii="FangSong" w:hAnsi="FangSong" w:eastAsia="FangSong" w:cs="FangSong"/>
          <w:sz w:val="30"/>
          <w:szCs w:val="30"/>
          <w:spacing w:val="14"/>
        </w:rPr>
        <w:t xml:space="preserve">   </w:t>
      </w:r>
      <w:r>
        <w:rPr>
          <w:rFonts w:ascii="FangSong" w:hAnsi="FangSong" w:eastAsia="FangSong" w:cs="FangSong"/>
          <w:sz w:val="30"/>
          <w:szCs w:val="30"/>
          <w:spacing w:val="14"/>
        </w:rPr>
        <w:t>放射性同位素不得与易燃、易爆、腐蚀性物品同</w:t>
      </w:r>
      <w:r>
        <w:rPr>
          <w:rFonts w:ascii="FangSong" w:hAnsi="FangSong" w:eastAsia="FangSong" w:cs="FangSong"/>
          <w:sz w:val="30"/>
          <w:szCs w:val="30"/>
          <w:spacing w:val="9"/>
        </w:rPr>
        <w:t xml:space="preserve"> </w:t>
      </w:r>
      <w:r>
        <w:rPr>
          <w:rFonts w:ascii="FangSong" w:hAnsi="FangSong" w:eastAsia="FangSong" w:cs="FangSong"/>
          <w:sz w:val="30"/>
          <w:szCs w:val="30"/>
          <w:spacing w:val="18"/>
        </w:rPr>
        <w:t>库储存；储存场所应当采取有效的防泄漏等措施，并安装必要的</w:t>
      </w:r>
      <w:r>
        <w:rPr>
          <w:rFonts w:ascii="FangSong" w:hAnsi="FangSong" w:eastAsia="FangSong" w:cs="FangSong"/>
          <w:sz w:val="30"/>
          <w:szCs w:val="30"/>
          <w:spacing w:val="17"/>
        </w:rPr>
        <w:t>报警装置。</w:t>
      </w:r>
    </w:p>
    <w:p>
      <w:pPr>
        <w:pStyle w:val="BodyText"/>
        <w:spacing w:line="325" w:lineRule="auto"/>
        <w:rPr/>
      </w:pPr>
      <w:r/>
    </w:p>
    <w:p>
      <w:pPr>
        <w:pStyle w:val="BodyText"/>
        <w:spacing w:line="326" w:lineRule="auto"/>
        <w:rPr/>
      </w:pPr>
      <w:r/>
    </w:p>
    <w:p>
      <w:pPr>
        <w:ind w:left="6423"/>
        <w:spacing w:before="91"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1" w:lineRule="auto"/>
        <w:rPr>
          <w:rFonts w:ascii="Arial"/>
          <w:sz w:val="2"/>
        </w:rPr>
      </w:pPr>
      <w:r>
        <w:rPr>
          <w:rFonts w:ascii="Arial"/>
          <w:sz w:val="2"/>
        </w:rPr>
      </w:r>
    </w:p>
    <w:tbl>
      <w:tblPr>
        <w:tblStyle w:val="TableNormal"/>
        <w:tblW w:w="13990" w:type="dxa"/>
        <w:tblInd w:w="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584"/>
        <w:gridCol w:w="4622"/>
      </w:tblGrid>
      <w:tr>
        <w:trPr>
          <w:trHeight w:val="660" w:hRule="atLeast"/>
        </w:trPr>
        <w:tc>
          <w:tcPr>
            <w:tcW w:w="1784" w:type="dxa"/>
            <w:vAlign w:val="top"/>
          </w:tcPr>
          <w:p>
            <w:pPr>
              <w:pStyle w:val="TableText"/>
              <w:ind w:left="388"/>
              <w:spacing w:before="212" w:line="220" w:lineRule="auto"/>
              <w:rPr>
                <w:sz w:val="25"/>
                <w:szCs w:val="25"/>
              </w:rPr>
            </w:pPr>
            <w:r>
              <w:rPr>
                <w:sz w:val="25"/>
                <w:szCs w:val="25"/>
                <w:b/>
                <w:bCs/>
                <w:spacing w:val="-5"/>
              </w:rPr>
              <w:t>违法程度</w:t>
            </w:r>
          </w:p>
        </w:tc>
        <w:tc>
          <w:tcPr>
            <w:tcW w:w="7584" w:type="dxa"/>
            <w:vAlign w:val="top"/>
          </w:tcPr>
          <w:p>
            <w:pPr>
              <w:pStyle w:val="TableText"/>
              <w:ind w:left="3284"/>
              <w:spacing w:before="212" w:line="220" w:lineRule="auto"/>
              <w:rPr>
                <w:sz w:val="25"/>
                <w:szCs w:val="25"/>
              </w:rPr>
            </w:pPr>
            <w:r>
              <w:rPr>
                <w:sz w:val="25"/>
                <w:szCs w:val="25"/>
                <w:b/>
                <w:bCs/>
                <w:spacing w:val="-5"/>
              </w:rPr>
              <w:t>情节后果</w:t>
            </w:r>
          </w:p>
        </w:tc>
        <w:tc>
          <w:tcPr>
            <w:tcW w:w="4622" w:type="dxa"/>
            <w:vAlign w:val="top"/>
          </w:tcPr>
          <w:p>
            <w:pPr>
              <w:pStyle w:val="TableText"/>
              <w:ind w:left="1810"/>
              <w:spacing w:before="209" w:line="218" w:lineRule="auto"/>
              <w:rPr>
                <w:sz w:val="25"/>
                <w:szCs w:val="25"/>
              </w:rPr>
            </w:pPr>
            <w:r>
              <w:rPr>
                <w:sz w:val="25"/>
                <w:szCs w:val="25"/>
                <w:b/>
                <w:bCs/>
                <w:spacing w:val="-5"/>
              </w:rPr>
              <w:t>裁量幅度</w:t>
            </w:r>
          </w:p>
        </w:tc>
      </w:tr>
      <w:tr>
        <w:trPr>
          <w:trHeight w:val="680" w:hRule="atLeast"/>
        </w:trPr>
        <w:tc>
          <w:tcPr>
            <w:tcW w:w="1784" w:type="dxa"/>
            <w:vAlign w:val="top"/>
          </w:tcPr>
          <w:p>
            <w:pPr>
              <w:pStyle w:val="TableText"/>
              <w:ind w:left="638"/>
              <w:spacing w:before="225" w:line="221" w:lineRule="auto"/>
              <w:rPr>
                <w:sz w:val="25"/>
                <w:szCs w:val="25"/>
              </w:rPr>
            </w:pPr>
            <w:r>
              <w:rPr>
                <w:sz w:val="25"/>
                <w:szCs w:val="25"/>
                <w:b/>
                <w:bCs/>
                <w:spacing w:val="-6"/>
              </w:rPr>
              <w:t>较重</w:t>
            </w:r>
          </w:p>
        </w:tc>
        <w:tc>
          <w:tcPr>
            <w:tcW w:w="7584" w:type="dxa"/>
            <w:vAlign w:val="top"/>
          </w:tcPr>
          <w:p>
            <w:pPr>
              <w:pStyle w:val="TableText"/>
              <w:ind w:left="114" w:hanging="100"/>
              <w:spacing w:before="79" w:line="218" w:lineRule="auto"/>
              <w:rPr>
                <w:sz w:val="25"/>
                <w:szCs w:val="25"/>
              </w:rPr>
            </w:pPr>
            <w:r>
              <w:rPr>
                <w:sz w:val="25"/>
                <w:szCs w:val="25"/>
                <w:b/>
                <w:bCs/>
                <w:spacing w:val="-9"/>
              </w:rPr>
              <w:t>医疗机构放射性同位素储存场所未采取有效的防泄漏等措施，或未安装</w:t>
            </w:r>
            <w:r>
              <w:rPr>
                <w:sz w:val="25"/>
                <w:szCs w:val="25"/>
                <w:spacing w:val="6"/>
              </w:rPr>
              <w:t xml:space="preserve"> </w:t>
            </w:r>
            <w:r>
              <w:rPr>
                <w:sz w:val="25"/>
                <w:szCs w:val="25"/>
                <w:b/>
                <w:bCs/>
                <w:spacing w:val="-2"/>
              </w:rPr>
              <w:t>必要的报警装置的</w:t>
            </w:r>
          </w:p>
        </w:tc>
        <w:tc>
          <w:tcPr>
            <w:tcW w:w="4622" w:type="dxa"/>
            <w:vAlign w:val="top"/>
          </w:tcPr>
          <w:p>
            <w:pPr>
              <w:pStyle w:val="TableText"/>
              <w:ind w:left="130" w:right="35" w:hanging="70"/>
              <w:spacing w:before="79" w:line="218" w:lineRule="auto"/>
              <w:rPr>
                <w:sz w:val="25"/>
                <w:szCs w:val="25"/>
              </w:rPr>
            </w:pPr>
            <w:r>
              <w:rPr>
                <w:sz w:val="25"/>
                <w:szCs w:val="25"/>
                <w:b/>
                <w:bCs/>
                <w:spacing w:val="-2"/>
              </w:rPr>
              <w:t>给予警告，责令限期改正；并处3000元以</w:t>
            </w:r>
            <w:r>
              <w:rPr>
                <w:sz w:val="25"/>
                <w:szCs w:val="25"/>
                <w:spacing w:val="1"/>
              </w:rPr>
              <w:t xml:space="preserve"> </w:t>
            </w:r>
            <w:r>
              <w:rPr>
                <w:sz w:val="25"/>
                <w:szCs w:val="25"/>
                <w:b/>
                <w:bCs/>
                <w:spacing w:val="-4"/>
              </w:rPr>
              <w:t>上7000元以下的罚款</w:t>
            </w:r>
          </w:p>
        </w:tc>
      </w:tr>
    </w:tbl>
    <w:p>
      <w:pPr>
        <w:pStyle w:val="BodyText"/>
        <w:rPr/>
      </w:pPr>
      <w:r/>
    </w:p>
    <w:p>
      <w:pPr>
        <w:sectPr>
          <w:footerReference w:type="default" r:id="rId596"/>
          <w:pgSz w:w="16830" w:h="11900"/>
          <w:pgMar w:top="1011" w:right="1394" w:bottom="1118" w:left="1430" w:header="0" w:footer="785" w:gutter="0"/>
        </w:sectPr>
        <w:rPr/>
      </w:pPr>
    </w:p>
    <w:p>
      <w:pPr>
        <w:spacing w:before="17"/>
        <w:rPr/>
      </w:pPr>
      <w:r/>
    </w:p>
    <w:p>
      <w:pPr>
        <w:spacing w:before="16"/>
        <w:rPr/>
      </w:pPr>
      <w:r/>
    </w:p>
    <w:p>
      <w:pPr>
        <w:spacing w:before="16"/>
        <w:rPr/>
      </w:pPr>
      <w:r/>
    </w:p>
    <w:tbl>
      <w:tblPr>
        <w:tblStyle w:val="TableNormal"/>
        <w:tblW w:w="139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584"/>
        <w:gridCol w:w="4622"/>
      </w:tblGrid>
      <w:tr>
        <w:trPr>
          <w:trHeight w:val="839" w:hRule="atLeast"/>
        </w:trPr>
        <w:tc>
          <w:tcPr>
            <w:tcW w:w="1784" w:type="dxa"/>
            <w:vAlign w:val="top"/>
          </w:tcPr>
          <w:p>
            <w:pPr>
              <w:pStyle w:val="TableText"/>
              <w:ind w:left="648"/>
              <w:spacing w:before="302" w:line="220" w:lineRule="auto"/>
              <w:outlineLvl w:val="0"/>
              <w:rPr/>
            </w:pPr>
            <w:bookmarkStart w:name="bookmark1225" w:id="602"/>
            <w:bookmarkEnd w:id="602"/>
            <w:bookmarkStart w:name="bookmark703" w:id="603"/>
            <w:bookmarkEnd w:id="603"/>
            <w:r>
              <w:rPr>
                <w:b/>
                <w:bCs/>
                <w:spacing w:val="-6"/>
              </w:rPr>
              <w:t>严重</w:t>
            </w:r>
          </w:p>
        </w:tc>
        <w:tc>
          <w:tcPr>
            <w:tcW w:w="7584" w:type="dxa"/>
            <w:vAlign w:val="top"/>
          </w:tcPr>
          <w:p>
            <w:pPr>
              <w:pStyle w:val="TableText"/>
              <w:ind w:left="121" w:right="1"/>
              <w:spacing w:before="155" w:line="256" w:lineRule="auto"/>
              <w:rPr/>
            </w:pPr>
            <w:r>
              <w:rPr/>
              <w:t>医疗机构放射性同位素储存场所未采取有效的防泄漏等措施，也未安装</w:t>
            </w:r>
            <w:r>
              <w:rPr>
                <w:spacing w:val="10"/>
              </w:rPr>
              <w:t xml:space="preserve"> </w:t>
            </w:r>
            <w:r>
              <w:rPr>
                <w:spacing w:val="2"/>
              </w:rPr>
              <w:t>必要的报警装置的</w:t>
            </w:r>
          </w:p>
        </w:tc>
        <w:tc>
          <w:tcPr>
            <w:tcW w:w="4622" w:type="dxa"/>
            <w:vAlign w:val="top"/>
          </w:tcPr>
          <w:p>
            <w:pPr>
              <w:pStyle w:val="TableText"/>
              <w:ind w:left="117" w:right="153"/>
              <w:spacing w:before="153" w:line="260" w:lineRule="auto"/>
              <w:rPr/>
            </w:pPr>
            <w:r>
              <w:rPr>
                <w:spacing w:val="1"/>
              </w:rPr>
              <w:t>给予警告，责令限期改正；并处7000元以</w:t>
            </w:r>
            <w:r>
              <w:rPr/>
              <w:t xml:space="preserve"> </w:t>
            </w:r>
            <w:r>
              <w:rPr>
                <w:spacing w:val="1"/>
              </w:rPr>
              <w:t>上一万元以下的罚款</w:t>
            </w:r>
          </w:p>
        </w:tc>
      </w:tr>
      <w:tr>
        <w:trPr>
          <w:trHeight w:val="710" w:hRule="atLeast"/>
        </w:trPr>
        <w:tc>
          <w:tcPr>
            <w:tcW w:w="1784" w:type="dxa"/>
            <w:vAlign w:val="top"/>
          </w:tcPr>
          <w:p>
            <w:pPr>
              <w:pStyle w:val="TableText"/>
              <w:ind w:left="408"/>
              <w:spacing w:before="242" w:line="219" w:lineRule="auto"/>
              <w:rPr/>
            </w:pPr>
            <w:r>
              <w:rPr>
                <w:b/>
                <w:bCs/>
                <w:spacing w:val="-5"/>
              </w:rPr>
              <w:t>特别严重</w:t>
            </w:r>
          </w:p>
        </w:tc>
        <w:tc>
          <w:tcPr>
            <w:tcW w:w="7584" w:type="dxa"/>
            <w:vAlign w:val="top"/>
          </w:tcPr>
          <w:p>
            <w:pPr>
              <w:pStyle w:val="TableText"/>
              <w:ind w:left="121"/>
              <w:spacing w:before="83" w:line="237" w:lineRule="auto"/>
              <w:rPr/>
            </w:pPr>
            <w:r>
              <w:rPr/>
              <w:t>医疗机构放射性同位素储存场所未采取有效的防泄漏等措施，未安装必</w:t>
            </w:r>
            <w:r>
              <w:rPr>
                <w:spacing w:val="11"/>
              </w:rPr>
              <w:t xml:space="preserve"> </w:t>
            </w:r>
            <w:r>
              <w:rPr>
                <w:spacing w:val="1"/>
              </w:rPr>
              <w:t>要的报警装置，造成严重后果的</w:t>
            </w:r>
          </w:p>
        </w:tc>
        <w:tc>
          <w:tcPr>
            <w:tcW w:w="4622" w:type="dxa"/>
            <w:vAlign w:val="top"/>
          </w:tcPr>
          <w:p>
            <w:pPr>
              <w:pStyle w:val="TableText"/>
              <w:ind w:left="117"/>
              <w:spacing w:before="83" w:line="218" w:lineRule="auto"/>
              <w:rPr/>
            </w:pPr>
            <w:r>
              <w:rPr>
                <w:spacing w:val="1"/>
              </w:rPr>
              <w:t>给予警告，责令限期改正；并处一万元的</w:t>
            </w:r>
          </w:p>
          <w:p>
            <w:pPr>
              <w:pStyle w:val="TableText"/>
              <w:ind w:left="117"/>
              <w:spacing w:before="70" w:line="202" w:lineRule="auto"/>
              <w:rPr/>
            </w:pPr>
            <w:r>
              <w:rPr>
                <w:color w:val="505060"/>
                <w:spacing w:val="5"/>
              </w:rPr>
              <w:t>罚款</w:t>
            </w:r>
          </w:p>
        </w:tc>
      </w:tr>
    </w:tbl>
    <w:p>
      <w:pPr>
        <w:pStyle w:val="BodyText"/>
        <w:spacing w:line="441" w:lineRule="auto"/>
        <w:rPr/>
      </w:pPr>
      <w:r/>
    </w:p>
    <w:p>
      <w:pPr>
        <w:ind w:left="19" w:right="85" w:firstLine="619"/>
        <w:spacing w:before="101" w:line="263" w:lineRule="auto"/>
        <w:rPr>
          <w:rFonts w:ascii="FangSong" w:hAnsi="FangSong" w:eastAsia="FangSong" w:cs="FangSong"/>
          <w:sz w:val="31"/>
          <w:szCs w:val="31"/>
        </w:rPr>
      </w:pPr>
      <w:r>
        <w:rPr>
          <w:rFonts w:ascii="FangSong" w:hAnsi="FangSong" w:eastAsia="FangSong" w:cs="FangSong"/>
          <w:sz w:val="31"/>
          <w:szCs w:val="31"/>
          <w:b/>
          <w:bCs/>
          <w:spacing w:val="11"/>
        </w:rPr>
        <w:t>第五百七十三条医疗机构放射性同位素储存场所无专人</w:t>
      </w:r>
      <w:r>
        <w:rPr>
          <w:rFonts w:ascii="FangSong" w:hAnsi="FangSong" w:eastAsia="FangSong" w:cs="FangSong"/>
          <w:sz w:val="31"/>
          <w:szCs w:val="31"/>
          <w:b/>
          <w:bCs/>
          <w:spacing w:val="10"/>
        </w:rPr>
        <w:t>负责，无完善的存入、领取、归还登记</w:t>
      </w:r>
      <w:r>
        <w:rPr>
          <w:rFonts w:ascii="FangSong" w:hAnsi="FangSong" w:eastAsia="FangSong" w:cs="FangSong"/>
          <w:sz w:val="31"/>
          <w:szCs w:val="31"/>
        </w:rPr>
        <w:t xml:space="preserve"> </w:t>
      </w:r>
      <w:r>
        <w:rPr>
          <w:rFonts w:ascii="FangSong" w:hAnsi="FangSong" w:eastAsia="FangSong" w:cs="FangSong"/>
          <w:sz w:val="31"/>
          <w:szCs w:val="31"/>
          <w:b/>
          <w:bCs/>
          <w:spacing w:val="7"/>
        </w:rPr>
        <w:t>和检查的制度，未做到交接严格，检查及时，账目清楚，账物相符，记录资料完整的</w:t>
      </w:r>
    </w:p>
    <w:p>
      <w:pPr>
        <w:ind w:left="634"/>
        <w:spacing w:before="55" w:line="222" w:lineRule="auto"/>
        <w:rPr>
          <w:rFonts w:ascii="FangSong" w:hAnsi="FangSong" w:eastAsia="FangSong" w:cs="FangSong"/>
          <w:sz w:val="26"/>
          <w:szCs w:val="26"/>
        </w:rPr>
      </w:pPr>
      <w:r>
        <w:rPr>
          <w:rFonts w:ascii="FangSong" w:hAnsi="FangSong" w:eastAsia="FangSong" w:cs="FangSong"/>
          <w:sz w:val="26"/>
          <w:szCs w:val="26"/>
          <w:spacing w:val="34"/>
        </w:rPr>
        <w:t>法律依据</w:t>
      </w:r>
      <w:r>
        <w:rPr>
          <w:rFonts w:ascii="FangSong" w:hAnsi="FangSong" w:eastAsia="FangSong" w:cs="FangSong"/>
          <w:sz w:val="26"/>
          <w:szCs w:val="26"/>
          <w:spacing w:val="-63"/>
        </w:rPr>
        <w:t xml:space="preserve"> </w:t>
      </w:r>
      <w:r>
        <w:rPr>
          <w:rFonts w:ascii="FangSong" w:hAnsi="FangSong" w:eastAsia="FangSong" w:cs="FangSong"/>
          <w:sz w:val="26"/>
          <w:szCs w:val="26"/>
          <w:spacing w:val="34"/>
        </w:rPr>
        <w:t>：</w:t>
      </w:r>
    </w:p>
    <w:p>
      <w:pPr>
        <w:ind w:left="15" w:right="164" w:firstLine="619"/>
        <w:spacing w:before="86" w:line="261" w:lineRule="auto"/>
        <w:rPr>
          <w:rFonts w:ascii="FangSong" w:hAnsi="FangSong" w:eastAsia="FangSong" w:cs="FangSong"/>
          <w:sz w:val="31"/>
          <w:szCs w:val="31"/>
        </w:rPr>
      </w:pPr>
      <w:r>
        <w:rPr>
          <w:rFonts w:ascii="FangSong" w:hAnsi="FangSong" w:eastAsia="FangSong" w:cs="FangSong"/>
          <w:sz w:val="31"/>
          <w:szCs w:val="31"/>
          <w:spacing w:val="11"/>
        </w:rPr>
        <w:t>1.</w:t>
      </w:r>
      <w:r>
        <w:rPr>
          <w:rFonts w:ascii="FangSong" w:hAnsi="FangSong" w:eastAsia="FangSong" w:cs="FangSong"/>
          <w:sz w:val="31"/>
          <w:szCs w:val="31"/>
          <w:spacing w:val="11"/>
        </w:rPr>
        <w:t xml:space="preserve"> </w:t>
      </w:r>
      <w:r>
        <w:rPr>
          <w:rFonts w:ascii="FangSong" w:hAnsi="FangSong" w:eastAsia="FangSong" w:cs="FangSong"/>
          <w:sz w:val="31"/>
          <w:szCs w:val="31"/>
          <w:spacing w:val="11"/>
        </w:rPr>
        <w:t>《放射诊疗管理规定》第四十一条第(七)项</w:t>
      </w:r>
      <w:r>
        <w:rPr>
          <w:rFonts w:ascii="FangSong" w:hAnsi="FangSong" w:eastAsia="FangSong" w:cs="FangSong"/>
          <w:sz w:val="31"/>
          <w:szCs w:val="31"/>
          <w:spacing w:val="11"/>
        </w:rPr>
        <w:t xml:space="preserve">   </w:t>
      </w:r>
      <w:r>
        <w:rPr>
          <w:rFonts w:ascii="FangSong" w:hAnsi="FangSong" w:eastAsia="FangSong" w:cs="FangSong"/>
          <w:sz w:val="31"/>
          <w:szCs w:val="31"/>
          <w:spacing w:val="11"/>
        </w:rPr>
        <w:t>医疗机构违反本规定，有下列行为之一的，</w:t>
      </w:r>
      <w:r>
        <w:rPr>
          <w:rFonts w:ascii="FangSong" w:hAnsi="FangSong" w:eastAsia="FangSong" w:cs="FangSong"/>
          <w:sz w:val="31"/>
          <w:szCs w:val="31"/>
        </w:rPr>
        <w:t xml:space="preserve"> </w:t>
      </w:r>
      <w:r>
        <w:rPr>
          <w:rFonts w:ascii="FangSong" w:hAnsi="FangSong" w:eastAsia="FangSong" w:cs="FangSong"/>
          <w:sz w:val="31"/>
          <w:szCs w:val="31"/>
          <w:spacing w:val="7"/>
        </w:rPr>
        <w:t>由县级以上卫生行政部门给予警告，责令限期改正；并可处一万元以下的罚款：</w:t>
      </w:r>
    </w:p>
    <w:p>
      <w:pPr>
        <w:ind w:left="774"/>
        <w:spacing w:before="3" w:line="222" w:lineRule="auto"/>
        <w:rPr>
          <w:rFonts w:ascii="FangSong" w:hAnsi="FangSong" w:eastAsia="FangSong" w:cs="FangSong"/>
          <w:sz w:val="31"/>
          <w:szCs w:val="31"/>
        </w:rPr>
      </w:pPr>
      <w:r>
        <w:rPr>
          <w:rFonts w:ascii="FangSong" w:hAnsi="FangSong" w:eastAsia="FangSong" w:cs="FangSong"/>
          <w:sz w:val="31"/>
          <w:szCs w:val="31"/>
          <w:spacing w:val="18"/>
        </w:rPr>
        <w:t>(七)违反本规定的其他情形。</w:t>
      </w:r>
    </w:p>
    <w:p>
      <w:pPr>
        <w:ind w:left="15" w:right="60" w:firstLine="619"/>
        <w:spacing w:before="62" w:line="282" w:lineRule="auto"/>
        <w:jc w:val="both"/>
        <w:rPr>
          <w:rFonts w:ascii="FangSong" w:hAnsi="FangSong" w:eastAsia="FangSong" w:cs="FangSong"/>
          <w:sz w:val="26"/>
          <w:szCs w:val="26"/>
        </w:rPr>
      </w:pPr>
      <w:r>
        <w:rPr>
          <w:rFonts w:ascii="FangSong" w:hAnsi="FangSong" w:eastAsia="FangSong" w:cs="FangSong"/>
          <w:sz w:val="31"/>
          <w:szCs w:val="31"/>
          <w:spacing w:val="7"/>
        </w:rPr>
        <w:t>2.</w:t>
      </w:r>
      <w:r>
        <w:rPr>
          <w:rFonts w:ascii="FangSong" w:hAnsi="FangSong" w:eastAsia="FangSong" w:cs="FangSong"/>
          <w:sz w:val="31"/>
          <w:szCs w:val="31"/>
          <w:spacing w:val="-73"/>
        </w:rPr>
        <w:t xml:space="preserve"> </w:t>
      </w:r>
      <w:r>
        <w:rPr>
          <w:rFonts w:ascii="FangSong" w:hAnsi="FangSong" w:eastAsia="FangSong" w:cs="FangSong"/>
          <w:sz w:val="31"/>
          <w:szCs w:val="31"/>
          <w:spacing w:val="7"/>
        </w:rPr>
        <w:t>《放射诊疗管理规定》第二十一条第三款</w:t>
      </w:r>
      <w:r>
        <w:rPr>
          <w:rFonts w:ascii="FangSong" w:hAnsi="FangSong" w:eastAsia="FangSong" w:cs="FangSong"/>
          <w:sz w:val="31"/>
          <w:szCs w:val="31"/>
          <w:spacing w:val="7"/>
        </w:rPr>
        <w:t xml:space="preserve">   </w:t>
      </w:r>
      <w:r>
        <w:rPr>
          <w:rFonts w:ascii="FangSong" w:hAnsi="FangSong" w:eastAsia="FangSong" w:cs="FangSong"/>
          <w:sz w:val="31"/>
          <w:szCs w:val="31"/>
          <w:spacing w:val="7"/>
        </w:rPr>
        <w:t>放射性同位</w:t>
      </w:r>
      <w:r>
        <w:rPr>
          <w:rFonts w:ascii="FangSong" w:hAnsi="FangSong" w:eastAsia="FangSong" w:cs="FangSong"/>
          <w:sz w:val="31"/>
          <w:szCs w:val="31"/>
          <w:spacing w:val="6"/>
        </w:rPr>
        <w:t>素储存场所应当有专人负责，有完善</w:t>
      </w:r>
      <w:r>
        <w:rPr>
          <w:rFonts w:ascii="FangSong" w:hAnsi="FangSong" w:eastAsia="FangSong" w:cs="FangSong"/>
          <w:sz w:val="31"/>
          <w:szCs w:val="31"/>
        </w:rPr>
        <w:t xml:space="preserve"> </w:t>
      </w:r>
      <w:r>
        <w:rPr>
          <w:rFonts w:ascii="FangSong" w:hAnsi="FangSong" w:eastAsia="FangSong" w:cs="FangSong"/>
          <w:sz w:val="31"/>
          <w:szCs w:val="31"/>
          <w:spacing w:val="7"/>
        </w:rPr>
        <w:t>的存入、领取、归还登记和检查的制度，做到交接严</w:t>
      </w:r>
      <w:r>
        <w:rPr>
          <w:rFonts w:ascii="FangSong" w:hAnsi="FangSong" w:eastAsia="FangSong" w:cs="FangSong"/>
          <w:sz w:val="31"/>
          <w:szCs w:val="31"/>
          <w:spacing w:val="6"/>
        </w:rPr>
        <w:t>格，检查及时，账目清楚，账物相符，记录资料</w:t>
      </w:r>
      <w:r>
        <w:rPr>
          <w:rFonts w:ascii="FangSong" w:hAnsi="FangSong" w:eastAsia="FangSong" w:cs="FangSong"/>
          <w:sz w:val="31"/>
          <w:szCs w:val="31"/>
        </w:rPr>
        <w:t xml:space="preserve"> </w:t>
      </w:r>
      <w:r>
        <w:rPr>
          <w:rFonts w:ascii="FangSong" w:hAnsi="FangSong" w:eastAsia="FangSong" w:cs="FangSong"/>
          <w:sz w:val="26"/>
          <w:szCs w:val="26"/>
          <w:spacing w:val="17"/>
        </w:rPr>
        <w:t>完整</w:t>
      </w:r>
      <w:r>
        <w:rPr>
          <w:rFonts w:ascii="FangSong" w:hAnsi="FangSong" w:eastAsia="FangSong" w:cs="FangSong"/>
          <w:sz w:val="26"/>
          <w:szCs w:val="26"/>
          <w:spacing w:val="-57"/>
        </w:rPr>
        <w:t xml:space="preserve"> </w:t>
      </w:r>
      <w:r>
        <w:rPr>
          <w:rFonts w:ascii="FangSong" w:hAnsi="FangSong" w:eastAsia="FangSong" w:cs="FangSong"/>
          <w:sz w:val="26"/>
          <w:szCs w:val="26"/>
          <w:spacing w:val="17"/>
        </w:rPr>
        <w:t>。</w:t>
      </w:r>
    </w:p>
    <w:p>
      <w:pPr>
        <w:ind w:left="6419"/>
        <w:spacing w:before="111"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94"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584"/>
        <w:gridCol w:w="4626"/>
      </w:tblGrid>
      <w:tr>
        <w:trPr>
          <w:trHeight w:val="690" w:hRule="atLeast"/>
        </w:trPr>
        <w:tc>
          <w:tcPr>
            <w:tcW w:w="1784" w:type="dxa"/>
            <w:vAlign w:val="top"/>
          </w:tcPr>
          <w:p>
            <w:pPr>
              <w:pStyle w:val="TableText"/>
              <w:ind w:left="368"/>
              <w:spacing w:before="222" w:line="220" w:lineRule="auto"/>
              <w:rPr>
                <w:sz w:val="26"/>
                <w:szCs w:val="26"/>
              </w:rPr>
            </w:pPr>
            <w:r>
              <w:rPr>
                <w:sz w:val="26"/>
                <w:szCs w:val="26"/>
                <w:b/>
                <w:bCs/>
                <w:spacing w:val="-5"/>
              </w:rPr>
              <w:t>违法程度</w:t>
            </w:r>
          </w:p>
        </w:tc>
        <w:tc>
          <w:tcPr>
            <w:tcW w:w="7584" w:type="dxa"/>
            <w:vAlign w:val="top"/>
          </w:tcPr>
          <w:p>
            <w:pPr>
              <w:pStyle w:val="TableText"/>
              <w:ind w:left="3224"/>
              <w:spacing w:before="222" w:line="220" w:lineRule="auto"/>
              <w:rPr>
                <w:sz w:val="26"/>
                <w:szCs w:val="26"/>
              </w:rPr>
            </w:pPr>
            <w:r>
              <w:rPr>
                <w:sz w:val="26"/>
                <w:szCs w:val="26"/>
                <w:b/>
                <w:bCs/>
                <w:spacing w:val="-5"/>
              </w:rPr>
              <w:t>情节后果</w:t>
            </w:r>
          </w:p>
        </w:tc>
        <w:tc>
          <w:tcPr>
            <w:tcW w:w="4626" w:type="dxa"/>
            <w:vAlign w:val="top"/>
          </w:tcPr>
          <w:p>
            <w:pPr>
              <w:pStyle w:val="TableText"/>
              <w:ind w:left="1790"/>
              <w:spacing w:before="219" w:line="218" w:lineRule="auto"/>
              <w:rPr>
                <w:sz w:val="26"/>
                <w:szCs w:val="26"/>
              </w:rPr>
            </w:pPr>
            <w:r>
              <w:rPr>
                <w:sz w:val="26"/>
                <w:szCs w:val="26"/>
                <w:b/>
                <w:bCs/>
                <w:spacing w:val="-5"/>
              </w:rPr>
              <w:t>裁量幅度</w:t>
            </w:r>
          </w:p>
        </w:tc>
      </w:tr>
      <w:tr>
        <w:trPr>
          <w:trHeight w:val="660" w:hRule="atLeast"/>
        </w:trPr>
        <w:tc>
          <w:tcPr>
            <w:tcW w:w="1784" w:type="dxa"/>
            <w:vAlign w:val="top"/>
          </w:tcPr>
          <w:p>
            <w:pPr>
              <w:pStyle w:val="TableText"/>
              <w:ind w:left="628"/>
              <w:spacing w:before="205" w:line="221" w:lineRule="auto"/>
              <w:rPr>
                <w:sz w:val="26"/>
                <w:szCs w:val="26"/>
              </w:rPr>
            </w:pPr>
            <w:r>
              <w:rPr>
                <w:sz w:val="26"/>
                <w:szCs w:val="26"/>
                <w:b/>
                <w:bCs/>
                <w:spacing w:val="-6"/>
              </w:rPr>
              <w:t>较重</w:t>
            </w:r>
          </w:p>
        </w:tc>
        <w:tc>
          <w:tcPr>
            <w:tcW w:w="7584" w:type="dxa"/>
            <w:vAlign w:val="top"/>
          </w:tcPr>
          <w:p>
            <w:pPr>
              <w:pStyle w:val="TableText"/>
              <w:ind w:left="124"/>
              <w:spacing w:before="200" w:line="219" w:lineRule="auto"/>
              <w:rPr>
                <w:sz w:val="26"/>
                <w:szCs w:val="26"/>
              </w:rPr>
            </w:pPr>
            <w:r>
              <w:rPr>
                <w:sz w:val="26"/>
                <w:szCs w:val="26"/>
                <w:b/>
                <w:bCs/>
                <w:spacing w:val="-3"/>
              </w:rPr>
              <w:t>医疗机构放射性同位素储存场所无专人负责的</w:t>
            </w:r>
          </w:p>
        </w:tc>
        <w:tc>
          <w:tcPr>
            <w:tcW w:w="4626" w:type="dxa"/>
            <w:vAlign w:val="top"/>
          </w:tcPr>
          <w:p>
            <w:pPr>
              <w:pStyle w:val="TableText"/>
              <w:ind w:left="109" w:hanging="89"/>
              <w:spacing w:before="50" w:line="213" w:lineRule="auto"/>
              <w:rPr>
                <w:sz w:val="26"/>
                <w:szCs w:val="26"/>
              </w:rPr>
            </w:pPr>
            <w:r>
              <w:rPr>
                <w:sz w:val="26"/>
                <w:szCs w:val="26"/>
                <w:b/>
                <w:bCs/>
                <w:spacing w:val="-7"/>
              </w:rPr>
              <w:t>给予警告，责令限期改正；并处3000元以</w:t>
            </w:r>
            <w:r>
              <w:rPr>
                <w:sz w:val="26"/>
                <w:szCs w:val="26"/>
              </w:rPr>
              <w:t xml:space="preserve"> </w:t>
            </w:r>
            <w:r>
              <w:rPr>
                <w:sz w:val="26"/>
                <w:szCs w:val="26"/>
                <w:b/>
                <w:bCs/>
                <w:spacing w:val="-5"/>
              </w:rPr>
              <w:t>上7000元以下的罚款</w:t>
            </w:r>
          </w:p>
        </w:tc>
      </w:tr>
    </w:tbl>
    <w:p>
      <w:pPr>
        <w:pStyle w:val="BodyText"/>
        <w:rPr/>
      </w:pPr>
      <w:r/>
    </w:p>
    <w:p>
      <w:pPr>
        <w:sectPr>
          <w:footerReference w:type="default" r:id="rId597"/>
          <w:pgSz w:w="16830" w:h="11900"/>
          <w:pgMar w:top="1011" w:right="1390" w:bottom="1141" w:left="1434" w:header="0" w:footer="817" w:gutter="0"/>
        </w:sectPr>
        <w:rPr/>
      </w:pPr>
    </w:p>
    <w:p>
      <w:pPr>
        <w:spacing w:before="13"/>
        <w:rPr/>
      </w:pPr>
      <w:r/>
    </w:p>
    <w:p>
      <w:pPr>
        <w:spacing w:before="13"/>
        <w:rPr/>
      </w:pPr>
      <w:r/>
    </w:p>
    <w:p>
      <w:pPr>
        <w:spacing w:before="13"/>
        <w:rPr/>
      </w:pPr>
      <w:r/>
    </w:p>
    <w:tbl>
      <w:tblPr>
        <w:tblStyle w:val="TableNormal"/>
        <w:tblW w:w="13990"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584"/>
        <w:gridCol w:w="4622"/>
      </w:tblGrid>
      <w:tr>
        <w:trPr>
          <w:trHeight w:val="1030" w:hRule="atLeast"/>
        </w:trPr>
        <w:tc>
          <w:tcPr>
            <w:tcW w:w="1784" w:type="dxa"/>
            <w:vAlign w:val="top"/>
          </w:tcPr>
          <w:p>
            <w:pPr>
              <w:spacing w:line="322" w:lineRule="auto"/>
              <w:rPr>
                <w:rFonts w:ascii="Arial"/>
                <w:sz w:val="21"/>
              </w:rPr>
            </w:pPr>
            <w:r/>
          </w:p>
          <w:p>
            <w:pPr>
              <w:pStyle w:val="TableText"/>
              <w:ind w:left="648"/>
              <w:spacing w:before="78" w:line="220" w:lineRule="auto"/>
              <w:rPr/>
            </w:pPr>
            <w:bookmarkStart w:name="bookmark1226" w:id="604"/>
            <w:bookmarkEnd w:id="604"/>
            <w:r>
              <w:rPr>
                <w:b/>
                <w:bCs/>
                <w:spacing w:val="-6"/>
              </w:rPr>
              <w:t>严重</w:t>
            </w:r>
          </w:p>
        </w:tc>
        <w:tc>
          <w:tcPr>
            <w:tcW w:w="7584" w:type="dxa"/>
            <w:vAlign w:val="top"/>
          </w:tcPr>
          <w:p>
            <w:pPr>
              <w:pStyle w:val="TableText"/>
              <w:ind w:left="60" w:right="60"/>
              <w:spacing w:before="64" w:line="245" w:lineRule="auto"/>
              <w:jc w:val="both"/>
              <w:rPr/>
            </w:pPr>
            <w:r>
              <w:rPr/>
              <w:t>医疗机构放射性同位素储存场所无完善的存入、领取、归还登记和检查</w:t>
            </w:r>
            <w:r>
              <w:rPr>
                <w:spacing w:val="11"/>
              </w:rPr>
              <w:t xml:space="preserve"> </w:t>
            </w:r>
            <w:r>
              <w:rPr/>
              <w:t>的制度，未做到交接严格，检查及时，账目清楚，账物相符，记录资料</w:t>
            </w:r>
            <w:r>
              <w:rPr>
                <w:spacing w:val="7"/>
              </w:rPr>
              <w:t xml:space="preserve"> </w:t>
            </w:r>
            <w:r>
              <w:rPr>
                <w:spacing w:val="29"/>
              </w:rPr>
              <w:t>完整的</w:t>
            </w:r>
          </w:p>
        </w:tc>
        <w:tc>
          <w:tcPr>
            <w:tcW w:w="4622" w:type="dxa"/>
            <w:vAlign w:val="top"/>
          </w:tcPr>
          <w:p>
            <w:pPr>
              <w:pStyle w:val="TableText"/>
              <w:ind w:left="117" w:right="153"/>
              <w:spacing w:before="242" w:line="266" w:lineRule="auto"/>
              <w:rPr/>
            </w:pPr>
            <w:r>
              <w:rPr>
                <w:spacing w:val="1"/>
              </w:rPr>
              <w:t>给予警告，责令限期改正；并处7000元以</w:t>
            </w:r>
            <w:r>
              <w:rPr/>
              <w:t xml:space="preserve"> </w:t>
            </w:r>
            <w:r>
              <w:rPr>
                <w:spacing w:val="1"/>
              </w:rPr>
              <w:t>上一万元以下的罚款</w:t>
            </w:r>
          </w:p>
        </w:tc>
      </w:tr>
      <w:tr>
        <w:trPr>
          <w:trHeight w:val="1020" w:hRule="atLeast"/>
        </w:trPr>
        <w:tc>
          <w:tcPr>
            <w:tcW w:w="1784" w:type="dxa"/>
            <w:vAlign w:val="top"/>
          </w:tcPr>
          <w:p>
            <w:pPr>
              <w:spacing w:line="311" w:lineRule="auto"/>
              <w:rPr>
                <w:rFonts w:ascii="Arial"/>
                <w:sz w:val="21"/>
              </w:rPr>
            </w:pPr>
            <w:r/>
          </w:p>
          <w:p>
            <w:pPr>
              <w:pStyle w:val="TableText"/>
              <w:ind w:left="408"/>
              <w:spacing w:before="78" w:line="219" w:lineRule="auto"/>
              <w:rPr/>
            </w:pPr>
            <w:r>
              <w:rPr>
                <w:b/>
                <w:bCs/>
                <w:spacing w:val="-5"/>
              </w:rPr>
              <w:t>特别严重</w:t>
            </w:r>
          </w:p>
        </w:tc>
        <w:tc>
          <w:tcPr>
            <w:tcW w:w="7584" w:type="dxa"/>
            <w:vAlign w:val="top"/>
          </w:tcPr>
          <w:p>
            <w:pPr>
              <w:pStyle w:val="TableText"/>
              <w:ind w:left="60" w:right="52"/>
              <w:spacing w:before="62" w:line="243" w:lineRule="auto"/>
              <w:jc w:val="both"/>
              <w:rPr/>
            </w:pPr>
            <w:r>
              <w:rPr>
                <w:spacing w:val="1"/>
              </w:rPr>
              <w:t>医疗机构放射性同位素储存场所无专人负责</w:t>
            </w:r>
            <w:r>
              <w:rPr/>
              <w:t>，无完善的存入、领取、归 </w:t>
            </w:r>
            <w:r>
              <w:rPr/>
              <w:t>还登记和检查的制度，未做到交接严格，检查及时，账目清楚，账物相</w:t>
            </w:r>
            <w:r>
              <w:rPr>
                <w:spacing w:val="18"/>
              </w:rPr>
              <w:t xml:space="preserve"> </w:t>
            </w:r>
            <w:r>
              <w:rPr>
                <w:spacing w:val="4"/>
              </w:rPr>
              <w:t>符，记录资料完整，造成严重后果的</w:t>
            </w:r>
          </w:p>
        </w:tc>
        <w:tc>
          <w:tcPr>
            <w:tcW w:w="4622" w:type="dxa"/>
            <w:vAlign w:val="top"/>
          </w:tcPr>
          <w:p>
            <w:pPr>
              <w:pStyle w:val="TableText"/>
              <w:ind w:left="127"/>
              <w:spacing w:before="252" w:line="218" w:lineRule="auto"/>
              <w:rPr/>
            </w:pPr>
            <w:r>
              <w:rPr>
                <w:spacing w:val="1"/>
              </w:rPr>
              <w:t>给予警告，责令限期改正；并处一万元的</w:t>
            </w:r>
          </w:p>
          <w:p>
            <w:pPr>
              <w:pStyle w:val="TableText"/>
              <w:ind w:left="117"/>
              <w:spacing w:before="60" w:line="221" w:lineRule="auto"/>
              <w:rPr/>
            </w:pPr>
            <w:r>
              <w:rPr>
                <w:color w:val="403040"/>
                <w:spacing w:val="5"/>
              </w:rPr>
              <w:t>罚款</w:t>
            </w:r>
          </w:p>
        </w:tc>
      </w:tr>
    </w:tbl>
    <w:p>
      <w:pPr>
        <w:pStyle w:val="BodyText"/>
        <w:spacing w:line="431" w:lineRule="auto"/>
        <w:rPr/>
      </w:pPr>
      <w:r/>
    </w:p>
    <w:p>
      <w:pPr>
        <w:ind w:left="39" w:right="100" w:firstLine="639"/>
        <w:spacing w:before="101" w:line="269" w:lineRule="auto"/>
        <w:jc w:val="both"/>
        <w:rPr>
          <w:rFonts w:ascii="FangSong" w:hAnsi="FangSong" w:eastAsia="FangSong" w:cs="FangSong"/>
          <w:sz w:val="31"/>
          <w:szCs w:val="31"/>
        </w:rPr>
      </w:pPr>
      <w:r>
        <w:rPr>
          <w:rFonts w:ascii="FangSong" w:hAnsi="FangSong" w:eastAsia="FangSong" w:cs="FangSong"/>
          <w:sz w:val="31"/>
          <w:szCs w:val="31"/>
          <w:b/>
          <w:bCs/>
          <w:spacing w:val="11"/>
        </w:rPr>
        <w:t>第五百七十四条开展核医学诊疗的医疗机构，未遵守相应</w:t>
      </w:r>
      <w:r>
        <w:rPr>
          <w:rFonts w:ascii="FangSong" w:hAnsi="FangSong" w:eastAsia="FangSong" w:cs="FangSong"/>
          <w:sz w:val="31"/>
          <w:szCs w:val="31"/>
          <w:b/>
          <w:bCs/>
          <w:spacing w:val="10"/>
        </w:rPr>
        <w:t>的操作规范、规程，防止放射性同位</w:t>
      </w:r>
      <w:r>
        <w:rPr>
          <w:rFonts w:ascii="FangSong" w:hAnsi="FangSong" w:eastAsia="FangSong" w:cs="FangSong"/>
          <w:sz w:val="31"/>
          <w:szCs w:val="31"/>
        </w:rPr>
        <w:t xml:space="preserve"> </w:t>
      </w:r>
      <w:r>
        <w:rPr>
          <w:rFonts w:ascii="FangSong" w:hAnsi="FangSong" w:eastAsia="FangSong" w:cs="FangSong"/>
          <w:sz w:val="31"/>
          <w:szCs w:val="31"/>
          <w:b/>
          <w:bCs/>
          <w:spacing w:val="7"/>
        </w:rPr>
        <w:t>素污染人体、设备、工作场所和环境；未按照有关标准的规定对接受体内放</w:t>
      </w:r>
      <w:r>
        <w:rPr>
          <w:rFonts w:ascii="FangSong" w:hAnsi="FangSong" w:eastAsia="FangSong" w:cs="FangSong"/>
          <w:sz w:val="31"/>
          <w:szCs w:val="31"/>
          <w:b/>
          <w:bCs/>
          <w:spacing w:val="6"/>
        </w:rPr>
        <w:t>射性药物诊治的患者进</w:t>
      </w:r>
      <w:r>
        <w:rPr>
          <w:rFonts w:ascii="FangSong" w:hAnsi="FangSong" w:eastAsia="FangSong" w:cs="FangSong"/>
          <w:sz w:val="31"/>
          <w:szCs w:val="31"/>
        </w:rPr>
        <w:t xml:space="preserve">  </w:t>
      </w:r>
      <w:r>
        <w:rPr>
          <w:rFonts w:ascii="FangSong" w:hAnsi="FangSong" w:eastAsia="FangSong" w:cs="FangSong"/>
          <w:sz w:val="31"/>
          <w:szCs w:val="31"/>
          <w:b/>
          <w:bCs/>
          <w:spacing w:val="6"/>
        </w:rPr>
        <w:t>行控制，避免其他患者和公众受到超过允许水平的照射的</w:t>
      </w:r>
    </w:p>
    <w:p>
      <w:pPr>
        <w:ind w:left="675"/>
        <w:spacing w:before="24" w:line="222" w:lineRule="auto"/>
        <w:rPr>
          <w:rFonts w:ascii="FangSong" w:hAnsi="FangSong" w:eastAsia="FangSong" w:cs="FangSong"/>
          <w:sz w:val="27"/>
          <w:szCs w:val="27"/>
        </w:rPr>
      </w:pPr>
      <w:r>
        <w:rPr>
          <w:rFonts w:ascii="FangSong" w:hAnsi="FangSong" w:eastAsia="FangSong" w:cs="FangSong"/>
          <w:sz w:val="27"/>
          <w:szCs w:val="27"/>
          <w:spacing w:val="27"/>
        </w:rPr>
        <w:t>法律依据：</w:t>
      </w:r>
    </w:p>
    <w:p>
      <w:pPr>
        <w:ind w:left="35" w:right="180" w:firstLine="639"/>
        <w:spacing w:before="75" w:line="265" w:lineRule="auto"/>
        <w:rPr>
          <w:rFonts w:ascii="FangSong" w:hAnsi="FangSong" w:eastAsia="FangSong" w:cs="FangSong"/>
          <w:sz w:val="31"/>
          <w:szCs w:val="31"/>
        </w:rPr>
      </w:pPr>
      <w:r>
        <w:rPr>
          <w:rFonts w:ascii="FangSong" w:hAnsi="FangSong" w:eastAsia="FangSong" w:cs="FangSong"/>
          <w:sz w:val="31"/>
          <w:szCs w:val="31"/>
          <w:spacing w:val="11"/>
        </w:rPr>
        <w:t>1.</w:t>
      </w:r>
      <w:r>
        <w:rPr>
          <w:rFonts w:ascii="FangSong" w:hAnsi="FangSong" w:eastAsia="FangSong" w:cs="FangSong"/>
          <w:sz w:val="31"/>
          <w:szCs w:val="31"/>
          <w:spacing w:val="11"/>
        </w:rPr>
        <w:t xml:space="preserve"> </w:t>
      </w:r>
      <w:r>
        <w:rPr>
          <w:rFonts w:ascii="FangSong" w:hAnsi="FangSong" w:eastAsia="FangSong" w:cs="FangSong"/>
          <w:sz w:val="31"/>
          <w:szCs w:val="31"/>
          <w:spacing w:val="11"/>
        </w:rPr>
        <w:t>《放射诊疗管理规定》第四十一条第(七)项</w:t>
      </w:r>
      <w:r>
        <w:rPr>
          <w:rFonts w:ascii="FangSong" w:hAnsi="FangSong" w:eastAsia="FangSong" w:cs="FangSong"/>
          <w:sz w:val="31"/>
          <w:szCs w:val="31"/>
          <w:spacing w:val="11"/>
        </w:rPr>
        <w:t xml:space="preserve">   </w:t>
      </w:r>
      <w:r>
        <w:rPr>
          <w:rFonts w:ascii="FangSong" w:hAnsi="FangSong" w:eastAsia="FangSong" w:cs="FangSong"/>
          <w:sz w:val="31"/>
          <w:szCs w:val="31"/>
          <w:spacing w:val="11"/>
        </w:rPr>
        <w:t>医疗机构违反本规定，有下列行为之一</w:t>
      </w:r>
      <w:r>
        <w:rPr>
          <w:rFonts w:ascii="FangSong" w:hAnsi="FangSong" w:eastAsia="FangSong" w:cs="FangSong"/>
          <w:sz w:val="31"/>
          <w:szCs w:val="31"/>
          <w:spacing w:val="10"/>
        </w:rPr>
        <w:t>的，</w:t>
      </w:r>
      <w:r>
        <w:rPr>
          <w:rFonts w:ascii="FangSong" w:hAnsi="FangSong" w:eastAsia="FangSong" w:cs="FangSong"/>
          <w:sz w:val="31"/>
          <w:szCs w:val="31"/>
        </w:rPr>
        <w:t xml:space="preserve"> </w:t>
      </w:r>
      <w:r>
        <w:rPr>
          <w:rFonts w:ascii="FangSong" w:hAnsi="FangSong" w:eastAsia="FangSong" w:cs="FangSong"/>
          <w:sz w:val="31"/>
          <w:szCs w:val="31"/>
          <w:spacing w:val="7"/>
        </w:rPr>
        <w:t>由县级以上卫生行政部门给予警告，责令限期改正；并可处一万元以下的罚款：</w:t>
      </w:r>
    </w:p>
    <w:p>
      <w:pPr>
        <w:ind w:left="794"/>
        <w:spacing w:before="1" w:line="221" w:lineRule="auto"/>
        <w:rPr>
          <w:rFonts w:ascii="FangSong" w:hAnsi="FangSong" w:eastAsia="FangSong" w:cs="FangSong"/>
          <w:sz w:val="31"/>
          <w:szCs w:val="31"/>
        </w:rPr>
      </w:pPr>
      <w:r>
        <w:rPr>
          <w:rFonts w:ascii="FangSong" w:hAnsi="FangSong" w:eastAsia="FangSong" w:cs="FangSong"/>
          <w:sz w:val="31"/>
          <w:szCs w:val="31"/>
          <w:spacing w:val="18"/>
        </w:rPr>
        <w:t>(七)违反本规定的其他情形。</w:t>
      </w:r>
    </w:p>
    <w:p>
      <w:pPr>
        <w:ind w:left="35" w:firstLine="639"/>
        <w:spacing w:before="33" w:line="263" w:lineRule="auto"/>
        <w:jc w:val="both"/>
        <w:rPr>
          <w:rFonts w:ascii="FangSong" w:hAnsi="FangSong" w:eastAsia="FangSong" w:cs="FangSong"/>
          <w:sz w:val="31"/>
          <w:szCs w:val="31"/>
        </w:rPr>
      </w:pPr>
      <w:r>
        <w:rPr>
          <w:rFonts w:ascii="FangSong" w:hAnsi="FangSong" w:eastAsia="FangSong" w:cs="FangSong"/>
          <w:sz w:val="31"/>
          <w:szCs w:val="31"/>
          <w:spacing w:val="5"/>
        </w:rPr>
        <w:t>2.《放射诊疗管理规定》第二十九条</w:t>
      </w:r>
      <w:r>
        <w:rPr>
          <w:rFonts w:ascii="FangSong" w:hAnsi="FangSong" w:eastAsia="FangSong" w:cs="FangSong"/>
          <w:sz w:val="31"/>
          <w:szCs w:val="31"/>
          <w:spacing w:val="5"/>
        </w:rPr>
        <w:t xml:space="preserve">   </w:t>
      </w:r>
      <w:r>
        <w:rPr>
          <w:rFonts w:ascii="FangSong" w:hAnsi="FangSong" w:eastAsia="FangSong" w:cs="FangSong"/>
          <w:sz w:val="31"/>
          <w:szCs w:val="31"/>
          <w:spacing w:val="5"/>
        </w:rPr>
        <w:t>开展核医学诊疗的医</w:t>
      </w:r>
      <w:r>
        <w:rPr>
          <w:rFonts w:ascii="FangSong" w:hAnsi="FangSong" w:eastAsia="FangSong" w:cs="FangSong"/>
          <w:sz w:val="31"/>
          <w:szCs w:val="31"/>
          <w:spacing w:val="4"/>
        </w:rPr>
        <w:t>疗机构，应当遵守相应的操作规范、</w:t>
      </w:r>
      <w:r>
        <w:rPr>
          <w:rFonts w:ascii="FangSong" w:hAnsi="FangSong" w:eastAsia="FangSong" w:cs="FangSong"/>
          <w:sz w:val="31"/>
          <w:szCs w:val="31"/>
        </w:rPr>
        <w:t xml:space="preserve"> </w:t>
      </w:r>
      <w:r>
        <w:rPr>
          <w:rFonts w:ascii="FangSong" w:hAnsi="FangSong" w:eastAsia="FangSong" w:cs="FangSong"/>
          <w:sz w:val="31"/>
          <w:szCs w:val="31"/>
          <w:spacing w:val="7"/>
        </w:rPr>
        <w:t>规程，防止放射性同位素污染人体、设备、工作场所和环境</w:t>
      </w:r>
      <w:r>
        <w:rPr>
          <w:rFonts w:ascii="FangSong" w:hAnsi="FangSong" w:eastAsia="FangSong" w:cs="FangSong"/>
          <w:sz w:val="31"/>
          <w:szCs w:val="31"/>
          <w:spacing w:val="6"/>
        </w:rPr>
        <w:t>；按照有关标准的规定对接受体内放射性</w:t>
      </w:r>
      <w:r>
        <w:rPr>
          <w:rFonts w:ascii="FangSong" w:hAnsi="FangSong" w:eastAsia="FangSong" w:cs="FangSong"/>
          <w:sz w:val="31"/>
          <w:szCs w:val="31"/>
        </w:rPr>
        <w:t xml:space="preserve"> </w:t>
      </w:r>
      <w:r>
        <w:rPr>
          <w:rFonts w:ascii="FangSong" w:hAnsi="FangSong" w:eastAsia="FangSong" w:cs="FangSong"/>
          <w:sz w:val="31"/>
          <w:szCs w:val="31"/>
          <w:spacing w:val="7"/>
        </w:rPr>
        <w:t>药物诊治的患者进行控制，避免其他患者和公众受到超过允许水平的照射。</w:t>
      </w:r>
    </w:p>
    <w:p>
      <w:pPr>
        <w:ind w:left="6429"/>
        <w:spacing w:before="159"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401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4"/>
        <w:gridCol w:w="7574"/>
        <w:gridCol w:w="4632"/>
      </w:tblGrid>
      <w:tr>
        <w:trPr>
          <w:trHeight w:val="670" w:hRule="atLeast"/>
        </w:trPr>
        <w:tc>
          <w:tcPr>
            <w:tcW w:w="1804" w:type="dxa"/>
            <w:vAlign w:val="top"/>
          </w:tcPr>
          <w:p>
            <w:pPr>
              <w:pStyle w:val="TableText"/>
              <w:ind w:left="329"/>
              <w:spacing w:before="193" w:line="220" w:lineRule="auto"/>
              <w:rPr>
                <w:sz w:val="29"/>
                <w:szCs w:val="29"/>
              </w:rPr>
            </w:pPr>
            <w:r>
              <w:rPr>
                <w:sz w:val="29"/>
                <w:szCs w:val="29"/>
                <w:b/>
                <w:bCs/>
                <w:spacing w:val="-1"/>
              </w:rPr>
              <w:t>违法程度</w:t>
            </w:r>
          </w:p>
        </w:tc>
        <w:tc>
          <w:tcPr>
            <w:tcW w:w="7574" w:type="dxa"/>
            <w:vAlign w:val="top"/>
          </w:tcPr>
          <w:p>
            <w:pPr>
              <w:pStyle w:val="TableText"/>
              <w:ind w:left="3235"/>
              <w:spacing w:before="193" w:line="220" w:lineRule="auto"/>
              <w:rPr>
                <w:sz w:val="29"/>
                <w:szCs w:val="29"/>
              </w:rPr>
            </w:pPr>
            <w:r>
              <w:rPr>
                <w:sz w:val="29"/>
                <w:szCs w:val="29"/>
                <w:b/>
                <w:bCs/>
                <w:spacing w:val="-1"/>
              </w:rPr>
              <w:t>情节后果</w:t>
            </w:r>
          </w:p>
        </w:tc>
        <w:tc>
          <w:tcPr>
            <w:tcW w:w="4632" w:type="dxa"/>
            <w:vAlign w:val="top"/>
          </w:tcPr>
          <w:p>
            <w:pPr>
              <w:pStyle w:val="TableText"/>
              <w:ind w:left="1751"/>
              <w:spacing w:before="190" w:line="218" w:lineRule="auto"/>
              <w:rPr>
                <w:sz w:val="29"/>
                <w:szCs w:val="29"/>
              </w:rPr>
            </w:pPr>
            <w:r>
              <w:rPr>
                <w:sz w:val="29"/>
                <w:szCs w:val="29"/>
                <w:b/>
                <w:bCs/>
                <w:spacing w:val="-1"/>
              </w:rPr>
              <w:t>裁量幅度</w:t>
            </w:r>
          </w:p>
        </w:tc>
      </w:tr>
    </w:tbl>
    <w:p>
      <w:pPr>
        <w:pStyle w:val="BodyText"/>
        <w:rPr/>
      </w:pPr>
      <w:r/>
    </w:p>
    <w:p>
      <w:pPr>
        <w:sectPr>
          <w:footerReference w:type="default" r:id="rId598"/>
          <w:pgSz w:w="16830" w:h="11900"/>
          <w:pgMar w:top="1011" w:right="1354" w:bottom="1125" w:left="1414" w:header="0" w:footer="783" w:gutter="0"/>
        </w:sectPr>
        <w:rPr/>
      </w:pPr>
    </w:p>
    <w:p>
      <w:pPr>
        <w:spacing w:before="17"/>
        <w:rPr/>
      </w:pPr>
      <w:r/>
    </w:p>
    <w:p>
      <w:pPr>
        <w:spacing w:before="16"/>
        <w:rPr/>
      </w:pPr>
      <w:r/>
    </w:p>
    <w:p>
      <w:pPr>
        <w:spacing w:before="16"/>
        <w:rPr/>
      </w:pPr>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584"/>
        <w:gridCol w:w="4612"/>
      </w:tblGrid>
      <w:tr>
        <w:trPr>
          <w:trHeight w:val="863" w:hRule="atLeast"/>
        </w:trPr>
        <w:tc>
          <w:tcPr>
            <w:tcW w:w="1784" w:type="dxa"/>
            <w:vAlign w:val="top"/>
          </w:tcPr>
          <w:p>
            <w:pPr>
              <w:pStyle w:val="TableText"/>
              <w:ind w:left="648"/>
              <w:spacing w:before="312" w:line="221" w:lineRule="auto"/>
              <w:rPr/>
            </w:pPr>
            <w:bookmarkStart w:name="bookmark1227" w:id="605"/>
            <w:bookmarkEnd w:id="605"/>
            <w:r>
              <w:rPr>
                <w:b/>
                <w:bCs/>
                <w:spacing w:val="-10"/>
              </w:rPr>
              <w:t>一般</w:t>
            </w:r>
          </w:p>
        </w:tc>
        <w:tc>
          <w:tcPr>
            <w:tcW w:w="7584" w:type="dxa"/>
            <w:vAlign w:val="top"/>
          </w:tcPr>
          <w:p>
            <w:pPr>
              <w:pStyle w:val="TableText"/>
              <w:ind w:left="120" w:right="53" w:hanging="60"/>
              <w:spacing w:before="155" w:line="256" w:lineRule="auto"/>
              <w:rPr/>
            </w:pPr>
            <w:r>
              <w:rPr/>
              <w:t>开展核医学诊疗的医疗机构，未遵守相应的操作规范、规程；或未按照</w:t>
            </w:r>
            <w:r>
              <w:rPr>
                <w:spacing w:val="18"/>
              </w:rPr>
              <w:t xml:space="preserve"> </w:t>
            </w:r>
            <w:r>
              <w:rPr/>
              <w:t>有关标准的规定对接受体内放射性药物诊治的患者进行控制的</w:t>
            </w:r>
          </w:p>
        </w:tc>
        <w:tc>
          <w:tcPr>
            <w:tcW w:w="4612" w:type="dxa"/>
            <w:vAlign w:val="top"/>
          </w:tcPr>
          <w:p>
            <w:pPr>
              <w:pStyle w:val="TableText"/>
              <w:ind w:left="107" w:right="153"/>
              <w:spacing w:before="153" w:line="259" w:lineRule="auto"/>
              <w:rPr/>
            </w:pPr>
            <w:r>
              <w:rPr>
                <w:spacing w:val="1"/>
              </w:rPr>
              <w:t>给予警告，责令限期改正；并处3000元以</w:t>
            </w:r>
            <w:r>
              <w:rPr/>
              <w:t xml:space="preserve"> </w:t>
            </w:r>
            <w:r>
              <w:rPr>
                <w:spacing w:val="2"/>
              </w:rPr>
              <w:t>下的罚款</w:t>
            </w:r>
          </w:p>
        </w:tc>
      </w:tr>
      <w:tr>
        <w:trPr>
          <w:trHeight w:val="829" w:hRule="atLeast"/>
        </w:trPr>
        <w:tc>
          <w:tcPr>
            <w:tcW w:w="1784" w:type="dxa"/>
            <w:vAlign w:val="top"/>
          </w:tcPr>
          <w:p>
            <w:pPr>
              <w:pStyle w:val="TableText"/>
              <w:ind w:left="648"/>
              <w:spacing w:before="301" w:line="221" w:lineRule="auto"/>
              <w:rPr/>
            </w:pPr>
            <w:r>
              <w:rPr>
                <w:b/>
                <w:bCs/>
                <w:spacing w:val="-5"/>
              </w:rPr>
              <w:t>较重</w:t>
            </w:r>
          </w:p>
        </w:tc>
        <w:tc>
          <w:tcPr>
            <w:tcW w:w="7584" w:type="dxa"/>
            <w:vAlign w:val="top"/>
          </w:tcPr>
          <w:p>
            <w:pPr>
              <w:pStyle w:val="TableText"/>
              <w:ind w:left="120" w:right="53" w:hanging="60"/>
              <w:spacing w:before="140" w:line="261" w:lineRule="auto"/>
              <w:rPr/>
            </w:pPr>
            <w:r>
              <w:rPr/>
              <w:t>开展核医学诊疗的医疗机构，未遵守相应的操作规范、规程；且未按照</w:t>
            </w:r>
            <w:r>
              <w:rPr>
                <w:spacing w:val="18"/>
              </w:rPr>
              <w:t xml:space="preserve"> </w:t>
            </w:r>
            <w:r>
              <w:rPr/>
              <w:t>有关标准的规定对接受体内放射性药物诊治的患者进行控制的</w:t>
            </w:r>
          </w:p>
        </w:tc>
        <w:tc>
          <w:tcPr>
            <w:tcW w:w="4612" w:type="dxa"/>
            <w:vAlign w:val="top"/>
          </w:tcPr>
          <w:p>
            <w:pPr>
              <w:pStyle w:val="TableText"/>
              <w:ind w:left="107" w:right="153"/>
              <w:spacing w:before="140" w:line="261" w:lineRule="auto"/>
              <w:rPr/>
            </w:pPr>
            <w:r>
              <w:rPr>
                <w:spacing w:val="1"/>
              </w:rPr>
              <w:t>给予警告，责令限期改正；并处3000元以</w:t>
            </w:r>
            <w:r>
              <w:rPr/>
              <w:t xml:space="preserve"> </w:t>
            </w:r>
            <w:r>
              <w:rPr/>
              <w:t>上7000元以下的罚款</w:t>
            </w:r>
          </w:p>
        </w:tc>
      </w:tr>
      <w:tr>
        <w:trPr>
          <w:trHeight w:val="1358" w:hRule="atLeast"/>
        </w:trPr>
        <w:tc>
          <w:tcPr>
            <w:tcW w:w="1784" w:type="dxa"/>
            <w:vAlign w:val="top"/>
          </w:tcPr>
          <w:p>
            <w:pPr>
              <w:spacing w:line="479" w:lineRule="auto"/>
              <w:rPr>
                <w:rFonts w:ascii="Arial"/>
                <w:sz w:val="21"/>
              </w:rPr>
            </w:pPr>
            <w:r/>
          </w:p>
          <w:p>
            <w:pPr>
              <w:pStyle w:val="TableText"/>
              <w:ind w:left="648"/>
              <w:spacing w:before="78" w:line="220" w:lineRule="auto"/>
              <w:rPr/>
            </w:pPr>
            <w:r>
              <w:rPr>
                <w:b/>
                <w:bCs/>
                <w:spacing w:val="-6"/>
              </w:rPr>
              <w:t>严重</w:t>
            </w:r>
          </w:p>
        </w:tc>
        <w:tc>
          <w:tcPr>
            <w:tcW w:w="7584" w:type="dxa"/>
            <w:vAlign w:val="top"/>
          </w:tcPr>
          <w:p>
            <w:pPr>
              <w:pStyle w:val="TableText"/>
              <w:ind w:left="60" w:right="56"/>
              <w:spacing w:before="73" w:line="245" w:lineRule="auto"/>
              <w:jc w:val="both"/>
              <w:rPr/>
            </w:pPr>
            <w:r>
              <w:rPr/>
              <w:t>开展核医学诊疗的医疗机构，未遵守相应的</w:t>
            </w:r>
            <w:r>
              <w:rPr>
                <w:spacing w:val="-1"/>
              </w:rPr>
              <w:t>操作规范、规程，致使放射</w:t>
            </w:r>
            <w:r>
              <w:rPr/>
              <w:t xml:space="preserve"> </w:t>
            </w:r>
            <w:r>
              <w:rPr/>
              <w:t>性同位素污染人体、设备、工作场所和环境；或未按照有关标准的规定</w:t>
            </w:r>
            <w:r>
              <w:rPr>
                <w:spacing w:val="14"/>
              </w:rPr>
              <w:t xml:space="preserve"> </w:t>
            </w:r>
            <w:r>
              <w:rPr/>
              <w:t>对接受体内放射性药物诊治的患者进行控制，致使其他患者和公众受到</w:t>
            </w:r>
            <w:r>
              <w:rPr>
                <w:spacing w:val="15"/>
              </w:rPr>
              <w:t xml:space="preserve"> </w:t>
            </w:r>
            <w:r>
              <w:rPr>
                <w:spacing w:val="6"/>
              </w:rPr>
              <w:t>超过允许水平的照射的</w:t>
            </w:r>
          </w:p>
        </w:tc>
        <w:tc>
          <w:tcPr>
            <w:tcW w:w="4612" w:type="dxa"/>
            <w:vAlign w:val="top"/>
          </w:tcPr>
          <w:p>
            <w:pPr>
              <w:spacing w:line="331" w:lineRule="auto"/>
              <w:rPr>
                <w:rFonts w:ascii="Arial"/>
                <w:sz w:val="21"/>
              </w:rPr>
            </w:pPr>
            <w:r/>
          </w:p>
          <w:p>
            <w:pPr>
              <w:pStyle w:val="TableText"/>
              <w:ind w:left="107" w:right="153"/>
              <w:spacing w:before="78" w:line="258" w:lineRule="auto"/>
              <w:rPr/>
            </w:pPr>
            <w:r>
              <w:rPr>
                <w:spacing w:val="1"/>
              </w:rPr>
              <w:t>给予警告，责令限期改正；并处7000元以</w:t>
            </w:r>
            <w:r>
              <w:rPr/>
              <w:t xml:space="preserve"> </w:t>
            </w:r>
            <w:r>
              <w:rPr>
                <w:spacing w:val="1"/>
              </w:rPr>
              <w:t>上一万元以下的罚款</w:t>
            </w:r>
          </w:p>
        </w:tc>
      </w:tr>
      <w:tr>
        <w:trPr>
          <w:trHeight w:val="2730" w:hRule="atLeast"/>
        </w:trPr>
        <w:tc>
          <w:tcPr>
            <w:tcW w:w="1784" w:type="dxa"/>
            <w:vAlign w:val="top"/>
          </w:tcPr>
          <w:p>
            <w:pPr>
              <w:spacing w:line="291" w:lineRule="auto"/>
              <w:rPr>
                <w:rFonts w:ascii="Arial"/>
                <w:sz w:val="21"/>
              </w:rPr>
            </w:pPr>
            <w:r/>
          </w:p>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pStyle w:val="TableText"/>
              <w:ind w:left="408"/>
              <w:spacing w:before="78" w:line="219" w:lineRule="auto"/>
              <w:rPr/>
            </w:pPr>
            <w:r>
              <w:rPr>
                <w:b/>
                <w:bCs/>
                <w:spacing w:val="-5"/>
              </w:rPr>
              <w:t>特别严重</w:t>
            </w:r>
          </w:p>
        </w:tc>
        <w:tc>
          <w:tcPr>
            <w:tcW w:w="7584" w:type="dxa"/>
            <w:vAlign w:val="top"/>
          </w:tcPr>
          <w:p>
            <w:pPr>
              <w:pStyle w:val="TableText"/>
              <w:ind w:left="121"/>
              <w:spacing w:before="75" w:line="220" w:lineRule="auto"/>
              <w:rPr/>
            </w:pPr>
            <w:r>
              <w:rPr>
                <w:spacing w:val="2"/>
              </w:rPr>
              <w:t>有下列情形之一的：</w:t>
            </w:r>
          </w:p>
          <w:p>
            <w:pPr>
              <w:pStyle w:val="TableText"/>
              <w:ind w:left="60" w:right="62"/>
              <w:spacing w:before="42" w:line="253" w:lineRule="auto"/>
              <w:rPr/>
            </w:pPr>
            <w:r>
              <w:rPr/>
              <w:t>A.开展核医学诊疗的医疗机构，未遵守相应的操作规范、规程，</w:t>
            </w:r>
            <w:r>
              <w:rPr>
                <w:spacing w:val="-1"/>
              </w:rPr>
              <w:t>致使放</w:t>
            </w:r>
            <w:r>
              <w:rPr/>
              <w:t xml:space="preserve"> </w:t>
            </w:r>
            <w:r>
              <w:rPr/>
              <w:t>射性同位素污染人体、设备、工作场所和环境</w:t>
            </w:r>
            <w:r>
              <w:rPr>
                <w:spacing w:val="-1"/>
              </w:rPr>
              <w:t>；也未按照有关标准的规</w:t>
            </w:r>
            <w:r>
              <w:rPr/>
              <w:t xml:space="preserve"> </w:t>
            </w:r>
            <w:r>
              <w:rPr/>
              <w:t>定对接受体内放射性药物诊治的患者进行控制，致使其他患者和公众受</w:t>
            </w:r>
            <w:r>
              <w:rPr>
                <w:spacing w:val="9"/>
              </w:rPr>
              <w:t xml:space="preserve"> </w:t>
            </w:r>
            <w:r>
              <w:rPr>
                <w:spacing w:val="6"/>
              </w:rPr>
              <w:t>到超过允许水平的照射的</w:t>
            </w:r>
          </w:p>
          <w:p>
            <w:pPr>
              <w:pStyle w:val="TableText"/>
              <w:ind w:left="60" w:right="62"/>
              <w:spacing w:before="64"/>
              <w:rPr/>
            </w:pPr>
            <w:r>
              <w:rPr/>
              <w:t>B.开展核医学诊疗的医疗机构，未遵守相应的操作规范、规</w:t>
            </w:r>
            <w:r>
              <w:rPr>
                <w:spacing w:val="-1"/>
              </w:rPr>
              <w:t>程，或未按</w:t>
            </w:r>
            <w:r>
              <w:rPr/>
              <w:t xml:space="preserve"> </w:t>
            </w:r>
            <w:r>
              <w:rPr/>
              <w:t>照有关标准的规定对接受体内放射性药物诊治的患者进行控制，造成其</w:t>
            </w:r>
            <w:r>
              <w:rPr>
                <w:spacing w:val="9"/>
              </w:rPr>
              <w:t xml:space="preserve"> </w:t>
            </w:r>
            <w:r>
              <w:rPr>
                <w:spacing w:val="13"/>
              </w:rPr>
              <w:t>他严重后果的</w:t>
            </w:r>
          </w:p>
        </w:tc>
        <w:tc>
          <w:tcPr>
            <w:tcW w:w="4612" w:type="dxa"/>
            <w:vAlign w:val="top"/>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17"/>
              <w:spacing w:before="78" w:line="218" w:lineRule="auto"/>
              <w:rPr/>
            </w:pPr>
            <w:r>
              <w:rPr>
                <w:spacing w:val="1"/>
              </w:rPr>
              <w:t>给予警告，责令限期改正；并处一万元的</w:t>
            </w:r>
          </w:p>
          <w:p>
            <w:pPr>
              <w:pStyle w:val="TableText"/>
              <w:ind w:left="107"/>
              <w:spacing w:before="50" w:line="221" w:lineRule="auto"/>
              <w:rPr/>
            </w:pPr>
            <w:r>
              <w:rPr>
                <w:color w:val="403040"/>
                <w:spacing w:val="5"/>
              </w:rPr>
              <w:t>罚款</w:t>
            </w:r>
          </w:p>
        </w:tc>
      </w:tr>
    </w:tbl>
    <w:p>
      <w:pPr>
        <w:pStyle w:val="BodyText"/>
        <w:spacing w:line="403" w:lineRule="auto"/>
        <w:rPr/>
      </w:pPr>
      <w:r/>
    </w:p>
    <w:p>
      <w:pPr>
        <w:ind w:left="29" w:right="57" w:firstLine="635"/>
        <w:spacing w:before="100" w:line="273" w:lineRule="auto"/>
        <w:rPr>
          <w:rFonts w:ascii="FangSong" w:hAnsi="FangSong" w:eastAsia="FangSong" w:cs="FangSong"/>
          <w:sz w:val="31"/>
          <w:szCs w:val="31"/>
        </w:rPr>
      </w:pPr>
      <w:r>
        <w:rPr>
          <w:rFonts w:ascii="FangSong" w:hAnsi="FangSong" w:eastAsia="FangSong" w:cs="FangSong"/>
          <w:sz w:val="31"/>
          <w:szCs w:val="31"/>
          <w:spacing w:val="11"/>
        </w:rPr>
        <w:t>第五</w:t>
      </w:r>
      <w:r>
        <w:rPr>
          <w:rFonts w:ascii="FangSong" w:hAnsi="FangSong" w:eastAsia="FangSong" w:cs="FangSong"/>
          <w:sz w:val="31"/>
          <w:szCs w:val="31"/>
          <w:b/>
          <w:bCs/>
          <w:spacing w:val="11"/>
        </w:rPr>
        <w:t>百七十五条医疗机构核医学诊疗产生的</w:t>
      </w:r>
      <w:r>
        <w:rPr>
          <w:rFonts w:ascii="FangSong" w:hAnsi="FangSong" w:eastAsia="FangSong" w:cs="FangSong"/>
          <w:sz w:val="31"/>
          <w:szCs w:val="31"/>
          <w:b/>
          <w:bCs/>
          <w:spacing w:val="10"/>
        </w:rPr>
        <w:t>放射性固体废物、废液及患者的放射性排出物未单</w:t>
      </w:r>
      <w:r>
        <w:rPr>
          <w:rFonts w:ascii="FangSong" w:hAnsi="FangSong" w:eastAsia="FangSong" w:cs="FangSong"/>
          <w:sz w:val="31"/>
          <w:szCs w:val="31"/>
        </w:rPr>
        <w:t xml:space="preserve"> </w:t>
      </w:r>
      <w:r>
        <w:rPr>
          <w:rFonts w:ascii="FangSong" w:hAnsi="FangSong" w:eastAsia="FangSong" w:cs="FangSong"/>
          <w:sz w:val="31"/>
          <w:szCs w:val="31"/>
          <w:b/>
          <w:bCs/>
          <w:spacing w:val="7"/>
        </w:rPr>
        <w:t>独收集，未与其他废物、废液分开存放，未按照国家有关规定处理的</w:t>
      </w:r>
    </w:p>
    <w:p>
      <w:pPr>
        <w:ind w:left="634"/>
        <w:spacing w:before="11"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spacing w:line="222" w:lineRule="auto"/>
        <w:sectPr>
          <w:footerReference w:type="default" r:id="rId599"/>
          <w:pgSz w:w="16830" w:h="11900"/>
          <w:pgMar w:top="1011" w:right="1405" w:bottom="1118" w:left="1434" w:header="0" w:footer="785" w:gutter="0"/>
        </w:sectPr>
        <w:rPr>
          <w:rFonts w:ascii="FangSong" w:hAnsi="FangSong" w:eastAsia="FangSong" w:cs="FangSong"/>
          <w:sz w:val="27"/>
          <w:szCs w:val="27"/>
        </w:rPr>
      </w:pPr>
    </w:p>
    <w:p>
      <w:pPr>
        <w:pStyle w:val="BodyText"/>
        <w:spacing w:line="261" w:lineRule="auto"/>
        <w:rPr/>
      </w:pPr>
      <w:r/>
    </w:p>
    <w:p>
      <w:pPr>
        <w:pStyle w:val="BodyText"/>
        <w:spacing w:line="261" w:lineRule="auto"/>
        <w:rPr/>
      </w:pPr>
      <w:r/>
    </w:p>
    <w:p>
      <w:pPr>
        <w:pStyle w:val="BodyText"/>
        <w:spacing w:line="262" w:lineRule="auto"/>
        <w:rPr/>
      </w:pPr>
      <w:r/>
    </w:p>
    <w:p>
      <w:pPr>
        <w:ind w:left="34" w:right="135" w:firstLine="629"/>
        <w:spacing w:before="97" w:line="271" w:lineRule="auto"/>
        <w:rPr>
          <w:rFonts w:ascii="FangSong" w:hAnsi="FangSong" w:eastAsia="FangSong" w:cs="FangSong"/>
          <w:sz w:val="30"/>
          <w:szCs w:val="30"/>
        </w:rPr>
      </w:pPr>
      <w:r>
        <w:rPr>
          <w:rFonts w:ascii="FangSong" w:hAnsi="FangSong" w:eastAsia="FangSong" w:cs="FangSong"/>
          <w:sz w:val="30"/>
          <w:szCs w:val="30"/>
          <w:spacing w:val="18"/>
        </w:rPr>
        <w:t>1.</w:t>
      </w:r>
      <w:r>
        <w:rPr>
          <w:rFonts w:ascii="FangSong" w:hAnsi="FangSong" w:eastAsia="FangSong" w:cs="FangSong"/>
          <w:sz w:val="30"/>
          <w:szCs w:val="30"/>
          <w:spacing w:val="18"/>
        </w:rPr>
        <w:t xml:space="preserve"> </w:t>
      </w:r>
      <w:r>
        <w:rPr>
          <w:rFonts w:ascii="FangSong" w:hAnsi="FangSong" w:eastAsia="FangSong" w:cs="FangSong"/>
          <w:sz w:val="30"/>
          <w:szCs w:val="30"/>
          <w:spacing w:val="18"/>
        </w:rPr>
        <w:t>《放射诊疗管理规定》第四十</w:t>
      </w:r>
      <w:r>
        <w:rPr>
          <w:rFonts w:ascii="FangSong" w:hAnsi="FangSong" w:eastAsia="FangSong" w:cs="FangSong"/>
          <w:sz w:val="30"/>
          <w:szCs w:val="30"/>
          <w:spacing w:val="-62"/>
        </w:rPr>
        <w:t xml:space="preserve"> </w:t>
      </w:r>
      <w:r>
        <w:rPr>
          <w:rFonts w:ascii="FangSong" w:hAnsi="FangSong" w:eastAsia="FangSong" w:cs="FangSong"/>
          <w:sz w:val="30"/>
          <w:szCs w:val="30"/>
          <w:spacing w:val="18"/>
        </w:rPr>
        <w:t>一条第(七)项</w:t>
      </w:r>
      <w:r>
        <w:rPr>
          <w:rFonts w:ascii="FangSong" w:hAnsi="FangSong" w:eastAsia="FangSong" w:cs="FangSong"/>
          <w:sz w:val="30"/>
          <w:szCs w:val="30"/>
          <w:spacing w:val="18"/>
        </w:rPr>
        <w:t xml:space="preserve">   </w:t>
      </w:r>
      <w:r>
        <w:rPr>
          <w:rFonts w:ascii="FangSong" w:hAnsi="FangSong" w:eastAsia="FangSong" w:cs="FangSong"/>
          <w:sz w:val="30"/>
          <w:szCs w:val="30"/>
          <w:spacing w:val="18"/>
        </w:rPr>
        <w:t>医疗机构违反本规定，有下列行为之一的，</w:t>
      </w:r>
      <w:r>
        <w:rPr>
          <w:rFonts w:ascii="FangSong" w:hAnsi="FangSong" w:eastAsia="FangSong" w:cs="FangSong"/>
          <w:sz w:val="30"/>
          <w:szCs w:val="30"/>
        </w:rPr>
        <w:t xml:space="preserve"> </w:t>
      </w:r>
      <w:r>
        <w:rPr>
          <w:rFonts w:ascii="FangSong" w:hAnsi="FangSong" w:eastAsia="FangSong" w:cs="FangSong"/>
          <w:sz w:val="30"/>
          <w:szCs w:val="30"/>
          <w:spacing w:val="17"/>
        </w:rPr>
        <w:t>由县级以上卫生行政部门给予警告，责令限期改正；并可处一万</w:t>
      </w:r>
      <w:r>
        <w:rPr>
          <w:rFonts w:ascii="FangSong" w:hAnsi="FangSong" w:eastAsia="FangSong" w:cs="FangSong"/>
          <w:sz w:val="30"/>
          <w:szCs w:val="30"/>
          <w:spacing w:val="16"/>
        </w:rPr>
        <w:t>元以下的罚款：</w:t>
      </w:r>
    </w:p>
    <w:p>
      <w:pPr>
        <w:ind w:left="804"/>
        <w:spacing w:line="221" w:lineRule="auto"/>
        <w:rPr>
          <w:rFonts w:ascii="FangSong" w:hAnsi="FangSong" w:eastAsia="FangSong" w:cs="FangSong"/>
          <w:sz w:val="30"/>
          <w:szCs w:val="30"/>
        </w:rPr>
      </w:pPr>
      <w:r>
        <w:rPr>
          <w:rFonts w:ascii="FangSong" w:hAnsi="FangSong" w:eastAsia="FangSong" w:cs="FangSong"/>
          <w:sz w:val="30"/>
          <w:szCs w:val="30"/>
          <w:spacing w:val="27"/>
        </w:rPr>
        <w:t>(七)违反本规定的其他情形。</w:t>
      </w:r>
    </w:p>
    <w:p>
      <w:pPr>
        <w:ind w:left="25" w:right="103" w:firstLine="649"/>
        <w:spacing w:before="86" w:line="270" w:lineRule="auto"/>
        <w:rPr>
          <w:rFonts w:ascii="FangSong" w:hAnsi="FangSong" w:eastAsia="FangSong" w:cs="FangSong"/>
          <w:sz w:val="30"/>
          <w:szCs w:val="30"/>
        </w:rPr>
      </w:pPr>
      <w:r>
        <w:rPr>
          <w:rFonts w:ascii="FangSong" w:hAnsi="FangSong" w:eastAsia="FangSong" w:cs="FangSong"/>
          <w:sz w:val="30"/>
          <w:szCs w:val="30"/>
          <w:spacing w:val="14"/>
        </w:rPr>
        <w:t>2.</w:t>
      </w:r>
      <w:r>
        <w:rPr>
          <w:rFonts w:ascii="FangSong" w:hAnsi="FangSong" w:eastAsia="FangSong" w:cs="FangSong"/>
          <w:sz w:val="30"/>
          <w:szCs w:val="30"/>
          <w:spacing w:val="14"/>
        </w:rPr>
        <w:t xml:space="preserve"> </w:t>
      </w:r>
      <w:r>
        <w:rPr>
          <w:rFonts w:ascii="FangSong" w:hAnsi="FangSong" w:eastAsia="FangSong" w:cs="FangSong"/>
          <w:sz w:val="30"/>
          <w:szCs w:val="30"/>
          <w:spacing w:val="14"/>
        </w:rPr>
        <w:t>《放射诊疗管理规定》第三十条</w:t>
      </w:r>
      <w:r>
        <w:rPr>
          <w:rFonts w:ascii="FangSong" w:hAnsi="FangSong" w:eastAsia="FangSong" w:cs="FangSong"/>
          <w:sz w:val="30"/>
          <w:szCs w:val="30"/>
          <w:spacing w:val="14"/>
        </w:rPr>
        <w:t xml:space="preserve">   </w:t>
      </w:r>
      <w:r>
        <w:rPr>
          <w:rFonts w:ascii="FangSong" w:hAnsi="FangSong" w:eastAsia="FangSong" w:cs="FangSong"/>
          <w:sz w:val="30"/>
          <w:szCs w:val="30"/>
          <w:spacing w:val="14"/>
        </w:rPr>
        <w:t>核医学诊疗产生的放射性固体废物</w:t>
      </w:r>
      <w:r>
        <w:rPr>
          <w:rFonts w:ascii="FangSong" w:hAnsi="FangSong" w:eastAsia="FangSong" w:cs="FangSong"/>
          <w:sz w:val="30"/>
          <w:szCs w:val="30"/>
          <w:spacing w:val="13"/>
        </w:rPr>
        <w:t>、废液及患者的放射性</w:t>
      </w:r>
      <w:r>
        <w:rPr>
          <w:rFonts w:ascii="FangSong" w:hAnsi="FangSong" w:eastAsia="FangSong" w:cs="FangSong"/>
          <w:sz w:val="30"/>
          <w:szCs w:val="30"/>
        </w:rPr>
        <w:t xml:space="preserve"> </w:t>
      </w:r>
      <w:r>
        <w:rPr>
          <w:rFonts w:ascii="FangSong" w:hAnsi="FangSong" w:eastAsia="FangSong" w:cs="FangSong"/>
          <w:sz w:val="30"/>
          <w:szCs w:val="30"/>
          <w:spacing w:val="17"/>
        </w:rPr>
        <w:t>排出物应当单独收集，与其他废物、废液分开存放，按照国家有关规定处理。</w:t>
      </w:r>
    </w:p>
    <w:p>
      <w:pPr>
        <w:ind w:left="6428"/>
        <w:spacing w:before="156"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93"/>
        <w:gridCol w:w="7824"/>
        <w:gridCol w:w="4372"/>
      </w:tblGrid>
      <w:tr>
        <w:trPr>
          <w:trHeight w:val="663" w:hRule="atLeast"/>
        </w:trPr>
        <w:tc>
          <w:tcPr>
            <w:tcW w:w="1793" w:type="dxa"/>
            <w:vAlign w:val="top"/>
          </w:tcPr>
          <w:p>
            <w:pPr>
              <w:pStyle w:val="TableText"/>
              <w:ind w:left="308"/>
              <w:spacing w:before="21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824" w:type="dxa"/>
            <w:vAlign w:val="top"/>
          </w:tcPr>
          <w:p>
            <w:pPr>
              <w:pStyle w:val="TableText"/>
              <w:ind w:left="3425"/>
              <w:spacing w:before="212" w:line="220" w:lineRule="auto"/>
              <w:rPr/>
            </w:pPr>
            <w:r>
              <w:rPr>
                <w:b/>
                <w:bCs/>
                <w:spacing w:val="-5"/>
              </w:rPr>
              <w:t>情节后果</w:t>
            </w:r>
          </w:p>
        </w:tc>
        <w:tc>
          <w:tcPr>
            <w:tcW w:w="4372" w:type="dxa"/>
            <w:vAlign w:val="top"/>
          </w:tcPr>
          <w:p>
            <w:pPr>
              <w:pStyle w:val="TableText"/>
              <w:ind w:left="1601"/>
              <w:spacing w:before="20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858" w:hRule="atLeast"/>
        </w:trPr>
        <w:tc>
          <w:tcPr>
            <w:tcW w:w="1793" w:type="dxa"/>
            <w:vAlign w:val="top"/>
          </w:tcPr>
          <w:p>
            <w:pPr>
              <w:pStyle w:val="TableText"/>
              <w:ind w:left="648"/>
              <w:spacing w:before="311" w:line="221" w:lineRule="auto"/>
              <w:rPr/>
            </w:pPr>
            <w:r>
              <w:rPr>
                <w:b/>
                <w:bCs/>
                <w:spacing w:val="-5"/>
              </w:rPr>
              <w:t>较重</w:t>
            </w:r>
          </w:p>
        </w:tc>
        <w:tc>
          <w:tcPr>
            <w:tcW w:w="7824" w:type="dxa"/>
            <w:vAlign w:val="top"/>
          </w:tcPr>
          <w:p>
            <w:pPr>
              <w:pStyle w:val="TableText"/>
              <w:ind w:left="121" w:right="62" w:hanging="60"/>
              <w:spacing w:before="161" w:line="256" w:lineRule="auto"/>
              <w:rPr/>
            </w:pPr>
            <w:r>
              <w:rPr/>
              <w:t>核医学诊疗产生的放射性固体废物、废液及患者的放射性排出物未单独收</w:t>
            </w:r>
            <w:r>
              <w:rPr>
                <w:spacing w:val="8"/>
              </w:rPr>
              <w:t xml:space="preserve"> </w:t>
            </w:r>
            <w:r>
              <w:rPr/>
              <w:t>集，未与其他废物、废液分开存放，或未按照国家有关规定处理的</w:t>
            </w:r>
          </w:p>
        </w:tc>
        <w:tc>
          <w:tcPr>
            <w:tcW w:w="4372" w:type="dxa"/>
            <w:vAlign w:val="top"/>
          </w:tcPr>
          <w:p>
            <w:pPr>
              <w:pStyle w:val="TableText"/>
              <w:ind w:left="147" w:right="133" w:hanging="10"/>
              <w:spacing w:before="168" w:line="251" w:lineRule="auto"/>
              <w:rPr/>
            </w:pPr>
            <w:r>
              <w:rPr/>
              <w:t>给予警告，责令限期改正；并处3000元</w:t>
            </w:r>
            <w:r>
              <w:rPr>
                <w:spacing w:val="9"/>
              </w:rPr>
              <w:t xml:space="preserve"> </w:t>
            </w:r>
            <w:r>
              <w:rPr/>
              <w:t>以上7000元以下的罚款</w:t>
            </w:r>
          </w:p>
        </w:tc>
      </w:tr>
      <w:tr>
        <w:trPr>
          <w:trHeight w:val="837" w:hRule="atLeast"/>
        </w:trPr>
        <w:tc>
          <w:tcPr>
            <w:tcW w:w="1793" w:type="dxa"/>
            <w:vAlign w:val="top"/>
          </w:tcPr>
          <w:p>
            <w:pPr>
              <w:pStyle w:val="TableText"/>
              <w:ind w:left="648"/>
              <w:spacing w:before="301" w:line="220" w:lineRule="auto"/>
              <w:rPr/>
            </w:pPr>
            <w:r>
              <w:rPr>
                <w:b/>
                <w:bCs/>
                <w:spacing w:val="-6"/>
              </w:rPr>
              <w:t>严重</w:t>
            </w:r>
          </w:p>
        </w:tc>
        <w:tc>
          <w:tcPr>
            <w:tcW w:w="7824" w:type="dxa"/>
            <w:vAlign w:val="top"/>
          </w:tcPr>
          <w:p>
            <w:pPr>
              <w:pStyle w:val="TableText"/>
              <w:ind w:left="121" w:right="62" w:hanging="60"/>
              <w:spacing w:before="132" w:line="267" w:lineRule="auto"/>
              <w:rPr/>
            </w:pPr>
            <w:r>
              <w:rPr/>
              <w:t>核医学诊疗产生的放射性固体废物、废液及患者的放射性排出物未单独收</w:t>
            </w:r>
            <w:r>
              <w:rPr>
                <w:spacing w:val="8"/>
              </w:rPr>
              <w:t xml:space="preserve"> </w:t>
            </w:r>
            <w:r>
              <w:rPr/>
              <w:t>集，未与其他废物、废液分开存放，且未按照国家有关规定处理的</w:t>
            </w:r>
          </w:p>
        </w:tc>
        <w:tc>
          <w:tcPr>
            <w:tcW w:w="4372" w:type="dxa"/>
            <w:vAlign w:val="top"/>
          </w:tcPr>
          <w:p>
            <w:pPr>
              <w:pStyle w:val="TableText"/>
              <w:ind w:left="137" w:right="133"/>
              <w:spacing w:before="143" w:line="263" w:lineRule="auto"/>
              <w:rPr/>
            </w:pPr>
            <w:r>
              <w:rPr/>
              <w:t>给予警告，责令限期改正；并处7000元</w:t>
            </w:r>
            <w:r>
              <w:rPr>
                <w:spacing w:val="9"/>
              </w:rPr>
              <w:t xml:space="preserve"> </w:t>
            </w:r>
            <w:r>
              <w:rPr>
                <w:spacing w:val="1"/>
              </w:rPr>
              <w:t>以上一万元以下的罚款</w:t>
            </w:r>
          </w:p>
        </w:tc>
      </w:tr>
      <w:tr>
        <w:trPr>
          <w:trHeight w:val="1022" w:hRule="atLeast"/>
        </w:trPr>
        <w:tc>
          <w:tcPr>
            <w:tcW w:w="1793" w:type="dxa"/>
            <w:vAlign w:val="top"/>
          </w:tcPr>
          <w:p>
            <w:pPr>
              <w:spacing w:line="313" w:lineRule="auto"/>
              <w:rPr>
                <w:rFonts w:ascii="Arial"/>
                <w:sz w:val="21"/>
              </w:rPr>
            </w:pPr>
            <w:r/>
          </w:p>
          <w:p>
            <w:pPr>
              <w:pStyle w:val="TableText"/>
              <w:ind w:left="408"/>
              <w:spacing w:before="78" w:line="219" w:lineRule="auto"/>
              <w:rPr/>
            </w:pPr>
            <w:r>
              <w:rPr>
                <w:b/>
                <w:bCs/>
                <w:spacing w:val="-5"/>
              </w:rPr>
              <w:t>特别严重</w:t>
            </w:r>
          </w:p>
        </w:tc>
        <w:tc>
          <w:tcPr>
            <w:tcW w:w="7824" w:type="dxa"/>
            <w:vAlign w:val="top"/>
          </w:tcPr>
          <w:p>
            <w:pPr>
              <w:pStyle w:val="TableText"/>
              <w:ind w:left="61" w:right="62"/>
              <w:spacing w:before="68" w:line="242" w:lineRule="auto"/>
              <w:jc w:val="both"/>
              <w:rPr/>
            </w:pPr>
            <w:r>
              <w:rPr/>
              <w:t>核医学诊疗产生的放射性固体废物、废液及患者的放射性排出物未单独收</w:t>
            </w:r>
            <w:r>
              <w:rPr>
                <w:spacing w:val="8"/>
              </w:rPr>
              <w:t xml:space="preserve"> </w:t>
            </w:r>
            <w:r>
              <w:rPr/>
              <w:t>集，未与其他废物、废液分开存放，或未按照国</w:t>
            </w:r>
            <w:r>
              <w:rPr>
                <w:spacing w:val="-1"/>
              </w:rPr>
              <w:t>家有关规定处理，造成严</w:t>
            </w:r>
            <w:r>
              <w:rPr/>
              <w:t xml:space="preserve"> </w:t>
            </w:r>
            <w:r>
              <w:rPr>
                <w:spacing w:val="22"/>
              </w:rPr>
              <w:t>重后果的</w:t>
            </w:r>
          </w:p>
        </w:tc>
        <w:tc>
          <w:tcPr>
            <w:tcW w:w="4372" w:type="dxa"/>
            <w:vAlign w:val="top"/>
          </w:tcPr>
          <w:p>
            <w:pPr>
              <w:pStyle w:val="TableText"/>
              <w:ind w:left="137" w:right="133"/>
              <w:spacing w:before="256" w:line="259" w:lineRule="auto"/>
              <w:rPr/>
            </w:pPr>
            <w:r>
              <w:rPr/>
              <w:t>给予警告，责令限期改正；并处一万元</w:t>
            </w:r>
            <w:r>
              <w:rPr>
                <w:spacing w:val="9"/>
              </w:rPr>
              <w:t xml:space="preserve"> </w:t>
            </w:r>
            <w:r>
              <w:rPr>
                <w:spacing w:val="3"/>
              </w:rPr>
              <w:t>的罚款</w:t>
            </w:r>
          </w:p>
        </w:tc>
      </w:tr>
    </w:tbl>
    <w:p>
      <w:pPr>
        <w:pStyle w:val="BodyText"/>
        <w:rPr/>
      </w:pPr>
      <w:r/>
    </w:p>
    <w:p>
      <w:pPr>
        <w:sectPr>
          <w:footerReference w:type="default" r:id="rId600"/>
          <w:pgSz w:w="16830" w:h="11900"/>
          <w:pgMar w:top="1011" w:right="1405" w:bottom="1115" w:left="1425" w:header="0" w:footer="773" w:gutter="0"/>
        </w:sectPr>
        <w:rPr/>
      </w:pPr>
    </w:p>
    <w:p>
      <w:pPr>
        <w:pStyle w:val="BodyText"/>
        <w:spacing w:line="259" w:lineRule="auto"/>
        <w:rPr/>
      </w:pPr>
      <w:r/>
    </w:p>
    <w:p>
      <w:pPr>
        <w:pStyle w:val="BodyText"/>
        <w:spacing w:line="260" w:lineRule="auto"/>
        <w:rPr/>
      </w:pPr>
      <w:r/>
    </w:p>
    <w:p>
      <w:pPr>
        <w:pStyle w:val="BodyText"/>
        <w:spacing w:line="260" w:lineRule="auto"/>
        <w:rPr/>
      </w:pPr>
      <w:r/>
    </w:p>
    <w:p>
      <w:pPr>
        <w:ind w:left="794"/>
        <w:spacing w:before="98" w:line="224" w:lineRule="auto"/>
        <w:rPr>
          <w:rFonts w:ascii="KaiTi" w:hAnsi="KaiTi" w:eastAsia="KaiTi" w:cs="KaiTi"/>
          <w:sz w:val="30"/>
          <w:szCs w:val="30"/>
        </w:rPr>
      </w:pPr>
      <w:bookmarkStart w:name="bookmark1228" w:id="606"/>
      <w:bookmarkEnd w:id="606"/>
      <w:r>
        <w:rPr>
          <w:rFonts w:ascii="KaiTi" w:hAnsi="KaiTi" w:eastAsia="KaiTi" w:cs="KaiTi"/>
          <w:sz w:val="30"/>
          <w:szCs w:val="30"/>
          <w:b/>
          <w:bCs/>
          <w:spacing w:val="26"/>
        </w:rPr>
        <w:t>(二)《中华人民共和国职业病防治法》</w:t>
      </w:r>
    </w:p>
    <w:p>
      <w:pPr>
        <w:ind w:left="4" w:right="332" w:firstLine="639"/>
        <w:spacing w:before="323" w:line="276" w:lineRule="auto"/>
        <w:rPr>
          <w:rFonts w:ascii="KaiTi" w:hAnsi="KaiTi" w:eastAsia="KaiTi" w:cs="KaiTi"/>
          <w:sz w:val="30"/>
          <w:szCs w:val="30"/>
        </w:rPr>
      </w:pPr>
      <w:r>
        <w:rPr>
          <w:rFonts w:ascii="KaiTi" w:hAnsi="KaiTi" w:eastAsia="KaiTi" w:cs="KaiTi"/>
          <w:sz w:val="30"/>
          <w:szCs w:val="30"/>
          <w:b/>
          <w:bCs/>
          <w:spacing w:val="21"/>
        </w:rPr>
        <w:t>第五百七十六条未按规定对可能产生放射性职业病危害的建设项目进行职业病危害预评价或</w:t>
      </w:r>
      <w:r>
        <w:rPr>
          <w:rFonts w:ascii="KaiTi" w:hAnsi="KaiTi" w:eastAsia="KaiTi" w:cs="KaiTi"/>
          <w:sz w:val="30"/>
          <w:szCs w:val="30"/>
        </w:rPr>
        <w:t xml:space="preserve"> </w:t>
      </w:r>
      <w:r>
        <w:rPr>
          <w:rFonts w:ascii="KaiTi" w:hAnsi="KaiTi" w:eastAsia="KaiTi" w:cs="KaiTi"/>
          <w:sz w:val="30"/>
          <w:szCs w:val="30"/>
          <w:b/>
          <w:bCs/>
          <w:spacing w:val="17"/>
        </w:rPr>
        <w:t>者放射性职业病危害预评价报告未经卫生行政部门审核同意即开</w:t>
      </w:r>
      <w:r>
        <w:rPr>
          <w:rFonts w:ascii="KaiTi" w:hAnsi="KaiTi" w:eastAsia="KaiTi" w:cs="KaiTi"/>
          <w:sz w:val="30"/>
          <w:szCs w:val="30"/>
          <w:b/>
          <w:bCs/>
          <w:spacing w:val="16"/>
        </w:rPr>
        <w:t>工建设的</w:t>
      </w:r>
    </w:p>
    <w:p>
      <w:pPr>
        <w:ind w:left="639"/>
        <w:spacing w:before="2"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firstLine="639"/>
        <w:spacing w:before="84" w:line="271" w:lineRule="auto"/>
        <w:jc w:val="both"/>
        <w:rPr>
          <w:rFonts w:ascii="FangSong" w:hAnsi="FangSong" w:eastAsia="FangSong" w:cs="FangSong"/>
          <w:sz w:val="30"/>
          <w:szCs w:val="30"/>
        </w:rPr>
      </w:pPr>
      <w:r>
        <w:rPr>
          <w:rFonts w:ascii="FangSong" w:hAnsi="FangSong" w:eastAsia="FangSong" w:cs="FangSong"/>
          <w:sz w:val="30"/>
          <w:szCs w:val="30"/>
          <w:spacing w:val="21"/>
        </w:rPr>
        <w:t>1.</w:t>
      </w:r>
      <w:r>
        <w:rPr>
          <w:rFonts w:ascii="FangSong" w:hAnsi="FangSong" w:eastAsia="FangSong" w:cs="FangSong"/>
          <w:sz w:val="30"/>
          <w:szCs w:val="30"/>
          <w:spacing w:val="21"/>
        </w:rPr>
        <w:t xml:space="preserve"> </w:t>
      </w:r>
      <w:r>
        <w:rPr>
          <w:rFonts w:ascii="FangSong" w:hAnsi="FangSong" w:eastAsia="FangSong" w:cs="FangSong"/>
          <w:sz w:val="30"/>
          <w:szCs w:val="30"/>
          <w:spacing w:val="21"/>
        </w:rPr>
        <w:t>《中华人民共和国职业病防治法》第六十九条第(一)项</w:t>
      </w:r>
      <w:r>
        <w:rPr>
          <w:rFonts w:ascii="FangSong" w:hAnsi="FangSong" w:eastAsia="FangSong" w:cs="FangSong"/>
          <w:sz w:val="30"/>
          <w:szCs w:val="30"/>
          <w:spacing w:val="21"/>
        </w:rPr>
        <w:t xml:space="preserve">   </w:t>
      </w:r>
      <w:r>
        <w:rPr>
          <w:rFonts w:ascii="FangSong" w:hAnsi="FangSong" w:eastAsia="FangSong" w:cs="FangSong"/>
          <w:sz w:val="30"/>
          <w:szCs w:val="30"/>
          <w:spacing w:val="21"/>
        </w:rPr>
        <w:t>建设单位违反本法规定，有下列</w:t>
      </w:r>
      <w:r>
        <w:rPr>
          <w:rFonts w:ascii="FangSong" w:hAnsi="FangSong" w:eastAsia="FangSong" w:cs="FangSong"/>
          <w:sz w:val="30"/>
          <w:szCs w:val="30"/>
          <w:spacing w:val="7"/>
        </w:rPr>
        <w:t xml:space="preserve"> </w:t>
      </w:r>
      <w:r>
        <w:rPr>
          <w:rFonts w:ascii="FangSong" w:hAnsi="FangSong" w:eastAsia="FangSong" w:cs="FangSong"/>
          <w:sz w:val="30"/>
          <w:szCs w:val="30"/>
          <w:spacing w:val="17"/>
        </w:rPr>
        <w:t>行为之一的，由卫生行政部门给予警告，责令限期改正；逾期不改正的，处十万元以上</w:t>
      </w:r>
      <w:r>
        <w:rPr>
          <w:rFonts w:ascii="FangSong" w:hAnsi="FangSong" w:eastAsia="FangSong" w:cs="FangSong"/>
          <w:sz w:val="30"/>
          <w:szCs w:val="30"/>
          <w:spacing w:val="16"/>
        </w:rPr>
        <w:t>五十万元以下</w:t>
      </w:r>
      <w:r>
        <w:rPr>
          <w:rFonts w:ascii="FangSong" w:hAnsi="FangSong" w:eastAsia="FangSong" w:cs="FangSong"/>
          <w:sz w:val="30"/>
          <w:szCs w:val="30"/>
        </w:rPr>
        <w:t xml:space="preserve"> </w:t>
      </w:r>
      <w:r>
        <w:rPr>
          <w:rFonts w:ascii="FangSong" w:hAnsi="FangSong" w:eastAsia="FangSong" w:cs="FangSong"/>
          <w:sz w:val="30"/>
          <w:szCs w:val="30"/>
          <w:spacing w:val="17"/>
        </w:rPr>
        <w:t>的罚款；情节严重的，责令停止产生职业病危害的作业，或者提请有关人民政</w:t>
      </w:r>
      <w:r>
        <w:rPr>
          <w:rFonts w:ascii="FangSong" w:hAnsi="FangSong" w:eastAsia="FangSong" w:cs="FangSong"/>
          <w:sz w:val="30"/>
          <w:szCs w:val="30"/>
          <w:spacing w:val="16"/>
        </w:rPr>
        <w:t>府按照国务院规定的权</w:t>
      </w:r>
      <w:r>
        <w:rPr>
          <w:rFonts w:ascii="FangSong" w:hAnsi="FangSong" w:eastAsia="FangSong" w:cs="FangSong"/>
          <w:sz w:val="30"/>
          <w:szCs w:val="30"/>
        </w:rPr>
        <w:t xml:space="preserve"> </w:t>
      </w:r>
      <w:r>
        <w:rPr>
          <w:rFonts w:ascii="FangSong" w:hAnsi="FangSong" w:eastAsia="FangSong" w:cs="FangSong"/>
          <w:sz w:val="30"/>
          <w:szCs w:val="30"/>
          <w:spacing w:val="8"/>
        </w:rPr>
        <w:t>限责令停建、关闭：</w:t>
      </w:r>
    </w:p>
    <w:p>
      <w:pPr>
        <w:ind w:left="790"/>
        <w:spacing w:before="1" w:line="220" w:lineRule="auto"/>
        <w:rPr>
          <w:rFonts w:ascii="FangSong" w:hAnsi="FangSong" w:eastAsia="FangSong" w:cs="FangSong"/>
          <w:sz w:val="30"/>
          <w:szCs w:val="30"/>
        </w:rPr>
      </w:pPr>
      <w:r>
        <w:rPr>
          <w:rFonts w:ascii="FangSong" w:hAnsi="FangSong" w:eastAsia="FangSong" w:cs="FangSong"/>
          <w:sz w:val="30"/>
          <w:szCs w:val="30"/>
          <w:spacing w:val="24"/>
        </w:rPr>
        <w:t>(一)未按照规定进行职业病危害预评价的。</w:t>
      </w:r>
    </w:p>
    <w:p>
      <w:pPr>
        <w:ind w:right="3" w:firstLine="790"/>
        <w:spacing w:before="68" w:line="252" w:lineRule="auto"/>
        <w:rPr>
          <w:rFonts w:ascii="FangSong" w:hAnsi="FangSong" w:eastAsia="FangSong" w:cs="FangSong"/>
          <w:sz w:val="30"/>
          <w:szCs w:val="30"/>
        </w:rPr>
      </w:pPr>
      <w:r>
        <w:rPr>
          <w:rFonts w:ascii="FangSong" w:hAnsi="FangSong" w:eastAsia="FangSong" w:cs="FangSong"/>
          <w:sz w:val="30"/>
          <w:szCs w:val="30"/>
          <w:spacing w:val="20"/>
        </w:rPr>
        <w:t>(二)医疗机构可能产生放射性职业病危害的建设项目未按照规定提交放射性职业病危害预评价</w:t>
      </w:r>
      <w:r>
        <w:rPr>
          <w:rFonts w:ascii="FangSong" w:hAnsi="FangSong" w:eastAsia="FangSong" w:cs="FangSong"/>
          <w:sz w:val="30"/>
          <w:szCs w:val="30"/>
          <w:spacing w:val="8"/>
        </w:rPr>
        <w:t xml:space="preserve"> </w:t>
      </w:r>
      <w:r>
        <w:rPr>
          <w:rFonts w:ascii="FangSong" w:hAnsi="FangSong" w:eastAsia="FangSong" w:cs="FangSong"/>
          <w:sz w:val="30"/>
          <w:szCs w:val="30"/>
          <w:spacing w:val="17"/>
        </w:rPr>
        <w:t>报告，或者放射性职业病危害预评价报告未经卫生行政部门审核同意，开工建设的；</w:t>
      </w:r>
    </w:p>
    <w:p>
      <w:pPr>
        <w:ind w:right="60" w:firstLine="639"/>
        <w:spacing w:before="63" w:line="246" w:lineRule="auto"/>
        <w:rPr>
          <w:rFonts w:ascii="FangSong" w:hAnsi="FangSong" w:eastAsia="FangSong" w:cs="FangSong"/>
          <w:sz w:val="30"/>
          <w:szCs w:val="30"/>
        </w:rPr>
      </w:pPr>
      <w:r>
        <w:rPr>
          <w:rFonts w:ascii="FangSong" w:hAnsi="FangSong" w:eastAsia="FangSong" w:cs="FangSong"/>
          <w:sz w:val="30"/>
          <w:szCs w:val="30"/>
          <w:spacing w:val="13"/>
        </w:rPr>
        <w:t>2.</w:t>
      </w:r>
      <w:r>
        <w:rPr>
          <w:rFonts w:ascii="FangSong" w:hAnsi="FangSong" w:eastAsia="FangSong" w:cs="FangSong"/>
          <w:sz w:val="30"/>
          <w:szCs w:val="30"/>
          <w:spacing w:val="13"/>
        </w:rPr>
        <w:t xml:space="preserve"> </w:t>
      </w:r>
      <w:r>
        <w:rPr>
          <w:rFonts w:ascii="FangSong" w:hAnsi="FangSong" w:eastAsia="FangSong" w:cs="FangSong"/>
          <w:sz w:val="30"/>
          <w:szCs w:val="30"/>
          <w:spacing w:val="13"/>
        </w:rPr>
        <w:t>《中华人民共和国职业病防治法》第八十七条</w:t>
      </w:r>
      <w:r>
        <w:rPr>
          <w:rFonts w:ascii="FangSong" w:hAnsi="FangSong" w:eastAsia="FangSong" w:cs="FangSong"/>
          <w:sz w:val="30"/>
          <w:szCs w:val="30"/>
          <w:spacing w:val="36"/>
        </w:rPr>
        <w:t xml:space="preserve">   </w:t>
      </w:r>
      <w:r>
        <w:rPr>
          <w:rFonts w:ascii="FangSong" w:hAnsi="FangSong" w:eastAsia="FangSong" w:cs="FangSong"/>
          <w:sz w:val="30"/>
          <w:szCs w:val="30"/>
          <w:spacing w:val="13"/>
        </w:rPr>
        <w:t>对医疗机</w:t>
      </w:r>
      <w:r>
        <w:rPr>
          <w:rFonts w:ascii="FangSong" w:hAnsi="FangSong" w:eastAsia="FangSong" w:cs="FangSong"/>
          <w:sz w:val="30"/>
          <w:szCs w:val="30"/>
          <w:spacing w:val="12"/>
        </w:rPr>
        <w:t>构放射性职业病危害控制的监督管</w:t>
      </w:r>
      <w:r>
        <w:rPr>
          <w:rFonts w:ascii="FangSong" w:hAnsi="FangSong" w:eastAsia="FangSong" w:cs="FangSong"/>
          <w:sz w:val="30"/>
          <w:szCs w:val="30"/>
          <w:spacing w:val="2"/>
        </w:rPr>
        <w:t xml:space="preserve"> </w:t>
      </w:r>
      <w:r>
        <w:rPr>
          <w:rFonts w:ascii="FangSong" w:hAnsi="FangSong" w:eastAsia="FangSong" w:cs="FangSong"/>
          <w:sz w:val="30"/>
          <w:szCs w:val="30"/>
          <w:spacing w:val="15"/>
        </w:rPr>
        <w:t>理，由卫生行政部门依照本法的规定实施。</w:t>
      </w:r>
    </w:p>
    <w:p>
      <w:pPr>
        <w:ind w:right="103" w:firstLine="639"/>
        <w:spacing w:before="94" w:line="239" w:lineRule="auto"/>
        <w:rPr>
          <w:rFonts w:ascii="FangSong" w:hAnsi="FangSong" w:eastAsia="FangSong" w:cs="FangSong"/>
          <w:sz w:val="30"/>
          <w:szCs w:val="30"/>
        </w:rPr>
      </w:pPr>
      <w:r>
        <w:rPr>
          <w:rFonts w:ascii="FangSong" w:hAnsi="FangSong" w:eastAsia="FangSong" w:cs="FangSong"/>
          <w:sz w:val="30"/>
          <w:szCs w:val="30"/>
          <w:spacing w:val="13"/>
        </w:rPr>
        <w:t>3.</w:t>
      </w:r>
      <w:r>
        <w:rPr>
          <w:rFonts w:ascii="FangSong" w:hAnsi="FangSong" w:eastAsia="FangSong" w:cs="FangSong"/>
          <w:sz w:val="30"/>
          <w:szCs w:val="30"/>
          <w:spacing w:val="13"/>
        </w:rPr>
        <w:t xml:space="preserve"> </w:t>
      </w:r>
      <w:r>
        <w:rPr>
          <w:rFonts w:ascii="FangSong" w:hAnsi="FangSong" w:eastAsia="FangSong" w:cs="FangSong"/>
          <w:sz w:val="30"/>
          <w:szCs w:val="30"/>
          <w:spacing w:val="13"/>
        </w:rPr>
        <w:t>《放射诊疗管理规定》第四十条</w:t>
      </w:r>
      <w:r>
        <w:rPr>
          <w:rFonts w:ascii="FangSong" w:hAnsi="FangSong" w:eastAsia="FangSong" w:cs="FangSong"/>
          <w:sz w:val="30"/>
          <w:szCs w:val="30"/>
          <w:spacing w:val="13"/>
        </w:rPr>
        <w:t xml:space="preserve">   </w:t>
      </w:r>
      <w:r>
        <w:rPr>
          <w:rFonts w:ascii="FangSong" w:hAnsi="FangSong" w:eastAsia="FangSong" w:cs="FangSong"/>
          <w:sz w:val="30"/>
          <w:szCs w:val="30"/>
          <w:spacing w:val="13"/>
        </w:rPr>
        <w:t>医疗机构违反建设项目卫生审查、竣工验收有关规定的，</w:t>
      </w:r>
      <w:r>
        <w:rPr>
          <w:rFonts w:ascii="FangSong" w:hAnsi="FangSong" w:eastAsia="FangSong" w:cs="FangSong"/>
          <w:sz w:val="30"/>
          <w:szCs w:val="30"/>
          <w:spacing w:val="13"/>
        </w:rPr>
        <w:t xml:space="preserve"> </w:t>
      </w:r>
      <w:r>
        <w:rPr>
          <w:rFonts w:ascii="FangSong" w:hAnsi="FangSong" w:eastAsia="FangSong" w:cs="FangSong"/>
          <w:sz w:val="30"/>
          <w:szCs w:val="30"/>
          <w:spacing w:val="17"/>
        </w:rPr>
        <w:t>按照《中华人民共和国职业病防治法》的规定进行处罚。</w:t>
      </w:r>
    </w:p>
    <w:p>
      <w:pPr>
        <w:ind w:right="28" w:firstLine="639"/>
        <w:spacing w:before="92" w:line="244" w:lineRule="auto"/>
        <w:rPr>
          <w:rFonts w:ascii="FangSong" w:hAnsi="FangSong" w:eastAsia="FangSong" w:cs="FangSong"/>
          <w:sz w:val="30"/>
          <w:szCs w:val="30"/>
        </w:rPr>
      </w:pPr>
      <w:r>
        <w:rPr>
          <w:rFonts w:ascii="FangSong" w:hAnsi="FangSong" w:eastAsia="FangSong" w:cs="FangSong"/>
          <w:sz w:val="30"/>
          <w:szCs w:val="30"/>
          <w:spacing w:val="14"/>
        </w:rPr>
        <w:t>4.</w:t>
      </w:r>
      <w:r>
        <w:rPr>
          <w:rFonts w:ascii="FangSong" w:hAnsi="FangSong" w:eastAsia="FangSong" w:cs="FangSong"/>
          <w:sz w:val="30"/>
          <w:szCs w:val="30"/>
          <w:spacing w:val="14"/>
        </w:rPr>
        <w:t xml:space="preserve"> </w:t>
      </w:r>
      <w:r>
        <w:rPr>
          <w:rFonts w:ascii="FangSong" w:hAnsi="FangSong" w:eastAsia="FangSong" w:cs="FangSong"/>
          <w:sz w:val="30"/>
          <w:szCs w:val="30"/>
          <w:spacing w:val="14"/>
        </w:rPr>
        <w:t>《放射诊疗管理规定》第十二条第一款</w:t>
      </w:r>
      <w:r>
        <w:rPr>
          <w:rFonts w:ascii="FangSong" w:hAnsi="FangSong" w:eastAsia="FangSong" w:cs="FangSong"/>
          <w:sz w:val="30"/>
          <w:szCs w:val="30"/>
          <w:spacing w:val="14"/>
        </w:rPr>
        <w:t xml:space="preserve">   </w:t>
      </w:r>
      <w:r>
        <w:rPr>
          <w:rFonts w:ascii="FangSong" w:hAnsi="FangSong" w:eastAsia="FangSong" w:cs="FangSong"/>
          <w:sz w:val="30"/>
          <w:szCs w:val="30"/>
          <w:spacing w:val="14"/>
        </w:rPr>
        <w:t>新建、扩建、改建放射诊疗建设项目，医疗机构应</w:t>
      </w:r>
      <w:r>
        <w:rPr>
          <w:rFonts w:ascii="FangSong" w:hAnsi="FangSong" w:eastAsia="FangSong" w:cs="FangSong"/>
          <w:sz w:val="30"/>
          <w:szCs w:val="30"/>
          <w:spacing w:val="10"/>
        </w:rPr>
        <w:t xml:space="preserve"> </w:t>
      </w:r>
      <w:r>
        <w:rPr>
          <w:rFonts w:ascii="FangSong" w:hAnsi="FangSong" w:eastAsia="FangSong" w:cs="FangSong"/>
          <w:sz w:val="30"/>
          <w:szCs w:val="30"/>
          <w:spacing w:val="16"/>
        </w:rPr>
        <w:t>当在建设项目施工前向相应的卫生行政部门提交职业病危害放射防护预评价报告，申请进行建设项目</w:t>
      </w:r>
    </w:p>
    <w:p>
      <w:pPr>
        <w:pStyle w:val="BodyText"/>
        <w:spacing w:line="281" w:lineRule="auto"/>
        <w:rPr/>
      </w:pPr>
      <w:r/>
    </w:p>
    <w:p>
      <w:pPr>
        <w:pStyle w:val="BodyText"/>
        <w:spacing w:line="282" w:lineRule="auto"/>
        <w:rPr/>
      </w:pPr>
      <w:r/>
    </w:p>
    <w:p>
      <w:pPr>
        <w:pStyle w:val="BodyText"/>
        <w:spacing w:line="282" w:lineRule="auto"/>
        <w:rPr/>
      </w:pPr>
      <w:r/>
    </w:p>
    <w:p>
      <w:pPr>
        <w:pStyle w:val="BodyText"/>
        <w:spacing w:line="282" w:lineRule="auto"/>
        <w:rPr/>
      </w:pPr>
      <w:r/>
    </w:p>
    <w:p>
      <w:pPr>
        <w:ind w:left="6359"/>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—680—</w:t>
      </w:r>
    </w:p>
    <w:p>
      <w:pPr>
        <w:spacing w:line="188" w:lineRule="auto"/>
        <w:sectPr>
          <w:footerReference w:type="default" r:id="rId24"/>
          <w:pgSz w:w="16830" w:h="11900"/>
          <w:pgMar w:top="1011" w:right="1456" w:bottom="400" w:left="1430" w:header="0" w:footer="0" w:gutter="0"/>
        </w:sectPr>
        <w:rPr>
          <w:rFonts w:ascii="Times New Roman" w:hAnsi="Times New Roman" w:eastAsia="Times New Roman" w:cs="Times New Roman"/>
          <w:sz w:val="37"/>
          <w:szCs w:val="37"/>
        </w:rPr>
      </w:pPr>
    </w:p>
    <w:p>
      <w:pPr>
        <w:pStyle w:val="BodyText"/>
        <w:spacing w:line="257" w:lineRule="auto"/>
        <w:rPr/>
      </w:pPr>
      <w:r/>
    </w:p>
    <w:p>
      <w:pPr>
        <w:pStyle w:val="BodyText"/>
        <w:spacing w:line="258" w:lineRule="auto"/>
        <w:rPr/>
      </w:pPr>
      <w:r/>
    </w:p>
    <w:p>
      <w:pPr>
        <w:pStyle w:val="BodyText"/>
        <w:spacing w:line="258" w:lineRule="auto"/>
        <w:rPr/>
      </w:pPr>
      <w:r/>
    </w:p>
    <w:p>
      <w:pPr>
        <w:ind w:left="15" w:right="37" w:firstLine="9"/>
        <w:spacing w:before="97" w:line="280" w:lineRule="auto"/>
        <w:rPr>
          <w:rFonts w:ascii="FangSong" w:hAnsi="FangSong" w:eastAsia="FangSong" w:cs="FangSong"/>
          <w:sz w:val="30"/>
          <w:szCs w:val="30"/>
        </w:rPr>
      </w:pPr>
      <w:bookmarkStart w:name="bookmark1229" w:id="607"/>
      <w:bookmarkEnd w:id="607"/>
      <w:r>
        <w:rPr>
          <w:rFonts w:ascii="FangSong" w:hAnsi="FangSong" w:eastAsia="FangSong" w:cs="FangSong"/>
          <w:sz w:val="30"/>
          <w:szCs w:val="30"/>
          <w:spacing w:val="17"/>
        </w:rPr>
        <w:t>卫生审查。立体定向放射治疗、质子治疗、重离子</w:t>
      </w:r>
      <w:r>
        <w:rPr>
          <w:rFonts w:ascii="FangSong" w:hAnsi="FangSong" w:eastAsia="FangSong" w:cs="FangSong"/>
          <w:sz w:val="30"/>
          <w:szCs w:val="30"/>
          <w:spacing w:val="16"/>
        </w:rPr>
        <w:t>治疗、带回旋加速器的正电子发射断层扫描诊断等</w:t>
      </w:r>
      <w:r>
        <w:rPr>
          <w:rFonts w:ascii="FangSong" w:hAnsi="FangSong" w:eastAsia="FangSong" w:cs="FangSong"/>
          <w:sz w:val="30"/>
          <w:szCs w:val="30"/>
        </w:rPr>
        <w:t xml:space="preserve"> </w:t>
      </w:r>
      <w:r>
        <w:rPr>
          <w:rFonts w:ascii="FangSong" w:hAnsi="FangSong" w:eastAsia="FangSong" w:cs="FangSong"/>
          <w:sz w:val="30"/>
          <w:szCs w:val="30"/>
          <w:spacing w:val="18"/>
        </w:rPr>
        <w:t>放射诊疗建设项目，还应当提交卫生部指定的放射卫生技术机构出具的预评价报告技术审查意见。</w:t>
      </w:r>
    </w:p>
    <w:p>
      <w:pPr>
        <w:ind w:left="6419"/>
        <w:spacing w:before="141"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4"/>
        <w:gridCol w:w="7545"/>
        <w:gridCol w:w="4631"/>
      </w:tblGrid>
      <w:tr>
        <w:trPr>
          <w:trHeight w:val="664" w:hRule="atLeast"/>
        </w:trPr>
        <w:tc>
          <w:tcPr>
            <w:tcW w:w="1804" w:type="dxa"/>
            <w:vAlign w:val="top"/>
          </w:tcPr>
          <w:p>
            <w:pPr>
              <w:pStyle w:val="TableText"/>
              <w:ind w:left="398"/>
              <w:spacing w:before="212" w:line="220" w:lineRule="auto"/>
              <w:rPr>
                <w:sz w:val="25"/>
                <w:szCs w:val="25"/>
              </w:rPr>
            </w:pPr>
            <w:r>
              <w:rPr>
                <w:sz w:val="25"/>
                <w:szCs w:val="25"/>
                <w:b/>
                <w:bCs/>
                <w:spacing w:val="-5"/>
              </w:rPr>
              <w:t>违法程度</w:t>
            </w:r>
          </w:p>
        </w:tc>
        <w:tc>
          <w:tcPr>
            <w:tcW w:w="7545" w:type="dxa"/>
            <w:vAlign w:val="top"/>
          </w:tcPr>
          <w:p>
            <w:pPr>
              <w:pStyle w:val="TableText"/>
              <w:ind w:left="3204"/>
              <w:spacing w:before="212" w:line="220" w:lineRule="auto"/>
              <w:rPr>
                <w:sz w:val="25"/>
                <w:szCs w:val="25"/>
              </w:rPr>
            </w:pPr>
            <w:r>
              <w:rPr>
                <w:sz w:val="25"/>
                <w:szCs w:val="25"/>
                <w:b/>
                <w:bCs/>
                <w:spacing w:val="-5"/>
              </w:rPr>
              <w:t>情节后果</w:t>
            </w:r>
          </w:p>
        </w:tc>
        <w:tc>
          <w:tcPr>
            <w:tcW w:w="4631" w:type="dxa"/>
            <w:vAlign w:val="top"/>
          </w:tcPr>
          <w:p>
            <w:pPr>
              <w:pStyle w:val="TableText"/>
              <w:ind w:left="1749"/>
              <w:spacing w:before="209" w:line="218" w:lineRule="auto"/>
              <w:rPr>
                <w:sz w:val="25"/>
                <w:szCs w:val="25"/>
              </w:rPr>
            </w:pPr>
            <w:r>
              <w:rPr>
                <w:sz w:val="25"/>
                <w:szCs w:val="25"/>
                <w:b/>
                <w:bCs/>
                <w:spacing w:val="-5"/>
              </w:rPr>
              <w:t>裁量幅度</w:t>
            </w:r>
          </w:p>
        </w:tc>
      </w:tr>
      <w:tr>
        <w:trPr>
          <w:trHeight w:val="1028" w:hRule="atLeast"/>
        </w:trPr>
        <w:tc>
          <w:tcPr>
            <w:tcW w:w="1804" w:type="dxa"/>
            <w:vAlign w:val="top"/>
          </w:tcPr>
          <w:p>
            <w:pPr>
              <w:spacing w:line="305" w:lineRule="auto"/>
              <w:rPr>
                <w:rFonts w:ascii="Arial"/>
                <w:sz w:val="21"/>
              </w:rPr>
            </w:pPr>
            <w:r/>
          </w:p>
          <w:p>
            <w:pPr>
              <w:pStyle w:val="TableText"/>
              <w:ind w:left="648"/>
              <w:spacing w:before="82" w:line="221" w:lineRule="auto"/>
              <w:rPr>
                <w:sz w:val="25"/>
                <w:szCs w:val="25"/>
              </w:rPr>
            </w:pPr>
            <w:r>
              <w:rPr>
                <w:sz w:val="25"/>
                <w:szCs w:val="25"/>
                <w:b/>
                <w:bCs/>
                <w:spacing w:val="-10"/>
              </w:rPr>
              <w:t>一般</w:t>
            </w:r>
          </w:p>
        </w:tc>
        <w:tc>
          <w:tcPr>
            <w:tcW w:w="7545" w:type="dxa"/>
            <w:vAlign w:val="top"/>
          </w:tcPr>
          <w:p>
            <w:pPr>
              <w:pStyle w:val="TableText"/>
              <w:ind w:left="91" w:firstLine="9"/>
              <w:spacing w:before="79" w:line="231" w:lineRule="auto"/>
              <w:jc w:val="both"/>
              <w:rPr>
                <w:sz w:val="25"/>
                <w:szCs w:val="25"/>
              </w:rPr>
            </w:pPr>
            <w:r>
              <w:rPr>
                <w:sz w:val="25"/>
                <w:szCs w:val="25"/>
              </w:rPr>
              <w:t>未按规定对放射性职业病危害一般的建设项目(不含</w:t>
            </w:r>
            <w:r>
              <w:rPr>
                <w:sz w:val="25"/>
                <w:szCs w:val="25"/>
                <w:spacing w:val="-1"/>
              </w:rPr>
              <w:t>CT、DSA)进行职</w:t>
            </w:r>
            <w:r>
              <w:rPr>
                <w:sz w:val="25"/>
                <w:szCs w:val="25"/>
              </w:rPr>
              <w:t xml:space="preserve"> </w:t>
            </w:r>
            <w:r>
              <w:rPr>
                <w:sz w:val="25"/>
                <w:szCs w:val="25"/>
                <w:spacing w:val="-2"/>
              </w:rPr>
              <w:t>业病危害预评价或放射性职业病危害预评价报告未经卫生行政部门审</w:t>
            </w:r>
            <w:r>
              <w:rPr>
                <w:sz w:val="25"/>
                <w:szCs w:val="25"/>
                <w:spacing w:val="2"/>
              </w:rPr>
              <w:t xml:space="preserve"> </w:t>
            </w:r>
            <w:r>
              <w:rPr>
                <w:sz w:val="25"/>
                <w:szCs w:val="25"/>
              </w:rPr>
              <w:t>核同意即开工建设，经警告，逾期不改正的</w:t>
            </w:r>
          </w:p>
        </w:tc>
        <w:tc>
          <w:tcPr>
            <w:tcW w:w="4631" w:type="dxa"/>
            <w:vAlign w:val="top"/>
          </w:tcPr>
          <w:p>
            <w:pPr>
              <w:spacing w:line="308" w:lineRule="auto"/>
              <w:rPr>
                <w:rFonts w:ascii="Arial"/>
                <w:sz w:val="21"/>
              </w:rPr>
            </w:pPr>
            <w:r/>
          </w:p>
          <w:p>
            <w:pPr>
              <w:pStyle w:val="TableText"/>
              <w:ind w:left="126"/>
              <w:spacing w:before="82" w:line="220" w:lineRule="auto"/>
              <w:rPr>
                <w:sz w:val="25"/>
                <w:szCs w:val="25"/>
              </w:rPr>
            </w:pPr>
            <w:r>
              <w:rPr>
                <w:sz w:val="25"/>
                <w:szCs w:val="25"/>
              </w:rPr>
              <w:t>处十万元以上十五万元以下的罚款</w:t>
            </w:r>
          </w:p>
        </w:tc>
      </w:tr>
      <w:tr>
        <w:trPr>
          <w:trHeight w:val="689" w:hRule="atLeast"/>
        </w:trPr>
        <w:tc>
          <w:tcPr>
            <w:tcW w:w="1804" w:type="dxa"/>
            <w:vAlign w:val="top"/>
          </w:tcPr>
          <w:p>
            <w:pPr>
              <w:pStyle w:val="TableText"/>
              <w:ind w:left="648"/>
              <w:spacing w:before="223" w:line="221" w:lineRule="auto"/>
              <w:rPr>
                <w:sz w:val="25"/>
                <w:szCs w:val="25"/>
              </w:rPr>
            </w:pPr>
            <w:r>
              <w:rPr>
                <w:sz w:val="25"/>
                <w:szCs w:val="25"/>
                <w:b/>
                <w:bCs/>
                <w:spacing w:val="-6"/>
              </w:rPr>
              <w:t>较重</w:t>
            </w:r>
          </w:p>
        </w:tc>
        <w:tc>
          <w:tcPr>
            <w:tcW w:w="7545" w:type="dxa"/>
            <w:vAlign w:val="top"/>
          </w:tcPr>
          <w:p>
            <w:pPr>
              <w:pStyle w:val="TableText"/>
              <w:ind w:left="91" w:right="174"/>
              <w:spacing w:before="72" w:line="224" w:lineRule="auto"/>
              <w:rPr>
                <w:sz w:val="25"/>
                <w:szCs w:val="25"/>
              </w:rPr>
            </w:pPr>
            <w:r>
              <w:rPr>
                <w:sz w:val="25"/>
                <w:szCs w:val="25"/>
                <w:spacing w:val="1"/>
              </w:rPr>
              <w:t>未按规定对</w:t>
            </w:r>
            <w:r>
              <w:rPr>
                <w:sz w:val="25"/>
                <w:szCs w:val="25"/>
              </w:rPr>
              <w:t>CT</w:t>
            </w:r>
            <w:r>
              <w:rPr>
                <w:sz w:val="25"/>
                <w:szCs w:val="25"/>
                <w:spacing w:val="1"/>
              </w:rPr>
              <w:t>或</w:t>
            </w:r>
            <w:r>
              <w:rPr>
                <w:sz w:val="25"/>
                <w:szCs w:val="25"/>
              </w:rPr>
              <w:t>DSA</w:t>
            </w:r>
            <w:r>
              <w:rPr>
                <w:sz w:val="25"/>
                <w:szCs w:val="25"/>
                <w:spacing w:val="1"/>
              </w:rPr>
              <w:t>建设项目进行职业病危害预评价或</w:t>
            </w:r>
            <w:r>
              <w:rPr>
                <w:sz w:val="25"/>
                <w:szCs w:val="25"/>
              </w:rPr>
              <w:t>预评价报告  </w:t>
            </w:r>
            <w:r>
              <w:rPr>
                <w:sz w:val="25"/>
                <w:szCs w:val="25"/>
              </w:rPr>
              <w:t>未经卫生行政部门审核同意即开工建设的，经警告，逾期不改正的</w:t>
            </w:r>
          </w:p>
        </w:tc>
        <w:tc>
          <w:tcPr>
            <w:tcW w:w="4631" w:type="dxa"/>
            <w:vAlign w:val="top"/>
          </w:tcPr>
          <w:p>
            <w:pPr>
              <w:pStyle w:val="TableText"/>
              <w:ind w:left="126"/>
              <w:spacing w:before="224" w:line="220" w:lineRule="auto"/>
              <w:rPr>
                <w:sz w:val="25"/>
                <w:szCs w:val="25"/>
              </w:rPr>
            </w:pPr>
            <w:r>
              <w:rPr>
                <w:sz w:val="25"/>
                <w:szCs w:val="25"/>
              </w:rPr>
              <w:t>处十五万元以上二十万元以下的罚款</w:t>
            </w:r>
          </w:p>
        </w:tc>
      </w:tr>
      <w:tr>
        <w:trPr>
          <w:trHeight w:val="1018" w:hRule="atLeast"/>
        </w:trPr>
        <w:tc>
          <w:tcPr>
            <w:tcW w:w="1804" w:type="dxa"/>
            <w:vAlign w:val="top"/>
          </w:tcPr>
          <w:p>
            <w:pPr>
              <w:spacing w:line="308" w:lineRule="auto"/>
              <w:rPr>
                <w:rFonts w:ascii="Arial"/>
                <w:sz w:val="21"/>
              </w:rPr>
            </w:pPr>
            <w:r/>
          </w:p>
          <w:p>
            <w:pPr>
              <w:pStyle w:val="TableText"/>
              <w:ind w:left="648"/>
              <w:spacing w:before="81" w:line="220" w:lineRule="auto"/>
              <w:rPr>
                <w:sz w:val="25"/>
                <w:szCs w:val="25"/>
              </w:rPr>
            </w:pPr>
            <w:r>
              <w:rPr>
                <w:sz w:val="25"/>
                <w:szCs w:val="25"/>
                <w:b/>
                <w:bCs/>
                <w:spacing w:val="-6"/>
              </w:rPr>
              <w:t>严重</w:t>
            </w:r>
          </w:p>
        </w:tc>
        <w:tc>
          <w:tcPr>
            <w:tcW w:w="7545" w:type="dxa"/>
            <w:vAlign w:val="top"/>
          </w:tcPr>
          <w:p>
            <w:pPr>
              <w:pStyle w:val="TableText"/>
              <w:ind w:left="91" w:firstLine="19"/>
              <w:spacing w:before="73" w:line="230" w:lineRule="auto"/>
              <w:jc w:val="both"/>
              <w:rPr>
                <w:sz w:val="25"/>
                <w:szCs w:val="25"/>
              </w:rPr>
            </w:pPr>
            <w:r>
              <w:rPr>
                <w:sz w:val="25"/>
                <w:szCs w:val="25"/>
                <w:spacing w:val="-3"/>
              </w:rPr>
              <w:t>未按规定对放射性职业病危害严重的建设项目进行职业病危害预评价</w:t>
            </w:r>
            <w:r>
              <w:rPr>
                <w:sz w:val="25"/>
                <w:szCs w:val="25"/>
                <w:spacing w:val="11"/>
              </w:rPr>
              <w:t xml:space="preserve"> </w:t>
            </w:r>
            <w:r>
              <w:rPr>
                <w:sz w:val="25"/>
                <w:szCs w:val="25"/>
                <w:spacing w:val="-10"/>
              </w:rPr>
              <w:t>或预评价报告未经卫生行政部门审核同意即开工建设，建设项目数目为</w:t>
            </w:r>
            <w:r>
              <w:rPr>
                <w:sz w:val="25"/>
                <w:szCs w:val="25"/>
                <w:spacing w:val="2"/>
              </w:rPr>
              <w:t xml:space="preserve"> </w:t>
            </w:r>
            <w:r>
              <w:rPr>
                <w:sz w:val="25"/>
                <w:szCs w:val="25"/>
                <w:spacing w:val="1"/>
              </w:rPr>
              <w:t>1-2项，经警告，逾期不改正的</w:t>
            </w:r>
          </w:p>
        </w:tc>
        <w:tc>
          <w:tcPr>
            <w:tcW w:w="4631" w:type="dxa"/>
            <w:vAlign w:val="top"/>
          </w:tcPr>
          <w:p>
            <w:pPr>
              <w:spacing w:line="311" w:lineRule="auto"/>
              <w:rPr>
                <w:rFonts w:ascii="Arial"/>
                <w:sz w:val="21"/>
              </w:rPr>
            </w:pPr>
            <w:r/>
          </w:p>
          <w:p>
            <w:pPr>
              <w:pStyle w:val="TableText"/>
              <w:ind w:left="126"/>
              <w:spacing w:before="82" w:line="220" w:lineRule="auto"/>
              <w:rPr>
                <w:sz w:val="25"/>
                <w:szCs w:val="25"/>
              </w:rPr>
            </w:pPr>
            <w:r>
              <w:rPr>
                <w:sz w:val="25"/>
                <w:szCs w:val="25"/>
              </w:rPr>
              <w:t>处二十万元以上五十万元以下的罚款</w:t>
            </w:r>
          </w:p>
        </w:tc>
      </w:tr>
      <w:tr>
        <w:trPr>
          <w:trHeight w:val="2361" w:hRule="atLeast"/>
        </w:trPr>
        <w:tc>
          <w:tcPr>
            <w:tcW w:w="1804" w:type="dxa"/>
            <w:vAlign w:val="top"/>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398"/>
              <w:spacing w:before="81" w:line="219" w:lineRule="auto"/>
              <w:rPr>
                <w:sz w:val="25"/>
                <w:szCs w:val="25"/>
              </w:rPr>
            </w:pPr>
            <w:r>
              <w:rPr>
                <w:sz w:val="25"/>
                <w:szCs w:val="25"/>
                <w:b/>
                <w:bCs/>
                <w:spacing w:val="-5"/>
              </w:rPr>
              <w:t>特别严重</w:t>
            </w:r>
          </w:p>
        </w:tc>
        <w:tc>
          <w:tcPr>
            <w:tcW w:w="7545" w:type="dxa"/>
            <w:vAlign w:val="top"/>
          </w:tcPr>
          <w:p>
            <w:pPr>
              <w:pStyle w:val="TableText"/>
              <w:ind w:left="91"/>
              <w:spacing w:before="77" w:line="220" w:lineRule="auto"/>
              <w:rPr>
                <w:sz w:val="25"/>
                <w:szCs w:val="25"/>
              </w:rPr>
            </w:pPr>
            <w:r>
              <w:rPr>
                <w:sz w:val="25"/>
                <w:szCs w:val="25"/>
                <w:spacing w:val="6"/>
              </w:rPr>
              <w:t>有下列情形之一：</w:t>
            </w:r>
          </w:p>
          <w:p>
            <w:pPr>
              <w:pStyle w:val="TableText"/>
              <w:ind w:left="91"/>
              <w:spacing w:before="30" w:line="247" w:lineRule="auto"/>
              <w:rPr>
                <w:sz w:val="25"/>
                <w:szCs w:val="25"/>
              </w:rPr>
            </w:pPr>
            <w:r>
              <w:rPr>
                <w:sz w:val="25"/>
                <w:szCs w:val="25"/>
                <w:spacing w:val="-2"/>
              </w:rPr>
              <w:t>A.未按规定对放射性职业病危害严重的建设项目进行职业病危害预评</w:t>
            </w:r>
            <w:r>
              <w:rPr>
                <w:sz w:val="25"/>
                <w:szCs w:val="25"/>
                <w:spacing w:val="4"/>
              </w:rPr>
              <w:t xml:space="preserve"> </w:t>
            </w:r>
            <w:r>
              <w:rPr>
                <w:sz w:val="25"/>
                <w:szCs w:val="25"/>
                <w:spacing w:val="-10"/>
              </w:rPr>
              <w:t>价或预评价报告未经卫生行政部门审核同意即开工建设的，建设项目数</w:t>
            </w:r>
            <w:r>
              <w:rPr>
                <w:sz w:val="25"/>
                <w:szCs w:val="25"/>
                <w:spacing w:val="2"/>
              </w:rPr>
              <w:t xml:space="preserve"> </w:t>
            </w:r>
            <w:r>
              <w:rPr>
                <w:sz w:val="25"/>
                <w:szCs w:val="25"/>
                <w:spacing w:val="1"/>
              </w:rPr>
              <w:t>目为3项及以上，经警告，逾期不改正的</w:t>
            </w:r>
          </w:p>
          <w:p>
            <w:pPr>
              <w:pStyle w:val="TableText"/>
              <w:ind w:left="91"/>
              <w:spacing w:before="15" w:line="228" w:lineRule="auto"/>
              <w:rPr>
                <w:sz w:val="25"/>
                <w:szCs w:val="25"/>
              </w:rPr>
            </w:pPr>
            <w:r>
              <w:rPr>
                <w:sz w:val="25"/>
                <w:szCs w:val="25"/>
                <w:spacing w:val="-5"/>
              </w:rPr>
              <w:t>B.未按规定对可能产生放射性职业病危害的建设</w:t>
            </w:r>
            <w:r>
              <w:rPr>
                <w:sz w:val="25"/>
                <w:szCs w:val="25"/>
                <w:spacing w:val="-6"/>
              </w:rPr>
              <w:t>项目进行职业病危害</w:t>
            </w:r>
            <w:r>
              <w:rPr>
                <w:sz w:val="25"/>
                <w:szCs w:val="25"/>
              </w:rPr>
              <w:t xml:space="preserve">  </w:t>
            </w:r>
            <w:r>
              <w:rPr>
                <w:sz w:val="25"/>
                <w:szCs w:val="25"/>
                <w:spacing w:val="-10"/>
              </w:rPr>
              <w:t>预评价或预评价报告未经卫生行政部门审核同意即开工建设，经警告，</w:t>
            </w:r>
            <w:r>
              <w:rPr>
                <w:sz w:val="25"/>
                <w:szCs w:val="25"/>
                <w:spacing w:val="2"/>
              </w:rPr>
              <w:t xml:space="preserve"> </w:t>
            </w:r>
            <w:r>
              <w:rPr>
                <w:sz w:val="25"/>
                <w:szCs w:val="25"/>
                <w:spacing w:val="-3"/>
              </w:rPr>
              <w:t>逾期不改正的，造成严重后果的</w:t>
            </w:r>
          </w:p>
        </w:tc>
        <w:tc>
          <w:tcPr>
            <w:tcW w:w="4631" w:type="dxa"/>
            <w:vAlign w:val="top"/>
          </w:tcPr>
          <w:p>
            <w:pPr>
              <w:spacing w:line="333" w:lineRule="auto"/>
              <w:rPr>
                <w:rFonts w:ascii="Arial"/>
                <w:sz w:val="21"/>
              </w:rPr>
            </w:pPr>
            <w:r/>
          </w:p>
          <w:p>
            <w:pPr>
              <w:spacing w:line="334" w:lineRule="auto"/>
              <w:rPr>
                <w:rFonts w:ascii="Arial"/>
                <w:sz w:val="21"/>
              </w:rPr>
            </w:pPr>
            <w:r/>
          </w:p>
          <w:p>
            <w:pPr>
              <w:pStyle w:val="TableText"/>
              <w:ind w:left="126" w:firstLine="10"/>
              <w:spacing w:before="82" w:line="249" w:lineRule="auto"/>
              <w:jc w:val="both"/>
              <w:rPr>
                <w:sz w:val="25"/>
                <w:szCs w:val="25"/>
              </w:rPr>
            </w:pPr>
            <w:r>
              <w:rPr>
                <w:sz w:val="25"/>
                <w:szCs w:val="25"/>
                <w:spacing w:val="-2"/>
              </w:rPr>
              <w:t>处五十万元的罚款，责令停止产生职业病</w:t>
            </w:r>
            <w:r>
              <w:rPr>
                <w:sz w:val="25"/>
                <w:szCs w:val="25"/>
              </w:rPr>
              <w:t xml:space="preserve"> </w:t>
            </w:r>
            <w:r>
              <w:rPr>
                <w:sz w:val="25"/>
                <w:szCs w:val="25"/>
                <w:spacing w:val="-1"/>
              </w:rPr>
              <w:t>危害的作业或者提请有关人民政府按照国</w:t>
            </w:r>
            <w:r>
              <w:rPr>
                <w:sz w:val="25"/>
                <w:szCs w:val="25"/>
                <w:spacing w:val="12"/>
              </w:rPr>
              <w:t xml:space="preserve"> </w:t>
            </w:r>
            <w:r>
              <w:rPr>
                <w:sz w:val="25"/>
                <w:szCs w:val="25"/>
              </w:rPr>
              <w:t>务院规定的权限责令停建、关闭</w:t>
            </w:r>
          </w:p>
        </w:tc>
      </w:tr>
    </w:tbl>
    <w:p>
      <w:pPr>
        <w:pStyle w:val="BodyText"/>
        <w:spacing w:line="466" w:lineRule="auto"/>
        <w:rPr/>
      </w:pPr>
      <w:r/>
    </w:p>
    <w:p>
      <w:pPr>
        <w:ind w:left="679"/>
        <w:spacing w:before="98" w:line="220" w:lineRule="auto"/>
        <w:rPr>
          <w:rFonts w:ascii="FangSong" w:hAnsi="FangSong" w:eastAsia="FangSong" w:cs="FangSong"/>
          <w:sz w:val="30"/>
          <w:szCs w:val="30"/>
        </w:rPr>
      </w:pPr>
      <w:r>
        <w:rPr>
          <w:rFonts w:ascii="FangSong" w:hAnsi="FangSong" w:eastAsia="FangSong" w:cs="FangSong"/>
          <w:sz w:val="30"/>
          <w:szCs w:val="30"/>
          <w:b/>
          <w:bCs/>
          <w:spacing w:val="22"/>
        </w:rPr>
        <w:t>第五百七十七条按照规定对放射性职业病防护</w:t>
      </w:r>
      <w:r>
        <w:rPr>
          <w:rFonts w:ascii="FangSong" w:hAnsi="FangSong" w:eastAsia="FangSong" w:cs="FangSong"/>
          <w:sz w:val="30"/>
          <w:szCs w:val="30"/>
          <w:b/>
          <w:bCs/>
          <w:spacing w:val="21"/>
        </w:rPr>
        <w:t>设施进行职业病危害控制效果评价的</w:t>
      </w:r>
    </w:p>
    <w:p>
      <w:pPr>
        <w:spacing w:line="220" w:lineRule="auto"/>
        <w:sectPr>
          <w:footerReference w:type="default" r:id="rId601"/>
          <w:pgSz w:w="16830" w:h="11900"/>
          <w:pgMar w:top="1011" w:right="1405" w:bottom="1104" w:left="1434" w:header="0" w:footer="762" w:gutter="0"/>
        </w:sectPr>
        <w:rPr>
          <w:rFonts w:ascii="FangSong" w:hAnsi="FangSong" w:eastAsia="FangSong" w:cs="FangSong"/>
          <w:sz w:val="30"/>
          <w:szCs w:val="30"/>
        </w:rPr>
      </w:pPr>
    </w:p>
    <w:p>
      <w:pPr>
        <w:pStyle w:val="BodyText"/>
        <w:spacing w:line="265" w:lineRule="auto"/>
        <w:rPr/>
      </w:pPr>
      <w:r/>
    </w:p>
    <w:p>
      <w:pPr>
        <w:pStyle w:val="BodyText"/>
        <w:spacing w:line="265" w:lineRule="auto"/>
        <w:rPr/>
      </w:pPr>
      <w:r/>
    </w:p>
    <w:p>
      <w:pPr>
        <w:pStyle w:val="BodyText"/>
        <w:spacing w:line="266" w:lineRule="auto"/>
        <w:rPr/>
      </w:pPr>
      <w:r/>
    </w:p>
    <w:p>
      <w:pPr>
        <w:ind w:left="649"/>
        <w:spacing w:before="97" w:line="222" w:lineRule="auto"/>
        <w:rPr>
          <w:rFonts w:ascii="FangSong" w:hAnsi="FangSong" w:eastAsia="FangSong" w:cs="FangSong"/>
          <w:sz w:val="30"/>
          <w:szCs w:val="30"/>
        </w:rPr>
      </w:pPr>
      <w:r>
        <w:rPr>
          <w:rFonts w:ascii="FangSong" w:hAnsi="FangSong" w:eastAsia="FangSong" w:cs="FangSong"/>
          <w:sz w:val="30"/>
          <w:szCs w:val="30"/>
          <w:spacing w:val="3"/>
        </w:rPr>
        <w:t>法律依据：</w:t>
      </w:r>
    </w:p>
    <w:p>
      <w:pPr>
        <w:ind w:firstLine="649"/>
        <w:spacing w:before="58" w:line="271" w:lineRule="auto"/>
        <w:jc w:val="both"/>
        <w:rPr>
          <w:rFonts w:ascii="FangSong" w:hAnsi="FangSong" w:eastAsia="FangSong" w:cs="FangSong"/>
          <w:sz w:val="30"/>
          <w:szCs w:val="30"/>
        </w:rPr>
      </w:pPr>
      <w:r>
        <w:rPr>
          <w:rFonts w:ascii="FangSong" w:hAnsi="FangSong" w:eastAsia="FangSong" w:cs="FangSong"/>
          <w:sz w:val="30"/>
          <w:szCs w:val="30"/>
          <w:spacing w:val="22"/>
        </w:rPr>
        <w:t>1.</w:t>
      </w:r>
      <w:r>
        <w:rPr>
          <w:rFonts w:ascii="FangSong" w:hAnsi="FangSong" w:eastAsia="FangSong" w:cs="FangSong"/>
          <w:sz w:val="30"/>
          <w:szCs w:val="30"/>
          <w:spacing w:val="22"/>
        </w:rPr>
        <w:t xml:space="preserve"> </w:t>
      </w:r>
      <w:r>
        <w:rPr>
          <w:rFonts w:ascii="FangSong" w:hAnsi="FangSong" w:eastAsia="FangSong" w:cs="FangSong"/>
          <w:sz w:val="30"/>
          <w:szCs w:val="30"/>
          <w:spacing w:val="22"/>
        </w:rPr>
        <w:t>《中华人民共和国职业病防治法》第六十九条第(五)项</w:t>
      </w:r>
      <w:r>
        <w:rPr>
          <w:rFonts w:ascii="FangSong" w:hAnsi="FangSong" w:eastAsia="FangSong" w:cs="FangSong"/>
          <w:sz w:val="30"/>
          <w:szCs w:val="30"/>
          <w:spacing w:val="22"/>
        </w:rPr>
        <w:t xml:space="preserve">   </w:t>
      </w:r>
      <w:r>
        <w:rPr>
          <w:rFonts w:ascii="FangSong" w:hAnsi="FangSong" w:eastAsia="FangSong" w:cs="FangSong"/>
          <w:sz w:val="30"/>
          <w:szCs w:val="30"/>
          <w:spacing w:val="22"/>
        </w:rPr>
        <w:t>建设单位违反</w:t>
      </w:r>
      <w:r>
        <w:rPr>
          <w:rFonts w:ascii="FangSong" w:hAnsi="FangSong" w:eastAsia="FangSong" w:cs="FangSong"/>
          <w:sz w:val="30"/>
          <w:szCs w:val="30"/>
          <w:spacing w:val="21"/>
        </w:rPr>
        <w:t>本法规定，有下列</w:t>
      </w:r>
      <w:r>
        <w:rPr>
          <w:rFonts w:ascii="FangSong" w:hAnsi="FangSong" w:eastAsia="FangSong" w:cs="FangSong"/>
          <w:sz w:val="30"/>
          <w:szCs w:val="30"/>
        </w:rPr>
        <w:t xml:space="preserve"> </w:t>
      </w:r>
      <w:r>
        <w:rPr>
          <w:rFonts w:ascii="FangSong" w:hAnsi="FangSong" w:eastAsia="FangSong" w:cs="FangSong"/>
          <w:sz w:val="30"/>
          <w:szCs w:val="30"/>
          <w:spacing w:val="16"/>
        </w:rPr>
        <w:t>行为之一的，由卫生行政部门给予警告，责令限期改正；逾期不改正的，处十万元以上五十万元以下</w:t>
      </w:r>
      <w:r>
        <w:rPr>
          <w:rFonts w:ascii="FangSong" w:hAnsi="FangSong" w:eastAsia="FangSong" w:cs="FangSong"/>
          <w:sz w:val="30"/>
          <w:szCs w:val="30"/>
          <w:spacing w:val="8"/>
        </w:rPr>
        <w:t xml:space="preserve"> </w:t>
      </w:r>
      <w:r>
        <w:rPr>
          <w:rFonts w:ascii="FangSong" w:hAnsi="FangSong" w:eastAsia="FangSong" w:cs="FangSong"/>
          <w:sz w:val="30"/>
          <w:szCs w:val="30"/>
          <w:spacing w:val="17"/>
        </w:rPr>
        <w:t>的罚款；情节严重的，责令停止产生职业病危害的作业，或者提请有关人民政府按照国务院规定的权</w:t>
      </w:r>
      <w:r>
        <w:rPr>
          <w:rFonts w:ascii="FangSong" w:hAnsi="FangSong" w:eastAsia="FangSong" w:cs="FangSong"/>
          <w:sz w:val="30"/>
          <w:szCs w:val="30"/>
        </w:rPr>
        <w:t xml:space="preserve"> </w:t>
      </w:r>
      <w:r>
        <w:rPr>
          <w:rFonts w:ascii="FangSong" w:hAnsi="FangSong" w:eastAsia="FangSong" w:cs="FangSong"/>
          <w:sz w:val="30"/>
          <w:szCs w:val="30"/>
          <w:spacing w:val="8"/>
        </w:rPr>
        <w:t>限责令停建、关闭：</w:t>
      </w:r>
    </w:p>
    <w:p>
      <w:pPr>
        <w:ind w:left="779"/>
        <w:spacing w:before="6" w:line="221" w:lineRule="auto"/>
        <w:rPr>
          <w:rFonts w:ascii="FangSong" w:hAnsi="FangSong" w:eastAsia="FangSong" w:cs="FangSong"/>
          <w:sz w:val="30"/>
          <w:szCs w:val="30"/>
        </w:rPr>
      </w:pPr>
      <w:r>
        <w:rPr>
          <w:rFonts w:ascii="FangSong" w:hAnsi="FangSong" w:eastAsia="FangSong" w:cs="FangSong"/>
          <w:sz w:val="30"/>
          <w:szCs w:val="30"/>
          <w:spacing w:val="22"/>
        </w:rPr>
        <w:t>(五)未按照规定对职业病防护设施进行职业病危害控制效果评价的。</w:t>
      </w:r>
    </w:p>
    <w:p>
      <w:pPr>
        <w:ind w:right="27" w:firstLine="649"/>
        <w:spacing w:before="90" w:line="249" w:lineRule="auto"/>
        <w:rPr>
          <w:rFonts w:ascii="FangSong" w:hAnsi="FangSong" w:eastAsia="FangSong" w:cs="FangSong"/>
          <w:sz w:val="30"/>
          <w:szCs w:val="30"/>
        </w:rPr>
      </w:pPr>
      <w:r>
        <w:rPr>
          <w:rFonts w:ascii="FangSong" w:hAnsi="FangSong" w:eastAsia="FangSong" w:cs="FangSong"/>
          <w:sz w:val="30"/>
          <w:szCs w:val="30"/>
          <w:spacing w:val="13"/>
        </w:rPr>
        <w:t>2.</w:t>
      </w:r>
      <w:r>
        <w:rPr>
          <w:rFonts w:ascii="FangSong" w:hAnsi="FangSong" w:eastAsia="FangSong" w:cs="FangSong"/>
          <w:sz w:val="30"/>
          <w:szCs w:val="30"/>
          <w:spacing w:val="13"/>
        </w:rPr>
        <w:t xml:space="preserve"> </w:t>
      </w:r>
      <w:r>
        <w:rPr>
          <w:rFonts w:ascii="FangSong" w:hAnsi="FangSong" w:eastAsia="FangSong" w:cs="FangSong"/>
          <w:sz w:val="30"/>
          <w:szCs w:val="30"/>
          <w:spacing w:val="13"/>
        </w:rPr>
        <w:t>《中华人民共和国职业病防治法》第八十七条</w:t>
      </w:r>
      <w:r>
        <w:rPr>
          <w:rFonts w:ascii="FangSong" w:hAnsi="FangSong" w:eastAsia="FangSong" w:cs="FangSong"/>
          <w:sz w:val="30"/>
          <w:szCs w:val="30"/>
          <w:spacing w:val="41"/>
        </w:rPr>
        <w:t xml:space="preserve">   </w:t>
      </w:r>
      <w:r>
        <w:rPr>
          <w:rFonts w:ascii="FangSong" w:hAnsi="FangSong" w:eastAsia="FangSong" w:cs="FangSong"/>
          <w:sz w:val="30"/>
          <w:szCs w:val="30"/>
          <w:spacing w:val="13"/>
        </w:rPr>
        <w:t>对医疗机构放射性职业病危害控制的监督管</w:t>
      </w:r>
      <w:r>
        <w:rPr>
          <w:rFonts w:ascii="FangSong" w:hAnsi="FangSong" w:eastAsia="FangSong" w:cs="FangSong"/>
          <w:sz w:val="30"/>
          <w:szCs w:val="30"/>
          <w:spacing w:val="2"/>
        </w:rPr>
        <w:t xml:space="preserve"> </w:t>
      </w:r>
      <w:r>
        <w:rPr>
          <w:rFonts w:ascii="FangSong" w:hAnsi="FangSong" w:eastAsia="FangSong" w:cs="FangSong"/>
          <w:sz w:val="30"/>
          <w:szCs w:val="30"/>
          <w:spacing w:val="17"/>
        </w:rPr>
        <w:t>理，由卫生行政部门依照本法的规定实施。</w:t>
      </w:r>
    </w:p>
    <w:p>
      <w:pPr>
        <w:ind w:right="99" w:firstLine="649"/>
        <w:spacing w:before="74" w:line="245" w:lineRule="auto"/>
        <w:rPr>
          <w:rFonts w:ascii="FangSong" w:hAnsi="FangSong" w:eastAsia="FangSong" w:cs="FangSong"/>
          <w:sz w:val="30"/>
          <w:szCs w:val="30"/>
        </w:rPr>
      </w:pPr>
      <w:r>
        <w:rPr>
          <w:rFonts w:ascii="FangSong" w:hAnsi="FangSong" w:eastAsia="FangSong" w:cs="FangSong"/>
          <w:sz w:val="30"/>
          <w:szCs w:val="30"/>
          <w:spacing w:val="13"/>
        </w:rPr>
        <w:t>3.</w:t>
      </w:r>
      <w:r>
        <w:rPr>
          <w:rFonts w:ascii="FangSong" w:hAnsi="FangSong" w:eastAsia="FangSong" w:cs="FangSong"/>
          <w:sz w:val="30"/>
          <w:szCs w:val="30"/>
          <w:spacing w:val="13"/>
        </w:rPr>
        <w:t xml:space="preserve"> </w:t>
      </w:r>
      <w:r>
        <w:rPr>
          <w:rFonts w:ascii="FangSong" w:hAnsi="FangSong" w:eastAsia="FangSong" w:cs="FangSong"/>
          <w:sz w:val="30"/>
          <w:szCs w:val="30"/>
          <w:spacing w:val="13"/>
        </w:rPr>
        <w:t>《放射诊疗管理规定》第四十条</w:t>
      </w:r>
      <w:r>
        <w:rPr>
          <w:rFonts w:ascii="FangSong" w:hAnsi="FangSong" w:eastAsia="FangSong" w:cs="FangSong"/>
          <w:sz w:val="30"/>
          <w:szCs w:val="30"/>
          <w:spacing w:val="13"/>
        </w:rPr>
        <w:t xml:space="preserve">   </w:t>
      </w:r>
      <w:r>
        <w:rPr>
          <w:rFonts w:ascii="FangSong" w:hAnsi="FangSong" w:eastAsia="FangSong" w:cs="FangSong"/>
          <w:sz w:val="30"/>
          <w:szCs w:val="30"/>
          <w:spacing w:val="13"/>
        </w:rPr>
        <w:t>医疗机构违反建设项目卫生审查、竣工验收有关规定的，</w:t>
      </w:r>
      <w:r>
        <w:rPr>
          <w:rFonts w:ascii="FangSong" w:hAnsi="FangSong" w:eastAsia="FangSong" w:cs="FangSong"/>
          <w:sz w:val="30"/>
          <w:szCs w:val="30"/>
          <w:spacing w:val="13"/>
        </w:rPr>
        <w:t xml:space="preserve"> </w:t>
      </w:r>
      <w:r>
        <w:rPr>
          <w:rFonts w:ascii="FangSong" w:hAnsi="FangSong" w:eastAsia="FangSong" w:cs="FangSong"/>
          <w:sz w:val="30"/>
          <w:szCs w:val="30"/>
          <w:spacing w:val="17"/>
        </w:rPr>
        <w:t>按照《中华人民共和国职业病防治法》的规定进行处罚。</w:t>
      </w:r>
    </w:p>
    <w:p>
      <w:pPr>
        <w:ind w:right="39" w:firstLine="649"/>
        <w:spacing w:before="88" w:line="243" w:lineRule="auto"/>
        <w:rPr>
          <w:rFonts w:ascii="FangSong" w:hAnsi="FangSong" w:eastAsia="FangSong" w:cs="FangSong"/>
          <w:sz w:val="30"/>
          <w:szCs w:val="30"/>
        </w:rPr>
      </w:pPr>
      <w:r>
        <w:rPr>
          <w:rFonts w:ascii="FangSong" w:hAnsi="FangSong" w:eastAsia="FangSong" w:cs="FangSong"/>
          <w:sz w:val="30"/>
          <w:szCs w:val="30"/>
          <w:spacing w:val="13"/>
        </w:rPr>
        <w:t>4.</w:t>
      </w:r>
      <w:r>
        <w:rPr>
          <w:rFonts w:ascii="FangSong" w:hAnsi="FangSong" w:eastAsia="FangSong" w:cs="FangSong"/>
          <w:sz w:val="30"/>
          <w:szCs w:val="30"/>
          <w:spacing w:val="13"/>
        </w:rPr>
        <w:t xml:space="preserve"> </w:t>
      </w:r>
      <w:r>
        <w:rPr>
          <w:rFonts w:ascii="FangSong" w:hAnsi="FangSong" w:eastAsia="FangSong" w:cs="FangSong"/>
          <w:sz w:val="30"/>
          <w:szCs w:val="30"/>
          <w:spacing w:val="13"/>
        </w:rPr>
        <w:t>《放射诊疗管理规定》第十三条</w:t>
      </w:r>
      <w:r>
        <w:rPr>
          <w:rFonts w:ascii="FangSong" w:hAnsi="FangSong" w:eastAsia="FangSong" w:cs="FangSong"/>
          <w:sz w:val="30"/>
          <w:szCs w:val="30"/>
          <w:spacing w:val="37"/>
        </w:rPr>
        <w:t xml:space="preserve">   </w:t>
      </w:r>
      <w:r>
        <w:rPr>
          <w:rFonts w:ascii="FangSong" w:hAnsi="FangSong" w:eastAsia="FangSong" w:cs="FangSong"/>
          <w:sz w:val="30"/>
          <w:szCs w:val="30"/>
          <w:spacing w:val="13"/>
        </w:rPr>
        <w:t>医疗机构在放射诊疗建设项目竣工验收前，应当进行职业</w:t>
      </w:r>
      <w:r>
        <w:rPr>
          <w:rFonts w:ascii="FangSong" w:hAnsi="FangSong" w:eastAsia="FangSong" w:cs="FangSong"/>
          <w:sz w:val="30"/>
          <w:szCs w:val="30"/>
          <w:spacing w:val="1"/>
        </w:rPr>
        <w:t xml:space="preserve"> </w:t>
      </w:r>
      <w:r>
        <w:rPr>
          <w:rFonts w:ascii="FangSong" w:hAnsi="FangSong" w:eastAsia="FangSong" w:cs="FangSong"/>
          <w:sz w:val="30"/>
          <w:szCs w:val="30"/>
          <w:spacing w:val="17"/>
        </w:rPr>
        <w:t>病危害控制效果评价；并向相应的卫生行政部门提交下列资料，申请进行卫生验收：</w:t>
      </w:r>
    </w:p>
    <w:p>
      <w:pPr>
        <w:ind w:left="779"/>
        <w:spacing w:before="72" w:line="220" w:lineRule="auto"/>
        <w:rPr>
          <w:rFonts w:ascii="FangSong" w:hAnsi="FangSong" w:eastAsia="FangSong" w:cs="FangSong"/>
          <w:sz w:val="30"/>
          <w:szCs w:val="30"/>
        </w:rPr>
      </w:pPr>
      <w:r>
        <w:rPr>
          <w:rFonts w:ascii="FangSong" w:hAnsi="FangSong" w:eastAsia="FangSong" w:cs="FangSong"/>
          <w:sz w:val="30"/>
          <w:szCs w:val="30"/>
          <w:spacing w:val="25"/>
        </w:rPr>
        <w:t>(一)建设项目竣工卫生验收申请；</w:t>
      </w:r>
    </w:p>
    <w:p>
      <w:pPr>
        <w:ind w:left="779"/>
        <w:spacing w:before="103" w:line="220" w:lineRule="auto"/>
        <w:rPr>
          <w:rFonts w:ascii="FangSong" w:hAnsi="FangSong" w:eastAsia="FangSong" w:cs="FangSong"/>
          <w:sz w:val="30"/>
          <w:szCs w:val="30"/>
        </w:rPr>
      </w:pPr>
      <w:r>
        <w:rPr>
          <w:rFonts w:ascii="FangSong" w:hAnsi="FangSong" w:eastAsia="FangSong" w:cs="FangSong"/>
          <w:sz w:val="30"/>
          <w:szCs w:val="30"/>
          <w:spacing w:val="24"/>
        </w:rPr>
        <w:t>(二)建设项目卫生审查资料；</w:t>
      </w:r>
    </w:p>
    <w:p>
      <w:pPr>
        <w:ind w:left="779"/>
        <w:spacing w:before="44" w:line="222" w:lineRule="auto"/>
        <w:rPr>
          <w:rFonts w:ascii="FangSong" w:hAnsi="FangSong" w:eastAsia="FangSong" w:cs="FangSong"/>
          <w:sz w:val="30"/>
          <w:szCs w:val="30"/>
        </w:rPr>
      </w:pPr>
      <w:r>
        <w:rPr>
          <w:rFonts w:ascii="FangSong" w:hAnsi="FangSong" w:eastAsia="FangSong" w:cs="FangSong"/>
          <w:sz w:val="30"/>
          <w:szCs w:val="30"/>
          <w:spacing w:val="23"/>
        </w:rPr>
        <w:t>(三)职业病危害控制效果放射防护评价报告；</w:t>
      </w:r>
    </w:p>
    <w:p>
      <w:pPr>
        <w:ind w:firstLine="779"/>
        <w:spacing w:before="105" w:line="246" w:lineRule="auto"/>
        <w:rPr>
          <w:rFonts w:ascii="FangSong" w:hAnsi="FangSong" w:eastAsia="FangSong" w:cs="FangSong"/>
          <w:sz w:val="30"/>
          <w:szCs w:val="30"/>
        </w:rPr>
      </w:pPr>
      <w:r>
        <w:rPr>
          <w:rFonts w:ascii="FangSong" w:hAnsi="FangSong" w:eastAsia="FangSong" w:cs="FangSong"/>
          <w:sz w:val="30"/>
          <w:szCs w:val="30"/>
          <w:spacing w:val="21"/>
        </w:rPr>
        <w:t>(四)放射诊疗建设项目验收报告。立体定向放射治疗、质子治</w:t>
      </w:r>
      <w:r>
        <w:rPr>
          <w:rFonts w:ascii="FangSong" w:hAnsi="FangSong" w:eastAsia="FangSong" w:cs="FangSong"/>
          <w:sz w:val="30"/>
          <w:szCs w:val="30"/>
          <w:spacing w:val="20"/>
        </w:rPr>
        <w:t>疗、重离子治疗、带回旋加速器</w:t>
      </w:r>
      <w:r>
        <w:rPr>
          <w:rFonts w:ascii="FangSong" w:hAnsi="FangSong" w:eastAsia="FangSong" w:cs="FangSong"/>
          <w:sz w:val="30"/>
          <w:szCs w:val="30"/>
        </w:rPr>
        <w:t xml:space="preserve"> </w:t>
      </w:r>
      <w:r>
        <w:rPr>
          <w:rFonts w:ascii="FangSong" w:hAnsi="FangSong" w:eastAsia="FangSong" w:cs="FangSong"/>
          <w:sz w:val="30"/>
          <w:szCs w:val="30"/>
          <w:spacing w:val="16"/>
        </w:rPr>
        <w:t>的正电子发射断层扫描诊断等放射诊疗建设项目，应当提交卫生部指定的放射卫生技术机构出具的职</w:t>
      </w:r>
      <w:r>
        <w:rPr>
          <w:rFonts w:ascii="FangSong" w:hAnsi="FangSong" w:eastAsia="FangSong" w:cs="FangSong"/>
          <w:sz w:val="30"/>
          <w:szCs w:val="30"/>
          <w:spacing w:val="2"/>
        </w:rPr>
        <w:t xml:space="preserve"> </w:t>
      </w:r>
      <w:r>
        <w:rPr>
          <w:rFonts w:ascii="FangSong" w:hAnsi="FangSong" w:eastAsia="FangSong" w:cs="FangSong"/>
          <w:sz w:val="30"/>
          <w:szCs w:val="30"/>
          <w:spacing w:val="16"/>
        </w:rPr>
        <w:t>业病危害控制效果评价报告技术审查意见和设备性能检测报告。</w:t>
      </w:r>
    </w:p>
    <w:p>
      <w:pPr>
        <w:spacing w:line="246" w:lineRule="auto"/>
        <w:sectPr>
          <w:footerReference w:type="default" r:id="rId602"/>
          <w:pgSz w:w="16830" w:h="11900"/>
          <w:pgMar w:top="1011" w:right="1450" w:bottom="1107" w:left="1430" w:header="0" w:footer="774" w:gutter="0"/>
        </w:sectPr>
        <w:rPr>
          <w:rFonts w:ascii="FangSong" w:hAnsi="FangSong" w:eastAsia="FangSong" w:cs="FangSong"/>
          <w:sz w:val="30"/>
          <w:szCs w:val="30"/>
        </w:rPr>
      </w:pPr>
    </w:p>
    <w:p>
      <w:pPr>
        <w:pStyle w:val="BodyText"/>
        <w:spacing w:line="263" w:lineRule="auto"/>
        <w:rPr/>
      </w:pPr>
      <w:r/>
    </w:p>
    <w:p>
      <w:pPr>
        <w:pStyle w:val="BodyText"/>
        <w:spacing w:line="263" w:lineRule="auto"/>
        <w:rPr/>
      </w:pPr>
      <w:r/>
    </w:p>
    <w:p>
      <w:pPr>
        <w:pStyle w:val="BodyText"/>
        <w:spacing w:line="264" w:lineRule="auto"/>
        <w:rPr/>
      </w:pPr>
      <w:r/>
    </w:p>
    <w:p>
      <w:pPr>
        <w:ind w:left="6439"/>
        <w:spacing w:before="91" w:line="220" w:lineRule="auto"/>
        <w:rPr>
          <w:rFonts w:ascii="SimSun" w:hAnsi="SimSun" w:eastAsia="SimSun" w:cs="SimSun"/>
          <w:sz w:val="28"/>
          <w:szCs w:val="28"/>
        </w:rPr>
      </w:pPr>
      <w:bookmarkStart w:name="bookmark1230" w:id="608"/>
      <w:bookmarkEnd w:id="608"/>
      <w:r>
        <w:rPr>
          <w:rFonts w:ascii="SimSun" w:hAnsi="SimSun" w:eastAsia="SimSun" w:cs="SimSun"/>
          <w:sz w:val="28"/>
          <w:szCs w:val="28"/>
          <w:b/>
          <w:bCs/>
          <w:spacing w:val="-6"/>
        </w:rPr>
        <w:t>裁量标准</w:t>
      </w:r>
    </w:p>
    <w:p>
      <w:pPr>
        <w:spacing w:line="31" w:lineRule="auto"/>
        <w:rPr>
          <w:rFonts w:ascii="Arial"/>
          <w:sz w:val="2"/>
        </w:rPr>
      </w:pPr>
      <w:r>
        <w:rPr>
          <w:rFonts w:ascii="Arial"/>
          <w:sz w:val="2"/>
        </w:rPr>
      </w:r>
    </w:p>
    <w:tbl>
      <w:tblPr>
        <w:tblStyle w:val="TableNormal"/>
        <w:tblW w:w="14001"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94"/>
        <w:gridCol w:w="7265"/>
        <w:gridCol w:w="4942"/>
      </w:tblGrid>
      <w:tr>
        <w:trPr>
          <w:trHeight w:val="663" w:hRule="atLeast"/>
        </w:trPr>
        <w:tc>
          <w:tcPr>
            <w:tcW w:w="1794" w:type="dxa"/>
            <w:vAlign w:val="top"/>
          </w:tcPr>
          <w:p>
            <w:pPr>
              <w:pStyle w:val="TableText"/>
              <w:ind w:left="388"/>
              <w:spacing w:before="212" w:line="220" w:lineRule="auto"/>
              <w:rPr>
                <w:sz w:val="25"/>
                <w:szCs w:val="25"/>
              </w:rPr>
            </w:pPr>
            <w:r>
              <w:rPr>
                <w:sz w:val="25"/>
                <w:szCs w:val="25"/>
                <w:b/>
                <w:bCs/>
                <w:spacing w:val="-5"/>
              </w:rPr>
              <w:t>违法程度</w:t>
            </w:r>
          </w:p>
        </w:tc>
        <w:tc>
          <w:tcPr>
            <w:tcW w:w="7265" w:type="dxa"/>
            <w:vAlign w:val="top"/>
          </w:tcPr>
          <w:p>
            <w:pPr>
              <w:pStyle w:val="TableText"/>
              <w:ind w:left="3084"/>
              <w:spacing w:before="212" w:line="220" w:lineRule="auto"/>
              <w:rPr>
                <w:sz w:val="25"/>
                <w:szCs w:val="25"/>
              </w:rPr>
            </w:pPr>
            <w:r>
              <w:rPr>
                <w:sz w:val="25"/>
                <w:szCs w:val="25"/>
                <w:b/>
                <w:bCs/>
                <w:spacing w:val="-5"/>
              </w:rPr>
              <w:t>情节后果</w:t>
            </w:r>
          </w:p>
        </w:tc>
        <w:tc>
          <w:tcPr>
            <w:tcW w:w="4942" w:type="dxa"/>
            <w:vAlign w:val="top"/>
          </w:tcPr>
          <w:p>
            <w:pPr>
              <w:pStyle w:val="TableText"/>
              <w:ind w:left="1909"/>
              <w:spacing w:before="209" w:line="218" w:lineRule="auto"/>
              <w:rPr>
                <w:sz w:val="25"/>
                <w:szCs w:val="25"/>
              </w:rPr>
            </w:pPr>
            <w:r>
              <w:rPr>
                <w:sz w:val="25"/>
                <w:szCs w:val="25"/>
                <w:b/>
                <w:bCs/>
                <w:spacing w:val="-5"/>
              </w:rPr>
              <w:t>裁量幅度</w:t>
            </w:r>
          </w:p>
        </w:tc>
      </w:tr>
      <w:tr>
        <w:trPr>
          <w:trHeight w:val="718" w:hRule="atLeast"/>
        </w:trPr>
        <w:tc>
          <w:tcPr>
            <w:tcW w:w="1794" w:type="dxa"/>
            <w:vAlign w:val="top"/>
          </w:tcPr>
          <w:p>
            <w:pPr>
              <w:pStyle w:val="TableText"/>
              <w:ind w:left="638"/>
              <w:spacing w:before="240" w:line="221" w:lineRule="auto"/>
              <w:rPr>
                <w:sz w:val="25"/>
                <w:szCs w:val="25"/>
              </w:rPr>
            </w:pPr>
            <w:r>
              <w:rPr>
                <w:sz w:val="25"/>
                <w:szCs w:val="25"/>
                <w:b/>
                <w:bCs/>
                <w:spacing w:val="-10"/>
              </w:rPr>
              <w:t>一般</w:t>
            </w:r>
          </w:p>
        </w:tc>
        <w:tc>
          <w:tcPr>
            <w:tcW w:w="7265" w:type="dxa"/>
            <w:vAlign w:val="top"/>
          </w:tcPr>
          <w:p>
            <w:pPr>
              <w:pStyle w:val="TableText"/>
              <w:ind w:left="121" w:firstLine="9"/>
              <w:spacing w:before="82" w:line="231" w:lineRule="auto"/>
              <w:rPr>
                <w:sz w:val="25"/>
                <w:szCs w:val="25"/>
              </w:rPr>
            </w:pPr>
            <w:r>
              <w:rPr>
                <w:sz w:val="25"/>
                <w:szCs w:val="25"/>
              </w:rPr>
              <w:t>未按规定对放射性职业病危害一般的建设项目(不含CT、DSA</w:t>
            </w:r>
            <w:r>
              <w:rPr>
                <w:sz w:val="25"/>
                <w:szCs w:val="25"/>
                <w:spacing w:val="-1"/>
              </w:rPr>
              <w:t>)进行</w:t>
            </w:r>
            <w:r>
              <w:rPr>
                <w:sz w:val="25"/>
                <w:szCs w:val="25"/>
              </w:rPr>
              <w:t xml:space="preserve"> </w:t>
            </w:r>
            <w:r>
              <w:rPr>
                <w:sz w:val="25"/>
                <w:szCs w:val="25"/>
              </w:rPr>
              <w:t>职业病危害控制效果评价，经警告，逾期不改正的</w:t>
            </w:r>
          </w:p>
        </w:tc>
        <w:tc>
          <w:tcPr>
            <w:tcW w:w="4942" w:type="dxa"/>
            <w:vAlign w:val="top"/>
          </w:tcPr>
          <w:p>
            <w:pPr>
              <w:pStyle w:val="TableText"/>
              <w:ind w:left="126"/>
              <w:spacing w:before="242" w:line="220" w:lineRule="auto"/>
              <w:rPr>
                <w:sz w:val="25"/>
                <w:szCs w:val="25"/>
              </w:rPr>
            </w:pPr>
            <w:r>
              <w:rPr>
                <w:sz w:val="25"/>
                <w:szCs w:val="25"/>
              </w:rPr>
              <w:t>处十万元以上十五万元以下的罚款</w:t>
            </w:r>
          </w:p>
        </w:tc>
      </w:tr>
      <w:tr>
        <w:trPr>
          <w:trHeight w:val="689" w:hRule="atLeast"/>
        </w:trPr>
        <w:tc>
          <w:tcPr>
            <w:tcW w:w="1794" w:type="dxa"/>
            <w:vAlign w:val="top"/>
          </w:tcPr>
          <w:p>
            <w:pPr>
              <w:pStyle w:val="TableText"/>
              <w:ind w:left="638"/>
              <w:spacing w:before="224" w:line="221" w:lineRule="auto"/>
              <w:rPr>
                <w:sz w:val="25"/>
                <w:szCs w:val="25"/>
              </w:rPr>
            </w:pPr>
            <w:r>
              <w:rPr>
                <w:sz w:val="25"/>
                <w:szCs w:val="25"/>
                <w:b/>
                <w:bCs/>
                <w:spacing w:val="-6"/>
              </w:rPr>
              <w:t>较重</w:t>
            </w:r>
          </w:p>
        </w:tc>
        <w:tc>
          <w:tcPr>
            <w:tcW w:w="7265" w:type="dxa"/>
            <w:vAlign w:val="top"/>
          </w:tcPr>
          <w:p>
            <w:pPr>
              <w:pStyle w:val="TableText"/>
              <w:ind w:left="121"/>
              <w:spacing w:before="222" w:line="218" w:lineRule="auto"/>
              <w:rPr>
                <w:sz w:val="25"/>
                <w:szCs w:val="25"/>
              </w:rPr>
            </w:pPr>
            <w:r>
              <w:rPr>
                <w:sz w:val="25"/>
                <w:szCs w:val="25"/>
                <w:spacing w:val="1"/>
              </w:rPr>
              <w:t>未按规定对</w:t>
            </w:r>
            <w:r>
              <w:rPr>
                <w:sz w:val="25"/>
                <w:szCs w:val="25"/>
              </w:rPr>
              <w:t>CT</w:t>
            </w:r>
            <w:r>
              <w:rPr>
                <w:sz w:val="25"/>
                <w:szCs w:val="25"/>
                <w:spacing w:val="1"/>
              </w:rPr>
              <w:t>或</w:t>
            </w:r>
            <w:r>
              <w:rPr>
                <w:sz w:val="25"/>
                <w:szCs w:val="25"/>
              </w:rPr>
              <w:t>DSA</w:t>
            </w:r>
            <w:r>
              <w:rPr>
                <w:sz w:val="25"/>
                <w:szCs w:val="25"/>
                <w:spacing w:val="1"/>
              </w:rPr>
              <w:t>建设项目进行职业病危害控制效果评价的</w:t>
            </w:r>
          </w:p>
        </w:tc>
        <w:tc>
          <w:tcPr>
            <w:tcW w:w="4942" w:type="dxa"/>
            <w:vAlign w:val="top"/>
          </w:tcPr>
          <w:p>
            <w:pPr>
              <w:pStyle w:val="TableText"/>
              <w:ind w:left="126"/>
              <w:spacing w:before="225" w:line="220" w:lineRule="auto"/>
              <w:rPr>
                <w:sz w:val="25"/>
                <w:szCs w:val="25"/>
              </w:rPr>
            </w:pPr>
            <w:r>
              <w:rPr>
                <w:sz w:val="25"/>
                <w:szCs w:val="25"/>
              </w:rPr>
              <w:t>处十五万元以上二十万元以下的罚款</w:t>
            </w:r>
          </w:p>
        </w:tc>
      </w:tr>
      <w:tr>
        <w:trPr>
          <w:trHeight w:val="838" w:hRule="atLeast"/>
        </w:trPr>
        <w:tc>
          <w:tcPr>
            <w:tcW w:w="1794" w:type="dxa"/>
            <w:vAlign w:val="top"/>
          </w:tcPr>
          <w:p>
            <w:pPr>
              <w:pStyle w:val="TableText"/>
              <w:ind w:left="638"/>
              <w:spacing w:before="302" w:line="220" w:lineRule="auto"/>
              <w:rPr>
                <w:sz w:val="25"/>
                <w:szCs w:val="25"/>
              </w:rPr>
            </w:pPr>
            <w:r>
              <w:rPr>
                <w:sz w:val="25"/>
                <w:szCs w:val="25"/>
                <w:b/>
                <w:bCs/>
                <w:spacing w:val="-6"/>
              </w:rPr>
              <w:t>严重</w:t>
            </w:r>
          </w:p>
        </w:tc>
        <w:tc>
          <w:tcPr>
            <w:tcW w:w="7265" w:type="dxa"/>
            <w:vAlign w:val="top"/>
          </w:tcPr>
          <w:p>
            <w:pPr>
              <w:pStyle w:val="TableText"/>
              <w:ind w:left="121"/>
              <w:spacing w:before="145" w:line="252" w:lineRule="auto"/>
              <w:rPr>
                <w:sz w:val="25"/>
                <w:szCs w:val="25"/>
              </w:rPr>
            </w:pPr>
            <w:r>
              <w:rPr>
                <w:sz w:val="25"/>
                <w:szCs w:val="25"/>
                <w:spacing w:val="-4"/>
              </w:rPr>
              <w:t>未按规定对放射性职业病危害严重的建设项目进行职业病危害</w:t>
            </w:r>
            <w:r>
              <w:rPr>
                <w:sz w:val="25"/>
                <w:szCs w:val="25"/>
                <w:spacing w:val="-5"/>
              </w:rPr>
              <w:t>控制</w:t>
            </w:r>
            <w:r>
              <w:rPr>
                <w:sz w:val="25"/>
                <w:szCs w:val="25"/>
              </w:rPr>
              <w:t xml:space="preserve"> </w:t>
            </w:r>
            <w:r>
              <w:rPr>
                <w:sz w:val="25"/>
                <w:szCs w:val="25"/>
              </w:rPr>
              <w:t>效果评价，建设项目数目为1-2项，经警告，逾期不改正的</w:t>
            </w:r>
          </w:p>
        </w:tc>
        <w:tc>
          <w:tcPr>
            <w:tcW w:w="4942" w:type="dxa"/>
            <w:vAlign w:val="top"/>
          </w:tcPr>
          <w:p>
            <w:pPr>
              <w:pStyle w:val="TableText"/>
              <w:ind w:left="126"/>
              <w:spacing w:before="305" w:line="220" w:lineRule="auto"/>
              <w:rPr>
                <w:sz w:val="25"/>
                <w:szCs w:val="25"/>
              </w:rPr>
            </w:pPr>
            <w:r>
              <w:rPr>
                <w:sz w:val="25"/>
                <w:szCs w:val="25"/>
              </w:rPr>
              <w:t>处二十万元以上五十万元以下的罚款</w:t>
            </w:r>
          </w:p>
        </w:tc>
      </w:tr>
      <w:tr>
        <w:trPr>
          <w:trHeight w:val="2041" w:hRule="atLeast"/>
        </w:trPr>
        <w:tc>
          <w:tcPr>
            <w:tcW w:w="1794" w:type="dxa"/>
            <w:vAlign w:val="top"/>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TableText"/>
              <w:ind w:left="388"/>
              <w:spacing w:before="81" w:line="219" w:lineRule="auto"/>
              <w:rPr>
                <w:sz w:val="25"/>
                <w:szCs w:val="25"/>
              </w:rPr>
            </w:pPr>
            <w:r>
              <w:rPr>
                <w:sz w:val="25"/>
                <w:szCs w:val="25"/>
                <w:b/>
                <w:bCs/>
                <w:spacing w:val="-5"/>
              </w:rPr>
              <w:t>特别严重</w:t>
            </w:r>
          </w:p>
        </w:tc>
        <w:tc>
          <w:tcPr>
            <w:tcW w:w="7265" w:type="dxa"/>
            <w:vAlign w:val="top"/>
          </w:tcPr>
          <w:p>
            <w:pPr>
              <w:pStyle w:val="TableText"/>
              <w:ind w:left="121"/>
              <w:spacing w:before="78" w:line="220" w:lineRule="auto"/>
              <w:rPr>
                <w:sz w:val="25"/>
                <w:szCs w:val="25"/>
              </w:rPr>
            </w:pPr>
            <w:r>
              <w:rPr>
                <w:sz w:val="25"/>
                <w:szCs w:val="25"/>
                <w:spacing w:val="6"/>
              </w:rPr>
              <w:t>有下列情形之一：</w:t>
            </w:r>
          </w:p>
          <w:p>
            <w:pPr>
              <w:pStyle w:val="TableText"/>
              <w:ind w:left="121"/>
              <w:spacing w:before="41" w:line="238" w:lineRule="auto"/>
              <w:rPr>
                <w:sz w:val="25"/>
                <w:szCs w:val="25"/>
              </w:rPr>
            </w:pPr>
            <w:r>
              <w:rPr>
                <w:sz w:val="25"/>
                <w:szCs w:val="25"/>
                <w:spacing w:val="-4"/>
              </w:rPr>
              <w:t>A.未按规定未按照规定对放射性职业病危害严重的建设项目进行职</w:t>
            </w:r>
            <w:r>
              <w:rPr>
                <w:sz w:val="25"/>
                <w:szCs w:val="25"/>
                <w:spacing w:val="2"/>
              </w:rPr>
              <w:t xml:space="preserve"> </w:t>
            </w:r>
            <w:r>
              <w:rPr>
                <w:sz w:val="25"/>
                <w:szCs w:val="25"/>
              </w:rPr>
              <w:t>业病危害控制效果评价，建设项目数目为3项及以上，经警告，逾</w:t>
            </w:r>
            <w:r>
              <w:rPr>
                <w:sz w:val="25"/>
                <w:szCs w:val="25"/>
                <w:spacing w:val="5"/>
              </w:rPr>
              <w:t xml:space="preserve"> </w:t>
            </w:r>
            <w:r>
              <w:rPr>
                <w:sz w:val="25"/>
                <w:szCs w:val="25"/>
                <w:spacing w:val="3"/>
              </w:rPr>
              <w:t>期不改正的</w:t>
            </w:r>
          </w:p>
          <w:p>
            <w:pPr>
              <w:pStyle w:val="TableText"/>
              <w:ind w:left="121"/>
              <w:spacing w:before="53" w:line="219" w:lineRule="auto"/>
              <w:rPr>
                <w:sz w:val="25"/>
                <w:szCs w:val="25"/>
              </w:rPr>
            </w:pPr>
            <w:r>
              <w:rPr>
                <w:sz w:val="25"/>
                <w:szCs w:val="25"/>
                <w:spacing w:val="-4"/>
              </w:rPr>
              <w:t>B.未按规定对可能产生放射性职业病危害的建设项目进行职业病危</w:t>
            </w:r>
            <w:r>
              <w:rPr>
                <w:sz w:val="25"/>
                <w:szCs w:val="25"/>
                <w:spacing w:val="2"/>
              </w:rPr>
              <w:t xml:space="preserve"> </w:t>
            </w:r>
            <w:r>
              <w:rPr>
                <w:sz w:val="25"/>
                <w:szCs w:val="25"/>
              </w:rPr>
              <w:t>害控制效果评价，经警告，逾期不改正的，造成严重后果的</w:t>
            </w:r>
          </w:p>
        </w:tc>
        <w:tc>
          <w:tcPr>
            <w:tcW w:w="4942" w:type="dxa"/>
            <w:vAlign w:val="top"/>
          </w:tcPr>
          <w:p>
            <w:pPr>
              <w:spacing w:line="251" w:lineRule="auto"/>
              <w:rPr>
                <w:rFonts w:ascii="Arial"/>
                <w:sz w:val="21"/>
              </w:rPr>
            </w:pPr>
            <w:r/>
          </w:p>
          <w:p>
            <w:pPr>
              <w:spacing w:line="251" w:lineRule="auto"/>
              <w:rPr>
                <w:rFonts w:ascii="Arial"/>
                <w:sz w:val="21"/>
              </w:rPr>
            </w:pPr>
            <w:r/>
          </w:p>
          <w:p>
            <w:pPr>
              <w:pStyle w:val="TableText"/>
              <w:ind w:left="126" w:firstLine="10"/>
              <w:spacing w:before="82" w:line="252" w:lineRule="auto"/>
              <w:jc w:val="both"/>
              <w:rPr>
                <w:sz w:val="25"/>
                <w:szCs w:val="25"/>
              </w:rPr>
            </w:pPr>
            <w:r>
              <w:rPr>
                <w:sz w:val="25"/>
                <w:szCs w:val="25"/>
                <w:spacing w:val="-11"/>
              </w:rPr>
              <w:t>处五十万元的罚款，责令停止产生职业病危害</w:t>
            </w:r>
            <w:r>
              <w:rPr>
                <w:sz w:val="25"/>
                <w:szCs w:val="25"/>
                <w:spacing w:val="14"/>
              </w:rPr>
              <w:t xml:space="preserve"> </w:t>
            </w:r>
            <w:r>
              <w:rPr>
                <w:sz w:val="25"/>
                <w:szCs w:val="25"/>
              </w:rPr>
              <w:t>的作业或者提请有关人民政府按照国务院规</w:t>
            </w:r>
            <w:r>
              <w:rPr>
                <w:sz w:val="25"/>
                <w:szCs w:val="25"/>
                <w:spacing w:val="9"/>
              </w:rPr>
              <w:t xml:space="preserve"> </w:t>
            </w:r>
            <w:r>
              <w:rPr>
                <w:sz w:val="25"/>
                <w:szCs w:val="25"/>
                <w:spacing w:val="1"/>
              </w:rPr>
              <w:t>定的权限责令停建、关闭</w:t>
            </w:r>
          </w:p>
        </w:tc>
      </w:tr>
    </w:tbl>
    <w:p>
      <w:pPr>
        <w:pStyle w:val="BodyText"/>
        <w:spacing w:line="436" w:lineRule="auto"/>
        <w:rPr/>
      </w:pPr>
      <w:r/>
    </w:p>
    <w:p>
      <w:pPr>
        <w:ind w:left="39" w:right="39" w:firstLine="649"/>
        <w:spacing w:before="98" w:line="274" w:lineRule="auto"/>
        <w:rPr>
          <w:rFonts w:ascii="FangSong" w:hAnsi="FangSong" w:eastAsia="FangSong" w:cs="FangSong"/>
          <w:sz w:val="30"/>
          <w:szCs w:val="30"/>
        </w:rPr>
      </w:pPr>
      <w:r>
        <w:rPr>
          <w:rFonts w:ascii="FangSong" w:hAnsi="FangSong" w:eastAsia="FangSong" w:cs="FangSong"/>
          <w:sz w:val="30"/>
          <w:szCs w:val="30"/>
          <w:b/>
          <w:bCs/>
          <w:spacing w:val="21"/>
        </w:rPr>
        <w:t>第五百七十八条可能产生放射性职业病危害的建设项目竣工投入生产和使</w:t>
      </w:r>
      <w:r>
        <w:rPr>
          <w:rFonts w:ascii="FangSong" w:hAnsi="FangSong" w:eastAsia="FangSong" w:cs="FangSong"/>
          <w:sz w:val="30"/>
          <w:szCs w:val="30"/>
          <w:b/>
          <w:bCs/>
          <w:spacing w:val="20"/>
        </w:rPr>
        <w:t>用前，职业病防护设</w:t>
      </w:r>
      <w:r>
        <w:rPr>
          <w:rFonts w:ascii="FangSong" w:hAnsi="FangSong" w:eastAsia="FangSong" w:cs="FangSong"/>
          <w:sz w:val="30"/>
          <w:szCs w:val="30"/>
        </w:rPr>
        <w:t xml:space="preserve"> </w:t>
      </w:r>
      <w:r>
        <w:rPr>
          <w:rFonts w:ascii="FangSong" w:hAnsi="FangSong" w:eastAsia="FangSong" w:cs="FangSong"/>
          <w:sz w:val="30"/>
          <w:szCs w:val="30"/>
          <w:b/>
          <w:bCs/>
          <w:spacing w:val="16"/>
        </w:rPr>
        <w:t>施未按照规定验收合格的</w:t>
      </w:r>
    </w:p>
    <w:p>
      <w:pPr>
        <w:ind w:left="654"/>
        <w:spacing w:before="16"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ind w:left="25" w:right="52" w:firstLine="660"/>
        <w:spacing w:before="75" w:line="289" w:lineRule="auto"/>
        <w:rPr>
          <w:rFonts w:ascii="FangSong" w:hAnsi="FangSong" w:eastAsia="FangSong" w:cs="FangSong"/>
          <w:sz w:val="30"/>
          <w:szCs w:val="30"/>
        </w:rPr>
      </w:pPr>
      <w:r>
        <w:rPr>
          <w:rFonts w:ascii="FangSong" w:hAnsi="FangSong" w:eastAsia="FangSong" w:cs="FangSong"/>
          <w:sz w:val="30"/>
          <w:szCs w:val="30"/>
          <w:spacing w:val="21"/>
        </w:rPr>
        <w:t>1.</w:t>
      </w:r>
      <w:r>
        <w:rPr>
          <w:rFonts w:ascii="FangSong" w:hAnsi="FangSong" w:eastAsia="FangSong" w:cs="FangSong"/>
          <w:sz w:val="30"/>
          <w:szCs w:val="30"/>
          <w:spacing w:val="21"/>
        </w:rPr>
        <w:t xml:space="preserve"> </w:t>
      </w:r>
      <w:r>
        <w:rPr>
          <w:rFonts w:ascii="FangSong" w:hAnsi="FangSong" w:eastAsia="FangSong" w:cs="FangSong"/>
          <w:sz w:val="30"/>
          <w:szCs w:val="30"/>
          <w:spacing w:val="21"/>
        </w:rPr>
        <w:t>《中华人民共和国职业病防治法》第六十九条第(六)项</w:t>
      </w:r>
      <w:r>
        <w:rPr>
          <w:rFonts w:ascii="FangSong" w:hAnsi="FangSong" w:eastAsia="FangSong" w:cs="FangSong"/>
          <w:sz w:val="30"/>
          <w:szCs w:val="30"/>
          <w:spacing w:val="21"/>
        </w:rPr>
        <w:t xml:space="preserve">   </w:t>
      </w:r>
      <w:r>
        <w:rPr>
          <w:rFonts w:ascii="FangSong" w:hAnsi="FangSong" w:eastAsia="FangSong" w:cs="FangSong"/>
          <w:sz w:val="30"/>
          <w:szCs w:val="30"/>
          <w:spacing w:val="21"/>
        </w:rPr>
        <w:t>建设单位违反本法规定，有下列</w:t>
      </w:r>
      <w:r>
        <w:rPr>
          <w:rFonts w:ascii="FangSong" w:hAnsi="FangSong" w:eastAsia="FangSong" w:cs="FangSong"/>
          <w:sz w:val="30"/>
          <w:szCs w:val="30"/>
          <w:spacing w:val="17"/>
        </w:rPr>
        <w:t xml:space="preserve"> </w:t>
      </w:r>
      <w:r>
        <w:rPr>
          <w:rFonts w:ascii="FangSong" w:hAnsi="FangSong" w:eastAsia="FangSong" w:cs="FangSong"/>
          <w:sz w:val="30"/>
          <w:szCs w:val="30"/>
          <w:spacing w:val="17"/>
        </w:rPr>
        <w:t>行为之一的，由卫生行政部门给予警告，责令限期改正；逾期不</w:t>
      </w:r>
      <w:r>
        <w:rPr>
          <w:rFonts w:ascii="FangSong" w:hAnsi="FangSong" w:eastAsia="FangSong" w:cs="FangSong"/>
          <w:sz w:val="30"/>
          <w:szCs w:val="30"/>
          <w:spacing w:val="16"/>
        </w:rPr>
        <w:t>改正的，处十万元以上五十万元以下</w:t>
      </w:r>
    </w:p>
    <w:p>
      <w:pPr>
        <w:spacing w:line="289" w:lineRule="auto"/>
        <w:sectPr>
          <w:footerReference w:type="default" r:id="rId603"/>
          <w:pgSz w:w="16830" w:h="11900"/>
          <w:pgMar w:top="1011" w:right="1404" w:bottom="1117" w:left="1414" w:header="0" w:footer="784" w:gutter="0"/>
        </w:sectPr>
        <w:rPr>
          <w:rFonts w:ascii="FangSong" w:hAnsi="FangSong" w:eastAsia="FangSong" w:cs="FangSong"/>
          <w:sz w:val="30"/>
          <w:szCs w:val="30"/>
        </w:rPr>
      </w:pPr>
    </w:p>
    <w:p>
      <w:pPr>
        <w:pStyle w:val="BodyText"/>
        <w:spacing w:line="260" w:lineRule="auto"/>
        <w:rPr/>
      </w:pPr>
      <w:r/>
    </w:p>
    <w:p>
      <w:pPr>
        <w:pStyle w:val="BodyText"/>
        <w:spacing w:line="260" w:lineRule="auto"/>
        <w:rPr/>
      </w:pPr>
      <w:r/>
    </w:p>
    <w:p>
      <w:pPr>
        <w:pStyle w:val="BodyText"/>
        <w:spacing w:line="261" w:lineRule="auto"/>
        <w:rPr/>
      </w:pPr>
      <w:r/>
    </w:p>
    <w:p>
      <w:pPr>
        <w:ind w:left="5" w:right="65"/>
        <w:spacing w:before="97" w:line="278" w:lineRule="auto"/>
        <w:rPr>
          <w:rFonts w:ascii="FangSong" w:hAnsi="FangSong" w:eastAsia="FangSong" w:cs="FangSong"/>
          <w:sz w:val="30"/>
          <w:szCs w:val="30"/>
        </w:rPr>
      </w:pPr>
      <w:r>
        <w:rPr>
          <w:rFonts w:ascii="FangSong" w:hAnsi="FangSong" w:eastAsia="FangSong" w:cs="FangSong"/>
          <w:sz w:val="30"/>
          <w:szCs w:val="30"/>
          <w:spacing w:val="17"/>
        </w:rPr>
        <w:t>的罚款；情节严重的，责令停止产生职业病危害的作业</w:t>
      </w:r>
      <w:r>
        <w:rPr>
          <w:rFonts w:ascii="FangSong" w:hAnsi="FangSong" w:eastAsia="FangSong" w:cs="FangSong"/>
          <w:sz w:val="30"/>
          <w:szCs w:val="30"/>
          <w:spacing w:val="16"/>
        </w:rPr>
        <w:t>，或者提请有关人民政府按照国务院规定的权</w:t>
      </w:r>
      <w:r>
        <w:rPr>
          <w:rFonts w:ascii="FangSong" w:hAnsi="FangSong" w:eastAsia="FangSong" w:cs="FangSong"/>
          <w:sz w:val="30"/>
          <w:szCs w:val="30"/>
        </w:rPr>
        <w:t xml:space="preserve"> </w:t>
      </w:r>
      <w:r>
        <w:rPr>
          <w:rFonts w:ascii="FangSong" w:hAnsi="FangSong" w:eastAsia="FangSong" w:cs="FangSong"/>
          <w:sz w:val="30"/>
          <w:szCs w:val="30"/>
          <w:spacing w:val="8"/>
        </w:rPr>
        <w:t>限责令停建、关闭：</w:t>
      </w:r>
    </w:p>
    <w:p>
      <w:pPr>
        <w:ind w:left="774"/>
        <w:spacing w:line="221" w:lineRule="auto"/>
        <w:rPr>
          <w:rFonts w:ascii="FangSong" w:hAnsi="FangSong" w:eastAsia="FangSong" w:cs="FangSong"/>
          <w:sz w:val="30"/>
          <w:szCs w:val="30"/>
        </w:rPr>
      </w:pPr>
      <w:r>
        <w:rPr>
          <w:rFonts w:ascii="FangSong" w:hAnsi="FangSong" w:eastAsia="FangSong" w:cs="FangSong"/>
          <w:sz w:val="30"/>
          <w:szCs w:val="30"/>
          <w:spacing w:val="22"/>
        </w:rPr>
        <w:t>(六)建设项目竣工投入生产和使用前，职业病防护设施未按照规定验收合格的。</w:t>
      </w:r>
    </w:p>
    <w:p>
      <w:pPr>
        <w:ind w:left="5" w:right="92" w:firstLine="629"/>
        <w:spacing w:before="48" w:line="252" w:lineRule="auto"/>
        <w:rPr>
          <w:rFonts w:ascii="FangSong" w:hAnsi="FangSong" w:eastAsia="FangSong" w:cs="FangSong"/>
          <w:sz w:val="30"/>
          <w:szCs w:val="30"/>
        </w:rPr>
      </w:pPr>
      <w:r>
        <w:rPr>
          <w:rFonts w:ascii="FangSong" w:hAnsi="FangSong" w:eastAsia="FangSong" w:cs="FangSong"/>
          <w:sz w:val="30"/>
          <w:szCs w:val="30"/>
          <w:spacing w:val="13"/>
        </w:rPr>
        <w:t>2.</w:t>
      </w:r>
      <w:r>
        <w:rPr>
          <w:rFonts w:ascii="FangSong" w:hAnsi="FangSong" w:eastAsia="FangSong" w:cs="FangSong"/>
          <w:sz w:val="30"/>
          <w:szCs w:val="30"/>
          <w:spacing w:val="13"/>
        </w:rPr>
        <w:t xml:space="preserve"> </w:t>
      </w:r>
      <w:r>
        <w:rPr>
          <w:rFonts w:ascii="FangSong" w:hAnsi="FangSong" w:eastAsia="FangSong" w:cs="FangSong"/>
          <w:sz w:val="30"/>
          <w:szCs w:val="30"/>
          <w:spacing w:val="13"/>
        </w:rPr>
        <w:t>《中华人民共和国职业病防治法》第八十七条</w:t>
      </w:r>
      <w:r>
        <w:rPr>
          <w:rFonts w:ascii="FangSong" w:hAnsi="FangSong" w:eastAsia="FangSong" w:cs="FangSong"/>
          <w:sz w:val="30"/>
          <w:szCs w:val="30"/>
          <w:spacing w:val="43"/>
        </w:rPr>
        <w:t xml:space="preserve">   </w:t>
      </w:r>
      <w:r>
        <w:rPr>
          <w:rFonts w:ascii="FangSong" w:hAnsi="FangSong" w:eastAsia="FangSong" w:cs="FangSong"/>
          <w:sz w:val="30"/>
          <w:szCs w:val="30"/>
          <w:spacing w:val="13"/>
        </w:rPr>
        <w:t>对医疗机构放射性职业病危害控</w:t>
      </w:r>
      <w:r>
        <w:rPr>
          <w:rFonts w:ascii="FangSong" w:hAnsi="FangSong" w:eastAsia="FangSong" w:cs="FangSong"/>
          <w:sz w:val="30"/>
          <w:szCs w:val="30"/>
          <w:spacing w:val="12"/>
        </w:rPr>
        <w:t>制的监督管</w:t>
      </w:r>
      <w:r>
        <w:rPr>
          <w:rFonts w:ascii="FangSong" w:hAnsi="FangSong" w:eastAsia="FangSong" w:cs="FangSong"/>
          <w:sz w:val="30"/>
          <w:szCs w:val="30"/>
          <w:spacing w:val="1"/>
        </w:rPr>
        <w:t xml:space="preserve"> </w:t>
      </w:r>
      <w:r>
        <w:rPr>
          <w:rFonts w:ascii="FangSong" w:hAnsi="FangSong" w:eastAsia="FangSong" w:cs="FangSong"/>
          <w:sz w:val="30"/>
          <w:szCs w:val="30"/>
          <w:spacing w:val="15"/>
        </w:rPr>
        <w:t>理，由卫生行政部门依照本法的规定实施。</w:t>
      </w:r>
    </w:p>
    <w:p>
      <w:pPr>
        <w:ind w:left="5" w:right="185" w:firstLine="670"/>
        <w:spacing w:before="84" w:line="245" w:lineRule="auto"/>
        <w:rPr>
          <w:rFonts w:ascii="FangSong" w:hAnsi="FangSong" w:eastAsia="FangSong" w:cs="FangSong"/>
          <w:sz w:val="30"/>
          <w:szCs w:val="30"/>
        </w:rPr>
      </w:pPr>
      <w:r>
        <w:rPr>
          <w:rFonts w:ascii="FangSong" w:hAnsi="FangSong" w:eastAsia="FangSong" w:cs="FangSong"/>
          <w:sz w:val="30"/>
          <w:szCs w:val="30"/>
          <w:spacing w:val="12"/>
        </w:rPr>
        <w:t>3.</w:t>
      </w:r>
      <w:r>
        <w:rPr>
          <w:rFonts w:ascii="FangSong" w:hAnsi="FangSong" w:eastAsia="FangSong" w:cs="FangSong"/>
          <w:sz w:val="30"/>
          <w:szCs w:val="30"/>
          <w:spacing w:val="12"/>
        </w:rPr>
        <w:t xml:space="preserve"> </w:t>
      </w:r>
      <w:r>
        <w:rPr>
          <w:rFonts w:ascii="FangSong" w:hAnsi="FangSong" w:eastAsia="FangSong" w:cs="FangSong"/>
          <w:sz w:val="30"/>
          <w:szCs w:val="30"/>
          <w:spacing w:val="12"/>
        </w:rPr>
        <w:t>《放射诊疗管理规定》第四十条</w:t>
      </w:r>
      <w:r>
        <w:rPr>
          <w:rFonts w:ascii="FangSong" w:hAnsi="FangSong" w:eastAsia="FangSong" w:cs="FangSong"/>
          <w:sz w:val="30"/>
          <w:szCs w:val="30"/>
          <w:spacing w:val="12"/>
        </w:rPr>
        <w:t xml:space="preserve">   </w:t>
      </w:r>
      <w:r>
        <w:rPr>
          <w:rFonts w:ascii="FangSong" w:hAnsi="FangSong" w:eastAsia="FangSong" w:cs="FangSong"/>
          <w:sz w:val="30"/>
          <w:szCs w:val="30"/>
          <w:spacing w:val="12"/>
        </w:rPr>
        <w:t>医疗机构违反建设项目卫生审查、竣工验收有关规定的，</w:t>
      </w:r>
      <w:r>
        <w:rPr>
          <w:rFonts w:ascii="FangSong" w:hAnsi="FangSong" w:eastAsia="FangSong" w:cs="FangSong"/>
          <w:sz w:val="30"/>
          <w:szCs w:val="30"/>
        </w:rPr>
        <w:t xml:space="preserve"> </w:t>
      </w:r>
      <w:r>
        <w:rPr>
          <w:rFonts w:ascii="FangSong" w:hAnsi="FangSong" w:eastAsia="FangSong" w:cs="FangSong"/>
          <w:sz w:val="30"/>
          <w:szCs w:val="30"/>
          <w:spacing w:val="17"/>
        </w:rPr>
        <w:t>按照《中华人民共和国职业病防治法》的规定进行处罚。</w:t>
      </w:r>
    </w:p>
    <w:p>
      <w:pPr>
        <w:ind w:left="5" w:right="105" w:firstLine="670"/>
        <w:spacing w:before="78" w:line="246" w:lineRule="auto"/>
        <w:rPr>
          <w:rFonts w:ascii="FangSong" w:hAnsi="FangSong" w:eastAsia="FangSong" w:cs="FangSong"/>
          <w:sz w:val="30"/>
          <w:szCs w:val="30"/>
        </w:rPr>
      </w:pPr>
      <w:r>
        <w:rPr>
          <w:rFonts w:ascii="FangSong" w:hAnsi="FangSong" w:eastAsia="FangSong" w:cs="FangSong"/>
          <w:sz w:val="30"/>
          <w:szCs w:val="30"/>
          <w:spacing w:val="14"/>
        </w:rPr>
        <w:t>4.</w:t>
      </w:r>
      <w:r>
        <w:rPr>
          <w:rFonts w:ascii="FangSong" w:hAnsi="FangSong" w:eastAsia="FangSong" w:cs="FangSong"/>
          <w:sz w:val="30"/>
          <w:szCs w:val="30"/>
          <w:spacing w:val="14"/>
        </w:rPr>
        <w:t xml:space="preserve"> </w:t>
      </w:r>
      <w:r>
        <w:rPr>
          <w:rFonts w:ascii="FangSong" w:hAnsi="FangSong" w:eastAsia="FangSong" w:cs="FangSong"/>
          <w:sz w:val="30"/>
          <w:szCs w:val="30"/>
          <w:spacing w:val="14"/>
        </w:rPr>
        <w:t>《放射诊疗管理规定》第十三条</w:t>
      </w:r>
      <w:r>
        <w:rPr>
          <w:rFonts w:ascii="FangSong" w:hAnsi="FangSong" w:eastAsia="FangSong" w:cs="FangSong"/>
          <w:sz w:val="30"/>
          <w:szCs w:val="30"/>
          <w:spacing w:val="14"/>
        </w:rPr>
        <w:t xml:space="preserve">   </w:t>
      </w:r>
      <w:r>
        <w:rPr>
          <w:rFonts w:ascii="FangSong" w:hAnsi="FangSong" w:eastAsia="FangSong" w:cs="FangSong"/>
          <w:sz w:val="30"/>
          <w:szCs w:val="30"/>
          <w:spacing w:val="14"/>
        </w:rPr>
        <w:t>医疗机构在放射诊疗建设项目</w:t>
      </w:r>
      <w:r>
        <w:rPr>
          <w:rFonts w:ascii="FangSong" w:hAnsi="FangSong" w:eastAsia="FangSong" w:cs="FangSong"/>
          <w:sz w:val="30"/>
          <w:szCs w:val="30"/>
          <w:spacing w:val="13"/>
        </w:rPr>
        <w:t>竣工验收前，应当进行职业</w:t>
      </w:r>
      <w:r>
        <w:rPr>
          <w:rFonts w:ascii="FangSong" w:hAnsi="FangSong" w:eastAsia="FangSong" w:cs="FangSong"/>
          <w:sz w:val="30"/>
          <w:szCs w:val="30"/>
        </w:rPr>
        <w:t xml:space="preserve"> </w:t>
      </w:r>
      <w:r>
        <w:rPr>
          <w:rFonts w:ascii="FangSong" w:hAnsi="FangSong" w:eastAsia="FangSong" w:cs="FangSong"/>
          <w:sz w:val="30"/>
          <w:szCs w:val="30"/>
          <w:spacing w:val="17"/>
        </w:rPr>
        <w:t>病危害控制效果评价；并向相应的卫生行政部门提交下列资料，申请进行卫生验收：</w:t>
      </w:r>
    </w:p>
    <w:p>
      <w:pPr>
        <w:ind w:left="774"/>
        <w:spacing w:before="82" w:line="220" w:lineRule="auto"/>
        <w:rPr>
          <w:rFonts w:ascii="FangSong" w:hAnsi="FangSong" w:eastAsia="FangSong" w:cs="FangSong"/>
          <w:sz w:val="30"/>
          <w:szCs w:val="30"/>
        </w:rPr>
      </w:pPr>
      <w:r>
        <w:rPr>
          <w:rFonts w:ascii="FangSong" w:hAnsi="FangSong" w:eastAsia="FangSong" w:cs="FangSong"/>
          <w:sz w:val="30"/>
          <w:szCs w:val="30"/>
          <w:spacing w:val="24"/>
        </w:rPr>
        <w:t>(一)建设项目竣工卫生验收申请；</w:t>
      </w:r>
    </w:p>
    <w:p>
      <w:pPr>
        <w:ind w:left="774"/>
        <w:spacing w:before="83" w:line="220" w:lineRule="auto"/>
        <w:rPr>
          <w:rFonts w:ascii="FangSong" w:hAnsi="FangSong" w:eastAsia="FangSong" w:cs="FangSong"/>
          <w:sz w:val="30"/>
          <w:szCs w:val="30"/>
        </w:rPr>
      </w:pPr>
      <w:r>
        <w:rPr>
          <w:rFonts w:ascii="FangSong" w:hAnsi="FangSong" w:eastAsia="FangSong" w:cs="FangSong"/>
          <w:sz w:val="30"/>
          <w:szCs w:val="30"/>
          <w:spacing w:val="25"/>
        </w:rPr>
        <w:t>(二)建设项目卫生审查资料；</w:t>
      </w:r>
    </w:p>
    <w:p>
      <w:pPr>
        <w:ind w:left="774"/>
        <w:spacing w:before="84" w:line="222" w:lineRule="auto"/>
        <w:rPr>
          <w:rFonts w:ascii="FangSong" w:hAnsi="FangSong" w:eastAsia="FangSong" w:cs="FangSong"/>
          <w:sz w:val="30"/>
          <w:szCs w:val="30"/>
        </w:rPr>
      </w:pPr>
      <w:r>
        <w:rPr>
          <w:rFonts w:ascii="FangSong" w:hAnsi="FangSong" w:eastAsia="FangSong" w:cs="FangSong"/>
          <w:sz w:val="30"/>
          <w:szCs w:val="30"/>
          <w:spacing w:val="24"/>
        </w:rPr>
        <w:t>(三)职业病危害控制效果放射防护评价报告；</w:t>
      </w:r>
    </w:p>
    <w:p>
      <w:pPr>
        <w:ind w:left="5" w:right="65" w:firstLine="769"/>
        <w:spacing w:before="76" w:line="246" w:lineRule="auto"/>
        <w:rPr>
          <w:rFonts w:ascii="FangSong" w:hAnsi="FangSong" w:eastAsia="FangSong" w:cs="FangSong"/>
          <w:sz w:val="30"/>
          <w:szCs w:val="30"/>
        </w:rPr>
      </w:pPr>
      <w:r>
        <w:rPr>
          <w:rFonts w:ascii="FangSong" w:hAnsi="FangSong" w:eastAsia="FangSong" w:cs="FangSong"/>
          <w:sz w:val="30"/>
          <w:szCs w:val="30"/>
          <w:spacing w:val="21"/>
        </w:rPr>
        <w:t>(四)放射诊疗建设项目验收报告。立体定</w:t>
      </w:r>
      <w:r>
        <w:rPr>
          <w:rFonts w:ascii="FangSong" w:hAnsi="FangSong" w:eastAsia="FangSong" w:cs="FangSong"/>
          <w:sz w:val="30"/>
          <w:szCs w:val="30"/>
          <w:spacing w:val="20"/>
        </w:rPr>
        <w:t>向放射治疗、质子治疗、重离子治疗、带回旋加速器</w:t>
      </w:r>
      <w:r>
        <w:rPr>
          <w:rFonts w:ascii="FangSong" w:hAnsi="FangSong" w:eastAsia="FangSong" w:cs="FangSong"/>
          <w:sz w:val="30"/>
          <w:szCs w:val="30"/>
        </w:rPr>
        <w:t xml:space="preserve"> </w:t>
      </w:r>
      <w:r>
        <w:rPr>
          <w:rFonts w:ascii="FangSong" w:hAnsi="FangSong" w:eastAsia="FangSong" w:cs="FangSong"/>
          <w:sz w:val="30"/>
          <w:szCs w:val="30"/>
          <w:spacing w:val="16"/>
        </w:rPr>
        <w:t>的正电子发射断层扫描诊断等放射诊疗建设项目，应当提交卫生部指定的放射卫生技术机构出具的职</w:t>
      </w:r>
      <w:r>
        <w:rPr>
          <w:rFonts w:ascii="FangSong" w:hAnsi="FangSong" w:eastAsia="FangSong" w:cs="FangSong"/>
          <w:sz w:val="30"/>
          <w:szCs w:val="30"/>
          <w:spacing w:val="2"/>
        </w:rPr>
        <w:t xml:space="preserve"> </w:t>
      </w:r>
      <w:r>
        <w:rPr>
          <w:rFonts w:ascii="FangSong" w:hAnsi="FangSong" w:eastAsia="FangSong" w:cs="FangSong"/>
          <w:sz w:val="30"/>
          <w:szCs w:val="30"/>
          <w:spacing w:val="16"/>
        </w:rPr>
        <w:t>业病危害控制效果评价报告技术审查意见和设备性能检测报告。</w:t>
      </w:r>
    </w:p>
    <w:p>
      <w:pPr>
        <w:ind w:left="6409"/>
        <w:spacing w:before="265" w:line="220"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584"/>
        <w:gridCol w:w="4622"/>
      </w:tblGrid>
      <w:tr>
        <w:trPr>
          <w:trHeight w:val="440" w:hRule="atLeast"/>
        </w:trPr>
        <w:tc>
          <w:tcPr>
            <w:tcW w:w="1784" w:type="dxa"/>
            <w:vAlign w:val="top"/>
          </w:tcPr>
          <w:p>
            <w:pPr>
              <w:pStyle w:val="TableText"/>
              <w:ind w:left="309"/>
              <w:spacing w:before="83" w:line="220" w:lineRule="auto"/>
              <w:rPr>
                <w:sz w:val="29"/>
                <w:szCs w:val="29"/>
              </w:rPr>
            </w:pPr>
            <w:r>
              <w:rPr>
                <w:sz w:val="29"/>
                <w:szCs w:val="29"/>
                <w:b/>
                <w:bCs/>
                <w:spacing w:val="-1"/>
              </w:rPr>
              <w:t>违法程度</w:t>
            </w:r>
          </w:p>
        </w:tc>
        <w:tc>
          <w:tcPr>
            <w:tcW w:w="7584" w:type="dxa"/>
            <w:vAlign w:val="top"/>
          </w:tcPr>
          <w:p>
            <w:pPr>
              <w:pStyle w:val="TableText"/>
              <w:ind w:left="3225"/>
              <w:spacing w:before="83" w:line="220" w:lineRule="auto"/>
              <w:rPr>
                <w:sz w:val="29"/>
                <w:szCs w:val="29"/>
              </w:rPr>
            </w:pPr>
            <w:r>
              <w:rPr>
                <w:sz w:val="29"/>
                <w:szCs w:val="29"/>
                <w:b/>
                <w:bCs/>
                <w:spacing w:val="-1"/>
              </w:rPr>
              <w:t>情节后果</w:t>
            </w:r>
          </w:p>
        </w:tc>
        <w:tc>
          <w:tcPr>
            <w:tcW w:w="4622" w:type="dxa"/>
            <w:vAlign w:val="top"/>
          </w:tcPr>
          <w:p>
            <w:pPr>
              <w:pStyle w:val="TableText"/>
              <w:ind w:left="1751"/>
              <w:spacing w:before="80" w:line="218" w:lineRule="auto"/>
              <w:rPr>
                <w:sz w:val="29"/>
                <w:szCs w:val="29"/>
              </w:rPr>
            </w:pPr>
            <w:r>
              <w:rPr>
                <w:sz w:val="29"/>
                <w:szCs w:val="29"/>
                <w:b/>
                <w:bCs/>
                <w:spacing w:val="-1"/>
              </w:rPr>
              <w:t>裁量幅度</w:t>
            </w:r>
          </w:p>
        </w:tc>
      </w:tr>
    </w:tbl>
    <w:p>
      <w:pPr>
        <w:pStyle w:val="BodyText"/>
        <w:rPr/>
      </w:pPr>
      <w:r/>
    </w:p>
    <w:p>
      <w:pPr>
        <w:sectPr>
          <w:footerReference w:type="default" r:id="rId604"/>
          <w:pgSz w:w="16830" w:h="11900"/>
          <w:pgMar w:top="1011" w:right="1394" w:bottom="1113" w:left="1434" w:header="0" w:footer="798" w:gutter="0"/>
        </w:sectPr>
        <w:rPr/>
      </w:pPr>
    </w:p>
    <w:p>
      <w:pPr>
        <w:spacing w:before="20"/>
        <w:rPr/>
      </w:pPr>
      <w:r/>
    </w:p>
    <w:p>
      <w:pPr>
        <w:spacing w:before="20"/>
        <w:rPr/>
      </w:pPr>
      <w:r/>
    </w:p>
    <w:p>
      <w:pPr>
        <w:spacing w:before="19"/>
        <w:rPr/>
      </w:pPr>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584"/>
        <w:gridCol w:w="4612"/>
      </w:tblGrid>
      <w:tr>
        <w:trPr>
          <w:trHeight w:val="693" w:hRule="atLeast"/>
        </w:trPr>
        <w:tc>
          <w:tcPr>
            <w:tcW w:w="1784" w:type="dxa"/>
            <w:vAlign w:val="top"/>
          </w:tcPr>
          <w:p>
            <w:pPr>
              <w:pStyle w:val="TableText"/>
              <w:ind w:left="648"/>
              <w:spacing w:before="232" w:line="221" w:lineRule="auto"/>
              <w:rPr/>
            </w:pPr>
            <w:bookmarkStart w:name="bookmark1231" w:id="609"/>
            <w:bookmarkEnd w:id="609"/>
            <w:r>
              <w:rPr>
                <w:b/>
                <w:bCs/>
                <w:spacing w:val="-10"/>
              </w:rPr>
              <w:t>一般</w:t>
            </w:r>
          </w:p>
        </w:tc>
        <w:tc>
          <w:tcPr>
            <w:tcW w:w="7584" w:type="dxa"/>
            <w:vAlign w:val="top"/>
          </w:tcPr>
          <w:p>
            <w:pPr>
              <w:pStyle w:val="TableText"/>
              <w:ind w:left="111" w:right="244"/>
              <w:spacing w:before="64" w:line="238" w:lineRule="auto"/>
              <w:rPr/>
            </w:pPr>
            <w:r>
              <w:rPr/>
              <w:t>放射性职业病危害一般的建设项目(不含CT、DSA)竣工投入生产和使</w:t>
            </w:r>
            <w:r>
              <w:rPr>
                <w:spacing w:val="5"/>
              </w:rPr>
              <w:t xml:space="preserve">  </w:t>
            </w:r>
            <w:r>
              <w:rPr/>
              <w:t>用前，职业病防护设施未按照规定验收合格，经警告，逾期不改正的</w:t>
            </w:r>
          </w:p>
        </w:tc>
        <w:tc>
          <w:tcPr>
            <w:tcW w:w="4612" w:type="dxa"/>
            <w:vAlign w:val="top"/>
          </w:tcPr>
          <w:p>
            <w:pPr>
              <w:pStyle w:val="TableText"/>
              <w:ind w:left="117"/>
              <w:spacing w:before="235" w:line="220" w:lineRule="auto"/>
              <w:rPr/>
            </w:pPr>
            <w:r>
              <w:rPr/>
              <w:t>处十万元以上十五万元以下的罚款</w:t>
            </w:r>
          </w:p>
        </w:tc>
      </w:tr>
      <w:tr>
        <w:trPr>
          <w:trHeight w:val="688" w:hRule="atLeast"/>
        </w:trPr>
        <w:tc>
          <w:tcPr>
            <w:tcW w:w="1784" w:type="dxa"/>
            <w:vAlign w:val="top"/>
          </w:tcPr>
          <w:p>
            <w:pPr>
              <w:pStyle w:val="TableText"/>
              <w:ind w:left="648"/>
              <w:spacing w:before="231" w:line="221" w:lineRule="auto"/>
              <w:rPr/>
            </w:pPr>
            <w:r>
              <w:rPr>
                <w:b/>
                <w:bCs/>
                <w:spacing w:val="-5"/>
              </w:rPr>
              <w:t>较重</w:t>
            </w:r>
          </w:p>
        </w:tc>
        <w:tc>
          <w:tcPr>
            <w:tcW w:w="7584" w:type="dxa"/>
            <w:vAlign w:val="top"/>
          </w:tcPr>
          <w:p>
            <w:pPr>
              <w:pStyle w:val="TableText"/>
              <w:ind w:left="111" w:right="367"/>
              <w:spacing w:before="82" w:line="229" w:lineRule="auto"/>
              <w:rPr/>
            </w:pPr>
            <w:r>
              <w:rPr/>
              <w:t>CT或DSA建设项目竣工投入生产和使用前，职业病防护设施未按规定</w:t>
            </w:r>
            <w:r>
              <w:rPr>
                <w:spacing w:val="14"/>
              </w:rPr>
              <w:t xml:space="preserve"> </w:t>
            </w:r>
            <w:r>
              <w:rPr>
                <w:spacing w:val="1"/>
              </w:rPr>
              <w:t>验收合格，经警告，逾期不改正的</w:t>
            </w:r>
          </w:p>
        </w:tc>
        <w:tc>
          <w:tcPr>
            <w:tcW w:w="4612" w:type="dxa"/>
            <w:vAlign w:val="top"/>
          </w:tcPr>
          <w:p>
            <w:pPr>
              <w:pStyle w:val="TableText"/>
              <w:ind w:left="117"/>
              <w:spacing w:before="232" w:line="220" w:lineRule="auto"/>
              <w:rPr/>
            </w:pPr>
            <w:r>
              <w:rPr/>
              <w:t>处十五万元以上二十万元以下的罚款</w:t>
            </w:r>
          </w:p>
        </w:tc>
      </w:tr>
      <w:tr>
        <w:trPr>
          <w:trHeight w:val="1028" w:hRule="atLeast"/>
        </w:trPr>
        <w:tc>
          <w:tcPr>
            <w:tcW w:w="1784" w:type="dxa"/>
            <w:vAlign w:val="top"/>
          </w:tcPr>
          <w:p>
            <w:pPr>
              <w:spacing w:line="321" w:lineRule="auto"/>
              <w:rPr>
                <w:rFonts w:ascii="Arial"/>
                <w:sz w:val="21"/>
              </w:rPr>
            </w:pPr>
            <w:r/>
          </w:p>
          <w:p>
            <w:pPr>
              <w:pStyle w:val="TableText"/>
              <w:ind w:left="648"/>
              <w:spacing w:before="78" w:line="220" w:lineRule="auto"/>
              <w:rPr/>
            </w:pPr>
            <w:r>
              <w:rPr>
                <w:b/>
                <w:bCs/>
                <w:spacing w:val="-6"/>
              </w:rPr>
              <w:t>严重</w:t>
            </w:r>
          </w:p>
        </w:tc>
        <w:tc>
          <w:tcPr>
            <w:tcW w:w="7584" w:type="dxa"/>
            <w:vAlign w:val="top"/>
          </w:tcPr>
          <w:p>
            <w:pPr>
              <w:pStyle w:val="TableText"/>
              <w:ind w:left="120" w:right="5" w:hanging="9"/>
              <w:spacing w:before="64" w:line="265" w:lineRule="auto"/>
              <w:rPr/>
            </w:pPr>
            <w:r>
              <w:rPr/>
              <w:t>放射性职业病危害严重的建设项目竣工投入生产和使用前，职业病防护</w:t>
            </w:r>
            <w:r>
              <w:rPr>
                <w:spacing w:val="16"/>
              </w:rPr>
              <w:t xml:space="preserve"> </w:t>
            </w:r>
            <w:r>
              <w:rPr/>
              <w:t>设施未按照规定验收合格，建设项目数目为1-2项，经警告，逾期不</w:t>
            </w:r>
          </w:p>
          <w:p>
            <w:pPr>
              <w:pStyle w:val="TableText"/>
              <w:ind w:left="111"/>
              <w:spacing w:line="203" w:lineRule="auto"/>
              <w:rPr/>
            </w:pPr>
            <w:r>
              <w:rPr>
                <w:spacing w:val="6"/>
              </w:rPr>
              <w:t>改正的</w:t>
            </w:r>
          </w:p>
        </w:tc>
        <w:tc>
          <w:tcPr>
            <w:tcW w:w="4612" w:type="dxa"/>
            <w:vAlign w:val="top"/>
          </w:tcPr>
          <w:p>
            <w:pPr>
              <w:spacing w:line="324" w:lineRule="auto"/>
              <w:rPr>
                <w:rFonts w:ascii="Arial"/>
                <w:sz w:val="21"/>
              </w:rPr>
            </w:pPr>
            <w:r/>
          </w:p>
          <w:p>
            <w:pPr>
              <w:pStyle w:val="TableText"/>
              <w:ind w:left="117"/>
              <w:spacing w:before="78" w:line="220" w:lineRule="auto"/>
              <w:rPr/>
            </w:pPr>
            <w:r>
              <w:rPr/>
              <w:t>处二十万元以上五十万元以下的罚款</w:t>
            </w:r>
          </w:p>
        </w:tc>
      </w:tr>
      <w:tr>
        <w:trPr>
          <w:trHeight w:val="2370" w:hRule="atLeast"/>
        </w:trPr>
        <w:tc>
          <w:tcPr>
            <w:tcW w:w="1784"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408"/>
              <w:spacing w:before="78" w:line="219" w:lineRule="auto"/>
              <w:rPr/>
            </w:pPr>
            <w:r>
              <w:rPr>
                <w:b/>
                <w:bCs/>
                <w:spacing w:val="-5"/>
              </w:rPr>
              <w:t>特别严重</w:t>
            </w:r>
          </w:p>
        </w:tc>
        <w:tc>
          <w:tcPr>
            <w:tcW w:w="7584" w:type="dxa"/>
            <w:vAlign w:val="top"/>
          </w:tcPr>
          <w:p>
            <w:pPr>
              <w:pStyle w:val="TableText"/>
              <w:ind w:left="111"/>
              <w:spacing w:before="66" w:line="220" w:lineRule="auto"/>
              <w:rPr/>
            </w:pPr>
            <w:r>
              <w:rPr>
                <w:spacing w:val="5"/>
              </w:rPr>
              <w:t>有下列情形之一：</w:t>
            </w:r>
          </w:p>
          <w:p>
            <w:pPr>
              <w:pStyle w:val="TableText"/>
              <w:ind w:left="111" w:right="24"/>
              <w:spacing w:before="42" w:line="243" w:lineRule="auto"/>
              <w:rPr/>
            </w:pPr>
            <w:r>
              <w:rPr/>
              <w:t>A.放射性职业病危害严重的建设项目竣工投入生产和使用前，职</w:t>
            </w:r>
            <w:r>
              <w:rPr>
                <w:spacing w:val="-1"/>
              </w:rPr>
              <w:t>业病防</w:t>
            </w:r>
            <w:r>
              <w:rPr/>
              <w:t xml:space="preserve"> </w:t>
            </w:r>
            <w:r>
              <w:rPr/>
              <w:t>护设施未按照规定验收合格，建设项目数目为3项及以上，经警</w:t>
            </w:r>
            <w:r>
              <w:rPr>
                <w:spacing w:val="-1"/>
              </w:rPr>
              <w:t>告，</w:t>
            </w:r>
          </w:p>
          <w:p>
            <w:pPr>
              <w:pStyle w:val="TableText"/>
              <w:ind w:left="111"/>
              <w:spacing w:before="58" w:line="219" w:lineRule="auto"/>
              <w:rPr/>
            </w:pPr>
            <w:r>
              <w:rPr>
                <w:spacing w:val="3"/>
              </w:rPr>
              <w:t>逾期不改正的</w:t>
            </w:r>
          </w:p>
          <w:p>
            <w:pPr>
              <w:pStyle w:val="TableText"/>
              <w:ind w:left="111" w:right="5"/>
              <w:spacing w:before="65" w:line="237" w:lineRule="auto"/>
              <w:rPr/>
            </w:pPr>
            <w:r>
              <w:rPr/>
              <w:t>B.可能产生放射性职业病危害的建设项目竣工投入生产和使</w:t>
            </w:r>
            <w:r>
              <w:rPr>
                <w:spacing w:val="-1"/>
              </w:rPr>
              <w:t>用前，职业</w:t>
            </w:r>
            <w:r>
              <w:rPr/>
              <w:t xml:space="preserve"> </w:t>
            </w:r>
            <w:r>
              <w:rPr/>
              <w:t>病防护设施未按照规定验收合格，经警告，逾期不改正的，造成严重后</w:t>
            </w:r>
            <w:r>
              <w:rPr>
                <w:spacing w:val="16"/>
              </w:rPr>
              <w:t xml:space="preserve"> </w:t>
            </w:r>
            <w:r>
              <w:rPr>
                <w:spacing w:val="9"/>
              </w:rPr>
              <w:t>果的</w:t>
            </w:r>
          </w:p>
        </w:tc>
        <w:tc>
          <w:tcPr>
            <w:tcW w:w="4612" w:type="dxa"/>
            <w:vAlign w:val="top"/>
          </w:tcPr>
          <w:p>
            <w:pPr>
              <w:spacing w:line="336" w:lineRule="auto"/>
              <w:rPr>
                <w:rFonts w:ascii="Arial"/>
                <w:sz w:val="21"/>
              </w:rPr>
            </w:pPr>
            <w:r/>
          </w:p>
          <w:p>
            <w:pPr>
              <w:spacing w:line="336" w:lineRule="auto"/>
              <w:rPr>
                <w:rFonts w:ascii="Arial"/>
                <w:sz w:val="21"/>
              </w:rPr>
            </w:pPr>
            <w:r/>
          </w:p>
          <w:p>
            <w:pPr>
              <w:pStyle w:val="TableText"/>
              <w:ind w:left="117" w:right="140"/>
              <w:spacing w:before="78" w:line="259" w:lineRule="auto"/>
              <w:jc w:val="both"/>
              <w:rPr/>
            </w:pPr>
            <w:r>
              <w:rPr/>
              <w:t>处五十万元的罚款，责令停止产生职业病</w:t>
            </w:r>
            <w:r>
              <w:rPr>
                <w:spacing w:val="15"/>
              </w:rPr>
              <w:t xml:space="preserve"> </w:t>
            </w:r>
            <w:r>
              <w:rPr>
                <w:spacing w:val="1"/>
              </w:rPr>
              <w:t>危害的作业或者提请有关人民政府按照国</w:t>
            </w:r>
            <w:r>
              <w:rPr>
                <w:spacing w:val="5"/>
              </w:rPr>
              <w:t xml:space="preserve"> </w:t>
            </w:r>
            <w:r>
              <w:rPr>
                <w:spacing w:val="1"/>
              </w:rPr>
              <w:t>务院规定的权限责令停建、关闭</w:t>
            </w:r>
          </w:p>
        </w:tc>
      </w:tr>
    </w:tbl>
    <w:p>
      <w:pPr>
        <w:pStyle w:val="BodyText"/>
        <w:spacing w:line="413" w:lineRule="auto"/>
        <w:rPr/>
      </w:pPr>
      <w:r/>
    </w:p>
    <w:p>
      <w:pPr>
        <w:ind w:left="19" w:right="140" w:firstLine="649"/>
        <w:spacing w:before="101" w:line="276" w:lineRule="auto"/>
        <w:rPr>
          <w:rFonts w:ascii="FangSong" w:hAnsi="FangSong" w:eastAsia="FangSong" w:cs="FangSong"/>
          <w:sz w:val="31"/>
          <w:szCs w:val="31"/>
        </w:rPr>
      </w:pPr>
      <w:r>
        <w:rPr>
          <w:rFonts w:ascii="FangSong" w:hAnsi="FangSong" w:eastAsia="FangSong" w:cs="FangSong"/>
          <w:sz w:val="31"/>
          <w:szCs w:val="31"/>
          <w:b/>
          <w:bCs/>
          <w:spacing w:val="10"/>
        </w:rPr>
        <w:t>第五百七十九条医疗机构未按照规定公布有关放射性职业病防治的规章制度、操作规</w:t>
      </w:r>
      <w:r>
        <w:rPr>
          <w:rFonts w:ascii="FangSong" w:hAnsi="FangSong" w:eastAsia="FangSong" w:cs="FangSong"/>
          <w:sz w:val="31"/>
          <w:szCs w:val="31"/>
          <w:b/>
          <w:bCs/>
          <w:spacing w:val="9"/>
        </w:rPr>
        <w:t>程、放射</w:t>
      </w:r>
      <w:r>
        <w:rPr>
          <w:rFonts w:ascii="FangSong" w:hAnsi="FangSong" w:eastAsia="FangSong" w:cs="FangSong"/>
          <w:sz w:val="31"/>
          <w:szCs w:val="31"/>
        </w:rPr>
        <w:t xml:space="preserve"> </w:t>
      </w:r>
      <w:r>
        <w:rPr>
          <w:rFonts w:ascii="FangSong" w:hAnsi="FangSong" w:eastAsia="FangSong" w:cs="FangSong"/>
          <w:sz w:val="31"/>
          <w:szCs w:val="31"/>
          <w:b/>
          <w:bCs/>
          <w:spacing w:val="3"/>
        </w:rPr>
        <w:t>事件应急救援措施的</w:t>
      </w:r>
    </w:p>
    <w:p>
      <w:pPr>
        <w:ind w:left="634"/>
        <w:spacing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ind w:left="34" w:firstLine="630"/>
        <w:spacing w:before="72" w:line="262" w:lineRule="auto"/>
        <w:rPr>
          <w:rFonts w:ascii="FangSong" w:hAnsi="FangSong" w:eastAsia="FangSong" w:cs="FangSong"/>
          <w:sz w:val="31"/>
          <w:szCs w:val="31"/>
        </w:rPr>
      </w:pPr>
      <w:r>
        <w:rPr>
          <w:rFonts w:ascii="FangSong" w:hAnsi="FangSong" w:eastAsia="FangSong" w:cs="FangSong"/>
          <w:sz w:val="31"/>
          <w:szCs w:val="31"/>
          <w:spacing w:val="8"/>
        </w:rPr>
        <w:t>1.</w:t>
      </w:r>
      <w:r>
        <w:rPr>
          <w:rFonts w:ascii="FangSong" w:hAnsi="FangSong" w:eastAsia="FangSong" w:cs="FangSong"/>
          <w:sz w:val="31"/>
          <w:szCs w:val="31"/>
          <w:spacing w:val="8"/>
        </w:rPr>
        <w:t xml:space="preserve"> </w:t>
      </w:r>
      <w:r>
        <w:rPr>
          <w:rFonts w:ascii="FangSong" w:hAnsi="FangSong" w:eastAsia="FangSong" w:cs="FangSong"/>
          <w:sz w:val="31"/>
          <w:szCs w:val="31"/>
          <w:spacing w:val="8"/>
        </w:rPr>
        <w:t>《中华人民共和国职业病防治法》第七十条第(三)项</w:t>
      </w:r>
      <w:r>
        <w:rPr>
          <w:rFonts w:ascii="FangSong" w:hAnsi="FangSong" w:eastAsia="FangSong" w:cs="FangSong"/>
          <w:sz w:val="31"/>
          <w:szCs w:val="31"/>
          <w:spacing w:val="8"/>
        </w:rPr>
        <w:t xml:space="preserve">   </w:t>
      </w:r>
      <w:r>
        <w:rPr>
          <w:rFonts w:ascii="FangSong" w:hAnsi="FangSong" w:eastAsia="FangSong" w:cs="FangSong"/>
          <w:sz w:val="31"/>
          <w:szCs w:val="31"/>
          <w:spacing w:val="8"/>
        </w:rPr>
        <w:t>违反本法规定，有下列行为之一的，</w:t>
      </w:r>
      <w:r>
        <w:rPr>
          <w:rFonts w:ascii="FangSong" w:hAnsi="FangSong" w:eastAsia="FangSong" w:cs="FangSong"/>
          <w:sz w:val="31"/>
          <w:szCs w:val="31"/>
          <w:spacing w:val="5"/>
        </w:rPr>
        <w:t xml:space="preserve"> </w:t>
      </w:r>
      <w:r>
        <w:rPr>
          <w:rFonts w:ascii="FangSong" w:hAnsi="FangSong" w:eastAsia="FangSong" w:cs="FangSong"/>
          <w:sz w:val="31"/>
          <w:szCs w:val="31"/>
          <w:spacing w:val="7"/>
        </w:rPr>
        <w:t>由卫生行政部门给予警告，责令限期改正；逾期不改正的，处</w:t>
      </w:r>
      <w:r>
        <w:rPr>
          <w:rFonts w:ascii="FangSong" w:hAnsi="FangSong" w:eastAsia="FangSong" w:cs="FangSong"/>
          <w:sz w:val="31"/>
          <w:szCs w:val="31"/>
          <w:spacing w:val="6"/>
        </w:rPr>
        <w:t>十万元以下的罚款：</w:t>
      </w:r>
    </w:p>
    <w:p>
      <w:pPr>
        <w:spacing w:line="220" w:lineRule="auto"/>
        <w:jc w:val="right"/>
        <w:rPr>
          <w:rFonts w:ascii="FangSong" w:hAnsi="FangSong" w:eastAsia="FangSong" w:cs="FangSong"/>
          <w:sz w:val="31"/>
          <w:szCs w:val="31"/>
        </w:rPr>
      </w:pPr>
      <w:r>
        <w:rPr>
          <w:rFonts w:ascii="FangSong" w:hAnsi="FangSong" w:eastAsia="FangSong" w:cs="FangSong"/>
          <w:sz w:val="31"/>
          <w:szCs w:val="31"/>
          <w:spacing w:val="6"/>
        </w:rPr>
        <w:t>(三)未按照规定公布有关职业病防治的规章制度、操作规程、职业病危害事故应急救援措施的。</w:t>
      </w:r>
    </w:p>
    <w:p>
      <w:pPr>
        <w:spacing w:line="220" w:lineRule="auto"/>
        <w:sectPr>
          <w:footerReference w:type="default" r:id="rId605"/>
          <w:pgSz w:w="16830" w:h="11900"/>
          <w:pgMar w:top="1011" w:right="1334" w:bottom="1124" w:left="1434" w:header="0" w:footer="782" w:gutter="0"/>
        </w:sectPr>
        <w:rPr>
          <w:rFonts w:ascii="FangSong" w:hAnsi="FangSong" w:eastAsia="FangSong" w:cs="FangSong"/>
          <w:sz w:val="31"/>
          <w:szCs w:val="31"/>
        </w:rPr>
      </w:pPr>
    </w:p>
    <w:p>
      <w:pPr>
        <w:pStyle w:val="BodyText"/>
        <w:spacing w:line="248" w:lineRule="auto"/>
        <w:rPr/>
      </w:pPr>
      <w:r/>
    </w:p>
    <w:p>
      <w:pPr>
        <w:pStyle w:val="BodyText"/>
        <w:spacing w:line="248" w:lineRule="auto"/>
        <w:rPr/>
      </w:pPr>
      <w:r/>
    </w:p>
    <w:p>
      <w:pPr>
        <w:pStyle w:val="BodyText"/>
        <w:spacing w:line="249" w:lineRule="auto"/>
        <w:rPr/>
      </w:pPr>
      <w:r/>
    </w:p>
    <w:p>
      <w:pPr>
        <w:ind w:left="25" w:right="98" w:firstLine="639"/>
        <w:spacing w:before="104" w:line="261" w:lineRule="auto"/>
        <w:rPr>
          <w:rFonts w:ascii="FangSong" w:hAnsi="FangSong" w:eastAsia="FangSong" w:cs="FangSong"/>
          <w:sz w:val="32"/>
          <w:szCs w:val="32"/>
        </w:rPr>
      </w:pPr>
      <w:bookmarkStart w:name="bookmark1232" w:id="610"/>
      <w:bookmarkEnd w:id="610"/>
      <w:r>
        <w:rPr>
          <w:rFonts w:ascii="FangSong" w:hAnsi="FangSong" w:eastAsia="FangSong" w:cs="FangSong"/>
          <w:sz w:val="32"/>
          <w:szCs w:val="32"/>
          <w:spacing w:val="-1"/>
        </w:rPr>
        <w:t>2.《中华人民共和国职业病防治法》第八十七条</w:t>
      </w:r>
      <w:r>
        <w:rPr>
          <w:rFonts w:ascii="FangSong" w:hAnsi="FangSong" w:eastAsia="FangSong" w:cs="FangSong"/>
          <w:sz w:val="32"/>
          <w:szCs w:val="32"/>
          <w:spacing w:val="-1"/>
        </w:rPr>
        <w:t xml:space="preserve">   </w:t>
      </w:r>
      <w:r>
        <w:rPr>
          <w:rFonts w:ascii="FangSong" w:hAnsi="FangSong" w:eastAsia="FangSong" w:cs="FangSong"/>
          <w:sz w:val="32"/>
          <w:szCs w:val="32"/>
          <w:spacing w:val="-1"/>
        </w:rPr>
        <w:t>对医疗机构放射性职业病危害控制的监督管</w:t>
      </w:r>
      <w:r>
        <w:rPr>
          <w:rFonts w:ascii="FangSong" w:hAnsi="FangSong" w:eastAsia="FangSong" w:cs="FangSong"/>
          <w:sz w:val="32"/>
          <w:szCs w:val="32"/>
        </w:rPr>
        <w:t xml:space="preserve"> </w:t>
      </w:r>
      <w:r>
        <w:rPr>
          <w:rFonts w:ascii="FangSong" w:hAnsi="FangSong" w:eastAsia="FangSong" w:cs="FangSong"/>
          <w:sz w:val="32"/>
          <w:szCs w:val="32"/>
          <w:spacing w:val="-4"/>
        </w:rPr>
        <w:t>理，由卫生行政部门依照本法的规定实施。</w:t>
      </w:r>
    </w:p>
    <w:p>
      <w:pPr>
        <w:ind w:left="6428"/>
        <w:spacing w:before="158"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8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94"/>
        <w:gridCol w:w="7564"/>
        <w:gridCol w:w="4631"/>
      </w:tblGrid>
      <w:tr>
        <w:trPr>
          <w:trHeight w:val="663" w:hRule="atLeast"/>
        </w:trPr>
        <w:tc>
          <w:tcPr>
            <w:tcW w:w="1794" w:type="dxa"/>
            <w:vAlign w:val="top"/>
          </w:tcPr>
          <w:p>
            <w:pPr>
              <w:pStyle w:val="TableText"/>
              <w:ind w:left="408"/>
              <w:spacing w:before="212" w:line="220" w:lineRule="auto"/>
              <w:rPr/>
            </w:pPr>
            <w:r>
              <w:rPr>
                <w:b/>
                <w:bCs/>
                <w:spacing w:val="-5"/>
              </w:rPr>
              <w:t>违法程度</w:t>
            </w:r>
          </w:p>
        </w:tc>
        <w:tc>
          <w:tcPr>
            <w:tcW w:w="7564" w:type="dxa"/>
            <w:vAlign w:val="top"/>
          </w:tcPr>
          <w:p>
            <w:pPr>
              <w:pStyle w:val="TableText"/>
              <w:ind w:left="3294"/>
              <w:spacing w:before="212" w:line="220" w:lineRule="auto"/>
              <w:rPr/>
            </w:pPr>
            <w:r>
              <w:rPr>
                <w:b/>
                <w:bCs/>
                <w:spacing w:val="-5"/>
              </w:rPr>
              <w:t>情节后果</w:t>
            </w:r>
          </w:p>
        </w:tc>
        <w:tc>
          <w:tcPr>
            <w:tcW w:w="4631" w:type="dxa"/>
            <w:vAlign w:val="top"/>
          </w:tcPr>
          <w:p>
            <w:pPr>
              <w:pStyle w:val="TableText"/>
              <w:ind w:left="1750"/>
              <w:spacing w:before="20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1028" w:hRule="atLeast"/>
        </w:trPr>
        <w:tc>
          <w:tcPr>
            <w:tcW w:w="1794" w:type="dxa"/>
            <w:vAlign w:val="top"/>
          </w:tcPr>
          <w:p>
            <w:pPr>
              <w:spacing w:line="319" w:lineRule="auto"/>
              <w:rPr>
                <w:rFonts w:ascii="Arial"/>
                <w:sz w:val="21"/>
              </w:rPr>
            </w:pPr>
            <w:r/>
          </w:p>
          <w:p>
            <w:pPr>
              <w:pStyle w:val="TableText"/>
              <w:ind w:left="648"/>
              <w:spacing w:before="78" w:line="221" w:lineRule="auto"/>
              <w:rPr/>
            </w:pPr>
            <w:r>
              <w:rPr>
                <w:b/>
                <w:bCs/>
                <w:spacing w:val="-10"/>
              </w:rPr>
              <w:t>一般</w:t>
            </w:r>
          </w:p>
        </w:tc>
        <w:tc>
          <w:tcPr>
            <w:tcW w:w="7564" w:type="dxa"/>
            <w:vAlign w:val="top"/>
          </w:tcPr>
          <w:p>
            <w:pPr>
              <w:pStyle w:val="TableText"/>
              <w:ind w:left="50" w:right="49" w:firstLine="180"/>
              <w:spacing w:before="81"/>
              <w:rPr/>
            </w:pPr>
            <w:r>
              <w:rPr/>
              <w:t>医疗机构开展X射线影像诊断工作未按照规定公布有关职业病防治的</w:t>
            </w:r>
            <w:r>
              <w:rPr>
                <w:spacing w:val="8"/>
              </w:rPr>
              <w:t xml:space="preserve">  </w:t>
            </w:r>
            <w:r>
              <w:rPr/>
              <w:t>规章制度、操作规程、职业病危害事故应急救援措施，经警告，逾期不</w:t>
            </w:r>
            <w:r>
              <w:rPr>
                <w:spacing w:val="12"/>
              </w:rPr>
              <w:t xml:space="preserve"> </w:t>
            </w:r>
            <w:r>
              <w:rPr>
                <w:spacing w:val="36"/>
              </w:rPr>
              <w:t>改正的</w:t>
            </w:r>
          </w:p>
        </w:tc>
        <w:tc>
          <w:tcPr>
            <w:tcW w:w="4631" w:type="dxa"/>
            <w:vAlign w:val="top"/>
          </w:tcPr>
          <w:p>
            <w:pPr>
              <w:spacing w:line="322" w:lineRule="auto"/>
              <w:rPr>
                <w:rFonts w:ascii="Arial"/>
                <w:sz w:val="21"/>
              </w:rPr>
            </w:pPr>
            <w:r/>
          </w:p>
          <w:p>
            <w:pPr>
              <w:pStyle w:val="TableText"/>
              <w:ind w:left="126"/>
              <w:spacing w:before="78" w:line="220" w:lineRule="auto"/>
              <w:rPr/>
            </w:pPr>
            <w:r>
              <w:rPr>
                <w:spacing w:val="1"/>
              </w:rPr>
              <w:t>处三万元以下的罚款</w:t>
            </w:r>
          </w:p>
        </w:tc>
      </w:tr>
      <w:tr>
        <w:trPr>
          <w:trHeight w:val="1028" w:hRule="atLeast"/>
        </w:trPr>
        <w:tc>
          <w:tcPr>
            <w:tcW w:w="1794" w:type="dxa"/>
            <w:vAlign w:val="top"/>
          </w:tcPr>
          <w:p>
            <w:pPr>
              <w:spacing w:line="323" w:lineRule="auto"/>
              <w:rPr>
                <w:rFonts w:ascii="Arial"/>
                <w:sz w:val="21"/>
              </w:rPr>
            </w:pPr>
            <w:r/>
          </w:p>
          <w:p>
            <w:pPr>
              <w:pStyle w:val="TableText"/>
              <w:ind w:left="648"/>
              <w:spacing w:before="78" w:line="221" w:lineRule="auto"/>
              <w:rPr/>
            </w:pPr>
            <w:r>
              <w:rPr>
                <w:b/>
                <w:bCs/>
                <w:spacing w:val="-5"/>
              </w:rPr>
              <w:t>较重</w:t>
            </w:r>
          </w:p>
        </w:tc>
        <w:tc>
          <w:tcPr>
            <w:tcW w:w="7564" w:type="dxa"/>
            <w:vAlign w:val="top"/>
          </w:tcPr>
          <w:p>
            <w:pPr>
              <w:pStyle w:val="TableText"/>
              <w:ind w:left="50" w:right="48" w:firstLine="119"/>
              <w:spacing w:before="74" w:line="259" w:lineRule="auto"/>
              <w:rPr/>
            </w:pPr>
            <w:r>
              <w:rPr/>
              <w:t>医疗机构开展介入放射学工作未按照规定公布有关职业病防治的规章</w:t>
            </w:r>
            <w:r>
              <w:rPr>
                <w:spacing w:val="8"/>
              </w:rPr>
              <w:t xml:space="preserve">  </w:t>
            </w:r>
            <w:r>
              <w:rPr/>
              <w:t>制度、操作规程、职业病危害事故应急救援措施，经警告，逾期不改正</w:t>
            </w:r>
          </w:p>
          <w:p>
            <w:pPr>
              <w:pStyle w:val="TableText"/>
              <w:ind w:left="120"/>
              <w:spacing w:line="208" w:lineRule="auto"/>
              <w:rPr/>
            </w:pPr>
            <w:r>
              <w:rPr>
                <w:color w:val="404050"/>
              </w:rPr>
              <w:t>的</w:t>
            </w:r>
          </w:p>
        </w:tc>
        <w:tc>
          <w:tcPr>
            <w:tcW w:w="4631" w:type="dxa"/>
            <w:vAlign w:val="top"/>
          </w:tcPr>
          <w:p>
            <w:pPr>
              <w:spacing w:line="324" w:lineRule="auto"/>
              <w:rPr>
                <w:rFonts w:ascii="Arial"/>
                <w:sz w:val="21"/>
              </w:rPr>
            </w:pPr>
            <w:r/>
          </w:p>
          <w:p>
            <w:pPr>
              <w:pStyle w:val="TableText"/>
              <w:ind w:left="126"/>
              <w:spacing w:before="78" w:line="220" w:lineRule="auto"/>
              <w:rPr/>
            </w:pPr>
            <w:r>
              <w:rPr/>
              <w:t>处三万元以上七万元以下的罚款</w:t>
            </w:r>
          </w:p>
        </w:tc>
      </w:tr>
      <w:tr>
        <w:trPr>
          <w:trHeight w:val="1028" w:hRule="atLeast"/>
        </w:trPr>
        <w:tc>
          <w:tcPr>
            <w:tcW w:w="1794" w:type="dxa"/>
            <w:vAlign w:val="top"/>
          </w:tcPr>
          <w:p>
            <w:pPr>
              <w:spacing w:line="323" w:lineRule="auto"/>
              <w:rPr>
                <w:rFonts w:ascii="Arial"/>
                <w:sz w:val="21"/>
              </w:rPr>
            </w:pPr>
            <w:r/>
          </w:p>
          <w:p>
            <w:pPr>
              <w:pStyle w:val="TableText"/>
              <w:ind w:left="648"/>
              <w:spacing w:before="78" w:line="220" w:lineRule="auto"/>
              <w:rPr/>
            </w:pPr>
            <w:r>
              <w:rPr>
                <w:b/>
                <w:bCs/>
                <w:spacing w:val="-6"/>
              </w:rPr>
              <w:t>严重</w:t>
            </w:r>
          </w:p>
        </w:tc>
        <w:tc>
          <w:tcPr>
            <w:tcW w:w="7564" w:type="dxa"/>
            <w:vAlign w:val="top"/>
          </w:tcPr>
          <w:p>
            <w:pPr>
              <w:pStyle w:val="TableText"/>
              <w:ind w:left="50" w:right="47" w:firstLine="119"/>
              <w:spacing w:before="66" w:line="244" w:lineRule="auto"/>
              <w:jc w:val="both"/>
              <w:rPr/>
            </w:pPr>
            <w:r>
              <w:rPr>
                <w:spacing w:val="1"/>
              </w:rPr>
              <w:t>医疗机构开展核医学或放射治疗工作未按照</w:t>
            </w:r>
            <w:r>
              <w:rPr/>
              <w:t>规定公布有关职业病防治  </w:t>
            </w:r>
            <w:r>
              <w:rPr/>
              <w:t>的规章制度、操作规程、职业病危害事故应急救援措施，经警告，逾期</w:t>
            </w:r>
            <w:r>
              <w:rPr>
                <w:spacing w:val="14"/>
              </w:rPr>
              <w:t xml:space="preserve"> </w:t>
            </w:r>
            <w:r>
              <w:rPr>
                <w:spacing w:val="22"/>
              </w:rPr>
              <w:t>不改正的</w:t>
            </w:r>
          </w:p>
        </w:tc>
        <w:tc>
          <w:tcPr>
            <w:tcW w:w="4631" w:type="dxa"/>
            <w:vAlign w:val="top"/>
          </w:tcPr>
          <w:p>
            <w:pPr>
              <w:spacing w:line="326" w:lineRule="auto"/>
              <w:rPr>
                <w:rFonts w:ascii="Arial"/>
                <w:sz w:val="21"/>
              </w:rPr>
            </w:pPr>
            <w:r/>
          </w:p>
          <w:p>
            <w:pPr>
              <w:pStyle w:val="TableText"/>
              <w:ind w:left="126"/>
              <w:spacing w:before="78" w:line="220" w:lineRule="auto"/>
              <w:rPr/>
            </w:pPr>
            <w:r>
              <w:rPr/>
              <w:t>处七万元以上十万元以下的罚款</w:t>
            </w:r>
          </w:p>
        </w:tc>
      </w:tr>
      <w:tr>
        <w:trPr>
          <w:trHeight w:val="833" w:hRule="atLeast"/>
        </w:trPr>
        <w:tc>
          <w:tcPr>
            <w:tcW w:w="1794" w:type="dxa"/>
            <w:vAlign w:val="top"/>
          </w:tcPr>
          <w:p>
            <w:pPr>
              <w:pStyle w:val="TableText"/>
              <w:ind w:left="408"/>
              <w:spacing w:before="304" w:line="219" w:lineRule="auto"/>
              <w:rPr/>
            </w:pPr>
            <w:r>
              <w:rPr>
                <w:b/>
                <w:bCs/>
                <w:spacing w:val="-5"/>
              </w:rPr>
              <w:t>特别严重</w:t>
            </w:r>
          </w:p>
        </w:tc>
        <w:tc>
          <w:tcPr>
            <w:tcW w:w="7564" w:type="dxa"/>
            <w:vAlign w:val="top"/>
          </w:tcPr>
          <w:p>
            <w:pPr>
              <w:pStyle w:val="TableText"/>
              <w:ind w:left="120" w:right="54" w:hanging="70"/>
              <w:spacing w:before="148" w:line="254" w:lineRule="auto"/>
              <w:rPr/>
            </w:pPr>
            <w:r>
              <w:rPr/>
              <w:t>医疗机构未按照规定公布有关职业病防治的规章制度、操作规程、职业</w:t>
            </w:r>
            <w:r>
              <w:rPr>
                <w:spacing w:val="7"/>
              </w:rPr>
              <w:t xml:space="preserve"> </w:t>
            </w:r>
            <w:r>
              <w:rPr/>
              <w:t>病危害事故应急救援措施，经警告，逾期不改正的，造成严重后果</w:t>
            </w:r>
          </w:p>
        </w:tc>
        <w:tc>
          <w:tcPr>
            <w:tcW w:w="4631" w:type="dxa"/>
            <w:vAlign w:val="top"/>
          </w:tcPr>
          <w:p>
            <w:pPr>
              <w:pStyle w:val="TableText"/>
              <w:ind w:left="126"/>
              <w:spacing w:before="308" w:line="220" w:lineRule="auto"/>
              <w:rPr/>
            </w:pPr>
            <w:r>
              <w:rPr>
                <w:spacing w:val="1"/>
              </w:rPr>
              <w:t>处十万元的罚款</w:t>
            </w:r>
          </w:p>
        </w:tc>
      </w:tr>
    </w:tbl>
    <w:p>
      <w:pPr>
        <w:pStyle w:val="BodyText"/>
        <w:spacing w:line="400" w:lineRule="auto"/>
        <w:rPr/>
      </w:pPr>
      <w:r/>
    </w:p>
    <w:p>
      <w:pPr>
        <w:ind w:left="669"/>
        <w:spacing w:before="104" w:line="220" w:lineRule="auto"/>
        <w:rPr>
          <w:rFonts w:ascii="FangSong" w:hAnsi="FangSong" w:eastAsia="FangSong" w:cs="FangSong"/>
          <w:sz w:val="32"/>
          <w:szCs w:val="32"/>
        </w:rPr>
      </w:pPr>
      <w:r>
        <w:rPr>
          <w:rFonts w:ascii="FangSong" w:hAnsi="FangSong" w:eastAsia="FangSong" w:cs="FangSong"/>
          <w:sz w:val="32"/>
          <w:szCs w:val="32"/>
          <w:b/>
          <w:bCs/>
          <w:spacing w:val="2"/>
        </w:rPr>
        <w:t>第五百八十条医疗机构未按照规定组织放射工作</w:t>
      </w:r>
      <w:r>
        <w:rPr>
          <w:rFonts w:ascii="FangSong" w:hAnsi="FangSong" w:eastAsia="FangSong" w:cs="FangSong"/>
          <w:sz w:val="32"/>
          <w:szCs w:val="32"/>
          <w:b/>
          <w:bCs/>
          <w:spacing w:val="1"/>
        </w:rPr>
        <w:t>人员进行职业卫生培训的</w:t>
      </w:r>
    </w:p>
    <w:p>
      <w:pPr>
        <w:ind w:left="664"/>
        <w:spacing w:before="115"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spacing w:line="222" w:lineRule="auto"/>
        <w:sectPr>
          <w:footerReference w:type="default" r:id="rId606"/>
          <w:pgSz w:w="16830" w:h="11900"/>
          <w:pgMar w:top="1011" w:right="1405" w:bottom="1093" w:left="1425" w:header="0" w:footer="804" w:gutter="0"/>
        </w:sectPr>
        <w:rPr>
          <w:rFonts w:ascii="FangSong" w:hAnsi="FangSong" w:eastAsia="FangSong" w:cs="FangSong"/>
          <w:sz w:val="27"/>
          <w:szCs w:val="27"/>
        </w:rPr>
      </w:pPr>
    </w:p>
    <w:p>
      <w:pPr>
        <w:pStyle w:val="BodyText"/>
        <w:spacing w:line="264" w:lineRule="auto"/>
        <w:rPr/>
      </w:pPr>
      <w:r/>
    </w:p>
    <w:p>
      <w:pPr>
        <w:pStyle w:val="BodyText"/>
        <w:spacing w:line="264" w:lineRule="auto"/>
        <w:rPr/>
      </w:pPr>
      <w:r/>
    </w:p>
    <w:p>
      <w:pPr>
        <w:pStyle w:val="BodyText"/>
        <w:spacing w:line="264" w:lineRule="auto"/>
        <w:rPr/>
      </w:pPr>
      <w:r/>
    </w:p>
    <w:p>
      <w:pPr>
        <w:ind w:firstLine="659"/>
        <w:spacing w:before="98" w:line="271" w:lineRule="auto"/>
        <w:rPr>
          <w:rFonts w:ascii="FangSong" w:hAnsi="FangSong" w:eastAsia="FangSong" w:cs="FangSong"/>
          <w:sz w:val="30"/>
          <w:szCs w:val="30"/>
        </w:rPr>
      </w:pPr>
      <w:r>
        <w:rPr>
          <w:rFonts w:ascii="FangSong" w:hAnsi="FangSong" w:eastAsia="FangSong" w:cs="FangSong"/>
          <w:sz w:val="30"/>
          <w:szCs w:val="30"/>
          <w:spacing w:val="18"/>
        </w:rPr>
        <w:t>1、《中华人民共和国职业病防治法》第七十条第(四)项</w:t>
      </w:r>
      <w:r>
        <w:rPr>
          <w:rFonts w:ascii="FangSong" w:hAnsi="FangSong" w:eastAsia="FangSong" w:cs="FangSong"/>
          <w:sz w:val="30"/>
          <w:szCs w:val="30"/>
          <w:spacing w:val="18"/>
        </w:rPr>
        <w:t xml:space="preserve">   </w:t>
      </w:r>
      <w:r>
        <w:rPr>
          <w:rFonts w:ascii="FangSong" w:hAnsi="FangSong" w:eastAsia="FangSong" w:cs="FangSong"/>
          <w:sz w:val="30"/>
          <w:szCs w:val="30"/>
          <w:spacing w:val="18"/>
        </w:rPr>
        <w:t>违反本法规</w:t>
      </w:r>
      <w:r>
        <w:rPr>
          <w:rFonts w:ascii="FangSong" w:hAnsi="FangSong" w:eastAsia="FangSong" w:cs="FangSong"/>
          <w:sz w:val="30"/>
          <w:szCs w:val="30"/>
          <w:spacing w:val="17"/>
        </w:rPr>
        <w:t>定，有下列行为之一的，</w:t>
      </w:r>
      <w:r>
        <w:rPr>
          <w:rFonts w:ascii="FangSong" w:hAnsi="FangSong" w:eastAsia="FangSong" w:cs="FangSong"/>
          <w:sz w:val="30"/>
          <w:szCs w:val="30"/>
        </w:rPr>
        <w:t xml:space="preserve"> </w:t>
      </w:r>
      <w:r>
        <w:rPr>
          <w:rFonts w:ascii="FangSong" w:hAnsi="FangSong" w:eastAsia="FangSong" w:cs="FangSong"/>
          <w:sz w:val="30"/>
          <w:szCs w:val="30"/>
          <w:spacing w:val="17"/>
        </w:rPr>
        <w:t>由卫生行政部门给予警告，责令限期改正；逾期不改正的，处十万元以下</w:t>
      </w:r>
      <w:r>
        <w:rPr>
          <w:rFonts w:ascii="FangSong" w:hAnsi="FangSong" w:eastAsia="FangSong" w:cs="FangSong"/>
          <w:sz w:val="30"/>
          <w:szCs w:val="30"/>
          <w:spacing w:val="16"/>
        </w:rPr>
        <w:t>的罚款：</w:t>
      </w:r>
    </w:p>
    <w:p>
      <w:pPr>
        <w:ind w:right="130" w:firstLine="790"/>
        <w:spacing w:before="1" w:line="267" w:lineRule="auto"/>
        <w:rPr>
          <w:rFonts w:ascii="FangSong" w:hAnsi="FangSong" w:eastAsia="FangSong" w:cs="FangSong"/>
          <w:sz w:val="30"/>
          <w:szCs w:val="30"/>
        </w:rPr>
      </w:pPr>
      <w:r>
        <w:rPr>
          <w:rFonts w:ascii="FangSong" w:hAnsi="FangSong" w:eastAsia="FangSong" w:cs="FangSong"/>
          <w:sz w:val="30"/>
          <w:szCs w:val="30"/>
          <w:spacing w:val="20"/>
        </w:rPr>
        <w:t>(四)未按照规定组织劳动者进行职业卫生培训，或者未对劳动者个人职业病防护采取指导</w:t>
      </w:r>
      <w:r>
        <w:rPr>
          <w:rFonts w:ascii="FangSong" w:hAnsi="FangSong" w:eastAsia="FangSong" w:cs="FangSong"/>
          <w:sz w:val="30"/>
          <w:szCs w:val="30"/>
          <w:spacing w:val="19"/>
        </w:rPr>
        <w:t>、督</w:t>
      </w:r>
      <w:r>
        <w:rPr>
          <w:rFonts w:ascii="FangSong" w:hAnsi="FangSong" w:eastAsia="FangSong" w:cs="FangSong"/>
          <w:sz w:val="30"/>
          <w:szCs w:val="30"/>
        </w:rPr>
        <w:t xml:space="preserve"> </w:t>
      </w:r>
      <w:r>
        <w:rPr>
          <w:rFonts w:ascii="FangSong" w:hAnsi="FangSong" w:eastAsia="FangSong" w:cs="FangSong"/>
          <w:sz w:val="30"/>
          <w:szCs w:val="30"/>
          <w:spacing w:val="12"/>
        </w:rPr>
        <w:t>促措施的。</w:t>
      </w:r>
    </w:p>
    <w:p>
      <w:pPr>
        <w:ind w:right="137" w:firstLine="649"/>
        <w:spacing w:before="3" w:line="277" w:lineRule="auto"/>
        <w:rPr>
          <w:rFonts w:ascii="FangSong" w:hAnsi="FangSong" w:eastAsia="FangSong" w:cs="FangSong"/>
          <w:sz w:val="30"/>
          <w:szCs w:val="30"/>
        </w:rPr>
      </w:pPr>
      <w:r>
        <w:rPr>
          <w:rFonts w:ascii="FangSong" w:hAnsi="FangSong" w:eastAsia="FangSong" w:cs="FangSong"/>
          <w:sz w:val="30"/>
          <w:szCs w:val="30"/>
          <w:spacing w:val="13"/>
        </w:rPr>
        <w:t>2.</w:t>
      </w:r>
      <w:r>
        <w:rPr>
          <w:rFonts w:ascii="FangSong" w:hAnsi="FangSong" w:eastAsia="FangSong" w:cs="FangSong"/>
          <w:sz w:val="30"/>
          <w:szCs w:val="30"/>
          <w:spacing w:val="13"/>
        </w:rPr>
        <w:t xml:space="preserve"> </w:t>
      </w:r>
      <w:r>
        <w:rPr>
          <w:rFonts w:ascii="FangSong" w:hAnsi="FangSong" w:eastAsia="FangSong" w:cs="FangSong"/>
          <w:sz w:val="30"/>
          <w:szCs w:val="30"/>
          <w:spacing w:val="13"/>
        </w:rPr>
        <w:t>《中华人民共和国职业病防治法》第八十七条</w:t>
      </w:r>
      <w:r>
        <w:rPr>
          <w:rFonts w:ascii="FangSong" w:hAnsi="FangSong" w:eastAsia="FangSong" w:cs="FangSong"/>
          <w:sz w:val="30"/>
          <w:szCs w:val="30"/>
          <w:spacing w:val="43"/>
        </w:rPr>
        <w:t xml:space="preserve">   </w:t>
      </w:r>
      <w:r>
        <w:rPr>
          <w:rFonts w:ascii="FangSong" w:hAnsi="FangSong" w:eastAsia="FangSong" w:cs="FangSong"/>
          <w:sz w:val="30"/>
          <w:szCs w:val="30"/>
          <w:spacing w:val="13"/>
        </w:rPr>
        <w:t>对医疗机构放射性职业病危害控</w:t>
      </w:r>
      <w:r>
        <w:rPr>
          <w:rFonts w:ascii="FangSong" w:hAnsi="FangSong" w:eastAsia="FangSong" w:cs="FangSong"/>
          <w:sz w:val="30"/>
          <w:szCs w:val="30"/>
          <w:spacing w:val="12"/>
        </w:rPr>
        <w:t>制的监督管</w:t>
      </w:r>
      <w:r>
        <w:rPr>
          <w:rFonts w:ascii="FangSong" w:hAnsi="FangSong" w:eastAsia="FangSong" w:cs="FangSong"/>
          <w:sz w:val="30"/>
          <w:szCs w:val="30"/>
          <w:spacing w:val="1"/>
        </w:rPr>
        <w:t xml:space="preserve"> </w:t>
      </w:r>
      <w:r>
        <w:rPr>
          <w:rFonts w:ascii="FangSong" w:hAnsi="FangSong" w:eastAsia="FangSong" w:cs="FangSong"/>
          <w:sz w:val="30"/>
          <w:szCs w:val="30"/>
          <w:spacing w:val="15"/>
        </w:rPr>
        <w:t>理，由卫生行政部门依照本法的规定实施。</w:t>
      </w:r>
    </w:p>
    <w:p>
      <w:pPr>
        <w:ind w:left="6423"/>
        <w:spacing w:before="138"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80" w:type="dxa"/>
        <w:tblInd w:w="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4"/>
        <w:gridCol w:w="7545"/>
        <w:gridCol w:w="4631"/>
      </w:tblGrid>
      <w:tr>
        <w:trPr>
          <w:trHeight w:val="663" w:hRule="atLeast"/>
        </w:trPr>
        <w:tc>
          <w:tcPr>
            <w:tcW w:w="1804" w:type="dxa"/>
            <w:vAlign w:val="top"/>
          </w:tcPr>
          <w:p>
            <w:pPr>
              <w:pStyle w:val="TableText"/>
              <w:ind w:left="318"/>
              <w:spacing w:before="21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545" w:type="dxa"/>
            <w:vAlign w:val="top"/>
          </w:tcPr>
          <w:p>
            <w:pPr>
              <w:pStyle w:val="TableText"/>
              <w:ind w:left="3184"/>
              <w:spacing w:before="212" w:line="220" w:lineRule="auto"/>
              <w:rPr/>
            </w:pPr>
            <w:r>
              <w:rPr>
                <w:b/>
                <w:bCs/>
                <w:spacing w:val="-11"/>
              </w:rPr>
              <w:t>情</w:t>
            </w:r>
            <w:r>
              <w:rPr>
                <w:spacing w:val="-37"/>
              </w:rPr>
              <w:t xml:space="preserve"> </w:t>
            </w:r>
            <w:r>
              <w:rPr>
                <w:b/>
                <w:bCs/>
                <w:spacing w:val="-11"/>
              </w:rPr>
              <w:t>节</w:t>
            </w:r>
            <w:r>
              <w:rPr>
                <w:spacing w:val="-36"/>
              </w:rPr>
              <w:t xml:space="preserve"> </w:t>
            </w:r>
            <w:r>
              <w:rPr>
                <w:b/>
                <w:bCs/>
                <w:spacing w:val="-11"/>
              </w:rPr>
              <w:t>后</w:t>
            </w:r>
            <w:r>
              <w:rPr>
                <w:spacing w:val="-33"/>
              </w:rPr>
              <w:t xml:space="preserve"> </w:t>
            </w:r>
            <w:r>
              <w:rPr>
                <w:b/>
                <w:bCs/>
                <w:spacing w:val="-11"/>
              </w:rPr>
              <w:t>果</w:t>
            </w:r>
          </w:p>
        </w:tc>
        <w:tc>
          <w:tcPr>
            <w:tcW w:w="4631" w:type="dxa"/>
            <w:vAlign w:val="top"/>
          </w:tcPr>
          <w:p>
            <w:pPr>
              <w:pStyle w:val="TableText"/>
              <w:ind w:left="1749"/>
              <w:spacing w:before="20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718" w:hRule="atLeast"/>
        </w:trPr>
        <w:tc>
          <w:tcPr>
            <w:tcW w:w="1804" w:type="dxa"/>
            <w:vAlign w:val="top"/>
          </w:tcPr>
          <w:p>
            <w:pPr>
              <w:pStyle w:val="TableText"/>
              <w:ind w:left="658"/>
              <w:spacing w:before="239" w:line="221" w:lineRule="auto"/>
              <w:rPr/>
            </w:pPr>
            <w:r>
              <w:rPr>
                <w:b/>
                <w:bCs/>
                <w:spacing w:val="-10"/>
              </w:rPr>
              <w:t>一般</w:t>
            </w:r>
          </w:p>
        </w:tc>
        <w:tc>
          <w:tcPr>
            <w:tcW w:w="7545" w:type="dxa"/>
            <w:vAlign w:val="top"/>
          </w:tcPr>
          <w:p>
            <w:pPr>
              <w:pStyle w:val="TableText"/>
              <w:ind w:left="101" w:right="163" w:firstLine="59"/>
              <w:spacing w:before="81" w:line="241" w:lineRule="auto"/>
              <w:rPr/>
            </w:pPr>
            <w:r>
              <w:rPr/>
              <w:t>医疗机构未对放射工作人员进行在岗期间的定期职业卫生培训，经警</w:t>
            </w:r>
            <w:r>
              <w:rPr>
                <w:spacing w:val="9"/>
              </w:rPr>
              <w:t xml:space="preserve"> </w:t>
            </w:r>
            <w:r>
              <w:rPr>
                <w:spacing w:val="2"/>
              </w:rPr>
              <w:t>告，逾期不改正的</w:t>
            </w:r>
          </w:p>
        </w:tc>
        <w:tc>
          <w:tcPr>
            <w:tcW w:w="4631" w:type="dxa"/>
            <w:vAlign w:val="top"/>
          </w:tcPr>
          <w:p>
            <w:pPr>
              <w:pStyle w:val="TableText"/>
              <w:ind w:left="126"/>
              <w:spacing w:before="242" w:line="220" w:lineRule="auto"/>
              <w:rPr/>
            </w:pPr>
            <w:r>
              <w:rPr>
                <w:spacing w:val="1"/>
              </w:rPr>
              <w:t>处三万元以下的罚款</w:t>
            </w:r>
          </w:p>
        </w:tc>
      </w:tr>
      <w:tr>
        <w:trPr>
          <w:trHeight w:val="688" w:hRule="atLeast"/>
        </w:trPr>
        <w:tc>
          <w:tcPr>
            <w:tcW w:w="1804" w:type="dxa"/>
            <w:vAlign w:val="top"/>
          </w:tcPr>
          <w:p>
            <w:pPr>
              <w:pStyle w:val="TableText"/>
              <w:ind w:left="658"/>
              <w:spacing w:before="233" w:line="221" w:lineRule="auto"/>
              <w:rPr/>
            </w:pPr>
            <w:r>
              <w:rPr>
                <w:b/>
                <w:bCs/>
                <w:spacing w:val="-5"/>
              </w:rPr>
              <w:t>较重</w:t>
            </w:r>
          </w:p>
        </w:tc>
        <w:tc>
          <w:tcPr>
            <w:tcW w:w="7545" w:type="dxa"/>
            <w:vAlign w:val="top"/>
          </w:tcPr>
          <w:p>
            <w:pPr>
              <w:pStyle w:val="TableText"/>
              <w:ind w:left="100" w:right="38" w:hanging="60"/>
              <w:spacing w:before="61" w:line="237" w:lineRule="auto"/>
              <w:rPr/>
            </w:pPr>
            <w:r>
              <w:rPr/>
              <w:t>医疗机构未对放射工作人员进行上岗前的职业卫生培训，经警告，逾期</w:t>
            </w:r>
            <w:r>
              <w:rPr>
                <w:spacing w:val="14"/>
              </w:rPr>
              <w:t xml:space="preserve"> </w:t>
            </w:r>
            <w:r>
              <w:rPr>
                <w:spacing w:val="4"/>
              </w:rPr>
              <w:t>不改正的</w:t>
            </w:r>
          </w:p>
        </w:tc>
        <w:tc>
          <w:tcPr>
            <w:tcW w:w="4631" w:type="dxa"/>
            <w:vAlign w:val="top"/>
          </w:tcPr>
          <w:p>
            <w:pPr>
              <w:pStyle w:val="TableText"/>
              <w:ind w:left="126"/>
              <w:spacing w:before="234" w:line="220" w:lineRule="auto"/>
              <w:rPr/>
            </w:pPr>
            <w:r>
              <w:rPr/>
              <w:t>处三万元以上七万元以下的罚款</w:t>
            </w:r>
          </w:p>
        </w:tc>
      </w:tr>
      <w:tr>
        <w:trPr>
          <w:trHeight w:val="828" w:hRule="atLeast"/>
        </w:trPr>
        <w:tc>
          <w:tcPr>
            <w:tcW w:w="1804" w:type="dxa"/>
            <w:vAlign w:val="top"/>
          </w:tcPr>
          <w:p>
            <w:pPr>
              <w:pStyle w:val="TableText"/>
              <w:ind w:left="658"/>
              <w:spacing w:before="303" w:line="220" w:lineRule="auto"/>
              <w:rPr/>
            </w:pPr>
            <w:r>
              <w:rPr>
                <w:b/>
                <w:bCs/>
                <w:spacing w:val="-6"/>
              </w:rPr>
              <w:t>严重</w:t>
            </w:r>
          </w:p>
        </w:tc>
        <w:tc>
          <w:tcPr>
            <w:tcW w:w="7545" w:type="dxa"/>
            <w:vAlign w:val="top"/>
          </w:tcPr>
          <w:p>
            <w:pPr>
              <w:pStyle w:val="TableText"/>
              <w:ind w:left="121" w:right="161" w:firstLine="39"/>
              <w:spacing w:before="134" w:line="263" w:lineRule="auto"/>
              <w:rPr/>
            </w:pPr>
            <w:r>
              <w:rPr/>
              <w:t>医疗机构未对放射工作人员进行上岗前的职业卫生培训，且未进行在</w:t>
            </w:r>
            <w:r>
              <w:rPr>
                <w:spacing w:val="12"/>
              </w:rPr>
              <w:t xml:space="preserve"> </w:t>
            </w:r>
            <w:r>
              <w:rPr/>
              <w:t>岗期间的定期职业卫生培训，经警告，逾期不改正的</w:t>
            </w:r>
          </w:p>
        </w:tc>
        <w:tc>
          <w:tcPr>
            <w:tcW w:w="4631" w:type="dxa"/>
            <w:vAlign w:val="top"/>
          </w:tcPr>
          <w:p>
            <w:pPr>
              <w:pStyle w:val="TableText"/>
              <w:ind w:left="126"/>
              <w:spacing w:before="306" w:line="220" w:lineRule="auto"/>
              <w:rPr/>
            </w:pPr>
            <w:r>
              <w:rPr/>
              <w:t>处七万元以上十万元以下的罚款</w:t>
            </w:r>
          </w:p>
        </w:tc>
      </w:tr>
      <w:tr>
        <w:trPr>
          <w:trHeight w:val="853" w:hRule="atLeast"/>
        </w:trPr>
        <w:tc>
          <w:tcPr>
            <w:tcW w:w="1804" w:type="dxa"/>
            <w:vAlign w:val="top"/>
          </w:tcPr>
          <w:p>
            <w:pPr>
              <w:pStyle w:val="TableText"/>
              <w:ind w:left="418"/>
              <w:spacing w:before="314" w:line="219" w:lineRule="auto"/>
              <w:rPr/>
            </w:pPr>
            <w:r>
              <w:rPr>
                <w:b/>
                <w:bCs/>
                <w:spacing w:val="-5"/>
              </w:rPr>
              <w:t>特别严重</w:t>
            </w:r>
          </w:p>
        </w:tc>
        <w:tc>
          <w:tcPr>
            <w:tcW w:w="7545" w:type="dxa"/>
            <w:vAlign w:val="top"/>
          </w:tcPr>
          <w:p>
            <w:pPr>
              <w:pStyle w:val="TableText"/>
              <w:ind w:left="90" w:right="43" w:hanging="50"/>
              <w:spacing w:before="174" w:line="257" w:lineRule="auto"/>
              <w:rPr/>
            </w:pPr>
            <w:r>
              <w:rPr/>
              <w:t>医疗机构未按照规定组织放射工作人员进行职业卫生培训，经警告，逾</w:t>
            </w:r>
            <w:r>
              <w:rPr>
                <w:spacing w:val="9"/>
              </w:rPr>
              <w:t xml:space="preserve"> </w:t>
            </w:r>
            <w:r>
              <w:rPr>
                <w:spacing w:val="1"/>
              </w:rPr>
              <w:t>期不改正，造成严重后果的</w:t>
            </w:r>
          </w:p>
        </w:tc>
        <w:tc>
          <w:tcPr>
            <w:tcW w:w="4631" w:type="dxa"/>
            <w:vAlign w:val="top"/>
          </w:tcPr>
          <w:p>
            <w:pPr>
              <w:pStyle w:val="TableText"/>
              <w:ind w:left="126"/>
              <w:spacing w:before="318" w:line="220" w:lineRule="auto"/>
              <w:rPr/>
            </w:pPr>
            <w:r>
              <w:rPr>
                <w:spacing w:val="1"/>
              </w:rPr>
              <w:t>处十万元的罚款</w:t>
            </w:r>
          </w:p>
        </w:tc>
      </w:tr>
    </w:tbl>
    <w:p>
      <w:pPr>
        <w:pStyle w:val="BodyText"/>
        <w:rPr/>
      </w:pPr>
      <w:r/>
    </w:p>
    <w:p>
      <w:pPr>
        <w:sectPr>
          <w:footerReference w:type="default" r:id="rId607"/>
          <w:pgSz w:w="16830" w:h="11900"/>
          <w:pgMar w:top="1011" w:right="1340" w:bottom="1125" w:left="1430" w:header="0" w:footer="783" w:gutter="0"/>
        </w:sectPr>
        <w:rPr/>
      </w:pPr>
    </w:p>
    <w:p>
      <w:pPr>
        <w:pStyle w:val="BodyText"/>
        <w:spacing w:line="262" w:lineRule="auto"/>
        <w:rPr/>
      </w:pPr>
      <w:r/>
    </w:p>
    <w:p>
      <w:pPr>
        <w:pStyle w:val="BodyText"/>
        <w:spacing w:line="263" w:lineRule="auto"/>
        <w:rPr/>
      </w:pPr>
      <w:r/>
    </w:p>
    <w:p>
      <w:pPr>
        <w:pStyle w:val="BodyText"/>
        <w:spacing w:line="263" w:lineRule="auto"/>
        <w:rPr/>
      </w:pPr>
      <w:r/>
    </w:p>
    <w:p>
      <w:pPr>
        <w:ind w:left="4" w:right="90" w:firstLine="639"/>
        <w:spacing w:before="97" w:line="279" w:lineRule="auto"/>
        <w:rPr>
          <w:rFonts w:ascii="FangSong" w:hAnsi="FangSong" w:eastAsia="FangSong" w:cs="FangSong"/>
          <w:sz w:val="30"/>
          <w:szCs w:val="30"/>
        </w:rPr>
      </w:pPr>
      <w:bookmarkStart w:name="bookmark1233" w:id="611"/>
      <w:bookmarkEnd w:id="611"/>
      <w:r>
        <w:rPr>
          <w:rFonts w:ascii="FangSong" w:hAnsi="FangSong" w:eastAsia="FangSong" w:cs="FangSong"/>
          <w:sz w:val="30"/>
          <w:szCs w:val="30"/>
          <w:b/>
          <w:bCs/>
          <w:spacing w:val="20"/>
        </w:rPr>
        <w:t>第五百八十一条医疗机构未按照规定组织职业健康检查、建立职业健康监护档案或者未将检查</w:t>
      </w:r>
      <w:r>
        <w:rPr>
          <w:rFonts w:ascii="FangSong" w:hAnsi="FangSong" w:eastAsia="FangSong" w:cs="FangSong"/>
          <w:sz w:val="30"/>
          <w:szCs w:val="30"/>
          <w:spacing w:val="9"/>
        </w:rPr>
        <w:t xml:space="preserve"> </w:t>
      </w:r>
      <w:r>
        <w:rPr>
          <w:rFonts w:ascii="FangSong" w:hAnsi="FangSong" w:eastAsia="FangSong" w:cs="FangSong"/>
          <w:sz w:val="30"/>
          <w:szCs w:val="30"/>
          <w:b/>
          <w:bCs/>
          <w:spacing w:val="14"/>
        </w:rPr>
        <w:t>结果书面告知劳动者的</w:t>
      </w:r>
    </w:p>
    <w:p>
      <w:pPr>
        <w:ind w:left="639"/>
        <w:spacing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ind w:right="101" w:firstLine="639"/>
        <w:spacing w:before="93" w:line="270" w:lineRule="auto"/>
        <w:rPr>
          <w:rFonts w:ascii="FangSong" w:hAnsi="FangSong" w:eastAsia="FangSong" w:cs="FangSong"/>
          <w:sz w:val="30"/>
          <w:szCs w:val="30"/>
        </w:rPr>
      </w:pPr>
      <w:r>
        <w:rPr>
          <w:rFonts w:ascii="FangSong" w:hAnsi="FangSong" w:eastAsia="FangSong" w:cs="FangSong"/>
          <w:sz w:val="30"/>
          <w:szCs w:val="30"/>
          <w:spacing w:val="21"/>
        </w:rPr>
        <w:t>1.</w:t>
      </w:r>
      <w:r>
        <w:rPr>
          <w:rFonts w:ascii="FangSong" w:hAnsi="FangSong" w:eastAsia="FangSong" w:cs="FangSong"/>
          <w:sz w:val="30"/>
          <w:szCs w:val="30"/>
          <w:spacing w:val="21"/>
        </w:rPr>
        <w:t xml:space="preserve"> </w:t>
      </w:r>
      <w:r>
        <w:rPr>
          <w:rFonts w:ascii="FangSong" w:hAnsi="FangSong" w:eastAsia="FangSong" w:cs="FangSong"/>
          <w:sz w:val="30"/>
          <w:szCs w:val="30"/>
          <w:spacing w:val="21"/>
        </w:rPr>
        <w:t>《中华人民共和国职业病防治法》第七十一条第(四)项</w:t>
      </w:r>
      <w:r>
        <w:rPr>
          <w:rFonts w:ascii="FangSong" w:hAnsi="FangSong" w:eastAsia="FangSong" w:cs="FangSong"/>
          <w:sz w:val="30"/>
          <w:szCs w:val="30"/>
          <w:spacing w:val="21"/>
        </w:rPr>
        <w:t xml:space="preserve">   </w:t>
      </w:r>
      <w:r>
        <w:rPr>
          <w:rFonts w:ascii="FangSong" w:hAnsi="FangSong" w:eastAsia="FangSong" w:cs="FangSong"/>
          <w:sz w:val="30"/>
          <w:szCs w:val="30"/>
          <w:spacing w:val="21"/>
        </w:rPr>
        <w:t>用人单位违反本法规定，有下列</w:t>
      </w:r>
      <w:r>
        <w:rPr>
          <w:rFonts w:ascii="FangSong" w:hAnsi="FangSong" w:eastAsia="FangSong" w:cs="FangSong"/>
          <w:sz w:val="30"/>
          <w:szCs w:val="30"/>
          <w:spacing w:val="7"/>
        </w:rPr>
        <w:t xml:space="preserve"> </w:t>
      </w:r>
      <w:r>
        <w:rPr>
          <w:rFonts w:ascii="FangSong" w:hAnsi="FangSong" w:eastAsia="FangSong" w:cs="FangSong"/>
          <w:sz w:val="30"/>
          <w:szCs w:val="30"/>
          <w:spacing w:val="18"/>
        </w:rPr>
        <w:t>行为之一的，由卫生行政部门责令限期改正，给予警告，可以并</w:t>
      </w:r>
      <w:r>
        <w:rPr>
          <w:rFonts w:ascii="FangSong" w:hAnsi="FangSong" w:eastAsia="FangSong" w:cs="FangSong"/>
          <w:sz w:val="30"/>
          <w:szCs w:val="30"/>
          <w:spacing w:val="17"/>
        </w:rPr>
        <w:t>处五万元以上十万元以下的罚款：</w:t>
      </w:r>
    </w:p>
    <w:p>
      <w:pPr>
        <w:ind w:right="51" w:firstLine="790"/>
        <w:spacing w:line="268" w:lineRule="auto"/>
        <w:rPr>
          <w:rFonts w:ascii="FangSong" w:hAnsi="FangSong" w:eastAsia="FangSong" w:cs="FangSong"/>
          <w:sz w:val="30"/>
          <w:szCs w:val="30"/>
        </w:rPr>
      </w:pPr>
      <w:r>
        <w:rPr>
          <w:rFonts w:ascii="FangSong" w:hAnsi="FangSong" w:eastAsia="FangSong" w:cs="FangSong"/>
          <w:sz w:val="30"/>
          <w:szCs w:val="30"/>
          <w:spacing w:val="20"/>
        </w:rPr>
        <w:t>(四)未按照规定组织职业健康检查、建立职业健康监护档案或者未将检查结果书面告知劳动者</w:t>
      </w:r>
      <w:r>
        <w:rPr>
          <w:rFonts w:ascii="FangSong" w:hAnsi="FangSong" w:eastAsia="FangSong" w:cs="FangSong"/>
          <w:sz w:val="30"/>
          <w:szCs w:val="30"/>
          <w:spacing w:val="12"/>
        </w:rPr>
        <w:t xml:space="preserve"> </w:t>
      </w:r>
      <w:r>
        <w:rPr>
          <w:rFonts w:ascii="FangSong" w:hAnsi="FangSong" w:eastAsia="FangSong" w:cs="FangSong"/>
          <w:sz w:val="30"/>
          <w:szCs w:val="30"/>
          <w:spacing w:val="-19"/>
        </w:rPr>
        <w:t>的</w:t>
      </w:r>
      <w:r>
        <w:rPr>
          <w:rFonts w:ascii="FangSong" w:hAnsi="FangSong" w:eastAsia="FangSong" w:cs="FangSong"/>
          <w:sz w:val="30"/>
          <w:szCs w:val="30"/>
          <w:spacing w:val="-73"/>
        </w:rPr>
        <w:t xml:space="preserve"> </w:t>
      </w:r>
      <w:r>
        <w:rPr>
          <w:rFonts w:ascii="FangSong" w:hAnsi="FangSong" w:eastAsia="FangSong" w:cs="FangSong"/>
          <w:sz w:val="30"/>
          <w:szCs w:val="30"/>
          <w:spacing w:val="-19"/>
        </w:rPr>
        <w:t>。</w:t>
      </w:r>
    </w:p>
    <w:p>
      <w:pPr>
        <w:ind w:right="72" w:firstLine="639"/>
        <w:spacing w:before="2" w:line="277" w:lineRule="auto"/>
        <w:rPr>
          <w:rFonts w:ascii="FangSong" w:hAnsi="FangSong" w:eastAsia="FangSong" w:cs="FangSong"/>
          <w:sz w:val="30"/>
          <w:szCs w:val="30"/>
        </w:rPr>
      </w:pPr>
      <w:r>
        <w:rPr>
          <w:rFonts w:ascii="FangSong" w:hAnsi="FangSong" w:eastAsia="FangSong" w:cs="FangSong"/>
          <w:sz w:val="30"/>
          <w:szCs w:val="30"/>
          <w:spacing w:val="13"/>
        </w:rPr>
        <w:t>2.</w:t>
      </w:r>
      <w:r>
        <w:rPr>
          <w:rFonts w:ascii="FangSong" w:hAnsi="FangSong" w:eastAsia="FangSong" w:cs="FangSong"/>
          <w:sz w:val="30"/>
          <w:szCs w:val="30"/>
          <w:spacing w:val="13"/>
        </w:rPr>
        <w:t xml:space="preserve"> </w:t>
      </w:r>
      <w:r>
        <w:rPr>
          <w:rFonts w:ascii="FangSong" w:hAnsi="FangSong" w:eastAsia="FangSong" w:cs="FangSong"/>
          <w:sz w:val="30"/>
          <w:szCs w:val="30"/>
          <w:spacing w:val="13"/>
        </w:rPr>
        <w:t>《中华人民共和国职业病防治法》第八十七条</w:t>
      </w:r>
      <w:r>
        <w:rPr>
          <w:rFonts w:ascii="FangSong" w:hAnsi="FangSong" w:eastAsia="FangSong" w:cs="FangSong"/>
          <w:sz w:val="30"/>
          <w:szCs w:val="30"/>
          <w:spacing w:val="45"/>
        </w:rPr>
        <w:t xml:space="preserve">   </w:t>
      </w:r>
      <w:r>
        <w:rPr>
          <w:rFonts w:ascii="FangSong" w:hAnsi="FangSong" w:eastAsia="FangSong" w:cs="FangSong"/>
          <w:sz w:val="30"/>
          <w:szCs w:val="30"/>
          <w:spacing w:val="13"/>
        </w:rPr>
        <w:t>对医疗机构放射性职业病危害控制的监督管</w:t>
      </w:r>
      <w:r>
        <w:rPr>
          <w:rFonts w:ascii="FangSong" w:hAnsi="FangSong" w:eastAsia="FangSong" w:cs="FangSong"/>
          <w:sz w:val="30"/>
          <w:szCs w:val="30"/>
        </w:rPr>
        <w:t xml:space="preserve"> </w:t>
      </w:r>
      <w:r>
        <w:rPr>
          <w:rFonts w:ascii="FangSong" w:hAnsi="FangSong" w:eastAsia="FangSong" w:cs="FangSong"/>
          <w:sz w:val="30"/>
          <w:szCs w:val="30"/>
          <w:spacing w:val="16"/>
        </w:rPr>
        <w:t>理，由卫生行政部门依照本法的规定实施。</w:t>
      </w:r>
    </w:p>
    <w:p>
      <w:pPr>
        <w:ind w:left="6423"/>
        <w:spacing w:before="139"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9" w:lineRule="auto"/>
        <w:rPr>
          <w:rFonts w:ascii="Arial"/>
          <w:sz w:val="2"/>
        </w:rPr>
      </w:pPr>
      <w:r>
        <w:rPr>
          <w:rFonts w:ascii="Arial"/>
          <w:sz w:val="2"/>
        </w:rPr>
      </w:r>
    </w:p>
    <w:tbl>
      <w:tblPr>
        <w:tblStyle w:val="TableNormal"/>
        <w:tblW w:w="13980" w:type="dxa"/>
        <w:tblInd w:w="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584"/>
        <w:gridCol w:w="4612"/>
      </w:tblGrid>
      <w:tr>
        <w:trPr>
          <w:trHeight w:val="663" w:hRule="atLeast"/>
        </w:trPr>
        <w:tc>
          <w:tcPr>
            <w:tcW w:w="1784" w:type="dxa"/>
            <w:vAlign w:val="top"/>
          </w:tcPr>
          <w:p>
            <w:pPr>
              <w:pStyle w:val="TableText"/>
              <w:ind w:left="388"/>
              <w:spacing w:before="212" w:line="220" w:lineRule="auto"/>
              <w:rPr>
                <w:sz w:val="25"/>
                <w:szCs w:val="25"/>
              </w:rPr>
            </w:pPr>
            <w:r>
              <w:rPr>
                <w:sz w:val="25"/>
                <w:szCs w:val="25"/>
                <w:b/>
                <w:bCs/>
                <w:spacing w:val="-5"/>
              </w:rPr>
              <w:t>违法程度</w:t>
            </w:r>
          </w:p>
        </w:tc>
        <w:tc>
          <w:tcPr>
            <w:tcW w:w="7584" w:type="dxa"/>
            <w:vAlign w:val="top"/>
          </w:tcPr>
          <w:p>
            <w:pPr>
              <w:pStyle w:val="TableText"/>
              <w:ind w:left="3224"/>
              <w:spacing w:before="212" w:line="220" w:lineRule="auto"/>
              <w:rPr>
                <w:sz w:val="25"/>
                <w:szCs w:val="25"/>
              </w:rPr>
            </w:pPr>
            <w:r>
              <w:rPr>
                <w:sz w:val="25"/>
                <w:szCs w:val="25"/>
                <w:b/>
                <w:bCs/>
                <w:spacing w:val="-5"/>
              </w:rPr>
              <w:t>情节后果</w:t>
            </w:r>
          </w:p>
        </w:tc>
        <w:tc>
          <w:tcPr>
            <w:tcW w:w="4612" w:type="dxa"/>
            <w:vAlign w:val="top"/>
          </w:tcPr>
          <w:p>
            <w:pPr>
              <w:pStyle w:val="TableText"/>
              <w:ind w:left="1800"/>
              <w:spacing w:before="209" w:line="218" w:lineRule="auto"/>
              <w:rPr>
                <w:sz w:val="25"/>
                <w:szCs w:val="25"/>
              </w:rPr>
            </w:pPr>
            <w:r>
              <w:rPr>
                <w:sz w:val="25"/>
                <w:szCs w:val="25"/>
                <w:b/>
                <w:bCs/>
                <w:spacing w:val="-5"/>
              </w:rPr>
              <w:t>裁量幅度</w:t>
            </w:r>
          </w:p>
        </w:tc>
      </w:tr>
      <w:tr>
        <w:trPr>
          <w:trHeight w:val="718" w:hRule="atLeast"/>
        </w:trPr>
        <w:tc>
          <w:tcPr>
            <w:tcW w:w="1784" w:type="dxa"/>
            <w:vAlign w:val="top"/>
          </w:tcPr>
          <w:p>
            <w:pPr>
              <w:pStyle w:val="TableText"/>
              <w:ind w:left="638"/>
              <w:spacing w:before="238" w:line="219" w:lineRule="auto"/>
              <w:rPr>
                <w:sz w:val="25"/>
                <w:szCs w:val="25"/>
              </w:rPr>
            </w:pPr>
            <w:r>
              <w:rPr>
                <w:sz w:val="25"/>
                <w:szCs w:val="25"/>
                <w:b/>
                <w:bCs/>
                <w:spacing w:val="-6"/>
              </w:rPr>
              <w:t>轻微</w:t>
            </w:r>
          </w:p>
        </w:tc>
        <w:tc>
          <w:tcPr>
            <w:tcW w:w="7584" w:type="dxa"/>
            <w:vAlign w:val="top"/>
          </w:tcPr>
          <w:p>
            <w:pPr>
              <w:pStyle w:val="TableText"/>
              <w:ind w:left="121"/>
              <w:spacing w:before="240" w:line="219" w:lineRule="auto"/>
              <w:rPr>
                <w:sz w:val="25"/>
                <w:szCs w:val="25"/>
              </w:rPr>
            </w:pPr>
            <w:r>
              <w:rPr>
                <w:sz w:val="25"/>
                <w:szCs w:val="25"/>
              </w:rPr>
              <w:t>医疗机构未按照规定建立职业健康监护档案的</w:t>
            </w:r>
          </w:p>
        </w:tc>
        <w:tc>
          <w:tcPr>
            <w:tcW w:w="4612" w:type="dxa"/>
            <w:vAlign w:val="top"/>
          </w:tcPr>
          <w:p>
            <w:pPr>
              <w:pStyle w:val="TableText"/>
              <w:ind w:left="126" w:right="39" w:hanging="79"/>
              <w:spacing w:before="101" w:line="224" w:lineRule="auto"/>
              <w:rPr>
                <w:sz w:val="25"/>
                <w:szCs w:val="25"/>
              </w:rPr>
            </w:pPr>
            <w:r>
              <w:rPr>
                <w:sz w:val="25"/>
                <w:szCs w:val="25"/>
              </w:rPr>
              <w:t>责令限期改正，给予警告，可以并处五万</w:t>
            </w:r>
            <w:r>
              <w:rPr>
                <w:sz w:val="25"/>
                <w:szCs w:val="25"/>
                <w:spacing w:val="14"/>
              </w:rPr>
              <w:t xml:space="preserve"> </w:t>
            </w:r>
            <w:r>
              <w:rPr>
                <w:sz w:val="25"/>
                <w:szCs w:val="25"/>
              </w:rPr>
              <w:t>元以上六万元以下的罚款</w:t>
            </w:r>
          </w:p>
        </w:tc>
      </w:tr>
      <w:tr>
        <w:trPr>
          <w:trHeight w:val="688" w:hRule="atLeast"/>
        </w:trPr>
        <w:tc>
          <w:tcPr>
            <w:tcW w:w="1784" w:type="dxa"/>
            <w:vAlign w:val="top"/>
          </w:tcPr>
          <w:p>
            <w:pPr>
              <w:pStyle w:val="TableText"/>
              <w:ind w:left="638"/>
              <w:spacing w:before="222" w:line="221" w:lineRule="auto"/>
              <w:rPr>
                <w:sz w:val="25"/>
                <w:szCs w:val="25"/>
              </w:rPr>
            </w:pPr>
            <w:r>
              <w:rPr>
                <w:sz w:val="25"/>
                <w:szCs w:val="25"/>
                <w:b/>
                <w:bCs/>
                <w:spacing w:val="-10"/>
              </w:rPr>
              <w:t>一般</w:t>
            </w:r>
          </w:p>
        </w:tc>
        <w:tc>
          <w:tcPr>
            <w:tcW w:w="7584" w:type="dxa"/>
            <w:vAlign w:val="top"/>
          </w:tcPr>
          <w:p>
            <w:pPr>
              <w:pStyle w:val="TableText"/>
              <w:ind w:left="121"/>
              <w:spacing w:before="222" w:line="218" w:lineRule="auto"/>
              <w:rPr>
                <w:sz w:val="25"/>
                <w:szCs w:val="25"/>
              </w:rPr>
            </w:pPr>
            <w:r>
              <w:rPr>
                <w:sz w:val="25"/>
                <w:szCs w:val="25"/>
                <w:spacing w:val="1"/>
              </w:rPr>
              <w:t>医疗机构未将职业健康检查结果书面告知放射工作人员</w:t>
            </w:r>
          </w:p>
        </w:tc>
        <w:tc>
          <w:tcPr>
            <w:tcW w:w="4612" w:type="dxa"/>
            <w:vAlign w:val="top"/>
          </w:tcPr>
          <w:p>
            <w:pPr>
              <w:pStyle w:val="TableText"/>
              <w:ind w:left="126" w:right="39" w:hanging="79"/>
              <w:spacing w:before="82" w:line="220" w:lineRule="auto"/>
              <w:rPr>
                <w:sz w:val="25"/>
                <w:szCs w:val="25"/>
              </w:rPr>
            </w:pPr>
            <w:r>
              <w:rPr>
                <w:sz w:val="25"/>
                <w:szCs w:val="25"/>
              </w:rPr>
              <w:t>责令限期改正，给予警告，可以并处六万</w:t>
            </w:r>
            <w:r>
              <w:rPr>
                <w:sz w:val="25"/>
                <w:szCs w:val="25"/>
                <w:spacing w:val="14"/>
              </w:rPr>
              <w:t xml:space="preserve"> </w:t>
            </w:r>
            <w:r>
              <w:rPr>
                <w:sz w:val="25"/>
                <w:szCs w:val="25"/>
              </w:rPr>
              <w:t>元以上七万元以下的罚款</w:t>
            </w:r>
          </w:p>
        </w:tc>
      </w:tr>
      <w:tr>
        <w:trPr>
          <w:trHeight w:val="698" w:hRule="atLeast"/>
        </w:trPr>
        <w:tc>
          <w:tcPr>
            <w:tcW w:w="1784" w:type="dxa"/>
            <w:vAlign w:val="top"/>
          </w:tcPr>
          <w:p>
            <w:pPr>
              <w:pStyle w:val="TableText"/>
              <w:ind w:left="638"/>
              <w:spacing w:before="236" w:line="221" w:lineRule="auto"/>
              <w:rPr>
                <w:sz w:val="25"/>
                <w:szCs w:val="25"/>
              </w:rPr>
            </w:pPr>
            <w:r>
              <w:rPr>
                <w:sz w:val="25"/>
                <w:szCs w:val="25"/>
                <w:b/>
                <w:bCs/>
                <w:spacing w:val="-6"/>
              </w:rPr>
              <w:t>较重</w:t>
            </w:r>
          </w:p>
        </w:tc>
        <w:tc>
          <w:tcPr>
            <w:tcW w:w="7584" w:type="dxa"/>
            <w:vAlign w:val="top"/>
          </w:tcPr>
          <w:p>
            <w:pPr>
              <w:pStyle w:val="TableText"/>
              <w:ind w:left="121"/>
              <w:spacing w:before="54" w:line="234" w:lineRule="auto"/>
              <w:rPr>
                <w:sz w:val="25"/>
                <w:szCs w:val="25"/>
              </w:rPr>
            </w:pPr>
            <w:r>
              <w:rPr>
                <w:sz w:val="25"/>
                <w:szCs w:val="25"/>
                <w:spacing w:val="-2"/>
              </w:rPr>
              <w:t>医疗机构对于职业健康检查结果异常的放射工作人员未按照规定组织</w:t>
            </w:r>
            <w:r>
              <w:rPr>
                <w:sz w:val="25"/>
                <w:szCs w:val="25"/>
                <w:spacing w:val="11"/>
              </w:rPr>
              <w:t xml:space="preserve"> </w:t>
            </w:r>
            <w:r>
              <w:rPr>
                <w:sz w:val="25"/>
                <w:szCs w:val="25"/>
                <w:spacing w:val="5"/>
              </w:rPr>
              <w:t>复检的</w:t>
            </w:r>
          </w:p>
        </w:tc>
        <w:tc>
          <w:tcPr>
            <w:tcW w:w="4612" w:type="dxa"/>
            <w:vAlign w:val="top"/>
          </w:tcPr>
          <w:p>
            <w:pPr>
              <w:pStyle w:val="TableText"/>
              <w:ind w:left="126" w:right="39" w:hanging="79"/>
              <w:spacing w:before="65" w:line="230" w:lineRule="auto"/>
              <w:rPr>
                <w:sz w:val="25"/>
                <w:szCs w:val="25"/>
              </w:rPr>
            </w:pPr>
            <w:r>
              <w:rPr>
                <w:sz w:val="25"/>
                <w:szCs w:val="25"/>
              </w:rPr>
              <w:t>责令限期改正，给予警告，可以并处七万</w:t>
            </w:r>
            <w:r>
              <w:rPr>
                <w:sz w:val="25"/>
                <w:szCs w:val="25"/>
                <w:spacing w:val="14"/>
              </w:rPr>
              <w:t xml:space="preserve"> </w:t>
            </w:r>
            <w:r>
              <w:rPr>
                <w:sz w:val="25"/>
                <w:szCs w:val="25"/>
              </w:rPr>
              <w:t>元以上八万元以下的罚款</w:t>
            </w:r>
          </w:p>
        </w:tc>
      </w:tr>
      <w:tr>
        <w:trPr>
          <w:trHeight w:val="833" w:hRule="atLeast"/>
        </w:trPr>
        <w:tc>
          <w:tcPr>
            <w:tcW w:w="1784" w:type="dxa"/>
            <w:vAlign w:val="top"/>
          </w:tcPr>
          <w:p>
            <w:pPr>
              <w:pStyle w:val="TableText"/>
              <w:ind w:left="638"/>
              <w:spacing w:before="295" w:line="220" w:lineRule="auto"/>
              <w:rPr>
                <w:sz w:val="25"/>
                <w:szCs w:val="25"/>
              </w:rPr>
            </w:pPr>
            <w:r>
              <w:rPr>
                <w:sz w:val="25"/>
                <w:szCs w:val="25"/>
                <w:b/>
                <w:bCs/>
                <w:spacing w:val="-6"/>
              </w:rPr>
              <w:t>严重</w:t>
            </w:r>
          </w:p>
        </w:tc>
        <w:tc>
          <w:tcPr>
            <w:tcW w:w="7584" w:type="dxa"/>
            <w:vAlign w:val="top"/>
          </w:tcPr>
          <w:p>
            <w:pPr>
              <w:pStyle w:val="TableText"/>
              <w:ind w:left="121"/>
              <w:spacing w:before="148" w:line="249" w:lineRule="auto"/>
              <w:rPr>
                <w:sz w:val="25"/>
                <w:szCs w:val="25"/>
              </w:rPr>
            </w:pPr>
            <w:r>
              <w:rPr>
                <w:sz w:val="25"/>
                <w:szCs w:val="25"/>
                <w:spacing w:val="-10"/>
              </w:rPr>
              <w:t>医疗机构未按照规定组织放射工作人员进行上岗前、在岗期间或离岗时</w:t>
            </w:r>
            <w:r>
              <w:rPr>
                <w:sz w:val="25"/>
                <w:szCs w:val="25"/>
                <w:spacing w:val="11"/>
              </w:rPr>
              <w:t xml:space="preserve"> </w:t>
            </w:r>
            <w:r>
              <w:rPr>
                <w:sz w:val="25"/>
                <w:szCs w:val="25"/>
                <w:spacing w:val="1"/>
              </w:rPr>
              <w:t>的职业健康检查</w:t>
            </w:r>
          </w:p>
        </w:tc>
        <w:tc>
          <w:tcPr>
            <w:tcW w:w="4612" w:type="dxa"/>
            <w:vAlign w:val="top"/>
          </w:tcPr>
          <w:p>
            <w:pPr>
              <w:pStyle w:val="TableText"/>
              <w:ind w:left="126" w:right="32" w:hanging="79"/>
              <w:spacing w:before="145" w:line="250" w:lineRule="auto"/>
              <w:rPr>
                <w:sz w:val="25"/>
                <w:szCs w:val="25"/>
              </w:rPr>
            </w:pPr>
            <w:r>
              <w:rPr>
                <w:sz w:val="25"/>
                <w:szCs w:val="25"/>
                <w:spacing w:val="1"/>
              </w:rPr>
              <w:t>责令限期改正，给予警告，并处八万元以</w:t>
            </w:r>
            <w:r>
              <w:rPr>
                <w:sz w:val="25"/>
                <w:szCs w:val="25"/>
                <w:spacing w:val="3"/>
              </w:rPr>
              <w:t xml:space="preserve"> </w:t>
            </w:r>
            <w:r>
              <w:rPr>
                <w:sz w:val="25"/>
                <w:szCs w:val="25"/>
                <w:spacing w:val="1"/>
              </w:rPr>
              <w:t>上十万元以下的罚款</w:t>
            </w:r>
          </w:p>
        </w:tc>
      </w:tr>
    </w:tbl>
    <w:p>
      <w:pPr>
        <w:pStyle w:val="BodyText"/>
        <w:rPr/>
      </w:pPr>
      <w:r/>
    </w:p>
    <w:p>
      <w:pPr>
        <w:sectPr>
          <w:footerReference w:type="default" r:id="rId608"/>
          <w:pgSz w:w="16830" w:h="11900"/>
          <w:pgMar w:top="1011" w:right="1405" w:bottom="1124" w:left="1430" w:header="0" w:footer="782" w:gutter="0"/>
        </w:sectPr>
        <w:rPr/>
      </w:pPr>
    </w:p>
    <w:p>
      <w:pPr>
        <w:spacing w:before="17"/>
        <w:rPr/>
      </w:pPr>
      <w:r/>
    </w:p>
    <w:p>
      <w:pPr>
        <w:spacing w:before="16"/>
        <w:rPr/>
      </w:pPr>
      <w:r/>
    </w:p>
    <w:p>
      <w:pPr>
        <w:spacing w:before="16"/>
        <w:rPr/>
      </w:pPr>
      <w:r/>
    </w:p>
    <w:tbl>
      <w:tblPr>
        <w:tblStyle w:val="TableNormal"/>
        <w:tblW w:w="139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584"/>
        <w:gridCol w:w="4622"/>
      </w:tblGrid>
      <w:tr>
        <w:trPr>
          <w:trHeight w:val="840" w:hRule="atLeast"/>
        </w:trPr>
        <w:tc>
          <w:tcPr>
            <w:tcW w:w="1784" w:type="dxa"/>
            <w:vAlign w:val="top"/>
          </w:tcPr>
          <w:p>
            <w:pPr>
              <w:pStyle w:val="TableText"/>
              <w:ind w:left="398"/>
              <w:spacing w:before="301" w:line="219" w:lineRule="auto"/>
              <w:rPr/>
            </w:pPr>
            <w:bookmarkStart w:name="bookmark1234" w:id="612"/>
            <w:bookmarkEnd w:id="612"/>
            <w:r>
              <w:rPr>
                <w:b/>
                <w:bCs/>
                <w:spacing w:val="-5"/>
              </w:rPr>
              <w:t>特别严重</w:t>
            </w:r>
          </w:p>
        </w:tc>
        <w:tc>
          <w:tcPr>
            <w:tcW w:w="7584" w:type="dxa"/>
            <w:vAlign w:val="top"/>
          </w:tcPr>
          <w:p>
            <w:pPr>
              <w:pStyle w:val="TableText"/>
              <w:ind w:left="179" w:right="60" w:hanging="119"/>
              <w:spacing w:before="143" w:line="264" w:lineRule="auto"/>
              <w:rPr/>
            </w:pPr>
            <w:r>
              <w:rPr/>
              <w:t>医疗机构未按照规定组织职业健康检查、建立职业健康监护档案或者未</w:t>
            </w:r>
            <w:r>
              <w:rPr>
                <w:spacing w:val="11"/>
              </w:rPr>
              <w:t xml:space="preserve"> </w:t>
            </w:r>
            <w:r>
              <w:rPr/>
              <w:t>将检查结果书面告知劳动者，经警告，逾期不改正或造成严重后果的</w:t>
            </w:r>
          </w:p>
        </w:tc>
        <w:tc>
          <w:tcPr>
            <w:tcW w:w="4622" w:type="dxa"/>
            <w:vAlign w:val="top"/>
          </w:tcPr>
          <w:p>
            <w:pPr>
              <w:pStyle w:val="TableText"/>
              <w:ind w:left="127"/>
              <w:spacing w:before="305" w:line="220" w:lineRule="auto"/>
              <w:rPr/>
            </w:pPr>
            <w:r>
              <w:rPr>
                <w:spacing w:val="1"/>
              </w:rPr>
              <w:t>处十万元的罚款</w:t>
            </w:r>
          </w:p>
        </w:tc>
      </w:tr>
    </w:tbl>
    <w:p>
      <w:pPr>
        <w:pStyle w:val="BodyText"/>
        <w:spacing w:line="479" w:lineRule="auto"/>
        <w:rPr/>
      </w:pPr>
      <w:r/>
    </w:p>
    <w:p>
      <w:pPr>
        <w:ind w:left="679"/>
        <w:spacing w:before="95" w:line="220" w:lineRule="auto"/>
        <w:rPr>
          <w:rFonts w:ascii="FangSong" w:hAnsi="FangSong" w:eastAsia="FangSong" w:cs="FangSong"/>
          <w:sz w:val="29"/>
          <w:szCs w:val="29"/>
        </w:rPr>
      </w:pPr>
      <w:r>
        <w:rPr>
          <w:rFonts w:ascii="FangSong" w:hAnsi="FangSong" w:eastAsia="FangSong" w:cs="FangSong"/>
          <w:sz w:val="29"/>
          <w:szCs w:val="29"/>
          <w:b/>
          <w:bCs/>
          <w:spacing w:val="31"/>
        </w:rPr>
        <w:t>第五百八十二条未取得放射卫生技术服务资质认可擅自从事放射卫生技术</w:t>
      </w:r>
      <w:r>
        <w:rPr>
          <w:rFonts w:ascii="FangSong" w:hAnsi="FangSong" w:eastAsia="FangSong" w:cs="FangSong"/>
          <w:sz w:val="29"/>
          <w:szCs w:val="29"/>
          <w:b/>
          <w:bCs/>
          <w:spacing w:val="30"/>
        </w:rPr>
        <w:t>服务的</w:t>
      </w:r>
    </w:p>
    <w:p>
      <w:pPr>
        <w:ind w:left="654"/>
        <w:spacing w:before="102" w:line="222" w:lineRule="auto"/>
        <w:rPr>
          <w:rFonts w:ascii="FangSong" w:hAnsi="FangSong" w:eastAsia="FangSong" w:cs="FangSong"/>
          <w:sz w:val="29"/>
          <w:szCs w:val="29"/>
        </w:rPr>
      </w:pPr>
      <w:r>
        <w:rPr>
          <w:rFonts w:ascii="FangSong" w:hAnsi="FangSong" w:eastAsia="FangSong" w:cs="FangSong"/>
          <w:sz w:val="29"/>
          <w:szCs w:val="29"/>
          <w:spacing w:val="9"/>
        </w:rPr>
        <w:t>法律依据：</w:t>
      </w:r>
    </w:p>
    <w:p>
      <w:pPr>
        <w:ind w:left="5" w:firstLine="624"/>
        <w:spacing w:before="77" w:line="281" w:lineRule="auto"/>
        <w:jc w:val="both"/>
        <w:rPr>
          <w:rFonts w:ascii="FangSong" w:hAnsi="FangSong" w:eastAsia="FangSong" w:cs="FangSong"/>
          <w:sz w:val="29"/>
          <w:szCs w:val="29"/>
        </w:rPr>
      </w:pPr>
      <w:r>
        <w:rPr>
          <w:rFonts w:ascii="FangSong" w:hAnsi="FangSong" w:eastAsia="FangSong" w:cs="FangSong"/>
          <w:sz w:val="29"/>
          <w:szCs w:val="29"/>
          <w:spacing w:val="29"/>
        </w:rPr>
        <w:t>《中华人民共和国职业病防治法》第七十九条</w:t>
      </w:r>
      <w:r>
        <w:rPr>
          <w:rFonts w:ascii="FangSong" w:hAnsi="FangSong" w:eastAsia="FangSong" w:cs="FangSong"/>
          <w:sz w:val="29"/>
          <w:szCs w:val="29"/>
          <w:spacing w:val="29"/>
        </w:rPr>
        <w:t xml:space="preserve">  </w:t>
      </w:r>
      <w:r>
        <w:rPr>
          <w:rFonts w:ascii="FangSong" w:hAnsi="FangSong" w:eastAsia="FangSong" w:cs="FangSong"/>
          <w:sz w:val="29"/>
          <w:szCs w:val="29"/>
          <w:spacing w:val="28"/>
        </w:rPr>
        <w:t xml:space="preserve"> </w:t>
      </w:r>
      <w:r>
        <w:rPr>
          <w:rFonts w:ascii="FangSong" w:hAnsi="FangSong" w:eastAsia="FangSong" w:cs="FangSong"/>
          <w:sz w:val="29"/>
          <w:szCs w:val="29"/>
          <w:spacing w:val="28"/>
        </w:rPr>
        <w:t>未取得职业卫生技术服务资质认可擅自从事职</w:t>
      </w:r>
      <w:r>
        <w:rPr>
          <w:rFonts w:ascii="FangSong" w:hAnsi="FangSong" w:eastAsia="FangSong" w:cs="FangSong"/>
          <w:sz w:val="29"/>
          <w:szCs w:val="29"/>
        </w:rPr>
        <w:t xml:space="preserve">  </w:t>
      </w:r>
      <w:r>
        <w:rPr>
          <w:rFonts w:ascii="FangSong" w:hAnsi="FangSong" w:eastAsia="FangSong" w:cs="FangSong"/>
          <w:sz w:val="29"/>
          <w:szCs w:val="29"/>
          <w:spacing w:val="22"/>
        </w:rPr>
        <w:t>业卫生技术服务的，由卫生行政部门责令立即停止违法行为，没收违法所得；违法所得五千元以上的，</w:t>
      </w:r>
      <w:r>
        <w:rPr>
          <w:rFonts w:ascii="FangSong" w:hAnsi="FangSong" w:eastAsia="FangSong" w:cs="FangSong"/>
          <w:sz w:val="29"/>
          <w:szCs w:val="29"/>
          <w:spacing w:val="4"/>
        </w:rPr>
        <w:t xml:space="preserve"> </w:t>
      </w:r>
      <w:r>
        <w:rPr>
          <w:rFonts w:ascii="FangSong" w:hAnsi="FangSong" w:eastAsia="FangSong" w:cs="FangSong"/>
          <w:sz w:val="29"/>
          <w:szCs w:val="29"/>
          <w:spacing w:val="27"/>
        </w:rPr>
        <w:t>并处违法所得二倍以上十倍以下的罚款；没有违法所得或者违法所得不足五千</w:t>
      </w:r>
      <w:r>
        <w:rPr>
          <w:rFonts w:ascii="FangSong" w:hAnsi="FangSong" w:eastAsia="FangSong" w:cs="FangSong"/>
          <w:sz w:val="29"/>
          <w:szCs w:val="29"/>
          <w:spacing w:val="26"/>
        </w:rPr>
        <w:t>元的，并处五千元以上</w:t>
      </w:r>
      <w:r>
        <w:rPr>
          <w:rFonts w:ascii="FangSong" w:hAnsi="FangSong" w:eastAsia="FangSong" w:cs="FangSong"/>
          <w:sz w:val="29"/>
          <w:szCs w:val="29"/>
        </w:rPr>
        <w:t xml:space="preserve"> </w:t>
      </w:r>
      <w:r>
        <w:rPr>
          <w:rFonts w:ascii="FangSong" w:hAnsi="FangSong" w:eastAsia="FangSong" w:cs="FangSong"/>
          <w:sz w:val="29"/>
          <w:szCs w:val="29"/>
          <w:spacing w:val="26"/>
        </w:rPr>
        <w:t>五万元以下的罚款；情节严重的，对直接负责的主管人员和其他直接责任人员，依法给予降级、撤职</w:t>
      </w:r>
      <w:r>
        <w:rPr>
          <w:rFonts w:ascii="FangSong" w:hAnsi="FangSong" w:eastAsia="FangSong" w:cs="FangSong"/>
          <w:sz w:val="29"/>
          <w:szCs w:val="29"/>
          <w:spacing w:val="5"/>
        </w:rPr>
        <w:t xml:space="preserve">  </w:t>
      </w:r>
      <w:r>
        <w:rPr>
          <w:rFonts w:ascii="FangSong" w:hAnsi="FangSong" w:eastAsia="FangSong" w:cs="FangSong"/>
          <w:sz w:val="29"/>
          <w:szCs w:val="29"/>
          <w:spacing w:val="20"/>
        </w:rPr>
        <w:t>或者开除的处分。</w:t>
      </w:r>
    </w:p>
    <w:p>
      <w:pPr>
        <w:pStyle w:val="BodyText"/>
        <w:spacing w:line="308" w:lineRule="auto"/>
        <w:rPr/>
      </w:pPr>
      <w:r/>
    </w:p>
    <w:p>
      <w:pPr>
        <w:pStyle w:val="BodyText"/>
        <w:spacing w:line="309" w:lineRule="auto"/>
        <w:rPr/>
      </w:pPr>
      <w:r/>
    </w:p>
    <w:p>
      <w:pPr>
        <w:ind w:left="6419"/>
        <w:spacing w:before="95"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99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584"/>
        <w:gridCol w:w="4622"/>
      </w:tblGrid>
      <w:tr>
        <w:trPr>
          <w:trHeight w:val="691" w:hRule="atLeast"/>
        </w:trPr>
        <w:tc>
          <w:tcPr>
            <w:tcW w:w="1784" w:type="dxa"/>
            <w:vAlign w:val="top"/>
          </w:tcPr>
          <w:p>
            <w:pPr>
              <w:pStyle w:val="TableText"/>
              <w:ind w:left="388"/>
              <w:spacing w:before="222" w:line="220" w:lineRule="auto"/>
              <w:rPr>
                <w:sz w:val="25"/>
                <w:szCs w:val="25"/>
              </w:rPr>
            </w:pPr>
            <w:r>
              <w:rPr>
                <w:sz w:val="25"/>
                <w:szCs w:val="25"/>
                <w:b/>
                <w:bCs/>
                <w:spacing w:val="-5"/>
              </w:rPr>
              <w:t>违法程度</w:t>
            </w:r>
          </w:p>
        </w:tc>
        <w:tc>
          <w:tcPr>
            <w:tcW w:w="7584" w:type="dxa"/>
            <w:vAlign w:val="top"/>
          </w:tcPr>
          <w:p>
            <w:pPr>
              <w:pStyle w:val="TableText"/>
              <w:ind w:left="3284"/>
              <w:spacing w:before="222" w:line="220" w:lineRule="auto"/>
              <w:rPr>
                <w:sz w:val="25"/>
                <w:szCs w:val="25"/>
              </w:rPr>
            </w:pPr>
            <w:r>
              <w:rPr>
                <w:sz w:val="25"/>
                <w:szCs w:val="25"/>
                <w:b/>
                <w:bCs/>
                <w:spacing w:val="-5"/>
              </w:rPr>
              <w:t>情节后果</w:t>
            </w:r>
          </w:p>
        </w:tc>
        <w:tc>
          <w:tcPr>
            <w:tcW w:w="4622" w:type="dxa"/>
            <w:vAlign w:val="top"/>
          </w:tcPr>
          <w:p>
            <w:pPr>
              <w:pStyle w:val="TableText"/>
              <w:ind w:left="1740"/>
              <w:spacing w:before="219" w:line="218" w:lineRule="auto"/>
              <w:rPr>
                <w:sz w:val="25"/>
                <w:szCs w:val="25"/>
              </w:rPr>
            </w:pPr>
            <w:r>
              <w:rPr>
                <w:sz w:val="25"/>
                <w:szCs w:val="25"/>
                <w:b/>
                <w:bCs/>
                <w:spacing w:val="-5"/>
              </w:rPr>
              <w:t>裁量幅度</w:t>
            </w:r>
          </w:p>
        </w:tc>
      </w:tr>
      <w:tr>
        <w:trPr>
          <w:trHeight w:val="686" w:hRule="atLeast"/>
        </w:trPr>
        <w:tc>
          <w:tcPr>
            <w:tcW w:w="1784" w:type="dxa"/>
            <w:vAlign w:val="top"/>
          </w:tcPr>
          <w:p>
            <w:pPr>
              <w:pStyle w:val="TableText"/>
              <w:ind w:left="638"/>
              <w:spacing w:before="220" w:line="219" w:lineRule="auto"/>
              <w:rPr>
                <w:sz w:val="25"/>
                <w:szCs w:val="25"/>
              </w:rPr>
            </w:pPr>
            <w:r>
              <w:rPr>
                <w:sz w:val="25"/>
                <w:szCs w:val="25"/>
                <w:b/>
                <w:bCs/>
                <w:spacing w:val="-6"/>
              </w:rPr>
              <w:t>轻微</w:t>
            </w:r>
          </w:p>
        </w:tc>
        <w:tc>
          <w:tcPr>
            <w:tcW w:w="7584" w:type="dxa"/>
            <w:vAlign w:val="top"/>
          </w:tcPr>
          <w:p>
            <w:pPr>
              <w:pStyle w:val="TableText"/>
              <w:ind w:left="110" w:hanging="100"/>
              <w:spacing w:before="72" w:line="223" w:lineRule="auto"/>
              <w:rPr>
                <w:sz w:val="25"/>
                <w:szCs w:val="25"/>
              </w:rPr>
            </w:pPr>
            <w:r>
              <w:rPr>
                <w:sz w:val="25"/>
                <w:szCs w:val="25"/>
                <w:spacing w:val="-6"/>
              </w:rPr>
              <w:t>未取得放射卫生技术服务机构资质认可擅自从事放射卫生技术服务</w:t>
            </w:r>
            <w:r>
              <w:rPr>
                <w:sz w:val="25"/>
                <w:szCs w:val="25"/>
                <w:spacing w:val="-7"/>
              </w:rPr>
              <w:t>，没</w:t>
            </w:r>
            <w:r>
              <w:rPr>
                <w:sz w:val="25"/>
                <w:szCs w:val="25"/>
              </w:rPr>
              <w:t xml:space="preserve"> </w:t>
            </w:r>
            <w:r>
              <w:rPr>
                <w:sz w:val="25"/>
                <w:szCs w:val="25"/>
                <w:spacing w:val="2"/>
              </w:rPr>
              <w:t>有违法所得的</w:t>
            </w:r>
          </w:p>
        </w:tc>
        <w:tc>
          <w:tcPr>
            <w:tcW w:w="4622" w:type="dxa"/>
            <w:vAlign w:val="top"/>
          </w:tcPr>
          <w:p>
            <w:pPr>
              <w:pStyle w:val="TableText"/>
              <w:ind w:left="117" w:right="3" w:firstLine="9"/>
              <w:spacing w:before="72" w:line="223" w:lineRule="auto"/>
              <w:rPr>
                <w:sz w:val="25"/>
                <w:szCs w:val="25"/>
              </w:rPr>
            </w:pPr>
            <w:r>
              <w:rPr>
                <w:sz w:val="25"/>
                <w:szCs w:val="25"/>
                <w:spacing w:val="-2"/>
              </w:rPr>
              <w:t>责令立即停止违法行为，处五千元以上一</w:t>
            </w:r>
            <w:r>
              <w:rPr>
                <w:sz w:val="25"/>
                <w:szCs w:val="25"/>
                <w:spacing w:val="16"/>
              </w:rPr>
              <w:t xml:space="preserve"> </w:t>
            </w:r>
            <w:r>
              <w:rPr>
                <w:sz w:val="25"/>
                <w:szCs w:val="25"/>
                <w:spacing w:val="1"/>
              </w:rPr>
              <w:t>万元以下罚款</w:t>
            </w:r>
          </w:p>
        </w:tc>
      </w:tr>
      <w:tr>
        <w:trPr>
          <w:trHeight w:val="692" w:hRule="atLeast"/>
        </w:trPr>
        <w:tc>
          <w:tcPr>
            <w:tcW w:w="1784" w:type="dxa"/>
            <w:vAlign w:val="top"/>
          </w:tcPr>
          <w:p>
            <w:pPr>
              <w:pStyle w:val="TableText"/>
              <w:ind w:left="638"/>
              <w:spacing w:before="226" w:line="221" w:lineRule="auto"/>
              <w:rPr>
                <w:sz w:val="25"/>
                <w:szCs w:val="25"/>
              </w:rPr>
            </w:pPr>
            <w:r>
              <w:rPr>
                <w:sz w:val="25"/>
                <w:szCs w:val="25"/>
                <w:b/>
                <w:bCs/>
                <w:spacing w:val="-10"/>
              </w:rPr>
              <w:t>一般</w:t>
            </w:r>
          </w:p>
        </w:tc>
        <w:tc>
          <w:tcPr>
            <w:tcW w:w="7584" w:type="dxa"/>
            <w:vAlign w:val="top"/>
          </w:tcPr>
          <w:p>
            <w:pPr>
              <w:pStyle w:val="TableText"/>
              <w:ind w:left="99" w:hanging="89"/>
              <w:spacing w:before="78" w:line="223" w:lineRule="auto"/>
              <w:rPr>
                <w:sz w:val="25"/>
                <w:szCs w:val="25"/>
              </w:rPr>
            </w:pPr>
            <w:r>
              <w:rPr>
                <w:sz w:val="25"/>
                <w:szCs w:val="25"/>
                <w:spacing w:val="-6"/>
              </w:rPr>
              <w:t>未取得放射卫生技术服务机构资质认可擅自从事放射卫生技术服务</w:t>
            </w:r>
            <w:r>
              <w:rPr>
                <w:sz w:val="25"/>
                <w:szCs w:val="25"/>
                <w:spacing w:val="-7"/>
              </w:rPr>
              <w:t>，违</w:t>
            </w:r>
            <w:r>
              <w:rPr>
                <w:sz w:val="25"/>
                <w:szCs w:val="25"/>
              </w:rPr>
              <w:t xml:space="preserve"> </w:t>
            </w:r>
            <w:r>
              <w:rPr>
                <w:sz w:val="25"/>
                <w:szCs w:val="25"/>
                <w:spacing w:val="1"/>
              </w:rPr>
              <w:t>法所得不足五千元的</w:t>
            </w:r>
          </w:p>
        </w:tc>
        <w:tc>
          <w:tcPr>
            <w:tcW w:w="4622" w:type="dxa"/>
            <w:vAlign w:val="top"/>
          </w:tcPr>
          <w:p>
            <w:pPr>
              <w:pStyle w:val="TableText"/>
              <w:ind w:left="117"/>
              <w:spacing w:before="78" w:line="223" w:lineRule="auto"/>
              <w:rPr>
                <w:sz w:val="25"/>
                <w:szCs w:val="25"/>
              </w:rPr>
            </w:pPr>
            <w:r>
              <w:rPr>
                <w:sz w:val="25"/>
                <w:szCs w:val="25"/>
                <w:spacing w:val="-1"/>
              </w:rPr>
              <w:t>责令立即停止违法行为，没收违法所得，</w:t>
            </w:r>
            <w:r>
              <w:rPr>
                <w:sz w:val="25"/>
                <w:szCs w:val="25"/>
                <w:spacing w:val="11"/>
              </w:rPr>
              <w:t xml:space="preserve"> </w:t>
            </w:r>
            <w:r>
              <w:rPr>
                <w:sz w:val="25"/>
                <w:szCs w:val="25"/>
              </w:rPr>
              <w:t>并处一万元以上五万元以下的罚款</w:t>
            </w:r>
          </w:p>
        </w:tc>
      </w:tr>
    </w:tbl>
    <w:p>
      <w:pPr>
        <w:pStyle w:val="BodyText"/>
        <w:spacing w:line="295" w:lineRule="auto"/>
        <w:rPr/>
      </w:pPr>
      <w:r/>
    </w:p>
    <w:p>
      <w:pPr>
        <w:pStyle w:val="BodyText"/>
        <w:spacing w:line="295" w:lineRule="auto"/>
        <w:rPr/>
      </w:pPr>
      <w:r/>
    </w:p>
    <w:p>
      <w:pPr>
        <w:pStyle w:val="BodyText"/>
        <w:spacing w:line="296" w:lineRule="auto"/>
        <w:rPr/>
      </w:pPr>
      <w:r/>
    </w:p>
    <w:p>
      <w:pPr>
        <w:pStyle w:val="BodyText"/>
        <w:spacing w:line="296" w:lineRule="auto"/>
        <w:rPr/>
      </w:pPr>
      <w:r/>
    </w:p>
    <w:p>
      <w:pPr>
        <w:ind w:left="6345"/>
        <w:spacing w:before="104" w:line="188"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1"/>
        </w:rPr>
        <w:t>—689—</w:t>
      </w:r>
    </w:p>
    <w:p>
      <w:pPr>
        <w:spacing w:line="188" w:lineRule="auto"/>
        <w:sectPr>
          <w:footerReference w:type="default" r:id="rId24"/>
          <w:pgSz w:w="16830" w:h="11900"/>
          <w:pgMar w:top="1011" w:right="1344" w:bottom="400" w:left="1434" w:header="0" w:footer="0" w:gutter="0"/>
        </w:sectPr>
        <w:rPr>
          <w:rFonts w:ascii="Times New Roman" w:hAnsi="Times New Roman" w:eastAsia="Times New Roman" w:cs="Times New Roman"/>
          <w:sz w:val="36"/>
          <w:szCs w:val="36"/>
        </w:rPr>
      </w:pPr>
    </w:p>
    <w:p>
      <w:pPr>
        <w:spacing w:before="20"/>
        <w:rPr/>
      </w:pPr>
      <w:r/>
    </w:p>
    <w:p>
      <w:pPr>
        <w:spacing w:before="20"/>
        <w:rPr/>
      </w:pPr>
      <w:r/>
    </w:p>
    <w:p>
      <w:pPr>
        <w:spacing w:before="19"/>
        <w:rPr/>
      </w:pPr>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584"/>
        <w:gridCol w:w="4612"/>
      </w:tblGrid>
      <w:tr>
        <w:trPr>
          <w:trHeight w:val="693" w:hRule="atLeast"/>
        </w:trPr>
        <w:tc>
          <w:tcPr>
            <w:tcW w:w="1784" w:type="dxa"/>
            <w:vAlign w:val="top"/>
          </w:tcPr>
          <w:p>
            <w:pPr>
              <w:pStyle w:val="TableText"/>
              <w:ind w:left="648"/>
              <w:spacing w:before="234" w:line="221" w:lineRule="auto"/>
              <w:rPr/>
            </w:pPr>
            <w:bookmarkStart w:name="bookmark1235" w:id="613"/>
            <w:bookmarkEnd w:id="613"/>
            <w:r>
              <w:rPr>
                <w:b/>
                <w:bCs/>
                <w:spacing w:val="-5"/>
              </w:rPr>
              <w:t>较重</w:t>
            </w:r>
          </w:p>
        </w:tc>
        <w:tc>
          <w:tcPr>
            <w:tcW w:w="7584" w:type="dxa"/>
            <w:vAlign w:val="top"/>
          </w:tcPr>
          <w:p>
            <w:pPr>
              <w:pStyle w:val="TableText"/>
              <w:ind w:left="111" w:right="12"/>
              <w:spacing w:before="53" w:line="242" w:lineRule="auto"/>
              <w:rPr/>
            </w:pPr>
            <w:r>
              <w:rPr/>
              <w:t>未取得放射卫生技术服务机构资质认可擅自从事放射卫生技术服务，违</w:t>
            </w:r>
            <w:r>
              <w:rPr>
                <w:spacing w:val="9"/>
              </w:rPr>
              <w:t xml:space="preserve"> </w:t>
            </w:r>
            <w:r>
              <w:rPr>
                <w:spacing w:val="1"/>
              </w:rPr>
              <w:t>法所得五千元以上五万元以下的</w:t>
            </w:r>
          </w:p>
        </w:tc>
        <w:tc>
          <w:tcPr>
            <w:tcW w:w="4612" w:type="dxa"/>
            <w:vAlign w:val="top"/>
          </w:tcPr>
          <w:p>
            <w:pPr>
              <w:pStyle w:val="TableText"/>
              <w:ind w:left="127" w:right="155"/>
              <w:spacing w:before="64" w:line="238" w:lineRule="auto"/>
              <w:rPr/>
            </w:pPr>
            <w:r>
              <w:rPr>
                <w:spacing w:val="-1"/>
              </w:rPr>
              <w:t>责令立即停止违法行为，没收违法所得，</w:t>
            </w:r>
            <w:r>
              <w:rPr>
                <w:spacing w:val="16"/>
              </w:rPr>
              <w:t xml:space="preserve"> </w:t>
            </w:r>
            <w:r>
              <w:rPr/>
              <w:t>并处违法所得二倍以上五倍以下的罚款</w:t>
            </w:r>
          </w:p>
        </w:tc>
      </w:tr>
      <w:tr>
        <w:trPr>
          <w:trHeight w:val="837" w:hRule="atLeast"/>
        </w:trPr>
        <w:tc>
          <w:tcPr>
            <w:tcW w:w="1784" w:type="dxa"/>
            <w:vAlign w:val="top"/>
          </w:tcPr>
          <w:p>
            <w:pPr>
              <w:pStyle w:val="TableText"/>
              <w:ind w:left="648"/>
              <w:spacing w:before="299" w:line="220" w:lineRule="auto"/>
              <w:rPr/>
            </w:pPr>
            <w:r>
              <w:rPr>
                <w:b/>
                <w:bCs/>
                <w:spacing w:val="-6"/>
              </w:rPr>
              <w:t>严重</w:t>
            </w:r>
          </w:p>
        </w:tc>
        <w:tc>
          <w:tcPr>
            <w:tcW w:w="7584" w:type="dxa"/>
            <w:vAlign w:val="top"/>
          </w:tcPr>
          <w:p>
            <w:pPr>
              <w:pStyle w:val="TableText"/>
              <w:ind w:left="111" w:right="12"/>
              <w:spacing w:before="140" w:line="264" w:lineRule="auto"/>
              <w:rPr/>
            </w:pPr>
            <w:r>
              <w:rPr/>
              <w:t>未取得放射卫生技术服务机构资质认可擅自从事放射卫生技术服务，违</w:t>
            </w:r>
            <w:r>
              <w:rPr>
                <w:spacing w:val="9"/>
              </w:rPr>
              <w:t xml:space="preserve"> </w:t>
            </w:r>
            <w:r>
              <w:rPr>
                <w:spacing w:val="1"/>
              </w:rPr>
              <w:t>法所得五万元以上十万元以下的</w:t>
            </w:r>
          </w:p>
        </w:tc>
        <w:tc>
          <w:tcPr>
            <w:tcW w:w="4612" w:type="dxa"/>
            <w:vAlign w:val="top"/>
          </w:tcPr>
          <w:p>
            <w:pPr>
              <w:pStyle w:val="TableText"/>
              <w:ind w:left="127" w:right="155"/>
              <w:spacing w:before="140" w:line="264" w:lineRule="auto"/>
              <w:rPr/>
            </w:pPr>
            <w:r>
              <w:rPr>
                <w:spacing w:val="-1"/>
              </w:rPr>
              <w:t>责令立即停止违法行为，没收违法所得，</w:t>
            </w:r>
            <w:r>
              <w:rPr>
                <w:spacing w:val="16"/>
              </w:rPr>
              <w:t xml:space="preserve"> </w:t>
            </w:r>
            <w:r>
              <w:rPr/>
              <w:t>并处违法所得五倍以上十倍以下的罚款</w:t>
            </w:r>
          </w:p>
        </w:tc>
      </w:tr>
      <w:tr>
        <w:trPr>
          <w:trHeight w:val="1700" w:hRule="atLeast"/>
        </w:trPr>
        <w:tc>
          <w:tcPr>
            <w:tcW w:w="1784" w:type="dxa"/>
            <w:vAlign w:val="top"/>
          </w:tcPr>
          <w:p>
            <w:pPr>
              <w:spacing w:line="324" w:lineRule="auto"/>
              <w:rPr>
                <w:rFonts w:ascii="Arial"/>
                <w:sz w:val="21"/>
              </w:rPr>
            </w:pPr>
            <w:r/>
          </w:p>
          <w:p>
            <w:pPr>
              <w:spacing w:line="325" w:lineRule="auto"/>
              <w:rPr>
                <w:rFonts w:ascii="Arial"/>
                <w:sz w:val="21"/>
              </w:rPr>
            </w:pPr>
            <w:r/>
          </w:p>
          <w:p>
            <w:pPr>
              <w:pStyle w:val="TableText"/>
              <w:ind w:left="408"/>
              <w:spacing w:before="78" w:line="219" w:lineRule="auto"/>
              <w:rPr/>
            </w:pPr>
            <w:r>
              <w:rPr>
                <w:b/>
                <w:bCs/>
                <w:spacing w:val="-5"/>
              </w:rPr>
              <w:t>特别严重</w:t>
            </w:r>
          </w:p>
        </w:tc>
        <w:tc>
          <w:tcPr>
            <w:tcW w:w="7584" w:type="dxa"/>
            <w:vAlign w:val="top"/>
          </w:tcPr>
          <w:p>
            <w:pPr>
              <w:pStyle w:val="TableText"/>
              <w:ind w:left="111"/>
              <w:spacing w:before="65" w:line="220" w:lineRule="auto"/>
              <w:rPr/>
            </w:pPr>
            <w:r>
              <w:rPr>
                <w:spacing w:val="2"/>
              </w:rPr>
              <w:t>有下列情形之一的：</w:t>
            </w:r>
          </w:p>
          <w:p>
            <w:pPr>
              <w:pStyle w:val="TableText"/>
              <w:ind w:left="111" w:right="23"/>
              <w:spacing w:before="63" w:line="248" w:lineRule="auto"/>
              <w:rPr/>
            </w:pPr>
            <w:r>
              <w:rPr/>
              <w:t>A.未取得放射卫生技术服务机构资质认可擅自从事放射卫生技术服</w:t>
            </w:r>
            <w:r>
              <w:rPr>
                <w:spacing w:val="-1"/>
              </w:rPr>
              <w:t>务，</w:t>
            </w:r>
            <w:r>
              <w:rPr/>
              <w:t xml:space="preserve"> </w:t>
            </w:r>
            <w:r>
              <w:rPr>
                <w:spacing w:val="1"/>
              </w:rPr>
              <w:t>违法所得十万元以上的</w:t>
            </w:r>
          </w:p>
          <w:p>
            <w:pPr>
              <w:pStyle w:val="TableText"/>
              <w:ind w:left="111" w:right="23"/>
              <w:spacing w:before="45" w:line="225" w:lineRule="auto"/>
              <w:rPr/>
            </w:pPr>
            <w:r>
              <w:rPr/>
              <w:t>B.未取得放射卫生技术服务机构资质认可擅自从事放射卫生技术服</w:t>
            </w:r>
            <w:r>
              <w:rPr>
                <w:spacing w:val="-1"/>
              </w:rPr>
              <w:t>务，</w:t>
            </w:r>
            <w:r>
              <w:rPr/>
              <w:t xml:space="preserve"> </w:t>
            </w:r>
            <w:r>
              <w:rPr>
                <w:spacing w:val="2"/>
              </w:rPr>
              <w:t>造成严重后果的</w:t>
            </w:r>
          </w:p>
        </w:tc>
        <w:tc>
          <w:tcPr>
            <w:tcW w:w="4612" w:type="dxa"/>
            <w:vAlign w:val="top"/>
          </w:tcPr>
          <w:p>
            <w:pPr>
              <w:pStyle w:val="TableText"/>
              <w:ind w:left="127" w:right="144"/>
              <w:spacing w:before="242" w:line="265" w:lineRule="auto"/>
              <w:jc w:val="both"/>
              <w:rPr/>
            </w:pPr>
            <w:r>
              <w:rPr>
                <w:spacing w:val="-1"/>
              </w:rPr>
              <w:t>责令立即停止违法行为，没收违法所得，</w:t>
            </w:r>
            <w:r>
              <w:rPr>
                <w:spacing w:val="16"/>
              </w:rPr>
              <w:t xml:space="preserve"> </w:t>
            </w:r>
            <w:r>
              <w:rPr/>
              <w:t>并处违法所得十倍的罚款；没有违法所得</w:t>
            </w:r>
            <w:r>
              <w:rPr>
                <w:spacing w:val="8"/>
              </w:rPr>
              <w:t xml:space="preserve"> </w:t>
            </w:r>
            <w:r>
              <w:rPr/>
              <w:t>或者违法所得不足五千元的，并处五万元</w:t>
            </w:r>
          </w:p>
          <w:p>
            <w:pPr>
              <w:pStyle w:val="TableText"/>
              <w:ind w:left="127"/>
              <w:spacing w:before="1" w:line="220" w:lineRule="auto"/>
              <w:rPr/>
            </w:pPr>
            <w:r>
              <w:rPr>
                <w:color w:val="403040"/>
                <w:spacing w:val="5"/>
              </w:rPr>
              <w:t>罚款</w:t>
            </w:r>
          </w:p>
        </w:tc>
      </w:tr>
    </w:tbl>
    <w:p>
      <w:pPr>
        <w:pStyle w:val="BodyText"/>
        <w:spacing w:line="456" w:lineRule="auto"/>
        <w:rPr/>
      </w:pPr>
      <w:r/>
    </w:p>
    <w:p>
      <w:pPr>
        <w:ind w:left="19" w:right="435" w:firstLine="649"/>
        <w:spacing w:before="98" w:line="274" w:lineRule="auto"/>
        <w:rPr>
          <w:rFonts w:ascii="FangSong" w:hAnsi="FangSong" w:eastAsia="FangSong" w:cs="FangSong"/>
          <w:sz w:val="30"/>
          <w:szCs w:val="30"/>
        </w:rPr>
      </w:pPr>
      <w:r>
        <w:rPr>
          <w:rFonts w:ascii="FangSong" w:hAnsi="FangSong" w:eastAsia="FangSong" w:cs="FangSong"/>
          <w:sz w:val="30"/>
          <w:szCs w:val="30"/>
          <w:b/>
          <w:bCs/>
          <w:spacing w:val="21"/>
        </w:rPr>
        <w:t>第五百八十三条从事放射卫生技术服务的机构超出资质认可或者批准范围从</w:t>
      </w:r>
      <w:r>
        <w:rPr>
          <w:rFonts w:ascii="FangSong" w:hAnsi="FangSong" w:eastAsia="FangSong" w:cs="FangSong"/>
          <w:sz w:val="30"/>
          <w:szCs w:val="30"/>
          <w:b/>
          <w:bCs/>
          <w:spacing w:val="20"/>
        </w:rPr>
        <w:t>事放射卫生技术</w:t>
      </w:r>
      <w:r>
        <w:rPr>
          <w:rFonts w:ascii="FangSong" w:hAnsi="FangSong" w:eastAsia="FangSong" w:cs="FangSong"/>
          <w:sz w:val="30"/>
          <w:szCs w:val="30"/>
        </w:rPr>
        <w:t xml:space="preserve"> </w:t>
      </w:r>
      <w:r>
        <w:rPr>
          <w:rFonts w:ascii="FangSong" w:hAnsi="FangSong" w:eastAsia="FangSong" w:cs="FangSong"/>
          <w:sz w:val="30"/>
          <w:szCs w:val="30"/>
          <w:b/>
          <w:bCs/>
          <w:spacing w:val="7"/>
        </w:rPr>
        <w:t>服务的</w:t>
      </w:r>
    </w:p>
    <w:p>
      <w:pPr>
        <w:ind w:left="654"/>
        <w:spacing w:before="27"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ind w:left="15" w:firstLine="619"/>
        <w:spacing w:before="67" w:line="271" w:lineRule="auto"/>
        <w:jc w:val="both"/>
        <w:rPr>
          <w:rFonts w:ascii="FangSong" w:hAnsi="FangSong" w:eastAsia="FangSong" w:cs="FangSong"/>
          <w:sz w:val="30"/>
          <w:szCs w:val="30"/>
        </w:rPr>
      </w:pPr>
      <w:r>
        <w:rPr>
          <w:rFonts w:ascii="FangSong" w:hAnsi="FangSong" w:eastAsia="FangSong" w:cs="FangSong"/>
          <w:sz w:val="30"/>
          <w:szCs w:val="30"/>
          <w:spacing w:val="23"/>
        </w:rPr>
        <w:t>《中华人民共和国职业病防治法》第八十条第(一)项</w:t>
      </w:r>
      <w:r>
        <w:rPr>
          <w:rFonts w:ascii="FangSong" w:hAnsi="FangSong" w:eastAsia="FangSong" w:cs="FangSong"/>
          <w:sz w:val="30"/>
          <w:szCs w:val="30"/>
          <w:spacing w:val="23"/>
        </w:rPr>
        <w:t xml:space="preserve">  </w:t>
      </w:r>
      <w:r>
        <w:rPr>
          <w:rFonts w:ascii="FangSong" w:hAnsi="FangSong" w:eastAsia="FangSong" w:cs="FangSong"/>
          <w:sz w:val="30"/>
          <w:szCs w:val="30"/>
          <w:spacing w:val="23"/>
        </w:rPr>
        <w:t>从事职业卫生技术服务的机构和承担职</w:t>
      </w:r>
      <w:r>
        <w:rPr>
          <w:rFonts w:ascii="FangSong" w:hAnsi="FangSong" w:eastAsia="FangSong" w:cs="FangSong"/>
          <w:sz w:val="30"/>
          <w:szCs w:val="30"/>
          <w:spacing w:val="3"/>
        </w:rPr>
        <w:t xml:space="preserve">  </w:t>
      </w:r>
      <w:r>
        <w:rPr>
          <w:rFonts w:ascii="FangSong" w:hAnsi="FangSong" w:eastAsia="FangSong" w:cs="FangSong"/>
          <w:sz w:val="30"/>
          <w:szCs w:val="30"/>
          <w:spacing w:val="12"/>
        </w:rPr>
        <w:t>业病诊断的医疗卫生机构违反本法规定，有下列行为之一的，由卫生行政部门责令立即停止违法行为，</w:t>
      </w:r>
      <w:r>
        <w:rPr>
          <w:rFonts w:ascii="FangSong" w:hAnsi="FangSong" w:eastAsia="FangSong" w:cs="FangSong"/>
          <w:sz w:val="30"/>
          <w:szCs w:val="30"/>
          <w:spacing w:val="8"/>
        </w:rPr>
        <w:t xml:space="preserve"> </w:t>
      </w:r>
      <w:r>
        <w:rPr>
          <w:rFonts w:ascii="FangSong" w:hAnsi="FangSong" w:eastAsia="FangSong" w:cs="FangSong"/>
          <w:sz w:val="30"/>
          <w:szCs w:val="30"/>
          <w:spacing w:val="16"/>
        </w:rPr>
        <w:t>给予警告，没收违法所得；违法所得五千元以上的，并处违法所得二倍以上五倍以下的罚款；没有违</w:t>
      </w:r>
      <w:r>
        <w:rPr>
          <w:rFonts w:ascii="FangSong" w:hAnsi="FangSong" w:eastAsia="FangSong" w:cs="FangSong"/>
          <w:sz w:val="30"/>
          <w:szCs w:val="30"/>
          <w:spacing w:val="16"/>
        </w:rPr>
        <w:t xml:space="preserve"> </w:t>
      </w:r>
      <w:r>
        <w:rPr>
          <w:rFonts w:ascii="FangSong" w:hAnsi="FangSong" w:eastAsia="FangSong" w:cs="FangSong"/>
          <w:sz w:val="30"/>
          <w:szCs w:val="30"/>
          <w:spacing w:val="16"/>
        </w:rPr>
        <w:t>法所得或者违法所得不足五千元的，并处五千元以上二万元以下的罚款；情节严重的，由原认可或者</w:t>
      </w:r>
      <w:r>
        <w:rPr>
          <w:rFonts w:ascii="FangSong" w:hAnsi="FangSong" w:eastAsia="FangSong" w:cs="FangSong"/>
          <w:sz w:val="30"/>
          <w:szCs w:val="30"/>
          <w:spacing w:val="18"/>
        </w:rPr>
        <w:t xml:space="preserve"> </w:t>
      </w:r>
      <w:r>
        <w:rPr>
          <w:rFonts w:ascii="FangSong" w:hAnsi="FangSong" w:eastAsia="FangSong" w:cs="FangSong"/>
          <w:sz w:val="30"/>
          <w:szCs w:val="30"/>
          <w:spacing w:val="16"/>
        </w:rPr>
        <w:t>登记机关取消其相应的资格；对直接负责的主管人员和其他直接责任人员，依法给予降级、撤职或者</w:t>
      </w:r>
      <w:r>
        <w:rPr>
          <w:rFonts w:ascii="FangSong" w:hAnsi="FangSong" w:eastAsia="FangSong" w:cs="FangSong"/>
          <w:sz w:val="30"/>
          <w:szCs w:val="30"/>
          <w:spacing w:val="18"/>
        </w:rPr>
        <w:t xml:space="preserve"> </w:t>
      </w:r>
      <w:r>
        <w:rPr>
          <w:rFonts w:ascii="FangSong" w:hAnsi="FangSong" w:eastAsia="FangSong" w:cs="FangSong"/>
          <w:sz w:val="30"/>
          <w:szCs w:val="30"/>
          <w:spacing w:val="14"/>
        </w:rPr>
        <w:t>开除的处分；构成犯罪的，依法追究刑事责任：</w:t>
      </w:r>
    </w:p>
    <w:p>
      <w:pPr>
        <w:ind w:left="795"/>
        <w:spacing w:before="23" w:line="220" w:lineRule="auto"/>
        <w:rPr>
          <w:rFonts w:ascii="FangSong" w:hAnsi="FangSong" w:eastAsia="FangSong" w:cs="FangSong"/>
          <w:sz w:val="30"/>
          <w:szCs w:val="30"/>
        </w:rPr>
      </w:pPr>
      <w:r>
        <w:rPr>
          <w:rFonts w:ascii="FangSong" w:hAnsi="FangSong" w:eastAsia="FangSong" w:cs="FangSong"/>
          <w:sz w:val="30"/>
          <w:szCs w:val="30"/>
          <w:spacing w:val="22"/>
        </w:rPr>
        <w:t>(一)超出资质认可或者批准范围从事职业卫生技术服务或者职业健康检查、职业病诊</w:t>
      </w:r>
      <w:r>
        <w:rPr>
          <w:rFonts w:ascii="FangSong" w:hAnsi="FangSong" w:eastAsia="FangSong" w:cs="FangSong"/>
          <w:sz w:val="30"/>
          <w:szCs w:val="30"/>
          <w:spacing w:val="21"/>
        </w:rPr>
        <w:t>断的。</w:t>
      </w:r>
    </w:p>
    <w:p>
      <w:pPr>
        <w:pStyle w:val="BodyText"/>
        <w:spacing w:line="358" w:lineRule="auto"/>
        <w:rPr/>
      </w:pPr>
      <w:r/>
    </w:p>
    <w:p>
      <w:pPr>
        <w:pStyle w:val="BodyText"/>
        <w:spacing w:line="358" w:lineRule="auto"/>
        <w:rPr/>
      </w:pPr>
      <w:r/>
    </w:p>
    <w:p>
      <w:pPr>
        <w:ind w:left="6345"/>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—690—</w:t>
      </w:r>
    </w:p>
    <w:p>
      <w:pPr>
        <w:spacing w:line="188" w:lineRule="auto"/>
        <w:sectPr>
          <w:pgSz w:w="16830" w:h="11900"/>
          <w:pgMar w:top="1011" w:right="1329" w:bottom="400" w:left="1434" w:header="0" w:footer="0" w:gutter="0"/>
        </w:sectPr>
        <w:rPr>
          <w:rFonts w:ascii="Times New Roman" w:hAnsi="Times New Roman" w:eastAsia="Times New Roman" w:cs="Times New Roman"/>
          <w:sz w:val="37"/>
          <w:szCs w:val="37"/>
        </w:rPr>
      </w:pPr>
    </w:p>
    <w:p>
      <w:pPr>
        <w:pStyle w:val="BodyText"/>
        <w:spacing w:line="260" w:lineRule="auto"/>
        <w:rPr/>
      </w:pPr>
      <w:r/>
    </w:p>
    <w:p>
      <w:pPr>
        <w:pStyle w:val="BodyText"/>
        <w:spacing w:line="260" w:lineRule="auto"/>
        <w:rPr/>
      </w:pPr>
      <w:r/>
    </w:p>
    <w:p>
      <w:pPr>
        <w:pStyle w:val="BodyText"/>
        <w:spacing w:line="261" w:lineRule="auto"/>
        <w:rPr/>
      </w:pPr>
      <w:r/>
    </w:p>
    <w:p>
      <w:pPr>
        <w:ind w:left="6419"/>
        <w:spacing w:before="91" w:line="220" w:lineRule="auto"/>
        <w:rPr>
          <w:rFonts w:ascii="SimSun" w:hAnsi="SimSun" w:eastAsia="SimSun" w:cs="SimSun"/>
          <w:sz w:val="28"/>
          <w:szCs w:val="28"/>
        </w:rPr>
      </w:pPr>
      <w:bookmarkStart w:name="bookmark1236" w:id="614"/>
      <w:bookmarkEnd w:id="614"/>
      <w:r>
        <w:rPr>
          <w:rFonts w:ascii="SimSun" w:hAnsi="SimSun" w:eastAsia="SimSun" w:cs="SimSun"/>
          <w:sz w:val="28"/>
          <w:szCs w:val="28"/>
          <w:b/>
          <w:bCs/>
          <w:spacing w:val="-6"/>
        </w:rPr>
        <w:t>裁量标准</w:t>
      </w:r>
    </w:p>
    <w:p>
      <w:pPr>
        <w:spacing w:line="30" w:lineRule="auto"/>
        <w:rPr>
          <w:rFonts w:ascii="Arial"/>
          <w:sz w:val="2"/>
        </w:rPr>
      </w:pPr>
      <w:r>
        <w:rPr>
          <w:rFonts w:ascii="Arial"/>
          <w:sz w:val="2"/>
        </w:rPr>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4"/>
        <w:gridCol w:w="7545"/>
        <w:gridCol w:w="4631"/>
      </w:tblGrid>
      <w:tr>
        <w:trPr>
          <w:trHeight w:val="664" w:hRule="atLeast"/>
        </w:trPr>
        <w:tc>
          <w:tcPr>
            <w:tcW w:w="1804" w:type="dxa"/>
            <w:vAlign w:val="top"/>
          </w:tcPr>
          <w:p>
            <w:pPr>
              <w:pStyle w:val="TableText"/>
              <w:ind w:left="318"/>
              <w:spacing w:before="21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545" w:type="dxa"/>
            <w:vAlign w:val="top"/>
          </w:tcPr>
          <w:p>
            <w:pPr>
              <w:pStyle w:val="TableText"/>
              <w:ind w:left="3204"/>
              <w:spacing w:before="212" w:line="220" w:lineRule="auto"/>
              <w:rPr/>
            </w:pPr>
            <w:r>
              <w:rPr>
                <w:b/>
                <w:bCs/>
                <w:spacing w:val="-5"/>
              </w:rPr>
              <w:t>情节后果</w:t>
            </w:r>
          </w:p>
        </w:tc>
        <w:tc>
          <w:tcPr>
            <w:tcW w:w="4631" w:type="dxa"/>
            <w:vAlign w:val="top"/>
          </w:tcPr>
          <w:p>
            <w:pPr>
              <w:pStyle w:val="TableText"/>
              <w:ind w:left="1829"/>
              <w:spacing w:before="209" w:line="218" w:lineRule="auto"/>
              <w:rPr/>
            </w:pPr>
            <w:r>
              <w:rPr>
                <w:b/>
                <w:bCs/>
                <w:spacing w:val="-5"/>
              </w:rPr>
              <w:t>裁量幅度</w:t>
            </w:r>
          </w:p>
        </w:tc>
      </w:tr>
      <w:tr>
        <w:trPr>
          <w:trHeight w:val="719" w:hRule="atLeast"/>
        </w:trPr>
        <w:tc>
          <w:tcPr>
            <w:tcW w:w="1804" w:type="dxa"/>
            <w:vAlign w:val="top"/>
          </w:tcPr>
          <w:p>
            <w:pPr>
              <w:pStyle w:val="TableText"/>
              <w:ind w:left="658"/>
              <w:spacing w:before="287" w:line="219" w:lineRule="auto"/>
              <w:rPr/>
            </w:pPr>
            <w:r>
              <w:rPr>
                <w:b/>
                <w:bCs/>
                <w:spacing w:val="-6"/>
              </w:rPr>
              <w:t>轻微</w:t>
            </w:r>
          </w:p>
        </w:tc>
        <w:tc>
          <w:tcPr>
            <w:tcW w:w="7545" w:type="dxa"/>
            <w:vAlign w:val="top"/>
          </w:tcPr>
          <w:p>
            <w:pPr>
              <w:pStyle w:val="TableText"/>
              <w:ind w:left="110" w:right="212"/>
              <w:spacing w:before="79" w:line="242" w:lineRule="auto"/>
              <w:rPr/>
            </w:pPr>
            <w:r>
              <w:rPr/>
              <w:t>从事放射卫生技术服务的机构超出资质认可或者批准范围从事放射卫</w:t>
            </w:r>
            <w:r>
              <w:rPr>
                <w:spacing w:val="10"/>
              </w:rPr>
              <w:t xml:space="preserve"> </w:t>
            </w:r>
            <w:r>
              <w:rPr>
                <w:spacing w:val="1"/>
              </w:rPr>
              <w:t>生技术服务，没有违法所得的</w:t>
            </w:r>
          </w:p>
        </w:tc>
        <w:tc>
          <w:tcPr>
            <w:tcW w:w="4631" w:type="dxa"/>
            <w:vAlign w:val="top"/>
          </w:tcPr>
          <w:p>
            <w:pPr>
              <w:pStyle w:val="TableText"/>
              <w:ind w:left="136" w:right="143" w:firstLine="9"/>
              <w:spacing w:before="79" w:line="242" w:lineRule="auto"/>
              <w:rPr/>
            </w:pPr>
            <w:r>
              <w:rPr/>
              <w:t>责令立即停止违法行为，警告，并处五千</w:t>
            </w:r>
            <w:r>
              <w:rPr>
                <w:spacing w:val="10"/>
              </w:rPr>
              <w:t xml:space="preserve"> </w:t>
            </w:r>
            <w:r>
              <w:rPr>
                <w:spacing w:val="1"/>
              </w:rPr>
              <w:t>元以上一万元以下罚款</w:t>
            </w:r>
          </w:p>
        </w:tc>
      </w:tr>
      <w:tr>
        <w:trPr>
          <w:trHeight w:val="689" w:hRule="atLeast"/>
        </w:trPr>
        <w:tc>
          <w:tcPr>
            <w:tcW w:w="1804" w:type="dxa"/>
            <w:vAlign w:val="top"/>
          </w:tcPr>
          <w:p>
            <w:pPr>
              <w:pStyle w:val="TableText"/>
              <w:ind w:left="658"/>
              <w:spacing w:before="269" w:line="221" w:lineRule="auto"/>
              <w:rPr/>
            </w:pPr>
            <w:r>
              <w:rPr>
                <w:b/>
                <w:bCs/>
                <w:spacing w:val="-10"/>
              </w:rPr>
              <w:t>一般</w:t>
            </w:r>
          </w:p>
        </w:tc>
        <w:tc>
          <w:tcPr>
            <w:tcW w:w="7545" w:type="dxa"/>
            <w:vAlign w:val="top"/>
          </w:tcPr>
          <w:p>
            <w:pPr>
              <w:pStyle w:val="TableText"/>
              <w:ind w:left="110" w:right="212"/>
              <w:spacing w:before="60" w:line="238" w:lineRule="auto"/>
              <w:rPr/>
            </w:pPr>
            <w:r>
              <w:rPr/>
              <w:t>从事放射卫生技术服务的机构超出资质认可或者批准范围从事放射卫</w:t>
            </w:r>
            <w:r>
              <w:rPr>
                <w:spacing w:val="10"/>
              </w:rPr>
              <w:t xml:space="preserve"> </w:t>
            </w:r>
            <w:r>
              <w:rPr>
                <w:spacing w:val="1"/>
              </w:rPr>
              <w:t>生技术服务，违法所得不足五千元的</w:t>
            </w:r>
          </w:p>
        </w:tc>
        <w:tc>
          <w:tcPr>
            <w:tcW w:w="4631" w:type="dxa"/>
            <w:vAlign w:val="top"/>
          </w:tcPr>
          <w:p>
            <w:pPr>
              <w:pStyle w:val="TableText"/>
              <w:ind w:left="146" w:right="146"/>
              <w:spacing w:before="60" w:line="238" w:lineRule="auto"/>
              <w:rPr/>
            </w:pPr>
            <w:r>
              <w:rPr/>
              <w:t>责令立即停止违法行为，警告，没收违法</w:t>
            </w:r>
            <w:r>
              <w:rPr>
                <w:spacing w:val="7"/>
              </w:rPr>
              <w:t xml:space="preserve"> </w:t>
            </w:r>
            <w:r>
              <w:rPr>
                <w:spacing w:val="-1"/>
              </w:rPr>
              <w:t>所得，并处一万元以上二万元以下的罚款</w:t>
            </w:r>
          </w:p>
        </w:tc>
      </w:tr>
      <w:tr>
        <w:trPr>
          <w:trHeight w:val="1028" w:hRule="atLeast"/>
        </w:trPr>
        <w:tc>
          <w:tcPr>
            <w:tcW w:w="1804" w:type="dxa"/>
            <w:vAlign w:val="top"/>
          </w:tcPr>
          <w:p>
            <w:pPr>
              <w:spacing w:line="322" w:lineRule="auto"/>
              <w:rPr>
                <w:rFonts w:ascii="Arial"/>
                <w:sz w:val="21"/>
              </w:rPr>
            </w:pPr>
            <w:r/>
          </w:p>
          <w:p>
            <w:pPr>
              <w:pStyle w:val="TableText"/>
              <w:ind w:left="658"/>
              <w:spacing w:before="78" w:line="221" w:lineRule="auto"/>
              <w:rPr/>
            </w:pPr>
            <w:r>
              <w:rPr>
                <w:b/>
                <w:bCs/>
                <w:spacing w:val="-5"/>
              </w:rPr>
              <w:t>较重</w:t>
            </w:r>
          </w:p>
        </w:tc>
        <w:tc>
          <w:tcPr>
            <w:tcW w:w="7545" w:type="dxa"/>
            <w:vAlign w:val="top"/>
          </w:tcPr>
          <w:p>
            <w:pPr>
              <w:pStyle w:val="TableText"/>
              <w:ind w:left="110" w:right="212"/>
              <w:spacing w:before="231" w:line="272" w:lineRule="auto"/>
              <w:rPr/>
            </w:pPr>
            <w:r>
              <w:rPr/>
              <w:t>从事放射卫生技术服务的机构超出资质认可或者批准范围从事放射卫</w:t>
            </w:r>
            <w:r>
              <w:rPr>
                <w:spacing w:val="10"/>
              </w:rPr>
              <w:t xml:space="preserve"> </w:t>
            </w:r>
            <w:r>
              <w:rPr/>
              <w:t>生技术服务，违法所得五千元以上五万元以下的</w:t>
            </w:r>
          </w:p>
        </w:tc>
        <w:tc>
          <w:tcPr>
            <w:tcW w:w="4631" w:type="dxa"/>
            <w:vAlign w:val="top"/>
          </w:tcPr>
          <w:p>
            <w:pPr>
              <w:pStyle w:val="TableText"/>
              <w:ind w:left="146" w:right="136"/>
              <w:spacing w:before="71" w:line="257" w:lineRule="auto"/>
              <w:rPr/>
            </w:pPr>
            <w:r>
              <w:rPr/>
              <w:t>责令立即停止违法行为，警告，没收违法</w:t>
            </w:r>
            <w:r>
              <w:rPr>
                <w:spacing w:val="7"/>
              </w:rPr>
              <w:t xml:space="preserve"> </w:t>
            </w:r>
            <w:r>
              <w:rPr>
                <w:spacing w:val="1"/>
              </w:rPr>
              <w:t>所得，并处违法所得二倍以上四倍以下的</w:t>
            </w:r>
          </w:p>
          <w:p>
            <w:pPr>
              <w:pStyle w:val="TableText"/>
              <w:ind w:left="136"/>
              <w:spacing w:before="14" w:line="203" w:lineRule="auto"/>
              <w:rPr/>
            </w:pPr>
            <w:r>
              <w:rPr>
                <w:color w:val="505050"/>
                <w:spacing w:val="5"/>
              </w:rPr>
              <w:t>罚款</w:t>
            </w:r>
          </w:p>
        </w:tc>
      </w:tr>
      <w:tr>
        <w:trPr>
          <w:trHeight w:val="1028" w:hRule="atLeast"/>
        </w:trPr>
        <w:tc>
          <w:tcPr>
            <w:tcW w:w="1804" w:type="dxa"/>
            <w:vAlign w:val="top"/>
          </w:tcPr>
          <w:p>
            <w:pPr>
              <w:spacing w:line="322" w:lineRule="auto"/>
              <w:rPr>
                <w:rFonts w:ascii="Arial"/>
                <w:sz w:val="21"/>
              </w:rPr>
            </w:pPr>
            <w:r/>
          </w:p>
          <w:p>
            <w:pPr>
              <w:pStyle w:val="TableText"/>
              <w:ind w:left="658"/>
              <w:spacing w:before="78" w:line="220" w:lineRule="auto"/>
              <w:rPr/>
            </w:pPr>
            <w:r>
              <w:rPr>
                <w:b/>
                <w:bCs/>
                <w:spacing w:val="-6"/>
              </w:rPr>
              <w:t>严重</w:t>
            </w:r>
          </w:p>
        </w:tc>
        <w:tc>
          <w:tcPr>
            <w:tcW w:w="7545" w:type="dxa"/>
            <w:vAlign w:val="top"/>
          </w:tcPr>
          <w:p>
            <w:pPr>
              <w:pStyle w:val="TableText"/>
              <w:ind w:left="110" w:right="212"/>
              <w:spacing w:before="223" w:line="272" w:lineRule="auto"/>
              <w:rPr/>
            </w:pPr>
            <w:r>
              <w:rPr/>
              <w:t>从事放射卫生技术服务的机构超出资质认可或者批准范围从事放射卫</w:t>
            </w:r>
            <w:r>
              <w:rPr>
                <w:spacing w:val="10"/>
              </w:rPr>
              <w:t xml:space="preserve"> </w:t>
            </w:r>
            <w:r>
              <w:rPr/>
              <w:t>生技术服务，违法所得五万元以上十万元以下的</w:t>
            </w:r>
          </w:p>
        </w:tc>
        <w:tc>
          <w:tcPr>
            <w:tcW w:w="4631" w:type="dxa"/>
            <w:vAlign w:val="top"/>
          </w:tcPr>
          <w:p>
            <w:pPr>
              <w:pStyle w:val="TableText"/>
              <w:ind w:left="146" w:right="136"/>
              <w:spacing w:before="62" w:line="263" w:lineRule="auto"/>
              <w:rPr/>
            </w:pPr>
            <w:r>
              <w:rPr/>
              <w:t>责令立即停止违法行为，警告，没收违法</w:t>
            </w:r>
            <w:r>
              <w:rPr>
                <w:spacing w:val="7"/>
              </w:rPr>
              <w:t xml:space="preserve"> </w:t>
            </w:r>
            <w:r>
              <w:rPr>
                <w:spacing w:val="1"/>
              </w:rPr>
              <w:t>所得，并处违法所得四倍以上五倍以下的</w:t>
            </w:r>
          </w:p>
          <w:p>
            <w:pPr>
              <w:pStyle w:val="TableText"/>
              <w:ind w:left="136"/>
              <w:spacing w:before="1" w:line="208" w:lineRule="auto"/>
              <w:rPr/>
            </w:pPr>
            <w:r>
              <w:rPr>
                <w:color w:val="605060"/>
                <w:spacing w:val="5"/>
              </w:rPr>
              <w:t>罚款</w:t>
            </w:r>
          </w:p>
        </w:tc>
      </w:tr>
      <w:tr>
        <w:trPr>
          <w:trHeight w:val="1672" w:hRule="atLeast"/>
        </w:trPr>
        <w:tc>
          <w:tcPr>
            <w:tcW w:w="1804" w:type="dxa"/>
            <w:vAlign w:val="top"/>
          </w:tcPr>
          <w:p>
            <w:pPr>
              <w:spacing w:line="320" w:lineRule="auto"/>
              <w:rPr>
                <w:rFonts w:ascii="Arial"/>
                <w:sz w:val="21"/>
              </w:rPr>
            </w:pPr>
            <w:r/>
          </w:p>
          <w:p>
            <w:pPr>
              <w:spacing w:line="321" w:lineRule="auto"/>
              <w:rPr>
                <w:rFonts w:ascii="Arial"/>
                <w:sz w:val="21"/>
              </w:rPr>
            </w:pPr>
            <w:r/>
          </w:p>
          <w:p>
            <w:pPr>
              <w:pStyle w:val="TableText"/>
              <w:ind w:left="418"/>
              <w:spacing w:before="78" w:line="219" w:lineRule="auto"/>
              <w:rPr/>
            </w:pPr>
            <w:r>
              <w:rPr>
                <w:b/>
                <w:bCs/>
                <w:spacing w:val="-5"/>
              </w:rPr>
              <w:t>特别严重</w:t>
            </w:r>
          </w:p>
        </w:tc>
        <w:tc>
          <w:tcPr>
            <w:tcW w:w="7545" w:type="dxa"/>
            <w:vAlign w:val="top"/>
          </w:tcPr>
          <w:p>
            <w:pPr>
              <w:pStyle w:val="TableText"/>
              <w:ind w:left="110"/>
              <w:spacing w:before="67" w:line="220" w:lineRule="auto"/>
              <w:rPr/>
            </w:pPr>
            <w:r>
              <w:rPr>
                <w:spacing w:val="2"/>
              </w:rPr>
              <w:t>有下列情形之一的：</w:t>
            </w:r>
          </w:p>
          <w:p>
            <w:pPr>
              <w:pStyle w:val="TableText"/>
              <w:ind w:left="110" w:right="225"/>
              <w:spacing w:before="41" w:line="241" w:lineRule="auto"/>
              <w:rPr/>
            </w:pPr>
            <w:r>
              <w:rPr/>
              <w:t>A.从事放射卫生技术服务的机构超出资质认可或者批准范围从</w:t>
            </w:r>
            <w:r>
              <w:rPr>
                <w:spacing w:val="-1"/>
              </w:rPr>
              <w:t>事放射</w:t>
            </w:r>
            <w:r>
              <w:rPr/>
              <w:t xml:space="preserve"> </w:t>
            </w:r>
            <w:r>
              <w:rPr>
                <w:spacing w:val="1"/>
              </w:rPr>
              <w:t>卫生技术服务，违法所得十万元以上的</w:t>
            </w:r>
          </w:p>
          <w:p>
            <w:pPr>
              <w:pStyle w:val="TableText"/>
              <w:ind w:left="110" w:right="227"/>
              <w:spacing w:before="62" w:line="222" w:lineRule="auto"/>
              <w:rPr/>
            </w:pPr>
            <w:r>
              <w:rPr/>
              <w:t>B.从事放射卫生技术服务的机构超出资质认可或者批准范</w:t>
            </w:r>
            <w:r>
              <w:rPr>
                <w:spacing w:val="-1"/>
              </w:rPr>
              <w:t>围从事放射</w:t>
            </w:r>
            <w:r>
              <w:rPr/>
              <w:t xml:space="preserve"> </w:t>
            </w:r>
            <w:r>
              <w:rPr>
                <w:spacing w:val="1"/>
              </w:rPr>
              <w:t>卫生技术服务，造成严重危害的</w:t>
            </w:r>
          </w:p>
        </w:tc>
        <w:tc>
          <w:tcPr>
            <w:tcW w:w="4631" w:type="dxa"/>
            <w:vAlign w:val="top"/>
          </w:tcPr>
          <w:p>
            <w:pPr>
              <w:pStyle w:val="TableText"/>
              <w:ind w:left="126" w:right="131" w:firstLine="20"/>
              <w:spacing w:before="63" w:line="246" w:lineRule="auto"/>
              <w:jc w:val="both"/>
              <w:rPr/>
            </w:pPr>
            <w:r>
              <w:rPr/>
              <w:t>责令立即停止违法行为，警告，没收违法</w:t>
            </w:r>
            <w:r>
              <w:rPr>
                <w:spacing w:val="7"/>
              </w:rPr>
              <w:t xml:space="preserve"> </w:t>
            </w:r>
            <w:r>
              <w:rPr/>
              <w:t>所得，并处违法所得五倍的罚款；没有违</w:t>
            </w:r>
            <w:r>
              <w:rPr>
                <w:spacing w:val="9"/>
              </w:rPr>
              <w:t xml:space="preserve"> </w:t>
            </w:r>
            <w:r>
              <w:rPr>
                <w:spacing w:val="1"/>
              </w:rPr>
              <w:t>法所得或者违法所得不足五千元的，并处</w:t>
            </w:r>
            <w:r>
              <w:rPr>
                <w:spacing w:val="11"/>
              </w:rPr>
              <w:t xml:space="preserve"> </w:t>
            </w:r>
            <w:r>
              <w:rPr>
                <w:spacing w:val="2"/>
              </w:rPr>
              <w:t>二万元罚款；由原认证或者批准机关取消</w:t>
            </w:r>
            <w:r>
              <w:rPr>
                <w:spacing w:val="6"/>
              </w:rPr>
              <w:t xml:space="preserve"> </w:t>
            </w:r>
            <w:r>
              <w:rPr>
                <w:spacing w:val="1"/>
              </w:rPr>
              <w:t>其相应的资格</w:t>
            </w:r>
          </w:p>
        </w:tc>
      </w:tr>
    </w:tbl>
    <w:p>
      <w:pPr>
        <w:pStyle w:val="BodyText"/>
        <w:spacing w:line="424" w:lineRule="auto"/>
        <w:rPr/>
      </w:pPr>
      <w:r/>
    </w:p>
    <w:p>
      <w:pPr>
        <w:ind w:left="669"/>
        <w:spacing w:before="100" w:line="220" w:lineRule="auto"/>
        <w:rPr>
          <w:rFonts w:ascii="FangSong" w:hAnsi="FangSong" w:eastAsia="FangSong" w:cs="FangSong"/>
          <w:sz w:val="31"/>
          <w:szCs w:val="31"/>
        </w:rPr>
      </w:pPr>
      <w:r>
        <w:rPr>
          <w:rFonts w:ascii="FangSong" w:hAnsi="FangSong" w:eastAsia="FangSong" w:cs="FangSong"/>
          <w:sz w:val="31"/>
          <w:szCs w:val="31"/>
          <w:b/>
          <w:bCs/>
          <w:spacing w:val="12"/>
        </w:rPr>
        <w:t>第五百八十四条从事放射卫生技术服务的机构出具虚假证明文件的</w:t>
      </w:r>
    </w:p>
    <w:p>
      <w:pPr>
        <w:ind w:left="634"/>
        <w:spacing w:before="127"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spacing w:line="222" w:lineRule="auto"/>
        <w:sectPr>
          <w:footerReference w:type="default" r:id="rId609"/>
          <w:pgSz w:w="16830" w:h="11900"/>
          <w:pgMar w:top="1011" w:right="1405" w:bottom="1124" w:left="1434" w:header="0" w:footer="809" w:gutter="0"/>
        </w:sectPr>
        <w:rPr>
          <w:rFonts w:ascii="FangSong" w:hAnsi="FangSong" w:eastAsia="FangSong" w:cs="FangSong"/>
          <w:sz w:val="27"/>
          <w:szCs w:val="27"/>
        </w:rPr>
      </w:pPr>
    </w:p>
    <w:p>
      <w:pPr>
        <w:pStyle w:val="BodyText"/>
        <w:spacing w:line="263" w:lineRule="auto"/>
        <w:rPr/>
      </w:pPr>
      <w:r/>
    </w:p>
    <w:p>
      <w:pPr>
        <w:pStyle w:val="BodyText"/>
        <w:spacing w:line="263" w:lineRule="auto"/>
        <w:rPr/>
      </w:pPr>
      <w:r/>
    </w:p>
    <w:p>
      <w:pPr>
        <w:pStyle w:val="BodyText"/>
        <w:spacing w:line="264" w:lineRule="auto"/>
        <w:rPr/>
      </w:pPr>
      <w:r/>
    </w:p>
    <w:p>
      <w:pPr>
        <w:ind w:left="5" w:right="62" w:firstLine="650"/>
        <w:spacing w:before="97" w:line="271" w:lineRule="auto"/>
        <w:jc w:val="both"/>
        <w:rPr>
          <w:rFonts w:ascii="FangSong" w:hAnsi="FangSong" w:eastAsia="FangSong" w:cs="FangSong"/>
          <w:sz w:val="30"/>
          <w:szCs w:val="30"/>
        </w:rPr>
      </w:pPr>
      <w:r>
        <w:rPr>
          <w:rFonts w:ascii="FangSong" w:hAnsi="FangSong" w:eastAsia="FangSong" w:cs="FangSong"/>
          <w:sz w:val="30"/>
          <w:szCs w:val="30"/>
          <w:spacing w:val="26"/>
        </w:rPr>
        <w:t>《中华人民共和国职业病防治法》第八十条第(三)项</w:t>
      </w:r>
      <w:r>
        <w:rPr>
          <w:rFonts w:ascii="FangSong" w:hAnsi="FangSong" w:eastAsia="FangSong" w:cs="FangSong"/>
          <w:sz w:val="30"/>
          <w:szCs w:val="30"/>
          <w:spacing w:val="26"/>
        </w:rPr>
        <w:t xml:space="preserve">   </w:t>
      </w:r>
      <w:r>
        <w:rPr>
          <w:rFonts w:ascii="FangSong" w:hAnsi="FangSong" w:eastAsia="FangSong" w:cs="FangSong"/>
          <w:sz w:val="30"/>
          <w:szCs w:val="30"/>
          <w:spacing w:val="26"/>
        </w:rPr>
        <w:t>从事职业卫生技术服务的机构和承担</w:t>
      </w:r>
      <w:r>
        <w:rPr>
          <w:rFonts w:ascii="FangSong" w:hAnsi="FangSong" w:eastAsia="FangSong" w:cs="FangSong"/>
          <w:sz w:val="30"/>
          <w:szCs w:val="30"/>
        </w:rPr>
        <w:t xml:space="preserve"> </w:t>
      </w:r>
      <w:r>
        <w:rPr>
          <w:rFonts w:ascii="FangSong" w:hAnsi="FangSong" w:eastAsia="FangSong" w:cs="FangSong"/>
          <w:sz w:val="30"/>
          <w:szCs w:val="30"/>
          <w:spacing w:val="16"/>
        </w:rPr>
        <w:t>职业病诊断的医疗卫生机构违反本法规定，有下列行为之一的，由卫生行政部门责令立即停止违法行</w:t>
      </w:r>
      <w:r>
        <w:rPr>
          <w:rFonts w:ascii="FangSong" w:hAnsi="FangSong" w:eastAsia="FangSong" w:cs="FangSong"/>
          <w:sz w:val="30"/>
          <w:szCs w:val="30"/>
          <w:spacing w:val="15"/>
        </w:rPr>
        <w:t xml:space="preserve"> </w:t>
      </w:r>
      <w:r>
        <w:rPr>
          <w:rFonts w:ascii="FangSong" w:hAnsi="FangSong" w:eastAsia="FangSong" w:cs="FangSong"/>
          <w:sz w:val="30"/>
          <w:szCs w:val="30"/>
          <w:spacing w:val="16"/>
        </w:rPr>
        <w:t>为，给予警告，没收违法所得；违法所得五千元以上的，并处违法所得二倍以上五倍以下的罚款；没</w:t>
      </w:r>
      <w:r>
        <w:rPr>
          <w:rFonts w:ascii="FangSong" w:hAnsi="FangSong" w:eastAsia="FangSong" w:cs="FangSong"/>
          <w:sz w:val="30"/>
          <w:szCs w:val="30"/>
          <w:spacing w:val="13"/>
        </w:rPr>
        <w:t xml:space="preserve"> </w:t>
      </w:r>
      <w:r>
        <w:rPr>
          <w:rFonts w:ascii="FangSong" w:hAnsi="FangSong" w:eastAsia="FangSong" w:cs="FangSong"/>
          <w:sz w:val="30"/>
          <w:szCs w:val="30"/>
          <w:spacing w:val="16"/>
        </w:rPr>
        <w:t>有违法所得或者违法所得不足五千元的，并处五千元以上二万元以下的罚款；情节严重的，由原认可</w:t>
      </w:r>
      <w:r>
        <w:rPr>
          <w:rFonts w:ascii="FangSong" w:hAnsi="FangSong" w:eastAsia="FangSong" w:cs="FangSong"/>
          <w:sz w:val="30"/>
          <w:szCs w:val="30"/>
          <w:spacing w:val="17"/>
        </w:rPr>
        <w:t xml:space="preserve"> </w:t>
      </w:r>
      <w:r>
        <w:rPr>
          <w:rFonts w:ascii="FangSong" w:hAnsi="FangSong" w:eastAsia="FangSong" w:cs="FangSong"/>
          <w:sz w:val="30"/>
          <w:szCs w:val="30"/>
          <w:spacing w:val="16"/>
        </w:rPr>
        <w:t>或者登记机关取消其相应的资格；对直接负责的主管人员和其他直接责任人员，依法给予降级、撤职</w:t>
      </w:r>
      <w:r>
        <w:rPr>
          <w:rFonts w:ascii="FangSong" w:hAnsi="FangSong" w:eastAsia="FangSong" w:cs="FangSong"/>
          <w:sz w:val="30"/>
          <w:szCs w:val="30"/>
          <w:spacing w:val="12"/>
        </w:rPr>
        <w:t xml:space="preserve"> </w:t>
      </w:r>
      <w:r>
        <w:rPr>
          <w:rFonts w:ascii="FangSong" w:hAnsi="FangSong" w:eastAsia="FangSong" w:cs="FangSong"/>
          <w:sz w:val="30"/>
          <w:szCs w:val="30"/>
          <w:spacing w:val="16"/>
        </w:rPr>
        <w:t>或者开除的处分；构成犯罪的，依法追究刑事责任：</w:t>
      </w:r>
    </w:p>
    <w:p>
      <w:pPr>
        <w:ind w:left="785"/>
        <w:spacing w:line="220" w:lineRule="auto"/>
        <w:rPr>
          <w:rFonts w:ascii="FangSong" w:hAnsi="FangSong" w:eastAsia="FangSong" w:cs="FangSong"/>
          <w:sz w:val="30"/>
          <w:szCs w:val="30"/>
        </w:rPr>
      </w:pPr>
      <w:r>
        <w:rPr>
          <w:rFonts w:ascii="FangSong" w:hAnsi="FangSong" w:eastAsia="FangSong" w:cs="FangSong"/>
          <w:sz w:val="30"/>
          <w:szCs w:val="30"/>
          <w:spacing w:val="27"/>
        </w:rPr>
        <w:t>(三)出具虚假证明文件的。</w:t>
      </w:r>
    </w:p>
    <w:p>
      <w:pPr>
        <w:ind w:left="6419"/>
        <w:spacing w:before="27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1" w:lineRule="auto"/>
        <w:rPr>
          <w:rFonts w:ascii="Arial"/>
          <w:sz w:val="2"/>
        </w:rPr>
      </w:pPr>
      <w:r>
        <w:rPr>
          <w:rFonts w:ascii="Arial"/>
          <w:sz w:val="2"/>
        </w:rPr>
      </w:r>
    </w:p>
    <w:tbl>
      <w:tblPr>
        <w:tblStyle w:val="TableNormal"/>
        <w:tblW w:w="1398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4"/>
        <w:gridCol w:w="7275"/>
        <w:gridCol w:w="4921"/>
      </w:tblGrid>
      <w:tr>
        <w:trPr>
          <w:trHeight w:val="663" w:hRule="atLeast"/>
        </w:trPr>
        <w:tc>
          <w:tcPr>
            <w:tcW w:w="1784" w:type="dxa"/>
            <w:vAlign w:val="top"/>
          </w:tcPr>
          <w:p>
            <w:pPr>
              <w:pStyle w:val="TableText"/>
              <w:ind w:left="308"/>
              <w:spacing w:before="212" w:line="220" w:lineRule="auto"/>
              <w:rPr/>
            </w:pPr>
            <w:r>
              <w:rPr>
                <w:b/>
                <w:bCs/>
                <w:spacing w:val="-10"/>
              </w:rPr>
              <w:t>违</w:t>
            </w:r>
            <w:r>
              <w:rPr>
                <w:spacing w:val="-37"/>
              </w:rPr>
              <w:t xml:space="preserve"> </w:t>
            </w:r>
            <w:r>
              <w:rPr>
                <w:b/>
                <w:bCs/>
                <w:spacing w:val="-10"/>
              </w:rPr>
              <w:t>法</w:t>
            </w:r>
            <w:r>
              <w:rPr>
                <w:spacing w:val="-39"/>
              </w:rPr>
              <w:t xml:space="preserve"> </w:t>
            </w:r>
            <w:r>
              <w:rPr>
                <w:b/>
                <w:bCs/>
                <w:spacing w:val="-10"/>
              </w:rPr>
              <w:t>程</w:t>
            </w:r>
            <w:r>
              <w:rPr>
                <w:spacing w:val="-40"/>
              </w:rPr>
              <w:t xml:space="preserve"> </w:t>
            </w:r>
            <w:r>
              <w:rPr>
                <w:b/>
                <w:bCs/>
                <w:spacing w:val="-10"/>
              </w:rPr>
              <w:t>度</w:t>
            </w:r>
          </w:p>
        </w:tc>
        <w:tc>
          <w:tcPr>
            <w:tcW w:w="7275" w:type="dxa"/>
            <w:vAlign w:val="top"/>
          </w:tcPr>
          <w:p>
            <w:pPr>
              <w:pStyle w:val="TableText"/>
              <w:ind w:left="3154"/>
              <w:spacing w:before="212" w:line="220" w:lineRule="auto"/>
              <w:rPr/>
            </w:pPr>
            <w:r>
              <w:rPr>
                <w:b/>
                <w:bCs/>
                <w:spacing w:val="-5"/>
              </w:rPr>
              <w:t>情节后果</w:t>
            </w:r>
          </w:p>
        </w:tc>
        <w:tc>
          <w:tcPr>
            <w:tcW w:w="4921" w:type="dxa"/>
            <w:vAlign w:val="top"/>
          </w:tcPr>
          <w:p>
            <w:pPr>
              <w:pStyle w:val="TableText"/>
              <w:ind w:left="1979"/>
              <w:spacing w:before="209" w:line="218" w:lineRule="auto"/>
              <w:rPr/>
            </w:pPr>
            <w:r>
              <w:rPr>
                <w:b/>
                <w:bCs/>
                <w:spacing w:val="-5"/>
              </w:rPr>
              <w:t>裁量幅度</w:t>
            </w:r>
          </w:p>
        </w:tc>
      </w:tr>
      <w:tr>
        <w:trPr>
          <w:trHeight w:val="718" w:hRule="atLeast"/>
        </w:trPr>
        <w:tc>
          <w:tcPr>
            <w:tcW w:w="1784" w:type="dxa"/>
            <w:vAlign w:val="top"/>
          </w:tcPr>
          <w:p>
            <w:pPr>
              <w:pStyle w:val="TableText"/>
              <w:ind w:left="648"/>
              <w:spacing w:before="238" w:line="219" w:lineRule="auto"/>
              <w:rPr/>
            </w:pPr>
            <w:r>
              <w:rPr>
                <w:b/>
                <w:bCs/>
                <w:spacing w:val="-6"/>
              </w:rPr>
              <w:t>轻微</w:t>
            </w:r>
          </w:p>
        </w:tc>
        <w:tc>
          <w:tcPr>
            <w:tcW w:w="7275" w:type="dxa"/>
            <w:vAlign w:val="top"/>
          </w:tcPr>
          <w:p>
            <w:pPr>
              <w:pStyle w:val="TableText"/>
              <w:ind w:left="150"/>
              <w:spacing w:before="240" w:line="219" w:lineRule="auto"/>
              <w:rPr/>
            </w:pPr>
            <w:r>
              <w:rPr/>
              <w:t>从事放射卫生技术服务的机构出具虚假证明文件，没有违法所得的</w:t>
            </w:r>
          </w:p>
        </w:tc>
        <w:tc>
          <w:tcPr>
            <w:tcW w:w="4921" w:type="dxa"/>
            <w:vAlign w:val="top"/>
          </w:tcPr>
          <w:p>
            <w:pPr>
              <w:pStyle w:val="TableText"/>
              <w:ind w:left="105" w:right="33" w:hanging="49"/>
              <w:spacing w:before="89" w:line="238" w:lineRule="auto"/>
              <w:rPr/>
            </w:pPr>
            <w:r>
              <w:rPr>
                <w:spacing w:val="1"/>
              </w:rPr>
              <w:t>责令立即停止违法行为，警告，并处五千元以</w:t>
            </w:r>
            <w:r>
              <w:rPr/>
              <w:t xml:space="preserve"> </w:t>
            </w:r>
            <w:r>
              <w:rPr>
                <w:spacing w:val="1"/>
              </w:rPr>
              <w:t>上一万元以下罚款</w:t>
            </w:r>
          </w:p>
        </w:tc>
      </w:tr>
      <w:tr>
        <w:trPr>
          <w:trHeight w:val="689" w:hRule="atLeast"/>
        </w:trPr>
        <w:tc>
          <w:tcPr>
            <w:tcW w:w="1784" w:type="dxa"/>
            <w:vAlign w:val="top"/>
          </w:tcPr>
          <w:p>
            <w:pPr>
              <w:pStyle w:val="TableText"/>
              <w:ind w:left="648"/>
              <w:spacing w:before="231" w:line="221" w:lineRule="auto"/>
              <w:rPr/>
            </w:pPr>
            <w:r>
              <w:rPr>
                <w:b/>
                <w:bCs/>
                <w:spacing w:val="-10"/>
              </w:rPr>
              <w:t>一般</w:t>
            </w:r>
          </w:p>
        </w:tc>
        <w:tc>
          <w:tcPr>
            <w:tcW w:w="7275" w:type="dxa"/>
            <w:vAlign w:val="top"/>
          </w:tcPr>
          <w:p>
            <w:pPr>
              <w:pStyle w:val="TableText"/>
              <w:ind w:left="111" w:right="143" w:firstLine="39"/>
              <w:spacing w:before="73" w:line="233" w:lineRule="auto"/>
              <w:rPr/>
            </w:pPr>
            <w:r>
              <w:rPr/>
              <w:t>从事放射卫生技术服务的机构出具虚假证明文件，违法所得不足五</w:t>
            </w:r>
            <w:r>
              <w:rPr>
                <w:spacing w:val="9"/>
              </w:rPr>
              <w:t xml:space="preserve"> </w:t>
            </w:r>
            <w:r>
              <w:rPr>
                <w:spacing w:val="6"/>
              </w:rPr>
              <w:t>千元的</w:t>
            </w:r>
          </w:p>
        </w:tc>
        <w:tc>
          <w:tcPr>
            <w:tcW w:w="4921" w:type="dxa"/>
            <w:vAlign w:val="top"/>
          </w:tcPr>
          <w:p>
            <w:pPr>
              <w:pStyle w:val="TableText"/>
              <w:ind w:left="102" w:hanging="87"/>
              <w:spacing w:before="70" w:line="234" w:lineRule="auto"/>
              <w:rPr/>
            </w:pPr>
            <w:r>
              <w:rPr>
                <w:spacing w:val="-7"/>
              </w:rPr>
              <w:t>责令立即停止违法行为，警告，没收违法所得，</w:t>
            </w:r>
            <w:r>
              <w:rPr>
                <w:spacing w:val="1"/>
              </w:rPr>
              <w:t xml:space="preserve"> </w:t>
            </w:r>
            <w:r>
              <w:rPr>
                <w:spacing w:val="-5"/>
              </w:rPr>
              <w:t>并处一万元以上二万元以下的罚款</w:t>
            </w:r>
          </w:p>
        </w:tc>
      </w:tr>
      <w:tr>
        <w:trPr>
          <w:trHeight w:val="698" w:hRule="atLeast"/>
        </w:trPr>
        <w:tc>
          <w:tcPr>
            <w:tcW w:w="1784" w:type="dxa"/>
            <w:vAlign w:val="top"/>
          </w:tcPr>
          <w:p>
            <w:pPr>
              <w:pStyle w:val="TableText"/>
              <w:ind w:left="648"/>
              <w:spacing w:before="234" w:line="221" w:lineRule="auto"/>
              <w:rPr/>
            </w:pPr>
            <w:r>
              <w:rPr>
                <w:b/>
                <w:bCs/>
                <w:spacing w:val="-5"/>
              </w:rPr>
              <w:t>较重</w:t>
            </w:r>
          </w:p>
        </w:tc>
        <w:tc>
          <w:tcPr>
            <w:tcW w:w="7275" w:type="dxa"/>
            <w:vAlign w:val="top"/>
          </w:tcPr>
          <w:p>
            <w:pPr>
              <w:pStyle w:val="TableText"/>
              <w:ind w:left="130" w:right="143" w:firstLine="20"/>
              <w:spacing w:before="74" w:line="236" w:lineRule="auto"/>
              <w:rPr/>
            </w:pPr>
            <w:r>
              <w:rPr/>
              <w:t>从事放射卫生技术服务的机构出具虚假证明文件，违法所得五千元</w:t>
            </w:r>
            <w:r>
              <w:rPr>
                <w:spacing w:val="9"/>
              </w:rPr>
              <w:t xml:space="preserve"> </w:t>
            </w:r>
            <w:r>
              <w:rPr>
                <w:spacing w:val="2"/>
              </w:rPr>
              <w:t>以上一万元以下的</w:t>
            </w:r>
          </w:p>
        </w:tc>
        <w:tc>
          <w:tcPr>
            <w:tcW w:w="4921" w:type="dxa"/>
            <w:vAlign w:val="top"/>
          </w:tcPr>
          <w:p>
            <w:pPr>
              <w:pStyle w:val="TableText"/>
              <w:ind w:left="112" w:hanging="97"/>
              <w:spacing w:before="71" w:line="237" w:lineRule="auto"/>
              <w:rPr/>
            </w:pPr>
            <w:r>
              <w:rPr>
                <w:spacing w:val="-7"/>
              </w:rPr>
              <w:t>责令立即停止违法行为，警告，没收违法所得，</w:t>
            </w:r>
            <w:r>
              <w:rPr>
                <w:spacing w:val="1"/>
              </w:rPr>
              <w:t xml:space="preserve"> </w:t>
            </w:r>
            <w:r>
              <w:rPr>
                <w:spacing w:val="-5"/>
              </w:rPr>
              <w:t>并处违法所得二倍以上四倍以下的罚款</w:t>
            </w:r>
          </w:p>
        </w:tc>
      </w:tr>
      <w:tr>
        <w:trPr>
          <w:trHeight w:val="828" w:hRule="atLeast"/>
        </w:trPr>
        <w:tc>
          <w:tcPr>
            <w:tcW w:w="1784" w:type="dxa"/>
            <w:vAlign w:val="top"/>
          </w:tcPr>
          <w:p>
            <w:pPr>
              <w:pStyle w:val="TableText"/>
              <w:ind w:left="648"/>
              <w:spacing w:before="304" w:line="220" w:lineRule="auto"/>
              <w:rPr/>
            </w:pPr>
            <w:r>
              <w:rPr>
                <w:b/>
                <w:bCs/>
                <w:spacing w:val="-6"/>
              </w:rPr>
              <w:t>严重</w:t>
            </w:r>
          </w:p>
        </w:tc>
        <w:tc>
          <w:tcPr>
            <w:tcW w:w="7275" w:type="dxa"/>
            <w:vAlign w:val="top"/>
          </w:tcPr>
          <w:p>
            <w:pPr>
              <w:pStyle w:val="TableText"/>
              <w:ind w:left="130" w:right="143" w:firstLine="20"/>
              <w:spacing w:before="154" w:line="255" w:lineRule="auto"/>
              <w:rPr/>
            </w:pPr>
            <w:r>
              <w:rPr/>
              <w:t>从事放射卫生技术服务的机构出具虚假证明文件，违法所得一万元</w:t>
            </w:r>
            <w:r>
              <w:rPr>
                <w:spacing w:val="9"/>
              </w:rPr>
              <w:t xml:space="preserve"> </w:t>
            </w:r>
            <w:r>
              <w:rPr>
                <w:spacing w:val="2"/>
              </w:rPr>
              <w:t>以上五万元以下的</w:t>
            </w:r>
          </w:p>
        </w:tc>
        <w:tc>
          <w:tcPr>
            <w:tcW w:w="4921" w:type="dxa"/>
            <w:vAlign w:val="top"/>
          </w:tcPr>
          <w:p>
            <w:pPr>
              <w:pStyle w:val="TableText"/>
              <w:ind w:left="112" w:hanging="97"/>
              <w:spacing w:before="144" w:line="259" w:lineRule="auto"/>
              <w:rPr/>
            </w:pPr>
            <w:r>
              <w:rPr>
                <w:spacing w:val="-7"/>
              </w:rPr>
              <w:t>责令立即停止违法行为，警告，没收违法所得，</w:t>
            </w:r>
            <w:r>
              <w:rPr>
                <w:spacing w:val="1"/>
              </w:rPr>
              <w:t xml:space="preserve"> </w:t>
            </w:r>
            <w:r>
              <w:rPr>
                <w:spacing w:val="-5"/>
              </w:rPr>
              <w:t>并处违法所得四倍以上五倍以下的罚款</w:t>
            </w:r>
          </w:p>
        </w:tc>
      </w:tr>
      <w:tr>
        <w:trPr>
          <w:trHeight w:val="863" w:hRule="atLeast"/>
        </w:trPr>
        <w:tc>
          <w:tcPr>
            <w:tcW w:w="1784" w:type="dxa"/>
            <w:vAlign w:val="top"/>
          </w:tcPr>
          <w:p>
            <w:pPr>
              <w:pStyle w:val="TableText"/>
              <w:ind w:left="408"/>
              <w:spacing w:before="315" w:line="219" w:lineRule="auto"/>
              <w:rPr/>
            </w:pPr>
            <w:r>
              <w:rPr>
                <w:b/>
                <w:bCs/>
                <w:spacing w:val="-5"/>
              </w:rPr>
              <w:t>特别严重</w:t>
            </w:r>
          </w:p>
        </w:tc>
        <w:tc>
          <w:tcPr>
            <w:tcW w:w="7275" w:type="dxa"/>
            <w:vAlign w:val="top"/>
          </w:tcPr>
          <w:p>
            <w:pPr>
              <w:pStyle w:val="TableText"/>
              <w:ind w:left="121"/>
              <w:spacing w:before="169" w:line="220" w:lineRule="auto"/>
              <w:rPr/>
            </w:pPr>
            <w:r>
              <w:rPr>
                <w:spacing w:val="2"/>
              </w:rPr>
              <w:t>有下列情形之一的：</w:t>
            </w:r>
          </w:p>
          <w:p>
            <w:pPr>
              <w:pStyle w:val="TableText"/>
              <w:ind w:left="150"/>
              <w:spacing w:before="51" w:line="219" w:lineRule="auto"/>
              <w:rPr/>
            </w:pPr>
            <w:r>
              <w:rPr/>
              <w:t>A.从事放射卫生技术服务的机构出具虚假证明文件，违法所</w:t>
            </w:r>
            <w:r>
              <w:rPr>
                <w:spacing w:val="-1"/>
              </w:rPr>
              <w:t>得五万</w:t>
            </w:r>
          </w:p>
        </w:tc>
        <w:tc>
          <w:tcPr>
            <w:tcW w:w="4921" w:type="dxa"/>
            <w:vAlign w:val="top"/>
          </w:tcPr>
          <w:p>
            <w:pPr>
              <w:pStyle w:val="TableText"/>
              <w:ind w:left="54" w:hanging="39"/>
              <w:spacing w:before="167" w:line="257" w:lineRule="auto"/>
              <w:rPr/>
            </w:pPr>
            <w:r>
              <w:rPr>
                <w:spacing w:val="-7"/>
              </w:rPr>
              <w:t>责令立即停止违法行为，警告，没收违法所得，</w:t>
            </w:r>
            <w:r>
              <w:rPr>
                <w:spacing w:val="1"/>
              </w:rPr>
              <w:t xml:space="preserve"> </w:t>
            </w:r>
            <w:r>
              <w:rPr>
                <w:spacing w:val="-5"/>
              </w:rPr>
              <w:t>并处违法所得五倍的罚款；没有违法所得或者</w:t>
            </w:r>
          </w:p>
        </w:tc>
      </w:tr>
    </w:tbl>
    <w:p>
      <w:pPr>
        <w:pStyle w:val="BodyText"/>
        <w:rPr/>
      </w:pPr>
      <w:r/>
    </w:p>
    <w:p>
      <w:pPr>
        <w:sectPr>
          <w:footerReference w:type="default" r:id="rId610"/>
          <w:pgSz w:w="16830" w:h="11900"/>
          <w:pgMar w:top="1011" w:right="1405" w:bottom="1115" w:left="1434" w:header="0" w:footer="773" w:gutter="0"/>
        </w:sectPr>
        <w:rPr/>
      </w:pPr>
    </w:p>
    <w:p>
      <w:pPr>
        <w:spacing w:before="20"/>
        <w:rPr/>
      </w:pPr>
      <w:r/>
    </w:p>
    <w:p>
      <w:pPr>
        <w:spacing w:before="20"/>
        <w:rPr/>
      </w:pPr>
      <w:r/>
    </w:p>
    <w:p>
      <w:pPr>
        <w:spacing w:before="19"/>
        <w:rPr/>
      </w:pPr>
      <w:r/>
    </w:p>
    <w:tbl>
      <w:tblPr>
        <w:tblStyle w:val="TableNormal"/>
        <w:tblW w:w="14023" w:type="dxa"/>
        <w:tblInd w:w="3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24"/>
        <w:gridCol w:w="7265"/>
        <w:gridCol w:w="4934"/>
      </w:tblGrid>
      <w:tr>
        <w:trPr>
          <w:trHeight w:val="999" w:hRule="atLeast"/>
        </w:trPr>
        <w:tc>
          <w:tcPr>
            <w:tcW w:w="1824" w:type="dxa"/>
            <w:vAlign w:val="top"/>
          </w:tcPr>
          <w:p>
            <w:pPr>
              <w:rPr>
                <w:rFonts w:ascii="Arial"/>
                <w:sz w:val="21"/>
              </w:rPr>
            </w:pPr>
            <w:r/>
          </w:p>
        </w:tc>
        <w:tc>
          <w:tcPr>
            <w:tcW w:w="7265" w:type="dxa"/>
            <w:vAlign w:val="top"/>
          </w:tcPr>
          <w:p>
            <w:pPr>
              <w:pStyle w:val="TableText"/>
              <w:ind w:left="91"/>
              <w:spacing w:before="35" w:line="220" w:lineRule="auto"/>
              <w:rPr/>
            </w:pPr>
            <w:r>
              <w:rPr>
                <w:spacing w:val="4"/>
              </w:rPr>
              <w:t>元以上的</w:t>
            </w:r>
          </w:p>
          <w:p>
            <w:pPr>
              <w:pStyle w:val="TableText"/>
              <w:ind w:left="91"/>
              <w:spacing w:before="61" w:line="219" w:lineRule="auto"/>
              <w:rPr/>
            </w:pPr>
            <w:r>
              <w:rPr/>
              <w:t>B.从事放射卫生技术服务的机构出具虚假证明文件，造</w:t>
            </w:r>
            <w:r>
              <w:rPr>
                <w:spacing w:val="-1"/>
              </w:rPr>
              <w:t>成严重危害</w:t>
            </w:r>
          </w:p>
          <w:p>
            <w:pPr>
              <w:pStyle w:val="TableText"/>
              <w:ind w:left="91"/>
              <w:spacing w:before="60" w:line="200" w:lineRule="auto"/>
              <w:rPr/>
            </w:pPr>
            <w:r>
              <w:rPr>
                <w:color w:val="404050"/>
              </w:rPr>
              <w:t>的</w:t>
            </w:r>
          </w:p>
        </w:tc>
        <w:tc>
          <w:tcPr>
            <w:tcW w:w="4934" w:type="dxa"/>
            <w:vAlign w:val="top"/>
          </w:tcPr>
          <w:p>
            <w:pPr>
              <w:pStyle w:val="TableText"/>
              <w:ind w:left="106"/>
              <w:spacing w:before="54" w:line="278" w:lineRule="auto"/>
              <w:rPr/>
            </w:pPr>
            <w:r>
              <w:rPr/>
              <w:t>违法所得不足五千元的，并处二万元罚款；由</w:t>
            </w:r>
            <w:r>
              <w:rPr>
                <w:spacing w:val="16"/>
              </w:rPr>
              <w:t xml:space="preserve"> </w:t>
            </w:r>
            <w:r>
              <w:rPr/>
              <w:t>原认证或者批准机关取消其相应的资格</w:t>
            </w:r>
          </w:p>
        </w:tc>
      </w:tr>
    </w:tbl>
    <w:p>
      <w:pPr>
        <w:pStyle w:val="BodyText"/>
        <w:spacing w:line="296" w:lineRule="auto"/>
        <w:rPr/>
      </w:pPr>
      <w:r/>
    </w:p>
    <w:p>
      <w:pPr>
        <w:ind w:left="829"/>
        <w:spacing w:before="97" w:line="223" w:lineRule="auto"/>
        <w:rPr>
          <w:rFonts w:ascii="KaiTi" w:hAnsi="KaiTi" w:eastAsia="KaiTi" w:cs="KaiTi"/>
          <w:sz w:val="30"/>
          <w:szCs w:val="30"/>
        </w:rPr>
      </w:pPr>
      <w:bookmarkStart w:name="bookmark1237" w:id="615"/>
      <w:bookmarkEnd w:id="615"/>
      <w:r>
        <w:rPr>
          <w:rFonts w:ascii="KaiTi" w:hAnsi="KaiTi" w:eastAsia="KaiTi" w:cs="KaiTi"/>
          <w:sz w:val="30"/>
          <w:szCs w:val="30"/>
          <w:b/>
          <w:bCs/>
          <w:spacing w:val="26"/>
        </w:rPr>
        <w:t>(三)《放射工作人员职业健康管理办法》</w:t>
      </w:r>
    </w:p>
    <w:p>
      <w:pPr>
        <w:ind w:left="719"/>
        <w:spacing w:before="329" w:line="220" w:lineRule="auto"/>
        <w:rPr>
          <w:rFonts w:ascii="FangSong" w:hAnsi="FangSong" w:eastAsia="FangSong" w:cs="FangSong"/>
          <w:sz w:val="30"/>
          <w:szCs w:val="30"/>
        </w:rPr>
      </w:pPr>
      <w:r>
        <w:rPr>
          <w:rFonts w:ascii="FangSong" w:hAnsi="FangSong" w:eastAsia="FangSong" w:cs="FangSong"/>
          <w:sz w:val="30"/>
          <w:szCs w:val="30"/>
          <w:b/>
          <w:bCs/>
          <w:spacing w:val="22"/>
        </w:rPr>
        <w:t>第五百八十五条放射工作单位未给从事放射工</w:t>
      </w:r>
      <w:r>
        <w:rPr>
          <w:rFonts w:ascii="FangSong" w:hAnsi="FangSong" w:eastAsia="FangSong" w:cs="FangSong"/>
          <w:sz w:val="30"/>
          <w:szCs w:val="30"/>
          <w:b/>
          <w:bCs/>
          <w:spacing w:val="21"/>
        </w:rPr>
        <w:t>作的人员办理《放射工作人员证》的</w:t>
      </w:r>
    </w:p>
    <w:p>
      <w:pPr>
        <w:ind w:left="715"/>
        <w:spacing w:before="129" w:line="222" w:lineRule="auto"/>
        <w:rPr>
          <w:rFonts w:ascii="FangSong" w:hAnsi="FangSong" w:eastAsia="FangSong" w:cs="FangSong"/>
          <w:sz w:val="26"/>
          <w:szCs w:val="26"/>
        </w:rPr>
      </w:pPr>
      <w:r>
        <w:rPr>
          <w:rFonts w:ascii="FangSong" w:hAnsi="FangSong" w:eastAsia="FangSong" w:cs="FangSong"/>
          <w:sz w:val="26"/>
          <w:szCs w:val="26"/>
          <w:spacing w:val="34"/>
        </w:rPr>
        <w:t>法律依据</w:t>
      </w:r>
      <w:r>
        <w:rPr>
          <w:rFonts w:ascii="FangSong" w:hAnsi="FangSong" w:eastAsia="FangSong" w:cs="FangSong"/>
          <w:sz w:val="26"/>
          <w:szCs w:val="26"/>
          <w:spacing w:val="-64"/>
        </w:rPr>
        <w:t xml:space="preserve"> </w:t>
      </w:r>
      <w:r>
        <w:rPr>
          <w:rFonts w:ascii="FangSong" w:hAnsi="FangSong" w:eastAsia="FangSong" w:cs="FangSong"/>
          <w:sz w:val="26"/>
          <w:szCs w:val="26"/>
          <w:spacing w:val="34"/>
        </w:rPr>
        <w:t>：</w:t>
      </w:r>
    </w:p>
    <w:p>
      <w:pPr>
        <w:ind w:left="65" w:right="68" w:firstLine="609"/>
        <w:spacing w:before="93" w:line="281" w:lineRule="auto"/>
        <w:jc w:val="both"/>
        <w:rPr>
          <w:rFonts w:ascii="FangSong" w:hAnsi="FangSong" w:eastAsia="FangSong" w:cs="FangSong"/>
          <w:sz w:val="26"/>
          <w:szCs w:val="26"/>
        </w:rPr>
      </w:pPr>
      <w:r>
        <w:rPr>
          <w:rFonts w:ascii="FangSong" w:hAnsi="FangSong" w:eastAsia="FangSong" w:cs="FangSong"/>
          <w:sz w:val="30"/>
          <w:szCs w:val="30"/>
          <w:spacing w:val="17"/>
        </w:rPr>
        <w:t>《放射工作人员职业健康管理办法》第三十九条</w:t>
      </w:r>
      <w:r>
        <w:rPr>
          <w:rFonts w:ascii="FangSong" w:hAnsi="FangSong" w:eastAsia="FangSong" w:cs="FangSong"/>
          <w:sz w:val="30"/>
          <w:szCs w:val="30"/>
          <w:spacing w:val="8"/>
        </w:rPr>
        <w:t xml:space="preserve">  </w:t>
      </w:r>
      <w:r>
        <w:rPr>
          <w:rFonts w:ascii="FangSong" w:hAnsi="FangSong" w:eastAsia="FangSong" w:cs="FangSong"/>
          <w:sz w:val="30"/>
          <w:szCs w:val="30"/>
          <w:spacing w:val="17"/>
        </w:rPr>
        <w:t>放射工作单位违反本办法，未给从事放射工作</w:t>
      </w:r>
      <w:r>
        <w:rPr>
          <w:rFonts w:ascii="FangSong" w:hAnsi="FangSong" w:eastAsia="FangSong" w:cs="FangSong"/>
          <w:sz w:val="30"/>
          <w:szCs w:val="30"/>
          <w:spacing w:val="1"/>
        </w:rPr>
        <w:t xml:space="preserve"> </w:t>
      </w:r>
      <w:r>
        <w:rPr>
          <w:rFonts w:ascii="FangSong" w:hAnsi="FangSong" w:eastAsia="FangSong" w:cs="FangSong"/>
          <w:sz w:val="30"/>
          <w:szCs w:val="30"/>
          <w:spacing w:val="20"/>
        </w:rPr>
        <w:t>的人员办理《放射工作人员证》的，由卫生行政部门责令限期改正，给予警告，并可处3万元以</w:t>
      </w:r>
      <w:r>
        <w:rPr>
          <w:rFonts w:ascii="FangSong" w:hAnsi="FangSong" w:eastAsia="FangSong" w:cs="FangSong"/>
          <w:sz w:val="30"/>
          <w:szCs w:val="30"/>
          <w:spacing w:val="19"/>
        </w:rPr>
        <w:t>下的</w:t>
      </w:r>
      <w:r>
        <w:rPr>
          <w:rFonts w:ascii="FangSong" w:hAnsi="FangSong" w:eastAsia="FangSong" w:cs="FangSong"/>
          <w:sz w:val="30"/>
          <w:szCs w:val="30"/>
        </w:rPr>
        <w:t xml:space="preserve"> </w:t>
      </w:r>
      <w:r>
        <w:rPr>
          <w:rFonts w:ascii="FangSong" w:hAnsi="FangSong" w:eastAsia="FangSong" w:cs="FangSong"/>
          <w:sz w:val="26"/>
          <w:szCs w:val="26"/>
          <w:spacing w:val="16"/>
        </w:rPr>
        <w:t>罚款</w:t>
      </w:r>
      <w:r>
        <w:rPr>
          <w:rFonts w:ascii="FangSong" w:hAnsi="FangSong" w:eastAsia="FangSong" w:cs="FangSong"/>
          <w:sz w:val="26"/>
          <w:szCs w:val="26"/>
          <w:spacing w:val="-55"/>
        </w:rPr>
        <w:t xml:space="preserve"> </w:t>
      </w:r>
      <w:r>
        <w:rPr>
          <w:rFonts w:ascii="FangSong" w:hAnsi="FangSong" w:eastAsia="FangSong" w:cs="FangSong"/>
          <w:sz w:val="26"/>
          <w:szCs w:val="26"/>
          <w:spacing w:val="16"/>
        </w:rPr>
        <w:t>。</w:t>
      </w:r>
    </w:p>
    <w:p>
      <w:pPr>
        <w:ind w:left="6469"/>
        <w:spacing w:before="154" w:line="220" w:lineRule="auto"/>
        <w:rPr>
          <w:rFonts w:ascii="SimSun" w:hAnsi="SimSun" w:eastAsia="SimSun" w:cs="SimSun"/>
          <w:sz w:val="28"/>
          <w:szCs w:val="28"/>
        </w:rPr>
      </w:pPr>
      <w:r>
        <w:rPr>
          <w:rFonts w:ascii="SimSun" w:hAnsi="SimSun" w:eastAsia="SimSun" w:cs="SimSun"/>
          <w:sz w:val="28"/>
          <w:szCs w:val="28"/>
          <w:b/>
          <w:bCs/>
          <w:spacing w:val="-6"/>
        </w:rPr>
        <w:t>裁量标准</w:t>
      </w:r>
    </w:p>
    <w:p>
      <w:pPr>
        <w:spacing w:line="32" w:lineRule="auto"/>
        <w:rPr>
          <w:rFonts w:ascii="Arial"/>
          <w:sz w:val="2"/>
        </w:rPr>
      </w:pPr>
      <w:r>
        <w:rPr>
          <w:rFonts w:ascii="Arial"/>
          <w:sz w:val="2"/>
        </w:rPr>
      </w:r>
    </w:p>
    <w:tbl>
      <w:tblPr>
        <w:tblStyle w:val="TableNormal"/>
        <w:tblW w:w="1402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84"/>
        <w:gridCol w:w="7784"/>
        <w:gridCol w:w="4861"/>
      </w:tblGrid>
      <w:tr>
        <w:trPr>
          <w:trHeight w:val="553" w:hRule="atLeast"/>
        </w:trPr>
        <w:tc>
          <w:tcPr>
            <w:tcW w:w="1384" w:type="dxa"/>
            <w:vAlign w:val="top"/>
          </w:tcPr>
          <w:p>
            <w:pPr>
              <w:pStyle w:val="TableText"/>
              <w:ind w:left="108"/>
              <w:spacing w:before="162" w:line="220" w:lineRule="auto"/>
              <w:rPr/>
            </w:pPr>
            <w:r>
              <w:rPr>
                <w:b/>
                <w:bCs/>
                <w:spacing w:val="-10"/>
              </w:rPr>
              <w:t>违</w:t>
            </w:r>
            <w:r>
              <w:rPr>
                <w:spacing w:val="-37"/>
              </w:rPr>
              <w:t xml:space="preserve"> </w:t>
            </w:r>
            <w:r>
              <w:rPr>
                <w:b/>
                <w:bCs/>
                <w:spacing w:val="-10"/>
              </w:rPr>
              <w:t>法</w:t>
            </w:r>
            <w:r>
              <w:rPr>
                <w:spacing w:val="-40"/>
              </w:rPr>
              <w:t xml:space="preserve"> </w:t>
            </w:r>
            <w:r>
              <w:rPr>
                <w:b/>
                <w:bCs/>
                <w:spacing w:val="-10"/>
              </w:rPr>
              <w:t>程</w:t>
            </w:r>
            <w:r>
              <w:rPr>
                <w:spacing w:val="-39"/>
              </w:rPr>
              <w:t xml:space="preserve"> </w:t>
            </w:r>
            <w:r>
              <w:rPr>
                <w:b/>
                <w:bCs/>
                <w:spacing w:val="-10"/>
              </w:rPr>
              <w:t>度</w:t>
            </w:r>
          </w:p>
        </w:tc>
        <w:tc>
          <w:tcPr>
            <w:tcW w:w="7784" w:type="dxa"/>
            <w:vAlign w:val="top"/>
          </w:tcPr>
          <w:p>
            <w:pPr>
              <w:pStyle w:val="TableText"/>
              <w:ind w:left="3314"/>
              <w:spacing w:before="162" w:line="220" w:lineRule="auto"/>
              <w:rPr/>
            </w:pPr>
            <w:r>
              <w:rPr>
                <w:b/>
                <w:bCs/>
                <w:spacing w:val="-5"/>
              </w:rPr>
              <w:t>情节后果</w:t>
            </w:r>
          </w:p>
        </w:tc>
        <w:tc>
          <w:tcPr>
            <w:tcW w:w="4861" w:type="dxa"/>
            <w:vAlign w:val="top"/>
          </w:tcPr>
          <w:p>
            <w:pPr>
              <w:pStyle w:val="TableText"/>
              <w:ind w:left="1950"/>
              <w:spacing w:before="159" w:line="218" w:lineRule="auto"/>
              <w:rPr/>
            </w:pPr>
            <w:r>
              <w:rPr>
                <w:b/>
                <w:bCs/>
                <w:spacing w:val="-5"/>
              </w:rPr>
              <w:t>裁量幅度</w:t>
            </w:r>
          </w:p>
        </w:tc>
      </w:tr>
      <w:tr>
        <w:trPr>
          <w:trHeight w:val="1704" w:hRule="atLeast"/>
        </w:trPr>
        <w:tc>
          <w:tcPr>
            <w:tcW w:w="1384" w:type="dxa"/>
            <w:vAlign w:val="top"/>
          </w:tcPr>
          <w:p>
            <w:pPr>
              <w:spacing w:line="328" w:lineRule="auto"/>
              <w:rPr>
                <w:rFonts w:ascii="Arial"/>
                <w:sz w:val="21"/>
              </w:rPr>
            </w:pPr>
            <w:r/>
          </w:p>
          <w:p>
            <w:pPr>
              <w:spacing w:line="328" w:lineRule="auto"/>
              <w:rPr>
                <w:rFonts w:ascii="Arial"/>
                <w:sz w:val="21"/>
              </w:rPr>
            </w:pPr>
            <w:r/>
          </w:p>
          <w:p>
            <w:pPr>
              <w:pStyle w:val="TableText"/>
              <w:ind w:left="448"/>
              <w:spacing w:before="78" w:line="219" w:lineRule="auto"/>
              <w:rPr/>
            </w:pPr>
            <w:r>
              <w:rPr>
                <w:b/>
                <w:bCs/>
                <w:spacing w:val="-5"/>
              </w:rPr>
              <w:t>较轻</w:t>
            </w:r>
          </w:p>
        </w:tc>
        <w:tc>
          <w:tcPr>
            <w:tcW w:w="7784" w:type="dxa"/>
            <w:vAlign w:val="top"/>
          </w:tcPr>
          <w:p>
            <w:pPr>
              <w:pStyle w:val="TableText"/>
              <w:ind w:left="111"/>
              <w:spacing w:before="69" w:line="262" w:lineRule="auto"/>
              <w:rPr/>
            </w:pPr>
            <w:r>
              <w:rPr>
                <w:spacing w:val="-1"/>
              </w:rPr>
              <w:t>对医疗机构未给从事放射工作的人员办理《放射工作人员证》的行为，同</w:t>
            </w:r>
            <w:r>
              <w:rPr>
                <w:spacing w:val="13"/>
              </w:rPr>
              <w:t xml:space="preserve"> </w:t>
            </w:r>
            <w:r>
              <w:rPr>
                <w:spacing w:val="-1"/>
              </w:rPr>
              <w:t>时具备下列条件的：</w:t>
            </w:r>
          </w:p>
          <w:p>
            <w:pPr>
              <w:pStyle w:val="TableText"/>
              <w:ind w:left="111"/>
              <w:spacing w:before="1"/>
              <w:rPr/>
            </w:pPr>
            <w:r>
              <w:rPr>
                <w:spacing w:val="-1"/>
              </w:rPr>
              <w:t>1.放射工作人员已进行上岗前职业健康检查、个人剂量监测、开展放射防</w:t>
            </w:r>
            <w:r>
              <w:rPr>
                <w:spacing w:val="14"/>
              </w:rPr>
              <w:t xml:space="preserve"> </w:t>
            </w:r>
            <w:r>
              <w:rPr>
                <w:spacing w:val="-1"/>
              </w:rPr>
              <w:t>护有关法律知识培训，首次发现仅未办理《放射工作人员</w:t>
            </w:r>
            <w:r>
              <w:rPr>
                <w:spacing w:val="-2"/>
              </w:rPr>
              <w:t>证》</w:t>
            </w:r>
          </w:p>
          <w:p>
            <w:pPr>
              <w:pStyle w:val="TableText"/>
              <w:ind w:left="111"/>
              <w:spacing w:before="54" w:line="202" w:lineRule="auto"/>
              <w:rPr/>
            </w:pPr>
            <w:r>
              <w:rPr/>
              <w:t>2.在责令改正期限内改正，没有造成危害后果</w:t>
            </w:r>
          </w:p>
        </w:tc>
        <w:tc>
          <w:tcPr>
            <w:tcW w:w="4861" w:type="dxa"/>
            <w:vAlign w:val="top"/>
          </w:tcPr>
          <w:p>
            <w:pPr>
              <w:spacing w:line="331" w:lineRule="auto"/>
              <w:rPr>
                <w:rFonts w:ascii="Arial"/>
                <w:sz w:val="21"/>
              </w:rPr>
            </w:pPr>
            <w:r/>
          </w:p>
          <w:p>
            <w:pPr>
              <w:spacing w:line="332" w:lineRule="auto"/>
              <w:rPr>
                <w:rFonts w:ascii="Arial"/>
                <w:sz w:val="21"/>
              </w:rPr>
            </w:pPr>
            <w:r/>
          </w:p>
          <w:p>
            <w:pPr>
              <w:pStyle w:val="TableText"/>
              <w:ind w:left="1947"/>
              <w:spacing w:before="78" w:line="221" w:lineRule="auto"/>
              <w:rPr/>
            </w:pPr>
            <w:r>
              <w:rPr>
                <w:spacing w:val="7"/>
              </w:rPr>
              <w:t>不予处罚</w:t>
            </w:r>
          </w:p>
        </w:tc>
      </w:tr>
      <w:tr>
        <w:trPr>
          <w:trHeight w:val="783" w:hRule="atLeast"/>
        </w:trPr>
        <w:tc>
          <w:tcPr>
            <w:tcW w:w="1384" w:type="dxa"/>
            <w:vAlign w:val="top"/>
          </w:tcPr>
          <w:p>
            <w:pPr>
              <w:pStyle w:val="TableText"/>
              <w:ind w:left="448"/>
              <w:spacing w:before="275" w:line="221" w:lineRule="auto"/>
              <w:rPr/>
            </w:pPr>
            <w:r>
              <w:rPr>
                <w:b/>
                <w:bCs/>
                <w:spacing w:val="-10"/>
              </w:rPr>
              <w:t>一般</w:t>
            </w:r>
          </w:p>
        </w:tc>
        <w:tc>
          <w:tcPr>
            <w:tcW w:w="7784" w:type="dxa"/>
            <w:vAlign w:val="top"/>
          </w:tcPr>
          <w:p>
            <w:pPr>
              <w:pStyle w:val="TableText"/>
              <w:ind w:left="111"/>
              <w:spacing w:before="278" w:line="219" w:lineRule="auto"/>
              <w:rPr/>
            </w:pPr>
            <w:r>
              <w:rPr/>
              <w:t>未给从事放射工作的人员办理《放射工作人员证》4人及以下的</w:t>
            </w:r>
          </w:p>
        </w:tc>
        <w:tc>
          <w:tcPr>
            <w:tcW w:w="4861" w:type="dxa"/>
            <w:vAlign w:val="top"/>
          </w:tcPr>
          <w:p>
            <w:pPr>
              <w:pStyle w:val="TableText"/>
              <w:ind w:left="107"/>
              <w:spacing w:before="275" w:line="218" w:lineRule="auto"/>
              <w:rPr/>
            </w:pPr>
            <w:r>
              <w:rPr>
                <w:spacing w:val="1"/>
              </w:rPr>
              <w:t>警告，罚款1万元以下</w:t>
            </w:r>
          </w:p>
        </w:tc>
      </w:tr>
    </w:tbl>
    <w:p>
      <w:pPr>
        <w:pStyle w:val="BodyText"/>
        <w:rPr/>
      </w:pPr>
      <w:r/>
    </w:p>
    <w:p>
      <w:pPr>
        <w:sectPr>
          <w:footerReference w:type="default" r:id="rId611"/>
          <w:pgSz w:w="16830" w:h="11900"/>
          <w:pgMar w:top="1011" w:right="1382" w:bottom="1118" w:left="1384" w:header="0" w:footer="785" w:gutter="0"/>
        </w:sectPr>
        <w:rPr/>
      </w:pPr>
    </w:p>
    <w:p>
      <w:pPr>
        <w:spacing w:before="17"/>
        <w:rPr/>
      </w:pPr>
      <w:r/>
    </w:p>
    <w:p>
      <w:pPr>
        <w:spacing w:before="16"/>
        <w:rPr/>
      </w:pPr>
      <w:r/>
    </w:p>
    <w:p>
      <w:pPr>
        <w:spacing w:before="16"/>
        <w:rPr/>
      </w:pPr>
      <w:r/>
    </w:p>
    <w:tbl>
      <w:tblPr>
        <w:tblStyle w:val="TableNormal"/>
        <w:tblW w:w="14039"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7744"/>
        <w:gridCol w:w="4881"/>
      </w:tblGrid>
      <w:tr>
        <w:trPr>
          <w:trHeight w:val="781" w:hRule="atLeast"/>
        </w:trPr>
        <w:tc>
          <w:tcPr>
            <w:tcW w:w="1414" w:type="dxa"/>
            <w:vAlign w:val="top"/>
          </w:tcPr>
          <w:p>
            <w:pPr>
              <w:pStyle w:val="TableText"/>
              <w:ind w:left="458"/>
              <w:spacing w:before="274" w:line="221" w:lineRule="auto"/>
              <w:rPr/>
            </w:pPr>
            <w:bookmarkStart w:name="bookmark1238" w:id="616"/>
            <w:bookmarkEnd w:id="616"/>
            <w:r>
              <w:rPr>
                <w:b/>
                <w:bCs/>
                <w:spacing w:val="-5"/>
              </w:rPr>
              <w:t>较重</w:t>
            </w:r>
          </w:p>
        </w:tc>
        <w:tc>
          <w:tcPr>
            <w:tcW w:w="7744" w:type="dxa"/>
            <w:vAlign w:val="top"/>
          </w:tcPr>
          <w:p>
            <w:pPr>
              <w:pStyle w:val="TableText"/>
              <w:ind w:left="90"/>
              <w:spacing w:before="275" w:line="219" w:lineRule="auto"/>
              <w:rPr/>
            </w:pPr>
            <w:r>
              <w:rPr/>
              <w:t>未给从事放射工作的人员办理《放射工作人员证》5至9人的</w:t>
            </w:r>
          </w:p>
        </w:tc>
        <w:tc>
          <w:tcPr>
            <w:tcW w:w="4881" w:type="dxa"/>
            <w:vAlign w:val="top"/>
          </w:tcPr>
          <w:p>
            <w:pPr>
              <w:pStyle w:val="TableText"/>
              <w:ind w:left="126"/>
              <w:spacing w:before="272" w:line="218" w:lineRule="auto"/>
              <w:rPr/>
            </w:pPr>
            <w:r>
              <w:rPr>
                <w:spacing w:val="1"/>
              </w:rPr>
              <w:t>警告，罚款1万元以上2.5万元以下</w:t>
            </w:r>
          </w:p>
        </w:tc>
      </w:tr>
      <w:tr>
        <w:trPr>
          <w:trHeight w:val="1718" w:hRule="atLeast"/>
        </w:trPr>
        <w:tc>
          <w:tcPr>
            <w:tcW w:w="1414" w:type="dxa"/>
            <w:vAlign w:val="top"/>
          </w:tcPr>
          <w:p>
            <w:pPr>
              <w:spacing w:line="329" w:lineRule="auto"/>
              <w:rPr>
                <w:rFonts w:ascii="Arial"/>
                <w:sz w:val="21"/>
              </w:rPr>
            </w:pPr>
            <w:r/>
          </w:p>
          <w:p>
            <w:pPr>
              <w:spacing w:line="330" w:lineRule="auto"/>
              <w:rPr>
                <w:rFonts w:ascii="Arial"/>
                <w:sz w:val="21"/>
              </w:rPr>
            </w:pPr>
            <w:r/>
          </w:p>
          <w:p>
            <w:pPr>
              <w:pStyle w:val="TableText"/>
              <w:ind w:left="458"/>
              <w:spacing w:before="78" w:line="220" w:lineRule="auto"/>
              <w:rPr/>
            </w:pPr>
            <w:r>
              <w:rPr>
                <w:b/>
                <w:bCs/>
                <w:spacing w:val="-6"/>
              </w:rPr>
              <w:t>严重</w:t>
            </w:r>
          </w:p>
        </w:tc>
        <w:tc>
          <w:tcPr>
            <w:tcW w:w="7744" w:type="dxa"/>
            <w:vAlign w:val="top"/>
          </w:tcPr>
          <w:p>
            <w:pPr>
              <w:pStyle w:val="TableText"/>
              <w:ind w:left="90"/>
              <w:spacing w:before="82" w:line="271" w:lineRule="auto"/>
              <w:rPr/>
            </w:pPr>
            <w:r>
              <w:rPr>
                <w:spacing w:val="-1"/>
              </w:rPr>
              <w:t>未给从事放射工作的人员办理《放射工作人员证》的行为，</w:t>
            </w:r>
            <w:r>
              <w:rPr>
                <w:spacing w:val="-2"/>
              </w:rPr>
              <w:t>有下列情形之</w:t>
            </w:r>
            <w:r>
              <w:rPr/>
              <w:t xml:space="preserve"> </w:t>
            </w:r>
            <w:r>
              <w:rPr>
                <w:spacing w:val="7"/>
              </w:rPr>
              <w:t>一的：</w:t>
            </w:r>
          </w:p>
          <w:p>
            <w:pPr>
              <w:pStyle w:val="TableText"/>
              <w:ind w:left="90"/>
              <w:spacing w:line="222" w:lineRule="auto"/>
              <w:rPr/>
            </w:pPr>
            <w:r>
              <w:rPr>
                <w:spacing w:val="2"/>
              </w:rPr>
              <w:t>1.10人以上的</w:t>
            </w:r>
          </w:p>
          <w:p>
            <w:pPr>
              <w:pStyle w:val="TableText"/>
              <w:ind w:left="90"/>
              <w:spacing w:before="28" w:line="220" w:lineRule="auto"/>
              <w:rPr/>
            </w:pPr>
            <w:r>
              <w:rPr>
                <w:spacing w:val="2"/>
              </w:rPr>
              <w:t>2.造成严重后果的</w:t>
            </w:r>
          </w:p>
          <w:p>
            <w:pPr>
              <w:pStyle w:val="TableText"/>
              <w:ind w:left="90"/>
              <w:spacing w:before="83" w:line="180" w:lineRule="auto"/>
              <w:rPr/>
            </w:pPr>
            <w:r>
              <w:rPr>
                <w:spacing w:val="2"/>
              </w:rPr>
              <w:t>3.拒不改正的</w:t>
            </w:r>
          </w:p>
        </w:tc>
        <w:tc>
          <w:tcPr>
            <w:tcW w:w="4881" w:type="dxa"/>
            <w:vAlign w:val="top"/>
          </w:tcPr>
          <w:p>
            <w:pPr>
              <w:spacing w:line="329" w:lineRule="auto"/>
              <w:rPr>
                <w:rFonts w:ascii="Arial"/>
                <w:sz w:val="21"/>
              </w:rPr>
            </w:pPr>
            <w:r/>
          </w:p>
          <w:p>
            <w:pPr>
              <w:spacing w:line="330" w:lineRule="auto"/>
              <w:rPr>
                <w:rFonts w:ascii="Arial"/>
                <w:sz w:val="21"/>
              </w:rPr>
            </w:pPr>
            <w:r/>
          </w:p>
          <w:p>
            <w:pPr>
              <w:pStyle w:val="TableText"/>
              <w:ind w:left="126"/>
              <w:spacing w:before="78" w:line="218" w:lineRule="auto"/>
              <w:rPr/>
            </w:pPr>
            <w:r>
              <w:rPr/>
              <w:t>警告，罚款2.5万元以上3万元以下</w:t>
            </w:r>
          </w:p>
        </w:tc>
      </w:tr>
    </w:tbl>
    <w:p>
      <w:pPr>
        <w:ind w:left="394"/>
        <w:spacing w:before="35" w:line="219" w:lineRule="auto"/>
        <w:rPr>
          <w:rFonts w:ascii="SimSun" w:hAnsi="SimSun" w:eastAsia="SimSun" w:cs="SimSun"/>
          <w:sz w:val="25"/>
          <w:szCs w:val="25"/>
        </w:rPr>
      </w:pPr>
      <w:r>
        <w:rPr>
          <w:rFonts w:ascii="SimSun" w:hAnsi="SimSun" w:eastAsia="SimSun" w:cs="SimSun"/>
          <w:sz w:val="25"/>
          <w:szCs w:val="25"/>
          <w:spacing w:val="1"/>
        </w:rPr>
        <w:t>注：不予行政处罚需符合《新疆维吾尔自治区卫生健康委不予行政处罚事项清单》(2024年版)</w:t>
      </w:r>
    </w:p>
    <w:p>
      <w:pPr>
        <w:pStyle w:val="BodyText"/>
        <w:spacing w:line="244" w:lineRule="auto"/>
        <w:rPr/>
      </w:pPr>
      <w:r/>
    </w:p>
    <w:p>
      <w:pPr>
        <w:ind w:left="849"/>
        <w:spacing w:before="98" w:line="223" w:lineRule="auto"/>
        <w:rPr>
          <w:rFonts w:ascii="KaiTi" w:hAnsi="KaiTi" w:eastAsia="KaiTi" w:cs="KaiTi"/>
          <w:sz w:val="30"/>
          <w:szCs w:val="30"/>
        </w:rPr>
      </w:pPr>
      <w:r>
        <w:rPr>
          <w:rFonts w:ascii="KaiTi" w:hAnsi="KaiTi" w:eastAsia="KaiTi" w:cs="KaiTi"/>
          <w:sz w:val="30"/>
          <w:szCs w:val="30"/>
          <w:b/>
          <w:bCs/>
          <w:spacing w:val="28"/>
        </w:rPr>
        <w:t>(四)《医疗器械监督管理条例》</w:t>
      </w:r>
    </w:p>
    <w:p>
      <w:pPr>
        <w:ind w:left="719"/>
        <w:spacing w:before="329" w:line="220" w:lineRule="auto"/>
        <w:rPr>
          <w:rFonts w:ascii="FangSong" w:hAnsi="FangSong" w:eastAsia="FangSong" w:cs="FangSong"/>
          <w:sz w:val="30"/>
          <w:szCs w:val="30"/>
        </w:rPr>
      </w:pPr>
      <w:r>
        <w:rPr>
          <w:rFonts w:ascii="FangSong" w:hAnsi="FangSong" w:eastAsia="FangSong" w:cs="FangSong"/>
          <w:sz w:val="30"/>
          <w:szCs w:val="30"/>
          <w:b/>
          <w:bCs/>
          <w:spacing w:val="23"/>
        </w:rPr>
        <w:t>第五百八十六条未经许可擅自配置使用大型医用设备的</w:t>
      </w:r>
    </w:p>
    <w:p>
      <w:pPr>
        <w:ind w:left="714"/>
        <w:spacing w:before="70" w:line="222" w:lineRule="auto"/>
        <w:rPr>
          <w:rFonts w:ascii="FangSong" w:hAnsi="FangSong" w:eastAsia="FangSong" w:cs="FangSong"/>
          <w:sz w:val="30"/>
          <w:szCs w:val="30"/>
        </w:rPr>
      </w:pPr>
      <w:r>
        <w:rPr>
          <w:rFonts w:ascii="FangSong" w:hAnsi="FangSong" w:eastAsia="FangSong" w:cs="FangSong"/>
          <w:sz w:val="30"/>
          <w:szCs w:val="30"/>
          <w:spacing w:val="-2"/>
        </w:rPr>
        <w:t>法律依据：</w:t>
      </w:r>
    </w:p>
    <w:p>
      <w:pPr>
        <w:ind w:left="75" w:firstLine="619"/>
        <w:spacing w:before="98" w:line="265" w:lineRule="auto"/>
        <w:jc w:val="both"/>
        <w:rPr>
          <w:rFonts w:ascii="FangSong" w:hAnsi="FangSong" w:eastAsia="FangSong" w:cs="FangSong"/>
          <w:sz w:val="30"/>
          <w:szCs w:val="30"/>
        </w:rPr>
      </w:pPr>
      <w:r>
        <w:rPr>
          <w:rFonts w:ascii="FangSong" w:hAnsi="FangSong" w:eastAsia="FangSong" w:cs="FangSong"/>
          <w:sz w:val="30"/>
          <w:szCs w:val="30"/>
          <w:spacing w:val="17"/>
        </w:rPr>
        <w:t>《医疗器械监督管理条例》第八十二条</w:t>
      </w:r>
      <w:r>
        <w:rPr>
          <w:rFonts w:ascii="FangSong" w:hAnsi="FangSong" w:eastAsia="FangSong" w:cs="FangSong"/>
          <w:sz w:val="30"/>
          <w:szCs w:val="30"/>
          <w:spacing w:val="17"/>
        </w:rPr>
        <w:t xml:space="preserve">  </w:t>
      </w:r>
      <w:r>
        <w:rPr>
          <w:rFonts w:ascii="FangSong" w:hAnsi="FangSong" w:eastAsia="FangSong" w:cs="FangSong"/>
          <w:sz w:val="30"/>
          <w:szCs w:val="30"/>
          <w:spacing w:val="17"/>
        </w:rPr>
        <w:t>未经许可擅自配置使用大型医用设备的，由县</w:t>
      </w:r>
      <w:r>
        <w:rPr>
          <w:rFonts w:ascii="FangSong" w:hAnsi="FangSong" w:eastAsia="FangSong" w:cs="FangSong"/>
          <w:sz w:val="30"/>
          <w:szCs w:val="30"/>
          <w:spacing w:val="16"/>
        </w:rPr>
        <w:t>级以上人</w:t>
      </w:r>
      <w:r>
        <w:rPr>
          <w:rFonts w:ascii="FangSong" w:hAnsi="FangSong" w:eastAsia="FangSong" w:cs="FangSong"/>
          <w:sz w:val="30"/>
          <w:szCs w:val="30"/>
        </w:rPr>
        <w:t xml:space="preserve"> </w:t>
      </w:r>
      <w:r>
        <w:rPr>
          <w:rFonts w:ascii="FangSong" w:hAnsi="FangSong" w:eastAsia="FangSong" w:cs="FangSong"/>
          <w:sz w:val="30"/>
          <w:szCs w:val="30"/>
          <w:spacing w:val="24"/>
        </w:rPr>
        <w:t>民政府卫生主管部门责令停止使用，给予警告，没</w:t>
      </w:r>
      <w:r>
        <w:rPr>
          <w:rFonts w:ascii="FangSong" w:hAnsi="FangSong" w:eastAsia="FangSong" w:cs="FangSong"/>
          <w:sz w:val="30"/>
          <w:szCs w:val="30"/>
          <w:spacing w:val="23"/>
        </w:rPr>
        <w:t>收违法所得；违法所得不足1万元的，并处5万元</w:t>
      </w:r>
      <w:r>
        <w:rPr>
          <w:rFonts w:ascii="FangSong" w:hAnsi="FangSong" w:eastAsia="FangSong" w:cs="FangSong"/>
          <w:sz w:val="30"/>
          <w:szCs w:val="30"/>
        </w:rPr>
        <w:t xml:space="preserve"> </w:t>
      </w:r>
      <w:r>
        <w:rPr>
          <w:rFonts w:ascii="FangSong" w:hAnsi="FangSong" w:eastAsia="FangSong" w:cs="FangSong"/>
          <w:sz w:val="30"/>
          <w:szCs w:val="30"/>
          <w:spacing w:val="33"/>
        </w:rPr>
        <w:t>以上10万元以下罚款；违法所得1万元以上的，并处违</w:t>
      </w:r>
      <w:r>
        <w:rPr>
          <w:rFonts w:ascii="FangSong" w:hAnsi="FangSong" w:eastAsia="FangSong" w:cs="FangSong"/>
          <w:sz w:val="30"/>
          <w:szCs w:val="30"/>
          <w:spacing w:val="32"/>
        </w:rPr>
        <w:t>法所得10倍以上30倍以下罚款；情节严重</w:t>
      </w:r>
      <w:r>
        <w:rPr>
          <w:rFonts w:ascii="FangSong" w:hAnsi="FangSong" w:eastAsia="FangSong" w:cs="FangSong"/>
          <w:sz w:val="30"/>
          <w:szCs w:val="30"/>
        </w:rPr>
        <w:t xml:space="preserve"> </w:t>
      </w:r>
      <w:r>
        <w:rPr>
          <w:rFonts w:ascii="FangSong" w:hAnsi="FangSong" w:eastAsia="FangSong" w:cs="FangSong"/>
          <w:sz w:val="30"/>
          <w:szCs w:val="30"/>
          <w:spacing w:val="15"/>
        </w:rPr>
        <w:t>的，5年内不受理相关责任人以及单位提出的大型医用设备配置许可申请，对违法单位的法定代表人、</w:t>
      </w:r>
      <w:r>
        <w:rPr>
          <w:rFonts w:ascii="FangSong" w:hAnsi="FangSong" w:eastAsia="FangSong" w:cs="FangSong"/>
          <w:sz w:val="30"/>
          <w:szCs w:val="30"/>
          <w:spacing w:val="13"/>
        </w:rPr>
        <w:t xml:space="preserve"> </w:t>
      </w:r>
      <w:r>
        <w:rPr>
          <w:rFonts w:ascii="FangSong" w:hAnsi="FangSong" w:eastAsia="FangSong" w:cs="FangSong"/>
          <w:sz w:val="30"/>
          <w:szCs w:val="30"/>
          <w:spacing w:val="17"/>
        </w:rPr>
        <w:t>主要负责人、直接负责的主管人员和其他责任人员，没收违</w:t>
      </w:r>
      <w:r>
        <w:rPr>
          <w:rFonts w:ascii="FangSong" w:hAnsi="FangSong" w:eastAsia="FangSong" w:cs="FangSong"/>
          <w:sz w:val="30"/>
          <w:szCs w:val="30"/>
          <w:spacing w:val="16"/>
        </w:rPr>
        <w:t>法行为发生期间自本单位所获收入，并处</w:t>
      </w:r>
      <w:r>
        <w:rPr>
          <w:rFonts w:ascii="FangSong" w:hAnsi="FangSong" w:eastAsia="FangSong" w:cs="FangSong"/>
          <w:sz w:val="30"/>
          <w:szCs w:val="30"/>
        </w:rPr>
        <w:t xml:space="preserve"> </w:t>
      </w:r>
      <w:r>
        <w:rPr>
          <w:rFonts w:ascii="FangSong" w:hAnsi="FangSong" w:eastAsia="FangSong" w:cs="FangSong"/>
          <w:sz w:val="30"/>
          <w:szCs w:val="30"/>
          <w:spacing w:val="25"/>
        </w:rPr>
        <w:t>所获收入30%以上3倍以下罚款，依法给予处分。</w:t>
      </w:r>
    </w:p>
    <w:p>
      <w:pPr>
        <w:ind w:left="6479"/>
        <w:spacing w:before="211" w:line="221" w:lineRule="auto"/>
        <w:rPr>
          <w:rFonts w:ascii="SimHei" w:hAnsi="SimHei" w:eastAsia="SimHei" w:cs="SimHei"/>
          <w:sz w:val="30"/>
          <w:szCs w:val="30"/>
        </w:rPr>
      </w:pPr>
      <w:r>
        <w:rPr>
          <w:rFonts w:ascii="SimHei" w:hAnsi="SimHei" w:eastAsia="SimHei" w:cs="SimHei"/>
          <w:sz w:val="30"/>
          <w:szCs w:val="30"/>
          <w:b/>
          <w:bCs/>
          <w:spacing w:val="-17"/>
        </w:rPr>
        <w:t>裁量标准</w:t>
      </w:r>
    </w:p>
    <w:p>
      <w:pPr>
        <w:spacing w:line="221" w:lineRule="auto"/>
        <w:sectPr>
          <w:footerReference w:type="default" r:id="rId612"/>
          <w:pgSz w:w="16830" w:h="11900"/>
          <w:pgMar w:top="1011" w:right="1340" w:bottom="1118" w:left="1375" w:header="0" w:footer="785" w:gutter="0"/>
        </w:sectPr>
        <w:rPr>
          <w:rFonts w:ascii="SimHei" w:hAnsi="SimHei" w:eastAsia="SimHei" w:cs="SimHei"/>
          <w:sz w:val="30"/>
          <w:szCs w:val="30"/>
        </w:rPr>
      </w:pPr>
    </w:p>
    <w:p>
      <w:pPr>
        <w:spacing w:before="13"/>
        <w:rPr/>
      </w:pPr>
      <w:r/>
    </w:p>
    <w:p>
      <w:pPr>
        <w:spacing w:before="13"/>
        <w:rPr/>
      </w:pPr>
      <w:r/>
    </w:p>
    <w:p>
      <w:pPr>
        <w:spacing w:before="13"/>
        <w:rPr/>
      </w:pPr>
      <w:r/>
    </w:p>
    <w:tbl>
      <w:tblPr>
        <w:tblStyle w:val="TableNormal"/>
        <w:tblW w:w="1395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34"/>
        <w:gridCol w:w="5186"/>
        <w:gridCol w:w="7130"/>
      </w:tblGrid>
      <w:tr>
        <w:trPr>
          <w:trHeight w:val="443" w:hRule="atLeast"/>
        </w:trPr>
        <w:tc>
          <w:tcPr>
            <w:tcW w:w="1634" w:type="dxa"/>
            <w:vAlign w:val="top"/>
          </w:tcPr>
          <w:p>
            <w:pPr>
              <w:pStyle w:val="TableText"/>
              <w:ind w:left="328"/>
              <w:spacing w:before="102" w:line="220" w:lineRule="auto"/>
              <w:rPr/>
            </w:pPr>
            <w:bookmarkStart w:name="bookmark1239" w:id="617"/>
            <w:bookmarkEnd w:id="617"/>
            <w:r>
              <w:rPr>
                <w:b/>
                <w:bCs/>
                <w:spacing w:val="-5"/>
              </w:rPr>
              <w:t>违法程度</w:t>
            </w:r>
          </w:p>
        </w:tc>
        <w:tc>
          <w:tcPr>
            <w:tcW w:w="5186" w:type="dxa"/>
            <w:vAlign w:val="top"/>
          </w:tcPr>
          <w:p>
            <w:pPr>
              <w:pStyle w:val="TableText"/>
              <w:ind w:left="2004"/>
              <w:spacing w:before="102" w:line="220" w:lineRule="auto"/>
              <w:rPr/>
            </w:pPr>
            <w:r>
              <w:rPr>
                <w:b/>
                <w:bCs/>
                <w:spacing w:val="-11"/>
              </w:rPr>
              <w:t>情</w:t>
            </w:r>
            <w:r>
              <w:rPr>
                <w:spacing w:val="-37"/>
              </w:rPr>
              <w:t xml:space="preserve"> </w:t>
            </w:r>
            <w:r>
              <w:rPr>
                <w:b/>
                <w:bCs/>
                <w:spacing w:val="-11"/>
              </w:rPr>
              <w:t>节</w:t>
            </w:r>
            <w:r>
              <w:rPr>
                <w:spacing w:val="-36"/>
              </w:rPr>
              <w:t xml:space="preserve"> </w:t>
            </w:r>
            <w:r>
              <w:rPr>
                <w:b/>
                <w:bCs/>
                <w:spacing w:val="-11"/>
              </w:rPr>
              <w:t>后</w:t>
            </w:r>
            <w:r>
              <w:rPr>
                <w:spacing w:val="-33"/>
              </w:rPr>
              <w:t xml:space="preserve"> </w:t>
            </w:r>
            <w:r>
              <w:rPr>
                <w:b/>
                <w:bCs/>
                <w:spacing w:val="-11"/>
              </w:rPr>
              <w:t>果</w:t>
            </w:r>
          </w:p>
        </w:tc>
        <w:tc>
          <w:tcPr>
            <w:tcW w:w="7130" w:type="dxa"/>
            <w:vAlign w:val="top"/>
          </w:tcPr>
          <w:p>
            <w:pPr>
              <w:pStyle w:val="TableText"/>
              <w:ind w:left="2978"/>
              <w:spacing w:before="99" w:line="218" w:lineRule="auto"/>
              <w:rPr/>
            </w:pPr>
            <w:r>
              <w:rPr>
                <w:b/>
                <w:bCs/>
                <w:spacing w:val="-13"/>
              </w:rPr>
              <w:t>裁</w:t>
            </w:r>
            <w:r>
              <w:rPr>
                <w:spacing w:val="-36"/>
              </w:rPr>
              <w:t xml:space="preserve"> </w:t>
            </w:r>
            <w:r>
              <w:rPr>
                <w:b/>
                <w:bCs/>
                <w:spacing w:val="-13"/>
              </w:rPr>
              <w:t>量</w:t>
            </w:r>
            <w:r>
              <w:rPr>
                <w:spacing w:val="-29"/>
              </w:rPr>
              <w:t xml:space="preserve"> </w:t>
            </w:r>
            <w:r>
              <w:rPr>
                <w:b/>
                <w:bCs/>
                <w:spacing w:val="-13"/>
              </w:rPr>
              <w:t>幅</w:t>
            </w:r>
            <w:r>
              <w:rPr>
                <w:spacing w:val="-39"/>
              </w:rPr>
              <w:t xml:space="preserve"> </w:t>
            </w:r>
            <w:r>
              <w:rPr>
                <w:b/>
                <w:bCs/>
                <w:spacing w:val="-13"/>
              </w:rPr>
              <w:t>度</w:t>
            </w:r>
          </w:p>
        </w:tc>
      </w:tr>
      <w:tr>
        <w:trPr>
          <w:trHeight w:val="698" w:hRule="atLeast"/>
        </w:trPr>
        <w:tc>
          <w:tcPr>
            <w:tcW w:w="1634" w:type="dxa"/>
            <w:vAlign w:val="top"/>
          </w:tcPr>
          <w:p>
            <w:pPr>
              <w:pStyle w:val="TableText"/>
              <w:ind w:left="568"/>
              <w:spacing w:before="229" w:line="221" w:lineRule="auto"/>
              <w:rPr/>
            </w:pPr>
            <w:r>
              <w:rPr>
                <w:b/>
                <w:bCs/>
                <w:spacing w:val="-10"/>
              </w:rPr>
              <w:t>一般</w:t>
            </w:r>
          </w:p>
        </w:tc>
        <w:tc>
          <w:tcPr>
            <w:tcW w:w="5186" w:type="dxa"/>
            <w:vAlign w:val="top"/>
          </w:tcPr>
          <w:p>
            <w:pPr>
              <w:pStyle w:val="TableText"/>
              <w:ind w:left="120" w:right="66" w:hanging="60"/>
              <w:spacing w:before="82" w:line="233" w:lineRule="auto"/>
              <w:rPr/>
            </w:pPr>
            <w:r>
              <w:rPr/>
              <w:t>未经许可擅自配置使用大型医用设备的，违法所</w:t>
            </w:r>
            <w:r>
              <w:rPr>
                <w:spacing w:val="7"/>
              </w:rPr>
              <w:t xml:space="preserve"> </w:t>
            </w:r>
            <w:r>
              <w:rPr>
                <w:spacing w:val="2"/>
              </w:rPr>
              <w:t>得1万元以下的</w:t>
            </w:r>
          </w:p>
        </w:tc>
        <w:tc>
          <w:tcPr>
            <w:tcW w:w="7130" w:type="dxa"/>
            <w:vAlign w:val="top"/>
          </w:tcPr>
          <w:p>
            <w:pPr>
              <w:pStyle w:val="TableText"/>
              <w:ind w:left="124" w:hanging="49"/>
              <w:spacing w:before="79" w:line="234" w:lineRule="auto"/>
              <w:rPr/>
            </w:pPr>
            <w:r>
              <w:rPr>
                <w:spacing w:val="-1"/>
              </w:rPr>
              <w:t>责令停止使用，给予警告，没收违法所得；违法所得</w:t>
            </w:r>
            <w:r>
              <w:rPr>
                <w:spacing w:val="-2"/>
              </w:rPr>
              <w:t>不足1万元的，</w:t>
            </w:r>
            <w:r>
              <w:rPr/>
              <w:t xml:space="preserve"> </w:t>
            </w:r>
            <w:r>
              <w:rPr>
                <w:spacing w:val="-1"/>
              </w:rPr>
              <w:t>并处5万元以上10万元以下罚款</w:t>
            </w:r>
          </w:p>
        </w:tc>
      </w:tr>
      <w:tr>
        <w:trPr>
          <w:trHeight w:val="668" w:hRule="atLeast"/>
        </w:trPr>
        <w:tc>
          <w:tcPr>
            <w:tcW w:w="1634" w:type="dxa"/>
            <w:vAlign w:val="top"/>
          </w:tcPr>
          <w:p>
            <w:pPr>
              <w:pStyle w:val="TableText"/>
              <w:ind w:left="568"/>
              <w:spacing w:before="223" w:line="221" w:lineRule="auto"/>
              <w:rPr/>
            </w:pPr>
            <w:r>
              <w:rPr>
                <w:b/>
                <w:bCs/>
                <w:spacing w:val="-5"/>
              </w:rPr>
              <w:t>较重</w:t>
            </w:r>
          </w:p>
        </w:tc>
        <w:tc>
          <w:tcPr>
            <w:tcW w:w="5186" w:type="dxa"/>
            <w:vAlign w:val="top"/>
          </w:tcPr>
          <w:p>
            <w:pPr>
              <w:pStyle w:val="TableText"/>
              <w:ind w:left="120" w:right="66" w:hanging="60"/>
              <w:spacing w:before="62" w:line="229" w:lineRule="auto"/>
              <w:rPr/>
            </w:pPr>
            <w:r>
              <w:rPr/>
              <w:t>未经许可擅自配置使用大型医用设备的，违法所</w:t>
            </w:r>
            <w:r>
              <w:rPr>
                <w:spacing w:val="7"/>
              </w:rPr>
              <w:t xml:space="preserve"> </w:t>
            </w:r>
            <w:r>
              <w:rPr>
                <w:spacing w:val="2"/>
              </w:rPr>
              <w:t>得1万元以上的</w:t>
            </w:r>
          </w:p>
        </w:tc>
        <w:tc>
          <w:tcPr>
            <w:tcW w:w="7130" w:type="dxa"/>
            <w:vAlign w:val="top"/>
          </w:tcPr>
          <w:p>
            <w:pPr>
              <w:pStyle w:val="TableText"/>
              <w:ind w:left="115" w:right="183" w:firstLine="80"/>
              <w:spacing w:before="62" w:line="229" w:lineRule="auto"/>
              <w:rPr/>
            </w:pPr>
            <w:r>
              <w:rPr>
                <w:spacing w:val="1"/>
              </w:rPr>
              <w:t>责令停止使用，给予警告，没收违法所得；并</w:t>
            </w:r>
            <w:r>
              <w:rPr/>
              <w:t>处违法所得10倍以 </w:t>
            </w:r>
            <w:r>
              <w:rPr>
                <w:spacing w:val="1"/>
              </w:rPr>
              <w:t>上30倍以下罚款</w:t>
            </w:r>
          </w:p>
        </w:tc>
      </w:tr>
      <w:tr>
        <w:trPr>
          <w:trHeight w:val="1361" w:hRule="atLeast"/>
        </w:trPr>
        <w:tc>
          <w:tcPr>
            <w:tcW w:w="1634" w:type="dxa"/>
            <w:vAlign w:val="top"/>
          </w:tcPr>
          <w:p>
            <w:pPr>
              <w:spacing w:line="241" w:lineRule="auto"/>
              <w:rPr>
                <w:rFonts w:ascii="Arial"/>
                <w:sz w:val="21"/>
              </w:rPr>
            </w:pPr>
            <w:r/>
          </w:p>
          <w:p>
            <w:pPr>
              <w:spacing w:line="241" w:lineRule="auto"/>
              <w:rPr>
                <w:rFonts w:ascii="Arial"/>
                <w:sz w:val="21"/>
              </w:rPr>
            </w:pPr>
            <w:r/>
          </w:p>
          <w:p>
            <w:pPr>
              <w:pStyle w:val="TableText"/>
              <w:ind w:left="568"/>
              <w:spacing w:before="78" w:line="220" w:lineRule="auto"/>
              <w:rPr/>
            </w:pPr>
            <w:r>
              <w:rPr>
                <w:b/>
                <w:bCs/>
                <w:spacing w:val="-6"/>
              </w:rPr>
              <w:t>严重</w:t>
            </w:r>
          </w:p>
        </w:tc>
        <w:tc>
          <w:tcPr>
            <w:tcW w:w="5186" w:type="dxa"/>
            <w:vAlign w:val="top"/>
          </w:tcPr>
          <w:p>
            <w:pPr>
              <w:spacing w:line="334" w:lineRule="auto"/>
              <w:rPr>
                <w:rFonts w:ascii="Arial"/>
                <w:sz w:val="21"/>
              </w:rPr>
            </w:pPr>
            <w:r/>
          </w:p>
          <w:p>
            <w:pPr>
              <w:pStyle w:val="TableText"/>
              <w:ind w:left="120" w:right="64" w:hanging="60"/>
              <w:spacing w:before="78" w:line="265" w:lineRule="auto"/>
              <w:rPr/>
            </w:pPr>
            <w:r>
              <w:rPr/>
              <w:t>未经许可擅自配置使用大型医用设备的，造成严</w:t>
            </w:r>
            <w:r>
              <w:rPr>
                <w:spacing w:val="9"/>
              </w:rPr>
              <w:t xml:space="preserve"> </w:t>
            </w:r>
            <w:r>
              <w:rPr>
                <w:spacing w:val="4"/>
              </w:rPr>
              <w:t>重后果的</w:t>
            </w:r>
          </w:p>
        </w:tc>
        <w:tc>
          <w:tcPr>
            <w:tcW w:w="7130" w:type="dxa"/>
            <w:vAlign w:val="top"/>
          </w:tcPr>
          <w:p>
            <w:pPr>
              <w:pStyle w:val="TableText"/>
              <w:ind w:left="75" w:right="51" w:firstLine="59"/>
              <w:spacing w:before="87" w:line="243" w:lineRule="auto"/>
              <w:jc w:val="both"/>
              <w:rPr/>
            </w:pPr>
            <w:r>
              <w:rPr>
                <w:spacing w:val="1"/>
              </w:rPr>
              <w:t>5年内不受理相关责任人以及单位提出的大型医用设备配置许可申</w:t>
            </w:r>
            <w:r>
              <w:rPr>
                <w:spacing w:val="2"/>
              </w:rPr>
              <w:t xml:space="preserve"> </w:t>
            </w:r>
            <w:r>
              <w:rPr>
                <w:spacing w:val="1"/>
              </w:rPr>
              <w:t>请，对违法单位的法定代表人、主要负责人、直接负责的主管人员</w:t>
            </w:r>
            <w:r>
              <w:rPr>
                <w:spacing w:val="2"/>
              </w:rPr>
              <w:t xml:space="preserve"> </w:t>
            </w:r>
            <w:r>
              <w:rPr/>
              <w:t>和其他责任人员，没收违法行为发生期间自本单位所获收入，并处</w:t>
            </w:r>
            <w:r>
              <w:rPr>
                <w:spacing w:val="9"/>
              </w:rPr>
              <w:t xml:space="preserve"> </w:t>
            </w:r>
            <w:r>
              <w:rPr>
                <w:spacing w:val="1"/>
              </w:rPr>
              <w:t>所获收入30%以上3倍以下罚款，依法给予处分</w:t>
            </w:r>
          </w:p>
        </w:tc>
      </w:tr>
    </w:tbl>
    <w:p>
      <w:pPr>
        <w:pStyle w:val="BodyText"/>
        <w:spacing w:line="417" w:lineRule="auto"/>
        <w:rPr/>
      </w:pPr>
      <w:r/>
    </w:p>
    <w:p>
      <w:pPr>
        <w:ind w:left="699"/>
        <w:spacing w:before="97" w:line="220" w:lineRule="auto"/>
        <w:rPr>
          <w:rFonts w:ascii="FangSong" w:hAnsi="FangSong" w:eastAsia="FangSong" w:cs="FangSong"/>
          <w:sz w:val="30"/>
          <w:szCs w:val="30"/>
        </w:rPr>
      </w:pPr>
      <w:r>
        <w:rPr>
          <w:rFonts w:ascii="FangSong" w:hAnsi="FangSong" w:eastAsia="FangSong" w:cs="FangSong"/>
          <w:sz w:val="30"/>
          <w:szCs w:val="30"/>
          <w:b/>
          <w:bCs/>
          <w:spacing w:val="21"/>
        </w:rPr>
        <w:t>第五百八十七条提供虚假资料或者采取其他欺骗手段取得大型医用设备配置许可证的</w:t>
      </w:r>
    </w:p>
    <w:p>
      <w:pPr>
        <w:ind w:left="675"/>
        <w:spacing w:before="90" w:line="222" w:lineRule="auto"/>
        <w:rPr>
          <w:rFonts w:ascii="FangSong" w:hAnsi="FangSong" w:eastAsia="FangSong" w:cs="FangSong"/>
          <w:sz w:val="30"/>
          <w:szCs w:val="30"/>
        </w:rPr>
      </w:pPr>
      <w:r>
        <w:rPr>
          <w:rFonts w:ascii="FangSong" w:hAnsi="FangSong" w:eastAsia="FangSong" w:cs="FangSong"/>
          <w:sz w:val="30"/>
          <w:szCs w:val="30"/>
        </w:rPr>
        <w:t>法律依据：</w:t>
      </w:r>
    </w:p>
    <w:p>
      <w:pPr>
        <w:ind w:left="35" w:firstLine="629"/>
        <w:spacing w:before="92" w:line="271" w:lineRule="auto"/>
        <w:jc w:val="both"/>
        <w:rPr>
          <w:rFonts w:ascii="FangSong" w:hAnsi="FangSong" w:eastAsia="FangSong" w:cs="FangSong"/>
          <w:sz w:val="30"/>
          <w:szCs w:val="30"/>
        </w:rPr>
      </w:pPr>
      <w:r>
        <w:rPr>
          <w:rFonts w:ascii="FangSong" w:hAnsi="FangSong" w:eastAsia="FangSong" w:cs="FangSong"/>
          <w:sz w:val="30"/>
          <w:szCs w:val="30"/>
          <w:spacing w:val="17"/>
        </w:rPr>
        <w:t>《医疗器械监督管理条例》第八十三条第一款</w:t>
      </w:r>
      <w:r>
        <w:rPr>
          <w:rFonts w:ascii="FangSong" w:hAnsi="FangSong" w:eastAsia="FangSong" w:cs="FangSong"/>
          <w:sz w:val="30"/>
          <w:szCs w:val="30"/>
          <w:spacing w:val="17"/>
        </w:rPr>
        <w:t xml:space="preserve">  </w:t>
      </w:r>
      <w:r>
        <w:rPr>
          <w:rFonts w:ascii="FangSong" w:hAnsi="FangSong" w:eastAsia="FangSong" w:cs="FangSong"/>
          <w:sz w:val="30"/>
          <w:szCs w:val="30"/>
          <w:spacing w:val="17"/>
        </w:rPr>
        <w:t>在申请医</w:t>
      </w:r>
      <w:r>
        <w:rPr>
          <w:rFonts w:ascii="FangSong" w:hAnsi="FangSong" w:eastAsia="FangSong" w:cs="FangSong"/>
          <w:sz w:val="30"/>
          <w:szCs w:val="30"/>
          <w:spacing w:val="16"/>
        </w:rPr>
        <w:t>疗器械行政许可时提供虚假资料或者采</w:t>
      </w:r>
      <w:r>
        <w:rPr>
          <w:rFonts w:ascii="FangSong" w:hAnsi="FangSong" w:eastAsia="FangSong" w:cs="FangSong"/>
          <w:sz w:val="30"/>
          <w:szCs w:val="30"/>
        </w:rPr>
        <w:t xml:space="preserve"> </w:t>
      </w:r>
      <w:r>
        <w:rPr>
          <w:rFonts w:ascii="FangSong" w:hAnsi="FangSong" w:eastAsia="FangSong" w:cs="FangSong"/>
          <w:sz w:val="30"/>
          <w:szCs w:val="30"/>
          <w:spacing w:val="12"/>
        </w:rPr>
        <w:t>取其他欺骗手段的，不予行政许可，已经取得行政许可的，由作出行政许可决</w:t>
      </w:r>
      <w:r>
        <w:rPr>
          <w:rFonts w:ascii="FangSong" w:hAnsi="FangSong" w:eastAsia="FangSong" w:cs="FangSong"/>
          <w:sz w:val="30"/>
          <w:szCs w:val="30"/>
          <w:spacing w:val="11"/>
        </w:rPr>
        <w:t>定的部门撤销行政许可，</w:t>
      </w:r>
      <w:r>
        <w:rPr>
          <w:rFonts w:ascii="FangSong" w:hAnsi="FangSong" w:eastAsia="FangSong" w:cs="FangSong"/>
          <w:sz w:val="30"/>
          <w:szCs w:val="30"/>
        </w:rPr>
        <w:t xml:space="preserve"> </w:t>
      </w:r>
      <w:r>
        <w:rPr>
          <w:rFonts w:ascii="FangSong" w:hAnsi="FangSong" w:eastAsia="FangSong" w:cs="FangSong"/>
          <w:sz w:val="30"/>
          <w:szCs w:val="30"/>
          <w:spacing w:val="23"/>
        </w:rPr>
        <w:t>没收违法所得、违法生产经营使用的医疗器械，10年内不受理相关责任人以及</w:t>
      </w:r>
      <w:r>
        <w:rPr>
          <w:rFonts w:ascii="FangSong" w:hAnsi="FangSong" w:eastAsia="FangSong" w:cs="FangSong"/>
          <w:sz w:val="30"/>
          <w:szCs w:val="30"/>
          <w:spacing w:val="22"/>
        </w:rPr>
        <w:t>单位提出的医疗器械</w:t>
      </w:r>
      <w:r>
        <w:rPr>
          <w:rFonts w:ascii="FangSong" w:hAnsi="FangSong" w:eastAsia="FangSong" w:cs="FangSong"/>
          <w:sz w:val="30"/>
          <w:szCs w:val="30"/>
        </w:rPr>
        <w:t xml:space="preserve"> </w:t>
      </w:r>
      <w:r>
        <w:rPr>
          <w:rFonts w:ascii="FangSong" w:hAnsi="FangSong" w:eastAsia="FangSong" w:cs="FangSong"/>
          <w:sz w:val="30"/>
          <w:szCs w:val="30"/>
          <w:spacing w:val="25"/>
        </w:rPr>
        <w:t>许可申请；违法生产经营使用的医疗器械货值金额不足1万元的，并处5万元以上15万元以下罚款；</w:t>
      </w:r>
      <w:r>
        <w:rPr>
          <w:rFonts w:ascii="FangSong" w:hAnsi="FangSong" w:eastAsia="FangSong" w:cs="FangSong"/>
          <w:sz w:val="30"/>
          <w:szCs w:val="30"/>
          <w:spacing w:val="3"/>
        </w:rPr>
        <w:t xml:space="preserve"> </w:t>
      </w:r>
      <w:r>
        <w:rPr>
          <w:rFonts w:ascii="FangSong" w:hAnsi="FangSong" w:eastAsia="FangSong" w:cs="FangSong"/>
          <w:sz w:val="30"/>
          <w:szCs w:val="30"/>
          <w:spacing w:val="26"/>
        </w:rPr>
        <w:t>货值金额1万元以上的，并处货值金额15倍以上30倍以下罚款；情节严重的，责令停产停业，对违</w:t>
      </w:r>
      <w:r>
        <w:rPr>
          <w:rFonts w:ascii="FangSong" w:hAnsi="FangSong" w:eastAsia="FangSong" w:cs="FangSong"/>
          <w:sz w:val="30"/>
          <w:szCs w:val="30"/>
        </w:rPr>
        <w:t xml:space="preserve"> </w:t>
      </w:r>
      <w:r>
        <w:rPr>
          <w:rFonts w:ascii="FangSong" w:hAnsi="FangSong" w:eastAsia="FangSong" w:cs="FangSong"/>
          <w:sz w:val="30"/>
          <w:szCs w:val="30"/>
          <w:spacing w:val="17"/>
        </w:rPr>
        <w:t>法单位的法定代表人、主要负责人、直接负责的主管人员和其他责任人</w:t>
      </w:r>
      <w:r>
        <w:rPr>
          <w:rFonts w:ascii="FangSong" w:hAnsi="FangSong" w:eastAsia="FangSong" w:cs="FangSong"/>
          <w:sz w:val="30"/>
          <w:szCs w:val="30"/>
          <w:spacing w:val="16"/>
        </w:rPr>
        <w:t>员，没收违法行为发生期间自</w:t>
      </w:r>
      <w:r>
        <w:rPr>
          <w:rFonts w:ascii="FangSong" w:hAnsi="FangSong" w:eastAsia="FangSong" w:cs="FangSong"/>
          <w:sz w:val="30"/>
          <w:szCs w:val="30"/>
        </w:rPr>
        <w:t xml:space="preserve"> </w:t>
      </w:r>
      <w:r>
        <w:rPr>
          <w:rFonts w:ascii="FangSong" w:hAnsi="FangSong" w:eastAsia="FangSong" w:cs="FangSong"/>
          <w:sz w:val="30"/>
          <w:szCs w:val="30"/>
          <w:spacing w:val="23"/>
        </w:rPr>
        <w:t>本单位所获收入，并处所获收入30%以上3倍以下罚款，终身禁止其从事医疗器械生产经</w:t>
      </w:r>
      <w:r>
        <w:rPr>
          <w:rFonts w:ascii="FangSong" w:hAnsi="FangSong" w:eastAsia="FangSong" w:cs="FangSong"/>
          <w:sz w:val="30"/>
          <w:szCs w:val="30"/>
          <w:spacing w:val="22"/>
        </w:rPr>
        <w:t>营活动。</w:t>
      </w:r>
    </w:p>
    <w:p>
      <w:pPr>
        <w:ind w:left="6439"/>
        <w:spacing w:before="159" w:line="221" w:lineRule="auto"/>
        <w:rPr>
          <w:rFonts w:ascii="SimHei" w:hAnsi="SimHei" w:eastAsia="SimHei" w:cs="SimHei"/>
          <w:sz w:val="30"/>
          <w:szCs w:val="30"/>
        </w:rPr>
      </w:pPr>
      <w:r>
        <w:rPr>
          <w:rFonts w:ascii="SimHei" w:hAnsi="SimHei" w:eastAsia="SimHei" w:cs="SimHei"/>
          <w:sz w:val="30"/>
          <w:szCs w:val="30"/>
          <w:b/>
          <w:bCs/>
          <w:spacing w:val="-17"/>
        </w:rPr>
        <w:t>裁量标准</w:t>
      </w:r>
    </w:p>
    <w:p>
      <w:pPr>
        <w:pStyle w:val="BodyText"/>
        <w:spacing w:line="328" w:lineRule="auto"/>
        <w:rPr/>
      </w:pPr>
      <w:r/>
    </w:p>
    <w:p>
      <w:pPr>
        <w:pStyle w:val="BodyText"/>
        <w:spacing w:line="328" w:lineRule="auto"/>
        <w:rPr/>
      </w:pPr>
      <w:r/>
    </w:p>
    <w:p>
      <w:pPr>
        <w:ind w:left="6424"/>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w w:val="99"/>
        </w:rPr>
        <w:t>—695—</w:t>
      </w:r>
    </w:p>
    <w:p>
      <w:pPr>
        <w:spacing w:line="188" w:lineRule="auto"/>
        <w:sectPr>
          <w:footerReference w:type="default" r:id="rId24"/>
          <w:pgSz w:w="16830" w:h="11900"/>
          <w:pgMar w:top="1011" w:right="1349" w:bottom="400" w:left="1414" w:header="0" w:footer="0" w:gutter="0"/>
        </w:sectPr>
        <w:rPr>
          <w:rFonts w:ascii="Times New Roman" w:hAnsi="Times New Roman" w:eastAsia="Times New Roman" w:cs="Times New Roman"/>
          <w:sz w:val="37"/>
          <w:szCs w:val="37"/>
        </w:rPr>
      </w:pPr>
    </w:p>
    <w:p>
      <w:pPr>
        <w:pStyle w:val="BodyText"/>
        <w:spacing w:line="259" w:lineRule="auto"/>
        <w:rPr/>
      </w:pPr>
      <w:r/>
    </w:p>
    <w:p>
      <w:pPr>
        <w:pStyle w:val="BodyText"/>
        <w:spacing w:line="259" w:lineRule="auto"/>
        <w:rPr/>
      </w:pPr>
      <w:r/>
    </w:p>
    <w:p>
      <w:pPr>
        <w:pStyle w:val="BodyText"/>
        <w:spacing w:line="260" w:lineRule="auto"/>
        <w:rPr/>
      </w:pPr>
      <w:r/>
    </w:p>
    <w:p>
      <w:pPr>
        <w:pStyle w:val="BodyText"/>
        <w:spacing w:line="3510" w:lineRule="exact"/>
        <w:rPr/>
      </w:pPr>
      <w:r>
        <w:rPr>
          <w:position w:val="-70"/>
        </w:rPr>
        <w:pict>
          <v:group id="_x0000_s72" style="mso-position-vertical-relative:line;mso-position-horizontal-relative:char;width:700.75pt;height:175.55pt;" filled="false" stroked="false" coordsize="14015,3511" coordorigin="0,0">
            <v:shape id="_x0000_s74" style="position:absolute;left:0;top:0;width:14000;height:3511;" filled="false" strokecolor="#000000" strokeweight="0.50pt" coordsize="14000,3511" coordorigin="0,0" path="m5,5l5,545m5,5l1435,5m1435,5l1435,545m5,545l1435,545m1435,5l1435,545m1435,5l8504,5m8504,5l8504,545m1435,545l8504,545m8504,5l8504,545m8504,5l13995,5m13995,5l13995,545m8504,545l13995,545m5,545l5,1925m5,545l1435,545m1435,545l1435,1925m5,1925l1435,1925m1435,545l1435,1925m1435,545l8504,545m8504,545l8504,1925m1435,1925l8504,1925m8504,545l8504,1925m8504,545l13995,545m13995,545l13995,1925m8504,1925l13995,1925m5,1925l5,3505m5,1925l1435,1925m1435,1925l1435,3505m5,3505l1435,3505m1435,1925l1435,3505m1435,1925l8504,1925m8504,1925l8504,3505m1435,3505l8504,3505m8504,1925l8504,3505m8504,1925l13995,1925m13995,1925l13995,3505m8504,3505l13995,3505e">
              <v:stroke joinstyle="miter" miterlimit="10"/>
            </v:shape>
            <v:shape id="_x0000_s76" style="position:absolute;left:1445;top:129;width:12590;height:3366;" filled="false" stroked="false" type="#_x0000_t202">
              <v:fill on="false"/>
              <v:stroke on="false"/>
              <v:path/>
              <v:imagedata o:title=""/>
              <o:lock v:ext="edit" aspectratio="false"/>
              <v:textbox inset="0mm,0mm,0mm,0mm">
                <w:txbxContent>
                  <w:p>
                    <w:pPr>
                      <w:ind w:left="3023"/>
                      <w:spacing w:before="19" w:line="220" w:lineRule="auto"/>
                      <w:rPr>
                        <w:rFonts w:ascii="SimSun" w:hAnsi="SimSun" w:eastAsia="SimSun" w:cs="SimSun"/>
                        <w:sz w:val="25"/>
                        <w:szCs w:val="25"/>
                      </w:rPr>
                    </w:pPr>
                    <w:r>
                      <w:rPr>
                        <w:rFonts w:ascii="SimSun" w:hAnsi="SimSun" w:eastAsia="SimSun" w:cs="SimSun"/>
                        <w:sz w:val="25"/>
                        <w:szCs w:val="25"/>
                        <w:b/>
                        <w:bCs/>
                        <w:spacing w:val="-5"/>
                      </w:rPr>
                      <w:t>情节后果</w:t>
                    </w:r>
                    <w:r>
                      <w:rPr>
                        <w:rFonts w:ascii="SimSun" w:hAnsi="SimSun" w:eastAsia="SimSun" w:cs="SimSun"/>
                        <w:sz w:val="25"/>
                        <w:szCs w:val="25"/>
                        <w:spacing w:val="1"/>
                      </w:rPr>
                      <w:t xml:space="preserve">                                       </w:t>
                    </w:r>
                    <w:r>
                      <w:rPr>
                        <w:rFonts w:ascii="SimSun" w:hAnsi="SimSun" w:eastAsia="SimSun" w:cs="SimSun"/>
                        <w:sz w:val="25"/>
                        <w:szCs w:val="25"/>
                      </w:rPr>
                      <w:t xml:space="preserve">   </w:t>
                    </w:r>
                    <w:r>
                      <w:rPr>
                        <w:rFonts w:ascii="SimSun" w:hAnsi="SimSun" w:eastAsia="SimSun" w:cs="SimSun"/>
                        <w:sz w:val="25"/>
                        <w:szCs w:val="25"/>
                        <w:b/>
                        <w:bCs/>
                        <w:spacing w:val="-5"/>
                      </w:rPr>
                      <w:t>裁量幅度</w:t>
                    </w:r>
                  </w:p>
                  <w:p>
                    <w:pPr>
                      <w:ind w:left="7080"/>
                      <w:spacing w:before="178" w:line="219" w:lineRule="auto"/>
                      <w:rPr>
                        <w:rFonts w:ascii="SimSun" w:hAnsi="SimSun" w:eastAsia="SimSun" w:cs="SimSun"/>
                        <w:sz w:val="25"/>
                        <w:szCs w:val="25"/>
                      </w:rPr>
                    </w:pPr>
                    <w:r>
                      <w:rPr>
                        <w:rFonts w:ascii="SimSun" w:hAnsi="SimSun" w:eastAsia="SimSun" w:cs="SimSun"/>
                        <w:sz w:val="25"/>
                        <w:szCs w:val="25"/>
                        <w:spacing w:val="-2"/>
                      </w:rPr>
                      <w:t>由作出行政许可决定的部门撤销行政许可，没收违</w:t>
                    </w:r>
                  </w:p>
                  <w:p>
                    <w:pPr>
                      <w:ind w:left="20"/>
                      <w:spacing w:before="42" w:line="219" w:lineRule="auto"/>
                      <w:rPr>
                        <w:rFonts w:ascii="SimSun" w:hAnsi="SimSun" w:eastAsia="SimSun" w:cs="SimSun"/>
                        <w:sz w:val="25"/>
                        <w:szCs w:val="25"/>
                      </w:rPr>
                    </w:pPr>
                    <w:r>
                      <w:rPr>
                        <w:rFonts w:ascii="SimSun" w:hAnsi="SimSun" w:eastAsia="SimSun" w:cs="SimSun"/>
                        <w:sz w:val="25"/>
                        <w:szCs w:val="25"/>
                        <w:spacing w:val="1"/>
                      </w:rPr>
                      <w:t>提供虚假资料或者采取其他欺骗手段取得大型医用设备配置许可法所得、违法生产经营使用的医疗器械，10</w:t>
                    </w:r>
                    <w:r>
                      <w:rPr>
                        <w:rFonts w:ascii="SimSun" w:hAnsi="SimSun" w:eastAsia="SimSun" w:cs="SimSun"/>
                        <w:sz w:val="25"/>
                        <w:szCs w:val="25"/>
                      </w:rPr>
                      <w:t>年内不</w:t>
                    </w:r>
                  </w:p>
                  <w:p>
                    <w:pPr>
                      <w:ind w:left="100"/>
                      <w:spacing w:before="43" w:line="219" w:lineRule="auto"/>
                      <w:rPr>
                        <w:rFonts w:ascii="SimSun" w:hAnsi="SimSun" w:eastAsia="SimSun" w:cs="SimSun"/>
                        <w:sz w:val="25"/>
                        <w:szCs w:val="25"/>
                      </w:rPr>
                    </w:pPr>
                    <w:r>
                      <w:rPr>
                        <w:rFonts w:ascii="SimSun" w:hAnsi="SimSun" w:eastAsia="SimSun" w:cs="SimSun"/>
                        <w:sz w:val="25"/>
                        <w:szCs w:val="25"/>
                        <w:spacing w:val="2"/>
                      </w:rPr>
                      <w:t>证的，货值金额1万元以上的                               受理相关</w:t>
                    </w:r>
                    <w:r>
                      <w:rPr>
                        <w:rFonts w:ascii="SimSun" w:hAnsi="SimSun" w:eastAsia="SimSun" w:cs="SimSun"/>
                        <w:sz w:val="25"/>
                        <w:szCs w:val="25"/>
                        <w:spacing w:val="1"/>
                      </w:rPr>
                      <w:t>责任人以及单位提出的医疗器械许可申</w:t>
                    </w:r>
                  </w:p>
                  <w:p>
                    <w:pPr>
                      <w:ind w:left="7190"/>
                      <w:spacing w:before="32" w:line="219" w:lineRule="auto"/>
                      <w:rPr>
                        <w:rFonts w:ascii="SimSun" w:hAnsi="SimSun" w:eastAsia="SimSun" w:cs="SimSun"/>
                        <w:sz w:val="25"/>
                        <w:szCs w:val="25"/>
                      </w:rPr>
                    </w:pPr>
                    <w:r>
                      <w:rPr>
                        <w:rFonts w:ascii="SimSun" w:hAnsi="SimSun" w:eastAsia="SimSun" w:cs="SimSun"/>
                        <w:sz w:val="25"/>
                        <w:szCs w:val="25"/>
                        <w:spacing w:val="-1"/>
                      </w:rPr>
                      <w:t>请，并处货值金额15倍以上30倍以下罚款</w:t>
                    </w:r>
                  </w:p>
                  <w:p>
                    <w:pPr>
                      <w:ind w:left="7080" w:right="27"/>
                      <w:spacing w:before="34" w:line="233" w:lineRule="auto"/>
                      <w:rPr>
                        <w:rFonts w:ascii="SimSun" w:hAnsi="SimSun" w:eastAsia="SimSun" w:cs="SimSun"/>
                        <w:sz w:val="25"/>
                        <w:szCs w:val="25"/>
                      </w:rPr>
                    </w:pPr>
                    <w:r>
                      <w:rPr>
                        <w:rFonts w:ascii="SimSun" w:hAnsi="SimSun" w:eastAsia="SimSun" w:cs="SimSun"/>
                        <w:sz w:val="25"/>
                        <w:szCs w:val="25"/>
                        <w:spacing w:val="-1"/>
                      </w:rPr>
                      <w:t>责令停产停业，对违法单位的法定代表人、主要负</w:t>
                    </w:r>
                    <w:r>
                      <w:rPr>
                        <w:rFonts w:ascii="SimSun" w:hAnsi="SimSun" w:eastAsia="SimSun" w:cs="SimSun"/>
                        <w:sz w:val="25"/>
                        <w:szCs w:val="25"/>
                        <w:spacing w:val="2"/>
                      </w:rPr>
                      <w:t xml:space="preserve"> </w:t>
                    </w:r>
                    <w:r>
                      <w:rPr>
                        <w:rFonts w:ascii="SimSun" w:hAnsi="SimSun" w:eastAsia="SimSun" w:cs="SimSun"/>
                        <w:sz w:val="25"/>
                        <w:szCs w:val="25"/>
                        <w:spacing w:val="-1"/>
                      </w:rPr>
                      <w:t>责人、直接负责的主管人员和其他责任人员，没收</w:t>
                    </w:r>
                    <w:r>
                      <w:rPr>
                        <w:rFonts w:ascii="SimSun" w:hAnsi="SimSun" w:eastAsia="SimSun" w:cs="SimSun"/>
                        <w:sz w:val="25"/>
                        <w:szCs w:val="25"/>
                        <w:spacing w:val="2"/>
                      </w:rPr>
                      <w:t xml:space="preserve"> </w:t>
                    </w:r>
                    <w:r>
                      <w:rPr>
                        <w:rFonts w:ascii="SimSun" w:hAnsi="SimSun" w:eastAsia="SimSun" w:cs="SimSun"/>
                        <w:sz w:val="25"/>
                        <w:szCs w:val="25"/>
                        <w:spacing w:val="-2"/>
                      </w:rPr>
                      <w:t>违法行为发生期间自本单位所获收入，并处所获收</w:t>
                    </w:r>
                    <w:r>
                      <w:rPr>
                        <w:rFonts w:ascii="SimSun" w:hAnsi="SimSun" w:eastAsia="SimSun" w:cs="SimSun"/>
                        <w:sz w:val="25"/>
                        <w:szCs w:val="25"/>
                        <w:spacing w:val="12"/>
                      </w:rPr>
                      <w:t xml:space="preserve"> </w:t>
                    </w:r>
                    <w:r>
                      <w:rPr>
                        <w:rFonts w:ascii="SimSun" w:hAnsi="SimSun" w:eastAsia="SimSun" w:cs="SimSun"/>
                        <w:sz w:val="25"/>
                        <w:szCs w:val="25"/>
                        <w:spacing w:val="4"/>
                      </w:rPr>
                      <w:t>入30%以上3倍以下罚款，终身禁止其从事医</w:t>
                    </w:r>
                    <w:r>
                      <w:rPr>
                        <w:rFonts w:ascii="SimSun" w:hAnsi="SimSun" w:eastAsia="SimSun" w:cs="SimSun"/>
                        <w:sz w:val="25"/>
                        <w:szCs w:val="25"/>
                        <w:spacing w:val="3"/>
                      </w:rPr>
                      <w:t>疗器</w:t>
                    </w:r>
                    <w:r>
                      <w:rPr>
                        <w:rFonts w:ascii="SimSun" w:hAnsi="SimSun" w:eastAsia="SimSun" w:cs="SimSun"/>
                        <w:sz w:val="25"/>
                        <w:szCs w:val="25"/>
                      </w:rPr>
                      <w:t xml:space="preserve">  </w:t>
                    </w:r>
                    <w:r>
                      <w:rPr>
                        <w:rFonts w:ascii="SimSun" w:hAnsi="SimSun" w:eastAsia="SimSun" w:cs="SimSun"/>
                        <w:sz w:val="25"/>
                        <w:szCs w:val="25"/>
                        <w:spacing w:val="12"/>
                      </w:rPr>
                      <w:t>械生产经营活动</w:t>
                    </w:r>
                  </w:p>
                </w:txbxContent>
              </v:textbox>
            </v:shape>
            <v:shape id="_x0000_s78" style="position:absolute;left:1445;top:2424;width:7050;height:632;" filled="false" stroked="false" type="#_x0000_t202">
              <v:fill on="false"/>
              <v:stroke on="false"/>
              <v:path/>
              <v:imagedata o:title=""/>
              <o:lock v:ext="edit" aspectratio="false"/>
              <v:textbox inset="0mm,0mm,0mm,0mm">
                <w:txbxContent>
                  <w:p>
                    <w:pPr>
                      <w:ind w:left="100" w:right="20" w:hanging="80"/>
                      <w:spacing w:before="18" w:line="244" w:lineRule="auto"/>
                      <w:rPr>
                        <w:rFonts w:ascii="SimSun" w:hAnsi="SimSun" w:eastAsia="SimSun" w:cs="SimSun"/>
                        <w:sz w:val="25"/>
                        <w:szCs w:val="25"/>
                      </w:rPr>
                    </w:pPr>
                    <w:r>
                      <w:rPr>
                        <w:rFonts w:ascii="SimSun" w:hAnsi="SimSun" w:eastAsia="SimSun" w:cs="SimSun"/>
                        <w:sz w:val="25"/>
                        <w:szCs w:val="25"/>
                      </w:rPr>
                      <w:t>提供虚假资料或者采取其他欺骗手段取得大型医用设备配置许可</w:t>
                    </w:r>
                    <w:r>
                      <w:rPr>
                        <w:rFonts w:ascii="SimSun" w:hAnsi="SimSun" w:eastAsia="SimSun" w:cs="SimSun"/>
                        <w:sz w:val="25"/>
                        <w:szCs w:val="25"/>
                        <w:spacing w:val="9"/>
                      </w:rPr>
                      <w:t xml:space="preserve"> </w:t>
                    </w:r>
                    <w:r>
                      <w:rPr>
                        <w:rFonts w:ascii="SimSun" w:hAnsi="SimSun" w:eastAsia="SimSun" w:cs="SimSun"/>
                        <w:sz w:val="25"/>
                        <w:szCs w:val="25"/>
                        <w:spacing w:val="1"/>
                      </w:rPr>
                      <w:t>证的，造成严重后果的</w:t>
                    </w:r>
                  </w:p>
                </w:txbxContent>
              </v:textbox>
            </v:shape>
            <v:shape id="_x0000_s80" style="position:absolute;left:198;top:132;width:1030;height:1251;"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25"/>
                        <w:szCs w:val="25"/>
                      </w:rPr>
                    </w:pPr>
                    <w:bookmarkStart w:name="bookmark1240" w:id="618"/>
                    <w:bookmarkEnd w:id="618"/>
                    <w:r>
                      <w:rPr>
                        <w:rFonts w:ascii="SimSun" w:hAnsi="SimSun" w:eastAsia="SimSun" w:cs="SimSun"/>
                        <w:sz w:val="25"/>
                        <w:szCs w:val="25"/>
                        <w:b/>
                        <w:bCs/>
                        <w:spacing w:val="-5"/>
                      </w:rPr>
                      <w:t>违法程度</w:t>
                    </w:r>
                  </w:p>
                  <w:p>
                    <w:pPr>
                      <w:spacing w:line="289" w:lineRule="auto"/>
                      <w:rPr>
                        <w:rFonts w:ascii="Arial"/>
                        <w:sz w:val="21"/>
                      </w:rPr>
                    </w:pPr>
                    <w:r/>
                  </w:p>
                  <w:p>
                    <w:pPr>
                      <w:spacing w:line="290" w:lineRule="auto"/>
                      <w:rPr>
                        <w:rFonts w:ascii="Arial"/>
                        <w:sz w:val="21"/>
                      </w:rPr>
                    </w:pPr>
                    <w:r/>
                  </w:p>
                  <w:p>
                    <w:pPr>
                      <w:ind w:left="270"/>
                      <w:spacing w:before="82" w:line="221" w:lineRule="auto"/>
                      <w:rPr>
                        <w:rFonts w:ascii="SimSun" w:hAnsi="SimSun" w:eastAsia="SimSun" w:cs="SimSun"/>
                        <w:sz w:val="25"/>
                        <w:szCs w:val="25"/>
                      </w:rPr>
                    </w:pPr>
                    <w:r>
                      <w:rPr>
                        <w:rFonts w:ascii="SimSun" w:hAnsi="SimSun" w:eastAsia="SimSun" w:cs="SimSun"/>
                        <w:sz w:val="25"/>
                        <w:szCs w:val="25"/>
                        <w:b/>
                        <w:bCs/>
                        <w:spacing w:val="-6"/>
                      </w:rPr>
                      <w:t>较重</w:t>
                    </w:r>
                  </w:p>
                </w:txbxContent>
              </v:textbox>
            </v:shape>
            <v:shape id="_x0000_s82" style="position:absolute;left:448;top:2572;width:530;height:290;"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25"/>
                        <w:szCs w:val="25"/>
                      </w:rPr>
                    </w:pPr>
                    <w:r>
                      <w:rPr>
                        <w:rFonts w:ascii="SimSun" w:hAnsi="SimSun" w:eastAsia="SimSun" w:cs="SimSun"/>
                        <w:sz w:val="25"/>
                        <w:szCs w:val="25"/>
                        <w:b/>
                        <w:bCs/>
                        <w:spacing w:val="-6"/>
                      </w:rPr>
                      <w:t>严重</w:t>
                    </w:r>
                  </w:p>
                </w:txbxContent>
              </v:textbox>
            </v:shape>
          </v:group>
        </w:pict>
      </w:r>
    </w:p>
    <w:p>
      <w:pPr>
        <w:ind w:left="19" w:right="72" w:firstLine="670"/>
        <w:spacing w:before="96" w:line="276" w:lineRule="auto"/>
        <w:rPr>
          <w:rFonts w:ascii="FangSong" w:hAnsi="FangSong" w:eastAsia="FangSong" w:cs="FangSong"/>
          <w:sz w:val="30"/>
          <w:szCs w:val="30"/>
        </w:rPr>
      </w:pPr>
      <w:r>
        <w:rPr>
          <w:rFonts w:ascii="FangSong" w:hAnsi="FangSong" w:eastAsia="FangSong" w:cs="FangSong"/>
          <w:sz w:val="30"/>
          <w:szCs w:val="30"/>
          <w:b/>
          <w:bCs/>
          <w:spacing w:val="21"/>
        </w:rPr>
        <w:t>第五百八十八条医疗器械使用单位发现使用的医疗器械存在安全隐患未立即</w:t>
      </w:r>
      <w:r>
        <w:rPr>
          <w:rFonts w:ascii="FangSong" w:hAnsi="FangSong" w:eastAsia="FangSong" w:cs="FangSong"/>
          <w:sz w:val="30"/>
          <w:szCs w:val="30"/>
          <w:b/>
          <w:bCs/>
          <w:spacing w:val="20"/>
        </w:rPr>
        <w:t>停止使用、通知检</w:t>
      </w:r>
      <w:r>
        <w:rPr>
          <w:rFonts w:ascii="FangSong" w:hAnsi="FangSong" w:eastAsia="FangSong" w:cs="FangSong"/>
          <w:sz w:val="30"/>
          <w:szCs w:val="30"/>
        </w:rPr>
        <w:t xml:space="preserve"> </w:t>
      </w:r>
      <w:r>
        <w:rPr>
          <w:rFonts w:ascii="FangSong" w:hAnsi="FangSong" w:eastAsia="FangSong" w:cs="FangSong"/>
          <w:sz w:val="30"/>
          <w:szCs w:val="30"/>
          <w:b/>
          <w:bCs/>
          <w:spacing w:val="17"/>
        </w:rPr>
        <w:t>修，或者继续使用经检修仍不能达到使用安全标准的医疗器械的</w:t>
      </w:r>
    </w:p>
    <w:p>
      <w:pPr>
        <w:ind w:left="675"/>
        <w:spacing w:line="222" w:lineRule="auto"/>
        <w:rPr>
          <w:rFonts w:ascii="FangSong" w:hAnsi="FangSong" w:eastAsia="FangSong" w:cs="FangSong"/>
          <w:sz w:val="27"/>
          <w:szCs w:val="27"/>
        </w:rPr>
      </w:pPr>
      <w:r>
        <w:rPr>
          <w:rFonts w:ascii="FangSong" w:hAnsi="FangSong" w:eastAsia="FangSong" w:cs="FangSong"/>
          <w:sz w:val="27"/>
          <w:szCs w:val="27"/>
          <w:spacing w:val="25"/>
        </w:rPr>
        <w:t>法律依据：</w:t>
      </w:r>
    </w:p>
    <w:p>
      <w:pPr>
        <w:ind w:left="15" w:right="73" w:firstLine="629"/>
        <w:spacing w:before="102" w:line="265" w:lineRule="auto"/>
        <w:jc w:val="both"/>
        <w:rPr>
          <w:rFonts w:ascii="FangSong" w:hAnsi="FangSong" w:eastAsia="FangSong" w:cs="FangSong"/>
          <w:sz w:val="30"/>
          <w:szCs w:val="30"/>
        </w:rPr>
      </w:pPr>
      <w:r>
        <w:rPr>
          <w:rFonts w:ascii="FangSong" w:hAnsi="FangSong" w:eastAsia="FangSong" w:cs="FangSong"/>
          <w:sz w:val="30"/>
          <w:szCs w:val="30"/>
          <w:spacing w:val="26"/>
        </w:rPr>
        <w:t>《医疗器械监督管理条例》第九十条第(四)项</w:t>
      </w:r>
      <w:r>
        <w:rPr>
          <w:rFonts w:ascii="FangSong" w:hAnsi="FangSong" w:eastAsia="FangSong" w:cs="FangSong"/>
          <w:sz w:val="30"/>
          <w:szCs w:val="30"/>
          <w:spacing w:val="26"/>
        </w:rPr>
        <w:t xml:space="preserve">   </w:t>
      </w:r>
      <w:r>
        <w:rPr>
          <w:rFonts w:ascii="FangSong" w:hAnsi="FangSong" w:eastAsia="FangSong" w:cs="FangSong"/>
          <w:sz w:val="30"/>
          <w:szCs w:val="30"/>
          <w:spacing w:val="26"/>
        </w:rPr>
        <w:t>有下列情形之一的，由县级以上人民政府卫</w:t>
      </w:r>
      <w:r>
        <w:rPr>
          <w:rFonts w:ascii="FangSong" w:hAnsi="FangSong" w:eastAsia="FangSong" w:cs="FangSong"/>
          <w:sz w:val="30"/>
          <w:szCs w:val="30"/>
          <w:spacing w:val="2"/>
        </w:rPr>
        <w:t xml:space="preserve"> </w:t>
      </w:r>
      <w:r>
        <w:rPr>
          <w:rFonts w:ascii="FangSong" w:hAnsi="FangSong" w:eastAsia="FangSong" w:cs="FangSong"/>
          <w:sz w:val="30"/>
          <w:szCs w:val="30"/>
          <w:spacing w:val="27"/>
        </w:rPr>
        <w:t>生主管部门责令改正，给予警告；拒不改正的，处5万元以上10万元以下罚款</w:t>
      </w:r>
      <w:r>
        <w:rPr>
          <w:rFonts w:ascii="FangSong" w:hAnsi="FangSong" w:eastAsia="FangSong" w:cs="FangSong"/>
          <w:sz w:val="30"/>
          <w:szCs w:val="30"/>
          <w:spacing w:val="26"/>
        </w:rPr>
        <w:t>；情节严重的，处10</w:t>
      </w:r>
      <w:r>
        <w:rPr>
          <w:rFonts w:ascii="FangSong" w:hAnsi="FangSong" w:eastAsia="FangSong" w:cs="FangSong"/>
          <w:sz w:val="30"/>
          <w:szCs w:val="30"/>
        </w:rPr>
        <w:t xml:space="preserve"> </w:t>
      </w:r>
      <w:r>
        <w:rPr>
          <w:rFonts w:ascii="FangSong" w:hAnsi="FangSong" w:eastAsia="FangSong" w:cs="FangSong"/>
          <w:sz w:val="30"/>
          <w:szCs w:val="30"/>
          <w:spacing w:val="21"/>
        </w:rPr>
        <w:t>万元以上30万元以下罚款，责令暂停相关医疗器械使用活动，直至由原发证部门吊销执业许可证，</w:t>
      </w:r>
    </w:p>
    <w:p>
      <w:pPr>
        <w:ind w:left="15"/>
        <w:spacing w:before="4" w:line="263" w:lineRule="auto"/>
        <w:jc w:val="both"/>
        <w:rPr>
          <w:rFonts w:ascii="FangSong" w:hAnsi="FangSong" w:eastAsia="FangSong" w:cs="FangSong"/>
          <w:sz w:val="30"/>
          <w:szCs w:val="30"/>
        </w:rPr>
      </w:pPr>
      <w:r>
        <w:rPr>
          <w:rFonts w:ascii="FangSong" w:hAnsi="FangSong" w:eastAsia="FangSong" w:cs="FangSong"/>
          <w:sz w:val="30"/>
          <w:szCs w:val="30"/>
          <w:spacing w:val="19"/>
        </w:rPr>
        <w:t>依法责令相关责任人员暂停6个月以上1年</w:t>
      </w:r>
      <w:r>
        <w:rPr>
          <w:rFonts w:ascii="FangSong" w:hAnsi="FangSong" w:eastAsia="FangSong" w:cs="FangSong"/>
          <w:sz w:val="30"/>
          <w:szCs w:val="30"/>
          <w:spacing w:val="18"/>
        </w:rPr>
        <w:t>以下执业活动，直至由原发证部门吊销相关人员执业证书，</w:t>
      </w:r>
      <w:r>
        <w:rPr>
          <w:rFonts w:ascii="FangSong" w:hAnsi="FangSong" w:eastAsia="FangSong" w:cs="FangSong"/>
          <w:sz w:val="30"/>
          <w:szCs w:val="30"/>
        </w:rPr>
        <w:t xml:space="preserve"> </w:t>
      </w:r>
      <w:r>
        <w:rPr>
          <w:rFonts w:ascii="FangSong" w:hAnsi="FangSong" w:eastAsia="FangSong" w:cs="FangSong"/>
          <w:sz w:val="30"/>
          <w:szCs w:val="30"/>
          <w:spacing w:val="16"/>
        </w:rPr>
        <w:t>对违法单位的法定代表人、主要负责人、直接负责的主管人员和其他责任人员，没收违法行为发生期</w:t>
      </w:r>
      <w:r>
        <w:rPr>
          <w:rFonts w:ascii="FangSong" w:hAnsi="FangSong" w:eastAsia="FangSong" w:cs="FangSong"/>
          <w:sz w:val="30"/>
          <w:szCs w:val="30"/>
          <w:spacing w:val="8"/>
        </w:rPr>
        <w:t xml:space="preserve"> </w:t>
      </w:r>
      <w:r>
        <w:rPr>
          <w:rFonts w:ascii="FangSong" w:hAnsi="FangSong" w:eastAsia="FangSong" w:cs="FangSong"/>
          <w:sz w:val="30"/>
          <w:szCs w:val="30"/>
          <w:spacing w:val="23"/>
        </w:rPr>
        <w:t>间自本单位所获收入，并处所获收入30%</w:t>
      </w:r>
      <w:r>
        <w:rPr>
          <w:rFonts w:ascii="FangSong" w:hAnsi="FangSong" w:eastAsia="FangSong" w:cs="FangSong"/>
          <w:sz w:val="30"/>
          <w:szCs w:val="30"/>
          <w:spacing w:val="22"/>
        </w:rPr>
        <w:t>以上3倍以下罚款，依法给予处分：</w:t>
      </w:r>
    </w:p>
    <w:p>
      <w:pPr>
        <w:pStyle w:val="BodyText"/>
        <w:spacing w:line="272" w:lineRule="auto"/>
        <w:rPr/>
      </w:pPr>
      <w:r/>
    </w:p>
    <w:p>
      <w:pPr>
        <w:pStyle w:val="BodyText"/>
        <w:spacing w:line="272" w:lineRule="auto"/>
        <w:rPr/>
      </w:pPr>
      <w:r/>
    </w:p>
    <w:p>
      <w:pPr>
        <w:pStyle w:val="BodyText"/>
        <w:spacing w:line="272" w:lineRule="auto"/>
        <w:rPr/>
      </w:pPr>
      <w:r/>
    </w:p>
    <w:p>
      <w:pPr>
        <w:pStyle w:val="BodyText"/>
        <w:spacing w:line="273" w:lineRule="auto"/>
        <w:rPr/>
      </w:pPr>
      <w:r/>
    </w:p>
    <w:p>
      <w:pPr>
        <w:pStyle w:val="BodyText"/>
        <w:spacing w:line="273" w:lineRule="auto"/>
        <w:rPr/>
      </w:pPr>
      <w:r/>
    </w:p>
    <w:p>
      <w:pPr>
        <w:ind w:left="6374"/>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—696—</w:t>
      </w:r>
    </w:p>
    <w:p>
      <w:pPr>
        <w:spacing w:line="188" w:lineRule="auto"/>
        <w:sectPr>
          <w:pgSz w:w="16830" w:h="11900"/>
          <w:pgMar w:top="1011" w:right="1369" w:bottom="400" w:left="1414" w:header="0" w:footer="0" w:gutter="0"/>
        </w:sectPr>
        <w:rPr>
          <w:rFonts w:ascii="Times New Roman" w:hAnsi="Times New Roman" w:eastAsia="Times New Roman" w:cs="Times New Roman"/>
          <w:sz w:val="37"/>
          <w:szCs w:val="37"/>
        </w:rPr>
      </w:pPr>
    </w:p>
    <w:p>
      <w:pPr>
        <w:pStyle w:val="BodyText"/>
        <w:spacing w:line="267" w:lineRule="auto"/>
        <w:rPr/>
      </w:pPr>
      <w:r/>
    </w:p>
    <w:p>
      <w:pPr>
        <w:pStyle w:val="BodyText"/>
        <w:spacing w:line="267" w:lineRule="auto"/>
        <w:rPr/>
      </w:pPr>
      <w:r/>
    </w:p>
    <w:p>
      <w:pPr>
        <w:pStyle w:val="BodyText"/>
        <w:spacing w:line="268" w:lineRule="auto"/>
        <w:rPr/>
      </w:pPr>
      <w:r/>
    </w:p>
    <w:p>
      <w:pPr>
        <w:ind w:left="25" w:firstLine="760"/>
        <w:spacing w:before="98" w:line="271" w:lineRule="auto"/>
        <w:rPr>
          <w:rFonts w:ascii="FangSong" w:hAnsi="FangSong" w:eastAsia="FangSong" w:cs="FangSong"/>
          <w:sz w:val="30"/>
          <w:szCs w:val="30"/>
        </w:rPr>
      </w:pPr>
      <w:r>
        <w:rPr>
          <w:rFonts w:ascii="FangSong" w:hAnsi="FangSong" w:eastAsia="FangSong" w:cs="FangSong"/>
          <w:sz w:val="30"/>
          <w:szCs w:val="30"/>
          <w:spacing w:val="20"/>
        </w:rPr>
        <w:t>(四)医疗器械使用单位发现使用的医疗器械存在安全隐患未立即停止使用、通知检修，或</w:t>
      </w:r>
      <w:r>
        <w:rPr>
          <w:rFonts w:ascii="FangSong" w:hAnsi="FangSong" w:eastAsia="FangSong" w:cs="FangSong"/>
          <w:sz w:val="30"/>
          <w:szCs w:val="30"/>
          <w:spacing w:val="19"/>
        </w:rPr>
        <w:t>者继</w:t>
      </w:r>
      <w:r>
        <w:rPr>
          <w:rFonts w:ascii="FangSong" w:hAnsi="FangSong" w:eastAsia="FangSong" w:cs="FangSong"/>
          <w:sz w:val="30"/>
          <w:szCs w:val="30"/>
        </w:rPr>
        <w:t xml:space="preserve"> </w:t>
      </w:r>
      <w:r>
        <w:rPr>
          <w:rFonts w:ascii="FangSong" w:hAnsi="FangSong" w:eastAsia="FangSong" w:cs="FangSong"/>
          <w:sz w:val="30"/>
          <w:szCs w:val="30"/>
          <w:spacing w:val="16"/>
        </w:rPr>
        <w:t>续使用经检修仍不能达到使用安全标准的医疗器械。</w:t>
      </w:r>
    </w:p>
    <w:p>
      <w:pPr>
        <w:ind w:left="6409"/>
        <w:spacing w:before="131"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7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14"/>
        <w:gridCol w:w="8204"/>
        <w:gridCol w:w="4252"/>
      </w:tblGrid>
      <w:tr>
        <w:trPr>
          <w:trHeight w:val="434" w:hRule="atLeast"/>
        </w:trPr>
        <w:tc>
          <w:tcPr>
            <w:tcW w:w="1414" w:type="dxa"/>
            <w:vAlign w:val="top"/>
          </w:tcPr>
          <w:p>
            <w:pPr>
              <w:pStyle w:val="TableText"/>
              <w:ind w:left="198"/>
              <w:spacing w:before="92" w:line="220" w:lineRule="auto"/>
              <w:rPr>
                <w:sz w:val="25"/>
                <w:szCs w:val="25"/>
              </w:rPr>
            </w:pPr>
            <w:r>
              <w:rPr>
                <w:sz w:val="25"/>
                <w:szCs w:val="25"/>
                <w:b/>
                <w:bCs/>
                <w:spacing w:val="-5"/>
              </w:rPr>
              <w:t>违法程度</w:t>
            </w:r>
          </w:p>
        </w:tc>
        <w:tc>
          <w:tcPr>
            <w:tcW w:w="8204" w:type="dxa"/>
            <w:vAlign w:val="top"/>
          </w:tcPr>
          <w:p>
            <w:pPr>
              <w:pStyle w:val="TableText"/>
              <w:ind w:left="3594"/>
              <w:spacing w:before="92" w:line="220" w:lineRule="auto"/>
              <w:rPr>
                <w:sz w:val="25"/>
                <w:szCs w:val="25"/>
              </w:rPr>
            </w:pPr>
            <w:r>
              <w:rPr>
                <w:sz w:val="25"/>
                <w:szCs w:val="25"/>
                <w:b/>
                <w:bCs/>
                <w:spacing w:val="-5"/>
              </w:rPr>
              <w:t>情节后果</w:t>
            </w:r>
          </w:p>
        </w:tc>
        <w:tc>
          <w:tcPr>
            <w:tcW w:w="4252" w:type="dxa"/>
            <w:vAlign w:val="top"/>
          </w:tcPr>
          <w:p>
            <w:pPr>
              <w:pStyle w:val="TableText"/>
              <w:ind w:left="1620"/>
              <w:spacing w:before="89" w:line="218" w:lineRule="auto"/>
              <w:rPr>
                <w:sz w:val="25"/>
                <w:szCs w:val="25"/>
              </w:rPr>
            </w:pPr>
            <w:r>
              <w:rPr>
                <w:sz w:val="25"/>
                <w:szCs w:val="25"/>
                <w:b/>
                <w:bCs/>
                <w:spacing w:val="-5"/>
              </w:rPr>
              <w:t>裁量幅度</w:t>
            </w:r>
          </w:p>
        </w:tc>
      </w:tr>
      <w:tr>
        <w:trPr>
          <w:trHeight w:val="689" w:hRule="atLeast"/>
        </w:trPr>
        <w:tc>
          <w:tcPr>
            <w:tcW w:w="1414" w:type="dxa"/>
            <w:vAlign w:val="top"/>
          </w:tcPr>
          <w:p>
            <w:pPr>
              <w:pStyle w:val="TableText"/>
              <w:ind w:left="448"/>
              <w:spacing w:before="217" w:line="219" w:lineRule="auto"/>
              <w:rPr>
                <w:sz w:val="25"/>
                <w:szCs w:val="25"/>
              </w:rPr>
            </w:pPr>
            <w:r>
              <w:rPr>
                <w:sz w:val="25"/>
                <w:szCs w:val="25"/>
                <w:b/>
                <w:bCs/>
                <w:spacing w:val="-6"/>
              </w:rPr>
              <w:t>较轻</w:t>
            </w:r>
          </w:p>
        </w:tc>
        <w:tc>
          <w:tcPr>
            <w:tcW w:w="8204" w:type="dxa"/>
            <w:vAlign w:val="top"/>
          </w:tcPr>
          <w:p>
            <w:pPr>
              <w:pStyle w:val="TableText"/>
              <w:ind w:left="100" w:hanging="89"/>
              <w:spacing w:before="91" w:line="217" w:lineRule="auto"/>
              <w:rPr>
                <w:sz w:val="25"/>
                <w:szCs w:val="25"/>
              </w:rPr>
            </w:pPr>
            <w:r>
              <w:rPr>
                <w:sz w:val="25"/>
                <w:szCs w:val="25"/>
                <w:spacing w:val="-2"/>
              </w:rPr>
              <w:t>发现使用的大型医用设备存在安全隐患未立即停止使用、通知检修，</w:t>
            </w:r>
            <w:r>
              <w:rPr>
                <w:sz w:val="25"/>
                <w:szCs w:val="25"/>
                <w:spacing w:val="-3"/>
              </w:rPr>
              <w:t>或者继</w:t>
            </w:r>
            <w:r>
              <w:rPr>
                <w:sz w:val="25"/>
                <w:szCs w:val="25"/>
              </w:rPr>
              <w:t xml:space="preserve"> </w:t>
            </w:r>
            <w:r>
              <w:rPr>
                <w:sz w:val="25"/>
                <w:szCs w:val="25"/>
              </w:rPr>
              <w:t>续使用经检修仍不能达到使用安全标准</w:t>
            </w:r>
          </w:p>
        </w:tc>
        <w:tc>
          <w:tcPr>
            <w:tcW w:w="4252" w:type="dxa"/>
            <w:vAlign w:val="top"/>
          </w:tcPr>
          <w:p>
            <w:pPr>
              <w:pStyle w:val="TableText"/>
              <w:ind w:left="126"/>
              <w:spacing w:before="219" w:line="218" w:lineRule="auto"/>
              <w:rPr>
                <w:sz w:val="25"/>
                <w:szCs w:val="25"/>
              </w:rPr>
            </w:pPr>
            <w:r>
              <w:rPr>
                <w:sz w:val="25"/>
                <w:szCs w:val="25"/>
                <w:spacing w:val="1"/>
              </w:rPr>
              <w:t>责令改正，给予警告</w:t>
            </w:r>
          </w:p>
        </w:tc>
      </w:tr>
      <w:tr>
        <w:trPr>
          <w:trHeight w:val="829" w:hRule="atLeast"/>
        </w:trPr>
        <w:tc>
          <w:tcPr>
            <w:tcW w:w="1414" w:type="dxa"/>
            <w:vAlign w:val="top"/>
          </w:tcPr>
          <w:p>
            <w:pPr>
              <w:pStyle w:val="TableText"/>
              <w:ind w:left="448"/>
              <w:spacing w:before="290" w:line="221" w:lineRule="auto"/>
              <w:rPr>
                <w:sz w:val="25"/>
                <w:szCs w:val="25"/>
              </w:rPr>
            </w:pPr>
            <w:r>
              <w:rPr>
                <w:sz w:val="25"/>
                <w:szCs w:val="25"/>
                <w:b/>
                <w:bCs/>
                <w:spacing w:val="-10"/>
              </w:rPr>
              <w:t>一般</w:t>
            </w:r>
          </w:p>
        </w:tc>
        <w:tc>
          <w:tcPr>
            <w:tcW w:w="8204" w:type="dxa"/>
            <w:vAlign w:val="top"/>
          </w:tcPr>
          <w:p>
            <w:pPr>
              <w:pStyle w:val="TableText"/>
              <w:ind w:left="90" w:hanging="79"/>
              <w:spacing w:before="131" w:line="254" w:lineRule="auto"/>
              <w:rPr>
                <w:sz w:val="25"/>
                <w:szCs w:val="25"/>
              </w:rPr>
            </w:pPr>
            <w:r>
              <w:rPr>
                <w:sz w:val="25"/>
                <w:szCs w:val="25"/>
                <w:spacing w:val="-2"/>
              </w:rPr>
              <w:t>发现使用的乙类大型医用设备存在安全隐患未立即停止使用、通知检</w:t>
            </w:r>
            <w:r>
              <w:rPr>
                <w:sz w:val="25"/>
                <w:szCs w:val="25"/>
                <w:spacing w:val="-3"/>
              </w:rPr>
              <w:t>修，或</w:t>
            </w:r>
            <w:r>
              <w:rPr>
                <w:sz w:val="25"/>
                <w:szCs w:val="25"/>
              </w:rPr>
              <w:t xml:space="preserve"> </w:t>
            </w:r>
            <w:r>
              <w:rPr>
                <w:sz w:val="25"/>
                <w:szCs w:val="25"/>
              </w:rPr>
              <w:t>者继续使用经检修仍不能达到使用安全标准，经责令改正，逾期不改正的</w:t>
            </w:r>
          </w:p>
        </w:tc>
        <w:tc>
          <w:tcPr>
            <w:tcW w:w="4252" w:type="dxa"/>
            <w:vAlign w:val="top"/>
          </w:tcPr>
          <w:p>
            <w:pPr>
              <w:pStyle w:val="TableText"/>
              <w:ind w:left="117"/>
              <w:spacing w:before="293" w:line="220" w:lineRule="auto"/>
              <w:rPr>
                <w:sz w:val="25"/>
                <w:szCs w:val="25"/>
              </w:rPr>
            </w:pPr>
            <w:r>
              <w:rPr>
                <w:sz w:val="25"/>
                <w:szCs w:val="25"/>
                <w:spacing w:val="1"/>
              </w:rPr>
              <w:t>罚款5万元以上8万元以下</w:t>
            </w:r>
          </w:p>
        </w:tc>
      </w:tr>
      <w:tr>
        <w:trPr>
          <w:trHeight w:val="818" w:hRule="atLeast"/>
        </w:trPr>
        <w:tc>
          <w:tcPr>
            <w:tcW w:w="1414" w:type="dxa"/>
            <w:vAlign w:val="top"/>
          </w:tcPr>
          <w:p>
            <w:pPr>
              <w:pStyle w:val="TableText"/>
              <w:ind w:left="448"/>
              <w:spacing w:before="293" w:line="221" w:lineRule="auto"/>
              <w:rPr>
                <w:sz w:val="25"/>
                <w:szCs w:val="25"/>
              </w:rPr>
            </w:pPr>
            <w:r>
              <w:rPr>
                <w:sz w:val="25"/>
                <w:szCs w:val="25"/>
                <w:b/>
                <w:bCs/>
                <w:spacing w:val="-6"/>
              </w:rPr>
              <w:t>较重</w:t>
            </w:r>
          </w:p>
        </w:tc>
        <w:tc>
          <w:tcPr>
            <w:tcW w:w="8204" w:type="dxa"/>
            <w:vAlign w:val="top"/>
          </w:tcPr>
          <w:p>
            <w:pPr>
              <w:pStyle w:val="TableText"/>
              <w:ind w:left="90" w:hanging="79"/>
              <w:spacing w:before="132" w:line="245" w:lineRule="auto"/>
              <w:rPr>
                <w:sz w:val="25"/>
                <w:szCs w:val="25"/>
              </w:rPr>
            </w:pPr>
            <w:r>
              <w:rPr>
                <w:sz w:val="25"/>
                <w:szCs w:val="25"/>
                <w:spacing w:val="-2"/>
              </w:rPr>
              <w:t>发现使用的甲类大型医用设备存在安全隐患未立即停止使用、通知检</w:t>
            </w:r>
            <w:r>
              <w:rPr>
                <w:sz w:val="25"/>
                <w:szCs w:val="25"/>
                <w:spacing w:val="-3"/>
              </w:rPr>
              <w:t>修，或</w:t>
            </w:r>
            <w:r>
              <w:rPr>
                <w:sz w:val="25"/>
                <w:szCs w:val="25"/>
              </w:rPr>
              <w:t xml:space="preserve"> </w:t>
            </w:r>
            <w:r>
              <w:rPr>
                <w:sz w:val="25"/>
                <w:szCs w:val="25"/>
              </w:rPr>
              <w:t>者继续使用经检修仍不能达到使用安全标准，经责令改正，逾期不改正的</w:t>
            </w:r>
          </w:p>
        </w:tc>
        <w:tc>
          <w:tcPr>
            <w:tcW w:w="4252" w:type="dxa"/>
            <w:vAlign w:val="top"/>
          </w:tcPr>
          <w:p>
            <w:pPr>
              <w:pStyle w:val="TableText"/>
              <w:ind w:left="117"/>
              <w:spacing w:before="294" w:line="220" w:lineRule="auto"/>
              <w:rPr>
                <w:sz w:val="25"/>
                <w:szCs w:val="25"/>
              </w:rPr>
            </w:pPr>
            <w:r>
              <w:rPr>
                <w:sz w:val="25"/>
                <w:szCs w:val="25"/>
              </w:rPr>
              <w:t>罚款8万元以上10万元以下</w:t>
            </w:r>
          </w:p>
        </w:tc>
      </w:tr>
      <w:tr>
        <w:trPr>
          <w:trHeight w:val="3390" w:hRule="atLeast"/>
        </w:trPr>
        <w:tc>
          <w:tcPr>
            <w:tcW w:w="1414"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448"/>
              <w:spacing w:before="81" w:line="220" w:lineRule="auto"/>
              <w:rPr>
                <w:sz w:val="25"/>
                <w:szCs w:val="25"/>
              </w:rPr>
            </w:pPr>
            <w:r>
              <w:rPr>
                <w:sz w:val="25"/>
                <w:szCs w:val="25"/>
                <w:b/>
                <w:bCs/>
                <w:spacing w:val="-6"/>
              </w:rPr>
              <w:t>严重</w:t>
            </w:r>
          </w:p>
        </w:tc>
        <w:tc>
          <w:tcPr>
            <w:tcW w:w="8204" w:type="dxa"/>
            <w:vAlign w:val="top"/>
          </w:tcPr>
          <w:p>
            <w:pPr>
              <w:spacing w:line="289" w:lineRule="auto"/>
              <w:rPr>
                <w:rFonts w:ascii="Arial"/>
                <w:sz w:val="21"/>
              </w:rPr>
            </w:pPr>
            <w:r/>
          </w:p>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pStyle w:val="TableText"/>
              <w:ind w:left="11"/>
              <w:spacing w:before="81" w:line="260" w:lineRule="auto"/>
              <w:jc w:val="both"/>
              <w:rPr>
                <w:sz w:val="25"/>
                <w:szCs w:val="25"/>
              </w:rPr>
            </w:pPr>
            <w:r>
              <w:rPr>
                <w:sz w:val="25"/>
                <w:szCs w:val="25"/>
                <w:spacing w:val="-2"/>
              </w:rPr>
              <w:t>发现使用的大型医用设备存在安全隐患未立即停止使用、通知检修，</w:t>
            </w:r>
            <w:r>
              <w:rPr>
                <w:sz w:val="25"/>
                <w:szCs w:val="25"/>
                <w:spacing w:val="-3"/>
              </w:rPr>
              <w:t>或者继</w:t>
            </w:r>
            <w:r>
              <w:rPr>
                <w:sz w:val="25"/>
                <w:szCs w:val="25"/>
              </w:rPr>
              <w:t xml:space="preserve"> </w:t>
            </w:r>
            <w:r>
              <w:rPr>
                <w:sz w:val="25"/>
                <w:szCs w:val="25"/>
                <w:spacing w:val="-2"/>
              </w:rPr>
              <w:t>续使用经检修仍不能达到使用安全标准，对患者造成伤害或者造成其</w:t>
            </w:r>
            <w:r>
              <w:rPr>
                <w:sz w:val="25"/>
                <w:szCs w:val="25"/>
                <w:spacing w:val="-3"/>
              </w:rPr>
              <w:t>他严重</w:t>
            </w:r>
            <w:r>
              <w:rPr>
                <w:sz w:val="25"/>
                <w:szCs w:val="25"/>
              </w:rPr>
              <w:t xml:space="preserve"> </w:t>
            </w:r>
            <w:r>
              <w:rPr>
                <w:sz w:val="25"/>
                <w:szCs w:val="25"/>
                <w:spacing w:val="19"/>
              </w:rPr>
              <w:t>危害后果的</w:t>
            </w:r>
          </w:p>
        </w:tc>
        <w:tc>
          <w:tcPr>
            <w:tcW w:w="4252" w:type="dxa"/>
            <w:vAlign w:val="top"/>
          </w:tcPr>
          <w:p>
            <w:pPr>
              <w:pStyle w:val="TableText"/>
              <w:ind w:left="117"/>
              <w:spacing w:before="48" w:line="246" w:lineRule="auto"/>
              <w:rPr>
                <w:sz w:val="25"/>
                <w:szCs w:val="25"/>
              </w:rPr>
            </w:pPr>
            <w:r>
              <w:rPr>
                <w:sz w:val="25"/>
                <w:szCs w:val="25"/>
                <w:spacing w:val="-1"/>
              </w:rPr>
              <w:t>处10万元以上30万元以下罚款，责令</w:t>
            </w:r>
            <w:r>
              <w:rPr>
                <w:sz w:val="25"/>
                <w:szCs w:val="25"/>
              </w:rPr>
              <w:t xml:space="preserve">  </w:t>
            </w:r>
            <w:r>
              <w:rPr>
                <w:sz w:val="25"/>
                <w:szCs w:val="25"/>
                <w:spacing w:val="-9"/>
              </w:rPr>
              <w:t>暂停相关医疗器械使用活动，直至由原</w:t>
            </w:r>
            <w:r>
              <w:rPr>
                <w:sz w:val="25"/>
                <w:szCs w:val="25"/>
                <w:spacing w:val="13"/>
              </w:rPr>
              <w:t xml:space="preserve"> </w:t>
            </w:r>
            <w:r>
              <w:rPr>
                <w:sz w:val="25"/>
                <w:szCs w:val="25"/>
                <w:spacing w:val="-9"/>
              </w:rPr>
              <w:t>发证部门吊销执业许可证，依法责令相</w:t>
            </w:r>
            <w:r>
              <w:rPr>
                <w:sz w:val="25"/>
                <w:szCs w:val="25"/>
                <w:spacing w:val="13"/>
              </w:rPr>
              <w:t xml:space="preserve"> </w:t>
            </w:r>
            <w:r>
              <w:rPr>
                <w:sz w:val="25"/>
                <w:szCs w:val="25"/>
                <w:spacing w:val="-1"/>
              </w:rPr>
              <w:t>关责任人员暂停6个月以上1年以下执</w:t>
            </w:r>
            <w:r>
              <w:rPr>
                <w:sz w:val="25"/>
                <w:szCs w:val="25"/>
              </w:rPr>
              <w:t xml:space="preserve">  </w:t>
            </w:r>
            <w:r>
              <w:rPr>
                <w:sz w:val="25"/>
                <w:szCs w:val="25"/>
                <w:spacing w:val="-9"/>
              </w:rPr>
              <w:t>业活动，直至由原发证部门吊销相关人</w:t>
            </w:r>
            <w:r>
              <w:rPr>
                <w:sz w:val="25"/>
                <w:szCs w:val="25"/>
                <w:spacing w:val="4"/>
              </w:rPr>
              <w:t xml:space="preserve"> </w:t>
            </w:r>
            <w:r>
              <w:rPr>
                <w:sz w:val="25"/>
                <w:szCs w:val="25"/>
                <w:spacing w:val="-1"/>
              </w:rPr>
              <w:t>员执业证书，对违法单位的法定代表</w:t>
            </w:r>
            <w:r>
              <w:rPr>
                <w:sz w:val="25"/>
                <w:szCs w:val="25"/>
              </w:rPr>
              <w:t xml:space="preserve">  </w:t>
            </w:r>
            <w:r>
              <w:rPr>
                <w:sz w:val="25"/>
                <w:szCs w:val="25"/>
                <w:spacing w:val="-8"/>
              </w:rPr>
              <w:t>人、主要负责人、直接负责的主管人员</w:t>
            </w:r>
            <w:r>
              <w:rPr>
                <w:sz w:val="25"/>
                <w:szCs w:val="25"/>
                <w:spacing w:val="9"/>
              </w:rPr>
              <w:t xml:space="preserve"> </w:t>
            </w:r>
            <w:r>
              <w:rPr>
                <w:sz w:val="25"/>
                <w:szCs w:val="25"/>
                <w:spacing w:val="-9"/>
              </w:rPr>
              <w:t>和其他责任人员，没收违法行为发生期</w:t>
            </w:r>
            <w:r>
              <w:rPr>
                <w:sz w:val="25"/>
                <w:szCs w:val="25"/>
                <w:spacing w:val="9"/>
              </w:rPr>
              <w:t xml:space="preserve"> </w:t>
            </w:r>
            <w:r>
              <w:rPr>
                <w:sz w:val="25"/>
                <w:szCs w:val="25"/>
                <w:spacing w:val="-2"/>
              </w:rPr>
              <w:t>间自本单位所获收入，并处所获收入</w:t>
            </w:r>
            <w:r>
              <w:rPr>
                <w:sz w:val="25"/>
                <w:szCs w:val="25"/>
                <w:spacing w:val="7"/>
              </w:rPr>
              <w:t xml:space="preserve">  </w:t>
            </w:r>
            <w:r>
              <w:rPr>
                <w:sz w:val="25"/>
                <w:szCs w:val="25"/>
                <w:spacing w:val="-1"/>
              </w:rPr>
              <w:t>30%以上3倍以下罚款，依法给予处分</w:t>
            </w:r>
          </w:p>
        </w:tc>
      </w:tr>
    </w:tbl>
    <w:p>
      <w:pPr>
        <w:pStyle w:val="BodyText"/>
        <w:spacing w:line="298" w:lineRule="auto"/>
        <w:rPr/>
      </w:pPr>
      <w:r/>
    </w:p>
    <w:p>
      <w:pPr>
        <w:pStyle w:val="BodyText"/>
        <w:spacing w:line="298" w:lineRule="auto"/>
        <w:rPr/>
      </w:pPr>
      <w:r/>
    </w:p>
    <w:p>
      <w:pPr>
        <w:pStyle w:val="BodyText"/>
        <w:spacing w:line="298" w:lineRule="auto"/>
        <w:rPr/>
      </w:pPr>
      <w:r/>
    </w:p>
    <w:p>
      <w:pPr>
        <w:pStyle w:val="BodyText"/>
        <w:spacing w:line="298" w:lineRule="auto"/>
        <w:rPr/>
      </w:pPr>
      <w:r/>
    </w:p>
    <w:p>
      <w:pPr>
        <w:ind w:left="6354"/>
        <w:spacing w:before="107"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—697—</w:t>
      </w:r>
    </w:p>
    <w:p>
      <w:pPr>
        <w:spacing w:line="188" w:lineRule="auto"/>
        <w:sectPr>
          <w:pgSz w:w="16830" w:h="11900"/>
          <w:pgMar w:top="1011" w:right="1470" w:bottom="400" w:left="1434" w:header="0" w:footer="0" w:gutter="0"/>
        </w:sectPr>
        <w:rPr>
          <w:rFonts w:ascii="Times New Roman" w:hAnsi="Times New Roman" w:eastAsia="Times New Roman" w:cs="Times New Roman"/>
          <w:sz w:val="37"/>
          <w:szCs w:val="37"/>
        </w:rPr>
      </w:pPr>
    </w:p>
    <w:p>
      <w:pPr>
        <w:pStyle w:val="BodyText"/>
        <w:spacing w:line="261" w:lineRule="auto"/>
        <w:rPr/>
      </w:pPr>
      <w:r/>
    </w:p>
    <w:p>
      <w:pPr>
        <w:pStyle w:val="BodyText"/>
        <w:spacing w:line="262" w:lineRule="auto"/>
        <w:rPr/>
      </w:pPr>
      <w:r/>
    </w:p>
    <w:p>
      <w:pPr>
        <w:pStyle w:val="BodyText"/>
        <w:spacing w:line="262" w:lineRule="auto"/>
        <w:rPr/>
      </w:pPr>
      <w:r/>
    </w:p>
    <w:p>
      <w:pPr>
        <w:ind w:left="694"/>
        <w:spacing w:before="100" w:line="220" w:lineRule="auto"/>
        <w:rPr>
          <w:rFonts w:ascii="FangSong" w:hAnsi="FangSong" w:eastAsia="FangSong" w:cs="FangSong"/>
          <w:sz w:val="31"/>
          <w:szCs w:val="31"/>
        </w:rPr>
      </w:pPr>
      <w:bookmarkStart w:name="bookmark1241" w:id="619"/>
      <w:bookmarkEnd w:id="619"/>
      <w:r>
        <w:rPr>
          <w:rFonts w:ascii="FangSong" w:hAnsi="FangSong" w:eastAsia="FangSong" w:cs="FangSong"/>
          <w:sz w:val="31"/>
          <w:szCs w:val="31"/>
          <w:b/>
          <w:bCs/>
          <w:spacing w:val="11"/>
        </w:rPr>
        <w:t>第五百八十九条医疗器械使用单位违规使用大型医用设备，不能保障医疗质量安全的</w:t>
      </w:r>
    </w:p>
    <w:p>
      <w:pPr>
        <w:ind w:left="680"/>
        <w:spacing w:before="107" w:line="222" w:lineRule="auto"/>
        <w:rPr>
          <w:rFonts w:ascii="FangSong" w:hAnsi="FangSong" w:eastAsia="FangSong" w:cs="FangSong"/>
          <w:sz w:val="27"/>
          <w:szCs w:val="27"/>
        </w:rPr>
      </w:pPr>
      <w:r>
        <w:rPr>
          <w:rFonts w:ascii="FangSong" w:hAnsi="FangSong" w:eastAsia="FangSong" w:cs="FangSong"/>
          <w:sz w:val="27"/>
          <w:szCs w:val="27"/>
          <w:spacing w:val="29"/>
        </w:rPr>
        <w:t>法律依据：</w:t>
      </w:r>
    </w:p>
    <w:p>
      <w:pPr>
        <w:ind w:left="40" w:firstLine="625"/>
        <w:spacing w:before="82" w:line="262" w:lineRule="auto"/>
        <w:rPr>
          <w:rFonts w:ascii="FangSong" w:hAnsi="FangSong" w:eastAsia="FangSong" w:cs="FangSong"/>
          <w:sz w:val="31"/>
          <w:szCs w:val="31"/>
        </w:rPr>
      </w:pPr>
      <w:r>
        <w:rPr>
          <w:rFonts w:ascii="FangSong" w:hAnsi="FangSong" w:eastAsia="FangSong" w:cs="FangSong"/>
          <w:sz w:val="31"/>
          <w:szCs w:val="31"/>
          <w:spacing w:val="14"/>
        </w:rPr>
        <w:t>《医疗器械监督管理条例》第九十条第(五)项</w:t>
      </w:r>
      <w:r>
        <w:rPr>
          <w:rFonts w:ascii="FangSong" w:hAnsi="FangSong" w:eastAsia="FangSong" w:cs="FangSong"/>
          <w:sz w:val="31"/>
          <w:szCs w:val="31"/>
          <w:spacing w:val="14"/>
        </w:rPr>
        <w:t xml:space="preserve">  </w:t>
      </w:r>
      <w:r>
        <w:rPr>
          <w:rFonts w:ascii="FangSong" w:hAnsi="FangSong" w:eastAsia="FangSong" w:cs="FangSong"/>
          <w:sz w:val="31"/>
          <w:szCs w:val="31"/>
          <w:spacing w:val="14"/>
        </w:rPr>
        <w:t>有下列情形之一</w:t>
      </w:r>
      <w:r>
        <w:rPr>
          <w:rFonts w:ascii="FangSong" w:hAnsi="FangSong" w:eastAsia="FangSong" w:cs="FangSong"/>
          <w:sz w:val="31"/>
          <w:szCs w:val="31"/>
          <w:spacing w:val="13"/>
        </w:rPr>
        <w:t>的，由县级以上人民政府卫生</w:t>
      </w:r>
      <w:r>
        <w:rPr>
          <w:rFonts w:ascii="FangSong" w:hAnsi="FangSong" w:eastAsia="FangSong" w:cs="FangSong"/>
          <w:sz w:val="31"/>
          <w:szCs w:val="31"/>
        </w:rPr>
        <w:t xml:space="preserve"> </w:t>
      </w:r>
      <w:r>
        <w:rPr>
          <w:rFonts w:ascii="FangSong" w:hAnsi="FangSong" w:eastAsia="FangSong" w:cs="FangSong"/>
          <w:sz w:val="31"/>
          <w:szCs w:val="31"/>
          <w:spacing w:val="18"/>
        </w:rPr>
        <w:t>主管部门责令改正，给予警告；拒不改正的，处5万元以上10万元以下罚款；情节严重的，处10</w:t>
      </w:r>
      <w:r>
        <w:rPr>
          <w:rFonts w:ascii="FangSong" w:hAnsi="FangSong" w:eastAsia="FangSong" w:cs="FangSong"/>
          <w:sz w:val="31"/>
          <w:szCs w:val="31"/>
          <w:spacing w:val="2"/>
        </w:rPr>
        <w:t xml:space="preserve">   </w:t>
      </w:r>
      <w:r>
        <w:rPr>
          <w:rFonts w:ascii="FangSong" w:hAnsi="FangSong" w:eastAsia="FangSong" w:cs="FangSong"/>
          <w:sz w:val="31"/>
          <w:szCs w:val="31"/>
          <w:spacing w:val="12"/>
        </w:rPr>
        <w:t>万元以上30万元以下罚款，责令暂停相关医疗器械使用活动，直至由原发证部门吊销执业</w:t>
      </w:r>
      <w:r>
        <w:rPr>
          <w:rFonts w:ascii="FangSong" w:hAnsi="FangSong" w:eastAsia="FangSong" w:cs="FangSong"/>
          <w:sz w:val="31"/>
          <w:szCs w:val="31"/>
          <w:spacing w:val="11"/>
        </w:rPr>
        <w:t>许可证，</w:t>
      </w:r>
      <w:r>
        <w:rPr>
          <w:rFonts w:ascii="FangSong" w:hAnsi="FangSong" w:eastAsia="FangSong" w:cs="FangSong"/>
          <w:sz w:val="31"/>
          <w:szCs w:val="31"/>
        </w:rPr>
        <w:t xml:space="preserve">  </w:t>
      </w:r>
      <w:r>
        <w:rPr>
          <w:rFonts w:ascii="FangSong" w:hAnsi="FangSong" w:eastAsia="FangSong" w:cs="FangSong"/>
          <w:sz w:val="31"/>
          <w:szCs w:val="31"/>
          <w:spacing w:val="9"/>
        </w:rPr>
        <w:t>依法责令相关责任人员暂停6个月以上1年以下执业活动，直至由原发证部门吊销相关人员执业证书，</w:t>
      </w:r>
      <w:r>
        <w:rPr>
          <w:rFonts w:ascii="FangSong" w:hAnsi="FangSong" w:eastAsia="FangSong" w:cs="FangSong"/>
          <w:sz w:val="31"/>
          <w:szCs w:val="31"/>
          <w:spacing w:val="8"/>
        </w:rPr>
        <w:t xml:space="preserve"> </w:t>
      </w:r>
      <w:r>
        <w:rPr>
          <w:rFonts w:ascii="FangSong" w:hAnsi="FangSong" w:eastAsia="FangSong" w:cs="FangSong"/>
          <w:sz w:val="31"/>
          <w:szCs w:val="31"/>
          <w:spacing w:val="7"/>
        </w:rPr>
        <w:t>对违法单位的法定代表人、主要负责人、直接负责的主管人员和其他</w:t>
      </w:r>
      <w:r>
        <w:rPr>
          <w:rFonts w:ascii="FangSong" w:hAnsi="FangSong" w:eastAsia="FangSong" w:cs="FangSong"/>
          <w:sz w:val="31"/>
          <w:szCs w:val="31"/>
          <w:spacing w:val="6"/>
        </w:rPr>
        <w:t>责任人员，没收违法行为发生期</w:t>
      </w:r>
      <w:r>
        <w:rPr>
          <w:rFonts w:ascii="FangSong" w:hAnsi="FangSong" w:eastAsia="FangSong" w:cs="FangSong"/>
          <w:sz w:val="31"/>
          <w:szCs w:val="31"/>
        </w:rPr>
        <w:t xml:space="preserve"> </w:t>
      </w:r>
      <w:r>
        <w:rPr>
          <w:rFonts w:ascii="FangSong" w:hAnsi="FangSong" w:eastAsia="FangSong" w:cs="FangSong"/>
          <w:sz w:val="31"/>
          <w:szCs w:val="31"/>
          <w:spacing w:val="14"/>
        </w:rPr>
        <w:t>间自本单位所获收入，并处所获收入30%以上3倍以下罚款，依</w:t>
      </w:r>
      <w:r>
        <w:rPr>
          <w:rFonts w:ascii="FangSong" w:hAnsi="FangSong" w:eastAsia="FangSong" w:cs="FangSong"/>
          <w:sz w:val="31"/>
          <w:szCs w:val="31"/>
          <w:spacing w:val="13"/>
        </w:rPr>
        <w:t>法给予处分：</w:t>
      </w:r>
    </w:p>
    <w:p>
      <w:pPr>
        <w:ind w:left="830"/>
        <w:spacing w:before="1" w:line="221" w:lineRule="auto"/>
        <w:rPr>
          <w:rFonts w:ascii="FangSong" w:hAnsi="FangSong" w:eastAsia="FangSong" w:cs="FangSong"/>
          <w:sz w:val="31"/>
          <w:szCs w:val="31"/>
        </w:rPr>
      </w:pPr>
      <w:r>
        <w:rPr>
          <w:rFonts w:ascii="FangSong" w:hAnsi="FangSong" w:eastAsia="FangSong" w:cs="FangSong"/>
          <w:sz w:val="31"/>
          <w:szCs w:val="31"/>
          <w:spacing w:val="13"/>
        </w:rPr>
        <w:t>(五)医疗器械使用单位违规使用大型医用设备，不能保障医疗</w:t>
      </w:r>
      <w:r>
        <w:rPr>
          <w:rFonts w:ascii="FangSong" w:hAnsi="FangSong" w:eastAsia="FangSong" w:cs="FangSong"/>
          <w:sz w:val="31"/>
          <w:szCs w:val="31"/>
          <w:spacing w:val="12"/>
        </w:rPr>
        <w:t>质量安全。</w:t>
      </w:r>
    </w:p>
    <w:p>
      <w:pPr>
        <w:ind w:left="6444"/>
        <w:spacing w:before="220" w:line="214" w:lineRule="auto"/>
        <w:rPr>
          <w:rFonts w:ascii="SimSun" w:hAnsi="SimSun" w:eastAsia="SimSun" w:cs="SimSun"/>
          <w:sz w:val="29"/>
          <w:szCs w:val="29"/>
        </w:rPr>
      </w:pPr>
      <w:r>
        <w:rPr>
          <w:rFonts w:ascii="SimSun" w:hAnsi="SimSun" w:eastAsia="SimSun" w:cs="SimSun"/>
          <w:sz w:val="29"/>
          <w:szCs w:val="29"/>
          <w:b/>
          <w:bCs/>
          <w:spacing w:val="-6"/>
        </w:rPr>
        <w:t>裁量标准</w:t>
      </w:r>
    </w:p>
    <w:tbl>
      <w:tblPr>
        <w:tblStyle w:val="TableNormal"/>
        <w:tblW w:w="13860" w:type="dxa"/>
        <w:tblInd w:w="4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4"/>
        <w:gridCol w:w="7934"/>
        <w:gridCol w:w="4522"/>
      </w:tblGrid>
      <w:tr>
        <w:trPr>
          <w:trHeight w:val="433" w:hRule="atLeast"/>
        </w:trPr>
        <w:tc>
          <w:tcPr>
            <w:tcW w:w="1404" w:type="dxa"/>
            <w:vAlign w:val="top"/>
          </w:tcPr>
          <w:p>
            <w:pPr>
              <w:pStyle w:val="TableText"/>
              <w:ind w:left="198"/>
              <w:spacing w:before="92" w:line="220" w:lineRule="auto"/>
              <w:rPr>
                <w:sz w:val="25"/>
                <w:szCs w:val="25"/>
              </w:rPr>
            </w:pPr>
            <w:r>
              <w:rPr>
                <w:sz w:val="25"/>
                <w:szCs w:val="25"/>
                <w:b/>
                <w:bCs/>
                <w:spacing w:val="-5"/>
              </w:rPr>
              <w:t>违法程度</w:t>
            </w:r>
          </w:p>
        </w:tc>
        <w:tc>
          <w:tcPr>
            <w:tcW w:w="7934" w:type="dxa"/>
            <w:vAlign w:val="top"/>
          </w:tcPr>
          <w:p>
            <w:pPr>
              <w:pStyle w:val="TableText"/>
              <w:ind w:left="3404"/>
              <w:spacing w:before="92" w:line="220" w:lineRule="auto"/>
              <w:rPr>
                <w:sz w:val="25"/>
                <w:szCs w:val="25"/>
              </w:rPr>
            </w:pPr>
            <w:r>
              <w:rPr>
                <w:sz w:val="25"/>
                <w:szCs w:val="25"/>
                <w:b/>
                <w:bCs/>
                <w:spacing w:val="-5"/>
              </w:rPr>
              <w:t>情节后果</w:t>
            </w:r>
          </w:p>
        </w:tc>
        <w:tc>
          <w:tcPr>
            <w:tcW w:w="4522" w:type="dxa"/>
            <w:vAlign w:val="top"/>
          </w:tcPr>
          <w:p>
            <w:pPr>
              <w:pStyle w:val="TableText"/>
              <w:ind w:left="1690"/>
              <w:spacing w:before="89" w:line="218" w:lineRule="auto"/>
              <w:rPr>
                <w:sz w:val="25"/>
                <w:szCs w:val="25"/>
              </w:rPr>
            </w:pPr>
            <w:r>
              <w:rPr>
                <w:sz w:val="25"/>
                <w:szCs w:val="25"/>
                <w:b/>
                <w:bCs/>
                <w:spacing w:val="-5"/>
              </w:rPr>
              <w:t>裁量幅度</w:t>
            </w:r>
          </w:p>
        </w:tc>
      </w:tr>
      <w:tr>
        <w:trPr>
          <w:trHeight w:val="497" w:hRule="atLeast"/>
        </w:trPr>
        <w:tc>
          <w:tcPr>
            <w:tcW w:w="1404" w:type="dxa"/>
            <w:vAlign w:val="top"/>
            <w:vMerge w:val="restart"/>
            <w:tcBorders>
              <w:bottom w:val="nil"/>
            </w:tcBorders>
          </w:tcPr>
          <w:p>
            <w:pPr>
              <w:spacing w:line="301" w:lineRule="auto"/>
              <w:rPr>
                <w:rFonts w:ascii="Arial"/>
                <w:sz w:val="21"/>
              </w:rPr>
            </w:pPr>
            <w:r/>
          </w:p>
          <w:p>
            <w:pPr>
              <w:spacing w:line="302" w:lineRule="auto"/>
              <w:rPr>
                <w:rFonts w:ascii="Arial"/>
                <w:sz w:val="21"/>
              </w:rPr>
            </w:pPr>
            <w:r/>
          </w:p>
          <w:p>
            <w:pPr>
              <w:pStyle w:val="TableText"/>
              <w:ind w:left="448"/>
              <w:spacing w:before="82" w:line="219" w:lineRule="auto"/>
              <w:rPr>
                <w:sz w:val="25"/>
                <w:szCs w:val="25"/>
              </w:rPr>
            </w:pPr>
            <w:r>
              <w:rPr>
                <w:sz w:val="25"/>
                <w:szCs w:val="25"/>
                <w:b/>
                <w:bCs/>
                <w:spacing w:val="-6"/>
              </w:rPr>
              <w:t>较轻</w:t>
            </w:r>
          </w:p>
        </w:tc>
        <w:tc>
          <w:tcPr>
            <w:tcW w:w="7934" w:type="dxa"/>
            <w:vAlign w:val="top"/>
          </w:tcPr>
          <w:p>
            <w:pPr>
              <w:pStyle w:val="TableText"/>
              <w:ind w:left="111"/>
              <w:spacing w:before="130" w:line="219" w:lineRule="auto"/>
              <w:rPr>
                <w:sz w:val="25"/>
                <w:szCs w:val="25"/>
              </w:rPr>
            </w:pPr>
            <w:r>
              <w:rPr>
                <w:sz w:val="25"/>
                <w:szCs w:val="25"/>
              </w:rPr>
              <w:t>未按照产品说明书、技术操作规范等要求使用乙类大型医用设备的</w:t>
            </w:r>
          </w:p>
        </w:tc>
        <w:tc>
          <w:tcPr>
            <w:tcW w:w="4522" w:type="dxa"/>
            <w:vAlign w:val="top"/>
            <w:vMerge w:val="restart"/>
            <w:tcBorders>
              <w:bottom w:val="nil"/>
            </w:tcBorders>
          </w:tcPr>
          <w:p>
            <w:pPr>
              <w:spacing w:line="302" w:lineRule="auto"/>
              <w:rPr>
                <w:rFonts w:ascii="Arial"/>
                <w:sz w:val="21"/>
              </w:rPr>
            </w:pPr>
            <w:r/>
          </w:p>
          <w:p>
            <w:pPr>
              <w:spacing w:line="303" w:lineRule="auto"/>
              <w:rPr>
                <w:rFonts w:ascii="Arial"/>
                <w:sz w:val="21"/>
              </w:rPr>
            </w:pPr>
            <w:r/>
          </w:p>
          <w:p>
            <w:pPr>
              <w:pStyle w:val="TableText"/>
              <w:ind w:left="96"/>
              <w:spacing w:before="81" w:line="218" w:lineRule="auto"/>
              <w:rPr>
                <w:sz w:val="25"/>
                <w:szCs w:val="25"/>
              </w:rPr>
            </w:pPr>
            <w:r>
              <w:rPr>
                <w:sz w:val="25"/>
                <w:szCs w:val="25"/>
                <w:spacing w:val="1"/>
              </w:rPr>
              <w:t>责令改正，给予警告</w:t>
            </w:r>
          </w:p>
        </w:tc>
      </w:tr>
      <w:tr>
        <w:trPr>
          <w:trHeight w:val="438" w:hRule="atLeast"/>
        </w:trPr>
        <w:tc>
          <w:tcPr>
            <w:tcW w:w="1404" w:type="dxa"/>
            <w:vAlign w:val="top"/>
            <w:vMerge w:val="continue"/>
            <w:tcBorders>
              <w:top w:val="nil"/>
              <w:bottom w:val="nil"/>
            </w:tcBorders>
          </w:tcPr>
          <w:p>
            <w:pPr>
              <w:rPr>
                <w:rFonts w:ascii="Arial"/>
                <w:sz w:val="21"/>
              </w:rPr>
            </w:pPr>
            <w:r/>
          </w:p>
        </w:tc>
        <w:tc>
          <w:tcPr>
            <w:tcW w:w="7934" w:type="dxa"/>
            <w:vAlign w:val="top"/>
          </w:tcPr>
          <w:p>
            <w:pPr>
              <w:pStyle w:val="TableText"/>
              <w:ind w:left="111"/>
              <w:spacing w:before="103" w:line="219" w:lineRule="auto"/>
              <w:rPr>
                <w:sz w:val="25"/>
                <w:szCs w:val="25"/>
              </w:rPr>
            </w:pPr>
            <w:r>
              <w:rPr>
                <w:sz w:val="25"/>
                <w:szCs w:val="25"/>
              </w:rPr>
              <w:t>未按照产品说明书、技术操作规范等要求使用乙类大型医用设备的</w:t>
            </w:r>
          </w:p>
        </w:tc>
        <w:tc>
          <w:tcPr>
            <w:tcW w:w="4522" w:type="dxa"/>
            <w:vAlign w:val="top"/>
            <w:vMerge w:val="continue"/>
            <w:tcBorders>
              <w:top w:val="nil"/>
              <w:bottom w:val="nil"/>
            </w:tcBorders>
          </w:tcPr>
          <w:p>
            <w:pPr>
              <w:rPr>
                <w:rFonts w:ascii="Arial"/>
                <w:sz w:val="21"/>
              </w:rPr>
            </w:pPr>
            <w:r/>
          </w:p>
        </w:tc>
      </w:tr>
      <w:tr>
        <w:trPr>
          <w:trHeight w:val="672" w:hRule="atLeast"/>
        </w:trPr>
        <w:tc>
          <w:tcPr>
            <w:tcW w:w="1404" w:type="dxa"/>
            <w:vAlign w:val="top"/>
            <w:vMerge w:val="continue"/>
            <w:tcBorders>
              <w:top w:val="nil"/>
            </w:tcBorders>
          </w:tcPr>
          <w:p>
            <w:pPr>
              <w:rPr>
                <w:rFonts w:ascii="Arial"/>
                <w:sz w:val="21"/>
              </w:rPr>
            </w:pPr>
            <w:r/>
          </w:p>
        </w:tc>
        <w:tc>
          <w:tcPr>
            <w:tcW w:w="7934" w:type="dxa"/>
            <w:vAlign w:val="top"/>
          </w:tcPr>
          <w:p>
            <w:pPr>
              <w:pStyle w:val="TableText"/>
              <w:ind w:left="111" w:right="8"/>
              <w:spacing w:before="47" w:line="227" w:lineRule="auto"/>
              <w:rPr>
                <w:sz w:val="25"/>
                <w:szCs w:val="25"/>
              </w:rPr>
            </w:pPr>
            <w:r>
              <w:rPr>
                <w:sz w:val="25"/>
                <w:szCs w:val="25"/>
                <w:spacing w:val="2"/>
              </w:rPr>
              <w:t>聘用未经上岗技术培训的人员(包括医生、操作</w:t>
            </w:r>
            <w:r>
              <w:rPr>
                <w:sz w:val="25"/>
                <w:szCs w:val="25"/>
                <w:spacing w:val="1"/>
              </w:rPr>
              <w:t>人员、工程技术人员等)</w:t>
            </w:r>
            <w:r>
              <w:rPr>
                <w:sz w:val="25"/>
                <w:szCs w:val="25"/>
              </w:rPr>
              <w:t xml:space="preserve"> </w:t>
            </w:r>
            <w:r>
              <w:rPr>
                <w:sz w:val="25"/>
                <w:szCs w:val="25"/>
                <w:spacing w:val="1"/>
              </w:rPr>
              <w:t>操作、使用大型医用设备的</w:t>
            </w:r>
          </w:p>
        </w:tc>
        <w:tc>
          <w:tcPr>
            <w:tcW w:w="4522" w:type="dxa"/>
            <w:vAlign w:val="top"/>
            <w:vMerge w:val="continue"/>
            <w:tcBorders>
              <w:top w:val="nil"/>
            </w:tcBorders>
          </w:tcPr>
          <w:p>
            <w:pPr>
              <w:rPr>
                <w:rFonts w:ascii="Arial"/>
                <w:sz w:val="21"/>
              </w:rPr>
            </w:pPr>
            <w:r/>
          </w:p>
        </w:tc>
      </w:tr>
    </w:tbl>
    <w:p>
      <w:pPr>
        <w:pStyle w:val="BodyText"/>
        <w:rPr/>
      </w:pPr>
      <w:r/>
    </w:p>
    <w:p>
      <w:pPr>
        <w:spacing w:line="60" w:lineRule="exact"/>
        <w:rPr/>
      </w:pPr>
      <w:r/>
    </w:p>
    <w:p>
      <w:pPr>
        <w:spacing w:line="60" w:lineRule="exact"/>
        <w:sectPr>
          <w:footerReference w:type="default" r:id="rId613"/>
          <w:pgSz w:w="16830" w:h="11900"/>
          <w:pgMar w:top="1011" w:right="1335" w:bottom="1108" w:left="1399" w:header="0" w:footer="775" w:gutter="0"/>
          <w:cols w:equalWidth="0" w:num="1">
            <w:col w:w="14095" w:space="0"/>
          </w:cols>
        </w:sectPr>
        <w:rPr/>
      </w:pPr>
    </w:p>
    <w:p>
      <w:pPr>
        <w:ind w:left="523"/>
        <w:spacing w:before="141" w:line="224" w:lineRule="auto"/>
        <w:rPr>
          <w:rFonts w:ascii="FangSong" w:hAnsi="FangSong" w:eastAsia="FangSong" w:cs="FangSong"/>
          <w:sz w:val="24"/>
          <w:szCs w:val="24"/>
        </w:rPr>
      </w:pPr>
      <w:r>
        <w:drawing>
          <wp:anchor distT="0" distB="0" distL="0" distR="0" simplePos="0" relativeHeight="252363776" behindDoc="0" locked="0" layoutInCell="1" allowOverlap="1">
            <wp:simplePos x="0" y="0"/>
            <wp:positionH relativeFrom="column">
              <wp:posOffset>0</wp:posOffset>
            </wp:positionH>
            <wp:positionV relativeFrom="paragraph">
              <wp:posOffset>593592</wp:posOffset>
            </wp:positionV>
            <wp:extent cx="8858281" cy="6350"/>
            <wp:effectExtent l="0" t="0" r="0" b="0"/>
            <wp:wrapNone/>
            <wp:docPr id="4" name="IM 4"/>
            <wp:cNvGraphicFramePr/>
            <a:graphic>
              <a:graphicData uri="http://schemas.openxmlformats.org/drawingml/2006/picture">
                <pic:pic>
                  <pic:nvPicPr>
                    <pic:cNvPr id="4" name="IM 4"/>
                    <pic:cNvPicPr/>
                  </pic:nvPicPr>
                  <pic:blipFill>
                    <a:blip r:embed="rId614"/>
                    <a:stretch>
                      <a:fillRect/>
                    </a:stretch>
                  </pic:blipFill>
                  <pic:spPr>
                    <a:xfrm rot="0">
                      <a:off x="0" y="0"/>
                      <a:ext cx="8858281" cy="6350"/>
                    </a:xfrm>
                    <a:prstGeom prst="rect">
                      <a:avLst/>
                    </a:prstGeom>
                  </pic:spPr>
                </pic:pic>
              </a:graphicData>
            </a:graphic>
          </wp:anchor>
        </w:drawing>
      </w:r>
      <w:r>
        <w:rPr>
          <w:rFonts w:ascii="FangSong" w:hAnsi="FangSong" w:eastAsia="FangSong" w:cs="FangSong"/>
          <w:sz w:val="24"/>
          <w:szCs w:val="24"/>
          <w:b/>
          <w:bCs/>
          <w:spacing w:val="-3"/>
        </w:rPr>
        <w:t>一般</w:t>
      </w:r>
    </w:p>
    <w:p>
      <w:pPr>
        <w:pStyle w:val="BodyText"/>
        <w:spacing w:line="14" w:lineRule="auto"/>
        <w:rPr>
          <w:sz w:val="2"/>
        </w:rPr>
      </w:pPr>
      <w:r>
        <w:rPr>
          <w:sz w:val="2"/>
          <w:szCs w:val="2"/>
        </w:rPr>
        <w:br w:type="column"/>
      </w:r>
    </w:p>
    <w:p>
      <w:pPr>
        <w:ind w:left="20" w:right="135" w:hanging="20"/>
        <w:spacing w:before="46" w:line="231" w:lineRule="auto"/>
        <w:rPr>
          <w:rFonts w:ascii="FangSong" w:hAnsi="FangSong" w:eastAsia="FangSong" w:cs="FangSong"/>
          <w:sz w:val="24"/>
          <w:szCs w:val="24"/>
        </w:rPr>
      </w:pPr>
      <w:r>
        <w:rPr>
          <w:rFonts w:ascii="FangSong" w:hAnsi="FangSong" w:eastAsia="FangSong" w:cs="FangSong"/>
          <w:sz w:val="24"/>
          <w:szCs w:val="24"/>
          <w:spacing w:val="1"/>
        </w:rPr>
        <w:t>未按照产品说明书、技术操作规范等要求使用乙类大型</w:t>
      </w:r>
      <w:r>
        <w:rPr>
          <w:rFonts w:ascii="FangSong" w:hAnsi="FangSong" w:eastAsia="FangSong" w:cs="FangSong"/>
          <w:sz w:val="24"/>
          <w:szCs w:val="24"/>
        </w:rPr>
        <w:t>医用设备，经责令</w:t>
      </w:r>
      <w:r>
        <w:rPr>
          <w:rFonts w:ascii="FangSong" w:hAnsi="FangSong" w:eastAsia="FangSong" w:cs="FangSong"/>
          <w:sz w:val="24"/>
          <w:szCs w:val="24"/>
        </w:rPr>
        <w:t xml:space="preserve"> </w:t>
      </w:r>
      <w:r>
        <w:rPr>
          <w:rFonts w:ascii="FangSong" w:hAnsi="FangSong" w:eastAsia="FangSong" w:cs="FangSong"/>
          <w:sz w:val="24"/>
          <w:szCs w:val="24"/>
          <w:spacing w:val="-3"/>
        </w:rPr>
        <w:t>改正，逾期不改正的</w:t>
      </w:r>
    </w:p>
    <w:p>
      <w:pPr>
        <w:pStyle w:val="BodyText"/>
        <w:spacing w:line="14" w:lineRule="auto"/>
        <w:rPr>
          <w:sz w:val="2"/>
        </w:rPr>
      </w:pPr>
      <w:r>
        <w:rPr>
          <w:sz w:val="2"/>
          <w:szCs w:val="2"/>
        </w:rPr>
        <w:br w:type="column"/>
      </w:r>
    </w:p>
    <w:p>
      <w:pPr>
        <w:spacing w:before="211" w:line="222" w:lineRule="auto"/>
        <w:rPr>
          <w:rFonts w:ascii="FangSong" w:hAnsi="FangSong" w:eastAsia="FangSong" w:cs="FangSong"/>
          <w:sz w:val="24"/>
          <w:szCs w:val="24"/>
        </w:rPr>
      </w:pPr>
      <w:r>
        <w:rPr>
          <w:rFonts w:ascii="FangSong" w:hAnsi="FangSong" w:eastAsia="FangSong" w:cs="FangSong"/>
          <w:sz w:val="24"/>
          <w:szCs w:val="24"/>
          <w:spacing w:val="19"/>
        </w:rPr>
        <w:t>罚款5万元以上8万元以下</w:t>
      </w:r>
    </w:p>
    <w:p>
      <w:pPr>
        <w:spacing w:line="222" w:lineRule="auto"/>
        <w:sectPr>
          <w:type w:val="continuous"/>
          <w:pgSz w:w="16830" w:h="11900"/>
          <w:pgMar w:top="1011" w:right="1335" w:bottom="1108" w:left="1399" w:header="0" w:footer="775" w:gutter="0"/>
          <w:cols w:equalWidth="0" w:num="3">
            <w:col w:w="1471" w:space="100"/>
            <w:col w:w="7841" w:space="100"/>
            <w:col w:w="4585" w:space="0"/>
          </w:cols>
        </w:sectPr>
        <w:rPr>
          <w:rFonts w:ascii="FangSong" w:hAnsi="FangSong" w:eastAsia="FangSong" w:cs="FangSong"/>
          <w:sz w:val="24"/>
          <w:szCs w:val="24"/>
        </w:rPr>
      </w:pPr>
    </w:p>
    <w:p>
      <w:pPr>
        <w:pStyle w:val="BodyText"/>
        <w:spacing w:line="274" w:lineRule="auto"/>
        <w:rPr/>
      </w:pPr>
      <w:r/>
    </w:p>
    <w:p>
      <w:pPr>
        <w:pStyle w:val="BodyText"/>
        <w:spacing w:line="274" w:lineRule="auto"/>
        <w:rPr/>
      </w:pPr>
      <w:r/>
    </w:p>
    <w:p>
      <w:pPr>
        <w:pStyle w:val="BodyText"/>
        <w:spacing w:line="275" w:lineRule="auto"/>
        <w:rPr/>
      </w:pPr>
      <w:r>
        <w:drawing>
          <wp:anchor distT="0" distB="0" distL="0" distR="0" simplePos="0" relativeHeight="252366848" behindDoc="0" locked="0" layoutInCell="1" allowOverlap="1">
            <wp:simplePos x="0" y="0"/>
            <wp:positionH relativeFrom="column">
              <wp:posOffset>0</wp:posOffset>
            </wp:positionH>
            <wp:positionV relativeFrom="paragraph">
              <wp:posOffset>150813</wp:posOffset>
            </wp:positionV>
            <wp:extent cx="8851870" cy="6350"/>
            <wp:effectExtent l="0" t="0" r="0" b="0"/>
            <wp:wrapNone/>
            <wp:docPr id="6" name="IM 6"/>
            <wp:cNvGraphicFramePr/>
            <a:graphic>
              <a:graphicData uri="http://schemas.openxmlformats.org/drawingml/2006/picture">
                <pic:pic>
                  <pic:nvPicPr>
                    <pic:cNvPr id="6" name="IM 6"/>
                    <pic:cNvPicPr/>
                  </pic:nvPicPr>
                  <pic:blipFill>
                    <a:blip r:embed="rId615"/>
                    <a:stretch>
                      <a:fillRect/>
                    </a:stretch>
                  </pic:blipFill>
                  <pic:spPr>
                    <a:xfrm rot="0">
                      <a:off x="0" y="0"/>
                      <a:ext cx="8851870" cy="6350"/>
                    </a:xfrm>
                    <a:prstGeom prst="rect">
                      <a:avLst/>
                    </a:prstGeom>
                  </pic:spPr>
                </pic:pic>
              </a:graphicData>
            </a:graphic>
          </wp:anchor>
        </w:drawing>
      </w:r>
      <w:r/>
    </w:p>
    <w:p>
      <w:pPr>
        <w:ind w:left="1559" w:right="4677"/>
        <w:spacing w:before="75" w:line="261" w:lineRule="auto"/>
        <w:rPr>
          <w:rFonts w:ascii="FangSong" w:hAnsi="FangSong" w:eastAsia="FangSong" w:cs="FangSong"/>
          <w:sz w:val="23"/>
          <w:szCs w:val="23"/>
        </w:rPr>
      </w:pPr>
      <w:r>
        <w:drawing>
          <wp:anchor distT="0" distB="0" distL="0" distR="0" simplePos="0" relativeHeight="252368896" behindDoc="0" locked="0" layoutInCell="1" allowOverlap="1">
            <wp:simplePos x="0" y="0"/>
            <wp:positionH relativeFrom="column">
              <wp:posOffset>972910</wp:posOffset>
            </wp:positionH>
            <wp:positionV relativeFrom="paragraph">
              <wp:posOffset>392151</wp:posOffset>
            </wp:positionV>
            <wp:extent cx="4989714" cy="7302"/>
            <wp:effectExtent l="0" t="0" r="0" b="0"/>
            <wp:wrapNone/>
            <wp:docPr id="8" name="IM 8"/>
            <wp:cNvGraphicFramePr/>
            <a:graphic>
              <a:graphicData uri="http://schemas.openxmlformats.org/drawingml/2006/picture">
                <pic:pic>
                  <pic:nvPicPr>
                    <pic:cNvPr id="8" name="IM 8"/>
                    <pic:cNvPicPr/>
                  </pic:nvPicPr>
                  <pic:blipFill>
                    <a:blip r:embed="rId616"/>
                    <a:stretch>
                      <a:fillRect/>
                    </a:stretch>
                  </pic:blipFill>
                  <pic:spPr>
                    <a:xfrm rot="0">
                      <a:off x="0" y="0"/>
                      <a:ext cx="4989714" cy="7302"/>
                    </a:xfrm>
                    <a:prstGeom prst="rect">
                      <a:avLst/>
                    </a:prstGeom>
                  </pic:spPr>
                </pic:pic>
              </a:graphicData>
            </a:graphic>
          </wp:anchor>
        </w:drawing>
      </w:r>
      <w:r>
        <w:rPr>
          <w:rFonts w:ascii="FangSong" w:hAnsi="FangSong" w:eastAsia="FangSong" w:cs="FangSong"/>
          <w:sz w:val="23"/>
          <w:szCs w:val="23"/>
          <w:spacing w:val="11"/>
        </w:rPr>
        <w:t>未按照产品说明书、技术操作规范等要求使用甲类大</w:t>
      </w:r>
      <w:r>
        <w:rPr>
          <w:rFonts w:ascii="FangSong" w:hAnsi="FangSong" w:eastAsia="FangSong" w:cs="FangSong"/>
          <w:sz w:val="23"/>
          <w:szCs w:val="23"/>
          <w:spacing w:val="10"/>
        </w:rPr>
        <w:t>型医用设备，经责令</w:t>
      </w:r>
      <w:r>
        <w:rPr>
          <w:rFonts w:ascii="FangSong" w:hAnsi="FangSong" w:eastAsia="FangSong" w:cs="FangSong"/>
          <w:sz w:val="23"/>
          <w:szCs w:val="23"/>
        </w:rPr>
        <w:t xml:space="preserve"> </w:t>
      </w:r>
      <w:r>
        <w:rPr>
          <w:rFonts w:ascii="FangSong" w:hAnsi="FangSong" w:eastAsia="FangSong" w:cs="FangSong"/>
          <w:sz w:val="23"/>
          <w:szCs w:val="23"/>
          <w:spacing w:val="-20"/>
        </w:rPr>
        <w:t>改</w:t>
      </w:r>
      <w:r>
        <w:rPr>
          <w:rFonts w:ascii="FangSong" w:hAnsi="FangSong" w:eastAsia="FangSong" w:cs="FangSong"/>
          <w:sz w:val="23"/>
          <w:szCs w:val="23"/>
          <w:spacing w:val="41"/>
        </w:rPr>
        <w:t xml:space="preserve"> </w:t>
      </w:r>
      <w:r>
        <w:rPr>
          <w:rFonts w:ascii="FangSong" w:hAnsi="FangSong" w:eastAsia="FangSong" w:cs="FangSong"/>
          <w:sz w:val="23"/>
          <w:szCs w:val="23"/>
          <w:spacing w:val="-20"/>
        </w:rPr>
        <w:t>正</w:t>
      </w:r>
      <w:r>
        <w:rPr>
          <w:rFonts w:ascii="FangSong" w:hAnsi="FangSong" w:eastAsia="FangSong" w:cs="FangSong"/>
          <w:sz w:val="23"/>
          <w:szCs w:val="23"/>
          <w:spacing w:val="50"/>
        </w:rPr>
        <w:t xml:space="preserve"> </w:t>
      </w:r>
      <w:r>
        <w:rPr>
          <w:rFonts w:ascii="FangSong" w:hAnsi="FangSong" w:eastAsia="FangSong" w:cs="FangSong"/>
          <w:sz w:val="23"/>
          <w:szCs w:val="23"/>
          <w:spacing w:val="-20"/>
        </w:rPr>
        <w:t>，</w:t>
      </w:r>
      <w:r>
        <w:rPr>
          <w:rFonts w:ascii="FangSong" w:hAnsi="FangSong" w:eastAsia="FangSong" w:cs="FangSong"/>
          <w:sz w:val="23"/>
          <w:szCs w:val="23"/>
          <w:spacing w:val="33"/>
        </w:rPr>
        <w:t xml:space="preserve"> </w:t>
      </w:r>
      <w:r>
        <w:rPr>
          <w:rFonts w:ascii="FangSong" w:hAnsi="FangSong" w:eastAsia="FangSong" w:cs="FangSong"/>
          <w:sz w:val="23"/>
          <w:szCs w:val="23"/>
          <w:spacing w:val="-20"/>
        </w:rPr>
        <w:t>逾</w:t>
      </w:r>
      <w:r>
        <w:rPr>
          <w:rFonts w:ascii="FangSong" w:hAnsi="FangSong" w:eastAsia="FangSong" w:cs="FangSong"/>
          <w:sz w:val="23"/>
          <w:szCs w:val="23"/>
          <w:spacing w:val="34"/>
        </w:rPr>
        <w:t xml:space="preserve"> </w:t>
      </w:r>
      <w:r>
        <w:rPr>
          <w:rFonts w:ascii="FangSong" w:hAnsi="FangSong" w:eastAsia="FangSong" w:cs="FangSong"/>
          <w:sz w:val="23"/>
          <w:szCs w:val="23"/>
          <w:spacing w:val="-20"/>
        </w:rPr>
        <w:t>期</w:t>
      </w:r>
      <w:r>
        <w:rPr>
          <w:rFonts w:ascii="FangSong" w:hAnsi="FangSong" w:eastAsia="FangSong" w:cs="FangSong"/>
          <w:sz w:val="23"/>
          <w:szCs w:val="23"/>
          <w:spacing w:val="39"/>
        </w:rPr>
        <w:t xml:space="preserve"> </w:t>
      </w:r>
      <w:r>
        <w:rPr>
          <w:rFonts w:ascii="FangSong" w:hAnsi="FangSong" w:eastAsia="FangSong" w:cs="FangSong"/>
          <w:sz w:val="23"/>
          <w:szCs w:val="23"/>
          <w:spacing w:val="-20"/>
        </w:rPr>
        <w:t>不</w:t>
      </w:r>
      <w:r>
        <w:rPr>
          <w:rFonts w:ascii="FangSong" w:hAnsi="FangSong" w:eastAsia="FangSong" w:cs="FangSong"/>
          <w:sz w:val="23"/>
          <w:szCs w:val="23"/>
          <w:spacing w:val="46"/>
        </w:rPr>
        <w:t xml:space="preserve"> </w:t>
      </w:r>
      <w:r>
        <w:rPr>
          <w:rFonts w:ascii="FangSong" w:hAnsi="FangSong" w:eastAsia="FangSong" w:cs="FangSong"/>
          <w:sz w:val="23"/>
          <w:szCs w:val="23"/>
          <w:spacing w:val="-20"/>
        </w:rPr>
        <w:t>改</w:t>
      </w:r>
      <w:r>
        <w:rPr>
          <w:rFonts w:ascii="FangSong" w:hAnsi="FangSong" w:eastAsia="FangSong" w:cs="FangSong"/>
          <w:sz w:val="23"/>
          <w:szCs w:val="23"/>
          <w:spacing w:val="37"/>
        </w:rPr>
        <w:t xml:space="preserve"> </w:t>
      </w:r>
      <w:r>
        <w:rPr>
          <w:rFonts w:ascii="FangSong" w:hAnsi="FangSong" w:eastAsia="FangSong" w:cs="FangSong"/>
          <w:sz w:val="23"/>
          <w:szCs w:val="23"/>
          <w:spacing w:val="-20"/>
        </w:rPr>
        <w:t>正</w:t>
      </w:r>
      <w:r>
        <w:rPr>
          <w:rFonts w:ascii="FangSong" w:hAnsi="FangSong" w:eastAsia="FangSong" w:cs="FangSong"/>
          <w:sz w:val="23"/>
          <w:szCs w:val="23"/>
          <w:spacing w:val="47"/>
        </w:rPr>
        <w:t xml:space="preserve"> </w:t>
      </w:r>
      <w:r>
        <w:rPr>
          <w:rFonts w:ascii="FangSong" w:hAnsi="FangSong" w:eastAsia="FangSong" w:cs="FangSong"/>
          <w:sz w:val="23"/>
          <w:szCs w:val="23"/>
          <w:spacing w:val="-20"/>
        </w:rPr>
        <w:t>的</w:t>
      </w:r>
    </w:p>
    <w:p>
      <w:pPr>
        <w:ind w:left="1157" w:right="4720" w:firstLine="402"/>
        <w:spacing w:before="29" w:line="273" w:lineRule="auto"/>
        <w:rPr>
          <w:rFonts w:ascii="FangSong" w:hAnsi="FangSong" w:eastAsia="FangSong" w:cs="FangSong"/>
          <w:sz w:val="23"/>
          <w:szCs w:val="23"/>
        </w:rPr>
      </w:pPr>
      <w:r>
        <w:drawing>
          <wp:anchor distT="0" distB="0" distL="0" distR="0" simplePos="0" relativeHeight="252367872" behindDoc="0" locked="0" layoutInCell="1" allowOverlap="1">
            <wp:simplePos x="0" y="0"/>
            <wp:positionH relativeFrom="column">
              <wp:posOffset>25434</wp:posOffset>
            </wp:positionH>
            <wp:positionV relativeFrom="paragraph">
              <wp:posOffset>372986</wp:posOffset>
            </wp:positionV>
            <wp:extent cx="8826434" cy="7302"/>
            <wp:effectExtent l="0" t="0" r="0" b="0"/>
            <wp:wrapNone/>
            <wp:docPr id="10" name="IM 10"/>
            <wp:cNvGraphicFramePr/>
            <a:graphic>
              <a:graphicData uri="http://schemas.openxmlformats.org/drawingml/2006/picture">
                <pic:pic>
                  <pic:nvPicPr>
                    <pic:cNvPr id="10" name="IM 10"/>
                    <pic:cNvPicPr/>
                  </pic:nvPicPr>
                  <pic:blipFill>
                    <a:blip r:embed="rId617"/>
                    <a:stretch>
                      <a:fillRect/>
                    </a:stretch>
                  </pic:blipFill>
                  <pic:spPr>
                    <a:xfrm rot="0">
                      <a:off x="0" y="0"/>
                      <a:ext cx="8826434" cy="7302"/>
                    </a:xfrm>
                    <a:prstGeom prst="rect">
                      <a:avLst/>
                    </a:prstGeom>
                  </pic:spPr>
                </pic:pic>
              </a:graphicData>
            </a:graphic>
          </wp:anchor>
        </w:drawing>
      </w:r>
      <w:r>
        <w:rPr>
          <w:rFonts w:ascii="FangSong" w:hAnsi="FangSong" w:eastAsia="FangSong" w:cs="FangSong"/>
          <w:sz w:val="23"/>
          <w:szCs w:val="23"/>
          <w:spacing w:val="16"/>
        </w:rPr>
        <w:t>聘用未经上岗技术培训的人员(包括医生、操作人员、工程技术人员等)</w:t>
      </w:r>
      <w:r>
        <w:rPr>
          <w:rFonts w:ascii="FangSong" w:hAnsi="FangSong" w:eastAsia="FangSong" w:cs="FangSong"/>
          <w:sz w:val="23"/>
          <w:szCs w:val="23"/>
          <w:spacing w:val="18"/>
        </w:rPr>
        <w:t xml:space="preserve"> </w:t>
      </w:r>
      <w:r>
        <w:rPr>
          <w:rFonts w:ascii="FangSong" w:hAnsi="FangSong" w:eastAsia="FangSong" w:cs="FangSong"/>
          <w:sz w:val="23"/>
          <w:szCs w:val="23"/>
          <w:spacing w:val="-17"/>
        </w:rPr>
        <w:t>操</w:t>
      </w:r>
      <w:r>
        <w:rPr>
          <w:rFonts w:ascii="FangSong" w:hAnsi="FangSong" w:eastAsia="FangSong" w:cs="FangSong"/>
          <w:sz w:val="23"/>
          <w:szCs w:val="23"/>
          <w:spacing w:val="-17"/>
        </w:rPr>
        <w:t xml:space="preserve"> </w:t>
      </w:r>
      <w:r>
        <w:rPr>
          <w:rFonts w:ascii="FangSong" w:hAnsi="FangSong" w:eastAsia="FangSong" w:cs="FangSong"/>
          <w:sz w:val="23"/>
          <w:szCs w:val="23"/>
          <w:spacing w:val="-17"/>
        </w:rPr>
        <w:t>作</w:t>
      </w:r>
      <w:r>
        <w:rPr>
          <w:rFonts w:ascii="FangSong" w:hAnsi="FangSong" w:eastAsia="FangSong" w:cs="FangSong"/>
          <w:sz w:val="23"/>
          <w:szCs w:val="23"/>
          <w:spacing w:val="27"/>
        </w:rPr>
        <w:t xml:space="preserve"> </w:t>
      </w:r>
      <w:r>
        <w:rPr>
          <w:rFonts w:ascii="FangSong" w:hAnsi="FangSong" w:eastAsia="FangSong" w:cs="FangSong"/>
          <w:sz w:val="23"/>
          <w:szCs w:val="23"/>
          <w:spacing w:val="-17"/>
        </w:rPr>
        <w:t>、</w:t>
      </w:r>
      <w:r>
        <w:rPr>
          <w:rFonts w:ascii="FangSong" w:hAnsi="FangSong" w:eastAsia="FangSong" w:cs="FangSong"/>
          <w:sz w:val="23"/>
          <w:szCs w:val="23"/>
          <w:spacing w:val="-17"/>
        </w:rPr>
        <w:t xml:space="preserve"> </w:t>
      </w:r>
      <w:r>
        <w:rPr>
          <w:rFonts w:ascii="FangSong" w:hAnsi="FangSong" w:eastAsia="FangSong" w:cs="FangSong"/>
          <w:sz w:val="23"/>
          <w:szCs w:val="23"/>
          <w:spacing w:val="-17"/>
        </w:rPr>
        <w:t>使</w:t>
      </w:r>
      <w:r>
        <w:rPr>
          <w:rFonts w:ascii="FangSong" w:hAnsi="FangSong" w:eastAsia="FangSong" w:cs="FangSong"/>
          <w:sz w:val="23"/>
          <w:szCs w:val="23"/>
          <w:spacing w:val="-17"/>
        </w:rPr>
        <w:t xml:space="preserve"> </w:t>
      </w:r>
      <w:r>
        <w:rPr>
          <w:rFonts w:ascii="FangSong" w:hAnsi="FangSong" w:eastAsia="FangSong" w:cs="FangSong"/>
          <w:sz w:val="23"/>
          <w:szCs w:val="23"/>
          <w:spacing w:val="-17"/>
        </w:rPr>
        <w:t>用</w:t>
      </w:r>
      <w:r>
        <w:rPr>
          <w:rFonts w:ascii="FangSong" w:hAnsi="FangSong" w:eastAsia="FangSong" w:cs="FangSong"/>
          <w:sz w:val="23"/>
          <w:szCs w:val="23"/>
          <w:spacing w:val="9"/>
        </w:rPr>
        <w:t xml:space="preserve"> </w:t>
      </w:r>
      <w:r>
        <w:rPr>
          <w:rFonts w:ascii="FangSong" w:hAnsi="FangSong" w:eastAsia="FangSong" w:cs="FangSong"/>
          <w:sz w:val="23"/>
          <w:szCs w:val="23"/>
          <w:spacing w:val="-17"/>
        </w:rPr>
        <w:t>大</w:t>
      </w:r>
      <w:r>
        <w:rPr>
          <w:rFonts w:ascii="FangSong" w:hAnsi="FangSong" w:eastAsia="FangSong" w:cs="FangSong"/>
          <w:sz w:val="23"/>
          <w:szCs w:val="23"/>
          <w:spacing w:val="16"/>
        </w:rPr>
        <w:t xml:space="preserve"> </w:t>
      </w:r>
      <w:r>
        <w:rPr>
          <w:rFonts w:ascii="FangSong" w:hAnsi="FangSong" w:eastAsia="FangSong" w:cs="FangSong"/>
          <w:sz w:val="23"/>
          <w:szCs w:val="23"/>
          <w:spacing w:val="-17"/>
        </w:rPr>
        <w:t>型</w:t>
      </w:r>
      <w:r>
        <w:rPr>
          <w:rFonts w:ascii="FangSong" w:hAnsi="FangSong" w:eastAsia="FangSong" w:cs="FangSong"/>
          <w:sz w:val="23"/>
          <w:szCs w:val="23"/>
          <w:spacing w:val="26"/>
        </w:rPr>
        <w:t xml:space="preserve"> </w:t>
      </w:r>
      <w:r>
        <w:rPr>
          <w:rFonts w:ascii="FangSong" w:hAnsi="FangSong" w:eastAsia="FangSong" w:cs="FangSong"/>
          <w:sz w:val="23"/>
          <w:szCs w:val="23"/>
          <w:spacing w:val="-17"/>
        </w:rPr>
        <w:t>医</w:t>
      </w:r>
      <w:r>
        <w:rPr>
          <w:rFonts w:ascii="FangSong" w:hAnsi="FangSong" w:eastAsia="FangSong" w:cs="FangSong"/>
          <w:sz w:val="23"/>
          <w:szCs w:val="23"/>
          <w:spacing w:val="5"/>
        </w:rPr>
        <w:t xml:space="preserve"> </w:t>
      </w:r>
      <w:r>
        <w:rPr>
          <w:rFonts w:ascii="FangSong" w:hAnsi="FangSong" w:eastAsia="FangSong" w:cs="FangSong"/>
          <w:sz w:val="23"/>
          <w:szCs w:val="23"/>
          <w:spacing w:val="-17"/>
        </w:rPr>
        <w:t>用</w:t>
      </w:r>
      <w:r>
        <w:rPr>
          <w:rFonts w:ascii="FangSong" w:hAnsi="FangSong" w:eastAsia="FangSong" w:cs="FangSong"/>
          <w:sz w:val="23"/>
          <w:szCs w:val="23"/>
          <w:spacing w:val="5"/>
        </w:rPr>
        <w:t xml:space="preserve"> </w:t>
      </w:r>
      <w:r>
        <w:rPr>
          <w:rFonts w:ascii="FangSong" w:hAnsi="FangSong" w:eastAsia="FangSong" w:cs="FangSong"/>
          <w:sz w:val="23"/>
          <w:szCs w:val="23"/>
          <w:spacing w:val="-17"/>
        </w:rPr>
        <w:t>设</w:t>
      </w:r>
      <w:r>
        <w:rPr>
          <w:rFonts w:ascii="FangSong" w:hAnsi="FangSong" w:eastAsia="FangSong" w:cs="FangSong"/>
          <w:sz w:val="23"/>
          <w:szCs w:val="23"/>
          <w:spacing w:val="8"/>
        </w:rPr>
        <w:t xml:space="preserve"> </w:t>
      </w:r>
      <w:r>
        <w:rPr>
          <w:rFonts w:ascii="FangSong" w:hAnsi="FangSong" w:eastAsia="FangSong" w:cs="FangSong"/>
          <w:sz w:val="23"/>
          <w:szCs w:val="23"/>
          <w:spacing w:val="-17"/>
        </w:rPr>
        <w:t>备</w:t>
      </w:r>
      <w:r>
        <w:rPr>
          <w:rFonts w:ascii="FangSong" w:hAnsi="FangSong" w:eastAsia="FangSong" w:cs="FangSong"/>
          <w:sz w:val="23"/>
          <w:szCs w:val="23"/>
          <w:spacing w:val="22"/>
        </w:rPr>
        <w:t xml:space="preserve"> </w:t>
      </w:r>
      <w:r>
        <w:rPr>
          <w:rFonts w:ascii="FangSong" w:hAnsi="FangSong" w:eastAsia="FangSong" w:cs="FangSong"/>
          <w:sz w:val="23"/>
          <w:szCs w:val="23"/>
          <w:spacing w:val="-17"/>
        </w:rPr>
        <w:t>，</w:t>
      </w:r>
      <w:r>
        <w:rPr>
          <w:rFonts w:ascii="FangSong" w:hAnsi="FangSong" w:eastAsia="FangSong" w:cs="FangSong"/>
          <w:sz w:val="23"/>
          <w:szCs w:val="23"/>
          <w:spacing w:val="5"/>
        </w:rPr>
        <w:t xml:space="preserve"> </w:t>
      </w:r>
      <w:r>
        <w:rPr>
          <w:rFonts w:ascii="FangSong" w:hAnsi="FangSong" w:eastAsia="FangSong" w:cs="FangSong"/>
          <w:sz w:val="23"/>
          <w:szCs w:val="23"/>
          <w:spacing w:val="-17"/>
        </w:rPr>
        <w:t>经</w:t>
      </w:r>
      <w:r>
        <w:rPr>
          <w:rFonts w:ascii="FangSong" w:hAnsi="FangSong" w:eastAsia="FangSong" w:cs="FangSong"/>
          <w:sz w:val="23"/>
          <w:szCs w:val="23"/>
          <w:spacing w:val="8"/>
        </w:rPr>
        <w:t xml:space="preserve"> </w:t>
      </w:r>
      <w:r>
        <w:rPr>
          <w:rFonts w:ascii="FangSong" w:hAnsi="FangSong" w:eastAsia="FangSong" w:cs="FangSong"/>
          <w:sz w:val="23"/>
          <w:szCs w:val="23"/>
          <w:spacing w:val="-17"/>
        </w:rPr>
        <w:t>责</w:t>
      </w:r>
      <w:r>
        <w:rPr>
          <w:rFonts w:ascii="FangSong" w:hAnsi="FangSong" w:eastAsia="FangSong" w:cs="FangSong"/>
          <w:sz w:val="23"/>
          <w:szCs w:val="23"/>
          <w:spacing w:val="5"/>
        </w:rPr>
        <w:t xml:space="preserve"> </w:t>
      </w:r>
      <w:r>
        <w:rPr>
          <w:rFonts w:ascii="FangSong" w:hAnsi="FangSong" w:eastAsia="FangSong" w:cs="FangSong"/>
          <w:sz w:val="23"/>
          <w:szCs w:val="23"/>
          <w:spacing w:val="-17"/>
        </w:rPr>
        <w:t>令</w:t>
      </w:r>
      <w:r>
        <w:rPr>
          <w:rFonts w:ascii="FangSong" w:hAnsi="FangSong" w:eastAsia="FangSong" w:cs="FangSong"/>
          <w:sz w:val="23"/>
          <w:szCs w:val="23"/>
          <w:spacing w:val="18"/>
        </w:rPr>
        <w:t xml:space="preserve"> </w:t>
      </w:r>
      <w:r>
        <w:rPr>
          <w:rFonts w:ascii="FangSong" w:hAnsi="FangSong" w:eastAsia="FangSong" w:cs="FangSong"/>
          <w:sz w:val="23"/>
          <w:szCs w:val="23"/>
          <w:spacing w:val="-17"/>
        </w:rPr>
        <w:t>改</w:t>
      </w:r>
      <w:r>
        <w:rPr>
          <w:rFonts w:ascii="FangSong" w:hAnsi="FangSong" w:eastAsia="FangSong" w:cs="FangSong"/>
          <w:sz w:val="23"/>
          <w:szCs w:val="23"/>
          <w:spacing w:val="9"/>
        </w:rPr>
        <w:t xml:space="preserve"> </w:t>
      </w:r>
      <w:r>
        <w:rPr>
          <w:rFonts w:ascii="FangSong" w:hAnsi="FangSong" w:eastAsia="FangSong" w:cs="FangSong"/>
          <w:sz w:val="23"/>
          <w:szCs w:val="23"/>
          <w:spacing w:val="-17"/>
        </w:rPr>
        <w:t>正</w:t>
      </w:r>
      <w:r>
        <w:rPr>
          <w:rFonts w:ascii="FangSong" w:hAnsi="FangSong" w:eastAsia="FangSong" w:cs="FangSong"/>
          <w:sz w:val="23"/>
          <w:szCs w:val="23"/>
          <w:spacing w:val="22"/>
        </w:rPr>
        <w:t xml:space="preserve"> </w:t>
      </w:r>
      <w:r>
        <w:rPr>
          <w:rFonts w:ascii="FangSong" w:hAnsi="FangSong" w:eastAsia="FangSong" w:cs="FangSong"/>
          <w:sz w:val="23"/>
          <w:szCs w:val="23"/>
          <w:spacing w:val="-17"/>
        </w:rPr>
        <w:t>，</w:t>
      </w:r>
      <w:r>
        <w:rPr>
          <w:rFonts w:ascii="FangSong" w:hAnsi="FangSong" w:eastAsia="FangSong" w:cs="FangSong"/>
          <w:sz w:val="23"/>
          <w:szCs w:val="23"/>
          <w:spacing w:val="5"/>
        </w:rPr>
        <w:t xml:space="preserve"> </w:t>
      </w:r>
      <w:r>
        <w:rPr>
          <w:rFonts w:ascii="FangSong" w:hAnsi="FangSong" w:eastAsia="FangSong" w:cs="FangSong"/>
          <w:sz w:val="23"/>
          <w:szCs w:val="23"/>
          <w:spacing w:val="-17"/>
        </w:rPr>
        <w:t>逾</w:t>
      </w:r>
      <w:r>
        <w:rPr>
          <w:rFonts w:ascii="FangSong" w:hAnsi="FangSong" w:eastAsia="FangSong" w:cs="FangSong"/>
          <w:sz w:val="23"/>
          <w:szCs w:val="23"/>
          <w:spacing w:val="5"/>
        </w:rPr>
        <w:t xml:space="preserve"> </w:t>
      </w:r>
      <w:r>
        <w:rPr>
          <w:rFonts w:ascii="FangSong" w:hAnsi="FangSong" w:eastAsia="FangSong" w:cs="FangSong"/>
          <w:sz w:val="23"/>
          <w:szCs w:val="23"/>
          <w:spacing w:val="-17"/>
        </w:rPr>
        <w:t>期</w:t>
      </w:r>
      <w:r>
        <w:rPr>
          <w:rFonts w:ascii="FangSong" w:hAnsi="FangSong" w:eastAsia="FangSong" w:cs="FangSong"/>
          <w:sz w:val="23"/>
          <w:szCs w:val="23"/>
          <w:spacing w:val="12"/>
        </w:rPr>
        <w:t xml:space="preserve"> </w:t>
      </w:r>
      <w:r>
        <w:rPr>
          <w:rFonts w:ascii="FangSong" w:hAnsi="FangSong" w:eastAsia="FangSong" w:cs="FangSong"/>
          <w:sz w:val="23"/>
          <w:szCs w:val="23"/>
          <w:spacing w:val="-17"/>
        </w:rPr>
        <w:t>不</w:t>
      </w:r>
      <w:r>
        <w:rPr>
          <w:rFonts w:ascii="FangSong" w:hAnsi="FangSong" w:eastAsia="FangSong" w:cs="FangSong"/>
          <w:sz w:val="23"/>
          <w:szCs w:val="23"/>
          <w:spacing w:val="18"/>
        </w:rPr>
        <w:t xml:space="preserve"> </w:t>
      </w:r>
      <w:r>
        <w:rPr>
          <w:rFonts w:ascii="FangSong" w:hAnsi="FangSong" w:eastAsia="FangSong" w:cs="FangSong"/>
          <w:sz w:val="23"/>
          <w:szCs w:val="23"/>
          <w:spacing w:val="-17"/>
        </w:rPr>
        <w:t>改</w:t>
      </w:r>
      <w:r>
        <w:rPr>
          <w:rFonts w:ascii="FangSong" w:hAnsi="FangSong" w:eastAsia="FangSong" w:cs="FangSong"/>
          <w:sz w:val="23"/>
          <w:szCs w:val="23"/>
          <w:spacing w:val="8"/>
        </w:rPr>
        <w:t xml:space="preserve"> </w:t>
      </w:r>
      <w:r>
        <w:rPr>
          <w:rFonts w:ascii="FangSong" w:hAnsi="FangSong" w:eastAsia="FangSong" w:cs="FangSong"/>
          <w:sz w:val="23"/>
          <w:szCs w:val="23"/>
          <w:spacing w:val="-17"/>
        </w:rPr>
        <w:t>正</w:t>
      </w:r>
      <w:r>
        <w:rPr>
          <w:rFonts w:ascii="FangSong" w:hAnsi="FangSong" w:eastAsia="FangSong" w:cs="FangSong"/>
          <w:sz w:val="23"/>
          <w:szCs w:val="23"/>
          <w:spacing w:val="20"/>
        </w:rPr>
        <w:t xml:space="preserve"> </w:t>
      </w:r>
      <w:r>
        <w:rPr>
          <w:rFonts w:ascii="FangSong" w:hAnsi="FangSong" w:eastAsia="FangSong" w:cs="FangSong"/>
          <w:sz w:val="23"/>
          <w:szCs w:val="23"/>
          <w:spacing w:val="-17"/>
        </w:rPr>
        <w:t>的</w:t>
      </w:r>
    </w:p>
    <w:p>
      <w:pPr>
        <w:ind w:left="1559"/>
        <w:spacing w:before="9" w:line="189" w:lineRule="auto"/>
        <w:rPr>
          <w:rFonts w:ascii="FangSong" w:hAnsi="FangSong" w:eastAsia="FangSong" w:cs="FangSong"/>
          <w:sz w:val="23"/>
          <w:szCs w:val="23"/>
        </w:rPr>
      </w:pPr>
      <w:r>
        <w:pict>
          <v:shape id="_x0000_s84" style="position:absolute;margin-left:24.1654pt;margin-top:4.9217pt;mso-position-vertical-relative:text;mso-position-horizontal-relative:text;width:25.75pt;height:15.85pt;z-index:-250951680;" filled="false" stroked="false" type="#_x0000_t202">
            <v:fill on="false"/>
            <v:stroke on="false"/>
            <v:path/>
            <v:imagedata o:title=""/>
            <o:lock v:ext="edit" aspectratio="false"/>
            <v:textbox inset="0mm,0mm,0mm,0mm">
              <w:txbxContent>
                <w:p>
                  <w:pPr>
                    <w:ind w:left="20"/>
                    <w:spacing w:before="19" w:line="222" w:lineRule="auto"/>
                    <w:rPr>
                      <w:rFonts w:ascii="FangSong" w:hAnsi="FangSong" w:eastAsia="FangSong" w:cs="FangSong"/>
                      <w:sz w:val="23"/>
                      <w:szCs w:val="23"/>
                    </w:rPr>
                  </w:pPr>
                  <w:r>
                    <w:rPr>
                      <w:rFonts w:ascii="FangSong" w:hAnsi="FangSong" w:eastAsia="FangSong" w:cs="FangSong"/>
                      <w:sz w:val="23"/>
                      <w:szCs w:val="23"/>
                      <w:b/>
                      <w:bCs/>
                      <w:spacing w:val="4"/>
                    </w:rPr>
                    <w:t>较重</w:t>
                  </w:r>
                </w:p>
              </w:txbxContent>
            </v:textbox>
          </v:shape>
        </w:pict>
      </w:r>
      <w:r>
        <w:pict>
          <v:shape id="_x0000_s86" style="position:absolute;margin-left:473.497pt;margin-top:8.1309pt;mso-position-vertical-relative:text;mso-position-horizontal-relative:text;width:151.95pt;height:15.85pt;z-index:-250950656;" filled="false" stroked="false" type="#_x0000_t202">
            <v:fill on="false"/>
            <v:stroke on="false"/>
            <v:path/>
            <v:imagedata o:title=""/>
            <o:lock v:ext="edit" aspectratio="false"/>
            <v:textbox inset="0mm,0mm,0mm,0mm">
              <w:txbxContent>
                <w:p>
                  <w:pPr>
                    <w:ind w:left="20"/>
                    <w:spacing w:before="20" w:line="222" w:lineRule="auto"/>
                    <w:rPr>
                      <w:rFonts w:ascii="FangSong" w:hAnsi="FangSong" w:eastAsia="FangSong" w:cs="FangSong"/>
                      <w:sz w:val="23"/>
                      <w:szCs w:val="23"/>
                    </w:rPr>
                  </w:pPr>
                  <w:r>
                    <w:rPr>
                      <w:rFonts w:ascii="FangSong" w:hAnsi="FangSong" w:eastAsia="FangSong" w:cs="FangSong"/>
                      <w:sz w:val="23"/>
                      <w:szCs w:val="23"/>
                      <w:spacing w:val="27"/>
                    </w:rPr>
                    <w:t>罚款8万元以上10万元以下</w:t>
                  </w:r>
                </w:p>
              </w:txbxContent>
            </v:textbox>
          </v:shape>
        </w:pict>
      </w:r>
      <w:r>
        <w:rPr>
          <w:rFonts w:ascii="FangSong" w:hAnsi="FangSong" w:eastAsia="FangSong" w:cs="FangSong"/>
          <w:sz w:val="23"/>
          <w:szCs w:val="23"/>
          <w:spacing w:val="11"/>
        </w:rPr>
        <w:t>使用进口二手大型医用设备或国家已公布淘汰机型的大型医用设备</w:t>
      </w:r>
      <w:r>
        <w:rPr>
          <w:rFonts w:ascii="FangSong" w:hAnsi="FangSong" w:eastAsia="FangSong" w:cs="FangSong"/>
          <w:sz w:val="23"/>
          <w:szCs w:val="23"/>
          <w:spacing w:val="10"/>
        </w:rPr>
        <w:t>，经责</w:t>
      </w:r>
    </w:p>
    <w:p>
      <w:pPr>
        <w:spacing w:line="64" w:lineRule="exact"/>
        <w:rPr/>
      </w:pPr>
      <w:r/>
    </w:p>
    <w:tbl>
      <w:tblPr>
        <w:tblStyle w:val="TableNormal"/>
        <w:tblW w:w="13906" w:type="dxa"/>
        <w:tblInd w:w="2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34"/>
        <w:gridCol w:w="7944"/>
        <w:gridCol w:w="4528"/>
      </w:tblGrid>
      <w:tr>
        <w:trPr>
          <w:trHeight w:val="274" w:hRule="atLeast"/>
        </w:trPr>
        <w:tc>
          <w:tcPr>
            <w:tcW w:w="1434" w:type="dxa"/>
            <w:vAlign w:val="top"/>
          </w:tcPr>
          <w:p>
            <w:pPr>
              <w:rPr>
                <w:rFonts w:ascii="Arial"/>
                <w:sz w:val="21"/>
              </w:rPr>
            </w:pPr>
            <w:r/>
          </w:p>
        </w:tc>
        <w:tc>
          <w:tcPr>
            <w:tcW w:w="7944" w:type="dxa"/>
            <w:vAlign w:val="top"/>
          </w:tcPr>
          <w:p>
            <w:pPr>
              <w:pStyle w:val="TableText"/>
              <w:ind w:left="120"/>
              <w:spacing w:before="33" w:line="170" w:lineRule="auto"/>
              <w:rPr>
                <w:sz w:val="25"/>
                <w:szCs w:val="25"/>
              </w:rPr>
            </w:pPr>
            <w:r>
              <w:rPr>
                <w:sz w:val="25"/>
                <w:szCs w:val="25"/>
                <w:spacing w:val="1"/>
              </w:rPr>
              <w:t>令限期改正，逾期不改正的</w:t>
            </w:r>
          </w:p>
        </w:tc>
        <w:tc>
          <w:tcPr>
            <w:shd w:val="clear" w:fill="FFFFFF"/>
            <w:tcW w:w="4528" w:type="dxa"/>
            <w:vAlign w:val="top"/>
          </w:tcPr>
          <w:p>
            <w:pPr>
              <w:rPr>
                <w:rFonts w:ascii="Arial"/>
                <w:sz w:val="21"/>
              </w:rPr>
            </w:pPr>
            <w:r/>
          </w:p>
        </w:tc>
      </w:tr>
      <w:tr>
        <w:trPr>
          <w:trHeight w:val="2695" w:hRule="atLeast"/>
        </w:trPr>
        <w:tc>
          <w:tcPr>
            <w:tcW w:w="1434" w:type="dxa"/>
            <w:vAlign w:val="top"/>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458"/>
              <w:spacing w:before="81" w:line="220" w:lineRule="auto"/>
              <w:rPr>
                <w:sz w:val="25"/>
                <w:szCs w:val="25"/>
              </w:rPr>
            </w:pPr>
            <w:r>
              <w:rPr>
                <w:sz w:val="25"/>
                <w:szCs w:val="25"/>
                <w:b/>
                <w:bCs/>
                <w:spacing w:val="-6"/>
              </w:rPr>
              <w:t>严重</w:t>
            </w:r>
          </w:p>
        </w:tc>
        <w:tc>
          <w:tcPr>
            <w:tcW w:w="7944"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120" w:firstLine="10"/>
              <w:spacing w:before="81" w:line="268" w:lineRule="auto"/>
              <w:rPr>
                <w:sz w:val="25"/>
                <w:szCs w:val="25"/>
              </w:rPr>
            </w:pPr>
            <w:r>
              <w:rPr>
                <w:sz w:val="25"/>
                <w:szCs w:val="25"/>
                <w:spacing w:val="-6"/>
              </w:rPr>
              <w:t>医疗器械使用单位违规使用大型医用设备，不能保障医疗</w:t>
            </w:r>
            <w:r>
              <w:rPr>
                <w:sz w:val="25"/>
                <w:szCs w:val="25"/>
                <w:spacing w:val="-7"/>
              </w:rPr>
              <w:t>质量安全的，对</w:t>
            </w:r>
            <w:r>
              <w:rPr>
                <w:sz w:val="25"/>
                <w:szCs w:val="25"/>
              </w:rPr>
              <w:t xml:space="preserve"> </w:t>
            </w:r>
            <w:r>
              <w:rPr>
                <w:sz w:val="25"/>
                <w:szCs w:val="25"/>
              </w:rPr>
              <w:t>患者造成伤害或者造成其他严重危害后果的</w:t>
            </w:r>
          </w:p>
        </w:tc>
        <w:tc>
          <w:tcPr>
            <w:tcW w:w="4528" w:type="dxa"/>
            <w:vAlign w:val="top"/>
          </w:tcPr>
          <w:p>
            <w:pPr>
              <w:pStyle w:val="TableText"/>
              <w:ind w:left="17" w:firstLine="109"/>
              <w:spacing w:before="63" w:line="242" w:lineRule="auto"/>
              <w:rPr>
                <w:sz w:val="25"/>
                <w:szCs w:val="25"/>
              </w:rPr>
            </w:pPr>
            <w:r>
              <w:rPr>
                <w:sz w:val="25"/>
                <w:szCs w:val="25"/>
              </w:rPr>
              <w:t>处10万元以上30万元以下罚款，责令暂  </w:t>
            </w:r>
            <w:r>
              <w:rPr>
                <w:sz w:val="25"/>
                <w:szCs w:val="25"/>
                <w:spacing w:val="-1"/>
              </w:rPr>
              <w:t>停相关医疗器械使用活动或吊销执业许可</w:t>
            </w:r>
            <w:r>
              <w:rPr>
                <w:sz w:val="25"/>
                <w:szCs w:val="25"/>
                <w:spacing w:val="16"/>
              </w:rPr>
              <w:t xml:space="preserve"> </w:t>
            </w:r>
            <w:r>
              <w:rPr>
                <w:sz w:val="25"/>
                <w:szCs w:val="25"/>
                <w:spacing w:val="6"/>
              </w:rPr>
              <w:t>证；相关责任人员暂停6个月以上1年以  </w:t>
            </w:r>
            <w:r>
              <w:rPr>
                <w:sz w:val="25"/>
                <w:szCs w:val="25"/>
                <w:spacing w:val="-1"/>
              </w:rPr>
              <w:t>下执业活动或吊销相关人员执业证书，对</w:t>
            </w:r>
            <w:r>
              <w:rPr>
                <w:sz w:val="25"/>
                <w:szCs w:val="25"/>
                <w:spacing w:val="16"/>
              </w:rPr>
              <w:t xml:space="preserve"> </w:t>
            </w:r>
            <w:r>
              <w:rPr>
                <w:sz w:val="25"/>
                <w:szCs w:val="25"/>
              </w:rPr>
              <w:t>违法单位的法定代表人、主要负责人、直 </w:t>
            </w:r>
            <w:r>
              <w:rPr>
                <w:sz w:val="25"/>
                <w:szCs w:val="25"/>
                <w:spacing w:val="-2"/>
              </w:rPr>
              <w:t>接负责的主管人员和其他责任人员，没收</w:t>
            </w:r>
            <w:r>
              <w:rPr>
                <w:sz w:val="25"/>
                <w:szCs w:val="25"/>
                <w:spacing w:val="15"/>
              </w:rPr>
              <w:t xml:space="preserve"> </w:t>
            </w:r>
            <w:r>
              <w:rPr>
                <w:sz w:val="25"/>
                <w:szCs w:val="25"/>
                <w:spacing w:val="-1"/>
              </w:rPr>
              <w:t>违法行为发生期间自本单位所获收入，并</w:t>
            </w:r>
            <w:r>
              <w:rPr>
                <w:sz w:val="25"/>
                <w:szCs w:val="25"/>
                <w:spacing w:val="16"/>
              </w:rPr>
              <w:t xml:space="preserve"> </w:t>
            </w:r>
            <w:r>
              <w:rPr>
                <w:sz w:val="25"/>
                <w:szCs w:val="25"/>
                <w:spacing w:val="5"/>
              </w:rPr>
              <w:t>处所获收入30%以上3倍以下罚款</w:t>
            </w:r>
          </w:p>
        </w:tc>
      </w:tr>
    </w:tbl>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4"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5" w:lineRule="auto"/>
        <w:rPr/>
      </w:pPr>
      <w:r/>
    </w:p>
    <w:p>
      <w:pPr>
        <w:ind w:left="6379"/>
        <w:spacing w:before="106" w:line="188"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7"/>
        </w:rPr>
        <w:t>—699—</w:t>
      </w:r>
    </w:p>
    <w:sectPr>
      <w:footerReference w:type="default" r:id="rId24"/>
      <w:pgSz w:w="16830" w:h="11900"/>
      <w:pgMar w:top="1011" w:right="1478" w:bottom="400" w:left="141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KaiTi">
    <w:panose1 w:val="02010609060101010101"/>
    <w:charset w:val="86"/>
    <w:family w:val="auto"/>
    <w:pitch w:val="default"/>
    <w:sig w:usb0="800002BF" w:usb1="38CF7CFA" w:usb2="00000016" w:usb3="00000000" w:csb0="00040001" w:csb1="00000000"/>
  </w:font>
  <w:font w:name="Times New Roman">
    <w:panose1 w:val="02020603050405020304"/>
    <w:charset w:val="00"/>
    <w:family w:val="auto"/>
    <w:pitch w:val="variable"/>
    <w:sig w:usb0="E0002EFF" w:usb1="C000785B" w:usb2="00000009" w:usb3="00000000" w:csb0="400001FF" w:csb1="FFFF0000"/>
  </w:font>
  <w:font w:name="FangSong">
    <w:panose1 w:val="02010609060101010101"/>
    <w:charset w:val="86"/>
    <w:family w:val="auto"/>
    <w:pitch w:val="default"/>
    <w:sig w:usb0="800002BF" w:usb1="38CF7CFA" w:usb2="00000016" w:usb3="00000000" w:csb0="00040001"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95"/>
      <w:spacing w:line="233" w:lineRule="auto"/>
      <w:rPr>
        <w:rFonts w:ascii="SimSun" w:hAnsi="SimSun" w:eastAsia="SimSun" w:cs="SimSun"/>
        <w:sz w:val="24"/>
        <w:szCs w:val="24"/>
      </w:rPr>
    </w:pPr>
    <w:r>
      <w:rPr>
        <w:rFonts w:ascii="SimSun" w:hAnsi="SimSun" w:eastAsia="SimSun" w:cs="SimSun"/>
        <w:sz w:val="24"/>
        <w:szCs w:val="24"/>
        <w:spacing w:val="-10"/>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39"/>
      <w:spacing w:before="1" w:line="182"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26"/>
      </w:rPr>
      <w:t>—10—</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—106—</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0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4"/>
      </w:rPr>
      <w:t>—107—</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—109—</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—110—</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04"/>
      <w:spacing w:before="1"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—111—</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1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20"/>
      </w:rPr>
      <w:t>—113—</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4"/>
      <w:spacing w:before="1"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20"/>
      </w:rPr>
      <w:t>—114—</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0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20"/>
      </w:rPr>
      <w:t>—115—</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8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—116—</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0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3"/>
      </w:rPr>
      <w:t>—117—</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600"/>
      <w:spacing w:line="183" w:lineRule="auto"/>
      <w:rPr>
        <w:rFonts w:ascii="Times New Roman" w:hAnsi="Times New Roman" w:eastAsia="Times New Roman" w:cs="Times New Roman"/>
        <w:sz w:val="42"/>
        <w:szCs w:val="42"/>
      </w:rPr>
    </w:pPr>
    <w:r>
      <w:rPr>
        <w:rFonts w:ascii="Times New Roman" w:hAnsi="Times New Roman" w:eastAsia="Times New Roman" w:cs="Times New Roman"/>
        <w:sz w:val="42"/>
        <w:szCs w:val="42"/>
        <w:spacing w:val="-37"/>
      </w:rPr>
      <w:t>—11—</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—118—</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1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4"/>
      </w:rPr>
      <w:t>—120—</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85"/>
      <w:spacing w:before="1"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—121—</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before="1"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—122—</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—123—</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—124—</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1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—125—</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8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—126—</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3"/>
      </w:rPr>
      <w:t>—127—</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0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—128—</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9"/>
      <w:spacing w:line="183"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17"/>
      </w:rPr>
      <w:t>—12—</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—129—</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—132—</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—133—</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—134—</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—135—</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8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—136—</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—137—</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—138—</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—139—</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4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—140—</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9"/>
      <w:spacing w:before="1" w:line="182" w:lineRule="auto"/>
      <w:rPr>
        <w:rFonts w:ascii="Times New Roman" w:hAnsi="Times New Roman" w:eastAsia="Times New Roman" w:cs="Times New Roman"/>
        <w:sz w:val="39"/>
        <w:szCs w:val="39"/>
      </w:rPr>
    </w:pPr>
    <w:r>
      <w:rPr>
        <w:rFonts w:ascii="Times New Roman" w:hAnsi="Times New Roman" w:eastAsia="Times New Roman" w:cs="Times New Roman"/>
        <w:sz w:val="39"/>
        <w:szCs w:val="39"/>
        <w:spacing w:val="-12"/>
      </w:rPr>
      <w:t>—13—</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4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—141—</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before="1"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—142—</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5"/>
      <w:spacing w:line="175" w:lineRule="auto"/>
      <w:rPr>
        <w:rFonts w:ascii="Times New Roman" w:hAnsi="Times New Roman" w:eastAsia="Times New Roman" w:cs="Times New Roman"/>
        <w:sz w:val="38"/>
        <w:szCs w:val="38"/>
      </w:rPr>
    </w:pPr>
    <w:r>
      <w:rPr>
        <w:rFonts w:ascii="SimSun" w:hAnsi="SimSun" w:eastAsia="SimSun" w:cs="SimSun"/>
        <w:sz w:val="38"/>
        <w:szCs w:val="38"/>
        <w:spacing w:val="-11"/>
        <w:w w:val="57"/>
      </w:rPr>
      <w:t>—</w:t>
    </w:r>
    <w:r>
      <w:rPr>
        <w:rFonts w:ascii="SimSun" w:hAnsi="SimSun" w:eastAsia="SimSun" w:cs="SimSun"/>
        <w:sz w:val="38"/>
        <w:szCs w:val="38"/>
        <w:spacing w:val="-5"/>
      </w:rPr>
      <w:t xml:space="preserve"> </w:t>
    </w:r>
    <w:r>
      <w:rPr>
        <w:rFonts w:ascii="Times New Roman" w:hAnsi="Times New Roman" w:eastAsia="Times New Roman" w:cs="Times New Roman"/>
        <w:sz w:val="38"/>
        <w:szCs w:val="38"/>
        <w:spacing w:val="-23"/>
      </w:rPr>
      <w:t>143—</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74" w:lineRule="auto"/>
      <w:rPr>
        <w:rFonts w:ascii="Times New Roman" w:hAnsi="Times New Roman" w:eastAsia="Times New Roman" w:cs="Times New Roman"/>
        <w:sz w:val="32"/>
        <w:szCs w:val="32"/>
      </w:rPr>
    </w:pPr>
    <w:r>
      <w:rPr>
        <w:rFonts w:ascii="SimSun" w:hAnsi="SimSun" w:eastAsia="SimSun" w:cs="SimSun"/>
        <w:sz w:val="32"/>
        <w:szCs w:val="32"/>
        <w:spacing w:val="-20"/>
        <w:w w:val="98"/>
      </w:rPr>
      <w:t>—</w:t>
    </w:r>
    <w:r>
      <w:rPr>
        <w:rFonts w:ascii="SimSun" w:hAnsi="SimSun" w:eastAsia="SimSun" w:cs="SimSun"/>
        <w:sz w:val="32"/>
        <w:szCs w:val="32"/>
        <w:spacing w:val="26"/>
      </w:rPr>
      <w:t xml:space="preserve"> </w:t>
    </w:r>
    <w:r>
      <w:rPr>
        <w:rFonts w:ascii="Times New Roman" w:hAnsi="Times New Roman" w:eastAsia="Times New Roman" w:cs="Times New Roman"/>
        <w:sz w:val="32"/>
        <w:szCs w:val="32"/>
        <w:spacing w:val="-20"/>
        <w:w w:val="98"/>
      </w:rPr>
      <w:t>144—</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44"/>
      <w:spacing w:line="175" w:lineRule="auto"/>
      <w:rPr>
        <w:rFonts w:ascii="Times New Roman" w:hAnsi="Times New Roman" w:eastAsia="Times New Roman" w:cs="Times New Roman"/>
        <w:sz w:val="38"/>
        <w:szCs w:val="38"/>
      </w:rPr>
    </w:pPr>
    <w:r>
      <w:rPr>
        <w:rFonts w:ascii="SimSun" w:hAnsi="SimSun" w:eastAsia="SimSun" w:cs="SimSun"/>
        <w:sz w:val="38"/>
        <w:szCs w:val="38"/>
        <w:spacing w:val="-7"/>
        <w:w w:val="37"/>
      </w:rPr>
      <w:t>—</w:t>
    </w:r>
    <w:r>
      <w:rPr>
        <w:rFonts w:ascii="SimSun" w:hAnsi="SimSun" w:eastAsia="SimSun" w:cs="SimSun"/>
        <w:sz w:val="38"/>
        <w:szCs w:val="38"/>
        <w:spacing w:val="37"/>
      </w:rPr>
      <w:t xml:space="preserve"> </w:t>
    </w:r>
    <w:r>
      <w:rPr>
        <w:rFonts w:ascii="Times New Roman" w:hAnsi="Times New Roman" w:eastAsia="Times New Roman" w:cs="Times New Roman"/>
        <w:sz w:val="38"/>
        <w:szCs w:val="38"/>
        <w:spacing w:val="-23"/>
      </w:rPr>
      <w:t>145—</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line="181" w:lineRule="auto"/>
      <w:rPr>
        <w:rFonts w:ascii="Times New Roman" w:hAnsi="Times New Roman" w:eastAsia="Times New Roman" w:cs="Times New Roman"/>
        <w:sz w:val="30"/>
        <w:szCs w:val="30"/>
      </w:rPr>
    </w:pPr>
    <w:r>
      <w:rPr>
        <w:rFonts w:ascii="Times New Roman" w:hAnsi="Times New Roman" w:eastAsia="Times New Roman" w:cs="Times New Roman"/>
        <w:sz w:val="30"/>
        <w:szCs w:val="30"/>
        <w:spacing w:val="1"/>
      </w:rPr>
      <w:t>—146—</w:t>
    </w:r>
    <w:r>
      <w:rPr>
        <w:rFonts w:ascii="Times New Roman" w:hAnsi="Times New Roman" w:eastAsia="Times New Roman" w:cs="Times New Roman"/>
        <w:sz w:val="30"/>
        <w:szCs w:val="30"/>
      </w:rPr>
      <w:t xml:space="preserve">    </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5"/>
      </w:rPr>
      <w:t>—147—</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0"/>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—148—</w:t>
    </w:r>
  </w:p>
</w:ftr>
</file>

<file path=word/footer1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0"/>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—149—</w:t>
    </w:r>
  </w:p>
</w:ftr>
</file>

<file path=word/footer1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—150—</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0"/>
      <w:spacing w:before="1" w:line="182" w:lineRule="auto"/>
      <w:rPr>
        <w:rFonts w:ascii="Times New Roman" w:hAnsi="Times New Roman" w:eastAsia="Times New Roman" w:cs="Times New Roman"/>
        <w:sz w:val="39"/>
        <w:szCs w:val="39"/>
      </w:rPr>
    </w:pPr>
    <w:r>
      <w:rPr>
        <w:rFonts w:ascii="Times New Roman" w:hAnsi="Times New Roman" w:eastAsia="Times New Roman" w:cs="Times New Roman"/>
        <w:sz w:val="39"/>
        <w:szCs w:val="39"/>
        <w:spacing w:val="-12"/>
      </w:rPr>
      <w:t>—14—</w:t>
    </w:r>
  </w:p>
</w:ftr>
</file>

<file path=word/footer1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9"/>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22"/>
      </w:rPr>
      <w:t>—151—</w:t>
    </w:r>
  </w:p>
</w:ftr>
</file>

<file path=word/footer1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—152—</w:t>
    </w:r>
  </w:p>
</w:ftr>
</file>

<file path=word/footer1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4"/>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3"/>
      </w:rPr>
      <w:t>—153—</w:t>
    </w:r>
  </w:p>
</w:ftr>
</file>

<file path=word/footer1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8"/>
      </w:rPr>
      <w:t>—154—</w:t>
    </w:r>
  </w:p>
</w:ftr>
</file>

<file path=word/footer1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5"/>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1"/>
      </w:rPr>
      <w:t>—155—</w:t>
    </w:r>
  </w:p>
</w:ftr>
</file>

<file path=word/footer1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3"/>
      </w:rPr>
      <w:t>—156—</w:t>
    </w:r>
  </w:p>
</w:ftr>
</file>

<file path=word/footer1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7"/>
      </w:rPr>
      <w:t>—157—</w:t>
    </w:r>
  </w:p>
</w:ftr>
</file>

<file path=word/footer1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4"/>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4"/>
      </w:rPr>
      <w:t>—158—</w:t>
    </w:r>
  </w:p>
</w:ftr>
</file>

<file path=word/footer1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4"/>
      <w:spacing w:line="181" w:lineRule="auto"/>
      <w:rPr>
        <w:rFonts w:ascii="Times New Roman" w:hAnsi="Times New Roman" w:eastAsia="Times New Roman" w:cs="Times New Roman"/>
        <w:sz w:val="30"/>
        <w:szCs w:val="30"/>
      </w:rPr>
    </w:pPr>
    <w:r>
      <w:rPr>
        <w:rFonts w:ascii="Times New Roman" w:hAnsi="Times New Roman" w:eastAsia="Times New Roman" w:cs="Times New Roman"/>
        <w:sz w:val="30"/>
        <w:szCs w:val="30"/>
        <w:spacing w:val="1"/>
      </w:rPr>
      <w:t>—159—</w:t>
    </w:r>
  </w:p>
</w:ftr>
</file>

<file path=word/footer1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2"/>
      </w:rPr>
      <w:t>—160—</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19"/>
      <w:spacing w:before="1" w:line="182"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27"/>
      </w:rPr>
      <w:t>—15—</w:t>
    </w:r>
  </w:p>
</w:ftr>
</file>

<file path=word/footer1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1"/>
      </w:rPr>
      <w:t>—161—</w:t>
    </w:r>
  </w:p>
</w:ftr>
</file>

<file path=word/footer1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1" w:lineRule="auto"/>
      <w:rPr>
        <w:rFonts w:ascii="Times New Roman" w:hAnsi="Times New Roman" w:eastAsia="Times New Roman" w:cs="Times New Roman"/>
        <w:sz w:val="30"/>
        <w:szCs w:val="30"/>
      </w:rPr>
    </w:pPr>
    <w:r>
      <w:rPr>
        <w:rFonts w:ascii="Times New Roman" w:hAnsi="Times New Roman" w:eastAsia="Times New Roman" w:cs="Times New Roman"/>
        <w:sz w:val="30"/>
        <w:szCs w:val="30"/>
        <w:spacing w:val="-6"/>
      </w:rPr>
      <w:t>—</w:t>
    </w:r>
    <w:r>
      <w:rPr>
        <w:rFonts w:ascii="Times New Roman" w:hAnsi="Times New Roman" w:eastAsia="Times New Roman" w:cs="Times New Roman"/>
        <w:sz w:val="30"/>
        <w:szCs w:val="30"/>
        <w:spacing w:val="-41"/>
      </w:rPr>
      <w:t xml:space="preserve"> </w:t>
    </w:r>
    <w:r>
      <w:rPr>
        <w:rFonts w:ascii="Times New Roman" w:hAnsi="Times New Roman" w:eastAsia="Times New Roman" w:cs="Times New Roman"/>
        <w:sz w:val="30"/>
        <w:szCs w:val="30"/>
        <w:spacing w:val="-6"/>
      </w:rPr>
      <w:t>162—</w:t>
    </w:r>
  </w:p>
</w:ftr>
</file>

<file path=word/footer1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—163—</w:t>
    </w:r>
  </w:p>
</w:ftr>
</file>

<file path=word/footer1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1" w:lineRule="auto"/>
      <w:rPr>
        <w:rFonts w:ascii="Times New Roman" w:hAnsi="Times New Roman" w:eastAsia="Times New Roman" w:cs="Times New Roman"/>
        <w:sz w:val="32"/>
        <w:szCs w:val="32"/>
      </w:rPr>
    </w:pPr>
    <w:r>
      <w:rPr>
        <w:rFonts w:ascii="Times New Roman" w:hAnsi="Times New Roman" w:eastAsia="Times New Roman" w:cs="Times New Roman"/>
        <w:sz w:val="32"/>
        <w:szCs w:val="32"/>
        <w:spacing w:val="1"/>
      </w:rPr>
      <w:t>—164—</w:t>
    </w:r>
  </w:p>
</w:ftr>
</file>

<file path=word/footer1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20"/>
      </w:rPr>
      <w:t>—</w:t>
    </w:r>
    <w:r>
      <w:rPr>
        <w:rFonts w:ascii="Times New Roman" w:hAnsi="Times New Roman" w:eastAsia="Times New Roman" w:cs="Times New Roman"/>
        <w:sz w:val="38"/>
        <w:szCs w:val="38"/>
        <w:spacing w:val="-55"/>
      </w:rPr>
      <w:t xml:space="preserve"> </w:t>
    </w:r>
    <w:r>
      <w:rPr>
        <w:rFonts w:ascii="Times New Roman" w:hAnsi="Times New Roman" w:eastAsia="Times New Roman" w:cs="Times New Roman"/>
        <w:sz w:val="38"/>
        <w:szCs w:val="38"/>
        <w:spacing w:val="-20"/>
      </w:rPr>
      <w:t>166—</w:t>
    </w:r>
  </w:p>
</w:ftr>
</file>

<file path=word/footer1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1"/>
      </w:rPr>
      <w:t>—167—</w:t>
    </w:r>
  </w:p>
</w:ftr>
</file>

<file path=word/footer1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5"/>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1"/>
      </w:rPr>
      <w:t>—168—</w:t>
    </w:r>
  </w:p>
</w:ftr>
</file>

<file path=word/footer1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9"/>
      </w:rPr>
      <w:t>—169—</w:t>
    </w:r>
  </w:p>
</w:ftr>
</file>

<file path=word/footer1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—170—</w:t>
    </w:r>
  </w:p>
</w:ftr>
</file>

<file path=word/footer1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—171—</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559"/>
      <w:spacing w:before="1" w:line="182"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17"/>
      </w:rPr>
      <w:t>—16—</w:t>
    </w:r>
  </w:p>
</w:ftr>
</file>

<file path=word/footer1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1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20"/>
      </w:rPr>
      <w:t>—172—</w:t>
    </w:r>
  </w:p>
</w:ftr>
</file>

<file path=word/footer1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—173—</w:t>
    </w:r>
  </w:p>
</w:ftr>
</file>

<file path=word/footer1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3"/>
      </w:rPr>
      <w:t>—174—</w:t>
    </w:r>
  </w:p>
</w:ftr>
</file>

<file path=word/footer1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2"/>
      </w:rPr>
      <w:t>—175—</w:t>
    </w:r>
  </w:p>
</w:ftr>
</file>

<file path=word/footer1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—176—</w:t>
    </w:r>
  </w:p>
</w:ftr>
</file>

<file path=word/footer1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2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9"/>
      </w:rPr>
      <w:t>—177—</w:t>
    </w:r>
  </w:p>
</w:ftr>
</file>

<file path=word/footer1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4"/>
      </w:rPr>
      <w:t>—178—</w:t>
    </w:r>
  </w:p>
</w:ftr>
</file>

<file path=word/footer1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—179—</w:t>
    </w:r>
  </w:p>
</w:ftr>
</file>

<file path=word/footer1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—180—</w:t>
    </w:r>
  </w:p>
</w:ftr>
</file>

<file path=word/footer1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7"/>
      </w:rPr>
      <w:t>—181—</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30"/>
      <w:spacing w:line="183" w:lineRule="auto"/>
      <w:rPr>
        <w:rFonts w:ascii="Times New Roman" w:hAnsi="Times New Roman" w:eastAsia="Times New Roman" w:cs="Times New Roman"/>
        <w:sz w:val="41"/>
        <w:szCs w:val="41"/>
      </w:rPr>
    </w:pPr>
    <w:r>
      <w:rPr>
        <w:rFonts w:ascii="Times New Roman" w:hAnsi="Times New Roman" w:eastAsia="Times New Roman" w:cs="Times New Roman"/>
        <w:sz w:val="41"/>
        <w:szCs w:val="41"/>
        <w:spacing w:val="-27"/>
        <w:w w:val="98"/>
      </w:rPr>
      <w:t>—17—</w:t>
    </w:r>
  </w:p>
</w:ftr>
</file>

<file path=word/footer1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7"/>
      </w:rPr>
      <w:t>—182—</w:t>
    </w:r>
  </w:p>
</w:ftr>
</file>

<file path=word/footer1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3"/>
      </w:rPr>
      <w:t>—183—</w:t>
    </w:r>
  </w:p>
</w:ftr>
</file>

<file path=word/footer1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—184—</w:t>
    </w:r>
  </w:p>
</w:ftr>
</file>

<file path=word/footer1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4"/>
      </w:rPr>
      <w:t>—185—</w:t>
    </w:r>
  </w:p>
</w:ftr>
</file>

<file path=word/footer1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9"/>
      </w:rPr>
      <w:t>—</w:t>
    </w:r>
    <w:r>
      <w:rPr>
        <w:rFonts w:ascii="Times New Roman" w:hAnsi="Times New Roman" w:eastAsia="Times New Roman" w:cs="Times New Roman"/>
        <w:sz w:val="37"/>
        <w:szCs w:val="37"/>
        <w:spacing w:val="-54"/>
      </w:rPr>
      <w:t xml:space="preserve"> </w:t>
    </w:r>
    <w:r>
      <w:rPr>
        <w:rFonts w:ascii="Times New Roman" w:hAnsi="Times New Roman" w:eastAsia="Times New Roman" w:cs="Times New Roman"/>
        <w:sz w:val="37"/>
        <w:szCs w:val="37"/>
        <w:spacing w:val="-19"/>
      </w:rPr>
      <w:t>186—</w:t>
    </w:r>
  </w:p>
</w:ftr>
</file>

<file path=word/footer1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w:t>
    </w:r>
    <w:r>
      <w:rPr>
        <w:rFonts w:ascii="Times New Roman" w:hAnsi="Times New Roman" w:eastAsia="Times New Roman" w:cs="Times New Roman"/>
        <w:sz w:val="37"/>
        <w:szCs w:val="37"/>
        <w:spacing w:val="-55"/>
      </w:rPr>
      <w:t xml:space="preserve"> </w:t>
    </w:r>
    <w:r>
      <w:rPr>
        <w:rFonts w:ascii="Times New Roman" w:hAnsi="Times New Roman" w:eastAsia="Times New Roman" w:cs="Times New Roman"/>
        <w:sz w:val="37"/>
        <w:szCs w:val="37"/>
        <w:spacing w:val="-16"/>
      </w:rPr>
      <w:t>187—</w:t>
    </w:r>
  </w:p>
</w:ftr>
</file>

<file path=word/footer1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—188—</w:t>
    </w:r>
  </w:p>
</w:ftr>
</file>

<file path=word/footer1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5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5"/>
      </w:rPr>
      <w:t>—189—</w:t>
    </w:r>
  </w:p>
</w:ftr>
</file>

<file path=word/footer1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05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5"/>
      </w:rPr>
      <w:t>—190—</w:t>
    </w:r>
  </w:p>
</w:ftr>
</file>

<file path=word/footer1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25"/>
      </w:rPr>
      <w:t>—191—</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39"/>
      <w:spacing w:before="1" w:line="182"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27"/>
      </w:rPr>
      <w:t>—18—</w:t>
    </w:r>
  </w:p>
</w:ftr>
</file>

<file path=word/footer1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—192—</w:t>
    </w:r>
  </w:p>
</w:ftr>
</file>

<file path=word/footer1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—193—</w:t>
    </w:r>
  </w:p>
</w:ftr>
</file>

<file path=word/footer1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—194—</w:t>
    </w:r>
  </w:p>
</w:ftr>
</file>

<file path=word/footer1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—195—</w:t>
    </w:r>
  </w:p>
</w:ftr>
</file>

<file path=word/footer1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3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—196—</w:t>
    </w:r>
  </w:p>
</w:ftr>
</file>

<file path=word/footer1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—197—</w:t>
    </w:r>
  </w:p>
</w:ftr>
</file>

<file path=word/footer1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20"/>
      </w:rPr>
      <w:t>—198—</w:t>
    </w:r>
  </w:p>
</w:ftr>
</file>

<file path=word/footer1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0"/>
        <w:w w:val="98"/>
      </w:rPr>
      <w:t>—200—</w:t>
    </w:r>
  </w:p>
</w:ftr>
</file>

<file path=word/footer1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—201—</w:t>
    </w:r>
  </w:p>
</w:ftr>
</file>

<file path=word/footer1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—203—</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0"/>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4"/>
      </w:rPr>
      <w:t>—19—</w:t>
    </w:r>
  </w:p>
</w:ftr>
</file>

<file path=word/footer1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7"/>
        <w:w w:val="97"/>
      </w:rPr>
      <w:t>—204—</w:t>
    </w:r>
  </w:p>
</w:ftr>
</file>

<file path=word/footer1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2"/>
      </w:rPr>
      <w:t>—205—</w:t>
    </w:r>
  </w:p>
</w:ftr>
</file>

<file path=word/footer1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5"/>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1"/>
      </w:rPr>
      <w:t>—206—</w:t>
    </w:r>
  </w:p>
</w:ftr>
</file>

<file path=word/footer1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w w:val="97"/>
      </w:rPr>
      <w:t>—207—</w:t>
    </w:r>
  </w:p>
</w:ftr>
</file>

<file path=word/footer1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5"/>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3"/>
      </w:rPr>
      <w:t>—208—</w:t>
    </w:r>
  </w:p>
</w:ftr>
</file>

<file path=word/footer1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1"/>
        <w:w w:val="95"/>
      </w:rPr>
      <w:t>—209—</w:t>
    </w:r>
  </w:p>
</w:ftr>
</file>

<file path=word/footer1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—210—</w:t>
    </w:r>
  </w:p>
</w:ftr>
</file>

<file path=word/footer1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before="1"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—211—</w:t>
    </w:r>
  </w:p>
</w:ftr>
</file>

<file path=word/footer1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8"/>
      </w:rPr>
      <w:t>—212—</w:t>
    </w:r>
  </w:p>
</w:ftr>
</file>

<file path=word/footer1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—213—</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86"/>
      <w:spacing w:line="183" w:lineRule="auto"/>
      <w:rPr>
        <w:rFonts w:ascii="Times New Roman" w:hAnsi="Times New Roman" w:eastAsia="Times New Roman" w:cs="Times New Roman"/>
        <w:sz w:val="40"/>
        <w:szCs w:val="40"/>
      </w:rPr>
    </w:pPr>
    <w:r>
      <w:rPr>
        <w:rFonts w:ascii="Times New Roman" w:hAnsi="Times New Roman" w:eastAsia="Times New Roman" w:cs="Times New Roman"/>
        <w:sz w:val="40"/>
        <w:szCs w:val="40"/>
        <w:w w:val="95"/>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49"/>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6"/>
      </w:rPr>
      <w:t>—20—</w:t>
    </w:r>
  </w:p>
</w:ftr>
</file>

<file path=word/footer2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25"/>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3"/>
      </w:rPr>
      <w:t>—214—</w:t>
    </w:r>
  </w:p>
</w:ftr>
</file>

<file path=word/footer2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—215—</w:t>
    </w:r>
  </w:p>
</w:ftr>
</file>

<file path=word/footer2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—216—</w:t>
    </w:r>
  </w:p>
</w:ftr>
</file>

<file path=word/footer2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7"/>
      </w:rPr>
      <w:t>—217—</w:t>
    </w:r>
  </w:p>
</w:ftr>
</file>

<file path=word/footer2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2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—218—</w:t>
    </w:r>
  </w:p>
</w:ftr>
</file>

<file path=word/footer2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23"/>
      </w:rPr>
      <w:t>—219—</w:t>
    </w:r>
  </w:p>
</w:ftr>
</file>

<file path=word/footer2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—220—</w:t>
    </w:r>
  </w:p>
</w:ftr>
</file>

<file path=word/footer2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0"/>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9"/>
      </w:rPr>
      <w:t>—221—</w:t>
    </w:r>
  </w:p>
</w:ftr>
</file>

<file path=word/footer2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9"/>
      <w:spacing w:before="1"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5"/>
        <w:w w:val="98"/>
      </w:rPr>
      <w:t>—222—</w:t>
    </w:r>
  </w:p>
</w:ftr>
</file>

<file path=word/footer2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8"/>
        <w:w w:val="96"/>
      </w:rPr>
      <w:t>—223—</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29"/>
      <w:spacing w:line="183"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16"/>
      </w:rPr>
      <w:t>—21—</w:t>
    </w:r>
  </w:p>
</w:ftr>
</file>

<file path=word/footer2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5"/>
      <w:spacing w:before="1"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5"/>
        <w:w w:val="93"/>
      </w:rPr>
      <w:t>—224—</w:t>
    </w:r>
  </w:p>
</w:ftr>
</file>

<file path=word/footer2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line="175" w:lineRule="auto"/>
      <w:rPr>
        <w:rFonts w:ascii="Times New Roman" w:hAnsi="Times New Roman" w:eastAsia="Times New Roman" w:cs="Times New Roman"/>
        <w:sz w:val="37"/>
        <w:szCs w:val="37"/>
      </w:rPr>
    </w:pPr>
    <w:r>
      <w:rPr>
        <w:rFonts w:ascii="SimSun" w:hAnsi="SimSun" w:eastAsia="SimSun" w:cs="SimSun"/>
        <w:sz w:val="37"/>
        <w:szCs w:val="37"/>
        <w:spacing w:val="-15"/>
        <w:w w:val="94"/>
      </w:rPr>
      <w:t>—</w:t>
    </w:r>
    <w:r>
      <w:rPr>
        <w:rFonts w:ascii="SimSun" w:hAnsi="SimSun" w:eastAsia="SimSun" w:cs="SimSun"/>
        <w:sz w:val="37"/>
        <w:szCs w:val="37"/>
        <w:spacing w:val="-55"/>
      </w:rPr>
      <w:t xml:space="preserve"> </w:t>
    </w:r>
    <w:r>
      <w:rPr>
        <w:rFonts w:ascii="Times New Roman" w:hAnsi="Times New Roman" w:eastAsia="Times New Roman" w:cs="Times New Roman"/>
        <w:sz w:val="37"/>
        <w:szCs w:val="37"/>
        <w:spacing w:val="-15"/>
        <w:w w:val="94"/>
      </w:rPr>
      <w:t>225—</w:t>
    </w:r>
  </w:p>
</w:ftr>
</file>

<file path=word/footer2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w w:val="99"/>
      </w:rPr>
      <w:t>—226—</w:t>
    </w:r>
  </w:p>
</w:ftr>
</file>

<file path=word/footer2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8"/>
        <w:w w:val="96"/>
      </w:rPr>
      <w:t>—227—</w:t>
    </w:r>
  </w:p>
</w:ftr>
</file>

<file path=word/footer2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—228—</w:t>
    </w:r>
  </w:p>
</w:ftr>
</file>

<file path=word/footer2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—229—</w:t>
    </w:r>
  </w:p>
</w:ftr>
</file>

<file path=word/footer2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8"/>
      </w:rPr>
      <w:t>—230—</w:t>
    </w:r>
  </w:p>
</w:ftr>
</file>

<file path=word/footer2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—231—</w:t>
    </w:r>
  </w:p>
</w:ftr>
</file>

<file path=word/footer2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—232—</w:t>
    </w:r>
  </w:p>
</w:ftr>
</file>

<file path=word/footer2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—233—</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6"/>
      <w:spacing w:line="183"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4"/>
        <w:w w:val="95"/>
      </w:rPr>
      <w:t>—22—</w:t>
    </w:r>
  </w:p>
</w:ftr>
</file>

<file path=word/footer2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7"/>
      </w:rPr>
      <w:t>—234—</w:t>
    </w:r>
  </w:p>
</w:ftr>
</file>

<file path=word/footer2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3"/>
        <w:w w:val="98"/>
      </w:rPr>
      <w:t>—235—</w:t>
    </w:r>
  </w:p>
</w:ftr>
</file>

<file path=word/footer2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2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w w:val="97"/>
      </w:rPr>
      <w:t>—236—</w:t>
    </w:r>
  </w:p>
</w:ftr>
</file>

<file path=word/footer2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4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1"/>
        <w:w w:val="96"/>
      </w:rPr>
      <w:t>—237—</w:t>
    </w:r>
  </w:p>
</w:ftr>
</file>

<file path=word/footer2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4"/>
        <w:w w:val="98"/>
      </w:rPr>
      <w:t>—238—</w:t>
    </w:r>
  </w:p>
</w:ftr>
</file>

<file path=word/footer2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2"/>
      </w:rPr>
      <w:t>—239—</w:t>
    </w:r>
  </w:p>
</w:ftr>
</file>

<file path=word/footer2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7"/>
      </w:rPr>
      <w:t>—240—</w:t>
    </w:r>
  </w:p>
</w:ftr>
</file>

<file path=word/footer2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4"/>
      </w:rPr>
      <w:t>—241—</w:t>
    </w:r>
  </w:p>
</w:ftr>
</file>

<file path=word/footer2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5"/>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1"/>
      </w:rPr>
      <w:t>—242—</w:t>
    </w:r>
  </w:p>
</w:ftr>
</file>

<file path=word/footer2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8"/>
        <w:w w:val="98"/>
      </w:rPr>
      <w:t>—243—</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9"/>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6"/>
      </w:rPr>
      <w:t>—23—</w:t>
    </w:r>
  </w:p>
</w:ftr>
</file>

<file path=word/footer2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4"/>
      <w:spacing w:before="1"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4"/>
        <w:w w:val="97"/>
      </w:rPr>
      <w:t>—244—</w:t>
    </w:r>
  </w:p>
</w:ftr>
</file>

<file path=word/footer2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9"/>
        <w:w w:val="98"/>
      </w:rPr>
      <w:t>—245—</w:t>
    </w:r>
  </w:p>
</w:ftr>
</file>

<file path=word/footer2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24"/>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7"/>
        <w:w w:val="98"/>
      </w:rPr>
      <w:t>—246—</w:t>
    </w:r>
  </w:p>
</w:ftr>
</file>

<file path=word/footer2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—247—</w:t>
    </w:r>
  </w:p>
</w:ftr>
</file>

<file path=word/footer2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25"/>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3"/>
      </w:rPr>
      <w:t>—248—</w:t>
    </w:r>
  </w:p>
</w:ftr>
</file>

<file path=word/footer2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8"/>
        <w:w w:val="96"/>
      </w:rPr>
      <w:t>—249—</w:t>
    </w:r>
  </w:p>
</w:ftr>
</file>

<file path=word/footer2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1"/>
      </w:rPr>
      <w:t>—250—</w:t>
    </w:r>
  </w:p>
</w:ftr>
</file>

<file path=word/footer2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75" w:lineRule="auto"/>
      <w:rPr>
        <w:rFonts w:ascii="Times New Roman" w:hAnsi="Times New Roman" w:eastAsia="Times New Roman" w:cs="Times New Roman"/>
        <w:sz w:val="37"/>
        <w:szCs w:val="37"/>
      </w:rPr>
    </w:pPr>
    <w:r>
      <w:rPr>
        <w:rFonts w:ascii="SimSun" w:hAnsi="SimSun" w:eastAsia="SimSun" w:cs="SimSun"/>
        <w:sz w:val="37"/>
        <w:szCs w:val="37"/>
        <w:spacing w:val="-18"/>
        <w:w w:val="95"/>
      </w:rPr>
      <w:t>—</w:t>
    </w:r>
    <w:r>
      <w:rPr>
        <w:rFonts w:ascii="SimSun" w:hAnsi="SimSun" w:eastAsia="SimSun" w:cs="SimSun"/>
        <w:sz w:val="37"/>
        <w:szCs w:val="37"/>
        <w:spacing w:val="-53"/>
      </w:rPr>
      <w:t xml:space="preserve"> </w:t>
    </w:r>
    <w:r>
      <w:rPr>
        <w:rFonts w:ascii="Times New Roman" w:hAnsi="Times New Roman" w:eastAsia="Times New Roman" w:cs="Times New Roman"/>
        <w:sz w:val="37"/>
        <w:szCs w:val="37"/>
        <w:spacing w:val="-18"/>
        <w:w w:val="95"/>
      </w:rPr>
      <w:t>253—</w:t>
    </w:r>
  </w:p>
</w:ftr>
</file>

<file path=word/footer2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—254—</w:t>
    </w:r>
  </w:p>
</w:ftr>
</file>

<file path=word/footer2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4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—255—</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2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—256—</w:t>
    </w:r>
  </w:p>
</w:ftr>
</file>

<file path=word/footer2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75" w:lineRule="auto"/>
      <w:rPr>
        <w:rFonts w:ascii="Times New Roman" w:hAnsi="Times New Roman" w:eastAsia="Times New Roman" w:cs="Times New Roman"/>
        <w:sz w:val="37"/>
        <w:szCs w:val="37"/>
      </w:rPr>
    </w:pPr>
    <w:r>
      <w:rPr>
        <w:rFonts w:ascii="SimSun" w:hAnsi="SimSun" w:eastAsia="SimSun" w:cs="SimSun"/>
        <w:sz w:val="37"/>
        <w:szCs w:val="37"/>
        <w:spacing w:val="-17"/>
        <w:w w:val="95"/>
      </w:rPr>
      <w:t>—</w:t>
    </w:r>
    <w:r>
      <w:rPr>
        <w:rFonts w:ascii="SimSun" w:hAnsi="SimSun" w:eastAsia="SimSun" w:cs="SimSun"/>
        <w:sz w:val="37"/>
        <w:szCs w:val="37"/>
        <w:spacing w:val="-62"/>
      </w:rPr>
      <w:t xml:space="preserve"> </w:t>
    </w:r>
    <w:r>
      <w:rPr>
        <w:rFonts w:ascii="Times New Roman" w:hAnsi="Times New Roman" w:eastAsia="Times New Roman" w:cs="Times New Roman"/>
        <w:sz w:val="37"/>
        <w:szCs w:val="37"/>
        <w:spacing w:val="-17"/>
        <w:w w:val="95"/>
      </w:rPr>
      <w:t>257—</w:t>
    </w:r>
  </w:p>
</w:ftr>
</file>

<file path=word/footer2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1"/>
      </w:rPr>
      <w:t>—258—</w:t>
    </w:r>
  </w:p>
</w:ftr>
</file>

<file path=word/footer2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—259—</w:t>
    </w:r>
  </w:p>
</w:ftr>
</file>

<file path=word/footer2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—261—</w:t>
    </w:r>
  </w:p>
</w:ftr>
</file>

<file path=word/footer2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—263—</w:t>
    </w:r>
  </w:p>
</w:ftr>
</file>

<file path=word/footer2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7"/>
        <w:w w:val="99"/>
      </w:rPr>
      <w:t>—264—</w:t>
    </w:r>
  </w:p>
</w:ftr>
</file>

<file path=word/footer2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4"/>
      <w:spacing w:line="181" w:lineRule="auto"/>
      <w:rPr>
        <w:rFonts w:ascii="Times New Roman" w:hAnsi="Times New Roman" w:eastAsia="Times New Roman" w:cs="Times New Roman"/>
        <w:sz w:val="32"/>
        <w:szCs w:val="32"/>
      </w:rPr>
    </w:pPr>
    <w:r>
      <w:rPr>
        <w:rFonts w:ascii="Times New Roman" w:hAnsi="Times New Roman" w:eastAsia="Times New Roman" w:cs="Times New Roman"/>
        <w:sz w:val="32"/>
        <w:szCs w:val="32"/>
        <w:spacing w:val="1"/>
      </w:rPr>
      <w:t>—265—</w:t>
    </w:r>
  </w:p>
</w:ftr>
</file>

<file path=word/footer2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1"/>
      </w:rPr>
      <w:t>—266—</w:t>
    </w:r>
  </w:p>
</w:ftr>
</file>

<file path=word/footer2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—268—</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00"/>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7"/>
      </w:rPr>
      <w:t>—25—</w:t>
    </w:r>
  </w:p>
</w:ftr>
</file>

<file path=word/footer2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8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—269—</w:t>
    </w:r>
  </w:p>
</w:ftr>
</file>

<file path=word/footer2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0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w w:val="98"/>
      </w:rPr>
      <w:t>—270—</w:t>
    </w:r>
  </w:p>
</w:ftr>
</file>

<file path=word/footer2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—271—</w:t>
    </w:r>
  </w:p>
</w:ftr>
</file>

<file path=word/footer2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—273—</w:t>
    </w:r>
  </w:p>
</w:ftr>
</file>

<file path=word/footer2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—274—</w:t>
    </w:r>
  </w:p>
</w:ftr>
</file>

<file path=word/footer2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75" w:lineRule="auto"/>
      <w:rPr>
        <w:rFonts w:ascii="Times New Roman" w:hAnsi="Times New Roman" w:eastAsia="Times New Roman" w:cs="Times New Roman"/>
        <w:sz w:val="37"/>
        <w:szCs w:val="37"/>
      </w:rPr>
    </w:pPr>
    <w:r>
      <w:rPr>
        <w:rFonts w:ascii="SimSun" w:hAnsi="SimSun" w:eastAsia="SimSun" w:cs="SimSun"/>
        <w:sz w:val="37"/>
        <w:szCs w:val="37"/>
        <w:spacing w:val="-17"/>
        <w:w w:val="95"/>
      </w:rPr>
      <w:t>—</w:t>
    </w:r>
    <w:r>
      <w:rPr>
        <w:rFonts w:ascii="SimSun" w:hAnsi="SimSun" w:eastAsia="SimSun" w:cs="SimSun"/>
        <w:sz w:val="37"/>
        <w:szCs w:val="37"/>
        <w:spacing w:val="-58"/>
      </w:rPr>
      <w:t xml:space="preserve"> </w:t>
    </w:r>
    <w:r>
      <w:rPr>
        <w:rFonts w:ascii="Times New Roman" w:hAnsi="Times New Roman" w:eastAsia="Times New Roman" w:cs="Times New Roman"/>
        <w:sz w:val="37"/>
        <w:szCs w:val="37"/>
        <w:spacing w:val="-17"/>
        <w:w w:val="95"/>
      </w:rPr>
      <w:t>275—</w:t>
    </w:r>
  </w:p>
</w:ftr>
</file>

<file path=word/footer2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0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w w:val="98"/>
      </w:rPr>
      <w:t>—277—</w:t>
    </w:r>
  </w:p>
</w:ftr>
</file>

<file path=word/footer2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0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4"/>
      </w:rPr>
      <w:t>—278—</w:t>
    </w:r>
  </w:p>
</w:ftr>
</file>

<file path=word/footer2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75" w:lineRule="auto"/>
      <w:rPr>
        <w:rFonts w:ascii="Times New Roman" w:hAnsi="Times New Roman" w:eastAsia="Times New Roman" w:cs="Times New Roman"/>
        <w:sz w:val="37"/>
        <w:szCs w:val="37"/>
      </w:rPr>
    </w:pPr>
    <w:r>
      <w:rPr>
        <w:rFonts w:ascii="SimSun" w:hAnsi="SimSun" w:eastAsia="SimSun" w:cs="SimSun"/>
        <w:sz w:val="37"/>
        <w:szCs w:val="37"/>
        <w:spacing w:val="-16"/>
        <w:w w:val="95"/>
      </w:rPr>
      <w:t>—</w:t>
    </w:r>
    <w:r>
      <w:rPr>
        <w:rFonts w:ascii="SimSun" w:hAnsi="SimSun" w:eastAsia="SimSun" w:cs="SimSun"/>
        <w:sz w:val="37"/>
        <w:szCs w:val="37"/>
        <w:spacing w:val="-63"/>
      </w:rPr>
      <w:t xml:space="preserve"> </w:t>
    </w:r>
    <w:r>
      <w:rPr>
        <w:rFonts w:ascii="Times New Roman" w:hAnsi="Times New Roman" w:eastAsia="Times New Roman" w:cs="Times New Roman"/>
        <w:sz w:val="37"/>
        <w:szCs w:val="37"/>
        <w:spacing w:val="-16"/>
        <w:w w:val="95"/>
      </w:rPr>
      <w:t>279—</w:t>
    </w:r>
  </w:p>
</w:ftr>
</file>

<file path=word/footer2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—280—</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10"/>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6"/>
      </w:rPr>
      <w:t>—26—</w:t>
    </w:r>
  </w:p>
</w:ftr>
</file>

<file path=word/footer2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—281—</w:t>
    </w:r>
  </w:p>
</w:ftr>
</file>

<file path=word/footer2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—282—</w:t>
    </w:r>
  </w:p>
</w:ftr>
</file>

<file path=word/footer2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—283—</w:t>
    </w:r>
  </w:p>
</w:ftr>
</file>

<file path=word/footer2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—284—</w:t>
    </w:r>
  </w:p>
</w:ftr>
</file>

<file path=word/footer2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—286—</w:t>
    </w:r>
  </w:p>
</w:ftr>
</file>

<file path=word/footer2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—287—</w:t>
    </w:r>
  </w:p>
</w:ftr>
</file>

<file path=word/footer2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—289—</w:t>
    </w:r>
  </w:p>
</w:ftr>
</file>

<file path=word/footer2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—290—</w:t>
    </w:r>
  </w:p>
</w:ftr>
</file>

<file path=word/footer2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1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—291—</w:t>
    </w:r>
  </w:p>
</w:ftr>
</file>

<file path=word/footer2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—292—</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49"/>
      <w:spacing w:before="1" w:line="182"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7"/>
        <w:w w:val="93"/>
      </w:rPr>
      <w:t>—27—</w:t>
    </w:r>
  </w:p>
</w:ftr>
</file>

<file path=word/footer2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—293—</w:t>
    </w:r>
  </w:p>
</w:ftr>
</file>

<file path=word/footer2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2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w w:val="95"/>
      </w:rPr>
      <w:t>—296—</w:t>
    </w:r>
  </w:p>
</w:ftr>
</file>

<file path=word/footer2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—297—</w:t>
    </w:r>
  </w:p>
</w:ftr>
</file>

<file path=word/footer2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—298—</w:t>
    </w:r>
  </w:p>
</w:ftr>
</file>

<file path=word/footer2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—299—</w:t>
    </w:r>
  </w:p>
</w:ftr>
</file>

<file path=word/footer2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—300—</w:t>
    </w:r>
  </w:p>
</w:ftr>
</file>

<file path=word/footer2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8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5"/>
      </w:rPr>
      <w:t>—301—</w:t>
    </w:r>
  </w:p>
</w:ftr>
</file>

<file path=word/footer2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7"/>
      </w:rPr>
      <w:t>—302—</w:t>
    </w:r>
  </w:p>
</w:ftr>
</file>

<file path=word/footer2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4"/>
        <w:w w:val="96"/>
      </w:rPr>
      <w:t>—303—</w:t>
    </w:r>
  </w:p>
</w:ftr>
</file>

<file path=word/footer2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0"/>
        <w:w w:val="96"/>
      </w:rPr>
      <w:t>—304—</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79"/>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6"/>
      </w:rPr>
      <w:t>—28—</w:t>
    </w:r>
  </w:p>
</w:ftr>
</file>

<file path=word/footer2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35"/>
      <w:spacing w:line="181" w:lineRule="auto"/>
      <w:rPr>
        <w:rFonts w:ascii="Times New Roman" w:hAnsi="Times New Roman" w:eastAsia="Times New Roman" w:cs="Times New Roman"/>
        <w:sz w:val="31"/>
        <w:szCs w:val="31"/>
      </w:rPr>
    </w:pPr>
    <w:r>
      <w:rPr>
        <w:rFonts w:ascii="Times New Roman" w:hAnsi="Times New Roman" w:eastAsia="Times New Roman" w:cs="Times New Roman"/>
        <w:sz w:val="31"/>
        <w:szCs w:val="31"/>
        <w:spacing w:val="1"/>
      </w:rPr>
      <w:t>—305—</w:t>
    </w:r>
    <w:r>
      <w:rPr>
        <w:rFonts w:ascii="Times New Roman" w:hAnsi="Times New Roman" w:eastAsia="Times New Roman" w:cs="Times New Roman"/>
        <w:sz w:val="31"/>
        <w:szCs w:val="31"/>
      </w:rPr>
      <w:t xml:space="preserve">   </w:t>
    </w:r>
  </w:p>
</w:ftr>
</file>

<file path=word/footer2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2"/>
      </w:rPr>
      <w:t>—307—</w:t>
    </w:r>
  </w:p>
</w:ftr>
</file>

<file path=word/footer2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4"/>
      </w:rPr>
      <w:t>—308—</w:t>
    </w:r>
  </w:p>
</w:ftr>
</file>

<file path=word/footer2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—309—</w:t>
    </w:r>
  </w:p>
</w:ftr>
</file>

<file path=word/footer2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—310—</w:t>
    </w:r>
  </w:p>
</w:ftr>
</file>

<file path=word/footer2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—311—</w:t>
    </w:r>
  </w:p>
</w:ftr>
</file>

<file path=word/footer2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—313—</w:t>
    </w:r>
  </w:p>
</w:ftr>
</file>

<file path=word/footer2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7"/>
      </w:rPr>
      <w:t>—314—</w:t>
    </w:r>
  </w:p>
</w:ftr>
</file>

<file path=word/footer2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—315—</w:t>
    </w:r>
  </w:p>
</w:ftr>
</file>

<file path=word/footer2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7"/>
      </w:rPr>
      <w:t>—316—</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79"/>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4"/>
      </w:rPr>
      <w:t>—29—</w:t>
    </w:r>
  </w:p>
</w:ftr>
</file>

<file path=word/footer2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5"/>
      </w:rPr>
      <w:t>—317—</w:t>
    </w:r>
  </w:p>
</w:ftr>
</file>

<file path=word/footer2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23"/>
      </w:rPr>
      <w:t>—318—</w:t>
    </w:r>
  </w:p>
</w:ftr>
</file>

<file path=word/footer2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3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7"/>
      </w:rPr>
      <w:t>—319—</w:t>
    </w:r>
  </w:p>
</w:ftr>
</file>

<file path=word/footer2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w w:val="97"/>
      </w:rPr>
      <w:t>—320—</w:t>
    </w:r>
  </w:p>
</w:ftr>
</file>

<file path=word/footer2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7"/>
      </w:rPr>
      <w:t>—321—</w:t>
    </w:r>
  </w:p>
</w:ftr>
</file>

<file path=word/footer2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8"/>
        <w:w w:val="98"/>
      </w:rPr>
      <w:t>—322—</w:t>
    </w:r>
  </w:p>
</w:ftr>
</file>

<file path=word/footer2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—323—</w:t>
    </w:r>
  </w:p>
</w:ftr>
</file>

<file path=word/footer2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—324—</w:t>
    </w:r>
  </w:p>
</w:ftr>
</file>

<file path=word/footer2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2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2"/>
        <w:w w:val="98"/>
      </w:rPr>
      <w:t>—325—</w:t>
    </w:r>
  </w:p>
</w:ftr>
</file>

<file path=word/footer2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—326—</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679"/>
      <w:spacing w:before="1" w:line="182"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5"/>
        <w:w w:val="95"/>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9"/>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6"/>
      </w:rPr>
      <w:t>—30—</w:t>
    </w:r>
  </w:p>
</w:ftr>
</file>

<file path=word/footer3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w w:val="98"/>
      </w:rPr>
      <w:t>—327—</w:t>
    </w:r>
  </w:p>
</w:ftr>
</file>

<file path=word/footer3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5"/>
        <w:w w:val="99"/>
      </w:rPr>
      <w:t>—328—</w:t>
    </w:r>
  </w:p>
</w:ftr>
</file>

<file path=word/footer3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8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w w:val="98"/>
      </w:rPr>
      <w:t>—329—</w:t>
    </w:r>
  </w:p>
</w:ftr>
</file>

<file path=word/footer3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—330—</w:t>
    </w:r>
  </w:p>
</w:ftr>
</file>

<file path=word/footer3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—331—</w:t>
    </w:r>
  </w:p>
</w:ftr>
</file>

<file path=word/footer3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8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—332—</w:t>
    </w:r>
  </w:p>
</w:ftr>
</file>

<file path=word/footer3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4"/>
        <w:w w:val="98"/>
      </w:rPr>
      <w:t>—333—</w:t>
    </w:r>
  </w:p>
</w:ftr>
</file>

<file path=word/footer3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—334—</w:t>
    </w:r>
  </w:p>
</w:ftr>
</file>

<file path=word/footer3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—335—</w:t>
    </w:r>
  </w:p>
</w:ftr>
</file>

<file path=word/footer3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—337—</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0"/>
      <w:spacing w:before="1" w:line="182" w:lineRule="auto"/>
      <w:rPr>
        <w:rFonts w:ascii="Times New Roman" w:hAnsi="Times New Roman" w:eastAsia="Times New Roman" w:cs="Times New Roman"/>
        <w:sz w:val="39"/>
        <w:szCs w:val="39"/>
      </w:rPr>
    </w:pPr>
    <w:r>
      <w:rPr>
        <w:rFonts w:ascii="Times New Roman" w:hAnsi="Times New Roman" w:eastAsia="Times New Roman" w:cs="Times New Roman"/>
        <w:sz w:val="39"/>
        <w:szCs w:val="39"/>
        <w:spacing w:val="-11"/>
      </w:rPr>
      <w:t>—31—</w:t>
    </w:r>
  </w:p>
</w:ftr>
</file>

<file path=word/footer3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—338—</w:t>
    </w:r>
  </w:p>
</w:ftr>
</file>

<file path=word/footer3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—339—</w:t>
    </w:r>
  </w:p>
</w:ftr>
</file>

<file path=word/footer3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—340—</w:t>
    </w:r>
  </w:p>
</w:ftr>
</file>

<file path=word/footer3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80"/>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—341—</w:t>
    </w:r>
  </w:p>
</w:ftr>
</file>

<file path=word/footer3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8"/>
        <w:w w:val="98"/>
      </w:rPr>
      <w:t>—342—</w:t>
    </w:r>
  </w:p>
</w:ftr>
</file>

<file path=word/footer3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—343—</w:t>
    </w:r>
  </w:p>
</w:ftr>
</file>

<file path=word/footer3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—344—</w:t>
    </w:r>
  </w:p>
</w:ftr>
</file>

<file path=word/footer3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—345—</w:t>
    </w:r>
  </w:p>
</w:ftr>
</file>

<file path=word/footer3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39"/>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0"/>
        <w:w w:val="97"/>
      </w:rPr>
      <w:t>—346—</w:t>
    </w:r>
  </w:p>
</w:ftr>
</file>

<file path=word/footer3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9"/>
      <w:spacing w:before="1" w:line="174" w:lineRule="auto"/>
      <w:rPr>
        <w:rFonts w:ascii="Times New Roman" w:hAnsi="Times New Roman" w:eastAsia="Times New Roman" w:cs="Times New Roman"/>
        <w:sz w:val="35"/>
        <w:szCs w:val="35"/>
      </w:rPr>
    </w:pPr>
    <w:r>
      <w:rPr>
        <w:rFonts w:ascii="SimSun" w:hAnsi="SimSun" w:eastAsia="SimSun" w:cs="SimSun"/>
        <w:sz w:val="35"/>
        <w:szCs w:val="35"/>
        <w:spacing w:val="-14"/>
        <w:w w:val="94"/>
      </w:rPr>
      <w:t>—</w:t>
    </w:r>
    <w:r>
      <w:rPr>
        <w:rFonts w:ascii="SimSun" w:hAnsi="SimSun" w:eastAsia="SimSun" w:cs="SimSun"/>
        <w:sz w:val="35"/>
        <w:szCs w:val="35"/>
        <w:spacing w:val="-29"/>
      </w:rPr>
      <w:t xml:space="preserve"> </w:t>
    </w:r>
    <w:r>
      <w:rPr>
        <w:rFonts w:ascii="Times New Roman" w:hAnsi="Times New Roman" w:eastAsia="Times New Roman" w:cs="Times New Roman"/>
        <w:sz w:val="35"/>
        <w:szCs w:val="35"/>
        <w:spacing w:val="-14"/>
        <w:w w:val="94"/>
      </w:rPr>
      <w:t>347—</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99"/>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7"/>
      </w:rPr>
      <w:t>—32—</w:t>
    </w:r>
  </w:p>
</w:ftr>
</file>

<file path=word/footer3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9"/>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4"/>
        <w:w w:val="99"/>
      </w:rPr>
      <w:t>—348—</w:t>
    </w:r>
  </w:p>
</w:ftr>
</file>

<file path=word/footer3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—352—</w:t>
    </w:r>
  </w:p>
</w:ftr>
</file>

<file path=word/footer3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9"/>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5"/>
        <w:w w:val="98"/>
      </w:rPr>
      <w:t>—353—</w:t>
    </w:r>
  </w:p>
</w:ftr>
</file>

<file path=word/footer3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39"/>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2"/>
        <w:w w:val="96"/>
      </w:rPr>
      <w:t>—354—</w:t>
    </w:r>
  </w:p>
</w:ftr>
</file>

<file path=word/footer3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—355—</w:t>
    </w:r>
  </w:p>
</w:ftr>
</file>

<file path=word/footer3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9"/>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3"/>
      </w:rPr>
      <w:t>—356—</w:t>
    </w:r>
  </w:p>
</w:ftr>
</file>

<file path=word/footer3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—357—</w:t>
    </w:r>
  </w:p>
</w:ftr>
</file>

<file path=word/footer3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9"/>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7"/>
      </w:rPr>
      <w:t>—359—</w:t>
    </w:r>
  </w:p>
</w:ftr>
</file>

<file path=word/footer3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0"/>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3"/>
        <w:w w:val="97"/>
      </w:rPr>
      <w:t>—360—</w:t>
    </w:r>
  </w:p>
</w:ftr>
</file>

<file path=word/footer3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20"/>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—361—</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69"/>
      <w:spacing w:before="1" w:line="182" w:lineRule="auto"/>
      <w:rPr>
        <w:rFonts w:ascii="Times New Roman" w:hAnsi="Times New Roman" w:eastAsia="Times New Roman" w:cs="Times New Roman"/>
        <w:sz w:val="39"/>
        <w:szCs w:val="39"/>
      </w:rPr>
    </w:pPr>
    <w:r>
      <w:rPr>
        <w:rFonts w:ascii="Times New Roman" w:hAnsi="Times New Roman" w:eastAsia="Times New Roman" w:cs="Times New Roman"/>
        <w:sz w:val="39"/>
        <w:szCs w:val="39"/>
        <w:spacing w:val="-11"/>
      </w:rPr>
      <w:t>—33—</w:t>
    </w:r>
  </w:p>
</w:ftr>
</file>

<file path=word/footer3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4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w w:val="95"/>
      </w:rPr>
      <w:t>—362—</w:t>
    </w:r>
  </w:p>
</w:ftr>
</file>

<file path=word/footer3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—363—</w:t>
    </w:r>
  </w:p>
</w:ftr>
</file>

<file path=word/footer3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3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w w:val="99"/>
      </w:rPr>
      <w:t>—365—</w:t>
    </w:r>
  </w:p>
</w:ftr>
</file>

<file path=word/footer3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4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3"/>
        <w:w w:val="98"/>
      </w:rPr>
      <w:t>—366—</w:t>
    </w:r>
  </w:p>
</w:ftr>
</file>

<file path=word/footer3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4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4"/>
        <w:w w:val="97"/>
      </w:rPr>
      <w:t>—367—</w:t>
    </w:r>
  </w:p>
</w:ftr>
</file>

<file path=word/footer3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7"/>
      </w:rPr>
      <w:t>—368—</w:t>
    </w:r>
  </w:p>
</w:ftr>
</file>

<file path=word/footer3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3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7"/>
      </w:rPr>
      <w:t>—369—</w:t>
    </w:r>
  </w:p>
</w:ftr>
</file>

<file path=word/footer3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3"/>
        <w:w w:val="99"/>
      </w:rPr>
      <w:t>—370—</w:t>
    </w:r>
  </w:p>
</w:ftr>
</file>

<file path=word/footer3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—371—</w:t>
    </w:r>
  </w:p>
</w:ftr>
</file>

<file path=word/footer3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—372—</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0"/>
      <w:spacing w:line="182" w:lineRule="auto"/>
      <w:rPr>
        <w:rFonts w:ascii="Times New Roman" w:hAnsi="Times New Roman" w:eastAsia="Times New Roman" w:cs="Times New Roman"/>
        <w:sz w:val="34"/>
        <w:szCs w:val="34"/>
      </w:rPr>
    </w:pPr>
    <w:r>
      <w:rPr>
        <w:rFonts w:ascii="Times New Roman" w:hAnsi="Times New Roman" w:eastAsia="Times New Roman" w:cs="Times New Roman"/>
        <w:sz w:val="34"/>
        <w:szCs w:val="34"/>
        <w:spacing w:val="1"/>
      </w:rPr>
      <w:t>—34—</w:t>
    </w:r>
  </w:p>
</w:ftr>
</file>

<file path=word/footer3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4"/>
      <w:spacing w:line="181" w:lineRule="auto"/>
      <w:rPr>
        <w:rFonts w:ascii="Times New Roman" w:hAnsi="Times New Roman" w:eastAsia="Times New Roman" w:cs="Times New Roman"/>
        <w:sz w:val="31"/>
        <w:szCs w:val="31"/>
      </w:rPr>
    </w:pPr>
    <w:r>
      <w:rPr>
        <w:rFonts w:ascii="Times New Roman" w:hAnsi="Times New Roman" w:eastAsia="Times New Roman" w:cs="Times New Roman"/>
        <w:sz w:val="31"/>
        <w:szCs w:val="31"/>
        <w:spacing w:val="1"/>
      </w:rPr>
      <w:t>—373—</w:t>
    </w:r>
  </w:p>
</w:ftr>
</file>

<file path=word/footer3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3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w w:val="97"/>
      </w:rPr>
      <w:t>—374—</w:t>
    </w:r>
  </w:p>
</w:ftr>
</file>

<file path=word/footer3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—375—</w:t>
    </w:r>
  </w:p>
</w:ftr>
</file>

<file path=word/footer3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—376—</w:t>
    </w:r>
  </w:p>
</w:ftr>
</file>

<file path=word/footer3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2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—377—</w:t>
    </w:r>
  </w:p>
</w:ftr>
</file>

<file path=word/footer3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—379—</w:t>
    </w:r>
  </w:p>
</w:ftr>
</file>

<file path=word/footer3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4"/>
      <w:spacing w:line="181" w:lineRule="auto"/>
      <w:rPr>
        <w:rFonts w:ascii="Times New Roman" w:hAnsi="Times New Roman" w:eastAsia="Times New Roman" w:cs="Times New Roman"/>
        <w:sz w:val="30"/>
        <w:szCs w:val="30"/>
      </w:rPr>
    </w:pPr>
    <w:r>
      <w:rPr>
        <w:rFonts w:ascii="Times New Roman" w:hAnsi="Times New Roman" w:eastAsia="Times New Roman" w:cs="Times New Roman"/>
        <w:sz w:val="30"/>
        <w:szCs w:val="30"/>
        <w:spacing w:val="-1"/>
      </w:rPr>
      <w:t>—380—   </w:t>
    </w:r>
  </w:p>
</w:ftr>
</file>

<file path=word/footer3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8"/>
      </w:rPr>
      <w:t>—381—</w:t>
    </w:r>
  </w:p>
</w:ftr>
</file>

<file path=word/footer3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5"/>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1"/>
      </w:rPr>
      <w:t>—382—</w:t>
    </w:r>
  </w:p>
</w:ftr>
</file>

<file path=word/footer3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0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w w:val="98"/>
      </w:rPr>
      <w:t>—383—</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9"/>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6"/>
      </w:rPr>
      <w:t>—35—</w:t>
    </w:r>
  </w:p>
</w:ftr>
</file>

<file path=word/footer3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4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—384—</w:t>
    </w:r>
  </w:p>
</w:ftr>
</file>

<file path=word/footer3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5"/>
      <w:spacing w:line="181" w:lineRule="auto"/>
      <w:rPr>
        <w:rFonts w:ascii="Times New Roman" w:hAnsi="Times New Roman" w:eastAsia="Times New Roman" w:cs="Times New Roman"/>
        <w:sz w:val="30"/>
        <w:szCs w:val="30"/>
      </w:rPr>
    </w:pPr>
    <w:r>
      <w:rPr>
        <w:rFonts w:ascii="Times New Roman" w:hAnsi="Times New Roman" w:eastAsia="Times New Roman" w:cs="Times New Roman"/>
        <w:sz w:val="30"/>
        <w:szCs w:val="30"/>
        <w:spacing w:val="1"/>
      </w:rPr>
      <w:t>—386—</w:t>
    </w:r>
    <w:r>
      <w:rPr>
        <w:rFonts w:ascii="Times New Roman" w:hAnsi="Times New Roman" w:eastAsia="Times New Roman" w:cs="Times New Roman"/>
        <w:sz w:val="30"/>
        <w:szCs w:val="30"/>
      </w:rPr>
      <w:t xml:space="preserve">    </w:t>
    </w:r>
  </w:p>
</w:ftr>
</file>

<file path=word/footer3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4"/>
      </w:rPr>
      <w:t>—388—</w:t>
    </w:r>
  </w:p>
</w:ftr>
</file>

<file path=word/footer3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2"/>
      </w:rPr>
      <w:t>—389—</w:t>
    </w:r>
  </w:p>
</w:ftr>
</file>

<file path=word/footer3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7"/>
      </w:rPr>
      <w:t>—391—</w:t>
    </w:r>
  </w:p>
</w:ftr>
</file>

<file path=word/footer3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1"/>
        <w:w w:val="98"/>
      </w:rPr>
      <w:t>—392—</w:t>
    </w:r>
  </w:p>
</w:ftr>
</file>

<file path=word/footer3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4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0"/>
        <w:w w:val="96"/>
      </w:rPr>
      <w:t>—394—</w:t>
    </w:r>
  </w:p>
</w:ftr>
</file>

<file path=word/footer3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2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—395—</w:t>
    </w:r>
  </w:p>
</w:ftr>
</file>

<file path=word/footer3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3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4"/>
        <w:w w:val="97"/>
      </w:rPr>
      <w:t>—396—</w:t>
    </w:r>
  </w:p>
</w:ftr>
</file>

<file path=word/footer3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2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—397—</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629"/>
      <w:spacing w:before="1" w:line="182"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11"/>
        <w:w w:val="94"/>
      </w:rPr>
      <w:t>—36—</w:t>
    </w:r>
  </w:p>
</w:ftr>
</file>

<file path=word/footer3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8"/>
      </w:rPr>
      <w:t>—398—</w:t>
    </w:r>
  </w:p>
</w:ftr>
</file>

<file path=word/footer3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4"/>
      </w:rPr>
      <w:t>—399—</w:t>
    </w:r>
  </w:p>
</w:ftr>
</file>

<file path=word/footer3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w w:val="98"/>
      </w:rPr>
      <w:t>—400—</w:t>
    </w:r>
  </w:p>
</w:ftr>
</file>

<file path=word/footer3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—401—</w:t>
    </w:r>
  </w:p>
</w:ftr>
</file>

<file path=word/footer3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8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8"/>
        <w:w w:val="99"/>
      </w:rPr>
      <w:t>—402—</w:t>
    </w:r>
  </w:p>
</w:ftr>
</file>

<file path=word/footer3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—403—</w:t>
    </w:r>
  </w:p>
</w:ftr>
</file>

<file path=word/footer3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7"/>
        <w:w w:val="99"/>
      </w:rPr>
      <w:t>—404—</w:t>
    </w:r>
  </w:p>
</w:ftr>
</file>

<file path=word/footer3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—405—</w:t>
    </w:r>
  </w:p>
</w:ftr>
</file>

<file path=word/footer3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2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w w:val="97"/>
      </w:rPr>
      <w:t>—406—</w:t>
    </w:r>
  </w:p>
</w:ftr>
</file>

<file path=word/footer3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9"/>
        <w:w w:val="98"/>
      </w:rPr>
      <w:t>—407—</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19"/>
      <w:spacing w:before="1" w:line="182" w:lineRule="auto"/>
      <w:rPr>
        <w:rFonts w:ascii="Times New Roman" w:hAnsi="Times New Roman" w:eastAsia="Times New Roman" w:cs="Times New Roman"/>
        <w:sz w:val="39"/>
        <w:szCs w:val="39"/>
      </w:rPr>
    </w:pPr>
    <w:r>
      <w:rPr>
        <w:rFonts w:ascii="Times New Roman" w:hAnsi="Times New Roman" w:eastAsia="Times New Roman" w:cs="Times New Roman"/>
        <w:sz w:val="39"/>
        <w:szCs w:val="39"/>
        <w:spacing w:val="-11"/>
        <w:w w:val="99"/>
      </w:rPr>
      <w:t>—37—</w:t>
    </w:r>
  </w:p>
</w:ftr>
</file>

<file path=word/footer3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2"/>
        <w:w w:val="98"/>
      </w:rPr>
      <w:t>—408—</w:t>
    </w:r>
  </w:p>
</w:ftr>
</file>

<file path=word/footer3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5"/>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1"/>
      </w:rPr>
      <w:t>—409—</w:t>
    </w:r>
  </w:p>
</w:ftr>
</file>

<file path=word/footer3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7"/>
      </w:rPr>
      <w:t>—410—</w:t>
    </w:r>
  </w:p>
</w:ftr>
</file>

<file path=word/footer3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5"/>
      <w:spacing w:before="1"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—411—</w:t>
    </w:r>
  </w:p>
</w:ftr>
</file>

<file path=word/footer3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9"/>
        <w:w w:val="98"/>
      </w:rPr>
      <w:t>—412—</w:t>
    </w:r>
  </w:p>
</w:ftr>
</file>

<file path=word/footer3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—413—</w:t>
    </w:r>
  </w:p>
</w:ftr>
</file>

<file path=word/footer3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—415—</w:t>
    </w:r>
  </w:p>
</w:ftr>
</file>

<file path=word/footer3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1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4"/>
      </w:rPr>
      <w:t>—416—</w:t>
    </w:r>
  </w:p>
</w:ftr>
</file>

<file path=word/footer3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1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—417—</w:t>
    </w:r>
  </w:p>
</w:ftr>
</file>

<file path=word/footer3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—418—</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0"/>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6"/>
      </w:rPr>
      <w:t>—39—</w:t>
    </w:r>
  </w:p>
</w:ftr>
</file>

<file path=word/footer3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1"/>
      </w:rPr>
      <w:t>—419—</w:t>
    </w:r>
  </w:p>
</w:ftr>
</file>

<file path=word/footer3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1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7"/>
        <w:w w:val="97"/>
      </w:rPr>
      <w:t>—420—</w:t>
    </w:r>
  </w:p>
</w:ftr>
</file>

<file path=word/footer3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05"/>
      <w:spacing w:before="1"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—421—</w:t>
    </w:r>
  </w:p>
</w:ftr>
</file>

<file path=word/footer3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before="1"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5"/>
        <w:w w:val="97"/>
      </w:rPr>
      <w:t>—422—</w:t>
    </w:r>
  </w:p>
</w:ftr>
</file>

<file path=word/footer3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—424—</w:t>
    </w:r>
  </w:p>
</w:ftr>
</file>

<file path=word/footer3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—425—</w:t>
    </w:r>
  </w:p>
</w:ftr>
</file>

<file path=word/footer3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1" w:lineRule="auto"/>
      <w:rPr>
        <w:rFonts w:ascii="Times New Roman" w:hAnsi="Times New Roman" w:eastAsia="Times New Roman" w:cs="Times New Roman"/>
        <w:sz w:val="31"/>
        <w:szCs w:val="31"/>
      </w:rPr>
    </w:pPr>
    <w:r>
      <w:rPr>
        <w:rFonts w:ascii="Times New Roman" w:hAnsi="Times New Roman" w:eastAsia="Times New Roman" w:cs="Times New Roman"/>
        <w:sz w:val="31"/>
        <w:szCs w:val="31"/>
        <w:spacing w:val="1"/>
      </w:rPr>
      <w:t>—426—</w:t>
    </w:r>
  </w:p>
</w:ftr>
</file>

<file path=word/footer3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—427—</w:t>
    </w:r>
  </w:p>
</w:ftr>
</file>

<file path=word/footer3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0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w w:val="98"/>
      </w:rPr>
      <w:t>—428—</w:t>
    </w:r>
  </w:p>
</w:ftr>
</file>

<file path=word/footer3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8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7"/>
        <w:w w:val="97"/>
      </w:rPr>
      <w:t>—429—</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69"/>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6"/>
      </w:rPr>
      <w:t>—40—</w:t>
    </w:r>
  </w:p>
</w:ftr>
</file>

<file path=word/footer3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—430—</w:t>
    </w:r>
  </w:p>
</w:ftr>
</file>

<file path=word/footer3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—431—</w:t>
    </w:r>
  </w:p>
</w:ftr>
</file>

<file path=word/footer3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—432—</w:t>
    </w:r>
  </w:p>
</w:ftr>
</file>

<file path=word/footer3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—433—</w:t>
    </w:r>
  </w:p>
</w:ftr>
</file>

<file path=word/footer3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—434—</w:t>
    </w:r>
  </w:p>
</w:ftr>
</file>

<file path=word/footer3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—435—</w:t>
    </w:r>
  </w:p>
</w:ftr>
</file>

<file path=word/footer3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—436—</w:t>
    </w:r>
  </w:p>
</w:ftr>
</file>

<file path=word/footer3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—437—</w:t>
    </w:r>
  </w:p>
</w:ftr>
</file>

<file path=word/footer3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0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3"/>
        <w:w w:val="99"/>
      </w:rPr>
      <w:t>—438—</w:t>
    </w:r>
  </w:p>
</w:ftr>
</file>

<file path=word/footer3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w w:val="97"/>
      </w:rPr>
      <w:t>—439—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679"/>
      <w:spacing w:line="183" w:lineRule="auto"/>
      <w:rPr>
        <w:rFonts w:ascii="Times New Roman" w:hAnsi="Times New Roman" w:eastAsia="Times New Roman" w:cs="Times New Roman"/>
        <w:sz w:val="41"/>
        <w:szCs w:val="41"/>
      </w:rPr>
    </w:pPr>
    <w:r>
      <w:rPr>
        <w:rFonts w:ascii="Times New Roman" w:hAnsi="Times New Roman" w:eastAsia="Times New Roman" w:cs="Times New Roman"/>
        <w:sz w:val="41"/>
        <w:szCs w:val="41"/>
        <w:spacing w:val="-26"/>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00"/>
      <w:spacing w:before="1" w:line="182" w:lineRule="auto"/>
      <w:rPr>
        <w:rFonts w:ascii="Times New Roman" w:hAnsi="Times New Roman" w:eastAsia="Times New Roman" w:cs="Times New Roman"/>
        <w:sz w:val="39"/>
        <w:szCs w:val="39"/>
      </w:rPr>
    </w:pPr>
    <w:r>
      <w:rPr>
        <w:rFonts w:ascii="Times New Roman" w:hAnsi="Times New Roman" w:eastAsia="Times New Roman" w:cs="Times New Roman"/>
        <w:sz w:val="39"/>
        <w:szCs w:val="39"/>
        <w:spacing w:val="-11"/>
      </w:rPr>
      <w:t>—41—</w:t>
    </w:r>
  </w:p>
</w:ftr>
</file>

<file path=word/footer4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—440—</w:t>
    </w:r>
  </w:p>
</w:ftr>
</file>

<file path=word/footer4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—441—</w:t>
    </w:r>
  </w:p>
</w:ftr>
</file>

<file path=word/footer4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before="1"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4"/>
        <w:w w:val="97"/>
      </w:rPr>
      <w:t>—442—</w:t>
    </w:r>
  </w:p>
</w:ftr>
</file>

<file path=word/footer4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—443—</w:t>
    </w:r>
  </w:p>
</w:ftr>
</file>

<file path=word/footer4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—444—</w:t>
    </w:r>
  </w:p>
</w:ftr>
</file>

<file path=word/footer4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w w:val="99"/>
      </w:rPr>
      <w:t>—445—</w:t>
    </w:r>
  </w:p>
</w:ftr>
</file>

<file path=word/footer4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6"/>
        <w:w w:val="98"/>
      </w:rPr>
      <w:t>—446—</w:t>
    </w:r>
  </w:p>
</w:ftr>
</file>

<file path=word/footer4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—447—</w:t>
    </w:r>
  </w:p>
</w:ftr>
</file>

<file path=word/footer4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—451—</w:t>
    </w:r>
  </w:p>
</w:ftr>
</file>

<file path=word/footer4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8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w w:val="99"/>
      </w:rPr>
      <w:t>—452—</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629"/>
      <w:spacing w:line="183"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2"/>
        <w:w w:val="91"/>
      </w:rPr>
      <w:t>—42—</w:t>
    </w:r>
  </w:p>
</w:ftr>
</file>

<file path=word/footer4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—453—</w:t>
    </w:r>
  </w:p>
</w:ftr>
</file>

<file path=word/footer4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—454—</w:t>
    </w:r>
  </w:p>
</w:ftr>
</file>

<file path=word/footer4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—455—</w:t>
    </w:r>
  </w:p>
</w:ftr>
</file>

<file path=word/footer4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—456—</w:t>
    </w:r>
  </w:p>
</w:ftr>
</file>

<file path=word/footer4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—457—</w:t>
    </w:r>
  </w:p>
</w:ftr>
</file>

<file path=word/footer4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09"/>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4"/>
      </w:rPr>
      <w:t>—458—</w:t>
    </w:r>
  </w:p>
</w:ftr>
</file>

<file path=word/footer4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0"/>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—459—</w:t>
    </w:r>
  </w:p>
</w:ftr>
</file>

<file path=word/footer4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0"/>
        <w:w w:val="96"/>
      </w:rPr>
      <w:t>—460—</w:t>
    </w:r>
  </w:p>
</w:ftr>
</file>

<file path=word/footer4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2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7"/>
      </w:rPr>
      <w:t>—461—</w:t>
    </w:r>
  </w:p>
</w:ftr>
</file>

<file path=word/footer4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7"/>
        <w:w w:val="98"/>
      </w:rPr>
      <w:t>—462—</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10"/>
      <w:spacing w:before="1" w:line="182"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6"/>
        <w:w w:val="96"/>
      </w:rPr>
      <w:t>—43—</w:t>
    </w:r>
  </w:p>
</w:ftr>
</file>

<file path=word/footer4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—463—</w:t>
    </w:r>
  </w:p>
</w:ftr>
</file>

<file path=word/footer4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—464—</w:t>
    </w:r>
  </w:p>
</w:ftr>
</file>

<file path=word/footer4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—465—</w:t>
    </w:r>
  </w:p>
</w:ftr>
</file>

<file path=word/footer4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184"/>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1"/>
      </w:rPr>
      <w:t>—466—</w:t>
    </w:r>
  </w:p>
</w:ftr>
</file>

<file path=word/footer4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—467—</w:t>
    </w:r>
  </w:p>
</w:ftr>
</file>

<file path=word/footer4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—468—</w:t>
    </w:r>
  </w:p>
</w:ftr>
</file>

<file path=word/footer4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—469—</w:t>
    </w:r>
  </w:p>
</w:ftr>
</file>

<file path=word/footer4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9"/>
        <w:w w:val="97"/>
      </w:rPr>
      <w:t>—470—</w:t>
    </w:r>
  </w:p>
</w:ftr>
</file>

<file path=word/footer4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1" w:lineRule="auto"/>
      <w:rPr>
        <w:rFonts w:ascii="Times New Roman" w:hAnsi="Times New Roman" w:eastAsia="Times New Roman" w:cs="Times New Roman"/>
        <w:sz w:val="30"/>
        <w:szCs w:val="30"/>
      </w:rPr>
    </w:pPr>
    <w:r>
      <w:rPr>
        <w:rFonts w:ascii="Times New Roman" w:hAnsi="Times New Roman" w:eastAsia="Times New Roman" w:cs="Times New Roman"/>
        <w:sz w:val="30"/>
        <w:szCs w:val="30"/>
        <w:spacing w:val="1"/>
      </w:rPr>
      <w:t>—471—</w:t>
    </w:r>
  </w:p>
</w:ftr>
</file>

<file path=word/footer4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1"/>
      </w:rPr>
      <w:t>—473—</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60"/>
      <w:spacing w:before="1" w:line="182" w:lineRule="auto"/>
      <w:rPr>
        <w:rFonts w:ascii="Times New Roman" w:hAnsi="Times New Roman" w:eastAsia="Times New Roman" w:cs="Times New Roman"/>
        <w:sz w:val="39"/>
        <w:szCs w:val="39"/>
      </w:rPr>
    </w:pPr>
    <w:r>
      <w:rPr>
        <w:rFonts w:ascii="Times New Roman" w:hAnsi="Times New Roman" w:eastAsia="Times New Roman" w:cs="Times New Roman"/>
        <w:sz w:val="39"/>
        <w:szCs w:val="39"/>
        <w:spacing w:val="-1"/>
        <w:w w:val="96"/>
      </w:rPr>
      <w:t>—44—</w:t>
    </w:r>
  </w:p>
</w:ftr>
</file>

<file path=word/footer4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6"/>
        <w:w w:val="94"/>
      </w:rPr>
      <w:t>—474—</w:t>
    </w:r>
  </w:p>
</w:ftr>
</file>

<file path=word/footer4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—475—</w:t>
    </w:r>
  </w:p>
</w:ftr>
</file>

<file path=word/footer4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—476—</w:t>
    </w:r>
  </w:p>
</w:ftr>
</file>

<file path=word/footer4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w w:val="95"/>
      </w:rPr>
      <w:t>—477—</w:t>
    </w:r>
  </w:p>
</w:ftr>
</file>

<file path=word/footer4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0"/>
        <w:w w:val="96"/>
      </w:rPr>
      <w:t>—479—</w:t>
    </w:r>
  </w:p>
</w:ftr>
</file>

<file path=word/footer4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—480—</w:t>
    </w:r>
  </w:p>
</w:ftr>
</file>

<file path=word/footer4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2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21"/>
      </w:rPr>
      <w:t>—481—</w:t>
    </w:r>
  </w:p>
</w:ftr>
</file>

<file path=word/footer4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—482—</w:t>
    </w:r>
  </w:p>
</w:ftr>
</file>

<file path=word/footer4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1" w:lineRule="auto"/>
      <w:rPr>
        <w:rFonts w:ascii="Times New Roman" w:hAnsi="Times New Roman" w:eastAsia="Times New Roman" w:cs="Times New Roman"/>
        <w:sz w:val="30"/>
        <w:szCs w:val="30"/>
      </w:rPr>
    </w:pPr>
    <w:r>
      <w:rPr>
        <w:rFonts w:ascii="Times New Roman" w:hAnsi="Times New Roman" w:eastAsia="Times New Roman" w:cs="Times New Roman"/>
        <w:sz w:val="30"/>
        <w:szCs w:val="30"/>
        <w:spacing w:val="1"/>
      </w:rPr>
      <w:t>—483—</w:t>
    </w:r>
  </w:p>
</w:ftr>
</file>

<file path=word/footer4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—484—</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629"/>
      <w:spacing w:before="1" w:line="182"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8"/>
        <w:w w:val="93"/>
      </w:rPr>
      <w:t>—45—</w:t>
    </w:r>
  </w:p>
</w:ftr>
</file>

<file path=word/footer4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—485—</w:t>
    </w:r>
  </w:p>
</w:ftr>
</file>

<file path=word/footer4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—486—</w:t>
    </w:r>
  </w:p>
</w:ftr>
</file>

<file path=word/footer4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—487—</w:t>
    </w:r>
  </w:p>
</w:ftr>
</file>

<file path=word/footer4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—488—</w:t>
    </w:r>
  </w:p>
</w:ftr>
</file>

<file path=word/footer4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3"/>
      </w:rPr>
      <w:t>—489—</w:t>
    </w:r>
  </w:p>
</w:ftr>
</file>

<file path=word/footer4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3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—490—</w:t>
    </w:r>
  </w:p>
</w:ftr>
</file>

<file path=word/footer4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7"/>
      </w:rPr>
      <w:t>—491—</w:t>
    </w:r>
  </w:p>
</w:ftr>
</file>

<file path=word/footer4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—492—</w:t>
    </w:r>
  </w:p>
</w:ftr>
</file>

<file path=word/footer4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—493—</w:t>
    </w:r>
  </w:p>
</w:ftr>
</file>

<file path=word/footer4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—495—</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0"/>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6"/>
      </w:rPr>
      <w:t>—46—</w:t>
    </w:r>
  </w:p>
</w:ftr>
</file>

<file path=word/footer4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w w:val="98"/>
      </w:rPr>
      <w:t>—496—</w:t>
    </w:r>
  </w:p>
</w:ftr>
</file>

<file path=word/footer4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—497—</w:t>
    </w:r>
  </w:p>
</w:ftr>
</file>

<file path=word/footer4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0"/>
        <w:w w:val="97"/>
      </w:rPr>
      <w:t>—499—</w:t>
    </w:r>
  </w:p>
</w:ftr>
</file>

<file path=word/footer4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—501—</w:t>
    </w:r>
  </w:p>
</w:ftr>
</file>

<file path=word/footer4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—502—</w:t>
    </w:r>
  </w:p>
</w:ftr>
</file>

<file path=word/footer4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—503—</w:t>
    </w:r>
  </w:p>
</w:ftr>
</file>

<file path=word/footer4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—505—</w:t>
    </w:r>
  </w:p>
</w:ftr>
</file>

<file path=word/footer4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4"/>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1"/>
      </w:rPr>
      <w:t>—506—</w:t>
    </w:r>
  </w:p>
</w:ftr>
</file>

<file path=word/footer4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4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4"/>
        <w:w w:val="97"/>
      </w:rPr>
      <w:t>—507—</w:t>
    </w:r>
  </w:p>
</w:ftr>
</file>

<file path=word/footer4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—508—</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0"/>
      <w:spacing w:before="1" w:line="182" w:lineRule="auto"/>
      <w:rPr>
        <w:rFonts w:ascii="Times New Roman" w:hAnsi="Times New Roman" w:eastAsia="Times New Roman" w:cs="Times New Roman"/>
        <w:sz w:val="39"/>
        <w:szCs w:val="39"/>
      </w:rPr>
    </w:pPr>
    <w:r>
      <w:rPr>
        <w:rFonts w:ascii="Times New Roman" w:hAnsi="Times New Roman" w:eastAsia="Times New Roman" w:cs="Times New Roman"/>
        <w:sz w:val="39"/>
        <w:szCs w:val="39"/>
        <w:spacing w:val="-5"/>
        <w:w w:val="98"/>
      </w:rPr>
      <w:t>—47—</w:t>
    </w:r>
  </w:p>
</w:ftr>
</file>

<file path=word/footer4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4"/>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6"/>
      </w:rPr>
      <w:t>—509—</w:t>
    </w:r>
  </w:p>
</w:ftr>
</file>

<file path=word/footer4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—510—</w:t>
    </w:r>
  </w:p>
</w:ftr>
</file>

<file path=word/footer4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—511—</w:t>
    </w:r>
  </w:p>
</w:ftr>
</file>

<file path=word/footer4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0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20"/>
      </w:rPr>
      <w:t>—512—</w:t>
    </w:r>
  </w:p>
</w:ftr>
</file>

<file path=word/footer4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0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20"/>
      </w:rPr>
      <w:t>—513—</w:t>
    </w:r>
  </w:p>
</w:ftr>
</file>

<file path=word/footer4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1"/>
      </w:rPr>
      <w:t>—514—</w:t>
    </w:r>
  </w:p>
</w:ftr>
</file>

<file path=word/footer4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—515—</w:t>
    </w:r>
  </w:p>
</w:ftr>
</file>

<file path=word/footer4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—516—</w:t>
    </w:r>
  </w:p>
</w:ftr>
</file>

<file path=word/footer4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—517—</w:t>
    </w:r>
  </w:p>
</w:ftr>
</file>

<file path=word/footer4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9"/>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2"/>
      </w:rPr>
      <w:t>—520—</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00"/>
      <w:spacing w:before="1" w:line="182" w:lineRule="auto"/>
      <w:rPr>
        <w:rFonts w:ascii="Times New Roman" w:hAnsi="Times New Roman" w:eastAsia="Times New Roman" w:cs="Times New Roman"/>
        <w:sz w:val="39"/>
        <w:szCs w:val="39"/>
      </w:rPr>
    </w:pPr>
    <w:r>
      <w:rPr>
        <w:rFonts w:ascii="Times New Roman" w:hAnsi="Times New Roman" w:eastAsia="Times New Roman" w:cs="Times New Roman"/>
        <w:sz w:val="39"/>
        <w:szCs w:val="39"/>
        <w:spacing w:val="-11"/>
      </w:rPr>
      <w:t>—48—</w:t>
    </w:r>
  </w:p>
</w:ftr>
</file>

<file path=word/footer4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—521—</w:t>
    </w:r>
  </w:p>
</w:ftr>
</file>

<file path=word/footer4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—522—</w:t>
    </w:r>
  </w:p>
</w:ftr>
</file>

<file path=word/footer4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85"/>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1"/>
      </w:rPr>
      <w:t>—523—</w:t>
    </w:r>
  </w:p>
</w:ftr>
</file>

<file path=word/footer4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—524—</w:t>
    </w:r>
  </w:p>
</w:ftr>
</file>

<file path=word/footer4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—526—</w:t>
    </w:r>
  </w:p>
</w:ftr>
</file>

<file path=word/footer4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1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3"/>
        <w:w w:val="99"/>
      </w:rPr>
      <w:t>—527—</w:t>
    </w:r>
  </w:p>
</w:ftr>
</file>

<file path=word/footer4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3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5"/>
        <w:w w:val="98"/>
      </w:rPr>
      <w:t>—528—</w:t>
    </w:r>
  </w:p>
</w:ftr>
</file>

<file path=word/footer4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—529—</w:t>
    </w:r>
  </w:p>
</w:ftr>
</file>

<file path=word/footer4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1"/>
      </w:rPr>
      <w:t>—530—</w:t>
    </w:r>
  </w:p>
</w:ftr>
</file>

<file path=word/footer4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—532—</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6"/>
      <w:spacing w:before="1" w:line="182"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6"/>
        <w:w w:val="95"/>
      </w:rPr>
      <w:t>—49—</w:t>
    </w:r>
  </w:p>
</w:ftr>
</file>

<file path=word/footer4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7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—533—</w:t>
    </w:r>
  </w:p>
</w:ftr>
</file>

<file path=word/footer4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—534—</w:t>
    </w:r>
  </w:p>
</w:ftr>
</file>

<file path=word/footer4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—535—</w:t>
    </w:r>
  </w:p>
</w:ftr>
</file>

<file path=word/footer4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7"/>
      </w:rPr>
      <w:t>—537—</w:t>
    </w:r>
  </w:p>
</w:ftr>
</file>

<file path=word/footer4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—538—</w:t>
    </w:r>
  </w:p>
</w:ftr>
</file>

<file path=word/footer4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—539—</w:t>
    </w:r>
  </w:p>
</w:ftr>
</file>

<file path=word/footer4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—541—</w:t>
    </w:r>
  </w:p>
</w:ftr>
</file>

<file path=word/footer4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—542—</w:t>
    </w:r>
  </w:p>
</w:ftr>
</file>

<file path=word/footer4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—543—</w:t>
    </w:r>
  </w:p>
</w:ftr>
</file>

<file path=word/footer4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0"/>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8"/>
        <w:w w:val="96"/>
      </w:rPr>
      <w:t>—544—</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47"/>
      <w:spacing w:before="1" w:line="182"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12"/>
        <w:w w:val="95"/>
      </w:rPr>
      <w:t>—50—</w:t>
    </w:r>
  </w:p>
</w:ftr>
</file>

<file path=word/footer4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—547—</w:t>
    </w:r>
  </w:p>
</w:ftr>
</file>

<file path=word/footer4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—548—</w:t>
    </w:r>
  </w:p>
</w:ftr>
</file>

<file path=word/footer4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—550—</w:t>
    </w:r>
  </w:p>
</w:ftr>
</file>

<file path=word/footer4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0"/>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—551—</w:t>
    </w:r>
  </w:p>
</w:ftr>
</file>

<file path=word/footer4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—552—</w:t>
    </w:r>
  </w:p>
</w:ftr>
</file>

<file path=word/footer4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0"/>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7"/>
        <w:w w:val="98"/>
      </w:rPr>
      <w:t>—553—</w:t>
    </w:r>
  </w:p>
</w:ftr>
</file>

<file path=word/footer4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79"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3"/>
      </w:rPr>
      <w:t>—555—</w:t>
    </w:r>
  </w:p>
</w:ftr>
</file>

<file path=word/footer4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24"/>
      <w:spacing w:before="1" w:line="179"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6"/>
        <w:w w:val="98"/>
      </w:rPr>
      <w:t>—557—</w:t>
    </w:r>
  </w:p>
</w:ftr>
</file>

<file path=word/footer4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—560—</w:t>
    </w:r>
  </w:p>
</w:ftr>
</file>

<file path=word/footer4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—561—</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50"/>
      <w:spacing w:line="180" w:lineRule="auto"/>
      <w:rPr>
        <w:rFonts w:ascii="Times New Roman" w:hAnsi="Times New Roman" w:eastAsia="Times New Roman" w:cs="Times New Roman"/>
        <w:sz w:val="42"/>
        <w:szCs w:val="42"/>
      </w:rPr>
    </w:pPr>
    <w:r>
      <w:rPr>
        <w:rFonts w:ascii="Times New Roman" w:hAnsi="Times New Roman" w:eastAsia="Times New Roman" w:cs="Times New Roman"/>
        <w:sz w:val="42"/>
        <w:szCs w:val="42"/>
        <w:spacing w:val="-7"/>
        <w:w w:val="93"/>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9"/>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6"/>
      </w:rPr>
      <w:t>—51—</w:t>
    </w:r>
  </w:p>
</w:ftr>
</file>

<file path=word/footer5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w w:val="99"/>
      </w:rPr>
      <w:t>—563—</w:t>
    </w:r>
  </w:p>
</w:ftr>
</file>

<file path=word/footer5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—564—</w:t>
    </w:r>
  </w:p>
</w:ftr>
</file>

<file path=word/footer5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—565—</w:t>
    </w:r>
  </w:p>
</w:ftr>
</file>

<file path=word/footer5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1"/>
      </w:rPr>
      <w:t>—566—</w:t>
    </w:r>
  </w:p>
</w:ftr>
</file>

<file path=word/footer5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—567—</w:t>
    </w:r>
  </w:p>
</w:ftr>
</file>

<file path=word/footer5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4"/>
      <w:spacing w:line="181" w:lineRule="auto"/>
      <w:rPr>
        <w:rFonts w:ascii="Times New Roman" w:hAnsi="Times New Roman" w:eastAsia="Times New Roman" w:cs="Times New Roman"/>
        <w:sz w:val="31"/>
        <w:szCs w:val="31"/>
      </w:rPr>
    </w:pPr>
    <w:r>
      <w:rPr>
        <w:rFonts w:ascii="Times New Roman" w:hAnsi="Times New Roman" w:eastAsia="Times New Roman" w:cs="Times New Roman"/>
        <w:sz w:val="31"/>
        <w:szCs w:val="31"/>
        <w:spacing w:val="1"/>
      </w:rPr>
      <w:t>—568—</w:t>
    </w:r>
  </w:p>
</w:ftr>
</file>

<file path=word/footer5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—569—</w:t>
    </w:r>
  </w:p>
</w:ftr>
</file>

<file path=word/footer5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—570—</w:t>
    </w:r>
  </w:p>
</w:ftr>
</file>

<file path=word/footer5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—571—</w:t>
    </w:r>
  </w:p>
</w:ftr>
</file>

<file path=word/footer5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2"/>
        <w:w w:val="97"/>
      </w:rPr>
      <w:t>—572—</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6"/>
      <w:spacing w:line="183" w:lineRule="auto"/>
      <w:rPr>
        <w:rFonts w:ascii="Times New Roman" w:hAnsi="Times New Roman" w:eastAsia="Times New Roman" w:cs="Times New Roman"/>
        <w:sz w:val="41"/>
        <w:szCs w:val="41"/>
      </w:rPr>
    </w:pPr>
    <w:r>
      <w:rPr>
        <w:rFonts w:ascii="Times New Roman" w:hAnsi="Times New Roman" w:eastAsia="Times New Roman" w:cs="Times New Roman"/>
        <w:sz w:val="41"/>
        <w:szCs w:val="41"/>
        <w:spacing w:val="-9"/>
        <w:w w:val="93"/>
      </w:rPr>
      <w:t>—52—</w:t>
    </w:r>
  </w:p>
</w:ftr>
</file>

<file path=word/footer5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0"/>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—573—</w:t>
    </w:r>
  </w:p>
</w:ftr>
</file>

<file path=word/footer5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9"/>
      <w:spacing w:before="1" w:line="179"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7"/>
      </w:rPr>
      <w:t>—575—</w:t>
    </w:r>
  </w:p>
</w:ftr>
</file>

<file path=word/footer5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—576—</w:t>
    </w:r>
  </w:p>
</w:ftr>
</file>

<file path=word/footer5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9"/>
      <w:spacing w:line="179"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4"/>
      </w:rPr>
      <w:t>—577—</w:t>
    </w:r>
  </w:p>
</w:ftr>
</file>

<file path=word/footer5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—579—</w:t>
    </w:r>
  </w:p>
</w:ftr>
</file>

<file path=word/footer5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—580—</w:t>
    </w:r>
  </w:p>
</w:ftr>
</file>

<file path=word/footer5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2"/>
      </w:rPr>
      <w:t>—581—</w:t>
    </w:r>
  </w:p>
</w:ftr>
</file>

<file path=word/footer5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5"/>
        <w:w w:val="98"/>
      </w:rPr>
      <w:t>—582—</w:t>
    </w:r>
  </w:p>
</w:ftr>
</file>

<file path=word/footer5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—583—</w:t>
    </w:r>
  </w:p>
</w:ftr>
</file>

<file path=word/footer5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—585—</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55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
      </w:rPr>
      <w:t>—53—</w:t>
    </w:r>
  </w:p>
</w:ftr>
</file>

<file path=word/footer5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6"/>
      </w:rPr>
      <w:t>—586—</w:t>
    </w:r>
  </w:p>
</w:ftr>
</file>

<file path=word/footer5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—589—</w:t>
    </w:r>
  </w:p>
</w:ftr>
</file>

<file path=word/footer5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4"/>
      </w:rPr>
      <w:t>—590—</w:t>
    </w:r>
  </w:p>
</w:ftr>
</file>

<file path=word/footer5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0"/>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7"/>
      </w:rPr>
      <w:t>—591—</w:t>
    </w:r>
  </w:p>
</w:ftr>
</file>

<file path=word/footer5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—592—</w:t>
    </w:r>
  </w:p>
</w:ftr>
</file>

<file path=word/footer5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—595—</w:t>
    </w:r>
  </w:p>
</w:ftr>
</file>

<file path=word/footer5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—597—</w:t>
    </w:r>
  </w:p>
</w:ftr>
</file>

<file path=word/footer5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—598—</w:t>
    </w:r>
  </w:p>
</w:ftr>
</file>

<file path=word/footer5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—601—</w:t>
    </w:r>
  </w:p>
</w:ftr>
</file>

<file path=word/footer5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4"/>
      </w:rPr>
      <w:t>—603—</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60"/>
      <w:spacing w:before="1" w:line="182"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8"/>
        <w:w w:val="93"/>
      </w:rPr>
      <w:t>—54—</w:t>
    </w:r>
  </w:p>
</w:ftr>
</file>

<file path=word/footer5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w w:val="97"/>
      </w:rPr>
      <w:t>—604—</w:t>
    </w:r>
  </w:p>
</w:ftr>
</file>

<file path=word/footer5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4"/>
        <w:w w:val="97"/>
      </w:rPr>
      <w:t>—605—</w:t>
    </w:r>
  </w:p>
</w:ftr>
</file>

<file path=word/footer5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—606—</w:t>
    </w:r>
  </w:p>
</w:ftr>
</file>

<file path=word/footer5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—607—</w:t>
    </w:r>
  </w:p>
</w:ftr>
</file>

<file path=word/footer5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—608—</w:t>
    </w:r>
  </w:p>
</w:ftr>
</file>

<file path=word/footer5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—609—</w:t>
    </w:r>
  </w:p>
</w:ftr>
</file>

<file path=word/footer5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22"/>
      </w:rPr>
      <w:t>—610—</w:t>
    </w:r>
  </w:p>
</w:ftr>
</file>

<file path=word/footer5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—611—</w:t>
    </w:r>
  </w:p>
</w:ftr>
</file>

<file path=word/footer5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8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7"/>
      </w:rPr>
      <w:t>—612—</w:t>
    </w:r>
  </w:p>
</w:ftr>
</file>

<file path=word/footer5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21"/>
      </w:rPr>
      <w:t>—613—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6"/>
      <w:spacing w:line="179"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1"/>
      </w:rPr>
      <w:t>—55—</w:t>
    </w:r>
  </w:p>
</w:ftr>
</file>

<file path=word/footer5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—614—</w:t>
    </w:r>
  </w:p>
</w:ftr>
</file>

<file path=word/footer5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—615—</w:t>
    </w:r>
  </w:p>
</w:ftr>
</file>

<file path=word/footer5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7"/>
      </w:rPr>
      <w:t>—616—</w:t>
    </w:r>
  </w:p>
</w:ftr>
</file>

<file path=word/footer5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—617—</w:t>
    </w:r>
  </w:p>
</w:ftr>
</file>

<file path=word/footer5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—618—</w:t>
    </w:r>
  </w:p>
</w:ftr>
</file>

<file path=word/footer5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—619—</w:t>
    </w:r>
  </w:p>
</w:ftr>
</file>

<file path=word/footer5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—620—</w:t>
    </w:r>
  </w:p>
</w:ftr>
</file>

<file path=word/footer5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—622—</w:t>
    </w:r>
  </w:p>
</w:ftr>
</file>

<file path=word/footer5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—623—</w:t>
    </w:r>
  </w:p>
</w:ftr>
</file>

<file path=word/footer5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—624—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620"/>
      <w:spacing w:before="1" w:line="182"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12"/>
        <w:w w:val="95"/>
      </w:rPr>
      <w:t>—56—</w:t>
    </w:r>
  </w:p>
</w:ftr>
</file>

<file path=word/footer5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4"/>
      <w:spacing w:line="181" w:lineRule="auto"/>
      <w:rPr>
        <w:rFonts w:ascii="Times New Roman" w:hAnsi="Times New Roman" w:eastAsia="Times New Roman" w:cs="Times New Roman"/>
        <w:sz w:val="32"/>
        <w:szCs w:val="32"/>
      </w:rPr>
    </w:pPr>
    <w:r>
      <w:rPr>
        <w:rFonts w:ascii="Times New Roman" w:hAnsi="Times New Roman" w:eastAsia="Times New Roman" w:cs="Times New Roman"/>
        <w:sz w:val="32"/>
        <w:szCs w:val="32"/>
        <w:spacing w:val="1"/>
      </w:rPr>
      <w:t>—625—</w:t>
    </w:r>
  </w:p>
</w:ftr>
</file>

<file path=word/footer5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—626—</w:t>
    </w:r>
  </w:p>
</w:ftr>
</file>

<file path=word/footer5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—627—</w:t>
    </w:r>
  </w:p>
</w:ftr>
</file>

<file path=word/footer5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2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4"/>
        <w:w w:val="97"/>
      </w:rPr>
      <w:t>—628—</w:t>
    </w:r>
  </w:p>
</w:ftr>
</file>

<file path=word/footer5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—630—</w:t>
    </w:r>
  </w:p>
</w:ftr>
</file>

<file path=word/footer5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7"/>
      </w:rPr>
      <w:t>—631—</w:t>
    </w:r>
  </w:p>
</w:ftr>
</file>

<file path=word/footer5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w w:val="95"/>
      </w:rPr>
      <w:t>—632—</w:t>
    </w:r>
  </w:p>
</w:ftr>
</file>

<file path=word/footer5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0"/>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4"/>
      </w:rPr>
      <w:t>—633—</w:t>
    </w:r>
  </w:p>
</w:ftr>
</file>

<file path=word/footer5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—634—</w:t>
    </w:r>
  </w:p>
</w:ftr>
</file>

<file path=word/footer5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—635—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629"/>
      <w:spacing w:line="180" w:lineRule="auto"/>
      <w:rPr>
        <w:rFonts w:ascii="Times New Roman" w:hAnsi="Times New Roman" w:eastAsia="Times New Roman" w:cs="Times New Roman"/>
        <w:sz w:val="41"/>
        <w:szCs w:val="41"/>
      </w:rPr>
    </w:pPr>
    <w:r>
      <w:rPr>
        <w:rFonts w:ascii="Times New Roman" w:hAnsi="Times New Roman" w:eastAsia="Times New Roman" w:cs="Times New Roman"/>
        <w:sz w:val="41"/>
        <w:szCs w:val="41"/>
        <w:spacing w:val="-11"/>
        <w:w w:val="89"/>
      </w:rPr>
      <w:t>—57—</w:t>
    </w:r>
  </w:p>
</w:ftr>
</file>

<file path=word/footer5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—636—</w:t>
    </w:r>
  </w:p>
</w:ftr>
</file>

<file path=word/footer5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—637—</w:t>
    </w:r>
  </w:p>
</w:ftr>
</file>

<file path=word/footer5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—639—</w:t>
    </w:r>
  </w:p>
</w:ftr>
</file>

<file path=word/footer5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w w:val="97"/>
      </w:rPr>
      <w:t>—640—</w:t>
    </w:r>
  </w:p>
</w:ftr>
</file>

<file path=word/footer5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1" w:lineRule="auto"/>
      <w:rPr>
        <w:rFonts w:ascii="Times New Roman" w:hAnsi="Times New Roman" w:eastAsia="Times New Roman" w:cs="Times New Roman"/>
        <w:sz w:val="31"/>
        <w:szCs w:val="31"/>
      </w:rPr>
    </w:pPr>
    <w:r>
      <w:rPr>
        <w:rFonts w:ascii="Times New Roman" w:hAnsi="Times New Roman" w:eastAsia="Times New Roman" w:cs="Times New Roman"/>
        <w:sz w:val="31"/>
        <w:szCs w:val="31"/>
        <w:spacing w:val="1"/>
      </w:rPr>
      <w:t>—641—</w:t>
    </w:r>
  </w:p>
</w:ftr>
</file>

<file path=word/footer5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7"/>
      </w:rPr>
      <w:t>—642—</w:t>
    </w:r>
  </w:p>
</w:ftr>
</file>

<file path=word/footer5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—643—</w:t>
    </w:r>
  </w:p>
</w:ftr>
</file>

<file path=word/footer5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1"/>
      </w:rPr>
      <w:t>—644—</w:t>
    </w:r>
  </w:p>
</w:ftr>
</file>

<file path=word/footer5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7"/>
      </w:rPr>
      <w:t>—645—</w:t>
    </w:r>
  </w:p>
</w:ftr>
</file>

<file path=word/footer5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3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1"/>
        <w:w w:val="99"/>
      </w:rPr>
      <w:t>—647—</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56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
      </w:rPr>
      <w:t>—58—</w:t>
    </w:r>
  </w:p>
</w:ftr>
</file>

<file path=word/footer5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—649—</w:t>
    </w:r>
  </w:p>
</w:ftr>
</file>

<file path=word/footer5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—650—</w:t>
    </w:r>
  </w:p>
</w:ftr>
</file>

<file path=word/footer5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—651—</w:t>
    </w:r>
  </w:p>
</w:ftr>
</file>

<file path=word/footer5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2"/>
        <w:w w:val="97"/>
      </w:rPr>
      <w:t>—652—</w:t>
    </w:r>
  </w:p>
</w:ftr>
</file>

<file path=word/footer5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5"/>
      <w:spacing w:line="181" w:lineRule="auto"/>
      <w:rPr>
        <w:rFonts w:ascii="Times New Roman" w:hAnsi="Times New Roman" w:eastAsia="Times New Roman" w:cs="Times New Roman"/>
        <w:sz w:val="32"/>
        <w:szCs w:val="32"/>
      </w:rPr>
    </w:pPr>
    <w:r>
      <w:rPr>
        <w:rFonts w:ascii="Times New Roman" w:hAnsi="Times New Roman" w:eastAsia="Times New Roman" w:cs="Times New Roman"/>
        <w:sz w:val="32"/>
        <w:szCs w:val="32"/>
        <w:spacing w:val="1"/>
      </w:rPr>
      <w:t>—653—</w:t>
    </w:r>
  </w:p>
</w:ftr>
</file>

<file path=word/footer5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1"/>
        <w:w w:val="96"/>
      </w:rPr>
      <w:t>—654—</w:t>
    </w:r>
  </w:p>
</w:ftr>
</file>

<file path=word/footer5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—655—</w:t>
    </w:r>
  </w:p>
</w:ftr>
</file>

<file path=word/footer5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—657—</w:t>
    </w:r>
  </w:p>
</w:ftr>
</file>

<file path=word/footer5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—658—</w:t>
    </w:r>
  </w:p>
</w:ftr>
</file>

<file path=word/footer5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—659—</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629"/>
      <w:spacing w:before="1" w:line="182"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12"/>
        <w:w w:val="93"/>
      </w:rPr>
      <w:t>—59—</w:t>
    </w:r>
  </w:p>
</w:ftr>
</file>

<file path=word/footer5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1"/>
      </w:rPr>
      <w:t>—660—</w:t>
    </w:r>
  </w:p>
</w:ftr>
</file>

<file path=word/footer5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21"/>
      </w:rPr>
      <w:t>—661—</w:t>
    </w:r>
  </w:p>
</w:ftr>
</file>

<file path=word/footer5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w w:val="98"/>
      </w:rPr>
      <w:t>—662—</w:t>
    </w:r>
  </w:p>
</w:ftr>
</file>

<file path=word/footer5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5"/>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1"/>
      </w:rPr>
      <w:t>—663—</w:t>
    </w:r>
  </w:p>
</w:ftr>
</file>

<file path=word/footer5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5"/>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3"/>
      </w:rPr>
      <w:t>—664—</w:t>
    </w:r>
  </w:p>
</w:ftr>
</file>

<file path=word/footer5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—665—</w:t>
    </w:r>
  </w:p>
</w:ftr>
</file>

<file path=word/footer5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3"/>
        <w:w w:val="97"/>
      </w:rPr>
      <w:t>—667—</w:t>
    </w:r>
  </w:p>
</w:ftr>
</file>

<file path=word/footer5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1"/>
      </w:rPr>
      <w:t>—668—</w:t>
    </w:r>
  </w:p>
</w:ftr>
</file>

<file path=word/footer5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1"/>
      </w:rPr>
      <w:t>—669—</w:t>
    </w:r>
  </w:p>
</w:ftr>
</file>

<file path=word/footer5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1"/>
      </w:rPr>
      <w:t>—670—</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60"/>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6"/>
      </w:rPr>
      <w:t>—60—</w:t>
    </w:r>
  </w:p>
</w:ftr>
</file>

<file path=word/footer5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2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21"/>
      </w:rPr>
      <w:t>—671—</w:t>
    </w:r>
  </w:p>
</w:ftr>
</file>

<file path=word/footer5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—672—</w:t>
    </w:r>
  </w:p>
</w:ftr>
</file>

<file path=word/footer5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—673—</w:t>
    </w:r>
  </w:p>
</w:ftr>
</file>

<file path=word/footer5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2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0"/>
        <w:w w:val="96"/>
      </w:rPr>
      <w:t>—674—</w:t>
    </w:r>
  </w:p>
</w:ftr>
</file>

<file path=word/footer5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—675—</w:t>
    </w:r>
  </w:p>
</w:ftr>
</file>

<file path=word/footer5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6"/>
        <w:szCs w:val="36"/>
      </w:rPr>
    </w:pPr>
    <w:r>
      <w:rPr>
        <w:rFonts w:ascii="Times New Roman" w:hAnsi="Times New Roman" w:eastAsia="Times New Roman" w:cs="Times New Roman"/>
        <w:sz w:val="36"/>
        <w:szCs w:val="36"/>
        <w:spacing w:val="1"/>
      </w:rPr>
      <w:t>—676—</w:t>
    </w:r>
  </w:p>
</w:ftr>
</file>

<file path=word/footer5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3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3"/>
        <w:w w:val="97"/>
      </w:rPr>
      <w:t>—677—</w:t>
    </w:r>
  </w:p>
</w:ftr>
</file>

<file path=word/footer5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—678—</w:t>
    </w:r>
  </w:p>
</w:ftr>
</file>

<file path=word/footer5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24"/>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3"/>
        <w:w w:val="97"/>
      </w:rPr>
      <w:t>—679—</w:t>
    </w:r>
  </w:p>
</w:ftr>
</file>

<file path=word/footer5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6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5"/>
      </w:rPr>
      <w:t>—681—</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30"/>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2"/>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39"/>
      <w:spacing w:before="1" w:line="182"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25"/>
        <w:w w:val="96"/>
      </w:rPr>
      <w:t>—61—</w:t>
    </w:r>
  </w:p>
</w:ftr>
</file>

<file path=word/footer6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5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—682—</w:t>
    </w:r>
  </w:p>
</w:ftr>
</file>

<file path=word/footer6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4"/>
      </w:rPr>
      <w:t>—683—</w:t>
    </w:r>
  </w:p>
</w:ftr>
</file>

<file path=word/footer6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85"/>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3"/>
      </w:rPr>
      <w:t>—684—</w:t>
    </w:r>
  </w:p>
</w:ftr>
</file>

<file path=word/footer6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8"/>
        <w:w w:val="99"/>
      </w:rPr>
      <w:t>—685—</w:t>
    </w:r>
  </w:p>
</w:ftr>
</file>

<file path=word/footer6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5"/>
      <w:spacing w:line="181" w:lineRule="auto"/>
      <w:rPr>
        <w:rFonts w:ascii="Times New Roman" w:hAnsi="Times New Roman" w:eastAsia="Times New Roman" w:cs="Times New Roman"/>
        <w:sz w:val="32"/>
        <w:szCs w:val="32"/>
      </w:rPr>
    </w:pPr>
    <w:r>
      <w:rPr>
        <w:rFonts w:ascii="Times New Roman" w:hAnsi="Times New Roman" w:eastAsia="Times New Roman" w:cs="Times New Roman"/>
        <w:sz w:val="32"/>
        <w:szCs w:val="32"/>
        <w:spacing w:val="1"/>
      </w:rPr>
      <w:t>—686—</w:t>
    </w:r>
  </w:p>
</w:ftr>
</file>

<file path=word/footer6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9"/>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6"/>
        <w:w w:val="98"/>
      </w:rPr>
      <w:t>—687—</w:t>
    </w:r>
  </w:p>
</w:ftr>
</file>

<file path=word/footer6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9"/>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21"/>
      </w:rPr>
      <w:t>—688—</w:t>
    </w:r>
  </w:p>
</w:ftr>
</file>

<file path=word/footer6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5"/>
      <w:spacing w:line="182" w:lineRule="auto"/>
      <w:rPr>
        <w:rFonts w:ascii="Times New Roman" w:hAnsi="Times New Roman" w:eastAsia="Times New Roman" w:cs="Times New Roman"/>
        <w:sz w:val="35"/>
        <w:szCs w:val="35"/>
      </w:rPr>
    </w:pPr>
    <w:r>
      <w:rPr>
        <w:rFonts w:ascii="Times New Roman" w:hAnsi="Times New Roman" w:eastAsia="Times New Roman" w:cs="Times New Roman"/>
        <w:sz w:val="35"/>
        <w:szCs w:val="35"/>
        <w:spacing w:val="-3"/>
      </w:rPr>
      <w:t>—691—</w:t>
    </w:r>
  </w:p>
</w:ftr>
</file>

<file path=word/footer6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5"/>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11"/>
        <w:w w:val="96"/>
      </w:rPr>
      <w:t>—692—</w:t>
    </w:r>
  </w:p>
</w:ftr>
</file>

<file path=word/footer6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—693—</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60"/>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7"/>
      </w:rPr>
      <w:t>—62—</w:t>
    </w:r>
  </w:p>
</w:ftr>
</file>

<file path=word/footer6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0"/>
      </w:rPr>
      <w:t>—694—</w:t>
    </w:r>
  </w:p>
</w:ftr>
</file>

<file path=word/footer6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90"/>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—698—</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9"/>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6"/>
      </w:rPr>
      <w:t>—63—</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0"/>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6"/>
      </w:rPr>
      <w:t>—64—</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56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
      </w:rPr>
      <w:t>—65—</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00"/>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6"/>
      </w:rPr>
      <w:t>—66—</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16"/>
      <w:spacing w:before="1" w:line="182"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10"/>
        <w:w w:val="94"/>
      </w:rPr>
      <w:t>—67—</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629"/>
      <w:spacing w:before="1" w:line="182"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14"/>
        <w:w w:val="95"/>
      </w:rPr>
      <w:t>—68—</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629"/>
      <w:spacing w:before="1" w:line="182"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11"/>
        <w:w w:val="93"/>
      </w:rPr>
      <w:t>—69—</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60"/>
      <w:spacing w:before="1" w:line="182"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10"/>
        <w:w w:val="94"/>
      </w:rPr>
      <w:t>—70—</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50"/>
      <w:spacing w:line="178" w:lineRule="auto"/>
      <w:rPr>
        <w:rFonts w:ascii="Times New Roman" w:hAnsi="Times New Roman" w:eastAsia="Times New Roman" w:cs="Times New Roman"/>
        <w:sz w:val="31"/>
        <w:szCs w:val="31"/>
      </w:rPr>
    </w:pPr>
    <w:r>
      <w:rPr>
        <w:rFonts w:ascii="Times New Roman" w:hAnsi="Times New Roman" w:eastAsia="Times New Roman" w:cs="Times New Roman"/>
        <w:sz w:val="31"/>
        <w:szCs w:val="31"/>
        <w:spacing w:val="1"/>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before="1" w:line="234" w:lineRule="auto"/>
      <w:rPr>
        <w:rFonts w:ascii="SimSun" w:hAnsi="SimSun" w:eastAsia="SimSun" w:cs="SimSun"/>
        <w:sz w:val="39"/>
        <w:szCs w:val="39"/>
      </w:rPr>
    </w:pPr>
    <w:r>
      <w:rPr>
        <w:rFonts w:ascii="SimSun" w:hAnsi="SimSun" w:eastAsia="SimSun" w:cs="SimSun"/>
        <w:sz w:val="39"/>
        <w:szCs w:val="39"/>
        <w:spacing w:val="-26"/>
      </w:rPr>
      <w:t>—73—</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84"/>
      <w:spacing w:before="1" w:line="234" w:lineRule="auto"/>
      <w:rPr>
        <w:rFonts w:ascii="SimSun" w:hAnsi="SimSun" w:eastAsia="SimSun" w:cs="SimSun"/>
        <w:sz w:val="39"/>
        <w:szCs w:val="39"/>
      </w:rPr>
    </w:pPr>
    <w:r>
      <w:rPr>
        <w:rFonts w:ascii="SimSun" w:hAnsi="SimSun" w:eastAsia="SimSun" w:cs="SimSun"/>
        <w:sz w:val="39"/>
        <w:szCs w:val="39"/>
        <w:spacing w:val="-21"/>
      </w:rPr>
      <w:t>—74—</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234" w:lineRule="auto"/>
      <w:rPr>
        <w:rFonts w:ascii="SimSun" w:hAnsi="SimSun" w:eastAsia="SimSun" w:cs="SimSun"/>
        <w:sz w:val="35"/>
        <w:szCs w:val="35"/>
      </w:rPr>
    </w:pPr>
    <w:r>
      <w:rPr>
        <w:rFonts w:ascii="SimSun" w:hAnsi="SimSun" w:eastAsia="SimSun" w:cs="SimSun"/>
        <w:sz w:val="35"/>
        <w:szCs w:val="35"/>
        <w:spacing w:val="-3"/>
      </w:rPr>
      <w:t>—75—</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85"/>
      <w:spacing w:before="1" w:line="234" w:lineRule="auto"/>
      <w:rPr>
        <w:rFonts w:ascii="SimSun" w:hAnsi="SimSun" w:eastAsia="SimSun" w:cs="SimSun"/>
        <w:sz w:val="39"/>
        <w:szCs w:val="39"/>
      </w:rPr>
    </w:pPr>
    <w:r>
      <w:rPr>
        <w:rFonts w:ascii="SimSun" w:hAnsi="SimSun" w:eastAsia="SimSun" w:cs="SimSun"/>
        <w:sz w:val="39"/>
        <w:szCs w:val="39"/>
        <w:spacing w:val="-22"/>
      </w:rPr>
      <w:t>—76—</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5"/>
      <w:spacing w:before="1" w:line="234" w:lineRule="auto"/>
      <w:rPr>
        <w:rFonts w:ascii="SimSun" w:hAnsi="SimSun" w:eastAsia="SimSun" w:cs="SimSun"/>
        <w:sz w:val="39"/>
        <w:szCs w:val="39"/>
      </w:rPr>
    </w:pPr>
    <w:r>
      <w:rPr>
        <w:rFonts w:ascii="SimSun" w:hAnsi="SimSun" w:eastAsia="SimSun" w:cs="SimSun"/>
        <w:sz w:val="39"/>
        <w:szCs w:val="39"/>
        <w:spacing w:val="-16"/>
      </w:rPr>
      <w:t>—77—</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5"/>
      <w:spacing w:before="1" w:line="234" w:lineRule="auto"/>
      <w:rPr>
        <w:rFonts w:ascii="SimSun" w:hAnsi="SimSun" w:eastAsia="SimSun" w:cs="SimSun"/>
        <w:sz w:val="39"/>
        <w:szCs w:val="39"/>
      </w:rPr>
    </w:pPr>
    <w:r>
      <w:rPr>
        <w:rFonts w:ascii="SimSun" w:hAnsi="SimSun" w:eastAsia="SimSun" w:cs="SimSun"/>
        <w:sz w:val="39"/>
        <w:szCs w:val="39"/>
        <w:spacing w:val="-16"/>
      </w:rPr>
      <w:t>—78—</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24"/>
      <w:spacing w:before="1" w:line="234" w:lineRule="auto"/>
      <w:rPr>
        <w:rFonts w:ascii="SimSun" w:hAnsi="SimSun" w:eastAsia="SimSun" w:cs="SimSun"/>
        <w:sz w:val="39"/>
        <w:szCs w:val="39"/>
      </w:rPr>
    </w:pPr>
    <w:r>
      <w:rPr>
        <w:rFonts w:ascii="SimSun" w:hAnsi="SimSun" w:eastAsia="SimSun" w:cs="SimSun"/>
        <w:sz w:val="39"/>
        <w:szCs w:val="39"/>
        <w:spacing w:val="-13"/>
      </w:rPr>
      <w:t>—79—</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before="1" w:line="234" w:lineRule="auto"/>
      <w:rPr>
        <w:rFonts w:ascii="SimSun" w:hAnsi="SimSun" w:eastAsia="SimSun" w:cs="SimSun"/>
        <w:sz w:val="39"/>
        <w:szCs w:val="39"/>
      </w:rPr>
    </w:pPr>
    <w:r>
      <w:rPr>
        <w:rFonts w:ascii="SimSun" w:hAnsi="SimSun" w:eastAsia="SimSun" w:cs="SimSun"/>
        <w:sz w:val="39"/>
        <w:szCs w:val="39"/>
        <w:spacing w:val="-27"/>
      </w:rPr>
      <w:t>—80—</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29"/>
      <w:spacing w:before="1" w:line="234" w:lineRule="auto"/>
      <w:rPr>
        <w:rFonts w:ascii="SimSun" w:hAnsi="SimSun" w:eastAsia="SimSun" w:cs="SimSun"/>
        <w:sz w:val="39"/>
        <w:szCs w:val="39"/>
      </w:rPr>
    </w:pPr>
    <w:r>
      <w:rPr>
        <w:rFonts w:ascii="SimSun" w:hAnsi="SimSun" w:eastAsia="SimSun" w:cs="SimSun"/>
        <w:sz w:val="39"/>
        <w:szCs w:val="39"/>
        <w:spacing w:val="-11"/>
      </w:rPr>
      <w:t>—81—</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35"/>
      <w:spacing w:before="1" w:line="234" w:lineRule="auto"/>
      <w:rPr>
        <w:rFonts w:ascii="SimSun" w:hAnsi="SimSun" w:eastAsia="SimSun" w:cs="SimSun"/>
        <w:sz w:val="39"/>
        <w:szCs w:val="39"/>
      </w:rPr>
    </w:pPr>
    <w:r>
      <w:rPr>
        <w:rFonts w:ascii="SimSun" w:hAnsi="SimSun" w:eastAsia="SimSun" w:cs="SimSun"/>
        <w:sz w:val="39"/>
        <w:szCs w:val="39"/>
        <w:spacing w:val="-11"/>
      </w:rPr>
      <w:t>—82—</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679"/>
      <w:spacing w:before="1" w:line="182" w:lineRule="auto"/>
      <w:rPr>
        <w:rFonts w:ascii="Times New Roman" w:hAnsi="Times New Roman" w:eastAsia="Times New Roman" w:cs="Times New Roman"/>
        <w:sz w:val="40"/>
        <w:szCs w:val="40"/>
      </w:rPr>
    </w:pPr>
    <w:r>
      <w:rPr>
        <w:rFonts w:ascii="Times New Roman" w:hAnsi="Times New Roman" w:eastAsia="Times New Roman" w:cs="Times New Roman"/>
        <w:sz w:val="40"/>
        <w:szCs w:val="40"/>
        <w:spacing w:val="-9"/>
        <w:w w:val="96"/>
      </w:rPr>
      <w:t>—8—</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24"/>
      <w:spacing w:line="233" w:lineRule="auto"/>
      <w:rPr>
        <w:rFonts w:ascii="SimSun" w:hAnsi="SimSun" w:eastAsia="SimSun" w:cs="SimSun"/>
        <w:sz w:val="30"/>
        <w:szCs w:val="30"/>
      </w:rPr>
    </w:pPr>
    <w:r>
      <w:rPr>
        <w:rFonts w:ascii="SimSun" w:hAnsi="SimSun" w:eastAsia="SimSun" w:cs="SimSun"/>
        <w:sz w:val="30"/>
        <w:szCs w:val="30"/>
        <w:spacing w:val="-3"/>
      </w:rPr>
      <w:t>—83—</w:t>
    </w:r>
    <w:r>
      <w:rPr>
        <w:rFonts w:ascii="SimSun" w:hAnsi="SimSun" w:eastAsia="SimSun" w:cs="SimSun"/>
        <w:sz w:val="30"/>
        <w:szCs w:val="30"/>
        <w:strike/>
      </w:rPr>
      <w:t xml:space="preserve">  </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24"/>
      <w:spacing w:line="233" w:lineRule="auto"/>
      <w:rPr>
        <w:rFonts w:ascii="SimSun" w:hAnsi="SimSun" w:eastAsia="SimSun" w:cs="SimSun"/>
        <w:sz w:val="31"/>
        <w:szCs w:val="31"/>
      </w:rPr>
    </w:pPr>
    <w:r>
      <w:rPr>
        <w:rFonts w:ascii="SimSun" w:hAnsi="SimSun" w:eastAsia="SimSun" w:cs="SimSun"/>
        <w:sz w:val="31"/>
        <w:szCs w:val="31"/>
        <w:spacing w:val="-3"/>
      </w:rPr>
      <w:t>—85—</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04"/>
      <w:spacing w:line="233" w:lineRule="auto"/>
      <w:rPr>
        <w:rFonts w:ascii="SimSun" w:hAnsi="SimSun" w:eastAsia="SimSun" w:cs="SimSun"/>
        <w:sz w:val="31"/>
        <w:szCs w:val="31"/>
      </w:rPr>
    </w:pPr>
    <w:r>
      <w:rPr>
        <w:rFonts w:ascii="SimSun" w:hAnsi="SimSun" w:eastAsia="SimSun" w:cs="SimSun"/>
        <w:sz w:val="31"/>
        <w:szCs w:val="31"/>
        <w:spacing w:val="-3"/>
      </w:rPr>
      <w:t>—86—</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35"/>
      <w:spacing w:before="1" w:line="234" w:lineRule="auto"/>
      <w:rPr>
        <w:rFonts w:ascii="SimSun" w:hAnsi="SimSun" w:eastAsia="SimSun" w:cs="SimSun"/>
        <w:sz w:val="39"/>
        <w:szCs w:val="39"/>
      </w:rPr>
    </w:pPr>
    <w:r>
      <w:rPr>
        <w:rFonts w:ascii="SimSun" w:hAnsi="SimSun" w:eastAsia="SimSun" w:cs="SimSun"/>
        <w:sz w:val="39"/>
        <w:szCs w:val="39"/>
        <w:spacing w:val="-10"/>
      </w:rPr>
      <w:t>—87—</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24"/>
      <w:spacing w:line="234" w:lineRule="auto"/>
      <w:rPr>
        <w:rFonts w:ascii="SimSun" w:hAnsi="SimSun" w:eastAsia="SimSun" w:cs="SimSun"/>
        <w:sz w:val="35"/>
        <w:szCs w:val="35"/>
      </w:rPr>
    </w:pPr>
    <w:r>
      <w:rPr>
        <w:rFonts w:ascii="SimSun" w:hAnsi="SimSun" w:eastAsia="SimSun" w:cs="SimSun"/>
        <w:sz w:val="35"/>
        <w:szCs w:val="35"/>
        <w:spacing w:val="-3"/>
      </w:rPr>
      <w:t>—88—</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84"/>
      <w:spacing w:before="1" w:line="234" w:lineRule="auto"/>
      <w:rPr>
        <w:rFonts w:ascii="SimSun" w:hAnsi="SimSun" w:eastAsia="SimSun" w:cs="SimSun"/>
        <w:sz w:val="39"/>
        <w:szCs w:val="39"/>
      </w:rPr>
    </w:pPr>
    <w:r>
      <w:rPr>
        <w:rFonts w:ascii="SimSun" w:hAnsi="SimSun" w:eastAsia="SimSun" w:cs="SimSun"/>
        <w:sz w:val="39"/>
        <w:szCs w:val="39"/>
        <w:spacing w:val="-21"/>
      </w:rPr>
      <w:t>—89—</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35"/>
      <w:spacing w:line="234" w:lineRule="auto"/>
      <w:rPr>
        <w:rFonts w:ascii="SimSun" w:hAnsi="SimSun" w:eastAsia="SimSun" w:cs="SimSun"/>
        <w:sz w:val="36"/>
        <w:szCs w:val="36"/>
      </w:rPr>
    </w:pPr>
    <w:r>
      <w:rPr>
        <w:rFonts w:ascii="SimSun" w:hAnsi="SimSun" w:eastAsia="SimSun" w:cs="SimSun"/>
        <w:sz w:val="36"/>
        <w:szCs w:val="36"/>
        <w:spacing w:val="-3"/>
      </w:rPr>
      <w:t>—90—</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64"/>
      <w:spacing w:line="234" w:lineRule="auto"/>
      <w:rPr>
        <w:rFonts w:ascii="SimSun" w:hAnsi="SimSun" w:eastAsia="SimSun" w:cs="SimSun"/>
        <w:sz w:val="36"/>
        <w:szCs w:val="36"/>
      </w:rPr>
    </w:pPr>
    <w:r>
      <w:rPr>
        <w:rFonts w:ascii="SimSun" w:hAnsi="SimSun" w:eastAsia="SimSun" w:cs="SimSun"/>
        <w:sz w:val="36"/>
        <w:szCs w:val="36"/>
        <w:spacing w:val="-3"/>
      </w:rPr>
      <w:t>—92—</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05"/>
      <w:spacing w:before="1" w:line="234" w:lineRule="auto"/>
      <w:rPr>
        <w:rFonts w:ascii="SimSun" w:hAnsi="SimSun" w:eastAsia="SimSun" w:cs="SimSun"/>
        <w:sz w:val="39"/>
        <w:szCs w:val="39"/>
      </w:rPr>
    </w:pPr>
    <w:r>
      <w:rPr>
        <w:rFonts w:ascii="SimSun" w:hAnsi="SimSun" w:eastAsia="SimSun" w:cs="SimSun"/>
        <w:sz w:val="39"/>
        <w:szCs w:val="39"/>
        <w:spacing w:val="-25"/>
      </w:rPr>
      <w:t>—93—</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5"/>
      <w:spacing w:line="234" w:lineRule="auto"/>
      <w:rPr>
        <w:rFonts w:ascii="SimSun" w:hAnsi="SimSun" w:eastAsia="SimSun" w:cs="SimSun"/>
        <w:sz w:val="35"/>
        <w:szCs w:val="35"/>
      </w:rPr>
    </w:pPr>
    <w:r>
      <w:rPr>
        <w:rFonts w:ascii="SimSun" w:hAnsi="SimSun" w:eastAsia="SimSun" w:cs="SimSun"/>
        <w:sz w:val="35"/>
        <w:szCs w:val="35"/>
        <w:spacing w:val="-3"/>
      </w:rPr>
      <w:t>—94—</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949"/>
      <w:spacing w:before="1" w:line="182" w:lineRule="auto"/>
      <w:rPr>
        <w:rFonts w:ascii="Times New Roman" w:hAnsi="Times New Roman" w:eastAsia="Times New Roman" w:cs="Times New Roman"/>
        <w:sz w:val="38"/>
        <w:szCs w:val="38"/>
      </w:rPr>
    </w:pPr>
    <w:r>
      <w:rPr>
        <w:rFonts w:ascii="Times New Roman" w:hAnsi="Times New Roman" w:eastAsia="Times New Roman" w:cs="Times New Roman"/>
        <w:sz w:val="38"/>
        <w:szCs w:val="38"/>
        <w:spacing w:val="2"/>
      </w:rPr>
      <w:t>—9—</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85"/>
      <w:spacing w:before="1" w:line="234" w:lineRule="auto"/>
      <w:rPr>
        <w:rFonts w:ascii="SimSun" w:hAnsi="SimSun" w:eastAsia="SimSun" w:cs="SimSun"/>
        <w:sz w:val="39"/>
        <w:szCs w:val="39"/>
      </w:rPr>
    </w:pPr>
    <w:r>
      <w:rPr>
        <w:rFonts w:ascii="SimSun" w:hAnsi="SimSun" w:eastAsia="SimSun" w:cs="SimSun"/>
        <w:sz w:val="39"/>
        <w:szCs w:val="39"/>
        <w:spacing w:val="-22"/>
      </w:rPr>
      <w:t>—95—</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85"/>
      <w:spacing w:before="1" w:line="234" w:lineRule="auto"/>
      <w:rPr>
        <w:rFonts w:ascii="SimSun" w:hAnsi="SimSun" w:eastAsia="SimSun" w:cs="SimSun"/>
        <w:sz w:val="39"/>
        <w:szCs w:val="39"/>
      </w:rPr>
    </w:pPr>
    <w:r>
      <w:rPr>
        <w:rFonts w:ascii="SimSun" w:hAnsi="SimSun" w:eastAsia="SimSun" w:cs="SimSun"/>
        <w:sz w:val="39"/>
        <w:szCs w:val="39"/>
        <w:spacing w:val="-22"/>
      </w:rPr>
      <w:t>—96—</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34"/>
      <w:spacing w:before="1" w:line="234" w:lineRule="auto"/>
      <w:rPr>
        <w:rFonts w:ascii="SimSun" w:hAnsi="SimSun" w:eastAsia="SimSun" w:cs="SimSun"/>
        <w:sz w:val="39"/>
        <w:szCs w:val="39"/>
      </w:rPr>
    </w:pPr>
    <w:r>
      <w:rPr>
        <w:rFonts w:ascii="SimSun" w:hAnsi="SimSun" w:eastAsia="SimSun" w:cs="SimSun"/>
        <w:sz w:val="39"/>
        <w:szCs w:val="39"/>
        <w:spacing w:val="-20"/>
      </w:rPr>
      <w:t>—97—</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44"/>
      <w:spacing w:line="234" w:lineRule="auto"/>
      <w:rPr>
        <w:rFonts w:ascii="SimSun" w:hAnsi="SimSun" w:eastAsia="SimSun" w:cs="SimSun"/>
        <w:sz w:val="36"/>
        <w:szCs w:val="36"/>
      </w:rPr>
    </w:pPr>
    <w:r>
      <w:rPr>
        <w:rFonts w:ascii="SimSun" w:hAnsi="SimSun" w:eastAsia="SimSun" w:cs="SimSun"/>
        <w:sz w:val="36"/>
        <w:szCs w:val="36"/>
        <w:spacing w:val="-3"/>
      </w:rPr>
      <w:t>—98—</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—100—</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29"/>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w:t>
    </w:r>
    <w:r>
      <w:rPr>
        <w:rFonts w:ascii="Times New Roman" w:hAnsi="Times New Roman" w:eastAsia="Times New Roman" w:cs="Times New Roman"/>
        <w:sz w:val="37"/>
        <w:szCs w:val="37"/>
        <w:spacing w:val="-55"/>
      </w:rPr>
      <w:t xml:space="preserve"> </w:t>
    </w:r>
    <w:r>
      <w:rPr>
        <w:rFonts w:ascii="Times New Roman" w:hAnsi="Times New Roman" w:eastAsia="Times New Roman" w:cs="Times New Roman"/>
        <w:sz w:val="37"/>
        <w:szCs w:val="37"/>
        <w:spacing w:val="-16"/>
      </w:rPr>
      <w:t>101—</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1"/>
      </w:rPr>
      <w:t>—102—</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54"/>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9"/>
      </w:rPr>
      <w:t>—103—</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340"/>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16"/>
      </w:rPr>
      <w:t>—</w:t>
    </w:r>
    <w:r>
      <w:rPr>
        <w:rFonts w:ascii="Times New Roman" w:hAnsi="Times New Roman" w:eastAsia="Times New Roman" w:cs="Times New Roman"/>
        <w:sz w:val="37"/>
        <w:szCs w:val="37"/>
        <w:spacing w:val="-55"/>
      </w:rPr>
      <w:t xml:space="preserve"> </w:t>
    </w:r>
    <w:r>
      <w:rPr>
        <w:rFonts w:ascii="Times New Roman" w:hAnsi="Times New Roman" w:eastAsia="Times New Roman" w:cs="Times New Roman"/>
        <w:sz w:val="37"/>
        <w:szCs w:val="37"/>
        <w:spacing w:val="-16"/>
      </w:rPr>
      <w:t>104—</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15"/>
      <w:spacing w:line="182" w:lineRule="auto"/>
      <w:rPr>
        <w:rFonts w:ascii="Times New Roman" w:hAnsi="Times New Roman" w:eastAsia="Times New Roman" w:cs="Times New Roman"/>
        <w:sz w:val="37"/>
        <w:szCs w:val="37"/>
      </w:rPr>
    </w:pPr>
    <w:r>
      <w:rPr>
        <w:rFonts w:ascii="Times New Roman" w:hAnsi="Times New Roman" w:eastAsia="Times New Roman" w:cs="Times New Roman"/>
        <w:sz w:val="37"/>
        <w:szCs w:val="37"/>
        <w:spacing w:val="-20"/>
      </w:rPr>
      <w:t>—105—</w:t>
    </w:r>
  </w:p>
</w:ft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8.xml"/><Relationship Id="rId98" Type="http://schemas.openxmlformats.org/officeDocument/2006/relationships/footer" Target="footer97.xml"/><Relationship Id="rId97" Type="http://schemas.openxmlformats.org/officeDocument/2006/relationships/footer" Target="footer96.xml"/><Relationship Id="rId96" Type="http://schemas.openxmlformats.org/officeDocument/2006/relationships/footer" Target="footer95.xml"/><Relationship Id="rId95" Type="http://schemas.openxmlformats.org/officeDocument/2006/relationships/footer" Target="footer94.xml"/><Relationship Id="rId94" Type="http://schemas.openxmlformats.org/officeDocument/2006/relationships/footer" Target="footer93.xml"/><Relationship Id="rId93" Type="http://schemas.openxmlformats.org/officeDocument/2006/relationships/footer" Target="footer92.xml"/><Relationship Id="rId92" Type="http://schemas.openxmlformats.org/officeDocument/2006/relationships/footer" Target="footer91.xml"/><Relationship Id="rId91" Type="http://schemas.openxmlformats.org/officeDocument/2006/relationships/footer" Target="footer90.xml"/><Relationship Id="rId90" Type="http://schemas.openxmlformats.org/officeDocument/2006/relationships/footer" Target="footer89.xml"/><Relationship Id="rId9" Type="http://schemas.openxmlformats.org/officeDocument/2006/relationships/footer" Target="footer9.xml"/><Relationship Id="rId89" Type="http://schemas.openxmlformats.org/officeDocument/2006/relationships/footer" Target="footer88.xml"/><Relationship Id="rId88" Type="http://schemas.openxmlformats.org/officeDocument/2006/relationships/footer" Target="footer87.xml"/><Relationship Id="rId87" Type="http://schemas.openxmlformats.org/officeDocument/2006/relationships/footer" Target="footer86.xml"/><Relationship Id="rId86" Type="http://schemas.openxmlformats.org/officeDocument/2006/relationships/footer" Target="footer85.xml"/><Relationship Id="rId85" Type="http://schemas.openxmlformats.org/officeDocument/2006/relationships/footer" Target="footer84.xml"/><Relationship Id="rId84" Type="http://schemas.openxmlformats.org/officeDocument/2006/relationships/footer" Target="footer83.xml"/><Relationship Id="rId83" Type="http://schemas.openxmlformats.org/officeDocument/2006/relationships/footer" Target="footer82.xml"/><Relationship Id="rId82" Type="http://schemas.openxmlformats.org/officeDocument/2006/relationships/footer" Target="footer81.xml"/><Relationship Id="rId81" Type="http://schemas.openxmlformats.org/officeDocument/2006/relationships/footer" Target="footer80.xml"/><Relationship Id="rId80" Type="http://schemas.openxmlformats.org/officeDocument/2006/relationships/footer" Target="footer79.xml"/><Relationship Id="rId8" Type="http://schemas.openxmlformats.org/officeDocument/2006/relationships/footer" Target="footer8.xml"/><Relationship Id="rId79" Type="http://schemas.openxmlformats.org/officeDocument/2006/relationships/footer" Target="footer78.xml"/><Relationship Id="rId78" Type="http://schemas.openxmlformats.org/officeDocument/2006/relationships/footer" Target="footer77.xml"/><Relationship Id="rId77" Type="http://schemas.openxmlformats.org/officeDocument/2006/relationships/footer" Target="footer76.xml"/><Relationship Id="rId76" Type="http://schemas.openxmlformats.org/officeDocument/2006/relationships/footer" Target="footer75.xml"/><Relationship Id="rId75" Type="http://schemas.openxmlformats.org/officeDocument/2006/relationships/footer" Target="footer74.xml"/><Relationship Id="rId74" Type="http://schemas.openxmlformats.org/officeDocument/2006/relationships/footer" Target="footer73.xml"/><Relationship Id="rId73" Type="http://schemas.openxmlformats.org/officeDocument/2006/relationships/footer" Target="footer72.xml"/><Relationship Id="rId72" Type="http://schemas.openxmlformats.org/officeDocument/2006/relationships/footer" Target="footer71.xml"/><Relationship Id="rId71" Type="http://schemas.openxmlformats.org/officeDocument/2006/relationships/footer" Target="footer70.xml"/><Relationship Id="rId70" Type="http://schemas.openxmlformats.org/officeDocument/2006/relationships/footer" Target="footer69.xml"/><Relationship Id="rId7" Type="http://schemas.openxmlformats.org/officeDocument/2006/relationships/footer" Target="footer7.xml"/><Relationship Id="rId69" Type="http://schemas.openxmlformats.org/officeDocument/2006/relationships/footer" Target="footer68.xml"/><Relationship Id="rId68" Type="http://schemas.openxmlformats.org/officeDocument/2006/relationships/footer" Target="footer67.xml"/><Relationship Id="rId67" Type="http://schemas.openxmlformats.org/officeDocument/2006/relationships/footer" Target="footer66.xml"/><Relationship Id="rId66" Type="http://schemas.openxmlformats.org/officeDocument/2006/relationships/footer" Target="footer65.xml"/><Relationship Id="rId65" Type="http://schemas.openxmlformats.org/officeDocument/2006/relationships/image" Target="media/image1.jpeg"/><Relationship Id="rId64" Type="http://schemas.openxmlformats.org/officeDocument/2006/relationships/footer" Target="footer64.xml"/><Relationship Id="rId63" Type="http://schemas.openxmlformats.org/officeDocument/2006/relationships/footer" Target="footer63.xml"/><Relationship Id="rId620" Type="http://schemas.openxmlformats.org/officeDocument/2006/relationships/fontTable" Target="fontTable.xml"/><Relationship Id="rId62" Type="http://schemas.openxmlformats.org/officeDocument/2006/relationships/footer" Target="footer62.xml"/><Relationship Id="rId619" Type="http://schemas.openxmlformats.org/officeDocument/2006/relationships/styles" Target="styles.xml"/><Relationship Id="rId618" Type="http://schemas.openxmlformats.org/officeDocument/2006/relationships/settings" Target="settings.xml"/><Relationship Id="rId617" Type="http://schemas.openxmlformats.org/officeDocument/2006/relationships/image" Target="media/image6.jpeg"/><Relationship Id="rId616" Type="http://schemas.openxmlformats.org/officeDocument/2006/relationships/image" Target="media/image5.jpeg"/><Relationship Id="rId615" Type="http://schemas.openxmlformats.org/officeDocument/2006/relationships/image" Target="media/image4.png"/><Relationship Id="rId614" Type="http://schemas.openxmlformats.org/officeDocument/2006/relationships/image" Target="media/image3.png"/><Relationship Id="rId613" Type="http://schemas.openxmlformats.org/officeDocument/2006/relationships/footer" Target="footer611.xml"/><Relationship Id="rId612" Type="http://schemas.openxmlformats.org/officeDocument/2006/relationships/footer" Target="footer610.xml"/><Relationship Id="rId611" Type="http://schemas.openxmlformats.org/officeDocument/2006/relationships/footer" Target="footer609.xml"/><Relationship Id="rId610" Type="http://schemas.openxmlformats.org/officeDocument/2006/relationships/footer" Target="footer608.xml"/><Relationship Id="rId61" Type="http://schemas.openxmlformats.org/officeDocument/2006/relationships/footer" Target="footer61.xml"/><Relationship Id="rId609" Type="http://schemas.openxmlformats.org/officeDocument/2006/relationships/footer" Target="footer607.xml"/><Relationship Id="rId608" Type="http://schemas.openxmlformats.org/officeDocument/2006/relationships/footer" Target="footer606.xml"/><Relationship Id="rId607" Type="http://schemas.openxmlformats.org/officeDocument/2006/relationships/footer" Target="footer605.xml"/><Relationship Id="rId606" Type="http://schemas.openxmlformats.org/officeDocument/2006/relationships/footer" Target="footer604.xml"/><Relationship Id="rId605" Type="http://schemas.openxmlformats.org/officeDocument/2006/relationships/footer" Target="footer603.xml"/><Relationship Id="rId604" Type="http://schemas.openxmlformats.org/officeDocument/2006/relationships/footer" Target="footer602.xml"/><Relationship Id="rId603" Type="http://schemas.openxmlformats.org/officeDocument/2006/relationships/footer" Target="footer601.xml"/><Relationship Id="rId602" Type="http://schemas.openxmlformats.org/officeDocument/2006/relationships/footer" Target="footer600.xml"/><Relationship Id="rId601" Type="http://schemas.openxmlformats.org/officeDocument/2006/relationships/footer" Target="footer599.xml"/><Relationship Id="rId600" Type="http://schemas.openxmlformats.org/officeDocument/2006/relationships/footer" Target="footer598.xml"/><Relationship Id="rId60" Type="http://schemas.openxmlformats.org/officeDocument/2006/relationships/footer" Target="footer60.xml"/><Relationship Id="rId6" Type="http://schemas.openxmlformats.org/officeDocument/2006/relationships/footer" Target="footer6.xml"/><Relationship Id="rId599" Type="http://schemas.openxmlformats.org/officeDocument/2006/relationships/footer" Target="footer597.xml"/><Relationship Id="rId598" Type="http://schemas.openxmlformats.org/officeDocument/2006/relationships/footer" Target="footer596.xml"/><Relationship Id="rId597" Type="http://schemas.openxmlformats.org/officeDocument/2006/relationships/footer" Target="footer595.xml"/><Relationship Id="rId596" Type="http://schemas.openxmlformats.org/officeDocument/2006/relationships/footer" Target="footer594.xml"/><Relationship Id="rId595" Type="http://schemas.openxmlformats.org/officeDocument/2006/relationships/footer" Target="footer593.xml"/><Relationship Id="rId594" Type="http://schemas.openxmlformats.org/officeDocument/2006/relationships/footer" Target="footer592.xml"/><Relationship Id="rId593" Type="http://schemas.openxmlformats.org/officeDocument/2006/relationships/footer" Target="footer591.xml"/><Relationship Id="rId592" Type="http://schemas.openxmlformats.org/officeDocument/2006/relationships/footer" Target="footer590.xml"/><Relationship Id="rId591" Type="http://schemas.openxmlformats.org/officeDocument/2006/relationships/footer" Target="footer589.xml"/><Relationship Id="rId590" Type="http://schemas.openxmlformats.org/officeDocument/2006/relationships/footer" Target="footer588.xml"/><Relationship Id="rId59" Type="http://schemas.openxmlformats.org/officeDocument/2006/relationships/footer" Target="footer59.xml"/><Relationship Id="rId589" Type="http://schemas.openxmlformats.org/officeDocument/2006/relationships/footer" Target="footer587.xml"/><Relationship Id="rId588" Type="http://schemas.openxmlformats.org/officeDocument/2006/relationships/footer" Target="footer586.xml"/><Relationship Id="rId587" Type="http://schemas.openxmlformats.org/officeDocument/2006/relationships/footer" Target="footer585.xml"/><Relationship Id="rId586" Type="http://schemas.openxmlformats.org/officeDocument/2006/relationships/footer" Target="footer584.xml"/><Relationship Id="rId585" Type="http://schemas.openxmlformats.org/officeDocument/2006/relationships/footer" Target="footer583.xml"/><Relationship Id="rId584" Type="http://schemas.openxmlformats.org/officeDocument/2006/relationships/footer" Target="footer582.xml"/><Relationship Id="rId583" Type="http://schemas.openxmlformats.org/officeDocument/2006/relationships/footer" Target="footer581.xml"/><Relationship Id="rId582" Type="http://schemas.openxmlformats.org/officeDocument/2006/relationships/footer" Target="footer580.xml"/><Relationship Id="rId581" Type="http://schemas.openxmlformats.org/officeDocument/2006/relationships/footer" Target="footer579.xml"/><Relationship Id="rId580" Type="http://schemas.openxmlformats.org/officeDocument/2006/relationships/footer" Target="footer578.xml"/><Relationship Id="rId58" Type="http://schemas.openxmlformats.org/officeDocument/2006/relationships/footer" Target="footer58.xml"/><Relationship Id="rId579" Type="http://schemas.openxmlformats.org/officeDocument/2006/relationships/footer" Target="footer577.xml"/><Relationship Id="rId578" Type="http://schemas.openxmlformats.org/officeDocument/2006/relationships/footer" Target="footer576.xml"/><Relationship Id="rId577" Type="http://schemas.openxmlformats.org/officeDocument/2006/relationships/footer" Target="footer575.xml"/><Relationship Id="rId576" Type="http://schemas.openxmlformats.org/officeDocument/2006/relationships/footer" Target="footer574.xml"/><Relationship Id="rId575" Type="http://schemas.openxmlformats.org/officeDocument/2006/relationships/footer" Target="footer573.xml"/><Relationship Id="rId574" Type="http://schemas.openxmlformats.org/officeDocument/2006/relationships/footer" Target="footer572.xml"/><Relationship Id="rId573" Type="http://schemas.openxmlformats.org/officeDocument/2006/relationships/footer" Target="footer571.xml"/><Relationship Id="rId572" Type="http://schemas.openxmlformats.org/officeDocument/2006/relationships/footer" Target="footer570.xml"/><Relationship Id="rId571" Type="http://schemas.openxmlformats.org/officeDocument/2006/relationships/footer" Target="footer569.xml"/><Relationship Id="rId570" Type="http://schemas.openxmlformats.org/officeDocument/2006/relationships/footer" Target="footer568.xml"/><Relationship Id="rId57" Type="http://schemas.openxmlformats.org/officeDocument/2006/relationships/footer" Target="footer57.xml"/><Relationship Id="rId569" Type="http://schemas.openxmlformats.org/officeDocument/2006/relationships/footer" Target="footer567.xml"/><Relationship Id="rId568" Type="http://schemas.openxmlformats.org/officeDocument/2006/relationships/footer" Target="footer566.xml"/><Relationship Id="rId567" Type="http://schemas.openxmlformats.org/officeDocument/2006/relationships/footer" Target="footer565.xml"/><Relationship Id="rId566" Type="http://schemas.openxmlformats.org/officeDocument/2006/relationships/footer" Target="footer564.xml"/><Relationship Id="rId565" Type="http://schemas.openxmlformats.org/officeDocument/2006/relationships/footer" Target="footer563.xml"/><Relationship Id="rId564" Type="http://schemas.openxmlformats.org/officeDocument/2006/relationships/footer" Target="footer562.xml"/><Relationship Id="rId563" Type="http://schemas.openxmlformats.org/officeDocument/2006/relationships/footer" Target="footer561.xml"/><Relationship Id="rId562" Type="http://schemas.openxmlformats.org/officeDocument/2006/relationships/footer" Target="footer560.xml"/><Relationship Id="rId561" Type="http://schemas.openxmlformats.org/officeDocument/2006/relationships/footer" Target="footer559.xml"/><Relationship Id="rId560" Type="http://schemas.openxmlformats.org/officeDocument/2006/relationships/footer" Target="footer558.xml"/><Relationship Id="rId56" Type="http://schemas.openxmlformats.org/officeDocument/2006/relationships/footer" Target="footer56.xml"/><Relationship Id="rId559" Type="http://schemas.openxmlformats.org/officeDocument/2006/relationships/footer" Target="footer557.xml"/><Relationship Id="rId558" Type="http://schemas.openxmlformats.org/officeDocument/2006/relationships/footer" Target="footer556.xml"/><Relationship Id="rId557" Type="http://schemas.openxmlformats.org/officeDocument/2006/relationships/footer" Target="footer555.xml"/><Relationship Id="rId556" Type="http://schemas.openxmlformats.org/officeDocument/2006/relationships/footer" Target="footer554.xml"/><Relationship Id="rId555" Type="http://schemas.openxmlformats.org/officeDocument/2006/relationships/footer" Target="footer553.xml"/><Relationship Id="rId554" Type="http://schemas.openxmlformats.org/officeDocument/2006/relationships/footer" Target="footer552.xml"/><Relationship Id="rId553" Type="http://schemas.openxmlformats.org/officeDocument/2006/relationships/footer" Target="footer551.xml"/><Relationship Id="rId552" Type="http://schemas.openxmlformats.org/officeDocument/2006/relationships/footer" Target="footer550.xml"/><Relationship Id="rId551" Type="http://schemas.openxmlformats.org/officeDocument/2006/relationships/footer" Target="footer549.xml"/><Relationship Id="rId550" Type="http://schemas.openxmlformats.org/officeDocument/2006/relationships/footer" Target="footer548.xml"/><Relationship Id="rId55" Type="http://schemas.openxmlformats.org/officeDocument/2006/relationships/footer" Target="footer55.xml"/><Relationship Id="rId549" Type="http://schemas.openxmlformats.org/officeDocument/2006/relationships/footer" Target="footer547.xml"/><Relationship Id="rId548" Type="http://schemas.openxmlformats.org/officeDocument/2006/relationships/footer" Target="footer546.xml"/><Relationship Id="rId547" Type="http://schemas.openxmlformats.org/officeDocument/2006/relationships/footer" Target="footer545.xml"/><Relationship Id="rId546" Type="http://schemas.openxmlformats.org/officeDocument/2006/relationships/footer" Target="footer544.xml"/><Relationship Id="rId545" Type="http://schemas.openxmlformats.org/officeDocument/2006/relationships/footer" Target="footer543.xml"/><Relationship Id="rId544" Type="http://schemas.openxmlformats.org/officeDocument/2006/relationships/footer" Target="footer542.xml"/><Relationship Id="rId543" Type="http://schemas.openxmlformats.org/officeDocument/2006/relationships/footer" Target="footer541.xml"/><Relationship Id="rId542" Type="http://schemas.openxmlformats.org/officeDocument/2006/relationships/footer" Target="footer540.xml"/><Relationship Id="rId541" Type="http://schemas.openxmlformats.org/officeDocument/2006/relationships/footer" Target="footer539.xml"/><Relationship Id="rId540" Type="http://schemas.openxmlformats.org/officeDocument/2006/relationships/footer" Target="footer538.xml"/><Relationship Id="rId54" Type="http://schemas.openxmlformats.org/officeDocument/2006/relationships/footer" Target="footer54.xml"/><Relationship Id="rId539" Type="http://schemas.openxmlformats.org/officeDocument/2006/relationships/footer" Target="footer537.xml"/><Relationship Id="rId538" Type="http://schemas.openxmlformats.org/officeDocument/2006/relationships/footer" Target="footer536.xml"/><Relationship Id="rId537" Type="http://schemas.openxmlformats.org/officeDocument/2006/relationships/footer" Target="footer535.xml"/><Relationship Id="rId536" Type="http://schemas.openxmlformats.org/officeDocument/2006/relationships/footer" Target="footer534.xml"/><Relationship Id="rId535" Type="http://schemas.openxmlformats.org/officeDocument/2006/relationships/footer" Target="footer533.xml"/><Relationship Id="rId534" Type="http://schemas.openxmlformats.org/officeDocument/2006/relationships/footer" Target="footer532.xml"/><Relationship Id="rId533" Type="http://schemas.openxmlformats.org/officeDocument/2006/relationships/footer" Target="footer531.xml"/><Relationship Id="rId532" Type="http://schemas.openxmlformats.org/officeDocument/2006/relationships/footer" Target="footer530.xml"/><Relationship Id="rId531" Type="http://schemas.openxmlformats.org/officeDocument/2006/relationships/footer" Target="footer529.xml"/><Relationship Id="rId530" Type="http://schemas.openxmlformats.org/officeDocument/2006/relationships/footer" Target="footer528.xml"/><Relationship Id="rId53" Type="http://schemas.openxmlformats.org/officeDocument/2006/relationships/footer" Target="footer53.xml"/><Relationship Id="rId529" Type="http://schemas.openxmlformats.org/officeDocument/2006/relationships/footer" Target="footer527.xml"/><Relationship Id="rId528" Type="http://schemas.openxmlformats.org/officeDocument/2006/relationships/footer" Target="footer526.xml"/><Relationship Id="rId527" Type="http://schemas.openxmlformats.org/officeDocument/2006/relationships/footer" Target="footer525.xml"/><Relationship Id="rId526" Type="http://schemas.openxmlformats.org/officeDocument/2006/relationships/footer" Target="footer524.xml"/><Relationship Id="rId525" Type="http://schemas.openxmlformats.org/officeDocument/2006/relationships/footer" Target="footer523.xml"/><Relationship Id="rId524" Type="http://schemas.openxmlformats.org/officeDocument/2006/relationships/footer" Target="footer522.xml"/><Relationship Id="rId523" Type="http://schemas.openxmlformats.org/officeDocument/2006/relationships/footer" Target="footer521.xml"/><Relationship Id="rId522" Type="http://schemas.openxmlformats.org/officeDocument/2006/relationships/footer" Target="footer520.xml"/><Relationship Id="rId521" Type="http://schemas.openxmlformats.org/officeDocument/2006/relationships/footer" Target="footer519.xml"/><Relationship Id="rId520" Type="http://schemas.openxmlformats.org/officeDocument/2006/relationships/footer" Target="footer518.xml"/><Relationship Id="rId52" Type="http://schemas.openxmlformats.org/officeDocument/2006/relationships/footer" Target="footer52.xml"/><Relationship Id="rId519" Type="http://schemas.openxmlformats.org/officeDocument/2006/relationships/footer" Target="footer517.xml"/><Relationship Id="rId518" Type="http://schemas.openxmlformats.org/officeDocument/2006/relationships/footer" Target="footer516.xml"/><Relationship Id="rId517" Type="http://schemas.openxmlformats.org/officeDocument/2006/relationships/footer" Target="footer515.xml"/><Relationship Id="rId516" Type="http://schemas.openxmlformats.org/officeDocument/2006/relationships/footer" Target="footer514.xml"/><Relationship Id="rId515" Type="http://schemas.openxmlformats.org/officeDocument/2006/relationships/footer" Target="footer513.xml"/><Relationship Id="rId514" Type="http://schemas.openxmlformats.org/officeDocument/2006/relationships/footer" Target="footer512.xml"/><Relationship Id="rId513" Type="http://schemas.openxmlformats.org/officeDocument/2006/relationships/footer" Target="footer511.xml"/><Relationship Id="rId512" Type="http://schemas.openxmlformats.org/officeDocument/2006/relationships/footer" Target="footer510.xml"/><Relationship Id="rId511" Type="http://schemas.openxmlformats.org/officeDocument/2006/relationships/footer" Target="footer509.xml"/><Relationship Id="rId510" Type="http://schemas.openxmlformats.org/officeDocument/2006/relationships/footer" Target="footer508.xml"/><Relationship Id="rId51" Type="http://schemas.openxmlformats.org/officeDocument/2006/relationships/footer" Target="footer51.xml"/><Relationship Id="rId509" Type="http://schemas.openxmlformats.org/officeDocument/2006/relationships/footer" Target="footer507.xml"/><Relationship Id="rId508" Type="http://schemas.openxmlformats.org/officeDocument/2006/relationships/footer" Target="footer506.xml"/><Relationship Id="rId507" Type="http://schemas.openxmlformats.org/officeDocument/2006/relationships/footer" Target="footer505.xml"/><Relationship Id="rId506" Type="http://schemas.openxmlformats.org/officeDocument/2006/relationships/footer" Target="footer504.xml"/><Relationship Id="rId505" Type="http://schemas.openxmlformats.org/officeDocument/2006/relationships/footer" Target="footer503.xml"/><Relationship Id="rId504" Type="http://schemas.openxmlformats.org/officeDocument/2006/relationships/footer" Target="footer502.xml"/><Relationship Id="rId503" Type="http://schemas.openxmlformats.org/officeDocument/2006/relationships/footer" Target="footer501.xml"/><Relationship Id="rId502" Type="http://schemas.openxmlformats.org/officeDocument/2006/relationships/footer" Target="footer500.xml"/><Relationship Id="rId501" Type="http://schemas.openxmlformats.org/officeDocument/2006/relationships/footer" Target="footer499.xml"/><Relationship Id="rId500" Type="http://schemas.openxmlformats.org/officeDocument/2006/relationships/footer" Target="footer498.xml"/><Relationship Id="rId50" Type="http://schemas.openxmlformats.org/officeDocument/2006/relationships/footer" Target="footer50.xml"/><Relationship Id="rId5" Type="http://schemas.openxmlformats.org/officeDocument/2006/relationships/footer" Target="footer5.xml"/><Relationship Id="rId499" Type="http://schemas.openxmlformats.org/officeDocument/2006/relationships/footer" Target="footer497.xml"/><Relationship Id="rId498" Type="http://schemas.openxmlformats.org/officeDocument/2006/relationships/footer" Target="footer496.xml"/><Relationship Id="rId497" Type="http://schemas.openxmlformats.org/officeDocument/2006/relationships/footer" Target="footer495.xml"/><Relationship Id="rId496" Type="http://schemas.openxmlformats.org/officeDocument/2006/relationships/footer" Target="footer494.xml"/><Relationship Id="rId495" Type="http://schemas.openxmlformats.org/officeDocument/2006/relationships/footer" Target="footer493.xml"/><Relationship Id="rId494" Type="http://schemas.openxmlformats.org/officeDocument/2006/relationships/footer" Target="footer492.xml"/><Relationship Id="rId493" Type="http://schemas.openxmlformats.org/officeDocument/2006/relationships/footer" Target="footer491.xml"/><Relationship Id="rId492" Type="http://schemas.openxmlformats.org/officeDocument/2006/relationships/footer" Target="footer490.xml"/><Relationship Id="rId491" Type="http://schemas.openxmlformats.org/officeDocument/2006/relationships/footer" Target="footer489.xml"/><Relationship Id="rId490" Type="http://schemas.openxmlformats.org/officeDocument/2006/relationships/footer" Target="footer488.xml"/><Relationship Id="rId49" Type="http://schemas.openxmlformats.org/officeDocument/2006/relationships/footer" Target="footer49.xml"/><Relationship Id="rId489" Type="http://schemas.openxmlformats.org/officeDocument/2006/relationships/footer" Target="footer487.xml"/><Relationship Id="rId488" Type="http://schemas.openxmlformats.org/officeDocument/2006/relationships/footer" Target="footer486.xml"/><Relationship Id="rId487" Type="http://schemas.openxmlformats.org/officeDocument/2006/relationships/footer" Target="footer485.xml"/><Relationship Id="rId486" Type="http://schemas.openxmlformats.org/officeDocument/2006/relationships/footer" Target="footer484.xml"/><Relationship Id="rId485" Type="http://schemas.openxmlformats.org/officeDocument/2006/relationships/footer" Target="footer483.xml"/><Relationship Id="rId484" Type="http://schemas.openxmlformats.org/officeDocument/2006/relationships/footer" Target="footer482.xml"/><Relationship Id="rId483" Type="http://schemas.openxmlformats.org/officeDocument/2006/relationships/footer" Target="footer481.xml"/><Relationship Id="rId482" Type="http://schemas.openxmlformats.org/officeDocument/2006/relationships/footer" Target="footer480.xml"/><Relationship Id="rId481" Type="http://schemas.openxmlformats.org/officeDocument/2006/relationships/footer" Target="footer479.xml"/><Relationship Id="rId480" Type="http://schemas.openxmlformats.org/officeDocument/2006/relationships/footer" Target="footer478.xml"/><Relationship Id="rId48" Type="http://schemas.openxmlformats.org/officeDocument/2006/relationships/footer" Target="footer48.xml"/><Relationship Id="rId479" Type="http://schemas.openxmlformats.org/officeDocument/2006/relationships/footer" Target="footer477.xml"/><Relationship Id="rId478" Type="http://schemas.openxmlformats.org/officeDocument/2006/relationships/footer" Target="footer476.xml"/><Relationship Id="rId477" Type="http://schemas.openxmlformats.org/officeDocument/2006/relationships/footer" Target="footer475.xml"/><Relationship Id="rId476" Type="http://schemas.openxmlformats.org/officeDocument/2006/relationships/footer" Target="footer474.xml"/><Relationship Id="rId475" Type="http://schemas.openxmlformats.org/officeDocument/2006/relationships/footer" Target="footer473.xml"/><Relationship Id="rId474" Type="http://schemas.openxmlformats.org/officeDocument/2006/relationships/footer" Target="footer472.xml"/><Relationship Id="rId473" Type="http://schemas.openxmlformats.org/officeDocument/2006/relationships/footer" Target="footer471.xml"/><Relationship Id="rId472" Type="http://schemas.openxmlformats.org/officeDocument/2006/relationships/footer" Target="footer470.xml"/><Relationship Id="rId471" Type="http://schemas.openxmlformats.org/officeDocument/2006/relationships/footer" Target="footer469.xml"/><Relationship Id="rId470" Type="http://schemas.openxmlformats.org/officeDocument/2006/relationships/footer" Target="footer468.xml"/><Relationship Id="rId47" Type="http://schemas.openxmlformats.org/officeDocument/2006/relationships/footer" Target="footer47.xml"/><Relationship Id="rId469" Type="http://schemas.openxmlformats.org/officeDocument/2006/relationships/footer" Target="footer467.xml"/><Relationship Id="rId468" Type="http://schemas.openxmlformats.org/officeDocument/2006/relationships/footer" Target="footer466.xml"/><Relationship Id="rId467" Type="http://schemas.openxmlformats.org/officeDocument/2006/relationships/footer" Target="footer465.xml"/><Relationship Id="rId466" Type="http://schemas.openxmlformats.org/officeDocument/2006/relationships/footer" Target="footer464.xml"/><Relationship Id="rId465" Type="http://schemas.openxmlformats.org/officeDocument/2006/relationships/footer" Target="footer463.xml"/><Relationship Id="rId464" Type="http://schemas.openxmlformats.org/officeDocument/2006/relationships/footer" Target="footer462.xml"/><Relationship Id="rId463" Type="http://schemas.openxmlformats.org/officeDocument/2006/relationships/footer" Target="footer461.xml"/><Relationship Id="rId462" Type="http://schemas.openxmlformats.org/officeDocument/2006/relationships/footer" Target="footer460.xml"/><Relationship Id="rId461" Type="http://schemas.openxmlformats.org/officeDocument/2006/relationships/footer" Target="footer459.xml"/><Relationship Id="rId460" Type="http://schemas.openxmlformats.org/officeDocument/2006/relationships/footer" Target="footer458.xml"/><Relationship Id="rId46" Type="http://schemas.openxmlformats.org/officeDocument/2006/relationships/footer" Target="footer46.xml"/><Relationship Id="rId459" Type="http://schemas.openxmlformats.org/officeDocument/2006/relationships/footer" Target="footer457.xml"/><Relationship Id="rId458" Type="http://schemas.openxmlformats.org/officeDocument/2006/relationships/footer" Target="footer456.xml"/><Relationship Id="rId457" Type="http://schemas.openxmlformats.org/officeDocument/2006/relationships/footer" Target="footer455.xml"/><Relationship Id="rId456" Type="http://schemas.openxmlformats.org/officeDocument/2006/relationships/footer" Target="footer454.xml"/><Relationship Id="rId455" Type="http://schemas.openxmlformats.org/officeDocument/2006/relationships/footer" Target="footer453.xml"/><Relationship Id="rId454" Type="http://schemas.openxmlformats.org/officeDocument/2006/relationships/footer" Target="footer452.xml"/><Relationship Id="rId453" Type="http://schemas.openxmlformats.org/officeDocument/2006/relationships/footer" Target="footer451.xml"/><Relationship Id="rId452" Type="http://schemas.openxmlformats.org/officeDocument/2006/relationships/footer" Target="footer450.xml"/><Relationship Id="rId451" Type="http://schemas.openxmlformats.org/officeDocument/2006/relationships/footer" Target="footer449.xml"/><Relationship Id="rId450" Type="http://schemas.openxmlformats.org/officeDocument/2006/relationships/footer" Target="footer448.xml"/><Relationship Id="rId45" Type="http://schemas.openxmlformats.org/officeDocument/2006/relationships/footer" Target="footer45.xml"/><Relationship Id="rId449" Type="http://schemas.openxmlformats.org/officeDocument/2006/relationships/footer" Target="footer447.xml"/><Relationship Id="rId448" Type="http://schemas.openxmlformats.org/officeDocument/2006/relationships/footer" Target="footer446.xml"/><Relationship Id="rId447" Type="http://schemas.openxmlformats.org/officeDocument/2006/relationships/footer" Target="footer445.xml"/><Relationship Id="rId446" Type="http://schemas.openxmlformats.org/officeDocument/2006/relationships/footer" Target="footer444.xml"/><Relationship Id="rId445" Type="http://schemas.openxmlformats.org/officeDocument/2006/relationships/footer" Target="footer443.xml"/><Relationship Id="rId444" Type="http://schemas.openxmlformats.org/officeDocument/2006/relationships/footer" Target="footer442.xml"/><Relationship Id="rId443" Type="http://schemas.openxmlformats.org/officeDocument/2006/relationships/footer" Target="footer441.xml"/><Relationship Id="rId442" Type="http://schemas.openxmlformats.org/officeDocument/2006/relationships/footer" Target="footer440.xml"/><Relationship Id="rId441" Type="http://schemas.openxmlformats.org/officeDocument/2006/relationships/footer" Target="footer439.xml"/><Relationship Id="rId440" Type="http://schemas.openxmlformats.org/officeDocument/2006/relationships/footer" Target="footer438.xml"/><Relationship Id="rId44" Type="http://schemas.openxmlformats.org/officeDocument/2006/relationships/footer" Target="footer44.xml"/><Relationship Id="rId439" Type="http://schemas.openxmlformats.org/officeDocument/2006/relationships/footer" Target="footer437.xml"/><Relationship Id="rId438" Type="http://schemas.openxmlformats.org/officeDocument/2006/relationships/footer" Target="footer436.xml"/><Relationship Id="rId437" Type="http://schemas.openxmlformats.org/officeDocument/2006/relationships/footer" Target="footer435.xml"/><Relationship Id="rId436" Type="http://schemas.openxmlformats.org/officeDocument/2006/relationships/footer" Target="footer434.xml"/><Relationship Id="rId435" Type="http://schemas.openxmlformats.org/officeDocument/2006/relationships/footer" Target="footer433.xml"/><Relationship Id="rId434" Type="http://schemas.openxmlformats.org/officeDocument/2006/relationships/footer" Target="footer432.xml"/><Relationship Id="rId433" Type="http://schemas.openxmlformats.org/officeDocument/2006/relationships/footer" Target="footer431.xml"/><Relationship Id="rId432" Type="http://schemas.openxmlformats.org/officeDocument/2006/relationships/footer" Target="footer430.xml"/><Relationship Id="rId431" Type="http://schemas.openxmlformats.org/officeDocument/2006/relationships/footer" Target="footer429.xml"/><Relationship Id="rId430" Type="http://schemas.openxmlformats.org/officeDocument/2006/relationships/footer" Target="footer428.xml"/><Relationship Id="rId43" Type="http://schemas.openxmlformats.org/officeDocument/2006/relationships/footer" Target="footer43.xml"/><Relationship Id="rId429" Type="http://schemas.openxmlformats.org/officeDocument/2006/relationships/footer" Target="footer427.xml"/><Relationship Id="rId428" Type="http://schemas.openxmlformats.org/officeDocument/2006/relationships/footer" Target="footer426.xml"/><Relationship Id="rId427" Type="http://schemas.openxmlformats.org/officeDocument/2006/relationships/footer" Target="footer425.xml"/><Relationship Id="rId426" Type="http://schemas.openxmlformats.org/officeDocument/2006/relationships/footer" Target="footer424.xml"/><Relationship Id="rId425" Type="http://schemas.openxmlformats.org/officeDocument/2006/relationships/footer" Target="footer423.xml"/><Relationship Id="rId424" Type="http://schemas.openxmlformats.org/officeDocument/2006/relationships/footer" Target="footer422.xml"/><Relationship Id="rId423" Type="http://schemas.openxmlformats.org/officeDocument/2006/relationships/footer" Target="footer421.xml"/><Relationship Id="rId422" Type="http://schemas.openxmlformats.org/officeDocument/2006/relationships/footer" Target="footer420.xml"/><Relationship Id="rId421" Type="http://schemas.openxmlformats.org/officeDocument/2006/relationships/footer" Target="footer419.xml"/><Relationship Id="rId420" Type="http://schemas.openxmlformats.org/officeDocument/2006/relationships/footer" Target="footer418.xml"/><Relationship Id="rId42" Type="http://schemas.openxmlformats.org/officeDocument/2006/relationships/footer" Target="footer42.xml"/><Relationship Id="rId419" Type="http://schemas.openxmlformats.org/officeDocument/2006/relationships/footer" Target="footer417.xml"/><Relationship Id="rId418" Type="http://schemas.openxmlformats.org/officeDocument/2006/relationships/footer" Target="footer416.xml"/><Relationship Id="rId417" Type="http://schemas.openxmlformats.org/officeDocument/2006/relationships/footer" Target="footer415.xml"/><Relationship Id="rId416" Type="http://schemas.openxmlformats.org/officeDocument/2006/relationships/footer" Target="footer414.xml"/><Relationship Id="rId415" Type="http://schemas.openxmlformats.org/officeDocument/2006/relationships/footer" Target="footer413.xml"/><Relationship Id="rId414" Type="http://schemas.openxmlformats.org/officeDocument/2006/relationships/footer" Target="footer412.xml"/><Relationship Id="rId413" Type="http://schemas.openxmlformats.org/officeDocument/2006/relationships/footer" Target="footer411.xml"/><Relationship Id="rId412" Type="http://schemas.openxmlformats.org/officeDocument/2006/relationships/footer" Target="footer410.xml"/><Relationship Id="rId411" Type="http://schemas.openxmlformats.org/officeDocument/2006/relationships/footer" Target="footer409.xml"/><Relationship Id="rId410" Type="http://schemas.openxmlformats.org/officeDocument/2006/relationships/footer" Target="footer408.xml"/><Relationship Id="rId41" Type="http://schemas.openxmlformats.org/officeDocument/2006/relationships/footer" Target="footer41.xml"/><Relationship Id="rId409" Type="http://schemas.openxmlformats.org/officeDocument/2006/relationships/footer" Target="footer407.xml"/><Relationship Id="rId408" Type="http://schemas.openxmlformats.org/officeDocument/2006/relationships/footer" Target="footer406.xml"/><Relationship Id="rId407" Type="http://schemas.openxmlformats.org/officeDocument/2006/relationships/footer" Target="footer405.xml"/><Relationship Id="rId406" Type="http://schemas.openxmlformats.org/officeDocument/2006/relationships/footer" Target="footer404.xml"/><Relationship Id="rId405" Type="http://schemas.openxmlformats.org/officeDocument/2006/relationships/footer" Target="footer403.xml"/><Relationship Id="rId404" Type="http://schemas.openxmlformats.org/officeDocument/2006/relationships/footer" Target="footer402.xml"/><Relationship Id="rId403" Type="http://schemas.openxmlformats.org/officeDocument/2006/relationships/footer" Target="footer401.xml"/><Relationship Id="rId402" Type="http://schemas.openxmlformats.org/officeDocument/2006/relationships/footer" Target="footer400.xml"/><Relationship Id="rId401" Type="http://schemas.openxmlformats.org/officeDocument/2006/relationships/footer" Target="footer399.xml"/><Relationship Id="rId400" Type="http://schemas.openxmlformats.org/officeDocument/2006/relationships/footer" Target="footer398.xml"/><Relationship Id="rId40" Type="http://schemas.openxmlformats.org/officeDocument/2006/relationships/footer" Target="footer40.xml"/><Relationship Id="rId4" Type="http://schemas.openxmlformats.org/officeDocument/2006/relationships/footer" Target="footer4.xml"/><Relationship Id="rId399" Type="http://schemas.openxmlformats.org/officeDocument/2006/relationships/footer" Target="footer397.xml"/><Relationship Id="rId398" Type="http://schemas.openxmlformats.org/officeDocument/2006/relationships/footer" Target="footer396.xml"/><Relationship Id="rId397" Type="http://schemas.openxmlformats.org/officeDocument/2006/relationships/footer" Target="footer395.xml"/><Relationship Id="rId396" Type="http://schemas.openxmlformats.org/officeDocument/2006/relationships/footer" Target="footer394.xml"/><Relationship Id="rId395" Type="http://schemas.openxmlformats.org/officeDocument/2006/relationships/footer" Target="footer393.xml"/><Relationship Id="rId394" Type="http://schemas.openxmlformats.org/officeDocument/2006/relationships/footer" Target="footer392.xml"/><Relationship Id="rId393" Type="http://schemas.openxmlformats.org/officeDocument/2006/relationships/footer" Target="footer391.xml"/><Relationship Id="rId392" Type="http://schemas.openxmlformats.org/officeDocument/2006/relationships/footer" Target="footer390.xml"/><Relationship Id="rId391" Type="http://schemas.openxmlformats.org/officeDocument/2006/relationships/footer" Target="footer389.xml"/><Relationship Id="rId390" Type="http://schemas.openxmlformats.org/officeDocument/2006/relationships/footer" Target="footer388.xml"/><Relationship Id="rId39" Type="http://schemas.openxmlformats.org/officeDocument/2006/relationships/footer" Target="footer39.xml"/><Relationship Id="rId389" Type="http://schemas.openxmlformats.org/officeDocument/2006/relationships/footer" Target="footer387.xml"/><Relationship Id="rId388" Type="http://schemas.openxmlformats.org/officeDocument/2006/relationships/footer" Target="footer386.xml"/><Relationship Id="rId387" Type="http://schemas.openxmlformats.org/officeDocument/2006/relationships/footer" Target="footer385.xml"/><Relationship Id="rId386" Type="http://schemas.openxmlformats.org/officeDocument/2006/relationships/footer" Target="footer384.xml"/><Relationship Id="rId385" Type="http://schemas.openxmlformats.org/officeDocument/2006/relationships/footer" Target="footer383.xml"/><Relationship Id="rId384" Type="http://schemas.openxmlformats.org/officeDocument/2006/relationships/footer" Target="footer382.xml"/><Relationship Id="rId383" Type="http://schemas.openxmlformats.org/officeDocument/2006/relationships/footer" Target="footer381.xml"/><Relationship Id="rId382" Type="http://schemas.openxmlformats.org/officeDocument/2006/relationships/footer" Target="footer380.xml"/><Relationship Id="rId381" Type="http://schemas.openxmlformats.org/officeDocument/2006/relationships/footer" Target="footer379.xml"/><Relationship Id="rId380" Type="http://schemas.openxmlformats.org/officeDocument/2006/relationships/footer" Target="footer378.xml"/><Relationship Id="rId38" Type="http://schemas.openxmlformats.org/officeDocument/2006/relationships/footer" Target="footer38.xml"/><Relationship Id="rId379" Type="http://schemas.openxmlformats.org/officeDocument/2006/relationships/footer" Target="footer377.xml"/><Relationship Id="rId378" Type="http://schemas.openxmlformats.org/officeDocument/2006/relationships/footer" Target="footer376.xml"/><Relationship Id="rId377" Type="http://schemas.openxmlformats.org/officeDocument/2006/relationships/footer" Target="footer375.xml"/><Relationship Id="rId376" Type="http://schemas.openxmlformats.org/officeDocument/2006/relationships/footer" Target="footer374.xml"/><Relationship Id="rId375" Type="http://schemas.openxmlformats.org/officeDocument/2006/relationships/footer" Target="footer373.xml"/><Relationship Id="rId374" Type="http://schemas.openxmlformats.org/officeDocument/2006/relationships/footer" Target="footer372.xml"/><Relationship Id="rId373" Type="http://schemas.openxmlformats.org/officeDocument/2006/relationships/footer" Target="footer371.xml"/><Relationship Id="rId372" Type="http://schemas.openxmlformats.org/officeDocument/2006/relationships/footer" Target="footer370.xml"/><Relationship Id="rId371" Type="http://schemas.openxmlformats.org/officeDocument/2006/relationships/footer" Target="footer369.xml"/><Relationship Id="rId370" Type="http://schemas.openxmlformats.org/officeDocument/2006/relationships/footer" Target="footer368.xml"/><Relationship Id="rId37" Type="http://schemas.openxmlformats.org/officeDocument/2006/relationships/footer" Target="footer37.xml"/><Relationship Id="rId369" Type="http://schemas.openxmlformats.org/officeDocument/2006/relationships/footer" Target="footer367.xml"/><Relationship Id="rId368" Type="http://schemas.openxmlformats.org/officeDocument/2006/relationships/footer" Target="footer366.xml"/><Relationship Id="rId367" Type="http://schemas.openxmlformats.org/officeDocument/2006/relationships/footer" Target="footer365.xml"/><Relationship Id="rId366" Type="http://schemas.openxmlformats.org/officeDocument/2006/relationships/footer" Target="footer364.xml"/><Relationship Id="rId365" Type="http://schemas.openxmlformats.org/officeDocument/2006/relationships/footer" Target="footer363.xml"/><Relationship Id="rId364" Type="http://schemas.openxmlformats.org/officeDocument/2006/relationships/footer" Target="footer362.xml"/><Relationship Id="rId363" Type="http://schemas.openxmlformats.org/officeDocument/2006/relationships/footer" Target="footer361.xml"/><Relationship Id="rId362" Type="http://schemas.openxmlformats.org/officeDocument/2006/relationships/footer" Target="footer360.xml"/><Relationship Id="rId361" Type="http://schemas.openxmlformats.org/officeDocument/2006/relationships/footer" Target="footer359.xml"/><Relationship Id="rId360" Type="http://schemas.openxmlformats.org/officeDocument/2006/relationships/footer" Target="footer358.xml"/><Relationship Id="rId36" Type="http://schemas.openxmlformats.org/officeDocument/2006/relationships/footer" Target="footer36.xml"/><Relationship Id="rId359" Type="http://schemas.openxmlformats.org/officeDocument/2006/relationships/footer" Target="footer357.xml"/><Relationship Id="rId358" Type="http://schemas.openxmlformats.org/officeDocument/2006/relationships/footer" Target="footer356.xml"/><Relationship Id="rId357" Type="http://schemas.openxmlformats.org/officeDocument/2006/relationships/footer" Target="footer355.xml"/><Relationship Id="rId356" Type="http://schemas.openxmlformats.org/officeDocument/2006/relationships/footer" Target="footer354.xml"/><Relationship Id="rId355" Type="http://schemas.openxmlformats.org/officeDocument/2006/relationships/footer" Target="footer353.xml"/><Relationship Id="rId354" Type="http://schemas.openxmlformats.org/officeDocument/2006/relationships/footer" Target="footer352.xml"/><Relationship Id="rId353" Type="http://schemas.openxmlformats.org/officeDocument/2006/relationships/footer" Target="footer351.xml"/><Relationship Id="rId352" Type="http://schemas.openxmlformats.org/officeDocument/2006/relationships/footer" Target="footer350.xml"/><Relationship Id="rId351" Type="http://schemas.openxmlformats.org/officeDocument/2006/relationships/footer" Target="footer349.xml"/><Relationship Id="rId350" Type="http://schemas.openxmlformats.org/officeDocument/2006/relationships/footer" Target="footer348.xml"/><Relationship Id="rId35" Type="http://schemas.openxmlformats.org/officeDocument/2006/relationships/footer" Target="footer35.xml"/><Relationship Id="rId349" Type="http://schemas.openxmlformats.org/officeDocument/2006/relationships/footer" Target="footer347.xml"/><Relationship Id="rId348" Type="http://schemas.openxmlformats.org/officeDocument/2006/relationships/footer" Target="footer346.xml"/><Relationship Id="rId347" Type="http://schemas.openxmlformats.org/officeDocument/2006/relationships/footer" Target="footer345.xml"/><Relationship Id="rId346" Type="http://schemas.openxmlformats.org/officeDocument/2006/relationships/footer" Target="footer344.xml"/><Relationship Id="rId345" Type="http://schemas.openxmlformats.org/officeDocument/2006/relationships/footer" Target="footer343.xml"/><Relationship Id="rId344" Type="http://schemas.openxmlformats.org/officeDocument/2006/relationships/footer" Target="footer342.xml"/><Relationship Id="rId343" Type="http://schemas.openxmlformats.org/officeDocument/2006/relationships/footer" Target="footer341.xml"/><Relationship Id="rId342" Type="http://schemas.openxmlformats.org/officeDocument/2006/relationships/footer" Target="footer340.xml"/><Relationship Id="rId341" Type="http://schemas.openxmlformats.org/officeDocument/2006/relationships/footer" Target="footer339.xml"/><Relationship Id="rId340" Type="http://schemas.openxmlformats.org/officeDocument/2006/relationships/footer" Target="footer338.xml"/><Relationship Id="rId34" Type="http://schemas.openxmlformats.org/officeDocument/2006/relationships/footer" Target="footer34.xml"/><Relationship Id="rId339" Type="http://schemas.openxmlformats.org/officeDocument/2006/relationships/footer" Target="footer337.xml"/><Relationship Id="rId338" Type="http://schemas.openxmlformats.org/officeDocument/2006/relationships/footer" Target="footer336.xml"/><Relationship Id="rId337" Type="http://schemas.openxmlformats.org/officeDocument/2006/relationships/footer" Target="footer335.xml"/><Relationship Id="rId336" Type="http://schemas.openxmlformats.org/officeDocument/2006/relationships/footer" Target="footer334.xml"/><Relationship Id="rId335" Type="http://schemas.openxmlformats.org/officeDocument/2006/relationships/footer" Target="footer333.xml"/><Relationship Id="rId334" Type="http://schemas.openxmlformats.org/officeDocument/2006/relationships/footer" Target="footer332.xml"/><Relationship Id="rId333" Type="http://schemas.openxmlformats.org/officeDocument/2006/relationships/footer" Target="footer331.xml"/><Relationship Id="rId332" Type="http://schemas.openxmlformats.org/officeDocument/2006/relationships/footer" Target="footer330.xml"/><Relationship Id="rId331" Type="http://schemas.openxmlformats.org/officeDocument/2006/relationships/footer" Target="footer329.xml"/><Relationship Id="rId330" Type="http://schemas.openxmlformats.org/officeDocument/2006/relationships/footer" Target="footer328.xml"/><Relationship Id="rId33" Type="http://schemas.openxmlformats.org/officeDocument/2006/relationships/footer" Target="footer33.xml"/><Relationship Id="rId329" Type="http://schemas.openxmlformats.org/officeDocument/2006/relationships/footer" Target="footer327.xml"/><Relationship Id="rId328" Type="http://schemas.openxmlformats.org/officeDocument/2006/relationships/footer" Target="footer326.xml"/><Relationship Id="rId327" Type="http://schemas.openxmlformats.org/officeDocument/2006/relationships/footer" Target="footer325.xml"/><Relationship Id="rId326" Type="http://schemas.openxmlformats.org/officeDocument/2006/relationships/footer" Target="footer324.xml"/><Relationship Id="rId325" Type="http://schemas.openxmlformats.org/officeDocument/2006/relationships/footer" Target="footer323.xml"/><Relationship Id="rId324" Type="http://schemas.openxmlformats.org/officeDocument/2006/relationships/footer" Target="footer322.xml"/><Relationship Id="rId323" Type="http://schemas.openxmlformats.org/officeDocument/2006/relationships/footer" Target="footer321.xml"/><Relationship Id="rId322" Type="http://schemas.openxmlformats.org/officeDocument/2006/relationships/footer" Target="footer320.xml"/><Relationship Id="rId321" Type="http://schemas.openxmlformats.org/officeDocument/2006/relationships/footer" Target="footer319.xml"/><Relationship Id="rId320" Type="http://schemas.openxmlformats.org/officeDocument/2006/relationships/footer" Target="footer318.xml"/><Relationship Id="rId32" Type="http://schemas.openxmlformats.org/officeDocument/2006/relationships/footer" Target="footer32.xml"/><Relationship Id="rId319" Type="http://schemas.openxmlformats.org/officeDocument/2006/relationships/footer" Target="footer317.xml"/><Relationship Id="rId318" Type="http://schemas.openxmlformats.org/officeDocument/2006/relationships/footer" Target="footer316.xml"/><Relationship Id="rId317" Type="http://schemas.openxmlformats.org/officeDocument/2006/relationships/footer" Target="footer315.xml"/><Relationship Id="rId316" Type="http://schemas.openxmlformats.org/officeDocument/2006/relationships/footer" Target="footer314.xml"/><Relationship Id="rId315" Type="http://schemas.openxmlformats.org/officeDocument/2006/relationships/footer" Target="footer313.xml"/><Relationship Id="rId314" Type="http://schemas.openxmlformats.org/officeDocument/2006/relationships/footer" Target="footer312.xml"/><Relationship Id="rId313" Type="http://schemas.openxmlformats.org/officeDocument/2006/relationships/footer" Target="footer311.xml"/><Relationship Id="rId312" Type="http://schemas.openxmlformats.org/officeDocument/2006/relationships/footer" Target="footer310.xml"/><Relationship Id="rId311" Type="http://schemas.openxmlformats.org/officeDocument/2006/relationships/footer" Target="footer309.xml"/><Relationship Id="rId310" Type="http://schemas.openxmlformats.org/officeDocument/2006/relationships/footer" Target="footer308.xml"/><Relationship Id="rId31" Type="http://schemas.openxmlformats.org/officeDocument/2006/relationships/footer" Target="footer31.xml"/><Relationship Id="rId309" Type="http://schemas.openxmlformats.org/officeDocument/2006/relationships/footer" Target="footer307.xml"/><Relationship Id="rId308" Type="http://schemas.openxmlformats.org/officeDocument/2006/relationships/footer" Target="footer306.xml"/><Relationship Id="rId307" Type="http://schemas.openxmlformats.org/officeDocument/2006/relationships/footer" Target="footer305.xml"/><Relationship Id="rId306" Type="http://schemas.openxmlformats.org/officeDocument/2006/relationships/footer" Target="footer304.xml"/><Relationship Id="rId305" Type="http://schemas.openxmlformats.org/officeDocument/2006/relationships/footer" Target="footer303.xml"/><Relationship Id="rId304" Type="http://schemas.openxmlformats.org/officeDocument/2006/relationships/footer" Target="footer302.xml"/><Relationship Id="rId303" Type="http://schemas.openxmlformats.org/officeDocument/2006/relationships/footer" Target="footer301.xml"/><Relationship Id="rId302" Type="http://schemas.openxmlformats.org/officeDocument/2006/relationships/footer" Target="footer300.xml"/><Relationship Id="rId301" Type="http://schemas.openxmlformats.org/officeDocument/2006/relationships/footer" Target="footer299.xml"/><Relationship Id="rId300" Type="http://schemas.openxmlformats.org/officeDocument/2006/relationships/footer" Target="footer298.xml"/><Relationship Id="rId30" Type="http://schemas.openxmlformats.org/officeDocument/2006/relationships/footer" Target="footer30.xml"/><Relationship Id="rId3" Type="http://schemas.openxmlformats.org/officeDocument/2006/relationships/footer" Target="footer3.xml"/><Relationship Id="rId299" Type="http://schemas.openxmlformats.org/officeDocument/2006/relationships/footer" Target="footer297.xml"/><Relationship Id="rId298" Type="http://schemas.openxmlformats.org/officeDocument/2006/relationships/footer" Target="footer296.xml"/><Relationship Id="rId297" Type="http://schemas.openxmlformats.org/officeDocument/2006/relationships/footer" Target="footer295.xml"/><Relationship Id="rId296" Type="http://schemas.openxmlformats.org/officeDocument/2006/relationships/footer" Target="footer294.xml"/><Relationship Id="rId295" Type="http://schemas.openxmlformats.org/officeDocument/2006/relationships/footer" Target="footer293.xml"/><Relationship Id="rId294" Type="http://schemas.openxmlformats.org/officeDocument/2006/relationships/footer" Target="footer292.xml"/><Relationship Id="rId293" Type="http://schemas.openxmlformats.org/officeDocument/2006/relationships/footer" Target="footer291.xml"/><Relationship Id="rId292" Type="http://schemas.openxmlformats.org/officeDocument/2006/relationships/footer" Target="footer290.xml"/><Relationship Id="rId291" Type="http://schemas.openxmlformats.org/officeDocument/2006/relationships/footer" Target="footer289.xml"/><Relationship Id="rId290" Type="http://schemas.openxmlformats.org/officeDocument/2006/relationships/footer" Target="footer288.xml"/><Relationship Id="rId29" Type="http://schemas.openxmlformats.org/officeDocument/2006/relationships/footer" Target="footer29.xml"/><Relationship Id="rId289" Type="http://schemas.openxmlformats.org/officeDocument/2006/relationships/footer" Target="footer287.xml"/><Relationship Id="rId288" Type="http://schemas.openxmlformats.org/officeDocument/2006/relationships/footer" Target="footer286.xml"/><Relationship Id="rId287" Type="http://schemas.openxmlformats.org/officeDocument/2006/relationships/footer" Target="footer285.xml"/><Relationship Id="rId286" Type="http://schemas.openxmlformats.org/officeDocument/2006/relationships/footer" Target="footer284.xml"/><Relationship Id="rId285" Type="http://schemas.openxmlformats.org/officeDocument/2006/relationships/footer" Target="footer283.xml"/><Relationship Id="rId284" Type="http://schemas.openxmlformats.org/officeDocument/2006/relationships/footer" Target="footer282.xml"/><Relationship Id="rId283" Type="http://schemas.openxmlformats.org/officeDocument/2006/relationships/footer" Target="footer281.xml"/><Relationship Id="rId282" Type="http://schemas.openxmlformats.org/officeDocument/2006/relationships/footer" Target="footer280.xml"/><Relationship Id="rId281" Type="http://schemas.openxmlformats.org/officeDocument/2006/relationships/footer" Target="footer279.xml"/><Relationship Id="rId280" Type="http://schemas.openxmlformats.org/officeDocument/2006/relationships/footer" Target="footer278.xml"/><Relationship Id="rId28" Type="http://schemas.openxmlformats.org/officeDocument/2006/relationships/footer" Target="footer28.xml"/><Relationship Id="rId279" Type="http://schemas.openxmlformats.org/officeDocument/2006/relationships/footer" Target="footer277.xml"/><Relationship Id="rId278" Type="http://schemas.openxmlformats.org/officeDocument/2006/relationships/footer" Target="footer276.xml"/><Relationship Id="rId277" Type="http://schemas.openxmlformats.org/officeDocument/2006/relationships/footer" Target="footer275.xml"/><Relationship Id="rId276" Type="http://schemas.openxmlformats.org/officeDocument/2006/relationships/footer" Target="footer274.xml"/><Relationship Id="rId275" Type="http://schemas.openxmlformats.org/officeDocument/2006/relationships/footer" Target="footer273.xml"/><Relationship Id="rId274" Type="http://schemas.openxmlformats.org/officeDocument/2006/relationships/footer" Target="footer272.xml"/><Relationship Id="rId273" Type="http://schemas.openxmlformats.org/officeDocument/2006/relationships/footer" Target="footer271.xml"/><Relationship Id="rId272" Type="http://schemas.openxmlformats.org/officeDocument/2006/relationships/footer" Target="footer270.xml"/><Relationship Id="rId271" Type="http://schemas.openxmlformats.org/officeDocument/2006/relationships/footer" Target="footer269.xml"/><Relationship Id="rId270" Type="http://schemas.openxmlformats.org/officeDocument/2006/relationships/footer" Target="footer268.xml"/><Relationship Id="rId27" Type="http://schemas.openxmlformats.org/officeDocument/2006/relationships/footer" Target="footer27.xml"/><Relationship Id="rId269" Type="http://schemas.openxmlformats.org/officeDocument/2006/relationships/footer" Target="footer267.xml"/><Relationship Id="rId268" Type="http://schemas.openxmlformats.org/officeDocument/2006/relationships/footer" Target="footer266.xml"/><Relationship Id="rId267" Type="http://schemas.openxmlformats.org/officeDocument/2006/relationships/footer" Target="footer265.xml"/><Relationship Id="rId266" Type="http://schemas.openxmlformats.org/officeDocument/2006/relationships/footer" Target="footer264.xml"/><Relationship Id="rId265" Type="http://schemas.openxmlformats.org/officeDocument/2006/relationships/footer" Target="footer263.xml"/><Relationship Id="rId264" Type="http://schemas.openxmlformats.org/officeDocument/2006/relationships/footer" Target="footer262.xml"/><Relationship Id="rId263" Type="http://schemas.openxmlformats.org/officeDocument/2006/relationships/footer" Target="footer261.xml"/><Relationship Id="rId262" Type="http://schemas.openxmlformats.org/officeDocument/2006/relationships/footer" Target="footer260.xml"/><Relationship Id="rId261" Type="http://schemas.openxmlformats.org/officeDocument/2006/relationships/footer" Target="footer259.xml"/><Relationship Id="rId260" Type="http://schemas.openxmlformats.org/officeDocument/2006/relationships/footer" Target="footer258.xml"/><Relationship Id="rId26" Type="http://schemas.openxmlformats.org/officeDocument/2006/relationships/footer" Target="footer26.xml"/><Relationship Id="rId259" Type="http://schemas.openxmlformats.org/officeDocument/2006/relationships/footer" Target="footer257.xml"/><Relationship Id="rId258" Type="http://schemas.openxmlformats.org/officeDocument/2006/relationships/footer" Target="footer256.xml"/><Relationship Id="rId257" Type="http://schemas.openxmlformats.org/officeDocument/2006/relationships/footer" Target="footer255.xml"/><Relationship Id="rId256" Type="http://schemas.openxmlformats.org/officeDocument/2006/relationships/footer" Target="footer254.xml"/><Relationship Id="rId255" Type="http://schemas.openxmlformats.org/officeDocument/2006/relationships/footer" Target="footer253.xml"/><Relationship Id="rId254" Type="http://schemas.openxmlformats.org/officeDocument/2006/relationships/footer" Target="footer252.xml"/><Relationship Id="rId253" Type="http://schemas.openxmlformats.org/officeDocument/2006/relationships/footer" Target="footer251.xml"/><Relationship Id="rId252" Type="http://schemas.openxmlformats.org/officeDocument/2006/relationships/footer" Target="footer250.xml"/><Relationship Id="rId251" Type="http://schemas.openxmlformats.org/officeDocument/2006/relationships/footer" Target="footer249.xml"/><Relationship Id="rId250" Type="http://schemas.openxmlformats.org/officeDocument/2006/relationships/footer" Target="footer248.xml"/><Relationship Id="rId25" Type="http://schemas.openxmlformats.org/officeDocument/2006/relationships/footer" Target="footer25.xml"/><Relationship Id="rId249" Type="http://schemas.openxmlformats.org/officeDocument/2006/relationships/footer" Target="footer247.xml"/><Relationship Id="rId248" Type="http://schemas.openxmlformats.org/officeDocument/2006/relationships/footer" Target="footer246.xml"/><Relationship Id="rId247" Type="http://schemas.openxmlformats.org/officeDocument/2006/relationships/footer" Target="footer245.xml"/><Relationship Id="rId246" Type="http://schemas.openxmlformats.org/officeDocument/2006/relationships/footer" Target="footer244.xml"/><Relationship Id="rId245" Type="http://schemas.openxmlformats.org/officeDocument/2006/relationships/footer" Target="footer243.xml"/><Relationship Id="rId244" Type="http://schemas.openxmlformats.org/officeDocument/2006/relationships/footer" Target="footer242.xml"/><Relationship Id="rId243" Type="http://schemas.openxmlformats.org/officeDocument/2006/relationships/footer" Target="footer241.xml"/><Relationship Id="rId242" Type="http://schemas.openxmlformats.org/officeDocument/2006/relationships/footer" Target="footer240.xml"/><Relationship Id="rId241" Type="http://schemas.openxmlformats.org/officeDocument/2006/relationships/footer" Target="footer239.xml"/><Relationship Id="rId240" Type="http://schemas.openxmlformats.org/officeDocument/2006/relationships/footer" Target="footer238.xml"/><Relationship Id="rId24" Type="http://schemas.openxmlformats.org/officeDocument/2006/relationships/footer" Target="footer24.xml"/><Relationship Id="rId239" Type="http://schemas.openxmlformats.org/officeDocument/2006/relationships/footer" Target="footer237.xml"/><Relationship Id="rId238" Type="http://schemas.openxmlformats.org/officeDocument/2006/relationships/footer" Target="footer236.xml"/><Relationship Id="rId237" Type="http://schemas.openxmlformats.org/officeDocument/2006/relationships/footer" Target="footer235.xml"/><Relationship Id="rId236" Type="http://schemas.openxmlformats.org/officeDocument/2006/relationships/footer" Target="footer234.xml"/><Relationship Id="rId235" Type="http://schemas.openxmlformats.org/officeDocument/2006/relationships/footer" Target="footer233.xml"/><Relationship Id="rId234" Type="http://schemas.openxmlformats.org/officeDocument/2006/relationships/footer" Target="footer232.xml"/><Relationship Id="rId233" Type="http://schemas.openxmlformats.org/officeDocument/2006/relationships/footer" Target="footer231.xml"/><Relationship Id="rId232" Type="http://schemas.openxmlformats.org/officeDocument/2006/relationships/footer" Target="footer230.xml"/><Relationship Id="rId231" Type="http://schemas.openxmlformats.org/officeDocument/2006/relationships/footer" Target="footer229.xml"/><Relationship Id="rId230" Type="http://schemas.openxmlformats.org/officeDocument/2006/relationships/footer" Target="footer228.xml"/><Relationship Id="rId23" Type="http://schemas.openxmlformats.org/officeDocument/2006/relationships/footer" Target="footer23.xml"/><Relationship Id="rId229" Type="http://schemas.openxmlformats.org/officeDocument/2006/relationships/footer" Target="footer227.xml"/><Relationship Id="rId228" Type="http://schemas.openxmlformats.org/officeDocument/2006/relationships/footer" Target="footer226.xml"/><Relationship Id="rId227" Type="http://schemas.openxmlformats.org/officeDocument/2006/relationships/footer" Target="footer225.xml"/><Relationship Id="rId226" Type="http://schemas.openxmlformats.org/officeDocument/2006/relationships/footer" Target="footer224.xml"/><Relationship Id="rId225" Type="http://schemas.openxmlformats.org/officeDocument/2006/relationships/footer" Target="footer223.xml"/><Relationship Id="rId224" Type="http://schemas.openxmlformats.org/officeDocument/2006/relationships/footer" Target="footer222.xml"/><Relationship Id="rId223" Type="http://schemas.openxmlformats.org/officeDocument/2006/relationships/footer" Target="footer221.xml"/><Relationship Id="rId222" Type="http://schemas.openxmlformats.org/officeDocument/2006/relationships/footer" Target="footer220.xml"/><Relationship Id="rId221" Type="http://schemas.openxmlformats.org/officeDocument/2006/relationships/footer" Target="footer219.xml"/><Relationship Id="rId220" Type="http://schemas.openxmlformats.org/officeDocument/2006/relationships/footer" Target="footer218.xml"/><Relationship Id="rId22" Type="http://schemas.openxmlformats.org/officeDocument/2006/relationships/footer" Target="footer22.xml"/><Relationship Id="rId219" Type="http://schemas.openxmlformats.org/officeDocument/2006/relationships/footer" Target="footer217.xml"/><Relationship Id="rId218" Type="http://schemas.openxmlformats.org/officeDocument/2006/relationships/footer" Target="footer216.xml"/><Relationship Id="rId217" Type="http://schemas.openxmlformats.org/officeDocument/2006/relationships/footer" Target="footer215.xml"/><Relationship Id="rId216" Type="http://schemas.openxmlformats.org/officeDocument/2006/relationships/footer" Target="footer214.xml"/><Relationship Id="rId215" Type="http://schemas.openxmlformats.org/officeDocument/2006/relationships/footer" Target="footer213.xml"/><Relationship Id="rId214" Type="http://schemas.openxmlformats.org/officeDocument/2006/relationships/footer" Target="footer212.xml"/><Relationship Id="rId213" Type="http://schemas.openxmlformats.org/officeDocument/2006/relationships/footer" Target="footer211.xml"/><Relationship Id="rId212" Type="http://schemas.openxmlformats.org/officeDocument/2006/relationships/footer" Target="footer210.xml"/><Relationship Id="rId211" Type="http://schemas.openxmlformats.org/officeDocument/2006/relationships/footer" Target="footer209.xml"/><Relationship Id="rId210" Type="http://schemas.openxmlformats.org/officeDocument/2006/relationships/footer" Target="footer208.xml"/><Relationship Id="rId21" Type="http://schemas.openxmlformats.org/officeDocument/2006/relationships/footer" Target="footer21.xml"/><Relationship Id="rId209" Type="http://schemas.openxmlformats.org/officeDocument/2006/relationships/footer" Target="footer207.xml"/><Relationship Id="rId208" Type="http://schemas.openxmlformats.org/officeDocument/2006/relationships/image" Target="media/image2.jpeg"/><Relationship Id="rId207" Type="http://schemas.openxmlformats.org/officeDocument/2006/relationships/footer" Target="footer206.xml"/><Relationship Id="rId206" Type="http://schemas.openxmlformats.org/officeDocument/2006/relationships/footer" Target="footer205.xml"/><Relationship Id="rId205" Type="http://schemas.openxmlformats.org/officeDocument/2006/relationships/footer" Target="footer204.xml"/><Relationship Id="rId204" Type="http://schemas.openxmlformats.org/officeDocument/2006/relationships/footer" Target="footer203.xml"/><Relationship Id="rId203" Type="http://schemas.openxmlformats.org/officeDocument/2006/relationships/footer" Target="footer202.xml"/><Relationship Id="rId202" Type="http://schemas.openxmlformats.org/officeDocument/2006/relationships/footer" Target="footer201.xml"/><Relationship Id="rId201" Type="http://schemas.openxmlformats.org/officeDocument/2006/relationships/footer" Target="footer200.xml"/><Relationship Id="rId200" Type="http://schemas.openxmlformats.org/officeDocument/2006/relationships/footer" Target="footer199.xml"/><Relationship Id="rId20" Type="http://schemas.openxmlformats.org/officeDocument/2006/relationships/footer" Target="footer20.xml"/><Relationship Id="rId2" Type="http://schemas.openxmlformats.org/officeDocument/2006/relationships/footer" Target="footer2.xml"/><Relationship Id="rId199" Type="http://schemas.openxmlformats.org/officeDocument/2006/relationships/footer" Target="footer198.xml"/><Relationship Id="rId198" Type="http://schemas.openxmlformats.org/officeDocument/2006/relationships/footer" Target="footer197.xml"/><Relationship Id="rId197" Type="http://schemas.openxmlformats.org/officeDocument/2006/relationships/footer" Target="footer196.xml"/><Relationship Id="rId196" Type="http://schemas.openxmlformats.org/officeDocument/2006/relationships/footer" Target="footer195.xml"/><Relationship Id="rId195" Type="http://schemas.openxmlformats.org/officeDocument/2006/relationships/footer" Target="footer194.xml"/><Relationship Id="rId194" Type="http://schemas.openxmlformats.org/officeDocument/2006/relationships/footer" Target="footer193.xml"/><Relationship Id="rId193" Type="http://schemas.openxmlformats.org/officeDocument/2006/relationships/footer" Target="footer192.xml"/><Relationship Id="rId192" Type="http://schemas.openxmlformats.org/officeDocument/2006/relationships/footer" Target="footer191.xml"/><Relationship Id="rId191" Type="http://schemas.openxmlformats.org/officeDocument/2006/relationships/footer" Target="footer190.xml"/><Relationship Id="rId190" Type="http://schemas.openxmlformats.org/officeDocument/2006/relationships/footer" Target="footer189.xml"/><Relationship Id="rId19" Type="http://schemas.openxmlformats.org/officeDocument/2006/relationships/footer" Target="footer19.xml"/><Relationship Id="rId189" Type="http://schemas.openxmlformats.org/officeDocument/2006/relationships/footer" Target="footer188.xml"/><Relationship Id="rId188" Type="http://schemas.openxmlformats.org/officeDocument/2006/relationships/footer" Target="footer187.xml"/><Relationship Id="rId187" Type="http://schemas.openxmlformats.org/officeDocument/2006/relationships/footer" Target="footer186.xml"/><Relationship Id="rId186" Type="http://schemas.openxmlformats.org/officeDocument/2006/relationships/footer" Target="footer185.xml"/><Relationship Id="rId185" Type="http://schemas.openxmlformats.org/officeDocument/2006/relationships/footer" Target="footer184.xml"/><Relationship Id="rId184" Type="http://schemas.openxmlformats.org/officeDocument/2006/relationships/footer" Target="footer183.xml"/><Relationship Id="rId183" Type="http://schemas.openxmlformats.org/officeDocument/2006/relationships/footer" Target="footer182.xml"/><Relationship Id="rId182" Type="http://schemas.openxmlformats.org/officeDocument/2006/relationships/footer" Target="footer181.xml"/><Relationship Id="rId181" Type="http://schemas.openxmlformats.org/officeDocument/2006/relationships/footer" Target="footer180.xml"/><Relationship Id="rId180" Type="http://schemas.openxmlformats.org/officeDocument/2006/relationships/footer" Target="footer179.xml"/><Relationship Id="rId18" Type="http://schemas.openxmlformats.org/officeDocument/2006/relationships/footer" Target="footer18.xml"/><Relationship Id="rId179" Type="http://schemas.openxmlformats.org/officeDocument/2006/relationships/footer" Target="footer178.xml"/><Relationship Id="rId178" Type="http://schemas.openxmlformats.org/officeDocument/2006/relationships/footer" Target="footer177.xml"/><Relationship Id="rId177" Type="http://schemas.openxmlformats.org/officeDocument/2006/relationships/footer" Target="footer176.xml"/><Relationship Id="rId176" Type="http://schemas.openxmlformats.org/officeDocument/2006/relationships/footer" Target="footer175.xml"/><Relationship Id="rId175" Type="http://schemas.openxmlformats.org/officeDocument/2006/relationships/footer" Target="footer174.xml"/><Relationship Id="rId174" Type="http://schemas.openxmlformats.org/officeDocument/2006/relationships/footer" Target="footer173.xml"/><Relationship Id="rId173" Type="http://schemas.openxmlformats.org/officeDocument/2006/relationships/footer" Target="footer172.xml"/><Relationship Id="rId172" Type="http://schemas.openxmlformats.org/officeDocument/2006/relationships/footer" Target="footer171.xml"/><Relationship Id="rId171" Type="http://schemas.openxmlformats.org/officeDocument/2006/relationships/footer" Target="footer170.xml"/><Relationship Id="rId170" Type="http://schemas.openxmlformats.org/officeDocument/2006/relationships/footer" Target="footer169.xml"/><Relationship Id="rId17" Type="http://schemas.openxmlformats.org/officeDocument/2006/relationships/footer" Target="footer17.xml"/><Relationship Id="rId169" Type="http://schemas.openxmlformats.org/officeDocument/2006/relationships/footer" Target="footer168.xml"/><Relationship Id="rId168" Type="http://schemas.openxmlformats.org/officeDocument/2006/relationships/footer" Target="footer167.xml"/><Relationship Id="rId167" Type="http://schemas.openxmlformats.org/officeDocument/2006/relationships/footer" Target="footer166.xml"/><Relationship Id="rId166" Type="http://schemas.openxmlformats.org/officeDocument/2006/relationships/footer" Target="footer165.xml"/><Relationship Id="rId165" Type="http://schemas.openxmlformats.org/officeDocument/2006/relationships/footer" Target="footer164.xml"/><Relationship Id="rId164" Type="http://schemas.openxmlformats.org/officeDocument/2006/relationships/footer" Target="footer163.xml"/><Relationship Id="rId163" Type="http://schemas.openxmlformats.org/officeDocument/2006/relationships/footer" Target="footer162.xml"/><Relationship Id="rId162" Type="http://schemas.openxmlformats.org/officeDocument/2006/relationships/footer" Target="footer161.xml"/><Relationship Id="rId161" Type="http://schemas.openxmlformats.org/officeDocument/2006/relationships/footer" Target="footer160.xml"/><Relationship Id="rId160" Type="http://schemas.openxmlformats.org/officeDocument/2006/relationships/footer" Target="footer159.xml"/><Relationship Id="rId16" Type="http://schemas.openxmlformats.org/officeDocument/2006/relationships/footer" Target="footer16.xml"/><Relationship Id="rId159" Type="http://schemas.openxmlformats.org/officeDocument/2006/relationships/footer" Target="footer158.xml"/><Relationship Id="rId158" Type="http://schemas.openxmlformats.org/officeDocument/2006/relationships/footer" Target="footer157.xml"/><Relationship Id="rId157" Type="http://schemas.openxmlformats.org/officeDocument/2006/relationships/footer" Target="footer156.xml"/><Relationship Id="rId156" Type="http://schemas.openxmlformats.org/officeDocument/2006/relationships/footer" Target="footer155.xml"/><Relationship Id="rId155" Type="http://schemas.openxmlformats.org/officeDocument/2006/relationships/footer" Target="footer154.xml"/><Relationship Id="rId154" Type="http://schemas.openxmlformats.org/officeDocument/2006/relationships/footer" Target="footer153.xml"/><Relationship Id="rId153" Type="http://schemas.openxmlformats.org/officeDocument/2006/relationships/footer" Target="footer152.xml"/><Relationship Id="rId152" Type="http://schemas.openxmlformats.org/officeDocument/2006/relationships/footer" Target="footer151.xml"/><Relationship Id="rId151" Type="http://schemas.openxmlformats.org/officeDocument/2006/relationships/footer" Target="footer150.xml"/><Relationship Id="rId150" Type="http://schemas.openxmlformats.org/officeDocument/2006/relationships/footer" Target="footer149.xml"/><Relationship Id="rId15" Type="http://schemas.openxmlformats.org/officeDocument/2006/relationships/footer" Target="footer15.xml"/><Relationship Id="rId149" Type="http://schemas.openxmlformats.org/officeDocument/2006/relationships/footer" Target="footer148.xml"/><Relationship Id="rId148" Type="http://schemas.openxmlformats.org/officeDocument/2006/relationships/footer" Target="footer147.xml"/><Relationship Id="rId147" Type="http://schemas.openxmlformats.org/officeDocument/2006/relationships/footer" Target="footer146.xml"/><Relationship Id="rId146" Type="http://schemas.openxmlformats.org/officeDocument/2006/relationships/footer" Target="footer145.xml"/><Relationship Id="rId145" Type="http://schemas.openxmlformats.org/officeDocument/2006/relationships/footer" Target="footer144.xml"/><Relationship Id="rId144" Type="http://schemas.openxmlformats.org/officeDocument/2006/relationships/footer" Target="footer143.xml"/><Relationship Id="rId143" Type="http://schemas.openxmlformats.org/officeDocument/2006/relationships/footer" Target="footer142.xml"/><Relationship Id="rId142" Type="http://schemas.openxmlformats.org/officeDocument/2006/relationships/footer" Target="footer141.xml"/><Relationship Id="rId141" Type="http://schemas.openxmlformats.org/officeDocument/2006/relationships/footer" Target="footer140.xml"/><Relationship Id="rId140" Type="http://schemas.openxmlformats.org/officeDocument/2006/relationships/footer" Target="footer139.xml"/><Relationship Id="rId14" Type="http://schemas.openxmlformats.org/officeDocument/2006/relationships/footer" Target="footer14.xml"/><Relationship Id="rId139" Type="http://schemas.openxmlformats.org/officeDocument/2006/relationships/footer" Target="footer138.xml"/><Relationship Id="rId138" Type="http://schemas.openxmlformats.org/officeDocument/2006/relationships/footer" Target="footer137.xml"/><Relationship Id="rId137" Type="http://schemas.openxmlformats.org/officeDocument/2006/relationships/footer" Target="footer136.xml"/><Relationship Id="rId136" Type="http://schemas.openxmlformats.org/officeDocument/2006/relationships/footer" Target="footer135.xml"/><Relationship Id="rId135" Type="http://schemas.openxmlformats.org/officeDocument/2006/relationships/footer" Target="footer134.xml"/><Relationship Id="rId134" Type="http://schemas.openxmlformats.org/officeDocument/2006/relationships/footer" Target="footer133.xml"/><Relationship Id="rId133" Type="http://schemas.openxmlformats.org/officeDocument/2006/relationships/footer" Target="footer132.xml"/><Relationship Id="rId132" Type="http://schemas.openxmlformats.org/officeDocument/2006/relationships/footer" Target="footer131.xml"/><Relationship Id="rId131" Type="http://schemas.openxmlformats.org/officeDocument/2006/relationships/footer" Target="footer130.xml"/><Relationship Id="rId130" Type="http://schemas.openxmlformats.org/officeDocument/2006/relationships/footer" Target="footer129.xml"/><Relationship Id="rId13" Type="http://schemas.openxmlformats.org/officeDocument/2006/relationships/footer" Target="footer13.xml"/><Relationship Id="rId129" Type="http://schemas.openxmlformats.org/officeDocument/2006/relationships/footer" Target="footer128.xml"/><Relationship Id="rId128" Type="http://schemas.openxmlformats.org/officeDocument/2006/relationships/footer" Target="footer127.xml"/><Relationship Id="rId127" Type="http://schemas.openxmlformats.org/officeDocument/2006/relationships/footer" Target="footer126.xml"/><Relationship Id="rId126" Type="http://schemas.openxmlformats.org/officeDocument/2006/relationships/footer" Target="footer125.xml"/><Relationship Id="rId125" Type="http://schemas.openxmlformats.org/officeDocument/2006/relationships/footer" Target="footer124.xml"/><Relationship Id="rId124" Type="http://schemas.openxmlformats.org/officeDocument/2006/relationships/footer" Target="footer123.xml"/><Relationship Id="rId123" Type="http://schemas.openxmlformats.org/officeDocument/2006/relationships/footer" Target="footer122.xml"/><Relationship Id="rId122" Type="http://schemas.openxmlformats.org/officeDocument/2006/relationships/footer" Target="footer121.xml"/><Relationship Id="rId121" Type="http://schemas.openxmlformats.org/officeDocument/2006/relationships/footer" Target="footer120.xml"/><Relationship Id="rId120" Type="http://schemas.openxmlformats.org/officeDocument/2006/relationships/footer" Target="footer119.xml"/><Relationship Id="rId12" Type="http://schemas.openxmlformats.org/officeDocument/2006/relationships/footer" Target="footer12.xml"/><Relationship Id="rId119" Type="http://schemas.openxmlformats.org/officeDocument/2006/relationships/footer" Target="footer118.xml"/><Relationship Id="rId118" Type="http://schemas.openxmlformats.org/officeDocument/2006/relationships/footer" Target="footer117.xml"/><Relationship Id="rId117" Type="http://schemas.openxmlformats.org/officeDocument/2006/relationships/footer" Target="footer116.xml"/><Relationship Id="rId116" Type="http://schemas.openxmlformats.org/officeDocument/2006/relationships/footer" Target="footer115.xml"/><Relationship Id="rId115" Type="http://schemas.openxmlformats.org/officeDocument/2006/relationships/footer" Target="footer114.xml"/><Relationship Id="rId114" Type="http://schemas.openxmlformats.org/officeDocument/2006/relationships/footer" Target="footer113.xml"/><Relationship Id="rId113" Type="http://schemas.openxmlformats.org/officeDocument/2006/relationships/footer" Target="footer112.xml"/><Relationship Id="rId112" Type="http://schemas.openxmlformats.org/officeDocument/2006/relationships/footer" Target="footer111.xml"/><Relationship Id="rId111" Type="http://schemas.openxmlformats.org/officeDocument/2006/relationships/footer" Target="footer110.xml"/><Relationship Id="rId110" Type="http://schemas.openxmlformats.org/officeDocument/2006/relationships/footer" Target="footer109.xml"/><Relationship Id="rId11" Type="http://schemas.openxmlformats.org/officeDocument/2006/relationships/footer" Target="footer11.xml"/><Relationship Id="rId109" Type="http://schemas.openxmlformats.org/officeDocument/2006/relationships/footer" Target="footer108.xml"/><Relationship Id="rId108" Type="http://schemas.openxmlformats.org/officeDocument/2006/relationships/footer" Target="footer107.xml"/><Relationship Id="rId107" Type="http://schemas.openxmlformats.org/officeDocument/2006/relationships/footer" Target="footer106.xml"/><Relationship Id="rId106" Type="http://schemas.openxmlformats.org/officeDocument/2006/relationships/footer" Target="footer105.xml"/><Relationship Id="rId105" Type="http://schemas.openxmlformats.org/officeDocument/2006/relationships/footer" Target="footer104.xml"/><Relationship Id="rId104" Type="http://schemas.openxmlformats.org/officeDocument/2006/relationships/footer" Target="footer103.xml"/><Relationship Id="rId103" Type="http://schemas.openxmlformats.org/officeDocument/2006/relationships/footer" Target="footer102.xml"/><Relationship Id="rId102" Type="http://schemas.openxmlformats.org/officeDocument/2006/relationships/footer" Target="footer101.xml"/><Relationship Id="rId101" Type="http://schemas.openxmlformats.org/officeDocument/2006/relationships/footer" Target="footer100.xml"/><Relationship Id="rId100" Type="http://schemas.openxmlformats.org/officeDocument/2006/relationships/footer" Target="footer99.xml"/><Relationship Id="rId10" Type="http://schemas.openxmlformats.org/officeDocument/2006/relationships/footer" Target="footer10.xml"/><Relationship Id="rId1" Type="http://schemas.openxmlformats.org/officeDocument/2006/relationships/footer" Target="foot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2025-06-18T18:09:50Z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2025-06-18T18:10:39</vt:filetime>
  </property>
  <property fmtid="{D5CDD505-2E9C-101B-9397-08002B2CF9AE}" pid="4" name="UsrData">
    <vt:lpwstr>685290380367e8001f95d0c9wl</vt:lpwstr>
  </property>
</Properties>
</file>